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C41D" w14:textId="6B6B1477" w:rsidR="000F03E3" w:rsidRPr="00044BCA" w:rsidRDefault="009D7DE0" w:rsidP="00126A7C">
      <w:pPr>
        <w:jc w:val="center"/>
        <w:rPr>
          <w:rFonts w:ascii="Arial" w:hAnsi="Arial" w:cs="Arial"/>
          <w:b/>
          <w:sz w:val="24"/>
          <w:szCs w:val="24"/>
        </w:rPr>
      </w:pPr>
      <w:bookmarkStart w:id="0" w:name="_GoBack"/>
      <w:bookmarkEnd w:id="0"/>
      <w:r w:rsidRPr="00044BCA">
        <w:rPr>
          <w:rFonts w:ascii="Arial" w:hAnsi="Arial" w:cs="Arial"/>
          <w:b/>
          <w:sz w:val="24"/>
          <w:szCs w:val="24"/>
        </w:rPr>
        <w:t>Preliminary results for the year ended 31 January 2015. Sales up 2.9%, adjusted pre-tax profit of £675m, down 7.5%. New CEO outlines plans to organise Kingfisher very differently and announces her first ‘sharp’ decisions</w:t>
      </w:r>
      <w:r w:rsidR="00DB3C08" w:rsidRPr="00044BCA">
        <w:rPr>
          <w:rFonts w:ascii="Arial" w:hAnsi="Arial" w:cs="Arial"/>
          <w:b/>
          <w:sz w:val="24"/>
          <w:szCs w:val="24"/>
        </w:rPr>
        <w:t xml:space="preserve"> on the journey to ‘ONE’ Kingfisher</w:t>
      </w:r>
    </w:p>
    <w:p w14:paraId="34AC5631" w14:textId="77777777" w:rsidR="00EB3EF5" w:rsidRDefault="00EB3EF5" w:rsidP="00126A7C">
      <w:pPr>
        <w:jc w:val="center"/>
        <w:rPr>
          <w:rFonts w:ascii="Arial" w:hAnsi="Arial" w:cs="Arial"/>
          <w:b/>
          <w:bCs/>
          <w:sz w:val="24"/>
          <w:szCs w:val="24"/>
          <w:u w:val="single"/>
        </w:rPr>
      </w:pPr>
    </w:p>
    <w:p w14:paraId="52735E7B" w14:textId="77777777" w:rsidR="00FE2D84" w:rsidRDefault="008C5B02" w:rsidP="00315200">
      <w:pPr>
        <w:jc w:val="left"/>
        <w:rPr>
          <w:rFonts w:ascii="Arial" w:hAnsi="Arial" w:cs="Arial"/>
          <w:b/>
          <w:bCs/>
          <w:sz w:val="24"/>
          <w:szCs w:val="24"/>
          <w:u w:val="single"/>
        </w:rPr>
      </w:pPr>
      <w:r>
        <w:rPr>
          <w:rFonts w:ascii="Arial" w:hAnsi="Arial" w:cs="Arial"/>
          <w:b/>
          <w:bCs/>
          <w:sz w:val="24"/>
          <w:szCs w:val="24"/>
          <w:u w:val="single"/>
        </w:rPr>
        <w:t>2014/15 Financial overview</w:t>
      </w:r>
      <w:r w:rsidR="00FE2D84">
        <w:rPr>
          <w:rFonts w:ascii="Arial" w:hAnsi="Arial" w:cs="Arial"/>
          <w:b/>
          <w:bCs/>
          <w:sz w:val="24"/>
          <w:szCs w:val="24"/>
          <w:u w:val="single"/>
        </w:rPr>
        <w:t>:</w:t>
      </w:r>
    </w:p>
    <w:p w14:paraId="0823B637" w14:textId="77777777" w:rsidR="000346AA" w:rsidRDefault="000346AA" w:rsidP="00315200">
      <w:pPr>
        <w:jc w:val="left"/>
        <w:rPr>
          <w:rFonts w:ascii="Arial" w:hAnsi="Arial" w:cs="Arial"/>
          <w:b/>
          <w:bCs/>
          <w:sz w:val="24"/>
          <w:szCs w:val="24"/>
          <w:u w:val="single"/>
        </w:rPr>
      </w:pPr>
    </w:p>
    <w:tbl>
      <w:tblPr>
        <w:tblW w:w="5022" w:type="pct"/>
        <w:tblInd w:w="-106" w:type="dxa"/>
        <w:tblLayout w:type="fixed"/>
        <w:tblLook w:val="01E0" w:firstRow="1" w:lastRow="1" w:firstColumn="1" w:lastColumn="1" w:noHBand="0" w:noVBand="0"/>
      </w:tblPr>
      <w:tblGrid>
        <w:gridCol w:w="2925"/>
        <w:gridCol w:w="1421"/>
        <w:gridCol w:w="1419"/>
        <w:gridCol w:w="1280"/>
        <w:gridCol w:w="88"/>
        <w:gridCol w:w="1193"/>
        <w:gridCol w:w="1357"/>
      </w:tblGrid>
      <w:tr w:rsidR="000346AA" w:rsidRPr="000971B9" w14:paraId="44AEDE43" w14:textId="77777777" w:rsidTr="000346AA">
        <w:trPr>
          <w:trHeight w:val="564"/>
        </w:trPr>
        <w:tc>
          <w:tcPr>
            <w:tcW w:w="2739" w:type="dxa"/>
            <w:tcBorders>
              <w:bottom w:val="single" w:sz="4" w:space="0" w:color="auto"/>
            </w:tcBorders>
          </w:tcPr>
          <w:p w14:paraId="189D108A" w14:textId="77777777" w:rsidR="000346AA" w:rsidRPr="000971B9" w:rsidRDefault="000346AA" w:rsidP="000346AA">
            <w:pPr>
              <w:jc w:val="left"/>
              <w:rPr>
                <w:rFonts w:ascii="Arial" w:hAnsi="Arial" w:cs="Arial"/>
                <w:b/>
                <w:bCs/>
                <w:sz w:val="20"/>
                <w:szCs w:val="20"/>
              </w:rPr>
            </w:pPr>
          </w:p>
        </w:tc>
        <w:tc>
          <w:tcPr>
            <w:tcW w:w="1330" w:type="dxa"/>
            <w:tcBorders>
              <w:bottom w:val="single" w:sz="4" w:space="0" w:color="auto"/>
            </w:tcBorders>
          </w:tcPr>
          <w:p w14:paraId="5C904F94" w14:textId="77777777" w:rsidR="000346AA" w:rsidRPr="000971B9" w:rsidRDefault="000346AA" w:rsidP="000346AA">
            <w:pPr>
              <w:jc w:val="right"/>
              <w:rPr>
                <w:rFonts w:ascii="Arial" w:hAnsi="Arial" w:cs="Arial"/>
                <w:b/>
                <w:bCs/>
                <w:sz w:val="24"/>
                <w:szCs w:val="24"/>
              </w:rPr>
            </w:pPr>
          </w:p>
        </w:tc>
        <w:tc>
          <w:tcPr>
            <w:tcW w:w="1329" w:type="dxa"/>
            <w:tcBorders>
              <w:bottom w:val="single" w:sz="4" w:space="0" w:color="auto"/>
            </w:tcBorders>
          </w:tcPr>
          <w:p w14:paraId="2749CB9D" w14:textId="77777777" w:rsidR="000346AA" w:rsidRPr="000971B9" w:rsidRDefault="000346AA" w:rsidP="000346AA">
            <w:pPr>
              <w:jc w:val="right"/>
              <w:rPr>
                <w:rFonts w:ascii="Arial" w:hAnsi="Arial" w:cs="Arial"/>
                <w:b/>
                <w:bCs/>
                <w:sz w:val="24"/>
                <w:szCs w:val="24"/>
              </w:rPr>
            </w:pPr>
          </w:p>
        </w:tc>
        <w:tc>
          <w:tcPr>
            <w:tcW w:w="1280" w:type="dxa"/>
            <w:gridSpan w:val="2"/>
            <w:tcBorders>
              <w:bottom w:val="single" w:sz="4" w:space="0" w:color="auto"/>
            </w:tcBorders>
          </w:tcPr>
          <w:p w14:paraId="5515209F" w14:textId="77777777" w:rsidR="000346AA" w:rsidRPr="000971B9" w:rsidRDefault="000346AA" w:rsidP="000346AA">
            <w:pPr>
              <w:jc w:val="right"/>
              <w:rPr>
                <w:rFonts w:ascii="Arial" w:hAnsi="Arial" w:cs="Arial"/>
                <w:b/>
                <w:bCs/>
                <w:sz w:val="24"/>
                <w:szCs w:val="24"/>
              </w:rPr>
            </w:pPr>
            <w:r w:rsidRPr="000971B9">
              <w:rPr>
                <w:rFonts w:ascii="Arial" w:hAnsi="Arial" w:cs="Arial"/>
                <w:b/>
                <w:bCs/>
                <w:sz w:val="24"/>
                <w:szCs w:val="24"/>
              </w:rPr>
              <w:t xml:space="preserve">% Total </w:t>
            </w:r>
          </w:p>
          <w:p w14:paraId="269164C1" w14:textId="77777777" w:rsidR="000346AA" w:rsidRPr="000971B9" w:rsidRDefault="000346AA" w:rsidP="000346AA">
            <w:pPr>
              <w:jc w:val="right"/>
              <w:rPr>
                <w:rFonts w:ascii="Arial" w:hAnsi="Arial" w:cs="Arial"/>
                <w:b/>
                <w:bCs/>
                <w:sz w:val="24"/>
                <w:szCs w:val="24"/>
                <w:lang w:eastAsia="en-US"/>
              </w:rPr>
            </w:pPr>
            <w:r w:rsidRPr="000971B9">
              <w:rPr>
                <w:rFonts w:ascii="Arial" w:hAnsi="Arial" w:cs="Arial"/>
                <w:b/>
                <w:bCs/>
                <w:sz w:val="24"/>
                <w:szCs w:val="24"/>
              </w:rPr>
              <w:t xml:space="preserve">Change </w:t>
            </w:r>
          </w:p>
        </w:tc>
        <w:tc>
          <w:tcPr>
            <w:tcW w:w="1117" w:type="dxa"/>
            <w:tcBorders>
              <w:bottom w:val="single" w:sz="4" w:space="0" w:color="auto"/>
            </w:tcBorders>
          </w:tcPr>
          <w:p w14:paraId="32D316A8" w14:textId="77777777" w:rsidR="000346AA" w:rsidRPr="000971B9" w:rsidRDefault="000346AA" w:rsidP="000346AA">
            <w:pPr>
              <w:ind w:left="-94" w:firstLine="94"/>
              <w:jc w:val="right"/>
              <w:rPr>
                <w:rFonts w:ascii="Arial" w:hAnsi="Arial" w:cs="Arial"/>
                <w:b/>
                <w:bCs/>
                <w:sz w:val="24"/>
                <w:szCs w:val="24"/>
              </w:rPr>
            </w:pPr>
            <w:r w:rsidRPr="000971B9">
              <w:rPr>
                <w:rFonts w:ascii="Arial" w:hAnsi="Arial" w:cs="Arial"/>
                <w:b/>
                <w:bCs/>
                <w:sz w:val="24"/>
                <w:szCs w:val="24"/>
              </w:rPr>
              <w:t xml:space="preserve">% Total Change </w:t>
            </w:r>
          </w:p>
        </w:tc>
        <w:tc>
          <w:tcPr>
            <w:tcW w:w="1271" w:type="dxa"/>
            <w:tcBorders>
              <w:bottom w:val="single" w:sz="4" w:space="0" w:color="auto"/>
            </w:tcBorders>
          </w:tcPr>
          <w:p w14:paraId="6718FD00" w14:textId="77777777" w:rsidR="000346AA" w:rsidRPr="000971B9" w:rsidRDefault="000346AA" w:rsidP="000346AA">
            <w:pPr>
              <w:jc w:val="right"/>
              <w:rPr>
                <w:rFonts w:ascii="Arial" w:hAnsi="Arial" w:cs="Arial"/>
                <w:b/>
                <w:bCs/>
                <w:sz w:val="24"/>
                <w:szCs w:val="24"/>
              </w:rPr>
            </w:pPr>
            <w:r w:rsidRPr="000971B9">
              <w:rPr>
                <w:rFonts w:ascii="Arial" w:hAnsi="Arial" w:cs="Arial"/>
                <w:b/>
                <w:bCs/>
                <w:sz w:val="24"/>
                <w:szCs w:val="24"/>
              </w:rPr>
              <w:t>% LFL* Change</w:t>
            </w:r>
          </w:p>
        </w:tc>
      </w:tr>
      <w:tr w:rsidR="000346AA" w:rsidRPr="000971B9" w14:paraId="150D0C25" w14:textId="77777777" w:rsidTr="000346AA">
        <w:trPr>
          <w:trHeight w:val="562"/>
        </w:trPr>
        <w:tc>
          <w:tcPr>
            <w:tcW w:w="2739" w:type="dxa"/>
            <w:tcBorders>
              <w:bottom w:val="single" w:sz="4" w:space="0" w:color="auto"/>
            </w:tcBorders>
          </w:tcPr>
          <w:p w14:paraId="03919473" w14:textId="77777777" w:rsidR="000346AA" w:rsidRPr="000971B9" w:rsidRDefault="000346AA" w:rsidP="000346AA">
            <w:pPr>
              <w:jc w:val="left"/>
              <w:rPr>
                <w:rFonts w:ascii="Arial" w:hAnsi="Arial" w:cs="Arial"/>
                <w:b/>
                <w:bCs/>
                <w:u w:val="single"/>
              </w:rPr>
            </w:pPr>
          </w:p>
        </w:tc>
        <w:tc>
          <w:tcPr>
            <w:tcW w:w="1330" w:type="dxa"/>
            <w:tcBorders>
              <w:bottom w:val="single" w:sz="4" w:space="0" w:color="auto"/>
            </w:tcBorders>
          </w:tcPr>
          <w:p w14:paraId="02F8A6AB" w14:textId="77777777" w:rsidR="000346AA" w:rsidRPr="000971B9" w:rsidRDefault="000346AA" w:rsidP="000346AA">
            <w:pPr>
              <w:jc w:val="right"/>
              <w:rPr>
                <w:rFonts w:ascii="Arial" w:hAnsi="Arial" w:cs="Arial"/>
                <w:b/>
                <w:bCs/>
                <w:sz w:val="24"/>
                <w:szCs w:val="24"/>
              </w:rPr>
            </w:pPr>
            <w:r w:rsidRPr="000971B9">
              <w:rPr>
                <w:rFonts w:ascii="Arial" w:hAnsi="Arial" w:cs="Arial"/>
                <w:b/>
                <w:bCs/>
                <w:sz w:val="24"/>
                <w:szCs w:val="24"/>
              </w:rPr>
              <w:t>201</w:t>
            </w:r>
            <w:r>
              <w:rPr>
                <w:rFonts w:ascii="Arial" w:hAnsi="Arial" w:cs="Arial"/>
                <w:b/>
                <w:bCs/>
                <w:sz w:val="24"/>
                <w:szCs w:val="24"/>
              </w:rPr>
              <w:t>4</w:t>
            </w:r>
            <w:r w:rsidRPr="000971B9">
              <w:rPr>
                <w:rFonts w:ascii="Arial" w:hAnsi="Arial" w:cs="Arial"/>
                <w:b/>
                <w:bCs/>
                <w:sz w:val="24"/>
                <w:szCs w:val="24"/>
              </w:rPr>
              <w:t>/1</w:t>
            </w:r>
            <w:r>
              <w:rPr>
                <w:rFonts w:ascii="Arial" w:hAnsi="Arial" w:cs="Arial"/>
                <w:b/>
                <w:bCs/>
                <w:sz w:val="24"/>
                <w:szCs w:val="24"/>
              </w:rPr>
              <w:t>5</w:t>
            </w:r>
          </w:p>
          <w:p w14:paraId="181EAC04" w14:textId="77777777" w:rsidR="000346AA" w:rsidRPr="000971B9" w:rsidRDefault="000346AA" w:rsidP="000346AA">
            <w:pPr>
              <w:jc w:val="right"/>
              <w:rPr>
                <w:rFonts w:ascii="Arial" w:hAnsi="Arial" w:cs="Arial"/>
                <w:b/>
                <w:bCs/>
                <w:sz w:val="24"/>
                <w:szCs w:val="24"/>
              </w:rPr>
            </w:pPr>
          </w:p>
        </w:tc>
        <w:tc>
          <w:tcPr>
            <w:tcW w:w="1329" w:type="dxa"/>
            <w:tcBorders>
              <w:bottom w:val="single" w:sz="4" w:space="0" w:color="auto"/>
            </w:tcBorders>
          </w:tcPr>
          <w:p w14:paraId="6BB9CA47" w14:textId="77777777" w:rsidR="000346AA" w:rsidRPr="000971B9" w:rsidRDefault="000346AA" w:rsidP="000346AA">
            <w:pPr>
              <w:jc w:val="right"/>
              <w:rPr>
                <w:rFonts w:ascii="Arial" w:hAnsi="Arial" w:cs="Arial"/>
                <w:b/>
                <w:bCs/>
                <w:sz w:val="24"/>
                <w:szCs w:val="24"/>
              </w:rPr>
            </w:pPr>
            <w:r w:rsidRPr="000971B9">
              <w:rPr>
                <w:rFonts w:ascii="Arial" w:hAnsi="Arial" w:cs="Arial"/>
                <w:b/>
                <w:bCs/>
                <w:sz w:val="24"/>
                <w:szCs w:val="24"/>
              </w:rPr>
              <w:t>2013/14</w:t>
            </w:r>
          </w:p>
          <w:p w14:paraId="5191F8CF" w14:textId="77777777" w:rsidR="000346AA" w:rsidRPr="000971B9" w:rsidRDefault="000346AA" w:rsidP="000346AA">
            <w:pPr>
              <w:jc w:val="right"/>
              <w:rPr>
                <w:rFonts w:ascii="Arial" w:hAnsi="Arial" w:cs="Arial"/>
                <w:b/>
                <w:bCs/>
                <w:sz w:val="24"/>
                <w:szCs w:val="24"/>
              </w:rPr>
            </w:pPr>
          </w:p>
        </w:tc>
        <w:tc>
          <w:tcPr>
            <w:tcW w:w="1198" w:type="dxa"/>
            <w:tcBorders>
              <w:bottom w:val="single" w:sz="4" w:space="0" w:color="auto"/>
            </w:tcBorders>
          </w:tcPr>
          <w:p w14:paraId="6802F025" w14:textId="77777777" w:rsidR="000346AA" w:rsidRPr="000971B9" w:rsidRDefault="000346AA" w:rsidP="000346AA">
            <w:pPr>
              <w:jc w:val="right"/>
              <w:rPr>
                <w:rFonts w:ascii="Arial" w:hAnsi="Arial" w:cs="Arial"/>
                <w:b/>
                <w:bCs/>
                <w:sz w:val="24"/>
                <w:szCs w:val="24"/>
              </w:rPr>
            </w:pPr>
            <w:r w:rsidRPr="000971B9">
              <w:rPr>
                <w:rFonts w:ascii="Arial" w:hAnsi="Arial" w:cs="Arial"/>
                <w:b/>
                <w:bCs/>
                <w:sz w:val="24"/>
                <w:szCs w:val="24"/>
              </w:rPr>
              <w:t>Reported</w:t>
            </w:r>
          </w:p>
        </w:tc>
        <w:tc>
          <w:tcPr>
            <w:tcW w:w="1199" w:type="dxa"/>
            <w:gridSpan w:val="2"/>
            <w:tcBorders>
              <w:bottom w:val="single" w:sz="4" w:space="0" w:color="auto"/>
            </w:tcBorders>
          </w:tcPr>
          <w:p w14:paraId="53C39834" w14:textId="77777777" w:rsidR="000346AA" w:rsidRPr="000971B9" w:rsidRDefault="000346AA" w:rsidP="000346AA">
            <w:pPr>
              <w:ind w:left="-94" w:firstLine="94"/>
              <w:jc w:val="right"/>
              <w:rPr>
                <w:rFonts w:ascii="Arial" w:hAnsi="Arial" w:cs="Arial"/>
                <w:b/>
                <w:bCs/>
                <w:sz w:val="24"/>
                <w:szCs w:val="24"/>
              </w:rPr>
            </w:pPr>
            <w:r w:rsidRPr="000971B9">
              <w:rPr>
                <w:rFonts w:ascii="Arial" w:hAnsi="Arial" w:cs="Arial"/>
                <w:b/>
                <w:bCs/>
                <w:sz w:val="24"/>
                <w:szCs w:val="24"/>
              </w:rPr>
              <w:t>Constant currency</w:t>
            </w:r>
          </w:p>
        </w:tc>
        <w:tc>
          <w:tcPr>
            <w:tcW w:w="1271" w:type="dxa"/>
            <w:tcBorders>
              <w:bottom w:val="single" w:sz="4" w:space="0" w:color="auto"/>
            </w:tcBorders>
          </w:tcPr>
          <w:p w14:paraId="11B2D7CA" w14:textId="77777777" w:rsidR="000346AA" w:rsidRPr="000971B9" w:rsidRDefault="000346AA" w:rsidP="000346AA">
            <w:pPr>
              <w:jc w:val="right"/>
              <w:rPr>
                <w:rFonts w:ascii="Arial" w:hAnsi="Arial" w:cs="Arial"/>
                <w:b/>
                <w:bCs/>
                <w:sz w:val="24"/>
                <w:szCs w:val="24"/>
              </w:rPr>
            </w:pPr>
            <w:r w:rsidRPr="000971B9">
              <w:rPr>
                <w:rFonts w:ascii="Arial" w:hAnsi="Arial" w:cs="Arial"/>
                <w:b/>
                <w:bCs/>
                <w:sz w:val="24"/>
                <w:szCs w:val="24"/>
              </w:rPr>
              <w:t>Constant currency</w:t>
            </w:r>
          </w:p>
        </w:tc>
      </w:tr>
      <w:tr w:rsidR="000346AA" w:rsidRPr="000971B9" w14:paraId="13D7FF3F" w14:textId="77777777" w:rsidTr="000346AA">
        <w:tc>
          <w:tcPr>
            <w:tcW w:w="2739" w:type="dxa"/>
            <w:tcBorders>
              <w:top w:val="single" w:sz="4" w:space="0" w:color="auto"/>
            </w:tcBorders>
          </w:tcPr>
          <w:p w14:paraId="30979DEA" w14:textId="77777777" w:rsidR="000346AA" w:rsidRPr="000971B9" w:rsidRDefault="000346AA" w:rsidP="000346AA">
            <w:pPr>
              <w:jc w:val="left"/>
              <w:rPr>
                <w:rFonts w:ascii="Arial" w:hAnsi="Arial" w:cs="Arial"/>
                <w:sz w:val="24"/>
                <w:szCs w:val="24"/>
              </w:rPr>
            </w:pPr>
            <w:r w:rsidRPr="000971B9">
              <w:rPr>
                <w:rFonts w:ascii="Arial" w:hAnsi="Arial" w:cs="Arial"/>
                <w:sz w:val="24"/>
                <w:szCs w:val="24"/>
              </w:rPr>
              <w:t>Sales</w:t>
            </w:r>
            <w:r w:rsidRPr="000971B9">
              <w:rPr>
                <w:rFonts w:ascii="Arial" w:hAnsi="Arial" w:cs="Arial"/>
                <w:bCs/>
                <w:sz w:val="24"/>
                <w:szCs w:val="24"/>
              </w:rPr>
              <w:t>*</w:t>
            </w:r>
          </w:p>
        </w:tc>
        <w:tc>
          <w:tcPr>
            <w:tcW w:w="1330" w:type="dxa"/>
            <w:tcBorders>
              <w:top w:val="single" w:sz="4" w:space="0" w:color="auto"/>
            </w:tcBorders>
          </w:tcPr>
          <w:p w14:paraId="4391F5DF" w14:textId="77777777" w:rsidR="000346AA" w:rsidRPr="000971B9" w:rsidRDefault="000346AA" w:rsidP="000346AA">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10,966</w:t>
            </w:r>
            <w:r w:rsidRPr="000971B9">
              <w:rPr>
                <w:rFonts w:ascii="Arial" w:hAnsi="Arial" w:cs="Arial"/>
                <w:sz w:val="24"/>
                <w:szCs w:val="24"/>
              </w:rPr>
              <w:t>m</w:t>
            </w:r>
          </w:p>
        </w:tc>
        <w:tc>
          <w:tcPr>
            <w:tcW w:w="1329" w:type="dxa"/>
            <w:tcBorders>
              <w:top w:val="single" w:sz="4" w:space="0" w:color="auto"/>
            </w:tcBorders>
          </w:tcPr>
          <w:p w14:paraId="51923A03" w14:textId="77777777" w:rsidR="000346AA" w:rsidRPr="000971B9" w:rsidRDefault="000346AA" w:rsidP="000346AA">
            <w:pPr>
              <w:jc w:val="right"/>
              <w:rPr>
                <w:rFonts w:ascii="Arial" w:hAnsi="Arial" w:cs="Arial"/>
                <w:sz w:val="24"/>
                <w:szCs w:val="24"/>
              </w:rPr>
            </w:pPr>
            <w:r w:rsidRPr="0005114B">
              <w:rPr>
                <w:rFonts w:ascii="Arial" w:hAnsi="Arial" w:cs="Arial"/>
                <w:sz w:val="24"/>
                <w:szCs w:val="24"/>
              </w:rPr>
              <w:t>£11,125m</w:t>
            </w:r>
          </w:p>
        </w:tc>
        <w:tc>
          <w:tcPr>
            <w:tcW w:w="1280" w:type="dxa"/>
            <w:gridSpan w:val="2"/>
            <w:tcBorders>
              <w:top w:val="single" w:sz="4" w:space="0" w:color="auto"/>
            </w:tcBorders>
          </w:tcPr>
          <w:p w14:paraId="71C8624C" w14:textId="77777777" w:rsidR="000346AA" w:rsidRPr="000971B9" w:rsidRDefault="000346AA" w:rsidP="000346AA">
            <w:pPr>
              <w:jc w:val="right"/>
              <w:rPr>
                <w:rFonts w:ascii="Arial" w:hAnsi="Arial" w:cs="Arial"/>
                <w:sz w:val="24"/>
                <w:szCs w:val="24"/>
              </w:rPr>
            </w:pPr>
            <w:r>
              <w:rPr>
                <w:rFonts w:ascii="Arial" w:hAnsi="Arial" w:cs="Arial"/>
                <w:sz w:val="24"/>
                <w:szCs w:val="24"/>
              </w:rPr>
              <w:t>(1.4)</w:t>
            </w:r>
            <w:r w:rsidRPr="000971B9">
              <w:rPr>
                <w:rFonts w:ascii="Arial" w:hAnsi="Arial" w:cs="Arial"/>
                <w:sz w:val="24"/>
                <w:szCs w:val="24"/>
              </w:rPr>
              <w:t>%</w:t>
            </w:r>
          </w:p>
        </w:tc>
        <w:tc>
          <w:tcPr>
            <w:tcW w:w="1117" w:type="dxa"/>
            <w:tcBorders>
              <w:top w:val="single" w:sz="4" w:space="0" w:color="auto"/>
            </w:tcBorders>
          </w:tcPr>
          <w:p w14:paraId="2F6FFC51" w14:textId="77777777" w:rsidR="000346AA" w:rsidRPr="000971B9" w:rsidRDefault="000346AA" w:rsidP="00C2678B">
            <w:pPr>
              <w:ind w:right="-252"/>
              <w:jc w:val="center"/>
              <w:rPr>
                <w:rFonts w:ascii="Arial" w:hAnsi="Arial" w:cs="Arial"/>
                <w:sz w:val="24"/>
                <w:szCs w:val="24"/>
              </w:rPr>
            </w:pPr>
            <w:r w:rsidRPr="000971B9">
              <w:rPr>
                <w:rFonts w:ascii="Arial" w:hAnsi="Arial" w:cs="Arial"/>
                <w:sz w:val="24"/>
                <w:szCs w:val="24"/>
              </w:rPr>
              <w:t>+</w:t>
            </w:r>
            <w:r>
              <w:rPr>
                <w:rFonts w:ascii="Arial" w:hAnsi="Arial" w:cs="Arial"/>
                <w:sz w:val="24"/>
                <w:szCs w:val="24"/>
              </w:rPr>
              <w:t>2.9</w:t>
            </w:r>
            <w:r w:rsidRPr="000971B9">
              <w:rPr>
                <w:rFonts w:ascii="Arial" w:hAnsi="Arial" w:cs="Arial"/>
                <w:sz w:val="24"/>
                <w:szCs w:val="24"/>
              </w:rPr>
              <w:t>%</w:t>
            </w:r>
          </w:p>
        </w:tc>
        <w:tc>
          <w:tcPr>
            <w:tcW w:w="1271" w:type="dxa"/>
            <w:tcBorders>
              <w:top w:val="single" w:sz="4" w:space="0" w:color="auto"/>
            </w:tcBorders>
          </w:tcPr>
          <w:p w14:paraId="762F68E5" w14:textId="77777777" w:rsidR="000346AA" w:rsidRPr="000971B9" w:rsidRDefault="000346AA" w:rsidP="000346AA">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0.5</w:t>
            </w:r>
            <w:r w:rsidRPr="000971B9">
              <w:rPr>
                <w:rFonts w:ascii="Arial" w:hAnsi="Arial" w:cs="Arial"/>
                <w:sz w:val="24"/>
                <w:szCs w:val="24"/>
              </w:rPr>
              <w:t>%</w:t>
            </w:r>
          </w:p>
        </w:tc>
      </w:tr>
      <w:tr w:rsidR="000346AA" w:rsidRPr="000971B9" w14:paraId="2BCB2FD7" w14:textId="77777777" w:rsidTr="000346AA">
        <w:tc>
          <w:tcPr>
            <w:tcW w:w="2739" w:type="dxa"/>
          </w:tcPr>
          <w:p w14:paraId="6067D6A5" w14:textId="77777777" w:rsidR="000346AA" w:rsidRPr="000971B9" w:rsidRDefault="000346AA" w:rsidP="000346AA">
            <w:pPr>
              <w:jc w:val="left"/>
              <w:rPr>
                <w:rFonts w:ascii="Arial" w:hAnsi="Arial" w:cs="Arial"/>
                <w:sz w:val="24"/>
                <w:szCs w:val="24"/>
              </w:rPr>
            </w:pPr>
            <w:r w:rsidRPr="000971B9">
              <w:rPr>
                <w:rFonts w:ascii="Arial" w:hAnsi="Arial" w:cs="Arial"/>
                <w:sz w:val="24"/>
                <w:szCs w:val="24"/>
              </w:rPr>
              <w:t>Retail profit*</w:t>
            </w:r>
          </w:p>
        </w:tc>
        <w:tc>
          <w:tcPr>
            <w:tcW w:w="1330" w:type="dxa"/>
          </w:tcPr>
          <w:p w14:paraId="0AA27214" w14:textId="77777777" w:rsidR="000346AA" w:rsidRPr="000971B9" w:rsidRDefault="000346AA" w:rsidP="000346AA">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733</w:t>
            </w:r>
            <w:r w:rsidRPr="000971B9">
              <w:rPr>
                <w:rFonts w:ascii="Arial" w:hAnsi="Arial" w:cs="Arial"/>
                <w:sz w:val="24"/>
                <w:szCs w:val="24"/>
              </w:rPr>
              <w:t>m</w:t>
            </w:r>
          </w:p>
        </w:tc>
        <w:tc>
          <w:tcPr>
            <w:tcW w:w="1329" w:type="dxa"/>
          </w:tcPr>
          <w:p w14:paraId="14FF1F97" w14:textId="77777777" w:rsidR="000346AA" w:rsidRPr="000971B9" w:rsidRDefault="000346AA" w:rsidP="000346AA">
            <w:pPr>
              <w:jc w:val="right"/>
              <w:rPr>
                <w:rFonts w:ascii="Arial" w:hAnsi="Arial" w:cs="Arial"/>
                <w:sz w:val="24"/>
                <w:szCs w:val="24"/>
              </w:rPr>
            </w:pPr>
            <w:r w:rsidRPr="00DD3E8E">
              <w:rPr>
                <w:rFonts w:ascii="Arial" w:hAnsi="Arial" w:cs="Arial"/>
                <w:sz w:val="24"/>
                <w:szCs w:val="24"/>
              </w:rPr>
              <w:t>£</w:t>
            </w:r>
            <w:r w:rsidRPr="006E1748">
              <w:rPr>
                <w:rFonts w:ascii="Arial" w:hAnsi="Arial" w:cs="Arial"/>
                <w:sz w:val="24"/>
                <w:szCs w:val="24"/>
              </w:rPr>
              <w:t>779</w:t>
            </w:r>
            <w:r w:rsidRPr="00DD3E8E">
              <w:rPr>
                <w:rFonts w:ascii="Arial" w:hAnsi="Arial" w:cs="Arial"/>
                <w:sz w:val="24"/>
                <w:szCs w:val="24"/>
              </w:rPr>
              <w:t>m</w:t>
            </w:r>
          </w:p>
        </w:tc>
        <w:tc>
          <w:tcPr>
            <w:tcW w:w="1280" w:type="dxa"/>
            <w:gridSpan w:val="2"/>
          </w:tcPr>
          <w:p w14:paraId="1A6BB1C9" w14:textId="77777777" w:rsidR="000346AA" w:rsidRPr="000971B9" w:rsidRDefault="000346AA" w:rsidP="000346AA">
            <w:pPr>
              <w:jc w:val="right"/>
              <w:rPr>
                <w:rFonts w:ascii="Arial" w:hAnsi="Arial" w:cs="Arial"/>
                <w:sz w:val="24"/>
                <w:szCs w:val="24"/>
              </w:rPr>
            </w:pPr>
            <w:r>
              <w:rPr>
                <w:rFonts w:ascii="Arial" w:hAnsi="Arial" w:cs="Arial"/>
                <w:sz w:val="24"/>
                <w:szCs w:val="24"/>
              </w:rPr>
              <w:t>(5.9)</w:t>
            </w:r>
            <w:r w:rsidRPr="000971B9">
              <w:rPr>
                <w:rFonts w:ascii="Arial" w:hAnsi="Arial" w:cs="Arial"/>
                <w:sz w:val="24"/>
                <w:szCs w:val="24"/>
              </w:rPr>
              <w:t>%</w:t>
            </w:r>
          </w:p>
        </w:tc>
        <w:tc>
          <w:tcPr>
            <w:tcW w:w="1117" w:type="dxa"/>
          </w:tcPr>
          <w:p w14:paraId="30901BE6" w14:textId="77777777" w:rsidR="000346AA" w:rsidRPr="000971B9" w:rsidRDefault="000346AA" w:rsidP="000346AA">
            <w:pPr>
              <w:jc w:val="right"/>
              <w:rPr>
                <w:rFonts w:ascii="Arial" w:hAnsi="Arial" w:cs="Arial"/>
                <w:sz w:val="24"/>
                <w:szCs w:val="24"/>
              </w:rPr>
            </w:pPr>
            <w:r>
              <w:rPr>
                <w:rFonts w:ascii="Arial" w:hAnsi="Arial" w:cs="Arial"/>
                <w:sz w:val="24"/>
                <w:szCs w:val="24"/>
              </w:rPr>
              <w:t>(1.6)</w:t>
            </w:r>
            <w:r w:rsidRPr="000971B9">
              <w:rPr>
                <w:rFonts w:ascii="Arial" w:hAnsi="Arial" w:cs="Arial"/>
                <w:sz w:val="24"/>
                <w:szCs w:val="24"/>
              </w:rPr>
              <w:t>%</w:t>
            </w:r>
          </w:p>
        </w:tc>
        <w:tc>
          <w:tcPr>
            <w:tcW w:w="1271" w:type="dxa"/>
          </w:tcPr>
          <w:p w14:paraId="238B2305" w14:textId="77777777" w:rsidR="000346AA" w:rsidRPr="000971B9" w:rsidRDefault="000346AA" w:rsidP="000346AA">
            <w:pPr>
              <w:jc w:val="right"/>
              <w:rPr>
                <w:rFonts w:ascii="Arial" w:hAnsi="Arial" w:cs="Arial"/>
                <w:sz w:val="24"/>
                <w:szCs w:val="24"/>
              </w:rPr>
            </w:pPr>
          </w:p>
        </w:tc>
      </w:tr>
      <w:tr w:rsidR="000346AA" w:rsidRPr="000971B9" w14:paraId="7EAFD254" w14:textId="77777777" w:rsidTr="000346AA">
        <w:tc>
          <w:tcPr>
            <w:tcW w:w="2739" w:type="dxa"/>
          </w:tcPr>
          <w:p w14:paraId="2CF70759" w14:textId="77777777" w:rsidR="000346AA" w:rsidRPr="000971B9" w:rsidRDefault="000346AA" w:rsidP="000346AA">
            <w:pPr>
              <w:jc w:val="left"/>
              <w:rPr>
                <w:rFonts w:ascii="Arial" w:hAnsi="Arial" w:cs="Arial"/>
                <w:sz w:val="24"/>
                <w:szCs w:val="24"/>
              </w:rPr>
            </w:pPr>
            <w:r w:rsidRPr="000971B9">
              <w:rPr>
                <w:rFonts w:ascii="Arial" w:hAnsi="Arial" w:cs="Arial"/>
                <w:sz w:val="24"/>
                <w:szCs w:val="24"/>
              </w:rPr>
              <w:t>Adjusted* pre-tax profit</w:t>
            </w:r>
          </w:p>
        </w:tc>
        <w:tc>
          <w:tcPr>
            <w:tcW w:w="1330" w:type="dxa"/>
          </w:tcPr>
          <w:p w14:paraId="1BE1BCAC" w14:textId="77777777" w:rsidR="000346AA" w:rsidRPr="000971B9" w:rsidRDefault="000346AA" w:rsidP="000346AA">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675</w:t>
            </w:r>
            <w:r w:rsidRPr="000971B9">
              <w:rPr>
                <w:rFonts w:ascii="Arial" w:hAnsi="Arial" w:cs="Arial"/>
                <w:sz w:val="24"/>
                <w:szCs w:val="24"/>
              </w:rPr>
              <w:t>m</w:t>
            </w:r>
          </w:p>
        </w:tc>
        <w:tc>
          <w:tcPr>
            <w:tcW w:w="1329" w:type="dxa"/>
          </w:tcPr>
          <w:p w14:paraId="3E0FD612" w14:textId="77777777" w:rsidR="000346AA" w:rsidRPr="00686158" w:rsidRDefault="000346AA" w:rsidP="000346AA">
            <w:pPr>
              <w:jc w:val="right"/>
              <w:rPr>
                <w:rFonts w:ascii="Arial" w:hAnsi="Arial" w:cs="Arial"/>
                <w:sz w:val="24"/>
                <w:szCs w:val="24"/>
              </w:rPr>
            </w:pPr>
            <w:r w:rsidRPr="00686158">
              <w:rPr>
                <w:rFonts w:ascii="Arial" w:hAnsi="Arial" w:cs="Arial"/>
                <w:sz w:val="24"/>
                <w:szCs w:val="24"/>
              </w:rPr>
              <w:t>£7</w:t>
            </w:r>
            <w:r>
              <w:rPr>
                <w:rFonts w:ascii="Arial" w:hAnsi="Arial" w:cs="Arial"/>
                <w:sz w:val="24"/>
                <w:szCs w:val="24"/>
              </w:rPr>
              <w:t>30</w:t>
            </w:r>
            <w:r w:rsidRPr="00686158">
              <w:rPr>
                <w:rFonts w:ascii="Arial" w:hAnsi="Arial" w:cs="Arial"/>
                <w:sz w:val="24"/>
                <w:szCs w:val="24"/>
              </w:rPr>
              <w:t>m</w:t>
            </w:r>
          </w:p>
        </w:tc>
        <w:tc>
          <w:tcPr>
            <w:tcW w:w="1280" w:type="dxa"/>
            <w:gridSpan w:val="2"/>
          </w:tcPr>
          <w:p w14:paraId="0094443D" w14:textId="77777777" w:rsidR="000346AA" w:rsidRPr="000971B9" w:rsidRDefault="000346AA" w:rsidP="000346AA">
            <w:pPr>
              <w:jc w:val="right"/>
              <w:rPr>
                <w:rFonts w:ascii="Arial" w:hAnsi="Arial" w:cs="Arial"/>
                <w:sz w:val="24"/>
                <w:szCs w:val="24"/>
              </w:rPr>
            </w:pPr>
            <w:r>
              <w:rPr>
                <w:rFonts w:ascii="Arial" w:hAnsi="Arial" w:cs="Arial"/>
                <w:sz w:val="24"/>
                <w:szCs w:val="24"/>
              </w:rPr>
              <w:t>(7.5)</w:t>
            </w:r>
            <w:r w:rsidRPr="000971B9">
              <w:rPr>
                <w:rFonts w:ascii="Arial" w:hAnsi="Arial" w:cs="Arial"/>
                <w:sz w:val="24"/>
                <w:szCs w:val="24"/>
              </w:rPr>
              <w:t>%</w:t>
            </w:r>
          </w:p>
        </w:tc>
        <w:tc>
          <w:tcPr>
            <w:tcW w:w="1117" w:type="dxa"/>
          </w:tcPr>
          <w:p w14:paraId="530A8784" w14:textId="77777777" w:rsidR="000346AA" w:rsidRPr="000971B9" w:rsidRDefault="000346AA" w:rsidP="000346AA">
            <w:pPr>
              <w:jc w:val="right"/>
              <w:rPr>
                <w:rFonts w:ascii="Arial" w:hAnsi="Arial" w:cs="Arial"/>
                <w:sz w:val="24"/>
                <w:szCs w:val="24"/>
              </w:rPr>
            </w:pPr>
          </w:p>
        </w:tc>
        <w:tc>
          <w:tcPr>
            <w:tcW w:w="1271" w:type="dxa"/>
          </w:tcPr>
          <w:p w14:paraId="55FDA500" w14:textId="77777777" w:rsidR="000346AA" w:rsidRPr="000971B9" w:rsidRDefault="000346AA" w:rsidP="000346AA">
            <w:pPr>
              <w:jc w:val="right"/>
              <w:rPr>
                <w:rFonts w:ascii="Arial" w:hAnsi="Arial" w:cs="Arial"/>
                <w:sz w:val="24"/>
                <w:szCs w:val="24"/>
              </w:rPr>
            </w:pPr>
          </w:p>
        </w:tc>
      </w:tr>
      <w:tr w:rsidR="000346AA" w:rsidRPr="000971B9" w14:paraId="3B603C2B" w14:textId="77777777" w:rsidTr="000346AA">
        <w:tc>
          <w:tcPr>
            <w:tcW w:w="2739" w:type="dxa"/>
          </w:tcPr>
          <w:p w14:paraId="3A24DED8" w14:textId="77777777" w:rsidR="000346AA" w:rsidRPr="000971B9" w:rsidRDefault="000346AA" w:rsidP="000346AA">
            <w:pPr>
              <w:jc w:val="left"/>
              <w:rPr>
                <w:rFonts w:ascii="Arial" w:hAnsi="Arial" w:cs="Arial"/>
                <w:sz w:val="24"/>
                <w:szCs w:val="24"/>
              </w:rPr>
            </w:pPr>
            <w:r w:rsidRPr="000971B9">
              <w:rPr>
                <w:rFonts w:ascii="Arial" w:hAnsi="Arial" w:cs="Arial"/>
                <w:sz w:val="24"/>
                <w:szCs w:val="24"/>
              </w:rPr>
              <w:t>Adjusted basic EPS</w:t>
            </w:r>
          </w:p>
        </w:tc>
        <w:tc>
          <w:tcPr>
            <w:tcW w:w="1330" w:type="dxa"/>
          </w:tcPr>
          <w:p w14:paraId="3385E7E6" w14:textId="77777777" w:rsidR="000346AA" w:rsidRPr="000971B9" w:rsidRDefault="000346AA" w:rsidP="000346AA">
            <w:pPr>
              <w:jc w:val="right"/>
              <w:rPr>
                <w:rFonts w:ascii="Arial" w:hAnsi="Arial" w:cs="Arial"/>
                <w:sz w:val="24"/>
                <w:szCs w:val="24"/>
              </w:rPr>
            </w:pPr>
            <w:r>
              <w:rPr>
                <w:rFonts w:ascii="Arial" w:hAnsi="Arial" w:cs="Arial"/>
                <w:sz w:val="24"/>
                <w:szCs w:val="24"/>
              </w:rPr>
              <w:t>20.9p</w:t>
            </w:r>
          </w:p>
        </w:tc>
        <w:tc>
          <w:tcPr>
            <w:tcW w:w="1329" w:type="dxa"/>
          </w:tcPr>
          <w:p w14:paraId="331E3DD2" w14:textId="77777777" w:rsidR="000346AA" w:rsidRPr="00686158" w:rsidRDefault="000346AA" w:rsidP="000346AA">
            <w:pPr>
              <w:jc w:val="right"/>
              <w:rPr>
                <w:rFonts w:ascii="Arial" w:hAnsi="Arial" w:cs="Arial"/>
                <w:sz w:val="24"/>
                <w:szCs w:val="24"/>
              </w:rPr>
            </w:pPr>
            <w:r w:rsidRPr="00686158">
              <w:rPr>
                <w:rFonts w:ascii="Arial" w:hAnsi="Arial" w:cs="Arial"/>
                <w:sz w:val="24"/>
                <w:szCs w:val="24"/>
              </w:rPr>
              <w:t>2</w:t>
            </w:r>
            <w:r>
              <w:rPr>
                <w:rFonts w:ascii="Arial" w:hAnsi="Arial" w:cs="Arial"/>
                <w:sz w:val="24"/>
                <w:szCs w:val="24"/>
              </w:rPr>
              <w:t>2</w:t>
            </w:r>
            <w:r w:rsidRPr="00686158">
              <w:rPr>
                <w:rFonts w:ascii="Arial" w:hAnsi="Arial" w:cs="Arial"/>
                <w:sz w:val="24"/>
                <w:szCs w:val="24"/>
              </w:rPr>
              <w:t>.</w:t>
            </w:r>
            <w:r>
              <w:rPr>
                <w:rFonts w:ascii="Arial" w:hAnsi="Arial" w:cs="Arial"/>
                <w:sz w:val="24"/>
                <w:szCs w:val="24"/>
              </w:rPr>
              <w:t>8</w:t>
            </w:r>
            <w:r w:rsidRPr="00686158">
              <w:rPr>
                <w:rFonts w:ascii="Arial" w:hAnsi="Arial" w:cs="Arial"/>
                <w:sz w:val="24"/>
                <w:szCs w:val="24"/>
              </w:rPr>
              <w:t>p</w:t>
            </w:r>
          </w:p>
        </w:tc>
        <w:tc>
          <w:tcPr>
            <w:tcW w:w="1280" w:type="dxa"/>
            <w:gridSpan w:val="2"/>
          </w:tcPr>
          <w:p w14:paraId="2A365DE8" w14:textId="77777777" w:rsidR="000346AA" w:rsidRPr="000971B9" w:rsidRDefault="000346AA" w:rsidP="000346AA">
            <w:pPr>
              <w:jc w:val="right"/>
              <w:rPr>
                <w:rFonts w:ascii="Arial" w:hAnsi="Arial" w:cs="Arial"/>
                <w:sz w:val="24"/>
                <w:szCs w:val="24"/>
              </w:rPr>
            </w:pPr>
            <w:r>
              <w:rPr>
                <w:rFonts w:ascii="Arial" w:hAnsi="Arial" w:cs="Arial"/>
                <w:sz w:val="24"/>
                <w:szCs w:val="24"/>
              </w:rPr>
              <w:t>(8.3)</w:t>
            </w:r>
            <w:r w:rsidRPr="000971B9">
              <w:rPr>
                <w:rFonts w:ascii="Arial" w:hAnsi="Arial" w:cs="Arial"/>
                <w:sz w:val="24"/>
                <w:szCs w:val="24"/>
              </w:rPr>
              <w:t>%</w:t>
            </w:r>
          </w:p>
        </w:tc>
        <w:tc>
          <w:tcPr>
            <w:tcW w:w="1117" w:type="dxa"/>
          </w:tcPr>
          <w:p w14:paraId="02BD651A" w14:textId="77777777" w:rsidR="000346AA" w:rsidRPr="000971B9" w:rsidRDefault="000346AA" w:rsidP="000346AA">
            <w:pPr>
              <w:jc w:val="right"/>
              <w:rPr>
                <w:rFonts w:ascii="Arial" w:hAnsi="Arial" w:cs="Arial"/>
                <w:sz w:val="24"/>
                <w:szCs w:val="24"/>
              </w:rPr>
            </w:pPr>
          </w:p>
        </w:tc>
        <w:tc>
          <w:tcPr>
            <w:tcW w:w="1271" w:type="dxa"/>
          </w:tcPr>
          <w:p w14:paraId="36DC456D" w14:textId="77777777" w:rsidR="000346AA" w:rsidRPr="000971B9" w:rsidRDefault="000346AA" w:rsidP="000346AA">
            <w:pPr>
              <w:jc w:val="right"/>
              <w:rPr>
                <w:rFonts w:ascii="Arial" w:hAnsi="Arial" w:cs="Arial"/>
                <w:sz w:val="24"/>
                <w:szCs w:val="24"/>
              </w:rPr>
            </w:pPr>
          </w:p>
        </w:tc>
      </w:tr>
      <w:tr w:rsidR="000346AA" w:rsidRPr="000971B9" w14:paraId="7EBDCCC3" w14:textId="77777777" w:rsidTr="000346AA">
        <w:tc>
          <w:tcPr>
            <w:tcW w:w="2739" w:type="dxa"/>
          </w:tcPr>
          <w:p w14:paraId="75F118BB" w14:textId="77777777" w:rsidR="000346AA" w:rsidRPr="000971B9" w:rsidRDefault="000346AA" w:rsidP="000346AA">
            <w:pPr>
              <w:jc w:val="left"/>
              <w:rPr>
                <w:rFonts w:ascii="Arial" w:hAnsi="Arial" w:cs="Arial"/>
                <w:sz w:val="24"/>
                <w:szCs w:val="24"/>
              </w:rPr>
            </w:pPr>
            <w:r w:rsidRPr="000971B9">
              <w:rPr>
                <w:rFonts w:ascii="Arial" w:hAnsi="Arial" w:cs="Arial"/>
                <w:sz w:val="24"/>
                <w:szCs w:val="24"/>
              </w:rPr>
              <w:t>Full year dividend</w:t>
            </w:r>
          </w:p>
        </w:tc>
        <w:tc>
          <w:tcPr>
            <w:tcW w:w="1330" w:type="dxa"/>
          </w:tcPr>
          <w:p w14:paraId="3D4EB957" w14:textId="48062A09" w:rsidR="000346AA" w:rsidRPr="000971B9" w:rsidDel="006C3892" w:rsidRDefault="00124A9D" w:rsidP="00912B38">
            <w:pPr>
              <w:jc w:val="right"/>
              <w:rPr>
                <w:rFonts w:ascii="Arial" w:hAnsi="Arial" w:cs="Arial"/>
                <w:sz w:val="24"/>
                <w:szCs w:val="24"/>
              </w:rPr>
            </w:pPr>
            <w:r>
              <w:rPr>
                <w:rFonts w:ascii="Arial" w:hAnsi="Arial" w:cs="Arial"/>
                <w:sz w:val="24"/>
                <w:szCs w:val="24"/>
              </w:rPr>
              <w:t>10.0</w:t>
            </w:r>
            <w:r w:rsidR="000346AA" w:rsidRPr="000971B9">
              <w:rPr>
                <w:rFonts w:ascii="Arial" w:hAnsi="Arial" w:cs="Arial"/>
                <w:sz w:val="24"/>
                <w:szCs w:val="24"/>
              </w:rPr>
              <w:t>p</w:t>
            </w:r>
          </w:p>
        </w:tc>
        <w:tc>
          <w:tcPr>
            <w:tcW w:w="1329" w:type="dxa"/>
          </w:tcPr>
          <w:p w14:paraId="10291EBE" w14:textId="77777777" w:rsidR="000346AA" w:rsidRPr="00686158" w:rsidDel="006C3892" w:rsidRDefault="000346AA" w:rsidP="000346AA">
            <w:pPr>
              <w:jc w:val="right"/>
              <w:rPr>
                <w:rFonts w:ascii="Arial" w:hAnsi="Arial" w:cs="Arial"/>
                <w:sz w:val="24"/>
                <w:szCs w:val="24"/>
              </w:rPr>
            </w:pPr>
            <w:r w:rsidRPr="00686158">
              <w:rPr>
                <w:rFonts w:ascii="Arial" w:hAnsi="Arial" w:cs="Arial"/>
                <w:sz w:val="24"/>
                <w:szCs w:val="24"/>
              </w:rPr>
              <w:t>9.9p</w:t>
            </w:r>
          </w:p>
        </w:tc>
        <w:tc>
          <w:tcPr>
            <w:tcW w:w="1280" w:type="dxa"/>
            <w:gridSpan w:val="2"/>
          </w:tcPr>
          <w:p w14:paraId="148D143A" w14:textId="7AB8A3EF" w:rsidR="000346AA" w:rsidRPr="000971B9" w:rsidDel="006C3892" w:rsidRDefault="000346AA" w:rsidP="00912B38">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1.0</w:t>
            </w:r>
            <w:r w:rsidRPr="000971B9">
              <w:rPr>
                <w:rFonts w:ascii="Arial" w:hAnsi="Arial" w:cs="Arial"/>
                <w:sz w:val="24"/>
                <w:szCs w:val="24"/>
              </w:rPr>
              <w:t>%</w:t>
            </w:r>
          </w:p>
        </w:tc>
        <w:tc>
          <w:tcPr>
            <w:tcW w:w="1117" w:type="dxa"/>
          </w:tcPr>
          <w:p w14:paraId="034DA734" w14:textId="77777777" w:rsidR="000346AA" w:rsidRPr="000971B9" w:rsidRDefault="000346AA" w:rsidP="000346AA">
            <w:pPr>
              <w:jc w:val="right"/>
              <w:rPr>
                <w:rFonts w:ascii="Arial" w:hAnsi="Arial" w:cs="Arial"/>
                <w:sz w:val="24"/>
                <w:szCs w:val="24"/>
              </w:rPr>
            </w:pPr>
          </w:p>
        </w:tc>
        <w:tc>
          <w:tcPr>
            <w:tcW w:w="1271" w:type="dxa"/>
          </w:tcPr>
          <w:p w14:paraId="551416DC" w14:textId="77777777" w:rsidR="000346AA" w:rsidRPr="000971B9" w:rsidRDefault="000346AA" w:rsidP="000346AA">
            <w:pPr>
              <w:jc w:val="right"/>
              <w:rPr>
                <w:rFonts w:ascii="Arial" w:hAnsi="Arial" w:cs="Arial"/>
                <w:sz w:val="24"/>
                <w:szCs w:val="24"/>
              </w:rPr>
            </w:pPr>
          </w:p>
        </w:tc>
      </w:tr>
      <w:tr w:rsidR="000346AA" w:rsidRPr="000971B9" w14:paraId="16FAD29F" w14:textId="77777777" w:rsidTr="000346AA">
        <w:tc>
          <w:tcPr>
            <w:tcW w:w="2739" w:type="dxa"/>
            <w:tcBorders>
              <w:bottom w:val="single" w:sz="4" w:space="0" w:color="auto"/>
            </w:tcBorders>
          </w:tcPr>
          <w:p w14:paraId="526559B0" w14:textId="77777777" w:rsidR="000346AA" w:rsidRPr="000971B9" w:rsidRDefault="000346AA" w:rsidP="000346AA">
            <w:pPr>
              <w:ind w:right="-352"/>
              <w:jc w:val="left"/>
              <w:rPr>
                <w:rFonts w:ascii="Arial" w:hAnsi="Arial" w:cs="Arial"/>
                <w:sz w:val="24"/>
                <w:szCs w:val="24"/>
              </w:rPr>
            </w:pPr>
            <w:r w:rsidRPr="000971B9">
              <w:rPr>
                <w:rFonts w:ascii="Arial" w:hAnsi="Arial" w:cs="Arial"/>
                <w:sz w:val="24"/>
                <w:szCs w:val="24"/>
              </w:rPr>
              <w:t>Net cash*</w:t>
            </w:r>
          </w:p>
        </w:tc>
        <w:tc>
          <w:tcPr>
            <w:tcW w:w="1330" w:type="dxa"/>
            <w:tcBorders>
              <w:bottom w:val="single" w:sz="4" w:space="0" w:color="auto"/>
            </w:tcBorders>
          </w:tcPr>
          <w:p w14:paraId="152E90BA" w14:textId="77777777" w:rsidR="000346AA" w:rsidRPr="000971B9" w:rsidRDefault="000346AA" w:rsidP="000346AA">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329</w:t>
            </w:r>
            <w:r w:rsidRPr="000971B9">
              <w:rPr>
                <w:rFonts w:ascii="Arial" w:hAnsi="Arial" w:cs="Arial"/>
                <w:sz w:val="24"/>
                <w:szCs w:val="24"/>
              </w:rPr>
              <w:t>m</w:t>
            </w:r>
          </w:p>
        </w:tc>
        <w:tc>
          <w:tcPr>
            <w:tcW w:w="1329" w:type="dxa"/>
            <w:tcBorders>
              <w:bottom w:val="single" w:sz="4" w:space="0" w:color="auto"/>
            </w:tcBorders>
          </w:tcPr>
          <w:p w14:paraId="3672F69A" w14:textId="77777777" w:rsidR="000346AA" w:rsidRPr="00686158" w:rsidRDefault="000346AA" w:rsidP="000346AA">
            <w:pPr>
              <w:jc w:val="right"/>
              <w:rPr>
                <w:rFonts w:ascii="Arial" w:hAnsi="Arial" w:cs="Arial"/>
                <w:sz w:val="24"/>
                <w:szCs w:val="24"/>
              </w:rPr>
            </w:pPr>
            <w:r w:rsidRPr="00686158">
              <w:rPr>
                <w:rFonts w:ascii="Arial" w:hAnsi="Arial" w:cs="Arial"/>
                <w:sz w:val="24"/>
                <w:szCs w:val="24"/>
              </w:rPr>
              <w:t>£238m</w:t>
            </w:r>
          </w:p>
        </w:tc>
        <w:tc>
          <w:tcPr>
            <w:tcW w:w="1280" w:type="dxa"/>
            <w:gridSpan w:val="2"/>
            <w:tcBorders>
              <w:bottom w:val="single" w:sz="4" w:space="0" w:color="auto"/>
            </w:tcBorders>
          </w:tcPr>
          <w:p w14:paraId="736B5346" w14:textId="77777777" w:rsidR="000346AA" w:rsidRPr="000971B9" w:rsidRDefault="000346AA" w:rsidP="000346AA">
            <w:pPr>
              <w:jc w:val="right"/>
              <w:rPr>
                <w:rFonts w:ascii="Arial" w:hAnsi="Arial" w:cs="Arial"/>
                <w:sz w:val="24"/>
                <w:szCs w:val="24"/>
              </w:rPr>
            </w:pPr>
            <w:r w:rsidRPr="000971B9">
              <w:rPr>
                <w:rFonts w:ascii="Arial" w:hAnsi="Arial" w:cs="Arial"/>
                <w:sz w:val="24"/>
                <w:szCs w:val="24"/>
              </w:rPr>
              <w:t>n/a</w:t>
            </w:r>
          </w:p>
        </w:tc>
        <w:tc>
          <w:tcPr>
            <w:tcW w:w="1117" w:type="dxa"/>
            <w:tcBorders>
              <w:bottom w:val="single" w:sz="4" w:space="0" w:color="auto"/>
            </w:tcBorders>
          </w:tcPr>
          <w:p w14:paraId="7766A2C1" w14:textId="77777777" w:rsidR="000346AA" w:rsidRPr="000971B9" w:rsidRDefault="000346AA" w:rsidP="000346AA">
            <w:pPr>
              <w:jc w:val="right"/>
              <w:rPr>
                <w:rFonts w:ascii="Arial" w:hAnsi="Arial" w:cs="Arial"/>
                <w:sz w:val="24"/>
                <w:szCs w:val="24"/>
              </w:rPr>
            </w:pPr>
          </w:p>
        </w:tc>
        <w:tc>
          <w:tcPr>
            <w:tcW w:w="1271" w:type="dxa"/>
            <w:tcBorders>
              <w:bottom w:val="single" w:sz="4" w:space="0" w:color="auto"/>
            </w:tcBorders>
          </w:tcPr>
          <w:p w14:paraId="377ECFE8" w14:textId="77777777" w:rsidR="000346AA" w:rsidRPr="000971B9" w:rsidRDefault="000346AA" w:rsidP="000346AA">
            <w:pPr>
              <w:jc w:val="right"/>
              <w:rPr>
                <w:rFonts w:ascii="Arial" w:hAnsi="Arial" w:cs="Arial"/>
                <w:sz w:val="24"/>
                <w:szCs w:val="24"/>
              </w:rPr>
            </w:pPr>
          </w:p>
        </w:tc>
      </w:tr>
    </w:tbl>
    <w:p w14:paraId="2F6EE159" w14:textId="77777777" w:rsidR="000346AA" w:rsidRDefault="000346AA" w:rsidP="000346AA">
      <w:pPr>
        <w:jc w:val="left"/>
        <w:rPr>
          <w:rFonts w:ascii="Arial" w:hAnsi="Arial" w:cs="Arial"/>
          <w:sz w:val="18"/>
          <w:szCs w:val="18"/>
        </w:rPr>
      </w:pPr>
      <w:r>
        <w:rPr>
          <w:rFonts w:ascii="Arial" w:hAnsi="Arial" w:cs="Arial"/>
          <w:vanish/>
          <w:sz w:val="18"/>
          <w:szCs w:val="18"/>
        </w:rPr>
        <w:cr/>
        <w:t xml:space="preserve">August 2014ed 1ax profit []ies, </w:t>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Pr>
          <w:rFonts w:ascii="Arial" w:hAnsi="Arial" w:cs="Arial"/>
          <w:vanish/>
          <w:sz w:val="18"/>
          <w:szCs w:val="18"/>
        </w:rPr>
        <w:pgNum/>
      </w:r>
      <w:r w:rsidRPr="00310C83">
        <w:rPr>
          <w:rFonts w:ascii="Arial" w:hAnsi="Arial" w:cs="Arial"/>
          <w:sz w:val="18"/>
          <w:szCs w:val="18"/>
        </w:rPr>
        <w:t>*Throughout this release ‘*’ indicates</w:t>
      </w:r>
      <w:r>
        <w:rPr>
          <w:rFonts w:ascii="Arial" w:hAnsi="Arial" w:cs="Arial"/>
          <w:sz w:val="18"/>
          <w:szCs w:val="18"/>
        </w:rPr>
        <w:t xml:space="preserve"> the</w:t>
      </w:r>
      <w:r w:rsidRPr="00310C83">
        <w:rPr>
          <w:rFonts w:ascii="Arial" w:hAnsi="Arial" w:cs="Arial"/>
          <w:sz w:val="18"/>
          <w:szCs w:val="18"/>
        </w:rPr>
        <w:t xml:space="preserve"> </w:t>
      </w:r>
      <w:r>
        <w:rPr>
          <w:rFonts w:ascii="Arial" w:hAnsi="Arial" w:cs="Arial"/>
          <w:sz w:val="18"/>
          <w:szCs w:val="18"/>
        </w:rPr>
        <w:t xml:space="preserve">first instance of </w:t>
      </w:r>
      <w:r w:rsidRPr="00310C83">
        <w:rPr>
          <w:rFonts w:ascii="Arial" w:hAnsi="Arial" w:cs="Arial"/>
          <w:sz w:val="18"/>
          <w:szCs w:val="18"/>
        </w:rPr>
        <w:t>term</w:t>
      </w:r>
      <w:r>
        <w:rPr>
          <w:rFonts w:ascii="Arial" w:hAnsi="Arial" w:cs="Arial"/>
          <w:sz w:val="18"/>
          <w:szCs w:val="18"/>
        </w:rPr>
        <w:t>s</w:t>
      </w:r>
      <w:r w:rsidRPr="00310C83">
        <w:rPr>
          <w:rFonts w:ascii="Arial" w:hAnsi="Arial" w:cs="Arial"/>
          <w:sz w:val="18"/>
          <w:szCs w:val="18"/>
        </w:rPr>
        <w:t xml:space="preserve"> defined in</w:t>
      </w:r>
      <w:r>
        <w:rPr>
          <w:rFonts w:ascii="Arial" w:hAnsi="Arial" w:cs="Arial"/>
          <w:sz w:val="18"/>
          <w:szCs w:val="18"/>
        </w:rPr>
        <w:t xml:space="preserve"> </w:t>
      </w:r>
      <w:r w:rsidRPr="00310C83">
        <w:rPr>
          <w:rFonts w:ascii="Arial" w:hAnsi="Arial" w:cs="Arial"/>
          <w:sz w:val="18"/>
          <w:szCs w:val="18"/>
        </w:rPr>
        <w:t xml:space="preserve">Section 5 </w:t>
      </w:r>
      <w:r>
        <w:rPr>
          <w:rFonts w:ascii="Arial" w:hAnsi="Arial" w:cs="Arial"/>
          <w:sz w:val="18"/>
          <w:szCs w:val="18"/>
        </w:rPr>
        <w:t xml:space="preserve">‘Glossary’ </w:t>
      </w:r>
      <w:r w:rsidRPr="00310C83">
        <w:rPr>
          <w:rFonts w:ascii="Arial" w:hAnsi="Arial" w:cs="Arial"/>
          <w:sz w:val="18"/>
          <w:szCs w:val="18"/>
        </w:rPr>
        <w:t xml:space="preserve">of this </w:t>
      </w:r>
      <w:r>
        <w:rPr>
          <w:rFonts w:ascii="Arial" w:hAnsi="Arial" w:cs="Arial"/>
          <w:sz w:val="18"/>
          <w:szCs w:val="18"/>
        </w:rPr>
        <w:t>announcement</w:t>
      </w:r>
      <w:r w:rsidRPr="00310C83">
        <w:rPr>
          <w:rFonts w:ascii="Arial" w:hAnsi="Arial" w:cs="Arial"/>
          <w:sz w:val="18"/>
          <w:szCs w:val="18"/>
        </w:rPr>
        <w:t>.</w:t>
      </w:r>
    </w:p>
    <w:p w14:paraId="5D120D82" w14:textId="77777777" w:rsidR="000346AA" w:rsidRPr="000971B9" w:rsidRDefault="000346AA" w:rsidP="00315200">
      <w:pPr>
        <w:jc w:val="left"/>
        <w:rPr>
          <w:rFonts w:ascii="Arial" w:hAnsi="Arial" w:cs="Arial"/>
          <w:b/>
          <w:bCs/>
          <w:sz w:val="24"/>
          <w:szCs w:val="24"/>
          <w:u w:val="single"/>
        </w:rPr>
      </w:pPr>
    </w:p>
    <w:p w14:paraId="5A837A83" w14:textId="77777777" w:rsidR="008C5B02" w:rsidRPr="006C2C39" w:rsidRDefault="00C413D0">
      <w:pPr>
        <w:jc w:val="left"/>
        <w:rPr>
          <w:rFonts w:ascii="Arial" w:hAnsi="Arial" w:cs="Arial"/>
          <w:b/>
          <w:bCs/>
          <w:sz w:val="24"/>
          <w:szCs w:val="24"/>
          <w:highlight w:val="yellow"/>
          <w:u w:val="single"/>
        </w:rPr>
      </w:pPr>
      <w:r w:rsidRPr="006C2C39">
        <w:rPr>
          <w:rFonts w:ascii="Arial" w:hAnsi="Arial" w:cs="Arial"/>
          <w:b/>
          <w:bCs/>
          <w:sz w:val="24"/>
          <w:szCs w:val="24"/>
          <w:u w:val="single"/>
        </w:rPr>
        <w:t>2014/15 highlights</w:t>
      </w:r>
    </w:p>
    <w:p w14:paraId="00FFCF15" w14:textId="42A797A2" w:rsidR="00C413D0" w:rsidRDefault="00C413D0" w:rsidP="006C2C39">
      <w:pPr>
        <w:pStyle w:val="ListParagraph"/>
        <w:numPr>
          <w:ilvl w:val="0"/>
          <w:numId w:val="32"/>
        </w:numPr>
        <w:jc w:val="left"/>
        <w:rPr>
          <w:rFonts w:ascii="Arial" w:hAnsi="Arial" w:cs="Arial"/>
          <w:bCs/>
          <w:sz w:val="24"/>
          <w:szCs w:val="24"/>
        </w:rPr>
      </w:pPr>
      <w:r w:rsidRPr="006C2C39">
        <w:rPr>
          <w:rFonts w:ascii="Arial" w:hAnsi="Arial" w:cs="Arial"/>
          <w:bCs/>
          <w:sz w:val="24"/>
          <w:szCs w:val="24"/>
        </w:rPr>
        <w:t xml:space="preserve">Total sales in constant currencies </w:t>
      </w:r>
      <w:r w:rsidR="00FD168D">
        <w:rPr>
          <w:rFonts w:ascii="Arial" w:hAnsi="Arial" w:cs="Arial"/>
          <w:bCs/>
          <w:sz w:val="24"/>
          <w:szCs w:val="24"/>
        </w:rPr>
        <w:t>up</w:t>
      </w:r>
      <w:r w:rsidRPr="006C2C39">
        <w:rPr>
          <w:rFonts w:ascii="Arial" w:hAnsi="Arial" w:cs="Arial"/>
          <w:bCs/>
          <w:sz w:val="24"/>
          <w:szCs w:val="24"/>
        </w:rPr>
        <w:t xml:space="preserve"> 2.9% (France -1</w:t>
      </w:r>
      <w:r w:rsidR="00FD168D">
        <w:rPr>
          <w:rFonts w:ascii="Arial" w:hAnsi="Arial" w:cs="Arial"/>
          <w:bCs/>
          <w:sz w:val="24"/>
          <w:szCs w:val="24"/>
        </w:rPr>
        <w:t>.0</w:t>
      </w:r>
      <w:r w:rsidRPr="006C2C39">
        <w:rPr>
          <w:rFonts w:ascii="Arial" w:hAnsi="Arial" w:cs="Arial"/>
          <w:bCs/>
          <w:sz w:val="24"/>
          <w:szCs w:val="24"/>
        </w:rPr>
        <w:t>%, UK &amp; Ireland +5.5%, Other International +5</w:t>
      </w:r>
      <w:r w:rsidR="00FD168D">
        <w:rPr>
          <w:rFonts w:ascii="Arial" w:hAnsi="Arial" w:cs="Arial"/>
          <w:bCs/>
          <w:sz w:val="24"/>
          <w:szCs w:val="24"/>
        </w:rPr>
        <w:t>.0</w:t>
      </w:r>
      <w:r w:rsidRPr="006C2C39">
        <w:rPr>
          <w:rFonts w:ascii="Arial" w:hAnsi="Arial" w:cs="Arial"/>
          <w:bCs/>
          <w:sz w:val="24"/>
          <w:szCs w:val="24"/>
        </w:rPr>
        <w:t>%)</w:t>
      </w:r>
    </w:p>
    <w:p w14:paraId="70B803C9" w14:textId="0A7F09DE" w:rsidR="00372FF1" w:rsidRDefault="00C413D0" w:rsidP="006C2C39">
      <w:pPr>
        <w:pStyle w:val="ListParagraph"/>
        <w:numPr>
          <w:ilvl w:val="0"/>
          <w:numId w:val="32"/>
        </w:numPr>
        <w:jc w:val="left"/>
        <w:rPr>
          <w:rFonts w:ascii="Arial" w:hAnsi="Arial" w:cs="Arial"/>
          <w:bCs/>
          <w:sz w:val="24"/>
          <w:szCs w:val="24"/>
        </w:rPr>
      </w:pPr>
      <w:r>
        <w:rPr>
          <w:rFonts w:ascii="Arial" w:hAnsi="Arial" w:cs="Arial"/>
          <w:bCs/>
          <w:sz w:val="24"/>
          <w:szCs w:val="24"/>
        </w:rPr>
        <w:t xml:space="preserve">Adjusted pre-tax profit of £675m impacted by a </w:t>
      </w:r>
      <w:r w:rsidR="006631F5">
        <w:rPr>
          <w:rFonts w:ascii="Arial" w:hAnsi="Arial" w:cs="Arial"/>
          <w:bCs/>
          <w:sz w:val="24"/>
          <w:szCs w:val="24"/>
        </w:rPr>
        <w:t xml:space="preserve">slower </w:t>
      </w:r>
      <w:r>
        <w:rPr>
          <w:rFonts w:ascii="Arial" w:hAnsi="Arial" w:cs="Arial"/>
          <w:bCs/>
          <w:sz w:val="24"/>
          <w:szCs w:val="24"/>
        </w:rPr>
        <w:t>m</w:t>
      </w:r>
      <w:r w:rsidR="006631F5">
        <w:rPr>
          <w:rFonts w:ascii="Arial" w:hAnsi="Arial" w:cs="Arial"/>
          <w:bCs/>
          <w:sz w:val="24"/>
          <w:szCs w:val="24"/>
        </w:rPr>
        <w:t xml:space="preserve">arket </w:t>
      </w:r>
      <w:r>
        <w:rPr>
          <w:rFonts w:ascii="Arial" w:hAnsi="Arial" w:cs="Arial"/>
          <w:bCs/>
          <w:sz w:val="24"/>
          <w:szCs w:val="24"/>
        </w:rPr>
        <w:t>in France since summer 2014</w:t>
      </w:r>
      <w:r w:rsidR="000C10EC">
        <w:rPr>
          <w:rFonts w:ascii="Arial" w:hAnsi="Arial" w:cs="Arial"/>
          <w:bCs/>
          <w:sz w:val="24"/>
          <w:szCs w:val="24"/>
        </w:rPr>
        <w:t xml:space="preserve">, £34m adverse foreign exchange movements on the translation of non-sterling profits </w:t>
      </w:r>
      <w:r>
        <w:rPr>
          <w:rFonts w:ascii="Arial" w:hAnsi="Arial" w:cs="Arial"/>
          <w:bCs/>
          <w:sz w:val="24"/>
          <w:szCs w:val="24"/>
        </w:rPr>
        <w:t xml:space="preserve">and </w:t>
      </w:r>
      <w:r w:rsidRPr="000C10EC">
        <w:rPr>
          <w:rFonts w:ascii="Arial" w:hAnsi="Arial" w:cs="Arial"/>
          <w:bCs/>
          <w:sz w:val="24"/>
          <w:szCs w:val="24"/>
        </w:rPr>
        <w:t>£2</w:t>
      </w:r>
      <w:r w:rsidR="000C10EC" w:rsidRPr="006C2C39">
        <w:rPr>
          <w:rFonts w:ascii="Arial" w:hAnsi="Arial" w:cs="Arial"/>
          <w:bCs/>
          <w:sz w:val="24"/>
          <w:szCs w:val="24"/>
        </w:rPr>
        <w:t>2</w:t>
      </w:r>
      <w:r w:rsidRPr="000C10EC">
        <w:rPr>
          <w:rFonts w:ascii="Arial" w:hAnsi="Arial" w:cs="Arial"/>
          <w:bCs/>
          <w:sz w:val="24"/>
          <w:szCs w:val="24"/>
        </w:rPr>
        <w:t>m</w:t>
      </w:r>
      <w:r>
        <w:rPr>
          <w:rFonts w:ascii="Arial" w:hAnsi="Arial" w:cs="Arial"/>
          <w:bCs/>
          <w:sz w:val="24"/>
          <w:szCs w:val="24"/>
        </w:rPr>
        <w:t xml:space="preserve"> </w:t>
      </w:r>
      <w:r w:rsidR="00AD4500">
        <w:rPr>
          <w:rFonts w:ascii="Arial" w:hAnsi="Arial" w:cs="Arial"/>
          <w:bCs/>
          <w:sz w:val="24"/>
          <w:szCs w:val="24"/>
        </w:rPr>
        <w:t>c</w:t>
      </w:r>
      <w:r w:rsidR="00E04676">
        <w:rPr>
          <w:rFonts w:ascii="Arial" w:hAnsi="Arial" w:cs="Arial"/>
          <w:bCs/>
          <w:sz w:val="24"/>
          <w:szCs w:val="24"/>
        </w:rPr>
        <w:t>harges</w:t>
      </w:r>
      <w:r w:rsidR="00AD4500">
        <w:rPr>
          <w:rFonts w:ascii="Arial" w:hAnsi="Arial" w:cs="Arial"/>
          <w:bCs/>
          <w:sz w:val="24"/>
          <w:szCs w:val="24"/>
        </w:rPr>
        <w:t xml:space="preserve"> for </w:t>
      </w:r>
      <w:r>
        <w:rPr>
          <w:rFonts w:ascii="Arial" w:hAnsi="Arial" w:cs="Arial"/>
          <w:bCs/>
          <w:sz w:val="24"/>
          <w:szCs w:val="24"/>
        </w:rPr>
        <w:t>new country development activity</w:t>
      </w:r>
    </w:p>
    <w:p w14:paraId="5E7627D6" w14:textId="3E3EC113" w:rsidR="00372FF1" w:rsidRDefault="00AD4500" w:rsidP="006C2C39">
      <w:pPr>
        <w:pStyle w:val="ListParagraph"/>
        <w:numPr>
          <w:ilvl w:val="0"/>
          <w:numId w:val="32"/>
        </w:numPr>
        <w:jc w:val="left"/>
        <w:rPr>
          <w:rFonts w:ascii="Arial" w:hAnsi="Arial" w:cs="Arial"/>
          <w:bCs/>
          <w:sz w:val="24"/>
          <w:szCs w:val="24"/>
        </w:rPr>
      </w:pPr>
      <w:r>
        <w:rPr>
          <w:rFonts w:ascii="Arial" w:hAnsi="Arial" w:cs="Arial"/>
          <w:bCs/>
          <w:sz w:val="24"/>
          <w:szCs w:val="24"/>
        </w:rPr>
        <w:t>Year end n</w:t>
      </w:r>
      <w:r w:rsidR="00372FF1">
        <w:rPr>
          <w:rFonts w:ascii="Arial" w:hAnsi="Arial" w:cs="Arial"/>
          <w:bCs/>
          <w:sz w:val="24"/>
          <w:szCs w:val="24"/>
        </w:rPr>
        <w:t>et cash of £32</w:t>
      </w:r>
      <w:r w:rsidR="00057892">
        <w:rPr>
          <w:rFonts w:ascii="Arial" w:hAnsi="Arial" w:cs="Arial"/>
          <w:bCs/>
          <w:sz w:val="24"/>
          <w:szCs w:val="24"/>
        </w:rPr>
        <w:t>9</w:t>
      </w:r>
      <w:r w:rsidR="00372FF1">
        <w:rPr>
          <w:rFonts w:ascii="Arial" w:hAnsi="Arial" w:cs="Arial"/>
          <w:bCs/>
          <w:sz w:val="24"/>
          <w:szCs w:val="24"/>
        </w:rPr>
        <w:t xml:space="preserve">m </w:t>
      </w:r>
      <w:r>
        <w:rPr>
          <w:rFonts w:ascii="Arial" w:hAnsi="Arial" w:cs="Arial"/>
          <w:bCs/>
          <w:sz w:val="24"/>
          <w:szCs w:val="24"/>
        </w:rPr>
        <w:t xml:space="preserve">is </w:t>
      </w:r>
      <w:r w:rsidR="00372FF1">
        <w:rPr>
          <w:rFonts w:ascii="Arial" w:hAnsi="Arial" w:cs="Arial"/>
          <w:bCs/>
          <w:sz w:val="24"/>
          <w:szCs w:val="24"/>
        </w:rPr>
        <w:t xml:space="preserve">after </w:t>
      </w:r>
      <w:r>
        <w:rPr>
          <w:rFonts w:ascii="Arial" w:hAnsi="Arial" w:cs="Arial"/>
          <w:bCs/>
          <w:sz w:val="24"/>
          <w:szCs w:val="24"/>
        </w:rPr>
        <w:t>£</w:t>
      </w:r>
      <w:r w:rsidR="000C10EC">
        <w:rPr>
          <w:rFonts w:ascii="Arial" w:hAnsi="Arial" w:cs="Arial"/>
          <w:bCs/>
          <w:sz w:val="24"/>
          <w:szCs w:val="24"/>
        </w:rPr>
        <w:t>275m</w:t>
      </w:r>
      <w:r>
        <w:rPr>
          <w:rFonts w:ascii="Arial" w:hAnsi="Arial" w:cs="Arial"/>
          <w:bCs/>
          <w:sz w:val="24"/>
          <w:szCs w:val="24"/>
        </w:rPr>
        <w:t xml:space="preserve"> capital investment and </w:t>
      </w:r>
      <w:r w:rsidR="006631F5">
        <w:rPr>
          <w:rFonts w:ascii="Arial" w:hAnsi="Arial" w:cs="Arial"/>
          <w:bCs/>
          <w:sz w:val="24"/>
          <w:szCs w:val="24"/>
        </w:rPr>
        <w:t xml:space="preserve">£434m </w:t>
      </w:r>
      <w:r w:rsidR="00057892">
        <w:rPr>
          <w:rFonts w:ascii="Arial" w:hAnsi="Arial" w:cs="Arial"/>
          <w:bCs/>
          <w:sz w:val="24"/>
          <w:szCs w:val="24"/>
        </w:rPr>
        <w:t xml:space="preserve">of </w:t>
      </w:r>
      <w:r w:rsidR="006631F5">
        <w:rPr>
          <w:rFonts w:ascii="Arial" w:hAnsi="Arial" w:cs="Arial"/>
          <w:bCs/>
          <w:sz w:val="24"/>
          <w:szCs w:val="24"/>
        </w:rPr>
        <w:t xml:space="preserve">cash returned to </w:t>
      </w:r>
      <w:r w:rsidR="00372FF1">
        <w:rPr>
          <w:rFonts w:ascii="Arial" w:hAnsi="Arial" w:cs="Arial"/>
          <w:bCs/>
          <w:sz w:val="24"/>
          <w:szCs w:val="24"/>
        </w:rPr>
        <w:t xml:space="preserve">shareholders </w:t>
      </w:r>
    </w:p>
    <w:p w14:paraId="75E31ED2" w14:textId="6DB1AF8A" w:rsidR="00C413D0" w:rsidRPr="006C2C39" w:rsidRDefault="00372FF1" w:rsidP="006C2C39">
      <w:pPr>
        <w:pStyle w:val="ListParagraph"/>
        <w:numPr>
          <w:ilvl w:val="0"/>
          <w:numId w:val="32"/>
        </w:numPr>
        <w:jc w:val="left"/>
        <w:rPr>
          <w:rFonts w:ascii="Arial" w:hAnsi="Arial" w:cs="Arial"/>
          <w:bCs/>
          <w:sz w:val="24"/>
          <w:szCs w:val="24"/>
        </w:rPr>
      </w:pPr>
      <w:r>
        <w:rPr>
          <w:rFonts w:ascii="Arial" w:hAnsi="Arial" w:cs="Arial"/>
          <w:bCs/>
          <w:sz w:val="24"/>
          <w:szCs w:val="24"/>
        </w:rPr>
        <w:t>Appoint</w:t>
      </w:r>
      <w:r w:rsidR="00F45AB4">
        <w:rPr>
          <w:rFonts w:ascii="Arial" w:hAnsi="Arial" w:cs="Arial"/>
          <w:bCs/>
          <w:sz w:val="24"/>
          <w:szCs w:val="24"/>
        </w:rPr>
        <w:t xml:space="preserve">ed </w:t>
      </w:r>
      <w:r>
        <w:rPr>
          <w:rFonts w:ascii="Arial" w:hAnsi="Arial" w:cs="Arial"/>
          <w:bCs/>
          <w:sz w:val="24"/>
          <w:szCs w:val="24"/>
        </w:rPr>
        <w:t>new Chief Executive</w:t>
      </w:r>
      <w:r w:rsidR="00F45AB4">
        <w:rPr>
          <w:rFonts w:ascii="Arial" w:hAnsi="Arial" w:cs="Arial"/>
          <w:bCs/>
          <w:sz w:val="24"/>
          <w:szCs w:val="24"/>
        </w:rPr>
        <w:t xml:space="preserve"> </w:t>
      </w:r>
      <w:r w:rsidR="007C47AE">
        <w:rPr>
          <w:rFonts w:ascii="Arial" w:hAnsi="Arial" w:cs="Arial"/>
          <w:bCs/>
          <w:sz w:val="24"/>
          <w:szCs w:val="24"/>
        </w:rPr>
        <w:t xml:space="preserve">Officer </w:t>
      </w:r>
      <w:r w:rsidR="00F45AB4">
        <w:rPr>
          <w:rFonts w:ascii="Arial" w:hAnsi="Arial" w:cs="Arial"/>
          <w:bCs/>
          <w:sz w:val="24"/>
          <w:szCs w:val="24"/>
        </w:rPr>
        <w:t>in December 2014</w:t>
      </w:r>
      <w:r>
        <w:rPr>
          <w:rFonts w:ascii="Arial" w:hAnsi="Arial" w:cs="Arial"/>
          <w:bCs/>
          <w:sz w:val="24"/>
          <w:szCs w:val="24"/>
        </w:rPr>
        <w:t xml:space="preserve">, </w:t>
      </w:r>
      <w:r w:rsidRPr="00184DF4">
        <w:rPr>
          <w:rFonts w:ascii="Arial" w:hAnsi="Arial" w:cs="Arial"/>
          <w:bCs/>
          <w:sz w:val="24"/>
          <w:szCs w:val="24"/>
        </w:rPr>
        <w:t xml:space="preserve">new </w:t>
      </w:r>
      <w:r w:rsidR="006631F5" w:rsidRPr="0056112F">
        <w:rPr>
          <w:rFonts w:ascii="Arial" w:hAnsi="Arial" w:cs="Arial"/>
          <w:bCs/>
          <w:sz w:val="24"/>
          <w:szCs w:val="24"/>
        </w:rPr>
        <w:t>initiatives</w:t>
      </w:r>
      <w:r w:rsidR="000C10EC" w:rsidRPr="00184DF4">
        <w:rPr>
          <w:rFonts w:ascii="Arial" w:hAnsi="Arial" w:cs="Arial"/>
          <w:bCs/>
          <w:sz w:val="24"/>
          <w:szCs w:val="24"/>
        </w:rPr>
        <w:t xml:space="preserve"> </w:t>
      </w:r>
      <w:r w:rsidRPr="00184DF4">
        <w:rPr>
          <w:rFonts w:ascii="Arial" w:hAnsi="Arial" w:cs="Arial"/>
          <w:bCs/>
          <w:sz w:val="24"/>
          <w:szCs w:val="24"/>
        </w:rPr>
        <w:t>underway</w:t>
      </w:r>
      <w:r w:rsidR="00DB3C08">
        <w:rPr>
          <w:rFonts w:ascii="Arial" w:hAnsi="Arial" w:cs="Arial"/>
          <w:bCs/>
          <w:sz w:val="24"/>
          <w:szCs w:val="24"/>
        </w:rPr>
        <w:t xml:space="preserve"> on the journey for ‘ONE’ Kingfisher</w:t>
      </w:r>
      <w:r>
        <w:rPr>
          <w:rFonts w:ascii="Arial" w:hAnsi="Arial" w:cs="Arial"/>
          <w:bCs/>
          <w:sz w:val="24"/>
          <w:szCs w:val="24"/>
        </w:rPr>
        <w:t xml:space="preserve"> </w:t>
      </w:r>
      <w:r w:rsidR="00C413D0">
        <w:rPr>
          <w:rFonts w:ascii="Arial" w:hAnsi="Arial" w:cs="Arial"/>
          <w:bCs/>
          <w:sz w:val="24"/>
          <w:szCs w:val="24"/>
        </w:rPr>
        <w:t xml:space="preserve">   </w:t>
      </w:r>
      <w:r w:rsidR="00C413D0" w:rsidRPr="006C2C39">
        <w:rPr>
          <w:rFonts w:ascii="Arial" w:hAnsi="Arial" w:cs="Arial"/>
          <w:bCs/>
          <w:sz w:val="24"/>
          <w:szCs w:val="24"/>
        </w:rPr>
        <w:t xml:space="preserve"> </w:t>
      </w:r>
    </w:p>
    <w:p w14:paraId="25225594" w14:textId="77777777" w:rsidR="008C5B02" w:rsidRPr="00315200" w:rsidRDefault="008C5B02" w:rsidP="0054624C">
      <w:pPr>
        <w:jc w:val="left"/>
        <w:rPr>
          <w:rFonts w:ascii="Arial" w:hAnsi="Arial" w:cs="Arial"/>
          <w:bCs/>
          <w:sz w:val="24"/>
          <w:szCs w:val="24"/>
        </w:rPr>
      </w:pPr>
    </w:p>
    <w:p w14:paraId="3139C8D6" w14:textId="77777777" w:rsidR="00FD4DC7" w:rsidRPr="0054624C" w:rsidRDefault="00E6151D" w:rsidP="0054624C">
      <w:pPr>
        <w:jc w:val="left"/>
        <w:rPr>
          <w:rFonts w:ascii="Arial" w:hAnsi="Arial" w:cs="Arial"/>
          <w:b/>
          <w:bCs/>
          <w:sz w:val="24"/>
          <w:szCs w:val="24"/>
          <w:u w:val="single"/>
        </w:rPr>
      </w:pPr>
      <w:r>
        <w:rPr>
          <w:rFonts w:ascii="Arial" w:hAnsi="Arial" w:cs="Arial"/>
          <w:b/>
          <w:bCs/>
          <w:sz w:val="24"/>
          <w:szCs w:val="24"/>
          <w:u w:val="single"/>
        </w:rPr>
        <w:t xml:space="preserve">Commenting </w:t>
      </w:r>
      <w:r w:rsidR="00FD4DC7" w:rsidRPr="0054624C">
        <w:rPr>
          <w:rFonts w:ascii="Arial" w:hAnsi="Arial" w:cs="Arial"/>
          <w:b/>
          <w:bCs/>
          <w:sz w:val="24"/>
          <w:szCs w:val="24"/>
          <w:u w:val="single"/>
        </w:rPr>
        <w:t>on the strategic update:</w:t>
      </w:r>
    </w:p>
    <w:p w14:paraId="10DA8AD1" w14:textId="77777777" w:rsidR="00FD4DC7" w:rsidRDefault="00FD4DC7" w:rsidP="00FD4DC7"/>
    <w:p w14:paraId="2B0C3BEF" w14:textId="525B9A8B" w:rsidR="00FD4DC7" w:rsidRPr="000971B9" w:rsidRDefault="00FD4DC7" w:rsidP="00FD4DC7">
      <w:pPr>
        <w:rPr>
          <w:rFonts w:ascii="Arial" w:hAnsi="Arial" w:cs="Arial"/>
          <w:b/>
          <w:bCs/>
          <w:sz w:val="24"/>
          <w:szCs w:val="24"/>
        </w:rPr>
      </w:pPr>
      <w:r w:rsidRPr="008A515C">
        <w:rPr>
          <w:rFonts w:ascii="Arial" w:hAnsi="Arial" w:cs="Arial"/>
          <w:b/>
          <w:sz w:val="24"/>
          <w:szCs w:val="24"/>
        </w:rPr>
        <w:t>Véronique Laury, C</w:t>
      </w:r>
      <w:r>
        <w:rPr>
          <w:rFonts w:ascii="Arial" w:hAnsi="Arial" w:cs="Arial"/>
          <w:b/>
          <w:sz w:val="24"/>
          <w:szCs w:val="24"/>
        </w:rPr>
        <w:t>hief Executive</w:t>
      </w:r>
      <w:r w:rsidR="007C47AE">
        <w:rPr>
          <w:rFonts w:ascii="Arial" w:hAnsi="Arial" w:cs="Arial"/>
          <w:b/>
          <w:sz w:val="24"/>
          <w:szCs w:val="24"/>
        </w:rPr>
        <w:t xml:space="preserve"> Officer</w:t>
      </w:r>
      <w:r w:rsidRPr="008A515C">
        <w:rPr>
          <w:rFonts w:ascii="Arial" w:hAnsi="Arial" w:cs="Arial"/>
          <w:b/>
          <w:sz w:val="24"/>
          <w:szCs w:val="24"/>
        </w:rPr>
        <w:t>, said</w:t>
      </w:r>
      <w:r>
        <w:rPr>
          <w:rFonts w:ascii="Arial" w:hAnsi="Arial" w:cs="Arial"/>
          <w:b/>
          <w:bCs/>
          <w:sz w:val="24"/>
          <w:szCs w:val="24"/>
        </w:rPr>
        <w:t>:</w:t>
      </w:r>
    </w:p>
    <w:p w14:paraId="0F6408A8" w14:textId="77777777" w:rsidR="00FD4DC7" w:rsidRPr="000971B9" w:rsidRDefault="00FD4DC7" w:rsidP="00FD4DC7">
      <w:pPr>
        <w:rPr>
          <w:rFonts w:ascii="Arial" w:hAnsi="Arial" w:cs="Arial"/>
          <w:bCs/>
          <w:sz w:val="24"/>
          <w:szCs w:val="24"/>
        </w:rPr>
      </w:pPr>
    </w:p>
    <w:p w14:paraId="0BACDDCA" w14:textId="2AD60E71" w:rsidR="004149E7" w:rsidRDefault="004149E7" w:rsidP="004149E7">
      <w:pPr>
        <w:jc w:val="left"/>
        <w:rPr>
          <w:rFonts w:ascii="Arial" w:hAnsi="Arial" w:cs="Arial"/>
          <w:sz w:val="24"/>
          <w:szCs w:val="24"/>
        </w:rPr>
      </w:pPr>
      <w:r w:rsidRPr="00FD4DC7">
        <w:rPr>
          <w:rFonts w:ascii="Arial" w:hAnsi="Arial" w:cs="Arial"/>
          <w:bCs/>
          <w:sz w:val="24"/>
          <w:szCs w:val="24"/>
        </w:rPr>
        <w:t>“</w:t>
      </w:r>
      <w:r>
        <w:rPr>
          <w:rFonts w:ascii="Arial" w:hAnsi="Arial" w:cs="Arial"/>
          <w:bCs/>
          <w:sz w:val="24"/>
          <w:szCs w:val="24"/>
        </w:rPr>
        <w:t>H</w:t>
      </w:r>
      <w:r w:rsidRPr="00FD4DC7">
        <w:rPr>
          <w:rFonts w:ascii="Arial" w:hAnsi="Arial" w:cs="Arial"/>
          <w:sz w:val="24"/>
          <w:szCs w:val="24"/>
        </w:rPr>
        <w:t>ome improvement is a great market with huge potentia</w:t>
      </w:r>
      <w:r>
        <w:rPr>
          <w:rFonts w:ascii="Arial" w:hAnsi="Arial" w:cs="Arial"/>
          <w:sz w:val="24"/>
          <w:szCs w:val="24"/>
        </w:rPr>
        <w:t xml:space="preserve">l and </w:t>
      </w:r>
      <w:r w:rsidRPr="00FD4DC7">
        <w:rPr>
          <w:rFonts w:ascii="Arial" w:hAnsi="Arial" w:cs="Arial"/>
          <w:sz w:val="24"/>
          <w:szCs w:val="24"/>
        </w:rPr>
        <w:t xml:space="preserve">Kingfisher has a strong position within it </w:t>
      </w:r>
      <w:r>
        <w:rPr>
          <w:rFonts w:ascii="Arial" w:hAnsi="Arial" w:cs="Arial"/>
          <w:sz w:val="24"/>
          <w:szCs w:val="24"/>
        </w:rPr>
        <w:t xml:space="preserve">with further scope to </w:t>
      </w:r>
      <w:r w:rsidRPr="00FD4DC7">
        <w:rPr>
          <w:rFonts w:ascii="Arial" w:hAnsi="Arial" w:cs="Arial"/>
          <w:sz w:val="24"/>
          <w:szCs w:val="24"/>
        </w:rPr>
        <w:t>grow</w:t>
      </w:r>
      <w:r>
        <w:rPr>
          <w:rFonts w:ascii="Arial" w:hAnsi="Arial" w:cs="Arial"/>
          <w:sz w:val="24"/>
          <w:szCs w:val="24"/>
        </w:rPr>
        <w:t xml:space="preserve"> in a sustainable way. However, it is clear to me that we need to organise ourselves very differently to unlock our potential. This will involve taking what is essentially a locally managed set of businesses and creating instead a single, unified company where customer needs come first. The first step in developing this new organisation is the creation of a new, international leadership team with more focused cross-company roles.  </w:t>
      </w:r>
    </w:p>
    <w:p w14:paraId="01C5502D" w14:textId="77777777" w:rsidR="004149E7" w:rsidRDefault="004149E7" w:rsidP="004149E7">
      <w:pPr>
        <w:jc w:val="left"/>
        <w:rPr>
          <w:rFonts w:ascii="Arial" w:hAnsi="Arial" w:cs="Arial"/>
          <w:sz w:val="24"/>
          <w:szCs w:val="24"/>
        </w:rPr>
      </w:pPr>
    </w:p>
    <w:p w14:paraId="2ED1631C" w14:textId="2DA6BD1D" w:rsidR="004149E7" w:rsidRDefault="004149E7" w:rsidP="00506D26">
      <w:pPr>
        <w:jc w:val="left"/>
        <w:rPr>
          <w:rFonts w:ascii="Arial" w:hAnsi="Arial" w:cs="Arial"/>
          <w:sz w:val="24"/>
          <w:szCs w:val="24"/>
        </w:rPr>
      </w:pPr>
      <w:r w:rsidRPr="00184DF4">
        <w:rPr>
          <w:rFonts w:ascii="Arial" w:hAnsi="Arial" w:cs="Arial"/>
          <w:sz w:val="24"/>
          <w:szCs w:val="24"/>
        </w:rPr>
        <w:t>“We have a lot to do</w:t>
      </w:r>
      <w:r w:rsidR="00A93153">
        <w:rPr>
          <w:rFonts w:ascii="Arial" w:hAnsi="Arial" w:cs="Arial"/>
          <w:sz w:val="24"/>
          <w:szCs w:val="24"/>
        </w:rPr>
        <w:t xml:space="preserve"> and </w:t>
      </w:r>
      <w:r w:rsidRPr="00184DF4">
        <w:rPr>
          <w:rFonts w:ascii="Arial" w:hAnsi="Arial" w:cs="Arial"/>
          <w:sz w:val="24"/>
          <w:szCs w:val="24"/>
        </w:rPr>
        <w:t>we are announcing today a set of first ‘sharp’ decisions which are already underway including</w:t>
      </w:r>
      <w:r w:rsidR="00FC2360">
        <w:rPr>
          <w:rFonts w:ascii="Arial" w:hAnsi="Arial" w:cs="Arial"/>
          <w:sz w:val="24"/>
          <w:szCs w:val="24"/>
        </w:rPr>
        <w:t xml:space="preserve"> the closure of around </w:t>
      </w:r>
      <w:r w:rsidR="00DA44A8" w:rsidRPr="0056112F">
        <w:rPr>
          <w:rFonts w:ascii="Arial" w:hAnsi="Arial" w:cs="Arial"/>
          <w:sz w:val="24"/>
          <w:szCs w:val="24"/>
        </w:rPr>
        <w:t>15% surplus B&amp;Q space (</w:t>
      </w:r>
      <w:r w:rsidR="00C65B79" w:rsidRPr="00E10699">
        <w:rPr>
          <w:rFonts w:ascii="Arial" w:hAnsi="Arial" w:cs="Arial"/>
          <w:sz w:val="24"/>
          <w:szCs w:val="24"/>
        </w:rPr>
        <w:t>c.60 stores</w:t>
      </w:r>
      <w:r w:rsidR="00DA44A8">
        <w:rPr>
          <w:rFonts w:ascii="Arial" w:hAnsi="Arial" w:cs="Arial"/>
          <w:sz w:val="24"/>
          <w:szCs w:val="24"/>
        </w:rPr>
        <w:t>)</w:t>
      </w:r>
      <w:r>
        <w:rPr>
          <w:rFonts w:ascii="Arial" w:hAnsi="Arial" w:cs="Arial"/>
          <w:sz w:val="24"/>
          <w:szCs w:val="24"/>
        </w:rPr>
        <w:t xml:space="preserve"> and our few loss making stores in Europe</w:t>
      </w:r>
      <w:r w:rsidR="005505B9">
        <w:rPr>
          <w:rFonts w:ascii="Arial" w:hAnsi="Arial" w:cs="Arial"/>
          <w:sz w:val="24"/>
          <w:szCs w:val="24"/>
        </w:rPr>
        <w:t xml:space="preserve">, the development of </w:t>
      </w:r>
      <w:r>
        <w:rPr>
          <w:rFonts w:ascii="Arial" w:hAnsi="Arial" w:cs="Arial"/>
          <w:sz w:val="24"/>
          <w:szCs w:val="24"/>
        </w:rPr>
        <w:t>unified garden and bathroom business</w:t>
      </w:r>
      <w:r w:rsidR="00A93153">
        <w:rPr>
          <w:rFonts w:ascii="Arial" w:hAnsi="Arial" w:cs="Arial"/>
          <w:sz w:val="24"/>
          <w:szCs w:val="24"/>
        </w:rPr>
        <w:t>es</w:t>
      </w:r>
      <w:r>
        <w:rPr>
          <w:rFonts w:ascii="Arial" w:hAnsi="Arial" w:cs="Arial"/>
          <w:sz w:val="24"/>
          <w:szCs w:val="24"/>
        </w:rPr>
        <w:t xml:space="preserve"> </w:t>
      </w:r>
      <w:r w:rsidR="005505B9">
        <w:rPr>
          <w:rFonts w:ascii="Arial" w:hAnsi="Arial" w:cs="Arial"/>
          <w:sz w:val="24"/>
          <w:szCs w:val="24"/>
        </w:rPr>
        <w:t xml:space="preserve">and the start of a Big Box </w:t>
      </w:r>
      <w:r>
        <w:rPr>
          <w:rFonts w:ascii="Arial" w:hAnsi="Arial" w:cs="Arial"/>
          <w:sz w:val="24"/>
          <w:szCs w:val="24"/>
        </w:rPr>
        <w:t xml:space="preserve">revitalisation programme </w:t>
      </w:r>
      <w:r w:rsidR="00A93153">
        <w:rPr>
          <w:rFonts w:ascii="Arial" w:hAnsi="Arial" w:cs="Arial"/>
          <w:sz w:val="24"/>
          <w:szCs w:val="24"/>
        </w:rPr>
        <w:t>across Europe</w:t>
      </w:r>
      <w:r w:rsidR="005505B9">
        <w:rPr>
          <w:rFonts w:ascii="Arial" w:hAnsi="Arial" w:cs="Arial"/>
          <w:sz w:val="24"/>
          <w:szCs w:val="24"/>
        </w:rPr>
        <w:t xml:space="preserve">. </w:t>
      </w:r>
    </w:p>
    <w:p w14:paraId="31D3F3FD" w14:textId="77777777" w:rsidR="004149E7" w:rsidRDefault="004149E7" w:rsidP="004149E7">
      <w:pPr>
        <w:jc w:val="left"/>
        <w:rPr>
          <w:rFonts w:ascii="Arial" w:hAnsi="Arial" w:cs="Arial"/>
          <w:sz w:val="24"/>
          <w:szCs w:val="24"/>
        </w:rPr>
      </w:pPr>
    </w:p>
    <w:p w14:paraId="2B4405B1" w14:textId="439DA01F" w:rsidR="004149E7" w:rsidRPr="0054624C" w:rsidRDefault="004149E7" w:rsidP="004149E7">
      <w:pPr>
        <w:jc w:val="left"/>
        <w:rPr>
          <w:rFonts w:ascii="Arial" w:hAnsi="Arial" w:cs="Arial"/>
          <w:sz w:val="24"/>
          <w:szCs w:val="24"/>
        </w:rPr>
      </w:pPr>
      <w:r>
        <w:rPr>
          <w:rFonts w:ascii="Arial" w:hAnsi="Arial" w:cs="Arial"/>
          <w:sz w:val="24"/>
          <w:szCs w:val="24"/>
        </w:rPr>
        <w:t>“In addition, we will be developing our detailed plans for the wider reorganisation of the company as we progress on this exciting journey towards becoming ‘O</w:t>
      </w:r>
      <w:r w:rsidR="00292FDF">
        <w:rPr>
          <w:rFonts w:ascii="Arial" w:hAnsi="Arial" w:cs="Arial"/>
          <w:sz w:val="24"/>
          <w:szCs w:val="24"/>
        </w:rPr>
        <w:t>NE</w:t>
      </w:r>
      <w:r>
        <w:rPr>
          <w:rFonts w:ascii="Arial" w:hAnsi="Arial" w:cs="Arial"/>
          <w:sz w:val="24"/>
          <w:szCs w:val="24"/>
        </w:rPr>
        <w:t xml:space="preserve">’ Kingfisher.” </w:t>
      </w:r>
    </w:p>
    <w:p w14:paraId="4A362A81" w14:textId="77777777" w:rsidR="00A11776" w:rsidRDefault="00A11776" w:rsidP="00FD4DC7">
      <w:pPr>
        <w:jc w:val="left"/>
        <w:rPr>
          <w:rFonts w:ascii="Arial" w:hAnsi="Arial" w:cs="Arial"/>
          <w:bCs/>
          <w:sz w:val="24"/>
          <w:szCs w:val="24"/>
        </w:rPr>
      </w:pPr>
    </w:p>
    <w:p w14:paraId="1B096ADC" w14:textId="77777777" w:rsidR="00A11776" w:rsidRDefault="00A11776" w:rsidP="00FD4DC7">
      <w:pPr>
        <w:jc w:val="left"/>
        <w:rPr>
          <w:rFonts w:ascii="Arial" w:hAnsi="Arial" w:cs="Arial"/>
          <w:bCs/>
          <w:sz w:val="24"/>
          <w:szCs w:val="24"/>
        </w:rPr>
      </w:pPr>
    </w:p>
    <w:p w14:paraId="3BDFD201" w14:textId="78A7A081" w:rsidR="00FD4DC7" w:rsidRPr="0054624C" w:rsidRDefault="00FD4DC7" w:rsidP="00FD4DC7">
      <w:pPr>
        <w:jc w:val="left"/>
        <w:rPr>
          <w:rFonts w:ascii="Arial" w:hAnsi="Arial" w:cs="Arial"/>
          <w:b/>
          <w:sz w:val="24"/>
          <w:szCs w:val="24"/>
        </w:rPr>
      </w:pPr>
      <w:r w:rsidRPr="0054624C">
        <w:rPr>
          <w:rFonts w:ascii="Arial" w:hAnsi="Arial" w:cs="Arial"/>
          <w:b/>
          <w:sz w:val="24"/>
          <w:szCs w:val="24"/>
        </w:rPr>
        <w:lastRenderedPageBreak/>
        <w:t xml:space="preserve">Karen Witts, </w:t>
      </w:r>
      <w:r w:rsidR="007A334A">
        <w:rPr>
          <w:rFonts w:ascii="Arial" w:hAnsi="Arial" w:cs="Arial"/>
          <w:b/>
          <w:sz w:val="24"/>
          <w:szCs w:val="24"/>
        </w:rPr>
        <w:t>Chief Financial Officer</w:t>
      </w:r>
      <w:r w:rsidRPr="0054624C">
        <w:rPr>
          <w:rFonts w:ascii="Arial" w:hAnsi="Arial" w:cs="Arial"/>
          <w:b/>
          <w:sz w:val="24"/>
          <w:szCs w:val="24"/>
        </w:rPr>
        <w:t xml:space="preserve">, said: </w:t>
      </w:r>
    </w:p>
    <w:p w14:paraId="14884BB4" w14:textId="77777777" w:rsidR="00BD7446" w:rsidRDefault="00BD7446" w:rsidP="00FD4DC7">
      <w:pPr>
        <w:jc w:val="left"/>
        <w:rPr>
          <w:rFonts w:ascii="Arial" w:hAnsi="Arial" w:cs="Arial"/>
          <w:sz w:val="24"/>
          <w:szCs w:val="24"/>
        </w:rPr>
      </w:pPr>
    </w:p>
    <w:p w14:paraId="4BCCFBFA" w14:textId="618F421E" w:rsidR="00FD4DC7" w:rsidRPr="000971B9" w:rsidRDefault="00FD4DC7" w:rsidP="00FD4DC7">
      <w:pPr>
        <w:jc w:val="left"/>
        <w:rPr>
          <w:rFonts w:ascii="Arial" w:hAnsi="Arial" w:cs="Arial"/>
          <w:bCs/>
          <w:sz w:val="24"/>
          <w:szCs w:val="24"/>
        </w:rPr>
      </w:pPr>
      <w:r>
        <w:rPr>
          <w:rFonts w:ascii="Arial" w:hAnsi="Arial" w:cs="Arial"/>
          <w:sz w:val="24"/>
          <w:szCs w:val="24"/>
        </w:rPr>
        <w:t>“</w:t>
      </w:r>
      <w:r w:rsidR="00D91ED7">
        <w:rPr>
          <w:rFonts w:ascii="Arial" w:hAnsi="Arial" w:cs="Arial"/>
          <w:sz w:val="24"/>
          <w:szCs w:val="24"/>
        </w:rPr>
        <w:t>We believe o</w:t>
      </w:r>
      <w:r w:rsidR="00BD7446">
        <w:rPr>
          <w:rFonts w:ascii="Arial" w:hAnsi="Arial" w:cs="Arial"/>
          <w:sz w:val="24"/>
          <w:szCs w:val="24"/>
        </w:rPr>
        <w:t>ur</w:t>
      </w:r>
      <w:r w:rsidR="00B942A7">
        <w:rPr>
          <w:rFonts w:ascii="Arial" w:hAnsi="Arial" w:cs="Arial"/>
          <w:sz w:val="24"/>
          <w:szCs w:val="24"/>
        </w:rPr>
        <w:t xml:space="preserve"> plans</w:t>
      </w:r>
      <w:r>
        <w:rPr>
          <w:rFonts w:ascii="Arial" w:hAnsi="Arial" w:cs="Arial"/>
          <w:sz w:val="24"/>
          <w:szCs w:val="24"/>
        </w:rPr>
        <w:t xml:space="preserve"> will drive </w:t>
      </w:r>
      <w:r w:rsidR="006A17A8">
        <w:rPr>
          <w:rFonts w:ascii="Arial" w:hAnsi="Arial" w:cs="Arial"/>
          <w:sz w:val="24"/>
          <w:szCs w:val="24"/>
        </w:rPr>
        <w:t>an</w:t>
      </w:r>
      <w:r w:rsidR="00B942A7">
        <w:rPr>
          <w:rFonts w:ascii="Arial" w:hAnsi="Arial" w:cs="Arial"/>
          <w:sz w:val="24"/>
          <w:szCs w:val="24"/>
        </w:rPr>
        <w:t xml:space="preserve"> increase in the value of our business for</w:t>
      </w:r>
      <w:r>
        <w:rPr>
          <w:rFonts w:ascii="Arial" w:hAnsi="Arial" w:cs="Arial"/>
          <w:sz w:val="24"/>
          <w:szCs w:val="24"/>
        </w:rPr>
        <w:t xml:space="preserve"> shareholder</w:t>
      </w:r>
      <w:r w:rsidR="00B942A7">
        <w:rPr>
          <w:rFonts w:ascii="Arial" w:hAnsi="Arial" w:cs="Arial"/>
          <w:sz w:val="24"/>
          <w:szCs w:val="24"/>
        </w:rPr>
        <w:t>s,</w:t>
      </w:r>
      <w:r w:rsidR="00C16111">
        <w:rPr>
          <w:rFonts w:ascii="Arial" w:hAnsi="Arial" w:cs="Arial"/>
          <w:sz w:val="24"/>
          <w:szCs w:val="24"/>
        </w:rPr>
        <w:t xml:space="preserve"> with improved financial metrics </w:t>
      </w:r>
      <w:r w:rsidR="00B942A7">
        <w:rPr>
          <w:rFonts w:ascii="Arial" w:hAnsi="Arial" w:cs="Arial"/>
          <w:sz w:val="24"/>
          <w:szCs w:val="24"/>
        </w:rPr>
        <w:t>through</w:t>
      </w:r>
      <w:r w:rsidR="00C16111">
        <w:rPr>
          <w:rFonts w:ascii="Arial" w:hAnsi="Arial" w:cs="Arial"/>
          <w:sz w:val="24"/>
          <w:szCs w:val="24"/>
        </w:rPr>
        <w:t xml:space="preserve"> higher sales and lower costs</w:t>
      </w:r>
      <w:r w:rsidR="007A5D81">
        <w:rPr>
          <w:rFonts w:ascii="Arial" w:hAnsi="Arial" w:cs="Arial"/>
          <w:sz w:val="24"/>
          <w:szCs w:val="24"/>
        </w:rPr>
        <w:t>, whilst at the same time</w:t>
      </w:r>
      <w:r w:rsidR="00C16111">
        <w:rPr>
          <w:rFonts w:ascii="Arial" w:hAnsi="Arial" w:cs="Arial"/>
          <w:sz w:val="24"/>
          <w:szCs w:val="24"/>
        </w:rPr>
        <w:t xml:space="preserve"> optimising the generation and use of cash</w:t>
      </w:r>
      <w:r w:rsidR="00B942A7">
        <w:rPr>
          <w:rFonts w:ascii="Arial" w:hAnsi="Arial" w:cs="Arial"/>
          <w:sz w:val="24"/>
          <w:szCs w:val="24"/>
        </w:rPr>
        <w:t>. Besides the growth in full year dividend, we are also pleased to be announcing today a further £200 million capital return</w:t>
      </w:r>
      <w:r w:rsidR="00332C39">
        <w:rPr>
          <w:rFonts w:ascii="Arial" w:hAnsi="Arial" w:cs="Arial"/>
          <w:sz w:val="24"/>
          <w:szCs w:val="24"/>
        </w:rPr>
        <w:t xml:space="preserve"> </w:t>
      </w:r>
      <w:r w:rsidR="00B942A7">
        <w:rPr>
          <w:rFonts w:ascii="Arial" w:hAnsi="Arial" w:cs="Arial"/>
          <w:sz w:val="24"/>
          <w:szCs w:val="24"/>
        </w:rPr>
        <w:t>during FY 2015/16</w:t>
      </w:r>
      <w:r w:rsidR="00A93153">
        <w:rPr>
          <w:rFonts w:ascii="Arial" w:hAnsi="Arial" w:cs="Arial"/>
          <w:sz w:val="24"/>
          <w:szCs w:val="24"/>
        </w:rPr>
        <w:t xml:space="preserve"> reflecting our confidence in our medium</w:t>
      </w:r>
      <w:r w:rsidR="00C2678B">
        <w:rPr>
          <w:rFonts w:ascii="Arial" w:hAnsi="Arial" w:cs="Arial"/>
          <w:sz w:val="24"/>
          <w:szCs w:val="24"/>
        </w:rPr>
        <w:t xml:space="preserve"> </w:t>
      </w:r>
      <w:r w:rsidR="00A93153">
        <w:rPr>
          <w:rFonts w:ascii="Arial" w:hAnsi="Arial" w:cs="Arial"/>
          <w:sz w:val="24"/>
          <w:szCs w:val="24"/>
        </w:rPr>
        <w:t>term prospects. In the short</w:t>
      </w:r>
      <w:r w:rsidR="00216651">
        <w:rPr>
          <w:rFonts w:ascii="Arial" w:hAnsi="Arial" w:cs="Arial"/>
          <w:sz w:val="24"/>
          <w:szCs w:val="24"/>
        </w:rPr>
        <w:t xml:space="preserve"> </w:t>
      </w:r>
      <w:r w:rsidR="00A93153">
        <w:rPr>
          <w:rFonts w:ascii="Arial" w:hAnsi="Arial" w:cs="Arial"/>
          <w:sz w:val="24"/>
          <w:szCs w:val="24"/>
        </w:rPr>
        <w:t>term, whilst we remain encouraged by the improving economic backdrop in the UK, we remain cautious on the outlook for France, our biggest market.</w:t>
      </w:r>
      <w:r w:rsidR="00B942A7">
        <w:rPr>
          <w:rFonts w:ascii="Arial" w:hAnsi="Arial" w:cs="Arial"/>
          <w:sz w:val="24"/>
          <w:szCs w:val="24"/>
        </w:rPr>
        <w:t xml:space="preserve">” </w:t>
      </w:r>
    </w:p>
    <w:p w14:paraId="11EB7985" w14:textId="77777777" w:rsidR="001368E3" w:rsidRDefault="001368E3" w:rsidP="00FD4DC7">
      <w:pPr>
        <w:jc w:val="left"/>
        <w:rPr>
          <w:rFonts w:ascii="Arial" w:hAnsi="Arial" w:cs="Arial"/>
          <w:sz w:val="24"/>
          <w:szCs w:val="24"/>
        </w:rPr>
      </w:pPr>
    </w:p>
    <w:p w14:paraId="11A192AD" w14:textId="77777777" w:rsidR="00C92423" w:rsidRPr="00315200" w:rsidRDefault="00C92423" w:rsidP="00AD5BF9">
      <w:pPr>
        <w:jc w:val="left"/>
        <w:rPr>
          <w:rFonts w:ascii="Arial" w:hAnsi="Arial" w:cs="Arial"/>
          <w:b/>
          <w:bCs/>
          <w:sz w:val="24"/>
          <w:szCs w:val="24"/>
          <w:u w:val="single"/>
        </w:rPr>
      </w:pPr>
      <w:r w:rsidRPr="00315200">
        <w:rPr>
          <w:rFonts w:ascii="Arial" w:hAnsi="Arial" w:cs="Arial"/>
          <w:b/>
          <w:bCs/>
          <w:sz w:val="24"/>
          <w:szCs w:val="24"/>
          <w:u w:val="single"/>
        </w:rPr>
        <w:t>Statutory reporting:</w:t>
      </w:r>
    </w:p>
    <w:tbl>
      <w:tblPr>
        <w:tblW w:w="5022" w:type="pct"/>
        <w:tblInd w:w="-106" w:type="dxa"/>
        <w:tblLayout w:type="fixed"/>
        <w:tblLook w:val="01E0" w:firstRow="1" w:lastRow="1" w:firstColumn="1" w:lastColumn="1" w:noHBand="0" w:noVBand="0"/>
      </w:tblPr>
      <w:tblGrid>
        <w:gridCol w:w="4217"/>
        <w:gridCol w:w="2268"/>
        <w:gridCol w:w="1418"/>
        <w:gridCol w:w="1544"/>
        <w:gridCol w:w="236"/>
      </w:tblGrid>
      <w:tr w:rsidR="00552387" w:rsidRPr="000971B9" w14:paraId="5FBA09FB" w14:textId="77777777" w:rsidTr="00315200">
        <w:tc>
          <w:tcPr>
            <w:tcW w:w="4217" w:type="dxa"/>
            <w:tcBorders>
              <w:bottom w:val="single" w:sz="4" w:space="0" w:color="auto"/>
            </w:tcBorders>
          </w:tcPr>
          <w:p w14:paraId="7E84A287" w14:textId="77777777" w:rsidR="00552387" w:rsidRDefault="00552387" w:rsidP="004C7229">
            <w:pPr>
              <w:jc w:val="left"/>
              <w:rPr>
                <w:rFonts w:ascii="Arial" w:hAnsi="Arial" w:cs="Arial"/>
                <w:sz w:val="24"/>
                <w:szCs w:val="24"/>
              </w:rPr>
            </w:pPr>
          </w:p>
        </w:tc>
        <w:tc>
          <w:tcPr>
            <w:tcW w:w="2268" w:type="dxa"/>
            <w:tcBorders>
              <w:bottom w:val="single" w:sz="4" w:space="0" w:color="auto"/>
            </w:tcBorders>
          </w:tcPr>
          <w:p w14:paraId="415C1146" w14:textId="77777777" w:rsidR="00552387" w:rsidRPr="00315200" w:rsidRDefault="00552387" w:rsidP="004C7229">
            <w:pPr>
              <w:jc w:val="right"/>
              <w:rPr>
                <w:rFonts w:ascii="Arial" w:hAnsi="Arial" w:cs="Arial"/>
                <w:b/>
                <w:sz w:val="24"/>
                <w:szCs w:val="24"/>
              </w:rPr>
            </w:pPr>
            <w:r w:rsidRPr="00315200">
              <w:rPr>
                <w:rFonts w:ascii="Arial" w:hAnsi="Arial" w:cs="Arial"/>
                <w:b/>
                <w:sz w:val="24"/>
                <w:szCs w:val="24"/>
              </w:rPr>
              <w:t>2014/15</w:t>
            </w:r>
          </w:p>
        </w:tc>
        <w:tc>
          <w:tcPr>
            <w:tcW w:w="1418" w:type="dxa"/>
            <w:tcBorders>
              <w:bottom w:val="single" w:sz="4" w:space="0" w:color="auto"/>
            </w:tcBorders>
          </w:tcPr>
          <w:p w14:paraId="040F8A91" w14:textId="77777777" w:rsidR="00552387" w:rsidRPr="00315200" w:rsidRDefault="00552387" w:rsidP="004C7229">
            <w:pPr>
              <w:jc w:val="right"/>
              <w:rPr>
                <w:rFonts w:ascii="Arial" w:hAnsi="Arial" w:cs="Arial"/>
                <w:b/>
                <w:sz w:val="24"/>
                <w:szCs w:val="24"/>
              </w:rPr>
            </w:pPr>
            <w:r w:rsidRPr="00315200">
              <w:rPr>
                <w:rFonts w:ascii="Arial" w:hAnsi="Arial" w:cs="Arial"/>
                <w:b/>
                <w:sz w:val="24"/>
                <w:szCs w:val="24"/>
              </w:rPr>
              <w:t>2013/14</w:t>
            </w:r>
          </w:p>
        </w:tc>
        <w:tc>
          <w:tcPr>
            <w:tcW w:w="1544" w:type="dxa"/>
            <w:tcBorders>
              <w:bottom w:val="single" w:sz="4" w:space="0" w:color="auto"/>
            </w:tcBorders>
          </w:tcPr>
          <w:p w14:paraId="634391DF" w14:textId="77777777" w:rsidR="00552387" w:rsidRPr="00315200" w:rsidRDefault="00552387" w:rsidP="004C7229">
            <w:pPr>
              <w:jc w:val="right"/>
              <w:rPr>
                <w:rFonts w:ascii="Arial" w:hAnsi="Arial" w:cs="Arial"/>
                <w:b/>
                <w:sz w:val="24"/>
                <w:szCs w:val="24"/>
              </w:rPr>
            </w:pPr>
            <w:r w:rsidRPr="00315200">
              <w:rPr>
                <w:rFonts w:ascii="Arial" w:hAnsi="Arial" w:cs="Arial"/>
                <w:b/>
                <w:sz w:val="24"/>
                <w:szCs w:val="24"/>
              </w:rPr>
              <w:t>% Change Reported</w:t>
            </w:r>
          </w:p>
        </w:tc>
        <w:tc>
          <w:tcPr>
            <w:tcW w:w="236" w:type="dxa"/>
          </w:tcPr>
          <w:p w14:paraId="324016DE" w14:textId="77777777" w:rsidR="00552387" w:rsidRPr="000971B9" w:rsidRDefault="00552387" w:rsidP="004C7229">
            <w:pPr>
              <w:jc w:val="right"/>
              <w:rPr>
                <w:rFonts w:ascii="Arial" w:hAnsi="Arial" w:cs="Arial"/>
                <w:sz w:val="24"/>
                <w:szCs w:val="24"/>
              </w:rPr>
            </w:pPr>
          </w:p>
        </w:tc>
      </w:tr>
      <w:tr w:rsidR="00552387" w:rsidRPr="000971B9" w14:paraId="6AA99AB4" w14:textId="77777777" w:rsidTr="00552387">
        <w:tc>
          <w:tcPr>
            <w:tcW w:w="4217" w:type="dxa"/>
            <w:tcBorders>
              <w:top w:val="single" w:sz="4" w:space="0" w:color="auto"/>
            </w:tcBorders>
          </w:tcPr>
          <w:p w14:paraId="7F1DB906" w14:textId="77777777" w:rsidR="00C92423" w:rsidRPr="000971B9" w:rsidRDefault="00C92423" w:rsidP="004C7229">
            <w:pPr>
              <w:jc w:val="left"/>
              <w:rPr>
                <w:rFonts w:ascii="Arial" w:hAnsi="Arial" w:cs="Arial"/>
                <w:sz w:val="24"/>
                <w:szCs w:val="24"/>
              </w:rPr>
            </w:pPr>
            <w:r>
              <w:rPr>
                <w:rFonts w:ascii="Arial" w:hAnsi="Arial" w:cs="Arial"/>
                <w:sz w:val="24"/>
                <w:szCs w:val="24"/>
              </w:rPr>
              <w:t>Statutory pre-tax profit</w:t>
            </w:r>
          </w:p>
        </w:tc>
        <w:tc>
          <w:tcPr>
            <w:tcW w:w="2268" w:type="dxa"/>
            <w:tcBorders>
              <w:top w:val="single" w:sz="4" w:space="0" w:color="auto"/>
            </w:tcBorders>
          </w:tcPr>
          <w:p w14:paraId="32500907" w14:textId="77777777" w:rsidR="00C92423" w:rsidRDefault="00C92423" w:rsidP="004C7229">
            <w:pPr>
              <w:jc w:val="right"/>
              <w:rPr>
                <w:rFonts w:ascii="Arial" w:hAnsi="Arial" w:cs="Arial"/>
                <w:sz w:val="24"/>
                <w:szCs w:val="24"/>
              </w:rPr>
            </w:pPr>
            <w:r>
              <w:rPr>
                <w:rFonts w:ascii="Arial" w:hAnsi="Arial" w:cs="Arial"/>
                <w:sz w:val="24"/>
                <w:szCs w:val="24"/>
              </w:rPr>
              <w:t>£644m</w:t>
            </w:r>
          </w:p>
        </w:tc>
        <w:tc>
          <w:tcPr>
            <w:tcW w:w="1418" w:type="dxa"/>
            <w:tcBorders>
              <w:top w:val="single" w:sz="4" w:space="0" w:color="auto"/>
            </w:tcBorders>
          </w:tcPr>
          <w:p w14:paraId="4377101C" w14:textId="77777777" w:rsidR="00C92423" w:rsidRPr="00686158" w:rsidRDefault="00C92423" w:rsidP="004C7229">
            <w:pPr>
              <w:jc w:val="right"/>
              <w:rPr>
                <w:rFonts w:ascii="Arial" w:hAnsi="Arial" w:cs="Arial"/>
                <w:sz w:val="24"/>
                <w:szCs w:val="24"/>
              </w:rPr>
            </w:pPr>
            <w:r>
              <w:rPr>
                <w:rFonts w:ascii="Arial" w:hAnsi="Arial" w:cs="Arial"/>
                <w:sz w:val="24"/>
                <w:szCs w:val="24"/>
              </w:rPr>
              <w:t>£759m</w:t>
            </w:r>
          </w:p>
        </w:tc>
        <w:tc>
          <w:tcPr>
            <w:tcW w:w="1544" w:type="dxa"/>
            <w:tcBorders>
              <w:top w:val="single" w:sz="4" w:space="0" w:color="auto"/>
            </w:tcBorders>
          </w:tcPr>
          <w:p w14:paraId="49B1CF59" w14:textId="77777777" w:rsidR="00C92423" w:rsidRPr="000971B9" w:rsidRDefault="00C92423" w:rsidP="004C7229">
            <w:pPr>
              <w:jc w:val="right"/>
              <w:rPr>
                <w:rFonts w:ascii="Arial" w:hAnsi="Arial" w:cs="Arial"/>
                <w:sz w:val="24"/>
                <w:szCs w:val="24"/>
              </w:rPr>
            </w:pPr>
            <w:r>
              <w:rPr>
                <w:rFonts w:ascii="Arial" w:hAnsi="Arial" w:cs="Arial"/>
                <w:sz w:val="24"/>
                <w:szCs w:val="24"/>
              </w:rPr>
              <w:t>(15.2)%</w:t>
            </w:r>
          </w:p>
        </w:tc>
        <w:tc>
          <w:tcPr>
            <w:tcW w:w="236" w:type="dxa"/>
          </w:tcPr>
          <w:p w14:paraId="456C669E" w14:textId="77777777" w:rsidR="00C92423" w:rsidRPr="000971B9" w:rsidRDefault="00C92423" w:rsidP="004C7229">
            <w:pPr>
              <w:jc w:val="right"/>
              <w:rPr>
                <w:rFonts w:ascii="Arial" w:hAnsi="Arial" w:cs="Arial"/>
                <w:sz w:val="24"/>
                <w:szCs w:val="24"/>
              </w:rPr>
            </w:pPr>
          </w:p>
        </w:tc>
      </w:tr>
      <w:tr w:rsidR="00552387" w:rsidRPr="000971B9" w14:paraId="1D3FF67B" w14:textId="77777777" w:rsidTr="00552387">
        <w:tc>
          <w:tcPr>
            <w:tcW w:w="4217" w:type="dxa"/>
          </w:tcPr>
          <w:p w14:paraId="07A0ED65" w14:textId="77777777" w:rsidR="00C92423" w:rsidRPr="000971B9" w:rsidRDefault="00C92423" w:rsidP="004C7229">
            <w:pPr>
              <w:jc w:val="left"/>
              <w:rPr>
                <w:rFonts w:ascii="Arial" w:hAnsi="Arial" w:cs="Arial"/>
                <w:sz w:val="24"/>
                <w:szCs w:val="24"/>
              </w:rPr>
            </w:pPr>
            <w:r>
              <w:rPr>
                <w:rFonts w:ascii="Arial" w:hAnsi="Arial" w:cs="Arial"/>
                <w:sz w:val="24"/>
                <w:szCs w:val="24"/>
              </w:rPr>
              <w:t>Statutory post-tax profit</w:t>
            </w:r>
          </w:p>
        </w:tc>
        <w:tc>
          <w:tcPr>
            <w:tcW w:w="2268" w:type="dxa"/>
          </w:tcPr>
          <w:p w14:paraId="43BFF4C9" w14:textId="51C5640E" w:rsidR="00C92423" w:rsidRDefault="00C92423" w:rsidP="00057892">
            <w:pPr>
              <w:jc w:val="right"/>
              <w:rPr>
                <w:rFonts w:ascii="Arial" w:hAnsi="Arial" w:cs="Arial"/>
                <w:sz w:val="24"/>
                <w:szCs w:val="24"/>
              </w:rPr>
            </w:pPr>
            <w:r>
              <w:rPr>
                <w:rFonts w:ascii="Arial" w:hAnsi="Arial" w:cs="Arial"/>
                <w:sz w:val="24"/>
                <w:szCs w:val="24"/>
              </w:rPr>
              <w:t>£57</w:t>
            </w:r>
            <w:r w:rsidR="00057892">
              <w:rPr>
                <w:rFonts w:ascii="Arial" w:hAnsi="Arial" w:cs="Arial"/>
                <w:sz w:val="24"/>
                <w:szCs w:val="24"/>
              </w:rPr>
              <w:t>3</w:t>
            </w:r>
            <w:r>
              <w:rPr>
                <w:rFonts w:ascii="Arial" w:hAnsi="Arial" w:cs="Arial"/>
                <w:sz w:val="24"/>
                <w:szCs w:val="24"/>
              </w:rPr>
              <w:t>m</w:t>
            </w:r>
          </w:p>
        </w:tc>
        <w:tc>
          <w:tcPr>
            <w:tcW w:w="1418" w:type="dxa"/>
          </w:tcPr>
          <w:p w14:paraId="361EAC98" w14:textId="77777777" w:rsidR="00C92423" w:rsidRPr="00686158" w:rsidRDefault="00C92423" w:rsidP="004C7229">
            <w:pPr>
              <w:jc w:val="right"/>
              <w:rPr>
                <w:rFonts w:ascii="Arial" w:hAnsi="Arial" w:cs="Arial"/>
                <w:sz w:val="24"/>
                <w:szCs w:val="24"/>
              </w:rPr>
            </w:pPr>
            <w:r>
              <w:rPr>
                <w:rFonts w:ascii="Arial" w:hAnsi="Arial" w:cs="Arial"/>
                <w:sz w:val="24"/>
                <w:szCs w:val="24"/>
              </w:rPr>
              <w:t>£710m</w:t>
            </w:r>
          </w:p>
        </w:tc>
        <w:tc>
          <w:tcPr>
            <w:tcW w:w="1544" w:type="dxa"/>
          </w:tcPr>
          <w:p w14:paraId="51D01A6F" w14:textId="1C9C5C35" w:rsidR="00C92423" w:rsidRPr="000971B9" w:rsidRDefault="00C92423" w:rsidP="00057892">
            <w:pPr>
              <w:jc w:val="right"/>
              <w:rPr>
                <w:rFonts w:ascii="Arial" w:hAnsi="Arial" w:cs="Arial"/>
                <w:sz w:val="24"/>
                <w:szCs w:val="24"/>
              </w:rPr>
            </w:pPr>
            <w:r>
              <w:rPr>
                <w:rFonts w:ascii="Arial" w:hAnsi="Arial" w:cs="Arial"/>
                <w:sz w:val="24"/>
                <w:szCs w:val="24"/>
              </w:rPr>
              <w:t>(</w:t>
            </w:r>
            <w:r w:rsidR="00057892">
              <w:rPr>
                <w:rFonts w:ascii="Arial" w:hAnsi="Arial" w:cs="Arial"/>
                <w:sz w:val="24"/>
                <w:szCs w:val="24"/>
              </w:rPr>
              <w:t>19.3</w:t>
            </w:r>
            <w:r>
              <w:rPr>
                <w:rFonts w:ascii="Arial" w:hAnsi="Arial" w:cs="Arial"/>
                <w:sz w:val="24"/>
                <w:szCs w:val="24"/>
              </w:rPr>
              <w:t>)%</w:t>
            </w:r>
          </w:p>
        </w:tc>
        <w:tc>
          <w:tcPr>
            <w:tcW w:w="236" w:type="dxa"/>
          </w:tcPr>
          <w:p w14:paraId="3792FEA6" w14:textId="77777777" w:rsidR="00C92423" w:rsidRPr="000971B9" w:rsidRDefault="00C92423" w:rsidP="004C7229">
            <w:pPr>
              <w:jc w:val="right"/>
              <w:rPr>
                <w:rFonts w:ascii="Arial" w:hAnsi="Arial" w:cs="Arial"/>
                <w:sz w:val="24"/>
                <w:szCs w:val="24"/>
              </w:rPr>
            </w:pPr>
          </w:p>
        </w:tc>
      </w:tr>
      <w:tr w:rsidR="00552387" w:rsidRPr="000971B9" w14:paraId="10F54803" w14:textId="77777777" w:rsidTr="00552387">
        <w:tc>
          <w:tcPr>
            <w:tcW w:w="4217" w:type="dxa"/>
            <w:tcBorders>
              <w:bottom w:val="single" w:sz="4" w:space="0" w:color="auto"/>
            </w:tcBorders>
          </w:tcPr>
          <w:p w14:paraId="39DF8DCC" w14:textId="77777777" w:rsidR="00C92423" w:rsidRPr="000971B9" w:rsidRDefault="00C92423" w:rsidP="004C7229">
            <w:pPr>
              <w:jc w:val="left"/>
              <w:rPr>
                <w:rFonts w:ascii="Arial" w:hAnsi="Arial" w:cs="Arial"/>
                <w:sz w:val="24"/>
                <w:szCs w:val="24"/>
              </w:rPr>
            </w:pPr>
            <w:r>
              <w:rPr>
                <w:rFonts w:ascii="Arial" w:hAnsi="Arial" w:cs="Arial"/>
                <w:sz w:val="24"/>
                <w:szCs w:val="24"/>
              </w:rPr>
              <w:t>Basic EPS</w:t>
            </w:r>
          </w:p>
        </w:tc>
        <w:tc>
          <w:tcPr>
            <w:tcW w:w="2268" w:type="dxa"/>
            <w:tcBorders>
              <w:bottom w:val="single" w:sz="4" w:space="0" w:color="auto"/>
            </w:tcBorders>
          </w:tcPr>
          <w:p w14:paraId="504F9F07" w14:textId="77777777" w:rsidR="00C92423" w:rsidRDefault="00C92423" w:rsidP="004C7229">
            <w:pPr>
              <w:jc w:val="right"/>
              <w:rPr>
                <w:rFonts w:ascii="Arial" w:hAnsi="Arial" w:cs="Arial"/>
                <w:sz w:val="24"/>
                <w:szCs w:val="24"/>
              </w:rPr>
            </w:pPr>
            <w:r>
              <w:rPr>
                <w:rFonts w:ascii="Arial" w:hAnsi="Arial" w:cs="Arial"/>
                <w:sz w:val="24"/>
                <w:szCs w:val="24"/>
              </w:rPr>
              <w:t>24.3p</w:t>
            </w:r>
          </w:p>
        </w:tc>
        <w:tc>
          <w:tcPr>
            <w:tcW w:w="1418" w:type="dxa"/>
            <w:tcBorders>
              <w:bottom w:val="single" w:sz="4" w:space="0" w:color="auto"/>
            </w:tcBorders>
          </w:tcPr>
          <w:p w14:paraId="1994BA2B" w14:textId="77777777" w:rsidR="00C92423" w:rsidRPr="00686158" w:rsidRDefault="00C92423" w:rsidP="004C7229">
            <w:pPr>
              <w:jc w:val="right"/>
              <w:rPr>
                <w:rFonts w:ascii="Arial" w:hAnsi="Arial" w:cs="Arial"/>
                <w:sz w:val="24"/>
                <w:szCs w:val="24"/>
              </w:rPr>
            </w:pPr>
            <w:r>
              <w:rPr>
                <w:rFonts w:ascii="Arial" w:hAnsi="Arial" w:cs="Arial"/>
                <w:sz w:val="24"/>
                <w:szCs w:val="24"/>
              </w:rPr>
              <w:t>30.0p</w:t>
            </w:r>
          </w:p>
        </w:tc>
        <w:tc>
          <w:tcPr>
            <w:tcW w:w="1544" w:type="dxa"/>
            <w:tcBorders>
              <w:bottom w:val="single" w:sz="4" w:space="0" w:color="auto"/>
            </w:tcBorders>
          </w:tcPr>
          <w:p w14:paraId="79B6C94D" w14:textId="77777777" w:rsidR="00C92423" w:rsidRPr="000971B9" w:rsidRDefault="00C92423" w:rsidP="004C7229">
            <w:pPr>
              <w:jc w:val="right"/>
              <w:rPr>
                <w:rFonts w:ascii="Arial" w:hAnsi="Arial" w:cs="Arial"/>
                <w:sz w:val="24"/>
                <w:szCs w:val="24"/>
              </w:rPr>
            </w:pPr>
            <w:r>
              <w:rPr>
                <w:rFonts w:ascii="Arial" w:hAnsi="Arial" w:cs="Arial"/>
                <w:sz w:val="24"/>
                <w:szCs w:val="24"/>
              </w:rPr>
              <w:t>(19.0)%</w:t>
            </w:r>
          </w:p>
        </w:tc>
        <w:tc>
          <w:tcPr>
            <w:tcW w:w="236" w:type="dxa"/>
          </w:tcPr>
          <w:p w14:paraId="74558C53" w14:textId="77777777" w:rsidR="00C92423" w:rsidRPr="000971B9" w:rsidRDefault="00C92423" w:rsidP="004C7229">
            <w:pPr>
              <w:jc w:val="right"/>
              <w:rPr>
                <w:rFonts w:ascii="Arial" w:hAnsi="Arial" w:cs="Arial"/>
                <w:sz w:val="24"/>
                <w:szCs w:val="24"/>
              </w:rPr>
            </w:pPr>
          </w:p>
        </w:tc>
      </w:tr>
    </w:tbl>
    <w:p w14:paraId="2CD8584F" w14:textId="77777777" w:rsidR="00C92423" w:rsidRDefault="00C92423" w:rsidP="00AD5BF9">
      <w:pPr>
        <w:jc w:val="left"/>
        <w:rPr>
          <w:rFonts w:ascii="Arial" w:hAnsi="Arial" w:cs="Arial"/>
          <w:b/>
          <w:bCs/>
          <w:sz w:val="24"/>
          <w:szCs w:val="24"/>
        </w:rPr>
      </w:pPr>
    </w:p>
    <w:p w14:paraId="02C0918A" w14:textId="77777777" w:rsidR="00181E03" w:rsidRPr="0054624C" w:rsidRDefault="003C4FFB" w:rsidP="00AD5BF9">
      <w:pPr>
        <w:jc w:val="left"/>
        <w:rPr>
          <w:rFonts w:ascii="Arial" w:hAnsi="Arial" w:cs="Arial"/>
          <w:sz w:val="24"/>
          <w:szCs w:val="24"/>
          <w:u w:val="single"/>
        </w:rPr>
      </w:pPr>
      <w:r w:rsidRPr="0054624C">
        <w:rPr>
          <w:rFonts w:ascii="Arial" w:hAnsi="Arial" w:cs="Arial"/>
          <w:b/>
          <w:bCs/>
          <w:sz w:val="24"/>
          <w:szCs w:val="24"/>
          <w:u w:val="single"/>
        </w:rPr>
        <w:t>Contacts:</w:t>
      </w:r>
    </w:p>
    <w:p w14:paraId="309C0F82" w14:textId="77777777" w:rsidR="008E7383" w:rsidRPr="002F65D9" w:rsidRDefault="008E7383" w:rsidP="00AD5BF9">
      <w:pPr>
        <w:jc w:val="left"/>
        <w:rPr>
          <w:rFonts w:ascii="Arial" w:hAnsi="Arial" w:cs="Arial"/>
          <w:b/>
          <w:bCs/>
          <w:sz w:val="24"/>
          <w:szCs w:val="24"/>
        </w:rPr>
      </w:pPr>
    </w:p>
    <w:tbl>
      <w:tblPr>
        <w:tblW w:w="4839"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06"/>
        <w:gridCol w:w="2615"/>
      </w:tblGrid>
      <w:tr w:rsidR="007C228C" w:rsidRPr="000971B9" w14:paraId="3A3D9F61" w14:textId="77777777" w:rsidTr="00033D68">
        <w:trPr>
          <w:trHeight w:val="57"/>
        </w:trPr>
        <w:tc>
          <w:tcPr>
            <w:tcW w:w="3597" w:type="pct"/>
          </w:tcPr>
          <w:p w14:paraId="6E0BC6CB" w14:textId="77777777" w:rsidR="00181E03" w:rsidRPr="000971B9" w:rsidRDefault="00181E03" w:rsidP="008E3324">
            <w:pPr>
              <w:jc w:val="left"/>
              <w:rPr>
                <w:rFonts w:ascii="Arial" w:hAnsi="Arial" w:cs="Arial"/>
                <w:sz w:val="16"/>
                <w:szCs w:val="16"/>
              </w:rPr>
            </w:pPr>
          </w:p>
        </w:tc>
        <w:tc>
          <w:tcPr>
            <w:tcW w:w="1403" w:type="pct"/>
          </w:tcPr>
          <w:p w14:paraId="54D63F0C" w14:textId="77777777" w:rsidR="00181E03" w:rsidRPr="000971B9" w:rsidRDefault="00181E03" w:rsidP="00F979C4">
            <w:pPr>
              <w:jc w:val="right"/>
              <w:rPr>
                <w:rFonts w:ascii="Arial" w:hAnsi="Arial" w:cs="Arial"/>
                <w:sz w:val="16"/>
                <w:szCs w:val="16"/>
              </w:rPr>
            </w:pPr>
          </w:p>
        </w:tc>
      </w:tr>
      <w:tr w:rsidR="007C228C" w:rsidRPr="000971B9" w14:paraId="55D67D9D" w14:textId="77777777">
        <w:tc>
          <w:tcPr>
            <w:tcW w:w="3597" w:type="pct"/>
          </w:tcPr>
          <w:p w14:paraId="691814EB" w14:textId="77777777" w:rsidR="00181E03" w:rsidRPr="000971B9" w:rsidRDefault="00181E03" w:rsidP="008B1159">
            <w:pPr>
              <w:jc w:val="left"/>
              <w:rPr>
                <w:rFonts w:ascii="Arial" w:hAnsi="Arial" w:cs="Arial"/>
                <w:sz w:val="24"/>
                <w:szCs w:val="24"/>
              </w:rPr>
            </w:pPr>
            <w:r w:rsidRPr="000971B9">
              <w:rPr>
                <w:rFonts w:ascii="Arial" w:hAnsi="Arial" w:cs="Arial"/>
                <w:sz w:val="24"/>
                <w:szCs w:val="24"/>
              </w:rPr>
              <w:t xml:space="preserve">Sarah </w:t>
            </w:r>
            <w:r w:rsidR="00FE57F9" w:rsidRPr="000971B9">
              <w:rPr>
                <w:rFonts w:ascii="Arial" w:hAnsi="Arial" w:cs="Arial"/>
                <w:sz w:val="24"/>
                <w:szCs w:val="24"/>
              </w:rPr>
              <w:t>Levy</w:t>
            </w:r>
            <w:r w:rsidR="007C228C" w:rsidRPr="000971B9">
              <w:rPr>
                <w:rFonts w:ascii="Arial" w:hAnsi="Arial" w:cs="Arial"/>
                <w:sz w:val="24"/>
                <w:szCs w:val="24"/>
              </w:rPr>
              <w:t xml:space="preserve">, </w:t>
            </w:r>
            <w:r w:rsidR="008B1159">
              <w:rPr>
                <w:rFonts w:ascii="Arial" w:hAnsi="Arial" w:cs="Arial"/>
                <w:sz w:val="24"/>
                <w:szCs w:val="24"/>
              </w:rPr>
              <w:t>Group Investor Relations Director</w:t>
            </w:r>
          </w:p>
        </w:tc>
        <w:tc>
          <w:tcPr>
            <w:tcW w:w="1403" w:type="pct"/>
          </w:tcPr>
          <w:p w14:paraId="5BE75C8D" w14:textId="77777777" w:rsidR="00181E03" w:rsidRPr="000971B9" w:rsidRDefault="008B1159" w:rsidP="00F979C4">
            <w:pPr>
              <w:jc w:val="right"/>
              <w:rPr>
                <w:rFonts w:ascii="Arial" w:hAnsi="Arial" w:cs="Arial"/>
                <w:sz w:val="24"/>
                <w:szCs w:val="24"/>
              </w:rPr>
            </w:pPr>
            <w:r>
              <w:rPr>
                <w:rFonts w:ascii="Arial" w:hAnsi="Arial" w:cs="Arial"/>
                <w:sz w:val="24"/>
                <w:szCs w:val="24"/>
              </w:rPr>
              <w:t>+44 (</w:t>
            </w:r>
            <w:r w:rsidR="0081307B" w:rsidRPr="000971B9">
              <w:rPr>
                <w:rFonts w:ascii="Arial" w:hAnsi="Arial" w:cs="Arial"/>
                <w:sz w:val="24"/>
                <w:szCs w:val="24"/>
              </w:rPr>
              <w:t>0</w:t>
            </w:r>
            <w:r>
              <w:rPr>
                <w:rFonts w:ascii="Arial" w:hAnsi="Arial" w:cs="Arial"/>
                <w:sz w:val="24"/>
                <w:szCs w:val="24"/>
              </w:rPr>
              <w:t>) 20</w:t>
            </w:r>
            <w:r w:rsidR="0081307B" w:rsidRPr="000971B9">
              <w:rPr>
                <w:rFonts w:ascii="Arial" w:hAnsi="Arial" w:cs="Arial"/>
                <w:sz w:val="24"/>
                <w:szCs w:val="24"/>
              </w:rPr>
              <w:t xml:space="preserve"> </w:t>
            </w:r>
            <w:r w:rsidR="00181E03" w:rsidRPr="000971B9">
              <w:rPr>
                <w:rFonts w:ascii="Arial" w:hAnsi="Arial" w:cs="Arial"/>
                <w:sz w:val="24"/>
                <w:szCs w:val="24"/>
              </w:rPr>
              <w:t>7644 1032</w:t>
            </w:r>
          </w:p>
        </w:tc>
      </w:tr>
      <w:tr w:rsidR="007C228C" w:rsidRPr="000971B9" w14:paraId="16CC0BF3" w14:textId="77777777">
        <w:tc>
          <w:tcPr>
            <w:tcW w:w="3597" w:type="pct"/>
          </w:tcPr>
          <w:p w14:paraId="209DDB8F" w14:textId="77777777" w:rsidR="00181E03" w:rsidRPr="000971B9" w:rsidRDefault="00181E03" w:rsidP="008E3324">
            <w:pPr>
              <w:jc w:val="left"/>
              <w:rPr>
                <w:rFonts w:ascii="Arial" w:hAnsi="Arial" w:cs="Arial"/>
                <w:sz w:val="16"/>
                <w:szCs w:val="16"/>
              </w:rPr>
            </w:pPr>
          </w:p>
        </w:tc>
        <w:tc>
          <w:tcPr>
            <w:tcW w:w="1403" w:type="pct"/>
          </w:tcPr>
          <w:p w14:paraId="62FCC986" w14:textId="77777777" w:rsidR="00181E03" w:rsidRPr="000971B9" w:rsidRDefault="00181E03" w:rsidP="00F979C4">
            <w:pPr>
              <w:jc w:val="right"/>
              <w:rPr>
                <w:rFonts w:ascii="Arial" w:hAnsi="Arial" w:cs="Arial"/>
                <w:sz w:val="16"/>
                <w:szCs w:val="16"/>
              </w:rPr>
            </w:pPr>
          </w:p>
        </w:tc>
      </w:tr>
      <w:tr w:rsidR="009A0795" w:rsidRPr="000971B9" w14:paraId="4436074D" w14:textId="77777777">
        <w:tc>
          <w:tcPr>
            <w:tcW w:w="3597" w:type="pct"/>
          </w:tcPr>
          <w:p w14:paraId="2CF31CD4" w14:textId="77777777" w:rsidR="009A0795" w:rsidRPr="000971B9" w:rsidRDefault="009A0795" w:rsidP="008E3324">
            <w:pPr>
              <w:jc w:val="left"/>
              <w:rPr>
                <w:rFonts w:ascii="Arial" w:hAnsi="Arial" w:cs="Arial"/>
                <w:sz w:val="24"/>
                <w:szCs w:val="24"/>
              </w:rPr>
            </w:pPr>
            <w:r>
              <w:rPr>
                <w:rFonts w:ascii="Arial" w:hAnsi="Arial" w:cs="Arial"/>
                <w:sz w:val="24"/>
                <w:szCs w:val="24"/>
              </w:rPr>
              <w:t>Christian Cowley, Head of Investor Relations</w:t>
            </w:r>
          </w:p>
        </w:tc>
        <w:tc>
          <w:tcPr>
            <w:tcW w:w="1403" w:type="pct"/>
          </w:tcPr>
          <w:p w14:paraId="05A5C9A9" w14:textId="77777777" w:rsidR="009A0795" w:rsidRDefault="009A0795" w:rsidP="00F979C4">
            <w:pPr>
              <w:jc w:val="right"/>
              <w:rPr>
                <w:rFonts w:ascii="Arial" w:hAnsi="Arial" w:cs="Arial"/>
                <w:sz w:val="24"/>
                <w:szCs w:val="24"/>
              </w:rPr>
            </w:pPr>
            <w:r>
              <w:rPr>
                <w:rFonts w:ascii="Arial" w:hAnsi="Arial" w:cs="Arial"/>
                <w:sz w:val="24"/>
                <w:szCs w:val="24"/>
              </w:rPr>
              <w:t xml:space="preserve">+44 (0) 20 7644 </w:t>
            </w:r>
            <w:r w:rsidR="00C109A3">
              <w:rPr>
                <w:rFonts w:ascii="Arial" w:hAnsi="Arial" w:cs="Arial"/>
                <w:sz w:val="24"/>
                <w:szCs w:val="24"/>
              </w:rPr>
              <w:t>1126</w:t>
            </w:r>
          </w:p>
        </w:tc>
      </w:tr>
      <w:tr w:rsidR="009A0795" w:rsidRPr="000971B9" w14:paraId="581F9296" w14:textId="77777777" w:rsidTr="0054624C">
        <w:trPr>
          <w:trHeight w:val="127"/>
        </w:trPr>
        <w:tc>
          <w:tcPr>
            <w:tcW w:w="3597" w:type="pct"/>
          </w:tcPr>
          <w:p w14:paraId="67C2E392" w14:textId="77777777" w:rsidR="009A0795" w:rsidRPr="0054624C" w:rsidRDefault="009A0795" w:rsidP="008E3324">
            <w:pPr>
              <w:jc w:val="left"/>
              <w:rPr>
                <w:rFonts w:ascii="Arial" w:hAnsi="Arial" w:cs="Arial"/>
                <w:sz w:val="16"/>
                <w:szCs w:val="16"/>
              </w:rPr>
            </w:pPr>
          </w:p>
        </w:tc>
        <w:tc>
          <w:tcPr>
            <w:tcW w:w="1403" w:type="pct"/>
          </w:tcPr>
          <w:p w14:paraId="3AA146A2" w14:textId="77777777" w:rsidR="009A0795" w:rsidRPr="0054624C" w:rsidRDefault="009A0795" w:rsidP="00F979C4">
            <w:pPr>
              <w:jc w:val="right"/>
              <w:rPr>
                <w:rFonts w:ascii="Arial" w:hAnsi="Arial" w:cs="Arial"/>
                <w:sz w:val="16"/>
                <w:szCs w:val="16"/>
              </w:rPr>
            </w:pPr>
          </w:p>
        </w:tc>
      </w:tr>
      <w:tr w:rsidR="007C228C" w:rsidRPr="000971B9" w14:paraId="49A8979A" w14:textId="77777777">
        <w:tc>
          <w:tcPr>
            <w:tcW w:w="3597" w:type="pct"/>
          </w:tcPr>
          <w:p w14:paraId="4E47673F" w14:textId="77777777" w:rsidR="00181E03" w:rsidRPr="000971B9" w:rsidRDefault="00181E03" w:rsidP="008E3324">
            <w:pPr>
              <w:jc w:val="left"/>
              <w:rPr>
                <w:rFonts w:ascii="Arial" w:hAnsi="Arial" w:cs="Arial"/>
                <w:sz w:val="24"/>
                <w:szCs w:val="24"/>
              </w:rPr>
            </w:pPr>
            <w:r w:rsidRPr="000971B9">
              <w:rPr>
                <w:rFonts w:ascii="Arial" w:hAnsi="Arial" w:cs="Arial"/>
                <w:sz w:val="24"/>
                <w:szCs w:val="24"/>
              </w:rPr>
              <w:t>Nigel Cope, Head of Media Relations</w:t>
            </w:r>
          </w:p>
        </w:tc>
        <w:tc>
          <w:tcPr>
            <w:tcW w:w="1403" w:type="pct"/>
          </w:tcPr>
          <w:p w14:paraId="2450C52A" w14:textId="77777777" w:rsidR="00181E03" w:rsidRPr="000971B9" w:rsidRDefault="008B1159" w:rsidP="00F979C4">
            <w:pPr>
              <w:jc w:val="right"/>
              <w:rPr>
                <w:rFonts w:ascii="Arial" w:hAnsi="Arial" w:cs="Arial"/>
                <w:sz w:val="24"/>
                <w:szCs w:val="24"/>
              </w:rPr>
            </w:pPr>
            <w:r>
              <w:rPr>
                <w:rFonts w:ascii="Arial" w:hAnsi="Arial" w:cs="Arial"/>
                <w:sz w:val="24"/>
                <w:szCs w:val="24"/>
              </w:rPr>
              <w:t>+44 (</w:t>
            </w:r>
            <w:r w:rsidRPr="000971B9">
              <w:rPr>
                <w:rFonts w:ascii="Arial" w:hAnsi="Arial" w:cs="Arial"/>
                <w:sz w:val="24"/>
                <w:szCs w:val="24"/>
              </w:rPr>
              <w:t>0</w:t>
            </w:r>
            <w:r>
              <w:rPr>
                <w:rFonts w:ascii="Arial" w:hAnsi="Arial" w:cs="Arial"/>
                <w:sz w:val="24"/>
                <w:szCs w:val="24"/>
              </w:rPr>
              <w:t>) 20</w:t>
            </w:r>
            <w:r w:rsidRPr="000971B9">
              <w:rPr>
                <w:rFonts w:ascii="Arial" w:hAnsi="Arial" w:cs="Arial"/>
                <w:sz w:val="24"/>
                <w:szCs w:val="24"/>
              </w:rPr>
              <w:t xml:space="preserve"> 7</w:t>
            </w:r>
            <w:r w:rsidR="00181E03" w:rsidRPr="000971B9">
              <w:rPr>
                <w:rFonts w:ascii="Arial" w:hAnsi="Arial" w:cs="Arial"/>
                <w:sz w:val="24"/>
                <w:szCs w:val="24"/>
              </w:rPr>
              <w:t>644 1030</w:t>
            </w:r>
          </w:p>
        </w:tc>
      </w:tr>
      <w:tr w:rsidR="007C228C" w:rsidRPr="000971B9" w14:paraId="1903CF91" w14:textId="77777777">
        <w:tc>
          <w:tcPr>
            <w:tcW w:w="3597" w:type="pct"/>
          </w:tcPr>
          <w:p w14:paraId="63CCC363" w14:textId="77777777" w:rsidR="00C34F2D" w:rsidRPr="000971B9" w:rsidRDefault="00C34F2D" w:rsidP="008E3324">
            <w:pPr>
              <w:jc w:val="left"/>
              <w:rPr>
                <w:rFonts w:ascii="Arial" w:hAnsi="Arial" w:cs="Arial"/>
                <w:sz w:val="16"/>
                <w:szCs w:val="16"/>
              </w:rPr>
            </w:pPr>
          </w:p>
        </w:tc>
        <w:tc>
          <w:tcPr>
            <w:tcW w:w="1403" w:type="pct"/>
          </w:tcPr>
          <w:p w14:paraId="4170A201" w14:textId="77777777" w:rsidR="00C34F2D" w:rsidRPr="000971B9" w:rsidRDefault="00C34F2D" w:rsidP="00F979C4">
            <w:pPr>
              <w:jc w:val="right"/>
              <w:rPr>
                <w:rFonts w:ascii="Arial" w:hAnsi="Arial" w:cs="Arial"/>
                <w:sz w:val="16"/>
                <w:szCs w:val="16"/>
              </w:rPr>
            </w:pPr>
          </w:p>
        </w:tc>
      </w:tr>
      <w:tr w:rsidR="007C228C" w:rsidRPr="000971B9" w14:paraId="4A40A1D3" w14:textId="77777777">
        <w:tc>
          <w:tcPr>
            <w:tcW w:w="3597" w:type="pct"/>
          </w:tcPr>
          <w:p w14:paraId="423EA0ED" w14:textId="77777777" w:rsidR="00C34F2D" w:rsidRPr="000971B9" w:rsidRDefault="002750F2" w:rsidP="008E3324">
            <w:pPr>
              <w:jc w:val="left"/>
              <w:rPr>
                <w:rFonts w:ascii="Arial" w:hAnsi="Arial" w:cs="Arial"/>
                <w:sz w:val="24"/>
                <w:szCs w:val="24"/>
              </w:rPr>
            </w:pPr>
            <w:r w:rsidRPr="000971B9">
              <w:rPr>
                <w:rFonts w:ascii="Arial" w:hAnsi="Arial" w:cs="Arial"/>
                <w:sz w:val="24"/>
                <w:szCs w:val="24"/>
              </w:rPr>
              <w:t>Giles Hartley</w:t>
            </w:r>
            <w:r w:rsidR="00C34F2D" w:rsidRPr="000971B9">
              <w:rPr>
                <w:rFonts w:ascii="Arial" w:hAnsi="Arial" w:cs="Arial"/>
                <w:sz w:val="24"/>
                <w:szCs w:val="24"/>
              </w:rPr>
              <w:t>, Investor Relations Manager</w:t>
            </w:r>
          </w:p>
        </w:tc>
        <w:tc>
          <w:tcPr>
            <w:tcW w:w="1403" w:type="pct"/>
          </w:tcPr>
          <w:p w14:paraId="77B0873A" w14:textId="77777777" w:rsidR="00C34F2D" w:rsidRPr="000971B9" w:rsidRDefault="008B1159" w:rsidP="00F979C4">
            <w:pPr>
              <w:jc w:val="right"/>
              <w:rPr>
                <w:rFonts w:ascii="Arial" w:hAnsi="Arial" w:cs="Arial"/>
                <w:sz w:val="24"/>
                <w:szCs w:val="24"/>
              </w:rPr>
            </w:pPr>
            <w:r>
              <w:rPr>
                <w:rFonts w:ascii="Arial" w:hAnsi="Arial" w:cs="Arial"/>
                <w:sz w:val="24"/>
                <w:szCs w:val="24"/>
              </w:rPr>
              <w:t>+44 (</w:t>
            </w:r>
            <w:r w:rsidRPr="000971B9">
              <w:rPr>
                <w:rFonts w:ascii="Arial" w:hAnsi="Arial" w:cs="Arial"/>
                <w:sz w:val="24"/>
                <w:szCs w:val="24"/>
              </w:rPr>
              <w:t>0</w:t>
            </w:r>
            <w:r>
              <w:rPr>
                <w:rFonts w:ascii="Arial" w:hAnsi="Arial" w:cs="Arial"/>
                <w:sz w:val="24"/>
                <w:szCs w:val="24"/>
              </w:rPr>
              <w:t>) 20</w:t>
            </w:r>
            <w:r w:rsidRPr="000971B9">
              <w:rPr>
                <w:rFonts w:ascii="Arial" w:hAnsi="Arial" w:cs="Arial"/>
                <w:sz w:val="24"/>
                <w:szCs w:val="24"/>
              </w:rPr>
              <w:t xml:space="preserve"> 7</w:t>
            </w:r>
            <w:r w:rsidR="00C34F2D" w:rsidRPr="000971B9">
              <w:rPr>
                <w:rFonts w:ascii="Arial" w:hAnsi="Arial" w:cs="Arial"/>
                <w:sz w:val="24"/>
                <w:szCs w:val="24"/>
              </w:rPr>
              <w:t>644 1082</w:t>
            </w:r>
          </w:p>
        </w:tc>
      </w:tr>
      <w:tr w:rsidR="007C228C" w:rsidRPr="008B1159" w14:paraId="228BD52D" w14:textId="77777777">
        <w:tc>
          <w:tcPr>
            <w:tcW w:w="3597" w:type="pct"/>
          </w:tcPr>
          <w:p w14:paraId="2C8CE8E8" w14:textId="77777777" w:rsidR="00181E03" w:rsidRPr="000971B9" w:rsidRDefault="00181E03" w:rsidP="008E3324">
            <w:pPr>
              <w:jc w:val="left"/>
              <w:rPr>
                <w:rFonts w:ascii="Arial" w:hAnsi="Arial" w:cs="Arial"/>
                <w:sz w:val="16"/>
                <w:szCs w:val="16"/>
              </w:rPr>
            </w:pPr>
          </w:p>
        </w:tc>
        <w:tc>
          <w:tcPr>
            <w:tcW w:w="1403" w:type="pct"/>
          </w:tcPr>
          <w:p w14:paraId="34CFCA2C" w14:textId="77777777" w:rsidR="00181E03" w:rsidRPr="000971B9" w:rsidRDefault="00181E03" w:rsidP="00F979C4">
            <w:pPr>
              <w:jc w:val="right"/>
              <w:rPr>
                <w:rFonts w:ascii="Arial" w:hAnsi="Arial" w:cs="Arial"/>
                <w:sz w:val="16"/>
                <w:szCs w:val="16"/>
              </w:rPr>
            </w:pPr>
          </w:p>
        </w:tc>
      </w:tr>
      <w:tr w:rsidR="008B1159" w:rsidRPr="000971B9" w14:paraId="76ABDA5E" w14:textId="77777777">
        <w:tc>
          <w:tcPr>
            <w:tcW w:w="3597" w:type="pct"/>
          </w:tcPr>
          <w:p w14:paraId="697DD4FE" w14:textId="77777777" w:rsidR="008B1159" w:rsidRPr="000971B9" w:rsidRDefault="008B1159" w:rsidP="008B1159">
            <w:pPr>
              <w:jc w:val="left"/>
              <w:rPr>
                <w:rFonts w:ascii="Arial" w:hAnsi="Arial" w:cs="Arial"/>
                <w:sz w:val="16"/>
                <w:szCs w:val="16"/>
              </w:rPr>
            </w:pPr>
            <w:r w:rsidRPr="000971B9">
              <w:rPr>
                <w:rFonts w:ascii="Arial" w:hAnsi="Arial" w:cs="Arial"/>
                <w:sz w:val="24"/>
                <w:szCs w:val="24"/>
              </w:rPr>
              <w:t>Brunswick</w:t>
            </w:r>
          </w:p>
        </w:tc>
        <w:tc>
          <w:tcPr>
            <w:tcW w:w="1403" w:type="pct"/>
          </w:tcPr>
          <w:p w14:paraId="1B611694" w14:textId="77777777" w:rsidR="008B1159" w:rsidRPr="000971B9" w:rsidRDefault="008B1159" w:rsidP="008B1159">
            <w:pPr>
              <w:jc w:val="right"/>
              <w:rPr>
                <w:rFonts w:ascii="Arial" w:hAnsi="Arial" w:cs="Arial"/>
                <w:sz w:val="16"/>
                <w:szCs w:val="16"/>
              </w:rPr>
            </w:pPr>
            <w:r>
              <w:rPr>
                <w:rFonts w:ascii="Arial" w:hAnsi="Arial" w:cs="Arial"/>
                <w:sz w:val="24"/>
                <w:szCs w:val="24"/>
              </w:rPr>
              <w:t>+44 (</w:t>
            </w:r>
            <w:r w:rsidRPr="000971B9">
              <w:rPr>
                <w:rFonts w:ascii="Arial" w:hAnsi="Arial" w:cs="Arial"/>
                <w:sz w:val="24"/>
                <w:szCs w:val="24"/>
              </w:rPr>
              <w:t>0</w:t>
            </w:r>
            <w:r>
              <w:rPr>
                <w:rFonts w:ascii="Arial" w:hAnsi="Arial" w:cs="Arial"/>
                <w:sz w:val="24"/>
                <w:szCs w:val="24"/>
              </w:rPr>
              <w:t>) 20</w:t>
            </w:r>
            <w:r w:rsidRPr="000971B9">
              <w:rPr>
                <w:rFonts w:ascii="Arial" w:hAnsi="Arial" w:cs="Arial"/>
                <w:sz w:val="24"/>
                <w:szCs w:val="24"/>
              </w:rPr>
              <w:t xml:space="preserve"> 7404 5959</w:t>
            </w:r>
          </w:p>
        </w:tc>
      </w:tr>
      <w:tr w:rsidR="008B1159" w:rsidRPr="008B1159" w14:paraId="7FAD8A80" w14:textId="77777777">
        <w:tc>
          <w:tcPr>
            <w:tcW w:w="3597" w:type="pct"/>
            <w:tcBorders>
              <w:bottom w:val="single" w:sz="4" w:space="0" w:color="auto"/>
            </w:tcBorders>
          </w:tcPr>
          <w:p w14:paraId="39E5479A" w14:textId="77777777" w:rsidR="008B1159" w:rsidRPr="006E1748" w:rsidRDefault="008B1159" w:rsidP="008B1159">
            <w:pPr>
              <w:jc w:val="left"/>
              <w:rPr>
                <w:rFonts w:ascii="Arial" w:hAnsi="Arial" w:cs="Arial"/>
                <w:sz w:val="16"/>
                <w:szCs w:val="16"/>
              </w:rPr>
            </w:pPr>
          </w:p>
        </w:tc>
        <w:tc>
          <w:tcPr>
            <w:tcW w:w="1403" w:type="pct"/>
            <w:tcBorders>
              <w:bottom w:val="single" w:sz="4" w:space="0" w:color="auto"/>
            </w:tcBorders>
          </w:tcPr>
          <w:p w14:paraId="2BF8B7BD" w14:textId="77777777" w:rsidR="008B1159" w:rsidRPr="006E1748" w:rsidRDefault="008B1159" w:rsidP="008B1159">
            <w:pPr>
              <w:jc w:val="right"/>
              <w:rPr>
                <w:rFonts w:ascii="Arial" w:hAnsi="Arial" w:cs="Arial"/>
                <w:sz w:val="16"/>
                <w:szCs w:val="16"/>
              </w:rPr>
            </w:pPr>
          </w:p>
        </w:tc>
      </w:tr>
    </w:tbl>
    <w:p w14:paraId="3FA73D39" w14:textId="77777777" w:rsidR="008E7383" w:rsidRPr="000971B9" w:rsidRDefault="008E7383" w:rsidP="00AD5BF9">
      <w:pPr>
        <w:jc w:val="left"/>
        <w:rPr>
          <w:rFonts w:ascii="Arial" w:hAnsi="Arial" w:cs="Arial"/>
          <w:sz w:val="24"/>
          <w:szCs w:val="24"/>
        </w:rPr>
      </w:pPr>
    </w:p>
    <w:p w14:paraId="0DE47CC4" w14:textId="77777777" w:rsidR="007C228C" w:rsidRPr="000971B9" w:rsidRDefault="007C228C" w:rsidP="007C228C">
      <w:pPr>
        <w:jc w:val="left"/>
        <w:rPr>
          <w:rFonts w:ascii="Arial" w:hAnsi="Arial" w:cs="Arial"/>
          <w:sz w:val="24"/>
          <w:szCs w:val="24"/>
        </w:rPr>
      </w:pPr>
      <w:r w:rsidRPr="000971B9">
        <w:rPr>
          <w:rFonts w:ascii="Arial" w:hAnsi="Arial" w:cs="Arial"/>
          <w:sz w:val="24"/>
          <w:szCs w:val="24"/>
        </w:rPr>
        <w:t>Further copies of this announcement can be downloaded from www.kingfisher.com or</w:t>
      </w:r>
    </w:p>
    <w:p w14:paraId="37A2BF57" w14:textId="4BC7BF0A" w:rsidR="00181E03" w:rsidRPr="000971B9" w:rsidRDefault="007C228C" w:rsidP="007C228C">
      <w:pPr>
        <w:jc w:val="left"/>
        <w:rPr>
          <w:rFonts w:ascii="Arial" w:hAnsi="Arial" w:cs="Arial"/>
          <w:sz w:val="24"/>
          <w:szCs w:val="24"/>
        </w:rPr>
      </w:pPr>
      <w:r w:rsidRPr="000971B9">
        <w:rPr>
          <w:rFonts w:ascii="Arial" w:hAnsi="Arial" w:cs="Arial"/>
          <w:sz w:val="24"/>
          <w:szCs w:val="24"/>
        </w:rPr>
        <w:t xml:space="preserve">viewed on the Kingfisher IR iPad App available for free at the Apple App store. </w:t>
      </w:r>
      <w:r w:rsidR="00BC7493">
        <w:rPr>
          <w:rFonts w:ascii="Arial" w:hAnsi="Arial" w:cs="Arial"/>
          <w:sz w:val="24"/>
          <w:szCs w:val="24"/>
        </w:rPr>
        <w:t>W</w:t>
      </w:r>
      <w:r w:rsidRPr="000971B9">
        <w:rPr>
          <w:rFonts w:ascii="Arial" w:hAnsi="Arial" w:cs="Arial"/>
          <w:sz w:val="24"/>
          <w:szCs w:val="24"/>
        </w:rPr>
        <w:t>e can be followed on twitter</w:t>
      </w:r>
      <w:r w:rsidR="00BC7493">
        <w:rPr>
          <w:rFonts w:ascii="Arial" w:hAnsi="Arial" w:cs="Arial"/>
          <w:sz w:val="24"/>
          <w:szCs w:val="24"/>
        </w:rPr>
        <w:t xml:space="preserve"> </w:t>
      </w:r>
      <w:r w:rsidRPr="000971B9">
        <w:rPr>
          <w:rFonts w:ascii="Arial" w:hAnsi="Arial" w:cs="Arial"/>
          <w:sz w:val="24"/>
          <w:szCs w:val="24"/>
        </w:rPr>
        <w:t>@kingfisherplc.</w:t>
      </w:r>
    </w:p>
    <w:p w14:paraId="79934492" w14:textId="77777777" w:rsidR="00025774" w:rsidRPr="000971B9" w:rsidRDefault="00025774" w:rsidP="007C228C">
      <w:pPr>
        <w:jc w:val="left"/>
        <w:rPr>
          <w:rFonts w:ascii="Arial" w:hAnsi="Arial" w:cs="Arial"/>
          <w:sz w:val="24"/>
          <w:szCs w:val="24"/>
        </w:rPr>
      </w:pPr>
    </w:p>
    <w:p w14:paraId="21BA8F53" w14:textId="77777777" w:rsidR="007C228C" w:rsidRPr="000971B9" w:rsidRDefault="007C228C" w:rsidP="007C228C">
      <w:pPr>
        <w:autoSpaceDE w:val="0"/>
        <w:autoSpaceDN w:val="0"/>
        <w:adjustRightInd w:val="0"/>
        <w:jc w:val="left"/>
        <w:rPr>
          <w:rFonts w:ascii="Arial" w:hAnsi="Arial" w:cs="Arial"/>
          <w:sz w:val="24"/>
          <w:szCs w:val="24"/>
        </w:rPr>
      </w:pPr>
      <w:r w:rsidRPr="000971B9">
        <w:rPr>
          <w:rFonts w:ascii="Arial" w:hAnsi="Arial" w:cs="Arial"/>
          <w:sz w:val="24"/>
          <w:szCs w:val="24"/>
        </w:rPr>
        <w:t>Kingfisher American Depository Receipts are traded in the US on the OTCQX platform:</w:t>
      </w:r>
    </w:p>
    <w:p w14:paraId="0D19276A" w14:textId="77777777" w:rsidR="007C228C" w:rsidRPr="000971B9" w:rsidRDefault="007C228C" w:rsidP="007C228C">
      <w:pPr>
        <w:autoSpaceDE w:val="0"/>
        <w:autoSpaceDN w:val="0"/>
        <w:adjustRightInd w:val="0"/>
        <w:jc w:val="left"/>
        <w:rPr>
          <w:rFonts w:ascii="Arial" w:hAnsi="Arial" w:cs="Arial"/>
          <w:sz w:val="24"/>
          <w:szCs w:val="24"/>
        </w:rPr>
      </w:pPr>
      <w:r w:rsidRPr="000971B9">
        <w:rPr>
          <w:rFonts w:ascii="Arial" w:hAnsi="Arial" w:cs="Arial"/>
          <w:sz w:val="24"/>
          <w:szCs w:val="24"/>
        </w:rPr>
        <w:t>(OTCQX: KGFHY)</w:t>
      </w:r>
    </w:p>
    <w:p w14:paraId="1909D332" w14:textId="77777777" w:rsidR="007C228C" w:rsidRPr="000971B9" w:rsidRDefault="007C228C" w:rsidP="007C228C">
      <w:pPr>
        <w:jc w:val="left"/>
        <w:rPr>
          <w:rFonts w:ascii="Arial" w:hAnsi="Arial" w:cs="Arial"/>
          <w:sz w:val="24"/>
          <w:szCs w:val="24"/>
        </w:rPr>
      </w:pPr>
      <w:r w:rsidRPr="000971B9">
        <w:rPr>
          <w:rFonts w:ascii="Arial" w:hAnsi="Arial" w:cs="Arial"/>
          <w:sz w:val="24"/>
          <w:szCs w:val="24"/>
        </w:rPr>
        <w:t>http://www.otcmarkets.com/stock/KGFHY/quote</w:t>
      </w:r>
    </w:p>
    <w:p w14:paraId="46D1A22A" w14:textId="116AA87E" w:rsidR="00341E1C" w:rsidRPr="000971B9" w:rsidRDefault="00341E1C" w:rsidP="00A1426F">
      <w:pPr>
        <w:autoSpaceDE w:val="0"/>
        <w:autoSpaceDN w:val="0"/>
        <w:adjustRightInd w:val="0"/>
        <w:jc w:val="left"/>
        <w:rPr>
          <w:rFonts w:ascii="Arial" w:hAnsi="Arial" w:cs="Arial"/>
          <w:sz w:val="24"/>
          <w:szCs w:val="24"/>
        </w:rPr>
      </w:pPr>
    </w:p>
    <w:p w14:paraId="734701CB" w14:textId="24CBE241" w:rsidR="00025774" w:rsidRPr="000971B9" w:rsidRDefault="00181E03" w:rsidP="00EE1E29">
      <w:pPr>
        <w:jc w:val="left"/>
        <w:rPr>
          <w:rFonts w:ascii="Arial" w:hAnsi="Arial" w:cs="Arial"/>
          <w:sz w:val="24"/>
          <w:szCs w:val="24"/>
        </w:rPr>
      </w:pPr>
      <w:r w:rsidRPr="000971B9">
        <w:rPr>
          <w:rFonts w:ascii="Arial" w:hAnsi="Arial" w:cs="Arial"/>
          <w:sz w:val="24"/>
          <w:szCs w:val="24"/>
        </w:rPr>
        <w:t xml:space="preserve">The remainder of this release </w:t>
      </w:r>
      <w:r w:rsidR="009B6367" w:rsidRPr="000971B9">
        <w:rPr>
          <w:rFonts w:ascii="Arial" w:hAnsi="Arial" w:cs="Arial"/>
          <w:sz w:val="24"/>
          <w:szCs w:val="24"/>
        </w:rPr>
        <w:t xml:space="preserve">is broken down into </w:t>
      </w:r>
      <w:r w:rsidR="00F865E8">
        <w:rPr>
          <w:rFonts w:ascii="Arial" w:hAnsi="Arial" w:cs="Arial"/>
          <w:sz w:val="24"/>
          <w:szCs w:val="24"/>
        </w:rPr>
        <w:t>six</w:t>
      </w:r>
      <w:r w:rsidR="00101D68" w:rsidRPr="000971B9">
        <w:rPr>
          <w:rFonts w:ascii="Arial" w:hAnsi="Arial" w:cs="Arial"/>
          <w:sz w:val="24"/>
          <w:szCs w:val="24"/>
        </w:rPr>
        <w:t xml:space="preserve"> </w:t>
      </w:r>
      <w:r w:rsidRPr="000971B9">
        <w:rPr>
          <w:rFonts w:ascii="Arial" w:hAnsi="Arial" w:cs="Arial"/>
          <w:sz w:val="24"/>
          <w:szCs w:val="24"/>
        </w:rPr>
        <w:t>main sections:</w:t>
      </w:r>
    </w:p>
    <w:p w14:paraId="061CAF1A" w14:textId="77777777" w:rsidR="00C34F2D" w:rsidRPr="000971B9" w:rsidRDefault="0081307B" w:rsidP="00630EE8">
      <w:pPr>
        <w:numPr>
          <w:ilvl w:val="0"/>
          <w:numId w:val="2"/>
        </w:numPr>
        <w:ind w:left="360"/>
        <w:jc w:val="left"/>
        <w:rPr>
          <w:rFonts w:ascii="Arial" w:hAnsi="Arial" w:cs="Arial"/>
          <w:sz w:val="24"/>
          <w:szCs w:val="24"/>
        </w:rPr>
      </w:pPr>
      <w:r>
        <w:rPr>
          <w:rFonts w:ascii="Arial" w:hAnsi="Arial" w:cs="Arial"/>
          <w:sz w:val="24"/>
          <w:szCs w:val="24"/>
        </w:rPr>
        <w:t>Strategic update</w:t>
      </w:r>
    </w:p>
    <w:p w14:paraId="157630B8" w14:textId="77777777" w:rsidR="003E3617" w:rsidRPr="000971B9" w:rsidRDefault="007B306A" w:rsidP="00630EE8">
      <w:pPr>
        <w:numPr>
          <w:ilvl w:val="0"/>
          <w:numId w:val="2"/>
        </w:numPr>
        <w:ind w:left="360"/>
        <w:jc w:val="left"/>
        <w:rPr>
          <w:rFonts w:ascii="Arial" w:hAnsi="Arial" w:cs="Arial"/>
          <w:sz w:val="24"/>
          <w:szCs w:val="24"/>
        </w:rPr>
      </w:pPr>
      <w:r>
        <w:rPr>
          <w:rFonts w:ascii="Arial" w:hAnsi="Arial" w:cs="Arial"/>
          <w:sz w:val="24"/>
          <w:szCs w:val="24"/>
        </w:rPr>
        <w:t>2014/15 rev</w:t>
      </w:r>
      <w:r w:rsidR="003E3617" w:rsidRPr="000971B9">
        <w:rPr>
          <w:rFonts w:ascii="Arial" w:hAnsi="Arial" w:cs="Arial"/>
          <w:sz w:val="24"/>
          <w:szCs w:val="24"/>
        </w:rPr>
        <w:t>iew by major geography</w:t>
      </w:r>
    </w:p>
    <w:p w14:paraId="7237C620" w14:textId="77777777" w:rsidR="003A35D2" w:rsidRPr="000971B9" w:rsidRDefault="00AC5413" w:rsidP="003A35D2">
      <w:pPr>
        <w:numPr>
          <w:ilvl w:val="0"/>
          <w:numId w:val="2"/>
        </w:numPr>
        <w:ind w:left="360"/>
        <w:jc w:val="left"/>
        <w:rPr>
          <w:rFonts w:ascii="Arial" w:hAnsi="Arial" w:cs="Arial"/>
          <w:b/>
          <w:bCs/>
          <w:sz w:val="28"/>
          <w:szCs w:val="28"/>
        </w:rPr>
      </w:pPr>
      <w:r w:rsidRPr="000971B9">
        <w:rPr>
          <w:rFonts w:ascii="Arial" w:hAnsi="Arial" w:cs="Arial"/>
          <w:sz w:val="24"/>
          <w:szCs w:val="24"/>
        </w:rPr>
        <w:t>201</w:t>
      </w:r>
      <w:r w:rsidR="004B0132">
        <w:rPr>
          <w:rFonts w:ascii="Arial" w:hAnsi="Arial" w:cs="Arial"/>
          <w:sz w:val="24"/>
          <w:szCs w:val="24"/>
        </w:rPr>
        <w:t>4</w:t>
      </w:r>
      <w:r w:rsidRPr="000971B9">
        <w:rPr>
          <w:rFonts w:ascii="Arial" w:hAnsi="Arial" w:cs="Arial"/>
          <w:sz w:val="24"/>
          <w:szCs w:val="24"/>
        </w:rPr>
        <w:t>/1</w:t>
      </w:r>
      <w:r w:rsidR="004B0132">
        <w:rPr>
          <w:rFonts w:ascii="Arial" w:hAnsi="Arial" w:cs="Arial"/>
          <w:sz w:val="24"/>
          <w:szCs w:val="24"/>
        </w:rPr>
        <w:t>5</w:t>
      </w:r>
      <w:r w:rsidR="00B11B25" w:rsidRPr="000971B9">
        <w:rPr>
          <w:rFonts w:ascii="Arial" w:hAnsi="Arial" w:cs="Arial"/>
          <w:sz w:val="24"/>
          <w:szCs w:val="24"/>
        </w:rPr>
        <w:t xml:space="preserve"> </w:t>
      </w:r>
      <w:r w:rsidR="003A35D2" w:rsidRPr="000971B9">
        <w:rPr>
          <w:rFonts w:ascii="Arial" w:hAnsi="Arial" w:cs="Arial"/>
          <w:sz w:val="24"/>
          <w:szCs w:val="24"/>
        </w:rPr>
        <w:t xml:space="preserve">Financial Review and, </w:t>
      </w:r>
      <w:r w:rsidR="003A35D2" w:rsidRPr="00506D26">
        <w:rPr>
          <w:rFonts w:ascii="Arial" w:hAnsi="Arial" w:cs="Arial"/>
          <w:sz w:val="24"/>
          <w:szCs w:val="24"/>
        </w:rPr>
        <w:t>in part 2</w:t>
      </w:r>
      <w:r w:rsidR="003A35D2" w:rsidRPr="000971B9">
        <w:rPr>
          <w:rFonts w:ascii="Arial" w:hAnsi="Arial" w:cs="Arial"/>
          <w:sz w:val="24"/>
          <w:szCs w:val="24"/>
        </w:rPr>
        <w:t xml:space="preserve"> of this release, the preliminary Financial Statements</w:t>
      </w:r>
    </w:p>
    <w:p w14:paraId="60B8BE2C" w14:textId="48F8B6B4" w:rsidR="00B11B25" w:rsidRPr="000971B9" w:rsidRDefault="003A35D2" w:rsidP="00630EE8">
      <w:pPr>
        <w:numPr>
          <w:ilvl w:val="0"/>
          <w:numId w:val="2"/>
        </w:numPr>
        <w:ind w:left="360"/>
        <w:jc w:val="left"/>
        <w:rPr>
          <w:rFonts w:ascii="Arial" w:hAnsi="Arial" w:cs="Arial"/>
          <w:sz w:val="24"/>
          <w:szCs w:val="24"/>
        </w:rPr>
      </w:pPr>
      <w:r>
        <w:rPr>
          <w:rFonts w:ascii="Arial" w:hAnsi="Arial" w:cs="Arial"/>
          <w:sz w:val="24"/>
          <w:szCs w:val="24"/>
        </w:rPr>
        <w:t xml:space="preserve">2015/16 </w:t>
      </w:r>
      <w:r w:rsidR="00BC7493">
        <w:rPr>
          <w:rFonts w:ascii="Arial" w:hAnsi="Arial" w:cs="Arial"/>
          <w:sz w:val="24"/>
          <w:szCs w:val="24"/>
        </w:rPr>
        <w:t>Technical guidance</w:t>
      </w:r>
    </w:p>
    <w:p w14:paraId="2A648443" w14:textId="77777777" w:rsidR="00421ED6" w:rsidRPr="00B672B2" w:rsidRDefault="00421ED6" w:rsidP="00630EE8">
      <w:pPr>
        <w:numPr>
          <w:ilvl w:val="0"/>
          <w:numId w:val="2"/>
        </w:numPr>
        <w:ind w:left="360"/>
        <w:jc w:val="left"/>
        <w:rPr>
          <w:rFonts w:ascii="Arial" w:hAnsi="Arial" w:cs="Arial"/>
          <w:b/>
          <w:bCs/>
          <w:sz w:val="28"/>
          <w:szCs w:val="28"/>
        </w:rPr>
      </w:pPr>
      <w:r w:rsidRPr="000971B9">
        <w:rPr>
          <w:rFonts w:ascii="Arial" w:hAnsi="Arial" w:cs="Arial"/>
          <w:sz w:val="24"/>
          <w:szCs w:val="24"/>
        </w:rPr>
        <w:t>Glossary</w:t>
      </w:r>
    </w:p>
    <w:p w14:paraId="09C0C629" w14:textId="08712066" w:rsidR="00F865E8" w:rsidRPr="000971B9" w:rsidRDefault="00F865E8" w:rsidP="00630EE8">
      <w:pPr>
        <w:numPr>
          <w:ilvl w:val="0"/>
          <w:numId w:val="2"/>
        </w:numPr>
        <w:ind w:left="360"/>
        <w:jc w:val="left"/>
        <w:rPr>
          <w:rFonts w:ascii="Arial" w:hAnsi="Arial" w:cs="Arial"/>
          <w:b/>
          <w:bCs/>
          <w:sz w:val="28"/>
          <w:szCs w:val="28"/>
        </w:rPr>
      </w:pPr>
      <w:r>
        <w:rPr>
          <w:rFonts w:ascii="Arial" w:hAnsi="Arial" w:cs="Arial"/>
          <w:sz w:val="24"/>
          <w:szCs w:val="24"/>
        </w:rPr>
        <w:t>Forward-looking statements</w:t>
      </w:r>
    </w:p>
    <w:p w14:paraId="6D32D5DB" w14:textId="77777777" w:rsidR="00230F47" w:rsidRPr="000971B9" w:rsidRDefault="00230F47" w:rsidP="00F4055C">
      <w:pPr>
        <w:ind w:left="360"/>
        <w:jc w:val="left"/>
        <w:rPr>
          <w:rFonts w:ascii="Arial" w:hAnsi="Arial" w:cs="Arial"/>
          <w:b/>
          <w:bCs/>
          <w:sz w:val="28"/>
          <w:szCs w:val="28"/>
        </w:rPr>
      </w:pPr>
    </w:p>
    <w:p w14:paraId="52431264" w14:textId="77777777" w:rsidR="00A83A46" w:rsidRDefault="00A83A46" w:rsidP="003E3617">
      <w:pPr>
        <w:jc w:val="left"/>
        <w:rPr>
          <w:rFonts w:ascii="Arial" w:hAnsi="Arial" w:cs="Arial"/>
          <w:b/>
          <w:sz w:val="24"/>
          <w:szCs w:val="24"/>
        </w:rPr>
      </w:pPr>
    </w:p>
    <w:p w14:paraId="3E1E5663" w14:textId="77777777" w:rsidR="00C97F3B" w:rsidRDefault="00C97F3B" w:rsidP="003E3617">
      <w:pPr>
        <w:jc w:val="left"/>
        <w:rPr>
          <w:rFonts w:ascii="Arial" w:hAnsi="Arial" w:cs="Arial"/>
          <w:b/>
          <w:sz w:val="24"/>
          <w:szCs w:val="24"/>
        </w:rPr>
      </w:pPr>
    </w:p>
    <w:p w14:paraId="2CE4FB4B" w14:textId="77777777" w:rsidR="00C97F3B" w:rsidRDefault="00C97F3B" w:rsidP="003E3617">
      <w:pPr>
        <w:jc w:val="left"/>
        <w:rPr>
          <w:rFonts w:ascii="Arial" w:hAnsi="Arial" w:cs="Arial"/>
          <w:b/>
          <w:sz w:val="24"/>
          <w:szCs w:val="24"/>
        </w:rPr>
      </w:pPr>
    </w:p>
    <w:p w14:paraId="04956A4C" w14:textId="77777777" w:rsidR="00BB4C68" w:rsidRDefault="00BB4C68" w:rsidP="003E3617">
      <w:pPr>
        <w:jc w:val="left"/>
        <w:rPr>
          <w:rFonts w:ascii="Arial" w:hAnsi="Arial" w:cs="Arial"/>
          <w:b/>
          <w:sz w:val="24"/>
          <w:szCs w:val="24"/>
        </w:rPr>
      </w:pPr>
    </w:p>
    <w:p w14:paraId="495DA3DB" w14:textId="77777777" w:rsidR="00125606" w:rsidRDefault="00125606" w:rsidP="003E3617">
      <w:pPr>
        <w:jc w:val="left"/>
        <w:rPr>
          <w:rFonts w:ascii="Arial" w:hAnsi="Arial" w:cs="Arial"/>
          <w:b/>
          <w:sz w:val="24"/>
          <w:szCs w:val="24"/>
        </w:rPr>
      </w:pPr>
    </w:p>
    <w:p w14:paraId="2863D570" w14:textId="77777777" w:rsidR="003E3617" w:rsidRPr="000971B9" w:rsidRDefault="003E3617" w:rsidP="003E3617">
      <w:pPr>
        <w:jc w:val="left"/>
        <w:rPr>
          <w:rFonts w:ascii="Arial" w:hAnsi="Arial" w:cs="Arial"/>
          <w:b/>
          <w:sz w:val="24"/>
          <w:szCs w:val="24"/>
        </w:rPr>
      </w:pPr>
      <w:r w:rsidRPr="000971B9">
        <w:rPr>
          <w:rFonts w:ascii="Arial" w:hAnsi="Arial" w:cs="Arial"/>
          <w:b/>
          <w:sz w:val="24"/>
          <w:szCs w:val="24"/>
        </w:rPr>
        <w:lastRenderedPageBreak/>
        <w:t>Section 1</w:t>
      </w:r>
      <w:r w:rsidR="00376255" w:rsidRPr="000971B9">
        <w:rPr>
          <w:rFonts w:ascii="Arial" w:hAnsi="Arial" w:cs="Arial"/>
          <w:b/>
          <w:sz w:val="24"/>
          <w:szCs w:val="24"/>
        </w:rPr>
        <w:t xml:space="preserve">: </w:t>
      </w:r>
      <w:r w:rsidR="008268A4">
        <w:rPr>
          <w:rFonts w:ascii="Arial" w:hAnsi="Arial" w:cs="Arial"/>
          <w:b/>
          <w:sz w:val="24"/>
          <w:szCs w:val="24"/>
        </w:rPr>
        <w:t>STRATEGIC</w:t>
      </w:r>
      <w:r w:rsidRPr="000971B9">
        <w:rPr>
          <w:rFonts w:ascii="Arial" w:hAnsi="Arial" w:cs="Arial"/>
          <w:b/>
          <w:sz w:val="24"/>
          <w:szCs w:val="24"/>
        </w:rPr>
        <w:t xml:space="preserve"> UPDATE</w:t>
      </w:r>
    </w:p>
    <w:p w14:paraId="18FFEB1A" w14:textId="77777777" w:rsidR="00593A8E" w:rsidRDefault="00593A8E" w:rsidP="006C2C39">
      <w:pPr>
        <w:jc w:val="left"/>
        <w:rPr>
          <w:highlight w:val="yellow"/>
        </w:rPr>
      </w:pPr>
    </w:p>
    <w:p w14:paraId="2CEB0DE0" w14:textId="70F4D359" w:rsidR="00DF50ED" w:rsidRDefault="005F081C" w:rsidP="00DF50ED">
      <w:pPr>
        <w:jc w:val="left"/>
        <w:rPr>
          <w:rFonts w:ascii="Arial" w:hAnsi="Arial" w:cs="Arial"/>
          <w:sz w:val="24"/>
          <w:szCs w:val="24"/>
        </w:rPr>
      </w:pPr>
      <w:r>
        <w:rPr>
          <w:rFonts w:ascii="Arial" w:hAnsi="Arial" w:cs="Arial"/>
          <w:sz w:val="24"/>
          <w:szCs w:val="24"/>
        </w:rPr>
        <w:t>Following the appointment of V</w:t>
      </w:r>
      <w:r w:rsidR="00667BCD">
        <w:rPr>
          <w:rFonts w:ascii="Arial" w:hAnsi="Arial" w:cs="Arial"/>
          <w:sz w:val="24"/>
          <w:szCs w:val="24"/>
        </w:rPr>
        <w:t>é</w:t>
      </w:r>
      <w:r>
        <w:rPr>
          <w:rFonts w:ascii="Arial" w:hAnsi="Arial" w:cs="Arial"/>
          <w:sz w:val="24"/>
          <w:szCs w:val="24"/>
        </w:rPr>
        <w:t xml:space="preserve">ronique Laury as </w:t>
      </w:r>
      <w:r w:rsidR="00210C5B">
        <w:rPr>
          <w:rFonts w:ascii="Arial" w:hAnsi="Arial" w:cs="Arial"/>
          <w:sz w:val="24"/>
          <w:szCs w:val="24"/>
        </w:rPr>
        <w:t>Chief Executive Officer</w:t>
      </w:r>
      <w:r>
        <w:rPr>
          <w:rFonts w:ascii="Arial" w:hAnsi="Arial" w:cs="Arial"/>
          <w:sz w:val="24"/>
          <w:szCs w:val="24"/>
        </w:rPr>
        <w:t xml:space="preserve"> the </w:t>
      </w:r>
      <w:r w:rsidR="00C556E4">
        <w:rPr>
          <w:rFonts w:ascii="Arial" w:hAnsi="Arial" w:cs="Arial"/>
          <w:sz w:val="24"/>
          <w:szCs w:val="24"/>
        </w:rPr>
        <w:t>leadership</w:t>
      </w:r>
      <w:r>
        <w:rPr>
          <w:rFonts w:ascii="Arial" w:hAnsi="Arial" w:cs="Arial"/>
          <w:sz w:val="24"/>
          <w:szCs w:val="24"/>
        </w:rPr>
        <w:t xml:space="preserve"> team </w:t>
      </w:r>
      <w:r w:rsidR="00C556E4">
        <w:rPr>
          <w:rFonts w:ascii="Arial" w:hAnsi="Arial" w:cs="Arial"/>
          <w:sz w:val="24"/>
          <w:szCs w:val="24"/>
        </w:rPr>
        <w:t xml:space="preserve">commenced a </w:t>
      </w:r>
      <w:r>
        <w:rPr>
          <w:rFonts w:ascii="Arial" w:hAnsi="Arial" w:cs="Arial"/>
          <w:sz w:val="24"/>
          <w:szCs w:val="24"/>
        </w:rPr>
        <w:t>review</w:t>
      </w:r>
      <w:r w:rsidR="00C556E4">
        <w:rPr>
          <w:rFonts w:ascii="Arial" w:hAnsi="Arial" w:cs="Arial"/>
          <w:sz w:val="24"/>
          <w:szCs w:val="24"/>
        </w:rPr>
        <w:t xml:space="preserve"> of</w:t>
      </w:r>
      <w:r>
        <w:rPr>
          <w:rFonts w:ascii="Arial" w:hAnsi="Arial" w:cs="Arial"/>
          <w:sz w:val="24"/>
          <w:szCs w:val="24"/>
        </w:rPr>
        <w:t xml:space="preserve"> Kingfisher’s business and strategy. They concluded that Kingfisher’s position and prospects in the attractive European home improvement market w</w:t>
      </w:r>
      <w:r w:rsidR="00C556E4">
        <w:rPr>
          <w:rFonts w:ascii="Arial" w:hAnsi="Arial" w:cs="Arial"/>
          <w:sz w:val="24"/>
          <w:szCs w:val="24"/>
        </w:rPr>
        <w:t>ere</w:t>
      </w:r>
      <w:r>
        <w:rPr>
          <w:rFonts w:ascii="Arial" w:hAnsi="Arial" w:cs="Arial"/>
          <w:sz w:val="24"/>
          <w:szCs w:val="24"/>
        </w:rPr>
        <w:t xml:space="preserve"> strong, but that the business need</w:t>
      </w:r>
      <w:r w:rsidR="00C556E4">
        <w:rPr>
          <w:rFonts w:ascii="Arial" w:hAnsi="Arial" w:cs="Arial"/>
          <w:sz w:val="24"/>
          <w:szCs w:val="24"/>
        </w:rPr>
        <w:t>s</w:t>
      </w:r>
      <w:r>
        <w:rPr>
          <w:rFonts w:ascii="Arial" w:hAnsi="Arial" w:cs="Arial"/>
          <w:sz w:val="24"/>
          <w:szCs w:val="24"/>
        </w:rPr>
        <w:t xml:space="preserve"> to be organised very differently to deliver </w:t>
      </w:r>
      <w:r w:rsidR="00DB3C08">
        <w:rPr>
          <w:rFonts w:ascii="Arial" w:hAnsi="Arial" w:cs="Arial"/>
          <w:sz w:val="24"/>
          <w:szCs w:val="24"/>
        </w:rPr>
        <w:t xml:space="preserve">the </w:t>
      </w:r>
      <w:r>
        <w:rPr>
          <w:rFonts w:ascii="Arial" w:hAnsi="Arial" w:cs="Arial"/>
          <w:sz w:val="24"/>
          <w:szCs w:val="24"/>
        </w:rPr>
        <w:t>full potential</w:t>
      </w:r>
      <w:r w:rsidR="00DB3C08">
        <w:rPr>
          <w:rFonts w:ascii="Arial" w:hAnsi="Arial" w:cs="Arial"/>
          <w:sz w:val="24"/>
          <w:szCs w:val="24"/>
        </w:rPr>
        <w:t xml:space="preserve"> of ‘ONE’ Kingfisher</w:t>
      </w:r>
      <w:r>
        <w:rPr>
          <w:rFonts w:ascii="Arial" w:hAnsi="Arial" w:cs="Arial"/>
          <w:sz w:val="24"/>
          <w:szCs w:val="24"/>
        </w:rPr>
        <w:t xml:space="preserve">. </w:t>
      </w:r>
    </w:p>
    <w:p w14:paraId="50802483" w14:textId="77777777" w:rsidR="00DF50ED" w:rsidRDefault="00DF50ED" w:rsidP="005F081C">
      <w:pPr>
        <w:jc w:val="left"/>
        <w:rPr>
          <w:rFonts w:ascii="Arial" w:hAnsi="Arial" w:cs="Arial"/>
          <w:sz w:val="24"/>
          <w:szCs w:val="24"/>
        </w:rPr>
      </w:pPr>
    </w:p>
    <w:p w14:paraId="5F05A322" w14:textId="77777777" w:rsidR="005F081C" w:rsidRDefault="005F081C" w:rsidP="005F081C">
      <w:pPr>
        <w:jc w:val="left"/>
        <w:rPr>
          <w:rFonts w:ascii="Arial" w:hAnsi="Arial" w:cs="Arial"/>
          <w:sz w:val="24"/>
          <w:szCs w:val="24"/>
        </w:rPr>
      </w:pPr>
      <w:r>
        <w:rPr>
          <w:rFonts w:ascii="Arial" w:hAnsi="Arial" w:cs="Arial"/>
          <w:sz w:val="24"/>
          <w:szCs w:val="24"/>
        </w:rPr>
        <w:t>A summary of the review findings are</w:t>
      </w:r>
      <w:r w:rsidR="009D56ED">
        <w:rPr>
          <w:rFonts w:ascii="Arial" w:hAnsi="Arial" w:cs="Arial"/>
          <w:sz w:val="24"/>
          <w:szCs w:val="24"/>
        </w:rPr>
        <w:t xml:space="preserve"> below</w:t>
      </w:r>
      <w:r>
        <w:rPr>
          <w:rFonts w:ascii="Arial" w:hAnsi="Arial" w:cs="Arial"/>
          <w:sz w:val="24"/>
          <w:szCs w:val="24"/>
        </w:rPr>
        <w:t xml:space="preserve">:   </w:t>
      </w:r>
    </w:p>
    <w:p w14:paraId="76503E9E" w14:textId="77777777" w:rsidR="005F081C" w:rsidRDefault="005F081C" w:rsidP="005F081C">
      <w:pPr>
        <w:jc w:val="left"/>
        <w:rPr>
          <w:rFonts w:ascii="Arial" w:hAnsi="Arial" w:cs="Arial"/>
          <w:sz w:val="24"/>
          <w:szCs w:val="24"/>
        </w:rPr>
      </w:pPr>
    </w:p>
    <w:p w14:paraId="7F7F297B" w14:textId="797CDFFD" w:rsidR="005F081C" w:rsidRPr="006C2C39" w:rsidRDefault="005F081C" w:rsidP="006C2C39">
      <w:pPr>
        <w:pStyle w:val="ListParagraph"/>
        <w:numPr>
          <w:ilvl w:val="0"/>
          <w:numId w:val="38"/>
        </w:numPr>
        <w:jc w:val="left"/>
        <w:rPr>
          <w:rFonts w:ascii="Arial" w:hAnsi="Arial" w:cs="Arial"/>
          <w:sz w:val="24"/>
          <w:szCs w:val="24"/>
        </w:rPr>
      </w:pPr>
      <w:r w:rsidRPr="005F081C">
        <w:rPr>
          <w:rFonts w:ascii="Arial" w:hAnsi="Arial" w:cs="Arial"/>
          <w:b/>
          <w:sz w:val="24"/>
          <w:szCs w:val="24"/>
        </w:rPr>
        <w:t xml:space="preserve">Home improvement is a great market with </w:t>
      </w:r>
      <w:r w:rsidR="00C556E4">
        <w:rPr>
          <w:rFonts w:ascii="Arial" w:hAnsi="Arial" w:cs="Arial"/>
          <w:b/>
          <w:sz w:val="24"/>
          <w:szCs w:val="24"/>
        </w:rPr>
        <w:t>huge</w:t>
      </w:r>
      <w:r w:rsidRPr="005F081C">
        <w:rPr>
          <w:rFonts w:ascii="Arial" w:hAnsi="Arial" w:cs="Arial"/>
          <w:b/>
          <w:sz w:val="24"/>
          <w:szCs w:val="24"/>
        </w:rPr>
        <w:t xml:space="preserve"> potential</w:t>
      </w:r>
      <w:r w:rsidRPr="006C2C39">
        <w:rPr>
          <w:rFonts w:ascii="Arial" w:hAnsi="Arial" w:cs="Arial"/>
          <w:sz w:val="24"/>
          <w:szCs w:val="24"/>
        </w:rPr>
        <w:t xml:space="preserve">. Home improvement is a top customer spending priority, with </w:t>
      </w:r>
      <w:r w:rsidR="00F93ED7">
        <w:rPr>
          <w:rFonts w:ascii="Arial" w:hAnsi="Arial" w:cs="Arial"/>
          <w:sz w:val="24"/>
          <w:szCs w:val="24"/>
        </w:rPr>
        <w:t xml:space="preserve">an estimated </w:t>
      </w:r>
      <w:r w:rsidRPr="006C2C39">
        <w:rPr>
          <w:rFonts w:ascii="Arial" w:hAnsi="Arial" w:cs="Arial"/>
          <w:sz w:val="24"/>
          <w:szCs w:val="24"/>
        </w:rPr>
        <w:t xml:space="preserve">58% of Europeans doing a home improvement project last year. The market is resilient and its growth is supported by favourable </w:t>
      </w:r>
      <w:r w:rsidR="00C556E4">
        <w:rPr>
          <w:rFonts w:ascii="Arial" w:hAnsi="Arial" w:cs="Arial"/>
          <w:sz w:val="24"/>
          <w:szCs w:val="24"/>
        </w:rPr>
        <w:t>‘</w:t>
      </w:r>
      <w:r w:rsidRPr="006C2C39">
        <w:rPr>
          <w:rFonts w:ascii="Arial" w:hAnsi="Arial" w:cs="Arial"/>
          <w:sz w:val="24"/>
          <w:szCs w:val="24"/>
        </w:rPr>
        <w:t>megatrends</w:t>
      </w:r>
      <w:r w:rsidR="00C556E4">
        <w:rPr>
          <w:rFonts w:ascii="Arial" w:hAnsi="Arial" w:cs="Arial"/>
          <w:sz w:val="24"/>
          <w:szCs w:val="24"/>
        </w:rPr>
        <w:t>’ which are similar across all markets</w:t>
      </w:r>
      <w:r w:rsidRPr="006C2C39">
        <w:rPr>
          <w:rFonts w:ascii="Arial" w:hAnsi="Arial" w:cs="Arial"/>
          <w:sz w:val="24"/>
          <w:szCs w:val="24"/>
        </w:rPr>
        <w:t xml:space="preserve">. For example, changing demographics </w:t>
      </w:r>
      <w:r w:rsidR="00D91ED7" w:rsidRPr="00350FA4">
        <w:rPr>
          <w:rFonts w:ascii="Arial" w:hAnsi="Arial" w:cs="Arial"/>
          <w:sz w:val="24"/>
          <w:szCs w:val="24"/>
        </w:rPr>
        <w:t>as well as ongoing societal trends mean that households are needing to adapt their homes</w:t>
      </w:r>
      <w:r w:rsidRPr="006C2C39">
        <w:rPr>
          <w:rFonts w:ascii="Arial" w:hAnsi="Arial" w:cs="Arial"/>
          <w:sz w:val="24"/>
          <w:szCs w:val="24"/>
        </w:rPr>
        <w:t xml:space="preserve">, while increasing urbanisation means more people are living in smaller homes. In addition, the rise in home technology and automation is changing the type of improvements people want to make to their homes, all of which provide us with </w:t>
      </w:r>
      <w:r w:rsidR="00C556E4">
        <w:rPr>
          <w:rFonts w:ascii="Arial" w:hAnsi="Arial" w:cs="Arial"/>
          <w:sz w:val="24"/>
          <w:szCs w:val="24"/>
        </w:rPr>
        <w:t>sustainable</w:t>
      </w:r>
      <w:r w:rsidRPr="006C2C39">
        <w:rPr>
          <w:rFonts w:ascii="Arial" w:hAnsi="Arial" w:cs="Arial"/>
          <w:sz w:val="24"/>
          <w:szCs w:val="24"/>
        </w:rPr>
        <w:t xml:space="preserve"> opportunity.  </w:t>
      </w:r>
    </w:p>
    <w:p w14:paraId="4C675E13" w14:textId="77777777" w:rsidR="005F081C" w:rsidRPr="00B47452" w:rsidRDefault="005F081C" w:rsidP="005F081C">
      <w:pPr>
        <w:pStyle w:val="ListParagraph"/>
        <w:jc w:val="left"/>
        <w:rPr>
          <w:rFonts w:ascii="Arial" w:hAnsi="Arial" w:cs="Arial"/>
          <w:sz w:val="24"/>
          <w:szCs w:val="24"/>
        </w:rPr>
      </w:pPr>
    </w:p>
    <w:p w14:paraId="3490EBA0" w14:textId="116E2BA9" w:rsidR="005F081C" w:rsidRDefault="005F081C" w:rsidP="006C2C39">
      <w:pPr>
        <w:pStyle w:val="ListParagraph"/>
        <w:numPr>
          <w:ilvl w:val="0"/>
          <w:numId w:val="37"/>
        </w:numPr>
        <w:spacing w:after="200"/>
        <w:contextualSpacing/>
        <w:jc w:val="left"/>
        <w:rPr>
          <w:rFonts w:ascii="Arial" w:hAnsi="Arial" w:cs="Arial"/>
          <w:sz w:val="24"/>
          <w:szCs w:val="24"/>
        </w:rPr>
      </w:pPr>
      <w:r w:rsidRPr="005F081C">
        <w:rPr>
          <w:rFonts w:ascii="Arial" w:hAnsi="Arial" w:cs="Arial"/>
          <w:b/>
          <w:sz w:val="24"/>
          <w:szCs w:val="24"/>
        </w:rPr>
        <w:t>We are right to focus on Europe</w:t>
      </w:r>
      <w:r w:rsidR="00A93153">
        <w:rPr>
          <w:rFonts w:ascii="Arial" w:hAnsi="Arial" w:cs="Arial"/>
          <w:b/>
          <w:sz w:val="24"/>
          <w:szCs w:val="24"/>
        </w:rPr>
        <w:t>+</w:t>
      </w:r>
      <w:r w:rsidR="0070301D">
        <w:rPr>
          <w:rFonts w:ascii="Arial" w:hAnsi="Arial" w:cs="Arial"/>
          <w:b/>
          <w:sz w:val="24"/>
          <w:szCs w:val="24"/>
        </w:rPr>
        <w:t>*</w:t>
      </w:r>
      <w:r w:rsidRPr="006C2C39">
        <w:rPr>
          <w:rFonts w:ascii="Arial" w:hAnsi="Arial" w:cs="Arial"/>
          <w:sz w:val="24"/>
          <w:szCs w:val="24"/>
        </w:rPr>
        <w:t>.</w:t>
      </w:r>
      <w:r w:rsidRPr="004E5076">
        <w:rPr>
          <w:rFonts w:ascii="Arial" w:hAnsi="Arial" w:cs="Arial"/>
          <w:sz w:val="24"/>
          <w:szCs w:val="24"/>
        </w:rPr>
        <w:t xml:space="preserve"> The European home improvement market is an attractive sector, worth £235 billion</w:t>
      </w:r>
      <w:r w:rsidR="00976414" w:rsidRPr="00657B3E">
        <w:rPr>
          <w:rFonts w:ascii="Arial" w:hAnsi="Arial" w:cs="Arial"/>
          <w:sz w:val="24"/>
          <w:szCs w:val="24"/>
          <w:vertAlign w:val="superscript"/>
        </w:rPr>
        <w:t>(</w:t>
      </w:r>
      <w:r w:rsidR="00F93ED7">
        <w:rPr>
          <w:rFonts w:ascii="Arial" w:hAnsi="Arial" w:cs="Arial"/>
          <w:sz w:val="24"/>
          <w:szCs w:val="24"/>
          <w:vertAlign w:val="superscript"/>
        </w:rPr>
        <w:t>1</w:t>
      </w:r>
      <w:r w:rsidR="00976414" w:rsidRPr="00657B3E">
        <w:rPr>
          <w:rFonts w:ascii="Arial" w:hAnsi="Arial" w:cs="Arial"/>
          <w:sz w:val="24"/>
          <w:szCs w:val="24"/>
          <w:vertAlign w:val="superscript"/>
        </w:rPr>
        <w:t>)</w:t>
      </w:r>
      <w:r w:rsidRPr="004E5076">
        <w:rPr>
          <w:rFonts w:ascii="Arial" w:hAnsi="Arial" w:cs="Arial"/>
          <w:sz w:val="24"/>
          <w:szCs w:val="24"/>
        </w:rPr>
        <w:t xml:space="preserve"> across a customer base of 320 million</w:t>
      </w:r>
      <w:r w:rsidR="00976414" w:rsidRPr="00657B3E">
        <w:rPr>
          <w:rFonts w:ascii="Arial" w:hAnsi="Arial" w:cs="Arial"/>
          <w:sz w:val="24"/>
          <w:szCs w:val="24"/>
          <w:vertAlign w:val="superscript"/>
        </w:rPr>
        <w:t>(</w:t>
      </w:r>
      <w:r w:rsidR="00F93ED7">
        <w:rPr>
          <w:rFonts w:ascii="Arial" w:hAnsi="Arial" w:cs="Arial"/>
          <w:sz w:val="24"/>
          <w:szCs w:val="24"/>
          <w:vertAlign w:val="superscript"/>
        </w:rPr>
        <w:t>1</w:t>
      </w:r>
      <w:r w:rsidR="00976414" w:rsidRPr="00657B3E">
        <w:rPr>
          <w:rFonts w:ascii="Arial" w:hAnsi="Arial" w:cs="Arial"/>
          <w:sz w:val="24"/>
          <w:szCs w:val="24"/>
          <w:vertAlign w:val="superscript"/>
        </w:rPr>
        <w:t>)</w:t>
      </w:r>
      <w:r w:rsidRPr="004E5076">
        <w:rPr>
          <w:rFonts w:ascii="Arial" w:hAnsi="Arial" w:cs="Arial"/>
          <w:sz w:val="24"/>
          <w:szCs w:val="24"/>
        </w:rPr>
        <w:t xml:space="preserve"> homes. Kingfisher currently has a 5%</w:t>
      </w:r>
      <w:r w:rsidR="00F93ED7">
        <w:rPr>
          <w:rFonts w:ascii="Arial" w:hAnsi="Arial" w:cs="Arial"/>
          <w:sz w:val="24"/>
          <w:szCs w:val="24"/>
          <w:vertAlign w:val="superscript"/>
        </w:rPr>
        <w:t>(1</w:t>
      </w:r>
      <w:r w:rsidR="00976414" w:rsidRPr="00657B3E">
        <w:rPr>
          <w:rFonts w:ascii="Arial" w:hAnsi="Arial" w:cs="Arial"/>
          <w:sz w:val="24"/>
          <w:szCs w:val="24"/>
          <w:vertAlign w:val="superscript"/>
        </w:rPr>
        <w:t>)</w:t>
      </w:r>
      <w:r w:rsidRPr="004E5076">
        <w:rPr>
          <w:rFonts w:ascii="Arial" w:hAnsi="Arial" w:cs="Arial"/>
          <w:sz w:val="24"/>
          <w:szCs w:val="24"/>
        </w:rPr>
        <w:t xml:space="preserve"> share of this large, fragmented market, meaning there is </w:t>
      </w:r>
      <w:r w:rsidR="00D91ED7">
        <w:rPr>
          <w:rFonts w:ascii="Arial" w:hAnsi="Arial" w:cs="Arial"/>
          <w:sz w:val="24"/>
          <w:szCs w:val="24"/>
        </w:rPr>
        <w:t>plenty</w:t>
      </w:r>
      <w:r w:rsidR="00D91ED7" w:rsidRPr="004E5076">
        <w:rPr>
          <w:rFonts w:ascii="Arial" w:hAnsi="Arial" w:cs="Arial"/>
          <w:sz w:val="24"/>
          <w:szCs w:val="24"/>
        </w:rPr>
        <w:t xml:space="preserve"> </w:t>
      </w:r>
      <w:r w:rsidRPr="004E5076">
        <w:rPr>
          <w:rFonts w:ascii="Arial" w:hAnsi="Arial" w:cs="Arial"/>
          <w:sz w:val="24"/>
          <w:szCs w:val="24"/>
        </w:rPr>
        <w:t>of scope for growth.</w:t>
      </w:r>
    </w:p>
    <w:p w14:paraId="36AC221B" w14:textId="77777777" w:rsidR="005F081C" w:rsidRPr="004E5076" w:rsidRDefault="005F081C" w:rsidP="005F081C">
      <w:pPr>
        <w:pStyle w:val="ListParagraph"/>
        <w:ind w:left="1080"/>
        <w:jc w:val="left"/>
        <w:rPr>
          <w:rFonts w:ascii="Arial" w:hAnsi="Arial" w:cs="Arial"/>
          <w:sz w:val="24"/>
          <w:szCs w:val="24"/>
        </w:rPr>
      </w:pPr>
    </w:p>
    <w:p w14:paraId="04A53C81" w14:textId="145F034D" w:rsidR="005F081C" w:rsidRDefault="005F081C" w:rsidP="006C2C39">
      <w:pPr>
        <w:pStyle w:val="ListParagraph"/>
        <w:numPr>
          <w:ilvl w:val="0"/>
          <w:numId w:val="37"/>
        </w:numPr>
        <w:spacing w:after="200"/>
        <w:contextualSpacing/>
        <w:jc w:val="left"/>
        <w:rPr>
          <w:rFonts w:ascii="Arial" w:hAnsi="Arial" w:cs="Arial"/>
          <w:sz w:val="24"/>
          <w:szCs w:val="24"/>
        </w:rPr>
      </w:pPr>
      <w:r w:rsidRPr="005F081C">
        <w:rPr>
          <w:rFonts w:ascii="Arial" w:hAnsi="Arial" w:cs="Arial"/>
          <w:b/>
          <w:sz w:val="24"/>
          <w:szCs w:val="24"/>
        </w:rPr>
        <w:t>We can achieve significant benefits from developing a more common</w:t>
      </w:r>
      <w:r w:rsidR="00DB55F6">
        <w:rPr>
          <w:rFonts w:ascii="Arial" w:hAnsi="Arial" w:cs="Arial"/>
          <w:b/>
          <w:sz w:val="24"/>
          <w:szCs w:val="24"/>
        </w:rPr>
        <w:t>, unique</w:t>
      </w:r>
      <w:r w:rsidRPr="005F081C">
        <w:rPr>
          <w:rFonts w:ascii="Arial" w:hAnsi="Arial" w:cs="Arial"/>
          <w:b/>
          <w:sz w:val="24"/>
          <w:szCs w:val="24"/>
        </w:rPr>
        <w:t xml:space="preserve"> and </w:t>
      </w:r>
      <w:r w:rsidR="00DB55F6">
        <w:rPr>
          <w:rFonts w:ascii="Arial" w:hAnsi="Arial" w:cs="Arial"/>
          <w:b/>
          <w:sz w:val="24"/>
          <w:szCs w:val="24"/>
        </w:rPr>
        <w:t>effective</w:t>
      </w:r>
      <w:r w:rsidR="00DB55F6" w:rsidRPr="005F081C">
        <w:rPr>
          <w:rFonts w:ascii="Arial" w:hAnsi="Arial" w:cs="Arial"/>
          <w:b/>
          <w:sz w:val="24"/>
          <w:szCs w:val="24"/>
        </w:rPr>
        <w:t xml:space="preserve"> </w:t>
      </w:r>
      <w:r w:rsidRPr="005F081C">
        <w:rPr>
          <w:rFonts w:ascii="Arial" w:hAnsi="Arial" w:cs="Arial"/>
          <w:b/>
          <w:sz w:val="24"/>
          <w:szCs w:val="24"/>
        </w:rPr>
        <w:t>offer</w:t>
      </w:r>
      <w:r w:rsidRPr="006C2C39">
        <w:rPr>
          <w:rFonts w:ascii="Arial" w:hAnsi="Arial" w:cs="Arial"/>
          <w:sz w:val="24"/>
          <w:szCs w:val="24"/>
        </w:rPr>
        <w:t xml:space="preserve">. </w:t>
      </w:r>
      <w:r w:rsidRPr="004E5076">
        <w:rPr>
          <w:rFonts w:ascii="Arial" w:hAnsi="Arial" w:cs="Arial"/>
          <w:sz w:val="24"/>
          <w:szCs w:val="24"/>
        </w:rPr>
        <w:t xml:space="preserve">It is becoming increasingly clear that customer needs are </w:t>
      </w:r>
      <w:r w:rsidR="00C556E4">
        <w:rPr>
          <w:rFonts w:ascii="Arial" w:hAnsi="Arial" w:cs="Arial"/>
          <w:sz w:val="24"/>
          <w:szCs w:val="24"/>
        </w:rPr>
        <w:t>already largely</w:t>
      </w:r>
      <w:r w:rsidRPr="004E5076">
        <w:rPr>
          <w:rFonts w:ascii="Arial" w:hAnsi="Arial" w:cs="Arial"/>
          <w:sz w:val="24"/>
          <w:szCs w:val="24"/>
        </w:rPr>
        <w:t xml:space="preserve"> the same, </w:t>
      </w:r>
      <w:r w:rsidR="00CD0A80">
        <w:rPr>
          <w:rFonts w:ascii="Arial" w:hAnsi="Arial" w:cs="Arial"/>
          <w:sz w:val="24"/>
          <w:szCs w:val="24"/>
        </w:rPr>
        <w:t>that the</w:t>
      </w:r>
      <w:r w:rsidRPr="004E5076">
        <w:rPr>
          <w:rFonts w:ascii="Arial" w:hAnsi="Arial" w:cs="Arial"/>
          <w:sz w:val="24"/>
          <w:szCs w:val="24"/>
        </w:rPr>
        <w:t xml:space="preserve"> markets we serve are </w:t>
      </w:r>
      <w:r w:rsidR="00CD0A80">
        <w:rPr>
          <w:rFonts w:ascii="Arial" w:hAnsi="Arial" w:cs="Arial"/>
          <w:sz w:val="24"/>
          <w:szCs w:val="24"/>
        </w:rPr>
        <w:t xml:space="preserve">fundamentally </w:t>
      </w:r>
      <w:r w:rsidRPr="004E5076">
        <w:rPr>
          <w:rFonts w:ascii="Arial" w:hAnsi="Arial" w:cs="Arial"/>
          <w:sz w:val="24"/>
          <w:szCs w:val="24"/>
        </w:rPr>
        <w:t>more similar than different</w:t>
      </w:r>
      <w:r w:rsidR="00CD0A80">
        <w:rPr>
          <w:rFonts w:ascii="Arial" w:hAnsi="Arial" w:cs="Arial"/>
          <w:sz w:val="24"/>
          <w:szCs w:val="24"/>
        </w:rPr>
        <w:t xml:space="preserve">, and that there are few known manufacturer brands across the sector. </w:t>
      </w:r>
      <w:r w:rsidRPr="004E5076">
        <w:rPr>
          <w:rFonts w:ascii="Arial" w:hAnsi="Arial" w:cs="Arial"/>
          <w:sz w:val="24"/>
          <w:szCs w:val="24"/>
        </w:rPr>
        <w:t>There is therefore an opportunity for Kingfisher to develop a unique offer that can be sold across our businesses. Kingfisher already has significant scale, with over a million customers a day</w:t>
      </w:r>
      <w:r w:rsidR="00B767C4">
        <w:rPr>
          <w:rFonts w:ascii="Arial" w:hAnsi="Arial" w:cs="Arial"/>
          <w:sz w:val="24"/>
          <w:szCs w:val="24"/>
        </w:rPr>
        <w:t>.</w:t>
      </w:r>
      <w:r w:rsidRPr="004E5076">
        <w:rPr>
          <w:rFonts w:ascii="Arial" w:hAnsi="Arial" w:cs="Arial"/>
          <w:sz w:val="24"/>
          <w:szCs w:val="24"/>
        </w:rPr>
        <w:t xml:space="preserve"> </w:t>
      </w:r>
      <w:r w:rsidR="00B767C4">
        <w:rPr>
          <w:rFonts w:ascii="Arial" w:hAnsi="Arial" w:cs="Arial"/>
          <w:sz w:val="24"/>
          <w:szCs w:val="24"/>
        </w:rPr>
        <w:t xml:space="preserve">The potential of </w:t>
      </w:r>
      <w:r w:rsidRPr="004E5076">
        <w:rPr>
          <w:rFonts w:ascii="Arial" w:hAnsi="Arial" w:cs="Arial"/>
          <w:sz w:val="24"/>
          <w:szCs w:val="24"/>
        </w:rPr>
        <w:t xml:space="preserve">our £7.4 billion buying scale is still relatively untapped </w:t>
      </w:r>
      <w:r w:rsidR="00A93153">
        <w:rPr>
          <w:rFonts w:ascii="Arial" w:hAnsi="Arial" w:cs="Arial"/>
          <w:sz w:val="24"/>
          <w:szCs w:val="24"/>
        </w:rPr>
        <w:t>and</w:t>
      </w:r>
      <w:r w:rsidRPr="004E5076">
        <w:rPr>
          <w:rFonts w:ascii="Arial" w:hAnsi="Arial" w:cs="Arial"/>
          <w:sz w:val="24"/>
          <w:szCs w:val="24"/>
        </w:rPr>
        <w:t xml:space="preserve"> </w:t>
      </w:r>
      <w:r w:rsidR="00B767C4">
        <w:rPr>
          <w:rFonts w:ascii="Arial" w:hAnsi="Arial" w:cs="Arial"/>
          <w:sz w:val="24"/>
          <w:szCs w:val="24"/>
        </w:rPr>
        <w:t>we have</w:t>
      </w:r>
      <w:r w:rsidR="00B767C4" w:rsidRPr="004E5076">
        <w:rPr>
          <w:rFonts w:ascii="Arial" w:hAnsi="Arial" w:cs="Arial"/>
          <w:sz w:val="24"/>
          <w:szCs w:val="24"/>
        </w:rPr>
        <w:t xml:space="preserve"> </w:t>
      </w:r>
      <w:r w:rsidRPr="004E5076">
        <w:rPr>
          <w:rFonts w:ascii="Arial" w:hAnsi="Arial" w:cs="Arial"/>
          <w:sz w:val="24"/>
          <w:szCs w:val="24"/>
        </w:rPr>
        <w:t>a fragmented supplier base</w:t>
      </w:r>
      <w:r w:rsidR="00C556E4">
        <w:rPr>
          <w:rFonts w:ascii="Arial" w:hAnsi="Arial" w:cs="Arial"/>
          <w:sz w:val="24"/>
          <w:szCs w:val="24"/>
        </w:rPr>
        <w:t>.</w:t>
      </w:r>
      <w:r w:rsidRPr="004E5076">
        <w:rPr>
          <w:rFonts w:ascii="Arial" w:hAnsi="Arial" w:cs="Arial"/>
          <w:sz w:val="24"/>
          <w:szCs w:val="24"/>
        </w:rPr>
        <w:t xml:space="preserve"> </w:t>
      </w:r>
      <w:r w:rsidR="00BC7493">
        <w:rPr>
          <w:rFonts w:ascii="Arial" w:hAnsi="Arial" w:cs="Arial"/>
          <w:sz w:val="24"/>
          <w:szCs w:val="24"/>
        </w:rPr>
        <w:t>However</w:t>
      </w:r>
      <w:r w:rsidRPr="004E5076">
        <w:rPr>
          <w:rFonts w:ascii="Arial" w:hAnsi="Arial" w:cs="Arial"/>
          <w:sz w:val="24"/>
          <w:szCs w:val="24"/>
        </w:rPr>
        <w:t xml:space="preserve">, we have made progress on group sourcing </w:t>
      </w:r>
      <w:r w:rsidR="00CD0A80">
        <w:rPr>
          <w:rFonts w:ascii="Arial" w:hAnsi="Arial" w:cs="Arial"/>
          <w:sz w:val="24"/>
          <w:szCs w:val="24"/>
        </w:rPr>
        <w:t>(now at 2</w:t>
      </w:r>
      <w:r w:rsidR="008C10BC">
        <w:rPr>
          <w:rFonts w:ascii="Arial" w:hAnsi="Arial" w:cs="Arial"/>
          <w:sz w:val="24"/>
          <w:szCs w:val="24"/>
        </w:rPr>
        <w:t>2</w:t>
      </w:r>
      <w:r w:rsidR="00CD0A80">
        <w:rPr>
          <w:rFonts w:ascii="Arial" w:hAnsi="Arial" w:cs="Arial"/>
          <w:sz w:val="24"/>
          <w:szCs w:val="24"/>
        </w:rPr>
        <w:t>%</w:t>
      </w:r>
      <w:r w:rsidR="008C10BC" w:rsidRPr="00657B3E">
        <w:rPr>
          <w:rFonts w:ascii="Arial" w:hAnsi="Arial" w:cs="Arial"/>
          <w:sz w:val="24"/>
          <w:szCs w:val="24"/>
          <w:vertAlign w:val="superscript"/>
        </w:rPr>
        <w:t>(</w:t>
      </w:r>
      <w:r w:rsidR="00F93ED7">
        <w:rPr>
          <w:rFonts w:ascii="Arial" w:hAnsi="Arial" w:cs="Arial"/>
          <w:sz w:val="24"/>
          <w:szCs w:val="24"/>
          <w:vertAlign w:val="superscript"/>
        </w:rPr>
        <w:t>2</w:t>
      </w:r>
      <w:r w:rsidR="008C10BC" w:rsidRPr="00657B3E">
        <w:rPr>
          <w:rFonts w:ascii="Arial" w:hAnsi="Arial" w:cs="Arial"/>
          <w:sz w:val="24"/>
          <w:szCs w:val="24"/>
          <w:vertAlign w:val="superscript"/>
        </w:rPr>
        <w:t>)</w:t>
      </w:r>
      <w:r w:rsidR="00CD0A80">
        <w:rPr>
          <w:rFonts w:ascii="Arial" w:hAnsi="Arial" w:cs="Arial"/>
          <w:sz w:val="24"/>
          <w:szCs w:val="24"/>
        </w:rPr>
        <w:t xml:space="preserve"> of sales) </w:t>
      </w:r>
      <w:r w:rsidRPr="004E5076">
        <w:rPr>
          <w:rFonts w:ascii="Arial" w:hAnsi="Arial" w:cs="Arial"/>
          <w:sz w:val="24"/>
          <w:szCs w:val="24"/>
        </w:rPr>
        <w:t>and establishing our own brand product ranges</w:t>
      </w:r>
      <w:r w:rsidR="00CD0A80">
        <w:rPr>
          <w:rFonts w:ascii="Arial" w:hAnsi="Arial" w:cs="Arial"/>
          <w:sz w:val="24"/>
          <w:szCs w:val="24"/>
        </w:rPr>
        <w:t xml:space="preserve"> (now at </w:t>
      </w:r>
      <w:r w:rsidRPr="004E5076">
        <w:rPr>
          <w:rFonts w:ascii="Arial" w:hAnsi="Arial" w:cs="Arial"/>
          <w:sz w:val="24"/>
          <w:szCs w:val="24"/>
        </w:rPr>
        <w:t>30%</w:t>
      </w:r>
      <w:r w:rsidR="008C10BC" w:rsidRPr="00657B3E">
        <w:rPr>
          <w:rFonts w:ascii="Arial" w:hAnsi="Arial" w:cs="Arial"/>
          <w:sz w:val="24"/>
          <w:szCs w:val="24"/>
          <w:vertAlign w:val="superscript"/>
        </w:rPr>
        <w:t>(</w:t>
      </w:r>
      <w:r w:rsidR="00F93ED7">
        <w:rPr>
          <w:rFonts w:ascii="Arial" w:hAnsi="Arial" w:cs="Arial"/>
          <w:sz w:val="24"/>
          <w:szCs w:val="24"/>
          <w:vertAlign w:val="superscript"/>
        </w:rPr>
        <w:t>2</w:t>
      </w:r>
      <w:r w:rsidR="008C10BC" w:rsidRPr="00657B3E">
        <w:rPr>
          <w:rFonts w:ascii="Arial" w:hAnsi="Arial" w:cs="Arial"/>
          <w:sz w:val="24"/>
          <w:szCs w:val="24"/>
          <w:vertAlign w:val="superscript"/>
        </w:rPr>
        <w:t>)</w:t>
      </w:r>
      <w:r w:rsidRPr="00657B3E">
        <w:rPr>
          <w:rFonts w:ascii="Arial" w:hAnsi="Arial" w:cs="Arial"/>
          <w:sz w:val="24"/>
          <w:szCs w:val="24"/>
          <w:vertAlign w:val="superscript"/>
        </w:rPr>
        <w:t xml:space="preserve"> </w:t>
      </w:r>
      <w:r w:rsidRPr="004E5076">
        <w:rPr>
          <w:rFonts w:ascii="Arial" w:hAnsi="Arial" w:cs="Arial"/>
          <w:sz w:val="24"/>
          <w:szCs w:val="24"/>
        </w:rPr>
        <w:t>of sales</w:t>
      </w:r>
      <w:r w:rsidR="00CD0A80">
        <w:rPr>
          <w:rFonts w:ascii="Arial" w:hAnsi="Arial" w:cs="Arial"/>
          <w:sz w:val="24"/>
          <w:szCs w:val="24"/>
        </w:rPr>
        <w:t>)</w:t>
      </w:r>
      <w:r w:rsidRPr="004E5076">
        <w:rPr>
          <w:rFonts w:ascii="Arial" w:hAnsi="Arial" w:cs="Arial"/>
          <w:sz w:val="24"/>
          <w:szCs w:val="24"/>
        </w:rPr>
        <w:t>.</w:t>
      </w:r>
    </w:p>
    <w:p w14:paraId="520EDA68" w14:textId="77777777" w:rsidR="005F081C" w:rsidRPr="004E5076" w:rsidRDefault="005F081C" w:rsidP="005F081C">
      <w:pPr>
        <w:pStyle w:val="ListParagraph"/>
        <w:ind w:left="1080"/>
        <w:rPr>
          <w:rFonts w:ascii="Arial" w:hAnsi="Arial" w:cs="Arial"/>
          <w:sz w:val="24"/>
          <w:szCs w:val="24"/>
        </w:rPr>
      </w:pPr>
    </w:p>
    <w:p w14:paraId="4C7E0520" w14:textId="07685B5A" w:rsidR="00DB55F6" w:rsidRDefault="005F081C" w:rsidP="000E6C79">
      <w:pPr>
        <w:pStyle w:val="ListParagraph"/>
        <w:numPr>
          <w:ilvl w:val="0"/>
          <w:numId w:val="37"/>
        </w:numPr>
        <w:spacing w:after="200"/>
        <w:contextualSpacing/>
        <w:jc w:val="left"/>
        <w:rPr>
          <w:rFonts w:ascii="Arial" w:hAnsi="Arial" w:cs="Arial"/>
          <w:sz w:val="24"/>
          <w:szCs w:val="24"/>
        </w:rPr>
      </w:pPr>
      <w:r w:rsidRPr="00DB55F6">
        <w:rPr>
          <w:rFonts w:ascii="Arial" w:hAnsi="Arial" w:cs="Arial"/>
          <w:b/>
          <w:sz w:val="24"/>
          <w:szCs w:val="24"/>
        </w:rPr>
        <w:t>There is no one clear winning format or channel in our market today</w:t>
      </w:r>
      <w:r w:rsidRPr="00DB55F6">
        <w:rPr>
          <w:rFonts w:ascii="Arial" w:hAnsi="Arial" w:cs="Arial"/>
          <w:sz w:val="24"/>
          <w:szCs w:val="24"/>
        </w:rPr>
        <w:t xml:space="preserve">. Kingfisher’s multi-format structure is therefore an advantage, </w:t>
      </w:r>
      <w:r w:rsidR="00CD0A80" w:rsidRPr="00DB55F6">
        <w:rPr>
          <w:rFonts w:ascii="Arial" w:hAnsi="Arial" w:cs="Arial"/>
          <w:sz w:val="24"/>
          <w:szCs w:val="24"/>
        </w:rPr>
        <w:t>having</w:t>
      </w:r>
      <w:r w:rsidRPr="00DB55F6">
        <w:rPr>
          <w:rFonts w:ascii="Arial" w:hAnsi="Arial" w:cs="Arial"/>
          <w:sz w:val="24"/>
          <w:szCs w:val="24"/>
        </w:rPr>
        <w:t xml:space="preserve"> businesses </w:t>
      </w:r>
      <w:r w:rsidR="00CD0A80" w:rsidRPr="00DB55F6">
        <w:rPr>
          <w:rFonts w:ascii="Arial" w:hAnsi="Arial" w:cs="Arial"/>
          <w:sz w:val="24"/>
          <w:szCs w:val="24"/>
        </w:rPr>
        <w:t>across</w:t>
      </w:r>
      <w:r w:rsidRPr="00DB55F6">
        <w:rPr>
          <w:rFonts w:ascii="Arial" w:hAnsi="Arial" w:cs="Arial"/>
          <w:sz w:val="24"/>
          <w:szCs w:val="24"/>
        </w:rPr>
        <w:t xml:space="preserve"> ‘</w:t>
      </w:r>
      <w:r w:rsidR="00C2678B">
        <w:rPr>
          <w:rFonts w:ascii="Arial" w:hAnsi="Arial" w:cs="Arial"/>
          <w:sz w:val="24"/>
          <w:szCs w:val="24"/>
        </w:rPr>
        <w:t>B</w:t>
      </w:r>
      <w:r w:rsidR="00CD0A80" w:rsidRPr="00DB55F6">
        <w:rPr>
          <w:rFonts w:ascii="Arial" w:hAnsi="Arial" w:cs="Arial"/>
          <w:sz w:val="24"/>
          <w:szCs w:val="24"/>
        </w:rPr>
        <w:t>ig</w:t>
      </w:r>
      <w:r w:rsidRPr="00DB55F6">
        <w:rPr>
          <w:rFonts w:ascii="Arial" w:hAnsi="Arial" w:cs="Arial"/>
          <w:sz w:val="24"/>
          <w:szCs w:val="24"/>
        </w:rPr>
        <w:t xml:space="preserve"> </w:t>
      </w:r>
      <w:r w:rsidR="00C2678B">
        <w:rPr>
          <w:rFonts w:ascii="Arial" w:hAnsi="Arial" w:cs="Arial"/>
          <w:sz w:val="24"/>
          <w:szCs w:val="24"/>
        </w:rPr>
        <w:t>B</w:t>
      </w:r>
      <w:r w:rsidR="00C2678B" w:rsidRPr="00DB55F6">
        <w:rPr>
          <w:rFonts w:ascii="Arial" w:hAnsi="Arial" w:cs="Arial"/>
          <w:sz w:val="24"/>
          <w:szCs w:val="24"/>
        </w:rPr>
        <w:t>ox’</w:t>
      </w:r>
      <w:r w:rsidRPr="00DB55F6">
        <w:rPr>
          <w:rFonts w:ascii="Arial" w:hAnsi="Arial" w:cs="Arial"/>
          <w:sz w:val="24"/>
          <w:szCs w:val="24"/>
        </w:rPr>
        <w:t>, ‘</w:t>
      </w:r>
      <w:r w:rsidR="00C2678B">
        <w:rPr>
          <w:rFonts w:ascii="Arial" w:hAnsi="Arial" w:cs="Arial"/>
          <w:sz w:val="24"/>
          <w:szCs w:val="24"/>
        </w:rPr>
        <w:t>M</w:t>
      </w:r>
      <w:r w:rsidR="00C2678B" w:rsidRPr="00DB55F6">
        <w:rPr>
          <w:rFonts w:ascii="Arial" w:hAnsi="Arial" w:cs="Arial"/>
          <w:sz w:val="24"/>
          <w:szCs w:val="24"/>
        </w:rPr>
        <w:t xml:space="preserve">edium </w:t>
      </w:r>
      <w:r w:rsidR="00C2678B">
        <w:rPr>
          <w:rFonts w:ascii="Arial" w:hAnsi="Arial" w:cs="Arial"/>
          <w:sz w:val="24"/>
          <w:szCs w:val="24"/>
        </w:rPr>
        <w:t>B</w:t>
      </w:r>
      <w:r w:rsidR="00C2678B" w:rsidRPr="00DB55F6">
        <w:rPr>
          <w:rFonts w:ascii="Arial" w:hAnsi="Arial" w:cs="Arial"/>
          <w:sz w:val="24"/>
          <w:szCs w:val="24"/>
        </w:rPr>
        <w:t xml:space="preserve">ox’ </w:t>
      </w:r>
      <w:r w:rsidRPr="00DB55F6">
        <w:rPr>
          <w:rFonts w:ascii="Arial" w:hAnsi="Arial" w:cs="Arial"/>
          <w:sz w:val="24"/>
          <w:szCs w:val="24"/>
        </w:rPr>
        <w:t xml:space="preserve">and </w:t>
      </w:r>
      <w:r w:rsidR="00CD0A80" w:rsidRPr="00DB55F6">
        <w:rPr>
          <w:rFonts w:ascii="Arial" w:hAnsi="Arial" w:cs="Arial"/>
          <w:sz w:val="24"/>
          <w:szCs w:val="24"/>
        </w:rPr>
        <w:t>‘</w:t>
      </w:r>
      <w:r w:rsidR="00C2678B">
        <w:rPr>
          <w:rFonts w:ascii="Arial" w:hAnsi="Arial" w:cs="Arial"/>
          <w:sz w:val="24"/>
          <w:szCs w:val="24"/>
        </w:rPr>
        <w:t>O</w:t>
      </w:r>
      <w:r w:rsidR="00C2678B" w:rsidRPr="00DB55F6">
        <w:rPr>
          <w:rFonts w:ascii="Arial" w:hAnsi="Arial" w:cs="Arial"/>
          <w:sz w:val="24"/>
          <w:szCs w:val="24"/>
        </w:rPr>
        <w:t>mnichannel’</w:t>
      </w:r>
      <w:r w:rsidR="00846F5B" w:rsidRPr="00DB55F6">
        <w:rPr>
          <w:rFonts w:ascii="Arial" w:hAnsi="Arial" w:cs="Arial"/>
          <w:sz w:val="24"/>
          <w:szCs w:val="24"/>
        </w:rPr>
        <w:t>*</w:t>
      </w:r>
      <w:r w:rsidR="00CD0A80" w:rsidRPr="00DB55F6">
        <w:rPr>
          <w:rFonts w:ascii="Arial" w:hAnsi="Arial" w:cs="Arial"/>
          <w:sz w:val="24"/>
          <w:szCs w:val="24"/>
        </w:rPr>
        <w:t xml:space="preserve"> formats</w:t>
      </w:r>
      <w:r w:rsidRPr="00DB55F6">
        <w:rPr>
          <w:rFonts w:ascii="Arial" w:hAnsi="Arial" w:cs="Arial"/>
          <w:sz w:val="24"/>
          <w:szCs w:val="24"/>
        </w:rPr>
        <w:t>. However, being omnichannel everywhere is a ‘given’</w:t>
      </w:r>
      <w:r w:rsidR="007C47AE" w:rsidRPr="00DB55F6">
        <w:rPr>
          <w:rFonts w:ascii="Arial" w:hAnsi="Arial" w:cs="Arial"/>
          <w:sz w:val="24"/>
          <w:szCs w:val="24"/>
        </w:rPr>
        <w:t>.</w:t>
      </w:r>
    </w:p>
    <w:p w14:paraId="65CD60B0" w14:textId="77777777" w:rsidR="00DB55F6" w:rsidRPr="000E6C79" w:rsidRDefault="00DB55F6" w:rsidP="000E6C79">
      <w:pPr>
        <w:pStyle w:val="ListParagraph"/>
        <w:rPr>
          <w:rFonts w:ascii="Arial" w:hAnsi="Arial" w:cs="Arial"/>
          <w:sz w:val="24"/>
          <w:szCs w:val="24"/>
        </w:rPr>
      </w:pPr>
    </w:p>
    <w:p w14:paraId="191A6122" w14:textId="77777777" w:rsidR="00976414" w:rsidRDefault="005F081C" w:rsidP="00976414">
      <w:pPr>
        <w:pStyle w:val="ListParagraph"/>
        <w:numPr>
          <w:ilvl w:val="0"/>
          <w:numId w:val="37"/>
        </w:numPr>
        <w:spacing w:after="200"/>
        <w:contextualSpacing/>
        <w:jc w:val="left"/>
        <w:rPr>
          <w:rFonts w:ascii="Arial" w:hAnsi="Arial" w:cs="Arial"/>
          <w:sz w:val="24"/>
          <w:szCs w:val="24"/>
        </w:rPr>
      </w:pPr>
      <w:r w:rsidRPr="009D56ED">
        <w:rPr>
          <w:rFonts w:ascii="Arial" w:hAnsi="Arial" w:cs="Arial"/>
          <w:b/>
          <w:sz w:val="24"/>
          <w:szCs w:val="24"/>
        </w:rPr>
        <w:t>We can achieve significant benefits from unifying activities and standardising processes</w:t>
      </w:r>
      <w:r w:rsidRPr="006C2C39">
        <w:rPr>
          <w:rFonts w:ascii="Arial" w:hAnsi="Arial" w:cs="Arial"/>
          <w:sz w:val="24"/>
          <w:szCs w:val="24"/>
        </w:rPr>
        <w:t xml:space="preserve">. </w:t>
      </w:r>
      <w:r w:rsidRPr="004E5076">
        <w:rPr>
          <w:rFonts w:ascii="Arial" w:hAnsi="Arial" w:cs="Arial"/>
          <w:sz w:val="24"/>
          <w:szCs w:val="24"/>
        </w:rPr>
        <w:t xml:space="preserve">Currently there are few shared processes within Kingfisher and the sharing of infrastructure is limited. There is also no standardised operating model, which means, for example, that our Brico </w:t>
      </w:r>
      <w:r w:rsidR="00CD0A80">
        <w:rPr>
          <w:rFonts w:ascii="Arial" w:hAnsi="Arial" w:cs="Arial"/>
          <w:bCs/>
          <w:sz w:val="24"/>
          <w:szCs w:val="24"/>
        </w:rPr>
        <w:t>Dépôt</w:t>
      </w:r>
      <w:r w:rsidR="00CD0A80" w:rsidRPr="004E5076">
        <w:rPr>
          <w:rFonts w:ascii="Arial" w:hAnsi="Arial" w:cs="Arial"/>
          <w:sz w:val="24"/>
          <w:szCs w:val="24"/>
        </w:rPr>
        <w:t xml:space="preserve"> </w:t>
      </w:r>
      <w:r w:rsidRPr="004E5076">
        <w:rPr>
          <w:rFonts w:ascii="Arial" w:hAnsi="Arial" w:cs="Arial"/>
          <w:sz w:val="24"/>
          <w:szCs w:val="24"/>
        </w:rPr>
        <w:t>businesses in France, Spain, Romania and Portugal operate in different ways.</w:t>
      </w:r>
    </w:p>
    <w:p w14:paraId="24B66C11" w14:textId="77777777" w:rsidR="00976414" w:rsidRPr="00657B3E" w:rsidRDefault="00976414" w:rsidP="00657B3E">
      <w:pPr>
        <w:pStyle w:val="ListParagraph"/>
        <w:rPr>
          <w:rFonts w:ascii="Arial" w:hAnsi="Arial" w:cs="Arial"/>
          <w:sz w:val="24"/>
          <w:szCs w:val="24"/>
          <w:vertAlign w:val="subscript"/>
        </w:rPr>
      </w:pPr>
    </w:p>
    <w:p w14:paraId="409BFE95" w14:textId="5D335B46" w:rsidR="00976414" w:rsidRPr="00F93ED7" w:rsidRDefault="00976414" w:rsidP="00657B3E">
      <w:pPr>
        <w:spacing w:after="200"/>
        <w:contextualSpacing/>
        <w:jc w:val="left"/>
        <w:rPr>
          <w:rFonts w:ascii="Arial" w:hAnsi="Arial" w:cs="Arial"/>
          <w:sz w:val="18"/>
          <w:szCs w:val="18"/>
        </w:rPr>
      </w:pPr>
      <w:r w:rsidRPr="00657B3E">
        <w:rPr>
          <w:rFonts w:ascii="Arial" w:hAnsi="Arial" w:cs="Arial"/>
          <w:sz w:val="18"/>
          <w:szCs w:val="18"/>
          <w:vertAlign w:val="superscript"/>
        </w:rPr>
        <w:t>(</w:t>
      </w:r>
      <w:r w:rsidR="00F93ED7">
        <w:rPr>
          <w:rFonts w:ascii="Arial" w:hAnsi="Arial" w:cs="Arial"/>
          <w:sz w:val="18"/>
          <w:szCs w:val="18"/>
          <w:vertAlign w:val="superscript"/>
        </w:rPr>
        <w:t>1</w:t>
      </w:r>
      <w:r w:rsidRPr="00657B3E">
        <w:rPr>
          <w:rFonts w:ascii="Arial" w:hAnsi="Arial" w:cs="Arial"/>
          <w:sz w:val="18"/>
          <w:szCs w:val="18"/>
          <w:vertAlign w:val="superscript"/>
        </w:rPr>
        <w:t>)</w:t>
      </w:r>
      <w:r w:rsidR="00F93ED7" w:rsidRPr="00657B3E">
        <w:rPr>
          <w:sz w:val="18"/>
          <w:szCs w:val="18"/>
        </w:rPr>
        <w:t xml:space="preserve"> </w:t>
      </w:r>
      <w:r w:rsidR="00F93ED7" w:rsidRPr="00F93ED7">
        <w:rPr>
          <w:rFonts w:ascii="Arial" w:hAnsi="Arial" w:cs="Arial"/>
          <w:sz w:val="18"/>
          <w:szCs w:val="18"/>
        </w:rPr>
        <w:t xml:space="preserve">Source : AMA builders merchants report 2014, AMA commissioned research, Mintel Europe DIY report 2014; </w:t>
      </w:r>
      <w:r w:rsidR="00F93ED7" w:rsidRPr="00657B3E">
        <w:rPr>
          <w:rFonts w:ascii="Arial" w:hAnsi="Arial" w:cs="Arial"/>
          <w:sz w:val="18"/>
          <w:szCs w:val="18"/>
        </w:rPr>
        <w:t xml:space="preserve">BCG, </w:t>
      </w:r>
      <w:r w:rsidR="00F93ED7" w:rsidRPr="00F93ED7">
        <w:rPr>
          <w:rFonts w:ascii="Arial" w:hAnsi="Arial" w:cs="Arial"/>
          <w:sz w:val="18"/>
          <w:szCs w:val="18"/>
        </w:rPr>
        <w:t xml:space="preserve">KFI annual reports  </w:t>
      </w:r>
    </w:p>
    <w:p w14:paraId="1D89E8AE" w14:textId="3FE310A0" w:rsidR="00976414" w:rsidRDefault="00976414" w:rsidP="00976414">
      <w:pPr>
        <w:jc w:val="left"/>
        <w:rPr>
          <w:rFonts w:ascii="Arial" w:hAnsi="Arial" w:cs="Arial"/>
          <w:sz w:val="24"/>
          <w:szCs w:val="24"/>
        </w:rPr>
      </w:pPr>
      <w:r w:rsidRPr="00657B3E">
        <w:rPr>
          <w:rFonts w:ascii="Arial" w:hAnsi="Arial" w:cs="Arial"/>
          <w:sz w:val="18"/>
          <w:szCs w:val="24"/>
          <w:vertAlign w:val="superscript"/>
        </w:rPr>
        <w:t>(</w:t>
      </w:r>
      <w:r w:rsidR="00F93ED7">
        <w:rPr>
          <w:rFonts w:ascii="Arial" w:hAnsi="Arial" w:cs="Arial"/>
          <w:sz w:val="18"/>
          <w:szCs w:val="24"/>
          <w:vertAlign w:val="superscript"/>
        </w:rPr>
        <w:t>2</w:t>
      </w:r>
      <w:r w:rsidRPr="00657B3E">
        <w:rPr>
          <w:rFonts w:ascii="Arial" w:hAnsi="Arial" w:cs="Arial"/>
          <w:sz w:val="18"/>
          <w:szCs w:val="24"/>
          <w:vertAlign w:val="superscript"/>
        </w:rPr>
        <w:t>)</w:t>
      </w:r>
      <w:r w:rsidRPr="00F93ED7">
        <w:rPr>
          <w:rFonts w:ascii="Arial" w:hAnsi="Arial" w:cs="Arial"/>
          <w:sz w:val="24"/>
          <w:szCs w:val="24"/>
          <w:vertAlign w:val="superscript"/>
        </w:rPr>
        <w:t xml:space="preserve"> </w:t>
      </w:r>
      <w:r w:rsidR="00782368" w:rsidRPr="00657B3E">
        <w:rPr>
          <w:rFonts w:ascii="Arial" w:hAnsi="Arial" w:cs="Arial"/>
          <w:sz w:val="18"/>
          <w:szCs w:val="24"/>
        </w:rPr>
        <w:t xml:space="preserve">Across top five operating companies </w:t>
      </w:r>
      <w:r w:rsidR="00F93ED7" w:rsidRPr="00657B3E">
        <w:rPr>
          <w:rFonts w:ascii="Arial" w:hAnsi="Arial" w:cs="Arial"/>
          <w:sz w:val="18"/>
          <w:szCs w:val="24"/>
        </w:rPr>
        <w:t xml:space="preserve">- </w:t>
      </w:r>
      <w:r w:rsidR="007D3DB2" w:rsidRPr="00C97F3B">
        <w:rPr>
          <w:rFonts w:ascii="Arial" w:hAnsi="Arial" w:cs="Arial"/>
          <w:sz w:val="18"/>
          <w:szCs w:val="24"/>
        </w:rPr>
        <w:t>Castorama France</w:t>
      </w:r>
      <w:r w:rsidR="007D3DB2">
        <w:rPr>
          <w:rFonts w:ascii="Arial" w:hAnsi="Arial" w:cs="Arial"/>
          <w:sz w:val="18"/>
          <w:szCs w:val="24"/>
        </w:rPr>
        <w:t xml:space="preserve">, </w:t>
      </w:r>
      <w:r w:rsidR="007D3DB2" w:rsidRPr="00C97F3B">
        <w:rPr>
          <w:rFonts w:ascii="Arial" w:hAnsi="Arial" w:cs="Arial"/>
          <w:sz w:val="18"/>
          <w:szCs w:val="24"/>
        </w:rPr>
        <w:t xml:space="preserve">Brico </w:t>
      </w:r>
      <w:r w:rsidR="007D3DB2" w:rsidRPr="00C97F3B">
        <w:rPr>
          <w:rFonts w:ascii="Arial" w:hAnsi="Arial" w:cs="Arial"/>
          <w:bCs/>
          <w:sz w:val="18"/>
          <w:szCs w:val="24"/>
        </w:rPr>
        <w:t>Dépôt</w:t>
      </w:r>
      <w:r w:rsidR="007D3DB2" w:rsidRPr="00C97F3B">
        <w:rPr>
          <w:rFonts w:ascii="Arial" w:hAnsi="Arial" w:cs="Arial"/>
          <w:sz w:val="18"/>
          <w:szCs w:val="24"/>
        </w:rPr>
        <w:t xml:space="preserve"> France</w:t>
      </w:r>
      <w:r w:rsidR="007D3DB2">
        <w:rPr>
          <w:rFonts w:ascii="Arial" w:hAnsi="Arial" w:cs="Arial"/>
          <w:sz w:val="18"/>
          <w:szCs w:val="24"/>
        </w:rPr>
        <w:t>,</w:t>
      </w:r>
      <w:r w:rsidR="007D3DB2" w:rsidRPr="00C97F3B">
        <w:rPr>
          <w:rFonts w:ascii="Arial" w:hAnsi="Arial" w:cs="Arial"/>
          <w:sz w:val="18"/>
          <w:szCs w:val="24"/>
        </w:rPr>
        <w:t xml:space="preserve"> </w:t>
      </w:r>
      <w:r w:rsidR="00C97F3B" w:rsidRPr="00C97F3B">
        <w:rPr>
          <w:rFonts w:ascii="Arial" w:hAnsi="Arial" w:cs="Arial"/>
          <w:sz w:val="18"/>
          <w:szCs w:val="24"/>
        </w:rPr>
        <w:t>B&amp;Q UK</w:t>
      </w:r>
      <w:r w:rsidR="007D3DB2">
        <w:rPr>
          <w:rFonts w:ascii="Arial" w:hAnsi="Arial" w:cs="Arial"/>
          <w:sz w:val="18"/>
          <w:szCs w:val="24"/>
        </w:rPr>
        <w:t xml:space="preserve"> &amp; Ireland</w:t>
      </w:r>
      <w:r w:rsidR="00C97F3B" w:rsidRPr="00C97F3B">
        <w:rPr>
          <w:rFonts w:ascii="Arial" w:hAnsi="Arial" w:cs="Arial"/>
          <w:sz w:val="18"/>
          <w:szCs w:val="24"/>
        </w:rPr>
        <w:t xml:space="preserve">, Screwfix UK and Poland </w:t>
      </w:r>
      <w:r>
        <w:rPr>
          <w:rFonts w:ascii="Arial" w:hAnsi="Arial" w:cs="Arial"/>
          <w:sz w:val="24"/>
          <w:szCs w:val="24"/>
        </w:rPr>
        <w:br w:type="page"/>
      </w:r>
    </w:p>
    <w:p w14:paraId="25F85DAB" w14:textId="2BFEB92E" w:rsidR="005F081C" w:rsidRPr="00657B3E" w:rsidRDefault="005F081C" w:rsidP="005F081C">
      <w:pPr>
        <w:jc w:val="left"/>
        <w:rPr>
          <w:rFonts w:ascii="Arial" w:hAnsi="Arial" w:cs="Arial"/>
          <w:b/>
          <w:sz w:val="24"/>
          <w:szCs w:val="24"/>
        </w:rPr>
      </w:pPr>
      <w:r w:rsidRPr="00657B3E">
        <w:rPr>
          <w:rFonts w:ascii="Arial" w:hAnsi="Arial" w:cs="Arial"/>
          <w:b/>
          <w:sz w:val="24"/>
          <w:szCs w:val="24"/>
        </w:rPr>
        <w:lastRenderedPageBreak/>
        <w:t xml:space="preserve">Going forward, we will operate within the following </w:t>
      </w:r>
      <w:r w:rsidR="00871E59" w:rsidRPr="00657B3E">
        <w:rPr>
          <w:rFonts w:ascii="Arial" w:hAnsi="Arial" w:cs="Arial"/>
          <w:b/>
          <w:sz w:val="24"/>
          <w:szCs w:val="24"/>
        </w:rPr>
        <w:t xml:space="preserve">clear set of </w:t>
      </w:r>
      <w:r w:rsidRPr="00657B3E">
        <w:rPr>
          <w:rFonts w:ascii="Arial" w:hAnsi="Arial" w:cs="Arial"/>
          <w:b/>
          <w:sz w:val="24"/>
          <w:szCs w:val="24"/>
        </w:rPr>
        <w:t>guiding principles:</w:t>
      </w:r>
    </w:p>
    <w:p w14:paraId="442E3805" w14:textId="77777777" w:rsidR="009D56ED" w:rsidRDefault="009D56ED" w:rsidP="005F081C">
      <w:pPr>
        <w:jc w:val="left"/>
        <w:rPr>
          <w:rFonts w:ascii="Arial" w:hAnsi="Arial" w:cs="Arial"/>
          <w:sz w:val="24"/>
          <w:szCs w:val="24"/>
        </w:rPr>
      </w:pPr>
    </w:p>
    <w:p w14:paraId="3C27FBEC" w14:textId="77777777" w:rsidR="005F081C" w:rsidRPr="00DC5443" w:rsidRDefault="005F081C" w:rsidP="005F081C">
      <w:pPr>
        <w:numPr>
          <w:ilvl w:val="0"/>
          <w:numId w:val="33"/>
        </w:numPr>
        <w:spacing w:after="200" w:line="276" w:lineRule="auto"/>
        <w:jc w:val="left"/>
        <w:rPr>
          <w:rFonts w:ascii="Arial" w:hAnsi="Arial" w:cs="Arial"/>
          <w:sz w:val="24"/>
          <w:szCs w:val="24"/>
        </w:rPr>
      </w:pPr>
      <w:r w:rsidRPr="00DC5443">
        <w:rPr>
          <w:rFonts w:ascii="Arial" w:hAnsi="Arial" w:cs="Arial"/>
          <w:sz w:val="24"/>
          <w:szCs w:val="24"/>
        </w:rPr>
        <w:t xml:space="preserve">Customer </w:t>
      </w:r>
      <w:r w:rsidRPr="00DC5443">
        <w:rPr>
          <w:rFonts w:ascii="Arial" w:hAnsi="Arial" w:cs="Arial"/>
          <w:sz w:val="24"/>
          <w:szCs w:val="24"/>
          <w:u w:val="single"/>
        </w:rPr>
        <w:t>needs</w:t>
      </w:r>
      <w:r w:rsidRPr="00DC5443">
        <w:rPr>
          <w:rFonts w:ascii="Arial" w:hAnsi="Arial" w:cs="Arial"/>
          <w:sz w:val="24"/>
          <w:szCs w:val="24"/>
        </w:rPr>
        <w:t xml:space="preserve"> come first</w:t>
      </w:r>
    </w:p>
    <w:p w14:paraId="239ECD2D" w14:textId="1E320E44" w:rsidR="007C47AE" w:rsidRPr="00DC5443" w:rsidRDefault="007C47AE" w:rsidP="007C47AE">
      <w:pPr>
        <w:numPr>
          <w:ilvl w:val="0"/>
          <w:numId w:val="33"/>
        </w:numPr>
        <w:spacing w:after="200" w:line="276" w:lineRule="auto"/>
        <w:jc w:val="left"/>
        <w:rPr>
          <w:rFonts w:ascii="Arial" w:hAnsi="Arial" w:cs="Arial"/>
          <w:sz w:val="24"/>
          <w:szCs w:val="24"/>
        </w:rPr>
      </w:pPr>
      <w:r>
        <w:rPr>
          <w:rFonts w:ascii="Arial" w:hAnsi="Arial" w:cs="Arial"/>
          <w:sz w:val="24"/>
          <w:szCs w:val="24"/>
        </w:rPr>
        <w:t xml:space="preserve">Create a </w:t>
      </w:r>
      <w:r w:rsidRPr="00DC5443">
        <w:rPr>
          <w:rFonts w:ascii="Arial" w:hAnsi="Arial" w:cs="Arial"/>
          <w:sz w:val="24"/>
          <w:szCs w:val="24"/>
          <w:u w:val="single"/>
        </w:rPr>
        <w:t>unique</w:t>
      </w:r>
      <w:r>
        <w:rPr>
          <w:rFonts w:ascii="Arial" w:hAnsi="Arial" w:cs="Arial"/>
          <w:sz w:val="24"/>
          <w:szCs w:val="24"/>
        </w:rPr>
        <w:t xml:space="preserve"> and leading offer</w:t>
      </w:r>
    </w:p>
    <w:p w14:paraId="64F859FC" w14:textId="77777777" w:rsidR="005F081C" w:rsidRPr="00DC5443" w:rsidRDefault="005F081C" w:rsidP="005F081C">
      <w:pPr>
        <w:numPr>
          <w:ilvl w:val="0"/>
          <w:numId w:val="33"/>
        </w:numPr>
        <w:spacing w:after="200" w:line="276" w:lineRule="auto"/>
        <w:jc w:val="left"/>
        <w:rPr>
          <w:rFonts w:ascii="Arial" w:hAnsi="Arial" w:cs="Arial"/>
          <w:sz w:val="24"/>
          <w:szCs w:val="24"/>
        </w:rPr>
      </w:pPr>
      <w:r w:rsidRPr="00DC5443">
        <w:rPr>
          <w:rFonts w:ascii="Arial" w:hAnsi="Arial" w:cs="Arial"/>
          <w:sz w:val="24"/>
          <w:szCs w:val="24"/>
          <w:u w:val="single"/>
        </w:rPr>
        <w:t>Same</w:t>
      </w:r>
      <w:r w:rsidRPr="00DC5443">
        <w:rPr>
          <w:rFonts w:ascii="Arial" w:hAnsi="Arial" w:cs="Arial"/>
          <w:sz w:val="24"/>
          <w:szCs w:val="24"/>
        </w:rPr>
        <w:t xml:space="preserve"> products across Europe presented to customers in the </w:t>
      </w:r>
      <w:r w:rsidRPr="00DC5443">
        <w:rPr>
          <w:rFonts w:ascii="Arial" w:hAnsi="Arial" w:cs="Arial"/>
          <w:sz w:val="24"/>
          <w:szCs w:val="24"/>
          <w:u w:val="single"/>
        </w:rPr>
        <w:t>same</w:t>
      </w:r>
      <w:r w:rsidRPr="00DC5443">
        <w:rPr>
          <w:rFonts w:ascii="Arial" w:hAnsi="Arial" w:cs="Arial"/>
          <w:sz w:val="24"/>
          <w:szCs w:val="24"/>
        </w:rPr>
        <w:t xml:space="preserve"> way</w:t>
      </w:r>
    </w:p>
    <w:p w14:paraId="090F1FAA" w14:textId="77777777" w:rsidR="005F081C" w:rsidRDefault="005F081C" w:rsidP="005F081C">
      <w:pPr>
        <w:numPr>
          <w:ilvl w:val="0"/>
          <w:numId w:val="33"/>
        </w:numPr>
        <w:spacing w:after="200" w:line="276" w:lineRule="auto"/>
        <w:jc w:val="left"/>
        <w:rPr>
          <w:rFonts w:ascii="Arial" w:hAnsi="Arial" w:cs="Arial"/>
          <w:sz w:val="24"/>
          <w:szCs w:val="24"/>
        </w:rPr>
      </w:pPr>
      <w:r w:rsidRPr="00DC5443">
        <w:rPr>
          <w:rFonts w:ascii="Arial" w:hAnsi="Arial" w:cs="Arial"/>
          <w:sz w:val="24"/>
          <w:szCs w:val="24"/>
          <w:u w:val="single"/>
        </w:rPr>
        <w:t>Limited</w:t>
      </w:r>
      <w:r w:rsidRPr="00DC5443">
        <w:rPr>
          <w:rFonts w:ascii="Arial" w:hAnsi="Arial" w:cs="Arial"/>
          <w:sz w:val="24"/>
          <w:szCs w:val="24"/>
        </w:rPr>
        <w:t xml:space="preserve"> number of formats</w:t>
      </w:r>
      <w:r>
        <w:rPr>
          <w:rFonts w:ascii="Arial" w:hAnsi="Arial" w:cs="Arial"/>
          <w:sz w:val="24"/>
          <w:szCs w:val="24"/>
        </w:rPr>
        <w:t xml:space="preserve"> and </w:t>
      </w:r>
      <w:r w:rsidRPr="0056112F">
        <w:rPr>
          <w:rFonts w:ascii="Arial" w:hAnsi="Arial" w:cs="Arial"/>
          <w:sz w:val="24"/>
          <w:szCs w:val="24"/>
          <w:u w:val="single"/>
        </w:rPr>
        <w:t>o</w:t>
      </w:r>
      <w:r w:rsidRPr="00231905">
        <w:rPr>
          <w:rFonts w:ascii="Arial" w:hAnsi="Arial" w:cs="Arial"/>
          <w:sz w:val="24"/>
          <w:szCs w:val="24"/>
          <w:u w:val="single"/>
        </w:rPr>
        <w:t>mnichannel</w:t>
      </w:r>
      <w:r w:rsidRPr="00231905">
        <w:rPr>
          <w:rFonts w:ascii="Arial" w:hAnsi="Arial" w:cs="Arial"/>
          <w:sz w:val="24"/>
          <w:szCs w:val="24"/>
        </w:rPr>
        <w:t xml:space="preserve"> everywhere</w:t>
      </w:r>
    </w:p>
    <w:p w14:paraId="243E7269" w14:textId="77777777" w:rsidR="005F081C" w:rsidRDefault="005F081C" w:rsidP="005F081C">
      <w:pPr>
        <w:numPr>
          <w:ilvl w:val="0"/>
          <w:numId w:val="33"/>
        </w:numPr>
        <w:spacing w:after="200" w:line="276" w:lineRule="auto"/>
        <w:jc w:val="left"/>
        <w:rPr>
          <w:rFonts w:ascii="Arial" w:hAnsi="Arial" w:cs="Arial"/>
          <w:sz w:val="24"/>
          <w:szCs w:val="24"/>
        </w:rPr>
      </w:pPr>
      <w:r w:rsidRPr="00B672B2">
        <w:rPr>
          <w:rFonts w:ascii="Arial" w:hAnsi="Arial" w:cs="Arial"/>
          <w:sz w:val="24"/>
          <w:szCs w:val="24"/>
          <w:u w:val="single"/>
        </w:rPr>
        <w:t>Low</w:t>
      </w:r>
      <w:r>
        <w:rPr>
          <w:rFonts w:ascii="Arial" w:hAnsi="Arial" w:cs="Arial"/>
          <w:sz w:val="24"/>
          <w:szCs w:val="24"/>
        </w:rPr>
        <w:t xml:space="preserve"> cost always</w:t>
      </w:r>
    </w:p>
    <w:p w14:paraId="0AB7DBB9" w14:textId="63BB2A08" w:rsidR="005F081C" w:rsidRPr="00231905" w:rsidRDefault="005F081C" w:rsidP="005F081C">
      <w:pPr>
        <w:numPr>
          <w:ilvl w:val="0"/>
          <w:numId w:val="33"/>
        </w:numPr>
        <w:spacing w:after="200" w:line="276" w:lineRule="auto"/>
        <w:jc w:val="left"/>
        <w:rPr>
          <w:rFonts w:ascii="Arial" w:hAnsi="Arial" w:cs="Arial"/>
          <w:sz w:val="24"/>
          <w:szCs w:val="24"/>
        </w:rPr>
      </w:pPr>
      <w:r w:rsidRPr="00B672B2">
        <w:rPr>
          <w:rFonts w:ascii="Arial" w:hAnsi="Arial" w:cs="Arial"/>
          <w:sz w:val="24"/>
          <w:szCs w:val="24"/>
          <w:u w:val="single"/>
        </w:rPr>
        <w:t>O</w:t>
      </w:r>
      <w:r w:rsidR="00507B19">
        <w:rPr>
          <w:rFonts w:ascii="Arial" w:hAnsi="Arial" w:cs="Arial"/>
          <w:sz w:val="24"/>
          <w:szCs w:val="24"/>
          <w:u w:val="single"/>
        </w:rPr>
        <w:t>ne</w:t>
      </w:r>
      <w:r>
        <w:rPr>
          <w:rFonts w:ascii="Arial" w:hAnsi="Arial" w:cs="Arial"/>
          <w:sz w:val="24"/>
          <w:szCs w:val="24"/>
        </w:rPr>
        <w:t xml:space="preserve"> company culture</w:t>
      </w:r>
    </w:p>
    <w:p w14:paraId="4A74F6D0" w14:textId="77777777" w:rsidR="005F081C" w:rsidRDefault="005F081C" w:rsidP="005F081C">
      <w:pPr>
        <w:jc w:val="left"/>
        <w:rPr>
          <w:rFonts w:ascii="Arial" w:hAnsi="Arial" w:cs="Arial"/>
          <w:sz w:val="24"/>
          <w:szCs w:val="24"/>
        </w:rPr>
      </w:pPr>
    </w:p>
    <w:p w14:paraId="042D62A8" w14:textId="1E485A96" w:rsidR="005F081C" w:rsidRPr="006C2C39" w:rsidRDefault="00D91ED7" w:rsidP="006C2C39">
      <w:pPr>
        <w:jc w:val="left"/>
        <w:rPr>
          <w:rFonts w:ascii="Arial" w:hAnsi="Arial" w:cs="Arial"/>
          <w:sz w:val="24"/>
          <w:szCs w:val="24"/>
        </w:rPr>
      </w:pPr>
      <w:r>
        <w:rPr>
          <w:rFonts w:ascii="Arial" w:hAnsi="Arial" w:cs="Arial"/>
          <w:sz w:val="24"/>
          <w:szCs w:val="24"/>
        </w:rPr>
        <w:t>We believe that f</w:t>
      </w:r>
      <w:r w:rsidR="005F081C">
        <w:rPr>
          <w:rFonts w:ascii="Arial" w:hAnsi="Arial" w:cs="Arial"/>
          <w:sz w:val="24"/>
          <w:szCs w:val="24"/>
        </w:rPr>
        <w:t>ollowing these principles will</w:t>
      </w:r>
      <w:r w:rsidR="005F081C" w:rsidRPr="006D41E7">
        <w:rPr>
          <w:rFonts w:ascii="Arial" w:hAnsi="Arial" w:cs="Arial"/>
          <w:sz w:val="24"/>
          <w:szCs w:val="24"/>
        </w:rPr>
        <w:t xml:space="preserve"> </w:t>
      </w:r>
      <w:r w:rsidR="008C6348">
        <w:rPr>
          <w:rFonts w:ascii="Arial" w:hAnsi="Arial" w:cs="Arial"/>
          <w:sz w:val="24"/>
          <w:szCs w:val="24"/>
        </w:rPr>
        <w:t xml:space="preserve">drive higher </w:t>
      </w:r>
      <w:r w:rsidR="005F081C" w:rsidRPr="006C2C39">
        <w:rPr>
          <w:rFonts w:ascii="Arial" w:hAnsi="Arial" w:cs="Arial"/>
          <w:sz w:val="24"/>
          <w:szCs w:val="24"/>
        </w:rPr>
        <w:t xml:space="preserve">sales </w:t>
      </w:r>
      <w:r w:rsidR="008C6348">
        <w:rPr>
          <w:rFonts w:ascii="Arial" w:hAnsi="Arial" w:cs="Arial"/>
          <w:sz w:val="24"/>
          <w:szCs w:val="24"/>
        </w:rPr>
        <w:t xml:space="preserve">from </w:t>
      </w:r>
      <w:r w:rsidR="005F081C" w:rsidRPr="006C2C39">
        <w:rPr>
          <w:rFonts w:ascii="Arial" w:hAnsi="Arial" w:cs="Arial"/>
          <w:sz w:val="24"/>
          <w:szCs w:val="24"/>
        </w:rPr>
        <w:t>having a unique, differentiated offer at good prices for our customers</w:t>
      </w:r>
      <w:r w:rsidR="008C6348">
        <w:rPr>
          <w:rFonts w:ascii="Arial" w:hAnsi="Arial" w:cs="Arial"/>
          <w:sz w:val="24"/>
          <w:szCs w:val="24"/>
        </w:rPr>
        <w:t xml:space="preserve"> whilst </w:t>
      </w:r>
      <w:r w:rsidR="005F081C" w:rsidRPr="006C2C39">
        <w:rPr>
          <w:rFonts w:ascii="Arial" w:hAnsi="Arial" w:cs="Arial"/>
          <w:sz w:val="24"/>
          <w:szCs w:val="24"/>
        </w:rPr>
        <w:t>maintaining our gross margin rate</w:t>
      </w:r>
      <w:r w:rsidR="008C6348">
        <w:rPr>
          <w:rFonts w:ascii="Arial" w:hAnsi="Arial" w:cs="Arial"/>
          <w:sz w:val="24"/>
          <w:szCs w:val="24"/>
        </w:rPr>
        <w:t xml:space="preserve"> and </w:t>
      </w:r>
      <w:r w:rsidR="00457FC2" w:rsidRPr="006C2C39">
        <w:rPr>
          <w:rFonts w:ascii="Arial" w:hAnsi="Arial" w:cs="Arial"/>
          <w:sz w:val="24"/>
          <w:szCs w:val="24"/>
        </w:rPr>
        <w:t>l</w:t>
      </w:r>
      <w:r w:rsidR="005F081C" w:rsidRPr="006C2C39">
        <w:rPr>
          <w:rFonts w:ascii="Arial" w:hAnsi="Arial" w:cs="Arial"/>
          <w:sz w:val="24"/>
          <w:szCs w:val="24"/>
        </w:rPr>
        <w:t>owering our cost base</w:t>
      </w:r>
      <w:r w:rsidR="008C6348">
        <w:rPr>
          <w:rFonts w:ascii="Arial" w:hAnsi="Arial" w:cs="Arial"/>
          <w:sz w:val="24"/>
          <w:szCs w:val="24"/>
        </w:rPr>
        <w:t xml:space="preserve">. Combining this with </w:t>
      </w:r>
      <w:r w:rsidR="005E2623">
        <w:rPr>
          <w:rFonts w:ascii="Arial" w:hAnsi="Arial" w:cs="Arial"/>
          <w:sz w:val="24"/>
          <w:szCs w:val="24"/>
        </w:rPr>
        <w:t xml:space="preserve">continued </w:t>
      </w:r>
      <w:r w:rsidR="005F081C" w:rsidRPr="006C2C39">
        <w:rPr>
          <w:rFonts w:ascii="Arial" w:hAnsi="Arial" w:cs="Arial"/>
          <w:sz w:val="24"/>
          <w:szCs w:val="24"/>
        </w:rPr>
        <w:t>strict capital discipline</w:t>
      </w:r>
      <w:r w:rsidR="005E2623">
        <w:rPr>
          <w:rFonts w:ascii="Arial" w:hAnsi="Arial" w:cs="Arial"/>
          <w:sz w:val="24"/>
          <w:szCs w:val="24"/>
        </w:rPr>
        <w:t xml:space="preserve"> will </w:t>
      </w:r>
      <w:r w:rsidR="008C6348">
        <w:rPr>
          <w:rFonts w:ascii="Arial" w:hAnsi="Arial" w:cs="Arial"/>
          <w:sz w:val="24"/>
          <w:szCs w:val="24"/>
        </w:rPr>
        <w:t xml:space="preserve">deliver improved financial metrics for our shareholders.  </w:t>
      </w:r>
    </w:p>
    <w:p w14:paraId="5C2E7962" w14:textId="77777777" w:rsidR="005F081C" w:rsidRPr="0075047A" w:rsidRDefault="005F081C" w:rsidP="0075047A">
      <w:pPr>
        <w:jc w:val="left"/>
        <w:rPr>
          <w:rFonts w:ascii="Arial" w:hAnsi="Arial" w:cs="Arial"/>
          <w:sz w:val="24"/>
          <w:szCs w:val="24"/>
        </w:rPr>
      </w:pPr>
    </w:p>
    <w:p w14:paraId="7DF380D6" w14:textId="774902F9" w:rsidR="00D03F15" w:rsidRDefault="00871E59" w:rsidP="005F081C">
      <w:pPr>
        <w:jc w:val="left"/>
        <w:rPr>
          <w:rFonts w:ascii="Arial" w:hAnsi="Arial" w:cs="Arial"/>
          <w:b/>
          <w:sz w:val="24"/>
          <w:szCs w:val="24"/>
        </w:rPr>
      </w:pPr>
      <w:r>
        <w:rPr>
          <w:rFonts w:ascii="Arial" w:hAnsi="Arial" w:cs="Arial"/>
          <w:b/>
          <w:sz w:val="24"/>
          <w:szCs w:val="24"/>
        </w:rPr>
        <w:t>We need to o</w:t>
      </w:r>
      <w:r w:rsidR="00D03F15" w:rsidRPr="006C2C39">
        <w:rPr>
          <w:rFonts w:ascii="Arial" w:hAnsi="Arial" w:cs="Arial"/>
          <w:b/>
          <w:sz w:val="24"/>
          <w:szCs w:val="24"/>
        </w:rPr>
        <w:t>rganise ourselves very differently</w:t>
      </w:r>
    </w:p>
    <w:p w14:paraId="64560145" w14:textId="77777777" w:rsidR="00871E59" w:rsidRPr="006C2C39" w:rsidRDefault="00871E59" w:rsidP="005F081C">
      <w:pPr>
        <w:jc w:val="left"/>
        <w:rPr>
          <w:rFonts w:ascii="Arial" w:hAnsi="Arial" w:cs="Arial"/>
          <w:b/>
          <w:sz w:val="24"/>
          <w:szCs w:val="24"/>
        </w:rPr>
      </w:pPr>
    </w:p>
    <w:p w14:paraId="01A28297" w14:textId="7B5CF66A" w:rsidR="005F081C" w:rsidRDefault="00D03F15" w:rsidP="005F081C">
      <w:pPr>
        <w:jc w:val="left"/>
        <w:rPr>
          <w:rFonts w:ascii="Arial" w:hAnsi="Arial" w:cs="Arial"/>
          <w:sz w:val="24"/>
          <w:szCs w:val="24"/>
        </w:rPr>
      </w:pPr>
      <w:r>
        <w:rPr>
          <w:rFonts w:ascii="Arial" w:hAnsi="Arial" w:cs="Arial"/>
          <w:sz w:val="24"/>
          <w:szCs w:val="24"/>
        </w:rPr>
        <w:t>This will involve taking what is essentially a locally managed set of businesses and creating instead a single, unified company.</w:t>
      </w:r>
      <w:r w:rsidR="00457FC2">
        <w:rPr>
          <w:rFonts w:ascii="Arial" w:hAnsi="Arial" w:cs="Arial"/>
          <w:sz w:val="24"/>
          <w:szCs w:val="24"/>
        </w:rPr>
        <w:t xml:space="preserve"> </w:t>
      </w:r>
      <w:r w:rsidR="00457FC2" w:rsidRPr="00457FC2">
        <w:rPr>
          <w:rFonts w:ascii="Arial" w:hAnsi="Arial" w:cs="Arial"/>
          <w:sz w:val="24"/>
          <w:szCs w:val="24"/>
        </w:rPr>
        <w:t xml:space="preserve">The first step in developing this new organisation </w:t>
      </w:r>
      <w:r w:rsidR="00457FC2">
        <w:rPr>
          <w:rFonts w:ascii="Arial" w:hAnsi="Arial" w:cs="Arial"/>
          <w:sz w:val="24"/>
          <w:szCs w:val="24"/>
        </w:rPr>
        <w:t xml:space="preserve">(‘ONE’ Kingfisher) </w:t>
      </w:r>
      <w:r w:rsidR="00457FC2" w:rsidRPr="00457FC2">
        <w:rPr>
          <w:rFonts w:ascii="Arial" w:hAnsi="Arial" w:cs="Arial"/>
          <w:sz w:val="24"/>
          <w:szCs w:val="24"/>
        </w:rPr>
        <w:t>is the creation of a new</w:t>
      </w:r>
      <w:r w:rsidR="00200984">
        <w:rPr>
          <w:rFonts w:ascii="Arial" w:hAnsi="Arial" w:cs="Arial"/>
          <w:sz w:val="24"/>
          <w:szCs w:val="24"/>
        </w:rPr>
        <w:t>,</w:t>
      </w:r>
      <w:r w:rsidR="00457FC2" w:rsidRPr="00457FC2">
        <w:rPr>
          <w:rFonts w:ascii="Arial" w:hAnsi="Arial" w:cs="Arial"/>
          <w:sz w:val="24"/>
          <w:szCs w:val="24"/>
        </w:rPr>
        <w:t xml:space="preserve"> international leadership team with mor</w:t>
      </w:r>
      <w:r w:rsidR="00457FC2">
        <w:rPr>
          <w:rFonts w:ascii="Arial" w:hAnsi="Arial" w:cs="Arial"/>
          <w:sz w:val="24"/>
          <w:szCs w:val="24"/>
        </w:rPr>
        <w:t xml:space="preserve">e focused cross-company roles </w:t>
      </w:r>
      <w:r w:rsidR="00457FC2" w:rsidRPr="005E2623">
        <w:rPr>
          <w:rFonts w:ascii="Arial" w:hAnsi="Arial" w:cs="Arial"/>
          <w:sz w:val="24"/>
          <w:szCs w:val="24"/>
        </w:rPr>
        <w:t>including</w:t>
      </w:r>
      <w:r w:rsidR="005E2623" w:rsidRPr="006C2C39">
        <w:rPr>
          <w:rFonts w:ascii="Arial" w:hAnsi="Arial" w:cs="Arial"/>
          <w:sz w:val="24"/>
          <w:szCs w:val="24"/>
        </w:rPr>
        <w:t>:</w:t>
      </w:r>
      <w:r w:rsidR="005E2623">
        <w:rPr>
          <w:rFonts w:ascii="Arial" w:hAnsi="Arial" w:cs="Arial"/>
          <w:sz w:val="24"/>
          <w:szCs w:val="24"/>
          <w:highlight w:val="yellow"/>
        </w:rPr>
        <w:t xml:space="preserve"> </w:t>
      </w:r>
    </w:p>
    <w:p w14:paraId="52787D3F" w14:textId="77777777" w:rsidR="004E4ECE" w:rsidRDefault="004E4ECE" w:rsidP="005F081C">
      <w:pPr>
        <w:jc w:val="left"/>
        <w:rPr>
          <w:rFonts w:ascii="Arial" w:hAnsi="Arial" w:cs="Arial"/>
          <w:sz w:val="24"/>
          <w:szCs w:val="24"/>
        </w:rPr>
      </w:pPr>
    </w:p>
    <w:p w14:paraId="79A9B179" w14:textId="7E0A6231" w:rsidR="00B74D72" w:rsidRDefault="00B74D72" w:rsidP="00657B3E">
      <w:pPr>
        <w:pStyle w:val="ListParagraph"/>
        <w:numPr>
          <w:ilvl w:val="0"/>
          <w:numId w:val="35"/>
        </w:numPr>
        <w:spacing w:after="200" w:line="276" w:lineRule="auto"/>
        <w:contextualSpacing/>
        <w:jc w:val="left"/>
        <w:rPr>
          <w:rFonts w:ascii="Arial" w:hAnsi="Arial" w:cs="Arial"/>
          <w:sz w:val="24"/>
          <w:szCs w:val="24"/>
        </w:rPr>
      </w:pPr>
      <w:r>
        <w:rPr>
          <w:rFonts w:ascii="Arial" w:hAnsi="Arial" w:cs="Arial"/>
          <w:sz w:val="24"/>
          <w:szCs w:val="24"/>
        </w:rPr>
        <w:t>Chief Executive Officer</w:t>
      </w:r>
    </w:p>
    <w:p w14:paraId="53CCB1DA" w14:textId="6ECFDBB3" w:rsidR="008C10BC" w:rsidRDefault="008C10BC" w:rsidP="00657B3E">
      <w:pPr>
        <w:pStyle w:val="ListParagraph"/>
        <w:numPr>
          <w:ilvl w:val="0"/>
          <w:numId w:val="35"/>
        </w:numPr>
        <w:spacing w:after="200" w:line="276" w:lineRule="auto"/>
        <w:contextualSpacing/>
        <w:jc w:val="left"/>
        <w:rPr>
          <w:rFonts w:ascii="Arial" w:hAnsi="Arial" w:cs="Arial"/>
          <w:sz w:val="24"/>
          <w:szCs w:val="24"/>
        </w:rPr>
      </w:pPr>
      <w:r>
        <w:rPr>
          <w:rFonts w:ascii="Arial" w:hAnsi="Arial" w:cs="Arial"/>
          <w:sz w:val="24"/>
          <w:szCs w:val="24"/>
        </w:rPr>
        <w:t xml:space="preserve">Chief Financial Officer </w:t>
      </w:r>
    </w:p>
    <w:p w14:paraId="7D06B378" w14:textId="77777777" w:rsidR="00BC7493" w:rsidRDefault="00EE7214" w:rsidP="00657B3E">
      <w:pPr>
        <w:pStyle w:val="ListParagraph"/>
        <w:numPr>
          <w:ilvl w:val="0"/>
          <w:numId w:val="35"/>
        </w:numPr>
        <w:spacing w:after="200" w:line="276" w:lineRule="auto"/>
        <w:contextualSpacing/>
        <w:jc w:val="left"/>
        <w:rPr>
          <w:rFonts w:ascii="Arial" w:hAnsi="Arial" w:cs="Arial"/>
          <w:sz w:val="24"/>
          <w:szCs w:val="24"/>
        </w:rPr>
      </w:pPr>
      <w:r w:rsidRPr="004E4ECE">
        <w:rPr>
          <w:rFonts w:ascii="Arial" w:hAnsi="Arial" w:cs="Arial"/>
          <w:sz w:val="24"/>
          <w:szCs w:val="24"/>
        </w:rPr>
        <w:t>Chief Offer &amp; Supply Chain Officer</w:t>
      </w:r>
    </w:p>
    <w:p w14:paraId="7F89C964" w14:textId="05200353" w:rsidR="00712315" w:rsidRPr="004E4ECE" w:rsidRDefault="00EE7214" w:rsidP="00657B3E">
      <w:pPr>
        <w:pStyle w:val="ListParagraph"/>
        <w:numPr>
          <w:ilvl w:val="0"/>
          <w:numId w:val="35"/>
        </w:numPr>
        <w:spacing w:after="200" w:line="276" w:lineRule="auto"/>
        <w:contextualSpacing/>
        <w:jc w:val="left"/>
        <w:rPr>
          <w:rFonts w:ascii="Arial" w:hAnsi="Arial" w:cs="Arial"/>
          <w:sz w:val="24"/>
          <w:szCs w:val="24"/>
        </w:rPr>
      </w:pPr>
      <w:r w:rsidRPr="004E4ECE">
        <w:rPr>
          <w:rFonts w:ascii="Arial" w:hAnsi="Arial" w:cs="Arial"/>
          <w:sz w:val="24"/>
          <w:szCs w:val="24"/>
        </w:rPr>
        <w:t>Chief Digital &amp; IT Officer</w:t>
      </w:r>
    </w:p>
    <w:p w14:paraId="4FBC5AC6" w14:textId="77777777" w:rsidR="00C5357D" w:rsidRDefault="00EE7214" w:rsidP="00657B3E">
      <w:pPr>
        <w:pStyle w:val="ListParagraph"/>
        <w:numPr>
          <w:ilvl w:val="0"/>
          <w:numId w:val="35"/>
        </w:numPr>
        <w:spacing w:after="200" w:line="276" w:lineRule="auto"/>
        <w:contextualSpacing/>
        <w:jc w:val="left"/>
        <w:rPr>
          <w:rFonts w:ascii="Arial" w:hAnsi="Arial" w:cs="Arial"/>
          <w:sz w:val="24"/>
          <w:szCs w:val="24"/>
        </w:rPr>
      </w:pPr>
      <w:r w:rsidRPr="004E4ECE">
        <w:rPr>
          <w:rFonts w:ascii="Arial" w:hAnsi="Arial" w:cs="Arial"/>
          <w:sz w:val="24"/>
          <w:szCs w:val="24"/>
        </w:rPr>
        <w:t>Chief People Officer</w:t>
      </w:r>
    </w:p>
    <w:p w14:paraId="39AAF2EF" w14:textId="4844123C" w:rsidR="00457FC2" w:rsidRPr="00657B3E" w:rsidRDefault="00200984" w:rsidP="00657B3E">
      <w:pPr>
        <w:pStyle w:val="ListParagraph"/>
        <w:numPr>
          <w:ilvl w:val="0"/>
          <w:numId w:val="35"/>
        </w:numPr>
        <w:spacing w:after="200" w:line="276" w:lineRule="auto"/>
        <w:contextualSpacing/>
        <w:jc w:val="left"/>
        <w:rPr>
          <w:rFonts w:ascii="Arial" w:hAnsi="Arial" w:cs="Arial"/>
          <w:sz w:val="24"/>
          <w:szCs w:val="24"/>
        </w:rPr>
      </w:pPr>
      <w:r>
        <w:rPr>
          <w:rFonts w:ascii="Arial" w:hAnsi="Arial" w:cs="Arial"/>
          <w:sz w:val="24"/>
          <w:szCs w:val="24"/>
        </w:rPr>
        <w:t xml:space="preserve">3 Operations Directors by format for </w:t>
      </w:r>
      <w:r w:rsidRPr="004E4ECE">
        <w:rPr>
          <w:rFonts w:ascii="Arial" w:hAnsi="Arial" w:cs="Arial"/>
          <w:sz w:val="24"/>
          <w:szCs w:val="24"/>
        </w:rPr>
        <w:t>Big Box, Medium Box &amp; Omnichanne</w:t>
      </w:r>
      <w:r>
        <w:rPr>
          <w:rFonts w:ascii="Arial" w:hAnsi="Arial" w:cs="Arial"/>
          <w:sz w:val="24"/>
          <w:szCs w:val="24"/>
        </w:rPr>
        <w:t>l</w:t>
      </w:r>
    </w:p>
    <w:p w14:paraId="6E369243" w14:textId="767C5ECA" w:rsidR="005F081C" w:rsidRPr="00657B3E" w:rsidRDefault="005F081C" w:rsidP="005F081C">
      <w:pPr>
        <w:jc w:val="left"/>
        <w:rPr>
          <w:rFonts w:ascii="Arial" w:hAnsi="Arial" w:cs="Arial"/>
          <w:b/>
          <w:sz w:val="24"/>
          <w:szCs w:val="24"/>
        </w:rPr>
      </w:pPr>
      <w:r w:rsidRPr="00657B3E">
        <w:rPr>
          <w:rFonts w:ascii="Arial" w:hAnsi="Arial" w:cs="Arial"/>
          <w:b/>
          <w:sz w:val="24"/>
          <w:szCs w:val="24"/>
        </w:rPr>
        <w:t>Our work to mobilise ‘ONE’ Kingfisher will be focused on the following five</w:t>
      </w:r>
      <w:r w:rsidR="00B74D72" w:rsidRPr="00657B3E">
        <w:rPr>
          <w:rFonts w:ascii="Arial" w:hAnsi="Arial" w:cs="Arial"/>
          <w:b/>
          <w:sz w:val="24"/>
          <w:szCs w:val="24"/>
        </w:rPr>
        <w:t xml:space="preserve"> areas</w:t>
      </w:r>
      <w:r w:rsidRPr="00657B3E">
        <w:rPr>
          <w:rFonts w:ascii="Arial" w:hAnsi="Arial" w:cs="Arial"/>
          <w:b/>
          <w:sz w:val="24"/>
          <w:szCs w:val="24"/>
        </w:rPr>
        <w:t xml:space="preserve">, </w:t>
      </w:r>
      <w:r w:rsidR="007C47AE" w:rsidRPr="00657B3E">
        <w:rPr>
          <w:rFonts w:ascii="Arial" w:hAnsi="Arial" w:cs="Arial"/>
          <w:b/>
          <w:sz w:val="24"/>
          <w:szCs w:val="24"/>
        </w:rPr>
        <w:t>where</w:t>
      </w:r>
      <w:r w:rsidRPr="00657B3E">
        <w:rPr>
          <w:rFonts w:ascii="Arial" w:hAnsi="Arial" w:cs="Arial"/>
          <w:b/>
          <w:sz w:val="24"/>
          <w:szCs w:val="24"/>
        </w:rPr>
        <w:t xml:space="preserve"> we have identified the first ‘sharp’ decisions </w:t>
      </w:r>
      <w:r w:rsidR="00BB50CD" w:rsidRPr="00657B3E">
        <w:rPr>
          <w:rFonts w:ascii="Arial" w:hAnsi="Arial" w:cs="Arial"/>
          <w:b/>
          <w:sz w:val="24"/>
          <w:szCs w:val="24"/>
        </w:rPr>
        <w:t xml:space="preserve">that are being implemented </w:t>
      </w:r>
      <w:r w:rsidRPr="00657B3E">
        <w:rPr>
          <w:rFonts w:ascii="Arial" w:hAnsi="Arial" w:cs="Arial"/>
          <w:b/>
          <w:sz w:val="24"/>
          <w:szCs w:val="24"/>
        </w:rPr>
        <w:t xml:space="preserve">at pace: </w:t>
      </w:r>
    </w:p>
    <w:p w14:paraId="3E961392" w14:textId="77777777" w:rsidR="00457FC2" w:rsidRPr="000A4DFC" w:rsidRDefault="00457FC2" w:rsidP="005F081C">
      <w:pPr>
        <w:jc w:val="left"/>
        <w:rPr>
          <w:rFonts w:ascii="Arial" w:hAnsi="Arial" w:cs="Arial"/>
          <w:sz w:val="24"/>
          <w:szCs w:val="24"/>
        </w:rPr>
      </w:pPr>
    </w:p>
    <w:p w14:paraId="63A81F54" w14:textId="5D00B4F2" w:rsidR="00651FBA" w:rsidRPr="00B672B2" w:rsidRDefault="005F081C" w:rsidP="00657B3E">
      <w:pPr>
        <w:numPr>
          <w:ilvl w:val="0"/>
          <w:numId w:val="34"/>
        </w:numPr>
        <w:spacing w:after="200" w:line="276" w:lineRule="auto"/>
        <w:jc w:val="left"/>
        <w:rPr>
          <w:rFonts w:ascii="Arial" w:hAnsi="Arial" w:cs="Arial"/>
          <w:sz w:val="24"/>
          <w:szCs w:val="24"/>
        </w:rPr>
      </w:pPr>
      <w:r w:rsidRPr="00D35C3C">
        <w:rPr>
          <w:rFonts w:ascii="Arial" w:hAnsi="Arial" w:cs="Arial"/>
          <w:sz w:val="24"/>
          <w:szCs w:val="24"/>
          <w:u w:val="single"/>
        </w:rPr>
        <w:t xml:space="preserve">Customer </w:t>
      </w:r>
    </w:p>
    <w:p w14:paraId="7365FB75" w14:textId="1EBA8407" w:rsidR="005F081C" w:rsidRDefault="00C5357D" w:rsidP="0056112F">
      <w:pPr>
        <w:ind w:left="360"/>
        <w:jc w:val="left"/>
        <w:rPr>
          <w:rFonts w:ascii="Arial" w:hAnsi="Arial" w:cs="Arial"/>
          <w:sz w:val="24"/>
          <w:szCs w:val="24"/>
        </w:rPr>
      </w:pPr>
      <w:r>
        <w:rPr>
          <w:rFonts w:ascii="Arial" w:hAnsi="Arial" w:cs="Arial"/>
          <w:sz w:val="24"/>
          <w:szCs w:val="24"/>
        </w:rPr>
        <w:t>Everything</w:t>
      </w:r>
      <w:r w:rsidR="005F081C" w:rsidRPr="00D35C3C">
        <w:rPr>
          <w:rFonts w:ascii="Arial" w:hAnsi="Arial" w:cs="Arial"/>
          <w:sz w:val="24"/>
          <w:szCs w:val="24"/>
        </w:rPr>
        <w:t xml:space="preserve"> will be </w:t>
      </w:r>
      <w:r w:rsidR="00607721">
        <w:rPr>
          <w:rFonts w:ascii="Arial" w:hAnsi="Arial" w:cs="Arial"/>
          <w:sz w:val="24"/>
          <w:szCs w:val="24"/>
        </w:rPr>
        <w:t xml:space="preserve">based on our deep knowledge of customer needs and customers’ shopping journey. </w:t>
      </w:r>
    </w:p>
    <w:p w14:paraId="2A6CB1CA" w14:textId="77777777" w:rsidR="00EE7214" w:rsidRDefault="00EE7214" w:rsidP="0056112F">
      <w:pPr>
        <w:ind w:left="360"/>
        <w:jc w:val="left"/>
        <w:rPr>
          <w:rFonts w:ascii="Arial" w:hAnsi="Arial" w:cs="Arial"/>
          <w:sz w:val="24"/>
          <w:szCs w:val="24"/>
        </w:rPr>
      </w:pPr>
    </w:p>
    <w:p w14:paraId="26ED56A5" w14:textId="77777777" w:rsidR="005F081C" w:rsidRDefault="005F081C" w:rsidP="0056112F">
      <w:pPr>
        <w:ind w:left="360"/>
        <w:jc w:val="left"/>
        <w:rPr>
          <w:rFonts w:ascii="Arial" w:hAnsi="Arial" w:cs="Arial"/>
          <w:sz w:val="24"/>
          <w:szCs w:val="24"/>
        </w:rPr>
      </w:pPr>
      <w:r w:rsidRPr="000A4DFC">
        <w:rPr>
          <w:rFonts w:ascii="Arial" w:hAnsi="Arial" w:cs="Arial"/>
          <w:i/>
          <w:sz w:val="24"/>
          <w:szCs w:val="24"/>
        </w:rPr>
        <w:t>First sharp decision:</w:t>
      </w:r>
      <w:r>
        <w:rPr>
          <w:rFonts w:ascii="Arial" w:hAnsi="Arial" w:cs="Arial"/>
          <w:sz w:val="24"/>
          <w:szCs w:val="24"/>
        </w:rPr>
        <w:t xml:space="preserve"> </w:t>
      </w:r>
    </w:p>
    <w:p w14:paraId="7A21BD9F" w14:textId="6DEF1223" w:rsidR="005F081C" w:rsidRDefault="005F081C" w:rsidP="0075047A">
      <w:pPr>
        <w:spacing w:after="200" w:line="276" w:lineRule="auto"/>
        <w:ind w:left="360"/>
        <w:contextualSpacing/>
        <w:jc w:val="left"/>
        <w:rPr>
          <w:rFonts w:ascii="Arial" w:hAnsi="Arial" w:cs="Arial"/>
          <w:sz w:val="24"/>
          <w:szCs w:val="24"/>
        </w:rPr>
      </w:pPr>
      <w:r w:rsidRPr="006C2C39">
        <w:rPr>
          <w:rFonts w:ascii="Arial" w:hAnsi="Arial" w:cs="Arial"/>
          <w:sz w:val="24"/>
          <w:szCs w:val="24"/>
        </w:rPr>
        <w:t xml:space="preserve">To develop unified garden and bathroom businesses across Europe, covering the full design process from customers’ needs to customers’ homes. </w:t>
      </w:r>
    </w:p>
    <w:p w14:paraId="14253425" w14:textId="77777777" w:rsidR="001C43C3" w:rsidRDefault="001C43C3" w:rsidP="0075047A">
      <w:pPr>
        <w:spacing w:after="200" w:line="276" w:lineRule="auto"/>
        <w:ind w:left="360"/>
        <w:contextualSpacing/>
        <w:jc w:val="left"/>
        <w:rPr>
          <w:rFonts w:ascii="Arial" w:hAnsi="Arial" w:cs="Arial"/>
          <w:sz w:val="24"/>
          <w:szCs w:val="24"/>
        </w:rPr>
      </w:pPr>
    </w:p>
    <w:p w14:paraId="0F483462" w14:textId="77777777" w:rsidR="000E6C79" w:rsidRDefault="000E6C79" w:rsidP="00506D26">
      <w:pPr>
        <w:spacing w:after="200" w:line="276" w:lineRule="auto"/>
        <w:contextualSpacing/>
        <w:jc w:val="left"/>
        <w:rPr>
          <w:rFonts w:ascii="Arial" w:hAnsi="Arial" w:cs="Arial"/>
          <w:sz w:val="24"/>
          <w:szCs w:val="24"/>
        </w:rPr>
      </w:pPr>
    </w:p>
    <w:p w14:paraId="600E54B6" w14:textId="77777777" w:rsidR="000E6C79" w:rsidRDefault="000E6C79" w:rsidP="00506D26">
      <w:pPr>
        <w:spacing w:after="200" w:line="276" w:lineRule="auto"/>
        <w:contextualSpacing/>
        <w:jc w:val="left"/>
        <w:rPr>
          <w:rFonts w:ascii="Arial" w:hAnsi="Arial" w:cs="Arial"/>
          <w:sz w:val="24"/>
          <w:szCs w:val="24"/>
        </w:rPr>
      </w:pPr>
    </w:p>
    <w:p w14:paraId="71B5F7BE" w14:textId="77777777" w:rsidR="00657B3E" w:rsidRPr="006C2C39" w:rsidRDefault="00657B3E" w:rsidP="00506D26">
      <w:pPr>
        <w:spacing w:after="200" w:line="276" w:lineRule="auto"/>
        <w:contextualSpacing/>
        <w:jc w:val="left"/>
        <w:rPr>
          <w:rFonts w:ascii="Arial" w:hAnsi="Arial" w:cs="Arial"/>
          <w:sz w:val="24"/>
          <w:szCs w:val="24"/>
        </w:rPr>
      </w:pPr>
    </w:p>
    <w:p w14:paraId="60EB7E9E" w14:textId="5DBE21CC" w:rsidR="00871E59" w:rsidRPr="00B672B2" w:rsidRDefault="00871E59" w:rsidP="00657B3E">
      <w:pPr>
        <w:numPr>
          <w:ilvl w:val="0"/>
          <w:numId w:val="34"/>
        </w:numPr>
        <w:spacing w:after="200" w:line="276" w:lineRule="auto"/>
        <w:jc w:val="left"/>
        <w:rPr>
          <w:rFonts w:ascii="Arial" w:hAnsi="Arial" w:cs="Arial"/>
          <w:sz w:val="24"/>
          <w:szCs w:val="24"/>
        </w:rPr>
      </w:pPr>
      <w:r w:rsidRPr="00FC4B0F">
        <w:rPr>
          <w:rFonts w:ascii="Arial" w:hAnsi="Arial" w:cs="Arial"/>
          <w:sz w:val="24"/>
          <w:szCs w:val="24"/>
          <w:u w:val="single"/>
        </w:rPr>
        <w:lastRenderedPageBreak/>
        <w:t xml:space="preserve">Offer </w:t>
      </w:r>
    </w:p>
    <w:p w14:paraId="3A4DB3D8" w14:textId="70B1C857" w:rsidR="00871E59" w:rsidRDefault="00871E59" w:rsidP="00871E59">
      <w:pPr>
        <w:ind w:left="360"/>
        <w:jc w:val="left"/>
        <w:rPr>
          <w:rFonts w:ascii="Arial" w:hAnsi="Arial" w:cs="Arial"/>
          <w:sz w:val="24"/>
          <w:szCs w:val="24"/>
        </w:rPr>
      </w:pPr>
      <w:r>
        <w:rPr>
          <w:rFonts w:ascii="Arial" w:hAnsi="Arial" w:cs="Arial"/>
          <w:sz w:val="24"/>
          <w:szCs w:val="24"/>
        </w:rPr>
        <w:t>Of a total of 393,000</w:t>
      </w:r>
      <w:r w:rsidR="00EE43A2" w:rsidRPr="00506D26">
        <w:rPr>
          <w:rFonts w:ascii="Arial" w:hAnsi="Arial" w:cs="Arial"/>
          <w:sz w:val="24"/>
          <w:szCs w:val="24"/>
          <w:vertAlign w:val="superscript"/>
        </w:rPr>
        <w:t>(1</w:t>
      </w:r>
      <w:r w:rsidR="00EE43A2" w:rsidRPr="007C47AE">
        <w:rPr>
          <w:rFonts w:ascii="Arial" w:hAnsi="Arial" w:cs="Arial"/>
          <w:sz w:val="24"/>
          <w:szCs w:val="24"/>
          <w:vertAlign w:val="superscript"/>
        </w:rPr>
        <w:t>)</w:t>
      </w:r>
      <w:r>
        <w:rPr>
          <w:rFonts w:ascii="Arial" w:hAnsi="Arial" w:cs="Arial"/>
          <w:sz w:val="24"/>
          <w:szCs w:val="24"/>
        </w:rPr>
        <w:t xml:space="preserve"> products sold across the company, </w:t>
      </w:r>
      <w:r w:rsidRPr="00871E59">
        <w:rPr>
          <w:rFonts w:ascii="Arial" w:hAnsi="Arial" w:cs="Arial"/>
          <w:sz w:val="24"/>
          <w:szCs w:val="24"/>
        </w:rPr>
        <w:t xml:space="preserve">only </w:t>
      </w:r>
      <w:r w:rsidRPr="00B672B2">
        <w:rPr>
          <w:rFonts w:ascii="Arial" w:hAnsi="Arial" w:cs="Arial"/>
          <w:sz w:val="24"/>
          <w:szCs w:val="24"/>
        </w:rPr>
        <w:t>7,000</w:t>
      </w:r>
      <w:r w:rsidR="007C47AE" w:rsidRPr="00506D26">
        <w:rPr>
          <w:rFonts w:ascii="Arial" w:hAnsi="Arial" w:cs="Arial"/>
          <w:sz w:val="24"/>
          <w:szCs w:val="24"/>
          <w:vertAlign w:val="superscript"/>
        </w:rPr>
        <w:t>(1</w:t>
      </w:r>
      <w:r w:rsidR="007C47AE" w:rsidRPr="007C47AE">
        <w:rPr>
          <w:rFonts w:ascii="Arial" w:hAnsi="Arial" w:cs="Arial"/>
          <w:sz w:val="24"/>
          <w:szCs w:val="24"/>
          <w:vertAlign w:val="superscript"/>
        </w:rPr>
        <w:t>)</w:t>
      </w:r>
      <w:r>
        <w:rPr>
          <w:rFonts w:ascii="Arial" w:hAnsi="Arial" w:cs="Arial"/>
          <w:sz w:val="24"/>
          <w:szCs w:val="24"/>
        </w:rPr>
        <w:t xml:space="preserve"> products (representing </w:t>
      </w:r>
      <w:r w:rsidR="008C10BC">
        <w:rPr>
          <w:rFonts w:ascii="Arial" w:hAnsi="Arial" w:cs="Arial"/>
          <w:sz w:val="24"/>
          <w:szCs w:val="24"/>
        </w:rPr>
        <w:t>7</w:t>
      </w:r>
      <w:r>
        <w:rPr>
          <w:rFonts w:ascii="Arial" w:hAnsi="Arial" w:cs="Arial"/>
          <w:sz w:val="24"/>
          <w:szCs w:val="24"/>
        </w:rPr>
        <w:t>%</w:t>
      </w:r>
      <w:r w:rsidR="008C10BC" w:rsidRPr="00657B3E">
        <w:rPr>
          <w:rFonts w:ascii="Arial" w:hAnsi="Arial" w:cs="Arial"/>
          <w:sz w:val="24"/>
          <w:szCs w:val="24"/>
          <w:vertAlign w:val="superscript"/>
        </w:rPr>
        <w:t>(1)</w:t>
      </w:r>
      <w:r>
        <w:rPr>
          <w:rFonts w:ascii="Arial" w:hAnsi="Arial" w:cs="Arial"/>
          <w:sz w:val="24"/>
          <w:szCs w:val="24"/>
        </w:rPr>
        <w:t xml:space="preserve"> of sales) are currently sold in at least two operating companies. </w:t>
      </w:r>
      <w:r w:rsidR="00EE43A2">
        <w:rPr>
          <w:rFonts w:ascii="Arial" w:hAnsi="Arial" w:cs="Arial"/>
          <w:sz w:val="24"/>
          <w:szCs w:val="24"/>
        </w:rPr>
        <w:t xml:space="preserve">Of the 393,000 products, a large proportion </w:t>
      </w:r>
      <w:r w:rsidR="00822DB1">
        <w:rPr>
          <w:rFonts w:ascii="Arial" w:hAnsi="Arial" w:cs="Arial"/>
          <w:sz w:val="24"/>
          <w:szCs w:val="24"/>
        </w:rPr>
        <w:t>relate</w:t>
      </w:r>
      <w:r w:rsidR="00EE43A2">
        <w:rPr>
          <w:rFonts w:ascii="Arial" w:hAnsi="Arial" w:cs="Arial"/>
          <w:sz w:val="24"/>
          <w:szCs w:val="24"/>
        </w:rPr>
        <w:t xml:space="preserve"> to delisted and ex-promotional rang</w:t>
      </w:r>
      <w:r w:rsidR="00822DB1">
        <w:rPr>
          <w:rFonts w:ascii="Arial" w:hAnsi="Arial" w:cs="Arial"/>
          <w:sz w:val="24"/>
          <w:szCs w:val="24"/>
        </w:rPr>
        <w:t xml:space="preserve">es which do not form part of existing retail </w:t>
      </w:r>
      <w:r w:rsidR="00EE43A2">
        <w:rPr>
          <w:rFonts w:ascii="Arial" w:hAnsi="Arial" w:cs="Arial"/>
          <w:sz w:val="24"/>
          <w:szCs w:val="24"/>
        </w:rPr>
        <w:t>planogram</w:t>
      </w:r>
      <w:r w:rsidR="00822DB1">
        <w:rPr>
          <w:rFonts w:ascii="Arial" w:hAnsi="Arial" w:cs="Arial"/>
          <w:sz w:val="24"/>
          <w:szCs w:val="24"/>
        </w:rPr>
        <w:t>s*</w:t>
      </w:r>
      <w:r w:rsidR="00EE43A2">
        <w:rPr>
          <w:rFonts w:ascii="Arial" w:hAnsi="Arial" w:cs="Arial"/>
          <w:sz w:val="24"/>
          <w:szCs w:val="24"/>
        </w:rPr>
        <w:t xml:space="preserve">. </w:t>
      </w:r>
      <w:r w:rsidR="00822DB1">
        <w:rPr>
          <w:rFonts w:ascii="Arial" w:hAnsi="Arial" w:cs="Arial"/>
          <w:sz w:val="24"/>
          <w:szCs w:val="24"/>
        </w:rPr>
        <w:t>Beyond this, d</w:t>
      </w:r>
      <w:r w:rsidRPr="00FC4B0F">
        <w:rPr>
          <w:rFonts w:ascii="Arial" w:hAnsi="Arial" w:cs="Arial"/>
          <w:sz w:val="24"/>
          <w:szCs w:val="24"/>
        </w:rPr>
        <w:t xml:space="preserve">riven by the knowledge that customer needs are more similar than different across geographies, </w:t>
      </w:r>
      <w:r w:rsidR="00822DB1">
        <w:rPr>
          <w:rFonts w:ascii="Arial" w:hAnsi="Arial" w:cs="Arial"/>
          <w:sz w:val="24"/>
          <w:szCs w:val="24"/>
        </w:rPr>
        <w:t xml:space="preserve">planogram </w:t>
      </w:r>
      <w:r>
        <w:rPr>
          <w:rFonts w:ascii="Arial" w:hAnsi="Arial" w:cs="Arial"/>
          <w:sz w:val="24"/>
          <w:szCs w:val="24"/>
        </w:rPr>
        <w:t>product range</w:t>
      </w:r>
      <w:r w:rsidR="00C5357D">
        <w:rPr>
          <w:rFonts w:ascii="Arial" w:hAnsi="Arial" w:cs="Arial"/>
          <w:sz w:val="24"/>
          <w:szCs w:val="24"/>
        </w:rPr>
        <w:t>s</w:t>
      </w:r>
      <w:r>
        <w:rPr>
          <w:rFonts w:ascii="Arial" w:hAnsi="Arial" w:cs="Arial"/>
          <w:sz w:val="24"/>
          <w:szCs w:val="24"/>
        </w:rPr>
        <w:t xml:space="preserve"> can be more similar </w:t>
      </w:r>
      <w:r w:rsidR="00DA44A8">
        <w:rPr>
          <w:rFonts w:ascii="Arial" w:hAnsi="Arial" w:cs="Arial"/>
          <w:sz w:val="24"/>
          <w:szCs w:val="24"/>
        </w:rPr>
        <w:t xml:space="preserve">in </w:t>
      </w:r>
      <w:r>
        <w:rPr>
          <w:rFonts w:ascii="Arial" w:hAnsi="Arial" w:cs="Arial"/>
          <w:sz w:val="24"/>
          <w:szCs w:val="24"/>
        </w:rPr>
        <w:t xml:space="preserve">all our markets </w:t>
      </w:r>
      <w:r w:rsidRPr="00FC4B0F">
        <w:rPr>
          <w:rFonts w:ascii="Arial" w:hAnsi="Arial" w:cs="Arial"/>
          <w:sz w:val="24"/>
          <w:szCs w:val="24"/>
        </w:rPr>
        <w:t xml:space="preserve">across Europe. </w:t>
      </w:r>
    </w:p>
    <w:p w14:paraId="51F93245" w14:textId="77777777" w:rsidR="00871E59" w:rsidRDefault="00871E59" w:rsidP="00871E59">
      <w:pPr>
        <w:ind w:left="360"/>
        <w:jc w:val="left"/>
        <w:rPr>
          <w:rFonts w:ascii="Arial" w:hAnsi="Arial" w:cs="Arial"/>
          <w:sz w:val="24"/>
          <w:szCs w:val="24"/>
        </w:rPr>
      </w:pPr>
    </w:p>
    <w:p w14:paraId="600A61DF" w14:textId="77777777" w:rsidR="00871E59" w:rsidRPr="006C2C39" w:rsidRDefault="00871E59" w:rsidP="00871E59">
      <w:pPr>
        <w:ind w:firstLine="360"/>
        <w:jc w:val="left"/>
        <w:rPr>
          <w:rFonts w:ascii="Arial" w:hAnsi="Arial" w:cs="Arial"/>
          <w:i/>
          <w:sz w:val="24"/>
          <w:szCs w:val="24"/>
        </w:rPr>
      </w:pPr>
      <w:r w:rsidRPr="006C2C39">
        <w:rPr>
          <w:rFonts w:ascii="Arial" w:hAnsi="Arial" w:cs="Arial"/>
          <w:i/>
          <w:sz w:val="24"/>
          <w:szCs w:val="24"/>
        </w:rPr>
        <w:t>First sharp decision:</w:t>
      </w:r>
    </w:p>
    <w:p w14:paraId="4F37A19F" w14:textId="0C5B0C3C" w:rsidR="00871E59" w:rsidRDefault="00871E59" w:rsidP="00871E59">
      <w:pPr>
        <w:spacing w:after="200" w:line="276" w:lineRule="auto"/>
        <w:ind w:firstLine="360"/>
        <w:contextualSpacing/>
        <w:jc w:val="left"/>
        <w:rPr>
          <w:rFonts w:ascii="Arial" w:hAnsi="Arial" w:cs="Arial"/>
          <w:sz w:val="24"/>
          <w:szCs w:val="24"/>
        </w:rPr>
      </w:pPr>
      <w:r>
        <w:rPr>
          <w:rFonts w:ascii="Arial" w:hAnsi="Arial" w:cs="Arial"/>
          <w:sz w:val="24"/>
          <w:szCs w:val="24"/>
        </w:rPr>
        <w:t>Develop plan to cut existing product tail</w:t>
      </w:r>
      <w:r w:rsidR="00C5357D">
        <w:rPr>
          <w:rFonts w:ascii="Arial" w:hAnsi="Arial" w:cs="Arial"/>
          <w:sz w:val="24"/>
          <w:szCs w:val="24"/>
        </w:rPr>
        <w:t>*</w:t>
      </w:r>
      <w:r w:rsidR="00EE43A2">
        <w:rPr>
          <w:rFonts w:ascii="Arial" w:hAnsi="Arial" w:cs="Arial"/>
          <w:sz w:val="24"/>
          <w:szCs w:val="24"/>
        </w:rPr>
        <w:t xml:space="preserve"> </w:t>
      </w:r>
    </w:p>
    <w:p w14:paraId="75652DE8" w14:textId="77777777" w:rsidR="00EE7214" w:rsidRDefault="00EE7214" w:rsidP="00B672B2">
      <w:pPr>
        <w:spacing w:after="200" w:line="276" w:lineRule="auto"/>
        <w:ind w:firstLine="360"/>
        <w:contextualSpacing/>
        <w:jc w:val="left"/>
        <w:rPr>
          <w:rFonts w:ascii="Arial" w:hAnsi="Arial" w:cs="Arial"/>
          <w:sz w:val="24"/>
          <w:szCs w:val="24"/>
          <w:u w:val="single"/>
        </w:rPr>
      </w:pPr>
    </w:p>
    <w:p w14:paraId="6F66E407" w14:textId="09976EE5" w:rsidR="00871E59" w:rsidRPr="00B672B2" w:rsidRDefault="005F081C" w:rsidP="00657B3E">
      <w:pPr>
        <w:numPr>
          <w:ilvl w:val="0"/>
          <w:numId w:val="34"/>
        </w:numPr>
        <w:spacing w:after="200" w:line="276" w:lineRule="auto"/>
        <w:jc w:val="left"/>
        <w:rPr>
          <w:rFonts w:ascii="Arial" w:hAnsi="Arial" w:cs="Arial"/>
          <w:sz w:val="24"/>
          <w:szCs w:val="24"/>
        </w:rPr>
      </w:pPr>
      <w:r w:rsidRPr="006A4D5C">
        <w:rPr>
          <w:rFonts w:ascii="Arial" w:hAnsi="Arial" w:cs="Arial"/>
          <w:sz w:val="24"/>
          <w:szCs w:val="24"/>
          <w:u w:val="single"/>
        </w:rPr>
        <w:t>Formats/Channels</w:t>
      </w:r>
    </w:p>
    <w:p w14:paraId="259A42CD" w14:textId="59F011A5" w:rsidR="005F081C" w:rsidRPr="006A4D5C" w:rsidRDefault="005F081C" w:rsidP="00044BCA">
      <w:pPr>
        <w:ind w:left="357"/>
        <w:jc w:val="left"/>
        <w:rPr>
          <w:rFonts w:ascii="Arial" w:hAnsi="Arial" w:cs="Arial"/>
          <w:sz w:val="24"/>
          <w:szCs w:val="24"/>
        </w:rPr>
      </w:pPr>
      <w:r w:rsidRPr="006A4D5C">
        <w:rPr>
          <w:rFonts w:ascii="Arial" w:hAnsi="Arial" w:cs="Arial"/>
          <w:sz w:val="24"/>
          <w:szCs w:val="24"/>
        </w:rPr>
        <w:t>Our goal is to present the same products to customers across Europe in the same way under a simplified model</w:t>
      </w:r>
      <w:r>
        <w:rPr>
          <w:rFonts w:ascii="Arial" w:hAnsi="Arial" w:cs="Arial"/>
          <w:sz w:val="24"/>
          <w:szCs w:val="24"/>
        </w:rPr>
        <w:t>. This</w:t>
      </w:r>
      <w:r w:rsidRPr="006A4D5C">
        <w:rPr>
          <w:rFonts w:ascii="Arial" w:hAnsi="Arial" w:cs="Arial"/>
          <w:sz w:val="24"/>
          <w:szCs w:val="24"/>
        </w:rPr>
        <w:t xml:space="preserve"> will drive operational efficiencies</w:t>
      </w:r>
      <w:r>
        <w:rPr>
          <w:rFonts w:ascii="Arial" w:hAnsi="Arial" w:cs="Arial"/>
          <w:sz w:val="24"/>
          <w:szCs w:val="24"/>
        </w:rPr>
        <w:t xml:space="preserve"> whilst recognising that customer needs are evolving quickly so we need to adapt to this</w:t>
      </w:r>
      <w:r w:rsidRPr="00DE5AEC">
        <w:rPr>
          <w:rFonts w:ascii="Arial" w:hAnsi="Arial" w:cs="Arial"/>
          <w:sz w:val="24"/>
          <w:szCs w:val="24"/>
        </w:rPr>
        <w:t xml:space="preserve"> fast changing retail environment.</w:t>
      </w:r>
      <w:r>
        <w:rPr>
          <w:rFonts w:ascii="Arial" w:hAnsi="Arial" w:cs="Arial"/>
          <w:sz w:val="24"/>
          <w:szCs w:val="24"/>
        </w:rPr>
        <w:t xml:space="preserve"> Our </w:t>
      </w:r>
      <w:r w:rsidRPr="006A4D5C">
        <w:rPr>
          <w:rFonts w:ascii="Arial" w:hAnsi="Arial" w:cs="Arial"/>
          <w:sz w:val="24"/>
          <w:szCs w:val="24"/>
        </w:rPr>
        <w:t xml:space="preserve">existing channels </w:t>
      </w:r>
      <w:r>
        <w:rPr>
          <w:rFonts w:ascii="Arial" w:hAnsi="Arial" w:cs="Arial"/>
          <w:sz w:val="24"/>
          <w:szCs w:val="24"/>
        </w:rPr>
        <w:t>will be managed under three</w:t>
      </w:r>
      <w:r w:rsidRPr="006A4D5C">
        <w:rPr>
          <w:rFonts w:ascii="Arial" w:hAnsi="Arial" w:cs="Arial"/>
          <w:sz w:val="24"/>
          <w:szCs w:val="24"/>
        </w:rPr>
        <w:t xml:space="preserve"> formats:</w:t>
      </w:r>
      <w:r>
        <w:rPr>
          <w:rFonts w:ascii="Arial" w:hAnsi="Arial" w:cs="Arial"/>
          <w:sz w:val="24"/>
          <w:szCs w:val="24"/>
        </w:rPr>
        <w:t xml:space="preserve"> Big Box, </w:t>
      </w:r>
      <w:r w:rsidR="00651FBA">
        <w:rPr>
          <w:rFonts w:ascii="Arial" w:hAnsi="Arial" w:cs="Arial"/>
          <w:sz w:val="24"/>
          <w:szCs w:val="24"/>
        </w:rPr>
        <w:t>Medium Box</w:t>
      </w:r>
      <w:r>
        <w:rPr>
          <w:rFonts w:ascii="Arial" w:hAnsi="Arial" w:cs="Arial"/>
          <w:sz w:val="24"/>
          <w:szCs w:val="24"/>
        </w:rPr>
        <w:t xml:space="preserve"> and O</w:t>
      </w:r>
      <w:r w:rsidRPr="006A4D5C">
        <w:rPr>
          <w:rFonts w:ascii="Arial" w:hAnsi="Arial" w:cs="Arial"/>
          <w:sz w:val="24"/>
          <w:szCs w:val="24"/>
        </w:rPr>
        <w:t xml:space="preserve">mnichannel, and each will be standardised across all of our markets. </w:t>
      </w:r>
    </w:p>
    <w:p w14:paraId="2A0180C7" w14:textId="77777777" w:rsidR="00EE7214" w:rsidRDefault="00EE7214" w:rsidP="005F081C">
      <w:pPr>
        <w:jc w:val="left"/>
        <w:rPr>
          <w:rFonts w:ascii="Arial" w:hAnsi="Arial" w:cs="Arial"/>
          <w:i/>
          <w:sz w:val="24"/>
          <w:szCs w:val="24"/>
        </w:rPr>
      </w:pPr>
    </w:p>
    <w:p w14:paraId="16B60A28" w14:textId="77777777" w:rsidR="005F081C" w:rsidRPr="000A4DFC" w:rsidRDefault="005F081C" w:rsidP="006C2C39">
      <w:pPr>
        <w:ind w:firstLine="360"/>
        <w:jc w:val="left"/>
        <w:rPr>
          <w:rFonts w:ascii="Arial" w:hAnsi="Arial" w:cs="Arial"/>
          <w:i/>
          <w:sz w:val="24"/>
          <w:szCs w:val="24"/>
        </w:rPr>
      </w:pPr>
      <w:r w:rsidRPr="0056112F">
        <w:rPr>
          <w:rFonts w:ascii="Arial" w:hAnsi="Arial" w:cs="Arial"/>
          <w:i/>
          <w:sz w:val="24"/>
          <w:szCs w:val="24"/>
        </w:rPr>
        <w:t>First sharp decisions:</w:t>
      </w:r>
    </w:p>
    <w:p w14:paraId="60B050AC" w14:textId="69E1C4E6" w:rsidR="005F081C" w:rsidRPr="00D31725" w:rsidRDefault="005F081C" w:rsidP="005F081C">
      <w:pPr>
        <w:pStyle w:val="ListParagraph"/>
        <w:numPr>
          <w:ilvl w:val="0"/>
          <w:numId w:val="35"/>
        </w:numPr>
        <w:spacing w:after="200" w:line="276" w:lineRule="auto"/>
        <w:contextualSpacing/>
        <w:jc w:val="left"/>
      </w:pPr>
      <w:r>
        <w:rPr>
          <w:rFonts w:ascii="Arial" w:hAnsi="Arial" w:cs="Arial"/>
          <w:sz w:val="24"/>
          <w:szCs w:val="24"/>
        </w:rPr>
        <w:t>Address our p</w:t>
      </w:r>
      <w:r w:rsidRPr="000A4DFC">
        <w:rPr>
          <w:rFonts w:ascii="Arial" w:hAnsi="Arial" w:cs="Arial"/>
          <w:sz w:val="24"/>
          <w:szCs w:val="24"/>
        </w:rPr>
        <w:t xml:space="preserve">roperty </w:t>
      </w:r>
      <w:r w:rsidR="00651FBA">
        <w:rPr>
          <w:rFonts w:ascii="Arial" w:hAnsi="Arial" w:cs="Arial"/>
          <w:sz w:val="24"/>
          <w:szCs w:val="24"/>
        </w:rPr>
        <w:t>tail</w:t>
      </w:r>
      <w:r>
        <w:rPr>
          <w:rFonts w:ascii="Arial" w:hAnsi="Arial" w:cs="Arial"/>
          <w:sz w:val="24"/>
          <w:szCs w:val="24"/>
        </w:rPr>
        <w:t>:</w:t>
      </w:r>
    </w:p>
    <w:p w14:paraId="7A8C9445" w14:textId="23593B64" w:rsidR="005F081C" w:rsidRPr="00D268DD" w:rsidRDefault="005F081C" w:rsidP="00044BCA">
      <w:pPr>
        <w:pStyle w:val="ListParagraph"/>
        <w:numPr>
          <w:ilvl w:val="1"/>
          <w:numId w:val="35"/>
        </w:numPr>
        <w:spacing w:after="200" w:line="276" w:lineRule="auto"/>
        <w:ind w:left="1434" w:hanging="357"/>
        <w:contextualSpacing/>
        <w:jc w:val="left"/>
      </w:pPr>
      <w:r>
        <w:rPr>
          <w:rFonts w:ascii="Arial" w:hAnsi="Arial" w:cs="Arial"/>
          <w:sz w:val="24"/>
          <w:szCs w:val="24"/>
        </w:rPr>
        <w:t xml:space="preserve">Kingfisher has said for some time </w:t>
      </w:r>
      <w:r w:rsidRPr="000A4DFC">
        <w:rPr>
          <w:rFonts w:ascii="Arial" w:hAnsi="Arial" w:cs="Arial"/>
          <w:sz w:val="24"/>
          <w:szCs w:val="24"/>
        </w:rPr>
        <w:t>that B&amp;Q</w:t>
      </w:r>
      <w:r w:rsidR="00DA44A8">
        <w:rPr>
          <w:rFonts w:ascii="Arial" w:hAnsi="Arial" w:cs="Arial"/>
          <w:sz w:val="24"/>
          <w:szCs w:val="24"/>
        </w:rPr>
        <w:t xml:space="preserve"> UK &amp; Ireland</w:t>
      </w:r>
      <w:r w:rsidRPr="000A4DFC">
        <w:rPr>
          <w:rFonts w:ascii="Arial" w:hAnsi="Arial" w:cs="Arial"/>
          <w:sz w:val="24"/>
          <w:szCs w:val="24"/>
        </w:rPr>
        <w:t xml:space="preserve"> can adequately meet local customer needs from fewer stor</w:t>
      </w:r>
      <w:r>
        <w:rPr>
          <w:rFonts w:ascii="Arial" w:hAnsi="Arial" w:cs="Arial"/>
          <w:sz w:val="24"/>
          <w:szCs w:val="24"/>
        </w:rPr>
        <w:t>es and that some of the stores sh</w:t>
      </w:r>
      <w:r w:rsidRPr="000A4DFC">
        <w:rPr>
          <w:rFonts w:ascii="Arial" w:hAnsi="Arial" w:cs="Arial"/>
          <w:sz w:val="24"/>
          <w:szCs w:val="24"/>
        </w:rPr>
        <w:t>ou</w:t>
      </w:r>
      <w:r>
        <w:rPr>
          <w:rFonts w:ascii="Arial" w:hAnsi="Arial" w:cs="Arial"/>
          <w:sz w:val="24"/>
          <w:szCs w:val="24"/>
        </w:rPr>
        <w:t>ld be smaller. As a result of d</w:t>
      </w:r>
      <w:r w:rsidRPr="000A4DFC">
        <w:rPr>
          <w:rFonts w:ascii="Arial" w:hAnsi="Arial" w:cs="Arial"/>
          <w:sz w:val="24"/>
          <w:szCs w:val="24"/>
        </w:rPr>
        <w:t>etailed catchment review</w:t>
      </w:r>
      <w:r>
        <w:rPr>
          <w:rFonts w:ascii="Arial" w:hAnsi="Arial" w:cs="Arial"/>
          <w:sz w:val="24"/>
          <w:szCs w:val="24"/>
        </w:rPr>
        <w:t>s Kingfisher today announces the following plans:</w:t>
      </w:r>
    </w:p>
    <w:p w14:paraId="7E210EAD" w14:textId="6F5FA465" w:rsidR="005F081C" w:rsidRPr="00D268DD" w:rsidRDefault="005F081C" w:rsidP="00044BCA">
      <w:pPr>
        <w:pStyle w:val="ListParagraph"/>
        <w:numPr>
          <w:ilvl w:val="2"/>
          <w:numId w:val="35"/>
        </w:numPr>
        <w:spacing w:after="200"/>
        <w:ind w:left="2154" w:hanging="357"/>
        <w:contextualSpacing/>
        <w:jc w:val="left"/>
      </w:pPr>
      <w:r>
        <w:rPr>
          <w:rFonts w:ascii="Arial" w:hAnsi="Arial" w:cs="Arial"/>
          <w:sz w:val="24"/>
          <w:szCs w:val="24"/>
        </w:rPr>
        <w:t>C</w:t>
      </w:r>
      <w:r w:rsidRPr="000A4DFC">
        <w:rPr>
          <w:rFonts w:ascii="Arial" w:hAnsi="Arial" w:cs="Arial"/>
          <w:sz w:val="24"/>
          <w:szCs w:val="24"/>
        </w:rPr>
        <w:t xml:space="preserve">lose 15% </w:t>
      </w:r>
      <w:r w:rsidR="00DA44A8">
        <w:rPr>
          <w:rFonts w:ascii="Arial" w:hAnsi="Arial" w:cs="Arial"/>
          <w:sz w:val="24"/>
          <w:szCs w:val="24"/>
        </w:rPr>
        <w:t xml:space="preserve">surplus </w:t>
      </w:r>
      <w:r>
        <w:rPr>
          <w:rFonts w:ascii="Arial" w:hAnsi="Arial" w:cs="Arial"/>
          <w:sz w:val="24"/>
          <w:szCs w:val="24"/>
        </w:rPr>
        <w:t xml:space="preserve">B&amp;Q </w:t>
      </w:r>
      <w:r w:rsidRPr="000A4DFC">
        <w:rPr>
          <w:rFonts w:ascii="Arial" w:hAnsi="Arial" w:cs="Arial"/>
          <w:sz w:val="24"/>
          <w:szCs w:val="24"/>
        </w:rPr>
        <w:t>space</w:t>
      </w:r>
      <w:r w:rsidR="00BD7BCB">
        <w:rPr>
          <w:rFonts w:ascii="Arial" w:hAnsi="Arial" w:cs="Arial"/>
          <w:sz w:val="24"/>
          <w:szCs w:val="24"/>
        </w:rPr>
        <w:t xml:space="preserve"> </w:t>
      </w:r>
      <w:r w:rsidRPr="000A4DFC">
        <w:rPr>
          <w:rFonts w:ascii="Arial" w:hAnsi="Arial" w:cs="Arial"/>
          <w:sz w:val="24"/>
          <w:szCs w:val="24"/>
        </w:rPr>
        <w:t>(</w:t>
      </w:r>
      <w:r>
        <w:rPr>
          <w:rFonts w:ascii="Arial" w:hAnsi="Arial" w:cs="Arial"/>
          <w:sz w:val="24"/>
          <w:szCs w:val="24"/>
        </w:rPr>
        <w:t>c</w:t>
      </w:r>
      <w:r w:rsidR="00651FBA">
        <w:rPr>
          <w:rFonts w:ascii="Arial" w:hAnsi="Arial" w:cs="Arial"/>
          <w:sz w:val="24"/>
          <w:szCs w:val="24"/>
        </w:rPr>
        <w:t>.</w:t>
      </w:r>
      <w:r>
        <w:rPr>
          <w:rFonts w:ascii="Arial" w:hAnsi="Arial" w:cs="Arial"/>
          <w:sz w:val="24"/>
          <w:szCs w:val="24"/>
        </w:rPr>
        <w:t>60</w:t>
      </w:r>
      <w:r w:rsidRPr="000A4DFC">
        <w:rPr>
          <w:rFonts w:ascii="Arial" w:hAnsi="Arial" w:cs="Arial"/>
          <w:sz w:val="24"/>
          <w:szCs w:val="24"/>
        </w:rPr>
        <w:t xml:space="preserve"> stores</w:t>
      </w:r>
      <w:r>
        <w:rPr>
          <w:rFonts w:ascii="Arial" w:hAnsi="Arial" w:cs="Arial"/>
          <w:sz w:val="24"/>
          <w:szCs w:val="24"/>
        </w:rPr>
        <w:t>; 6 right-sizes</w:t>
      </w:r>
      <w:r w:rsidR="003464B5">
        <w:rPr>
          <w:rFonts w:ascii="Arial" w:hAnsi="Arial" w:cs="Arial"/>
          <w:sz w:val="24"/>
          <w:szCs w:val="24"/>
        </w:rPr>
        <w:t>*</w:t>
      </w:r>
      <w:r w:rsidRPr="000A4DFC">
        <w:rPr>
          <w:rFonts w:ascii="Arial" w:hAnsi="Arial" w:cs="Arial"/>
          <w:sz w:val="24"/>
          <w:szCs w:val="24"/>
        </w:rPr>
        <w:t>)</w:t>
      </w:r>
      <w:r w:rsidR="00D66713">
        <w:rPr>
          <w:rFonts w:ascii="Arial" w:hAnsi="Arial" w:cs="Arial"/>
          <w:sz w:val="24"/>
          <w:szCs w:val="24"/>
        </w:rPr>
        <w:t>. The closures will take place</w:t>
      </w:r>
      <w:r>
        <w:rPr>
          <w:rFonts w:ascii="Arial" w:hAnsi="Arial" w:cs="Arial"/>
          <w:sz w:val="24"/>
          <w:szCs w:val="24"/>
        </w:rPr>
        <w:t xml:space="preserve"> over the next </w:t>
      </w:r>
      <w:r w:rsidR="007A1925">
        <w:rPr>
          <w:rFonts w:ascii="Arial" w:hAnsi="Arial" w:cs="Arial"/>
          <w:sz w:val="24"/>
          <w:szCs w:val="24"/>
        </w:rPr>
        <w:t xml:space="preserve">2 </w:t>
      </w:r>
      <w:r>
        <w:rPr>
          <w:rFonts w:ascii="Arial" w:hAnsi="Arial" w:cs="Arial"/>
          <w:sz w:val="24"/>
          <w:szCs w:val="24"/>
        </w:rPr>
        <w:t>years</w:t>
      </w:r>
      <w:r w:rsidR="00D66713">
        <w:rPr>
          <w:rFonts w:ascii="Arial" w:hAnsi="Arial" w:cs="Arial"/>
          <w:sz w:val="24"/>
          <w:szCs w:val="24"/>
        </w:rPr>
        <w:t xml:space="preserve"> with the right-sizes planned to be completed in FY 2015/16</w:t>
      </w:r>
      <w:r>
        <w:rPr>
          <w:rFonts w:ascii="Arial" w:hAnsi="Arial" w:cs="Arial"/>
          <w:sz w:val="24"/>
          <w:szCs w:val="24"/>
        </w:rPr>
        <w:t xml:space="preserve">. </w:t>
      </w:r>
      <w:r w:rsidR="00D66713">
        <w:rPr>
          <w:rFonts w:ascii="Arial" w:hAnsi="Arial" w:cs="Arial"/>
          <w:sz w:val="24"/>
          <w:szCs w:val="24"/>
        </w:rPr>
        <w:t>The c</w:t>
      </w:r>
      <w:r w:rsidRPr="000A4DFC">
        <w:rPr>
          <w:rFonts w:ascii="Arial" w:hAnsi="Arial" w:cs="Arial"/>
          <w:sz w:val="24"/>
          <w:szCs w:val="24"/>
        </w:rPr>
        <w:t xml:space="preserve">losures are being prioritised by the </w:t>
      </w:r>
      <w:r w:rsidR="00DA44A8">
        <w:rPr>
          <w:rFonts w:ascii="Arial" w:hAnsi="Arial" w:cs="Arial"/>
          <w:sz w:val="24"/>
          <w:szCs w:val="24"/>
        </w:rPr>
        <w:t>most</w:t>
      </w:r>
      <w:r w:rsidR="00DA44A8" w:rsidRPr="000A4DFC">
        <w:rPr>
          <w:rFonts w:ascii="Arial" w:hAnsi="Arial" w:cs="Arial"/>
          <w:sz w:val="24"/>
          <w:szCs w:val="24"/>
        </w:rPr>
        <w:t xml:space="preserve"> </w:t>
      </w:r>
      <w:r w:rsidRPr="000A4DFC">
        <w:rPr>
          <w:rFonts w:ascii="Arial" w:hAnsi="Arial" w:cs="Arial"/>
          <w:sz w:val="24"/>
          <w:szCs w:val="24"/>
        </w:rPr>
        <w:t xml:space="preserve">over-spaced catchments in order to retain customers and sales. </w:t>
      </w:r>
      <w:r w:rsidR="00651FBA">
        <w:rPr>
          <w:rFonts w:ascii="Arial" w:hAnsi="Arial" w:cs="Arial"/>
          <w:sz w:val="24"/>
          <w:szCs w:val="24"/>
        </w:rPr>
        <w:t xml:space="preserve">This will give rise to an exceptional </w:t>
      </w:r>
      <w:r w:rsidR="007C47AE">
        <w:rPr>
          <w:rFonts w:ascii="Arial" w:hAnsi="Arial" w:cs="Arial"/>
          <w:sz w:val="24"/>
          <w:szCs w:val="24"/>
        </w:rPr>
        <w:t xml:space="preserve">charge </w:t>
      </w:r>
      <w:r w:rsidR="00651FBA">
        <w:rPr>
          <w:rFonts w:ascii="Arial" w:hAnsi="Arial" w:cs="Arial"/>
          <w:sz w:val="24"/>
          <w:szCs w:val="24"/>
        </w:rPr>
        <w:t xml:space="preserve">of around £350m relating principally to onerous </w:t>
      </w:r>
      <w:r w:rsidR="00CE56B3">
        <w:rPr>
          <w:rFonts w:ascii="Arial" w:hAnsi="Arial" w:cs="Arial"/>
          <w:sz w:val="24"/>
          <w:szCs w:val="24"/>
        </w:rPr>
        <w:t>lease provision</w:t>
      </w:r>
      <w:r w:rsidR="00A93153">
        <w:rPr>
          <w:rFonts w:ascii="Arial" w:hAnsi="Arial" w:cs="Arial"/>
          <w:sz w:val="24"/>
          <w:szCs w:val="24"/>
        </w:rPr>
        <w:t xml:space="preserve">s over the next </w:t>
      </w:r>
      <w:r w:rsidR="007A1925">
        <w:rPr>
          <w:rFonts w:ascii="Arial" w:hAnsi="Arial" w:cs="Arial"/>
          <w:sz w:val="24"/>
          <w:szCs w:val="24"/>
        </w:rPr>
        <w:t xml:space="preserve">2 </w:t>
      </w:r>
      <w:r w:rsidR="00A93153">
        <w:rPr>
          <w:rFonts w:ascii="Arial" w:hAnsi="Arial" w:cs="Arial"/>
          <w:sz w:val="24"/>
          <w:szCs w:val="24"/>
        </w:rPr>
        <w:t>years</w:t>
      </w:r>
    </w:p>
    <w:p w14:paraId="553D0D8A" w14:textId="6EF60DA8" w:rsidR="005F081C" w:rsidRPr="000A4DFC" w:rsidRDefault="005F081C" w:rsidP="00044BCA">
      <w:pPr>
        <w:pStyle w:val="ListParagraph"/>
        <w:numPr>
          <w:ilvl w:val="2"/>
          <w:numId w:val="35"/>
        </w:numPr>
        <w:spacing w:after="200"/>
        <w:ind w:left="2154" w:hanging="357"/>
        <w:contextualSpacing/>
        <w:jc w:val="left"/>
      </w:pPr>
      <w:r>
        <w:rPr>
          <w:rFonts w:ascii="Arial" w:hAnsi="Arial" w:cs="Arial"/>
          <w:sz w:val="24"/>
          <w:szCs w:val="24"/>
        </w:rPr>
        <w:t xml:space="preserve">Optimise vacant space </w:t>
      </w:r>
      <w:r w:rsidRPr="000A4DFC">
        <w:rPr>
          <w:rFonts w:ascii="Arial" w:hAnsi="Arial" w:cs="Arial"/>
          <w:sz w:val="24"/>
          <w:szCs w:val="24"/>
        </w:rPr>
        <w:t>through a combination of outrig</w:t>
      </w:r>
      <w:r>
        <w:rPr>
          <w:rFonts w:ascii="Arial" w:hAnsi="Arial" w:cs="Arial"/>
          <w:sz w:val="24"/>
          <w:szCs w:val="24"/>
        </w:rPr>
        <w:t>ht sale and sub-letting. W</w:t>
      </w:r>
      <w:r w:rsidRPr="000A4DFC">
        <w:rPr>
          <w:rFonts w:ascii="Arial" w:hAnsi="Arial" w:cs="Arial"/>
          <w:sz w:val="24"/>
          <w:szCs w:val="24"/>
        </w:rPr>
        <w:t>e are already in discussions with several retailers</w:t>
      </w:r>
    </w:p>
    <w:p w14:paraId="223D495E" w14:textId="5C8C5CAE" w:rsidR="005F081C" w:rsidRPr="00651FBA" w:rsidRDefault="005F081C" w:rsidP="005F081C">
      <w:pPr>
        <w:pStyle w:val="ListParagraph"/>
        <w:numPr>
          <w:ilvl w:val="1"/>
          <w:numId w:val="35"/>
        </w:numPr>
        <w:spacing w:after="200" w:line="276" w:lineRule="auto"/>
        <w:contextualSpacing/>
        <w:jc w:val="left"/>
      </w:pPr>
      <w:r>
        <w:rPr>
          <w:rFonts w:ascii="Arial" w:hAnsi="Arial" w:cs="Arial"/>
          <w:sz w:val="24"/>
          <w:szCs w:val="24"/>
        </w:rPr>
        <w:t>Close</w:t>
      </w:r>
      <w:r w:rsidRPr="000A4DFC">
        <w:rPr>
          <w:rFonts w:ascii="Arial" w:hAnsi="Arial" w:cs="Arial"/>
          <w:sz w:val="24"/>
          <w:szCs w:val="24"/>
        </w:rPr>
        <w:t xml:space="preserve"> the small </w:t>
      </w:r>
      <w:r w:rsidRPr="00651FBA">
        <w:rPr>
          <w:rFonts w:ascii="Arial" w:hAnsi="Arial" w:cs="Arial"/>
          <w:sz w:val="24"/>
          <w:szCs w:val="24"/>
        </w:rPr>
        <w:t xml:space="preserve">number of loss-making stores we have </w:t>
      </w:r>
      <w:r w:rsidR="00573396">
        <w:rPr>
          <w:rFonts w:ascii="Arial" w:hAnsi="Arial" w:cs="Arial"/>
          <w:sz w:val="24"/>
          <w:szCs w:val="24"/>
        </w:rPr>
        <w:t>across</w:t>
      </w:r>
      <w:r w:rsidRPr="00651FBA">
        <w:rPr>
          <w:rFonts w:ascii="Arial" w:hAnsi="Arial" w:cs="Arial"/>
          <w:sz w:val="24"/>
          <w:szCs w:val="24"/>
        </w:rPr>
        <w:t xml:space="preserve"> Europe</w:t>
      </w:r>
    </w:p>
    <w:p w14:paraId="243453A5" w14:textId="2DF6F418" w:rsidR="005F081C" w:rsidRPr="00651FBA" w:rsidRDefault="00607721" w:rsidP="005F081C">
      <w:pPr>
        <w:pStyle w:val="ListParagraph"/>
        <w:numPr>
          <w:ilvl w:val="0"/>
          <w:numId w:val="35"/>
        </w:numPr>
        <w:spacing w:after="200" w:line="276" w:lineRule="auto"/>
        <w:contextualSpacing/>
        <w:jc w:val="left"/>
        <w:rPr>
          <w:rFonts w:ascii="Arial" w:hAnsi="Arial" w:cs="Arial"/>
          <w:sz w:val="24"/>
          <w:szCs w:val="24"/>
        </w:rPr>
      </w:pPr>
      <w:r>
        <w:rPr>
          <w:rFonts w:ascii="Arial" w:hAnsi="Arial" w:cs="Arial"/>
          <w:sz w:val="24"/>
          <w:szCs w:val="24"/>
        </w:rPr>
        <w:t>Do more of the good we have</w:t>
      </w:r>
      <w:r w:rsidR="005F081C" w:rsidRPr="00651FBA">
        <w:rPr>
          <w:rFonts w:ascii="Arial" w:hAnsi="Arial" w:cs="Arial"/>
          <w:sz w:val="24"/>
          <w:szCs w:val="24"/>
        </w:rPr>
        <w:t>:</w:t>
      </w:r>
    </w:p>
    <w:p w14:paraId="0679B923" w14:textId="75FF0698" w:rsidR="005F081C" w:rsidRPr="00651FBA" w:rsidRDefault="005F081C" w:rsidP="00044BCA">
      <w:pPr>
        <w:pStyle w:val="ListParagraph"/>
        <w:numPr>
          <w:ilvl w:val="1"/>
          <w:numId w:val="35"/>
        </w:numPr>
        <w:spacing w:after="200"/>
        <w:ind w:left="1434" w:hanging="357"/>
        <w:contextualSpacing/>
        <w:jc w:val="left"/>
        <w:rPr>
          <w:rFonts w:ascii="Arial" w:hAnsi="Arial" w:cs="Arial"/>
          <w:sz w:val="24"/>
          <w:szCs w:val="24"/>
        </w:rPr>
      </w:pPr>
      <w:r w:rsidRPr="00651FBA">
        <w:rPr>
          <w:rFonts w:ascii="Arial" w:hAnsi="Arial" w:cs="Arial"/>
          <w:sz w:val="24"/>
          <w:szCs w:val="24"/>
        </w:rPr>
        <w:t xml:space="preserve">Start Big Box revitalisation programme </w:t>
      </w:r>
      <w:r w:rsidR="00874242">
        <w:rPr>
          <w:rFonts w:ascii="Arial" w:hAnsi="Arial" w:cs="Arial"/>
          <w:sz w:val="24"/>
          <w:szCs w:val="24"/>
        </w:rPr>
        <w:t>across Europe</w:t>
      </w:r>
      <w:r w:rsidRPr="00651FBA">
        <w:rPr>
          <w:rFonts w:ascii="Arial" w:hAnsi="Arial" w:cs="Arial"/>
          <w:sz w:val="24"/>
          <w:szCs w:val="24"/>
        </w:rPr>
        <w:t>, drawing on our latest, most developed formats</w:t>
      </w:r>
    </w:p>
    <w:p w14:paraId="3322FFD5" w14:textId="77777777" w:rsidR="00657B3E" w:rsidRDefault="005F081C" w:rsidP="00044BCA">
      <w:pPr>
        <w:pStyle w:val="ListParagraph"/>
        <w:numPr>
          <w:ilvl w:val="1"/>
          <w:numId w:val="35"/>
        </w:numPr>
        <w:spacing w:after="200"/>
        <w:ind w:left="1434" w:hanging="357"/>
        <w:contextualSpacing/>
        <w:jc w:val="left"/>
        <w:rPr>
          <w:rFonts w:ascii="Arial" w:hAnsi="Arial" w:cs="Arial"/>
          <w:sz w:val="24"/>
          <w:szCs w:val="24"/>
        </w:rPr>
      </w:pPr>
      <w:r w:rsidRPr="00651FBA">
        <w:rPr>
          <w:rFonts w:ascii="Arial" w:hAnsi="Arial" w:cs="Arial"/>
          <w:sz w:val="24"/>
          <w:szCs w:val="24"/>
        </w:rPr>
        <w:t xml:space="preserve">Extend the Screwfix Germany trial by </w:t>
      </w:r>
      <w:r w:rsidR="00651FBA" w:rsidRPr="00651FBA">
        <w:rPr>
          <w:rFonts w:ascii="Arial" w:hAnsi="Arial" w:cs="Arial"/>
          <w:sz w:val="24"/>
          <w:szCs w:val="24"/>
        </w:rPr>
        <w:t xml:space="preserve">5 </w:t>
      </w:r>
      <w:r w:rsidRPr="00651FBA">
        <w:rPr>
          <w:rFonts w:ascii="Arial" w:hAnsi="Arial" w:cs="Arial"/>
          <w:sz w:val="24"/>
          <w:szCs w:val="24"/>
        </w:rPr>
        <w:t xml:space="preserve">outlets </w:t>
      </w:r>
      <w:r w:rsidR="00DA44A8">
        <w:rPr>
          <w:rFonts w:ascii="Arial" w:hAnsi="Arial" w:cs="Arial"/>
          <w:sz w:val="24"/>
          <w:szCs w:val="24"/>
        </w:rPr>
        <w:t>taking the total to 9</w:t>
      </w:r>
      <w:r w:rsidRPr="00651FBA">
        <w:rPr>
          <w:rFonts w:ascii="Arial" w:hAnsi="Arial" w:cs="Arial"/>
          <w:sz w:val="24"/>
          <w:szCs w:val="24"/>
        </w:rPr>
        <w:t xml:space="preserve">, </w:t>
      </w:r>
      <w:r w:rsidR="00CE56B3">
        <w:rPr>
          <w:rFonts w:ascii="Arial" w:hAnsi="Arial" w:cs="Arial"/>
          <w:sz w:val="24"/>
          <w:szCs w:val="24"/>
        </w:rPr>
        <w:t xml:space="preserve">replicating </w:t>
      </w:r>
      <w:r w:rsidRPr="00651FBA">
        <w:rPr>
          <w:rFonts w:ascii="Arial" w:hAnsi="Arial" w:cs="Arial"/>
          <w:sz w:val="24"/>
          <w:szCs w:val="24"/>
        </w:rPr>
        <w:t>our highly successful omnichannel format developed in the UK</w:t>
      </w:r>
    </w:p>
    <w:p w14:paraId="20D4C467" w14:textId="317DD112" w:rsidR="000E6C79" w:rsidRPr="0075047A" w:rsidRDefault="003464B5" w:rsidP="0075047A">
      <w:pPr>
        <w:spacing w:after="200" w:line="276" w:lineRule="auto"/>
        <w:contextualSpacing/>
        <w:jc w:val="left"/>
        <w:rPr>
          <w:rFonts w:ascii="Arial" w:hAnsi="Arial" w:cs="Arial"/>
          <w:sz w:val="24"/>
          <w:szCs w:val="24"/>
        </w:rPr>
      </w:pPr>
      <w:r w:rsidRPr="00105A25" w:rsidDel="003464B5">
        <w:rPr>
          <w:rFonts w:ascii="Arial" w:hAnsi="Arial" w:cs="Arial"/>
          <w:sz w:val="24"/>
          <w:szCs w:val="24"/>
        </w:rPr>
        <w:t xml:space="preserve"> </w:t>
      </w:r>
      <w:r w:rsidR="00474B48" w:rsidRPr="000952F8">
        <w:rPr>
          <w:rFonts w:ascii="Arial" w:hAnsi="Arial" w:cs="Arial"/>
          <w:sz w:val="24"/>
          <w:szCs w:val="24"/>
          <w:vertAlign w:val="superscript"/>
        </w:rPr>
        <w:t>(1)</w:t>
      </w:r>
      <w:r w:rsidR="00474B48" w:rsidRPr="000952F8">
        <w:rPr>
          <w:rFonts w:ascii="Arial" w:hAnsi="Arial" w:cs="Arial"/>
          <w:sz w:val="24"/>
          <w:szCs w:val="24"/>
        </w:rPr>
        <w:t xml:space="preserve"> </w:t>
      </w:r>
      <w:r w:rsidR="00474B48" w:rsidRPr="000952F8">
        <w:rPr>
          <w:rFonts w:ascii="Arial" w:hAnsi="Arial" w:cs="Arial"/>
          <w:sz w:val="18"/>
          <w:szCs w:val="24"/>
        </w:rPr>
        <w:t>Across top five operating companies Castorama France, Brico Dépôt France, B&amp;Q UK &amp; Ireland, Screwfix UK and Poland</w:t>
      </w:r>
      <w:r w:rsidR="00474B48" w:rsidRPr="000952F8">
        <w:rPr>
          <w:rFonts w:ascii="Arial" w:hAnsi="Arial" w:cs="Arial"/>
          <w:sz w:val="24"/>
          <w:szCs w:val="24"/>
        </w:rPr>
        <w:t> </w:t>
      </w:r>
    </w:p>
    <w:p w14:paraId="1D7F67AE" w14:textId="77777777" w:rsidR="000E6C79" w:rsidRDefault="000E6C79" w:rsidP="000E6C79">
      <w:pPr>
        <w:pStyle w:val="ListParagraph"/>
        <w:spacing w:after="200" w:line="276" w:lineRule="auto"/>
        <w:ind w:left="1440"/>
        <w:contextualSpacing/>
        <w:jc w:val="left"/>
        <w:rPr>
          <w:rFonts w:ascii="Arial" w:hAnsi="Arial" w:cs="Arial"/>
          <w:sz w:val="24"/>
          <w:szCs w:val="24"/>
        </w:rPr>
      </w:pPr>
    </w:p>
    <w:p w14:paraId="3771E6BB" w14:textId="77777777" w:rsidR="00E06835" w:rsidRDefault="00E06835" w:rsidP="000E6C79">
      <w:pPr>
        <w:pStyle w:val="ListParagraph"/>
        <w:spacing w:after="200" w:line="276" w:lineRule="auto"/>
        <w:ind w:left="1440"/>
        <w:contextualSpacing/>
        <w:jc w:val="left"/>
        <w:rPr>
          <w:rFonts w:ascii="Arial" w:hAnsi="Arial" w:cs="Arial"/>
          <w:sz w:val="24"/>
          <w:szCs w:val="24"/>
        </w:rPr>
      </w:pPr>
    </w:p>
    <w:p w14:paraId="27AD6E13" w14:textId="77777777" w:rsidR="00E06835" w:rsidRPr="00657B3E" w:rsidRDefault="00E06835" w:rsidP="000E6C79">
      <w:pPr>
        <w:pStyle w:val="ListParagraph"/>
        <w:spacing w:after="200" w:line="276" w:lineRule="auto"/>
        <w:ind w:left="1440"/>
        <w:contextualSpacing/>
        <w:jc w:val="left"/>
        <w:rPr>
          <w:rFonts w:ascii="Arial" w:hAnsi="Arial" w:cs="Arial"/>
          <w:sz w:val="24"/>
          <w:szCs w:val="24"/>
        </w:rPr>
      </w:pPr>
    </w:p>
    <w:p w14:paraId="458AA8DB" w14:textId="27B95674" w:rsidR="00651FBA" w:rsidRPr="00B74D72" w:rsidRDefault="005F081C" w:rsidP="00657B3E">
      <w:pPr>
        <w:numPr>
          <w:ilvl w:val="0"/>
          <w:numId w:val="34"/>
        </w:numPr>
        <w:spacing w:after="200" w:line="276" w:lineRule="auto"/>
        <w:jc w:val="left"/>
        <w:rPr>
          <w:rFonts w:ascii="Arial" w:hAnsi="Arial" w:cs="Arial"/>
          <w:sz w:val="24"/>
          <w:szCs w:val="24"/>
        </w:rPr>
      </w:pPr>
      <w:r w:rsidRPr="00FC4B0F">
        <w:rPr>
          <w:rFonts w:ascii="Arial" w:hAnsi="Arial" w:cs="Arial"/>
          <w:sz w:val="24"/>
          <w:szCs w:val="24"/>
          <w:u w:val="single"/>
        </w:rPr>
        <w:lastRenderedPageBreak/>
        <w:t>Infrastructure &amp; Process</w:t>
      </w:r>
      <w:r w:rsidR="00200984">
        <w:rPr>
          <w:rFonts w:ascii="Arial" w:hAnsi="Arial" w:cs="Arial"/>
          <w:sz w:val="24"/>
          <w:szCs w:val="24"/>
          <w:u w:val="single"/>
        </w:rPr>
        <w:t>es</w:t>
      </w:r>
    </w:p>
    <w:p w14:paraId="19510F92" w14:textId="211F47DC" w:rsidR="005F081C" w:rsidRDefault="005F081C" w:rsidP="005F081C">
      <w:pPr>
        <w:ind w:left="360"/>
        <w:jc w:val="left"/>
        <w:rPr>
          <w:rFonts w:ascii="Arial" w:hAnsi="Arial" w:cs="Arial"/>
          <w:sz w:val="24"/>
          <w:szCs w:val="24"/>
        </w:rPr>
      </w:pPr>
      <w:r>
        <w:rPr>
          <w:rFonts w:ascii="Arial" w:hAnsi="Arial" w:cs="Arial"/>
          <w:sz w:val="24"/>
          <w:szCs w:val="24"/>
        </w:rPr>
        <w:t>Unifying our processes and infrastructure will not only drive operating efficiencies but will also make us a</w:t>
      </w:r>
      <w:r w:rsidR="00607721">
        <w:rPr>
          <w:rFonts w:ascii="Arial" w:hAnsi="Arial" w:cs="Arial"/>
          <w:sz w:val="24"/>
          <w:szCs w:val="24"/>
        </w:rPr>
        <w:t xml:space="preserve"> simpler and</w:t>
      </w:r>
      <w:r>
        <w:rPr>
          <w:rFonts w:ascii="Arial" w:hAnsi="Arial" w:cs="Arial"/>
          <w:sz w:val="24"/>
          <w:szCs w:val="24"/>
        </w:rPr>
        <w:t xml:space="preserve"> more agile organisation. </w:t>
      </w:r>
    </w:p>
    <w:p w14:paraId="55CF1467" w14:textId="77777777" w:rsidR="00EE7214" w:rsidRDefault="00EE7214" w:rsidP="005F081C">
      <w:pPr>
        <w:ind w:left="360"/>
        <w:jc w:val="left"/>
        <w:rPr>
          <w:rFonts w:ascii="Arial" w:hAnsi="Arial" w:cs="Arial"/>
          <w:sz w:val="24"/>
          <w:szCs w:val="24"/>
        </w:rPr>
      </w:pPr>
    </w:p>
    <w:p w14:paraId="044E8E63" w14:textId="77777777" w:rsidR="005F081C" w:rsidRPr="006C2C39" w:rsidRDefault="005F081C" w:rsidP="005F081C">
      <w:pPr>
        <w:ind w:left="360"/>
        <w:jc w:val="left"/>
        <w:rPr>
          <w:rFonts w:ascii="Arial" w:hAnsi="Arial" w:cs="Arial"/>
          <w:i/>
          <w:sz w:val="24"/>
          <w:szCs w:val="24"/>
        </w:rPr>
      </w:pPr>
      <w:r w:rsidRPr="006C2C39">
        <w:rPr>
          <w:rFonts w:ascii="Arial" w:hAnsi="Arial" w:cs="Arial"/>
          <w:i/>
          <w:sz w:val="24"/>
          <w:szCs w:val="24"/>
        </w:rPr>
        <w:t>First sharp decisions:</w:t>
      </w:r>
    </w:p>
    <w:p w14:paraId="54B90CB5" w14:textId="13D18154" w:rsidR="005F081C" w:rsidRPr="00A93153" w:rsidRDefault="005F081C" w:rsidP="00044BCA">
      <w:pPr>
        <w:pStyle w:val="ListParagraph"/>
        <w:numPr>
          <w:ilvl w:val="0"/>
          <w:numId w:val="35"/>
        </w:numPr>
        <w:spacing w:after="200"/>
        <w:ind w:left="714" w:hanging="357"/>
        <w:contextualSpacing/>
        <w:jc w:val="left"/>
        <w:rPr>
          <w:rFonts w:ascii="Arial" w:hAnsi="Arial" w:cs="Arial"/>
          <w:sz w:val="24"/>
          <w:szCs w:val="24"/>
        </w:rPr>
      </w:pPr>
      <w:r w:rsidRPr="00A93153">
        <w:rPr>
          <w:rFonts w:ascii="Arial" w:hAnsi="Arial" w:cs="Arial"/>
          <w:sz w:val="24"/>
          <w:szCs w:val="24"/>
        </w:rPr>
        <w:t>Pilot company-wide unified SAP IT platform in B&amp;Q Ireland, then look to accelerate</w:t>
      </w:r>
    </w:p>
    <w:p w14:paraId="70803515" w14:textId="19E9490C" w:rsidR="00303C17" w:rsidRPr="00657B3E" w:rsidRDefault="005F081C" w:rsidP="00044BCA">
      <w:pPr>
        <w:pStyle w:val="ListParagraph"/>
        <w:numPr>
          <w:ilvl w:val="0"/>
          <w:numId w:val="35"/>
        </w:numPr>
        <w:spacing w:after="200"/>
        <w:ind w:left="714" w:hanging="357"/>
        <w:contextualSpacing/>
        <w:jc w:val="left"/>
        <w:rPr>
          <w:rFonts w:ascii="Arial" w:hAnsi="Arial" w:cs="Arial"/>
          <w:sz w:val="24"/>
          <w:szCs w:val="24"/>
        </w:rPr>
      </w:pPr>
      <w:r w:rsidRPr="00A93153">
        <w:rPr>
          <w:rFonts w:ascii="Arial" w:hAnsi="Arial" w:cs="Arial"/>
          <w:sz w:val="24"/>
          <w:szCs w:val="24"/>
        </w:rPr>
        <w:t xml:space="preserve">Unify </w:t>
      </w:r>
      <w:r w:rsidR="00DB3C08" w:rsidRPr="00A93153">
        <w:rPr>
          <w:rFonts w:ascii="Arial" w:hAnsi="Arial" w:cs="Arial"/>
          <w:sz w:val="24"/>
          <w:szCs w:val="24"/>
        </w:rPr>
        <w:t xml:space="preserve">the process for managing </w:t>
      </w:r>
      <w:r w:rsidRPr="00A93153">
        <w:rPr>
          <w:rFonts w:ascii="Arial" w:hAnsi="Arial" w:cs="Arial"/>
          <w:sz w:val="24"/>
          <w:szCs w:val="24"/>
        </w:rPr>
        <w:t>£1.</w:t>
      </w:r>
      <w:r w:rsidR="00ED5738" w:rsidRPr="00A93153">
        <w:rPr>
          <w:rFonts w:ascii="Arial" w:hAnsi="Arial" w:cs="Arial"/>
          <w:sz w:val="24"/>
          <w:szCs w:val="24"/>
        </w:rPr>
        <w:t>2</w:t>
      </w:r>
      <w:r w:rsidRPr="00A93153">
        <w:rPr>
          <w:rFonts w:ascii="Arial" w:hAnsi="Arial" w:cs="Arial"/>
          <w:sz w:val="24"/>
          <w:szCs w:val="24"/>
        </w:rPr>
        <w:t xml:space="preserve"> billion </w:t>
      </w:r>
      <w:r w:rsidR="00DB3C08" w:rsidRPr="00A93153">
        <w:rPr>
          <w:rFonts w:ascii="Arial" w:hAnsi="Arial" w:cs="Arial"/>
          <w:sz w:val="24"/>
          <w:szCs w:val="24"/>
        </w:rPr>
        <w:t xml:space="preserve">of </w:t>
      </w:r>
      <w:r w:rsidRPr="00A93153">
        <w:rPr>
          <w:rFonts w:ascii="Arial" w:hAnsi="Arial" w:cs="Arial"/>
          <w:sz w:val="24"/>
          <w:szCs w:val="24"/>
        </w:rPr>
        <w:t>goods not for resale process</w:t>
      </w:r>
      <w:r w:rsidR="00DB3C08" w:rsidRPr="00A93153">
        <w:rPr>
          <w:rFonts w:ascii="Arial" w:hAnsi="Arial" w:cs="Arial"/>
          <w:sz w:val="24"/>
          <w:szCs w:val="24"/>
        </w:rPr>
        <w:t xml:space="preserve"> (e.g. </w:t>
      </w:r>
      <w:r w:rsidR="00ED5738" w:rsidRPr="00506D26">
        <w:rPr>
          <w:rFonts w:ascii="Arial" w:hAnsi="Arial" w:cs="Arial"/>
          <w:sz w:val="24"/>
          <w:szCs w:val="24"/>
        </w:rPr>
        <w:t xml:space="preserve">store maintenance, cleaning and merchandising equipment) </w:t>
      </w:r>
      <w:r w:rsidRPr="00A93153">
        <w:rPr>
          <w:rFonts w:ascii="Arial" w:hAnsi="Arial" w:cs="Arial"/>
          <w:sz w:val="24"/>
          <w:szCs w:val="24"/>
        </w:rPr>
        <w:t xml:space="preserve"> </w:t>
      </w:r>
    </w:p>
    <w:p w14:paraId="0D42857E" w14:textId="4C07F7A2" w:rsidR="00200984" w:rsidRDefault="00200984" w:rsidP="00657B3E">
      <w:pPr>
        <w:numPr>
          <w:ilvl w:val="0"/>
          <w:numId w:val="34"/>
        </w:numPr>
        <w:spacing w:after="200" w:line="276" w:lineRule="auto"/>
        <w:jc w:val="left"/>
        <w:rPr>
          <w:rFonts w:ascii="Arial" w:hAnsi="Arial" w:cs="Arial"/>
          <w:sz w:val="24"/>
          <w:szCs w:val="24"/>
          <w:u w:val="single"/>
        </w:rPr>
      </w:pPr>
      <w:r>
        <w:rPr>
          <w:rFonts w:ascii="Arial" w:hAnsi="Arial" w:cs="Arial"/>
          <w:sz w:val="24"/>
          <w:szCs w:val="24"/>
          <w:u w:val="single"/>
        </w:rPr>
        <w:t>People</w:t>
      </w:r>
    </w:p>
    <w:p w14:paraId="6572AD9B" w14:textId="76E1847A" w:rsidR="00303C17" w:rsidRDefault="005F081C">
      <w:pPr>
        <w:ind w:left="360"/>
        <w:jc w:val="left"/>
        <w:rPr>
          <w:rFonts w:ascii="Arial" w:hAnsi="Arial" w:cs="Arial"/>
          <w:sz w:val="24"/>
          <w:szCs w:val="24"/>
        </w:rPr>
      </w:pPr>
      <w:r>
        <w:rPr>
          <w:rFonts w:ascii="Arial" w:hAnsi="Arial" w:cs="Arial"/>
          <w:sz w:val="24"/>
          <w:szCs w:val="24"/>
        </w:rPr>
        <w:t>To drive through these changes w</w:t>
      </w:r>
      <w:r w:rsidRPr="0064101F">
        <w:rPr>
          <w:rFonts w:ascii="Arial" w:hAnsi="Arial" w:cs="Arial"/>
          <w:sz w:val="24"/>
          <w:szCs w:val="24"/>
        </w:rPr>
        <w:t xml:space="preserve">e have announced today a new </w:t>
      </w:r>
      <w:r w:rsidR="00303C17">
        <w:rPr>
          <w:rFonts w:ascii="Arial" w:hAnsi="Arial" w:cs="Arial"/>
          <w:sz w:val="24"/>
          <w:szCs w:val="24"/>
        </w:rPr>
        <w:t>leadership team</w:t>
      </w:r>
      <w:r w:rsidRPr="0064101F">
        <w:rPr>
          <w:rFonts w:ascii="Arial" w:hAnsi="Arial" w:cs="Arial"/>
          <w:sz w:val="24"/>
          <w:szCs w:val="24"/>
        </w:rPr>
        <w:t xml:space="preserve"> and </w:t>
      </w:r>
      <w:r w:rsidR="007345E8">
        <w:rPr>
          <w:rFonts w:ascii="Arial" w:hAnsi="Arial" w:cs="Arial"/>
          <w:sz w:val="24"/>
          <w:szCs w:val="24"/>
        </w:rPr>
        <w:t xml:space="preserve">the need to move to a </w:t>
      </w:r>
      <w:r w:rsidRPr="0064101F">
        <w:rPr>
          <w:rFonts w:ascii="Arial" w:hAnsi="Arial" w:cs="Arial"/>
          <w:sz w:val="24"/>
          <w:szCs w:val="24"/>
        </w:rPr>
        <w:t xml:space="preserve">wider reorganisation of </w:t>
      </w:r>
      <w:r w:rsidR="007345E8">
        <w:rPr>
          <w:rFonts w:ascii="Arial" w:hAnsi="Arial" w:cs="Arial"/>
          <w:sz w:val="24"/>
          <w:szCs w:val="24"/>
        </w:rPr>
        <w:t xml:space="preserve">the structure </w:t>
      </w:r>
      <w:r w:rsidRPr="0064101F">
        <w:rPr>
          <w:rFonts w:ascii="Arial" w:hAnsi="Arial" w:cs="Arial"/>
          <w:sz w:val="24"/>
          <w:szCs w:val="24"/>
        </w:rPr>
        <w:t xml:space="preserve">of our teams in order to </w:t>
      </w:r>
      <w:r>
        <w:rPr>
          <w:rFonts w:ascii="Arial" w:hAnsi="Arial" w:cs="Arial"/>
          <w:sz w:val="24"/>
          <w:szCs w:val="24"/>
        </w:rPr>
        <w:t>unlock the real potential of ‘ONE’ Kingfisher</w:t>
      </w:r>
      <w:r w:rsidRPr="0064101F">
        <w:rPr>
          <w:rFonts w:ascii="Arial" w:hAnsi="Arial" w:cs="Arial"/>
          <w:sz w:val="24"/>
          <w:szCs w:val="24"/>
        </w:rPr>
        <w:t xml:space="preserve">. </w:t>
      </w:r>
    </w:p>
    <w:p w14:paraId="1BC5C183" w14:textId="77777777" w:rsidR="00EE7214" w:rsidRDefault="00EE7214" w:rsidP="005F081C">
      <w:pPr>
        <w:ind w:left="360"/>
        <w:jc w:val="left"/>
        <w:rPr>
          <w:rFonts w:ascii="Arial" w:hAnsi="Arial" w:cs="Arial"/>
          <w:sz w:val="24"/>
          <w:szCs w:val="24"/>
        </w:rPr>
      </w:pPr>
    </w:p>
    <w:p w14:paraId="76743B70" w14:textId="69682EE6" w:rsidR="00C72AEB" w:rsidRPr="00C72AEB" w:rsidRDefault="00C72AEB" w:rsidP="00C72AEB">
      <w:pPr>
        <w:ind w:left="360"/>
        <w:jc w:val="left"/>
        <w:rPr>
          <w:rFonts w:ascii="Arial" w:hAnsi="Arial" w:cs="Arial"/>
          <w:sz w:val="24"/>
          <w:szCs w:val="24"/>
        </w:rPr>
      </w:pPr>
      <w:r w:rsidRPr="00C72AEB">
        <w:rPr>
          <w:rFonts w:ascii="Arial" w:hAnsi="Arial" w:cs="Arial"/>
          <w:sz w:val="24"/>
          <w:szCs w:val="24"/>
        </w:rPr>
        <w:t>The new leadership team combines existing and new talent</w:t>
      </w:r>
      <w:r w:rsidR="00C06DE4">
        <w:rPr>
          <w:rFonts w:ascii="Arial" w:hAnsi="Arial" w:cs="Arial"/>
          <w:sz w:val="24"/>
          <w:szCs w:val="24"/>
        </w:rPr>
        <w:t xml:space="preserve"> with cross-company and more focused</w:t>
      </w:r>
      <w:r w:rsidRPr="00C72AEB">
        <w:rPr>
          <w:rFonts w:ascii="Arial" w:hAnsi="Arial" w:cs="Arial"/>
          <w:sz w:val="24"/>
          <w:szCs w:val="24"/>
        </w:rPr>
        <w:t xml:space="preserve"> roles</w:t>
      </w:r>
      <w:r w:rsidR="00C06DE4">
        <w:rPr>
          <w:rFonts w:ascii="Arial" w:hAnsi="Arial" w:cs="Arial"/>
          <w:sz w:val="24"/>
          <w:szCs w:val="24"/>
        </w:rPr>
        <w:t>.</w:t>
      </w:r>
      <w:r>
        <w:rPr>
          <w:rFonts w:ascii="Arial" w:hAnsi="Arial" w:cs="Arial"/>
          <w:sz w:val="24"/>
          <w:szCs w:val="24"/>
        </w:rPr>
        <w:t xml:space="preserve"> </w:t>
      </w:r>
      <w:r w:rsidR="00AA66FA" w:rsidRPr="00AA66FA">
        <w:rPr>
          <w:rFonts w:ascii="Arial" w:hAnsi="Arial" w:cs="Arial"/>
          <w:sz w:val="24"/>
          <w:szCs w:val="24"/>
        </w:rPr>
        <w:t>We are pleased to announce that Arja Taave</w:t>
      </w:r>
      <w:r w:rsidR="00E9546D">
        <w:rPr>
          <w:rFonts w:ascii="Arial" w:hAnsi="Arial" w:cs="Arial"/>
          <w:sz w:val="24"/>
          <w:szCs w:val="24"/>
        </w:rPr>
        <w:t>niku will be joining Kingfisher in</w:t>
      </w:r>
      <w:r w:rsidR="00AA66FA">
        <w:rPr>
          <w:rFonts w:ascii="Arial" w:hAnsi="Arial" w:cs="Arial"/>
          <w:sz w:val="24"/>
          <w:szCs w:val="24"/>
        </w:rPr>
        <w:t xml:space="preserve"> </w:t>
      </w:r>
      <w:r w:rsidR="00AA66FA" w:rsidRPr="00AA66FA">
        <w:rPr>
          <w:rFonts w:ascii="Arial" w:hAnsi="Arial" w:cs="Arial"/>
          <w:sz w:val="24"/>
          <w:szCs w:val="24"/>
        </w:rPr>
        <w:t xml:space="preserve">early May as Chief Offer &amp; </w:t>
      </w:r>
      <w:r w:rsidR="00E9546D">
        <w:rPr>
          <w:rFonts w:ascii="Arial" w:hAnsi="Arial" w:cs="Arial"/>
          <w:sz w:val="24"/>
          <w:szCs w:val="24"/>
        </w:rPr>
        <w:t>Supply Chain Officer. She has 22</w:t>
      </w:r>
      <w:r w:rsidR="00AA66FA" w:rsidRPr="00AA66FA">
        <w:rPr>
          <w:rFonts w:ascii="Arial" w:hAnsi="Arial" w:cs="Arial"/>
          <w:sz w:val="24"/>
          <w:szCs w:val="24"/>
        </w:rPr>
        <w:t xml:space="preserve"> years of experience from the IKEA Group, including 13 years at IKEA of Sweden, working in various senior roles involved in developing, managing and supplying the global IKEA product range</w:t>
      </w:r>
      <w:r w:rsidR="00E9546D">
        <w:rPr>
          <w:rFonts w:ascii="Arial" w:hAnsi="Arial" w:cs="Arial"/>
          <w:sz w:val="24"/>
          <w:szCs w:val="24"/>
        </w:rPr>
        <w:t xml:space="preserve"> (e.g. s</w:t>
      </w:r>
      <w:r w:rsidR="00AA66FA" w:rsidRPr="00AA66FA">
        <w:rPr>
          <w:rFonts w:ascii="Arial" w:hAnsi="Arial" w:cs="Arial"/>
          <w:sz w:val="24"/>
          <w:szCs w:val="24"/>
        </w:rPr>
        <w:t>he was Global Business Area manager for IKEA Kitchen &amp; Dining from 2008 to 2012</w:t>
      </w:r>
      <w:r w:rsidR="00E9546D">
        <w:rPr>
          <w:rFonts w:ascii="Arial" w:hAnsi="Arial" w:cs="Arial"/>
          <w:sz w:val="24"/>
          <w:szCs w:val="24"/>
        </w:rPr>
        <w:t>). S</w:t>
      </w:r>
      <w:r w:rsidR="00AA66FA" w:rsidRPr="00AA66FA">
        <w:rPr>
          <w:rFonts w:ascii="Arial" w:hAnsi="Arial" w:cs="Arial"/>
          <w:sz w:val="24"/>
          <w:szCs w:val="24"/>
        </w:rPr>
        <w:t xml:space="preserve">ince 2012 </w:t>
      </w:r>
      <w:r w:rsidR="00E9546D">
        <w:rPr>
          <w:rFonts w:ascii="Arial" w:hAnsi="Arial" w:cs="Arial"/>
          <w:sz w:val="24"/>
          <w:szCs w:val="24"/>
        </w:rPr>
        <w:t xml:space="preserve">she </w:t>
      </w:r>
      <w:r w:rsidR="00AA66FA" w:rsidRPr="00AA66FA">
        <w:rPr>
          <w:rFonts w:ascii="Arial" w:hAnsi="Arial" w:cs="Arial"/>
          <w:sz w:val="24"/>
          <w:szCs w:val="24"/>
        </w:rPr>
        <w:t xml:space="preserve">has </w:t>
      </w:r>
      <w:r w:rsidR="00E9546D">
        <w:rPr>
          <w:rFonts w:ascii="Arial" w:hAnsi="Arial" w:cs="Arial"/>
          <w:sz w:val="24"/>
          <w:szCs w:val="24"/>
        </w:rPr>
        <w:t>been</w:t>
      </w:r>
      <w:r w:rsidR="00AA66FA" w:rsidRPr="00AA66FA">
        <w:rPr>
          <w:rFonts w:ascii="Arial" w:hAnsi="Arial" w:cs="Arial"/>
          <w:sz w:val="24"/>
          <w:szCs w:val="24"/>
        </w:rPr>
        <w:t xml:space="preserve"> CEO of the Ikano Group.</w:t>
      </w:r>
    </w:p>
    <w:p w14:paraId="64193E8E" w14:textId="77777777" w:rsidR="00C72AEB" w:rsidRPr="00C72AEB" w:rsidRDefault="00C72AEB" w:rsidP="00C72AEB">
      <w:pPr>
        <w:ind w:left="360"/>
        <w:jc w:val="left"/>
        <w:rPr>
          <w:rFonts w:ascii="Arial" w:hAnsi="Arial" w:cs="Arial"/>
          <w:sz w:val="24"/>
          <w:szCs w:val="24"/>
        </w:rPr>
      </w:pPr>
      <w:r w:rsidRPr="00C72AEB">
        <w:rPr>
          <w:rFonts w:ascii="Arial" w:hAnsi="Arial" w:cs="Arial"/>
          <w:sz w:val="24"/>
          <w:szCs w:val="24"/>
        </w:rPr>
        <w:t xml:space="preserve"> </w:t>
      </w:r>
    </w:p>
    <w:p w14:paraId="131BE1AF" w14:textId="42CA605A" w:rsidR="00E65133" w:rsidRDefault="00C72AEB" w:rsidP="00C72AEB">
      <w:pPr>
        <w:ind w:left="360"/>
        <w:jc w:val="left"/>
        <w:rPr>
          <w:rFonts w:ascii="Arial" w:hAnsi="Arial" w:cs="Arial"/>
          <w:sz w:val="24"/>
          <w:szCs w:val="24"/>
        </w:rPr>
      </w:pPr>
      <w:r w:rsidRPr="00C72AEB">
        <w:rPr>
          <w:rFonts w:ascii="Arial" w:hAnsi="Arial" w:cs="Arial"/>
          <w:sz w:val="24"/>
          <w:szCs w:val="24"/>
        </w:rPr>
        <w:t xml:space="preserve">We are also appointing three Operations Directors by format. Guy Colleau, currently CEO, Group Sourcing &amp; Offer </w:t>
      </w:r>
      <w:r w:rsidR="00E43152">
        <w:rPr>
          <w:rFonts w:ascii="Arial" w:hAnsi="Arial" w:cs="Arial"/>
          <w:sz w:val="24"/>
          <w:szCs w:val="24"/>
        </w:rPr>
        <w:t xml:space="preserve">and former CEO of Castorama France, </w:t>
      </w:r>
      <w:r w:rsidRPr="00C72AEB">
        <w:rPr>
          <w:rFonts w:ascii="Arial" w:hAnsi="Arial" w:cs="Arial"/>
          <w:sz w:val="24"/>
          <w:szCs w:val="24"/>
        </w:rPr>
        <w:t>will become our Operations Director for Big Box</w:t>
      </w:r>
      <w:r w:rsidR="000A17AE">
        <w:rPr>
          <w:rFonts w:ascii="Arial" w:hAnsi="Arial" w:cs="Arial"/>
          <w:sz w:val="24"/>
          <w:szCs w:val="24"/>
        </w:rPr>
        <w:t xml:space="preserve"> (B&amp;Q, Castorama</w:t>
      </w:r>
      <w:r w:rsidR="00CA589D">
        <w:rPr>
          <w:rFonts w:ascii="Arial" w:hAnsi="Arial" w:cs="Arial"/>
          <w:sz w:val="24"/>
          <w:szCs w:val="24"/>
        </w:rPr>
        <w:t xml:space="preserve">, </w:t>
      </w:r>
      <w:r w:rsidR="000A17AE" w:rsidRPr="000A17AE">
        <w:rPr>
          <w:rFonts w:ascii="Arial" w:hAnsi="Arial" w:cs="Arial"/>
          <w:sz w:val="24"/>
          <w:szCs w:val="24"/>
        </w:rPr>
        <w:t>Koçtaş</w:t>
      </w:r>
      <w:r w:rsidR="000A17AE">
        <w:rPr>
          <w:rFonts w:ascii="Arial" w:hAnsi="Arial" w:cs="Arial"/>
          <w:sz w:val="24"/>
          <w:szCs w:val="24"/>
        </w:rPr>
        <w:t>)</w:t>
      </w:r>
      <w:r w:rsidR="00C06DE4">
        <w:rPr>
          <w:rFonts w:ascii="Arial" w:hAnsi="Arial" w:cs="Arial"/>
          <w:sz w:val="24"/>
          <w:szCs w:val="24"/>
        </w:rPr>
        <w:t>.</w:t>
      </w:r>
      <w:r w:rsidRPr="00C72AEB">
        <w:rPr>
          <w:rFonts w:ascii="Arial" w:hAnsi="Arial" w:cs="Arial"/>
          <w:sz w:val="24"/>
          <w:szCs w:val="24"/>
        </w:rPr>
        <w:t xml:space="preserve"> Alain Souillard, currently CEO, Brico Dépôt International will become our Operations Director for Medium Box</w:t>
      </w:r>
      <w:r w:rsidR="000A17AE">
        <w:rPr>
          <w:rFonts w:ascii="Arial" w:hAnsi="Arial" w:cs="Arial"/>
          <w:sz w:val="24"/>
          <w:szCs w:val="24"/>
        </w:rPr>
        <w:t xml:space="preserve"> (</w:t>
      </w:r>
      <w:r w:rsidR="000A17AE" w:rsidRPr="00C72AEB">
        <w:rPr>
          <w:rFonts w:ascii="Arial" w:hAnsi="Arial" w:cs="Arial"/>
          <w:sz w:val="24"/>
          <w:szCs w:val="24"/>
        </w:rPr>
        <w:t>Brico Dépôt</w:t>
      </w:r>
      <w:r w:rsidR="000A17AE">
        <w:rPr>
          <w:rFonts w:ascii="Arial" w:hAnsi="Arial" w:cs="Arial"/>
          <w:sz w:val="24"/>
          <w:szCs w:val="24"/>
        </w:rPr>
        <w:t xml:space="preserve">). </w:t>
      </w:r>
      <w:r w:rsidRPr="00C72AEB">
        <w:rPr>
          <w:rFonts w:ascii="Arial" w:hAnsi="Arial" w:cs="Arial"/>
          <w:sz w:val="24"/>
          <w:szCs w:val="24"/>
        </w:rPr>
        <w:t>Steve Willett</w:t>
      </w:r>
      <w:r w:rsidR="00487A65">
        <w:rPr>
          <w:rFonts w:ascii="Arial" w:hAnsi="Arial" w:cs="Arial"/>
          <w:sz w:val="24"/>
          <w:szCs w:val="24"/>
        </w:rPr>
        <w:t>,</w:t>
      </w:r>
      <w:r w:rsidRPr="00C72AEB">
        <w:rPr>
          <w:rFonts w:ascii="Arial" w:hAnsi="Arial" w:cs="Arial"/>
          <w:sz w:val="24"/>
          <w:szCs w:val="24"/>
        </w:rPr>
        <w:t xml:space="preserve"> currently CEO, Group Productivity &amp; Development will become our Omnichannel Operations Director</w:t>
      </w:r>
      <w:r w:rsidR="000A17AE">
        <w:rPr>
          <w:rFonts w:ascii="Arial" w:hAnsi="Arial" w:cs="Arial"/>
          <w:sz w:val="24"/>
          <w:szCs w:val="24"/>
        </w:rPr>
        <w:t xml:space="preserve"> (Screwfix)</w:t>
      </w:r>
      <w:r w:rsidRPr="00C72AEB">
        <w:rPr>
          <w:rFonts w:ascii="Arial" w:hAnsi="Arial" w:cs="Arial"/>
          <w:sz w:val="24"/>
          <w:szCs w:val="24"/>
        </w:rPr>
        <w:t xml:space="preserve"> as well taking the role of Chief Digital &amp; IT Officer. Our </w:t>
      </w:r>
      <w:r w:rsidR="00200984">
        <w:rPr>
          <w:rFonts w:ascii="Arial" w:hAnsi="Arial" w:cs="Arial"/>
          <w:sz w:val="24"/>
          <w:szCs w:val="24"/>
        </w:rPr>
        <w:t>operating company CEOs</w:t>
      </w:r>
      <w:r w:rsidRPr="00C72AEB">
        <w:rPr>
          <w:rFonts w:ascii="Arial" w:hAnsi="Arial" w:cs="Arial"/>
          <w:sz w:val="24"/>
          <w:szCs w:val="24"/>
        </w:rPr>
        <w:t xml:space="preserve"> will report into our </w:t>
      </w:r>
      <w:r w:rsidR="00474B48">
        <w:rPr>
          <w:rFonts w:ascii="Arial" w:hAnsi="Arial" w:cs="Arial"/>
          <w:sz w:val="24"/>
          <w:szCs w:val="24"/>
        </w:rPr>
        <w:t>Operations</w:t>
      </w:r>
      <w:r w:rsidR="00474B48" w:rsidRPr="00C72AEB">
        <w:rPr>
          <w:rFonts w:ascii="Arial" w:hAnsi="Arial" w:cs="Arial"/>
          <w:sz w:val="24"/>
          <w:szCs w:val="24"/>
        </w:rPr>
        <w:t xml:space="preserve"> </w:t>
      </w:r>
      <w:r w:rsidR="00474B48">
        <w:rPr>
          <w:rFonts w:ascii="Arial" w:hAnsi="Arial" w:cs="Arial"/>
          <w:sz w:val="24"/>
          <w:szCs w:val="24"/>
        </w:rPr>
        <w:t>D</w:t>
      </w:r>
      <w:r w:rsidRPr="00C72AEB">
        <w:rPr>
          <w:rFonts w:ascii="Arial" w:hAnsi="Arial" w:cs="Arial"/>
          <w:sz w:val="24"/>
          <w:szCs w:val="24"/>
        </w:rPr>
        <w:t xml:space="preserve">irectors. We </w:t>
      </w:r>
      <w:r w:rsidR="005708AD">
        <w:rPr>
          <w:rFonts w:ascii="Arial" w:hAnsi="Arial" w:cs="Arial"/>
          <w:sz w:val="24"/>
          <w:szCs w:val="24"/>
        </w:rPr>
        <w:t xml:space="preserve">will update on the </w:t>
      </w:r>
      <w:r w:rsidRPr="00C72AEB">
        <w:rPr>
          <w:rFonts w:ascii="Arial" w:hAnsi="Arial" w:cs="Arial"/>
          <w:sz w:val="24"/>
          <w:szCs w:val="24"/>
        </w:rPr>
        <w:t>Chief People Officer</w:t>
      </w:r>
      <w:r w:rsidR="005708AD">
        <w:rPr>
          <w:rFonts w:ascii="Arial" w:hAnsi="Arial" w:cs="Arial"/>
          <w:sz w:val="24"/>
          <w:szCs w:val="24"/>
        </w:rPr>
        <w:t xml:space="preserve"> in due course. </w:t>
      </w:r>
    </w:p>
    <w:p w14:paraId="0E7AF016" w14:textId="77777777" w:rsidR="00C904FC" w:rsidRDefault="00C904FC" w:rsidP="005F081C">
      <w:pPr>
        <w:ind w:left="360"/>
        <w:jc w:val="left"/>
        <w:rPr>
          <w:rFonts w:ascii="Arial" w:hAnsi="Arial" w:cs="Arial"/>
          <w:sz w:val="24"/>
          <w:szCs w:val="24"/>
          <w:highlight w:val="yellow"/>
        </w:rPr>
      </w:pPr>
    </w:p>
    <w:p w14:paraId="0C9D7FD2" w14:textId="259DC022" w:rsidR="005F081C" w:rsidRPr="006C2C39" w:rsidRDefault="005F081C" w:rsidP="005F081C">
      <w:pPr>
        <w:ind w:left="360"/>
        <w:jc w:val="left"/>
        <w:rPr>
          <w:rFonts w:ascii="Arial" w:hAnsi="Arial" w:cs="Arial"/>
          <w:i/>
          <w:sz w:val="24"/>
          <w:szCs w:val="24"/>
        </w:rPr>
      </w:pPr>
      <w:r w:rsidRPr="006C2C39">
        <w:rPr>
          <w:rFonts w:ascii="Arial" w:hAnsi="Arial" w:cs="Arial"/>
          <w:i/>
          <w:sz w:val="24"/>
          <w:szCs w:val="24"/>
        </w:rPr>
        <w:t>First sharp decision:</w:t>
      </w:r>
    </w:p>
    <w:p w14:paraId="3C18850C" w14:textId="126B68A5" w:rsidR="008B2EB2" w:rsidRPr="00507B19" w:rsidRDefault="004B0950" w:rsidP="00657B3E">
      <w:pPr>
        <w:pStyle w:val="ListParagraph"/>
        <w:numPr>
          <w:ilvl w:val="0"/>
          <w:numId w:val="35"/>
        </w:numPr>
        <w:spacing w:after="200" w:line="276" w:lineRule="auto"/>
        <w:contextualSpacing/>
        <w:jc w:val="left"/>
      </w:pPr>
      <w:r w:rsidRPr="008B2EB2">
        <w:rPr>
          <w:rFonts w:ascii="Arial" w:hAnsi="Arial" w:cs="Arial"/>
          <w:sz w:val="24"/>
          <w:szCs w:val="24"/>
        </w:rPr>
        <w:t xml:space="preserve">Finalise </w:t>
      </w:r>
      <w:r w:rsidR="005F081C" w:rsidRPr="008B2EB2">
        <w:rPr>
          <w:rFonts w:ascii="Arial" w:hAnsi="Arial" w:cs="Arial"/>
          <w:sz w:val="24"/>
          <w:szCs w:val="24"/>
        </w:rPr>
        <w:t>new</w:t>
      </w:r>
      <w:r w:rsidR="00C06DE4">
        <w:rPr>
          <w:rFonts w:ascii="Arial" w:hAnsi="Arial" w:cs="Arial"/>
          <w:sz w:val="24"/>
          <w:szCs w:val="24"/>
        </w:rPr>
        <w:t xml:space="preserve"> </w:t>
      </w:r>
      <w:r w:rsidR="00303C17" w:rsidRPr="008B2EB2">
        <w:rPr>
          <w:rFonts w:ascii="Arial" w:hAnsi="Arial" w:cs="Arial"/>
          <w:sz w:val="24"/>
          <w:szCs w:val="24"/>
        </w:rPr>
        <w:t>leadership team</w:t>
      </w:r>
      <w:r w:rsidR="005F081C" w:rsidRPr="008B2EB2">
        <w:rPr>
          <w:rFonts w:ascii="Arial" w:hAnsi="Arial" w:cs="Arial"/>
          <w:sz w:val="24"/>
          <w:szCs w:val="24"/>
        </w:rPr>
        <w:t xml:space="preserve"> and wider reorganisation structure</w:t>
      </w:r>
    </w:p>
    <w:p w14:paraId="1FADA720" w14:textId="731B8C58" w:rsidR="001C43C3" w:rsidRPr="001C43C3" w:rsidRDefault="008B2EB2" w:rsidP="00506D26">
      <w:pPr>
        <w:spacing w:after="200"/>
        <w:contextualSpacing/>
        <w:jc w:val="left"/>
        <w:rPr>
          <w:rFonts w:ascii="Arial" w:hAnsi="Arial" w:cs="Arial"/>
          <w:sz w:val="24"/>
          <w:szCs w:val="24"/>
        </w:rPr>
      </w:pPr>
      <w:r w:rsidRPr="00506D26">
        <w:rPr>
          <w:rFonts w:ascii="Arial" w:hAnsi="Arial" w:cs="Arial"/>
          <w:sz w:val="24"/>
          <w:szCs w:val="24"/>
        </w:rPr>
        <w:t>In summary, European home improvement is a great market with huge potential. We have a clear set of principles which will unlock the real potential of ‘ONE’ Kingfisher. We are organising ourselves very differently in order to effect the necessary change, we are getting on with this at real pace</w:t>
      </w:r>
      <w:r w:rsidR="00DB55F6">
        <w:rPr>
          <w:rFonts w:ascii="Arial" w:hAnsi="Arial" w:cs="Arial"/>
          <w:sz w:val="24"/>
          <w:szCs w:val="24"/>
        </w:rPr>
        <w:t xml:space="preserve"> and we will provide further updates as the year progresses.</w:t>
      </w:r>
    </w:p>
    <w:p w14:paraId="63F14107" w14:textId="77777777" w:rsidR="001C43C3" w:rsidRDefault="001C43C3" w:rsidP="00506D26">
      <w:pPr>
        <w:spacing w:after="200"/>
        <w:contextualSpacing/>
        <w:jc w:val="left"/>
        <w:rPr>
          <w:rFonts w:ascii="Arial" w:hAnsi="Arial" w:cs="Arial"/>
          <w:sz w:val="24"/>
          <w:szCs w:val="24"/>
        </w:rPr>
      </w:pPr>
    </w:p>
    <w:p w14:paraId="02E408A7" w14:textId="77777777" w:rsidR="00BB4C68" w:rsidRPr="001C43C3" w:rsidRDefault="00BB4C68" w:rsidP="00506D26">
      <w:pPr>
        <w:spacing w:after="200"/>
        <w:contextualSpacing/>
        <w:jc w:val="left"/>
        <w:rPr>
          <w:rFonts w:ascii="Arial" w:hAnsi="Arial" w:cs="Arial"/>
          <w:sz w:val="24"/>
          <w:szCs w:val="24"/>
        </w:rPr>
      </w:pPr>
    </w:p>
    <w:p w14:paraId="3958918B" w14:textId="77777777" w:rsidR="001C43C3" w:rsidRPr="001C43C3" w:rsidRDefault="001C43C3" w:rsidP="00506D26">
      <w:pPr>
        <w:spacing w:after="200"/>
        <w:contextualSpacing/>
        <w:jc w:val="left"/>
        <w:rPr>
          <w:rFonts w:ascii="Arial" w:hAnsi="Arial" w:cs="Arial"/>
          <w:sz w:val="24"/>
          <w:szCs w:val="24"/>
        </w:rPr>
      </w:pPr>
    </w:p>
    <w:p w14:paraId="15D45FD5" w14:textId="77777777" w:rsidR="001C43C3" w:rsidRPr="001C43C3" w:rsidRDefault="001C43C3" w:rsidP="00506D26">
      <w:pPr>
        <w:spacing w:after="200"/>
        <w:contextualSpacing/>
        <w:jc w:val="left"/>
        <w:rPr>
          <w:rFonts w:ascii="Arial" w:hAnsi="Arial" w:cs="Arial"/>
          <w:sz w:val="24"/>
          <w:szCs w:val="24"/>
        </w:rPr>
      </w:pPr>
    </w:p>
    <w:p w14:paraId="0F6D3C28" w14:textId="77777777" w:rsidR="001C43C3" w:rsidRPr="001C43C3" w:rsidRDefault="001C43C3" w:rsidP="00506D26">
      <w:pPr>
        <w:spacing w:after="200"/>
        <w:contextualSpacing/>
        <w:jc w:val="left"/>
        <w:rPr>
          <w:rFonts w:ascii="Arial" w:hAnsi="Arial" w:cs="Arial"/>
          <w:sz w:val="24"/>
          <w:szCs w:val="24"/>
        </w:rPr>
      </w:pPr>
    </w:p>
    <w:p w14:paraId="6CA992D6" w14:textId="77777777" w:rsidR="001C43C3" w:rsidRPr="001C43C3" w:rsidRDefault="001C43C3" w:rsidP="00506D26">
      <w:pPr>
        <w:spacing w:after="200"/>
        <w:contextualSpacing/>
        <w:jc w:val="left"/>
        <w:rPr>
          <w:rFonts w:ascii="Arial" w:hAnsi="Arial" w:cs="Arial"/>
          <w:sz w:val="24"/>
          <w:szCs w:val="24"/>
        </w:rPr>
      </w:pPr>
    </w:p>
    <w:p w14:paraId="40730072" w14:textId="77777777" w:rsidR="001C43C3" w:rsidRPr="001C43C3" w:rsidRDefault="001C43C3" w:rsidP="00506D26">
      <w:pPr>
        <w:spacing w:after="200"/>
        <w:contextualSpacing/>
        <w:jc w:val="left"/>
        <w:rPr>
          <w:rFonts w:ascii="Arial" w:hAnsi="Arial" w:cs="Arial"/>
          <w:sz w:val="24"/>
          <w:szCs w:val="24"/>
        </w:rPr>
      </w:pPr>
    </w:p>
    <w:p w14:paraId="16E4F40D" w14:textId="77777777" w:rsidR="001C43C3" w:rsidRPr="001C43C3" w:rsidRDefault="001C43C3" w:rsidP="00506D26">
      <w:pPr>
        <w:spacing w:after="200"/>
        <w:contextualSpacing/>
        <w:jc w:val="left"/>
        <w:rPr>
          <w:rFonts w:ascii="Arial" w:hAnsi="Arial" w:cs="Arial"/>
          <w:sz w:val="24"/>
          <w:szCs w:val="24"/>
        </w:rPr>
      </w:pPr>
    </w:p>
    <w:p w14:paraId="68735A02" w14:textId="77777777" w:rsidR="001C43C3" w:rsidRPr="001C43C3" w:rsidRDefault="001C43C3" w:rsidP="00506D26">
      <w:pPr>
        <w:spacing w:after="200"/>
        <w:contextualSpacing/>
        <w:jc w:val="left"/>
        <w:rPr>
          <w:rFonts w:ascii="Arial" w:hAnsi="Arial" w:cs="Arial"/>
          <w:sz w:val="24"/>
          <w:szCs w:val="24"/>
        </w:rPr>
      </w:pPr>
    </w:p>
    <w:p w14:paraId="2C50DCEA" w14:textId="77777777" w:rsidR="001C43C3" w:rsidRPr="00506D26" w:rsidRDefault="001C43C3" w:rsidP="00506D26">
      <w:pPr>
        <w:spacing w:after="200"/>
        <w:contextualSpacing/>
        <w:jc w:val="left"/>
        <w:rPr>
          <w:rFonts w:ascii="Arial" w:hAnsi="Arial" w:cs="Arial"/>
          <w:sz w:val="24"/>
          <w:szCs w:val="24"/>
        </w:rPr>
      </w:pPr>
    </w:p>
    <w:p w14:paraId="5F02F429" w14:textId="77777777" w:rsidR="00043801" w:rsidRDefault="00074BF9" w:rsidP="001B3B55">
      <w:pPr>
        <w:jc w:val="left"/>
        <w:rPr>
          <w:rFonts w:ascii="Helvetica" w:hAnsi="Helvetica" w:cs="Helvetica"/>
          <w:b/>
          <w:bCs/>
          <w:sz w:val="24"/>
          <w:szCs w:val="24"/>
        </w:rPr>
      </w:pPr>
      <w:r w:rsidRPr="000971B9">
        <w:rPr>
          <w:rFonts w:ascii="Arial" w:hAnsi="Arial" w:cs="Arial"/>
          <w:b/>
          <w:bCs/>
          <w:sz w:val="24"/>
          <w:szCs w:val="24"/>
        </w:rPr>
        <w:lastRenderedPageBreak/>
        <w:t>S</w:t>
      </w:r>
      <w:r w:rsidR="00CD36B5" w:rsidRPr="000971B9">
        <w:rPr>
          <w:rFonts w:ascii="Arial" w:hAnsi="Arial" w:cs="Arial"/>
          <w:b/>
          <w:bCs/>
          <w:sz w:val="24"/>
          <w:szCs w:val="24"/>
        </w:rPr>
        <w:t xml:space="preserve">ection </w:t>
      </w:r>
      <w:r w:rsidR="003E3617" w:rsidRPr="000971B9">
        <w:rPr>
          <w:rFonts w:ascii="Arial" w:hAnsi="Arial" w:cs="Arial"/>
          <w:b/>
          <w:bCs/>
          <w:sz w:val="24"/>
          <w:szCs w:val="24"/>
        </w:rPr>
        <w:t>2</w:t>
      </w:r>
      <w:r w:rsidR="00376255" w:rsidRPr="000971B9">
        <w:rPr>
          <w:rFonts w:ascii="Arial" w:hAnsi="Arial" w:cs="Arial"/>
          <w:b/>
          <w:bCs/>
          <w:sz w:val="24"/>
          <w:szCs w:val="24"/>
        </w:rPr>
        <w:t xml:space="preserve">: </w:t>
      </w:r>
      <w:r w:rsidR="00AB5F99">
        <w:rPr>
          <w:rFonts w:ascii="Arial" w:hAnsi="Arial" w:cs="Arial"/>
          <w:b/>
          <w:bCs/>
          <w:sz w:val="24"/>
          <w:szCs w:val="24"/>
        </w:rPr>
        <w:t xml:space="preserve">2014/15 </w:t>
      </w:r>
      <w:r w:rsidR="00CD36B5" w:rsidRPr="000971B9">
        <w:rPr>
          <w:rFonts w:ascii="Helvetica" w:hAnsi="Helvetica" w:cs="Helvetica"/>
          <w:b/>
          <w:bCs/>
          <w:sz w:val="24"/>
          <w:szCs w:val="24"/>
        </w:rPr>
        <w:t xml:space="preserve">REVIEW BY </w:t>
      </w:r>
      <w:r w:rsidR="00F94DD3" w:rsidRPr="000971B9">
        <w:rPr>
          <w:rFonts w:ascii="Helvetica" w:hAnsi="Helvetica" w:cs="Helvetica"/>
          <w:b/>
          <w:bCs/>
          <w:sz w:val="24"/>
          <w:szCs w:val="24"/>
        </w:rPr>
        <w:t>MAJOR GEOGRAPHY</w:t>
      </w:r>
      <w:r w:rsidR="00043801">
        <w:rPr>
          <w:rFonts w:ascii="Helvetica" w:hAnsi="Helvetica" w:cs="Helvetica"/>
          <w:b/>
          <w:bCs/>
          <w:sz w:val="24"/>
          <w:szCs w:val="24"/>
        </w:rPr>
        <w:t xml:space="preserve"> </w:t>
      </w:r>
    </w:p>
    <w:p w14:paraId="1880FA4E" w14:textId="77777777" w:rsidR="00043801" w:rsidRDefault="00043801" w:rsidP="001B3B55">
      <w:pPr>
        <w:jc w:val="left"/>
        <w:rPr>
          <w:rFonts w:ascii="Helvetica" w:hAnsi="Helvetica" w:cs="Helvetica"/>
          <w:bCs/>
          <w:i/>
          <w:sz w:val="24"/>
          <w:szCs w:val="24"/>
        </w:rPr>
      </w:pPr>
    </w:p>
    <w:p w14:paraId="5ED70481" w14:textId="20A273D8" w:rsidR="001B3B55" w:rsidRPr="00B672B2" w:rsidRDefault="00043801" w:rsidP="001B3B55">
      <w:pPr>
        <w:jc w:val="left"/>
        <w:rPr>
          <w:rFonts w:ascii="Helvetica" w:hAnsi="Helvetica" w:cs="Helvetica"/>
          <w:bCs/>
          <w:i/>
          <w:sz w:val="24"/>
          <w:szCs w:val="24"/>
        </w:rPr>
      </w:pPr>
      <w:r w:rsidRPr="00B672B2">
        <w:rPr>
          <w:rFonts w:ascii="Helvetica" w:hAnsi="Helvetica" w:cs="Helvetica"/>
          <w:bCs/>
          <w:i/>
          <w:sz w:val="24"/>
          <w:szCs w:val="24"/>
        </w:rPr>
        <w:t>All trading commentary is in constant currencies</w:t>
      </w:r>
    </w:p>
    <w:p w14:paraId="79D4B2CF" w14:textId="77777777" w:rsidR="001B3B55" w:rsidRPr="000971B9" w:rsidRDefault="001B3B55" w:rsidP="001B3B55">
      <w:pPr>
        <w:jc w:val="left"/>
        <w:rPr>
          <w:rFonts w:ascii="Arial" w:hAnsi="Arial" w:cs="Arial"/>
          <w:b/>
          <w:bCs/>
          <w:sz w:val="24"/>
          <w:szCs w:val="24"/>
        </w:rPr>
      </w:pPr>
    </w:p>
    <w:p w14:paraId="6FDCA941" w14:textId="39393838" w:rsidR="00AB5F99" w:rsidRDefault="00275B89" w:rsidP="00275B89">
      <w:pPr>
        <w:tabs>
          <w:tab w:val="left" w:pos="357"/>
        </w:tabs>
        <w:ind w:right="-282"/>
        <w:jc w:val="left"/>
        <w:rPr>
          <w:rFonts w:ascii="Arial" w:hAnsi="Arial" w:cs="Arial"/>
          <w:iCs/>
          <w:sz w:val="24"/>
          <w:szCs w:val="24"/>
        </w:rPr>
      </w:pPr>
      <w:bookmarkStart w:id="1" w:name="OLE_LINK3"/>
      <w:bookmarkStart w:id="2" w:name="OLE_LINK4"/>
      <w:r w:rsidRPr="00FD4DC7">
        <w:rPr>
          <w:rFonts w:ascii="Arial" w:hAnsi="Arial" w:cs="Arial"/>
          <w:iCs/>
          <w:sz w:val="24"/>
          <w:szCs w:val="24"/>
        </w:rPr>
        <w:t>Note:</w:t>
      </w:r>
      <w:r>
        <w:rPr>
          <w:rFonts w:ascii="Arial" w:hAnsi="Arial" w:cs="Arial"/>
          <w:b/>
          <w:bCs/>
          <w:sz w:val="24"/>
          <w:szCs w:val="24"/>
        </w:rPr>
        <w:t xml:space="preserve"> </w:t>
      </w:r>
      <w:r w:rsidRPr="000971B9">
        <w:rPr>
          <w:rFonts w:ascii="Arial" w:hAnsi="Arial" w:cs="Arial"/>
          <w:iCs/>
          <w:sz w:val="24"/>
          <w:szCs w:val="24"/>
        </w:rPr>
        <w:t xml:space="preserve">Data tables for </w:t>
      </w:r>
      <w:r>
        <w:rPr>
          <w:rFonts w:ascii="Arial" w:hAnsi="Arial" w:cs="Arial"/>
          <w:iCs/>
          <w:sz w:val="24"/>
          <w:szCs w:val="24"/>
        </w:rPr>
        <w:t>Q1, Q2, H1, Q3, Q4 and the</w:t>
      </w:r>
      <w:r w:rsidRPr="000971B9">
        <w:rPr>
          <w:rFonts w:ascii="Arial" w:hAnsi="Arial" w:cs="Arial"/>
          <w:iCs/>
          <w:sz w:val="24"/>
          <w:szCs w:val="24"/>
        </w:rPr>
        <w:t xml:space="preserve"> full year are available for download in excel format at </w:t>
      </w:r>
      <w:hyperlink r:id="rId8" w:history="1">
        <w:r w:rsidR="00D70047" w:rsidRPr="00D70047">
          <w:rPr>
            <w:rStyle w:val="Hyperlink"/>
            <w:rFonts w:ascii="Arial" w:hAnsi="Arial" w:cs="Arial"/>
            <w:iCs/>
            <w:sz w:val="24"/>
            <w:szCs w:val="24"/>
          </w:rPr>
          <w:t>http://www.kingfisher.com/index.asp?pageid=59</w:t>
        </w:r>
      </w:hyperlink>
      <w:r w:rsidRPr="000971B9">
        <w:rPr>
          <w:rFonts w:ascii="Arial" w:hAnsi="Arial" w:cs="Arial"/>
          <w:iCs/>
          <w:sz w:val="24"/>
          <w:szCs w:val="24"/>
        </w:rPr>
        <w:t xml:space="preserve">. </w:t>
      </w:r>
    </w:p>
    <w:p w14:paraId="7F561EC4" w14:textId="77777777" w:rsidR="00275B89" w:rsidRDefault="00275B89" w:rsidP="001B3B55">
      <w:pPr>
        <w:jc w:val="left"/>
        <w:rPr>
          <w:rFonts w:ascii="Arial" w:hAnsi="Arial" w:cs="Arial"/>
          <w:b/>
          <w:bCs/>
          <w:sz w:val="24"/>
          <w:szCs w:val="24"/>
        </w:rPr>
      </w:pPr>
    </w:p>
    <w:p w14:paraId="47150BE3" w14:textId="77777777" w:rsidR="00043801" w:rsidRDefault="00043801" w:rsidP="001B3B55">
      <w:pPr>
        <w:jc w:val="left"/>
        <w:rPr>
          <w:rFonts w:ascii="Arial" w:hAnsi="Arial" w:cs="Arial"/>
          <w:b/>
          <w:bCs/>
          <w:sz w:val="24"/>
          <w:szCs w:val="24"/>
        </w:rPr>
      </w:pPr>
    </w:p>
    <w:p w14:paraId="25E744A8" w14:textId="2BD700E7" w:rsidR="001B3B55" w:rsidRPr="000971B9" w:rsidRDefault="001B3B55" w:rsidP="001B3B55">
      <w:pPr>
        <w:jc w:val="left"/>
        <w:rPr>
          <w:rFonts w:ascii="Arial" w:hAnsi="Arial" w:cs="Arial"/>
          <w:sz w:val="24"/>
          <w:szCs w:val="24"/>
        </w:rPr>
      </w:pPr>
      <w:r w:rsidRPr="000971B9">
        <w:rPr>
          <w:rFonts w:ascii="Arial" w:hAnsi="Arial" w:cs="Arial"/>
          <w:b/>
          <w:bCs/>
          <w:sz w:val="24"/>
          <w:szCs w:val="24"/>
        </w:rPr>
        <w:t>FRANCE</w:t>
      </w:r>
      <w:r w:rsidR="00E10699">
        <w:rPr>
          <w:rFonts w:ascii="Arial" w:hAnsi="Arial" w:cs="Arial"/>
          <w:b/>
          <w:bCs/>
          <w:sz w:val="24"/>
          <w:szCs w:val="24"/>
        </w:rPr>
        <w:t>*</w:t>
      </w:r>
      <w:r w:rsidR="00043801">
        <w:rPr>
          <w:rFonts w:ascii="Arial" w:hAnsi="Arial" w:cs="Arial"/>
          <w:b/>
          <w:bCs/>
          <w:sz w:val="24"/>
          <w:szCs w:val="24"/>
        </w:rPr>
        <w:t xml:space="preserve"> </w:t>
      </w:r>
    </w:p>
    <w:p w14:paraId="3441B9D3" w14:textId="77777777" w:rsidR="001B3B55" w:rsidRPr="000971B9" w:rsidRDefault="001B3B55" w:rsidP="001B3B55">
      <w:pPr>
        <w:rPr>
          <w:rFonts w:ascii="Arial" w:hAnsi="Arial" w:cs="Arial"/>
          <w:b/>
          <w:bCs/>
          <w:sz w:val="24"/>
          <w:szCs w:val="24"/>
        </w:rPr>
      </w:pPr>
    </w:p>
    <w:tbl>
      <w:tblPr>
        <w:tblW w:w="48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1479"/>
        <w:gridCol w:w="1228"/>
        <w:gridCol w:w="1693"/>
        <w:gridCol w:w="1536"/>
        <w:gridCol w:w="1010"/>
      </w:tblGrid>
      <w:tr w:rsidR="00AC5413" w:rsidRPr="000971B9" w14:paraId="0B5349F6" w14:textId="77777777" w:rsidTr="006E1748">
        <w:tc>
          <w:tcPr>
            <w:tcW w:w="1278" w:type="pct"/>
          </w:tcPr>
          <w:p w14:paraId="5882907E" w14:textId="77777777" w:rsidR="001B3B55" w:rsidRPr="000971B9" w:rsidRDefault="001B3B55" w:rsidP="001B3B55">
            <w:pPr>
              <w:rPr>
                <w:rFonts w:ascii="Arial" w:hAnsi="Arial" w:cs="Arial"/>
                <w:sz w:val="24"/>
                <w:szCs w:val="24"/>
              </w:rPr>
            </w:pPr>
            <w:r w:rsidRPr="000971B9">
              <w:rPr>
                <w:rFonts w:ascii="Arial" w:hAnsi="Arial" w:cs="Arial"/>
                <w:b/>
                <w:bCs/>
                <w:sz w:val="24"/>
                <w:szCs w:val="24"/>
              </w:rPr>
              <w:t>Sales £m</w:t>
            </w:r>
          </w:p>
        </w:tc>
        <w:tc>
          <w:tcPr>
            <w:tcW w:w="792" w:type="pct"/>
          </w:tcPr>
          <w:p w14:paraId="23EE1E7F" w14:textId="77777777" w:rsidR="001B3B55" w:rsidRPr="000971B9" w:rsidRDefault="00AC5413" w:rsidP="001B3B55">
            <w:pPr>
              <w:jc w:val="right"/>
              <w:rPr>
                <w:rFonts w:ascii="Arial" w:hAnsi="Arial" w:cs="Arial"/>
                <w:sz w:val="24"/>
                <w:szCs w:val="24"/>
              </w:rPr>
            </w:pPr>
            <w:r w:rsidRPr="000971B9">
              <w:rPr>
                <w:rFonts w:ascii="Arial" w:hAnsi="Arial" w:cs="Arial"/>
                <w:b/>
                <w:bCs/>
                <w:sz w:val="24"/>
                <w:szCs w:val="24"/>
              </w:rPr>
              <w:t>201</w:t>
            </w:r>
            <w:r w:rsidR="00E628CC">
              <w:rPr>
                <w:rFonts w:ascii="Arial" w:hAnsi="Arial" w:cs="Arial"/>
                <w:b/>
                <w:bCs/>
                <w:sz w:val="24"/>
                <w:szCs w:val="24"/>
              </w:rPr>
              <w:t>4</w:t>
            </w:r>
            <w:r w:rsidRPr="000971B9">
              <w:rPr>
                <w:rFonts w:ascii="Arial" w:hAnsi="Arial" w:cs="Arial"/>
                <w:b/>
                <w:bCs/>
                <w:sz w:val="24"/>
                <w:szCs w:val="24"/>
              </w:rPr>
              <w:t>/1</w:t>
            </w:r>
            <w:r w:rsidR="00E628CC">
              <w:rPr>
                <w:rFonts w:ascii="Arial" w:hAnsi="Arial" w:cs="Arial"/>
                <w:b/>
                <w:bCs/>
                <w:sz w:val="24"/>
                <w:szCs w:val="24"/>
              </w:rPr>
              <w:t>5</w:t>
            </w:r>
          </w:p>
        </w:tc>
        <w:tc>
          <w:tcPr>
            <w:tcW w:w="658" w:type="pct"/>
          </w:tcPr>
          <w:p w14:paraId="0114B71F" w14:textId="77777777" w:rsidR="001B3B55" w:rsidRPr="000971B9" w:rsidRDefault="00AC5413" w:rsidP="001B3B55">
            <w:pPr>
              <w:jc w:val="right"/>
              <w:rPr>
                <w:rFonts w:ascii="Arial" w:hAnsi="Arial" w:cs="Arial"/>
                <w:b/>
                <w:bCs/>
                <w:sz w:val="24"/>
                <w:szCs w:val="24"/>
              </w:rPr>
            </w:pPr>
            <w:r w:rsidRPr="000971B9">
              <w:rPr>
                <w:rFonts w:ascii="Arial" w:hAnsi="Arial" w:cs="Arial"/>
                <w:b/>
                <w:bCs/>
                <w:sz w:val="24"/>
                <w:szCs w:val="24"/>
              </w:rPr>
              <w:t>201</w:t>
            </w:r>
            <w:r w:rsidR="00E628CC">
              <w:rPr>
                <w:rFonts w:ascii="Arial" w:hAnsi="Arial" w:cs="Arial"/>
                <w:b/>
                <w:bCs/>
                <w:sz w:val="24"/>
                <w:szCs w:val="24"/>
              </w:rPr>
              <w:t>3</w:t>
            </w:r>
            <w:r w:rsidRPr="000971B9">
              <w:rPr>
                <w:rFonts w:ascii="Arial" w:hAnsi="Arial" w:cs="Arial"/>
                <w:b/>
                <w:bCs/>
                <w:sz w:val="24"/>
                <w:szCs w:val="24"/>
              </w:rPr>
              <w:t>/1</w:t>
            </w:r>
            <w:r w:rsidR="00E628CC">
              <w:rPr>
                <w:rFonts w:ascii="Arial" w:hAnsi="Arial" w:cs="Arial"/>
                <w:b/>
                <w:bCs/>
                <w:sz w:val="24"/>
                <w:szCs w:val="24"/>
              </w:rPr>
              <w:t>4</w:t>
            </w:r>
          </w:p>
        </w:tc>
        <w:tc>
          <w:tcPr>
            <w:tcW w:w="907" w:type="pct"/>
          </w:tcPr>
          <w:p w14:paraId="12C1D098" w14:textId="77777777" w:rsidR="001B3B55" w:rsidRPr="000971B9" w:rsidRDefault="00F223EE" w:rsidP="001B3B55">
            <w:pPr>
              <w:jc w:val="right"/>
              <w:rPr>
                <w:rFonts w:ascii="Arial" w:hAnsi="Arial" w:cs="Arial"/>
                <w:b/>
                <w:bCs/>
                <w:sz w:val="24"/>
                <w:szCs w:val="24"/>
              </w:rPr>
            </w:pPr>
            <w:r w:rsidRPr="000971B9">
              <w:rPr>
                <w:rFonts w:ascii="Arial" w:hAnsi="Arial" w:cs="Arial"/>
                <w:b/>
                <w:bCs/>
                <w:sz w:val="24"/>
                <w:szCs w:val="24"/>
              </w:rPr>
              <w:t xml:space="preserve">% </w:t>
            </w:r>
            <w:r w:rsidR="00197636" w:rsidRPr="000971B9">
              <w:rPr>
                <w:rFonts w:ascii="Arial" w:hAnsi="Arial" w:cs="Arial"/>
                <w:b/>
                <w:bCs/>
                <w:sz w:val="24"/>
                <w:szCs w:val="24"/>
              </w:rPr>
              <w:t>Reported</w:t>
            </w:r>
            <w:r w:rsidR="00197636" w:rsidRPr="000971B9" w:rsidDel="00197636">
              <w:rPr>
                <w:rFonts w:ascii="Arial" w:hAnsi="Arial" w:cs="Arial"/>
                <w:b/>
                <w:bCs/>
                <w:sz w:val="24"/>
                <w:szCs w:val="24"/>
              </w:rPr>
              <w:t xml:space="preserve"> </w:t>
            </w:r>
            <w:r w:rsidR="001B3B55" w:rsidRPr="000971B9">
              <w:rPr>
                <w:rFonts w:ascii="Arial" w:hAnsi="Arial" w:cs="Arial"/>
                <w:b/>
                <w:bCs/>
                <w:sz w:val="24"/>
                <w:szCs w:val="24"/>
              </w:rPr>
              <w:t>Change</w:t>
            </w:r>
          </w:p>
          <w:p w14:paraId="306C10C4" w14:textId="77777777" w:rsidR="00F223EE" w:rsidRPr="000971B9" w:rsidRDefault="00F223EE" w:rsidP="001B3B55">
            <w:pPr>
              <w:jc w:val="right"/>
              <w:rPr>
                <w:rFonts w:ascii="Arial" w:hAnsi="Arial" w:cs="Arial"/>
                <w:b/>
                <w:bCs/>
                <w:sz w:val="24"/>
                <w:szCs w:val="24"/>
              </w:rPr>
            </w:pPr>
          </w:p>
        </w:tc>
        <w:tc>
          <w:tcPr>
            <w:tcW w:w="823" w:type="pct"/>
          </w:tcPr>
          <w:p w14:paraId="3CCC015D" w14:textId="77777777" w:rsidR="000C5C21" w:rsidRPr="000971B9" w:rsidRDefault="00F223EE" w:rsidP="00EB1DC5">
            <w:pPr>
              <w:jc w:val="right"/>
              <w:rPr>
                <w:rFonts w:ascii="Arial" w:hAnsi="Arial" w:cs="Arial"/>
                <w:b/>
                <w:bCs/>
                <w:sz w:val="24"/>
                <w:szCs w:val="24"/>
              </w:rPr>
            </w:pPr>
            <w:r w:rsidRPr="000971B9">
              <w:rPr>
                <w:rFonts w:ascii="Arial" w:hAnsi="Arial" w:cs="Arial"/>
                <w:b/>
                <w:bCs/>
                <w:sz w:val="24"/>
                <w:szCs w:val="24"/>
              </w:rPr>
              <w:t>%</w:t>
            </w:r>
            <w:r w:rsidR="00197636">
              <w:rPr>
                <w:rFonts w:ascii="Arial" w:hAnsi="Arial" w:cs="Arial"/>
                <w:b/>
                <w:bCs/>
                <w:sz w:val="24"/>
                <w:szCs w:val="24"/>
              </w:rPr>
              <w:t xml:space="preserve"> </w:t>
            </w:r>
            <w:r w:rsidR="00197636" w:rsidRPr="000971B9">
              <w:rPr>
                <w:rFonts w:ascii="Arial" w:hAnsi="Arial" w:cs="Arial"/>
                <w:b/>
                <w:bCs/>
                <w:sz w:val="24"/>
                <w:szCs w:val="24"/>
              </w:rPr>
              <w:t>Constant</w:t>
            </w:r>
          </w:p>
          <w:p w14:paraId="795D19EC" w14:textId="77777777" w:rsidR="00197636" w:rsidRDefault="00197636" w:rsidP="00EB1DC5">
            <w:pPr>
              <w:jc w:val="right"/>
              <w:rPr>
                <w:rFonts w:ascii="Arial" w:hAnsi="Arial" w:cs="Arial"/>
                <w:b/>
                <w:bCs/>
                <w:sz w:val="24"/>
                <w:szCs w:val="24"/>
              </w:rPr>
            </w:pPr>
            <w:r>
              <w:rPr>
                <w:rFonts w:ascii="Arial" w:hAnsi="Arial" w:cs="Arial"/>
                <w:b/>
                <w:bCs/>
                <w:sz w:val="24"/>
                <w:szCs w:val="24"/>
              </w:rPr>
              <w:t>Currency</w:t>
            </w:r>
          </w:p>
          <w:p w14:paraId="03B85FAF" w14:textId="77777777" w:rsidR="001B3B55" w:rsidRPr="000971B9" w:rsidRDefault="000C5C21" w:rsidP="007F4562">
            <w:pPr>
              <w:jc w:val="right"/>
              <w:rPr>
                <w:rFonts w:ascii="Arial" w:hAnsi="Arial" w:cs="Arial"/>
                <w:b/>
                <w:bCs/>
                <w:sz w:val="24"/>
                <w:szCs w:val="24"/>
              </w:rPr>
            </w:pPr>
            <w:r w:rsidRPr="000971B9">
              <w:rPr>
                <w:rFonts w:ascii="Arial" w:hAnsi="Arial" w:cs="Arial"/>
                <w:b/>
                <w:bCs/>
                <w:sz w:val="24"/>
                <w:szCs w:val="24"/>
              </w:rPr>
              <w:t>Change</w:t>
            </w:r>
            <w:r w:rsidR="00EB1DC5" w:rsidRPr="000971B9">
              <w:rPr>
                <w:rFonts w:ascii="Arial" w:hAnsi="Arial" w:cs="Arial"/>
                <w:b/>
                <w:bCs/>
                <w:sz w:val="24"/>
                <w:szCs w:val="24"/>
              </w:rPr>
              <w:t xml:space="preserve">  </w:t>
            </w:r>
          </w:p>
        </w:tc>
        <w:tc>
          <w:tcPr>
            <w:tcW w:w="541" w:type="pct"/>
          </w:tcPr>
          <w:p w14:paraId="533B743F" w14:textId="77777777" w:rsidR="001B3B55" w:rsidRPr="000971B9" w:rsidRDefault="001B3B55" w:rsidP="001B3B55">
            <w:pPr>
              <w:ind w:hanging="108"/>
              <w:jc w:val="right"/>
              <w:rPr>
                <w:rFonts w:ascii="Arial" w:hAnsi="Arial" w:cs="Arial"/>
                <w:b/>
                <w:bCs/>
                <w:sz w:val="24"/>
                <w:szCs w:val="24"/>
              </w:rPr>
            </w:pPr>
            <w:r w:rsidRPr="000971B9">
              <w:rPr>
                <w:rFonts w:ascii="Arial" w:hAnsi="Arial" w:cs="Arial"/>
                <w:b/>
                <w:bCs/>
                <w:sz w:val="24"/>
                <w:szCs w:val="24"/>
              </w:rPr>
              <w:t>% LFL</w:t>
            </w:r>
          </w:p>
          <w:p w14:paraId="2AE76D27" w14:textId="77777777" w:rsidR="001B3B55" w:rsidRPr="000971B9" w:rsidRDefault="001B3B55" w:rsidP="001B3B55">
            <w:pPr>
              <w:ind w:hanging="108"/>
              <w:jc w:val="right"/>
              <w:rPr>
                <w:rFonts w:ascii="Arial" w:hAnsi="Arial" w:cs="Arial"/>
                <w:b/>
                <w:bCs/>
                <w:sz w:val="24"/>
                <w:szCs w:val="24"/>
              </w:rPr>
            </w:pPr>
            <w:r w:rsidRPr="000971B9">
              <w:rPr>
                <w:rFonts w:ascii="Arial" w:hAnsi="Arial" w:cs="Arial"/>
                <w:b/>
                <w:bCs/>
                <w:sz w:val="24"/>
                <w:szCs w:val="24"/>
              </w:rPr>
              <w:t>Change</w:t>
            </w:r>
          </w:p>
        </w:tc>
      </w:tr>
      <w:tr w:rsidR="00AC5413" w:rsidRPr="000971B9" w14:paraId="340F7DA6" w14:textId="77777777" w:rsidTr="006E1748">
        <w:trPr>
          <w:trHeight w:val="147"/>
        </w:trPr>
        <w:tc>
          <w:tcPr>
            <w:tcW w:w="1278" w:type="pct"/>
          </w:tcPr>
          <w:p w14:paraId="15491F36" w14:textId="77777777" w:rsidR="001B3B55" w:rsidRPr="000971B9" w:rsidRDefault="001B3B55" w:rsidP="001B3B55">
            <w:pPr>
              <w:rPr>
                <w:rFonts w:ascii="Arial" w:hAnsi="Arial" w:cs="Arial"/>
                <w:sz w:val="24"/>
                <w:szCs w:val="24"/>
              </w:rPr>
            </w:pPr>
            <w:r w:rsidRPr="000971B9">
              <w:rPr>
                <w:rFonts w:ascii="Arial" w:hAnsi="Arial" w:cs="Arial"/>
                <w:sz w:val="24"/>
                <w:szCs w:val="24"/>
              </w:rPr>
              <w:t>France</w:t>
            </w:r>
          </w:p>
        </w:tc>
        <w:tc>
          <w:tcPr>
            <w:tcW w:w="792" w:type="pct"/>
          </w:tcPr>
          <w:p w14:paraId="313F20FA" w14:textId="77777777" w:rsidR="001B3B55" w:rsidRPr="000971B9" w:rsidRDefault="00C715AF" w:rsidP="001B3B55">
            <w:pPr>
              <w:jc w:val="right"/>
              <w:rPr>
                <w:rFonts w:ascii="Arial" w:hAnsi="Arial" w:cs="Arial"/>
                <w:sz w:val="24"/>
                <w:szCs w:val="24"/>
              </w:rPr>
            </w:pPr>
            <w:r>
              <w:rPr>
                <w:rFonts w:ascii="Arial" w:hAnsi="Arial" w:cs="Arial"/>
                <w:sz w:val="24"/>
                <w:szCs w:val="24"/>
              </w:rPr>
              <w:t>4,132</w:t>
            </w:r>
          </w:p>
        </w:tc>
        <w:tc>
          <w:tcPr>
            <w:tcW w:w="658" w:type="pct"/>
          </w:tcPr>
          <w:p w14:paraId="5DE0DFCD" w14:textId="77777777" w:rsidR="001B3B55" w:rsidRPr="000971B9" w:rsidRDefault="00E628CC" w:rsidP="001B3B55">
            <w:pPr>
              <w:jc w:val="right"/>
              <w:rPr>
                <w:rFonts w:ascii="Arial" w:hAnsi="Arial" w:cs="Arial"/>
                <w:sz w:val="24"/>
                <w:szCs w:val="24"/>
              </w:rPr>
            </w:pPr>
            <w:r w:rsidRPr="00EE69A6">
              <w:rPr>
                <w:rFonts w:ascii="Arial" w:hAnsi="Arial" w:cs="Arial"/>
                <w:sz w:val="24"/>
                <w:szCs w:val="24"/>
              </w:rPr>
              <w:t>4,423</w:t>
            </w:r>
          </w:p>
        </w:tc>
        <w:tc>
          <w:tcPr>
            <w:tcW w:w="907" w:type="pct"/>
          </w:tcPr>
          <w:p w14:paraId="16F6922B" w14:textId="77777777" w:rsidR="001B3B55" w:rsidRPr="000971B9" w:rsidRDefault="00C715AF" w:rsidP="001B3B55">
            <w:pPr>
              <w:jc w:val="right"/>
              <w:rPr>
                <w:rFonts w:ascii="Arial" w:hAnsi="Arial" w:cs="Arial"/>
                <w:sz w:val="24"/>
                <w:szCs w:val="24"/>
              </w:rPr>
            </w:pPr>
            <w:r>
              <w:rPr>
                <w:rFonts w:ascii="Arial" w:hAnsi="Arial" w:cs="Arial"/>
                <w:sz w:val="24"/>
                <w:szCs w:val="24"/>
              </w:rPr>
              <w:t>(6.6)</w:t>
            </w:r>
            <w:r w:rsidR="00DB7164" w:rsidRPr="000971B9">
              <w:rPr>
                <w:rFonts w:ascii="Arial" w:hAnsi="Arial" w:cs="Arial"/>
                <w:sz w:val="24"/>
                <w:szCs w:val="24"/>
              </w:rPr>
              <w:t>%</w:t>
            </w:r>
          </w:p>
        </w:tc>
        <w:tc>
          <w:tcPr>
            <w:tcW w:w="823" w:type="pct"/>
          </w:tcPr>
          <w:p w14:paraId="0C52352B" w14:textId="77777777" w:rsidR="001B3B55" w:rsidRPr="000971B9" w:rsidRDefault="00C715AF" w:rsidP="001B3B55">
            <w:pPr>
              <w:jc w:val="right"/>
              <w:rPr>
                <w:rFonts w:ascii="Arial" w:hAnsi="Arial" w:cs="Arial"/>
                <w:sz w:val="24"/>
                <w:szCs w:val="24"/>
              </w:rPr>
            </w:pPr>
            <w:r>
              <w:rPr>
                <w:rFonts w:ascii="Arial" w:hAnsi="Arial" w:cs="Arial"/>
                <w:sz w:val="24"/>
                <w:szCs w:val="24"/>
              </w:rPr>
              <w:t>(1.0)</w:t>
            </w:r>
            <w:r w:rsidR="00DB7164" w:rsidRPr="000971B9">
              <w:rPr>
                <w:rFonts w:ascii="Arial" w:hAnsi="Arial" w:cs="Arial"/>
                <w:sz w:val="24"/>
                <w:szCs w:val="24"/>
              </w:rPr>
              <w:t>%</w:t>
            </w:r>
          </w:p>
        </w:tc>
        <w:tc>
          <w:tcPr>
            <w:tcW w:w="541" w:type="pct"/>
          </w:tcPr>
          <w:p w14:paraId="48CE7947" w14:textId="77777777" w:rsidR="001B3B55" w:rsidRPr="000971B9" w:rsidRDefault="00C715AF" w:rsidP="001B3B55">
            <w:pPr>
              <w:jc w:val="right"/>
              <w:rPr>
                <w:rFonts w:ascii="Arial" w:hAnsi="Arial" w:cs="Arial"/>
                <w:sz w:val="24"/>
                <w:szCs w:val="24"/>
              </w:rPr>
            </w:pPr>
            <w:r>
              <w:rPr>
                <w:rFonts w:ascii="Arial" w:hAnsi="Arial" w:cs="Arial"/>
                <w:sz w:val="24"/>
                <w:szCs w:val="24"/>
              </w:rPr>
              <w:t>(2.3)</w:t>
            </w:r>
            <w:r w:rsidR="00DB7164" w:rsidRPr="000971B9">
              <w:rPr>
                <w:rFonts w:ascii="Arial" w:hAnsi="Arial" w:cs="Arial"/>
                <w:sz w:val="24"/>
                <w:szCs w:val="24"/>
              </w:rPr>
              <w:t>%</w:t>
            </w:r>
          </w:p>
        </w:tc>
      </w:tr>
    </w:tbl>
    <w:p w14:paraId="51540F83" w14:textId="77777777" w:rsidR="001B3B55" w:rsidRPr="000971B9" w:rsidRDefault="001B3B55" w:rsidP="001B3B55">
      <w:pPr>
        <w:rPr>
          <w:rFonts w:ascii="Arial" w:hAnsi="Arial" w:cs="Arial"/>
          <w:b/>
          <w:bCs/>
          <w:sz w:val="24"/>
          <w:szCs w:val="24"/>
        </w:rPr>
      </w:pPr>
    </w:p>
    <w:tbl>
      <w:tblPr>
        <w:tblW w:w="43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502"/>
        <w:gridCol w:w="1232"/>
        <w:gridCol w:w="1687"/>
        <w:gridCol w:w="1522"/>
      </w:tblGrid>
      <w:tr w:rsidR="00AC5413" w:rsidRPr="000971B9" w14:paraId="4816088E" w14:textId="77777777" w:rsidTr="001B3B55">
        <w:tc>
          <w:tcPr>
            <w:tcW w:w="1424" w:type="pct"/>
          </w:tcPr>
          <w:p w14:paraId="20E3F600" w14:textId="77777777" w:rsidR="001B3B55" w:rsidRPr="000971B9" w:rsidRDefault="001B3B55" w:rsidP="001B3B55">
            <w:pPr>
              <w:rPr>
                <w:rFonts w:ascii="Arial" w:hAnsi="Arial" w:cs="Arial"/>
                <w:b/>
                <w:bCs/>
                <w:sz w:val="24"/>
                <w:szCs w:val="24"/>
              </w:rPr>
            </w:pPr>
            <w:r w:rsidRPr="000971B9">
              <w:rPr>
                <w:rFonts w:ascii="Arial" w:hAnsi="Arial" w:cs="Arial"/>
                <w:b/>
                <w:bCs/>
                <w:sz w:val="24"/>
                <w:szCs w:val="24"/>
              </w:rPr>
              <w:t>Retail profit £m</w:t>
            </w:r>
          </w:p>
        </w:tc>
        <w:tc>
          <w:tcPr>
            <w:tcW w:w="904" w:type="pct"/>
          </w:tcPr>
          <w:p w14:paraId="64611692" w14:textId="77777777" w:rsidR="001B3B55" w:rsidRPr="000971B9" w:rsidRDefault="00AC5413" w:rsidP="001B3B55">
            <w:pPr>
              <w:jc w:val="right"/>
              <w:rPr>
                <w:rFonts w:ascii="Arial" w:hAnsi="Arial" w:cs="Arial"/>
                <w:b/>
                <w:bCs/>
                <w:sz w:val="24"/>
                <w:szCs w:val="24"/>
              </w:rPr>
            </w:pPr>
            <w:r w:rsidRPr="000971B9">
              <w:rPr>
                <w:rFonts w:ascii="Arial" w:hAnsi="Arial" w:cs="Arial"/>
                <w:b/>
                <w:bCs/>
                <w:sz w:val="24"/>
                <w:szCs w:val="24"/>
              </w:rPr>
              <w:t>201</w:t>
            </w:r>
            <w:r w:rsidR="00E628CC">
              <w:rPr>
                <w:rFonts w:ascii="Arial" w:hAnsi="Arial" w:cs="Arial"/>
                <w:b/>
                <w:bCs/>
                <w:sz w:val="24"/>
                <w:szCs w:val="24"/>
              </w:rPr>
              <w:t>4</w:t>
            </w:r>
            <w:r w:rsidRPr="000971B9">
              <w:rPr>
                <w:rFonts w:ascii="Arial" w:hAnsi="Arial" w:cs="Arial"/>
                <w:b/>
                <w:bCs/>
                <w:sz w:val="24"/>
                <w:szCs w:val="24"/>
              </w:rPr>
              <w:t>/1</w:t>
            </w:r>
            <w:r w:rsidR="00E628CC">
              <w:rPr>
                <w:rFonts w:ascii="Arial" w:hAnsi="Arial" w:cs="Arial"/>
                <w:b/>
                <w:bCs/>
                <w:sz w:val="24"/>
                <w:szCs w:val="24"/>
              </w:rPr>
              <w:t>5</w:t>
            </w:r>
          </w:p>
        </w:tc>
        <w:tc>
          <w:tcPr>
            <w:tcW w:w="741" w:type="pct"/>
          </w:tcPr>
          <w:p w14:paraId="7BABBE32" w14:textId="77777777" w:rsidR="001B3B55" w:rsidRPr="000971B9" w:rsidRDefault="00AC5413" w:rsidP="001B3B55">
            <w:pPr>
              <w:jc w:val="right"/>
              <w:rPr>
                <w:rFonts w:ascii="Arial" w:hAnsi="Arial" w:cs="Arial"/>
                <w:b/>
                <w:bCs/>
                <w:sz w:val="24"/>
                <w:szCs w:val="24"/>
              </w:rPr>
            </w:pPr>
            <w:r w:rsidRPr="000971B9">
              <w:rPr>
                <w:rFonts w:ascii="Arial" w:hAnsi="Arial" w:cs="Arial"/>
                <w:b/>
                <w:bCs/>
                <w:sz w:val="24"/>
                <w:szCs w:val="24"/>
              </w:rPr>
              <w:t>201</w:t>
            </w:r>
            <w:r w:rsidR="00E628CC">
              <w:rPr>
                <w:rFonts w:ascii="Arial" w:hAnsi="Arial" w:cs="Arial"/>
                <w:b/>
                <w:bCs/>
                <w:sz w:val="24"/>
                <w:szCs w:val="24"/>
              </w:rPr>
              <w:t>3</w:t>
            </w:r>
            <w:r w:rsidRPr="000971B9">
              <w:rPr>
                <w:rFonts w:ascii="Arial" w:hAnsi="Arial" w:cs="Arial"/>
                <w:b/>
                <w:bCs/>
                <w:sz w:val="24"/>
                <w:szCs w:val="24"/>
              </w:rPr>
              <w:t>/1</w:t>
            </w:r>
            <w:r w:rsidR="00E628CC">
              <w:rPr>
                <w:rFonts w:ascii="Arial" w:hAnsi="Arial" w:cs="Arial"/>
                <w:b/>
                <w:bCs/>
                <w:sz w:val="24"/>
                <w:szCs w:val="24"/>
              </w:rPr>
              <w:t>4</w:t>
            </w:r>
          </w:p>
        </w:tc>
        <w:tc>
          <w:tcPr>
            <w:tcW w:w="1015" w:type="pct"/>
          </w:tcPr>
          <w:p w14:paraId="06AC783B" w14:textId="77777777" w:rsidR="00197636" w:rsidRPr="000971B9" w:rsidRDefault="00197636" w:rsidP="00197636">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218D30D9" w14:textId="77777777" w:rsidR="001B3B55" w:rsidRPr="000971B9" w:rsidRDefault="001B3B55" w:rsidP="00F223EE">
            <w:pPr>
              <w:jc w:val="right"/>
              <w:rPr>
                <w:rFonts w:ascii="Arial" w:hAnsi="Arial" w:cs="Arial"/>
                <w:b/>
                <w:bCs/>
                <w:sz w:val="24"/>
                <w:szCs w:val="24"/>
              </w:rPr>
            </w:pPr>
            <w:r w:rsidRPr="000971B9">
              <w:rPr>
                <w:rFonts w:ascii="Arial" w:hAnsi="Arial" w:cs="Arial"/>
                <w:b/>
                <w:bCs/>
                <w:sz w:val="24"/>
                <w:szCs w:val="24"/>
              </w:rPr>
              <w:t xml:space="preserve"> </w:t>
            </w:r>
          </w:p>
        </w:tc>
        <w:tc>
          <w:tcPr>
            <w:tcW w:w="916" w:type="pct"/>
          </w:tcPr>
          <w:p w14:paraId="4097BE43" w14:textId="77777777" w:rsidR="00197636" w:rsidRPr="000971B9" w:rsidRDefault="00197636" w:rsidP="00197636">
            <w:pPr>
              <w:ind w:left="-132"/>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186AEA7B" w14:textId="77777777" w:rsidR="00197636" w:rsidRDefault="00197636" w:rsidP="00197636">
            <w:pPr>
              <w:jc w:val="right"/>
              <w:rPr>
                <w:rFonts w:ascii="Arial" w:hAnsi="Arial" w:cs="Arial"/>
                <w:b/>
                <w:bCs/>
                <w:sz w:val="24"/>
                <w:szCs w:val="24"/>
              </w:rPr>
            </w:pPr>
            <w:r>
              <w:rPr>
                <w:rFonts w:ascii="Arial" w:hAnsi="Arial" w:cs="Arial"/>
                <w:b/>
                <w:bCs/>
                <w:sz w:val="24"/>
                <w:szCs w:val="24"/>
              </w:rPr>
              <w:t>Currency</w:t>
            </w:r>
          </w:p>
          <w:p w14:paraId="58B237DD" w14:textId="77777777" w:rsidR="001B3B55" w:rsidRPr="000971B9" w:rsidRDefault="00197636" w:rsidP="00197636">
            <w:pPr>
              <w:jc w:val="right"/>
              <w:rPr>
                <w:rFonts w:ascii="Arial" w:hAnsi="Arial" w:cs="Arial"/>
                <w:b/>
                <w:bCs/>
                <w:sz w:val="24"/>
                <w:szCs w:val="24"/>
              </w:rPr>
            </w:pPr>
            <w:r w:rsidRPr="000971B9">
              <w:rPr>
                <w:rFonts w:ascii="Arial" w:hAnsi="Arial" w:cs="Arial"/>
                <w:b/>
                <w:bCs/>
                <w:sz w:val="24"/>
                <w:szCs w:val="24"/>
              </w:rPr>
              <w:t>Change</w:t>
            </w:r>
          </w:p>
        </w:tc>
      </w:tr>
      <w:tr w:rsidR="00AC5413" w:rsidRPr="000971B9" w14:paraId="5C53526A" w14:textId="77777777" w:rsidTr="001B3B55">
        <w:tc>
          <w:tcPr>
            <w:tcW w:w="1424" w:type="pct"/>
          </w:tcPr>
          <w:p w14:paraId="1052FF50" w14:textId="77777777" w:rsidR="001B3B55" w:rsidRPr="000971B9" w:rsidRDefault="001B3B55" w:rsidP="001B3B55">
            <w:pPr>
              <w:rPr>
                <w:rFonts w:ascii="Arial" w:hAnsi="Arial" w:cs="Arial"/>
                <w:sz w:val="24"/>
                <w:szCs w:val="24"/>
              </w:rPr>
            </w:pPr>
            <w:r w:rsidRPr="000971B9">
              <w:rPr>
                <w:rFonts w:ascii="Arial" w:hAnsi="Arial" w:cs="Arial"/>
                <w:sz w:val="24"/>
                <w:szCs w:val="24"/>
              </w:rPr>
              <w:t>France</w:t>
            </w:r>
          </w:p>
        </w:tc>
        <w:tc>
          <w:tcPr>
            <w:tcW w:w="904" w:type="pct"/>
          </w:tcPr>
          <w:p w14:paraId="5B195DBA" w14:textId="77777777" w:rsidR="001B3B55" w:rsidRPr="000971B9" w:rsidRDefault="00FA19C2" w:rsidP="001B3B55">
            <w:pPr>
              <w:jc w:val="right"/>
              <w:rPr>
                <w:rFonts w:ascii="Arial" w:hAnsi="Arial" w:cs="Arial"/>
                <w:sz w:val="24"/>
                <w:szCs w:val="24"/>
              </w:rPr>
            </w:pPr>
            <w:r>
              <w:rPr>
                <w:rFonts w:ascii="Arial" w:hAnsi="Arial" w:cs="Arial"/>
                <w:sz w:val="24"/>
                <w:szCs w:val="24"/>
              </w:rPr>
              <w:t>34</w:t>
            </w:r>
            <w:r w:rsidR="00AB5F99">
              <w:rPr>
                <w:rFonts w:ascii="Arial" w:hAnsi="Arial" w:cs="Arial"/>
                <w:sz w:val="24"/>
                <w:szCs w:val="24"/>
              </w:rPr>
              <w:t>9</w:t>
            </w:r>
          </w:p>
        </w:tc>
        <w:tc>
          <w:tcPr>
            <w:tcW w:w="741" w:type="pct"/>
          </w:tcPr>
          <w:p w14:paraId="772D9537" w14:textId="77777777" w:rsidR="001B3B55" w:rsidRPr="000971B9" w:rsidRDefault="00E628CC" w:rsidP="001B3B55">
            <w:pPr>
              <w:jc w:val="right"/>
              <w:rPr>
                <w:rFonts w:ascii="Arial" w:hAnsi="Arial" w:cs="Arial"/>
                <w:sz w:val="24"/>
                <w:szCs w:val="24"/>
              </w:rPr>
            </w:pPr>
            <w:r w:rsidRPr="00DD3E8E">
              <w:rPr>
                <w:rFonts w:ascii="Arial" w:hAnsi="Arial" w:cs="Arial"/>
                <w:sz w:val="24"/>
                <w:szCs w:val="24"/>
              </w:rPr>
              <w:t>396</w:t>
            </w:r>
          </w:p>
        </w:tc>
        <w:tc>
          <w:tcPr>
            <w:tcW w:w="1015" w:type="pct"/>
          </w:tcPr>
          <w:p w14:paraId="2AC2475B" w14:textId="77777777" w:rsidR="001B3B55" w:rsidRPr="000971B9" w:rsidRDefault="00FA19C2" w:rsidP="001B3B55">
            <w:pPr>
              <w:jc w:val="right"/>
              <w:rPr>
                <w:rFonts w:ascii="Arial" w:hAnsi="Arial" w:cs="Arial"/>
                <w:sz w:val="24"/>
                <w:szCs w:val="24"/>
              </w:rPr>
            </w:pPr>
            <w:r>
              <w:rPr>
                <w:rFonts w:ascii="Arial" w:hAnsi="Arial" w:cs="Arial"/>
                <w:sz w:val="24"/>
                <w:szCs w:val="24"/>
              </w:rPr>
              <w:t>(1</w:t>
            </w:r>
            <w:r w:rsidR="00AB5F99">
              <w:rPr>
                <w:rFonts w:ascii="Arial" w:hAnsi="Arial" w:cs="Arial"/>
                <w:sz w:val="24"/>
                <w:szCs w:val="24"/>
              </w:rPr>
              <w:t>1</w:t>
            </w:r>
            <w:r>
              <w:rPr>
                <w:rFonts w:ascii="Arial" w:hAnsi="Arial" w:cs="Arial"/>
                <w:sz w:val="24"/>
                <w:szCs w:val="24"/>
              </w:rPr>
              <w:t>.</w:t>
            </w:r>
            <w:r w:rsidR="00AB5F99">
              <w:rPr>
                <w:rFonts w:ascii="Arial" w:hAnsi="Arial" w:cs="Arial"/>
                <w:sz w:val="24"/>
                <w:szCs w:val="24"/>
              </w:rPr>
              <w:t>8</w:t>
            </w:r>
            <w:r>
              <w:rPr>
                <w:rFonts w:ascii="Arial" w:hAnsi="Arial" w:cs="Arial"/>
                <w:sz w:val="24"/>
                <w:szCs w:val="24"/>
              </w:rPr>
              <w:t>)</w:t>
            </w:r>
            <w:r w:rsidR="00DB7164" w:rsidRPr="000971B9">
              <w:rPr>
                <w:rFonts w:ascii="Arial" w:hAnsi="Arial" w:cs="Arial"/>
                <w:sz w:val="24"/>
                <w:szCs w:val="24"/>
              </w:rPr>
              <w:t>%</w:t>
            </w:r>
          </w:p>
        </w:tc>
        <w:tc>
          <w:tcPr>
            <w:tcW w:w="916" w:type="pct"/>
          </w:tcPr>
          <w:p w14:paraId="7A3848F2" w14:textId="77777777" w:rsidR="001B3B55" w:rsidRPr="000971B9" w:rsidRDefault="00FA19C2" w:rsidP="001B3B55">
            <w:pPr>
              <w:jc w:val="right"/>
              <w:rPr>
                <w:rFonts w:ascii="Arial" w:hAnsi="Arial" w:cs="Arial"/>
                <w:sz w:val="24"/>
                <w:szCs w:val="24"/>
              </w:rPr>
            </w:pPr>
            <w:r>
              <w:rPr>
                <w:rFonts w:ascii="Arial" w:hAnsi="Arial" w:cs="Arial"/>
                <w:sz w:val="24"/>
                <w:szCs w:val="24"/>
              </w:rPr>
              <w:t>(6.</w:t>
            </w:r>
            <w:r w:rsidR="00AB5F99">
              <w:rPr>
                <w:rFonts w:ascii="Arial" w:hAnsi="Arial" w:cs="Arial"/>
                <w:sz w:val="24"/>
                <w:szCs w:val="24"/>
              </w:rPr>
              <w:t>5</w:t>
            </w:r>
            <w:r>
              <w:rPr>
                <w:rFonts w:ascii="Arial" w:hAnsi="Arial" w:cs="Arial"/>
                <w:sz w:val="24"/>
                <w:szCs w:val="24"/>
              </w:rPr>
              <w:t>)</w:t>
            </w:r>
            <w:r w:rsidR="00DB7164" w:rsidRPr="000971B9">
              <w:rPr>
                <w:rFonts w:ascii="Arial" w:hAnsi="Arial" w:cs="Arial"/>
                <w:sz w:val="24"/>
                <w:szCs w:val="24"/>
              </w:rPr>
              <w:t>%</w:t>
            </w:r>
          </w:p>
        </w:tc>
      </w:tr>
    </w:tbl>
    <w:p w14:paraId="335D6FDF" w14:textId="77777777" w:rsidR="00BC059C" w:rsidRPr="000971B9" w:rsidRDefault="00BC059C" w:rsidP="001B3B55">
      <w:pPr>
        <w:jc w:val="left"/>
        <w:rPr>
          <w:rFonts w:ascii="Arial" w:hAnsi="Arial" w:cs="Arial"/>
          <w:b/>
          <w:bCs/>
          <w:sz w:val="24"/>
          <w:szCs w:val="24"/>
        </w:rPr>
      </w:pPr>
    </w:p>
    <w:p w14:paraId="22998233" w14:textId="68DF3B1A" w:rsidR="005721EA" w:rsidRDefault="00BC059C" w:rsidP="001B3B55">
      <w:pPr>
        <w:jc w:val="left"/>
        <w:rPr>
          <w:rFonts w:ascii="Arial" w:hAnsi="Arial" w:cs="Arial"/>
          <w:bCs/>
          <w:sz w:val="24"/>
          <w:szCs w:val="24"/>
        </w:rPr>
      </w:pPr>
      <w:r w:rsidRPr="000971B9">
        <w:rPr>
          <w:rFonts w:ascii="Arial" w:hAnsi="Arial" w:cs="Arial"/>
          <w:bCs/>
          <w:sz w:val="24"/>
          <w:szCs w:val="24"/>
        </w:rPr>
        <w:t>Kin</w:t>
      </w:r>
      <w:r w:rsidR="00B02528" w:rsidRPr="000971B9">
        <w:rPr>
          <w:rFonts w:ascii="Arial" w:hAnsi="Arial" w:cs="Arial"/>
          <w:bCs/>
          <w:sz w:val="24"/>
          <w:szCs w:val="24"/>
        </w:rPr>
        <w:t xml:space="preserve">gfisher France sales </w:t>
      </w:r>
      <w:r w:rsidR="005721EA">
        <w:rPr>
          <w:rFonts w:ascii="Arial" w:hAnsi="Arial" w:cs="Arial"/>
          <w:bCs/>
          <w:sz w:val="24"/>
          <w:szCs w:val="24"/>
        </w:rPr>
        <w:t xml:space="preserve">declined by </w:t>
      </w:r>
      <w:r w:rsidR="00C92A47">
        <w:rPr>
          <w:rFonts w:ascii="Arial" w:hAnsi="Arial" w:cs="Arial"/>
          <w:bCs/>
          <w:sz w:val="24"/>
          <w:szCs w:val="24"/>
        </w:rPr>
        <w:t xml:space="preserve">1.0% (-2.3% LFL) to £4,132 million in an ongoing soft market impacted by weak consumer confidence and a declining housing and construction market. </w:t>
      </w:r>
    </w:p>
    <w:p w14:paraId="76249D3D" w14:textId="77777777" w:rsidR="00C92A47" w:rsidRDefault="00C92A47" w:rsidP="001B3B55">
      <w:pPr>
        <w:jc w:val="left"/>
        <w:rPr>
          <w:rFonts w:ascii="Arial" w:hAnsi="Arial" w:cs="Arial"/>
          <w:bCs/>
          <w:sz w:val="24"/>
          <w:szCs w:val="24"/>
        </w:rPr>
      </w:pPr>
    </w:p>
    <w:p w14:paraId="75B12EA2" w14:textId="57ECC017" w:rsidR="00C92A47" w:rsidRDefault="00C92A47" w:rsidP="001B3B55">
      <w:pPr>
        <w:jc w:val="left"/>
        <w:rPr>
          <w:rFonts w:ascii="Arial" w:hAnsi="Arial" w:cs="Arial"/>
          <w:bCs/>
          <w:sz w:val="24"/>
          <w:szCs w:val="24"/>
        </w:rPr>
      </w:pPr>
      <w:r>
        <w:rPr>
          <w:rFonts w:ascii="Arial" w:hAnsi="Arial" w:cs="Arial"/>
          <w:bCs/>
          <w:sz w:val="24"/>
          <w:szCs w:val="24"/>
        </w:rPr>
        <w:t xml:space="preserve">Across the two businesses, </w:t>
      </w:r>
      <w:r w:rsidR="00932F2E">
        <w:rPr>
          <w:rFonts w:ascii="Arial" w:hAnsi="Arial" w:cs="Arial"/>
          <w:bCs/>
          <w:sz w:val="24"/>
          <w:szCs w:val="24"/>
        </w:rPr>
        <w:t xml:space="preserve">three net new stores were opened, three were revamped, and two Castorama stores were converted to Brico Dépôt, adding around 2% new space. </w:t>
      </w:r>
      <w:r w:rsidR="00435570">
        <w:rPr>
          <w:rFonts w:ascii="Arial" w:hAnsi="Arial" w:cs="Arial"/>
          <w:bCs/>
          <w:sz w:val="24"/>
          <w:szCs w:val="24"/>
        </w:rPr>
        <w:t xml:space="preserve">‘Click, pay &amp; collect’ omnichannel capability </w:t>
      </w:r>
      <w:r w:rsidR="00DA44A8">
        <w:rPr>
          <w:rFonts w:ascii="Arial" w:hAnsi="Arial" w:cs="Arial"/>
          <w:bCs/>
          <w:sz w:val="24"/>
          <w:szCs w:val="24"/>
        </w:rPr>
        <w:t>had been</w:t>
      </w:r>
      <w:r w:rsidR="00435570">
        <w:rPr>
          <w:rFonts w:ascii="Arial" w:hAnsi="Arial" w:cs="Arial"/>
          <w:bCs/>
          <w:sz w:val="24"/>
          <w:szCs w:val="24"/>
        </w:rPr>
        <w:t xml:space="preserve"> rolled out to</w:t>
      </w:r>
      <w:r w:rsidR="00B63B5B">
        <w:rPr>
          <w:rFonts w:ascii="Arial" w:hAnsi="Arial" w:cs="Arial"/>
          <w:bCs/>
          <w:sz w:val="24"/>
          <w:szCs w:val="24"/>
        </w:rPr>
        <w:t xml:space="preserve"> 34</w:t>
      </w:r>
      <w:r w:rsidR="00435570">
        <w:rPr>
          <w:rFonts w:ascii="Arial" w:hAnsi="Arial" w:cs="Arial"/>
          <w:bCs/>
          <w:sz w:val="24"/>
          <w:szCs w:val="24"/>
        </w:rPr>
        <w:t xml:space="preserve"> stores</w:t>
      </w:r>
      <w:r w:rsidR="00FB41EA">
        <w:rPr>
          <w:rFonts w:ascii="Arial" w:hAnsi="Arial" w:cs="Arial"/>
          <w:bCs/>
          <w:sz w:val="24"/>
          <w:szCs w:val="24"/>
        </w:rPr>
        <w:t xml:space="preserve"> </w:t>
      </w:r>
      <w:r w:rsidR="00A93153">
        <w:rPr>
          <w:rFonts w:ascii="Arial" w:hAnsi="Arial" w:cs="Arial"/>
          <w:bCs/>
          <w:sz w:val="24"/>
          <w:szCs w:val="24"/>
        </w:rPr>
        <w:t xml:space="preserve">by </w:t>
      </w:r>
      <w:r w:rsidR="0056355B">
        <w:rPr>
          <w:rFonts w:ascii="Arial" w:hAnsi="Arial" w:cs="Arial"/>
          <w:bCs/>
          <w:sz w:val="24"/>
          <w:szCs w:val="24"/>
        </w:rPr>
        <w:t xml:space="preserve">the end of </w:t>
      </w:r>
      <w:r w:rsidR="00FB41EA">
        <w:rPr>
          <w:rFonts w:ascii="Arial" w:hAnsi="Arial" w:cs="Arial"/>
          <w:bCs/>
          <w:sz w:val="24"/>
          <w:szCs w:val="24"/>
        </w:rPr>
        <w:t>the year.</w:t>
      </w:r>
    </w:p>
    <w:p w14:paraId="2956F843" w14:textId="77777777" w:rsidR="00FA1FDE" w:rsidRPr="000971B9" w:rsidRDefault="00FA1FDE" w:rsidP="001B3B55">
      <w:pPr>
        <w:jc w:val="left"/>
        <w:rPr>
          <w:rFonts w:ascii="Arial" w:hAnsi="Arial" w:cs="Arial"/>
          <w:bCs/>
          <w:sz w:val="24"/>
          <w:szCs w:val="24"/>
        </w:rPr>
      </w:pPr>
    </w:p>
    <w:p w14:paraId="087EDC1D" w14:textId="77777777" w:rsidR="00B02528" w:rsidRPr="000971B9" w:rsidRDefault="00B02528" w:rsidP="001B3B55">
      <w:pPr>
        <w:jc w:val="left"/>
        <w:rPr>
          <w:rFonts w:ascii="Arial" w:hAnsi="Arial" w:cs="Arial"/>
          <w:bCs/>
          <w:sz w:val="24"/>
          <w:szCs w:val="24"/>
        </w:rPr>
      </w:pPr>
      <w:r w:rsidRPr="000971B9">
        <w:rPr>
          <w:rFonts w:ascii="Arial" w:hAnsi="Arial" w:cs="Arial"/>
          <w:bCs/>
          <w:sz w:val="24"/>
          <w:szCs w:val="24"/>
        </w:rPr>
        <w:t xml:space="preserve">Gross margins were </w:t>
      </w:r>
      <w:r w:rsidRPr="0054624C">
        <w:rPr>
          <w:rFonts w:ascii="Arial" w:hAnsi="Arial" w:cs="Arial"/>
          <w:bCs/>
          <w:sz w:val="24"/>
          <w:szCs w:val="24"/>
        </w:rPr>
        <w:t xml:space="preserve">down </w:t>
      </w:r>
      <w:r w:rsidR="00A13DB5" w:rsidRPr="0054624C">
        <w:rPr>
          <w:rFonts w:ascii="Arial" w:hAnsi="Arial" w:cs="Arial"/>
          <w:bCs/>
          <w:sz w:val="24"/>
          <w:szCs w:val="24"/>
        </w:rPr>
        <w:t>1</w:t>
      </w:r>
      <w:r w:rsidRPr="0054624C">
        <w:rPr>
          <w:rFonts w:ascii="Arial" w:hAnsi="Arial" w:cs="Arial"/>
          <w:bCs/>
          <w:sz w:val="24"/>
          <w:szCs w:val="24"/>
        </w:rPr>
        <w:t>0 basis</w:t>
      </w:r>
      <w:r w:rsidRPr="000971B9">
        <w:rPr>
          <w:rFonts w:ascii="Arial" w:hAnsi="Arial" w:cs="Arial"/>
          <w:bCs/>
          <w:sz w:val="24"/>
          <w:szCs w:val="24"/>
        </w:rPr>
        <w:t xml:space="preserve"> points, with on-going self-help initiatives offset by higher price promotional activity</w:t>
      </w:r>
      <w:r w:rsidR="00A13DB5">
        <w:rPr>
          <w:rFonts w:ascii="Arial" w:hAnsi="Arial" w:cs="Arial"/>
          <w:bCs/>
          <w:sz w:val="24"/>
          <w:szCs w:val="24"/>
        </w:rPr>
        <w:t>.</w:t>
      </w:r>
      <w:r w:rsidR="00EA2F66" w:rsidRPr="000971B9">
        <w:rPr>
          <w:rFonts w:ascii="Arial" w:hAnsi="Arial" w:cs="Arial"/>
          <w:bCs/>
          <w:sz w:val="24"/>
          <w:szCs w:val="24"/>
        </w:rPr>
        <w:t xml:space="preserve"> </w:t>
      </w:r>
      <w:r w:rsidR="00A13DB5">
        <w:rPr>
          <w:rFonts w:ascii="Arial" w:hAnsi="Arial" w:cs="Arial"/>
          <w:bCs/>
          <w:sz w:val="24"/>
          <w:szCs w:val="24"/>
        </w:rPr>
        <w:t>Despite continued</w:t>
      </w:r>
      <w:r w:rsidRPr="000971B9">
        <w:rPr>
          <w:rFonts w:ascii="Arial" w:hAnsi="Arial" w:cs="Arial"/>
          <w:bCs/>
          <w:sz w:val="24"/>
          <w:szCs w:val="24"/>
        </w:rPr>
        <w:t xml:space="preserve"> focu</w:t>
      </w:r>
      <w:r w:rsidR="00EA2F66" w:rsidRPr="000971B9">
        <w:rPr>
          <w:rFonts w:ascii="Arial" w:hAnsi="Arial" w:cs="Arial"/>
          <w:bCs/>
          <w:sz w:val="24"/>
          <w:szCs w:val="24"/>
        </w:rPr>
        <w:t xml:space="preserve">s on cost control including lower levels of variable pay, </w:t>
      </w:r>
      <w:r w:rsidR="00A13DB5">
        <w:rPr>
          <w:rFonts w:ascii="Arial" w:hAnsi="Arial" w:cs="Arial"/>
          <w:bCs/>
          <w:sz w:val="24"/>
          <w:szCs w:val="24"/>
        </w:rPr>
        <w:t xml:space="preserve">retail profit declined </w:t>
      </w:r>
      <w:r w:rsidR="00A13DB5" w:rsidRPr="0054624C">
        <w:rPr>
          <w:rFonts w:ascii="Arial" w:hAnsi="Arial" w:cs="Arial"/>
          <w:bCs/>
          <w:sz w:val="24"/>
          <w:szCs w:val="24"/>
        </w:rPr>
        <w:t>by 6.5</w:t>
      </w:r>
      <w:r w:rsidR="00EA2F66" w:rsidRPr="0054624C">
        <w:rPr>
          <w:rFonts w:ascii="Arial" w:hAnsi="Arial" w:cs="Arial"/>
          <w:bCs/>
          <w:sz w:val="24"/>
          <w:szCs w:val="24"/>
        </w:rPr>
        <w:t>%</w:t>
      </w:r>
      <w:r w:rsidR="00A13DB5">
        <w:rPr>
          <w:rFonts w:ascii="Arial" w:hAnsi="Arial" w:cs="Arial"/>
          <w:bCs/>
          <w:sz w:val="24"/>
          <w:szCs w:val="24"/>
        </w:rPr>
        <w:t xml:space="preserve"> to £349 million.</w:t>
      </w:r>
      <w:r w:rsidR="00EA2F66" w:rsidRPr="000971B9">
        <w:rPr>
          <w:rFonts w:ascii="Arial" w:hAnsi="Arial" w:cs="Arial"/>
          <w:bCs/>
          <w:sz w:val="24"/>
          <w:szCs w:val="24"/>
        </w:rPr>
        <w:t xml:space="preserve"> </w:t>
      </w:r>
      <w:r w:rsidRPr="000971B9">
        <w:rPr>
          <w:rFonts w:ascii="Arial" w:hAnsi="Arial" w:cs="Arial"/>
          <w:bCs/>
          <w:sz w:val="24"/>
          <w:szCs w:val="24"/>
        </w:rPr>
        <w:t xml:space="preserve"> </w:t>
      </w:r>
    </w:p>
    <w:p w14:paraId="05CEF9BD" w14:textId="77777777" w:rsidR="001B3B55" w:rsidRPr="000971B9" w:rsidRDefault="001B3B55" w:rsidP="001B3B55">
      <w:pPr>
        <w:jc w:val="left"/>
        <w:rPr>
          <w:rFonts w:ascii="Arial" w:hAnsi="Arial" w:cs="Arial"/>
          <w:color w:val="FF0000"/>
          <w:sz w:val="24"/>
          <w:szCs w:val="24"/>
        </w:rPr>
      </w:pPr>
    </w:p>
    <w:p w14:paraId="7F4EA052" w14:textId="6555FF63" w:rsidR="00A13DB5" w:rsidRPr="0054624C" w:rsidRDefault="001B3B55" w:rsidP="00A13DB5">
      <w:pPr>
        <w:jc w:val="left"/>
        <w:rPr>
          <w:rFonts w:ascii="Arial" w:hAnsi="Arial" w:cs="Arial"/>
          <w:sz w:val="24"/>
          <w:szCs w:val="24"/>
        </w:rPr>
      </w:pPr>
      <w:r w:rsidRPr="000971B9">
        <w:rPr>
          <w:rFonts w:ascii="Arial" w:hAnsi="Arial" w:cs="Arial"/>
          <w:b/>
          <w:bCs/>
          <w:sz w:val="24"/>
          <w:szCs w:val="24"/>
        </w:rPr>
        <w:t>Castorama</w:t>
      </w:r>
      <w:r w:rsidRPr="000971B9">
        <w:rPr>
          <w:rFonts w:ascii="Arial" w:hAnsi="Arial" w:cs="Arial"/>
          <w:sz w:val="24"/>
          <w:szCs w:val="24"/>
        </w:rPr>
        <w:t xml:space="preserve"> total sales </w:t>
      </w:r>
      <w:r w:rsidR="004A6A71">
        <w:rPr>
          <w:rFonts w:ascii="Arial" w:hAnsi="Arial" w:cs="Arial"/>
          <w:sz w:val="24"/>
          <w:szCs w:val="24"/>
        </w:rPr>
        <w:t xml:space="preserve">declined by 1.7% (-1.4% LFL) to £2,291 million. According </w:t>
      </w:r>
      <w:r w:rsidR="00773548" w:rsidRPr="000971B9">
        <w:rPr>
          <w:rFonts w:ascii="Arial" w:hAnsi="Arial" w:cs="Arial"/>
          <w:sz w:val="24"/>
          <w:szCs w:val="24"/>
        </w:rPr>
        <w:t xml:space="preserve">to </w:t>
      </w:r>
      <w:r w:rsidR="00773548" w:rsidRPr="0054624C">
        <w:rPr>
          <w:rFonts w:ascii="Arial" w:hAnsi="Arial" w:cs="Arial"/>
          <w:sz w:val="24"/>
          <w:szCs w:val="24"/>
        </w:rPr>
        <w:t>Banque d</w:t>
      </w:r>
      <w:r w:rsidR="00B835BF" w:rsidRPr="0054624C">
        <w:rPr>
          <w:rFonts w:ascii="Arial" w:hAnsi="Arial" w:cs="Arial"/>
          <w:sz w:val="24"/>
          <w:szCs w:val="24"/>
        </w:rPr>
        <w:t>e France data</w:t>
      </w:r>
      <w:r w:rsidR="00BE07B8" w:rsidRPr="0054624C">
        <w:rPr>
          <w:rFonts w:ascii="Arial" w:hAnsi="Arial" w:cs="Arial"/>
          <w:i/>
          <w:sz w:val="24"/>
          <w:szCs w:val="24"/>
          <w:vertAlign w:val="superscript"/>
        </w:rPr>
        <w:t>*</w:t>
      </w:r>
      <w:r w:rsidR="00B835BF" w:rsidRPr="0054624C">
        <w:rPr>
          <w:rFonts w:ascii="Arial" w:hAnsi="Arial" w:cs="Arial"/>
          <w:sz w:val="24"/>
          <w:szCs w:val="24"/>
        </w:rPr>
        <w:t>,</w:t>
      </w:r>
      <w:r w:rsidR="00773548" w:rsidRPr="0054624C">
        <w:rPr>
          <w:rFonts w:ascii="Arial" w:hAnsi="Arial" w:cs="Arial"/>
          <w:sz w:val="24"/>
          <w:szCs w:val="24"/>
        </w:rPr>
        <w:t xml:space="preserve"> sales for the home improvement market</w:t>
      </w:r>
      <w:r w:rsidR="00EA2F66" w:rsidRPr="0054624C">
        <w:rPr>
          <w:rFonts w:ascii="Arial" w:hAnsi="Arial" w:cs="Arial"/>
          <w:sz w:val="24"/>
          <w:szCs w:val="24"/>
        </w:rPr>
        <w:t xml:space="preserve"> were down </w:t>
      </w:r>
      <w:r w:rsidR="0076399E">
        <w:rPr>
          <w:rFonts w:ascii="Arial" w:hAnsi="Arial" w:cs="Arial"/>
          <w:sz w:val="24"/>
          <w:szCs w:val="24"/>
        </w:rPr>
        <w:t xml:space="preserve">around </w:t>
      </w:r>
      <w:r w:rsidR="00782368">
        <w:rPr>
          <w:rFonts w:ascii="Arial" w:hAnsi="Arial" w:cs="Arial"/>
          <w:sz w:val="24"/>
          <w:szCs w:val="24"/>
        </w:rPr>
        <w:t>1.5</w:t>
      </w:r>
      <w:r w:rsidR="00773548" w:rsidRPr="0054624C">
        <w:rPr>
          <w:rFonts w:ascii="Arial" w:hAnsi="Arial" w:cs="Arial"/>
          <w:sz w:val="24"/>
          <w:szCs w:val="24"/>
        </w:rPr>
        <w:t>%.</w:t>
      </w:r>
      <w:r w:rsidR="00CE56B3">
        <w:rPr>
          <w:rFonts w:ascii="Arial" w:hAnsi="Arial" w:cs="Arial"/>
          <w:sz w:val="24"/>
          <w:szCs w:val="24"/>
        </w:rPr>
        <w:t xml:space="preserve"> </w:t>
      </w:r>
      <w:r w:rsidR="003B5CDA">
        <w:rPr>
          <w:rFonts w:ascii="Arial" w:hAnsi="Arial" w:cs="Arial"/>
          <w:sz w:val="24"/>
          <w:szCs w:val="24"/>
        </w:rPr>
        <w:t xml:space="preserve">LFL </w:t>
      </w:r>
      <w:r w:rsidR="00435570" w:rsidRPr="0054624C">
        <w:rPr>
          <w:rFonts w:ascii="Arial" w:hAnsi="Arial" w:cs="Arial"/>
          <w:sz w:val="24"/>
          <w:szCs w:val="24"/>
        </w:rPr>
        <w:t>s</w:t>
      </w:r>
      <w:r w:rsidR="004A6A71" w:rsidRPr="0054624C">
        <w:rPr>
          <w:rFonts w:ascii="Arial" w:hAnsi="Arial" w:cs="Arial"/>
          <w:sz w:val="24"/>
          <w:szCs w:val="24"/>
        </w:rPr>
        <w:t xml:space="preserve">ales of </w:t>
      </w:r>
      <w:r w:rsidR="00D24001">
        <w:rPr>
          <w:rFonts w:ascii="Arial" w:hAnsi="Arial" w:cs="Arial"/>
          <w:sz w:val="24"/>
          <w:szCs w:val="24"/>
        </w:rPr>
        <w:t>out</w:t>
      </w:r>
      <w:r w:rsidR="001A38A9" w:rsidRPr="0054624C">
        <w:rPr>
          <w:rFonts w:ascii="Arial" w:hAnsi="Arial" w:cs="Arial"/>
          <w:sz w:val="24"/>
          <w:szCs w:val="24"/>
        </w:rPr>
        <w:t xml:space="preserve">door products were up </w:t>
      </w:r>
      <w:r w:rsidR="004A6A71" w:rsidRPr="0054624C">
        <w:rPr>
          <w:rFonts w:ascii="Arial" w:hAnsi="Arial" w:cs="Arial"/>
          <w:sz w:val="24"/>
          <w:szCs w:val="24"/>
        </w:rPr>
        <w:t>3</w:t>
      </w:r>
      <w:r w:rsidR="001A38A9" w:rsidRPr="0054624C">
        <w:rPr>
          <w:rFonts w:ascii="Arial" w:hAnsi="Arial" w:cs="Arial"/>
          <w:sz w:val="24"/>
          <w:szCs w:val="24"/>
        </w:rPr>
        <w:t>%</w:t>
      </w:r>
      <w:r w:rsidR="001F0AC0">
        <w:rPr>
          <w:rFonts w:ascii="Arial" w:hAnsi="Arial" w:cs="Arial"/>
          <w:sz w:val="24"/>
          <w:szCs w:val="24"/>
        </w:rPr>
        <w:t xml:space="preserve"> and s</w:t>
      </w:r>
      <w:r w:rsidR="004A6A71">
        <w:rPr>
          <w:rFonts w:ascii="Arial" w:hAnsi="Arial" w:cs="Arial"/>
          <w:sz w:val="24"/>
          <w:szCs w:val="24"/>
        </w:rPr>
        <w:t xml:space="preserve">ales of indoor and building products were </w:t>
      </w:r>
      <w:r w:rsidR="003B5CDA">
        <w:rPr>
          <w:rFonts w:ascii="Arial" w:hAnsi="Arial" w:cs="Arial"/>
          <w:sz w:val="24"/>
          <w:szCs w:val="24"/>
        </w:rPr>
        <w:t>down 2%.</w:t>
      </w:r>
    </w:p>
    <w:p w14:paraId="066957A3" w14:textId="77777777" w:rsidR="001B3B55" w:rsidRPr="000971B9" w:rsidRDefault="001B3B55" w:rsidP="001B3B55">
      <w:pPr>
        <w:jc w:val="left"/>
        <w:rPr>
          <w:rFonts w:ascii="Arial" w:hAnsi="Arial" w:cs="Arial"/>
          <w:color w:val="FF0000"/>
          <w:sz w:val="24"/>
          <w:szCs w:val="24"/>
        </w:rPr>
      </w:pPr>
    </w:p>
    <w:p w14:paraId="1253C6C8" w14:textId="498548B0" w:rsidR="00094F50" w:rsidRDefault="001B3B55" w:rsidP="001B3B55">
      <w:pPr>
        <w:jc w:val="left"/>
        <w:rPr>
          <w:rFonts w:ascii="Arial" w:hAnsi="Arial" w:cs="Arial"/>
          <w:bCs/>
          <w:sz w:val="24"/>
          <w:szCs w:val="24"/>
        </w:rPr>
      </w:pPr>
      <w:bookmarkStart w:id="3" w:name="OLE_LINK15"/>
      <w:bookmarkStart w:id="4" w:name="OLE_LINK16"/>
      <w:r w:rsidRPr="000971B9">
        <w:rPr>
          <w:rFonts w:ascii="Arial" w:hAnsi="Arial" w:cs="Arial"/>
          <w:b/>
          <w:bCs/>
          <w:sz w:val="24"/>
          <w:szCs w:val="24"/>
        </w:rPr>
        <w:t>Brico Dépôt</w:t>
      </w:r>
      <w:r w:rsidR="00094F50">
        <w:rPr>
          <w:rFonts w:ascii="Arial" w:hAnsi="Arial" w:cs="Arial"/>
          <w:bCs/>
          <w:sz w:val="24"/>
          <w:szCs w:val="24"/>
        </w:rPr>
        <w:t xml:space="preserve">, which more specifically targets trade professionals and </w:t>
      </w:r>
      <w:r w:rsidR="007A1925">
        <w:rPr>
          <w:rFonts w:ascii="Arial" w:hAnsi="Arial" w:cs="Arial"/>
          <w:bCs/>
          <w:sz w:val="24"/>
          <w:szCs w:val="24"/>
        </w:rPr>
        <w:t>highly proficient retail customers</w:t>
      </w:r>
      <w:r w:rsidR="00094F50">
        <w:rPr>
          <w:rFonts w:ascii="Arial" w:hAnsi="Arial" w:cs="Arial"/>
          <w:bCs/>
          <w:sz w:val="24"/>
          <w:szCs w:val="24"/>
        </w:rPr>
        <w:t xml:space="preserve">, was impacted by the ongoing slow house building market* with new housing starts and planning consent data down </w:t>
      </w:r>
      <w:r w:rsidR="00094F50" w:rsidRPr="00C904FC">
        <w:rPr>
          <w:rFonts w:ascii="Arial" w:hAnsi="Arial" w:cs="Arial"/>
          <w:bCs/>
          <w:sz w:val="24"/>
          <w:szCs w:val="24"/>
        </w:rPr>
        <w:t>around 12% and 8%</w:t>
      </w:r>
      <w:r w:rsidR="00094F50">
        <w:rPr>
          <w:rFonts w:ascii="Arial" w:hAnsi="Arial" w:cs="Arial"/>
          <w:bCs/>
          <w:sz w:val="24"/>
          <w:szCs w:val="24"/>
        </w:rPr>
        <w:t xml:space="preserve"> respectively. Total sales declined by </w:t>
      </w:r>
      <w:r w:rsidR="00F06E5D">
        <w:rPr>
          <w:rFonts w:ascii="Arial" w:hAnsi="Arial" w:cs="Arial"/>
          <w:bCs/>
          <w:sz w:val="24"/>
          <w:szCs w:val="24"/>
        </w:rPr>
        <w:t xml:space="preserve">0.1% (-3.2% LFL) to £1,841 million. </w:t>
      </w:r>
      <w:r w:rsidR="00094F50">
        <w:rPr>
          <w:rFonts w:ascii="Arial" w:hAnsi="Arial" w:cs="Arial"/>
          <w:bCs/>
          <w:sz w:val="24"/>
          <w:szCs w:val="24"/>
        </w:rPr>
        <w:t xml:space="preserve"> </w:t>
      </w:r>
    </w:p>
    <w:bookmarkEnd w:id="3"/>
    <w:bookmarkEnd w:id="4"/>
    <w:p w14:paraId="03738C12" w14:textId="77777777" w:rsidR="00EA2F66" w:rsidRPr="000971B9" w:rsidRDefault="00EA2F66" w:rsidP="001B3B55">
      <w:pPr>
        <w:jc w:val="left"/>
        <w:rPr>
          <w:rFonts w:ascii="Arial" w:hAnsi="Arial" w:cs="Arial"/>
          <w:sz w:val="24"/>
          <w:szCs w:val="24"/>
        </w:rPr>
      </w:pPr>
    </w:p>
    <w:p w14:paraId="02D143D1" w14:textId="77777777" w:rsidR="00BE07B8" w:rsidRPr="000971B9" w:rsidRDefault="00BE07B8" w:rsidP="00BE07B8">
      <w:pPr>
        <w:jc w:val="left"/>
        <w:rPr>
          <w:rFonts w:ascii="Arial" w:hAnsi="Arial" w:cs="Arial"/>
          <w:i/>
          <w:iCs/>
          <w:color w:val="FF0000"/>
          <w:sz w:val="18"/>
          <w:szCs w:val="18"/>
        </w:rPr>
      </w:pPr>
    </w:p>
    <w:bookmarkEnd w:id="1"/>
    <w:bookmarkEnd w:id="2"/>
    <w:p w14:paraId="35744365" w14:textId="77777777" w:rsidR="00F06E5D" w:rsidRDefault="00F06E5D">
      <w:pPr>
        <w:jc w:val="left"/>
        <w:rPr>
          <w:rFonts w:ascii="Arial" w:hAnsi="Arial" w:cs="Arial"/>
          <w:b/>
          <w:bCs/>
          <w:sz w:val="24"/>
          <w:szCs w:val="24"/>
        </w:rPr>
      </w:pPr>
      <w:r>
        <w:rPr>
          <w:rFonts w:ascii="Arial" w:hAnsi="Arial" w:cs="Arial"/>
          <w:b/>
          <w:bCs/>
          <w:sz w:val="24"/>
          <w:szCs w:val="24"/>
        </w:rPr>
        <w:br w:type="page"/>
      </w:r>
    </w:p>
    <w:p w14:paraId="484A418C" w14:textId="77777777" w:rsidR="001B3B55" w:rsidRPr="000971B9" w:rsidRDefault="001B3B55" w:rsidP="001B3B55">
      <w:pPr>
        <w:jc w:val="left"/>
        <w:rPr>
          <w:rFonts w:ascii="Arial" w:hAnsi="Arial" w:cs="Arial"/>
          <w:i/>
          <w:iCs/>
          <w:sz w:val="24"/>
          <w:szCs w:val="24"/>
        </w:rPr>
      </w:pPr>
      <w:r w:rsidRPr="000971B9">
        <w:rPr>
          <w:rFonts w:ascii="Arial" w:hAnsi="Arial" w:cs="Arial"/>
          <w:b/>
          <w:bCs/>
          <w:sz w:val="24"/>
          <w:szCs w:val="24"/>
        </w:rPr>
        <w:lastRenderedPageBreak/>
        <w:t>UK &amp; IRELAND</w:t>
      </w:r>
      <w:r w:rsidR="00D12133" w:rsidRPr="000971B9">
        <w:rPr>
          <w:rFonts w:ascii="Arial" w:hAnsi="Arial" w:cs="Arial"/>
          <w:b/>
          <w:bCs/>
          <w:sz w:val="24"/>
          <w:szCs w:val="24"/>
        </w:rPr>
        <w:t>*</w:t>
      </w:r>
    </w:p>
    <w:p w14:paraId="63C1791D" w14:textId="77777777" w:rsidR="003520CA" w:rsidRDefault="003520CA" w:rsidP="003520CA">
      <w:pPr>
        <w:rPr>
          <w:rFonts w:ascii="Arial" w:hAnsi="Arial" w:cs="Arial"/>
          <w:sz w:val="24"/>
          <w:szCs w:val="24"/>
        </w:rPr>
      </w:pPr>
    </w:p>
    <w:tbl>
      <w:tblPr>
        <w:tblW w:w="48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246"/>
        <w:gridCol w:w="1524"/>
        <w:gridCol w:w="1635"/>
        <w:gridCol w:w="1660"/>
        <w:gridCol w:w="1147"/>
      </w:tblGrid>
      <w:tr w:rsidR="006B66EF" w:rsidRPr="000971B9" w14:paraId="3C9629BA" w14:textId="77777777" w:rsidTr="006B66EF">
        <w:tc>
          <w:tcPr>
            <w:tcW w:w="1176" w:type="pct"/>
          </w:tcPr>
          <w:p w14:paraId="105044E6" w14:textId="77777777" w:rsidR="006B66EF" w:rsidRPr="000971B9" w:rsidRDefault="006B66EF" w:rsidP="006B66EF">
            <w:pPr>
              <w:rPr>
                <w:rFonts w:ascii="Arial" w:hAnsi="Arial" w:cs="Arial"/>
                <w:sz w:val="24"/>
                <w:szCs w:val="24"/>
              </w:rPr>
            </w:pPr>
            <w:r w:rsidRPr="000971B9">
              <w:rPr>
                <w:rFonts w:ascii="Arial" w:hAnsi="Arial" w:cs="Arial"/>
                <w:b/>
                <w:bCs/>
                <w:sz w:val="24"/>
                <w:szCs w:val="24"/>
              </w:rPr>
              <w:t>Sales £m</w:t>
            </w:r>
          </w:p>
        </w:tc>
        <w:tc>
          <w:tcPr>
            <w:tcW w:w="661" w:type="pct"/>
          </w:tcPr>
          <w:p w14:paraId="726FEC97" w14:textId="77777777" w:rsidR="006B66EF" w:rsidRPr="000971B9" w:rsidRDefault="006B66EF" w:rsidP="006B66EF">
            <w:pPr>
              <w:jc w:val="right"/>
              <w:rPr>
                <w:rFonts w:ascii="Arial" w:hAnsi="Arial" w:cs="Arial"/>
                <w:sz w:val="24"/>
                <w:szCs w:val="24"/>
              </w:rPr>
            </w:pPr>
            <w:r w:rsidRPr="000971B9">
              <w:rPr>
                <w:rFonts w:ascii="Arial" w:hAnsi="Arial" w:cs="Arial"/>
                <w:b/>
                <w:bCs/>
                <w:sz w:val="24"/>
                <w:szCs w:val="24"/>
              </w:rPr>
              <w:t>201</w:t>
            </w:r>
            <w:r>
              <w:rPr>
                <w:rFonts w:ascii="Arial" w:hAnsi="Arial" w:cs="Arial"/>
                <w:b/>
                <w:bCs/>
                <w:sz w:val="24"/>
                <w:szCs w:val="24"/>
              </w:rPr>
              <w:t>4</w:t>
            </w:r>
            <w:r w:rsidRPr="000971B9">
              <w:rPr>
                <w:rFonts w:ascii="Arial" w:hAnsi="Arial" w:cs="Arial"/>
                <w:b/>
                <w:bCs/>
                <w:sz w:val="24"/>
                <w:szCs w:val="24"/>
              </w:rPr>
              <w:t>/1</w:t>
            </w:r>
            <w:r>
              <w:rPr>
                <w:rFonts w:ascii="Arial" w:hAnsi="Arial" w:cs="Arial"/>
                <w:b/>
                <w:bCs/>
                <w:sz w:val="24"/>
                <w:szCs w:val="24"/>
              </w:rPr>
              <w:t>5</w:t>
            </w:r>
          </w:p>
        </w:tc>
        <w:tc>
          <w:tcPr>
            <w:tcW w:w="808" w:type="pct"/>
          </w:tcPr>
          <w:p w14:paraId="4AD4502B"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2013/14</w:t>
            </w:r>
          </w:p>
        </w:tc>
        <w:tc>
          <w:tcPr>
            <w:tcW w:w="867" w:type="pct"/>
          </w:tcPr>
          <w:p w14:paraId="4E147071"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012A6B55" w14:textId="77777777" w:rsidR="006B66EF" w:rsidRPr="000971B9" w:rsidRDefault="006B66EF" w:rsidP="006B66EF">
            <w:pPr>
              <w:jc w:val="right"/>
              <w:rPr>
                <w:rFonts w:ascii="Arial" w:hAnsi="Arial" w:cs="Arial"/>
                <w:b/>
                <w:bCs/>
                <w:sz w:val="24"/>
                <w:szCs w:val="24"/>
              </w:rPr>
            </w:pPr>
          </w:p>
        </w:tc>
        <w:tc>
          <w:tcPr>
            <w:tcW w:w="880" w:type="pct"/>
          </w:tcPr>
          <w:p w14:paraId="53644BE8"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49C0EDAE" w14:textId="77777777" w:rsidR="006B66EF" w:rsidRDefault="006B66EF" w:rsidP="006B66EF">
            <w:pPr>
              <w:jc w:val="right"/>
              <w:rPr>
                <w:rFonts w:ascii="Arial" w:hAnsi="Arial" w:cs="Arial"/>
                <w:b/>
                <w:bCs/>
                <w:sz w:val="24"/>
                <w:szCs w:val="24"/>
              </w:rPr>
            </w:pPr>
            <w:r>
              <w:rPr>
                <w:rFonts w:ascii="Arial" w:hAnsi="Arial" w:cs="Arial"/>
                <w:b/>
                <w:bCs/>
                <w:sz w:val="24"/>
                <w:szCs w:val="24"/>
              </w:rPr>
              <w:t>Currency</w:t>
            </w:r>
          </w:p>
          <w:p w14:paraId="096B0ED2"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 xml:space="preserve">Change </w:t>
            </w:r>
          </w:p>
        </w:tc>
        <w:tc>
          <w:tcPr>
            <w:tcW w:w="609" w:type="pct"/>
          </w:tcPr>
          <w:p w14:paraId="6B244343" w14:textId="77777777" w:rsidR="006B66EF" w:rsidRPr="000971B9" w:rsidRDefault="006B66EF" w:rsidP="006B66EF">
            <w:pPr>
              <w:ind w:hanging="108"/>
              <w:jc w:val="right"/>
              <w:rPr>
                <w:rFonts w:ascii="Arial" w:hAnsi="Arial" w:cs="Arial"/>
                <w:b/>
                <w:bCs/>
                <w:sz w:val="24"/>
                <w:szCs w:val="24"/>
              </w:rPr>
            </w:pPr>
            <w:r w:rsidRPr="000971B9">
              <w:rPr>
                <w:rFonts w:ascii="Arial" w:hAnsi="Arial" w:cs="Arial"/>
                <w:b/>
                <w:bCs/>
                <w:sz w:val="24"/>
                <w:szCs w:val="24"/>
              </w:rPr>
              <w:t>% LFL</w:t>
            </w:r>
          </w:p>
          <w:p w14:paraId="69354B49" w14:textId="77777777" w:rsidR="006B66EF" w:rsidRPr="000971B9" w:rsidRDefault="006B66EF" w:rsidP="006B66EF">
            <w:pPr>
              <w:ind w:hanging="108"/>
              <w:jc w:val="right"/>
              <w:rPr>
                <w:rFonts w:ascii="Arial" w:hAnsi="Arial" w:cs="Arial"/>
                <w:b/>
                <w:bCs/>
                <w:sz w:val="24"/>
                <w:szCs w:val="24"/>
              </w:rPr>
            </w:pPr>
            <w:r w:rsidRPr="000971B9">
              <w:rPr>
                <w:rFonts w:ascii="Arial" w:hAnsi="Arial" w:cs="Arial"/>
                <w:b/>
                <w:bCs/>
                <w:sz w:val="24"/>
                <w:szCs w:val="24"/>
              </w:rPr>
              <w:t>Change</w:t>
            </w:r>
          </w:p>
        </w:tc>
      </w:tr>
      <w:tr w:rsidR="006B66EF" w:rsidRPr="000971B9" w14:paraId="339624BC" w14:textId="77777777" w:rsidTr="006B66EF">
        <w:trPr>
          <w:trHeight w:val="147"/>
        </w:trPr>
        <w:tc>
          <w:tcPr>
            <w:tcW w:w="1176" w:type="pct"/>
          </w:tcPr>
          <w:p w14:paraId="67CBA839" w14:textId="77777777" w:rsidR="006B66EF" w:rsidRPr="000971B9" w:rsidRDefault="006B66EF" w:rsidP="006B66EF">
            <w:pPr>
              <w:rPr>
                <w:rFonts w:ascii="Arial" w:hAnsi="Arial" w:cs="Arial"/>
                <w:sz w:val="24"/>
                <w:szCs w:val="24"/>
              </w:rPr>
            </w:pPr>
            <w:r w:rsidRPr="000971B9">
              <w:rPr>
                <w:rFonts w:ascii="Arial" w:hAnsi="Arial" w:cs="Arial"/>
                <w:sz w:val="24"/>
                <w:szCs w:val="24"/>
              </w:rPr>
              <w:t>UK &amp; Ireland</w:t>
            </w:r>
          </w:p>
        </w:tc>
        <w:tc>
          <w:tcPr>
            <w:tcW w:w="661" w:type="pct"/>
          </w:tcPr>
          <w:p w14:paraId="0B0182E1" w14:textId="77777777" w:rsidR="006B66EF" w:rsidRPr="000971B9" w:rsidRDefault="006B66EF" w:rsidP="006B66EF">
            <w:pPr>
              <w:jc w:val="right"/>
              <w:rPr>
                <w:rFonts w:ascii="Arial" w:hAnsi="Arial" w:cs="Arial"/>
                <w:sz w:val="24"/>
                <w:szCs w:val="24"/>
              </w:rPr>
            </w:pPr>
            <w:r>
              <w:rPr>
                <w:rFonts w:ascii="Arial" w:hAnsi="Arial" w:cs="Arial"/>
                <w:sz w:val="24"/>
                <w:szCs w:val="24"/>
              </w:rPr>
              <w:t>4,600</w:t>
            </w:r>
          </w:p>
        </w:tc>
        <w:tc>
          <w:tcPr>
            <w:tcW w:w="808" w:type="pct"/>
          </w:tcPr>
          <w:p w14:paraId="5406A1FE" w14:textId="77777777" w:rsidR="006B66EF" w:rsidRPr="000971B9" w:rsidRDefault="006B66EF" w:rsidP="006B66EF">
            <w:pPr>
              <w:jc w:val="right"/>
              <w:rPr>
                <w:rFonts w:ascii="Arial" w:hAnsi="Arial" w:cs="Arial"/>
                <w:sz w:val="24"/>
                <w:szCs w:val="24"/>
              </w:rPr>
            </w:pPr>
            <w:r w:rsidRPr="00EE69A6">
              <w:rPr>
                <w:rFonts w:ascii="Arial" w:hAnsi="Arial" w:cs="Arial"/>
                <w:sz w:val="24"/>
                <w:szCs w:val="24"/>
              </w:rPr>
              <w:t>4,363</w:t>
            </w:r>
          </w:p>
        </w:tc>
        <w:tc>
          <w:tcPr>
            <w:tcW w:w="867" w:type="pct"/>
          </w:tcPr>
          <w:p w14:paraId="1D816637" w14:textId="77777777" w:rsidR="006B66EF" w:rsidRPr="000971B9" w:rsidRDefault="006B66EF" w:rsidP="006B66EF">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5.4</w:t>
            </w:r>
            <w:r w:rsidRPr="000971B9">
              <w:rPr>
                <w:rFonts w:ascii="Arial" w:hAnsi="Arial" w:cs="Arial"/>
                <w:sz w:val="24"/>
                <w:szCs w:val="24"/>
              </w:rPr>
              <w:t>%</w:t>
            </w:r>
          </w:p>
        </w:tc>
        <w:tc>
          <w:tcPr>
            <w:tcW w:w="880" w:type="pct"/>
          </w:tcPr>
          <w:p w14:paraId="083B16C3" w14:textId="77777777" w:rsidR="006B66EF" w:rsidRPr="000971B9" w:rsidRDefault="006B66EF" w:rsidP="006B66EF">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5.5</w:t>
            </w:r>
            <w:r w:rsidRPr="000971B9">
              <w:rPr>
                <w:rFonts w:ascii="Arial" w:hAnsi="Arial" w:cs="Arial"/>
                <w:sz w:val="24"/>
                <w:szCs w:val="24"/>
              </w:rPr>
              <w:t>%</w:t>
            </w:r>
          </w:p>
        </w:tc>
        <w:tc>
          <w:tcPr>
            <w:tcW w:w="609" w:type="pct"/>
          </w:tcPr>
          <w:p w14:paraId="5DE4F4F4" w14:textId="77777777" w:rsidR="006B66EF" w:rsidRPr="000971B9" w:rsidRDefault="006B66EF" w:rsidP="006B66EF">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3.2</w:t>
            </w:r>
            <w:r w:rsidRPr="000971B9">
              <w:rPr>
                <w:rFonts w:ascii="Arial" w:hAnsi="Arial" w:cs="Arial"/>
                <w:sz w:val="24"/>
                <w:szCs w:val="24"/>
              </w:rPr>
              <w:t>%</w:t>
            </w:r>
          </w:p>
        </w:tc>
      </w:tr>
    </w:tbl>
    <w:p w14:paraId="220C0FF3" w14:textId="77777777" w:rsidR="006B66EF" w:rsidRPr="000971B9" w:rsidRDefault="006B66EF" w:rsidP="006B66EF">
      <w:pPr>
        <w:rPr>
          <w:rFonts w:ascii="Arial" w:hAnsi="Arial" w:cs="Arial"/>
          <w:b/>
          <w:bCs/>
          <w:sz w:val="24"/>
          <w:szCs w:val="24"/>
        </w:rPr>
      </w:pPr>
    </w:p>
    <w:tbl>
      <w:tblPr>
        <w:tblW w:w="4303"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6"/>
        <w:gridCol w:w="1248"/>
        <w:gridCol w:w="1522"/>
        <w:gridCol w:w="1634"/>
        <w:gridCol w:w="1668"/>
      </w:tblGrid>
      <w:tr w:rsidR="006B66EF" w:rsidRPr="000971B9" w14:paraId="63CEA900" w14:textId="77777777" w:rsidTr="006B66EF">
        <w:tc>
          <w:tcPr>
            <w:tcW w:w="1337" w:type="pct"/>
            <w:tcBorders>
              <w:top w:val="single" w:sz="4" w:space="0" w:color="auto"/>
            </w:tcBorders>
          </w:tcPr>
          <w:p w14:paraId="43CC93FA" w14:textId="77777777" w:rsidR="006B66EF" w:rsidRPr="000971B9" w:rsidRDefault="006B66EF" w:rsidP="006B66EF">
            <w:pPr>
              <w:rPr>
                <w:rFonts w:ascii="Arial" w:hAnsi="Arial" w:cs="Arial"/>
                <w:b/>
                <w:bCs/>
                <w:sz w:val="24"/>
                <w:szCs w:val="24"/>
              </w:rPr>
            </w:pPr>
            <w:r w:rsidRPr="000971B9">
              <w:rPr>
                <w:rFonts w:ascii="Arial" w:hAnsi="Arial" w:cs="Arial"/>
                <w:b/>
                <w:bCs/>
                <w:sz w:val="24"/>
                <w:szCs w:val="24"/>
              </w:rPr>
              <w:t>Retail profit £m</w:t>
            </w:r>
          </w:p>
        </w:tc>
        <w:tc>
          <w:tcPr>
            <w:tcW w:w="753" w:type="pct"/>
            <w:tcBorders>
              <w:top w:val="single" w:sz="4" w:space="0" w:color="auto"/>
            </w:tcBorders>
          </w:tcPr>
          <w:p w14:paraId="1A55A83A"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201</w:t>
            </w:r>
            <w:r>
              <w:rPr>
                <w:rFonts w:ascii="Arial" w:hAnsi="Arial" w:cs="Arial"/>
                <w:b/>
                <w:bCs/>
                <w:sz w:val="24"/>
                <w:szCs w:val="24"/>
              </w:rPr>
              <w:t>4</w:t>
            </w:r>
            <w:r w:rsidRPr="000971B9">
              <w:rPr>
                <w:rFonts w:ascii="Arial" w:hAnsi="Arial" w:cs="Arial"/>
                <w:b/>
                <w:bCs/>
                <w:sz w:val="24"/>
                <w:szCs w:val="24"/>
              </w:rPr>
              <w:t>/1</w:t>
            </w:r>
            <w:r>
              <w:rPr>
                <w:rFonts w:ascii="Arial" w:hAnsi="Arial" w:cs="Arial"/>
                <w:b/>
                <w:bCs/>
                <w:sz w:val="24"/>
                <w:szCs w:val="24"/>
              </w:rPr>
              <w:t>5</w:t>
            </w:r>
          </w:p>
        </w:tc>
        <w:tc>
          <w:tcPr>
            <w:tcW w:w="918" w:type="pct"/>
            <w:tcBorders>
              <w:top w:val="single" w:sz="4" w:space="0" w:color="auto"/>
            </w:tcBorders>
          </w:tcPr>
          <w:p w14:paraId="63237AB5"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2013/14</w:t>
            </w:r>
          </w:p>
        </w:tc>
        <w:tc>
          <w:tcPr>
            <w:tcW w:w="986" w:type="pct"/>
            <w:tcBorders>
              <w:top w:val="single" w:sz="4" w:space="0" w:color="auto"/>
            </w:tcBorders>
          </w:tcPr>
          <w:p w14:paraId="63275016"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76385021"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 xml:space="preserve"> </w:t>
            </w:r>
          </w:p>
        </w:tc>
        <w:tc>
          <w:tcPr>
            <w:tcW w:w="1006" w:type="pct"/>
            <w:tcBorders>
              <w:top w:val="single" w:sz="4" w:space="0" w:color="auto"/>
            </w:tcBorders>
          </w:tcPr>
          <w:p w14:paraId="6966F0A8"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2D2B41D0" w14:textId="77777777" w:rsidR="006B66EF" w:rsidRDefault="006B66EF" w:rsidP="006B66EF">
            <w:pPr>
              <w:jc w:val="right"/>
              <w:rPr>
                <w:rFonts w:ascii="Arial" w:hAnsi="Arial" w:cs="Arial"/>
                <w:b/>
                <w:bCs/>
                <w:sz w:val="24"/>
                <w:szCs w:val="24"/>
              </w:rPr>
            </w:pPr>
            <w:r>
              <w:rPr>
                <w:rFonts w:ascii="Arial" w:hAnsi="Arial" w:cs="Arial"/>
                <w:b/>
                <w:bCs/>
                <w:sz w:val="24"/>
                <w:szCs w:val="24"/>
              </w:rPr>
              <w:t>Currency</w:t>
            </w:r>
          </w:p>
          <w:p w14:paraId="6F8887CD" w14:textId="77777777" w:rsidR="006B66EF" w:rsidRPr="000971B9" w:rsidRDefault="006B66EF" w:rsidP="006B66EF">
            <w:pPr>
              <w:jc w:val="right"/>
              <w:rPr>
                <w:rFonts w:ascii="Arial" w:hAnsi="Arial" w:cs="Arial"/>
                <w:b/>
                <w:bCs/>
                <w:sz w:val="24"/>
                <w:szCs w:val="24"/>
              </w:rPr>
            </w:pPr>
            <w:r w:rsidRPr="000971B9">
              <w:rPr>
                <w:rFonts w:ascii="Arial" w:hAnsi="Arial" w:cs="Arial"/>
                <w:b/>
                <w:bCs/>
                <w:sz w:val="24"/>
                <w:szCs w:val="24"/>
              </w:rPr>
              <w:t xml:space="preserve">Change </w:t>
            </w:r>
          </w:p>
        </w:tc>
      </w:tr>
      <w:tr w:rsidR="006B66EF" w:rsidRPr="000971B9" w14:paraId="0E6CC010" w14:textId="77777777" w:rsidTr="006B66EF">
        <w:tc>
          <w:tcPr>
            <w:tcW w:w="1337" w:type="pct"/>
            <w:tcBorders>
              <w:bottom w:val="single" w:sz="4" w:space="0" w:color="auto"/>
            </w:tcBorders>
          </w:tcPr>
          <w:p w14:paraId="0A3643A3" w14:textId="77777777" w:rsidR="006B66EF" w:rsidRPr="000971B9" w:rsidRDefault="006B66EF" w:rsidP="006B66EF">
            <w:pPr>
              <w:rPr>
                <w:rFonts w:ascii="Arial" w:hAnsi="Arial" w:cs="Arial"/>
                <w:sz w:val="24"/>
                <w:szCs w:val="24"/>
              </w:rPr>
            </w:pPr>
            <w:r w:rsidRPr="000971B9">
              <w:rPr>
                <w:rFonts w:ascii="Arial" w:hAnsi="Arial" w:cs="Arial"/>
                <w:sz w:val="24"/>
                <w:szCs w:val="24"/>
              </w:rPr>
              <w:t>UK &amp; Ireland</w:t>
            </w:r>
          </w:p>
        </w:tc>
        <w:tc>
          <w:tcPr>
            <w:tcW w:w="753" w:type="pct"/>
            <w:tcBorders>
              <w:bottom w:val="single" w:sz="4" w:space="0" w:color="auto"/>
            </w:tcBorders>
          </w:tcPr>
          <w:p w14:paraId="5ECD8780" w14:textId="77777777" w:rsidR="006B66EF" w:rsidRPr="000971B9" w:rsidRDefault="006B66EF" w:rsidP="006B66EF">
            <w:pPr>
              <w:jc w:val="right"/>
              <w:rPr>
                <w:rFonts w:ascii="Arial" w:hAnsi="Arial" w:cs="Arial"/>
                <w:sz w:val="24"/>
                <w:szCs w:val="24"/>
              </w:rPr>
            </w:pPr>
            <w:r>
              <w:rPr>
                <w:rFonts w:ascii="Arial" w:hAnsi="Arial" w:cs="Arial"/>
                <w:sz w:val="24"/>
                <w:szCs w:val="24"/>
              </w:rPr>
              <w:t>276</w:t>
            </w:r>
          </w:p>
        </w:tc>
        <w:tc>
          <w:tcPr>
            <w:tcW w:w="918" w:type="pct"/>
            <w:tcBorders>
              <w:bottom w:val="single" w:sz="4" w:space="0" w:color="auto"/>
            </w:tcBorders>
          </w:tcPr>
          <w:p w14:paraId="0DD417B0" w14:textId="77777777" w:rsidR="006B66EF" w:rsidRPr="000971B9" w:rsidRDefault="006B66EF" w:rsidP="006B66EF">
            <w:pPr>
              <w:jc w:val="right"/>
              <w:rPr>
                <w:rFonts w:ascii="Arial" w:hAnsi="Arial" w:cs="Arial"/>
                <w:sz w:val="24"/>
                <w:szCs w:val="24"/>
              </w:rPr>
            </w:pPr>
            <w:r w:rsidRPr="00DD3E8E">
              <w:rPr>
                <w:rFonts w:ascii="Arial" w:hAnsi="Arial" w:cs="Arial"/>
                <w:sz w:val="24"/>
                <w:szCs w:val="24"/>
              </w:rPr>
              <w:t>238</w:t>
            </w:r>
          </w:p>
        </w:tc>
        <w:tc>
          <w:tcPr>
            <w:tcW w:w="986" w:type="pct"/>
            <w:tcBorders>
              <w:bottom w:val="single" w:sz="4" w:space="0" w:color="auto"/>
            </w:tcBorders>
          </w:tcPr>
          <w:p w14:paraId="1C9D7AC7" w14:textId="77777777" w:rsidR="006B66EF" w:rsidRPr="000971B9" w:rsidRDefault="006B66EF" w:rsidP="006B66EF">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16.2</w:t>
            </w:r>
            <w:r w:rsidRPr="000971B9">
              <w:rPr>
                <w:rFonts w:ascii="Arial" w:hAnsi="Arial" w:cs="Arial"/>
                <w:sz w:val="24"/>
                <w:szCs w:val="24"/>
              </w:rPr>
              <w:t>%</w:t>
            </w:r>
          </w:p>
        </w:tc>
        <w:tc>
          <w:tcPr>
            <w:tcW w:w="1006" w:type="pct"/>
            <w:tcBorders>
              <w:bottom w:val="single" w:sz="4" w:space="0" w:color="auto"/>
            </w:tcBorders>
          </w:tcPr>
          <w:p w14:paraId="607BF4D7" w14:textId="77777777" w:rsidR="006B66EF" w:rsidRPr="000971B9" w:rsidRDefault="006B66EF" w:rsidP="006B66EF">
            <w:pPr>
              <w:jc w:val="right"/>
              <w:rPr>
                <w:rFonts w:ascii="Arial" w:hAnsi="Arial" w:cs="Arial"/>
                <w:sz w:val="24"/>
                <w:szCs w:val="24"/>
              </w:rPr>
            </w:pPr>
            <w:r w:rsidRPr="000971B9">
              <w:rPr>
                <w:rFonts w:ascii="Arial" w:hAnsi="Arial" w:cs="Arial"/>
                <w:sz w:val="24"/>
                <w:szCs w:val="24"/>
              </w:rPr>
              <w:t>+</w:t>
            </w:r>
            <w:r>
              <w:rPr>
                <w:rFonts w:ascii="Arial" w:hAnsi="Arial" w:cs="Arial"/>
                <w:sz w:val="24"/>
                <w:szCs w:val="24"/>
              </w:rPr>
              <w:t>16.1</w:t>
            </w:r>
            <w:r w:rsidRPr="000971B9">
              <w:rPr>
                <w:rFonts w:ascii="Arial" w:hAnsi="Arial" w:cs="Arial"/>
                <w:sz w:val="24"/>
                <w:szCs w:val="24"/>
              </w:rPr>
              <w:t>%</w:t>
            </w:r>
          </w:p>
        </w:tc>
      </w:tr>
    </w:tbl>
    <w:p w14:paraId="58076669" w14:textId="77777777" w:rsidR="006B66EF" w:rsidRDefault="006B66EF" w:rsidP="006B66EF">
      <w:pPr>
        <w:jc w:val="left"/>
        <w:rPr>
          <w:rFonts w:ascii="Arial" w:hAnsi="Arial" w:cs="Arial"/>
          <w:sz w:val="24"/>
          <w:szCs w:val="24"/>
        </w:rPr>
      </w:pPr>
    </w:p>
    <w:p w14:paraId="2EF0C1BB" w14:textId="2812AB31" w:rsidR="006B66EF" w:rsidRDefault="00043801" w:rsidP="00BC159F">
      <w:pPr>
        <w:jc w:val="left"/>
        <w:rPr>
          <w:rFonts w:ascii="Arial" w:hAnsi="Arial" w:cs="Arial"/>
          <w:sz w:val="24"/>
          <w:szCs w:val="24"/>
        </w:rPr>
      </w:pPr>
      <w:r>
        <w:rPr>
          <w:rFonts w:ascii="Arial" w:hAnsi="Arial" w:cs="Arial"/>
          <w:sz w:val="24"/>
          <w:szCs w:val="24"/>
        </w:rPr>
        <w:t xml:space="preserve">Kingfisher UK &amp; Ireland </w:t>
      </w:r>
      <w:r w:rsidR="006B66EF" w:rsidRPr="000971B9">
        <w:rPr>
          <w:rFonts w:ascii="Arial" w:hAnsi="Arial" w:cs="Arial"/>
          <w:sz w:val="24"/>
          <w:szCs w:val="24"/>
        </w:rPr>
        <w:t xml:space="preserve">sales </w:t>
      </w:r>
      <w:r w:rsidR="006B66EF" w:rsidRPr="00B77C90">
        <w:rPr>
          <w:rFonts w:ascii="Arial" w:hAnsi="Arial" w:cs="Arial"/>
          <w:sz w:val="24"/>
          <w:szCs w:val="24"/>
        </w:rPr>
        <w:t xml:space="preserve">were up 5.5% </w:t>
      </w:r>
      <w:r w:rsidR="006B66EF">
        <w:rPr>
          <w:rFonts w:ascii="Arial" w:hAnsi="Arial" w:cs="Arial"/>
          <w:sz w:val="24"/>
          <w:szCs w:val="24"/>
        </w:rPr>
        <w:t>(+3.2</w:t>
      </w:r>
      <w:r w:rsidR="006B66EF" w:rsidRPr="00B77C90">
        <w:rPr>
          <w:rFonts w:ascii="Arial" w:hAnsi="Arial" w:cs="Arial"/>
          <w:sz w:val="24"/>
          <w:szCs w:val="24"/>
        </w:rPr>
        <w:t xml:space="preserve">% LFL) </w:t>
      </w:r>
      <w:r w:rsidR="006B66EF">
        <w:rPr>
          <w:rFonts w:ascii="Arial" w:hAnsi="Arial" w:cs="Arial"/>
          <w:sz w:val="24"/>
          <w:szCs w:val="24"/>
        </w:rPr>
        <w:t>to £4,600</w:t>
      </w:r>
      <w:r w:rsidR="006B66EF" w:rsidRPr="00B77C90">
        <w:rPr>
          <w:rFonts w:ascii="Arial" w:hAnsi="Arial" w:cs="Arial"/>
          <w:sz w:val="24"/>
          <w:szCs w:val="24"/>
        </w:rPr>
        <w:t xml:space="preserve"> million </w:t>
      </w:r>
      <w:r w:rsidR="006B66EF">
        <w:rPr>
          <w:rFonts w:ascii="Arial" w:hAnsi="Arial" w:cs="Arial"/>
          <w:sz w:val="24"/>
          <w:szCs w:val="24"/>
        </w:rPr>
        <w:t xml:space="preserve">and retail profit grew by 16.1% to £276 million. </w:t>
      </w:r>
      <w:r w:rsidR="006B66EF" w:rsidRPr="000971B9">
        <w:rPr>
          <w:rFonts w:ascii="Arial" w:hAnsi="Arial" w:cs="Arial"/>
          <w:sz w:val="24"/>
          <w:szCs w:val="24"/>
        </w:rPr>
        <w:t xml:space="preserve">Gross margins were </w:t>
      </w:r>
      <w:r w:rsidR="006B66EF">
        <w:rPr>
          <w:rFonts w:ascii="Arial" w:hAnsi="Arial" w:cs="Arial"/>
          <w:sz w:val="24"/>
          <w:szCs w:val="24"/>
        </w:rPr>
        <w:t xml:space="preserve">down 60 basis points </w:t>
      </w:r>
      <w:r w:rsidR="001409EC">
        <w:rPr>
          <w:rFonts w:ascii="Arial" w:hAnsi="Arial" w:cs="Arial"/>
          <w:sz w:val="24"/>
          <w:szCs w:val="24"/>
        </w:rPr>
        <w:t>impacted by</w:t>
      </w:r>
      <w:r w:rsidR="006B66EF">
        <w:rPr>
          <w:rFonts w:ascii="Arial" w:hAnsi="Arial" w:cs="Arial"/>
          <w:sz w:val="24"/>
          <w:szCs w:val="24"/>
        </w:rPr>
        <w:t xml:space="preserve"> the recognition in Q1 of more promotionally-led showroom sales (kitchens, bathrooms and bedrooms) from Q4 last year. Tight cost control continued despite higher levels of variable pay. </w:t>
      </w:r>
      <w:r w:rsidR="006B66EF" w:rsidRPr="000971B9">
        <w:rPr>
          <w:rFonts w:ascii="Arial" w:hAnsi="Arial" w:cs="Arial"/>
          <w:sz w:val="24"/>
          <w:szCs w:val="24"/>
        </w:rPr>
        <w:t xml:space="preserve"> </w:t>
      </w:r>
    </w:p>
    <w:p w14:paraId="6544F8E0" w14:textId="77777777" w:rsidR="006B66EF" w:rsidRDefault="006B66EF">
      <w:pPr>
        <w:jc w:val="left"/>
        <w:rPr>
          <w:rFonts w:ascii="Arial" w:hAnsi="Arial" w:cs="Arial"/>
          <w:sz w:val="24"/>
          <w:szCs w:val="24"/>
        </w:rPr>
      </w:pPr>
    </w:p>
    <w:p w14:paraId="7A20BF7A" w14:textId="670CC063" w:rsidR="00F33794" w:rsidRDefault="00F33794" w:rsidP="0075047A">
      <w:pPr>
        <w:jc w:val="left"/>
      </w:pPr>
      <w:r>
        <w:rPr>
          <w:rFonts w:ascii="Arial" w:hAnsi="Arial" w:cs="Arial"/>
          <w:sz w:val="24"/>
          <w:szCs w:val="24"/>
        </w:rPr>
        <w:t xml:space="preserve">On a value basis, the UK home improvement leader market* was up 4.8% reflecting better weather year on year, a stronger UK economy and more buoyant housing construction. On the same definition, Kingfisher UK sales were up around 3.5%. The market for the smaller tradesmen* was up around </w:t>
      </w:r>
      <w:r w:rsidR="001C0A2B">
        <w:rPr>
          <w:rFonts w:ascii="Arial" w:hAnsi="Arial" w:cs="Arial"/>
          <w:sz w:val="24"/>
          <w:szCs w:val="24"/>
        </w:rPr>
        <w:t>7</w:t>
      </w:r>
      <w:r>
        <w:rPr>
          <w:rFonts w:ascii="Arial" w:hAnsi="Arial" w:cs="Arial"/>
          <w:sz w:val="24"/>
          <w:szCs w:val="24"/>
        </w:rPr>
        <w:t>%.</w:t>
      </w:r>
    </w:p>
    <w:p w14:paraId="555E9A96" w14:textId="77777777" w:rsidR="00F33794" w:rsidRDefault="00F33794" w:rsidP="0075047A">
      <w:pPr>
        <w:jc w:val="left"/>
      </w:pPr>
      <w:r>
        <w:rPr>
          <w:rFonts w:ascii="Arial" w:hAnsi="Arial" w:cs="Arial"/>
          <w:sz w:val="24"/>
          <w:szCs w:val="24"/>
        </w:rPr>
        <w:t> </w:t>
      </w:r>
    </w:p>
    <w:p w14:paraId="295D62A8" w14:textId="77777777" w:rsidR="00F33794" w:rsidRDefault="00F33794" w:rsidP="0075047A">
      <w:pPr>
        <w:jc w:val="left"/>
      </w:pPr>
      <w:r>
        <w:rPr>
          <w:rFonts w:ascii="Arial" w:hAnsi="Arial" w:cs="Arial"/>
          <w:sz w:val="24"/>
          <w:szCs w:val="24"/>
        </w:rPr>
        <w:t xml:space="preserve">During the year B&amp;Q reduced prices on c.5,000 products helping improve price perception and increase sales volumes. Over time, as the initiative gains momentum, the resulting growth in sales volume will also drive growth in sales on a value basis, however so far it is too early for the results to be seen in Kingfisher UK’s sales performance on a value basis. </w:t>
      </w:r>
    </w:p>
    <w:p w14:paraId="7E9E8BA9" w14:textId="77777777" w:rsidR="00F33794" w:rsidRDefault="00F33794" w:rsidP="0075047A">
      <w:pPr>
        <w:jc w:val="left"/>
      </w:pPr>
      <w:r>
        <w:rPr>
          <w:rFonts w:ascii="Arial" w:hAnsi="Arial" w:cs="Arial"/>
          <w:sz w:val="24"/>
          <w:szCs w:val="24"/>
        </w:rPr>
        <w:t> </w:t>
      </w:r>
    </w:p>
    <w:p w14:paraId="2360E149" w14:textId="6F3D9065" w:rsidR="00F33794" w:rsidRDefault="00F33794" w:rsidP="0075047A">
      <w:pPr>
        <w:jc w:val="left"/>
      </w:pPr>
      <w:r>
        <w:rPr>
          <w:rFonts w:ascii="Arial" w:hAnsi="Arial" w:cs="Arial"/>
          <w:sz w:val="24"/>
          <w:szCs w:val="24"/>
        </w:rPr>
        <w:t>Consequently, on a volume basis (being quantity of products sold), the UK home improvement leader market was up 3.6</w:t>
      </w:r>
      <w:r w:rsidRPr="00105A25">
        <w:rPr>
          <w:rFonts w:ascii="Arial" w:hAnsi="Arial" w:cs="Arial"/>
          <w:bCs/>
          <w:sz w:val="24"/>
          <w:szCs w:val="24"/>
        </w:rPr>
        <w:t>%</w:t>
      </w:r>
      <w:r w:rsidRPr="00487A65">
        <w:rPr>
          <w:rFonts w:ascii="Arial" w:hAnsi="Arial" w:cs="Arial"/>
          <w:sz w:val="24"/>
          <w:szCs w:val="24"/>
        </w:rPr>
        <w:t>.</w:t>
      </w:r>
      <w:r>
        <w:rPr>
          <w:rFonts w:ascii="Arial" w:hAnsi="Arial" w:cs="Arial"/>
          <w:sz w:val="24"/>
          <w:szCs w:val="24"/>
        </w:rPr>
        <w:t xml:space="preserve"> On the same definition, Kingfisher UK sales were up </w:t>
      </w:r>
      <w:r w:rsidRPr="00C76848">
        <w:rPr>
          <w:rFonts w:ascii="Arial" w:hAnsi="Arial" w:cs="Arial"/>
          <w:bCs/>
          <w:sz w:val="24"/>
          <w:szCs w:val="24"/>
        </w:rPr>
        <w:t>6.5%</w:t>
      </w:r>
      <w:r>
        <w:rPr>
          <w:rFonts w:ascii="Arial" w:hAnsi="Arial" w:cs="Arial"/>
          <w:sz w:val="24"/>
          <w:szCs w:val="24"/>
        </w:rPr>
        <w:t xml:space="preserve"> with both businesses ahead of the market.</w:t>
      </w:r>
    </w:p>
    <w:p w14:paraId="0F4006FE" w14:textId="77777777" w:rsidR="00A93153" w:rsidRPr="000971B9" w:rsidRDefault="00A93153" w:rsidP="00BC159F">
      <w:pPr>
        <w:jc w:val="left"/>
        <w:rPr>
          <w:rFonts w:ascii="Arial" w:hAnsi="Arial" w:cs="Arial"/>
          <w:sz w:val="24"/>
          <w:szCs w:val="24"/>
        </w:rPr>
      </w:pPr>
    </w:p>
    <w:p w14:paraId="29B290ED" w14:textId="5F23B93F" w:rsidR="006B66EF" w:rsidRDefault="006B66EF">
      <w:pPr>
        <w:jc w:val="left"/>
        <w:rPr>
          <w:rFonts w:ascii="Arial" w:hAnsi="Arial" w:cs="Arial"/>
          <w:sz w:val="24"/>
          <w:szCs w:val="24"/>
        </w:rPr>
      </w:pPr>
      <w:r w:rsidRPr="000971B9">
        <w:rPr>
          <w:rFonts w:ascii="Arial" w:hAnsi="Arial" w:cs="Arial"/>
          <w:b/>
          <w:bCs/>
          <w:sz w:val="24"/>
          <w:szCs w:val="24"/>
        </w:rPr>
        <w:t>B&amp;Q UK &amp; Ireland’s</w:t>
      </w:r>
      <w:r w:rsidRPr="000971B9">
        <w:rPr>
          <w:rFonts w:ascii="Arial" w:hAnsi="Arial" w:cs="Arial"/>
          <w:sz w:val="24"/>
          <w:szCs w:val="24"/>
        </w:rPr>
        <w:t xml:space="preserve"> total sales were up </w:t>
      </w:r>
      <w:r>
        <w:rPr>
          <w:rFonts w:ascii="Arial" w:hAnsi="Arial" w:cs="Arial"/>
          <w:sz w:val="24"/>
          <w:szCs w:val="24"/>
        </w:rPr>
        <w:t>1.9% (+1.4% LFL) to £3,765 million. Sales of outdoor seasonal and building products were up 4%</w:t>
      </w:r>
      <w:r w:rsidR="00EE3096">
        <w:rPr>
          <w:rFonts w:ascii="Arial" w:hAnsi="Arial" w:cs="Arial"/>
          <w:sz w:val="24"/>
          <w:szCs w:val="24"/>
        </w:rPr>
        <w:t>.</w:t>
      </w:r>
      <w:r>
        <w:rPr>
          <w:rFonts w:ascii="Arial" w:hAnsi="Arial" w:cs="Arial"/>
          <w:sz w:val="24"/>
          <w:szCs w:val="24"/>
        </w:rPr>
        <w:t xml:space="preserve"> Sales of indoor products, excluding showroom, were up 2%. Sales of showroom products were down 5% driven by the decision to reduce promotional activity</w:t>
      </w:r>
      <w:r w:rsidR="00043801">
        <w:rPr>
          <w:rFonts w:ascii="Arial" w:hAnsi="Arial" w:cs="Arial"/>
          <w:sz w:val="24"/>
          <w:szCs w:val="24"/>
        </w:rPr>
        <w:t xml:space="preserve">, </w:t>
      </w:r>
      <w:r w:rsidR="0056355B">
        <w:rPr>
          <w:rFonts w:ascii="Arial" w:hAnsi="Arial" w:cs="Arial"/>
          <w:sz w:val="24"/>
          <w:szCs w:val="24"/>
        </w:rPr>
        <w:t xml:space="preserve">and </w:t>
      </w:r>
      <w:r>
        <w:rPr>
          <w:rFonts w:ascii="Arial" w:hAnsi="Arial" w:cs="Arial"/>
          <w:sz w:val="24"/>
          <w:szCs w:val="24"/>
        </w:rPr>
        <w:t>instead offer customers ‘</w:t>
      </w:r>
      <w:r w:rsidR="00C2678B">
        <w:rPr>
          <w:rFonts w:ascii="Arial" w:hAnsi="Arial" w:cs="Arial"/>
          <w:sz w:val="24"/>
          <w:szCs w:val="24"/>
        </w:rPr>
        <w:t>E</w:t>
      </w:r>
      <w:r>
        <w:rPr>
          <w:rFonts w:ascii="Arial" w:hAnsi="Arial" w:cs="Arial"/>
          <w:sz w:val="24"/>
          <w:szCs w:val="24"/>
        </w:rPr>
        <w:t xml:space="preserve">very </w:t>
      </w:r>
      <w:r w:rsidR="00C2678B">
        <w:rPr>
          <w:rFonts w:ascii="Arial" w:hAnsi="Arial" w:cs="Arial"/>
          <w:sz w:val="24"/>
          <w:szCs w:val="24"/>
        </w:rPr>
        <w:t>Day Great Value’</w:t>
      </w:r>
      <w:r>
        <w:rPr>
          <w:rFonts w:ascii="Arial" w:hAnsi="Arial" w:cs="Arial"/>
          <w:sz w:val="24"/>
          <w:szCs w:val="24"/>
        </w:rPr>
        <w:t xml:space="preserve">. </w:t>
      </w:r>
    </w:p>
    <w:p w14:paraId="426E9729" w14:textId="77777777" w:rsidR="006B66EF" w:rsidRDefault="006B66EF" w:rsidP="006B66EF">
      <w:pPr>
        <w:jc w:val="left"/>
        <w:rPr>
          <w:rFonts w:ascii="Arial" w:hAnsi="Arial" w:cs="Arial"/>
          <w:sz w:val="24"/>
          <w:szCs w:val="24"/>
        </w:rPr>
      </w:pPr>
    </w:p>
    <w:p w14:paraId="27A9C92D" w14:textId="0BCCD749" w:rsidR="006B66EF" w:rsidRDefault="006B66EF" w:rsidP="006B66EF">
      <w:pPr>
        <w:jc w:val="left"/>
        <w:rPr>
          <w:rFonts w:ascii="Arial" w:hAnsi="Arial" w:cs="Arial"/>
          <w:sz w:val="24"/>
          <w:szCs w:val="24"/>
        </w:rPr>
      </w:pPr>
      <w:r>
        <w:rPr>
          <w:rFonts w:ascii="Arial" w:hAnsi="Arial" w:cs="Arial"/>
          <w:sz w:val="24"/>
          <w:szCs w:val="24"/>
        </w:rPr>
        <w:t xml:space="preserve">FY 2014/15 has been a year of re-energising the business. </w:t>
      </w:r>
      <w:r w:rsidRPr="005A5910">
        <w:rPr>
          <w:rFonts w:ascii="Arial" w:hAnsi="Arial" w:cs="Arial"/>
          <w:sz w:val="24"/>
          <w:szCs w:val="24"/>
        </w:rPr>
        <w:t>Examples of initiatives have included simplifying in-store pric</w:t>
      </w:r>
      <w:r>
        <w:rPr>
          <w:rFonts w:ascii="Arial" w:hAnsi="Arial" w:cs="Arial"/>
          <w:sz w:val="24"/>
          <w:szCs w:val="24"/>
        </w:rPr>
        <w:t>e</w:t>
      </w:r>
      <w:r w:rsidRPr="005A5910">
        <w:rPr>
          <w:rFonts w:ascii="Arial" w:hAnsi="Arial" w:cs="Arial"/>
          <w:sz w:val="24"/>
          <w:szCs w:val="24"/>
        </w:rPr>
        <w:t xml:space="preserve"> messaging, lowering prices and </w:t>
      </w:r>
      <w:r w:rsidR="003163E5">
        <w:rPr>
          <w:rFonts w:ascii="Arial" w:hAnsi="Arial" w:cs="Arial"/>
          <w:sz w:val="24"/>
          <w:szCs w:val="24"/>
        </w:rPr>
        <w:t>increas</w:t>
      </w:r>
      <w:r w:rsidR="003163E5" w:rsidRPr="005A5910">
        <w:rPr>
          <w:rFonts w:ascii="Arial" w:hAnsi="Arial" w:cs="Arial"/>
          <w:sz w:val="24"/>
          <w:szCs w:val="24"/>
        </w:rPr>
        <w:t xml:space="preserve">ing </w:t>
      </w:r>
      <w:r>
        <w:rPr>
          <w:rFonts w:ascii="Arial" w:hAnsi="Arial" w:cs="Arial"/>
          <w:sz w:val="24"/>
          <w:szCs w:val="24"/>
        </w:rPr>
        <w:t>customer transactions</w:t>
      </w:r>
      <w:r w:rsidRPr="005A5910">
        <w:rPr>
          <w:rFonts w:ascii="Arial" w:hAnsi="Arial" w:cs="Arial"/>
          <w:sz w:val="24"/>
          <w:szCs w:val="24"/>
        </w:rPr>
        <w:t xml:space="preserve"> with better targeted marketing. The results have been encouraging</w:t>
      </w:r>
      <w:r>
        <w:rPr>
          <w:rFonts w:ascii="Arial" w:hAnsi="Arial" w:cs="Arial"/>
          <w:sz w:val="24"/>
          <w:szCs w:val="24"/>
        </w:rPr>
        <w:t>,</w:t>
      </w:r>
      <w:r w:rsidRPr="005A5910">
        <w:rPr>
          <w:rFonts w:ascii="Arial" w:hAnsi="Arial" w:cs="Arial"/>
          <w:sz w:val="24"/>
          <w:szCs w:val="24"/>
        </w:rPr>
        <w:t xml:space="preserve"> helping </w:t>
      </w:r>
      <w:r>
        <w:rPr>
          <w:rFonts w:ascii="Arial" w:hAnsi="Arial" w:cs="Arial"/>
          <w:sz w:val="24"/>
          <w:szCs w:val="24"/>
        </w:rPr>
        <w:t xml:space="preserve">to </w:t>
      </w:r>
      <w:r w:rsidRPr="005A5910">
        <w:rPr>
          <w:rFonts w:ascii="Arial" w:hAnsi="Arial" w:cs="Arial"/>
          <w:sz w:val="24"/>
          <w:szCs w:val="24"/>
        </w:rPr>
        <w:t>drive sales</w:t>
      </w:r>
      <w:r>
        <w:rPr>
          <w:rFonts w:ascii="Arial" w:hAnsi="Arial" w:cs="Arial"/>
          <w:sz w:val="24"/>
          <w:szCs w:val="24"/>
        </w:rPr>
        <w:t xml:space="preserve"> and deliver profit growth</w:t>
      </w:r>
      <w:r w:rsidRPr="005A5910">
        <w:rPr>
          <w:rFonts w:ascii="Arial" w:hAnsi="Arial" w:cs="Arial"/>
          <w:sz w:val="24"/>
          <w:szCs w:val="24"/>
        </w:rPr>
        <w:t xml:space="preserve">, </w:t>
      </w:r>
      <w:r>
        <w:rPr>
          <w:rFonts w:ascii="Arial" w:hAnsi="Arial" w:cs="Arial"/>
          <w:sz w:val="24"/>
          <w:szCs w:val="24"/>
        </w:rPr>
        <w:t xml:space="preserve">while </w:t>
      </w:r>
      <w:r w:rsidRPr="005A5910">
        <w:rPr>
          <w:rFonts w:ascii="Arial" w:hAnsi="Arial" w:cs="Arial"/>
          <w:sz w:val="24"/>
          <w:szCs w:val="24"/>
        </w:rPr>
        <w:t xml:space="preserve">improving </w:t>
      </w:r>
      <w:r>
        <w:rPr>
          <w:rFonts w:ascii="Arial" w:hAnsi="Arial" w:cs="Arial"/>
          <w:sz w:val="24"/>
          <w:szCs w:val="24"/>
        </w:rPr>
        <w:t>value</w:t>
      </w:r>
      <w:r w:rsidRPr="005A5910">
        <w:rPr>
          <w:rFonts w:ascii="Arial" w:hAnsi="Arial" w:cs="Arial"/>
          <w:sz w:val="24"/>
          <w:szCs w:val="24"/>
        </w:rPr>
        <w:t xml:space="preserve"> perception and marketing awareness.  </w:t>
      </w:r>
    </w:p>
    <w:p w14:paraId="37978F8D" w14:textId="77777777" w:rsidR="006B66EF" w:rsidRDefault="006B66EF" w:rsidP="006B66EF">
      <w:pPr>
        <w:jc w:val="left"/>
        <w:rPr>
          <w:rFonts w:ascii="Arial" w:hAnsi="Arial" w:cs="Arial"/>
          <w:sz w:val="24"/>
          <w:szCs w:val="24"/>
        </w:rPr>
      </w:pPr>
    </w:p>
    <w:p w14:paraId="4C6AE3A5" w14:textId="78869F6B" w:rsidR="006B66EF" w:rsidRDefault="006B66EF" w:rsidP="006B66EF">
      <w:pPr>
        <w:jc w:val="left"/>
        <w:rPr>
          <w:rFonts w:ascii="Arial" w:hAnsi="Arial" w:cs="Arial"/>
          <w:sz w:val="24"/>
          <w:szCs w:val="24"/>
        </w:rPr>
      </w:pPr>
      <w:r>
        <w:rPr>
          <w:rFonts w:ascii="Arial" w:hAnsi="Arial" w:cs="Arial"/>
          <w:sz w:val="24"/>
          <w:szCs w:val="24"/>
        </w:rPr>
        <w:t xml:space="preserve">B&amp;Q has also been working on </w:t>
      </w:r>
      <w:r w:rsidR="00EE3096">
        <w:rPr>
          <w:rFonts w:ascii="Arial" w:hAnsi="Arial" w:cs="Arial"/>
          <w:sz w:val="24"/>
          <w:szCs w:val="24"/>
        </w:rPr>
        <w:t xml:space="preserve">driving </w:t>
      </w:r>
      <w:r>
        <w:rPr>
          <w:rFonts w:ascii="Arial" w:hAnsi="Arial" w:cs="Arial"/>
          <w:sz w:val="24"/>
          <w:szCs w:val="24"/>
        </w:rPr>
        <w:t xml:space="preserve">productivity benefits across the business. </w:t>
      </w:r>
      <w:r w:rsidRPr="008A600D">
        <w:rPr>
          <w:rFonts w:ascii="Arial" w:hAnsi="Arial" w:cs="Arial"/>
          <w:sz w:val="24"/>
          <w:szCs w:val="24"/>
        </w:rPr>
        <w:t>B&amp;Q aims to be a simpler, more efficient business with a lower cost operating model</w:t>
      </w:r>
      <w:r>
        <w:rPr>
          <w:rFonts w:ascii="Arial" w:hAnsi="Arial" w:cs="Arial"/>
          <w:sz w:val="24"/>
          <w:szCs w:val="24"/>
        </w:rPr>
        <w:t xml:space="preserve"> and with stores that are easier for customers to shop</w:t>
      </w:r>
      <w:r w:rsidRPr="008A600D">
        <w:rPr>
          <w:rFonts w:ascii="Arial" w:hAnsi="Arial" w:cs="Arial"/>
          <w:sz w:val="24"/>
          <w:szCs w:val="24"/>
        </w:rPr>
        <w:t xml:space="preserve">. </w:t>
      </w:r>
      <w:r>
        <w:rPr>
          <w:rFonts w:ascii="Arial" w:hAnsi="Arial" w:cs="Arial"/>
          <w:sz w:val="24"/>
          <w:szCs w:val="24"/>
        </w:rPr>
        <w:t>Various</w:t>
      </w:r>
      <w:r w:rsidRPr="00B86161">
        <w:rPr>
          <w:rFonts w:ascii="Arial" w:hAnsi="Arial" w:cs="Arial"/>
          <w:sz w:val="24"/>
          <w:szCs w:val="24"/>
        </w:rPr>
        <w:t xml:space="preserve"> initiatives </w:t>
      </w:r>
      <w:r>
        <w:rPr>
          <w:rFonts w:ascii="Arial" w:hAnsi="Arial" w:cs="Arial"/>
          <w:sz w:val="24"/>
          <w:szCs w:val="24"/>
        </w:rPr>
        <w:t>have been</w:t>
      </w:r>
      <w:r w:rsidRPr="00B86161">
        <w:rPr>
          <w:rFonts w:ascii="Arial" w:hAnsi="Arial" w:cs="Arial"/>
          <w:sz w:val="24"/>
          <w:szCs w:val="24"/>
        </w:rPr>
        <w:t xml:space="preserve"> introduced including ‘store friendly deliveries’ </w:t>
      </w:r>
      <w:r>
        <w:rPr>
          <w:rFonts w:ascii="Arial" w:hAnsi="Arial" w:cs="Arial"/>
          <w:sz w:val="24"/>
          <w:szCs w:val="24"/>
        </w:rPr>
        <w:t xml:space="preserve">(making it quicker and easier for store staff to replenish) </w:t>
      </w:r>
      <w:r w:rsidRPr="00B86161">
        <w:rPr>
          <w:rFonts w:ascii="Arial" w:hAnsi="Arial" w:cs="Arial"/>
          <w:sz w:val="24"/>
          <w:szCs w:val="24"/>
        </w:rPr>
        <w:t xml:space="preserve">and </w:t>
      </w:r>
      <w:r w:rsidR="00C04A24" w:rsidRPr="000E6C79">
        <w:rPr>
          <w:rFonts w:ascii="Arial" w:hAnsi="Arial" w:cs="Arial"/>
          <w:sz w:val="24"/>
          <w:szCs w:val="24"/>
        </w:rPr>
        <w:t>roller checkouts (improv</w:t>
      </w:r>
      <w:r w:rsidR="00C2678B">
        <w:rPr>
          <w:rFonts w:ascii="Arial" w:hAnsi="Arial" w:cs="Arial"/>
          <w:sz w:val="24"/>
          <w:szCs w:val="24"/>
        </w:rPr>
        <w:t>ing</w:t>
      </w:r>
      <w:r w:rsidR="00C04A24" w:rsidRPr="000E6C79">
        <w:rPr>
          <w:rFonts w:ascii="Arial" w:hAnsi="Arial" w:cs="Arial"/>
          <w:sz w:val="24"/>
          <w:szCs w:val="24"/>
        </w:rPr>
        <w:t xml:space="preserve"> customer experience as well as scanning &amp; database accuracy)</w:t>
      </w:r>
      <w:r w:rsidRPr="00B86161">
        <w:rPr>
          <w:rFonts w:ascii="Arial" w:hAnsi="Arial" w:cs="Arial"/>
          <w:sz w:val="24"/>
          <w:szCs w:val="24"/>
        </w:rPr>
        <w:t xml:space="preserve">. </w:t>
      </w:r>
      <w:r>
        <w:rPr>
          <w:rFonts w:ascii="Arial" w:hAnsi="Arial" w:cs="Arial"/>
          <w:sz w:val="24"/>
          <w:szCs w:val="24"/>
        </w:rPr>
        <w:t xml:space="preserve">The projects are on track and are expected to deliver discounted paybacks of less than 18 months. </w:t>
      </w:r>
    </w:p>
    <w:p w14:paraId="3BAC1F76" w14:textId="77777777" w:rsidR="006B66EF" w:rsidRDefault="006B66EF" w:rsidP="006B66EF">
      <w:pPr>
        <w:jc w:val="left"/>
        <w:rPr>
          <w:rFonts w:ascii="Arial" w:hAnsi="Arial" w:cs="Arial"/>
          <w:sz w:val="24"/>
          <w:szCs w:val="24"/>
        </w:rPr>
      </w:pPr>
    </w:p>
    <w:p w14:paraId="553FC8A2" w14:textId="6E699046" w:rsidR="006B66EF" w:rsidRDefault="006B66EF" w:rsidP="006B66EF">
      <w:pPr>
        <w:jc w:val="left"/>
        <w:rPr>
          <w:rFonts w:ascii="Arial" w:hAnsi="Arial" w:cs="Arial"/>
          <w:sz w:val="24"/>
          <w:szCs w:val="24"/>
        </w:rPr>
      </w:pPr>
      <w:r>
        <w:rPr>
          <w:rFonts w:ascii="Arial" w:hAnsi="Arial" w:cs="Arial"/>
          <w:sz w:val="24"/>
          <w:szCs w:val="24"/>
        </w:rPr>
        <w:t xml:space="preserve">B&amp;Q also launched ‘Click, Pay &amp; Collect’ on </w:t>
      </w:r>
      <w:r w:rsidRPr="00507B19">
        <w:rPr>
          <w:rFonts w:ascii="Arial" w:hAnsi="Arial" w:cs="Arial"/>
          <w:sz w:val="24"/>
          <w:szCs w:val="24"/>
        </w:rPr>
        <w:t xml:space="preserve">over </w:t>
      </w:r>
      <w:r w:rsidR="0056355B" w:rsidRPr="00507B19">
        <w:rPr>
          <w:rFonts w:ascii="Arial" w:hAnsi="Arial" w:cs="Arial"/>
          <w:sz w:val="24"/>
          <w:szCs w:val="24"/>
        </w:rPr>
        <w:t>14</w:t>
      </w:r>
      <w:r w:rsidRPr="00507B19">
        <w:rPr>
          <w:rFonts w:ascii="Arial" w:hAnsi="Arial" w:cs="Arial"/>
          <w:sz w:val="24"/>
          <w:szCs w:val="24"/>
        </w:rPr>
        <w:t>,000 products</w:t>
      </w:r>
      <w:r>
        <w:rPr>
          <w:rFonts w:ascii="Arial" w:hAnsi="Arial" w:cs="Arial"/>
          <w:sz w:val="24"/>
          <w:szCs w:val="24"/>
        </w:rPr>
        <w:t xml:space="preserve"> with the release of </w:t>
      </w:r>
      <w:r w:rsidR="003163E5">
        <w:rPr>
          <w:rFonts w:ascii="Arial" w:hAnsi="Arial" w:cs="Arial"/>
          <w:sz w:val="24"/>
          <w:szCs w:val="24"/>
        </w:rPr>
        <w:t xml:space="preserve">the new </w:t>
      </w:r>
      <w:r>
        <w:rPr>
          <w:rFonts w:ascii="Arial" w:hAnsi="Arial" w:cs="Arial"/>
          <w:sz w:val="24"/>
          <w:szCs w:val="24"/>
        </w:rPr>
        <w:t>diy.com supported by better online content.</w:t>
      </w:r>
      <w:r w:rsidR="00EE3096">
        <w:rPr>
          <w:rFonts w:ascii="Arial" w:hAnsi="Arial" w:cs="Arial"/>
          <w:sz w:val="24"/>
          <w:szCs w:val="24"/>
        </w:rPr>
        <w:t xml:space="preserve"> </w:t>
      </w:r>
      <w:r w:rsidR="003163E5">
        <w:rPr>
          <w:rFonts w:ascii="Arial" w:hAnsi="Arial" w:cs="Arial"/>
          <w:sz w:val="24"/>
          <w:szCs w:val="24"/>
        </w:rPr>
        <w:t>Transacted o</w:t>
      </w:r>
      <w:r w:rsidR="00EE3096">
        <w:rPr>
          <w:rFonts w:ascii="Arial" w:hAnsi="Arial" w:cs="Arial"/>
          <w:sz w:val="24"/>
          <w:szCs w:val="24"/>
        </w:rPr>
        <w:t>nli</w:t>
      </w:r>
      <w:r w:rsidR="00CE56B3">
        <w:rPr>
          <w:rFonts w:ascii="Arial" w:hAnsi="Arial" w:cs="Arial"/>
          <w:sz w:val="24"/>
          <w:szCs w:val="24"/>
        </w:rPr>
        <w:t>ne sales</w:t>
      </w:r>
      <w:r w:rsidR="003163E5">
        <w:rPr>
          <w:rFonts w:ascii="Arial" w:hAnsi="Arial" w:cs="Arial"/>
          <w:sz w:val="24"/>
          <w:szCs w:val="24"/>
        </w:rPr>
        <w:t>, including home delivery,</w:t>
      </w:r>
      <w:r w:rsidR="00CE56B3">
        <w:rPr>
          <w:rFonts w:ascii="Arial" w:hAnsi="Arial" w:cs="Arial"/>
          <w:sz w:val="24"/>
          <w:szCs w:val="24"/>
        </w:rPr>
        <w:t xml:space="preserve"> </w:t>
      </w:r>
      <w:r w:rsidR="0056355B">
        <w:rPr>
          <w:rFonts w:ascii="Arial" w:hAnsi="Arial" w:cs="Arial"/>
          <w:sz w:val="24"/>
          <w:szCs w:val="24"/>
        </w:rPr>
        <w:t>are making encouraging early progress</w:t>
      </w:r>
      <w:r w:rsidR="003163E5">
        <w:rPr>
          <w:rFonts w:ascii="Arial" w:hAnsi="Arial" w:cs="Arial"/>
          <w:sz w:val="24"/>
          <w:szCs w:val="24"/>
        </w:rPr>
        <w:t>, growing 63%</w:t>
      </w:r>
      <w:r w:rsidR="0056355B">
        <w:rPr>
          <w:rFonts w:ascii="Arial" w:hAnsi="Arial" w:cs="Arial"/>
          <w:sz w:val="24"/>
          <w:szCs w:val="24"/>
        </w:rPr>
        <w:t xml:space="preserve">.    </w:t>
      </w:r>
    </w:p>
    <w:p w14:paraId="3287C5D3" w14:textId="77777777" w:rsidR="006B66EF" w:rsidRPr="000971B9" w:rsidRDefault="006B66EF" w:rsidP="006B66EF">
      <w:pPr>
        <w:jc w:val="left"/>
        <w:rPr>
          <w:rFonts w:ascii="Arial" w:hAnsi="Arial" w:cs="Arial"/>
          <w:sz w:val="24"/>
          <w:szCs w:val="24"/>
        </w:rPr>
      </w:pPr>
    </w:p>
    <w:p w14:paraId="74A9C067" w14:textId="62D0CF6E" w:rsidR="006B66EF" w:rsidRPr="000971B9" w:rsidRDefault="007A334A" w:rsidP="00657B3E">
      <w:pPr>
        <w:pStyle w:val="PlainText"/>
      </w:pPr>
      <w:r w:rsidRPr="00011E57">
        <w:rPr>
          <w:rFonts w:ascii="Arial" w:hAnsi="Arial" w:cs="Arial"/>
          <w:b/>
          <w:sz w:val="24"/>
          <w:szCs w:val="24"/>
        </w:rPr>
        <w:t>Screwfix</w:t>
      </w:r>
      <w:r w:rsidRPr="00011E57">
        <w:rPr>
          <w:rFonts w:ascii="Arial" w:hAnsi="Arial" w:cs="Arial"/>
          <w:sz w:val="24"/>
          <w:szCs w:val="24"/>
        </w:rPr>
        <w:t>, the highly successful omnichannel business, grew total sales by 25.5% (+13.4% LFL) to £835 million, driven by new ranges, a strong promotional programme reinforcing its value credentials and the continued roll out of new outlets, complimented by further digital and mobile development. Sixty net new outlets were opened, taking the total to 395.</w:t>
      </w:r>
    </w:p>
    <w:p w14:paraId="397B335B" w14:textId="77777777" w:rsidR="007D3DB2" w:rsidRDefault="007D3DB2" w:rsidP="00506D26">
      <w:pPr>
        <w:rPr>
          <w:rFonts w:ascii="Arial" w:hAnsi="Arial" w:cs="Arial"/>
          <w:b/>
          <w:bCs/>
          <w:sz w:val="24"/>
          <w:szCs w:val="24"/>
        </w:rPr>
      </w:pPr>
    </w:p>
    <w:p w14:paraId="3537BCD9" w14:textId="77777777" w:rsidR="001C43C3" w:rsidRDefault="001C43C3" w:rsidP="00506D26">
      <w:pPr>
        <w:rPr>
          <w:rFonts w:ascii="Arial" w:hAnsi="Arial" w:cs="Arial"/>
          <w:b/>
          <w:bCs/>
          <w:sz w:val="24"/>
          <w:szCs w:val="24"/>
        </w:rPr>
      </w:pPr>
    </w:p>
    <w:p w14:paraId="52A93325" w14:textId="77777777" w:rsidR="004B376D" w:rsidRDefault="004B376D">
      <w:pPr>
        <w:jc w:val="left"/>
        <w:rPr>
          <w:rFonts w:ascii="Arial" w:hAnsi="Arial" w:cs="Arial"/>
          <w:b/>
          <w:bCs/>
          <w:sz w:val="24"/>
          <w:szCs w:val="24"/>
        </w:rPr>
      </w:pPr>
      <w:r>
        <w:rPr>
          <w:rFonts w:ascii="Arial" w:hAnsi="Arial" w:cs="Arial"/>
          <w:b/>
          <w:bCs/>
          <w:sz w:val="24"/>
          <w:szCs w:val="24"/>
        </w:rPr>
        <w:br w:type="page"/>
      </w:r>
    </w:p>
    <w:p w14:paraId="73741D80" w14:textId="4BCEABFF" w:rsidR="001B3B55" w:rsidRPr="000971B9" w:rsidRDefault="001B3B55" w:rsidP="00506D26">
      <w:pPr>
        <w:rPr>
          <w:rFonts w:ascii="Arial" w:hAnsi="Arial" w:cs="Arial"/>
          <w:b/>
          <w:bCs/>
          <w:sz w:val="24"/>
          <w:szCs w:val="24"/>
        </w:rPr>
      </w:pPr>
      <w:r w:rsidRPr="000971B9">
        <w:rPr>
          <w:rFonts w:ascii="Arial" w:hAnsi="Arial" w:cs="Arial"/>
          <w:b/>
          <w:bCs/>
          <w:sz w:val="24"/>
          <w:szCs w:val="24"/>
        </w:rPr>
        <w:lastRenderedPageBreak/>
        <w:t>OTHER INTERNATIONAL</w:t>
      </w:r>
      <w:r w:rsidR="00E652D5" w:rsidRPr="000971B9">
        <w:rPr>
          <w:rFonts w:ascii="Arial" w:hAnsi="Arial" w:cs="Arial"/>
          <w:b/>
          <w:bCs/>
          <w:sz w:val="24"/>
          <w:szCs w:val="24"/>
        </w:rPr>
        <w:t>*</w:t>
      </w:r>
    </w:p>
    <w:p w14:paraId="489CAD36" w14:textId="77777777" w:rsidR="001B3B55" w:rsidRPr="000971B9" w:rsidRDefault="001B3B55" w:rsidP="001B3B55">
      <w:pPr>
        <w:rPr>
          <w:rFonts w:ascii="Arial" w:hAnsi="Arial" w:cs="Arial"/>
          <w:b/>
          <w:bCs/>
          <w:sz w:val="24"/>
          <w:szCs w:val="24"/>
        </w:rPr>
      </w:pPr>
    </w:p>
    <w:tbl>
      <w:tblPr>
        <w:tblW w:w="4839"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86"/>
        <w:gridCol w:w="1230"/>
        <w:gridCol w:w="1407"/>
        <w:gridCol w:w="1585"/>
        <w:gridCol w:w="1583"/>
        <w:gridCol w:w="1230"/>
      </w:tblGrid>
      <w:tr w:rsidR="008C16B2" w:rsidRPr="000971B9" w14:paraId="28C4AD3C" w14:textId="77777777" w:rsidTr="001B3B55">
        <w:trPr>
          <w:trHeight w:val="134"/>
        </w:trPr>
        <w:tc>
          <w:tcPr>
            <w:tcW w:w="1226" w:type="pct"/>
            <w:tcBorders>
              <w:top w:val="single" w:sz="4" w:space="0" w:color="auto"/>
            </w:tcBorders>
          </w:tcPr>
          <w:p w14:paraId="3DADD83E" w14:textId="77777777" w:rsidR="008C16B2" w:rsidRPr="000971B9" w:rsidRDefault="008C16B2" w:rsidP="008C16B2">
            <w:pPr>
              <w:rPr>
                <w:rFonts w:ascii="Arial" w:hAnsi="Arial" w:cs="Arial"/>
                <w:b/>
                <w:bCs/>
                <w:sz w:val="24"/>
                <w:szCs w:val="24"/>
              </w:rPr>
            </w:pPr>
            <w:r w:rsidRPr="000971B9">
              <w:rPr>
                <w:rFonts w:ascii="Arial" w:hAnsi="Arial" w:cs="Arial"/>
                <w:b/>
                <w:bCs/>
                <w:sz w:val="24"/>
                <w:szCs w:val="24"/>
              </w:rPr>
              <w:t>Sales £m</w:t>
            </w:r>
          </w:p>
        </w:tc>
        <w:tc>
          <w:tcPr>
            <w:tcW w:w="660" w:type="pct"/>
            <w:tcBorders>
              <w:top w:val="single" w:sz="4" w:space="0" w:color="auto"/>
            </w:tcBorders>
          </w:tcPr>
          <w:p w14:paraId="514DA461" w14:textId="77777777" w:rsidR="008C16B2" w:rsidRPr="000971B9" w:rsidRDefault="008C16B2" w:rsidP="001F62BE">
            <w:pPr>
              <w:jc w:val="right"/>
              <w:rPr>
                <w:rFonts w:ascii="Arial" w:hAnsi="Arial" w:cs="Arial"/>
                <w:b/>
                <w:bCs/>
                <w:sz w:val="24"/>
                <w:szCs w:val="24"/>
              </w:rPr>
            </w:pPr>
            <w:r w:rsidRPr="000971B9">
              <w:rPr>
                <w:rFonts w:ascii="Arial" w:hAnsi="Arial" w:cs="Arial"/>
                <w:b/>
                <w:bCs/>
                <w:sz w:val="24"/>
                <w:szCs w:val="24"/>
              </w:rPr>
              <w:t>201</w:t>
            </w:r>
            <w:r w:rsidR="001F62BE">
              <w:rPr>
                <w:rFonts w:ascii="Arial" w:hAnsi="Arial" w:cs="Arial"/>
                <w:b/>
                <w:bCs/>
                <w:sz w:val="24"/>
                <w:szCs w:val="24"/>
              </w:rPr>
              <w:t>4</w:t>
            </w:r>
            <w:r w:rsidRPr="000971B9">
              <w:rPr>
                <w:rFonts w:ascii="Arial" w:hAnsi="Arial" w:cs="Arial"/>
                <w:b/>
                <w:bCs/>
                <w:sz w:val="24"/>
                <w:szCs w:val="24"/>
              </w:rPr>
              <w:t>/1</w:t>
            </w:r>
            <w:r w:rsidR="001F62BE">
              <w:rPr>
                <w:rFonts w:ascii="Arial" w:hAnsi="Arial" w:cs="Arial"/>
                <w:b/>
                <w:bCs/>
                <w:sz w:val="24"/>
                <w:szCs w:val="24"/>
              </w:rPr>
              <w:t>5</w:t>
            </w:r>
          </w:p>
        </w:tc>
        <w:tc>
          <w:tcPr>
            <w:tcW w:w="755" w:type="pct"/>
            <w:tcBorders>
              <w:top w:val="single" w:sz="4" w:space="0" w:color="auto"/>
            </w:tcBorders>
          </w:tcPr>
          <w:p w14:paraId="2AA7FF9F" w14:textId="77777777" w:rsidR="008C16B2" w:rsidRPr="000971B9" w:rsidRDefault="001F62BE" w:rsidP="008C16B2">
            <w:pPr>
              <w:jc w:val="right"/>
              <w:rPr>
                <w:rFonts w:ascii="Arial" w:hAnsi="Arial" w:cs="Arial"/>
                <w:b/>
                <w:bCs/>
                <w:sz w:val="24"/>
                <w:szCs w:val="24"/>
              </w:rPr>
            </w:pPr>
            <w:r w:rsidRPr="000971B9">
              <w:rPr>
                <w:rFonts w:ascii="Arial" w:hAnsi="Arial" w:cs="Arial"/>
                <w:b/>
                <w:bCs/>
                <w:sz w:val="24"/>
                <w:szCs w:val="24"/>
              </w:rPr>
              <w:t>2013/14</w:t>
            </w:r>
          </w:p>
        </w:tc>
        <w:tc>
          <w:tcPr>
            <w:tcW w:w="850" w:type="pct"/>
            <w:tcBorders>
              <w:top w:val="single" w:sz="4" w:space="0" w:color="auto"/>
            </w:tcBorders>
          </w:tcPr>
          <w:p w14:paraId="0A063D33" w14:textId="77777777" w:rsidR="00197636" w:rsidRPr="000971B9" w:rsidRDefault="00197636" w:rsidP="00197636">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2C66771D" w14:textId="77777777" w:rsidR="008C16B2" w:rsidRPr="000971B9" w:rsidRDefault="008C16B2" w:rsidP="008C16B2">
            <w:pPr>
              <w:jc w:val="right"/>
              <w:rPr>
                <w:rFonts w:ascii="Arial" w:hAnsi="Arial" w:cs="Arial"/>
                <w:b/>
                <w:bCs/>
                <w:sz w:val="24"/>
                <w:szCs w:val="24"/>
              </w:rPr>
            </w:pPr>
          </w:p>
        </w:tc>
        <w:tc>
          <w:tcPr>
            <w:tcW w:w="849" w:type="pct"/>
            <w:tcBorders>
              <w:top w:val="single" w:sz="4" w:space="0" w:color="auto"/>
            </w:tcBorders>
          </w:tcPr>
          <w:p w14:paraId="71F4661A" w14:textId="77777777" w:rsidR="00197636" w:rsidRPr="000971B9" w:rsidRDefault="00197636" w:rsidP="00197636">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47FDFA17" w14:textId="77777777" w:rsidR="00197636" w:rsidRDefault="00197636" w:rsidP="00197636">
            <w:pPr>
              <w:jc w:val="right"/>
              <w:rPr>
                <w:rFonts w:ascii="Arial" w:hAnsi="Arial" w:cs="Arial"/>
                <w:b/>
                <w:bCs/>
                <w:sz w:val="24"/>
                <w:szCs w:val="24"/>
              </w:rPr>
            </w:pPr>
            <w:r>
              <w:rPr>
                <w:rFonts w:ascii="Arial" w:hAnsi="Arial" w:cs="Arial"/>
                <w:b/>
                <w:bCs/>
                <w:sz w:val="24"/>
                <w:szCs w:val="24"/>
              </w:rPr>
              <w:t>Currency</w:t>
            </w:r>
          </w:p>
          <w:p w14:paraId="75702DED" w14:textId="77777777" w:rsidR="008C16B2" w:rsidRPr="000971B9" w:rsidRDefault="00197636" w:rsidP="008C16B2">
            <w:pPr>
              <w:jc w:val="right"/>
              <w:rPr>
                <w:rFonts w:ascii="Arial" w:hAnsi="Arial" w:cs="Arial"/>
                <w:b/>
                <w:bCs/>
                <w:sz w:val="24"/>
                <w:szCs w:val="24"/>
              </w:rPr>
            </w:pPr>
            <w:r w:rsidRPr="000971B9">
              <w:rPr>
                <w:rFonts w:ascii="Arial" w:hAnsi="Arial" w:cs="Arial"/>
                <w:b/>
                <w:bCs/>
                <w:sz w:val="24"/>
                <w:szCs w:val="24"/>
              </w:rPr>
              <w:t>Change</w:t>
            </w:r>
            <w:r w:rsidR="008C16B2" w:rsidRPr="000971B9">
              <w:rPr>
                <w:rFonts w:ascii="Arial" w:hAnsi="Arial" w:cs="Arial"/>
                <w:b/>
                <w:bCs/>
                <w:sz w:val="24"/>
                <w:szCs w:val="24"/>
              </w:rPr>
              <w:t xml:space="preserve">  </w:t>
            </w:r>
          </w:p>
        </w:tc>
        <w:tc>
          <w:tcPr>
            <w:tcW w:w="660" w:type="pct"/>
            <w:tcBorders>
              <w:top w:val="single" w:sz="4" w:space="0" w:color="auto"/>
            </w:tcBorders>
          </w:tcPr>
          <w:p w14:paraId="6B9EDAAD" w14:textId="77777777" w:rsidR="008C16B2" w:rsidRPr="000971B9" w:rsidRDefault="008C16B2" w:rsidP="008C16B2">
            <w:pPr>
              <w:ind w:hanging="108"/>
              <w:jc w:val="right"/>
              <w:rPr>
                <w:rFonts w:ascii="Arial" w:hAnsi="Arial" w:cs="Arial"/>
                <w:b/>
                <w:bCs/>
                <w:sz w:val="24"/>
                <w:szCs w:val="24"/>
              </w:rPr>
            </w:pPr>
            <w:r w:rsidRPr="000971B9">
              <w:rPr>
                <w:rFonts w:ascii="Arial" w:hAnsi="Arial" w:cs="Arial"/>
                <w:b/>
                <w:bCs/>
                <w:sz w:val="24"/>
                <w:szCs w:val="24"/>
              </w:rPr>
              <w:t>% LFL</w:t>
            </w:r>
          </w:p>
          <w:p w14:paraId="4838092C" w14:textId="77777777" w:rsidR="008C16B2" w:rsidRPr="000971B9" w:rsidRDefault="008C16B2" w:rsidP="008C16B2">
            <w:pPr>
              <w:ind w:hanging="108"/>
              <w:jc w:val="right"/>
              <w:rPr>
                <w:rFonts w:ascii="Arial" w:hAnsi="Arial" w:cs="Arial"/>
                <w:b/>
                <w:bCs/>
                <w:sz w:val="24"/>
                <w:szCs w:val="24"/>
              </w:rPr>
            </w:pPr>
            <w:r w:rsidRPr="000971B9">
              <w:rPr>
                <w:rFonts w:ascii="Arial" w:hAnsi="Arial" w:cs="Arial"/>
                <w:b/>
                <w:bCs/>
                <w:sz w:val="24"/>
                <w:szCs w:val="24"/>
              </w:rPr>
              <w:t>Change</w:t>
            </w:r>
          </w:p>
        </w:tc>
      </w:tr>
      <w:tr w:rsidR="006A2252" w:rsidRPr="000971B9" w14:paraId="1327D38F" w14:textId="77777777" w:rsidTr="001B3B55">
        <w:trPr>
          <w:trHeight w:val="134"/>
        </w:trPr>
        <w:tc>
          <w:tcPr>
            <w:tcW w:w="1226" w:type="pct"/>
            <w:tcBorders>
              <w:bottom w:val="single" w:sz="4" w:space="0" w:color="auto"/>
            </w:tcBorders>
          </w:tcPr>
          <w:p w14:paraId="1C369EE1" w14:textId="77777777" w:rsidR="001B3B55" w:rsidRPr="000971B9" w:rsidRDefault="001B3B55" w:rsidP="00686158">
            <w:pPr>
              <w:jc w:val="left"/>
              <w:rPr>
                <w:rFonts w:ascii="Arial" w:hAnsi="Arial" w:cs="Arial"/>
                <w:sz w:val="24"/>
                <w:szCs w:val="24"/>
              </w:rPr>
            </w:pPr>
            <w:r w:rsidRPr="000971B9">
              <w:rPr>
                <w:rFonts w:ascii="Arial" w:hAnsi="Arial" w:cs="Arial"/>
                <w:sz w:val="24"/>
                <w:szCs w:val="24"/>
              </w:rPr>
              <w:t>Other International</w:t>
            </w:r>
          </w:p>
        </w:tc>
        <w:tc>
          <w:tcPr>
            <w:tcW w:w="660" w:type="pct"/>
            <w:tcBorders>
              <w:bottom w:val="single" w:sz="4" w:space="0" w:color="auto"/>
            </w:tcBorders>
          </w:tcPr>
          <w:p w14:paraId="7679ED89" w14:textId="77777777" w:rsidR="001B3B55" w:rsidRPr="000971B9" w:rsidRDefault="00C715AF" w:rsidP="001B3B55">
            <w:pPr>
              <w:jc w:val="right"/>
              <w:rPr>
                <w:rFonts w:ascii="Arial" w:hAnsi="Arial" w:cs="Arial"/>
                <w:sz w:val="24"/>
                <w:szCs w:val="24"/>
              </w:rPr>
            </w:pPr>
            <w:r>
              <w:rPr>
                <w:rFonts w:ascii="Arial" w:hAnsi="Arial" w:cs="Arial"/>
                <w:sz w:val="24"/>
                <w:szCs w:val="24"/>
              </w:rPr>
              <w:t>2,234</w:t>
            </w:r>
          </w:p>
        </w:tc>
        <w:tc>
          <w:tcPr>
            <w:tcW w:w="755" w:type="pct"/>
            <w:tcBorders>
              <w:bottom w:val="single" w:sz="4" w:space="0" w:color="auto"/>
            </w:tcBorders>
          </w:tcPr>
          <w:p w14:paraId="3E9A8BC4" w14:textId="77777777" w:rsidR="00590201" w:rsidRPr="000971B9" w:rsidRDefault="001F62BE">
            <w:pPr>
              <w:jc w:val="right"/>
              <w:rPr>
                <w:rFonts w:ascii="Arial" w:hAnsi="Arial" w:cs="Arial"/>
                <w:sz w:val="24"/>
                <w:szCs w:val="24"/>
              </w:rPr>
            </w:pPr>
            <w:r w:rsidRPr="00EE69A6">
              <w:rPr>
                <w:rFonts w:ascii="Arial" w:hAnsi="Arial" w:cs="Arial"/>
                <w:sz w:val="24"/>
                <w:szCs w:val="24"/>
              </w:rPr>
              <w:t>2,339</w:t>
            </w:r>
          </w:p>
        </w:tc>
        <w:tc>
          <w:tcPr>
            <w:tcW w:w="850" w:type="pct"/>
            <w:tcBorders>
              <w:bottom w:val="single" w:sz="4" w:space="0" w:color="auto"/>
            </w:tcBorders>
          </w:tcPr>
          <w:p w14:paraId="49F0C6BA" w14:textId="77777777" w:rsidR="001B3B55" w:rsidRPr="000971B9" w:rsidRDefault="00C715AF" w:rsidP="001F62BE">
            <w:pPr>
              <w:jc w:val="right"/>
              <w:rPr>
                <w:rFonts w:ascii="Arial" w:hAnsi="Arial" w:cs="Arial"/>
                <w:sz w:val="24"/>
                <w:szCs w:val="24"/>
              </w:rPr>
            </w:pPr>
            <w:r>
              <w:rPr>
                <w:rFonts w:ascii="Arial" w:hAnsi="Arial" w:cs="Arial"/>
                <w:sz w:val="24"/>
                <w:szCs w:val="24"/>
              </w:rPr>
              <w:t>(4.5)</w:t>
            </w:r>
            <w:r w:rsidR="00DB7164" w:rsidRPr="000971B9">
              <w:rPr>
                <w:rFonts w:ascii="Arial" w:hAnsi="Arial" w:cs="Arial"/>
                <w:sz w:val="24"/>
                <w:szCs w:val="24"/>
              </w:rPr>
              <w:t>%</w:t>
            </w:r>
          </w:p>
        </w:tc>
        <w:tc>
          <w:tcPr>
            <w:tcW w:w="849" w:type="pct"/>
            <w:tcBorders>
              <w:bottom w:val="single" w:sz="4" w:space="0" w:color="auto"/>
            </w:tcBorders>
          </w:tcPr>
          <w:p w14:paraId="3504B652" w14:textId="77777777" w:rsidR="001B3B55" w:rsidRPr="000971B9" w:rsidRDefault="00E20B38" w:rsidP="007F4562">
            <w:pPr>
              <w:jc w:val="right"/>
              <w:rPr>
                <w:rFonts w:ascii="Arial" w:hAnsi="Arial" w:cs="Arial"/>
                <w:sz w:val="24"/>
                <w:szCs w:val="24"/>
              </w:rPr>
            </w:pPr>
            <w:r w:rsidRPr="000971B9">
              <w:rPr>
                <w:rFonts w:ascii="Arial" w:hAnsi="Arial" w:cs="Arial"/>
                <w:sz w:val="24"/>
                <w:szCs w:val="24"/>
              </w:rPr>
              <w:t>+</w:t>
            </w:r>
            <w:r w:rsidR="00C715AF">
              <w:rPr>
                <w:rFonts w:ascii="Arial" w:hAnsi="Arial" w:cs="Arial"/>
                <w:sz w:val="24"/>
                <w:szCs w:val="24"/>
              </w:rPr>
              <w:t>5.0</w:t>
            </w:r>
            <w:r w:rsidR="00DB7164" w:rsidRPr="000971B9">
              <w:rPr>
                <w:rFonts w:ascii="Arial" w:hAnsi="Arial" w:cs="Arial"/>
                <w:sz w:val="24"/>
                <w:szCs w:val="24"/>
              </w:rPr>
              <w:t>%</w:t>
            </w:r>
          </w:p>
        </w:tc>
        <w:tc>
          <w:tcPr>
            <w:tcW w:w="660" w:type="pct"/>
            <w:tcBorders>
              <w:bottom w:val="single" w:sz="4" w:space="0" w:color="auto"/>
            </w:tcBorders>
          </w:tcPr>
          <w:p w14:paraId="10D33F15" w14:textId="77777777" w:rsidR="001B3B55" w:rsidRPr="000971B9" w:rsidRDefault="00E20B38" w:rsidP="007F4562">
            <w:pPr>
              <w:jc w:val="right"/>
              <w:rPr>
                <w:rFonts w:ascii="Arial" w:hAnsi="Arial" w:cs="Arial"/>
                <w:sz w:val="24"/>
                <w:szCs w:val="24"/>
              </w:rPr>
            </w:pPr>
            <w:r w:rsidRPr="000971B9">
              <w:rPr>
                <w:rFonts w:ascii="Arial" w:hAnsi="Arial" w:cs="Arial"/>
                <w:sz w:val="24"/>
                <w:szCs w:val="24"/>
              </w:rPr>
              <w:t>+</w:t>
            </w:r>
            <w:r w:rsidR="00C715AF">
              <w:rPr>
                <w:rFonts w:ascii="Arial" w:hAnsi="Arial" w:cs="Arial"/>
                <w:sz w:val="24"/>
                <w:szCs w:val="24"/>
              </w:rPr>
              <w:t>0.1</w:t>
            </w:r>
            <w:r w:rsidR="00DB7164" w:rsidRPr="000971B9">
              <w:rPr>
                <w:rFonts w:ascii="Arial" w:hAnsi="Arial" w:cs="Arial"/>
                <w:sz w:val="24"/>
                <w:szCs w:val="24"/>
              </w:rPr>
              <w:t>%</w:t>
            </w:r>
          </w:p>
        </w:tc>
      </w:tr>
    </w:tbl>
    <w:p w14:paraId="79EBE100" w14:textId="77777777" w:rsidR="001B3B55" w:rsidRPr="000971B9" w:rsidRDefault="001B3B55" w:rsidP="001B3B55">
      <w:pPr>
        <w:rPr>
          <w:rFonts w:ascii="Arial" w:hAnsi="Arial" w:cs="Arial"/>
          <w:sz w:val="24"/>
          <w:szCs w:val="24"/>
        </w:rPr>
      </w:pPr>
    </w:p>
    <w:tbl>
      <w:tblPr>
        <w:tblW w:w="4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175"/>
        <w:gridCol w:w="1417"/>
        <w:gridCol w:w="1506"/>
        <w:gridCol w:w="1663"/>
      </w:tblGrid>
      <w:tr w:rsidR="008C16B2" w:rsidRPr="000971B9" w14:paraId="770D1732" w14:textId="77777777" w:rsidTr="00686158">
        <w:trPr>
          <w:trHeight w:val="134"/>
        </w:trPr>
        <w:tc>
          <w:tcPr>
            <w:tcW w:w="1439" w:type="pct"/>
          </w:tcPr>
          <w:p w14:paraId="6923A4D9" w14:textId="77777777" w:rsidR="008C16B2" w:rsidRPr="000971B9" w:rsidRDefault="008C16B2" w:rsidP="008C16B2">
            <w:pPr>
              <w:rPr>
                <w:rFonts w:ascii="Arial" w:hAnsi="Arial" w:cs="Arial"/>
                <w:b/>
                <w:bCs/>
                <w:sz w:val="24"/>
                <w:szCs w:val="24"/>
              </w:rPr>
            </w:pPr>
            <w:r w:rsidRPr="000971B9">
              <w:rPr>
                <w:rFonts w:ascii="Arial" w:hAnsi="Arial" w:cs="Arial"/>
                <w:b/>
                <w:bCs/>
                <w:sz w:val="24"/>
                <w:szCs w:val="24"/>
              </w:rPr>
              <w:t>Retail profit £m</w:t>
            </w:r>
          </w:p>
        </w:tc>
        <w:tc>
          <w:tcPr>
            <w:tcW w:w="726" w:type="pct"/>
          </w:tcPr>
          <w:p w14:paraId="17780FBF" w14:textId="77777777" w:rsidR="008C16B2" w:rsidRPr="000971B9" w:rsidRDefault="008C16B2" w:rsidP="001F62BE">
            <w:pPr>
              <w:jc w:val="right"/>
              <w:rPr>
                <w:rFonts w:ascii="Arial" w:hAnsi="Arial" w:cs="Arial"/>
                <w:b/>
                <w:bCs/>
                <w:sz w:val="24"/>
                <w:szCs w:val="24"/>
              </w:rPr>
            </w:pPr>
            <w:r w:rsidRPr="000971B9">
              <w:rPr>
                <w:rFonts w:ascii="Arial" w:hAnsi="Arial" w:cs="Arial"/>
                <w:b/>
                <w:bCs/>
                <w:sz w:val="24"/>
                <w:szCs w:val="24"/>
              </w:rPr>
              <w:t>201</w:t>
            </w:r>
            <w:r w:rsidR="001F62BE">
              <w:rPr>
                <w:rFonts w:ascii="Arial" w:hAnsi="Arial" w:cs="Arial"/>
                <w:b/>
                <w:bCs/>
                <w:sz w:val="24"/>
                <w:szCs w:val="24"/>
              </w:rPr>
              <w:t>4</w:t>
            </w:r>
            <w:r w:rsidRPr="000971B9">
              <w:rPr>
                <w:rFonts w:ascii="Arial" w:hAnsi="Arial" w:cs="Arial"/>
                <w:b/>
                <w:bCs/>
                <w:sz w:val="24"/>
                <w:szCs w:val="24"/>
              </w:rPr>
              <w:t>/1</w:t>
            </w:r>
            <w:r w:rsidR="001F62BE">
              <w:rPr>
                <w:rFonts w:ascii="Arial" w:hAnsi="Arial" w:cs="Arial"/>
                <w:b/>
                <w:bCs/>
                <w:sz w:val="24"/>
                <w:szCs w:val="24"/>
              </w:rPr>
              <w:t>5</w:t>
            </w:r>
          </w:p>
        </w:tc>
        <w:tc>
          <w:tcPr>
            <w:tcW w:w="876" w:type="pct"/>
          </w:tcPr>
          <w:p w14:paraId="7400CFFA" w14:textId="77777777" w:rsidR="008C16B2" w:rsidRPr="000971B9" w:rsidRDefault="008C16B2" w:rsidP="001F62BE">
            <w:pPr>
              <w:jc w:val="right"/>
              <w:rPr>
                <w:rFonts w:ascii="Arial" w:hAnsi="Arial" w:cs="Arial"/>
                <w:b/>
                <w:bCs/>
                <w:sz w:val="24"/>
                <w:szCs w:val="24"/>
              </w:rPr>
            </w:pPr>
            <w:r w:rsidRPr="000971B9">
              <w:rPr>
                <w:rFonts w:ascii="Arial" w:hAnsi="Arial" w:cs="Arial"/>
                <w:b/>
                <w:bCs/>
                <w:sz w:val="24"/>
                <w:szCs w:val="24"/>
              </w:rPr>
              <w:t>201</w:t>
            </w:r>
            <w:r w:rsidR="001F62BE">
              <w:rPr>
                <w:rFonts w:ascii="Arial" w:hAnsi="Arial" w:cs="Arial"/>
                <w:b/>
                <w:bCs/>
                <w:sz w:val="24"/>
                <w:szCs w:val="24"/>
              </w:rPr>
              <w:t>3</w:t>
            </w:r>
            <w:r w:rsidRPr="000971B9">
              <w:rPr>
                <w:rFonts w:ascii="Arial" w:hAnsi="Arial" w:cs="Arial"/>
                <w:b/>
                <w:bCs/>
                <w:sz w:val="24"/>
                <w:szCs w:val="24"/>
              </w:rPr>
              <w:t>/1</w:t>
            </w:r>
            <w:r w:rsidR="001F62BE">
              <w:rPr>
                <w:rFonts w:ascii="Arial" w:hAnsi="Arial" w:cs="Arial"/>
                <w:b/>
                <w:bCs/>
                <w:sz w:val="24"/>
                <w:szCs w:val="24"/>
              </w:rPr>
              <w:t>4</w:t>
            </w:r>
          </w:p>
        </w:tc>
        <w:tc>
          <w:tcPr>
            <w:tcW w:w="931" w:type="pct"/>
          </w:tcPr>
          <w:p w14:paraId="5E378F7F" w14:textId="77777777" w:rsidR="00197636" w:rsidRPr="000971B9" w:rsidRDefault="00197636" w:rsidP="00197636">
            <w:pPr>
              <w:ind w:left="-51"/>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1488E7B6" w14:textId="77777777" w:rsidR="008C16B2" w:rsidRPr="000971B9" w:rsidRDefault="008C16B2" w:rsidP="008C16B2">
            <w:pPr>
              <w:jc w:val="right"/>
              <w:rPr>
                <w:rFonts w:ascii="Arial" w:hAnsi="Arial" w:cs="Arial"/>
                <w:b/>
                <w:bCs/>
                <w:sz w:val="24"/>
                <w:szCs w:val="24"/>
              </w:rPr>
            </w:pPr>
            <w:r w:rsidRPr="000971B9">
              <w:rPr>
                <w:rFonts w:ascii="Arial" w:hAnsi="Arial" w:cs="Arial"/>
                <w:b/>
                <w:bCs/>
                <w:sz w:val="24"/>
                <w:szCs w:val="24"/>
              </w:rPr>
              <w:t xml:space="preserve"> </w:t>
            </w:r>
          </w:p>
        </w:tc>
        <w:tc>
          <w:tcPr>
            <w:tcW w:w="1028" w:type="pct"/>
          </w:tcPr>
          <w:p w14:paraId="632DEC29" w14:textId="77777777" w:rsidR="00197636" w:rsidRPr="000971B9" w:rsidRDefault="00197636" w:rsidP="00197636">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73C9BFD3" w14:textId="77777777" w:rsidR="00197636" w:rsidRDefault="00197636" w:rsidP="00197636">
            <w:pPr>
              <w:jc w:val="right"/>
              <w:rPr>
                <w:rFonts w:ascii="Arial" w:hAnsi="Arial" w:cs="Arial"/>
                <w:b/>
                <w:bCs/>
                <w:sz w:val="24"/>
                <w:szCs w:val="24"/>
              </w:rPr>
            </w:pPr>
            <w:r>
              <w:rPr>
                <w:rFonts w:ascii="Arial" w:hAnsi="Arial" w:cs="Arial"/>
                <w:b/>
                <w:bCs/>
                <w:sz w:val="24"/>
                <w:szCs w:val="24"/>
              </w:rPr>
              <w:t>Currency</w:t>
            </w:r>
          </w:p>
          <w:p w14:paraId="1DD1072D" w14:textId="77777777" w:rsidR="008C16B2" w:rsidRPr="000971B9" w:rsidRDefault="00197636" w:rsidP="00197636">
            <w:pPr>
              <w:jc w:val="right"/>
              <w:rPr>
                <w:rFonts w:ascii="Arial" w:hAnsi="Arial" w:cs="Arial"/>
                <w:b/>
                <w:bCs/>
                <w:sz w:val="24"/>
                <w:szCs w:val="24"/>
              </w:rPr>
            </w:pPr>
            <w:r w:rsidRPr="000971B9">
              <w:rPr>
                <w:rFonts w:ascii="Arial" w:hAnsi="Arial" w:cs="Arial"/>
                <w:b/>
                <w:bCs/>
                <w:sz w:val="24"/>
                <w:szCs w:val="24"/>
              </w:rPr>
              <w:t>Change</w:t>
            </w:r>
            <w:r w:rsidR="008C16B2" w:rsidRPr="000971B9">
              <w:rPr>
                <w:rFonts w:ascii="Arial" w:hAnsi="Arial" w:cs="Arial"/>
                <w:b/>
                <w:bCs/>
                <w:sz w:val="24"/>
                <w:szCs w:val="24"/>
              </w:rPr>
              <w:t xml:space="preserve"> </w:t>
            </w:r>
          </w:p>
        </w:tc>
      </w:tr>
      <w:tr w:rsidR="006A2252" w:rsidRPr="000971B9" w14:paraId="20EC0DF6" w14:textId="77777777" w:rsidTr="00686158">
        <w:trPr>
          <w:trHeight w:val="134"/>
        </w:trPr>
        <w:tc>
          <w:tcPr>
            <w:tcW w:w="1439" w:type="pct"/>
          </w:tcPr>
          <w:p w14:paraId="4C3FCECD" w14:textId="506801C8" w:rsidR="001B3B55" w:rsidRPr="000971B9" w:rsidRDefault="001B3B55">
            <w:pPr>
              <w:jc w:val="left"/>
              <w:rPr>
                <w:rFonts w:ascii="Arial" w:hAnsi="Arial" w:cs="Arial"/>
                <w:sz w:val="24"/>
                <w:szCs w:val="24"/>
              </w:rPr>
            </w:pPr>
            <w:r w:rsidRPr="000971B9">
              <w:rPr>
                <w:rFonts w:ascii="Arial" w:hAnsi="Arial" w:cs="Arial"/>
                <w:sz w:val="24"/>
                <w:szCs w:val="24"/>
              </w:rPr>
              <w:t>Other International</w:t>
            </w:r>
            <w:r w:rsidR="00697636">
              <w:rPr>
                <w:rFonts w:ascii="Arial" w:hAnsi="Arial" w:cs="Arial"/>
                <w:sz w:val="24"/>
                <w:szCs w:val="24"/>
              </w:rPr>
              <w:t xml:space="preserve"> (</w:t>
            </w:r>
            <w:r w:rsidR="007D3DB2">
              <w:rPr>
                <w:rFonts w:ascii="Arial" w:hAnsi="Arial" w:cs="Arial"/>
                <w:sz w:val="24"/>
                <w:szCs w:val="24"/>
              </w:rPr>
              <w:t>established</w:t>
            </w:r>
            <w:r w:rsidR="00697636">
              <w:rPr>
                <w:rFonts w:ascii="Arial" w:hAnsi="Arial" w:cs="Arial"/>
                <w:sz w:val="24"/>
                <w:szCs w:val="24"/>
              </w:rPr>
              <w:t>)</w:t>
            </w:r>
          </w:p>
        </w:tc>
        <w:tc>
          <w:tcPr>
            <w:tcW w:w="726" w:type="pct"/>
          </w:tcPr>
          <w:p w14:paraId="46ED6F34" w14:textId="7D9C142D" w:rsidR="001B3B55" w:rsidRPr="006A21E0" w:rsidRDefault="007D3DB2">
            <w:pPr>
              <w:jc w:val="right"/>
              <w:rPr>
                <w:rFonts w:ascii="Arial" w:hAnsi="Arial" w:cs="Arial"/>
                <w:sz w:val="24"/>
                <w:szCs w:val="24"/>
              </w:rPr>
            </w:pPr>
            <w:r w:rsidRPr="006A21E0">
              <w:rPr>
                <w:rFonts w:ascii="Arial" w:hAnsi="Arial" w:cs="Arial"/>
                <w:sz w:val="24"/>
                <w:szCs w:val="24"/>
              </w:rPr>
              <w:t>13</w:t>
            </w:r>
            <w:r>
              <w:rPr>
                <w:rFonts w:ascii="Arial" w:hAnsi="Arial" w:cs="Arial"/>
                <w:sz w:val="24"/>
                <w:szCs w:val="24"/>
              </w:rPr>
              <w:t>9</w:t>
            </w:r>
          </w:p>
        </w:tc>
        <w:tc>
          <w:tcPr>
            <w:tcW w:w="876" w:type="pct"/>
          </w:tcPr>
          <w:p w14:paraId="1DD00AD7" w14:textId="77777777" w:rsidR="001B3B55" w:rsidRPr="006A21E0" w:rsidRDefault="00DD3E8E">
            <w:pPr>
              <w:jc w:val="right"/>
              <w:rPr>
                <w:rFonts w:ascii="Arial" w:hAnsi="Arial" w:cs="Arial"/>
                <w:sz w:val="24"/>
                <w:szCs w:val="24"/>
              </w:rPr>
            </w:pPr>
            <w:r w:rsidRPr="006A21E0">
              <w:rPr>
                <w:rFonts w:ascii="Arial" w:hAnsi="Arial" w:cs="Arial"/>
                <w:sz w:val="24"/>
                <w:szCs w:val="24"/>
              </w:rPr>
              <w:t>1</w:t>
            </w:r>
            <w:r w:rsidR="006A21E0" w:rsidRPr="006C2C39">
              <w:rPr>
                <w:rFonts w:ascii="Arial" w:hAnsi="Arial" w:cs="Arial"/>
                <w:sz w:val="24"/>
                <w:szCs w:val="24"/>
              </w:rPr>
              <w:t>50</w:t>
            </w:r>
          </w:p>
        </w:tc>
        <w:tc>
          <w:tcPr>
            <w:tcW w:w="931" w:type="pct"/>
          </w:tcPr>
          <w:p w14:paraId="513C91A0" w14:textId="77777777" w:rsidR="001B3B55" w:rsidRPr="000E792C" w:rsidRDefault="00AB5F99" w:rsidP="007F4562">
            <w:pPr>
              <w:jc w:val="right"/>
              <w:rPr>
                <w:rFonts w:ascii="Arial" w:hAnsi="Arial" w:cs="Arial"/>
                <w:sz w:val="24"/>
                <w:szCs w:val="24"/>
              </w:rPr>
            </w:pPr>
            <w:r w:rsidRPr="000E792C">
              <w:rPr>
                <w:rFonts w:ascii="Arial" w:hAnsi="Arial" w:cs="Arial"/>
                <w:sz w:val="24"/>
                <w:szCs w:val="24"/>
              </w:rPr>
              <w:t>(</w:t>
            </w:r>
            <w:r w:rsidR="001E549F">
              <w:rPr>
                <w:rFonts w:ascii="Arial" w:hAnsi="Arial" w:cs="Arial"/>
                <w:sz w:val="24"/>
                <w:szCs w:val="24"/>
              </w:rPr>
              <w:t>7.7</w:t>
            </w:r>
            <w:r w:rsidR="007C7C2C" w:rsidRPr="000E792C">
              <w:rPr>
                <w:rFonts w:ascii="Arial" w:hAnsi="Arial" w:cs="Arial"/>
                <w:sz w:val="24"/>
                <w:szCs w:val="24"/>
              </w:rPr>
              <w:t>)</w:t>
            </w:r>
            <w:r w:rsidR="00DB7164" w:rsidRPr="000E792C">
              <w:rPr>
                <w:rFonts w:ascii="Arial" w:hAnsi="Arial" w:cs="Arial"/>
                <w:sz w:val="24"/>
                <w:szCs w:val="24"/>
              </w:rPr>
              <w:t>%</w:t>
            </w:r>
          </w:p>
        </w:tc>
        <w:tc>
          <w:tcPr>
            <w:tcW w:w="1028" w:type="pct"/>
          </w:tcPr>
          <w:p w14:paraId="1BAB97D2" w14:textId="77777777" w:rsidR="001B3B55" w:rsidRPr="000E792C" w:rsidRDefault="001E549F" w:rsidP="007F4562">
            <w:pPr>
              <w:jc w:val="right"/>
              <w:rPr>
                <w:rFonts w:ascii="Arial" w:hAnsi="Arial" w:cs="Arial"/>
                <w:sz w:val="24"/>
                <w:szCs w:val="24"/>
              </w:rPr>
            </w:pPr>
            <w:r>
              <w:rPr>
                <w:rFonts w:ascii="Arial" w:hAnsi="Arial" w:cs="Arial"/>
                <w:sz w:val="24"/>
                <w:szCs w:val="24"/>
              </w:rPr>
              <w:t>+0</w:t>
            </w:r>
            <w:r w:rsidR="00D46028">
              <w:rPr>
                <w:rFonts w:ascii="Arial" w:hAnsi="Arial" w:cs="Arial"/>
                <w:sz w:val="24"/>
                <w:szCs w:val="24"/>
              </w:rPr>
              <w:t>.3</w:t>
            </w:r>
            <w:r w:rsidR="00DB7164" w:rsidRPr="000E792C">
              <w:rPr>
                <w:rFonts w:ascii="Arial" w:hAnsi="Arial" w:cs="Arial"/>
                <w:sz w:val="24"/>
                <w:szCs w:val="24"/>
              </w:rPr>
              <w:t>%</w:t>
            </w:r>
          </w:p>
        </w:tc>
      </w:tr>
      <w:tr w:rsidR="00686158" w:rsidRPr="000971B9" w14:paraId="03FB0038" w14:textId="77777777" w:rsidTr="00686158">
        <w:trPr>
          <w:trHeight w:val="134"/>
        </w:trPr>
        <w:tc>
          <w:tcPr>
            <w:tcW w:w="1439" w:type="pct"/>
          </w:tcPr>
          <w:p w14:paraId="1AE05276" w14:textId="77777777" w:rsidR="00697636" w:rsidRPr="000971B9" w:rsidRDefault="00697636" w:rsidP="00686158">
            <w:pPr>
              <w:jc w:val="left"/>
              <w:rPr>
                <w:rFonts w:ascii="Arial" w:hAnsi="Arial" w:cs="Arial"/>
                <w:sz w:val="24"/>
                <w:szCs w:val="24"/>
              </w:rPr>
            </w:pPr>
            <w:r>
              <w:rPr>
                <w:rFonts w:ascii="Arial" w:hAnsi="Arial" w:cs="Arial"/>
                <w:sz w:val="24"/>
                <w:szCs w:val="24"/>
              </w:rPr>
              <w:t>New country development*</w:t>
            </w:r>
          </w:p>
        </w:tc>
        <w:tc>
          <w:tcPr>
            <w:tcW w:w="726" w:type="pct"/>
          </w:tcPr>
          <w:p w14:paraId="2AC84645" w14:textId="77777777" w:rsidR="00697636" w:rsidRPr="007F33CA" w:rsidRDefault="00697636" w:rsidP="001B3B55">
            <w:pPr>
              <w:jc w:val="right"/>
              <w:rPr>
                <w:rFonts w:ascii="Arial" w:hAnsi="Arial" w:cs="Arial"/>
                <w:sz w:val="24"/>
                <w:szCs w:val="24"/>
              </w:rPr>
            </w:pPr>
            <w:r w:rsidRPr="000E792C">
              <w:rPr>
                <w:rFonts w:ascii="Arial" w:hAnsi="Arial" w:cs="Arial"/>
                <w:sz w:val="24"/>
                <w:szCs w:val="24"/>
              </w:rPr>
              <w:t>(22)</w:t>
            </w:r>
          </w:p>
        </w:tc>
        <w:tc>
          <w:tcPr>
            <w:tcW w:w="876" w:type="pct"/>
          </w:tcPr>
          <w:p w14:paraId="603C90E4" w14:textId="206F2932" w:rsidR="00697636" w:rsidRPr="007F33CA" w:rsidRDefault="007C47AE" w:rsidP="001B3B55">
            <w:pPr>
              <w:jc w:val="right"/>
              <w:rPr>
                <w:rFonts w:ascii="Arial" w:hAnsi="Arial" w:cs="Arial"/>
                <w:sz w:val="24"/>
                <w:szCs w:val="24"/>
              </w:rPr>
            </w:pPr>
            <w:r>
              <w:rPr>
                <w:rFonts w:ascii="Arial" w:hAnsi="Arial" w:cs="Arial"/>
                <w:sz w:val="24"/>
                <w:szCs w:val="24"/>
              </w:rPr>
              <w:t>1</w:t>
            </w:r>
          </w:p>
        </w:tc>
        <w:tc>
          <w:tcPr>
            <w:tcW w:w="931" w:type="pct"/>
          </w:tcPr>
          <w:p w14:paraId="0E8F7424" w14:textId="77777777" w:rsidR="00697636" w:rsidRDefault="00697636" w:rsidP="007F4562">
            <w:pPr>
              <w:jc w:val="right"/>
              <w:rPr>
                <w:rFonts w:ascii="Arial" w:hAnsi="Arial" w:cs="Arial"/>
                <w:sz w:val="24"/>
                <w:szCs w:val="24"/>
              </w:rPr>
            </w:pPr>
            <w:r>
              <w:rPr>
                <w:rFonts w:ascii="Arial" w:hAnsi="Arial" w:cs="Arial"/>
                <w:sz w:val="24"/>
                <w:szCs w:val="24"/>
              </w:rPr>
              <w:t>n/a</w:t>
            </w:r>
          </w:p>
        </w:tc>
        <w:tc>
          <w:tcPr>
            <w:tcW w:w="1028" w:type="pct"/>
          </w:tcPr>
          <w:p w14:paraId="30673F7A" w14:textId="77777777" w:rsidR="00697636" w:rsidRDefault="00697636" w:rsidP="007F4562">
            <w:pPr>
              <w:jc w:val="right"/>
              <w:rPr>
                <w:rFonts w:ascii="Arial" w:hAnsi="Arial" w:cs="Arial"/>
                <w:sz w:val="24"/>
                <w:szCs w:val="24"/>
              </w:rPr>
            </w:pPr>
            <w:r>
              <w:rPr>
                <w:rFonts w:ascii="Arial" w:hAnsi="Arial" w:cs="Arial"/>
                <w:sz w:val="24"/>
                <w:szCs w:val="24"/>
              </w:rPr>
              <w:t>n/a</w:t>
            </w:r>
          </w:p>
        </w:tc>
      </w:tr>
      <w:tr w:rsidR="001C41B3" w:rsidRPr="000971B9" w14:paraId="24331B45" w14:textId="77777777" w:rsidTr="00686158">
        <w:trPr>
          <w:trHeight w:val="134"/>
        </w:trPr>
        <w:tc>
          <w:tcPr>
            <w:tcW w:w="1439" w:type="pct"/>
          </w:tcPr>
          <w:p w14:paraId="4F44101A" w14:textId="77777777" w:rsidR="001C41B3" w:rsidRDefault="001C41B3" w:rsidP="00686158">
            <w:pPr>
              <w:jc w:val="left"/>
              <w:rPr>
                <w:rFonts w:ascii="Arial" w:hAnsi="Arial" w:cs="Arial"/>
                <w:sz w:val="24"/>
                <w:szCs w:val="24"/>
              </w:rPr>
            </w:pPr>
            <w:r>
              <w:rPr>
                <w:rFonts w:ascii="Arial" w:hAnsi="Arial" w:cs="Arial"/>
                <w:sz w:val="24"/>
                <w:szCs w:val="24"/>
              </w:rPr>
              <w:t>Asset held for sale (China)</w:t>
            </w:r>
          </w:p>
        </w:tc>
        <w:tc>
          <w:tcPr>
            <w:tcW w:w="726" w:type="pct"/>
          </w:tcPr>
          <w:p w14:paraId="012A9249" w14:textId="77777777" w:rsidR="001C41B3" w:rsidRPr="000E792C" w:rsidRDefault="001C41B3">
            <w:pPr>
              <w:jc w:val="right"/>
              <w:rPr>
                <w:rFonts w:ascii="Arial" w:hAnsi="Arial" w:cs="Arial"/>
                <w:sz w:val="24"/>
                <w:szCs w:val="24"/>
              </w:rPr>
            </w:pPr>
            <w:r w:rsidRPr="000E792C">
              <w:rPr>
                <w:rFonts w:ascii="Arial" w:hAnsi="Arial" w:cs="Arial"/>
                <w:sz w:val="24"/>
                <w:szCs w:val="24"/>
              </w:rPr>
              <w:t>(9)</w:t>
            </w:r>
          </w:p>
        </w:tc>
        <w:tc>
          <w:tcPr>
            <w:tcW w:w="876" w:type="pct"/>
          </w:tcPr>
          <w:p w14:paraId="593AB004" w14:textId="77777777" w:rsidR="001C41B3" w:rsidRPr="000E792C" w:rsidRDefault="001C41B3" w:rsidP="001B3B55">
            <w:pPr>
              <w:jc w:val="right"/>
              <w:rPr>
                <w:rFonts w:ascii="Arial" w:hAnsi="Arial" w:cs="Arial"/>
                <w:sz w:val="24"/>
                <w:szCs w:val="24"/>
              </w:rPr>
            </w:pPr>
            <w:r w:rsidRPr="000E792C">
              <w:rPr>
                <w:rFonts w:ascii="Arial" w:hAnsi="Arial" w:cs="Arial"/>
                <w:sz w:val="24"/>
                <w:szCs w:val="24"/>
              </w:rPr>
              <w:t>(6)</w:t>
            </w:r>
          </w:p>
        </w:tc>
        <w:tc>
          <w:tcPr>
            <w:tcW w:w="931" w:type="pct"/>
          </w:tcPr>
          <w:p w14:paraId="3B7F7DD2" w14:textId="77777777" w:rsidR="001C41B3" w:rsidRPr="000E792C" w:rsidRDefault="00C65B79" w:rsidP="007F4562">
            <w:pPr>
              <w:jc w:val="right"/>
              <w:rPr>
                <w:rFonts w:ascii="Arial" w:hAnsi="Arial" w:cs="Arial"/>
                <w:sz w:val="24"/>
                <w:szCs w:val="24"/>
              </w:rPr>
            </w:pPr>
            <w:r w:rsidRPr="000E792C">
              <w:rPr>
                <w:rFonts w:ascii="Arial" w:hAnsi="Arial" w:cs="Arial"/>
                <w:sz w:val="24"/>
                <w:szCs w:val="24"/>
              </w:rPr>
              <w:t>(53.6)%</w:t>
            </w:r>
          </w:p>
        </w:tc>
        <w:tc>
          <w:tcPr>
            <w:tcW w:w="1028" w:type="pct"/>
          </w:tcPr>
          <w:p w14:paraId="250AA39A" w14:textId="77777777" w:rsidR="001C41B3" w:rsidRPr="000E792C" w:rsidRDefault="00C65B79" w:rsidP="007F4562">
            <w:pPr>
              <w:jc w:val="right"/>
              <w:rPr>
                <w:rFonts w:ascii="Arial" w:hAnsi="Arial" w:cs="Arial"/>
                <w:sz w:val="24"/>
                <w:szCs w:val="24"/>
              </w:rPr>
            </w:pPr>
            <w:r w:rsidRPr="000E792C">
              <w:rPr>
                <w:rFonts w:ascii="Arial" w:hAnsi="Arial" w:cs="Arial"/>
                <w:sz w:val="24"/>
                <w:szCs w:val="24"/>
              </w:rPr>
              <w:t>(61.4)%</w:t>
            </w:r>
          </w:p>
        </w:tc>
      </w:tr>
      <w:tr w:rsidR="00686158" w:rsidRPr="000971B9" w14:paraId="7BD69C41" w14:textId="77777777" w:rsidTr="00686158">
        <w:trPr>
          <w:trHeight w:val="134"/>
        </w:trPr>
        <w:tc>
          <w:tcPr>
            <w:tcW w:w="1439" w:type="pct"/>
          </w:tcPr>
          <w:p w14:paraId="57A9F51D" w14:textId="77777777" w:rsidR="00697636" w:rsidRDefault="00697636" w:rsidP="00697636">
            <w:pPr>
              <w:jc w:val="left"/>
              <w:rPr>
                <w:rFonts w:ascii="Arial" w:hAnsi="Arial" w:cs="Arial"/>
                <w:sz w:val="24"/>
                <w:szCs w:val="24"/>
              </w:rPr>
            </w:pPr>
            <w:r>
              <w:rPr>
                <w:rFonts w:ascii="Arial" w:hAnsi="Arial" w:cs="Arial"/>
                <w:sz w:val="24"/>
                <w:szCs w:val="24"/>
              </w:rPr>
              <w:t>Total</w:t>
            </w:r>
          </w:p>
        </w:tc>
        <w:tc>
          <w:tcPr>
            <w:tcW w:w="726" w:type="pct"/>
          </w:tcPr>
          <w:p w14:paraId="2E2D4B94" w14:textId="77777777" w:rsidR="00697636" w:rsidRDefault="00697636" w:rsidP="001B3B55">
            <w:pPr>
              <w:jc w:val="right"/>
              <w:rPr>
                <w:rFonts w:ascii="Arial" w:hAnsi="Arial" w:cs="Arial"/>
                <w:sz w:val="24"/>
                <w:szCs w:val="24"/>
              </w:rPr>
            </w:pPr>
            <w:r>
              <w:rPr>
                <w:rFonts w:ascii="Arial" w:hAnsi="Arial" w:cs="Arial"/>
                <w:sz w:val="24"/>
                <w:szCs w:val="24"/>
              </w:rPr>
              <w:t>108</w:t>
            </w:r>
          </w:p>
        </w:tc>
        <w:tc>
          <w:tcPr>
            <w:tcW w:w="876" w:type="pct"/>
          </w:tcPr>
          <w:p w14:paraId="1AB931C7" w14:textId="77777777" w:rsidR="00697636" w:rsidRPr="00C01BAD" w:rsidRDefault="00697636" w:rsidP="001B3B55">
            <w:pPr>
              <w:jc w:val="right"/>
              <w:rPr>
                <w:rFonts w:ascii="Arial" w:hAnsi="Arial" w:cs="Arial"/>
                <w:sz w:val="24"/>
                <w:szCs w:val="24"/>
              </w:rPr>
            </w:pPr>
            <w:r>
              <w:rPr>
                <w:rFonts w:ascii="Arial" w:hAnsi="Arial" w:cs="Arial"/>
                <w:sz w:val="24"/>
                <w:szCs w:val="24"/>
              </w:rPr>
              <w:t>145</w:t>
            </w:r>
          </w:p>
        </w:tc>
        <w:tc>
          <w:tcPr>
            <w:tcW w:w="931" w:type="pct"/>
          </w:tcPr>
          <w:p w14:paraId="4DB75DEF" w14:textId="77777777" w:rsidR="00697636" w:rsidRDefault="00697636" w:rsidP="007F4562">
            <w:pPr>
              <w:jc w:val="right"/>
              <w:rPr>
                <w:rFonts w:ascii="Arial" w:hAnsi="Arial" w:cs="Arial"/>
                <w:sz w:val="24"/>
                <w:szCs w:val="24"/>
              </w:rPr>
            </w:pPr>
            <w:r>
              <w:rPr>
                <w:rFonts w:ascii="Arial" w:hAnsi="Arial" w:cs="Arial"/>
                <w:sz w:val="24"/>
                <w:szCs w:val="24"/>
              </w:rPr>
              <w:t>(2</w:t>
            </w:r>
            <w:r w:rsidR="004B31FF">
              <w:rPr>
                <w:rFonts w:ascii="Arial" w:hAnsi="Arial" w:cs="Arial"/>
                <w:sz w:val="24"/>
                <w:szCs w:val="24"/>
              </w:rPr>
              <w:t>6.1</w:t>
            </w:r>
            <w:r>
              <w:rPr>
                <w:rFonts w:ascii="Arial" w:hAnsi="Arial" w:cs="Arial"/>
                <w:sz w:val="24"/>
                <w:szCs w:val="24"/>
              </w:rPr>
              <w:t>)%</w:t>
            </w:r>
          </w:p>
        </w:tc>
        <w:tc>
          <w:tcPr>
            <w:tcW w:w="1028" w:type="pct"/>
          </w:tcPr>
          <w:p w14:paraId="0E9B6DF9" w14:textId="77777777" w:rsidR="00697636" w:rsidRDefault="00697636" w:rsidP="007F4562">
            <w:pPr>
              <w:jc w:val="right"/>
              <w:rPr>
                <w:rFonts w:ascii="Arial" w:hAnsi="Arial" w:cs="Arial"/>
                <w:sz w:val="24"/>
                <w:szCs w:val="24"/>
              </w:rPr>
            </w:pPr>
            <w:r>
              <w:rPr>
                <w:rFonts w:ascii="Arial" w:hAnsi="Arial" w:cs="Arial"/>
                <w:sz w:val="24"/>
                <w:szCs w:val="24"/>
              </w:rPr>
              <w:t>(</w:t>
            </w:r>
            <w:r w:rsidR="004B31FF">
              <w:rPr>
                <w:rFonts w:ascii="Arial" w:hAnsi="Arial" w:cs="Arial"/>
                <w:sz w:val="24"/>
                <w:szCs w:val="24"/>
              </w:rPr>
              <w:t>19.5</w:t>
            </w:r>
            <w:r>
              <w:rPr>
                <w:rFonts w:ascii="Arial" w:hAnsi="Arial" w:cs="Arial"/>
                <w:sz w:val="24"/>
                <w:szCs w:val="24"/>
              </w:rPr>
              <w:t>)%</w:t>
            </w:r>
          </w:p>
        </w:tc>
      </w:tr>
    </w:tbl>
    <w:p w14:paraId="43B04E42" w14:textId="77777777" w:rsidR="001B3B55" w:rsidRPr="000971B9" w:rsidRDefault="001B3B55" w:rsidP="001B3B55">
      <w:pPr>
        <w:jc w:val="left"/>
        <w:rPr>
          <w:rFonts w:ascii="Arial" w:hAnsi="Arial" w:cs="Arial"/>
          <w:sz w:val="24"/>
          <w:szCs w:val="24"/>
        </w:rPr>
      </w:pPr>
    </w:p>
    <w:p w14:paraId="5DB72233" w14:textId="638C1F7B" w:rsidR="00E45058" w:rsidRPr="000971B9" w:rsidRDefault="00043801" w:rsidP="00E45058">
      <w:pPr>
        <w:jc w:val="left"/>
        <w:rPr>
          <w:rFonts w:ascii="Arial" w:hAnsi="Arial" w:cs="Arial"/>
          <w:sz w:val="24"/>
          <w:szCs w:val="24"/>
        </w:rPr>
      </w:pPr>
      <w:r>
        <w:rPr>
          <w:rFonts w:ascii="Arial" w:hAnsi="Arial" w:cs="Arial"/>
          <w:sz w:val="24"/>
          <w:szCs w:val="24"/>
        </w:rPr>
        <w:t xml:space="preserve">Other International </w:t>
      </w:r>
      <w:r w:rsidR="00E04676">
        <w:rPr>
          <w:rFonts w:ascii="Arial" w:hAnsi="Arial" w:cs="Arial"/>
          <w:sz w:val="24"/>
          <w:szCs w:val="24"/>
        </w:rPr>
        <w:t xml:space="preserve">total </w:t>
      </w:r>
      <w:r w:rsidR="00185D0E" w:rsidRPr="000971B9">
        <w:rPr>
          <w:rFonts w:ascii="Arial" w:hAnsi="Arial" w:cs="Arial"/>
          <w:sz w:val="24"/>
          <w:szCs w:val="24"/>
        </w:rPr>
        <w:t xml:space="preserve">sales </w:t>
      </w:r>
      <w:r w:rsidR="00DE2409">
        <w:rPr>
          <w:rFonts w:ascii="Arial" w:hAnsi="Arial" w:cs="Arial"/>
          <w:sz w:val="24"/>
          <w:szCs w:val="24"/>
        </w:rPr>
        <w:t>in</w:t>
      </w:r>
      <w:r w:rsidR="006E396B" w:rsidRPr="000971B9">
        <w:rPr>
          <w:rFonts w:ascii="Arial" w:hAnsi="Arial" w:cs="Arial"/>
          <w:sz w:val="24"/>
          <w:szCs w:val="24"/>
        </w:rPr>
        <w:t xml:space="preserve">creased by </w:t>
      </w:r>
      <w:r w:rsidR="00DE2409">
        <w:rPr>
          <w:rFonts w:ascii="Arial" w:hAnsi="Arial" w:cs="Arial"/>
          <w:sz w:val="24"/>
          <w:szCs w:val="24"/>
        </w:rPr>
        <w:t>5.0</w:t>
      </w:r>
      <w:r w:rsidR="006E396B" w:rsidRPr="00D273FD">
        <w:rPr>
          <w:rFonts w:ascii="Arial" w:hAnsi="Arial" w:cs="Arial"/>
          <w:sz w:val="24"/>
          <w:szCs w:val="24"/>
        </w:rPr>
        <w:t>%</w:t>
      </w:r>
      <w:r w:rsidR="006E396B" w:rsidRPr="000971B9">
        <w:rPr>
          <w:rFonts w:ascii="Arial" w:hAnsi="Arial" w:cs="Arial"/>
          <w:sz w:val="24"/>
          <w:szCs w:val="24"/>
        </w:rPr>
        <w:t xml:space="preserve"> </w:t>
      </w:r>
      <w:r w:rsidR="006E396B" w:rsidRPr="00D273FD">
        <w:rPr>
          <w:rFonts w:ascii="Arial" w:hAnsi="Arial" w:cs="Arial"/>
          <w:sz w:val="24"/>
          <w:szCs w:val="24"/>
        </w:rPr>
        <w:t>(+</w:t>
      </w:r>
      <w:r w:rsidR="00D273FD" w:rsidRPr="006E1748">
        <w:rPr>
          <w:rFonts w:ascii="Arial" w:hAnsi="Arial" w:cs="Arial"/>
          <w:sz w:val="24"/>
          <w:szCs w:val="24"/>
        </w:rPr>
        <w:t>0.1</w:t>
      </w:r>
      <w:r w:rsidR="006E396B" w:rsidRPr="00D273FD">
        <w:rPr>
          <w:rFonts w:ascii="Arial" w:hAnsi="Arial" w:cs="Arial"/>
          <w:sz w:val="24"/>
          <w:szCs w:val="24"/>
        </w:rPr>
        <w:t>% LFL)</w:t>
      </w:r>
      <w:r w:rsidR="006E396B" w:rsidRPr="000971B9">
        <w:rPr>
          <w:rFonts w:ascii="Arial" w:hAnsi="Arial" w:cs="Arial"/>
          <w:sz w:val="24"/>
          <w:szCs w:val="24"/>
        </w:rPr>
        <w:t xml:space="preserve"> </w:t>
      </w:r>
      <w:r w:rsidR="006E396B" w:rsidRPr="00D273FD">
        <w:rPr>
          <w:rFonts w:ascii="Arial" w:hAnsi="Arial" w:cs="Arial"/>
          <w:sz w:val="24"/>
          <w:szCs w:val="24"/>
        </w:rPr>
        <w:t>to £2,</w:t>
      </w:r>
      <w:r w:rsidR="00D273FD" w:rsidRPr="006E1748">
        <w:rPr>
          <w:rFonts w:ascii="Arial" w:hAnsi="Arial" w:cs="Arial"/>
          <w:sz w:val="24"/>
          <w:szCs w:val="24"/>
        </w:rPr>
        <w:t>234</w:t>
      </w:r>
      <w:r w:rsidR="006E396B" w:rsidRPr="000971B9">
        <w:rPr>
          <w:rFonts w:ascii="Arial" w:hAnsi="Arial" w:cs="Arial"/>
          <w:sz w:val="24"/>
          <w:szCs w:val="24"/>
        </w:rPr>
        <w:t xml:space="preserve"> m</w:t>
      </w:r>
      <w:r w:rsidR="00C82E98" w:rsidRPr="000971B9">
        <w:rPr>
          <w:rFonts w:ascii="Arial" w:hAnsi="Arial" w:cs="Arial"/>
          <w:sz w:val="24"/>
          <w:szCs w:val="24"/>
        </w:rPr>
        <w:t>illion</w:t>
      </w:r>
      <w:r w:rsidR="006E396B" w:rsidRPr="000971B9">
        <w:rPr>
          <w:rFonts w:ascii="Arial" w:hAnsi="Arial" w:cs="Arial"/>
          <w:sz w:val="24"/>
          <w:szCs w:val="24"/>
        </w:rPr>
        <w:t xml:space="preserve"> driven by </w:t>
      </w:r>
      <w:r w:rsidR="005708AA">
        <w:rPr>
          <w:rFonts w:ascii="Arial" w:hAnsi="Arial" w:cs="Arial"/>
          <w:sz w:val="24"/>
          <w:szCs w:val="24"/>
        </w:rPr>
        <w:t xml:space="preserve">store openings and </w:t>
      </w:r>
      <w:r w:rsidR="00DD0E2A">
        <w:rPr>
          <w:rFonts w:ascii="Arial" w:hAnsi="Arial" w:cs="Arial"/>
          <w:sz w:val="24"/>
          <w:szCs w:val="24"/>
        </w:rPr>
        <w:t xml:space="preserve">LFL growth in Russia and Poland. </w:t>
      </w:r>
      <w:r w:rsidR="00E04676">
        <w:rPr>
          <w:rFonts w:ascii="Arial" w:hAnsi="Arial" w:cs="Arial"/>
          <w:sz w:val="24"/>
          <w:szCs w:val="24"/>
        </w:rPr>
        <w:t>R</w:t>
      </w:r>
      <w:r w:rsidR="00E45058" w:rsidRPr="000971B9">
        <w:rPr>
          <w:rFonts w:ascii="Arial" w:hAnsi="Arial" w:cs="Arial"/>
          <w:sz w:val="24"/>
          <w:szCs w:val="24"/>
        </w:rPr>
        <w:t xml:space="preserve">etail profit </w:t>
      </w:r>
      <w:r w:rsidR="00D273FD">
        <w:rPr>
          <w:rFonts w:ascii="Arial" w:hAnsi="Arial" w:cs="Arial"/>
          <w:sz w:val="24"/>
          <w:szCs w:val="24"/>
        </w:rPr>
        <w:t>de</w:t>
      </w:r>
      <w:r w:rsidR="00C82E98" w:rsidRPr="000971B9">
        <w:rPr>
          <w:rFonts w:ascii="Arial" w:hAnsi="Arial" w:cs="Arial"/>
          <w:sz w:val="24"/>
          <w:szCs w:val="24"/>
        </w:rPr>
        <w:t xml:space="preserve">creased by </w:t>
      </w:r>
      <w:r w:rsidR="00DE2409">
        <w:rPr>
          <w:rFonts w:ascii="Arial" w:hAnsi="Arial" w:cs="Arial"/>
          <w:sz w:val="24"/>
          <w:szCs w:val="24"/>
        </w:rPr>
        <w:t>19.</w:t>
      </w:r>
      <w:r w:rsidR="005708AA">
        <w:rPr>
          <w:rFonts w:ascii="Arial" w:hAnsi="Arial" w:cs="Arial"/>
          <w:sz w:val="24"/>
          <w:szCs w:val="24"/>
        </w:rPr>
        <w:t>5</w:t>
      </w:r>
      <w:r w:rsidR="00C82E98" w:rsidRPr="00D273FD">
        <w:rPr>
          <w:rFonts w:ascii="Arial" w:hAnsi="Arial" w:cs="Arial"/>
          <w:sz w:val="24"/>
          <w:szCs w:val="24"/>
        </w:rPr>
        <w:t>%</w:t>
      </w:r>
      <w:r w:rsidR="00C82E98" w:rsidRPr="000971B9">
        <w:rPr>
          <w:rFonts w:ascii="Arial" w:hAnsi="Arial" w:cs="Arial"/>
          <w:sz w:val="24"/>
          <w:szCs w:val="24"/>
        </w:rPr>
        <w:t xml:space="preserve"> to </w:t>
      </w:r>
      <w:r w:rsidR="00C82E98" w:rsidRPr="00D273FD">
        <w:rPr>
          <w:rFonts w:ascii="Arial" w:hAnsi="Arial" w:cs="Arial"/>
          <w:sz w:val="24"/>
          <w:szCs w:val="24"/>
        </w:rPr>
        <w:t>£</w:t>
      </w:r>
      <w:r w:rsidR="00D273FD" w:rsidRPr="00D273FD">
        <w:rPr>
          <w:rFonts w:ascii="Arial" w:hAnsi="Arial" w:cs="Arial"/>
          <w:sz w:val="24"/>
          <w:szCs w:val="24"/>
        </w:rPr>
        <w:t>1</w:t>
      </w:r>
      <w:r w:rsidR="00D273FD" w:rsidRPr="006E1748">
        <w:rPr>
          <w:rFonts w:ascii="Arial" w:hAnsi="Arial" w:cs="Arial"/>
          <w:sz w:val="24"/>
          <w:szCs w:val="24"/>
        </w:rPr>
        <w:t>08</w:t>
      </w:r>
      <w:r w:rsidR="00D273FD" w:rsidRPr="00D273FD">
        <w:rPr>
          <w:rFonts w:ascii="Arial" w:hAnsi="Arial" w:cs="Arial"/>
          <w:sz w:val="24"/>
          <w:szCs w:val="24"/>
        </w:rPr>
        <w:t xml:space="preserve"> </w:t>
      </w:r>
      <w:r w:rsidR="00165942" w:rsidRPr="00D273FD">
        <w:rPr>
          <w:rFonts w:ascii="Arial" w:hAnsi="Arial" w:cs="Arial"/>
          <w:sz w:val="24"/>
          <w:szCs w:val="24"/>
        </w:rPr>
        <w:t>million</w:t>
      </w:r>
      <w:r w:rsidR="006E396B" w:rsidRPr="000971B9">
        <w:rPr>
          <w:rFonts w:ascii="Arial" w:hAnsi="Arial" w:cs="Arial"/>
          <w:sz w:val="24"/>
          <w:szCs w:val="24"/>
        </w:rPr>
        <w:t xml:space="preserve"> </w:t>
      </w:r>
      <w:r w:rsidR="00D71302" w:rsidRPr="000971B9">
        <w:rPr>
          <w:rFonts w:ascii="Arial" w:hAnsi="Arial" w:cs="Arial"/>
          <w:sz w:val="24"/>
          <w:szCs w:val="24"/>
        </w:rPr>
        <w:t xml:space="preserve">primarily </w:t>
      </w:r>
      <w:r w:rsidR="00606D2D" w:rsidRPr="000971B9">
        <w:rPr>
          <w:rFonts w:ascii="Arial" w:hAnsi="Arial" w:cs="Arial"/>
          <w:sz w:val="24"/>
          <w:szCs w:val="24"/>
        </w:rPr>
        <w:t xml:space="preserve">driven </w:t>
      </w:r>
      <w:r w:rsidR="00E10699">
        <w:rPr>
          <w:rFonts w:ascii="Arial" w:hAnsi="Arial" w:cs="Arial"/>
          <w:sz w:val="24"/>
          <w:szCs w:val="24"/>
        </w:rPr>
        <w:t>by higher losses in China and new country development charges</w:t>
      </w:r>
      <w:r w:rsidR="00E10699" w:rsidRPr="000971B9">
        <w:rPr>
          <w:rFonts w:ascii="Arial" w:hAnsi="Arial" w:cs="Arial"/>
          <w:sz w:val="24"/>
          <w:szCs w:val="24"/>
        </w:rPr>
        <w:t xml:space="preserve"> </w:t>
      </w:r>
      <w:r w:rsidR="00E10699">
        <w:rPr>
          <w:rFonts w:ascii="Arial" w:hAnsi="Arial" w:cs="Arial"/>
          <w:sz w:val="24"/>
          <w:szCs w:val="24"/>
        </w:rPr>
        <w:t xml:space="preserve">partly offset </w:t>
      </w:r>
      <w:r w:rsidR="00606D2D" w:rsidRPr="000971B9">
        <w:rPr>
          <w:rFonts w:ascii="Arial" w:hAnsi="Arial" w:cs="Arial"/>
          <w:sz w:val="24"/>
          <w:szCs w:val="24"/>
        </w:rPr>
        <w:t>by</w:t>
      </w:r>
      <w:r w:rsidR="005708AA">
        <w:rPr>
          <w:rFonts w:ascii="Arial" w:hAnsi="Arial" w:cs="Arial"/>
          <w:sz w:val="24"/>
          <w:szCs w:val="24"/>
        </w:rPr>
        <w:t xml:space="preserve"> profit growth in Poland</w:t>
      </w:r>
      <w:r w:rsidR="00E10699">
        <w:rPr>
          <w:rFonts w:ascii="Arial" w:hAnsi="Arial" w:cs="Arial"/>
          <w:sz w:val="24"/>
          <w:szCs w:val="24"/>
        </w:rPr>
        <w:t>.</w:t>
      </w:r>
      <w:r w:rsidR="005708AA">
        <w:rPr>
          <w:rFonts w:ascii="Arial" w:hAnsi="Arial" w:cs="Arial"/>
          <w:sz w:val="24"/>
          <w:szCs w:val="24"/>
        </w:rPr>
        <w:t xml:space="preserve"> </w:t>
      </w:r>
    </w:p>
    <w:p w14:paraId="55A7F1C4" w14:textId="77777777" w:rsidR="00E45058" w:rsidRPr="000971B9" w:rsidRDefault="00E45058" w:rsidP="00E45058">
      <w:pPr>
        <w:jc w:val="left"/>
        <w:rPr>
          <w:rFonts w:ascii="Arial" w:hAnsi="Arial" w:cs="Arial"/>
          <w:sz w:val="24"/>
          <w:szCs w:val="24"/>
        </w:rPr>
      </w:pPr>
    </w:p>
    <w:p w14:paraId="26F2D3FB" w14:textId="00116852" w:rsidR="00EB0755" w:rsidRPr="000E792C" w:rsidRDefault="00A03F76" w:rsidP="00185D0E">
      <w:pPr>
        <w:jc w:val="left"/>
        <w:rPr>
          <w:rFonts w:ascii="Arial" w:hAnsi="Arial" w:cs="Arial"/>
          <w:b/>
          <w:sz w:val="24"/>
          <w:szCs w:val="24"/>
          <w:highlight w:val="yellow"/>
          <w:u w:val="single"/>
        </w:rPr>
      </w:pPr>
      <w:r w:rsidRPr="000E792C">
        <w:rPr>
          <w:rFonts w:ascii="Arial" w:hAnsi="Arial" w:cs="Arial"/>
          <w:b/>
          <w:bCs/>
          <w:sz w:val="24"/>
          <w:szCs w:val="24"/>
          <w:u w:val="single"/>
        </w:rPr>
        <w:t>Other International</w:t>
      </w:r>
      <w:r w:rsidRPr="000E792C">
        <w:rPr>
          <w:rFonts w:ascii="Arial" w:hAnsi="Arial" w:cs="Arial"/>
          <w:b/>
          <w:sz w:val="24"/>
          <w:szCs w:val="24"/>
          <w:u w:val="single"/>
        </w:rPr>
        <w:t xml:space="preserve"> (</w:t>
      </w:r>
      <w:r w:rsidR="00DE79D6">
        <w:rPr>
          <w:rFonts w:ascii="Arial" w:hAnsi="Arial" w:cs="Arial"/>
          <w:b/>
          <w:sz w:val="24"/>
          <w:szCs w:val="24"/>
          <w:u w:val="single"/>
        </w:rPr>
        <w:t>established</w:t>
      </w:r>
      <w:r w:rsidRPr="000E792C">
        <w:rPr>
          <w:rFonts w:ascii="Arial" w:hAnsi="Arial" w:cs="Arial"/>
          <w:b/>
          <w:sz w:val="24"/>
          <w:szCs w:val="24"/>
          <w:u w:val="single"/>
        </w:rPr>
        <w:t>)</w:t>
      </w:r>
      <w:r w:rsidR="007F33CA" w:rsidRPr="000E792C">
        <w:rPr>
          <w:rFonts w:ascii="Arial" w:hAnsi="Arial" w:cs="Arial"/>
          <w:b/>
          <w:sz w:val="24"/>
          <w:szCs w:val="24"/>
          <w:u w:val="single"/>
        </w:rPr>
        <w:t>:</w:t>
      </w:r>
      <w:r w:rsidRPr="000E792C">
        <w:rPr>
          <w:rFonts w:ascii="Arial" w:hAnsi="Arial" w:cs="Arial"/>
          <w:b/>
          <w:sz w:val="24"/>
          <w:szCs w:val="24"/>
          <w:u w:val="single"/>
        </w:rPr>
        <w:t xml:space="preserve"> </w:t>
      </w:r>
    </w:p>
    <w:p w14:paraId="4CBB0D9D" w14:textId="77777777" w:rsidR="005E188F" w:rsidRPr="000971B9" w:rsidRDefault="005E188F" w:rsidP="00185D0E">
      <w:pPr>
        <w:jc w:val="left"/>
        <w:rPr>
          <w:rFonts w:ascii="Arial" w:hAnsi="Arial" w:cs="Arial"/>
          <w:sz w:val="24"/>
          <w:szCs w:val="24"/>
        </w:rPr>
      </w:pPr>
    </w:p>
    <w:p w14:paraId="3F061A2D" w14:textId="11A093FE" w:rsidR="00EE7D68" w:rsidRDefault="00043BA4" w:rsidP="00185D0E">
      <w:pPr>
        <w:jc w:val="left"/>
        <w:rPr>
          <w:rFonts w:ascii="Arial" w:hAnsi="Arial" w:cs="Arial"/>
          <w:sz w:val="24"/>
          <w:szCs w:val="24"/>
        </w:rPr>
      </w:pPr>
      <w:r w:rsidRPr="000971B9">
        <w:rPr>
          <w:rFonts w:ascii="Arial" w:hAnsi="Arial" w:cs="Arial"/>
          <w:sz w:val="24"/>
          <w:szCs w:val="24"/>
        </w:rPr>
        <w:t xml:space="preserve">Sales in </w:t>
      </w:r>
      <w:r w:rsidRPr="000971B9">
        <w:rPr>
          <w:rFonts w:ascii="Arial" w:hAnsi="Arial" w:cs="Arial"/>
          <w:b/>
          <w:sz w:val="24"/>
          <w:szCs w:val="24"/>
        </w:rPr>
        <w:t>Poland</w:t>
      </w:r>
      <w:r w:rsidRPr="000971B9">
        <w:rPr>
          <w:rFonts w:ascii="Arial" w:hAnsi="Arial" w:cs="Arial"/>
          <w:sz w:val="24"/>
          <w:szCs w:val="24"/>
        </w:rPr>
        <w:t xml:space="preserve"> were up</w:t>
      </w:r>
      <w:r w:rsidR="004763E6" w:rsidRPr="000971B9">
        <w:rPr>
          <w:rFonts w:ascii="Arial" w:hAnsi="Arial" w:cs="Arial"/>
          <w:sz w:val="24"/>
          <w:szCs w:val="24"/>
        </w:rPr>
        <w:t xml:space="preserve"> </w:t>
      </w:r>
      <w:r w:rsidR="00EB0319" w:rsidRPr="006E1748">
        <w:rPr>
          <w:rFonts w:ascii="Arial" w:hAnsi="Arial" w:cs="Arial"/>
          <w:sz w:val="24"/>
          <w:szCs w:val="24"/>
        </w:rPr>
        <w:t>0.7</w:t>
      </w:r>
      <w:r w:rsidRPr="00EB0319">
        <w:rPr>
          <w:rFonts w:ascii="Arial" w:hAnsi="Arial" w:cs="Arial"/>
          <w:sz w:val="24"/>
          <w:szCs w:val="24"/>
        </w:rPr>
        <w:t>% (</w:t>
      </w:r>
      <w:r w:rsidR="00F56B85" w:rsidRPr="00EB0319">
        <w:rPr>
          <w:rFonts w:ascii="Arial" w:hAnsi="Arial" w:cs="Arial"/>
          <w:sz w:val="24"/>
          <w:szCs w:val="24"/>
        </w:rPr>
        <w:t>+</w:t>
      </w:r>
      <w:r w:rsidR="00EB0319" w:rsidRPr="006E1748">
        <w:rPr>
          <w:rFonts w:ascii="Arial" w:hAnsi="Arial" w:cs="Arial"/>
          <w:sz w:val="24"/>
          <w:szCs w:val="24"/>
        </w:rPr>
        <w:t>0.4</w:t>
      </w:r>
      <w:r w:rsidR="00F56B85" w:rsidRPr="00EB0319">
        <w:rPr>
          <w:rFonts w:ascii="Arial" w:hAnsi="Arial" w:cs="Arial"/>
          <w:sz w:val="24"/>
          <w:szCs w:val="24"/>
        </w:rPr>
        <w:t>% LFL) to £1,</w:t>
      </w:r>
      <w:r w:rsidR="00EB0319" w:rsidRPr="006E1748">
        <w:rPr>
          <w:rFonts w:ascii="Arial" w:hAnsi="Arial" w:cs="Arial"/>
          <w:sz w:val="24"/>
          <w:szCs w:val="24"/>
        </w:rPr>
        <w:t>055</w:t>
      </w:r>
      <w:r w:rsidR="00F56B85" w:rsidRPr="00EB0319">
        <w:rPr>
          <w:rFonts w:ascii="Arial" w:hAnsi="Arial" w:cs="Arial"/>
          <w:sz w:val="24"/>
          <w:szCs w:val="24"/>
        </w:rPr>
        <w:t xml:space="preserve"> m</w:t>
      </w:r>
      <w:r w:rsidR="00EE7D68" w:rsidRPr="00EB0319">
        <w:rPr>
          <w:rFonts w:ascii="Arial" w:hAnsi="Arial" w:cs="Arial"/>
          <w:sz w:val="24"/>
          <w:szCs w:val="24"/>
        </w:rPr>
        <w:t>illion</w:t>
      </w:r>
      <w:r w:rsidR="001F0AC0">
        <w:rPr>
          <w:rFonts w:ascii="Arial" w:hAnsi="Arial" w:cs="Arial"/>
          <w:sz w:val="24"/>
          <w:szCs w:val="24"/>
        </w:rPr>
        <w:t>.</w:t>
      </w:r>
      <w:r w:rsidR="00F56B85" w:rsidRPr="000971B9">
        <w:rPr>
          <w:rFonts w:ascii="Arial" w:hAnsi="Arial" w:cs="Arial"/>
          <w:sz w:val="24"/>
          <w:szCs w:val="24"/>
        </w:rPr>
        <w:t xml:space="preserve"> </w:t>
      </w:r>
      <w:r w:rsidR="00633601">
        <w:rPr>
          <w:rFonts w:ascii="Arial" w:hAnsi="Arial" w:cs="Arial"/>
          <w:sz w:val="24"/>
          <w:szCs w:val="24"/>
        </w:rPr>
        <w:t>LFL s</w:t>
      </w:r>
      <w:r w:rsidR="001F0AC0">
        <w:rPr>
          <w:rFonts w:ascii="Arial" w:hAnsi="Arial" w:cs="Arial"/>
          <w:sz w:val="24"/>
          <w:szCs w:val="24"/>
        </w:rPr>
        <w:t>ales of seasonal products were up 4%</w:t>
      </w:r>
      <w:r w:rsidR="00633601">
        <w:rPr>
          <w:rFonts w:ascii="Arial" w:hAnsi="Arial" w:cs="Arial"/>
          <w:sz w:val="24"/>
          <w:szCs w:val="24"/>
        </w:rPr>
        <w:t xml:space="preserve"> with sales of indoor and building products broadly flat. </w:t>
      </w:r>
      <w:r w:rsidR="003C6173" w:rsidRPr="000971B9">
        <w:rPr>
          <w:rFonts w:ascii="Arial" w:hAnsi="Arial" w:cs="Arial"/>
          <w:sz w:val="24"/>
          <w:szCs w:val="24"/>
        </w:rPr>
        <w:t xml:space="preserve">Gross margins were up </w:t>
      </w:r>
      <w:r w:rsidR="00EB0319" w:rsidRPr="006E1748">
        <w:rPr>
          <w:rFonts w:ascii="Arial" w:hAnsi="Arial" w:cs="Arial"/>
          <w:sz w:val="24"/>
          <w:szCs w:val="24"/>
        </w:rPr>
        <w:t>5</w:t>
      </w:r>
      <w:r w:rsidR="003C6173" w:rsidRPr="00EB0319">
        <w:rPr>
          <w:rFonts w:ascii="Arial" w:hAnsi="Arial" w:cs="Arial"/>
          <w:sz w:val="24"/>
          <w:szCs w:val="24"/>
        </w:rPr>
        <w:t>0 basis points</w:t>
      </w:r>
      <w:r w:rsidR="001F0AC0">
        <w:rPr>
          <w:rFonts w:ascii="Arial" w:hAnsi="Arial" w:cs="Arial"/>
          <w:sz w:val="24"/>
          <w:szCs w:val="24"/>
        </w:rPr>
        <w:t xml:space="preserve"> benefiting from ongoing self-help initiatives</w:t>
      </w:r>
      <w:r w:rsidR="00633601">
        <w:rPr>
          <w:rFonts w:ascii="Arial" w:hAnsi="Arial" w:cs="Arial"/>
          <w:sz w:val="24"/>
          <w:szCs w:val="24"/>
        </w:rPr>
        <w:t>.</w:t>
      </w:r>
      <w:r w:rsidR="002C1526">
        <w:rPr>
          <w:rFonts w:ascii="Arial" w:hAnsi="Arial" w:cs="Arial"/>
          <w:sz w:val="24"/>
          <w:szCs w:val="24"/>
        </w:rPr>
        <w:t xml:space="preserve"> Retail profit grew by 1.7% to £118 million supported by the sales growth and higher gross margins, offset by higher levels of variable pay. </w:t>
      </w:r>
    </w:p>
    <w:p w14:paraId="6826F787" w14:textId="77777777" w:rsidR="00FE2D84" w:rsidRPr="000971B9" w:rsidRDefault="00FE2D84" w:rsidP="00185D0E">
      <w:pPr>
        <w:jc w:val="left"/>
        <w:rPr>
          <w:rFonts w:ascii="Arial" w:hAnsi="Arial" w:cs="Arial"/>
          <w:sz w:val="24"/>
          <w:szCs w:val="24"/>
        </w:rPr>
      </w:pPr>
    </w:p>
    <w:p w14:paraId="39F2E550" w14:textId="4C6BBF4B" w:rsidR="004B0FDA" w:rsidRDefault="00FC1204" w:rsidP="00185D0E">
      <w:pPr>
        <w:jc w:val="left"/>
        <w:rPr>
          <w:rFonts w:ascii="Arial" w:hAnsi="Arial" w:cs="Arial"/>
          <w:sz w:val="24"/>
          <w:szCs w:val="24"/>
        </w:rPr>
      </w:pPr>
      <w:r w:rsidRPr="000971B9">
        <w:rPr>
          <w:rFonts w:ascii="Arial" w:hAnsi="Arial" w:cs="Arial"/>
          <w:sz w:val="24"/>
          <w:szCs w:val="24"/>
        </w:rPr>
        <w:t xml:space="preserve">In </w:t>
      </w:r>
      <w:r w:rsidRPr="000971B9">
        <w:rPr>
          <w:rFonts w:ascii="Arial" w:hAnsi="Arial" w:cs="Arial"/>
          <w:b/>
          <w:sz w:val="24"/>
          <w:szCs w:val="24"/>
        </w:rPr>
        <w:t xml:space="preserve">Russia </w:t>
      </w:r>
      <w:r w:rsidRPr="000971B9">
        <w:rPr>
          <w:rFonts w:ascii="Arial" w:hAnsi="Arial" w:cs="Arial"/>
          <w:sz w:val="24"/>
          <w:szCs w:val="24"/>
        </w:rPr>
        <w:t xml:space="preserve">sales grew by </w:t>
      </w:r>
      <w:r w:rsidR="00D147C9" w:rsidRPr="00D147C9">
        <w:rPr>
          <w:rFonts w:ascii="Arial" w:hAnsi="Arial" w:cs="Arial"/>
          <w:sz w:val="24"/>
          <w:szCs w:val="24"/>
        </w:rPr>
        <w:t>1</w:t>
      </w:r>
      <w:r w:rsidRPr="00D147C9">
        <w:rPr>
          <w:rFonts w:ascii="Arial" w:hAnsi="Arial" w:cs="Arial"/>
          <w:sz w:val="24"/>
          <w:szCs w:val="24"/>
        </w:rPr>
        <w:t>9.</w:t>
      </w:r>
      <w:r w:rsidR="00D147C9" w:rsidRPr="006E1748">
        <w:rPr>
          <w:rFonts w:ascii="Arial" w:hAnsi="Arial" w:cs="Arial"/>
          <w:sz w:val="24"/>
          <w:szCs w:val="24"/>
        </w:rPr>
        <w:t>0</w:t>
      </w:r>
      <w:r w:rsidRPr="00D147C9">
        <w:rPr>
          <w:rFonts w:ascii="Arial" w:hAnsi="Arial" w:cs="Arial"/>
          <w:sz w:val="24"/>
          <w:szCs w:val="24"/>
        </w:rPr>
        <w:t>%</w:t>
      </w:r>
      <w:r w:rsidR="00F56B85" w:rsidRPr="000971B9">
        <w:rPr>
          <w:rFonts w:ascii="Arial" w:hAnsi="Arial" w:cs="Arial"/>
          <w:sz w:val="24"/>
          <w:szCs w:val="24"/>
        </w:rPr>
        <w:t xml:space="preserve"> </w:t>
      </w:r>
      <w:r w:rsidR="00F56B85" w:rsidRPr="00D147C9">
        <w:rPr>
          <w:rFonts w:ascii="Arial" w:hAnsi="Arial" w:cs="Arial"/>
          <w:sz w:val="24"/>
          <w:szCs w:val="24"/>
        </w:rPr>
        <w:t>(+</w:t>
      </w:r>
      <w:r w:rsidR="00D147C9" w:rsidRPr="006E1748">
        <w:rPr>
          <w:rFonts w:ascii="Arial" w:hAnsi="Arial" w:cs="Arial"/>
          <w:sz w:val="24"/>
          <w:szCs w:val="24"/>
        </w:rPr>
        <w:t>14.9</w:t>
      </w:r>
      <w:r w:rsidR="00F56B85" w:rsidRPr="00D147C9">
        <w:rPr>
          <w:rFonts w:ascii="Arial" w:hAnsi="Arial" w:cs="Arial"/>
          <w:sz w:val="24"/>
          <w:szCs w:val="24"/>
        </w:rPr>
        <w:t>% LFL)</w:t>
      </w:r>
      <w:r w:rsidR="00F56B85" w:rsidRPr="000971B9">
        <w:rPr>
          <w:rFonts w:ascii="Arial" w:hAnsi="Arial" w:cs="Arial"/>
          <w:sz w:val="24"/>
          <w:szCs w:val="24"/>
        </w:rPr>
        <w:t xml:space="preserve"> </w:t>
      </w:r>
      <w:r w:rsidRPr="000971B9">
        <w:rPr>
          <w:rFonts w:ascii="Arial" w:hAnsi="Arial" w:cs="Arial"/>
          <w:sz w:val="24"/>
          <w:szCs w:val="24"/>
        </w:rPr>
        <w:t xml:space="preserve">to </w:t>
      </w:r>
      <w:r w:rsidRPr="00D147C9">
        <w:rPr>
          <w:rFonts w:ascii="Arial" w:hAnsi="Arial" w:cs="Arial"/>
          <w:sz w:val="24"/>
          <w:szCs w:val="24"/>
        </w:rPr>
        <w:t>£4</w:t>
      </w:r>
      <w:r w:rsidR="00D147C9" w:rsidRPr="006E1748">
        <w:rPr>
          <w:rFonts w:ascii="Arial" w:hAnsi="Arial" w:cs="Arial"/>
          <w:sz w:val="24"/>
          <w:szCs w:val="24"/>
        </w:rPr>
        <w:t>08</w:t>
      </w:r>
      <w:r w:rsidRPr="00D147C9">
        <w:rPr>
          <w:rFonts w:ascii="Arial" w:hAnsi="Arial" w:cs="Arial"/>
          <w:sz w:val="24"/>
          <w:szCs w:val="24"/>
        </w:rPr>
        <w:t xml:space="preserve"> million</w:t>
      </w:r>
      <w:r w:rsidRPr="000971B9">
        <w:rPr>
          <w:rFonts w:ascii="Arial" w:hAnsi="Arial" w:cs="Arial"/>
          <w:sz w:val="24"/>
          <w:szCs w:val="24"/>
        </w:rPr>
        <w:t xml:space="preserve"> </w:t>
      </w:r>
      <w:r w:rsidRPr="00315200">
        <w:rPr>
          <w:rFonts w:ascii="Arial" w:hAnsi="Arial" w:cs="Arial"/>
          <w:sz w:val="24"/>
          <w:szCs w:val="24"/>
        </w:rPr>
        <w:t>benefiting from</w:t>
      </w:r>
      <w:r w:rsidR="00220F00">
        <w:rPr>
          <w:rFonts w:ascii="Arial" w:hAnsi="Arial" w:cs="Arial"/>
          <w:sz w:val="24"/>
          <w:szCs w:val="24"/>
        </w:rPr>
        <w:t xml:space="preserve"> a strong market. Retail profit </w:t>
      </w:r>
      <w:r w:rsidR="003E05CB">
        <w:rPr>
          <w:rFonts w:ascii="Arial" w:hAnsi="Arial" w:cs="Arial"/>
          <w:sz w:val="24"/>
          <w:szCs w:val="24"/>
        </w:rPr>
        <w:t>declined by 14.6% to</w:t>
      </w:r>
      <w:r w:rsidR="00220F00">
        <w:rPr>
          <w:rFonts w:ascii="Arial" w:hAnsi="Arial" w:cs="Arial"/>
          <w:sz w:val="24"/>
          <w:szCs w:val="24"/>
        </w:rPr>
        <w:t xml:space="preserve"> </w:t>
      </w:r>
      <w:r w:rsidR="003E05CB">
        <w:rPr>
          <w:rFonts w:ascii="Arial" w:hAnsi="Arial" w:cs="Arial"/>
          <w:sz w:val="24"/>
          <w:szCs w:val="24"/>
        </w:rPr>
        <w:t>£10 million largely reflecting adverse foreign currency exchange movements</w:t>
      </w:r>
      <w:r w:rsidR="003E39DE">
        <w:rPr>
          <w:rFonts w:ascii="Arial" w:hAnsi="Arial" w:cs="Arial"/>
          <w:sz w:val="24"/>
          <w:szCs w:val="24"/>
        </w:rPr>
        <w:t xml:space="preserve"> on the cost base</w:t>
      </w:r>
      <w:r w:rsidR="003E05CB">
        <w:rPr>
          <w:rFonts w:ascii="Arial" w:hAnsi="Arial" w:cs="Arial"/>
          <w:sz w:val="24"/>
          <w:szCs w:val="24"/>
        </w:rPr>
        <w:t>.</w:t>
      </w:r>
      <w:r w:rsidR="00F27C71" w:rsidRPr="000971B9">
        <w:rPr>
          <w:rFonts w:ascii="Arial" w:hAnsi="Arial" w:cs="Arial"/>
          <w:sz w:val="24"/>
          <w:szCs w:val="24"/>
        </w:rPr>
        <w:t xml:space="preserve"> </w:t>
      </w:r>
      <w:r w:rsidR="00144DF2" w:rsidRPr="000971B9">
        <w:rPr>
          <w:rFonts w:ascii="Arial" w:hAnsi="Arial" w:cs="Arial"/>
          <w:sz w:val="24"/>
          <w:szCs w:val="24"/>
        </w:rPr>
        <w:t xml:space="preserve">In </w:t>
      </w:r>
      <w:r w:rsidR="00144DF2" w:rsidRPr="000971B9">
        <w:rPr>
          <w:rFonts w:ascii="Arial" w:hAnsi="Arial" w:cs="Arial"/>
          <w:b/>
          <w:sz w:val="24"/>
          <w:szCs w:val="24"/>
        </w:rPr>
        <w:t xml:space="preserve">Turkey, </w:t>
      </w:r>
      <w:r w:rsidR="00144DF2" w:rsidRPr="000971B9">
        <w:rPr>
          <w:rFonts w:ascii="Arial" w:hAnsi="Arial" w:cs="Arial"/>
          <w:sz w:val="24"/>
          <w:szCs w:val="24"/>
        </w:rPr>
        <w:t xml:space="preserve">Kingfisher’s 50% JV, </w:t>
      </w:r>
      <w:r w:rsidR="00144DF2" w:rsidRPr="000971B9">
        <w:rPr>
          <w:rFonts w:ascii="Arial" w:hAnsi="Arial" w:cs="Arial"/>
          <w:bCs/>
          <w:sz w:val="24"/>
          <w:szCs w:val="24"/>
        </w:rPr>
        <w:t xml:space="preserve">Koçtaş, grew </w:t>
      </w:r>
      <w:r w:rsidR="00144DF2" w:rsidRPr="000971B9">
        <w:rPr>
          <w:rFonts w:ascii="Arial" w:hAnsi="Arial" w:cs="Arial"/>
          <w:sz w:val="24"/>
          <w:szCs w:val="24"/>
        </w:rPr>
        <w:t xml:space="preserve">sales by </w:t>
      </w:r>
      <w:r w:rsidR="00BE56A8">
        <w:rPr>
          <w:rFonts w:ascii="Arial" w:hAnsi="Arial" w:cs="Arial"/>
          <w:sz w:val="24"/>
          <w:szCs w:val="24"/>
        </w:rPr>
        <w:t>13.1</w:t>
      </w:r>
      <w:r w:rsidR="00144DF2" w:rsidRPr="000971B9">
        <w:rPr>
          <w:rFonts w:ascii="Arial" w:hAnsi="Arial" w:cs="Arial"/>
          <w:sz w:val="24"/>
          <w:szCs w:val="24"/>
        </w:rPr>
        <w:t>% (+</w:t>
      </w:r>
      <w:r w:rsidR="00BE56A8">
        <w:rPr>
          <w:rFonts w:ascii="Arial" w:hAnsi="Arial" w:cs="Arial"/>
          <w:sz w:val="24"/>
          <w:szCs w:val="24"/>
        </w:rPr>
        <w:t>4.2</w:t>
      </w:r>
      <w:r w:rsidR="00144DF2" w:rsidRPr="000971B9">
        <w:rPr>
          <w:rFonts w:ascii="Arial" w:hAnsi="Arial" w:cs="Arial"/>
          <w:sz w:val="24"/>
          <w:szCs w:val="24"/>
        </w:rPr>
        <w:t>% LFL)</w:t>
      </w:r>
      <w:r w:rsidR="00AC2D47" w:rsidRPr="000971B9">
        <w:rPr>
          <w:rFonts w:ascii="Arial" w:hAnsi="Arial" w:cs="Arial"/>
          <w:sz w:val="24"/>
          <w:szCs w:val="24"/>
        </w:rPr>
        <w:t xml:space="preserve"> to £</w:t>
      </w:r>
      <w:r w:rsidR="00BE56A8" w:rsidRPr="000971B9">
        <w:rPr>
          <w:rFonts w:ascii="Arial" w:hAnsi="Arial" w:cs="Arial"/>
          <w:sz w:val="24"/>
          <w:szCs w:val="24"/>
        </w:rPr>
        <w:t>3</w:t>
      </w:r>
      <w:r w:rsidR="00BE56A8">
        <w:rPr>
          <w:rFonts w:ascii="Arial" w:hAnsi="Arial" w:cs="Arial"/>
          <w:sz w:val="24"/>
          <w:szCs w:val="24"/>
        </w:rPr>
        <w:t>19</w:t>
      </w:r>
      <w:r w:rsidR="00BE56A8" w:rsidRPr="000971B9">
        <w:rPr>
          <w:rFonts w:ascii="Arial" w:hAnsi="Arial" w:cs="Arial"/>
          <w:sz w:val="24"/>
          <w:szCs w:val="24"/>
        </w:rPr>
        <w:t xml:space="preserve"> </w:t>
      </w:r>
      <w:r w:rsidR="00AC2D47" w:rsidRPr="000971B9">
        <w:rPr>
          <w:rFonts w:ascii="Arial" w:hAnsi="Arial" w:cs="Arial"/>
          <w:sz w:val="24"/>
          <w:szCs w:val="24"/>
        </w:rPr>
        <w:t>million</w:t>
      </w:r>
      <w:r w:rsidR="00144DF2" w:rsidRPr="000971B9">
        <w:rPr>
          <w:rFonts w:ascii="Arial" w:hAnsi="Arial" w:cs="Arial"/>
          <w:sz w:val="24"/>
          <w:szCs w:val="24"/>
        </w:rPr>
        <w:t xml:space="preserve"> reflecting new store opening</w:t>
      </w:r>
      <w:r w:rsidR="00E652D5" w:rsidRPr="000971B9">
        <w:rPr>
          <w:rFonts w:ascii="Arial" w:hAnsi="Arial" w:cs="Arial"/>
          <w:sz w:val="24"/>
          <w:szCs w:val="24"/>
        </w:rPr>
        <w:t>s</w:t>
      </w:r>
      <w:r w:rsidR="00F75ADC">
        <w:rPr>
          <w:rFonts w:ascii="Arial" w:hAnsi="Arial" w:cs="Arial"/>
          <w:sz w:val="24"/>
          <w:szCs w:val="24"/>
        </w:rPr>
        <w:t>, improvements in customer offer and more promotional activity</w:t>
      </w:r>
      <w:r w:rsidR="00144DF2" w:rsidRPr="000971B9">
        <w:rPr>
          <w:rFonts w:ascii="Arial" w:hAnsi="Arial" w:cs="Arial"/>
          <w:sz w:val="24"/>
          <w:szCs w:val="24"/>
        </w:rPr>
        <w:t xml:space="preserve">. Retail profit contribution </w:t>
      </w:r>
      <w:r w:rsidR="00F75ADC">
        <w:rPr>
          <w:rFonts w:ascii="Arial" w:hAnsi="Arial" w:cs="Arial"/>
          <w:sz w:val="24"/>
          <w:szCs w:val="24"/>
        </w:rPr>
        <w:t>was flat at £9 milli</w:t>
      </w:r>
      <w:r w:rsidR="004B0FDA">
        <w:rPr>
          <w:rFonts w:ascii="Arial" w:hAnsi="Arial" w:cs="Arial"/>
          <w:sz w:val="24"/>
          <w:szCs w:val="24"/>
        </w:rPr>
        <w:t>on</w:t>
      </w:r>
      <w:r w:rsidR="00E04676">
        <w:rPr>
          <w:rFonts w:ascii="Arial" w:hAnsi="Arial" w:cs="Arial"/>
          <w:sz w:val="24"/>
          <w:szCs w:val="24"/>
        </w:rPr>
        <w:t xml:space="preserve"> after higher pre-opening costs compared to last year</w:t>
      </w:r>
      <w:r w:rsidR="004B0FDA">
        <w:rPr>
          <w:rFonts w:ascii="Arial" w:hAnsi="Arial" w:cs="Arial"/>
          <w:sz w:val="24"/>
          <w:szCs w:val="24"/>
        </w:rPr>
        <w:t xml:space="preserve">. In </w:t>
      </w:r>
      <w:r w:rsidR="00043BA4" w:rsidRPr="000971B9">
        <w:rPr>
          <w:rFonts w:ascii="Arial" w:hAnsi="Arial" w:cs="Arial"/>
          <w:b/>
          <w:sz w:val="24"/>
          <w:szCs w:val="24"/>
        </w:rPr>
        <w:t>Spain</w:t>
      </w:r>
      <w:r w:rsidR="00043BA4" w:rsidRPr="000971B9">
        <w:rPr>
          <w:rFonts w:ascii="Arial" w:hAnsi="Arial" w:cs="Arial"/>
          <w:sz w:val="24"/>
          <w:szCs w:val="24"/>
        </w:rPr>
        <w:t xml:space="preserve"> </w:t>
      </w:r>
      <w:r w:rsidR="00144DF2" w:rsidRPr="000971B9">
        <w:rPr>
          <w:rFonts w:ascii="Arial" w:hAnsi="Arial" w:cs="Arial"/>
          <w:sz w:val="24"/>
          <w:szCs w:val="24"/>
        </w:rPr>
        <w:t xml:space="preserve">sales </w:t>
      </w:r>
      <w:r w:rsidR="00043BA4" w:rsidRPr="000971B9">
        <w:rPr>
          <w:rFonts w:ascii="Arial" w:hAnsi="Arial" w:cs="Arial"/>
          <w:sz w:val="24"/>
          <w:szCs w:val="24"/>
        </w:rPr>
        <w:t>grew</w:t>
      </w:r>
      <w:r w:rsidR="002462B5" w:rsidRPr="000971B9">
        <w:rPr>
          <w:rFonts w:ascii="Arial" w:hAnsi="Arial" w:cs="Arial"/>
          <w:sz w:val="24"/>
          <w:szCs w:val="24"/>
        </w:rPr>
        <w:t xml:space="preserve"> by 1</w:t>
      </w:r>
      <w:r w:rsidR="00372886">
        <w:rPr>
          <w:rFonts w:ascii="Arial" w:hAnsi="Arial" w:cs="Arial"/>
          <w:sz w:val="24"/>
          <w:szCs w:val="24"/>
        </w:rPr>
        <w:t>4.2</w:t>
      </w:r>
      <w:r w:rsidR="00043BA4" w:rsidRPr="000971B9">
        <w:rPr>
          <w:rFonts w:ascii="Arial" w:hAnsi="Arial" w:cs="Arial"/>
          <w:sz w:val="24"/>
          <w:szCs w:val="24"/>
        </w:rPr>
        <w:t>% (</w:t>
      </w:r>
      <w:r w:rsidR="00A01F89" w:rsidRPr="000971B9">
        <w:rPr>
          <w:rFonts w:ascii="Arial" w:hAnsi="Arial" w:cs="Arial"/>
          <w:sz w:val="24"/>
          <w:szCs w:val="24"/>
        </w:rPr>
        <w:t>-</w:t>
      </w:r>
      <w:r w:rsidR="00372886">
        <w:rPr>
          <w:rFonts w:ascii="Arial" w:hAnsi="Arial" w:cs="Arial"/>
          <w:sz w:val="24"/>
          <w:szCs w:val="24"/>
        </w:rPr>
        <w:t>5.5</w:t>
      </w:r>
      <w:r w:rsidR="002462B5" w:rsidRPr="000971B9">
        <w:rPr>
          <w:rFonts w:ascii="Arial" w:hAnsi="Arial" w:cs="Arial"/>
          <w:sz w:val="24"/>
          <w:szCs w:val="24"/>
        </w:rPr>
        <w:t>% LFL) to £</w:t>
      </w:r>
      <w:r w:rsidR="00372886">
        <w:rPr>
          <w:rFonts w:ascii="Arial" w:hAnsi="Arial" w:cs="Arial"/>
          <w:sz w:val="24"/>
          <w:szCs w:val="24"/>
        </w:rPr>
        <w:t>3</w:t>
      </w:r>
      <w:r w:rsidR="00372886" w:rsidRPr="00C130E4">
        <w:rPr>
          <w:rFonts w:ascii="Arial" w:hAnsi="Arial" w:cs="Arial"/>
          <w:sz w:val="24"/>
          <w:szCs w:val="24"/>
        </w:rPr>
        <w:t>06</w:t>
      </w:r>
      <w:r w:rsidR="002462B5" w:rsidRPr="00C130E4">
        <w:rPr>
          <w:rFonts w:ascii="Arial" w:hAnsi="Arial" w:cs="Arial"/>
          <w:sz w:val="24"/>
          <w:szCs w:val="24"/>
        </w:rPr>
        <w:t xml:space="preserve"> million</w:t>
      </w:r>
      <w:r w:rsidRPr="00C130E4">
        <w:rPr>
          <w:rFonts w:ascii="Arial" w:hAnsi="Arial" w:cs="Arial"/>
          <w:sz w:val="24"/>
          <w:szCs w:val="24"/>
        </w:rPr>
        <w:t xml:space="preserve"> reflecting new store openings</w:t>
      </w:r>
      <w:r w:rsidR="009D0702" w:rsidRPr="00C130E4">
        <w:rPr>
          <w:rFonts w:ascii="Arial" w:hAnsi="Arial" w:cs="Arial"/>
          <w:sz w:val="24"/>
          <w:szCs w:val="24"/>
        </w:rPr>
        <w:t>.</w:t>
      </w:r>
      <w:r w:rsidRPr="000971B9">
        <w:rPr>
          <w:rFonts w:ascii="Arial" w:hAnsi="Arial" w:cs="Arial"/>
          <w:sz w:val="24"/>
          <w:szCs w:val="24"/>
        </w:rPr>
        <w:t xml:space="preserve"> </w:t>
      </w:r>
      <w:r w:rsidR="002462B5" w:rsidRPr="000971B9">
        <w:rPr>
          <w:rFonts w:ascii="Arial" w:hAnsi="Arial" w:cs="Arial"/>
          <w:sz w:val="24"/>
          <w:szCs w:val="24"/>
        </w:rPr>
        <w:t>Retail profit was £</w:t>
      </w:r>
      <w:r w:rsidR="00372886">
        <w:rPr>
          <w:rFonts w:ascii="Arial" w:hAnsi="Arial" w:cs="Arial"/>
          <w:sz w:val="24"/>
          <w:szCs w:val="24"/>
        </w:rPr>
        <w:t>2</w:t>
      </w:r>
      <w:r w:rsidR="00EB0755" w:rsidRPr="000971B9">
        <w:rPr>
          <w:rFonts w:ascii="Arial" w:hAnsi="Arial" w:cs="Arial"/>
          <w:sz w:val="24"/>
          <w:szCs w:val="24"/>
        </w:rPr>
        <w:t xml:space="preserve"> million</w:t>
      </w:r>
      <w:r w:rsidR="00090A60" w:rsidRPr="000971B9">
        <w:rPr>
          <w:rFonts w:ascii="Arial" w:hAnsi="Arial" w:cs="Arial"/>
          <w:sz w:val="24"/>
          <w:szCs w:val="24"/>
        </w:rPr>
        <w:t xml:space="preserve"> (</w:t>
      </w:r>
      <w:r w:rsidR="008F4043" w:rsidRPr="000971B9">
        <w:rPr>
          <w:rFonts w:ascii="Arial" w:hAnsi="Arial" w:cs="Arial"/>
          <w:sz w:val="24"/>
          <w:szCs w:val="24"/>
        </w:rPr>
        <w:t>201</w:t>
      </w:r>
      <w:r w:rsidR="00372886">
        <w:rPr>
          <w:rFonts w:ascii="Arial" w:hAnsi="Arial" w:cs="Arial"/>
          <w:sz w:val="24"/>
          <w:szCs w:val="24"/>
        </w:rPr>
        <w:t>3</w:t>
      </w:r>
      <w:r w:rsidR="008F4043" w:rsidRPr="000971B9">
        <w:rPr>
          <w:rFonts w:ascii="Arial" w:hAnsi="Arial" w:cs="Arial"/>
          <w:sz w:val="24"/>
          <w:szCs w:val="24"/>
        </w:rPr>
        <w:t>/1</w:t>
      </w:r>
      <w:r w:rsidR="00372886">
        <w:rPr>
          <w:rFonts w:ascii="Arial" w:hAnsi="Arial" w:cs="Arial"/>
          <w:sz w:val="24"/>
          <w:szCs w:val="24"/>
        </w:rPr>
        <w:t>4</w:t>
      </w:r>
      <w:r w:rsidR="008F4043" w:rsidRPr="000971B9">
        <w:rPr>
          <w:rFonts w:ascii="Arial" w:hAnsi="Arial" w:cs="Arial"/>
          <w:sz w:val="24"/>
          <w:szCs w:val="24"/>
        </w:rPr>
        <w:t>: £1 million retail profit).</w:t>
      </w:r>
      <w:r w:rsidR="00F27C71" w:rsidRPr="000971B9">
        <w:rPr>
          <w:rFonts w:ascii="Arial" w:hAnsi="Arial" w:cs="Arial"/>
          <w:sz w:val="24"/>
          <w:szCs w:val="24"/>
        </w:rPr>
        <w:t xml:space="preserve"> </w:t>
      </w:r>
    </w:p>
    <w:p w14:paraId="3653FDCA" w14:textId="77777777" w:rsidR="00A14C99" w:rsidRPr="000971B9" w:rsidRDefault="00A14C99" w:rsidP="00365752">
      <w:pPr>
        <w:pStyle w:val="ListParagraph"/>
        <w:jc w:val="left"/>
        <w:rPr>
          <w:rFonts w:ascii="Arial" w:hAnsi="Arial" w:cs="Arial"/>
          <w:i/>
          <w:sz w:val="18"/>
          <w:szCs w:val="18"/>
        </w:rPr>
      </w:pPr>
    </w:p>
    <w:p w14:paraId="4F3BEC0C" w14:textId="26758586" w:rsidR="00A7221D" w:rsidRDefault="00A03F76" w:rsidP="00315200">
      <w:pPr>
        <w:jc w:val="left"/>
        <w:rPr>
          <w:rFonts w:ascii="Arial" w:hAnsi="Arial" w:cs="Arial"/>
          <w:b/>
          <w:sz w:val="24"/>
          <w:szCs w:val="24"/>
        </w:rPr>
      </w:pPr>
      <w:r w:rsidRPr="000971B9">
        <w:rPr>
          <w:rFonts w:ascii="Arial" w:hAnsi="Arial" w:cs="Arial"/>
          <w:sz w:val="24"/>
          <w:szCs w:val="24"/>
        </w:rPr>
        <w:t>During the year</w:t>
      </w:r>
      <w:r>
        <w:rPr>
          <w:rFonts w:ascii="Arial" w:hAnsi="Arial" w:cs="Arial"/>
          <w:sz w:val="24"/>
          <w:szCs w:val="24"/>
        </w:rPr>
        <w:t xml:space="preserve"> </w:t>
      </w:r>
      <w:r w:rsidR="007F33CA">
        <w:rPr>
          <w:rFonts w:ascii="Arial" w:hAnsi="Arial" w:cs="Arial"/>
          <w:sz w:val="24"/>
          <w:szCs w:val="24"/>
        </w:rPr>
        <w:t xml:space="preserve">nine net new stores, representing </w:t>
      </w:r>
      <w:r w:rsidRPr="007F33CA">
        <w:rPr>
          <w:rFonts w:ascii="Arial" w:hAnsi="Arial" w:cs="Arial"/>
          <w:sz w:val="24"/>
          <w:szCs w:val="24"/>
        </w:rPr>
        <w:t xml:space="preserve">around </w:t>
      </w:r>
      <w:r w:rsidR="007D3DB2">
        <w:rPr>
          <w:rFonts w:ascii="Arial" w:hAnsi="Arial" w:cs="Arial"/>
          <w:sz w:val="24"/>
          <w:szCs w:val="24"/>
        </w:rPr>
        <w:t>6</w:t>
      </w:r>
      <w:r w:rsidRPr="000E792C">
        <w:rPr>
          <w:rFonts w:ascii="Arial" w:hAnsi="Arial" w:cs="Arial"/>
          <w:sz w:val="24"/>
          <w:szCs w:val="24"/>
        </w:rPr>
        <w:t>%</w:t>
      </w:r>
      <w:r w:rsidR="00E10699">
        <w:rPr>
          <w:rFonts w:ascii="Arial" w:hAnsi="Arial" w:cs="Arial"/>
          <w:sz w:val="24"/>
          <w:szCs w:val="24"/>
        </w:rPr>
        <w:t xml:space="preserve"> new space</w:t>
      </w:r>
      <w:r w:rsidR="007F33CA">
        <w:rPr>
          <w:rFonts w:ascii="Arial" w:hAnsi="Arial" w:cs="Arial"/>
          <w:sz w:val="24"/>
          <w:szCs w:val="24"/>
        </w:rPr>
        <w:t>,</w:t>
      </w:r>
      <w:r>
        <w:rPr>
          <w:rFonts w:ascii="Arial" w:hAnsi="Arial" w:cs="Arial"/>
          <w:sz w:val="24"/>
          <w:szCs w:val="24"/>
        </w:rPr>
        <w:t xml:space="preserve"> w</w:t>
      </w:r>
      <w:r w:rsidR="007F33CA">
        <w:rPr>
          <w:rFonts w:ascii="Arial" w:hAnsi="Arial" w:cs="Arial"/>
          <w:sz w:val="24"/>
          <w:szCs w:val="24"/>
        </w:rPr>
        <w:t>ere</w:t>
      </w:r>
      <w:r>
        <w:rPr>
          <w:rFonts w:ascii="Arial" w:hAnsi="Arial" w:cs="Arial"/>
          <w:sz w:val="24"/>
          <w:szCs w:val="24"/>
        </w:rPr>
        <w:t xml:space="preserve"> added in our </w:t>
      </w:r>
      <w:r w:rsidR="007D3DB2">
        <w:rPr>
          <w:rFonts w:ascii="Arial" w:hAnsi="Arial" w:cs="Arial"/>
          <w:sz w:val="24"/>
          <w:szCs w:val="24"/>
        </w:rPr>
        <w:t xml:space="preserve">established </w:t>
      </w:r>
      <w:r>
        <w:rPr>
          <w:rFonts w:ascii="Arial" w:hAnsi="Arial" w:cs="Arial"/>
          <w:sz w:val="24"/>
          <w:szCs w:val="24"/>
        </w:rPr>
        <w:t xml:space="preserve">geographies, </w:t>
      </w:r>
      <w:r w:rsidRPr="000971B9">
        <w:rPr>
          <w:rFonts w:ascii="Arial" w:hAnsi="Arial" w:cs="Arial"/>
          <w:sz w:val="24"/>
          <w:szCs w:val="24"/>
        </w:rPr>
        <w:t>one in Russia, four in Spain</w:t>
      </w:r>
      <w:r>
        <w:rPr>
          <w:rFonts w:ascii="Arial" w:hAnsi="Arial" w:cs="Arial"/>
          <w:sz w:val="24"/>
          <w:szCs w:val="24"/>
        </w:rPr>
        <w:t xml:space="preserve"> and four</w:t>
      </w:r>
      <w:r w:rsidRPr="000971B9">
        <w:rPr>
          <w:rFonts w:ascii="Arial" w:hAnsi="Arial" w:cs="Arial"/>
          <w:sz w:val="24"/>
          <w:szCs w:val="24"/>
        </w:rPr>
        <w:t xml:space="preserve"> in Turkey</w:t>
      </w:r>
      <w:r>
        <w:rPr>
          <w:rFonts w:ascii="Arial" w:hAnsi="Arial" w:cs="Arial"/>
          <w:sz w:val="24"/>
          <w:szCs w:val="24"/>
        </w:rPr>
        <w:t>.</w:t>
      </w:r>
    </w:p>
    <w:p w14:paraId="597623F6" w14:textId="77777777" w:rsidR="00A33D31" w:rsidRDefault="00A33D31" w:rsidP="00315200">
      <w:pPr>
        <w:jc w:val="left"/>
        <w:rPr>
          <w:rFonts w:ascii="Arial" w:hAnsi="Arial" w:cs="Arial"/>
          <w:b/>
          <w:sz w:val="24"/>
          <w:szCs w:val="24"/>
          <w:u w:val="single"/>
        </w:rPr>
      </w:pPr>
    </w:p>
    <w:p w14:paraId="5EE075FE" w14:textId="20E01FDF" w:rsidR="009673CB" w:rsidRPr="000E792C" w:rsidRDefault="00A14C99" w:rsidP="00315200">
      <w:pPr>
        <w:jc w:val="left"/>
        <w:rPr>
          <w:rFonts w:ascii="Arial" w:hAnsi="Arial" w:cs="Arial"/>
          <w:b/>
          <w:sz w:val="24"/>
          <w:szCs w:val="24"/>
          <w:u w:val="single"/>
        </w:rPr>
      </w:pPr>
      <w:r w:rsidRPr="000E792C">
        <w:rPr>
          <w:rFonts w:ascii="Arial" w:hAnsi="Arial" w:cs="Arial"/>
          <w:b/>
          <w:sz w:val="24"/>
          <w:szCs w:val="24"/>
          <w:u w:val="single"/>
        </w:rPr>
        <w:t xml:space="preserve">New country development </w:t>
      </w:r>
      <w:r w:rsidR="00E04676">
        <w:rPr>
          <w:rFonts w:ascii="Arial" w:hAnsi="Arial" w:cs="Arial"/>
          <w:b/>
          <w:sz w:val="24"/>
          <w:szCs w:val="24"/>
          <w:u w:val="single"/>
        </w:rPr>
        <w:t>a</w:t>
      </w:r>
      <w:r w:rsidRPr="000E792C">
        <w:rPr>
          <w:rFonts w:ascii="Arial" w:hAnsi="Arial" w:cs="Arial"/>
          <w:b/>
          <w:sz w:val="24"/>
          <w:szCs w:val="24"/>
          <w:u w:val="single"/>
        </w:rPr>
        <w:t>ctivity</w:t>
      </w:r>
      <w:r w:rsidR="00E04676">
        <w:rPr>
          <w:rFonts w:ascii="Arial" w:hAnsi="Arial" w:cs="Arial"/>
          <w:b/>
          <w:sz w:val="24"/>
          <w:szCs w:val="24"/>
          <w:u w:val="single"/>
        </w:rPr>
        <w:t>:</w:t>
      </w:r>
    </w:p>
    <w:p w14:paraId="641B8449" w14:textId="77777777" w:rsidR="004E601F" w:rsidRDefault="004E601F" w:rsidP="00315200">
      <w:pPr>
        <w:jc w:val="left"/>
        <w:rPr>
          <w:rFonts w:ascii="Arial" w:hAnsi="Arial" w:cs="Arial"/>
          <w:b/>
          <w:sz w:val="24"/>
          <w:szCs w:val="24"/>
        </w:rPr>
      </w:pPr>
    </w:p>
    <w:p w14:paraId="0EAEDDC2" w14:textId="1B0D750D" w:rsidR="00463B6E" w:rsidRDefault="009673CB" w:rsidP="009673CB">
      <w:pPr>
        <w:jc w:val="left"/>
        <w:rPr>
          <w:rFonts w:ascii="Arial" w:hAnsi="Arial" w:cs="Arial"/>
          <w:sz w:val="24"/>
          <w:szCs w:val="24"/>
        </w:rPr>
      </w:pPr>
      <w:r w:rsidRPr="000971B9">
        <w:rPr>
          <w:rFonts w:ascii="Arial" w:hAnsi="Arial" w:cs="Arial"/>
          <w:b/>
          <w:sz w:val="24"/>
          <w:szCs w:val="24"/>
        </w:rPr>
        <w:t>Romani</w:t>
      </w:r>
      <w:r w:rsidR="00A7221D">
        <w:rPr>
          <w:rFonts w:ascii="Arial" w:hAnsi="Arial" w:cs="Arial"/>
          <w:b/>
          <w:sz w:val="24"/>
          <w:szCs w:val="24"/>
        </w:rPr>
        <w:t>a</w:t>
      </w:r>
      <w:r w:rsidR="0076399E">
        <w:rPr>
          <w:rFonts w:ascii="Arial" w:hAnsi="Arial" w:cs="Arial"/>
          <w:b/>
          <w:sz w:val="24"/>
          <w:szCs w:val="24"/>
        </w:rPr>
        <w:t xml:space="preserve"> </w:t>
      </w:r>
      <w:r w:rsidR="0076399E" w:rsidRPr="000E792C">
        <w:rPr>
          <w:rFonts w:ascii="Arial" w:hAnsi="Arial" w:cs="Arial"/>
          <w:sz w:val="24"/>
          <w:szCs w:val="24"/>
        </w:rPr>
        <w:t>-</w:t>
      </w:r>
      <w:r w:rsidR="009A4C7C" w:rsidRPr="000E792C">
        <w:rPr>
          <w:rFonts w:ascii="Arial" w:hAnsi="Arial" w:cs="Arial"/>
          <w:sz w:val="24"/>
          <w:szCs w:val="24"/>
        </w:rPr>
        <w:t xml:space="preserve"> In</w:t>
      </w:r>
      <w:r w:rsidR="009A4C7C">
        <w:rPr>
          <w:rFonts w:ascii="Arial" w:hAnsi="Arial" w:cs="Arial"/>
          <w:b/>
          <w:sz w:val="24"/>
          <w:szCs w:val="24"/>
        </w:rPr>
        <w:t xml:space="preserve"> </w:t>
      </w:r>
      <w:r w:rsidR="00A7221D">
        <w:rPr>
          <w:rFonts w:ascii="Arial" w:hAnsi="Arial" w:cs="Arial"/>
          <w:sz w:val="24"/>
          <w:szCs w:val="24"/>
        </w:rPr>
        <w:t>Q2 2013/14</w:t>
      </w:r>
      <w:r w:rsidR="009A4C7C">
        <w:rPr>
          <w:rFonts w:ascii="Arial" w:hAnsi="Arial" w:cs="Arial"/>
          <w:sz w:val="24"/>
          <w:szCs w:val="24"/>
        </w:rPr>
        <w:t xml:space="preserve"> Kingfisher acquired a chain of 15 home improvement stores trading under the name Bricostore. Since then</w:t>
      </w:r>
      <w:r w:rsidR="0076399E">
        <w:rPr>
          <w:rFonts w:ascii="Arial" w:hAnsi="Arial" w:cs="Arial"/>
          <w:sz w:val="24"/>
          <w:szCs w:val="24"/>
        </w:rPr>
        <w:t>,</w:t>
      </w:r>
      <w:r w:rsidR="009A4C7C">
        <w:rPr>
          <w:rFonts w:ascii="Arial" w:hAnsi="Arial" w:cs="Arial"/>
          <w:sz w:val="24"/>
          <w:szCs w:val="24"/>
        </w:rPr>
        <w:t xml:space="preserve"> work has been underway to transform these stores into the successful Brico D</w:t>
      </w:r>
      <w:r w:rsidR="0076399E" w:rsidRPr="000E792C">
        <w:rPr>
          <w:rFonts w:ascii="Arial" w:hAnsi="Arial" w:cs="Arial"/>
          <w:sz w:val="24"/>
          <w:szCs w:val="24"/>
        </w:rPr>
        <w:t>épô</w:t>
      </w:r>
      <w:r w:rsidR="009A4C7C">
        <w:rPr>
          <w:rFonts w:ascii="Arial" w:hAnsi="Arial" w:cs="Arial"/>
          <w:sz w:val="24"/>
          <w:szCs w:val="24"/>
        </w:rPr>
        <w:t xml:space="preserve">t format aimed at </w:t>
      </w:r>
      <w:r w:rsidR="0076399E">
        <w:rPr>
          <w:rFonts w:ascii="Arial" w:hAnsi="Arial" w:cs="Arial"/>
          <w:sz w:val="24"/>
          <w:szCs w:val="24"/>
        </w:rPr>
        <w:t xml:space="preserve">trade </w:t>
      </w:r>
      <w:r w:rsidR="009A4C7C">
        <w:rPr>
          <w:rFonts w:ascii="Arial" w:hAnsi="Arial" w:cs="Arial"/>
          <w:sz w:val="24"/>
          <w:szCs w:val="24"/>
        </w:rPr>
        <w:t>professional</w:t>
      </w:r>
      <w:r w:rsidR="0076399E">
        <w:rPr>
          <w:rFonts w:ascii="Arial" w:hAnsi="Arial" w:cs="Arial"/>
          <w:sz w:val="24"/>
          <w:szCs w:val="24"/>
        </w:rPr>
        <w:t>s</w:t>
      </w:r>
      <w:r w:rsidR="009A4C7C">
        <w:rPr>
          <w:rFonts w:ascii="Arial" w:hAnsi="Arial" w:cs="Arial"/>
          <w:sz w:val="24"/>
          <w:szCs w:val="24"/>
        </w:rPr>
        <w:t xml:space="preserve"> and </w:t>
      </w:r>
      <w:r w:rsidR="007A1925">
        <w:rPr>
          <w:rFonts w:ascii="Arial" w:hAnsi="Arial" w:cs="Arial"/>
          <w:sz w:val="24"/>
          <w:szCs w:val="24"/>
        </w:rPr>
        <w:t>highly proficient retail customers</w:t>
      </w:r>
      <w:r w:rsidR="009A4C7C">
        <w:rPr>
          <w:rFonts w:ascii="Arial" w:hAnsi="Arial" w:cs="Arial"/>
          <w:sz w:val="24"/>
          <w:szCs w:val="24"/>
        </w:rPr>
        <w:t>. Following encouraging results from the early conversions</w:t>
      </w:r>
      <w:r w:rsidR="0076399E">
        <w:rPr>
          <w:rFonts w:ascii="Arial" w:hAnsi="Arial" w:cs="Arial"/>
          <w:sz w:val="24"/>
          <w:szCs w:val="24"/>
        </w:rPr>
        <w:t>,</w:t>
      </w:r>
      <w:r w:rsidR="009A4C7C">
        <w:rPr>
          <w:rFonts w:ascii="Arial" w:hAnsi="Arial" w:cs="Arial"/>
          <w:sz w:val="24"/>
          <w:szCs w:val="24"/>
        </w:rPr>
        <w:t xml:space="preserve"> the transformation programme was accelerated during 2014/15 with 14 </w:t>
      </w:r>
      <w:r w:rsidR="009A4C7C">
        <w:rPr>
          <w:rFonts w:ascii="Arial" w:hAnsi="Arial" w:cs="Arial"/>
          <w:sz w:val="24"/>
          <w:szCs w:val="24"/>
        </w:rPr>
        <w:lastRenderedPageBreak/>
        <w:t xml:space="preserve">stores now trading as Brico </w:t>
      </w:r>
      <w:r w:rsidR="0076399E">
        <w:rPr>
          <w:rFonts w:ascii="Arial" w:hAnsi="Arial" w:cs="Arial"/>
          <w:sz w:val="24"/>
          <w:szCs w:val="24"/>
        </w:rPr>
        <w:t>D</w:t>
      </w:r>
      <w:r w:rsidR="0076399E" w:rsidRPr="005D297D">
        <w:rPr>
          <w:rFonts w:ascii="Arial" w:hAnsi="Arial" w:cs="Arial"/>
          <w:sz w:val="24"/>
          <w:szCs w:val="24"/>
        </w:rPr>
        <w:t>épô</w:t>
      </w:r>
      <w:r w:rsidR="0076399E">
        <w:rPr>
          <w:rFonts w:ascii="Arial" w:hAnsi="Arial" w:cs="Arial"/>
          <w:sz w:val="24"/>
          <w:szCs w:val="24"/>
        </w:rPr>
        <w:t>t</w:t>
      </w:r>
      <w:r w:rsidR="009A4C7C">
        <w:rPr>
          <w:rFonts w:ascii="Arial" w:hAnsi="Arial" w:cs="Arial"/>
          <w:sz w:val="24"/>
          <w:szCs w:val="24"/>
        </w:rPr>
        <w:t xml:space="preserve">. </w:t>
      </w:r>
      <w:r w:rsidR="0076399E">
        <w:rPr>
          <w:rFonts w:ascii="Arial" w:hAnsi="Arial" w:cs="Arial"/>
          <w:sz w:val="24"/>
          <w:szCs w:val="24"/>
        </w:rPr>
        <w:t>The business delivered s</w:t>
      </w:r>
      <w:r w:rsidRPr="000971B9">
        <w:rPr>
          <w:rFonts w:ascii="Arial" w:hAnsi="Arial" w:cs="Arial"/>
          <w:sz w:val="24"/>
          <w:szCs w:val="24"/>
        </w:rPr>
        <w:t>ales of £</w:t>
      </w:r>
      <w:r>
        <w:rPr>
          <w:rFonts w:ascii="Arial" w:hAnsi="Arial" w:cs="Arial"/>
          <w:sz w:val="24"/>
          <w:szCs w:val="24"/>
        </w:rPr>
        <w:t>9</w:t>
      </w:r>
      <w:r w:rsidR="00A7221D">
        <w:rPr>
          <w:rFonts w:ascii="Arial" w:hAnsi="Arial" w:cs="Arial"/>
          <w:sz w:val="24"/>
          <w:szCs w:val="24"/>
        </w:rPr>
        <w:t>1</w:t>
      </w:r>
      <w:r w:rsidRPr="000971B9">
        <w:rPr>
          <w:rFonts w:ascii="Arial" w:hAnsi="Arial" w:cs="Arial"/>
          <w:sz w:val="24"/>
          <w:szCs w:val="24"/>
        </w:rPr>
        <w:t xml:space="preserve"> million</w:t>
      </w:r>
      <w:r w:rsidR="009A4C7C">
        <w:rPr>
          <w:rFonts w:ascii="Arial" w:hAnsi="Arial" w:cs="Arial"/>
          <w:sz w:val="24"/>
          <w:szCs w:val="24"/>
        </w:rPr>
        <w:t xml:space="preserve"> and </w:t>
      </w:r>
      <w:r w:rsidRPr="000971B9">
        <w:rPr>
          <w:rFonts w:ascii="Arial" w:hAnsi="Arial" w:cs="Arial"/>
          <w:sz w:val="24"/>
          <w:szCs w:val="24"/>
        </w:rPr>
        <w:t xml:space="preserve">retail </w:t>
      </w:r>
      <w:r>
        <w:rPr>
          <w:rFonts w:ascii="Arial" w:hAnsi="Arial" w:cs="Arial"/>
          <w:sz w:val="24"/>
          <w:szCs w:val="24"/>
        </w:rPr>
        <w:t>loss</w:t>
      </w:r>
      <w:r w:rsidRPr="000971B9">
        <w:rPr>
          <w:rFonts w:ascii="Arial" w:hAnsi="Arial" w:cs="Arial"/>
          <w:sz w:val="24"/>
          <w:szCs w:val="24"/>
        </w:rPr>
        <w:t xml:space="preserve"> of £</w:t>
      </w:r>
      <w:r>
        <w:rPr>
          <w:rFonts w:ascii="Arial" w:hAnsi="Arial" w:cs="Arial"/>
          <w:sz w:val="24"/>
          <w:szCs w:val="24"/>
        </w:rPr>
        <w:t>12</w:t>
      </w:r>
      <w:r w:rsidRPr="000971B9">
        <w:rPr>
          <w:rFonts w:ascii="Arial" w:hAnsi="Arial" w:cs="Arial"/>
          <w:sz w:val="24"/>
          <w:szCs w:val="24"/>
        </w:rPr>
        <w:t xml:space="preserve"> million</w:t>
      </w:r>
      <w:r w:rsidR="00A7221D">
        <w:rPr>
          <w:rFonts w:ascii="Arial" w:hAnsi="Arial" w:cs="Arial"/>
          <w:sz w:val="24"/>
          <w:szCs w:val="24"/>
        </w:rPr>
        <w:t xml:space="preserve"> </w:t>
      </w:r>
      <w:r w:rsidR="009A4C7C">
        <w:rPr>
          <w:rFonts w:ascii="Arial" w:hAnsi="Arial" w:cs="Arial"/>
          <w:sz w:val="24"/>
          <w:szCs w:val="24"/>
        </w:rPr>
        <w:t>reflect</w:t>
      </w:r>
      <w:r w:rsidR="0076399E">
        <w:rPr>
          <w:rFonts w:ascii="Arial" w:hAnsi="Arial" w:cs="Arial"/>
          <w:sz w:val="24"/>
          <w:szCs w:val="24"/>
        </w:rPr>
        <w:t>ing</w:t>
      </w:r>
      <w:r w:rsidR="009A4C7C">
        <w:rPr>
          <w:rFonts w:ascii="Arial" w:hAnsi="Arial" w:cs="Arial"/>
          <w:sz w:val="24"/>
          <w:szCs w:val="24"/>
        </w:rPr>
        <w:t xml:space="preserve"> this year of transition</w:t>
      </w:r>
      <w:r w:rsidR="0076399E">
        <w:rPr>
          <w:rFonts w:ascii="Arial" w:hAnsi="Arial" w:cs="Arial"/>
          <w:sz w:val="24"/>
          <w:szCs w:val="24"/>
        </w:rPr>
        <w:t xml:space="preserve">. </w:t>
      </w:r>
    </w:p>
    <w:p w14:paraId="657E0AE7" w14:textId="77777777" w:rsidR="0076399E" w:rsidRDefault="0076399E" w:rsidP="009673CB">
      <w:pPr>
        <w:jc w:val="left"/>
        <w:rPr>
          <w:rFonts w:ascii="Arial" w:hAnsi="Arial" w:cs="Arial"/>
          <w:b/>
          <w:sz w:val="24"/>
          <w:szCs w:val="24"/>
        </w:rPr>
      </w:pPr>
    </w:p>
    <w:p w14:paraId="2F753F4C" w14:textId="571AC143" w:rsidR="004E601F" w:rsidRDefault="00B442F1" w:rsidP="009673CB">
      <w:pPr>
        <w:jc w:val="left"/>
        <w:rPr>
          <w:rFonts w:ascii="Arial" w:hAnsi="Arial" w:cs="Arial"/>
          <w:sz w:val="24"/>
          <w:szCs w:val="24"/>
        </w:rPr>
      </w:pPr>
      <w:r w:rsidRPr="006C2C39">
        <w:rPr>
          <w:rFonts w:ascii="Arial" w:hAnsi="Arial" w:cs="Arial"/>
          <w:b/>
          <w:sz w:val="24"/>
          <w:szCs w:val="24"/>
        </w:rPr>
        <w:t>Portugal</w:t>
      </w:r>
      <w:r w:rsidR="0076399E">
        <w:rPr>
          <w:rFonts w:ascii="Arial" w:hAnsi="Arial" w:cs="Arial"/>
          <w:sz w:val="24"/>
          <w:szCs w:val="24"/>
        </w:rPr>
        <w:t xml:space="preserve"> </w:t>
      </w:r>
      <w:r w:rsidR="0056355B" w:rsidRPr="000E792C">
        <w:rPr>
          <w:rFonts w:ascii="Arial" w:hAnsi="Arial" w:cs="Arial"/>
          <w:sz w:val="24"/>
          <w:szCs w:val="24"/>
        </w:rPr>
        <w:t xml:space="preserve">- </w:t>
      </w:r>
      <w:r w:rsidR="00A33D31">
        <w:rPr>
          <w:rFonts w:ascii="Arial" w:hAnsi="Arial" w:cs="Arial"/>
          <w:sz w:val="24"/>
          <w:szCs w:val="24"/>
        </w:rPr>
        <w:t>In a wider</w:t>
      </w:r>
      <w:r w:rsidR="004E601F">
        <w:rPr>
          <w:rFonts w:ascii="Arial" w:hAnsi="Arial" w:cs="Arial"/>
          <w:sz w:val="24"/>
          <w:szCs w:val="24"/>
        </w:rPr>
        <w:t xml:space="preserve"> strategy </w:t>
      </w:r>
      <w:r w:rsidR="00A33D31">
        <w:rPr>
          <w:rFonts w:ascii="Arial" w:hAnsi="Arial" w:cs="Arial"/>
          <w:sz w:val="24"/>
          <w:szCs w:val="24"/>
        </w:rPr>
        <w:t>to expand</w:t>
      </w:r>
      <w:r w:rsidR="004E601F">
        <w:rPr>
          <w:rFonts w:ascii="Arial" w:hAnsi="Arial" w:cs="Arial"/>
          <w:sz w:val="24"/>
          <w:szCs w:val="24"/>
        </w:rPr>
        <w:t xml:space="preserve"> </w:t>
      </w:r>
      <w:r w:rsidR="0076399E">
        <w:rPr>
          <w:rFonts w:ascii="Arial" w:hAnsi="Arial" w:cs="Arial"/>
          <w:sz w:val="24"/>
          <w:szCs w:val="24"/>
        </w:rPr>
        <w:t>Brico D</w:t>
      </w:r>
      <w:r w:rsidR="0076399E" w:rsidRPr="005D297D">
        <w:rPr>
          <w:rFonts w:ascii="Arial" w:hAnsi="Arial" w:cs="Arial"/>
          <w:sz w:val="24"/>
          <w:szCs w:val="24"/>
        </w:rPr>
        <w:t>épô</w:t>
      </w:r>
      <w:r w:rsidR="0076399E">
        <w:rPr>
          <w:rFonts w:ascii="Arial" w:hAnsi="Arial" w:cs="Arial"/>
          <w:sz w:val="24"/>
          <w:szCs w:val="24"/>
        </w:rPr>
        <w:t xml:space="preserve">t </w:t>
      </w:r>
      <w:r w:rsidR="004E601F">
        <w:rPr>
          <w:rFonts w:ascii="Arial" w:hAnsi="Arial" w:cs="Arial"/>
          <w:sz w:val="24"/>
          <w:szCs w:val="24"/>
        </w:rPr>
        <w:t>across Iberia</w:t>
      </w:r>
      <w:r w:rsidR="00A33D31">
        <w:rPr>
          <w:rFonts w:ascii="Arial" w:hAnsi="Arial" w:cs="Arial"/>
          <w:sz w:val="24"/>
          <w:szCs w:val="24"/>
        </w:rPr>
        <w:t xml:space="preserve">, </w:t>
      </w:r>
      <w:r w:rsidR="004E601F">
        <w:rPr>
          <w:rFonts w:ascii="Arial" w:hAnsi="Arial" w:cs="Arial"/>
          <w:sz w:val="24"/>
          <w:szCs w:val="24"/>
        </w:rPr>
        <w:t xml:space="preserve">the first two </w:t>
      </w:r>
      <w:r w:rsidR="00A33D31">
        <w:rPr>
          <w:rFonts w:ascii="Arial" w:hAnsi="Arial" w:cs="Arial"/>
          <w:sz w:val="24"/>
          <w:szCs w:val="24"/>
        </w:rPr>
        <w:t>Brico D</w:t>
      </w:r>
      <w:r w:rsidR="00A33D31" w:rsidRPr="005D297D">
        <w:rPr>
          <w:rFonts w:ascii="Arial" w:hAnsi="Arial" w:cs="Arial"/>
          <w:sz w:val="24"/>
          <w:szCs w:val="24"/>
        </w:rPr>
        <w:t>épô</w:t>
      </w:r>
      <w:r w:rsidR="00A33D31">
        <w:rPr>
          <w:rFonts w:ascii="Arial" w:hAnsi="Arial" w:cs="Arial"/>
          <w:sz w:val="24"/>
          <w:szCs w:val="24"/>
        </w:rPr>
        <w:t xml:space="preserve">t </w:t>
      </w:r>
      <w:r w:rsidR="004E601F">
        <w:rPr>
          <w:rFonts w:ascii="Arial" w:hAnsi="Arial" w:cs="Arial"/>
          <w:sz w:val="24"/>
          <w:szCs w:val="24"/>
        </w:rPr>
        <w:t>stores opened</w:t>
      </w:r>
      <w:r w:rsidR="00A03F76">
        <w:rPr>
          <w:rFonts w:ascii="Arial" w:hAnsi="Arial" w:cs="Arial"/>
          <w:sz w:val="24"/>
          <w:szCs w:val="24"/>
        </w:rPr>
        <w:t xml:space="preserve"> </w:t>
      </w:r>
      <w:r w:rsidR="00A33D31">
        <w:rPr>
          <w:rFonts w:ascii="Arial" w:hAnsi="Arial" w:cs="Arial"/>
          <w:sz w:val="24"/>
          <w:szCs w:val="24"/>
        </w:rPr>
        <w:t xml:space="preserve">during the year </w:t>
      </w:r>
      <w:r w:rsidR="00A03F76">
        <w:rPr>
          <w:rFonts w:ascii="Arial" w:hAnsi="Arial" w:cs="Arial"/>
          <w:sz w:val="24"/>
          <w:szCs w:val="24"/>
        </w:rPr>
        <w:t xml:space="preserve">generating </w:t>
      </w:r>
      <w:r w:rsidR="00A03F76" w:rsidRPr="0076399E">
        <w:rPr>
          <w:rFonts w:ascii="Arial" w:hAnsi="Arial" w:cs="Arial"/>
          <w:sz w:val="24"/>
          <w:szCs w:val="24"/>
        </w:rPr>
        <w:t>s</w:t>
      </w:r>
      <w:r w:rsidR="00463B6E" w:rsidRPr="0076399E">
        <w:rPr>
          <w:rFonts w:ascii="Arial" w:hAnsi="Arial" w:cs="Arial"/>
          <w:sz w:val="24"/>
          <w:szCs w:val="24"/>
        </w:rPr>
        <w:t>ales</w:t>
      </w:r>
      <w:r w:rsidR="004E601F" w:rsidRPr="0076399E">
        <w:rPr>
          <w:rFonts w:ascii="Arial" w:hAnsi="Arial" w:cs="Arial"/>
          <w:sz w:val="24"/>
          <w:szCs w:val="24"/>
        </w:rPr>
        <w:t xml:space="preserve"> </w:t>
      </w:r>
      <w:r w:rsidR="00A03F76" w:rsidRPr="0076399E">
        <w:rPr>
          <w:rFonts w:ascii="Arial" w:hAnsi="Arial" w:cs="Arial"/>
          <w:sz w:val="24"/>
          <w:szCs w:val="24"/>
        </w:rPr>
        <w:t xml:space="preserve">of </w:t>
      </w:r>
      <w:r w:rsidR="004E601F" w:rsidRPr="000E792C">
        <w:rPr>
          <w:rFonts w:ascii="Arial" w:hAnsi="Arial" w:cs="Arial"/>
          <w:sz w:val="24"/>
          <w:szCs w:val="24"/>
        </w:rPr>
        <w:t>£1</w:t>
      </w:r>
      <w:r w:rsidR="006F1B67">
        <w:rPr>
          <w:rFonts w:ascii="Arial" w:hAnsi="Arial" w:cs="Arial"/>
          <w:sz w:val="24"/>
          <w:szCs w:val="24"/>
        </w:rPr>
        <w:t>2</w:t>
      </w:r>
      <w:r w:rsidR="0076399E" w:rsidRPr="000E792C">
        <w:rPr>
          <w:rFonts w:ascii="Arial" w:hAnsi="Arial" w:cs="Arial"/>
          <w:sz w:val="24"/>
          <w:szCs w:val="24"/>
        </w:rPr>
        <w:t xml:space="preserve"> </w:t>
      </w:r>
      <w:r w:rsidR="004E601F" w:rsidRPr="000E792C">
        <w:rPr>
          <w:rFonts w:ascii="Arial" w:hAnsi="Arial" w:cs="Arial"/>
          <w:sz w:val="24"/>
          <w:szCs w:val="24"/>
        </w:rPr>
        <w:t>m</w:t>
      </w:r>
      <w:r w:rsidR="0076399E" w:rsidRPr="0076399E">
        <w:rPr>
          <w:rFonts w:ascii="Arial" w:hAnsi="Arial" w:cs="Arial"/>
          <w:sz w:val="24"/>
          <w:szCs w:val="24"/>
        </w:rPr>
        <w:t>illion</w:t>
      </w:r>
      <w:r w:rsidR="00A03F76" w:rsidRPr="0076399E">
        <w:rPr>
          <w:rFonts w:ascii="Arial" w:hAnsi="Arial" w:cs="Arial"/>
          <w:sz w:val="24"/>
          <w:szCs w:val="24"/>
        </w:rPr>
        <w:t>. R</w:t>
      </w:r>
      <w:r w:rsidR="004E601F" w:rsidRPr="0076399E">
        <w:rPr>
          <w:rFonts w:ascii="Arial" w:hAnsi="Arial" w:cs="Arial"/>
          <w:sz w:val="24"/>
          <w:szCs w:val="24"/>
        </w:rPr>
        <w:t>etail loss</w:t>
      </w:r>
      <w:r w:rsidR="00463B6E" w:rsidRPr="0076399E">
        <w:rPr>
          <w:rFonts w:ascii="Arial" w:hAnsi="Arial" w:cs="Arial"/>
          <w:sz w:val="24"/>
          <w:szCs w:val="24"/>
        </w:rPr>
        <w:t xml:space="preserve"> </w:t>
      </w:r>
      <w:r w:rsidR="001C41B3" w:rsidRPr="0076399E">
        <w:rPr>
          <w:rFonts w:ascii="Arial" w:hAnsi="Arial" w:cs="Arial"/>
          <w:sz w:val="24"/>
          <w:szCs w:val="24"/>
        </w:rPr>
        <w:t xml:space="preserve">of </w:t>
      </w:r>
      <w:r w:rsidR="004E601F" w:rsidRPr="000E792C">
        <w:rPr>
          <w:rFonts w:ascii="Arial" w:hAnsi="Arial" w:cs="Arial"/>
          <w:sz w:val="24"/>
          <w:szCs w:val="24"/>
        </w:rPr>
        <w:t>£2</w:t>
      </w:r>
      <w:r w:rsidR="0076399E">
        <w:rPr>
          <w:rFonts w:ascii="Arial" w:hAnsi="Arial" w:cs="Arial"/>
          <w:sz w:val="24"/>
          <w:szCs w:val="24"/>
        </w:rPr>
        <w:t xml:space="preserve"> </w:t>
      </w:r>
      <w:r w:rsidR="004E601F" w:rsidRPr="000E792C">
        <w:rPr>
          <w:rFonts w:ascii="Arial" w:hAnsi="Arial" w:cs="Arial"/>
          <w:sz w:val="24"/>
          <w:szCs w:val="24"/>
        </w:rPr>
        <w:t>m</w:t>
      </w:r>
      <w:r w:rsidR="0076399E">
        <w:rPr>
          <w:rFonts w:ascii="Arial" w:hAnsi="Arial" w:cs="Arial"/>
          <w:sz w:val="24"/>
          <w:szCs w:val="24"/>
        </w:rPr>
        <w:t>illion</w:t>
      </w:r>
      <w:r w:rsidR="00A03F76" w:rsidRPr="0076399E">
        <w:rPr>
          <w:rFonts w:ascii="Arial" w:hAnsi="Arial" w:cs="Arial"/>
          <w:sz w:val="24"/>
          <w:szCs w:val="24"/>
        </w:rPr>
        <w:t xml:space="preserve"> </w:t>
      </w:r>
      <w:r w:rsidR="001C41B3" w:rsidRPr="0076399E">
        <w:rPr>
          <w:rFonts w:ascii="Arial" w:hAnsi="Arial" w:cs="Arial"/>
          <w:sz w:val="24"/>
          <w:szCs w:val="24"/>
        </w:rPr>
        <w:t xml:space="preserve">includes store </w:t>
      </w:r>
      <w:r w:rsidR="00A03F76" w:rsidRPr="0076399E">
        <w:rPr>
          <w:rFonts w:ascii="Arial" w:hAnsi="Arial" w:cs="Arial"/>
          <w:sz w:val="24"/>
          <w:szCs w:val="24"/>
        </w:rPr>
        <w:t>pre-opening</w:t>
      </w:r>
      <w:r w:rsidR="0076399E">
        <w:rPr>
          <w:rFonts w:ascii="Arial" w:hAnsi="Arial" w:cs="Arial"/>
          <w:sz w:val="24"/>
          <w:szCs w:val="24"/>
        </w:rPr>
        <w:t xml:space="preserve"> costs</w:t>
      </w:r>
      <w:r w:rsidR="00A03F76" w:rsidRPr="0076399E">
        <w:rPr>
          <w:rFonts w:ascii="Arial" w:hAnsi="Arial" w:cs="Arial"/>
          <w:sz w:val="24"/>
          <w:szCs w:val="24"/>
        </w:rPr>
        <w:t xml:space="preserve"> and </w:t>
      </w:r>
      <w:r w:rsidR="001C41B3" w:rsidRPr="0076399E">
        <w:rPr>
          <w:rFonts w:ascii="Arial" w:hAnsi="Arial" w:cs="Arial"/>
          <w:sz w:val="24"/>
          <w:szCs w:val="24"/>
        </w:rPr>
        <w:t>central operations</w:t>
      </w:r>
      <w:r w:rsidR="004E601F" w:rsidRPr="0076399E">
        <w:rPr>
          <w:rFonts w:ascii="Arial" w:hAnsi="Arial" w:cs="Arial"/>
          <w:sz w:val="24"/>
          <w:szCs w:val="24"/>
        </w:rPr>
        <w:t>.</w:t>
      </w:r>
      <w:r w:rsidR="004E601F">
        <w:rPr>
          <w:rFonts w:ascii="Arial" w:hAnsi="Arial" w:cs="Arial"/>
          <w:sz w:val="24"/>
          <w:szCs w:val="24"/>
        </w:rPr>
        <w:t xml:space="preserve"> </w:t>
      </w:r>
      <w:r w:rsidR="00463B6E">
        <w:rPr>
          <w:rFonts w:ascii="Arial" w:hAnsi="Arial" w:cs="Arial"/>
          <w:sz w:val="24"/>
          <w:szCs w:val="24"/>
        </w:rPr>
        <w:t xml:space="preserve"> </w:t>
      </w:r>
    </w:p>
    <w:p w14:paraId="400A185B" w14:textId="77777777" w:rsidR="004E601F" w:rsidRDefault="004E601F" w:rsidP="009673CB">
      <w:pPr>
        <w:jc w:val="left"/>
        <w:rPr>
          <w:rFonts w:ascii="Arial" w:hAnsi="Arial" w:cs="Arial"/>
          <w:sz w:val="24"/>
          <w:szCs w:val="24"/>
        </w:rPr>
      </w:pPr>
    </w:p>
    <w:p w14:paraId="589C9F2E" w14:textId="585A36BD" w:rsidR="007A334A" w:rsidRPr="00011E57" w:rsidRDefault="007A334A" w:rsidP="007A334A">
      <w:pPr>
        <w:pStyle w:val="PlainText"/>
        <w:rPr>
          <w:rFonts w:ascii="Arial" w:hAnsi="Arial" w:cs="Arial"/>
          <w:sz w:val="24"/>
          <w:szCs w:val="24"/>
        </w:rPr>
      </w:pPr>
      <w:r w:rsidRPr="00011E57">
        <w:rPr>
          <w:rFonts w:ascii="Arial" w:hAnsi="Arial" w:cs="Arial"/>
          <w:b/>
          <w:sz w:val="24"/>
          <w:szCs w:val="24"/>
        </w:rPr>
        <w:t>Germany</w:t>
      </w:r>
      <w:r w:rsidRPr="00011E57">
        <w:rPr>
          <w:rFonts w:ascii="Arial" w:hAnsi="Arial" w:cs="Arial"/>
          <w:sz w:val="24"/>
          <w:szCs w:val="24"/>
        </w:rPr>
        <w:t xml:space="preserve"> - During </w:t>
      </w:r>
      <w:r w:rsidR="00A93153">
        <w:rPr>
          <w:rFonts w:ascii="Arial" w:hAnsi="Arial" w:cs="Arial"/>
          <w:sz w:val="24"/>
          <w:szCs w:val="24"/>
        </w:rPr>
        <w:t>FY 2013/14</w:t>
      </w:r>
      <w:r w:rsidRPr="00011E57">
        <w:rPr>
          <w:rFonts w:ascii="Arial" w:hAnsi="Arial" w:cs="Arial"/>
          <w:sz w:val="24"/>
          <w:szCs w:val="24"/>
        </w:rPr>
        <w:t xml:space="preserve"> Kingfisher announced its plans to evaluate international opportunities for its highly successful omnichannel business, Screwfix. In the summer a four store pilot commenced in the Frankfurt area, supported by a website offering 'click &amp; collect' as well as country-wide next day delivery. Sales and brand awareness are building with an encouraging number of repeat customers; retail loss including start-up costs was £8 million. A further five stores are planned for FY 2015/16 within the Frankfurt area. </w:t>
      </w:r>
    </w:p>
    <w:p w14:paraId="3E50DFF3" w14:textId="77777777" w:rsidR="00E607E0" w:rsidRPr="00315200" w:rsidRDefault="00E607E0" w:rsidP="00315200">
      <w:pPr>
        <w:rPr>
          <w:b/>
          <w:bCs/>
        </w:rPr>
      </w:pPr>
    </w:p>
    <w:p w14:paraId="3FAC35BC" w14:textId="563CF163" w:rsidR="00BE4899" w:rsidRPr="000E792C" w:rsidRDefault="00BE4899" w:rsidP="00BE4899">
      <w:pPr>
        <w:jc w:val="left"/>
        <w:rPr>
          <w:rFonts w:ascii="Arial" w:hAnsi="Arial" w:cs="Arial"/>
          <w:b/>
          <w:sz w:val="24"/>
          <w:szCs w:val="24"/>
          <w:u w:val="single"/>
        </w:rPr>
      </w:pPr>
      <w:r w:rsidRPr="000E792C">
        <w:rPr>
          <w:rFonts w:ascii="Arial" w:hAnsi="Arial" w:cs="Arial"/>
          <w:b/>
          <w:sz w:val="24"/>
          <w:szCs w:val="24"/>
          <w:u w:val="single"/>
        </w:rPr>
        <w:t>Assets held for sale</w:t>
      </w:r>
      <w:r w:rsidR="0076399E" w:rsidRPr="000E792C">
        <w:rPr>
          <w:rFonts w:ascii="Arial" w:hAnsi="Arial" w:cs="Arial"/>
          <w:b/>
          <w:sz w:val="24"/>
          <w:szCs w:val="24"/>
          <w:u w:val="single"/>
        </w:rPr>
        <w:t xml:space="preserve"> </w:t>
      </w:r>
      <w:r w:rsidR="0056355B">
        <w:rPr>
          <w:rFonts w:ascii="Arial" w:hAnsi="Arial" w:cs="Arial"/>
          <w:b/>
          <w:sz w:val="24"/>
          <w:szCs w:val="24"/>
          <w:u w:val="single"/>
        </w:rPr>
        <w:t>-</w:t>
      </w:r>
      <w:r w:rsidR="0056355B" w:rsidRPr="000E792C">
        <w:rPr>
          <w:rFonts w:ascii="Arial" w:hAnsi="Arial" w:cs="Arial"/>
          <w:b/>
          <w:sz w:val="24"/>
          <w:szCs w:val="24"/>
          <w:u w:val="single"/>
        </w:rPr>
        <w:t xml:space="preserve"> </w:t>
      </w:r>
      <w:r w:rsidR="0076399E" w:rsidRPr="000E792C">
        <w:rPr>
          <w:rFonts w:ascii="Arial" w:hAnsi="Arial" w:cs="Arial"/>
          <w:b/>
          <w:sz w:val="24"/>
          <w:szCs w:val="24"/>
          <w:u w:val="single"/>
        </w:rPr>
        <w:t>China</w:t>
      </w:r>
      <w:r w:rsidR="00A33D31">
        <w:rPr>
          <w:rFonts w:ascii="Arial" w:hAnsi="Arial" w:cs="Arial"/>
          <w:b/>
          <w:sz w:val="24"/>
          <w:szCs w:val="24"/>
          <w:u w:val="single"/>
        </w:rPr>
        <w:t>:</w:t>
      </w:r>
    </w:p>
    <w:p w14:paraId="4C963993" w14:textId="133929FF" w:rsidR="00322163" w:rsidRPr="006C2C39" w:rsidRDefault="00322163" w:rsidP="006C2C39">
      <w:pPr>
        <w:pStyle w:val="NormalWeb"/>
        <w:rPr>
          <w:rFonts w:ascii="Arial" w:hAnsi="Arial" w:cs="Arial"/>
        </w:rPr>
      </w:pPr>
      <w:r w:rsidRPr="006C2C39">
        <w:rPr>
          <w:rFonts w:ascii="Arial" w:hAnsi="Arial" w:cs="Arial"/>
        </w:rPr>
        <w:t xml:space="preserve">In December 2014 </w:t>
      </w:r>
      <w:r>
        <w:rPr>
          <w:rFonts w:ascii="Arial" w:hAnsi="Arial" w:cs="Arial"/>
        </w:rPr>
        <w:t xml:space="preserve">Kingfisher </w:t>
      </w:r>
      <w:r w:rsidRPr="006C2C39">
        <w:rPr>
          <w:rFonts w:ascii="Arial" w:hAnsi="Arial" w:cs="Arial"/>
        </w:rPr>
        <w:t>announce</w:t>
      </w:r>
      <w:r>
        <w:rPr>
          <w:rFonts w:ascii="Arial" w:hAnsi="Arial" w:cs="Arial"/>
        </w:rPr>
        <w:t xml:space="preserve">d </w:t>
      </w:r>
      <w:r w:rsidRPr="006C2C39">
        <w:rPr>
          <w:rFonts w:ascii="Arial" w:hAnsi="Arial" w:cs="Arial"/>
        </w:rPr>
        <w:t xml:space="preserve">a binding agreement to sell a controlling 70% stake in its B&amp;Q China business to Wumei Holdings Inc for a total cash consideration of £140 </w:t>
      </w:r>
      <w:r w:rsidRPr="003464B5">
        <w:rPr>
          <w:rFonts w:ascii="Arial" w:hAnsi="Arial" w:cs="Arial"/>
        </w:rPr>
        <w:t>million.</w:t>
      </w:r>
      <w:r w:rsidRPr="006C2C39">
        <w:rPr>
          <w:rFonts w:ascii="Arial" w:hAnsi="Arial" w:cs="Arial"/>
        </w:rPr>
        <w:t xml:space="preserve"> The agreement follows Kingfisher’s previous announcement of its plans to look for a strategic partner to help develop its B&amp;Q business in China</w:t>
      </w:r>
      <w:r w:rsidR="006A21E0">
        <w:rPr>
          <w:rFonts w:ascii="Arial" w:hAnsi="Arial" w:cs="Arial"/>
        </w:rPr>
        <w:t>.</w:t>
      </w:r>
      <w:r w:rsidR="0076399E">
        <w:rPr>
          <w:rFonts w:ascii="Arial" w:hAnsi="Arial" w:cs="Arial"/>
        </w:rPr>
        <w:t xml:space="preserve"> </w:t>
      </w:r>
      <w:r w:rsidRPr="00105A25">
        <w:rPr>
          <w:rFonts w:ascii="Arial" w:hAnsi="Arial" w:cs="Arial"/>
        </w:rPr>
        <w:t xml:space="preserve">The transaction </w:t>
      </w:r>
      <w:r w:rsidR="00474B48" w:rsidRPr="00105A25">
        <w:rPr>
          <w:rFonts w:ascii="Arial" w:hAnsi="Arial" w:cs="Arial"/>
        </w:rPr>
        <w:t>is awaiting</w:t>
      </w:r>
      <w:r w:rsidRPr="00105A25">
        <w:rPr>
          <w:rFonts w:ascii="Arial" w:hAnsi="Arial" w:cs="Arial"/>
        </w:rPr>
        <w:t xml:space="preserve"> MOFCOM (Chinese Ministry of Commerce) approval and is expected to c</w:t>
      </w:r>
      <w:r w:rsidR="002910BD" w:rsidRPr="00105A25">
        <w:rPr>
          <w:rFonts w:ascii="Arial" w:hAnsi="Arial" w:cs="Arial"/>
        </w:rPr>
        <w:t>omplete</w:t>
      </w:r>
      <w:r w:rsidRPr="00105A25">
        <w:rPr>
          <w:rFonts w:ascii="Arial" w:hAnsi="Arial" w:cs="Arial"/>
        </w:rPr>
        <w:t xml:space="preserve"> during </w:t>
      </w:r>
      <w:r w:rsidR="00345DD4" w:rsidRPr="00105A25">
        <w:rPr>
          <w:rFonts w:ascii="Arial" w:hAnsi="Arial" w:cs="Arial"/>
        </w:rPr>
        <w:t>H1</w:t>
      </w:r>
      <w:r w:rsidR="0076399E" w:rsidRPr="00105A25">
        <w:rPr>
          <w:rFonts w:ascii="Arial" w:hAnsi="Arial" w:cs="Arial"/>
        </w:rPr>
        <w:t xml:space="preserve"> 2015/16</w:t>
      </w:r>
      <w:r w:rsidRPr="00105A25">
        <w:rPr>
          <w:rFonts w:ascii="Arial" w:hAnsi="Arial" w:cs="Arial"/>
        </w:rPr>
        <w:t>.</w:t>
      </w:r>
    </w:p>
    <w:p w14:paraId="3A2B92CC" w14:textId="3E0A39D5" w:rsidR="00BE4899" w:rsidRPr="000971B9" w:rsidRDefault="00322163" w:rsidP="00BE4899">
      <w:pPr>
        <w:jc w:val="left"/>
        <w:rPr>
          <w:rFonts w:ascii="Arial" w:hAnsi="Arial" w:cs="Arial"/>
          <w:sz w:val="24"/>
          <w:szCs w:val="24"/>
        </w:rPr>
      </w:pPr>
      <w:r>
        <w:rPr>
          <w:rFonts w:ascii="Arial" w:hAnsi="Arial" w:cs="Arial"/>
          <w:sz w:val="24"/>
          <w:szCs w:val="24"/>
        </w:rPr>
        <w:t>During 2014/15 s</w:t>
      </w:r>
      <w:r w:rsidR="00BE4899" w:rsidRPr="000971B9">
        <w:rPr>
          <w:rFonts w:ascii="Arial" w:hAnsi="Arial" w:cs="Arial"/>
          <w:sz w:val="24"/>
          <w:szCs w:val="24"/>
        </w:rPr>
        <w:t xml:space="preserve">ales </w:t>
      </w:r>
      <w:r w:rsidR="00BE4899">
        <w:rPr>
          <w:rFonts w:ascii="Arial" w:hAnsi="Arial" w:cs="Arial"/>
          <w:sz w:val="24"/>
          <w:szCs w:val="24"/>
        </w:rPr>
        <w:t>declined</w:t>
      </w:r>
      <w:r w:rsidR="00BE4899" w:rsidRPr="000971B9">
        <w:rPr>
          <w:rFonts w:ascii="Arial" w:hAnsi="Arial" w:cs="Arial"/>
          <w:sz w:val="24"/>
          <w:szCs w:val="24"/>
        </w:rPr>
        <w:t xml:space="preserve"> by </w:t>
      </w:r>
      <w:r w:rsidR="00BE4899">
        <w:rPr>
          <w:rFonts w:ascii="Arial" w:hAnsi="Arial" w:cs="Arial"/>
          <w:sz w:val="24"/>
          <w:szCs w:val="24"/>
        </w:rPr>
        <w:t>9.8</w:t>
      </w:r>
      <w:r w:rsidR="00BE4899" w:rsidRPr="000971B9">
        <w:rPr>
          <w:rFonts w:ascii="Arial" w:hAnsi="Arial" w:cs="Arial"/>
          <w:sz w:val="24"/>
          <w:szCs w:val="24"/>
        </w:rPr>
        <w:t>% (</w:t>
      </w:r>
      <w:r w:rsidR="00BE4899">
        <w:rPr>
          <w:rFonts w:ascii="Arial" w:hAnsi="Arial" w:cs="Arial"/>
          <w:sz w:val="24"/>
          <w:szCs w:val="24"/>
        </w:rPr>
        <w:t>-9</w:t>
      </w:r>
      <w:r w:rsidR="00BE4899" w:rsidRPr="000971B9">
        <w:rPr>
          <w:rFonts w:ascii="Arial" w:hAnsi="Arial" w:cs="Arial"/>
          <w:sz w:val="24"/>
          <w:szCs w:val="24"/>
        </w:rPr>
        <w:t>.7% LFL) to £</w:t>
      </w:r>
      <w:r w:rsidR="00BE4899">
        <w:rPr>
          <w:rFonts w:ascii="Arial" w:hAnsi="Arial" w:cs="Arial"/>
          <w:sz w:val="24"/>
          <w:szCs w:val="24"/>
        </w:rPr>
        <w:t>361</w:t>
      </w:r>
      <w:r w:rsidR="00BE4899" w:rsidRPr="000971B9">
        <w:rPr>
          <w:rFonts w:ascii="Arial" w:hAnsi="Arial" w:cs="Arial"/>
          <w:sz w:val="24"/>
          <w:szCs w:val="24"/>
        </w:rPr>
        <w:t xml:space="preserve"> million</w:t>
      </w:r>
      <w:r w:rsidR="00BE4899">
        <w:rPr>
          <w:rFonts w:ascii="Arial" w:hAnsi="Arial" w:cs="Arial"/>
          <w:sz w:val="24"/>
          <w:szCs w:val="24"/>
        </w:rPr>
        <w:t xml:space="preserve"> impacted by a slowing Chinese property market* which was </w:t>
      </w:r>
      <w:r w:rsidR="00BE4899" w:rsidRPr="00BD5B20">
        <w:rPr>
          <w:rFonts w:ascii="Arial" w:hAnsi="Arial" w:cs="Arial"/>
          <w:sz w:val="24"/>
          <w:szCs w:val="24"/>
        </w:rPr>
        <w:t xml:space="preserve">down </w:t>
      </w:r>
      <w:r w:rsidR="00BE4899" w:rsidRPr="00A85F4A">
        <w:rPr>
          <w:rFonts w:ascii="Arial" w:hAnsi="Arial" w:cs="Arial"/>
          <w:sz w:val="24"/>
          <w:szCs w:val="24"/>
        </w:rPr>
        <w:t xml:space="preserve">11%. </w:t>
      </w:r>
      <w:r w:rsidR="00BE4899" w:rsidRPr="00BD5B20">
        <w:rPr>
          <w:rFonts w:ascii="Arial" w:hAnsi="Arial" w:cs="Arial"/>
          <w:sz w:val="24"/>
          <w:szCs w:val="24"/>
        </w:rPr>
        <w:t>Retail</w:t>
      </w:r>
      <w:r w:rsidR="00BE4899">
        <w:rPr>
          <w:rFonts w:ascii="Arial" w:hAnsi="Arial" w:cs="Arial"/>
          <w:sz w:val="24"/>
          <w:szCs w:val="24"/>
        </w:rPr>
        <w:t xml:space="preserve"> loss </w:t>
      </w:r>
      <w:r w:rsidR="00BE4899" w:rsidRPr="000971B9">
        <w:rPr>
          <w:rFonts w:ascii="Arial" w:hAnsi="Arial" w:cs="Arial"/>
          <w:sz w:val="24"/>
          <w:szCs w:val="24"/>
        </w:rPr>
        <w:t>was £</w:t>
      </w:r>
      <w:r w:rsidR="00BE4899">
        <w:rPr>
          <w:rFonts w:ascii="Arial" w:hAnsi="Arial" w:cs="Arial"/>
          <w:sz w:val="24"/>
          <w:szCs w:val="24"/>
        </w:rPr>
        <w:t>9</w:t>
      </w:r>
      <w:r w:rsidR="00BE4899" w:rsidRPr="000971B9">
        <w:rPr>
          <w:rFonts w:ascii="Arial" w:hAnsi="Arial" w:cs="Arial"/>
          <w:sz w:val="24"/>
          <w:szCs w:val="24"/>
        </w:rPr>
        <w:t xml:space="preserve"> million (201</w:t>
      </w:r>
      <w:r w:rsidR="00BE4899">
        <w:rPr>
          <w:rFonts w:ascii="Arial" w:hAnsi="Arial" w:cs="Arial"/>
          <w:sz w:val="24"/>
          <w:szCs w:val="24"/>
        </w:rPr>
        <w:t>3</w:t>
      </w:r>
      <w:r w:rsidR="00BE4899" w:rsidRPr="000971B9">
        <w:rPr>
          <w:rFonts w:ascii="Arial" w:hAnsi="Arial" w:cs="Arial"/>
          <w:sz w:val="24"/>
          <w:szCs w:val="24"/>
        </w:rPr>
        <w:t>/1</w:t>
      </w:r>
      <w:r w:rsidR="00BE4899">
        <w:rPr>
          <w:rFonts w:ascii="Arial" w:hAnsi="Arial" w:cs="Arial"/>
          <w:sz w:val="24"/>
          <w:szCs w:val="24"/>
        </w:rPr>
        <w:t>4</w:t>
      </w:r>
      <w:r w:rsidR="00BE4899" w:rsidRPr="000971B9">
        <w:rPr>
          <w:rFonts w:ascii="Arial" w:hAnsi="Arial" w:cs="Arial"/>
          <w:sz w:val="24"/>
          <w:szCs w:val="24"/>
        </w:rPr>
        <w:t>: £</w:t>
      </w:r>
      <w:r w:rsidR="00BE4899">
        <w:rPr>
          <w:rFonts w:ascii="Arial" w:hAnsi="Arial" w:cs="Arial"/>
          <w:sz w:val="24"/>
          <w:szCs w:val="24"/>
        </w:rPr>
        <w:t>6</w:t>
      </w:r>
      <w:r w:rsidR="00BE4899" w:rsidRPr="000971B9">
        <w:rPr>
          <w:rFonts w:ascii="Arial" w:hAnsi="Arial" w:cs="Arial"/>
          <w:sz w:val="24"/>
          <w:szCs w:val="24"/>
        </w:rPr>
        <w:t xml:space="preserve"> million reported loss)</w:t>
      </w:r>
      <w:r w:rsidR="00BE4899">
        <w:rPr>
          <w:rFonts w:ascii="Arial" w:hAnsi="Arial" w:cs="Arial"/>
          <w:sz w:val="24"/>
          <w:szCs w:val="24"/>
        </w:rPr>
        <w:t>.</w:t>
      </w:r>
      <w:r w:rsidR="00BE4899" w:rsidRPr="000971B9">
        <w:rPr>
          <w:rFonts w:ascii="Arial" w:hAnsi="Arial" w:cs="Arial"/>
          <w:sz w:val="24"/>
          <w:szCs w:val="24"/>
        </w:rPr>
        <w:t xml:space="preserve"> </w:t>
      </w:r>
      <w:r w:rsidR="00821FA9" w:rsidRPr="00821FA9">
        <w:rPr>
          <w:rFonts w:ascii="Arial" w:hAnsi="Arial" w:cs="Arial"/>
          <w:sz w:val="24"/>
          <w:szCs w:val="24"/>
        </w:rPr>
        <w:t>If the disposal is approved, China will be accounted for as an investment and its results will not be consolidated in Group retail profit.</w:t>
      </w:r>
    </w:p>
    <w:p w14:paraId="34AB6025" w14:textId="77777777" w:rsidR="007B306A" w:rsidRDefault="007B306A">
      <w:pPr>
        <w:jc w:val="left"/>
        <w:rPr>
          <w:rFonts w:ascii="Arial" w:hAnsi="Arial" w:cs="Arial"/>
          <w:b/>
          <w:bCs/>
          <w:sz w:val="24"/>
          <w:szCs w:val="24"/>
        </w:rPr>
      </w:pPr>
      <w:r>
        <w:rPr>
          <w:rFonts w:ascii="Arial" w:hAnsi="Arial" w:cs="Arial"/>
          <w:b/>
          <w:bCs/>
          <w:sz w:val="24"/>
          <w:szCs w:val="24"/>
        </w:rPr>
        <w:br w:type="page"/>
      </w:r>
    </w:p>
    <w:p w14:paraId="2D944296" w14:textId="77777777" w:rsidR="00275B89" w:rsidRPr="000971B9" w:rsidRDefault="00275B89" w:rsidP="00275B89">
      <w:pPr>
        <w:jc w:val="left"/>
        <w:rPr>
          <w:rFonts w:ascii="Arial" w:hAnsi="Arial" w:cs="Arial"/>
          <w:sz w:val="24"/>
          <w:szCs w:val="24"/>
        </w:rPr>
      </w:pPr>
      <w:r w:rsidRPr="000971B9">
        <w:rPr>
          <w:rFonts w:ascii="Arial" w:hAnsi="Arial" w:cs="Arial"/>
          <w:b/>
          <w:bCs/>
          <w:sz w:val="24"/>
          <w:szCs w:val="24"/>
        </w:rPr>
        <w:lastRenderedPageBreak/>
        <w:t xml:space="preserve">Section </w:t>
      </w:r>
      <w:r>
        <w:rPr>
          <w:rFonts w:ascii="Arial" w:hAnsi="Arial" w:cs="Arial"/>
          <w:b/>
          <w:bCs/>
          <w:sz w:val="24"/>
          <w:szCs w:val="24"/>
        </w:rPr>
        <w:t>3</w:t>
      </w:r>
      <w:r w:rsidRPr="000971B9">
        <w:rPr>
          <w:rFonts w:ascii="Arial" w:hAnsi="Arial" w:cs="Arial"/>
          <w:b/>
          <w:bCs/>
          <w:sz w:val="24"/>
          <w:szCs w:val="24"/>
        </w:rPr>
        <w:t xml:space="preserve">: </w:t>
      </w:r>
      <w:r>
        <w:rPr>
          <w:rFonts w:ascii="Arial" w:hAnsi="Arial" w:cs="Arial"/>
          <w:b/>
          <w:bCs/>
          <w:sz w:val="24"/>
          <w:szCs w:val="24"/>
        </w:rPr>
        <w:t xml:space="preserve">2014/15 </w:t>
      </w:r>
      <w:r w:rsidRPr="000971B9">
        <w:rPr>
          <w:rFonts w:ascii="Arial" w:hAnsi="Arial" w:cs="Arial"/>
          <w:b/>
          <w:bCs/>
          <w:sz w:val="24"/>
          <w:szCs w:val="24"/>
        </w:rPr>
        <w:t>FINANCIAL REVIEW</w:t>
      </w:r>
    </w:p>
    <w:p w14:paraId="2BCB317C" w14:textId="77777777" w:rsidR="00275B89" w:rsidRPr="000971B9" w:rsidRDefault="00275B89" w:rsidP="00275B89">
      <w:pPr>
        <w:tabs>
          <w:tab w:val="right" w:pos="9356"/>
        </w:tabs>
        <w:rPr>
          <w:rFonts w:ascii="Arial" w:hAnsi="Arial" w:cs="Arial"/>
          <w:b/>
          <w:i/>
          <w:sz w:val="24"/>
          <w:szCs w:val="24"/>
        </w:rPr>
      </w:pPr>
    </w:p>
    <w:p w14:paraId="4DBD1747" w14:textId="77777777" w:rsidR="00104D21" w:rsidRDefault="00104D21" w:rsidP="00104D21">
      <w:pPr>
        <w:jc w:val="left"/>
        <w:rPr>
          <w:rFonts w:ascii="Arial" w:hAnsi="Arial" w:cs="Arial"/>
          <w:sz w:val="24"/>
          <w:szCs w:val="24"/>
        </w:rPr>
      </w:pPr>
      <w:r w:rsidRPr="00C82F88">
        <w:rPr>
          <w:rFonts w:ascii="Arial" w:hAnsi="Arial" w:cs="Arial" w:hint="eastAsia"/>
          <w:sz w:val="24"/>
          <w:szCs w:val="24"/>
        </w:rPr>
        <w:t xml:space="preserve">A summary of the reported financial results for the year ended </w:t>
      </w:r>
      <w:r>
        <w:rPr>
          <w:rFonts w:ascii="Arial" w:hAnsi="Arial" w:cs="Arial"/>
          <w:sz w:val="24"/>
          <w:szCs w:val="24"/>
        </w:rPr>
        <w:t>31</w:t>
      </w:r>
      <w:r w:rsidRPr="00C82F88">
        <w:rPr>
          <w:rFonts w:ascii="Arial" w:hAnsi="Arial" w:cs="Arial" w:hint="eastAsia"/>
          <w:sz w:val="24"/>
          <w:szCs w:val="24"/>
        </w:rPr>
        <w:t xml:space="preserve"> </w:t>
      </w:r>
      <w:r>
        <w:rPr>
          <w:rFonts w:ascii="Arial" w:hAnsi="Arial" w:cs="Arial"/>
          <w:sz w:val="24"/>
          <w:szCs w:val="24"/>
        </w:rPr>
        <w:t>Jan</w:t>
      </w:r>
      <w:r w:rsidRPr="00C82F88">
        <w:rPr>
          <w:rFonts w:ascii="Arial" w:hAnsi="Arial" w:cs="Arial" w:hint="eastAsia"/>
          <w:sz w:val="24"/>
          <w:szCs w:val="24"/>
        </w:rPr>
        <w:t>uary 201</w:t>
      </w:r>
      <w:r>
        <w:rPr>
          <w:rFonts w:ascii="Arial" w:hAnsi="Arial" w:cs="Arial"/>
          <w:sz w:val="24"/>
          <w:szCs w:val="24"/>
        </w:rPr>
        <w:t>5</w:t>
      </w:r>
      <w:r w:rsidRPr="00C82F88">
        <w:rPr>
          <w:rFonts w:ascii="Arial" w:hAnsi="Arial" w:cs="Arial" w:hint="eastAsia"/>
          <w:sz w:val="24"/>
          <w:szCs w:val="24"/>
        </w:rPr>
        <w:t xml:space="preserve"> is set out below:</w:t>
      </w:r>
    </w:p>
    <w:tbl>
      <w:tblPr>
        <w:tblW w:w="5088" w:type="pct"/>
        <w:tblLayout w:type="fixed"/>
        <w:tblLook w:val="01E0" w:firstRow="1" w:lastRow="1" w:firstColumn="1" w:lastColumn="1" w:noHBand="0" w:noVBand="0"/>
      </w:tblPr>
      <w:tblGrid>
        <w:gridCol w:w="4543"/>
        <w:gridCol w:w="1387"/>
        <w:gridCol w:w="1385"/>
        <w:gridCol w:w="1248"/>
        <w:gridCol w:w="1248"/>
      </w:tblGrid>
      <w:tr w:rsidR="00104D21" w:rsidRPr="00587A5B" w14:paraId="3403E3A7" w14:textId="77777777" w:rsidTr="00104D21">
        <w:tc>
          <w:tcPr>
            <w:tcW w:w="2315" w:type="pct"/>
            <w:tcBorders>
              <w:bottom w:val="single" w:sz="4" w:space="0" w:color="auto"/>
            </w:tcBorders>
            <w:shd w:val="clear" w:color="auto" w:fill="auto"/>
          </w:tcPr>
          <w:p w14:paraId="6A32EFEF" w14:textId="77777777" w:rsidR="00104D21" w:rsidRPr="003419F1" w:rsidRDefault="00104D21" w:rsidP="00104D21">
            <w:pPr>
              <w:jc w:val="right"/>
              <w:rPr>
                <w:rFonts w:ascii="Arial" w:hAnsi="Arial" w:cs="Arial"/>
                <w:sz w:val="24"/>
                <w:szCs w:val="24"/>
              </w:rPr>
            </w:pPr>
          </w:p>
        </w:tc>
        <w:tc>
          <w:tcPr>
            <w:tcW w:w="707" w:type="pct"/>
            <w:tcBorders>
              <w:bottom w:val="single" w:sz="4" w:space="0" w:color="auto"/>
            </w:tcBorders>
            <w:shd w:val="clear" w:color="auto" w:fill="auto"/>
          </w:tcPr>
          <w:p w14:paraId="3F2B884E" w14:textId="77777777" w:rsidR="00104D21" w:rsidRPr="009E29D6" w:rsidRDefault="00104D21" w:rsidP="00104D21">
            <w:pPr>
              <w:jc w:val="right"/>
              <w:rPr>
                <w:rFonts w:ascii="Arial" w:hAnsi="Arial" w:cs="Arial"/>
                <w:b/>
                <w:sz w:val="24"/>
                <w:szCs w:val="24"/>
              </w:rPr>
            </w:pPr>
            <w:r w:rsidRPr="009E29D6">
              <w:rPr>
                <w:rFonts w:ascii="Arial" w:hAnsi="Arial" w:cs="Arial"/>
                <w:b/>
                <w:sz w:val="24"/>
                <w:szCs w:val="24"/>
              </w:rPr>
              <w:t>2014/15</w:t>
            </w:r>
          </w:p>
          <w:p w14:paraId="0418E212" w14:textId="77777777" w:rsidR="00104D21" w:rsidRPr="009F642E" w:rsidRDefault="00104D21" w:rsidP="00104D21">
            <w:pPr>
              <w:jc w:val="right"/>
              <w:rPr>
                <w:rFonts w:ascii="Arial" w:hAnsi="Arial" w:cs="Arial"/>
                <w:b/>
                <w:sz w:val="24"/>
                <w:szCs w:val="24"/>
              </w:rPr>
            </w:pPr>
          </w:p>
        </w:tc>
        <w:tc>
          <w:tcPr>
            <w:tcW w:w="706" w:type="pct"/>
            <w:tcBorders>
              <w:bottom w:val="single" w:sz="4" w:space="0" w:color="auto"/>
            </w:tcBorders>
            <w:shd w:val="clear" w:color="auto" w:fill="auto"/>
          </w:tcPr>
          <w:p w14:paraId="49A575D3" w14:textId="77777777" w:rsidR="00104D21" w:rsidRPr="00AA4E8D" w:rsidRDefault="00104D21" w:rsidP="00104D21">
            <w:pPr>
              <w:jc w:val="right"/>
              <w:rPr>
                <w:rFonts w:ascii="Arial" w:hAnsi="Arial" w:cs="Arial"/>
                <w:sz w:val="24"/>
                <w:szCs w:val="24"/>
              </w:rPr>
            </w:pPr>
            <w:r w:rsidRPr="00AA4E8D">
              <w:rPr>
                <w:rFonts w:ascii="Arial" w:hAnsi="Arial" w:cs="Arial"/>
                <w:sz w:val="24"/>
                <w:szCs w:val="24"/>
              </w:rPr>
              <w:t>2013/14</w:t>
            </w:r>
          </w:p>
          <w:p w14:paraId="6BA5FCB6" w14:textId="77777777" w:rsidR="00104D21" w:rsidRPr="006C57F4" w:rsidRDefault="00104D21" w:rsidP="00104D21">
            <w:pPr>
              <w:tabs>
                <w:tab w:val="center" w:pos="434"/>
                <w:tab w:val="right" w:pos="869"/>
              </w:tabs>
              <w:jc w:val="right"/>
              <w:rPr>
                <w:rFonts w:ascii="Arial" w:hAnsi="Arial" w:cs="Arial"/>
                <w:sz w:val="24"/>
                <w:szCs w:val="24"/>
              </w:rPr>
            </w:pPr>
          </w:p>
        </w:tc>
        <w:tc>
          <w:tcPr>
            <w:tcW w:w="636" w:type="pct"/>
            <w:tcBorders>
              <w:bottom w:val="single" w:sz="4" w:space="0" w:color="auto"/>
            </w:tcBorders>
          </w:tcPr>
          <w:p w14:paraId="59DCC2E2" w14:textId="4D4831CB" w:rsidR="00104D21" w:rsidRDefault="00104D21">
            <w:pPr>
              <w:jc w:val="right"/>
              <w:rPr>
                <w:rFonts w:ascii="Arial" w:hAnsi="Arial" w:cs="Arial"/>
                <w:sz w:val="24"/>
                <w:szCs w:val="24"/>
              </w:rPr>
            </w:pPr>
            <w:r>
              <w:rPr>
                <w:rFonts w:ascii="Arial" w:hAnsi="Arial" w:cs="Arial"/>
                <w:sz w:val="24"/>
                <w:szCs w:val="24"/>
              </w:rPr>
              <w:t>% Reported</w:t>
            </w:r>
            <w:r w:rsidR="007C47AE">
              <w:rPr>
                <w:rFonts w:ascii="Arial" w:hAnsi="Arial" w:cs="Arial"/>
                <w:sz w:val="24"/>
                <w:szCs w:val="24"/>
              </w:rPr>
              <w:t xml:space="preserve"> Change</w:t>
            </w:r>
          </w:p>
        </w:tc>
        <w:tc>
          <w:tcPr>
            <w:tcW w:w="636" w:type="pct"/>
            <w:tcBorders>
              <w:bottom w:val="single" w:sz="4" w:space="0" w:color="auto"/>
            </w:tcBorders>
            <w:shd w:val="clear" w:color="auto" w:fill="auto"/>
          </w:tcPr>
          <w:p w14:paraId="052D402E" w14:textId="6EA459C8" w:rsidR="00104D21" w:rsidRPr="0008479A" w:rsidRDefault="00104D21">
            <w:pPr>
              <w:jc w:val="right"/>
              <w:rPr>
                <w:rFonts w:ascii="Arial" w:hAnsi="Arial" w:cs="Arial"/>
                <w:sz w:val="24"/>
                <w:szCs w:val="24"/>
              </w:rPr>
            </w:pPr>
            <w:r>
              <w:rPr>
                <w:rFonts w:ascii="Arial" w:hAnsi="Arial" w:cs="Arial"/>
                <w:sz w:val="24"/>
                <w:szCs w:val="24"/>
              </w:rPr>
              <w:t xml:space="preserve">% Constant </w:t>
            </w:r>
            <w:r w:rsidR="007C47AE">
              <w:rPr>
                <w:rFonts w:ascii="Arial" w:hAnsi="Arial" w:cs="Arial"/>
                <w:sz w:val="24"/>
                <w:szCs w:val="24"/>
              </w:rPr>
              <w:t>C</w:t>
            </w:r>
            <w:r>
              <w:rPr>
                <w:rFonts w:ascii="Arial" w:hAnsi="Arial" w:cs="Arial"/>
                <w:sz w:val="24"/>
                <w:szCs w:val="24"/>
              </w:rPr>
              <w:t>urrency</w:t>
            </w:r>
            <w:r w:rsidR="007C47AE">
              <w:rPr>
                <w:rFonts w:ascii="Arial" w:hAnsi="Arial" w:cs="Arial"/>
                <w:sz w:val="24"/>
                <w:szCs w:val="24"/>
              </w:rPr>
              <w:t xml:space="preserve"> Change</w:t>
            </w:r>
          </w:p>
        </w:tc>
      </w:tr>
      <w:tr w:rsidR="00104D21" w:rsidRPr="00587A5B" w14:paraId="0030FC92" w14:textId="77777777" w:rsidTr="00104D21">
        <w:trPr>
          <w:trHeight w:val="80"/>
        </w:trPr>
        <w:tc>
          <w:tcPr>
            <w:tcW w:w="2315" w:type="pct"/>
            <w:tcBorders>
              <w:top w:val="single" w:sz="4" w:space="0" w:color="auto"/>
            </w:tcBorders>
            <w:shd w:val="clear" w:color="auto" w:fill="auto"/>
          </w:tcPr>
          <w:p w14:paraId="14414753" w14:textId="77777777" w:rsidR="00104D21" w:rsidRPr="003419F1" w:rsidRDefault="00104D21" w:rsidP="00104D21">
            <w:pPr>
              <w:rPr>
                <w:rFonts w:ascii="Arial" w:hAnsi="Arial" w:cs="Arial"/>
                <w:sz w:val="2"/>
                <w:szCs w:val="2"/>
              </w:rPr>
            </w:pPr>
          </w:p>
        </w:tc>
        <w:tc>
          <w:tcPr>
            <w:tcW w:w="707" w:type="pct"/>
            <w:tcBorders>
              <w:top w:val="single" w:sz="4" w:space="0" w:color="auto"/>
            </w:tcBorders>
            <w:shd w:val="clear" w:color="auto" w:fill="auto"/>
          </w:tcPr>
          <w:p w14:paraId="275A03D6" w14:textId="77777777" w:rsidR="00104D21" w:rsidRPr="009E29D6" w:rsidRDefault="00104D21" w:rsidP="00104D21">
            <w:pPr>
              <w:jc w:val="right"/>
              <w:rPr>
                <w:rFonts w:ascii="Arial" w:hAnsi="Arial" w:cs="Arial"/>
                <w:b/>
                <w:sz w:val="2"/>
                <w:szCs w:val="2"/>
              </w:rPr>
            </w:pPr>
          </w:p>
        </w:tc>
        <w:tc>
          <w:tcPr>
            <w:tcW w:w="706" w:type="pct"/>
            <w:tcBorders>
              <w:top w:val="single" w:sz="4" w:space="0" w:color="auto"/>
            </w:tcBorders>
            <w:shd w:val="clear" w:color="auto" w:fill="auto"/>
          </w:tcPr>
          <w:p w14:paraId="4351E390" w14:textId="77777777" w:rsidR="00104D21" w:rsidRPr="009F642E" w:rsidRDefault="00104D21" w:rsidP="00104D21">
            <w:pPr>
              <w:jc w:val="right"/>
              <w:rPr>
                <w:rFonts w:ascii="Arial" w:hAnsi="Arial" w:cs="Arial"/>
                <w:sz w:val="2"/>
                <w:szCs w:val="2"/>
              </w:rPr>
            </w:pPr>
          </w:p>
        </w:tc>
        <w:tc>
          <w:tcPr>
            <w:tcW w:w="636" w:type="pct"/>
            <w:tcBorders>
              <w:top w:val="single" w:sz="4" w:space="0" w:color="auto"/>
            </w:tcBorders>
          </w:tcPr>
          <w:p w14:paraId="3793D558" w14:textId="77777777" w:rsidR="00104D21" w:rsidRPr="00587A5B" w:rsidRDefault="00104D21" w:rsidP="00104D21">
            <w:pPr>
              <w:jc w:val="right"/>
              <w:rPr>
                <w:rFonts w:ascii="Arial" w:hAnsi="Arial" w:cs="Arial"/>
                <w:sz w:val="2"/>
                <w:szCs w:val="2"/>
                <w:highlight w:val="yellow"/>
              </w:rPr>
            </w:pPr>
          </w:p>
        </w:tc>
        <w:tc>
          <w:tcPr>
            <w:tcW w:w="636" w:type="pct"/>
            <w:tcBorders>
              <w:top w:val="single" w:sz="4" w:space="0" w:color="auto"/>
            </w:tcBorders>
            <w:shd w:val="clear" w:color="auto" w:fill="auto"/>
          </w:tcPr>
          <w:p w14:paraId="3D6C5621" w14:textId="77777777" w:rsidR="00104D21" w:rsidRPr="00587A5B" w:rsidRDefault="00104D21" w:rsidP="00104D21">
            <w:pPr>
              <w:jc w:val="right"/>
              <w:rPr>
                <w:rFonts w:ascii="Arial" w:hAnsi="Arial" w:cs="Arial"/>
                <w:sz w:val="2"/>
                <w:szCs w:val="2"/>
                <w:highlight w:val="yellow"/>
              </w:rPr>
            </w:pPr>
          </w:p>
        </w:tc>
      </w:tr>
      <w:tr w:rsidR="00104D21" w:rsidRPr="00D91ED7" w14:paraId="61E6F394" w14:textId="77777777" w:rsidTr="00104D21">
        <w:tc>
          <w:tcPr>
            <w:tcW w:w="2315" w:type="pct"/>
            <w:shd w:val="clear" w:color="auto" w:fill="auto"/>
          </w:tcPr>
          <w:p w14:paraId="72561293" w14:textId="77777777" w:rsidR="00104D21" w:rsidRPr="00657B3E" w:rsidRDefault="00104D21" w:rsidP="00104D21">
            <w:pPr>
              <w:rPr>
                <w:rFonts w:ascii="Arial" w:hAnsi="Arial" w:cs="Arial"/>
                <w:sz w:val="24"/>
                <w:szCs w:val="24"/>
              </w:rPr>
            </w:pPr>
            <w:r w:rsidRPr="00657B3E">
              <w:rPr>
                <w:rFonts w:ascii="Arial" w:hAnsi="Arial" w:cs="Arial"/>
                <w:sz w:val="24"/>
                <w:szCs w:val="24"/>
              </w:rPr>
              <w:t>Sales</w:t>
            </w:r>
          </w:p>
        </w:tc>
        <w:tc>
          <w:tcPr>
            <w:tcW w:w="707" w:type="pct"/>
            <w:shd w:val="clear" w:color="auto" w:fill="auto"/>
          </w:tcPr>
          <w:p w14:paraId="6B1391AE"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£10,966m</w:t>
            </w:r>
          </w:p>
        </w:tc>
        <w:tc>
          <w:tcPr>
            <w:tcW w:w="706" w:type="pct"/>
            <w:shd w:val="clear" w:color="auto" w:fill="auto"/>
          </w:tcPr>
          <w:p w14:paraId="68C8A73C"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£11,125m</w:t>
            </w:r>
          </w:p>
        </w:tc>
        <w:tc>
          <w:tcPr>
            <w:tcW w:w="636" w:type="pct"/>
          </w:tcPr>
          <w:p w14:paraId="74C49FB5"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(1.4)%</w:t>
            </w:r>
          </w:p>
        </w:tc>
        <w:tc>
          <w:tcPr>
            <w:tcW w:w="636" w:type="pct"/>
            <w:shd w:val="clear" w:color="auto" w:fill="auto"/>
          </w:tcPr>
          <w:p w14:paraId="362FC6B6"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2.9%</w:t>
            </w:r>
          </w:p>
        </w:tc>
      </w:tr>
      <w:tr w:rsidR="00104D21" w:rsidRPr="00D91ED7" w14:paraId="737E79FB" w14:textId="77777777" w:rsidTr="00104D21">
        <w:tc>
          <w:tcPr>
            <w:tcW w:w="2315" w:type="pct"/>
            <w:shd w:val="clear" w:color="auto" w:fill="auto"/>
          </w:tcPr>
          <w:p w14:paraId="37C5FFF1" w14:textId="77777777" w:rsidR="00104D21" w:rsidRPr="00657B3E" w:rsidRDefault="00104D21" w:rsidP="00104D21">
            <w:pPr>
              <w:rPr>
                <w:rFonts w:ascii="Arial" w:hAnsi="Arial" w:cs="Arial"/>
                <w:sz w:val="24"/>
                <w:szCs w:val="24"/>
              </w:rPr>
            </w:pPr>
            <w:r w:rsidRPr="00657B3E">
              <w:rPr>
                <w:rFonts w:ascii="Arial" w:hAnsi="Arial" w:cs="Arial"/>
                <w:sz w:val="24"/>
                <w:szCs w:val="24"/>
              </w:rPr>
              <w:t xml:space="preserve">Retail profit </w:t>
            </w:r>
          </w:p>
        </w:tc>
        <w:tc>
          <w:tcPr>
            <w:tcW w:w="707" w:type="pct"/>
            <w:shd w:val="clear" w:color="auto" w:fill="auto"/>
          </w:tcPr>
          <w:p w14:paraId="41F88D94"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£733m</w:t>
            </w:r>
          </w:p>
        </w:tc>
        <w:tc>
          <w:tcPr>
            <w:tcW w:w="706" w:type="pct"/>
            <w:shd w:val="clear" w:color="auto" w:fill="auto"/>
          </w:tcPr>
          <w:p w14:paraId="775C361D"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£779m</w:t>
            </w:r>
          </w:p>
        </w:tc>
        <w:tc>
          <w:tcPr>
            <w:tcW w:w="636" w:type="pct"/>
          </w:tcPr>
          <w:p w14:paraId="2794DE16"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(5.9)%</w:t>
            </w:r>
          </w:p>
        </w:tc>
        <w:tc>
          <w:tcPr>
            <w:tcW w:w="636" w:type="pct"/>
            <w:shd w:val="clear" w:color="auto" w:fill="auto"/>
          </w:tcPr>
          <w:p w14:paraId="1518CD08"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(1.6)%</w:t>
            </w:r>
          </w:p>
        </w:tc>
      </w:tr>
      <w:tr w:rsidR="00104D21" w:rsidRPr="00D91ED7" w14:paraId="53ED04CA" w14:textId="77777777" w:rsidTr="00104D21">
        <w:tc>
          <w:tcPr>
            <w:tcW w:w="2315" w:type="pct"/>
            <w:shd w:val="clear" w:color="auto" w:fill="auto"/>
          </w:tcPr>
          <w:p w14:paraId="14E04D0E" w14:textId="77777777" w:rsidR="00104D21" w:rsidRPr="00657B3E" w:rsidRDefault="00104D21" w:rsidP="00104D21">
            <w:pPr>
              <w:rPr>
                <w:rFonts w:ascii="Arial" w:hAnsi="Arial" w:cs="Arial"/>
                <w:sz w:val="24"/>
                <w:szCs w:val="24"/>
              </w:rPr>
            </w:pPr>
            <w:r w:rsidRPr="00657B3E">
              <w:rPr>
                <w:rFonts w:ascii="Arial" w:hAnsi="Arial" w:cs="Arial"/>
                <w:sz w:val="24"/>
                <w:szCs w:val="24"/>
              </w:rPr>
              <w:t xml:space="preserve">Adjusted pre-tax profit </w:t>
            </w:r>
          </w:p>
        </w:tc>
        <w:tc>
          <w:tcPr>
            <w:tcW w:w="707" w:type="pct"/>
            <w:shd w:val="clear" w:color="auto" w:fill="auto"/>
          </w:tcPr>
          <w:p w14:paraId="7BF8DB70"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£675m</w:t>
            </w:r>
          </w:p>
        </w:tc>
        <w:tc>
          <w:tcPr>
            <w:tcW w:w="706" w:type="pct"/>
            <w:shd w:val="clear" w:color="auto" w:fill="auto"/>
          </w:tcPr>
          <w:p w14:paraId="15075139"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£730m</w:t>
            </w:r>
          </w:p>
        </w:tc>
        <w:tc>
          <w:tcPr>
            <w:tcW w:w="636" w:type="pct"/>
          </w:tcPr>
          <w:p w14:paraId="54C3C329"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(7.5)%</w:t>
            </w:r>
          </w:p>
        </w:tc>
        <w:tc>
          <w:tcPr>
            <w:tcW w:w="636" w:type="pct"/>
            <w:shd w:val="clear" w:color="auto" w:fill="auto"/>
          </w:tcPr>
          <w:p w14:paraId="7522D25C" w14:textId="77777777" w:rsidR="00104D21" w:rsidRPr="00657B3E" w:rsidRDefault="00104D21" w:rsidP="00104D21">
            <w:pPr>
              <w:jc w:val="right"/>
              <w:rPr>
                <w:rFonts w:ascii="Arial" w:hAnsi="Arial" w:cs="Arial"/>
                <w:sz w:val="24"/>
                <w:szCs w:val="24"/>
              </w:rPr>
            </w:pPr>
          </w:p>
        </w:tc>
      </w:tr>
      <w:tr w:rsidR="00104D21" w:rsidRPr="00D91ED7" w14:paraId="43F7AF09" w14:textId="77777777" w:rsidTr="00104D21">
        <w:tc>
          <w:tcPr>
            <w:tcW w:w="2315" w:type="pct"/>
            <w:shd w:val="clear" w:color="auto" w:fill="auto"/>
          </w:tcPr>
          <w:p w14:paraId="42662AE9" w14:textId="77777777" w:rsidR="00104D21" w:rsidRPr="00657B3E" w:rsidRDefault="00104D21" w:rsidP="00104D21">
            <w:pPr>
              <w:rPr>
                <w:rFonts w:ascii="Arial" w:hAnsi="Arial" w:cs="Arial"/>
                <w:sz w:val="24"/>
                <w:szCs w:val="24"/>
              </w:rPr>
            </w:pPr>
            <w:r w:rsidRPr="00657B3E">
              <w:rPr>
                <w:rFonts w:ascii="Arial" w:hAnsi="Arial" w:cs="Arial"/>
                <w:sz w:val="24"/>
                <w:szCs w:val="24"/>
              </w:rPr>
              <w:t>Statutory pre-tax profit</w:t>
            </w:r>
          </w:p>
        </w:tc>
        <w:tc>
          <w:tcPr>
            <w:tcW w:w="707" w:type="pct"/>
            <w:shd w:val="clear" w:color="auto" w:fill="auto"/>
          </w:tcPr>
          <w:p w14:paraId="64890D00"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£644m</w:t>
            </w:r>
          </w:p>
        </w:tc>
        <w:tc>
          <w:tcPr>
            <w:tcW w:w="706" w:type="pct"/>
            <w:shd w:val="clear" w:color="auto" w:fill="auto"/>
          </w:tcPr>
          <w:p w14:paraId="78C4A977"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£759m</w:t>
            </w:r>
          </w:p>
        </w:tc>
        <w:tc>
          <w:tcPr>
            <w:tcW w:w="636" w:type="pct"/>
          </w:tcPr>
          <w:p w14:paraId="2BA62CB9"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(15.2)%</w:t>
            </w:r>
          </w:p>
        </w:tc>
        <w:tc>
          <w:tcPr>
            <w:tcW w:w="636" w:type="pct"/>
            <w:shd w:val="clear" w:color="auto" w:fill="auto"/>
          </w:tcPr>
          <w:p w14:paraId="210E7DAA" w14:textId="77777777" w:rsidR="00104D21" w:rsidRPr="00657B3E" w:rsidRDefault="00104D21" w:rsidP="00104D21">
            <w:pPr>
              <w:jc w:val="right"/>
              <w:rPr>
                <w:rFonts w:ascii="Arial" w:hAnsi="Arial" w:cs="Arial"/>
                <w:sz w:val="24"/>
                <w:szCs w:val="24"/>
              </w:rPr>
            </w:pPr>
          </w:p>
        </w:tc>
      </w:tr>
      <w:tr w:rsidR="00104D21" w:rsidRPr="00D91ED7" w14:paraId="2FE82E39" w14:textId="77777777" w:rsidTr="00104D21">
        <w:tc>
          <w:tcPr>
            <w:tcW w:w="2315" w:type="pct"/>
            <w:shd w:val="clear" w:color="auto" w:fill="auto"/>
          </w:tcPr>
          <w:p w14:paraId="786D6DA7" w14:textId="77777777" w:rsidR="00104D21" w:rsidRPr="00657B3E" w:rsidRDefault="00104D21" w:rsidP="00104D21">
            <w:pPr>
              <w:rPr>
                <w:rFonts w:ascii="Arial" w:hAnsi="Arial" w:cs="Arial"/>
                <w:sz w:val="24"/>
                <w:szCs w:val="24"/>
              </w:rPr>
            </w:pPr>
            <w:r w:rsidRPr="00657B3E">
              <w:rPr>
                <w:rFonts w:ascii="Arial" w:hAnsi="Arial" w:cs="Arial"/>
                <w:sz w:val="24"/>
                <w:szCs w:val="24"/>
              </w:rPr>
              <w:t>Exceptional items (post-tax)</w:t>
            </w:r>
          </w:p>
        </w:tc>
        <w:tc>
          <w:tcPr>
            <w:tcW w:w="707" w:type="pct"/>
            <w:shd w:val="clear" w:color="auto" w:fill="auto"/>
          </w:tcPr>
          <w:p w14:paraId="19149FB9"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£71m</w:t>
            </w:r>
          </w:p>
        </w:tc>
        <w:tc>
          <w:tcPr>
            <w:tcW w:w="706" w:type="pct"/>
            <w:shd w:val="clear" w:color="auto" w:fill="auto"/>
          </w:tcPr>
          <w:p w14:paraId="47404004"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£131m</w:t>
            </w:r>
          </w:p>
        </w:tc>
        <w:tc>
          <w:tcPr>
            <w:tcW w:w="636" w:type="pct"/>
          </w:tcPr>
          <w:p w14:paraId="06E4C20F"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(45.8)%</w:t>
            </w:r>
          </w:p>
        </w:tc>
        <w:tc>
          <w:tcPr>
            <w:tcW w:w="636" w:type="pct"/>
            <w:shd w:val="clear" w:color="auto" w:fill="auto"/>
          </w:tcPr>
          <w:p w14:paraId="10F55C72" w14:textId="77777777" w:rsidR="00104D21" w:rsidRPr="00657B3E" w:rsidRDefault="00104D21" w:rsidP="00104D21">
            <w:pPr>
              <w:jc w:val="right"/>
              <w:rPr>
                <w:rFonts w:ascii="Arial" w:hAnsi="Arial" w:cs="Arial"/>
                <w:sz w:val="24"/>
                <w:szCs w:val="24"/>
              </w:rPr>
            </w:pPr>
          </w:p>
        </w:tc>
      </w:tr>
      <w:tr w:rsidR="00104D21" w:rsidRPr="00D91ED7" w14:paraId="4227F3B4" w14:textId="77777777" w:rsidTr="00104D21">
        <w:tc>
          <w:tcPr>
            <w:tcW w:w="2315" w:type="pct"/>
            <w:shd w:val="clear" w:color="auto" w:fill="auto"/>
          </w:tcPr>
          <w:p w14:paraId="51281228" w14:textId="77777777" w:rsidR="00104D21" w:rsidRPr="00657B3E" w:rsidRDefault="00104D21" w:rsidP="00104D21">
            <w:pPr>
              <w:rPr>
                <w:rFonts w:ascii="Arial" w:hAnsi="Arial" w:cs="Arial"/>
                <w:sz w:val="24"/>
                <w:szCs w:val="24"/>
              </w:rPr>
            </w:pPr>
            <w:r w:rsidRPr="00657B3E">
              <w:rPr>
                <w:rFonts w:ascii="Arial" w:hAnsi="Arial" w:cs="Arial"/>
                <w:sz w:val="24"/>
                <w:szCs w:val="24"/>
              </w:rPr>
              <w:t xml:space="preserve">Adjusted basic earnings per share </w:t>
            </w:r>
          </w:p>
        </w:tc>
        <w:tc>
          <w:tcPr>
            <w:tcW w:w="707" w:type="pct"/>
            <w:shd w:val="clear" w:color="auto" w:fill="auto"/>
          </w:tcPr>
          <w:p w14:paraId="094D5B2E"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20.9p</w:t>
            </w:r>
          </w:p>
        </w:tc>
        <w:tc>
          <w:tcPr>
            <w:tcW w:w="706" w:type="pct"/>
            <w:shd w:val="clear" w:color="auto" w:fill="auto"/>
          </w:tcPr>
          <w:p w14:paraId="77AFB499"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22.8p</w:t>
            </w:r>
          </w:p>
        </w:tc>
        <w:tc>
          <w:tcPr>
            <w:tcW w:w="636" w:type="pct"/>
          </w:tcPr>
          <w:p w14:paraId="2AB036F6"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(8.3)%</w:t>
            </w:r>
          </w:p>
        </w:tc>
        <w:tc>
          <w:tcPr>
            <w:tcW w:w="636" w:type="pct"/>
            <w:shd w:val="clear" w:color="auto" w:fill="auto"/>
          </w:tcPr>
          <w:p w14:paraId="45394C11" w14:textId="77777777" w:rsidR="00104D21" w:rsidRPr="00657B3E" w:rsidRDefault="00104D21" w:rsidP="00104D21">
            <w:pPr>
              <w:jc w:val="right"/>
              <w:rPr>
                <w:rFonts w:ascii="Arial" w:hAnsi="Arial" w:cs="Arial"/>
                <w:sz w:val="24"/>
                <w:szCs w:val="24"/>
              </w:rPr>
            </w:pPr>
          </w:p>
        </w:tc>
      </w:tr>
      <w:tr w:rsidR="00104D21" w:rsidRPr="00D91ED7" w14:paraId="0AF71D37" w14:textId="77777777" w:rsidTr="00104D21">
        <w:tc>
          <w:tcPr>
            <w:tcW w:w="2315" w:type="pct"/>
            <w:shd w:val="clear" w:color="auto" w:fill="auto"/>
          </w:tcPr>
          <w:p w14:paraId="11BD1DD4" w14:textId="77777777" w:rsidR="00104D21" w:rsidRPr="00657B3E" w:rsidRDefault="00104D21" w:rsidP="00104D21">
            <w:pPr>
              <w:rPr>
                <w:rFonts w:ascii="Arial" w:hAnsi="Arial" w:cs="Arial"/>
                <w:sz w:val="24"/>
                <w:szCs w:val="24"/>
              </w:rPr>
            </w:pPr>
            <w:r w:rsidRPr="00657B3E">
              <w:rPr>
                <w:rFonts w:ascii="Arial" w:hAnsi="Arial" w:cs="Arial"/>
                <w:sz w:val="24"/>
                <w:szCs w:val="24"/>
              </w:rPr>
              <w:t>Basic earnings per share</w:t>
            </w:r>
          </w:p>
        </w:tc>
        <w:tc>
          <w:tcPr>
            <w:tcW w:w="707" w:type="pct"/>
            <w:shd w:val="clear" w:color="auto" w:fill="auto"/>
          </w:tcPr>
          <w:p w14:paraId="1F2E14E6"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24.3p</w:t>
            </w:r>
          </w:p>
        </w:tc>
        <w:tc>
          <w:tcPr>
            <w:tcW w:w="706" w:type="pct"/>
            <w:shd w:val="clear" w:color="auto" w:fill="auto"/>
          </w:tcPr>
          <w:p w14:paraId="45E48EF3" w14:textId="77777777" w:rsidR="00104D21" w:rsidRPr="00657B3E" w:rsidDel="00791ABF" w:rsidRDefault="00104D21" w:rsidP="00104D21">
            <w:pPr>
              <w:jc w:val="right"/>
              <w:rPr>
                <w:rFonts w:ascii="Arial" w:hAnsi="Arial" w:cs="Arial"/>
                <w:sz w:val="24"/>
                <w:szCs w:val="24"/>
              </w:rPr>
            </w:pPr>
            <w:r w:rsidRPr="00657B3E">
              <w:rPr>
                <w:rFonts w:ascii="Arial" w:hAnsi="Arial" w:cs="Arial"/>
                <w:sz w:val="24"/>
                <w:szCs w:val="24"/>
              </w:rPr>
              <w:t>30.0p</w:t>
            </w:r>
          </w:p>
        </w:tc>
        <w:tc>
          <w:tcPr>
            <w:tcW w:w="636" w:type="pct"/>
          </w:tcPr>
          <w:p w14:paraId="6C4CE07C" w14:textId="2959816A" w:rsidR="00104D21" w:rsidRPr="00657B3E" w:rsidDel="00791ABF" w:rsidRDefault="00104D21" w:rsidP="00104D21">
            <w:pPr>
              <w:jc w:val="right"/>
              <w:rPr>
                <w:rFonts w:ascii="Arial" w:hAnsi="Arial" w:cs="Arial"/>
                <w:sz w:val="24"/>
                <w:szCs w:val="24"/>
              </w:rPr>
            </w:pPr>
            <w:r w:rsidRPr="00657B3E">
              <w:rPr>
                <w:rFonts w:ascii="Arial" w:hAnsi="Arial" w:cs="Arial"/>
                <w:sz w:val="24"/>
                <w:szCs w:val="24"/>
              </w:rPr>
              <w:t>(19.0</w:t>
            </w:r>
            <w:r w:rsidR="00487A65">
              <w:rPr>
                <w:rFonts w:ascii="Arial" w:hAnsi="Arial" w:cs="Arial"/>
                <w:sz w:val="24"/>
                <w:szCs w:val="24"/>
              </w:rPr>
              <w:t>)</w:t>
            </w:r>
            <w:r w:rsidRPr="00657B3E">
              <w:rPr>
                <w:rFonts w:ascii="Arial" w:hAnsi="Arial" w:cs="Arial"/>
                <w:sz w:val="24"/>
                <w:szCs w:val="24"/>
              </w:rPr>
              <w:t>%</w:t>
            </w:r>
          </w:p>
        </w:tc>
        <w:tc>
          <w:tcPr>
            <w:tcW w:w="636" w:type="pct"/>
            <w:shd w:val="clear" w:color="auto" w:fill="auto"/>
          </w:tcPr>
          <w:p w14:paraId="5C4CD794" w14:textId="77777777" w:rsidR="00104D21" w:rsidRPr="00657B3E" w:rsidRDefault="00104D21" w:rsidP="00104D21">
            <w:pPr>
              <w:jc w:val="right"/>
              <w:rPr>
                <w:rFonts w:ascii="Arial" w:hAnsi="Arial" w:cs="Arial"/>
                <w:sz w:val="24"/>
                <w:szCs w:val="24"/>
              </w:rPr>
            </w:pPr>
          </w:p>
        </w:tc>
      </w:tr>
      <w:tr w:rsidR="00104D21" w:rsidRPr="00D91ED7" w14:paraId="431EAF6C" w14:textId="77777777" w:rsidTr="00104D21">
        <w:tc>
          <w:tcPr>
            <w:tcW w:w="2315" w:type="pct"/>
            <w:shd w:val="clear" w:color="auto" w:fill="auto"/>
          </w:tcPr>
          <w:p w14:paraId="7641A08B" w14:textId="77777777" w:rsidR="00104D21" w:rsidRPr="00657B3E" w:rsidRDefault="00104D21" w:rsidP="00104D21">
            <w:pPr>
              <w:rPr>
                <w:rFonts w:ascii="Arial" w:hAnsi="Arial" w:cs="Arial"/>
                <w:sz w:val="24"/>
                <w:szCs w:val="24"/>
              </w:rPr>
            </w:pPr>
            <w:r w:rsidRPr="00657B3E">
              <w:rPr>
                <w:rFonts w:ascii="Arial" w:hAnsi="Arial" w:cs="Arial"/>
                <w:sz w:val="24"/>
                <w:szCs w:val="24"/>
              </w:rPr>
              <w:t>Dividends – ordinary</w:t>
            </w:r>
          </w:p>
          <w:p w14:paraId="4EB8FEBD" w14:textId="77777777" w:rsidR="00104D21" w:rsidRPr="00657B3E" w:rsidRDefault="00104D21" w:rsidP="00104D21">
            <w:pPr>
              <w:rPr>
                <w:rFonts w:ascii="Arial" w:hAnsi="Arial" w:cs="Arial"/>
                <w:sz w:val="24"/>
                <w:szCs w:val="24"/>
              </w:rPr>
            </w:pPr>
          </w:p>
        </w:tc>
        <w:tc>
          <w:tcPr>
            <w:tcW w:w="707" w:type="pct"/>
            <w:shd w:val="clear" w:color="auto" w:fill="auto"/>
          </w:tcPr>
          <w:p w14:paraId="2A117772" w14:textId="4007335C" w:rsidR="00104D21" w:rsidRPr="00657B3E" w:rsidRDefault="00124A9D" w:rsidP="00912B38">
            <w:pPr>
              <w:jc w:val="right"/>
              <w:rPr>
                <w:rFonts w:ascii="Arial" w:hAnsi="Arial" w:cs="Arial"/>
                <w:b/>
                <w:sz w:val="24"/>
                <w:szCs w:val="24"/>
              </w:rPr>
            </w:pPr>
            <w:r>
              <w:rPr>
                <w:rFonts w:ascii="Arial" w:hAnsi="Arial" w:cs="Arial"/>
                <w:b/>
                <w:sz w:val="24"/>
                <w:szCs w:val="24"/>
              </w:rPr>
              <w:t>10.0</w:t>
            </w:r>
            <w:r w:rsidR="00104D21" w:rsidRPr="00657B3E">
              <w:rPr>
                <w:rFonts w:ascii="Arial" w:hAnsi="Arial" w:cs="Arial"/>
                <w:b/>
                <w:sz w:val="24"/>
                <w:szCs w:val="24"/>
              </w:rPr>
              <w:t>p</w:t>
            </w:r>
          </w:p>
        </w:tc>
        <w:tc>
          <w:tcPr>
            <w:tcW w:w="706" w:type="pct"/>
            <w:shd w:val="clear" w:color="auto" w:fill="auto"/>
          </w:tcPr>
          <w:p w14:paraId="7B2021A2" w14:textId="77777777" w:rsidR="00104D21" w:rsidRPr="00657B3E" w:rsidRDefault="00104D21" w:rsidP="00104D21">
            <w:pPr>
              <w:jc w:val="right"/>
              <w:rPr>
                <w:rFonts w:ascii="Arial" w:hAnsi="Arial" w:cs="Arial"/>
                <w:sz w:val="24"/>
                <w:szCs w:val="24"/>
              </w:rPr>
            </w:pPr>
            <w:r w:rsidRPr="00657B3E">
              <w:rPr>
                <w:rFonts w:ascii="Arial" w:hAnsi="Arial" w:cs="Arial"/>
                <w:sz w:val="24"/>
                <w:szCs w:val="24"/>
              </w:rPr>
              <w:t>9.9p</w:t>
            </w:r>
          </w:p>
        </w:tc>
        <w:tc>
          <w:tcPr>
            <w:tcW w:w="636" w:type="pct"/>
          </w:tcPr>
          <w:p w14:paraId="1AB74029" w14:textId="51676A7C" w:rsidR="00104D21" w:rsidRPr="00657B3E" w:rsidRDefault="00124A9D" w:rsidP="00912B38">
            <w:pPr>
              <w:jc w:val="right"/>
              <w:rPr>
                <w:rFonts w:ascii="Arial" w:hAnsi="Arial" w:cs="Arial"/>
                <w:sz w:val="24"/>
                <w:szCs w:val="24"/>
              </w:rPr>
            </w:pPr>
            <w:r>
              <w:rPr>
                <w:rFonts w:ascii="Arial" w:hAnsi="Arial" w:cs="Arial"/>
                <w:sz w:val="24"/>
                <w:szCs w:val="24"/>
              </w:rPr>
              <w:t>1</w:t>
            </w:r>
            <w:r w:rsidR="00487A65">
              <w:rPr>
                <w:rFonts w:ascii="Arial" w:hAnsi="Arial" w:cs="Arial"/>
                <w:sz w:val="24"/>
                <w:szCs w:val="24"/>
              </w:rPr>
              <w:t>.0</w:t>
            </w:r>
            <w:r w:rsidR="00104D21" w:rsidRPr="00657B3E">
              <w:rPr>
                <w:rFonts w:ascii="Arial" w:hAnsi="Arial" w:cs="Arial"/>
                <w:sz w:val="24"/>
                <w:szCs w:val="24"/>
              </w:rPr>
              <w:t>%</w:t>
            </w:r>
          </w:p>
        </w:tc>
        <w:tc>
          <w:tcPr>
            <w:tcW w:w="636" w:type="pct"/>
            <w:shd w:val="clear" w:color="auto" w:fill="auto"/>
          </w:tcPr>
          <w:p w14:paraId="03252590" w14:textId="77777777" w:rsidR="00104D21" w:rsidRPr="00657B3E" w:rsidRDefault="00104D21" w:rsidP="00104D21">
            <w:pPr>
              <w:jc w:val="right"/>
              <w:rPr>
                <w:rFonts w:ascii="Arial" w:hAnsi="Arial" w:cs="Arial"/>
                <w:sz w:val="24"/>
                <w:szCs w:val="24"/>
              </w:rPr>
            </w:pPr>
          </w:p>
        </w:tc>
      </w:tr>
      <w:tr w:rsidR="00104D21" w:rsidRPr="00D91ED7" w14:paraId="02A9A6F3" w14:textId="77777777" w:rsidTr="00104D21">
        <w:tc>
          <w:tcPr>
            <w:tcW w:w="2315" w:type="pct"/>
            <w:shd w:val="clear" w:color="auto" w:fill="auto"/>
          </w:tcPr>
          <w:p w14:paraId="0B3C9F3A" w14:textId="77777777" w:rsidR="00104D21" w:rsidRPr="00657B3E" w:rsidRDefault="00104D21" w:rsidP="00104D21">
            <w:pPr>
              <w:rPr>
                <w:rFonts w:ascii="Arial" w:hAnsi="Arial" w:cs="Arial"/>
                <w:b/>
                <w:sz w:val="24"/>
                <w:szCs w:val="24"/>
              </w:rPr>
            </w:pPr>
            <w:r w:rsidRPr="00657B3E">
              <w:rPr>
                <w:rFonts w:ascii="Arial" w:hAnsi="Arial" w:cs="Arial"/>
                <w:b/>
                <w:sz w:val="24"/>
                <w:szCs w:val="24"/>
              </w:rPr>
              <w:t>Capital Return</w:t>
            </w:r>
          </w:p>
        </w:tc>
        <w:tc>
          <w:tcPr>
            <w:tcW w:w="707" w:type="pct"/>
            <w:shd w:val="clear" w:color="auto" w:fill="auto"/>
          </w:tcPr>
          <w:p w14:paraId="2FB52826" w14:textId="77777777" w:rsidR="00104D21" w:rsidRPr="00657B3E" w:rsidRDefault="00104D21" w:rsidP="00104D21">
            <w:pPr>
              <w:jc w:val="right"/>
              <w:rPr>
                <w:rFonts w:ascii="Arial" w:hAnsi="Arial" w:cs="Arial"/>
                <w:b/>
                <w:sz w:val="24"/>
                <w:szCs w:val="24"/>
              </w:rPr>
            </w:pPr>
          </w:p>
        </w:tc>
        <w:tc>
          <w:tcPr>
            <w:tcW w:w="706" w:type="pct"/>
            <w:shd w:val="clear" w:color="auto" w:fill="auto"/>
          </w:tcPr>
          <w:p w14:paraId="53D1F67F" w14:textId="77777777" w:rsidR="00104D21" w:rsidRPr="00657B3E" w:rsidRDefault="00104D21" w:rsidP="00104D21">
            <w:pPr>
              <w:jc w:val="right"/>
              <w:rPr>
                <w:rFonts w:ascii="Arial" w:hAnsi="Arial" w:cs="Arial"/>
                <w:sz w:val="24"/>
                <w:szCs w:val="24"/>
              </w:rPr>
            </w:pPr>
          </w:p>
        </w:tc>
        <w:tc>
          <w:tcPr>
            <w:tcW w:w="636" w:type="pct"/>
          </w:tcPr>
          <w:p w14:paraId="38EA44EC" w14:textId="77777777" w:rsidR="00104D21" w:rsidRPr="00657B3E" w:rsidRDefault="00104D21" w:rsidP="00104D21">
            <w:pPr>
              <w:jc w:val="right"/>
              <w:rPr>
                <w:rFonts w:ascii="Arial" w:hAnsi="Arial" w:cs="Arial"/>
                <w:sz w:val="24"/>
                <w:szCs w:val="24"/>
              </w:rPr>
            </w:pPr>
          </w:p>
        </w:tc>
        <w:tc>
          <w:tcPr>
            <w:tcW w:w="636" w:type="pct"/>
            <w:shd w:val="clear" w:color="auto" w:fill="auto"/>
          </w:tcPr>
          <w:p w14:paraId="0E62E2F6" w14:textId="77777777" w:rsidR="00104D21" w:rsidRPr="00657B3E" w:rsidRDefault="00104D21" w:rsidP="00104D21">
            <w:pPr>
              <w:jc w:val="right"/>
              <w:rPr>
                <w:rFonts w:ascii="Arial" w:hAnsi="Arial" w:cs="Arial"/>
                <w:sz w:val="24"/>
                <w:szCs w:val="24"/>
              </w:rPr>
            </w:pPr>
          </w:p>
        </w:tc>
      </w:tr>
      <w:tr w:rsidR="00104D21" w:rsidRPr="00D91ED7" w14:paraId="0DFFC773" w14:textId="77777777" w:rsidTr="00104D21">
        <w:tc>
          <w:tcPr>
            <w:tcW w:w="2315" w:type="pct"/>
            <w:shd w:val="clear" w:color="auto" w:fill="auto"/>
          </w:tcPr>
          <w:p w14:paraId="417678DE" w14:textId="77777777" w:rsidR="00104D21" w:rsidRPr="00657B3E" w:rsidRDefault="00104D21" w:rsidP="00104D21">
            <w:pPr>
              <w:pStyle w:val="ListParagraph"/>
              <w:numPr>
                <w:ilvl w:val="0"/>
                <w:numId w:val="46"/>
              </w:numPr>
              <w:rPr>
                <w:rFonts w:ascii="Arial" w:hAnsi="Arial" w:cs="Arial"/>
                <w:sz w:val="24"/>
                <w:szCs w:val="24"/>
              </w:rPr>
            </w:pPr>
            <w:r w:rsidRPr="00657B3E">
              <w:rPr>
                <w:rFonts w:ascii="Arial" w:hAnsi="Arial" w:cs="Arial"/>
                <w:sz w:val="24"/>
                <w:szCs w:val="24"/>
              </w:rPr>
              <w:t>Special dividend (4.2p)</w:t>
            </w:r>
          </w:p>
        </w:tc>
        <w:tc>
          <w:tcPr>
            <w:tcW w:w="707" w:type="pct"/>
            <w:shd w:val="clear" w:color="auto" w:fill="auto"/>
          </w:tcPr>
          <w:p w14:paraId="7907A627"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£100m</w:t>
            </w:r>
          </w:p>
        </w:tc>
        <w:tc>
          <w:tcPr>
            <w:tcW w:w="706" w:type="pct"/>
            <w:shd w:val="clear" w:color="auto" w:fill="auto"/>
          </w:tcPr>
          <w:p w14:paraId="357E1E47" w14:textId="5ED566DC" w:rsidR="00104D21" w:rsidRPr="00657B3E" w:rsidRDefault="008B2EB2" w:rsidP="00104D21">
            <w:pPr>
              <w:jc w:val="right"/>
              <w:rPr>
                <w:rFonts w:ascii="Arial" w:hAnsi="Arial" w:cs="Arial"/>
                <w:sz w:val="24"/>
                <w:szCs w:val="24"/>
              </w:rPr>
            </w:pPr>
            <w:r w:rsidRPr="00657B3E">
              <w:rPr>
                <w:rFonts w:ascii="Arial" w:hAnsi="Arial" w:cs="Arial"/>
                <w:sz w:val="24"/>
                <w:szCs w:val="24"/>
              </w:rPr>
              <w:t>-</w:t>
            </w:r>
          </w:p>
        </w:tc>
        <w:tc>
          <w:tcPr>
            <w:tcW w:w="636" w:type="pct"/>
          </w:tcPr>
          <w:p w14:paraId="425C6A3A" w14:textId="65F4B363" w:rsidR="00104D21" w:rsidRPr="00657B3E" w:rsidRDefault="008B2EB2" w:rsidP="00104D21">
            <w:pPr>
              <w:jc w:val="right"/>
              <w:rPr>
                <w:rFonts w:ascii="Arial" w:hAnsi="Arial" w:cs="Arial"/>
                <w:sz w:val="24"/>
                <w:szCs w:val="24"/>
              </w:rPr>
            </w:pPr>
            <w:r w:rsidRPr="00657B3E">
              <w:rPr>
                <w:rFonts w:ascii="Arial" w:hAnsi="Arial" w:cs="Arial"/>
                <w:sz w:val="24"/>
                <w:szCs w:val="24"/>
              </w:rPr>
              <w:t>n/a</w:t>
            </w:r>
          </w:p>
        </w:tc>
        <w:tc>
          <w:tcPr>
            <w:tcW w:w="636" w:type="pct"/>
            <w:shd w:val="clear" w:color="auto" w:fill="auto"/>
          </w:tcPr>
          <w:p w14:paraId="6E640424" w14:textId="77777777" w:rsidR="00104D21" w:rsidRPr="00657B3E" w:rsidRDefault="00104D21" w:rsidP="00104D21">
            <w:pPr>
              <w:jc w:val="right"/>
              <w:rPr>
                <w:rFonts w:ascii="Arial" w:hAnsi="Arial" w:cs="Arial"/>
                <w:sz w:val="24"/>
                <w:szCs w:val="24"/>
              </w:rPr>
            </w:pPr>
          </w:p>
        </w:tc>
      </w:tr>
      <w:tr w:rsidR="00104D21" w:rsidRPr="00CA737F" w14:paraId="07DD5E6D" w14:textId="77777777" w:rsidTr="00104D21">
        <w:tc>
          <w:tcPr>
            <w:tcW w:w="2315" w:type="pct"/>
            <w:tcBorders>
              <w:bottom w:val="single" w:sz="4" w:space="0" w:color="auto"/>
            </w:tcBorders>
            <w:shd w:val="clear" w:color="auto" w:fill="auto"/>
          </w:tcPr>
          <w:p w14:paraId="28934FAF" w14:textId="77777777" w:rsidR="00104D21" w:rsidRPr="00657B3E" w:rsidRDefault="00104D21" w:rsidP="00104D21">
            <w:pPr>
              <w:pStyle w:val="ListParagraph"/>
              <w:numPr>
                <w:ilvl w:val="0"/>
                <w:numId w:val="46"/>
              </w:numPr>
              <w:rPr>
                <w:rFonts w:ascii="Arial" w:hAnsi="Arial" w:cs="Arial"/>
                <w:sz w:val="24"/>
                <w:szCs w:val="24"/>
              </w:rPr>
            </w:pPr>
            <w:r w:rsidRPr="00657B3E">
              <w:rPr>
                <w:rFonts w:ascii="Arial" w:hAnsi="Arial" w:cs="Arial"/>
                <w:sz w:val="24"/>
                <w:szCs w:val="24"/>
              </w:rPr>
              <w:t>Share buy back</w:t>
            </w:r>
          </w:p>
        </w:tc>
        <w:tc>
          <w:tcPr>
            <w:tcW w:w="707" w:type="pct"/>
            <w:tcBorders>
              <w:bottom w:val="single" w:sz="4" w:space="0" w:color="auto"/>
            </w:tcBorders>
            <w:shd w:val="clear" w:color="auto" w:fill="auto"/>
          </w:tcPr>
          <w:p w14:paraId="3664BC4D" w14:textId="77777777" w:rsidR="00104D21" w:rsidRPr="00657B3E" w:rsidRDefault="00104D21" w:rsidP="00104D21">
            <w:pPr>
              <w:jc w:val="right"/>
              <w:rPr>
                <w:rFonts w:ascii="Arial" w:hAnsi="Arial" w:cs="Arial"/>
                <w:b/>
                <w:sz w:val="24"/>
                <w:szCs w:val="24"/>
              </w:rPr>
            </w:pPr>
            <w:r w:rsidRPr="00657B3E">
              <w:rPr>
                <w:rFonts w:ascii="Arial" w:hAnsi="Arial" w:cs="Arial"/>
                <w:b/>
                <w:sz w:val="24"/>
                <w:szCs w:val="24"/>
              </w:rPr>
              <w:t>£100m</w:t>
            </w:r>
          </w:p>
        </w:tc>
        <w:tc>
          <w:tcPr>
            <w:tcW w:w="706" w:type="pct"/>
            <w:tcBorders>
              <w:bottom w:val="single" w:sz="4" w:space="0" w:color="auto"/>
            </w:tcBorders>
            <w:shd w:val="clear" w:color="auto" w:fill="auto"/>
          </w:tcPr>
          <w:p w14:paraId="519893A3" w14:textId="3BD7EEE6" w:rsidR="00104D21" w:rsidRPr="00657B3E" w:rsidRDefault="008B2EB2" w:rsidP="00104D21">
            <w:pPr>
              <w:jc w:val="right"/>
              <w:rPr>
                <w:rFonts w:ascii="Arial" w:hAnsi="Arial" w:cs="Arial"/>
                <w:sz w:val="24"/>
                <w:szCs w:val="24"/>
              </w:rPr>
            </w:pPr>
            <w:r w:rsidRPr="00657B3E">
              <w:rPr>
                <w:rFonts w:ascii="Arial" w:hAnsi="Arial" w:cs="Arial"/>
                <w:sz w:val="24"/>
                <w:szCs w:val="24"/>
              </w:rPr>
              <w:t>-</w:t>
            </w:r>
          </w:p>
        </w:tc>
        <w:tc>
          <w:tcPr>
            <w:tcW w:w="636" w:type="pct"/>
            <w:tcBorders>
              <w:bottom w:val="single" w:sz="4" w:space="0" w:color="auto"/>
            </w:tcBorders>
          </w:tcPr>
          <w:p w14:paraId="6564C0DC" w14:textId="7792C1E4" w:rsidR="00104D21" w:rsidRPr="0050210E" w:rsidRDefault="008B2EB2" w:rsidP="00104D21">
            <w:pPr>
              <w:jc w:val="right"/>
              <w:rPr>
                <w:rFonts w:ascii="Arial" w:hAnsi="Arial" w:cs="Arial"/>
                <w:sz w:val="24"/>
                <w:szCs w:val="24"/>
              </w:rPr>
            </w:pPr>
            <w:r w:rsidRPr="00657B3E">
              <w:rPr>
                <w:rFonts w:ascii="Arial" w:hAnsi="Arial" w:cs="Arial"/>
                <w:sz w:val="24"/>
                <w:szCs w:val="24"/>
              </w:rPr>
              <w:t>n/a</w:t>
            </w:r>
          </w:p>
        </w:tc>
        <w:tc>
          <w:tcPr>
            <w:tcW w:w="636" w:type="pct"/>
            <w:tcBorders>
              <w:bottom w:val="single" w:sz="4" w:space="0" w:color="auto"/>
            </w:tcBorders>
            <w:shd w:val="clear" w:color="auto" w:fill="auto"/>
          </w:tcPr>
          <w:p w14:paraId="6547A04C" w14:textId="77777777" w:rsidR="00104D21" w:rsidRPr="0050210E" w:rsidRDefault="00104D21" w:rsidP="00104D21">
            <w:pPr>
              <w:jc w:val="right"/>
              <w:rPr>
                <w:rFonts w:ascii="Arial" w:hAnsi="Arial" w:cs="Arial"/>
                <w:sz w:val="24"/>
                <w:szCs w:val="24"/>
              </w:rPr>
            </w:pPr>
          </w:p>
        </w:tc>
      </w:tr>
    </w:tbl>
    <w:p w14:paraId="527C34C4" w14:textId="77777777" w:rsidR="00104D21" w:rsidRDefault="00104D21" w:rsidP="00104D21">
      <w:pPr>
        <w:jc w:val="left"/>
        <w:rPr>
          <w:rFonts w:ascii="Arial" w:hAnsi="Arial" w:cs="Arial"/>
          <w:sz w:val="24"/>
          <w:szCs w:val="24"/>
        </w:rPr>
      </w:pPr>
    </w:p>
    <w:p w14:paraId="1FB07F55" w14:textId="77777777" w:rsidR="00E10699" w:rsidRPr="0054624C" w:rsidRDefault="00E10699" w:rsidP="00E10699">
      <w:pPr>
        <w:jc w:val="left"/>
        <w:rPr>
          <w:rFonts w:ascii="Arial" w:hAnsi="Arial" w:cs="Arial"/>
          <w:b/>
          <w:bCs/>
          <w:sz w:val="24"/>
          <w:szCs w:val="24"/>
        </w:rPr>
      </w:pPr>
    </w:p>
    <w:p w14:paraId="020133C0" w14:textId="5F9EBD89" w:rsidR="00104D21" w:rsidRDefault="00104D21" w:rsidP="00506D26">
      <w:pPr>
        <w:jc w:val="left"/>
        <w:rPr>
          <w:rFonts w:ascii="Arial" w:hAnsi="Arial" w:cs="Arial"/>
          <w:sz w:val="24"/>
          <w:szCs w:val="24"/>
        </w:rPr>
      </w:pPr>
      <w:r>
        <w:rPr>
          <w:rFonts w:ascii="Arial" w:hAnsi="Arial" w:cs="Arial"/>
          <w:sz w:val="24"/>
          <w:szCs w:val="24"/>
        </w:rPr>
        <w:t>T</w:t>
      </w:r>
      <w:r w:rsidRPr="00BF67D6">
        <w:rPr>
          <w:rFonts w:ascii="Arial" w:hAnsi="Arial" w:cs="Arial"/>
          <w:sz w:val="24"/>
          <w:szCs w:val="24"/>
        </w:rPr>
        <w:t xml:space="preserve">he results </w:t>
      </w:r>
      <w:r>
        <w:rPr>
          <w:rFonts w:ascii="Arial" w:hAnsi="Arial" w:cs="Arial"/>
          <w:sz w:val="24"/>
          <w:szCs w:val="24"/>
        </w:rPr>
        <w:t xml:space="preserve">for the year </w:t>
      </w:r>
      <w:r w:rsidRPr="00BF67D6">
        <w:rPr>
          <w:rFonts w:ascii="Arial" w:hAnsi="Arial" w:cs="Arial"/>
          <w:sz w:val="24"/>
          <w:szCs w:val="24"/>
        </w:rPr>
        <w:t xml:space="preserve">reflect a mixed picture across our markets with the UK </w:t>
      </w:r>
      <w:r>
        <w:rPr>
          <w:rFonts w:ascii="Arial" w:hAnsi="Arial" w:cs="Arial"/>
          <w:sz w:val="24"/>
          <w:szCs w:val="24"/>
        </w:rPr>
        <w:t xml:space="preserve">market improving </w:t>
      </w:r>
      <w:r w:rsidRPr="00BF67D6">
        <w:rPr>
          <w:rFonts w:ascii="Arial" w:hAnsi="Arial" w:cs="Arial"/>
          <w:sz w:val="24"/>
          <w:szCs w:val="24"/>
        </w:rPr>
        <w:t xml:space="preserve">but continental Europe, particularly France, proving to be a more challenging environment. </w:t>
      </w:r>
      <w:r>
        <w:rPr>
          <w:rFonts w:ascii="Arial" w:hAnsi="Arial" w:cs="Arial"/>
          <w:sz w:val="24"/>
          <w:szCs w:val="24"/>
        </w:rPr>
        <w:t>However, our ongoing focus on cash</w:t>
      </w:r>
      <w:r w:rsidR="008B2EB2">
        <w:rPr>
          <w:rFonts w:ascii="Arial" w:hAnsi="Arial" w:cs="Arial"/>
          <w:sz w:val="24"/>
          <w:szCs w:val="24"/>
        </w:rPr>
        <w:t xml:space="preserve"> and </w:t>
      </w:r>
      <w:r>
        <w:rPr>
          <w:rFonts w:ascii="Arial" w:hAnsi="Arial" w:cs="Arial"/>
          <w:sz w:val="24"/>
          <w:szCs w:val="24"/>
        </w:rPr>
        <w:t>tight capital discipline</w:t>
      </w:r>
      <w:r w:rsidR="008B2EB2">
        <w:rPr>
          <w:rFonts w:ascii="Arial" w:hAnsi="Arial" w:cs="Arial"/>
          <w:sz w:val="24"/>
          <w:szCs w:val="24"/>
        </w:rPr>
        <w:t xml:space="preserve"> </w:t>
      </w:r>
      <w:r>
        <w:rPr>
          <w:rFonts w:ascii="Arial" w:hAnsi="Arial" w:cs="Arial"/>
          <w:sz w:val="24"/>
          <w:szCs w:val="24"/>
        </w:rPr>
        <w:t xml:space="preserve">meant we </w:t>
      </w:r>
      <w:r w:rsidR="008073AF">
        <w:rPr>
          <w:rFonts w:ascii="Arial" w:hAnsi="Arial" w:cs="Arial"/>
          <w:sz w:val="24"/>
          <w:szCs w:val="24"/>
        </w:rPr>
        <w:t xml:space="preserve">were </w:t>
      </w:r>
      <w:r w:rsidR="008B2EB2">
        <w:rPr>
          <w:rFonts w:ascii="Arial" w:hAnsi="Arial" w:cs="Arial"/>
          <w:sz w:val="24"/>
          <w:szCs w:val="24"/>
        </w:rPr>
        <w:t xml:space="preserve">able to </w:t>
      </w:r>
      <w:r>
        <w:rPr>
          <w:rFonts w:ascii="Arial" w:hAnsi="Arial" w:cs="Arial"/>
          <w:sz w:val="24"/>
          <w:szCs w:val="24"/>
        </w:rPr>
        <w:t>continue to invest in the business</w:t>
      </w:r>
      <w:r w:rsidR="008B2EB2">
        <w:rPr>
          <w:rFonts w:ascii="Arial" w:hAnsi="Arial" w:cs="Arial"/>
          <w:sz w:val="24"/>
          <w:szCs w:val="24"/>
        </w:rPr>
        <w:t xml:space="preserve"> whilst </w:t>
      </w:r>
      <w:r>
        <w:rPr>
          <w:rFonts w:ascii="Arial" w:hAnsi="Arial" w:cs="Arial"/>
          <w:sz w:val="24"/>
          <w:szCs w:val="24"/>
        </w:rPr>
        <w:t>maintain</w:t>
      </w:r>
      <w:r w:rsidR="008B2EB2">
        <w:rPr>
          <w:rFonts w:ascii="Arial" w:hAnsi="Arial" w:cs="Arial"/>
          <w:sz w:val="24"/>
          <w:szCs w:val="24"/>
        </w:rPr>
        <w:t>ing</w:t>
      </w:r>
      <w:r>
        <w:rPr>
          <w:rFonts w:ascii="Arial" w:hAnsi="Arial" w:cs="Arial"/>
          <w:sz w:val="24"/>
          <w:szCs w:val="24"/>
        </w:rPr>
        <w:t xml:space="preserve"> </w:t>
      </w:r>
      <w:r w:rsidR="00586DB2">
        <w:rPr>
          <w:rFonts w:ascii="Arial" w:hAnsi="Arial" w:cs="Arial"/>
          <w:sz w:val="24"/>
          <w:szCs w:val="24"/>
        </w:rPr>
        <w:t>a strong balance sheet, pay £234</w:t>
      </w:r>
      <w:r>
        <w:rPr>
          <w:rFonts w:ascii="Arial" w:hAnsi="Arial" w:cs="Arial"/>
          <w:sz w:val="24"/>
          <w:szCs w:val="24"/>
        </w:rPr>
        <w:t xml:space="preserve"> million in annual cash dividends and return a further £200 million to shareholders via special dividends and share buy backs. </w:t>
      </w:r>
    </w:p>
    <w:p w14:paraId="032AF97C" w14:textId="77777777" w:rsidR="00104D21" w:rsidRDefault="00104D21" w:rsidP="00506D26">
      <w:pPr>
        <w:jc w:val="left"/>
        <w:rPr>
          <w:rFonts w:ascii="Arial" w:hAnsi="Arial" w:cs="Arial"/>
          <w:sz w:val="24"/>
          <w:szCs w:val="24"/>
        </w:rPr>
      </w:pPr>
    </w:p>
    <w:p w14:paraId="22B1CE63" w14:textId="38352EB9" w:rsidR="00104D21" w:rsidRDefault="00104D21" w:rsidP="00104D21">
      <w:pPr>
        <w:ind w:right="-368"/>
        <w:jc w:val="left"/>
        <w:rPr>
          <w:rFonts w:ascii="Arial" w:hAnsi="Arial" w:cs="Arial"/>
          <w:sz w:val="24"/>
          <w:szCs w:val="24"/>
        </w:rPr>
      </w:pPr>
      <w:r>
        <w:rPr>
          <w:rFonts w:ascii="Arial" w:hAnsi="Arial" w:cs="Arial"/>
          <w:sz w:val="24"/>
          <w:szCs w:val="24"/>
        </w:rPr>
        <w:t>Total</w:t>
      </w:r>
      <w:r>
        <w:rPr>
          <w:rFonts w:ascii="Arial" w:hAnsi="Arial" w:cs="Arial"/>
          <w:b/>
          <w:sz w:val="24"/>
          <w:szCs w:val="24"/>
        </w:rPr>
        <w:t xml:space="preserve"> </w:t>
      </w:r>
      <w:r w:rsidRPr="00B53CC2">
        <w:rPr>
          <w:rFonts w:ascii="Arial" w:hAnsi="Arial" w:cs="Arial"/>
          <w:b/>
          <w:sz w:val="24"/>
          <w:szCs w:val="24"/>
        </w:rPr>
        <w:t>sales</w:t>
      </w:r>
      <w:r w:rsidRPr="00B53CC2">
        <w:rPr>
          <w:rFonts w:ascii="Arial" w:hAnsi="Arial" w:cs="Arial"/>
          <w:sz w:val="24"/>
          <w:szCs w:val="24"/>
        </w:rPr>
        <w:t xml:space="preserve"> grew by </w:t>
      </w:r>
      <w:r w:rsidRPr="0050210E">
        <w:rPr>
          <w:rFonts w:ascii="Arial" w:hAnsi="Arial" w:cs="Arial"/>
          <w:sz w:val="24"/>
          <w:szCs w:val="24"/>
        </w:rPr>
        <w:t>2.</w:t>
      </w:r>
      <w:r w:rsidRPr="00B53CC2">
        <w:rPr>
          <w:rFonts w:ascii="Arial" w:hAnsi="Arial" w:cs="Arial"/>
          <w:sz w:val="24"/>
          <w:szCs w:val="24"/>
        </w:rPr>
        <w:t>9% on a constant currency basis</w:t>
      </w:r>
      <w:r>
        <w:rPr>
          <w:rFonts w:ascii="Arial" w:hAnsi="Arial" w:cs="Arial"/>
          <w:sz w:val="24"/>
          <w:szCs w:val="24"/>
        </w:rPr>
        <w:t xml:space="preserve"> to £11.0 billion with </w:t>
      </w:r>
      <w:r w:rsidR="007C47AE">
        <w:rPr>
          <w:rFonts w:ascii="Arial" w:hAnsi="Arial" w:cs="Arial"/>
          <w:sz w:val="24"/>
          <w:szCs w:val="24"/>
        </w:rPr>
        <w:t>LFL</w:t>
      </w:r>
      <w:r>
        <w:rPr>
          <w:rFonts w:ascii="Arial" w:hAnsi="Arial" w:cs="Arial"/>
          <w:sz w:val="24"/>
          <w:szCs w:val="24"/>
        </w:rPr>
        <w:t xml:space="preserve"> sales</w:t>
      </w:r>
      <w:r w:rsidR="007C47AE">
        <w:rPr>
          <w:rFonts w:ascii="Arial" w:hAnsi="Arial" w:cs="Arial"/>
          <w:sz w:val="24"/>
          <w:szCs w:val="24"/>
        </w:rPr>
        <w:t xml:space="preserve"> </w:t>
      </w:r>
      <w:r w:rsidRPr="00472C2D">
        <w:rPr>
          <w:rFonts w:ascii="Arial" w:hAnsi="Arial" w:cs="Arial"/>
          <w:sz w:val="24"/>
          <w:szCs w:val="24"/>
        </w:rPr>
        <w:t xml:space="preserve">up </w:t>
      </w:r>
      <w:r w:rsidRPr="0050210E">
        <w:rPr>
          <w:rFonts w:ascii="Arial" w:hAnsi="Arial" w:cs="Arial"/>
          <w:sz w:val="24"/>
          <w:szCs w:val="24"/>
        </w:rPr>
        <w:t xml:space="preserve">0.5% (2013/14: </w:t>
      </w:r>
      <w:r w:rsidRPr="00472C2D">
        <w:rPr>
          <w:rFonts w:ascii="Arial" w:hAnsi="Arial" w:cs="Arial"/>
          <w:sz w:val="24"/>
          <w:szCs w:val="24"/>
        </w:rPr>
        <w:t>up 0.7%)</w:t>
      </w:r>
      <w:r>
        <w:rPr>
          <w:rFonts w:ascii="Arial" w:hAnsi="Arial" w:cs="Arial"/>
          <w:sz w:val="24"/>
          <w:szCs w:val="24"/>
        </w:rPr>
        <w:t xml:space="preserve">.  On a reported rate basis, which includes the impact of exchange rates, sales </w:t>
      </w:r>
      <w:r w:rsidRPr="00B53CC2">
        <w:rPr>
          <w:rFonts w:ascii="Arial" w:hAnsi="Arial" w:cs="Arial"/>
          <w:sz w:val="24"/>
          <w:szCs w:val="24"/>
        </w:rPr>
        <w:t>declined by 1.4</w:t>
      </w:r>
      <w:r>
        <w:rPr>
          <w:rFonts w:ascii="Arial" w:hAnsi="Arial" w:cs="Arial"/>
          <w:sz w:val="24"/>
          <w:szCs w:val="24"/>
        </w:rPr>
        <w:t>%.  Sales growth benefitted from the addition of new space with 74 new stores, including 60 Screwfix trade counters in the UK, opening during the year (</w:t>
      </w:r>
      <w:r w:rsidRPr="00602850">
        <w:rPr>
          <w:rFonts w:ascii="Arial" w:hAnsi="Arial" w:cs="Arial"/>
          <w:sz w:val="24"/>
          <w:szCs w:val="24"/>
        </w:rPr>
        <w:t xml:space="preserve">excluding </w:t>
      </w:r>
      <w:r>
        <w:rPr>
          <w:rFonts w:ascii="Arial" w:hAnsi="Arial" w:cs="Arial"/>
          <w:sz w:val="24"/>
          <w:szCs w:val="24"/>
        </w:rPr>
        <w:t>4</w:t>
      </w:r>
      <w:r w:rsidRPr="00602850">
        <w:rPr>
          <w:rFonts w:ascii="Arial" w:hAnsi="Arial" w:cs="Arial"/>
          <w:sz w:val="24"/>
          <w:szCs w:val="24"/>
        </w:rPr>
        <w:t xml:space="preserve"> stores</w:t>
      </w:r>
      <w:r>
        <w:rPr>
          <w:rFonts w:ascii="Arial" w:hAnsi="Arial" w:cs="Arial"/>
          <w:sz w:val="24"/>
          <w:szCs w:val="24"/>
        </w:rPr>
        <w:t xml:space="preserve"> opened in the Turkey JV). </w:t>
      </w:r>
    </w:p>
    <w:p w14:paraId="1A476941" w14:textId="77777777" w:rsidR="00104D21" w:rsidRPr="00C82F88" w:rsidRDefault="00104D21" w:rsidP="00104D21">
      <w:pPr>
        <w:jc w:val="left"/>
        <w:rPr>
          <w:rFonts w:ascii="Arial" w:hAnsi="Arial" w:cs="Arial"/>
          <w:sz w:val="24"/>
          <w:szCs w:val="24"/>
        </w:rPr>
      </w:pPr>
    </w:p>
    <w:p w14:paraId="409DA4C6" w14:textId="2A878A54" w:rsidR="00104D21" w:rsidRDefault="00104D21" w:rsidP="00104D21">
      <w:pPr>
        <w:ind w:right="-368"/>
        <w:jc w:val="left"/>
        <w:rPr>
          <w:rFonts w:ascii="Arial" w:hAnsi="Arial" w:cs="Arial"/>
          <w:sz w:val="24"/>
          <w:szCs w:val="24"/>
        </w:rPr>
      </w:pPr>
      <w:r>
        <w:rPr>
          <w:rFonts w:ascii="Arial" w:hAnsi="Arial" w:cs="Arial"/>
          <w:sz w:val="24"/>
          <w:szCs w:val="24"/>
        </w:rPr>
        <w:t xml:space="preserve">On a constant currency basis </w:t>
      </w:r>
      <w:r w:rsidRPr="004A74A6">
        <w:rPr>
          <w:rFonts w:ascii="Arial" w:hAnsi="Arial" w:cs="Arial"/>
          <w:b/>
          <w:sz w:val="24"/>
          <w:szCs w:val="24"/>
        </w:rPr>
        <w:t>retail profit</w:t>
      </w:r>
      <w:r>
        <w:rPr>
          <w:rFonts w:ascii="Arial" w:hAnsi="Arial" w:cs="Arial"/>
          <w:sz w:val="24"/>
          <w:szCs w:val="24"/>
        </w:rPr>
        <w:t xml:space="preserve"> of £733 million declined by 1</w:t>
      </w:r>
      <w:r w:rsidRPr="0050210E">
        <w:rPr>
          <w:rFonts w:ascii="Arial" w:hAnsi="Arial" w:cs="Arial"/>
          <w:sz w:val="24"/>
          <w:szCs w:val="24"/>
        </w:rPr>
        <w:t>.6%</w:t>
      </w:r>
      <w:r>
        <w:rPr>
          <w:rFonts w:ascii="Arial" w:hAnsi="Arial" w:cs="Arial"/>
          <w:sz w:val="24"/>
          <w:szCs w:val="24"/>
        </w:rPr>
        <w:t xml:space="preserve"> </w:t>
      </w:r>
      <w:r w:rsidR="005505B9">
        <w:rPr>
          <w:rFonts w:ascii="Arial" w:hAnsi="Arial" w:cs="Arial"/>
          <w:sz w:val="24"/>
          <w:szCs w:val="24"/>
        </w:rPr>
        <w:t>including</w:t>
      </w:r>
      <w:r>
        <w:rPr>
          <w:rFonts w:ascii="Arial" w:hAnsi="Arial" w:cs="Arial"/>
          <w:sz w:val="24"/>
          <w:szCs w:val="24"/>
        </w:rPr>
        <w:t xml:space="preserve"> £22 million of </w:t>
      </w:r>
      <w:r w:rsidRPr="0050210E">
        <w:rPr>
          <w:rFonts w:ascii="Arial" w:hAnsi="Arial" w:cs="Arial"/>
          <w:sz w:val="24"/>
          <w:szCs w:val="24"/>
        </w:rPr>
        <w:t xml:space="preserve">new country development </w:t>
      </w:r>
      <w:r>
        <w:rPr>
          <w:rFonts w:ascii="Arial" w:hAnsi="Arial" w:cs="Arial"/>
          <w:sz w:val="24"/>
          <w:szCs w:val="24"/>
        </w:rPr>
        <w:t xml:space="preserve">costs resulting from launching Brico </w:t>
      </w:r>
      <w:r w:rsidR="005505B9">
        <w:rPr>
          <w:rFonts w:ascii="Arial" w:hAnsi="Arial" w:cs="Arial"/>
          <w:sz w:val="24"/>
          <w:szCs w:val="24"/>
        </w:rPr>
        <w:t>D</w:t>
      </w:r>
      <w:r w:rsidR="005505B9" w:rsidRPr="005D297D">
        <w:rPr>
          <w:rFonts w:ascii="Arial" w:hAnsi="Arial" w:cs="Arial"/>
          <w:sz w:val="24"/>
          <w:szCs w:val="24"/>
        </w:rPr>
        <w:t>épô</w:t>
      </w:r>
      <w:r w:rsidR="005505B9">
        <w:rPr>
          <w:rFonts w:ascii="Arial" w:hAnsi="Arial" w:cs="Arial"/>
          <w:sz w:val="24"/>
          <w:szCs w:val="24"/>
        </w:rPr>
        <w:t>t</w:t>
      </w:r>
      <w:r>
        <w:rPr>
          <w:rFonts w:ascii="Arial" w:hAnsi="Arial" w:cs="Arial"/>
          <w:sz w:val="24"/>
          <w:szCs w:val="24"/>
        </w:rPr>
        <w:t xml:space="preserve"> in Romania and Portugal</w:t>
      </w:r>
      <w:r w:rsidDel="001B1E62">
        <w:rPr>
          <w:rFonts w:ascii="Arial" w:hAnsi="Arial" w:cs="Arial"/>
          <w:sz w:val="24"/>
          <w:szCs w:val="24"/>
        </w:rPr>
        <w:t xml:space="preserve"> </w:t>
      </w:r>
      <w:r>
        <w:rPr>
          <w:rFonts w:ascii="Arial" w:hAnsi="Arial" w:cs="Arial"/>
          <w:sz w:val="24"/>
          <w:szCs w:val="24"/>
        </w:rPr>
        <w:t xml:space="preserve">and Screwfix in Germany during the year. </w:t>
      </w:r>
      <w:r w:rsidRPr="004A74A6">
        <w:rPr>
          <w:rFonts w:ascii="Arial" w:hAnsi="Arial" w:cs="Arial"/>
          <w:sz w:val="24"/>
          <w:szCs w:val="24"/>
        </w:rPr>
        <w:t xml:space="preserve">Reported </w:t>
      </w:r>
      <w:r>
        <w:rPr>
          <w:rFonts w:ascii="Arial" w:hAnsi="Arial" w:cs="Arial"/>
          <w:sz w:val="24"/>
          <w:szCs w:val="24"/>
        </w:rPr>
        <w:t>r</w:t>
      </w:r>
      <w:r w:rsidRPr="004A74A6">
        <w:rPr>
          <w:rFonts w:ascii="Arial" w:hAnsi="Arial" w:cs="Arial"/>
          <w:sz w:val="24"/>
          <w:szCs w:val="24"/>
        </w:rPr>
        <w:t>etail profit</w:t>
      </w:r>
      <w:r w:rsidRPr="00C82F88">
        <w:rPr>
          <w:rFonts w:ascii="Arial" w:hAnsi="Arial" w:cs="Arial"/>
          <w:sz w:val="24"/>
          <w:szCs w:val="24"/>
        </w:rPr>
        <w:t xml:space="preserve"> </w:t>
      </w:r>
      <w:r w:rsidRPr="00477F1E">
        <w:rPr>
          <w:rFonts w:ascii="Arial" w:hAnsi="Arial" w:cs="Arial"/>
          <w:sz w:val="24"/>
          <w:szCs w:val="24"/>
        </w:rPr>
        <w:t xml:space="preserve">declined </w:t>
      </w:r>
      <w:r>
        <w:rPr>
          <w:rFonts w:ascii="Arial" w:hAnsi="Arial" w:cs="Arial"/>
          <w:sz w:val="24"/>
          <w:szCs w:val="24"/>
        </w:rPr>
        <w:t xml:space="preserve">5.9% reflecting </w:t>
      </w:r>
      <w:r w:rsidRPr="00477F1E">
        <w:rPr>
          <w:rFonts w:ascii="Arial" w:hAnsi="Arial" w:cs="Arial"/>
          <w:sz w:val="24"/>
          <w:szCs w:val="24"/>
        </w:rPr>
        <w:t>£34 millio</w:t>
      </w:r>
      <w:r w:rsidRPr="006F1D1F">
        <w:rPr>
          <w:rFonts w:ascii="Arial" w:hAnsi="Arial" w:cs="Arial"/>
          <w:sz w:val="24"/>
          <w:szCs w:val="24"/>
        </w:rPr>
        <w:t>n adverse foreign exchange movement</w:t>
      </w:r>
      <w:r>
        <w:rPr>
          <w:rFonts w:ascii="Arial" w:hAnsi="Arial" w:cs="Arial"/>
          <w:sz w:val="24"/>
          <w:szCs w:val="24"/>
        </w:rPr>
        <w:t xml:space="preserve"> on translating foreign currency results into sterling. </w:t>
      </w:r>
    </w:p>
    <w:p w14:paraId="7AC728AD" w14:textId="77777777" w:rsidR="00104D21" w:rsidRDefault="00104D21" w:rsidP="00104D21">
      <w:pPr>
        <w:ind w:right="-368"/>
        <w:jc w:val="left"/>
        <w:rPr>
          <w:rFonts w:ascii="Arial" w:hAnsi="Arial" w:cs="Arial"/>
          <w:sz w:val="24"/>
          <w:szCs w:val="24"/>
        </w:rPr>
      </w:pPr>
    </w:p>
    <w:p w14:paraId="48997DC2" w14:textId="25F3DC3E" w:rsidR="003C1CE9" w:rsidRDefault="00104D21" w:rsidP="00104D21">
      <w:pPr>
        <w:ind w:right="-368"/>
        <w:jc w:val="left"/>
        <w:rPr>
          <w:rFonts w:ascii="Arial" w:hAnsi="Arial" w:cs="Arial"/>
          <w:sz w:val="24"/>
          <w:szCs w:val="24"/>
        </w:rPr>
      </w:pPr>
      <w:r w:rsidRPr="0092579B">
        <w:rPr>
          <w:rFonts w:ascii="Arial" w:hAnsi="Arial" w:cs="Arial"/>
          <w:b/>
          <w:sz w:val="24"/>
          <w:szCs w:val="24"/>
        </w:rPr>
        <w:t xml:space="preserve">Adjusted </w:t>
      </w:r>
      <w:r w:rsidRPr="0074274A">
        <w:rPr>
          <w:rFonts w:ascii="Arial" w:hAnsi="Arial" w:cs="Arial"/>
          <w:b/>
          <w:sz w:val="24"/>
          <w:szCs w:val="24"/>
        </w:rPr>
        <w:t>pre-</w:t>
      </w:r>
      <w:r w:rsidRPr="006720CD">
        <w:rPr>
          <w:rFonts w:ascii="Arial" w:hAnsi="Arial" w:cs="Arial"/>
          <w:b/>
          <w:sz w:val="24"/>
          <w:szCs w:val="24"/>
        </w:rPr>
        <w:t>tax profit</w:t>
      </w:r>
      <w:r w:rsidRPr="006720CD">
        <w:rPr>
          <w:rFonts w:ascii="Arial" w:hAnsi="Arial" w:cs="Arial"/>
          <w:sz w:val="24"/>
          <w:szCs w:val="24"/>
        </w:rPr>
        <w:t xml:space="preserve"> decreased </w:t>
      </w:r>
      <w:r w:rsidRPr="00507C2E">
        <w:rPr>
          <w:rFonts w:ascii="Arial" w:hAnsi="Arial" w:cs="Arial"/>
          <w:sz w:val="24"/>
          <w:szCs w:val="24"/>
        </w:rPr>
        <w:t>by 7.5% to £</w:t>
      </w:r>
      <w:r>
        <w:rPr>
          <w:rFonts w:ascii="Arial" w:hAnsi="Arial" w:cs="Arial"/>
          <w:sz w:val="24"/>
          <w:szCs w:val="24"/>
        </w:rPr>
        <w:t xml:space="preserve">675 million primarily reflecting the more challenging trading environment in France, adverse foreign exchange movements and the investment in new country development. Furthermore, underlying </w:t>
      </w:r>
      <w:r w:rsidRPr="00C82F88">
        <w:rPr>
          <w:rFonts w:ascii="Arial" w:hAnsi="Arial" w:cs="Arial" w:hint="eastAsia"/>
          <w:sz w:val="24"/>
          <w:szCs w:val="24"/>
        </w:rPr>
        <w:t xml:space="preserve">net </w:t>
      </w:r>
      <w:r w:rsidRPr="0092579B">
        <w:rPr>
          <w:rFonts w:ascii="Arial" w:hAnsi="Arial" w:cs="Arial" w:hint="eastAsia"/>
          <w:sz w:val="24"/>
          <w:szCs w:val="24"/>
        </w:rPr>
        <w:t>intere</w:t>
      </w:r>
      <w:r w:rsidRPr="0092579B">
        <w:rPr>
          <w:rFonts w:ascii="Arial" w:hAnsi="Arial" w:cs="Arial"/>
          <w:sz w:val="24"/>
          <w:szCs w:val="24"/>
        </w:rPr>
        <w:t>st</w:t>
      </w:r>
      <w:r w:rsidR="003C1CE9">
        <w:rPr>
          <w:rFonts w:ascii="Arial" w:hAnsi="Arial" w:cs="Arial"/>
          <w:sz w:val="24"/>
          <w:szCs w:val="24"/>
        </w:rPr>
        <w:t xml:space="preserve"> (excluding exceptional items and FFVR*)</w:t>
      </w:r>
      <w:r w:rsidRPr="0092579B">
        <w:rPr>
          <w:rFonts w:ascii="Arial" w:hAnsi="Arial" w:cs="Arial"/>
          <w:sz w:val="24"/>
          <w:szCs w:val="24"/>
        </w:rPr>
        <w:t xml:space="preserve"> </w:t>
      </w:r>
      <w:r w:rsidRPr="00507C2E">
        <w:rPr>
          <w:rFonts w:ascii="Arial" w:hAnsi="Arial" w:cs="Arial"/>
          <w:sz w:val="24"/>
          <w:szCs w:val="24"/>
        </w:rPr>
        <w:t xml:space="preserve">for the year was </w:t>
      </w:r>
      <w:r>
        <w:rPr>
          <w:rFonts w:ascii="Arial" w:hAnsi="Arial" w:cs="Arial"/>
          <w:sz w:val="24"/>
          <w:szCs w:val="24"/>
        </w:rPr>
        <w:t>£10 million</w:t>
      </w:r>
      <w:r w:rsidRPr="00507C2E">
        <w:rPr>
          <w:rFonts w:ascii="Arial" w:hAnsi="Arial" w:cs="Arial"/>
          <w:sz w:val="24"/>
          <w:szCs w:val="24"/>
        </w:rPr>
        <w:t xml:space="preserve"> </w:t>
      </w:r>
      <w:r>
        <w:rPr>
          <w:rFonts w:ascii="Arial" w:hAnsi="Arial" w:cs="Arial"/>
          <w:sz w:val="24"/>
          <w:szCs w:val="24"/>
        </w:rPr>
        <w:t xml:space="preserve">higher reflecting a pensions interest charge on the </w:t>
      </w:r>
      <w:r w:rsidRPr="00687F39">
        <w:rPr>
          <w:rFonts w:ascii="Arial" w:hAnsi="Arial" w:cs="Arial"/>
          <w:sz w:val="24"/>
          <w:szCs w:val="24"/>
        </w:rPr>
        <w:t>defined benefit pension d</w:t>
      </w:r>
      <w:r>
        <w:rPr>
          <w:rFonts w:ascii="Arial" w:hAnsi="Arial" w:cs="Arial"/>
          <w:sz w:val="24"/>
          <w:szCs w:val="24"/>
        </w:rPr>
        <w:t>eficit at the start of the year</w:t>
      </w:r>
      <w:r w:rsidR="003C1CE9">
        <w:rPr>
          <w:rFonts w:ascii="Arial" w:hAnsi="Arial" w:cs="Arial"/>
          <w:sz w:val="24"/>
          <w:szCs w:val="24"/>
        </w:rPr>
        <w:t>.</w:t>
      </w:r>
    </w:p>
    <w:p w14:paraId="45707281" w14:textId="437A5B4F" w:rsidR="00104D21" w:rsidRDefault="00104D21" w:rsidP="00104D21">
      <w:pPr>
        <w:ind w:right="-368"/>
        <w:jc w:val="left"/>
        <w:rPr>
          <w:rFonts w:ascii="Arial" w:hAnsi="Arial" w:cs="Arial"/>
          <w:sz w:val="24"/>
          <w:szCs w:val="24"/>
        </w:rPr>
      </w:pPr>
      <w:r w:rsidRPr="00687F39">
        <w:rPr>
          <w:rFonts w:ascii="Arial" w:hAnsi="Arial" w:cs="Arial"/>
          <w:sz w:val="24"/>
          <w:szCs w:val="24"/>
        </w:rPr>
        <w:t xml:space="preserve"> </w:t>
      </w:r>
    </w:p>
    <w:p w14:paraId="05E589DF" w14:textId="77777777" w:rsidR="00104D21" w:rsidRDefault="00104D21" w:rsidP="00104D21">
      <w:pPr>
        <w:ind w:right="-368"/>
        <w:jc w:val="left"/>
        <w:rPr>
          <w:rFonts w:ascii="Arial" w:hAnsi="Arial" w:cs="Arial"/>
          <w:sz w:val="24"/>
          <w:szCs w:val="24"/>
        </w:rPr>
      </w:pPr>
    </w:p>
    <w:p w14:paraId="014FD298" w14:textId="1754F5C4" w:rsidR="00104D21" w:rsidRPr="00ED5938" w:rsidRDefault="00104D21" w:rsidP="00104D21">
      <w:pPr>
        <w:ind w:right="-368"/>
        <w:jc w:val="left"/>
        <w:rPr>
          <w:rFonts w:ascii="Arial" w:hAnsi="Arial" w:cs="Arial"/>
          <w:sz w:val="24"/>
          <w:szCs w:val="24"/>
        </w:rPr>
      </w:pPr>
      <w:r>
        <w:rPr>
          <w:rFonts w:ascii="Arial" w:hAnsi="Arial" w:cs="Arial"/>
          <w:sz w:val="24"/>
          <w:szCs w:val="24"/>
        </w:rPr>
        <w:lastRenderedPageBreak/>
        <w:t xml:space="preserve">During the year the Group sold its stake in Hornbach and </w:t>
      </w:r>
      <w:r w:rsidRPr="0008479A">
        <w:rPr>
          <w:rFonts w:ascii="Arial" w:hAnsi="Arial" w:cs="Arial"/>
          <w:sz w:val="24"/>
          <w:szCs w:val="24"/>
        </w:rPr>
        <w:t xml:space="preserve">for comparative purposes adjusted </w:t>
      </w:r>
      <w:r>
        <w:rPr>
          <w:rFonts w:ascii="Arial" w:hAnsi="Arial" w:cs="Arial"/>
          <w:sz w:val="24"/>
          <w:szCs w:val="24"/>
        </w:rPr>
        <w:t>pre-tax profit excludes their results (2013/14: Hornbach contributed £1</w:t>
      </w:r>
      <w:r w:rsidR="00782368">
        <w:rPr>
          <w:rFonts w:ascii="Arial" w:hAnsi="Arial" w:cs="Arial"/>
          <w:sz w:val="24"/>
          <w:szCs w:val="24"/>
        </w:rPr>
        <w:t>4</w:t>
      </w:r>
      <w:r w:rsidR="007C47AE">
        <w:rPr>
          <w:rFonts w:ascii="Arial" w:hAnsi="Arial" w:cs="Arial"/>
          <w:sz w:val="24"/>
          <w:szCs w:val="24"/>
        </w:rPr>
        <w:t xml:space="preserve"> </w:t>
      </w:r>
      <w:r>
        <w:rPr>
          <w:rFonts w:ascii="Arial" w:hAnsi="Arial" w:cs="Arial"/>
          <w:sz w:val="24"/>
          <w:szCs w:val="24"/>
        </w:rPr>
        <w:t>m</w:t>
      </w:r>
      <w:r w:rsidR="007C47AE">
        <w:rPr>
          <w:rFonts w:ascii="Arial" w:hAnsi="Arial" w:cs="Arial"/>
          <w:sz w:val="24"/>
          <w:szCs w:val="24"/>
        </w:rPr>
        <w:t>illion</w:t>
      </w:r>
      <w:r>
        <w:rPr>
          <w:rFonts w:ascii="Arial" w:hAnsi="Arial" w:cs="Arial"/>
          <w:sz w:val="24"/>
          <w:szCs w:val="24"/>
        </w:rPr>
        <w:t xml:space="preserve"> to pre-tax profit and 0.6p to earnings per share).   </w:t>
      </w:r>
    </w:p>
    <w:p w14:paraId="6E4EC42B" w14:textId="77777777" w:rsidR="00104D21" w:rsidRDefault="00104D21" w:rsidP="00104D21">
      <w:pPr>
        <w:rPr>
          <w:rFonts w:ascii="Arial" w:hAnsi="Arial" w:cs="Arial"/>
          <w:sz w:val="24"/>
          <w:szCs w:val="24"/>
        </w:rPr>
      </w:pPr>
    </w:p>
    <w:p w14:paraId="4FC58D03" w14:textId="246828B1" w:rsidR="00104D21" w:rsidRDefault="00104D21" w:rsidP="00104D21">
      <w:pPr>
        <w:jc w:val="left"/>
        <w:rPr>
          <w:rFonts w:ascii="Arial" w:hAnsi="Arial" w:cs="Arial"/>
          <w:sz w:val="24"/>
          <w:szCs w:val="24"/>
        </w:rPr>
      </w:pPr>
      <w:r w:rsidRPr="004A74A6">
        <w:rPr>
          <w:rFonts w:ascii="Arial" w:hAnsi="Arial" w:cs="Arial"/>
          <w:b/>
          <w:sz w:val="24"/>
          <w:szCs w:val="24"/>
        </w:rPr>
        <w:t>Statutory pre-tax profit</w:t>
      </w:r>
      <w:r>
        <w:rPr>
          <w:rFonts w:ascii="Arial" w:hAnsi="Arial" w:cs="Arial"/>
          <w:sz w:val="24"/>
          <w:szCs w:val="24"/>
        </w:rPr>
        <w:t xml:space="preserve">, which includes the impact of exceptional items </w:t>
      </w:r>
      <w:r w:rsidR="008073AF">
        <w:rPr>
          <w:rFonts w:ascii="Arial" w:hAnsi="Arial" w:cs="Arial"/>
          <w:sz w:val="24"/>
          <w:szCs w:val="24"/>
        </w:rPr>
        <w:t xml:space="preserve">before tax </w:t>
      </w:r>
      <w:r>
        <w:rPr>
          <w:rFonts w:ascii="Arial" w:hAnsi="Arial" w:cs="Arial"/>
          <w:sz w:val="24"/>
          <w:szCs w:val="24"/>
        </w:rPr>
        <w:t>and Hornbach</w:t>
      </w:r>
      <w:r w:rsidR="008073AF">
        <w:rPr>
          <w:rFonts w:ascii="Arial" w:hAnsi="Arial" w:cs="Arial"/>
          <w:sz w:val="24"/>
          <w:szCs w:val="24"/>
        </w:rPr>
        <w:t>’s results prior to disposal</w:t>
      </w:r>
      <w:r>
        <w:rPr>
          <w:rFonts w:ascii="Arial" w:hAnsi="Arial" w:cs="Arial"/>
          <w:sz w:val="24"/>
          <w:szCs w:val="24"/>
        </w:rPr>
        <w:t xml:space="preserve">, </w:t>
      </w:r>
      <w:r w:rsidRPr="0050210E">
        <w:rPr>
          <w:rFonts w:ascii="Arial" w:hAnsi="Arial" w:cs="Arial"/>
          <w:sz w:val="24"/>
          <w:szCs w:val="24"/>
        </w:rPr>
        <w:t xml:space="preserve">decreased by </w:t>
      </w:r>
      <w:r>
        <w:rPr>
          <w:rFonts w:ascii="Arial" w:hAnsi="Arial" w:cs="Arial"/>
          <w:sz w:val="24"/>
          <w:szCs w:val="24"/>
        </w:rPr>
        <w:t>15.2</w:t>
      </w:r>
      <w:r w:rsidRPr="0050210E">
        <w:rPr>
          <w:rFonts w:ascii="Arial" w:hAnsi="Arial" w:cs="Arial"/>
          <w:sz w:val="24"/>
          <w:szCs w:val="24"/>
        </w:rPr>
        <w:t>% to £</w:t>
      </w:r>
      <w:r w:rsidRPr="006720CD">
        <w:rPr>
          <w:rFonts w:ascii="Arial" w:hAnsi="Arial" w:cs="Arial"/>
          <w:sz w:val="24"/>
          <w:szCs w:val="24"/>
        </w:rPr>
        <w:t>644 million.</w:t>
      </w:r>
      <w:r>
        <w:rPr>
          <w:rFonts w:ascii="Arial" w:hAnsi="Arial" w:cs="Arial"/>
          <w:sz w:val="24"/>
          <w:szCs w:val="24"/>
        </w:rPr>
        <w:t xml:space="preserve"> </w:t>
      </w:r>
      <w:r w:rsidRPr="00C82F88">
        <w:rPr>
          <w:rFonts w:ascii="Arial" w:hAnsi="Arial" w:cs="Arial"/>
          <w:sz w:val="24"/>
          <w:szCs w:val="24"/>
        </w:rPr>
        <w:t xml:space="preserve">A reconciliation </w:t>
      </w:r>
      <w:r>
        <w:rPr>
          <w:rFonts w:ascii="Arial" w:hAnsi="Arial" w:cs="Arial"/>
          <w:sz w:val="24"/>
          <w:szCs w:val="24"/>
        </w:rPr>
        <w:t xml:space="preserve">from the adjusted basis to the statutory basis for pre-tax profit </w:t>
      </w:r>
      <w:r w:rsidRPr="00C82F88">
        <w:rPr>
          <w:rFonts w:ascii="Arial" w:hAnsi="Arial" w:cs="Arial"/>
          <w:sz w:val="24"/>
          <w:szCs w:val="24"/>
        </w:rPr>
        <w:t>is set out below:</w:t>
      </w:r>
    </w:p>
    <w:p w14:paraId="68BF7D9C" w14:textId="77777777" w:rsidR="00104D21" w:rsidRDefault="00104D21" w:rsidP="00104D21">
      <w:pPr>
        <w:jc w:val="left"/>
        <w:rPr>
          <w:rFonts w:ascii="Arial" w:hAnsi="Arial" w:cs="Arial"/>
          <w:sz w:val="24"/>
        </w:rPr>
      </w:pPr>
    </w:p>
    <w:tbl>
      <w:tblPr>
        <w:tblStyle w:val="TableGrid"/>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44"/>
        <w:gridCol w:w="1230"/>
        <w:gridCol w:w="1212"/>
        <w:gridCol w:w="1497"/>
      </w:tblGrid>
      <w:tr w:rsidR="00104D21" w:rsidRPr="00014F94" w14:paraId="38F52B8C" w14:textId="77777777" w:rsidTr="00104D21">
        <w:tc>
          <w:tcPr>
            <w:tcW w:w="2966" w:type="pct"/>
            <w:tcBorders>
              <w:bottom w:val="single" w:sz="4" w:space="0" w:color="auto"/>
            </w:tcBorders>
          </w:tcPr>
          <w:p w14:paraId="1542BB7E" w14:textId="77777777" w:rsidR="00104D21" w:rsidRPr="00014F94" w:rsidRDefault="00104D21" w:rsidP="00104D21">
            <w:pPr>
              <w:jc w:val="right"/>
              <w:rPr>
                <w:rFonts w:ascii="Arial" w:hAnsi="Arial" w:cs="Arial"/>
                <w:sz w:val="24"/>
                <w:szCs w:val="24"/>
              </w:rPr>
            </w:pPr>
          </w:p>
        </w:tc>
        <w:tc>
          <w:tcPr>
            <w:tcW w:w="635" w:type="pct"/>
            <w:tcBorders>
              <w:bottom w:val="single" w:sz="4" w:space="0" w:color="auto"/>
            </w:tcBorders>
          </w:tcPr>
          <w:p w14:paraId="3C1F80E1" w14:textId="77777777" w:rsidR="00104D21" w:rsidRPr="00FD6375" w:rsidRDefault="00104D21" w:rsidP="00104D21">
            <w:pPr>
              <w:jc w:val="right"/>
              <w:rPr>
                <w:rFonts w:ascii="Arial" w:hAnsi="Arial" w:cs="Arial"/>
                <w:b/>
                <w:sz w:val="24"/>
                <w:szCs w:val="24"/>
              </w:rPr>
            </w:pPr>
            <w:r>
              <w:rPr>
                <w:rFonts w:ascii="Arial" w:hAnsi="Arial" w:cs="Arial"/>
                <w:b/>
                <w:sz w:val="24"/>
                <w:szCs w:val="24"/>
              </w:rPr>
              <w:t>2014/15</w:t>
            </w:r>
          </w:p>
          <w:p w14:paraId="1FA002BE" w14:textId="77777777" w:rsidR="00104D21" w:rsidRPr="00477C40" w:rsidRDefault="00104D21" w:rsidP="00104D21">
            <w:pPr>
              <w:jc w:val="right"/>
              <w:rPr>
                <w:rFonts w:ascii="Arial" w:hAnsi="Arial" w:cs="Arial"/>
                <w:b/>
                <w:sz w:val="24"/>
                <w:szCs w:val="24"/>
              </w:rPr>
            </w:pPr>
            <w:r w:rsidRPr="00477C40">
              <w:rPr>
                <w:rFonts w:ascii="Arial" w:hAnsi="Arial" w:cs="Arial"/>
                <w:b/>
                <w:sz w:val="24"/>
                <w:szCs w:val="24"/>
              </w:rPr>
              <w:t>£m</w:t>
            </w:r>
          </w:p>
        </w:tc>
        <w:tc>
          <w:tcPr>
            <w:tcW w:w="626" w:type="pct"/>
            <w:tcBorders>
              <w:bottom w:val="single" w:sz="4" w:space="0" w:color="auto"/>
            </w:tcBorders>
          </w:tcPr>
          <w:p w14:paraId="5896060B" w14:textId="77777777" w:rsidR="00104D21" w:rsidRPr="00D71CD9" w:rsidRDefault="00104D21" w:rsidP="00104D21">
            <w:pPr>
              <w:jc w:val="right"/>
              <w:rPr>
                <w:rFonts w:ascii="Arial" w:hAnsi="Arial" w:cs="Arial"/>
                <w:sz w:val="24"/>
                <w:szCs w:val="24"/>
              </w:rPr>
            </w:pPr>
            <w:r w:rsidRPr="00D71CD9">
              <w:rPr>
                <w:rFonts w:ascii="Arial" w:hAnsi="Arial" w:cs="Arial"/>
                <w:sz w:val="24"/>
                <w:szCs w:val="24"/>
              </w:rPr>
              <w:t>201</w:t>
            </w:r>
            <w:r>
              <w:rPr>
                <w:rFonts w:ascii="Arial" w:hAnsi="Arial" w:cs="Arial"/>
                <w:sz w:val="24"/>
                <w:szCs w:val="24"/>
              </w:rPr>
              <w:t>3</w:t>
            </w:r>
            <w:r w:rsidRPr="00D71CD9">
              <w:rPr>
                <w:rFonts w:ascii="Arial" w:hAnsi="Arial" w:cs="Arial"/>
                <w:sz w:val="24"/>
                <w:szCs w:val="24"/>
              </w:rPr>
              <w:t>/1</w:t>
            </w:r>
            <w:r>
              <w:rPr>
                <w:rFonts w:ascii="Arial" w:hAnsi="Arial" w:cs="Arial"/>
                <w:sz w:val="24"/>
                <w:szCs w:val="24"/>
              </w:rPr>
              <w:t>4</w:t>
            </w:r>
          </w:p>
          <w:p w14:paraId="0E72B7BB" w14:textId="77777777" w:rsidR="00104D21" w:rsidRPr="00D71CD9" w:rsidRDefault="00104D21" w:rsidP="00104D21">
            <w:pPr>
              <w:jc w:val="right"/>
              <w:rPr>
                <w:rFonts w:ascii="Arial" w:hAnsi="Arial" w:cs="Arial"/>
                <w:sz w:val="24"/>
                <w:szCs w:val="24"/>
              </w:rPr>
            </w:pPr>
            <w:r w:rsidRPr="00D71CD9">
              <w:rPr>
                <w:rFonts w:ascii="Arial" w:hAnsi="Arial" w:cs="Arial"/>
                <w:sz w:val="24"/>
                <w:szCs w:val="24"/>
              </w:rPr>
              <w:t>£m</w:t>
            </w:r>
          </w:p>
        </w:tc>
        <w:tc>
          <w:tcPr>
            <w:tcW w:w="773" w:type="pct"/>
            <w:tcBorders>
              <w:bottom w:val="single" w:sz="4" w:space="0" w:color="auto"/>
            </w:tcBorders>
          </w:tcPr>
          <w:p w14:paraId="61FF2B57" w14:textId="77777777" w:rsidR="00104D21" w:rsidRDefault="00104D21" w:rsidP="00104D21">
            <w:pPr>
              <w:jc w:val="right"/>
              <w:rPr>
                <w:rFonts w:ascii="Arial" w:hAnsi="Arial" w:cs="Arial"/>
                <w:sz w:val="24"/>
                <w:szCs w:val="24"/>
              </w:rPr>
            </w:pPr>
          </w:p>
          <w:p w14:paraId="152EA178" w14:textId="77777777" w:rsidR="00104D21" w:rsidRPr="00014F94" w:rsidRDefault="00104D21" w:rsidP="00104D21">
            <w:pPr>
              <w:jc w:val="right"/>
              <w:rPr>
                <w:rFonts w:ascii="Arial" w:hAnsi="Arial" w:cs="Arial"/>
                <w:sz w:val="24"/>
                <w:szCs w:val="24"/>
              </w:rPr>
            </w:pPr>
            <w:r>
              <w:rPr>
                <w:rFonts w:ascii="Arial" w:hAnsi="Arial" w:cs="Arial"/>
                <w:sz w:val="24"/>
                <w:szCs w:val="24"/>
              </w:rPr>
              <w:t>Decrease</w:t>
            </w:r>
          </w:p>
        </w:tc>
      </w:tr>
      <w:tr w:rsidR="00104D21" w:rsidRPr="00014F94" w14:paraId="68500540" w14:textId="77777777" w:rsidTr="000E6C79">
        <w:tc>
          <w:tcPr>
            <w:tcW w:w="2966" w:type="pct"/>
            <w:tcBorders>
              <w:top w:val="single" w:sz="4" w:space="0" w:color="auto"/>
            </w:tcBorders>
          </w:tcPr>
          <w:p w14:paraId="4F5BB4EC" w14:textId="77777777" w:rsidR="00104D21" w:rsidRPr="00C82F88" w:rsidRDefault="00104D21" w:rsidP="00104D21">
            <w:pPr>
              <w:jc w:val="left"/>
              <w:rPr>
                <w:rFonts w:ascii="Arial" w:hAnsi="Arial" w:cs="Arial"/>
                <w:b/>
                <w:sz w:val="24"/>
                <w:szCs w:val="24"/>
              </w:rPr>
            </w:pPr>
            <w:r>
              <w:rPr>
                <w:rFonts w:ascii="Arial" w:hAnsi="Arial" w:cs="Arial"/>
                <w:b/>
                <w:sz w:val="24"/>
                <w:szCs w:val="24"/>
              </w:rPr>
              <w:t>Adjusted pre-tax profit</w:t>
            </w:r>
          </w:p>
        </w:tc>
        <w:tc>
          <w:tcPr>
            <w:tcW w:w="635" w:type="pct"/>
            <w:tcBorders>
              <w:top w:val="single" w:sz="4" w:space="0" w:color="auto"/>
            </w:tcBorders>
          </w:tcPr>
          <w:p w14:paraId="0C389E6D"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6</w:t>
            </w:r>
            <w:r>
              <w:rPr>
                <w:rFonts w:ascii="Arial" w:hAnsi="Arial" w:cs="Arial"/>
                <w:b/>
                <w:sz w:val="24"/>
                <w:szCs w:val="24"/>
              </w:rPr>
              <w:t>75</w:t>
            </w:r>
          </w:p>
        </w:tc>
        <w:tc>
          <w:tcPr>
            <w:tcW w:w="626" w:type="pct"/>
            <w:tcBorders>
              <w:top w:val="single" w:sz="4" w:space="0" w:color="auto"/>
            </w:tcBorders>
          </w:tcPr>
          <w:p w14:paraId="73226328" w14:textId="77777777" w:rsidR="00104D21" w:rsidRPr="006C2CB6" w:rsidRDefault="00104D21" w:rsidP="00104D21">
            <w:pPr>
              <w:jc w:val="right"/>
              <w:rPr>
                <w:rFonts w:ascii="Arial" w:hAnsi="Arial" w:cs="Arial"/>
                <w:sz w:val="24"/>
                <w:szCs w:val="24"/>
              </w:rPr>
            </w:pPr>
            <w:r w:rsidRPr="006C2CB6">
              <w:rPr>
                <w:rFonts w:ascii="Arial" w:hAnsi="Arial" w:cs="Arial"/>
                <w:sz w:val="24"/>
                <w:szCs w:val="24"/>
              </w:rPr>
              <w:t>7</w:t>
            </w:r>
            <w:r>
              <w:rPr>
                <w:rFonts w:ascii="Arial" w:hAnsi="Arial" w:cs="Arial"/>
                <w:sz w:val="24"/>
                <w:szCs w:val="24"/>
              </w:rPr>
              <w:t>30</w:t>
            </w:r>
          </w:p>
        </w:tc>
        <w:tc>
          <w:tcPr>
            <w:tcW w:w="773" w:type="pct"/>
            <w:tcBorders>
              <w:top w:val="single" w:sz="4" w:space="0" w:color="auto"/>
            </w:tcBorders>
            <w:vAlign w:val="bottom"/>
          </w:tcPr>
          <w:p w14:paraId="0942F224"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w:t>
            </w:r>
            <w:r>
              <w:rPr>
                <w:rFonts w:ascii="Arial" w:hAnsi="Arial" w:cs="Arial"/>
                <w:sz w:val="24"/>
                <w:szCs w:val="24"/>
              </w:rPr>
              <w:t>7.5</w:t>
            </w:r>
            <w:r w:rsidRPr="0050210E">
              <w:rPr>
                <w:rFonts w:ascii="Arial" w:hAnsi="Arial" w:cs="Arial"/>
                <w:sz w:val="24"/>
                <w:szCs w:val="24"/>
              </w:rPr>
              <w:t>)%</w:t>
            </w:r>
          </w:p>
        </w:tc>
      </w:tr>
      <w:tr w:rsidR="00104D21" w:rsidRPr="00014F94" w14:paraId="2A340319" w14:textId="77777777" w:rsidTr="00104D21">
        <w:tc>
          <w:tcPr>
            <w:tcW w:w="2966" w:type="pct"/>
          </w:tcPr>
          <w:p w14:paraId="60E64E9A" w14:textId="77777777" w:rsidR="00104D21" w:rsidRDefault="00104D21" w:rsidP="00104D21">
            <w:pPr>
              <w:jc w:val="left"/>
              <w:rPr>
                <w:rFonts w:ascii="Arial" w:hAnsi="Arial" w:cs="Arial"/>
                <w:b/>
                <w:sz w:val="24"/>
                <w:szCs w:val="24"/>
              </w:rPr>
            </w:pPr>
            <w:r>
              <w:rPr>
                <w:rFonts w:ascii="Arial" w:hAnsi="Arial" w:cs="Arial"/>
                <w:sz w:val="24"/>
                <w:szCs w:val="24"/>
              </w:rPr>
              <w:t>Share of Hornbach post-tax results</w:t>
            </w:r>
          </w:p>
        </w:tc>
        <w:tc>
          <w:tcPr>
            <w:tcW w:w="635" w:type="pct"/>
          </w:tcPr>
          <w:p w14:paraId="7E62486D"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w:t>
            </w:r>
          </w:p>
        </w:tc>
        <w:tc>
          <w:tcPr>
            <w:tcW w:w="626" w:type="pct"/>
          </w:tcPr>
          <w:p w14:paraId="1B817FAD" w14:textId="77777777" w:rsidR="00104D21" w:rsidRPr="006C2CB6" w:rsidRDefault="00104D21" w:rsidP="00104D21">
            <w:pPr>
              <w:jc w:val="right"/>
              <w:rPr>
                <w:rFonts w:ascii="Arial" w:hAnsi="Arial" w:cs="Arial"/>
                <w:sz w:val="24"/>
                <w:szCs w:val="24"/>
              </w:rPr>
            </w:pPr>
            <w:r w:rsidRPr="006C2CB6">
              <w:rPr>
                <w:rFonts w:ascii="Arial" w:hAnsi="Arial" w:cs="Arial"/>
                <w:sz w:val="24"/>
                <w:szCs w:val="24"/>
              </w:rPr>
              <w:t>14</w:t>
            </w:r>
          </w:p>
        </w:tc>
        <w:tc>
          <w:tcPr>
            <w:tcW w:w="773" w:type="pct"/>
            <w:vAlign w:val="bottom"/>
          </w:tcPr>
          <w:p w14:paraId="520BCFE9" w14:textId="77777777" w:rsidR="00104D21" w:rsidRPr="0050210E" w:rsidRDefault="00104D21" w:rsidP="00104D21">
            <w:pPr>
              <w:jc w:val="right"/>
              <w:rPr>
                <w:rFonts w:ascii="Arial" w:hAnsi="Arial" w:cs="Arial"/>
                <w:sz w:val="24"/>
                <w:szCs w:val="24"/>
              </w:rPr>
            </w:pPr>
          </w:p>
        </w:tc>
      </w:tr>
      <w:tr w:rsidR="00104D21" w:rsidRPr="00014F94" w14:paraId="2169A54D" w14:textId="77777777" w:rsidTr="00104D21">
        <w:tc>
          <w:tcPr>
            <w:tcW w:w="2966" w:type="pct"/>
            <w:tcBorders>
              <w:bottom w:val="single" w:sz="4" w:space="0" w:color="auto"/>
            </w:tcBorders>
          </w:tcPr>
          <w:p w14:paraId="2867ADAD" w14:textId="31651F5E" w:rsidR="00104D21" w:rsidRPr="00014F94" w:rsidRDefault="00104D21" w:rsidP="00104D21">
            <w:pPr>
              <w:jc w:val="left"/>
              <w:rPr>
                <w:rFonts w:ascii="Arial" w:hAnsi="Arial" w:cs="Arial"/>
                <w:sz w:val="24"/>
                <w:szCs w:val="24"/>
              </w:rPr>
            </w:pPr>
            <w:r w:rsidRPr="00014F94">
              <w:rPr>
                <w:rFonts w:ascii="Arial" w:hAnsi="Arial" w:cs="Arial"/>
                <w:sz w:val="24"/>
                <w:szCs w:val="24"/>
              </w:rPr>
              <w:t>Financing fair value remeasurements</w:t>
            </w:r>
            <w:r>
              <w:rPr>
                <w:rFonts w:ascii="Arial" w:hAnsi="Arial" w:cs="Arial"/>
                <w:sz w:val="24"/>
                <w:szCs w:val="24"/>
              </w:rPr>
              <w:t xml:space="preserve"> (FFVR)</w:t>
            </w:r>
          </w:p>
        </w:tc>
        <w:tc>
          <w:tcPr>
            <w:tcW w:w="635" w:type="pct"/>
            <w:tcBorders>
              <w:bottom w:val="single" w:sz="4" w:space="0" w:color="auto"/>
            </w:tcBorders>
          </w:tcPr>
          <w:p w14:paraId="2C7E864A"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4</w:t>
            </w:r>
          </w:p>
        </w:tc>
        <w:tc>
          <w:tcPr>
            <w:tcW w:w="626" w:type="pct"/>
            <w:tcBorders>
              <w:bottom w:val="single" w:sz="4" w:space="0" w:color="auto"/>
            </w:tcBorders>
          </w:tcPr>
          <w:p w14:paraId="0CF28074" w14:textId="77777777" w:rsidR="00104D21" w:rsidRPr="006C2CB6" w:rsidRDefault="00104D21" w:rsidP="00104D21">
            <w:pPr>
              <w:jc w:val="right"/>
              <w:rPr>
                <w:rFonts w:ascii="Arial" w:hAnsi="Arial" w:cs="Arial"/>
                <w:sz w:val="24"/>
                <w:szCs w:val="24"/>
              </w:rPr>
            </w:pPr>
            <w:r>
              <w:rPr>
                <w:rFonts w:ascii="Arial" w:hAnsi="Arial" w:cs="Arial"/>
                <w:sz w:val="24"/>
                <w:szCs w:val="24"/>
              </w:rPr>
              <w:t>(</w:t>
            </w:r>
            <w:r w:rsidRPr="006C2CB6">
              <w:rPr>
                <w:rFonts w:ascii="Arial" w:hAnsi="Arial" w:cs="Arial"/>
                <w:sz w:val="24"/>
                <w:szCs w:val="24"/>
              </w:rPr>
              <w:t>2</w:t>
            </w:r>
            <w:r>
              <w:rPr>
                <w:rFonts w:ascii="Arial" w:hAnsi="Arial" w:cs="Arial"/>
                <w:sz w:val="24"/>
                <w:szCs w:val="24"/>
              </w:rPr>
              <w:t>)</w:t>
            </w:r>
          </w:p>
        </w:tc>
        <w:tc>
          <w:tcPr>
            <w:tcW w:w="773" w:type="pct"/>
            <w:tcBorders>
              <w:bottom w:val="single" w:sz="4" w:space="0" w:color="auto"/>
            </w:tcBorders>
            <w:vAlign w:val="bottom"/>
          </w:tcPr>
          <w:p w14:paraId="4E36A520" w14:textId="77777777" w:rsidR="00104D21" w:rsidRPr="0050210E" w:rsidRDefault="00104D21" w:rsidP="00104D21">
            <w:pPr>
              <w:jc w:val="right"/>
              <w:rPr>
                <w:rFonts w:ascii="Arial" w:hAnsi="Arial" w:cs="Arial"/>
                <w:sz w:val="24"/>
                <w:szCs w:val="24"/>
              </w:rPr>
            </w:pPr>
          </w:p>
        </w:tc>
      </w:tr>
      <w:tr w:rsidR="00104D21" w:rsidRPr="00014F94" w14:paraId="3FDBCE8A" w14:textId="77777777" w:rsidTr="00104D21">
        <w:tc>
          <w:tcPr>
            <w:tcW w:w="2966" w:type="pct"/>
            <w:tcBorders>
              <w:top w:val="single" w:sz="4" w:space="0" w:color="auto"/>
            </w:tcBorders>
          </w:tcPr>
          <w:p w14:paraId="6CF74B4B" w14:textId="77777777" w:rsidR="00104D21" w:rsidRPr="00014F94" w:rsidRDefault="00104D21" w:rsidP="00104D21">
            <w:pPr>
              <w:jc w:val="left"/>
              <w:rPr>
                <w:rFonts w:ascii="Arial" w:hAnsi="Arial" w:cs="Arial"/>
                <w:sz w:val="24"/>
                <w:szCs w:val="24"/>
              </w:rPr>
            </w:pPr>
            <w:r>
              <w:rPr>
                <w:rFonts w:ascii="Arial" w:hAnsi="Arial" w:cs="Arial"/>
                <w:sz w:val="24"/>
                <w:szCs w:val="24"/>
              </w:rPr>
              <w:t>Profit before exceptional items and taxation</w:t>
            </w:r>
          </w:p>
        </w:tc>
        <w:tc>
          <w:tcPr>
            <w:tcW w:w="635" w:type="pct"/>
            <w:tcBorders>
              <w:top w:val="single" w:sz="4" w:space="0" w:color="auto"/>
            </w:tcBorders>
          </w:tcPr>
          <w:p w14:paraId="661071A8" w14:textId="77777777" w:rsidR="00104D21" w:rsidRPr="0050210E" w:rsidRDefault="00104D21" w:rsidP="00104D21">
            <w:pPr>
              <w:jc w:val="right"/>
              <w:rPr>
                <w:rFonts w:ascii="Arial" w:hAnsi="Arial" w:cs="Arial"/>
                <w:b/>
                <w:sz w:val="24"/>
                <w:szCs w:val="24"/>
              </w:rPr>
            </w:pPr>
            <w:r>
              <w:rPr>
                <w:rFonts w:ascii="Arial" w:hAnsi="Arial" w:cs="Arial"/>
                <w:b/>
                <w:sz w:val="24"/>
                <w:szCs w:val="24"/>
              </w:rPr>
              <w:t>679</w:t>
            </w:r>
          </w:p>
        </w:tc>
        <w:tc>
          <w:tcPr>
            <w:tcW w:w="626" w:type="pct"/>
            <w:tcBorders>
              <w:top w:val="single" w:sz="4" w:space="0" w:color="auto"/>
            </w:tcBorders>
          </w:tcPr>
          <w:p w14:paraId="1FE52C26" w14:textId="77777777" w:rsidR="00104D21" w:rsidRPr="006C2CB6" w:rsidRDefault="00104D21" w:rsidP="00104D21">
            <w:pPr>
              <w:jc w:val="right"/>
              <w:rPr>
                <w:rFonts w:ascii="Arial" w:hAnsi="Arial" w:cs="Arial"/>
                <w:sz w:val="24"/>
                <w:szCs w:val="24"/>
              </w:rPr>
            </w:pPr>
            <w:r>
              <w:rPr>
                <w:rFonts w:ascii="Arial" w:hAnsi="Arial" w:cs="Arial"/>
                <w:sz w:val="24"/>
                <w:szCs w:val="24"/>
              </w:rPr>
              <w:t>742</w:t>
            </w:r>
          </w:p>
        </w:tc>
        <w:tc>
          <w:tcPr>
            <w:tcW w:w="773" w:type="pct"/>
            <w:tcBorders>
              <w:top w:val="single" w:sz="4" w:space="0" w:color="auto"/>
            </w:tcBorders>
            <w:vAlign w:val="bottom"/>
          </w:tcPr>
          <w:p w14:paraId="35DB79C8" w14:textId="77777777" w:rsidR="00104D21" w:rsidRPr="0050210E" w:rsidRDefault="00104D21" w:rsidP="00104D21">
            <w:pPr>
              <w:jc w:val="right"/>
              <w:rPr>
                <w:rFonts w:ascii="Arial" w:hAnsi="Arial" w:cs="Arial"/>
                <w:sz w:val="24"/>
                <w:szCs w:val="24"/>
              </w:rPr>
            </w:pPr>
            <w:r>
              <w:rPr>
                <w:rFonts w:ascii="Arial" w:hAnsi="Arial" w:cs="Arial"/>
                <w:sz w:val="24"/>
                <w:szCs w:val="24"/>
              </w:rPr>
              <w:t>(8.5%)</w:t>
            </w:r>
          </w:p>
        </w:tc>
      </w:tr>
      <w:tr w:rsidR="00104D21" w:rsidRPr="00014F94" w14:paraId="3D79E4AD" w14:textId="77777777" w:rsidTr="00104D21">
        <w:tc>
          <w:tcPr>
            <w:tcW w:w="2966" w:type="pct"/>
            <w:tcBorders>
              <w:bottom w:val="single" w:sz="4" w:space="0" w:color="auto"/>
            </w:tcBorders>
          </w:tcPr>
          <w:p w14:paraId="6E8F58A6" w14:textId="77777777" w:rsidR="00104D21" w:rsidRPr="00014F94" w:rsidRDefault="00104D21" w:rsidP="00104D21">
            <w:pPr>
              <w:jc w:val="left"/>
              <w:rPr>
                <w:rFonts w:ascii="Arial" w:hAnsi="Arial" w:cs="Arial"/>
                <w:sz w:val="24"/>
                <w:szCs w:val="24"/>
              </w:rPr>
            </w:pPr>
            <w:r w:rsidRPr="00014F94">
              <w:rPr>
                <w:rFonts w:ascii="Arial" w:hAnsi="Arial" w:cs="Arial"/>
                <w:sz w:val="24"/>
                <w:szCs w:val="24"/>
              </w:rPr>
              <w:t>Exceptional items</w:t>
            </w:r>
            <w:r>
              <w:rPr>
                <w:rFonts w:ascii="Arial" w:hAnsi="Arial" w:cs="Arial"/>
                <w:sz w:val="24"/>
                <w:szCs w:val="24"/>
              </w:rPr>
              <w:t xml:space="preserve"> before tax</w:t>
            </w:r>
          </w:p>
        </w:tc>
        <w:tc>
          <w:tcPr>
            <w:tcW w:w="635" w:type="pct"/>
            <w:tcBorders>
              <w:bottom w:val="single" w:sz="4" w:space="0" w:color="auto"/>
            </w:tcBorders>
          </w:tcPr>
          <w:p w14:paraId="0C48D451" w14:textId="77777777" w:rsidR="00104D21" w:rsidRPr="0050210E" w:rsidRDefault="00104D21" w:rsidP="00104D21">
            <w:pPr>
              <w:jc w:val="right"/>
              <w:rPr>
                <w:rFonts w:ascii="Arial" w:hAnsi="Arial" w:cs="Arial"/>
                <w:b/>
                <w:sz w:val="24"/>
                <w:szCs w:val="24"/>
              </w:rPr>
            </w:pPr>
            <w:r>
              <w:rPr>
                <w:rFonts w:ascii="Arial" w:hAnsi="Arial" w:cs="Arial"/>
                <w:b/>
                <w:sz w:val="24"/>
                <w:szCs w:val="24"/>
              </w:rPr>
              <w:t>(</w:t>
            </w:r>
            <w:r w:rsidRPr="0050210E">
              <w:rPr>
                <w:rFonts w:ascii="Arial" w:hAnsi="Arial" w:cs="Arial"/>
                <w:b/>
                <w:sz w:val="24"/>
                <w:szCs w:val="24"/>
              </w:rPr>
              <w:t>35</w:t>
            </w:r>
            <w:r>
              <w:rPr>
                <w:rFonts w:ascii="Arial" w:hAnsi="Arial" w:cs="Arial"/>
                <w:b/>
                <w:sz w:val="24"/>
                <w:szCs w:val="24"/>
              </w:rPr>
              <w:t>)</w:t>
            </w:r>
          </w:p>
        </w:tc>
        <w:tc>
          <w:tcPr>
            <w:tcW w:w="626" w:type="pct"/>
            <w:tcBorders>
              <w:bottom w:val="single" w:sz="4" w:space="0" w:color="auto"/>
            </w:tcBorders>
          </w:tcPr>
          <w:p w14:paraId="6105CC37" w14:textId="77777777" w:rsidR="00104D21" w:rsidRPr="006C2CB6" w:rsidRDefault="00104D21" w:rsidP="00104D21">
            <w:pPr>
              <w:jc w:val="right"/>
              <w:rPr>
                <w:rFonts w:ascii="Arial" w:hAnsi="Arial" w:cs="Arial"/>
                <w:sz w:val="24"/>
                <w:szCs w:val="24"/>
              </w:rPr>
            </w:pPr>
            <w:r w:rsidRPr="006C2CB6">
              <w:rPr>
                <w:rFonts w:ascii="Arial" w:hAnsi="Arial" w:cs="Arial"/>
                <w:sz w:val="24"/>
                <w:szCs w:val="24"/>
              </w:rPr>
              <w:t>17</w:t>
            </w:r>
          </w:p>
        </w:tc>
        <w:tc>
          <w:tcPr>
            <w:tcW w:w="773" w:type="pct"/>
            <w:tcBorders>
              <w:bottom w:val="single" w:sz="4" w:space="0" w:color="auto"/>
            </w:tcBorders>
            <w:vAlign w:val="bottom"/>
          </w:tcPr>
          <w:p w14:paraId="36783AF0" w14:textId="77777777" w:rsidR="00104D21" w:rsidRPr="0050210E" w:rsidRDefault="00104D21" w:rsidP="00104D21">
            <w:pPr>
              <w:jc w:val="right"/>
              <w:rPr>
                <w:rFonts w:ascii="Arial" w:hAnsi="Arial" w:cs="Arial"/>
                <w:sz w:val="24"/>
                <w:szCs w:val="24"/>
              </w:rPr>
            </w:pPr>
          </w:p>
        </w:tc>
      </w:tr>
      <w:tr w:rsidR="00104D21" w:rsidRPr="00014F94" w14:paraId="18780681" w14:textId="77777777" w:rsidTr="00104D21">
        <w:tc>
          <w:tcPr>
            <w:tcW w:w="2966" w:type="pct"/>
            <w:tcBorders>
              <w:top w:val="single" w:sz="4" w:space="0" w:color="auto"/>
              <w:bottom w:val="single" w:sz="4" w:space="0" w:color="auto"/>
            </w:tcBorders>
          </w:tcPr>
          <w:p w14:paraId="08469260" w14:textId="77777777" w:rsidR="00104D21" w:rsidRPr="00C82F88" w:rsidRDefault="00104D21" w:rsidP="00104D21">
            <w:pPr>
              <w:jc w:val="left"/>
              <w:rPr>
                <w:rFonts w:ascii="Arial" w:hAnsi="Arial" w:cs="Arial"/>
                <w:b/>
                <w:sz w:val="24"/>
                <w:szCs w:val="24"/>
              </w:rPr>
            </w:pPr>
            <w:r>
              <w:rPr>
                <w:rFonts w:ascii="Arial" w:hAnsi="Arial" w:cs="Arial"/>
                <w:b/>
                <w:sz w:val="24"/>
                <w:szCs w:val="24"/>
              </w:rPr>
              <w:t>Statutory pre-tax profit</w:t>
            </w:r>
          </w:p>
        </w:tc>
        <w:tc>
          <w:tcPr>
            <w:tcW w:w="635" w:type="pct"/>
            <w:tcBorders>
              <w:top w:val="single" w:sz="4" w:space="0" w:color="auto"/>
              <w:bottom w:val="single" w:sz="4" w:space="0" w:color="auto"/>
            </w:tcBorders>
          </w:tcPr>
          <w:p w14:paraId="166A11F8"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6</w:t>
            </w:r>
            <w:r>
              <w:rPr>
                <w:rFonts w:ascii="Arial" w:hAnsi="Arial" w:cs="Arial"/>
                <w:b/>
                <w:sz w:val="24"/>
                <w:szCs w:val="24"/>
              </w:rPr>
              <w:t>44</w:t>
            </w:r>
          </w:p>
        </w:tc>
        <w:tc>
          <w:tcPr>
            <w:tcW w:w="626" w:type="pct"/>
            <w:tcBorders>
              <w:top w:val="single" w:sz="4" w:space="0" w:color="auto"/>
              <w:bottom w:val="single" w:sz="4" w:space="0" w:color="auto"/>
            </w:tcBorders>
          </w:tcPr>
          <w:p w14:paraId="7E400732" w14:textId="77777777" w:rsidR="00104D21" w:rsidRPr="006C2CB6" w:rsidRDefault="00104D21" w:rsidP="00104D21">
            <w:pPr>
              <w:jc w:val="right"/>
              <w:rPr>
                <w:rFonts w:ascii="Arial" w:hAnsi="Arial" w:cs="Arial"/>
                <w:sz w:val="24"/>
                <w:szCs w:val="24"/>
              </w:rPr>
            </w:pPr>
            <w:r w:rsidRPr="0050210E">
              <w:rPr>
                <w:rFonts w:ascii="Arial" w:hAnsi="Arial" w:cs="Arial"/>
                <w:sz w:val="24"/>
                <w:szCs w:val="24"/>
              </w:rPr>
              <w:t>7</w:t>
            </w:r>
            <w:r>
              <w:rPr>
                <w:rFonts w:ascii="Arial" w:hAnsi="Arial" w:cs="Arial"/>
                <w:sz w:val="24"/>
                <w:szCs w:val="24"/>
              </w:rPr>
              <w:t>59</w:t>
            </w:r>
          </w:p>
        </w:tc>
        <w:tc>
          <w:tcPr>
            <w:tcW w:w="773" w:type="pct"/>
            <w:tcBorders>
              <w:top w:val="single" w:sz="4" w:space="0" w:color="auto"/>
              <w:bottom w:val="single" w:sz="4" w:space="0" w:color="auto"/>
            </w:tcBorders>
            <w:vAlign w:val="bottom"/>
          </w:tcPr>
          <w:p w14:paraId="7960FA87"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w:t>
            </w:r>
            <w:r>
              <w:rPr>
                <w:rFonts w:ascii="Arial" w:hAnsi="Arial" w:cs="Arial"/>
                <w:sz w:val="24"/>
                <w:szCs w:val="24"/>
              </w:rPr>
              <w:t>15.2</w:t>
            </w:r>
            <w:r w:rsidRPr="0050210E">
              <w:rPr>
                <w:rFonts w:ascii="Arial" w:hAnsi="Arial" w:cs="Arial"/>
                <w:sz w:val="24"/>
                <w:szCs w:val="24"/>
              </w:rPr>
              <w:t>)%</w:t>
            </w:r>
          </w:p>
        </w:tc>
      </w:tr>
    </w:tbl>
    <w:p w14:paraId="4F9E4746" w14:textId="77777777" w:rsidR="00104D21" w:rsidRDefault="00104D21" w:rsidP="00104D21">
      <w:pPr>
        <w:rPr>
          <w:rFonts w:ascii="Arial" w:hAnsi="Arial" w:cs="Arial"/>
          <w:sz w:val="24"/>
          <w:szCs w:val="24"/>
        </w:rPr>
      </w:pPr>
    </w:p>
    <w:p w14:paraId="06211C0E" w14:textId="77777777" w:rsidR="00104D21" w:rsidRPr="0050210E" w:rsidRDefault="00104D21" w:rsidP="00104D21">
      <w:pPr>
        <w:rPr>
          <w:rFonts w:ascii="Arial" w:hAnsi="Arial" w:cs="Arial"/>
          <w:sz w:val="24"/>
          <w:szCs w:val="24"/>
        </w:rPr>
      </w:pPr>
    </w:p>
    <w:p w14:paraId="45CC1120" w14:textId="4AEDCBBE" w:rsidR="00104D21" w:rsidRDefault="00104D21" w:rsidP="00506D26">
      <w:pPr>
        <w:rPr>
          <w:rFonts w:ascii="Arial" w:hAnsi="Arial" w:cs="Arial"/>
          <w:b/>
          <w:sz w:val="24"/>
          <w:szCs w:val="24"/>
        </w:rPr>
      </w:pPr>
      <w:r w:rsidRPr="004104B0">
        <w:rPr>
          <w:rFonts w:ascii="Arial" w:hAnsi="Arial" w:cs="Arial"/>
          <w:b/>
          <w:sz w:val="24"/>
          <w:szCs w:val="24"/>
        </w:rPr>
        <w:t>Exceptional items</w:t>
      </w:r>
      <w:r>
        <w:rPr>
          <w:rFonts w:ascii="Arial" w:hAnsi="Arial" w:cs="Arial"/>
          <w:b/>
          <w:sz w:val="24"/>
          <w:szCs w:val="24"/>
        </w:rPr>
        <w:t xml:space="preserve"> </w:t>
      </w:r>
      <w:r w:rsidR="008073AF">
        <w:rPr>
          <w:rFonts w:ascii="Arial" w:hAnsi="Arial" w:cs="Arial"/>
          <w:b/>
          <w:sz w:val="24"/>
          <w:szCs w:val="24"/>
        </w:rPr>
        <w:t xml:space="preserve">(post tax) </w:t>
      </w:r>
      <w:r w:rsidRPr="004A74A6">
        <w:rPr>
          <w:rFonts w:ascii="Arial" w:hAnsi="Arial" w:cs="Arial"/>
          <w:sz w:val="24"/>
          <w:szCs w:val="24"/>
        </w:rPr>
        <w:t xml:space="preserve">were </w:t>
      </w:r>
      <w:r>
        <w:rPr>
          <w:rFonts w:ascii="Arial" w:hAnsi="Arial" w:cs="Arial"/>
          <w:sz w:val="24"/>
          <w:szCs w:val="24"/>
        </w:rPr>
        <w:t xml:space="preserve">a credit </w:t>
      </w:r>
      <w:r w:rsidRPr="004A74A6">
        <w:rPr>
          <w:rFonts w:ascii="Arial" w:hAnsi="Arial" w:cs="Arial"/>
          <w:sz w:val="24"/>
          <w:szCs w:val="24"/>
        </w:rPr>
        <w:t xml:space="preserve">of </w:t>
      </w:r>
      <w:r w:rsidRPr="00F95DCF">
        <w:rPr>
          <w:rFonts w:ascii="Arial" w:hAnsi="Arial" w:cs="Arial"/>
          <w:sz w:val="24"/>
          <w:szCs w:val="24"/>
        </w:rPr>
        <w:t>£71 million</w:t>
      </w:r>
      <w:r>
        <w:rPr>
          <w:rFonts w:ascii="Arial" w:hAnsi="Arial" w:cs="Arial"/>
          <w:sz w:val="24"/>
          <w:szCs w:val="24"/>
        </w:rPr>
        <w:t xml:space="preserve"> </w:t>
      </w:r>
      <w:r w:rsidRPr="00AF390B">
        <w:rPr>
          <w:rFonts w:ascii="Arial" w:hAnsi="Arial" w:cs="Arial"/>
          <w:sz w:val="24"/>
          <w:szCs w:val="24"/>
        </w:rPr>
        <w:t>(20</w:t>
      </w:r>
      <w:r>
        <w:rPr>
          <w:rFonts w:ascii="Arial" w:hAnsi="Arial" w:cs="Arial"/>
          <w:sz w:val="24"/>
          <w:szCs w:val="24"/>
        </w:rPr>
        <w:t>13</w:t>
      </w:r>
      <w:r w:rsidRPr="00C82F88">
        <w:rPr>
          <w:rFonts w:ascii="Arial" w:hAnsi="Arial" w:cs="Arial"/>
          <w:sz w:val="24"/>
          <w:szCs w:val="24"/>
        </w:rPr>
        <w:t>/1</w:t>
      </w:r>
      <w:r>
        <w:rPr>
          <w:rFonts w:ascii="Arial" w:hAnsi="Arial" w:cs="Arial"/>
          <w:sz w:val="24"/>
          <w:szCs w:val="24"/>
        </w:rPr>
        <w:t>4</w:t>
      </w:r>
      <w:r w:rsidRPr="00C82F88">
        <w:rPr>
          <w:rFonts w:ascii="Arial" w:hAnsi="Arial" w:cs="Arial"/>
          <w:sz w:val="24"/>
          <w:szCs w:val="24"/>
        </w:rPr>
        <w:t>: £</w:t>
      </w:r>
      <w:r>
        <w:rPr>
          <w:rFonts w:ascii="Arial" w:hAnsi="Arial" w:cs="Arial"/>
          <w:sz w:val="24"/>
          <w:szCs w:val="24"/>
        </w:rPr>
        <w:t>131</w:t>
      </w:r>
      <w:r w:rsidRPr="00C82F88">
        <w:rPr>
          <w:rFonts w:ascii="Arial" w:hAnsi="Arial" w:cs="Arial"/>
          <w:sz w:val="24"/>
          <w:szCs w:val="24"/>
        </w:rPr>
        <w:t xml:space="preserve"> million </w:t>
      </w:r>
      <w:r>
        <w:rPr>
          <w:rFonts w:ascii="Arial" w:hAnsi="Arial" w:cs="Arial"/>
          <w:sz w:val="24"/>
          <w:szCs w:val="24"/>
        </w:rPr>
        <w:t xml:space="preserve">credit) as detailed below:  </w:t>
      </w:r>
    </w:p>
    <w:tbl>
      <w:tblPr>
        <w:tblW w:w="5001" w:type="pct"/>
        <w:tblLayout w:type="fixed"/>
        <w:tblLook w:val="04A0" w:firstRow="1" w:lastRow="0" w:firstColumn="1" w:lastColumn="0" w:noHBand="0" w:noVBand="1"/>
      </w:tblPr>
      <w:tblGrid>
        <w:gridCol w:w="5003"/>
        <w:gridCol w:w="2868"/>
        <w:gridCol w:w="1772"/>
      </w:tblGrid>
      <w:tr w:rsidR="00104D21" w14:paraId="4A13FCA1" w14:textId="77777777" w:rsidTr="00104D21">
        <w:trPr>
          <w:trHeight w:val="525"/>
        </w:trPr>
        <w:tc>
          <w:tcPr>
            <w:tcW w:w="2594" w:type="pct"/>
            <w:tcBorders>
              <w:top w:val="nil"/>
              <w:left w:val="nil"/>
              <w:bottom w:val="single" w:sz="4" w:space="0" w:color="auto"/>
              <w:right w:val="nil"/>
            </w:tcBorders>
            <w:vAlign w:val="bottom"/>
          </w:tcPr>
          <w:p w14:paraId="40B9CE1E" w14:textId="77777777" w:rsidR="00104D21" w:rsidRDefault="00104D21" w:rsidP="00104D21">
            <w:pPr>
              <w:jc w:val="left"/>
              <w:rPr>
                <w:rFonts w:ascii="Arial" w:hAnsi="Arial" w:cs="Arial"/>
                <w:bCs/>
                <w:sz w:val="24"/>
                <w:szCs w:val="24"/>
              </w:rPr>
            </w:pPr>
          </w:p>
        </w:tc>
        <w:tc>
          <w:tcPr>
            <w:tcW w:w="1487" w:type="pct"/>
            <w:tcBorders>
              <w:top w:val="nil"/>
              <w:left w:val="nil"/>
              <w:bottom w:val="single" w:sz="4" w:space="0" w:color="auto"/>
              <w:right w:val="nil"/>
            </w:tcBorders>
            <w:vAlign w:val="bottom"/>
            <w:hideMark/>
          </w:tcPr>
          <w:p w14:paraId="33253868" w14:textId="77777777" w:rsidR="00104D21" w:rsidRDefault="00104D21" w:rsidP="00104D21">
            <w:pPr>
              <w:jc w:val="right"/>
              <w:rPr>
                <w:rFonts w:ascii="Arial" w:hAnsi="Arial" w:cs="Arial"/>
                <w:b/>
                <w:bCs/>
                <w:sz w:val="24"/>
                <w:szCs w:val="24"/>
              </w:rPr>
            </w:pPr>
            <w:r>
              <w:rPr>
                <w:rFonts w:ascii="Arial" w:hAnsi="Arial" w:cs="Arial"/>
                <w:b/>
                <w:bCs/>
                <w:sz w:val="24"/>
                <w:szCs w:val="24"/>
              </w:rPr>
              <w:t>2014/15</w:t>
            </w:r>
          </w:p>
          <w:p w14:paraId="35F1A9A6" w14:textId="77777777" w:rsidR="00104D21" w:rsidRDefault="00104D21" w:rsidP="00104D21">
            <w:pPr>
              <w:jc w:val="right"/>
              <w:rPr>
                <w:rFonts w:ascii="Arial" w:hAnsi="Arial" w:cs="Arial"/>
                <w:b/>
                <w:bCs/>
                <w:sz w:val="24"/>
                <w:szCs w:val="24"/>
              </w:rPr>
            </w:pPr>
            <w:r>
              <w:rPr>
                <w:rFonts w:ascii="Arial" w:hAnsi="Arial" w:cs="Arial"/>
                <w:b/>
                <w:bCs/>
                <w:sz w:val="24"/>
                <w:szCs w:val="24"/>
              </w:rPr>
              <w:t>£m</w:t>
            </w:r>
          </w:p>
          <w:p w14:paraId="1306242B" w14:textId="77777777" w:rsidR="00104D21" w:rsidRDefault="00104D21" w:rsidP="00104D21">
            <w:pPr>
              <w:jc w:val="right"/>
              <w:rPr>
                <w:rFonts w:ascii="Arial" w:hAnsi="Arial" w:cs="Arial"/>
                <w:b/>
                <w:bCs/>
                <w:sz w:val="24"/>
                <w:szCs w:val="24"/>
              </w:rPr>
            </w:pPr>
            <w:r>
              <w:rPr>
                <w:rFonts w:ascii="Arial" w:hAnsi="Arial" w:cs="Arial"/>
                <w:b/>
                <w:bCs/>
                <w:sz w:val="24"/>
                <w:szCs w:val="24"/>
              </w:rPr>
              <w:t>(Charge)/gain</w:t>
            </w:r>
          </w:p>
        </w:tc>
        <w:tc>
          <w:tcPr>
            <w:tcW w:w="919" w:type="pct"/>
            <w:tcBorders>
              <w:top w:val="nil"/>
              <w:left w:val="nil"/>
              <w:bottom w:val="single" w:sz="4" w:space="0" w:color="auto"/>
              <w:right w:val="nil"/>
            </w:tcBorders>
            <w:vAlign w:val="bottom"/>
            <w:hideMark/>
          </w:tcPr>
          <w:p w14:paraId="6DA63772" w14:textId="77777777" w:rsidR="00104D21" w:rsidRDefault="00104D21" w:rsidP="00104D21">
            <w:pPr>
              <w:jc w:val="right"/>
              <w:rPr>
                <w:rFonts w:ascii="Arial" w:hAnsi="Arial" w:cs="Arial"/>
                <w:bCs/>
                <w:sz w:val="24"/>
                <w:szCs w:val="24"/>
              </w:rPr>
            </w:pPr>
            <w:r>
              <w:rPr>
                <w:rFonts w:ascii="Arial" w:hAnsi="Arial" w:cs="Arial"/>
                <w:bCs/>
                <w:sz w:val="24"/>
                <w:szCs w:val="24"/>
              </w:rPr>
              <w:t xml:space="preserve">2013/14 </w:t>
            </w:r>
          </w:p>
          <w:p w14:paraId="1CAA089A" w14:textId="77777777" w:rsidR="00104D21" w:rsidRDefault="00104D21" w:rsidP="00104D21">
            <w:pPr>
              <w:jc w:val="right"/>
              <w:rPr>
                <w:rFonts w:ascii="Arial" w:hAnsi="Arial" w:cs="Arial"/>
                <w:bCs/>
                <w:sz w:val="24"/>
                <w:szCs w:val="24"/>
              </w:rPr>
            </w:pPr>
            <w:r>
              <w:rPr>
                <w:rFonts w:ascii="Arial" w:hAnsi="Arial" w:cs="Arial"/>
                <w:bCs/>
                <w:sz w:val="24"/>
                <w:szCs w:val="24"/>
              </w:rPr>
              <w:t>£m</w:t>
            </w:r>
          </w:p>
          <w:p w14:paraId="4218BCE9" w14:textId="1FAE0FC4" w:rsidR="00104D21" w:rsidRPr="007C47AE" w:rsidRDefault="007C47AE" w:rsidP="00104D21">
            <w:pPr>
              <w:jc w:val="right"/>
              <w:rPr>
                <w:rFonts w:ascii="Arial" w:hAnsi="Arial" w:cs="Arial"/>
                <w:bCs/>
                <w:sz w:val="24"/>
                <w:szCs w:val="24"/>
              </w:rPr>
            </w:pPr>
            <w:r w:rsidRPr="00506D26">
              <w:rPr>
                <w:rFonts w:ascii="Arial" w:hAnsi="Arial" w:cs="Arial"/>
                <w:bCs/>
                <w:sz w:val="24"/>
                <w:szCs w:val="24"/>
              </w:rPr>
              <w:t>(Charge)/gain</w:t>
            </w:r>
          </w:p>
        </w:tc>
      </w:tr>
      <w:tr w:rsidR="00104D21" w14:paraId="3E58B726" w14:textId="77777777" w:rsidTr="00104D21">
        <w:trPr>
          <w:trHeight w:val="254"/>
        </w:trPr>
        <w:tc>
          <w:tcPr>
            <w:tcW w:w="2594" w:type="pct"/>
            <w:vAlign w:val="bottom"/>
            <w:hideMark/>
          </w:tcPr>
          <w:p w14:paraId="7BCF78FD" w14:textId="739FA093" w:rsidR="00104D21" w:rsidRDefault="00586DB2" w:rsidP="0075047A">
            <w:pPr>
              <w:jc w:val="left"/>
              <w:rPr>
                <w:rFonts w:ascii="Arial" w:hAnsi="Arial" w:cs="Arial"/>
                <w:sz w:val="24"/>
                <w:szCs w:val="24"/>
              </w:rPr>
            </w:pPr>
            <w:r>
              <w:rPr>
                <w:rFonts w:ascii="Arial" w:hAnsi="Arial" w:cs="Arial"/>
                <w:sz w:val="24"/>
                <w:szCs w:val="24"/>
              </w:rPr>
              <w:t>UK &amp; Ireland r</w:t>
            </w:r>
            <w:r w:rsidR="00104D21">
              <w:rPr>
                <w:rFonts w:ascii="Arial" w:hAnsi="Arial" w:cs="Arial"/>
                <w:sz w:val="24"/>
                <w:szCs w:val="24"/>
              </w:rPr>
              <w:t>estructuring</w:t>
            </w:r>
          </w:p>
        </w:tc>
        <w:tc>
          <w:tcPr>
            <w:tcW w:w="1487" w:type="pct"/>
            <w:shd w:val="clear" w:color="auto" w:fill="auto"/>
            <w:vAlign w:val="bottom"/>
            <w:hideMark/>
          </w:tcPr>
          <w:p w14:paraId="61616D35"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(17)</w:t>
            </w:r>
          </w:p>
        </w:tc>
        <w:tc>
          <w:tcPr>
            <w:tcW w:w="919" w:type="pct"/>
            <w:shd w:val="clear" w:color="auto" w:fill="auto"/>
            <w:vAlign w:val="bottom"/>
            <w:hideMark/>
          </w:tcPr>
          <w:p w14:paraId="71A76849" w14:textId="77777777" w:rsidR="00104D21" w:rsidRPr="0050210E" w:rsidRDefault="00104D21" w:rsidP="00104D21">
            <w:pPr>
              <w:jc w:val="right"/>
              <w:rPr>
                <w:rFonts w:ascii="Arial" w:hAnsi="Arial" w:cs="Arial"/>
                <w:sz w:val="24"/>
                <w:szCs w:val="24"/>
              </w:rPr>
            </w:pPr>
            <w:r>
              <w:rPr>
                <w:rFonts w:ascii="Arial" w:hAnsi="Arial" w:cs="Arial"/>
                <w:sz w:val="24"/>
                <w:szCs w:val="24"/>
              </w:rPr>
              <w:t>7</w:t>
            </w:r>
          </w:p>
        </w:tc>
      </w:tr>
      <w:tr w:rsidR="00104D21" w14:paraId="00224223" w14:textId="77777777" w:rsidTr="00104D21">
        <w:trPr>
          <w:trHeight w:val="254"/>
        </w:trPr>
        <w:tc>
          <w:tcPr>
            <w:tcW w:w="2594" w:type="pct"/>
            <w:vAlign w:val="bottom"/>
            <w:hideMark/>
          </w:tcPr>
          <w:p w14:paraId="6C7705BE" w14:textId="69C67B99" w:rsidR="00104D21" w:rsidRDefault="005505B9" w:rsidP="00705542">
            <w:pPr>
              <w:jc w:val="left"/>
              <w:rPr>
                <w:rFonts w:ascii="Arial" w:hAnsi="Arial" w:cs="Arial"/>
                <w:sz w:val="24"/>
                <w:szCs w:val="24"/>
              </w:rPr>
            </w:pPr>
            <w:r>
              <w:rPr>
                <w:rFonts w:ascii="Arial" w:hAnsi="Arial" w:cs="Arial"/>
                <w:sz w:val="24"/>
                <w:szCs w:val="24"/>
              </w:rPr>
              <w:t>Transaction</w:t>
            </w:r>
            <w:r w:rsidR="00104D21">
              <w:rPr>
                <w:rFonts w:ascii="Arial" w:hAnsi="Arial" w:cs="Arial"/>
                <w:sz w:val="24"/>
                <w:szCs w:val="24"/>
              </w:rPr>
              <w:t xml:space="preserve"> costs</w:t>
            </w:r>
          </w:p>
        </w:tc>
        <w:tc>
          <w:tcPr>
            <w:tcW w:w="1487" w:type="pct"/>
            <w:shd w:val="clear" w:color="auto" w:fill="auto"/>
            <w:vAlign w:val="bottom"/>
            <w:hideMark/>
          </w:tcPr>
          <w:p w14:paraId="2D243B2B"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(15)</w:t>
            </w:r>
          </w:p>
        </w:tc>
        <w:tc>
          <w:tcPr>
            <w:tcW w:w="919" w:type="pct"/>
            <w:shd w:val="clear" w:color="auto" w:fill="auto"/>
            <w:vAlign w:val="bottom"/>
            <w:hideMark/>
          </w:tcPr>
          <w:p w14:paraId="61FE9EE2"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(5)</w:t>
            </w:r>
          </w:p>
        </w:tc>
      </w:tr>
      <w:tr w:rsidR="00104D21" w14:paraId="4878F5D9" w14:textId="77777777" w:rsidTr="00104D21">
        <w:trPr>
          <w:trHeight w:val="254"/>
        </w:trPr>
        <w:tc>
          <w:tcPr>
            <w:tcW w:w="2594" w:type="pct"/>
            <w:vAlign w:val="bottom"/>
          </w:tcPr>
          <w:p w14:paraId="3D4FD9C2" w14:textId="0F7137B6" w:rsidR="00104D21" w:rsidRDefault="00104D21" w:rsidP="0075047A">
            <w:pPr>
              <w:jc w:val="left"/>
              <w:rPr>
                <w:rFonts w:ascii="Arial" w:hAnsi="Arial" w:cs="Arial"/>
                <w:sz w:val="24"/>
                <w:szCs w:val="24"/>
              </w:rPr>
            </w:pPr>
            <w:r>
              <w:rPr>
                <w:rFonts w:ascii="Arial" w:hAnsi="Arial" w:cs="Arial"/>
                <w:sz w:val="24"/>
                <w:szCs w:val="24"/>
              </w:rPr>
              <w:t>Disposal of properties and non-</w:t>
            </w:r>
            <w:r w:rsidR="003C1CE9">
              <w:rPr>
                <w:rFonts w:ascii="Arial" w:hAnsi="Arial" w:cs="Arial"/>
                <w:sz w:val="24"/>
                <w:szCs w:val="24"/>
              </w:rPr>
              <w:t>operational</w:t>
            </w:r>
            <w:r>
              <w:rPr>
                <w:rFonts w:ascii="Arial" w:hAnsi="Arial" w:cs="Arial"/>
                <w:sz w:val="24"/>
                <w:szCs w:val="24"/>
              </w:rPr>
              <w:t xml:space="preserve"> asset losses</w:t>
            </w:r>
          </w:p>
        </w:tc>
        <w:tc>
          <w:tcPr>
            <w:tcW w:w="1487" w:type="pct"/>
            <w:shd w:val="clear" w:color="auto" w:fill="auto"/>
            <w:vAlign w:val="bottom"/>
          </w:tcPr>
          <w:p w14:paraId="3B61C54A"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(3)</w:t>
            </w:r>
          </w:p>
        </w:tc>
        <w:tc>
          <w:tcPr>
            <w:tcW w:w="919" w:type="pct"/>
            <w:shd w:val="clear" w:color="auto" w:fill="auto"/>
            <w:vAlign w:val="bottom"/>
          </w:tcPr>
          <w:p w14:paraId="30DA79A1"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2</w:t>
            </w:r>
          </w:p>
        </w:tc>
      </w:tr>
      <w:tr w:rsidR="00104D21" w14:paraId="2883AF61" w14:textId="77777777" w:rsidTr="00104D21">
        <w:trPr>
          <w:trHeight w:val="254"/>
        </w:trPr>
        <w:tc>
          <w:tcPr>
            <w:tcW w:w="2594" w:type="pct"/>
            <w:vAlign w:val="bottom"/>
            <w:hideMark/>
          </w:tcPr>
          <w:p w14:paraId="637C4FEF" w14:textId="77777777" w:rsidR="00104D21" w:rsidRDefault="00104D21">
            <w:pPr>
              <w:jc w:val="left"/>
              <w:rPr>
                <w:rFonts w:ascii="Arial" w:hAnsi="Arial" w:cs="Arial"/>
                <w:sz w:val="24"/>
                <w:szCs w:val="24"/>
              </w:rPr>
            </w:pPr>
            <w:r>
              <w:rPr>
                <w:rFonts w:ascii="Arial" w:hAnsi="Arial" w:cs="Arial"/>
                <w:sz w:val="24"/>
                <w:szCs w:val="24"/>
              </w:rPr>
              <w:t>Kesa demerger French tax case – repayment supplement</w:t>
            </w:r>
          </w:p>
        </w:tc>
        <w:tc>
          <w:tcPr>
            <w:tcW w:w="1487" w:type="pct"/>
            <w:shd w:val="clear" w:color="auto" w:fill="auto"/>
            <w:vAlign w:val="bottom"/>
            <w:hideMark/>
          </w:tcPr>
          <w:p w14:paraId="33137651"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w:t>
            </w:r>
          </w:p>
        </w:tc>
        <w:tc>
          <w:tcPr>
            <w:tcW w:w="919" w:type="pct"/>
            <w:shd w:val="clear" w:color="auto" w:fill="auto"/>
            <w:vAlign w:val="bottom"/>
            <w:hideMark/>
          </w:tcPr>
          <w:p w14:paraId="0CAEC9E3"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27</w:t>
            </w:r>
          </w:p>
        </w:tc>
      </w:tr>
      <w:tr w:rsidR="00104D21" w14:paraId="33CE40AA" w14:textId="77777777" w:rsidTr="00104D21">
        <w:trPr>
          <w:trHeight w:val="308"/>
        </w:trPr>
        <w:tc>
          <w:tcPr>
            <w:tcW w:w="2594" w:type="pct"/>
            <w:vAlign w:val="bottom"/>
            <w:hideMark/>
          </w:tcPr>
          <w:p w14:paraId="5EEBF2A1" w14:textId="77777777" w:rsidR="00104D21" w:rsidRDefault="00104D21">
            <w:pPr>
              <w:jc w:val="left"/>
              <w:rPr>
                <w:rFonts w:ascii="Arial" w:hAnsi="Arial" w:cs="Arial"/>
                <w:sz w:val="24"/>
                <w:szCs w:val="24"/>
              </w:rPr>
            </w:pPr>
            <w:r>
              <w:rPr>
                <w:rFonts w:ascii="Arial" w:hAnsi="Arial" w:cs="Arial"/>
                <w:sz w:val="24"/>
                <w:szCs w:val="24"/>
              </w:rPr>
              <w:t>Net impairment of investment in Hornbach</w:t>
            </w:r>
          </w:p>
        </w:tc>
        <w:tc>
          <w:tcPr>
            <w:tcW w:w="1487" w:type="pct"/>
            <w:shd w:val="clear" w:color="auto" w:fill="auto"/>
            <w:vAlign w:val="bottom"/>
            <w:hideMark/>
          </w:tcPr>
          <w:p w14:paraId="1CC7F4E4"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w:t>
            </w:r>
          </w:p>
        </w:tc>
        <w:tc>
          <w:tcPr>
            <w:tcW w:w="919" w:type="pct"/>
            <w:shd w:val="clear" w:color="auto" w:fill="auto"/>
            <w:vAlign w:val="bottom"/>
            <w:hideMark/>
          </w:tcPr>
          <w:p w14:paraId="3E0A7F9B"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(14)</w:t>
            </w:r>
          </w:p>
        </w:tc>
      </w:tr>
      <w:tr w:rsidR="00104D21" w14:paraId="356A7696" w14:textId="77777777" w:rsidTr="00104D21">
        <w:trPr>
          <w:trHeight w:val="308"/>
        </w:trPr>
        <w:tc>
          <w:tcPr>
            <w:tcW w:w="2594" w:type="pct"/>
            <w:tcBorders>
              <w:top w:val="single" w:sz="4" w:space="0" w:color="auto"/>
              <w:left w:val="nil"/>
              <w:bottom w:val="nil"/>
              <w:right w:val="nil"/>
            </w:tcBorders>
            <w:vAlign w:val="bottom"/>
            <w:hideMark/>
          </w:tcPr>
          <w:p w14:paraId="0A938E0E" w14:textId="77777777" w:rsidR="00104D21" w:rsidRDefault="00104D21" w:rsidP="00104D21">
            <w:pPr>
              <w:jc w:val="left"/>
              <w:rPr>
                <w:rFonts w:ascii="Arial" w:hAnsi="Arial" w:cs="Arial"/>
                <w:b/>
                <w:sz w:val="24"/>
                <w:szCs w:val="24"/>
              </w:rPr>
            </w:pPr>
            <w:r>
              <w:rPr>
                <w:rFonts w:ascii="Arial" w:hAnsi="Arial" w:cs="Arial"/>
                <w:b/>
                <w:sz w:val="24"/>
                <w:szCs w:val="24"/>
              </w:rPr>
              <w:t>Exceptional items before tax</w:t>
            </w:r>
          </w:p>
        </w:tc>
        <w:tc>
          <w:tcPr>
            <w:tcW w:w="1487" w:type="pct"/>
            <w:tcBorders>
              <w:top w:val="single" w:sz="4" w:space="0" w:color="auto"/>
              <w:left w:val="nil"/>
              <w:bottom w:val="nil"/>
              <w:right w:val="nil"/>
            </w:tcBorders>
            <w:shd w:val="clear" w:color="auto" w:fill="auto"/>
            <w:vAlign w:val="bottom"/>
            <w:hideMark/>
          </w:tcPr>
          <w:p w14:paraId="59BD6FD3"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(35)</w:t>
            </w:r>
          </w:p>
        </w:tc>
        <w:tc>
          <w:tcPr>
            <w:tcW w:w="919" w:type="pct"/>
            <w:tcBorders>
              <w:top w:val="single" w:sz="4" w:space="0" w:color="auto"/>
              <w:left w:val="nil"/>
              <w:bottom w:val="nil"/>
              <w:right w:val="nil"/>
            </w:tcBorders>
            <w:shd w:val="clear" w:color="auto" w:fill="auto"/>
            <w:vAlign w:val="bottom"/>
            <w:hideMark/>
          </w:tcPr>
          <w:p w14:paraId="5377C918"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17</w:t>
            </w:r>
          </w:p>
        </w:tc>
      </w:tr>
      <w:tr w:rsidR="00104D21" w14:paraId="5D8F83A5" w14:textId="77777777" w:rsidTr="00104D21">
        <w:trPr>
          <w:trHeight w:val="308"/>
        </w:trPr>
        <w:tc>
          <w:tcPr>
            <w:tcW w:w="2594" w:type="pct"/>
            <w:vAlign w:val="bottom"/>
            <w:hideMark/>
          </w:tcPr>
          <w:p w14:paraId="50541C4D" w14:textId="2F2C20AA" w:rsidR="00104D21" w:rsidRDefault="007C47AE" w:rsidP="00104D21">
            <w:pPr>
              <w:jc w:val="left"/>
              <w:rPr>
                <w:rFonts w:ascii="Arial" w:hAnsi="Arial" w:cs="Arial"/>
                <w:sz w:val="24"/>
                <w:szCs w:val="24"/>
              </w:rPr>
            </w:pPr>
            <w:r>
              <w:rPr>
                <w:rFonts w:ascii="Arial" w:hAnsi="Arial" w:cs="Arial"/>
                <w:sz w:val="24"/>
                <w:szCs w:val="24"/>
              </w:rPr>
              <w:t>E</w:t>
            </w:r>
            <w:r w:rsidR="00104D21">
              <w:rPr>
                <w:rFonts w:ascii="Arial" w:hAnsi="Arial" w:cs="Arial"/>
                <w:sz w:val="24"/>
                <w:szCs w:val="24"/>
              </w:rPr>
              <w:t xml:space="preserve">xceptional </w:t>
            </w:r>
            <w:r>
              <w:rPr>
                <w:rFonts w:ascii="Arial" w:hAnsi="Arial" w:cs="Arial"/>
                <w:sz w:val="24"/>
                <w:szCs w:val="24"/>
              </w:rPr>
              <w:t xml:space="preserve">tax </w:t>
            </w:r>
            <w:r w:rsidR="00104D21">
              <w:rPr>
                <w:rFonts w:ascii="Arial" w:hAnsi="Arial" w:cs="Arial"/>
                <w:sz w:val="24"/>
                <w:szCs w:val="24"/>
              </w:rPr>
              <w:t>items</w:t>
            </w:r>
          </w:p>
        </w:tc>
        <w:tc>
          <w:tcPr>
            <w:tcW w:w="1487" w:type="pct"/>
            <w:shd w:val="clear" w:color="auto" w:fill="auto"/>
            <w:vAlign w:val="bottom"/>
            <w:hideMark/>
          </w:tcPr>
          <w:p w14:paraId="45CE9E93" w14:textId="77777777" w:rsidR="00104D21" w:rsidRPr="0050210E" w:rsidRDefault="00104D21" w:rsidP="00104D21">
            <w:pPr>
              <w:jc w:val="right"/>
              <w:rPr>
                <w:rFonts w:ascii="Arial" w:hAnsi="Arial" w:cs="Arial"/>
                <w:b/>
                <w:sz w:val="24"/>
                <w:szCs w:val="24"/>
              </w:rPr>
            </w:pPr>
            <w:r>
              <w:rPr>
                <w:rFonts w:ascii="Arial" w:hAnsi="Arial" w:cs="Arial"/>
                <w:b/>
                <w:sz w:val="24"/>
                <w:szCs w:val="24"/>
              </w:rPr>
              <w:t>106</w:t>
            </w:r>
          </w:p>
        </w:tc>
        <w:tc>
          <w:tcPr>
            <w:tcW w:w="919" w:type="pct"/>
            <w:shd w:val="clear" w:color="auto" w:fill="auto"/>
            <w:vAlign w:val="bottom"/>
            <w:hideMark/>
          </w:tcPr>
          <w:p w14:paraId="22A636C2" w14:textId="77777777" w:rsidR="00104D21" w:rsidRPr="0050210E" w:rsidRDefault="00104D21" w:rsidP="00104D21">
            <w:pPr>
              <w:jc w:val="right"/>
              <w:rPr>
                <w:rFonts w:ascii="Arial" w:hAnsi="Arial" w:cs="Arial"/>
                <w:sz w:val="24"/>
                <w:szCs w:val="24"/>
              </w:rPr>
            </w:pPr>
            <w:r>
              <w:rPr>
                <w:rFonts w:ascii="Arial" w:hAnsi="Arial" w:cs="Arial"/>
                <w:sz w:val="24"/>
                <w:szCs w:val="24"/>
              </w:rPr>
              <w:t>114</w:t>
            </w:r>
          </w:p>
        </w:tc>
      </w:tr>
      <w:tr w:rsidR="00104D21" w14:paraId="7FDFF1FC" w14:textId="77777777" w:rsidTr="00104D21">
        <w:trPr>
          <w:trHeight w:val="308"/>
        </w:trPr>
        <w:tc>
          <w:tcPr>
            <w:tcW w:w="2594" w:type="pct"/>
            <w:tcBorders>
              <w:top w:val="single" w:sz="4" w:space="0" w:color="auto"/>
              <w:left w:val="nil"/>
              <w:bottom w:val="single" w:sz="4" w:space="0" w:color="auto"/>
              <w:right w:val="nil"/>
            </w:tcBorders>
            <w:vAlign w:val="bottom"/>
            <w:hideMark/>
          </w:tcPr>
          <w:p w14:paraId="65BA429B" w14:textId="77777777" w:rsidR="00104D21" w:rsidRDefault="00104D21" w:rsidP="00104D21">
            <w:pPr>
              <w:jc w:val="left"/>
              <w:rPr>
                <w:rFonts w:ascii="Arial" w:hAnsi="Arial" w:cs="Arial"/>
                <w:b/>
                <w:sz w:val="24"/>
                <w:szCs w:val="24"/>
              </w:rPr>
            </w:pPr>
            <w:r>
              <w:rPr>
                <w:rFonts w:ascii="Arial" w:hAnsi="Arial" w:cs="Arial"/>
                <w:b/>
                <w:sz w:val="24"/>
                <w:szCs w:val="24"/>
              </w:rPr>
              <w:t>Net exceptional items</w:t>
            </w:r>
          </w:p>
        </w:tc>
        <w:tc>
          <w:tcPr>
            <w:tcW w:w="1487" w:type="pct"/>
            <w:tcBorders>
              <w:top w:val="single" w:sz="4" w:space="0" w:color="auto"/>
              <w:left w:val="nil"/>
              <w:bottom w:val="single" w:sz="4" w:space="0" w:color="auto"/>
              <w:right w:val="nil"/>
            </w:tcBorders>
            <w:shd w:val="clear" w:color="auto" w:fill="auto"/>
            <w:vAlign w:val="bottom"/>
            <w:hideMark/>
          </w:tcPr>
          <w:p w14:paraId="359A2334"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71</w:t>
            </w:r>
          </w:p>
        </w:tc>
        <w:tc>
          <w:tcPr>
            <w:tcW w:w="919" w:type="pct"/>
            <w:tcBorders>
              <w:top w:val="single" w:sz="4" w:space="0" w:color="auto"/>
              <w:left w:val="nil"/>
              <w:bottom w:val="single" w:sz="4" w:space="0" w:color="auto"/>
              <w:right w:val="nil"/>
            </w:tcBorders>
            <w:shd w:val="clear" w:color="auto" w:fill="auto"/>
            <w:vAlign w:val="bottom"/>
            <w:hideMark/>
          </w:tcPr>
          <w:p w14:paraId="75455522"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131</w:t>
            </w:r>
          </w:p>
        </w:tc>
      </w:tr>
    </w:tbl>
    <w:p w14:paraId="4D533B78" w14:textId="77777777" w:rsidR="00104D21" w:rsidRDefault="00104D21" w:rsidP="00104D21">
      <w:pPr>
        <w:jc w:val="left"/>
        <w:rPr>
          <w:rFonts w:ascii="Arial" w:hAnsi="Arial" w:cs="Arial"/>
          <w:b/>
          <w:sz w:val="24"/>
          <w:szCs w:val="24"/>
        </w:rPr>
      </w:pPr>
    </w:p>
    <w:p w14:paraId="0D1D4C3B" w14:textId="77777777" w:rsidR="00104D21" w:rsidRDefault="00104D21" w:rsidP="00104D21"/>
    <w:p w14:paraId="67B3DEDB" w14:textId="7E809058" w:rsidR="00104D21" w:rsidRPr="00506D26" w:rsidRDefault="0069194C" w:rsidP="00506D26">
      <w:pPr>
        <w:jc w:val="left"/>
        <w:rPr>
          <w:rFonts w:ascii="Arial" w:hAnsi="Arial" w:cs="Arial"/>
          <w:sz w:val="24"/>
          <w:szCs w:val="24"/>
        </w:rPr>
      </w:pPr>
      <w:r>
        <w:rPr>
          <w:rFonts w:ascii="Arial" w:hAnsi="Arial" w:cs="Arial"/>
          <w:sz w:val="24"/>
          <w:szCs w:val="24"/>
        </w:rPr>
        <w:t>During the year there were r</w:t>
      </w:r>
      <w:r w:rsidR="00104D21" w:rsidRPr="00506D26">
        <w:rPr>
          <w:rFonts w:ascii="Arial" w:hAnsi="Arial" w:cs="Arial"/>
          <w:sz w:val="24"/>
          <w:szCs w:val="24"/>
        </w:rPr>
        <w:t>estructuring costs of £17</w:t>
      </w:r>
      <w:r w:rsidR="005505B9" w:rsidRPr="00506D26">
        <w:rPr>
          <w:rFonts w:ascii="Arial" w:hAnsi="Arial" w:cs="Arial"/>
          <w:sz w:val="24"/>
          <w:szCs w:val="24"/>
        </w:rPr>
        <w:t xml:space="preserve"> </w:t>
      </w:r>
      <w:r w:rsidR="00104D21" w:rsidRPr="00506D26">
        <w:rPr>
          <w:rFonts w:ascii="Arial" w:hAnsi="Arial" w:cs="Arial"/>
          <w:sz w:val="24"/>
          <w:szCs w:val="24"/>
        </w:rPr>
        <w:t>m</w:t>
      </w:r>
      <w:r w:rsidR="005505B9" w:rsidRPr="00506D26">
        <w:rPr>
          <w:rFonts w:ascii="Arial" w:hAnsi="Arial" w:cs="Arial"/>
          <w:sz w:val="24"/>
          <w:szCs w:val="24"/>
        </w:rPr>
        <w:t>illion</w:t>
      </w:r>
      <w:r w:rsidR="00104D21" w:rsidRPr="00506D26">
        <w:rPr>
          <w:rFonts w:ascii="Arial" w:hAnsi="Arial" w:cs="Arial"/>
          <w:sz w:val="24"/>
          <w:szCs w:val="24"/>
        </w:rPr>
        <w:t xml:space="preserve"> </w:t>
      </w:r>
      <w:r>
        <w:rPr>
          <w:rFonts w:ascii="Arial" w:hAnsi="Arial" w:cs="Arial"/>
          <w:sz w:val="24"/>
          <w:szCs w:val="24"/>
        </w:rPr>
        <w:t>relating to</w:t>
      </w:r>
      <w:r w:rsidRPr="00506D26">
        <w:rPr>
          <w:rFonts w:ascii="Arial" w:hAnsi="Arial" w:cs="Arial"/>
          <w:sz w:val="24"/>
          <w:szCs w:val="24"/>
        </w:rPr>
        <w:t xml:space="preserve"> </w:t>
      </w:r>
      <w:r w:rsidR="00104D21" w:rsidRPr="00506D26">
        <w:rPr>
          <w:rFonts w:ascii="Arial" w:hAnsi="Arial" w:cs="Arial"/>
          <w:sz w:val="24"/>
          <w:szCs w:val="24"/>
        </w:rPr>
        <w:t>the B&amp;Q UK transformation plan (2013/14: £7</w:t>
      </w:r>
      <w:r w:rsidR="005505B9" w:rsidRPr="00506D26">
        <w:rPr>
          <w:rFonts w:ascii="Arial" w:hAnsi="Arial" w:cs="Arial"/>
          <w:sz w:val="24"/>
          <w:szCs w:val="24"/>
        </w:rPr>
        <w:t xml:space="preserve"> million</w:t>
      </w:r>
      <w:r w:rsidR="00104D21" w:rsidRPr="00506D26">
        <w:rPr>
          <w:rFonts w:ascii="Arial" w:hAnsi="Arial" w:cs="Arial"/>
          <w:sz w:val="24"/>
          <w:szCs w:val="24"/>
        </w:rPr>
        <w:t xml:space="preserve"> credit following the successful exit of the Examinership process in B&amp;Q Ireland).</w:t>
      </w:r>
      <w:r w:rsidR="007C47AE">
        <w:rPr>
          <w:rFonts w:ascii="Arial" w:hAnsi="Arial" w:cs="Arial"/>
          <w:sz w:val="24"/>
          <w:szCs w:val="24"/>
        </w:rPr>
        <w:t xml:space="preserve"> </w:t>
      </w:r>
      <w:r w:rsidR="005505B9" w:rsidRPr="00506D26">
        <w:rPr>
          <w:rFonts w:ascii="Arial" w:hAnsi="Arial" w:cs="Arial"/>
          <w:sz w:val="24"/>
          <w:szCs w:val="24"/>
        </w:rPr>
        <w:t>Transaction</w:t>
      </w:r>
      <w:r w:rsidR="00104D21" w:rsidRPr="00506D26">
        <w:rPr>
          <w:rFonts w:ascii="Arial" w:hAnsi="Arial" w:cs="Arial"/>
          <w:sz w:val="24"/>
          <w:szCs w:val="24"/>
        </w:rPr>
        <w:t xml:space="preserve"> costs of £15</w:t>
      </w:r>
      <w:r w:rsidR="005505B9" w:rsidRPr="00506D26">
        <w:rPr>
          <w:rFonts w:ascii="Arial" w:hAnsi="Arial" w:cs="Arial"/>
          <w:sz w:val="24"/>
          <w:szCs w:val="24"/>
        </w:rPr>
        <w:t xml:space="preserve"> </w:t>
      </w:r>
      <w:r w:rsidR="00104D21" w:rsidRPr="00506D26">
        <w:rPr>
          <w:rFonts w:ascii="Arial" w:hAnsi="Arial" w:cs="Arial"/>
          <w:sz w:val="24"/>
          <w:szCs w:val="24"/>
        </w:rPr>
        <w:t>m</w:t>
      </w:r>
      <w:r w:rsidR="005505B9" w:rsidRPr="00506D26">
        <w:rPr>
          <w:rFonts w:ascii="Arial" w:hAnsi="Arial" w:cs="Arial"/>
          <w:sz w:val="24"/>
          <w:szCs w:val="24"/>
        </w:rPr>
        <w:t>illion</w:t>
      </w:r>
      <w:r w:rsidR="00104D21" w:rsidRPr="00506D26">
        <w:rPr>
          <w:rFonts w:ascii="Arial" w:hAnsi="Arial" w:cs="Arial"/>
          <w:sz w:val="24"/>
          <w:szCs w:val="24"/>
        </w:rPr>
        <w:t xml:space="preserve"> </w:t>
      </w:r>
      <w:r>
        <w:rPr>
          <w:rFonts w:ascii="Arial" w:hAnsi="Arial" w:cs="Arial"/>
          <w:sz w:val="24"/>
          <w:szCs w:val="24"/>
        </w:rPr>
        <w:t>are associated with</w:t>
      </w:r>
      <w:r w:rsidR="00104D21" w:rsidRPr="00506D26">
        <w:rPr>
          <w:rFonts w:ascii="Arial" w:hAnsi="Arial" w:cs="Arial"/>
          <w:sz w:val="24"/>
          <w:szCs w:val="24"/>
        </w:rPr>
        <w:t xml:space="preserve"> Mr Bricolage and the agreement to sell a controlling stake in the B&amp;Q China business (2013/14: £5</w:t>
      </w:r>
      <w:r w:rsidR="005505B9" w:rsidRPr="00506D26">
        <w:rPr>
          <w:rFonts w:ascii="Arial" w:hAnsi="Arial" w:cs="Arial"/>
          <w:sz w:val="24"/>
          <w:szCs w:val="24"/>
        </w:rPr>
        <w:t xml:space="preserve"> </w:t>
      </w:r>
      <w:r w:rsidR="00104D21" w:rsidRPr="00506D26">
        <w:rPr>
          <w:rFonts w:ascii="Arial" w:hAnsi="Arial" w:cs="Arial"/>
          <w:sz w:val="24"/>
          <w:szCs w:val="24"/>
        </w:rPr>
        <w:t>m</w:t>
      </w:r>
      <w:r w:rsidR="005505B9" w:rsidRPr="00506D26">
        <w:rPr>
          <w:rFonts w:ascii="Arial" w:hAnsi="Arial" w:cs="Arial"/>
          <w:sz w:val="24"/>
          <w:szCs w:val="24"/>
        </w:rPr>
        <w:t>illion</w:t>
      </w:r>
      <w:r w:rsidR="00104D21" w:rsidRPr="00506D26">
        <w:rPr>
          <w:rFonts w:ascii="Arial" w:hAnsi="Arial" w:cs="Arial"/>
          <w:sz w:val="24"/>
          <w:szCs w:val="24"/>
        </w:rPr>
        <w:t xml:space="preserve"> for Bricostore Romania)</w:t>
      </w:r>
      <w:r>
        <w:rPr>
          <w:rFonts w:ascii="Arial" w:hAnsi="Arial" w:cs="Arial"/>
          <w:sz w:val="24"/>
          <w:szCs w:val="24"/>
        </w:rPr>
        <w:t xml:space="preserve">.These exceptional charges were more than offset by a </w:t>
      </w:r>
      <w:r w:rsidR="00104D21" w:rsidRPr="00506D26">
        <w:rPr>
          <w:rFonts w:ascii="Arial" w:hAnsi="Arial" w:cs="Arial"/>
          <w:sz w:val="24"/>
          <w:szCs w:val="24"/>
        </w:rPr>
        <w:t>£106</w:t>
      </w:r>
      <w:r w:rsidR="005505B9" w:rsidRPr="00506D26">
        <w:rPr>
          <w:rFonts w:ascii="Arial" w:hAnsi="Arial" w:cs="Arial"/>
          <w:sz w:val="24"/>
          <w:szCs w:val="24"/>
        </w:rPr>
        <w:t xml:space="preserve"> </w:t>
      </w:r>
      <w:r w:rsidR="00104D21" w:rsidRPr="00506D26">
        <w:rPr>
          <w:rFonts w:ascii="Arial" w:hAnsi="Arial" w:cs="Arial"/>
          <w:sz w:val="24"/>
          <w:szCs w:val="24"/>
        </w:rPr>
        <w:t>m</w:t>
      </w:r>
      <w:r w:rsidR="005505B9" w:rsidRPr="00506D26">
        <w:rPr>
          <w:rFonts w:ascii="Arial" w:hAnsi="Arial" w:cs="Arial"/>
          <w:sz w:val="24"/>
          <w:szCs w:val="24"/>
        </w:rPr>
        <w:t>illion</w:t>
      </w:r>
      <w:r w:rsidR="00104D21" w:rsidRPr="00506D26">
        <w:rPr>
          <w:rFonts w:ascii="Arial" w:hAnsi="Arial" w:cs="Arial"/>
          <w:sz w:val="24"/>
          <w:szCs w:val="24"/>
        </w:rPr>
        <w:t xml:space="preserve"> tax credit including the tax impact on exceptional items and the release of prior year provisions which have either been agreed with the tax authorities, reassessed, or time expired (2013/14: £114</w:t>
      </w:r>
      <w:r w:rsidR="005505B9" w:rsidRPr="00506D26">
        <w:rPr>
          <w:rFonts w:ascii="Arial" w:hAnsi="Arial" w:cs="Arial"/>
          <w:sz w:val="24"/>
          <w:szCs w:val="24"/>
        </w:rPr>
        <w:t xml:space="preserve"> </w:t>
      </w:r>
      <w:r w:rsidR="00104D21" w:rsidRPr="00506D26">
        <w:rPr>
          <w:rFonts w:ascii="Arial" w:hAnsi="Arial" w:cs="Arial"/>
          <w:sz w:val="24"/>
          <w:szCs w:val="24"/>
        </w:rPr>
        <w:t>m</w:t>
      </w:r>
      <w:r w:rsidR="005505B9" w:rsidRPr="00506D26">
        <w:rPr>
          <w:rFonts w:ascii="Arial" w:hAnsi="Arial" w:cs="Arial"/>
          <w:sz w:val="24"/>
          <w:szCs w:val="24"/>
        </w:rPr>
        <w:t>illion</w:t>
      </w:r>
      <w:r w:rsidR="00104D21" w:rsidRPr="00506D26">
        <w:rPr>
          <w:rFonts w:ascii="Arial" w:hAnsi="Arial" w:cs="Arial"/>
          <w:sz w:val="24"/>
          <w:szCs w:val="24"/>
        </w:rPr>
        <w:t xml:space="preserve"> primarily reflecting the successful resolution of the Kesa demerger French tax case).</w:t>
      </w:r>
    </w:p>
    <w:p w14:paraId="2F9450EC" w14:textId="77777777" w:rsidR="0069194C" w:rsidRDefault="0069194C" w:rsidP="00104D21">
      <w:pPr>
        <w:jc w:val="left"/>
        <w:rPr>
          <w:rFonts w:ascii="Arial" w:hAnsi="Arial" w:cs="Arial"/>
          <w:b/>
          <w:bCs/>
          <w:sz w:val="24"/>
          <w:szCs w:val="24"/>
        </w:rPr>
      </w:pPr>
    </w:p>
    <w:p w14:paraId="67F12E8C" w14:textId="77777777" w:rsidR="0069194C" w:rsidRDefault="0069194C" w:rsidP="00104D21">
      <w:pPr>
        <w:jc w:val="left"/>
        <w:rPr>
          <w:rFonts w:ascii="Arial" w:hAnsi="Arial" w:cs="Arial"/>
          <w:b/>
          <w:bCs/>
          <w:sz w:val="24"/>
          <w:szCs w:val="24"/>
        </w:rPr>
      </w:pPr>
    </w:p>
    <w:p w14:paraId="00999BBC" w14:textId="77777777" w:rsidR="001C43C3" w:rsidRDefault="001C43C3" w:rsidP="00104D21">
      <w:pPr>
        <w:jc w:val="left"/>
        <w:rPr>
          <w:rFonts w:ascii="Arial" w:hAnsi="Arial" w:cs="Arial"/>
          <w:b/>
          <w:bCs/>
          <w:sz w:val="24"/>
          <w:szCs w:val="24"/>
        </w:rPr>
      </w:pPr>
    </w:p>
    <w:p w14:paraId="50D74E7A" w14:textId="77777777" w:rsidR="005505B9" w:rsidRDefault="005505B9" w:rsidP="00104D21">
      <w:pPr>
        <w:jc w:val="left"/>
        <w:rPr>
          <w:rFonts w:ascii="Arial" w:hAnsi="Arial" w:cs="Arial"/>
          <w:b/>
          <w:bCs/>
          <w:sz w:val="24"/>
          <w:szCs w:val="24"/>
        </w:rPr>
      </w:pPr>
    </w:p>
    <w:p w14:paraId="26CA6CE1" w14:textId="77777777" w:rsidR="007C47AE" w:rsidRDefault="007C47AE" w:rsidP="00104D21">
      <w:pPr>
        <w:jc w:val="left"/>
        <w:rPr>
          <w:rFonts w:ascii="Arial" w:hAnsi="Arial" w:cs="Arial"/>
          <w:b/>
          <w:bCs/>
          <w:sz w:val="24"/>
          <w:szCs w:val="24"/>
        </w:rPr>
      </w:pPr>
    </w:p>
    <w:p w14:paraId="3EBFC09D" w14:textId="77777777" w:rsidR="007C47AE" w:rsidRDefault="007C47AE" w:rsidP="00104D21">
      <w:pPr>
        <w:jc w:val="left"/>
        <w:rPr>
          <w:rFonts w:ascii="Arial" w:hAnsi="Arial" w:cs="Arial"/>
          <w:b/>
          <w:bCs/>
          <w:sz w:val="24"/>
          <w:szCs w:val="24"/>
        </w:rPr>
      </w:pPr>
    </w:p>
    <w:p w14:paraId="7AA2709C" w14:textId="77777777" w:rsidR="00104D21" w:rsidRDefault="00104D21" w:rsidP="00104D21">
      <w:pPr>
        <w:jc w:val="left"/>
        <w:rPr>
          <w:rFonts w:ascii="Arial" w:hAnsi="Arial" w:cs="Arial"/>
          <w:b/>
          <w:bCs/>
          <w:color w:val="FF0000"/>
          <w:sz w:val="24"/>
          <w:szCs w:val="24"/>
        </w:rPr>
      </w:pPr>
      <w:r w:rsidRPr="00C82F88">
        <w:rPr>
          <w:rFonts w:ascii="Arial" w:hAnsi="Arial" w:cs="Arial"/>
          <w:b/>
          <w:bCs/>
          <w:sz w:val="24"/>
          <w:szCs w:val="24"/>
        </w:rPr>
        <w:lastRenderedPageBreak/>
        <w:t>Earnings per share</w:t>
      </w:r>
    </w:p>
    <w:p w14:paraId="44C6FD18" w14:textId="77777777" w:rsidR="00104D21" w:rsidRDefault="00104D21" w:rsidP="00104D21">
      <w:pPr>
        <w:jc w:val="left"/>
        <w:rPr>
          <w:rFonts w:ascii="Arial" w:hAnsi="Arial" w:cs="Arial"/>
          <w:b/>
          <w:bCs/>
          <w:color w:val="FF0000"/>
          <w:sz w:val="24"/>
          <w:szCs w:val="24"/>
        </w:rPr>
      </w:pPr>
    </w:p>
    <w:p w14:paraId="20E85544" w14:textId="252E7229" w:rsidR="00104D21" w:rsidRDefault="00104D21" w:rsidP="00104D21">
      <w:pPr>
        <w:jc w:val="left"/>
        <w:rPr>
          <w:rFonts w:ascii="Arial" w:hAnsi="Arial" w:cs="Arial"/>
          <w:sz w:val="24"/>
        </w:rPr>
      </w:pPr>
      <w:r w:rsidRPr="004A74A6">
        <w:rPr>
          <w:rFonts w:ascii="Arial" w:hAnsi="Arial" w:cs="Arial"/>
          <w:b/>
          <w:sz w:val="24"/>
          <w:szCs w:val="24"/>
        </w:rPr>
        <w:t>Adjusted basic earnings per share</w:t>
      </w:r>
      <w:r w:rsidRPr="0045089B">
        <w:rPr>
          <w:rFonts w:ascii="Arial" w:hAnsi="Arial" w:cs="Arial" w:hint="eastAsia"/>
          <w:sz w:val="24"/>
          <w:szCs w:val="24"/>
        </w:rPr>
        <w:t xml:space="preserve"> </w:t>
      </w:r>
      <w:r w:rsidRPr="0008007E">
        <w:rPr>
          <w:rFonts w:ascii="Arial" w:hAnsi="Arial" w:cs="Arial"/>
          <w:sz w:val="24"/>
          <w:szCs w:val="24"/>
        </w:rPr>
        <w:t xml:space="preserve">decreased by </w:t>
      </w:r>
      <w:r w:rsidRPr="0050210E">
        <w:rPr>
          <w:rFonts w:ascii="Arial" w:hAnsi="Arial" w:cs="Arial"/>
          <w:sz w:val="24"/>
          <w:szCs w:val="24"/>
        </w:rPr>
        <w:t>8.3% to 20.9p</w:t>
      </w:r>
      <w:r w:rsidRPr="0008007E">
        <w:rPr>
          <w:rFonts w:ascii="Arial" w:hAnsi="Arial" w:cs="Arial"/>
          <w:sz w:val="24"/>
          <w:szCs w:val="24"/>
        </w:rPr>
        <w:t xml:space="preserve"> (2013/14</w:t>
      </w:r>
      <w:r w:rsidRPr="0045089B">
        <w:rPr>
          <w:rFonts w:ascii="Arial" w:hAnsi="Arial" w:cs="Arial" w:hint="eastAsia"/>
          <w:sz w:val="24"/>
          <w:szCs w:val="24"/>
        </w:rPr>
        <w:t xml:space="preserve">: </w:t>
      </w:r>
      <w:r>
        <w:rPr>
          <w:rFonts w:ascii="Arial" w:hAnsi="Arial" w:cs="Arial"/>
          <w:sz w:val="24"/>
          <w:szCs w:val="24"/>
        </w:rPr>
        <w:t>22.8</w:t>
      </w:r>
      <w:r w:rsidRPr="0045089B">
        <w:rPr>
          <w:rFonts w:ascii="Arial" w:hAnsi="Arial" w:cs="Arial" w:hint="eastAsia"/>
          <w:sz w:val="24"/>
          <w:szCs w:val="24"/>
        </w:rPr>
        <w:t>p)</w:t>
      </w:r>
      <w:r>
        <w:rPr>
          <w:rFonts w:ascii="Arial" w:hAnsi="Arial" w:cs="Arial"/>
          <w:sz w:val="24"/>
          <w:szCs w:val="24"/>
        </w:rPr>
        <w:t xml:space="preserve"> reflecting the lower profits and an increased tax rate. As noted previously this excluded</w:t>
      </w:r>
      <w:r w:rsidRPr="00C82F88">
        <w:rPr>
          <w:rFonts w:ascii="Arial" w:hAnsi="Arial" w:cs="Arial" w:hint="eastAsia"/>
          <w:sz w:val="24"/>
          <w:szCs w:val="24"/>
        </w:rPr>
        <w:t xml:space="preserve"> </w:t>
      </w:r>
      <w:r w:rsidRPr="0045089B">
        <w:rPr>
          <w:rFonts w:ascii="Arial" w:hAnsi="Arial" w:cs="Arial" w:hint="eastAsia"/>
          <w:sz w:val="24"/>
          <w:szCs w:val="24"/>
        </w:rPr>
        <w:t xml:space="preserve">the impact of exceptional items, financing fair value remeasurements and the effect of prior year tax </w:t>
      </w:r>
      <w:r>
        <w:rPr>
          <w:rFonts w:ascii="Arial" w:hAnsi="Arial" w:cs="Arial"/>
          <w:sz w:val="24"/>
          <w:szCs w:val="24"/>
        </w:rPr>
        <w:t>items.  Including these items</w:t>
      </w:r>
      <w:r w:rsidRPr="0045089B">
        <w:rPr>
          <w:rFonts w:ascii="Arial" w:hAnsi="Arial" w:cs="Arial" w:hint="eastAsia"/>
          <w:sz w:val="24"/>
          <w:szCs w:val="24"/>
        </w:rPr>
        <w:t xml:space="preserve"> </w:t>
      </w:r>
      <w:r w:rsidR="00D070B2">
        <w:rPr>
          <w:rFonts w:ascii="Arial" w:hAnsi="Arial" w:cs="Arial"/>
          <w:b/>
          <w:sz w:val="24"/>
          <w:szCs w:val="24"/>
        </w:rPr>
        <w:t>b</w:t>
      </w:r>
      <w:r w:rsidRPr="004A74A6">
        <w:rPr>
          <w:rFonts w:ascii="Arial" w:hAnsi="Arial" w:cs="Arial"/>
          <w:b/>
          <w:sz w:val="24"/>
          <w:szCs w:val="24"/>
        </w:rPr>
        <w:t>asic earnings per share</w:t>
      </w:r>
      <w:r w:rsidRPr="0045089B">
        <w:rPr>
          <w:rFonts w:ascii="Arial" w:hAnsi="Arial" w:cs="Arial" w:hint="eastAsia"/>
          <w:sz w:val="24"/>
          <w:szCs w:val="24"/>
        </w:rPr>
        <w:t xml:space="preserve"> </w:t>
      </w:r>
      <w:r w:rsidRPr="00256A43">
        <w:rPr>
          <w:rFonts w:ascii="Arial" w:hAnsi="Arial" w:cs="Arial"/>
          <w:sz w:val="24"/>
          <w:szCs w:val="24"/>
        </w:rPr>
        <w:t>de</w:t>
      </w:r>
      <w:r>
        <w:rPr>
          <w:rFonts w:ascii="Arial" w:hAnsi="Arial" w:cs="Arial"/>
          <w:sz w:val="24"/>
          <w:szCs w:val="24"/>
        </w:rPr>
        <w:t>creased by 19</w:t>
      </w:r>
      <w:r w:rsidR="00A739B8">
        <w:rPr>
          <w:rFonts w:ascii="Arial" w:hAnsi="Arial" w:cs="Arial"/>
          <w:sz w:val="24"/>
          <w:szCs w:val="24"/>
        </w:rPr>
        <w:t>.0</w:t>
      </w:r>
      <w:r>
        <w:rPr>
          <w:rFonts w:ascii="Arial" w:hAnsi="Arial" w:cs="Arial"/>
          <w:sz w:val="24"/>
          <w:szCs w:val="24"/>
        </w:rPr>
        <w:t xml:space="preserve">% </w:t>
      </w:r>
      <w:r w:rsidRPr="0050210E">
        <w:rPr>
          <w:rFonts w:ascii="Arial" w:hAnsi="Arial" w:cs="Arial"/>
          <w:sz w:val="24"/>
          <w:szCs w:val="24"/>
        </w:rPr>
        <w:t>to 24.3p</w:t>
      </w:r>
      <w:r w:rsidRPr="00256A43">
        <w:rPr>
          <w:rFonts w:ascii="Arial" w:hAnsi="Arial" w:cs="Arial"/>
          <w:sz w:val="24"/>
          <w:szCs w:val="24"/>
        </w:rPr>
        <w:t xml:space="preserve"> (2013</w:t>
      </w:r>
      <w:r w:rsidRPr="0045089B">
        <w:rPr>
          <w:rFonts w:ascii="Arial" w:hAnsi="Arial" w:cs="Arial" w:hint="eastAsia"/>
          <w:sz w:val="24"/>
          <w:szCs w:val="24"/>
        </w:rPr>
        <w:t>/1</w:t>
      </w:r>
      <w:r>
        <w:rPr>
          <w:rFonts w:ascii="Arial" w:hAnsi="Arial" w:cs="Arial"/>
          <w:sz w:val="24"/>
          <w:szCs w:val="24"/>
        </w:rPr>
        <w:t>4</w:t>
      </w:r>
      <w:r w:rsidRPr="0045089B">
        <w:rPr>
          <w:rFonts w:ascii="Arial" w:hAnsi="Arial" w:cs="Arial" w:hint="eastAsia"/>
          <w:sz w:val="24"/>
          <w:szCs w:val="24"/>
        </w:rPr>
        <w:t xml:space="preserve">: </w:t>
      </w:r>
      <w:r>
        <w:rPr>
          <w:rFonts w:ascii="Arial" w:hAnsi="Arial" w:cs="Arial"/>
          <w:sz w:val="24"/>
          <w:szCs w:val="24"/>
        </w:rPr>
        <w:t>30.0</w:t>
      </w:r>
      <w:r>
        <w:rPr>
          <w:rFonts w:ascii="Arial" w:hAnsi="Arial" w:cs="Arial" w:hint="eastAsia"/>
          <w:sz w:val="24"/>
          <w:szCs w:val="24"/>
        </w:rPr>
        <w:t xml:space="preserve">p) as </w:t>
      </w:r>
      <w:r w:rsidRPr="00C82F88">
        <w:rPr>
          <w:rFonts w:ascii="Arial" w:hAnsi="Arial" w:cs="Arial"/>
          <w:sz w:val="24"/>
          <w:szCs w:val="24"/>
        </w:rPr>
        <w:t>set out below:</w:t>
      </w:r>
    </w:p>
    <w:p w14:paraId="0C1BD97D" w14:textId="77777777" w:rsidR="00104D21" w:rsidRDefault="00104D21" w:rsidP="00104D21">
      <w:pPr>
        <w:jc w:val="left"/>
        <w:rPr>
          <w:rFonts w:ascii="Arial" w:hAnsi="Arial" w:cs="Arial"/>
          <w:b/>
          <w:bCs/>
          <w:color w:val="FF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5"/>
        <w:gridCol w:w="1408"/>
        <w:gridCol w:w="1408"/>
        <w:gridCol w:w="1190"/>
        <w:gridCol w:w="1190"/>
      </w:tblGrid>
      <w:tr w:rsidR="00104D21" w:rsidRPr="00F53F2D" w14:paraId="35A9932F" w14:textId="77777777" w:rsidTr="00104D21">
        <w:tc>
          <w:tcPr>
            <w:tcW w:w="2305" w:type="pct"/>
            <w:tcBorders>
              <w:bottom w:val="single" w:sz="4" w:space="0" w:color="auto"/>
            </w:tcBorders>
          </w:tcPr>
          <w:p w14:paraId="23734456" w14:textId="77777777" w:rsidR="00104D21" w:rsidRPr="00E530B3" w:rsidRDefault="00104D21" w:rsidP="00104D21">
            <w:pPr>
              <w:rPr>
                <w:rFonts w:ascii="Arial" w:hAnsi="Arial" w:cs="Arial"/>
                <w:sz w:val="24"/>
                <w:szCs w:val="24"/>
              </w:rPr>
            </w:pPr>
          </w:p>
        </w:tc>
        <w:tc>
          <w:tcPr>
            <w:tcW w:w="730" w:type="pct"/>
            <w:tcBorders>
              <w:bottom w:val="single" w:sz="4" w:space="0" w:color="auto"/>
            </w:tcBorders>
          </w:tcPr>
          <w:p w14:paraId="18116C5D" w14:textId="77777777" w:rsidR="00104D21" w:rsidRDefault="00104D21" w:rsidP="00104D21">
            <w:pPr>
              <w:jc w:val="right"/>
              <w:rPr>
                <w:rFonts w:ascii="Arial" w:hAnsi="Arial" w:cs="Arial"/>
                <w:b/>
                <w:sz w:val="24"/>
                <w:szCs w:val="24"/>
              </w:rPr>
            </w:pPr>
            <w:r>
              <w:rPr>
                <w:rFonts w:ascii="Arial" w:hAnsi="Arial" w:cs="Arial"/>
                <w:b/>
                <w:sz w:val="24"/>
                <w:szCs w:val="24"/>
              </w:rPr>
              <w:t>Earnings</w:t>
            </w:r>
          </w:p>
          <w:p w14:paraId="6F76EC72" w14:textId="77777777" w:rsidR="00104D21" w:rsidRDefault="00104D21" w:rsidP="00104D21">
            <w:pPr>
              <w:jc w:val="right"/>
              <w:rPr>
                <w:rFonts w:ascii="Arial" w:hAnsi="Arial" w:cs="Arial"/>
                <w:b/>
                <w:sz w:val="24"/>
                <w:szCs w:val="24"/>
              </w:rPr>
            </w:pPr>
            <w:r>
              <w:rPr>
                <w:rFonts w:ascii="Arial" w:hAnsi="Arial" w:cs="Arial"/>
                <w:b/>
                <w:sz w:val="24"/>
                <w:szCs w:val="24"/>
              </w:rPr>
              <w:t>£m</w:t>
            </w:r>
          </w:p>
        </w:tc>
        <w:tc>
          <w:tcPr>
            <w:tcW w:w="730" w:type="pct"/>
            <w:tcBorders>
              <w:bottom w:val="single" w:sz="4" w:space="0" w:color="auto"/>
            </w:tcBorders>
          </w:tcPr>
          <w:p w14:paraId="4059C840" w14:textId="77777777" w:rsidR="00104D21" w:rsidRDefault="00104D21" w:rsidP="00104D21">
            <w:pPr>
              <w:jc w:val="right"/>
              <w:rPr>
                <w:rFonts w:ascii="Arial" w:hAnsi="Arial" w:cs="Arial"/>
                <w:b/>
                <w:sz w:val="24"/>
                <w:szCs w:val="24"/>
              </w:rPr>
            </w:pPr>
          </w:p>
          <w:p w14:paraId="4F641C63" w14:textId="77777777" w:rsidR="00104D21" w:rsidRPr="00D327BC" w:rsidRDefault="00104D21" w:rsidP="00104D21">
            <w:pPr>
              <w:jc w:val="right"/>
              <w:rPr>
                <w:rFonts w:ascii="Arial" w:hAnsi="Arial" w:cs="Arial"/>
                <w:b/>
                <w:sz w:val="24"/>
                <w:szCs w:val="24"/>
              </w:rPr>
            </w:pPr>
            <w:r>
              <w:rPr>
                <w:rFonts w:ascii="Arial" w:hAnsi="Arial" w:cs="Arial"/>
                <w:b/>
                <w:sz w:val="24"/>
                <w:szCs w:val="24"/>
              </w:rPr>
              <w:t>2014/15</w:t>
            </w:r>
          </w:p>
        </w:tc>
        <w:tc>
          <w:tcPr>
            <w:tcW w:w="617" w:type="pct"/>
            <w:tcBorders>
              <w:bottom w:val="single" w:sz="4" w:space="0" w:color="auto"/>
            </w:tcBorders>
          </w:tcPr>
          <w:p w14:paraId="4EA1D356" w14:textId="77777777" w:rsidR="00104D21" w:rsidRPr="00DE36C0" w:rsidRDefault="00104D21" w:rsidP="00104D21">
            <w:pPr>
              <w:jc w:val="right"/>
              <w:rPr>
                <w:rFonts w:ascii="Arial" w:hAnsi="Arial" w:cs="Arial"/>
                <w:sz w:val="24"/>
                <w:szCs w:val="24"/>
              </w:rPr>
            </w:pPr>
            <w:r w:rsidRPr="00DE36C0">
              <w:rPr>
                <w:rFonts w:ascii="Arial" w:hAnsi="Arial" w:cs="Arial"/>
                <w:sz w:val="24"/>
                <w:szCs w:val="24"/>
              </w:rPr>
              <w:t>Earnings</w:t>
            </w:r>
          </w:p>
          <w:p w14:paraId="31356E1F" w14:textId="77777777" w:rsidR="00104D21" w:rsidRPr="00DE36C0" w:rsidRDefault="00104D21" w:rsidP="00104D21">
            <w:pPr>
              <w:jc w:val="right"/>
              <w:rPr>
                <w:rFonts w:ascii="Arial" w:hAnsi="Arial" w:cs="Arial"/>
                <w:sz w:val="24"/>
                <w:szCs w:val="24"/>
              </w:rPr>
            </w:pPr>
            <w:r w:rsidRPr="00DE36C0">
              <w:rPr>
                <w:rFonts w:ascii="Arial" w:hAnsi="Arial" w:cs="Arial"/>
                <w:sz w:val="24"/>
                <w:szCs w:val="24"/>
              </w:rPr>
              <w:t>£m</w:t>
            </w:r>
          </w:p>
        </w:tc>
        <w:tc>
          <w:tcPr>
            <w:tcW w:w="617" w:type="pct"/>
            <w:tcBorders>
              <w:bottom w:val="single" w:sz="4" w:space="0" w:color="auto"/>
            </w:tcBorders>
          </w:tcPr>
          <w:p w14:paraId="69CE79F8" w14:textId="77777777" w:rsidR="00104D21" w:rsidRDefault="00104D21" w:rsidP="00104D21">
            <w:pPr>
              <w:jc w:val="right"/>
              <w:rPr>
                <w:rFonts w:ascii="Arial" w:hAnsi="Arial" w:cs="Arial"/>
                <w:sz w:val="24"/>
                <w:szCs w:val="24"/>
              </w:rPr>
            </w:pPr>
          </w:p>
          <w:p w14:paraId="312A0FB6" w14:textId="77777777" w:rsidR="00104D21" w:rsidRPr="00B65AB3" w:rsidRDefault="00104D21" w:rsidP="00104D21">
            <w:pPr>
              <w:jc w:val="right"/>
              <w:rPr>
                <w:rFonts w:ascii="Arial" w:hAnsi="Arial" w:cs="Arial"/>
                <w:sz w:val="24"/>
                <w:szCs w:val="24"/>
              </w:rPr>
            </w:pPr>
            <w:r w:rsidRPr="00B65AB3">
              <w:rPr>
                <w:rFonts w:ascii="Arial" w:hAnsi="Arial" w:cs="Arial"/>
                <w:sz w:val="24"/>
                <w:szCs w:val="24"/>
              </w:rPr>
              <w:t>201</w:t>
            </w:r>
            <w:r>
              <w:rPr>
                <w:rFonts w:ascii="Arial" w:hAnsi="Arial" w:cs="Arial"/>
                <w:sz w:val="24"/>
                <w:szCs w:val="24"/>
              </w:rPr>
              <w:t>3</w:t>
            </w:r>
            <w:r w:rsidRPr="00B65AB3">
              <w:rPr>
                <w:rFonts w:ascii="Arial" w:hAnsi="Arial" w:cs="Arial"/>
                <w:sz w:val="24"/>
                <w:szCs w:val="24"/>
              </w:rPr>
              <w:t>/1</w:t>
            </w:r>
            <w:r>
              <w:rPr>
                <w:rFonts w:ascii="Arial" w:hAnsi="Arial" w:cs="Arial"/>
                <w:sz w:val="24"/>
                <w:szCs w:val="24"/>
              </w:rPr>
              <w:t>4</w:t>
            </w:r>
          </w:p>
        </w:tc>
      </w:tr>
      <w:tr w:rsidR="00104D21" w:rsidRPr="004859B4" w14:paraId="3750C9A3" w14:textId="77777777" w:rsidTr="00104D21">
        <w:tc>
          <w:tcPr>
            <w:tcW w:w="2305" w:type="pct"/>
            <w:tcBorders>
              <w:top w:val="single" w:sz="4" w:space="0" w:color="auto"/>
            </w:tcBorders>
          </w:tcPr>
          <w:p w14:paraId="4580324A" w14:textId="77777777" w:rsidR="00104D21" w:rsidRPr="004A74A6" w:rsidRDefault="00104D21" w:rsidP="00104D21">
            <w:pPr>
              <w:rPr>
                <w:rFonts w:ascii="Arial" w:hAnsi="Arial" w:cs="Arial"/>
                <w:b/>
                <w:sz w:val="24"/>
                <w:szCs w:val="24"/>
              </w:rPr>
            </w:pPr>
            <w:r w:rsidRPr="004A74A6">
              <w:rPr>
                <w:rFonts w:ascii="Arial" w:hAnsi="Arial" w:cs="Arial"/>
                <w:b/>
                <w:sz w:val="24"/>
                <w:szCs w:val="24"/>
              </w:rPr>
              <w:t>Adjusted earnings per share</w:t>
            </w:r>
          </w:p>
        </w:tc>
        <w:tc>
          <w:tcPr>
            <w:tcW w:w="730" w:type="pct"/>
            <w:tcBorders>
              <w:top w:val="single" w:sz="4" w:space="0" w:color="auto"/>
            </w:tcBorders>
          </w:tcPr>
          <w:p w14:paraId="62160DE8" w14:textId="77777777" w:rsidR="00104D21" w:rsidRPr="0050210E" w:rsidRDefault="00104D21" w:rsidP="00104D21">
            <w:pPr>
              <w:jc w:val="right"/>
              <w:rPr>
                <w:rFonts w:ascii="Arial" w:hAnsi="Arial" w:cs="Arial"/>
                <w:b/>
                <w:sz w:val="24"/>
                <w:szCs w:val="24"/>
              </w:rPr>
            </w:pPr>
            <w:r>
              <w:rPr>
                <w:rFonts w:ascii="Arial" w:hAnsi="Arial" w:cs="Arial"/>
                <w:b/>
                <w:sz w:val="24"/>
                <w:szCs w:val="24"/>
              </w:rPr>
              <w:t>493</w:t>
            </w:r>
          </w:p>
        </w:tc>
        <w:tc>
          <w:tcPr>
            <w:tcW w:w="730" w:type="pct"/>
            <w:tcBorders>
              <w:top w:val="single" w:sz="4" w:space="0" w:color="auto"/>
            </w:tcBorders>
          </w:tcPr>
          <w:p w14:paraId="032072FF" w14:textId="77777777" w:rsidR="00104D21" w:rsidRPr="0050210E" w:rsidRDefault="00104D21" w:rsidP="00104D21">
            <w:pPr>
              <w:jc w:val="right"/>
              <w:rPr>
                <w:rFonts w:ascii="Arial" w:hAnsi="Arial" w:cs="Arial"/>
                <w:b/>
                <w:sz w:val="24"/>
                <w:szCs w:val="24"/>
              </w:rPr>
            </w:pPr>
            <w:r>
              <w:rPr>
                <w:rFonts w:ascii="Arial" w:hAnsi="Arial" w:cs="Arial"/>
                <w:b/>
                <w:sz w:val="24"/>
                <w:szCs w:val="24"/>
              </w:rPr>
              <w:t>20.9</w:t>
            </w:r>
            <w:r w:rsidRPr="0050210E">
              <w:rPr>
                <w:rFonts w:ascii="Arial" w:hAnsi="Arial" w:cs="Arial"/>
                <w:b/>
                <w:sz w:val="24"/>
                <w:szCs w:val="24"/>
              </w:rPr>
              <w:t>p</w:t>
            </w:r>
          </w:p>
        </w:tc>
        <w:tc>
          <w:tcPr>
            <w:tcW w:w="617" w:type="pct"/>
            <w:tcBorders>
              <w:top w:val="single" w:sz="4" w:space="0" w:color="auto"/>
            </w:tcBorders>
          </w:tcPr>
          <w:p w14:paraId="0EE861D4" w14:textId="77777777" w:rsidR="00104D21" w:rsidRPr="00B65AB3" w:rsidRDefault="00104D21" w:rsidP="00104D21">
            <w:pPr>
              <w:jc w:val="right"/>
              <w:rPr>
                <w:rFonts w:ascii="Arial" w:hAnsi="Arial" w:cs="Arial"/>
                <w:sz w:val="24"/>
                <w:szCs w:val="24"/>
              </w:rPr>
            </w:pPr>
            <w:r>
              <w:rPr>
                <w:rFonts w:ascii="Arial" w:hAnsi="Arial" w:cs="Arial"/>
                <w:sz w:val="24"/>
                <w:szCs w:val="24"/>
              </w:rPr>
              <w:t>538</w:t>
            </w:r>
          </w:p>
        </w:tc>
        <w:tc>
          <w:tcPr>
            <w:tcW w:w="617" w:type="pct"/>
            <w:tcBorders>
              <w:top w:val="single" w:sz="4" w:space="0" w:color="auto"/>
            </w:tcBorders>
          </w:tcPr>
          <w:p w14:paraId="03FDB68C" w14:textId="77777777" w:rsidR="00104D21" w:rsidRPr="00B65AB3" w:rsidRDefault="00104D21" w:rsidP="00104D21">
            <w:pPr>
              <w:jc w:val="right"/>
              <w:rPr>
                <w:rFonts w:ascii="Arial" w:hAnsi="Arial" w:cs="Arial"/>
                <w:sz w:val="24"/>
                <w:szCs w:val="24"/>
              </w:rPr>
            </w:pPr>
            <w:r>
              <w:rPr>
                <w:rFonts w:ascii="Arial" w:hAnsi="Arial" w:cs="Arial"/>
                <w:sz w:val="24"/>
                <w:szCs w:val="24"/>
              </w:rPr>
              <w:t>22.8</w:t>
            </w:r>
            <w:r w:rsidRPr="00B65AB3">
              <w:rPr>
                <w:rFonts w:ascii="Arial" w:hAnsi="Arial" w:cs="Arial"/>
                <w:sz w:val="24"/>
                <w:szCs w:val="24"/>
              </w:rPr>
              <w:t>p</w:t>
            </w:r>
          </w:p>
        </w:tc>
      </w:tr>
      <w:tr w:rsidR="00104D21" w:rsidRPr="004859B4" w14:paraId="1A7FD716" w14:textId="77777777" w:rsidTr="00104D21">
        <w:tc>
          <w:tcPr>
            <w:tcW w:w="2305" w:type="pct"/>
          </w:tcPr>
          <w:p w14:paraId="31545592" w14:textId="77777777" w:rsidR="00104D21" w:rsidRDefault="00104D21" w:rsidP="00104D21">
            <w:pPr>
              <w:jc w:val="left"/>
              <w:rPr>
                <w:rFonts w:ascii="Arial" w:hAnsi="Arial" w:cs="Arial"/>
                <w:sz w:val="24"/>
                <w:szCs w:val="24"/>
              </w:rPr>
            </w:pPr>
            <w:r>
              <w:rPr>
                <w:rFonts w:ascii="Arial" w:hAnsi="Arial" w:cs="Arial"/>
                <w:sz w:val="24"/>
                <w:szCs w:val="24"/>
              </w:rPr>
              <w:t>Share of Hornbach post-tax results</w:t>
            </w:r>
          </w:p>
        </w:tc>
        <w:tc>
          <w:tcPr>
            <w:tcW w:w="730" w:type="pct"/>
          </w:tcPr>
          <w:p w14:paraId="0B639656"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w:t>
            </w:r>
          </w:p>
        </w:tc>
        <w:tc>
          <w:tcPr>
            <w:tcW w:w="730" w:type="pct"/>
          </w:tcPr>
          <w:p w14:paraId="068B21FC"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w:t>
            </w:r>
          </w:p>
        </w:tc>
        <w:tc>
          <w:tcPr>
            <w:tcW w:w="617" w:type="pct"/>
          </w:tcPr>
          <w:p w14:paraId="22A371A1" w14:textId="77777777" w:rsidR="00104D21" w:rsidRDefault="00104D21" w:rsidP="00104D21">
            <w:pPr>
              <w:jc w:val="right"/>
              <w:rPr>
                <w:rFonts w:ascii="Arial" w:hAnsi="Arial" w:cs="Arial"/>
                <w:sz w:val="24"/>
                <w:szCs w:val="24"/>
              </w:rPr>
            </w:pPr>
            <w:r>
              <w:rPr>
                <w:rFonts w:ascii="Arial" w:hAnsi="Arial" w:cs="Arial"/>
                <w:sz w:val="24"/>
                <w:szCs w:val="24"/>
              </w:rPr>
              <w:t>14</w:t>
            </w:r>
          </w:p>
        </w:tc>
        <w:tc>
          <w:tcPr>
            <w:tcW w:w="617" w:type="pct"/>
          </w:tcPr>
          <w:p w14:paraId="734ADFFD" w14:textId="77777777" w:rsidR="00104D21" w:rsidRDefault="00104D21" w:rsidP="00104D21">
            <w:pPr>
              <w:jc w:val="right"/>
              <w:rPr>
                <w:rFonts w:ascii="Arial" w:hAnsi="Arial" w:cs="Arial"/>
                <w:sz w:val="24"/>
                <w:szCs w:val="24"/>
              </w:rPr>
            </w:pPr>
            <w:r>
              <w:rPr>
                <w:rFonts w:ascii="Arial" w:hAnsi="Arial" w:cs="Arial"/>
                <w:sz w:val="24"/>
                <w:szCs w:val="24"/>
              </w:rPr>
              <w:t>0.6p</w:t>
            </w:r>
          </w:p>
        </w:tc>
      </w:tr>
      <w:tr w:rsidR="00104D21" w:rsidRPr="004859B4" w14:paraId="5BE1BF77" w14:textId="77777777" w:rsidTr="00104D21">
        <w:tc>
          <w:tcPr>
            <w:tcW w:w="2305" w:type="pct"/>
          </w:tcPr>
          <w:p w14:paraId="356B294E" w14:textId="77777777" w:rsidR="00104D21" w:rsidRPr="00E530B3" w:rsidRDefault="00104D21" w:rsidP="00104D21">
            <w:pPr>
              <w:jc w:val="left"/>
              <w:rPr>
                <w:rFonts w:ascii="Arial" w:hAnsi="Arial" w:cs="Arial"/>
                <w:sz w:val="24"/>
                <w:szCs w:val="24"/>
              </w:rPr>
            </w:pPr>
            <w:r>
              <w:rPr>
                <w:rFonts w:ascii="Arial" w:hAnsi="Arial" w:cs="Arial"/>
                <w:sz w:val="24"/>
                <w:szCs w:val="24"/>
              </w:rPr>
              <w:t>Net e</w:t>
            </w:r>
            <w:r w:rsidRPr="00E530B3">
              <w:rPr>
                <w:rFonts w:ascii="Arial" w:hAnsi="Arial" w:cs="Arial"/>
                <w:sz w:val="24"/>
                <w:szCs w:val="24"/>
              </w:rPr>
              <w:t>xceptional items</w:t>
            </w:r>
            <w:r>
              <w:rPr>
                <w:rFonts w:ascii="Arial" w:hAnsi="Arial" w:cs="Arial"/>
                <w:sz w:val="24"/>
                <w:szCs w:val="24"/>
              </w:rPr>
              <w:t xml:space="preserve"> </w:t>
            </w:r>
          </w:p>
        </w:tc>
        <w:tc>
          <w:tcPr>
            <w:tcW w:w="730" w:type="pct"/>
          </w:tcPr>
          <w:p w14:paraId="6B1C65A8"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71</w:t>
            </w:r>
          </w:p>
        </w:tc>
        <w:tc>
          <w:tcPr>
            <w:tcW w:w="730" w:type="pct"/>
          </w:tcPr>
          <w:p w14:paraId="3B74D372"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3.1p</w:t>
            </w:r>
          </w:p>
        </w:tc>
        <w:tc>
          <w:tcPr>
            <w:tcW w:w="617" w:type="pct"/>
          </w:tcPr>
          <w:p w14:paraId="0BE0882C" w14:textId="77777777" w:rsidR="00104D21" w:rsidRPr="00B65AB3" w:rsidRDefault="00104D21" w:rsidP="00104D21">
            <w:pPr>
              <w:jc w:val="right"/>
              <w:rPr>
                <w:rFonts w:ascii="Arial" w:hAnsi="Arial" w:cs="Arial"/>
                <w:sz w:val="24"/>
                <w:szCs w:val="24"/>
              </w:rPr>
            </w:pPr>
            <w:r>
              <w:rPr>
                <w:rFonts w:ascii="Arial" w:hAnsi="Arial" w:cs="Arial"/>
                <w:sz w:val="24"/>
                <w:szCs w:val="24"/>
              </w:rPr>
              <w:t>131</w:t>
            </w:r>
          </w:p>
        </w:tc>
        <w:tc>
          <w:tcPr>
            <w:tcW w:w="617" w:type="pct"/>
          </w:tcPr>
          <w:p w14:paraId="3FD4A599" w14:textId="77777777" w:rsidR="00104D21" w:rsidRPr="00B65AB3" w:rsidRDefault="00104D21" w:rsidP="00104D21">
            <w:pPr>
              <w:jc w:val="right"/>
              <w:rPr>
                <w:rFonts w:ascii="Arial" w:hAnsi="Arial" w:cs="Arial"/>
                <w:sz w:val="24"/>
                <w:szCs w:val="24"/>
              </w:rPr>
            </w:pPr>
            <w:r>
              <w:rPr>
                <w:rFonts w:ascii="Arial" w:hAnsi="Arial" w:cs="Arial"/>
                <w:sz w:val="24"/>
                <w:szCs w:val="24"/>
              </w:rPr>
              <w:t>5.5</w:t>
            </w:r>
            <w:r w:rsidRPr="00B65AB3">
              <w:rPr>
                <w:rFonts w:ascii="Arial" w:hAnsi="Arial" w:cs="Arial"/>
                <w:sz w:val="24"/>
                <w:szCs w:val="24"/>
              </w:rPr>
              <w:t>p</w:t>
            </w:r>
          </w:p>
        </w:tc>
      </w:tr>
      <w:tr w:rsidR="00104D21" w:rsidRPr="004859B4" w14:paraId="1FBCA984" w14:textId="77777777" w:rsidTr="00104D21">
        <w:tc>
          <w:tcPr>
            <w:tcW w:w="2305" w:type="pct"/>
          </w:tcPr>
          <w:p w14:paraId="7E7B0CBF" w14:textId="77777777" w:rsidR="00104D21" w:rsidRDefault="00104D21" w:rsidP="00104D21">
            <w:pPr>
              <w:jc w:val="left"/>
              <w:rPr>
                <w:rFonts w:ascii="Arial" w:hAnsi="Arial" w:cs="Arial"/>
                <w:sz w:val="24"/>
                <w:szCs w:val="24"/>
              </w:rPr>
            </w:pPr>
            <w:r>
              <w:rPr>
                <w:rFonts w:ascii="Arial" w:hAnsi="Arial" w:cs="Arial"/>
                <w:sz w:val="24"/>
                <w:szCs w:val="24"/>
              </w:rPr>
              <w:t>Prior year tax items</w:t>
            </w:r>
          </w:p>
        </w:tc>
        <w:tc>
          <w:tcPr>
            <w:tcW w:w="730" w:type="pct"/>
          </w:tcPr>
          <w:p w14:paraId="51A4F764"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6</w:t>
            </w:r>
          </w:p>
        </w:tc>
        <w:tc>
          <w:tcPr>
            <w:tcW w:w="730" w:type="pct"/>
          </w:tcPr>
          <w:p w14:paraId="40B3A8D8"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0.2p</w:t>
            </w:r>
          </w:p>
        </w:tc>
        <w:tc>
          <w:tcPr>
            <w:tcW w:w="617" w:type="pct"/>
          </w:tcPr>
          <w:p w14:paraId="4761476D" w14:textId="77777777" w:rsidR="00104D21" w:rsidRPr="00B65AB3" w:rsidRDefault="00104D21" w:rsidP="00104D21">
            <w:pPr>
              <w:jc w:val="right"/>
              <w:rPr>
                <w:rFonts w:ascii="Arial" w:hAnsi="Arial" w:cs="Arial"/>
                <w:sz w:val="24"/>
                <w:szCs w:val="24"/>
              </w:rPr>
            </w:pPr>
            <w:r>
              <w:rPr>
                <w:rFonts w:ascii="Arial" w:hAnsi="Arial" w:cs="Arial"/>
                <w:sz w:val="24"/>
                <w:szCs w:val="24"/>
              </w:rPr>
              <w:t>27</w:t>
            </w:r>
          </w:p>
        </w:tc>
        <w:tc>
          <w:tcPr>
            <w:tcW w:w="617" w:type="pct"/>
          </w:tcPr>
          <w:p w14:paraId="79FDFC15" w14:textId="77777777" w:rsidR="00104D21" w:rsidRPr="00B65AB3" w:rsidRDefault="00104D21" w:rsidP="00104D21">
            <w:pPr>
              <w:jc w:val="right"/>
              <w:rPr>
                <w:rFonts w:ascii="Arial" w:hAnsi="Arial" w:cs="Arial"/>
                <w:sz w:val="24"/>
                <w:szCs w:val="24"/>
              </w:rPr>
            </w:pPr>
            <w:r>
              <w:rPr>
                <w:rFonts w:ascii="Arial" w:hAnsi="Arial" w:cs="Arial"/>
                <w:sz w:val="24"/>
                <w:szCs w:val="24"/>
              </w:rPr>
              <w:t>1.2p</w:t>
            </w:r>
          </w:p>
        </w:tc>
      </w:tr>
      <w:tr w:rsidR="00104D21" w:rsidRPr="004859B4" w14:paraId="57673349" w14:textId="77777777" w:rsidTr="00104D21">
        <w:tc>
          <w:tcPr>
            <w:tcW w:w="2305" w:type="pct"/>
          </w:tcPr>
          <w:p w14:paraId="23BFF868" w14:textId="77777777" w:rsidR="00104D21" w:rsidRPr="00E530B3" w:rsidRDefault="00104D21" w:rsidP="00104D21">
            <w:pPr>
              <w:jc w:val="left"/>
              <w:rPr>
                <w:rFonts w:ascii="Arial" w:hAnsi="Arial" w:cs="Arial"/>
                <w:sz w:val="24"/>
                <w:szCs w:val="24"/>
              </w:rPr>
            </w:pPr>
            <w:r>
              <w:rPr>
                <w:rFonts w:ascii="Arial" w:hAnsi="Arial" w:cs="Arial"/>
                <w:sz w:val="24"/>
                <w:szCs w:val="24"/>
              </w:rPr>
              <w:t>FFVR (net of tax)</w:t>
            </w:r>
          </w:p>
        </w:tc>
        <w:tc>
          <w:tcPr>
            <w:tcW w:w="730" w:type="pct"/>
          </w:tcPr>
          <w:p w14:paraId="16A98440"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3</w:t>
            </w:r>
          </w:p>
        </w:tc>
        <w:tc>
          <w:tcPr>
            <w:tcW w:w="730" w:type="pct"/>
          </w:tcPr>
          <w:p w14:paraId="00435642"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0.1p</w:t>
            </w:r>
          </w:p>
        </w:tc>
        <w:tc>
          <w:tcPr>
            <w:tcW w:w="617" w:type="pct"/>
          </w:tcPr>
          <w:p w14:paraId="3250CEA3" w14:textId="77777777" w:rsidR="00104D21" w:rsidRPr="00B65AB3" w:rsidRDefault="00104D21" w:rsidP="00104D21">
            <w:pPr>
              <w:jc w:val="right"/>
              <w:rPr>
                <w:rFonts w:ascii="Arial" w:hAnsi="Arial" w:cs="Arial"/>
                <w:sz w:val="24"/>
                <w:szCs w:val="24"/>
              </w:rPr>
            </w:pPr>
            <w:r>
              <w:rPr>
                <w:rFonts w:ascii="Arial" w:hAnsi="Arial" w:cs="Arial"/>
                <w:sz w:val="24"/>
                <w:szCs w:val="24"/>
              </w:rPr>
              <w:t>(1)</w:t>
            </w:r>
          </w:p>
        </w:tc>
        <w:tc>
          <w:tcPr>
            <w:tcW w:w="617" w:type="pct"/>
          </w:tcPr>
          <w:p w14:paraId="61140095" w14:textId="77777777" w:rsidR="00104D21" w:rsidRPr="00B65AB3" w:rsidRDefault="00104D21" w:rsidP="00104D21">
            <w:pPr>
              <w:jc w:val="right"/>
              <w:rPr>
                <w:rFonts w:ascii="Arial" w:hAnsi="Arial" w:cs="Arial"/>
                <w:sz w:val="24"/>
                <w:szCs w:val="24"/>
              </w:rPr>
            </w:pPr>
            <w:r>
              <w:rPr>
                <w:rFonts w:ascii="Arial" w:hAnsi="Arial" w:cs="Arial"/>
                <w:sz w:val="24"/>
                <w:szCs w:val="24"/>
              </w:rPr>
              <w:t>(0.1)p</w:t>
            </w:r>
          </w:p>
        </w:tc>
      </w:tr>
      <w:tr w:rsidR="00104D21" w:rsidRPr="004859B4" w14:paraId="2ED9506F" w14:textId="77777777" w:rsidTr="00104D21">
        <w:trPr>
          <w:trHeight w:val="70"/>
        </w:trPr>
        <w:tc>
          <w:tcPr>
            <w:tcW w:w="2305" w:type="pct"/>
            <w:tcBorders>
              <w:top w:val="single" w:sz="4" w:space="0" w:color="auto"/>
              <w:bottom w:val="single" w:sz="4" w:space="0" w:color="auto"/>
            </w:tcBorders>
          </w:tcPr>
          <w:p w14:paraId="2D276B96" w14:textId="77777777" w:rsidR="00104D21" w:rsidRPr="00C82F88" w:rsidRDefault="00104D21" w:rsidP="00104D21">
            <w:pPr>
              <w:rPr>
                <w:rFonts w:ascii="Arial" w:hAnsi="Arial" w:cs="Arial"/>
                <w:b/>
                <w:sz w:val="24"/>
                <w:szCs w:val="24"/>
              </w:rPr>
            </w:pPr>
            <w:r>
              <w:rPr>
                <w:rFonts w:ascii="Arial" w:hAnsi="Arial" w:cs="Arial"/>
                <w:b/>
                <w:sz w:val="24"/>
                <w:szCs w:val="24"/>
              </w:rPr>
              <w:t xml:space="preserve">Basic </w:t>
            </w:r>
            <w:r w:rsidRPr="00C82F88">
              <w:rPr>
                <w:rFonts w:ascii="Arial" w:hAnsi="Arial" w:cs="Arial"/>
                <w:b/>
                <w:sz w:val="24"/>
                <w:szCs w:val="24"/>
              </w:rPr>
              <w:t>earnings per share</w:t>
            </w:r>
          </w:p>
        </w:tc>
        <w:tc>
          <w:tcPr>
            <w:tcW w:w="730" w:type="pct"/>
            <w:tcBorders>
              <w:top w:val="single" w:sz="4" w:space="0" w:color="auto"/>
              <w:bottom w:val="single" w:sz="4" w:space="0" w:color="auto"/>
            </w:tcBorders>
          </w:tcPr>
          <w:p w14:paraId="5C571AD4" w14:textId="77777777" w:rsidR="00104D21" w:rsidRPr="0050210E" w:rsidRDefault="00104D21" w:rsidP="00104D21">
            <w:pPr>
              <w:jc w:val="right"/>
              <w:rPr>
                <w:rFonts w:ascii="Arial" w:hAnsi="Arial" w:cs="Arial"/>
                <w:b/>
                <w:sz w:val="24"/>
                <w:szCs w:val="24"/>
              </w:rPr>
            </w:pPr>
            <w:r>
              <w:rPr>
                <w:rFonts w:ascii="Arial" w:hAnsi="Arial" w:cs="Arial"/>
                <w:b/>
                <w:sz w:val="24"/>
                <w:szCs w:val="24"/>
              </w:rPr>
              <w:t>573</w:t>
            </w:r>
          </w:p>
        </w:tc>
        <w:tc>
          <w:tcPr>
            <w:tcW w:w="730" w:type="pct"/>
            <w:tcBorders>
              <w:top w:val="single" w:sz="4" w:space="0" w:color="auto"/>
              <w:bottom w:val="single" w:sz="4" w:space="0" w:color="auto"/>
            </w:tcBorders>
          </w:tcPr>
          <w:p w14:paraId="14AD1FD8"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2</w:t>
            </w:r>
            <w:r>
              <w:rPr>
                <w:rFonts w:ascii="Arial" w:hAnsi="Arial" w:cs="Arial"/>
                <w:b/>
                <w:sz w:val="24"/>
                <w:szCs w:val="24"/>
              </w:rPr>
              <w:t>4.3</w:t>
            </w:r>
            <w:r w:rsidRPr="0050210E">
              <w:rPr>
                <w:rFonts w:ascii="Arial" w:hAnsi="Arial" w:cs="Arial"/>
                <w:b/>
                <w:sz w:val="24"/>
                <w:szCs w:val="24"/>
              </w:rPr>
              <w:t>p</w:t>
            </w:r>
          </w:p>
        </w:tc>
        <w:tc>
          <w:tcPr>
            <w:tcW w:w="617" w:type="pct"/>
            <w:tcBorders>
              <w:top w:val="single" w:sz="4" w:space="0" w:color="auto"/>
              <w:bottom w:val="single" w:sz="4" w:space="0" w:color="auto"/>
            </w:tcBorders>
          </w:tcPr>
          <w:p w14:paraId="50AB595D" w14:textId="77777777" w:rsidR="00104D21" w:rsidRPr="00B65AB3" w:rsidRDefault="00104D21" w:rsidP="00104D21">
            <w:pPr>
              <w:jc w:val="right"/>
              <w:rPr>
                <w:rFonts w:ascii="Arial" w:hAnsi="Arial" w:cs="Arial"/>
                <w:sz w:val="24"/>
                <w:szCs w:val="24"/>
              </w:rPr>
            </w:pPr>
            <w:r>
              <w:rPr>
                <w:rFonts w:ascii="Arial" w:hAnsi="Arial" w:cs="Arial"/>
                <w:sz w:val="24"/>
                <w:szCs w:val="24"/>
              </w:rPr>
              <w:t>709</w:t>
            </w:r>
          </w:p>
        </w:tc>
        <w:tc>
          <w:tcPr>
            <w:tcW w:w="617" w:type="pct"/>
            <w:tcBorders>
              <w:top w:val="single" w:sz="4" w:space="0" w:color="auto"/>
              <w:bottom w:val="single" w:sz="4" w:space="0" w:color="auto"/>
            </w:tcBorders>
          </w:tcPr>
          <w:p w14:paraId="589031F4" w14:textId="77777777" w:rsidR="00104D21" w:rsidRPr="00B65AB3" w:rsidRDefault="00104D21" w:rsidP="00104D21">
            <w:pPr>
              <w:jc w:val="right"/>
              <w:rPr>
                <w:rFonts w:ascii="Arial" w:hAnsi="Arial" w:cs="Arial"/>
                <w:sz w:val="24"/>
                <w:szCs w:val="24"/>
              </w:rPr>
            </w:pPr>
            <w:r>
              <w:rPr>
                <w:rFonts w:ascii="Arial" w:hAnsi="Arial" w:cs="Arial"/>
                <w:sz w:val="24"/>
                <w:szCs w:val="24"/>
              </w:rPr>
              <w:t>30.0</w:t>
            </w:r>
            <w:r w:rsidRPr="00B65AB3">
              <w:rPr>
                <w:rFonts w:ascii="Arial" w:hAnsi="Arial" w:cs="Arial"/>
                <w:sz w:val="24"/>
                <w:szCs w:val="24"/>
              </w:rPr>
              <w:t>p</w:t>
            </w:r>
          </w:p>
        </w:tc>
      </w:tr>
    </w:tbl>
    <w:p w14:paraId="61EF704A" w14:textId="77777777" w:rsidR="00104D21" w:rsidRDefault="00104D21" w:rsidP="00104D21">
      <w:pPr>
        <w:jc w:val="left"/>
        <w:rPr>
          <w:rFonts w:ascii="Arial" w:hAnsi="Arial" w:cs="Arial"/>
          <w:b/>
          <w:sz w:val="24"/>
          <w:szCs w:val="24"/>
        </w:rPr>
      </w:pPr>
    </w:p>
    <w:p w14:paraId="3C68BC86" w14:textId="77777777" w:rsidR="00104D21" w:rsidRPr="00325ADC" w:rsidRDefault="00104D21" w:rsidP="00104D21">
      <w:pPr>
        <w:jc w:val="left"/>
        <w:rPr>
          <w:rFonts w:ascii="Arial" w:hAnsi="Arial" w:cs="Arial"/>
          <w:b/>
          <w:bCs/>
          <w:sz w:val="24"/>
          <w:szCs w:val="24"/>
        </w:rPr>
      </w:pPr>
      <w:r w:rsidRPr="00325ADC">
        <w:rPr>
          <w:rFonts w:ascii="Arial" w:hAnsi="Arial" w:cs="Arial"/>
          <w:b/>
          <w:bCs/>
          <w:sz w:val="24"/>
          <w:szCs w:val="24"/>
        </w:rPr>
        <w:t>Dividends</w:t>
      </w:r>
      <w:r>
        <w:rPr>
          <w:rFonts w:ascii="Arial" w:hAnsi="Arial" w:cs="Arial"/>
          <w:b/>
          <w:bCs/>
          <w:sz w:val="24"/>
          <w:szCs w:val="24"/>
        </w:rPr>
        <w:t xml:space="preserve"> and capital returns</w:t>
      </w:r>
    </w:p>
    <w:p w14:paraId="19153CFE" w14:textId="77777777" w:rsidR="00104D21" w:rsidRPr="00325ADC" w:rsidRDefault="00104D21" w:rsidP="00104D21">
      <w:pPr>
        <w:jc w:val="left"/>
        <w:rPr>
          <w:rFonts w:ascii="Arial" w:hAnsi="Arial" w:cs="Arial"/>
          <w:b/>
          <w:bCs/>
          <w:color w:val="FF0000"/>
          <w:sz w:val="24"/>
          <w:szCs w:val="24"/>
        </w:rPr>
      </w:pPr>
    </w:p>
    <w:p w14:paraId="5ED1ADB8" w14:textId="01DE61D8" w:rsidR="00104D21" w:rsidRPr="00A64D40" w:rsidRDefault="00104D21" w:rsidP="00104D21">
      <w:pPr>
        <w:jc w:val="left"/>
        <w:rPr>
          <w:rFonts w:ascii="Arial" w:hAnsi="Arial" w:cs="Arial"/>
          <w:sz w:val="24"/>
          <w:szCs w:val="24"/>
        </w:rPr>
      </w:pPr>
      <w:r w:rsidRPr="000E6C79">
        <w:rPr>
          <w:rFonts w:ascii="Arial" w:hAnsi="Arial" w:cs="Arial" w:hint="eastAsia"/>
          <w:sz w:val="24"/>
          <w:szCs w:val="24"/>
        </w:rPr>
        <w:t xml:space="preserve">The Board has proposed a final dividend of </w:t>
      </w:r>
      <w:r w:rsidR="006E1952" w:rsidRPr="000E6C79">
        <w:rPr>
          <w:rFonts w:ascii="Arial" w:hAnsi="Arial" w:cs="Arial"/>
          <w:sz w:val="24"/>
          <w:szCs w:val="24"/>
        </w:rPr>
        <w:t>6</w:t>
      </w:r>
      <w:r w:rsidRPr="000E6C79">
        <w:rPr>
          <w:rFonts w:ascii="Arial" w:hAnsi="Arial" w:cs="Arial"/>
          <w:sz w:val="24"/>
          <w:szCs w:val="24"/>
        </w:rPr>
        <w:t>.</w:t>
      </w:r>
      <w:r w:rsidR="006E1952" w:rsidRPr="000E6C79">
        <w:rPr>
          <w:rFonts w:ascii="Arial" w:hAnsi="Arial" w:cs="Arial"/>
          <w:sz w:val="24"/>
          <w:szCs w:val="24"/>
        </w:rPr>
        <w:t>85</w:t>
      </w:r>
      <w:r w:rsidRPr="000E6C79">
        <w:rPr>
          <w:rFonts w:ascii="Arial" w:hAnsi="Arial" w:cs="Arial" w:hint="eastAsia"/>
          <w:sz w:val="24"/>
          <w:szCs w:val="24"/>
        </w:rPr>
        <w:t xml:space="preserve">p which results in a full year dividend of </w:t>
      </w:r>
      <w:r w:rsidR="006E1952" w:rsidRPr="000E6C79">
        <w:rPr>
          <w:rFonts w:ascii="Arial" w:hAnsi="Arial" w:cs="Arial"/>
          <w:sz w:val="24"/>
          <w:szCs w:val="24"/>
        </w:rPr>
        <w:t>10</w:t>
      </w:r>
      <w:r w:rsidRPr="000E6C79">
        <w:rPr>
          <w:rFonts w:ascii="Arial" w:hAnsi="Arial" w:cs="Arial"/>
          <w:sz w:val="24"/>
          <w:szCs w:val="24"/>
        </w:rPr>
        <w:t>.</w:t>
      </w:r>
      <w:r w:rsidR="006E1952" w:rsidRPr="000E6C79">
        <w:rPr>
          <w:rFonts w:ascii="Arial" w:hAnsi="Arial" w:cs="Arial"/>
          <w:sz w:val="24"/>
          <w:szCs w:val="24"/>
        </w:rPr>
        <w:t>0</w:t>
      </w:r>
      <w:r w:rsidRPr="000E6C79">
        <w:rPr>
          <w:rFonts w:ascii="Arial" w:hAnsi="Arial" w:cs="Arial"/>
          <w:sz w:val="24"/>
          <w:szCs w:val="24"/>
        </w:rPr>
        <w:t>p</w:t>
      </w:r>
      <w:r w:rsidRPr="000E6C79">
        <w:rPr>
          <w:rFonts w:ascii="Arial" w:hAnsi="Arial" w:cs="Arial" w:hint="eastAsia"/>
          <w:sz w:val="24"/>
          <w:szCs w:val="24"/>
        </w:rPr>
        <w:t xml:space="preserve">, an increase of </w:t>
      </w:r>
      <w:r w:rsidR="006E1952" w:rsidRPr="000E6C79">
        <w:rPr>
          <w:rFonts w:ascii="Arial" w:hAnsi="Arial" w:cs="Arial"/>
          <w:sz w:val="24"/>
          <w:szCs w:val="24"/>
        </w:rPr>
        <w:t>1</w:t>
      </w:r>
      <w:r w:rsidRPr="000E6C79">
        <w:rPr>
          <w:rFonts w:ascii="Arial" w:hAnsi="Arial" w:cs="Arial"/>
          <w:sz w:val="24"/>
          <w:szCs w:val="24"/>
        </w:rPr>
        <w:t>.</w:t>
      </w:r>
      <w:r w:rsidR="006E1952" w:rsidRPr="000E6C79">
        <w:rPr>
          <w:rFonts w:ascii="Arial" w:hAnsi="Arial" w:cs="Arial"/>
          <w:sz w:val="24"/>
          <w:szCs w:val="24"/>
        </w:rPr>
        <w:t>0</w:t>
      </w:r>
      <w:r w:rsidRPr="000E6C79">
        <w:rPr>
          <w:rFonts w:ascii="Arial" w:hAnsi="Arial" w:cs="Arial"/>
          <w:sz w:val="24"/>
          <w:szCs w:val="24"/>
        </w:rPr>
        <w:t>%</w:t>
      </w:r>
      <w:r w:rsidRPr="000E6C79">
        <w:rPr>
          <w:rFonts w:ascii="Arial" w:hAnsi="Arial" w:cs="Arial" w:hint="eastAsia"/>
          <w:sz w:val="24"/>
          <w:szCs w:val="24"/>
        </w:rPr>
        <w:t xml:space="preserve"> (201</w:t>
      </w:r>
      <w:r w:rsidRPr="000E6C79">
        <w:rPr>
          <w:rFonts w:ascii="Arial" w:hAnsi="Arial" w:cs="Arial"/>
          <w:sz w:val="24"/>
          <w:szCs w:val="24"/>
        </w:rPr>
        <w:t>3</w:t>
      </w:r>
      <w:r w:rsidRPr="000E6C79">
        <w:rPr>
          <w:rFonts w:ascii="Arial" w:hAnsi="Arial" w:cs="Arial" w:hint="eastAsia"/>
          <w:sz w:val="24"/>
          <w:szCs w:val="24"/>
        </w:rPr>
        <w:t>/1</w:t>
      </w:r>
      <w:r w:rsidRPr="000E6C79">
        <w:rPr>
          <w:rFonts w:ascii="Arial" w:hAnsi="Arial" w:cs="Arial"/>
          <w:sz w:val="24"/>
          <w:szCs w:val="24"/>
        </w:rPr>
        <w:t>4</w:t>
      </w:r>
      <w:r w:rsidRPr="000E6C79">
        <w:rPr>
          <w:rFonts w:ascii="Arial" w:hAnsi="Arial" w:cs="Arial" w:hint="eastAsia"/>
          <w:sz w:val="24"/>
          <w:szCs w:val="24"/>
        </w:rPr>
        <w:t xml:space="preserve">: </w:t>
      </w:r>
      <w:r w:rsidRPr="000E6C79">
        <w:rPr>
          <w:rFonts w:ascii="Arial" w:hAnsi="Arial" w:cs="Arial"/>
          <w:sz w:val="24"/>
          <w:szCs w:val="24"/>
        </w:rPr>
        <w:t>9.9</w:t>
      </w:r>
      <w:r w:rsidRPr="000E6C79">
        <w:rPr>
          <w:rFonts w:ascii="Arial" w:hAnsi="Arial" w:cs="Arial" w:hint="eastAsia"/>
          <w:sz w:val="24"/>
          <w:szCs w:val="24"/>
        </w:rPr>
        <w:t xml:space="preserve">p). The final dividend </w:t>
      </w:r>
      <w:r w:rsidR="006E1952" w:rsidRPr="000E6C79">
        <w:rPr>
          <w:rFonts w:ascii="Arial" w:hAnsi="Arial" w:cs="Arial"/>
          <w:sz w:val="24"/>
          <w:szCs w:val="24"/>
        </w:rPr>
        <w:t>reduces</w:t>
      </w:r>
      <w:r w:rsidR="006E1952" w:rsidRPr="000E6C79">
        <w:rPr>
          <w:rFonts w:ascii="Arial" w:hAnsi="Arial" w:cs="Arial" w:hint="eastAsia"/>
          <w:sz w:val="24"/>
          <w:szCs w:val="24"/>
        </w:rPr>
        <w:t xml:space="preserve"> </w:t>
      </w:r>
      <w:r w:rsidRPr="000E6C79">
        <w:rPr>
          <w:rFonts w:ascii="Arial" w:hAnsi="Arial" w:cs="Arial" w:hint="eastAsia"/>
          <w:sz w:val="24"/>
          <w:szCs w:val="24"/>
        </w:rPr>
        <w:t xml:space="preserve">full year dividend cover on adjusted earnings to </w:t>
      </w:r>
      <w:r w:rsidR="006E1952" w:rsidRPr="000E6C79">
        <w:rPr>
          <w:rFonts w:ascii="Arial" w:hAnsi="Arial" w:cs="Arial"/>
          <w:sz w:val="24"/>
          <w:szCs w:val="24"/>
        </w:rPr>
        <w:t>2.1</w:t>
      </w:r>
      <w:r w:rsidRPr="000E6C79">
        <w:rPr>
          <w:rFonts w:ascii="Arial" w:hAnsi="Arial" w:cs="Arial" w:hint="eastAsia"/>
          <w:sz w:val="24"/>
          <w:szCs w:val="24"/>
        </w:rPr>
        <w:t xml:space="preserve"> times (201</w:t>
      </w:r>
      <w:r w:rsidRPr="000E6C79">
        <w:rPr>
          <w:rFonts w:ascii="Arial" w:hAnsi="Arial" w:cs="Arial"/>
          <w:sz w:val="24"/>
          <w:szCs w:val="24"/>
        </w:rPr>
        <w:t>3</w:t>
      </w:r>
      <w:r w:rsidRPr="000E6C79">
        <w:rPr>
          <w:rFonts w:ascii="Arial" w:hAnsi="Arial" w:cs="Arial" w:hint="eastAsia"/>
          <w:sz w:val="24"/>
          <w:szCs w:val="24"/>
        </w:rPr>
        <w:t>/1</w:t>
      </w:r>
      <w:r w:rsidRPr="000E6C79">
        <w:rPr>
          <w:rFonts w:ascii="Arial" w:hAnsi="Arial" w:cs="Arial"/>
          <w:sz w:val="24"/>
          <w:szCs w:val="24"/>
        </w:rPr>
        <w:t>4</w:t>
      </w:r>
      <w:r w:rsidRPr="000E6C79">
        <w:rPr>
          <w:rFonts w:ascii="Arial" w:hAnsi="Arial" w:cs="Arial" w:hint="eastAsia"/>
          <w:sz w:val="24"/>
          <w:szCs w:val="24"/>
        </w:rPr>
        <w:t>: 2.</w:t>
      </w:r>
      <w:r w:rsidR="00782368" w:rsidRPr="000E6C79">
        <w:rPr>
          <w:rFonts w:ascii="Arial" w:hAnsi="Arial" w:cs="Arial"/>
          <w:sz w:val="24"/>
          <w:szCs w:val="24"/>
        </w:rPr>
        <w:t>3</w:t>
      </w:r>
      <w:r w:rsidRPr="000E6C79">
        <w:rPr>
          <w:rFonts w:ascii="Arial" w:hAnsi="Arial" w:cs="Arial" w:hint="eastAsia"/>
          <w:sz w:val="24"/>
          <w:szCs w:val="24"/>
        </w:rPr>
        <w:t xml:space="preserve"> times)</w:t>
      </w:r>
      <w:r w:rsidR="008073AF" w:rsidRPr="000E6C79">
        <w:rPr>
          <w:rFonts w:ascii="Arial" w:hAnsi="Arial" w:cs="Arial"/>
          <w:sz w:val="24"/>
          <w:szCs w:val="24"/>
        </w:rPr>
        <w:t xml:space="preserve">. </w:t>
      </w:r>
      <w:r w:rsidR="007C47AE" w:rsidRPr="000E6C79">
        <w:rPr>
          <w:rFonts w:ascii="Arial" w:hAnsi="Arial" w:cs="Arial"/>
          <w:sz w:val="24"/>
          <w:szCs w:val="24"/>
        </w:rPr>
        <w:t>Going forward we are comfortable with dividend cover in the range of</w:t>
      </w:r>
      <w:r w:rsidR="008073AF" w:rsidRPr="000E6C79">
        <w:rPr>
          <w:rFonts w:ascii="Arial" w:hAnsi="Arial" w:cs="Arial"/>
          <w:sz w:val="24"/>
          <w:szCs w:val="24"/>
        </w:rPr>
        <w:t xml:space="preserve"> 2.0</w:t>
      </w:r>
      <w:r w:rsidR="003464B5">
        <w:rPr>
          <w:rFonts w:ascii="Arial" w:hAnsi="Arial" w:cs="Arial"/>
          <w:sz w:val="24"/>
          <w:szCs w:val="24"/>
        </w:rPr>
        <w:t xml:space="preserve"> to </w:t>
      </w:r>
      <w:r w:rsidR="008073AF" w:rsidRPr="000E6C79">
        <w:rPr>
          <w:rFonts w:ascii="Arial" w:hAnsi="Arial" w:cs="Arial"/>
          <w:sz w:val="24"/>
          <w:szCs w:val="24"/>
        </w:rPr>
        <w:t xml:space="preserve">2.5 times, a </w:t>
      </w:r>
      <w:r w:rsidRPr="000E6C79">
        <w:rPr>
          <w:rFonts w:ascii="Arial" w:hAnsi="Arial" w:cs="Arial"/>
          <w:sz w:val="24"/>
          <w:szCs w:val="24"/>
        </w:rPr>
        <w:t>level</w:t>
      </w:r>
      <w:r w:rsidR="008073AF" w:rsidRPr="000E6C79">
        <w:rPr>
          <w:rFonts w:ascii="Arial" w:hAnsi="Arial" w:cs="Arial"/>
          <w:sz w:val="24"/>
          <w:szCs w:val="24"/>
        </w:rPr>
        <w:t xml:space="preserve"> </w:t>
      </w:r>
      <w:r w:rsidRPr="000E6C79">
        <w:rPr>
          <w:rFonts w:ascii="Arial" w:hAnsi="Arial" w:cs="Arial"/>
          <w:sz w:val="24"/>
          <w:szCs w:val="24"/>
        </w:rPr>
        <w:t>the Board believes</w:t>
      </w:r>
      <w:r>
        <w:rPr>
          <w:rFonts w:ascii="Arial" w:hAnsi="Arial" w:cs="Arial"/>
          <w:sz w:val="24"/>
          <w:szCs w:val="24"/>
        </w:rPr>
        <w:t xml:space="preserve"> </w:t>
      </w:r>
      <w:r w:rsidR="008073AF">
        <w:rPr>
          <w:rFonts w:ascii="Arial" w:hAnsi="Arial" w:cs="Arial"/>
          <w:sz w:val="24"/>
          <w:szCs w:val="24"/>
        </w:rPr>
        <w:t xml:space="preserve">is prudent and </w:t>
      </w:r>
      <w:r>
        <w:rPr>
          <w:rFonts w:ascii="Arial" w:hAnsi="Arial" w:cs="Arial"/>
          <w:sz w:val="24"/>
          <w:szCs w:val="24"/>
        </w:rPr>
        <w:t xml:space="preserve">consistent with the capital needs of the business.  </w:t>
      </w:r>
    </w:p>
    <w:p w14:paraId="2D0256B1" w14:textId="77777777" w:rsidR="00104D21" w:rsidRPr="00343971" w:rsidRDefault="00104D21" w:rsidP="00104D21">
      <w:pPr>
        <w:jc w:val="left"/>
        <w:rPr>
          <w:rFonts w:ascii="Arial" w:hAnsi="Arial" w:cs="Arial"/>
          <w:sz w:val="24"/>
          <w:szCs w:val="24"/>
          <w:highlight w:val="yellow"/>
        </w:rPr>
      </w:pPr>
    </w:p>
    <w:p w14:paraId="4DC49EE3" w14:textId="2D8AB5DF" w:rsidR="00104D21" w:rsidRDefault="00104D21" w:rsidP="00104D21">
      <w:pPr>
        <w:jc w:val="left"/>
        <w:rPr>
          <w:rFonts w:ascii="Arial" w:hAnsi="Arial" w:cs="Arial"/>
          <w:sz w:val="24"/>
          <w:szCs w:val="24"/>
        </w:rPr>
      </w:pPr>
      <w:r w:rsidRPr="00BE7408">
        <w:rPr>
          <w:rFonts w:ascii="Arial" w:hAnsi="Arial" w:cs="Arial"/>
          <w:sz w:val="24"/>
          <w:szCs w:val="24"/>
        </w:rPr>
        <w:t>The final dividend for the year end</w:t>
      </w:r>
      <w:r w:rsidRPr="009134EB">
        <w:rPr>
          <w:rFonts w:ascii="Arial" w:hAnsi="Arial" w:cs="Arial"/>
          <w:sz w:val="24"/>
          <w:szCs w:val="24"/>
        </w:rPr>
        <w:t xml:space="preserve">ed 31 January 2015 will be paid on </w:t>
      </w:r>
      <w:r w:rsidRPr="0050210E">
        <w:rPr>
          <w:rFonts w:ascii="Arial" w:hAnsi="Arial" w:cs="Arial"/>
          <w:sz w:val="24"/>
          <w:szCs w:val="24"/>
        </w:rPr>
        <w:t>15</w:t>
      </w:r>
      <w:r w:rsidRPr="009134EB">
        <w:rPr>
          <w:rFonts w:ascii="Arial" w:hAnsi="Arial" w:cs="Arial"/>
          <w:sz w:val="24"/>
          <w:szCs w:val="24"/>
        </w:rPr>
        <w:t xml:space="preserve"> </w:t>
      </w:r>
      <w:r w:rsidRPr="0050210E">
        <w:rPr>
          <w:rFonts w:ascii="Arial" w:hAnsi="Arial" w:cs="Arial"/>
          <w:sz w:val="24"/>
          <w:szCs w:val="24"/>
        </w:rPr>
        <w:t>June 201</w:t>
      </w:r>
      <w:r w:rsidRPr="009134EB">
        <w:rPr>
          <w:rFonts w:ascii="Arial" w:hAnsi="Arial" w:cs="Arial"/>
          <w:sz w:val="24"/>
          <w:szCs w:val="24"/>
        </w:rPr>
        <w:t>5 to shareholders on the register at close of business on 1</w:t>
      </w:r>
      <w:r w:rsidRPr="0050210E">
        <w:rPr>
          <w:rFonts w:ascii="Arial" w:hAnsi="Arial" w:cs="Arial"/>
          <w:sz w:val="24"/>
          <w:szCs w:val="24"/>
        </w:rPr>
        <w:t>5 May 201</w:t>
      </w:r>
      <w:r w:rsidRPr="009134EB">
        <w:rPr>
          <w:rFonts w:ascii="Arial" w:hAnsi="Arial" w:cs="Arial"/>
          <w:sz w:val="24"/>
          <w:szCs w:val="24"/>
        </w:rPr>
        <w:t xml:space="preserve">5, subject to approval of shareholders at the Annual General Meeting, to be held on </w:t>
      </w:r>
      <w:r w:rsidRPr="0050210E">
        <w:rPr>
          <w:rFonts w:ascii="Arial" w:hAnsi="Arial" w:cs="Arial"/>
          <w:sz w:val="24"/>
          <w:szCs w:val="24"/>
        </w:rPr>
        <w:t>9 June 201</w:t>
      </w:r>
      <w:r w:rsidRPr="009134EB">
        <w:rPr>
          <w:rFonts w:ascii="Arial" w:hAnsi="Arial" w:cs="Arial"/>
          <w:sz w:val="24"/>
          <w:szCs w:val="24"/>
        </w:rPr>
        <w:t>5. A dividend reinvestment plan (DRIP) is available to shareholders who would prefer to invest their dividends in the shares of the Company. The shares will go ex-dividend on 14 May 201</w:t>
      </w:r>
      <w:r w:rsidRPr="0050210E">
        <w:rPr>
          <w:rFonts w:ascii="Arial" w:hAnsi="Arial" w:cs="Arial"/>
          <w:sz w:val="24"/>
          <w:szCs w:val="24"/>
        </w:rPr>
        <w:t>5</w:t>
      </w:r>
      <w:r w:rsidRPr="009134EB">
        <w:rPr>
          <w:rFonts w:ascii="Arial" w:hAnsi="Arial" w:cs="Arial"/>
          <w:sz w:val="24"/>
          <w:szCs w:val="24"/>
        </w:rPr>
        <w:t xml:space="preserve">. For those shareholders electing to receive the DRIP the last date for receipt of </w:t>
      </w:r>
      <w:r w:rsidR="002468B9" w:rsidRPr="009134EB">
        <w:rPr>
          <w:rFonts w:ascii="Arial" w:hAnsi="Arial" w:cs="Arial"/>
          <w:sz w:val="24"/>
          <w:szCs w:val="24"/>
        </w:rPr>
        <w:t>electi</w:t>
      </w:r>
      <w:r w:rsidR="002468B9">
        <w:rPr>
          <w:rFonts w:ascii="Arial" w:hAnsi="Arial" w:cs="Arial"/>
          <w:sz w:val="24"/>
          <w:szCs w:val="24"/>
        </w:rPr>
        <w:t>on</w:t>
      </w:r>
      <w:r w:rsidRPr="009134EB">
        <w:rPr>
          <w:rFonts w:ascii="Arial" w:hAnsi="Arial" w:cs="Arial"/>
          <w:sz w:val="24"/>
          <w:szCs w:val="24"/>
        </w:rPr>
        <w:t xml:space="preserve"> is </w:t>
      </w:r>
      <w:r w:rsidRPr="0050210E">
        <w:rPr>
          <w:rFonts w:ascii="Arial" w:hAnsi="Arial" w:cs="Arial"/>
          <w:sz w:val="24"/>
          <w:szCs w:val="24"/>
        </w:rPr>
        <w:t>22 May 2015.</w:t>
      </w:r>
    </w:p>
    <w:p w14:paraId="0B105B76" w14:textId="77777777" w:rsidR="00104D21" w:rsidRPr="00717950" w:rsidRDefault="00104D21" w:rsidP="00104D21">
      <w:pPr>
        <w:jc w:val="left"/>
        <w:rPr>
          <w:rFonts w:ascii="Arial" w:hAnsi="Arial" w:cs="Arial"/>
          <w:sz w:val="24"/>
          <w:szCs w:val="24"/>
        </w:rPr>
      </w:pPr>
    </w:p>
    <w:p w14:paraId="0D916E0D" w14:textId="2FBD868C" w:rsidR="00104D21" w:rsidRPr="00717950" w:rsidRDefault="00104D21" w:rsidP="00104D21">
      <w:pPr>
        <w:ind w:right="-368"/>
        <w:jc w:val="left"/>
        <w:rPr>
          <w:rFonts w:ascii="Arial" w:hAnsi="Arial" w:cs="Arial"/>
          <w:sz w:val="24"/>
          <w:szCs w:val="24"/>
        </w:rPr>
      </w:pPr>
      <w:r>
        <w:rPr>
          <w:rFonts w:ascii="Arial" w:hAnsi="Arial" w:cs="Arial"/>
          <w:sz w:val="24"/>
          <w:szCs w:val="24"/>
        </w:rPr>
        <w:t xml:space="preserve">In addition to the annual dividend Kingfisher announced last year its intention to commence a </w:t>
      </w:r>
      <w:r w:rsidRPr="00BE67DC">
        <w:rPr>
          <w:rFonts w:ascii="Arial" w:hAnsi="Arial" w:cs="Arial"/>
          <w:sz w:val="24"/>
          <w:szCs w:val="24"/>
        </w:rPr>
        <w:t xml:space="preserve">multi-year capital returns programme </w:t>
      </w:r>
      <w:r>
        <w:rPr>
          <w:rFonts w:ascii="Arial" w:hAnsi="Arial" w:cs="Arial"/>
          <w:sz w:val="24"/>
          <w:szCs w:val="24"/>
        </w:rPr>
        <w:t xml:space="preserve">to return surplus capital to shareholders. </w:t>
      </w:r>
      <w:r w:rsidRPr="00BE67DC">
        <w:rPr>
          <w:rFonts w:ascii="Arial" w:hAnsi="Arial" w:cs="Arial"/>
          <w:sz w:val="24"/>
          <w:szCs w:val="24"/>
        </w:rPr>
        <w:t>In FY 2014/15 a total of £200 million was returned to shareholders, £100 million via a special dividend of 4.2p per share paid on 25 July 201</w:t>
      </w:r>
      <w:r>
        <w:rPr>
          <w:rFonts w:ascii="Arial" w:hAnsi="Arial" w:cs="Arial"/>
          <w:sz w:val="24"/>
          <w:szCs w:val="24"/>
        </w:rPr>
        <w:t xml:space="preserve">4 and £100 million </w:t>
      </w:r>
      <w:r w:rsidR="0093472D">
        <w:rPr>
          <w:rFonts w:ascii="Arial" w:hAnsi="Arial" w:cs="Arial"/>
          <w:sz w:val="24"/>
          <w:szCs w:val="24"/>
        </w:rPr>
        <w:t xml:space="preserve">by </w:t>
      </w:r>
      <w:r>
        <w:rPr>
          <w:rFonts w:ascii="Arial" w:hAnsi="Arial" w:cs="Arial"/>
          <w:sz w:val="24"/>
          <w:szCs w:val="24"/>
        </w:rPr>
        <w:t>a share buyback</w:t>
      </w:r>
      <w:r w:rsidRPr="00BE67DC">
        <w:rPr>
          <w:rFonts w:ascii="Arial" w:hAnsi="Arial" w:cs="Arial"/>
          <w:sz w:val="24"/>
          <w:szCs w:val="24"/>
        </w:rPr>
        <w:t>.</w:t>
      </w:r>
      <w:r>
        <w:rPr>
          <w:rFonts w:ascii="Arial" w:hAnsi="Arial" w:cs="Arial"/>
          <w:sz w:val="24"/>
          <w:szCs w:val="24"/>
        </w:rPr>
        <w:t xml:space="preserve"> </w:t>
      </w:r>
      <w:r w:rsidRPr="00BE67DC">
        <w:rPr>
          <w:rFonts w:ascii="Arial" w:hAnsi="Arial" w:cs="Arial"/>
          <w:sz w:val="24"/>
          <w:szCs w:val="24"/>
        </w:rPr>
        <w:t xml:space="preserve">The Group will return </w:t>
      </w:r>
      <w:r>
        <w:rPr>
          <w:rFonts w:ascii="Arial" w:hAnsi="Arial" w:cs="Arial"/>
          <w:sz w:val="24"/>
          <w:szCs w:val="24"/>
        </w:rPr>
        <w:t xml:space="preserve">a </w:t>
      </w:r>
      <w:r w:rsidRPr="00CF5641">
        <w:rPr>
          <w:rFonts w:ascii="Arial" w:hAnsi="Arial" w:cs="Arial"/>
          <w:sz w:val="24"/>
          <w:szCs w:val="24"/>
        </w:rPr>
        <w:t xml:space="preserve">further </w:t>
      </w:r>
      <w:r w:rsidRPr="00105A25">
        <w:rPr>
          <w:rFonts w:ascii="Arial" w:hAnsi="Arial" w:cs="Arial"/>
          <w:sz w:val="24"/>
          <w:szCs w:val="24"/>
        </w:rPr>
        <w:t>£200</w:t>
      </w:r>
      <w:r w:rsidRPr="00CF5641">
        <w:rPr>
          <w:rFonts w:ascii="Arial" w:hAnsi="Arial" w:cs="Arial"/>
          <w:sz w:val="24"/>
          <w:szCs w:val="24"/>
        </w:rPr>
        <w:t xml:space="preserve"> million to shareholders in FY 2015/16.  Around </w:t>
      </w:r>
      <w:r w:rsidRPr="00105A25">
        <w:rPr>
          <w:rFonts w:ascii="Arial" w:hAnsi="Arial" w:cs="Arial"/>
          <w:sz w:val="24"/>
          <w:szCs w:val="24"/>
        </w:rPr>
        <w:t>£</w:t>
      </w:r>
      <w:r w:rsidR="00B8776C" w:rsidRPr="00105A25">
        <w:rPr>
          <w:rFonts w:ascii="Arial" w:hAnsi="Arial" w:cs="Arial"/>
          <w:sz w:val="24"/>
          <w:szCs w:val="24"/>
        </w:rPr>
        <w:t>30</w:t>
      </w:r>
      <w:r w:rsidRPr="00CF5641">
        <w:rPr>
          <w:rFonts w:ascii="Arial" w:hAnsi="Arial" w:cs="Arial"/>
          <w:sz w:val="24"/>
          <w:szCs w:val="24"/>
        </w:rPr>
        <w:t xml:space="preserve"> million of shares have been</w:t>
      </w:r>
      <w:r w:rsidRPr="000E6C79">
        <w:rPr>
          <w:rFonts w:ascii="Arial" w:hAnsi="Arial" w:cs="Arial"/>
          <w:sz w:val="24"/>
          <w:szCs w:val="24"/>
        </w:rPr>
        <w:t xml:space="preserve"> purchased already with the balance expected to be returned as a share buyback over the remainder of the year.</w:t>
      </w:r>
    </w:p>
    <w:p w14:paraId="32424FC8" w14:textId="77777777" w:rsidR="00104D21" w:rsidRDefault="00104D21" w:rsidP="00104D21">
      <w:pPr>
        <w:jc w:val="left"/>
        <w:rPr>
          <w:rFonts w:ascii="Arial" w:hAnsi="Arial" w:cs="Arial"/>
          <w:b/>
          <w:sz w:val="24"/>
          <w:szCs w:val="24"/>
        </w:rPr>
      </w:pPr>
    </w:p>
    <w:p w14:paraId="34FB6966" w14:textId="77777777" w:rsidR="00104D21" w:rsidRDefault="00104D21" w:rsidP="00104D21">
      <w:pPr>
        <w:ind w:right="-368"/>
        <w:jc w:val="left"/>
        <w:rPr>
          <w:rFonts w:ascii="Arial" w:hAnsi="Arial" w:cs="Arial"/>
          <w:b/>
          <w:sz w:val="24"/>
          <w:szCs w:val="24"/>
        </w:rPr>
      </w:pPr>
      <w:r w:rsidRPr="00CB2113">
        <w:rPr>
          <w:rFonts w:ascii="Arial" w:hAnsi="Arial" w:cs="Arial"/>
          <w:b/>
          <w:sz w:val="24"/>
          <w:szCs w:val="24"/>
        </w:rPr>
        <w:t xml:space="preserve">Taxation </w:t>
      </w:r>
    </w:p>
    <w:p w14:paraId="6CA08CE0" w14:textId="77777777" w:rsidR="00F16255" w:rsidRPr="00E530B3" w:rsidRDefault="00F16255" w:rsidP="00104D21">
      <w:pPr>
        <w:ind w:right="-368"/>
        <w:jc w:val="left"/>
        <w:rPr>
          <w:rFonts w:ascii="Arial" w:hAnsi="Arial" w:cs="Arial"/>
          <w:b/>
          <w:sz w:val="24"/>
          <w:szCs w:val="24"/>
        </w:rPr>
      </w:pPr>
    </w:p>
    <w:p w14:paraId="6EA302C3" w14:textId="77777777" w:rsidR="007C47AE" w:rsidRDefault="00104D21" w:rsidP="007C47AE">
      <w:pPr>
        <w:jc w:val="left"/>
        <w:rPr>
          <w:rFonts w:ascii="Arial" w:hAnsi="Arial" w:cs="Arial"/>
          <w:sz w:val="24"/>
          <w:szCs w:val="24"/>
        </w:rPr>
      </w:pPr>
      <w:r w:rsidRPr="00B65521">
        <w:rPr>
          <w:rFonts w:ascii="Arial" w:hAnsi="Arial" w:cs="Arial"/>
          <w:sz w:val="24"/>
          <w:szCs w:val="24"/>
        </w:rPr>
        <w:t xml:space="preserve">Kingfisher’s effective tax rate is sensitive to the blend of tax rates and profits in the Group’s various jurisdictions. The adjusted effective rate of tax, calculated on profit before exceptional items, prior year tax adjustments and the impact of rate changes is </w:t>
      </w:r>
      <w:r w:rsidRPr="00115737">
        <w:rPr>
          <w:rFonts w:ascii="Arial" w:hAnsi="Arial" w:cs="Arial"/>
          <w:sz w:val="24"/>
          <w:szCs w:val="24"/>
        </w:rPr>
        <w:t>27% (201</w:t>
      </w:r>
      <w:r w:rsidRPr="00B65521">
        <w:rPr>
          <w:rFonts w:ascii="Arial" w:hAnsi="Arial" w:cs="Arial"/>
          <w:sz w:val="24"/>
          <w:szCs w:val="24"/>
        </w:rPr>
        <w:t xml:space="preserve">3/14: 26%). </w:t>
      </w:r>
    </w:p>
    <w:p w14:paraId="7AB723CE" w14:textId="77777777" w:rsidR="003464B5" w:rsidRPr="00B65521" w:rsidRDefault="003464B5" w:rsidP="007C47AE">
      <w:pPr>
        <w:jc w:val="left"/>
        <w:rPr>
          <w:rFonts w:ascii="Arial" w:hAnsi="Arial" w:cs="Arial"/>
          <w:sz w:val="24"/>
          <w:szCs w:val="24"/>
        </w:rPr>
      </w:pPr>
    </w:p>
    <w:p w14:paraId="0645930C" w14:textId="2B1B9B74" w:rsidR="00104D21" w:rsidRDefault="00104D21" w:rsidP="00104D21">
      <w:pPr>
        <w:jc w:val="left"/>
        <w:rPr>
          <w:rFonts w:ascii="Arial" w:hAnsi="Arial" w:cs="Arial"/>
          <w:sz w:val="24"/>
          <w:szCs w:val="24"/>
        </w:rPr>
      </w:pPr>
      <w:r w:rsidRPr="00115737">
        <w:rPr>
          <w:rFonts w:ascii="Arial" w:hAnsi="Arial" w:cs="Arial"/>
          <w:sz w:val="24"/>
          <w:szCs w:val="24"/>
        </w:rPr>
        <w:t>Th</w:t>
      </w:r>
      <w:r w:rsidR="00D178ED">
        <w:rPr>
          <w:rFonts w:ascii="Arial" w:hAnsi="Arial" w:cs="Arial"/>
          <w:sz w:val="24"/>
          <w:szCs w:val="24"/>
        </w:rPr>
        <w:t xml:space="preserve">is </w:t>
      </w:r>
      <w:r w:rsidRPr="00115737">
        <w:rPr>
          <w:rFonts w:ascii="Arial" w:hAnsi="Arial" w:cs="Arial"/>
          <w:sz w:val="24"/>
          <w:szCs w:val="24"/>
        </w:rPr>
        <w:t xml:space="preserve"> effective rate of tax is higher than in 2013/14 </w:t>
      </w:r>
      <w:r w:rsidR="00D178ED">
        <w:rPr>
          <w:rFonts w:ascii="Arial" w:hAnsi="Arial" w:cs="Arial"/>
          <w:sz w:val="24"/>
          <w:szCs w:val="24"/>
        </w:rPr>
        <w:t xml:space="preserve">reflecting </w:t>
      </w:r>
      <w:r w:rsidR="008073AF">
        <w:rPr>
          <w:rFonts w:ascii="Arial" w:hAnsi="Arial" w:cs="Arial"/>
          <w:sz w:val="24"/>
          <w:szCs w:val="24"/>
        </w:rPr>
        <w:t xml:space="preserve">higher losses in developing countries for which </w:t>
      </w:r>
      <w:r w:rsidRPr="00B65521">
        <w:rPr>
          <w:rFonts w:ascii="Arial" w:hAnsi="Arial" w:cs="Arial"/>
          <w:sz w:val="24"/>
          <w:szCs w:val="24"/>
        </w:rPr>
        <w:t xml:space="preserve">no future </w:t>
      </w:r>
      <w:r w:rsidR="008073AF">
        <w:rPr>
          <w:rFonts w:ascii="Arial" w:hAnsi="Arial" w:cs="Arial"/>
          <w:sz w:val="24"/>
          <w:szCs w:val="24"/>
        </w:rPr>
        <w:t xml:space="preserve">tax </w:t>
      </w:r>
      <w:r w:rsidRPr="00B65521">
        <w:rPr>
          <w:rFonts w:ascii="Arial" w:hAnsi="Arial" w:cs="Arial"/>
          <w:sz w:val="24"/>
          <w:szCs w:val="24"/>
        </w:rPr>
        <w:t xml:space="preserve">benefit is </w:t>
      </w:r>
      <w:r w:rsidR="008073AF">
        <w:rPr>
          <w:rFonts w:ascii="Arial" w:hAnsi="Arial" w:cs="Arial"/>
          <w:sz w:val="24"/>
          <w:szCs w:val="24"/>
        </w:rPr>
        <w:t xml:space="preserve">currently </w:t>
      </w:r>
      <w:r w:rsidR="007C47AE">
        <w:rPr>
          <w:rFonts w:ascii="Arial" w:hAnsi="Arial" w:cs="Arial"/>
          <w:sz w:val="24"/>
          <w:szCs w:val="24"/>
        </w:rPr>
        <w:t>recognised for accounting purposes</w:t>
      </w:r>
      <w:r w:rsidR="008073AF">
        <w:rPr>
          <w:rFonts w:ascii="Arial" w:hAnsi="Arial" w:cs="Arial"/>
          <w:sz w:val="24"/>
          <w:szCs w:val="24"/>
        </w:rPr>
        <w:t xml:space="preserve">. </w:t>
      </w:r>
    </w:p>
    <w:p w14:paraId="3626E902" w14:textId="77777777" w:rsidR="00104D21" w:rsidRDefault="00104D21" w:rsidP="00104D21">
      <w:pPr>
        <w:jc w:val="left"/>
        <w:rPr>
          <w:rFonts w:ascii="Arial" w:hAnsi="Arial" w:cs="Arial"/>
          <w:sz w:val="24"/>
          <w:szCs w:val="24"/>
        </w:rPr>
      </w:pPr>
    </w:p>
    <w:p w14:paraId="786FC7B9" w14:textId="0E2DA311" w:rsidR="00104D21" w:rsidRPr="00B65521" w:rsidRDefault="00104D21" w:rsidP="00104D21">
      <w:pPr>
        <w:jc w:val="left"/>
        <w:rPr>
          <w:rFonts w:ascii="Arial" w:hAnsi="Arial" w:cs="Arial"/>
          <w:sz w:val="24"/>
          <w:szCs w:val="24"/>
        </w:rPr>
      </w:pPr>
      <w:r w:rsidRPr="00CB454F">
        <w:rPr>
          <w:rFonts w:ascii="Arial" w:hAnsi="Arial" w:cs="Arial"/>
          <w:sz w:val="24"/>
          <w:szCs w:val="24"/>
        </w:rPr>
        <w:lastRenderedPageBreak/>
        <w:t xml:space="preserve">The overall rate of tax includes the impact of exceptional items and prior year adjustments. </w:t>
      </w:r>
      <w:r w:rsidRPr="00115737">
        <w:rPr>
          <w:rFonts w:ascii="Arial" w:hAnsi="Arial" w:cs="Arial"/>
          <w:sz w:val="24"/>
          <w:szCs w:val="24"/>
        </w:rPr>
        <w:t>The impact of such items reduced the rate from 2</w:t>
      </w:r>
      <w:r w:rsidR="00782368">
        <w:rPr>
          <w:rFonts w:ascii="Arial" w:hAnsi="Arial" w:cs="Arial"/>
          <w:sz w:val="24"/>
          <w:szCs w:val="24"/>
        </w:rPr>
        <w:t>7</w:t>
      </w:r>
      <w:r w:rsidRPr="00115737">
        <w:rPr>
          <w:rFonts w:ascii="Arial" w:hAnsi="Arial" w:cs="Arial"/>
          <w:sz w:val="24"/>
          <w:szCs w:val="24"/>
        </w:rPr>
        <w:t xml:space="preserve">% to 11% reflecting the release of prior year provisions which have either been agreed with tax authorities, reassessed, or time expired. </w:t>
      </w:r>
    </w:p>
    <w:p w14:paraId="734E03A8" w14:textId="77777777" w:rsidR="00104D21" w:rsidRDefault="00104D21" w:rsidP="00104D21"/>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61"/>
        <w:gridCol w:w="1276"/>
        <w:gridCol w:w="1417"/>
        <w:gridCol w:w="1276"/>
        <w:gridCol w:w="1276"/>
      </w:tblGrid>
      <w:tr w:rsidR="00104D21" w:rsidRPr="00E20BFB" w14:paraId="24A3ABDB" w14:textId="77777777" w:rsidTr="00104D21">
        <w:trPr>
          <w:trHeight w:val="516"/>
        </w:trPr>
        <w:tc>
          <w:tcPr>
            <w:tcW w:w="4361" w:type="dxa"/>
            <w:tcBorders>
              <w:bottom w:val="single" w:sz="4" w:space="0" w:color="auto"/>
            </w:tcBorders>
          </w:tcPr>
          <w:p w14:paraId="12EF4330" w14:textId="77777777" w:rsidR="00104D21" w:rsidRPr="00E20BFB" w:rsidRDefault="00104D21" w:rsidP="00104D21">
            <w:pPr>
              <w:jc w:val="left"/>
              <w:rPr>
                <w:rFonts w:ascii="Arial" w:hAnsi="Arial" w:cs="Arial"/>
                <w:b/>
                <w:sz w:val="24"/>
                <w:szCs w:val="24"/>
              </w:rPr>
            </w:pPr>
            <w:r w:rsidRPr="00CB2113">
              <w:rPr>
                <w:rFonts w:ascii="Arial" w:hAnsi="Arial" w:cs="Arial"/>
                <w:b/>
                <w:sz w:val="24"/>
                <w:szCs w:val="24"/>
              </w:rPr>
              <w:t>Effective tax rate calculation</w:t>
            </w:r>
          </w:p>
        </w:tc>
        <w:tc>
          <w:tcPr>
            <w:tcW w:w="1276" w:type="dxa"/>
            <w:tcBorders>
              <w:bottom w:val="single" w:sz="4" w:space="0" w:color="auto"/>
            </w:tcBorders>
          </w:tcPr>
          <w:p w14:paraId="7FF1455A" w14:textId="77777777" w:rsidR="00104D21" w:rsidRPr="00E20BFB" w:rsidRDefault="00104D21" w:rsidP="00104D21">
            <w:pPr>
              <w:jc w:val="right"/>
              <w:rPr>
                <w:rFonts w:ascii="Arial" w:hAnsi="Arial" w:cs="Arial"/>
                <w:b/>
                <w:sz w:val="24"/>
                <w:szCs w:val="24"/>
              </w:rPr>
            </w:pPr>
            <w:r w:rsidRPr="00E20BFB">
              <w:rPr>
                <w:rFonts w:ascii="Arial" w:hAnsi="Arial" w:cs="Arial"/>
                <w:b/>
                <w:sz w:val="24"/>
                <w:szCs w:val="24"/>
              </w:rPr>
              <w:t>Profit</w:t>
            </w:r>
          </w:p>
          <w:p w14:paraId="65FE8162" w14:textId="77777777" w:rsidR="00104D21" w:rsidRPr="00E20BFB" w:rsidRDefault="00104D21" w:rsidP="00104D21">
            <w:pPr>
              <w:jc w:val="right"/>
              <w:rPr>
                <w:rFonts w:ascii="Arial" w:hAnsi="Arial" w:cs="Arial"/>
                <w:b/>
                <w:sz w:val="24"/>
                <w:szCs w:val="24"/>
              </w:rPr>
            </w:pPr>
            <w:r w:rsidRPr="00E20BFB">
              <w:rPr>
                <w:rFonts w:ascii="Arial" w:hAnsi="Arial" w:cs="Arial"/>
                <w:b/>
                <w:sz w:val="24"/>
                <w:szCs w:val="24"/>
              </w:rPr>
              <w:t>£m</w:t>
            </w:r>
          </w:p>
        </w:tc>
        <w:tc>
          <w:tcPr>
            <w:tcW w:w="1417" w:type="dxa"/>
            <w:tcBorders>
              <w:bottom w:val="single" w:sz="4" w:space="0" w:color="auto"/>
            </w:tcBorders>
          </w:tcPr>
          <w:p w14:paraId="6FB677D2" w14:textId="77777777" w:rsidR="00104D21" w:rsidRPr="00E20BFB" w:rsidRDefault="00104D21" w:rsidP="00104D21">
            <w:pPr>
              <w:jc w:val="right"/>
              <w:rPr>
                <w:rFonts w:ascii="Arial" w:hAnsi="Arial" w:cs="Arial"/>
                <w:b/>
                <w:sz w:val="24"/>
                <w:szCs w:val="24"/>
              </w:rPr>
            </w:pPr>
            <w:r w:rsidRPr="00E20BFB">
              <w:rPr>
                <w:rFonts w:ascii="Arial" w:hAnsi="Arial" w:cs="Arial"/>
                <w:b/>
                <w:sz w:val="24"/>
                <w:szCs w:val="24"/>
              </w:rPr>
              <w:t xml:space="preserve">Tax </w:t>
            </w:r>
          </w:p>
          <w:p w14:paraId="461FB0B8" w14:textId="77777777" w:rsidR="00104D21" w:rsidRPr="00E20BFB" w:rsidRDefault="00104D21" w:rsidP="00104D21">
            <w:pPr>
              <w:jc w:val="right"/>
              <w:rPr>
                <w:rFonts w:ascii="Arial" w:hAnsi="Arial" w:cs="Arial"/>
                <w:b/>
                <w:sz w:val="24"/>
                <w:szCs w:val="24"/>
              </w:rPr>
            </w:pPr>
            <w:r w:rsidRPr="00E20BFB">
              <w:rPr>
                <w:rFonts w:ascii="Arial" w:hAnsi="Arial" w:cs="Arial"/>
                <w:b/>
                <w:sz w:val="24"/>
                <w:szCs w:val="24"/>
              </w:rPr>
              <w:t>£m</w:t>
            </w:r>
          </w:p>
        </w:tc>
        <w:tc>
          <w:tcPr>
            <w:tcW w:w="1276" w:type="dxa"/>
            <w:tcBorders>
              <w:bottom w:val="single" w:sz="4" w:space="0" w:color="auto"/>
            </w:tcBorders>
          </w:tcPr>
          <w:p w14:paraId="48CB5F61" w14:textId="77777777" w:rsidR="00104D21" w:rsidRDefault="00104D21" w:rsidP="00104D21">
            <w:pPr>
              <w:jc w:val="right"/>
              <w:rPr>
                <w:rFonts w:ascii="Arial" w:hAnsi="Arial" w:cs="Arial"/>
                <w:b/>
                <w:sz w:val="24"/>
                <w:szCs w:val="24"/>
              </w:rPr>
            </w:pPr>
            <w:r>
              <w:rPr>
                <w:rFonts w:ascii="Arial" w:hAnsi="Arial" w:cs="Arial"/>
                <w:b/>
                <w:sz w:val="24"/>
                <w:szCs w:val="24"/>
              </w:rPr>
              <w:t>2014/15</w:t>
            </w:r>
          </w:p>
          <w:p w14:paraId="3D16F297" w14:textId="77777777" w:rsidR="00104D21" w:rsidRPr="00E20BFB" w:rsidRDefault="00104D21" w:rsidP="00104D21">
            <w:pPr>
              <w:jc w:val="right"/>
              <w:rPr>
                <w:rFonts w:ascii="Arial" w:hAnsi="Arial" w:cs="Arial"/>
                <w:b/>
                <w:sz w:val="24"/>
                <w:szCs w:val="24"/>
              </w:rPr>
            </w:pPr>
            <w:r>
              <w:rPr>
                <w:rFonts w:ascii="Arial" w:hAnsi="Arial" w:cs="Arial"/>
                <w:b/>
                <w:sz w:val="24"/>
                <w:szCs w:val="24"/>
              </w:rPr>
              <w:t>%</w:t>
            </w:r>
          </w:p>
        </w:tc>
        <w:tc>
          <w:tcPr>
            <w:tcW w:w="1276" w:type="dxa"/>
            <w:tcBorders>
              <w:bottom w:val="single" w:sz="4" w:space="0" w:color="auto"/>
            </w:tcBorders>
          </w:tcPr>
          <w:p w14:paraId="34656957" w14:textId="77777777" w:rsidR="00104D21" w:rsidRPr="00D77FFA" w:rsidRDefault="00104D21" w:rsidP="00104D21">
            <w:pPr>
              <w:jc w:val="right"/>
              <w:rPr>
                <w:rFonts w:ascii="Arial" w:hAnsi="Arial" w:cs="Arial"/>
                <w:sz w:val="24"/>
                <w:szCs w:val="24"/>
              </w:rPr>
            </w:pPr>
            <w:r w:rsidRPr="00D77FFA">
              <w:rPr>
                <w:rFonts w:ascii="Arial" w:hAnsi="Arial" w:cs="Arial"/>
                <w:sz w:val="24"/>
                <w:szCs w:val="24"/>
              </w:rPr>
              <w:t>201</w:t>
            </w:r>
            <w:r>
              <w:rPr>
                <w:rFonts w:ascii="Arial" w:hAnsi="Arial" w:cs="Arial"/>
                <w:sz w:val="24"/>
                <w:szCs w:val="24"/>
              </w:rPr>
              <w:t>3</w:t>
            </w:r>
            <w:r w:rsidRPr="00D77FFA">
              <w:rPr>
                <w:rFonts w:ascii="Arial" w:hAnsi="Arial" w:cs="Arial"/>
                <w:sz w:val="24"/>
                <w:szCs w:val="24"/>
              </w:rPr>
              <w:t>/1</w:t>
            </w:r>
            <w:r>
              <w:rPr>
                <w:rFonts w:ascii="Arial" w:hAnsi="Arial" w:cs="Arial"/>
                <w:sz w:val="24"/>
                <w:szCs w:val="24"/>
              </w:rPr>
              <w:t>4</w:t>
            </w:r>
          </w:p>
          <w:p w14:paraId="31870A52" w14:textId="77777777" w:rsidR="00104D21" w:rsidRPr="00D77FFA" w:rsidRDefault="00104D21" w:rsidP="00104D21">
            <w:pPr>
              <w:jc w:val="right"/>
              <w:rPr>
                <w:rFonts w:ascii="Arial" w:hAnsi="Arial" w:cs="Arial"/>
                <w:sz w:val="24"/>
                <w:szCs w:val="24"/>
              </w:rPr>
            </w:pPr>
            <w:r w:rsidRPr="00D77FFA">
              <w:rPr>
                <w:rFonts w:ascii="Arial" w:hAnsi="Arial" w:cs="Arial"/>
                <w:sz w:val="24"/>
                <w:szCs w:val="24"/>
              </w:rPr>
              <w:t>%</w:t>
            </w:r>
          </w:p>
        </w:tc>
      </w:tr>
      <w:tr w:rsidR="00104D21" w:rsidRPr="00793CB7" w14:paraId="6526FB56" w14:textId="77777777" w:rsidTr="00104D21">
        <w:tc>
          <w:tcPr>
            <w:tcW w:w="4361" w:type="dxa"/>
            <w:tcBorders>
              <w:top w:val="single" w:sz="4" w:space="0" w:color="auto"/>
            </w:tcBorders>
          </w:tcPr>
          <w:p w14:paraId="3604AFA6" w14:textId="77777777" w:rsidR="00104D21" w:rsidRPr="00793CB7" w:rsidRDefault="00104D21" w:rsidP="00104D21">
            <w:pPr>
              <w:jc w:val="left"/>
              <w:rPr>
                <w:rFonts w:ascii="Arial" w:hAnsi="Arial" w:cs="Arial"/>
                <w:sz w:val="24"/>
                <w:szCs w:val="24"/>
              </w:rPr>
            </w:pPr>
            <w:r w:rsidRPr="00793CB7">
              <w:rPr>
                <w:rFonts w:ascii="Arial" w:hAnsi="Arial" w:cs="Arial"/>
                <w:sz w:val="24"/>
                <w:szCs w:val="24"/>
              </w:rPr>
              <w:t>Profit before tax and tax thereon</w:t>
            </w:r>
          </w:p>
        </w:tc>
        <w:tc>
          <w:tcPr>
            <w:tcW w:w="1276" w:type="dxa"/>
            <w:tcBorders>
              <w:top w:val="single" w:sz="4" w:space="0" w:color="auto"/>
            </w:tcBorders>
          </w:tcPr>
          <w:p w14:paraId="6CD34AE5"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644</w:t>
            </w:r>
          </w:p>
        </w:tc>
        <w:tc>
          <w:tcPr>
            <w:tcW w:w="1417" w:type="dxa"/>
            <w:tcBorders>
              <w:top w:val="single" w:sz="4" w:space="0" w:color="auto"/>
            </w:tcBorders>
          </w:tcPr>
          <w:p w14:paraId="00ED19FF"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(71)</w:t>
            </w:r>
          </w:p>
        </w:tc>
        <w:tc>
          <w:tcPr>
            <w:tcW w:w="1276" w:type="dxa"/>
            <w:tcBorders>
              <w:top w:val="single" w:sz="4" w:space="0" w:color="auto"/>
            </w:tcBorders>
          </w:tcPr>
          <w:p w14:paraId="230B0735"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11</w:t>
            </w:r>
          </w:p>
        </w:tc>
        <w:tc>
          <w:tcPr>
            <w:tcW w:w="1276" w:type="dxa"/>
            <w:tcBorders>
              <w:top w:val="single" w:sz="4" w:space="0" w:color="auto"/>
            </w:tcBorders>
          </w:tcPr>
          <w:p w14:paraId="79203F3D" w14:textId="77777777" w:rsidR="00104D21" w:rsidRPr="00793CB7" w:rsidRDefault="00104D21" w:rsidP="00104D21">
            <w:pPr>
              <w:jc w:val="right"/>
              <w:rPr>
                <w:rFonts w:ascii="Arial" w:hAnsi="Arial" w:cs="Arial"/>
                <w:sz w:val="24"/>
                <w:szCs w:val="24"/>
              </w:rPr>
            </w:pPr>
            <w:r>
              <w:rPr>
                <w:rFonts w:ascii="Arial" w:hAnsi="Arial" w:cs="Arial"/>
                <w:sz w:val="24"/>
                <w:szCs w:val="24"/>
              </w:rPr>
              <w:t>6</w:t>
            </w:r>
          </w:p>
        </w:tc>
      </w:tr>
      <w:tr w:rsidR="00104D21" w:rsidRPr="00793CB7" w14:paraId="74063BE5" w14:textId="77777777" w:rsidTr="00104D21">
        <w:tc>
          <w:tcPr>
            <w:tcW w:w="4361" w:type="dxa"/>
          </w:tcPr>
          <w:p w14:paraId="2384F154" w14:textId="77777777" w:rsidR="00104D21" w:rsidRPr="00793CB7" w:rsidRDefault="00104D21" w:rsidP="00104D21">
            <w:pPr>
              <w:jc w:val="left"/>
              <w:rPr>
                <w:rFonts w:ascii="Arial" w:hAnsi="Arial" w:cs="Arial"/>
                <w:sz w:val="24"/>
                <w:szCs w:val="24"/>
              </w:rPr>
            </w:pPr>
            <w:r w:rsidRPr="00793CB7">
              <w:rPr>
                <w:rFonts w:ascii="Arial" w:hAnsi="Arial" w:cs="Arial"/>
                <w:sz w:val="24"/>
                <w:szCs w:val="24"/>
              </w:rPr>
              <w:t>Exceptional items</w:t>
            </w:r>
          </w:p>
        </w:tc>
        <w:tc>
          <w:tcPr>
            <w:tcW w:w="1276" w:type="dxa"/>
          </w:tcPr>
          <w:p w14:paraId="3E2AEA40"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35</w:t>
            </w:r>
          </w:p>
        </w:tc>
        <w:tc>
          <w:tcPr>
            <w:tcW w:w="1417" w:type="dxa"/>
          </w:tcPr>
          <w:p w14:paraId="0F695EB6"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(106)</w:t>
            </w:r>
          </w:p>
        </w:tc>
        <w:tc>
          <w:tcPr>
            <w:tcW w:w="1276" w:type="dxa"/>
          </w:tcPr>
          <w:p w14:paraId="58632E34" w14:textId="77777777" w:rsidR="00104D21" w:rsidRPr="0050210E" w:rsidRDefault="00104D21" w:rsidP="00104D21">
            <w:pPr>
              <w:jc w:val="right"/>
              <w:rPr>
                <w:rFonts w:ascii="Arial" w:hAnsi="Arial" w:cs="Arial"/>
                <w:b/>
                <w:sz w:val="24"/>
                <w:szCs w:val="24"/>
              </w:rPr>
            </w:pPr>
          </w:p>
        </w:tc>
        <w:tc>
          <w:tcPr>
            <w:tcW w:w="1276" w:type="dxa"/>
          </w:tcPr>
          <w:p w14:paraId="6FF062AB" w14:textId="77777777" w:rsidR="00104D21" w:rsidRPr="00793CB7" w:rsidRDefault="00104D21" w:rsidP="00104D21">
            <w:pPr>
              <w:jc w:val="right"/>
              <w:rPr>
                <w:rFonts w:ascii="Arial" w:hAnsi="Arial" w:cs="Arial"/>
                <w:sz w:val="24"/>
                <w:szCs w:val="24"/>
              </w:rPr>
            </w:pPr>
          </w:p>
        </w:tc>
      </w:tr>
      <w:tr w:rsidR="00104D21" w:rsidRPr="00793CB7" w14:paraId="2045C4F7" w14:textId="77777777" w:rsidTr="00104D21">
        <w:tc>
          <w:tcPr>
            <w:tcW w:w="4361" w:type="dxa"/>
            <w:tcBorders>
              <w:bottom w:val="single" w:sz="4" w:space="0" w:color="auto"/>
            </w:tcBorders>
          </w:tcPr>
          <w:p w14:paraId="2E34B11C" w14:textId="77777777" w:rsidR="00104D21" w:rsidRPr="00793CB7" w:rsidRDefault="00104D21" w:rsidP="00104D21">
            <w:pPr>
              <w:jc w:val="left"/>
              <w:rPr>
                <w:rFonts w:ascii="Arial" w:hAnsi="Arial" w:cs="Arial"/>
                <w:sz w:val="24"/>
                <w:szCs w:val="24"/>
              </w:rPr>
            </w:pPr>
            <w:r w:rsidRPr="00793CB7">
              <w:rPr>
                <w:rFonts w:ascii="Arial" w:hAnsi="Arial" w:cs="Arial"/>
                <w:sz w:val="24"/>
                <w:szCs w:val="24"/>
              </w:rPr>
              <w:t>Prior year items</w:t>
            </w:r>
          </w:p>
        </w:tc>
        <w:tc>
          <w:tcPr>
            <w:tcW w:w="1276" w:type="dxa"/>
            <w:tcBorders>
              <w:bottom w:val="single" w:sz="4" w:space="0" w:color="auto"/>
            </w:tcBorders>
          </w:tcPr>
          <w:p w14:paraId="367B4ED2" w14:textId="77777777" w:rsidR="00104D21" w:rsidRPr="0050210E" w:rsidRDefault="00104D21" w:rsidP="00104D21">
            <w:pPr>
              <w:jc w:val="right"/>
              <w:rPr>
                <w:rFonts w:ascii="Arial" w:hAnsi="Arial" w:cs="Arial"/>
                <w:b/>
                <w:sz w:val="24"/>
                <w:szCs w:val="24"/>
              </w:rPr>
            </w:pPr>
          </w:p>
        </w:tc>
        <w:tc>
          <w:tcPr>
            <w:tcW w:w="1417" w:type="dxa"/>
            <w:tcBorders>
              <w:bottom w:val="single" w:sz="4" w:space="0" w:color="auto"/>
            </w:tcBorders>
          </w:tcPr>
          <w:p w14:paraId="338BAB5A"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(6)</w:t>
            </w:r>
          </w:p>
        </w:tc>
        <w:tc>
          <w:tcPr>
            <w:tcW w:w="1276" w:type="dxa"/>
            <w:tcBorders>
              <w:bottom w:val="single" w:sz="4" w:space="0" w:color="auto"/>
            </w:tcBorders>
          </w:tcPr>
          <w:p w14:paraId="1039661A" w14:textId="77777777" w:rsidR="00104D21" w:rsidRPr="0050210E" w:rsidRDefault="00104D21" w:rsidP="00104D21">
            <w:pPr>
              <w:jc w:val="right"/>
              <w:rPr>
                <w:rFonts w:ascii="Arial" w:hAnsi="Arial" w:cs="Arial"/>
                <w:b/>
                <w:sz w:val="24"/>
                <w:szCs w:val="24"/>
              </w:rPr>
            </w:pPr>
          </w:p>
        </w:tc>
        <w:tc>
          <w:tcPr>
            <w:tcW w:w="1276" w:type="dxa"/>
            <w:tcBorders>
              <w:bottom w:val="single" w:sz="4" w:space="0" w:color="auto"/>
            </w:tcBorders>
          </w:tcPr>
          <w:p w14:paraId="050EB516" w14:textId="77777777" w:rsidR="00104D21" w:rsidRPr="00793CB7" w:rsidRDefault="00104D21" w:rsidP="00104D21">
            <w:pPr>
              <w:jc w:val="right"/>
              <w:rPr>
                <w:rFonts w:ascii="Arial" w:hAnsi="Arial" w:cs="Arial"/>
                <w:sz w:val="24"/>
                <w:szCs w:val="24"/>
              </w:rPr>
            </w:pPr>
          </w:p>
        </w:tc>
      </w:tr>
      <w:tr w:rsidR="00104D21" w:rsidRPr="00793CB7" w14:paraId="763C3D19" w14:textId="77777777" w:rsidTr="00104D21">
        <w:tc>
          <w:tcPr>
            <w:tcW w:w="4361" w:type="dxa"/>
            <w:tcBorders>
              <w:top w:val="single" w:sz="4" w:space="0" w:color="auto"/>
              <w:bottom w:val="single" w:sz="4" w:space="0" w:color="auto"/>
            </w:tcBorders>
          </w:tcPr>
          <w:p w14:paraId="2FA20582" w14:textId="77777777" w:rsidR="00104D21" w:rsidRPr="00793CB7" w:rsidRDefault="00104D21" w:rsidP="00104D21">
            <w:pPr>
              <w:jc w:val="left"/>
              <w:rPr>
                <w:rFonts w:ascii="Arial" w:hAnsi="Arial" w:cs="Arial"/>
                <w:b/>
                <w:sz w:val="24"/>
                <w:szCs w:val="24"/>
              </w:rPr>
            </w:pPr>
            <w:r w:rsidRPr="00793CB7">
              <w:rPr>
                <w:rFonts w:ascii="Arial" w:hAnsi="Arial" w:cs="Arial"/>
                <w:b/>
                <w:sz w:val="24"/>
                <w:szCs w:val="24"/>
              </w:rPr>
              <w:t xml:space="preserve">Total </w:t>
            </w:r>
            <w:r>
              <w:rPr>
                <w:rFonts w:ascii="Arial" w:hAnsi="Arial" w:cs="Arial"/>
                <w:b/>
                <w:sz w:val="24"/>
                <w:szCs w:val="24"/>
              </w:rPr>
              <w:t>–</w:t>
            </w:r>
            <w:r w:rsidRPr="00793CB7">
              <w:rPr>
                <w:rFonts w:ascii="Arial" w:hAnsi="Arial" w:cs="Arial"/>
                <w:b/>
                <w:sz w:val="24"/>
                <w:szCs w:val="24"/>
              </w:rPr>
              <w:t xml:space="preserve"> </w:t>
            </w:r>
            <w:r>
              <w:rPr>
                <w:rFonts w:ascii="Arial" w:hAnsi="Arial" w:cs="Arial"/>
                <w:b/>
                <w:sz w:val="24"/>
                <w:szCs w:val="24"/>
              </w:rPr>
              <w:t>effective</w:t>
            </w:r>
          </w:p>
        </w:tc>
        <w:tc>
          <w:tcPr>
            <w:tcW w:w="1276" w:type="dxa"/>
            <w:tcBorders>
              <w:top w:val="single" w:sz="4" w:space="0" w:color="auto"/>
              <w:bottom w:val="single" w:sz="4" w:space="0" w:color="auto"/>
            </w:tcBorders>
          </w:tcPr>
          <w:p w14:paraId="75BA1488" w14:textId="77777777" w:rsidR="00104D21" w:rsidRPr="00793CB7" w:rsidRDefault="00104D21" w:rsidP="00104D21">
            <w:pPr>
              <w:jc w:val="right"/>
              <w:rPr>
                <w:rFonts w:ascii="Arial" w:hAnsi="Arial" w:cs="Arial"/>
                <w:b/>
                <w:sz w:val="24"/>
                <w:szCs w:val="24"/>
              </w:rPr>
            </w:pPr>
            <w:r>
              <w:rPr>
                <w:rFonts w:ascii="Arial" w:hAnsi="Arial" w:cs="Arial"/>
                <w:b/>
                <w:sz w:val="24"/>
                <w:szCs w:val="24"/>
              </w:rPr>
              <w:t>679</w:t>
            </w:r>
          </w:p>
        </w:tc>
        <w:tc>
          <w:tcPr>
            <w:tcW w:w="1417" w:type="dxa"/>
            <w:tcBorders>
              <w:top w:val="single" w:sz="4" w:space="0" w:color="auto"/>
              <w:bottom w:val="single" w:sz="4" w:space="0" w:color="auto"/>
            </w:tcBorders>
          </w:tcPr>
          <w:p w14:paraId="7EB28A1B" w14:textId="77777777" w:rsidR="00104D21" w:rsidRPr="00793CB7" w:rsidRDefault="00104D21" w:rsidP="00104D21">
            <w:pPr>
              <w:jc w:val="right"/>
              <w:rPr>
                <w:rFonts w:ascii="Arial" w:hAnsi="Arial" w:cs="Arial"/>
                <w:b/>
                <w:sz w:val="24"/>
                <w:szCs w:val="24"/>
              </w:rPr>
            </w:pPr>
            <w:r>
              <w:rPr>
                <w:rFonts w:ascii="Arial" w:hAnsi="Arial" w:cs="Arial"/>
                <w:b/>
                <w:sz w:val="24"/>
                <w:szCs w:val="24"/>
              </w:rPr>
              <w:t>(183)</w:t>
            </w:r>
          </w:p>
        </w:tc>
        <w:tc>
          <w:tcPr>
            <w:tcW w:w="1276" w:type="dxa"/>
            <w:tcBorders>
              <w:top w:val="single" w:sz="4" w:space="0" w:color="auto"/>
              <w:bottom w:val="single" w:sz="4" w:space="0" w:color="auto"/>
            </w:tcBorders>
          </w:tcPr>
          <w:p w14:paraId="226932CF"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27</w:t>
            </w:r>
          </w:p>
        </w:tc>
        <w:tc>
          <w:tcPr>
            <w:tcW w:w="1276" w:type="dxa"/>
            <w:tcBorders>
              <w:top w:val="single" w:sz="4" w:space="0" w:color="auto"/>
              <w:bottom w:val="single" w:sz="4" w:space="0" w:color="auto"/>
            </w:tcBorders>
          </w:tcPr>
          <w:p w14:paraId="38CEF28F" w14:textId="77777777" w:rsidR="00104D21" w:rsidRPr="00793CB7" w:rsidRDefault="00104D21" w:rsidP="00104D21">
            <w:pPr>
              <w:jc w:val="right"/>
              <w:rPr>
                <w:rFonts w:ascii="Arial" w:hAnsi="Arial" w:cs="Arial"/>
                <w:sz w:val="24"/>
                <w:szCs w:val="24"/>
              </w:rPr>
            </w:pPr>
            <w:r w:rsidRPr="00793CB7">
              <w:rPr>
                <w:rFonts w:ascii="Arial" w:hAnsi="Arial" w:cs="Arial"/>
                <w:sz w:val="24"/>
                <w:szCs w:val="24"/>
              </w:rPr>
              <w:t>2</w:t>
            </w:r>
            <w:r>
              <w:rPr>
                <w:rFonts w:ascii="Arial" w:hAnsi="Arial" w:cs="Arial"/>
                <w:sz w:val="24"/>
                <w:szCs w:val="24"/>
              </w:rPr>
              <w:t>6</w:t>
            </w:r>
          </w:p>
        </w:tc>
      </w:tr>
    </w:tbl>
    <w:p w14:paraId="0000F088" w14:textId="77777777" w:rsidR="00104D21" w:rsidRPr="00C82F88" w:rsidRDefault="00104D21" w:rsidP="00104D21">
      <w:pPr>
        <w:jc w:val="left"/>
        <w:rPr>
          <w:rFonts w:ascii="Arial" w:hAnsi="Arial" w:cs="Arial"/>
          <w:sz w:val="24"/>
          <w:szCs w:val="24"/>
        </w:rPr>
      </w:pPr>
    </w:p>
    <w:p w14:paraId="3F183C0A" w14:textId="4777822B" w:rsidR="00104D21" w:rsidRPr="00B65521" w:rsidRDefault="00104D21" w:rsidP="00104D21">
      <w:pPr>
        <w:jc w:val="left"/>
        <w:rPr>
          <w:rFonts w:ascii="Arial" w:hAnsi="Arial" w:cs="Arial"/>
          <w:sz w:val="24"/>
          <w:szCs w:val="24"/>
        </w:rPr>
      </w:pPr>
      <w:r w:rsidRPr="00B65521">
        <w:rPr>
          <w:rFonts w:ascii="Arial" w:hAnsi="Arial" w:cs="Arial"/>
          <w:sz w:val="24"/>
          <w:szCs w:val="24"/>
        </w:rPr>
        <w:t xml:space="preserve">The tax rates for this financial year and the expected rates for next year </w:t>
      </w:r>
      <w:r w:rsidR="0093472D">
        <w:rPr>
          <w:rFonts w:ascii="Arial" w:hAnsi="Arial" w:cs="Arial"/>
          <w:sz w:val="24"/>
          <w:szCs w:val="24"/>
        </w:rPr>
        <w:t xml:space="preserve">in our main jurisdictions </w:t>
      </w:r>
      <w:r w:rsidRPr="00B65521">
        <w:rPr>
          <w:rFonts w:ascii="Arial" w:hAnsi="Arial" w:cs="Arial"/>
          <w:sz w:val="24"/>
          <w:szCs w:val="24"/>
        </w:rPr>
        <w:t>are as follows:</w:t>
      </w:r>
    </w:p>
    <w:p w14:paraId="1FC4330A" w14:textId="77777777" w:rsidR="00104D21" w:rsidRDefault="00104D21" w:rsidP="00104D21">
      <w:pPr>
        <w:jc w:val="left"/>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3544"/>
        <w:gridCol w:w="3510"/>
      </w:tblGrid>
      <w:tr w:rsidR="00104D21" w:rsidRPr="00216651" w14:paraId="4CBC8094" w14:textId="77777777" w:rsidTr="00104D21">
        <w:trPr>
          <w:trHeight w:val="281"/>
        </w:trPr>
        <w:tc>
          <w:tcPr>
            <w:tcW w:w="2552" w:type="dxa"/>
            <w:tcBorders>
              <w:bottom w:val="single" w:sz="4" w:space="0" w:color="auto"/>
            </w:tcBorders>
          </w:tcPr>
          <w:p w14:paraId="44E6BB02" w14:textId="77777777" w:rsidR="00104D21" w:rsidRPr="00105A25" w:rsidRDefault="00104D21" w:rsidP="00104D21">
            <w:pPr>
              <w:jc w:val="left"/>
              <w:rPr>
                <w:rFonts w:ascii="Arial" w:hAnsi="Arial" w:cs="Arial"/>
                <w:b/>
                <w:sz w:val="24"/>
                <w:szCs w:val="24"/>
              </w:rPr>
            </w:pPr>
            <w:r w:rsidRPr="00105A25">
              <w:rPr>
                <w:rFonts w:ascii="Arial" w:hAnsi="Arial" w:cs="Arial"/>
                <w:b/>
                <w:sz w:val="24"/>
                <w:szCs w:val="24"/>
              </w:rPr>
              <w:t>Jurisdiction</w:t>
            </w:r>
          </w:p>
        </w:tc>
        <w:tc>
          <w:tcPr>
            <w:tcW w:w="3544" w:type="dxa"/>
            <w:tcBorders>
              <w:bottom w:val="single" w:sz="4" w:space="0" w:color="auto"/>
            </w:tcBorders>
          </w:tcPr>
          <w:p w14:paraId="62A1144A" w14:textId="77777777" w:rsidR="00104D21" w:rsidRPr="00105A25" w:rsidRDefault="00104D21" w:rsidP="00104D21">
            <w:pPr>
              <w:jc w:val="right"/>
              <w:rPr>
                <w:rFonts w:ascii="Arial" w:hAnsi="Arial" w:cs="Arial"/>
                <w:b/>
                <w:sz w:val="24"/>
                <w:szCs w:val="24"/>
              </w:rPr>
            </w:pPr>
            <w:r w:rsidRPr="00105A25">
              <w:rPr>
                <w:rFonts w:ascii="Arial" w:hAnsi="Arial" w:cs="Arial"/>
                <w:b/>
                <w:sz w:val="24"/>
                <w:szCs w:val="24"/>
              </w:rPr>
              <w:t xml:space="preserve">Statutory tax rate 2015/16 </w:t>
            </w:r>
          </w:p>
        </w:tc>
        <w:tc>
          <w:tcPr>
            <w:tcW w:w="3510" w:type="dxa"/>
            <w:tcBorders>
              <w:bottom w:val="single" w:sz="4" w:space="0" w:color="auto"/>
            </w:tcBorders>
          </w:tcPr>
          <w:p w14:paraId="58944F8C" w14:textId="77777777" w:rsidR="00104D21" w:rsidRPr="00105A25" w:rsidRDefault="00104D21" w:rsidP="00104D21">
            <w:pPr>
              <w:jc w:val="right"/>
              <w:rPr>
                <w:rFonts w:ascii="Arial" w:hAnsi="Arial" w:cs="Arial"/>
                <w:b/>
                <w:sz w:val="24"/>
                <w:szCs w:val="24"/>
              </w:rPr>
            </w:pPr>
            <w:r w:rsidRPr="00105A25">
              <w:rPr>
                <w:rFonts w:ascii="Arial" w:hAnsi="Arial" w:cs="Arial"/>
                <w:b/>
                <w:sz w:val="24"/>
                <w:szCs w:val="24"/>
              </w:rPr>
              <w:t>Statutory tax rate 2014/15</w:t>
            </w:r>
          </w:p>
        </w:tc>
      </w:tr>
      <w:tr w:rsidR="00104D21" w:rsidRPr="00E20BFB" w14:paraId="430DF085" w14:textId="77777777" w:rsidTr="00104D21">
        <w:tc>
          <w:tcPr>
            <w:tcW w:w="2552" w:type="dxa"/>
            <w:tcBorders>
              <w:top w:val="single" w:sz="4" w:space="0" w:color="auto"/>
            </w:tcBorders>
          </w:tcPr>
          <w:p w14:paraId="769D9BFB" w14:textId="77777777" w:rsidR="00104D21" w:rsidRPr="00E20BFB" w:rsidRDefault="00104D21" w:rsidP="00104D21">
            <w:pPr>
              <w:jc w:val="left"/>
              <w:rPr>
                <w:rFonts w:ascii="Arial" w:hAnsi="Arial" w:cs="Arial"/>
                <w:sz w:val="24"/>
                <w:szCs w:val="24"/>
              </w:rPr>
            </w:pPr>
            <w:r>
              <w:rPr>
                <w:rFonts w:ascii="Arial" w:hAnsi="Arial" w:cs="Arial"/>
                <w:sz w:val="24"/>
                <w:szCs w:val="24"/>
              </w:rPr>
              <w:t>UK</w:t>
            </w:r>
          </w:p>
        </w:tc>
        <w:tc>
          <w:tcPr>
            <w:tcW w:w="3544" w:type="dxa"/>
            <w:tcBorders>
              <w:top w:val="single" w:sz="4" w:space="0" w:color="auto"/>
            </w:tcBorders>
          </w:tcPr>
          <w:p w14:paraId="1775F3CE" w14:textId="77777777" w:rsidR="00104D21" w:rsidRPr="00757ADA" w:rsidRDefault="00104D21" w:rsidP="00104D21">
            <w:pPr>
              <w:jc w:val="right"/>
              <w:rPr>
                <w:rFonts w:ascii="Arial" w:hAnsi="Arial" w:cs="Arial"/>
                <w:sz w:val="24"/>
                <w:szCs w:val="24"/>
                <w:highlight w:val="yellow"/>
              </w:rPr>
            </w:pPr>
            <w:r w:rsidRPr="00115737">
              <w:rPr>
                <w:rFonts w:ascii="Arial" w:hAnsi="Arial" w:cs="Arial"/>
                <w:sz w:val="24"/>
                <w:szCs w:val="24"/>
              </w:rPr>
              <w:t>20%</w:t>
            </w:r>
          </w:p>
        </w:tc>
        <w:tc>
          <w:tcPr>
            <w:tcW w:w="3510" w:type="dxa"/>
            <w:tcBorders>
              <w:top w:val="single" w:sz="4" w:space="0" w:color="auto"/>
            </w:tcBorders>
          </w:tcPr>
          <w:p w14:paraId="2316F6FC"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21%</w:t>
            </w:r>
          </w:p>
        </w:tc>
      </w:tr>
      <w:tr w:rsidR="00104D21" w:rsidRPr="00E20BFB" w14:paraId="23A96305" w14:textId="77777777" w:rsidTr="000E6C79">
        <w:tc>
          <w:tcPr>
            <w:tcW w:w="2552" w:type="dxa"/>
          </w:tcPr>
          <w:p w14:paraId="08D10965" w14:textId="77777777" w:rsidR="00104D21" w:rsidRDefault="00104D21" w:rsidP="00104D21">
            <w:pPr>
              <w:jc w:val="left"/>
              <w:rPr>
                <w:rFonts w:ascii="Arial" w:hAnsi="Arial" w:cs="Arial"/>
                <w:sz w:val="24"/>
                <w:szCs w:val="24"/>
              </w:rPr>
            </w:pPr>
            <w:r>
              <w:rPr>
                <w:rFonts w:ascii="Arial" w:hAnsi="Arial" w:cs="Arial"/>
                <w:sz w:val="24"/>
                <w:szCs w:val="24"/>
              </w:rPr>
              <w:t>France</w:t>
            </w:r>
          </w:p>
        </w:tc>
        <w:tc>
          <w:tcPr>
            <w:tcW w:w="3544" w:type="dxa"/>
          </w:tcPr>
          <w:p w14:paraId="56620A75" w14:textId="77777777" w:rsidR="00104D21" w:rsidRPr="00757ADA" w:rsidRDefault="00104D21" w:rsidP="00104D21">
            <w:pPr>
              <w:jc w:val="right"/>
              <w:rPr>
                <w:rFonts w:ascii="Arial" w:hAnsi="Arial" w:cs="Arial"/>
                <w:b/>
                <w:sz w:val="24"/>
                <w:szCs w:val="24"/>
                <w:highlight w:val="yellow"/>
              </w:rPr>
            </w:pPr>
            <w:r w:rsidRPr="00115737">
              <w:rPr>
                <w:rFonts w:ascii="Arial" w:hAnsi="Arial" w:cs="Arial"/>
                <w:sz w:val="24"/>
                <w:szCs w:val="24"/>
              </w:rPr>
              <w:t>34.4% - 38.0%</w:t>
            </w:r>
          </w:p>
        </w:tc>
        <w:tc>
          <w:tcPr>
            <w:tcW w:w="3510" w:type="dxa"/>
          </w:tcPr>
          <w:p w14:paraId="0A380F23"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34.4% - 38.0%</w:t>
            </w:r>
          </w:p>
        </w:tc>
      </w:tr>
      <w:tr w:rsidR="00104D21" w:rsidRPr="00E20BFB" w14:paraId="7BBE3CFF" w14:textId="77777777" w:rsidTr="000E6C79">
        <w:tc>
          <w:tcPr>
            <w:tcW w:w="2552" w:type="dxa"/>
            <w:tcBorders>
              <w:bottom w:val="single" w:sz="4" w:space="0" w:color="auto"/>
            </w:tcBorders>
          </w:tcPr>
          <w:p w14:paraId="34487E39" w14:textId="77777777" w:rsidR="00104D21" w:rsidRDefault="00104D21" w:rsidP="00104D21">
            <w:pPr>
              <w:jc w:val="left"/>
              <w:rPr>
                <w:rFonts w:ascii="Arial" w:hAnsi="Arial" w:cs="Arial"/>
                <w:sz w:val="24"/>
                <w:szCs w:val="24"/>
              </w:rPr>
            </w:pPr>
            <w:r>
              <w:rPr>
                <w:rFonts w:ascii="Arial" w:hAnsi="Arial" w:cs="Arial"/>
                <w:sz w:val="24"/>
                <w:szCs w:val="24"/>
              </w:rPr>
              <w:t>Poland</w:t>
            </w:r>
          </w:p>
        </w:tc>
        <w:tc>
          <w:tcPr>
            <w:tcW w:w="3544" w:type="dxa"/>
            <w:tcBorders>
              <w:bottom w:val="single" w:sz="4" w:space="0" w:color="auto"/>
            </w:tcBorders>
          </w:tcPr>
          <w:p w14:paraId="5C1F2E84" w14:textId="77777777" w:rsidR="00104D21" w:rsidRPr="00757ADA" w:rsidRDefault="00104D21" w:rsidP="00104D21">
            <w:pPr>
              <w:jc w:val="right"/>
              <w:rPr>
                <w:rFonts w:ascii="Arial" w:hAnsi="Arial" w:cs="Arial"/>
                <w:sz w:val="24"/>
                <w:szCs w:val="24"/>
                <w:highlight w:val="yellow"/>
              </w:rPr>
            </w:pPr>
            <w:r w:rsidRPr="00115737">
              <w:rPr>
                <w:rFonts w:ascii="Arial" w:hAnsi="Arial" w:cs="Arial"/>
                <w:sz w:val="24"/>
                <w:szCs w:val="24"/>
              </w:rPr>
              <w:t>19%</w:t>
            </w:r>
          </w:p>
        </w:tc>
        <w:tc>
          <w:tcPr>
            <w:tcW w:w="3510" w:type="dxa"/>
            <w:tcBorders>
              <w:bottom w:val="single" w:sz="4" w:space="0" w:color="auto"/>
            </w:tcBorders>
          </w:tcPr>
          <w:p w14:paraId="334867AE"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19%</w:t>
            </w:r>
          </w:p>
        </w:tc>
      </w:tr>
    </w:tbl>
    <w:p w14:paraId="4C370B15" w14:textId="77777777" w:rsidR="00104D21" w:rsidRDefault="00104D21" w:rsidP="00104D21">
      <w:pPr>
        <w:jc w:val="left"/>
        <w:rPr>
          <w:rFonts w:ascii="Arial" w:hAnsi="Arial" w:cs="Arial"/>
          <w:b/>
          <w:sz w:val="24"/>
          <w:szCs w:val="24"/>
        </w:rPr>
      </w:pPr>
    </w:p>
    <w:p w14:paraId="76B0F5A0" w14:textId="77777777" w:rsidR="00104D21" w:rsidRPr="00C82F88" w:rsidRDefault="00104D21" w:rsidP="00104D21">
      <w:pPr>
        <w:jc w:val="left"/>
        <w:rPr>
          <w:rFonts w:ascii="Arial" w:hAnsi="Arial" w:cs="Arial"/>
          <w:b/>
          <w:sz w:val="24"/>
          <w:szCs w:val="24"/>
        </w:rPr>
      </w:pPr>
      <w:r w:rsidRPr="008C6F5E">
        <w:rPr>
          <w:rFonts w:ascii="Arial" w:hAnsi="Arial" w:cs="Arial"/>
          <w:b/>
          <w:sz w:val="24"/>
          <w:szCs w:val="24"/>
        </w:rPr>
        <w:t xml:space="preserve">Tax contribution </w:t>
      </w:r>
    </w:p>
    <w:p w14:paraId="7DCBE286" w14:textId="77777777" w:rsidR="00104D21" w:rsidRDefault="00104D21" w:rsidP="00104D21">
      <w:pPr>
        <w:jc w:val="left"/>
        <w:rPr>
          <w:rFonts w:ascii="Arial" w:hAnsi="Arial" w:cs="Arial"/>
          <w:sz w:val="24"/>
          <w:szCs w:val="24"/>
        </w:rPr>
      </w:pPr>
    </w:p>
    <w:p w14:paraId="11BE21FF" w14:textId="14DF6BA0" w:rsidR="00104D21" w:rsidRPr="00B65521" w:rsidRDefault="00104D21" w:rsidP="00104D21">
      <w:pPr>
        <w:jc w:val="left"/>
        <w:rPr>
          <w:rFonts w:ascii="Arial" w:hAnsi="Arial" w:cs="Arial"/>
          <w:sz w:val="24"/>
          <w:szCs w:val="24"/>
          <w:lang w:val="en-US"/>
        </w:rPr>
      </w:pPr>
      <w:r w:rsidRPr="00CB454F">
        <w:rPr>
          <w:rFonts w:ascii="Arial" w:hAnsi="Arial" w:cs="Arial"/>
          <w:sz w:val="24"/>
          <w:szCs w:val="24"/>
          <w:lang w:val="en-US"/>
        </w:rPr>
        <w:t xml:space="preserve">Kingfisher makes a </w:t>
      </w:r>
      <w:r w:rsidRPr="00B65521">
        <w:rPr>
          <w:rFonts w:ascii="Arial" w:hAnsi="Arial" w:cs="Arial"/>
          <w:sz w:val="24"/>
          <w:szCs w:val="24"/>
          <w:lang w:val="en-US"/>
        </w:rPr>
        <w:t>significant economic contribution to the countries in which it operates. In 2014/15 it contributed £</w:t>
      </w:r>
      <w:r w:rsidRPr="00115737">
        <w:rPr>
          <w:rFonts w:ascii="Arial" w:hAnsi="Arial" w:cs="Arial"/>
          <w:sz w:val="24"/>
          <w:szCs w:val="24"/>
          <w:lang w:val="en-US"/>
        </w:rPr>
        <w:t>1.</w:t>
      </w:r>
      <w:r w:rsidR="0003137D">
        <w:rPr>
          <w:rFonts w:ascii="Arial" w:hAnsi="Arial" w:cs="Arial"/>
          <w:sz w:val="24"/>
          <w:szCs w:val="24"/>
          <w:lang w:val="en-US"/>
        </w:rPr>
        <w:t>7</w:t>
      </w:r>
      <w:r w:rsidR="0003137D" w:rsidRPr="00B65521">
        <w:rPr>
          <w:rFonts w:ascii="Arial" w:hAnsi="Arial" w:cs="Arial"/>
          <w:sz w:val="24"/>
          <w:szCs w:val="24"/>
          <w:lang w:val="en-US"/>
        </w:rPr>
        <w:t xml:space="preserve"> </w:t>
      </w:r>
      <w:r w:rsidRPr="00B65521">
        <w:rPr>
          <w:rFonts w:ascii="Arial" w:hAnsi="Arial" w:cs="Arial"/>
          <w:sz w:val="24"/>
          <w:szCs w:val="24"/>
          <w:lang w:val="en-US"/>
        </w:rPr>
        <w:t xml:space="preserve">billion in taxes it both pays and collects for these </w:t>
      </w:r>
      <w:r w:rsidR="00D070B2">
        <w:rPr>
          <w:rFonts w:ascii="Arial" w:hAnsi="Arial" w:cs="Arial"/>
          <w:sz w:val="24"/>
          <w:szCs w:val="24"/>
          <w:lang w:val="en-US"/>
        </w:rPr>
        <w:t>g</w:t>
      </w:r>
      <w:r w:rsidRPr="00B65521">
        <w:rPr>
          <w:rFonts w:ascii="Arial" w:hAnsi="Arial" w:cs="Arial"/>
          <w:sz w:val="24"/>
          <w:szCs w:val="24"/>
          <w:lang w:val="en-US"/>
        </w:rPr>
        <w:t>overnments. The Group pays tax</w:t>
      </w:r>
      <w:r w:rsidRPr="00CB454F">
        <w:rPr>
          <w:rFonts w:ascii="Arial" w:hAnsi="Arial" w:cs="Arial"/>
          <w:sz w:val="24"/>
          <w:szCs w:val="24"/>
          <w:lang w:val="en-US"/>
        </w:rPr>
        <w:t xml:space="preserve"> on its profits, its properties, in </w:t>
      </w:r>
      <w:r w:rsidRPr="00674D1E">
        <w:rPr>
          <w:rFonts w:ascii="Arial" w:hAnsi="Arial" w:cs="Arial"/>
          <w:sz w:val="24"/>
          <w:szCs w:val="24"/>
          <w:lang w:val="en-US"/>
        </w:rPr>
        <w:t xml:space="preserve">employing </w:t>
      </w:r>
      <w:r w:rsidRPr="00115737">
        <w:rPr>
          <w:rFonts w:ascii="Arial" w:hAnsi="Arial" w:cs="Arial"/>
          <w:sz w:val="24"/>
          <w:szCs w:val="24"/>
          <w:lang w:val="en-US"/>
        </w:rPr>
        <w:t>79,000</w:t>
      </w:r>
      <w:r>
        <w:rPr>
          <w:rFonts w:ascii="Arial" w:hAnsi="Arial" w:cs="Arial"/>
          <w:sz w:val="24"/>
          <w:szCs w:val="24"/>
          <w:lang w:val="en-US"/>
        </w:rPr>
        <w:t xml:space="preserve"> people</w:t>
      </w:r>
      <w:r w:rsidRPr="00CB454F">
        <w:rPr>
          <w:rFonts w:ascii="Arial" w:hAnsi="Arial" w:cs="Arial"/>
          <w:sz w:val="24"/>
          <w:szCs w:val="24"/>
          <w:lang w:val="en-US"/>
        </w:rPr>
        <w:t>, in environmental levies, in customs duties and levies as well as other local taxes.  The most sig</w:t>
      </w:r>
      <w:r w:rsidRPr="008673CF">
        <w:rPr>
          <w:rFonts w:ascii="Arial" w:hAnsi="Arial" w:cs="Arial"/>
          <w:sz w:val="24"/>
          <w:szCs w:val="24"/>
          <w:lang w:val="en-US"/>
        </w:rPr>
        <w:t xml:space="preserve">nificant taxes it collects for </w:t>
      </w:r>
      <w:r>
        <w:rPr>
          <w:rFonts w:ascii="Arial" w:hAnsi="Arial" w:cs="Arial"/>
          <w:sz w:val="24"/>
          <w:szCs w:val="24"/>
          <w:lang w:val="en-US"/>
        </w:rPr>
        <w:t>g</w:t>
      </w:r>
      <w:r w:rsidRPr="00CB454F">
        <w:rPr>
          <w:rFonts w:ascii="Arial" w:hAnsi="Arial" w:cs="Arial"/>
          <w:sz w:val="24"/>
          <w:szCs w:val="24"/>
          <w:lang w:val="en-US"/>
        </w:rPr>
        <w:t xml:space="preserve">overnments are the sales taxes charged to its </w:t>
      </w:r>
      <w:r w:rsidRPr="00B65521">
        <w:rPr>
          <w:rFonts w:ascii="Arial" w:hAnsi="Arial" w:cs="Arial"/>
          <w:sz w:val="24"/>
          <w:szCs w:val="24"/>
          <w:lang w:val="en-US"/>
        </w:rPr>
        <w:t>customers on their purchases (VAT) and employee payroll related taxes. Taxes paid and collected together represent Kingfisher's total tax contribution which is shown below:</w:t>
      </w:r>
    </w:p>
    <w:p w14:paraId="71A1D902" w14:textId="7E1E1566" w:rsidR="005505B9" w:rsidRPr="00B65521" w:rsidRDefault="005505B9" w:rsidP="00104D21">
      <w:pPr>
        <w:jc w:val="left"/>
        <w:rPr>
          <w:rFonts w:ascii="Arial" w:hAnsi="Arial" w:cs="Arial"/>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54"/>
        <w:gridCol w:w="1276"/>
        <w:gridCol w:w="1276"/>
      </w:tblGrid>
      <w:tr w:rsidR="00104D21" w:rsidRPr="00B65521" w14:paraId="31DAA588" w14:textId="77777777" w:rsidTr="00104D21">
        <w:trPr>
          <w:trHeight w:val="516"/>
        </w:trPr>
        <w:tc>
          <w:tcPr>
            <w:tcW w:w="7054" w:type="dxa"/>
            <w:tcBorders>
              <w:bottom w:val="single" w:sz="4" w:space="0" w:color="auto"/>
            </w:tcBorders>
          </w:tcPr>
          <w:p w14:paraId="7A15F0FE" w14:textId="2322D160" w:rsidR="00104D21" w:rsidRPr="00115737" w:rsidRDefault="00BC7493">
            <w:pPr>
              <w:jc w:val="left"/>
              <w:rPr>
                <w:rFonts w:ascii="Arial" w:hAnsi="Arial" w:cs="Arial"/>
                <w:b/>
                <w:sz w:val="24"/>
                <w:szCs w:val="24"/>
              </w:rPr>
            </w:pPr>
            <w:r w:rsidRPr="00B65521">
              <w:rPr>
                <w:rFonts w:ascii="Arial" w:hAnsi="Arial" w:cs="Arial"/>
                <w:b/>
                <w:sz w:val="24"/>
                <w:szCs w:val="24"/>
              </w:rPr>
              <w:t>Total tax</w:t>
            </w:r>
            <w:r w:rsidR="0093472D">
              <w:rPr>
                <w:rFonts w:ascii="Arial" w:hAnsi="Arial" w:cs="Arial"/>
                <w:b/>
                <w:sz w:val="24"/>
                <w:szCs w:val="24"/>
              </w:rPr>
              <w:t xml:space="preserve"> contribution</w:t>
            </w:r>
            <w:r w:rsidRPr="00B65521">
              <w:rPr>
                <w:rFonts w:ascii="Arial" w:hAnsi="Arial" w:cs="Arial"/>
                <w:b/>
                <w:sz w:val="24"/>
                <w:szCs w:val="24"/>
              </w:rPr>
              <w:t xml:space="preserve"> as a result of Group operations</w:t>
            </w:r>
          </w:p>
        </w:tc>
        <w:tc>
          <w:tcPr>
            <w:tcW w:w="1276" w:type="dxa"/>
            <w:tcBorders>
              <w:bottom w:val="single" w:sz="4" w:space="0" w:color="auto"/>
            </w:tcBorders>
          </w:tcPr>
          <w:p w14:paraId="36CB3D08" w14:textId="77777777" w:rsidR="00104D21" w:rsidRPr="00B65521" w:rsidRDefault="00104D21" w:rsidP="00104D21">
            <w:pPr>
              <w:jc w:val="right"/>
              <w:rPr>
                <w:rFonts w:ascii="Arial" w:hAnsi="Arial" w:cs="Arial"/>
                <w:b/>
                <w:sz w:val="24"/>
                <w:szCs w:val="24"/>
              </w:rPr>
            </w:pPr>
            <w:r w:rsidRPr="00B65521">
              <w:rPr>
                <w:rFonts w:ascii="Arial" w:hAnsi="Arial" w:cs="Arial"/>
                <w:b/>
                <w:sz w:val="24"/>
                <w:szCs w:val="24"/>
              </w:rPr>
              <w:t>2014/15</w:t>
            </w:r>
          </w:p>
          <w:p w14:paraId="2DF12004" w14:textId="77777777" w:rsidR="00104D21" w:rsidRPr="00B65521" w:rsidRDefault="00104D21" w:rsidP="00104D21">
            <w:pPr>
              <w:jc w:val="right"/>
              <w:rPr>
                <w:rFonts w:ascii="Arial" w:hAnsi="Arial" w:cs="Arial"/>
                <w:b/>
                <w:sz w:val="24"/>
                <w:szCs w:val="24"/>
              </w:rPr>
            </w:pPr>
            <w:r w:rsidRPr="00B65521">
              <w:rPr>
                <w:rFonts w:ascii="Arial" w:hAnsi="Arial" w:cs="Arial"/>
                <w:b/>
                <w:sz w:val="24"/>
                <w:szCs w:val="24"/>
              </w:rPr>
              <w:t>£bn</w:t>
            </w:r>
          </w:p>
        </w:tc>
        <w:tc>
          <w:tcPr>
            <w:tcW w:w="1276" w:type="dxa"/>
            <w:tcBorders>
              <w:bottom w:val="single" w:sz="4" w:space="0" w:color="auto"/>
            </w:tcBorders>
          </w:tcPr>
          <w:p w14:paraId="16661791" w14:textId="77777777" w:rsidR="00104D21" w:rsidRPr="00B65521" w:rsidRDefault="00104D21" w:rsidP="00104D21">
            <w:pPr>
              <w:jc w:val="right"/>
              <w:rPr>
                <w:rFonts w:ascii="Arial" w:hAnsi="Arial" w:cs="Arial"/>
                <w:sz w:val="24"/>
                <w:szCs w:val="24"/>
              </w:rPr>
            </w:pPr>
            <w:r w:rsidRPr="00B65521">
              <w:rPr>
                <w:rFonts w:ascii="Arial" w:hAnsi="Arial" w:cs="Arial"/>
                <w:sz w:val="24"/>
                <w:szCs w:val="24"/>
              </w:rPr>
              <w:t>2013/14</w:t>
            </w:r>
          </w:p>
          <w:p w14:paraId="65A2CE8B" w14:textId="77777777" w:rsidR="00104D21" w:rsidRPr="00B65521" w:rsidRDefault="00104D21" w:rsidP="00104D21">
            <w:pPr>
              <w:jc w:val="right"/>
              <w:rPr>
                <w:rFonts w:ascii="Arial" w:hAnsi="Arial" w:cs="Arial"/>
                <w:sz w:val="24"/>
                <w:szCs w:val="24"/>
              </w:rPr>
            </w:pPr>
            <w:r w:rsidRPr="00B65521">
              <w:rPr>
                <w:rFonts w:ascii="Arial" w:hAnsi="Arial" w:cs="Arial"/>
                <w:sz w:val="24"/>
                <w:szCs w:val="24"/>
              </w:rPr>
              <w:t>£bn</w:t>
            </w:r>
          </w:p>
        </w:tc>
      </w:tr>
      <w:tr w:rsidR="00104D21" w:rsidRPr="00B65521" w14:paraId="7D0DA35F" w14:textId="77777777" w:rsidTr="00104D21">
        <w:tc>
          <w:tcPr>
            <w:tcW w:w="7054" w:type="dxa"/>
            <w:tcBorders>
              <w:top w:val="single" w:sz="4" w:space="0" w:color="auto"/>
            </w:tcBorders>
          </w:tcPr>
          <w:p w14:paraId="2C0D0FA0" w14:textId="09C72153" w:rsidR="00104D21" w:rsidRPr="00B65521" w:rsidRDefault="00104D21">
            <w:pPr>
              <w:jc w:val="left"/>
              <w:rPr>
                <w:rFonts w:ascii="Arial" w:hAnsi="Arial" w:cs="Arial"/>
                <w:sz w:val="24"/>
                <w:szCs w:val="24"/>
              </w:rPr>
            </w:pPr>
            <w:r w:rsidRPr="00B65521">
              <w:rPr>
                <w:rFonts w:ascii="Arial" w:hAnsi="Arial" w:cs="Arial"/>
                <w:sz w:val="24"/>
                <w:szCs w:val="24"/>
              </w:rPr>
              <w:t xml:space="preserve">Taxes </w:t>
            </w:r>
            <w:r w:rsidR="0093472D">
              <w:rPr>
                <w:rFonts w:ascii="Arial" w:hAnsi="Arial" w:cs="Arial"/>
                <w:sz w:val="24"/>
                <w:szCs w:val="24"/>
              </w:rPr>
              <w:t>paid</w:t>
            </w:r>
          </w:p>
        </w:tc>
        <w:tc>
          <w:tcPr>
            <w:tcW w:w="1276" w:type="dxa"/>
            <w:tcBorders>
              <w:top w:val="single" w:sz="4" w:space="0" w:color="auto"/>
            </w:tcBorders>
          </w:tcPr>
          <w:p w14:paraId="0C1D2FF7" w14:textId="4E7ADCD1" w:rsidR="00104D21" w:rsidRPr="00115737" w:rsidRDefault="00104D21" w:rsidP="0003137D">
            <w:pPr>
              <w:jc w:val="right"/>
              <w:rPr>
                <w:rFonts w:ascii="Arial" w:hAnsi="Arial" w:cs="Arial"/>
                <w:b/>
                <w:sz w:val="24"/>
                <w:szCs w:val="24"/>
              </w:rPr>
            </w:pPr>
            <w:r>
              <w:rPr>
                <w:rFonts w:ascii="Arial" w:hAnsi="Arial" w:cs="Arial"/>
                <w:b/>
                <w:sz w:val="24"/>
                <w:szCs w:val="24"/>
              </w:rPr>
              <w:t>0.7</w:t>
            </w:r>
          </w:p>
        </w:tc>
        <w:tc>
          <w:tcPr>
            <w:tcW w:w="1276" w:type="dxa"/>
            <w:tcBorders>
              <w:top w:val="single" w:sz="4" w:space="0" w:color="auto"/>
            </w:tcBorders>
          </w:tcPr>
          <w:p w14:paraId="56C5CB1B" w14:textId="5A762CE5" w:rsidR="00104D21" w:rsidRPr="00B65521" w:rsidRDefault="00104D21" w:rsidP="0003137D">
            <w:pPr>
              <w:jc w:val="right"/>
              <w:rPr>
                <w:rFonts w:ascii="Arial" w:hAnsi="Arial" w:cs="Arial"/>
                <w:sz w:val="24"/>
                <w:szCs w:val="24"/>
              </w:rPr>
            </w:pPr>
            <w:r>
              <w:rPr>
                <w:rFonts w:ascii="Arial" w:hAnsi="Arial" w:cs="Arial"/>
                <w:sz w:val="24"/>
                <w:szCs w:val="24"/>
              </w:rPr>
              <w:t>0.7</w:t>
            </w:r>
          </w:p>
        </w:tc>
      </w:tr>
      <w:tr w:rsidR="00104D21" w:rsidRPr="00B65521" w14:paraId="2B0EA0D7" w14:textId="77777777" w:rsidTr="00104D21">
        <w:tc>
          <w:tcPr>
            <w:tcW w:w="7054" w:type="dxa"/>
          </w:tcPr>
          <w:p w14:paraId="0F41682E" w14:textId="77777777" w:rsidR="00104D21" w:rsidRPr="00B65521" w:rsidRDefault="00104D21" w:rsidP="00104D21">
            <w:pPr>
              <w:jc w:val="left"/>
              <w:rPr>
                <w:rFonts w:ascii="Arial" w:hAnsi="Arial" w:cs="Arial"/>
                <w:sz w:val="24"/>
                <w:szCs w:val="24"/>
              </w:rPr>
            </w:pPr>
            <w:r w:rsidRPr="00B65521">
              <w:rPr>
                <w:rFonts w:ascii="Arial" w:hAnsi="Arial" w:cs="Arial"/>
                <w:sz w:val="24"/>
                <w:szCs w:val="24"/>
              </w:rPr>
              <w:t>Taxes collected</w:t>
            </w:r>
          </w:p>
        </w:tc>
        <w:tc>
          <w:tcPr>
            <w:tcW w:w="1276" w:type="dxa"/>
          </w:tcPr>
          <w:p w14:paraId="5B465924" w14:textId="02A52769" w:rsidR="00104D21" w:rsidRPr="00115737" w:rsidRDefault="0003137D" w:rsidP="00104D21">
            <w:pPr>
              <w:jc w:val="right"/>
              <w:rPr>
                <w:rFonts w:ascii="Arial" w:hAnsi="Arial" w:cs="Arial"/>
                <w:b/>
                <w:sz w:val="24"/>
                <w:szCs w:val="24"/>
              </w:rPr>
            </w:pPr>
            <w:r>
              <w:rPr>
                <w:rFonts w:ascii="Arial" w:hAnsi="Arial" w:cs="Arial"/>
                <w:b/>
                <w:sz w:val="24"/>
                <w:szCs w:val="24"/>
              </w:rPr>
              <w:t>1.0</w:t>
            </w:r>
          </w:p>
        </w:tc>
        <w:tc>
          <w:tcPr>
            <w:tcW w:w="1276" w:type="dxa"/>
          </w:tcPr>
          <w:p w14:paraId="34D6AF44" w14:textId="14E58EEF" w:rsidR="00104D21" w:rsidRPr="00B65521" w:rsidRDefault="0003137D" w:rsidP="00104D21">
            <w:pPr>
              <w:jc w:val="right"/>
              <w:rPr>
                <w:rFonts w:ascii="Arial" w:hAnsi="Arial" w:cs="Arial"/>
                <w:sz w:val="24"/>
                <w:szCs w:val="24"/>
              </w:rPr>
            </w:pPr>
            <w:r>
              <w:rPr>
                <w:rFonts w:ascii="Arial" w:hAnsi="Arial" w:cs="Arial"/>
                <w:sz w:val="24"/>
                <w:szCs w:val="24"/>
              </w:rPr>
              <w:t>1.0</w:t>
            </w:r>
          </w:p>
        </w:tc>
      </w:tr>
      <w:tr w:rsidR="00104D21" w:rsidRPr="00B65521" w14:paraId="4B2DBE49" w14:textId="77777777" w:rsidTr="00104D21">
        <w:tc>
          <w:tcPr>
            <w:tcW w:w="7054" w:type="dxa"/>
            <w:tcBorders>
              <w:top w:val="single" w:sz="4" w:space="0" w:color="auto"/>
              <w:bottom w:val="single" w:sz="4" w:space="0" w:color="auto"/>
            </w:tcBorders>
          </w:tcPr>
          <w:p w14:paraId="6B3D297A" w14:textId="77777777" w:rsidR="00104D21" w:rsidRPr="00B65521" w:rsidRDefault="00104D21" w:rsidP="00104D21">
            <w:pPr>
              <w:jc w:val="left"/>
              <w:rPr>
                <w:rFonts w:ascii="Arial" w:hAnsi="Arial" w:cs="Arial"/>
                <w:b/>
                <w:sz w:val="24"/>
                <w:szCs w:val="24"/>
              </w:rPr>
            </w:pPr>
            <w:r w:rsidRPr="00B65521">
              <w:rPr>
                <w:rFonts w:ascii="Arial" w:hAnsi="Arial" w:cs="Arial"/>
                <w:b/>
                <w:sz w:val="24"/>
                <w:szCs w:val="24"/>
              </w:rPr>
              <w:t>Total tax contribution</w:t>
            </w:r>
          </w:p>
        </w:tc>
        <w:tc>
          <w:tcPr>
            <w:tcW w:w="1276" w:type="dxa"/>
            <w:tcBorders>
              <w:top w:val="single" w:sz="4" w:space="0" w:color="auto"/>
              <w:bottom w:val="single" w:sz="4" w:space="0" w:color="auto"/>
            </w:tcBorders>
          </w:tcPr>
          <w:p w14:paraId="246D1134" w14:textId="45A92B9C" w:rsidR="00104D21" w:rsidRPr="00115737" w:rsidRDefault="00104D21" w:rsidP="0003137D">
            <w:pPr>
              <w:jc w:val="right"/>
              <w:rPr>
                <w:rFonts w:ascii="Arial" w:hAnsi="Arial" w:cs="Arial"/>
                <w:b/>
                <w:sz w:val="24"/>
                <w:szCs w:val="24"/>
              </w:rPr>
            </w:pPr>
            <w:r>
              <w:rPr>
                <w:rFonts w:ascii="Arial" w:hAnsi="Arial" w:cs="Arial"/>
                <w:b/>
                <w:sz w:val="24"/>
                <w:szCs w:val="24"/>
              </w:rPr>
              <w:t>1.</w:t>
            </w:r>
            <w:r w:rsidR="0003137D">
              <w:rPr>
                <w:rFonts w:ascii="Arial" w:hAnsi="Arial" w:cs="Arial"/>
                <w:b/>
                <w:sz w:val="24"/>
                <w:szCs w:val="24"/>
              </w:rPr>
              <w:t>7</w:t>
            </w:r>
          </w:p>
        </w:tc>
        <w:tc>
          <w:tcPr>
            <w:tcW w:w="1276" w:type="dxa"/>
            <w:tcBorders>
              <w:top w:val="single" w:sz="4" w:space="0" w:color="auto"/>
              <w:bottom w:val="single" w:sz="4" w:space="0" w:color="auto"/>
            </w:tcBorders>
          </w:tcPr>
          <w:p w14:paraId="0739B051" w14:textId="2419ED77" w:rsidR="00104D21" w:rsidRPr="00B65521" w:rsidRDefault="0093472D">
            <w:pPr>
              <w:jc w:val="right"/>
              <w:rPr>
                <w:rFonts w:ascii="Arial" w:hAnsi="Arial" w:cs="Arial"/>
                <w:sz w:val="24"/>
                <w:szCs w:val="24"/>
              </w:rPr>
            </w:pPr>
            <w:r w:rsidRPr="00506D26">
              <w:rPr>
                <w:rFonts w:ascii="Arial" w:hAnsi="Arial" w:cs="Arial"/>
                <w:sz w:val="24"/>
                <w:szCs w:val="24"/>
                <w:vertAlign w:val="superscript"/>
              </w:rPr>
              <w:t>(1)</w:t>
            </w:r>
            <w:r w:rsidR="00104D21">
              <w:rPr>
                <w:rFonts w:ascii="Arial" w:hAnsi="Arial" w:cs="Arial"/>
                <w:sz w:val="24"/>
                <w:szCs w:val="24"/>
              </w:rPr>
              <w:t>1.7</w:t>
            </w:r>
          </w:p>
        </w:tc>
      </w:tr>
    </w:tbl>
    <w:p w14:paraId="34E9CC77" w14:textId="05741160" w:rsidR="00104D21" w:rsidRPr="00506D26" w:rsidRDefault="000346AA" w:rsidP="00104D21">
      <w:pPr>
        <w:tabs>
          <w:tab w:val="right" w:pos="9356"/>
        </w:tabs>
        <w:rPr>
          <w:rFonts w:ascii="Arial" w:hAnsi="Arial" w:cs="Arial"/>
          <w:sz w:val="20"/>
          <w:szCs w:val="20"/>
        </w:rPr>
      </w:pPr>
      <w:r w:rsidRPr="00506D26">
        <w:rPr>
          <w:rFonts w:ascii="Arial" w:hAnsi="Arial" w:cs="Arial"/>
          <w:sz w:val="18"/>
          <w:szCs w:val="20"/>
          <w:vertAlign w:val="superscript"/>
        </w:rPr>
        <w:t>(1)</w:t>
      </w:r>
      <w:r w:rsidR="00104D21" w:rsidRPr="00506D26">
        <w:rPr>
          <w:rFonts w:ascii="Arial" w:hAnsi="Arial" w:cs="Arial"/>
          <w:sz w:val="18"/>
          <w:szCs w:val="20"/>
        </w:rPr>
        <w:t xml:space="preserve"> In constant currency at 2014/15 rates this would be £1.6bn</w:t>
      </w:r>
    </w:p>
    <w:p w14:paraId="0855B1D3" w14:textId="77777777" w:rsidR="00104D21" w:rsidRPr="00115737" w:rsidRDefault="00104D21" w:rsidP="00104D21">
      <w:pPr>
        <w:tabs>
          <w:tab w:val="right" w:pos="9356"/>
        </w:tabs>
        <w:rPr>
          <w:rFonts w:ascii="Arial" w:hAnsi="Arial" w:cs="Arial"/>
          <w:sz w:val="18"/>
          <w:szCs w:val="18"/>
        </w:rPr>
      </w:pPr>
      <w:r w:rsidRPr="00115737">
        <w:rPr>
          <w:rFonts w:ascii="Arial" w:hAnsi="Arial" w:cs="Arial"/>
          <w:b/>
          <w:sz w:val="18"/>
          <w:szCs w:val="18"/>
        </w:rPr>
        <w:tab/>
      </w:r>
    </w:p>
    <w:p w14:paraId="5A938ECB" w14:textId="350921D7" w:rsidR="00104D21" w:rsidRPr="00506D26" w:rsidRDefault="00104D21" w:rsidP="00104D21">
      <w:pPr>
        <w:jc w:val="left"/>
        <w:rPr>
          <w:rFonts w:ascii="Arial" w:hAnsi="Arial" w:cs="Arial"/>
          <w:b/>
          <w:bCs/>
          <w:sz w:val="24"/>
          <w:szCs w:val="24"/>
        </w:rPr>
      </w:pPr>
      <w:r w:rsidRPr="00B65521">
        <w:rPr>
          <w:rFonts w:ascii="Arial" w:hAnsi="Arial" w:cs="Arial"/>
          <w:sz w:val="24"/>
          <w:szCs w:val="24"/>
          <w:lang w:val="en-US"/>
        </w:rPr>
        <w:t xml:space="preserve">Kingfisher participates in the Total Tax Contribution survey that PwC perform for the Hundred Group of Finance Directors. </w:t>
      </w:r>
      <w:r w:rsidRPr="00115737">
        <w:rPr>
          <w:rFonts w:ascii="Arial" w:hAnsi="Arial" w:cs="Arial"/>
          <w:sz w:val="24"/>
          <w:szCs w:val="24"/>
          <w:lang w:val="en-US"/>
        </w:rPr>
        <w:t>The 2014 survey ranked Kingfisher 33</w:t>
      </w:r>
      <w:r w:rsidRPr="00115737">
        <w:rPr>
          <w:rFonts w:ascii="Arial" w:hAnsi="Arial" w:cs="Arial"/>
          <w:sz w:val="24"/>
          <w:szCs w:val="24"/>
          <w:vertAlign w:val="superscript"/>
          <w:lang w:val="en-US"/>
        </w:rPr>
        <w:t>rd</w:t>
      </w:r>
      <w:r w:rsidRPr="00115737">
        <w:rPr>
          <w:rFonts w:ascii="Arial" w:hAnsi="Arial" w:cs="Arial"/>
          <w:sz w:val="24"/>
          <w:szCs w:val="24"/>
          <w:lang w:val="en-US"/>
        </w:rPr>
        <w:t xml:space="preserve"> for its Total </w:t>
      </w:r>
      <w:r w:rsidRPr="00DB3421">
        <w:rPr>
          <w:rFonts w:ascii="Arial" w:hAnsi="Arial" w:cs="Arial"/>
          <w:sz w:val="24"/>
          <w:szCs w:val="24"/>
          <w:lang w:val="en-US"/>
        </w:rPr>
        <w:t>Tax Contribution in the UK</w:t>
      </w:r>
      <w:r w:rsidR="0003137D" w:rsidRPr="00DB3421">
        <w:rPr>
          <w:rFonts w:ascii="Arial" w:hAnsi="Arial" w:cs="Arial"/>
          <w:sz w:val="24"/>
          <w:szCs w:val="24"/>
          <w:lang w:val="en-US"/>
        </w:rPr>
        <w:t>. In 2014</w:t>
      </w:r>
      <w:r w:rsidR="00782368">
        <w:rPr>
          <w:rFonts w:ascii="Arial" w:hAnsi="Arial" w:cs="Arial"/>
          <w:sz w:val="24"/>
          <w:szCs w:val="24"/>
          <w:lang w:val="en-US"/>
        </w:rPr>
        <w:t>,</w:t>
      </w:r>
      <w:r w:rsidRPr="00DB3421">
        <w:rPr>
          <w:rFonts w:ascii="Arial" w:hAnsi="Arial" w:cs="Arial"/>
          <w:sz w:val="24"/>
          <w:szCs w:val="24"/>
          <w:lang w:val="en-US"/>
        </w:rPr>
        <w:t xml:space="preserve"> 103 companies contributed to the survey.</w:t>
      </w:r>
    </w:p>
    <w:p w14:paraId="69D9E2DA" w14:textId="77777777" w:rsidR="00104D21" w:rsidRDefault="00104D21" w:rsidP="00104D21">
      <w:pPr>
        <w:ind w:right="-368"/>
        <w:jc w:val="left"/>
        <w:rPr>
          <w:rFonts w:ascii="Arial" w:hAnsi="Arial" w:cs="Arial"/>
          <w:sz w:val="24"/>
          <w:szCs w:val="24"/>
        </w:rPr>
      </w:pPr>
    </w:p>
    <w:p w14:paraId="66E0AE9E" w14:textId="77777777" w:rsidR="00104D21" w:rsidRDefault="00104D21" w:rsidP="00104D21">
      <w:pPr>
        <w:jc w:val="left"/>
        <w:rPr>
          <w:rFonts w:ascii="Arial" w:hAnsi="Arial" w:cs="Arial"/>
          <w:b/>
          <w:sz w:val="24"/>
          <w:szCs w:val="24"/>
          <w:highlight w:val="yellow"/>
        </w:rPr>
      </w:pPr>
      <w:r w:rsidRPr="008C6F5E">
        <w:rPr>
          <w:rFonts w:ascii="Arial" w:hAnsi="Arial" w:cs="Arial"/>
          <w:b/>
          <w:sz w:val="24"/>
          <w:szCs w:val="24"/>
        </w:rPr>
        <w:t xml:space="preserve">Economic </w:t>
      </w:r>
      <w:r w:rsidRPr="00B10ACC">
        <w:rPr>
          <w:rFonts w:ascii="Arial" w:hAnsi="Arial" w:cs="Arial"/>
          <w:b/>
          <w:sz w:val="24"/>
          <w:szCs w:val="24"/>
        </w:rPr>
        <w:t>returns</w:t>
      </w:r>
      <w:r>
        <w:rPr>
          <w:rFonts w:ascii="Arial" w:hAnsi="Arial" w:cs="Arial"/>
          <w:b/>
          <w:sz w:val="24"/>
          <w:szCs w:val="24"/>
        </w:rPr>
        <w:t xml:space="preserve"> </w:t>
      </w:r>
    </w:p>
    <w:p w14:paraId="5497D30A" w14:textId="77777777" w:rsidR="00104D21" w:rsidRDefault="00104D21" w:rsidP="00104D21">
      <w:pPr>
        <w:jc w:val="left"/>
        <w:rPr>
          <w:rFonts w:ascii="Arial" w:hAnsi="Arial" w:cs="Arial"/>
          <w:b/>
          <w:sz w:val="24"/>
          <w:szCs w:val="24"/>
        </w:rPr>
      </w:pPr>
    </w:p>
    <w:p w14:paraId="36D41A3C" w14:textId="2C19FA07" w:rsidR="00D178ED" w:rsidRDefault="00104D21" w:rsidP="00104D21">
      <w:pPr>
        <w:jc w:val="left"/>
        <w:rPr>
          <w:rFonts w:ascii="Arial" w:hAnsi="Arial" w:cs="Arial"/>
          <w:sz w:val="24"/>
          <w:szCs w:val="24"/>
        </w:rPr>
      </w:pPr>
      <w:r w:rsidRPr="00C82F88">
        <w:rPr>
          <w:rFonts w:ascii="Arial" w:hAnsi="Arial" w:cs="Arial" w:hint="eastAsia"/>
          <w:sz w:val="24"/>
          <w:szCs w:val="24"/>
        </w:rPr>
        <w:t xml:space="preserve">Management are focused on Kingfisher Economic Profit (KEP) as </w:t>
      </w:r>
      <w:r>
        <w:rPr>
          <w:rFonts w:ascii="Arial" w:hAnsi="Arial" w:cs="Arial"/>
          <w:sz w:val="24"/>
          <w:szCs w:val="24"/>
        </w:rPr>
        <w:t>a</w:t>
      </w:r>
      <w:r w:rsidRPr="00C82F88">
        <w:rPr>
          <w:rFonts w:ascii="Arial" w:hAnsi="Arial" w:cs="Arial" w:hint="eastAsia"/>
          <w:sz w:val="24"/>
          <w:szCs w:val="24"/>
        </w:rPr>
        <w:t xml:space="preserve"> main measure of return on capital. </w:t>
      </w:r>
      <w:r>
        <w:rPr>
          <w:rFonts w:ascii="Arial" w:hAnsi="Arial" w:cs="Arial"/>
          <w:sz w:val="24"/>
          <w:szCs w:val="24"/>
        </w:rPr>
        <w:t>It is used in the capital investment process, to assess performance and drive returns in strategic plans. Information on the calculation of KEP is included in the glossary. In 2014/15 KEP was £</w:t>
      </w:r>
      <w:r w:rsidR="00D178ED">
        <w:rPr>
          <w:rFonts w:ascii="Arial" w:hAnsi="Arial" w:cs="Arial"/>
          <w:sz w:val="24"/>
          <w:szCs w:val="24"/>
        </w:rPr>
        <w:t>34</w:t>
      </w:r>
      <w:r>
        <w:rPr>
          <w:rFonts w:ascii="Arial" w:hAnsi="Arial" w:cs="Arial"/>
          <w:sz w:val="24"/>
          <w:szCs w:val="24"/>
        </w:rPr>
        <w:t xml:space="preserve"> million, down from £74 million in the previous year </w:t>
      </w:r>
      <w:r w:rsidR="00D178ED">
        <w:rPr>
          <w:rFonts w:ascii="Arial" w:hAnsi="Arial" w:cs="Arial"/>
          <w:sz w:val="24"/>
          <w:szCs w:val="24"/>
        </w:rPr>
        <w:t xml:space="preserve">reflecting the start-up nature of investment in new developing countries, the higher effective tax rate and foreign exchange translation. KEP by business segment is </w:t>
      </w:r>
      <w:r>
        <w:rPr>
          <w:rFonts w:ascii="Arial" w:hAnsi="Arial" w:cs="Arial"/>
          <w:sz w:val="24"/>
          <w:szCs w:val="24"/>
        </w:rPr>
        <w:t xml:space="preserve">analysed </w:t>
      </w:r>
      <w:r w:rsidR="005505B9">
        <w:rPr>
          <w:rFonts w:ascii="Arial" w:hAnsi="Arial" w:cs="Arial"/>
          <w:sz w:val="24"/>
          <w:szCs w:val="24"/>
        </w:rPr>
        <w:t>be</w:t>
      </w:r>
      <w:r>
        <w:rPr>
          <w:rFonts w:ascii="Arial" w:hAnsi="Arial" w:cs="Arial"/>
          <w:sz w:val="24"/>
          <w:szCs w:val="24"/>
        </w:rPr>
        <w:t xml:space="preserve">low: </w:t>
      </w:r>
    </w:p>
    <w:p w14:paraId="1E10A53B" w14:textId="77777777" w:rsidR="00BC7493" w:rsidRDefault="00BC7493" w:rsidP="00104D21">
      <w:pPr>
        <w:jc w:val="left"/>
        <w:rPr>
          <w:rFonts w:ascii="Arial" w:hAnsi="Arial" w:cs="Arial"/>
          <w:sz w:val="24"/>
          <w:szCs w:val="24"/>
        </w:rPr>
      </w:pPr>
    </w:p>
    <w:p w14:paraId="57C8640D" w14:textId="77777777" w:rsidR="00507B19" w:rsidRPr="001B5062" w:rsidRDefault="00507B19" w:rsidP="00104D21">
      <w:pPr>
        <w:jc w:val="left"/>
        <w:rPr>
          <w:rFonts w:ascii="Arial" w:hAnsi="Arial" w:cs="Arial"/>
          <w:sz w:val="24"/>
          <w:szCs w:val="24"/>
        </w:rPr>
      </w:pPr>
    </w:p>
    <w:tbl>
      <w:tblPr>
        <w:tblStyle w:val="TableGrid"/>
        <w:tblW w:w="48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7"/>
        <w:gridCol w:w="872"/>
        <w:gridCol w:w="1415"/>
        <w:gridCol w:w="1201"/>
        <w:gridCol w:w="1415"/>
        <w:gridCol w:w="1158"/>
        <w:gridCol w:w="1158"/>
      </w:tblGrid>
      <w:tr w:rsidR="00DB3421" w:rsidRPr="00DB3421" w14:paraId="1C2E6B4E" w14:textId="77777777" w:rsidTr="000346AA">
        <w:tc>
          <w:tcPr>
            <w:tcW w:w="1158" w:type="pct"/>
          </w:tcPr>
          <w:p w14:paraId="352483E7" w14:textId="77777777" w:rsidR="00DB3421" w:rsidRPr="00506D26" w:rsidRDefault="00DB3421" w:rsidP="000346AA">
            <w:pPr>
              <w:jc w:val="left"/>
              <w:rPr>
                <w:rFonts w:ascii="Arial" w:hAnsi="Arial" w:cs="Arial"/>
                <w:sz w:val="24"/>
                <w:szCs w:val="24"/>
              </w:rPr>
            </w:pPr>
          </w:p>
        </w:tc>
        <w:tc>
          <w:tcPr>
            <w:tcW w:w="464" w:type="pct"/>
            <w:shd w:val="clear" w:color="auto" w:fill="auto"/>
          </w:tcPr>
          <w:p w14:paraId="54E50564" w14:textId="77777777" w:rsidR="00DB3421" w:rsidRPr="00506D26" w:rsidRDefault="00DB3421" w:rsidP="000346AA">
            <w:pPr>
              <w:jc w:val="right"/>
              <w:rPr>
                <w:rFonts w:ascii="Arial" w:hAnsi="Arial" w:cs="Arial"/>
                <w:sz w:val="24"/>
                <w:szCs w:val="24"/>
              </w:rPr>
            </w:pPr>
          </w:p>
        </w:tc>
        <w:tc>
          <w:tcPr>
            <w:tcW w:w="753" w:type="pct"/>
            <w:shd w:val="clear" w:color="auto" w:fill="auto"/>
          </w:tcPr>
          <w:p w14:paraId="710CAA50" w14:textId="77777777" w:rsidR="00DB3421" w:rsidRPr="00506D26" w:rsidRDefault="00DB3421" w:rsidP="000346AA">
            <w:pPr>
              <w:jc w:val="right"/>
              <w:rPr>
                <w:rFonts w:ascii="Arial" w:hAnsi="Arial" w:cs="Arial"/>
                <w:sz w:val="24"/>
                <w:szCs w:val="24"/>
              </w:rPr>
            </w:pPr>
          </w:p>
        </w:tc>
        <w:tc>
          <w:tcPr>
            <w:tcW w:w="639" w:type="pct"/>
            <w:shd w:val="clear" w:color="auto" w:fill="auto"/>
          </w:tcPr>
          <w:p w14:paraId="0DEEA8DD" w14:textId="77777777" w:rsidR="00DB3421" w:rsidRPr="00506D26" w:rsidRDefault="00DB3421" w:rsidP="000346AA">
            <w:pPr>
              <w:jc w:val="right"/>
              <w:rPr>
                <w:rFonts w:ascii="Arial" w:hAnsi="Arial" w:cs="Arial"/>
                <w:sz w:val="24"/>
                <w:szCs w:val="24"/>
              </w:rPr>
            </w:pPr>
          </w:p>
        </w:tc>
        <w:tc>
          <w:tcPr>
            <w:tcW w:w="753" w:type="pct"/>
            <w:shd w:val="clear" w:color="auto" w:fill="auto"/>
          </w:tcPr>
          <w:p w14:paraId="17D0EC0C" w14:textId="77777777" w:rsidR="00DB3421" w:rsidRPr="00506D26" w:rsidRDefault="00DB3421" w:rsidP="000346AA">
            <w:pPr>
              <w:jc w:val="right"/>
              <w:rPr>
                <w:rFonts w:ascii="Arial" w:hAnsi="Arial" w:cs="Arial"/>
                <w:sz w:val="24"/>
                <w:szCs w:val="24"/>
              </w:rPr>
            </w:pPr>
          </w:p>
        </w:tc>
        <w:tc>
          <w:tcPr>
            <w:tcW w:w="1232" w:type="pct"/>
            <w:gridSpan w:val="2"/>
            <w:shd w:val="clear" w:color="auto" w:fill="auto"/>
          </w:tcPr>
          <w:p w14:paraId="44FC3FF5" w14:textId="77777777" w:rsidR="00DB3421" w:rsidRPr="00506D26" w:rsidRDefault="00DB3421" w:rsidP="000346AA">
            <w:pPr>
              <w:jc w:val="right"/>
              <w:rPr>
                <w:rFonts w:ascii="Arial" w:hAnsi="Arial" w:cs="Arial"/>
                <w:sz w:val="24"/>
                <w:szCs w:val="24"/>
              </w:rPr>
            </w:pPr>
            <w:r w:rsidRPr="00506D26">
              <w:rPr>
                <w:rFonts w:ascii="Arial" w:hAnsi="Arial" w:cs="Arial"/>
                <w:sz w:val="24"/>
                <w:szCs w:val="24"/>
              </w:rPr>
              <w:t>Returns £m KEP</w:t>
            </w:r>
          </w:p>
        </w:tc>
      </w:tr>
      <w:tr w:rsidR="00DB3421" w:rsidRPr="00DB3421" w14:paraId="01FC16F4" w14:textId="77777777" w:rsidTr="000346AA">
        <w:tc>
          <w:tcPr>
            <w:tcW w:w="1158" w:type="pct"/>
          </w:tcPr>
          <w:p w14:paraId="3BD745E2" w14:textId="77777777" w:rsidR="00DB3421" w:rsidRPr="00506D26" w:rsidRDefault="00DB3421" w:rsidP="000346AA">
            <w:pPr>
              <w:jc w:val="left"/>
              <w:rPr>
                <w:rFonts w:ascii="Arial" w:hAnsi="Arial" w:cs="Arial"/>
                <w:sz w:val="24"/>
                <w:szCs w:val="24"/>
              </w:rPr>
            </w:pPr>
          </w:p>
        </w:tc>
        <w:tc>
          <w:tcPr>
            <w:tcW w:w="464" w:type="pct"/>
            <w:shd w:val="clear" w:color="auto" w:fill="auto"/>
          </w:tcPr>
          <w:p w14:paraId="4CA0D1EE" w14:textId="77777777" w:rsidR="00DB3421" w:rsidRPr="00506D26" w:rsidRDefault="00DB3421" w:rsidP="000346AA">
            <w:pPr>
              <w:jc w:val="right"/>
              <w:rPr>
                <w:rFonts w:ascii="Arial" w:hAnsi="Arial" w:cs="Arial"/>
                <w:sz w:val="24"/>
                <w:szCs w:val="24"/>
              </w:rPr>
            </w:pPr>
            <w:r w:rsidRPr="00506D26">
              <w:rPr>
                <w:rFonts w:ascii="Arial" w:hAnsi="Arial" w:cs="Arial"/>
                <w:sz w:val="24"/>
                <w:szCs w:val="24"/>
              </w:rPr>
              <w:t>Sales £bn</w:t>
            </w:r>
          </w:p>
        </w:tc>
        <w:tc>
          <w:tcPr>
            <w:tcW w:w="753" w:type="pct"/>
            <w:shd w:val="clear" w:color="auto" w:fill="auto"/>
          </w:tcPr>
          <w:p w14:paraId="50A287B4" w14:textId="77777777" w:rsidR="00DB3421" w:rsidRPr="00506D26" w:rsidRDefault="00DB3421" w:rsidP="000346AA">
            <w:pPr>
              <w:jc w:val="right"/>
              <w:rPr>
                <w:rFonts w:ascii="Arial" w:hAnsi="Arial" w:cs="Arial"/>
                <w:sz w:val="24"/>
                <w:szCs w:val="24"/>
              </w:rPr>
            </w:pPr>
            <w:r w:rsidRPr="00506D26">
              <w:rPr>
                <w:rFonts w:ascii="Arial" w:hAnsi="Arial" w:cs="Arial"/>
                <w:sz w:val="24"/>
                <w:szCs w:val="24"/>
              </w:rPr>
              <w:t>Proportion of Group sales %</w:t>
            </w:r>
          </w:p>
        </w:tc>
        <w:tc>
          <w:tcPr>
            <w:tcW w:w="639" w:type="pct"/>
            <w:shd w:val="clear" w:color="auto" w:fill="auto"/>
            <w:vAlign w:val="bottom"/>
          </w:tcPr>
          <w:p w14:paraId="063CE1FB" w14:textId="77777777" w:rsidR="00DB3421" w:rsidRPr="00506D26" w:rsidRDefault="00DB3421" w:rsidP="000346AA">
            <w:pPr>
              <w:jc w:val="right"/>
              <w:rPr>
                <w:rFonts w:ascii="Arial" w:hAnsi="Arial" w:cs="Arial"/>
                <w:sz w:val="24"/>
                <w:szCs w:val="24"/>
              </w:rPr>
            </w:pPr>
            <w:r w:rsidRPr="00506D26">
              <w:rPr>
                <w:rFonts w:ascii="Arial" w:hAnsi="Arial" w:cs="Arial"/>
                <w:sz w:val="24"/>
                <w:szCs w:val="24"/>
              </w:rPr>
              <w:t>Invested Capital</w:t>
            </w:r>
          </w:p>
          <w:p w14:paraId="68B608A3" w14:textId="77777777" w:rsidR="00DB3421" w:rsidRPr="00506D26" w:rsidRDefault="00DB3421" w:rsidP="000346AA">
            <w:pPr>
              <w:jc w:val="right"/>
              <w:rPr>
                <w:rFonts w:ascii="Arial" w:hAnsi="Arial" w:cs="Arial"/>
                <w:sz w:val="24"/>
                <w:szCs w:val="24"/>
              </w:rPr>
            </w:pPr>
            <w:r w:rsidRPr="00506D26">
              <w:rPr>
                <w:rFonts w:ascii="Arial" w:hAnsi="Arial" w:cs="Arial"/>
                <w:sz w:val="24"/>
                <w:szCs w:val="24"/>
              </w:rPr>
              <w:t>(IC) £bn</w:t>
            </w:r>
          </w:p>
        </w:tc>
        <w:tc>
          <w:tcPr>
            <w:tcW w:w="753" w:type="pct"/>
            <w:shd w:val="clear" w:color="auto" w:fill="auto"/>
            <w:vAlign w:val="bottom"/>
          </w:tcPr>
          <w:p w14:paraId="2A7646BC" w14:textId="77777777" w:rsidR="00DB3421" w:rsidRPr="00506D26" w:rsidRDefault="00DB3421" w:rsidP="000346AA">
            <w:pPr>
              <w:jc w:val="right"/>
              <w:rPr>
                <w:rFonts w:ascii="Arial" w:hAnsi="Arial" w:cs="Arial"/>
                <w:sz w:val="24"/>
                <w:szCs w:val="24"/>
              </w:rPr>
            </w:pPr>
            <w:r w:rsidRPr="00506D26">
              <w:rPr>
                <w:rFonts w:ascii="Arial" w:hAnsi="Arial" w:cs="Arial"/>
                <w:sz w:val="24"/>
                <w:szCs w:val="24"/>
              </w:rPr>
              <w:t>Proportion of Group IC %</w:t>
            </w:r>
          </w:p>
        </w:tc>
        <w:tc>
          <w:tcPr>
            <w:tcW w:w="616" w:type="pct"/>
            <w:shd w:val="clear" w:color="auto" w:fill="auto"/>
          </w:tcPr>
          <w:p w14:paraId="168454E5" w14:textId="77777777" w:rsidR="00DB3421" w:rsidRPr="00506D26" w:rsidRDefault="00DB3421" w:rsidP="000346AA">
            <w:pPr>
              <w:jc w:val="right"/>
              <w:rPr>
                <w:rFonts w:ascii="Arial" w:hAnsi="Arial" w:cs="Arial"/>
                <w:b/>
                <w:sz w:val="24"/>
                <w:szCs w:val="24"/>
              </w:rPr>
            </w:pPr>
            <w:r w:rsidRPr="00506D26">
              <w:rPr>
                <w:rFonts w:ascii="Arial" w:hAnsi="Arial" w:cs="Arial"/>
                <w:b/>
                <w:sz w:val="24"/>
                <w:szCs w:val="24"/>
              </w:rPr>
              <w:t>2014/15</w:t>
            </w:r>
          </w:p>
        </w:tc>
        <w:tc>
          <w:tcPr>
            <w:tcW w:w="616" w:type="pct"/>
          </w:tcPr>
          <w:p w14:paraId="6DB98A50" w14:textId="77777777" w:rsidR="00DB3421" w:rsidRPr="00506D26" w:rsidRDefault="00DB3421" w:rsidP="000346AA">
            <w:pPr>
              <w:jc w:val="right"/>
              <w:rPr>
                <w:rFonts w:ascii="Arial" w:hAnsi="Arial" w:cs="Arial"/>
                <w:sz w:val="24"/>
                <w:szCs w:val="24"/>
              </w:rPr>
            </w:pPr>
            <w:r w:rsidRPr="00506D26">
              <w:rPr>
                <w:rFonts w:ascii="Arial" w:hAnsi="Arial" w:cs="Arial"/>
                <w:sz w:val="24"/>
                <w:szCs w:val="24"/>
              </w:rPr>
              <w:t>2013/14</w:t>
            </w:r>
          </w:p>
        </w:tc>
      </w:tr>
      <w:tr w:rsidR="00D91ED7" w:rsidRPr="00DB3421" w14:paraId="44FA66E9" w14:textId="77777777" w:rsidTr="00D91ED7">
        <w:tc>
          <w:tcPr>
            <w:tcW w:w="1158" w:type="pct"/>
            <w:tcBorders>
              <w:top w:val="single" w:sz="4" w:space="0" w:color="auto"/>
            </w:tcBorders>
          </w:tcPr>
          <w:p w14:paraId="3F0933BB" w14:textId="77777777" w:rsidR="00D91ED7" w:rsidRPr="00506D26" w:rsidRDefault="00D91ED7" w:rsidP="00D91ED7">
            <w:pPr>
              <w:jc w:val="left"/>
              <w:rPr>
                <w:rFonts w:ascii="Arial" w:hAnsi="Arial" w:cs="Arial"/>
                <w:sz w:val="24"/>
                <w:szCs w:val="24"/>
              </w:rPr>
            </w:pPr>
            <w:r w:rsidRPr="00506D26">
              <w:rPr>
                <w:rFonts w:ascii="Arial" w:hAnsi="Arial" w:cs="Arial"/>
                <w:sz w:val="24"/>
                <w:szCs w:val="24"/>
              </w:rPr>
              <w:t>UK &amp; Ireland</w:t>
            </w:r>
          </w:p>
        </w:tc>
        <w:tc>
          <w:tcPr>
            <w:tcW w:w="464" w:type="pct"/>
            <w:tcBorders>
              <w:top w:val="single" w:sz="4" w:space="0" w:color="auto"/>
            </w:tcBorders>
            <w:shd w:val="clear" w:color="auto" w:fill="auto"/>
          </w:tcPr>
          <w:p w14:paraId="5F126367" w14:textId="77777777" w:rsidR="00D91ED7" w:rsidRPr="00506D26" w:rsidRDefault="00D91ED7" w:rsidP="00D91ED7">
            <w:pPr>
              <w:jc w:val="right"/>
              <w:rPr>
                <w:rFonts w:ascii="Arial" w:hAnsi="Arial" w:cs="Arial"/>
                <w:sz w:val="24"/>
                <w:szCs w:val="24"/>
              </w:rPr>
            </w:pPr>
            <w:r w:rsidRPr="00506D26">
              <w:rPr>
                <w:rFonts w:ascii="Arial" w:hAnsi="Arial" w:cs="Arial"/>
                <w:sz w:val="24"/>
                <w:szCs w:val="24"/>
              </w:rPr>
              <w:t>4.6</w:t>
            </w:r>
          </w:p>
        </w:tc>
        <w:tc>
          <w:tcPr>
            <w:tcW w:w="753" w:type="pct"/>
            <w:tcBorders>
              <w:top w:val="single" w:sz="4" w:space="0" w:color="auto"/>
            </w:tcBorders>
            <w:shd w:val="clear" w:color="auto" w:fill="auto"/>
          </w:tcPr>
          <w:p w14:paraId="5F7C486C" w14:textId="77777777" w:rsidR="00D91ED7" w:rsidRPr="00506D26" w:rsidRDefault="00D91ED7" w:rsidP="00D91ED7">
            <w:pPr>
              <w:jc w:val="right"/>
              <w:rPr>
                <w:rFonts w:ascii="Arial" w:hAnsi="Arial" w:cs="Arial"/>
                <w:sz w:val="24"/>
                <w:szCs w:val="24"/>
              </w:rPr>
            </w:pPr>
            <w:r w:rsidRPr="00506D26">
              <w:rPr>
                <w:rFonts w:ascii="Arial" w:hAnsi="Arial" w:cs="Arial"/>
                <w:sz w:val="24"/>
                <w:szCs w:val="24"/>
              </w:rPr>
              <w:t>42%</w:t>
            </w:r>
          </w:p>
        </w:tc>
        <w:tc>
          <w:tcPr>
            <w:tcW w:w="639" w:type="pct"/>
            <w:tcBorders>
              <w:top w:val="single" w:sz="4" w:space="0" w:color="auto"/>
            </w:tcBorders>
            <w:shd w:val="clear" w:color="auto" w:fill="auto"/>
          </w:tcPr>
          <w:p w14:paraId="3DF3478D" w14:textId="2977F153" w:rsidR="00D91ED7" w:rsidRPr="00506D26" w:rsidRDefault="00D91ED7" w:rsidP="00D91ED7">
            <w:pPr>
              <w:jc w:val="right"/>
              <w:rPr>
                <w:rFonts w:ascii="Arial" w:hAnsi="Arial" w:cs="Arial"/>
                <w:sz w:val="24"/>
                <w:szCs w:val="24"/>
              </w:rPr>
            </w:pPr>
            <w:r>
              <w:rPr>
                <w:rFonts w:ascii="Arial" w:hAnsi="Arial" w:cs="Arial"/>
                <w:sz w:val="24"/>
                <w:szCs w:val="24"/>
              </w:rPr>
              <w:t>5.9</w:t>
            </w:r>
          </w:p>
        </w:tc>
        <w:tc>
          <w:tcPr>
            <w:tcW w:w="753" w:type="pct"/>
            <w:tcBorders>
              <w:top w:val="single" w:sz="4" w:space="0" w:color="auto"/>
            </w:tcBorders>
            <w:shd w:val="clear" w:color="auto" w:fill="auto"/>
          </w:tcPr>
          <w:p w14:paraId="390CD0C7" w14:textId="11B7C4C7" w:rsidR="00D91ED7" w:rsidRPr="00506D26" w:rsidRDefault="0093472D" w:rsidP="00D91ED7">
            <w:pPr>
              <w:jc w:val="right"/>
              <w:rPr>
                <w:rFonts w:ascii="Arial" w:hAnsi="Arial" w:cs="Arial"/>
                <w:sz w:val="24"/>
                <w:szCs w:val="24"/>
              </w:rPr>
            </w:pPr>
            <w:r>
              <w:rPr>
                <w:rFonts w:ascii="Arial" w:hAnsi="Arial" w:cs="Arial"/>
                <w:sz w:val="24"/>
                <w:szCs w:val="24"/>
              </w:rPr>
              <w:t>51</w:t>
            </w:r>
            <w:r w:rsidR="00D91ED7" w:rsidRPr="00B94534">
              <w:rPr>
                <w:rFonts w:ascii="Arial" w:hAnsi="Arial" w:cs="Arial"/>
                <w:sz w:val="24"/>
                <w:szCs w:val="24"/>
              </w:rPr>
              <w:t>%</w:t>
            </w:r>
          </w:p>
        </w:tc>
        <w:tc>
          <w:tcPr>
            <w:tcW w:w="616" w:type="pct"/>
            <w:tcBorders>
              <w:top w:val="single" w:sz="4" w:space="0" w:color="auto"/>
            </w:tcBorders>
            <w:shd w:val="clear" w:color="auto" w:fill="auto"/>
          </w:tcPr>
          <w:p w14:paraId="3BB232FE" w14:textId="77777777" w:rsidR="00D91ED7" w:rsidRPr="00506D26" w:rsidRDefault="00D91ED7" w:rsidP="00D91ED7">
            <w:pPr>
              <w:jc w:val="right"/>
              <w:rPr>
                <w:rFonts w:ascii="Arial" w:hAnsi="Arial" w:cs="Arial"/>
                <w:b/>
                <w:sz w:val="24"/>
                <w:szCs w:val="24"/>
              </w:rPr>
            </w:pPr>
            <w:r w:rsidRPr="00506D26">
              <w:rPr>
                <w:rFonts w:ascii="Arial" w:hAnsi="Arial" w:cs="Arial"/>
                <w:b/>
                <w:sz w:val="24"/>
                <w:szCs w:val="24"/>
              </w:rPr>
              <w:t>55</w:t>
            </w:r>
          </w:p>
        </w:tc>
        <w:tc>
          <w:tcPr>
            <w:tcW w:w="616" w:type="pct"/>
            <w:tcBorders>
              <w:top w:val="single" w:sz="4" w:space="0" w:color="auto"/>
            </w:tcBorders>
          </w:tcPr>
          <w:p w14:paraId="3E5B05CD" w14:textId="77777777" w:rsidR="00D91ED7" w:rsidRPr="00506D26" w:rsidRDefault="00D91ED7" w:rsidP="00D91ED7">
            <w:pPr>
              <w:jc w:val="right"/>
              <w:rPr>
                <w:rFonts w:ascii="Arial" w:hAnsi="Arial" w:cs="Arial"/>
                <w:sz w:val="24"/>
                <w:szCs w:val="24"/>
              </w:rPr>
            </w:pPr>
            <w:r w:rsidRPr="00506D26">
              <w:rPr>
                <w:rFonts w:ascii="Arial" w:hAnsi="Arial" w:cs="Arial"/>
                <w:sz w:val="24"/>
                <w:szCs w:val="24"/>
              </w:rPr>
              <w:t>17</w:t>
            </w:r>
          </w:p>
        </w:tc>
      </w:tr>
      <w:tr w:rsidR="00D91ED7" w:rsidRPr="00DB3421" w14:paraId="381983AF" w14:textId="77777777" w:rsidTr="000346AA">
        <w:tc>
          <w:tcPr>
            <w:tcW w:w="1158" w:type="pct"/>
          </w:tcPr>
          <w:p w14:paraId="554ABF87" w14:textId="77777777" w:rsidR="00D91ED7" w:rsidRPr="00506D26" w:rsidRDefault="00D91ED7" w:rsidP="00D91ED7">
            <w:pPr>
              <w:jc w:val="left"/>
              <w:rPr>
                <w:rFonts w:ascii="Arial" w:hAnsi="Arial" w:cs="Arial"/>
                <w:sz w:val="24"/>
                <w:szCs w:val="24"/>
              </w:rPr>
            </w:pPr>
            <w:r w:rsidRPr="00506D26">
              <w:rPr>
                <w:rFonts w:ascii="Arial" w:hAnsi="Arial" w:cs="Arial"/>
                <w:sz w:val="24"/>
                <w:szCs w:val="24"/>
              </w:rPr>
              <w:t xml:space="preserve">France  </w:t>
            </w:r>
          </w:p>
        </w:tc>
        <w:tc>
          <w:tcPr>
            <w:tcW w:w="464" w:type="pct"/>
            <w:shd w:val="clear" w:color="auto" w:fill="auto"/>
          </w:tcPr>
          <w:p w14:paraId="2FA27171" w14:textId="77777777" w:rsidR="00D91ED7" w:rsidRPr="00506D26" w:rsidRDefault="00D91ED7" w:rsidP="00D91ED7">
            <w:pPr>
              <w:jc w:val="right"/>
              <w:rPr>
                <w:rFonts w:ascii="Arial" w:hAnsi="Arial" w:cs="Arial"/>
                <w:sz w:val="24"/>
                <w:szCs w:val="24"/>
              </w:rPr>
            </w:pPr>
            <w:r w:rsidRPr="00506D26">
              <w:rPr>
                <w:rFonts w:ascii="Arial" w:hAnsi="Arial" w:cs="Arial"/>
                <w:sz w:val="24"/>
                <w:szCs w:val="24"/>
              </w:rPr>
              <w:t>4.1</w:t>
            </w:r>
          </w:p>
        </w:tc>
        <w:tc>
          <w:tcPr>
            <w:tcW w:w="753" w:type="pct"/>
            <w:shd w:val="clear" w:color="auto" w:fill="auto"/>
          </w:tcPr>
          <w:p w14:paraId="05E6B5E6" w14:textId="07D56FC3" w:rsidR="00D91ED7" w:rsidRPr="00506D26" w:rsidRDefault="00D91ED7">
            <w:pPr>
              <w:jc w:val="right"/>
              <w:rPr>
                <w:rFonts w:ascii="Arial" w:hAnsi="Arial" w:cs="Arial"/>
                <w:sz w:val="24"/>
                <w:szCs w:val="24"/>
              </w:rPr>
            </w:pPr>
            <w:r w:rsidRPr="00506D26">
              <w:rPr>
                <w:rFonts w:ascii="Arial" w:hAnsi="Arial" w:cs="Arial"/>
                <w:sz w:val="24"/>
                <w:szCs w:val="24"/>
              </w:rPr>
              <w:t>3</w:t>
            </w:r>
            <w:r w:rsidR="00782368">
              <w:rPr>
                <w:rFonts w:ascii="Arial" w:hAnsi="Arial" w:cs="Arial"/>
                <w:sz w:val="24"/>
                <w:szCs w:val="24"/>
              </w:rPr>
              <w:t>8</w:t>
            </w:r>
            <w:r w:rsidRPr="00506D26">
              <w:rPr>
                <w:rFonts w:ascii="Arial" w:hAnsi="Arial" w:cs="Arial"/>
                <w:sz w:val="24"/>
                <w:szCs w:val="24"/>
              </w:rPr>
              <w:t>%</w:t>
            </w:r>
          </w:p>
        </w:tc>
        <w:tc>
          <w:tcPr>
            <w:tcW w:w="639" w:type="pct"/>
            <w:shd w:val="clear" w:color="auto" w:fill="auto"/>
          </w:tcPr>
          <w:p w14:paraId="7EDCF4B8" w14:textId="77777777" w:rsidR="00D91ED7" w:rsidRPr="00506D26" w:rsidRDefault="00D91ED7" w:rsidP="00D91ED7">
            <w:pPr>
              <w:jc w:val="right"/>
              <w:rPr>
                <w:rFonts w:ascii="Arial" w:hAnsi="Arial" w:cs="Arial"/>
                <w:sz w:val="24"/>
                <w:szCs w:val="24"/>
              </w:rPr>
            </w:pPr>
            <w:r w:rsidRPr="00506D26">
              <w:rPr>
                <w:rFonts w:ascii="Arial" w:hAnsi="Arial" w:cs="Arial"/>
                <w:sz w:val="24"/>
                <w:szCs w:val="24"/>
              </w:rPr>
              <w:t>2.2</w:t>
            </w:r>
          </w:p>
        </w:tc>
        <w:tc>
          <w:tcPr>
            <w:tcW w:w="753" w:type="pct"/>
            <w:shd w:val="clear" w:color="auto" w:fill="auto"/>
          </w:tcPr>
          <w:p w14:paraId="7DA53193" w14:textId="1AE2F5F8" w:rsidR="00D91ED7" w:rsidRPr="00506D26" w:rsidRDefault="0093472D">
            <w:pPr>
              <w:jc w:val="right"/>
              <w:rPr>
                <w:rFonts w:ascii="Arial" w:hAnsi="Arial" w:cs="Arial"/>
                <w:sz w:val="24"/>
                <w:szCs w:val="24"/>
              </w:rPr>
            </w:pPr>
            <w:r>
              <w:rPr>
                <w:rFonts w:ascii="Arial" w:hAnsi="Arial" w:cs="Arial"/>
                <w:sz w:val="24"/>
                <w:szCs w:val="24"/>
              </w:rPr>
              <w:t>19</w:t>
            </w:r>
            <w:r w:rsidR="00D91ED7" w:rsidRPr="00506D26">
              <w:rPr>
                <w:rFonts w:ascii="Arial" w:hAnsi="Arial" w:cs="Arial"/>
                <w:sz w:val="24"/>
                <w:szCs w:val="24"/>
              </w:rPr>
              <w:t>%</w:t>
            </w:r>
          </w:p>
        </w:tc>
        <w:tc>
          <w:tcPr>
            <w:tcW w:w="616" w:type="pct"/>
            <w:shd w:val="clear" w:color="auto" w:fill="auto"/>
          </w:tcPr>
          <w:p w14:paraId="456BC29F" w14:textId="77777777" w:rsidR="00D91ED7" w:rsidRPr="00506D26" w:rsidRDefault="00D91ED7" w:rsidP="00D91ED7">
            <w:pPr>
              <w:jc w:val="right"/>
              <w:rPr>
                <w:rFonts w:ascii="Arial" w:hAnsi="Arial" w:cs="Arial"/>
                <w:b/>
                <w:sz w:val="24"/>
                <w:szCs w:val="24"/>
              </w:rPr>
            </w:pPr>
            <w:r w:rsidRPr="00506D26">
              <w:rPr>
                <w:rFonts w:ascii="Arial" w:hAnsi="Arial" w:cs="Arial"/>
                <w:b/>
                <w:sz w:val="24"/>
                <w:szCs w:val="24"/>
              </w:rPr>
              <w:t>106</w:t>
            </w:r>
          </w:p>
        </w:tc>
        <w:tc>
          <w:tcPr>
            <w:tcW w:w="616" w:type="pct"/>
          </w:tcPr>
          <w:p w14:paraId="52162F18" w14:textId="77777777" w:rsidR="00D91ED7" w:rsidRPr="00506D26" w:rsidRDefault="00D91ED7" w:rsidP="00D91ED7">
            <w:pPr>
              <w:jc w:val="right"/>
              <w:rPr>
                <w:rFonts w:ascii="Arial" w:hAnsi="Arial" w:cs="Arial"/>
                <w:sz w:val="24"/>
                <w:szCs w:val="24"/>
              </w:rPr>
            </w:pPr>
            <w:r w:rsidRPr="00506D26">
              <w:rPr>
                <w:rFonts w:ascii="Arial" w:hAnsi="Arial" w:cs="Arial"/>
                <w:sz w:val="24"/>
                <w:szCs w:val="24"/>
              </w:rPr>
              <w:t>137</w:t>
            </w:r>
          </w:p>
        </w:tc>
      </w:tr>
      <w:tr w:rsidR="00D91ED7" w:rsidRPr="00DB3421" w14:paraId="0BB3644E" w14:textId="77777777" w:rsidTr="000346AA">
        <w:tc>
          <w:tcPr>
            <w:tcW w:w="1158" w:type="pct"/>
          </w:tcPr>
          <w:p w14:paraId="45DDB3DB" w14:textId="77777777" w:rsidR="00D91ED7" w:rsidRPr="00506D26" w:rsidRDefault="00D91ED7" w:rsidP="00D91ED7">
            <w:pPr>
              <w:jc w:val="left"/>
              <w:rPr>
                <w:rFonts w:ascii="Arial" w:hAnsi="Arial" w:cs="Arial"/>
                <w:sz w:val="24"/>
                <w:szCs w:val="24"/>
              </w:rPr>
            </w:pPr>
            <w:r w:rsidRPr="00506D26">
              <w:rPr>
                <w:rFonts w:ascii="Arial" w:hAnsi="Arial" w:cs="Arial"/>
                <w:sz w:val="24"/>
                <w:szCs w:val="24"/>
              </w:rPr>
              <w:t>Other International</w:t>
            </w:r>
          </w:p>
        </w:tc>
        <w:tc>
          <w:tcPr>
            <w:tcW w:w="464" w:type="pct"/>
            <w:shd w:val="clear" w:color="auto" w:fill="auto"/>
          </w:tcPr>
          <w:p w14:paraId="6549A5E2" w14:textId="77777777" w:rsidR="00D91ED7" w:rsidRPr="00506D26" w:rsidRDefault="00D91ED7" w:rsidP="00D91ED7">
            <w:pPr>
              <w:jc w:val="right"/>
              <w:rPr>
                <w:rFonts w:ascii="Arial" w:hAnsi="Arial" w:cs="Arial"/>
                <w:sz w:val="24"/>
                <w:szCs w:val="24"/>
              </w:rPr>
            </w:pPr>
            <w:r w:rsidRPr="00506D26">
              <w:rPr>
                <w:rFonts w:ascii="Arial" w:hAnsi="Arial" w:cs="Arial"/>
                <w:sz w:val="24"/>
                <w:szCs w:val="24"/>
              </w:rPr>
              <w:t>2.3</w:t>
            </w:r>
          </w:p>
        </w:tc>
        <w:tc>
          <w:tcPr>
            <w:tcW w:w="753" w:type="pct"/>
            <w:shd w:val="clear" w:color="auto" w:fill="auto"/>
          </w:tcPr>
          <w:p w14:paraId="556DBA53" w14:textId="3D52F30E" w:rsidR="00D91ED7" w:rsidRPr="00506D26" w:rsidRDefault="00782368">
            <w:pPr>
              <w:jc w:val="right"/>
              <w:rPr>
                <w:rFonts w:ascii="Arial" w:hAnsi="Arial" w:cs="Arial"/>
                <w:sz w:val="24"/>
                <w:szCs w:val="24"/>
              </w:rPr>
            </w:pPr>
            <w:r w:rsidRPr="00506D26">
              <w:rPr>
                <w:rFonts w:ascii="Arial" w:hAnsi="Arial" w:cs="Arial"/>
                <w:sz w:val="24"/>
                <w:szCs w:val="24"/>
              </w:rPr>
              <w:t>2</w:t>
            </w:r>
            <w:r>
              <w:rPr>
                <w:rFonts w:ascii="Arial" w:hAnsi="Arial" w:cs="Arial"/>
                <w:sz w:val="24"/>
                <w:szCs w:val="24"/>
              </w:rPr>
              <w:t>0</w:t>
            </w:r>
            <w:r w:rsidR="00D91ED7" w:rsidRPr="00506D26">
              <w:rPr>
                <w:rFonts w:ascii="Arial" w:hAnsi="Arial" w:cs="Arial"/>
                <w:sz w:val="24"/>
                <w:szCs w:val="24"/>
              </w:rPr>
              <w:t>%</w:t>
            </w:r>
          </w:p>
        </w:tc>
        <w:tc>
          <w:tcPr>
            <w:tcW w:w="639" w:type="pct"/>
            <w:shd w:val="clear" w:color="auto" w:fill="auto"/>
          </w:tcPr>
          <w:p w14:paraId="6D91D937" w14:textId="77777777" w:rsidR="00D91ED7" w:rsidRPr="00506D26" w:rsidRDefault="00D91ED7" w:rsidP="00D91ED7">
            <w:pPr>
              <w:jc w:val="right"/>
              <w:rPr>
                <w:rFonts w:ascii="Arial" w:hAnsi="Arial" w:cs="Arial"/>
                <w:sz w:val="24"/>
                <w:szCs w:val="24"/>
              </w:rPr>
            </w:pPr>
            <w:r w:rsidRPr="00506D26">
              <w:rPr>
                <w:rFonts w:ascii="Arial" w:hAnsi="Arial" w:cs="Arial"/>
                <w:sz w:val="24"/>
                <w:szCs w:val="24"/>
              </w:rPr>
              <w:t>1.6</w:t>
            </w:r>
          </w:p>
        </w:tc>
        <w:tc>
          <w:tcPr>
            <w:tcW w:w="753" w:type="pct"/>
            <w:shd w:val="clear" w:color="auto" w:fill="auto"/>
          </w:tcPr>
          <w:p w14:paraId="0F4715BC" w14:textId="1002E94A" w:rsidR="00D91ED7" w:rsidRPr="00506D26" w:rsidRDefault="0093472D">
            <w:pPr>
              <w:jc w:val="right"/>
              <w:rPr>
                <w:rFonts w:ascii="Arial" w:hAnsi="Arial" w:cs="Arial"/>
                <w:sz w:val="24"/>
                <w:szCs w:val="24"/>
              </w:rPr>
            </w:pPr>
            <w:r w:rsidRPr="00506D26">
              <w:rPr>
                <w:rFonts w:ascii="Arial" w:hAnsi="Arial" w:cs="Arial"/>
                <w:sz w:val="24"/>
                <w:szCs w:val="24"/>
              </w:rPr>
              <w:t>1</w:t>
            </w:r>
            <w:r>
              <w:rPr>
                <w:rFonts w:ascii="Arial" w:hAnsi="Arial" w:cs="Arial"/>
                <w:sz w:val="24"/>
                <w:szCs w:val="24"/>
              </w:rPr>
              <w:t>4</w:t>
            </w:r>
            <w:r w:rsidR="00D91ED7" w:rsidRPr="00506D26">
              <w:rPr>
                <w:rFonts w:ascii="Arial" w:hAnsi="Arial" w:cs="Arial"/>
                <w:sz w:val="24"/>
                <w:szCs w:val="24"/>
              </w:rPr>
              <w:t>%</w:t>
            </w:r>
          </w:p>
        </w:tc>
        <w:tc>
          <w:tcPr>
            <w:tcW w:w="616" w:type="pct"/>
            <w:shd w:val="clear" w:color="auto" w:fill="auto"/>
          </w:tcPr>
          <w:p w14:paraId="35197F6D" w14:textId="77777777" w:rsidR="00D91ED7" w:rsidRPr="00506D26" w:rsidRDefault="00D91ED7" w:rsidP="00D91ED7">
            <w:pPr>
              <w:jc w:val="right"/>
              <w:rPr>
                <w:rFonts w:ascii="Arial" w:hAnsi="Arial" w:cs="Arial"/>
                <w:b/>
                <w:sz w:val="24"/>
                <w:szCs w:val="24"/>
              </w:rPr>
            </w:pPr>
            <w:r w:rsidRPr="00506D26">
              <w:rPr>
                <w:rFonts w:ascii="Arial" w:hAnsi="Arial" w:cs="Arial"/>
                <w:b/>
                <w:sz w:val="24"/>
                <w:szCs w:val="24"/>
              </w:rPr>
              <w:t>18</w:t>
            </w:r>
          </w:p>
        </w:tc>
        <w:tc>
          <w:tcPr>
            <w:tcW w:w="616" w:type="pct"/>
          </w:tcPr>
          <w:p w14:paraId="2E3A3FEE" w14:textId="69931EF1" w:rsidR="00D91ED7" w:rsidRPr="00506D26" w:rsidRDefault="00690E2F" w:rsidP="00D91ED7">
            <w:pPr>
              <w:jc w:val="right"/>
              <w:rPr>
                <w:rFonts w:ascii="Arial" w:hAnsi="Arial" w:cs="Arial"/>
                <w:sz w:val="24"/>
                <w:szCs w:val="24"/>
              </w:rPr>
            </w:pPr>
            <w:r>
              <w:rPr>
                <w:rFonts w:ascii="Arial" w:hAnsi="Arial" w:cs="Arial"/>
                <w:sz w:val="24"/>
                <w:szCs w:val="24"/>
              </w:rPr>
              <w:t>44</w:t>
            </w:r>
          </w:p>
        </w:tc>
      </w:tr>
      <w:tr w:rsidR="00D91ED7" w:rsidRPr="00DB3421" w14:paraId="5FAF0ED7" w14:textId="77777777" w:rsidTr="000346AA">
        <w:tc>
          <w:tcPr>
            <w:tcW w:w="1158" w:type="pct"/>
            <w:tcBorders>
              <w:bottom w:val="single" w:sz="4" w:space="0" w:color="auto"/>
            </w:tcBorders>
          </w:tcPr>
          <w:p w14:paraId="7C1BCBD0" w14:textId="77777777" w:rsidR="00D91ED7" w:rsidRPr="00506D26" w:rsidRDefault="00D91ED7" w:rsidP="00D91ED7">
            <w:pPr>
              <w:jc w:val="left"/>
              <w:rPr>
                <w:rFonts w:ascii="Arial" w:hAnsi="Arial" w:cs="Arial"/>
                <w:sz w:val="24"/>
                <w:szCs w:val="24"/>
              </w:rPr>
            </w:pPr>
            <w:r w:rsidRPr="00506D26">
              <w:rPr>
                <w:rFonts w:ascii="Arial" w:hAnsi="Arial" w:cs="Arial"/>
                <w:sz w:val="24"/>
                <w:szCs w:val="24"/>
              </w:rPr>
              <w:t>Goodwill &amp; Central</w:t>
            </w:r>
          </w:p>
        </w:tc>
        <w:tc>
          <w:tcPr>
            <w:tcW w:w="464" w:type="pct"/>
            <w:tcBorders>
              <w:bottom w:val="single" w:sz="4" w:space="0" w:color="auto"/>
            </w:tcBorders>
            <w:shd w:val="clear" w:color="auto" w:fill="auto"/>
          </w:tcPr>
          <w:p w14:paraId="5166F5B4" w14:textId="77777777" w:rsidR="00D91ED7" w:rsidRPr="00506D26" w:rsidRDefault="00D91ED7" w:rsidP="00D91ED7">
            <w:pPr>
              <w:jc w:val="right"/>
              <w:rPr>
                <w:rFonts w:ascii="Arial" w:hAnsi="Arial" w:cs="Arial"/>
                <w:sz w:val="24"/>
                <w:szCs w:val="24"/>
              </w:rPr>
            </w:pPr>
          </w:p>
        </w:tc>
        <w:tc>
          <w:tcPr>
            <w:tcW w:w="753" w:type="pct"/>
            <w:tcBorders>
              <w:bottom w:val="single" w:sz="4" w:space="0" w:color="auto"/>
            </w:tcBorders>
            <w:shd w:val="clear" w:color="auto" w:fill="auto"/>
          </w:tcPr>
          <w:p w14:paraId="75ECE011" w14:textId="77777777" w:rsidR="00D91ED7" w:rsidRPr="00506D26" w:rsidRDefault="00D91ED7" w:rsidP="00D91ED7">
            <w:pPr>
              <w:jc w:val="right"/>
              <w:rPr>
                <w:rFonts w:ascii="Arial" w:hAnsi="Arial" w:cs="Arial"/>
                <w:sz w:val="24"/>
                <w:szCs w:val="24"/>
              </w:rPr>
            </w:pPr>
          </w:p>
        </w:tc>
        <w:tc>
          <w:tcPr>
            <w:tcW w:w="639" w:type="pct"/>
            <w:tcBorders>
              <w:bottom w:val="single" w:sz="4" w:space="0" w:color="auto"/>
            </w:tcBorders>
            <w:shd w:val="clear" w:color="auto" w:fill="auto"/>
          </w:tcPr>
          <w:p w14:paraId="1B5CD8AD" w14:textId="5ABC6637" w:rsidR="00D91ED7" w:rsidRPr="00506D26" w:rsidRDefault="00D91ED7">
            <w:pPr>
              <w:jc w:val="right"/>
              <w:rPr>
                <w:rFonts w:ascii="Arial" w:hAnsi="Arial" w:cs="Arial"/>
                <w:sz w:val="24"/>
                <w:szCs w:val="24"/>
              </w:rPr>
            </w:pPr>
            <w:r w:rsidRPr="00506D26">
              <w:rPr>
                <w:rFonts w:ascii="Arial" w:hAnsi="Arial" w:cs="Arial"/>
                <w:sz w:val="24"/>
                <w:szCs w:val="24"/>
              </w:rPr>
              <w:t>2.</w:t>
            </w:r>
            <w:r w:rsidR="0093472D">
              <w:rPr>
                <w:rFonts w:ascii="Arial" w:hAnsi="Arial" w:cs="Arial"/>
                <w:sz w:val="24"/>
                <w:szCs w:val="24"/>
              </w:rPr>
              <w:t>0</w:t>
            </w:r>
          </w:p>
        </w:tc>
        <w:tc>
          <w:tcPr>
            <w:tcW w:w="753" w:type="pct"/>
            <w:tcBorders>
              <w:bottom w:val="single" w:sz="4" w:space="0" w:color="auto"/>
            </w:tcBorders>
            <w:shd w:val="clear" w:color="auto" w:fill="auto"/>
          </w:tcPr>
          <w:p w14:paraId="53F118EC" w14:textId="08AA3DE0" w:rsidR="00D91ED7" w:rsidRPr="00506D26" w:rsidRDefault="0093472D" w:rsidP="00D91ED7">
            <w:pPr>
              <w:jc w:val="right"/>
              <w:rPr>
                <w:rFonts w:ascii="Arial" w:hAnsi="Arial" w:cs="Arial"/>
                <w:sz w:val="24"/>
                <w:szCs w:val="24"/>
              </w:rPr>
            </w:pPr>
            <w:r>
              <w:rPr>
                <w:rFonts w:ascii="Arial" w:hAnsi="Arial" w:cs="Arial"/>
                <w:sz w:val="24"/>
                <w:szCs w:val="24"/>
              </w:rPr>
              <w:t>16</w:t>
            </w:r>
            <w:r w:rsidR="00D91ED7" w:rsidRPr="00506D26">
              <w:rPr>
                <w:rFonts w:ascii="Arial" w:hAnsi="Arial" w:cs="Arial"/>
                <w:sz w:val="24"/>
                <w:szCs w:val="24"/>
              </w:rPr>
              <w:t>%</w:t>
            </w:r>
          </w:p>
        </w:tc>
        <w:tc>
          <w:tcPr>
            <w:tcW w:w="616" w:type="pct"/>
            <w:tcBorders>
              <w:bottom w:val="single" w:sz="4" w:space="0" w:color="auto"/>
            </w:tcBorders>
            <w:shd w:val="clear" w:color="auto" w:fill="auto"/>
          </w:tcPr>
          <w:p w14:paraId="6355F8CA" w14:textId="77777777" w:rsidR="00D91ED7" w:rsidRPr="00506D26" w:rsidRDefault="00D91ED7" w:rsidP="00D91ED7">
            <w:pPr>
              <w:jc w:val="right"/>
              <w:rPr>
                <w:rFonts w:ascii="Arial" w:hAnsi="Arial" w:cs="Arial"/>
                <w:b/>
                <w:sz w:val="24"/>
                <w:szCs w:val="24"/>
              </w:rPr>
            </w:pPr>
            <w:r w:rsidRPr="00506D26">
              <w:rPr>
                <w:rFonts w:ascii="Arial" w:hAnsi="Arial" w:cs="Arial"/>
                <w:b/>
                <w:sz w:val="24"/>
                <w:szCs w:val="24"/>
              </w:rPr>
              <w:t>(145)</w:t>
            </w:r>
          </w:p>
        </w:tc>
        <w:tc>
          <w:tcPr>
            <w:tcW w:w="616" w:type="pct"/>
            <w:tcBorders>
              <w:bottom w:val="single" w:sz="4" w:space="0" w:color="auto"/>
            </w:tcBorders>
          </w:tcPr>
          <w:p w14:paraId="74363C2A" w14:textId="27659267" w:rsidR="00D91ED7" w:rsidRPr="00DB3421" w:rsidRDefault="00690E2F" w:rsidP="00D91ED7">
            <w:pPr>
              <w:jc w:val="right"/>
              <w:rPr>
                <w:rFonts w:ascii="Arial" w:hAnsi="Arial" w:cs="Arial"/>
                <w:sz w:val="24"/>
                <w:szCs w:val="24"/>
              </w:rPr>
            </w:pPr>
            <w:r>
              <w:rPr>
                <w:rFonts w:ascii="Arial" w:hAnsi="Arial" w:cs="Arial"/>
                <w:sz w:val="24"/>
                <w:szCs w:val="24"/>
              </w:rPr>
              <w:t>(124</w:t>
            </w:r>
            <w:r w:rsidR="00D91ED7" w:rsidRPr="00506D26">
              <w:rPr>
                <w:rFonts w:ascii="Arial" w:hAnsi="Arial" w:cs="Arial"/>
                <w:sz w:val="24"/>
                <w:szCs w:val="24"/>
              </w:rPr>
              <w:t>)</w:t>
            </w:r>
          </w:p>
        </w:tc>
      </w:tr>
      <w:tr w:rsidR="00D91ED7" w:rsidRPr="003E4860" w14:paraId="1DC649AE" w14:textId="77777777" w:rsidTr="000346AA">
        <w:tc>
          <w:tcPr>
            <w:tcW w:w="1158" w:type="pct"/>
            <w:tcBorders>
              <w:top w:val="single" w:sz="4" w:space="0" w:color="auto"/>
              <w:bottom w:val="single" w:sz="4" w:space="0" w:color="auto"/>
            </w:tcBorders>
          </w:tcPr>
          <w:p w14:paraId="59D94A69" w14:textId="77777777" w:rsidR="00D91ED7" w:rsidRPr="00DB3421" w:rsidRDefault="00D91ED7" w:rsidP="00D91ED7">
            <w:pPr>
              <w:jc w:val="left"/>
              <w:rPr>
                <w:rFonts w:ascii="Arial" w:hAnsi="Arial" w:cs="Arial"/>
                <w:sz w:val="24"/>
                <w:szCs w:val="24"/>
              </w:rPr>
            </w:pPr>
            <w:r w:rsidRPr="00DB3421">
              <w:rPr>
                <w:rFonts w:ascii="Arial" w:hAnsi="Arial" w:cs="Arial"/>
                <w:b/>
                <w:sz w:val="24"/>
                <w:szCs w:val="24"/>
              </w:rPr>
              <w:t>Total</w:t>
            </w:r>
          </w:p>
        </w:tc>
        <w:tc>
          <w:tcPr>
            <w:tcW w:w="464" w:type="pct"/>
            <w:tcBorders>
              <w:top w:val="single" w:sz="4" w:space="0" w:color="auto"/>
              <w:bottom w:val="single" w:sz="4" w:space="0" w:color="auto"/>
            </w:tcBorders>
            <w:shd w:val="clear" w:color="auto" w:fill="auto"/>
          </w:tcPr>
          <w:p w14:paraId="0008851A" w14:textId="77777777" w:rsidR="00D91ED7" w:rsidRPr="00DB3421" w:rsidRDefault="00D91ED7" w:rsidP="00D91ED7">
            <w:pPr>
              <w:jc w:val="right"/>
              <w:rPr>
                <w:rFonts w:ascii="Arial" w:hAnsi="Arial" w:cs="Arial"/>
                <w:sz w:val="24"/>
                <w:szCs w:val="24"/>
              </w:rPr>
            </w:pPr>
            <w:r w:rsidRPr="00DB3421">
              <w:rPr>
                <w:rFonts w:ascii="Arial" w:hAnsi="Arial" w:cs="Arial"/>
                <w:sz w:val="24"/>
                <w:szCs w:val="24"/>
              </w:rPr>
              <w:t>11.0</w:t>
            </w:r>
          </w:p>
        </w:tc>
        <w:tc>
          <w:tcPr>
            <w:tcW w:w="753" w:type="pct"/>
            <w:tcBorders>
              <w:top w:val="single" w:sz="4" w:space="0" w:color="auto"/>
              <w:bottom w:val="single" w:sz="4" w:space="0" w:color="auto"/>
            </w:tcBorders>
            <w:shd w:val="clear" w:color="auto" w:fill="auto"/>
          </w:tcPr>
          <w:p w14:paraId="61E6D996" w14:textId="77777777" w:rsidR="00D91ED7" w:rsidRPr="00DB3421" w:rsidRDefault="00D91ED7" w:rsidP="00D91ED7">
            <w:pPr>
              <w:jc w:val="right"/>
              <w:rPr>
                <w:rFonts w:ascii="Arial" w:hAnsi="Arial" w:cs="Arial"/>
                <w:sz w:val="24"/>
                <w:szCs w:val="24"/>
              </w:rPr>
            </w:pPr>
          </w:p>
        </w:tc>
        <w:tc>
          <w:tcPr>
            <w:tcW w:w="639" w:type="pct"/>
            <w:tcBorders>
              <w:top w:val="single" w:sz="4" w:space="0" w:color="auto"/>
              <w:bottom w:val="single" w:sz="4" w:space="0" w:color="auto"/>
            </w:tcBorders>
            <w:shd w:val="clear" w:color="auto" w:fill="auto"/>
          </w:tcPr>
          <w:p w14:paraId="70363099" w14:textId="59510FA9" w:rsidR="00D91ED7" w:rsidRPr="00DB3421" w:rsidRDefault="0093472D">
            <w:pPr>
              <w:jc w:val="right"/>
              <w:rPr>
                <w:rFonts w:ascii="Arial" w:hAnsi="Arial" w:cs="Arial"/>
                <w:sz w:val="24"/>
                <w:szCs w:val="24"/>
              </w:rPr>
            </w:pPr>
            <w:r w:rsidRPr="00DB3421">
              <w:rPr>
                <w:rFonts w:ascii="Arial" w:hAnsi="Arial" w:cs="Arial"/>
                <w:sz w:val="24"/>
                <w:szCs w:val="24"/>
              </w:rPr>
              <w:t>1</w:t>
            </w:r>
            <w:r>
              <w:rPr>
                <w:rFonts w:ascii="Arial" w:hAnsi="Arial" w:cs="Arial"/>
                <w:sz w:val="24"/>
                <w:szCs w:val="24"/>
              </w:rPr>
              <w:t>1</w:t>
            </w:r>
            <w:r w:rsidR="00D91ED7" w:rsidRPr="00DB3421">
              <w:rPr>
                <w:rFonts w:ascii="Arial" w:hAnsi="Arial" w:cs="Arial"/>
                <w:sz w:val="24"/>
                <w:szCs w:val="24"/>
              </w:rPr>
              <w:t>.</w:t>
            </w:r>
            <w:r>
              <w:rPr>
                <w:rFonts w:ascii="Arial" w:hAnsi="Arial" w:cs="Arial"/>
                <w:sz w:val="24"/>
                <w:szCs w:val="24"/>
              </w:rPr>
              <w:t>7</w:t>
            </w:r>
          </w:p>
        </w:tc>
        <w:tc>
          <w:tcPr>
            <w:tcW w:w="753" w:type="pct"/>
            <w:tcBorders>
              <w:top w:val="single" w:sz="4" w:space="0" w:color="auto"/>
              <w:bottom w:val="single" w:sz="4" w:space="0" w:color="auto"/>
            </w:tcBorders>
            <w:shd w:val="clear" w:color="auto" w:fill="auto"/>
          </w:tcPr>
          <w:p w14:paraId="69F354A4" w14:textId="77777777" w:rsidR="00D91ED7" w:rsidRPr="00DB3421" w:rsidRDefault="00D91ED7" w:rsidP="00D91ED7">
            <w:pPr>
              <w:jc w:val="right"/>
              <w:rPr>
                <w:rFonts w:ascii="Arial" w:hAnsi="Arial" w:cs="Arial"/>
                <w:sz w:val="24"/>
                <w:szCs w:val="24"/>
              </w:rPr>
            </w:pPr>
          </w:p>
        </w:tc>
        <w:tc>
          <w:tcPr>
            <w:tcW w:w="616" w:type="pct"/>
            <w:tcBorders>
              <w:top w:val="single" w:sz="4" w:space="0" w:color="auto"/>
              <w:bottom w:val="single" w:sz="4" w:space="0" w:color="auto"/>
            </w:tcBorders>
            <w:shd w:val="clear" w:color="auto" w:fill="auto"/>
          </w:tcPr>
          <w:p w14:paraId="3703098C" w14:textId="77777777" w:rsidR="00D91ED7" w:rsidRPr="00DB3421" w:rsidRDefault="00D91ED7" w:rsidP="00D91ED7">
            <w:pPr>
              <w:jc w:val="right"/>
              <w:rPr>
                <w:rFonts w:ascii="Arial" w:hAnsi="Arial" w:cs="Arial"/>
                <w:b/>
                <w:sz w:val="24"/>
                <w:szCs w:val="24"/>
              </w:rPr>
            </w:pPr>
            <w:r w:rsidRPr="00DB3421">
              <w:rPr>
                <w:rFonts w:ascii="Arial" w:hAnsi="Arial" w:cs="Arial"/>
                <w:b/>
                <w:sz w:val="24"/>
                <w:szCs w:val="24"/>
              </w:rPr>
              <w:t>34</w:t>
            </w:r>
          </w:p>
        </w:tc>
        <w:tc>
          <w:tcPr>
            <w:tcW w:w="616" w:type="pct"/>
            <w:tcBorders>
              <w:top w:val="single" w:sz="4" w:space="0" w:color="auto"/>
              <w:bottom w:val="single" w:sz="4" w:space="0" w:color="auto"/>
            </w:tcBorders>
          </w:tcPr>
          <w:p w14:paraId="0A91FDE7" w14:textId="77777777" w:rsidR="00D91ED7" w:rsidRPr="009A078F" w:rsidRDefault="00D91ED7" w:rsidP="00D91ED7">
            <w:pPr>
              <w:jc w:val="right"/>
              <w:rPr>
                <w:rFonts w:ascii="Arial" w:hAnsi="Arial" w:cs="Arial"/>
                <w:sz w:val="24"/>
                <w:szCs w:val="24"/>
              </w:rPr>
            </w:pPr>
            <w:r w:rsidRPr="00DB3421" w:rsidDel="00A749C4">
              <w:rPr>
                <w:rFonts w:ascii="Arial" w:hAnsi="Arial" w:cs="Arial"/>
                <w:sz w:val="24"/>
                <w:szCs w:val="24"/>
              </w:rPr>
              <w:t xml:space="preserve"> </w:t>
            </w:r>
            <w:r w:rsidRPr="00DB3421">
              <w:rPr>
                <w:rFonts w:ascii="Arial" w:hAnsi="Arial" w:cs="Arial"/>
                <w:sz w:val="24"/>
                <w:szCs w:val="24"/>
              </w:rPr>
              <w:t>74</w:t>
            </w:r>
          </w:p>
        </w:tc>
      </w:tr>
    </w:tbl>
    <w:p w14:paraId="27E6CA2A" w14:textId="77777777" w:rsidR="00DB3421" w:rsidRDefault="00DB3421" w:rsidP="00104D21">
      <w:pPr>
        <w:jc w:val="left"/>
        <w:rPr>
          <w:rFonts w:ascii="Arial" w:hAnsi="Arial" w:cs="Arial"/>
          <w:sz w:val="24"/>
          <w:szCs w:val="24"/>
        </w:rPr>
      </w:pPr>
    </w:p>
    <w:p w14:paraId="5BE68260" w14:textId="77777777" w:rsidR="00DB3421" w:rsidRPr="002A145F" w:rsidRDefault="00DB3421" w:rsidP="00104D21">
      <w:pPr>
        <w:jc w:val="left"/>
        <w:rPr>
          <w:rFonts w:ascii="Arial" w:hAnsi="Arial" w:cs="Arial"/>
          <w:sz w:val="24"/>
          <w:szCs w:val="24"/>
        </w:rPr>
      </w:pPr>
    </w:p>
    <w:p w14:paraId="18073012" w14:textId="77777777" w:rsidR="00104D21" w:rsidRDefault="00104D21" w:rsidP="00104D21">
      <w:pPr>
        <w:jc w:val="left"/>
        <w:rPr>
          <w:rFonts w:ascii="Arial" w:hAnsi="Arial" w:cs="Arial"/>
          <w:b/>
          <w:sz w:val="24"/>
          <w:szCs w:val="24"/>
        </w:rPr>
      </w:pPr>
      <w:r>
        <w:rPr>
          <w:rFonts w:ascii="Arial" w:hAnsi="Arial" w:cs="Arial"/>
          <w:b/>
          <w:sz w:val="24"/>
          <w:szCs w:val="24"/>
        </w:rPr>
        <w:t>Free cash flow</w:t>
      </w:r>
    </w:p>
    <w:p w14:paraId="66CBEB84" w14:textId="77777777" w:rsidR="00104D21" w:rsidRDefault="00104D21" w:rsidP="00104D21">
      <w:pPr>
        <w:jc w:val="left"/>
        <w:rPr>
          <w:rFonts w:ascii="Arial" w:hAnsi="Arial" w:cs="Arial"/>
          <w:b/>
          <w:sz w:val="24"/>
          <w:szCs w:val="24"/>
        </w:rPr>
      </w:pPr>
    </w:p>
    <w:p w14:paraId="38172402" w14:textId="77777777" w:rsidR="00104D21" w:rsidRPr="00C82F88" w:rsidRDefault="00104D21" w:rsidP="00104D21">
      <w:pPr>
        <w:jc w:val="left"/>
        <w:rPr>
          <w:rFonts w:ascii="Arial" w:hAnsi="Arial" w:cs="Arial"/>
          <w:sz w:val="24"/>
          <w:szCs w:val="24"/>
        </w:rPr>
      </w:pPr>
      <w:r w:rsidRPr="00C82F88">
        <w:rPr>
          <w:rFonts w:ascii="Arial" w:hAnsi="Arial" w:cs="Arial" w:hint="eastAsia"/>
          <w:sz w:val="24"/>
          <w:szCs w:val="24"/>
        </w:rPr>
        <w:t>A reconciliation of free cash flow and cash flow movement in net</w:t>
      </w:r>
      <w:r>
        <w:rPr>
          <w:rFonts w:ascii="Arial" w:hAnsi="Arial" w:cs="Arial"/>
          <w:sz w:val="24"/>
          <w:szCs w:val="24"/>
        </w:rPr>
        <w:t xml:space="preserve"> </w:t>
      </w:r>
      <w:r w:rsidRPr="00C82F88">
        <w:rPr>
          <w:rFonts w:ascii="Arial" w:hAnsi="Arial" w:cs="Arial" w:hint="eastAsia"/>
          <w:sz w:val="24"/>
          <w:szCs w:val="24"/>
        </w:rPr>
        <w:t>cash is set out below:</w:t>
      </w:r>
    </w:p>
    <w:p w14:paraId="6ACD40A2" w14:textId="77777777" w:rsidR="00104D21" w:rsidRDefault="00104D21" w:rsidP="00104D21">
      <w:pPr>
        <w:jc w:val="left"/>
        <w:rPr>
          <w:rFonts w:ascii="Arial" w:hAnsi="Arial" w:cs="Arial"/>
          <w:b/>
          <w:sz w:val="24"/>
          <w:szCs w:val="24"/>
        </w:rPr>
      </w:pPr>
    </w:p>
    <w:tbl>
      <w:tblPr>
        <w:tblW w:w="9508" w:type="dxa"/>
        <w:tblInd w:w="98" w:type="dxa"/>
        <w:tblLayout w:type="fixed"/>
        <w:tblLook w:val="0000" w:firstRow="0" w:lastRow="0" w:firstColumn="0" w:lastColumn="0" w:noHBand="0" w:noVBand="0"/>
      </w:tblPr>
      <w:tblGrid>
        <w:gridCol w:w="6531"/>
        <w:gridCol w:w="142"/>
        <w:gridCol w:w="1417"/>
        <w:gridCol w:w="1418"/>
      </w:tblGrid>
      <w:tr w:rsidR="00104D21" w:rsidRPr="001D3869" w14:paraId="4AFA3449" w14:textId="77777777" w:rsidTr="00104D21">
        <w:trPr>
          <w:trHeight w:val="555"/>
        </w:trPr>
        <w:tc>
          <w:tcPr>
            <w:tcW w:w="6531" w:type="dxa"/>
            <w:shd w:val="clear" w:color="auto" w:fill="auto"/>
            <w:vAlign w:val="bottom"/>
          </w:tcPr>
          <w:p w14:paraId="5F3573DF" w14:textId="77777777" w:rsidR="00104D21" w:rsidRPr="00EA4941" w:rsidRDefault="00104D21" w:rsidP="00104D21">
            <w:pPr>
              <w:jc w:val="left"/>
              <w:rPr>
                <w:rFonts w:ascii="Arial" w:hAnsi="Arial" w:cs="Arial"/>
                <w:bCs/>
                <w:sz w:val="24"/>
                <w:szCs w:val="24"/>
              </w:rPr>
            </w:pPr>
          </w:p>
        </w:tc>
        <w:tc>
          <w:tcPr>
            <w:tcW w:w="1559" w:type="dxa"/>
            <w:gridSpan w:val="2"/>
          </w:tcPr>
          <w:p w14:paraId="20AB16F1" w14:textId="77777777" w:rsidR="00104D21" w:rsidRPr="00EA4941" w:rsidRDefault="00104D21" w:rsidP="00104D21">
            <w:pPr>
              <w:jc w:val="right"/>
              <w:rPr>
                <w:rFonts w:ascii="Arial" w:hAnsi="Arial" w:cs="Arial"/>
                <w:b/>
                <w:bCs/>
                <w:sz w:val="24"/>
                <w:szCs w:val="24"/>
              </w:rPr>
            </w:pPr>
            <w:r>
              <w:rPr>
                <w:rFonts w:ascii="Arial" w:hAnsi="Arial" w:cs="Arial"/>
                <w:b/>
                <w:bCs/>
                <w:sz w:val="24"/>
                <w:szCs w:val="24"/>
              </w:rPr>
              <w:t>2014/15</w:t>
            </w:r>
          </w:p>
          <w:p w14:paraId="5E9BE8BA" w14:textId="77777777" w:rsidR="00104D21" w:rsidRPr="00EA4941" w:rsidRDefault="00104D21" w:rsidP="00104D21">
            <w:pPr>
              <w:jc w:val="right"/>
              <w:rPr>
                <w:rFonts w:ascii="Arial" w:hAnsi="Arial" w:cs="Arial"/>
                <w:b/>
                <w:bCs/>
                <w:sz w:val="24"/>
                <w:szCs w:val="24"/>
              </w:rPr>
            </w:pPr>
            <w:r w:rsidRPr="00EA4941">
              <w:rPr>
                <w:rFonts w:ascii="Arial" w:hAnsi="Arial" w:cs="Arial"/>
                <w:b/>
                <w:bCs/>
                <w:sz w:val="24"/>
                <w:szCs w:val="24"/>
              </w:rPr>
              <w:t>£m</w:t>
            </w:r>
          </w:p>
        </w:tc>
        <w:tc>
          <w:tcPr>
            <w:tcW w:w="1418" w:type="dxa"/>
          </w:tcPr>
          <w:p w14:paraId="1E3C04DC" w14:textId="77777777" w:rsidR="00104D21" w:rsidRPr="001D3869" w:rsidRDefault="00104D21" w:rsidP="00104D21">
            <w:pPr>
              <w:jc w:val="right"/>
              <w:rPr>
                <w:rFonts w:ascii="Arial" w:hAnsi="Arial" w:cs="Arial"/>
                <w:bCs/>
                <w:sz w:val="24"/>
                <w:szCs w:val="24"/>
              </w:rPr>
            </w:pPr>
            <w:r w:rsidRPr="001D3869">
              <w:rPr>
                <w:rFonts w:ascii="Arial" w:hAnsi="Arial" w:cs="Arial"/>
                <w:bCs/>
                <w:sz w:val="24"/>
                <w:szCs w:val="24"/>
              </w:rPr>
              <w:t>201</w:t>
            </w:r>
            <w:r>
              <w:rPr>
                <w:rFonts w:ascii="Arial" w:hAnsi="Arial" w:cs="Arial"/>
                <w:bCs/>
                <w:sz w:val="24"/>
                <w:szCs w:val="24"/>
              </w:rPr>
              <w:t>3</w:t>
            </w:r>
            <w:r w:rsidRPr="001D3869">
              <w:rPr>
                <w:rFonts w:ascii="Arial" w:hAnsi="Arial" w:cs="Arial"/>
                <w:bCs/>
                <w:sz w:val="24"/>
                <w:szCs w:val="24"/>
              </w:rPr>
              <w:t>/1</w:t>
            </w:r>
            <w:r>
              <w:rPr>
                <w:rFonts w:ascii="Arial" w:hAnsi="Arial" w:cs="Arial"/>
                <w:bCs/>
                <w:sz w:val="24"/>
                <w:szCs w:val="24"/>
              </w:rPr>
              <w:t>4</w:t>
            </w:r>
          </w:p>
          <w:p w14:paraId="7F9324DD" w14:textId="77777777" w:rsidR="00104D21" w:rsidRPr="001D3869" w:rsidRDefault="00104D21" w:rsidP="00104D21">
            <w:pPr>
              <w:jc w:val="right"/>
              <w:rPr>
                <w:rFonts w:ascii="Arial" w:hAnsi="Arial" w:cs="Arial"/>
                <w:bCs/>
                <w:sz w:val="24"/>
                <w:szCs w:val="24"/>
              </w:rPr>
            </w:pPr>
            <w:r w:rsidRPr="001D3869">
              <w:rPr>
                <w:rFonts w:ascii="Arial" w:hAnsi="Arial" w:cs="Arial"/>
                <w:bCs/>
                <w:sz w:val="24"/>
                <w:szCs w:val="24"/>
              </w:rPr>
              <w:t>£m</w:t>
            </w:r>
            <w:r>
              <w:rPr>
                <w:rFonts w:ascii="Arial" w:hAnsi="Arial" w:cs="Arial"/>
                <w:bCs/>
                <w:sz w:val="24"/>
                <w:szCs w:val="24"/>
              </w:rPr>
              <w:t xml:space="preserve"> </w:t>
            </w:r>
          </w:p>
        </w:tc>
      </w:tr>
      <w:tr w:rsidR="00104D21" w:rsidRPr="001D3869" w14:paraId="696E128C" w14:textId="77777777" w:rsidTr="00104D21">
        <w:trPr>
          <w:trHeight w:val="255"/>
        </w:trPr>
        <w:tc>
          <w:tcPr>
            <w:tcW w:w="6673" w:type="dxa"/>
            <w:gridSpan w:val="2"/>
            <w:tcBorders>
              <w:top w:val="single" w:sz="4" w:space="0" w:color="auto"/>
            </w:tcBorders>
            <w:shd w:val="clear" w:color="auto" w:fill="auto"/>
            <w:vAlign w:val="bottom"/>
          </w:tcPr>
          <w:p w14:paraId="7BB4B40D" w14:textId="77777777" w:rsidR="00104D21" w:rsidRPr="006862B3" w:rsidRDefault="00104D21" w:rsidP="00104D21">
            <w:pPr>
              <w:rPr>
                <w:rFonts w:ascii="Arial" w:hAnsi="Arial" w:cs="Arial"/>
                <w:b/>
                <w:sz w:val="24"/>
                <w:szCs w:val="24"/>
              </w:rPr>
            </w:pPr>
            <w:r w:rsidRPr="006862B3">
              <w:rPr>
                <w:rFonts w:ascii="Arial" w:hAnsi="Arial" w:cs="Arial"/>
                <w:b/>
                <w:sz w:val="24"/>
                <w:szCs w:val="24"/>
              </w:rPr>
              <w:t>Operating profit (before exceptional items)</w:t>
            </w:r>
          </w:p>
        </w:tc>
        <w:tc>
          <w:tcPr>
            <w:tcW w:w="1417" w:type="dxa"/>
            <w:tcBorders>
              <w:top w:val="single" w:sz="4" w:space="0" w:color="auto"/>
            </w:tcBorders>
            <w:vAlign w:val="bottom"/>
          </w:tcPr>
          <w:p w14:paraId="5E6C4743"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687</w:t>
            </w:r>
          </w:p>
        </w:tc>
        <w:tc>
          <w:tcPr>
            <w:tcW w:w="1418" w:type="dxa"/>
            <w:tcBorders>
              <w:top w:val="single" w:sz="4" w:space="0" w:color="auto"/>
            </w:tcBorders>
            <w:vAlign w:val="bottom"/>
          </w:tcPr>
          <w:p w14:paraId="7AF6CEF2"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746</w:t>
            </w:r>
          </w:p>
        </w:tc>
      </w:tr>
      <w:tr w:rsidR="00104D21" w:rsidRPr="001D3869" w14:paraId="0B9D5B68" w14:textId="77777777" w:rsidTr="00104D21">
        <w:trPr>
          <w:trHeight w:val="270"/>
        </w:trPr>
        <w:tc>
          <w:tcPr>
            <w:tcW w:w="6673" w:type="dxa"/>
            <w:gridSpan w:val="2"/>
            <w:shd w:val="clear" w:color="auto" w:fill="auto"/>
            <w:vAlign w:val="bottom"/>
          </w:tcPr>
          <w:p w14:paraId="3ECA6FC8" w14:textId="77777777" w:rsidR="00104D21" w:rsidRPr="006862B3" w:rsidRDefault="00104D21" w:rsidP="00104D21">
            <w:pPr>
              <w:rPr>
                <w:rFonts w:ascii="Arial" w:hAnsi="Arial" w:cs="Arial"/>
                <w:sz w:val="24"/>
                <w:szCs w:val="24"/>
              </w:rPr>
            </w:pPr>
            <w:r w:rsidRPr="006862B3">
              <w:rPr>
                <w:rFonts w:ascii="Arial" w:hAnsi="Arial" w:cs="Arial"/>
                <w:sz w:val="24"/>
                <w:szCs w:val="24"/>
              </w:rPr>
              <w:t>Other non</w:t>
            </w:r>
            <w:r>
              <w:rPr>
                <w:rFonts w:ascii="Arial" w:hAnsi="Arial" w:cs="Arial"/>
                <w:sz w:val="24"/>
                <w:szCs w:val="24"/>
              </w:rPr>
              <w:t>-</w:t>
            </w:r>
            <w:r w:rsidRPr="006862B3">
              <w:rPr>
                <w:rFonts w:ascii="Arial" w:hAnsi="Arial" w:cs="Arial"/>
                <w:sz w:val="24"/>
                <w:szCs w:val="24"/>
              </w:rPr>
              <w:t>cash items</w:t>
            </w:r>
            <w:r w:rsidRPr="00657B3E">
              <w:rPr>
                <w:rFonts w:ascii="Arial" w:hAnsi="Arial" w:cs="Arial"/>
                <w:sz w:val="20"/>
                <w:szCs w:val="20"/>
                <w:vertAlign w:val="superscript"/>
              </w:rPr>
              <w:t>(1)</w:t>
            </w:r>
          </w:p>
        </w:tc>
        <w:tc>
          <w:tcPr>
            <w:tcW w:w="1417" w:type="dxa"/>
            <w:vAlign w:val="bottom"/>
          </w:tcPr>
          <w:p w14:paraId="772F2D36"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275</w:t>
            </w:r>
          </w:p>
        </w:tc>
        <w:tc>
          <w:tcPr>
            <w:tcW w:w="1418" w:type="dxa"/>
            <w:vAlign w:val="bottom"/>
          </w:tcPr>
          <w:p w14:paraId="67E65D7C"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265</w:t>
            </w:r>
          </w:p>
        </w:tc>
      </w:tr>
      <w:tr w:rsidR="00104D21" w:rsidRPr="001D3869" w14:paraId="58DA08ED" w14:textId="77777777" w:rsidTr="00104D21">
        <w:trPr>
          <w:trHeight w:val="247"/>
        </w:trPr>
        <w:tc>
          <w:tcPr>
            <w:tcW w:w="6673" w:type="dxa"/>
            <w:gridSpan w:val="2"/>
            <w:shd w:val="clear" w:color="auto" w:fill="auto"/>
            <w:vAlign w:val="bottom"/>
          </w:tcPr>
          <w:p w14:paraId="2EC853D6" w14:textId="77777777" w:rsidR="00104D21" w:rsidRPr="006862B3" w:rsidRDefault="00104D21" w:rsidP="00104D21">
            <w:pPr>
              <w:rPr>
                <w:rFonts w:ascii="Arial" w:hAnsi="Arial" w:cs="Arial"/>
                <w:sz w:val="24"/>
                <w:szCs w:val="24"/>
              </w:rPr>
            </w:pPr>
            <w:r w:rsidRPr="006862B3">
              <w:rPr>
                <w:rFonts w:ascii="Arial" w:hAnsi="Arial" w:cs="Arial"/>
                <w:sz w:val="24"/>
                <w:szCs w:val="24"/>
              </w:rPr>
              <w:t>Change in working capital</w:t>
            </w:r>
          </w:p>
        </w:tc>
        <w:tc>
          <w:tcPr>
            <w:tcW w:w="1417" w:type="dxa"/>
            <w:vAlign w:val="bottom"/>
          </w:tcPr>
          <w:p w14:paraId="56451547" w14:textId="77777777" w:rsidR="00104D21" w:rsidRPr="0050210E" w:rsidRDefault="00104D21" w:rsidP="00104D21">
            <w:pPr>
              <w:jc w:val="right"/>
              <w:rPr>
                <w:rFonts w:ascii="Arial" w:hAnsi="Arial" w:cs="Arial"/>
                <w:b/>
                <w:sz w:val="24"/>
                <w:szCs w:val="24"/>
              </w:rPr>
            </w:pPr>
            <w:r>
              <w:rPr>
                <w:rFonts w:ascii="Arial" w:hAnsi="Arial" w:cs="Arial"/>
                <w:b/>
                <w:sz w:val="24"/>
                <w:szCs w:val="24"/>
              </w:rPr>
              <w:t>(93)</w:t>
            </w:r>
          </w:p>
        </w:tc>
        <w:tc>
          <w:tcPr>
            <w:tcW w:w="1418" w:type="dxa"/>
            <w:vAlign w:val="bottom"/>
          </w:tcPr>
          <w:p w14:paraId="334E2B25"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27</w:t>
            </w:r>
          </w:p>
        </w:tc>
      </w:tr>
      <w:tr w:rsidR="00104D21" w:rsidRPr="001D3869" w14:paraId="69FEEE5B" w14:textId="77777777" w:rsidTr="00104D21">
        <w:trPr>
          <w:trHeight w:val="255"/>
        </w:trPr>
        <w:tc>
          <w:tcPr>
            <w:tcW w:w="6673" w:type="dxa"/>
            <w:gridSpan w:val="2"/>
            <w:tcBorders>
              <w:bottom w:val="single" w:sz="4" w:space="0" w:color="auto"/>
            </w:tcBorders>
            <w:shd w:val="clear" w:color="auto" w:fill="auto"/>
            <w:vAlign w:val="bottom"/>
          </w:tcPr>
          <w:p w14:paraId="3F9547CF" w14:textId="77777777" w:rsidR="00104D21" w:rsidRPr="006862B3" w:rsidRDefault="00104D21" w:rsidP="00104D21">
            <w:pPr>
              <w:rPr>
                <w:rFonts w:ascii="Arial" w:hAnsi="Arial" w:cs="Arial"/>
                <w:sz w:val="24"/>
                <w:szCs w:val="24"/>
              </w:rPr>
            </w:pPr>
            <w:r w:rsidRPr="006862B3">
              <w:rPr>
                <w:rFonts w:ascii="Arial" w:hAnsi="Arial" w:cs="Arial"/>
                <w:sz w:val="24"/>
                <w:szCs w:val="24"/>
              </w:rPr>
              <w:t>Pensions and provisions (before exceptional items)</w:t>
            </w:r>
          </w:p>
        </w:tc>
        <w:tc>
          <w:tcPr>
            <w:tcW w:w="1417" w:type="dxa"/>
            <w:tcBorders>
              <w:bottom w:val="single" w:sz="4" w:space="0" w:color="auto"/>
            </w:tcBorders>
            <w:vAlign w:val="bottom"/>
          </w:tcPr>
          <w:p w14:paraId="5CF0B6A0"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(40)</w:t>
            </w:r>
          </w:p>
        </w:tc>
        <w:tc>
          <w:tcPr>
            <w:tcW w:w="1418" w:type="dxa"/>
            <w:tcBorders>
              <w:bottom w:val="single" w:sz="4" w:space="0" w:color="auto"/>
            </w:tcBorders>
            <w:vAlign w:val="bottom"/>
          </w:tcPr>
          <w:p w14:paraId="199AFD95"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(37)</w:t>
            </w:r>
          </w:p>
        </w:tc>
      </w:tr>
      <w:tr w:rsidR="00104D21" w:rsidRPr="001D3869" w14:paraId="5E4EBD0A" w14:textId="77777777" w:rsidTr="00104D21">
        <w:trPr>
          <w:trHeight w:val="255"/>
        </w:trPr>
        <w:tc>
          <w:tcPr>
            <w:tcW w:w="6673" w:type="dxa"/>
            <w:gridSpan w:val="2"/>
            <w:tcBorders>
              <w:top w:val="single" w:sz="4" w:space="0" w:color="auto"/>
            </w:tcBorders>
            <w:shd w:val="clear" w:color="auto" w:fill="auto"/>
            <w:vAlign w:val="bottom"/>
          </w:tcPr>
          <w:p w14:paraId="740AFFDB" w14:textId="77777777" w:rsidR="00104D21" w:rsidRPr="006862B3" w:rsidRDefault="00104D21" w:rsidP="00104D21">
            <w:pPr>
              <w:rPr>
                <w:rFonts w:ascii="Arial" w:hAnsi="Arial" w:cs="Arial"/>
                <w:sz w:val="24"/>
                <w:szCs w:val="24"/>
              </w:rPr>
            </w:pPr>
            <w:r w:rsidRPr="006862B3">
              <w:rPr>
                <w:rFonts w:ascii="Arial" w:hAnsi="Arial" w:cs="Arial"/>
                <w:sz w:val="24"/>
                <w:szCs w:val="24"/>
              </w:rPr>
              <w:t>Operating cash flow</w:t>
            </w:r>
          </w:p>
        </w:tc>
        <w:tc>
          <w:tcPr>
            <w:tcW w:w="1417" w:type="dxa"/>
            <w:tcBorders>
              <w:top w:val="single" w:sz="4" w:space="0" w:color="auto"/>
            </w:tcBorders>
            <w:vAlign w:val="bottom"/>
          </w:tcPr>
          <w:p w14:paraId="65067CDA" w14:textId="77777777" w:rsidR="00104D21" w:rsidRPr="0050210E" w:rsidRDefault="00104D21" w:rsidP="00104D21">
            <w:pPr>
              <w:jc w:val="right"/>
              <w:rPr>
                <w:rFonts w:ascii="Arial" w:hAnsi="Arial" w:cs="Arial"/>
                <w:b/>
                <w:sz w:val="24"/>
                <w:szCs w:val="24"/>
              </w:rPr>
            </w:pPr>
            <w:r>
              <w:rPr>
                <w:rFonts w:ascii="Arial" w:hAnsi="Arial" w:cs="Arial"/>
                <w:b/>
                <w:sz w:val="24"/>
                <w:szCs w:val="24"/>
              </w:rPr>
              <w:t>829</w:t>
            </w:r>
          </w:p>
        </w:tc>
        <w:tc>
          <w:tcPr>
            <w:tcW w:w="1418" w:type="dxa"/>
            <w:tcBorders>
              <w:top w:val="single" w:sz="4" w:space="0" w:color="auto"/>
            </w:tcBorders>
            <w:vAlign w:val="bottom"/>
          </w:tcPr>
          <w:p w14:paraId="44F0A09F"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1,001</w:t>
            </w:r>
          </w:p>
        </w:tc>
      </w:tr>
      <w:tr w:rsidR="00104D21" w:rsidRPr="001D3869" w14:paraId="0AC932E1" w14:textId="77777777" w:rsidTr="00104D21">
        <w:trPr>
          <w:trHeight w:val="311"/>
        </w:trPr>
        <w:tc>
          <w:tcPr>
            <w:tcW w:w="6673" w:type="dxa"/>
            <w:gridSpan w:val="2"/>
            <w:shd w:val="clear" w:color="auto" w:fill="auto"/>
            <w:vAlign w:val="bottom"/>
          </w:tcPr>
          <w:p w14:paraId="0DB71B34" w14:textId="77777777" w:rsidR="00104D21" w:rsidRPr="006862B3" w:rsidRDefault="00104D21" w:rsidP="00104D21">
            <w:pPr>
              <w:rPr>
                <w:rFonts w:ascii="Arial" w:hAnsi="Arial" w:cs="Arial"/>
                <w:sz w:val="24"/>
                <w:szCs w:val="24"/>
              </w:rPr>
            </w:pPr>
            <w:r>
              <w:rPr>
                <w:rFonts w:ascii="Arial" w:hAnsi="Arial" w:cs="Arial"/>
                <w:sz w:val="24"/>
                <w:szCs w:val="24"/>
              </w:rPr>
              <w:t>Net i</w:t>
            </w:r>
            <w:r w:rsidRPr="006862B3">
              <w:rPr>
                <w:rFonts w:ascii="Arial" w:hAnsi="Arial" w:cs="Arial"/>
                <w:sz w:val="24"/>
                <w:szCs w:val="24"/>
              </w:rPr>
              <w:t>nterest paid</w:t>
            </w:r>
          </w:p>
        </w:tc>
        <w:tc>
          <w:tcPr>
            <w:tcW w:w="1417" w:type="dxa"/>
            <w:vAlign w:val="bottom"/>
          </w:tcPr>
          <w:p w14:paraId="449B42F4"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(8)</w:t>
            </w:r>
          </w:p>
        </w:tc>
        <w:tc>
          <w:tcPr>
            <w:tcW w:w="1418" w:type="dxa"/>
            <w:vAlign w:val="bottom"/>
          </w:tcPr>
          <w:p w14:paraId="136452CD"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(8)</w:t>
            </w:r>
          </w:p>
        </w:tc>
      </w:tr>
      <w:tr w:rsidR="00104D21" w:rsidRPr="001D3869" w14:paraId="536BA0F4" w14:textId="77777777" w:rsidTr="00104D21">
        <w:trPr>
          <w:trHeight w:val="270"/>
        </w:trPr>
        <w:tc>
          <w:tcPr>
            <w:tcW w:w="6673" w:type="dxa"/>
            <w:gridSpan w:val="2"/>
            <w:shd w:val="clear" w:color="auto" w:fill="auto"/>
            <w:vAlign w:val="bottom"/>
          </w:tcPr>
          <w:p w14:paraId="63B1A240" w14:textId="77777777" w:rsidR="00104D21" w:rsidRPr="006862B3" w:rsidRDefault="00104D21" w:rsidP="00104D21">
            <w:pPr>
              <w:rPr>
                <w:rFonts w:ascii="Arial" w:hAnsi="Arial" w:cs="Arial"/>
                <w:sz w:val="24"/>
                <w:szCs w:val="24"/>
              </w:rPr>
            </w:pPr>
            <w:r w:rsidRPr="006862B3">
              <w:rPr>
                <w:rFonts w:ascii="Arial" w:hAnsi="Arial" w:cs="Arial"/>
                <w:sz w:val="24"/>
                <w:szCs w:val="24"/>
              </w:rPr>
              <w:t>Tax paid</w:t>
            </w:r>
          </w:p>
        </w:tc>
        <w:tc>
          <w:tcPr>
            <w:tcW w:w="1417" w:type="dxa"/>
            <w:vAlign w:val="bottom"/>
          </w:tcPr>
          <w:p w14:paraId="30AA5A27"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(146)</w:t>
            </w:r>
          </w:p>
        </w:tc>
        <w:tc>
          <w:tcPr>
            <w:tcW w:w="1418" w:type="dxa"/>
            <w:vAlign w:val="bottom"/>
          </w:tcPr>
          <w:p w14:paraId="12514909"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(142)</w:t>
            </w:r>
          </w:p>
        </w:tc>
      </w:tr>
      <w:tr w:rsidR="00104D21" w:rsidRPr="001D3869" w14:paraId="43B4EC8A" w14:textId="77777777" w:rsidTr="00104D21">
        <w:trPr>
          <w:trHeight w:val="270"/>
        </w:trPr>
        <w:tc>
          <w:tcPr>
            <w:tcW w:w="6673" w:type="dxa"/>
            <w:gridSpan w:val="2"/>
            <w:shd w:val="clear" w:color="auto" w:fill="auto"/>
            <w:vAlign w:val="bottom"/>
          </w:tcPr>
          <w:p w14:paraId="630AA3CE" w14:textId="77777777" w:rsidR="00104D21" w:rsidRPr="006862B3" w:rsidRDefault="00104D21" w:rsidP="00104D21">
            <w:pPr>
              <w:rPr>
                <w:rFonts w:ascii="Arial" w:hAnsi="Arial" w:cs="Arial"/>
                <w:sz w:val="24"/>
                <w:szCs w:val="24"/>
              </w:rPr>
            </w:pPr>
            <w:r w:rsidRPr="006862B3">
              <w:rPr>
                <w:rFonts w:ascii="Arial" w:hAnsi="Arial" w:cs="Arial"/>
                <w:sz w:val="24"/>
                <w:szCs w:val="24"/>
              </w:rPr>
              <w:t>Gross capital expenditure</w:t>
            </w:r>
            <w:r>
              <w:rPr>
                <w:rFonts w:ascii="Arial" w:hAnsi="Arial" w:cs="Arial"/>
                <w:sz w:val="24"/>
                <w:szCs w:val="24"/>
              </w:rPr>
              <w:t xml:space="preserve"> </w:t>
            </w:r>
          </w:p>
        </w:tc>
        <w:tc>
          <w:tcPr>
            <w:tcW w:w="1417" w:type="dxa"/>
            <w:vAlign w:val="bottom"/>
          </w:tcPr>
          <w:p w14:paraId="2A3AF6A5"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(275)</w:t>
            </w:r>
          </w:p>
        </w:tc>
        <w:tc>
          <w:tcPr>
            <w:tcW w:w="1418" w:type="dxa"/>
            <w:vAlign w:val="bottom"/>
          </w:tcPr>
          <w:p w14:paraId="3314E57E"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(304)</w:t>
            </w:r>
          </w:p>
        </w:tc>
      </w:tr>
      <w:tr w:rsidR="00104D21" w:rsidRPr="001D3869" w14:paraId="45BBCE81" w14:textId="77777777" w:rsidTr="00104D21">
        <w:trPr>
          <w:trHeight w:val="270"/>
        </w:trPr>
        <w:tc>
          <w:tcPr>
            <w:tcW w:w="6673" w:type="dxa"/>
            <w:gridSpan w:val="2"/>
            <w:tcBorders>
              <w:bottom w:val="single" w:sz="4" w:space="0" w:color="auto"/>
            </w:tcBorders>
            <w:shd w:val="clear" w:color="auto" w:fill="auto"/>
            <w:vAlign w:val="bottom"/>
          </w:tcPr>
          <w:p w14:paraId="0EE334D7" w14:textId="77777777" w:rsidR="00104D21" w:rsidRPr="006862B3" w:rsidRDefault="00104D21" w:rsidP="00104D21">
            <w:pPr>
              <w:rPr>
                <w:rFonts w:ascii="Arial" w:hAnsi="Arial" w:cs="Arial"/>
                <w:sz w:val="24"/>
                <w:szCs w:val="24"/>
              </w:rPr>
            </w:pPr>
            <w:r>
              <w:rPr>
                <w:rFonts w:ascii="Arial" w:hAnsi="Arial" w:cs="Arial"/>
                <w:sz w:val="24"/>
                <w:szCs w:val="24"/>
              </w:rPr>
              <w:t>Disposal of assets</w:t>
            </w:r>
          </w:p>
        </w:tc>
        <w:tc>
          <w:tcPr>
            <w:tcW w:w="1417" w:type="dxa"/>
            <w:tcBorders>
              <w:bottom w:val="single" w:sz="4" w:space="0" w:color="auto"/>
            </w:tcBorders>
            <w:vAlign w:val="bottom"/>
          </w:tcPr>
          <w:p w14:paraId="3D6ED341"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50</w:t>
            </w:r>
          </w:p>
        </w:tc>
        <w:tc>
          <w:tcPr>
            <w:tcW w:w="1418" w:type="dxa"/>
            <w:tcBorders>
              <w:bottom w:val="single" w:sz="4" w:space="0" w:color="auto"/>
            </w:tcBorders>
            <w:vAlign w:val="bottom"/>
          </w:tcPr>
          <w:p w14:paraId="5FAB3276"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12</w:t>
            </w:r>
          </w:p>
        </w:tc>
      </w:tr>
      <w:tr w:rsidR="00104D21" w:rsidRPr="001D3869" w14:paraId="57B0255D" w14:textId="77777777" w:rsidTr="00104D21">
        <w:trPr>
          <w:trHeight w:val="270"/>
        </w:trPr>
        <w:tc>
          <w:tcPr>
            <w:tcW w:w="6673" w:type="dxa"/>
            <w:gridSpan w:val="2"/>
            <w:tcBorders>
              <w:top w:val="single" w:sz="4" w:space="0" w:color="auto"/>
            </w:tcBorders>
            <w:shd w:val="clear" w:color="auto" w:fill="auto"/>
            <w:vAlign w:val="bottom"/>
          </w:tcPr>
          <w:p w14:paraId="50EE0B72" w14:textId="77777777" w:rsidR="00104D21" w:rsidRPr="006862B3" w:rsidRDefault="00104D21" w:rsidP="00104D21">
            <w:pPr>
              <w:rPr>
                <w:rFonts w:ascii="Arial" w:hAnsi="Arial" w:cs="Arial"/>
                <w:b/>
                <w:sz w:val="24"/>
                <w:szCs w:val="24"/>
              </w:rPr>
            </w:pPr>
            <w:r w:rsidRPr="006862B3">
              <w:rPr>
                <w:rFonts w:ascii="Arial" w:hAnsi="Arial" w:cs="Arial"/>
                <w:b/>
                <w:sz w:val="24"/>
                <w:szCs w:val="24"/>
              </w:rPr>
              <w:t>Free cash flow</w:t>
            </w:r>
          </w:p>
        </w:tc>
        <w:tc>
          <w:tcPr>
            <w:tcW w:w="1417" w:type="dxa"/>
            <w:tcBorders>
              <w:top w:val="single" w:sz="4" w:space="0" w:color="auto"/>
            </w:tcBorders>
            <w:vAlign w:val="bottom"/>
          </w:tcPr>
          <w:p w14:paraId="5739F36C" w14:textId="77777777" w:rsidR="00104D21" w:rsidRPr="0050210E" w:rsidRDefault="00104D21" w:rsidP="00104D21">
            <w:pPr>
              <w:jc w:val="right"/>
              <w:rPr>
                <w:rFonts w:ascii="Arial" w:hAnsi="Arial" w:cs="Arial"/>
                <w:b/>
                <w:sz w:val="24"/>
                <w:szCs w:val="24"/>
              </w:rPr>
            </w:pPr>
            <w:r>
              <w:rPr>
                <w:rFonts w:ascii="Arial" w:hAnsi="Arial" w:cs="Arial"/>
                <w:b/>
                <w:sz w:val="24"/>
                <w:szCs w:val="24"/>
              </w:rPr>
              <w:t>450</w:t>
            </w:r>
          </w:p>
        </w:tc>
        <w:tc>
          <w:tcPr>
            <w:tcW w:w="1418" w:type="dxa"/>
            <w:tcBorders>
              <w:top w:val="single" w:sz="4" w:space="0" w:color="auto"/>
            </w:tcBorders>
            <w:vAlign w:val="bottom"/>
          </w:tcPr>
          <w:p w14:paraId="653C5C5C"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559</w:t>
            </w:r>
          </w:p>
        </w:tc>
      </w:tr>
      <w:tr w:rsidR="00104D21" w:rsidRPr="001D3869" w14:paraId="026CE754" w14:textId="77777777" w:rsidTr="00104D21">
        <w:trPr>
          <w:trHeight w:val="270"/>
        </w:trPr>
        <w:tc>
          <w:tcPr>
            <w:tcW w:w="6673" w:type="dxa"/>
            <w:gridSpan w:val="2"/>
            <w:shd w:val="clear" w:color="auto" w:fill="auto"/>
            <w:vAlign w:val="bottom"/>
          </w:tcPr>
          <w:p w14:paraId="1B9648DD" w14:textId="77777777" w:rsidR="00104D21" w:rsidRPr="00611B00" w:rsidRDefault="00104D21" w:rsidP="00104D21">
            <w:pPr>
              <w:rPr>
                <w:rFonts w:ascii="Arial" w:hAnsi="Arial" w:cs="Arial"/>
                <w:sz w:val="24"/>
                <w:szCs w:val="24"/>
              </w:rPr>
            </w:pPr>
            <w:r w:rsidRPr="00611B00">
              <w:rPr>
                <w:rFonts w:ascii="Arial" w:hAnsi="Arial" w:cs="Arial"/>
                <w:sz w:val="24"/>
                <w:szCs w:val="24"/>
              </w:rPr>
              <w:t>Ordinary dividends paid</w:t>
            </w:r>
          </w:p>
        </w:tc>
        <w:tc>
          <w:tcPr>
            <w:tcW w:w="1417" w:type="dxa"/>
            <w:vAlign w:val="bottom"/>
          </w:tcPr>
          <w:p w14:paraId="6F760539"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(234)</w:t>
            </w:r>
          </w:p>
        </w:tc>
        <w:tc>
          <w:tcPr>
            <w:tcW w:w="1418" w:type="dxa"/>
            <w:vAlign w:val="bottom"/>
          </w:tcPr>
          <w:p w14:paraId="1DB34BBA"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(224)</w:t>
            </w:r>
          </w:p>
        </w:tc>
      </w:tr>
      <w:tr w:rsidR="00104D21" w:rsidRPr="001D3869" w14:paraId="29100397" w14:textId="77777777" w:rsidTr="00104D21">
        <w:trPr>
          <w:trHeight w:val="270"/>
        </w:trPr>
        <w:tc>
          <w:tcPr>
            <w:tcW w:w="6673" w:type="dxa"/>
            <w:gridSpan w:val="2"/>
            <w:shd w:val="clear" w:color="auto" w:fill="auto"/>
            <w:vAlign w:val="bottom"/>
          </w:tcPr>
          <w:p w14:paraId="26F3434E" w14:textId="77777777" w:rsidR="00104D21" w:rsidRPr="00611B00" w:rsidRDefault="00104D21" w:rsidP="00104D21">
            <w:pPr>
              <w:rPr>
                <w:rFonts w:ascii="Arial" w:hAnsi="Arial" w:cs="Arial"/>
                <w:sz w:val="24"/>
                <w:szCs w:val="24"/>
              </w:rPr>
            </w:pPr>
            <w:r w:rsidRPr="00611B00">
              <w:rPr>
                <w:rFonts w:ascii="Arial" w:hAnsi="Arial" w:cs="Arial"/>
                <w:sz w:val="24"/>
                <w:szCs w:val="24"/>
              </w:rPr>
              <w:t>Special dividend paid</w:t>
            </w:r>
          </w:p>
        </w:tc>
        <w:tc>
          <w:tcPr>
            <w:tcW w:w="1417" w:type="dxa"/>
            <w:vAlign w:val="bottom"/>
          </w:tcPr>
          <w:p w14:paraId="5D69CD3F"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(100)</w:t>
            </w:r>
          </w:p>
        </w:tc>
        <w:tc>
          <w:tcPr>
            <w:tcW w:w="1418" w:type="dxa"/>
            <w:vAlign w:val="bottom"/>
          </w:tcPr>
          <w:p w14:paraId="3EF3C66C" w14:textId="77777777" w:rsidR="00104D21" w:rsidRPr="009F79B3" w:rsidRDefault="00104D21" w:rsidP="00104D21">
            <w:pPr>
              <w:jc w:val="right"/>
              <w:rPr>
                <w:rFonts w:ascii="Arial" w:hAnsi="Arial" w:cs="Arial"/>
                <w:sz w:val="24"/>
                <w:szCs w:val="24"/>
              </w:rPr>
            </w:pPr>
            <w:r>
              <w:rPr>
                <w:rFonts w:ascii="Arial" w:hAnsi="Arial" w:cs="Arial"/>
                <w:sz w:val="24"/>
                <w:szCs w:val="24"/>
              </w:rPr>
              <w:t>-</w:t>
            </w:r>
          </w:p>
        </w:tc>
      </w:tr>
      <w:tr w:rsidR="00104D21" w:rsidRPr="001D3869" w14:paraId="199228D6" w14:textId="77777777" w:rsidTr="00104D21">
        <w:trPr>
          <w:trHeight w:val="270"/>
        </w:trPr>
        <w:tc>
          <w:tcPr>
            <w:tcW w:w="6673" w:type="dxa"/>
            <w:gridSpan w:val="2"/>
            <w:shd w:val="clear" w:color="auto" w:fill="auto"/>
            <w:vAlign w:val="bottom"/>
          </w:tcPr>
          <w:p w14:paraId="66666FFA" w14:textId="77777777" w:rsidR="00104D21" w:rsidRPr="00611B00" w:rsidRDefault="00104D21" w:rsidP="00104D21">
            <w:pPr>
              <w:rPr>
                <w:rFonts w:ascii="Arial" w:hAnsi="Arial" w:cs="Arial"/>
                <w:sz w:val="24"/>
                <w:szCs w:val="24"/>
              </w:rPr>
            </w:pPr>
            <w:r w:rsidRPr="0050210E">
              <w:rPr>
                <w:rFonts w:ascii="Arial" w:hAnsi="Arial" w:cs="Arial"/>
                <w:sz w:val="24"/>
                <w:szCs w:val="24"/>
              </w:rPr>
              <w:t>Share buyback</w:t>
            </w:r>
          </w:p>
        </w:tc>
        <w:tc>
          <w:tcPr>
            <w:tcW w:w="1417" w:type="dxa"/>
            <w:vAlign w:val="bottom"/>
          </w:tcPr>
          <w:p w14:paraId="02E2A589"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(100)</w:t>
            </w:r>
          </w:p>
        </w:tc>
        <w:tc>
          <w:tcPr>
            <w:tcW w:w="1418" w:type="dxa"/>
            <w:vAlign w:val="bottom"/>
          </w:tcPr>
          <w:p w14:paraId="4BF538D5" w14:textId="77777777" w:rsidR="00104D21" w:rsidRPr="0050210E" w:rsidRDefault="00104D21" w:rsidP="00104D21">
            <w:pPr>
              <w:jc w:val="right"/>
              <w:rPr>
                <w:rFonts w:ascii="Arial" w:hAnsi="Arial" w:cs="Arial"/>
                <w:sz w:val="24"/>
                <w:szCs w:val="24"/>
              </w:rPr>
            </w:pPr>
            <w:r>
              <w:rPr>
                <w:rFonts w:ascii="Arial" w:hAnsi="Arial" w:cs="Arial"/>
                <w:sz w:val="24"/>
                <w:szCs w:val="24"/>
              </w:rPr>
              <w:t>-</w:t>
            </w:r>
          </w:p>
        </w:tc>
      </w:tr>
      <w:tr w:rsidR="00104D21" w:rsidRPr="001D3869" w14:paraId="45464603" w14:textId="77777777" w:rsidTr="00104D21">
        <w:trPr>
          <w:trHeight w:val="270"/>
        </w:trPr>
        <w:tc>
          <w:tcPr>
            <w:tcW w:w="6673" w:type="dxa"/>
            <w:gridSpan w:val="2"/>
            <w:shd w:val="clear" w:color="auto" w:fill="auto"/>
            <w:vAlign w:val="bottom"/>
          </w:tcPr>
          <w:p w14:paraId="173561FA" w14:textId="77777777" w:rsidR="00104D21" w:rsidRPr="00611B00" w:rsidRDefault="00104D21" w:rsidP="00104D21">
            <w:pPr>
              <w:rPr>
                <w:rFonts w:ascii="Arial" w:hAnsi="Arial" w:cs="Arial"/>
                <w:sz w:val="24"/>
                <w:szCs w:val="24"/>
              </w:rPr>
            </w:pPr>
            <w:r w:rsidRPr="0050210E">
              <w:rPr>
                <w:rFonts w:ascii="Arial" w:hAnsi="Arial" w:cs="Arial"/>
                <w:sz w:val="24"/>
                <w:szCs w:val="24"/>
              </w:rPr>
              <w:t>Share purchase for employee incentive schemes</w:t>
            </w:r>
          </w:p>
        </w:tc>
        <w:tc>
          <w:tcPr>
            <w:tcW w:w="1417" w:type="dxa"/>
            <w:vAlign w:val="bottom"/>
          </w:tcPr>
          <w:p w14:paraId="75FC6B30"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(17)</w:t>
            </w:r>
          </w:p>
        </w:tc>
        <w:tc>
          <w:tcPr>
            <w:tcW w:w="1418" w:type="dxa"/>
            <w:vAlign w:val="bottom"/>
          </w:tcPr>
          <w:p w14:paraId="6FA9198E"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(24)</w:t>
            </w:r>
          </w:p>
        </w:tc>
      </w:tr>
      <w:tr w:rsidR="00104D21" w:rsidRPr="001D3869" w14:paraId="10A7E5A5" w14:textId="77777777" w:rsidTr="00104D21">
        <w:trPr>
          <w:trHeight w:val="270"/>
        </w:trPr>
        <w:tc>
          <w:tcPr>
            <w:tcW w:w="6673" w:type="dxa"/>
            <w:gridSpan w:val="2"/>
            <w:shd w:val="clear" w:color="auto" w:fill="auto"/>
            <w:vAlign w:val="bottom"/>
          </w:tcPr>
          <w:p w14:paraId="33F8AA72" w14:textId="77777777" w:rsidR="00104D21" w:rsidRPr="00611B00" w:rsidRDefault="00104D21" w:rsidP="00104D21">
            <w:pPr>
              <w:rPr>
                <w:rFonts w:ascii="Arial" w:hAnsi="Arial" w:cs="Arial"/>
                <w:sz w:val="24"/>
                <w:szCs w:val="24"/>
              </w:rPr>
            </w:pPr>
            <w:r w:rsidRPr="00611B00">
              <w:rPr>
                <w:rFonts w:ascii="Arial" w:hAnsi="Arial" w:cs="Arial"/>
                <w:sz w:val="24"/>
                <w:szCs w:val="24"/>
              </w:rPr>
              <w:t>Disposal of Hornbach</w:t>
            </w:r>
          </w:p>
        </w:tc>
        <w:tc>
          <w:tcPr>
            <w:tcW w:w="1417" w:type="dxa"/>
            <w:vAlign w:val="bottom"/>
          </w:tcPr>
          <w:p w14:paraId="65AFAA95"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198</w:t>
            </w:r>
          </w:p>
        </w:tc>
        <w:tc>
          <w:tcPr>
            <w:tcW w:w="1418" w:type="dxa"/>
            <w:vAlign w:val="bottom"/>
          </w:tcPr>
          <w:p w14:paraId="1F3007CC"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w:t>
            </w:r>
          </w:p>
        </w:tc>
      </w:tr>
      <w:tr w:rsidR="00104D21" w:rsidRPr="001D3869" w14:paraId="728E59D8" w14:textId="77777777" w:rsidTr="00104D21">
        <w:trPr>
          <w:trHeight w:val="270"/>
        </w:trPr>
        <w:tc>
          <w:tcPr>
            <w:tcW w:w="6673" w:type="dxa"/>
            <w:gridSpan w:val="2"/>
            <w:shd w:val="clear" w:color="auto" w:fill="auto"/>
            <w:vAlign w:val="bottom"/>
          </w:tcPr>
          <w:p w14:paraId="142197D4" w14:textId="77777777" w:rsidR="00104D21" w:rsidRPr="00611B00" w:rsidRDefault="00104D21" w:rsidP="00104D21">
            <w:pPr>
              <w:rPr>
                <w:rFonts w:ascii="Arial" w:hAnsi="Arial" w:cs="Arial"/>
                <w:sz w:val="24"/>
                <w:szCs w:val="24"/>
              </w:rPr>
            </w:pPr>
            <w:r w:rsidRPr="00611B00">
              <w:rPr>
                <w:rFonts w:ascii="Arial" w:hAnsi="Arial" w:cs="Arial"/>
                <w:sz w:val="24"/>
                <w:szCs w:val="24"/>
              </w:rPr>
              <w:t>Acquisition of Bricostore Romania (including debt)</w:t>
            </w:r>
          </w:p>
        </w:tc>
        <w:tc>
          <w:tcPr>
            <w:tcW w:w="1417" w:type="dxa"/>
            <w:vAlign w:val="bottom"/>
          </w:tcPr>
          <w:p w14:paraId="67CA4BEC"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w:t>
            </w:r>
          </w:p>
        </w:tc>
        <w:tc>
          <w:tcPr>
            <w:tcW w:w="1418" w:type="dxa"/>
            <w:vAlign w:val="bottom"/>
          </w:tcPr>
          <w:p w14:paraId="56CF8782"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(63)</w:t>
            </w:r>
          </w:p>
        </w:tc>
      </w:tr>
      <w:tr w:rsidR="00104D21" w:rsidRPr="001D3869" w14:paraId="59F829D7" w14:textId="77777777" w:rsidTr="00104D21">
        <w:trPr>
          <w:trHeight w:val="270"/>
        </w:trPr>
        <w:tc>
          <w:tcPr>
            <w:tcW w:w="6673" w:type="dxa"/>
            <w:gridSpan w:val="2"/>
            <w:shd w:val="clear" w:color="auto" w:fill="auto"/>
            <w:vAlign w:val="bottom"/>
          </w:tcPr>
          <w:p w14:paraId="5A19A895" w14:textId="77777777" w:rsidR="00104D21" w:rsidRPr="006862B3" w:rsidRDefault="00104D21" w:rsidP="00104D21">
            <w:pPr>
              <w:rPr>
                <w:rFonts w:ascii="Arial" w:hAnsi="Arial" w:cs="Arial"/>
                <w:sz w:val="24"/>
                <w:szCs w:val="24"/>
              </w:rPr>
            </w:pPr>
            <w:r>
              <w:rPr>
                <w:rFonts w:ascii="Arial" w:hAnsi="Arial" w:cs="Arial"/>
                <w:sz w:val="24"/>
                <w:szCs w:val="24"/>
              </w:rPr>
              <w:t>Other</w:t>
            </w:r>
            <w:r w:rsidRPr="00657B3E">
              <w:rPr>
                <w:rFonts w:ascii="Arial" w:hAnsi="Arial" w:cs="Arial"/>
                <w:sz w:val="20"/>
                <w:szCs w:val="20"/>
                <w:vertAlign w:val="superscript"/>
              </w:rPr>
              <w:t>(2)</w:t>
            </w:r>
          </w:p>
        </w:tc>
        <w:tc>
          <w:tcPr>
            <w:tcW w:w="1417" w:type="dxa"/>
            <w:vAlign w:val="bottom"/>
          </w:tcPr>
          <w:p w14:paraId="25653260" w14:textId="77777777" w:rsidR="00104D21" w:rsidRPr="0050210E" w:rsidRDefault="00104D21" w:rsidP="00104D21">
            <w:pPr>
              <w:jc w:val="right"/>
              <w:rPr>
                <w:rFonts w:ascii="Arial" w:hAnsi="Arial" w:cs="Arial"/>
                <w:b/>
                <w:sz w:val="24"/>
                <w:szCs w:val="24"/>
              </w:rPr>
            </w:pPr>
            <w:r>
              <w:rPr>
                <w:rFonts w:ascii="Arial" w:hAnsi="Arial" w:cs="Arial"/>
                <w:b/>
                <w:sz w:val="24"/>
                <w:szCs w:val="24"/>
              </w:rPr>
              <w:t>4</w:t>
            </w:r>
          </w:p>
        </w:tc>
        <w:tc>
          <w:tcPr>
            <w:tcW w:w="1418" w:type="dxa"/>
            <w:vAlign w:val="bottom"/>
          </w:tcPr>
          <w:p w14:paraId="364A42F9"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(1)</w:t>
            </w:r>
          </w:p>
        </w:tc>
      </w:tr>
      <w:tr w:rsidR="00104D21" w:rsidRPr="001D3869" w14:paraId="2482C60D" w14:textId="77777777" w:rsidTr="00104D21">
        <w:trPr>
          <w:trHeight w:val="270"/>
        </w:trPr>
        <w:tc>
          <w:tcPr>
            <w:tcW w:w="6673" w:type="dxa"/>
            <w:gridSpan w:val="2"/>
            <w:tcBorders>
              <w:top w:val="single" w:sz="4" w:space="0" w:color="auto"/>
            </w:tcBorders>
            <w:shd w:val="clear" w:color="auto" w:fill="auto"/>
            <w:vAlign w:val="bottom"/>
          </w:tcPr>
          <w:p w14:paraId="2069FFB7" w14:textId="77777777" w:rsidR="00104D21" w:rsidRPr="009D2302" w:rsidRDefault="00104D21" w:rsidP="00104D21">
            <w:pPr>
              <w:rPr>
                <w:rFonts w:ascii="Arial" w:hAnsi="Arial" w:cs="Arial"/>
                <w:b/>
                <w:sz w:val="24"/>
                <w:szCs w:val="24"/>
              </w:rPr>
            </w:pPr>
            <w:r>
              <w:rPr>
                <w:rFonts w:ascii="Arial" w:hAnsi="Arial" w:cs="Arial"/>
                <w:b/>
                <w:sz w:val="24"/>
                <w:szCs w:val="24"/>
              </w:rPr>
              <w:t>Net c</w:t>
            </w:r>
            <w:r w:rsidRPr="009D2302">
              <w:rPr>
                <w:rFonts w:ascii="Arial" w:hAnsi="Arial" w:cs="Arial"/>
                <w:b/>
                <w:sz w:val="24"/>
                <w:szCs w:val="24"/>
              </w:rPr>
              <w:t>ash flow</w:t>
            </w:r>
          </w:p>
        </w:tc>
        <w:tc>
          <w:tcPr>
            <w:tcW w:w="1417" w:type="dxa"/>
            <w:tcBorders>
              <w:top w:val="single" w:sz="4" w:space="0" w:color="auto"/>
            </w:tcBorders>
          </w:tcPr>
          <w:p w14:paraId="1D83C475"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201</w:t>
            </w:r>
          </w:p>
        </w:tc>
        <w:tc>
          <w:tcPr>
            <w:tcW w:w="1418" w:type="dxa"/>
            <w:tcBorders>
              <w:top w:val="single" w:sz="4" w:space="0" w:color="auto"/>
            </w:tcBorders>
          </w:tcPr>
          <w:p w14:paraId="63148016"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247</w:t>
            </w:r>
          </w:p>
        </w:tc>
      </w:tr>
      <w:tr w:rsidR="00104D21" w:rsidRPr="001D3869" w14:paraId="3F002543" w14:textId="77777777" w:rsidTr="00104D21">
        <w:trPr>
          <w:trHeight w:val="270"/>
        </w:trPr>
        <w:tc>
          <w:tcPr>
            <w:tcW w:w="6673" w:type="dxa"/>
            <w:gridSpan w:val="2"/>
            <w:shd w:val="clear" w:color="auto" w:fill="auto"/>
            <w:vAlign w:val="bottom"/>
          </w:tcPr>
          <w:p w14:paraId="47F4B671" w14:textId="77777777" w:rsidR="00104D21" w:rsidRPr="00EE25F8" w:rsidRDefault="00104D21" w:rsidP="00104D21">
            <w:pPr>
              <w:rPr>
                <w:rFonts w:ascii="Arial" w:hAnsi="Arial" w:cs="Arial"/>
                <w:sz w:val="24"/>
                <w:szCs w:val="24"/>
              </w:rPr>
            </w:pPr>
            <w:r w:rsidRPr="00EE25F8">
              <w:rPr>
                <w:rFonts w:ascii="Arial" w:hAnsi="Arial" w:cs="Arial"/>
                <w:sz w:val="24"/>
                <w:szCs w:val="24"/>
              </w:rPr>
              <w:t xml:space="preserve">Opening </w:t>
            </w:r>
            <w:r w:rsidRPr="00F53F2D">
              <w:rPr>
                <w:rFonts w:ascii="Arial" w:hAnsi="Arial" w:cs="Arial"/>
                <w:sz w:val="24"/>
                <w:szCs w:val="24"/>
              </w:rPr>
              <w:t xml:space="preserve">net </w:t>
            </w:r>
            <w:r>
              <w:rPr>
                <w:rFonts w:ascii="Arial" w:hAnsi="Arial" w:cs="Arial"/>
                <w:sz w:val="24"/>
                <w:szCs w:val="24"/>
              </w:rPr>
              <w:t>cash</w:t>
            </w:r>
          </w:p>
        </w:tc>
        <w:tc>
          <w:tcPr>
            <w:tcW w:w="1417" w:type="dxa"/>
            <w:vAlign w:val="bottom"/>
          </w:tcPr>
          <w:p w14:paraId="1207DF1A"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238</w:t>
            </w:r>
          </w:p>
        </w:tc>
        <w:tc>
          <w:tcPr>
            <w:tcW w:w="1418" w:type="dxa"/>
            <w:vAlign w:val="bottom"/>
          </w:tcPr>
          <w:p w14:paraId="530697F3"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38</w:t>
            </w:r>
          </w:p>
        </w:tc>
      </w:tr>
      <w:tr w:rsidR="00104D21" w:rsidRPr="001D3869" w14:paraId="7E37C472" w14:textId="77777777" w:rsidTr="00104D21">
        <w:trPr>
          <w:trHeight w:val="270"/>
        </w:trPr>
        <w:tc>
          <w:tcPr>
            <w:tcW w:w="6673" w:type="dxa"/>
            <w:gridSpan w:val="2"/>
            <w:shd w:val="clear" w:color="auto" w:fill="auto"/>
            <w:vAlign w:val="bottom"/>
          </w:tcPr>
          <w:p w14:paraId="03A248F8" w14:textId="77777777" w:rsidR="00104D21" w:rsidRDefault="00104D21" w:rsidP="00104D21">
            <w:pPr>
              <w:rPr>
                <w:rFonts w:ascii="Arial" w:hAnsi="Arial" w:cs="Arial"/>
                <w:sz w:val="24"/>
                <w:szCs w:val="24"/>
              </w:rPr>
            </w:pPr>
            <w:r>
              <w:rPr>
                <w:rFonts w:ascii="Arial" w:hAnsi="Arial" w:cs="Arial"/>
                <w:sz w:val="24"/>
                <w:szCs w:val="24"/>
              </w:rPr>
              <w:t>Reclassification of cash in B&amp;Q China to assets held for sale</w:t>
            </w:r>
          </w:p>
        </w:tc>
        <w:tc>
          <w:tcPr>
            <w:tcW w:w="1417" w:type="dxa"/>
            <w:vAlign w:val="bottom"/>
          </w:tcPr>
          <w:p w14:paraId="03D60C78"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(57)</w:t>
            </w:r>
          </w:p>
        </w:tc>
        <w:tc>
          <w:tcPr>
            <w:tcW w:w="1418" w:type="dxa"/>
            <w:vAlign w:val="bottom"/>
          </w:tcPr>
          <w:p w14:paraId="45A8F7D0" w14:textId="77777777" w:rsidR="00104D21" w:rsidRPr="00611B00" w:rsidRDefault="00104D21" w:rsidP="00104D21">
            <w:pPr>
              <w:jc w:val="right"/>
              <w:rPr>
                <w:rFonts w:ascii="Arial" w:hAnsi="Arial" w:cs="Arial"/>
                <w:sz w:val="24"/>
                <w:szCs w:val="24"/>
              </w:rPr>
            </w:pPr>
            <w:r>
              <w:rPr>
                <w:rFonts w:ascii="Arial" w:hAnsi="Arial" w:cs="Arial"/>
                <w:sz w:val="24"/>
                <w:szCs w:val="24"/>
              </w:rPr>
              <w:t>-</w:t>
            </w:r>
          </w:p>
        </w:tc>
      </w:tr>
      <w:tr w:rsidR="00104D21" w:rsidRPr="001D3869" w14:paraId="688F41DC" w14:textId="77777777" w:rsidTr="00104D21">
        <w:trPr>
          <w:trHeight w:val="270"/>
        </w:trPr>
        <w:tc>
          <w:tcPr>
            <w:tcW w:w="6673" w:type="dxa"/>
            <w:gridSpan w:val="2"/>
            <w:tcBorders>
              <w:bottom w:val="single" w:sz="4" w:space="0" w:color="auto"/>
            </w:tcBorders>
            <w:shd w:val="clear" w:color="auto" w:fill="auto"/>
            <w:vAlign w:val="bottom"/>
          </w:tcPr>
          <w:p w14:paraId="3C783A1B" w14:textId="77777777" w:rsidR="00104D21" w:rsidRPr="00EE25F8" w:rsidRDefault="00104D21" w:rsidP="00104D21">
            <w:pPr>
              <w:rPr>
                <w:rFonts w:ascii="Arial" w:hAnsi="Arial" w:cs="Arial"/>
                <w:sz w:val="24"/>
                <w:szCs w:val="24"/>
              </w:rPr>
            </w:pPr>
            <w:r>
              <w:rPr>
                <w:rFonts w:ascii="Arial" w:hAnsi="Arial" w:cs="Arial"/>
                <w:sz w:val="24"/>
                <w:szCs w:val="24"/>
              </w:rPr>
              <w:t>Other movement including foreign exchange</w:t>
            </w:r>
          </w:p>
        </w:tc>
        <w:tc>
          <w:tcPr>
            <w:tcW w:w="1417" w:type="dxa"/>
            <w:tcBorders>
              <w:bottom w:val="single" w:sz="4" w:space="0" w:color="auto"/>
            </w:tcBorders>
            <w:vAlign w:val="bottom"/>
          </w:tcPr>
          <w:p w14:paraId="6B59FED7"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(53)</w:t>
            </w:r>
          </w:p>
        </w:tc>
        <w:tc>
          <w:tcPr>
            <w:tcW w:w="1418" w:type="dxa"/>
            <w:tcBorders>
              <w:bottom w:val="single" w:sz="4" w:space="0" w:color="auto"/>
            </w:tcBorders>
            <w:vAlign w:val="bottom"/>
          </w:tcPr>
          <w:p w14:paraId="7692608F"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(47)</w:t>
            </w:r>
          </w:p>
        </w:tc>
      </w:tr>
      <w:tr w:rsidR="00104D21" w:rsidRPr="001D3869" w14:paraId="6A672539" w14:textId="77777777" w:rsidTr="00104D21">
        <w:trPr>
          <w:trHeight w:val="270"/>
        </w:trPr>
        <w:tc>
          <w:tcPr>
            <w:tcW w:w="6673" w:type="dxa"/>
            <w:gridSpan w:val="2"/>
            <w:tcBorders>
              <w:top w:val="single" w:sz="4" w:space="0" w:color="auto"/>
              <w:bottom w:val="single" w:sz="4" w:space="0" w:color="auto"/>
            </w:tcBorders>
            <w:shd w:val="clear" w:color="auto" w:fill="auto"/>
            <w:vAlign w:val="bottom"/>
          </w:tcPr>
          <w:p w14:paraId="5ADE951F" w14:textId="77777777" w:rsidR="00104D21" w:rsidRPr="009D2302" w:rsidRDefault="00104D21" w:rsidP="00104D21">
            <w:pPr>
              <w:rPr>
                <w:rFonts w:ascii="Arial" w:hAnsi="Arial" w:cs="Arial"/>
                <w:b/>
                <w:sz w:val="24"/>
                <w:szCs w:val="24"/>
              </w:rPr>
            </w:pPr>
            <w:r>
              <w:rPr>
                <w:rFonts w:ascii="Arial" w:hAnsi="Arial" w:cs="Arial"/>
                <w:b/>
                <w:sz w:val="24"/>
                <w:szCs w:val="24"/>
              </w:rPr>
              <w:t>Closing net cash</w:t>
            </w:r>
          </w:p>
        </w:tc>
        <w:tc>
          <w:tcPr>
            <w:tcW w:w="1417" w:type="dxa"/>
            <w:tcBorders>
              <w:top w:val="single" w:sz="4" w:space="0" w:color="auto"/>
              <w:bottom w:val="single" w:sz="4" w:space="0" w:color="auto"/>
            </w:tcBorders>
            <w:vAlign w:val="bottom"/>
          </w:tcPr>
          <w:p w14:paraId="280BBE4C"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329</w:t>
            </w:r>
          </w:p>
        </w:tc>
        <w:tc>
          <w:tcPr>
            <w:tcW w:w="1418" w:type="dxa"/>
            <w:tcBorders>
              <w:top w:val="single" w:sz="4" w:space="0" w:color="auto"/>
              <w:bottom w:val="single" w:sz="4" w:space="0" w:color="auto"/>
            </w:tcBorders>
            <w:vAlign w:val="bottom"/>
          </w:tcPr>
          <w:p w14:paraId="659042FF" w14:textId="77777777" w:rsidR="00104D21" w:rsidRPr="00611B00" w:rsidRDefault="00104D21" w:rsidP="00104D21">
            <w:pPr>
              <w:jc w:val="right"/>
              <w:rPr>
                <w:rFonts w:ascii="Arial" w:hAnsi="Arial" w:cs="Arial"/>
                <w:sz w:val="24"/>
                <w:szCs w:val="24"/>
              </w:rPr>
            </w:pPr>
            <w:r w:rsidRPr="00611B00">
              <w:rPr>
                <w:rFonts w:ascii="Arial" w:hAnsi="Arial" w:cs="Arial"/>
                <w:sz w:val="24"/>
                <w:szCs w:val="24"/>
              </w:rPr>
              <w:t>238</w:t>
            </w:r>
          </w:p>
        </w:tc>
      </w:tr>
    </w:tbl>
    <w:p w14:paraId="5D576911" w14:textId="70885DA3" w:rsidR="003B2552" w:rsidRDefault="003B2552" w:rsidP="00104D21">
      <w:pPr>
        <w:jc w:val="left"/>
        <w:rPr>
          <w:rFonts w:ascii="Arial" w:hAnsi="Arial" w:cs="Arial"/>
          <w:sz w:val="18"/>
          <w:szCs w:val="18"/>
        </w:rPr>
      </w:pPr>
      <w:r w:rsidRPr="00657B3E">
        <w:rPr>
          <w:rFonts w:ascii="Arial" w:hAnsi="Arial" w:cs="Arial"/>
          <w:sz w:val="18"/>
          <w:szCs w:val="18"/>
          <w:vertAlign w:val="superscript"/>
        </w:rPr>
        <w:t>(1)</w:t>
      </w:r>
      <w:r>
        <w:rPr>
          <w:rFonts w:ascii="Arial" w:hAnsi="Arial" w:cs="Arial"/>
          <w:sz w:val="18"/>
          <w:szCs w:val="18"/>
        </w:rPr>
        <w:t xml:space="preserve"> </w:t>
      </w:r>
      <w:r w:rsidRPr="003B2552">
        <w:rPr>
          <w:rFonts w:ascii="Arial" w:hAnsi="Arial" w:cs="Arial"/>
          <w:sz w:val="18"/>
          <w:szCs w:val="18"/>
        </w:rPr>
        <w:t>Other non-cash items includes depreciation and amortisation, impairment losses, share-based compensation charge, share of post-tax results of JVs and associates, pension operating cost and profit/loss on non-property disposals.</w:t>
      </w:r>
    </w:p>
    <w:p w14:paraId="1F96EF8C" w14:textId="77777777" w:rsidR="003B2552" w:rsidRPr="00EF7628" w:rsidRDefault="003B2552" w:rsidP="003B2552">
      <w:pPr>
        <w:ind w:right="-368"/>
        <w:rPr>
          <w:rFonts w:ascii="Arial" w:hAnsi="Arial" w:cs="Arial"/>
          <w:sz w:val="18"/>
          <w:szCs w:val="18"/>
        </w:rPr>
      </w:pPr>
      <w:r w:rsidRPr="00657B3E">
        <w:rPr>
          <w:rFonts w:ascii="Arial" w:hAnsi="Arial" w:cs="Arial"/>
          <w:sz w:val="18"/>
          <w:szCs w:val="18"/>
          <w:vertAlign w:val="superscript"/>
        </w:rPr>
        <w:t>(2)</w:t>
      </w:r>
      <w:r>
        <w:rPr>
          <w:rFonts w:ascii="Arial" w:hAnsi="Arial" w:cs="Arial"/>
          <w:sz w:val="18"/>
          <w:szCs w:val="18"/>
        </w:rPr>
        <w:t xml:space="preserve"> </w:t>
      </w:r>
      <w:r w:rsidRPr="00EF7628">
        <w:rPr>
          <w:rFonts w:ascii="Arial" w:hAnsi="Arial" w:cs="Arial"/>
          <w:sz w:val="18"/>
          <w:szCs w:val="18"/>
        </w:rPr>
        <w:t xml:space="preserve">Includes dividends received from JVs and associates, issue of shares and exceptional items (excluding property disposals). </w:t>
      </w:r>
    </w:p>
    <w:p w14:paraId="5AD5B27F" w14:textId="77777777" w:rsidR="003B2552" w:rsidRPr="003B2552" w:rsidRDefault="003B2552" w:rsidP="00104D21">
      <w:pPr>
        <w:jc w:val="left"/>
        <w:rPr>
          <w:rFonts w:ascii="Arial" w:hAnsi="Arial" w:cs="Arial"/>
          <w:sz w:val="24"/>
          <w:szCs w:val="24"/>
        </w:rPr>
      </w:pPr>
    </w:p>
    <w:p w14:paraId="19FC6D6C" w14:textId="025F22A6" w:rsidR="00104D21" w:rsidRPr="00C82F88" w:rsidRDefault="00104D21" w:rsidP="00104D21">
      <w:pPr>
        <w:jc w:val="left"/>
        <w:rPr>
          <w:rFonts w:ascii="Arial" w:hAnsi="Arial" w:cs="Arial"/>
          <w:sz w:val="24"/>
          <w:szCs w:val="24"/>
        </w:rPr>
      </w:pPr>
      <w:r w:rsidRPr="0050210E">
        <w:rPr>
          <w:rFonts w:ascii="Arial" w:hAnsi="Arial" w:cs="Arial"/>
          <w:b/>
          <w:sz w:val="24"/>
          <w:szCs w:val="24"/>
        </w:rPr>
        <w:t>Net cash</w:t>
      </w:r>
      <w:r w:rsidRPr="00C82F88">
        <w:rPr>
          <w:rFonts w:ascii="Arial" w:hAnsi="Arial" w:cs="Arial" w:hint="eastAsia"/>
          <w:sz w:val="24"/>
          <w:szCs w:val="24"/>
        </w:rPr>
        <w:t xml:space="preserve"> at the end of the year </w:t>
      </w:r>
      <w:r w:rsidRPr="00A03014">
        <w:rPr>
          <w:rFonts w:ascii="Arial" w:hAnsi="Arial" w:cs="Arial"/>
          <w:sz w:val="24"/>
          <w:szCs w:val="24"/>
        </w:rPr>
        <w:t xml:space="preserve">was </w:t>
      </w:r>
      <w:r w:rsidRPr="0050210E">
        <w:rPr>
          <w:rFonts w:ascii="Arial" w:hAnsi="Arial" w:cs="Arial"/>
          <w:sz w:val="24"/>
          <w:szCs w:val="24"/>
        </w:rPr>
        <w:t>£</w:t>
      </w:r>
      <w:r w:rsidRPr="00A03014">
        <w:rPr>
          <w:rFonts w:ascii="Arial" w:hAnsi="Arial" w:cs="Arial"/>
          <w:sz w:val="24"/>
          <w:szCs w:val="24"/>
        </w:rPr>
        <w:t>329</w:t>
      </w:r>
      <w:r w:rsidRPr="00535126">
        <w:rPr>
          <w:rFonts w:ascii="Arial" w:hAnsi="Arial" w:cs="Arial" w:hint="eastAsia"/>
          <w:sz w:val="24"/>
          <w:szCs w:val="24"/>
        </w:rPr>
        <w:t xml:space="preserve"> million</w:t>
      </w:r>
      <w:r w:rsidRPr="00C82F88">
        <w:rPr>
          <w:rFonts w:ascii="Arial" w:hAnsi="Arial" w:cs="Arial" w:hint="eastAsia"/>
          <w:sz w:val="24"/>
          <w:szCs w:val="24"/>
        </w:rPr>
        <w:t xml:space="preserve"> (201</w:t>
      </w:r>
      <w:r>
        <w:rPr>
          <w:rFonts w:ascii="Arial" w:hAnsi="Arial" w:cs="Arial"/>
          <w:sz w:val="24"/>
          <w:szCs w:val="24"/>
        </w:rPr>
        <w:t>3</w:t>
      </w:r>
      <w:r w:rsidRPr="00C82F88">
        <w:rPr>
          <w:rFonts w:ascii="Arial" w:hAnsi="Arial" w:cs="Arial" w:hint="eastAsia"/>
          <w:sz w:val="24"/>
          <w:szCs w:val="24"/>
        </w:rPr>
        <w:t>/1</w:t>
      </w:r>
      <w:r>
        <w:rPr>
          <w:rFonts w:ascii="Arial" w:hAnsi="Arial" w:cs="Arial"/>
          <w:sz w:val="24"/>
          <w:szCs w:val="24"/>
        </w:rPr>
        <w:t>4</w:t>
      </w:r>
      <w:r w:rsidRPr="00C82F88">
        <w:rPr>
          <w:rFonts w:ascii="Arial" w:hAnsi="Arial" w:cs="Arial" w:hint="eastAsia"/>
          <w:sz w:val="24"/>
          <w:szCs w:val="24"/>
        </w:rPr>
        <w:t xml:space="preserve">: </w:t>
      </w:r>
      <w:r w:rsidRPr="00C82F88">
        <w:rPr>
          <w:rFonts w:ascii="Arial" w:hAnsi="Arial" w:cs="Arial"/>
          <w:sz w:val="24"/>
          <w:szCs w:val="24"/>
        </w:rPr>
        <w:t>£</w:t>
      </w:r>
      <w:r>
        <w:rPr>
          <w:rFonts w:ascii="Arial" w:hAnsi="Arial" w:cs="Arial"/>
          <w:sz w:val="24"/>
          <w:szCs w:val="24"/>
        </w:rPr>
        <w:t>23</w:t>
      </w:r>
      <w:r w:rsidRPr="00C82F88">
        <w:rPr>
          <w:rFonts w:ascii="Arial" w:hAnsi="Arial" w:cs="Arial" w:hint="eastAsia"/>
          <w:sz w:val="24"/>
          <w:szCs w:val="24"/>
        </w:rPr>
        <w:t xml:space="preserve">8 million net </w:t>
      </w:r>
      <w:r>
        <w:rPr>
          <w:rFonts w:ascii="Arial" w:hAnsi="Arial" w:cs="Arial"/>
          <w:sz w:val="24"/>
          <w:szCs w:val="24"/>
        </w:rPr>
        <w:t>cash</w:t>
      </w:r>
      <w:r w:rsidRPr="00C82F88">
        <w:rPr>
          <w:rFonts w:ascii="Arial" w:hAnsi="Arial" w:cs="Arial" w:hint="eastAsia"/>
          <w:sz w:val="24"/>
          <w:szCs w:val="24"/>
        </w:rPr>
        <w:t>)</w:t>
      </w:r>
      <w:r>
        <w:rPr>
          <w:rFonts w:ascii="Arial" w:hAnsi="Arial" w:cs="Arial"/>
          <w:sz w:val="24"/>
          <w:szCs w:val="24"/>
        </w:rPr>
        <w:t>, excluding cash held in B&amp;Q China</w:t>
      </w:r>
      <w:r w:rsidRPr="00C82F88">
        <w:rPr>
          <w:rFonts w:ascii="Arial" w:hAnsi="Arial" w:cs="Arial" w:hint="eastAsia"/>
          <w:sz w:val="24"/>
          <w:szCs w:val="24"/>
        </w:rPr>
        <w:t>.</w:t>
      </w:r>
    </w:p>
    <w:p w14:paraId="03FE8F32" w14:textId="77777777" w:rsidR="00104D21" w:rsidRPr="00C82F88" w:rsidRDefault="00104D21" w:rsidP="00104D21">
      <w:pPr>
        <w:jc w:val="left"/>
        <w:rPr>
          <w:rFonts w:ascii="Arial" w:hAnsi="Arial" w:cs="Arial"/>
          <w:sz w:val="24"/>
          <w:szCs w:val="24"/>
        </w:rPr>
      </w:pPr>
    </w:p>
    <w:p w14:paraId="134F4AE1" w14:textId="4EFB407B" w:rsidR="00104D21" w:rsidRPr="00757ADA" w:rsidRDefault="00104D21" w:rsidP="00104D21">
      <w:pPr>
        <w:jc w:val="left"/>
        <w:rPr>
          <w:rFonts w:ascii="Arial" w:hAnsi="Arial" w:cs="Arial"/>
          <w:sz w:val="24"/>
          <w:szCs w:val="24"/>
          <w:highlight w:val="yellow"/>
        </w:rPr>
      </w:pPr>
      <w:r w:rsidRPr="0050210E">
        <w:rPr>
          <w:rFonts w:ascii="Arial" w:hAnsi="Arial" w:cs="Arial"/>
          <w:b/>
          <w:sz w:val="24"/>
          <w:szCs w:val="24"/>
        </w:rPr>
        <w:t>Free cash flow</w:t>
      </w:r>
      <w:r w:rsidRPr="0050210E">
        <w:rPr>
          <w:rFonts w:ascii="Arial" w:hAnsi="Arial" w:cs="Arial"/>
          <w:sz w:val="24"/>
          <w:szCs w:val="24"/>
        </w:rPr>
        <w:t xml:space="preserve"> of £</w:t>
      </w:r>
      <w:r>
        <w:rPr>
          <w:rFonts w:ascii="Arial" w:hAnsi="Arial" w:cs="Arial"/>
          <w:sz w:val="24"/>
          <w:szCs w:val="24"/>
        </w:rPr>
        <w:t>450</w:t>
      </w:r>
      <w:r w:rsidRPr="0050210E">
        <w:rPr>
          <w:rFonts w:ascii="Arial" w:hAnsi="Arial" w:cs="Arial"/>
          <w:sz w:val="24"/>
          <w:szCs w:val="24"/>
        </w:rPr>
        <w:t xml:space="preserve"> million was generated in the year, a decrease of £</w:t>
      </w:r>
      <w:r>
        <w:rPr>
          <w:rFonts w:ascii="Arial" w:hAnsi="Arial" w:cs="Arial"/>
          <w:sz w:val="24"/>
          <w:szCs w:val="24"/>
        </w:rPr>
        <w:t>109</w:t>
      </w:r>
      <w:r w:rsidRPr="0050210E">
        <w:rPr>
          <w:rFonts w:ascii="Arial" w:hAnsi="Arial" w:cs="Arial"/>
          <w:sz w:val="24"/>
          <w:szCs w:val="24"/>
        </w:rPr>
        <w:t xml:space="preserve"> million against the prior year</w:t>
      </w:r>
      <w:r w:rsidR="007D3DB2">
        <w:rPr>
          <w:rFonts w:ascii="Arial" w:hAnsi="Arial" w:cs="Arial"/>
          <w:sz w:val="24"/>
          <w:szCs w:val="24"/>
        </w:rPr>
        <w:t>,</w:t>
      </w:r>
      <w:r w:rsidRPr="0050210E">
        <w:rPr>
          <w:rFonts w:ascii="Arial" w:hAnsi="Arial" w:cs="Arial"/>
          <w:sz w:val="24"/>
          <w:szCs w:val="24"/>
        </w:rPr>
        <w:t xml:space="preserve"> due primarily to lower profits and an increase in working capital</w:t>
      </w:r>
      <w:r>
        <w:rPr>
          <w:rFonts w:ascii="Arial" w:hAnsi="Arial" w:cs="Arial"/>
          <w:sz w:val="24"/>
          <w:szCs w:val="24"/>
        </w:rPr>
        <w:t xml:space="preserve"> </w:t>
      </w:r>
      <w:r>
        <w:rPr>
          <w:rFonts w:ascii="Arial" w:hAnsi="Arial" w:cs="Arial"/>
          <w:sz w:val="24"/>
          <w:szCs w:val="24"/>
        </w:rPr>
        <w:lastRenderedPageBreak/>
        <w:t>requirements</w:t>
      </w:r>
      <w:r w:rsidRPr="0050210E">
        <w:rPr>
          <w:rFonts w:ascii="Arial" w:hAnsi="Arial" w:cs="Arial"/>
          <w:sz w:val="24"/>
          <w:szCs w:val="24"/>
        </w:rPr>
        <w:t xml:space="preserve">, partially offset by lower capital expenditure and higher receipts from the disposal of assets. </w:t>
      </w:r>
      <w:r>
        <w:rPr>
          <w:rFonts w:ascii="Arial" w:hAnsi="Arial" w:cs="Arial"/>
          <w:sz w:val="24"/>
          <w:szCs w:val="24"/>
        </w:rPr>
        <w:t>The year on year movement in w</w:t>
      </w:r>
      <w:r w:rsidRPr="00921E26">
        <w:rPr>
          <w:rFonts w:ascii="Arial" w:hAnsi="Arial" w:cs="Arial"/>
          <w:sz w:val="24"/>
          <w:szCs w:val="24"/>
        </w:rPr>
        <w:t>orking capital</w:t>
      </w:r>
      <w:r>
        <w:rPr>
          <w:rFonts w:ascii="Arial" w:hAnsi="Arial" w:cs="Arial"/>
          <w:sz w:val="24"/>
          <w:szCs w:val="24"/>
        </w:rPr>
        <w:t xml:space="preserve"> </w:t>
      </w:r>
      <w:r w:rsidR="00F5473B">
        <w:rPr>
          <w:rFonts w:ascii="Arial" w:hAnsi="Arial" w:cs="Arial"/>
          <w:sz w:val="24"/>
          <w:szCs w:val="24"/>
        </w:rPr>
        <w:t xml:space="preserve">was </w:t>
      </w:r>
      <w:r>
        <w:rPr>
          <w:rFonts w:ascii="Arial" w:hAnsi="Arial" w:cs="Arial"/>
          <w:sz w:val="24"/>
          <w:szCs w:val="24"/>
        </w:rPr>
        <w:t>primarily driven by a lower level of customer deposits for kitchen and bathroom sales at B&amp;Q. This reflects B&amp;Q’s move to a new ‘Every Day G</w:t>
      </w:r>
      <w:r w:rsidR="00F16255">
        <w:rPr>
          <w:rFonts w:ascii="Arial" w:hAnsi="Arial" w:cs="Arial"/>
          <w:sz w:val="24"/>
          <w:szCs w:val="24"/>
        </w:rPr>
        <w:t>reat</w:t>
      </w:r>
      <w:r>
        <w:rPr>
          <w:rFonts w:ascii="Arial" w:hAnsi="Arial" w:cs="Arial"/>
          <w:sz w:val="24"/>
          <w:szCs w:val="24"/>
        </w:rPr>
        <w:t xml:space="preserve"> Value’ offer during 2014/15 with attractive prices all year </w:t>
      </w:r>
      <w:r w:rsidR="007D3DB2">
        <w:rPr>
          <w:rFonts w:ascii="Arial" w:hAnsi="Arial" w:cs="Arial"/>
          <w:sz w:val="24"/>
          <w:szCs w:val="24"/>
        </w:rPr>
        <w:t>round</w:t>
      </w:r>
      <w:r>
        <w:rPr>
          <w:rFonts w:ascii="Arial" w:hAnsi="Arial" w:cs="Arial"/>
          <w:sz w:val="24"/>
          <w:szCs w:val="24"/>
        </w:rPr>
        <w:t xml:space="preserve">. As a result, unlike last year, customer deposits were less concentrated into the UK’s traditional January sale period, impacting the year end position.      </w:t>
      </w:r>
    </w:p>
    <w:p w14:paraId="63F84439" w14:textId="77777777" w:rsidR="00104D21" w:rsidRPr="0050210E" w:rsidRDefault="00104D21" w:rsidP="00104D21">
      <w:pPr>
        <w:jc w:val="left"/>
        <w:rPr>
          <w:rFonts w:ascii="Arial" w:hAnsi="Arial" w:cs="Arial"/>
          <w:sz w:val="24"/>
          <w:szCs w:val="24"/>
        </w:rPr>
      </w:pPr>
    </w:p>
    <w:p w14:paraId="465E182C" w14:textId="6D2260B5" w:rsidR="00104D21" w:rsidRPr="0050210E" w:rsidRDefault="00F5473B" w:rsidP="00104D21">
      <w:pPr>
        <w:jc w:val="left"/>
        <w:rPr>
          <w:rFonts w:ascii="Arial" w:hAnsi="Arial" w:cs="Arial"/>
          <w:sz w:val="24"/>
          <w:szCs w:val="24"/>
        </w:rPr>
      </w:pPr>
      <w:r>
        <w:rPr>
          <w:rFonts w:ascii="Arial" w:hAnsi="Arial" w:cs="Arial"/>
          <w:sz w:val="24"/>
          <w:szCs w:val="24"/>
        </w:rPr>
        <w:t xml:space="preserve">Of the £450 million of free cash flow £434 million was returned to shareholders in the form of the </w:t>
      </w:r>
      <w:r w:rsidR="005F1B34">
        <w:rPr>
          <w:rFonts w:ascii="Arial" w:hAnsi="Arial" w:cs="Arial"/>
          <w:sz w:val="24"/>
          <w:szCs w:val="24"/>
        </w:rPr>
        <w:t>ordinary</w:t>
      </w:r>
      <w:r>
        <w:rPr>
          <w:rFonts w:ascii="Arial" w:hAnsi="Arial" w:cs="Arial"/>
          <w:sz w:val="24"/>
          <w:szCs w:val="24"/>
        </w:rPr>
        <w:t xml:space="preserve"> dividend, an additional </w:t>
      </w:r>
      <w:r w:rsidR="00104D21" w:rsidRPr="0050210E">
        <w:rPr>
          <w:rFonts w:ascii="Arial" w:hAnsi="Arial" w:cs="Arial"/>
          <w:sz w:val="24"/>
          <w:szCs w:val="24"/>
        </w:rPr>
        <w:t xml:space="preserve">special dividend and share buybacks. </w:t>
      </w:r>
      <w:r>
        <w:rPr>
          <w:rFonts w:ascii="Arial" w:hAnsi="Arial" w:cs="Arial"/>
          <w:sz w:val="24"/>
          <w:szCs w:val="24"/>
        </w:rPr>
        <w:t xml:space="preserve">A further £17 million was used to buy shares to cover future share awards for employee incentive schemes. </w:t>
      </w:r>
      <w:r w:rsidR="00104D21" w:rsidRPr="0050210E">
        <w:rPr>
          <w:rFonts w:ascii="Arial" w:hAnsi="Arial" w:cs="Arial"/>
          <w:sz w:val="24"/>
          <w:szCs w:val="24"/>
        </w:rPr>
        <w:t>The proceeds from the disposal of the Group’s shareholding in Hornbach AG have partially offset these additional outflows.</w:t>
      </w:r>
    </w:p>
    <w:p w14:paraId="22D2252E" w14:textId="77777777" w:rsidR="00104D21" w:rsidRPr="00A64D40" w:rsidRDefault="00104D21" w:rsidP="00104D21">
      <w:pPr>
        <w:jc w:val="left"/>
        <w:rPr>
          <w:rFonts w:ascii="Arial" w:hAnsi="Arial" w:cs="Arial"/>
          <w:sz w:val="24"/>
          <w:szCs w:val="24"/>
        </w:rPr>
      </w:pPr>
    </w:p>
    <w:p w14:paraId="72E91D57" w14:textId="77777777" w:rsidR="00104D21" w:rsidRPr="00C82F88" w:rsidRDefault="00104D21" w:rsidP="00104D21">
      <w:pPr>
        <w:jc w:val="left"/>
        <w:rPr>
          <w:rFonts w:ascii="Arial" w:hAnsi="Arial" w:cs="Arial"/>
          <w:b/>
          <w:sz w:val="24"/>
          <w:szCs w:val="24"/>
        </w:rPr>
      </w:pPr>
      <w:r w:rsidRPr="00C82F88">
        <w:rPr>
          <w:rFonts w:ascii="Arial" w:hAnsi="Arial" w:cs="Arial"/>
          <w:b/>
          <w:sz w:val="24"/>
          <w:szCs w:val="24"/>
        </w:rPr>
        <w:t>Capital expenditure</w:t>
      </w:r>
    </w:p>
    <w:p w14:paraId="74178551" w14:textId="77777777" w:rsidR="00104D21" w:rsidRDefault="00104D21" w:rsidP="00104D21">
      <w:pPr>
        <w:jc w:val="left"/>
        <w:rPr>
          <w:rFonts w:ascii="Arial" w:hAnsi="Arial" w:cs="Arial"/>
          <w:b/>
          <w:sz w:val="24"/>
          <w:szCs w:val="24"/>
        </w:rPr>
      </w:pPr>
    </w:p>
    <w:p w14:paraId="4562783A" w14:textId="48DA4CDE" w:rsidR="00104D21" w:rsidRDefault="00104D21" w:rsidP="00104D21">
      <w:pPr>
        <w:jc w:val="left"/>
        <w:rPr>
          <w:rFonts w:ascii="Arial" w:hAnsi="Arial" w:cs="Arial"/>
          <w:sz w:val="24"/>
          <w:szCs w:val="24"/>
        </w:rPr>
      </w:pPr>
      <w:r w:rsidRPr="000F321F">
        <w:rPr>
          <w:rFonts w:ascii="Arial" w:hAnsi="Arial" w:cs="Arial" w:hint="eastAsia"/>
          <w:sz w:val="24"/>
          <w:szCs w:val="24"/>
        </w:rPr>
        <w:t xml:space="preserve">Gross capital expenditure for the year was </w:t>
      </w:r>
      <w:r w:rsidRPr="000F321F">
        <w:rPr>
          <w:rFonts w:ascii="Arial" w:hAnsi="Arial" w:cs="Arial"/>
          <w:sz w:val="24"/>
          <w:szCs w:val="24"/>
        </w:rPr>
        <w:t>£</w:t>
      </w:r>
      <w:r>
        <w:rPr>
          <w:rFonts w:ascii="Arial" w:hAnsi="Arial" w:cs="Arial"/>
          <w:sz w:val="24"/>
          <w:szCs w:val="24"/>
        </w:rPr>
        <w:t>275</w:t>
      </w:r>
      <w:r w:rsidRPr="000F321F">
        <w:rPr>
          <w:rFonts w:ascii="Arial" w:hAnsi="Arial" w:cs="Arial" w:hint="eastAsia"/>
          <w:sz w:val="24"/>
          <w:szCs w:val="24"/>
        </w:rPr>
        <w:t xml:space="preserve"> million (201</w:t>
      </w:r>
      <w:r>
        <w:rPr>
          <w:rFonts w:ascii="Arial" w:hAnsi="Arial" w:cs="Arial"/>
          <w:sz w:val="24"/>
          <w:szCs w:val="24"/>
        </w:rPr>
        <w:t>3</w:t>
      </w:r>
      <w:r w:rsidRPr="000F321F">
        <w:rPr>
          <w:rFonts w:ascii="Arial" w:hAnsi="Arial" w:cs="Arial" w:hint="eastAsia"/>
          <w:sz w:val="24"/>
          <w:szCs w:val="24"/>
        </w:rPr>
        <w:t>/1</w:t>
      </w:r>
      <w:r>
        <w:rPr>
          <w:rFonts w:ascii="Arial" w:hAnsi="Arial" w:cs="Arial"/>
          <w:sz w:val="24"/>
          <w:szCs w:val="24"/>
        </w:rPr>
        <w:t>4</w:t>
      </w:r>
      <w:r w:rsidRPr="000F321F">
        <w:rPr>
          <w:rFonts w:ascii="Arial" w:hAnsi="Arial" w:cs="Arial" w:hint="eastAsia"/>
          <w:sz w:val="24"/>
          <w:szCs w:val="24"/>
        </w:rPr>
        <w:t xml:space="preserve">: </w:t>
      </w:r>
      <w:r w:rsidRPr="000F321F">
        <w:rPr>
          <w:rFonts w:ascii="Arial" w:hAnsi="Arial" w:cs="Arial"/>
          <w:sz w:val="24"/>
          <w:szCs w:val="24"/>
        </w:rPr>
        <w:t>£3</w:t>
      </w:r>
      <w:r>
        <w:rPr>
          <w:rFonts w:ascii="Arial" w:hAnsi="Arial" w:cs="Arial"/>
          <w:sz w:val="24"/>
          <w:szCs w:val="24"/>
        </w:rPr>
        <w:t>04</w:t>
      </w:r>
      <w:r w:rsidRPr="000F321F">
        <w:rPr>
          <w:rFonts w:ascii="Arial" w:hAnsi="Arial" w:cs="Arial" w:hint="eastAsia"/>
          <w:sz w:val="24"/>
          <w:szCs w:val="24"/>
        </w:rPr>
        <w:t xml:space="preserve"> million)</w:t>
      </w:r>
      <w:r>
        <w:rPr>
          <w:rFonts w:ascii="Arial" w:hAnsi="Arial" w:cs="Arial"/>
          <w:sz w:val="24"/>
          <w:szCs w:val="24"/>
        </w:rPr>
        <w:t xml:space="preserve">.  </w:t>
      </w:r>
      <w:r w:rsidR="00076530">
        <w:rPr>
          <w:rFonts w:ascii="Arial" w:hAnsi="Arial" w:cs="Arial"/>
          <w:sz w:val="24"/>
          <w:szCs w:val="24"/>
        </w:rPr>
        <w:t xml:space="preserve">Of this around </w:t>
      </w:r>
      <w:r w:rsidR="007B5134">
        <w:rPr>
          <w:rFonts w:ascii="Arial" w:hAnsi="Arial" w:cs="Arial"/>
          <w:sz w:val="24"/>
          <w:szCs w:val="24"/>
        </w:rPr>
        <w:t>30</w:t>
      </w:r>
      <w:r w:rsidR="00076530">
        <w:rPr>
          <w:rFonts w:ascii="Arial" w:hAnsi="Arial" w:cs="Arial"/>
          <w:sz w:val="24"/>
          <w:szCs w:val="24"/>
        </w:rPr>
        <w:t xml:space="preserve">% was invested in new stores and relocations, </w:t>
      </w:r>
      <w:r w:rsidR="007B5134">
        <w:rPr>
          <w:rFonts w:ascii="Arial" w:hAnsi="Arial" w:cs="Arial"/>
          <w:sz w:val="24"/>
          <w:szCs w:val="24"/>
        </w:rPr>
        <w:t>30</w:t>
      </w:r>
      <w:r w:rsidR="00076530">
        <w:rPr>
          <w:rFonts w:ascii="Arial" w:hAnsi="Arial" w:cs="Arial"/>
          <w:sz w:val="24"/>
          <w:szCs w:val="24"/>
        </w:rPr>
        <w:t xml:space="preserve">% on refreshing existing stores and </w:t>
      </w:r>
      <w:r w:rsidR="007B5134">
        <w:rPr>
          <w:rFonts w:ascii="Arial" w:hAnsi="Arial" w:cs="Arial"/>
          <w:sz w:val="24"/>
          <w:szCs w:val="24"/>
        </w:rPr>
        <w:t>40</w:t>
      </w:r>
      <w:r w:rsidR="00076530">
        <w:rPr>
          <w:rFonts w:ascii="Arial" w:hAnsi="Arial" w:cs="Arial"/>
          <w:sz w:val="24"/>
          <w:szCs w:val="24"/>
        </w:rPr>
        <w:t xml:space="preserve">% on IT, supply chain and omnichannel development. </w:t>
      </w:r>
      <w:r>
        <w:rPr>
          <w:rFonts w:ascii="Arial" w:hAnsi="Arial" w:cs="Arial"/>
          <w:sz w:val="24"/>
          <w:szCs w:val="24"/>
        </w:rPr>
        <w:t xml:space="preserve"> </w:t>
      </w:r>
      <w:r w:rsidRPr="000F321F">
        <w:rPr>
          <w:rFonts w:ascii="Arial" w:hAnsi="Arial" w:cs="Arial" w:hint="eastAsia"/>
          <w:sz w:val="24"/>
          <w:szCs w:val="24"/>
        </w:rPr>
        <w:t xml:space="preserve">A total of </w:t>
      </w:r>
      <w:r>
        <w:rPr>
          <w:rFonts w:ascii="Arial" w:hAnsi="Arial" w:cs="Arial"/>
          <w:sz w:val="24"/>
          <w:szCs w:val="24"/>
        </w:rPr>
        <w:t>£50</w:t>
      </w:r>
      <w:r w:rsidRPr="000F321F">
        <w:rPr>
          <w:rFonts w:ascii="Arial" w:hAnsi="Arial" w:cs="Arial" w:hint="eastAsia"/>
          <w:sz w:val="24"/>
          <w:szCs w:val="24"/>
        </w:rPr>
        <w:t xml:space="preserve"> million of proceeds from disposals were received</w:t>
      </w:r>
      <w:r w:rsidRPr="00C82F88">
        <w:rPr>
          <w:rFonts w:ascii="Arial" w:hAnsi="Arial" w:cs="Arial" w:hint="eastAsia"/>
          <w:sz w:val="24"/>
          <w:szCs w:val="24"/>
        </w:rPr>
        <w:t xml:space="preserve"> during the year (201</w:t>
      </w:r>
      <w:r>
        <w:rPr>
          <w:rFonts w:ascii="Arial" w:hAnsi="Arial" w:cs="Arial"/>
          <w:sz w:val="24"/>
          <w:szCs w:val="24"/>
        </w:rPr>
        <w:t>3</w:t>
      </w:r>
      <w:r w:rsidRPr="00C82F88">
        <w:rPr>
          <w:rFonts w:ascii="Arial" w:hAnsi="Arial" w:cs="Arial" w:hint="eastAsia"/>
          <w:sz w:val="24"/>
          <w:szCs w:val="24"/>
        </w:rPr>
        <w:t>/1</w:t>
      </w:r>
      <w:r>
        <w:rPr>
          <w:rFonts w:ascii="Arial" w:hAnsi="Arial" w:cs="Arial"/>
          <w:sz w:val="24"/>
          <w:szCs w:val="24"/>
        </w:rPr>
        <w:t>4</w:t>
      </w:r>
      <w:r w:rsidRPr="00C82F88">
        <w:rPr>
          <w:rFonts w:ascii="Arial" w:hAnsi="Arial" w:cs="Arial" w:hint="eastAsia"/>
          <w:sz w:val="24"/>
          <w:szCs w:val="24"/>
        </w:rPr>
        <w:t xml:space="preserve">: </w:t>
      </w:r>
      <w:r w:rsidRPr="00C82F88">
        <w:rPr>
          <w:rFonts w:ascii="Arial" w:hAnsi="Arial" w:cs="Arial"/>
          <w:sz w:val="24"/>
          <w:szCs w:val="24"/>
        </w:rPr>
        <w:t>£</w:t>
      </w:r>
      <w:r>
        <w:rPr>
          <w:rFonts w:ascii="Arial" w:hAnsi="Arial" w:cs="Arial"/>
          <w:sz w:val="24"/>
          <w:szCs w:val="24"/>
        </w:rPr>
        <w:t>12</w:t>
      </w:r>
      <w:r w:rsidRPr="00C82F88">
        <w:rPr>
          <w:rFonts w:ascii="Arial" w:hAnsi="Arial" w:cs="Arial" w:hint="eastAsia"/>
          <w:sz w:val="24"/>
          <w:szCs w:val="24"/>
        </w:rPr>
        <w:t xml:space="preserve"> million).</w:t>
      </w:r>
    </w:p>
    <w:p w14:paraId="6DAB1006" w14:textId="77777777" w:rsidR="00104D21" w:rsidRPr="00C82F88" w:rsidRDefault="00104D21" w:rsidP="00104D21">
      <w:pPr>
        <w:jc w:val="left"/>
        <w:rPr>
          <w:rFonts w:ascii="Arial" w:hAnsi="Arial" w:cs="Arial"/>
          <w:sz w:val="24"/>
          <w:szCs w:val="24"/>
        </w:rPr>
      </w:pPr>
    </w:p>
    <w:p w14:paraId="00769581" w14:textId="369D853D" w:rsidR="00104D21" w:rsidRPr="00506D26" w:rsidRDefault="00104D21" w:rsidP="00506D26">
      <w:pPr>
        <w:jc w:val="left"/>
        <w:rPr>
          <w:rFonts w:ascii="Arial" w:hAnsi="Arial" w:cs="Arial"/>
          <w:sz w:val="24"/>
        </w:rPr>
      </w:pPr>
      <w:r w:rsidRPr="00506D26">
        <w:rPr>
          <w:rFonts w:ascii="Arial" w:hAnsi="Arial" w:cs="Arial"/>
          <w:sz w:val="24"/>
          <w:szCs w:val="24"/>
        </w:rPr>
        <w:t>The Group has a rigorous approach to capital allocation and authorisation</w:t>
      </w:r>
      <w:r w:rsidR="00F5473B">
        <w:rPr>
          <w:rFonts w:ascii="Arial" w:hAnsi="Arial" w:cs="Arial"/>
          <w:sz w:val="24"/>
          <w:szCs w:val="24"/>
        </w:rPr>
        <w:t xml:space="preserve"> including </w:t>
      </w:r>
      <w:r w:rsidR="00F5473B" w:rsidRPr="00506D26">
        <w:rPr>
          <w:rFonts w:ascii="Arial" w:hAnsi="Arial" w:cs="Arial"/>
          <w:sz w:val="24"/>
          <w:szCs w:val="24"/>
        </w:rPr>
        <w:t>a</w:t>
      </w:r>
      <w:r w:rsidRPr="00506D26">
        <w:rPr>
          <w:rFonts w:ascii="Arial" w:hAnsi="Arial" w:cs="Arial"/>
          <w:sz w:val="24"/>
          <w:szCs w:val="24"/>
        </w:rPr>
        <w:t xml:space="preserve">n annual </w:t>
      </w:r>
      <w:r w:rsidR="00F5473B">
        <w:rPr>
          <w:rFonts w:ascii="Arial" w:hAnsi="Arial" w:cs="Arial"/>
          <w:sz w:val="24"/>
          <w:szCs w:val="24"/>
        </w:rPr>
        <w:t xml:space="preserve">five year </w:t>
      </w:r>
      <w:r w:rsidRPr="00506D26">
        <w:rPr>
          <w:rFonts w:ascii="Arial" w:hAnsi="Arial" w:cs="Arial"/>
          <w:sz w:val="24"/>
          <w:szCs w:val="24"/>
        </w:rPr>
        <w:t xml:space="preserve">strategic planning </w:t>
      </w:r>
      <w:r w:rsidR="00F5473B" w:rsidRPr="00506D26">
        <w:rPr>
          <w:rFonts w:ascii="Arial" w:hAnsi="Arial" w:cs="Arial"/>
          <w:sz w:val="24"/>
          <w:szCs w:val="24"/>
        </w:rPr>
        <w:t xml:space="preserve">and capital allocation </w:t>
      </w:r>
      <w:r w:rsidRPr="00506D26">
        <w:rPr>
          <w:rFonts w:ascii="Arial" w:hAnsi="Arial" w:cs="Arial"/>
          <w:sz w:val="24"/>
          <w:szCs w:val="24"/>
        </w:rPr>
        <w:t>process</w:t>
      </w:r>
      <w:r w:rsidR="00F5473B" w:rsidRPr="00506D26">
        <w:rPr>
          <w:rFonts w:ascii="Arial" w:hAnsi="Arial" w:cs="Arial"/>
          <w:sz w:val="24"/>
          <w:szCs w:val="24"/>
        </w:rPr>
        <w:t>,</w:t>
      </w:r>
      <w:r w:rsidR="00F5473B">
        <w:rPr>
          <w:rFonts w:ascii="Arial" w:hAnsi="Arial" w:cs="Arial"/>
          <w:sz w:val="24"/>
          <w:szCs w:val="24"/>
        </w:rPr>
        <w:t xml:space="preserve"> a project by project </w:t>
      </w:r>
      <w:r w:rsidRPr="00506D26">
        <w:rPr>
          <w:rFonts w:ascii="Arial" w:hAnsi="Arial" w:cs="Arial"/>
          <w:sz w:val="24"/>
          <w:szCs w:val="24"/>
        </w:rPr>
        <w:t>capital approval process</w:t>
      </w:r>
      <w:r w:rsidR="00F5473B">
        <w:rPr>
          <w:rFonts w:ascii="Arial" w:hAnsi="Arial" w:cs="Arial"/>
          <w:sz w:val="24"/>
          <w:szCs w:val="24"/>
        </w:rPr>
        <w:t xml:space="preserve"> and a</w:t>
      </w:r>
      <w:r w:rsidRPr="00506D26">
        <w:rPr>
          <w:rFonts w:ascii="Arial" w:hAnsi="Arial" w:cs="Arial"/>
          <w:sz w:val="24"/>
          <w:szCs w:val="24"/>
        </w:rPr>
        <w:t>n annual post-investment review process.</w:t>
      </w:r>
      <w:r w:rsidR="00F5473B">
        <w:rPr>
          <w:rFonts w:ascii="Arial" w:hAnsi="Arial" w:cs="Arial"/>
          <w:sz w:val="24"/>
          <w:szCs w:val="24"/>
        </w:rPr>
        <w:t xml:space="preserve"> </w:t>
      </w:r>
    </w:p>
    <w:p w14:paraId="605229C9" w14:textId="77777777" w:rsidR="00104D21" w:rsidRDefault="00104D21" w:rsidP="00104D21">
      <w:pPr>
        <w:jc w:val="left"/>
        <w:rPr>
          <w:rFonts w:ascii="Arial" w:hAnsi="Arial" w:cs="Arial"/>
          <w:sz w:val="24"/>
        </w:rPr>
      </w:pPr>
    </w:p>
    <w:p w14:paraId="60446535" w14:textId="77777777" w:rsidR="00104D21" w:rsidRDefault="00104D21" w:rsidP="00104D21">
      <w:pPr>
        <w:jc w:val="left"/>
        <w:rPr>
          <w:rFonts w:ascii="Arial" w:hAnsi="Arial" w:cs="Arial"/>
          <w:b/>
          <w:sz w:val="24"/>
        </w:rPr>
      </w:pPr>
      <w:r w:rsidRPr="00C82F88">
        <w:rPr>
          <w:rFonts w:ascii="Arial" w:hAnsi="Arial" w:cs="Arial"/>
          <w:b/>
          <w:sz w:val="24"/>
          <w:szCs w:val="24"/>
        </w:rPr>
        <w:t>Management of balance sheet and liquidity risk and financing</w:t>
      </w:r>
    </w:p>
    <w:p w14:paraId="3AEB9F03" w14:textId="77777777" w:rsidR="00104D21" w:rsidRDefault="00104D21" w:rsidP="00104D21">
      <w:pPr>
        <w:jc w:val="left"/>
        <w:rPr>
          <w:rFonts w:ascii="Arial" w:hAnsi="Arial" w:cs="Arial"/>
          <w:sz w:val="24"/>
          <w:szCs w:val="24"/>
        </w:rPr>
      </w:pPr>
    </w:p>
    <w:p w14:paraId="7C3FFA1F" w14:textId="77777777" w:rsidR="00104D21" w:rsidRDefault="00104D21" w:rsidP="00104D21">
      <w:pPr>
        <w:ind w:right="-368"/>
        <w:jc w:val="left"/>
        <w:rPr>
          <w:rFonts w:ascii="Arial" w:hAnsi="Arial" w:cs="Arial"/>
          <w:sz w:val="24"/>
          <w:szCs w:val="24"/>
        </w:rPr>
      </w:pPr>
      <w:r w:rsidRPr="0050210E">
        <w:rPr>
          <w:rFonts w:ascii="Arial" w:hAnsi="Arial" w:cs="Arial"/>
          <w:sz w:val="24"/>
          <w:szCs w:val="24"/>
        </w:rPr>
        <w:t xml:space="preserve">The Group finished the period with £329 million of net cash on the balance sheet. However the Group’s overall leverage is more significant when including capitalised lease debt that in accordance with accounting standards does not appear on the balance sheet. The ratio of the Group’s lease adjusted net debt (capitalising leases at 8 times annual rent) to EBITDAR* on a moving annual total basis is </w:t>
      </w:r>
      <w:r>
        <w:rPr>
          <w:rFonts w:ascii="Arial" w:hAnsi="Arial" w:cs="Arial"/>
          <w:sz w:val="24"/>
          <w:szCs w:val="24"/>
        </w:rPr>
        <w:t>2.3</w:t>
      </w:r>
      <w:r w:rsidRPr="0050210E">
        <w:rPr>
          <w:rFonts w:ascii="Arial" w:hAnsi="Arial" w:cs="Arial"/>
          <w:sz w:val="24"/>
          <w:szCs w:val="24"/>
        </w:rPr>
        <w:t xml:space="preserve"> times as at 31 January 2015. At this level the Group has financial flexibility whilst retaining an efficient cost of capital.</w:t>
      </w:r>
    </w:p>
    <w:p w14:paraId="3D6B74C4" w14:textId="77777777" w:rsidR="00104D21" w:rsidRDefault="00104D21" w:rsidP="00104D21">
      <w:pPr>
        <w:jc w:val="left"/>
        <w:rPr>
          <w:rFonts w:ascii="Arial" w:hAnsi="Arial" w:cs="Arial"/>
          <w:sz w:val="24"/>
          <w:szCs w:val="24"/>
        </w:rPr>
      </w:pPr>
    </w:p>
    <w:p w14:paraId="5E6B66A2" w14:textId="77777777" w:rsidR="00104D21" w:rsidRDefault="00104D21" w:rsidP="00104D21">
      <w:pPr>
        <w:jc w:val="left"/>
        <w:rPr>
          <w:rFonts w:ascii="Arial" w:hAnsi="Arial" w:cs="Arial"/>
          <w:sz w:val="24"/>
          <w:szCs w:val="24"/>
        </w:rPr>
      </w:pPr>
      <w:r w:rsidRPr="00C82F88">
        <w:rPr>
          <w:rFonts w:ascii="Arial" w:hAnsi="Arial" w:cs="Arial" w:hint="eastAsia"/>
          <w:sz w:val="24"/>
          <w:szCs w:val="24"/>
        </w:rPr>
        <w:t xml:space="preserve">A reconciliation of </w:t>
      </w:r>
      <w:r>
        <w:rPr>
          <w:rFonts w:ascii="Arial" w:hAnsi="Arial" w:cs="Arial"/>
          <w:sz w:val="24"/>
          <w:szCs w:val="24"/>
        </w:rPr>
        <w:t xml:space="preserve">lease adjusted net debt to EBITDAR </w:t>
      </w:r>
      <w:r w:rsidRPr="00C82F88">
        <w:rPr>
          <w:rFonts w:ascii="Arial" w:hAnsi="Arial" w:cs="Arial" w:hint="eastAsia"/>
          <w:sz w:val="24"/>
          <w:szCs w:val="24"/>
        </w:rPr>
        <w:t>is set out below:</w:t>
      </w:r>
    </w:p>
    <w:p w14:paraId="594D301D" w14:textId="77777777" w:rsidR="00104D21" w:rsidRDefault="00104D21" w:rsidP="00104D21">
      <w:pPr>
        <w:jc w:val="left"/>
        <w:rPr>
          <w:rFonts w:ascii="Arial" w:hAnsi="Arial" w:cs="Arial"/>
          <w:sz w:val="24"/>
          <w:szCs w:val="24"/>
        </w:rPr>
      </w:pPr>
    </w:p>
    <w:tbl>
      <w:tblPr>
        <w:tblW w:w="8832" w:type="dxa"/>
        <w:tblInd w:w="98" w:type="dxa"/>
        <w:tblLayout w:type="fixed"/>
        <w:tblLook w:val="04A0" w:firstRow="1" w:lastRow="0" w:firstColumn="1" w:lastColumn="0" w:noHBand="0" w:noVBand="1"/>
      </w:tblPr>
      <w:tblGrid>
        <w:gridCol w:w="4722"/>
        <w:gridCol w:w="2551"/>
        <w:gridCol w:w="1559"/>
      </w:tblGrid>
      <w:tr w:rsidR="00104D21" w14:paraId="72E0F3BC" w14:textId="77777777" w:rsidTr="00104D21">
        <w:trPr>
          <w:trHeight w:val="555"/>
        </w:trPr>
        <w:tc>
          <w:tcPr>
            <w:tcW w:w="4722" w:type="dxa"/>
            <w:vAlign w:val="bottom"/>
          </w:tcPr>
          <w:p w14:paraId="013BAB85" w14:textId="77777777" w:rsidR="00104D21" w:rsidRDefault="00104D21" w:rsidP="00104D21">
            <w:pPr>
              <w:jc w:val="left"/>
              <w:rPr>
                <w:rFonts w:ascii="Arial" w:hAnsi="Arial" w:cs="Arial"/>
                <w:bCs/>
                <w:sz w:val="24"/>
                <w:szCs w:val="24"/>
                <w:highlight w:val="yellow"/>
              </w:rPr>
            </w:pPr>
          </w:p>
        </w:tc>
        <w:tc>
          <w:tcPr>
            <w:tcW w:w="2551" w:type="dxa"/>
            <w:vAlign w:val="bottom"/>
            <w:hideMark/>
          </w:tcPr>
          <w:p w14:paraId="692FBEC4" w14:textId="77777777" w:rsidR="00104D21" w:rsidRPr="0050210E" w:rsidRDefault="00104D21" w:rsidP="00104D21">
            <w:pPr>
              <w:jc w:val="right"/>
              <w:rPr>
                <w:rFonts w:ascii="Arial" w:hAnsi="Arial" w:cs="Arial"/>
                <w:b/>
                <w:bCs/>
                <w:sz w:val="24"/>
                <w:szCs w:val="24"/>
              </w:rPr>
            </w:pPr>
            <w:r w:rsidRPr="0050210E">
              <w:rPr>
                <w:rFonts w:ascii="Arial" w:hAnsi="Arial" w:cs="Arial"/>
                <w:b/>
                <w:bCs/>
                <w:sz w:val="24"/>
                <w:szCs w:val="24"/>
              </w:rPr>
              <w:t>2014/15</w:t>
            </w:r>
          </w:p>
          <w:p w14:paraId="67B660E9" w14:textId="77777777" w:rsidR="00104D21" w:rsidRPr="0050210E" w:rsidRDefault="00104D21" w:rsidP="00104D21">
            <w:pPr>
              <w:jc w:val="right"/>
              <w:rPr>
                <w:rFonts w:ascii="Arial" w:hAnsi="Arial" w:cs="Arial"/>
                <w:b/>
                <w:bCs/>
                <w:sz w:val="24"/>
                <w:szCs w:val="24"/>
              </w:rPr>
            </w:pPr>
            <w:r w:rsidRPr="0050210E">
              <w:rPr>
                <w:rFonts w:ascii="Arial" w:hAnsi="Arial" w:cs="Arial"/>
                <w:b/>
                <w:bCs/>
                <w:sz w:val="24"/>
                <w:szCs w:val="24"/>
              </w:rPr>
              <w:t>£m</w:t>
            </w:r>
          </w:p>
        </w:tc>
        <w:tc>
          <w:tcPr>
            <w:tcW w:w="1559" w:type="dxa"/>
            <w:vAlign w:val="bottom"/>
            <w:hideMark/>
          </w:tcPr>
          <w:p w14:paraId="5AB0ABAD" w14:textId="77777777" w:rsidR="00104D21" w:rsidRPr="0050210E" w:rsidRDefault="00104D21" w:rsidP="00104D21">
            <w:pPr>
              <w:jc w:val="right"/>
              <w:rPr>
                <w:rFonts w:ascii="Arial" w:hAnsi="Arial" w:cs="Arial"/>
                <w:bCs/>
                <w:sz w:val="24"/>
                <w:szCs w:val="24"/>
              </w:rPr>
            </w:pPr>
            <w:r w:rsidRPr="0050210E">
              <w:rPr>
                <w:rFonts w:ascii="Arial" w:hAnsi="Arial" w:cs="Arial"/>
                <w:bCs/>
                <w:sz w:val="24"/>
                <w:szCs w:val="24"/>
              </w:rPr>
              <w:t>2013/14</w:t>
            </w:r>
            <w:r w:rsidRPr="0050210E">
              <w:rPr>
                <w:rFonts w:ascii="Arial" w:hAnsi="Arial" w:cs="Arial"/>
                <w:bCs/>
                <w:i/>
                <w:sz w:val="24"/>
                <w:szCs w:val="24"/>
                <w:vertAlign w:val="superscript"/>
              </w:rPr>
              <w:t>(1)</w:t>
            </w:r>
          </w:p>
          <w:p w14:paraId="46B6EE4E" w14:textId="77777777" w:rsidR="00104D21" w:rsidRPr="0050210E" w:rsidRDefault="00104D21" w:rsidP="00104D21">
            <w:pPr>
              <w:jc w:val="right"/>
              <w:rPr>
                <w:rFonts w:ascii="Arial" w:hAnsi="Arial" w:cs="Arial"/>
                <w:bCs/>
                <w:sz w:val="24"/>
                <w:szCs w:val="24"/>
              </w:rPr>
            </w:pPr>
            <w:r w:rsidRPr="0050210E">
              <w:rPr>
                <w:rFonts w:ascii="Arial" w:hAnsi="Arial" w:cs="Arial"/>
                <w:bCs/>
                <w:sz w:val="24"/>
                <w:szCs w:val="24"/>
              </w:rPr>
              <w:t>£m</w:t>
            </w:r>
          </w:p>
        </w:tc>
      </w:tr>
      <w:tr w:rsidR="00104D21" w14:paraId="78EBE72E" w14:textId="77777777" w:rsidTr="00104D21">
        <w:trPr>
          <w:trHeight w:val="255"/>
        </w:trPr>
        <w:tc>
          <w:tcPr>
            <w:tcW w:w="4722" w:type="dxa"/>
            <w:tcBorders>
              <w:top w:val="single" w:sz="4" w:space="0" w:color="auto"/>
              <w:left w:val="nil"/>
              <w:bottom w:val="nil"/>
              <w:right w:val="nil"/>
            </w:tcBorders>
            <w:vAlign w:val="bottom"/>
            <w:hideMark/>
          </w:tcPr>
          <w:p w14:paraId="3AF3657D" w14:textId="2BE80FC8" w:rsidR="00104D21" w:rsidRDefault="00104D21" w:rsidP="00104D21">
            <w:pPr>
              <w:rPr>
                <w:rFonts w:ascii="Arial" w:hAnsi="Arial" w:cs="Arial"/>
                <w:sz w:val="24"/>
                <w:szCs w:val="24"/>
              </w:rPr>
            </w:pPr>
            <w:r>
              <w:rPr>
                <w:rFonts w:ascii="Arial" w:hAnsi="Arial" w:cs="Arial"/>
                <w:sz w:val="24"/>
                <w:szCs w:val="24"/>
              </w:rPr>
              <w:t>EBITDA</w:t>
            </w:r>
            <w:r w:rsidR="00D070B2">
              <w:rPr>
                <w:rFonts w:ascii="Arial" w:hAnsi="Arial" w:cs="Arial"/>
                <w:sz w:val="24"/>
                <w:szCs w:val="24"/>
              </w:rPr>
              <w:t>*</w:t>
            </w:r>
          </w:p>
        </w:tc>
        <w:tc>
          <w:tcPr>
            <w:tcW w:w="2551" w:type="dxa"/>
            <w:tcBorders>
              <w:top w:val="single" w:sz="4" w:space="0" w:color="auto"/>
              <w:left w:val="nil"/>
              <w:bottom w:val="nil"/>
              <w:right w:val="nil"/>
            </w:tcBorders>
            <w:vAlign w:val="bottom"/>
            <w:hideMark/>
          </w:tcPr>
          <w:p w14:paraId="26893F5C" w14:textId="77777777" w:rsidR="00104D21" w:rsidRPr="0050210E" w:rsidRDefault="00104D21" w:rsidP="00104D21">
            <w:pPr>
              <w:jc w:val="right"/>
              <w:rPr>
                <w:rFonts w:ascii="Arial" w:hAnsi="Arial" w:cs="Arial"/>
                <w:sz w:val="24"/>
                <w:szCs w:val="24"/>
              </w:rPr>
            </w:pPr>
            <w:r w:rsidRPr="0050210E">
              <w:rPr>
                <w:rFonts w:ascii="Arial" w:hAnsi="Arial" w:cs="Arial"/>
                <w:b/>
                <w:sz w:val="24"/>
                <w:szCs w:val="24"/>
              </w:rPr>
              <w:t>955</w:t>
            </w:r>
          </w:p>
        </w:tc>
        <w:tc>
          <w:tcPr>
            <w:tcW w:w="1559" w:type="dxa"/>
            <w:tcBorders>
              <w:top w:val="single" w:sz="4" w:space="0" w:color="auto"/>
              <w:left w:val="nil"/>
              <w:bottom w:val="nil"/>
              <w:right w:val="nil"/>
            </w:tcBorders>
            <w:vAlign w:val="bottom"/>
            <w:hideMark/>
          </w:tcPr>
          <w:p w14:paraId="7A5062D1"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998</w:t>
            </w:r>
          </w:p>
        </w:tc>
      </w:tr>
      <w:tr w:rsidR="00104D21" w14:paraId="2DAC9061" w14:textId="77777777" w:rsidTr="00104D21">
        <w:trPr>
          <w:trHeight w:val="255"/>
        </w:trPr>
        <w:tc>
          <w:tcPr>
            <w:tcW w:w="4722" w:type="dxa"/>
            <w:tcBorders>
              <w:top w:val="nil"/>
              <w:left w:val="nil"/>
              <w:bottom w:val="single" w:sz="4" w:space="0" w:color="auto"/>
              <w:right w:val="nil"/>
            </w:tcBorders>
            <w:vAlign w:val="bottom"/>
            <w:hideMark/>
          </w:tcPr>
          <w:p w14:paraId="0D10C846" w14:textId="77777777" w:rsidR="00104D21" w:rsidRDefault="00104D21" w:rsidP="00104D21">
            <w:pPr>
              <w:rPr>
                <w:rFonts w:ascii="Arial" w:hAnsi="Arial" w:cs="Arial"/>
                <w:sz w:val="24"/>
                <w:szCs w:val="24"/>
              </w:rPr>
            </w:pPr>
            <w:r>
              <w:rPr>
                <w:rFonts w:ascii="Arial" w:hAnsi="Arial" w:cs="Arial"/>
                <w:sz w:val="24"/>
                <w:szCs w:val="24"/>
              </w:rPr>
              <w:t>Property operating lease rentals</w:t>
            </w:r>
          </w:p>
        </w:tc>
        <w:tc>
          <w:tcPr>
            <w:tcW w:w="2551" w:type="dxa"/>
            <w:tcBorders>
              <w:top w:val="nil"/>
              <w:left w:val="nil"/>
              <w:bottom w:val="single" w:sz="4" w:space="0" w:color="auto"/>
              <w:right w:val="nil"/>
            </w:tcBorders>
            <w:vAlign w:val="bottom"/>
            <w:hideMark/>
          </w:tcPr>
          <w:p w14:paraId="57DFE2F2"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440</w:t>
            </w:r>
          </w:p>
        </w:tc>
        <w:tc>
          <w:tcPr>
            <w:tcW w:w="1559" w:type="dxa"/>
            <w:tcBorders>
              <w:top w:val="nil"/>
              <w:left w:val="nil"/>
              <w:bottom w:val="single" w:sz="4" w:space="0" w:color="auto"/>
              <w:right w:val="nil"/>
            </w:tcBorders>
            <w:vAlign w:val="bottom"/>
            <w:hideMark/>
          </w:tcPr>
          <w:p w14:paraId="43123CA0"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440</w:t>
            </w:r>
          </w:p>
        </w:tc>
      </w:tr>
      <w:tr w:rsidR="00104D21" w14:paraId="1E504B9A" w14:textId="77777777" w:rsidTr="00104D21">
        <w:trPr>
          <w:trHeight w:val="255"/>
        </w:trPr>
        <w:tc>
          <w:tcPr>
            <w:tcW w:w="4722" w:type="dxa"/>
            <w:tcBorders>
              <w:top w:val="single" w:sz="4" w:space="0" w:color="auto"/>
              <w:left w:val="nil"/>
              <w:bottom w:val="single" w:sz="4" w:space="0" w:color="auto"/>
              <w:right w:val="nil"/>
            </w:tcBorders>
            <w:vAlign w:val="bottom"/>
            <w:hideMark/>
          </w:tcPr>
          <w:p w14:paraId="502BB34D" w14:textId="15D299CB" w:rsidR="00104D21" w:rsidRDefault="00104D21" w:rsidP="00104D21">
            <w:pPr>
              <w:rPr>
                <w:rFonts w:ascii="Arial" w:hAnsi="Arial" w:cs="Arial"/>
                <w:b/>
                <w:sz w:val="24"/>
                <w:szCs w:val="24"/>
              </w:rPr>
            </w:pPr>
            <w:r>
              <w:rPr>
                <w:rFonts w:ascii="Arial" w:hAnsi="Arial" w:cs="Arial"/>
                <w:b/>
                <w:sz w:val="24"/>
                <w:szCs w:val="24"/>
              </w:rPr>
              <w:t>EBITDAR</w:t>
            </w:r>
          </w:p>
        </w:tc>
        <w:tc>
          <w:tcPr>
            <w:tcW w:w="2551" w:type="dxa"/>
            <w:tcBorders>
              <w:top w:val="single" w:sz="4" w:space="0" w:color="auto"/>
              <w:left w:val="nil"/>
              <w:bottom w:val="single" w:sz="4" w:space="0" w:color="auto"/>
              <w:right w:val="nil"/>
            </w:tcBorders>
            <w:vAlign w:val="bottom"/>
            <w:hideMark/>
          </w:tcPr>
          <w:p w14:paraId="378A778D"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1,395</w:t>
            </w:r>
          </w:p>
        </w:tc>
        <w:tc>
          <w:tcPr>
            <w:tcW w:w="1559" w:type="dxa"/>
            <w:tcBorders>
              <w:top w:val="single" w:sz="4" w:space="0" w:color="auto"/>
              <w:left w:val="nil"/>
              <w:bottom w:val="single" w:sz="4" w:space="0" w:color="auto"/>
              <w:right w:val="nil"/>
            </w:tcBorders>
            <w:vAlign w:val="bottom"/>
            <w:hideMark/>
          </w:tcPr>
          <w:p w14:paraId="5619293F"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1,438</w:t>
            </w:r>
          </w:p>
        </w:tc>
      </w:tr>
      <w:tr w:rsidR="00104D21" w14:paraId="08F810D2" w14:textId="77777777" w:rsidTr="00104D21">
        <w:trPr>
          <w:trHeight w:val="311"/>
        </w:trPr>
        <w:tc>
          <w:tcPr>
            <w:tcW w:w="4722" w:type="dxa"/>
            <w:tcBorders>
              <w:top w:val="single" w:sz="4" w:space="0" w:color="auto"/>
              <w:left w:val="nil"/>
              <w:bottom w:val="nil"/>
              <w:right w:val="nil"/>
            </w:tcBorders>
            <w:vAlign w:val="bottom"/>
            <w:hideMark/>
          </w:tcPr>
          <w:p w14:paraId="09711423" w14:textId="77777777" w:rsidR="00104D21" w:rsidRDefault="00104D21" w:rsidP="00104D21">
            <w:pPr>
              <w:rPr>
                <w:rFonts w:ascii="Arial" w:hAnsi="Arial" w:cs="Arial"/>
                <w:sz w:val="24"/>
                <w:szCs w:val="24"/>
              </w:rPr>
            </w:pPr>
            <w:r>
              <w:rPr>
                <w:rFonts w:ascii="Arial" w:hAnsi="Arial" w:cs="Arial"/>
                <w:sz w:val="24"/>
                <w:szCs w:val="24"/>
              </w:rPr>
              <w:t>Financial net cash</w:t>
            </w:r>
          </w:p>
        </w:tc>
        <w:tc>
          <w:tcPr>
            <w:tcW w:w="2551" w:type="dxa"/>
            <w:tcBorders>
              <w:top w:val="single" w:sz="4" w:space="0" w:color="auto"/>
              <w:left w:val="nil"/>
              <w:bottom w:val="nil"/>
              <w:right w:val="nil"/>
            </w:tcBorders>
            <w:vAlign w:val="bottom"/>
            <w:hideMark/>
          </w:tcPr>
          <w:p w14:paraId="521E373D" w14:textId="77777777" w:rsidR="00104D21" w:rsidRPr="0050210E" w:rsidRDefault="00104D21" w:rsidP="00104D21">
            <w:pPr>
              <w:jc w:val="right"/>
              <w:rPr>
                <w:rFonts w:ascii="Arial" w:hAnsi="Arial" w:cs="Arial"/>
                <w:b/>
                <w:sz w:val="24"/>
                <w:szCs w:val="24"/>
              </w:rPr>
            </w:pPr>
            <w:r>
              <w:rPr>
                <w:rFonts w:ascii="Arial" w:hAnsi="Arial" w:cs="Arial"/>
                <w:b/>
                <w:sz w:val="24"/>
                <w:szCs w:val="24"/>
              </w:rPr>
              <w:t>(</w:t>
            </w:r>
            <w:r w:rsidRPr="0050210E">
              <w:rPr>
                <w:rFonts w:ascii="Arial" w:hAnsi="Arial" w:cs="Arial"/>
                <w:b/>
                <w:sz w:val="24"/>
                <w:szCs w:val="24"/>
              </w:rPr>
              <w:t>329</w:t>
            </w:r>
            <w:r>
              <w:rPr>
                <w:rFonts w:ascii="Arial" w:hAnsi="Arial" w:cs="Arial"/>
                <w:b/>
                <w:sz w:val="24"/>
                <w:szCs w:val="24"/>
              </w:rPr>
              <w:t>)</w:t>
            </w:r>
          </w:p>
        </w:tc>
        <w:tc>
          <w:tcPr>
            <w:tcW w:w="1559" w:type="dxa"/>
            <w:tcBorders>
              <w:top w:val="single" w:sz="4" w:space="0" w:color="auto"/>
              <w:left w:val="nil"/>
              <w:bottom w:val="nil"/>
              <w:right w:val="nil"/>
            </w:tcBorders>
            <w:vAlign w:val="bottom"/>
            <w:hideMark/>
          </w:tcPr>
          <w:p w14:paraId="6C3A05A9" w14:textId="77777777" w:rsidR="00104D21" w:rsidRPr="0050210E" w:rsidRDefault="00104D21" w:rsidP="00104D21">
            <w:pPr>
              <w:jc w:val="right"/>
              <w:rPr>
                <w:rFonts w:ascii="Arial" w:hAnsi="Arial" w:cs="Arial"/>
                <w:sz w:val="24"/>
                <w:szCs w:val="24"/>
              </w:rPr>
            </w:pPr>
            <w:r>
              <w:rPr>
                <w:rFonts w:ascii="Arial" w:hAnsi="Arial" w:cs="Arial"/>
                <w:sz w:val="24"/>
                <w:szCs w:val="24"/>
              </w:rPr>
              <w:t>(</w:t>
            </w:r>
            <w:r w:rsidRPr="0050210E">
              <w:rPr>
                <w:rFonts w:ascii="Arial" w:hAnsi="Arial" w:cs="Arial"/>
                <w:sz w:val="24"/>
                <w:szCs w:val="24"/>
              </w:rPr>
              <w:t>238</w:t>
            </w:r>
            <w:r>
              <w:rPr>
                <w:rFonts w:ascii="Arial" w:hAnsi="Arial" w:cs="Arial"/>
                <w:sz w:val="24"/>
                <w:szCs w:val="24"/>
              </w:rPr>
              <w:t>)</w:t>
            </w:r>
          </w:p>
        </w:tc>
      </w:tr>
      <w:tr w:rsidR="00104D21" w14:paraId="2EB1F566" w14:textId="77777777" w:rsidTr="00104D21">
        <w:trPr>
          <w:trHeight w:val="270"/>
        </w:trPr>
        <w:tc>
          <w:tcPr>
            <w:tcW w:w="4722" w:type="dxa"/>
            <w:vAlign w:val="bottom"/>
            <w:hideMark/>
          </w:tcPr>
          <w:p w14:paraId="2FA9F579" w14:textId="77777777" w:rsidR="00104D21" w:rsidRDefault="00104D21" w:rsidP="00104D21">
            <w:pPr>
              <w:rPr>
                <w:rFonts w:ascii="Arial" w:hAnsi="Arial" w:cs="Arial"/>
                <w:sz w:val="24"/>
                <w:szCs w:val="24"/>
              </w:rPr>
            </w:pPr>
            <w:r>
              <w:rPr>
                <w:rFonts w:ascii="Arial" w:hAnsi="Arial" w:cs="Arial"/>
                <w:sz w:val="24"/>
                <w:szCs w:val="24"/>
              </w:rPr>
              <w:t>Pension deficit</w:t>
            </w:r>
          </w:p>
        </w:tc>
        <w:tc>
          <w:tcPr>
            <w:tcW w:w="2551" w:type="dxa"/>
            <w:vAlign w:val="bottom"/>
            <w:hideMark/>
          </w:tcPr>
          <w:p w14:paraId="263AEABE" w14:textId="77777777" w:rsidR="00104D21" w:rsidRPr="0050210E" w:rsidRDefault="00104D21" w:rsidP="00104D21">
            <w:pPr>
              <w:jc w:val="right"/>
              <w:rPr>
                <w:rFonts w:ascii="Arial" w:hAnsi="Arial" w:cs="Arial"/>
                <w:b/>
                <w:sz w:val="24"/>
                <w:szCs w:val="24"/>
              </w:rPr>
            </w:pPr>
            <w:r>
              <w:rPr>
                <w:rFonts w:ascii="Arial" w:hAnsi="Arial" w:cs="Arial"/>
                <w:b/>
                <w:sz w:val="24"/>
                <w:szCs w:val="24"/>
              </w:rPr>
              <w:t>-</w:t>
            </w:r>
          </w:p>
        </w:tc>
        <w:tc>
          <w:tcPr>
            <w:tcW w:w="1559" w:type="dxa"/>
            <w:vAlign w:val="bottom"/>
            <w:hideMark/>
          </w:tcPr>
          <w:p w14:paraId="3D4C2EF3"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100</w:t>
            </w:r>
          </w:p>
        </w:tc>
      </w:tr>
      <w:tr w:rsidR="00104D21" w14:paraId="5C7452C2" w14:textId="77777777" w:rsidTr="00104D21">
        <w:trPr>
          <w:trHeight w:val="270"/>
        </w:trPr>
        <w:tc>
          <w:tcPr>
            <w:tcW w:w="4722" w:type="dxa"/>
            <w:tcBorders>
              <w:top w:val="nil"/>
              <w:left w:val="nil"/>
              <w:bottom w:val="single" w:sz="4" w:space="0" w:color="auto"/>
              <w:right w:val="nil"/>
            </w:tcBorders>
            <w:vAlign w:val="bottom"/>
            <w:hideMark/>
          </w:tcPr>
          <w:p w14:paraId="7C200AB7" w14:textId="77777777" w:rsidR="00104D21" w:rsidRDefault="00104D21" w:rsidP="00104D21">
            <w:pPr>
              <w:rPr>
                <w:rFonts w:ascii="Arial" w:hAnsi="Arial" w:cs="Arial"/>
                <w:sz w:val="24"/>
                <w:szCs w:val="24"/>
              </w:rPr>
            </w:pPr>
            <w:r>
              <w:rPr>
                <w:rFonts w:ascii="Arial" w:hAnsi="Arial" w:cs="Arial"/>
                <w:sz w:val="24"/>
                <w:szCs w:val="24"/>
              </w:rPr>
              <w:t>Property operating lease rentals (8x)</w:t>
            </w:r>
            <w:r w:rsidRPr="00C0194C">
              <w:rPr>
                <w:rFonts w:ascii="Arial" w:hAnsi="Arial" w:cs="Arial"/>
                <w:i/>
                <w:sz w:val="24"/>
                <w:szCs w:val="24"/>
                <w:vertAlign w:val="superscript"/>
              </w:rPr>
              <w:t>(</w:t>
            </w:r>
            <w:r>
              <w:rPr>
                <w:rFonts w:ascii="Arial" w:hAnsi="Arial" w:cs="Arial"/>
                <w:i/>
                <w:sz w:val="24"/>
                <w:szCs w:val="24"/>
                <w:vertAlign w:val="superscript"/>
              </w:rPr>
              <w:t>2</w:t>
            </w:r>
            <w:r w:rsidRPr="00C0194C">
              <w:rPr>
                <w:rFonts w:ascii="Arial" w:hAnsi="Arial" w:cs="Arial"/>
                <w:i/>
                <w:sz w:val="24"/>
                <w:szCs w:val="24"/>
                <w:vertAlign w:val="superscript"/>
              </w:rPr>
              <w:t>)</w:t>
            </w:r>
          </w:p>
        </w:tc>
        <w:tc>
          <w:tcPr>
            <w:tcW w:w="2551" w:type="dxa"/>
            <w:tcBorders>
              <w:top w:val="nil"/>
              <w:left w:val="nil"/>
              <w:bottom w:val="single" w:sz="4" w:space="0" w:color="auto"/>
              <w:right w:val="nil"/>
            </w:tcBorders>
            <w:vAlign w:val="bottom"/>
            <w:hideMark/>
          </w:tcPr>
          <w:p w14:paraId="74480550"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3,520</w:t>
            </w:r>
          </w:p>
        </w:tc>
        <w:tc>
          <w:tcPr>
            <w:tcW w:w="1559" w:type="dxa"/>
            <w:tcBorders>
              <w:top w:val="nil"/>
              <w:left w:val="nil"/>
              <w:bottom w:val="single" w:sz="4" w:space="0" w:color="auto"/>
              <w:right w:val="nil"/>
            </w:tcBorders>
            <w:vAlign w:val="bottom"/>
            <w:hideMark/>
          </w:tcPr>
          <w:p w14:paraId="0A00D191" w14:textId="77777777" w:rsidR="00104D21" w:rsidRPr="0050210E" w:rsidRDefault="00104D21" w:rsidP="00104D21">
            <w:pPr>
              <w:jc w:val="right"/>
              <w:rPr>
                <w:rFonts w:ascii="Arial" w:hAnsi="Arial" w:cs="Arial"/>
                <w:sz w:val="24"/>
                <w:szCs w:val="24"/>
              </w:rPr>
            </w:pPr>
            <w:r w:rsidRPr="0050210E">
              <w:rPr>
                <w:rFonts w:ascii="Arial" w:hAnsi="Arial" w:cs="Arial"/>
                <w:sz w:val="24"/>
                <w:szCs w:val="24"/>
              </w:rPr>
              <w:t>3,520</w:t>
            </w:r>
          </w:p>
        </w:tc>
      </w:tr>
      <w:tr w:rsidR="00104D21" w14:paraId="26041115" w14:textId="77777777" w:rsidTr="00104D21">
        <w:trPr>
          <w:trHeight w:val="270"/>
        </w:trPr>
        <w:tc>
          <w:tcPr>
            <w:tcW w:w="4722" w:type="dxa"/>
            <w:tcBorders>
              <w:top w:val="single" w:sz="4" w:space="0" w:color="auto"/>
              <w:left w:val="nil"/>
              <w:bottom w:val="single" w:sz="4" w:space="0" w:color="auto"/>
              <w:right w:val="nil"/>
            </w:tcBorders>
            <w:vAlign w:val="bottom"/>
            <w:hideMark/>
          </w:tcPr>
          <w:p w14:paraId="7597C752" w14:textId="77777777" w:rsidR="00104D21" w:rsidRDefault="00104D21" w:rsidP="00104D21">
            <w:pPr>
              <w:rPr>
                <w:rFonts w:ascii="Arial" w:hAnsi="Arial" w:cs="Arial"/>
                <w:b/>
                <w:sz w:val="24"/>
                <w:szCs w:val="24"/>
              </w:rPr>
            </w:pPr>
            <w:r>
              <w:rPr>
                <w:rFonts w:ascii="Arial" w:hAnsi="Arial" w:cs="Arial"/>
                <w:b/>
                <w:sz w:val="24"/>
                <w:szCs w:val="24"/>
              </w:rPr>
              <w:t>Lease adjusted net debt</w:t>
            </w:r>
          </w:p>
        </w:tc>
        <w:tc>
          <w:tcPr>
            <w:tcW w:w="2551" w:type="dxa"/>
            <w:tcBorders>
              <w:top w:val="single" w:sz="4" w:space="0" w:color="auto"/>
              <w:left w:val="nil"/>
              <w:bottom w:val="single" w:sz="4" w:space="0" w:color="auto"/>
              <w:right w:val="nil"/>
            </w:tcBorders>
            <w:vAlign w:val="bottom"/>
            <w:hideMark/>
          </w:tcPr>
          <w:p w14:paraId="5AC695BD" w14:textId="77777777" w:rsidR="00104D21" w:rsidRPr="0050210E" w:rsidRDefault="00104D21" w:rsidP="00104D21">
            <w:pPr>
              <w:jc w:val="right"/>
              <w:rPr>
                <w:rFonts w:ascii="Arial" w:hAnsi="Arial" w:cs="Arial"/>
                <w:b/>
                <w:sz w:val="24"/>
                <w:szCs w:val="24"/>
              </w:rPr>
            </w:pPr>
            <w:r>
              <w:rPr>
                <w:rFonts w:ascii="Arial" w:hAnsi="Arial" w:cs="Arial"/>
                <w:b/>
                <w:sz w:val="24"/>
                <w:szCs w:val="24"/>
              </w:rPr>
              <w:t>3,191</w:t>
            </w:r>
          </w:p>
        </w:tc>
        <w:tc>
          <w:tcPr>
            <w:tcW w:w="1559" w:type="dxa"/>
            <w:tcBorders>
              <w:top w:val="single" w:sz="4" w:space="0" w:color="auto"/>
              <w:left w:val="nil"/>
              <w:bottom w:val="single" w:sz="4" w:space="0" w:color="auto"/>
              <w:right w:val="nil"/>
            </w:tcBorders>
            <w:vAlign w:val="bottom"/>
            <w:hideMark/>
          </w:tcPr>
          <w:p w14:paraId="0F6B64BB" w14:textId="77777777" w:rsidR="00104D21" w:rsidRPr="0050210E" w:rsidRDefault="00104D21" w:rsidP="00104D21">
            <w:pPr>
              <w:jc w:val="right"/>
              <w:rPr>
                <w:rFonts w:ascii="Arial" w:hAnsi="Arial" w:cs="Arial"/>
                <w:sz w:val="24"/>
                <w:szCs w:val="24"/>
              </w:rPr>
            </w:pPr>
            <w:r>
              <w:rPr>
                <w:rFonts w:ascii="Arial" w:hAnsi="Arial" w:cs="Arial"/>
                <w:sz w:val="24"/>
                <w:szCs w:val="24"/>
              </w:rPr>
              <w:t>3,382</w:t>
            </w:r>
          </w:p>
        </w:tc>
      </w:tr>
      <w:tr w:rsidR="00104D21" w14:paraId="4971B980" w14:textId="77777777" w:rsidTr="00104D21">
        <w:trPr>
          <w:trHeight w:val="270"/>
        </w:trPr>
        <w:tc>
          <w:tcPr>
            <w:tcW w:w="4722" w:type="dxa"/>
            <w:tcBorders>
              <w:top w:val="single" w:sz="4" w:space="0" w:color="auto"/>
              <w:left w:val="nil"/>
              <w:bottom w:val="single" w:sz="4" w:space="0" w:color="auto"/>
              <w:right w:val="nil"/>
            </w:tcBorders>
            <w:vAlign w:val="bottom"/>
            <w:hideMark/>
          </w:tcPr>
          <w:p w14:paraId="0510207C" w14:textId="77777777" w:rsidR="00104D21" w:rsidRDefault="00104D21" w:rsidP="00104D21">
            <w:pPr>
              <w:rPr>
                <w:rFonts w:ascii="Arial" w:hAnsi="Arial" w:cs="Arial"/>
                <w:b/>
                <w:sz w:val="24"/>
                <w:szCs w:val="24"/>
              </w:rPr>
            </w:pPr>
            <w:r>
              <w:rPr>
                <w:rFonts w:ascii="Arial" w:hAnsi="Arial" w:cs="Arial"/>
                <w:b/>
                <w:sz w:val="24"/>
                <w:szCs w:val="24"/>
              </w:rPr>
              <w:t>Lease adjusted net debt to EBITDAR</w:t>
            </w:r>
          </w:p>
        </w:tc>
        <w:tc>
          <w:tcPr>
            <w:tcW w:w="2551" w:type="dxa"/>
            <w:tcBorders>
              <w:top w:val="single" w:sz="4" w:space="0" w:color="auto"/>
              <w:left w:val="nil"/>
              <w:bottom w:val="single" w:sz="4" w:space="0" w:color="auto"/>
              <w:right w:val="nil"/>
            </w:tcBorders>
            <w:vAlign w:val="bottom"/>
            <w:hideMark/>
          </w:tcPr>
          <w:p w14:paraId="56BADDF5" w14:textId="77777777" w:rsidR="00104D21" w:rsidRPr="0050210E" w:rsidRDefault="00104D21" w:rsidP="00104D21">
            <w:pPr>
              <w:jc w:val="right"/>
              <w:rPr>
                <w:rFonts w:ascii="Arial" w:hAnsi="Arial" w:cs="Arial"/>
                <w:b/>
                <w:sz w:val="24"/>
                <w:szCs w:val="24"/>
              </w:rPr>
            </w:pPr>
            <w:r w:rsidRPr="0050210E">
              <w:rPr>
                <w:rFonts w:ascii="Arial" w:hAnsi="Arial" w:cs="Arial"/>
                <w:b/>
                <w:sz w:val="24"/>
                <w:szCs w:val="24"/>
              </w:rPr>
              <w:t>2.</w:t>
            </w:r>
            <w:r>
              <w:rPr>
                <w:rFonts w:ascii="Arial" w:hAnsi="Arial" w:cs="Arial"/>
                <w:b/>
                <w:sz w:val="24"/>
                <w:szCs w:val="24"/>
              </w:rPr>
              <w:t>3</w:t>
            </w:r>
            <w:r w:rsidRPr="0050210E">
              <w:rPr>
                <w:rFonts w:ascii="Arial" w:hAnsi="Arial" w:cs="Arial"/>
                <w:b/>
                <w:sz w:val="24"/>
                <w:szCs w:val="24"/>
              </w:rPr>
              <w:t>x</w:t>
            </w:r>
          </w:p>
        </w:tc>
        <w:tc>
          <w:tcPr>
            <w:tcW w:w="1559" w:type="dxa"/>
            <w:tcBorders>
              <w:top w:val="single" w:sz="4" w:space="0" w:color="auto"/>
              <w:left w:val="nil"/>
              <w:bottom w:val="single" w:sz="4" w:space="0" w:color="auto"/>
              <w:right w:val="nil"/>
            </w:tcBorders>
            <w:vAlign w:val="bottom"/>
            <w:hideMark/>
          </w:tcPr>
          <w:p w14:paraId="59E1E096" w14:textId="77777777" w:rsidR="00104D21" w:rsidRPr="0050210E" w:rsidRDefault="00104D21" w:rsidP="00104D21">
            <w:pPr>
              <w:tabs>
                <w:tab w:val="center" w:pos="671"/>
                <w:tab w:val="right" w:pos="1343"/>
              </w:tabs>
              <w:jc w:val="right"/>
              <w:rPr>
                <w:rFonts w:ascii="Arial" w:hAnsi="Arial" w:cs="Arial"/>
                <w:sz w:val="24"/>
                <w:szCs w:val="24"/>
              </w:rPr>
            </w:pPr>
            <w:r w:rsidRPr="0050210E">
              <w:rPr>
                <w:rFonts w:ascii="Arial" w:hAnsi="Arial" w:cs="Arial"/>
                <w:sz w:val="24"/>
                <w:szCs w:val="24"/>
              </w:rPr>
              <w:tab/>
            </w:r>
            <w:r w:rsidRPr="0050210E">
              <w:rPr>
                <w:rFonts w:ascii="Arial" w:hAnsi="Arial" w:cs="Arial"/>
                <w:sz w:val="24"/>
                <w:szCs w:val="24"/>
              </w:rPr>
              <w:tab/>
              <w:t>2.</w:t>
            </w:r>
            <w:r>
              <w:rPr>
                <w:rFonts w:ascii="Arial" w:hAnsi="Arial" w:cs="Arial"/>
                <w:sz w:val="24"/>
                <w:szCs w:val="24"/>
              </w:rPr>
              <w:t>4</w:t>
            </w:r>
            <w:r w:rsidRPr="0050210E">
              <w:rPr>
                <w:rFonts w:ascii="Arial" w:hAnsi="Arial" w:cs="Arial"/>
                <w:sz w:val="24"/>
                <w:szCs w:val="24"/>
              </w:rPr>
              <w:t>x</w:t>
            </w:r>
          </w:p>
        </w:tc>
      </w:tr>
    </w:tbl>
    <w:p w14:paraId="2AE649A1" w14:textId="77777777" w:rsidR="00104D21" w:rsidRDefault="00104D21" w:rsidP="00104D21">
      <w:pPr>
        <w:jc w:val="left"/>
        <w:rPr>
          <w:rFonts w:ascii="Arial" w:hAnsi="Arial" w:cs="Arial"/>
          <w:sz w:val="24"/>
          <w:szCs w:val="24"/>
        </w:rPr>
      </w:pPr>
    </w:p>
    <w:p w14:paraId="5FA36F11" w14:textId="77777777" w:rsidR="00104D21" w:rsidRPr="00506D26" w:rsidRDefault="00104D21" w:rsidP="00104D21">
      <w:pPr>
        <w:ind w:right="-368"/>
        <w:jc w:val="left"/>
        <w:rPr>
          <w:rFonts w:ascii="Arial" w:hAnsi="Arial" w:cs="Arial"/>
          <w:sz w:val="18"/>
          <w:szCs w:val="18"/>
        </w:rPr>
      </w:pPr>
      <w:r w:rsidRPr="00506D26">
        <w:rPr>
          <w:rFonts w:ascii="Arial" w:hAnsi="Arial" w:cs="Arial"/>
          <w:iCs/>
          <w:sz w:val="18"/>
          <w:szCs w:val="18"/>
          <w:vertAlign w:val="superscript"/>
        </w:rPr>
        <w:t>(1)</w:t>
      </w:r>
      <w:r w:rsidRPr="00506D26">
        <w:rPr>
          <w:rFonts w:ascii="Arial" w:hAnsi="Arial" w:cs="Arial"/>
          <w:iCs/>
          <w:sz w:val="18"/>
          <w:szCs w:val="18"/>
        </w:rPr>
        <w:t xml:space="preserve"> </w:t>
      </w:r>
      <w:r w:rsidRPr="00506D26">
        <w:rPr>
          <w:rFonts w:ascii="Arial" w:hAnsi="Arial" w:cs="Arial"/>
          <w:sz w:val="18"/>
          <w:szCs w:val="18"/>
        </w:rPr>
        <w:t>Comparatives restated to reflect disposal of Hornbach.</w:t>
      </w:r>
    </w:p>
    <w:p w14:paraId="1BE8C741" w14:textId="77777777" w:rsidR="00104D21" w:rsidRPr="00506D26" w:rsidRDefault="00104D21" w:rsidP="00104D21">
      <w:pPr>
        <w:ind w:right="-368"/>
        <w:jc w:val="left"/>
        <w:rPr>
          <w:rFonts w:ascii="Arial" w:hAnsi="Arial" w:cs="Arial"/>
          <w:sz w:val="18"/>
          <w:szCs w:val="18"/>
        </w:rPr>
      </w:pPr>
      <w:r w:rsidRPr="00506D26">
        <w:rPr>
          <w:rFonts w:ascii="Arial" w:hAnsi="Arial" w:cs="Arial"/>
          <w:iCs/>
          <w:sz w:val="18"/>
          <w:szCs w:val="18"/>
          <w:vertAlign w:val="superscript"/>
        </w:rPr>
        <w:t>(2)</w:t>
      </w:r>
      <w:r w:rsidRPr="00506D26">
        <w:rPr>
          <w:rFonts w:ascii="Arial" w:hAnsi="Arial" w:cs="Arial"/>
          <w:iCs/>
          <w:sz w:val="18"/>
          <w:szCs w:val="18"/>
        </w:rPr>
        <w:t xml:space="preserve"> </w:t>
      </w:r>
      <w:r w:rsidRPr="00506D26">
        <w:rPr>
          <w:rFonts w:ascii="Arial" w:hAnsi="Arial" w:cs="Arial"/>
          <w:sz w:val="18"/>
          <w:szCs w:val="18"/>
        </w:rPr>
        <w:t>Kingfisher believes 8x is a reasonable industry standard for estimating the economic value of its leased assets.</w:t>
      </w:r>
    </w:p>
    <w:p w14:paraId="4C30C78D" w14:textId="77777777" w:rsidR="00104D21" w:rsidRDefault="00104D21" w:rsidP="00104D21">
      <w:pPr>
        <w:jc w:val="left"/>
        <w:rPr>
          <w:rFonts w:ascii="Arial" w:hAnsi="Arial" w:cs="Arial"/>
          <w:sz w:val="24"/>
          <w:szCs w:val="24"/>
        </w:rPr>
      </w:pPr>
    </w:p>
    <w:p w14:paraId="12E1266B" w14:textId="77777777" w:rsidR="000952F8" w:rsidRDefault="000952F8" w:rsidP="00104D21">
      <w:pPr>
        <w:jc w:val="left"/>
        <w:rPr>
          <w:rFonts w:ascii="Arial" w:hAnsi="Arial" w:cs="Arial"/>
          <w:sz w:val="24"/>
          <w:szCs w:val="24"/>
        </w:rPr>
      </w:pPr>
    </w:p>
    <w:p w14:paraId="06645C3F" w14:textId="4B62BA97" w:rsidR="00104D21" w:rsidRPr="001504FC" w:rsidRDefault="00104D21" w:rsidP="00104D21">
      <w:pPr>
        <w:jc w:val="left"/>
        <w:rPr>
          <w:rFonts w:ascii="Arial" w:hAnsi="Arial" w:cs="Arial"/>
          <w:sz w:val="24"/>
          <w:szCs w:val="24"/>
        </w:rPr>
      </w:pPr>
      <w:r w:rsidRPr="00657B3E">
        <w:rPr>
          <w:rFonts w:ascii="Arial" w:hAnsi="Arial" w:cs="Arial"/>
          <w:sz w:val="24"/>
          <w:szCs w:val="24"/>
        </w:rPr>
        <w:lastRenderedPageBreak/>
        <w:t>Kingfisher currently holds a BBB credit rating with two of the three rating agencies. The third agency remains at BBB- with positive</w:t>
      </w:r>
      <w:r w:rsidR="001C43C3">
        <w:rPr>
          <w:rFonts w:ascii="Arial" w:hAnsi="Arial" w:cs="Arial"/>
          <w:sz w:val="24"/>
          <w:szCs w:val="24"/>
        </w:rPr>
        <w:t xml:space="preserve"> </w:t>
      </w:r>
      <w:r w:rsidR="001C43C3" w:rsidRPr="00657B3E">
        <w:rPr>
          <w:rFonts w:ascii="Arial" w:hAnsi="Arial" w:cs="Arial"/>
          <w:sz w:val="24"/>
          <w:szCs w:val="24"/>
        </w:rPr>
        <w:t>outlook</w:t>
      </w:r>
      <w:r w:rsidRPr="00657B3E">
        <w:rPr>
          <w:rFonts w:ascii="Arial" w:hAnsi="Arial" w:cs="Arial"/>
          <w:sz w:val="24"/>
          <w:szCs w:val="24"/>
        </w:rPr>
        <w:t>.</w:t>
      </w:r>
      <w:r>
        <w:rPr>
          <w:rFonts w:ascii="Arial" w:hAnsi="Arial" w:cs="Arial"/>
          <w:sz w:val="24"/>
          <w:szCs w:val="24"/>
        </w:rPr>
        <w:t xml:space="preserve"> </w:t>
      </w:r>
      <w:r w:rsidRPr="001504FC">
        <w:rPr>
          <w:rFonts w:ascii="Arial" w:hAnsi="Arial" w:cs="Arial"/>
          <w:sz w:val="24"/>
          <w:szCs w:val="24"/>
        </w:rPr>
        <w:t>Kingfisher aims to maintain its solid investment grade credit rating whilst investing in the business where economic returns are attractive and paying a healthy annual dividend to shareholders. After satisfying these key aims and taking into account the economic and trading outlook</w:t>
      </w:r>
      <w:r>
        <w:rPr>
          <w:rFonts w:ascii="Arial" w:hAnsi="Arial" w:cs="Arial"/>
          <w:sz w:val="24"/>
          <w:szCs w:val="24"/>
        </w:rPr>
        <w:t>,</w:t>
      </w:r>
      <w:r w:rsidRPr="001504FC">
        <w:rPr>
          <w:rFonts w:ascii="Arial" w:hAnsi="Arial" w:cs="Arial"/>
          <w:sz w:val="24"/>
          <w:szCs w:val="24"/>
        </w:rPr>
        <w:t xml:space="preserve"> any surplus capital would be returned to shareholders.</w:t>
      </w:r>
    </w:p>
    <w:p w14:paraId="53337F34" w14:textId="77777777" w:rsidR="00104D21" w:rsidRPr="001504FC" w:rsidRDefault="00104D21" w:rsidP="00104D21">
      <w:pPr>
        <w:jc w:val="left"/>
        <w:rPr>
          <w:rFonts w:ascii="Arial" w:hAnsi="Arial" w:cs="Arial"/>
          <w:sz w:val="24"/>
          <w:szCs w:val="24"/>
        </w:rPr>
      </w:pPr>
    </w:p>
    <w:p w14:paraId="79A3CF12" w14:textId="430A3ECE" w:rsidR="00104D21" w:rsidRPr="00C82F88" w:rsidRDefault="00104D21" w:rsidP="00104D21">
      <w:pPr>
        <w:jc w:val="left"/>
        <w:rPr>
          <w:rFonts w:ascii="Arial" w:hAnsi="Arial" w:cs="Arial"/>
          <w:sz w:val="24"/>
          <w:szCs w:val="24"/>
        </w:rPr>
      </w:pPr>
      <w:r w:rsidRPr="00C82F88">
        <w:rPr>
          <w:rFonts w:ascii="Arial" w:hAnsi="Arial" w:cs="Arial" w:hint="eastAsia"/>
          <w:sz w:val="24"/>
          <w:szCs w:val="24"/>
        </w:rPr>
        <w:t xml:space="preserve">Kingfisher regularly reviews the level of cash and debt facilities required to fund its activities. This involves preparing a prudent cash flow forecast for the next </w:t>
      </w:r>
      <w:r>
        <w:rPr>
          <w:rFonts w:ascii="Arial" w:hAnsi="Arial" w:cs="Arial"/>
          <w:sz w:val="24"/>
          <w:szCs w:val="24"/>
        </w:rPr>
        <w:t>five</w:t>
      </w:r>
      <w:r w:rsidRPr="00C82F88">
        <w:rPr>
          <w:rFonts w:ascii="Arial" w:hAnsi="Arial" w:cs="Arial" w:hint="eastAsia"/>
          <w:sz w:val="24"/>
          <w:szCs w:val="24"/>
        </w:rPr>
        <w:t xml:space="preserve"> years, determining the level of debt facilities required to fund the business, planning for repayments of debt at its maturity and identifying an appropriate amount of headroom to provide a reserve against unexpected outflows. </w:t>
      </w:r>
    </w:p>
    <w:p w14:paraId="1C4BD5EF" w14:textId="77777777" w:rsidR="00104D21" w:rsidRDefault="00104D21" w:rsidP="00104D21">
      <w:pPr>
        <w:jc w:val="left"/>
        <w:rPr>
          <w:rFonts w:ascii="Arial" w:hAnsi="Arial" w:cs="Arial"/>
          <w:sz w:val="24"/>
          <w:szCs w:val="24"/>
        </w:rPr>
      </w:pPr>
    </w:p>
    <w:p w14:paraId="245AF6FC" w14:textId="16C0EA30" w:rsidR="00104D21" w:rsidRDefault="00104D21" w:rsidP="00104D21">
      <w:pPr>
        <w:ind w:right="-368"/>
        <w:jc w:val="left"/>
        <w:rPr>
          <w:rFonts w:ascii="Arial" w:hAnsi="Arial" w:cs="Arial"/>
          <w:sz w:val="24"/>
          <w:szCs w:val="24"/>
        </w:rPr>
      </w:pPr>
      <w:r w:rsidRPr="00413565">
        <w:rPr>
          <w:rFonts w:ascii="Arial" w:hAnsi="Arial" w:cs="Arial"/>
          <w:sz w:val="24"/>
          <w:szCs w:val="24"/>
        </w:rPr>
        <w:t xml:space="preserve">At 31 January </w:t>
      </w:r>
      <w:r>
        <w:rPr>
          <w:rFonts w:ascii="Arial" w:hAnsi="Arial" w:cs="Arial"/>
          <w:sz w:val="24"/>
          <w:szCs w:val="24"/>
        </w:rPr>
        <w:t xml:space="preserve">2015 </w:t>
      </w:r>
      <w:r w:rsidRPr="00413565">
        <w:rPr>
          <w:rFonts w:ascii="Arial" w:hAnsi="Arial" w:cs="Arial"/>
          <w:sz w:val="24"/>
          <w:szCs w:val="24"/>
        </w:rPr>
        <w:t xml:space="preserve">the Group had a £200 million committed facility that expires in 2016 and </w:t>
      </w:r>
      <w:r w:rsidRPr="001C43C3">
        <w:rPr>
          <w:rFonts w:ascii="Arial" w:hAnsi="Arial" w:cs="Arial"/>
          <w:sz w:val="24"/>
          <w:szCs w:val="24"/>
        </w:rPr>
        <w:t xml:space="preserve">was undrawn. </w:t>
      </w:r>
      <w:r w:rsidRPr="0075047A">
        <w:rPr>
          <w:rFonts w:ascii="Arial" w:hAnsi="Arial" w:cs="Arial"/>
          <w:sz w:val="24"/>
          <w:szCs w:val="24"/>
        </w:rPr>
        <w:t>A new £</w:t>
      </w:r>
      <w:r w:rsidR="001C43C3" w:rsidRPr="0075047A">
        <w:rPr>
          <w:rFonts w:ascii="Arial" w:hAnsi="Arial" w:cs="Arial"/>
          <w:sz w:val="24"/>
          <w:szCs w:val="24"/>
        </w:rPr>
        <w:t xml:space="preserve">225 </w:t>
      </w:r>
      <w:r w:rsidRPr="0075047A">
        <w:rPr>
          <w:rFonts w:ascii="Arial" w:hAnsi="Arial" w:cs="Arial"/>
          <w:sz w:val="24"/>
          <w:szCs w:val="24"/>
        </w:rPr>
        <w:t>million committed facility that expires in March 2020 has been executed since the balance sheet date.</w:t>
      </w:r>
      <w:r w:rsidRPr="001C43C3">
        <w:rPr>
          <w:rFonts w:ascii="Arial" w:hAnsi="Arial" w:cs="Arial"/>
          <w:sz w:val="24"/>
          <w:szCs w:val="24"/>
        </w:rPr>
        <w:t xml:space="preserve"> The next significant debt maturity is in May 2016</w:t>
      </w:r>
      <w:r w:rsidRPr="00413565">
        <w:rPr>
          <w:rFonts w:ascii="Arial" w:hAnsi="Arial" w:cs="Arial"/>
          <w:sz w:val="24"/>
          <w:szCs w:val="24"/>
        </w:rPr>
        <w:t xml:space="preserve"> when the Group is required to repay US Private Placement debt with a</w:t>
      </w:r>
      <w:r>
        <w:rPr>
          <w:rFonts w:ascii="Arial" w:hAnsi="Arial" w:cs="Arial"/>
          <w:sz w:val="24"/>
          <w:szCs w:val="24"/>
        </w:rPr>
        <w:t xml:space="preserve"> </w:t>
      </w:r>
      <w:r w:rsidR="001C43C3">
        <w:rPr>
          <w:rFonts w:ascii="Arial" w:hAnsi="Arial" w:cs="Arial"/>
          <w:sz w:val="24"/>
          <w:szCs w:val="24"/>
        </w:rPr>
        <w:t xml:space="preserve">nominal </w:t>
      </w:r>
      <w:r>
        <w:rPr>
          <w:rFonts w:ascii="Arial" w:hAnsi="Arial" w:cs="Arial"/>
          <w:sz w:val="24"/>
          <w:szCs w:val="24"/>
        </w:rPr>
        <w:t>value of $68 million.</w:t>
      </w:r>
    </w:p>
    <w:p w14:paraId="50C1EE1F" w14:textId="77777777" w:rsidR="00104D21" w:rsidRPr="00B47033" w:rsidRDefault="00104D21" w:rsidP="00104D21">
      <w:pPr>
        <w:ind w:right="-368"/>
        <w:jc w:val="left"/>
        <w:rPr>
          <w:rFonts w:ascii="Arial" w:hAnsi="Arial" w:cs="Arial"/>
          <w:sz w:val="24"/>
          <w:szCs w:val="24"/>
        </w:rPr>
      </w:pPr>
    </w:p>
    <w:p w14:paraId="3AD90D87" w14:textId="77777777" w:rsidR="00104D21" w:rsidRPr="0050210E" w:rsidRDefault="00104D21" w:rsidP="00104D21">
      <w:pPr>
        <w:jc w:val="left"/>
        <w:rPr>
          <w:rFonts w:ascii="Arial" w:hAnsi="Arial" w:cs="Arial"/>
          <w:sz w:val="24"/>
          <w:szCs w:val="24"/>
        </w:rPr>
      </w:pPr>
      <w:r w:rsidRPr="00B47033">
        <w:rPr>
          <w:rFonts w:ascii="Arial" w:hAnsi="Arial" w:cs="Arial"/>
          <w:sz w:val="24"/>
          <w:szCs w:val="24"/>
        </w:rPr>
        <w:t xml:space="preserve">The terms of the US Private Placement note agreement and the committed bank facility require only that the ratio of Group operating profit, excluding exceptional items, to net interest payable must be no less than 3:1 </w:t>
      </w:r>
      <w:r w:rsidRPr="00115909">
        <w:rPr>
          <w:rFonts w:ascii="Arial" w:hAnsi="Arial" w:cs="Arial"/>
          <w:sz w:val="24"/>
          <w:szCs w:val="24"/>
        </w:rPr>
        <w:t xml:space="preserve">for the preceding 12 months at half year and full year ends. </w:t>
      </w:r>
      <w:r w:rsidRPr="002B7AFC">
        <w:rPr>
          <w:rFonts w:ascii="Arial" w:hAnsi="Arial" w:cs="Arial"/>
          <w:sz w:val="24"/>
          <w:szCs w:val="24"/>
        </w:rPr>
        <w:t>At the year end the Group’s ratio was significantly higher than this requirement.</w:t>
      </w:r>
    </w:p>
    <w:p w14:paraId="33E8CDF5" w14:textId="77777777" w:rsidR="00104D21" w:rsidRPr="00B47033" w:rsidRDefault="00104D21" w:rsidP="00104D21">
      <w:pPr>
        <w:jc w:val="left"/>
        <w:rPr>
          <w:rFonts w:ascii="Arial" w:hAnsi="Arial" w:cs="Arial"/>
          <w:sz w:val="24"/>
          <w:szCs w:val="24"/>
        </w:rPr>
      </w:pPr>
    </w:p>
    <w:p w14:paraId="053208A6" w14:textId="77777777" w:rsidR="00104D21" w:rsidRPr="00115737" w:rsidRDefault="00104D21" w:rsidP="00104D21">
      <w:pPr>
        <w:ind w:right="-368"/>
        <w:jc w:val="left"/>
        <w:rPr>
          <w:rStyle w:val="Hyperlink"/>
          <w:rFonts w:ascii="Arial" w:hAnsi="Arial" w:cs="Arial"/>
          <w:sz w:val="24"/>
          <w:szCs w:val="24"/>
        </w:rPr>
      </w:pPr>
      <w:r w:rsidRPr="00115737">
        <w:rPr>
          <w:rFonts w:ascii="Arial" w:hAnsi="Arial" w:cs="Arial"/>
          <w:sz w:val="24"/>
          <w:szCs w:val="24"/>
        </w:rPr>
        <w:t xml:space="preserve">The maturity profile of Kingfisher’s debt is illustrated at: </w:t>
      </w:r>
      <w:hyperlink r:id="rId9" w:history="1">
        <w:r w:rsidRPr="00115737">
          <w:rPr>
            <w:rStyle w:val="Hyperlink"/>
            <w:rFonts w:ascii="Arial" w:hAnsi="Arial" w:cs="Arial"/>
            <w:sz w:val="24"/>
            <w:szCs w:val="24"/>
          </w:rPr>
          <w:t>www.kingfisher.com/index.asp?pageid=76</w:t>
        </w:r>
      </w:hyperlink>
    </w:p>
    <w:p w14:paraId="6B827735" w14:textId="77777777" w:rsidR="00104D21" w:rsidRPr="00115737" w:rsidRDefault="00104D21" w:rsidP="00104D21">
      <w:pPr>
        <w:ind w:right="-368"/>
        <w:jc w:val="left"/>
        <w:rPr>
          <w:rFonts w:ascii="Arial" w:hAnsi="Arial" w:cs="Arial"/>
          <w:sz w:val="24"/>
          <w:szCs w:val="24"/>
          <w:u w:val="single"/>
        </w:rPr>
      </w:pPr>
    </w:p>
    <w:p w14:paraId="07242139" w14:textId="285AF78C" w:rsidR="00104D21" w:rsidRDefault="00104D21" w:rsidP="00104D21">
      <w:pPr>
        <w:jc w:val="left"/>
        <w:rPr>
          <w:rFonts w:ascii="Arial" w:hAnsi="Arial" w:cs="Arial"/>
          <w:sz w:val="24"/>
          <w:szCs w:val="24"/>
        </w:rPr>
      </w:pPr>
      <w:r w:rsidRPr="00C82F88">
        <w:rPr>
          <w:rFonts w:ascii="Arial" w:hAnsi="Arial" w:cs="Arial" w:hint="eastAsia"/>
          <w:sz w:val="24"/>
          <w:szCs w:val="24"/>
        </w:rPr>
        <w:t xml:space="preserve">The Group has entered into interest rate derivative contracts to convert the fixed rate payable on its </w:t>
      </w:r>
      <w:r w:rsidR="00A739B8">
        <w:rPr>
          <w:rFonts w:ascii="Arial" w:hAnsi="Arial" w:cs="Arial"/>
          <w:sz w:val="24"/>
          <w:szCs w:val="24"/>
        </w:rPr>
        <w:t>MTNs</w:t>
      </w:r>
      <w:r w:rsidR="001C43C3">
        <w:rPr>
          <w:rFonts w:ascii="Arial" w:hAnsi="Arial" w:cs="Arial"/>
          <w:sz w:val="24"/>
          <w:szCs w:val="24"/>
        </w:rPr>
        <w:t>*</w:t>
      </w:r>
      <w:r w:rsidR="00A739B8" w:rsidRPr="00C82F88">
        <w:rPr>
          <w:rFonts w:ascii="Arial" w:hAnsi="Arial" w:cs="Arial" w:hint="eastAsia"/>
          <w:sz w:val="24"/>
          <w:szCs w:val="24"/>
        </w:rPr>
        <w:t xml:space="preserve"> </w:t>
      </w:r>
      <w:r w:rsidRPr="00C82F88">
        <w:rPr>
          <w:rFonts w:ascii="Arial" w:hAnsi="Arial" w:cs="Arial" w:hint="eastAsia"/>
          <w:sz w:val="24"/>
          <w:szCs w:val="24"/>
        </w:rPr>
        <w:t>and US Private Placement notes to a floating rate of interest. The floating interest rates paid by the Group under its financing arrangements are based on LIBOR and EURIBOR plus a margin</w:t>
      </w:r>
      <w:r w:rsidR="00A739B8">
        <w:rPr>
          <w:rFonts w:ascii="Arial" w:hAnsi="Arial" w:cs="Arial"/>
          <w:sz w:val="24"/>
          <w:szCs w:val="24"/>
        </w:rPr>
        <w:t>,</w:t>
      </w:r>
      <w:r w:rsidRPr="00C82F88">
        <w:rPr>
          <w:rFonts w:ascii="Arial" w:hAnsi="Arial" w:cs="Arial" w:hint="eastAsia"/>
          <w:sz w:val="24"/>
          <w:szCs w:val="24"/>
        </w:rPr>
        <w:t xml:space="preserve"> </w:t>
      </w:r>
      <w:r w:rsidR="00A739B8">
        <w:rPr>
          <w:rFonts w:ascii="Arial" w:hAnsi="Arial" w:cs="Arial"/>
          <w:sz w:val="24"/>
          <w:szCs w:val="24"/>
        </w:rPr>
        <w:t>which</w:t>
      </w:r>
      <w:r w:rsidRPr="00C82F88">
        <w:rPr>
          <w:rFonts w:ascii="Arial" w:hAnsi="Arial" w:cs="Arial" w:hint="eastAsia"/>
          <w:sz w:val="24"/>
          <w:szCs w:val="24"/>
        </w:rPr>
        <w:t xml:space="preserve"> were not changed during the year.</w:t>
      </w:r>
      <w:r w:rsidR="00A739B8">
        <w:rPr>
          <w:rFonts w:ascii="Arial" w:hAnsi="Arial" w:cs="Arial"/>
          <w:sz w:val="24"/>
          <w:szCs w:val="24"/>
        </w:rPr>
        <w:t xml:space="preserve"> In December 2014, the sterling MTN of £73 million was repaid.</w:t>
      </w:r>
    </w:p>
    <w:p w14:paraId="101B29A7" w14:textId="77777777" w:rsidR="00104D21" w:rsidRDefault="00104D21" w:rsidP="00104D21">
      <w:pPr>
        <w:rPr>
          <w:rFonts w:ascii="Arial" w:hAnsi="Arial" w:cs="Arial"/>
          <w:b/>
          <w:sz w:val="24"/>
          <w:szCs w:val="24"/>
        </w:rPr>
      </w:pPr>
    </w:p>
    <w:p w14:paraId="7D19AA01" w14:textId="77777777" w:rsidR="00104D21" w:rsidRPr="00F61F1E" w:rsidRDefault="00104D21" w:rsidP="00104D21">
      <w:pPr>
        <w:rPr>
          <w:rFonts w:ascii="Arial" w:hAnsi="Arial" w:cs="Arial"/>
          <w:b/>
          <w:sz w:val="24"/>
          <w:szCs w:val="24"/>
        </w:rPr>
      </w:pPr>
      <w:r w:rsidRPr="007275FE">
        <w:rPr>
          <w:rFonts w:ascii="Arial" w:hAnsi="Arial" w:cs="Arial"/>
          <w:b/>
          <w:sz w:val="24"/>
          <w:szCs w:val="24"/>
        </w:rPr>
        <w:t>Acquisitions</w:t>
      </w:r>
      <w:r>
        <w:rPr>
          <w:rFonts w:ascii="Arial" w:hAnsi="Arial" w:cs="Arial"/>
          <w:b/>
          <w:sz w:val="24"/>
          <w:szCs w:val="24"/>
        </w:rPr>
        <w:t xml:space="preserve"> and disposals</w:t>
      </w:r>
    </w:p>
    <w:p w14:paraId="5C9BED5C" w14:textId="77777777" w:rsidR="00104D21" w:rsidRDefault="00104D21" w:rsidP="00104D21">
      <w:pPr>
        <w:jc w:val="left"/>
        <w:rPr>
          <w:rFonts w:ascii="Arial" w:hAnsi="Arial" w:cs="Arial"/>
          <w:sz w:val="24"/>
          <w:szCs w:val="24"/>
        </w:rPr>
      </w:pPr>
    </w:p>
    <w:p w14:paraId="7798F93F" w14:textId="45E02328" w:rsidR="004923F7" w:rsidRDefault="004923F7" w:rsidP="004923F7">
      <w:pPr>
        <w:jc w:val="left"/>
        <w:rPr>
          <w:rFonts w:ascii="Arial" w:hAnsi="Arial" w:cs="Arial"/>
          <w:sz w:val="24"/>
          <w:szCs w:val="24"/>
        </w:rPr>
      </w:pPr>
      <w:r w:rsidRPr="004923F7">
        <w:rPr>
          <w:rFonts w:ascii="Arial" w:hAnsi="Arial" w:cs="Arial"/>
          <w:sz w:val="24"/>
          <w:szCs w:val="24"/>
        </w:rPr>
        <w:t>On 23 July 2014 Kingfisher entered into a binding agreement with the principal shareholders of Mr Bricolage to acquire their shareholdings subject to satisfactory anti-trust clearance. At a late stage Mr Bricolage and the ANPF (an organisation controlled by Mr Bricolage’s franchisees holding 41.9% of the share capital of Mr Bricolage), indicated that the undertakings in France required to obtain the competition clearance were no longer in their interests. Without the consent of Mr Bricolage and the ANPF, the competition clearance undertakings necessary to finalise the transaction could not be given. The agreement also made provision that it would lapse if the anti-trust clearance was not obtained by 31 March 2015 although an extension could have been agreed by all parties. The ANPF did not agree to this extension.</w:t>
      </w:r>
    </w:p>
    <w:p w14:paraId="2B2CA5B3" w14:textId="77777777" w:rsidR="004923F7" w:rsidRPr="004923F7" w:rsidRDefault="004923F7" w:rsidP="004923F7">
      <w:pPr>
        <w:jc w:val="left"/>
        <w:rPr>
          <w:rFonts w:ascii="Arial" w:hAnsi="Arial" w:cs="Arial"/>
          <w:sz w:val="24"/>
          <w:szCs w:val="24"/>
        </w:rPr>
      </w:pPr>
    </w:p>
    <w:p w14:paraId="1451ABE6" w14:textId="63E2AE9C" w:rsidR="00104D21" w:rsidRPr="001D5481" w:rsidRDefault="004923F7" w:rsidP="00104D21">
      <w:pPr>
        <w:jc w:val="left"/>
        <w:rPr>
          <w:rFonts w:ascii="Arial" w:hAnsi="Arial" w:cs="Arial"/>
          <w:sz w:val="24"/>
          <w:szCs w:val="24"/>
        </w:rPr>
      </w:pPr>
      <w:r w:rsidRPr="004923F7">
        <w:rPr>
          <w:rFonts w:ascii="Arial" w:hAnsi="Arial" w:cs="Arial"/>
          <w:sz w:val="24"/>
          <w:szCs w:val="24"/>
        </w:rPr>
        <w:t xml:space="preserve">Notwithstanding Kingfisher’s efforts to pursue the completion of the transaction, the anti-trust clearance was not obtained by 31 March 2015 and therefore the July 2014 agreement lapsed on that date and the transaction could not proceed. Kingfisher is considering all of its options.  </w:t>
      </w:r>
    </w:p>
    <w:p w14:paraId="6ADD9985" w14:textId="77777777" w:rsidR="004923F7" w:rsidRDefault="004923F7" w:rsidP="00104D21">
      <w:pPr>
        <w:jc w:val="left"/>
        <w:rPr>
          <w:rFonts w:ascii="Arial" w:hAnsi="Arial" w:cs="Arial"/>
          <w:sz w:val="24"/>
          <w:szCs w:val="24"/>
        </w:rPr>
      </w:pPr>
    </w:p>
    <w:p w14:paraId="1C3C50A0" w14:textId="77777777" w:rsidR="00104D21" w:rsidRPr="001D5481" w:rsidRDefault="00104D21" w:rsidP="00104D21">
      <w:pPr>
        <w:jc w:val="left"/>
        <w:rPr>
          <w:rFonts w:ascii="Arial" w:hAnsi="Arial" w:cs="Arial"/>
          <w:sz w:val="24"/>
          <w:szCs w:val="24"/>
        </w:rPr>
      </w:pPr>
      <w:r w:rsidRPr="001D5481">
        <w:rPr>
          <w:rFonts w:ascii="Arial" w:hAnsi="Arial" w:cs="Arial"/>
          <w:sz w:val="24"/>
          <w:szCs w:val="24"/>
        </w:rPr>
        <w:lastRenderedPageBreak/>
        <w:t>On 22 December 2014, Kingfisher announced a binding agreement to sell a controlling 70% stake in its B&amp;Q China business to Wumei Holdings Inc for a total cash consideration of £140 million. The agreement followed Kingfisher’s previous announcement of its plans to look for a strategic partner to help develop its B&amp;Q business in China. The transaction is conditional on MOFCOM (Chinese Ministry of Commerce) approval and, if approved, is expected to close during the first half of Kingfisher’s 2015/16 financial year.</w:t>
      </w:r>
    </w:p>
    <w:p w14:paraId="50EDDB32" w14:textId="77777777" w:rsidR="00104D21" w:rsidRDefault="00104D21" w:rsidP="00104D21">
      <w:pPr>
        <w:jc w:val="left"/>
        <w:rPr>
          <w:rFonts w:ascii="Arial" w:hAnsi="Arial" w:cs="Arial"/>
          <w:sz w:val="24"/>
          <w:szCs w:val="24"/>
          <w:highlight w:val="yellow"/>
        </w:rPr>
      </w:pPr>
    </w:p>
    <w:p w14:paraId="3B9FFFB4" w14:textId="77777777" w:rsidR="00104D21" w:rsidRDefault="00104D21" w:rsidP="00104D21">
      <w:pPr>
        <w:jc w:val="left"/>
        <w:rPr>
          <w:rFonts w:ascii="Arial" w:hAnsi="Arial" w:cs="Arial"/>
          <w:sz w:val="24"/>
          <w:szCs w:val="24"/>
        </w:rPr>
      </w:pPr>
      <w:r w:rsidRPr="0050210E">
        <w:rPr>
          <w:rFonts w:ascii="Arial" w:hAnsi="Arial" w:cs="Arial"/>
          <w:sz w:val="24"/>
          <w:szCs w:val="24"/>
        </w:rPr>
        <w:t>The Group received proceeds of €236 million (£198 million) following the disposal of its 21% stake in Hornbach in March 2014</w:t>
      </w:r>
      <w:r>
        <w:rPr>
          <w:rFonts w:ascii="Arial" w:hAnsi="Arial" w:cs="Arial"/>
          <w:sz w:val="24"/>
          <w:szCs w:val="24"/>
        </w:rPr>
        <w:t>.</w:t>
      </w:r>
    </w:p>
    <w:p w14:paraId="04215E2F" w14:textId="77777777" w:rsidR="00104D21" w:rsidRDefault="00104D21" w:rsidP="00104D21">
      <w:pPr>
        <w:jc w:val="left"/>
        <w:rPr>
          <w:rFonts w:ascii="Arial" w:hAnsi="Arial" w:cs="Arial"/>
          <w:sz w:val="24"/>
          <w:szCs w:val="24"/>
        </w:rPr>
      </w:pPr>
    </w:p>
    <w:p w14:paraId="0F26D09F" w14:textId="77777777" w:rsidR="00104D21" w:rsidRDefault="00104D21" w:rsidP="00104D21">
      <w:pPr>
        <w:jc w:val="left"/>
        <w:rPr>
          <w:rFonts w:ascii="Arial" w:hAnsi="Arial" w:cs="Arial"/>
          <w:sz w:val="24"/>
          <w:szCs w:val="24"/>
        </w:rPr>
      </w:pPr>
      <w:r>
        <w:rPr>
          <w:rFonts w:ascii="Arial" w:hAnsi="Arial" w:cs="Arial"/>
          <w:sz w:val="24"/>
          <w:szCs w:val="24"/>
        </w:rPr>
        <w:t>I</w:t>
      </w:r>
      <w:r w:rsidRPr="0050210E">
        <w:rPr>
          <w:rFonts w:ascii="Arial" w:hAnsi="Arial" w:cs="Arial"/>
          <w:sz w:val="24"/>
          <w:szCs w:val="24"/>
        </w:rPr>
        <w:t xml:space="preserve">n </w:t>
      </w:r>
      <w:r>
        <w:rPr>
          <w:rFonts w:ascii="Arial" w:hAnsi="Arial" w:cs="Arial"/>
          <w:sz w:val="24"/>
          <w:szCs w:val="24"/>
        </w:rPr>
        <w:t xml:space="preserve">2013/14 </w:t>
      </w:r>
      <w:r w:rsidRPr="0050210E">
        <w:rPr>
          <w:rFonts w:ascii="Arial" w:hAnsi="Arial" w:cs="Arial"/>
          <w:sz w:val="24"/>
          <w:szCs w:val="24"/>
        </w:rPr>
        <w:t>the Group acquired 100% of Bricostore Romania for £63 million (including debt).</w:t>
      </w:r>
      <w:r>
        <w:rPr>
          <w:rFonts w:ascii="Arial" w:hAnsi="Arial" w:cs="Arial"/>
          <w:sz w:val="24"/>
          <w:szCs w:val="24"/>
        </w:rPr>
        <w:t xml:space="preserve"> </w:t>
      </w:r>
    </w:p>
    <w:p w14:paraId="5F1E294B" w14:textId="77777777" w:rsidR="00104D21" w:rsidRDefault="00104D21" w:rsidP="00104D21">
      <w:pPr>
        <w:jc w:val="left"/>
        <w:rPr>
          <w:rFonts w:ascii="Arial" w:hAnsi="Arial" w:cs="Arial"/>
          <w:sz w:val="24"/>
          <w:szCs w:val="24"/>
        </w:rPr>
      </w:pPr>
    </w:p>
    <w:p w14:paraId="232311AB" w14:textId="77777777" w:rsidR="00104D21" w:rsidRPr="00C82F88" w:rsidRDefault="00104D21" w:rsidP="00104D21">
      <w:pPr>
        <w:jc w:val="left"/>
        <w:rPr>
          <w:rFonts w:ascii="Arial" w:hAnsi="Arial" w:cs="Arial"/>
          <w:b/>
          <w:sz w:val="24"/>
          <w:szCs w:val="24"/>
        </w:rPr>
      </w:pPr>
      <w:r w:rsidRPr="00C82F88">
        <w:rPr>
          <w:rFonts w:ascii="Arial" w:hAnsi="Arial" w:cs="Arial"/>
          <w:b/>
          <w:sz w:val="24"/>
          <w:szCs w:val="24"/>
        </w:rPr>
        <w:t>Pensions</w:t>
      </w:r>
    </w:p>
    <w:p w14:paraId="1369846C" w14:textId="77777777" w:rsidR="00104D21" w:rsidRDefault="00104D21" w:rsidP="00104D21">
      <w:pPr>
        <w:rPr>
          <w:rFonts w:ascii="Arial" w:hAnsi="Arial" w:cs="Arial"/>
          <w:b/>
          <w:sz w:val="24"/>
          <w:szCs w:val="24"/>
        </w:rPr>
      </w:pPr>
    </w:p>
    <w:p w14:paraId="5209D8A8" w14:textId="77777777" w:rsidR="00104D21" w:rsidRPr="008E40D7" w:rsidRDefault="00104D21" w:rsidP="00104D21">
      <w:pPr>
        <w:jc w:val="left"/>
        <w:rPr>
          <w:rFonts w:ascii="Arial" w:hAnsi="Arial" w:cs="Arial"/>
          <w:sz w:val="24"/>
          <w:szCs w:val="24"/>
        </w:rPr>
      </w:pPr>
      <w:r>
        <w:rPr>
          <w:rFonts w:ascii="Arial" w:hAnsi="Arial" w:cs="Arial"/>
          <w:sz w:val="24"/>
          <w:szCs w:val="24"/>
        </w:rPr>
        <w:t xml:space="preserve">At the year end, the Group had a net </w:t>
      </w:r>
      <w:r w:rsidRPr="008C0F5C">
        <w:rPr>
          <w:rFonts w:ascii="Arial" w:hAnsi="Arial" w:cs="Arial"/>
          <w:sz w:val="24"/>
          <w:szCs w:val="24"/>
        </w:rPr>
        <w:t>surplus of £112 million (2013</w:t>
      </w:r>
      <w:r>
        <w:rPr>
          <w:rFonts w:ascii="Arial" w:hAnsi="Arial" w:cs="Arial"/>
          <w:sz w:val="24"/>
          <w:szCs w:val="24"/>
        </w:rPr>
        <w:t xml:space="preserve">/14: £100 million deficit) in relation to defined benefit pension arrangements, of which a £194 million surplus (2013/14: £29 million deficit) is in relation to the UK Scheme. The </w:t>
      </w:r>
      <w:r w:rsidRPr="003D76FB">
        <w:rPr>
          <w:rFonts w:ascii="Arial" w:hAnsi="Arial" w:cs="Arial"/>
          <w:sz w:val="24"/>
          <w:szCs w:val="24"/>
        </w:rPr>
        <w:t xml:space="preserve">favourable movement is driven by the </w:t>
      </w:r>
      <w:r>
        <w:rPr>
          <w:rFonts w:ascii="Arial" w:hAnsi="Arial" w:cs="Arial"/>
          <w:sz w:val="24"/>
          <w:szCs w:val="24"/>
        </w:rPr>
        <w:t xml:space="preserve">strong </w:t>
      </w:r>
      <w:r w:rsidRPr="003D76FB">
        <w:rPr>
          <w:rFonts w:ascii="Arial" w:hAnsi="Arial" w:cs="Arial"/>
          <w:sz w:val="24"/>
          <w:szCs w:val="24"/>
        </w:rPr>
        <w:t>asset returns</w:t>
      </w:r>
      <w:r>
        <w:rPr>
          <w:rFonts w:ascii="Arial" w:hAnsi="Arial" w:cs="Arial"/>
          <w:sz w:val="24"/>
          <w:szCs w:val="24"/>
        </w:rPr>
        <w:t xml:space="preserve"> over the year</w:t>
      </w:r>
      <w:r w:rsidRPr="003D76FB">
        <w:rPr>
          <w:rFonts w:ascii="Arial" w:hAnsi="Arial" w:cs="Arial"/>
          <w:sz w:val="24"/>
          <w:szCs w:val="24"/>
        </w:rPr>
        <w:t xml:space="preserve">, only partially offset by the impact of the reduced </w:t>
      </w:r>
      <w:r w:rsidRPr="008E40D7">
        <w:rPr>
          <w:rFonts w:ascii="Arial" w:hAnsi="Arial" w:cs="Arial"/>
          <w:sz w:val="24"/>
          <w:szCs w:val="24"/>
        </w:rPr>
        <w:t>discount rate applied to the scheme liabilities. This accounting valuation is sensitive to a number of assumptions and market rates which are likely to fluctuate in the future.</w:t>
      </w:r>
    </w:p>
    <w:p w14:paraId="5EC9926D" w14:textId="77777777" w:rsidR="00104D21" w:rsidRDefault="00104D21" w:rsidP="00104D21">
      <w:pPr>
        <w:jc w:val="left"/>
        <w:rPr>
          <w:rFonts w:ascii="Arial" w:hAnsi="Arial" w:cs="Arial"/>
          <w:sz w:val="24"/>
          <w:szCs w:val="24"/>
        </w:rPr>
      </w:pPr>
    </w:p>
    <w:p w14:paraId="760340ED" w14:textId="77777777" w:rsidR="00104D21" w:rsidRDefault="00104D21" w:rsidP="00104D21">
      <w:pPr>
        <w:rPr>
          <w:rFonts w:ascii="Arial" w:hAnsi="Arial" w:cs="Arial"/>
          <w:b/>
          <w:sz w:val="24"/>
          <w:szCs w:val="24"/>
        </w:rPr>
      </w:pPr>
      <w:r w:rsidRPr="007F6990">
        <w:rPr>
          <w:rFonts w:ascii="Arial" w:hAnsi="Arial" w:cs="Arial" w:hint="eastAsia"/>
          <w:b/>
          <w:sz w:val="24"/>
          <w:szCs w:val="24"/>
        </w:rPr>
        <w:t>Property</w:t>
      </w:r>
      <w:r>
        <w:rPr>
          <w:rFonts w:ascii="Arial" w:hAnsi="Arial" w:cs="Arial"/>
          <w:b/>
          <w:sz w:val="24"/>
          <w:szCs w:val="24"/>
        </w:rPr>
        <w:t xml:space="preserve"> </w:t>
      </w:r>
    </w:p>
    <w:p w14:paraId="75DEC26C" w14:textId="77777777" w:rsidR="00104D21" w:rsidRDefault="00104D21" w:rsidP="00104D21">
      <w:pPr>
        <w:rPr>
          <w:rFonts w:ascii="Arial" w:hAnsi="Arial" w:cs="Arial"/>
          <w:b/>
          <w:sz w:val="24"/>
          <w:szCs w:val="24"/>
        </w:rPr>
      </w:pPr>
    </w:p>
    <w:p w14:paraId="7DD5B306" w14:textId="79C3BC6F" w:rsidR="00104D21" w:rsidRDefault="00104D21" w:rsidP="00104D21">
      <w:pPr>
        <w:jc w:val="left"/>
        <w:rPr>
          <w:rFonts w:ascii="Arial" w:hAnsi="Arial" w:cs="Arial"/>
          <w:sz w:val="24"/>
          <w:szCs w:val="24"/>
        </w:rPr>
      </w:pPr>
      <w:r w:rsidRPr="00C82F88">
        <w:rPr>
          <w:rFonts w:ascii="Arial" w:hAnsi="Arial" w:cs="Arial" w:hint="eastAsia"/>
          <w:sz w:val="24"/>
          <w:szCs w:val="24"/>
        </w:rPr>
        <w:t xml:space="preserve">The Group owns a significant property portfolio, most of </w:t>
      </w:r>
      <w:r w:rsidRPr="001751EE">
        <w:rPr>
          <w:rFonts w:ascii="Arial" w:hAnsi="Arial" w:cs="Arial"/>
          <w:sz w:val="24"/>
          <w:szCs w:val="24"/>
        </w:rPr>
        <w:t xml:space="preserve">which is used for trading purposes. A valuation was performed for internal purposes in </w:t>
      </w:r>
      <w:r w:rsidRPr="002B7AFC">
        <w:rPr>
          <w:rFonts w:ascii="Arial" w:hAnsi="Arial" w:cs="Arial"/>
          <w:sz w:val="24"/>
          <w:szCs w:val="24"/>
        </w:rPr>
        <w:t>November 2014</w:t>
      </w:r>
      <w:r w:rsidRPr="001751EE">
        <w:rPr>
          <w:rFonts w:ascii="Arial" w:hAnsi="Arial" w:cs="Arial"/>
          <w:sz w:val="24"/>
          <w:szCs w:val="24"/>
        </w:rPr>
        <w:t xml:space="preserve"> with the portfolio valued by external professional valuers. Based on this exercise, on a sale and leaseback basis with Kingfisher in occupancy, the value of property is</w:t>
      </w:r>
      <w:r w:rsidRPr="00DF2650">
        <w:rPr>
          <w:rFonts w:ascii="Arial" w:hAnsi="Arial" w:cs="Arial"/>
          <w:sz w:val="24"/>
          <w:szCs w:val="24"/>
        </w:rPr>
        <w:t xml:space="preserve"> £</w:t>
      </w:r>
      <w:r>
        <w:rPr>
          <w:rFonts w:ascii="Arial" w:hAnsi="Arial" w:cs="Arial"/>
          <w:sz w:val="24"/>
          <w:szCs w:val="24"/>
        </w:rPr>
        <w:t>3.2</w:t>
      </w:r>
      <w:r w:rsidRPr="00DF2650">
        <w:rPr>
          <w:rFonts w:ascii="Arial" w:hAnsi="Arial" w:cs="Arial" w:hint="eastAsia"/>
          <w:sz w:val="24"/>
          <w:szCs w:val="24"/>
        </w:rPr>
        <w:t xml:space="preserve"> billion at year end (201</w:t>
      </w:r>
      <w:r>
        <w:rPr>
          <w:rFonts w:ascii="Arial" w:hAnsi="Arial" w:cs="Arial"/>
          <w:sz w:val="24"/>
          <w:szCs w:val="24"/>
        </w:rPr>
        <w:t>3</w:t>
      </w:r>
      <w:r w:rsidRPr="00DF2650">
        <w:rPr>
          <w:rFonts w:ascii="Arial" w:hAnsi="Arial" w:cs="Arial" w:hint="eastAsia"/>
          <w:sz w:val="24"/>
          <w:szCs w:val="24"/>
        </w:rPr>
        <w:t>/1</w:t>
      </w:r>
      <w:r>
        <w:rPr>
          <w:rFonts w:ascii="Arial" w:hAnsi="Arial" w:cs="Arial"/>
          <w:sz w:val="24"/>
          <w:szCs w:val="24"/>
        </w:rPr>
        <w:t>4</w:t>
      </w:r>
      <w:r w:rsidRPr="00DF2650">
        <w:rPr>
          <w:rFonts w:ascii="Arial" w:hAnsi="Arial" w:cs="Arial" w:hint="eastAsia"/>
          <w:sz w:val="24"/>
          <w:szCs w:val="24"/>
        </w:rPr>
        <w:t xml:space="preserve">: </w:t>
      </w:r>
      <w:r w:rsidRPr="00DF2650">
        <w:rPr>
          <w:rFonts w:ascii="Arial" w:hAnsi="Arial" w:cs="Arial"/>
          <w:sz w:val="24"/>
          <w:szCs w:val="24"/>
        </w:rPr>
        <w:t>£</w:t>
      </w:r>
      <w:r w:rsidRPr="00DF2650">
        <w:rPr>
          <w:rFonts w:ascii="Arial" w:hAnsi="Arial" w:cs="Arial" w:hint="eastAsia"/>
          <w:sz w:val="24"/>
          <w:szCs w:val="24"/>
        </w:rPr>
        <w:t>3.</w:t>
      </w:r>
      <w:r>
        <w:rPr>
          <w:rFonts w:ascii="Arial" w:hAnsi="Arial" w:cs="Arial"/>
          <w:sz w:val="24"/>
          <w:szCs w:val="24"/>
        </w:rPr>
        <w:t>5</w:t>
      </w:r>
      <w:r w:rsidRPr="00DF2650">
        <w:rPr>
          <w:rFonts w:ascii="Arial" w:hAnsi="Arial" w:cs="Arial" w:hint="eastAsia"/>
          <w:sz w:val="24"/>
          <w:szCs w:val="24"/>
        </w:rPr>
        <w:t xml:space="preserve"> billion)</w:t>
      </w:r>
      <w:r w:rsidRPr="00DF2650">
        <w:rPr>
          <w:rFonts w:ascii="Arial" w:hAnsi="Arial" w:cs="Arial"/>
          <w:sz w:val="24"/>
          <w:szCs w:val="24"/>
        </w:rPr>
        <w:t xml:space="preserve">. </w:t>
      </w:r>
      <w:r w:rsidR="00D91ED7" w:rsidRPr="00D91ED7">
        <w:rPr>
          <w:rFonts w:ascii="Arial" w:hAnsi="Arial" w:cs="Arial"/>
          <w:sz w:val="24"/>
          <w:szCs w:val="24"/>
        </w:rPr>
        <w:t>The main reason</w:t>
      </w:r>
      <w:r w:rsidR="009E71FD">
        <w:rPr>
          <w:rFonts w:ascii="Arial" w:hAnsi="Arial" w:cs="Arial"/>
          <w:sz w:val="24"/>
          <w:szCs w:val="24"/>
        </w:rPr>
        <w:t>s</w:t>
      </w:r>
      <w:r w:rsidR="00D91ED7" w:rsidRPr="00D91ED7">
        <w:rPr>
          <w:rFonts w:ascii="Arial" w:hAnsi="Arial" w:cs="Arial"/>
          <w:sz w:val="24"/>
          <w:szCs w:val="24"/>
        </w:rPr>
        <w:t xml:space="preserve"> for the year on year </w:t>
      </w:r>
      <w:r w:rsidR="009E71FD">
        <w:rPr>
          <w:rFonts w:ascii="Arial" w:hAnsi="Arial" w:cs="Arial"/>
          <w:sz w:val="24"/>
          <w:szCs w:val="24"/>
        </w:rPr>
        <w:t>change</w:t>
      </w:r>
      <w:r w:rsidR="00D91ED7" w:rsidRPr="00D91ED7">
        <w:rPr>
          <w:rFonts w:ascii="Arial" w:hAnsi="Arial" w:cs="Arial"/>
          <w:sz w:val="24"/>
          <w:szCs w:val="24"/>
        </w:rPr>
        <w:t xml:space="preserve"> are foreign exchange movements and disposals.</w:t>
      </w:r>
      <w:r w:rsidR="009E71FD">
        <w:rPr>
          <w:rFonts w:ascii="Arial" w:hAnsi="Arial" w:cs="Arial"/>
          <w:sz w:val="24"/>
          <w:szCs w:val="24"/>
        </w:rPr>
        <w:t xml:space="preserve"> </w:t>
      </w:r>
    </w:p>
    <w:p w14:paraId="0A41EEE2" w14:textId="77777777" w:rsidR="00104D21" w:rsidRDefault="00104D21" w:rsidP="00104D21">
      <w:pPr>
        <w:jc w:val="left"/>
        <w:rPr>
          <w:rFonts w:ascii="Arial" w:hAnsi="Arial" w:cs="Arial"/>
          <w:bCs/>
          <w:sz w:val="24"/>
          <w:szCs w:val="24"/>
        </w:rPr>
      </w:pPr>
    </w:p>
    <w:tbl>
      <w:tblPr>
        <w:tblW w:w="5001" w:type="pct"/>
        <w:tblLook w:val="04A0" w:firstRow="1" w:lastRow="0" w:firstColumn="1" w:lastColumn="0" w:noHBand="0" w:noVBand="1"/>
      </w:tblPr>
      <w:tblGrid>
        <w:gridCol w:w="6796"/>
        <w:gridCol w:w="1323"/>
        <w:gridCol w:w="1524"/>
      </w:tblGrid>
      <w:tr w:rsidR="00104D21" w14:paraId="0F121CD1" w14:textId="77777777" w:rsidTr="00104D21">
        <w:trPr>
          <w:trHeight w:val="525"/>
        </w:trPr>
        <w:tc>
          <w:tcPr>
            <w:tcW w:w="3524" w:type="pct"/>
            <w:tcBorders>
              <w:top w:val="nil"/>
              <w:left w:val="nil"/>
              <w:bottom w:val="single" w:sz="4" w:space="0" w:color="auto"/>
              <w:right w:val="nil"/>
            </w:tcBorders>
            <w:vAlign w:val="bottom"/>
          </w:tcPr>
          <w:p w14:paraId="1E7617C4" w14:textId="77777777" w:rsidR="00104D21" w:rsidRDefault="00104D21" w:rsidP="00104D21">
            <w:pPr>
              <w:jc w:val="left"/>
              <w:rPr>
                <w:rFonts w:ascii="Arial" w:hAnsi="Arial" w:cs="Arial"/>
                <w:bCs/>
                <w:sz w:val="24"/>
                <w:szCs w:val="24"/>
              </w:rPr>
            </w:pPr>
          </w:p>
        </w:tc>
        <w:tc>
          <w:tcPr>
            <w:tcW w:w="686" w:type="pct"/>
            <w:tcBorders>
              <w:top w:val="nil"/>
              <w:left w:val="nil"/>
              <w:bottom w:val="single" w:sz="4" w:space="0" w:color="auto"/>
              <w:right w:val="nil"/>
            </w:tcBorders>
            <w:vAlign w:val="bottom"/>
            <w:hideMark/>
          </w:tcPr>
          <w:p w14:paraId="7AEE1C75" w14:textId="77777777" w:rsidR="00104D21" w:rsidRDefault="00104D21" w:rsidP="00104D21">
            <w:pPr>
              <w:jc w:val="right"/>
              <w:rPr>
                <w:rFonts w:ascii="Arial" w:hAnsi="Arial" w:cs="Arial"/>
                <w:b/>
                <w:bCs/>
                <w:sz w:val="24"/>
                <w:szCs w:val="24"/>
              </w:rPr>
            </w:pPr>
            <w:r>
              <w:rPr>
                <w:rFonts w:ascii="Arial" w:hAnsi="Arial" w:cs="Arial"/>
                <w:b/>
                <w:bCs/>
                <w:sz w:val="24"/>
                <w:szCs w:val="24"/>
              </w:rPr>
              <w:t>£bn</w:t>
            </w:r>
          </w:p>
        </w:tc>
        <w:tc>
          <w:tcPr>
            <w:tcW w:w="790" w:type="pct"/>
            <w:tcBorders>
              <w:top w:val="nil"/>
              <w:left w:val="nil"/>
              <w:bottom w:val="single" w:sz="4" w:space="0" w:color="auto"/>
              <w:right w:val="nil"/>
            </w:tcBorders>
            <w:vAlign w:val="bottom"/>
            <w:hideMark/>
          </w:tcPr>
          <w:p w14:paraId="2462DB2C" w14:textId="77777777" w:rsidR="00487A65" w:rsidRDefault="00104D21">
            <w:pPr>
              <w:jc w:val="right"/>
              <w:rPr>
                <w:rFonts w:ascii="Arial" w:hAnsi="Arial" w:cs="Arial"/>
                <w:b/>
                <w:bCs/>
                <w:sz w:val="24"/>
                <w:szCs w:val="24"/>
              </w:rPr>
            </w:pPr>
            <w:r w:rsidRPr="0054624C">
              <w:rPr>
                <w:rFonts w:ascii="Arial" w:hAnsi="Arial" w:cs="Arial"/>
                <w:b/>
                <w:bCs/>
                <w:sz w:val="24"/>
                <w:szCs w:val="24"/>
              </w:rPr>
              <w:t>2014/15</w:t>
            </w:r>
          </w:p>
          <w:p w14:paraId="2FF2C23B" w14:textId="412DCB6D" w:rsidR="00104D21" w:rsidRPr="00105A25" w:rsidRDefault="00487A65">
            <w:pPr>
              <w:jc w:val="right"/>
              <w:rPr>
                <w:rFonts w:ascii="Arial" w:hAnsi="Arial" w:cs="Arial"/>
                <w:b/>
                <w:bCs/>
                <w:sz w:val="24"/>
                <w:szCs w:val="24"/>
              </w:rPr>
            </w:pPr>
            <w:r w:rsidRPr="0054624C">
              <w:rPr>
                <w:rFonts w:ascii="Arial" w:hAnsi="Arial" w:cs="Arial"/>
                <w:b/>
                <w:bCs/>
                <w:sz w:val="24"/>
                <w:szCs w:val="24"/>
              </w:rPr>
              <w:t>Yields</w:t>
            </w:r>
          </w:p>
        </w:tc>
      </w:tr>
      <w:tr w:rsidR="00104D21" w14:paraId="5A106EA1" w14:textId="77777777" w:rsidTr="00104D21">
        <w:trPr>
          <w:trHeight w:val="254"/>
        </w:trPr>
        <w:tc>
          <w:tcPr>
            <w:tcW w:w="3524" w:type="pct"/>
            <w:tcBorders>
              <w:top w:val="single" w:sz="4" w:space="0" w:color="auto"/>
              <w:left w:val="nil"/>
              <w:bottom w:val="nil"/>
              <w:right w:val="nil"/>
            </w:tcBorders>
            <w:vAlign w:val="bottom"/>
          </w:tcPr>
          <w:p w14:paraId="44E82710" w14:textId="7DF572F1" w:rsidR="00104D21" w:rsidRDefault="00104D21" w:rsidP="00104D21">
            <w:pPr>
              <w:rPr>
                <w:rFonts w:ascii="Arial" w:hAnsi="Arial" w:cs="Arial"/>
                <w:sz w:val="24"/>
                <w:szCs w:val="24"/>
              </w:rPr>
            </w:pPr>
            <w:r>
              <w:rPr>
                <w:rFonts w:ascii="Arial" w:hAnsi="Arial" w:cs="Arial"/>
                <w:sz w:val="24"/>
                <w:szCs w:val="24"/>
              </w:rPr>
              <w:t>UK</w:t>
            </w:r>
            <w:r w:rsidR="00A739B8">
              <w:rPr>
                <w:rFonts w:ascii="Arial" w:hAnsi="Arial" w:cs="Arial"/>
                <w:sz w:val="24"/>
                <w:szCs w:val="24"/>
              </w:rPr>
              <w:t xml:space="preserve"> &amp; Ireland</w:t>
            </w:r>
          </w:p>
        </w:tc>
        <w:tc>
          <w:tcPr>
            <w:tcW w:w="686" w:type="pct"/>
            <w:tcBorders>
              <w:top w:val="single" w:sz="4" w:space="0" w:color="auto"/>
              <w:left w:val="nil"/>
              <w:bottom w:val="nil"/>
              <w:right w:val="nil"/>
            </w:tcBorders>
            <w:vAlign w:val="bottom"/>
          </w:tcPr>
          <w:p w14:paraId="192F5FF1" w14:textId="77777777" w:rsidR="00104D21" w:rsidRDefault="00104D21" w:rsidP="00104D21">
            <w:pPr>
              <w:jc w:val="right"/>
              <w:rPr>
                <w:rFonts w:ascii="Arial" w:hAnsi="Arial" w:cs="Arial"/>
                <w:b/>
                <w:sz w:val="24"/>
                <w:szCs w:val="24"/>
              </w:rPr>
            </w:pPr>
            <w:r>
              <w:rPr>
                <w:rFonts w:ascii="Arial" w:hAnsi="Arial" w:cs="Arial"/>
                <w:b/>
                <w:sz w:val="24"/>
                <w:szCs w:val="24"/>
              </w:rPr>
              <w:t>0.8</w:t>
            </w:r>
          </w:p>
        </w:tc>
        <w:tc>
          <w:tcPr>
            <w:tcW w:w="790" w:type="pct"/>
            <w:tcBorders>
              <w:top w:val="single" w:sz="4" w:space="0" w:color="auto"/>
              <w:left w:val="nil"/>
              <w:bottom w:val="nil"/>
              <w:right w:val="nil"/>
            </w:tcBorders>
            <w:vAlign w:val="bottom"/>
          </w:tcPr>
          <w:p w14:paraId="49804CD5" w14:textId="77777777" w:rsidR="00104D21" w:rsidRPr="0054624C" w:rsidRDefault="00104D21" w:rsidP="00104D21">
            <w:pPr>
              <w:jc w:val="right"/>
              <w:rPr>
                <w:rFonts w:ascii="Arial" w:hAnsi="Arial" w:cs="Arial"/>
                <w:b/>
                <w:sz w:val="24"/>
                <w:szCs w:val="24"/>
              </w:rPr>
            </w:pPr>
            <w:r>
              <w:rPr>
                <w:rFonts w:ascii="Arial" w:hAnsi="Arial" w:cs="Arial"/>
                <w:b/>
                <w:sz w:val="24"/>
                <w:szCs w:val="24"/>
              </w:rPr>
              <w:t>6.5</w:t>
            </w:r>
            <w:r w:rsidRPr="0054624C">
              <w:rPr>
                <w:rFonts w:ascii="Arial" w:hAnsi="Arial" w:cs="Arial"/>
                <w:b/>
                <w:sz w:val="24"/>
                <w:szCs w:val="24"/>
              </w:rPr>
              <w:t>%</w:t>
            </w:r>
          </w:p>
        </w:tc>
      </w:tr>
      <w:tr w:rsidR="00104D21" w14:paraId="6447CC77" w14:textId="77777777" w:rsidTr="00104D21">
        <w:trPr>
          <w:trHeight w:val="254"/>
        </w:trPr>
        <w:tc>
          <w:tcPr>
            <w:tcW w:w="3524" w:type="pct"/>
            <w:vAlign w:val="bottom"/>
          </w:tcPr>
          <w:p w14:paraId="4370FBDE" w14:textId="77777777" w:rsidR="00104D21" w:rsidRDefault="00104D21" w:rsidP="00104D21">
            <w:pPr>
              <w:rPr>
                <w:rFonts w:ascii="Arial" w:hAnsi="Arial" w:cs="Arial"/>
                <w:sz w:val="24"/>
                <w:szCs w:val="24"/>
              </w:rPr>
            </w:pPr>
            <w:r>
              <w:rPr>
                <w:rFonts w:ascii="Arial" w:hAnsi="Arial" w:cs="Arial"/>
                <w:sz w:val="24"/>
                <w:szCs w:val="24"/>
              </w:rPr>
              <w:t>France</w:t>
            </w:r>
          </w:p>
        </w:tc>
        <w:tc>
          <w:tcPr>
            <w:tcW w:w="686" w:type="pct"/>
            <w:vAlign w:val="bottom"/>
          </w:tcPr>
          <w:p w14:paraId="607B4445" w14:textId="77777777" w:rsidR="00104D21" w:rsidRDefault="00104D21" w:rsidP="00104D21">
            <w:pPr>
              <w:jc w:val="right"/>
              <w:rPr>
                <w:rFonts w:ascii="Arial" w:hAnsi="Arial" w:cs="Arial"/>
                <w:b/>
                <w:sz w:val="24"/>
                <w:szCs w:val="24"/>
              </w:rPr>
            </w:pPr>
            <w:r>
              <w:rPr>
                <w:rFonts w:ascii="Arial" w:hAnsi="Arial" w:cs="Arial"/>
                <w:b/>
                <w:sz w:val="24"/>
                <w:szCs w:val="24"/>
              </w:rPr>
              <w:t>1.3</w:t>
            </w:r>
          </w:p>
        </w:tc>
        <w:tc>
          <w:tcPr>
            <w:tcW w:w="790" w:type="pct"/>
            <w:vAlign w:val="bottom"/>
          </w:tcPr>
          <w:p w14:paraId="73F6F5FC" w14:textId="77777777" w:rsidR="00104D21" w:rsidRPr="0054624C" w:rsidRDefault="00104D21" w:rsidP="00104D21">
            <w:pPr>
              <w:jc w:val="right"/>
              <w:rPr>
                <w:rFonts w:ascii="Arial" w:hAnsi="Arial" w:cs="Arial"/>
                <w:b/>
                <w:sz w:val="24"/>
                <w:szCs w:val="24"/>
              </w:rPr>
            </w:pPr>
            <w:r w:rsidRPr="0054624C">
              <w:rPr>
                <w:rFonts w:ascii="Arial" w:hAnsi="Arial" w:cs="Arial"/>
                <w:b/>
                <w:sz w:val="24"/>
                <w:szCs w:val="24"/>
              </w:rPr>
              <w:t>8.</w:t>
            </w:r>
            <w:r>
              <w:rPr>
                <w:rFonts w:ascii="Arial" w:hAnsi="Arial" w:cs="Arial"/>
                <w:b/>
                <w:sz w:val="24"/>
                <w:szCs w:val="24"/>
              </w:rPr>
              <w:t>0</w:t>
            </w:r>
            <w:r w:rsidRPr="0054624C">
              <w:rPr>
                <w:rFonts w:ascii="Arial" w:hAnsi="Arial" w:cs="Arial"/>
                <w:b/>
                <w:sz w:val="24"/>
                <w:szCs w:val="24"/>
              </w:rPr>
              <w:t>%</w:t>
            </w:r>
          </w:p>
        </w:tc>
      </w:tr>
      <w:tr w:rsidR="00104D21" w:rsidRPr="0054624C" w14:paraId="086476F0" w14:textId="77777777" w:rsidTr="00104D21">
        <w:trPr>
          <w:trHeight w:val="254"/>
        </w:trPr>
        <w:tc>
          <w:tcPr>
            <w:tcW w:w="3524" w:type="pct"/>
            <w:vAlign w:val="bottom"/>
          </w:tcPr>
          <w:p w14:paraId="317BDE41" w14:textId="77777777" w:rsidR="00104D21" w:rsidRPr="0054624C" w:rsidRDefault="00104D21" w:rsidP="00104D21">
            <w:pPr>
              <w:rPr>
                <w:rFonts w:ascii="Arial" w:hAnsi="Arial" w:cs="Arial"/>
                <w:sz w:val="24"/>
                <w:szCs w:val="24"/>
              </w:rPr>
            </w:pPr>
            <w:r w:rsidRPr="0054624C">
              <w:rPr>
                <w:rFonts w:ascii="Arial" w:hAnsi="Arial" w:cs="Arial"/>
                <w:sz w:val="24"/>
                <w:szCs w:val="24"/>
              </w:rPr>
              <w:t>Poland</w:t>
            </w:r>
          </w:p>
        </w:tc>
        <w:tc>
          <w:tcPr>
            <w:tcW w:w="686" w:type="pct"/>
            <w:vAlign w:val="bottom"/>
          </w:tcPr>
          <w:p w14:paraId="780A221A" w14:textId="77777777" w:rsidR="00104D21" w:rsidRPr="0054624C" w:rsidRDefault="00104D21" w:rsidP="00104D21">
            <w:pPr>
              <w:jc w:val="right"/>
              <w:rPr>
                <w:rFonts w:ascii="Arial" w:hAnsi="Arial" w:cs="Arial"/>
                <w:b/>
                <w:sz w:val="24"/>
                <w:szCs w:val="24"/>
              </w:rPr>
            </w:pPr>
            <w:r>
              <w:rPr>
                <w:rFonts w:ascii="Arial" w:hAnsi="Arial" w:cs="Arial"/>
                <w:b/>
                <w:sz w:val="24"/>
                <w:szCs w:val="24"/>
              </w:rPr>
              <w:t>0.5</w:t>
            </w:r>
          </w:p>
        </w:tc>
        <w:tc>
          <w:tcPr>
            <w:tcW w:w="790" w:type="pct"/>
            <w:vAlign w:val="bottom"/>
          </w:tcPr>
          <w:p w14:paraId="37CB2C04" w14:textId="77777777" w:rsidR="00104D21" w:rsidRPr="0054624C" w:rsidRDefault="00104D21" w:rsidP="00104D21">
            <w:pPr>
              <w:jc w:val="right"/>
              <w:rPr>
                <w:rFonts w:ascii="Arial" w:hAnsi="Arial" w:cs="Arial"/>
                <w:b/>
                <w:sz w:val="24"/>
                <w:szCs w:val="24"/>
              </w:rPr>
            </w:pPr>
            <w:r w:rsidRPr="0054624C">
              <w:rPr>
                <w:rFonts w:ascii="Arial" w:hAnsi="Arial" w:cs="Arial"/>
                <w:b/>
                <w:sz w:val="24"/>
                <w:szCs w:val="24"/>
              </w:rPr>
              <w:t>8.</w:t>
            </w:r>
            <w:r>
              <w:rPr>
                <w:rFonts w:ascii="Arial" w:hAnsi="Arial" w:cs="Arial"/>
                <w:b/>
                <w:sz w:val="24"/>
                <w:szCs w:val="24"/>
              </w:rPr>
              <w:t>1</w:t>
            </w:r>
            <w:r w:rsidRPr="0054624C">
              <w:rPr>
                <w:rFonts w:ascii="Arial" w:hAnsi="Arial" w:cs="Arial"/>
                <w:b/>
                <w:sz w:val="24"/>
                <w:szCs w:val="24"/>
              </w:rPr>
              <w:t>%</w:t>
            </w:r>
          </w:p>
        </w:tc>
      </w:tr>
      <w:tr w:rsidR="00104D21" w14:paraId="1E102792" w14:textId="77777777" w:rsidTr="00104D21">
        <w:trPr>
          <w:trHeight w:val="254"/>
        </w:trPr>
        <w:tc>
          <w:tcPr>
            <w:tcW w:w="3524" w:type="pct"/>
            <w:vAlign w:val="bottom"/>
          </w:tcPr>
          <w:p w14:paraId="113394BB" w14:textId="77777777" w:rsidR="00104D21" w:rsidRDefault="00104D21" w:rsidP="00104D21">
            <w:pPr>
              <w:rPr>
                <w:rFonts w:ascii="Arial" w:hAnsi="Arial" w:cs="Arial"/>
                <w:sz w:val="24"/>
                <w:szCs w:val="24"/>
              </w:rPr>
            </w:pPr>
            <w:r>
              <w:rPr>
                <w:rFonts w:ascii="Arial" w:hAnsi="Arial" w:cs="Arial"/>
                <w:sz w:val="24"/>
                <w:szCs w:val="24"/>
              </w:rPr>
              <w:t>China</w:t>
            </w:r>
          </w:p>
        </w:tc>
        <w:tc>
          <w:tcPr>
            <w:tcW w:w="686" w:type="pct"/>
            <w:vAlign w:val="bottom"/>
          </w:tcPr>
          <w:p w14:paraId="02DD7E9D" w14:textId="77777777" w:rsidR="00104D21" w:rsidRDefault="00104D21" w:rsidP="00104D21">
            <w:pPr>
              <w:jc w:val="right"/>
              <w:rPr>
                <w:rFonts w:ascii="Arial" w:hAnsi="Arial" w:cs="Arial"/>
                <w:b/>
                <w:sz w:val="24"/>
                <w:szCs w:val="24"/>
              </w:rPr>
            </w:pPr>
            <w:r>
              <w:rPr>
                <w:rFonts w:ascii="Arial" w:hAnsi="Arial" w:cs="Arial"/>
                <w:b/>
                <w:sz w:val="24"/>
                <w:szCs w:val="24"/>
              </w:rPr>
              <w:t>0.4</w:t>
            </w:r>
          </w:p>
        </w:tc>
        <w:tc>
          <w:tcPr>
            <w:tcW w:w="790" w:type="pct"/>
            <w:vAlign w:val="bottom"/>
          </w:tcPr>
          <w:p w14:paraId="064EF4C0" w14:textId="77777777" w:rsidR="00104D21" w:rsidRPr="0054624C" w:rsidRDefault="00104D21" w:rsidP="00104D21">
            <w:pPr>
              <w:jc w:val="right"/>
              <w:rPr>
                <w:rFonts w:ascii="Arial" w:hAnsi="Arial" w:cs="Arial"/>
                <w:b/>
                <w:sz w:val="24"/>
                <w:szCs w:val="24"/>
              </w:rPr>
            </w:pPr>
            <w:r w:rsidRPr="0054624C">
              <w:rPr>
                <w:rFonts w:ascii="Arial" w:hAnsi="Arial" w:cs="Arial"/>
                <w:b/>
                <w:sz w:val="24"/>
                <w:szCs w:val="24"/>
              </w:rPr>
              <w:t>7.</w:t>
            </w:r>
            <w:r>
              <w:rPr>
                <w:rFonts w:ascii="Arial" w:hAnsi="Arial" w:cs="Arial"/>
                <w:b/>
                <w:sz w:val="24"/>
                <w:szCs w:val="24"/>
              </w:rPr>
              <w:t>9</w:t>
            </w:r>
            <w:r w:rsidRPr="0054624C">
              <w:rPr>
                <w:rFonts w:ascii="Arial" w:hAnsi="Arial" w:cs="Arial"/>
                <w:b/>
                <w:sz w:val="24"/>
                <w:szCs w:val="24"/>
              </w:rPr>
              <w:t>%</w:t>
            </w:r>
          </w:p>
        </w:tc>
      </w:tr>
      <w:tr w:rsidR="00104D21" w14:paraId="201A5B3D" w14:textId="77777777" w:rsidTr="00104D21">
        <w:trPr>
          <w:trHeight w:val="308"/>
        </w:trPr>
        <w:tc>
          <w:tcPr>
            <w:tcW w:w="3524" w:type="pct"/>
            <w:tcBorders>
              <w:top w:val="nil"/>
              <w:left w:val="nil"/>
              <w:bottom w:val="single" w:sz="4" w:space="0" w:color="auto"/>
              <w:right w:val="nil"/>
            </w:tcBorders>
            <w:vAlign w:val="bottom"/>
          </w:tcPr>
          <w:p w14:paraId="6CCAD0E3" w14:textId="77777777" w:rsidR="00104D21" w:rsidRDefault="00104D21" w:rsidP="00104D21">
            <w:pPr>
              <w:jc w:val="left"/>
              <w:rPr>
                <w:rFonts w:ascii="Arial" w:hAnsi="Arial" w:cs="Arial"/>
                <w:sz w:val="24"/>
                <w:szCs w:val="24"/>
              </w:rPr>
            </w:pPr>
            <w:r>
              <w:rPr>
                <w:rFonts w:ascii="Arial" w:hAnsi="Arial" w:cs="Arial"/>
                <w:sz w:val="24"/>
                <w:szCs w:val="24"/>
              </w:rPr>
              <w:t>Other</w:t>
            </w:r>
          </w:p>
        </w:tc>
        <w:tc>
          <w:tcPr>
            <w:tcW w:w="686" w:type="pct"/>
            <w:tcBorders>
              <w:top w:val="nil"/>
              <w:left w:val="nil"/>
              <w:bottom w:val="single" w:sz="4" w:space="0" w:color="auto"/>
              <w:right w:val="nil"/>
            </w:tcBorders>
            <w:vAlign w:val="bottom"/>
          </w:tcPr>
          <w:p w14:paraId="3BBC82A6" w14:textId="77777777" w:rsidR="00104D21" w:rsidRDefault="00104D21" w:rsidP="00104D21">
            <w:pPr>
              <w:jc w:val="right"/>
              <w:rPr>
                <w:rFonts w:ascii="Arial" w:hAnsi="Arial" w:cs="Arial"/>
                <w:b/>
                <w:sz w:val="24"/>
                <w:szCs w:val="24"/>
              </w:rPr>
            </w:pPr>
            <w:r>
              <w:rPr>
                <w:rFonts w:ascii="Arial" w:hAnsi="Arial" w:cs="Arial"/>
                <w:b/>
                <w:sz w:val="24"/>
                <w:szCs w:val="24"/>
              </w:rPr>
              <w:t>0.2</w:t>
            </w:r>
          </w:p>
        </w:tc>
        <w:tc>
          <w:tcPr>
            <w:tcW w:w="790" w:type="pct"/>
            <w:tcBorders>
              <w:top w:val="nil"/>
              <w:left w:val="nil"/>
              <w:bottom w:val="single" w:sz="4" w:space="0" w:color="auto"/>
              <w:right w:val="nil"/>
            </w:tcBorders>
            <w:vAlign w:val="bottom"/>
          </w:tcPr>
          <w:p w14:paraId="49ECE502" w14:textId="77777777" w:rsidR="00104D21" w:rsidRPr="0054624C" w:rsidRDefault="00104D21" w:rsidP="00104D21">
            <w:pPr>
              <w:jc w:val="right"/>
              <w:rPr>
                <w:rFonts w:ascii="Arial" w:hAnsi="Arial" w:cs="Arial"/>
                <w:b/>
                <w:sz w:val="24"/>
                <w:szCs w:val="24"/>
              </w:rPr>
            </w:pPr>
            <w:r w:rsidRPr="0054624C">
              <w:rPr>
                <w:rFonts w:ascii="Arial" w:hAnsi="Arial" w:cs="Arial"/>
                <w:b/>
                <w:sz w:val="24"/>
                <w:szCs w:val="24"/>
              </w:rPr>
              <w:t>-</w:t>
            </w:r>
          </w:p>
        </w:tc>
      </w:tr>
      <w:tr w:rsidR="00104D21" w14:paraId="067A5C29" w14:textId="77777777" w:rsidTr="00104D21">
        <w:trPr>
          <w:trHeight w:val="308"/>
        </w:trPr>
        <w:tc>
          <w:tcPr>
            <w:tcW w:w="3524" w:type="pct"/>
            <w:tcBorders>
              <w:top w:val="single" w:sz="4" w:space="0" w:color="auto"/>
              <w:left w:val="nil"/>
              <w:bottom w:val="single" w:sz="4" w:space="0" w:color="auto"/>
              <w:right w:val="nil"/>
            </w:tcBorders>
            <w:vAlign w:val="bottom"/>
          </w:tcPr>
          <w:p w14:paraId="2E2B0103" w14:textId="77777777" w:rsidR="00104D21" w:rsidRDefault="00104D21" w:rsidP="00104D21">
            <w:pPr>
              <w:jc w:val="left"/>
              <w:rPr>
                <w:rFonts w:ascii="Arial" w:hAnsi="Arial" w:cs="Arial"/>
                <w:b/>
                <w:sz w:val="24"/>
                <w:szCs w:val="24"/>
              </w:rPr>
            </w:pPr>
            <w:r>
              <w:rPr>
                <w:rFonts w:ascii="Arial" w:hAnsi="Arial" w:cs="Arial"/>
                <w:b/>
                <w:sz w:val="24"/>
                <w:szCs w:val="24"/>
              </w:rPr>
              <w:t>Total</w:t>
            </w:r>
          </w:p>
        </w:tc>
        <w:tc>
          <w:tcPr>
            <w:tcW w:w="686" w:type="pct"/>
            <w:tcBorders>
              <w:top w:val="single" w:sz="4" w:space="0" w:color="auto"/>
              <w:left w:val="nil"/>
              <w:bottom w:val="single" w:sz="4" w:space="0" w:color="auto"/>
              <w:right w:val="nil"/>
            </w:tcBorders>
            <w:vAlign w:val="bottom"/>
          </w:tcPr>
          <w:p w14:paraId="42D29F5D" w14:textId="77777777" w:rsidR="00104D21" w:rsidRDefault="00104D21" w:rsidP="00104D21">
            <w:pPr>
              <w:jc w:val="right"/>
              <w:rPr>
                <w:rFonts w:ascii="Arial" w:hAnsi="Arial" w:cs="Arial"/>
                <w:b/>
                <w:sz w:val="24"/>
                <w:szCs w:val="24"/>
              </w:rPr>
            </w:pPr>
            <w:r>
              <w:rPr>
                <w:rFonts w:ascii="Arial" w:hAnsi="Arial" w:cs="Arial"/>
                <w:b/>
                <w:sz w:val="24"/>
                <w:szCs w:val="24"/>
              </w:rPr>
              <w:t>3.2</w:t>
            </w:r>
          </w:p>
        </w:tc>
        <w:tc>
          <w:tcPr>
            <w:tcW w:w="790" w:type="pct"/>
            <w:tcBorders>
              <w:top w:val="single" w:sz="4" w:space="0" w:color="auto"/>
              <w:left w:val="nil"/>
              <w:right w:val="nil"/>
            </w:tcBorders>
            <w:vAlign w:val="bottom"/>
          </w:tcPr>
          <w:p w14:paraId="2538935F" w14:textId="77777777" w:rsidR="00104D21" w:rsidRDefault="00104D21" w:rsidP="00104D21">
            <w:pPr>
              <w:jc w:val="right"/>
              <w:rPr>
                <w:rFonts w:ascii="Arial" w:hAnsi="Arial" w:cs="Arial"/>
                <w:sz w:val="24"/>
                <w:szCs w:val="24"/>
              </w:rPr>
            </w:pPr>
          </w:p>
        </w:tc>
      </w:tr>
    </w:tbl>
    <w:p w14:paraId="1F2E50A9" w14:textId="77777777" w:rsidR="00104D21" w:rsidRDefault="00104D21" w:rsidP="00104D21">
      <w:pPr>
        <w:jc w:val="left"/>
        <w:rPr>
          <w:rFonts w:ascii="Arial" w:hAnsi="Arial" w:cs="Arial"/>
          <w:bCs/>
          <w:sz w:val="24"/>
          <w:szCs w:val="24"/>
        </w:rPr>
      </w:pPr>
    </w:p>
    <w:p w14:paraId="51E3DB21" w14:textId="1A8010EC" w:rsidR="00E10699" w:rsidRDefault="00104D21" w:rsidP="00E10699">
      <w:pPr>
        <w:jc w:val="left"/>
        <w:rPr>
          <w:rFonts w:ascii="Arial" w:hAnsi="Arial" w:cs="Arial"/>
          <w:bCs/>
          <w:sz w:val="24"/>
          <w:szCs w:val="24"/>
        </w:rPr>
      </w:pPr>
      <w:r w:rsidRPr="00DF2650">
        <w:rPr>
          <w:rFonts w:ascii="Arial" w:hAnsi="Arial" w:cs="Arial"/>
          <w:sz w:val="24"/>
          <w:szCs w:val="24"/>
        </w:rPr>
        <w:t xml:space="preserve">This is </w:t>
      </w:r>
      <w:r w:rsidRPr="00DF2650">
        <w:rPr>
          <w:rFonts w:ascii="Arial" w:hAnsi="Arial" w:cs="Arial" w:hint="eastAsia"/>
          <w:sz w:val="24"/>
          <w:szCs w:val="24"/>
        </w:rPr>
        <w:t xml:space="preserve">compared to the </w:t>
      </w:r>
      <w:r w:rsidR="00A739B8">
        <w:rPr>
          <w:rFonts w:ascii="Arial" w:hAnsi="Arial" w:cs="Arial"/>
          <w:sz w:val="24"/>
          <w:szCs w:val="24"/>
        </w:rPr>
        <w:t xml:space="preserve">property </w:t>
      </w:r>
      <w:r w:rsidRPr="00DF2650">
        <w:rPr>
          <w:rFonts w:ascii="Arial" w:hAnsi="Arial" w:cs="Arial" w:hint="eastAsia"/>
          <w:sz w:val="24"/>
          <w:szCs w:val="24"/>
        </w:rPr>
        <w:t xml:space="preserve">net book value of </w:t>
      </w:r>
      <w:r w:rsidRPr="00DF2650">
        <w:rPr>
          <w:rFonts w:ascii="Arial" w:hAnsi="Arial" w:cs="Arial"/>
          <w:sz w:val="24"/>
          <w:szCs w:val="24"/>
        </w:rPr>
        <w:t>£</w:t>
      </w:r>
      <w:r>
        <w:rPr>
          <w:rFonts w:ascii="Arial" w:hAnsi="Arial" w:cs="Arial"/>
          <w:sz w:val="24"/>
          <w:szCs w:val="24"/>
        </w:rPr>
        <w:t>2.</w:t>
      </w:r>
      <w:r w:rsidR="00E10699">
        <w:rPr>
          <w:rFonts w:ascii="Arial" w:hAnsi="Arial" w:cs="Arial"/>
          <w:sz w:val="24"/>
          <w:szCs w:val="24"/>
        </w:rPr>
        <w:t>4</w:t>
      </w:r>
      <w:r w:rsidRPr="00DF2650">
        <w:rPr>
          <w:rFonts w:ascii="Arial" w:hAnsi="Arial" w:cs="Arial" w:hint="eastAsia"/>
          <w:sz w:val="24"/>
          <w:szCs w:val="24"/>
        </w:rPr>
        <w:t xml:space="preserve"> billion</w:t>
      </w:r>
      <w:r w:rsidRPr="00C82F88">
        <w:rPr>
          <w:rFonts w:ascii="Arial" w:hAnsi="Arial" w:cs="Arial" w:hint="eastAsia"/>
          <w:sz w:val="24"/>
          <w:szCs w:val="24"/>
        </w:rPr>
        <w:t xml:space="preserve"> (201</w:t>
      </w:r>
      <w:r>
        <w:rPr>
          <w:rFonts w:ascii="Arial" w:hAnsi="Arial" w:cs="Arial"/>
          <w:sz w:val="24"/>
          <w:szCs w:val="24"/>
        </w:rPr>
        <w:t>3</w:t>
      </w:r>
      <w:r w:rsidRPr="00C82F88">
        <w:rPr>
          <w:rFonts w:ascii="Arial" w:hAnsi="Arial" w:cs="Arial" w:hint="eastAsia"/>
          <w:sz w:val="24"/>
          <w:szCs w:val="24"/>
        </w:rPr>
        <w:t>/1</w:t>
      </w:r>
      <w:r>
        <w:rPr>
          <w:rFonts w:ascii="Arial" w:hAnsi="Arial" w:cs="Arial"/>
          <w:sz w:val="24"/>
          <w:szCs w:val="24"/>
        </w:rPr>
        <w:t>4</w:t>
      </w:r>
      <w:r w:rsidRPr="00C82F88">
        <w:rPr>
          <w:rFonts w:ascii="Arial" w:hAnsi="Arial" w:cs="Arial" w:hint="eastAsia"/>
          <w:sz w:val="24"/>
          <w:szCs w:val="24"/>
        </w:rPr>
        <w:t xml:space="preserve">: </w:t>
      </w:r>
      <w:r w:rsidRPr="00C82F88">
        <w:rPr>
          <w:rFonts w:ascii="Arial" w:hAnsi="Arial" w:cs="Arial"/>
          <w:sz w:val="24"/>
          <w:szCs w:val="24"/>
        </w:rPr>
        <w:t>£</w:t>
      </w:r>
      <w:r w:rsidRPr="00C82F88">
        <w:rPr>
          <w:rFonts w:ascii="Arial" w:hAnsi="Arial" w:cs="Arial" w:hint="eastAsia"/>
          <w:sz w:val="24"/>
          <w:szCs w:val="24"/>
        </w:rPr>
        <w:t>2.</w:t>
      </w:r>
      <w:r>
        <w:rPr>
          <w:rFonts w:ascii="Arial" w:hAnsi="Arial" w:cs="Arial"/>
          <w:sz w:val="24"/>
          <w:szCs w:val="24"/>
        </w:rPr>
        <w:t>8</w:t>
      </w:r>
      <w:r w:rsidRPr="00C82F88">
        <w:rPr>
          <w:rFonts w:ascii="Arial" w:hAnsi="Arial" w:cs="Arial" w:hint="eastAsia"/>
          <w:sz w:val="24"/>
          <w:szCs w:val="24"/>
        </w:rPr>
        <w:t xml:space="preserve"> billion) recorded in the financial statements</w:t>
      </w:r>
      <w:r>
        <w:rPr>
          <w:rFonts w:ascii="Arial" w:hAnsi="Arial" w:cs="Arial"/>
          <w:sz w:val="24"/>
          <w:szCs w:val="24"/>
        </w:rPr>
        <w:t xml:space="preserve"> (including investment property and property assets held for sale)</w:t>
      </w:r>
      <w:r w:rsidR="00A739B8">
        <w:rPr>
          <w:rFonts w:ascii="Arial" w:hAnsi="Arial" w:cs="Arial"/>
          <w:sz w:val="24"/>
          <w:szCs w:val="24"/>
        </w:rPr>
        <w:t>, which is not revalued for accounting purposes.</w:t>
      </w:r>
    </w:p>
    <w:p w14:paraId="08EB0FD5" w14:textId="77777777" w:rsidR="00AB10CC" w:rsidRDefault="00AB10CC" w:rsidP="00104D21">
      <w:pPr>
        <w:jc w:val="left"/>
        <w:rPr>
          <w:rFonts w:ascii="Arial" w:hAnsi="Arial" w:cs="Arial"/>
          <w:b/>
          <w:sz w:val="24"/>
          <w:szCs w:val="24"/>
        </w:rPr>
      </w:pPr>
    </w:p>
    <w:p w14:paraId="14E1F196" w14:textId="77777777" w:rsidR="00487A65" w:rsidRDefault="00487A65" w:rsidP="00104D21">
      <w:pPr>
        <w:jc w:val="left"/>
        <w:rPr>
          <w:rFonts w:ascii="Arial" w:hAnsi="Arial" w:cs="Arial"/>
          <w:b/>
          <w:sz w:val="24"/>
          <w:szCs w:val="24"/>
        </w:rPr>
      </w:pPr>
    </w:p>
    <w:p w14:paraId="3AFDCAEE" w14:textId="77777777" w:rsidR="00487A65" w:rsidRDefault="00487A65" w:rsidP="00104D21">
      <w:pPr>
        <w:jc w:val="left"/>
        <w:rPr>
          <w:rFonts w:ascii="Arial" w:hAnsi="Arial" w:cs="Arial"/>
          <w:b/>
          <w:sz w:val="24"/>
          <w:szCs w:val="24"/>
        </w:rPr>
      </w:pPr>
    </w:p>
    <w:p w14:paraId="355ED238" w14:textId="77777777" w:rsidR="00487A65" w:rsidRDefault="00487A65" w:rsidP="00104D21">
      <w:pPr>
        <w:jc w:val="left"/>
        <w:rPr>
          <w:rFonts w:ascii="Arial" w:hAnsi="Arial" w:cs="Arial"/>
          <w:b/>
          <w:sz w:val="24"/>
          <w:szCs w:val="24"/>
        </w:rPr>
      </w:pPr>
    </w:p>
    <w:p w14:paraId="11B38C4F" w14:textId="77777777" w:rsidR="00487A65" w:rsidRDefault="00487A65" w:rsidP="00104D21">
      <w:pPr>
        <w:jc w:val="left"/>
        <w:rPr>
          <w:rFonts w:ascii="Arial" w:hAnsi="Arial" w:cs="Arial"/>
          <w:b/>
          <w:sz w:val="24"/>
          <w:szCs w:val="24"/>
        </w:rPr>
      </w:pPr>
    </w:p>
    <w:p w14:paraId="301A5DA2" w14:textId="77777777" w:rsidR="00487A65" w:rsidRDefault="00487A65" w:rsidP="00104D21">
      <w:pPr>
        <w:jc w:val="left"/>
        <w:rPr>
          <w:rFonts w:ascii="Arial" w:hAnsi="Arial" w:cs="Arial"/>
          <w:b/>
          <w:sz w:val="24"/>
          <w:szCs w:val="24"/>
        </w:rPr>
      </w:pPr>
    </w:p>
    <w:p w14:paraId="7E86ECC2" w14:textId="77777777" w:rsidR="00487A65" w:rsidRDefault="00487A65" w:rsidP="00104D21">
      <w:pPr>
        <w:jc w:val="left"/>
        <w:rPr>
          <w:rFonts w:ascii="Arial" w:hAnsi="Arial" w:cs="Arial"/>
          <w:b/>
          <w:sz w:val="24"/>
          <w:szCs w:val="24"/>
        </w:rPr>
      </w:pPr>
    </w:p>
    <w:p w14:paraId="02AF2AB7" w14:textId="1C99D050" w:rsidR="00104D21" w:rsidRDefault="007C47AE" w:rsidP="00104D21">
      <w:pPr>
        <w:jc w:val="left"/>
        <w:rPr>
          <w:rFonts w:ascii="Arial" w:hAnsi="Arial" w:cs="Arial"/>
          <w:b/>
          <w:sz w:val="24"/>
          <w:szCs w:val="24"/>
        </w:rPr>
      </w:pPr>
      <w:r>
        <w:rPr>
          <w:rFonts w:ascii="Arial" w:hAnsi="Arial" w:cs="Arial"/>
          <w:b/>
          <w:sz w:val="24"/>
          <w:szCs w:val="24"/>
        </w:rPr>
        <w:lastRenderedPageBreak/>
        <w:t>Retail profit on a fully rented basis</w:t>
      </w:r>
    </w:p>
    <w:p w14:paraId="150651C6" w14:textId="77777777" w:rsidR="00104D21" w:rsidRDefault="00104D21" w:rsidP="00104D21">
      <w:pPr>
        <w:jc w:val="left"/>
        <w:rPr>
          <w:rFonts w:ascii="Arial" w:hAnsi="Arial" w:cs="Arial"/>
          <w:b/>
          <w:sz w:val="24"/>
          <w:szCs w:val="24"/>
        </w:rPr>
      </w:pPr>
    </w:p>
    <w:p w14:paraId="2E7BE19D" w14:textId="3E15DEBD" w:rsidR="00104D21" w:rsidRDefault="00104D21" w:rsidP="00104D21">
      <w:pPr>
        <w:jc w:val="left"/>
        <w:rPr>
          <w:rFonts w:ascii="Arial" w:hAnsi="Arial" w:cs="Arial"/>
          <w:bCs/>
          <w:sz w:val="24"/>
          <w:szCs w:val="24"/>
        </w:rPr>
      </w:pPr>
      <w:r>
        <w:rPr>
          <w:rFonts w:ascii="Arial" w:hAnsi="Arial" w:cs="Arial"/>
          <w:bCs/>
          <w:sz w:val="24"/>
          <w:szCs w:val="24"/>
        </w:rPr>
        <w:t xml:space="preserve">The Group currently operates out of a mix of </w:t>
      </w:r>
      <w:r w:rsidR="003B2552">
        <w:rPr>
          <w:rFonts w:ascii="Arial" w:hAnsi="Arial" w:cs="Arial"/>
          <w:bCs/>
          <w:sz w:val="24"/>
          <w:szCs w:val="24"/>
        </w:rPr>
        <w:t xml:space="preserve">owned </w:t>
      </w:r>
      <w:r>
        <w:rPr>
          <w:rFonts w:ascii="Arial" w:hAnsi="Arial" w:cs="Arial"/>
          <w:bCs/>
          <w:sz w:val="24"/>
          <w:szCs w:val="24"/>
        </w:rPr>
        <w:t xml:space="preserve">and </w:t>
      </w:r>
      <w:r w:rsidR="001C43C3">
        <w:rPr>
          <w:rFonts w:ascii="Arial" w:hAnsi="Arial" w:cs="Arial"/>
          <w:bCs/>
          <w:sz w:val="24"/>
          <w:szCs w:val="24"/>
        </w:rPr>
        <w:t xml:space="preserve">leased </w:t>
      </w:r>
      <w:r>
        <w:rPr>
          <w:rFonts w:ascii="Arial" w:hAnsi="Arial" w:cs="Arial"/>
          <w:bCs/>
          <w:sz w:val="24"/>
          <w:szCs w:val="24"/>
        </w:rPr>
        <w:t>property with the mix varying significantly between our geographic markets.  In order to compare divisional performance</w:t>
      </w:r>
      <w:r w:rsidR="009E71FD" w:rsidRPr="009E71FD">
        <w:rPr>
          <w:rFonts w:ascii="Arial" w:hAnsi="Arial" w:cs="Arial"/>
          <w:bCs/>
          <w:sz w:val="24"/>
          <w:szCs w:val="24"/>
        </w:rPr>
        <w:t xml:space="preserve"> </w:t>
      </w:r>
      <w:r w:rsidR="009E71FD">
        <w:rPr>
          <w:rFonts w:ascii="Arial" w:hAnsi="Arial" w:cs="Arial"/>
          <w:bCs/>
          <w:sz w:val="24"/>
          <w:szCs w:val="24"/>
        </w:rPr>
        <w:t>more easily</w:t>
      </w:r>
      <w:r>
        <w:rPr>
          <w:rFonts w:ascii="Arial" w:hAnsi="Arial" w:cs="Arial"/>
          <w:bCs/>
          <w:sz w:val="24"/>
          <w:szCs w:val="24"/>
        </w:rPr>
        <w:t xml:space="preserve">, a summary of the retail profit margins on a fully rented basis are set out below: </w:t>
      </w:r>
    </w:p>
    <w:p w14:paraId="2FD259E3" w14:textId="77777777" w:rsidR="00104D21" w:rsidRDefault="00104D21" w:rsidP="00104D21">
      <w:pPr>
        <w:jc w:val="left"/>
        <w:rPr>
          <w:rFonts w:ascii="Arial" w:hAnsi="Arial" w:cs="Arial"/>
          <w:sz w:val="24"/>
          <w:szCs w:val="24"/>
        </w:rPr>
      </w:pPr>
    </w:p>
    <w:tbl>
      <w:tblPr>
        <w:tblW w:w="4779" w:type="pct"/>
        <w:tblLook w:val="04A0" w:firstRow="1" w:lastRow="0" w:firstColumn="1" w:lastColumn="0" w:noHBand="0" w:noVBand="1"/>
      </w:tblPr>
      <w:tblGrid>
        <w:gridCol w:w="5814"/>
        <w:gridCol w:w="1121"/>
        <w:gridCol w:w="1145"/>
        <w:gridCol w:w="1135"/>
      </w:tblGrid>
      <w:tr w:rsidR="001156D0" w:rsidRPr="00BC7493" w14:paraId="00F2495B" w14:textId="77777777" w:rsidTr="000E6C79">
        <w:trPr>
          <w:trHeight w:val="254"/>
        </w:trPr>
        <w:tc>
          <w:tcPr>
            <w:tcW w:w="3155" w:type="pct"/>
            <w:tcBorders>
              <w:bottom w:val="single" w:sz="4" w:space="0" w:color="auto"/>
            </w:tcBorders>
            <w:shd w:val="clear" w:color="auto" w:fill="auto"/>
          </w:tcPr>
          <w:p w14:paraId="3537E447" w14:textId="77777777" w:rsidR="001156D0" w:rsidRPr="008F6173" w:rsidRDefault="001156D0" w:rsidP="001530E5">
            <w:pPr>
              <w:rPr>
                <w:rFonts w:ascii="Arial" w:hAnsi="Arial" w:cs="Arial"/>
                <w:sz w:val="24"/>
                <w:szCs w:val="24"/>
              </w:rPr>
            </w:pPr>
          </w:p>
        </w:tc>
        <w:tc>
          <w:tcPr>
            <w:tcW w:w="608" w:type="pct"/>
            <w:tcBorders>
              <w:bottom w:val="single" w:sz="4" w:space="0" w:color="auto"/>
            </w:tcBorders>
            <w:shd w:val="clear" w:color="auto" w:fill="auto"/>
            <w:vAlign w:val="bottom"/>
          </w:tcPr>
          <w:p w14:paraId="13E52E65" w14:textId="77777777" w:rsidR="001156D0" w:rsidRPr="006330E1" w:rsidRDefault="001156D0" w:rsidP="001530E5">
            <w:pPr>
              <w:jc w:val="right"/>
              <w:rPr>
                <w:rFonts w:ascii="Arial" w:hAnsi="Arial" w:cs="Arial"/>
                <w:b/>
                <w:bCs/>
                <w:sz w:val="24"/>
                <w:szCs w:val="24"/>
              </w:rPr>
            </w:pPr>
          </w:p>
        </w:tc>
        <w:tc>
          <w:tcPr>
            <w:tcW w:w="621" w:type="pct"/>
            <w:tcBorders>
              <w:bottom w:val="single" w:sz="4" w:space="0" w:color="auto"/>
            </w:tcBorders>
            <w:shd w:val="clear" w:color="auto" w:fill="auto"/>
            <w:vAlign w:val="bottom"/>
          </w:tcPr>
          <w:p w14:paraId="5A31899E" w14:textId="77777777" w:rsidR="001156D0" w:rsidRPr="006330E1" w:rsidRDefault="001156D0" w:rsidP="001530E5">
            <w:pPr>
              <w:jc w:val="right"/>
              <w:rPr>
                <w:rFonts w:ascii="Arial" w:hAnsi="Arial" w:cs="Arial"/>
                <w:b/>
                <w:bCs/>
                <w:sz w:val="24"/>
                <w:szCs w:val="24"/>
              </w:rPr>
            </w:pPr>
          </w:p>
        </w:tc>
        <w:tc>
          <w:tcPr>
            <w:tcW w:w="616" w:type="pct"/>
            <w:tcBorders>
              <w:bottom w:val="single" w:sz="4" w:space="0" w:color="auto"/>
            </w:tcBorders>
            <w:shd w:val="clear" w:color="auto" w:fill="auto"/>
            <w:vAlign w:val="bottom"/>
          </w:tcPr>
          <w:p w14:paraId="397963B1" w14:textId="0FF70742" w:rsidR="001156D0" w:rsidRPr="00BC7493" w:rsidRDefault="001156D0" w:rsidP="001530E5">
            <w:pPr>
              <w:jc w:val="right"/>
              <w:rPr>
                <w:rFonts w:ascii="Arial" w:hAnsi="Arial" w:cs="Arial"/>
                <w:b/>
                <w:bCs/>
                <w:sz w:val="24"/>
                <w:szCs w:val="24"/>
              </w:rPr>
            </w:pPr>
            <w:r w:rsidRPr="00BC7493">
              <w:rPr>
                <w:rFonts w:ascii="Arial" w:hAnsi="Arial" w:cs="Arial"/>
                <w:b/>
                <w:bCs/>
                <w:sz w:val="24"/>
                <w:szCs w:val="24"/>
              </w:rPr>
              <w:t>2014/15</w:t>
            </w:r>
          </w:p>
        </w:tc>
      </w:tr>
      <w:tr w:rsidR="001156D0" w:rsidRPr="00BC7493" w14:paraId="26B42B6F" w14:textId="77777777" w:rsidTr="000E6C79">
        <w:trPr>
          <w:trHeight w:val="254"/>
        </w:trPr>
        <w:tc>
          <w:tcPr>
            <w:tcW w:w="3155" w:type="pct"/>
            <w:tcBorders>
              <w:top w:val="single" w:sz="4" w:space="0" w:color="auto"/>
            </w:tcBorders>
            <w:shd w:val="clear" w:color="auto" w:fill="auto"/>
          </w:tcPr>
          <w:p w14:paraId="48F0660C" w14:textId="77777777" w:rsidR="001156D0" w:rsidRPr="00BC7493" w:rsidRDefault="001156D0" w:rsidP="001530E5">
            <w:pPr>
              <w:rPr>
                <w:rFonts w:ascii="Arial" w:hAnsi="Arial" w:cs="Arial"/>
                <w:sz w:val="24"/>
                <w:szCs w:val="24"/>
              </w:rPr>
            </w:pPr>
          </w:p>
        </w:tc>
        <w:tc>
          <w:tcPr>
            <w:tcW w:w="608" w:type="pct"/>
            <w:tcBorders>
              <w:top w:val="single" w:sz="4" w:space="0" w:color="auto"/>
            </w:tcBorders>
            <w:shd w:val="clear" w:color="auto" w:fill="auto"/>
            <w:vAlign w:val="bottom"/>
          </w:tcPr>
          <w:p w14:paraId="787A3EC7" w14:textId="639B971A" w:rsidR="001156D0" w:rsidRPr="00BC7493" w:rsidRDefault="001156D0" w:rsidP="001530E5">
            <w:pPr>
              <w:jc w:val="right"/>
              <w:rPr>
                <w:rFonts w:ascii="Arial" w:hAnsi="Arial" w:cs="Arial"/>
                <w:sz w:val="24"/>
                <w:szCs w:val="24"/>
              </w:rPr>
            </w:pPr>
            <w:r w:rsidRPr="00BC7493">
              <w:rPr>
                <w:rFonts w:ascii="Arial" w:hAnsi="Arial" w:cs="Arial"/>
                <w:b/>
                <w:bCs/>
                <w:sz w:val="24"/>
                <w:szCs w:val="24"/>
              </w:rPr>
              <w:t>UK</w:t>
            </w:r>
            <w:r w:rsidR="00A739B8">
              <w:rPr>
                <w:rFonts w:ascii="Arial" w:hAnsi="Arial" w:cs="Arial"/>
                <w:b/>
                <w:bCs/>
                <w:sz w:val="24"/>
                <w:szCs w:val="24"/>
              </w:rPr>
              <w:t xml:space="preserve"> &amp; Ireland</w:t>
            </w:r>
          </w:p>
        </w:tc>
        <w:tc>
          <w:tcPr>
            <w:tcW w:w="621" w:type="pct"/>
            <w:tcBorders>
              <w:top w:val="single" w:sz="4" w:space="0" w:color="auto"/>
            </w:tcBorders>
            <w:shd w:val="clear" w:color="auto" w:fill="auto"/>
            <w:vAlign w:val="bottom"/>
          </w:tcPr>
          <w:p w14:paraId="04C760BE" w14:textId="77777777" w:rsidR="001156D0" w:rsidRPr="00BC7493" w:rsidRDefault="001156D0" w:rsidP="001530E5">
            <w:pPr>
              <w:jc w:val="right"/>
              <w:rPr>
                <w:rFonts w:ascii="Arial" w:hAnsi="Arial" w:cs="Arial"/>
                <w:sz w:val="24"/>
                <w:szCs w:val="24"/>
              </w:rPr>
            </w:pPr>
            <w:r w:rsidRPr="00BC7493">
              <w:rPr>
                <w:rFonts w:ascii="Arial" w:hAnsi="Arial" w:cs="Arial"/>
                <w:b/>
                <w:bCs/>
                <w:sz w:val="24"/>
                <w:szCs w:val="24"/>
              </w:rPr>
              <w:t xml:space="preserve">France </w:t>
            </w:r>
          </w:p>
        </w:tc>
        <w:tc>
          <w:tcPr>
            <w:tcW w:w="616" w:type="pct"/>
            <w:tcBorders>
              <w:top w:val="single" w:sz="4" w:space="0" w:color="auto"/>
            </w:tcBorders>
            <w:shd w:val="clear" w:color="auto" w:fill="auto"/>
            <w:vAlign w:val="bottom"/>
          </w:tcPr>
          <w:p w14:paraId="6FD703A8" w14:textId="77777777" w:rsidR="001156D0" w:rsidRPr="00BC7493" w:rsidRDefault="001156D0" w:rsidP="001530E5">
            <w:pPr>
              <w:jc w:val="right"/>
              <w:rPr>
                <w:rFonts w:ascii="Arial" w:hAnsi="Arial" w:cs="Arial"/>
                <w:sz w:val="24"/>
                <w:szCs w:val="24"/>
              </w:rPr>
            </w:pPr>
            <w:r w:rsidRPr="00BC7493">
              <w:rPr>
                <w:rFonts w:ascii="Arial" w:hAnsi="Arial" w:cs="Arial"/>
                <w:b/>
                <w:bCs/>
                <w:sz w:val="24"/>
                <w:szCs w:val="24"/>
              </w:rPr>
              <w:t>Poland</w:t>
            </w:r>
          </w:p>
        </w:tc>
      </w:tr>
      <w:tr w:rsidR="001156D0" w:rsidRPr="00BC7493" w14:paraId="0A35FF0F" w14:textId="77777777" w:rsidTr="000E6C79">
        <w:trPr>
          <w:trHeight w:val="254"/>
        </w:trPr>
        <w:tc>
          <w:tcPr>
            <w:tcW w:w="3155" w:type="pct"/>
            <w:shd w:val="clear" w:color="auto" w:fill="auto"/>
            <w:vAlign w:val="center"/>
          </w:tcPr>
          <w:p w14:paraId="68F30E46" w14:textId="0778AD51" w:rsidR="001156D0" w:rsidRPr="00BC7493" w:rsidRDefault="001156D0">
            <w:pPr>
              <w:rPr>
                <w:rFonts w:ascii="Arial" w:hAnsi="Arial" w:cs="Arial"/>
                <w:sz w:val="24"/>
                <w:szCs w:val="24"/>
              </w:rPr>
            </w:pPr>
            <w:r w:rsidRPr="00BC7493">
              <w:rPr>
                <w:rFonts w:ascii="Arial" w:hAnsi="Arial" w:cs="Arial"/>
                <w:sz w:val="24"/>
                <w:szCs w:val="24"/>
              </w:rPr>
              <w:t>Retail profit %</w:t>
            </w:r>
          </w:p>
        </w:tc>
        <w:tc>
          <w:tcPr>
            <w:tcW w:w="608" w:type="pct"/>
            <w:shd w:val="clear" w:color="auto" w:fill="auto"/>
            <w:vAlign w:val="bottom"/>
          </w:tcPr>
          <w:p w14:paraId="36C9BDA8" w14:textId="77777777" w:rsidR="001156D0" w:rsidRPr="00BC7493" w:rsidRDefault="001156D0" w:rsidP="001530E5">
            <w:pPr>
              <w:jc w:val="right"/>
              <w:rPr>
                <w:rFonts w:ascii="Arial" w:hAnsi="Arial" w:cs="Arial"/>
                <w:sz w:val="24"/>
                <w:szCs w:val="24"/>
              </w:rPr>
            </w:pPr>
            <w:r w:rsidRPr="00BC7493">
              <w:rPr>
                <w:rFonts w:ascii="Arial" w:hAnsi="Arial" w:cs="Arial"/>
                <w:sz w:val="24"/>
                <w:szCs w:val="24"/>
              </w:rPr>
              <w:t>6.0%</w:t>
            </w:r>
          </w:p>
        </w:tc>
        <w:tc>
          <w:tcPr>
            <w:tcW w:w="621" w:type="pct"/>
            <w:shd w:val="clear" w:color="auto" w:fill="auto"/>
            <w:vAlign w:val="bottom"/>
          </w:tcPr>
          <w:p w14:paraId="747DB08B" w14:textId="77777777" w:rsidR="001156D0" w:rsidRPr="00BC7493" w:rsidRDefault="001156D0" w:rsidP="001530E5">
            <w:pPr>
              <w:jc w:val="right"/>
              <w:rPr>
                <w:rFonts w:ascii="Arial" w:hAnsi="Arial" w:cs="Arial"/>
                <w:sz w:val="24"/>
                <w:szCs w:val="24"/>
              </w:rPr>
            </w:pPr>
            <w:r w:rsidRPr="00BC7493">
              <w:rPr>
                <w:rFonts w:ascii="Arial" w:hAnsi="Arial" w:cs="Arial"/>
                <w:sz w:val="24"/>
                <w:szCs w:val="24"/>
              </w:rPr>
              <w:t>8.4%</w:t>
            </w:r>
          </w:p>
        </w:tc>
        <w:tc>
          <w:tcPr>
            <w:tcW w:w="616" w:type="pct"/>
            <w:shd w:val="clear" w:color="auto" w:fill="auto"/>
            <w:vAlign w:val="bottom"/>
          </w:tcPr>
          <w:p w14:paraId="14EAAE86" w14:textId="77777777" w:rsidR="001156D0" w:rsidRPr="00BC7493" w:rsidRDefault="001156D0" w:rsidP="001530E5">
            <w:pPr>
              <w:jc w:val="right"/>
              <w:rPr>
                <w:rFonts w:ascii="Arial" w:hAnsi="Arial" w:cs="Arial"/>
                <w:sz w:val="24"/>
                <w:szCs w:val="24"/>
              </w:rPr>
            </w:pPr>
            <w:r w:rsidRPr="00BC7493">
              <w:rPr>
                <w:rFonts w:ascii="Arial" w:hAnsi="Arial" w:cs="Arial"/>
                <w:sz w:val="24"/>
                <w:szCs w:val="24"/>
              </w:rPr>
              <w:t>11.2%</w:t>
            </w:r>
          </w:p>
        </w:tc>
      </w:tr>
      <w:tr w:rsidR="001156D0" w:rsidRPr="00BC7493" w14:paraId="395A5C02" w14:textId="77777777" w:rsidTr="000E6C79">
        <w:trPr>
          <w:trHeight w:val="254"/>
        </w:trPr>
        <w:tc>
          <w:tcPr>
            <w:tcW w:w="3155" w:type="pct"/>
            <w:shd w:val="clear" w:color="auto" w:fill="auto"/>
            <w:vAlign w:val="center"/>
          </w:tcPr>
          <w:p w14:paraId="548694A6" w14:textId="2CDC324C" w:rsidR="001156D0" w:rsidRPr="00BC7493" w:rsidRDefault="001156D0">
            <w:pPr>
              <w:rPr>
                <w:rFonts w:ascii="Arial" w:hAnsi="Arial" w:cs="Arial"/>
                <w:sz w:val="24"/>
                <w:szCs w:val="24"/>
              </w:rPr>
            </w:pPr>
            <w:r w:rsidRPr="00BC7493">
              <w:rPr>
                <w:rFonts w:ascii="Arial" w:hAnsi="Arial" w:cs="Arial"/>
                <w:sz w:val="24"/>
                <w:szCs w:val="24"/>
              </w:rPr>
              <w:t>Adjustment to leasehold basis for owned properties</w:t>
            </w:r>
          </w:p>
        </w:tc>
        <w:tc>
          <w:tcPr>
            <w:tcW w:w="608" w:type="pct"/>
            <w:shd w:val="clear" w:color="auto" w:fill="auto"/>
            <w:vAlign w:val="bottom"/>
          </w:tcPr>
          <w:p w14:paraId="3A5634D1" w14:textId="77777777" w:rsidR="001156D0" w:rsidRPr="00BC7493" w:rsidRDefault="001156D0" w:rsidP="001530E5">
            <w:pPr>
              <w:jc w:val="right"/>
              <w:rPr>
                <w:rFonts w:ascii="Arial" w:hAnsi="Arial" w:cs="Arial"/>
                <w:sz w:val="24"/>
                <w:szCs w:val="24"/>
              </w:rPr>
            </w:pPr>
            <w:r w:rsidRPr="00BC7493">
              <w:rPr>
                <w:rFonts w:ascii="Arial" w:hAnsi="Arial" w:cs="Arial"/>
                <w:sz w:val="24"/>
                <w:szCs w:val="24"/>
              </w:rPr>
              <w:t>(0.8)%</w:t>
            </w:r>
          </w:p>
        </w:tc>
        <w:tc>
          <w:tcPr>
            <w:tcW w:w="621" w:type="pct"/>
            <w:shd w:val="clear" w:color="auto" w:fill="auto"/>
            <w:vAlign w:val="bottom"/>
          </w:tcPr>
          <w:p w14:paraId="1834FDC9" w14:textId="77777777" w:rsidR="001156D0" w:rsidRPr="00BC7493" w:rsidRDefault="001156D0" w:rsidP="001530E5">
            <w:pPr>
              <w:jc w:val="right"/>
              <w:rPr>
                <w:rFonts w:ascii="Arial" w:hAnsi="Arial" w:cs="Arial"/>
                <w:sz w:val="24"/>
                <w:szCs w:val="24"/>
              </w:rPr>
            </w:pPr>
            <w:r w:rsidRPr="00BC7493">
              <w:rPr>
                <w:rFonts w:ascii="Arial" w:hAnsi="Arial" w:cs="Arial"/>
                <w:sz w:val="24"/>
                <w:szCs w:val="24"/>
              </w:rPr>
              <w:t>(2.6)%</w:t>
            </w:r>
          </w:p>
        </w:tc>
        <w:tc>
          <w:tcPr>
            <w:tcW w:w="616" w:type="pct"/>
            <w:shd w:val="clear" w:color="auto" w:fill="auto"/>
            <w:vAlign w:val="bottom"/>
          </w:tcPr>
          <w:p w14:paraId="43F8C2EA" w14:textId="77777777" w:rsidR="001156D0" w:rsidRPr="00BC7493" w:rsidRDefault="001156D0" w:rsidP="001530E5">
            <w:pPr>
              <w:jc w:val="right"/>
              <w:rPr>
                <w:rFonts w:ascii="Arial" w:hAnsi="Arial" w:cs="Arial"/>
                <w:sz w:val="24"/>
                <w:szCs w:val="24"/>
              </w:rPr>
            </w:pPr>
            <w:r w:rsidRPr="00BC7493">
              <w:rPr>
                <w:rFonts w:ascii="Arial" w:hAnsi="Arial" w:cs="Arial"/>
                <w:sz w:val="24"/>
                <w:szCs w:val="24"/>
              </w:rPr>
              <w:t>(3.6)%</w:t>
            </w:r>
          </w:p>
        </w:tc>
      </w:tr>
      <w:tr w:rsidR="001156D0" w:rsidRPr="006330E1" w14:paraId="4CC39F36" w14:textId="77777777" w:rsidTr="000E6C79">
        <w:trPr>
          <w:trHeight w:val="254"/>
        </w:trPr>
        <w:tc>
          <w:tcPr>
            <w:tcW w:w="3155" w:type="pct"/>
            <w:tcBorders>
              <w:bottom w:val="single" w:sz="4" w:space="0" w:color="auto"/>
            </w:tcBorders>
            <w:shd w:val="clear" w:color="auto" w:fill="auto"/>
            <w:vAlign w:val="center"/>
          </w:tcPr>
          <w:p w14:paraId="5A8879C3" w14:textId="20A29CAA" w:rsidR="001156D0" w:rsidRPr="00BC7493" w:rsidRDefault="001156D0">
            <w:pPr>
              <w:rPr>
                <w:rFonts w:ascii="Arial" w:hAnsi="Arial" w:cs="Arial"/>
                <w:sz w:val="24"/>
                <w:szCs w:val="24"/>
              </w:rPr>
            </w:pPr>
            <w:r w:rsidRPr="00BC7493">
              <w:rPr>
                <w:rFonts w:ascii="Arial" w:hAnsi="Arial" w:cs="Arial"/>
                <w:sz w:val="24"/>
                <w:szCs w:val="24"/>
              </w:rPr>
              <w:t>Retail Profit % on leasehold basis</w:t>
            </w:r>
          </w:p>
        </w:tc>
        <w:tc>
          <w:tcPr>
            <w:tcW w:w="608" w:type="pct"/>
            <w:tcBorders>
              <w:bottom w:val="single" w:sz="4" w:space="0" w:color="auto"/>
            </w:tcBorders>
            <w:shd w:val="clear" w:color="auto" w:fill="auto"/>
            <w:vAlign w:val="bottom"/>
          </w:tcPr>
          <w:p w14:paraId="5968C3E9" w14:textId="77777777" w:rsidR="001156D0" w:rsidRPr="00BC7493" w:rsidRDefault="001156D0" w:rsidP="001530E5">
            <w:pPr>
              <w:jc w:val="right"/>
              <w:rPr>
                <w:rFonts w:ascii="Arial" w:hAnsi="Arial" w:cs="Arial"/>
                <w:sz w:val="24"/>
                <w:szCs w:val="24"/>
              </w:rPr>
            </w:pPr>
            <w:r w:rsidRPr="00BC7493">
              <w:rPr>
                <w:rFonts w:ascii="Arial" w:hAnsi="Arial" w:cs="Arial"/>
                <w:sz w:val="24"/>
                <w:szCs w:val="24"/>
              </w:rPr>
              <w:t>5.2%</w:t>
            </w:r>
          </w:p>
        </w:tc>
        <w:tc>
          <w:tcPr>
            <w:tcW w:w="621" w:type="pct"/>
            <w:tcBorders>
              <w:bottom w:val="single" w:sz="4" w:space="0" w:color="auto"/>
            </w:tcBorders>
            <w:shd w:val="clear" w:color="auto" w:fill="auto"/>
            <w:vAlign w:val="bottom"/>
          </w:tcPr>
          <w:p w14:paraId="2330AD52" w14:textId="77777777" w:rsidR="001156D0" w:rsidRPr="00BC7493" w:rsidRDefault="001156D0" w:rsidP="001530E5">
            <w:pPr>
              <w:jc w:val="right"/>
              <w:rPr>
                <w:rFonts w:ascii="Arial" w:hAnsi="Arial" w:cs="Arial"/>
                <w:sz w:val="24"/>
                <w:szCs w:val="24"/>
              </w:rPr>
            </w:pPr>
            <w:r w:rsidRPr="00BC7493">
              <w:rPr>
                <w:rFonts w:ascii="Arial" w:hAnsi="Arial" w:cs="Arial"/>
                <w:sz w:val="24"/>
                <w:szCs w:val="24"/>
              </w:rPr>
              <w:t>5.8%</w:t>
            </w:r>
          </w:p>
        </w:tc>
        <w:tc>
          <w:tcPr>
            <w:tcW w:w="616" w:type="pct"/>
            <w:tcBorders>
              <w:bottom w:val="single" w:sz="4" w:space="0" w:color="auto"/>
            </w:tcBorders>
            <w:shd w:val="clear" w:color="auto" w:fill="auto"/>
            <w:vAlign w:val="bottom"/>
          </w:tcPr>
          <w:p w14:paraId="1D75D6F1" w14:textId="77777777" w:rsidR="001156D0" w:rsidRPr="008F6173" w:rsidRDefault="001156D0" w:rsidP="001530E5">
            <w:pPr>
              <w:jc w:val="right"/>
              <w:rPr>
                <w:rFonts w:ascii="Arial" w:hAnsi="Arial" w:cs="Arial"/>
                <w:sz w:val="24"/>
                <w:szCs w:val="24"/>
              </w:rPr>
            </w:pPr>
            <w:r w:rsidRPr="00BC7493">
              <w:rPr>
                <w:rFonts w:ascii="Arial" w:hAnsi="Arial" w:cs="Arial"/>
                <w:sz w:val="24"/>
                <w:szCs w:val="24"/>
              </w:rPr>
              <w:t>7.6%</w:t>
            </w:r>
          </w:p>
        </w:tc>
      </w:tr>
    </w:tbl>
    <w:p w14:paraId="2BF64B48" w14:textId="77777777" w:rsidR="00104D21" w:rsidRDefault="00104D21" w:rsidP="00104D21">
      <w:pPr>
        <w:jc w:val="left"/>
        <w:rPr>
          <w:rFonts w:ascii="Arial" w:hAnsi="Arial" w:cs="Arial"/>
          <w:sz w:val="24"/>
          <w:szCs w:val="24"/>
        </w:rPr>
      </w:pPr>
    </w:p>
    <w:p w14:paraId="7DD933D1" w14:textId="77777777" w:rsidR="003464B5" w:rsidRDefault="003464B5" w:rsidP="00104D21">
      <w:pPr>
        <w:jc w:val="left"/>
        <w:rPr>
          <w:rFonts w:ascii="Arial" w:hAnsi="Arial" w:cs="Arial"/>
          <w:b/>
          <w:sz w:val="24"/>
          <w:szCs w:val="24"/>
        </w:rPr>
      </w:pPr>
    </w:p>
    <w:p w14:paraId="22B2CE18" w14:textId="77777777" w:rsidR="00104D21" w:rsidRPr="004A74A6" w:rsidRDefault="00104D21" w:rsidP="00104D21">
      <w:pPr>
        <w:jc w:val="left"/>
        <w:rPr>
          <w:rFonts w:ascii="Arial" w:hAnsi="Arial" w:cs="Arial"/>
          <w:sz w:val="24"/>
          <w:szCs w:val="24"/>
        </w:rPr>
      </w:pPr>
      <w:r w:rsidRPr="004A74A6">
        <w:rPr>
          <w:rFonts w:ascii="Arial" w:hAnsi="Arial" w:cs="Arial"/>
          <w:b/>
          <w:sz w:val="24"/>
          <w:szCs w:val="24"/>
        </w:rPr>
        <w:t>Net Positive and integrated reporting</w:t>
      </w:r>
    </w:p>
    <w:p w14:paraId="40992664" w14:textId="77777777" w:rsidR="00104D21" w:rsidRPr="0050210E" w:rsidRDefault="00104D21" w:rsidP="00104D21">
      <w:pPr>
        <w:jc w:val="left"/>
        <w:rPr>
          <w:rFonts w:ascii="Arial" w:hAnsi="Arial" w:cs="Arial"/>
          <w:sz w:val="24"/>
          <w:szCs w:val="24"/>
        </w:rPr>
      </w:pPr>
    </w:p>
    <w:p w14:paraId="4E62A298" w14:textId="0C09063B" w:rsidR="00104D21" w:rsidRPr="0050210E" w:rsidRDefault="00104D21" w:rsidP="0075047A">
      <w:pPr>
        <w:rPr>
          <w:rFonts w:ascii="Arial" w:hAnsi="Arial" w:cs="Arial"/>
          <w:sz w:val="24"/>
          <w:szCs w:val="24"/>
        </w:rPr>
      </w:pPr>
      <w:r w:rsidRPr="0050210E">
        <w:rPr>
          <w:rFonts w:ascii="Arial" w:hAnsi="Arial" w:cs="Arial"/>
          <w:sz w:val="24"/>
          <w:szCs w:val="24"/>
        </w:rPr>
        <w:t xml:space="preserve">Kingfisher is committed to operating sustainably and to making a positive contribution to society through </w:t>
      </w:r>
      <w:r w:rsidR="00A11776">
        <w:rPr>
          <w:rFonts w:ascii="Arial" w:hAnsi="Arial" w:cs="Arial"/>
          <w:sz w:val="24"/>
          <w:szCs w:val="24"/>
        </w:rPr>
        <w:t xml:space="preserve">its </w:t>
      </w:r>
      <w:r w:rsidRPr="0050210E">
        <w:rPr>
          <w:rFonts w:ascii="Arial" w:hAnsi="Arial" w:cs="Arial"/>
          <w:sz w:val="24"/>
          <w:szCs w:val="24"/>
        </w:rPr>
        <w:t xml:space="preserve">business activities. </w:t>
      </w:r>
      <w:r w:rsidR="00A11776">
        <w:rPr>
          <w:rFonts w:ascii="Arial" w:hAnsi="Arial" w:cs="Arial"/>
          <w:sz w:val="24"/>
          <w:szCs w:val="24"/>
        </w:rPr>
        <w:t>Kingfisher’s</w:t>
      </w:r>
      <w:r w:rsidR="00A11776" w:rsidRPr="0050210E">
        <w:rPr>
          <w:rFonts w:ascii="Arial" w:hAnsi="Arial" w:cs="Arial"/>
          <w:sz w:val="24"/>
          <w:szCs w:val="24"/>
        </w:rPr>
        <w:t xml:space="preserve"> </w:t>
      </w:r>
      <w:r w:rsidR="003464B5">
        <w:rPr>
          <w:rFonts w:ascii="Arial" w:hAnsi="Arial" w:cs="Arial"/>
          <w:sz w:val="24"/>
          <w:szCs w:val="24"/>
        </w:rPr>
        <w:t>‘</w:t>
      </w:r>
      <w:r w:rsidRPr="0050210E">
        <w:rPr>
          <w:rFonts w:ascii="Arial" w:hAnsi="Arial" w:cs="Arial"/>
          <w:sz w:val="24"/>
          <w:szCs w:val="24"/>
        </w:rPr>
        <w:t>Net Positive</w:t>
      </w:r>
      <w:r w:rsidR="003464B5">
        <w:rPr>
          <w:rFonts w:ascii="Arial" w:hAnsi="Arial" w:cs="Arial"/>
          <w:sz w:val="24"/>
          <w:szCs w:val="24"/>
        </w:rPr>
        <w:t>’</w:t>
      </w:r>
      <w:r w:rsidRPr="0050210E">
        <w:rPr>
          <w:rFonts w:ascii="Arial" w:hAnsi="Arial" w:cs="Arial"/>
          <w:sz w:val="24"/>
          <w:szCs w:val="24"/>
        </w:rPr>
        <w:t xml:space="preserve"> approach is enabling </w:t>
      </w:r>
      <w:r w:rsidR="00A11776">
        <w:rPr>
          <w:rFonts w:ascii="Arial" w:hAnsi="Arial" w:cs="Arial"/>
          <w:sz w:val="24"/>
          <w:szCs w:val="24"/>
        </w:rPr>
        <w:t>the business</w:t>
      </w:r>
      <w:r w:rsidR="00A11776" w:rsidRPr="0050210E">
        <w:rPr>
          <w:rFonts w:ascii="Arial" w:hAnsi="Arial" w:cs="Arial"/>
          <w:sz w:val="24"/>
          <w:szCs w:val="24"/>
        </w:rPr>
        <w:t xml:space="preserve"> </w:t>
      </w:r>
      <w:r w:rsidRPr="0050210E">
        <w:rPr>
          <w:rFonts w:ascii="Arial" w:hAnsi="Arial" w:cs="Arial"/>
          <w:sz w:val="24"/>
          <w:szCs w:val="24"/>
        </w:rPr>
        <w:t xml:space="preserve">to improve efficiency and resilience while generating revenue and supporting brand preference. </w:t>
      </w:r>
      <w:r w:rsidR="00A122E0" w:rsidRPr="0075047A">
        <w:rPr>
          <w:rFonts w:ascii="Arial" w:hAnsi="Arial" w:cs="Arial"/>
          <w:sz w:val="24"/>
          <w:szCs w:val="24"/>
        </w:rPr>
        <w:t xml:space="preserve">Sustainability makes financial sense – </w:t>
      </w:r>
      <w:r w:rsidR="00A11776">
        <w:rPr>
          <w:rFonts w:ascii="Arial" w:hAnsi="Arial" w:cs="Arial"/>
          <w:sz w:val="24"/>
          <w:szCs w:val="24"/>
        </w:rPr>
        <w:t>the business has</w:t>
      </w:r>
      <w:r w:rsidR="00A122E0" w:rsidRPr="0075047A">
        <w:rPr>
          <w:rFonts w:ascii="Arial" w:hAnsi="Arial" w:cs="Arial"/>
          <w:sz w:val="24"/>
          <w:szCs w:val="24"/>
        </w:rPr>
        <w:t xml:space="preserve"> generated £2.4 billion in sales of products with eco credentials in 2014/15, and </w:t>
      </w:r>
      <w:r w:rsidR="00A11776">
        <w:rPr>
          <w:rFonts w:ascii="Arial" w:hAnsi="Arial" w:cs="Arial"/>
          <w:sz w:val="24"/>
          <w:szCs w:val="24"/>
        </w:rPr>
        <w:t>there are</w:t>
      </w:r>
      <w:r w:rsidR="00A122E0" w:rsidRPr="0075047A">
        <w:rPr>
          <w:rFonts w:ascii="Arial" w:hAnsi="Arial" w:cs="Arial"/>
          <w:sz w:val="24"/>
          <w:szCs w:val="24"/>
        </w:rPr>
        <w:t xml:space="preserve"> a number of energy saving initiatives underway, for example installing LED lighting across 15% of stores to date is saving £3 million per annum.</w:t>
      </w:r>
      <w:r w:rsidR="00A122E0">
        <w:rPr>
          <w:rFonts w:ascii="Arial" w:hAnsi="Arial" w:cs="Arial"/>
          <w:sz w:val="24"/>
          <w:szCs w:val="24"/>
        </w:rPr>
        <w:t xml:space="preserve"> </w:t>
      </w:r>
      <w:r w:rsidR="00A11776">
        <w:rPr>
          <w:rFonts w:ascii="Arial" w:hAnsi="Arial" w:cs="Arial"/>
          <w:sz w:val="24"/>
          <w:szCs w:val="24"/>
        </w:rPr>
        <w:t>The business</w:t>
      </w:r>
      <w:r w:rsidRPr="002B7AFC">
        <w:rPr>
          <w:rFonts w:ascii="Arial" w:hAnsi="Arial" w:cs="Arial"/>
          <w:sz w:val="24"/>
          <w:szCs w:val="24"/>
        </w:rPr>
        <w:t xml:space="preserve"> </w:t>
      </w:r>
      <w:r w:rsidR="00A11776">
        <w:rPr>
          <w:rFonts w:ascii="Arial" w:hAnsi="Arial" w:cs="Arial"/>
          <w:sz w:val="24"/>
          <w:szCs w:val="24"/>
        </w:rPr>
        <w:t xml:space="preserve">is </w:t>
      </w:r>
      <w:r w:rsidRPr="002B7AFC">
        <w:rPr>
          <w:rFonts w:ascii="Arial" w:hAnsi="Arial" w:cs="Arial"/>
          <w:sz w:val="24"/>
          <w:szCs w:val="24"/>
        </w:rPr>
        <w:t>also trialling an approach to est</w:t>
      </w:r>
      <w:r w:rsidRPr="0050210E">
        <w:rPr>
          <w:rFonts w:ascii="Arial" w:hAnsi="Arial" w:cs="Arial"/>
          <w:sz w:val="24"/>
          <w:szCs w:val="24"/>
        </w:rPr>
        <w:t>ablish the financial benefits of initiatives to reduce waste, with a view to rol</w:t>
      </w:r>
      <w:r>
        <w:rPr>
          <w:rFonts w:ascii="Arial" w:hAnsi="Arial" w:cs="Arial"/>
          <w:sz w:val="24"/>
          <w:szCs w:val="24"/>
        </w:rPr>
        <w:t xml:space="preserve">ling this out across </w:t>
      </w:r>
      <w:r w:rsidR="00A11776">
        <w:rPr>
          <w:rFonts w:ascii="Arial" w:hAnsi="Arial" w:cs="Arial"/>
          <w:sz w:val="24"/>
          <w:szCs w:val="24"/>
        </w:rPr>
        <w:t>Kingfisher</w:t>
      </w:r>
      <w:r>
        <w:rPr>
          <w:rFonts w:ascii="Arial" w:hAnsi="Arial" w:cs="Arial"/>
          <w:sz w:val="24"/>
          <w:szCs w:val="24"/>
        </w:rPr>
        <w:t>.</w:t>
      </w:r>
    </w:p>
    <w:p w14:paraId="39047A02" w14:textId="77777777" w:rsidR="00104D21" w:rsidRPr="0050210E" w:rsidRDefault="00104D21" w:rsidP="00104D21">
      <w:pPr>
        <w:jc w:val="left"/>
        <w:rPr>
          <w:rFonts w:ascii="Arial" w:hAnsi="Arial" w:cs="Arial"/>
          <w:sz w:val="24"/>
          <w:szCs w:val="24"/>
        </w:rPr>
      </w:pPr>
    </w:p>
    <w:p w14:paraId="7BC981EE" w14:textId="53D959B7" w:rsidR="00104D21" w:rsidRPr="00757ADA" w:rsidRDefault="00104D21" w:rsidP="00104D21">
      <w:pPr>
        <w:jc w:val="left"/>
        <w:rPr>
          <w:rFonts w:ascii="Arial" w:hAnsi="Arial" w:cs="Arial"/>
          <w:sz w:val="24"/>
          <w:szCs w:val="24"/>
          <w:highlight w:val="yellow"/>
        </w:rPr>
      </w:pPr>
      <w:r w:rsidRPr="0050210E">
        <w:rPr>
          <w:rFonts w:ascii="Arial" w:hAnsi="Arial" w:cs="Arial"/>
          <w:sz w:val="24"/>
          <w:szCs w:val="24"/>
        </w:rPr>
        <w:t xml:space="preserve">Reflecting the importance of Net Positive, the </w:t>
      </w:r>
      <w:r w:rsidR="00210C5B">
        <w:rPr>
          <w:rFonts w:ascii="Arial" w:hAnsi="Arial" w:cs="Arial"/>
          <w:sz w:val="24"/>
          <w:szCs w:val="24"/>
        </w:rPr>
        <w:t>G</w:t>
      </w:r>
      <w:r w:rsidRPr="0050210E">
        <w:rPr>
          <w:rFonts w:ascii="Arial" w:hAnsi="Arial" w:cs="Arial"/>
          <w:sz w:val="24"/>
          <w:szCs w:val="24"/>
        </w:rPr>
        <w:t>roup has integrated sustainability considerations into its</w:t>
      </w:r>
      <w:r>
        <w:rPr>
          <w:rFonts w:ascii="Arial" w:hAnsi="Arial" w:cs="Arial"/>
          <w:sz w:val="24"/>
          <w:szCs w:val="24"/>
        </w:rPr>
        <w:t xml:space="preserve"> capital expenditure processes.</w:t>
      </w:r>
    </w:p>
    <w:p w14:paraId="7C8A742E" w14:textId="77777777" w:rsidR="00104D21" w:rsidRPr="00757ADA" w:rsidRDefault="00104D21" w:rsidP="00104D21">
      <w:pPr>
        <w:jc w:val="left"/>
        <w:rPr>
          <w:rFonts w:ascii="Arial" w:hAnsi="Arial" w:cs="Arial"/>
          <w:sz w:val="24"/>
          <w:szCs w:val="24"/>
          <w:highlight w:val="yellow"/>
        </w:rPr>
      </w:pPr>
    </w:p>
    <w:p w14:paraId="6697F821" w14:textId="600DE094" w:rsidR="00104D21" w:rsidRDefault="00104D21" w:rsidP="00104D21">
      <w:pPr>
        <w:jc w:val="left"/>
        <w:rPr>
          <w:rFonts w:ascii="Arial" w:hAnsi="Arial" w:cs="Arial"/>
          <w:sz w:val="24"/>
          <w:szCs w:val="24"/>
        </w:rPr>
      </w:pPr>
      <w:r w:rsidRPr="0050210E">
        <w:rPr>
          <w:rFonts w:ascii="Arial" w:hAnsi="Arial" w:cs="Arial"/>
          <w:sz w:val="24"/>
          <w:szCs w:val="24"/>
        </w:rPr>
        <w:t xml:space="preserve">Increasingly, </w:t>
      </w:r>
      <w:r w:rsidR="00A11776">
        <w:rPr>
          <w:rFonts w:ascii="Arial" w:hAnsi="Arial" w:cs="Arial"/>
          <w:sz w:val="24"/>
          <w:szCs w:val="24"/>
        </w:rPr>
        <w:t>the business</w:t>
      </w:r>
      <w:r w:rsidR="00A11776" w:rsidRPr="0050210E">
        <w:rPr>
          <w:rFonts w:ascii="Arial" w:hAnsi="Arial" w:cs="Arial"/>
          <w:sz w:val="24"/>
          <w:szCs w:val="24"/>
        </w:rPr>
        <w:t xml:space="preserve"> </w:t>
      </w:r>
      <w:r w:rsidRPr="0050210E">
        <w:rPr>
          <w:rFonts w:ascii="Arial" w:hAnsi="Arial" w:cs="Arial"/>
          <w:sz w:val="24"/>
          <w:szCs w:val="24"/>
        </w:rPr>
        <w:t>aim</w:t>
      </w:r>
      <w:r w:rsidR="00A11776">
        <w:rPr>
          <w:rFonts w:ascii="Arial" w:hAnsi="Arial" w:cs="Arial"/>
          <w:sz w:val="24"/>
          <w:szCs w:val="24"/>
        </w:rPr>
        <w:t>s</w:t>
      </w:r>
      <w:r w:rsidRPr="0050210E">
        <w:rPr>
          <w:rFonts w:ascii="Arial" w:hAnsi="Arial" w:cs="Arial"/>
          <w:sz w:val="24"/>
          <w:szCs w:val="24"/>
        </w:rPr>
        <w:t xml:space="preserve"> to report in an integrated way taking account of financial, economic, social and environmental performance, and to reflect all the factors that contribute to business success. This supports decision-making within the business while enabling investors and stakeholders to more easily assess the business value of our commitment to Net Positive and the contribution </w:t>
      </w:r>
      <w:r w:rsidR="00A11776">
        <w:rPr>
          <w:rFonts w:ascii="Arial" w:hAnsi="Arial" w:cs="Arial"/>
          <w:sz w:val="24"/>
          <w:szCs w:val="24"/>
        </w:rPr>
        <w:t>the</w:t>
      </w:r>
      <w:r w:rsidR="00A11776" w:rsidRPr="0050210E">
        <w:rPr>
          <w:rFonts w:ascii="Arial" w:hAnsi="Arial" w:cs="Arial"/>
          <w:sz w:val="24"/>
          <w:szCs w:val="24"/>
        </w:rPr>
        <w:t xml:space="preserve"> </w:t>
      </w:r>
      <w:r w:rsidRPr="0050210E">
        <w:rPr>
          <w:rFonts w:ascii="Arial" w:hAnsi="Arial" w:cs="Arial"/>
          <w:sz w:val="24"/>
          <w:szCs w:val="24"/>
        </w:rPr>
        <w:t>business makes to society.</w:t>
      </w:r>
    </w:p>
    <w:p w14:paraId="13CF8EB6" w14:textId="77777777" w:rsidR="00275B89" w:rsidRDefault="00275B89" w:rsidP="00275B89">
      <w:pPr>
        <w:jc w:val="left"/>
        <w:rPr>
          <w:rFonts w:ascii="Arial" w:hAnsi="Arial" w:cs="Arial"/>
          <w:sz w:val="24"/>
          <w:szCs w:val="24"/>
        </w:rPr>
      </w:pPr>
    </w:p>
    <w:p w14:paraId="19626DF9" w14:textId="77777777" w:rsidR="00326DF5" w:rsidRPr="0075047A" w:rsidRDefault="00326DF5" w:rsidP="00326DF5">
      <w:pPr>
        <w:jc w:val="left"/>
        <w:rPr>
          <w:rFonts w:ascii="Arial" w:hAnsi="Arial" w:cs="Arial"/>
          <w:b/>
          <w:sz w:val="24"/>
          <w:szCs w:val="24"/>
        </w:rPr>
      </w:pPr>
      <w:r w:rsidRPr="0075047A">
        <w:rPr>
          <w:rFonts w:ascii="Arial" w:hAnsi="Arial" w:cs="Arial"/>
          <w:b/>
          <w:sz w:val="24"/>
          <w:szCs w:val="24"/>
        </w:rPr>
        <w:t>Impact of new accounting standard and China disposal on 2015/16 reporting</w:t>
      </w:r>
    </w:p>
    <w:p w14:paraId="7021AB2B" w14:textId="77777777" w:rsidR="00326DF5" w:rsidRPr="00326DF5" w:rsidRDefault="00326DF5" w:rsidP="00326DF5">
      <w:pPr>
        <w:jc w:val="left"/>
        <w:rPr>
          <w:rFonts w:ascii="Arial" w:hAnsi="Arial" w:cs="Arial"/>
          <w:bCs/>
          <w:sz w:val="24"/>
          <w:szCs w:val="24"/>
        </w:rPr>
      </w:pPr>
      <w:r w:rsidRPr="00326DF5">
        <w:rPr>
          <w:rFonts w:ascii="Arial" w:hAnsi="Arial" w:cs="Arial"/>
          <w:bCs/>
          <w:sz w:val="24"/>
          <w:szCs w:val="24"/>
        </w:rPr>
        <w:t xml:space="preserve"> </w:t>
      </w:r>
    </w:p>
    <w:p w14:paraId="56B075EC" w14:textId="184D112F" w:rsidR="00326DF5" w:rsidRPr="0075047A" w:rsidRDefault="00326DF5" w:rsidP="00326DF5">
      <w:pPr>
        <w:jc w:val="left"/>
        <w:rPr>
          <w:rStyle w:val="Hyperlink"/>
          <w:rFonts w:cs="Arial"/>
          <w:iCs/>
        </w:rPr>
      </w:pPr>
      <w:r w:rsidRPr="00326DF5">
        <w:rPr>
          <w:rFonts w:ascii="Arial" w:hAnsi="Arial" w:cs="Arial"/>
          <w:bCs/>
          <w:sz w:val="24"/>
          <w:szCs w:val="24"/>
        </w:rPr>
        <w:t xml:space="preserve">The results for 2015/16 will be impacted by </w:t>
      </w:r>
      <w:r w:rsidR="00216651">
        <w:rPr>
          <w:rFonts w:ascii="Arial" w:hAnsi="Arial" w:cs="Arial"/>
          <w:bCs/>
          <w:sz w:val="24"/>
          <w:szCs w:val="24"/>
        </w:rPr>
        <w:t xml:space="preserve">both </w:t>
      </w:r>
      <w:r w:rsidRPr="00326DF5">
        <w:rPr>
          <w:rFonts w:ascii="Arial" w:hAnsi="Arial" w:cs="Arial"/>
          <w:bCs/>
          <w:sz w:val="24"/>
          <w:szCs w:val="24"/>
        </w:rPr>
        <w:t xml:space="preserve">a new IFRS accounting requirement, IFRIC 21 </w:t>
      </w:r>
      <w:r w:rsidR="003464B5">
        <w:rPr>
          <w:rFonts w:ascii="Arial" w:hAnsi="Arial" w:cs="Arial"/>
          <w:bCs/>
          <w:sz w:val="24"/>
          <w:szCs w:val="24"/>
        </w:rPr>
        <w:t>‘</w:t>
      </w:r>
      <w:r w:rsidRPr="00326DF5">
        <w:rPr>
          <w:rFonts w:ascii="Arial" w:hAnsi="Arial" w:cs="Arial"/>
          <w:bCs/>
          <w:sz w:val="24"/>
          <w:szCs w:val="24"/>
        </w:rPr>
        <w:t>Levies</w:t>
      </w:r>
      <w:r w:rsidR="003464B5">
        <w:rPr>
          <w:rFonts w:ascii="Arial" w:hAnsi="Arial" w:cs="Arial"/>
          <w:bCs/>
          <w:sz w:val="24"/>
          <w:szCs w:val="24"/>
        </w:rPr>
        <w:t>’</w:t>
      </w:r>
      <w:r w:rsidR="00F2515E">
        <w:rPr>
          <w:rFonts w:ascii="Arial" w:hAnsi="Arial" w:cs="Arial"/>
          <w:bCs/>
          <w:sz w:val="24"/>
          <w:szCs w:val="24"/>
        </w:rPr>
        <w:t>,</w:t>
      </w:r>
      <w:r w:rsidRPr="00326DF5">
        <w:rPr>
          <w:rFonts w:ascii="Arial" w:hAnsi="Arial" w:cs="Arial"/>
          <w:bCs/>
          <w:sz w:val="24"/>
          <w:szCs w:val="24"/>
        </w:rPr>
        <w:t xml:space="preserve"> and how Kingfisher accounts for</w:t>
      </w:r>
      <w:r w:rsidR="00BB4C68">
        <w:rPr>
          <w:rFonts w:ascii="Arial" w:hAnsi="Arial" w:cs="Arial"/>
          <w:bCs/>
          <w:sz w:val="24"/>
          <w:szCs w:val="24"/>
        </w:rPr>
        <w:t xml:space="preserve"> </w:t>
      </w:r>
      <w:r w:rsidRPr="00326DF5">
        <w:rPr>
          <w:rFonts w:ascii="Arial" w:hAnsi="Arial" w:cs="Arial"/>
          <w:bCs/>
          <w:sz w:val="24"/>
          <w:szCs w:val="24"/>
        </w:rPr>
        <w:t>China if the proposed sale of 70% is approved by China’s competition authority.</w:t>
      </w:r>
      <w:r w:rsidR="00A11776">
        <w:rPr>
          <w:rFonts w:ascii="Arial" w:hAnsi="Arial" w:cs="Arial"/>
          <w:bCs/>
          <w:sz w:val="24"/>
          <w:szCs w:val="24"/>
        </w:rPr>
        <w:t xml:space="preserve"> T</w:t>
      </w:r>
      <w:r w:rsidRPr="00326DF5">
        <w:rPr>
          <w:rFonts w:ascii="Arial" w:hAnsi="Arial" w:cs="Arial"/>
          <w:bCs/>
          <w:sz w:val="24"/>
          <w:szCs w:val="24"/>
        </w:rPr>
        <w:t xml:space="preserve">o help the readers of the accounts restatement data tables for 2014/15 have been published at: </w:t>
      </w:r>
      <w:r w:rsidRPr="0075047A">
        <w:rPr>
          <w:rStyle w:val="Hyperlink"/>
          <w:rFonts w:ascii="Arial" w:hAnsi="Arial" w:cs="Arial"/>
          <w:sz w:val="24"/>
        </w:rPr>
        <w:t>www.kingfisher.com/index.asp?pageid=59</w:t>
      </w:r>
    </w:p>
    <w:p w14:paraId="4AA8CEC0" w14:textId="77777777" w:rsidR="00326DF5" w:rsidRPr="00326DF5" w:rsidRDefault="00326DF5" w:rsidP="00326DF5">
      <w:pPr>
        <w:jc w:val="left"/>
        <w:rPr>
          <w:rFonts w:ascii="Arial" w:hAnsi="Arial" w:cs="Arial"/>
          <w:bCs/>
          <w:sz w:val="24"/>
          <w:szCs w:val="24"/>
        </w:rPr>
      </w:pPr>
      <w:r w:rsidRPr="00326DF5">
        <w:rPr>
          <w:rFonts w:ascii="Arial" w:hAnsi="Arial" w:cs="Arial"/>
          <w:bCs/>
          <w:sz w:val="24"/>
          <w:szCs w:val="24"/>
        </w:rPr>
        <w:t xml:space="preserve"> </w:t>
      </w:r>
    </w:p>
    <w:p w14:paraId="49108ACB" w14:textId="46D1DD03" w:rsidR="00326DF5" w:rsidRPr="00326DF5" w:rsidRDefault="00326DF5" w:rsidP="00326DF5">
      <w:pPr>
        <w:jc w:val="left"/>
        <w:rPr>
          <w:rFonts w:ascii="Arial" w:hAnsi="Arial" w:cs="Arial"/>
          <w:bCs/>
          <w:sz w:val="24"/>
          <w:szCs w:val="24"/>
        </w:rPr>
      </w:pPr>
      <w:r w:rsidRPr="00326DF5">
        <w:rPr>
          <w:rFonts w:ascii="Arial" w:hAnsi="Arial" w:cs="Arial"/>
          <w:bCs/>
          <w:sz w:val="24"/>
          <w:szCs w:val="24"/>
        </w:rPr>
        <w:t xml:space="preserve">IFRIC 21 </w:t>
      </w:r>
      <w:r w:rsidR="003464B5">
        <w:rPr>
          <w:rFonts w:ascii="Arial" w:hAnsi="Arial" w:cs="Arial"/>
          <w:bCs/>
          <w:sz w:val="24"/>
          <w:szCs w:val="24"/>
        </w:rPr>
        <w:t>‘</w:t>
      </w:r>
      <w:r w:rsidRPr="00326DF5">
        <w:rPr>
          <w:rFonts w:ascii="Arial" w:hAnsi="Arial" w:cs="Arial"/>
          <w:bCs/>
          <w:sz w:val="24"/>
          <w:szCs w:val="24"/>
        </w:rPr>
        <w:t>Levies</w:t>
      </w:r>
      <w:r w:rsidR="003464B5">
        <w:rPr>
          <w:rFonts w:ascii="Arial" w:hAnsi="Arial" w:cs="Arial"/>
          <w:bCs/>
          <w:sz w:val="24"/>
          <w:szCs w:val="24"/>
        </w:rPr>
        <w:t>’</w:t>
      </w:r>
      <w:r w:rsidR="003464B5" w:rsidRPr="00326DF5">
        <w:rPr>
          <w:rFonts w:ascii="Arial" w:hAnsi="Arial" w:cs="Arial"/>
          <w:bCs/>
          <w:sz w:val="24"/>
          <w:szCs w:val="24"/>
        </w:rPr>
        <w:t xml:space="preserve">, </w:t>
      </w:r>
      <w:r w:rsidRPr="00326DF5">
        <w:rPr>
          <w:rFonts w:ascii="Arial" w:hAnsi="Arial" w:cs="Arial"/>
          <w:bCs/>
          <w:sz w:val="24"/>
          <w:szCs w:val="24"/>
        </w:rPr>
        <w:t>will apply from 2015/16 with restatement of 2014/15 comparatives. This will not have a material impact on the annual results of Kingfisher, but will change the quarterly phasing in operating costs of certain French levies, in order to recognise the liabilities as they are triggered under the local legislation. As a result the related costs will no longer be spread over the year but will be recognised in the final quarter. Hence French and Group retail profit will be increased in Q1 to Q3 and decreased in Q4.</w:t>
      </w:r>
    </w:p>
    <w:p w14:paraId="1AA96EEE" w14:textId="77777777" w:rsidR="00326DF5" w:rsidRPr="00326DF5" w:rsidRDefault="00326DF5" w:rsidP="00326DF5">
      <w:pPr>
        <w:jc w:val="left"/>
        <w:rPr>
          <w:rFonts w:ascii="Arial" w:hAnsi="Arial" w:cs="Arial"/>
          <w:bCs/>
          <w:sz w:val="24"/>
          <w:szCs w:val="24"/>
        </w:rPr>
      </w:pPr>
      <w:r w:rsidRPr="00326DF5">
        <w:rPr>
          <w:rFonts w:ascii="Arial" w:hAnsi="Arial" w:cs="Arial"/>
          <w:bCs/>
          <w:sz w:val="24"/>
          <w:szCs w:val="24"/>
        </w:rPr>
        <w:t xml:space="preserve"> </w:t>
      </w:r>
    </w:p>
    <w:p w14:paraId="71116A7D" w14:textId="57DCC7AB" w:rsidR="00326DF5" w:rsidRPr="00326DF5" w:rsidRDefault="00326DF5" w:rsidP="00326DF5">
      <w:pPr>
        <w:jc w:val="left"/>
        <w:rPr>
          <w:rFonts w:ascii="Arial" w:hAnsi="Arial" w:cs="Arial"/>
          <w:bCs/>
          <w:sz w:val="24"/>
          <w:szCs w:val="24"/>
        </w:rPr>
      </w:pPr>
      <w:r w:rsidRPr="00326DF5">
        <w:rPr>
          <w:rFonts w:ascii="Arial" w:hAnsi="Arial" w:cs="Arial"/>
          <w:bCs/>
          <w:sz w:val="24"/>
          <w:szCs w:val="24"/>
        </w:rPr>
        <w:lastRenderedPageBreak/>
        <w:t xml:space="preserve">Subject to competition authority approval, the disposal of the Group’s 70% controlling stake in B&amp;Q China would result in the Group accounting for its remaining 30% interest as an investment. Adjusted measures for 2015/16 and 2014/15 comparatives would exclude B&amp;Q China’s operating </w:t>
      </w:r>
      <w:r w:rsidR="001C43C3">
        <w:rPr>
          <w:rFonts w:ascii="Arial" w:hAnsi="Arial" w:cs="Arial"/>
          <w:bCs/>
          <w:sz w:val="24"/>
          <w:szCs w:val="24"/>
        </w:rPr>
        <w:t>results</w:t>
      </w:r>
      <w:r w:rsidRPr="00326DF5">
        <w:rPr>
          <w:rFonts w:ascii="Arial" w:hAnsi="Arial" w:cs="Arial"/>
          <w:bCs/>
          <w:sz w:val="24"/>
          <w:szCs w:val="24"/>
        </w:rPr>
        <w:t xml:space="preserve"> to enable a better understanding of underlying Group performance. Statutory reporting for 2014/15 would not be restated.</w:t>
      </w:r>
    </w:p>
    <w:p w14:paraId="45BBD54D" w14:textId="77777777" w:rsidR="0029539A" w:rsidRDefault="0029539A">
      <w:pPr>
        <w:jc w:val="left"/>
        <w:rPr>
          <w:rFonts w:ascii="Arial" w:hAnsi="Arial" w:cs="Arial"/>
          <w:bCs/>
          <w:sz w:val="24"/>
          <w:szCs w:val="24"/>
        </w:rPr>
      </w:pPr>
    </w:p>
    <w:p w14:paraId="51F2BFDE" w14:textId="2A8F164D" w:rsidR="00C46943" w:rsidRPr="0054624C" w:rsidRDefault="00C46943">
      <w:pPr>
        <w:jc w:val="left"/>
        <w:rPr>
          <w:rFonts w:ascii="Arial" w:hAnsi="Arial" w:cs="Arial"/>
          <w:bCs/>
          <w:sz w:val="24"/>
          <w:szCs w:val="24"/>
        </w:rPr>
      </w:pPr>
      <w:r w:rsidRPr="0054624C">
        <w:rPr>
          <w:rFonts w:ascii="Arial" w:hAnsi="Arial" w:cs="Arial"/>
          <w:bCs/>
          <w:sz w:val="24"/>
          <w:szCs w:val="24"/>
        </w:rPr>
        <w:br w:type="page"/>
      </w:r>
    </w:p>
    <w:p w14:paraId="68B779C5" w14:textId="5D0840F8" w:rsidR="00275B89" w:rsidRDefault="00616A26" w:rsidP="00616A26">
      <w:pPr>
        <w:jc w:val="left"/>
        <w:rPr>
          <w:rFonts w:ascii="Arial" w:hAnsi="Arial" w:cs="Arial"/>
          <w:b/>
          <w:bCs/>
          <w:sz w:val="24"/>
          <w:szCs w:val="24"/>
        </w:rPr>
      </w:pPr>
      <w:r w:rsidRPr="000971B9">
        <w:rPr>
          <w:rFonts w:ascii="Arial" w:hAnsi="Arial" w:cs="Arial"/>
          <w:b/>
          <w:bCs/>
          <w:sz w:val="24"/>
          <w:szCs w:val="24"/>
        </w:rPr>
        <w:lastRenderedPageBreak/>
        <w:t xml:space="preserve">Section </w:t>
      </w:r>
      <w:r w:rsidR="00275B89">
        <w:rPr>
          <w:rFonts w:ascii="Arial" w:hAnsi="Arial" w:cs="Arial"/>
          <w:b/>
          <w:bCs/>
          <w:sz w:val="24"/>
          <w:szCs w:val="24"/>
        </w:rPr>
        <w:t>4</w:t>
      </w:r>
      <w:r w:rsidR="00376255" w:rsidRPr="000971B9">
        <w:rPr>
          <w:rFonts w:ascii="Arial" w:hAnsi="Arial" w:cs="Arial"/>
          <w:b/>
          <w:bCs/>
          <w:sz w:val="24"/>
          <w:szCs w:val="24"/>
        </w:rPr>
        <w:t xml:space="preserve">: </w:t>
      </w:r>
      <w:r w:rsidR="008268A4">
        <w:rPr>
          <w:rFonts w:ascii="Arial" w:hAnsi="Arial" w:cs="Arial"/>
          <w:b/>
          <w:bCs/>
          <w:sz w:val="24"/>
          <w:szCs w:val="24"/>
        </w:rPr>
        <w:t>201</w:t>
      </w:r>
      <w:r w:rsidR="00275B89">
        <w:rPr>
          <w:rFonts w:ascii="Arial" w:hAnsi="Arial" w:cs="Arial"/>
          <w:b/>
          <w:bCs/>
          <w:sz w:val="24"/>
          <w:szCs w:val="24"/>
        </w:rPr>
        <w:t xml:space="preserve">5/16 </w:t>
      </w:r>
      <w:r w:rsidR="00BC7493">
        <w:rPr>
          <w:rFonts w:ascii="Arial" w:hAnsi="Arial" w:cs="Arial"/>
          <w:b/>
          <w:bCs/>
          <w:sz w:val="24"/>
          <w:szCs w:val="24"/>
        </w:rPr>
        <w:t>TECHNICAL GUIDANCE</w:t>
      </w:r>
      <w:r w:rsidR="001C41B3">
        <w:rPr>
          <w:rFonts w:ascii="Arial" w:hAnsi="Arial" w:cs="Arial"/>
          <w:b/>
          <w:bCs/>
          <w:sz w:val="24"/>
          <w:szCs w:val="24"/>
        </w:rPr>
        <w:t xml:space="preserve"> </w:t>
      </w:r>
    </w:p>
    <w:p w14:paraId="61C75767" w14:textId="77777777" w:rsidR="00275B89" w:rsidRDefault="00275B89" w:rsidP="00616A26">
      <w:pPr>
        <w:jc w:val="left"/>
        <w:rPr>
          <w:rFonts w:ascii="Arial" w:hAnsi="Arial" w:cs="Arial"/>
          <w:b/>
          <w:bCs/>
          <w:sz w:val="24"/>
          <w:szCs w:val="24"/>
        </w:rPr>
      </w:pPr>
    </w:p>
    <w:p w14:paraId="013F2629" w14:textId="1960DBC9" w:rsidR="00BF0912" w:rsidRDefault="00E86D30" w:rsidP="00657B3E">
      <w:pPr>
        <w:pStyle w:val="ListParagraph"/>
        <w:numPr>
          <w:ilvl w:val="0"/>
          <w:numId w:val="30"/>
        </w:numPr>
        <w:jc w:val="left"/>
        <w:rPr>
          <w:rFonts w:ascii="Arial" w:hAnsi="Arial" w:cs="Arial"/>
          <w:bCs/>
          <w:sz w:val="24"/>
          <w:szCs w:val="24"/>
        </w:rPr>
      </w:pPr>
      <w:r>
        <w:rPr>
          <w:rFonts w:ascii="Arial" w:hAnsi="Arial" w:cs="Arial"/>
          <w:bCs/>
          <w:sz w:val="24"/>
          <w:szCs w:val="24"/>
        </w:rPr>
        <w:t>Net new stores and</w:t>
      </w:r>
      <w:r w:rsidR="00BF0912">
        <w:rPr>
          <w:rFonts w:ascii="Arial" w:hAnsi="Arial" w:cs="Arial"/>
          <w:bCs/>
          <w:sz w:val="24"/>
          <w:szCs w:val="24"/>
        </w:rPr>
        <w:t xml:space="preserve"> space</w:t>
      </w:r>
      <w:r>
        <w:rPr>
          <w:rFonts w:ascii="Arial" w:hAnsi="Arial" w:cs="Arial"/>
          <w:bCs/>
          <w:sz w:val="24"/>
          <w:szCs w:val="24"/>
        </w:rPr>
        <w:t xml:space="preserve"> growth</w:t>
      </w:r>
      <w:r w:rsidR="00C92423">
        <w:rPr>
          <w:rFonts w:ascii="Arial" w:hAnsi="Arial" w:cs="Arial"/>
          <w:bCs/>
          <w:sz w:val="24"/>
          <w:szCs w:val="24"/>
        </w:rPr>
        <w:t>:</w:t>
      </w:r>
    </w:p>
    <w:p w14:paraId="0F976062" w14:textId="77777777" w:rsidR="004B376D" w:rsidRPr="00657B3E" w:rsidRDefault="004B376D" w:rsidP="005C52B9">
      <w:pPr>
        <w:pStyle w:val="ListParagraph"/>
        <w:jc w:val="left"/>
        <w:rPr>
          <w:rFonts w:ascii="Arial" w:hAnsi="Arial" w:cs="Arial"/>
          <w:bCs/>
          <w:sz w:val="24"/>
          <w:szCs w:val="24"/>
        </w:rPr>
      </w:pPr>
    </w:p>
    <w:tbl>
      <w:tblPr>
        <w:tblW w:w="4778" w:type="pct"/>
        <w:tblInd w:w="2" w:type="dxa"/>
        <w:tblLayout w:type="fixed"/>
        <w:tblLook w:val="01E0" w:firstRow="1" w:lastRow="1" w:firstColumn="1" w:lastColumn="1" w:noHBand="0" w:noVBand="0"/>
      </w:tblPr>
      <w:tblGrid>
        <w:gridCol w:w="2406"/>
        <w:gridCol w:w="1419"/>
        <w:gridCol w:w="1275"/>
        <w:gridCol w:w="1277"/>
        <w:gridCol w:w="1417"/>
        <w:gridCol w:w="1419"/>
      </w:tblGrid>
      <w:tr w:rsidR="00E86D30" w:rsidRPr="000971B9" w14:paraId="05BE550D" w14:textId="77777777" w:rsidTr="003B2552">
        <w:trPr>
          <w:trHeight w:val="739"/>
        </w:trPr>
        <w:tc>
          <w:tcPr>
            <w:tcW w:w="1306" w:type="pct"/>
          </w:tcPr>
          <w:p w14:paraId="6EA7A9BD" w14:textId="77777777" w:rsidR="00E86D30" w:rsidRDefault="00E86D30" w:rsidP="00E86D30">
            <w:pPr>
              <w:ind w:left="110" w:hanging="110"/>
              <w:jc w:val="left"/>
              <w:rPr>
                <w:rFonts w:ascii="Arial" w:hAnsi="Arial" w:cs="Arial"/>
              </w:rPr>
            </w:pPr>
          </w:p>
          <w:p w14:paraId="3127B65E" w14:textId="77777777" w:rsidR="00E86D30" w:rsidRDefault="00E86D30" w:rsidP="00E86D30">
            <w:pPr>
              <w:ind w:left="110" w:hanging="110"/>
              <w:jc w:val="left"/>
              <w:rPr>
                <w:rFonts w:ascii="Arial" w:hAnsi="Arial" w:cs="Arial"/>
              </w:rPr>
            </w:pPr>
          </w:p>
          <w:p w14:paraId="5B8BF928" w14:textId="77777777" w:rsidR="00E86D30" w:rsidRPr="000971B9" w:rsidRDefault="00E86D30" w:rsidP="00315200">
            <w:pPr>
              <w:jc w:val="left"/>
              <w:rPr>
                <w:rFonts w:ascii="Arial" w:hAnsi="Arial" w:cs="Arial"/>
                <w:b/>
                <w:bCs/>
              </w:rPr>
            </w:pPr>
          </w:p>
        </w:tc>
        <w:tc>
          <w:tcPr>
            <w:tcW w:w="770" w:type="pct"/>
          </w:tcPr>
          <w:p w14:paraId="23E25889" w14:textId="77777777" w:rsidR="00E86D30" w:rsidRPr="000971B9" w:rsidRDefault="00E86D30" w:rsidP="00E86D30">
            <w:pPr>
              <w:ind w:left="110" w:hanging="110"/>
              <w:jc w:val="right"/>
              <w:rPr>
                <w:rFonts w:ascii="Arial" w:hAnsi="Arial" w:cs="Arial"/>
                <w:b/>
                <w:bCs/>
              </w:rPr>
            </w:pPr>
            <w:r w:rsidRPr="000971B9">
              <w:rPr>
                <w:rFonts w:ascii="Arial" w:hAnsi="Arial" w:cs="Arial"/>
                <w:b/>
                <w:bCs/>
              </w:rPr>
              <w:t>Employees</w:t>
            </w:r>
          </w:p>
          <w:p w14:paraId="3D6B53EA" w14:textId="77777777" w:rsidR="00E86D30" w:rsidRPr="000971B9" w:rsidRDefault="00E86D30" w:rsidP="00E86D30">
            <w:pPr>
              <w:ind w:left="110" w:hanging="110"/>
              <w:jc w:val="right"/>
              <w:rPr>
                <w:rFonts w:ascii="Arial" w:hAnsi="Arial" w:cs="Arial"/>
                <w:b/>
                <w:bCs/>
              </w:rPr>
            </w:pPr>
            <w:r w:rsidRPr="000971B9">
              <w:rPr>
                <w:rFonts w:ascii="Arial" w:hAnsi="Arial" w:cs="Arial"/>
                <w:b/>
                <w:bCs/>
              </w:rPr>
              <w:t>(FTE)</w:t>
            </w:r>
          </w:p>
        </w:tc>
        <w:tc>
          <w:tcPr>
            <w:tcW w:w="692" w:type="pct"/>
          </w:tcPr>
          <w:p w14:paraId="597F112C" w14:textId="77777777" w:rsidR="00E86D30" w:rsidRPr="000971B9" w:rsidRDefault="00E86D30" w:rsidP="00E86D30">
            <w:pPr>
              <w:ind w:left="110" w:hanging="110"/>
              <w:jc w:val="right"/>
              <w:rPr>
                <w:rFonts w:ascii="Arial" w:hAnsi="Arial" w:cs="Arial"/>
                <w:b/>
                <w:bCs/>
              </w:rPr>
            </w:pPr>
            <w:r w:rsidRPr="000971B9">
              <w:rPr>
                <w:rFonts w:ascii="Arial" w:hAnsi="Arial" w:cs="Arial"/>
                <w:b/>
                <w:bCs/>
              </w:rPr>
              <w:t xml:space="preserve">Store </w:t>
            </w:r>
          </w:p>
          <w:p w14:paraId="7AC2A4AA" w14:textId="0F870AEB" w:rsidR="00E86D30" w:rsidRPr="000971B9" w:rsidRDefault="00292FDF" w:rsidP="00E86D30">
            <w:pPr>
              <w:ind w:left="110" w:hanging="110"/>
              <w:jc w:val="right"/>
              <w:rPr>
                <w:rFonts w:ascii="Arial" w:hAnsi="Arial" w:cs="Arial"/>
                <w:b/>
                <w:bCs/>
              </w:rPr>
            </w:pPr>
            <w:r w:rsidRPr="000971B9">
              <w:rPr>
                <w:rFonts w:ascii="Arial" w:hAnsi="Arial" w:cs="Arial"/>
                <w:b/>
                <w:bCs/>
              </w:rPr>
              <w:t>N</w:t>
            </w:r>
            <w:r w:rsidR="00E86D30" w:rsidRPr="000971B9">
              <w:rPr>
                <w:rFonts w:ascii="Arial" w:hAnsi="Arial" w:cs="Arial"/>
                <w:b/>
                <w:bCs/>
              </w:rPr>
              <w:t>umbers</w:t>
            </w:r>
          </w:p>
        </w:tc>
        <w:tc>
          <w:tcPr>
            <w:tcW w:w="693" w:type="pct"/>
          </w:tcPr>
          <w:p w14:paraId="18340C3D" w14:textId="77777777" w:rsidR="00E86D30" w:rsidRPr="000971B9" w:rsidRDefault="00E86D30" w:rsidP="00E86D30">
            <w:pPr>
              <w:ind w:left="110" w:hanging="110"/>
              <w:jc w:val="right"/>
              <w:rPr>
                <w:rFonts w:ascii="Arial" w:hAnsi="Arial" w:cs="Arial"/>
                <w:b/>
                <w:bCs/>
              </w:rPr>
            </w:pPr>
            <w:r w:rsidRPr="000971B9">
              <w:rPr>
                <w:rFonts w:ascii="Arial" w:hAnsi="Arial" w:cs="Arial"/>
                <w:b/>
                <w:bCs/>
              </w:rPr>
              <w:t>Selling space</w:t>
            </w:r>
          </w:p>
          <w:p w14:paraId="1FC64B04" w14:textId="77777777" w:rsidR="00E86D30" w:rsidRPr="000971B9" w:rsidRDefault="00E86D30" w:rsidP="00E86D30">
            <w:pPr>
              <w:ind w:left="110" w:hanging="110"/>
              <w:jc w:val="right"/>
              <w:rPr>
                <w:rFonts w:ascii="Arial" w:hAnsi="Arial" w:cs="Arial"/>
                <w:b/>
                <w:bCs/>
              </w:rPr>
            </w:pPr>
            <w:r w:rsidRPr="000971B9">
              <w:rPr>
                <w:rFonts w:ascii="Arial" w:hAnsi="Arial" w:cs="Arial"/>
                <w:b/>
                <w:bCs/>
              </w:rPr>
              <w:t>(000s m2)</w:t>
            </w:r>
          </w:p>
        </w:tc>
        <w:tc>
          <w:tcPr>
            <w:tcW w:w="769" w:type="pct"/>
          </w:tcPr>
          <w:p w14:paraId="15389D8A" w14:textId="77777777" w:rsidR="00E86D30" w:rsidRPr="000971B9" w:rsidRDefault="00E86D30" w:rsidP="00E86D30">
            <w:pPr>
              <w:ind w:left="110" w:hanging="110"/>
              <w:jc w:val="right"/>
              <w:rPr>
                <w:rFonts w:ascii="Arial" w:hAnsi="Arial" w:cs="Arial"/>
                <w:b/>
                <w:bCs/>
              </w:rPr>
            </w:pPr>
            <w:r>
              <w:rPr>
                <w:rFonts w:ascii="Arial" w:hAnsi="Arial" w:cs="Arial"/>
                <w:b/>
                <w:bCs/>
              </w:rPr>
              <w:t>Net new stores</w:t>
            </w:r>
          </w:p>
        </w:tc>
        <w:tc>
          <w:tcPr>
            <w:tcW w:w="770" w:type="pct"/>
          </w:tcPr>
          <w:p w14:paraId="44F40AE3" w14:textId="4BE4C0C4" w:rsidR="001C43C3" w:rsidRDefault="00E86D30" w:rsidP="0075047A">
            <w:pPr>
              <w:ind w:left="110" w:hanging="110"/>
              <w:jc w:val="center"/>
              <w:rPr>
                <w:rFonts w:ascii="Arial" w:hAnsi="Arial" w:cs="Arial"/>
                <w:b/>
                <w:bCs/>
              </w:rPr>
            </w:pPr>
            <w:r>
              <w:rPr>
                <w:rFonts w:ascii="Arial" w:hAnsi="Arial" w:cs="Arial"/>
                <w:b/>
                <w:bCs/>
              </w:rPr>
              <w:t>Space</w:t>
            </w:r>
          </w:p>
          <w:p w14:paraId="38007CBE" w14:textId="73FFA624" w:rsidR="00E86D30" w:rsidRPr="000971B9" w:rsidRDefault="001C43C3" w:rsidP="0075047A">
            <w:pPr>
              <w:ind w:left="110" w:hanging="110"/>
              <w:jc w:val="center"/>
              <w:rPr>
                <w:rFonts w:ascii="Arial" w:hAnsi="Arial" w:cs="Arial"/>
                <w:b/>
                <w:bCs/>
              </w:rPr>
            </w:pPr>
            <w:r>
              <w:rPr>
                <w:rFonts w:ascii="Arial" w:hAnsi="Arial" w:cs="Arial"/>
                <w:b/>
                <w:bCs/>
              </w:rPr>
              <w:t>% change</w:t>
            </w:r>
          </w:p>
        </w:tc>
      </w:tr>
      <w:tr w:rsidR="00C92423" w:rsidRPr="000971B9" w14:paraId="63B2AAA3" w14:textId="77777777" w:rsidTr="00357915">
        <w:tc>
          <w:tcPr>
            <w:tcW w:w="1306" w:type="pct"/>
            <w:tcBorders>
              <w:bottom w:val="single" w:sz="4" w:space="0" w:color="auto"/>
            </w:tcBorders>
          </w:tcPr>
          <w:p w14:paraId="71D186E5" w14:textId="77777777" w:rsidR="00C92423" w:rsidRPr="000971B9" w:rsidRDefault="00C92423" w:rsidP="00E86D30">
            <w:pPr>
              <w:ind w:left="110" w:hanging="110"/>
              <w:jc w:val="left"/>
              <w:rPr>
                <w:rFonts w:ascii="Arial" w:hAnsi="Arial" w:cs="Arial"/>
              </w:rPr>
            </w:pPr>
          </w:p>
        </w:tc>
        <w:tc>
          <w:tcPr>
            <w:tcW w:w="2155" w:type="pct"/>
            <w:gridSpan w:val="3"/>
            <w:tcBorders>
              <w:bottom w:val="single" w:sz="4" w:space="0" w:color="auto"/>
            </w:tcBorders>
          </w:tcPr>
          <w:p w14:paraId="0E3101B8" w14:textId="77777777" w:rsidR="00C92423" w:rsidRPr="00315200" w:rsidRDefault="00C92423" w:rsidP="00315200">
            <w:pPr>
              <w:ind w:left="110" w:hanging="110"/>
              <w:jc w:val="center"/>
              <w:rPr>
                <w:rFonts w:ascii="Arial" w:hAnsi="Arial" w:cs="Arial"/>
                <w:b/>
              </w:rPr>
            </w:pPr>
            <w:r w:rsidRPr="00315200">
              <w:rPr>
                <w:rFonts w:ascii="Arial" w:hAnsi="Arial" w:cs="Arial"/>
                <w:b/>
              </w:rPr>
              <w:t>At 1 February 2015</w:t>
            </w:r>
          </w:p>
        </w:tc>
        <w:tc>
          <w:tcPr>
            <w:tcW w:w="769" w:type="pct"/>
            <w:tcBorders>
              <w:bottom w:val="single" w:sz="4" w:space="0" w:color="auto"/>
            </w:tcBorders>
          </w:tcPr>
          <w:p w14:paraId="091BB382" w14:textId="77777777" w:rsidR="00C92423" w:rsidRPr="00315200" w:rsidRDefault="00C92423" w:rsidP="00E86D30">
            <w:pPr>
              <w:ind w:left="110" w:hanging="110"/>
              <w:jc w:val="right"/>
              <w:rPr>
                <w:rFonts w:ascii="Arial" w:hAnsi="Arial" w:cs="Arial"/>
                <w:b/>
              </w:rPr>
            </w:pPr>
            <w:r w:rsidRPr="00315200">
              <w:rPr>
                <w:rFonts w:ascii="Arial" w:hAnsi="Arial" w:cs="Arial"/>
                <w:b/>
              </w:rPr>
              <w:t>FY 2015/16</w:t>
            </w:r>
          </w:p>
        </w:tc>
        <w:tc>
          <w:tcPr>
            <w:tcW w:w="770" w:type="pct"/>
            <w:tcBorders>
              <w:bottom w:val="single" w:sz="4" w:space="0" w:color="auto"/>
            </w:tcBorders>
          </w:tcPr>
          <w:p w14:paraId="06C23688" w14:textId="77777777" w:rsidR="00C92423" w:rsidRPr="00315200" w:rsidRDefault="00C92423" w:rsidP="00E86D30">
            <w:pPr>
              <w:ind w:left="110" w:hanging="110"/>
              <w:jc w:val="right"/>
              <w:rPr>
                <w:rFonts w:ascii="Arial" w:hAnsi="Arial" w:cs="Arial"/>
                <w:b/>
              </w:rPr>
            </w:pPr>
            <w:r w:rsidRPr="00315200">
              <w:rPr>
                <w:rFonts w:ascii="Arial" w:hAnsi="Arial" w:cs="Arial"/>
                <w:b/>
              </w:rPr>
              <w:t>FY 2015/16</w:t>
            </w:r>
          </w:p>
        </w:tc>
      </w:tr>
      <w:tr w:rsidR="00E86D30" w:rsidRPr="000971B9" w14:paraId="1282C2B4" w14:textId="77777777" w:rsidTr="003B2552">
        <w:tc>
          <w:tcPr>
            <w:tcW w:w="1306" w:type="pct"/>
            <w:tcBorders>
              <w:top w:val="single" w:sz="4" w:space="0" w:color="auto"/>
            </w:tcBorders>
          </w:tcPr>
          <w:p w14:paraId="58492800" w14:textId="77777777" w:rsidR="00E86D30" w:rsidRPr="000971B9" w:rsidRDefault="00E86D30" w:rsidP="00E86D30">
            <w:pPr>
              <w:ind w:left="110" w:hanging="110"/>
              <w:jc w:val="left"/>
              <w:rPr>
                <w:rFonts w:ascii="Arial" w:hAnsi="Arial" w:cs="Arial"/>
              </w:rPr>
            </w:pPr>
            <w:r w:rsidRPr="000971B9">
              <w:rPr>
                <w:rFonts w:ascii="Arial" w:hAnsi="Arial" w:cs="Arial"/>
              </w:rPr>
              <w:t>Castorama</w:t>
            </w:r>
            <w:r w:rsidRPr="000971B9" w:rsidDel="00CC3AB5">
              <w:rPr>
                <w:rFonts w:ascii="Arial" w:hAnsi="Arial" w:cs="Arial"/>
              </w:rPr>
              <w:t xml:space="preserve"> </w:t>
            </w:r>
          </w:p>
        </w:tc>
        <w:tc>
          <w:tcPr>
            <w:tcW w:w="770" w:type="pct"/>
            <w:tcBorders>
              <w:top w:val="single" w:sz="4" w:space="0" w:color="auto"/>
            </w:tcBorders>
          </w:tcPr>
          <w:p w14:paraId="09905A5A" w14:textId="77777777" w:rsidR="00E86D30" w:rsidRPr="007B1C81" w:rsidRDefault="00E86D30" w:rsidP="00E86D30">
            <w:pPr>
              <w:ind w:left="110" w:hanging="110"/>
              <w:jc w:val="right"/>
              <w:rPr>
                <w:rFonts w:ascii="Arial" w:hAnsi="Arial" w:cs="Arial"/>
              </w:rPr>
            </w:pPr>
            <w:r w:rsidRPr="000971B9">
              <w:rPr>
                <w:rFonts w:ascii="Arial" w:hAnsi="Arial" w:cs="Arial"/>
              </w:rPr>
              <w:t>11,32</w:t>
            </w:r>
            <w:r>
              <w:rPr>
                <w:rFonts w:ascii="Arial" w:hAnsi="Arial" w:cs="Arial"/>
              </w:rPr>
              <w:t>0</w:t>
            </w:r>
          </w:p>
        </w:tc>
        <w:tc>
          <w:tcPr>
            <w:tcW w:w="692" w:type="pct"/>
            <w:tcBorders>
              <w:top w:val="single" w:sz="4" w:space="0" w:color="auto"/>
            </w:tcBorders>
          </w:tcPr>
          <w:p w14:paraId="01E6D3B7" w14:textId="77777777" w:rsidR="00E86D30" w:rsidRPr="000971B9" w:rsidRDefault="00E86D30" w:rsidP="00E86D30">
            <w:pPr>
              <w:ind w:left="110" w:hanging="110"/>
              <w:jc w:val="right"/>
              <w:rPr>
                <w:rFonts w:ascii="Arial" w:hAnsi="Arial" w:cs="Arial"/>
              </w:rPr>
            </w:pPr>
            <w:r w:rsidRPr="007B1C81">
              <w:rPr>
                <w:rFonts w:ascii="Arial" w:hAnsi="Arial" w:cs="Arial"/>
              </w:rPr>
              <w:t>103</w:t>
            </w:r>
          </w:p>
        </w:tc>
        <w:tc>
          <w:tcPr>
            <w:tcW w:w="693" w:type="pct"/>
            <w:tcBorders>
              <w:top w:val="single" w:sz="4" w:space="0" w:color="auto"/>
            </w:tcBorders>
          </w:tcPr>
          <w:p w14:paraId="0F54BC9F" w14:textId="77777777" w:rsidR="00E86D30" w:rsidRPr="000971B9" w:rsidRDefault="00E86D30" w:rsidP="00E86D30">
            <w:pPr>
              <w:ind w:left="110" w:hanging="110"/>
              <w:jc w:val="right"/>
              <w:rPr>
                <w:rFonts w:ascii="Arial" w:hAnsi="Arial" w:cs="Arial"/>
              </w:rPr>
            </w:pPr>
            <w:r w:rsidRPr="000971B9">
              <w:rPr>
                <w:rFonts w:ascii="Arial" w:hAnsi="Arial" w:cs="Arial"/>
              </w:rPr>
              <w:t>1,1</w:t>
            </w:r>
            <w:r>
              <w:rPr>
                <w:rFonts w:ascii="Arial" w:hAnsi="Arial" w:cs="Arial"/>
              </w:rPr>
              <w:t>20</w:t>
            </w:r>
          </w:p>
        </w:tc>
        <w:tc>
          <w:tcPr>
            <w:tcW w:w="769" w:type="pct"/>
            <w:tcBorders>
              <w:top w:val="single" w:sz="4" w:space="0" w:color="auto"/>
            </w:tcBorders>
          </w:tcPr>
          <w:p w14:paraId="40D4C886" w14:textId="25D4CE36" w:rsidR="00E86D30" w:rsidRPr="000971B9" w:rsidRDefault="009B6EE2" w:rsidP="00E86D30">
            <w:pPr>
              <w:ind w:left="110" w:hanging="110"/>
              <w:jc w:val="right"/>
              <w:rPr>
                <w:rFonts w:ascii="Arial" w:hAnsi="Arial" w:cs="Arial"/>
              </w:rPr>
            </w:pPr>
            <w:r>
              <w:rPr>
                <w:rFonts w:ascii="Arial" w:hAnsi="Arial" w:cs="Arial"/>
              </w:rPr>
              <w:t>(1)</w:t>
            </w:r>
            <w:r w:rsidR="00782368" w:rsidRPr="00657B3E">
              <w:rPr>
                <w:rFonts w:ascii="Arial" w:hAnsi="Arial" w:cs="Arial"/>
                <w:vertAlign w:val="superscript"/>
              </w:rPr>
              <w:t>(1)</w:t>
            </w:r>
          </w:p>
        </w:tc>
        <w:tc>
          <w:tcPr>
            <w:tcW w:w="770" w:type="pct"/>
            <w:tcBorders>
              <w:top w:val="single" w:sz="4" w:space="0" w:color="auto"/>
            </w:tcBorders>
          </w:tcPr>
          <w:p w14:paraId="3E1DA654" w14:textId="77777777" w:rsidR="00E86D30" w:rsidRPr="000971B9" w:rsidRDefault="009B6EE2" w:rsidP="00E86D30">
            <w:pPr>
              <w:ind w:left="110" w:hanging="110"/>
              <w:jc w:val="right"/>
              <w:rPr>
                <w:rFonts w:ascii="Arial" w:hAnsi="Arial" w:cs="Arial"/>
              </w:rPr>
            </w:pPr>
            <w:r>
              <w:rPr>
                <w:rFonts w:ascii="Arial" w:hAnsi="Arial" w:cs="Arial"/>
              </w:rPr>
              <w:t>0.3%</w:t>
            </w:r>
          </w:p>
        </w:tc>
      </w:tr>
      <w:tr w:rsidR="00E86D30" w:rsidRPr="000971B9" w14:paraId="79750D68" w14:textId="77777777" w:rsidTr="003B2552">
        <w:tc>
          <w:tcPr>
            <w:tcW w:w="1306" w:type="pct"/>
            <w:tcBorders>
              <w:bottom w:val="single" w:sz="4" w:space="0" w:color="auto"/>
            </w:tcBorders>
          </w:tcPr>
          <w:p w14:paraId="3D74333B" w14:textId="77777777" w:rsidR="00E86D30" w:rsidRPr="000971B9" w:rsidRDefault="00E86D30" w:rsidP="00E86D30">
            <w:pPr>
              <w:ind w:left="110" w:hanging="110"/>
              <w:jc w:val="left"/>
              <w:rPr>
                <w:rFonts w:ascii="Arial" w:hAnsi="Arial" w:cs="Arial"/>
              </w:rPr>
            </w:pPr>
            <w:r w:rsidRPr="000971B9">
              <w:rPr>
                <w:rFonts w:ascii="Arial" w:hAnsi="Arial" w:cs="Arial"/>
              </w:rPr>
              <w:t>Brico Dépôt</w:t>
            </w:r>
          </w:p>
        </w:tc>
        <w:tc>
          <w:tcPr>
            <w:tcW w:w="770" w:type="pct"/>
            <w:tcBorders>
              <w:bottom w:val="single" w:sz="4" w:space="0" w:color="auto"/>
            </w:tcBorders>
          </w:tcPr>
          <w:p w14:paraId="2DDE2EFC" w14:textId="77777777" w:rsidR="00E86D30" w:rsidRPr="007B1C81" w:rsidRDefault="00E86D30" w:rsidP="00E86D30">
            <w:pPr>
              <w:ind w:left="110" w:hanging="110"/>
              <w:jc w:val="right"/>
              <w:rPr>
                <w:rFonts w:ascii="Arial" w:hAnsi="Arial" w:cs="Arial"/>
              </w:rPr>
            </w:pPr>
            <w:r>
              <w:rPr>
                <w:rFonts w:ascii="Arial" w:hAnsi="Arial" w:cs="Arial"/>
              </w:rPr>
              <w:t>7</w:t>
            </w:r>
            <w:r w:rsidRPr="000971B9">
              <w:rPr>
                <w:rFonts w:ascii="Arial" w:hAnsi="Arial" w:cs="Arial"/>
              </w:rPr>
              <w:t>,</w:t>
            </w:r>
            <w:r>
              <w:rPr>
                <w:rFonts w:ascii="Arial" w:hAnsi="Arial" w:cs="Arial"/>
              </w:rPr>
              <w:t>008</w:t>
            </w:r>
          </w:p>
        </w:tc>
        <w:tc>
          <w:tcPr>
            <w:tcW w:w="692" w:type="pct"/>
            <w:tcBorders>
              <w:bottom w:val="single" w:sz="4" w:space="0" w:color="auto"/>
            </w:tcBorders>
          </w:tcPr>
          <w:p w14:paraId="3FBD3723" w14:textId="77777777" w:rsidR="00E86D30" w:rsidRPr="000971B9" w:rsidRDefault="00E86D30" w:rsidP="00E86D30">
            <w:pPr>
              <w:ind w:left="110" w:hanging="110"/>
              <w:jc w:val="right"/>
              <w:rPr>
                <w:rFonts w:ascii="Arial" w:hAnsi="Arial" w:cs="Arial"/>
              </w:rPr>
            </w:pPr>
            <w:r w:rsidRPr="007B1C81">
              <w:rPr>
                <w:rFonts w:ascii="Arial" w:hAnsi="Arial" w:cs="Arial"/>
              </w:rPr>
              <w:t>114</w:t>
            </w:r>
          </w:p>
        </w:tc>
        <w:tc>
          <w:tcPr>
            <w:tcW w:w="693" w:type="pct"/>
            <w:tcBorders>
              <w:bottom w:val="single" w:sz="4" w:space="0" w:color="auto"/>
            </w:tcBorders>
          </w:tcPr>
          <w:p w14:paraId="58F91F64" w14:textId="77777777" w:rsidR="00E86D30" w:rsidRPr="000971B9" w:rsidRDefault="00E86D30" w:rsidP="00E86D30">
            <w:pPr>
              <w:ind w:left="110" w:hanging="110"/>
              <w:jc w:val="right"/>
              <w:rPr>
                <w:rFonts w:ascii="Arial" w:hAnsi="Arial" w:cs="Arial"/>
              </w:rPr>
            </w:pPr>
            <w:r w:rsidRPr="000971B9">
              <w:rPr>
                <w:rFonts w:ascii="Arial" w:hAnsi="Arial" w:cs="Arial"/>
              </w:rPr>
              <w:t>6</w:t>
            </w:r>
            <w:r>
              <w:rPr>
                <w:rFonts w:ascii="Arial" w:hAnsi="Arial" w:cs="Arial"/>
              </w:rPr>
              <w:t>39</w:t>
            </w:r>
          </w:p>
        </w:tc>
        <w:tc>
          <w:tcPr>
            <w:tcW w:w="769" w:type="pct"/>
            <w:tcBorders>
              <w:bottom w:val="single" w:sz="4" w:space="0" w:color="auto"/>
            </w:tcBorders>
          </w:tcPr>
          <w:p w14:paraId="68362BD2" w14:textId="77777777" w:rsidR="00E86D30" w:rsidRDefault="009B6EE2" w:rsidP="00E86D30">
            <w:pPr>
              <w:ind w:left="110" w:hanging="110"/>
              <w:jc w:val="right"/>
              <w:rPr>
                <w:rFonts w:ascii="Arial" w:hAnsi="Arial" w:cs="Arial"/>
              </w:rPr>
            </w:pPr>
            <w:r>
              <w:rPr>
                <w:rFonts w:ascii="Arial" w:hAnsi="Arial" w:cs="Arial"/>
              </w:rPr>
              <w:t>4</w:t>
            </w:r>
          </w:p>
        </w:tc>
        <w:tc>
          <w:tcPr>
            <w:tcW w:w="770" w:type="pct"/>
            <w:tcBorders>
              <w:bottom w:val="single" w:sz="4" w:space="0" w:color="auto"/>
            </w:tcBorders>
          </w:tcPr>
          <w:p w14:paraId="013C1818" w14:textId="77777777" w:rsidR="00E86D30" w:rsidRDefault="009B6EE2" w:rsidP="00E86D30">
            <w:pPr>
              <w:ind w:left="110" w:hanging="110"/>
              <w:jc w:val="right"/>
              <w:rPr>
                <w:rFonts w:ascii="Arial" w:hAnsi="Arial" w:cs="Arial"/>
              </w:rPr>
            </w:pPr>
            <w:r>
              <w:rPr>
                <w:rFonts w:ascii="Arial" w:hAnsi="Arial" w:cs="Arial"/>
              </w:rPr>
              <w:t>3.0%</w:t>
            </w:r>
          </w:p>
        </w:tc>
      </w:tr>
      <w:tr w:rsidR="00E86D30" w:rsidRPr="000971B9" w14:paraId="6E478B8B" w14:textId="77777777" w:rsidTr="003B2552">
        <w:tc>
          <w:tcPr>
            <w:tcW w:w="1306" w:type="pct"/>
            <w:tcBorders>
              <w:top w:val="single" w:sz="4" w:space="0" w:color="auto"/>
            </w:tcBorders>
          </w:tcPr>
          <w:p w14:paraId="1A9053EF" w14:textId="77777777" w:rsidR="00E86D30" w:rsidRPr="000971B9" w:rsidRDefault="00E86D30" w:rsidP="00E86D30">
            <w:pPr>
              <w:ind w:left="110" w:hanging="110"/>
              <w:jc w:val="left"/>
              <w:rPr>
                <w:rFonts w:ascii="Arial" w:hAnsi="Arial" w:cs="Arial"/>
                <w:b/>
                <w:bCs/>
              </w:rPr>
            </w:pPr>
            <w:r w:rsidRPr="000971B9">
              <w:rPr>
                <w:rFonts w:ascii="Arial" w:hAnsi="Arial" w:cs="Arial"/>
                <w:b/>
                <w:bCs/>
              </w:rPr>
              <w:t>France</w:t>
            </w:r>
          </w:p>
        </w:tc>
        <w:tc>
          <w:tcPr>
            <w:tcW w:w="770" w:type="pct"/>
            <w:tcBorders>
              <w:top w:val="single" w:sz="4" w:space="0" w:color="auto"/>
            </w:tcBorders>
          </w:tcPr>
          <w:p w14:paraId="2DF0AE4C" w14:textId="77777777" w:rsidR="00E86D30" w:rsidRPr="007B1C81" w:rsidRDefault="00E86D30" w:rsidP="00E86D30">
            <w:pPr>
              <w:ind w:left="110" w:hanging="110"/>
              <w:jc w:val="right"/>
              <w:rPr>
                <w:rFonts w:ascii="Arial" w:hAnsi="Arial" w:cs="Arial"/>
                <w:b/>
                <w:bCs/>
              </w:rPr>
            </w:pPr>
            <w:r w:rsidRPr="000971B9">
              <w:rPr>
                <w:rFonts w:ascii="Arial" w:hAnsi="Arial" w:cs="Arial"/>
                <w:b/>
                <w:bCs/>
              </w:rPr>
              <w:t>18,</w:t>
            </w:r>
            <w:r>
              <w:rPr>
                <w:rFonts w:ascii="Arial" w:hAnsi="Arial" w:cs="Arial"/>
                <w:b/>
                <w:bCs/>
              </w:rPr>
              <w:t>328</w:t>
            </w:r>
          </w:p>
        </w:tc>
        <w:tc>
          <w:tcPr>
            <w:tcW w:w="692" w:type="pct"/>
            <w:tcBorders>
              <w:top w:val="single" w:sz="4" w:space="0" w:color="auto"/>
            </w:tcBorders>
          </w:tcPr>
          <w:p w14:paraId="055B757A" w14:textId="77777777" w:rsidR="00E86D30" w:rsidRPr="000971B9" w:rsidRDefault="00E86D30" w:rsidP="00E86D30">
            <w:pPr>
              <w:ind w:left="110" w:hanging="110"/>
              <w:jc w:val="right"/>
              <w:rPr>
                <w:rFonts w:ascii="Arial" w:hAnsi="Arial" w:cs="Arial"/>
                <w:b/>
                <w:bCs/>
              </w:rPr>
            </w:pPr>
            <w:r w:rsidRPr="007B1C81">
              <w:rPr>
                <w:rFonts w:ascii="Arial" w:hAnsi="Arial" w:cs="Arial"/>
                <w:b/>
                <w:bCs/>
              </w:rPr>
              <w:t>217</w:t>
            </w:r>
          </w:p>
        </w:tc>
        <w:tc>
          <w:tcPr>
            <w:tcW w:w="693" w:type="pct"/>
            <w:tcBorders>
              <w:top w:val="single" w:sz="4" w:space="0" w:color="auto"/>
            </w:tcBorders>
          </w:tcPr>
          <w:p w14:paraId="20B670F6" w14:textId="77777777" w:rsidR="00E86D30" w:rsidRPr="000971B9" w:rsidRDefault="00E86D30" w:rsidP="00E86D30">
            <w:pPr>
              <w:ind w:left="110" w:hanging="110"/>
              <w:jc w:val="right"/>
              <w:rPr>
                <w:rFonts w:ascii="Arial" w:hAnsi="Arial" w:cs="Arial"/>
                <w:b/>
                <w:bCs/>
              </w:rPr>
            </w:pPr>
            <w:r w:rsidRPr="000971B9">
              <w:rPr>
                <w:rFonts w:ascii="Arial" w:hAnsi="Arial" w:cs="Arial"/>
                <w:b/>
                <w:bCs/>
              </w:rPr>
              <w:t>1,7</w:t>
            </w:r>
            <w:r>
              <w:rPr>
                <w:rFonts w:ascii="Arial" w:hAnsi="Arial" w:cs="Arial"/>
                <w:b/>
                <w:bCs/>
              </w:rPr>
              <w:t>59</w:t>
            </w:r>
          </w:p>
        </w:tc>
        <w:tc>
          <w:tcPr>
            <w:tcW w:w="769" w:type="pct"/>
            <w:tcBorders>
              <w:top w:val="single" w:sz="4" w:space="0" w:color="auto"/>
            </w:tcBorders>
          </w:tcPr>
          <w:p w14:paraId="12184438" w14:textId="77777777" w:rsidR="00E86D30" w:rsidRPr="000971B9" w:rsidRDefault="009B6EE2" w:rsidP="00E86D30">
            <w:pPr>
              <w:ind w:left="110" w:hanging="110"/>
              <w:jc w:val="right"/>
              <w:rPr>
                <w:rFonts w:ascii="Arial" w:hAnsi="Arial" w:cs="Arial"/>
                <w:b/>
                <w:bCs/>
              </w:rPr>
            </w:pPr>
            <w:r>
              <w:rPr>
                <w:rFonts w:ascii="Arial" w:hAnsi="Arial" w:cs="Arial"/>
                <w:b/>
                <w:bCs/>
              </w:rPr>
              <w:t>3</w:t>
            </w:r>
          </w:p>
        </w:tc>
        <w:tc>
          <w:tcPr>
            <w:tcW w:w="770" w:type="pct"/>
            <w:tcBorders>
              <w:top w:val="single" w:sz="4" w:space="0" w:color="auto"/>
            </w:tcBorders>
          </w:tcPr>
          <w:p w14:paraId="47FDCA52" w14:textId="77777777" w:rsidR="00E86D30" w:rsidRPr="000971B9" w:rsidRDefault="00CC201B" w:rsidP="00E86D30">
            <w:pPr>
              <w:ind w:left="110" w:hanging="110"/>
              <w:jc w:val="right"/>
              <w:rPr>
                <w:rFonts w:ascii="Arial" w:hAnsi="Arial" w:cs="Arial"/>
                <w:b/>
                <w:bCs/>
              </w:rPr>
            </w:pPr>
            <w:r>
              <w:rPr>
                <w:rFonts w:ascii="Arial" w:hAnsi="Arial" w:cs="Arial"/>
                <w:b/>
                <w:bCs/>
              </w:rPr>
              <w:t>1.3%</w:t>
            </w:r>
          </w:p>
        </w:tc>
      </w:tr>
      <w:tr w:rsidR="00E86D30" w:rsidRPr="000971B9" w14:paraId="03C77273" w14:textId="77777777" w:rsidTr="003B2552">
        <w:tc>
          <w:tcPr>
            <w:tcW w:w="1306" w:type="pct"/>
          </w:tcPr>
          <w:p w14:paraId="49C158F1" w14:textId="77777777" w:rsidR="00E86D30" w:rsidRPr="000971B9" w:rsidRDefault="00E86D30" w:rsidP="00E86D30">
            <w:pPr>
              <w:spacing w:before="60"/>
              <w:jc w:val="left"/>
              <w:rPr>
                <w:rFonts w:ascii="Arial" w:hAnsi="Arial" w:cs="Arial"/>
              </w:rPr>
            </w:pPr>
            <w:r w:rsidRPr="000971B9">
              <w:rPr>
                <w:rFonts w:ascii="Arial" w:hAnsi="Arial" w:cs="Arial"/>
              </w:rPr>
              <w:t>B&amp;Q UK &amp; Ireland</w:t>
            </w:r>
          </w:p>
        </w:tc>
        <w:tc>
          <w:tcPr>
            <w:tcW w:w="770" w:type="pct"/>
          </w:tcPr>
          <w:p w14:paraId="197E02B9" w14:textId="77777777" w:rsidR="00E86D30" w:rsidRPr="0007631F" w:rsidRDefault="00E86D30" w:rsidP="00E86D30">
            <w:pPr>
              <w:spacing w:before="60"/>
              <w:ind w:left="110" w:hanging="110"/>
              <w:jc w:val="right"/>
              <w:rPr>
                <w:rFonts w:ascii="Arial" w:hAnsi="Arial" w:cs="Arial"/>
              </w:rPr>
            </w:pPr>
            <w:r w:rsidRPr="000971B9">
              <w:rPr>
                <w:rFonts w:ascii="Arial" w:hAnsi="Arial" w:cs="Arial"/>
              </w:rPr>
              <w:t>2</w:t>
            </w:r>
            <w:r>
              <w:rPr>
                <w:rFonts w:ascii="Arial" w:hAnsi="Arial" w:cs="Arial"/>
              </w:rPr>
              <w:t>0</w:t>
            </w:r>
            <w:r w:rsidRPr="000971B9">
              <w:rPr>
                <w:rFonts w:ascii="Arial" w:hAnsi="Arial" w:cs="Arial"/>
              </w:rPr>
              <w:t>,1</w:t>
            </w:r>
            <w:r>
              <w:rPr>
                <w:rFonts w:ascii="Arial" w:hAnsi="Arial" w:cs="Arial"/>
              </w:rPr>
              <w:t>99</w:t>
            </w:r>
          </w:p>
        </w:tc>
        <w:tc>
          <w:tcPr>
            <w:tcW w:w="692" w:type="pct"/>
          </w:tcPr>
          <w:p w14:paraId="123B3FA3" w14:textId="77777777" w:rsidR="00E86D30" w:rsidRPr="000971B9" w:rsidRDefault="00E86D30" w:rsidP="00E86D30">
            <w:pPr>
              <w:spacing w:before="60"/>
              <w:ind w:left="110" w:hanging="110"/>
              <w:jc w:val="right"/>
              <w:rPr>
                <w:rFonts w:ascii="Arial" w:hAnsi="Arial" w:cs="Arial"/>
              </w:rPr>
            </w:pPr>
            <w:r w:rsidRPr="0007631F">
              <w:rPr>
                <w:rFonts w:ascii="Arial" w:hAnsi="Arial" w:cs="Arial"/>
              </w:rPr>
              <w:t>360</w:t>
            </w:r>
          </w:p>
        </w:tc>
        <w:tc>
          <w:tcPr>
            <w:tcW w:w="693" w:type="pct"/>
          </w:tcPr>
          <w:p w14:paraId="06050E2F" w14:textId="77777777" w:rsidR="00E86D30" w:rsidRPr="000971B9" w:rsidRDefault="00E86D30" w:rsidP="00E86D30">
            <w:pPr>
              <w:spacing w:before="60"/>
              <w:ind w:left="110" w:hanging="110"/>
              <w:jc w:val="right"/>
              <w:rPr>
                <w:rFonts w:ascii="Arial" w:hAnsi="Arial" w:cs="Arial"/>
              </w:rPr>
            </w:pPr>
            <w:r w:rsidRPr="000971B9">
              <w:rPr>
                <w:rFonts w:ascii="Arial" w:hAnsi="Arial" w:cs="Arial"/>
              </w:rPr>
              <w:t>2,570</w:t>
            </w:r>
          </w:p>
        </w:tc>
        <w:tc>
          <w:tcPr>
            <w:tcW w:w="769" w:type="pct"/>
          </w:tcPr>
          <w:p w14:paraId="0AFDDCDF" w14:textId="77777777" w:rsidR="00E86D30" w:rsidRPr="000971B9" w:rsidRDefault="009B6EE2" w:rsidP="00E86D30">
            <w:pPr>
              <w:spacing w:before="60"/>
              <w:ind w:left="110" w:hanging="110"/>
              <w:jc w:val="right"/>
              <w:rPr>
                <w:rFonts w:ascii="Arial" w:hAnsi="Arial" w:cs="Arial"/>
              </w:rPr>
            </w:pPr>
            <w:r w:rsidRPr="006F1B67">
              <w:rPr>
                <w:rFonts w:ascii="Arial" w:hAnsi="Arial" w:cs="Arial"/>
              </w:rPr>
              <w:t>(3</w:t>
            </w:r>
            <w:r w:rsidR="006F1B67" w:rsidRPr="000E792C">
              <w:rPr>
                <w:rFonts w:ascii="Arial" w:hAnsi="Arial" w:cs="Arial"/>
              </w:rPr>
              <w:t>1</w:t>
            </w:r>
            <w:r w:rsidRPr="006F1B67">
              <w:rPr>
                <w:rFonts w:ascii="Arial" w:hAnsi="Arial" w:cs="Arial"/>
              </w:rPr>
              <w:t>)</w:t>
            </w:r>
          </w:p>
        </w:tc>
        <w:tc>
          <w:tcPr>
            <w:tcW w:w="770" w:type="pct"/>
          </w:tcPr>
          <w:p w14:paraId="480F088A" w14:textId="57E8F8DE" w:rsidR="00E86D30" w:rsidRPr="000971B9" w:rsidRDefault="009B6EE2">
            <w:pPr>
              <w:spacing w:before="60"/>
              <w:ind w:left="110" w:hanging="110"/>
              <w:jc w:val="right"/>
              <w:rPr>
                <w:rFonts w:ascii="Arial" w:hAnsi="Arial" w:cs="Arial"/>
              </w:rPr>
            </w:pPr>
            <w:r>
              <w:rPr>
                <w:rFonts w:ascii="Arial" w:hAnsi="Arial" w:cs="Arial"/>
              </w:rPr>
              <w:t>(</w:t>
            </w:r>
            <w:r w:rsidR="001C43C3">
              <w:rPr>
                <w:rFonts w:ascii="Arial" w:hAnsi="Arial" w:cs="Arial"/>
              </w:rPr>
              <w:t>7.4</w:t>
            </w:r>
            <w:r>
              <w:rPr>
                <w:rFonts w:ascii="Arial" w:hAnsi="Arial" w:cs="Arial"/>
              </w:rPr>
              <w:t>)%</w:t>
            </w:r>
            <w:r w:rsidR="00357915" w:rsidRPr="0056112F">
              <w:rPr>
                <w:rFonts w:ascii="Arial" w:hAnsi="Arial" w:cs="Arial"/>
                <w:vertAlign w:val="superscript"/>
              </w:rPr>
              <w:t>(</w:t>
            </w:r>
            <w:r w:rsidR="00782368">
              <w:rPr>
                <w:rFonts w:ascii="Arial" w:hAnsi="Arial" w:cs="Arial"/>
                <w:vertAlign w:val="superscript"/>
              </w:rPr>
              <w:t>2</w:t>
            </w:r>
            <w:r w:rsidR="00357915">
              <w:rPr>
                <w:rFonts w:ascii="Arial" w:hAnsi="Arial" w:cs="Arial"/>
                <w:vertAlign w:val="superscript"/>
              </w:rPr>
              <w:t>)</w:t>
            </w:r>
          </w:p>
        </w:tc>
      </w:tr>
      <w:tr w:rsidR="00E86D30" w:rsidRPr="000971B9" w14:paraId="3F5F7E72" w14:textId="77777777" w:rsidTr="003B2552">
        <w:tc>
          <w:tcPr>
            <w:tcW w:w="1306" w:type="pct"/>
            <w:tcBorders>
              <w:bottom w:val="single" w:sz="4" w:space="0" w:color="auto"/>
            </w:tcBorders>
          </w:tcPr>
          <w:p w14:paraId="157E50DD" w14:textId="77777777" w:rsidR="00E86D30" w:rsidRPr="000971B9" w:rsidRDefault="00E86D30" w:rsidP="00E86D30">
            <w:pPr>
              <w:ind w:left="110" w:hanging="110"/>
              <w:jc w:val="left"/>
              <w:rPr>
                <w:rFonts w:ascii="Arial" w:hAnsi="Arial" w:cs="Arial"/>
              </w:rPr>
            </w:pPr>
            <w:r w:rsidRPr="000971B9">
              <w:rPr>
                <w:rFonts w:ascii="Arial" w:hAnsi="Arial" w:cs="Arial"/>
              </w:rPr>
              <w:t xml:space="preserve">Screwfix </w:t>
            </w:r>
          </w:p>
        </w:tc>
        <w:tc>
          <w:tcPr>
            <w:tcW w:w="770" w:type="pct"/>
            <w:tcBorders>
              <w:bottom w:val="single" w:sz="4" w:space="0" w:color="auto"/>
            </w:tcBorders>
          </w:tcPr>
          <w:p w14:paraId="29F0F2C5" w14:textId="77777777" w:rsidR="00E86D30" w:rsidRPr="0007631F" w:rsidRDefault="00E86D30" w:rsidP="00E86D30">
            <w:pPr>
              <w:ind w:left="110" w:hanging="110"/>
              <w:jc w:val="right"/>
              <w:rPr>
                <w:rFonts w:ascii="Arial" w:hAnsi="Arial" w:cs="Arial"/>
              </w:rPr>
            </w:pPr>
            <w:r>
              <w:rPr>
                <w:rFonts w:ascii="Arial" w:hAnsi="Arial" w:cs="Arial"/>
              </w:rPr>
              <w:t>5</w:t>
            </w:r>
            <w:r w:rsidRPr="000971B9">
              <w:rPr>
                <w:rFonts w:ascii="Arial" w:hAnsi="Arial" w:cs="Arial"/>
              </w:rPr>
              <w:t>,</w:t>
            </w:r>
            <w:r>
              <w:rPr>
                <w:rFonts w:ascii="Arial" w:hAnsi="Arial" w:cs="Arial"/>
              </w:rPr>
              <w:t>193</w:t>
            </w:r>
          </w:p>
        </w:tc>
        <w:tc>
          <w:tcPr>
            <w:tcW w:w="692" w:type="pct"/>
            <w:tcBorders>
              <w:bottom w:val="single" w:sz="4" w:space="0" w:color="auto"/>
            </w:tcBorders>
          </w:tcPr>
          <w:p w14:paraId="1B9E4A28" w14:textId="77777777" w:rsidR="00E86D30" w:rsidRPr="000971B9" w:rsidRDefault="00E86D30" w:rsidP="00E86D30">
            <w:pPr>
              <w:ind w:left="110" w:hanging="110"/>
              <w:jc w:val="right"/>
              <w:rPr>
                <w:rFonts w:ascii="Arial" w:hAnsi="Arial" w:cs="Arial"/>
              </w:rPr>
            </w:pPr>
            <w:r w:rsidRPr="0007631F">
              <w:rPr>
                <w:rFonts w:ascii="Arial" w:hAnsi="Arial" w:cs="Arial"/>
              </w:rPr>
              <w:t>395</w:t>
            </w:r>
          </w:p>
        </w:tc>
        <w:tc>
          <w:tcPr>
            <w:tcW w:w="693" w:type="pct"/>
            <w:tcBorders>
              <w:bottom w:val="single" w:sz="4" w:space="0" w:color="auto"/>
            </w:tcBorders>
            <w:shd w:val="clear" w:color="auto" w:fill="auto"/>
          </w:tcPr>
          <w:p w14:paraId="228FAB29" w14:textId="77777777" w:rsidR="00E86D30" w:rsidRPr="000971B9" w:rsidRDefault="00E86D30" w:rsidP="00E86D30">
            <w:pPr>
              <w:ind w:left="110" w:hanging="110"/>
              <w:jc w:val="right"/>
              <w:rPr>
                <w:rFonts w:ascii="Arial" w:hAnsi="Arial" w:cs="Arial"/>
              </w:rPr>
            </w:pPr>
            <w:r w:rsidRPr="000971B9">
              <w:rPr>
                <w:rFonts w:ascii="Arial" w:hAnsi="Arial" w:cs="Arial"/>
              </w:rPr>
              <w:t>2</w:t>
            </w:r>
            <w:r>
              <w:rPr>
                <w:rFonts w:ascii="Arial" w:hAnsi="Arial" w:cs="Arial"/>
              </w:rPr>
              <w:t>5</w:t>
            </w:r>
          </w:p>
        </w:tc>
        <w:tc>
          <w:tcPr>
            <w:tcW w:w="769" w:type="pct"/>
            <w:tcBorders>
              <w:bottom w:val="single" w:sz="4" w:space="0" w:color="auto"/>
            </w:tcBorders>
          </w:tcPr>
          <w:p w14:paraId="7CA61A6F" w14:textId="77777777" w:rsidR="00E86D30" w:rsidRDefault="009B6EE2" w:rsidP="00E86D30">
            <w:pPr>
              <w:ind w:left="110" w:hanging="110"/>
              <w:jc w:val="right"/>
              <w:rPr>
                <w:rFonts w:ascii="Arial" w:hAnsi="Arial" w:cs="Arial"/>
              </w:rPr>
            </w:pPr>
            <w:r>
              <w:rPr>
                <w:rFonts w:ascii="Arial" w:hAnsi="Arial" w:cs="Arial"/>
              </w:rPr>
              <w:t>60</w:t>
            </w:r>
          </w:p>
        </w:tc>
        <w:tc>
          <w:tcPr>
            <w:tcW w:w="770" w:type="pct"/>
            <w:tcBorders>
              <w:bottom w:val="single" w:sz="4" w:space="0" w:color="auto"/>
            </w:tcBorders>
          </w:tcPr>
          <w:p w14:paraId="0B510CAA" w14:textId="77777777" w:rsidR="00E86D30" w:rsidRDefault="009B6EE2" w:rsidP="00E86D30">
            <w:pPr>
              <w:ind w:left="110" w:hanging="110"/>
              <w:jc w:val="right"/>
              <w:rPr>
                <w:rFonts w:ascii="Arial" w:hAnsi="Arial" w:cs="Arial"/>
              </w:rPr>
            </w:pPr>
            <w:r>
              <w:rPr>
                <w:rFonts w:ascii="Arial" w:hAnsi="Arial" w:cs="Arial"/>
              </w:rPr>
              <w:t>10.6%</w:t>
            </w:r>
          </w:p>
        </w:tc>
      </w:tr>
      <w:tr w:rsidR="00E86D30" w:rsidRPr="000971B9" w14:paraId="09546E39" w14:textId="77777777" w:rsidTr="003B2552">
        <w:tc>
          <w:tcPr>
            <w:tcW w:w="1306" w:type="pct"/>
            <w:tcBorders>
              <w:top w:val="single" w:sz="4" w:space="0" w:color="auto"/>
            </w:tcBorders>
          </w:tcPr>
          <w:p w14:paraId="4D82A717" w14:textId="77777777" w:rsidR="00E86D30" w:rsidRPr="000971B9" w:rsidRDefault="00E86D30" w:rsidP="00E86D30">
            <w:pPr>
              <w:ind w:left="110" w:hanging="110"/>
              <w:jc w:val="left"/>
              <w:rPr>
                <w:rFonts w:ascii="Arial" w:hAnsi="Arial" w:cs="Arial"/>
                <w:b/>
                <w:bCs/>
              </w:rPr>
            </w:pPr>
            <w:r w:rsidRPr="000971B9">
              <w:rPr>
                <w:rFonts w:ascii="Arial" w:hAnsi="Arial" w:cs="Arial"/>
                <w:b/>
                <w:bCs/>
              </w:rPr>
              <w:t>UK &amp; Ireland</w:t>
            </w:r>
          </w:p>
        </w:tc>
        <w:tc>
          <w:tcPr>
            <w:tcW w:w="770" w:type="pct"/>
            <w:tcBorders>
              <w:top w:val="single" w:sz="4" w:space="0" w:color="auto"/>
            </w:tcBorders>
          </w:tcPr>
          <w:p w14:paraId="285108BB" w14:textId="77777777" w:rsidR="00E86D30" w:rsidRPr="0007631F" w:rsidRDefault="00E86D30" w:rsidP="00E86D30">
            <w:pPr>
              <w:ind w:left="110" w:hanging="110"/>
              <w:jc w:val="right"/>
              <w:rPr>
                <w:rFonts w:ascii="Arial" w:hAnsi="Arial" w:cs="Arial"/>
                <w:b/>
                <w:bCs/>
              </w:rPr>
            </w:pPr>
            <w:r w:rsidRPr="000971B9">
              <w:rPr>
                <w:rFonts w:ascii="Arial" w:hAnsi="Arial" w:cs="Arial"/>
                <w:b/>
                <w:bCs/>
              </w:rPr>
              <w:t>25,</w:t>
            </w:r>
            <w:r>
              <w:rPr>
                <w:rFonts w:ascii="Arial" w:hAnsi="Arial" w:cs="Arial"/>
                <w:b/>
                <w:bCs/>
              </w:rPr>
              <w:t>392</w:t>
            </w:r>
          </w:p>
        </w:tc>
        <w:tc>
          <w:tcPr>
            <w:tcW w:w="692" w:type="pct"/>
            <w:tcBorders>
              <w:top w:val="single" w:sz="4" w:space="0" w:color="auto"/>
            </w:tcBorders>
          </w:tcPr>
          <w:p w14:paraId="47C8AC93" w14:textId="77777777" w:rsidR="00E86D30" w:rsidRPr="000971B9" w:rsidRDefault="00E86D30" w:rsidP="00E86D30">
            <w:pPr>
              <w:ind w:left="110" w:hanging="110"/>
              <w:jc w:val="right"/>
              <w:rPr>
                <w:rFonts w:ascii="Arial" w:hAnsi="Arial" w:cs="Arial"/>
                <w:b/>
                <w:bCs/>
              </w:rPr>
            </w:pPr>
            <w:r w:rsidRPr="0007631F">
              <w:rPr>
                <w:rFonts w:ascii="Arial" w:hAnsi="Arial" w:cs="Arial"/>
                <w:b/>
                <w:bCs/>
              </w:rPr>
              <w:t>755</w:t>
            </w:r>
          </w:p>
        </w:tc>
        <w:tc>
          <w:tcPr>
            <w:tcW w:w="693" w:type="pct"/>
            <w:tcBorders>
              <w:top w:val="single" w:sz="4" w:space="0" w:color="auto"/>
            </w:tcBorders>
          </w:tcPr>
          <w:p w14:paraId="7891578B" w14:textId="77777777" w:rsidR="00E86D30" w:rsidRPr="000971B9" w:rsidRDefault="00E86D30" w:rsidP="00E86D30">
            <w:pPr>
              <w:ind w:left="110" w:hanging="110"/>
              <w:jc w:val="right"/>
              <w:rPr>
                <w:rFonts w:ascii="Arial" w:hAnsi="Arial" w:cs="Arial"/>
                <w:b/>
                <w:bCs/>
              </w:rPr>
            </w:pPr>
            <w:r w:rsidRPr="000971B9">
              <w:rPr>
                <w:rFonts w:ascii="Arial" w:hAnsi="Arial" w:cs="Arial"/>
                <w:b/>
                <w:bCs/>
              </w:rPr>
              <w:t>2,59</w:t>
            </w:r>
            <w:r>
              <w:rPr>
                <w:rFonts w:ascii="Arial" w:hAnsi="Arial" w:cs="Arial"/>
                <w:b/>
                <w:bCs/>
              </w:rPr>
              <w:t>5</w:t>
            </w:r>
          </w:p>
        </w:tc>
        <w:tc>
          <w:tcPr>
            <w:tcW w:w="769" w:type="pct"/>
            <w:tcBorders>
              <w:top w:val="single" w:sz="4" w:space="0" w:color="auto"/>
            </w:tcBorders>
          </w:tcPr>
          <w:p w14:paraId="7AD86F05" w14:textId="77777777" w:rsidR="00E86D30" w:rsidRPr="000971B9" w:rsidRDefault="009B6EE2" w:rsidP="00E86D30">
            <w:pPr>
              <w:ind w:left="110" w:hanging="110"/>
              <w:jc w:val="right"/>
              <w:rPr>
                <w:rFonts w:ascii="Arial" w:hAnsi="Arial" w:cs="Arial"/>
                <w:b/>
                <w:bCs/>
              </w:rPr>
            </w:pPr>
            <w:r>
              <w:rPr>
                <w:rFonts w:ascii="Arial" w:hAnsi="Arial" w:cs="Arial"/>
                <w:b/>
                <w:bCs/>
              </w:rPr>
              <w:t>2</w:t>
            </w:r>
            <w:r w:rsidR="006F1B67">
              <w:rPr>
                <w:rFonts w:ascii="Arial" w:hAnsi="Arial" w:cs="Arial"/>
                <w:b/>
                <w:bCs/>
              </w:rPr>
              <w:t>9</w:t>
            </w:r>
          </w:p>
        </w:tc>
        <w:tc>
          <w:tcPr>
            <w:tcW w:w="770" w:type="pct"/>
            <w:tcBorders>
              <w:top w:val="single" w:sz="4" w:space="0" w:color="auto"/>
            </w:tcBorders>
          </w:tcPr>
          <w:p w14:paraId="5C281903" w14:textId="64761B9E" w:rsidR="00E86D30" w:rsidRPr="000971B9" w:rsidRDefault="009B6EE2">
            <w:pPr>
              <w:ind w:left="110" w:hanging="110"/>
              <w:jc w:val="right"/>
              <w:rPr>
                <w:rFonts w:ascii="Arial" w:hAnsi="Arial" w:cs="Arial"/>
                <w:b/>
                <w:bCs/>
              </w:rPr>
            </w:pPr>
            <w:r>
              <w:rPr>
                <w:rFonts w:ascii="Arial" w:hAnsi="Arial" w:cs="Arial"/>
                <w:b/>
                <w:bCs/>
              </w:rPr>
              <w:t>(</w:t>
            </w:r>
            <w:r w:rsidR="001C43C3">
              <w:rPr>
                <w:rFonts w:ascii="Arial" w:hAnsi="Arial" w:cs="Arial"/>
                <w:b/>
                <w:bCs/>
              </w:rPr>
              <w:t>7.2</w:t>
            </w:r>
            <w:r>
              <w:rPr>
                <w:rFonts w:ascii="Arial" w:hAnsi="Arial" w:cs="Arial"/>
                <w:b/>
                <w:bCs/>
              </w:rPr>
              <w:t>)%</w:t>
            </w:r>
          </w:p>
        </w:tc>
      </w:tr>
      <w:tr w:rsidR="00E86D30" w:rsidRPr="000971B9" w14:paraId="4168B914" w14:textId="77777777" w:rsidTr="003B2552">
        <w:tc>
          <w:tcPr>
            <w:tcW w:w="1306" w:type="pct"/>
          </w:tcPr>
          <w:p w14:paraId="071523ED" w14:textId="77777777" w:rsidR="00E86D30" w:rsidRPr="000971B9" w:rsidRDefault="00E86D30" w:rsidP="00E86D30">
            <w:pPr>
              <w:spacing w:before="60"/>
              <w:ind w:left="110" w:hanging="110"/>
              <w:jc w:val="left"/>
              <w:rPr>
                <w:rFonts w:ascii="Arial" w:hAnsi="Arial" w:cs="Arial"/>
              </w:rPr>
            </w:pPr>
            <w:r w:rsidRPr="000971B9">
              <w:rPr>
                <w:rFonts w:ascii="Arial" w:hAnsi="Arial" w:cs="Arial"/>
              </w:rPr>
              <w:t>Poland</w:t>
            </w:r>
          </w:p>
        </w:tc>
        <w:tc>
          <w:tcPr>
            <w:tcW w:w="770" w:type="pct"/>
          </w:tcPr>
          <w:p w14:paraId="510FFCCF" w14:textId="77777777" w:rsidR="00E86D30" w:rsidRPr="0007631F" w:rsidRDefault="00E86D30" w:rsidP="00E86D30">
            <w:pPr>
              <w:spacing w:before="60"/>
              <w:ind w:left="110" w:hanging="110"/>
              <w:jc w:val="right"/>
              <w:rPr>
                <w:rFonts w:ascii="Arial" w:hAnsi="Arial" w:cs="Arial"/>
              </w:rPr>
            </w:pPr>
            <w:r w:rsidRPr="000971B9">
              <w:rPr>
                <w:rFonts w:ascii="Arial" w:hAnsi="Arial" w:cs="Arial"/>
              </w:rPr>
              <w:t>10,1</w:t>
            </w:r>
            <w:r>
              <w:rPr>
                <w:rFonts w:ascii="Arial" w:hAnsi="Arial" w:cs="Arial"/>
              </w:rPr>
              <w:t>66</w:t>
            </w:r>
          </w:p>
        </w:tc>
        <w:tc>
          <w:tcPr>
            <w:tcW w:w="692" w:type="pct"/>
          </w:tcPr>
          <w:p w14:paraId="6D627680" w14:textId="77777777" w:rsidR="00E86D30" w:rsidRPr="000971B9" w:rsidRDefault="00E86D30" w:rsidP="00E86D30">
            <w:pPr>
              <w:spacing w:before="60"/>
              <w:ind w:left="110" w:hanging="110"/>
              <w:jc w:val="right"/>
              <w:rPr>
                <w:rFonts w:ascii="Arial" w:hAnsi="Arial" w:cs="Arial"/>
              </w:rPr>
            </w:pPr>
            <w:r w:rsidRPr="0007631F">
              <w:rPr>
                <w:rFonts w:ascii="Arial" w:hAnsi="Arial" w:cs="Arial"/>
              </w:rPr>
              <w:t>72</w:t>
            </w:r>
          </w:p>
        </w:tc>
        <w:tc>
          <w:tcPr>
            <w:tcW w:w="693" w:type="pct"/>
          </w:tcPr>
          <w:p w14:paraId="7568FC84" w14:textId="77777777" w:rsidR="00E86D30" w:rsidRPr="000971B9" w:rsidRDefault="00E86D30" w:rsidP="00E86D30">
            <w:pPr>
              <w:spacing w:before="60"/>
              <w:ind w:left="110" w:hanging="110"/>
              <w:jc w:val="right"/>
              <w:rPr>
                <w:rFonts w:ascii="Arial" w:hAnsi="Arial" w:cs="Arial"/>
              </w:rPr>
            </w:pPr>
            <w:r w:rsidRPr="000971B9">
              <w:rPr>
                <w:rFonts w:ascii="Arial" w:hAnsi="Arial" w:cs="Arial"/>
              </w:rPr>
              <w:t>529</w:t>
            </w:r>
          </w:p>
        </w:tc>
        <w:tc>
          <w:tcPr>
            <w:tcW w:w="769" w:type="pct"/>
          </w:tcPr>
          <w:p w14:paraId="57AC4312" w14:textId="77777777" w:rsidR="00E86D30" w:rsidRPr="000971B9" w:rsidRDefault="009B6EE2" w:rsidP="00E86D30">
            <w:pPr>
              <w:spacing w:before="60"/>
              <w:ind w:left="110" w:hanging="110"/>
              <w:jc w:val="right"/>
              <w:rPr>
                <w:rFonts w:ascii="Arial" w:hAnsi="Arial" w:cs="Arial"/>
              </w:rPr>
            </w:pPr>
            <w:r>
              <w:rPr>
                <w:rFonts w:ascii="Arial" w:hAnsi="Arial" w:cs="Arial"/>
              </w:rPr>
              <w:t>1</w:t>
            </w:r>
          </w:p>
        </w:tc>
        <w:tc>
          <w:tcPr>
            <w:tcW w:w="770" w:type="pct"/>
          </w:tcPr>
          <w:p w14:paraId="0695F1C5" w14:textId="77777777" w:rsidR="00E86D30" w:rsidRPr="000971B9" w:rsidRDefault="009B6EE2" w:rsidP="00E86D30">
            <w:pPr>
              <w:spacing w:before="60"/>
              <w:ind w:left="110" w:hanging="110"/>
              <w:jc w:val="right"/>
              <w:rPr>
                <w:rFonts w:ascii="Arial" w:hAnsi="Arial" w:cs="Arial"/>
              </w:rPr>
            </w:pPr>
            <w:r>
              <w:rPr>
                <w:rFonts w:ascii="Arial" w:hAnsi="Arial" w:cs="Arial"/>
              </w:rPr>
              <w:t>1.9%</w:t>
            </w:r>
          </w:p>
        </w:tc>
      </w:tr>
      <w:tr w:rsidR="00E86D30" w:rsidRPr="000971B9" w14:paraId="0D20C6B6" w14:textId="77777777" w:rsidTr="003B2552">
        <w:tc>
          <w:tcPr>
            <w:tcW w:w="1306" w:type="pct"/>
          </w:tcPr>
          <w:p w14:paraId="69911C0A" w14:textId="77777777" w:rsidR="00E86D30" w:rsidRPr="000971B9" w:rsidRDefault="00E86D30" w:rsidP="00E86D30">
            <w:pPr>
              <w:ind w:left="110" w:hanging="110"/>
              <w:jc w:val="left"/>
              <w:rPr>
                <w:rFonts w:ascii="Arial" w:hAnsi="Arial" w:cs="Arial"/>
                <w:lang w:val="it-IT"/>
              </w:rPr>
            </w:pPr>
            <w:r w:rsidRPr="000971B9">
              <w:rPr>
                <w:rFonts w:ascii="Arial" w:hAnsi="Arial" w:cs="Arial"/>
                <w:lang w:val="it-IT"/>
              </w:rPr>
              <w:t>China</w:t>
            </w:r>
          </w:p>
        </w:tc>
        <w:tc>
          <w:tcPr>
            <w:tcW w:w="770" w:type="pct"/>
          </w:tcPr>
          <w:p w14:paraId="7EED9B6C" w14:textId="77777777" w:rsidR="00E86D30" w:rsidRPr="0007631F" w:rsidRDefault="00E86D30" w:rsidP="00E86D30">
            <w:pPr>
              <w:ind w:left="110" w:hanging="110"/>
              <w:jc w:val="right"/>
              <w:rPr>
                <w:rFonts w:ascii="Arial" w:hAnsi="Arial" w:cs="Arial"/>
              </w:rPr>
            </w:pPr>
            <w:r w:rsidRPr="000971B9">
              <w:rPr>
                <w:rFonts w:ascii="Arial" w:hAnsi="Arial" w:cs="Arial"/>
              </w:rPr>
              <w:t>3,</w:t>
            </w:r>
            <w:r>
              <w:rPr>
                <w:rFonts w:ascii="Arial" w:hAnsi="Arial" w:cs="Arial"/>
              </w:rPr>
              <w:t>675</w:t>
            </w:r>
          </w:p>
        </w:tc>
        <w:tc>
          <w:tcPr>
            <w:tcW w:w="692" w:type="pct"/>
          </w:tcPr>
          <w:p w14:paraId="7C707EBC" w14:textId="77777777" w:rsidR="00E86D30" w:rsidRPr="000971B9" w:rsidRDefault="00E86D30" w:rsidP="00E86D30">
            <w:pPr>
              <w:ind w:left="110" w:hanging="110"/>
              <w:jc w:val="right"/>
              <w:rPr>
                <w:rFonts w:ascii="Arial" w:hAnsi="Arial" w:cs="Arial"/>
              </w:rPr>
            </w:pPr>
            <w:r w:rsidRPr="0007631F">
              <w:rPr>
                <w:rFonts w:ascii="Arial" w:hAnsi="Arial" w:cs="Arial"/>
              </w:rPr>
              <w:t>39</w:t>
            </w:r>
          </w:p>
        </w:tc>
        <w:tc>
          <w:tcPr>
            <w:tcW w:w="693" w:type="pct"/>
          </w:tcPr>
          <w:p w14:paraId="02BADFEC" w14:textId="77777777" w:rsidR="00E86D30" w:rsidRPr="000971B9" w:rsidRDefault="00E86D30" w:rsidP="00E86D30">
            <w:pPr>
              <w:ind w:left="110" w:hanging="110"/>
              <w:jc w:val="right"/>
              <w:rPr>
                <w:rFonts w:ascii="Arial" w:hAnsi="Arial" w:cs="Arial"/>
              </w:rPr>
            </w:pPr>
            <w:r w:rsidRPr="0007631F">
              <w:rPr>
                <w:rFonts w:ascii="Arial" w:hAnsi="Arial" w:cs="Arial"/>
              </w:rPr>
              <w:t>318</w:t>
            </w:r>
          </w:p>
        </w:tc>
        <w:tc>
          <w:tcPr>
            <w:tcW w:w="769" w:type="pct"/>
          </w:tcPr>
          <w:p w14:paraId="562D0A52" w14:textId="77777777" w:rsidR="00E86D30" w:rsidRPr="000971B9" w:rsidRDefault="00E86D30" w:rsidP="00E86D30">
            <w:pPr>
              <w:ind w:left="110" w:hanging="110"/>
              <w:jc w:val="right"/>
              <w:rPr>
                <w:rFonts w:ascii="Arial" w:hAnsi="Arial" w:cs="Arial"/>
              </w:rPr>
            </w:pPr>
            <w:r>
              <w:rPr>
                <w:rFonts w:ascii="Arial" w:hAnsi="Arial" w:cs="Arial"/>
              </w:rPr>
              <w:t>-</w:t>
            </w:r>
          </w:p>
        </w:tc>
        <w:tc>
          <w:tcPr>
            <w:tcW w:w="770" w:type="pct"/>
          </w:tcPr>
          <w:p w14:paraId="18F1BE5D" w14:textId="77777777" w:rsidR="00E86D30" w:rsidRPr="000971B9" w:rsidRDefault="00E86D30" w:rsidP="00E86D30">
            <w:pPr>
              <w:ind w:left="110" w:hanging="110"/>
              <w:jc w:val="right"/>
              <w:rPr>
                <w:rFonts w:ascii="Arial" w:hAnsi="Arial" w:cs="Arial"/>
              </w:rPr>
            </w:pPr>
            <w:r>
              <w:rPr>
                <w:rFonts w:ascii="Arial" w:hAnsi="Arial" w:cs="Arial"/>
              </w:rPr>
              <w:t>-</w:t>
            </w:r>
          </w:p>
        </w:tc>
      </w:tr>
      <w:tr w:rsidR="00E86D30" w:rsidRPr="000971B9" w14:paraId="196A33AF" w14:textId="77777777" w:rsidTr="003B2552">
        <w:tc>
          <w:tcPr>
            <w:tcW w:w="1306" w:type="pct"/>
          </w:tcPr>
          <w:p w14:paraId="3D73EE30" w14:textId="77777777" w:rsidR="00E86D30" w:rsidRPr="000971B9" w:rsidRDefault="00E86D30" w:rsidP="00E86D30">
            <w:pPr>
              <w:ind w:left="110" w:hanging="110"/>
              <w:jc w:val="left"/>
              <w:rPr>
                <w:rFonts w:ascii="Arial" w:hAnsi="Arial" w:cs="Arial"/>
                <w:lang w:val="it-IT"/>
              </w:rPr>
            </w:pPr>
            <w:r>
              <w:rPr>
                <w:rFonts w:ascii="Arial" w:hAnsi="Arial" w:cs="Arial"/>
                <w:lang w:val="it-IT"/>
              </w:rPr>
              <w:t>Portugal</w:t>
            </w:r>
          </w:p>
        </w:tc>
        <w:tc>
          <w:tcPr>
            <w:tcW w:w="770" w:type="pct"/>
          </w:tcPr>
          <w:p w14:paraId="23857883" w14:textId="77777777" w:rsidR="00E86D30" w:rsidRDefault="00E86D30" w:rsidP="00E86D30">
            <w:pPr>
              <w:ind w:left="110" w:hanging="110"/>
              <w:jc w:val="right"/>
              <w:rPr>
                <w:rFonts w:ascii="Arial" w:hAnsi="Arial" w:cs="Arial"/>
              </w:rPr>
            </w:pPr>
            <w:r>
              <w:rPr>
                <w:rFonts w:ascii="Arial" w:hAnsi="Arial" w:cs="Arial"/>
              </w:rPr>
              <w:t>134</w:t>
            </w:r>
          </w:p>
        </w:tc>
        <w:tc>
          <w:tcPr>
            <w:tcW w:w="692" w:type="pct"/>
          </w:tcPr>
          <w:p w14:paraId="526D0198" w14:textId="77777777" w:rsidR="00E86D30" w:rsidRPr="0007631F" w:rsidRDefault="00E86D30" w:rsidP="00E86D30">
            <w:pPr>
              <w:ind w:left="110" w:hanging="110"/>
              <w:jc w:val="right"/>
              <w:rPr>
                <w:rFonts w:ascii="Arial" w:hAnsi="Arial" w:cs="Arial"/>
              </w:rPr>
            </w:pPr>
            <w:r>
              <w:rPr>
                <w:rFonts w:ascii="Arial" w:hAnsi="Arial" w:cs="Arial"/>
              </w:rPr>
              <w:t>2</w:t>
            </w:r>
          </w:p>
        </w:tc>
        <w:tc>
          <w:tcPr>
            <w:tcW w:w="693" w:type="pct"/>
          </w:tcPr>
          <w:p w14:paraId="3AE3136A" w14:textId="4E574809" w:rsidR="00E86D30" w:rsidRPr="000971B9" w:rsidRDefault="00E86D30" w:rsidP="00E10699">
            <w:pPr>
              <w:ind w:left="110" w:hanging="110"/>
              <w:jc w:val="right"/>
              <w:rPr>
                <w:rFonts w:ascii="Arial" w:hAnsi="Arial" w:cs="Arial"/>
              </w:rPr>
            </w:pPr>
            <w:r>
              <w:rPr>
                <w:rFonts w:ascii="Arial" w:hAnsi="Arial" w:cs="Arial"/>
              </w:rPr>
              <w:t>1</w:t>
            </w:r>
            <w:r w:rsidR="00E10699">
              <w:rPr>
                <w:rFonts w:ascii="Arial" w:hAnsi="Arial" w:cs="Arial"/>
              </w:rPr>
              <w:t>2</w:t>
            </w:r>
          </w:p>
        </w:tc>
        <w:tc>
          <w:tcPr>
            <w:tcW w:w="769" w:type="pct"/>
          </w:tcPr>
          <w:p w14:paraId="346C9244" w14:textId="77777777" w:rsidR="00E86D30" w:rsidRDefault="009B6EE2" w:rsidP="00E86D30">
            <w:pPr>
              <w:ind w:left="110" w:hanging="110"/>
              <w:jc w:val="right"/>
              <w:rPr>
                <w:rFonts w:ascii="Arial" w:hAnsi="Arial" w:cs="Arial"/>
              </w:rPr>
            </w:pPr>
            <w:r>
              <w:rPr>
                <w:rFonts w:ascii="Arial" w:hAnsi="Arial" w:cs="Arial"/>
              </w:rPr>
              <w:t>-</w:t>
            </w:r>
          </w:p>
        </w:tc>
        <w:tc>
          <w:tcPr>
            <w:tcW w:w="770" w:type="pct"/>
          </w:tcPr>
          <w:p w14:paraId="4433FC7E" w14:textId="77777777" w:rsidR="00E86D30" w:rsidRDefault="009B6EE2" w:rsidP="00E86D30">
            <w:pPr>
              <w:ind w:left="110" w:hanging="110"/>
              <w:jc w:val="right"/>
              <w:rPr>
                <w:rFonts w:ascii="Arial" w:hAnsi="Arial" w:cs="Arial"/>
              </w:rPr>
            </w:pPr>
            <w:r>
              <w:rPr>
                <w:rFonts w:ascii="Arial" w:hAnsi="Arial" w:cs="Arial"/>
              </w:rPr>
              <w:t>-</w:t>
            </w:r>
          </w:p>
        </w:tc>
      </w:tr>
      <w:tr w:rsidR="00E86D30" w:rsidRPr="000971B9" w14:paraId="30F7D2BE" w14:textId="77777777" w:rsidTr="003B2552">
        <w:tc>
          <w:tcPr>
            <w:tcW w:w="1306" w:type="pct"/>
          </w:tcPr>
          <w:p w14:paraId="1A4D861C" w14:textId="77777777" w:rsidR="00E86D30" w:rsidRPr="000952F8" w:rsidRDefault="00E86D30" w:rsidP="00E86D30">
            <w:pPr>
              <w:ind w:left="110" w:hanging="110"/>
              <w:jc w:val="left"/>
              <w:rPr>
                <w:rFonts w:ascii="Arial" w:hAnsi="Arial" w:cs="Arial"/>
                <w:lang w:val="it-IT"/>
              </w:rPr>
            </w:pPr>
            <w:r w:rsidRPr="000952F8">
              <w:rPr>
                <w:rFonts w:ascii="Arial" w:hAnsi="Arial" w:cs="Arial"/>
                <w:lang w:val="it-IT"/>
              </w:rPr>
              <w:t>Romania</w:t>
            </w:r>
          </w:p>
        </w:tc>
        <w:tc>
          <w:tcPr>
            <w:tcW w:w="770" w:type="pct"/>
          </w:tcPr>
          <w:p w14:paraId="2B1EA93B" w14:textId="77777777" w:rsidR="00E86D30" w:rsidRPr="00D70047" w:rsidRDefault="00E86D30" w:rsidP="00E86D30">
            <w:pPr>
              <w:ind w:left="110" w:hanging="110"/>
              <w:jc w:val="right"/>
              <w:rPr>
                <w:rFonts w:ascii="Arial" w:hAnsi="Arial" w:cs="Arial"/>
              </w:rPr>
            </w:pPr>
            <w:r w:rsidRPr="00D70047">
              <w:rPr>
                <w:rFonts w:ascii="Arial" w:hAnsi="Arial" w:cs="Arial"/>
              </w:rPr>
              <w:t>1,036</w:t>
            </w:r>
          </w:p>
        </w:tc>
        <w:tc>
          <w:tcPr>
            <w:tcW w:w="692" w:type="pct"/>
          </w:tcPr>
          <w:p w14:paraId="524EF3BB" w14:textId="77777777" w:rsidR="00E86D30" w:rsidRPr="00D70047" w:rsidRDefault="00E86D30" w:rsidP="00E86D30">
            <w:pPr>
              <w:ind w:left="110" w:hanging="110"/>
              <w:jc w:val="right"/>
              <w:rPr>
                <w:rFonts w:ascii="Arial" w:hAnsi="Arial" w:cs="Arial"/>
              </w:rPr>
            </w:pPr>
            <w:r w:rsidRPr="00D70047">
              <w:rPr>
                <w:rFonts w:ascii="Arial" w:hAnsi="Arial" w:cs="Arial"/>
              </w:rPr>
              <w:t>15</w:t>
            </w:r>
          </w:p>
        </w:tc>
        <w:tc>
          <w:tcPr>
            <w:tcW w:w="693" w:type="pct"/>
          </w:tcPr>
          <w:p w14:paraId="39E928B9" w14:textId="77777777" w:rsidR="00E86D30" w:rsidRPr="00D70047" w:rsidRDefault="00E86D30" w:rsidP="00E86D30">
            <w:pPr>
              <w:ind w:left="110" w:hanging="110"/>
              <w:jc w:val="right"/>
              <w:rPr>
                <w:rFonts w:ascii="Arial" w:hAnsi="Arial" w:cs="Arial"/>
              </w:rPr>
            </w:pPr>
            <w:r w:rsidRPr="00D70047">
              <w:rPr>
                <w:rFonts w:ascii="Arial" w:hAnsi="Arial" w:cs="Arial"/>
              </w:rPr>
              <w:t>139</w:t>
            </w:r>
          </w:p>
        </w:tc>
        <w:tc>
          <w:tcPr>
            <w:tcW w:w="769" w:type="pct"/>
          </w:tcPr>
          <w:p w14:paraId="40CC083D" w14:textId="77777777" w:rsidR="00E86D30" w:rsidRPr="00D70047" w:rsidRDefault="009B6EE2" w:rsidP="00E86D30">
            <w:pPr>
              <w:ind w:left="110" w:hanging="110"/>
              <w:jc w:val="right"/>
              <w:rPr>
                <w:rFonts w:ascii="Arial" w:hAnsi="Arial" w:cs="Arial"/>
              </w:rPr>
            </w:pPr>
            <w:r w:rsidRPr="00D70047">
              <w:rPr>
                <w:rFonts w:ascii="Arial" w:hAnsi="Arial" w:cs="Arial"/>
              </w:rPr>
              <w:t>-</w:t>
            </w:r>
          </w:p>
        </w:tc>
        <w:tc>
          <w:tcPr>
            <w:tcW w:w="770" w:type="pct"/>
          </w:tcPr>
          <w:p w14:paraId="6E64ED7D" w14:textId="7C189D1E" w:rsidR="00E86D30" w:rsidRPr="000971B9" w:rsidRDefault="00F17F1E" w:rsidP="00E86D30">
            <w:pPr>
              <w:ind w:left="110" w:hanging="110"/>
              <w:jc w:val="right"/>
              <w:rPr>
                <w:rFonts w:ascii="Arial" w:hAnsi="Arial" w:cs="Arial"/>
              </w:rPr>
            </w:pPr>
            <w:r w:rsidRPr="00320771">
              <w:rPr>
                <w:rFonts w:ascii="Arial" w:hAnsi="Arial" w:cs="Arial"/>
              </w:rPr>
              <w:t>(</w:t>
            </w:r>
            <w:r w:rsidR="001C43C3" w:rsidRPr="00320771">
              <w:rPr>
                <w:rFonts w:ascii="Arial" w:hAnsi="Arial" w:cs="Arial"/>
              </w:rPr>
              <w:t>8.4</w:t>
            </w:r>
            <w:r w:rsidRPr="00320771">
              <w:rPr>
                <w:rFonts w:ascii="Arial" w:hAnsi="Arial" w:cs="Arial"/>
              </w:rPr>
              <w:t>)</w:t>
            </w:r>
            <w:r w:rsidR="001C43C3" w:rsidRPr="00320771">
              <w:rPr>
                <w:rFonts w:ascii="Arial" w:hAnsi="Arial" w:cs="Arial"/>
              </w:rPr>
              <w:t>%</w:t>
            </w:r>
          </w:p>
        </w:tc>
      </w:tr>
      <w:tr w:rsidR="00E86D30" w:rsidRPr="000971B9" w14:paraId="6E02AE83" w14:textId="77777777" w:rsidTr="003B2552">
        <w:tc>
          <w:tcPr>
            <w:tcW w:w="1306" w:type="pct"/>
          </w:tcPr>
          <w:p w14:paraId="2E5C8017" w14:textId="77777777" w:rsidR="00E86D30" w:rsidRPr="000971B9" w:rsidRDefault="00E86D30" w:rsidP="00E86D30">
            <w:pPr>
              <w:jc w:val="left"/>
              <w:rPr>
                <w:rFonts w:ascii="Arial" w:hAnsi="Arial" w:cs="Arial"/>
                <w:lang w:val="it-IT"/>
              </w:rPr>
            </w:pPr>
            <w:r w:rsidRPr="000971B9">
              <w:rPr>
                <w:rFonts w:ascii="Arial" w:hAnsi="Arial" w:cs="Arial"/>
                <w:lang w:val="it-IT"/>
              </w:rPr>
              <w:t>Russia</w:t>
            </w:r>
          </w:p>
        </w:tc>
        <w:tc>
          <w:tcPr>
            <w:tcW w:w="770" w:type="pct"/>
          </w:tcPr>
          <w:p w14:paraId="2DAACD9F" w14:textId="77777777" w:rsidR="00E86D30" w:rsidRPr="000971B9" w:rsidRDefault="00E86D30" w:rsidP="00E86D30">
            <w:pPr>
              <w:ind w:left="110" w:hanging="110"/>
              <w:jc w:val="right"/>
              <w:rPr>
                <w:rFonts w:ascii="Arial" w:hAnsi="Arial" w:cs="Arial"/>
                <w:lang w:val="it-IT"/>
              </w:rPr>
            </w:pPr>
            <w:r w:rsidRPr="000971B9">
              <w:rPr>
                <w:rFonts w:ascii="Arial" w:hAnsi="Arial" w:cs="Arial"/>
                <w:lang w:val="it-IT"/>
              </w:rPr>
              <w:t>2,</w:t>
            </w:r>
            <w:r>
              <w:rPr>
                <w:rFonts w:ascii="Arial" w:hAnsi="Arial" w:cs="Arial"/>
                <w:lang w:val="it-IT"/>
              </w:rPr>
              <w:t>850</w:t>
            </w:r>
          </w:p>
        </w:tc>
        <w:tc>
          <w:tcPr>
            <w:tcW w:w="692" w:type="pct"/>
          </w:tcPr>
          <w:p w14:paraId="0C9F0962" w14:textId="77777777" w:rsidR="00E86D30" w:rsidRPr="000971B9" w:rsidRDefault="00E86D30" w:rsidP="00E86D30">
            <w:pPr>
              <w:ind w:left="110" w:hanging="110"/>
              <w:jc w:val="right"/>
              <w:rPr>
                <w:rFonts w:ascii="Arial" w:hAnsi="Arial" w:cs="Arial"/>
                <w:lang w:val="it-IT"/>
              </w:rPr>
            </w:pPr>
            <w:r w:rsidRPr="000971B9">
              <w:rPr>
                <w:rFonts w:ascii="Arial" w:hAnsi="Arial" w:cs="Arial"/>
                <w:lang w:val="it-IT"/>
              </w:rPr>
              <w:t>2</w:t>
            </w:r>
            <w:r>
              <w:rPr>
                <w:rFonts w:ascii="Arial" w:hAnsi="Arial" w:cs="Arial"/>
                <w:lang w:val="it-IT"/>
              </w:rPr>
              <w:t>1</w:t>
            </w:r>
          </w:p>
        </w:tc>
        <w:tc>
          <w:tcPr>
            <w:tcW w:w="693" w:type="pct"/>
          </w:tcPr>
          <w:p w14:paraId="4C37A60E" w14:textId="37389ECD" w:rsidR="00E86D30" w:rsidRPr="000971B9" w:rsidRDefault="00E10699" w:rsidP="00E86D30">
            <w:pPr>
              <w:ind w:left="110" w:hanging="110"/>
              <w:jc w:val="right"/>
              <w:rPr>
                <w:rFonts w:ascii="Arial" w:hAnsi="Arial" w:cs="Arial"/>
                <w:lang w:val="it-IT"/>
              </w:rPr>
            </w:pPr>
            <w:r>
              <w:rPr>
                <w:rFonts w:ascii="Arial" w:hAnsi="Arial" w:cs="Arial"/>
                <w:lang w:val="it-IT"/>
              </w:rPr>
              <w:t>205</w:t>
            </w:r>
          </w:p>
        </w:tc>
        <w:tc>
          <w:tcPr>
            <w:tcW w:w="769" w:type="pct"/>
          </w:tcPr>
          <w:p w14:paraId="0DEA3C6F" w14:textId="77777777" w:rsidR="00E86D30" w:rsidRPr="000971B9" w:rsidRDefault="009B6EE2" w:rsidP="00E86D30">
            <w:pPr>
              <w:ind w:left="110" w:hanging="110"/>
              <w:jc w:val="right"/>
              <w:rPr>
                <w:rFonts w:ascii="Arial" w:hAnsi="Arial" w:cs="Arial"/>
                <w:lang w:val="it-IT"/>
              </w:rPr>
            </w:pPr>
            <w:r>
              <w:rPr>
                <w:rFonts w:ascii="Arial" w:hAnsi="Arial" w:cs="Arial"/>
                <w:lang w:val="it-IT"/>
              </w:rPr>
              <w:t>-</w:t>
            </w:r>
          </w:p>
        </w:tc>
        <w:tc>
          <w:tcPr>
            <w:tcW w:w="770" w:type="pct"/>
          </w:tcPr>
          <w:p w14:paraId="6E1D1D87" w14:textId="77777777" w:rsidR="00E86D30" w:rsidRPr="000971B9" w:rsidRDefault="009B6EE2" w:rsidP="00E86D30">
            <w:pPr>
              <w:ind w:left="110" w:hanging="110"/>
              <w:jc w:val="right"/>
              <w:rPr>
                <w:rFonts w:ascii="Arial" w:hAnsi="Arial" w:cs="Arial"/>
                <w:lang w:val="it-IT"/>
              </w:rPr>
            </w:pPr>
            <w:r>
              <w:rPr>
                <w:rFonts w:ascii="Arial" w:hAnsi="Arial" w:cs="Arial"/>
                <w:lang w:val="it-IT"/>
              </w:rPr>
              <w:t>-</w:t>
            </w:r>
          </w:p>
        </w:tc>
      </w:tr>
      <w:tr w:rsidR="00E86D30" w:rsidRPr="000971B9" w14:paraId="36DFFE82" w14:textId="77777777" w:rsidTr="003B2552">
        <w:tc>
          <w:tcPr>
            <w:tcW w:w="1306" w:type="pct"/>
          </w:tcPr>
          <w:p w14:paraId="77EDDC23" w14:textId="77777777" w:rsidR="00E86D30" w:rsidRPr="000971B9" w:rsidRDefault="00E86D30" w:rsidP="00E86D30">
            <w:pPr>
              <w:jc w:val="left"/>
              <w:rPr>
                <w:rFonts w:ascii="Arial" w:hAnsi="Arial" w:cs="Arial"/>
                <w:lang w:val="it-IT"/>
              </w:rPr>
            </w:pPr>
            <w:r w:rsidRPr="000971B9">
              <w:rPr>
                <w:rFonts w:ascii="Arial" w:hAnsi="Arial" w:cs="Arial"/>
                <w:lang w:val="it-IT"/>
              </w:rPr>
              <w:t>Spain</w:t>
            </w:r>
          </w:p>
        </w:tc>
        <w:tc>
          <w:tcPr>
            <w:tcW w:w="770" w:type="pct"/>
          </w:tcPr>
          <w:p w14:paraId="7B2310FD" w14:textId="77777777" w:rsidR="00E86D30" w:rsidRPr="000971B9" w:rsidRDefault="00E86D30" w:rsidP="00E86D30">
            <w:pPr>
              <w:ind w:left="110" w:hanging="110"/>
              <w:jc w:val="right"/>
              <w:rPr>
                <w:rFonts w:ascii="Arial" w:hAnsi="Arial" w:cs="Arial"/>
                <w:lang w:val="it-IT"/>
              </w:rPr>
            </w:pPr>
            <w:r w:rsidRPr="000971B9">
              <w:rPr>
                <w:rFonts w:ascii="Arial" w:hAnsi="Arial" w:cs="Arial"/>
                <w:lang w:val="it-IT"/>
              </w:rPr>
              <w:t>1,</w:t>
            </w:r>
            <w:r>
              <w:rPr>
                <w:rFonts w:ascii="Arial" w:hAnsi="Arial" w:cs="Arial"/>
                <w:lang w:val="it-IT"/>
              </w:rPr>
              <w:t>429</w:t>
            </w:r>
          </w:p>
        </w:tc>
        <w:tc>
          <w:tcPr>
            <w:tcW w:w="692" w:type="pct"/>
          </w:tcPr>
          <w:p w14:paraId="0B4FB7DE" w14:textId="77777777" w:rsidR="00E86D30" w:rsidRPr="000971B9" w:rsidRDefault="00E86D30" w:rsidP="00E86D30">
            <w:pPr>
              <w:ind w:left="110" w:hanging="110"/>
              <w:jc w:val="right"/>
              <w:rPr>
                <w:rFonts w:ascii="Arial" w:hAnsi="Arial" w:cs="Arial"/>
                <w:lang w:val="it-IT"/>
              </w:rPr>
            </w:pPr>
            <w:r w:rsidRPr="000971B9">
              <w:rPr>
                <w:rFonts w:ascii="Arial" w:hAnsi="Arial" w:cs="Arial"/>
                <w:lang w:val="it-IT"/>
              </w:rPr>
              <w:t>2</w:t>
            </w:r>
            <w:r>
              <w:rPr>
                <w:rFonts w:ascii="Arial" w:hAnsi="Arial" w:cs="Arial"/>
                <w:lang w:val="it-IT"/>
              </w:rPr>
              <w:t>8</w:t>
            </w:r>
          </w:p>
        </w:tc>
        <w:tc>
          <w:tcPr>
            <w:tcW w:w="693" w:type="pct"/>
          </w:tcPr>
          <w:p w14:paraId="0C4D802A" w14:textId="77777777" w:rsidR="00E86D30" w:rsidRPr="000971B9" w:rsidRDefault="00E86D30" w:rsidP="00E86D30">
            <w:pPr>
              <w:ind w:left="110" w:hanging="110"/>
              <w:jc w:val="right"/>
              <w:rPr>
                <w:rFonts w:ascii="Arial" w:hAnsi="Arial" w:cs="Arial"/>
                <w:lang w:val="it-IT"/>
              </w:rPr>
            </w:pPr>
            <w:r w:rsidRPr="000971B9">
              <w:rPr>
                <w:rFonts w:ascii="Arial" w:hAnsi="Arial" w:cs="Arial"/>
                <w:lang w:val="it-IT"/>
              </w:rPr>
              <w:t>1</w:t>
            </w:r>
            <w:r>
              <w:rPr>
                <w:rFonts w:ascii="Arial" w:hAnsi="Arial" w:cs="Arial"/>
                <w:lang w:val="it-IT"/>
              </w:rPr>
              <w:t>68</w:t>
            </w:r>
          </w:p>
        </w:tc>
        <w:tc>
          <w:tcPr>
            <w:tcW w:w="769" w:type="pct"/>
          </w:tcPr>
          <w:p w14:paraId="143A8DCC" w14:textId="77777777" w:rsidR="00E86D30" w:rsidRPr="000971B9" w:rsidRDefault="009B6EE2" w:rsidP="00E86D30">
            <w:pPr>
              <w:ind w:left="110" w:hanging="110"/>
              <w:jc w:val="right"/>
              <w:rPr>
                <w:rFonts w:ascii="Arial" w:hAnsi="Arial" w:cs="Arial"/>
                <w:lang w:val="it-IT"/>
              </w:rPr>
            </w:pPr>
            <w:r>
              <w:rPr>
                <w:rFonts w:ascii="Arial" w:hAnsi="Arial" w:cs="Arial"/>
                <w:lang w:val="it-IT"/>
              </w:rPr>
              <w:t>1</w:t>
            </w:r>
          </w:p>
        </w:tc>
        <w:tc>
          <w:tcPr>
            <w:tcW w:w="770" w:type="pct"/>
          </w:tcPr>
          <w:p w14:paraId="255E89FA" w14:textId="77777777" w:rsidR="00E86D30" w:rsidRPr="000971B9" w:rsidRDefault="009B6EE2" w:rsidP="00E86D30">
            <w:pPr>
              <w:ind w:left="110" w:hanging="110"/>
              <w:jc w:val="right"/>
              <w:rPr>
                <w:rFonts w:ascii="Arial" w:hAnsi="Arial" w:cs="Arial"/>
                <w:lang w:val="it-IT"/>
              </w:rPr>
            </w:pPr>
            <w:r>
              <w:rPr>
                <w:rFonts w:ascii="Arial" w:hAnsi="Arial" w:cs="Arial"/>
                <w:lang w:val="it-IT"/>
              </w:rPr>
              <w:t>3.7%</w:t>
            </w:r>
          </w:p>
        </w:tc>
      </w:tr>
      <w:tr w:rsidR="00E86D30" w:rsidRPr="000971B9" w14:paraId="4C9841FA" w14:textId="77777777" w:rsidTr="003B2552">
        <w:tc>
          <w:tcPr>
            <w:tcW w:w="1306" w:type="pct"/>
          </w:tcPr>
          <w:p w14:paraId="4A338E07" w14:textId="77777777" w:rsidR="00E86D30" w:rsidRPr="000971B9" w:rsidRDefault="00E86D30" w:rsidP="00E86D30">
            <w:pPr>
              <w:jc w:val="left"/>
              <w:rPr>
                <w:rFonts w:ascii="Arial" w:hAnsi="Arial" w:cs="Arial"/>
                <w:lang w:val="it-IT"/>
              </w:rPr>
            </w:pPr>
            <w:r w:rsidRPr="000971B9">
              <w:rPr>
                <w:rFonts w:ascii="Arial" w:hAnsi="Arial" w:cs="Arial"/>
                <w:lang w:val="it-IT"/>
              </w:rPr>
              <w:t>Turkey JV</w:t>
            </w:r>
          </w:p>
        </w:tc>
        <w:tc>
          <w:tcPr>
            <w:tcW w:w="770" w:type="pct"/>
          </w:tcPr>
          <w:p w14:paraId="36DC835A" w14:textId="77777777" w:rsidR="00E86D30" w:rsidRDefault="00E86D30" w:rsidP="00E86D30">
            <w:pPr>
              <w:ind w:left="110" w:hanging="110"/>
              <w:jc w:val="right"/>
              <w:rPr>
                <w:rFonts w:ascii="Arial" w:hAnsi="Arial" w:cs="Arial"/>
                <w:lang w:val="it-IT"/>
              </w:rPr>
            </w:pPr>
            <w:r>
              <w:rPr>
                <w:rFonts w:ascii="Arial" w:hAnsi="Arial" w:cs="Arial"/>
                <w:lang w:val="it-IT"/>
              </w:rPr>
              <w:t>3,585</w:t>
            </w:r>
          </w:p>
        </w:tc>
        <w:tc>
          <w:tcPr>
            <w:tcW w:w="692" w:type="pct"/>
          </w:tcPr>
          <w:p w14:paraId="44A7E13F" w14:textId="77777777" w:rsidR="00E86D30" w:rsidRPr="000971B9" w:rsidRDefault="00E86D30" w:rsidP="00E86D30">
            <w:pPr>
              <w:ind w:left="110" w:hanging="110"/>
              <w:jc w:val="right"/>
              <w:rPr>
                <w:rFonts w:ascii="Arial" w:hAnsi="Arial" w:cs="Arial"/>
                <w:lang w:val="it-IT"/>
              </w:rPr>
            </w:pPr>
            <w:r>
              <w:rPr>
                <w:rFonts w:ascii="Arial" w:hAnsi="Arial" w:cs="Arial"/>
                <w:lang w:val="it-IT"/>
              </w:rPr>
              <w:t>49</w:t>
            </w:r>
          </w:p>
        </w:tc>
        <w:tc>
          <w:tcPr>
            <w:tcW w:w="693" w:type="pct"/>
          </w:tcPr>
          <w:p w14:paraId="777907A6" w14:textId="77777777" w:rsidR="00E86D30" w:rsidRPr="000971B9" w:rsidRDefault="00E86D30" w:rsidP="00E86D30">
            <w:pPr>
              <w:ind w:left="110" w:hanging="110"/>
              <w:jc w:val="right"/>
              <w:rPr>
                <w:rFonts w:ascii="Arial" w:hAnsi="Arial" w:cs="Arial"/>
                <w:lang w:val="it-IT"/>
              </w:rPr>
            </w:pPr>
            <w:r>
              <w:rPr>
                <w:rFonts w:ascii="Arial" w:hAnsi="Arial" w:cs="Arial"/>
                <w:lang w:val="it-IT"/>
              </w:rPr>
              <w:t>230</w:t>
            </w:r>
          </w:p>
        </w:tc>
        <w:tc>
          <w:tcPr>
            <w:tcW w:w="769" w:type="pct"/>
          </w:tcPr>
          <w:p w14:paraId="79275C5E" w14:textId="77777777" w:rsidR="00E86D30" w:rsidRDefault="009B6EE2" w:rsidP="00E86D30">
            <w:pPr>
              <w:ind w:left="110" w:hanging="110"/>
              <w:jc w:val="right"/>
              <w:rPr>
                <w:rFonts w:ascii="Arial" w:hAnsi="Arial" w:cs="Arial"/>
                <w:lang w:val="it-IT"/>
              </w:rPr>
            </w:pPr>
            <w:r>
              <w:rPr>
                <w:rFonts w:ascii="Arial" w:hAnsi="Arial" w:cs="Arial"/>
                <w:lang w:val="it-IT"/>
              </w:rPr>
              <w:t>4</w:t>
            </w:r>
          </w:p>
        </w:tc>
        <w:tc>
          <w:tcPr>
            <w:tcW w:w="770" w:type="pct"/>
          </w:tcPr>
          <w:p w14:paraId="760F8618" w14:textId="1E4DEE76" w:rsidR="00E86D30" w:rsidRDefault="001C43C3" w:rsidP="00E86D30">
            <w:pPr>
              <w:ind w:left="110" w:hanging="110"/>
              <w:jc w:val="right"/>
              <w:rPr>
                <w:rFonts w:ascii="Arial" w:hAnsi="Arial" w:cs="Arial"/>
                <w:lang w:val="it-IT"/>
              </w:rPr>
            </w:pPr>
            <w:r>
              <w:rPr>
                <w:rFonts w:ascii="Arial" w:hAnsi="Arial" w:cs="Arial"/>
                <w:lang w:val="it-IT"/>
              </w:rPr>
              <w:t>8.2</w:t>
            </w:r>
            <w:r w:rsidR="009B6EE2">
              <w:rPr>
                <w:rFonts w:ascii="Arial" w:hAnsi="Arial" w:cs="Arial"/>
                <w:lang w:val="it-IT"/>
              </w:rPr>
              <w:t>%</w:t>
            </w:r>
          </w:p>
        </w:tc>
      </w:tr>
      <w:tr w:rsidR="00E86D30" w:rsidRPr="000971B9" w14:paraId="06A74E34" w14:textId="77777777" w:rsidTr="003B2552">
        <w:tc>
          <w:tcPr>
            <w:tcW w:w="1306" w:type="pct"/>
            <w:tcBorders>
              <w:bottom w:val="single" w:sz="4" w:space="0" w:color="auto"/>
            </w:tcBorders>
          </w:tcPr>
          <w:p w14:paraId="0827E605" w14:textId="77777777" w:rsidR="00E86D30" w:rsidRPr="000971B9" w:rsidRDefault="00E86D30" w:rsidP="00E86D30">
            <w:pPr>
              <w:jc w:val="left"/>
              <w:rPr>
                <w:rFonts w:ascii="Arial" w:hAnsi="Arial" w:cs="Arial"/>
                <w:lang w:val="it-IT"/>
              </w:rPr>
            </w:pPr>
            <w:r>
              <w:rPr>
                <w:rFonts w:ascii="Arial" w:hAnsi="Arial" w:cs="Arial"/>
                <w:lang w:val="it-IT"/>
              </w:rPr>
              <w:t>Screwfix Germany</w:t>
            </w:r>
          </w:p>
        </w:tc>
        <w:tc>
          <w:tcPr>
            <w:tcW w:w="770" w:type="pct"/>
            <w:tcBorders>
              <w:bottom w:val="single" w:sz="4" w:space="0" w:color="auto"/>
            </w:tcBorders>
          </w:tcPr>
          <w:p w14:paraId="7DB00B41" w14:textId="77777777" w:rsidR="00E86D30" w:rsidRPr="000971B9" w:rsidRDefault="00E86D30" w:rsidP="00E86D30">
            <w:pPr>
              <w:ind w:left="110" w:hanging="110"/>
              <w:jc w:val="right"/>
              <w:rPr>
                <w:rFonts w:ascii="Arial" w:hAnsi="Arial" w:cs="Arial"/>
                <w:lang w:val="it-IT"/>
              </w:rPr>
            </w:pPr>
            <w:r>
              <w:rPr>
                <w:rFonts w:ascii="Arial" w:hAnsi="Arial" w:cs="Arial"/>
                <w:lang w:val="it-IT"/>
              </w:rPr>
              <w:t>78</w:t>
            </w:r>
          </w:p>
        </w:tc>
        <w:tc>
          <w:tcPr>
            <w:tcW w:w="692" w:type="pct"/>
            <w:tcBorders>
              <w:bottom w:val="single" w:sz="4" w:space="0" w:color="auto"/>
            </w:tcBorders>
          </w:tcPr>
          <w:p w14:paraId="65ACBAB7" w14:textId="77777777" w:rsidR="00E86D30" w:rsidRPr="000971B9" w:rsidRDefault="00E86D30" w:rsidP="00E86D30">
            <w:pPr>
              <w:ind w:left="110" w:hanging="110"/>
              <w:jc w:val="right"/>
              <w:rPr>
                <w:rFonts w:ascii="Arial" w:hAnsi="Arial" w:cs="Arial"/>
                <w:lang w:val="it-IT"/>
              </w:rPr>
            </w:pPr>
            <w:r w:rsidRPr="000971B9">
              <w:rPr>
                <w:rFonts w:ascii="Arial" w:hAnsi="Arial" w:cs="Arial"/>
                <w:lang w:val="it-IT"/>
              </w:rPr>
              <w:t>4</w:t>
            </w:r>
          </w:p>
        </w:tc>
        <w:tc>
          <w:tcPr>
            <w:tcW w:w="693" w:type="pct"/>
            <w:tcBorders>
              <w:bottom w:val="single" w:sz="4" w:space="0" w:color="auto"/>
            </w:tcBorders>
          </w:tcPr>
          <w:p w14:paraId="2E83F34C" w14:textId="77777777" w:rsidR="00E86D30" w:rsidRPr="000971B9" w:rsidRDefault="00E86D30" w:rsidP="00E86D30">
            <w:pPr>
              <w:ind w:left="110" w:hanging="110"/>
              <w:jc w:val="right"/>
              <w:rPr>
                <w:rFonts w:ascii="Arial" w:hAnsi="Arial" w:cs="Arial"/>
                <w:lang w:val="it-IT"/>
              </w:rPr>
            </w:pPr>
            <w:r>
              <w:rPr>
                <w:rFonts w:ascii="Arial" w:hAnsi="Arial" w:cs="Arial"/>
                <w:lang w:val="it-IT"/>
              </w:rPr>
              <w:t>1</w:t>
            </w:r>
          </w:p>
        </w:tc>
        <w:tc>
          <w:tcPr>
            <w:tcW w:w="769" w:type="pct"/>
            <w:tcBorders>
              <w:bottom w:val="single" w:sz="4" w:space="0" w:color="auto"/>
            </w:tcBorders>
          </w:tcPr>
          <w:p w14:paraId="171964E8" w14:textId="46B088E2" w:rsidR="00E86D30" w:rsidRDefault="005D74EE" w:rsidP="00E86D30">
            <w:pPr>
              <w:ind w:left="110" w:hanging="110"/>
              <w:jc w:val="right"/>
              <w:rPr>
                <w:rFonts w:ascii="Arial" w:hAnsi="Arial" w:cs="Arial"/>
                <w:lang w:val="it-IT"/>
              </w:rPr>
            </w:pPr>
            <w:r>
              <w:rPr>
                <w:rFonts w:ascii="Arial" w:hAnsi="Arial" w:cs="Arial"/>
                <w:lang w:val="it-IT"/>
              </w:rPr>
              <w:t>5</w:t>
            </w:r>
          </w:p>
        </w:tc>
        <w:tc>
          <w:tcPr>
            <w:tcW w:w="770" w:type="pct"/>
            <w:tcBorders>
              <w:bottom w:val="single" w:sz="4" w:space="0" w:color="auto"/>
            </w:tcBorders>
          </w:tcPr>
          <w:p w14:paraId="4440D7E5" w14:textId="575090B7" w:rsidR="00E86D30" w:rsidRDefault="00C957D2" w:rsidP="00E86D30">
            <w:pPr>
              <w:ind w:left="110" w:hanging="110"/>
              <w:jc w:val="right"/>
              <w:rPr>
                <w:rFonts w:ascii="Arial" w:hAnsi="Arial" w:cs="Arial"/>
                <w:lang w:val="it-IT"/>
              </w:rPr>
            </w:pPr>
            <w:r>
              <w:rPr>
                <w:rFonts w:ascii="Arial" w:hAnsi="Arial" w:cs="Arial"/>
                <w:lang w:val="it-IT"/>
              </w:rPr>
              <w:t>n/a</w:t>
            </w:r>
          </w:p>
        </w:tc>
      </w:tr>
      <w:tr w:rsidR="00E86D30" w:rsidRPr="000971B9" w14:paraId="45F204AE" w14:textId="77777777" w:rsidTr="003B2552">
        <w:tc>
          <w:tcPr>
            <w:tcW w:w="1306" w:type="pct"/>
            <w:tcBorders>
              <w:top w:val="single" w:sz="4" w:space="0" w:color="auto"/>
              <w:bottom w:val="single" w:sz="4" w:space="0" w:color="auto"/>
            </w:tcBorders>
          </w:tcPr>
          <w:p w14:paraId="5B6FC47B" w14:textId="77777777" w:rsidR="00E86D30" w:rsidRPr="000971B9" w:rsidRDefault="00E86D30" w:rsidP="00E86D30">
            <w:pPr>
              <w:jc w:val="left"/>
              <w:rPr>
                <w:rFonts w:ascii="Arial" w:hAnsi="Arial" w:cs="Arial"/>
                <w:b/>
                <w:bCs/>
              </w:rPr>
            </w:pPr>
            <w:r w:rsidRPr="000971B9">
              <w:rPr>
                <w:rFonts w:ascii="Arial" w:hAnsi="Arial" w:cs="Arial"/>
                <w:b/>
                <w:bCs/>
              </w:rPr>
              <w:t>Other International</w:t>
            </w:r>
          </w:p>
        </w:tc>
        <w:tc>
          <w:tcPr>
            <w:tcW w:w="770" w:type="pct"/>
            <w:tcBorders>
              <w:top w:val="single" w:sz="4" w:space="0" w:color="auto"/>
              <w:bottom w:val="single" w:sz="4" w:space="0" w:color="auto"/>
            </w:tcBorders>
          </w:tcPr>
          <w:p w14:paraId="69D1873C" w14:textId="77777777" w:rsidR="00E86D30" w:rsidRPr="000971B9" w:rsidRDefault="00E86D30" w:rsidP="00E86D30">
            <w:pPr>
              <w:ind w:left="110" w:hanging="110"/>
              <w:jc w:val="right"/>
              <w:rPr>
                <w:rFonts w:ascii="Arial" w:hAnsi="Arial" w:cs="Arial"/>
                <w:b/>
                <w:bCs/>
              </w:rPr>
            </w:pPr>
            <w:r w:rsidRPr="000971B9">
              <w:rPr>
                <w:rFonts w:ascii="Arial" w:hAnsi="Arial" w:cs="Arial"/>
                <w:b/>
                <w:bCs/>
              </w:rPr>
              <w:t>22,</w:t>
            </w:r>
            <w:r>
              <w:rPr>
                <w:rFonts w:ascii="Arial" w:hAnsi="Arial" w:cs="Arial"/>
                <w:b/>
                <w:bCs/>
              </w:rPr>
              <w:t>953</w:t>
            </w:r>
          </w:p>
        </w:tc>
        <w:tc>
          <w:tcPr>
            <w:tcW w:w="692" w:type="pct"/>
            <w:tcBorders>
              <w:top w:val="single" w:sz="4" w:space="0" w:color="auto"/>
              <w:bottom w:val="single" w:sz="4" w:space="0" w:color="auto"/>
            </w:tcBorders>
          </w:tcPr>
          <w:p w14:paraId="263DFFDC" w14:textId="77777777" w:rsidR="00E86D30" w:rsidRPr="000971B9" w:rsidRDefault="00E86D30" w:rsidP="00E86D30">
            <w:pPr>
              <w:ind w:left="110" w:hanging="110"/>
              <w:jc w:val="right"/>
              <w:rPr>
                <w:rFonts w:ascii="Arial" w:hAnsi="Arial" w:cs="Arial"/>
                <w:b/>
                <w:bCs/>
              </w:rPr>
            </w:pPr>
            <w:r w:rsidRPr="000971B9">
              <w:rPr>
                <w:rFonts w:ascii="Arial" w:hAnsi="Arial" w:cs="Arial"/>
                <w:b/>
                <w:bCs/>
              </w:rPr>
              <w:t>2</w:t>
            </w:r>
            <w:r>
              <w:rPr>
                <w:rFonts w:ascii="Arial" w:hAnsi="Arial" w:cs="Arial"/>
                <w:b/>
                <w:bCs/>
              </w:rPr>
              <w:t>30</w:t>
            </w:r>
          </w:p>
        </w:tc>
        <w:tc>
          <w:tcPr>
            <w:tcW w:w="693" w:type="pct"/>
            <w:tcBorders>
              <w:top w:val="single" w:sz="4" w:space="0" w:color="auto"/>
              <w:bottom w:val="single" w:sz="4" w:space="0" w:color="auto"/>
            </w:tcBorders>
          </w:tcPr>
          <w:p w14:paraId="338D6673" w14:textId="20B14881" w:rsidR="00E86D30" w:rsidRPr="000971B9" w:rsidRDefault="00E86D30">
            <w:pPr>
              <w:ind w:left="110" w:hanging="110"/>
              <w:jc w:val="right"/>
              <w:rPr>
                <w:rFonts w:ascii="Arial" w:hAnsi="Arial" w:cs="Arial"/>
                <w:b/>
                <w:bCs/>
              </w:rPr>
            </w:pPr>
            <w:r w:rsidRPr="000971B9">
              <w:rPr>
                <w:rFonts w:ascii="Arial" w:hAnsi="Arial" w:cs="Arial"/>
                <w:b/>
                <w:bCs/>
              </w:rPr>
              <w:t>1,</w:t>
            </w:r>
            <w:r w:rsidR="00AB10CC">
              <w:rPr>
                <w:rFonts w:ascii="Arial" w:hAnsi="Arial" w:cs="Arial"/>
                <w:b/>
                <w:bCs/>
              </w:rPr>
              <w:t>602</w:t>
            </w:r>
          </w:p>
        </w:tc>
        <w:tc>
          <w:tcPr>
            <w:tcW w:w="769" w:type="pct"/>
            <w:tcBorders>
              <w:top w:val="single" w:sz="4" w:space="0" w:color="auto"/>
              <w:bottom w:val="single" w:sz="4" w:space="0" w:color="auto"/>
            </w:tcBorders>
          </w:tcPr>
          <w:p w14:paraId="52A02736" w14:textId="7D8023D5" w:rsidR="00E86D30" w:rsidRPr="000971B9" w:rsidRDefault="00BD5B20" w:rsidP="00E86D30">
            <w:pPr>
              <w:ind w:left="110" w:hanging="110"/>
              <w:jc w:val="right"/>
              <w:rPr>
                <w:rFonts w:ascii="Arial" w:hAnsi="Arial" w:cs="Arial"/>
                <w:b/>
                <w:bCs/>
              </w:rPr>
            </w:pPr>
            <w:r>
              <w:rPr>
                <w:rFonts w:ascii="Arial" w:hAnsi="Arial" w:cs="Arial"/>
                <w:b/>
                <w:bCs/>
              </w:rPr>
              <w:t>1</w:t>
            </w:r>
            <w:r w:rsidR="005D74EE">
              <w:rPr>
                <w:rFonts w:ascii="Arial" w:hAnsi="Arial" w:cs="Arial"/>
                <w:b/>
                <w:bCs/>
              </w:rPr>
              <w:t>1</w:t>
            </w:r>
          </w:p>
        </w:tc>
        <w:tc>
          <w:tcPr>
            <w:tcW w:w="770" w:type="pct"/>
            <w:tcBorders>
              <w:top w:val="single" w:sz="4" w:space="0" w:color="auto"/>
              <w:bottom w:val="single" w:sz="4" w:space="0" w:color="auto"/>
            </w:tcBorders>
          </w:tcPr>
          <w:p w14:paraId="650D2FDC" w14:textId="5D421D64" w:rsidR="00E86D30" w:rsidRPr="000971B9" w:rsidRDefault="001C43C3" w:rsidP="00E86D30">
            <w:pPr>
              <w:ind w:left="110" w:hanging="110"/>
              <w:jc w:val="right"/>
              <w:rPr>
                <w:rFonts w:ascii="Arial" w:hAnsi="Arial" w:cs="Arial"/>
                <w:b/>
                <w:bCs/>
              </w:rPr>
            </w:pPr>
            <w:r>
              <w:rPr>
                <w:rFonts w:ascii="Arial" w:hAnsi="Arial" w:cs="Arial"/>
                <w:b/>
                <w:bCs/>
              </w:rPr>
              <w:t>2.1</w:t>
            </w:r>
            <w:r w:rsidR="00BD5B20">
              <w:rPr>
                <w:rFonts w:ascii="Arial" w:hAnsi="Arial" w:cs="Arial"/>
                <w:b/>
                <w:bCs/>
              </w:rPr>
              <w:t>%</w:t>
            </w:r>
          </w:p>
        </w:tc>
      </w:tr>
      <w:tr w:rsidR="00E86D30" w:rsidRPr="000971B9" w14:paraId="4796B703" w14:textId="77777777" w:rsidTr="003B2552">
        <w:tc>
          <w:tcPr>
            <w:tcW w:w="1306" w:type="pct"/>
            <w:tcBorders>
              <w:top w:val="single" w:sz="4" w:space="0" w:color="auto"/>
              <w:bottom w:val="single" w:sz="4" w:space="0" w:color="auto"/>
            </w:tcBorders>
          </w:tcPr>
          <w:p w14:paraId="70AA676B" w14:textId="77777777" w:rsidR="00E86D30" w:rsidRPr="000971B9" w:rsidRDefault="00E86D30" w:rsidP="00E86D30">
            <w:pPr>
              <w:spacing w:before="100"/>
              <w:ind w:left="108" w:hanging="108"/>
              <w:jc w:val="left"/>
              <w:rPr>
                <w:rFonts w:ascii="Arial" w:hAnsi="Arial" w:cs="Arial"/>
                <w:b/>
                <w:bCs/>
              </w:rPr>
            </w:pPr>
            <w:r w:rsidRPr="000971B9">
              <w:rPr>
                <w:rFonts w:ascii="Arial" w:hAnsi="Arial" w:cs="Arial"/>
                <w:b/>
                <w:bCs/>
              </w:rPr>
              <w:t>Total Group</w:t>
            </w:r>
          </w:p>
        </w:tc>
        <w:tc>
          <w:tcPr>
            <w:tcW w:w="770" w:type="pct"/>
            <w:tcBorders>
              <w:top w:val="single" w:sz="4" w:space="0" w:color="auto"/>
              <w:bottom w:val="single" w:sz="4" w:space="0" w:color="auto"/>
            </w:tcBorders>
          </w:tcPr>
          <w:p w14:paraId="544E5667" w14:textId="77777777" w:rsidR="00E86D30" w:rsidRPr="000971B9" w:rsidRDefault="00E86D30" w:rsidP="00E86D30">
            <w:pPr>
              <w:spacing w:before="100"/>
              <w:ind w:left="108" w:hanging="108"/>
              <w:jc w:val="right"/>
              <w:rPr>
                <w:rFonts w:ascii="Arial" w:hAnsi="Arial" w:cs="Arial"/>
                <w:b/>
                <w:bCs/>
              </w:rPr>
            </w:pPr>
            <w:r w:rsidRPr="000971B9">
              <w:rPr>
                <w:rFonts w:ascii="Arial" w:hAnsi="Arial" w:cs="Arial"/>
                <w:b/>
                <w:bCs/>
              </w:rPr>
              <w:t>66,</w:t>
            </w:r>
            <w:r>
              <w:rPr>
                <w:rFonts w:ascii="Arial" w:hAnsi="Arial" w:cs="Arial"/>
                <w:b/>
                <w:bCs/>
              </w:rPr>
              <w:t>673</w:t>
            </w:r>
          </w:p>
        </w:tc>
        <w:tc>
          <w:tcPr>
            <w:tcW w:w="692" w:type="pct"/>
            <w:tcBorders>
              <w:top w:val="single" w:sz="4" w:space="0" w:color="auto"/>
              <w:bottom w:val="single" w:sz="4" w:space="0" w:color="auto"/>
            </w:tcBorders>
          </w:tcPr>
          <w:p w14:paraId="5C5581DC" w14:textId="77777777" w:rsidR="00E86D30" w:rsidRPr="000971B9" w:rsidRDefault="00E86D30" w:rsidP="00E86D30">
            <w:pPr>
              <w:spacing w:before="100"/>
              <w:ind w:left="108" w:hanging="108"/>
              <w:jc w:val="right"/>
              <w:rPr>
                <w:rFonts w:ascii="Arial" w:hAnsi="Arial" w:cs="Arial"/>
                <w:b/>
                <w:bCs/>
              </w:rPr>
            </w:pPr>
            <w:r w:rsidRPr="000971B9">
              <w:rPr>
                <w:rFonts w:ascii="Arial" w:hAnsi="Arial" w:cs="Arial"/>
                <w:b/>
                <w:bCs/>
              </w:rPr>
              <w:t>1,</w:t>
            </w:r>
            <w:r>
              <w:rPr>
                <w:rFonts w:ascii="Arial" w:hAnsi="Arial" w:cs="Arial"/>
                <w:b/>
                <w:bCs/>
              </w:rPr>
              <w:t>202</w:t>
            </w:r>
          </w:p>
        </w:tc>
        <w:tc>
          <w:tcPr>
            <w:tcW w:w="693" w:type="pct"/>
            <w:tcBorders>
              <w:top w:val="single" w:sz="4" w:space="0" w:color="auto"/>
              <w:bottom w:val="single" w:sz="4" w:space="0" w:color="auto"/>
            </w:tcBorders>
          </w:tcPr>
          <w:p w14:paraId="5763C9F5" w14:textId="4C37519B" w:rsidR="00E86D30" w:rsidRPr="000971B9" w:rsidRDefault="00E86D30">
            <w:pPr>
              <w:spacing w:before="100"/>
              <w:ind w:left="108" w:hanging="108"/>
              <w:jc w:val="right"/>
              <w:rPr>
                <w:rFonts w:ascii="Arial" w:hAnsi="Arial" w:cs="Arial"/>
                <w:b/>
                <w:bCs/>
              </w:rPr>
            </w:pPr>
            <w:r w:rsidRPr="000971B9">
              <w:rPr>
                <w:rFonts w:ascii="Arial" w:hAnsi="Arial" w:cs="Arial"/>
                <w:b/>
                <w:bCs/>
              </w:rPr>
              <w:t>5,</w:t>
            </w:r>
            <w:r w:rsidR="00AB10CC">
              <w:rPr>
                <w:rFonts w:ascii="Arial" w:hAnsi="Arial" w:cs="Arial"/>
                <w:b/>
                <w:bCs/>
              </w:rPr>
              <w:t>956</w:t>
            </w:r>
          </w:p>
        </w:tc>
        <w:tc>
          <w:tcPr>
            <w:tcW w:w="769" w:type="pct"/>
            <w:tcBorders>
              <w:top w:val="single" w:sz="4" w:space="0" w:color="auto"/>
              <w:bottom w:val="single" w:sz="4" w:space="0" w:color="auto"/>
            </w:tcBorders>
          </w:tcPr>
          <w:p w14:paraId="2A47B191" w14:textId="37EBAB80" w:rsidR="00E86D30" w:rsidRPr="000971B9" w:rsidRDefault="00BD5B20" w:rsidP="00E86D30">
            <w:pPr>
              <w:spacing w:before="100"/>
              <w:ind w:left="108" w:hanging="108"/>
              <w:jc w:val="right"/>
              <w:rPr>
                <w:rFonts w:ascii="Arial" w:hAnsi="Arial" w:cs="Arial"/>
                <w:b/>
                <w:bCs/>
              </w:rPr>
            </w:pPr>
            <w:r>
              <w:rPr>
                <w:rFonts w:ascii="Arial" w:hAnsi="Arial" w:cs="Arial"/>
                <w:b/>
                <w:bCs/>
              </w:rPr>
              <w:t>4</w:t>
            </w:r>
            <w:r w:rsidR="005D74EE">
              <w:rPr>
                <w:rFonts w:ascii="Arial" w:hAnsi="Arial" w:cs="Arial"/>
                <w:b/>
                <w:bCs/>
              </w:rPr>
              <w:t>3</w:t>
            </w:r>
          </w:p>
        </w:tc>
        <w:tc>
          <w:tcPr>
            <w:tcW w:w="770" w:type="pct"/>
            <w:tcBorders>
              <w:top w:val="single" w:sz="4" w:space="0" w:color="auto"/>
              <w:bottom w:val="single" w:sz="4" w:space="0" w:color="auto"/>
            </w:tcBorders>
          </w:tcPr>
          <w:p w14:paraId="1B73E14B" w14:textId="4C6E6323" w:rsidR="00E86D30" w:rsidRPr="000971B9" w:rsidRDefault="00BD5B20">
            <w:pPr>
              <w:spacing w:before="100"/>
              <w:ind w:left="108" w:hanging="108"/>
              <w:jc w:val="right"/>
              <w:rPr>
                <w:rFonts w:ascii="Arial" w:hAnsi="Arial" w:cs="Arial"/>
                <w:b/>
                <w:bCs/>
              </w:rPr>
            </w:pPr>
            <w:r>
              <w:rPr>
                <w:rFonts w:ascii="Arial" w:hAnsi="Arial" w:cs="Arial"/>
                <w:b/>
                <w:bCs/>
              </w:rPr>
              <w:t>(2.</w:t>
            </w:r>
            <w:r w:rsidR="001C43C3">
              <w:rPr>
                <w:rFonts w:ascii="Arial" w:hAnsi="Arial" w:cs="Arial"/>
                <w:b/>
                <w:bCs/>
              </w:rPr>
              <w:t>2</w:t>
            </w:r>
            <w:r>
              <w:rPr>
                <w:rFonts w:ascii="Arial" w:hAnsi="Arial" w:cs="Arial"/>
                <w:b/>
                <w:bCs/>
              </w:rPr>
              <w:t>)%</w:t>
            </w:r>
          </w:p>
        </w:tc>
      </w:tr>
    </w:tbl>
    <w:p w14:paraId="7CF316CF" w14:textId="36BDE97D" w:rsidR="00782368" w:rsidRDefault="00782368" w:rsidP="00657B3E">
      <w:pPr>
        <w:jc w:val="left"/>
        <w:rPr>
          <w:rFonts w:ascii="Arial" w:hAnsi="Arial" w:cs="Arial"/>
          <w:bCs/>
          <w:vertAlign w:val="superscript"/>
        </w:rPr>
      </w:pPr>
      <w:bookmarkStart w:id="5" w:name="OLE_LINK1"/>
      <w:bookmarkStart w:id="6" w:name="OLE_LINK2"/>
      <w:r>
        <w:rPr>
          <w:rFonts w:ascii="Arial" w:hAnsi="Arial" w:cs="Arial"/>
          <w:bCs/>
          <w:vertAlign w:val="superscript"/>
        </w:rPr>
        <w:t>(1)</w:t>
      </w:r>
      <w:r w:rsidR="00566566">
        <w:rPr>
          <w:rFonts w:ascii="Arial" w:hAnsi="Arial" w:cs="Arial"/>
          <w:sz w:val="18"/>
          <w:szCs w:val="18"/>
        </w:rPr>
        <w:t xml:space="preserve"> Castorama France store transfer to Brico </w:t>
      </w:r>
      <w:r w:rsidR="00566566" w:rsidRPr="00566566">
        <w:rPr>
          <w:rFonts w:ascii="Arial" w:hAnsi="Arial" w:cs="Arial"/>
          <w:sz w:val="18"/>
          <w:szCs w:val="18"/>
        </w:rPr>
        <w:t>Dépôt</w:t>
      </w:r>
    </w:p>
    <w:p w14:paraId="75005223" w14:textId="33DDF504" w:rsidR="003B2552" w:rsidRPr="00657B3E" w:rsidRDefault="00782368" w:rsidP="00657B3E">
      <w:pPr>
        <w:jc w:val="left"/>
        <w:rPr>
          <w:rFonts w:ascii="Arial" w:hAnsi="Arial" w:cs="Arial"/>
          <w:bCs/>
          <w:sz w:val="24"/>
          <w:szCs w:val="24"/>
        </w:rPr>
      </w:pPr>
      <w:r>
        <w:rPr>
          <w:rFonts w:ascii="Arial" w:hAnsi="Arial" w:cs="Arial"/>
          <w:bCs/>
          <w:vertAlign w:val="superscript"/>
        </w:rPr>
        <w:t>(2</w:t>
      </w:r>
      <w:r w:rsidR="003B2552" w:rsidRPr="00762EFE">
        <w:rPr>
          <w:rFonts w:ascii="Arial" w:hAnsi="Arial" w:cs="Arial"/>
          <w:bCs/>
          <w:vertAlign w:val="superscript"/>
        </w:rPr>
        <w:t>)</w:t>
      </w:r>
      <w:r w:rsidR="003B2552" w:rsidRPr="00762EFE">
        <w:rPr>
          <w:rFonts w:ascii="Arial" w:hAnsi="Arial" w:cs="Arial"/>
          <w:bCs/>
          <w:sz w:val="18"/>
          <w:szCs w:val="18"/>
          <w:vertAlign w:val="superscript"/>
        </w:rPr>
        <w:t xml:space="preserve"> </w:t>
      </w:r>
      <w:r w:rsidR="003B2552" w:rsidRPr="00762EFE">
        <w:rPr>
          <w:rFonts w:ascii="Arial" w:hAnsi="Arial" w:cs="Arial"/>
          <w:sz w:val="18"/>
          <w:szCs w:val="18"/>
        </w:rPr>
        <w:t>Store closures expected to take place towards the end of FY 2015/16</w:t>
      </w:r>
    </w:p>
    <w:p w14:paraId="4C2AA4A7" w14:textId="77777777" w:rsidR="003464B5" w:rsidRDefault="003464B5" w:rsidP="00105A25">
      <w:pPr>
        <w:pStyle w:val="ListParagraph"/>
        <w:jc w:val="left"/>
        <w:rPr>
          <w:rFonts w:ascii="Arial" w:hAnsi="Arial" w:cs="Arial"/>
          <w:bCs/>
          <w:sz w:val="24"/>
          <w:szCs w:val="24"/>
        </w:rPr>
      </w:pPr>
    </w:p>
    <w:p w14:paraId="7EB986FA" w14:textId="77777777" w:rsidR="00E86D30" w:rsidRDefault="00E86D30" w:rsidP="0054624C">
      <w:pPr>
        <w:pStyle w:val="ListParagraph"/>
        <w:numPr>
          <w:ilvl w:val="0"/>
          <w:numId w:val="30"/>
        </w:numPr>
        <w:jc w:val="left"/>
        <w:rPr>
          <w:rFonts w:ascii="Arial" w:hAnsi="Arial" w:cs="Arial"/>
          <w:bCs/>
          <w:sz w:val="24"/>
          <w:szCs w:val="24"/>
        </w:rPr>
      </w:pPr>
      <w:r>
        <w:rPr>
          <w:rFonts w:ascii="Arial" w:hAnsi="Arial" w:cs="Arial"/>
          <w:bCs/>
          <w:sz w:val="24"/>
          <w:szCs w:val="24"/>
        </w:rPr>
        <w:t>Income statement:</w:t>
      </w:r>
    </w:p>
    <w:p w14:paraId="1BBBD2EC" w14:textId="77777777" w:rsidR="004B376D" w:rsidRDefault="004B376D" w:rsidP="005C52B9">
      <w:pPr>
        <w:pStyle w:val="ListParagraph"/>
        <w:jc w:val="left"/>
        <w:rPr>
          <w:rFonts w:ascii="Arial" w:hAnsi="Arial" w:cs="Arial"/>
          <w:bCs/>
          <w:sz w:val="24"/>
          <w:szCs w:val="24"/>
        </w:rPr>
      </w:pPr>
    </w:p>
    <w:p w14:paraId="2E7C0E05" w14:textId="77777777" w:rsidR="00E86D30" w:rsidRPr="005C3C80" w:rsidRDefault="00BD5B20" w:rsidP="0054624C">
      <w:pPr>
        <w:pStyle w:val="ListParagraph"/>
        <w:numPr>
          <w:ilvl w:val="1"/>
          <w:numId w:val="30"/>
        </w:numPr>
        <w:jc w:val="left"/>
        <w:rPr>
          <w:rFonts w:ascii="Arial" w:hAnsi="Arial" w:cs="Arial"/>
          <w:bCs/>
          <w:sz w:val="24"/>
          <w:szCs w:val="24"/>
        </w:rPr>
      </w:pPr>
      <w:r w:rsidRPr="000E792C">
        <w:rPr>
          <w:rFonts w:ascii="Arial" w:hAnsi="Arial" w:cs="Arial"/>
          <w:bCs/>
          <w:sz w:val="24"/>
          <w:szCs w:val="24"/>
        </w:rPr>
        <w:t>Retail l</w:t>
      </w:r>
      <w:r w:rsidR="007E2299" w:rsidRPr="000E792C">
        <w:rPr>
          <w:rFonts w:ascii="Arial" w:hAnsi="Arial" w:cs="Arial"/>
          <w:bCs/>
          <w:sz w:val="24"/>
          <w:szCs w:val="24"/>
        </w:rPr>
        <w:t>osses f</w:t>
      </w:r>
      <w:r w:rsidR="00287573" w:rsidRPr="000E792C">
        <w:rPr>
          <w:rFonts w:ascii="Arial" w:hAnsi="Arial" w:cs="Arial"/>
          <w:bCs/>
          <w:sz w:val="24"/>
          <w:szCs w:val="24"/>
        </w:rPr>
        <w:t xml:space="preserve">rom new country development activity expected to be around half </w:t>
      </w:r>
      <w:r w:rsidR="006A21E0" w:rsidRPr="000E792C">
        <w:rPr>
          <w:rFonts w:ascii="Arial" w:hAnsi="Arial" w:cs="Arial"/>
          <w:bCs/>
          <w:sz w:val="24"/>
          <w:szCs w:val="24"/>
        </w:rPr>
        <w:t xml:space="preserve">that </w:t>
      </w:r>
      <w:r w:rsidR="00287573" w:rsidRPr="000E792C">
        <w:rPr>
          <w:rFonts w:ascii="Arial" w:hAnsi="Arial" w:cs="Arial"/>
          <w:bCs/>
          <w:sz w:val="24"/>
          <w:szCs w:val="24"/>
        </w:rPr>
        <w:t xml:space="preserve">of </w:t>
      </w:r>
      <w:r w:rsidR="005C3C80">
        <w:rPr>
          <w:rFonts w:ascii="Arial" w:hAnsi="Arial" w:cs="Arial"/>
          <w:bCs/>
          <w:sz w:val="24"/>
          <w:szCs w:val="24"/>
        </w:rPr>
        <w:t xml:space="preserve">FY </w:t>
      </w:r>
      <w:r w:rsidR="00287573" w:rsidRPr="000E792C">
        <w:rPr>
          <w:rFonts w:ascii="Arial" w:hAnsi="Arial" w:cs="Arial"/>
          <w:bCs/>
          <w:sz w:val="24"/>
          <w:szCs w:val="24"/>
        </w:rPr>
        <w:t>2014/15</w:t>
      </w:r>
      <w:r w:rsidR="005C3C80">
        <w:rPr>
          <w:rFonts w:ascii="Arial" w:hAnsi="Arial" w:cs="Arial"/>
          <w:bCs/>
          <w:sz w:val="24"/>
          <w:szCs w:val="24"/>
        </w:rPr>
        <w:t xml:space="preserve"> of £22 million</w:t>
      </w:r>
      <w:r w:rsidR="00287573" w:rsidRPr="000E792C">
        <w:rPr>
          <w:rFonts w:ascii="Arial" w:hAnsi="Arial" w:cs="Arial"/>
          <w:bCs/>
          <w:sz w:val="24"/>
          <w:szCs w:val="24"/>
        </w:rPr>
        <w:t xml:space="preserve"> </w:t>
      </w:r>
    </w:p>
    <w:p w14:paraId="6832B08D" w14:textId="014291DC" w:rsidR="00327C39" w:rsidRDefault="00E86D30" w:rsidP="0054624C">
      <w:pPr>
        <w:pStyle w:val="ListParagraph"/>
        <w:numPr>
          <w:ilvl w:val="1"/>
          <w:numId w:val="30"/>
        </w:numPr>
        <w:jc w:val="left"/>
        <w:rPr>
          <w:rFonts w:ascii="Arial" w:hAnsi="Arial" w:cs="Arial"/>
          <w:bCs/>
          <w:sz w:val="24"/>
          <w:szCs w:val="24"/>
        </w:rPr>
      </w:pPr>
      <w:r>
        <w:rPr>
          <w:rFonts w:ascii="Arial" w:hAnsi="Arial" w:cs="Arial"/>
          <w:bCs/>
          <w:sz w:val="24"/>
          <w:szCs w:val="24"/>
        </w:rPr>
        <w:t>Group i</w:t>
      </w:r>
      <w:r w:rsidR="00327C39">
        <w:rPr>
          <w:rFonts w:ascii="Arial" w:hAnsi="Arial" w:cs="Arial"/>
          <w:bCs/>
          <w:sz w:val="24"/>
          <w:szCs w:val="24"/>
        </w:rPr>
        <w:t>nterest</w:t>
      </w:r>
      <w:r w:rsidR="00566566">
        <w:rPr>
          <w:rFonts w:ascii="Arial" w:hAnsi="Arial" w:cs="Arial"/>
          <w:bCs/>
          <w:sz w:val="24"/>
          <w:szCs w:val="24"/>
        </w:rPr>
        <w:t xml:space="preserve"> </w:t>
      </w:r>
      <w:r w:rsidR="0056355B" w:rsidRPr="00657B3E">
        <w:rPr>
          <w:rFonts w:ascii="Arial" w:hAnsi="Arial" w:cs="Arial"/>
          <w:bCs/>
          <w:sz w:val="24"/>
          <w:szCs w:val="24"/>
          <w:vertAlign w:val="superscript"/>
        </w:rPr>
        <w:t>(</w:t>
      </w:r>
      <w:r w:rsidR="005505B9" w:rsidRPr="00657B3E">
        <w:rPr>
          <w:rFonts w:ascii="Arial" w:hAnsi="Arial" w:cs="Arial"/>
          <w:bCs/>
          <w:sz w:val="24"/>
          <w:szCs w:val="24"/>
          <w:vertAlign w:val="superscript"/>
        </w:rPr>
        <w:t>1</w:t>
      </w:r>
      <w:r w:rsidR="0056355B" w:rsidRPr="00657B3E">
        <w:rPr>
          <w:rFonts w:ascii="Arial" w:hAnsi="Arial" w:cs="Arial"/>
          <w:bCs/>
          <w:sz w:val="24"/>
          <w:szCs w:val="24"/>
          <w:vertAlign w:val="superscript"/>
        </w:rPr>
        <w:t>)</w:t>
      </w:r>
      <w:r w:rsidR="00327C39">
        <w:rPr>
          <w:rFonts w:ascii="Arial" w:hAnsi="Arial" w:cs="Arial"/>
          <w:bCs/>
          <w:sz w:val="24"/>
          <w:szCs w:val="24"/>
        </w:rPr>
        <w:t xml:space="preserve"> </w:t>
      </w:r>
      <w:r>
        <w:rPr>
          <w:rFonts w:ascii="Arial" w:hAnsi="Arial" w:cs="Arial"/>
          <w:bCs/>
          <w:sz w:val="24"/>
          <w:szCs w:val="24"/>
        </w:rPr>
        <w:t>charge is expected to</w:t>
      </w:r>
      <w:r w:rsidR="00327C39">
        <w:rPr>
          <w:rFonts w:ascii="Arial" w:hAnsi="Arial" w:cs="Arial"/>
          <w:bCs/>
          <w:sz w:val="24"/>
          <w:szCs w:val="24"/>
        </w:rPr>
        <w:t xml:space="preserve"> </w:t>
      </w:r>
      <w:r w:rsidR="00327C39" w:rsidRPr="004C3893">
        <w:rPr>
          <w:rFonts w:ascii="Arial" w:hAnsi="Arial" w:cs="Arial"/>
          <w:bCs/>
          <w:sz w:val="24"/>
          <w:szCs w:val="24"/>
        </w:rPr>
        <w:t>be around £</w:t>
      </w:r>
      <w:r w:rsidR="00BC7493">
        <w:rPr>
          <w:rFonts w:ascii="Arial" w:hAnsi="Arial" w:cs="Arial"/>
          <w:bCs/>
          <w:sz w:val="24"/>
          <w:szCs w:val="24"/>
        </w:rPr>
        <w:t>10</w:t>
      </w:r>
      <w:r w:rsidR="007E2299" w:rsidRPr="004C3893">
        <w:rPr>
          <w:rFonts w:ascii="Arial" w:hAnsi="Arial" w:cs="Arial"/>
          <w:bCs/>
          <w:sz w:val="24"/>
          <w:szCs w:val="24"/>
        </w:rPr>
        <w:t xml:space="preserve"> </w:t>
      </w:r>
      <w:r w:rsidR="00327C39" w:rsidRPr="004C3893">
        <w:rPr>
          <w:rFonts w:ascii="Arial" w:hAnsi="Arial" w:cs="Arial"/>
          <w:bCs/>
          <w:sz w:val="24"/>
          <w:szCs w:val="24"/>
        </w:rPr>
        <w:t>m</w:t>
      </w:r>
      <w:r w:rsidR="007E2299" w:rsidRPr="004C3893">
        <w:rPr>
          <w:rFonts w:ascii="Arial" w:hAnsi="Arial" w:cs="Arial"/>
          <w:bCs/>
          <w:sz w:val="24"/>
          <w:szCs w:val="24"/>
        </w:rPr>
        <w:t>illion</w:t>
      </w:r>
      <w:r w:rsidR="00327C39">
        <w:rPr>
          <w:rFonts w:ascii="Arial" w:hAnsi="Arial" w:cs="Arial"/>
          <w:bCs/>
          <w:sz w:val="24"/>
          <w:szCs w:val="24"/>
        </w:rPr>
        <w:t xml:space="preserve"> </w:t>
      </w:r>
    </w:p>
    <w:p w14:paraId="7BAC1026" w14:textId="31EC4A30" w:rsidR="001C41B3" w:rsidRDefault="007E2299" w:rsidP="00BF45AF">
      <w:pPr>
        <w:pStyle w:val="ListParagraph"/>
        <w:numPr>
          <w:ilvl w:val="1"/>
          <w:numId w:val="30"/>
        </w:numPr>
        <w:jc w:val="left"/>
        <w:rPr>
          <w:rFonts w:ascii="Arial" w:hAnsi="Arial" w:cs="Arial"/>
          <w:bCs/>
          <w:sz w:val="24"/>
          <w:szCs w:val="24"/>
        </w:rPr>
      </w:pPr>
      <w:r>
        <w:rPr>
          <w:rFonts w:ascii="Arial" w:hAnsi="Arial" w:cs="Arial"/>
          <w:bCs/>
          <w:sz w:val="24"/>
          <w:szCs w:val="24"/>
        </w:rPr>
        <w:t xml:space="preserve">China will be treated as an </w:t>
      </w:r>
      <w:r w:rsidR="005505B9">
        <w:rPr>
          <w:rFonts w:ascii="Arial" w:hAnsi="Arial" w:cs="Arial"/>
          <w:bCs/>
          <w:sz w:val="24"/>
          <w:szCs w:val="24"/>
        </w:rPr>
        <w:t>investment</w:t>
      </w:r>
      <w:r>
        <w:rPr>
          <w:rFonts w:ascii="Arial" w:hAnsi="Arial" w:cs="Arial"/>
          <w:bCs/>
          <w:sz w:val="24"/>
          <w:szCs w:val="24"/>
        </w:rPr>
        <w:t xml:space="preserve">, </w:t>
      </w:r>
      <w:r w:rsidR="00BF45AF" w:rsidRPr="00BF45AF">
        <w:rPr>
          <w:rFonts w:ascii="Arial" w:hAnsi="Arial" w:cs="Arial"/>
          <w:bCs/>
          <w:sz w:val="24"/>
          <w:szCs w:val="24"/>
        </w:rPr>
        <w:t xml:space="preserve">hence its operating </w:t>
      </w:r>
      <w:r w:rsidR="001C43C3">
        <w:rPr>
          <w:rFonts w:ascii="Arial" w:hAnsi="Arial" w:cs="Arial"/>
          <w:bCs/>
          <w:sz w:val="24"/>
          <w:szCs w:val="24"/>
        </w:rPr>
        <w:t>results</w:t>
      </w:r>
      <w:r w:rsidR="00BF45AF" w:rsidRPr="00BF45AF">
        <w:rPr>
          <w:rFonts w:ascii="Arial" w:hAnsi="Arial" w:cs="Arial"/>
          <w:bCs/>
          <w:sz w:val="24"/>
          <w:szCs w:val="24"/>
        </w:rPr>
        <w:t xml:space="preserve"> will not be consolidated within Group retail profit</w:t>
      </w:r>
      <w:r w:rsidR="00BF45AF" w:rsidRPr="00BF45AF" w:rsidDel="00BF45AF">
        <w:rPr>
          <w:rFonts w:ascii="Arial" w:hAnsi="Arial" w:cs="Arial"/>
          <w:bCs/>
          <w:sz w:val="24"/>
          <w:szCs w:val="24"/>
        </w:rPr>
        <w:t xml:space="preserve"> </w:t>
      </w:r>
      <w:r w:rsidRPr="00657B3E">
        <w:rPr>
          <w:rFonts w:ascii="Arial" w:hAnsi="Arial" w:cs="Arial"/>
          <w:bCs/>
          <w:sz w:val="24"/>
          <w:szCs w:val="24"/>
          <w:vertAlign w:val="superscript"/>
        </w:rPr>
        <w:t>(</w:t>
      </w:r>
      <w:r w:rsidR="005505B9" w:rsidRPr="00657B3E">
        <w:rPr>
          <w:rFonts w:ascii="Arial" w:hAnsi="Arial" w:cs="Arial"/>
          <w:bCs/>
          <w:sz w:val="24"/>
          <w:szCs w:val="24"/>
          <w:vertAlign w:val="superscript"/>
        </w:rPr>
        <w:t>2</w:t>
      </w:r>
      <w:r w:rsidRPr="00657B3E">
        <w:rPr>
          <w:rFonts w:ascii="Arial" w:hAnsi="Arial" w:cs="Arial"/>
          <w:bCs/>
          <w:sz w:val="24"/>
          <w:szCs w:val="24"/>
          <w:vertAlign w:val="superscript"/>
        </w:rPr>
        <w:t>)</w:t>
      </w:r>
      <w:r w:rsidR="001C41B3" w:rsidRPr="00105A25">
        <w:rPr>
          <w:rFonts w:ascii="Arial" w:hAnsi="Arial" w:cs="Arial"/>
          <w:bCs/>
          <w:sz w:val="24"/>
          <w:szCs w:val="24"/>
        </w:rPr>
        <w:t xml:space="preserve"> </w:t>
      </w:r>
    </w:p>
    <w:p w14:paraId="12F47679" w14:textId="0E212877" w:rsidR="001C41B3" w:rsidRPr="006C2C39" w:rsidRDefault="001C41B3">
      <w:pPr>
        <w:pStyle w:val="ListParagraph"/>
        <w:numPr>
          <w:ilvl w:val="1"/>
          <w:numId w:val="30"/>
        </w:numPr>
        <w:jc w:val="left"/>
        <w:rPr>
          <w:rFonts w:ascii="Arial" w:hAnsi="Arial" w:cs="Arial"/>
          <w:bCs/>
          <w:sz w:val="24"/>
          <w:szCs w:val="24"/>
        </w:rPr>
      </w:pPr>
      <w:r>
        <w:rPr>
          <w:rFonts w:ascii="Arial" w:hAnsi="Arial" w:cs="Arial"/>
          <w:bCs/>
          <w:sz w:val="24"/>
          <w:szCs w:val="24"/>
        </w:rPr>
        <w:t xml:space="preserve">Corporation tax rate is expected to </w:t>
      </w:r>
      <w:r w:rsidRPr="005C3C80">
        <w:rPr>
          <w:rFonts w:ascii="Arial" w:hAnsi="Arial" w:cs="Arial"/>
          <w:bCs/>
          <w:sz w:val="24"/>
          <w:szCs w:val="24"/>
        </w:rPr>
        <w:t xml:space="preserve">be broadly flat at </w:t>
      </w:r>
      <w:r w:rsidR="008B718B">
        <w:rPr>
          <w:rFonts w:ascii="Arial" w:hAnsi="Arial" w:cs="Arial"/>
          <w:bCs/>
          <w:sz w:val="24"/>
          <w:szCs w:val="24"/>
        </w:rPr>
        <w:t>26-</w:t>
      </w:r>
      <w:r w:rsidRPr="005C3C80">
        <w:rPr>
          <w:rFonts w:ascii="Arial" w:hAnsi="Arial" w:cs="Arial"/>
          <w:bCs/>
          <w:sz w:val="24"/>
          <w:szCs w:val="24"/>
        </w:rPr>
        <w:t>27%</w:t>
      </w:r>
      <w:r w:rsidR="005F081C" w:rsidRPr="005C3C80">
        <w:rPr>
          <w:rFonts w:ascii="Arial" w:hAnsi="Arial" w:cs="Arial"/>
          <w:bCs/>
          <w:sz w:val="24"/>
          <w:szCs w:val="24"/>
        </w:rPr>
        <w:t>,</w:t>
      </w:r>
      <w:r w:rsidR="005F081C">
        <w:rPr>
          <w:rFonts w:ascii="Arial" w:hAnsi="Arial" w:cs="Arial"/>
          <w:bCs/>
          <w:sz w:val="24"/>
          <w:szCs w:val="24"/>
        </w:rPr>
        <w:t xml:space="preserve"> subject to the blend of tax rates and profit within the companies various jurisdictions</w:t>
      </w:r>
      <w:r>
        <w:rPr>
          <w:rFonts w:ascii="Arial" w:hAnsi="Arial" w:cs="Arial"/>
          <w:bCs/>
          <w:sz w:val="24"/>
          <w:szCs w:val="24"/>
        </w:rPr>
        <w:t xml:space="preserve"> </w:t>
      </w:r>
    </w:p>
    <w:p w14:paraId="4771AC64" w14:textId="48CCB065" w:rsidR="007E2299" w:rsidRPr="00BC7493" w:rsidRDefault="007E2299" w:rsidP="00566566">
      <w:pPr>
        <w:pStyle w:val="ListParagraph"/>
        <w:numPr>
          <w:ilvl w:val="1"/>
          <w:numId w:val="30"/>
        </w:numPr>
        <w:jc w:val="left"/>
        <w:rPr>
          <w:rFonts w:ascii="Arial" w:hAnsi="Arial" w:cs="Arial"/>
          <w:bCs/>
          <w:sz w:val="24"/>
          <w:szCs w:val="24"/>
        </w:rPr>
      </w:pPr>
      <w:r w:rsidRPr="00506D26">
        <w:rPr>
          <w:rFonts w:ascii="Arial" w:hAnsi="Arial" w:cs="Arial"/>
          <w:bCs/>
          <w:sz w:val="24"/>
          <w:szCs w:val="24"/>
        </w:rPr>
        <w:t xml:space="preserve">IFRIC </w:t>
      </w:r>
      <w:r w:rsidR="005505B9">
        <w:rPr>
          <w:rFonts w:ascii="Arial" w:hAnsi="Arial" w:cs="Arial"/>
          <w:bCs/>
          <w:sz w:val="24"/>
          <w:szCs w:val="24"/>
        </w:rPr>
        <w:t xml:space="preserve">21 will impact phasing of </w:t>
      </w:r>
      <w:r w:rsidR="002468B9">
        <w:rPr>
          <w:rFonts w:ascii="Arial" w:hAnsi="Arial" w:cs="Arial"/>
          <w:bCs/>
          <w:sz w:val="24"/>
          <w:szCs w:val="24"/>
        </w:rPr>
        <w:t xml:space="preserve">certain </w:t>
      </w:r>
      <w:r w:rsidR="005505B9">
        <w:rPr>
          <w:rFonts w:ascii="Arial" w:hAnsi="Arial" w:cs="Arial"/>
          <w:bCs/>
          <w:sz w:val="24"/>
          <w:szCs w:val="24"/>
        </w:rPr>
        <w:t xml:space="preserve">French levies </w:t>
      </w:r>
      <w:r w:rsidR="00566566">
        <w:rPr>
          <w:rFonts w:ascii="Arial" w:hAnsi="Arial" w:cs="Arial"/>
          <w:bCs/>
          <w:sz w:val="24"/>
          <w:szCs w:val="24"/>
        </w:rPr>
        <w:t xml:space="preserve"> </w:t>
      </w:r>
      <w:r w:rsidR="00BC7493" w:rsidRPr="00BC7493">
        <w:rPr>
          <w:rFonts w:ascii="Arial" w:hAnsi="Arial" w:cs="Arial"/>
          <w:sz w:val="24"/>
          <w:szCs w:val="24"/>
        </w:rPr>
        <w:t>resulting in a year</w:t>
      </w:r>
      <w:r w:rsidR="00B13D19">
        <w:rPr>
          <w:rFonts w:ascii="Arial" w:hAnsi="Arial" w:cs="Arial"/>
          <w:sz w:val="24"/>
          <w:szCs w:val="24"/>
        </w:rPr>
        <w:t xml:space="preserve"> </w:t>
      </w:r>
      <w:r w:rsidR="00BC7493" w:rsidRPr="00BC7493">
        <w:rPr>
          <w:rFonts w:ascii="Arial" w:hAnsi="Arial" w:cs="Arial"/>
          <w:sz w:val="24"/>
          <w:szCs w:val="24"/>
        </w:rPr>
        <w:t>on</w:t>
      </w:r>
      <w:r w:rsidR="00B13D19">
        <w:rPr>
          <w:rFonts w:ascii="Arial" w:hAnsi="Arial" w:cs="Arial"/>
          <w:sz w:val="24"/>
          <w:szCs w:val="24"/>
        </w:rPr>
        <w:t xml:space="preserve"> </w:t>
      </w:r>
      <w:r w:rsidR="00BC7493" w:rsidRPr="00BC7493">
        <w:rPr>
          <w:rFonts w:ascii="Arial" w:hAnsi="Arial" w:cs="Arial"/>
          <w:sz w:val="24"/>
          <w:szCs w:val="24"/>
        </w:rPr>
        <w:t xml:space="preserve">year reduction in operating costs in Q1 to Q3 of </w:t>
      </w:r>
      <w:r w:rsidR="002468B9">
        <w:rPr>
          <w:rFonts w:ascii="Arial" w:hAnsi="Arial" w:cs="Arial"/>
          <w:sz w:val="24"/>
          <w:szCs w:val="24"/>
        </w:rPr>
        <w:t xml:space="preserve">around </w:t>
      </w:r>
      <w:r w:rsidR="00BC7493" w:rsidRPr="00BC7493">
        <w:rPr>
          <w:rFonts w:ascii="Arial" w:hAnsi="Arial" w:cs="Arial"/>
          <w:sz w:val="24"/>
          <w:szCs w:val="24"/>
        </w:rPr>
        <w:t>£9</w:t>
      </w:r>
      <w:r w:rsidR="002468B9">
        <w:rPr>
          <w:rFonts w:ascii="Arial" w:hAnsi="Arial" w:cs="Arial"/>
          <w:sz w:val="24"/>
          <w:szCs w:val="24"/>
        </w:rPr>
        <w:t xml:space="preserve"> </w:t>
      </w:r>
      <w:r w:rsidR="00BC7493" w:rsidRPr="00BC7493">
        <w:rPr>
          <w:rFonts w:ascii="Arial" w:hAnsi="Arial" w:cs="Arial"/>
          <w:sz w:val="24"/>
          <w:szCs w:val="24"/>
        </w:rPr>
        <w:t>m</w:t>
      </w:r>
      <w:r w:rsidR="002468B9">
        <w:rPr>
          <w:rFonts w:ascii="Arial" w:hAnsi="Arial" w:cs="Arial"/>
          <w:sz w:val="24"/>
          <w:szCs w:val="24"/>
        </w:rPr>
        <w:t>illion</w:t>
      </w:r>
      <w:r w:rsidR="00BC7493" w:rsidRPr="00BC7493">
        <w:rPr>
          <w:rFonts w:ascii="Arial" w:hAnsi="Arial" w:cs="Arial"/>
          <w:sz w:val="24"/>
          <w:szCs w:val="24"/>
        </w:rPr>
        <w:t xml:space="preserve"> per quarter and an increase in Q4 of </w:t>
      </w:r>
      <w:r w:rsidR="002468B9">
        <w:rPr>
          <w:rFonts w:ascii="Arial" w:hAnsi="Arial" w:cs="Arial"/>
          <w:sz w:val="24"/>
          <w:szCs w:val="24"/>
        </w:rPr>
        <w:t xml:space="preserve">around </w:t>
      </w:r>
      <w:r w:rsidR="00BC7493" w:rsidRPr="00BC7493">
        <w:rPr>
          <w:rFonts w:ascii="Arial" w:hAnsi="Arial" w:cs="Arial"/>
          <w:sz w:val="24"/>
          <w:szCs w:val="24"/>
        </w:rPr>
        <w:t>£27</w:t>
      </w:r>
      <w:r w:rsidR="002468B9">
        <w:rPr>
          <w:rFonts w:ascii="Arial" w:hAnsi="Arial" w:cs="Arial"/>
          <w:sz w:val="24"/>
          <w:szCs w:val="24"/>
        </w:rPr>
        <w:t xml:space="preserve"> million</w:t>
      </w:r>
      <w:r w:rsidR="00BC7493" w:rsidRPr="00BC7493">
        <w:rPr>
          <w:rFonts w:ascii="Arial" w:hAnsi="Arial" w:cs="Arial"/>
          <w:sz w:val="24"/>
          <w:szCs w:val="24"/>
        </w:rPr>
        <w:t>.</w:t>
      </w:r>
      <w:r w:rsidR="005505B9" w:rsidRPr="00BC7493">
        <w:rPr>
          <w:rFonts w:ascii="Arial" w:hAnsi="Arial" w:cs="Arial"/>
          <w:bCs/>
          <w:sz w:val="24"/>
          <w:szCs w:val="24"/>
        </w:rPr>
        <w:t xml:space="preserve"> </w:t>
      </w:r>
      <w:r w:rsidRPr="00BC7493">
        <w:rPr>
          <w:rFonts w:ascii="Arial" w:hAnsi="Arial" w:cs="Arial"/>
          <w:bCs/>
          <w:sz w:val="24"/>
          <w:szCs w:val="24"/>
          <w:vertAlign w:val="superscript"/>
        </w:rPr>
        <w:t>(</w:t>
      </w:r>
      <w:r w:rsidR="00972B11" w:rsidRPr="00BC7493">
        <w:rPr>
          <w:rFonts w:ascii="Arial" w:hAnsi="Arial" w:cs="Arial"/>
          <w:bCs/>
          <w:sz w:val="24"/>
          <w:szCs w:val="24"/>
          <w:vertAlign w:val="superscript"/>
        </w:rPr>
        <w:t>2</w:t>
      </w:r>
      <w:r w:rsidR="005505B9" w:rsidRPr="00BC7493">
        <w:rPr>
          <w:rFonts w:ascii="Arial" w:hAnsi="Arial" w:cs="Arial"/>
          <w:bCs/>
          <w:sz w:val="24"/>
          <w:szCs w:val="24"/>
          <w:vertAlign w:val="superscript"/>
        </w:rPr>
        <w:t>&amp;</w:t>
      </w:r>
      <w:r w:rsidR="00972B11" w:rsidRPr="00BC7493">
        <w:rPr>
          <w:rFonts w:ascii="Arial" w:hAnsi="Arial" w:cs="Arial"/>
          <w:bCs/>
          <w:sz w:val="24"/>
          <w:szCs w:val="24"/>
          <w:vertAlign w:val="superscript"/>
        </w:rPr>
        <w:t>3</w:t>
      </w:r>
      <w:r w:rsidRPr="00BC7493">
        <w:rPr>
          <w:rFonts w:ascii="Arial" w:hAnsi="Arial" w:cs="Arial"/>
          <w:bCs/>
          <w:sz w:val="24"/>
          <w:szCs w:val="24"/>
          <w:vertAlign w:val="superscript"/>
        </w:rPr>
        <w:t>)</w:t>
      </w:r>
    </w:p>
    <w:p w14:paraId="6EEF4726" w14:textId="77777777" w:rsidR="001E549F" w:rsidRDefault="001E549F" w:rsidP="006C2C39">
      <w:pPr>
        <w:pStyle w:val="ListParagraph"/>
        <w:numPr>
          <w:ilvl w:val="1"/>
          <w:numId w:val="30"/>
        </w:numPr>
        <w:jc w:val="left"/>
        <w:rPr>
          <w:rFonts w:ascii="Arial" w:hAnsi="Arial" w:cs="Arial"/>
          <w:bCs/>
          <w:sz w:val="24"/>
          <w:szCs w:val="24"/>
        </w:rPr>
      </w:pPr>
      <w:r>
        <w:rPr>
          <w:rFonts w:ascii="Arial" w:hAnsi="Arial" w:cs="Arial"/>
          <w:bCs/>
          <w:sz w:val="24"/>
          <w:szCs w:val="24"/>
        </w:rPr>
        <w:t>B&amp;Q closures:</w:t>
      </w:r>
    </w:p>
    <w:p w14:paraId="6C89804D" w14:textId="1FF7AB79" w:rsidR="001E549F" w:rsidRDefault="001E549F" w:rsidP="000E792C">
      <w:pPr>
        <w:pStyle w:val="ListParagraph"/>
        <w:numPr>
          <w:ilvl w:val="2"/>
          <w:numId w:val="30"/>
        </w:numPr>
        <w:jc w:val="left"/>
        <w:rPr>
          <w:rFonts w:ascii="Arial" w:hAnsi="Arial" w:cs="Arial"/>
          <w:bCs/>
          <w:sz w:val="24"/>
          <w:szCs w:val="24"/>
        </w:rPr>
      </w:pPr>
      <w:r>
        <w:rPr>
          <w:rFonts w:ascii="Arial" w:hAnsi="Arial" w:cs="Arial"/>
          <w:bCs/>
          <w:sz w:val="24"/>
          <w:szCs w:val="24"/>
        </w:rPr>
        <w:t xml:space="preserve">Income statement impact expected to </w:t>
      </w:r>
      <w:r w:rsidR="00566566">
        <w:rPr>
          <w:rFonts w:ascii="Arial" w:hAnsi="Arial" w:cs="Arial"/>
          <w:bCs/>
          <w:sz w:val="24"/>
          <w:szCs w:val="24"/>
        </w:rPr>
        <w:t xml:space="preserve">be </w:t>
      </w:r>
      <w:r>
        <w:rPr>
          <w:rFonts w:ascii="Arial" w:hAnsi="Arial" w:cs="Arial"/>
          <w:bCs/>
          <w:sz w:val="24"/>
          <w:szCs w:val="24"/>
        </w:rPr>
        <w:t xml:space="preserve">broadly neutral </w:t>
      </w:r>
      <w:r w:rsidR="00C838B4">
        <w:rPr>
          <w:rFonts w:ascii="Arial" w:hAnsi="Arial" w:cs="Arial"/>
          <w:bCs/>
          <w:sz w:val="24"/>
          <w:szCs w:val="24"/>
        </w:rPr>
        <w:t>assuming on average that up to a third of sales transfer</w:t>
      </w:r>
    </w:p>
    <w:p w14:paraId="720C01C8" w14:textId="5CB8099C" w:rsidR="006A21E0" w:rsidRPr="000E792C" w:rsidRDefault="00F45AB4" w:rsidP="000E792C">
      <w:pPr>
        <w:pStyle w:val="ListParagraph"/>
        <w:numPr>
          <w:ilvl w:val="2"/>
          <w:numId w:val="30"/>
        </w:numPr>
        <w:jc w:val="left"/>
        <w:rPr>
          <w:rFonts w:ascii="Arial" w:hAnsi="Arial" w:cs="Arial"/>
          <w:bCs/>
          <w:sz w:val="24"/>
          <w:szCs w:val="24"/>
        </w:rPr>
      </w:pPr>
      <w:r w:rsidRPr="000E792C">
        <w:rPr>
          <w:rFonts w:ascii="Arial" w:hAnsi="Arial" w:cs="Arial"/>
          <w:bCs/>
          <w:sz w:val="24"/>
          <w:szCs w:val="24"/>
        </w:rPr>
        <w:t xml:space="preserve">Exceptional </w:t>
      </w:r>
      <w:r w:rsidR="006A21E0" w:rsidRPr="000E792C">
        <w:rPr>
          <w:rFonts w:ascii="Arial" w:hAnsi="Arial" w:cs="Arial"/>
          <w:bCs/>
          <w:sz w:val="24"/>
          <w:szCs w:val="24"/>
        </w:rPr>
        <w:t xml:space="preserve">charge </w:t>
      </w:r>
      <w:r w:rsidR="004C4742" w:rsidRPr="000E792C">
        <w:rPr>
          <w:rFonts w:ascii="Arial" w:hAnsi="Arial" w:cs="Arial"/>
          <w:bCs/>
          <w:sz w:val="24"/>
          <w:szCs w:val="24"/>
        </w:rPr>
        <w:t>of around £350</w:t>
      </w:r>
      <w:r w:rsidR="006C14E7">
        <w:rPr>
          <w:rFonts w:ascii="Arial" w:hAnsi="Arial" w:cs="Arial"/>
          <w:bCs/>
          <w:sz w:val="24"/>
          <w:szCs w:val="24"/>
        </w:rPr>
        <w:t xml:space="preserve"> </w:t>
      </w:r>
      <w:r w:rsidR="004C4742" w:rsidRPr="000E792C">
        <w:rPr>
          <w:rFonts w:ascii="Arial" w:hAnsi="Arial" w:cs="Arial"/>
          <w:bCs/>
          <w:sz w:val="24"/>
          <w:szCs w:val="24"/>
        </w:rPr>
        <w:t>m</w:t>
      </w:r>
      <w:r w:rsidR="006C14E7">
        <w:rPr>
          <w:rFonts w:ascii="Arial" w:hAnsi="Arial" w:cs="Arial"/>
          <w:bCs/>
          <w:sz w:val="24"/>
          <w:szCs w:val="24"/>
        </w:rPr>
        <w:t>illion</w:t>
      </w:r>
      <w:r w:rsidR="001C43C3">
        <w:rPr>
          <w:rFonts w:ascii="Arial" w:hAnsi="Arial" w:cs="Arial"/>
          <w:bCs/>
          <w:sz w:val="24"/>
          <w:szCs w:val="24"/>
        </w:rPr>
        <w:t xml:space="preserve"> over </w:t>
      </w:r>
      <w:r w:rsidR="00D70047">
        <w:rPr>
          <w:rFonts w:ascii="Arial" w:hAnsi="Arial" w:cs="Arial"/>
          <w:bCs/>
          <w:sz w:val="24"/>
          <w:szCs w:val="24"/>
        </w:rPr>
        <w:t xml:space="preserve">2 </w:t>
      </w:r>
      <w:r w:rsidR="001C43C3">
        <w:rPr>
          <w:rFonts w:ascii="Arial" w:hAnsi="Arial" w:cs="Arial"/>
          <w:bCs/>
          <w:sz w:val="24"/>
          <w:szCs w:val="24"/>
        </w:rPr>
        <w:t>years</w:t>
      </w:r>
    </w:p>
    <w:bookmarkEnd w:id="5"/>
    <w:bookmarkEnd w:id="6"/>
    <w:p w14:paraId="51AD4094" w14:textId="77777777" w:rsidR="004C4742" w:rsidRDefault="004C4742">
      <w:pPr>
        <w:pStyle w:val="ListParagraph"/>
        <w:ind w:left="1440"/>
        <w:jc w:val="left"/>
        <w:rPr>
          <w:rFonts w:ascii="Arial" w:hAnsi="Arial" w:cs="Arial"/>
          <w:bCs/>
          <w:sz w:val="24"/>
          <w:szCs w:val="24"/>
          <w:highlight w:val="yellow"/>
        </w:rPr>
      </w:pPr>
    </w:p>
    <w:p w14:paraId="3D385F50" w14:textId="77777777" w:rsidR="003464B5" w:rsidRDefault="003464B5">
      <w:pPr>
        <w:pStyle w:val="ListParagraph"/>
        <w:ind w:left="1440"/>
        <w:jc w:val="left"/>
        <w:rPr>
          <w:rFonts w:ascii="Arial" w:hAnsi="Arial" w:cs="Arial"/>
          <w:bCs/>
          <w:sz w:val="24"/>
          <w:szCs w:val="24"/>
          <w:highlight w:val="yellow"/>
        </w:rPr>
      </w:pPr>
    </w:p>
    <w:p w14:paraId="0E382A4F" w14:textId="77777777" w:rsidR="004B376D" w:rsidRDefault="004B376D">
      <w:pPr>
        <w:pStyle w:val="ListParagraph"/>
        <w:ind w:left="1440"/>
        <w:jc w:val="left"/>
        <w:rPr>
          <w:rFonts w:ascii="Arial" w:hAnsi="Arial" w:cs="Arial"/>
          <w:bCs/>
          <w:sz w:val="24"/>
          <w:szCs w:val="24"/>
          <w:highlight w:val="yellow"/>
        </w:rPr>
      </w:pPr>
    </w:p>
    <w:p w14:paraId="04DD2481" w14:textId="77777777" w:rsidR="00B13D19" w:rsidRDefault="00B13D19">
      <w:pPr>
        <w:pStyle w:val="ListParagraph"/>
        <w:ind w:left="1440"/>
        <w:jc w:val="left"/>
        <w:rPr>
          <w:rFonts w:ascii="Arial" w:hAnsi="Arial" w:cs="Arial"/>
          <w:bCs/>
          <w:sz w:val="24"/>
          <w:szCs w:val="24"/>
          <w:highlight w:val="yellow"/>
        </w:rPr>
      </w:pPr>
    </w:p>
    <w:p w14:paraId="0A57CE94" w14:textId="77777777" w:rsidR="003464B5" w:rsidRPr="00657B3E" w:rsidRDefault="003464B5" w:rsidP="003464B5">
      <w:pPr>
        <w:jc w:val="left"/>
        <w:rPr>
          <w:rFonts w:ascii="Arial" w:hAnsi="Arial" w:cs="Arial"/>
          <w:bCs/>
          <w:sz w:val="18"/>
          <w:szCs w:val="18"/>
        </w:rPr>
      </w:pPr>
      <w:r w:rsidRPr="00657B3E">
        <w:rPr>
          <w:rFonts w:ascii="Arial" w:hAnsi="Arial" w:cs="Arial"/>
          <w:bCs/>
          <w:vertAlign w:val="superscript"/>
        </w:rPr>
        <w:t>(1)</w:t>
      </w:r>
      <w:r w:rsidRPr="00657B3E">
        <w:rPr>
          <w:rFonts w:ascii="Arial" w:hAnsi="Arial" w:cs="Arial"/>
          <w:bCs/>
          <w:sz w:val="18"/>
          <w:szCs w:val="18"/>
        </w:rPr>
        <w:t xml:space="preserve"> Interest charge excludes FFVR </w:t>
      </w:r>
      <w:r w:rsidRPr="00657B3E">
        <w:rPr>
          <w:rFonts w:ascii="Arial" w:hAnsi="Arial" w:cs="Arial"/>
          <w:iCs/>
          <w:sz w:val="18"/>
          <w:szCs w:val="18"/>
        </w:rPr>
        <w:t>(financing fair value remeasurements)</w:t>
      </w:r>
      <w:r w:rsidRPr="00657B3E">
        <w:rPr>
          <w:rFonts w:ascii="Arial" w:hAnsi="Arial" w:cs="Arial"/>
          <w:b/>
          <w:iCs/>
          <w:sz w:val="18"/>
          <w:szCs w:val="18"/>
        </w:rPr>
        <w:t xml:space="preserve"> </w:t>
      </w:r>
      <w:r w:rsidRPr="00657B3E">
        <w:rPr>
          <w:rFonts w:ascii="Arial" w:hAnsi="Arial" w:cs="Arial"/>
          <w:bCs/>
          <w:sz w:val="18"/>
          <w:szCs w:val="18"/>
        </w:rPr>
        <w:t xml:space="preserve"> </w:t>
      </w:r>
    </w:p>
    <w:p w14:paraId="659CAD59" w14:textId="1E9E28B0" w:rsidR="003464B5" w:rsidRPr="00657B3E" w:rsidRDefault="003464B5" w:rsidP="003464B5">
      <w:pPr>
        <w:tabs>
          <w:tab w:val="left" w:pos="357"/>
        </w:tabs>
        <w:ind w:right="-282"/>
        <w:jc w:val="left"/>
        <w:rPr>
          <w:rFonts w:ascii="Arial" w:hAnsi="Arial" w:cs="Arial"/>
          <w:iCs/>
          <w:sz w:val="18"/>
          <w:szCs w:val="18"/>
        </w:rPr>
      </w:pPr>
      <w:r w:rsidRPr="00657B3E">
        <w:rPr>
          <w:rFonts w:ascii="Arial" w:hAnsi="Arial" w:cs="Arial"/>
          <w:bCs/>
          <w:vertAlign w:val="superscript"/>
        </w:rPr>
        <w:t>(2)</w:t>
      </w:r>
      <w:r w:rsidRPr="00657B3E">
        <w:rPr>
          <w:rFonts w:ascii="Arial" w:hAnsi="Arial" w:cs="Arial"/>
          <w:bCs/>
          <w:sz w:val="18"/>
          <w:szCs w:val="18"/>
        </w:rPr>
        <w:t xml:space="preserve"> Data tables</w:t>
      </w:r>
      <w:r w:rsidRPr="00657B3E">
        <w:rPr>
          <w:rFonts w:ascii="Arial" w:hAnsi="Arial" w:cs="Arial"/>
          <w:iCs/>
          <w:sz w:val="18"/>
          <w:szCs w:val="18"/>
        </w:rPr>
        <w:t xml:space="preserve"> for FY 2014/15 (Q1, Q2, H1, Q3, </w:t>
      </w:r>
      <w:r w:rsidRPr="000E6C79">
        <w:rPr>
          <w:rFonts w:ascii="Arial" w:hAnsi="Arial" w:cs="Arial"/>
          <w:sz w:val="18"/>
          <w:szCs w:val="18"/>
        </w:rPr>
        <w:t>Q3 YTD</w:t>
      </w:r>
      <w:r>
        <w:rPr>
          <w:rFonts w:ascii="Arial" w:hAnsi="Arial" w:cs="Arial"/>
          <w:iCs/>
          <w:sz w:val="18"/>
          <w:szCs w:val="18"/>
        </w:rPr>
        <w:t xml:space="preserve">, </w:t>
      </w:r>
      <w:r w:rsidRPr="00657B3E">
        <w:rPr>
          <w:rFonts w:ascii="Arial" w:hAnsi="Arial" w:cs="Arial"/>
          <w:iCs/>
          <w:sz w:val="18"/>
          <w:szCs w:val="18"/>
        </w:rPr>
        <w:t xml:space="preserve">Q4 and the full year) are available for download in excel format at </w:t>
      </w:r>
      <w:hyperlink r:id="rId10" w:history="1">
        <w:r w:rsidR="000952F8" w:rsidRPr="000952F8">
          <w:rPr>
            <w:rStyle w:val="Hyperlink"/>
            <w:rFonts w:ascii="Arial" w:hAnsi="Arial" w:cs="Arial"/>
            <w:iCs/>
            <w:sz w:val="18"/>
            <w:szCs w:val="18"/>
          </w:rPr>
          <w:t>http://www.kingfisher.com/index.asp?pageid</w:t>
        </w:r>
        <w:r w:rsidR="000952F8" w:rsidRPr="00D70047">
          <w:rPr>
            <w:rStyle w:val="Hyperlink"/>
            <w:rFonts w:ascii="Arial" w:hAnsi="Arial" w:cs="Arial"/>
            <w:iCs/>
            <w:sz w:val="18"/>
            <w:szCs w:val="18"/>
          </w:rPr>
          <w:t>=59</w:t>
        </w:r>
      </w:hyperlink>
      <w:r w:rsidRPr="00657B3E">
        <w:rPr>
          <w:rFonts w:ascii="Arial" w:hAnsi="Arial" w:cs="Arial"/>
          <w:iCs/>
          <w:sz w:val="18"/>
          <w:szCs w:val="18"/>
        </w:rPr>
        <w:t xml:space="preserve">. </w:t>
      </w:r>
      <w:r w:rsidRPr="000E6C79">
        <w:rPr>
          <w:rFonts w:ascii="Arial" w:hAnsi="Arial" w:cs="Arial"/>
          <w:sz w:val="18"/>
          <w:szCs w:val="18"/>
        </w:rPr>
        <w:t xml:space="preserve">They include a restatement schedule for these impacts. </w:t>
      </w:r>
    </w:p>
    <w:p w14:paraId="46B32844" w14:textId="77777777" w:rsidR="003464B5" w:rsidRPr="00657B3E" w:rsidRDefault="003464B5" w:rsidP="003464B5">
      <w:pPr>
        <w:tabs>
          <w:tab w:val="left" w:pos="357"/>
        </w:tabs>
        <w:ind w:right="-282"/>
        <w:jc w:val="left"/>
        <w:rPr>
          <w:rFonts w:ascii="Arial" w:hAnsi="Arial" w:cs="Arial"/>
          <w:bCs/>
          <w:sz w:val="18"/>
          <w:szCs w:val="18"/>
        </w:rPr>
      </w:pPr>
      <w:r w:rsidRPr="00657B3E">
        <w:rPr>
          <w:rFonts w:ascii="Arial" w:hAnsi="Arial" w:cs="Arial"/>
          <w:bCs/>
          <w:vertAlign w:val="superscript"/>
        </w:rPr>
        <w:t>(3)</w:t>
      </w:r>
      <w:r w:rsidRPr="00657B3E">
        <w:rPr>
          <w:rFonts w:ascii="Arial" w:hAnsi="Arial" w:cs="Arial"/>
          <w:bCs/>
          <w:sz w:val="18"/>
          <w:szCs w:val="18"/>
        </w:rPr>
        <w:t xml:space="preserve"> </w:t>
      </w:r>
      <w:r>
        <w:rPr>
          <w:rFonts w:ascii="Arial" w:hAnsi="Arial" w:cs="Arial"/>
          <w:bCs/>
          <w:sz w:val="18"/>
          <w:szCs w:val="18"/>
        </w:rPr>
        <w:t xml:space="preserve">Certain </w:t>
      </w:r>
      <w:r w:rsidRPr="00657B3E">
        <w:rPr>
          <w:rFonts w:ascii="Arial" w:hAnsi="Arial" w:cs="Arial"/>
          <w:bCs/>
          <w:sz w:val="18"/>
          <w:szCs w:val="18"/>
        </w:rPr>
        <w:t xml:space="preserve">French  levies were previously recognised on an accruals basis across the year. Going forward, they will be accounted for at year end when the liability is triggered, hence impacting quarterly phasing of French retail profit. </w:t>
      </w:r>
    </w:p>
    <w:p w14:paraId="36AD4213" w14:textId="77777777" w:rsidR="003464B5" w:rsidRDefault="003464B5">
      <w:pPr>
        <w:pStyle w:val="ListParagraph"/>
        <w:ind w:left="1440"/>
        <w:jc w:val="left"/>
        <w:rPr>
          <w:rFonts w:ascii="Arial" w:hAnsi="Arial" w:cs="Arial"/>
          <w:bCs/>
          <w:sz w:val="24"/>
          <w:szCs w:val="24"/>
          <w:highlight w:val="yellow"/>
        </w:rPr>
      </w:pPr>
    </w:p>
    <w:p w14:paraId="7E934F65" w14:textId="77777777" w:rsidR="00327C39" w:rsidRDefault="001C41B3" w:rsidP="0054624C">
      <w:pPr>
        <w:pStyle w:val="ListParagraph"/>
        <w:numPr>
          <w:ilvl w:val="0"/>
          <w:numId w:val="30"/>
        </w:numPr>
        <w:jc w:val="left"/>
        <w:rPr>
          <w:rFonts w:ascii="Arial" w:hAnsi="Arial" w:cs="Arial"/>
          <w:bCs/>
          <w:sz w:val="24"/>
          <w:szCs w:val="24"/>
        </w:rPr>
      </w:pPr>
      <w:r>
        <w:rPr>
          <w:rFonts w:ascii="Arial" w:hAnsi="Arial" w:cs="Arial"/>
          <w:bCs/>
          <w:sz w:val="24"/>
          <w:szCs w:val="24"/>
        </w:rPr>
        <w:t>Cash flow</w:t>
      </w:r>
      <w:r w:rsidR="00C92423">
        <w:rPr>
          <w:rFonts w:ascii="Arial" w:hAnsi="Arial" w:cs="Arial"/>
          <w:bCs/>
          <w:sz w:val="24"/>
          <w:szCs w:val="24"/>
        </w:rPr>
        <w:t>:</w:t>
      </w:r>
    </w:p>
    <w:p w14:paraId="7459C987" w14:textId="77777777" w:rsidR="00BF0912" w:rsidRDefault="005C3C80" w:rsidP="0054624C">
      <w:pPr>
        <w:pStyle w:val="ListParagraph"/>
        <w:numPr>
          <w:ilvl w:val="1"/>
          <w:numId w:val="30"/>
        </w:numPr>
        <w:jc w:val="left"/>
        <w:rPr>
          <w:rFonts w:ascii="Arial" w:hAnsi="Arial" w:cs="Arial"/>
          <w:bCs/>
          <w:sz w:val="24"/>
          <w:szCs w:val="24"/>
        </w:rPr>
      </w:pPr>
      <w:r>
        <w:rPr>
          <w:rFonts w:ascii="Arial" w:hAnsi="Arial" w:cs="Arial"/>
          <w:bCs/>
          <w:sz w:val="24"/>
          <w:szCs w:val="24"/>
        </w:rPr>
        <w:t>I</w:t>
      </w:r>
      <w:r w:rsidR="00BF0912">
        <w:rPr>
          <w:rFonts w:ascii="Arial" w:hAnsi="Arial" w:cs="Arial"/>
          <w:bCs/>
          <w:sz w:val="24"/>
          <w:szCs w:val="24"/>
        </w:rPr>
        <w:t xml:space="preserve">nvesting £350-400 million </w:t>
      </w:r>
      <w:r w:rsidR="007E2299">
        <w:rPr>
          <w:rFonts w:ascii="Arial" w:hAnsi="Arial" w:cs="Arial"/>
          <w:bCs/>
          <w:sz w:val="24"/>
          <w:szCs w:val="24"/>
        </w:rPr>
        <w:t xml:space="preserve">in </w:t>
      </w:r>
      <w:r w:rsidR="00BF0912">
        <w:rPr>
          <w:rFonts w:ascii="Arial" w:hAnsi="Arial" w:cs="Arial"/>
          <w:bCs/>
          <w:sz w:val="24"/>
          <w:szCs w:val="24"/>
        </w:rPr>
        <w:t>capital expenditure</w:t>
      </w:r>
    </w:p>
    <w:p w14:paraId="3395395A" w14:textId="4DE5941F" w:rsidR="00BF0912" w:rsidRDefault="001D2341" w:rsidP="0054624C">
      <w:pPr>
        <w:pStyle w:val="ListParagraph"/>
        <w:numPr>
          <w:ilvl w:val="1"/>
          <w:numId w:val="30"/>
        </w:numPr>
        <w:jc w:val="left"/>
        <w:rPr>
          <w:rFonts w:ascii="Arial" w:hAnsi="Arial" w:cs="Arial"/>
          <w:bCs/>
          <w:sz w:val="24"/>
          <w:szCs w:val="24"/>
        </w:rPr>
      </w:pPr>
      <w:r>
        <w:rPr>
          <w:rFonts w:ascii="Arial" w:hAnsi="Arial" w:cs="Arial"/>
          <w:bCs/>
          <w:sz w:val="24"/>
          <w:szCs w:val="24"/>
        </w:rPr>
        <w:t>D</w:t>
      </w:r>
      <w:r w:rsidR="00BF0912">
        <w:rPr>
          <w:rFonts w:ascii="Arial" w:hAnsi="Arial" w:cs="Arial"/>
          <w:bCs/>
          <w:sz w:val="24"/>
          <w:szCs w:val="24"/>
        </w:rPr>
        <w:t xml:space="preserve">ividend </w:t>
      </w:r>
      <w:r w:rsidR="006A21E0">
        <w:rPr>
          <w:rFonts w:ascii="Arial" w:hAnsi="Arial" w:cs="Arial"/>
          <w:bCs/>
          <w:sz w:val="24"/>
          <w:szCs w:val="24"/>
        </w:rPr>
        <w:t xml:space="preserve">to be </w:t>
      </w:r>
      <w:r w:rsidR="00BF0912">
        <w:rPr>
          <w:rFonts w:ascii="Arial" w:hAnsi="Arial" w:cs="Arial"/>
          <w:bCs/>
          <w:sz w:val="24"/>
          <w:szCs w:val="24"/>
        </w:rPr>
        <w:t>cover</w:t>
      </w:r>
      <w:r w:rsidR="006A21E0">
        <w:rPr>
          <w:rFonts w:ascii="Arial" w:hAnsi="Arial" w:cs="Arial"/>
          <w:bCs/>
          <w:sz w:val="24"/>
          <w:szCs w:val="24"/>
        </w:rPr>
        <w:t>ed</w:t>
      </w:r>
      <w:r w:rsidR="00BF0912">
        <w:rPr>
          <w:rFonts w:ascii="Arial" w:hAnsi="Arial" w:cs="Arial"/>
          <w:bCs/>
          <w:sz w:val="24"/>
          <w:szCs w:val="24"/>
        </w:rPr>
        <w:t xml:space="preserve"> </w:t>
      </w:r>
      <w:r w:rsidR="006A21E0">
        <w:rPr>
          <w:rFonts w:ascii="Arial" w:hAnsi="Arial" w:cs="Arial"/>
          <w:bCs/>
          <w:sz w:val="24"/>
          <w:szCs w:val="24"/>
        </w:rPr>
        <w:t xml:space="preserve">2.0-2.5 times by adjusted earnings </w:t>
      </w:r>
    </w:p>
    <w:p w14:paraId="7EC60E87" w14:textId="7B705262" w:rsidR="00BF0912" w:rsidRDefault="004B3EE6" w:rsidP="0054624C">
      <w:pPr>
        <w:pStyle w:val="ListParagraph"/>
        <w:numPr>
          <w:ilvl w:val="1"/>
          <w:numId w:val="30"/>
        </w:numPr>
        <w:jc w:val="left"/>
        <w:rPr>
          <w:rFonts w:ascii="Arial" w:hAnsi="Arial" w:cs="Arial"/>
          <w:bCs/>
          <w:sz w:val="24"/>
          <w:szCs w:val="24"/>
        </w:rPr>
      </w:pPr>
      <w:r>
        <w:rPr>
          <w:rFonts w:ascii="Arial" w:hAnsi="Arial" w:cs="Arial"/>
          <w:bCs/>
          <w:sz w:val="24"/>
          <w:szCs w:val="24"/>
        </w:rPr>
        <w:t>C</w:t>
      </w:r>
      <w:r w:rsidR="00BF0912">
        <w:rPr>
          <w:rFonts w:ascii="Arial" w:hAnsi="Arial" w:cs="Arial"/>
          <w:bCs/>
          <w:sz w:val="24"/>
          <w:szCs w:val="24"/>
        </w:rPr>
        <w:t>apital return of £200 million</w:t>
      </w:r>
      <w:r w:rsidR="001D2341">
        <w:rPr>
          <w:rFonts w:ascii="Arial" w:hAnsi="Arial" w:cs="Arial"/>
          <w:bCs/>
          <w:sz w:val="24"/>
          <w:szCs w:val="24"/>
        </w:rPr>
        <w:t xml:space="preserve"> </w:t>
      </w:r>
      <w:r w:rsidR="001D2341" w:rsidRPr="001D2341">
        <w:rPr>
          <w:rFonts w:ascii="Arial" w:hAnsi="Arial" w:cs="Arial"/>
          <w:bCs/>
          <w:sz w:val="24"/>
          <w:szCs w:val="24"/>
        </w:rPr>
        <w:t>expected to be</w:t>
      </w:r>
      <w:r w:rsidR="00A06091" w:rsidRPr="001D2341">
        <w:rPr>
          <w:rFonts w:ascii="Arial" w:hAnsi="Arial" w:cs="Arial"/>
          <w:bCs/>
          <w:sz w:val="24"/>
          <w:szCs w:val="24"/>
        </w:rPr>
        <w:t xml:space="preserve"> via</w:t>
      </w:r>
      <w:r w:rsidR="004C4742" w:rsidRPr="00657B3E">
        <w:rPr>
          <w:rFonts w:ascii="Arial" w:hAnsi="Arial" w:cs="Arial"/>
          <w:bCs/>
          <w:sz w:val="24"/>
          <w:szCs w:val="24"/>
        </w:rPr>
        <w:t xml:space="preserve"> </w:t>
      </w:r>
      <w:r w:rsidR="00A06091" w:rsidRPr="00657B3E">
        <w:rPr>
          <w:rFonts w:ascii="Arial" w:hAnsi="Arial" w:cs="Arial"/>
          <w:bCs/>
          <w:sz w:val="24"/>
          <w:szCs w:val="24"/>
        </w:rPr>
        <w:t>share buy back</w:t>
      </w:r>
    </w:p>
    <w:p w14:paraId="08A9FDAC" w14:textId="4531DED7" w:rsidR="00B13D19" w:rsidRDefault="006532F9" w:rsidP="0054624C">
      <w:pPr>
        <w:pStyle w:val="ListParagraph"/>
        <w:numPr>
          <w:ilvl w:val="1"/>
          <w:numId w:val="30"/>
        </w:numPr>
        <w:jc w:val="left"/>
        <w:rPr>
          <w:rFonts w:ascii="Arial" w:hAnsi="Arial" w:cs="Arial"/>
          <w:bCs/>
          <w:sz w:val="24"/>
          <w:szCs w:val="24"/>
        </w:rPr>
      </w:pPr>
      <w:r>
        <w:rPr>
          <w:rFonts w:ascii="Arial" w:hAnsi="Arial" w:cs="Arial"/>
          <w:bCs/>
          <w:sz w:val="24"/>
          <w:szCs w:val="24"/>
        </w:rPr>
        <w:t>Cash inflow of c.£140m from sale of B&amp;Q China controlling stake expected in first half of FY 2015/16 (following competition authority approval)</w:t>
      </w:r>
    </w:p>
    <w:p w14:paraId="216C44BB" w14:textId="7B99DDBC" w:rsidR="004B3EE6" w:rsidRDefault="004B3EE6" w:rsidP="0054624C">
      <w:pPr>
        <w:pStyle w:val="ListParagraph"/>
        <w:numPr>
          <w:ilvl w:val="1"/>
          <w:numId w:val="30"/>
        </w:numPr>
        <w:jc w:val="left"/>
        <w:rPr>
          <w:rFonts w:ascii="Arial" w:hAnsi="Arial" w:cs="Arial"/>
          <w:bCs/>
          <w:sz w:val="24"/>
          <w:szCs w:val="24"/>
        </w:rPr>
      </w:pPr>
      <w:r>
        <w:rPr>
          <w:rFonts w:ascii="Arial" w:hAnsi="Arial" w:cs="Arial"/>
          <w:bCs/>
          <w:sz w:val="24"/>
          <w:szCs w:val="24"/>
        </w:rPr>
        <w:t xml:space="preserve">No material incremental </w:t>
      </w:r>
      <w:r w:rsidRPr="000E792C">
        <w:rPr>
          <w:rFonts w:ascii="Arial" w:hAnsi="Arial" w:cs="Arial"/>
          <w:bCs/>
          <w:sz w:val="24"/>
          <w:szCs w:val="24"/>
        </w:rPr>
        <w:t>cash outflow resulting from the</w:t>
      </w:r>
      <w:r w:rsidR="00B13D19">
        <w:rPr>
          <w:rFonts w:ascii="Arial" w:hAnsi="Arial" w:cs="Arial"/>
          <w:bCs/>
          <w:sz w:val="24"/>
          <w:szCs w:val="24"/>
        </w:rPr>
        <w:t xml:space="preserve"> B&amp;Q closures</w:t>
      </w:r>
      <w:r w:rsidRPr="000E792C">
        <w:rPr>
          <w:rFonts w:ascii="Arial" w:hAnsi="Arial" w:cs="Arial"/>
          <w:bCs/>
          <w:sz w:val="24"/>
          <w:szCs w:val="24"/>
        </w:rPr>
        <w:t xml:space="preserve"> exceptional item</w:t>
      </w:r>
      <w:r>
        <w:rPr>
          <w:rFonts w:ascii="Arial" w:hAnsi="Arial" w:cs="Arial"/>
          <w:bCs/>
          <w:sz w:val="24"/>
          <w:szCs w:val="24"/>
        </w:rPr>
        <w:t>, as principally relates to onerous lease provision</w:t>
      </w:r>
    </w:p>
    <w:p w14:paraId="0ED0CD9C" w14:textId="77777777" w:rsidR="003464B5" w:rsidRDefault="003464B5" w:rsidP="00657B3E">
      <w:pPr>
        <w:tabs>
          <w:tab w:val="left" w:pos="357"/>
        </w:tabs>
        <w:ind w:right="-282"/>
        <w:jc w:val="left"/>
        <w:rPr>
          <w:rFonts w:ascii="Arial" w:hAnsi="Arial" w:cs="Arial"/>
          <w:bCs/>
          <w:vertAlign w:val="superscript"/>
        </w:rPr>
      </w:pPr>
    </w:p>
    <w:p w14:paraId="118918C9" w14:textId="77777777" w:rsidR="003464B5" w:rsidRDefault="003464B5">
      <w:pPr>
        <w:jc w:val="left"/>
        <w:rPr>
          <w:rFonts w:ascii="Arial" w:hAnsi="Arial" w:cs="Arial"/>
          <w:bCs/>
          <w:vertAlign w:val="superscript"/>
        </w:rPr>
      </w:pPr>
      <w:r>
        <w:rPr>
          <w:rFonts w:ascii="Arial" w:hAnsi="Arial" w:cs="Arial"/>
          <w:bCs/>
          <w:vertAlign w:val="superscript"/>
        </w:rPr>
        <w:br w:type="page"/>
      </w:r>
    </w:p>
    <w:p w14:paraId="69390D69" w14:textId="269B8409" w:rsidR="00421ED6" w:rsidRPr="000971B9" w:rsidRDefault="001D2341" w:rsidP="00657B3E">
      <w:pPr>
        <w:tabs>
          <w:tab w:val="left" w:pos="357"/>
        </w:tabs>
        <w:ind w:right="-282"/>
        <w:jc w:val="left"/>
        <w:rPr>
          <w:rFonts w:ascii="Arial" w:hAnsi="Arial" w:cs="Arial"/>
          <w:sz w:val="24"/>
          <w:szCs w:val="24"/>
        </w:rPr>
      </w:pPr>
      <w:bookmarkStart w:id="7" w:name="FR"/>
      <w:bookmarkEnd w:id="7"/>
      <w:r>
        <w:rPr>
          <w:rFonts w:ascii="Arial" w:hAnsi="Arial" w:cs="Arial"/>
          <w:b/>
          <w:bCs/>
          <w:sz w:val="24"/>
          <w:szCs w:val="24"/>
        </w:rPr>
        <w:lastRenderedPageBreak/>
        <w:t>S</w:t>
      </w:r>
      <w:r w:rsidR="00376255" w:rsidRPr="000971B9">
        <w:rPr>
          <w:rFonts w:ascii="Arial" w:hAnsi="Arial" w:cs="Arial"/>
          <w:b/>
          <w:bCs/>
          <w:sz w:val="24"/>
          <w:szCs w:val="24"/>
        </w:rPr>
        <w:t xml:space="preserve">ection 5: </w:t>
      </w:r>
      <w:r w:rsidR="00421ED6" w:rsidRPr="000971B9">
        <w:rPr>
          <w:rFonts w:ascii="Arial" w:hAnsi="Arial" w:cs="Arial"/>
          <w:b/>
          <w:bCs/>
          <w:sz w:val="24"/>
          <w:szCs w:val="24"/>
        </w:rPr>
        <w:t>GLOSSARY</w:t>
      </w:r>
      <w:r w:rsidR="00F92C7C" w:rsidRPr="000971B9">
        <w:rPr>
          <w:rFonts w:ascii="Arial" w:hAnsi="Arial" w:cs="Arial"/>
          <w:b/>
          <w:bCs/>
          <w:sz w:val="24"/>
          <w:szCs w:val="24"/>
        </w:rPr>
        <w:t xml:space="preserve"> (terms are listed in alphabetical order)</w:t>
      </w:r>
    </w:p>
    <w:p w14:paraId="4CC45B45" w14:textId="77777777" w:rsidR="00421ED6" w:rsidRPr="000971B9" w:rsidRDefault="00421ED6" w:rsidP="00421ED6">
      <w:pPr>
        <w:rPr>
          <w:rFonts w:ascii="Arial" w:hAnsi="Arial" w:cs="Arial"/>
          <w:b/>
          <w:sz w:val="20"/>
          <w:szCs w:val="20"/>
        </w:rPr>
      </w:pPr>
    </w:p>
    <w:p w14:paraId="23EE5603" w14:textId="2DCB2D98" w:rsidR="00421ED6" w:rsidRPr="000971B9" w:rsidRDefault="00421ED6" w:rsidP="00930C11">
      <w:pPr>
        <w:jc w:val="left"/>
        <w:rPr>
          <w:rFonts w:ascii="Arial" w:hAnsi="Arial" w:cs="Arial"/>
          <w:iCs/>
          <w:sz w:val="24"/>
          <w:szCs w:val="24"/>
        </w:rPr>
      </w:pPr>
      <w:r w:rsidRPr="000971B9">
        <w:rPr>
          <w:rFonts w:ascii="Arial" w:hAnsi="Arial" w:cs="Arial"/>
          <w:b/>
          <w:sz w:val="24"/>
          <w:szCs w:val="24"/>
        </w:rPr>
        <w:t>Adjusted</w:t>
      </w:r>
      <w:r w:rsidRPr="000971B9">
        <w:rPr>
          <w:rFonts w:ascii="Arial" w:hAnsi="Arial" w:cs="Arial"/>
          <w:iCs/>
          <w:sz w:val="24"/>
          <w:szCs w:val="24"/>
        </w:rPr>
        <w:t xml:space="preserve"> measures are before exceptional items, financing fair value remeasurements, amortisation of acquisition intangibles, related tax items and tax on prior year items</w:t>
      </w:r>
      <w:r w:rsidR="00DA44CF" w:rsidRPr="000971B9">
        <w:rPr>
          <w:rFonts w:ascii="Arial" w:hAnsi="Arial" w:cs="Arial"/>
          <w:iCs/>
          <w:sz w:val="24"/>
          <w:szCs w:val="24"/>
        </w:rPr>
        <w:t xml:space="preserve"> including the impact of rate changes on deferred tax</w:t>
      </w:r>
      <w:r w:rsidRPr="000971B9">
        <w:rPr>
          <w:rFonts w:ascii="Arial" w:hAnsi="Arial" w:cs="Arial"/>
          <w:iCs/>
          <w:sz w:val="24"/>
          <w:szCs w:val="24"/>
        </w:rPr>
        <w:t xml:space="preserve">. </w:t>
      </w:r>
      <w:r w:rsidR="003A4588">
        <w:rPr>
          <w:rFonts w:ascii="Arial" w:hAnsi="Arial" w:cs="Arial"/>
          <w:iCs/>
          <w:sz w:val="24"/>
          <w:szCs w:val="24"/>
        </w:rPr>
        <w:t xml:space="preserve">2013/14 comparatives have been restated to exclude the share of Hornbach results. </w:t>
      </w:r>
      <w:r w:rsidRPr="000971B9">
        <w:rPr>
          <w:rFonts w:ascii="Arial" w:hAnsi="Arial" w:cs="Arial"/>
          <w:iCs/>
          <w:sz w:val="24"/>
          <w:szCs w:val="24"/>
        </w:rPr>
        <w:t xml:space="preserve">A reconciliation to statutory amounts is set out in the Financial Review (Section </w:t>
      </w:r>
      <w:r w:rsidR="00846F5B">
        <w:rPr>
          <w:rFonts w:ascii="Arial" w:hAnsi="Arial" w:cs="Arial"/>
          <w:iCs/>
          <w:sz w:val="24"/>
          <w:szCs w:val="24"/>
        </w:rPr>
        <w:t>3</w:t>
      </w:r>
      <w:r w:rsidRPr="000971B9">
        <w:rPr>
          <w:rFonts w:ascii="Arial" w:hAnsi="Arial" w:cs="Arial"/>
          <w:iCs/>
          <w:sz w:val="24"/>
          <w:szCs w:val="24"/>
        </w:rPr>
        <w:t>).</w:t>
      </w:r>
    </w:p>
    <w:p w14:paraId="096672CE" w14:textId="77777777" w:rsidR="00421ED6" w:rsidRPr="000971B9" w:rsidRDefault="00421ED6" w:rsidP="00421ED6">
      <w:pPr>
        <w:rPr>
          <w:rFonts w:ascii="Arial" w:hAnsi="Arial" w:cs="Arial"/>
          <w:iCs/>
          <w:sz w:val="20"/>
          <w:szCs w:val="20"/>
        </w:rPr>
      </w:pPr>
    </w:p>
    <w:p w14:paraId="3A4F07C7" w14:textId="77777777" w:rsidR="003A4588" w:rsidRDefault="003A4588" w:rsidP="003A4588">
      <w:pPr>
        <w:jc w:val="left"/>
        <w:rPr>
          <w:rFonts w:ascii="Arial" w:hAnsi="Arial" w:cs="Arial"/>
          <w:iCs/>
          <w:sz w:val="24"/>
          <w:szCs w:val="24"/>
        </w:rPr>
      </w:pPr>
      <w:r w:rsidRPr="00614E39">
        <w:rPr>
          <w:rFonts w:ascii="Arial" w:hAnsi="Arial" w:cs="Arial"/>
          <w:b/>
          <w:iCs/>
          <w:sz w:val="24"/>
          <w:szCs w:val="24"/>
        </w:rPr>
        <w:t xml:space="preserve">Banque de France </w:t>
      </w:r>
      <w:r w:rsidRPr="00614E39">
        <w:rPr>
          <w:rFonts w:ascii="Arial" w:hAnsi="Arial" w:cs="Arial"/>
          <w:iCs/>
          <w:sz w:val="24"/>
          <w:szCs w:val="24"/>
        </w:rPr>
        <w:t>data includes relocated and extended stores.</w:t>
      </w:r>
      <w:r>
        <w:rPr>
          <w:rFonts w:ascii="Arial" w:hAnsi="Arial" w:cs="Arial"/>
          <w:iCs/>
          <w:sz w:val="24"/>
          <w:szCs w:val="24"/>
        </w:rPr>
        <w:t xml:space="preserve"> </w:t>
      </w:r>
    </w:p>
    <w:p w14:paraId="04EA26F4" w14:textId="77777777" w:rsidR="003A4588" w:rsidRPr="008152E6" w:rsidRDefault="00485EE2" w:rsidP="003A4588">
      <w:pPr>
        <w:jc w:val="left"/>
        <w:rPr>
          <w:rFonts w:ascii="Arial" w:hAnsi="Arial" w:cs="Arial"/>
          <w:iCs/>
          <w:sz w:val="24"/>
          <w:szCs w:val="24"/>
        </w:rPr>
      </w:pPr>
      <w:hyperlink r:id="rId11" w:history="1">
        <w:r w:rsidR="003A4588" w:rsidRPr="008152E6">
          <w:rPr>
            <w:rStyle w:val="Hyperlink"/>
            <w:rFonts w:ascii="Arial" w:hAnsi="Arial" w:cs="Arial"/>
            <w:iCs/>
            <w:sz w:val="24"/>
            <w:szCs w:val="24"/>
          </w:rPr>
          <w:t>http://webstat.banque-france.fr/en/browse.do?node=5384326</w:t>
        </w:r>
      </w:hyperlink>
      <w:r w:rsidR="003A4588">
        <w:rPr>
          <w:rFonts w:ascii="Arial" w:hAnsi="Arial" w:cs="Arial"/>
          <w:iCs/>
          <w:sz w:val="24"/>
          <w:szCs w:val="24"/>
        </w:rPr>
        <w:t xml:space="preserve"> </w:t>
      </w:r>
      <w:r w:rsidR="003A4588" w:rsidRPr="008152E6" w:rsidDel="0037416A">
        <w:rPr>
          <w:rFonts w:ascii="Arial" w:hAnsi="Arial" w:cs="Arial"/>
          <w:iCs/>
          <w:sz w:val="24"/>
          <w:szCs w:val="24"/>
        </w:rPr>
        <w:t xml:space="preserve"> </w:t>
      </w:r>
    </w:p>
    <w:p w14:paraId="25E500F6" w14:textId="77777777" w:rsidR="003A4588" w:rsidRDefault="003A4588" w:rsidP="00686158">
      <w:pPr>
        <w:rPr>
          <w:rFonts w:ascii="Arial" w:hAnsi="Arial" w:cs="Arial"/>
          <w:b/>
          <w:iCs/>
          <w:sz w:val="24"/>
          <w:szCs w:val="24"/>
        </w:rPr>
      </w:pPr>
    </w:p>
    <w:p w14:paraId="5D62982F" w14:textId="68938443" w:rsidR="00D21FEC" w:rsidRDefault="003A4588" w:rsidP="00686158">
      <w:pPr>
        <w:rPr>
          <w:rFonts w:ascii="Arial" w:hAnsi="Arial" w:cs="Arial"/>
          <w:iCs/>
          <w:sz w:val="24"/>
          <w:szCs w:val="24"/>
        </w:rPr>
      </w:pPr>
      <w:r w:rsidRPr="00614E39">
        <w:rPr>
          <w:rFonts w:ascii="Arial" w:hAnsi="Arial" w:cs="Arial"/>
          <w:b/>
          <w:iCs/>
          <w:sz w:val="24"/>
          <w:szCs w:val="24"/>
        </w:rPr>
        <w:t>Chinese property market</w:t>
      </w:r>
      <w:r w:rsidRPr="00614E39">
        <w:rPr>
          <w:rFonts w:ascii="Arial" w:hAnsi="Arial" w:cs="Arial"/>
          <w:iCs/>
          <w:sz w:val="24"/>
          <w:szCs w:val="24"/>
        </w:rPr>
        <w:t xml:space="preserve"> </w:t>
      </w:r>
      <w:r w:rsidR="0056355B">
        <w:rPr>
          <w:rFonts w:ascii="Arial" w:hAnsi="Arial" w:cs="Arial"/>
          <w:iCs/>
          <w:sz w:val="24"/>
          <w:szCs w:val="24"/>
        </w:rPr>
        <w:t>-</w:t>
      </w:r>
      <w:r w:rsidR="0056355B" w:rsidRPr="00614E39">
        <w:rPr>
          <w:rFonts w:ascii="Arial" w:hAnsi="Arial" w:cs="Arial"/>
          <w:iCs/>
          <w:sz w:val="24"/>
          <w:szCs w:val="24"/>
        </w:rPr>
        <w:t xml:space="preserve"> </w:t>
      </w:r>
      <w:r w:rsidRPr="00614E39">
        <w:rPr>
          <w:rFonts w:ascii="Arial" w:hAnsi="Arial" w:cs="Arial"/>
          <w:iCs/>
          <w:sz w:val="24"/>
          <w:szCs w:val="24"/>
        </w:rPr>
        <w:t xml:space="preserve">new property market transactions sales down </w:t>
      </w:r>
      <w:r w:rsidR="00846F5B">
        <w:rPr>
          <w:rFonts w:ascii="Arial" w:hAnsi="Arial" w:cs="Arial"/>
          <w:iCs/>
          <w:sz w:val="24"/>
          <w:szCs w:val="24"/>
        </w:rPr>
        <w:t>11</w:t>
      </w:r>
      <w:r w:rsidRPr="00614E39">
        <w:rPr>
          <w:rFonts w:ascii="Arial" w:hAnsi="Arial" w:cs="Arial"/>
          <w:iCs/>
          <w:sz w:val="24"/>
          <w:szCs w:val="24"/>
        </w:rPr>
        <w:t xml:space="preserve">% </w:t>
      </w:r>
      <w:r>
        <w:rPr>
          <w:rFonts w:ascii="Arial" w:hAnsi="Arial" w:cs="Arial"/>
          <w:iCs/>
          <w:sz w:val="24"/>
          <w:szCs w:val="24"/>
        </w:rPr>
        <w:t xml:space="preserve">for the 12 months to December 2014 for </w:t>
      </w:r>
      <w:r w:rsidR="00037A15">
        <w:rPr>
          <w:rFonts w:ascii="Arial" w:hAnsi="Arial" w:cs="Arial"/>
          <w:iCs/>
          <w:sz w:val="24"/>
          <w:szCs w:val="24"/>
        </w:rPr>
        <w:t xml:space="preserve">the </w:t>
      </w:r>
      <w:r>
        <w:rPr>
          <w:rFonts w:ascii="Arial" w:hAnsi="Arial" w:cs="Arial"/>
          <w:iCs/>
          <w:sz w:val="24"/>
          <w:szCs w:val="24"/>
        </w:rPr>
        <w:t xml:space="preserve">17 cities in which B&amp;Q China operates, according to the China Real Estate Exchange. </w:t>
      </w:r>
    </w:p>
    <w:p w14:paraId="606773E5" w14:textId="77777777" w:rsidR="001D2341" w:rsidRDefault="001D2341" w:rsidP="00686158">
      <w:pPr>
        <w:rPr>
          <w:rFonts w:ascii="Arial" w:hAnsi="Arial" w:cs="Arial"/>
          <w:iCs/>
          <w:sz w:val="24"/>
          <w:szCs w:val="24"/>
        </w:rPr>
      </w:pPr>
    </w:p>
    <w:p w14:paraId="7BD614CB" w14:textId="66F9E3EE" w:rsidR="001D2341" w:rsidRPr="00705542" w:rsidRDefault="001D2341" w:rsidP="00657B3E">
      <w:pPr>
        <w:jc w:val="left"/>
        <w:rPr>
          <w:rFonts w:ascii="Arial" w:hAnsi="Arial" w:cs="Arial"/>
          <w:iCs/>
          <w:sz w:val="24"/>
          <w:szCs w:val="24"/>
        </w:rPr>
      </w:pPr>
      <w:r>
        <w:rPr>
          <w:rFonts w:ascii="Arial" w:hAnsi="Arial" w:cs="Arial"/>
          <w:b/>
          <w:iCs/>
          <w:sz w:val="24"/>
          <w:szCs w:val="24"/>
        </w:rPr>
        <w:t xml:space="preserve">Cut existing product </w:t>
      </w:r>
      <w:r w:rsidRPr="00657B3E">
        <w:rPr>
          <w:rFonts w:ascii="Arial" w:hAnsi="Arial" w:cs="Arial"/>
          <w:b/>
          <w:iCs/>
          <w:sz w:val="24"/>
          <w:szCs w:val="24"/>
        </w:rPr>
        <w:t>tail</w:t>
      </w:r>
      <w:r>
        <w:rPr>
          <w:rFonts w:ascii="Arial" w:hAnsi="Arial" w:cs="Arial"/>
          <w:iCs/>
          <w:sz w:val="24"/>
          <w:szCs w:val="24"/>
        </w:rPr>
        <w:t xml:space="preserve"> </w:t>
      </w:r>
      <w:r w:rsidR="00AB10CC">
        <w:rPr>
          <w:rFonts w:ascii="Arial" w:hAnsi="Arial" w:cs="Arial"/>
          <w:iCs/>
          <w:sz w:val="24"/>
          <w:szCs w:val="24"/>
        </w:rPr>
        <w:t xml:space="preserve">- </w:t>
      </w:r>
      <w:r>
        <w:rPr>
          <w:rFonts w:ascii="Arial" w:hAnsi="Arial" w:cs="Arial"/>
          <w:iCs/>
          <w:sz w:val="24"/>
          <w:szCs w:val="24"/>
        </w:rPr>
        <w:t xml:space="preserve">plan to reduce the number of </w:t>
      </w:r>
      <w:r w:rsidRPr="00487A65">
        <w:rPr>
          <w:rFonts w:ascii="Arial" w:hAnsi="Arial" w:cs="Arial"/>
          <w:iCs/>
          <w:sz w:val="24"/>
          <w:szCs w:val="24"/>
        </w:rPr>
        <w:t xml:space="preserve">delisted and ex-promotional ranges which do not form part of existing </w:t>
      </w:r>
      <w:r w:rsidRPr="00705542">
        <w:rPr>
          <w:rFonts w:ascii="Arial" w:hAnsi="Arial" w:cs="Arial"/>
          <w:iCs/>
          <w:sz w:val="24"/>
          <w:szCs w:val="24"/>
        </w:rPr>
        <w:t>retail planograms.</w:t>
      </w:r>
    </w:p>
    <w:p w14:paraId="2A753378" w14:textId="77777777" w:rsidR="00E652D5" w:rsidRPr="000971B9" w:rsidRDefault="00E652D5" w:rsidP="00421ED6">
      <w:pPr>
        <w:rPr>
          <w:rFonts w:ascii="Arial" w:hAnsi="Arial" w:cs="Arial"/>
          <w:iCs/>
          <w:sz w:val="24"/>
          <w:szCs w:val="24"/>
        </w:rPr>
      </w:pPr>
    </w:p>
    <w:p w14:paraId="6D4447C0" w14:textId="469ABAA9" w:rsidR="00E80A1D" w:rsidRPr="000971B9" w:rsidRDefault="00E80A1D" w:rsidP="00E80A1D">
      <w:pPr>
        <w:jc w:val="left"/>
        <w:rPr>
          <w:rFonts w:ascii="Arial" w:hAnsi="Arial" w:cs="Arial"/>
          <w:iCs/>
          <w:sz w:val="24"/>
          <w:szCs w:val="24"/>
        </w:rPr>
      </w:pPr>
      <w:r w:rsidRPr="000971B9">
        <w:rPr>
          <w:rFonts w:ascii="Arial" w:hAnsi="Arial" w:cs="Arial"/>
          <w:b/>
          <w:iCs/>
          <w:sz w:val="24"/>
          <w:szCs w:val="24"/>
        </w:rPr>
        <w:t>EBITDA</w:t>
      </w:r>
      <w:r w:rsidRPr="000971B9">
        <w:rPr>
          <w:rFonts w:ascii="Arial" w:hAnsi="Arial" w:cs="Arial"/>
          <w:iCs/>
          <w:sz w:val="24"/>
          <w:szCs w:val="24"/>
        </w:rPr>
        <w:t xml:space="preserve"> </w:t>
      </w:r>
      <w:r w:rsidR="009051DE" w:rsidRPr="000971B9">
        <w:rPr>
          <w:rFonts w:ascii="Arial" w:hAnsi="Arial" w:cs="Arial"/>
          <w:iCs/>
          <w:sz w:val="24"/>
          <w:szCs w:val="24"/>
        </w:rPr>
        <w:t xml:space="preserve">(earnings before interest, tax, depreciation and amortisation) </w:t>
      </w:r>
      <w:r w:rsidR="00846F5B">
        <w:rPr>
          <w:rFonts w:ascii="Arial" w:hAnsi="Arial" w:cs="Arial"/>
          <w:iCs/>
          <w:sz w:val="24"/>
          <w:szCs w:val="24"/>
        </w:rPr>
        <w:t>is</w:t>
      </w:r>
      <w:r w:rsidR="009051DE" w:rsidRPr="000971B9">
        <w:rPr>
          <w:rFonts w:ascii="Arial" w:hAnsi="Arial" w:cs="Arial"/>
          <w:iCs/>
          <w:sz w:val="24"/>
          <w:szCs w:val="24"/>
        </w:rPr>
        <w:t xml:space="preserve"> </w:t>
      </w:r>
      <w:r w:rsidRPr="000971B9">
        <w:rPr>
          <w:rFonts w:ascii="Arial" w:hAnsi="Arial" w:cs="Arial"/>
          <w:iCs/>
          <w:sz w:val="24"/>
          <w:szCs w:val="24"/>
        </w:rPr>
        <w:t xml:space="preserve">calculated as </w:t>
      </w:r>
      <w:r w:rsidR="003A4588">
        <w:rPr>
          <w:rFonts w:ascii="Arial" w:hAnsi="Arial" w:cs="Arial"/>
          <w:iCs/>
          <w:sz w:val="24"/>
          <w:szCs w:val="24"/>
        </w:rPr>
        <w:t>r</w:t>
      </w:r>
      <w:r w:rsidRPr="000971B9">
        <w:rPr>
          <w:rFonts w:ascii="Arial" w:hAnsi="Arial" w:cs="Arial"/>
          <w:iCs/>
          <w:sz w:val="24"/>
          <w:szCs w:val="24"/>
        </w:rPr>
        <w:t>etail profit less central costs and before depreciation and amortisation.</w:t>
      </w:r>
    </w:p>
    <w:p w14:paraId="6F8183B0" w14:textId="77777777" w:rsidR="00F60788" w:rsidRPr="000971B9" w:rsidRDefault="00F60788" w:rsidP="00E80A1D">
      <w:pPr>
        <w:jc w:val="left"/>
        <w:rPr>
          <w:rFonts w:ascii="Arial" w:hAnsi="Arial" w:cs="Arial"/>
          <w:iCs/>
          <w:sz w:val="24"/>
          <w:szCs w:val="24"/>
        </w:rPr>
      </w:pPr>
    </w:p>
    <w:p w14:paraId="56A5E95A" w14:textId="38F7AD8D" w:rsidR="00F60788" w:rsidRPr="000971B9" w:rsidRDefault="00F60788" w:rsidP="00E80A1D">
      <w:pPr>
        <w:jc w:val="left"/>
        <w:rPr>
          <w:rFonts w:ascii="Arial" w:hAnsi="Arial" w:cs="Arial"/>
          <w:i/>
          <w:sz w:val="18"/>
          <w:szCs w:val="18"/>
        </w:rPr>
      </w:pPr>
      <w:r w:rsidRPr="000971B9">
        <w:rPr>
          <w:rFonts w:ascii="Arial" w:hAnsi="Arial" w:cs="Arial"/>
          <w:b/>
          <w:iCs/>
          <w:sz w:val="24"/>
          <w:szCs w:val="24"/>
        </w:rPr>
        <w:t>EBITDAR</w:t>
      </w:r>
      <w:r w:rsidRPr="000971B9">
        <w:rPr>
          <w:rFonts w:ascii="Arial" w:hAnsi="Arial" w:cs="Arial"/>
          <w:iCs/>
          <w:sz w:val="24"/>
          <w:szCs w:val="24"/>
        </w:rPr>
        <w:t xml:space="preserve"> (earnings before interest, tax, depreciation, amortisation and property operating lease rentals) is c</w:t>
      </w:r>
      <w:r w:rsidR="005C6367" w:rsidRPr="000971B9">
        <w:rPr>
          <w:rFonts w:ascii="Arial" w:hAnsi="Arial" w:cs="Arial"/>
          <w:iCs/>
          <w:sz w:val="24"/>
          <w:szCs w:val="24"/>
        </w:rPr>
        <w:t xml:space="preserve">alculated as </w:t>
      </w:r>
      <w:r w:rsidR="003A4588">
        <w:rPr>
          <w:rFonts w:ascii="Arial" w:hAnsi="Arial" w:cs="Arial"/>
          <w:iCs/>
          <w:sz w:val="24"/>
          <w:szCs w:val="24"/>
        </w:rPr>
        <w:t>r</w:t>
      </w:r>
      <w:r w:rsidRPr="000971B9">
        <w:rPr>
          <w:rFonts w:ascii="Arial" w:hAnsi="Arial" w:cs="Arial"/>
          <w:iCs/>
          <w:sz w:val="24"/>
          <w:szCs w:val="24"/>
        </w:rPr>
        <w:t xml:space="preserve">etail profit less central costs, before depreciation and amortisation and property operating lease rentals. </w:t>
      </w:r>
    </w:p>
    <w:p w14:paraId="35F6099F" w14:textId="77777777" w:rsidR="00E80A1D" w:rsidRPr="000971B9" w:rsidRDefault="00E80A1D" w:rsidP="00E652D5">
      <w:pPr>
        <w:jc w:val="left"/>
        <w:rPr>
          <w:rFonts w:ascii="Arial" w:hAnsi="Arial" w:cs="Arial"/>
          <w:b/>
          <w:iCs/>
          <w:sz w:val="24"/>
          <w:szCs w:val="24"/>
        </w:rPr>
      </w:pPr>
    </w:p>
    <w:p w14:paraId="36779551" w14:textId="76DB513B" w:rsidR="0070301D" w:rsidRDefault="0070301D" w:rsidP="00E652D5">
      <w:pPr>
        <w:jc w:val="left"/>
        <w:rPr>
          <w:rFonts w:ascii="Arial" w:hAnsi="Arial" w:cs="Arial"/>
          <w:b/>
          <w:sz w:val="24"/>
          <w:szCs w:val="24"/>
        </w:rPr>
      </w:pPr>
      <w:r w:rsidRPr="005F081C">
        <w:rPr>
          <w:rFonts w:ascii="Arial" w:hAnsi="Arial" w:cs="Arial"/>
          <w:b/>
          <w:sz w:val="24"/>
          <w:szCs w:val="24"/>
        </w:rPr>
        <w:t>Europe</w:t>
      </w:r>
      <w:r>
        <w:rPr>
          <w:rFonts w:ascii="Arial" w:hAnsi="Arial" w:cs="Arial"/>
          <w:b/>
          <w:sz w:val="24"/>
          <w:szCs w:val="24"/>
        </w:rPr>
        <w:t>+</w:t>
      </w:r>
      <w:r w:rsidRPr="000E6C79">
        <w:rPr>
          <w:rFonts w:ascii="Arial" w:hAnsi="Arial" w:cs="Arial"/>
          <w:sz w:val="24"/>
          <w:szCs w:val="24"/>
        </w:rPr>
        <w:t xml:space="preserve"> consists of Europe and </w:t>
      </w:r>
      <w:r>
        <w:rPr>
          <w:rFonts w:ascii="Arial" w:hAnsi="Arial" w:cs="Arial"/>
          <w:sz w:val="24"/>
          <w:szCs w:val="24"/>
        </w:rPr>
        <w:t xml:space="preserve">its </w:t>
      </w:r>
      <w:r w:rsidRPr="000E6C79">
        <w:rPr>
          <w:rFonts w:ascii="Arial" w:hAnsi="Arial" w:cs="Arial"/>
          <w:sz w:val="24"/>
          <w:szCs w:val="24"/>
        </w:rPr>
        <w:t xml:space="preserve">bordering </w:t>
      </w:r>
      <w:r>
        <w:rPr>
          <w:rFonts w:ascii="Arial" w:hAnsi="Arial" w:cs="Arial"/>
          <w:sz w:val="24"/>
          <w:szCs w:val="24"/>
        </w:rPr>
        <w:t>countries</w:t>
      </w:r>
      <w:r w:rsidR="00B36CB4">
        <w:rPr>
          <w:rFonts w:ascii="Arial" w:hAnsi="Arial" w:cs="Arial"/>
          <w:sz w:val="24"/>
          <w:szCs w:val="24"/>
        </w:rPr>
        <w:t xml:space="preserve"> (e.g. Russia, Turkey)</w:t>
      </w:r>
      <w:r w:rsidR="00487A65">
        <w:rPr>
          <w:rFonts w:ascii="Arial" w:hAnsi="Arial" w:cs="Arial"/>
          <w:sz w:val="24"/>
          <w:szCs w:val="24"/>
        </w:rPr>
        <w:t>.</w:t>
      </w:r>
    </w:p>
    <w:p w14:paraId="5CBE34FE" w14:textId="77777777" w:rsidR="0070301D" w:rsidRDefault="0070301D" w:rsidP="00E652D5">
      <w:pPr>
        <w:jc w:val="left"/>
        <w:rPr>
          <w:rFonts w:ascii="Arial" w:hAnsi="Arial" w:cs="Arial"/>
          <w:b/>
          <w:iCs/>
          <w:sz w:val="24"/>
          <w:szCs w:val="24"/>
        </w:rPr>
      </w:pPr>
    </w:p>
    <w:p w14:paraId="3ADBF021" w14:textId="77777777" w:rsidR="00E652D5" w:rsidRPr="000971B9" w:rsidRDefault="00E652D5" w:rsidP="00E652D5">
      <w:pPr>
        <w:jc w:val="left"/>
        <w:rPr>
          <w:rFonts w:ascii="Arial" w:hAnsi="Arial" w:cs="Arial"/>
          <w:iCs/>
          <w:sz w:val="24"/>
          <w:szCs w:val="24"/>
        </w:rPr>
      </w:pPr>
      <w:r w:rsidRPr="000971B9">
        <w:rPr>
          <w:rFonts w:ascii="Arial" w:hAnsi="Arial" w:cs="Arial"/>
          <w:b/>
          <w:iCs/>
          <w:sz w:val="24"/>
          <w:szCs w:val="24"/>
        </w:rPr>
        <w:t>France</w:t>
      </w:r>
      <w:r w:rsidRPr="000971B9">
        <w:rPr>
          <w:rFonts w:ascii="Arial" w:hAnsi="Arial" w:cs="Arial"/>
          <w:iCs/>
          <w:sz w:val="24"/>
          <w:szCs w:val="24"/>
        </w:rPr>
        <w:t xml:space="preserve"> </w:t>
      </w:r>
      <w:r w:rsidR="00D71302" w:rsidRPr="000971B9">
        <w:rPr>
          <w:rFonts w:ascii="Arial" w:hAnsi="Arial" w:cs="Arial"/>
          <w:iCs/>
          <w:sz w:val="24"/>
          <w:szCs w:val="24"/>
        </w:rPr>
        <w:t>consists of</w:t>
      </w:r>
      <w:r w:rsidRPr="000971B9">
        <w:rPr>
          <w:rFonts w:ascii="Arial" w:hAnsi="Arial" w:cs="Arial"/>
          <w:iCs/>
          <w:sz w:val="24"/>
          <w:szCs w:val="24"/>
        </w:rPr>
        <w:t xml:space="preserve"> Castorama</w:t>
      </w:r>
      <w:r w:rsidR="00684C33" w:rsidRPr="000971B9">
        <w:rPr>
          <w:rFonts w:ascii="Arial" w:hAnsi="Arial" w:cs="Arial"/>
          <w:iCs/>
          <w:sz w:val="24"/>
          <w:szCs w:val="24"/>
        </w:rPr>
        <w:t xml:space="preserve"> France </w:t>
      </w:r>
      <w:r w:rsidRPr="000971B9">
        <w:rPr>
          <w:rFonts w:ascii="Arial" w:hAnsi="Arial" w:cs="Arial"/>
          <w:iCs/>
          <w:sz w:val="24"/>
          <w:szCs w:val="24"/>
        </w:rPr>
        <w:t>and Brico Dépôt</w:t>
      </w:r>
      <w:r w:rsidR="00684C33" w:rsidRPr="000971B9">
        <w:rPr>
          <w:rFonts w:ascii="Arial" w:hAnsi="Arial" w:cs="Arial"/>
          <w:iCs/>
          <w:sz w:val="24"/>
          <w:szCs w:val="24"/>
        </w:rPr>
        <w:t xml:space="preserve"> France</w:t>
      </w:r>
      <w:r w:rsidR="000045F9" w:rsidRPr="000971B9">
        <w:rPr>
          <w:rFonts w:ascii="Arial" w:hAnsi="Arial" w:cs="Arial"/>
          <w:iCs/>
          <w:sz w:val="24"/>
          <w:szCs w:val="24"/>
        </w:rPr>
        <w:t>.</w:t>
      </w:r>
    </w:p>
    <w:p w14:paraId="2297F3E3" w14:textId="77777777" w:rsidR="00E832E5" w:rsidRPr="000971B9" w:rsidRDefault="00E832E5" w:rsidP="00E652D5">
      <w:pPr>
        <w:jc w:val="left"/>
        <w:rPr>
          <w:rFonts w:ascii="Arial" w:hAnsi="Arial" w:cs="Arial"/>
          <w:iCs/>
          <w:sz w:val="24"/>
          <w:szCs w:val="24"/>
        </w:rPr>
      </w:pPr>
    </w:p>
    <w:p w14:paraId="3A741366" w14:textId="10C9D0FE" w:rsidR="00E832E5" w:rsidRPr="000971B9" w:rsidRDefault="00E832E5" w:rsidP="00E832E5">
      <w:pPr>
        <w:jc w:val="left"/>
        <w:rPr>
          <w:rFonts w:ascii="Arial" w:hAnsi="Arial" w:cs="Arial"/>
          <w:iCs/>
          <w:sz w:val="24"/>
          <w:szCs w:val="24"/>
        </w:rPr>
      </w:pPr>
      <w:r w:rsidRPr="000971B9">
        <w:rPr>
          <w:rFonts w:ascii="Arial" w:hAnsi="Arial" w:cs="Arial"/>
          <w:b/>
          <w:iCs/>
          <w:sz w:val="24"/>
          <w:szCs w:val="24"/>
        </w:rPr>
        <w:t xml:space="preserve">Free cash flow </w:t>
      </w:r>
      <w:r w:rsidRPr="000971B9">
        <w:rPr>
          <w:rFonts w:ascii="Arial" w:hAnsi="Arial" w:cs="Arial"/>
          <w:iCs/>
          <w:sz w:val="24"/>
          <w:szCs w:val="24"/>
        </w:rPr>
        <w:t xml:space="preserve">represents cash generated from operations less the amount spent on tax, interest and capital expenditure during the year (excluding </w:t>
      </w:r>
      <w:r w:rsidR="003A4588">
        <w:rPr>
          <w:rFonts w:ascii="Arial" w:hAnsi="Arial" w:cs="Arial"/>
          <w:iCs/>
          <w:sz w:val="24"/>
          <w:szCs w:val="24"/>
        </w:rPr>
        <w:t xml:space="preserve">business </w:t>
      </w:r>
      <w:r w:rsidRPr="000971B9">
        <w:rPr>
          <w:rFonts w:ascii="Arial" w:hAnsi="Arial" w:cs="Arial"/>
          <w:iCs/>
          <w:sz w:val="24"/>
          <w:szCs w:val="24"/>
        </w:rPr>
        <w:t>acquisitions</w:t>
      </w:r>
      <w:r w:rsidR="003A4588">
        <w:rPr>
          <w:rFonts w:ascii="Arial" w:hAnsi="Arial" w:cs="Arial"/>
          <w:iCs/>
          <w:sz w:val="24"/>
          <w:szCs w:val="24"/>
        </w:rPr>
        <w:t xml:space="preserve"> and disposals</w:t>
      </w:r>
      <w:r w:rsidRPr="000971B9">
        <w:rPr>
          <w:rFonts w:ascii="Arial" w:hAnsi="Arial" w:cs="Arial"/>
          <w:iCs/>
          <w:sz w:val="24"/>
          <w:szCs w:val="24"/>
        </w:rPr>
        <w:t>).</w:t>
      </w:r>
      <w:r w:rsidR="007F02C0" w:rsidRPr="000971B9">
        <w:rPr>
          <w:rFonts w:ascii="Arial" w:hAnsi="Arial" w:cs="Arial"/>
          <w:iCs/>
          <w:sz w:val="24"/>
          <w:szCs w:val="24"/>
        </w:rPr>
        <w:t xml:space="preserve"> A reconciliation from operating profit (before exceptional items) is set out in the Financial Review (Section </w:t>
      </w:r>
      <w:r w:rsidR="00846F5B">
        <w:rPr>
          <w:rFonts w:ascii="Arial" w:hAnsi="Arial" w:cs="Arial"/>
          <w:iCs/>
          <w:sz w:val="24"/>
          <w:szCs w:val="24"/>
        </w:rPr>
        <w:t>3</w:t>
      </w:r>
      <w:r w:rsidR="007F02C0" w:rsidRPr="000971B9">
        <w:rPr>
          <w:rFonts w:ascii="Arial" w:hAnsi="Arial" w:cs="Arial"/>
          <w:iCs/>
          <w:sz w:val="24"/>
          <w:szCs w:val="24"/>
        </w:rPr>
        <w:t xml:space="preserve">). </w:t>
      </w:r>
    </w:p>
    <w:p w14:paraId="1218F1EB" w14:textId="77777777" w:rsidR="00234FFB" w:rsidRPr="000971B9" w:rsidRDefault="00234FFB" w:rsidP="00E652D5">
      <w:pPr>
        <w:jc w:val="left"/>
        <w:rPr>
          <w:rFonts w:ascii="Arial" w:hAnsi="Arial" w:cs="Arial"/>
          <w:iCs/>
          <w:sz w:val="24"/>
          <w:szCs w:val="24"/>
        </w:rPr>
      </w:pPr>
    </w:p>
    <w:p w14:paraId="40037348" w14:textId="59C20799" w:rsidR="00846F5B" w:rsidRDefault="003A4588" w:rsidP="00E652D5">
      <w:pPr>
        <w:jc w:val="left"/>
        <w:rPr>
          <w:rFonts w:ascii="Arial" w:hAnsi="Arial" w:cs="Arial"/>
          <w:color w:val="000000" w:themeColor="text1"/>
          <w:sz w:val="24"/>
          <w:szCs w:val="24"/>
        </w:rPr>
      </w:pPr>
      <w:r>
        <w:rPr>
          <w:rFonts w:ascii="Arial" w:hAnsi="Arial" w:cs="Arial"/>
          <w:b/>
          <w:iCs/>
          <w:sz w:val="24"/>
          <w:szCs w:val="24"/>
        </w:rPr>
        <w:t xml:space="preserve">French </w:t>
      </w:r>
      <w:r w:rsidR="00094F50">
        <w:rPr>
          <w:rFonts w:ascii="Arial" w:hAnsi="Arial" w:cs="Arial"/>
          <w:b/>
          <w:iCs/>
          <w:sz w:val="24"/>
          <w:szCs w:val="24"/>
        </w:rPr>
        <w:t>house building</w:t>
      </w:r>
      <w:r>
        <w:rPr>
          <w:rFonts w:ascii="Arial" w:hAnsi="Arial" w:cs="Arial"/>
          <w:b/>
          <w:iCs/>
          <w:sz w:val="24"/>
          <w:szCs w:val="24"/>
        </w:rPr>
        <w:t xml:space="preserve"> market</w:t>
      </w:r>
      <w:r w:rsidR="00345DD4">
        <w:rPr>
          <w:rFonts w:ascii="Arial" w:hAnsi="Arial" w:cs="Arial"/>
          <w:b/>
          <w:iCs/>
          <w:sz w:val="24"/>
          <w:szCs w:val="24"/>
        </w:rPr>
        <w:t xml:space="preserve"> </w:t>
      </w:r>
      <w:r w:rsidR="00345DD4" w:rsidRPr="00B672B2">
        <w:rPr>
          <w:rFonts w:ascii="Arial" w:hAnsi="Arial" w:cs="Arial"/>
          <w:iCs/>
          <w:sz w:val="24"/>
          <w:szCs w:val="24"/>
        </w:rPr>
        <w:t xml:space="preserve">- </w:t>
      </w:r>
      <w:r w:rsidR="00345DD4">
        <w:rPr>
          <w:rFonts w:ascii="Arial" w:hAnsi="Arial" w:cs="Arial"/>
          <w:iCs/>
          <w:sz w:val="24"/>
          <w:szCs w:val="24"/>
        </w:rPr>
        <w:t>n</w:t>
      </w:r>
      <w:r w:rsidRPr="00614E39">
        <w:rPr>
          <w:rFonts w:ascii="Arial" w:hAnsi="Arial" w:cs="Arial"/>
          <w:iCs/>
          <w:sz w:val="24"/>
          <w:szCs w:val="24"/>
        </w:rPr>
        <w:t>ew housing starts and p</w:t>
      </w:r>
      <w:r>
        <w:rPr>
          <w:rFonts w:ascii="Arial" w:hAnsi="Arial" w:cs="Arial"/>
          <w:iCs/>
          <w:sz w:val="24"/>
          <w:szCs w:val="24"/>
        </w:rPr>
        <w:t>lanning consent data for the 12 months to January 2015</w:t>
      </w:r>
      <w:r w:rsidRPr="00614E39">
        <w:rPr>
          <w:rFonts w:ascii="Arial" w:hAnsi="Arial" w:cs="Arial"/>
          <w:iCs/>
          <w:sz w:val="24"/>
          <w:szCs w:val="24"/>
        </w:rPr>
        <w:t xml:space="preserve"> according to the Ministry of Housing.</w:t>
      </w:r>
    </w:p>
    <w:p w14:paraId="5F6A6C7E" w14:textId="2ADA84B6" w:rsidR="00846F5B" w:rsidRDefault="00485EE2" w:rsidP="00E652D5">
      <w:pPr>
        <w:jc w:val="left"/>
        <w:rPr>
          <w:rFonts w:ascii="Arial" w:hAnsi="Arial" w:cs="Arial"/>
          <w:color w:val="000000" w:themeColor="text1"/>
          <w:sz w:val="24"/>
          <w:szCs w:val="24"/>
        </w:rPr>
      </w:pPr>
      <w:hyperlink r:id="rId12" w:history="1">
        <w:r w:rsidR="00846F5B" w:rsidRPr="00D13ED2">
          <w:rPr>
            <w:rStyle w:val="Hyperlink"/>
            <w:rFonts w:ascii="Arial" w:hAnsi="Arial" w:cs="Arial"/>
            <w:sz w:val="24"/>
            <w:szCs w:val="24"/>
          </w:rPr>
          <w:t>http://www.statistiques.developpement-durable.gouv.fr/logement-construction/s/construction-logements.html</w:t>
        </w:r>
      </w:hyperlink>
    </w:p>
    <w:p w14:paraId="57D34F93" w14:textId="77777777" w:rsidR="003A4588" w:rsidRPr="00686158" w:rsidRDefault="003A4588" w:rsidP="00E652D5">
      <w:pPr>
        <w:jc w:val="left"/>
        <w:rPr>
          <w:rFonts w:ascii="Arial" w:hAnsi="Arial" w:cs="Arial"/>
          <w:iCs/>
          <w:sz w:val="24"/>
          <w:szCs w:val="24"/>
        </w:rPr>
      </w:pPr>
    </w:p>
    <w:p w14:paraId="60A0A7F2" w14:textId="77777777" w:rsidR="00A7352B" w:rsidRPr="000971B9" w:rsidRDefault="00234FFB" w:rsidP="00E652D5">
      <w:pPr>
        <w:jc w:val="left"/>
        <w:rPr>
          <w:rFonts w:ascii="Arial" w:hAnsi="Arial" w:cs="Arial"/>
          <w:iCs/>
          <w:sz w:val="24"/>
          <w:szCs w:val="24"/>
        </w:rPr>
      </w:pPr>
      <w:r w:rsidRPr="000971B9">
        <w:rPr>
          <w:rFonts w:ascii="Arial" w:hAnsi="Arial" w:cs="Arial"/>
          <w:b/>
          <w:iCs/>
          <w:sz w:val="24"/>
          <w:szCs w:val="24"/>
        </w:rPr>
        <w:t xml:space="preserve">FFVR </w:t>
      </w:r>
      <w:r w:rsidR="009051DE" w:rsidRPr="000971B9">
        <w:rPr>
          <w:rFonts w:ascii="Arial" w:hAnsi="Arial" w:cs="Arial"/>
          <w:iCs/>
          <w:sz w:val="24"/>
          <w:szCs w:val="24"/>
        </w:rPr>
        <w:t>(financing fair value remeasurements)</w:t>
      </w:r>
      <w:r w:rsidR="009051DE" w:rsidRPr="000971B9">
        <w:rPr>
          <w:rFonts w:ascii="Arial" w:hAnsi="Arial" w:cs="Arial"/>
          <w:b/>
          <w:iCs/>
          <w:sz w:val="24"/>
          <w:szCs w:val="24"/>
        </w:rPr>
        <w:t xml:space="preserve"> </w:t>
      </w:r>
      <w:r w:rsidR="00D2625F" w:rsidRPr="000971B9">
        <w:rPr>
          <w:rFonts w:ascii="Arial" w:hAnsi="Arial" w:cs="Arial"/>
          <w:iCs/>
          <w:sz w:val="24"/>
          <w:szCs w:val="24"/>
        </w:rPr>
        <w:t>r</w:t>
      </w:r>
      <w:r w:rsidR="00F44D08" w:rsidRPr="000971B9">
        <w:rPr>
          <w:rFonts w:ascii="Arial" w:hAnsi="Arial" w:cs="Arial"/>
          <w:iCs/>
          <w:sz w:val="24"/>
          <w:szCs w:val="24"/>
        </w:rPr>
        <w:t>epresents changes in the fair value of financing derivatives, excluding interest accruals, offset by fair value adjustments to the carrying value of borrowings and other hedged items under fair value hedge relationships.</w:t>
      </w:r>
    </w:p>
    <w:p w14:paraId="0E57DE30" w14:textId="77777777" w:rsidR="00F44D08" w:rsidRPr="000971B9" w:rsidRDefault="00F44D08" w:rsidP="00E652D5">
      <w:pPr>
        <w:jc w:val="left"/>
        <w:rPr>
          <w:rFonts w:ascii="Arial" w:hAnsi="Arial" w:cs="Arial"/>
          <w:b/>
          <w:iCs/>
          <w:sz w:val="24"/>
          <w:szCs w:val="24"/>
        </w:rPr>
      </w:pPr>
    </w:p>
    <w:p w14:paraId="384701C1" w14:textId="77777777" w:rsidR="000952F8" w:rsidRDefault="000952F8" w:rsidP="00506D26">
      <w:pPr>
        <w:jc w:val="left"/>
        <w:rPr>
          <w:rFonts w:ascii="Arial" w:hAnsi="Arial" w:cs="Arial"/>
          <w:b/>
          <w:iCs/>
          <w:sz w:val="24"/>
          <w:szCs w:val="24"/>
        </w:rPr>
      </w:pPr>
    </w:p>
    <w:p w14:paraId="171B1E16" w14:textId="77777777" w:rsidR="000952F8" w:rsidRDefault="000952F8" w:rsidP="00506D26">
      <w:pPr>
        <w:jc w:val="left"/>
        <w:rPr>
          <w:rFonts w:ascii="Arial" w:hAnsi="Arial" w:cs="Arial"/>
          <w:b/>
          <w:iCs/>
          <w:sz w:val="24"/>
          <w:szCs w:val="24"/>
        </w:rPr>
      </w:pPr>
    </w:p>
    <w:p w14:paraId="065DE4B9" w14:textId="77777777" w:rsidR="000952F8" w:rsidRDefault="000952F8" w:rsidP="00506D26">
      <w:pPr>
        <w:jc w:val="left"/>
        <w:rPr>
          <w:rFonts w:ascii="Arial" w:hAnsi="Arial" w:cs="Arial"/>
          <w:b/>
          <w:iCs/>
          <w:sz w:val="24"/>
          <w:szCs w:val="24"/>
        </w:rPr>
      </w:pPr>
    </w:p>
    <w:p w14:paraId="5B1C3F8F" w14:textId="77777777" w:rsidR="000952F8" w:rsidRDefault="000952F8" w:rsidP="00506D26">
      <w:pPr>
        <w:jc w:val="left"/>
        <w:rPr>
          <w:rFonts w:ascii="Arial" w:hAnsi="Arial" w:cs="Arial"/>
          <w:b/>
          <w:iCs/>
          <w:sz w:val="24"/>
          <w:szCs w:val="24"/>
        </w:rPr>
      </w:pPr>
    </w:p>
    <w:p w14:paraId="65BF2D2F" w14:textId="77777777" w:rsidR="000952F8" w:rsidRDefault="000952F8" w:rsidP="00506D26">
      <w:pPr>
        <w:jc w:val="left"/>
        <w:rPr>
          <w:rFonts w:ascii="Arial" w:hAnsi="Arial" w:cs="Arial"/>
          <w:b/>
          <w:iCs/>
          <w:sz w:val="24"/>
          <w:szCs w:val="24"/>
        </w:rPr>
      </w:pPr>
    </w:p>
    <w:p w14:paraId="723554EA" w14:textId="77777777" w:rsidR="000952F8" w:rsidRDefault="000952F8" w:rsidP="00506D26">
      <w:pPr>
        <w:jc w:val="left"/>
        <w:rPr>
          <w:rFonts w:ascii="Arial" w:hAnsi="Arial" w:cs="Arial"/>
          <w:b/>
          <w:iCs/>
          <w:sz w:val="24"/>
          <w:szCs w:val="24"/>
        </w:rPr>
      </w:pPr>
    </w:p>
    <w:p w14:paraId="030783FB" w14:textId="77777777" w:rsidR="000952F8" w:rsidRDefault="000952F8" w:rsidP="00506D26">
      <w:pPr>
        <w:jc w:val="left"/>
        <w:rPr>
          <w:rFonts w:ascii="Arial" w:hAnsi="Arial" w:cs="Arial"/>
          <w:b/>
          <w:iCs/>
          <w:sz w:val="24"/>
          <w:szCs w:val="24"/>
        </w:rPr>
      </w:pPr>
    </w:p>
    <w:p w14:paraId="5BF380CC" w14:textId="525EE81C" w:rsidR="00795AA8" w:rsidRPr="000971B9" w:rsidRDefault="00795AA8" w:rsidP="00506D26">
      <w:pPr>
        <w:jc w:val="left"/>
      </w:pPr>
      <w:r w:rsidRPr="000971B9">
        <w:rPr>
          <w:rFonts w:ascii="Arial" w:hAnsi="Arial" w:cs="Arial"/>
          <w:b/>
          <w:iCs/>
          <w:sz w:val="24"/>
          <w:szCs w:val="24"/>
        </w:rPr>
        <w:lastRenderedPageBreak/>
        <w:t>KEP</w:t>
      </w:r>
      <w:r w:rsidRPr="000971B9">
        <w:rPr>
          <w:b/>
          <w:bCs/>
        </w:rPr>
        <w:t xml:space="preserve"> </w:t>
      </w:r>
      <w:r w:rsidRPr="000971B9">
        <w:rPr>
          <w:rFonts w:ascii="Arial" w:hAnsi="Arial" w:cs="Arial"/>
          <w:iCs/>
          <w:sz w:val="24"/>
          <w:szCs w:val="24"/>
        </w:rPr>
        <w:t>(Kingfisher Economic Profit) represents earnings after a charge for the annual cost of capital employed in the business</w:t>
      </w:r>
      <w:r w:rsidR="00104D21" w:rsidRPr="00104D21">
        <w:rPr>
          <w:rFonts w:ascii="Arial" w:hAnsi="Arial" w:cs="Arial"/>
          <w:iCs/>
          <w:sz w:val="24"/>
          <w:szCs w:val="24"/>
        </w:rPr>
        <w:t xml:space="preserve"> </w:t>
      </w:r>
      <w:r w:rsidR="00487A65">
        <w:rPr>
          <w:rFonts w:ascii="Arial" w:hAnsi="Arial" w:cs="Arial"/>
          <w:iCs/>
          <w:sz w:val="24"/>
          <w:szCs w:val="24"/>
        </w:rPr>
        <w:t xml:space="preserve">and </w:t>
      </w:r>
      <w:r w:rsidR="00104D21" w:rsidRPr="00104D21">
        <w:rPr>
          <w:rFonts w:ascii="Arial" w:hAnsi="Arial" w:cs="Arial"/>
          <w:iCs/>
          <w:sz w:val="24"/>
          <w:szCs w:val="24"/>
        </w:rPr>
        <w:t>is derived from the concept of Economic Value Added</w:t>
      </w:r>
      <w:r w:rsidRPr="000971B9">
        <w:rPr>
          <w:rFonts w:ascii="Arial" w:hAnsi="Arial" w:cs="Arial"/>
          <w:iCs/>
          <w:sz w:val="24"/>
          <w:szCs w:val="24"/>
        </w:rPr>
        <w:t xml:space="preserve">. </w:t>
      </w:r>
      <w:r w:rsidR="00104D21" w:rsidRPr="00104D21">
        <w:rPr>
          <w:rFonts w:ascii="Arial" w:hAnsi="Arial" w:cs="Arial"/>
          <w:iCs/>
          <w:sz w:val="24"/>
          <w:szCs w:val="24"/>
        </w:rPr>
        <w:t xml:space="preserve">Management </w:t>
      </w:r>
      <w:r w:rsidR="008F6173">
        <w:rPr>
          <w:rFonts w:ascii="Arial" w:hAnsi="Arial" w:cs="Arial"/>
          <w:iCs/>
          <w:sz w:val="24"/>
          <w:szCs w:val="24"/>
        </w:rPr>
        <w:t>is</w:t>
      </w:r>
      <w:r w:rsidR="00104D21" w:rsidRPr="00104D21">
        <w:rPr>
          <w:rFonts w:ascii="Arial" w:hAnsi="Arial" w:cs="Arial"/>
          <w:iCs/>
          <w:sz w:val="24"/>
          <w:szCs w:val="24"/>
        </w:rPr>
        <w:t xml:space="preserve"> focused on KEP as a main measure of return on capital. It is used in the capital investment process to assess performance and drive returns in strategic plans. Earnings are defined as adjusted post-tax profit, excluding interest, property lease costs and exceptional items. A charge is then deducted by applying the weighted average cost of capital (WACC) to capital employed. For the purposes of consistency both WACC and capital employed are lease adjusted</w:t>
      </w:r>
      <w:r w:rsidR="000952F8">
        <w:rPr>
          <w:rFonts w:ascii="Arial" w:hAnsi="Arial" w:cs="Arial"/>
          <w:iCs/>
          <w:sz w:val="24"/>
          <w:szCs w:val="24"/>
        </w:rPr>
        <w:t xml:space="preserve"> and are adjusted for exceptional items</w:t>
      </w:r>
      <w:r w:rsidR="00104D21" w:rsidRPr="00104D21">
        <w:rPr>
          <w:rFonts w:ascii="Arial" w:hAnsi="Arial" w:cs="Arial"/>
          <w:iCs/>
          <w:sz w:val="24"/>
          <w:szCs w:val="24"/>
        </w:rPr>
        <w:t>. Leases are capitalised based on an estimate of their long-term property yields. In order to focus on controllable factors both WACC and long term property yields are based on those in place when KEP was introduced.</w:t>
      </w:r>
    </w:p>
    <w:p w14:paraId="27A0F624" w14:textId="77777777" w:rsidR="00795AA8" w:rsidRPr="000971B9" w:rsidRDefault="00795AA8" w:rsidP="00E652D5">
      <w:pPr>
        <w:jc w:val="left"/>
        <w:rPr>
          <w:rFonts w:ascii="Arial" w:hAnsi="Arial" w:cs="Arial"/>
          <w:b/>
          <w:iCs/>
          <w:sz w:val="24"/>
          <w:szCs w:val="24"/>
        </w:rPr>
      </w:pPr>
    </w:p>
    <w:p w14:paraId="650F895C" w14:textId="696FAC71" w:rsidR="00D650F8" w:rsidRPr="000971B9" w:rsidRDefault="00A7352B" w:rsidP="00E652D5">
      <w:pPr>
        <w:jc w:val="left"/>
        <w:rPr>
          <w:rFonts w:ascii="Arial" w:hAnsi="Arial" w:cs="Arial"/>
          <w:iCs/>
          <w:sz w:val="24"/>
          <w:szCs w:val="24"/>
        </w:rPr>
      </w:pPr>
      <w:r w:rsidRPr="000971B9">
        <w:rPr>
          <w:rFonts w:ascii="Arial" w:hAnsi="Arial" w:cs="Arial"/>
          <w:b/>
          <w:iCs/>
          <w:sz w:val="24"/>
          <w:szCs w:val="24"/>
        </w:rPr>
        <w:t>LFL</w:t>
      </w:r>
      <w:r w:rsidRPr="000971B9">
        <w:rPr>
          <w:rFonts w:ascii="Arial" w:hAnsi="Arial" w:cs="Arial"/>
          <w:iCs/>
          <w:sz w:val="24"/>
          <w:szCs w:val="24"/>
        </w:rPr>
        <w:t xml:space="preserve"> </w:t>
      </w:r>
      <w:r w:rsidR="00D2625F" w:rsidRPr="000971B9">
        <w:rPr>
          <w:rFonts w:ascii="Arial" w:hAnsi="Arial" w:cs="Arial"/>
          <w:iCs/>
          <w:sz w:val="24"/>
          <w:szCs w:val="24"/>
        </w:rPr>
        <w:t>stands for l</w:t>
      </w:r>
      <w:r w:rsidRPr="000971B9">
        <w:rPr>
          <w:rFonts w:ascii="Arial" w:hAnsi="Arial" w:cs="Arial"/>
          <w:iCs/>
          <w:sz w:val="24"/>
          <w:szCs w:val="24"/>
        </w:rPr>
        <w:t>ike-for-like sales growth represent</w:t>
      </w:r>
      <w:r w:rsidR="00345DD4">
        <w:rPr>
          <w:rFonts w:ascii="Arial" w:hAnsi="Arial" w:cs="Arial"/>
          <w:iCs/>
          <w:sz w:val="24"/>
          <w:szCs w:val="24"/>
        </w:rPr>
        <w:t>ing</w:t>
      </w:r>
      <w:r w:rsidRPr="000971B9">
        <w:rPr>
          <w:rFonts w:ascii="Arial" w:hAnsi="Arial" w:cs="Arial"/>
          <w:iCs/>
          <w:sz w:val="24"/>
          <w:szCs w:val="24"/>
        </w:rPr>
        <w:t xml:space="preserve"> the constant currency, year</w:t>
      </w:r>
      <w:r w:rsidR="00345DD4">
        <w:rPr>
          <w:rFonts w:ascii="Arial" w:hAnsi="Arial" w:cs="Arial"/>
          <w:iCs/>
          <w:sz w:val="24"/>
          <w:szCs w:val="24"/>
        </w:rPr>
        <w:t xml:space="preserve"> </w:t>
      </w:r>
      <w:r w:rsidRPr="000971B9">
        <w:rPr>
          <w:rFonts w:ascii="Arial" w:hAnsi="Arial" w:cs="Arial"/>
          <w:iCs/>
          <w:sz w:val="24"/>
          <w:szCs w:val="24"/>
        </w:rPr>
        <w:t>on</w:t>
      </w:r>
      <w:r w:rsidR="00345DD4">
        <w:rPr>
          <w:rFonts w:ascii="Arial" w:hAnsi="Arial" w:cs="Arial"/>
          <w:iCs/>
          <w:sz w:val="24"/>
          <w:szCs w:val="24"/>
        </w:rPr>
        <w:t xml:space="preserve"> </w:t>
      </w:r>
      <w:r w:rsidRPr="000971B9">
        <w:rPr>
          <w:rFonts w:ascii="Arial" w:hAnsi="Arial" w:cs="Arial"/>
          <w:iCs/>
          <w:sz w:val="24"/>
          <w:szCs w:val="24"/>
        </w:rPr>
        <w:t>year sales growth for stores that have been open for more than a year.</w:t>
      </w:r>
    </w:p>
    <w:p w14:paraId="201576CD" w14:textId="77777777" w:rsidR="00E652D5" w:rsidRPr="000971B9" w:rsidRDefault="00E652D5" w:rsidP="00421ED6">
      <w:pPr>
        <w:rPr>
          <w:rFonts w:ascii="Arial" w:hAnsi="Arial" w:cs="Arial"/>
          <w:iCs/>
          <w:sz w:val="24"/>
          <w:szCs w:val="24"/>
        </w:rPr>
      </w:pPr>
    </w:p>
    <w:p w14:paraId="3A332ACF" w14:textId="5AA47425" w:rsidR="001C43C3" w:rsidRDefault="001C43C3" w:rsidP="00E652D5">
      <w:pPr>
        <w:jc w:val="left"/>
        <w:rPr>
          <w:rFonts w:ascii="Arial" w:hAnsi="Arial" w:cs="Arial"/>
          <w:b/>
          <w:iCs/>
          <w:sz w:val="24"/>
          <w:szCs w:val="24"/>
        </w:rPr>
      </w:pPr>
      <w:r>
        <w:rPr>
          <w:rFonts w:ascii="Arial" w:hAnsi="Arial" w:cs="Arial"/>
          <w:b/>
          <w:iCs/>
          <w:sz w:val="24"/>
          <w:szCs w:val="24"/>
        </w:rPr>
        <w:t>MTN</w:t>
      </w:r>
      <w:r w:rsidRPr="0075047A">
        <w:rPr>
          <w:rFonts w:ascii="Arial" w:hAnsi="Arial" w:cs="Arial"/>
          <w:iCs/>
          <w:sz w:val="24"/>
          <w:szCs w:val="24"/>
        </w:rPr>
        <w:t xml:space="preserve"> </w:t>
      </w:r>
      <w:r>
        <w:rPr>
          <w:rFonts w:ascii="Arial" w:hAnsi="Arial" w:cs="Arial"/>
          <w:iCs/>
          <w:sz w:val="24"/>
          <w:szCs w:val="24"/>
        </w:rPr>
        <w:t>– Medium Term Note.</w:t>
      </w:r>
      <w:r w:rsidRPr="0075047A">
        <w:rPr>
          <w:rFonts w:ascii="Arial" w:hAnsi="Arial" w:cs="Arial"/>
          <w:iCs/>
          <w:sz w:val="24"/>
          <w:szCs w:val="24"/>
        </w:rPr>
        <w:t xml:space="preserve"> </w:t>
      </w:r>
    </w:p>
    <w:p w14:paraId="57FE120D" w14:textId="77777777" w:rsidR="001C43C3" w:rsidRDefault="001C43C3" w:rsidP="00E652D5">
      <w:pPr>
        <w:jc w:val="left"/>
        <w:rPr>
          <w:rFonts w:ascii="Arial" w:hAnsi="Arial" w:cs="Arial"/>
          <w:b/>
          <w:iCs/>
          <w:sz w:val="24"/>
          <w:szCs w:val="24"/>
        </w:rPr>
      </w:pPr>
    </w:p>
    <w:p w14:paraId="727B4AEB" w14:textId="096740DE" w:rsidR="007F02C0" w:rsidRPr="000971B9" w:rsidRDefault="007F02C0" w:rsidP="00E652D5">
      <w:pPr>
        <w:jc w:val="left"/>
        <w:rPr>
          <w:rFonts w:ascii="Arial" w:hAnsi="Arial" w:cs="Arial"/>
          <w:iCs/>
          <w:sz w:val="24"/>
          <w:szCs w:val="24"/>
        </w:rPr>
      </w:pPr>
      <w:r w:rsidRPr="000971B9">
        <w:rPr>
          <w:rFonts w:ascii="Arial" w:hAnsi="Arial" w:cs="Arial"/>
          <w:b/>
          <w:iCs/>
          <w:sz w:val="24"/>
          <w:szCs w:val="24"/>
        </w:rPr>
        <w:t xml:space="preserve">Net cash </w:t>
      </w:r>
      <w:r w:rsidRPr="000971B9">
        <w:rPr>
          <w:rFonts w:ascii="Arial" w:hAnsi="Arial" w:cs="Arial"/>
          <w:iCs/>
          <w:sz w:val="24"/>
          <w:szCs w:val="24"/>
        </w:rPr>
        <w:t xml:space="preserve">comprises borrowings and financing derivatives (excluding accrued interest), less cash and cash equivalents and </w:t>
      </w:r>
      <w:r w:rsidR="007C47AE">
        <w:rPr>
          <w:rFonts w:ascii="Arial" w:hAnsi="Arial" w:cs="Arial"/>
          <w:iCs/>
          <w:sz w:val="24"/>
          <w:szCs w:val="24"/>
        </w:rPr>
        <w:t>other short term deposits</w:t>
      </w:r>
      <w:r w:rsidRPr="000971B9">
        <w:rPr>
          <w:rFonts w:ascii="Arial" w:hAnsi="Arial" w:cs="Arial"/>
          <w:iCs/>
          <w:sz w:val="24"/>
          <w:szCs w:val="24"/>
        </w:rPr>
        <w:t xml:space="preserve">. </w:t>
      </w:r>
    </w:p>
    <w:p w14:paraId="7EF61F44" w14:textId="77777777" w:rsidR="007F02C0" w:rsidRPr="000971B9" w:rsidRDefault="007F02C0" w:rsidP="00E652D5">
      <w:pPr>
        <w:jc w:val="left"/>
        <w:rPr>
          <w:rFonts w:ascii="Arial" w:hAnsi="Arial" w:cs="Arial"/>
          <w:iCs/>
          <w:sz w:val="24"/>
          <w:szCs w:val="24"/>
        </w:rPr>
      </w:pPr>
    </w:p>
    <w:p w14:paraId="431A6452" w14:textId="736E218D" w:rsidR="003A4588" w:rsidRDefault="003A4588" w:rsidP="00E652D5">
      <w:pPr>
        <w:jc w:val="left"/>
        <w:rPr>
          <w:rFonts w:ascii="Arial" w:hAnsi="Arial" w:cs="Arial"/>
          <w:iCs/>
          <w:sz w:val="24"/>
          <w:szCs w:val="24"/>
        </w:rPr>
      </w:pPr>
      <w:r>
        <w:rPr>
          <w:rFonts w:ascii="Arial" w:hAnsi="Arial" w:cs="Arial"/>
          <w:b/>
          <w:iCs/>
          <w:sz w:val="24"/>
          <w:szCs w:val="24"/>
        </w:rPr>
        <w:t xml:space="preserve">New country development </w:t>
      </w:r>
      <w:r>
        <w:rPr>
          <w:rFonts w:ascii="Arial" w:hAnsi="Arial" w:cs="Arial"/>
          <w:iCs/>
          <w:sz w:val="24"/>
          <w:szCs w:val="24"/>
        </w:rPr>
        <w:t xml:space="preserve">consists of </w:t>
      </w:r>
      <w:r w:rsidR="00135512">
        <w:rPr>
          <w:rFonts w:ascii="Arial" w:hAnsi="Arial" w:cs="Arial"/>
          <w:iCs/>
          <w:sz w:val="24"/>
          <w:szCs w:val="24"/>
        </w:rPr>
        <w:t xml:space="preserve">Germany, </w:t>
      </w:r>
      <w:r>
        <w:rPr>
          <w:rFonts w:ascii="Arial" w:hAnsi="Arial" w:cs="Arial"/>
          <w:iCs/>
          <w:sz w:val="24"/>
          <w:szCs w:val="24"/>
        </w:rPr>
        <w:t>Portugal</w:t>
      </w:r>
      <w:r w:rsidR="00135512">
        <w:rPr>
          <w:rFonts w:ascii="Arial" w:hAnsi="Arial" w:cs="Arial"/>
          <w:iCs/>
          <w:sz w:val="24"/>
          <w:szCs w:val="24"/>
        </w:rPr>
        <w:t xml:space="preserve"> and</w:t>
      </w:r>
      <w:r>
        <w:rPr>
          <w:rFonts w:ascii="Arial" w:hAnsi="Arial" w:cs="Arial"/>
          <w:iCs/>
          <w:sz w:val="24"/>
          <w:szCs w:val="24"/>
        </w:rPr>
        <w:t xml:space="preserve"> Romania</w:t>
      </w:r>
      <w:r w:rsidR="00135512">
        <w:rPr>
          <w:rFonts w:ascii="Arial" w:hAnsi="Arial" w:cs="Arial"/>
          <w:iCs/>
          <w:sz w:val="24"/>
          <w:szCs w:val="24"/>
        </w:rPr>
        <w:t>.</w:t>
      </w:r>
      <w:r>
        <w:rPr>
          <w:rFonts w:ascii="Arial" w:hAnsi="Arial" w:cs="Arial"/>
          <w:iCs/>
          <w:sz w:val="24"/>
          <w:szCs w:val="24"/>
        </w:rPr>
        <w:t xml:space="preserve"> </w:t>
      </w:r>
    </w:p>
    <w:p w14:paraId="668777ED" w14:textId="77777777" w:rsidR="003A4588" w:rsidRPr="00686158" w:rsidRDefault="003A4588" w:rsidP="00E652D5">
      <w:pPr>
        <w:jc w:val="left"/>
        <w:rPr>
          <w:rFonts w:ascii="Arial" w:hAnsi="Arial" w:cs="Arial"/>
          <w:iCs/>
          <w:sz w:val="24"/>
          <w:szCs w:val="24"/>
        </w:rPr>
      </w:pPr>
    </w:p>
    <w:p w14:paraId="1BC91F37" w14:textId="77777777" w:rsidR="00345DD4" w:rsidRDefault="00A83A46" w:rsidP="00E652D5">
      <w:pPr>
        <w:jc w:val="left"/>
        <w:rPr>
          <w:rFonts w:ascii="Arial" w:hAnsi="Arial" w:cs="Arial"/>
          <w:iCs/>
          <w:sz w:val="24"/>
          <w:szCs w:val="24"/>
        </w:rPr>
      </w:pPr>
      <w:r w:rsidRPr="000971B9">
        <w:rPr>
          <w:rFonts w:ascii="Arial" w:hAnsi="Arial" w:cs="Arial"/>
          <w:b/>
          <w:iCs/>
          <w:sz w:val="24"/>
          <w:szCs w:val="24"/>
        </w:rPr>
        <w:t xml:space="preserve">Omnichannel </w:t>
      </w:r>
      <w:r w:rsidRPr="000971B9">
        <w:rPr>
          <w:rFonts w:ascii="Arial" w:hAnsi="Arial" w:cs="Arial"/>
          <w:iCs/>
          <w:sz w:val="24"/>
          <w:szCs w:val="24"/>
        </w:rPr>
        <w:t>- allowing customers to shop with us in any way they prefer</w:t>
      </w:r>
      <w:r w:rsidR="00345DD4">
        <w:rPr>
          <w:rFonts w:ascii="Arial" w:hAnsi="Arial" w:cs="Arial"/>
          <w:iCs/>
          <w:sz w:val="24"/>
          <w:szCs w:val="24"/>
        </w:rPr>
        <w:t>.</w:t>
      </w:r>
    </w:p>
    <w:p w14:paraId="78BBFED8" w14:textId="77777777" w:rsidR="00A83A46" w:rsidRPr="000971B9" w:rsidRDefault="00A83A46" w:rsidP="00E652D5">
      <w:pPr>
        <w:jc w:val="left"/>
        <w:rPr>
          <w:rFonts w:ascii="Arial" w:hAnsi="Arial" w:cs="Arial"/>
          <w:b/>
          <w:iCs/>
          <w:sz w:val="24"/>
          <w:szCs w:val="24"/>
        </w:rPr>
      </w:pPr>
    </w:p>
    <w:p w14:paraId="5F2C9AA1" w14:textId="77777777" w:rsidR="008A7B91" w:rsidRPr="000971B9" w:rsidRDefault="00E652D5" w:rsidP="00E652D5">
      <w:pPr>
        <w:jc w:val="left"/>
        <w:rPr>
          <w:rFonts w:ascii="Arial" w:hAnsi="Arial" w:cs="Arial"/>
          <w:iCs/>
          <w:sz w:val="24"/>
          <w:szCs w:val="24"/>
        </w:rPr>
      </w:pPr>
      <w:r w:rsidRPr="000971B9">
        <w:rPr>
          <w:rFonts w:ascii="Arial" w:hAnsi="Arial" w:cs="Arial"/>
          <w:b/>
          <w:iCs/>
          <w:sz w:val="24"/>
          <w:szCs w:val="24"/>
        </w:rPr>
        <w:t>Other International</w:t>
      </w:r>
      <w:r w:rsidRPr="000971B9">
        <w:rPr>
          <w:rFonts w:ascii="Arial" w:hAnsi="Arial" w:cs="Arial"/>
          <w:iCs/>
          <w:sz w:val="24"/>
          <w:szCs w:val="24"/>
        </w:rPr>
        <w:t xml:space="preserve"> </w:t>
      </w:r>
      <w:r w:rsidR="00F00FB3" w:rsidRPr="000971B9">
        <w:rPr>
          <w:rFonts w:ascii="Arial" w:hAnsi="Arial" w:cs="Arial"/>
          <w:iCs/>
          <w:sz w:val="24"/>
          <w:szCs w:val="24"/>
        </w:rPr>
        <w:t>consists of</w:t>
      </w:r>
      <w:r w:rsidRPr="000971B9">
        <w:rPr>
          <w:rFonts w:ascii="Arial" w:hAnsi="Arial" w:cs="Arial"/>
          <w:iCs/>
          <w:sz w:val="24"/>
          <w:szCs w:val="24"/>
        </w:rPr>
        <w:t xml:space="preserve"> China, </w:t>
      </w:r>
      <w:r w:rsidR="003A4588">
        <w:rPr>
          <w:rFonts w:ascii="Arial" w:hAnsi="Arial" w:cs="Arial"/>
          <w:iCs/>
          <w:sz w:val="24"/>
          <w:szCs w:val="24"/>
        </w:rPr>
        <w:t xml:space="preserve">Germany, </w:t>
      </w:r>
      <w:r w:rsidRPr="000971B9">
        <w:rPr>
          <w:rFonts w:ascii="Arial" w:hAnsi="Arial" w:cs="Arial"/>
          <w:iCs/>
          <w:sz w:val="24"/>
          <w:szCs w:val="24"/>
        </w:rPr>
        <w:t xml:space="preserve">Poland, </w:t>
      </w:r>
      <w:r w:rsidR="003A4588">
        <w:rPr>
          <w:rFonts w:ascii="Arial" w:hAnsi="Arial" w:cs="Arial"/>
          <w:iCs/>
          <w:sz w:val="24"/>
          <w:szCs w:val="24"/>
        </w:rPr>
        <w:t xml:space="preserve">Portugal, </w:t>
      </w:r>
      <w:r w:rsidRPr="000971B9">
        <w:rPr>
          <w:rFonts w:ascii="Arial" w:hAnsi="Arial" w:cs="Arial"/>
          <w:iCs/>
          <w:sz w:val="24"/>
          <w:szCs w:val="24"/>
        </w:rPr>
        <w:t>Romania, Russia, Spain</w:t>
      </w:r>
      <w:r w:rsidR="003A4588">
        <w:rPr>
          <w:rFonts w:ascii="Arial" w:hAnsi="Arial" w:cs="Arial"/>
          <w:iCs/>
          <w:sz w:val="24"/>
          <w:szCs w:val="24"/>
        </w:rPr>
        <w:t xml:space="preserve"> and</w:t>
      </w:r>
      <w:r w:rsidRPr="000971B9">
        <w:rPr>
          <w:rFonts w:ascii="Arial" w:hAnsi="Arial" w:cs="Arial"/>
          <w:iCs/>
          <w:sz w:val="24"/>
          <w:szCs w:val="24"/>
        </w:rPr>
        <w:t xml:space="preserve"> Turkey</w:t>
      </w:r>
      <w:r w:rsidR="00F00FB3" w:rsidRPr="000971B9">
        <w:rPr>
          <w:rFonts w:ascii="Arial" w:hAnsi="Arial" w:cs="Arial"/>
          <w:iCs/>
          <w:sz w:val="24"/>
          <w:szCs w:val="24"/>
        </w:rPr>
        <w:t xml:space="preserve"> (Koçtaş</w:t>
      </w:r>
      <w:r w:rsidRPr="000971B9">
        <w:rPr>
          <w:rFonts w:ascii="Arial" w:hAnsi="Arial" w:cs="Arial"/>
          <w:iCs/>
          <w:sz w:val="24"/>
          <w:szCs w:val="24"/>
        </w:rPr>
        <w:t xml:space="preserve"> J</w:t>
      </w:r>
      <w:r w:rsidR="003A4588">
        <w:rPr>
          <w:rFonts w:ascii="Arial" w:hAnsi="Arial" w:cs="Arial"/>
          <w:iCs/>
          <w:sz w:val="24"/>
          <w:szCs w:val="24"/>
        </w:rPr>
        <w:t>V).</w:t>
      </w:r>
    </w:p>
    <w:p w14:paraId="4D34FD8F" w14:textId="77777777" w:rsidR="00BF0801" w:rsidRPr="000971B9" w:rsidRDefault="00BF0801" w:rsidP="00E652D5">
      <w:pPr>
        <w:jc w:val="left"/>
        <w:rPr>
          <w:rFonts w:ascii="Arial" w:hAnsi="Arial" w:cs="Arial"/>
          <w:iCs/>
          <w:sz w:val="24"/>
          <w:szCs w:val="24"/>
        </w:rPr>
      </w:pPr>
    </w:p>
    <w:p w14:paraId="45BB9707" w14:textId="7CC69EAF" w:rsidR="009E71FD" w:rsidRPr="00105A25" w:rsidRDefault="009E71FD" w:rsidP="009E71FD">
      <w:pPr>
        <w:rPr>
          <w:rFonts w:ascii="Arial" w:hAnsi="Arial" w:cs="Arial"/>
          <w:iCs/>
          <w:sz w:val="24"/>
          <w:szCs w:val="24"/>
        </w:rPr>
      </w:pPr>
      <w:r w:rsidRPr="00044BCA">
        <w:rPr>
          <w:rFonts w:ascii="Arial" w:hAnsi="Arial" w:cs="Arial"/>
          <w:b/>
          <w:iCs/>
          <w:sz w:val="24"/>
          <w:szCs w:val="24"/>
        </w:rPr>
        <w:t>Planogram </w:t>
      </w:r>
      <w:r w:rsidRPr="00487A65">
        <w:rPr>
          <w:rFonts w:ascii="Arial" w:hAnsi="Arial" w:cs="Arial"/>
          <w:color w:val="222222"/>
          <w:sz w:val="24"/>
          <w:szCs w:val="24"/>
          <w:shd w:val="clear" w:color="auto" w:fill="FFFFFF"/>
        </w:rPr>
        <w:t xml:space="preserve">- </w:t>
      </w:r>
      <w:r w:rsidRPr="00105A25">
        <w:rPr>
          <w:rFonts w:ascii="Arial" w:hAnsi="Arial" w:cs="Arial"/>
          <w:iCs/>
          <w:sz w:val="24"/>
          <w:szCs w:val="24"/>
        </w:rPr>
        <w:t>a diagram that shows how and where specific retail products should be placed on retail shelves or displays</w:t>
      </w:r>
      <w:r w:rsidR="00487A65" w:rsidRPr="00487A65">
        <w:rPr>
          <w:rFonts w:ascii="Arial" w:hAnsi="Arial" w:cs="Arial"/>
          <w:iCs/>
          <w:sz w:val="24"/>
          <w:szCs w:val="24"/>
        </w:rPr>
        <w:t>.</w:t>
      </w:r>
    </w:p>
    <w:p w14:paraId="30B8206A" w14:textId="77777777" w:rsidR="00822DB1" w:rsidRPr="00657B3E" w:rsidRDefault="00822DB1" w:rsidP="00EA6927">
      <w:pPr>
        <w:jc w:val="left"/>
        <w:rPr>
          <w:rFonts w:ascii="Arial" w:hAnsi="Arial" w:cs="Arial"/>
          <w:iCs/>
          <w:sz w:val="24"/>
          <w:szCs w:val="24"/>
        </w:rPr>
      </w:pPr>
    </w:p>
    <w:p w14:paraId="04F04672" w14:textId="44A9C537" w:rsidR="00421ED6" w:rsidRPr="000971B9" w:rsidRDefault="00421ED6" w:rsidP="00EA6927">
      <w:pPr>
        <w:jc w:val="left"/>
        <w:rPr>
          <w:rFonts w:ascii="Arial" w:hAnsi="Arial" w:cs="Arial"/>
          <w:iCs/>
          <w:sz w:val="24"/>
          <w:szCs w:val="24"/>
        </w:rPr>
      </w:pPr>
      <w:r w:rsidRPr="000971B9">
        <w:rPr>
          <w:rFonts w:ascii="Arial" w:hAnsi="Arial" w:cs="Arial"/>
          <w:b/>
          <w:iCs/>
          <w:sz w:val="24"/>
          <w:szCs w:val="24"/>
        </w:rPr>
        <w:t>Retail profit</w:t>
      </w:r>
      <w:r w:rsidRPr="000971B9">
        <w:rPr>
          <w:rFonts w:ascii="Arial" w:hAnsi="Arial" w:cs="Arial"/>
          <w:iCs/>
          <w:sz w:val="24"/>
          <w:szCs w:val="24"/>
        </w:rPr>
        <w:t xml:space="preserve"> is operating profit stated before central costs, exceptional items, amortisation of acquisition intangibles and the Group’s share of interest and tax of JVs and associates. </w:t>
      </w:r>
      <w:r w:rsidR="00DC3752">
        <w:rPr>
          <w:rFonts w:ascii="Arial" w:hAnsi="Arial" w:cs="Arial"/>
          <w:iCs/>
          <w:sz w:val="24"/>
          <w:szCs w:val="24"/>
        </w:rPr>
        <w:t xml:space="preserve">2013/14 comparatives have been restated </w:t>
      </w:r>
      <w:r w:rsidR="00345DD4">
        <w:rPr>
          <w:rFonts w:ascii="Arial" w:hAnsi="Arial" w:cs="Arial"/>
          <w:iCs/>
          <w:sz w:val="24"/>
          <w:szCs w:val="24"/>
        </w:rPr>
        <w:t xml:space="preserve">to </w:t>
      </w:r>
      <w:r w:rsidR="00DC3752">
        <w:rPr>
          <w:rFonts w:ascii="Arial" w:hAnsi="Arial" w:cs="Arial"/>
          <w:iCs/>
          <w:sz w:val="24"/>
          <w:szCs w:val="24"/>
        </w:rPr>
        <w:t>exclud</w:t>
      </w:r>
      <w:r w:rsidR="00345DD4">
        <w:rPr>
          <w:rFonts w:ascii="Arial" w:hAnsi="Arial" w:cs="Arial"/>
          <w:iCs/>
          <w:sz w:val="24"/>
          <w:szCs w:val="24"/>
        </w:rPr>
        <w:t>e</w:t>
      </w:r>
      <w:r w:rsidR="00DC3752">
        <w:rPr>
          <w:rFonts w:ascii="Arial" w:hAnsi="Arial" w:cs="Arial"/>
          <w:iCs/>
          <w:sz w:val="24"/>
          <w:szCs w:val="24"/>
        </w:rPr>
        <w:t xml:space="preserve"> the share of Hornbach operating profit. </w:t>
      </w:r>
    </w:p>
    <w:p w14:paraId="10CB41AF" w14:textId="77777777" w:rsidR="00421ED6" w:rsidRPr="000971B9" w:rsidRDefault="00421ED6" w:rsidP="00421ED6">
      <w:pPr>
        <w:tabs>
          <w:tab w:val="left" w:pos="357"/>
        </w:tabs>
        <w:ind w:right="-282"/>
        <w:jc w:val="left"/>
        <w:rPr>
          <w:rFonts w:ascii="Arial" w:hAnsi="Arial" w:cs="Arial"/>
          <w:b/>
          <w:sz w:val="24"/>
          <w:szCs w:val="24"/>
        </w:rPr>
      </w:pPr>
    </w:p>
    <w:p w14:paraId="71C77DAC" w14:textId="78DA0876" w:rsidR="00B13D19" w:rsidRDefault="00B13D19" w:rsidP="00421ED6">
      <w:pPr>
        <w:tabs>
          <w:tab w:val="left" w:pos="357"/>
        </w:tabs>
        <w:ind w:right="-282"/>
        <w:jc w:val="left"/>
        <w:rPr>
          <w:rFonts w:ascii="Arial" w:hAnsi="Arial" w:cs="Arial"/>
          <w:b/>
          <w:sz w:val="24"/>
          <w:szCs w:val="24"/>
        </w:rPr>
      </w:pPr>
      <w:r>
        <w:rPr>
          <w:rFonts w:ascii="Arial" w:hAnsi="Arial" w:cs="Arial"/>
          <w:b/>
          <w:sz w:val="24"/>
          <w:szCs w:val="24"/>
        </w:rPr>
        <w:t>Right-size</w:t>
      </w:r>
      <w:r w:rsidR="00A053D6" w:rsidRPr="00105A25">
        <w:rPr>
          <w:rFonts w:ascii="Arial" w:hAnsi="Arial" w:cs="Arial"/>
          <w:sz w:val="24"/>
          <w:szCs w:val="24"/>
        </w:rPr>
        <w:t xml:space="preserve"> refers to</w:t>
      </w:r>
      <w:r w:rsidR="00A053D6">
        <w:rPr>
          <w:rFonts w:ascii="Arial" w:hAnsi="Arial" w:cs="Arial"/>
          <w:sz w:val="24"/>
          <w:szCs w:val="24"/>
        </w:rPr>
        <w:t xml:space="preserve"> the space optimisation programme of B&amp;Q’s property estate (covering downsizing, relocations and closures)</w:t>
      </w:r>
      <w:r w:rsidR="00D70047">
        <w:rPr>
          <w:rFonts w:ascii="Arial" w:hAnsi="Arial" w:cs="Arial"/>
          <w:sz w:val="24"/>
          <w:szCs w:val="24"/>
        </w:rPr>
        <w:t>.</w:t>
      </w:r>
      <w:r w:rsidR="00A053D6">
        <w:rPr>
          <w:rFonts w:ascii="Arial" w:hAnsi="Arial" w:cs="Arial"/>
          <w:sz w:val="24"/>
          <w:szCs w:val="24"/>
        </w:rPr>
        <w:t xml:space="preserve"> </w:t>
      </w:r>
    </w:p>
    <w:p w14:paraId="0D2D3024" w14:textId="77777777" w:rsidR="00B13D19" w:rsidRDefault="00B13D19" w:rsidP="00421ED6">
      <w:pPr>
        <w:tabs>
          <w:tab w:val="left" w:pos="357"/>
        </w:tabs>
        <w:ind w:right="-282"/>
        <w:jc w:val="left"/>
        <w:rPr>
          <w:rFonts w:ascii="Arial" w:hAnsi="Arial" w:cs="Arial"/>
          <w:b/>
          <w:sz w:val="24"/>
          <w:szCs w:val="24"/>
        </w:rPr>
      </w:pPr>
    </w:p>
    <w:p w14:paraId="7CA08A24" w14:textId="0E807486" w:rsidR="00421ED6" w:rsidRPr="000971B9" w:rsidRDefault="00421ED6" w:rsidP="00421ED6">
      <w:pPr>
        <w:tabs>
          <w:tab w:val="left" w:pos="357"/>
        </w:tabs>
        <w:ind w:right="-282"/>
        <w:jc w:val="left"/>
        <w:rPr>
          <w:rFonts w:ascii="Arial" w:hAnsi="Arial" w:cs="Arial"/>
          <w:iCs/>
          <w:sz w:val="24"/>
          <w:szCs w:val="24"/>
        </w:rPr>
      </w:pPr>
      <w:r w:rsidRPr="000971B9">
        <w:rPr>
          <w:rFonts w:ascii="Arial" w:hAnsi="Arial" w:cs="Arial"/>
          <w:b/>
          <w:sz w:val="24"/>
          <w:szCs w:val="24"/>
        </w:rPr>
        <w:t>Sales</w:t>
      </w:r>
      <w:r w:rsidRPr="000971B9">
        <w:rPr>
          <w:rFonts w:ascii="Arial" w:hAnsi="Arial" w:cs="Arial"/>
          <w:iCs/>
          <w:sz w:val="24"/>
          <w:szCs w:val="24"/>
        </w:rPr>
        <w:t xml:space="preserve"> </w:t>
      </w:r>
      <w:r w:rsidR="00345DD4">
        <w:rPr>
          <w:rFonts w:ascii="Arial" w:hAnsi="Arial" w:cs="Arial"/>
          <w:iCs/>
          <w:sz w:val="24"/>
          <w:szCs w:val="24"/>
        </w:rPr>
        <w:t xml:space="preserve">- </w:t>
      </w:r>
      <w:r w:rsidR="00DC3752">
        <w:rPr>
          <w:rFonts w:ascii="Arial" w:hAnsi="Arial" w:cs="Arial"/>
          <w:iCs/>
          <w:sz w:val="24"/>
          <w:szCs w:val="24"/>
        </w:rPr>
        <w:t xml:space="preserve">Group sales exclude </w:t>
      </w:r>
      <w:r w:rsidRPr="000971B9">
        <w:rPr>
          <w:rFonts w:ascii="Arial" w:hAnsi="Arial" w:cs="Arial"/>
          <w:iCs/>
          <w:sz w:val="24"/>
          <w:szCs w:val="24"/>
        </w:rPr>
        <w:t>Joint Venture (Koçtaş JV) sales</w:t>
      </w:r>
      <w:r w:rsidR="00DC3752">
        <w:rPr>
          <w:rFonts w:ascii="Arial" w:hAnsi="Arial" w:cs="Arial"/>
          <w:iCs/>
          <w:sz w:val="24"/>
          <w:szCs w:val="24"/>
        </w:rPr>
        <w:t>.</w:t>
      </w:r>
      <w:r w:rsidRPr="000971B9">
        <w:rPr>
          <w:rFonts w:ascii="Arial" w:hAnsi="Arial" w:cs="Arial"/>
          <w:iCs/>
          <w:sz w:val="24"/>
          <w:szCs w:val="24"/>
        </w:rPr>
        <w:t xml:space="preserve"> </w:t>
      </w:r>
    </w:p>
    <w:p w14:paraId="35E08B41" w14:textId="77777777" w:rsidR="00234FFB" w:rsidRPr="000971B9" w:rsidRDefault="00234FFB" w:rsidP="00EA6927">
      <w:pPr>
        <w:jc w:val="left"/>
        <w:rPr>
          <w:rFonts w:ascii="Arial" w:hAnsi="Arial" w:cs="Arial"/>
          <w:b/>
          <w:iCs/>
          <w:sz w:val="24"/>
          <w:szCs w:val="24"/>
        </w:rPr>
      </w:pPr>
      <w:bookmarkStart w:id="8" w:name="OLE_LINK9"/>
      <w:bookmarkStart w:id="9" w:name="OLE_LINK10"/>
    </w:p>
    <w:p w14:paraId="124AD89D" w14:textId="6CBB228B" w:rsidR="00310C83" w:rsidRDefault="00310C83" w:rsidP="00EA6927">
      <w:pPr>
        <w:jc w:val="left"/>
        <w:rPr>
          <w:rFonts w:ascii="Arial" w:hAnsi="Arial" w:cs="Arial"/>
          <w:iCs/>
          <w:sz w:val="24"/>
          <w:szCs w:val="24"/>
        </w:rPr>
      </w:pPr>
      <w:r w:rsidRPr="000971B9">
        <w:rPr>
          <w:rFonts w:ascii="Arial" w:hAnsi="Arial" w:cs="Arial"/>
          <w:b/>
          <w:iCs/>
          <w:sz w:val="24"/>
          <w:szCs w:val="24"/>
        </w:rPr>
        <w:t>Smaller tradesman market</w:t>
      </w:r>
      <w:r w:rsidR="000045F9" w:rsidRPr="000971B9">
        <w:rPr>
          <w:rFonts w:ascii="Arial" w:hAnsi="Arial" w:cs="Arial"/>
          <w:b/>
          <w:iCs/>
          <w:sz w:val="24"/>
          <w:szCs w:val="24"/>
        </w:rPr>
        <w:t xml:space="preserve"> </w:t>
      </w:r>
      <w:r w:rsidR="00607721">
        <w:rPr>
          <w:rFonts w:ascii="Arial" w:hAnsi="Arial" w:cs="Arial"/>
          <w:iCs/>
          <w:sz w:val="24"/>
          <w:szCs w:val="24"/>
        </w:rPr>
        <w:t xml:space="preserve">- </w:t>
      </w:r>
      <w:r w:rsidRPr="000971B9">
        <w:rPr>
          <w:rFonts w:ascii="Arial" w:hAnsi="Arial" w:cs="Arial"/>
          <w:iCs/>
          <w:sz w:val="24"/>
          <w:szCs w:val="24"/>
        </w:rPr>
        <w:t xml:space="preserve">Kingfisher estimate </w:t>
      </w:r>
      <w:r w:rsidR="000045F9" w:rsidRPr="000971B9">
        <w:rPr>
          <w:rFonts w:ascii="Arial" w:hAnsi="Arial" w:cs="Arial"/>
          <w:iCs/>
          <w:sz w:val="24"/>
          <w:szCs w:val="24"/>
        </w:rPr>
        <w:t>for the UK smaller tradesman market i</w:t>
      </w:r>
      <w:r w:rsidR="000E3241" w:rsidRPr="000971B9">
        <w:rPr>
          <w:rFonts w:ascii="Arial" w:hAnsi="Arial" w:cs="Arial"/>
          <w:iCs/>
          <w:sz w:val="24"/>
          <w:szCs w:val="24"/>
        </w:rPr>
        <w:t>s a weighted</w:t>
      </w:r>
      <w:r w:rsidRPr="000971B9">
        <w:rPr>
          <w:rFonts w:ascii="Arial" w:hAnsi="Arial" w:cs="Arial"/>
          <w:iCs/>
          <w:sz w:val="24"/>
          <w:szCs w:val="24"/>
        </w:rPr>
        <w:t xml:space="preserve"> average </w:t>
      </w:r>
      <w:r w:rsidR="000E3241" w:rsidRPr="000971B9">
        <w:rPr>
          <w:rFonts w:ascii="Arial" w:hAnsi="Arial" w:cs="Arial"/>
          <w:iCs/>
          <w:sz w:val="24"/>
          <w:szCs w:val="24"/>
        </w:rPr>
        <w:t xml:space="preserve">incorporating 70% trade (using the most recent public data available for the big trade merchants as a proxy) and 30% </w:t>
      </w:r>
      <w:r w:rsidR="007A1925">
        <w:rPr>
          <w:rFonts w:ascii="Arial" w:hAnsi="Arial" w:cs="Arial"/>
          <w:iCs/>
          <w:sz w:val="24"/>
          <w:szCs w:val="24"/>
        </w:rPr>
        <w:t>retail</w:t>
      </w:r>
      <w:r w:rsidR="007A1925" w:rsidRPr="000971B9">
        <w:rPr>
          <w:rFonts w:ascii="Arial" w:hAnsi="Arial" w:cs="Arial"/>
          <w:iCs/>
          <w:sz w:val="24"/>
          <w:szCs w:val="24"/>
        </w:rPr>
        <w:t xml:space="preserve"> </w:t>
      </w:r>
      <w:r w:rsidR="000E3241" w:rsidRPr="000971B9">
        <w:rPr>
          <w:rFonts w:ascii="Arial" w:hAnsi="Arial" w:cs="Arial"/>
          <w:iCs/>
          <w:sz w:val="24"/>
          <w:szCs w:val="24"/>
        </w:rPr>
        <w:t xml:space="preserve">(using the </w:t>
      </w:r>
      <w:r w:rsidRPr="000971B9">
        <w:rPr>
          <w:rFonts w:ascii="Arial" w:hAnsi="Arial" w:cs="Arial"/>
          <w:iCs/>
          <w:sz w:val="24"/>
          <w:szCs w:val="24"/>
        </w:rPr>
        <w:t>UK RMI</w:t>
      </w:r>
      <w:r w:rsidR="000E3241" w:rsidRPr="000971B9">
        <w:rPr>
          <w:rFonts w:ascii="Arial" w:hAnsi="Arial" w:cs="Arial"/>
          <w:iCs/>
          <w:sz w:val="24"/>
          <w:szCs w:val="24"/>
        </w:rPr>
        <w:t xml:space="preserve"> (Repairs, Maintenance &amp; Improvement) GfK large chain (shed) data).</w:t>
      </w:r>
      <w:r w:rsidR="000045F9" w:rsidRPr="000971B9">
        <w:rPr>
          <w:rFonts w:ascii="Arial" w:hAnsi="Arial" w:cs="Arial"/>
          <w:iCs/>
          <w:sz w:val="24"/>
          <w:szCs w:val="24"/>
        </w:rPr>
        <w:t xml:space="preserve"> </w:t>
      </w:r>
    </w:p>
    <w:p w14:paraId="5C64BAC1" w14:textId="77777777" w:rsidR="00DC3752" w:rsidRDefault="00DC3752" w:rsidP="00EA6927">
      <w:pPr>
        <w:jc w:val="left"/>
        <w:rPr>
          <w:rFonts w:ascii="Arial" w:hAnsi="Arial" w:cs="Arial"/>
          <w:iCs/>
          <w:sz w:val="24"/>
          <w:szCs w:val="24"/>
        </w:rPr>
      </w:pPr>
    </w:p>
    <w:p w14:paraId="5D2064FF" w14:textId="6229204F" w:rsidR="00DC3752" w:rsidRPr="000971B9" w:rsidRDefault="00DC3752" w:rsidP="00DC3752">
      <w:pPr>
        <w:jc w:val="left"/>
        <w:rPr>
          <w:rFonts w:ascii="Arial" w:hAnsi="Arial" w:cs="Arial"/>
          <w:iCs/>
          <w:sz w:val="24"/>
          <w:szCs w:val="24"/>
        </w:rPr>
      </w:pPr>
      <w:r w:rsidRPr="000971B9">
        <w:rPr>
          <w:rFonts w:ascii="Arial" w:hAnsi="Arial" w:cs="Arial"/>
          <w:b/>
          <w:iCs/>
          <w:sz w:val="24"/>
          <w:szCs w:val="24"/>
        </w:rPr>
        <w:t xml:space="preserve">UK home improvement </w:t>
      </w:r>
      <w:r>
        <w:rPr>
          <w:rFonts w:ascii="Arial" w:hAnsi="Arial" w:cs="Arial"/>
          <w:b/>
          <w:iCs/>
          <w:sz w:val="24"/>
          <w:szCs w:val="24"/>
        </w:rPr>
        <w:t>leader market</w:t>
      </w:r>
      <w:r w:rsidR="00607721" w:rsidRPr="00657B3E">
        <w:rPr>
          <w:rFonts w:ascii="Arial" w:hAnsi="Arial" w:cs="Arial"/>
          <w:iCs/>
          <w:sz w:val="24"/>
          <w:szCs w:val="24"/>
        </w:rPr>
        <w:t xml:space="preserve"> -</w:t>
      </w:r>
      <w:r w:rsidR="00607721">
        <w:rPr>
          <w:rFonts w:ascii="Arial" w:hAnsi="Arial" w:cs="Arial"/>
          <w:iCs/>
          <w:sz w:val="24"/>
          <w:szCs w:val="24"/>
        </w:rPr>
        <w:t xml:space="preserve"> </w:t>
      </w:r>
      <w:r w:rsidRPr="000971B9">
        <w:rPr>
          <w:rFonts w:ascii="Arial" w:hAnsi="Arial" w:cs="Arial"/>
          <w:iCs/>
          <w:sz w:val="24"/>
          <w:szCs w:val="24"/>
        </w:rPr>
        <w:t>Kingfisher estimate for the UK RMI (Repairs, Maintenance &amp; Improvement) market incorporates GfK data, which includes new space but excludes B&amp;Q Ireland and private retailers e.g. IKEA and other smaller independents.</w:t>
      </w:r>
      <w:r>
        <w:rPr>
          <w:rFonts w:ascii="Arial" w:hAnsi="Arial" w:cs="Arial"/>
          <w:iCs/>
          <w:sz w:val="24"/>
          <w:szCs w:val="24"/>
        </w:rPr>
        <w:t xml:space="preserve"> Kingfisher data is submitted on</w:t>
      </w:r>
      <w:r w:rsidRPr="000971B9">
        <w:rPr>
          <w:rFonts w:ascii="Arial" w:hAnsi="Arial" w:cs="Arial"/>
          <w:iCs/>
          <w:sz w:val="24"/>
          <w:szCs w:val="24"/>
        </w:rPr>
        <w:t xml:space="preserve"> a cash sales basis and is adjusted for discounts.</w:t>
      </w:r>
    </w:p>
    <w:bookmarkEnd w:id="8"/>
    <w:bookmarkEnd w:id="9"/>
    <w:p w14:paraId="3ECF82E6" w14:textId="77777777" w:rsidR="00A83A46" w:rsidRPr="000971B9" w:rsidRDefault="00A83A46" w:rsidP="00421ED6">
      <w:pPr>
        <w:rPr>
          <w:rFonts w:ascii="Arial" w:hAnsi="Arial" w:cs="Arial"/>
          <w:b/>
          <w:iCs/>
          <w:sz w:val="24"/>
          <w:szCs w:val="24"/>
        </w:rPr>
      </w:pPr>
    </w:p>
    <w:p w14:paraId="6C27B7F0" w14:textId="7DB0CF0B" w:rsidR="00822DB1" w:rsidRDefault="00E652D5">
      <w:pPr>
        <w:jc w:val="left"/>
        <w:rPr>
          <w:rFonts w:ascii="Arial" w:hAnsi="Arial" w:cs="Arial"/>
          <w:b/>
          <w:bCs/>
          <w:sz w:val="24"/>
          <w:szCs w:val="24"/>
        </w:rPr>
      </w:pPr>
      <w:r w:rsidRPr="000971B9">
        <w:rPr>
          <w:rFonts w:ascii="Arial" w:hAnsi="Arial" w:cs="Arial"/>
          <w:b/>
          <w:iCs/>
          <w:sz w:val="24"/>
          <w:szCs w:val="24"/>
        </w:rPr>
        <w:t>UK &amp; Ireland</w:t>
      </w:r>
      <w:r w:rsidRPr="000971B9">
        <w:rPr>
          <w:rFonts w:ascii="Arial" w:hAnsi="Arial" w:cs="Arial"/>
          <w:iCs/>
          <w:sz w:val="24"/>
          <w:szCs w:val="24"/>
        </w:rPr>
        <w:t xml:space="preserve"> </w:t>
      </w:r>
      <w:r w:rsidR="00D71302" w:rsidRPr="000971B9">
        <w:rPr>
          <w:rFonts w:ascii="Arial" w:hAnsi="Arial" w:cs="Arial"/>
          <w:iCs/>
          <w:sz w:val="24"/>
          <w:szCs w:val="24"/>
        </w:rPr>
        <w:t>consists of</w:t>
      </w:r>
      <w:r w:rsidRPr="000971B9">
        <w:rPr>
          <w:rFonts w:ascii="Arial" w:hAnsi="Arial" w:cs="Arial"/>
          <w:iCs/>
          <w:sz w:val="24"/>
          <w:szCs w:val="24"/>
        </w:rPr>
        <w:t xml:space="preserve"> B&amp;Q in the UK &amp; Ireland and Screwfix</w:t>
      </w:r>
      <w:r w:rsidR="000045F9" w:rsidRPr="000971B9">
        <w:rPr>
          <w:rFonts w:ascii="Arial" w:hAnsi="Arial" w:cs="Arial"/>
          <w:iCs/>
          <w:sz w:val="24"/>
          <w:szCs w:val="24"/>
        </w:rPr>
        <w:t>.</w:t>
      </w:r>
      <w:r w:rsidR="00822DB1">
        <w:rPr>
          <w:rFonts w:ascii="Arial" w:hAnsi="Arial" w:cs="Arial"/>
          <w:b/>
          <w:bCs/>
          <w:sz w:val="24"/>
          <w:szCs w:val="24"/>
        </w:rPr>
        <w:br w:type="page"/>
      </w:r>
    </w:p>
    <w:p w14:paraId="5A4EB44E" w14:textId="42204C9B" w:rsidR="00154E06" w:rsidRPr="004803FB" w:rsidRDefault="00345DD4" w:rsidP="00154E06">
      <w:pPr>
        <w:autoSpaceDE w:val="0"/>
        <w:autoSpaceDN w:val="0"/>
        <w:adjustRightInd w:val="0"/>
        <w:jc w:val="left"/>
        <w:rPr>
          <w:rFonts w:ascii="Arial" w:hAnsi="Arial" w:cs="Arial"/>
          <w:b/>
          <w:caps/>
        </w:rPr>
      </w:pPr>
      <w:r>
        <w:rPr>
          <w:rFonts w:ascii="Arial" w:hAnsi="Arial" w:cs="Arial"/>
          <w:b/>
          <w:bCs/>
          <w:sz w:val="24"/>
          <w:szCs w:val="24"/>
        </w:rPr>
        <w:lastRenderedPageBreak/>
        <w:t xml:space="preserve">Section 6: </w:t>
      </w:r>
      <w:r w:rsidR="00154E06" w:rsidRPr="004803FB">
        <w:rPr>
          <w:rFonts w:ascii="Arial" w:hAnsi="Arial" w:cs="Arial"/>
          <w:b/>
          <w:caps/>
          <w:sz w:val="24"/>
          <w:szCs w:val="24"/>
        </w:rPr>
        <w:t>Forward-looking statements</w:t>
      </w:r>
    </w:p>
    <w:p w14:paraId="1867FC1E" w14:textId="77777777" w:rsidR="00154E06" w:rsidRPr="004803FB" w:rsidRDefault="00154E06" w:rsidP="00154E06">
      <w:pPr>
        <w:jc w:val="left"/>
        <w:rPr>
          <w:rFonts w:ascii="Arial" w:hAnsi="Arial" w:cs="Arial"/>
          <w:sz w:val="24"/>
          <w:szCs w:val="24"/>
        </w:rPr>
      </w:pPr>
    </w:p>
    <w:p w14:paraId="7E7AA9A0" w14:textId="77777777" w:rsidR="007A334A" w:rsidRPr="00506D26" w:rsidRDefault="007A334A" w:rsidP="00506D26">
      <w:pPr>
        <w:jc w:val="left"/>
        <w:rPr>
          <w:rFonts w:ascii="Arial" w:hAnsi="Arial" w:cs="Arial"/>
          <w:sz w:val="24"/>
          <w:szCs w:val="24"/>
        </w:rPr>
      </w:pPr>
      <w:r w:rsidRPr="00506D26">
        <w:rPr>
          <w:rFonts w:ascii="Arial" w:hAnsi="Arial" w:cs="Arial"/>
          <w:sz w:val="24"/>
          <w:szCs w:val="24"/>
        </w:rPr>
        <w:t xml:space="preserve">You are not to construe the content of this announcement as investment, legal or tax advice and you should make you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66BDE10D" w14:textId="77777777" w:rsidR="007A334A" w:rsidRPr="00506D26" w:rsidRDefault="007A334A" w:rsidP="00506D26">
      <w:pPr>
        <w:jc w:val="left"/>
        <w:rPr>
          <w:rFonts w:ascii="Arial" w:hAnsi="Arial" w:cs="Arial"/>
          <w:sz w:val="24"/>
          <w:szCs w:val="24"/>
        </w:rPr>
      </w:pPr>
    </w:p>
    <w:p w14:paraId="42CA555D" w14:textId="77777777" w:rsidR="007A334A" w:rsidRPr="00506D26" w:rsidRDefault="007A334A" w:rsidP="00506D26">
      <w:pPr>
        <w:jc w:val="left"/>
        <w:rPr>
          <w:rFonts w:ascii="Arial" w:hAnsi="Arial" w:cs="Arial"/>
          <w:sz w:val="24"/>
          <w:szCs w:val="24"/>
        </w:rPr>
      </w:pPr>
      <w:r w:rsidRPr="00506D26">
        <w:rPr>
          <w:rFonts w:ascii="Arial" w:hAnsi="Arial" w:cs="Arial"/>
          <w:sz w:val="24"/>
          <w:szCs w:val="24"/>
        </w:rPr>
        <w:t>This announcement has been prepared in relation to the financial results for the full year ended 31</w:t>
      </w:r>
      <w:r w:rsidRPr="00506D26">
        <w:rPr>
          <w:rFonts w:ascii="Arial" w:hAnsi="Arial" w:cs="Arial"/>
          <w:sz w:val="24"/>
          <w:szCs w:val="24"/>
          <w:vertAlign w:val="superscript"/>
        </w:rPr>
        <w:t>st</w:t>
      </w:r>
      <w:r w:rsidRPr="00506D26">
        <w:rPr>
          <w:rFonts w:ascii="Arial" w:hAnsi="Arial" w:cs="Arial"/>
          <w:sz w:val="24"/>
          <w:szCs w:val="24"/>
        </w:rPr>
        <w:t xml:space="preserve"> January 2015.  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r w:rsidRPr="00506D26">
        <w:rPr>
          <w:sz w:val="24"/>
          <w:szCs w:val="24"/>
        </w:rPr>
        <w:t xml:space="preserve"> </w:t>
      </w:r>
    </w:p>
    <w:p w14:paraId="67399C89" w14:textId="77777777" w:rsidR="007A334A" w:rsidRPr="00506D26" w:rsidRDefault="007A334A" w:rsidP="00506D26">
      <w:pPr>
        <w:jc w:val="left"/>
        <w:rPr>
          <w:rFonts w:ascii="Arial" w:hAnsi="Arial" w:cs="Arial"/>
          <w:sz w:val="24"/>
          <w:szCs w:val="24"/>
        </w:rPr>
      </w:pPr>
      <w:r w:rsidRPr="00506D26">
        <w:rPr>
          <w:rFonts w:ascii="Arial" w:hAnsi="Arial" w:cs="Arial"/>
          <w:sz w:val="24"/>
          <w:szCs w:val="24"/>
        </w:rPr>
        <w:t xml:space="preserve">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 </w:t>
      </w:r>
      <w:r w:rsidRPr="00506D26">
        <w:rPr>
          <w:rFonts w:ascii="Arial" w:hAnsi="Arial" w:cs="Arial"/>
          <w:i/>
          <w:iCs/>
          <w:sz w:val="24"/>
          <w:szCs w:val="24"/>
        </w:rPr>
        <w:t xml:space="preserve"> </w:t>
      </w:r>
      <w:r w:rsidRPr="00506D26">
        <w:rPr>
          <w:rFonts w:ascii="Arial" w:hAnsi="Arial" w:cs="Arial"/>
          <w:sz w:val="24"/>
          <w:szCs w:val="24"/>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1D6FAA9C" w14:textId="77777777" w:rsidR="007A334A" w:rsidRPr="00506D26" w:rsidRDefault="007A334A" w:rsidP="00506D26">
      <w:pPr>
        <w:jc w:val="left"/>
        <w:rPr>
          <w:rFonts w:ascii="Arial" w:hAnsi="Arial" w:cs="Arial"/>
          <w:sz w:val="24"/>
          <w:szCs w:val="24"/>
        </w:rPr>
      </w:pPr>
    </w:p>
    <w:p w14:paraId="2837261D" w14:textId="77777777" w:rsidR="007A334A" w:rsidRPr="00506D26" w:rsidRDefault="007A334A" w:rsidP="00506D26">
      <w:pPr>
        <w:jc w:val="left"/>
        <w:rPr>
          <w:rFonts w:ascii="Arial" w:hAnsi="Arial" w:cs="Arial"/>
          <w:sz w:val="24"/>
          <w:szCs w:val="24"/>
        </w:rPr>
      </w:pPr>
      <w:r w:rsidRPr="00506D26">
        <w:rPr>
          <w:rFonts w:ascii="Arial" w:hAnsi="Arial" w:cs="Arial"/>
          <w:sz w:val="24"/>
          <w:szCs w:val="24"/>
        </w:rPr>
        <w:t>The Company does not undertake any obligation to update or revise any forward-looking statement to reflect any change in circumstances or in the Company’s expectations.</w:t>
      </w:r>
    </w:p>
    <w:p w14:paraId="3AE69977" w14:textId="372D3E47" w:rsidR="00181E03" w:rsidRPr="00506D26" w:rsidRDefault="00181E03">
      <w:pPr>
        <w:spacing w:after="240"/>
        <w:jc w:val="left"/>
        <w:rPr>
          <w:rFonts w:cs="Times New Roman"/>
          <w:sz w:val="24"/>
          <w:szCs w:val="24"/>
        </w:rPr>
      </w:pPr>
    </w:p>
    <w:sectPr w:rsidR="00181E03" w:rsidRPr="00506D26" w:rsidSect="00930C11">
      <w:headerReference w:type="default" r:id="rId13"/>
      <w:footerReference w:type="default" r:id="rId14"/>
      <w:type w:val="continuous"/>
      <w:pgSz w:w="11909" w:h="16834" w:code="9"/>
      <w:pgMar w:top="1077" w:right="1134" w:bottom="720" w:left="1134" w:header="11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ADB9" w14:textId="77777777" w:rsidR="000952F8" w:rsidRDefault="000952F8">
      <w:pPr>
        <w:rPr>
          <w:rFonts w:cs="Times New Roman"/>
        </w:rPr>
      </w:pPr>
      <w:r>
        <w:rPr>
          <w:rFonts w:cs="Times New Roman"/>
        </w:rPr>
        <w:separator/>
      </w:r>
    </w:p>
  </w:endnote>
  <w:endnote w:type="continuationSeparator" w:id="0">
    <w:p w14:paraId="00D15255" w14:textId="77777777" w:rsidR="000952F8" w:rsidRDefault="000952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57898"/>
      <w:docPartObj>
        <w:docPartGallery w:val="Page Numbers (Bottom of Page)"/>
        <w:docPartUnique/>
      </w:docPartObj>
    </w:sdtPr>
    <w:sdtEndPr>
      <w:rPr>
        <w:noProof/>
      </w:rPr>
    </w:sdtEndPr>
    <w:sdtContent>
      <w:p w14:paraId="458AAD36" w14:textId="77777777" w:rsidR="000952F8" w:rsidRDefault="000952F8">
        <w:pPr>
          <w:pStyle w:val="Footer"/>
          <w:jc w:val="right"/>
        </w:pPr>
        <w:r>
          <w:fldChar w:fldCharType="begin"/>
        </w:r>
        <w:r>
          <w:instrText xml:space="preserve"> PAGE   \* MERGEFORMAT </w:instrText>
        </w:r>
        <w:r>
          <w:fldChar w:fldCharType="separate"/>
        </w:r>
        <w:r w:rsidR="00485EE2">
          <w:rPr>
            <w:noProof/>
          </w:rPr>
          <w:t>26</w:t>
        </w:r>
        <w:r>
          <w:rPr>
            <w:noProof/>
          </w:rPr>
          <w:fldChar w:fldCharType="end"/>
        </w:r>
      </w:p>
    </w:sdtContent>
  </w:sdt>
  <w:p w14:paraId="7423D219" w14:textId="77777777" w:rsidR="000952F8" w:rsidRPr="00930C11" w:rsidRDefault="000952F8" w:rsidP="00965768">
    <w:pPr>
      <w:pStyle w:val="Footer"/>
      <w:ind w:right="360"/>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A462B" w14:textId="77777777" w:rsidR="000952F8" w:rsidRDefault="000952F8">
      <w:pPr>
        <w:rPr>
          <w:rFonts w:cs="Times New Roman"/>
        </w:rPr>
      </w:pPr>
      <w:r>
        <w:rPr>
          <w:rFonts w:cs="Times New Roman"/>
        </w:rPr>
        <w:separator/>
      </w:r>
    </w:p>
  </w:footnote>
  <w:footnote w:type="continuationSeparator" w:id="0">
    <w:p w14:paraId="3956DDF2" w14:textId="77777777" w:rsidR="000952F8" w:rsidRDefault="000952F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9E616" w14:textId="77777777" w:rsidR="000952F8" w:rsidRDefault="000952F8">
    <w:pPr>
      <w:pStyle w:val="Header"/>
      <w:rPr>
        <w:rFonts w:ascii="Arial" w:hAnsi="Arial" w:cs="Arial"/>
        <w:sz w:val="20"/>
        <w:szCs w:val="20"/>
      </w:rPr>
    </w:pPr>
  </w:p>
  <w:p w14:paraId="492CAA64" w14:textId="55CBFCB1" w:rsidR="000952F8" w:rsidRPr="000971B9" w:rsidRDefault="000952F8" w:rsidP="000971B9">
    <w:pPr>
      <w:pStyle w:val="Header"/>
      <w:jc w:val="center"/>
      <w:rPr>
        <w:b/>
      </w:rPr>
    </w:pPr>
    <w:r w:rsidRPr="000971B9">
      <w:rPr>
        <w:rFonts w:ascii="Arial" w:hAnsi="Arial" w:cs="Arial"/>
        <w:b/>
        <w:sz w:val="20"/>
        <w:szCs w:val="20"/>
      </w:rPr>
      <w:t>EMBARGO</w:t>
    </w:r>
    <w:r>
      <w:rPr>
        <w:rFonts w:ascii="Arial" w:hAnsi="Arial" w:cs="Arial"/>
        <w:b/>
        <w:sz w:val="20"/>
        <w:szCs w:val="20"/>
      </w:rPr>
      <w:t>ED UNTIL 0700 HOURS –Tuesday 31 March 2015</w:t>
    </w:r>
  </w:p>
  <w:p w14:paraId="51919458" w14:textId="156A9867" w:rsidR="000952F8" w:rsidRPr="00341E1C" w:rsidRDefault="000952F8" w:rsidP="006E1748">
    <w:pPr>
      <w:pStyle w:val="Header"/>
      <w:jc w:val="center"/>
    </w:pPr>
    <w:r>
      <w:rPr>
        <w:noProof/>
      </w:rPr>
      <w:drawing>
        <wp:inline distT="0" distB="0" distL="0" distR="0" wp14:anchorId="7D377ADA" wp14:editId="5470F7C7">
          <wp:extent cx="2067461" cy="640080"/>
          <wp:effectExtent l="0" t="0" r="9525" b="762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78362" cy="6434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1">
    <w:nsid w:val="016A77ED"/>
    <w:multiLevelType w:val="hybridMultilevel"/>
    <w:tmpl w:val="FFD65E5A"/>
    <w:lvl w:ilvl="0" w:tplc="31DE82B8">
      <w:start w:val="1"/>
      <w:numFmt w:val="decimal"/>
      <w:lvlText w:val="%1."/>
      <w:lvlJc w:val="left"/>
      <w:pPr>
        <w:tabs>
          <w:tab w:val="num" w:pos="720"/>
        </w:tabs>
        <w:ind w:left="720" w:hanging="360"/>
      </w:pPr>
    </w:lvl>
    <w:lvl w:ilvl="1" w:tplc="39B2CCF8" w:tentative="1">
      <w:start w:val="1"/>
      <w:numFmt w:val="decimal"/>
      <w:lvlText w:val="%2."/>
      <w:lvlJc w:val="left"/>
      <w:pPr>
        <w:tabs>
          <w:tab w:val="num" w:pos="1440"/>
        </w:tabs>
        <w:ind w:left="1440" w:hanging="360"/>
      </w:pPr>
    </w:lvl>
    <w:lvl w:ilvl="2" w:tplc="C0889E46" w:tentative="1">
      <w:start w:val="1"/>
      <w:numFmt w:val="decimal"/>
      <w:lvlText w:val="%3."/>
      <w:lvlJc w:val="left"/>
      <w:pPr>
        <w:tabs>
          <w:tab w:val="num" w:pos="2160"/>
        </w:tabs>
        <w:ind w:left="2160" w:hanging="360"/>
      </w:pPr>
    </w:lvl>
    <w:lvl w:ilvl="3" w:tplc="524A5BAE" w:tentative="1">
      <w:start w:val="1"/>
      <w:numFmt w:val="decimal"/>
      <w:lvlText w:val="%4."/>
      <w:lvlJc w:val="left"/>
      <w:pPr>
        <w:tabs>
          <w:tab w:val="num" w:pos="2880"/>
        </w:tabs>
        <w:ind w:left="2880" w:hanging="360"/>
      </w:pPr>
    </w:lvl>
    <w:lvl w:ilvl="4" w:tplc="7BB89F6A" w:tentative="1">
      <w:start w:val="1"/>
      <w:numFmt w:val="decimal"/>
      <w:lvlText w:val="%5."/>
      <w:lvlJc w:val="left"/>
      <w:pPr>
        <w:tabs>
          <w:tab w:val="num" w:pos="3600"/>
        </w:tabs>
        <w:ind w:left="3600" w:hanging="360"/>
      </w:pPr>
    </w:lvl>
    <w:lvl w:ilvl="5" w:tplc="296A1180" w:tentative="1">
      <w:start w:val="1"/>
      <w:numFmt w:val="decimal"/>
      <w:lvlText w:val="%6."/>
      <w:lvlJc w:val="left"/>
      <w:pPr>
        <w:tabs>
          <w:tab w:val="num" w:pos="4320"/>
        </w:tabs>
        <w:ind w:left="4320" w:hanging="360"/>
      </w:pPr>
    </w:lvl>
    <w:lvl w:ilvl="6" w:tplc="A3183C4E" w:tentative="1">
      <w:start w:val="1"/>
      <w:numFmt w:val="decimal"/>
      <w:lvlText w:val="%7."/>
      <w:lvlJc w:val="left"/>
      <w:pPr>
        <w:tabs>
          <w:tab w:val="num" w:pos="5040"/>
        </w:tabs>
        <w:ind w:left="5040" w:hanging="360"/>
      </w:pPr>
    </w:lvl>
    <w:lvl w:ilvl="7" w:tplc="F63874DA" w:tentative="1">
      <w:start w:val="1"/>
      <w:numFmt w:val="decimal"/>
      <w:lvlText w:val="%8."/>
      <w:lvlJc w:val="left"/>
      <w:pPr>
        <w:tabs>
          <w:tab w:val="num" w:pos="5760"/>
        </w:tabs>
        <w:ind w:left="5760" w:hanging="360"/>
      </w:pPr>
    </w:lvl>
    <w:lvl w:ilvl="8" w:tplc="44E20630" w:tentative="1">
      <w:start w:val="1"/>
      <w:numFmt w:val="decimal"/>
      <w:lvlText w:val="%9."/>
      <w:lvlJc w:val="left"/>
      <w:pPr>
        <w:tabs>
          <w:tab w:val="num" w:pos="6480"/>
        </w:tabs>
        <w:ind w:left="6480" w:hanging="360"/>
      </w:pPr>
    </w:lvl>
  </w:abstractNum>
  <w:abstractNum w:abstractNumId="2">
    <w:nsid w:val="01891542"/>
    <w:multiLevelType w:val="hybridMultilevel"/>
    <w:tmpl w:val="497C7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B512A"/>
    <w:multiLevelType w:val="hybridMultilevel"/>
    <w:tmpl w:val="0D6E9F3E"/>
    <w:lvl w:ilvl="0" w:tplc="BDA6FE50">
      <w:start w:val="1"/>
      <w:numFmt w:val="bullet"/>
      <w:lvlText w:val=""/>
      <w:lvlJc w:val="left"/>
      <w:pPr>
        <w:tabs>
          <w:tab w:val="num" w:pos="720"/>
        </w:tabs>
        <w:ind w:left="720" w:hanging="360"/>
      </w:pPr>
      <w:rPr>
        <w:rFonts w:ascii="Wingdings" w:hAnsi="Wingdings" w:hint="default"/>
      </w:rPr>
    </w:lvl>
    <w:lvl w:ilvl="1" w:tplc="092642BC" w:tentative="1">
      <w:start w:val="1"/>
      <w:numFmt w:val="bullet"/>
      <w:lvlText w:val=""/>
      <w:lvlJc w:val="left"/>
      <w:pPr>
        <w:tabs>
          <w:tab w:val="num" w:pos="1440"/>
        </w:tabs>
        <w:ind w:left="1440" w:hanging="360"/>
      </w:pPr>
      <w:rPr>
        <w:rFonts w:ascii="Wingdings" w:hAnsi="Wingdings" w:hint="default"/>
      </w:rPr>
    </w:lvl>
    <w:lvl w:ilvl="2" w:tplc="981CF3C8" w:tentative="1">
      <w:start w:val="1"/>
      <w:numFmt w:val="bullet"/>
      <w:lvlText w:val=""/>
      <w:lvlJc w:val="left"/>
      <w:pPr>
        <w:tabs>
          <w:tab w:val="num" w:pos="2160"/>
        </w:tabs>
        <w:ind w:left="2160" w:hanging="360"/>
      </w:pPr>
      <w:rPr>
        <w:rFonts w:ascii="Wingdings" w:hAnsi="Wingdings" w:hint="default"/>
      </w:rPr>
    </w:lvl>
    <w:lvl w:ilvl="3" w:tplc="01EC0788" w:tentative="1">
      <w:start w:val="1"/>
      <w:numFmt w:val="bullet"/>
      <w:lvlText w:val=""/>
      <w:lvlJc w:val="left"/>
      <w:pPr>
        <w:tabs>
          <w:tab w:val="num" w:pos="2880"/>
        </w:tabs>
        <w:ind w:left="2880" w:hanging="360"/>
      </w:pPr>
      <w:rPr>
        <w:rFonts w:ascii="Wingdings" w:hAnsi="Wingdings" w:hint="default"/>
      </w:rPr>
    </w:lvl>
    <w:lvl w:ilvl="4" w:tplc="540E1E82" w:tentative="1">
      <w:start w:val="1"/>
      <w:numFmt w:val="bullet"/>
      <w:lvlText w:val=""/>
      <w:lvlJc w:val="left"/>
      <w:pPr>
        <w:tabs>
          <w:tab w:val="num" w:pos="3600"/>
        </w:tabs>
        <w:ind w:left="3600" w:hanging="360"/>
      </w:pPr>
      <w:rPr>
        <w:rFonts w:ascii="Wingdings" w:hAnsi="Wingdings" w:hint="default"/>
      </w:rPr>
    </w:lvl>
    <w:lvl w:ilvl="5" w:tplc="D6B2009A" w:tentative="1">
      <w:start w:val="1"/>
      <w:numFmt w:val="bullet"/>
      <w:lvlText w:val=""/>
      <w:lvlJc w:val="left"/>
      <w:pPr>
        <w:tabs>
          <w:tab w:val="num" w:pos="4320"/>
        </w:tabs>
        <w:ind w:left="4320" w:hanging="360"/>
      </w:pPr>
      <w:rPr>
        <w:rFonts w:ascii="Wingdings" w:hAnsi="Wingdings" w:hint="default"/>
      </w:rPr>
    </w:lvl>
    <w:lvl w:ilvl="6" w:tplc="77CC6BB2" w:tentative="1">
      <w:start w:val="1"/>
      <w:numFmt w:val="bullet"/>
      <w:lvlText w:val=""/>
      <w:lvlJc w:val="left"/>
      <w:pPr>
        <w:tabs>
          <w:tab w:val="num" w:pos="5040"/>
        </w:tabs>
        <w:ind w:left="5040" w:hanging="360"/>
      </w:pPr>
      <w:rPr>
        <w:rFonts w:ascii="Wingdings" w:hAnsi="Wingdings" w:hint="default"/>
      </w:rPr>
    </w:lvl>
    <w:lvl w:ilvl="7" w:tplc="14EA9B62" w:tentative="1">
      <w:start w:val="1"/>
      <w:numFmt w:val="bullet"/>
      <w:lvlText w:val=""/>
      <w:lvlJc w:val="left"/>
      <w:pPr>
        <w:tabs>
          <w:tab w:val="num" w:pos="5760"/>
        </w:tabs>
        <w:ind w:left="5760" w:hanging="360"/>
      </w:pPr>
      <w:rPr>
        <w:rFonts w:ascii="Wingdings" w:hAnsi="Wingdings" w:hint="default"/>
      </w:rPr>
    </w:lvl>
    <w:lvl w:ilvl="8" w:tplc="A620BE0C" w:tentative="1">
      <w:start w:val="1"/>
      <w:numFmt w:val="bullet"/>
      <w:lvlText w:val=""/>
      <w:lvlJc w:val="left"/>
      <w:pPr>
        <w:tabs>
          <w:tab w:val="num" w:pos="6480"/>
        </w:tabs>
        <w:ind w:left="6480" w:hanging="360"/>
      </w:pPr>
      <w:rPr>
        <w:rFonts w:ascii="Wingdings" w:hAnsi="Wingdings" w:hint="default"/>
      </w:rPr>
    </w:lvl>
  </w:abstractNum>
  <w:abstractNum w:abstractNumId="4">
    <w:nsid w:val="09604854"/>
    <w:multiLevelType w:val="hybridMultilevel"/>
    <w:tmpl w:val="08F2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D7FE0"/>
    <w:multiLevelType w:val="hybridMultilevel"/>
    <w:tmpl w:val="1346C1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E5C2513"/>
    <w:multiLevelType w:val="hybridMultilevel"/>
    <w:tmpl w:val="C0865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942FF"/>
    <w:multiLevelType w:val="hybridMultilevel"/>
    <w:tmpl w:val="D70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1375B8"/>
    <w:multiLevelType w:val="hybridMultilevel"/>
    <w:tmpl w:val="E37ED888"/>
    <w:lvl w:ilvl="0" w:tplc="08090001">
      <w:start w:val="1"/>
      <w:numFmt w:val="bullet"/>
      <w:lvlText w:val=""/>
      <w:lvlJc w:val="left"/>
      <w:pPr>
        <w:ind w:left="8280" w:hanging="360"/>
      </w:pPr>
      <w:rPr>
        <w:rFonts w:ascii="Symbol" w:hAnsi="Symbol"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9">
    <w:nsid w:val="1A8A4B3A"/>
    <w:multiLevelType w:val="hybridMultilevel"/>
    <w:tmpl w:val="67883BC4"/>
    <w:lvl w:ilvl="0" w:tplc="613E1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690888"/>
    <w:multiLevelType w:val="hybridMultilevel"/>
    <w:tmpl w:val="063A2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3012799"/>
    <w:multiLevelType w:val="hybridMultilevel"/>
    <w:tmpl w:val="8A0C4EAA"/>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66312E"/>
    <w:multiLevelType w:val="hybridMultilevel"/>
    <w:tmpl w:val="7BE81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324A67"/>
    <w:multiLevelType w:val="hybridMultilevel"/>
    <w:tmpl w:val="98B4B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AE7997"/>
    <w:multiLevelType w:val="hybridMultilevel"/>
    <w:tmpl w:val="EA78A52C"/>
    <w:lvl w:ilvl="0" w:tplc="882C9C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1338AE"/>
    <w:multiLevelType w:val="hybridMultilevel"/>
    <w:tmpl w:val="B7CED212"/>
    <w:lvl w:ilvl="0" w:tplc="08090001">
      <w:start w:val="1"/>
      <w:numFmt w:val="bullet"/>
      <w:lvlText w:val=""/>
      <w:lvlJc w:val="left"/>
      <w:pPr>
        <w:ind w:left="1800" w:hanging="360"/>
      </w:pPr>
      <w:rPr>
        <w:rFonts w:ascii="Symbol" w:hAnsi="Symbol" w:hint="default"/>
      </w:rPr>
    </w:lvl>
    <w:lvl w:ilvl="1" w:tplc="B9F0DF66">
      <w:numFmt w:val="bullet"/>
      <w:lvlText w:val="-"/>
      <w:lvlJc w:val="left"/>
      <w:pPr>
        <w:ind w:left="2520" w:hanging="360"/>
      </w:pPr>
      <w:rPr>
        <w:rFonts w:ascii="Arial" w:eastAsia="Batang"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A3F5039"/>
    <w:multiLevelType w:val="hybridMultilevel"/>
    <w:tmpl w:val="A456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F5960"/>
    <w:multiLevelType w:val="hybridMultilevel"/>
    <w:tmpl w:val="2940D406"/>
    <w:lvl w:ilvl="0" w:tplc="08090001">
      <w:start w:val="1"/>
      <w:numFmt w:val="bullet"/>
      <w:lvlText w:val=""/>
      <w:lvlJc w:val="left"/>
      <w:pPr>
        <w:ind w:left="720" w:hanging="360"/>
      </w:pPr>
      <w:rPr>
        <w:rFonts w:ascii="Symbol" w:hAnsi="Symbo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8D14F0"/>
    <w:multiLevelType w:val="hybridMultilevel"/>
    <w:tmpl w:val="826AB8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404B386C"/>
    <w:multiLevelType w:val="hybridMultilevel"/>
    <w:tmpl w:val="8A0C4EAA"/>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5A6BC5"/>
    <w:multiLevelType w:val="hybridMultilevel"/>
    <w:tmpl w:val="8A0C4EAA"/>
    <w:lvl w:ilvl="0" w:tplc="A0125B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E66CB0"/>
    <w:multiLevelType w:val="hybridMultilevel"/>
    <w:tmpl w:val="22B27A28"/>
    <w:lvl w:ilvl="0" w:tplc="17241C32">
      <w:start w:val="10"/>
      <w:numFmt w:val="bullet"/>
      <w:lvlText w:val="-"/>
      <w:lvlJc w:val="left"/>
      <w:pPr>
        <w:ind w:left="432" w:hanging="360"/>
      </w:pPr>
      <w:rPr>
        <w:rFonts w:ascii="Arial" w:eastAsia="Batang"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3">
    <w:nsid w:val="49A616F9"/>
    <w:multiLevelType w:val="hybridMultilevel"/>
    <w:tmpl w:val="1B06101C"/>
    <w:lvl w:ilvl="0" w:tplc="7E1EEA36">
      <w:start w:val="1"/>
      <w:numFmt w:val="decimal"/>
      <w:lvlText w:val="%1."/>
      <w:lvlJc w:val="left"/>
      <w:pPr>
        <w:tabs>
          <w:tab w:val="num" w:pos="720"/>
        </w:tabs>
        <w:ind w:left="720" w:hanging="360"/>
      </w:pPr>
    </w:lvl>
    <w:lvl w:ilvl="1" w:tplc="A32E86E6" w:tentative="1">
      <w:start w:val="1"/>
      <w:numFmt w:val="decimal"/>
      <w:lvlText w:val="%2."/>
      <w:lvlJc w:val="left"/>
      <w:pPr>
        <w:tabs>
          <w:tab w:val="num" w:pos="1440"/>
        </w:tabs>
        <w:ind w:left="1440" w:hanging="360"/>
      </w:pPr>
    </w:lvl>
    <w:lvl w:ilvl="2" w:tplc="94226ED4" w:tentative="1">
      <w:start w:val="1"/>
      <w:numFmt w:val="decimal"/>
      <w:lvlText w:val="%3."/>
      <w:lvlJc w:val="left"/>
      <w:pPr>
        <w:tabs>
          <w:tab w:val="num" w:pos="2160"/>
        </w:tabs>
        <w:ind w:left="2160" w:hanging="360"/>
      </w:pPr>
    </w:lvl>
    <w:lvl w:ilvl="3" w:tplc="3934E1EA" w:tentative="1">
      <w:start w:val="1"/>
      <w:numFmt w:val="decimal"/>
      <w:lvlText w:val="%4."/>
      <w:lvlJc w:val="left"/>
      <w:pPr>
        <w:tabs>
          <w:tab w:val="num" w:pos="2880"/>
        </w:tabs>
        <w:ind w:left="2880" w:hanging="360"/>
      </w:pPr>
    </w:lvl>
    <w:lvl w:ilvl="4" w:tplc="63504ACE" w:tentative="1">
      <w:start w:val="1"/>
      <w:numFmt w:val="decimal"/>
      <w:lvlText w:val="%5."/>
      <w:lvlJc w:val="left"/>
      <w:pPr>
        <w:tabs>
          <w:tab w:val="num" w:pos="3600"/>
        </w:tabs>
        <w:ind w:left="3600" w:hanging="360"/>
      </w:pPr>
    </w:lvl>
    <w:lvl w:ilvl="5" w:tplc="4596F250" w:tentative="1">
      <w:start w:val="1"/>
      <w:numFmt w:val="decimal"/>
      <w:lvlText w:val="%6."/>
      <w:lvlJc w:val="left"/>
      <w:pPr>
        <w:tabs>
          <w:tab w:val="num" w:pos="4320"/>
        </w:tabs>
        <w:ind w:left="4320" w:hanging="360"/>
      </w:pPr>
    </w:lvl>
    <w:lvl w:ilvl="6" w:tplc="93D61934" w:tentative="1">
      <w:start w:val="1"/>
      <w:numFmt w:val="decimal"/>
      <w:lvlText w:val="%7."/>
      <w:lvlJc w:val="left"/>
      <w:pPr>
        <w:tabs>
          <w:tab w:val="num" w:pos="5040"/>
        </w:tabs>
        <w:ind w:left="5040" w:hanging="360"/>
      </w:pPr>
    </w:lvl>
    <w:lvl w:ilvl="7" w:tplc="4DB6CE24" w:tentative="1">
      <w:start w:val="1"/>
      <w:numFmt w:val="decimal"/>
      <w:lvlText w:val="%8."/>
      <w:lvlJc w:val="left"/>
      <w:pPr>
        <w:tabs>
          <w:tab w:val="num" w:pos="5760"/>
        </w:tabs>
        <w:ind w:left="5760" w:hanging="360"/>
      </w:pPr>
    </w:lvl>
    <w:lvl w:ilvl="8" w:tplc="B9347FF0" w:tentative="1">
      <w:start w:val="1"/>
      <w:numFmt w:val="decimal"/>
      <w:lvlText w:val="%9."/>
      <w:lvlJc w:val="left"/>
      <w:pPr>
        <w:tabs>
          <w:tab w:val="num" w:pos="6480"/>
        </w:tabs>
        <w:ind w:left="6480" w:hanging="360"/>
      </w:pPr>
    </w:lvl>
  </w:abstractNum>
  <w:abstractNum w:abstractNumId="24">
    <w:nsid w:val="53313D6C"/>
    <w:multiLevelType w:val="hybridMultilevel"/>
    <w:tmpl w:val="4AE6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9D1FB7"/>
    <w:multiLevelType w:val="hybridMultilevel"/>
    <w:tmpl w:val="E7961D54"/>
    <w:lvl w:ilvl="0" w:tplc="20909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576636A1"/>
    <w:multiLevelType w:val="hybridMultilevel"/>
    <w:tmpl w:val="051C7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85927AC"/>
    <w:multiLevelType w:val="hybridMultilevel"/>
    <w:tmpl w:val="7C8A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4B5F6F"/>
    <w:multiLevelType w:val="hybridMultilevel"/>
    <w:tmpl w:val="FC74915E"/>
    <w:lvl w:ilvl="0" w:tplc="6296ADA0">
      <w:start w:val="1"/>
      <w:numFmt w:val="bullet"/>
      <w:lvlText w:val=""/>
      <w:lvlJc w:val="left"/>
      <w:pPr>
        <w:tabs>
          <w:tab w:val="num" w:pos="720"/>
        </w:tabs>
        <w:ind w:left="720" w:hanging="360"/>
      </w:pPr>
      <w:rPr>
        <w:rFonts w:ascii="Wingdings" w:hAnsi="Wingdings" w:hint="default"/>
      </w:rPr>
    </w:lvl>
    <w:lvl w:ilvl="1" w:tplc="5906BC28" w:tentative="1">
      <w:start w:val="1"/>
      <w:numFmt w:val="bullet"/>
      <w:lvlText w:val=""/>
      <w:lvlJc w:val="left"/>
      <w:pPr>
        <w:tabs>
          <w:tab w:val="num" w:pos="1440"/>
        </w:tabs>
        <w:ind w:left="1440" w:hanging="360"/>
      </w:pPr>
      <w:rPr>
        <w:rFonts w:ascii="Wingdings" w:hAnsi="Wingdings" w:hint="default"/>
      </w:rPr>
    </w:lvl>
    <w:lvl w:ilvl="2" w:tplc="FC503380" w:tentative="1">
      <w:start w:val="1"/>
      <w:numFmt w:val="bullet"/>
      <w:lvlText w:val=""/>
      <w:lvlJc w:val="left"/>
      <w:pPr>
        <w:tabs>
          <w:tab w:val="num" w:pos="2160"/>
        </w:tabs>
        <w:ind w:left="2160" w:hanging="360"/>
      </w:pPr>
      <w:rPr>
        <w:rFonts w:ascii="Wingdings" w:hAnsi="Wingdings" w:hint="default"/>
      </w:rPr>
    </w:lvl>
    <w:lvl w:ilvl="3" w:tplc="13086760" w:tentative="1">
      <w:start w:val="1"/>
      <w:numFmt w:val="bullet"/>
      <w:lvlText w:val=""/>
      <w:lvlJc w:val="left"/>
      <w:pPr>
        <w:tabs>
          <w:tab w:val="num" w:pos="2880"/>
        </w:tabs>
        <w:ind w:left="2880" w:hanging="360"/>
      </w:pPr>
      <w:rPr>
        <w:rFonts w:ascii="Wingdings" w:hAnsi="Wingdings" w:hint="default"/>
      </w:rPr>
    </w:lvl>
    <w:lvl w:ilvl="4" w:tplc="297A8558" w:tentative="1">
      <w:start w:val="1"/>
      <w:numFmt w:val="bullet"/>
      <w:lvlText w:val=""/>
      <w:lvlJc w:val="left"/>
      <w:pPr>
        <w:tabs>
          <w:tab w:val="num" w:pos="3600"/>
        </w:tabs>
        <w:ind w:left="3600" w:hanging="360"/>
      </w:pPr>
      <w:rPr>
        <w:rFonts w:ascii="Wingdings" w:hAnsi="Wingdings" w:hint="default"/>
      </w:rPr>
    </w:lvl>
    <w:lvl w:ilvl="5" w:tplc="1C80D848" w:tentative="1">
      <w:start w:val="1"/>
      <w:numFmt w:val="bullet"/>
      <w:lvlText w:val=""/>
      <w:lvlJc w:val="left"/>
      <w:pPr>
        <w:tabs>
          <w:tab w:val="num" w:pos="4320"/>
        </w:tabs>
        <w:ind w:left="4320" w:hanging="360"/>
      </w:pPr>
      <w:rPr>
        <w:rFonts w:ascii="Wingdings" w:hAnsi="Wingdings" w:hint="default"/>
      </w:rPr>
    </w:lvl>
    <w:lvl w:ilvl="6" w:tplc="E3E462BE" w:tentative="1">
      <w:start w:val="1"/>
      <w:numFmt w:val="bullet"/>
      <w:lvlText w:val=""/>
      <w:lvlJc w:val="left"/>
      <w:pPr>
        <w:tabs>
          <w:tab w:val="num" w:pos="5040"/>
        </w:tabs>
        <w:ind w:left="5040" w:hanging="360"/>
      </w:pPr>
      <w:rPr>
        <w:rFonts w:ascii="Wingdings" w:hAnsi="Wingdings" w:hint="default"/>
      </w:rPr>
    </w:lvl>
    <w:lvl w:ilvl="7" w:tplc="A56820CC" w:tentative="1">
      <w:start w:val="1"/>
      <w:numFmt w:val="bullet"/>
      <w:lvlText w:val=""/>
      <w:lvlJc w:val="left"/>
      <w:pPr>
        <w:tabs>
          <w:tab w:val="num" w:pos="5760"/>
        </w:tabs>
        <w:ind w:left="5760" w:hanging="360"/>
      </w:pPr>
      <w:rPr>
        <w:rFonts w:ascii="Wingdings" w:hAnsi="Wingdings" w:hint="default"/>
      </w:rPr>
    </w:lvl>
    <w:lvl w:ilvl="8" w:tplc="9ABA5BDA" w:tentative="1">
      <w:start w:val="1"/>
      <w:numFmt w:val="bullet"/>
      <w:lvlText w:val=""/>
      <w:lvlJc w:val="left"/>
      <w:pPr>
        <w:tabs>
          <w:tab w:val="num" w:pos="6480"/>
        </w:tabs>
        <w:ind w:left="6480" w:hanging="360"/>
      </w:pPr>
      <w:rPr>
        <w:rFonts w:ascii="Wingdings" w:hAnsi="Wingdings" w:hint="default"/>
      </w:rPr>
    </w:lvl>
  </w:abstractNum>
  <w:abstractNum w:abstractNumId="30">
    <w:nsid w:val="5E036EAB"/>
    <w:multiLevelType w:val="hybridMultilevel"/>
    <w:tmpl w:val="E6F0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0B03E7"/>
    <w:multiLevelType w:val="hybridMultilevel"/>
    <w:tmpl w:val="A322F45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301D28"/>
    <w:multiLevelType w:val="hybridMultilevel"/>
    <w:tmpl w:val="98B0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3C7C69"/>
    <w:multiLevelType w:val="hybridMultilevel"/>
    <w:tmpl w:val="4F98DD08"/>
    <w:lvl w:ilvl="0" w:tplc="0C58F87E">
      <w:start w:val="1"/>
      <w:numFmt w:val="bullet"/>
      <w:lvlText w:val=""/>
      <w:lvlJc w:val="left"/>
      <w:pPr>
        <w:tabs>
          <w:tab w:val="num" w:pos="720"/>
        </w:tabs>
        <w:ind w:left="720" w:hanging="360"/>
      </w:pPr>
      <w:rPr>
        <w:rFonts w:ascii="Wingdings" w:hAnsi="Wingdings" w:hint="default"/>
      </w:rPr>
    </w:lvl>
    <w:lvl w:ilvl="1" w:tplc="95EC2A80" w:tentative="1">
      <w:start w:val="1"/>
      <w:numFmt w:val="bullet"/>
      <w:lvlText w:val=""/>
      <w:lvlJc w:val="left"/>
      <w:pPr>
        <w:tabs>
          <w:tab w:val="num" w:pos="1440"/>
        </w:tabs>
        <w:ind w:left="1440" w:hanging="360"/>
      </w:pPr>
      <w:rPr>
        <w:rFonts w:ascii="Wingdings" w:hAnsi="Wingdings" w:hint="default"/>
      </w:rPr>
    </w:lvl>
    <w:lvl w:ilvl="2" w:tplc="FE1ACF2A" w:tentative="1">
      <w:start w:val="1"/>
      <w:numFmt w:val="bullet"/>
      <w:lvlText w:val=""/>
      <w:lvlJc w:val="left"/>
      <w:pPr>
        <w:tabs>
          <w:tab w:val="num" w:pos="2160"/>
        </w:tabs>
        <w:ind w:left="2160" w:hanging="360"/>
      </w:pPr>
      <w:rPr>
        <w:rFonts w:ascii="Wingdings" w:hAnsi="Wingdings" w:hint="default"/>
      </w:rPr>
    </w:lvl>
    <w:lvl w:ilvl="3" w:tplc="30F82618" w:tentative="1">
      <w:start w:val="1"/>
      <w:numFmt w:val="bullet"/>
      <w:lvlText w:val=""/>
      <w:lvlJc w:val="left"/>
      <w:pPr>
        <w:tabs>
          <w:tab w:val="num" w:pos="2880"/>
        </w:tabs>
        <w:ind w:left="2880" w:hanging="360"/>
      </w:pPr>
      <w:rPr>
        <w:rFonts w:ascii="Wingdings" w:hAnsi="Wingdings" w:hint="default"/>
      </w:rPr>
    </w:lvl>
    <w:lvl w:ilvl="4" w:tplc="B43AC930" w:tentative="1">
      <w:start w:val="1"/>
      <w:numFmt w:val="bullet"/>
      <w:lvlText w:val=""/>
      <w:lvlJc w:val="left"/>
      <w:pPr>
        <w:tabs>
          <w:tab w:val="num" w:pos="3600"/>
        </w:tabs>
        <w:ind w:left="3600" w:hanging="360"/>
      </w:pPr>
      <w:rPr>
        <w:rFonts w:ascii="Wingdings" w:hAnsi="Wingdings" w:hint="default"/>
      </w:rPr>
    </w:lvl>
    <w:lvl w:ilvl="5" w:tplc="EEA6D99E" w:tentative="1">
      <w:start w:val="1"/>
      <w:numFmt w:val="bullet"/>
      <w:lvlText w:val=""/>
      <w:lvlJc w:val="left"/>
      <w:pPr>
        <w:tabs>
          <w:tab w:val="num" w:pos="4320"/>
        </w:tabs>
        <w:ind w:left="4320" w:hanging="360"/>
      </w:pPr>
      <w:rPr>
        <w:rFonts w:ascii="Wingdings" w:hAnsi="Wingdings" w:hint="default"/>
      </w:rPr>
    </w:lvl>
    <w:lvl w:ilvl="6" w:tplc="FD88EDAE" w:tentative="1">
      <w:start w:val="1"/>
      <w:numFmt w:val="bullet"/>
      <w:lvlText w:val=""/>
      <w:lvlJc w:val="left"/>
      <w:pPr>
        <w:tabs>
          <w:tab w:val="num" w:pos="5040"/>
        </w:tabs>
        <w:ind w:left="5040" w:hanging="360"/>
      </w:pPr>
      <w:rPr>
        <w:rFonts w:ascii="Wingdings" w:hAnsi="Wingdings" w:hint="default"/>
      </w:rPr>
    </w:lvl>
    <w:lvl w:ilvl="7" w:tplc="E98663D8" w:tentative="1">
      <w:start w:val="1"/>
      <w:numFmt w:val="bullet"/>
      <w:lvlText w:val=""/>
      <w:lvlJc w:val="left"/>
      <w:pPr>
        <w:tabs>
          <w:tab w:val="num" w:pos="5760"/>
        </w:tabs>
        <w:ind w:left="5760" w:hanging="360"/>
      </w:pPr>
      <w:rPr>
        <w:rFonts w:ascii="Wingdings" w:hAnsi="Wingdings" w:hint="default"/>
      </w:rPr>
    </w:lvl>
    <w:lvl w:ilvl="8" w:tplc="C15EB73A" w:tentative="1">
      <w:start w:val="1"/>
      <w:numFmt w:val="bullet"/>
      <w:lvlText w:val=""/>
      <w:lvlJc w:val="left"/>
      <w:pPr>
        <w:tabs>
          <w:tab w:val="num" w:pos="6480"/>
        </w:tabs>
        <w:ind w:left="6480" w:hanging="360"/>
      </w:pPr>
      <w:rPr>
        <w:rFonts w:ascii="Wingdings" w:hAnsi="Wingdings" w:hint="default"/>
      </w:rPr>
    </w:lvl>
  </w:abstractNum>
  <w:abstractNum w:abstractNumId="34">
    <w:nsid w:val="65C334D5"/>
    <w:multiLevelType w:val="hybridMultilevel"/>
    <w:tmpl w:val="38F6A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DB5388"/>
    <w:multiLevelType w:val="hybridMultilevel"/>
    <w:tmpl w:val="E7961D54"/>
    <w:lvl w:ilvl="0" w:tplc="20909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D9599F"/>
    <w:multiLevelType w:val="hybridMultilevel"/>
    <w:tmpl w:val="021662E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nsid w:val="6C012E65"/>
    <w:multiLevelType w:val="hybridMultilevel"/>
    <w:tmpl w:val="27CC09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D3A24BB"/>
    <w:multiLevelType w:val="hybridMultilevel"/>
    <w:tmpl w:val="B7A232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FB37768"/>
    <w:multiLevelType w:val="hybridMultilevel"/>
    <w:tmpl w:val="E7EE264C"/>
    <w:lvl w:ilvl="0" w:tplc="A0125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A00A90"/>
    <w:multiLevelType w:val="hybridMultilevel"/>
    <w:tmpl w:val="AD7858B0"/>
    <w:lvl w:ilvl="0" w:tplc="BD32D560">
      <w:start w:val="1"/>
      <w:numFmt w:val="bullet"/>
      <w:lvlText w:val=""/>
      <w:lvlJc w:val="left"/>
      <w:pPr>
        <w:tabs>
          <w:tab w:val="num" w:pos="720"/>
        </w:tabs>
        <w:ind w:left="720" w:hanging="360"/>
      </w:pPr>
      <w:rPr>
        <w:rFonts w:ascii="Wingdings" w:hAnsi="Wingdings" w:hint="default"/>
      </w:rPr>
    </w:lvl>
    <w:lvl w:ilvl="1" w:tplc="7120505C" w:tentative="1">
      <w:start w:val="1"/>
      <w:numFmt w:val="bullet"/>
      <w:lvlText w:val=""/>
      <w:lvlJc w:val="left"/>
      <w:pPr>
        <w:tabs>
          <w:tab w:val="num" w:pos="1440"/>
        </w:tabs>
        <w:ind w:left="1440" w:hanging="360"/>
      </w:pPr>
      <w:rPr>
        <w:rFonts w:ascii="Wingdings" w:hAnsi="Wingdings" w:hint="default"/>
      </w:rPr>
    </w:lvl>
    <w:lvl w:ilvl="2" w:tplc="347CEE06" w:tentative="1">
      <w:start w:val="1"/>
      <w:numFmt w:val="bullet"/>
      <w:lvlText w:val=""/>
      <w:lvlJc w:val="left"/>
      <w:pPr>
        <w:tabs>
          <w:tab w:val="num" w:pos="2160"/>
        </w:tabs>
        <w:ind w:left="2160" w:hanging="360"/>
      </w:pPr>
      <w:rPr>
        <w:rFonts w:ascii="Wingdings" w:hAnsi="Wingdings" w:hint="default"/>
      </w:rPr>
    </w:lvl>
    <w:lvl w:ilvl="3" w:tplc="19A65BEA" w:tentative="1">
      <w:start w:val="1"/>
      <w:numFmt w:val="bullet"/>
      <w:lvlText w:val=""/>
      <w:lvlJc w:val="left"/>
      <w:pPr>
        <w:tabs>
          <w:tab w:val="num" w:pos="2880"/>
        </w:tabs>
        <w:ind w:left="2880" w:hanging="360"/>
      </w:pPr>
      <w:rPr>
        <w:rFonts w:ascii="Wingdings" w:hAnsi="Wingdings" w:hint="default"/>
      </w:rPr>
    </w:lvl>
    <w:lvl w:ilvl="4" w:tplc="B23E9110" w:tentative="1">
      <w:start w:val="1"/>
      <w:numFmt w:val="bullet"/>
      <w:lvlText w:val=""/>
      <w:lvlJc w:val="left"/>
      <w:pPr>
        <w:tabs>
          <w:tab w:val="num" w:pos="3600"/>
        </w:tabs>
        <w:ind w:left="3600" w:hanging="360"/>
      </w:pPr>
      <w:rPr>
        <w:rFonts w:ascii="Wingdings" w:hAnsi="Wingdings" w:hint="default"/>
      </w:rPr>
    </w:lvl>
    <w:lvl w:ilvl="5" w:tplc="8408BF60" w:tentative="1">
      <w:start w:val="1"/>
      <w:numFmt w:val="bullet"/>
      <w:lvlText w:val=""/>
      <w:lvlJc w:val="left"/>
      <w:pPr>
        <w:tabs>
          <w:tab w:val="num" w:pos="4320"/>
        </w:tabs>
        <w:ind w:left="4320" w:hanging="360"/>
      </w:pPr>
      <w:rPr>
        <w:rFonts w:ascii="Wingdings" w:hAnsi="Wingdings" w:hint="default"/>
      </w:rPr>
    </w:lvl>
    <w:lvl w:ilvl="6" w:tplc="7BF846EE" w:tentative="1">
      <w:start w:val="1"/>
      <w:numFmt w:val="bullet"/>
      <w:lvlText w:val=""/>
      <w:lvlJc w:val="left"/>
      <w:pPr>
        <w:tabs>
          <w:tab w:val="num" w:pos="5040"/>
        </w:tabs>
        <w:ind w:left="5040" w:hanging="360"/>
      </w:pPr>
      <w:rPr>
        <w:rFonts w:ascii="Wingdings" w:hAnsi="Wingdings" w:hint="default"/>
      </w:rPr>
    </w:lvl>
    <w:lvl w:ilvl="7" w:tplc="9B7C8426" w:tentative="1">
      <w:start w:val="1"/>
      <w:numFmt w:val="bullet"/>
      <w:lvlText w:val=""/>
      <w:lvlJc w:val="left"/>
      <w:pPr>
        <w:tabs>
          <w:tab w:val="num" w:pos="5760"/>
        </w:tabs>
        <w:ind w:left="5760" w:hanging="360"/>
      </w:pPr>
      <w:rPr>
        <w:rFonts w:ascii="Wingdings" w:hAnsi="Wingdings" w:hint="default"/>
      </w:rPr>
    </w:lvl>
    <w:lvl w:ilvl="8" w:tplc="4B6821E8" w:tentative="1">
      <w:start w:val="1"/>
      <w:numFmt w:val="bullet"/>
      <w:lvlText w:val=""/>
      <w:lvlJc w:val="left"/>
      <w:pPr>
        <w:tabs>
          <w:tab w:val="num" w:pos="6480"/>
        </w:tabs>
        <w:ind w:left="6480" w:hanging="360"/>
      </w:pPr>
      <w:rPr>
        <w:rFonts w:ascii="Wingdings" w:hAnsi="Wingdings" w:hint="default"/>
      </w:rPr>
    </w:lvl>
  </w:abstractNum>
  <w:abstractNum w:abstractNumId="41">
    <w:nsid w:val="70D90350"/>
    <w:multiLevelType w:val="hybridMultilevel"/>
    <w:tmpl w:val="86E0D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6090E85"/>
    <w:multiLevelType w:val="multilevel"/>
    <w:tmpl w:val="500EC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A155716"/>
    <w:multiLevelType w:val="hybridMultilevel"/>
    <w:tmpl w:val="5D30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D05AAC"/>
    <w:multiLevelType w:val="hybridMultilevel"/>
    <w:tmpl w:val="8352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7"/>
  </w:num>
  <w:num w:numId="4">
    <w:abstractNumId w:val="36"/>
  </w:num>
  <w:num w:numId="5">
    <w:abstractNumId w:val="16"/>
  </w:num>
  <w:num w:numId="6">
    <w:abstractNumId w:val="38"/>
  </w:num>
  <w:num w:numId="7">
    <w:abstractNumId w:val="41"/>
  </w:num>
  <w:num w:numId="8">
    <w:abstractNumId w:val="13"/>
  </w:num>
  <w:num w:numId="9">
    <w:abstractNumId w:val="11"/>
  </w:num>
  <w:num w:numId="10">
    <w:abstractNumId w:val="25"/>
  </w:num>
  <w:num w:numId="11">
    <w:abstractNumId w:val="27"/>
  </w:num>
  <w:num w:numId="12">
    <w:abstractNumId w:val="5"/>
  </w:num>
  <w:num w:numId="13">
    <w:abstractNumId w:val="12"/>
  </w:num>
  <w:num w:numId="14">
    <w:abstractNumId w:val="0"/>
  </w:num>
  <w:num w:numId="15">
    <w:abstractNumId w:val="7"/>
  </w:num>
  <w:num w:numId="16">
    <w:abstractNumId w:val="42"/>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0"/>
  </w:num>
  <w:num w:numId="21">
    <w:abstractNumId w:val="39"/>
  </w:num>
  <w:num w:numId="22">
    <w:abstractNumId w:val="9"/>
  </w:num>
  <w:num w:numId="23">
    <w:abstractNumId w:val="2"/>
  </w:num>
  <w:num w:numId="24">
    <w:abstractNumId w:val="23"/>
  </w:num>
  <w:num w:numId="25">
    <w:abstractNumId w:val="31"/>
  </w:num>
  <w:num w:numId="26">
    <w:abstractNumId w:val="34"/>
  </w:num>
  <w:num w:numId="27">
    <w:abstractNumId w:val="10"/>
  </w:num>
  <w:num w:numId="28">
    <w:abstractNumId w:val="43"/>
  </w:num>
  <w:num w:numId="29">
    <w:abstractNumId w:val="4"/>
  </w:num>
  <w:num w:numId="30">
    <w:abstractNumId w:val="6"/>
  </w:num>
  <w:num w:numId="31">
    <w:abstractNumId w:val="28"/>
  </w:num>
  <w:num w:numId="32">
    <w:abstractNumId w:val="44"/>
  </w:num>
  <w:num w:numId="33">
    <w:abstractNumId w:val="1"/>
  </w:num>
  <w:num w:numId="34">
    <w:abstractNumId w:val="15"/>
  </w:num>
  <w:num w:numId="35">
    <w:abstractNumId w:val="14"/>
  </w:num>
  <w:num w:numId="36">
    <w:abstractNumId w:val="8"/>
  </w:num>
  <w:num w:numId="37">
    <w:abstractNumId w:val="18"/>
  </w:num>
  <w:num w:numId="38">
    <w:abstractNumId w:val="32"/>
  </w:num>
  <w:num w:numId="39">
    <w:abstractNumId w:val="24"/>
  </w:num>
  <w:num w:numId="40">
    <w:abstractNumId w:val="3"/>
  </w:num>
  <w:num w:numId="41">
    <w:abstractNumId w:val="29"/>
  </w:num>
  <w:num w:numId="42">
    <w:abstractNumId w:val="33"/>
  </w:num>
  <w:num w:numId="43">
    <w:abstractNumId w:val="40"/>
  </w:num>
  <w:num w:numId="44">
    <w:abstractNumId w:val="30"/>
  </w:num>
  <w:num w:numId="45">
    <w:abstractNumId w:val="17"/>
  </w:num>
  <w:num w:numId="46">
    <w:abstractNumId w:val="22"/>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trackRevisions/>
  <w:defaultTabStop w:val="720"/>
  <w:doNotHyphenateCaps/>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47F"/>
    <w:rsid w:val="000006D2"/>
    <w:rsid w:val="00000FE7"/>
    <w:rsid w:val="000012DD"/>
    <w:rsid w:val="0000154D"/>
    <w:rsid w:val="000015BF"/>
    <w:rsid w:val="00001E1A"/>
    <w:rsid w:val="000026D0"/>
    <w:rsid w:val="00002DFA"/>
    <w:rsid w:val="00002F27"/>
    <w:rsid w:val="0000303B"/>
    <w:rsid w:val="000034A6"/>
    <w:rsid w:val="00003A9F"/>
    <w:rsid w:val="00003FF5"/>
    <w:rsid w:val="0000423D"/>
    <w:rsid w:val="000045F9"/>
    <w:rsid w:val="000047E4"/>
    <w:rsid w:val="00005607"/>
    <w:rsid w:val="00006863"/>
    <w:rsid w:val="00006B3B"/>
    <w:rsid w:val="00006C01"/>
    <w:rsid w:val="00006F66"/>
    <w:rsid w:val="00007058"/>
    <w:rsid w:val="000077C7"/>
    <w:rsid w:val="00007BD0"/>
    <w:rsid w:val="0001042A"/>
    <w:rsid w:val="00010672"/>
    <w:rsid w:val="000109D7"/>
    <w:rsid w:val="00010EC9"/>
    <w:rsid w:val="00011491"/>
    <w:rsid w:val="000119D5"/>
    <w:rsid w:val="00012085"/>
    <w:rsid w:val="000125AC"/>
    <w:rsid w:val="00012C17"/>
    <w:rsid w:val="00012FF2"/>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C9C"/>
    <w:rsid w:val="00016E58"/>
    <w:rsid w:val="0001743F"/>
    <w:rsid w:val="00020047"/>
    <w:rsid w:val="000206F6"/>
    <w:rsid w:val="00020713"/>
    <w:rsid w:val="00020B7F"/>
    <w:rsid w:val="00020DCF"/>
    <w:rsid w:val="0002185E"/>
    <w:rsid w:val="00021ADE"/>
    <w:rsid w:val="00021E77"/>
    <w:rsid w:val="00021FC5"/>
    <w:rsid w:val="00021FCA"/>
    <w:rsid w:val="00022100"/>
    <w:rsid w:val="000221CC"/>
    <w:rsid w:val="00022456"/>
    <w:rsid w:val="00023169"/>
    <w:rsid w:val="000232E9"/>
    <w:rsid w:val="000234FE"/>
    <w:rsid w:val="00023E6F"/>
    <w:rsid w:val="00024CBC"/>
    <w:rsid w:val="00025399"/>
    <w:rsid w:val="00025774"/>
    <w:rsid w:val="000261CC"/>
    <w:rsid w:val="00026714"/>
    <w:rsid w:val="00026977"/>
    <w:rsid w:val="00027085"/>
    <w:rsid w:val="00027B8D"/>
    <w:rsid w:val="00027E09"/>
    <w:rsid w:val="000300B8"/>
    <w:rsid w:val="0003078B"/>
    <w:rsid w:val="00030D76"/>
    <w:rsid w:val="00030DEB"/>
    <w:rsid w:val="00030F90"/>
    <w:rsid w:val="00031334"/>
    <w:rsid w:val="0003137D"/>
    <w:rsid w:val="00031453"/>
    <w:rsid w:val="000317BC"/>
    <w:rsid w:val="000317F9"/>
    <w:rsid w:val="000318DF"/>
    <w:rsid w:val="00031C7B"/>
    <w:rsid w:val="00031D82"/>
    <w:rsid w:val="0003213B"/>
    <w:rsid w:val="00032390"/>
    <w:rsid w:val="00032C17"/>
    <w:rsid w:val="00033259"/>
    <w:rsid w:val="00033342"/>
    <w:rsid w:val="00033A74"/>
    <w:rsid w:val="00033D2D"/>
    <w:rsid w:val="00033D3C"/>
    <w:rsid w:val="00033D68"/>
    <w:rsid w:val="000341AB"/>
    <w:rsid w:val="000344B3"/>
    <w:rsid w:val="000346AA"/>
    <w:rsid w:val="000349E8"/>
    <w:rsid w:val="00034CB7"/>
    <w:rsid w:val="00034CC9"/>
    <w:rsid w:val="00034DDC"/>
    <w:rsid w:val="000359DA"/>
    <w:rsid w:val="00035B51"/>
    <w:rsid w:val="00035FDA"/>
    <w:rsid w:val="00036114"/>
    <w:rsid w:val="00036C2F"/>
    <w:rsid w:val="00037404"/>
    <w:rsid w:val="0003744D"/>
    <w:rsid w:val="00037997"/>
    <w:rsid w:val="00037A15"/>
    <w:rsid w:val="00037AEB"/>
    <w:rsid w:val="00040085"/>
    <w:rsid w:val="00040303"/>
    <w:rsid w:val="0004034D"/>
    <w:rsid w:val="000407D5"/>
    <w:rsid w:val="00040C08"/>
    <w:rsid w:val="000413C4"/>
    <w:rsid w:val="00041831"/>
    <w:rsid w:val="00041D18"/>
    <w:rsid w:val="0004258A"/>
    <w:rsid w:val="00042926"/>
    <w:rsid w:val="00043801"/>
    <w:rsid w:val="00043BA4"/>
    <w:rsid w:val="00043CDA"/>
    <w:rsid w:val="00044165"/>
    <w:rsid w:val="0004430A"/>
    <w:rsid w:val="00044627"/>
    <w:rsid w:val="000446E4"/>
    <w:rsid w:val="000448DF"/>
    <w:rsid w:val="00044BCA"/>
    <w:rsid w:val="00044C1B"/>
    <w:rsid w:val="00044F13"/>
    <w:rsid w:val="000457B5"/>
    <w:rsid w:val="00045E54"/>
    <w:rsid w:val="00046120"/>
    <w:rsid w:val="00046B2D"/>
    <w:rsid w:val="00046BDE"/>
    <w:rsid w:val="0004773B"/>
    <w:rsid w:val="0004782C"/>
    <w:rsid w:val="000478E9"/>
    <w:rsid w:val="00050BDB"/>
    <w:rsid w:val="00050CE5"/>
    <w:rsid w:val="0005114B"/>
    <w:rsid w:val="00051573"/>
    <w:rsid w:val="00051EBF"/>
    <w:rsid w:val="00052140"/>
    <w:rsid w:val="0005238F"/>
    <w:rsid w:val="000523F7"/>
    <w:rsid w:val="000526A4"/>
    <w:rsid w:val="0005276B"/>
    <w:rsid w:val="00052A6C"/>
    <w:rsid w:val="000537E2"/>
    <w:rsid w:val="00053DE2"/>
    <w:rsid w:val="00054194"/>
    <w:rsid w:val="00054A32"/>
    <w:rsid w:val="00054D9E"/>
    <w:rsid w:val="00054DE9"/>
    <w:rsid w:val="00054FD6"/>
    <w:rsid w:val="00055787"/>
    <w:rsid w:val="000561C7"/>
    <w:rsid w:val="00056513"/>
    <w:rsid w:val="000568B5"/>
    <w:rsid w:val="00056F7A"/>
    <w:rsid w:val="0005739A"/>
    <w:rsid w:val="00057892"/>
    <w:rsid w:val="0005796C"/>
    <w:rsid w:val="00060482"/>
    <w:rsid w:val="000604E7"/>
    <w:rsid w:val="00060679"/>
    <w:rsid w:val="00060680"/>
    <w:rsid w:val="00060E8F"/>
    <w:rsid w:val="000622E7"/>
    <w:rsid w:val="000629AB"/>
    <w:rsid w:val="00062AB6"/>
    <w:rsid w:val="0006315F"/>
    <w:rsid w:val="000634B6"/>
    <w:rsid w:val="00063EB2"/>
    <w:rsid w:val="00064E7C"/>
    <w:rsid w:val="00065824"/>
    <w:rsid w:val="0006589E"/>
    <w:rsid w:val="0006596C"/>
    <w:rsid w:val="00065A51"/>
    <w:rsid w:val="00065AA7"/>
    <w:rsid w:val="00065E95"/>
    <w:rsid w:val="00065F74"/>
    <w:rsid w:val="0006601F"/>
    <w:rsid w:val="00066649"/>
    <w:rsid w:val="00066FEB"/>
    <w:rsid w:val="0006717E"/>
    <w:rsid w:val="0006778C"/>
    <w:rsid w:val="00067B95"/>
    <w:rsid w:val="00070120"/>
    <w:rsid w:val="00070A63"/>
    <w:rsid w:val="00070D5F"/>
    <w:rsid w:val="00070F3E"/>
    <w:rsid w:val="00071152"/>
    <w:rsid w:val="00071858"/>
    <w:rsid w:val="00071F89"/>
    <w:rsid w:val="00072063"/>
    <w:rsid w:val="000723A4"/>
    <w:rsid w:val="00072489"/>
    <w:rsid w:val="000728CF"/>
    <w:rsid w:val="000734F4"/>
    <w:rsid w:val="000735D9"/>
    <w:rsid w:val="00073851"/>
    <w:rsid w:val="00073EFC"/>
    <w:rsid w:val="00074103"/>
    <w:rsid w:val="00074233"/>
    <w:rsid w:val="00074443"/>
    <w:rsid w:val="0007470C"/>
    <w:rsid w:val="00074BF9"/>
    <w:rsid w:val="00074C6A"/>
    <w:rsid w:val="000754CF"/>
    <w:rsid w:val="00075A92"/>
    <w:rsid w:val="000761DC"/>
    <w:rsid w:val="0007631F"/>
    <w:rsid w:val="00076513"/>
    <w:rsid w:val="00076530"/>
    <w:rsid w:val="00076649"/>
    <w:rsid w:val="000770D6"/>
    <w:rsid w:val="0007726C"/>
    <w:rsid w:val="000773CF"/>
    <w:rsid w:val="00077704"/>
    <w:rsid w:val="00080F1A"/>
    <w:rsid w:val="0008111F"/>
    <w:rsid w:val="00081216"/>
    <w:rsid w:val="00081230"/>
    <w:rsid w:val="0008136D"/>
    <w:rsid w:val="00081417"/>
    <w:rsid w:val="000819DF"/>
    <w:rsid w:val="00081CC8"/>
    <w:rsid w:val="00082B7C"/>
    <w:rsid w:val="00083039"/>
    <w:rsid w:val="000840E2"/>
    <w:rsid w:val="00084CB8"/>
    <w:rsid w:val="00084E72"/>
    <w:rsid w:val="00085179"/>
    <w:rsid w:val="000861D8"/>
    <w:rsid w:val="00086349"/>
    <w:rsid w:val="00087C26"/>
    <w:rsid w:val="00087D55"/>
    <w:rsid w:val="00087E41"/>
    <w:rsid w:val="0009025C"/>
    <w:rsid w:val="00090A60"/>
    <w:rsid w:val="00090AE2"/>
    <w:rsid w:val="00090B70"/>
    <w:rsid w:val="000913CA"/>
    <w:rsid w:val="000918E1"/>
    <w:rsid w:val="00091FD4"/>
    <w:rsid w:val="00092194"/>
    <w:rsid w:val="000923E0"/>
    <w:rsid w:val="000924F7"/>
    <w:rsid w:val="00092DF5"/>
    <w:rsid w:val="00093029"/>
    <w:rsid w:val="00093517"/>
    <w:rsid w:val="000937B3"/>
    <w:rsid w:val="00093C1A"/>
    <w:rsid w:val="00093F7F"/>
    <w:rsid w:val="00094F50"/>
    <w:rsid w:val="000952F8"/>
    <w:rsid w:val="000959E8"/>
    <w:rsid w:val="00096816"/>
    <w:rsid w:val="000971B9"/>
    <w:rsid w:val="000975F7"/>
    <w:rsid w:val="00097D37"/>
    <w:rsid w:val="00097DD9"/>
    <w:rsid w:val="000A0129"/>
    <w:rsid w:val="000A0209"/>
    <w:rsid w:val="000A02C6"/>
    <w:rsid w:val="000A02EF"/>
    <w:rsid w:val="000A0CAC"/>
    <w:rsid w:val="000A0EFF"/>
    <w:rsid w:val="000A107E"/>
    <w:rsid w:val="000A1234"/>
    <w:rsid w:val="000A17AE"/>
    <w:rsid w:val="000A23C5"/>
    <w:rsid w:val="000A25C5"/>
    <w:rsid w:val="000A2C95"/>
    <w:rsid w:val="000A2E03"/>
    <w:rsid w:val="000A2E55"/>
    <w:rsid w:val="000A3006"/>
    <w:rsid w:val="000A3330"/>
    <w:rsid w:val="000A35D3"/>
    <w:rsid w:val="000A37A0"/>
    <w:rsid w:val="000A3A1C"/>
    <w:rsid w:val="000A3AC5"/>
    <w:rsid w:val="000A4351"/>
    <w:rsid w:val="000A45C8"/>
    <w:rsid w:val="000A4B7D"/>
    <w:rsid w:val="000A4D5A"/>
    <w:rsid w:val="000A51C2"/>
    <w:rsid w:val="000A60E5"/>
    <w:rsid w:val="000A6215"/>
    <w:rsid w:val="000A66C7"/>
    <w:rsid w:val="000A761B"/>
    <w:rsid w:val="000A7C3E"/>
    <w:rsid w:val="000B0535"/>
    <w:rsid w:val="000B09FC"/>
    <w:rsid w:val="000B0B47"/>
    <w:rsid w:val="000B0CB0"/>
    <w:rsid w:val="000B0F79"/>
    <w:rsid w:val="000B1C32"/>
    <w:rsid w:val="000B25D8"/>
    <w:rsid w:val="000B2C8D"/>
    <w:rsid w:val="000B32F7"/>
    <w:rsid w:val="000B3DB1"/>
    <w:rsid w:val="000B3FD3"/>
    <w:rsid w:val="000B430F"/>
    <w:rsid w:val="000B4EFA"/>
    <w:rsid w:val="000B53D0"/>
    <w:rsid w:val="000B5C0B"/>
    <w:rsid w:val="000B61C5"/>
    <w:rsid w:val="000B641C"/>
    <w:rsid w:val="000B67C0"/>
    <w:rsid w:val="000B6AD0"/>
    <w:rsid w:val="000B71EB"/>
    <w:rsid w:val="000B76FF"/>
    <w:rsid w:val="000B7CF2"/>
    <w:rsid w:val="000C0248"/>
    <w:rsid w:val="000C05C9"/>
    <w:rsid w:val="000C0AFD"/>
    <w:rsid w:val="000C10EC"/>
    <w:rsid w:val="000C1266"/>
    <w:rsid w:val="000C30BC"/>
    <w:rsid w:val="000C347E"/>
    <w:rsid w:val="000C382A"/>
    <w:rsid w:val="000C3C41"/>
    <w:rsid w:val="000C3DF2"/>
    <w:rsid w:val="000C47B3"/>
    <w:rsid w:val="000C4AAD"/>
    <w:rsid w:val="000C4C21"/>
    <w:rsid w:val="000C574B"/>
    <w:rsid w:val="000C57DF"/>
    <w:rsid w:val="000C59E4"/>
    <w:rsid w:val="000C5C21"/>
    <w:rsid w:val="000C5D0A"/>
    <w:rsid w:val="000C5D1B"/>
    <w:rsid w:val="000C5F79"/>
    <w:rsid w:val="000C67CC"/>
    <w:rsid w:val="000C69C8"/>
    <w:rsid w:val="000C6C27"/>
    <w:rsid w:val="000C7426"/>
    <w:rsid w:val="000C7A93"/>
    <w:rsid w:val="000D0336"/>
    <w:rsid w:val="000D07E5"/>
    <w:rsid w:val="000D0A03"/>
    <w:rsid w:val="000D0DCD"/>
    <w:rsid w:val="000D16B8"/>
    <w:rsid w:val="000D21AF"/>
    <w:rsid w:val="000D2867"/>
    <w:rsid w:val="000D2B97"/>
    <w:rsid w:val="000D2F02"/>
    <w:rsid w:val="000D30A7"/>
    <w:rsid w:val="000D381E"/>
    <w:rsid w:val="000D3AE7"/>
    <w:rsid w:val="000D432E"/>
    <w:rsid w:val="000D49CD"/>
    <w:rsid w:val="000D4BE1"/>
    <w:rsid w:val="000D4DD5"/>
    <w:rsid w:val="000D569F"/>
    <w:rsid w:val="000D5F1B"/>
    <w:rsid w:val="000D645B"/>
    <w:rsid w:val="000D67DC"/>
    <w:rsid w:val="000D7D54"/>
    <w:rsid w:val="000E0314"/>
    <w:rsid w:val="000E0BFB"/>
    <w:rsid w:val="000E0D80"/>
    <w:rsid w:val="000E0EB7"/>
    <w:rsid w:val="000E1109"/>
    <w:rsid w:val="000E155B"/>
    <w:rsid w:val="000E1C7B"/>
    <w:rsid w:val="000E1D6E"/>
    <w:rsid w:val="000E1F6A"/>
    <w:rsid w:val="000E2220"/>
    <w:rsid w:val="000E22DF"/>
    <w:rsid w:val="000E2675"/>
    <w:rsid w:val="000E3241"/>
    <w:rsid w:val="000E329D"/>
    <w:rsid w:val="000E330A"/>
    <w:rsid w:val="000E3683"/>
    <w:rsid w:val="000E37CA"/>
    <w:rsid w:val="000E3AA8"/>
    <w:rsid w:val="000E3BC6"/>
    <w:rsid w:val="000E43AB"/>
    <w:rsid w:val="000E4433"/>
    <w:rsid w:val="000E4D3A"/>
    <w:rsid w:val="000E4ED4"/>
    <w:rsid w:val="000E50AD"/>
    <w:rsid w:val="000E566A"/>
    <w:rsid w:val="000E5899"/>
    <w:rsid w:val="000E66AC"/>
    <w:rsid w:val="000E6720"/>
    <w:rsid w:val="000E693E"/>
    <w:rsid w:val="000E695E"/>
    <w:rsid w:val="000E6AA6"/>
    <w:rsid w:val="000E6BB6"/>
    <w:rsid w:val="000E6C79"/>
    <w:rsid w:val="000E6DE6"/>
    <w:rsid w:val="000E74CA"/>
    <w:rsid w:val="000E792C"/>
    <w:rsid w:val="000E7C80"/>
    <w:rsid w:val="000E7CBF"/>
    <w:rsid w:val="000E7DA1"/>
    <w:rsid w:val="000E7DD2"/>
    <w:rsid w:val="000F00F9"/>
    <w:rsid w:val="000F03E3"/>
    <w:rsid w:val="000F06B1"/>
    <w:rsid w:val="000F105E"/>
    <w:rsid w:val="000F10A7"/>
    <w:rsid w:val="000F1261"/>
    <w:rsid w:val="000F14C3"/>
    <w:rsid w:val="000F14C6"/>
    <w:rsid w:val="000F14D4"/>
    <w:rsid w:val="000F1B86"/>
    <w:rsid w:val="000F2115"/>
    <w:rsid w:val="000F2179"/>
    <w:rsid w:val="000F2813"/>
    <w:rsid w:val="000F3278"/>
    <w:rsid w:val="000F36CC"/>
    <w:rsid w:val="000F3B5F"/>
    <w:rsid w:val="000F3BA5"/>
    <w:rsid w:val="000F3BA7"/>
    <w:rsid w:val="000F4496"/>
    <w:rsid w:val="000F45CE"/>
    <w:rsid w:val="000F480A"/>
    <w:rsid w:val="000F4BB3"/>
    <w:rsid w:val="000F4E80"/>
    <w:rsid w:val="000F5397"/>
    <w:rsid w:val="000F547C"/>
    <w:rsid w:val="000F593D"/>
    <w:rsid w:val="000F5D2A"/>
    <w:rsid w:val="000F6A44"/>
    <w:rsid w:val="000F6F92"/>
    <w:rsid w:val="000F7781"/>
    <w:rsid w:val="000F7E4C"/>
    <w:rsid w:val="000F7FC4"/>
    <w:rsid w:val="0010042D"/>
    <w:rsid w:val="0010057A"/>
    <w:rsid w:val="0010133E"/>
    <w:rsid w:val="00101D68"/>
    <w:rsid w:val="0010261D"/>
    <w:rsid w:val="00102A51"/>
    <w:rsid w:val="00102D39"/>
    <w:rsid w:val="0010341A"/>
    <w:rsid w:val="00103485"/>
    <w:rsid w:val="00103C76"/>
    <w:rsid w:val="00103E5A"/>
    <w:rsid w:val="00103FAD"/>
    <w:rsid w:val="00103FCE"/>
    <w:rsid w:val="00104057"/>
    <w:rsid w:val="00104159"/>
    <w:rsid w:val="00104D21"/>
    <w:rsid w:val="00104E76"/>
    <w:rsid w:val="0010539C"/>
    <w:rsid w:val="00105632"/>
    <w:rsid w:val="00105890"/>
    <w:rsid w:val="00105A25"/>
    <w:rsid w:val="00105DCF"/>
    <w:rsid w:val="00105DD3"/>
    <w:rsid w:val="00106539"/>
    <w:rsid w:val="00106815"/>
    <w:rsid w:val="00106E6B"/>
    <w:rsid w:val="001075FB"/>
    <w:rsid w:val="00107924"/>
    <w:rsid w:val="00107DC8"/>
    <w:rsid w:val="00110FD8"/>
    <w:rsid w:val="00112117"/>
    <w:rsid w:val="001123D6"/>
    <w:rsid w:val="0011248C"/>
    <w:rsid w:val="001125A1"/>
    <w:rsid w:val="00112D48"/>
    <w:rsid w:val="001132B5"/>
    <w:rsid w:val="00113FDA"/>
    <w:rsid w:val="00114781"/>
    <w:rsid w:val="00114869"/>
    <w:rsid w:val="0011509F"/>
    <w:rsid w:val="00115135"/>
    <w:rsid w:val="00115399"/>
    <w:rsid w:val="001156D0"/>
    <w:rsid w:val="00115731"/>
    <w:rsid w:val="0011658F"/>
    <w:rsid w:val="001172A6"/>
    <w:rsid w:val="001174B7"/>
    <w:rsid w:val="001176F2"/>
    <w:rsid w:val="001177E6"/>
    <w:rsid w:val="001179F4"/>
    <w:rsid w:val="00117BBF"/>
    <w:rsid w:val="0012027D"/>
    <w:rsid w:val="00120567"/>
    <w:rsid w:val="00121339"/>
    <w:rsid w:val="001214EC"/>
    <w:rsid w:val="00121D1E"/>
    <w:rsid w:val="00121EB0"/>
    <w:rsid w:val="00122311"/>
    <w:rsid w:val="00122998"/>
    <w:rsid w:val="0012310C"/>
    <w:rsid w:val="001238A3"/>
    <w:rsid w:val="00123FB3"/>
    <w:rsid w:val="001241B9"/>
    <w:rsid w:val="001248E5"/>
    <w:rsid w:val="00124A9D"/>
    <w:rsid w:val="00125011"/>
    <w:rsid w:val="00125156"/>
    <w:rsid w:val="001254D4"/>
    <w:rsid w:val="001255A5"/>
    <w:rsid w:val="00125606"/>
    <w:rsid w:val="00125621"/>
    <w:rsid w:val="001258AE"/>
    <w:rsid w:val="00125FF5"/>
    <w:rsid w:val="00126394"/>
    <w:rsid w:val="0012667F"/>
    <w:rsid w:val="001267F5"/>
    <w:rsid w:val="00126A7C"/>
    <w:rsid w:val="00126C3C"/>
    <w:rsid w:val="00126DDD"/>
    <w:rsid w:val="0012761F"/>
    <w:rsid w:val="00127849"/>
    <w:rsid w:val="00127950"/>
    <w:rsid w:val="001279C4"/>
    <w:rsid w:val="00127D81"/>
    <w:rsid w:val="001306D8"/>
    <w:rsid w:val="00130825"/>
    <w:rsid w:val="0013193D"/>
    <w:rsid w:val="00132109"/>
    <w:rsid w:val="001323D4"/>
    <w:rsid w:val="00132841"/>
    <w:rsid w:val="00132C25"/>
    <w:rsid w:val="00132DA1"/>
    <w:rsid w:val="00132E7F"/>
    <w:rsid w:val="0013374D"/>
    <w:rsid w:val="00133ED6"/>
    <w:rsid w:val="00134488"/>
    <w:rsid w:val="001346F4"/>
    <w:rsid w:val="00134C67"/>
    <w:rsid w:val="00135512"/>
    <w:rsid w:val="001367DD"/>
    <w:rsid w:val="00136898"/>
    <w:rsid w:val="001368E3"/>
    <w:rsid w:val="00136BEE"/>
    <w:rsid w:val="00136C20"/>
    <w:rsid w:val="00137504"/>
    <w:rsid w:val="00137696"/>
    <w:rsid w:val="00137A9B"/>
    <w:rsid w:val="00137D76"/>
    <w:rsid w:val="00137F69"/>
    <w:rsid w:val="001406FE"/>
    <w:rsid w:val="00140960"/>
    <w:rsid w:val="001409EC"/>
    <w:rsid w:val="00140B2F"/>
    <w:rsid w:val="00140DDA"/>
    <w:rsid w:val="001414FB"/>
    <w:rsid w:val="00141725"/>
    <w:rsid w:val="001419E6"/>
    <w:rsid w:val="00141F58"/>
    <w:rsid w:val="00142342"/>
    <w:rsid w:val="00143087"/>
    <w:rsid w:val="001430D1"/>
    <w:rsid w:val="00143169"/>
    <w:rsid w:val="00143242"/>
    <w:rsid w:val="00143717"/>
    <w:rsid w:val="001437C2"/>
    <w:rsid w:val="001440B0"/>
    <w:rsid w:val="00144266"/>
    <w:rsid w:val="00144881"/>
    <w:rsid w:val="00144892"/>
    <w:rsid w:val="00144DF2"/>
    <w:rsid w:val="00145253"/>
    <w:rsid w:val="001459A8"/>
    <w:rsid w:val="00146976"/>
    <w:rsid w:val="00147033"/>
    <w:rsid w:val="00147242"/>
    <w:rsid w:val="00147529"/>
    <w:rsid w:val="00147B4B"/>
    <w:rsid w:val="00147D09"/>
    <w:rsid w:val="00147E0E"/>
    <w:rsid w:val="001500FF"/>
    <w:rsid w:val="00151602"/>
    <w:rsid w:val="00151CB3"/>
    <w:rsid w:val="00151DE3"/>
    <w:rsid w:val="00152970"/>
    <w:rsid w:val="001530C9"/>
    <w:rsid w:val="001530E5"/>
    <w:rsid w:val="00153546"/>
    <w:rsid w:val="00154498"/>
    <w:rsid w:val="00154569"/>
    <w:rsid w:val="00154BD5"/>
    <w:rsid w:val="00154E06"/>
    <w:rsid w:val="00155091"/>
    <w:rsid w:val="001550F0"/>
    <w:rsid w:val="0015554A"/>
    <w:rsid w:val="00155560"/>
    <w:rsid w:val="001559A1"/>
    <w:rsid w:val="00155BA5"/>
    <w:rsid w:val="00155BF2"/>
    <w:rsid w:val="001561D8"/>
    <w:rsid w:val="0015666B"/>
    <w:rsid w:val="00156680"/>
    <w:rsid w:val="00156BCF"/>
    <w:rsid w:val="00157321"/>
    <w:rsid w:val="0015740A"/>
    <w:rsid w:val="00157AF0"/>
    <w:rsid w:val="00157D7C"/>
    <w:rsid w:val="00160179"/>
    <w:rsid w:val="00160253"/>
    <w:rsid w:val="001603A4"/>
    <w:rsid w:val="001618DA"/>
    <w:rsid w:val="00161BD1"/>
    <w:rsid w:val="00161FB0"/>
    <w:rsid w:val="00162253"/>
    <w:rsid w:val="00162348"/>
    <w:rsid w:val="0016260A"/>
    <w:rsid w:val="0016285F"/>
    <w:rsid w:val="00162CED"/>
    <w:rsid w:val="00162ED2"/>
    <w:rsid w:val="00162F7E"/>
    <w:rsid w:val="00163576"/>
    <w:rsid w:val="00163CD6"/>
    <w:rsid w:val="00163F65"/>
    <w:rsid w:val="001642CA"/>
    <w:rsid w:val="001645BA"/>
    <w:rsid w:val="00164E76"/>
    <w:rsid w:val="001657B6"/>
    <w:rsid w:val="00165942"/>
    <w:rsid w:val="00165F09"/>
    <w:rsid w:val="001663A2"/>
    <w:rsid w:val="00166698"/>
    <w:rsid w:val="001668C9"/>
    <w:rsid w:val="00166D70"/>
    <w:rsid w:val="00167400"/>
    <w:rsid w:val="00167502"/>
    <w:rsid w:val="00167897"/>
    <w:rsid w:val="00167E65"/>
    <w:rsid w:val="001702A2"/>
    <w:rsid w:val="00170B1B"/>
    <w:rsid w:val="00170F08"/>
    <w:rsid w:val="0017169D"/>
    <w:rsid w:val="001717DD"/>
    <w:rsid w:val="00171828"/>
    <w:rsid w:val="0017212B"/>
    <w:rsid w:val="001728D4"/>
    <w:rsid w:val="00172D06"/>
    <w:rsid w:val="00172F2D"/>
    <w:rsid w:val="00173093"/>
    <w:rsid w:val="00173180"/>
    <w:rsid w:val="0017367D"/>
    <w:rsid w:val="0017384D"/>
    <w:rsid w:val="001740EC"/>
    <w:rsid w:val="001744CB"/>
    <w:rsid w:val="00174B61"/>
    <w:rsid w:val="00174C13"/>
    <w:rsid w:val="00175763"/>
    <w:rsid w:val="001759EF"/>
    <w:rsid w:val="001760E8"/>
    <w:rsid w:val="00176254"/>
    <w:rsid w:val="00177B0B"/>
    <w:rsid w:val="00180355"/>
    <w:rsid w:val="00180729"/>
    <w:rsid w:val="00180AAA"/>
    <w:rsid w:val="0018100A"/>
    <w:rsid w:val="001819B5"/>
    <w:rsid w:val="00181D91"/>
    <w:rsid w:val="00181E03"/>
    <w:rsid w:val="00182416"/>
    <w:rsid w:val="0018289C"/>
    <w:rsid w:val="00182A58"/>
    <w:rsid w:val="00182DC2"/>
    <w:rsid w:val="001832FA"/>
    <w:rsid w:val="001833EF"/>
    <w:rsid w:val="001834B9"/>
    <w:rsid w:val="0018372E"/>
    <w:rsid w:val="0018398E"/>
    <w:rsid w:val="001844E0"/>
    <w:rsid w:val="001848CB"/>
    <w:rsid w:val="00184DF4"/>
    <w:rsid w:val="00185741"/>
    <w:rsid w:val="00185D09"/>
    <w:rsid w:val="00185D0E"/>
    <w:rsid w:val="00185E72"/>
    <w:rsid w:val="001863A8"/>
    <w:rsid w:val="0018667C"/>
    <w:rsid w:val="00186CF0"/>
    <w:rsid w:val="001903E1"/>
    <w:rsid w:val="00190730"/>
    <w:rsid w:val="001907D6"/>
    <w:rsid w:val="00190E69"/>
    <w:rsid w:val="00191239"/>
    <w:rsid w:val="001920B5"/>
    <w:rsid w:val="0019224E"/>
    <w:rsid w:val="00192DE9"/>
    <w:rsid w:val="00193BD3"/>
    <w:rsid w:val="00193ED2"/>
    <w:rsid w:val="00193EF4"/>
    <w:rsid w:val="0019409B"/>
    <w:rsid w:val="001941E7"/>
    <w:rsid w:val="001949E2"/>
    <w:rsid w:val="00195B4C"/>
    <w:rsid w:val="00196317"/>
    <w:rsid w:val="001963AA"/>
    <w:rsid w:val="00196439"/>
    <w:rsid w:val="0019717A"/>
    <w:rsid w:val="00197495"/>
    <w:rsid w:val="00197597"/>
    <w:rsid w:val="00197611"/>
    <w:rsid w:val="00197636"/>
    <w:rsid w:val="001A00C5"/>
    <w:rsid w:val="001A096E"/>
    <w:rsid w:val="001A0C15"/>
    <w:rsid w:val="001A1C02"/>
    <w:rsid w:val="001A208F"/>
    <w:rsid w:val="001A210E"/>
    <w:rsid w:val="001A24CD"/>
    <w:rsid w:val="001A262A"/>
    <w:rsid w:val="001A2711"/>
    <w:rsid w:val="001A2812"/>
    <w:rsid w:val="001A2A64"/>
    <w:rsid w:val="001A2AE7"/>
    <w:rsid w:val="001A2CFD"/>
    <w:rsid w:val="001A2E65"/>
    <w:rsid w:val="001A31DE"/>
    <w:rsid w:val="001A32E2"/>
    <w:rsid w:val="001A3654"/>
    <w:rsid w:val="001A3734"/>
    <w:rsid w:val="001A38A9"/>
    <w:rsid w:val="001A3D04"/>
    <w:rsid w:val="001A46A3"/>
    <w:rsid w:val="001A4EB0"/>
    <w:rsid w:val="001A5124"/>
    <w:rsid w:val="001A5347"/>
    <w:rsid w:val="001A5A94"/>
    <w:rsid w:val="001A5DAF"/>
    <w:rsid w:val="001A6658"/>
    <w:rsid w:val="001A666F"/>
    <w:rsid w:val="001A6B97"/>
    <w:rsid w:val="001A7079"/>
    <w:rsid w:val="001A7725"/>
    <w:rsid w:val="001A786D"/>
    <w:rsid w:val="001A7C96"/>
    <w:rsid w:val="001B0660"/>
    <w:rsid w:val="001B0BE4"/>
    <w:rsid w:val="001B0DE1"/>
    <w:rsid w:val="001B10B5"/>
    <w:rsid w:val="001B157F"/>
    <w:rsid w:val="001B22FA"/>
    <w:rsid w:val="001B2A81"/>
    <w:rsid w:val="001B2D85"/>
    <w:rsid w:val="001B30B2"/>
    <w:rsid w:val="001B32DB"/>
    <w:rsid w:val="001B36A0"/>
    <w:rsid w:val="001B3B55"/>
    <w:rsid w:val="001B3CC2"/>
    <w:rsid w:val="001B40F9"/>
    <w:rsid w:val="001B4529"/>
    <w:rsid w:val="001B4B71"/>
    <w:rsid w:val="001B4B8A"/>
    <w:rsid w:val="001B5062"/>
    <w:rsid w:val="001B5D4F"/>
    <w:rsid w:val="001B616C"/>
    <w:rsid w:val="001B61AE"/>
    <w:rsid w:val="001B63A5"/>
    <w:rsid w:val="001C0410"/>
    <w:rsid w:val="001C05A0"/>
    <w:rsid w:val="001C0A2B"/>
    <w:rsid w:val="001C0C20"/>
    <w:rsid w:val="001C1AD9"/>
    <w:rsid w:val="001C1B4B"/>
    <w:rsid w:val="001C1FD6"/>
    <w:rsid w:val="001C236D"/>
    <w:rsid w:val="001C3A3B"/>
    <w:rsid w:val="001C3FF6"/>
    <w:rsid w:val="001C41B3"/>
    <w:rsid w:val="001C43C3"/>
    <w:rsid w:val="001C576D"/>
    <w:rsid w:val="001C5B77"/>
    <w:rsid w:val="001C61AF"/>
    <w:rsid w:val="001C6248"/>
    <w:rsid w:val="001C644B"/>
    <w:rsid w:val="001C68F7"/>
    <w:rsid w:val="001C6B19"/>
    <w:rsid w:val="001C74EC"/>
    <w:rsid w:val="001C7824"/>
    <w:rsid w:val="001C7B9C"/>
    <w:rsid w:val="001D0858"/>
    <w:rsid w:val="001D0C2E"/>
    <w:rsid w:val="001D0F76"/>
    <w:rsid w:val="001D10B9"/>
    <w:rsid w:val="001D19CC"/>
    <w:rsid w:val="001D209D"/>
    <w:rsid w:val="001D2341"/>
    <w:rsid w:val="001D3670"/>
    <w:rsid w:val="001D3D6A"/>
    <w:rsid w:val="001D3FF2"/>
    <w:rsid w:val="001D40C4"/>
    <w:rsid w:val="001D4CA3"/>
    <w:rsid w:val="001D4F4F"/>
    <w:rsid w:val="001D6E75"/>
    <w:rsid w:val="001D750C"/>
    <w:rsid w:val="001D7D5D"/>
    <w:rsid w:val="001D7F11"/>
    <w:rsid w:val="001E0B77"/>
    <w:rsid w:val="001E0CF3"/>
    <w:rsid w:val="001E0F90"/>
    <w:rsid w:val="001E0FB3"/>
    <w:rsid w:val="001E167F"/>
    <w:rsid w:val="001E1B55"/>
    <w:rsid w:val="001E22FD"/>
    <w:rsid w:val="001E23D7"/>
    <w:rsid w:val="001E25DC"/>
    <w:rsid w:val="001E26A5"/>
    <w:rsid w:val="001E3374"/>
    <w:rsid w:val="001E35B4"/>
    <w:rsid w:val="001E3970"/>
    <w:rsid w:val="001E3E62"/>
    <w:rsid w:val="001E49DC"/>
    <w:rsid w:val="001E4AA8"/>
    <w:rsid w:val="001E4B6A"/>
    <w:rsid w:val="001E4B8F"/>
    <w:rsid w:val="001E4FF1"/>
    <w:rsid w:val="001E51D1"/>
    <w:rsid w:val="001E5224"/>
    <w:rsid w:val="001E5448"/>
    <w:rsid w:val="001E549F"/>
    <w:rsid w:val="001E5FE6"/>
    <w:rsid w:val="001E612D"/>
    <w:rsid w:val="001E69BA"/>
    <w:rsid w:val="001E6AFC"/>
    <w:rsid w:val="001E7DAF"/>
    <w:rsid w:val="001E7E51"/>
    <w:rsid w:val="001F02E4"/>
    <w:rsid w:val="001F052B"/>
    <w:rsid w:val="001F058F"/>
    <w:rsid w:val="001F0AC0"/>
    <w:rsid w:val="001F141B"/>
    <w:rsid w:val="001F151F"/>
    <w:rsid w:val="001F155F"/>
    <w:rsid w:val="001F197F"/>
    <w:rsid w:val="001F1F9A"/>
    <w:rsid w:val="001F240F"/>
    <w:rsid w:val="001F25DD"/>
    <w:rsid w:val="001F2637"/>
    <w:rsid w:val="001F3047"/>
    <w:rsid w:val="001F31B0"/>
    <w:rsid w:val="001F33BF"/>
    <w:rsid w:val="001F344B"/>
    <w:rsid w:val="001F3480"/>
    <w:rsid w:val="001F4090"/>
    <w:rsid w:val="001F449D"/>
    <w:rsid w:val="001F46A7"/>
    <w:rsid w:val="001F4B82"/>
    <w:rsid w:val="001F4FD9"/>
    <w:rsid w:val="001F5390"/>
    <w:rsid w:val="001F62BE"/>
    <w:rsid w:val="001F6476"/>
    <w:rsid w:val="001F64C9"/>
    <w:rsid w:val="001F678F"/>
    <w:rsid w:val="001F68BC"/>
    <w:rsid w:val="001F6CD3"/>
    <w:rsid w:val="001F73BC"/>
    <w:rsid w:val="001F73F4"/>
    <w:rsid w:val="001F74E8"/>
    <w:rsid w:val="002000C7"/>
    <w:rsid w:val="002004B5"/>
    <w:rsid w:val="00200789"/>
    <w:rsid w:val="00200984"/>
    <w:rsid w:val="002009E5"/>
    <w:rsid w:val="00201642"/>
    <w:rsid w:val="00201908"/>
    <w:rsid w:val="00201A93"/>
    <w:rsid w:val="00202469"/>
    <w:rsid w:val="00202558"/>
    <w:rsid w:val="002025ED"/>
    <w:rsid w:val="00202B2B"/>
    <w:rsid w:val="00203083"/>
    <w:rsid w:val="00204CC6"/>
    <w:rsid w:val="00205885"/>
    <w:rsid w:val="00205974"/>
    <w:rsid w:val="00205DE3"/>
    <w:rsid w:val="0020685A"/>
    <w:rsid w:val="00206EA1"/>
    <w:rsid w:val="0020716C"/>
    <w:rsid w:val="0020782F"/>
    <w:rsid w:val="0020786D"/>
    <w:rsid w:val="00207A9C"/>
    <w:rsid w:val="00210466"/>
    <w:rsid w:val="00210A4F"/>
    <w:rsid w:val="00210C30"/>
    <w:rsid w:val="00210C5B"/>
    <w:rsid w:val="00211A24"/>
    <w:rsid w:val="00211C22"/>
    <w:rsid w:val="002120B5"/>
    <w:rsid w:val="002125F7"/>
    <w:rsid w:val="00212750"/>
    <w:rsid w:val="00212BEF"/>
    <w:rsid w:val="00212E20"/>
    <w:rsid w:val="00213517"/>
    <w:rsid w:val="0021353B"/>
    <w:rsid w:val="00213633"/>
    <w:rsid w:val="0021373C"/>
    <w:rsid w:val="0021398F"/>
    <w:rsid w:val="00213A90"/>
    <w:rsid w:val="00213B91"/>
    <w:rsid w:val="002143ED"/>
    <w:rsid w:val="00215200"/>
    <w:rsid w:val="00216069"/>
    <w:rsid w:val="00216651"/>
    <w:rsid w:val="00216902"/>
    <w:rsid w:val="00216B3D"/>
    <w:rsid w:val="002174C6"/>
    <w:rsid w:val="00217643"/>
    <w:rsid w:val="00217AE1"/>
    <w:rsid w:val="00217BA0"/>
    <w:rsid w:val="00217BC0"/>
    <w:rsid w:val="00217F26"/>
    <w:rsid w:val="00220117"/>
    <w:rsid w:val="00220559"/>
    <w:rsid w:val="00220E0D"/>
    <w:rsid w:val="00220F00"/>
    <w:rsid w:val="002214BA"/>
    <w:rsid w:val="0022150B"/>
    <w:rsid w:val="00221DAD"/>
    <w:rsid w:val="00221F1D"/>
    <w:rsid w:val="002224B8"/>
    <w:rsid w:val="00222677"/>
    <w:rsid w:val="002236FA"/>
    <w:rsid w:val="00223745"/>
    <w:rsid w:val="00224235"/>
    <w:rsid w:val="0022459D"/>
    <w:rsid w:val="00224FE9"/>
    <w:rsid w:val="00225554"/>
    <w:rsid w:val="00225A73"/>
    <w:rsid w:val="00225C77"/>
    <w:rsid w:val="00226281"/>
    <w:rsid w:val="002268B8"/>
    <w:rsid w:val="00226B44"/>
    <w:rsid w:val="0022714E"/>
    <w:rsid w:val="0022756D"/>
    <w:rsid w:val="00227A42"/>
    <w:rsid w:val="002305B6"/>
    <w:rsid w:val="00230F47"/>
    <w:rsid w:val="00230F98"/>
    <w:rsid w:val="002316B2"/>
    <w:rsid w:val="00231DE7"/>
    <w:rsid w:val="0023201E"/>
    <w:rsid w:val="00232125"/>
    <w:rsid w:val="00232433"/>
    <w:rsid w:val="00232566"/>
    <w:rsid w:val="00232DF6"/>
    <w:rsid w:val="00233E21"/>
    <w:rsid w:val="00234ACC"/>
    <w:rsid w:val="00234B68"/>
    <w:rsid w:val="00234FFB"/>
    <w:rsid w:val="00235259"/>
    <w:rsid w:val="00235459"/>
    <w:rsid w:val="002356B1"/>
    <w:rsid w:val="00236551"/>
    <w:rsid w:val="00236BC0"/>
    <w:rsid w:val="00236C76"/>
    <w:rsid w:val="002372D8"/>
    <w:rsid w:val="002374FC"/>
    <w:rsid w:val="0023760C"/>
    <w:rsid w:val="00237B8A"/>
    <w:rsid w:val="00240184"/>
    <w:rsid w:val="002408D1"/>
    <w:rsid w:val="00240A37"/>
    <w:rsid w:val="00240E0C"/>
    <w:rsid w:val="0024124E"/>
    <w:rsid w:val="00241592"/>
    <w:rsid w:val="00241F07"/>
    <w:rsid w:val="002426BF"/>
    <w:rsid w:val="002427BB"/>
    <w:rsid w:val="00242856"/>
    <w:rsid w:val="002428ED"/>
    <w:rsid w:val="00242EEA"/>
    <w:rsid w:val="00243A8E"/>
    <w:rsid w:val="00244016"/>
    <w:rsid w:val="00244E28"/>
    <w:rsid w:val="00244F3A"/>
    <w:rsid w:val="00244FA0"/>
    <w:rsid w:val="002461B0"/>
    <w:rsid w:val="002462B5"/>
    <w:rsid w:val="002468B9"/>
    <w:rsid w:val="00246F58"/>
    <w:rsid w:val="00247602"/>
    <w:rsid w:val="00247C2C"/>
    <w:rsid w:val="00247DF8"/>
    <w:rsid w:val="00250000"/>
    <w:rsid w:val="00250A7A"/>
    <w:rsid w:val="00250AB1"/>
    <w:rsid w:val="00250E3C"/>
    <w:rsid w:val="00251EB0"/>
    <w:rsid w:val="00252063"/>
    <w:rsid w:val="002520A3"/>
    <w:rsid w:val="00252245"/>
    <w:rsid w:val="0025268D"/>
    <w:rsid w:val="00252BA1"/>
    <w:rsid w:val="002530C8"/>
    <w:rsid w:val="00253618"/>
    <w:rsid w:val="00253707"/>
    <w:rsid w:val="0025382B"/>
    <w:rsid w:val="0025390B"/>
    <w:rsid w:val="00253A2D"/>
    <w:rsid w:val="0025400C"/>
    <w:rsid w:val="0025420C"/>
    <w:rsid w:val="002545D0"/>
    <w:rsid w:val="002552C7"/>
    <w:rsid w:val="002559A5"/>
    <w:rsid w:val="002559B4"/>
    <w:rsid w:val="0025641A"/>
    <w:rsid w:val="00256589"/>
    <w:rsid w:val="0025676F"/>
    <w:rsid w:val="00256A04"/>
    <w:rsid w:val="00257085"/>
    <w:rsid w:val="00257167"/>
    <w:rsid w:val="00257330"/>
    <w:rsid w:val="00257ABF"/>
    <w:rsid w:val="00257BE5"/>
    <w:rsid w:val="0026099B"/>
    <w:rsid w:val="00260A45"/>
    <w:rsid w:val="00260B50"/>
    <w:rsid w:val="00260E7F"/>
    <w:rsid w:val="0026182A"/>
    <w:rsid w:val="00261C09"/>
    <w:rsid w:val="002620BE"/>
    <w:rsid w:val="0026281D"/>
    <w:rsid w:val="00262B01"/>
    <w:rsid w:val="00262E5E"/>
    <w:rsid w:val="0026331C"/>
    <w:rsid w:val="00263422"/>
    <w:rsid w:val="00263A9D"/>
    <w:rsid w:val="00263B3A"/>
    <w:rsid w:val="00264215"/>
    <w:rsid w:val="00264277"/>
    <w:rsid w:val="0026532B"/>
    <w:rsid w:val="0026543C"/>
    <w:rsid w:val="00265513"/>
    <w:rsid w:val="0026599C"/>
    <w:rsid w:val="002662A2"/>
    <w:rsid w:val="0026633C"/>
    <w:rsid w:val="0026648B"/>
    <w:rsid w:val="00266730"/>
    <w:rsid w:val="00267128"/>
    <w:rsid w:val="00267361"/>
    <w:rsid w:val="002678E4"/>
    <w:rsid w:val="00267DE7"/>
    <w:rsid w:val="00267F41"/>
    <w:rsid w:val="00270132"/>
    <w:rsid w:val="00270DC3"/>
    <w:rsid w:val="00270F04"/>
    <w:rsid w:val="002712F3"/>
    <w:rsid w:val="00271502"/>
    <w:rsid w:val="002715F0"/>
    <w:rsid w:val="00271C02"/>
    <w:rsid w:val="00271CF2"/>
    <w:rsid w:val="00271DBF"/>
    <w:rsid w:val="00272183"/>
    <w:rsid w:val="0027277E"/>
    <w:rsid w:val="00272937"/>
    <w:rsid w:val="00272C73"/>
    <w:rsid w:val="00273005"/>
    <w:rsid w:val="0027300D"/>
    <w:rsid w:val="00273314"/>
    <w:rsid w:val="00274209"/>
    <w:rsid w:val="00274313"/>
    <w:rsid w:val="002749FB"/>
    <w:rsid w:val="00274E3C"/>
    <w:rsid w:val="00274F2B"/>
    <w:rsid w:val="00275065"/>
    <w:rsid w:val="002750F2"/>
    <w:rsid w:val="00275B89"/>
    <w:rsid w:val="00276B89"/>
    <w:rsid w:val="00276D77"/>
    <w:rsid w:val="0027721D"/>
    <w:rsid w:val="00277ECC"/>
    <w:rsid w:val="00280042"/>
    <w:rsid w:val="00280659"/>
    <w:rsid w:val="0028139B"/>
    <w:rsid w:val="00281C9C"/>
    <w:rsid w:val="00282067"/>
    <w:rsid w:val="00282130"/>
    <w:rsid w:val="00282177"/>
    <w:rsid w:val="00282800"/>
    <w:rsid w:val="00284592"/>
    <w:rsid w:val="0028461B"/>
    <w:rsid w:val="00284889"/>
    <w:rsid w:val="00284D28"/>
    <w:rsid w:val="0028512B"/>
    <w:rsid w:val="00285D1A"/>
    <w:rsid w:val="00285F60"/>
    <w:rsid w:val="002864DA"/>
    <w:rsid w:val="00286D70"/>
    <w:rsid w:val="002873DC"/>
    <w:rsid w:val="00287449"/>
    <w:rsid w:val="00287573"/>
    <w:rsid w:val="00287B80"/>
    <w:rsid w:val="00287F41"/>
    <w:rsid w:val="00290146"/>
    <w:rsid w:val="00290517"/>
    <w:rsid w:val="002908E9"/>
    <w:rsid w:val="00291095"/>
    <w:rsid w:val="002910BD"/>
    <w:rsid w:val="0029137E"/>
    <w:rsid w:val="002914DE"/>
    <w:rsid w:val="0029193E"/>
    <w:rsid w:val="00291E13"/>
    <w:rsid w:val="0029216A"/>
    <w:rsid w:val="002929E2"/>
    <w:rsid w:val="00292A9C"/>
    <w:rsid w:val="00292FDF"/>
    <w:rsid w:val="002938BD"/>
    <w:rsid w:val="00293C10"/>
    <w:rsid w:val="00294032"/>
    <w:rsid w:val="00294126"/>
    <w:rsid w:val="002945DC"/>
    <w:rsid w:val="00294947"/>
    <w:rsid w:val="00294A44"/>
    <w:rsid w:val="00294A6C"/>
    <w:rsid w:val="00294D87"/>
    <w:rsid w:val="002952BA"/>
    <w:rsid w:val="0029539A"/>
    <w:rsid w:val="002959B8"/>
    <w:rsid w:val="00295D85"/>
    <w:rsid w:val="00296819"/>
    <w:rsid w:val="0029725A"/>
    <w:rsid w:val="00297530"/>
    <w:rsid w:val="002978F8"/>
    <w:rsid w:val="00297B4B"/>
    <w:rsid w:val="002A009D"/>
    <w:rsid w:val="002A05B5"/>
    <w:rsid w:val="002A0831"/>
    <w:rsid w:val="002A094A"/>
    <w:rsid w:val="002A0A6C"/>
    <w:rsid w:val="002A254E"/>
    <w:rsid w:val="002A2BF6"/>
    <w:rsid w:val="002A2FCD"/>
    <w:rsid w:val="002A3337"/>
    <w:rsid w:val="002A414F"/>
    <w:rsid w:val="002A42D4"/>
    <w:rsid w:val="002A431F"/>
    <w:rsid w:val="002A447C"/>
    <w:rsid w:val="002A482E"/>
    <w:rsid w:val="002A4B25"/>
    <w:rsid w:val="002A4C6F"/>
    <w:rsid w:val="002A4F73"/>
    <w:rsid w:val="002A4FF0"/>
    <w:rsid w:val="002A5005"/>
    <w:rsid w:val="002A56B9"/>
    <w:rsid w:val="002A58A9"/>
    <w:rsid w:val="002A5DD1"/>
    <w:rsid w:val="002A60B3"/>
    <w:rsid w:val="002A6143"/>
    <w:rsid w:val="002A6209"/>
    <w:rsid w:val="002A67F5"/>
    <w:rsid w:val="002A68AA"/>
    <w:rsid w:val="002A6CB7"/>
    <w:rsid w:val="002A79FF"/>
    <w:rsid w:val="002A7FB8"/>
    <w:rsid w:val="002B0726"/>
    <w:rsid w:val="002B078D"/>
    <w:rsid w:val="002B088B"/>
    <w:rsid w:val="002B08ED"/>
    <w:rsid w:val="002B0937"/>
    <w:rsid w:val="002B1626"/>
    <w:rsid w:val="002B17E5"/>
    <w:rsid w:val="002B18CF"/>
    <w:rsid w:val="002B1A71"/>
    <w:rsid w:val="002B2071"/>
    <w:rsid w:val="002B26AC"/>
    <w:rsid w:val="002B2E9B"/>
    <w:rsid w:val="002B30CD"/>
    <w:rsid w:val="002B310B"/>
    <w:rsid w:val="002B3284"/>
    <w:rsid w:val="002B3EBF"/>
    <w:rsid w:val="002B3FF3"/>
    <w:rsid w:val="002B42FC"/>
    <w:rsid w:val="002B46B6"/>
    <w:rsid w:val="002B48A6"/>
    <w:rsid w:val="002B5199"/>
    <w:rsid w:val="002B5358"/>
    <w:rsid w:val="002B5AF4"/>
    <w:rsid w:val="002B5FB2"/>
    <w:rsid w:val="002B6637"/>
    <w:rsid w:val="002B6725"/>
    <w:rsid w:val="002B69AA"/>
    <w:rsid w:val="002B6BB5"/>
    <w:rsid w:val="002B6BD1"/>
    <w:rsid w:val="002B7140"/>
    <w:rsid w:val="002B72A6"/>
    <w:rsid w:val="002B7495"/>
    <w:rsid w:val="002B7600"/>
    <w:rsid w:val="002B7721"/>
    <w:rsid w:val="002B78B6"/>
    <w:rsid w:val="002B7A7E"/>
    <w:rsid w:val="002B7D6B"/>
    <w:rsid w:val="002B7DBE"/>
    <w:rsid w:val="002C0288"/>
    <w:rsid w:val="002C0ADD"/>
    <w:rsid w:val="002C1177"/>
    <w:rsid w:val="002C1526"/>
    <w:rsid w:val="002C1697"/>
    <w:rsid w:val="002C1874"/>
    <w:rsid w:val="002C18B3"/>
    <w:rsid w:val="002C26CF"/>
    <w:rsid w:val="002C2876"/>
    <w:rsid w:val="002C36EF"/>
    <w:rsid w:val="002C3A51"/>
    <w:rsid w:val="002C408D"/>
    <w:rsid w:val="002C4729"/>
    <w:rsid w:val="002C4A8A"/>
    <w:rsid w:val="002C4B2A"/>
    <w:rsid w:val="002C5038"/>
    <w:rsid w:val="002C5CD5"/>
    <w:rsid w:val="002C5E09"/>
    <w:rsid w:val="002C5F40"/>
    <w:rsid w:val="002C6749"/>
    <w:rsid w:val="002C7040"/>
    <w:rsid w:val="002C7078"/>
    <w:rsid w:val="002C721A"/>
    <w:rsid w:val="002C7AC8"/>
    <w:rsid w:val="002C7C60"/>
    <w:rsid w:val="002D0337"/>
    <w:rsid w:val="002D0B4C"/>
    <w:rsid w:val="002D0C07"/>
    <w:rsid w:val="002D1012"/>
    <w:rsid w:val="002D1185"/>
    <w:rsid w:val="002D1709"/>
    <w:rsid w:val="002D180D"/>
    <w:rsid w:val="002D18EA"/>
    <w:rsid w:val="002D2375"/>
    <w:rsid w:val="002D24D5"/>
    <w:rsid w:val="002D2823"/>
    <w:rsid w:val="002D2CC0"/>
    <w:rsid w:val="002D4402"/>
    <w:rsid w:val="002D4A60"/>
    <w:rsid w:val="002D4E61"/>
    <w:rsid w:val="002D5207"/>
    <w:rsid w:val="002D6187"/>
    <w:rsid w:val="002D7583"/>
    <w:rsid w:val="002D7796"/>
    <w:rsid w:val="002D7815"/>
    <w:rsid w:val="002D7BCB"/>
    <w:rsid w:val="002E0088"/>
    <w:rsid w:val="002E03CF"/>
    <w:rsid w:val="002E04A3"/>
    <w:rsid w:val="002E05B3"/>
    <w:rsid w:val="002E12A5"/>
    <w:rsid w:val="002E159F"/>
    <w:rsid w:val="002E1699"/>
    <w:rsid w:val="002E1BA5"/>
    <w:rsid w:val="002E1C49"/>
    <w:rsid w:val="002E24BE"/>
    <w:rsid w:val="002E261F"/>
    <w:rsid w:val="002E32B2"/>
    <w:rsid w:val="002E35F8"/>
    <w:rsid w:val="002E4648"/>
    <w:rsid w:val="002E46EB"/>
    <w:rsid w:val="002E4AA6"/>
    <w:rsid w:val="002E5203"/>
    <w:rsid w:val="002E55DD"/>
    <w:rsid w:val="002E560A"/>
    <w:rsid w:val="002E669A"/>
    <w:rsid w:val="002E7046"/>
    <w:rsid w:val="002E707A"/>
    <w:rsid w:val="002F01C0"/>
    <w:rsid w:val="002F1560"/>
    <w:rsid w:val="002F16C7"/>
    <w:rsid w:val="002F1ABE"/>
    <w:rsid w:val="002F1F0F"/>
    <w:rsid w:val="002F2502"/>
    <w:rsid w:val="002F2F2E"/>
    <w:rsid w:val="002F2FAB"/>
    <w:rsid w:val="002F3169"/>
    <w:rsid w:val="002F321F"/>
    <w:rsid w:val="002F3483"/>
    <w:rsid w:val="002F34AA"/>
    <w:rsid w:val="002F3897"/>
    <w:rsid w:val="002F3946"/>
    <w:rsid w:val="002F4045"/>
    <w:rsid w:val="002F421C"/>
    <w:rsid w:val="002F4384"/>
    <w:rsid w:val="002F4662"/>
    <w:rsid w:val="002F532B"/>
    <w:rsid w:val="002F5C9B"/>
    <w:rsid w:val="002F5D64"/>
    <w:rsid w:val="002F65D9"/>
    <w:rsid w:val="002F6E24"/>
    <w:rsid w:val="002F75B6"/>
    <w:rsid w:val="002F7C45"/>
    <w:rsid w:val="0030015E"/>
    <w:rsid w:val="003004E6"/>
    <w:rsid w:val="00300D1C"/>
    <w:rsid w:val="00301624"/>
    <w:rsid w:val="0030180A"/>
    <w:rsid w:val="00301851"/>
    <w:rsid w:val="0030198A"/>
    <w:rsid w:val="003022D1"/>
    <w:rsid w:val="00302318"/>
    <w:rsid w:val="003024F1"/>
    <w:rsid w:val="00302ADC"/>
    <w:rsid w:val="00303155"/>
    <w:rsid w:val="00303364"/>
    <w:rsid w:val="0030381D"/>
    <w:rsid w:val="00303BD0"/>
    <w:rsid w:val="00303C17"/>
    <w:rsid w:val="0030452F"/>
    <w:rsid w:val="003049FA"/>
    <w:rsid w:val="00304A8F"/>
    <w:rsid w:val="00304ADD"/>
    <w:rsid w:val="00304C3E"/>
    <w:rsid w:val="00304EF1"/>
    <w:rsid w:val="003056F3"/>
    <w:rsid w:val="003072F6"/>
    <w:rsid w:val="00307402"/>
    <w:rsid w:val="00307E4B"/>
    <w:rsid w:val="0031026D"/>
    <w:rsid w:val="0031044C"/>
    <w:rsid w:val="00310C83"/>
    <w:rsid w:val="00310DFA"/>
    <w:rsid w:val="003111A9"/>
    <w:rsid w:val="00311566"/>
    <w:rsid w:val="00311A91"/>
    <w:rsid w:val="00312A17"/>
    <w:rsid w:val="00312A5D"/>
    <w:rsid w:val="00312DC6"/>
    <w:rsid w:val="003130EE"/>
    <w:rsid w:val="00313306"/>
    <w:rsid w:val="00313324"/>
    <w:rsid w:val="003146E2"/>
    <w:rsid w:val="00315200"/>
    <w:rsid w:val="003152E6"/>
    <w:rsid w:val="00315B25"/>
    <w:rsid w:val="003160EE"/>
    <w:rsid w:val="0031622A"/>
    <w:rsid w:val="003163E5"/>
    <w:rsid w:val="0031695E"/>
    <w:rsid w:val="003169D4"/>
    <w:rsid w:val="0031747B"/>
    <w:rsid w:val="00317708"/>
    <w:rsid w:val="00317918"/>
    <w:rsid w:val="00317C77"/>
    <w:rsid w:val="00317EDE"/>
    <w:rsid w:val="003204FB"/>
    <w:rsid w:val="0032067A"/>
    <w:rsid w:val="00320771"/>
    <w:rsid w:val="00320B71"/>
    <w:rsid w:val="00321260"/>
    <w:rsid w:val="00321A64"/>
    <w:rsid w:val="00321E6E"/>
    <w:rsid w:val="0032210D"/>
    <w:rsid w:val="00322163"/>
    <w:rsid w:val="00322B58"/>
    <w:rsid w:val="00323224"/>
    <w:rsid w:val="0032411D"/>
    <w:rsid w:val="003248EF"/>
    <w:rsid w:val="00324C0C"/>
    <w:rsid w:val="003254BC"/>
    <w:rsid w:val="003255F5"/>
    <w:rsid w:val="00325BF5"/>
    <w:rsid w:val="00325F22"/>
    <w:rsid w:val="003261A1"/>
    <w:rsid w:val="00326CDE"/>
    <w:rsid w:val="00326DF5"/>
    <w:rsid w:val="00327804"/>
    <w:rsid w:val="00327C39"/>
    <w:rsid w:val="0033015D"/>
    <w:rsid w:val="003303A6"/>
    <w:rsid w:val="003305F3"/>
    <w:rsid w:val="003307BC"/>
    <w:rsid w:val="003307C5"/>
    <w:rsid w:val="0033091A"/>
    <w:rsid w:val="00330AA1"/>
    <w:rsid w:val="00330D2D"/>
    <w:rsid w:val="00331159"/>
    <w:rsid w:val="00331D37"/>
    <w:rsid w:val="00331E8F"/>
    <w:rsid w:val="00332AA3"/>
    <w:rsid w:val="00332C39"/>
    <w:rsid w:val="00332F21"/>
    <w:rsid w:val="00332FD3"/>
    <w:rsid w:val="00333F06"/>
    <w:rsid w:val="003344AC"/>
    <w:rsid w:val="00334E78"/>
    <w:rsid w:val="00335273"/>
    <w:rsid w:val="00335566"/>
    <w:rsid w:val="00335B8C"/>
    <w:rsid w:val="00335E11"/>
    <w:rsid w:val="003363CA"/>
    <w:rsid w:val="00336822"/>
    <w:rsid w:val="00336E31"/>
    <w:rsid w:val="003375B0"/>
    <w:rsid w:val="003375B9"/>
    <w:rsid w:val="003379E0"/>
    <w:rsid w:val="00337F91"/>
    <w:rsid w:val="00337FBB"/>
    <w:rsid w:val="00340291"/>
    <w:rsid w:val="00340B57"/>
    <w:rsid w:val="00340F94"/>
    <w:rsid w:val="003410A8"/>
    <w:rsid w:val="0034180B"/>
    <w:rsid w:val="00341E1C"/>
    <w:rsid w:val="00342F25"/>
    <w:rsid w:val="00343147"/>
    <w:rsid w:val="003431EE"/>
    <w:rsid w:val="003437E5"/>
    <w:rsid w:val="003438D6"/>
    <w:rsid w:val="0034489E"/>
    <w:rsid w:val="003448A0"/>
    <w:rsid w:val="0034492B"/>
    <w:rsid w:val="00344CBB"/>
    <w:rsid w:val="00345676"/>
    <w:rsid w:val="00345954"/>
    <w:rsid w:val="00345C19"/>
    <w:rsid w:val="00345CAF"/>
    <w:rsid w:val="00345CB5"/>
    <w:rsid w:val="00345DD4"/>
    <w:rsid w:val="003464B5"/>
    <w:rsid w:val="003465BA"/>
    <w:rsid w:val="00346779"/>
    <w:rsid w:val="00346CD5"/>
    <w:rsid w:val="00346DB7"/>
    <w:rsid w:val="00346F79"/>
    <w:rsid w:val="00346F7D"/>
    <w:rsid w:val="00347018"/>
    <w:rsid w:val="00347DB1"/>
    <w:rsid w:val="0035035B"/>
    <w:rsid w:val="003509E5"/>
    <w:rsid w:val="003516AA"/>
    <w:rsid w:val="0035187F"/>
    <w:rsid w:val="00351935"/>
    <w:rsid w:val="00351970"/>
    <w:rsid w:val="00351BD6"/>
    <w:rsid w:val="003520CA"/>
    <w:rsid w:val="0035230C"/>
    <w:rsid w:val="003525D9"/>
    <w:rsid w:val="00352BDA"/>
    <w:rsid w:val="003531AA"/>
    <w:rsid w:val="003536BB"/>
    <w:rsid w:val="003536D4"/>
    <w:rsid w:val="003537BD"/>
    <w:rsid w:val="003539C5"/>
    <w:rsid w:val="00353AC0"/>
    <w:rsid w:val="00354CD5"/>
    <w:rsid w:val="003550B1"/>
    <w:rsid w:val="00355753"/>
    <w:rsid w:val="00355C45"/>
    <w:rsid w:val="00356010"/>
    <w:rsid w:val="003562A6"/>
    <w:rsid w:val="003570FA"/>
    <w:rsid w:val="003572CA"/>
    <w:rsid w:val="003577E0"/>
    <w:rsid w:val="00357915"/>
    <w:rsid w:val="0036007D"/>
    <w:rsid w:val="00360995"/>
    <w:rsid w:val="00361345"/>
    <w:rsid w:val="00361718"/>
    <w:rsid w:val="003622F2"/>
    <w:rsid w:val="003632E0"/>
    <w:rsid w:val="003639D6"/>
    <w:rsid w:val="00364734"/>
    <w:rsid w:val="00364D8E"/>
    <w:rsid w:val="00364E33"/>
    <w:rsid w:val="0036518A"/>
    <w:rsid w:val="0036570B"/>
    <w:rsid w:val="00365752"/>
    <w:rsid w:val="0036583C"/>
    <w:rsid w:val="00365E32"/>
    <w:rsid w:val="00365F16"/>
    <w:rsid w:val="003664BB"/>
    <w:rsid w:val="003665CB"/>
    <w:rsid w:val="003666D3"/>
    <w:rsid w:val="00366833"/>
    <w:rsid w:val="00367006"/>
    <w:rsid w:val="0036719C"/>
    <w:rsid w:val="0036777F"/>
    <w:rsid w:val="003677DE"/>
    <w:rsid w:val="0036794A"/>
    <w:rsid w:val="003702A2"/>
    <w:rsid w:val="00370C48"/>
    <w:rsid w:val="00371E6A"/>
    <w:rsid w:val="00372217"/>
    <w:rsid w:val="00372302"/>
    <w:rsid w:val="00372886"/>
    <w:rsid w:val="00372FA8"/>
    <w:rsid w:val="00372FF1"/>
    <w:rsid w:val="003739DE"/>
    <w:rsid w:val="00373C86"/>
    <w:rsid w:val="00373E56"/>
    <w:rsid w:val="00375646"/>
    <w:rsid w:val="003757EC"/>
    <w:rsid w:val="00375A4F"/>
    <w:rsid w:val="00375E3F"/>
    <w:rsid w:val="00376203"/>
    <w:rsid w:val="00376255"/>
    <w:rsid w:val="00376788"/>
    <w:rsid w:val="00376A7D"/>
    <w:rsid w:val="00376E50"/>
    <w:rsid w:val="00377045"/>
    <w:rsid w:val="003773F9"/>
    <w:rsid w:val="00377708"/>
    <w:rsid w:val="00377934"/>
    <w:rsid w:val="00377B17"/>
    <w:rsid w:val="00377CEE"/>
    <w:rsid w:val="00377F1B"/>
    <w:rsid w:val="003801C7"/>
    <w:rsid w:val="003803A5"/>
    <w:rsid w:val="0038053F"/>
    <w:rsid w:val="0038068E"/>
    <w:rsid w:val="0038093C"/>
    <w:rsid w:val="003814F5"/>
    <w:rsid w:val="00381719"/>
    <w:rsid w:val="00381760"/>
    <w:rsid w:val="003817A7"/>
    <w:rsid w:val="00381F34"/>
    <w:rsid w:val="00382355"/>
    <w:rsid w:val="00382473"/>
    <w:rsid w:val="0038260D"/>
    <w:rsid w:val="00382F1B"/>
    <w:rsid w:val="00383F78"/>
    <w:rsid w:val="00384060"/>
    <w:rsid w:val="00384C21"/>
    <w:rsid w:val="00384DD9"/>
    <w:rsid w:val="00384FC0"/>
    <w:rsid w:val="0038502C"/>
    <w:rsid w:val="003850DC"/>
    <w:rsid w:val="00386651"/>
    <w:rsid w:val="00386E10"/>
    <w:rsid w:val="003871E2"/>
    <w:rsid w:val="00387496"/>
    <w:rsid w:val="00390866"/>
    <w:rsid w:val="00390E01"/>
    <w:rsid w:val="00390F42"/>
    <w:rsid w:val="00391C05"/>
    <w:rsid w:val="00391F32"/>
    <w:rsid w:val="00392367"/>
    <w:rsid w:val="00392595"/>
    <w:rsid w:val="00392C3A"/>
    <w:rsid w:val="00392F37"/>
    <w:rsid w:val="00393E7C"/>
    <w:rsid w:val="00393FBA"/>
    <w:rsid w:val="00394079"/>
    <w:rsid w:val="003943C8"/>
    <w:rsid w:val="00394A23"/>
    <w:rsid w:val="00394D4C"/>
    <w:rsid w:val="00394EE4"/>
    <w:rsid w:val="003954A4"/>
    <w:rsid w:val="003954FA"/>
    <w:rsid w:val="003956CC"/>
    <w:rsid w:val="00396099"/>
    <w:rsid w:val="003960EA"/>
    <w:rsid w:val="0039678E"/>
    <w:rsid w:val="003A0D23"/>
    <w:rsid w:val="003A137B"/>
    <w:rsid w:val="003A179E"/>
    <w:rsid w:val="003A1DC8"/>
    <w:rsid w:val="003A23E0"/>
    <w:rsid w:val="003A32C1"/>
    <w:rsid w:val="003A34BD"/>
    <w:rsid w:val="003A35D2"/>
    <w:rsid w:val="003A43B1"/>
    <w:rsid w:val="003A4588"/>
    <w:rsid w:val="003A4D48"/>
    <w:rsid w:val="003A4E1C"/>
    <w:rsid w:val="003A588B"/>
    <w:rsid w:val="003A5EC5"/>
    <w:rsid w:val="003A6656"/>
    <w:rsid w:val="003A6689"/>
    <w:rsid w:val="003A6965"/>
    <w:rsid w:val="003A6C6A"/>
    <w:rsid w:val="003A748E"/>
    <w:rsid w:val="003A7885"/>
    <w:rsid w:val="003A7B31"/>
    <w:rsid w:val="003A7CEC"/>
    <w:rsid w:val="003A7D7C"/>
    <w:rsid w:val="003B04B8"/>
    <w:rsid w:val="003B0512"/>
    <w:rsid w:val="003B0C14"/>
    <w:rsid w:val="003B0D78"/>
    <w:rsid w:val="003B1F01"/>
    <w:rsid w:val="003B2552"/>
    <w:rsid w:val="003B2736"/>
    <w:rsid w:val="003B2E71"/>
    <w:rsid w:val="003B3335"/>
    <w:rsid w:val="003B41A5"/>
    <w:rsid w:val="003B456F"/>
    <w:rsid w:val="003B4647"/>
    <w:rsid w:val="003B570F"/>
    <w:rsid w:val="003B5713"/>
    <w:rsid w:val="003B5A2D"/>
    <w:rsid w:val="003B5CDA"/>
    <w:rsid w:val="003B64D6"/>
    <w:rsid w:val="003B65DD"/>
    <w:rsid w:val="003B6F0E"/>
    <w:rsid w:val="003B72BB"/>
    <w:rsid w:val="003B736B"/>
    <w:rsid w:val="003B7467"/>
    <w:rsid w:val="003B7625"/>
    <w:rsid w:val="003C0742"/>
    <w:rsid w:val="003C0B1C"/>
    <w:rsid w:val="003C0F37"/>
    <w:rsid w:val="003C1551"/>
    <w:rsid w:val="003C15B9"/>
    <w:rsid w:val="003C1CE9"/>
    <w:rsid w:val="003C1F8C"/>
    <w:rsid w:val="003C278C"/>
    <w:rsid w:val="003C3085"/>
    <w:rsid w:val="003C3E6A"/>
    <w:rsid w:val="003C41D6"/>
    <w:rsid w:val="003C424F"/>
    <w:rsid w:val="003C4989"/>
    <w:rsid w:val="003C4FFB"/>
    <w:rsid w:val="003C6173"/>
    <w:rsid w:val="003C6D67"/>
    <w:rsid w:val="003C6DEA"/>
    <w:rsid w:val="003C7210"/>
    <w:rsid w:val="003C759A"/>
    <w:rsid w:val="003C75BF"/>
    <w:rsid w:val="003C7887"/>
    <w:rsid w:val="003D04F6"/>
    <w:rsid w:val="003D095E"/>
    <w:rsid w:val="003D0DF2"/>
    <w:rsid w:val="003D132C"/>
    <w:rsid w:val="003D1572"/>
    <w:rsid w:val="003D16A4"/>
    <w:rsid w:val="003D1DC2"/>
    <w:rsid w:val="003D21AF"/>
    <w:rsid w:val="003D235F"/>
    <w:rsid w:val="003D37B0"/>
    <w:rsid w:val="003D3821"/>
    <w:rsid w:val="003D39B7"/>
    <w:rsid w:val="003D3A55"/>
    <w:rsid w:val="003D4EB0"/>
    <w:rsid w:val="003D5005"/>
    <w:rsid w:val="003D560B"/>
    <w:rsid w:val="003D5AB1"/>
    <w:rsid w:val="003D5D63"/>
    <w:rsid w:val="003D642E"/>
    <w:rsid w:val="003D644B"/>
    <w:rsid w:val="003D6732"/>
    <w:rsid w:val="003D79DC"/>
    <w:rsid w:val="003D7EA8"/>
    <w:rsid w:val="003D7F0E"/>
    <w:rsid w:val="003D7F3E"/>
    <w:rsid w:val="003D7FFA"/>
    <w:rsid w:val="003E05CB"/>
    <w:rsid w:val="003E0858"/>
    <w:rsid w:val="003E148F"/>
    <w:rsid w:val="003E1A6B"/>
    <w:rsid w:val="003E26CF"/>
    <w:rsid w:val="003E26ED"/>
    <w:rsid w:val="003E2B26"/>
    <w:rsid w:val="003E2E6B"/>
    <w:rsid w:val="003E30AD"/>
    <w:rsid w:val="003E3617"/>
    <w:rsid w:val="003E37B2"/>
    <w:rsid w:val="003E39DE"/>
    <w:rsid w:val="003E3FEF"/>
    <w:rsid w:val="003E47D2"/>
    <w:rsid w:val="003E4860"/>
    <w:rsid w:val="003E4933"/>
    <w:rsid w:val="003E4A7C"/>
    <w:rsid w:val="003E4D08"/>
    <w:rsid w:val="003E4D57"/>
    <w:rsid w:val="003E60BC"/>
    <w:rsid w:val="003E6298"/>
    <w:rsid w:val="003E6906"/>
    <w:rsid w:val="003E6D82"/>
    <w:rsid w:val="003F08D3"/>
    <w:rsid w:val="003F08E8"/>
    <w:rsid w:val="003F09F3"/>
    <w:rsid w:val="003F0AF7"/>
    <w:rsid w:val="003F1B69"/>
    <w:rsid w:val="003F20FA"/>
    <w:rsid w:val="003F22D7"/>
    <w:rsid w:val="003F2725"/>
    <w:rsid w:val="003F2937"/>
    <w:rsid w:val="003F2D13"/>
    <w:rsid w:val="003F359B"/>
    <w:rsid w:val="003F4319"/>
    <w:rsid w:val="003F45F2"/>
    <w:rsid w:val="003F4664"/>
    <w:rsid w:val="003F5673"/>
    <w:rsid w:val="003F6658"/>
    <w:rsid w:val="003F6B1B"/>
    <w:rsid w:val="003F6DDB"/>
    <w:rsid w:val="003F78C3"/>
    <w:rsid w:val="003F7B37"/>
    <w:rsid w:val="003F7CFC"/>
    <w:rsid w:val="004002B1"/>
    <w:rsid w:val="00400731"/>
    <w:rsid w:val="00400799"/>
    <w:rsid w:val="00401614"/>
    <w:rsid w:val="00401BE3"/>
    <w:rsid w:val="00401C3D"/>
    <w:rsid w:val="00401CD8"/>
    <w:rsid w:val="00401D29"/>
    <w:rsid w:val="00401D56"/>
    <w:rsid w:val="00401EEE"/>
    <w:rsid w:val="004029C5"/>
    <w:rsid w:val="0040320E"/>
    <w:rsid w:val="004035AE"/>
    <w:rsid w:val="00403C33"/>
    <w:rsid w:val="004048A7"/>
    <w:rsid w:val="00404927"/>
    <w:rsid w:val="0040525C"/>
    <w:rsid w:val="00405270"/>
    <w:rsid w:val="0040576B"/>
    <w:rsid w:val="00405C0A"/>
    <w:rsid w:val="00405E64"/>
    <w:rsid w:val="004061F9"/>
    <w:rsid w:val="004066FC"/>
    <w:rsid w:val="0040679D"/>
    <w:rsid w:val="00406B79"/>
    <w:rsid w:val="00407079"/>
    <w:rsid w:val="00407204"/>
    <w:rsid w:val="004072E4"/>
    <w:rsid w:val="00407551"/>
    <w:rsid w:val="0040768B"/>
    <w:rsid w:val="00407B0F"/>
    <w:rsid w:val="00407B52"/>
    <w:rsid w:val="00407BDF"/>
    <w:rsid w:val="0041028C"/>
    <w:rsid w:val="00410307"/>
    <w:rsid w:val="0041163C"/>
    <w:rsid w:val="004117C3"/>
    <w:rsid w:val="004119B4"/>
    <w:rsid w:val="004123DC"/>
    <w:rsid w:val="00412AF0"/>
    <w:rsid w:val="0041325F"/>
    <w:rsid w:val="00413495"/>
    <w:rsid w:val="00413B28"/>
    <w:rsid w:val="00413BE0"/>
    <w:rsid w:val="0041417B"/>
    <w:rsid w:val="00414645"/>
    <w:rsid w:val="004149E7"/>
    <w:rsid w:val="00414C67"/>
    <w:rsid w:val="00414E7A"/>
    <w:rsid w:val="00415174"/>
    <w:rsid w:val="004153FD"/>
    <w:rsid w:val="00415458"/>
    <w:rsid w:val="00415889"/>
    <w:rsid w:val="00415A1C"/>
    <w:rsid w:val="00415C38"/>
    <w:rsid w:val="004164DD"/>
    <w:rsid w:val="0041657F"/>
    <w:rsid w:val="00416AE8"/>
    <w:rsid w:val="00417245"/>
    <w:rsid w:val="00417A9B"/>
    <w:rsid w:val="00420465"/>
    <w:rsid w:val="004204D7"/>
    <w:rsid w:val="00420754"/>
    <w:rsid w:val="004208A3"/>
    <w:rsid w:val="00420946"/>
    <w:rsid w:val="00420F18"/>
    <w:rsid w:val="0042140A"/>
    <w:rsid w:val="004215E6"/>
    <w:rsid w:val="00421716"/>
    <w:rsid w:val="0042190E"/>
    <w:rsid w:val="00421C36"/>
    <w:rsid w:val="00421ED6"/>
    <w:rsid w:val="00421FDF"/>
    <w:rsid w:val="00422269"/>
    <w:rsid w:val="004229D5"/>
    <w:rsid w:val="00422A38"/>
    <w:rsid w:val="00422CE2"/>
    <w:rsid w:val="00423669"/>
    <w:rsid w:val="00423701"/>
    <w:rsid w:val="00423B1E"/>
    <w:rsid w:val="0042420D"/>
    <w:rsid w:val="004247D7"/>
    <w:rsid w:val="00425705"/>
    <w:rsid w:val="004257B4"/>
    <w:rsid w:val="00426054"/>
    <w:rsid w:val="004271AE"/>
    <w:rsid w:val="00427370"/>
    <w:rsid w:val="00427A74"/>
    <w:rsid w:val="00427EF3"/>
    <w:rsid w:val="00427F95"/>
    <w:rsid w:val="00430224"/>
    <w:rsid w:val="004302BC"/>
    <w:rsid w:val="0043060F"/>
    <w:rsid w:val="00430AB7"/>
    <w:rsid w:val="004310C2"/>
    <w:rsid w:val="00432463"/>
    <w:rsid w:val="00432A3A"/>
    <w:rsid w:val="00432AFC"/>
    <w:rsid w:val="00432B79"/>
    <w:rsid w:val="004335BA"/>
    <w:rsid w:val="00435274"/>
    <w:rsid w:val="00435570"/>
    <w:rsid w:val="004359B3"/>
    <w:rsid w:val="00435D19"/>
    <w:rsid w:val="00435EB5"/>
    <w:rsid w:val="00435F18"/>
    <w:rsid w:val="004361C7"/>
    <w:rsid w:val="0043628C"/>
    <w:rsid w:val="00436BB2"/>
    <w:rsid w:val="00436D37"/>
    <w:rsid w:val="00436EB4"/>
    <w:rsid w:val="00437070"/>
    <w:rsid w:val="0043744F"/>
    <w:rsid w:val="004374E8"/>
    <w:rsid w:val="0043753C"/>
    <w:rsid w:val="00437A6E"/>
    <w:rsid w:val="00437C7D"/>
    <w:rsid w:val="00437CE5"/>
    <w:rsid w:val="00437EED"/>
    <w:rsid w:val="0044060E"/>
    <w:rsid w:val="00440EA5"/>
    <w:rsid w:val="0044113D"/>
    <w:rsid w:val="00441B42"/>
    <w:rsid w:val="00441E17"/>
    <w:rsid w:val="00442956"/>
    <w:rsid w:val="00442D67"/>
    <w:rsid w:val="00442ED1"/>
    <w:rsid w:val="00442F0E"/>
    <w:rsid w:val="004430B4"/>
    <w:rsid w:val="00443A2D"/>
    <w:rsid w:val="00443D9D"/>
    <w:rsid w:val="00443F45"/>
    <w:rsid w:val="0044410A"/>
    <w:rsid w:val="00444919"/>
    <w:rsid w:val="00444ADE"/>
    <w:rsid w:val="00444C30"/>
    <w:rsid w:val="0044545A"/>
    <w:rsid w:val="00445793"/>
    <w:rsid w:val="00445875"/>
    <w:rsid w:val="00446BC6"/>
    <w:rsid w:val="00446CB8"/>
    <w:rsid w:val="004474B4"/>
    <w:rsid w:val="004504A1"/>
    <w:rsid w:val="00450624"/>
    <w:rsid w:val="004506E7"/>
    <w:rsid w:val="004509FF"/>
    <w:rsid w:val="00450BDF"/>
    <w:rsid w:val="0045126A"/>
    <w:rsid w:val="00451994"/>
    <w:rsid w:val="00451C40"/>
    <w:rsid w:val="0045216E"/>
    <w:rsid w:val="0045217B"/>
    <w:rsid w:val="004521D1"/>
    <w:rsid w:val="004530A8"/>
    <w:rsid w:val="00453172"/>
    <w:rsid w:val="004533CA"/>
    <w:rsid w:val="00453F2E"/>
    <w:rsid w:val="00454158"/>
    <w:rsid w:val="00454FEB"/>
    <w:rsid w:val="004554DD"/>
    <w:rsid w:val="00455ACD"/>
    <w:rsid w:val="00455C11"/>
    <w:rsid w:val="00455F1A"/>
    <w:rsid w:val="00456A0C"/>
    <w:rsid w:val="00456E39"/>
    <w:rsid w:val="004576DA"/>
    <w:rsid w:val="004576F5"/>
    <w:rsid w:val="00457EA9"/>
    <w:rsid w:val="00457FC2"/>
    <w:rsid w:val="00460AE5"/>
    <w:rsid w:val="00461AEC"/>
    <w:rsid w:val="00461BB5"/>
    <w:rsid w:val="0046218A"/>
    <w:rsid w:val="0046251F"/>
    <w:rsid w:val="00462793"/>
    <w:rsid w:val="004629C2"/>
    <w:rsid w:val="00462CCF"/>
    <w:rsid w:val="00462D69"/>
    <w:rsid w:val="00462F04"/>
    <w:rsid w:val="004634EA"/>
    <w:rsid w:val="0046357C"/>
    <w:rsid w:val="00463B6E"/>
    <w:rsid w:val="00463E25"/>
    <w:rsid w:val="0046477E"/>
    <w:rsid w:val="00464AC3"/>
    <w:rsid w:val="00465174"/>
    <w:rsid w:val="0046573D"/>
    <w:rsid w:val="00465E70"/>
    <w:rsid w:val="00465E88"/>
    <w:rsid w:val="00466B4B"/>
    <w:rsid w:val="00466F1B"/>
    <w:rsid w:val="00467059"/>
    <w:rsid w:val="0046712E"/>
    <w:rsid w:val="00467201"/>
    <w:rsid w:val="00467621"/>
    <w:rsid w:val="00467AE8"/>
    <w:rsid w:val="00467C4F"/>
    <w:rsid w:val="00467E08"/>
    <w:rsid w:val="00467F21"/>
    <w:rsid w:val="00470066"/>
    <w:rsid w:val="0047012D"/>
    <w:rsid w:val="0047032F"/>
    <w:rsid w:val="004708C3"/>
    <w:rsid w:val="00471146"/>
    <w:rsid w:val="004718E8"/>
    <w:rsid w:val="0047191C"/>
    <w:rsid w:val="00471F27"/>
    <w:rsid w:val="00472543"/>
    <w:rsid w:val="00472783"/>
    <w:rsid w:val="00472924"/>
    <w:rsid w:val="00472BA8"/>
    <w:rsid w:val="00473B7E"/>
    <w:rsid w:val="00473E1F"/>
    <w:rsid w:val="004741A0"/>
    <w:rsid w:val="00474B48"/>
    <w:rsid w:val="0047568E"/>
    <w:rsid w:val="004763E6"/>
    <w:rsid w:val="00476680"/>
    <w:rsid w:val="00476AC0"/>
    <w:rsid w:val="00476D0D"/>
    <w:rsid w:val="0047785F"/>
    <w:rsid w:val="00477894"/>
    <w:rsid w:val="004779B2"/>
    <w:rsid w:val="00477A93"/>
    <w:rsid w:val="00477C36"/>
    <w:rsid w:val="00477C5D"/>
    <w:rsid w:val="00477CCF"/>
    <w:rsid w:val="00477D6E"/>
    <w:rsid w:val="00477DC9"/>
    <w:rsid w:val="00480359"/>
    <w:rsid w:val="0048052F"/>
    <w:rsid w:val="00480BFA"/>
    <w:rsid w:val="00480EE4"/>
    <w:rsid w:val="004810CD"/>
    <w:rsid w:val="00481BBF"/>
    <w:rsid w:val="00481E51"/>
    <w:rsid w:val="00482382"/>
    <w:rsid w:val="004824BB"/>
    <w:rsid w:val="00482539"/>
    <w:rsid w:val="00482E98"/>
    <w:rsid w:val="00484232"/>
    <w:rsid w:val="004842DA"/>
    <w:rsid w:val="004846B3"/>
    <w:rsid w:val="004855DE"/>
    <w:rsid w:val="00485BA6"/>
    <w:rsid w:val="00485BF4"/>
    <w:rsid w:val="00485C87"/>
    <w:rsid w:val="00485D0B"/>
    <w:rsid w:val="00485EE2"/>
    <w:rsid w:val="00486384"/>
    <w:rsid w:val="00486553"/>
    <w:rsid w:val="00486D58"/>
    <w:rsid w:val="00486E06"/>
    <w:rsid w:val="00487150"/>
    <w:rsid w:val="004874A3"/>
    <w:rsid w:val="004874D8"/>
    <w:rsid w:val="00487A65"/>
    <w:rsid w:val="00487D43"/>
    <w:rsid w:val="00490349"/>
    <w:rsid w:val="00490421"/>
    <w:rsid w:val="0049057B"/>
    <w:rsid w:val="00490A55"/>
    <w:rsid w:val="00490D00"/>
    <w:rsid w:val="00490D5F"/>
    <w:rsid w:val="00490D64"/>
    <w:rsid w:val="00490F9A"/>
    <w:rsid w:val="0049118E"/>
    <w:rsid w:val="004913BE"/>
    <w:rsid w:val="004916C9"/>
    <w:rsid w:val="00491EEB"/>
    <w:rsid w:val="00491F89"/>
    <w:rsid w:val="004920CC"/>
    <w:rsid w:val="004923F7"/>
    <w:rsid w:val="004924BD"/>
    <w:rsid w:val="0049363D"/>
    <w:rsid w:val="00493C9E"/>
    <w:rsid w:val="00493F3B"/>
    <w:rsid w:val="0049482E"/>
    <w:rsid w:val="004948B3"/>
    <w:rsid w:val="00494A20"/>
    <w:rsid w:val="00495418"/>
    <w:rsid w:val="00495FD9"/>
    <w:rsid w:val="004965B3"/>
    <w:rsid w:val="004966C1"/>
    <w:rsid w:val="00496DB7"/>
    <w:rsid w:val="00497669"/>
    <w:rsid w:val="004978EE"/>
    <w:rsid w:val="00497920"/>
    <w:rsid w:val="004A07AC"/>
    <w:rsid w:val="004A0E96"/>
    <w:rsid w:val="004A12D4"/>
    <w:rsid w:val="004A22F4"/>
    <w:rsid w:val="004A273E"/>
    <w:rsid w:val="004A2E68"/>
    <w:rsid w:val="004A2E69"/>
    <w:rsid w:val="004A30A1"/>
    <w:rsid w:val="004A33AC"/>
    <w:rsid w:val="004A3689"/>
    <w:rsid w:val="004A49D1"/>
    <w:rsid w:val="004A5017"/>
    <w:rsid w:val="004A5124"/>
    <w:rsid w:val="004A515B"/>
    <w:rsid w:val="004A517F"/>
    <w:rsid w:val="004A5482"/>
    <w:rsid w:val="004A574C"/>
    <w:rsid w:val="004A5E10"/>
    <w:rsid w:val="004A5EE7"/>
    <w:rsid w:val="004A6706"/>
    <w:rsid w:val="004A6A71"/>
    <w:rsid w:val="004A6B29"/>
    <w:rsid w:val="004A6E1D"/>
    <w:rsid w:val="004A7148"/>
    <w:rsid w:val="004A75E4"/>
    <w:rsid w:val="004B0132"/>
    <w:rsid w:val="004B07DC"/>
    <w:rsid w:val="004B0950"/>
    <w:rsid w:val="004B0B09"/>
    <w:rsid w:val="004B0B20"/>
    <w:rsid w:val="004B0DCF"/>
    <w:rsid w:val="004B0FDA"/>
    <w:rsid w:val="004B12F0"/>
    <w:rsid w:val="004B1697"/>
    <w:rsid w:val="004B16E3"/>
    <w:rsid w:val="004B1D16"/>
    <w:rsid w:val="004B2265"/>
    <w:rsid w:val="004B22DD"/>
    <w:rsid w:val="004B287F"/>
    <w:rsid w:val="004B31FF"/>
    <w:rsid w:val="004B32F1"/>
    <w:rsid w:val="004B344B"/>
    <w:rsid w:val="004B376D"/>
    <w:rsid w:val="004B3D63"/>
    <w:rsid w:val="004B3EE6"/>
    <w:rsid w:val="004B463A"/>
    <w:rsid w:val="004B52E1"/>
    <w:rsid w:val="004B5F8E"/>
    <w:rsid w:val="004B5FEE"/>
    <w:rsid w:val="004B6415"/>
    <w:rsid w:val="004B6A42"/>
    <w:rsid w:val="004B6C74"/>
    <w:rsid w:val="004B7717"/>
    <w:rsid w:val="004B77ED"/>
    <w:rsid w:val="004B7872"/>
    <w:rsid w:val="004B7CE8"/>
    <w:rsid w:val="004C0A97"/>
    <w:rsid w:val="004C0CC8"/>
    <w:rsid w:val="004C1194"/>
    <w:rsid w:val="004C155C"/>
    <w:rsid w:val="004C17A6"/>
    <w:rsid w:val="004C1C35"/>
    <w:rsid w:val="004C27BD"/>
    <w:rsid w:val="004C2DD2"/>
    <w:rsid w:val="004C317C"/>
    <w:rsid w:val="004C349F"/>
    <w:rsid w:val="004C36D6"/>
    <w:rsid w:val="004C3893"/>
    <w:rsid w:val="004C3EC9"/>
    <w:rsid w:val="004C4075"/>
    <w:rsid w:val="004C4415"/>
    <w:rsid w:val="004C4609"/>
    <w:rsid w:val="004C4742"/>
    <w:rsid w:val="004C4933"/>
    <w:rsid w:val="004C52FE"/>
    <w:rsid w:val="004C5B2B"/>
    <w:rsid w:val="004C60BD"/>
    <w:rsid w:val="004C6280"/>
    <w:rsid w:val="004C705A"/>
    <w:rsid w:val="004C7229"/>
    <w:rsid w:val="004C74A4"/>
    <w:rsid w:val="004C7820"/>
    <w:rsid w:val="004C7CE2"/>
    <w:rsid w:val="004D0044"/>
    <w:rsid w:val="004D01A5"/>
    <w:rsid w:val="004D0363"/>
    <w:rsid w:val="004D08F4"/>
    <w:rsid w:val="004D0AA7"/>
    <w:rsid w:val="004D0F20"/>
    <w:rsid w:val="004D13B5"/>
    <w:rsid w:val="004D1BE9"/>
    <w:rsid w:val="004D20BA"/>
    <w:rsid w:val="004D215C"/>
    <w:rsid w:val="004D242A"/>
    <w:rsid w:val="004D27EA"/>
    <w:rsid w:val="004D38A3"/>
    <w:rsid w:val="004D3F8B"/>
    <w:rsid w:val="004D4A74"/>
    <w:rsid w:val="004D4AD8"/>
    <w:rsid w:val="004D4ADD"/>
    <w:rsid w:val="004D4E0A"/>
    <w:rsid w:val="004D4F17"/>
    <w:rsid w:val="004D5A88"/>
    <w:rsid w:val="004D5CF0"/>
    <w:rsid w:val="004D607D"/>
    <w:rsid w:val="004D62F2"/>
    <w:rsid w:val="004D686A"/>
    <w:rsid w:val="004D7565"/>
    <w:rsid w:val="004D7805"/>
    <w:rsid w:val="004E06A0"/>
    <w:rsid w:val="004E0A90"/>
    <w:rsid w:val="004E11F4"/>
    <w:rsid w:val="004E1464"/>
    <w:rsid w:val="004E1B62"/>
    <w:rsid w:val="004E205D"/>
    <w:rsid w:val="004E20B2"/>
    <w:rsid w:val="004E2E1C"/>
    <w:rsid w:val="004E30C2"/>
    <w:rsid w:val="004E3575"/>
    <w:rsid w:val="004E4167"/>
    <w:rsid w:val="004E42CA"/>
    <w:rsid w:val="004E4586"/>
    <w:rsid w:val="004E4ECE"/>
    <w:rsid w:val="004E525D"/>
    <w:rsid w:val="004E53F7"/>
    <w:rsid w:val="004E58F2"/>
    <w:rsid w:val="004E59EE"/>
    <w:rsid w:val="004E5EAE"/>
    <w:rsid w:val="004E601F"/>
    <w:rsid w:val="004E6B08"/>
    <w:rsid w:val="004E6CFA"/>
    <w:rsid w:val="004E6E8A"/>
    <w:rsid w:val="004E70D8"/>
    <w:rsid w:val="004E72C2"/>
    <w:rsid w:val="004E7337"/>
    <w:rsid w:val="004E7768"/>
    <w:rsid w:val="004E77CE"/>
    <w:rsid w:val="004E7F5A"/>
    <w:rsid w:val="004F01BF"/>
    <w:rsid w:val="004F099A"/>
    <w:rsid w:val="004F09B3"/>
    <w:rsid w:val="004F103F"/>
    <w:rsid w:val="004F19D2"/>
    <w:rsid w:val="004F1A97"/>
    <w:rsid w:val="004F1D61"/>
    <w:rsid w:val="004F1E21"/>
    <w:rsid w:val="004F1ED6"/>
    <w:rsid w:val="004F1F7B"/>
    <w:rsid w:val="004F228A"/>
    <w:rsid w:val="004F22E9"/>
    <w:rsid w:val="004F24B0"/>
    <w:rsid w:val="004F2739"/>
    <w:rsid w:val="004F28E7"/>
    <w:rsid w:val="004F2DCA"/>
    <w:rsid w:val="004F32A6"/>
    <w:rsid w:val="004F3D20"/>
    <w:rsid w:val="004F4426"/>
    <w:rsid w:val="004F4461"/>
    <w:rsid w:val="004F460E"/>
    <w:rsid w:val="004F4692"/>
    <w:rsid w:val="004F4BCA"/>
    <w:rsid w:val="004F5601"/>
    <w:rsid w:val="004F5D22"/>
    <w:rsid w:val="004F63B9"/>
    <w:rsid w:val="004F6F2C"/>
    <w:rsid w:val="004F7506"/>
    <w:rsid w:val="004F762E"/>
    <w:rsid w:val="004F7785"/>
    <w:rsid w:val="004F7E8C"/>
    <w:rsid w:val="00500015"/>
    <w:rsid w:val="005004BC"/>
    <w:rsid w:val="00500731"/>
    <w:rsid w:val="00500AA8"/>
    <w:rsid w:val="0050100A"/>
    <w:rsid w:val="0050111B"/>
    <w:rsid w:val="0050147E"/>
    <w:rsid w:val="005020CB"/>
    <w:rsid w:val="00502A55"/>
    <w:rsid w:val="00502CFF"/>
    <w:rsid w:val="00503717"/>
    <w:rsid w:val="005038DB"/>
    <w:rsid w:val="00503BD4"/>
    <w:rsid w:val="00504431"/>
    <w:rsid w:val="00505034"/>
    <w:rsid w:val="00505676"/>
    <w:rsid w:val="005056EA"/>
    <w:rsid w:val="0050574E"/>
    <w:rsid w:val="00506D26"/>
    <w:rsid w:val="00507B19"/>
    <w:rsid w:val="00507C25"/>
    <w:rsid w:val="00507FA9"/>
    <w:rsid w:val="00510126"/>
    <w:rsid w:val="0051060F"/>
    <w:rsid w:val="0051064D"/>
    <w:rsid w:val="0051093E"/>
    <w:rsid w:val="00510ABD"/>
    <w:rsid w:val="00510D12"/>
    <w:rsid w:val="00511253"/>
    <w:rsid w:val="005113D0"/>
    <w:rsid w:val="00511A39"/>
    <w:rsid w:val="00511BAD"/>
    <w:rsid w:val="00511D9E"/>
    <w:rsid w:val="00512862"/>
    <w:rsid w:val="00512BF0"/>
    <w:rsid w:val="00512F23"/>
    <w:rsid w:val="005132E4"/>
    <w:rsid w:val="005140E8"/>
    <w:rsid w:val="005142CF"/>
    <w:rsid w:val="005145A9"/>
    <w:rsid w:val="005147A0"/>
    <w:rsid w:val="0051543B"/>
    <w:rsid w:val="0051676F"/>
    <w:rsid w:val="00516E41"/>
    <w:rsid w:val="00517090"/>
    <w:rsid w:val="00517A78"/>
    <w:rsid w:val="005201F1"/>
    <w:rsid w:val="0052035E"/>
    <w:rsid w:val="00522480"/>
    <w:rsid w:val="005228AC"/>
    <w:rsid w:val="00522A41"/>
    <w:rsid w:val="00522EA4"/>
    <w:rsid w:val="00523F9C"/>
    <w:rsid w:val="005244D9"/>
    <w:rsid w:val="005245DF"/>
    <w:rsid w:val="005255F3"/>
    <w:rsid w:val="0052562F"/>
    <w:rsid w:val="00525B67"/>
    <w:rsid w:val="00526292"/>
    <w:rsid w:val="005263DF"/>
    <w:rsid w:val="005264A7"/>
    <w:rsid w:val="00527249"/>
    <w:rsid w:val="00527B73"/>
    <w:rsid w:val="00527CA8"/>
    <w:rsid w:val="00530E0B"/>
    <w:rsid w:val="005312F9"/>
    <w:rsid w:val="0053135F"/>
    <w:rsid w:val="005315F9"/>
    <w:rsid w:val="00531E7A"/>
    <w:rsid w:val="00532936"/>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E44"/>
    <w:rsid w:val="00536E81"/>
    <w:rsid w:val="00536EAF"/>
    <w:rsid w:val="00540129"/>
    <w:rsid w:val="00540515"/>
    <w:rsid w:val="00540522"/>
    <w:rsid w:val="0054080A"/>
    <w:rsid w:val="00540987"/>
    <w:rsid w:val="00540A1F"/>
    <w:rsid w:val="00541199"/>
    <w:rsid w:val="00541913"/>
    <w:rsid w:val="00541A01"/>
    <w:rsid w:val="00541C7E"/>
    <w:rsid w:val="005423E8"/>
    <w:rsid w:val="00542A98"/>
    <w:rsid w:val="00543473"/>
    <w:rsid w:val="00543ACD"/>
    <w:rsid w:val="00543CFA"/>
    <w:rsid w:val="00543FB9"/>
    <w:rsid w:val="0054418D"/>
    <w:rsid w:val="005447EB"/>
    <w:rsid w:val="00544A05"/>
    <w:rsid w:val="00544A19"/>
    <w:rsid w:val="00544CB7"/>
    <w:rsid w:val="0054503F"/>
    <w:rsid w:val="0054509B"/>
    <w:rsid w:val="0054517F"/>
    <w:rsid w:val="00545581"/>
    <w:rsid w:val="00545CC4"/>
    <w:rsid w:val="00545D72"/>
    <w:rsid w:val="00545E4C"/>
    <w:rsid w:val="0054624C"/>
    <w:rsid w:val="0054671A"/>
    <w:rsid w:val="00546A62"/>
    <w:rsid w:val="00546BAE"/>
    <w:rsid w:val="00546D54"/>
    <w:rsid w:val="0054731D"/>
    <w:rsid w:val="005474B5"/>
    <w:rsid w:val="00547899"/>
    <w:rsid w:val="00547DF8"/>
    <w:rsid w:val="00550163"/>
    <w:rsid w:val="005505B9"/>
    <w:rsid w:val="005508C6"/>
    <w:rsid w:val="00550CA7"/>
    <w:rsid w:val="00550FCE"/>
    <w:rsid w:val="005516C9"/>
    <w:rsid w:val="00551952"/>
    <w:rsid w:val="00551A04"/>
    <w:rsid w:val="00551FE5"/>
    <w:rsid w:val="00552387"/>
    <w:rsid w:val="00552A43"/>
    <w:rsid w:val="00552EEB"/>
    <w:rsid w:val="00553810"/>
    <w:rsid w:val="00553829"/>
    <w:rsid w:val="005538FA"/>
    <w:rsid w:val="00553A7E"/>
    <w:rsid w:val="00554B2F"/>
    <w:rsid w:val="00555203"/>
    <w:rsid w:val="0055537E"/>
    <w:rsid w:val="0055548D"/>
    <w:rsid w:val="00555542"/>
    <w:rsid w:val="00555C48"/>
    <w:rsid w:val="00555D6D"/>
    <w:rsid w:val="005561BD"/>
    <w:rsid w:val="005568D0"/>
    <w:rsid w:val="00556E1F"/>
    <w:rsid w:val="005571ED"/>
    <w:rsid w:val="0055730A"/>
    <w:rsid w:val="005573CA"/>
    <w:rsid w:val="00557B0E"/>
    <w:rsid w:val="005604B8"/>
    <w:rsid w:val="005604E8"/>
    <w:rsid w:val="00560CC1"/>
    <w:rsid w:val="0056112F"/>
    <w:rsid w:val="0056126C"/>
    <w:rsid w:val="0056127A"/>
    <w:rsid w:val="005614C1"/>
    <w:rsid w:val="0056200D"/>
    <w:rsid w:val="005623CE"/>
    <w:rsid w:val="005631E0"/>
    <w:rsid w:val="00563230"/>
    <w:rsid w:val="00563267"/>
    <w:rsid w:val="0056355B"/>
    <w:rsid w:val="005635F1"/>
    <w:rsid w:val="005646D1"/>
    <w:rsid w:val="00564CED"/>
    <w:rsid w:val="005650B9"/>
    <w:rsid w:val="00565EBC"/>
    <w:rsid w:val="005662F4"/>
    <w:rsid w:val="00566566"/>
    <w:rsid w:val="00566E90"/>
    <w:rsid w:val="00566FAF"/>
    <w:rsid w:val="005670E2"/>
    <w:rsid w:val="0056783F"/>
    <w:rsid w:val="005704AB"/>
    <w:rsid w:val="0057078F"/>
    <w:rsid w:val="005708AA"/>
    <w:rsid w:val="005708AD"/>
    <w:rsid w:val="00570D58"/>
    <w:rsid w:val="0057124B"/>
    <w:rsid w:val="00571632"/>
    <w:rsid w:val="00571662"/>
    <w:rsid w:val="00571C19"/>
    <w:rsid w:val="005721EA"/>
    <w:rsid w:val="0057327E"/>
    <w:rsid w:val="00573396"/>
    <w:rsid w:val="00573B96"/>
    <w:rsid w:val="00574242"/>
    <w:rsid w:val="00574353"/>
    <w:rsid w:val="005746A2"/>
    <w:rsid w:val="005753E5"/>
    <w:rsid w:val="0057592F"/>
    <w:rsid w:val="00576132"/>
    <w:rsid w:val="00576557"/>
    <w:rsid w:val="00577024"/>
    <w:rsid w:val="00577A8E"/>
    <w:rsid w:val="005807BA"/>
    <w:rsid w:val="00580CE9"/>
    <w:rsid w:val="0058124A"/>
    <w:rsid w:val="0058132D"/>
    <w:rsid w:val="00581772"/>
    <w:rsid w:val="005830DE"/>
    <w:rsid w:val="00583234"/>
    <w:rsid w:val="00583DA8"/>
    <w:rsid w:val="005845FD"/>
    <w:rsid w:val="00584CDC"/>
    <w:rsid w:val="00585CDB"/>
    <w:rsid w:val="00585D6D"/>
    <w:rsid w:val="00585F9F"/>
    <w:rsid w:val="005863E9"/>
    <w:rsid w:val="005867D6"/>
    <w:rsid w:val="00586962"/>
    <w:rsid w:val="00586DB2"/>
    <w:rsid w:val="0058735E"/>
    <w:rsid w:val="005874FB"/>
    <w:rsid w:val="0058765E"/>
    <w:rsid w:val="00587CA4"/>
    <w:rsid w:val="00587E09"/>
    <w:rsid w:val="005901D4"/>
    <w:rsid w:val="00590201"/>
    <w:rsid w:val="00590707"/>
    <w:rsid w:val="00590A2E"/>
    <w:rsid w:val="00590C5D"/>
    <w:rsid w:val="005911A1"/>
    <w:rsid w:val="005917A8"/>
    <w:rsid w:val="0059232C"/>
    <w:rsid w:val="00592628"/>
    <w:rsid w:val="00592D01"/>
    <w:rsid w:val="005930BC"/>
    <w:rsid w:val="005932E5"/>
    <w:rsid w:val="00593350"/>
    <w:rsid w:val="00593A8E"/>
    <w:rsid w:val="00593C81"/>
    <w:rsid w:val="00593DE5"/>
    <w:rsid w:val="00593F42"/>
    <w:rsid w:val="00594118"/>
    <w:rsid w:val="00594857"/>
    <w:rsid w:val="005958A8"/>
    <w:rsid w:val="00596399"/>
    <w:rsid w:val="00596718"/>
    <w:rsid w:val="00596826"/>
    <w:rsid w:val="00596A60"/>
    <w:rsid w:val="00596BD3"/>
    <w:rsid w:val="005970DE"/>
    <w:rsid w:val="00597A2D"/>
    <w:rsid w:val="005A08FE"/>
    <w:rsid w:val="005A0B0D"/>
    <w:rsid w:val="005A1540"/>
    <w:rsid w:val="005A1911"/>
    <w:rsid w:val="005A1A8A"/>
    <w:rsid w:val="005A21EB"/>
    <w:rsid w:val="005A2354"/>
    <w:rsid w:val="005A267E"/>
    <w:rsid w:val="005A296C"/>
    <w:rsid w:val="005A3063"/>
    <w:rsid w:val="005A392D"/>
    <w:rsid w:val="005A3B55"/>
    <w:rsid w:val="005A3B72"/>
    <w:rsid w:val="005A3F20"/>
    <w:rsid w:val="005A41F0"/>
    <w:rsid w:val="005A4202"/>
    <w:rsid w:val="005A42ED"/>
    <w:rsid w:val="005A491A"/>
    <w:rsid w:val="005A5798"/>
    <w:rsid w:val="005A5940"/>
    <w:rsid w:val="005A598C"/>
    <w:rsid w:val="005A5998"/>
    <w:rsid w:val="005A5F32"/>
    <w:rsid w:val="005A6356"/>
    <w:rsid w:val="005A6493"/>
    <w:rsid w:val="005A64D4"/>
    <w:rsid w:val="005A6B13"/>
    <w:rsid w:val="005A6D9C"/>
    <w:rsid w:val="005A7722"/>
    <w:rsid w:val="005A7A82"/>
    <w:rsid w:val="005A7F59"/>
    <w:rsid w:val="005B012E"/>
    <w:rsid w:val="005B01DD"/>
    <w:rsid w:val="005B0283"/>
    <w:rsid w:val="005B0506"/>
    <w:rsid w:val="005B0DC7"/>
    <w:rsid w:val="005B0FE8"/>
    <w:rsid w:val="005B11DD"/>
    <w:rsid w:val="005B19F2"/>
    <w:rsid w:val="005B1C58"/>
    <w:rsid w:val="005B2678"/>
    <w:rsid w:val="005B2C78"/>
    <w:rsid w:val="005B35FB"/>
    <w:rsid w:val="005B36DB"/>
    <w:rsid w:val="005B3792"/>
    <w:rsid w:val="005B37E4"/>
    <w:rsid w:val="005B3F58"/>
    <w:rsid w:val="005B414A"/>
    <w:rsid w:val="005B4153"/>
    <w:rsid w:val="005B4303"/>
    <w:rsid w:val="005B4611"/>
    <w:rsid w:val="005B4D0C"/>
    <w:rsid w:val="005B5483"/>
    <w:rsid w:val="005B5904"/>
    <w:rsid w:val="005B5AA3"/>
    <w:rsid w:val="005B5B54"/>
    <w:rsid w:val="005B5D55"/>
    <w:rsid w:val="005B6B0F"/>
    <w:rsid w:val="005B6EE0"/>
    <w:rsid w:val="005B73C1"/>
    <w:rsid w:val="005B752C"/>
    <w:rsid w:val="005C014C"/>
    <w:rsid w:val="005C04B5"/>
    <w:rsid w:val="005C065C"/>
    <w:rsid w:val="005C0CFF"/>
    <w:rsid w:val="005C0ECE"/>
    <w:rsid w:val="005C1258"/>
    <w:rsid w:val="005C1694"/>
    <w:rsid w:val="005C1859"/>
    <w:rsid w:val="005C189F"/>
    <w:rsid w:val="005C19AF"/>
    <w:rsid w:val="005C1C2E"/>
    <w:rsid w:val="005C240B"/>
    <w:rsid w:val="005C2775"/>
    <w:rsid w:val="005C2CB3"/>
    <w:rsid w:val="005C35A3"/>
    <w:rsid w:val="005C35CF"/>
    <w:rsid w:val="005C39C0"/>
    <w:rsid w:val="005C3C80"/>
    <w:rsid w:val="005C3F62"/>
    <w:rsid w:val="005C3F79"/>
    <w:rsid w:val="005C417E"/>
    <w:rsid w:val="005C4200"/>
    <w:rsid w:val="005C42A5"/>
    <w:rsid w:val="005C4C76"/>
    <w:rsid w:val="005C4CBD"/>
    <w:rsid w:val="005C4DA4"/>
    <w:rsid w:val="005C4FED"/>
    <w:rsid w:val="005C52B9"/>
    <w:rsid w:val="005C5663"/>
    <w:rsid w:val="005C5799"/>
    <w:rsid w:val="005C59BA"/>
    <w:rsid w:val="005C6160"/>
    <w:rsid w:val="005C6367"/>
    <w:rsid w:val="005C6BAB"/>
    <w:rsid w:val="005C7670"/>
    <w:rsid w:val="005C7D50"/>
    <w:rsid w:val="005C7E11"/>
    <w:rsid w:val="005C7F78"/>
    <w:rsid w:val="005D00C0"/>
    <w:rsid w:val="005D086C"/>
    <w:rsid w:val="005D0B7D"/>
    <w:rsid w:val="005D0B9F"/>
    <w:rsid w:val="005D13BE"/>
    <w:rsid w:val="005D1724"/>
    <w:rsid w:val="005D1B64"/>
    <w:rsid w:val="005D1C86"/>
    <w:rsid w:val="005D1E53"/>
    <w:rsid w:val="005D3666"/>
    <w:rsid w:val="005D3A29"/>
    <w:rsid w:val="005D40DC"/>
    <w:rsid w:val="005D49A4"/>
    <w:rsid w:val="005D50BB"/>
    <w:rsid w:val="005D5187"/>
    <w:rsid w:val="005D518B"/>
    <w:rsid w:val="005D57A4"/>
    <w:rsid w:val="005D5A63"/>
    <w:rsid w:val="005D5C2D"/>
    <w:rsid w:val="005D5EAE"/>
    <w:rsid w:val="005D664C"/>
    <w:rsid w:val="005D694F"/>
    <w:rsid w:val="005D696F"/>
    <w:rsid w:val="005D704B"/>
    <w:rsid w:val="005D74EE"/>
    <w:rsid w:val="005D7B06"/>
    <w:rsid w:val="005E0480"/>
    <w:rsid w:val="005E0A90"/>
    <w:rsid w:val="005E0EDB"/>
    <w:rsid w:val="005E13C5"/>
    <w:rsid w:val="005E17CE"/>
    <w:rsid w:val="005E188F"/>
    <w:rsid w:val="005E1B4E"/>
    <w:rsid w:val="005E2623"/>
    <w:rsid w:val="005E2BEA"/>
    <w:rsid w:val="005E2EFA"/>
    <w:rsid w:val="005E3508"/>
    <w:rsid w:val="005E3680"/>
    <w:rsid w:val="005E3930"/>
    <w:rsid w:val="005E3A16"/>
    <w:rsid w:val="005E4144"/>
    <w:rsid w:val="005E438F"/>
    <w:rsid w:val="005E454F"/>
    <w:rsid w:val="005E4866"/>
    <w:rsid w:val="005E5118"/>
    <w:rsid w:val="005E5149"/>
    <w:rsid w:val="005E5192"/>
    <w:rsid w:val="005E62DF"/>
    <w:rsid w:val="005E6A21"/>
    <w:rsid w:val="005E6C6D"/>
    <w:rsid w:val="005E6DAD"/>
    <w:rsid w:val="005E732F"/>
    <w:rsid w:val="005E74D7"/>
    <w:rsid w:val="005E758C"/>
    <w:rsid w:val="005E79C6"/>
    <w:rsid w:val="005F0031"/>
    <w:rsid w:val="005F0454"/>
    <w:rsid w:val="005F0693"/>
    <w:rsid w:val="005F081C"/>
    <w:rsid w:val="005F0A5B"/>
    <w:rsid w:val="005F0C2C"/>
    <w:rsid w:val="005F0D3B"/>
    <w:rsid w:val="005F1237"/>
    <w:rsid w:val="005F1A8E"/>
    <w:rsid w:val="005F1B34"/>
    <w:rsid w:val="005F2E64"/>
    <w:rsid w:val="005F2EF7"/>
    <w:rsid w:val="005F309B"/>
    <w:rsid w:val="005F34A8"/>
    <w:rsid w:val="005F39FE"/>
    <w:rsid w:val="005F3A0E"/>
    <w:rsid w:val="005F3BA5"/>
    <w:rsid w:val="005F3CDC"/>
    <w:rsid w:val="005F4497"/>
    <w:rsid w:val="005F453B"/>
    <w:rsid w:val="005F4A72"/>
    <w:rsid w:val="005F4CBF"/>
    <w:rsid w:val="005F505A"/>
    <w:rsid w:val="005F572A"/>
    <w:rsid w:val="005F5F24"/>
    <w:rsid w:val="005F63F2"/>
    <w:rsid w:val="005F641C"/>
    <w:rsid w:val="005F6436"/>
    <w:rsid w:val="005F6568"/>
    <w:rsid w:val="005F6BEF"/>
    <w:rsid w:val="005F6C43"/>
    <w:rsid w:val="005F6E1A"/>
    <w:rsid w:val="005F711B"/>
    <w:rsid w:val="005F720D"/>
    <w:rsid w:val="005F73AB"/>
    <w:rsid w:val="005F7AF1"/>
    <w:rsid w:val="005F7F62"/>
    <w:rsid w:val="005F7FCE"/>
    <w:rsid w:val="00600604"/>
    <w:rsid w:val="00600993"/>
    <w:rsid w:val="00600E12"/>
    <w:rsid w:val="00601311"/>
    <w:rsid w:val="0060177C"/>
    <w:rsid w:val="006017F9"/>
    <w:rsid w:val="00601BCE"/>
    <w:rsid w:val="006030FD"/>
    <w:rsid w:val="00603116"/>
    <w:rsid w:val="00603278"/>
    <w:rsid w:val="0060380C"/>
    <w:rsid w:val="006040A0"/>
    <w:rsid w:val="00604442"/>
    <w:rsid w:val="00604B5E"/>
    <w:rsid w:val="00604D3F"/>
    <w:rsid w:val="00605107"/>
    <w:rsid w:val="00605B19"/>
    <w:rsid w:val="00605B9F"/>
    <w:rsid w:val="00605EF3"/>
    <w:rsid w:val="00606309"/>
    <w:rsid w:val="0060671F"/>
    <w:rsid w:val="006069DA"/>
    <w:rsid w:val="00606BEC"/>
    <w:rsid w:val="00606D2D"/>
    <w:rsid w:val="00607721"/>
    <w:rsid w:val="0060787B"/>
    <w:rsid w:val="006100DA"/>
    <w:rsid w:val="006105D3"/>
    <w:rsid w:val="006105D6"/>
    <w:rsid w:val="00610C3B"/>
    <w:rsid w:val="00610F5E"/>
    <w:rsid w:val="006117E3"/>
    <w:rsid w:val="0061190D"/>
    <w:rsid w:val="0061279E"/>
    <w:rsid w:val="00612825"/>
    <w:rsid w:val="00612978"/>
    <w:rsid w:val="00612FC2"/>
    <w:rsid w:val="00613210"/>
    <w:rsid w:val="006133A7"/>
    <w:rsid w:val="0061357D"/>
    <w:rsid w:val="006137AC"/>
    <w:rsid w:val="00613D84"/>
    <w:rsid w:val="006149BB"/>
    <w:rsid w:val="00614AE1"/>
    <w:rsid w:val="00615255"/>
    <w:rsid w:val="00615796"/>
    <w:rsid w:val="006158A7"/>
    <w:rsid w:val="0061590B"/>
    <w:rsid w:val="00615D1B"/>
    <w:rsid w:val="006160C7"/>
    <w:rsid w:val="006163AC"/>
    <w:rsid w:val="00616A26"/>
    <w:rsid w:val="00616B9B"/>
    <w:rsid w:val="00616C00"/>
    <w:rsid w:val="00616DB8"/>
    <w:rsid w:val="00616E46"/>
    <w:rsid w:val="00616E83"/>
    <w:rsid w:val="00617A8A"/>
    <w:rsid w:val="00617BDF"/>
    <w:rsid w:val="00620C5E"/>
    <w:rsid w:val="00620E13"/>
    <w:rsid w:val="006212BA"/>
    <w:rsid w:val="006214E2"/>
    <w:rsid w:val="00621C61"/>
    <w:rsid w:val="00621ED0"/>
    <w:rsid w:val="00622159"/>
    <w:rsid w:val="0062221F"/>
    <w:rsid w:val="0062254F"/>
    <w:rsid w:val="0062268A"/>
    <w:rsid w:val="00623357"/>
    <w:rsid w:val="006233D0"/>
    <w:rsid w:val="00623681"/>
    <w:rsid w:val="00624144"/>
    <w:rsid w:val="00624B42"/>
    <w:rsid w:val="00624CA6"/>
    <w:rsid w:val="00625C1A"/>
    <w:rsid w:val="00625E6C"/>
    <w:rsid w:val="006261D0"/>
    <w:rsid w:val="006264D8"/>
    <w:rsid w:val="00627633"/>
    <w:rsid w:val="0062792E"/>
    <w:rsid w:val="00627AEF"/>
    <w:rsid w:val="00630434"/>
    <w:rsid w:val="00630B33"/>
    <w:rsid w:val="00630C6B"/>
    <w:rsid w:val="00630CA6"/>
    <w:rsid w:val="00630EE8"/>
    <w:rsid w:val="0063107F"/>
    <w:rsid w:val="00631823"/>
    <w:rsid w:val="00632211"/>
    <w:rsid w:val="00632538"/>
    <w:rsid w:val="0063270F"/>
    <w:rsid w:val="006329B5"/>
    <w:rsid w:val="00633601"/>
    <w:rsid w:val="00633648"/>
    <w:rsid w:val="00633D90"/>
    <w:rsid w:val="006352E8"/>
    <w:rsid w:val="006356E5"/>
    <w:rsid w:val="00635B94"/>
    <w:rsid w:val="00635B98"/>
    <w:rsid w:val="00636498"/>
    <w:rsid w:val="006365A0"/>
    <w:rsid w:val="00637054"/>
    <w:rsid w:val="00637280"/>
    <w:rsid w:val="006374FD"/>
    <w:rsid w:val="00637505"/>
    <w:rsid w:val="0063753C"/>
    <w:rsid w:val="00637B1E"/>
    <w:rsid w:val="00637B9B"/>
    <w:rsid w:val="00637FAE"/>
    <w:rsid w:val="006400DB"/>
    <w:rsid w:val="00640422"/>
    <w:rsid w:val="006413F4"/>
    <w:rsid w:val="00641B70"/>
    <w:rsid w:val="00641D29"/>
    <w:rsid w:val="006427DC"/>
    <w:rsid w:val="00642921"/>
    <w:rsid w:val="00642B1D"/>
    <w:rsid w:val="00642EE2"/>
    <w:rsid w:val="00643624"/>
    <w:rsid w:val="00643994"/>
    <w:rsid w:val="00643F33"/>
    <w:rsid w:val="006448BB"/>
    <w:rsid w:val="00644CA0"/>
    <w:rsid w:val="0064505B"/>
    <w:rsid w:val="006450E0"/>
    <w:rsid w:val="00645284"/>
    <w:rsid w:val="0064567A"/>
    <w:rsid w:val="006466D3"/>
    <w:rsid w:val="00646955"/>
    <w:rsid w:val="00646C2D"/>
    <w:rsid w:val="00647350"/>
    <w:rsid w:val="00647960"/>
    <w:rsid w:val="00647EB6"/>
    <w:rsid w:val="00650857"/>
    <w:rsid w:val="00650B75"/>
    <w:rsid w:val="00651705"/>
    <w:rsid w:val="00651FBA"/>
    <w:rsid w:val="00652585"/>
    <w:rsid w:val="00652651"/>
    <w:rsid w:val="006530B2"/>
    <w:rsid w:val="006532F9"/>
    <w:rsid w:val="00653C89"/>
    <w:rsid w:val="0065418A"/>
    <w:rsid w:val="0065486A"/>
    <w:rsid w:val="00654A04"/>
    <w:rsid w:val="00654AA7"/>
    <w:rsid w:val="00655168"/>
    <w:rsid w:val="006556B4"/>
    <w:rsid w:val="006557A9"/>
    <w:rsid w:val="00656532"/>
    <w:rsid w:val="00657208"/>
    <w:rsid w:val="006578C8"/>
    <w:rsid w:val="006579DD"/>
    <w:rsid w:val="00657B3E"/>
    <w:rsid w:val="00660151"/>
    <w:rsid w:val="00660AC8"/>
    <w:rsid w:val="00660E70"/>
    <w:rsid w:val="006611C8"/>
    <w:rsid w:val="00661868"/>
    <w:rsid w:val="00662A7A"/>
    <w:rsid w:val="00662CF1"/>
    <w:rsid w:val="006631F5"/>
    <w:rsid w:val="006637DF"/>
    <w:rsid w:val="0066381D"/>
    <w:rsid w:val="00663C5D"/>
    <w:rsid w:val="00664020"/>
    <w:rsid w:val="0066460E"/>
    <w:rsid w:val="00665141"/>
    <w:rsid w:val="00665A97"/>
    <w:rsid w:val="00665E84"/>
    <w:rsid w:val="0066611C"/>
    <w:rsid w:val="0066634E"/>
    <w:rsid w:val="00666D74"/>
    <w:rsid w:val="00667A28"/>
    <w:rsid w:val="00667AB6"/>
    <w:rsid w:val="00667BCD"/>
    <w:rsid w:val="006708DB"/>
    <w:rsid w:val="00670A41"/>
    <w:rsid w:val="00670B06"/>
    <w:rsid w:val="00670EFD"/>
    <w:rsid w:val="00670F37"/>
    <w:rsid w:val="00671021"/>
    <w:rsid w:val="006710C3"/>
    <w:rsid w:val="00671CB9"/>
    <w:rsid w:val="00671EC3"/>
    <w:rsid w:val="0067206B"/>
    <w:rsid w:val="00672718"/>
    <w:rsid w:val="0067283A"/>
    <w:rsid w:val="00672D2C"/>
    <w:rsid w:val="00673662"/>
    <w:rsid w:val="006737FD"/>
    <w:rsid w:val="0067394E"/>
    <w:rsid w:val="00673A48"/>
    <w:rsid w:val="00674077"/>
    <w:rsid w:val="00674632"/>
    <w:rsid w:val="0067468D"/>
    <w:rsid w:val="00674B56"/>
    <w:rsid w:val="00674C99"/>
    <w:rsid w:val="00674F6D"/>
    <w:rsid w:val="00675469"/>
    <w:rsid w:val="006756B0"/>
    <w:rsid w:val="006758B5"/>
    <w:rsid w:val="00675C6D"/>
    <w:rsid w:val="00675C7E"/>
    <w:rsid w:val="00675C80"/>
    <w:rsid w:val="00676379"/>
    <w:rsid w:val="006763F5"/>
    <w:rsid w:val="00676A4C"/>
    <w:rsid w:val="00676ABB"/>
    <w:rsid w:val="00676D35"/>
    <w:rsid w:val="006770F7"/>
    <w:rsid w:val="006774E2"/>
    <w:rsid w:val="00677A8B"/>
    <w:rsid w:val="00677BF1"/>
    <w:rsid w:val="00677F0E"/>
    <w:rsid w:val="0068050C"/>
    <w:rsid w:val="0068072B"/>
    <w:rsid w:val="00680882"/>
    <w:rsid w:val="00680D0E"/>
    <w:rsid w:val="00681086"/>
    <w:rsid w:val="00681A94"/>
    <w:rsid w:val="00681D2B"/>
    <w:rsid w:val="00681E98"/>
    <w:rsid w:val="00682647"/>
    <w:rsid w:val="00682687"/>
    <w:rsid w:val="006828DE"/>
    <w:rsid w:val="006833C2"/>
    <w:rsid w:val="00683719"/>
    <w:rsid w:val="006839FD"/>
    <w:rsid w:val="00683AB1"/>
    <w:rsid w:val="00683B13"/>
    <w:rsid w:val="006847CC"/>
    <w:rsid w:val="00684A1A"/>
    <w:rsid w:val="00684C33"/>
    <w:rsid w:val="00685114"/>
    <w:rsid w:val="006851BD"/>
    <w:rsid w:val="0068583C"/>
    <w:rsid w:val="00685D32"/>
    <w:rsid w:val="00686158"/>
    <w:rsid w:val="006862B3"/>
    <w:rsid w:val="006862CD"/>
    <w:rsid w:val="006864A4"/>
    <w:rsid w:val="0068651F"/>
    <w:rsid w:val="00686C0A"/>
    <w:rsid w:val="00686C56"/>
    <w:rsid w:val="00687BA0"/>
    <w:rsid w:val="00687F81"/>
    <w:rsid w:val="00687FD4"/>
    <w:rsid w:val="0069079C"/>
    <w:rsid w:val="00690E2F"/>
    <w:rsid w:val="00691388"/>
    <w:rsid w:val="006913CD"/>
    <w:rsid w:val="00691444"/>
    <w:rsid w:val="006916A9"/>
    <w:rsid w:val="0069194C"/>
    <w:rsid w:val="00691D3A"/>
    <w:rsid w:val="0069260C"/>
    <w:rsid w:val="00692831"/>
    <w:rsid w:val="00694221"/>
    <w:rsid w:val="0069427F"/>
    <w:rsid w:val="0069464D"/>
    <w:rsid w:val="00694B5D"/>
    <w:rsid w:val="00695A27"/>
    <w:rsid w:val="00695BC8"/>
    <w:rsid w:val="00695E47"/>
    <w:rsid w:val="0069600C"/>
    <w:rsid w:val="00696214"/>
    <w:rsid w:val="00696494"/>
    <w:rsid w:val="00697269"/>
    <w:rsid w:val="0069756A"/>
    <w:rsid w:val="00697636"/>
    <w:rsid w:val="0069770E"/>
    <w:rsid w:val="00697FEB"/>
    <w:rsid w:val="006A0121"/>
    <w:rsid w:val="006A04C7"/>
    <w:rsid w:val="006A0810"/>
    <w:rsid w:val="006A0ED4"/>
    <w:rsid w:val="006A14F3"/>
    <w:rsid w:val="006A17A8"/>
    <w:rsid w:val="006A21E0"/>
    <w:rsid w:val="006A2252"/>
    <w:rsid w:val="006A22F2"/>
    <w:rsid w:val="006A23DF"/>
    <w:rsid w:val="006A27F9"/>
    <w:rsid w:val="006A2C70"/>
    <w:rsid w:val="006A3659"/>
    <w:rsid w:val="006A3A22"/>
    <w:rsid w:val="006A42CA"/>
    <w:rsid w:val="006A48CD"/>
    <w:rsid w:val="006A4A3B"/>
    <w:rsid w:val="006A5BAF"/>
    <w:rsid w:val="006A671A"/>
    <w:rsid w:val="006A69E2"/>
    <w:rsid w:val="006A6BD2"/>
    <w:rsid w:val="006A6D86"/>
    <w:rsid w:val="006A75C8"/>
    <w:rsid w:val="006A7718"/>
    <w:rsid w:val="006A7978"/>
    <w:rsid w:val="006A7D66"/>
    <w:rsid w:val="006A7E73"/>
    <w:rsid w:val="006B0ECA"/>
    <w:rsid w:val="006B1626"/>
    <w:rsid w:val="006B2B14"/>
    <w:rsid w:val="006B319B"/>
    <w:rsid w:val="006B35C9"/>
    <w:rsid w:val="006B36D3"/>
    <w:rsid w:val="006B3B48"/>
    <w:rsid w:val="006B3E63"/>
    <w:rsid w:val="006B4564"/>
    <w:rsid w:val="006B4A10"/>
    <w:rsid w:val="006B5002"/>
    <w:rsid w:val="006B580B"/>
    <w:rsid w:val="006B5B62"/>
    <w:rsid w:val="006B6138"/>
    <w:rsid w:val="006B64D4"/>
    <w:rsid w:val="006B6641"/>
    <w:rsid w:val="006B66EF"/>
    <w:rsid w:val="006B67FF"/>
    <w:rsid w:val="006B6CBD"/>
    <w:rsid w:val="006B6D18"/>
    <w:rsid w:val="006B6DCB"/>
    <w:rsid w:val="006B7548"/>
    <w:rsid w:val="006B77EA"/>
    <w:rsid w:val="006B789C"/>
    <w:rsid w:val="006B7CBA"/>
    <w:rsid w:val="006B7D52"/>
    <w:rsid w:val="006C0679"/>
    <w:rsid w:val="006C06C6"/>
    <w:rsid w:val="006C0BDB"/>
    <w:rsid w:val="006C0F30"/>
    <w:rsid w:val="006C14E7"/>
    <w:rsid w:val="006C1919"/>
    <w:rsid w:val="006C1D1B"/>
    <w:rsid w:val="006C1E5A"/>
    <w:rsid w:val="006C1EE5"/>
    <w:rsid w:val="006C213C"/>
    <w:rsid w:val="006C22E8"/>
    <w:rsid w:val="006C2C39"/>
    <w:rsid w:val="006C2ED5"/>
    <w:rsid w:val="006C30B8"/>
    <w:rsid w:val="006C30C7"/>
    <w:rsid w:val="006C3379"/>
    <w:rsid w:val="006C3892"/>
    <w:rsid w:val="006C46DD"/>
    <w:rsid w:val="006C4A18"/>
    <w:rsid w:val="006C4F4D"/>
    <w:rsid w:val="006C586F"/>
    <w:rsid w:val="006C5D6B"/>
    <w:rsid w:val="006C5F03"/>
    <w:rsid w:val="006C6D23"/>
    <w:rsid w:val="006C7ADC"/>
    <w:rsid w:val="006C7B32"/>
    <w:rsid w:val="006C7D9E"/>
    <w:rsid w:val="006D0116"/>
    <w:rsid w:val="006D016E"/>
    <w:rsid w:val="006D0698"/>
    <w:rsid w:val="006D0C7B"/>
    <w:rsid w:val="006D1237"/>
    <w:rsid w:val="006D14FE"/>
    <w:rsid w:val="006D1BEC"/>
    <w:rsid w:val="006D1D26"/>
    <w:rsid w:val="006D1DE5"/>
    <w:rsid w:val="006D201B"/>
    <w:rsid w:val="006D2062"/>
    <w:rsid w:val="006D213C"/>
    <w:rsid w:val="006D235A"/>
    <w:rsid w:val="006D3C22"/>
    <w:rsid w:val="006D3DD1"/>
    <w:rsid w:val="006D4638"/>
    <w:rsid w:val="006D46E2"/>
    <w:rsid w:val="006D4B63"/>
    <w:rsid w:val="006D513D"/>
    <w:rsid w:val="006D517E"/>
    <w:rsid w:val="006D51FC"/>
    <w:rsid w:val="006D5386"/>
    <w:rsid w:val="006D53B8"/>
    <w:rsid w:val="006D56BC"/>
    <w:rsid w:val="006D59DA"/>
    <w:rsid w:val="006D5B46"/>
    <w:rsid w:val="006D5E4B"/>
    <w:rsid w:val="006D5F51"/>
    <w:rsid w:val="006D60FF"/>
    <w:rsid w:val="006D6235"/>
    <w:rsid w:val="006D65E6"/>
    <w:rsid w:val="006D6EA2"/>
    <w:rsid w:val="006D78E3"/>
    <w:rsid w:val="006D7993"/>
    <w:rsid w:val="006D7E0D"/>
    <w:rsid w:val="006E0D80"/>
    <w:rsid w:val="006E1122"/>
    <w:rsid w:val="006E121F"/>
    <w:rsid w:val="006E162F"/>
    <w:rsid w:val="006E1690"/>
    <w:rsid w:val="006E1748"/>
    <w:rsid w:val="006E17EC"/>
    <w:rsid w:val="006E1952"/>
    <w:rsid w:val="006E1AC2"/>
    <w:rsid w:val="006E278A"/>
    <w:rsid w:val="006E2847"/>
    <w:rsid w:val="006E2A49"/>
    <w:rsid w:val="006E2F6F"/>
    <w:rsid w:val="006E3131"/>
    <w:rsid w:val="006E396B"/>
    <w:rsid w:val="006E3A7F"/>
    <w:rsid w:val="006E3B27"/>
    <w:rsid w:val="006E3BFA"/>
    <w:rsid w:val="006E44A7"/>
    <w:rsid w:val="006E4ECA"/>
    <w:rsid w:val="006E52BD"/>
    <w:rsid w:val="006E60BD"/>
    <w:rsid w:val="006E66B7"/>
    <w:rsid w:val="006F0C68"/>
    <w:rsid w:val="006F1141"/>
    <w:rsid w:val="006F1304"/>
    <w:rsid w:val="006F1B67"/>
    <w:rsid w:val="006F1BFD"/>
    <w:rsid w:val="006F2581"/>
    <w:rsid w:val="006F2AC1"/>
    <w:rsid w:val="006F2CAB"/>
    <w:rsid w:val="006F32C3"/>
    <w:rsid w:val="006F33BE"/>
    <w:rsid w:val="006F353B"/>
    <w:rsid w:val="006F37DA"/>
    <w:rsid w:val="006F3BAC"/>
    <w:rsid w:val="006F3BE2"/>
    <w:rsid w:val="006F3E77"/>
    <w:rsid w:val="006F3FC6"/>
    <w:rsid w:val="006F47B9"/>
    <w:rsid w:val="006F4AAE"/>
    <w:rsid w:val="006F4B5F"/>
    <w:rsid w:val="006F56CE"/>
    <w:rsid w:val="006F5F97"/>
    <w:rsid w:val="006F6857"/>
    <w:rsid w:val="006F6A12"/>
    <w:rsid w:val="006F6DF7"/>
    <w:rsid w:val="006F6FFB"/>
    <w:rsid w:val="006F7BCC"/>
    <w:rsid w:val="0070058A"/>
    <w:rsid w:val="00700E2D"/>
    <w:rsid w:val="00700E8E"/>
    <w:rsid w:val="00700F23"/>
    <w:rsid w:val="00701368"/>
    <w:rsid w:val="00701506"/>
    <w:rsid w:val="00701810"/>
    <w:rsid w:val="0070183B"/>
    <w:rsid w:val="007018F4"/>
    <w:rsid w:val="0070190E"/>
    <w:rsid w:val="00701C34"/>
    <w:rsid w:val="00701EEA"/>
    <w:rsid w:val="007029F5"/>
    <w:rsid w:val="00702A86"/>
    <w:rsid w:val="00702F20"/>
    <w:rsid w:val="00702FE2"/>
    <w:rsid w:val="0070301D"/>
    <w:rsid w:val="007031A9"/>
    <w:rsid w:val="0070423F"/>
    <w:rsid w:val="00704347"/>
    <w:rsid w:val="0070448F"/>
    <w:rsid w:val="007046BE"/>
    <w:rsid w:val="007046F2"/>
    <w:rsid w:val="00705011"/>
    <w:rsid w:val="0070504B"/>
    <w:rsid w:val="00705542"/>
    <w:rsid w:val="00706487"/>
    <w:rsid w:val="00706827"/>
    <w:rsid w:val="007068C9"/>
    <w:rsid w:val="007073DB"/>
    <w:rsid w:val="00707CA4"/>
    <w:rsid w:val="0071021C"/>
    <w:rsid w:val="0071048B"/>
    <w:rsid w:val="007105CB"/>
    <w:rsid w:val="00710661"/>
    <w:rsid w:val="00710770"/>
    <w:rsid w:val="00710FFF"/>
    <w:rsid w:val="007110AC"/>
    <w:rsid w:val="007112E5"/>
    <w:rsid w:val="00711573"/>
    <w:rsid w:val="00711845"/>
    <w:rsid w:val="007119DD"/>
    <w:rsid w:val="00711A36"/>
    <w:rsid w:val="00711AD2"/>
    <w:rsid w:val="00712137"/>
    <w:rsid w:val="00712315"/>
    <w:rsid w:val="00712B76"/>
    <w:rsid w:val="00712C24"/>
    <w:rsid w:val="0071308E"/>
    <w:rsid w:val="007133B6"/>
    <w:rsid w:val="0071489C"/>
    <w:rsid w:val="00714C34"/>
    <w:rsid w:val="007157EF"/>
    <w:rsid w:val="00715BDB"/>
    <w:rsid w:val="00715D23"/>
    <w:rsid w:val="00715E07"/>
    <w:rsid w:val="00716338"/>
    <w:rsid w:val="0071640E"/>
    <w:rsid w:val="00716520"/>
    <w:rsid w:val="00716D4C"/>
    <w:rsid w:val="00717158"/>
    <w:rsid w:val="00717237"/>
    <w:rsid w:val="007173BD"/>
    <w:rsid w:val="00717432"/>
    <w:rsid w:val="0071760B"/>
    <w:rsid w:val="00717704"/>
    <w:rsid w:val="007177AE"/>
    <w:rsid w:val="0071795A"/>
    <w:rsid w:val="007208DA"/>
    <w:rsid w:val="007209B6"/>
    <w:rsid w:val="00720C57"/>
    <w:rsid w:val="00720C74"/>
    <w:rsid w:val="00720D56"/>
    <w:rsid w:val="00721C9B"/>
    <w:rsid w:val="00721F8F"/>
    <w:rsid w:val="00722239"/>
    <w:rsid w:val="007222F5"/>
    <w:rsid w:val="00722562"/>
    <w:rsid w:val="00722DBE"/>
    <w:rsid w:val="007238BE"/>
    <w:rsid w:val="00723C21"/>
    <w:rsid w:val="00724007"/>
    <w:rsid w:val="007244F5"/>
    <w:rsid w:val="00724877"/>
    <w:rsid w:val="007255B2"/>
    <w:rsid w:val="00725805"/>
    <w:rsid w:val="00726532"/>
    <w:rsid w:val="00726652"/>
    <w:rsid w:val="00726B79"/>
    <w:rsid w:val="0072710D"/>
    <w:rsid w:val="007271E5"/>
    <w:rsid w:val="00727404"/>
    <w:rsid w:val="007308C3"/>
    <w:rsid w:val="0073096D"/>
    <w:rsid w:val="00730C55"/>
    <w:rsid w:val="00731247"/>
    <w:rsid w:val="00731352"/>
    <w:rsid w:val="007313B6"/>
    <w:rsid w:val="007314FB"/>
    <w:rsid w:val="00731A16"/>
    <w:rsid w:val="00731E9A"/>
    <w:rsid w:val="00732DBA"/>
    <w:rsid w:val="00733153"/>
    <w:rsid w:val="007332D3"/>
    <w:rsid w:val="00733580"/>
    <w:rsid w:val="00733642"/>
    <w:rsid w:val="007337BA"/>
    <w:rsid w:val="00734210"/>
    <w:rsid w:val="007345E8"/>
    <w:rsid w:val="007347F0"/>
    <w:rsid w:val="0073504B"/>
    <w:rsid w:val="0073539E"/>
    <w:rsid w:val="00735A89"/>
    <w:rsid w:val="00735AC7"/>
    <w:rsid w:val="00736679"/>
    <w:rsid w:val="007367AB"/>
    <w:rsid w:val="00736E5E"/>
    <w:rsid w:val="00737812"/>
    <w:rsid w:val="00737F83"/>
    <w:rsid w:val="007403BB"/>
    <w:rsid w:val="00740D12"/>
    <w:rsid w:val="00740D1D"/>
    <w:rsid w:val="00740D99"/>
    <w:rsid w:val="00742660"/>
    <w:rsid w:val="0074278D"/>
    <w:rsid w:val="00742872"/>
    <w:rsid w:val="00742F4C"/>
    <w:rsid w:val="007433A8"/>
    <w:rsid w:val="00743BA0"/>
    <w:rsid w:val="00743D7E"/>
    <w:rsid w:val="007440B2"/>
    <w:rsid w:val="00744BF8"/>
    <w:rsid w:val="00744C1A"/>
    <w:rsid w:val="00744FCF"/>
    <w:rsid w:val="00745354"/>
    <w:rsid w:val="00745727"/>
    <w:rsid w:val="00745844"/>
    <w:rsid w:val="00745C19"/>
    <w:rsid w:val="00746705"/>
    <w:rsid w:val="00746E22"/>
    <w:rsid w:val="00747EEC"/>
    <w:rsid w:val="0075047A"/>
    <w:rsid w:val="00750502"/>
    <w:rsid w:val="0075059C"/>
    <w:rsid w:val="007508D2"/>
    <w:rsid w:val="00750FA5"/>
    <w:rsid w:val="007512D0"/>
    <w:rsid w:val="007514A8"/>
    <w:rsid w:val="00751F30"/>
    <w:rsid w:val="0075238A"/>
    <w:rsid w:val="00752899"/>
    <w:rsid w:val="007528A9"/>
    <w:rsid w:val="00752D54"/>
    <w:rsid w:val="00752D98"/>
    <w:rsid w:val="00752F1E"/>
    <w:rsid w:val="007533F8"/>
    <w:rsid w:val="007537C3"/>
    <w:rsid w:val="00753A3D"/>
    <w:rsid w:val="00754581"/>
    <w:rsid w:val="007547D0"/>
    <w:rsid w:val="00754A07"/>
    <w:rsid w:val="00754BAF"/>
    <w:rsid w:val="00754F37"/>
    <w:rsid w:val="00755ACA"/>
    <w:rsid w:val="00755E60"/>
    <w:rsid w:val="0075630B"/>
    <w:rsid w:val="0075639F"/>
    <w:rsid w:val="00756497"/>
    <w:rsid w:val="0075689E"/>
    <w:rsid w:val="007568A1"/>
    <w:rsid w:val="00756CA9"/>
    <w:rsid w:val="00757024"/>
    <w:rsid w:val="00757055"/>
    <w:rsid w:val="007574B1"/>
    <w:rsid w:val="00760285"/>
    <w:rsid w:val="00760655"/>
    <w:rsid w:val="00760678"/>
    <w:rsid w:val="00760A5C"/>
    <w:rsid w:val="0076169B"/>
    <w:rsid w:val="00761BF7"/>
    <w:rsid w:val="00761CC8"/>
    <w:rsid w:val="00761D0A"/>
    <w:rsid w:val="00762974"/>
    <w:rsid w:val="0076334B"/>
    <w:rsid w:val="0076359F"/>
    <w:rsid w:val="0076399E"/>
    <w:rsid w:val="00765675"/>
    <w:rsid w:val="0076582C"/>
    <w:rsid w:val="007658EF"/>
    <w:rsid w:val="00765F87"/>
    <w:rsid w:val="0076611E"/>
    <w:rsid w:val="007666AE"/>
    <w:rsid w:val="00766881"/>
    <w:rsid w:val="00766891"/>
    <w:rsid w:val="00766B91"/>
    <w:rsid w:val="0076772C"/>
    <w:rsid w:val="007678AD"/>
    <w:rsid w:val="00767958"/>
    <w:rsid w:val="00767BEE"/>
    <w:rsid w:val="00770176"/>
    <w:rsid w:val="007701C0"/>
    <w:rsid w:val="00770853"/>
    <w:rsid w:val="00770969"/>
    <w:rsid w:val="00770E79"/>
    <w:rsid w:val="00771258"/>
    <w:rsid w:val="0077161B"/>
    <w:rsid w:val="00771AC1"/>
    <w:rsid w:val="00771E1A"/>
    <w:rsid w:val="00771EF7"/>
    <w:rsid w:val="00771F2B"/>
    <w:rsid w:val="007726D3"/>
    <w:rsid w:val="00772E9C"/>
    <w:rsid w:val="007732D4"/>
    <w:rsid w:val="00773483"/>
    <w:rsid w:val="00773548"/>
    <w:rsid w:val="00773832"/>
    <w:rsid w:val="0077385F"/>
    <w:rsid w:val="00774F4C"/>
    <w:rsid w:val="00774F8E"/>
    <w:rsid w:val="00775307"/>
    <w:rsid w:val="00775B9D"/>
    <w:rsid w:val="00776B79"/>
    <w:rsid w:val="00776C41"/>
    <w:rsid w:val="00776E3A"/>
    <w:rsid w:val="007774C9"/>
    <w:rsid w:val="007777B8"/>
    <w:rsid w:val="00777B03"/>
    <w:rsid w:val="00780107"/>
    <w:rsid w:val="00780159"/>
    <w:rsid w:val="007803D3"/>
    <w:rsid w:val="0078041A"/>
    <w:rsid w:val="0078071C"/>
    <w:rsid w:val="00781544"/>
    <w:rsid w:val="00782368"/>
    <w:rsid w:val="00782840"/>
    <w:rsid w:val="00782A32"/>
    <w:rsid w:val="00782E22"/>
    <w:rsid w:val="00782F98"/>
    <w:rsid w:val="0078333C"/>
    <w:rsid w:val="00784BE3"/>
    <w:rsid w:val="007853A6"/>
    <w:rsid w:val="00785548"/>
    <w:rsid w:val="007861AB"/>
    <w:rsid w:val="00786767"/>
    <w:rsid w:val="0078687B"/>
    <w:rsid w:val="00786E1D"/>
    <w:rsid w:val="00786FDF"/>
    <w:rsid w:val="0078764E"/>
    <w:rsid w:val="00787D59"/>
    <w:rsid w:val="00787E7F"/>
    <w:rsid w:val="00787F56"/>
    <w:rsid w:val="00790034"/>
    <w:rsid w:val="00790367"/>
    <w:rsid w:val="00790902"/>
    <w:rsid w:val="00790E5A"/>
    <w:rsid w:val="00791255"/>
    <w:rsid w:val="00791383"/>
    <w:rsid w:val="007914CC"/>
    <w:rsid w:val="00791559"/>
    <w:rsid w:val="00791B66"/>
    <w:rsid w:val="00791C7A"/>
    <w:rsid w:val="00791F3C"/>
    <w:rsid w:val="00792754"/>
    <w:rsid w:val="0079291C"/>
    <w:rsid w:val="00792DC9"/>
    <w:rsid w:val="007933D8"/>
    <w:rsid w:val="00793CF3"/>
    <w:rsid w:val="00793F84"/>
    <w:rsid w:val="0079497E"/>
    <w:rsid w:val="00794E16"/>
    <w:rsid w:val="00795AA8"/>
    <w:rsid w:val="00796963"/>
    <w:rsid w:val="00797E7C"/>
    <w:rsid w:val="007A013D"/>
    <w:rsid w:val="007A077E"/>
    <w:rsid w:val="007A08EE"/>
    <w:rsid w:val="007A09D0"/>
    <w:rsid w:val="007A16DC"/>
    <w:rsid w:val="007A1897"/>
    <w:rsid w:val="007A1925"/>
    <w:rsid w:val="007A20AB"/>
    <w:rsid w:val="007A22E5"/>
    <w:rsid w:val="007A263B"/>
    <w:rsid w:val="007A26E6"/>
    <w:rsid w:val="007A28FE"/>
    <w:rsid w:val="007A2989"/>
    <w:rsid w:val="007A334A"/>
    <w:rsid w:val="007A3FBB"/>
    <w:rsid w:val="007A44D8"/>
    <w:rsid w:val="007A45DB"/>
    <w:rsid w:val="007A5D81"/>
    <w:rsid w:val="007A61E5"/>
    <w:rsid w:val="007A63FF"/>
    <w:rsid w:val="007A7AE1"/>
    <w:rsid w:val="007A7BCA"/>
    <w:rsid w:val="007B0131"/>
    <w:rsid w:val="007B015F"/>
    <w:rsid w:val="007B035F"/>
    <w:rsid w:val="007B03FE"/>
    <w:rsid w:val="007B0583"/>
    <w:rsid w:val="007B09D2"/>
    <w:rsid w:val="007B0CE6"/>
    <w:rsid w:val="007B0DA7"/>
    <w:rsid w:val="007B131A"/>
    <w:rsid w:val="007B1B20"/>
    <w:rsid w:val="007B1C81"/>
    <w:rsid w:val="007B1D8D"/>
    <w:rsid w:val="007B24D9"/>
    <w:rsid w:val="007B25CB"/>
    <w:rsid w:val="007B29A2"/>
    <w:rsid w:val="007B306A"/>
    <w:rsid w:val="007B355D"/>
    <w:rsid w:val="007B3AFC"/>
    <w:rsid w:val="007B5110"/>
    <w:rsid w:val="007B5134"/>
    <w:rsid w:val="007B53A3"/>
    <w:rsid w:val="007B596F"/>
    <w:rsid w:val="007B5EF3"/>
    <w:rsid w:val="007B5FF2"/>
    <w:rsid w:val="007B6133"/>
    <w:rsid w:val="007B629A"/>
    <w:rsid w:val="007B6452"/>
    <w:rsid w:val="007B6B76"/>
    <w:rsid w:val="007B6CD5"/>
    <w:rsid w:val="007B7168"/>
    <w:rsid w:val="007C00FC"/>
    <w:rsid w:val="007C03E4"/>
    <w:rsid w:val="007C051A"/>
    <w:rsid w:val="007C0B82"/>
    <w:rsid w:val="007C0CF7"/>
    <w:rsid w:val="007C17D6"/>
    <w:rsid w:val="007C1B6B"/>
    <w:rsid w:val="007C228C"/>
    <w:rsid w:val="007C23F3"/>
    <w:rsid w:val="007C27CF"/>
    <w:rsid w:val="007C3506"/>
    <w:rsid w:val="007C378A"/>
    <w:rsid w:val="007C39DA"/>
    <w:rsid w:val="007C3B43"/>
    <w:rsid w:val="007C3F02"/>
    <w:rsid w:val="007C4328"/>
    <w:rsid w:val="007C47AE"/>
    <w:rsid w:val="007C4A12"/>
    <w:rsid w:val="007C4E55"/>
    <w:rsid w:val="007C5DFE"/>
    <w:rsid w:val="007C63B2"/>
    <w:rsid w:val="007C6550"/>
    <w:rsid w:val="007C7074"/>
    <w:rsid w:val="007C742B"/>
    <w:rsid w:val="007C7C2C"/>
    <w:rsid w:val="007D0045"/>
    <w:rsid w:val="007D03F7"/>
    <w:rsid w:val="007D052A"/>
    <w:rsid w:val="007D0941"/>
    <w:rsid w:val="007D0A1E"/>
    <w:rsid w:val="007D132A"/>
    <w:rsid w:val="007D13AD"/>
    <w:rsid w:val="007D15FF"/>
    <w:rsid w:val="007D1C36"/>
    <w:rsid w:val="007D220F"/>
    <w:rsid w:val="007D297B"/>
    <w:rsid w:val="007D2AFC"/>
    <w:rsid w:val="007D2C20"/>
    <w:rsid w:val="007D308D"/>
    <w:rsid w:val="007D30E7"/>
    <w:rsid w:val="007D3DB2"/>
    <w:rsid w:val="007D4620"/>
    <w:rsid w:val="007D468F"/>
    <w:rsid w:val="007D4867"/>
    <w:rsid w:val="007D4BA6"/>
    <w:rsid w:val="007D500C"/>
    <w:rsid w:val="007D567F"/>
    <w:rsid w:val="007D5B3B"/>
    <w:rsid w:val="007D68AF"/>
    <w:rsid w:val="007D7E6A"/>
    <w:rsid w:val="007D7F3E"/>
    <w:rsid w:val="007E025C"/>
    <w:rsid w:val="007E038D"/>
    <w:rsid w:val="007E1441"/>
    <w:rsid w:val="007E1D4F"/>
    <w:rsid w:val="007E2299"/>
    <w:rsid w:val="007E353A"/>
    <w:rsid w:val="007E39BE"/>
    <w:rsid w:val="007E43E0"/>
    <w:rsid w:val="007E4D8F"/>
    <w:rsid w:val="007E5323"/>
    <w:rsid w:val="007E532F"/>
    <w:rsid w:val="007E5414"/>
    <w:rsid w:val="007E5B46"/>
    <w:rsid w:val="007E5D23"/>
    <w:rsid w:val="007E5D69"/>
    <w:rsid w:val="007E62C5"/>
    <w:rsid w:val="007E659A"/>
    <w:rsid w:val="007E69FD"/>
    <w:rsid w:val="007E6E27"/>
    <w:rsid w:val="007E7360"/>
    <w:rsid w:val="007F009A"/>
    <w:rsid w:val="007F00EC"/>
    <w:rsid w:val="007F0130"/>
    <w:rsid w:val="007F02C0"/>
    <w:rsid w:val="007F02FC"/>
    <w:rsid w:val="007F0396"/>
    <w:rsid w:val="007F075E"/>
    <w:rsid w:val="007F1CD4"/>
    <w:rsid w:val="007F21E6"/>
    <w:rsid w:val="007F2C8D"/>
    <w:rsid w:val="007F2CDE"/>
    <w:rsid w:val="007F2E5C"/>
    <w:rsid w:val="007F33CA"/>
    <w:rsid w:val="007F3C3D"/>
    <w:rsid w:val="007F3C5D"/>
    <w:rsid w:val="007F4562"/>
    <w:rsid w:val="007F469F"/>
    <w:rsid w:val="007F4AD6"/>
    <w:rsid w:val="007F51E1"/>
    <w:rsid w:val="007F5863"/>
    <w:rsid w:val="007F65BF"/>
    <w:rsid w:val="007F6C57"/>
    <w:rsid w:val="007F6F88"/>
    <w:rsid w:val="007F75AB"/>
    <w:rsid w:val="007F7895"/>
    <w:rsid w:val="007F7AC9"/>
    <w:rsid w:val="007F7FFA"/>
    <w:rsid w:val="008013F4"/>
    <w:rsid w:val="00801879"/>
    <w:rsid w:val="00801E74"/>
    <w:rsid w:val="00801EF1"/>
    <w:rsid w:val="008020CC"/>
    <w:rsid w:val="008021DA"/>
    <w:rsid w:val="0080256C"/>
    <w:rsid w:val="008026EF"/>
    <w:rsid w:val="0080349D"/>
    <w:rsid w:val="008038FF"/>
    <w:rsid w:val="00803989"/>
    <w:rsid w:val="008039A6"/>
    <w:rsid w:val="00803C43"/>
    <w:rsid w:val="0080417F"/>
    <w:rsid w:val="00804E0D"/>
    <w:rsid w:val="00804E59"/>
    <w:rsid w:val="00805371"/>
    <w:rsid w:val="008066A9"/>
    <w:rsid w:val="00806A5C"/>
    <w:rsid w:val="0080708F"/>
    <w:rsid w:val="008070C0"/>
    <w:rsid w:val="008070FD"/>
    <w:rsid w:val="008072BC"/>
    <w:rsid w:val="008073AF"/>
    <w:rsid w:val="00807B62"/>
    <w:rsid w:val="00810693"/>
    <w:rsid w:val="0081081E"/>
    <w:rsid w:val="00811A2B"/>
    <w:rsid w:val="00811D3A"/>
    <w:rsid w:val="00812A23"/>
    <w:rsid w:val="00812A37"/>
    <w:rsid w:val="00812B24"/>
    <w:rsid w:val="0081307B"/>
    <w:rsid w:val="00813399"/>
    <w:rsid w:val="00813C60"/>
    <w:rsid w:val="00813D84"/>
    <w:rsid w:val="00813F48"/>
    <w:rsid w:val="00814252"/>
    <w:rsid w:val="00814950"/>
    <w:rsid w:val="00814EC4"/>
    <w:rsid w:val="00815D2D"/>
    <w:rsid w:val="00815EEB"/>
    <w:rsid w:val="00815F18"/>
    <w:rsid w:val="008161BB"/>
    <w:rsid w:val="008165F7"/>
    <w:rsid w:val="008168CF"/>
    <w:rsid w:val="00816F7A"/>
    <w:rsid w:val="008178A9"/>
    <w:rsid w:val="00817BCE"/>
    <w:rsid w:val="0082076D"/>
    <w:rsid w:val="008207D6"/>
    <w:rsid w:val="00820B95"/>
    <w:rsid w:val="00821727"/>
    <w:rsid w:val="008218C0"/>
    <w:rsid w:val="00821FA9"/>
    <w:rsid w:val="00822054"/>
    <w:rsid w:val="0082268B"/>
    <w:rsid w:val="00822DB1"/>
    <w:rsid w:val="00823DBE"/>
    <w:rsid w:val="00823F78"/>
    <w:rsid w:val="0082418E"/>
    <w:rsid w:val="00824608"/>
    <w:rsid w:val="00824959"/>
    <w:rsid w:val="00824F2F"/>
    <w:rsid w:val="00825029"/>
    <w:rsid w:val="008250A9"/>
    <w:rsid w:val="008251CE"/>
    <w:rsid w:val="0082568D"/>
    <w:rsid w:val="008259CB"/>
    <w:rsid w:val="008268A4"/>
    <w:rsid w:val="00827733"/>
    <w:rsid w:val="00827B0A"/>
    <w:rsid w:val="008303E2"/>
    <w:rsid w:val="00830EB6"/>
    <w:rsid w:val="00831433"/>
    <w:rsid w:val="00831473"/>
    <w:rsid w:val="00831AA0"/>
    <w:rsid w:val="00832483"/>
    <w:rsid w:val="0083285B"/>
    <w:rsid w:val="00833094"/>
    <w:rsid w:val="008332E9"/>
    <w:rsid w:val="0083379C"/>
    <w:rsid w:val="00833D09"/>
    <w:rsid w:val="0083450A"/>
    <w:rsid w:val="0083475E"/>
    <w:rsid w:val="00834DEE"/>
    <w:rsid w:val="00835160"/>
    <w:rsid w:val="008352E2"/>
    <w:rsid w:val="00835521"/>
    <w:rsid w:val="0083638A"/>
    <w:rsid w:val="0083656F"/>
    <w:rsid w:val="008366D7"/>
    <w:rsid w:val="008370FD"/>
    <w:rsid w:val="00840071"/>
    <w:rsid w:val="008407D7"/>
    <w:rsid w:val="0084080C"/>
    <w:rsid w:val="00840BD2"/>
    <w:rsid w:val="00840C6F"/>
    <w:rsid w:val="00840D3A"/>
    <w:rsid w:val="00840EBE"/>
    <w:rsid w:val="008414A2"/>
    <w:rsid w:val="008414CF"/>
    <w:rsid w:val="00841D63"/>
    <w:rsid w:val="0084263F"/>
    <w:rsid w:val="0084279A"/>
    <w:rsid w:val="00842931"/>
    <w:rsid w:val="00842F7C"/>
    <w:rsid w:val="0084320D"/>
    <w:rsid w:val="00843257"/>
    <w:rsid w:val="008433B9"/>
    <w:rsid w:val="00843553"/>
    <w:rsid w:val="00843D12"/>
    <w:rsid w:val="00844677"/>
    <w:rsid w:val="00844963"/>
    <w:rsid w:val="00844A91"/>
    <w:rsid w:val="00844C2C"/>
    <w:rsid w:val="00845268"/>
    <w:rsid w:val="008454CD"/>
    <w:rsid w:val="0084648F"/>
    <w:rsid w:val="00846666"/>
    <w:rsid w:val="00846777"/>
    <w:rsid w:val="008468A8"/>
    <w:rsid w:val="00846F5B"/>
    <w:rsid w:val="00846F6C"/>
    <w:rsid w:val="008473EB"/>
    <w:rsid w:val="0084740E"/>
    <w:rsid w:val="00847743"/>
    <w:rsid w:val="00847B2F"/>
    <w:rsid w:val="00847BE7"/>
    <w:rsid w:val="00847DA6"/>
    <w:rsid w:val="00850001"/>
    <w:rsid w:val="00850217"/>
    <w:rsid w:val="008502F9"/>
    <w:rsid w:val="008506A2"/>
    <w:rsid w:val="008515A1"/>
    <w:rsid w:val="008517D6"/>
    <w:rsid w:val="00851BD4"/>
    <w:rsid w:val="00851DA8"/>
    <w:rsid w:val="00852083"/>
    <w:rsid w:val="00853289"/>
    <w:rsid w:val="00853E80"/>
    <w:rsid w:val="00853FEC"/>
    <w:rsid w:val="0085402B"/>
    <w:rsid w:val="00854249"/>
    <w:rsid w:val="00854512"/>
    <w:rsid w:val="0085455D"/>
    <w:rsid w:val="008546EB"/>
    <w:rsid w:val="00854F50"/>
    <w:rsid w:val="00855760"/>
    <w:rsid w:val="00855A6A"/>
    <w:rsid w:val="00856099"/>
    <w:rsid w:val="008560AB"/>
    <w:rsid w:val="008562FF"/>
    <w:rsid w:val="008566FB"/>
    <w:rsid w:val="00856806"/>
    <w:rsid w:val="0085730C"/>
    <w:rsid w:val="008601EC"/>
    <w:rsid w:val="008606E9"/>
    <w:rsid w:val="00860F31"/>
    <w:rsid w:val="00861CB3"/>
    <w:rsid w:val="008622BC"/>
    <w:rsid w:val="0086269D"/>
    <w:rsid w:val="00862CC5"/>
    <w:rsid w:val="00862DBC"/>
    <w:rsid w:val="008635BD"/>
    <w:rsid w:val="00863BF2"/>
    <w:rsid w:val="00863D1C"/>
    <w:rsid w:val="00863E24"/>
    <w:rsid w:val="008640DB"/>
    <w:rsid w:val="00864737"/>
    <w:rsid w:val="00864B00"/>
    <w:rsid w:val="00864C85"/>
    <w:rsid w:val="0086508C"/>
    <w:rsid w:val="00865EFF"/>
    <w:rsid w:val="008661D5"/>
    <w:rsid w:val="00866751"/>
    <w:rsid w:val="00866A4E"/>
    <w:rsid w:val="00866ADF"/>
    <w:rsid w:val="00866B13"/>
    <w:rsid w:val="008670F0"/>
    <w:rsid w:val="00867544"/>
    <w:rsid w:val="0086796B"/>
    <w:rsid w:val="00867EA2"/>
    <w:rsid w:val="008707A1"/>
    <w:rsid w:val="0087116E"/>
    <w:rsid w:val="00871650"/>
    <w:rsid w:val="008718FD"/>
    <w:rsid w:val="00871D4C"/>
    <w:rsid w:val="00871E23"/>
    <w:rsid w:val="00871E59"/>
    <w:rsid w:val="00872525"/>
    <w:rsid w:val="00872A10"/>
    <w:rsid w:val="008738E9"/>
    <w:rsid w:val="00873C76"/>
    <w:rsid w:val="00874242"/>
    <w:rsid w:val="0087434D"/>
    <w:rsid w:val="008748A4"/>
    <w:rsid w:val="00874E7C"/>
    <w:rsid w:val="008757E1"/>
    <w:rsid w:val="008759E3"/>
    <w:rsid w:val="00875A76"/>
    <w:rsid w:val="00875B59"/>
    <w:rsid w:val="0087667E"/>
    <w:rsid w:val="008767E5"/>
    <w:rsid w:val="00876837"/>
    <w:rsid w:val="00876926"/>
    <w:rsid w:val="008771D2"/>
    <w:rsid w:val="0087773C"/>
    <w:rsid w:val="008778C9"/>
    <w:rsid w:val="00877A96"/>
    <w:rsid w:val="00877D8C"/>
    <w:rsid w:val="00877E09"/>
    <w:rsid w:val="0088017A"/>
    <w:rsid w:val="0088089A"/>
    <w:rsid w:val="00880D9A"/>
    <w:rsid w:val="00880E5E"/>
    <w:rsid w:val="0088151D"/>
    <w:rsid w:val="00881ACE"/>
    <w:rsid w:val="00881F41"/>
    <w:rsid w:val="00881F59"/>
    <w:rsid w:val="008822E1"/>
    <w:rsid w:val="008829B0"/>
    <w:rsid w:val="00882AE3"/>
    <w:rsid w:val="0088355F"/>
    <w:rsid w:val="008837F1"/>
    <w:rsid w:val="00883B46"/>
    <w:rsid w:val="00883C7C"/>
    <w:rsid w:val="00884702"/>
    <w:rsid w:val="00884A21"/>
    <w:rsid w:val="00884C50"/>
    <w:rsid w:val="00885179"/>
    <w:rsid w:val="0088534A"/>
    <w:rsid w:val="00885924"/>
    <w:rsid w:val="00885AA8"/>
    <w:rsid w:val="00885AF7"/>
    <w:rsid w:val="00886E5C"/>
    <w:rsid w:val="00887193"/>
    <w:rsid w:val="008875FE"/>
    <w:rsid w:val="00887894"/>
    <w:rsid w:val="0088795C"/>
    <w:rsid w:val="00887A3C"/>
    <w:rsid w:val="008901DE"/>
    <w:rsid w:val="00890ABA"/>
    <w:rsid w:val="00890BD6"/>
    <w:rsid w:val="00891762"/>
    <w:rsid w:val="00891CFE"/>
    <w:rsid w:val="008921F8"/>
    <w:rsid w:val="008932B1"/>
    <w:rsid w:val="008933E6"/>
    <w:rsid w:val="008934F3"/>
    <w:rsid w:val="00894178"/>
    <w:rsid w:val="00894229"/>
    <w:rsid w:val="00894FB8"/>
    <w:rsid w:val="0089577A"/>
    <w:rsid w:val="00895A8A"/>
    <w:rsid w:val="00895AD8"/>
    <w:rsid w:val="0089693D"/>
    <w:rsid w:val="008969DE"/>
    <w:rsid w:val="00896E7B"/>
    <w:rsid w:val="00896F2B"/>
    <w:rsid w:val="008970A2"/>
    <w:rsid w:val="00897144"/>
    <w:rsid w:val="008977D8"/>
    <w:rsid w:val="008A022D"/>
    <w:rsid w:val="008A09C1"/>
    <w:rsid w:val="008A100A"/>
    <w:rsid w:val="008A132F"/>
    <w:rsid w:val="008A1CE3"/>
    <w:rsid w:val="008A1F35"/>
    <w:rsid w:val="008A2104"/>
    <w:rsid w:val="008A2248"/>
    <w:rsid w:val="008A241D"/>
    <w:rsid w:val="008A3630"/>
    <w:rsid w:val="008A39DB"/>
    <w:rsid w:val="008A41F7"/>
    <w:rsid w:val="008A42AB"/>
    <w:rsid w:val="008A4358"/>
    <w:rsid w:val="008A488A"/>
    <w:rsid w:val="008A4D64"/>
    <w:rsid w:val="008A5405"/>
    <w:rsid w:val="008A5660"/>
    <w:rsid w:val="008A59EA"/>
    <w:rsid w:val="008A5F80"/>
    <w:rsid w:val="008A61A7"/>
    <w:rsid w:val="008A7A70"/>
    <w:rsid w:val="008A7B91"/>
    <w:rsid w:val="008B015B"/>
    <w:rsid w:val="008B01C1"/>
    <w:rsid w:val="008B07B6"/>
    <w:rsid w:val="008B0B4E"/>
    <w:rsid w:val="008B0CA6"/>
    <w:rsid w:val="008B1159"/>
    <w:rsid w:val="008B11A3"/>
    <w:rsid w:val="008B15BE"/>
    <w:rsid w:val="008B162E"/>
    <w:rsid w:val="008B2804"/>
    <w:rsid w:val="008B2EB2"/>
    <w:rsid w:val="008B31B8"/>
    <w:rsid w:val="008B3278"/>
    <w:rsid w:val="008B352B"/>
    <w:rsid w:val="008B3909"/>
    <w:rsid w:val="008B3EBE"/>
    <w:rsid w:val="008B48C2"/>
    <w:rsid w:val="008B4EEC"/>
    <w:rsid w:val="008B5528"/>
    <w:rsid w:val="008B5995"/>
    <w:rsid w:val="008B5C1E"/>
    <w:rsid w:val="008B5F22"/>
    <w:rsid w:val="008B5FA5"/>
    <w:rsid w:val="008B718B"/>
    <w:rsid w:val="008B78EA"/>
    <w:rsid w:val="008B7BC1"/>
    <w:rsid w:val="008B7F6D"/>
    <w:rsid w:val="008C05A8"/>
    <w:rsid w:val="008C0632"/>
    <w:rsid w:val="008C0BC2"/>
    <w:rsid w:val="008C0EEE"/>
    <w:rsid w:val="008C10BC"/>
    <w:rsid w:val="008C13D2"/>
    <w:rsid w:val="008C16B2"/>
    <w:rsid w:val="008C1A68"/>
    <w:rsid w:val="008C1C7C"/>
    <w:rsid w:val="008C1D57"/>
    <w:rsid w:val="008C1FAB"/>
    <w:rsid w:val="008C20C1"/>
    <w:rsid w:val="008C2C5C"/>
    <w:rsid w:val="008C2D4F"/>
    <w:rsid w:val="008C305E"/>
    <w:rsid w:val="008C3202"/>
    <w:rsid w:val="008C369F"/>
    <w:rsid w:val="008C4089"/>
    <w:rsid w:val="008C420A"/>
    <w:rsid w:val="008C4404"/>
    <w:rsid w:val="008C45D2"/>
    <w:rsid w:val="008C4935"/>
    <w:rsid w:val="008C499C"/>
    <w:rsid w:val="008C4BB5"/>
    <w:rsid w:val="008C4D03"/>
    <w:rsid w:val="008C5007"/>
    <w:rsid w:val="008C53F0"/>
    <w:rsid w:val="008C5746"/>
    <w:rsid w:val="008C5B02"/>
    <w:rsid w:val="008C5C4B"/>
    <w:rsid w:val="008C5F02"/>
    <w:rsid w:val="008C6348"/>
    <w:rsid w:val="008C69EC"/>
    <w:rsid w:val="008C6ACD"/>
    <w:rsid w:val="008C788B"/>
    <w:rsid w:val="008C7949"/>
    <w:rsid w:val="008D056A"/>
    <w:rsid w:val="008D1193"/>
    <w:rsid w:val="008D1333"/>
    <w:rsid w:val="008D1C17"/>
    <w:rsid w:val="008D22AF"/>
    <w:rsid w:val="008D23F7"/>
    <w:rsid w:val="008D2913"/>
    <w:rsid w:val="008D351C"/>
    <w:rsid w:val="008D3785"/>
    <w:rsid w:val="008D379B"/>
    <w:rsid w:val="008D399A"/>
    <w:rsid w:val="008D4535"/>
    <w:rsid w:val="008D4847"/>
    <w:rsid w:val="008D5C58"/>
    <w:rsid w:val="008D5DA1"/>
    <w:rsid w:val="008D6182"/>
    <w:rsid w:val="008D63AA"/>
    <w:rsid w:val="008D6E70"/>
    <w:rsid w:val="008D79CB"/>
    <w:rsid w:val="008D7A41"/>
    <w:rsid w:val="008D7AE5"/>
    <w:rsid w:val="008D7E66"/>
    <w:rsid w:val="008D7F95"/>
    <w:rsid w:val="008E0059"/>
    <w:rsid w:val="008E022A"/>
    <w:rsid w:val="008E0CF5"/>
    <w:rsid w:val="008E1658"/>
    <w:rsid w:val="008E17B0"/>
    <w:rsid w:val="008E18C8"/>
    <w:rsid w:val="008E3324"/>
    <w:rsid w:val="008E40C6"/>
    <w:rsid w:val="008E44D1"/>
    <w:rsid w:val="008E49A9"/>
    <w:rsid w:val="008E4B49"/>
    <w:rsid w:val="008E4B5A"/>
    <w:rsid w:val="008E5180"/>
    <w:rsid w:val="008E5501"/>
    <w:rsid w:val="008E5638"/>
    <w:rsid w:val="008E5ACD"/>
    <w:rsid w:val="008E5D33"/>
    <w:rsid w:val="008E5F0D"/>
    <w:rsid w:val="008E5F62"/>
    <w:rsid w:val="008E65C2"/>
    <w:rsid w:val="008E6BB0"/>
    <w:rsid w:val="008E6C24"/>
    <w:rsid w:val="008E6E22"/>
    <w:rsid w:val="008E6FA5"/>
    <w:rsid w:val="008E7383"/>
    <w:rsid w:val="008E76D5"/>
    <w:rsid w:val="008E79AE"/>
    <w:rsid w:val="008E7A67"/>
    <w:rsid w:val="008F0061"/>
    <w:rsid w:val="008F0DCF"/>
    <w:rsid w:val="008F1877"/>
    <w:rsid w:val="008F18DA"/>
    <w:rsid w:val="008F1929"/>
    <w:rsid w:val="008F1AC8"/>
    <w:rsid w:val="008F2A01"/>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73"/>
    <w:rsid w:val="008F61AB"/>
    <w:rsid w:val="008F6565"/>
    <w:rsid w:val="008F66CE"/>
    <w:rsid w:val="008F6A01"/>
    <w:rsid w:val="008F7363"/>
    <w:rsid w:val="008F7675"/>
    <w:rsid w:val="008F7AC8"/>
    <w:rsid w:val="008F7FD2"/>
    <w:rsid w:val="00900880"/>
    <w:rsid w:val="00902CE0"/>
    <w:rsid w:val="00903140"/>
    <w:rsid w:val="0090329C"/>
    <w:rsid w:val="0090381E"/>
    <w:rsid w:val="00904C62"/>
    <w:rsid w:val="009051DE"/>
    <w:rsid w:val="0090564C"/>
    <w:rsid w:val="00905689"/>
    <w:rsid w:val="00906486"/>
    <w:rsid w:val="009067DE"/>
    <w:rsid w:val="00906BBD"/>
    <w:rsid w:val="00906D92"/>
    <w:rsid w:val="00907647"/>
    <w:rsid w:val="009076E6"/>
    <w:rsid w:val="009100C3"/>
    <w:rsid w:val="009111C2"/>
    <w:rsid w:val="009112E4"/>
    <w:rsid w:val="009112ED"/>
    <w:rsid w:val="00911553"/>
    <w:rsid w:val="00911695"/>
    <w:rsid w:val="00911DC1"/>
    <w:rsid w:val="00911DCE"/>
    <w:rsid w:val="009120C2"/>
    <w:rsid w:val="0091243D"/>
    <w:rsid w:val="0091293D"/>
    <w:rsid w:val="00912B38"/>
    <w:rsid w:val="00912D47"/>
    <w:rsid w:val="00913271"/>
    <w:rsid w:val="00913601"/>
    <w:rsid w:val="00914052"/>
    <w:rsid w:val="00914B18"/>
    <w:rsid w:val="00914B26"/>
    <w:rsid w:val="00914C00"/>
    <w:rsid w:val="009155CE"/>
    <w:rsid w:val="009159A9"/>
    <w:rsid w:val="009163CE"/>
    <w:rsid w:val="00916626"/>
    <w:rsid w:val="00916A29"/>
    <w:rsid w:val="0091738D"/>
    <w:rsid w:val="00917D39"/>
    <w:rsid w:val="00920127"/>
    <w:rsid w:val="009201B3"/>
    <w:rsid w:val="009206C8"/>
    <w:rsid w:val="009209D7"/>
    <w:rsid w:val="00920DE1"/>
    <w:rsid w:val="009216CE"/>
    <w:rsid w:val="009229FA"/>
    <w:rsid w:val="00922D32"/>
    <w:rsid w:val="009230A5"/>
    <w:rsid w:val="009234D7"/>
    <w:rsid w:val="00924627"/>
    <w:rsid w:val="00924D44"/>
    <w:rsid w:val="00925259"/>
    <w:rsid w:val="00925574"/>
    <w:rsid w:val="00925970"/>
    <w:rsid w:val="00925A30"/>
    <w:rsid w:val="00925C48"/>
    <w:rsid w:val="00925CBE"/>
    <w:rsid w:val="00925D05"/>
    <w:rsid w:val="00925E57"/>
    <w:rsid w:val="00925F5D"/>
    <w:rsid w:val="00925F64"/>
    <w:rsid w:val="00926216"/>
    <w:rsid w:val="0092647E"/>
    <w:rsid w:val="00926654"/>
    <w:rsid w:val="00926AC4"/>
    <w:rsid w:val="00926D0D"/>
    <w:rsid w:val="00926ED0"/>
    <w:rsid w:val="00926FC5"/>
    <w:rsid w:val="00927AFF"/>
    <w:rsid w:val="009301CD"/>
    <w:rsid w:val="0093044B"/>
    <w:rsid w:val="00930457"/>
    <w:rsid w:val="009307A2"/>
    <w:rsid w:val="00930C11"/>
    <w:rsid w:val="00930D94"/>
    <w:rsid w:val="009311CE"/>
    <w:rsid w:val="00931942"/>
    <w:rsid w:val="00931F07"/>
    <w:rsid w:val="009321A8"/>
    <w:rsid w:val="00932217"/>
    <w:rsid w:val="00932F2E"/>
    <w:rsid w:val="0093472D"/>
    <w:rsid w:val="0093487C"/>
    <w:rsid w:val="00934BF1"/>
    <w:rsid w:val="00934F59"/>
    <w:rsid w:val="00934FA0"/>
    <w:rsid w:val="00936186"/>
    <w:rsid w:val="00936610"/>
    <w:rsid w:val="009367A8"/>
    <w:rsid w:val="00936AE2"/>
    <w:rsid w:val="00936D94"/>
    <w:rsid w:val="00936F31"/>
    <w:rsid w:val="009371B0"/>
    <w:rsid w:val="0093767E"/>
    <w:rsid w:val="00937688"/>
    <w:rsid w:val="00937B07"/>
    <w:rsid w:val="00937B31"/>
    <w:rsid w:val="00940386"/>
    <w:rsid w:val="009403D6"/>
    <w:rsid w:val="009404F6"/>
    <w:rsid w:val="00940E19"/>
    <w:rsid w:val="00940EA3"/>
    <w:rsid w:val="009411BC"/>
    <w:rsid w:val="009414DB"/>
    <w:rsid w:val="00941678"/>
    <w:rsid w:val="0094242A"/>
    <w:rsid w:val="00943148"/>
    <w:rsid w:val="009437D1"/>
    <w:rsid w:val="00945344"/>
    <w:rsid w:val="00945768"/>
    <w:rsid w:val="009457C0"/>
    <w:rsid w:val="00945B54"/>
    <w:rsid w:val="00945F53"/>
    <w:rsid w:val="009462CA"/>
    <w:rsid w:val="0094659E"/>
    <w:rsid w:val="0094776D"/>
    <w:rsid w:val="009477CA"/>
    <w:rsid w:val="00947887"/>
    <w:rsid w:val="00947D66"/>
    <w:rsid w:val="00950094"/>
    <w:rsid w:val="009516AD"/>
    <w:rsid w:val="009517D4"/>
    <w:rsid w:val="00951DAE"/>
    <w:rsid w:val="009522C2"/>
    <w:rsid w:val="0095239A"/>
    <w:rsid w:val="0095270B"/>
    <w:rsid w:val="00952845"/>
    <w:rsid w:val="00953666"/>
    <w:rsid w:val="0095371D"/>
    <w:rsid w:val="00954D40"/>
    <w:rsid w:val="009550DC"/>
    <w:rsid w:val="0095518B"/>
    <w:rsid w:val="009551F9"/>
    <w:rsid w:val="00955581"/>
    <w:rsid w:val="00955AD4"/>
    <w:rsid w:val="00955F74"/>
    <w:rsid w:val="009561DB"/>
    <w:rsid w:val="009569BE"/>
    <w:rsid w:val="009569EE"/>
    <w:rsid w:val="00957196"/>
    <w:rsid w:val="00957560"/>
    <w:rsid w:val="00957F28"/>
    <w:rsid w:val="00957FD7"/>
    <w:rsid w:val="009605EE"/>
    <w:rsid w:val="0096151E"/>
    <w:rsid w:val="0096164C"/>
    <w:rsid w:val="009617E3"/>
    <w:rsid w:val="009618C2"/>
    <w:rsid w:val="00961D53"/>
    <w:rsid w:val="0096216A"/>
    <w:rsid w:val="00962170"/>
    <w:rsid w:val="009622A0"/>
    <w:rsid w:val="0096316A"/>
    <w:rsid w:val="00963768"/>
    <w:rsid w:val="00963DA6"/>
    <w:rsid w:val="00963DAD"/>
    <w:rsid w:val="00964046"/>
    <w:rsid w:val="0096467A"/>
    <w:rsid w:val="00964A3C"/>
    <w:rsid w:val="00964DC6"/>
    <w:rsid w:val="00964E12"/>
    <w:rsid w:val="00965232"/>
    <w:rsid w:val="00965293"/>
    <w:rsid w:val="00965341"/>
    <w:rsid w:val="00965768"/>
    <w:rsid w:val="0096662B"/>
    <w:rsid w:val="00966819"/>
    <w:rsid w:val="00966A90"/>
    <w:rsid w:val="00966B7E"/>
    <w:rsid w:val="00966C8D"/>
    <w:rsid w:val="0096715D"/>
    <w:rsid w:val="009673CB"/>
    <w:rsid w:val="00967583"/>
    <w:rsid w:val="00967D82"/>
    <w:rsid w:val="00970B72"/>
    <w:rsid w:val="00970BF4"/>
    <w:rsid w:val="00970E5C"/>
    <w:rsid w:val="00971952"/>
    <w:rsid w:val="00971FAD"/>
    <w:rsid w:val="009722F9"/>
    <w:rsid w:val="009723D0"/>
    <w:rsid w:val="00972688"/>
    <w:rsid w:val="009726BE"/>
    <w:rsid w:val="00972B11"/>
    <w:rsid w:val="00972D30"/>
    <w:rsid w:val="00973C3A"/>
    <w:rsid w:val="00973D65"/>
    <w:rsid w:val="00974015"/>
    <w:rsid w:val="00974046"/>
    <w:rsid w:val="0097410D"/>
    <w:rsid w:val="009749C2"/>
    <w:rsid w:val="00975862"/>
    <w:rsid w:val="009758DE"/>
    <w:rsid w:val="00975B6A"/>
    <w:rsid w:val="00975D6F"/>
    <w:rsid w:val="009761A4"/>
    <w:rsid w:val="009762BD"/>
    <w:rsid w:val="00976414"/>
    <w:rsid w:val="00976BDB"/>
    <w:rsid w:val="00976DB2"/>
    <w:rsid w:val="00977300"/>
    <w:rsid w:val="00980200"/>
    <w:rsid w:val="00980B29"/>
    <w:rsid w:val="00981341"/>
    <w:rsid w:val="0098151E"/>
    <w:rsid w:val="00981D76"/>
    <w:rsid w:val="00981D79"/>
    <w:rsid w:val="00981EF5"/>
    <w:rsid w:val="00981F56"/>
    <w:rsid w:val="00982D62"/>
    <w:rsid w:val="00982F91"/>
    <w:rsid w:val="00983269"/>
    <w:rsid w:val="00983DBB"/>
    <w:rsid w:val="00983EC1"/>
    <w:rsid w:val="009841A4"/>
    <w:rsid w:val="00986BF7"/>
    <w:rsid w:val="00987B60"/>
    <w:rsid w:val="00987FCD"/>
    <w:rsid w:val="0099021C"/>
    <w:rsid w:val="00990226"/>
    <w:rsid w:val="009903D7"/>
    <w:rsid w:val="0099040C"/>
    <w:rsid w:val="009911D2"/>
    <w:rsid w:val="009914E4"/>
    <w:rsid w:val="00991792"/>
    <w:rsid w:val="009917AB"/>
    <w:rsid w:val="00991B6C"/>
    <w:rsid w:val="00991C6B"/>
    <w:rsid w:val="00992B44"/>
    <w:rsid w:val="00992D40"/>
    <w:rsid w:val="0099325E"/>
    <w:rsid w:val="00993A76"/>
    <w:rsid w:val="00994030"/>
    <w:rsid w:val="00994186"/>
    <w:rsid w:val="0099469B"/>
    <w:rsid w:val="009946EF"/>
    <w:rsid w:val="00994BD6"/>
    <w:rsid w:val="00994FF8"/>
    <w:rsid w:val="00995156"/>
    <w:rsid w:val="00995BF9"/>
    <w:rsid w:val="00995E5E"/>
    <w:rsid w:val="00995E90"/>
    <w:rsid w:val="00995ECD"/>
    <w:rsid w:val="00996075"/>
    <w:rsid w:val="0099648B"/>
    <w:rsid w:val="00996711"/>
    <w:rsid w:val="00997013"/>
    <w:rsid w:val="00997917"/>
    <w:rsid w:val="00997B0A"/>
    <w:rsid w:val="00997EBE"/>
    <w:rsid w:val="009A06BE"/>
    <w:rsid w:val="009A0795"/>
    <w:rsid w:val="009A0B1C"/>
    <w:rsid w:val="009A0DEA"/>
    <w:rsid w:val="009A18CD"/>
    <w:rsid w:val="009A1F29"/>
    <w:rsid w:val="009A200E"/>
    <w:rsid w:val="009A20B2"/>
    <w:rsid w:val="009A214F"/>
    <w:rsid w:val="009A3A69"/>
    <w:rsid w:val="009A3F58"/>
    <w:rsid w:val="009A4329"/>
    <w:rsid w:val="009A468D"/>
    <w:rsid w:val="009A4C7C"/>
    <w:rsid w:val="009A4D67"/>
    <w:rsid w:val="009A5A54"/>
    <w:rsid w:val="009A5B4F"/>
    <w:rsid w:val="009A5F21"/>
    <w:rsid w:val="009A5F71"/>
    <w:rsid w:val="009A6F26"/>
    <w:rsid w:val="009A76D6"/>
    <w:rsid w:val="009A799A"/>
    <w:rsid w:val="009A79E7"/>
    <w:rsid w:val="009A7C7F"/>
    <w:rsid w:val="009A7F69"/>
    <w:rsid w:val="009B09C5"/>
    <w:rsid w:val="009B0A8D"/>
    <w:rsid w:val="009B16BE"/>
    <w:rsid w:val="009B179C"/>
    <w:rsid w:val="009B18DC"/>
    <w:rsid w:val="009B19A6"/>
    <w:rsid w:val="009B1BA9"/>
    <w:rsid w:val="009B1FD5"/>
    <w:rsid w:val="009B2588"/>
    <w:rsid w:val="009B298E"/>
    <w:rsid w:val="009B393E"/>
    <w:rsid w:val="009B3B32"/>
    <w:rsid w:val="009B3BC2"/>
    <w:rsid w:val="009B3E30"/>
    <w:rsid w:val="009B4C36"/>
    <w:rsid w:val="009B4DB4"/>
    <w:rsid w:val="009B537F"/>
    <w:rsid w:val="009B55E2"/>
    <w:rsid w:val="009B5C02"/>
    <w:rsid w:val="009B6367"/>
    <w:rsid w:val="009B6718"/>
    <w:rsid w:val="009B6844"/>
    <w:rsid w:val="009B6896"/>
    <w:rsid w:val="009B6EE2"/>
    <w:rsid w:val="009C0441"/>
    <w:rsid w:val="009C0A91"/>
    <w:rsid w:val="009C0B5A"/>
    <w:rsid w:val="009C1092"/>
    <w:rsid w:val="009C11FF"/>
    <w:rsid w:val="009C13DB"/>
    <w:rsid w:val="009C18B1"/>
    <w:rsid w:val="009C1A55"/>
    <w:rsid w:val="009C24EB"/>
    <w:rsid w:val="009C2EFA"/>
    <w:rsid w:val="009C321D"/>
    <w:rsid w:val="009C35D2"/>
    <w:rsid w:val="009C38F3"/>
    <w:rsid w:val="009C3E45"/>
    <w:rsid w:val="009C426F"/>
    <w:rsid w:val="009C457F"/>
    <w:rsid w:val="009C4904"/>
    <w:rsid w:val="009C4BB8"/>
    <w:rsid w:val="009C4BB9"/>
    <w:rsid w:val="009C4C53"/>
    <w:rsid w:val="009C4D9A"/>
    <w:rsid w:val="009C4DCB"/>
    <w:rsid w:val="009C5050"/>
    <w:rsid w:val="009C56F2"/>
    <w:rsid w:val="009C5C6E"/>
    <w:rsid w:val="009C62A4"/>
    <w:rsid w:val="009C6546"/>
    <w:rsid w:val="009C65D6"/>
    <w:rsid w:val="009C6FA5"/>
    <w:rsid w:val="009C7858"/>
    <w:rsid w:val="009C78B1"/>
    <w:rsid w:val="009C78BD"/>
    <w:rsid w:val="009C79BE"/>
    <w:rsid w:val="009C7AA7"/>
    <w:rsid w:val="009C7C98"/>
    <w:rsid w:val="009C7E3B"/>
    <w:rsid w:val="009D02AE"/>
    <w:rsid w:val="009D0702"/>
    <w:rsid w:val="009D07FE"/>
    <w:rsid w:val="009D0A47"/>
    <w:rsid w:val="009D0C70"/>
    <w:rsid w:val="009D1060"/>
    <w:rsid w:val="009D2302"/>
    <w:rsid w:val="009D2D7F"/>
    <w:rsid w:val="009D31E0"/>
    <w:rsid w:val="009D5483"/>
    <w:rsid w:val="009D5555"/>
    <w:rsid w:val="009D56ED"/>
    <w:rsid w:val="009D5AB3"/>
    <w:rsid w:val="009D612C"/>
    <w:rsid w:val="009D638E"/>
    <w:rsid w:val="009D673A"/>
    <w:rsid w:val="009D6CA6"/>
    <w:rsid w:val="009D7659"/>
    <w:rsid w:val="009D7DE0"/>
    <w:rsid w:val="009E0259"/>
    <w:rsid w:val="009E0347"/>
    <w:rsid w:val="009E0561"/>
    <w:rsid w:val="009E057F"/>
    <w:rsid w:val="009E062A"/>
    <w:rsid w:val="009E0C81"/>
    <w:rsid w:val="009E1A69"/>
    <w:rsid w:val="009E1D6F"/>
    <w:rsid w:val="009E1D84"/>
    <w:rsid w:val="009E1DB0"/>
    <w:rsid w:val="009E2269"/>
    <w:rsid w:val="009E22B9"/>
    <w:rsid w:val="009E2CE2"/>
    <w:rsid w:val="009E3E79"/>
    <w:rsid w:val="009E484E"/>
    <w:rsid w:val="009E4CA5"/>
    <w:rsid w:val="009E4CBE"/>
    <w:rsid w:val="009E4E5E"/>
    <w:rsid w:val="009E5220"/>
    <w:rsid w:val="009E5538"/>
    <w:rsid w:val="009E579F"/>
    <w:rsid w:val="009E589A"/>
    <w:rsid w:val="009E5D4D"/>
    <w:rsid w:val="009E5D7C"/>
    <w:rsid w:val="009E5FD7"/>
    <w:rsid w:val="009E66CE"/>
    <w:rsid w:val="009E71B8"/>
    <w:rsid w:val="009E71FD"/>
    <w:rsid w:val="009E7733"/>
    <w:rsid w:val="009E78DE"/>
    <w:rsid w:val="009E7999"/>
    <w:rsid w:val="009E79F9"/>
    <w:rsid w:val="009E7D20"/>
    <w:rsid w:val="009E7D48"/>
    <w:rsid w:val="009E7E37"/>
    <w:rsid w:val="009F052D"/>
    <w:rsid w:val="009F0602"/>
    <w:rsid w:val="009F0B65"/>
    <w:rsid w:val="009F0D42"/>
    <w:rsid w:val="009F1475"/>
    <w:rsid w:val="009F1BFE"/>
    <w:rsid w:val="009F1CB7"/>
    <w:rsid w:val="009F21D3"/>
    <w:rsid w:val="009F2916"/>
    <w:rsid w:val="009F4745"/>
    <w:rsid w:val="009F48CA"/>
    <w:rsid w:val="009F4F0A"/>
    <w:rsid w:val="009F4FC3"/>
    <w:rsid w:val="009F54BC"/>
    <w:rsid w:val="009F55A9"/>
    <w:rsid w:val="009F585A"/>
    <w:rsid w:val="009F5B4D"/>
    <w:rsid w:val="009F6759"/>
    <w:rsid w:val="009F6778"/>
    <w:rsid w:val="009F6BCC"/>
    <w:rsid w:val="009F6C7F"/>
    <w:rsid w:val="00A000BB"/>
    <w:rsid w:val="00A00214"/>
    <w:rsid w:val="00A002D4"/>
    <w:rsid w:val="00A003A8"/>
    <w:rsid w:val="00A01C06"/>
    <w:rsid w:val="00A01C2E"/>
    <w:rsid w:val="00A01F89"/>
    <w:rsid w:val="00A0203D"/>
    <w:rsid w:val="00A022BF"/>
    <w:rsid w:val="00A023D1"/>
    <w:rsid w:val="00A02A1B"/>
    <w:rsid w:val="00A02C2D"/>
    <w:rsid w:val="00A02ECD"/>
    <w:rsid w:val="00A02FD8"/>
    <w:rsid w:val="00A0370C"/>
    <w:rsid w:val="00A03A2A"/>
    <w:rsid w:val="00A03AEC"/>
    <w:rsid w:val="00A03F76"/>
    <w:rsid w:val="00A04186"/>
    <w:rsid w:val="00A0425F"/>
    <w:rsid w:val="00A04F15"/>
    <w:rsid w:val="00A0510D"/>
    <w:rsid w:val="00A053D6"/>
    <w:rsid w:val="00A05583"/>
    <w:rsid w:val="00A05953"/>
    <w:rsid w:val="00A06091"/>
    <w:rsid w:val="00A060B1"/>
    <w:rsid w:val="00A06696"/>
    <w:rsid w:val="00A067E0"/>
    <w:rsid w:val="00A06C66"/>
    <w:rsid w:val="00A074CF"/>
    <w:rsid w:val="00A075A0"/>
    <w:rsid w:val="00A0768A"/>
    <w:rsid w:val="00A07E1F"/>
    <w:rsid w:val="00A107A1"/>
    <w:rsid w:val="00A10F13"/>
    <w:rsid w:val="00A1105F"/>
    <w:rsid w:val="00A1138B"/>
    <w:rsid w:val="00A115E5"/>
    <w:rsid w:val="00A11776"/>
    <w:rsid w:val="00A11BB7"/>
    <w:rsid w:val="00A121E0"/>
    <w:rsid w:val="00A122E0"/>
    <w:rsid w:val="00A124D0"/>
    <w:rsid w:val="00A125B6"/>
    <w:rsid w:val="00A12D04"/>
    <w:rsid w:val="00A12DAC"/>
    <w:rsid w:val="00A1370E"/>
    <w:rsid w:val="00A13DB5"/>
    <w:rsid w:val="00A13E04"/>
    <w:rsid w:val="00A141EB"/>
    <w:rsid w:val="00A1426F"/>
    <w:rsid w:val="00A1436B"/>
    <w:rsid w:val="00A1444B"/>
    <w:rsid w:val="00A14C99"/>
    <w:rsid w:val="00A1519E"/>
    <w:rsid w:val="00A1555D"/>
    <w:rsid w:val="00A16192"/>
    <w:rsid w:val="00A16595"/>
    <w:rsid w:val="00A166A8"/>
    <w:rsid w:val="00A16A45"/>
    <w:rsid w:val="00A16B43"/>
    <w:rsid w:val="00A171AD"/>
    <w:rsid w:val="00A172C0"/>
    <w:rsid w:val="00A17397"/>
    <w:rsid w:val="00A176DE"/>
    <w:rsid w:val="00A17CC8"/>
    <w:rsid w:val="00A20D90"/>
    <w:rsid w:val="00A20DBD"/>
    <w:rsid w:val="00A210EA"/>
    <w:rsid w:val="00A216B5"/>
    <w:rsid w:val="00A22391"/>
    <w:rsid w:val="00A22743"/>
    <w:rsid w:val="00A22C7A"/>
    <w:rsid w:val="00A23074"/>
    <w:rsid w:val="00A237BA"/>
    <w:rsid w:val="00A2388B"/>
    <w:rsid w:val="00A24194"/>
    <w:rsid w:val="00A24520"/>
    <w:rsid w:val="00A249C9"/>
    <w:rsid w:val="00A24D06"/>
    <w:rsid w:val="00A252DA"/>
    <w:rsid w:val="00A254DD"/>
    <w:rsid w:val="00A25585"/>
    <w:rsid w:val="00A2661C"/>
    <w:rsid w:val="00A2695B"/>
    <w:rsid w:val="00A269C8"/>
    <w:rsid w:val="00A26B16"/>
    <w:rsid w:val="00A2712B"/>
    <w:rsid w:val="00A274A2"/>
    <w:rsid w:val="00A27605"/>
    <w:rsid w:val="00A27650"/>
    <w:rsid w:val="00A27D35"/>
    <w:rsid w:val="00A30652"/>
    <w:rsid w:val="00A3069F"/>
    <w:rsid w:val="00A30991"/>
    <w:rsid w:val="00A30AB8"/>
    <w:rsid w:val="00A30ABB"/>
    <w:rsid w:val="00A30BFC"/>
    <w:rsid w:val="00A317A2"/>
    <w:rsid w:val="00A31AF3"/>
    <w:rsid w:val="00A323D3"/>
    <w:rsid w:val="00A325DB"/>
    <w:rsid w:val="00A327A0"/>
    <w:rsid w:val="00A32E99"/>
    <w:rsid w:val="00A33956"/>
    <w:rsid w:val="00A33D31"/>
    <w:rsid w:val="00A33F74"/>
    <w:rsid w:val="00A34A6C"/>
    <w:rsid w:val="00A34FAC"/>
    <w:rsid w:val="00A350EB"/>
    <w:rsid w:val="00A3514D"/>
    <w:rsid w:val="00A35E7C"/>
    <w:rsid w:val="00A364FB"/>
    <w:rsid w:val="00A366AF"/>
    <w:rsid w:val="00A36758"/>
    <w:rsid w:val="00A36B74"/>
    <w:rsid w:val="00A36CEA"/>
    <w:rsid w:val="00A37251"/>
    <w:rsid w:val="00A375B4"/>
    <w:rsid w:val="00A40546"/>
    <w:rsid w:val="00A40B40"/>
    <w:rsid w:val="00A41B1B"/>
    <w:rsid w:val="00A41C31"/>
    <w:rsid w:val="00A41C51"/>
    <w:rsid w:val="00A42162"/>
    <w:rsid w:val="00A424BD"/>
    <w:rsid w:val="00A42C6B"/>
    <w:rsid w:val="00A42D02"/>
    <w:rsid w:val="00A42FBF"/>
    <w:rsid w:val="00A439A9"/>
    <w:rsid w:val="00A43CF5"/>
    <w:rsid w:val="00A454BB"/>
    <w:rsid w:val="00A4558B"/>
    <w:rsid w:val="00A455A7"/>
    <w:rsid w:val="00A459DB"/>
    <w:rsid w:val="00A45F1D"/>
    <w:rsid w:val="00A472AD"/>
    <w:rsid w:val="00A47384"/>
    <w:rsid w:val="00A47CA0"/>
    <w:rsid w:val="00A504A9"/>
    <w:rsid w:val="00A5052D"/>
    <w:rsid w:val="00A50F81"/>
    <w:rsid w:val="00A5115F"/>
    <w:rsid w:val="00A51FB7"/>
    <w:rsid w:val="00A521C1"/>
    <w:rsid w:val="00A528B5"/>
    <w:rsid w:val="00A52BBE"/>
    <w:rsid w:val="00A5304E"/>
    <w:rsid w:val="00A53668"/>
    <w:rsid w:val="00A53BB2"/>
    <w:rsid w:val="00A53D23"/>
    <w:rsid w:val="00A53D25"/>
    <w:rsid w:val="00A54957"/>
    <w:rsid w:val="00A54FD5"/>
    <w:rsid w:val="00A554A5"/>
    <w:rsid w:val="00A55A3C"/>
    <w:rsid w:val="00A55A89"/>
    <w:rsid w:val="00A55B5D"/>
    <w:rsid w:val="00A55B77"/>
    <w:rsid w:val="00A55C2A"/>
    <w:rsid w:val="00A55C5D"/>
    <w:rsid w:val="00A56255"/>
    <w:rsid w:val="00A56614"/>
    <w:rsid w:val="00A56F17"/>
    <w:rsid w:val="00A579FF"/>
    <w:rsid w:val="00A57BB5"/>
    <w:rsid w:val="00A604B0"/>
    <w:rsid w:val="00A607B1"/>
    <w:rsid w:val="00A60976"/>
    <w:rsid w:val="00A60C76"/>
    <w:rsid w:val="00A60FE8"/>
    <w:rsid w:val="00A619F0"/>
    <w:rsid w:val="00A61D9E"/>
    <w:rsid w:val="00A623EC"/>
    <w:rsid w:val="00A625AD"/>
    <w:rsid w:val="00A625BC"/>
    <w:rsid w:val="00A62F24"/>
    <w:rsid w:val="00A63258"/>
    <w:rsid w:val="00A63FD2"/>
    <w:rsid w:val="00A647E9"/>
    <w:rsid w:val="00A64865"/>
    <w:rsid w:val="00A64D40"/>
    <w:rsid w:val="00A6519A"/>
    <w:rsid w:val="00A651B6"/>
    <w:rsid w:val="00A659C8"/>
    <w:rsid w:val="00A65A03"/>
    <w:rsid w:val="00A66135"/>
    <w:rsid w:val="00A666A2"/>
    <w:rsid w:val="00A6702C"/>
    <w:rsid w:val="00A6717D"/>
    <w:rsid w:val="00A677F3"/>
    <w:rsid w:val="00A67A8B"/>
    <w:rsid w:val="00A67C49"/>
    <w:rsid w:val="00A71101"/>
    <w:rsid w:val="00A7113E"/>
    <w:rsid w:val="00A714E6"/>
    <w:rsid w:val="00A71977"/>
    <w:rsid w:val="00A71C1F"/>
    <w:rsid w:val="00A71E23"/>
    <w:rsid w:val="00A7221D"/>
    <w:rsid w:val="00A7352B"/>
    <w:rsid w:val="00A73586"/>
    <w:rsid w:val="00A736FF"/>
    <w:rsid w:val="00A739B8"/>
    <w:rsid w:val="00A73F44"/>
    <w:rsid w:val="00A749C1"/>
    <w:rsid w:val="00A749C4"/>
    <w:rsid w:val="00A74F77"/>
    <w:rsid w:val="00A75614"/>
    <w:rsid w:val="00A75655"/>
    <w:rsid w:val="00A75916"/>
    <w:rsid w:val="00A75CAB"/>
    <w:rsid w:val="00A75EB2"/>
    <w:rsid w:val="00A76730"/>
    <w:rsid w:val="00A76D2D"/>
    <w:rsid w:val="00A76DC2"/>
    <w:rsid w:val="00A76FDC"/>
    <w:rsid w:val="00A7711C"/>
    <w:rsid w:val="00A771E6"/>
    <w:rsid w:val="00A77248"/>
    <w:rsid w:val="00A773B5"/>
    <w:rsid w:val="00A774E3"/>
    <w:rsid w:val="00A77802"/>
    <w:rsid w:val="00A77AD9"/>
    <w:rsid w:val="00A77E8F"/>
    <w:rsid w:val="00A800DF"/>
    <w:rsid w:val="00A800EF"/>
    <w:rsid w:val="00A808A4"/>
    <w:rsid w:val="00A8268E"/>
    <w:rsid w:val="00A835D3"/>
    <w:rsid w:val="00A83692"/>
    <w:rsid w:val="00A837CF"/>
    <w:rsid w:val="00A83846"/>
    <w:rsid w:val="00A83A46"/>
    <w:rsid w:val="00A83AB1"/>
    <w:rsid w:val="00A845C6"/>
    <w:rsid w:val="00A8491B"/>
    <w:rsid w:val="00A84B6A"/>
    <w:rsid w:val="00A84D71"/>
    <w:rsid w:val="00A84F75"/>
    <w:rsid w:val="00A85C09"/>
    <w:rsid w:val="00A86604"/>
    <w:rsid w:val="00A86E5D"/>
    <w:rsid w:val="00A86EA2"/>
    <w:rsid w:val="00A87073"/>
    <w:rsid w:val="00A87409"/>
    <w:rsid w:val="00A8756C"/>
    <w:rsid w:val="00A875DE"/>
    <w:rsid w:val="00A87D00"/>
    <w:rsid w:val="00A87FC0"/>
    <w:rsid w:val="00A906C2"/>
    <w:rsid w:val="00A9079F"/>
    <w:rsid w:val="00A9081A"/>
    <w:rsid w:val="00A90A8A"/>
    <w:rsid w:val="00A90C9F"/>
    <w:rsid w:val="00A90F81"/>
    <w:rsid w:val="00A9110E"/>
    <w:rsid w:val="00A91CA6"/>
    <w:rsid w:val="00A91D72"/>
    <w:rsid w:val="00A92965"/>
    <w:rsid w:val="00A92CA0"/>
    <w:rsid w:val="00A93153"/>
    <w:rsid w:val="00A93953"/>
    <w:rsid w:val="00A93E15"/>
    <w:rsid w:val="00A9568C"/>
    <w:rsid w:val="00A95A0B"/>
    <w:rsid w:val="00A95B30"/>
    <w:rsid w:val="00A95E14"/>
    <w:rsid w:val="00A95FC4"/>
    <w:rsid w:val="00A962D8"/>
    <w:rsid w:val="00A963E4"/>
    <w:rsid w:val="00A96E14"/>
    <w:rsid w:val="00A96E94"/>
    <w:rsid w:val="00A96FF3"/>
    <w:rsid w:val="00A97F3D"/>
    <w:rsid w:val="00A97F8B"/>
    <w:rsid w:val="00AA0109"/>
    <w:rsid w:val="00AA054C"/>
    <w:rsid w:val="00AA0586"/>
    <w:rsid w:val="00AA1106"/>
    <w:rsid w:val="00AA13CD"/>
    <w:rsid w:val="00AA1626"/>
    <w:rsid w:val="00AA1924"/>
    <w:rsid w:val="00AA1928"/>
    <w:rsid w:val="00AA1B3E"/>
    <w:rsid w:val="00AA23A3"/>
    <w:rsid w:val="00AA253D"/>
    <w:rsid w:val="00AA3130"/>
    <w:rsid w:val="00AA34D0"/>
    <w:rsid w:val="00AA3A4C"/>
    <w:rsid w:val="00AA3B99"/>
    <w:rsid w:val="00AA3FAF"/>
    <w:rsid w:val="00AA4425"/>
    <w:rsid w:val="00AA470F"/>
    <w:rsid w:val="00AA4BD1"/>
    <w:rsid w:val="00AA59C0"/>
    <w:rsid w:val="00AA5A3F"/>
    <w:rsid w:val="00AA5F33"/>
    <w:rsid w:val="00AA6133"/>
    <w:rsid w:val="00AA61BF"/>
    <w:rsid w:val="00AA62A7"/>
    <w:rsid w:val="00AA64B2"/>
    <w:rsid w:val="00AA66FA"/>
    <w:rsid w:val="00AA6B61"/>
    <w:rsid w:val="00AA74EC"/>
    <w:rsid w:val="00AA7761"/>
    <w:rsid w:val="00AA7834"/>
    <w:rsid w:val="00AA788C"/>
    <w:rsid w:val="00AA7C8B"/>
    <w:rsid w:val="00AA7EFB"/>
    <w:rsid w:val="00AB042A"/>
    <w:rsid w:val="00AB0F54"/>
    <w:rsid w:val="00AB0FF0"/>
    <w:rsid w:val="00AB10CC"/>
    <w:rsid w:val="00AB19C4"/>
    <w:rsid w:val="00AB1A5F"/>
    <w:rsid w:val="00AB1B9D"/>
    <w:rsid w:val="00AB2F9E"/>
    <w:rsid w:val="00AB395B"/>
    <w:rsid w:val="00AB3A3F"/>
    <w:rsid w:val="00AB3F07"/>
    <w:rsid w:val="00AB40AD"/>
    <w:rsid w:val="00AB43C5"/>
    <w:rsid w:val="00AB46DE"/>
    <w:rsid w:val="00AB4792"/>
    <w:rsid w:val="00AB4D48"/>
    <w:rsid w:val="00AB4EA9"/>
    <w:rsid w:val="00AB5638"/>
    <w:rsid w:val="00AB5786"/>
    <w:rsid w:val="00AB57D0"/>
    <w:rsid w:val="00AB5E55"/>
    <w:rsid w:val="00AB5F99"/>
    <w:rsid w:val="00AB6451"/>
    <w:rsid w:val="00AB6AFC"/>
    <w:rsid w:val="00AB6EC0"/>
    <w:rsid w:val="00AC02E8"/>
    <w:rsid w:val="00AC03AC"/>
    <w:rsid w:val="00AC0426"/>
    <w:rsid w:val="00AC04D1"/>
    <w:rsid w:val="00AC0D6F"/>
    <w:rsid w:val="00AC0E2A"/>
    <w:rsid w:val="00AC12BF"/>
    <w:rsid w:val="00AC163F"/>
    <w:rsid w:val="00AC19B7"/>
    <w:rsid w:val="00AC1C63"/>
    <w:rsid w:val="00AC2022"/>
    <w:rsid w:val="00AC213C"/>
    <w:rsid w:val="00AC2362"/>
    <w:rsid w:val="00AC2A46"/>
    <w:rsid w:val="00AC2D47"/>
    <w:rsid w:val="00AC3486"/>
    <w:rsid w:val="00AC3D2C"/>
    <w:rsid w:val="00AC430B"/>
    <w:rsid w:val="00AC454C"/>
    <w:rsid w:val="00AC4823"/>
    <w:rsid w:val="00AC5413"/>
    <w:rsid w:val="00AC5547"/>
    <w:rsid w:val="00AC5745"/>
    <w:rsid w:val="00AC5AFF"/>
    <w:rsid w:val="00AC5C62"/>
    <w:rsid w:val="00AC624B"/>
    <w:rsid w:val="00AC64C7"/>
    <w:rsid w:val="00AC6A0A"/>
    <w:rsid w:val="00AC6BF6"/>
    <w:rsid w:val="00AC7046"/>
    <w:rsid w:val="00AC7416"/>
    <w:rsid w:val="00AC7675"/>
    <w:rsid w:val="00AC77FB"/>
    <w:rsid w:val="00AC79CA"/>
    <w:rsid w:val="00AC7C25"/>
    <w:rsid w:val="00AC7F78"/>
    <w:rsid w:val="00AD09D5"/>
    <w:rsid w:val="00AD09FB"/>
    <w:rsid w:val="00AD0D65"/>
    <w:rsid w:val="00AD1269"/>
    <w:rsid w:val="00AD1366"/>
    <w:rsid w:val="00AD22F3"/>
    <w:rsid w:val="00AD2A4D"/>
    <w:rsid w:val="00AD39A0"/>
    <w:rsid w:val="00AD3BB6"/>
    <w:rsid w:val="00AD3C97"/>
    <w:rsid w:val="00AD3ED4"/>
    <w:rsid w:val="00AD4500"/>
    <w:rsid w:val="00AD47A4"/>
    <w:rsid w:val="00AD4E6B"/>
    <w:rsid w:val="00AD4E98"/>
    <w:rsid w:val="00AD519B"/>
    <w:rsid w:val="00AD545E"/>
    <w:rsid w:val="00AD5657"/>
    <w:rsid w:val="00AD5BF9"/>
    <w:rsid w:val="00AD5DF8"/>
    <w:rsid w:val="00AD5EDA"/>
    <w:rsid w:val="00AD66B0"/>
    <w:rsid w:val="00AD7536"/>
    <w:rsid w:val="00AD7996"/>
    <w:rsid w:val="00AD7FEA"/>
    <w:rsid w:val="00AE0A09"/>
    <w:rsid w:val="00AE0E6C"/>
    <w:rsid w:val="00AE1692"/>
    <w:rsid w:val="00AE19F0"/>
    <w:rsid w:val="00AE30FC"/>
    <w:rsid w:val="00AE3AAB"/>
    <w:rsid w:val="00AE3BA9"/>
    <w:rsid w:val="00AE3C64"/>
    <w:rsid w:val="00AE488A"/>
    <w:rsid w:val="00AE4BC2"/>
    <w:rsid w:val="00AE532F"/>
    <w:rsid w:val="00AE5394"/>
    <w:rsid w:val="00AE557D"/>
    <w:rsid w:val="00AE55B7"/>
    <w:rsid w:val="00AE5A41"/>
    <w:rsid w:val="00AE5BC3"/>
    <w:rsid w:val="00AE601D"/>
    <w:rsid w:val="00AE60F7"/>
    <w:rsid w:val="00AE6498"/>
    <w:rsid w:val="00AE6BB4"/>
    <w:rsid w:val="00AE6F00"/>
    <w:rsid w:val="00AE758A"/>
    <w:rsid w:val="00AE7937"/>
    <w:rsid w:val="00AE7B5C"/>
    <w:rsid w:val="00AF11F7"/>
    <w:rsid w:val="00AF13D5"/>
    <w:rsid w:val="00AF1DA5"/>
    <w:rsid w:val="00AF1E22"/>
    <w:rsid w:val="00AF2D07"/>
    <w:rsid w:val="00AF3171"/>
    <w:rsid w:val="00AF3255"/>
    <w:rsid w:val="00AF3AD0"/>
    <w:rsid w:val="00AF417D"/>
    <w:rsid w:val="00AF4366"/>
    <w:rsid w:val="00AF43FA"/>
    <w:rsid w:val="00AF4DDB"/>
    <w:rsid w:val="00AF55C7"/>
    <w:rsid w:val="00AF5CF3"/>
    <w:rsid w:val="00AF6A5B"/>
    <w:rsid w:val="00AF725C"/>
    <w:rsid w:val="00AF7550"/>
    <w:rsid w:val="00AF7C82"/>
    <w:rsid w:val="00AF7E1A"/>
    <w:rsid w:val="00AF7F5F"/>
    <w:rsid w:val="00B00270"/>
    <w:rsid w:val="00B019A1"/>
    <w:rsid w:val="00B01F70"/>
    <w:rsid w:val="00B02230"/>
    <w:rsid w:val="00B023FD"/>
    <w:rsid w:val="00B02528"/>
    <w:rsid w:val="00B0295F"/>
    <w:rsid w:val="00B02F4C"/>
    <w:rsid w:val="00B03066"/>
    <w:rsid w:val="00B03C15"/>
    <w:rsid w:val="00B03C69"/>
    <w:rsid w:val="00B03FA5"/>
    <w:rsid w:val="00B04019"/>
    <w:rsid w:val="00B047D7"/>
    <w:rsid w:val="00B04822"/>
    <w:rsid w:val="00B04BF4"/>
    <w:rsid w:val="00B04E1A"/>
    <w:rsid w:val="00B057B4"/>
    <w:rsid w:val="00B05E25"/>
    <w:rsid w:val="00B05FBD"/>
    <w:rsid w:val="00B060B1"/>
    <w:rsid w:val="00B062DD"/>
    <w:rsid w:val="00B063B4"/>
    <w:rsid w:val="00B06851"/>
    <w:rsid w:val="00B068D7"/>
    <w:rsid w:val="00B06DDE"/>
    <w:rsid w:val="00B06EC0"/>
    <w:rsid w:val="00B0713C"/>
    <w:rsid w:val="00B0767E"/>
    <w:rsid w:val="00B076F0"/>
    <w:rsid w:val="00B07C2E"/>
    <w:rsid w:val="00B10772"/>
    <w:rsid w:val="00B110CA"/>
    <w:rsid w:val="00B11212"/>
    <w:rsid w:val="00B11B25"/>
    <w:rsid w:val="00B11BBF"/>
    <w:rsid w:val="00B11D2D"/>
    <w:rsid w:val="00B1203A"/>
    <w:rsid w:val="00B12286"/>
    <w:rsid w:val="00B12307"/>
    <w:rsid w:val="00B1250E"/>
    <w:rsid w:val="00B129B4"/>
    <w:rsid w:val="00B12F69"/>
    <w:rsid w:val="00B12F7F"/>
    <w:rsid w:val="00B12FB1"/>
    <w:rsid w:val="00B13234"/>
    <w:rsid w:val="00B13A5A"/>
    <w:rsid w:val="00B13D19"/>
    <w:rsid w:val="00B13D1C"/>
    <w:rsid w:val="00B13D56"/>
    <w:rsid w:val="00B1437B"/>
    <w:rsid w:val="00B14826"/>
    <w:rsid w:val="00B14AF3"/>
    <w:rsid w:val="00B14C86"/>
    <w:rsid w:val="00B14DA0"/>
    <w:rsid w:val="00B152DA"/>
    <w:rsid w:val="00B16204"/>
    <w:rsid w:val="00B1664F"/>
    <w:rsid w:val="00B16666"/>
    <w:rsid w:val="00B16B21"/>
    <w:rsid w:val="00B17011"/>
    <w:rsid w:val="00B173A5"/>
    <w:rsid w:val="00B17C3C"/>
    <w:rsid w:val="00B205ED"/>
    <w:rsid w:val="00B208D1"/>
    <w:rsid w:val="00B20F4A"/>
    <w:rsid w:val="00B21279"/>
    <w:rsid w:val="00B21524"/>
    <w:rsid w:val="00B217D7"/>
    <w:rsid w:val="00B2258B"/>
    <w:rsid w:val="00B2260E"/>
    <w:rsid w:val="00B229D9"/>
    <w:rsid w:val="00B22B35"/>
    <w:rsid w:val="00B22C36"/>
    <w:rsid w:val="00B23AEE"/>
    <w:rsid w:val="00B23CF4"/>
    <w:rsid w:val="00B23E0B"/>
    <w:rsid w:val="00B24372"/>
    <w:rsid w:val="00B2474C"/>
    <w:rsid w:val="00B2480B"/>
    <w:rsid w:val="00B24BC2"/>
    <w:rsid w:val="00B24CC0"/>
    <w:rsid w:val="00B24FB6"/>
    <w:rsid w:val="00B259F5"/>
    <w:rsid w:val="00B25A17"/>
    <w:rsid w:val="00B26206"/>
    <w:rsid w:val="00B262AA"/>
    <w:rsid w:val="00B263E1"/>
    <w:rsid w:val="00B2667D"/>
    <w:rsid w:val="00B26BA1"/>
    <w:rsid w:val="00B27E55"/>
    <w:rsid w:val="00B30561"/>
    <w:rsid w:val="00B3067D"/>
    <w:rsid w:val="00B30A6F"/>
    <w:rsid w:val="00B30C68"/>
    <w:rsid w:val="00B312FA"/>
    <w:rsid w:val="00B31C38"/>
    <w:rsid w:val="00B320ED"/>
    <w:rsid w:val="00B32380"/>
    <w:rsid w:val="00B32448"/>
    <w:rsid w:val="00B3292E"/>
    <w:rsid w:val="00B32BAA"/>
    <w:rsid w:val="00B32EB0"/>
    <w:rsid w:val="00B331A6"/>
    <w:rsid w:val="00B335D7"/>
    <w:rsid w:val="00B33C08"/>
    <w:rsid w:val="00B33CBA"/>
    <w:rsid w:val="00B34EEA"/>
    <w:rsid w:val="00B35073"/>
    <w:rsid w:val="00B35520"/>
    <w:rsid w:val="00B35BC2"/>
    <w:rsid w:val="00B361B3"/>
    <w:rsid w:val="00B36669"/>
    <w:rsid w:val="00B36CB4"/>
    <w:rsid w:val="00B3743E"/>
    <w:rsid w:val="00B37F85"/>
    <w:rsid w:val="00B400D2"/>
    <w:rsid w:val="00B400E8"/>
    <w:rsid w:val="00B40255"/>
    <w:rsid w:val="00B4066D"/>
    <w:rsid w:val="00B4184A"/>
    <w:rsid w:val="00B41875"/>
    <w:rsid w:val="00B41B89"/>
    <w:rsid w:val="00B41F3E"/>
    <w:rsid w:val="00B431F3"/>
    <w:rsid w:val="00B433EB"/>
    <w:rsid w:val="00B43CD0"/>
    <w:rsid w:val="00B43D0D"/>
    <w:rsid w:val="00B442F1"/>
    <w:rsid w:val="00B445BC"/>
    <w:rsid w:val="00B45C3C"/>
    <w:rsid w:val="00B45FA1"/>
    <w:rsid w:val="00B4610E"/>
    <w:rsid w:val="00B461D8"/>
    <w:rsid w:val="00B4624C"/>
    <w:rsid w:val="00B4718A"/>
    <w:rsid w:val="00B47431"/>
    <w:rsid w:val="00B47727"/>
    <w:rsid w:val="00B47968"/>
    <w:rsid w:val="00B47BF6"/>
    <w:rsid w:val="00B47ED7"/>
    <w:rsid w:val="00B502D8"/>
    <w:rsid w:val="00B50605"/>
    <w:rsid w:val="00B5078B"/>
    <w:rsid w:val="00B50D6D"/>
    <w:rsid w:val="00B514CE"/>
    <w:rsid w:val="00B5229B"/>
    <w:rsid w:val="00B527CA"/>
    <w:rsid w:val="00B52A57"/>
    <w:rsid w:val="00B52DAF"/>
    <w:rsid w:val="00B52DE0"/>
    <w:rsid w:val="00B5338A"/>
    <w:rsid w:val="00B539DB"/>
    <w:rsid w:val="00B53AE9"/>
    <w:rsid w:val="00B53F01"/>
    <w:rsid w:val="00B54073"/>
    <w:rsid w:val="00B5425E"/>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207B"/>
    <w:rsid w:val="00B62445"/>
    <w:rsid w:val="00B62807"/>
    <w:rsid w:val="00B63941"/>
    <w:rsid w:val="00B63B5B"/>
    <w:rsid w:val="00B63F20"/>
    <w:rsid w:val="00B643D2"/>
    <w:rsid w:val="00B6470F"/>
    <w:rsid w:val="00B64B0D"/>
    <w:rsid w:val="00B650B1"/>
    <w:rsid w:val="00B65391"/>
    <w:rsid w:val="00B65A57"/>
    <w:rsid w:val="00B6606D"/>
    <w:rsid w:val="00B66273"/>
    <w:rsid w:val="00B663CC"/>
    <w:rsid w:val="00B66BE1"/>
    <w:rsid w:val="00B67189"/>
    <w:rsid w:val="00B672B2"/>
    <w:rsid w:val="00B70BF4"/>
    <w:rsid w:val="00B717C0"/>
    <w:rsid w:val="00B71950"/>
    <w:rsid w:val="00B71E65"/>
    <w:rsid w:val="00B71E90"/>
    <w:rsid w:val="00B7252B"/>
    <w:rsid w:val="00B72E5C"/>
    <w:rsid w:val="00B73197"/>
    <w:rsid w:val="00B733ED"/>
    <w:rsid w:val="00B735E8"/>
    <w:rsid w:val="00B73CFD"/>
    <w:rsid w:val="00B73EF4"/>
    <w:rsid w:val="00B74D72"/>
    <w:rsid w:val="00B74EFF"/>
    <w:rsid w:val="00B74F8E"/>
    <w:rsid w:val="00B752DD"/>
    <w:rsid w:val="00B76549"/>
    <w:rsid w:val="00B766CB"/>
    <w:rsid w:val="00B767C4"/>
    <w:rsid w:val="00B76BCE"/>
    <w:rsid w:val="00B76F8A"/>
    <w:rsid w:val="00B77449"/>
    <w:rsid w:val="00B77B0C"/>
    <w:rsid w:val="00B77C0D"/>
    <w:rsid w:val="00B77C4D"/>
    <w:rsid w:val="00B77F41"/>
    <w:rsid w:val="00B807D7"/>
    <w:rsid w:val="00B8118E"/>
    <w:rsid w:val="00B81551"/>
    <w:rsid w:val="00B81C7F"/>
    <w:rsid w:val="00B81E79"/>
    <w:rsid w:val="00B81F8D"/>
    <w:rsid w:val="00B8207A"/>
    <w:rsid w:val="00B82080"/>
    <w:rsid w:val="00B827AE"/>
    <w:rsid w:val="00B82B09"/>
    <w:rsid w:val="00B82BA9"/>
    <w:rsid w:val="00B82DCB"/>
    <w:rsid w:val="00B835BF"/>
    <w:rsid w:val="00B836A6"/>
    <w:rsid w:val="00B840D5"/>
    <w:rsid w:val="00B8430A"/>
    <w:rsid w:val="00B84988"/>
    <w:rsid w:val="00B84A2E"/>
    <w:rsid w:val="00B84AA0"/>
    <w:rsid w:val="00B84C8D"/>
    <w:rsid w:val="00B84EE9"/>
    <w:rsid w:val="00B85274"/>
    <w:rsid w:val="00B85740"/>
    <w:rsid w:val="00B857C7"/>
    <w:rsid w:val="00B86056"/>
    <w:rsid w:val="00B8776C"/>
    <w:rsid w:val="00B87BB5"/>
    <w:rsid w:val="00B903FE"/>
    <w:rsid w:val="00B908BA"/>
    <w:rsid w:val="00B90BC9"/>
    <w:rsid w:val="00B90D1B"/>
    <w:rsid w:val="00B91765"/>
    <w:rsid w:val="00B917BE"/>
    <w:rsid w:val="00B91BAB"/>
    <w:rsid w:val="00B91BD5"/>
    <w:rsid w:val="00B91DFC"/>
    <w:rsid w:val="00B923CF"/>
    <w:rsid w:val="00B924C0"/>
    <w:rsid w:val="00B940B7"/>
    <w:rsid w:val="00B940BD"/>
    <w:rsid w:val="00B9420D"/>
    <w:rsid w:val="00B942A7"/>
    <w:rsid w:val="00B94A1E"/>
    <w:rsid w:val="00B95822"/>
    <w:rsid w:val="00B95EC5"/>
    <w:rsid w:val="00B95ED9"/>
    <w:rsid w:val="00B96291"/>
    <w:rsid w:val="00B96DD5"/>
    <w:rsid w:val="00B96E18"/>
    <w:rsid w:val="00B972F1"/>
    <w:rsid w:val="00B974B6"/>
    <w:rsid w:val="00B977EE"/>
    <w:rsid w:val="00B979B3"/>
    <w:rsid w:val="00B97D53"/>
    <w:rsid w:val="00BA121A"/>
    <w:rsid w:val="00BA126D"/>
    <w:rsid w:val="00BA174F"/>
    <w:rsid w:val="00BA1AA0"/>
    <w:rsid w:val="00BA23C7"/>
    <w:rsid w:val="00BA26A4"/>
    <w:rsid w:val="00BA322E"/>
    <w:rsid w:val="00BA3B8C"/>
    <w:rsid w:val="00BA3DDC"/>
    <w:rsid w:val="00BA3E49"/>
    <w:rsid w:val="00BA4383"/>
    <w:rsid w:val="00BA4708"/>
    <w:rsid w:val="00BA4A58"/>
    <w:rsid w:val="00BA4C96"/>
    <w:rsid w:val="00BA51DA"/>
    <w:rsid w:val="00BA59B2"/>
    <w:rsid w:val="00BA5CDF"/>
    <w:rsid w:val="00BA64CA"/>
    <w:rsid w:val="00BA6703"/>
    <w:rsid w:val="00BA672A"/>
    <w:rsid w:val="00BA6823"/>
    <w:rsid w:val="00BA6848"/>
    <w:rsid w:val="00BA69CB"/>
    <w:rsid w:val="00BA6BD9"/>
    <w:rsid w:val="00BA7919"/>
    <w:rsid w:val="00BA7FCD"/>
    <w:rsid w:val="00BB0151"/>
    <w:rsid w:val="00BB1DA5"/>
    <w:rsid w:val="00BB1E82"/>
    <w:rsid w:val="00BB1F2E"/>
    <w:rsid w:val="00BB2611"/>
    <w:rsid w:val="00BB2BB6"/>
    <w:rsid w:val="00BB2C0D"/>
    <w:rsid w:val="00BB2E28"/>
    <w:rsid w:val="00BB3458"/>
    <w:rsid w:val="00BB38E0"/>
    <w:rsid w:val="00BB3D68"/>
    <w:rsid w:val="00BB4AB2"/>
    <w:rsid w:val="00BB4C68"/>
    <w:rsid w:val="00BB4C9F"/>
    <w:rsid w:val="00BB50CD"/>
    <w:rsid w:val="00BB51A1"/>
    <w:rsid w:val="00BB55C9"/>
    <w:rsid w:val="00BB564C"/>
    <w:rsid w:val="00BB57FB"/>
    <w:rsid w:val="00BB5B31"/>
    <w:rsid w:val="00BB68E9"/>
    <w:rsid w:val="00BB7281"/>
    <w:rsid w:val="00BB7B10"/>
    <w:rsid w:val="00BB7C53"/>
    <w:rsid w:val="00BB7FDF"/>
    <w:rsid w:val="00BC059C"/>
    <w:rsid w:val="00BC06FE"/>
    <w:rsid w:val="00BC0F8D"/>
    <w:rsid w:val="00BC159F"/>
    <w:rsid w:val="00BC1E53"/>
    <w:rsid w:val="00BC216E"/>
    <w:rsid w:val="00BC3A58"/>
    <w:rsid w:val="00BC3B0B"/>
    <w:rsid w:val="00BC3BE1"/>
    <w:rsid w:val="00BC3D69"/>
    <w:rsid w:val="00BC3F2B"/>
    <w:rsid w:val="00BC4447"/>
    <w:rsid w:val="00BC4B10"/>
    <w:rsid w:val="00BC5418"/>
    <w:rsid w:val="00BC5848"/>
    <w:rsid w:val="00BC61A6"/>
    <w:rsid w:val="00BC6D76"/>
    <w:rsid w:val="00BC70DD"/>
    <w:rsid w:val="00BC7334"/>
    <w:rsid w:val="00BC740D"/>
    <w:rsid w:val="00BC7493"/>
    <w:rsid w:val="00BC74E2"/>
    <w:rsid w:val="00BC770E"/>
    <w:rsid w:val="00BC7D0A"/>
    <w:rsid w:val="00BD036D"/>
    <w:rsid w:val="00BD06A9"/>
    <w:rsid w:val="00BD110A"/>
    <w:rsid w:val="00BD1276"/>
    <w:rsid w:val="00BD12C2"/>
    <w:rsid w:val="00BD13F0"/>
    <w:rsid w:val="00BD1444"/>
    <w:rsid w:val="00BD1956"/>
    <w:rsid w:val="00BD1C06"/>
    <w:rsid w:val="00BD1E87"/>
    <w:rsid w:val="00BD216A"/>
    <w:rsid w:val="00BD2580"/>
    <w:rsid w:val="00BD2DF8"/>
    <w:rsid w:val="00BD35EC"/>
    <w:rsid w:val="00BD36C6"/>
    <w:rsid w:val="00BD4182"/>
    <w:rsid w:val="00BD426D"/>
    <w:rsid w:val="00BD46D1"/>
    <w:rsid w:val="00BD490B"/>
    <w:rsid w:val="00BD4B3D"/>
    <w:rsid w:val="00BD5B20"/>
    <w:rsid w:val="00BD5DDD"/>
    <w:rsid w:val="00BD6048"/>
    <w:rsid w:val="00BD6184"/>
    <w:rsid w:val="00BD67DB"/>
    <w:rsid w:val="00BD69AD"/>
    <w:rsid w:val="00BD6AE3"/>
    <w:rsid w:val="00BD6BD5"/>
    <w:rsid w:val="00BD7368"/>
    <w:rsid w:val="00BD7446"/>
    <w:rsid w:val="00BD770A"/>
    <w:rsid w:val="00BD7B8E"/>
    <w:rsid w:val="00BD7BCB"/>
    <w:rsid w:val="00BE033F"/>
    <w:rsid w:val="00BE0633"/>
    <w:rsid w:val="00BE07B8"/>
    <w:rsid w:val="00BE08F9"/>
    <w:rsid w:val="00BE0AD6"/>
    <w:rsid w:val="00BE0F87"/>
    <w:rsid w:val="00BE11FA"/>
    <w:rsid w:val="00BE14E7"/>
    <w:rsid w:val="00BE16A5"/>
    <w:rsid w:val="00BE16C5"/>
    <w:rsid w:val="00BE1799"/>
    <w:rsid w:val="00BE1F37"/>
    <w:rsid w:val="00BE20E7"/>
    <w:rsid w:val="00BE23CA"/>
    <w:rsid w:val="00BE314C"/>
    <w:rsid w:val="00BE3A8B"/>
    <w:rsid w:val="00BE3AEC"/>
    <w:rsid w:val="00BE4899"/>
    <w:rsid w:val="00BE4B0B"/>
    <w:rsid w:val="00BE4DEA"/>
    <w:rsid w:val="00BE4F86"/>
    <w:rsid w:val="00BE4FDE"/>
    <w:rsid w:val="00BE56A8"/>
    <w:rsid w:val="00BE587C"/>
    <w:rsid w:val="00BE59DD"/>
    <w:rsid w:val="00BE5E4B"/>
    <w:rsid w:val="00BE6394"/>
    <w:rsid w:val="00BE6890"/>
    <w:rsid w:val="00BE68AF"/>
    <w:rsid w:val="00BE7560"/>
    <w:rsid w:val="00BE77F1"/>
    <w:rsid w:val="00BE7C0D"/>
    <w:rsid w:val="00BE7D2C"/>
    <w:rsid w:val="00BF0232"/>
    <w:rsid w:val="00BF03A6"/>
    <w:rsid w:val="00BF0801"/>
    <w:rsid w:val="00BF0912"/>
    <w:rsid w:val="00BF092B"/>
    <w:rsid w:val="00BF0A10"/>
    <w:rsid w:val="00BF0AFF"/>
    <w:rsid w:val="00BF19B6"/>
    <w:rsid w:val="00BF1B89"/>
    <w:rsid w:val="00BF2050"/>
    <w:rsid w:val="00BF213E"/>
    <w:rsid w:val="00BF251D"/>
    <w:rsid w:val="00BF3123"/>
    <w:rsid w:val="00BF31AA"/>
    <w:rsid w:val="00BF32B2"/>
    <w:rsid w:val="00BF3335"/>
    <w:rsid w:val="00BF33FD"/>
    <w:rsid w:val="00BF3611"/>
    <w:rsid w:val="00BF388B"/>
    <w:rsid w:val="00BF3DAD"/>
    <w:rsid w:val="00BF45AF"/>
    <w:rsid w:val="00BF47E7"/>
    <w:rsid w:val="00BF4F11"/>
    <w:rsid w:val="00BF5A5B"/>
    <w:rsid w:val="00BF5ECA"/>
    <w:rsid w:val="00BF63D0"/>
    <w:rsid w:val="00BF63E1"/>
    <w:rsid w:val="00BF661B"/>
    <w:rsid w:val="00BF68CF"/>
    <w:rsid w:val="00BF6B56"/>
    <w:rsid w:val="00BF6F4C"/>
    <w:rsid w:val="00BF7104"/>
    <w:rsid w:val="00BF7CFA"/>
    <w:rsid w:val="00C000FC"/>
    <w:rsid w:val="00C00597"/>
    <w:rsid w:val="00C01BAD"/>
    <w:rsid w:val="00C01C56"/>
    <w:rsid w:val="00C01D9A"/>
    <w:rsid w:val="00C0236B"/>
    <w:rsid w:val="00C02D5D"/>
    <w:rsid w:val="00C02E76"/>
    <w:rsid w:val="00C02FEB"/>
    <w:rsid w:val="00C030F1"/>
    <w:rsid w:val="00C031EA"/>
    <w:rsid w:val="00C0353A"/>
    <w:rsid w:val="00C03ADC"/>
    <w:rsid w:val="00C0407B"/>
    <w:rsid w:val="00C04483"/>
    <w:rsid w:val="00C04975"/>
    <w:rsid w:val="00C04A24"/>
    <w:rsid w:val="00C050BA"/>
    <w:rsid w:val="00C051C0"/>
    <w:rsid w:val="00C0527F"/>
    <w:rsid w:val="00C05454"/>
    <w:rsid w:val="00C05956"/>
    <w:rsid w:val="00C05BAA"/>
    <w:rsid w:val="00C0606D"/>
    <w:rsid w:val="00C06326"/>
    <w:rsid w:val="00C0665A"/>
    <w:rsid w:val="00C06CD1"/>
    <w:rsid w:val="00C06D12"/>
    <w:rsid w:val="00C06DE4"/>
    <w:rsid w:val="00C06E9F"/>
    <w:rsid w:val="00C072F7"/>
    <w:rsid w:val="00C07737"/>
    <w:rsid w:val="00C07AAF"/>
    <w:rsid w:val="00C109A3"/>
    <w:rsid w:val="00C11B6A"/>
    <w:rsid w:val="00C1256C"/>
    <w:rsid w:val="00C130E4"/>
    <w:rsid w:val="00C13149"/>
    <w:rsid w:val="00C137D0"/>
    <w:rsid w:val="00C139E0"/>
    <w:rsid w:val="00C13C01"/>
    <w:rsid w:val="00C142B2"/>
    <w:rsid w:val="00C149B4"/>
    <w:rsid w:val="00C14ADD"/>
    <w:rsid w:val="00C152C8"/>
    <w:rsid w:val="00C1560F"/>
    <w:rsid w:val="00C1578B"/>
    <w:rsid w:val="00C15FBD"/>
    <w:rsid w:val="00C16111"/>
    <w:rsid w:val="00C16565"/>
    <w:rsid w:val="00C16692"/>
    <w:rsid w:val="00C16ED3"/>
    <w:rsid w:val="00C170B0"/>
    <w:rsid w:val="00C173E9"/>
    <w:rsid w:val="00C176E2"/>
    <w:rsid w:val="00C17B45"/>
    <w:rsid w:val="00C17B89"/>
    <w:rsid w:val="00C2005B"/>
    <w:rsid w:val="00C20122"/>
    <w:rsid w:val="00C201DF"/>
    <w:rsid w:val="00C206FD"/>
    <w:rsid w:val="00C209BF"/>
    <w:rsid w:val="00C215DC"/>
    <w:rsid w:val="00C2181D"/>
    <w:rsid w:val="00C21C9C"/>
    <w:rsid w:val="00C21D6E"/>
    <w:rsid w:val="00C22107"/>
    <w:rsid w:val="00C221FE"/>
    <w:rsid w:val="00C23196"/>
    <w:rsid w:val="00C234C7"/>
    <w:rsid w:val="00C240DA"/>
    <w:rsid w:val="00C2445E"/>
    <w:rsid w:val="00C24D6A"/>
    <w:rsid w:val="00C24DDF"/>
    <w:rsid w:val="00C25003"/>
    <w:rsid w:val="00C25191"/>
    <w:rsid w:val="00C25381"/>
    <w:rsid w:val="00C25B7B"/>
    <w:rsid w:val="00C26188"/>
    <w:rsid w:val="00C2678B"/>
    <w:rsid w:val="00C268FB"/>
    <w:rsid w:val="00C27123"/>
    <w:rsid w:val="00C2727C"/>
    <w:rsid w:val="00C30B98"/>
    <w:rsid w:val="00C3113C"/>
    <w:rsid w:val="00C31562"/>
    <w:rsid w:val="00C320E1"/>
    <w:rsid w:val="00C32282"/>
    <w:rsid w:val="00C3236E"/>
    <w:rsid w:val="00C3263C"/>
    <w:rsid w:val="00C32C9B"/>
    <w:rsid w:val="00C32CEF"/>
    <w:rsid w:val="00C330B4"/>
    <w:rsid w:val="00C330FE"/>
    <w:rsid w:val="00C3315A"/>
    <w:rsid w:val="00C3333C"/>
    <w:rsid w:val="00C33540"/>
    <w:rsid w:val="00C33556"/>
    <w:rsid w:val="00C3384C"/>
    <w:rsid w:val="00C3386D"/>
    <w:rsid w:val="00C339C0"/>
    <w:rsid w:val="00C33A0F"/>
    <w:rsid w:val="00C33B3F"/>
    <w:rsid w:val="00C345A8"/>
    <w:rsid w:val="00C346FB"/>
    <w:rsid w:val="00C34874"/>
    <w:rsid w:val="00C34F2D"/>
    <w:rsid w:val="00C35373"/>
    <w:rsid w:val="00C35DD2"/>
    <w:rsid w:val="00C369BF"/>
    <w:rsid w:val="00C37AE7"/>
    <w:rsid w:val="00C37F72"/>
    <w:rsid w:val="00C40CA0"/>
    <w:rsid w:val="00C40E8D"/>
    <w:rsid w:val="00C412D9"/>
    <w:rsid w:val="00C413D0"/>
    <w:rsid w:val="00C41C1F"/>
    <w:rsid w:val="00C425DF"/>
    <w:rsid w:val="00C42C19"/>
    <w:rsid w:val="00C42DF6"/>
    <w:rsid w:val="00C43846"/>
    <w:rsid w:val="00C440EB"/>
    <w:rsid w:val="00C4480C"/>
    <w:rsid w:val="00C4481A"/>
    <w:rsid w:val="00C44BED"/>
    <w:rsid w:val="00C4527D"/>
    <w:rsid w:val="00C45303"/>
    <w:rsid w:val="00C45636"/>
    <w:rsid w:val="00C463D6"/>
    <w:rsid w:val="00C46744"/>
    <w:rsid w:val="00C46943"/>
    <w:rsid w:val="00C469FC"/>
    <w:rsid w:val="00C46B0B"/>
    <w:rsid w:val="00C4706F"/>
    <w:rsid w:val="00C470C7"/>
    <w:rsid w:val="00C474AE"/>
    <w:rsid w:val="00C4760F"/>
    <w:rsid w:val="00C47C5D"/>
    <w:rsid w:val="00C47DD4"/>
    <w:rsid w:val="00C502E1"/>
    <w:rsid w:val="00C50D1C"/>
    <w:rsid w:val="00C50E28"/>
    <w:rsid w:val="00C51D91"/>
    <w:rsid w:val="00C51ED1"/>
    <w:rsid w:val="00C529EA"/>
    <w:rsid w:val="00C52F33"/>
    <w:rsid w:val="00C534F3"/>
    <w:rsid w:val="00C53550"/>
    <w:rsid w:val="00C5357D"/>
    <w:rsid w:val="00C5359B"/>
    <w:rsid w:val="00C536EA"/>
    <w:rsid w:val="00C53BA1"/>
    <w:rsid w:val="00C540E5"/>
    <w:rsid w:val="00C545DA"/>
    <w:rsid w:val="00C5525B"/>
    <w:rsid w:val="00C556E4"/>
    <w:rsid w:val="00C5592A"/>
    <w:rsid w:val="00C55F90"/>
    <w:rsid w:val="00C55FEE"/>
    <w:rsid w:val="00C56137"/>
    <w:rsid w:val="00C5615B"/>
    <w:rsid w:val="00C563C1"/>
    <w:rsid w:val="00C56C07"/>
    <w:rsid w:val="00C57073"/>
    <w:rsid w:val="00C60008"/>
    <w:rsid w:val="00C618F9"/>
    <w:rsid w:val="00C61BAA"/>
    <w:rsid w:val="00C6230B"/>
    <w:rsid w:val="00C6300D"/>
    <w:rsid w:val="00C630CA"/>
    <w:rsid w:val="00C6368A"/>
    <w:rsid w:val="00C63AD6"/>
    <w:rsid w:val="00C64370"/>
    <w:rsid w:val="00C646EB"/>
    <w:rsid w:val="00C64B0F"/>
    <w:rsid w:val="00C6505D"/>
    <w:rsid w:val="00C659A8"/>
    <w:rsid w:val="00C65B79"/>
    <w:rsid w:val="00C65C02"/>
    <w:rsid w:val="00C65D05"/>
    <w:rsid w:val="00C661D7"/>
    <w:rsid w:val="00C662F0"/>
    <w:rsid w:val="00C663F0"/>
    <w:rsid w:val="00C66B59"/>
    <w:rsid w:val="00C675C6"/>
    <w:rsid w:val="00C67632"/>
    <w:rsid w:val="00C67D27"/>
    <w:rsid w:val="00C67FB0"/>
    <w:rsid w:val="00C70B4E"/>
    <w:rsid w:val="00C70D22"/>
    <w:rsid w:val="00C70F74"/>
    <w:rsid w:val="00C70FE8"/>
    <w:rsid w:val="00C71412"/>
    <w:rsid w:val="00C715AF"/>
    <w:rsid w:val="00C71A51"/>
    <w:rsid w:val="00C71C7F"/>
    <w:rsid w:val="00C71FC3"/>
    <w:rsid w:val="00C7212A"/>
    <w:rsid w:val="00C72405"/>
    <w:rsid w:val="00C72AEB"/>
    <w:rsid w:val="00C73332"/>
    <w:rsid w:val="00C73A78"/>
    <w:rsid w:val="00C73A89"/>
    <w:rsid w:val="00C73E43"/>
    <w:rsid w:val="00C744B4"/>
    <w:rsid w:val="00C74A95"/>
    <w:rsid w:val="00C75338"/>
    <w:rsid w:val="00C758C8"/>
    <w:rsid w:val="00C75A92"/>
    <w:rsid w:val="00C75DFC"/>
    <w:rsid w:val="00C767BD"/>
    <w:rsid w:val="00C76CE5"/>
    <w:rsid w:val="00C7713E"/>
    <w:rsid w:val="00C774BF"/>
    <w:rsid w:val="00C774FB"/>
    <w:rsid w:val="00C779EC"/>
    <w:rsid w:val="00C802E0"/>
    <w:rsid w:val="00C807EE"/>
    <w:rsid w:val="00C808D3"/>
    <w:rsid w:val="00C80BFD"/>
    <w:rsid w:val="00C81441"/>
    <w:rsid w:val="00C814F9"/>
    <w:rsid w:val="00C819C5"/>
    <w:rsid w:val="00C82BFF"/>
    <w:rsid w:val="00C82E98"/>
    <w:rsid w:val="00C82F88"/>
    <w:rsid w:val="00C8375A"/>
    <w:rsid w:val="00C838B4"/>
    <w:rsid w:val="00C83B57"/>
    <w:rsid w:val="00C8402F"/>
    <w:rsid w:val="00C8483D"/>
    <w:rsid w:val="00C8534C"/>
    <w:rsid w:val="00C85637"/>
    <w:rsid w:val="00C85CC6"/>
    <w:rsid w:val="00C85CF9"/>
    <w:rsid w:val="00C85E85"/>
    <w:rsid w:val="00C8613B"/>
    <w:rsid w:val="00C86A42"/>
    <w:rsid w:val="00C86E11"/>
    <w:rsid w:val="00C8719D"/>
    <w:rsid w:val="00C871FB"/>
    <w:rsid w:val="00C87303"/>
    <w:rsid w:val="00C877FA"/>
    <w:rsid w:val="00C879C6"/>
    <w:rsid w:val="00C87C7F"/>
    <w:rsid w:val="00C87D04"/>
    <w:rsid w:val="00C904FC"/>
    <w:rsid w:val="00C90F20"/>
    <w:rsid w:val="00C913DE"/>
    <w:rsid w:val="00C91449"/>
    <w:rsid w:val="00C914D6"/>
    <w:rsid w:val="00C91C55"/>
    <w:rsid w:val="00C92105"/>
    <w:rsid w:val="00C92423"/>
    <w:rsid w:val="00C928AA"/>
    <w:rsid w:val="00C92A47"/>
    <w:rsid w:val="00C93635"/>
    <w:rsid w:val="00C93D34"/>
    <w:rsid w:val="00C940C9"/>
    <w:rsid w:val="00C941B7"/>
    <w:rsid w:val="00C942D9"/>
    <w:rsid w:val="00C94876"/>
    <w:rsid w:val="00C94E20"/>
    <w:rsid w:val="00C95486"/>
    <w:rsid w:val="00C95686"/>
    <w:rsid w:val="00C957D2"/>
    <w:rsid w:val="00C95BF8"/>
    <w:rsid w:val="00C960C7"/>
    <w:rsid w:val="00C971C9"/>
    <w:rsid w:val="00C972A1"/>
    <w:rsid w:val="00C9732A"/>
    <w:rsid w:val="00C9768F"/>
    <w:rsid w:val="00C97C1C"/>
    <w:rsid w:val="00C97F3B"/>
    <w:rsid w:val="00CA00FB"/>
    <w:rsid w:val="00CA025C"/>
    <w:rsid w:val="00CA0D49"/>
    <w:rsid w:val="00CA0F5E"/>
    <w:rsid w:val="00CA1884"/>
    <w:rsid w:val="00CA19D3"/>
    <w:rsid w:val="00CA20D7"/>
    <w:rsid w:val="00CA268F"/>
    <w:rsid w:val="00CA2EA9"/>
    <w:rsid w:val="00CA31DE"/>
    <w:rsid w:val="00CA4512"/>
    <w:rsid w:val="00CA45E0"/>
    <w:rsid w:val="00CA4CAD"/>
    <w:rsid w:val="00CA4E63"/>
    <w:rsid w:val="00CA5164"/>
    <w:rsid w:val="00CA51D5"/>
    <w:rsid w:val="00CA5396"/>
    <w:rsid w:val="00CA5421"/>
    <w:rsid w:val="00CA542E"/>
    <w:rsid w:val="00CA589D"/>
    <w:rsid w:val="00CA5C15"/>
    <w:rsid w:val="00CA618B"/>
    <w:rsid w:val="00CA661C"/>
    <w:rsid w:val="00CA68C2"/>
    <w:rsid w:val="00CA6E9C"/>
    <w:rsid w:val="00CA6F36"/>
    <w:rsid w:val="00CA7142"/>
    <w:rsid w:val="00CA74C7"/>
    <w:rsid w:val="00CA75E4"/>
    <w:rsid w:val="00CA7709"/>
    <w:rsid w:val="00CA7880"/>
    <w:rsid w:val="00CA7BBD"/>
    <w:rsid w:val="00CA7C72"/>
    <w:rsid w:val="00CB0273"/>
    <w:rsid w:val="00CB05F5"/>
    <w:rsid w:val="00CB0A48"/>
    <w:rsid w:val="00CB0B84"/>
    <w:rsid w:val="00CB10F9"/>
    <w:rsid w:val="00CB1694"/>
    <w:rsid w:val="00CB1793"/>
    <w:rsid w:val="00CB1B2F"/>
    <w:rsid w:val="00CB2FE9"/>
    <w:rsid w:val="00CB33CA"/>
    <w:rsid w:val="00CB407B"/>
    <w:rsid w:val="00CB44B7"/>
    <w:rsid w:val="00CB450F"/>
    <w:rsid w:val="00CB605A"/>
    <w:rsid w:val="00CB62D0"/>
    <w:rsid w:val="00CB6704"/>
    <w:rsid w:val="00CB6EF0"/>
    <w:rsid w:val="00CB6F76"/>
    <w:rsid w:val="00CB747C"/>
    <w:rsid w:val="00CB7720"/>
    <w:rsid w:val="00CB7A54"/>
    <w:rsid w:val="00CB7D31"/>
    <w:rsid w:val="00CC0A9C"/>
    <w:rsid w:val="00CC134F"/>
    <w:rsid w:val="00CC1645"/>
    <w:rsid w:val="00CC1A77"/>
    <w:rsid w:val="00CC1C13"/>
    <w:rsid w:val="00CC1F96"/>
    <w:rsid w:val="00CC201B"/>
    <w:rsid w:val="00CC258D"/>
    <w:rsid w:val="00CC278B"/>
    <w:rsid w:val="00CC28E8"/>
    <w:rsid w:val="00CC2EB6"/>
    <w:rsid w:val="00CC2FE1"/>
    <w:rsid w:val="00CC317E"/>
    <w:rsid w:val="00CC388A"/>
    <w:rsid w:val="00CC3AB5"/>
    <w:rsid w:val="00CC413C"/>
    <w:rsid w:val="00CC415B"/>
    <w:rsid w:val="00CC480D"/>
    <w:rsid w:val="00CC4B43"/>
    <w:rsid w:val="00CC5773"/>
    <w:rsid w:val="00CC58EB"/>
    <w:rsid w:val="00CC59CF"/>
    <w:rsid w:val="00CC5D6F"/>
    <w:rsid w:val="00CC6619"/>
    <w:rsid w:val="00CC6761"/>
    <w:rsid w:val="00CC6DF1"/>
    <w:rsid w:val="00CC7CB8"/>
    <w:rsid w:val="00CC7DA8"/>
    <w:rsid w:val="00CC7DE7"/>
    <w:rsid w:val="00CD01B3"/>
    <w:rsid w:val="00CD08A9"/>
    <w:rsid w:val="00CD0A80"/>
    <w:rsid w:val="00CD0C8B"/>
    <w:rsid w:val="00CD0FEA"/>
    <w:rsid w:val="00CD16EA"/>
    <w:rsid w:val="00CD19E4"/>
    <w:rsid w:val="00CD1E5C"/>
    <w:rsid w:val="00CD2027"/>
    <w:rsid w:val="00CD2831"/>
    <w:rsid w:val="00CD2DA6"/>
    <w:rsid w:val="00CD33A1"/>
    <w:rsid w:val="00CD36B5"/>
    <w:rsid w:val="00CD38BB"/>
    <w:rsid w:val="00CD4228"/>
    <w:rsid w:val="00CD4488"/>
    <w:rsid w:val="00CD519A"/>
    <w:rsid w:val="00CD566E"/>
    <w:rsid w:val="00CD5830"/>
    <w:rsid w:val="00CD586B"/>
    <w:rsid w:val="00CD5AE8"/>
    <w:rsid w:val="00CD5F72"/>
    <w:rsid w:val="00CD63A4"/>
    <w:rsid w:val="00CD6A34"/>
    <w:rsid w:val="00CD6F41"/>
    <w:rsid w:val="00CD7534"/>
    <w:rsid w:val="00CD793A"/>
    <w:rsid w:val="00CE026E"/>
    <w:rsid w:val="00CE08D0"/>
    <w:rsid w:val="00CE0C3E"/>
    <w:rsid w:val="00CE120F"/>
    <w:rsid w:val="00CE1211"/>
    <w:rsid w:val="00CE14B3"/>
    <w:rsid w:val="00CE17D2"/>
    <w:rsid w:val="00CE226E"/>
    <w:rsid w:val="00CE3176"/>
    <w:rsid w:val="00CE3E44"/>
    <w:rsid w:val="00CE3F0E"/>
    <w:rsid w:val="00CE40BE"/>
    <w:rsid w:val="00CE40EF"/>
    <w:rsid w:val="00CE458D"/>
    <w:rsid w:val="00CE473E"/>
    <w:rsid w:val="00CE4D2D"/>
    <w:rsid w:val="00CE4DBB"/>
    <w:rsid w:val="00CE4E50"/>
    <w:rsid w:val="00CE5428"/>
    <w:rsid w:val="00CE56B3"/>
    <w:rsid w:val="00CE5BFF"/>
    <w:rsid w:val="00CE5F42"/>
    <w:rsid w:val="00CE6286"/>
    <w:rsid w:val="00CE6881"/>
    <w:rsid w:val="00CE6E1D"/>
    <w:rsid w:val="00CE6F08"/>
    <w:rsid w:val="00CE6F37"/>
    <w:rsid w:val="00CE76EB"/>
    <w:rsid w:val="00CF0033"/>
    <w:rsid w:val="00CF08A9"/>
    <w:rsid w:val="00CF09C3"/>
    <w:rsid w:val="00CF0A43"/>
    <w:rsid w:val="00CF0E99"/>
    <w:rsid w:val="00CF0F3C"/>
    <w:rsid w:val="00CF2329"/>
    <w:rsid w:val="00CF253E"/>
    <w:rsid w:val="00CF257B"/>
    <w:rsid w:val="00CF2620"/>
    <w:rsid w:val="00CF2A40"/>
    <w:rsid w:val="00CF2A4A"/>
    <w:rsid w:val="00CF2DB0"/>
    <w:rsid w:val="00CF2E43"/>
    <w:rsid w:val="00CF3A4C"/>
    <w:rsid w:val="00CF4377"/>
    <w:rsid w:val="00CF465E"/>
    <w:rsid w:val="00CF4694"/>
    <w:rsid w:val="00CF470A"/>
    <w:rsid w:val="00CF4B98"/>
    <w:rsid w:val="00CF4E83"/>
    <w:rsid w:val="00CF5442"/>
    <w:rsid w:val="00CF5491"/>
    <w:rsid w:val="00CF5641"/>
    <w:rsid w:val="00CF58F6"/>
    <w:rsid w:val="00CF5F91"/>
    <w:rsid w:val="00CF61ED"/>
    <w:rsid w:val="00CF6467"/>
    <w:rsid w:val="00CF68BB"/>
    <w:rsid w:val="00CF6CFB"/>
    <w:rsid w:val="00CF6ED9"/>
    <w:rsid w:val="00CF760D"/>
    <w:rsid w:val="00CF7BE1"/>
    <w:rsid w:val="00CF7EE5"/>
    <w:rsid w:val="00D00293"/>
    <w:rsid w:val="00D005D9"/>
    <w:rsid w:val="00D00860"/>
    <w:rsid w:val="00D01DDE"/>
    <w:rsid w:val="00D020B8"/>
    <w:rsid w:val="00D02149"/>
    <w:rsid w:val="00D023A6"/>
    <w:rsid w:val="00D02650"/>
    <w:rsid w:val="00D026D2"/>
    <w:rsid w:val="00D027BE"/>
    <w:rsid w:val="00D0293E"/>
    <w:rsid w:val="00D0293F"/>
    <w:rsid w:val="00D0328D"/>
    <w:rsid w:val="00D033B4"/>
    <w:rsid w:val="00D0341D"/>
    <w:rsid w:val="00D03F15"/>
    <w:rsid w:val="00D03FCC"/>
    <w:rsid w:val="00D03FE0"/>
    <w:rsid w:val="00D03FEE"/>
    <w:rsid w:val="00D0427E"/>
    <w:rsid w:val="00D042C2"/>
    <w:rsid w:val="00D042E8"/>
    <w:rsid w:val="00D04617"/>
    <w:rsid w:val="00D047D7"/>
    <w:rsid w:val="00D04A1B"/>
    <w:rsid w:val="00D04B2B"/>
    <w:rsid w:val="00D04FDA"/>
    <w:rsid w:val="00D052D2"/>
    <w:rsid w:val="00D0566F"/>
    <w:rsid w:val="00D05830"/>
    <w:rsid w:val="00D05AAD"/>
    <w:rsid w:val="00D05E80"/>
    <w:rsid w:val="00D06368"/>
    <w:rsid w:val="00D06601"/>
    <w:rsid w:val="00D06BF9"/>
    <w:rsid w:val="00D06CB9"/>
    <w:rsid w:val="00D0708D"/>
    <w:rsid w:val="00D070B2"/>
    <w:rsid w:val="00D077D9"/>
    <w:rsid w:val="00D1065D"/>
    <w:rsid w:val="00D106C6"/>
    <w:rsid w:val="00D10EE4"/>
    <w:rsid w:val="00D10FDA"/>
    <w:rsid w:val="00D11EBE"/>
    <w:rsid w:val="00D12133"/>
    <w:rsid w:val="00D12753"/>
    <w:rsid w:val="00D12E3E"/>
    <w:rsid w:val="00D13422"/>
    <w:rsid w:val="00D138DA"/>
    <w:rsid w:val="00D139B2"/>
    <w:rsid w:val="00D13AC1"/>
    <w:rsid w:val="00D14263"/>
    <w:rsid w:val="00D147C9"/>
    <w:rsid w:val="00D15035"/>
    <w:rsid w:val="00D15917"/>
    <w:rsid w:val="00D160AA"/>
    <w:rsid w:val="00D169D5"/>
    <w:rsid w:val="00D175BD"/>
    <w:rsid w:val="00D178ED"/>
    <w:rsid w:val="00D17D56"/>
    <w:rsid w:val="00D17ED0"/>
    <w:rsid w:val="00D203FE"/>
    <w:rsid w:val="00D2064B"/>
    <w:rsid w:val="00D208E6"/>
    <w:rsid w:val="00D20AAB"/>
    <w:rsid w:val="00D214C3"/>
    <w:rsid w:val="00D21736"/>
    <w:rsid w:val="00D2179F"/>
    <w:rsid w:val="00D21914"/>
    <w:rsid w:val="00D21D6D"/>
    <w:rsid w:val="00D21F15"/>
    <w:rsid w:val="00D21FEC"/>
    <w:rsid w:val="00D2245A"/>
    <w:rsid w:val="00D23149"/>
    <w:rsid w:val="00D23791"/>
    <w:rsid w:val="00D23E19"/>
    <w:rsid w:val="00D24001"/>
    <w:rsid w:val="00D24141"/>
    <w:rsid w:val="00D2556D"/>
    <w:rsid w:val="00D2625F"/>
    <w:rsid w:val="00D26AE2"/>
    <w:rsid w:val="00D26B80"/>
    <w:rsid w:val="00D26ED6"/>
    <w:rsid w:val="00D273FD"/>
    <w:rsid w:val="00D275F3"/>
    <w:rsid w:val="00D278A4"/>
    <w:rsid w:val="00D30291"/>
    <w:rsid w:val="00D30327"/>
    <w:rsid w:val="00D30BB1"/>
    <w:rsid w:val="00D30F2A"/>
    <w:rsid w:val="00D31048"/>
    <w:rsid w:val="00D3171F"/>
    <w:rsid w:val="00D31981"/>
    <w:rsid w:val="00D31A9A"/>
    <w:rsid w:val="00D31D9E"/>
    <w:rsid w:val="00D32135"/>
    <w:rsid w:val="00D32911"/>
    <w:rsid w:val="00D32BE6"/>
    <w:rsid w:val="00D334E4"/>
    <w:rsid w:val="00D33503"/>
    <w:rsid w:val="00D336EE"/>
    <w:rsid w:val="00D33C9F"/>
    <w:rsid w:val="00D34380"/>
    <w:rsid w:val="00D348AA"/>
    <w:rsid w:val="00D34AD7"/>
    <w:rsid w:val="00D34FF2"/>
    <w:rsid w:val="00D35135"/>
    <w:rsid w:val="00D35E0D"/>
    <w:rsid w:val="00D3645C"/>
    <w:rsid w:val="00D36B68"/>
    <w:rsid w:val="00D36E4F"/>
    <w:rsid w:val="00D36EC8"/>
    <w:rsid w:val="00D371D5"/>
    <w:rsid w:val="00D37680"/>
    <w:rsid w:val="00D37F89"/>
    <w:rsid w:val="00D400C9"/>
    <w:rsid w:val="00D40267"/>
    <w:rsid w:val="00D4054C"/>
    <w:rsid w:val="00D40DC3"/>
    <w:rsid w:val="00D40E52"/>
    <w:rsid w:val="00D41143"/>
    <w:rsid w:val="00D4133D"/>
    <w:rsid w:val="00D41C90"/>
    <w:rsid w:val="00D420B2"/>
    <w:rsid w:val="00D42145"/>
    <w:rsid w:val="00D42E11"/>
    <w:rsid w:val="00D432A5"/>
    <w:rsid w:val="00D43564"/>
    <w:rsid w:val="00D4371B"/>
    <w:rsid w:val="00D439E8"/>
    <w:rsid w:val="00D43E18"/>
    <w:rsid w:val="00D443FA"/>
    <w:rsid w:val="00D44473"/>
    <w:rsid w:val="00D44E83"/>
    <w:rsid w:val="00D456CD"/>
    <w:rsid w:val="00D45CF4"/>
    <w:rsid w:val="00D45D16"/>
    <w:rsid w:val="00D45E05"/>
    <w:rsid w:val="00D46028"/>
    <w:rsid w:val="00D46D04"/>
    <w:rsid w:val="00D46E64"/>
    <w:rsid w:val="00D472A3"/>
    <w:rsid w:val="00D50371"/>
    <w:rsid w:val="00D50CF1"/>
    <w:rsid w:val="00D51305"/>
    <w:rsid w:val="00D5134B"/>
    <w:rsid w:val="00D519E9"/>
    <w:rsid w:val="00D5275F"/>
    <w:rsid w:val="00D53068"/>
    <w:rsid w:val="00D533B1"/>
    <w:rsid w:val="00D53569"/>
    <w:rsid w:val="00D5394F"/>
    <w:rsid w:val="00D54525"/>
    <w:rsid w:val="00D556C6"/>
    <w:rsid w:val="00D55925"/>
    <w:rsid w:val="00D5621B"/>
    <w:rsid w:val="00D5634F"/>
    <w:rsid w:val="00D563FD"/>
    <w:rsid w:val="00D56BEB"/>
    <w:rsid w:val="00D56E13"/>
    <w:rsid w:val="00D56F1A"/>
    <w:rsid w:val="00D56F98"/>
    <w:rsid w:val="00D573FA"/>
    <w:rsid w:val="00D57789"/>
    <w:rsid w:val="00D57D50"/>
    <w:rsid w:val="00D60104"/>
    <w:rsid w:val="00D605BD"/>
    <w:rsid w:val="00D605E9"/>
    <w:rsid w:val="00D607A6"/>
    <w:rsid w:val="00D609F0"/>
    <w:rsid w:val="00D60BCC"/>
    <w:rsid w:val="00D61120"/>
    <w:rsid w:val="00D61603"/>
    <w:rsid w:val="00D61723"/>
    <w:rsid w:val="00D62771"/>
    <w:rsid w:val="00D629D1"/>
    <w:rsid w:val="00D62B99"/>
    <w:rsid w:val="00D62CD1"/>
    <w:rsid w:val="00D62D85"/>
    <w:rsid w:val="00D63171"/>
    <w:rsid w:val="00D63355"/>
    <w:rsid w:val="00D63C0E"/>
    <w:rsid w:val="00D63D8D"/>
    <w:rsid w:val="00D648A1"/>
    <w:rsid w:val="00D64971"/>
    <w:rsid w:val="00D64ADC"/>
    <w:rsid w:val="00D650F8"/>
    <w:rsid w:val="00D65351"/>
    <w:rsid w:val="00D654A1"/>
    <w:rsid w:val="00D66713"/>
    <w:rsid w:val="00D66827"/>
    <w:rsid w:val="00D66EDA"/>
    <w:rsid w:val="00D67372"/>
    <w:rsid w:val="00D673E5"/>
    <w:rsid w:val="00D6747E"/>
    <w:rsid w:val="00D67CFF"/>
    <w:rsid w:val="00D67D7A"/>
    <w:rsid w:val="00D67E8C"/>
    <w:rsid w:val="00D67EFF"/>
    <w:rsid w:val="00D70047"/>
    <w:rsid w:val="00D7101E"/>
    <w:rsid w:val="00D711A5"/>
    <w:rsid w:val="00D711FE"/>
    <w:rsid w:val="00D712EF"/>
    <w:rsid w:val="00D71302"/>
    <w:rsid w:val="00D71803"/>
    <w:rsid w:val="00D71F53"/>
    <w:rsid w:val="00D728DF"/>
    <w:rsid w:val="00D72D6C"/>
    <w:rsid w:val="00D72E13"/>
    <w:rsid w:val="00D73753"/>
    <w:rsid w:val="00D73B6C"/>
    <w:rsid w:val="00D74BBF"/>
    <w:rsid w:val="00D74BFF"/>
    <w:rsid w:val="00D74E8F"/>
    <w:rsid w:val="00D74E9A"/>
    <w:rsid w:val="00D75756"/>
    <w:rsid w:val="00D76A30"/>
    <w:rsid w:val="00D76D71"/>
    <w:rsid w:val="00D770DD"/>
    <w:rsid w:val="00D77320"/>
    <w:rsid w:val="00D801DF"/>
    <w:rsid w:val="00D80545"/>
    <w:rsid w:val="00D80AB4"/>
    <w:rsid w:val="00D80DC5"/>
    <w:rsid w:val="00D81579"/>
    <w:rsid w:val="00D81D0E"/>
    <w:rsid w:val="00D829FB"/>
    <w:rsid w:val="00D82C13"/>
    <w:rsid w:val="00D82C6B"/>
    <w:rsid w:val="00D82CD9"/>
    <w:rsid w:val="00D8315F"/>
    <w:rsid w:val="00D84128"/>
    <w:rsid w:val="00D845A2"/>
    <w:rsid w:val="00D84662"/>
    <w:rsid w:val="00D856C0"/>
    <w:rsid w:val="00D85F37"/>
    <w:rsid w:val="00D85F67"/>
    <w:rsid w:val="00D86455"/>
    <w:rsid w:val="00D86881"/>
    <w:rsid w:val="00D86AC1"/>
    <w:rsid w:val="00D87251"/>
    <w:rsid w:val="00D8751F"/>
    <w:rsid w:val="00D8758A"/>
    <w:rsid w:val="00D87B09"/>
    <w:rsid w:val="00D87F66"/>
    <w:rsid w:val="00D87FD6"/>
    <w:rsid w:val="00D87FE4"/>
    <w:rsid w:val="00D90ADB"/>
    <w:rsid w:val="00D90C50"/>
    <w:rsid w:val="00D912DC"/>
    <w:rsid w:val="00D91460"/>
    <w:rsid w:val="00D914DB"/>
    <w:rsid w:val="00D91C14"/>
    <w:rsid w:val="00D91C41"/>
    <w:rsid w:val="00D91ED7"/>
    <w:rsid w:val="00D9267C"/>
    <w:rsid w:val="00D9324C"/>
    <w:rsid w:val="00D93375"/>
    <w:rsid w:val="00D93880"/>
    <w:rsid w:val="00D93D59"/>
    <w:rsid w:val="00D93EFF"/>
    <w:rsid w:val="00D93F72"/>
    <w:rsid w:val="00D9460D"/>
    <w:rsid w:val="00D956EF"/>
    <w:rsid w:val="00D96313"/>
    <w:rsid w:val="00D9676F"/>
    <w:rsid w:val="00D96A0F"/>
    <w:rsid w:val="00D96CB4"/>
    <w:rsid w:val="00D9711B"/>
    <w:rsid w:val="00D97CAE"/>
    <w:rsid w:val="00DA0552"/>
    <w:rsid w:val="00DA0B8A"/>
    <w:rsid w:val="00DA10D0"/>
    <w:rsid w:val="00DA11B2"/>
    <w:rsid w:val="00DA1AD0"/>
    <w:rsid w:val="00DA1BA7"/>
    <w:rsid w:val="00DA20B5"/>
    <w:rsid w:val="00DA22DA"/>
    <w:rsid w:val="00DA23DD"/>
    <w:rsid w:val="00DA2423"/>
    <w:rsid w:val="00DA287B"/>
    <w:rsid w:val="00DA2A96"/>
    <w:rsid w:val="00DA3080"/>
    <w:rsid w:val="00DA30A2"/>
    <w:rsid w:val="00DA337B"/>
    <w:rsid w:val="00DA390D"/>
    <w:rsid w:val="00DA3961"/>
    <w:rsid w:val="00DA436C"/>
    <w:rsid w:val="00DA44A8"/>
    <w:rsid w:val="00DA44CF"/>
    <w:rsid w:val="00DA5D0B"/>
    <w:rsid w:val="00DA5F76"/>
    <w:rsid w:val="00DA60A5"/>
    <w:rsid w:val="00DA60F5"/>
    <w:rsid w:val="00DA76EE"/>
    <w:rsid w:val="00DB01EA"/>
    <w:rsid w:val="00DB03AE"/>
    <w:rsid w:val="00DB03F6"/>
    <w:rsid w:val="00DB08CB"/>
    <w:rsid w:val="00DB0963"/>
    <w:rsid w:val="00DB0B52"/>
    <w:rsid w:val="00DB0FA3"/>
    <w:rsid w:val="00DB16C1"/>
    <w:rsid w:val="00DB1D88"/>
    <w:rsid w:val="00DB2595"/>
    <w:rsid w:val="00DB303F"/>
    <w:rsid w:val="00DB3421"/>
    <w:rsid w:val="00DB3635"/>
    <w:rsid w:val="00DB3C08"/>
    <w:rsid w:val="00DB4006"/>
    <w:rsid w:val="00DB42EF"/>
    <w:rsid w:val="00DB462A"/>
    <w:rsid w:val="00DB4B61"/>
    <w:rsid w:val="00DB55CE"/>
    <w:rsid w:val="00DB55F6"/>
    <w:rsid w:val="00DB5FF8"/>
    <w:rsid w:val="00DB64F5"/>
    <w:rsid w:val="00DB6CAF"/>
    <w:rsid w:val="00DB7164"/>
    <w:rsid w:val="00DB729B"/>
    <w:rsid w:val="00DB72CE"/>
    <w:rsid w:val="00DB7400"/>
    <w:rsid w:val="00DB7EB1"/>
    <w:rsid w:val="00DC02FC"/>
    <w:rsid w:val="00DC0347"/>
    <w:rsid w:val="00DC0ADA"/>
    <w:rsid w:val="00DC0CF6"/>
    <w:rsid w:val="00DC0FE9"/>
    <w:rsid w:val="00DC13C3"/>
    <w:rsid w:val="00DC1C03"/>
    <w:rsid w:val="00DC2212"/>
    <w:rsid w:val="00DC252D"/>
    <w:rsid w:val="00DC2595"/>
    <w:rsid w:val="00DC2823"/>
    <w:rsid w:val="00DC2C47"/>
    <w:rsid w:val="00DC2DF4"/>
    <w:rsid w:val="00DC30E1"/>
    <w:rsid w:val="00DC31F2"/>
    <w:rsid w:val="00DC35F6"/>
    <w:rsid w:val="00DC3752"/>
    <w:rsid w:val="00DC3898"/>
    <w:rsid w:val="00DC4083"/>
    <w:rsid w:val="00DC48DF"/>
    <w:rsid w:val="00DC5D8A"/>
    <w:rsid w:val="00DC6572"/>
    <w:rsid w:val="00DC6E4A"/>
    <w:rsid w:val="00DC789A"/>
    <w:rsid w:val="00DC7912"/>
    <w:rsid w:val="00DC7AEF"/>
    <w:rsid w:val="00DD0D38"/>
    <w:rsid w:val="00DD0D67"/>
    <w:rsid w:val="00DD0D77"/>
    <w:rsid w:val="00DD0E2A"/>
    <w:rsid w:val="00DD15E7"/>
    <w:rsid w:val="00DD16E2"/>
    <w:rsid w:val="00DD1A0F"/>
    <w:rsid w:val="00DD1C3A"/>
    <w:rsid w:val="00DD2514"/>
    <w:rsid w:val="00DD25D6"/>
    <w:rsid w:val="00DD3364"/>
    <w:rsid w:val="00DD3CA2"/>
    <w:rsid w:val="00DD3E8E"/>
    <w:rsid w:val="00DD4038"/>
    <w:rsid w:val="00DD40B6"/>
    <w:rsid w:val="00DD426B"/>
    <w:rsid w:val="00DD46E2"/>
    <w:rsid w:val="00DD485A"/>
    <w:rsid w:val="00DD51F6"/>
    <w:rsid w:val="00DD595A"/>
    <w:rsid w:val="00DD5BB8"/>
    <w:rsid w:val="00DD685B"/>
    <w:rsid w:val="00DD6A64"/>
    <w:rsid w:val="00DD6C94"/>
    <w:rsid w:val="00DD711F"/>
    <w:rsid w:val="00DD7703"/>
    <w:rsid w:val="00DE1838"/>
    <w:rsid w:val="00DE1CB1"/>
    <w:rsid w:val="00DE2409"/>
    <w:rsid w:val="00DE339D"/>
    <w:rsid w:val="00DE3621"/>
    <w:rsid w:val="00DE3788"/>
    <w:rsid w:val="00DE3F28"/>
    <w:rsid w:val="00DE41A5"/>
    <w:rsid w:val="00DE44B4"/>
    <w:rsid w:val="00DE588F"/>
    <w:rsid w:val="00DE5E98"/>
    <w:rsid w:val="00DE63D0"/>
    <w:rsid w:val="00DE67D6"/>
    <w:rsid w:val="00DE67EC"/>
    <w:rsid w:val="00DE69D3"/>
    <w:rsid w:val="00DE6A43"/>
    <w:rsid w:val="00DE6DF3"/>
    <w:rsid w:val="00DE7542"/>
    <w:rsid w:val="00DE77A1"/>
    <w:rsid w:val="00DE77C6"/>
    <w:rsid w:val="00DE79D6"/>
    <w:rsid w:val="00DF0045"/>
    <w:rsid w:val="00DF03B1"/>
    <w:rsid w:val="00DF04D2"/>
    <w:rsid w:val="00DF0775"/>
    <w:rsid w:val="00DF083E"/>
    <w:rsid w:val="00DF0AD2"/>
    <w:rsid w:val="00DF11E3"/>
    <w:rsid w:val="00DF13B9"/>
    <w:rsid w:val="00DF192E"/>
    <w:rsid w:val="00DF1FD5"/>
    <w:rsid w:val="00DF22CE"/>
    <w:rsid w:val="00DF29F8"/>
    <w:rsid w:val="00DF3641"/>
    <w:rsid w:val="00DF366D"/>
    <w:rsid w:val="00DF37D4"/>
    <w:rsid w:val="00DF38AD"/>
    <w:rsid w:val="00DF3917"/>
    <w:rsid w:val="00DF3D97"/>
    <w:rsid w:val="00DF3F0D"/>
    <w:rsid w:val="00DF4271"/>
    <w:rsid w:val="00DF4521"/>
    <w:rsid w:val="00DF45B7"/>
    <w:rsid w:val="00DF4C0F"/>
    <w:rsid w:val="00DF5008"/>
    <w:rsid w:val="00DF50ED"/>
    <w:rsid w:val="00DF60B0"/>
    <w:rsid w:val="00DF61F5"/>
    <w:rsid w:val="00DF66C8"/>
    <w:rsid w:val="00DF6C17"/>
    <w:rsid w:val="00DF75EA"/>
    <w:rsid w:val="00DF785E"/>
    <w:rsid w:val="00DF7966"/>
    <w:rsid w:val="00DF7B53"/>
    <w:rsid w:val="00DF7F08"/>
    <w:rsid w:val="00E002A8"/>
    <w:rsid w:val="00E00F89"/>
    <w:rsid w:val="00E015E4"/>
    <w:rsid w:val="00E01F35"/>
    <w:rsid w:val="00E022E5"/>
    <w:rsid w:val="00E026D3"/>
    <w:rsid w:val="00E02A18"/>
    <w:rsid w:val="00E02E9C"/>
    <w:rsid w:val="00E02FD4"/>
    <w:rsid w:val="00E03BC7"/>
    <w:rsid w:val="00E04230"/>
    <w:rsid w:val="00E04676"/>
    <w:rsid w:val="00E04D1A"/>
    <w:rsid w:val="00E051E0"/>
    <w:rsid w:val="00E05662"/>
    <w:rsid w:val="00E0571C"/>
    <w:rsid w:val="00E062CB"/>
    <w:rsid w:val="00E063FD"/>
    <w:rsid w:val="00E065B4"/>
    <w:rsid w:val="00E0674D"/>
    <w:rsid w:val="00E06835"/>
    <w:rsid w:val="00E07183"/>
    <w:rsid w:val="00E071DA"/>
    <w:rsid w:val="00E07776"/>
    <w:rsid w:val="00E1026F"/>
    <w:rsid w:val="00E1047C"/>
    <w:rsid w:val="00E10699"/>
    <w:rsid w:val="00E10812"/>
    <w:rsid w:val="00E11FFD"/>
    <w:rsid w:val="00E1228F"/>
    <w:rsid w:val="00E12A15"/>
    <w:rsid w:val="00E135D6"/>
    <w:rsid w:val="00E1369C"/>
    <w:rsid w:val="00E13807"/>
    <w:rsid w:val="00E13B1D"/>
    <w:rsid w:val="00E13D11"/>
    <w:rsid w:val="00E14011"/>
    <w:rsid w:val="00E14176"/>
    <w:rsid w:val="00E144AC"/>
    <w:rsid w:val="00E1539A"/>
    <w:rsid w:val="00E1592F"/>
    <w:rsid w:val="00E15C72"/>
    <w:rsid w:val="00E1606C"/>
    <w:rsid w:val="00E16ABA"/>
    <w:rsid w:val="00E16E41"/>
    <w:rsid w:val="00E20246"/>
    <w:rsid w:val="00E20B38"/>
    <w:rsid w:val="00E20C45"/>
    <w:rsid w:val="00E2103F"/>
    <w:rsid w:val="00E2132A"/>
    <w:rsid w:val="00E21C0D"/>
    <w:rsid w:val="00E223F5"/>
    <w:rsid w:val="00E224BF"/>
    <w:rsid w:val="00E22708"/>
    <w:rsid w:val="00E22D70"/>
    <w:rsid w:val="00E23C85"/>
    <w:rsid w:val="00E23D60"/>
    <w:rsid w:val="00E23E5D"/>
    <w:rsid w:val="00E24D8A"/>
    <w:rsid w:val="00E24F54"/>
    <w:rsid w:val="00E2516F"/>
    <w:rsid w:val="00E25B4D"/>
    <w:rsid w:val="00E25BB7"/>
    <w:rsid w:val="00E261B9"/>
    <w:rsid w:val="00E263E0"/>
    <w:rsid w:val="00E26ABB"/>
    <w:rsid w:val="00E26CC1"/>
    <w:rsid w:val="00E27589"/>
    <w:rsid w:val="00E27F3C"/>
    <w:rsid w:val="00E30084"/>
    <w:rsid w:val="00E30488"/>
    <w:rsid w:val="00E3049E"/>
    <w:rsid w:val="00E30B31"/>
    <w:rsid w:val="00E320D0"/>
    <w:rsid w:val="00E3241F"/>
    <w:rsid w:val="00E32A87"/>
    <w:rsid w:val="00E3369A"/>
    <w:rsid w:val="00E338C8"/>
    <w:rsid w:val="00E349A4"/>
    <w:rsid w:val="00E3565C"/>
    <w:rsid w:val="00E3565D"/>
    <w:rsid w:val="00E35B26"/>
    <w:rsid w:val="00E35B99"/>
    <w:rsid w:val="00E35F79"/>
    <w:rsid w:val="00E36F91"/>
    <w:rsid w:val="00E37058"/>
    <w:rsid w:val="00E3706C"/>
    <w:rsid w:val="00E37635"/>
    <w:rsid w:val="00E37E6C"/>
    <w:rsid w:val="00E37E6F"/>
    <w:rsid w:val="00E4049E"/>
    <w:rsid w:val="00E407DD"/>
    <w:rsid w:val="00E408E3"/>
    <w:rsid w:val="00E40B5B"/>
    <w:rsid w:val="00E419AE"/>
    <w:rsid w:val="00E41B74"/>
    <w:rsid w:val="00E41E7E"/>
    <w:rsid w:val="00E4268B"/>
    <w:rsid w:val="00E426DF"/>
    <w:rsid w:val="00E42B80"/>
    <w:rsid w:val="00E43152"/>
    <w:rsid w:val="00E434DF"/>
    <w:rsid w:val="00E437C3"/>
    <w:rsid w:val="00E439D0"/>
    <w:rsid w:val="00E43AB5"/>
    <w:rsid w:val="00E44055"/>
    <w:rsid w:val="00E449C2"/>
    <w:rsid w:val="00E44BE3"/>
    <w:rsid w:val="00E44ED4"/>
    <w:rsid w:val="00E45058"/>
    <w:rsid w:val="00E4511B"/>
    <w:rsid w:val="00E45D71"/>
    <w:rsid w:val="00E45E18"/>
    <w:rsid w:val="00E463DA"/>
    <w:rsid w:val="00E46DC7"/>
    <w:rsid w:val="00E47164"/>
    <w:rsid w:val="00E4733A"/>
    <w:rsid w:val="00E47789"/>
    <w:rsid w:val="00E47B32"/>
    <w:rsid w:val="00E509B9"/>
    <w:rsid w:val="00E5153C"/>
    <w:rsid w:val="00E5191C"/>
    <w:rsid w:val="00E51D90"/>
    <w:rsid w:val="00E52A6D"/>
    <w:rsid w:val="00E52BAA"/>
    <w:rsid w:val="00E530B3"/>
    <w:rsid w:val="00E531F6"/>
    <w:rsid w:val="00E53746"/>
    <w:rsid w:val="00E53836"/>
    <w:rsid w:val="00E53B79"/>
    <w:rsid w:val="00E54441"/>
    <w:rsid w:val="00E55B2B"/>
    <w:rsid w:val="00E55DFF"/>
    <w:rsid w:val="00E560B2"/>
    <w:rsid w:val="00E56AC0"/>
    <w:rsid w:val="00E56B77"/>
    <w:rsid w:val="00E57273"/>
    <w:rsid w:val="00E6064A"/>
    <w:rsid w:val="00E607E0"/>
    <w:rsid w:val="00E60CD8"/>
    <w:rsid w:val="00E60D1A"/>
    <w:rsid w:val="00E60EA0"/>
    <w:rsid w:val="00E60FC7"/>
    <w:rsid w:val="00E6149B"/>
    <w:rsid w:val="00E61515"/>
    <w:rsid w:val="00E6151D"/>
    <w:rsid w:val="00E617F8"/>
    <w:rsid w:val="00E619A3"/>
    <w:rsid w:val="00E622A8"/>
    <w:rsid w:val="00E628CC"/>
    <w:rsid w:val="00E62926"/>
    <w:rsid w:val="00E62927"/>
    <w:rsid w:val="00E62DC6"/>
    <w:rsid w:val="00E637B9"/>
    <w:rsid w:val="00E638B3"/>
    <w:rsid w:val="00E6484D"/>
    <w:rsid w:val="00E6509F"/>
    <w:rsid w:val="00E65133"/>
    <w:rsid w:val="00E652D5"/>
    <w:rsid w:val="00E659DE"/>
    <w:rsid w:val="00E66062"/>
    <w:rsid w:val="00E6619D"/>
    <w:rsid w:val="00E662A0"/>
    <w:rsid w:val="00E666A6"/>
    <w:rsid w:val="00E6684C"/>
    <w:rsid w:val="00E668C9"/>
    <w:rsid w:val="00E67841"/>
    <w:rsid w:val="00E67FD8"/>
    <w:rsid w:val="00E7067A"/>
    <w:rsid w:val="00E7069F"/>
    <w:rsid w:val="00E70EF9"/>
    <w:rsid w:val="00E71CE6"/>
    <w:rsid w:val="00E72BFE"/>
    <w:rsid w:val="00E7413E"/>
    <w:rsid w:val="00E74797"/>
    <w:rsid w:val="00E74812"/>
    <w:rsid w:val="00E74B4E"/>
    <w:rsid w:val="00E74E4C"/>
    <w:rsid w:val="00E74F22"/>
    <w:rsid w:val="00E74F9D"/>
    <w:rsid w:val="00E75009"/>
    <w:rsid w:val="00E76D59"/>
    <w:rsid w:val="00E76DC9"/>
    <w:rsid w:val="00E771C7"/>
    <w:rsid w:val="00E77537"/>
    <w:rsid w:val="00E775CE"/>
    <w:rsid w:val="00E77BB8"/>
    <w:rsid w:val="00E77D3B"/>
    <w:rsid w:val="00E803E8"/>
    <w:rsid w:val="00E80A1D"/>
    <w:rsid w:val="00E80A39"/>
    <w:rsid w:val="00E80C56"/>
    <w:rsid w:val="00E81AE7"/>
    <w:rsid w:val="00E81C52"/>
    <w:rsid w:val="00E82574"/>
    <w:rsid w:val="00E82DA4"/>
    <w:rsid w:val="00E832E5"/>
    <w:rsid w:val="00E83961"/>
    <w:rsid w:val="00E83C11"/>
    <w:rsid w:val="00E84B5E"/>
    <w:rsid w:val="00E850CB"/>
    <w:rsid w:val="00E857B8"/>
    <w:rsid w:val="00E857CA"/>
    <w:rsid w:val="00E85E41"/>
    <w:rsid w:val="00E86143"/>
    <w:rsid w:val="00E8628F"/>
    <w:rsid w:val="00E867B0"/>
    <w:rsid w:val="00E86BE8"/>
    <w:rsid w:val="00E86CF3"/>
    <w:rsid w:val="00E86D30"/>
    <w:rsid w:val="00E8711A"/>
    <w:rsid w:val="00E8736B"/>
    <w:rsid w:val="00E87723"/>
    <w:rsid w:val="00E87731"/>
    <w:rsid w:val="00E903B8"/>
    <w:rsid w:val="00E904FD"/>
    <w:rsid w:val="00E90B67"/>
    <w:rsid w:val="00E90F78"/>
    <w:rsid w:val="00E913B9"/>
    <w:rsid w:val="00E914AE"/>
    <w:rsid w:val="00E92A47"/>
    <w:rsid w:val="00E92ABD"/>
    <w:rsid w:val="00E92C6C"/>
    <w:rsid w:val="00E9374F"/>
    <w:rsid w:val="00E9376F"/>
    <w:rsid w:val="00E938A4"/>
    <w:rsid w:val="00E93982"/>
    <w:rsid w:val="00E93F0E"/>
    <w:rsid w:val="00E940C7"/>
    <w:rsid w:val="00E94809"/>
    <w:rsid w:val="00E95001"/>
    <w:rsid w:val="00E9546D"/>
    <w:rsid w:val="00E95549"/>
    <w:rsid w:val="00E95C8E"/>
    <w:rsid w:val="00E95D30"/>
    <w:rsid w:val="00E95FB3"/>
    <w:rsid w:val="00E95FDF"/>
    <w:rsid w:val="00E9626E"/>
    <w:rsid w:val="00E964E7"/>
    <w:rsid w:val="00E96825"/>
    <w:rsid w:val="00E969FB"/>
    <w:rsid w:val="00E96A96"/>
    <w:rsid w:val="00E96B9E"/>
    <w:rsid w:val="00E977BC"/>
    <w:rsid w:val="00E978C5"/>
    <w:rsid w:val="00E9799F"/>
    <w:rsid w:val="00E97AF9"/>
    <w:rsid w:val="00E97E73"/>
    <w:rsid w:val="00EA066A"/>
    <w:rsid w:val="00EA0C7F"/>
    <w:rsid w:val="00EA0DAD"/>
    <w:rsid w:val="00EA1680"/>
    <w:rsid w:val="00EA183B"/>
    <w:rsid w:val="00EA2393"/>
    <w:rsid w:val="00EA2EEA"/>
    <w:rsid w:val="00EA2F66"/>
    <w:rsid w:val="00EA434B"/>
    <w:rsid w:val="00EA481C"/>
    <w:rsid w:val="00EA4941"/>
    <w:rsid w:val="00EA4D30"/>
    <w:rsid w:val="00EA500C"/>
    <w:rsid w:val="00EA58FA"/>
    <w:rsid w:val="00EA5EF9"/>
    <w:rsid w:val="00EA6927"/>
    <w:rsid w:val="00EA69BF"/>
    <w:rsid w:val="00EA6C58"/>
    <w:rsid w:val="00EA6DC0"/>
    <w:rsid w:val="00EA7048"/>
    <w:rsid w:val="00EA7395"/>
    <w:rsid w:val="00EA7A42"/>
    <w:rsid w:val="00EA7B4E"/>
    <w:rsid w:val="00EB00B9"/>
    <w:rsid w:val="00EB0319"/>
    <w:rsid w:val="00EB04DA"/>
    <w:rsid w:val="00EB0755"/>
    <w:rsid w:val="00EB0885"/>
    <w:rsid w:val="00EB0AC1"/>
    <w:rsid w:val="00EB14CF"/>
    <w:rsid w:val="00EB1DC5"/>
    <w:rsid w:val="00EB229C"/>
    <w:rsid w:val="00EB237F"/>
    <w:rsid w:val="00EB2481"/>
    <w:rsid w:val="00EB271B"/>
    <w:rsid w:val="00EB2832"/>
    <w:rsid w:val="00EB29E1"/>
    <w:rsid w:val="00EB37D4"/>
    <w:rsid w:val="00EB3EF5"/>
    <w:rsid w:val="00EB4734"/>
    <w:rsid w:val="00EB4ACF"/>
    <w:rsid w:val="00EB614B"/>
    <w:rsid w:val="00EB614D"/>
    <w:rsid w:val="00EB625F"/>
    <w:rsid w:val="00EB6482"/>
    <w:rsid w:val="00EB6614"/>
    <w:rsid w:val="00EB72DF"/>
    <w:rsid w:val="00EB7794"/>
    <w:rsid w:val="00EB7E0B"/>
    <w:rsid w:val="00EB7E6D"/>
    <w:rsid w:val="00EC015F"/>
    <w:rsid w:val="00EC0184"/>
    <w:rsid w:val="00EC0243"/>
    <w:rsid w:val="00EC0D5D"/>
    <w:rsid w:val="00EC1506"/>
    <w:rsid w:val="00EC170B"/>
    <w:rsid w:val="00EC1C2C"/>
    <w:rsid w:val="00EC1E41"/>
    <w:rsid w:val="00EC1FEB"/>
    <w:rsid w:val="00EC2F83"/>
    <w:rsid w:val="00EC3215"/>
    <w:rsid w:val="00EC323A"/>
    <w:rsid w:val="00EC3438"/>
    <w:rsid w:val="00EC34F3"/>
    <w:rsid w:val="00EC43FB"/>
    <w:rsid w:val="00EC640B"/>
    <w:rsid w:val="00EC6760"/>
    <w:rsid w:val="00EC686B"/>
    <w:rsid w:val="00EC699C"/>
    <w:rsid w:val="00EC6CB8"/>
    <w:rsid w:val="00EC6EDD"/>
    <w:rsid w:val="00EC706B"/>
    <w:rsid w:val="00EC712E"/>
    <w:rsid w:val="00EC7384"/>
    <w:rsid w:val="00EC7473"/>
    <w:rsid w:val="00EC754B"/>
    <w:rsid w:val="00ED0702"/>
    <w:rsid w:val="00ED0998"/>
    <w:rsid w:val="00ED0A64"/>
    <w:rsid w:val="00ED0C89"/>
    <w:rsid w:val="00ED0E87"/>
    <w:rsid w:val="00ED1382"/>
    <w:rsid w:val="00ED1CD0"/>
    <w:rsid w:val="00ED1D38"/>
    <w:rsid w:val="00ED2504"/>
    <w:rsid w:val="00ED294F"/>
    <w:rsid w:val="00ED2A18"/>
    <w:rsid w:val="00ED311E"/>
    <w:rsid w:val="00ED3561"/>
    <w:rsid w:val="00ED48B7"/>
    <w:rsid w:val="00ED5091"/>
    <w:rsid w:val="00ED51C6"/>
    <w:rsid w:val="00ED51E1"/>
    <w:rsid w:val="00ED550D"/>
    <w:rsid w:val="00ED5738"/>
    <w:rsid w:val="00ED5DDE"/>
    <w:rsid w:val="00ED62E3"/>
    <w:rsid w:val="00ED631F"/>
    <w:rsid w:val="00ED6839"/>
    <w:rsid w:val="00ED6A84"/>
    <w:rsid w:val="00ED6BF7"/>
    <w:rsid w:val="00ED724E"/>
    <w:rsid w:val="00ED7299"/>
    <w:rsid w:val="00EE0161"/>
    <w:rsid w:val="00EE1028"/>
    <w:rsid w:val="00EE1AB2"/>
    <w:rsid w:val="00EE1D2F"/>
    <w:rsid w:val="00EE1E29"/>
    <w:rsid w:val="00EE1F6F"/>
    <w:rsid w:val="00EE202C"/>
    <w:rsid w:val="00EE21ED"/>
    <w:rsid w:val="00EE2260"/>
    <w:rsid w:val="00EE25F8"/>
    <w:rsid w:val="00EE2CD7"/>
    <w:rsid w:val="00EE3096"/>
    <w:rsid w:val="00EE3257"/>
    <w:rsid w:val="00EE3966"/>
    <w:rsid w:val="00EE3C33"/>
    <w:rsid w:val="00EE3E73"/>
    <w:rsid w:val="00EE404E"/>
    <w:rsid w:val="00EE43A2"/>
    <w:rsid w:val="00EE47B1"/>
    <w:rsid w:val="00EE4AD9"/>
    <w:rsid w:val="00EE4F4E"/>
    <w:rsid w:val="00EE54A6"/>
    <w:rsid w:val="00EE5A5B"/>
    <w:rsid w:val="00EE5FB3"/>
    <w:rsid w:val="00EE613D"/>
    <w:rsid w:val="00EE61F7"/>
    <w:rsid w:val="00EE6240"/>
    <w:rsid w:val="00EE694F"/>
    <w:rsid w:val="00EE69A6"/>
    <w:rsid w:val="00EE7214"/>
    <w:rsid w:val="00EE7881"/>
    <w:rsid w:val="00EE78D6"/>
    <w:rsid w:val="00EE7967"/>
    <w:rsid w:val="00EE7D68"/>
    <w:rsid w:val="00EF013D"/>
    <w:rsid w:val="00EF0E51"/>
    <w:rsid w:val="00EF0E5D"/>
    <w:rsid w:val="00EF1608"/>
    <w:rsid w:val="00EF1A22"/>
    <w:rsid w:val="00EF1C38"/>
    <w:rsid w:val="00EF3CC3"/>
    <w:rsid w:val="00EF3F84"/>
    <w:rsid w:val="00EF4219"/>
    <w:rsid w:val="00EF47D9"/>
    <w:rsid w:val="00EF4C13"/>
    <w:rsid w:val="00EF5EBC"/>
    <w:rsid w:val="00EF634B"/>
    <w:rsid w:val="00EF6EE0"/>
    <w:rsid w:val="00EF75EA"/>
    <w:rsid w:val="00EF7BCF"/>
    <w:rsid w:val="00EF7E31"/>
    <w:rsid w:val="00F0009E"/>
    <w:rsid w:val="00F00771"/>
    <w:rsid w:val="00F00FB3"/>
    <w:rsid w:val="00F010F1"/>
    <w:rsid w:val="00F01340"/>
    <w:rsid w:val="00F019E5"/>
    <w:rsid w:val="00F01A09"/>
    <w:rsid w:val="00F02504"/>
    <w:rsid w:val="00F02872"/>
    <w:rsid w:val="00F03044"/>
    <w:rsid w:val="00F03393"/>
    <w:rsid w:val="00F03FDA"/>
    <w:rsid w:val="00F04AC3"/>
    <w:rsid w:val="00F04BDE"/>
    <w:rsid w:val="00F05B4C"/>
    <w:rsid w:val="00F05D30"/>
    <w:rsid w:val="00F06266"/>
    <w:rsid w:val="00F0672B"/>
    <w:rsid w:val="00F06E5D"/>
    <w:rsid w:val="00F074E2"/>
    <w:rsid w:val="00F0768C"/>
    <w:rsid w:val="00F102B2"/>
    <w:rsid w:val="00F10896"/>
    <w:rsid w:val="00F109F5"/>
    <w:rsid w:val="00F10F3F"/>
    <w:rsid w:val="00F114AC"/>
    <w:rsid w:val="00F11EEA"/>
    <w:rsid w:val="00F1254A"/>
    <w:rsid w:val="00F12D5D"/>
    <w:rsid w:val="00F13545"/>
    <w:rsid w:val="00F13F6D"/>
    <w:rsid w:val="00F14F2A"/>
    <w:rsid w:val="00F15167"/>
    <w:rsid w:val="00F158C0"/>
    <w:rsid w:val="00F161FA"/>
    <w:rsid w:val="00F16255"/>
    <w:rsid w:val="00F1654F"/>
    <w:rsid w:val="00F167BF"/>
    <w:rsid w:val="00F16C8E"/>
    <w:rsid w:val="00F16EF9"/>
    <w:rsid w:val="00F16F07"/>
    <w:rsid w:val="00F1719A"/>
    <w:rsid w:val="00F179C7"/>
    <w:rsid w:val="00F17DAA"/>
    <w:rsid w:val="00F17F1E"/>
    <w:rsid w:val="00F2038B"/>
    <w:rsid w:val="00F209AB"/>
    <w:rsid w:val="00F20DB6"/>
    <w:rsid w:val="00F20F65"/>
    <w:rsid w:val="00F20FC5"/>
    <w:rsid w:val="00F21343"/>
    <w:rsid w:val="00F2172B"/>
    <w:rsid w:val="00F21CF9"/>
    <w:rsid w:val="00F21DD0"/>
    <w:rsid w:val="00F22393"/>
    <w:rsid w:val="00F223EE"/>
    <w:rsid w:val="00F22AF2"/>
    <w:rsid w:val="00F22D51"/>
    <w:rsid w:val="00F2306B"/>
    <w:rsid w:val="00F2338B"/>
    <w:rsid w:val="00F2362D"/>
    <w:rsid w:val="00F23ACF"/>
    <w:rsid w:val="00F23D3F"/>
    <w:rsid w:val="00F23EB0"/>
    <w:rsid w:val="00F24808"/>
    <w:rsid w:val="00F24EAE"/>
    <w:rsid w:val="00F2515E"/>
    <w:rsid w:val="00F2543C"/>
    <w:rsid w:val="00F25B8B"/>
    <w:rsid w:val="00F25EA9"/>
    <w:rsid w:val="00F27094"/>
    <w:rsid w:val="00F27299"/>
    <w:rsid w:val="00F2756F"/>
    <w:rsid w:val="00F275DF"/>
    <w:rsid w:val="00F276AE"/>
    <w:rsid w:val="00F278E3"/>
    <w:rsid w:val="00F27A6B"/>
    <w:rsid w:val="00F27C71"/>
    <w:rsid w:val="00F27D67"/>
    <w:rsid w:val="00F3065F"/>
    <w:rsid w:val="00F30699"/>
    <w:rsid w:val="00F30902"/>
    <w:rsid w:val="00F3092B"/>
    <w:rsid w:val="00F312BB"/>
    <w:rsid w:val="00F318F0"/>
    <w:rsid w:val="00F31ACE"/>
    <w:rsid w:val="00F31B62"/>
    <w:rsid w:val="00F31FA6"/>
    <w:rsid w:val="00F32BE4"/>
    <w:rsid w:val="00F32C7E"/>
    <w:rsid w:val="00F32E03"/>
    <w:rsid w:val="00F331EE"/>
    <w:rsid w:val="00F33698"/>
    <w:rsid w:val="00F33794"/>
    <w:rsid w:val="00F339D9"/>
    <w:rsid w:val="00F33B83"/>
    <w:rsid w:val="00F33CCB"/>
    <w:rsid w:val="00F33CFD"/>
    <w:rsid w:val="00F33F31"/>
    <w:rsid w:val="00F33FD6"/>
    <w:rsid w:val="00F3400E"/>
    <w:rsid w:val="00F349C9"/>
    <w:rsid w:val="00F34EFF"/>
    <w:rsid w:val="00F35DCC"/>
    <w:rsid w:val="00F362DF"/>
    <w:rsid w:val="00F36A74"/>
    <w:rsid w:val="00F36BC0"/>
    <w:rsid w:val="00F37053"/>
    <w:rsid w:val="00F372E2"/>
    <w:rsid w:val="00F3776E"/>
    <w:rsid w:val="00F37782"/>
    <w:rsid w:val="00F37947"/>
    <w:rsid w:val="00F37A3D"/>
    <w:rsid w:val="00F37F6D"/>
    <w:rsid w:val="00F4055C"/>
    <w:rsid w:val="00F40754"/>
    <w:rsid w:val="00F40A86"/>
    <w:rsid w:val="00F40C40"/>
    <w:rsid w:val="00F40D46"/>
    <w:rsid w:val="00F40ED6"/>
    <w:rsid w:val="00F40FF8"/>
    <w:rsid w:val="00F41006"/>
    <w:rsid w:val="00F4114A"/>
    <w:rsid w:val="00F411CD"/>
    <w:rsid w:val="00F413DD"/>
    <w:rsid w:val="00F417EF"/>
    <w:rsid w:val="00F4188F"/>
    <w:rsid w:val="00F41CE4"/>
    <w:rsid w:val="00F41E1C"/>
    <w:rsid w:val="00F41E95"/>
    <w:rsid w:val="00F41ECF"/>
    <w:rsid w:val="00F4212D"/>
    <w:rsid w:val="00F4226F"/>
    <w:rsid w:val="00F42337"/>
    <w:rsid w:val="00F426E2"/>
    <w:rsid w:val="00F427D4"/>
    <w:rsid w:val="00F428C0"/>
    <w:rsid w:val="00F42A57"/>
    <w:rsid w:val="00F42FB7"/>
    <w:rsid w:val="00F43634"/>
    <w:rsid w:val="00F439EF"/>
    <w:rsid w:val="00F44151"/>
    <w:rsid w:val="00F443CA"/>
    <w:rsid w:val="00F4478C"/>
    <w:rsid w:val="00F447C8"/>
    <w:rsid w:val="00F44D08"/>
    <w:rsid w:val="00F44E6B"/>
    <w:rsid w:val="00F453ED"/>
    <w:rsid w:val="00F45807"/>
    <w:rsid w:val="00F45903"/>
    <w:rsid w:val="00F45AB4"/>
    <w:rsid w:val="00F45ABF"/>
    <w:rsid w:val="00F45B05"/>
    <w:rsid w:val="00F45FAA"/>
    <w:rsid w:val="00F46332"/>
    <w:rsid w:val="00F463EE"/>
    <w:rsid w:val="00F47072"/>
    <w:rsid w:val="00F477B9"/>
    <w:rsid w:val="00F47DE5"/>
    <w:rsid w:val="00F50283"/>
    <w:rsid w:val="00F50318"/>
    <w:rsid w:val="00F50637"/>
    <w:rsid w:val="00F506B3"/>
    <w:rsid w:val="00F50738"/>
    <w:rsid w:val="00F509C3"/>
    <w:rsid w:val="00F50E1A"/>
    <w:rsid w:val="00F51486"/>
    <w:rsid w:val="00F51531"/>
    <w:rsid w:val="00F51632"/>
    <w:rsid w:val="00F521FD"/>
    <w:rsid w:val="00F52558"/>
    <w:rsid w:val="00F52691"/>
    <w:rsid w:val="00F52E30"/>
    <w:rsid w:val="00F53135"/>
    <w:rsid w:val="00F535CC"/>
    <w:rsid w:val="00F53EBA"/>
    <w:rsid w:val="00F53F2D"/>
    <w:rsid w:val="00F54156"/>
    <w:rsid w:val="00F542C1"/>
    <w:rsid w:val="00F5473B"/>
    <w:rsid w:val="00F54D6D"/>
    <w:rsid w:val="00F555F0"/>
    <w:rsid w:val="00F5565E"/>
    <w:rsid w:val="00F56279"/>
    <w:rsid w:val="00F56336"/>
    <w:rsid w:val="00F563D6"/>
    <w:rsid w:val="00F5677D"/>
    <w:rsid w:val="00F56B85"/>
    <w:rsid w:val="00F56E0B"/>
    <w:rsid w:val="00F57717"/>
    <w:rsid w:val="00F6010F"/>
    <w:rsid w:val="00F60788"/>
    <w:rsid w:val="00F608B9"/>
    <w:rsid w:val="00F60A2D"/>
    <w:rsid w:val="00F60E13"/>
    <w:rsid w:val="00F60EB2"/>
    <w:rsid w:val="00F610AD"/>
    <w:rsid w:val="00F615DC"/>
    <w:rsid w:val="00F6193C"/>
    <w:rsid w:val="00F61A8C"/>
    <w:rsid w:val="00F61BBA"/>
    <w:rsid w:val="00F62099"/>
    <w:rsid w:val="00F6214C"/>
    <w:rsid w:val="00F62477"/>
    <w:rsid w:val="00F625EC"/>
    <w:rsid w:val="00F6291C"/>
    <w:rsid w:val="00F6345A"/>
    <w:rsid w:val="00F63464"/>
    <w:rsid w:val="00F637BB"/>
    <w:rsid w:val="00F6497B"/>
    <w:rsid w:val="00F64B34"/>
    <w:rsid w:val="00F64C09"/>
    <w:rsid w:val="00F6507E"/>
    <w:rsid w:val="00F650A5"/>
    <w:rsid w:val="00F651EC"/>
    <w:rsid w:val="00F656DB"/>
    <w:rsid w:val="00F658CC"/>
    <w:rsid w:val="00F6615B"/>
    <w:rsid w:val="00F66CB0"/>
    <w:rsid w:val="00F67775"/>
    <w:rsid w:val="00F679F2"/>
    <w:rsid w:val="00F67B0E"/>
    <w:rsid w:val="00F67E49"/>
    <w:rsid w:val="00F7088E"/>
    <w:rsid w:val="00F722A3"/>
    <w:rsid w:val="00F72EAA"/>
    <w:rsid w:val="00F7301E"/>
    <w:rsid w:val="00F7367E"/>
    <w:rsid w:val="00F73F12"/>
    <w:rsid w:val="00F741A7"/>
    <w:rsid w:val="00F742F8"/>
    <w:rsid w:val="00F748EA"/>
    <w:rsid w:val="00F74F7D"/>
    <w:rsid w:val="00F75095"/>
    <w:rsid w:val="00F75737"/>
    <w:rsid w:val="00F757AF"/>
    <w:rsid w:val="00F75ADC"/>
    <w:rsid w:val="00F76408"/>
    <w:rsid w:val="00F7716E"/>
    <w:rsid w:val="00F7741E"/>
    <w:rsid w:val="00F77932"/>
    <w:rsid w:val="00F77ED9"/>
    <w:rsid w:val="00F806A0"/>
    <w:rsid w:val="00F80AEA"/>
    <w:rsid w:val="00F811DB"/>
    <w:rsid w:val="00F81D31"/>
    <w:rsid w:val="00F82763"/>
    <w:rsid w:val="00F82F24"/>
    <w:rsid w:val="00F8314A"/>
    <w:rsid w:val="00F8406A"/>
    <w:rsid w:val="00F84103"/>
    <w:rsid w:val="00F845C6"/>
    <w:rsid w:val="00F84A0B"/>
    <w:rsid w:val="00F84E22"/>
    <w:rsid w:val="00F84FCB"/>
    <w:rsid w:val="00F8563D"/>
    <w:rsid w:val="00F85F25"/>
    <w:rsid w:val="00F865E8"/>
    <w:rsid w:val="00F86DCE"/>
    <w:rsid w:val="00F87CFF"/>
    <w:rsid w:val="00F903BE"/>
    <w:rsid w:val="00F907A8"/>
    <w:rsid w:val="00F907E5"/>
    <w:rsid w:val="00F90CF2"/>
    <w:rsid w:val="00F910D2"/>
    <w:rsid w:val="00F91F0C"/>
    <w:rsid w:val="00F92250"/>
    <w:rsid w:val="00F928A8"/>
    <w:rsid w:val="00F92ADD"/>
    <w:rsid w:val="00F92C05"/>
    <w:rsid w:val="00F92C7C"/>
    <w:rsid w:val="00F93010"/>
    <w:rsid w:val="00F934FD"/>
    <w:rsid w:val="00F93CDA"/>
    <w:rsid w:val="00F93ED7"/>
    <w:rsid w:val="00F941F2"/>
    <w:rsid w:val="00F94534"/>
    <w:rsid w:val="00F94744"/>
    <w:rsid w:val="00F94CE4"/>
    <w:rsid w:val="00F94DD3"/>
    <w:rsid w:val="00F951A9"/>
    <w:rsid w:val="00F952E3"/>
    <w:rsid w:val="00F9554F"/>
    <w:rsid w:val="00F95E69"/>
    <w:rsid w:val="00F9680E"/>
    <w:rsid w:val="00F96D0D"/>
    <w:rsid w:val="00F96ECE"/>
    <w:rsid w:val="00F972E0"/>
    <w:rsid w:val="00F9757F"/>
    <w:rsid w:val="00F979C4"/>
    <w:rsid w:val="00FA028E"/>
    <w:rsid w:val="00FA0BBC"/>
    <w:rsid w:val="00FA0D03"/>
    <w:rsid w:val="00FA1250"/>
    <w:rsid w:val="00FA166F"/>
    <w:rsid w:val="00FA1898"/>
    <w:rsid w:val="00FA19C2"/>
    <w:rsid w:val="00FA1FDE"/>
    <w:rsid w:val="00FA246F"/>
    <w:rsid w:val="00FA26D3"/>
    <w:rsid w:val="00FA2779"/>
    <w:rsid w:val="00FA2866"/>
    <w:rsid w:val="00FA2B05"/>
    <w:rsid w:val="00FA2EEB"/>
    <w:rsid w:val="00FA3BCB"/>
    <w:rsid w:val="00FA3DAE"/>
    <w:rsid w:val="00FA4124"/>
    <w:rsid w:val="00FA45D6"/>
    <w:rsid w:val="00FA4D9A"/>
    <w:rsid w:val="00FA5B63"/>
    <w:rsid w:val="00FA5C13"/>
    <w:rsid w:val="00FA6518"/>
    <w:rsid w:val="00FA699D"/>
    <w:rsid w:val="00FA718D"/>
    <w:rsid w:val="00FA71CF"/>
    <w:rsid w:val="00FB064C"/>
    <w:rsid w:val="00FB0999"/>
    <w:rsid w:val="00FB0DF1"/>
    <w:rsid w:val="00FB11D0"/>
    <w:rsid w:val="00FB278F"/>
    <w:rsid w:val="00FB3860"/>
    <w:rsid w:val="00FB4124"/>
    <w:rsid w:val="00FB41EA"/>
    <w:rsid w:val="00FB4505"/>
    <w:rsid w:val="00FB458E"/>
    <w:rsid w:val="00FB4E26"/>
    <w:rsid w:val="00FB4F97"/>
    <w:rsid w:val="00FB5520"/>
    <w:rsid w:val="00FB581D"/>
    <w:rsid w:val="00FB5FA6"/>
    <w:rsid w:val="00FB6278"/>
    <w:rsid w:val="00FB6606"/>
    <w:rsid w:val="00FB691E"/>
    <w:rsid w:val="00FB6C43"/>
    <w:rsid w:val="00FB7491"/>
    <w:rsid w:val="00FB74EE"/>
    <w:rsid w:val="00FB7AE4"/>
    <w:rsid w:val="00FC0422"/>
    <w:rsid w:val="00FC10AB"/>
    <w:rsid w:val="00FC1204"/>
    <w:rsid w:val="00FC1857"/>
    <w:rsid w:val="00FC1C68"/>
    <w:rsid w:val="00FC1EC4"/>
    <w:rsid w:val="00FC1ECF"/>
    <w:rsid w:val="00FC2237"/>
    <w:rsid w:val="00FC2360"/>
    <w:rsid w:val="00FC292E"/>
    <w:rsid w:val="00FC2C44"/>
    <w:rsid w:val="00FC2CAA"/>
    <w:rsid w:val="00FC2D3D"/>
    <w:rsid w:val="00FC2F33"/>
    <w:rsid w:val="00FC3717"/>
    <w:rsid w:val="00FC39AA"/>
    <w:rsid w:val="00FC3ECC"/>
    <w:rsid w:val="00FC416F"/>
    <w:rsid w:val="00FC4480"/>
    <w:rsid w:val="00FC48E4"/>
    <w:rsid w:val="00FC51D0"/>
    <w:rsid w:val="00FC521F"/>
    <w:rsid w:val="00FC5490"/>
    <w:rsid w:val="00FC6FC5"/>
    <w:rsid w:val="00FC70F5"/>
    <w:rsid w:val="00FC7830"/>
    <w:rsid w:val="00FC794E"/>
    <w:rsid w:val="00FD0472"/>
    <w:rsid w:val="00FD065E"/>
    <w:rsid w:val="00FD07C3"/>
    <w:rsid w:val="00FD08ED"/>
    <w:rsid w:val="00FD0989"/>
    <w:rsid w:val="00FD0A83"/>
    <w:rsid w:val="00FD0AE7"/>
    <w:rsid w:val="00FD0CDD"/>
    <w:rsid w:val="00FD0D3E"/>
    <w:rsid w:val="00FD133A"/>
    <w:rsid w:val="00FD168D"/>
    <w:rsid w:val="00FD1691"/>
    <w:rsid w:val="00FD2648"/>
    <w:rsid w:val="00FD26E5"/>
    <w:rsid w:val="00FD2792"/>
    <w:rsid w:val="00FD336B"/>
    <w:rsid w:val="00FD4095"/>
    <w:rsid w:val="00FD43E0"/>
    <w:rsid w:val="00FD468D"/>
    <w:rsid w:val="00FD48E7"/>
    <w:rsid w:val="00FD4BE0"/>
    <w:rsid w:val="00FD4DC7"/>
    <w:rsid w:val="00FD4EC5"/>
    <w:rsid w:val="00FD5303"/>
    <w:rsid w:val="00FD59A1"/>
    <w:rsid w:val="00FD628F"/>
    <w:rsid w:val="00FD64E1"/>
    <w:rsid w:val="00FD66FF"/>
    <w:rsid w:val="00FD6A9B"/>
    <w:rsid w:val="00FD70C3"/>
    <w:rsid w:val="00FD7353"/>
    <w:rsid w:val="00FE0772"/>
    <w:rsid w:val="00FE07BB"/>
    <w:rsid w:val="00FE0A69"/>
    <w:rsid w:val="00FE1BD8"/>
    <w:rsid w:val="00FE21CE"/>
    <w:rsid w:val="00FE2660"/>
    <w:rsid w:val="00FE2D84"/>
    <w:rsid w:val="00FE2E29"/>
    <w:rsid w:val="00FE3921"/>
    <w:rsid w:val="00FE3954"/>
    <w:rsid w:val="00FE3A51"/>
    <w:rsid w:val="00FE3C08"/>
    <w:rsid w:val="00FE3E6A"/>
    <w:rsid w:val="00FE4165"/>
    <w:rsid w:val="00FE4299"/>
    <w:rsid w:val="00FE4F49"/>
    <w:rsid w:val="00FE5068"/>
    <w:rsid w:val="00FE57F9"/>
    <w:rsid w:val="00FE60C9"/>
    <w:rsid w:val="00FE6A9C"/>
    <w:rsid w:val="00FE7079"/>
    <w:rsid w:val="00FE723F"/>
    <w:rsid w:val="00FE7374"/>
    <w:rsid w:val="00FE795F"/>
    <w:rsid w:val="00FE7A65"/>
    <w:rsid w:val="00FF0245"/>
    <w:rsid w:val="00FF046F"/>
    <w:rsid w:val="00FF0899"/>
    <w:rsid w:val="00FF1A6D"/>
    <w:rsid w:val="00FF20B9"/>
    <w:rsid w:val="00FF36AF"/>
    <w:rsid w:val="00FF3898"/>
    <w:rsid w:val="00FF3A16"/>
    <w:rsid w:val="00FF3E53"/>
    <w:rsid w:val="00FF407A"/>
    <w:rsid w:val="00FF4E65"/>
    <w:rsid w:val="00FF5D58"/>
    <w:rsid w:val="00FF6B01"/>
    <w:rsid w:val="00FF6C35"/>
    <w:rsid w:val="00FF6D58"/>
    <w:rsid w:val="00FF703B"/>
    <w:rsid w:val="00FF7085"/>
    <w:rsid w:val="00FF7444"/>
    <w:rsid w:val="00FF7630"/>
    <w:rsid w:val="00FF7646"/>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4C18CA29"/>
  <w15:docId w15:val="{7FC832A0-08DE-41F1-94EE-E31BA53C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uiPriority w:val="99"/>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99"/>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semiHidden/>
    <w:locked/>
    <w:rsid w:val="000D30A7"/>
    <w:rPr>
      <w:sz w:val="16"/>
      <w:szCs w:val="16"/>
    </w:rPr>
  </w:style>
  <w:style w:type="paragraph" w:styleId="CommentText">
    <w:name w:val="annotation text"/>
    <w:basedOn w:val="Normal"/>
    <w:link w:val="CommentTextChar"/>
    <w:semiHidden/>
    <w:locked/>
    <w:rsid w:val="000D30A7"/>
    <w:rPr>
      <w:rFonts w:eastAsia="Times New Roman" w:cs="Times New Roman"/>
      <w:sz w:val="20"/>
      <w:szCs w:val="20"/>
    </w:rPr>
  </w:style>
  <w:style w:type="character" w:customStyle="1" w:styleId="CommentTextChar">
    <w:name w:val="Comment Text Char"/>
    <w:basedOn w:val="DefaultParagraphFont"/>
    <w:link w:val="CommentText"/>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8"/>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14"/>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sChild>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index.asp?pageid=5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iques.developpement-durable.gouv.fr/logement-construction/s/construction-logemen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at.banque-france.fr/en/browse.do?node=53843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fisher.com/index.asp?pageid=59" TargetMode="External"/><Relationship Id="rId4" Type="http://schemas.openxmlformats.org/officeDocument/2006/relationships/settings" Target="settings.xml"/><Relationship Id="rId9" Type="http://schemas.openxmlformats.org/officeDocument/2006/relationships/hyperlink" Target="http://www.kingfisher.com/index.asp?pageid=7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5A92-BF5C-4CB2-A01F-6DF87EF9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8786</Words>
  <Characters>48050</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56723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creator>woodward</dc:creator>
  <cp:lastModifiedBy>Levy, Sarah</cp:lastModifiedBy>
  <cp:revision>4</cp:revision>
  <cp:lastPrinted>2015-03-30T17:44:00Z</cp:lastPrinted>
  <dcterms:created xsi:type="dcterms:W3CDTF">2015-03-30T17:53:00Z</dcterms:created>
  <dcterms:modified xsi:type="dcterms:W3CDTF">2015-03-30T17:54:00Z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