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D9" w:rsidRDefault="002C7BD9" w:rsidP="00705315">
      <w:pPr>
        <w:jc w:val="center"/>
        <w:rPr>
          <w:rFonts w:ascii="Arial" w:hAnsi="Arial" w:cs="Arial"/>
          <w:b/>
          <w:bCs/>
          <w:sz w:val="24"/>
          <w:szCs w:val="24"/>
        </w:rPr>
      </w:pPr>
      <w:r w:rsidRPr="005F6EF2">
        <w:rPr>
          <w:rFonts w:ascii="Arial" w:hAnsi="Arial" w:cs="Arial"/>
          <w:b/>
          <w:bCs/>
          <w:sz w:val="24"/>
          <w:szCs w:val="24"/>
        </w:rPr>
        <w:t>Q2 pre-close update for the 10 weeks to 1</w:t>
      </w:r>
      <w:r w:rsidR="00586BE0" w:rsidRPr="005F6EF2">
        <w:rPr>
          <w:rFonts w:ascii="Arial" w:hAnsi="Arial" w:cs="Arial"/>
          <w:b/>
          <w:bCs/>
          <w:sz w:val="24"/>
          <w:szCs w:val="24"/>
        </w:rPr>
        <w:t>2</w:t>
      </w:r>
      <w:r w:rsidRPr="005F6EF2">
        <w:rPr>
          <w:rFonts w:ascii="Arial" w:hAnsi="Arial" w:cs="Arial"/>
          <w:b/>
          <w:bCs/>
          <w:sz w:val="24"/>
          <w:szCs w:val="24"/>
        </w:rPr>
        <w:t xml:space="preserve"> July 201</w:t>
      </w:r>
      <w:r w:rsidR="00586BE0" w:rsidRPr="005F6EF2">
        <w:rPr>
          <w:rFonts w:ascii="Arial" w:hAnsi="Arial" w:cs="Arial"/>
          <w:b/>
          <w:bCs/>
          <w:sz w:val="24"/>
          <w:szCs w:val="24"/>
        </w:rPr>
        <w:t>4</w:t>
      </w:r>
      <w:r w:rsidR="00BC07E0" w:rsidRPr="005F6EF2">
        <w:rPr>
          <w:rFonts w:ascii="Arial" w:hAnsi="Arial" w:cs="Arial"/>
          <w:b/>
          <w:bCs/>
          <w:sz w:val="24"/>
          <w:szCs w:val="24"/>
        </w:rPr>
        <w:t>.</w:t>
      </w:r>
    </w:p>
    <w:p w:rsidR="00667E54" w:rsidRPr="005F6EF2" w:rsidRDefault="00667E54" w:rsidP="00705315">
      <w:pPr>
        <w:jc w:val="center"/>
        <w:rPr>
          <w:rFonts w:ascii="Arial" w:hAnsi="Arial" w:cs="Arial"/>
          <w:b/>
          <w:bCs/>
          <w:sz w:val="24"/>
          <w:szCs w:val="24"/>
        </w:rPr>
      </w:pPr>
    </w:p>
    <w:p w:rsidR="002C7BD9" w:rsidRPr="005F6EF2" w:rsidRDefault="002C7BD9" w:rsidP="00BC07E0">
      <w:pPr>
        <w:jc w:val="center"/>
        <w:rPr>
          <w:rFonts w:ascii="Arial" w:hAnsi="Arial" w:cs="Arial"/>
          <w:b/>
          <w:bCs/>
          <w:sz w:val="24"/>
          <w:szCs w:val="24"/>
        </w:rPr>
      </w:pPr>
      <w:r w:rsidRPr="005F6EF2">
        <w:rPr>
          <w:rFonts w:ascii="Arial" w:hAnsi="Arial" w:cs="Arial"/>
          <w:b/>
          <w:bCs/>
          <w:sz w:val="24"/>
          <w:szCs w:val="24"/>
        </w:rPr>
        <w:t xml:space="preserve">Kingfisher reports total sales </w:t>
      </w:r>
      <w:r w:rsidR="009E399D" w:rsidRPr="005F6EF2">
        <w:rPr>
          <w:rFonts w:ascii="Arial" w:hAnsi="Arial" w:cs="Arial"/>
          <w:b/>
          <w:bCs/>
          <w:sz w:val="24"/>
          <w:szCs w:val="24"/>
        </w:rPr>
        <w:t>up</w:t>
      </w:r>
      <w:r w:rsidRPr="005F6EF2">
        <w:rPr>
          <w:rFonts w:ascii="Arial" w:hAnsi="Arial" w:cs="Arial"/>
          <w:b/>
          <w:bCs/>
          <w:sz w:val="24"/>
          <w:szCs w:val="24"/>
        </w:rPr>
        <w:t xml:space="preserve"> </w:t>
      </w:r>
      <w:r w:rsidR="00BC07E0" w:rsidRPr="005F6EF2">
        <w:rPr>
          <w:rFonts w:ascii="Arial" w:hAnsi="Arial" w:cs="Arial"/>
          <w:b/>
          <w:bCs/>
          <w:sz w:val="24"/>
          <w:szCs w:val="24"/>
        </w:rPr>
        <w:t>0.8</w:t>
      </w:r>
      <w:r w:rsidRPr="005F6EF2">
        <w:rPr>
          <w:rFonts w:ascii="Arial" w:hAnsi="Arial" w:cs="Arial"/>
          <w:b/>
          <w:bCs/>
          <w:sz w:val="24"/>
          <w:szCs w:val="24"/>
        </w:rPr>
        <w:t>%</w:t>
      </w:r>
      <w:r w:rsidR="00BC07E0" w:rsidRPr="005F6EF2">
        <w:rPr>
          <w:rFonts w:ascii="Arial" w:hAnsi="Arial" w:cs="Arial"/>
          <w:b/>
          <w:bCs/>
          <w:sz w:val="24"/>
          <w:szCs w:val="24"/>
        </w:rPr>
        <w:t xml:space="preserve"> (-1.8% LFL)</w:t>
      </w:r>
      <w:r w:rsidRPr="005F6EF2">
        <w:rPr>
          <w:rFonts w:ascii="Arial" w:hAnsi="Arial" w:cs="Arial"/>
          <w:b/>
          <w:bCs/>
          <w:sz w:val="24"/>
          <w:szCs w:val="24"/>
        </w:rPr>
        <w:t xml:space="preserve"> in constant currencies</w:t>
      </w:r>
      <w:r w:rsidR="00BC07E0" w:rsidRPr="005F6EF2">
        <w:rPr>
          <w:rFonts w:ascii="Arial" w:hAnsi="Arial" w:cs="Arial"/>
          <w:b/>
          <w:bCs/>
          <w:sz w:val="24"/>
          <w:szCs w:val="24"/>
        </w:rPr>
        <w:t xml:space="preserve"> and</w:t>
      </w:r>
    </w:p>
    <w:p w:rsidR="00D123A3" w:rsidRPr="005F6EF2" w:rsidRDefault="00BC07E0" w:rsidP="002C7BD9">
      <w:pPr>
        <w:jc w:val="center"/>
        <w:rPr>
          <w:rFonts w:ascii="Arial" w:hAnsi="Arial" w:cs="Arial"/>
          <w:b/>
          <w:bCs/>
          <w:sz w:val="24"/>
          <w:szCs w:val="24"/>
        </w:rPr>
      </w:pPr>
      <w:r w:rsidRPr="005F6EF2">
        <w:rPr>
          <w:rFonts w:ascii="Arial" w:hAnsi="Arial" w:cs="Arial"/>
          <w:b/>
          <w:bCs/>
          <w:sz w:val="24"/>
          <w:szCs w:val="24"/>
        </w:rPr>
        <w:t>confirms</w:t>
      </w:r>
      <w:r w:rsidR="00BC203D" w:rsidRPr="005F6EF2">
        <w:rPr>
          <w:rFonts w:ascii="Arial" w:hAnsi="Arial" w:cs="Arial"/>
          <w:b/>
          <w:bCs/>
          <w:sz w:val="24"/>
          <w:szCs w:val="24"/>
        </w:rPr>
        <w:t xml:space="preserve"> binding agreement</w:t>
      </w:r>
      <w:r w:rsidRPr="005F6EF2">
        <w:rPr>
          <w:rFonts w:ascii="Arial" w:hAnsi="Arial" w:cs="Arial"/>
          <w:b/>
          <w:bCs/>
          <w:sz w:val="24"/>
          <w:szCs w:val="24"/>
        </w:rPr>
        <w:t xml:space="preserve"> reached</w:t>
      </w:r>
      <w:r w:rsidR="00BC203D" w:rsidRPr="005F6EF2">
        <w:rPr>
          <w:rFonts w:ascii="Arial" w:hAnsi="Arial" w:cs="Arial"/>
          <w:b/>
          <w:bCs/>
          <w:sz w:val="24"/>
          <w:szCs w:val="24"/>
        </w:rPr>
        <w:t xml:space="preserve"> with principal shareholders of Mr Bricolage  </w:t>
      </w:r>
    </w:p>
    <w:p w:rsidR="005E535C" w:rsidRDefault="005E535C" w:rsidP="00B7579E">
      <w:pPr>
        <w:jc w:val="center"/>
        <w:rPr>
          <w:rFonts w:ascii="Arial" w:hAnsi="Arial" w:cs="Arial"/>
          <w:b/>
          <w:i/>
          <w:sz w:val="24"/>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1640"/>
        <w:gridCol w:w="1643"/>
        <w:gridCol w:w="1643"/>
        <w:gridCol w:w="1643"/>
      </w:tblGrid>
      <w:tr w:rsidR="005E535C" w:rsidRPr="004D01DC" w:rsidTr="00F7178D">
        <w:trPr>
          <w:trHeight w:val="427"/>
        </w:trPr>
        <w:tc>
          <w:tcPr>
            <w:tcW w:w="1598" w:type="pct"/>
            <w:tcBorders>
              <w:left w:val="nil"/>
              <w:bottom w:val="nil"/>
            </w:tcBorders>
          </w:tcPr>
          <w:p w:rsidR="00BC38B6" w:rsidRPr="00F7178D" w:rsidRDefault="00BC38B6" w:rsidP="00F7178D">
            <w:pPr>
              <w:jc w:val="left"/>
              <w:rPr>
                <w:rFonts w:ascii="Arial" w:hAnsi="Arial" w:cs="Arial"/>
                <w:b/>
                <w:sz w:val="24"/>
                <w:szCs w:val="24"/>
              </w:rPr>
            </w:pPr>
            <w:r w:rsidRPr="00F7178D">
              <w:rPr>
                <w:rFonts w:ascii="Arial" w:hAnsi="Arial" w:cs="Arial"/>
                <w:b/>
                <w:sz w:val="24"/>
                <w:szCs w:val="24"/>
              </w:rPr>
              <w:t xml:space="preserve">Sales* </w:t>
            </w:r>
          </w:p>
          <w:p w:rsidR="005E535C" w:rsidRPr="00F7178D" w:rsidRDefault="00BC38B6" w:rsidP="00F7178D">
            <w:pPr>
              <w:jc w:val="left"/>
              <w:rPr>
                <w:rFonts w:ascii="Arial" w:hAnsi="Arial" w:cs="Arial"/>
                <w:sz w:val="24"/>
                <w:szCs w:val="24"/>
              </w:rPr>
            </w:pPr>
            <w:r w:rsidRPr="00F7178D">
              <w:rPr>
                <w:rFonts w:ascii="Arial" w:hAnsi="Arial" w:cs="Arial"/>
                <w:b/>
                <w:sz w:val="24"/>
                <w:szCs w:val="24"/>
              </w:rPr>
              <w:t>In c</w:t>
            </w:r>
            <w:r w:rsidR="005E535C" w:rsidRPr="00F7178D">
              <w:rPr>
                <w:rFonts w:ascii="Arial" w:hAnsi="Arial" w:cs="Arial"/>
                <w:b/>
                <w:sz w:val="24"/>
                <w:szCs w:val="24"/>
              </w:rPr>
              <w:t>onstant currencies</w:t>
            </w:r>
          </w:p>
        </w:tc>
        <w:tc>
          <w:tcPr>
            <w:tcW w:w="1700" w:type="pct"/>
            <w:gridSpan w:val="2"/>
            <w:tcBorders>
              <w:bottom w:val="single" w:sz="4" w:space="0" w:color="auto"/>
            </w:tcBorders>
          </w:tcPr>
          <w:p w:rsidR="00BC38B6" w:rsidRPr="00F7178D" w:rsidRDefault="00BC38B6">
            <w:pPr>
              <w:jc w:val="right"/>
              <w:rPr>
                <w:rFonts w:ascii="Arial" w:hAnsi="Arial" w:cs="Arial"/>
                <w:b/>
                <w:sz w:val="24"/>
                <w:szCs w:val="24"/>
              </w:rPr>
            </w:pPr>
          </w:p>
          <w:p w:rsidR="005E535C" w:rsidRPr="00F7178D" w:rsidRDefault="005E535C">
            <w:pPr>
              <w:jc w:val="right"/>
              <w:rPr>
                <w:rFonts w:ascii="Arial" w:hAnsi="Arial" w:cs="Arial"/>
                <w:b/>
                <w:sz w:val="24"/>
                <w:szCs w:val="24"/>
              </w:rPr>
            </w:pPr>
            <w:r w:rsidRPr="00F7178D">
              <w:rPr>
                <w:rFonts w:ascii="Arial" w:hAnsi="Arial" w:cs="Arial"/>
                <w:b/>
                <w:sz w:val="24"/>
                <w:szCs w:val="24"/>
              </w:rPr>
              <w:t>1</w:t>
            </w:r>
            <w:r w:rsidR="00C6289C" w:rsidRPr="00F7178D">
              <w:rPr>
                <w:rFonts w:ascii="Arial" w:hAnsi="Arial" w:cs="Arial"/>
                <w:b/>
                <w:sz w:val="24"/>
                <w:szCs w:val="24"/>
              </w:rPr>
              <w:t>0</w:t>
            </w:r>
            <w:r w:rsidRPr="00F7178D">
              <w:rPr>
                <w:rFonts w:ascii="Arial" w:hAnsi="Arial" w:cs="Arial"/>
                <w:b/>
                <w:sz w:val="24"/>
                <w:szCs w:val="24"/>
              </w:rPr>
              <w:t xml:space="preserve"> weeks to </w:t>
            </w:r>
            <w:r w:rsidR="007D02FE" w:rsidRPr="00F7178D">
              <w:rPr>
                <w:rFonts w:ascii="Arial" w:hAnsi="Arial" w:cs="Arial"/>
                <w:b/>
                <w:sz w:val="24"/>
                <w:szCs w:val="24"/>
              </w:rPr>
              <w:t>1</w:t>
            </w:r>
            <w:r w:rsidR="00586BE0" w:rsidRPr="00F7178D">
              <w:rPr>
                <w:rFonts w:ascii="Arial" w:hAnsi="Arial" w:cs="Arial"/>
                <w:b/>
                <w:sz w:val="24"/>
                <w:szCs w:val="24"/>
              </w:rPr>
              <w:t>2</w:t>
            </w:r>
            <w:r w:rsidR="00C6289C" w:rsidRPr="00F7178D">
              <w:rPr>
                <w:rFonts w:ascii="Arial" w:hAnsi="Arial" w:cs="Arial"/>
                <w:b/>
                <w:sz w:val="24"/>
                <w:szCs w:val="24"/>
              </w:rPr>
              <w:t xml:space="preserve"> </w:t>
            </w:r>
            <w:r w:rsidRPr="00F7178D">
              <w:rPr>
                <w:rFonts w:ascii="Arial" w:hAnsi="Arial" w:cs="Arial"/>
                <w:b/>
                <w:sz w:val="24"/>
                <w:szCs w:val="24"/>
              </w:rPr>
              <w:t>July 201</w:t>
            </w:r>
            <w:r w:rsidR="00586BE0" w:rsidRPr="00F7178D">
              <w:rPr>
                <w:rFonts w:ascii="Arial" w:hAnsi="Arial" w:cs="Arial"/>
                <w:b/>
                <w:sz w:val="24"/>
                <w:szCs w:val="24"/>
              </w:rPr>
              <w:t>4</w:t>
            </w:r>
          </w:p>
        </w:tc>
        <w:tc>
          <w:tcPr>
            <w:tcW w:w="1702" w:type="pct"/>
            <w:gridSpan w:val="2"/>
            <w:tcBorders>
              <w:bottom w:val="single" w:sz="4" w:space="0" w:color="auto"/>
              <w:right w:val="nil"/>
            </w:tcBorders>
          </w:tcPr>
          <w:p w:rsidR="00BC38B6" w:rsidRPr="00F7178D" w:rsidRDefault="00BC38B6" w:rsidP="00F7178D">
            <w:pPr>
              <w:rPr>
                <w:rFonts w:ascii="Arial" w:hAnsi="Arial" w:cs="Arial"/>
                <w:b/>
                <w:sz w:val="24"/>
                <w:szCs w:val="24"/>
              </w:rPr>
            </w:pPr>
          </w:p>
          <w:p w:rsidR="005E535C" w:rsidRPr="00F7178D" w:rsidRDefault="00586BE0">
            <w:pPr>
              <w:jc w:val="right"/>
              <w:rPr>
                <w:rFonts w:ascii="Arial" w:hAnsi="Arial" w:cs="Arial"/>
                <w:b/>
                <w:sz w:val="24"/>
                <w:szCs w:val="24"/>
              </w:rPr>
            </w:pPr>
            <w:r w:rsidRPr="00F7178D">
              <w:rPr>
                <w:rFonts w:ascii="Arial" w:hAnsi="Arial" w:cs="Arial"/>
                <w:b/>
                <w:sz w:val="24"/>
                <w:szCs w:val="24"/>
              </w:rPr>
              <w:t>23</w:t>
            </w:r>
            <w:r w:rsidR="005E535C" w:rsidRPr="00F7178D">
              <w:rPr>
                <w:rFonts w:ascii="Arial" w:hAnsi="Arial" w:cs="Arial"/>
                <w:b/>
                <w:sz w:val="24"/>
                <w:szCs w:val="24"/>
              </w:rPr>
              <w:t xml:space="preserve"> weeks to </w:t>
            </w:r>
            <w:r w:rsidR="007D02FE" w:rsidRPr="00F7178D">
              <w:rPr>
                <w:rFonts w:ascii="Arial" w:hAnsi="Arial" w:cs="Arial"/>
                <w:b/>
                <w:sz w:val="24"/>
                <w:szCs w:val="24"/>
              </w:rPr>
              <w:t>1</w:t>
            </w:r>
            <w:r w:rsidRPr="00F7178D">
              <w:rPr>
                <w:rFonts w:ascii="Arial" w:hAnsi="Arial" w:cs="Arial"/>
                <w:b/>
                <w:sz w:val="24"/>
                <w:szCs w:val="24"/>
              </w:rPr>
              <w:t>2</w:t>
            </w:r>
            <w:r w:rsidR="009C34D3" w:rsidRPr="00F7178D">
              <w:rPr>
                <w:rFonts w:ascii="Arial" w:hAnsi="Arial" w:cs="Arial"/>
                <w:b/>
                <w:sz w:val="24"/>
                <w:szCs w:val="24"/>
              </w:rPr>
              <w:t xml:space="preserve"> </w:t>
            </w:r>
            <w:r w:rsidR="005E535C" w:rsidRPr="00F7178D">
              <w:rPr>
                <w:rFonts w:ascii="Arial" w:hAnsi="Arial" w:cs="Arial"/>
                <w:b/>
                <w:sz w:val="24"/>
                <w:szCs w:val="24"/>
              </w:rPr>
              <w:t>July 201</w:t>
            </w:r>
            <w:r w:rsidRPr="00F7178D">
              <w:rPr>
                <w:rFonts w:ascii="Arial" w:hAnsi="Arial" w:cs="Arial"/>
                <w:b/>
                <w:sz w:val="24"/>
                <w:szCs w:val="24"/>
              </w:rPr>
              <w:t>4</w:t>
            </w:r>
          </w:p>
        </w:tc>
      </w:tr>
      <w:tr w:rsidR="005E535C" w:rsidRPr="004D01DC" w:rsidTr="00F7178D">
        <w:trPr>
          <w:trHeight w:val="545"/>
        </w:trPr>
        <w:tc>
          <w:tcPr>
            <w:tcW w:w="1598" w:type="pct"/>
            <w:tcBorders>
              <w:top w:val="nil"/>
              <w:left w:val="nil"/>
              <w:bottom w:val="single" w:sz="4" w:space="0" w:color="auto"/>
            </w:tcBorders>
          </w:tcPr>
          <w:p w:rsidR="005E535C" w:rsidRPr="00F7178D" w:rsidRDefault="005E535C" w:rsidP="004D01DC">
            <w:pPr>
              <w:jc w:val="left"/>
              <w:rPr>
                <w:rFonts w:ascii="Arial" w:hAnsi="Arial" w:cs="Arial"/>
                <w:b/>
                <w:sz w:val="24"/>
                <w:szCs w:val="24"/>
              </w:rPr>
            </w:pPr>
          </w:p>
          <w:p w:rsidR="005E535C" w:rsidRPr="00F7178D" w:rsidRDefault="005E535C" w:rsidP="004D01DC">
            <w:pPr>
              <w:jc w:val="left"/>
              <w:rPr>
                <w:rFonts w:ascii="Arial" w:hAnsi="Arial" w:cs="Arial"/>
                <w:sz w:val="24"/>
                <w:szCs w:val="24"/>
              </w:rPr>
            </w:pPr>
          </w:p>
        </w:tc>
        <w:tc>
          <w:tcPr>
            <w:tcW w:w="849" w:type="pct"/>
            <w:tcBorders>
              <w:bottom w:val="single" w:sz="4" w:space="0" w:color="auto"/>
              <w:right w:val="nil"/>
            </w:tcBorders>
          </w:tcPr>
          <w:p w:rsidR="005E535C" w:rsidRPr="00F7178D" w:rsidRDefault="005E535C" w:rsidP="004D01DC">
            <w:pPr>
              <w:jc w:val="right"/>
              <w:rPr>
                <w:rFonts w:ascii="Arial" w:hAnsi="Arial" w:cs="Arial"/>
                <w:b/>
                <w:sz w:val="24"/>
                <w:szCs w:val="24"/>
              </w:rPr>
            </w:pPr>
            <w:r w:rsidRPr="00F7178D">
              <w:rPr>
                <w:rFonts w:ascii="Arial" w:hAnsi="Arial" w:cs="Arial"/>
                <w:b/>
                <w:sz w:val="24"/>
                <w:szCs w:val="24"/>
              </w:rPr>
              <w:t>% Total</w:t>
            </w:r>
          </w:p>
          <w:p w:rsidR="005E535C" w:rsidRPr="00F7178D" w:rsidRDefault="005E535C" w:rsidP="00F7178D">
            <w:pPr>
              <w:jc w:val="right"/>
              <w:rPr>
                <w:rFonts w:ascii="Arial" w:hAnsi="Arial" w:cs="Arial"/>
                <w:b/>
                <w:sz w:val="24"/>
                <w:szCs w:val="24"/>
              </w:rPr>
            </w:pPr>
            <w:r w:rsidRPr="00F7178D">
              <w:rPr>
                <w:rFonts w:ascii="Arial" w:hAnsi="Arial" w:cs="Arial"/>
                <w:b/>
                <w:sz w:val="24"/>
                <w:szCs w:val="24"/>
              </w:rPr>
              <w:t>Change</w:t>
            </w:r>
          </w:p>
        </w:tc>
        <w:tc>
          <w:tcPr>
            <w:tcW w:w="851" w:type="pct"/>
            <w:tcBorders>
              <w:left w:val="nil"/>
              <w:bottom w:val="single" w:sz="4" w:space="0" w:color="auto"/>
              <w:right w:val="single" w:sz="4" w:space="0" w:color="auto"/>
            </w:tcBorders>
          </w:tcPr>
          <w:p w:rsidR="005E535C" w:rsidRPr="00F7178D" w:rsidRDefault="005E535C" w:rsidP="004D01DC">
            <w:pPr>
              <w:jc w:val="right"/>
              <w:rPr>
                <w:rFonts w:ascii="Arial" w:hAnsi="Arial" w:cs="Arial"/>
                <w:b/>
                <w:sz w:val="24"/>
                <w:szCs w:val="24"/>
              </w:rPr>
            </w:pPr>
            <w:r w:rsidRPr="00F7178D">
              <w:rPr>
                <w:rFonts w:ascii="Arial" w:hAnsi="Arial" w:cs="Arial"/>
                <w:b/>
                <w:sz w:val="24"/>
                <w:szCs w:val="24"/>
              </w:rPr>
              <w:t>% LFL</w:t>
            </w:r>
            <w:r w:rsidR="00E80687" w:rsidRPr="00F7178D">
              <w:rPr>
                <w:rFonts w:ascii="Arial" w:hAnsi="Arial" w:cs="Arial"/>
                <w:b/>
                <w:sz w:val="24"/>
                <w:szCs w:val="24"/>
              </w:rPr>
              <w:t>*</w:t>
            </w:r>
          </w:p>
          <w:p w:rsidR="005E535C" w:rsidRPr="00F7178D" w:rsidRDefault="005E535C" w:rsidP="004D01DC">
            <w:pPr>
              <w:jc w:val="right"/>
              <w:rPr>
                <w:rFonts w:ascii="Arial" w:hAnsi="Arial" w:cs="Arial"/>
                <w:b/>
                <w:sz w:val="24"/>
                <w:szCs w:val="24"/>
              </w:rPr>
            </w:pPr>
            <w:r w:rsidRPr="00F7178D">
              <w:rPr>
                <w:rFonts w:ascii="Arial" w:hAnsi="Arial" w:cs="Arial"/>
                <w:b/>
                <w:sz w:val="24"/>
                <w:szCs w:val="24"/>
              </w:rPr>
              <w:t xml:space="preserve"> Change</w:t>
            </w:r>
          </w:p>
        </w:tc>
        <w:tc>
          <w:tcPr>
            <w:tcW w:w="851" w:type="pct"/>
            <w:tcBorders>
              <w:left w:val="single" w:sz="4" w:space="0" w:color="auto"/>
              <w:bottom w:val="single" w:sz="4" w:space="0" w:color="auto"/>
              <w:right w:val="nil"/>
            </w:tcBorders>
          </w:tcPr>
          <w:p w:rsidR="005E535C" w:rsidRPr="00F7178D" w:rsidRDefault="005E535C" w:rsidP="004D01DC">
            <w:pPr>
              <w:jc w:val="right"/>
              <w:rPr>
                <w:rFonts w:ascii="Arial" w:hAnsi="Arial" w:cs="Arial"/>
                <w:b/>
                <w:sz w:val="24"/>
                <w:szCs w:val="24"/>
              </w:rPr>
            </w:pPr>
            <w:r w:rsidRPr="00F7178D">
              <w:rPr>
                <w:rFonts w:ascii="Arial" w:hAnsi="Arial" w:cs="Arial"/>
                <w:b/>
                <w:sz w:val="24"/>
                <w:szCs w:val="24"/>
              </w:rPr>
              <w:t>% Total</w:t>
            </w:r>
          </w:p>
          <w:p w:rsidR="005E535C" w:rsidRPr="00F7178D" w:rsidRDefault="005E535C" w:rsidP="004D01DC">
            <w:pPr>
              <w:jc w:val="right"/>
              <w:rPr>
                <w:rFonts w:ascii="Arial" w:hAnsi="Arial" w:cs="Arial"/>
                <w:b/>
                <w:sz w:val="24"/>
                <w:szCs w:val="24"/>
              </w:rPr>
            </w:pPr>
            <w:r w:rsidRPr="00F7178D">
              <w:rPr>
                <w:rFonts w:ascii="Arial" w:hAnsi="Arial" w:cs="Arial"/>
                <w:b/>
                <w:sz w:val="24"/>
                <w:szCs w:val="24"/>
              </w:rPr>
              <w:t xml:space="preserve">Change </w:t>
            </w:r>
          </w:p>
        </w:tc>
        <w:tc>
          <w:tcPr>
            <w:tcW w:w="851" w:type="pct"/>
            <w:tcBorders>
              <w:left w:val="nil"/>
              <w:bottom w:val="single" w:sz="4" w:space="0" w:color="auto"/>
              <w:right w:val="nil"/>
            </w:tcBorders>
          </w:tcPr>
          <w:p w:rsidR="005E535C" w:rsidRPr="00F7178D" w:rsidRDefault="005E535C" w:rsidP="004D01DC">
            <w:pPr>
              <w:jc w:val="right"/>
              <w:rPr>
                <w:rFonts w:ascii="Arial" w:hAnsi="Arial" w:cs="Arial"/>
                <w:b/>
                <w:sz w:val="24"/>
                <w:szCs w:val="24"/>
              </w:rPr>
            </w:pPr>
            <w:r w:rsidRPr="00F7178D">
              <w:rPr>
                <w:rFonts w:ascii="Arial" w:hAnsi="Arial" w:cs="Arial"/>
                <w:b/>
                <w:sz w:val="24"/>
                <w:szCs w:val="24"/>
              </w:rPr>
              <w:t>% LFL</w:t>
            </w:r>
          </w:p>
          <w:p w:rsidR="005E535C" w:rsidRPr="00F7178D" w:rsidRDefault="005E535C" w:rsidP="004D01DC">
            <w:pPr>
              <w:jc w:val="right"/>
              <w:rPr>
                <w:rFonts w:ascii="Arial" w:hAnsi="Arial" w:cs="Arial"/>
                <w:b/>
                <w:sz w:val="24"/>
                <w:szCs w:val="24"/>
              </w:rPr>
            </w:pPr>
            <w:r w:rsidRPr="00F7178D">
              <w:rPr>
                <w:rFonts w:ascii="Arial" w:hAnsi="Arial" w:cs="Arial"/>
                <w:b/>
                <w:sz w:val="24"/>
                <w:szCs w:val="24"/>
              </w:rPr>
              <w:t xml:space="preserve">Change </w:t>
            </w:r>
          </w:p>
        </w:tc>
      </w:tr>
      <w:tr w:rsidR="005E535C" w:rsidRPr="004D01DC" w:rsidTr="00F7178D">
        <w:trPr>
          <w:trHeight w:hRule="exact" w:val="312"/>
        </w:trPr>
        <w:tc>
          <w:tcPr>
            <w:tcW w:w="1598" w:type="pct"/>
            <w:tcBorders>
              <w:left w:val="nil"/>
              <w:bottom w:val="nil"/>
            </w:tcBorders>
          </w:tcPr>
          <w:p w:rsidR="005E535C" w:rsidRPr="00F7178D" w:rsidRDefault="005E535C" w:rsidP="004D01DC">
            <w:pPr>
              <w:jc w:val="left"/>
              <w:rPr>
                <w:rFonts w:ascii="Arial" w:hAnsi="Arial" w:cs="Arial"/>
                <w:sz w:val="24"/>
                <w:szCs w:val="24"/>
              </w:rPr>
            </w:pPr>
            <w:r w:rsidRPr="00F7178D">
              <w:rPr>
                <w:rFonts w:ascii="Arial" w:hAnsi="Arial" w:cs="Arial"/>
                <w:sz w:val="24"/>
                <w:szCs w:val="24"/>
              </w:rPr>
              <w:t>France</w:t>
            </w:r>
            <w:r w:rsidR="00E80687" w:rsidRPr="00F7178D">
              <w:rPr>
                <w:rFonts w:ascii="Arial" w:hAnsi="Arial" w:cs="Arial"/>
                <w:sz w:val="24"/>
                <w:szCs w:val="24"/>
              </w:rPr>
              <w:t>*</w:t>
            </w:r>
          </w:p>
        </w:tc>
        <w:tc>
          <w:tcPr>
            <w:tcW w:w="849" w:type="pct"/>
            <w:tcBorders>
              <w:bottom w:val="nil"/>
              <w:right w:val="nil"/>
            </w:tcBorders>
          </w:tcPr>
          <w:p w:rsidR="005E535C" w:rsidRPr="00F7178D" w:rsidRDefault="009E399D" w:rsidP="004D01DC">
            <w:pPr>
              <w:jc w:val="right"/>
              <w:rPr>
                <w:rFonts w:ascii="Arial" w:hAnsi="Arial" w:cs="Arial"/>
                <w:sz w:val="24"/>
                <w:szCs w:val="24"/>
              </w:rPr>
            </w:pPr>
            <w:r>
              <w:rPr>
                <w:rFonts w:ascii="Arial" w:hAnsi="Arial" w:cs="Arial"/>
                <w:sz w:val="24"/>
                <w:szCs w:val="24"/>
              </w:rPr>
              <w:t>(</w:t>
            </w:r>
            <w:r w:rsidR="00BC07E0">
              <w:rPr>
                <w:rFonts w:ascii="Arial" w:hAnsi="Arial" w:cs="Arial"/>
                <w:sz w:val="24"/>
                <w:szCs w:val="24"/>
              </w:rPr>
              <w:t>1.4</w:t>
            </w:r>
            <w:r>
              <w:rPr>
                <w:rFonts w:ascii="Arial" w:hAnsi="Arial" w:cs="Arial"/>
                <w:sz w:val="24"/>
                <w:szCs w:val="24"/>
              </w:rPr>
              <w:t>)</w:t>
            </w:r>
            <w:r w:rsidR="00C022E0">
              <w:rPr>
                <w:rFonts w:ascii="Arial" w:hAnsi="Arial" w:cs="Arial"/>
                <w:sz w:val="24"/>
                <w:szCs w:val="24"/>
              </w:rPr>
              <w:t>%</w:t>
            </w:r>
          </w:p>
        </w:tc>
        <w:tc>
          <w:tcPr>
            <w:tcW w:w="851" w:type="pct"/>
            <w:tcBorders>
              <w:left w:val="nil"/>
              <w:bottom w:val="nil"/>
              <w:right w:val="single" w:sz="4" w:space="0" w:color="auto"/>
            </w:tcBorders>
          </w:tcPr>
          <w:p w:rsidR="005E535C" w:rsidRPr="00F7178D" w:rsidRDefault="009E399D" w:rsidP="004D01DC">
            <w:pPr>
              <w:jc w:val="right"/>
              <w:rPr>
                <w:rFonts w:ascii="Arial" w:hAnsi="Arial" w:cs="Arial"/>
                <w:sz w:val="24"/>
                <w:szCs w:val="24"/>
              </w:rPr>
            </w:pPr>
            <w:r>
              <w:rPr>
                <w:rFonts w:ascii="Arial" w:hAnsi="Arial" w:cs="Arial"/>
                <w:sz w:val="24"/>
                <w:szCs w:val="24"/>
              </w:rPr>
              <w:t>(</w:t>
            </w:r>
            <w:r w:rsidR="00BC07E0">
              <w:rPr>
                <w:rFonts w:ascii="Arial" w:hAnsi="Arial" w:cs="Arial"/>
                <w:sz w:val="24"/>
                <w:szCs w:val="24"/>
              </w:rPr>
              <w:t>2.2</w:t>
            </w:r>
            <w:r>
              <w:rPr>
                <w:rFonts w:ascii="Arial" w:hAnsi="Arial" w:cs="Arial"/>
                <w:sz w:val="24"/>
                <w:szCs w:val="24"/>
              </w:rPr>
              <w:t>)</w:t>
            </w:r>
            <w:r w:rsidR="00125A18" w:rsidRPr="00F7178D">
              <w:rPr>
                <w:rFonts w:ascii="Arial" w:hAnsi="Arial" w:cs="Arial"/>
                <w:sz w:val="24"/>
                <w:szCs w:val="24"/>
              </w:rPr>
              <w:t>%</w:t>
            </w:r>
          </w:p>
        </w:tc>
        <w:tc>
          <w:tcPr>
            <w:tcW w:w="851" w:type="pct"/>
            <w:tcBorders>
              <w:left w:val="single" w:sz="4" w:space="0" w:color="auto"/>
              <w:bottom w:val="nil"/>
              <w:right w:val="nil"/>
            </w:tcBorders>
          </w:tcPr>
          <w:p w:rsidR="005E535C" w:rsidRPr="00F7178D" w:rsidRDefault="00C022E0" w:rsidP="004D01DC">
            <w:pPr>
              <w:jc w:val="right"/>
              <w:rPr>
                <w:rFonts w:ascii="Arial" w:hAnsi="Arial" w:cs="Arial"/>
                <w:sz w:val="24"/>
                <w:szCs w:val="24"/>
              </w:rPr>
            </w:pPr>
            <w:r>
              <w:rPr>
                <w:rFonts w:ascii="Arial" w:hAnsi="Arial" w:cs="Arial"/>
                <w:sz w:val="24"/>
                <w:szCs w:val="24"/>
              </w:rPr>
              <w:t>+1.</w:t>
            </w:r>
            <w:r w:rsidR="00BC07E0">
              <w:rPr>
                <w:rFonts w:ascii="Arial" w:hAnsi="Arial" w:cs="Arial"/>
                <w:sz w:val="24"/>
                <w:szCs w:val="24"/>
              </w:rPr>
              <w:t>1</w:t>
            </w:r>
            <w:r>
              <w:rPr>
                <w:rFonts w:ascii="Arial" w:hAnsi="Arial" w:cs="Arial"/>
                <w:sz w:val="24"/>
                <w:szCs w:val="24"/>
              </w:rPr>
              <w:t>%</w:t>
            </w:r>
          </w:p>
        </w:tc>
        <w:tc>
          <w:tcPr>
            <w:tcW w:w="851" w:type="pct"/>
            <w:tcBorders>
              <w:left w:val="nil"/>
              <w:bottom w:val="nil"/>
              <w:right w:val="nil"/>
            </w:tcBorders>
          </w:tcPr>
          <w:p w:rsidR="005E535C" w:rsidRPr="00F7178D" w:rsidRDefault="00BC07E0" w:rsidP="004D01DC">
            <w:pPr>
              <w:jc w:val="right"/>
              <w:rPr>
                <w:rFonts w:ascii="Arial" w:hAnsi="Arial" w:cs="Arial"/>
                <w:sz w:val="24"/>
                <w:szCs w:val="24"/>
              </w:rPr>
            </w:pPr>
            <w:r>
              <w:rPr>
                <w:rFonts w:ascii="Arial" w:hAnsi="Arial" w:cs="Arial"/>
                <w:sz w:val="24"/>
                <w:szCs w:val="24"/>
              </w:rPr>
              <w:t>(0.2)</w:t>
            </w:r>
            <w:r w:rsidR="00C022E0">
              <w:rPr>
                <w:rFonts w:ascii="Arial" w:hAnsi="Arial" w:cs="Arial"/>
                <w:sz w:val="24"/>
                <w:szCs w:val="24"/>
              </w:rPr>
              <w:t>%</w:t>
            </w:r>
          </w:p>
        </w:tc>
      </w:tr>
      <w:tr w:rsidR="005E535C" w:rsidRPr="004D01DC" w:rsidTr="00F7178D">
        <w:trPr>
          <w:trHeight w:hRule="exact" w:val="312"/>
        </w:trPr>
        <w:tc>
          <w:tcPr>
            <w:tcW w:w="1598" w:type="pct"/>
            <w:tcBorders>
              <w:top w:val="nil"/>
              <w:left w:val="nil"/>
              <w:bottom w:val="nil"/>
            </w:tcBorders>
          </w:tcPr>
          <w:p w:rsidR="005E535C" w:rsidRPr="00F7178D" w:rsidRDefault="005E535C" w:rsidP="004D01DC">
            <w:pPr>
              <w:jc w:val="left"/>
              <w:rPr>
                <w:rFonts w:ascii="Arial" w:hAnsi="Arial" w:cs="Arial"/>
                <w:sz w:val="24"/>
                <w:szCs w:val="24"/>
              </w:rPr>
            </w:pPr>
            <w:r w:rsidRPr="00F7178D">
              <w:rPr>
                <w:rFonts w:ascii="Arial" w:hAnsi="Arial" w:cs="Arial"/>
                <w:sz w:val="24"/>
                <w:szCs w:val="24"/>
              </w:rPr>
              <w:t>UK</w:t>
            </w:r>
            <w:r w:rsidR="000802F8" w:rsidRPr="00F7178D">
              <w:rPr>
                <w:rFonts w:ascii="Arial" w:hAnsi="Arial" w:cs="Arial"/>
                <w:sz w:val="24"/>
                <w:szCs w:val="24"/>
              </w:rPr>
              <w:t xml:space="preserve"> &amp; Ireland</w:t>
            </w:r>
            <w:r w:rsidR="00E80687" w:rsidRPr="00F7178D">
              <w:rPr>
                <w:rFonts w:ascii="Arial" w:hAnsi="Arial" w:cs="Arial"/>
                <w:sz w:val="24"/>
                <w:szCs w:val="24"/>
              </w:rPr>
              <w:t>*</w:t>
            </w:r>
          </w:p>
        </w:tc>
        <w:tc>
          <w:tcPr>
            <w:tcW w:w="849" w:type="pct"/>
            <w:tcBorders>
              <w:top w:val="nil"/>
              <w:bottom w:val="nil"/>
              <w:right w:val="nil"/>
            </w:tcBorders>
          </w:tcPr>
          <w:p w:rsidR="005E535C" w:rsidRPr="00F7178D" w:rsidRDefault="00B22364" w:rsidP="004D01DC">
            <w:pPr>
              <w:jc w:val="right"/>
              <w:rPr>
                <w:rFonts w:ascii="Arial" w:hAnsi="Arial" w:cs="Arial"/>
                <w:sz w:val="24"/>
                <w:szCs w:val="24"/>
              </w:rPr>
            </w:pPr>
            <w:r>
              <w:rPr>
                <w:rFonts w:ascii="Arial" w:hAnsi="Arial" w:cs="Arial"/>
                <w:sz w:val="24"/>
                <w:szCs w:val="24"/>
              </w:rPr>
              <w:t>+0.7%</w:t>
            </w:r>
          </w:p>
        </w:tc>
        <w:tc>
          <w:tcPr>
            <w:tcW w:w="851" w:type="pct"/>
            <w:tcBorders>
              <w:top w:val="nil"/>
              <w:left w:val="nil"/>
              <w:bottom w:val="nil"/>
              <w:right w:val="single" w:sz="4" w:space="0" w:color="auto"/>
            </w:tcBorders>
          </w:tcPr>
          <w:p w:rsidR="005E535C" w:rsidRPr="00F7178D" w:rsidRDefault="009E399D" w:rsidP="004D01DC">
            <w:pPr>
              <w:jc w:val="right"/>
              <w:rPr>
                <w:rFonts w:ascii="Arial" w:hAnsi="Arial" w:cs="Arial"/>
                <w:sz w:val="24"/>
                <w:szCs w:val="24"/>
              </w:rPr>
            </w:pPr>
            <w:r>
              <w:rPr>
                <w:rFonts w:ascii="Arial" w:hAnsi="Arial" w:cs="Arial"/>
                <w:sz w:val="24"/>
                <w:szCs w:val="24"/>
              </w:rPr>
              <w:t>(</w:t>
            </w:r>
            <w:r w:rsidR="00125A18" w:rsidRPr="00F7178D">
              <w:rPr>
                <w:rFonts w:ascii="Arial" w:hAnsi="Arial" w:cs="Arial"/>
                <w:sz w:val="24"/>
                <w:szCs w:val="24"/>
              </w:rPr>
              <w:t>1.</w:t>
            </w:r>
            <w:r w:rsidR="00B22364">
              <w:rPr>
                <w:rFonts w:ascii="Arial" w:hAnsi="Arial" w:cs="Arial"/>
                <w:sz w:val="24"/>
                <w:szCs w:val="24"/>
              </w:rPr>
              <w:t>3</w:t>
            </w:r>
            <w:r>
              <w:rPr>
                <w:rFonts w:ascii="Arial" w:hAnsi="Arial" w:cs="Arial"/>
                <w:sz w:val="24"/>
                <w:szCs w:val="24"/>
              </w:rPr>
              <w:t>)</w:t>
            </w:r>
            <w:r w:rsidR="00125A18" w:rsidRPr="00F7178D">
              <w:rPr>
                <w:rFonts w:ascii="Arial" w:hAnsi="Arial" w:cs="Arial"/>
                <w:sz w:val="24"/>
                <w:szCs w:val="24"/>
              </w:rPr>
              <w:t>%</w:t>
            </w:r>
          </w:p>
        </w:tc>
        <w:tc>
          <w:tcPr>
            <w:tcW w:w="851" w:type="pct"/>
            <w:tcBorders>
              <w:top w:val="nil"/>
              <w:left w:val="single" w:sz="4" w:space="0" w:color="auto"/>
              <w:bottom w:val="nil"/>
              <w:right w:val="nil"/>
            </w:tcBorders>
          </w:tcPr>
          <w:p w:rsidR="005E535C" w:rsidRPr="00F7178D" w:rsidRDefault="00B22364" w:rsidP="004D01DC">
            <w:pPr>
              <w:jc w:val="right"/>
              <w:rPr>
                <w:rFonts w:ascii="Arial" w:hAnsi="Arial" w:cs="Arial"/>
                <w:sz w:val="24"/>
                <w:szCs w:val="24"/>
              </w:rPr>
            </w:pPr>
            <w:r>
              <w:rPr>
                <w:rFonts w:ascii="Arial" w:hAnsi="Arial" w:cs="Arial"/>
                <w:sz w:val="24"/>
                <w:szCs w:val="24"/>
              </w:rPr>
              <w:t>+7.0%</w:t>
            </w:r>
          </w:p>
        </w:tc>
        <w:tc>
          <w:tcPr>
            <w:tcW w:w="851" w:type="pct"/>
            <w:tcBorders>
              <w:top w:val="nil"/>
              <w:left w:val="nil"/>
              <w:bottom w:val="nil"/>
              <w:right w:val="nil"/>
            </w:tcBorders>
          </w:tcPr>
          <w:p w:rsidR="005E535C" w:rsidRPr="00F7178D" w:rsidRDefault="00B22364" w:rsidP="004D01DC">
            <w:pPr>
              <w:jc w:val="right"/>
              <w:rPr>
                <w:rFonts w:ascii="Arial" w:hAnsi="Arial" w:cs="Arial"/>
                <w:sz w:val="24"/>
                <w:szCs w:val="24"/>
              </w:rPr>
            </w:pPr>
            <w:r>
              <w:rPr>
                <w:rFonts w:ascii="Arial" w:hAnsi="Arial" w:cs="Arial"/>
                <w:sz w:val="24"/>
                <w:szCs w:val="24"/>
              </w:rPr>
              <w:t>+4.7%</w:t>
            </w:r>
          </w:p>
        </w:tc>
      </w:tr>
      <w:tr w:rsidR="005E535C" w:rsidRPr="004D01DC" w:rsidTr="00F7178D">
        <w:trPr>
          <w:trHeight w:hRule="exact" w:val="312"/>
        </w:trPr>
        <w:tc>
          <w:tcPr>
            <w:tcW w:w="1598" w:type="pct"/>
            <w:tcBorders>
              <w:top w:val="nil"/>
              <w:left w:val="nil"/>
            </w:tcBorders>
          </w:tcPr>
          <w:p w:rsidR="005E535C" w:rsidRPr="00F7178D" w:rsidRDefault="005E535C" w:rsidP="004D01DC">
            <w:pPr>
              <w:jc w:val="left"/>
              <w:rPr>
                <w:rFonts w:ascii="Arial" w:hAnsi="Arial" w:cs="Arial"/>
                <w:sz w:val="24"/>
                <w:szCs w:val="24"/>
              </w:rPr>
            </w:pPr>
            <w:r w:rsidRPr="00F7178D">
              <w:rPr>
                <w:rFonts w:ascii="Arial" w:hAnsi="Arial" w:cs="Arial"/>
                <w:iCs/>
                <w:sz w:val="24"/>
                <w:szCs w:val="24"/>
              </w:rPr>
              <w:t>Other International</w:t>
            </w:r>
            <w:r w:rsidR="00E80687" w:rsidRPr="00F7178D">
              <w:rPr>
                <w:rFonts w:ascii="Arial" w:hAnsi="Arial" w:cs="Arial"/>
                <w:sz w:val="24"/>
                <w:szCs w:val="24"/>
              </w:rPr>
              <w:t>*</w:t>
            </w:r>
          </w:p>
        </w:tc>
        <w:tc>
          <w:tcPr>
            <w:tcW w:w="849" w:type="pct"/>
            <w:tcBorders>
              <w:top w:val="nil"/>
              <w:bottom w:val="single" w:sz="4" w:space="0" w:color="auto"/>
              <w:right w:val="nil"/>
            </w:tcBorders>
          </w:tcPr>
          <w:p w:rsidR="005E535C" w:rsidRPr="00F7178D" w:rsidRDefault="009E399D" w:rsidP="004D01DC">
            <w:pPr>
              <w:jc w:val="right"/>
              <w:rPr>
                <w:rFonts w:ascii="Arial" w:hAnsi="Arial" w:cs="Arial"/>
                <w:sz w:val="24"/>
                <w:szCs w:val="24"/>
              </w:rPr>
            </w:pPr>
            <w:r>
              <w:rPr>
                <w:rFonts w:ascii="Arial" w:hAnsi="Arial" w:cs="Arial"/>
                <w:sz w:val="24"/>
                <w:szCs w:val="24"/>
              </w:rPr>
              <w:t>+4.7</w:t>
            </w:r>
            <w:r w:rsidR="00125A18" w:rsidRPr="00F7178D">
              <w:rPr>
                <w:rFonts w:ascii="Arial" w:hAnsi="Arial" w:cs="Arial"/>
                <w:sz w:val="24"/>
                <w:szCs w:val="24"/>
              </w:rPr>
              <w:t>%</w:t>
            </w:r>
          </w:p>
        </w:tc>
        <w:tc>
          <w:tcPr>
            <w:tcW w:w="851" w:type="pct"/>
            <w:tcBorders>
              <w:top w:val="nil"/>
              <w:left w:val="nil"/>
              <w:bottom w:val="single" w:sz="4" w:space="0" w:color="auto"/>
              <w:right w:val="single" w:sz="4" w:space="0" w:color="auto"/>
            </w:tcBorders>
          </w:tcPr>
          <w:p w:rsidR="005E535C" w:rsidRPr="00F7178D" w:rsidRDefault="009E399D" w:rsidP="004D01DC">
            <w:pPr>
              <w:jc w:val="right"/>
              <w:rPr>
                <w:rFonts w:ascii="Arial" w:hAnsi="Arial" w:cs="Arial"/>
                <w:sz w:val="24"/>
                <w:szCs w:val="24"/>
              </w:rPr>
            </w:pPr>
            <w:r>
              <w:rPr>
                <w:rFonts w:ascii="Arial" w:hAnsi="Arial" w:cs="Arial"/>
                <w:sz w:val="24"/>
                <w:szCs w:val="24"/>
              </w:rPr>
              <w:t>(</w:t>
            </w:r>
            <w:r w:rsidR="00125A18" w:rsidRPr="00F7178D">
              <w:rPr>
                <w:rFonts w:ascii="Arial" w:hAnsi="Arial" w:cs="Arial"/>
                <w:sz w:val="24"/>
                <w:szCs w:val="24"/>
              </w:rPr>
              <w:t>1.8</w:t>
            </w:r>
            <w:r>
              <w:rPr>
                <w:rFonts w:ascii="Arial" w:hAnsi="Arial" w:cs="Arial"/>
                <w:sz w:val="24"/>
                <w:szCs w:val="24"/>
              </w:rPr>
              <w:t>)</w:t>
            </w:r>
            <w:r w:rsidR="00125A18" w:rsidRPr="00F7178D">
              <w:rPr>
                <w:rFonts w:ascii="Arial" w:hAnsi="Arial" w:cs="Arial"/>
                <w:sz w:val="24"/>
                <w:szCs w:val="24"/>
              </w:rPr>
              <w:t>%</w:t>
            </w:r>
          </w:p>
        </w:tc>
        <w:tc>
          <w:tcPr>
            <w:tcW w:w="851" w:type="pct"/>
            <w:tcBorders>
              <w:top w:val="nil"/>
              <w:left w:val="single" w:sz="4" w:space="0" w:color="auto"/>
              <w:bottom w:val="single" w:sz="4" w:space="0" w:color="auto"/>
              <w:right w:val="nil"/>
            </w:tcBorders>
          </w:tcPr>
          <w:p w:rsidR="005E535C" w:rsidRPr="00F7178D" w:rsidRDefault="009E399D" w:rsidP="004D01DC">
            <w:pPr>
              <w:jc w:val="right"/>
              <w:rPr>
                <w:rFonts w:ascii="Arial" w:hAnsi="Arial" w:cs="Arial"/>
                <w:sz w:val="24"/>
                <w:szCs w:val="24"/>
              </w:rPr>
            </w:pPr>
            <w:r>
              <w:rPr>
                <w:rFonts w:ascii="Arial" w:hAnsi="Arial" w:cs="Arial"/>
                <w:sz w:val="24"/>
                <w:szCs w:val="24"/>
              </w:rPr>
              <w:t>+9.5%</w:t>
            </w:r>
          </w:p>
        </w:tc>
        <w:tc>
          <w:tcPr>
            <w:tcW w:w="851" w:type="pct"/>
            <w:tcBorders>
              <w:top w:val="nil"/>
              <w:left w:val="nil"/>
              <w:bottom w:val="single" w:sz="4" w:space="0" w:color="auto"/>
              <w:right w:val="nil"/>
            </w:tcBorders>
          </w:tcPr>
          <w:p w:rsidR="005E535C" w:rsidRPr="00F7178D" w:rsidRDefault="009E399D" w:rsidP="004D01DC">
            <w:pPr>
              <w:jc w:val="right"/>
              <w:rPr>
                <w:rFonts w:ascii="Arial" w:hAnsi="Arial" w:cs="Arial"/>
                <w:sz w:val="24"/>
                <w:szCs w:val="24"/>
              </w:rPr>
            </w:pPr>
            <w:r>
              <w:rPr>
                <w:rFonts w:ascii="Arial" w:hAnsi="Arial" w:cs="Arial"/>
                <w:sz w:val="24"/>
                <w:szCs w:val="24"/>
              </w:rPr>
              <w:t>+2.1%</w:t>
            </w:r>
          </w:p>
        </w:tc>
      </w:tr>
      <w:tr w:rsidR="005E535C" w:rsidRPr="004D01DC" w:rsidTr="00F7178D">
        <w:trPr>
          <w:trHeight w:hRule="exact" w:val="312"/>
        </w:trPr>
        <w:tc>
          <w:tcPr>
            <w:tcW w:w="1598" w:type="pct"/>
            <w:tcBorders>
              <w:left w:val="nil"/>
            </w:tcBorders>
          </w:tcPr>
          <w:p w:rsidR="005E535C" w:rsidRPr="00F7178D" w:rsidRDefault="005E535C" w:rsidP="004D01DC">
            <w:pPr>
              <w:jc w:val="left"/>
              <w:rPr>
                <w:rFonts w:ascii="Arial" w:hAnsi="Arial" w:cs="Arial"/>
                <w:b/>
                <w:sz w:val="24"/>
                <w:szCs w:val="24"/>
              </w:rPr>
            </w:pPr>
            <w:r w:rsidRPr="00F7178D">
              <w:rPr>
                <w:rFonts w:ascii="Arial" w:hAnsi="Arial" w:cs="Arial"/>
                <w:b/>
                <w:sz w:val="24"/>
                <w:szCs w:val="24"/>
              </w:rPr>
              <w:t>Total Group</w:t>
            </w:r>
          </w:p>
        </w:tc>
        <w:tc>
          <w:tcPr>
            <w:tcW w:w="849" w:type="pct"/>
            <w:tcBorders>
              <w:top w:val="single" w:sz="4" w:space="0" w:color="auto"/>
              <w:right w:val="nil"/>
            </w:tcBorders>
          </w:tcPr>
          <w:p w:rsidR="005E535C" w:rsidRPr="00F7178D" w:rsidRDefault="009E399D" w:rsidP="004D01DC">
            <w:pPr>
              <w:jc w:val="right"/>
              <w:rPr>
                <w:rFonts w:ascii="Arial" w:hAnsi="Arial" w:cs="Arial"/>
                <w:b/>
                <w:sz w:val="24"/>
                <w:szCs w:val="24"/>
              </w:rPr>
            </w:pPr>
            <w:r>
              <w:rPr>
                <w:rFonts w:ascii="Arial" w:hAnsi="Arial" w:cs="Arial"/>
                <w:b/>
                <w:sz w:val="24"/>
                <w:szCs w:val="24"/>
              </w:rPr>
              <w:t>+</w:t>
            </w:r>
            <w:r w:rsidR="00BC07E0">
              <w:rPr>
                <w:rFonts w:ascii="Arial" w:hAnsi="Arial" w:cs="Arial"/>
                <w:b/>
                <w:sz w:val="24"/>
                <w:szCs w:val="24"/>
              </w:rPr>
              <w:t>0.8</w:t>
            </w:r>
            <w:r>
              <w:rPr>
                <w:rFonts w:ascii="Arial" w:hAnsi="Arial" w:cs="Arial"/>
                <w:b/>
                <w:sz w:val="24"/>
                <w:szCs w:val="24"/>
              </w:rPr>
              <w:t>%</w:t>
            </w:r>
          </w:p>
        </w:tc>
        <w:tc>
          <w:tcPr>
            <w:tcW w:w="851" w:type="pct"/>
            <w:tcBorders>
              <w:top w:val="single" w:sz="4" w:space="0" w:color="auto"/>
              <w:left w:val="nil"/>
              <w:right w:val="single" w:sz="4" w:space="0" w:color="auto"/>
            </w:tcBorders>
          </w:tcPr>
          <w:p w:rsidR="005E535C" w:rsidRPr="00F7178D" w:rsidRDefault="009E399D" w:rsidP="004D01DC">
            <w:pPr>
              <w:jc w:val="right"/>
              <w:rPr>
                <w:rFonts w:ascii="Arial" w:hAnsi="Arial" w:cs="Arial"/>
                <w:b/>
                <w:sz w:val="24"/>
                <w:szCs w:val="24"/>
              </w:rPr>
            </w:pPr>
            <w:r>
              <w:rPr>
                <w:rFonts w:ascii="Arial" w:hAnsi="Arial" w:cs="Arial"/>
                <w:b/>
                <w:sz w:val="24"/>
                <w:szCs w:val="24"/>
              </w:rPr>
              <w:t>(1.</w:t>
            </w:r>
            <w:r w:rsidR="00BC07E0">
              <w:rPr>
                <w:rFonts w:ascii="Arial" w:hAnsi="Arial" w:cs="Arial"/>
                <w:b/>
                <w:sz w:val="24"/>
                <w:szCs w:val="24"/>
              </w:rPr>
              <w:t>8</w:t>
            </w:r>
            <w:r>
              <w:rPr>
                <w:rFonts w:ascii="Arial" w:hAnsi="Arial" w:cs="Arial"/>
                <w:b/>
                <w:sz w:val="24"/>
                <w:szCs w:val="24"/>
              </w:rPr>
              <w:t>)%</w:t>
            </w:r>
          </w:p>
        </w:tc>
        <w:tc>
          <w:tcPr>
            <w:tcW w:w="851" w:type="pct"/>
            <w:tcBorders>
              <w:top w:val="single" w:sz="4" w:space="0" w:color="auto"/>
              <w:left w:val="single" w:sz="4" w:space="0" w:color="auto"/>
              <w:right w:val="nil"/>
            </w:tcBorders>
          </w:tcPr>
          <w:p w:rsidR="005E535C" w:rsidRPr="00F7178D" w:rsidRDefault="009E399D" w:rsidP="004D01DC">
            <w:pPr>
              <w:jc w:val="right"/>
              <w:rPr>
                <w:rFonts w:ascii="Arial" w:hAnsi="Arial" w:cs="Arial"/>
                <w:b/>
                <w:sz w:val="24"/>
                <w:szCs w:val="24"/>
              </w:rPr>
            </w:pPr>
            <w:r>
              <w:rPr>
                <w:rFonts w:ascii="Arial" w:hAnsi="Arial" w:cs="Arial"/>
                <w:b/>
                <w:sz w:val="24"/>
                <w:szCs w:val="24"/>
              </w:rPr>
              <w:t>+5.</w:t>
            </w:r>
            <w:r w:rsidR="00BC07E0">
              <w:rPr>
                <w:rFonts w:ascii="Arial" w:hAnsi="Arial" w:cs="Arial"/>
                <w:b/>
                <w:sz w:val="24"/>
                <w:szCs w:val="24"/>
              </w:rPr>
              <w:t>1</w:t>
            </w:r>
            <w:r>
              <w:rPr>
                <w:rFonts w:ascii="Arial" w:hAnsi="Arial" w:cs="Arial"/>
                <w:b/>
                <w:sz w:val="24"/>
                <w:szCs w:val="24"/>
              </w:rPr>
              <w:t>%</w:t>
            </w:r>
          </w:p>
        </w:tc>
        <w:tc>
          <w:tcPr>
            <w:tcW w:w="851" w:type="pct"/>
            <w:tcBorders>
              <w:top w:val="single" w:sz="4" w:space="0" w:color="auto"/>
              <w:left w:val="nil"/>
              <w:right w:val="nil"/>
            </w:tcBorders>
          </w:tcPr>
          <w:p w:rsidR="005E535C" w:rsidRPr="00F7178D" w:rsidRDefault="009E399D" w:rsidP="004D01DC">
            <w:pPr>
              <w:jc w:val="right"/>
              <w:rPr>
                <w:rFonts w:ascii="Arial" w:hAnsi="Arial" w:cs="Arial"/>
                <w:b/>
                <w:sz w:val="24"/>
                <w:szCs w:val="24"/>
              </w:rPr>
            </w:pPr>
            <w:r>
              <w:rPr>
                <w:rFonts w:ascii="Arial" w:hAnsi="Arial" w:cs="Arial"/>
                <w:b/>
                <w:sz w:val="24"/>
                <w:szCs w:val="24"/>
              </w:rPr>
              <w:t>+2.</w:t>
            </w:r>
            <w:r w:rsidR="00BC07E0">
              <w:rPr>
                <w:rFonts w:ascii="Arial" w:hAnsi="Arial" w:cs="Arial"/>
                <w:b/>
                <w:sz w:val="24"/>
                <w:szCs w:val="24"/>
              </w:rPr>
              <w:t>3</w:t>
            </w:r>
            <w:r>
              <w:rPr>
                <w:rFonts w:ascii="Arial" w:hAnsi="Arial" w:cs="Arial"/>
                <w:b/>
                <w:sz w:val="24"/>
                <w:szCs w:val="24"/>
              </w:rPr>
              <w:t>%</w:t>
            </w:r>
          </w:p>
        </w:tc>
      </w:tr>
    </w:tbl>
    <w:p w:rsidR="00586BE0" w:rsidRDefault="00586BE0" w:rsidP="00586BE0">
      <w:pPr>
        <w:jc w:val="left"/>
        <w:rPr>
          <w:rFonts w:ascii="Arial" w:hAnsi="Arial" w:cs="Arial"/>
          <w:i/>
          <w:sz w:val="18"/>
          <w:szCs w:val="18"/>
        </w:rPr>
      </w:pPr>
    </w:p>
    <w:p w:rsidR="00586BE0" w:rsidRPr="009F1615" w:rsidRDefault="00586BE0" w:rsidP="00586BE0">
      <w:pPr>
        <w:jc w:val="left"/>
        <w:rPr>
          <w:rFonts w:ascii="Arial" w:hAnsi="Arial" w:cs="Arial"/>
          <w:i/>
          <w:sz w:val="18"/>
          <w:szCs w:val="18"/>
        </w:rPr>
      </w:pPr>
      <w:r w:rsidRPr="009F1615">
        <w:rPr>
          <w:rFonts w:ascii="Arial" w:hAnsi="Arial" w:cs="Arial"/>
          <w:i/>
          <w:sz w:val="18"/>
          <w:szCs w:val="18"/>
        </w:rPr>
        <w:t>*Throughout this release ‘*’ indicates first instance of a term defined or explained in the glossary towards the end of this release.</w:t>
      </w:r>
    </w:p>
    <w:p w:rsidR="005E535C" w:rsidRDefault="005E535C" w:rsidP="000849D1">
      <w:pPr>
        <w:jc w:val="left"/>
        <w:rPr>
          <w:rFonts w:ascii="Arial" w:hAnsi="Arial" w:cs="Arial"/>
          <w:b/>
          <w:sz w:val="24"/>
          <w:szCs w:val="24"/>
        </w:rPr>
      </w:pPr>
    </w:p>
    <w:p w:rsidR="005E535C" w:rsidRDefault="006F11C5" w:rsidP="000849D1">
      <w:pPr>
        <w:jc w:val="left"/>
      </w:pPr>
      <w:r>
        <w:rPr>
          <w:rFonts w:ascii="Arial" w:hAnsi="Arial" w:cs="Arial"/>
          <w:b/>
          <w:sz w:val="24"/>
          <w:szCs w:val="24"/>
        </w:rPr>
        <w:t xml:space="preserve">Sir </w:t>
      </w:r>
      <w:r w:rsidR="005E535C" w:rsidRPr="000849D1">
        <w:rPr>
          <w:rFonts w:ascii="Arial" w:hAnsi="Arial" w:cs="Arial"/>
          <w:b/>
          <w:sz w:val="24"/>
          <w:szCs w:val="24"/>
        </w:rPr>
        <w:t>Ian Cheshire, Kingfisher’s Group Chief Executive, said:</w:t>
      </w:r>
    </w:p>
    <w:p w:rsidR="00F518A2" w:rsidRDefault="00F518A2" w:rsidP="001B6938">
      <w:pPr>
        <w:jc w:val="left"/>
        <w:rPr>
          <w:rFonts w:ascii="Arial" w:hAnsi="Arial" w:cs="Arial"/>
          <w:sz w:val="24"/>
          <w:szCs w:val="24"/>
        </w:rPr>
      </w:pPr>
    </w:p>
    <w:p w:rsidR="00BC203D" w:rsidRDefault="00BC203D" w:rsidP="001B6938">
      <w:pPr>
        <w:jc w:val="left"/>
        <w:rPr>
          <w:rFonts w:ascii="Arial" w:hAnsi="Arial" w:cs="Arial"/>
          <w:sz w:val="24"/>
          <w:szCs w:val="24"/>
        </w:rPr>
      </w:pPr>
      <w:r>
        <w:rPr>
          <w:rFonts w:ascii="Arial" w:hAnsi="Arial" w:cs="Arial"/>
          <w:sz w:val="24"/>
          <w:szCs w:val="24"/>
        </w:rPr>
        <w:t xml:space="preserve">“Trading in our Q2 was always expected to be more difficult, annualising a very strong Q2 performance last year and </w:t>
      </w:r>
      <w:r w:rsidRPr="002C3E7C">
        <w:rPr>
          <w:rFonts w:ascii="Arial" w:hAnsi="Arial" w:cs="Arial"/>
          <w:sz w:val="24"/>
          <w:szCs w:val="24"/>
        </w:rPr>
        <w:t>following t</w:t>
      </w:r>
      <w:r w:rsidR="001B6938" w:rsidRPr="002C3E7C">
        <w:rPr>
          <w:rFonts w:ascii="Arial" w:hAnsi="Arial" w:cs="Arial"/>
          <w:sz w:val="24"/>
          <w:szCs w:val="24"/>
        </w:rPr>
        <w:t>his year’s weather boosted Q1. </w:t>
      </w:r>
      <w:r w:rsidRPr="002C3E7C">
        <w:rPr>
          <w:rFonts w:ascii="Arial" w:hAnsi="Arial" w:cs="Arial"/>
          <w:sz w:val="24"/>
          <w:szCs w:val="24"/>
        </w:rPr>
        <w:t>However, our markets in Q2</w:t>
      </w:r>
      <w:r w:rsidR="00BC07E0" w:rsidRPr="002C3E7C">
        <w:rPr>
          <w:rFonts w:ascii="Arial" w:hAnsi="Arial" w:cs="Arial"/>
          <w:sz w:val="24"/>
          <w:szCs w:val="24"/>
        </w:rPr>
        <w:t>, notably in June,</w:t>
      </w:r>
      <w:r w:rsidRPr="002C3E7C">
        <w:rPr>
          <w:rFonts w:ascii="Arial" w:hAnsi="Arial" w:cs="Arial"/>
          <w:sz w:val="24"/>
          <w:szCs w:val="24"/>
        </w:rPr>
        <w:t xml:space="preserve"> have been slower than anticipated particularly in France and Poland. It is unclear whether this recent weakness is short term phasing in natur</w:t>
      </w:r>
      <w:r w:rsidR="002C3E7C">
        <w:rPr>
          <w:rFonts w:ascii="Arial" w:hAnsi="Arial" w:cs="Arial"/>
          <w:sz w:val="24"/>
          <w:szCs w:val="24"/>
        </w:rPr>
        <w:t>e</w:t>
      </w:r>
      <w:r w:rsidR="009C676E">
        <w:rPr>
          <w:rFonts w:ascii="Arial" w:hAnsi="Arial" w:cs="Arial"/>
          <w:sz w:val="24"/>
          <w:szCs w:val="24"/>
        </w:rPr>
        <w:t>,</w:t>
      </w:r>
      <w:r w:rsidR="00A95425">
        <w:rPr>
          <w:rFonts w:ascii="Arial" w:hAnsi="Arial" w:cs="Arial"/>
          <w:sz w:val="24"/>
          <w:szCs w:val="24"/>
        </w:rPr>
        <w:t xml:space="preserve"> though w</w:t>
      </w:r>
      <w:r w:rsidRPr="002C3E7C">
        <w:rPr>
          <w:rFonts w:ascii="Arial" w:hAnsi="Arial" w:cs="Arial"/>
          <w:sz w:val="24"/>
          <w:szCs w:val="24"/>
        </w:rPr>
        <w:t>e will</w:t>
      </w:r>
      <w:r>
        <w:rPr>
          <w:rFonts w:ascii="Arial" w:hAnsi="Arial" w:cs="Arial"/>
          <w:sz w:val="24"/>
          <w:szCs w:val="24"/>
        </w:rPr>
        <w:t xml:space="preserve"> know more by our interims in September having then traded through our key summer months. In the meantime we are accelerating our self-help margin and cost initiatives to help support our second half performance.  </w:t>
      </w:r>
    </w:p>
    <w:p w:rsidR="00BC203D" w:rsidRDefault="00BC203D" w:rsidP="001B6938">
      <w:pPr>
        <w:jc w:val="left"/>
        <w:rPr>
          <w:rFonts w:ascii="Arial" w:hAnsi="Arial" w:cs="Arial"/>
          <w:sz w:val="24"/>
          <w:szCs w:val="24"/>
        </w:rPr>
      </w:pPr>
    </w:p>
    <w:p w:rsidR="00BC203D" w:rsidRDefault="00BC203D" w:rsidP="001B6938">
      <w:pPr>
        <w:jc w:val="left"/>
        <w:rPr>
          <w:rFonts w:ascii="Arial" w:hAnsi="Arial" w:cs="Arial"/>
          <w:sz w:val="24"/>
          <w:szCs w:val="24"/>
        </w:rPr>
      </w:pPr>
      <w:r>
        <w:rPr>
          <w:rFonts w:ascii="Arial" w:hAnsi="Arial" w:cs="Arial"/>
          <w:sz w:val="24"/>
          <w:szCs w:val="24"/>
        </w:rPr>
        <w:t>“</w:t>
      </w:r>
      <w:r w:rsidR="00B910C5">
        <w:rPr>
          <w:rFonts w:ascii="Arial" w:hAnsi="Arial" w:cs="Arial"/>
          <w:sz w:val="24"/>
          <w:szCs w:val="24"/>
        </w:rPr>
        <w:t>We</w:t>
      </w:r>
      <w:r>
        <w:rPr>
          <w:rFonts w:ascii="Arial" w:hAnsi="Arial" w:cs="Arial"/>
          <w:sz w:val="24"/>
          <w:szCs w:val="24"/>
        </w:rPr>
        <w:t xml:space="preserve"> </w:t>
      </w:r>
      <w:r w:rsidR="00B910C5">
        <w:rPr>
          <w:rFonts w:ascii="Arial" w:hAnsi="Arial" w:cs="Arial"/>
          <w:sz w:val="24"/>
          <w:szCs w:val="24"/>
        </w:rPr>
        <w:t>are progressing well with the acquisition of Mr Bricolage, a leading French home improvement retailer. I am delighted that this transaction, which was announced in April, has now become binding</w:t>
      </w:r>
      <w:r w:rsidR="00F505CA">
        <w:rPr>
          <w:rFonts w:ascii="Arial" w:hAnsi="Arial" w:cs="Arial"/>
          <w:sz w:val="24"/>
          <w:szCs w:val="24"/>
        </w:rPr>
        <w:t xml:space="preserve"> and will progress to</w:t>
      </w:r>
      <w:r w:rsidR="00B910C5">
        <w:rPr>
          <w:rFonts w:ascii="Arial" w:hAnsi="Arial" w:cs="Arial"/>
          <w:sz w:val="24"/>
          <w:szCs w:val="24"/>
        </w:rPr>
        <w:t xml:space="preserve"> anti-trust clearances. Adding </w:t>
      </w:r>
      <w:r>
        <w:rPr>
          <w:rFonts w:ascii="Arial" w:hAnsi="Arial" w:cs="Arial"/>
          <w:sz w:val="24"/>
          <w:szCs w:val="24"/>
        </w:rPr>
        <w:t>a third, compl</w:t>
      </w:r>
      <w:r w:rsidR="00BC2F8A">
        <w:rPr>
          <w:rFonts w:ascii="Arial" w:hAnsi="Arial" w:cs="Arial"/>
          <w:sz w:val="24"/>
          <w:szCs w:val="24"/>
        </w:rPr>
        <w:t>e</w:t>
      </w:r>
      <w:r>
        <w:rPr>
          <w:rFonts w:ascii="Arial" w:hAnsi="Arial" w:cs="Arial"/>
          <w:sz w:val="24"/>
          <w:szCs w:val="24"/>
        </w:rPr>
        <w:t xml:space="preserve">mentary strong business alongside </w:t>
      </w:r>
      <w:r w:rsidR="0005717F">
        <w:rPr>
          <w:rFonts w:ascii="Arial" w:hAnsi="Arial" w:cs="Arial"/>
          <w:sz w:val="24"/>
          <w:szCs w:val="24"/>
        </w:rPr>
        <w:t>Castorama and Brico Dépôt</w:t>
      </w:r>
      <w:r>
        <w:rPr>
          <w:rFonts w:ascii="Arial" w:hAnsi="Arial" w:cs="Arial"/>
          <w:sz w:val="24"/>
          <w:szCs w:val="24"/>
        </w:rPr>
        <w:t xml:space="preserve"> will provide us with an attractive growth opportunit</w:t>
      </w:r>
      <w:r w:rsidR="001B6938">
        <w:rPr>
          <w:rFonts w:ascii="Arial" w:hAnsi="Arial" w:cs="Arial"/>
          <w:sz w:val="24"/>
          <w:szCs w:val="24"/>
        </w:rPr>
        <w:t>y in our most important market.</w:t>
      </w:r>
      <w:r>
        <w:rPr>
          <w:rFonts w:ascii="Arial" w:hAnsi="Arial" w:cs="Arial"/>
          <w:sz w:val="24"/>
          <w:szCs w:val="24"/>
        </w:rPr>
        <w:t>”</w:t>
      </w:r>
    </w:p>
    <w:p w:rsidR="00E122B6" w:rsidRDefault="00E122B6" w:rsidP="009633E5">
      <w:pPr>
        <w:jc w:val="left"/>
        <w:rPr>
          <w:rFonts w:ascii="Arial" w:hAnsi="Arial" w:cs="Arial"/>
          <w:b/>
          <w:caps/>
          <w:sz w:val="24"/>
          <w:szCs w:val="24"/>
        </w:rPr>
      </w:pPr>
    </w:p>
    <w:p w:rsidR="00E122B6" w:rsidRDefault="00E122B6" w:rsidP="009633E5">
      <w:pPr>
        <w:jc w:val="left"/>
        <w:rPr>
          <w:rFonts w:ascii="Arial" w:hAnsi="Arial" w:cs="Arial"/>
          <w:b/>
          <w:caps/>
          <w:sz w:val="24"/>
          <w:szCs w:val="24"/>
        </w:rPr>
      </w:pPr>
    </w:p>
    <w:p w:rsidR="004F5474" w:rsidRPr="00F7178D" w:rsidRDefault="009633E5" w:rsidP="009633E5">
      <w:pPr>
        <w:jc w:val="left"/>
        <w:rPr>
          <w:rFonts w:ascii="Arial" w:hAnsi="Arial" w:cs="Arial"/>
          <w:b/>
          <w:caps/>
          <w:sz w:val="24"/>
          <w:szCs w:val="24"/>
        </w:rPr>
      </w:pPr>
      <w:r w:rsidRPr="00F7178D">
        <w:rPr>
          <w:rFonts w:ascii="Arial" w:hAnsi="Arial" w:cs="Arial"/>
          <w:b/>
          <w:caps/>
          <w:sz w:val="24"/>
          <w:szCs w:val="24"/>
        </w:rPr>
        <w:t>Trading review</w:t>
      </w:r>
      <w:r w:rsidR="00FF227C" w:rsidRPr="00F7178D">
        <w:rPr>
          <w:rFonts w:ascii="Arial" w:hAnsi="Arial" w:cs="Arial"/>
          <w:b/>
          <w:caps/>
          <w:sz w:val="24"/>
          <w:szCs w:val="24"/>
        </w:rPr>
        <w:t xml:space="preserve"> for the 10 weeks</w:t>
      </w:r>
      <w:r w:rsidR="005E01E0" w:rsidRPr="00F7178D">
        <w:rPr>
          <w:rFonts w:ascii="Arial" w:hAnsi="Arial" w:cs="Arial"/>
          <w:b/>
          <w:caps/>
          <w:sz w:val="24"/>
          <w:szCs w:val="24"/>
        </w:rPr>
        <w:t xml:space="preserve"> (in constant currencies)</w:t>
      </w:r>
      <w:r w:rsidR="004F5474" w:rsidRPr="00F7178D">
        <w:rPr>
          <w:rFonts w:ascii="Arial" w:hAnsi="Arial" w:cs="Arial"/>
          <w:b/>
          <w:caps/>
          <w:sz w:val="24"/>
          <w:szCs w:val="24"/>
        </w:rPr>
        <w:t xml:space="preserve"> </w:t>
      </w:r>
    </w:p>
    <w:p w:rsidR="004F5474" w:rsidRDefault="004F5474" w:rsidP="009633E5">
      <w:pPr>
        <w:jc w:val="left"/>
        <w:rPr>
          <w:rFonts w:ascii="Arial" w:hAnsi="Arial" w:cs="Arial"/>
          <w:b/>
          <w:sz w:val="24"/>
          <w:szCs w:val="24"/>
        </w:rPr>
      </w:pPr>
    </w:p>
    <w:p w:rsidR="009E3551" w:rsidRPr="005F6EF2" w:rsidRDefault="009E3551" w:rsidP="009633E5">
      <w:pPr>
        <w:jc w:val="left"/>
        <w:rPr>
          <w:rFonts w:ascii="Arial" w:hAnsi="Arial" w:cs="Arial"/>
          <w:b/>
          <w:sz w:val="24"/>
          <w:szCs w:val="24"/>
          <w:u w:val="single"/>
        </w:rPr>
      </w:pPr>
      <w:r w:rsidRPr="005F6EF2">
        <w:rPr>
          <w:rFonts w:ascii="Arial" w:hAnsi="Arial" w:cs="Arial"/>
          <w:b/>
          <w:sz w:val="24"/>
          <w:szCs w:val="24"/>
          <w:u w:val="single"/>
        </w:rPr>
        <w:t>FRANCE</w:t>
      </w:r>
    </w:p>
    <w:p w:rsidR="00427A7B" w:rsidRPr="00F7178D" w:rsidRDefault="00427A7B" w:rsidP="009633E5">
      <w:pPr>
        <w:jc w:val="left"/>
        <w:rPr>
          <w:rFonts w:ascii="Arial" w:hAnsi="Arial" w:cs="Arial"/>
          <w:b/>
          <w:sz w:val="24"/>
          <w:szCs w:val="24"/>
        </w:rPr>
      </w:pPr>
    </w:p>
    <w:p w:rsidR="00F60DF9" w:rsidRDefault="002C08AA" w:rsidP="009633E5">
      <w:pPr>
        <w:jc w:val="left"/>
        <w:rPr>
          <w:rFonts w:ascii="Arial" w:hAnsi="Arial" w:cs="Arial"/>
          <w:sz w:val="24"/>
          <w:szCs w:val="24"/>
        </w:rPr>
      </w:pPr>
      <w:r>
        <w:rPr>
          <w:rFonts w:ascii="Arial" w:hAnsi="Arial" w:cs="Arial"/>
          <w:sz w:val="24"/>
          <w:szCs w:val="24"/>
        </w:rPr>
        <w:t xml:space="preserve">Total sales in </w:t>
      </w:r>
      <w:r>
        <w:rPr>
          <w:rFonts w:ascii="Arial" w:hAnsi="Arial" w:cs="Arial"/>
          <w:b/>
          <w:sz w:val="24"/>
          <w:szCs w:val="24"/>
        </w:rPr>
        <w:t>France</w:t>
      </w:r>
      <w:r w:rsidR="00004A29">
        <w:rPr>
          <w:rFonts w:ascii="Arial" w:hAnsi="Arial" w:cs="Arial"/>
          <w:sz w:val="24"/>
          <w:szCs w:val="24"/>
        </w:rPr>
        <w:t xml:space="preserve"> were </w:t>
      </w:r>
      <w:r w:rsidR="009E399D">
        <w:rPr>
          <w:rFonts w:ascii="Arial" w:hAnsi="Arial" w:cs="Arial"/>
          <w:sz w:val="24"/>
          <w:szCs w:val="24"/>
        </w:rPr>
        <w:t xml:space="preserve">down </w:t>
      </w:r>
      <w:r w:rsidR="00BC07E0">
        <w:rPr>
          <w:rFonts w:ascii="Arial" w:hAnsi="Arial" w:cs="Arial"/>
          <w:sz w:val="24"/>
          <w:szCs w:val="24"/>
        </w:rPr>
        <w:t>1.4</w:t>
      </w:r>
      <w:r w:rsidR="009E399D">
        <w:rPr>
          <w:rFonts w:ascii="Arial" w:hAnsi="Arial" w:cs="Arial"/>
          <w:sz w:val="24"/>
          <w:szCs w:val="24"/>
        </w:rPr>
        <w:t>%</w:t>
      </w:r>
      <w:r w:rsidR="00004A29">
        <w:rPr>
          <w:rFonts w:ascii="Arial" w:hAnsi="Arial" w:cs="Arial"/>
          <w:sz w:val="24"/>
          <w:szCs w:val="24"/>
        </w:rPr>
        <w:t xml:space="preserve"> (</w:t>
      </w:r>
      <w:r w:rsidR="00483D03">
        <w:rPr>
          <w:rFonts w:ascii="Arial" w:hAnsi="Arial" w:cs="Arial"/>
          <w:sz w:val="24"/>
          <w:szCs w:val="24"/>
        </w:rPr>
        <w:t>-</w:t>
      </w:r>
      <w:r w:rsidR="00BC07E0">
        <w:rPr>
          <w:rFonts w:ascii="Arial" w:hAnsi="Arial" w:cs="Arial"/>
          <w:sz w:val="24"/>
          <w:szCs w:val="24"/>
        </w:rPr>
        <w:t>2</w:t>
      </w:r>
      <w:r w:rsidR="00483D03">
        <w:rPr>
          <w:rFonts w:ascii="Arial" w:hAnsi="Arial" w:cs="Arial"/>
          <w:sz w:val="24"/>
          <w:szCs w:val="24"/>
        </w:rPr>
        <w:t>.</w:t>
      </w:r>
      <w:r w:rsidR="00BC07E0">
        <w:rPr>
          <w:rFonts w:ascii="Arial" w:hAnsi="Arial" w:cs="Arial"/>
          <w:sz w:val="24"/>
          <w:szCs w:val="24"/>
        </w:rPr>
        <w:t>2</w:t>
      </w:r>
      <w:r w:rsidR="00483D03">
        <w:rPr>
          <w:rFonts w:ascii="Arial" w:hAnsi="Arial" w:cs="Arial"/>
          <w:sz w:val="24"/>
          <w:szCs w:val="24"/>
        </w:rPr>
        <w:t>%</w:t>
      </w:r>
      <w:r w:rsidR="0010662E">
        <w:rPr>
          <w:rFonts w:ascii="Arial" w:hAnsi="Arial" w:cs="Arial"/>
          <w:sz w:val="24"/>
          <w:szCs w:val="24"/>
        </w:rPr>
        <w:t xml:space="preserve"> LFL)</w:t>
      </w:r>
      <w:r w:rsidR="00153C00">
        <w:rPr>
          <w:rFonts w:ascii="Arial" w:hAnsi="Arial" w:cs="Arial"/>
          <w:sz w:val="24"/>
          <w:szCs w:val="24"/>
        </w:rPr>
        <w:t xml:space="preserve"> in softer</w:t>
      </w:r>
      <w:r w:rsidR="009E3551">
        <w:rPr>
          <w:rFonts w:ascii="Arial" w:hAnsi="Arial" w:cs="Arial"/>
          <w:sz w:val="24"/>
          <w:szCs w:val="24"/>
        </w:rPr>
        <w:t xml:space="preserve"> markets, up </w:t>
      </w:r>
      <w:r w:rsidR="009E399D">
        <w:rPr>
          <w:rFonts w:ascii="Arial" w:hAnsi="Arial" w:cs="Arial"/>
          <w:sz w:val="24"/>
          <w:szCs w:val="24"/>
        </w:rPr>
        <w:t>1.</w:t>
      </w:r>
      <w:r w:rsidR="00BC07E0">
        <w:rPr>
          <w:rFonts w:ascii="Arial" w:hAnsi="Arial" w:cs="Arial"/>
          <w:sz w:val="24"/>
          <w:szCs w:val="24"/>
        </w:rPr>
        <w:t>1</w:t>
      </w:r>
      <w:r w:rsidR="009E3551">
        <w:rPr>
          <w:rFonts w:ascii="Arial" w:hAnsi="Arial" w:cs="Arial"/>
          <w:sz w:val="24"/>
          <w:szCs w:val="24"/>
        </w:rPr>
        <w:t>% year to date (</w:t>
      </w:r>
      <w:r w:rsidR="00BC07E0">
        <w:rPr>
          <w:rFonts w:ascii="Arial" w:hAnsi="Arial" w:cs="Arial"/>
          <w:sz w:val="24"/>
          <w:szCs w:val="24"/>
        </w:rPr>
        <w:t>-</w:t>
      </w:r>
      <w:r w:rsidR="009E399D">
        <w:rPr>
          <w:rFonts w:ascii="Arial" w:hAnsi="Arial" w:cs="Arial"/>
          <w:sz w:val="24"/>
          <w:szCs w:val="24"/>
        </w:rPr>
        <w:t>0.</w:t>
      </w:r>
      <w:r w:rsidR="00BC07E0">
        <w:rPr>
          <w:rFonts w:ascii="Arial" w:hAnsi="Arial" w:cs="Arial"/>
          <w:sz w:val="24"/>
          <w:szCs w:val="24"/>
        </w:rPr>
        <w:t>2</w:t>
      </w:r>
      <w:r w:rsidR="009E3551">
        <w:rPr>
          <w:rFonts w:ascii="Arial" w:hAnsi="Arial" w:cs="Arial"/>
          <w:sz w:val="24"/>
          <w:szCs w:val="24"/>
        </w:rPr>
        <w:t xml:space="preserve">% LFL). </w:t>
      </w:r>
      <w:r w:rsidR="00BC07E0">
        <w:rPr>
          <w:rFonts w:ascii="Arial" w:hAnsi="Arial" w:cs="Arial"/>
          <w:sz w:val="24"/>
          <w:szCs w:val="24"/>
        </w:rPr>
        <w:t>Gross margin is expected to be up across Q2</w:t>
      </w:r>
      <w:r w:rsidR="00A37CA1">
        <w:rPr>
          <w:rFonts w:ascii="Arial" w:hAnsi="Arial" w:cs="Arial"/>
          <w:sz w:val="24"/>
          <w:szCs w:val="24"/>
        </w:rPr>
        <w:t xml:space="preserve"> compared to the same period last year. </w:t>
      </w:r>
    </w:p>
    <w:p w:rsidR="001D5740" w:rsidRDefault="001D5740" w:rsidP="009633E5">
      <w:pPr>
        <w:jc w:val="left"/>
        <w:rPr>
          <w:rFonts w:ascii="Arial" w:hAnsi="Arial" w:cs="Arial"/>
          <w:sz w:val="24"/>
          <w:szCs w:val="24"/>
        </w:rPr>
      </w:pPr>
    </w:p>
    <w:p w:rsidR="00D84A7D" w:rsidRDefault="00BB4275" w:rsidP="009633E5">
      <w:pPr>
        <w:jc w:val="left"/>
        <w:rPr>
          <w:rFonts w:ascii="Arial" w:hAnsi="Arial" w:cs="Arial"/>
          <w:sz w:val="24"/>
          <w:szCs w:val="24"/>
        </w:rPr>
      </w:pPr>
      <w:r w:rsidRPr="00F7178D">
        <w:rPr>
          <w:rFonts w:ascii="Arial" w:hAnsi="Arial" w:cs="Arial"/>
          <w:b/>
          <w:sz w:val="24"/>
          <w:szCs w:val="24"/>
        </w:rPr>
        <w:t>Castorama</w:t>
      </w:r>
      <w:r>
        <w:rPr>
          <w:rFonts w:ascii="Arial" w:hAnsi="Arial" w:cs="Arial"/>
          <w:sz w:val="24"/>
          <w:szCs w:val="24"/>
        </w:rPr>
        <w:t xml:space="preserve"> total sales were </w:t>
      </w:r>
      <w:r w:rsidR="009E399D">
        <w:rPr>
          <w:rFonts w:ascii="Arial" w:hAnsi="Arial" w:cs="Arial"/>
          <w:sz w:val="24"/>
          <w:szCs w:val="24"/>
        </w:rPr>
        <w:t>down</w:t>
      </w:r>
      <w:r>
        <w:rPr>
          <w:rFonts w:ascii="Arial" w:hAnsi="Arial" w:cs="Arial"/>
          <w:sz w:val="24"/>
          <w:szCs w:val="24"/>
        </w:rPr>
        <w:t xml:space="preserve"> </w:t>
      </w:r>
      <w:r w:rsidR="009E399D">
        <w:rPr>
          <w:rFonts w:ascii="Arial" w:hAnsi="Arial" w:cs="Arial"/>
          <w:sz w:val="24"/>
          <w:szCs w:val="24"/>
        </w:rPr>
        <w:t>1</w:t>
      </w:r>
      <w:r>
        <w:rPr>
          <w:rFonts w:ascii="Arial" w:hAnsi="Arial" w:cs="Arial"/>
          <w:sz w:val="24"/>
          <w:szCs w:val="24"/>
        </w:rPr>
        <w:t>.</w:t>
      </w:r>
      <w:r w:rsidR="009E399D">
        <w:rPr>
          <w:rFonts w:ascii="Arial" w:hAnsi="Arial" w:cs="Arial"/>
          <w:sz w:val="24"/>
          <w:szCs w:val="24"/>
        </w:rPr>
        <w:t>6</w:t>
      </w:r>
      <w:r>
        <w:rPr>
          <w:rFonts w:ascii="Arial" w:hAnsi="Arial" w:cs="Arial"/>
          <w:sz w:val="24"/>
          <w:szCs w:val="24"/>
        </w:rPr>
        <w:t>% (</w:t>
      </w:r>
      <w:r w:rsidR="009E399D">
        <w:rPr>
          <w:rFonts w:ascii="Arial" w:hAnsi="Arial" w:cs="Arial"/>
          <w:sz w:val="24"/>
          <w:szCs w:val="24"/>
        </w:rPr>
        <w:t>-</w:t>
      </w:r>
      <w:r>
        <w:rPr>
          <w:rFonts w:ascii="Arial" w:hAnsi="Arial" w:cs="Arial"/>
          <w:sz w:val="24"/>
          <w:szCs w:val="24"/>
        </w:rPr>
        <w:t>0.</w:t>
      </w:r>
      <w:r w:rsidR="009E399D">
        <w:rPr>
          <w:rFonts w:ascii="Arial" w:hAnsi="Arial" w:cs="Arial"/>
          <w:sz w:val="24"/>
          <w:szCs w:val="24"/>
        </w:rPr>
        <w:t>9</w:t>
      </w:r>
      <w:r>
        <w:rPr>
          <w:rFonts w:ascii="Arial" w:hAnsi="Arial" w:cs="Arial"/>
          <w:sz w:val="24"/>
          <w:szCs w:val="24"/>
        </w:rPr>
        <w:t>% LFL)</w:t>
      </w:r>
      <w:r w:rsidR="00E43137">
        <w:rPr>
          <w:rFonts w:ascii="Arial" w:hAnsi="Arial" w:cs="Arial"/>
          <w:sz w:val="24"/>
          <w:szCs w:val="24"/>
        </w:rPr>
        <w:t>, up 0.7% year to date (+0.6% LFL)</w:t>
      </w:r>
      <w:r>
        <w:rPr>
          <w:rFonts w:ascii="Arial" w:hAnsi="Arial" w:cs="Arial"/>
          <w:sz w:val="24"/>
          <w:szCs w:val="24"/>
        </w:rPr>
        <w:t xml:space="preserve">. </w:t>
      </w:r>
      <w:r w:rsidR="00F60DF9">
        <w:rPr>
          <w:rFonts w:ascii="Arial" w:hAnsi="Arial" w:cs="Arial"/>
          <w:sz w:val="24"/>
          <w:szCs w:val="24"/>
        </w:rPr>
        <w:t>According to provisional Banque de France* data, sales for the home improvement market were down 1.4%</w:t>
      </w:r>
      <w:r w:rsidR="00BC07E0">
        <w:rPr>
          <w:rFonts w:ascii="Arial" w:hAnsi="Arial" w:cs="Arial"/>
          <w:sz w:val="24"/>
          <w:szCs w:val="24"/>
        </w:rPr>
        <w:t>, with a small positive in</w:t>
      </w:r>
      <w:r w:rsidR="009E3551">
        <w:rPr>
          <w:rFonts w:ascii="Arial" w:hAnsi="Arial" w:cs="Arial"/>
          <w:sz w:val="24"/>
          <w:szCs w:val="24"/>
        </w:rPr>
        <w:t xml:space="preserve"> May (+0.3%) </w:t>
      </w:r>
      <w:r w:rsidR="00BC07E0">
        <w:rPr>
          <w:rFonts w:ascii="Arial" w:hAnsi="Arial" w:cs="Arial"/>
          <w:sz w:val="24"/>
          <w:szCs w:val="24"/>
        </w:rPr>
        <w:t>reversing sharply in June</w:t>
      </w:r>
      <w:r w:rsidR="009E3551">
        <w:rPr>
          <w:rFonts w:ascii="Arial" w:hAnsi="Arial" w:cs="Arial"/>
          <w:sz w:val="24"/>
          <w:szCs w:val="24"/>
        </w:rPr>
        <w:t xml:space="preserve"> (</w:t>
      </w:r>
      <w:r w:rsidR="00F60DF9">
        <w:rPr>
          <w:rFonts w:ascii="Arial" w:hAnsi="Arial" w:cs="Arial"/>
          <w:sz w:val="24"/>
          <w:szCs w:val="24"/>
        </w:rPr>
        <w:t xml:space="preserve">-4.3%). </w:t>
      </w:r>
    </w:p>
    <w:p w:rsidR="00D81464" w:rsidRDefault="00D81464" w:rsidP="009633E5">
      <w:pPr>
        <w:jc w:val="left"/>
        <w:rPr>
          <w:rFonts w:ascii="Arial" w:hAnsi="Arial" w:cs="Arial"/>
          <w:sz w:val="24"/>
          <w:szCs w:val="24"/>
        </w:rPr>
      </w:pPr>
    </w:p>
    <w:p w:rsidR="002158A2" w:rsidRDefault="00BB4275" w:rsidP="009633E5">
      <w:pPr>
        <w:jc w:val="left"/>
        <w:rPr>
          <w:rFonts w:ascii="Arial" w:hAnsi="Arial" w:cs="Arial"/>
          <w:sz w:val="24"/>
          <w:szCs w:val="24"/>
        </w:rPr>
      </w:pPr>
      <w:r w:rsidRPr="00F7178D">
        <w:rPr>
          <w:rFonts w:ascii="Arial" w:hAnsi="Arial" w:cs="Arial"/>
          <w:b/>
          <w:sz w:val="24"/>
          <w:szCs w:val="24"/>
        </w:rPr>
        <w:t>Brico Dépôt</w:t>
      </w:r>
      <w:r>
        <w:rPr>
          <w:rFonts w:ascii="Arial" w:hAnsi="Arial" w:cs="Arial"/>
          <w:sz w:val="24"/>
          <w:szCs w:val="24"/>
        </w:rPr>
        <w:t xml:space="preserve"> sales were </w:t>
      </w:r>
      <w:r w:rsidR="00BC07E0">
        <w:rPr>
          <w:rFonts w:ascii="Arial" w:hAnsi="Arial" w:cs="Arial"/>
          <w:sz w:val="24"/>
          <w:szCs w:val="24"/>
        </w:rPr>
        <w:t>down 1.3</w:t>
      </w:r>
      <w:r w:rsidRPr="005F6EF2">
        <w:rPr>
          <w:rFonts w:ascii="Arial" w:hAnsi="Arial" w:cs="Arial"/>
          <w:sz w:val="24"/>
          <w:szCs w:val="24"/>
        </w:rPr>
        <w:t>% (-</w:t>
      </w:r>
      <w:r w:rsidR="00BC07E0" w:rsidRPr="005F6EF2">
        <w:rPr>
          <w:rFonts w:ascii="Arial" w:hAnsi="Arial" w:cs="Arial"/>
          <w:sz w:val="24"/>
          <w:szCs w:val="24"/>
        </w:rPr>
        <w:t>3</w:t>
      </w:r>
      <w:r w:rsidRPr="005F6EF2">
        <w:rPr>
          <w:rFonts w:ascii="Arial" w:hAnsi="Arial" w:cs="Arial"/>
          <w:sz w:val="24"/>
          <w:szCs w:val="24"/>
        </w:rPr>
        <w:t>.</w:t>
      </w:r>
      <w:r w:rsidR="00BC07E0" w:rsidRPr="005F6EF2">
        <w:rPr>
          <w:rFonts w:ascii="Arial" w:hAnsi="Arial" w:cs="Arial"/>
          <w:sz w:val="24"/>
          <w:szCs w:val="24"/>
        </w:rPr>
        <w:t>8</w:t>
      </w:r>
      <w:r w:rsidRPr="005F6EF2">
        <w:rPr>
          <w:rFonts w:ascii="Arial" w:hAnsi="Arial" w:cs="Arial"/>
          <w:sz w:val="24"/>
          <w:szCs w:val="24"/>
        </w:rPr>
        <w:t>% LFL)</w:t>
      </w:r>
      <w:r w:rsidR="00E43137">
        <w:rPr>
          <w:rFonts w:ascii="Arial" w:hAnsi="Arial" w:cs="Arial"/>
          <w:sz w:val="24"/>
          <w:szCs w:val="24"/>
        </w:rPr>
        <w:t>, up 1.5% year to date (-1.2% LFL)</w:t>
      </w:r>
      <w:r w:rsidRPr="005F6EF2">
        <w:rPr>
          <w:rFonts w:ascii="Arial" w:hAnsi="Arial" w:cs="Arial"/>
          <w:sz w:val="24"/>
          <w:szCs w:val="24"/>
        </w:rPr>
        <w:t>.</w:t>
      </w:r>
      <w:r>
        <w:rPr>
          <w:rFonts w:ascii="Arial" w:hAnsi="Arial" w:cs="Arial"/>
          <w:sz w:val="24"/>
          <w:szCs w:val="24"/>
        </w:rPr>
        <w:t xml:space="preserve"> </w:t>
      </w:r>
      <w:r w:rsidR="009E3551">
        <w:rPr>
          <w:rFonts w:ascii="Arial" w:hAnsi="Arial" w:cs="Arial"/>
          <w:sz w:val="24"/>
          <w:szCs w:val="24"/>
        </w:rPr>
        <w:t xml:space="preserve">Sales were impacted by a slower house building market, with new housing starts and planning consent data* down around 20% and 16% respectively. </w:t>
      </w:r>
    </w:p>
    <w:p w:rsidR="00F505CA" w:rsidRDefault="00F505CA" w:rsidP="009633E5">
      <w:pPr>
        <w:jc w:val="left"/>
        <w:rPr>
          <w:rFonts w:ascii="Arial" w:hAnsi="Arial" w:cs="Arial"/>
          <w:b/>
          <w:sz w:val="24"/>
          <w:szCs w:val="24"/>
          <w:u w:val="single"/>
        </w:rPr>
      </w:pPr>
    </w:p>
    <w:p w:rsidR="002C08AA" w:rsidRPr="005F6EF2" w:rsidRDefault="009E3551" w:rsidP="009633E5">
      <w:pPr>
        <w:jc w:val="left"/>
        <w:rPr>
          <w:rFonts w:ascii="Arial" w:hAnsi="Arial" w:cs="Arial"/>
          <w:b/>
          <w:sz w:val="24"/>
          <w:szCs w:val="24"/>
          <w:u w:val="single"/>
        </w:rPr>
      </w:pPr>
      <w:r w:rsidRPr="005F6EF2">
        <w:rPr>
          <w:rFonts w:ascii="Arial" w:hAnsi="Arial" w:cs="Arial"/>
          <w:b/>
          <w:sz w:val="24"/>
          <w:szCs w:val="24"/>
          <w:u w:val="single"/>
        </w:rPr>
        <w:t>UK &amp; IRELAND</w:t>
      </w:r>
      <w:r w:rsidRPr="005F6EF2">
        <w:rPr>
          <w:rFonts w:ascii="Arial" w:hAnsi="Arial" w:cs="Arial"/>
          <w:b/>
          <w:sz w:val="24"/>
          <w:szCs w:val="24"/>
        </w:rPr>
        <w:tab/>
      </w:r>
    </w:p>
    <w:p w:rsidR="00427A7B" w:rsidRDefault="00427A7B" w:rsidP="009633E5">
      <w:pPr>
        <w:jc w:val="left"/>
        <w:rPr>
          <w:rFonts w:ascii="Arial" w:hAnsi="Arial" w:cs="Arial"/>
          <w:b/>
          <w:sz w:val="24"/>
          <w:szCs w:val="24"/>
        </w:rPr>
      </w:pPr>
    </w:p>
    <w:p w:rsidR="00F60DF9" w:rsidRDefault="00F12E9A" w:rsidP="009633E5">
      <w:pPr>
        <w:jc w:val="left"/>
        <w:rPr>
          <w:rFonts w:ascii="Arial" w:hAnsi="Arial" w:cs="Arial"/>
          <w:sz w:val="24"/>
          <w:szCs w:val="24"/>
        </w:rPr>
      </w:pPr>
      <w:r>
        <w:rPr>
          <w:rFonts w:ascii="Arial" w:hAnsi="Arial" w:cs="Arial"/>
          <w:sz w:val="24"/>
          <w:szCs w:val="24"/>
        </w:rPr>
        <w:t xml:space="preserve">Total sales in the </w:t>
      </w:r>
      <w:r>
        <w:rPr>
          <w:rFonts w:ascii="Arial" w:hAnsi="Arial" w:cs="Arial"/>
          <w:b/>
          <w:sz w:val="24"/>
          <w:szCs w:val="24"/>
        </w:rPr>
        <w:t>UK &amp; Ireland</w:t>
      </w:r>
      <w:r w:rsidR="00004A29">
        <w:rPr>
          <w:rFonts w:ascii="Arial" w:hAnsi="Arial" w:cs="Arial"/>
          <w:sz w:val="24"/>
          <w:szCs w:val="24"/>
        </w:rPr>
        <w:t xml:space="preserve"> were</w:t>
      </w:r>
      <w:r w:rsidR="00F60DF9">
        <w:rPr>
          <w:rFonts w:ascii="Arial" w:hAnsi="Arial" w:cs="Arial"/>
          <w:sz w:val="24"/>
          <w:szCs w:val="24"/>
        </w:rPr>
        <w:t xml:space="preserve"> </w:t>
      </w:r>
      <w:r w:rsidR="00B22364">
        <w:rPr>
          <w:rFonts w:ascii="Arial" w:hAnsi="Arial" w:cs="Arial"/>
          <w:sz w:val="24"/>
          <w:szCs w:val="24"/>
        </w:rPr>
        <w:t>up 0.7%</w:t>
      </w:r>
      <w:r w:rsidR="00004A29">
        <w:rPr>
          <w:rFonts w:ascii="Arial" w:hAnsi="Arial" w:cs="Arial"/>
          <w:sz w:val="24"/>
          <w:szCs w:val="24"/>
        </w:rPr>
        <w:t xml:space="preserve"> (</w:t>
      </w:r>
      <w:r w:rsidR="0037656C">
        <w:rPr>
          <w:rFonts w:ascii="Arial" w:hAnsi="Arial" w:cs="Arial"/>
          <w:sz w:val="24"/>
          <w:szCs w:val="24"/>
        </w:rPr>
        <w:t>-1</w:t>
      </w:r>
      <w:r w:rsidR="00004A29">
        <w:rPr>
          <w:rFonts w:ascii="Arial" w:hAnsi="Arial" w:cs="Arial"/>
          <w:sz w:val="24"/>
          <w:szCs w:val="24"/>
        </w:rPr>
        <w:t>.</w:t>
      </w:r>
      <w:r w:rsidR="00B22364">
        <w:rPr>
          <w:rFonts w:ascii="Arial" w:hAnsi="Arial" w:cs="Arial"/>
          <w:sz w:val="24"/>
          <w:szCs w:val="24"/>
        </w:rPr>
        <w:t>3</w:t>
      </w:r>
      <w:r>
        <w:rPr>
          <w:rFonts w:ascii="Arial" w:hAnsi="Arial" w:cs="Arial"/>
          <w:sz w:val="24"/>
          <w:szCs w:val="24"/>
        </w:rPr>
        <w:t>% LFL)</w:t>
      </w:r>
      <w:r w:rsidR="00F60DF9">
        <w:rPr>
          <w:rFonts w:ascii="Arial" w:hAnsi="Arial" w:cs="Arial"/>
          <w:sz w:val="24"/>
          <w:szCs w:val="24"/>
        </w:rPr>
        <w:t xml:space="preserve">, up </w:t>
      </w:r>
      <w:r w:rsidR="00B22364">
        <w:rPr>
          <w:rFonts w:ascii="Arial" w:hAnsi="Arial" w:cs="Arial"/>
          <w:sz w:val="24"/>
          <w:szCs w:val="24"/>
        </w:rPr>
        <w:t>7</w:t>
      </w:r>
      <w:r w:rsidR="00F60DF9">
        <w:rPr>
          <w:rFonts w:ascii="Arial" w:hAnsi="Arial" w:cs="Arial"/>
          <w:sz w:val="24"/>
          <w:szCs w:val="24"/>
        </w:rPr>
        <w:t>.0% year to date (+4.7% LFL)</w:t>
      </w:r>
      <w:r>
        <w:rPr>
          <w:rFonts w:ascii="Arial" w:hAnsi="Arial" w:cs="Arial"/>
          <w:sz w:val="24"/>
          <w:szCs w:val="24"/>
        </w:rPr>
        <w:t xml:space="preserve">. </w:t>
      </w:r>
      <w:r w:rsidR="00BC07E0">
        <w:rPr>
          <w:rFonts w:ascii="Arial" w:hAnsi="Arial" w:cs="Arial"/>
          <w:sz w:val="24"/>
          <w:szCs w:val="24"/>
        </w:rPr>
        <w:t>G</w:t>
      </w:r>
      <w:r w:rsidR="00F60DF9">
        <w:rPr>
          <w:rFonts w:ascii="Arial" w:hAnsi="Arial" w:cs="Arial"/>
          <w:sz w:val="24"/>
          <w:szCs w:val="24"/>
        </w:rPr>
        <w:t>ross margin is expected to be up across Q2</w:t>
      </w:r>
      <w:r w:rsidR="00A37CA1">
        <w:rPr>
          <w:rFonts w:ascii="Arial" w:hAnsi="Arial" w:cs="Arial"/>
          <w:sz w:val="24"/>
          <w:szCs w:val="24"/>
        </w:rPr>
        <w:t xml:space="preserve"> compared to the same period last year.</w:t>
      </w:r>
    </w:p>
    <w:p w:rsidR="001D5740" w:rsidRDefault="001D5740" w:rsidP="009633E5">
      <w:pPr>
        <w:jc w:val="left"/>
        <w:rPr>
          <w:rFonts w:ascii="Arial" w:hAnsi="Arial" w:cs="Arial"/>
          <w:sz w:val="24"/>
          <w:szCs w:val="24"/>
        </w:rPr>
      </w:pPr>
    </w:p>
    <w:p w:rsidR="00E3405F" w:rsidRDefault="00F12E9A" w:rsidP="009633E5">
      <w:pPr>
        <w:jc w:val="left"/>
        <w:rPr>
          <w:rFonts w:ascii="Arial" w:hAnsi="Arial" w:cs="Arial"/>
          <w:sz w:val="24"/>
          <w:szCs w:val="24"/>
        </w:rPr>
      </w:pPr>
      <w:r>
        <w:rPr>
          <w:rFonts w:ascii="Arial" w:hAnsi="Arial" w:cs="Arial"/>
          <w:b/>
          <w:sz w:val="24"/>
          <w:szCs w:val="24"/>
        </w:rPr>
        <w:t xml:space="preserve">B&amp;Q </w:t>
      </w:r>
      <w:r w:rsidR="00004A29">
        <w:rPr>
          <w:rFonts w:ascii="Arial" w:hAnsi="Arial" w:cs="Arial"/>
          <w:sz w:val="24"/>
          <w:szCs w:val="24"/>
        </w:rPr>
        <w:t xml:space="preserve">total sales were </w:t>
      </w:r>
      <w:r w:rsidR="0037656C">
        <w:rPr>
          <w:rFonts w:ascii="Arial" w:hAnsi="Arial" w:cs="Arial"/>
          <w:sz w:val="24"/>
          <w:szCs w:val="24"/>
        </w:rPr>
        <w:t>down</w:t>
      </w:r>
      <w:r w:rsidR="00004A29">
        <w:rPr>
          <w:rFonts w:ascii="Arial" w:hAnsi="Arial" w:cs="Arial"/>
          <w:sz w:val="24"/>
          <w:szCs w:val="24"/>
        </w:rPr>
        <w:t xml:space="preserve"> </w:t>
      </w:r>
      <w:r w:rsidR="00B22364">
        <w:rPr>
          <w:rFonts w:ascii="Arial" w:hAnsi="Arial" w:cs="Arial"/>
          <w:sz w:val="24"/>
          <w:szCs w:val="24"/>
        </w:rPr>
        <w:t>2.5</w:t>
      </w:r>
      <w:r>
        <w:rPr>
          <w:rFonts w:ascii="Arial" w:hAnsi="Arial" w:cs="Arial"/>
          <w:sz w:val="24"/>
          <w:szCs w:val="24"/>
        </w:rPr>
        <w:t>%</w:t>
      </w:r>
      <w:r w:rsidR="00004A29">
        <w:rPr>
          <w:rFonts w:ascii="Arial" w:hAnsi="Arial" w:cs="Arial"/>
          <w:sz w:val="24"/>
          <w:szCs w:val="24"/>
        </w:rPr>
        <w:t xml:space="preserve"> (</w:t>
      </w:r>
      <w:r w:rsidR="0037656C">
        <w:rPr>
          <w:rFonts w:ascii="Arial" w:hAnsi="Arial" w:cs="Arial"/>
          <w:sz w:val="24"/>
          <w:szCs w:val="24"/>
        </w:rPr>
        <w:t>-3.</w:t>
      </w:r>
      <w:r w:rsidR="00B22364">
        <w:rPr>
          <w:rFonts w:ascii="Arial" w:hAnsi="Arial" w:cs="Arial"/>
          <w:sz w:val="24"/>
          <w:szCs w:val="24"/>
        </w:rPr>
        <w:t>2</w:t>
      </w:r>
      <w:r w:rsidR="00E37C58">
        <w:rPr>
          <w:rFonts w:ascii="Arial" w:hAnsi="Arial" w:cs="Arial"/>
          <w:sz w:val="24"/>
          <w:szCs w:val="24"/>
        </w:rPr>
        <w:t>% LFL)</w:t>
      </w:r>
      <w:r w:rsidR="00E43137">
        <w:rPr>
          <w:rFonts w:ascii="Arial" w:hAnsi="Arial" w:cs="Arial"/>
          <w:sz w:val="24"/>
          <w:szCs w:val="24"/>
        </w:rPr>
        <w:t xml:space="preserve">, up 4.3% year to date (+3.6% LFL). In Q2 </w:t>
      </w:r>
      <w:r w:rsidR="00E37C58">
        <w:rPr>
          <w:rFonts w:ascii="Arial" w:hAnsi="Arial" w:cs="Arial"/>
          <w:sz w:val="24"/>
          <w:szCs w:val="24"/>
        </w:rPr>
        <w:t xml:space="preserve">sales of outdoor </w:t>
      </w:r>
      <w:r w:rsidR="00491B1D">
        <w:rPr>
          <w:rFonts w:ascii="Arial" w:hAnsi="Arial" w:cs="Arial"/>
          <w:sz w:val="24"/>
          <w:szCs w:val="24"/>
        </w:rPr>
        <w:t xml:space="preserve">and </w:t>
      </w:r>
      <w:r w:rsidR="00E37C58">
        <w:rPr>
          <w:rFonts w:ascii="Arial" w:hAnsi="Arial" w:cs="Arial"/>
          <w:sz w:val="24"/>
          <w:szCs w:val="24"/>
        </w:rPr>
        <w:t>seasonal products</w:t>
      </w:r>
      <w:r w:rsidR="00866C87" w:rsidRPr="00866C87">
        <w:rPr>
          <w:rFonts w:ascii="Arial" w:hAnsi="Arial" w:cs="Arial"/>
          <w:sz w:val="24"/>
          <w:szCs w:val="24"/>
        </w:rPr>
        <w:t xml:space="preserve"> </w:t>
      </w:r>
      <w:r w:rsidR="00E43137">
        <w:rPr>
          <w:rFonts w:ascii="Arial" w:hAnsi="Arial" w:cs="Arial"/>
          <w:sz w:val="24"/>
          <w:szCs w:val="24"/>
        </w:rPr>
        <w:t xml:space="preserve">were </w:t>
      </w:r>
      <w:r w:rsidR="0037656C">
        <w:rPr>
          <w:rFonts w:ascii="Arial" w:hAnsi="Arial" w:cs="Arial"/>
          <w:sz w:val="24"/>
          <w:szCs w:val="24"/>
        </w:rPr>
        <w:t>down</w:t>
      </w:r>
      <w:r w:rsidR="00866C87">
        <w:rPr>
          <w:rFonts w:ascii="Arial" w:hAnsi="Arial" w:cs="Arial"/>
          <w:sz w:val="24"/>
          <w:szCs w:val="24"/>
        </w:rPr>
        <w:t xml:space="preserve"> </w:t>
      </w:r>
      <w:r w:rsidR="00714633">
        <w:rPr>
          <w:rFonts w:ascii="Arial" w:hAnsi="Arial" w:cs="Arial"/>
          <w:sz w:val="24"/>
          <w:szCs w:val="24"/>
        </w:rPr>
        <w:t>a</w:t>
      </w:r>
      <w:r w:rsidR="00BC2F8A">
        <w:rPr>
          <w:rFonts w:ascii="Arial" w:hAnsi="Arial" w:cs="Arial"/>
          <w:sz w:val="24"/>
          <w:szCs w:val="24"/>
        </w:rPr>
        <w:t>lmost</w:t>
      </w:r>
      <w:r w:rsidR="00866C87">
        <w:rPr>
          <w:rFonts w:ascii="Arial" w:hAnsi="Arial" w:cs="Arial"/>
          <w:sz w:val="24"/>
          <w:szCs w:val="24"/>
        </w:rPr>
        <w:t xml:space="preserve"> </w:t>
      </w:r>
      <w:r w:rsidR="00714633">
        <w:rPr>
          <w:rFonts w:ascii="Arial" w:hAnsi="Arial" w:cs="Arial"/>
          <w:sz w:val="24"/>
          <w:szCs w:val="24"/>
        </w:rPr>
        <w:t>8</w:t>
      </w:r>
      <w:r w:rsidR="00866C87">
        <w:rPr>
          <w:rFonts w:ascii="Arial" w:hAnsi="Arial" w:cs="Arial"/>
          <w:sz w:val="24"/>
          <w:szCs w:val="24"/>
        </w:rPr>
        <w:t>%</w:t>
      </w:r>
      <w:r w:rsidR="006F2EA0">
        <w:rPr>
          <w:rFonts w:ascii="Arial" w:hAnsi="Arial" w:cs="Arial"/>
          <w:sz w:val="24"/>
          <w:szCs w:val="24"/>
        </w:rPr>
        <w:t xml:space="preserve">, </w:t>
      </w:r>
      <w:r w:rsidR="002057A1">
        <w:rPr>
          <w:rFonts w:ascii="Arial" w:hAnsi="Arial" w:cs="Arial"/>
          <w:sz w:val="24"/>
          <w:szCs w:val="24"/>
        </w:rPr>
        <w:t>representing around 35% of total sales</w:t>
      </w:r>
      <w:r w:rsidR="00E43137">
        <w:rPr>
          <w:rFonts w:ascii="Arial" w:hAnsi="Arial" w:cs="Arial"/>
          <w:sz w:val="24"/>
          <w:szCs w:val="24"/>
        </w:rPr>
        <w:t xml:space="preserve">, </w:t>
      </w:r>
      <w:r w:rsidR="00972DB0">
        <w:rPr>
          <w:rFonts w:ascii="Arial" w:hAnsi="Arial" w:cs="Arial"/>
          <w:sz w:val="24"/>
          <w:szCs w:val="24"/>
        </w:rPr>
        <w:t xml:space="preserve">impacted by </w:t>
      </w:r>
      <w:r w:rsidR="002057A1">
        <w:rPr>
          <w:rFonts w:ascii="Arial" w:hAnsi="Arial" w:cs="Arial"/>
          <w:sz w:val="24"/>
          <w:szCs w:val="24"/>
        </w:rPr>
        <w:t xml:space="preserve">both </w:t>
      </w:r>
      <w:r w:rsidR="00972DB0">
        <w:rPr>
          <w:rFonts w:ascii="Arial" w:hAnsi="Arial" w:cs="Arial"/>
          <w:sz w:val="24"/>
          <w:szCs w:val="24"/>
        </w:rPr>
        <w:t>a strong performance in Q1 this year (+30%) and in Q2 last year (+</w:t>
      </w:r>
      <w:r w:rsidR="00BC2F8A">
        <w:rPr>
          <w:rFonts w:ascii="Arial" w:hAnsi="Arial" w:cs="Arial"/>
          <w:sz w:val="24"/>
          <w:szCs w:val="24"/>
        </w:rPr>
        <w:t>17</w:t>
      </w:r>
      <w:r w:rsidR="00972DB0">
        <w:rPr>
          <w:rFonts w:ascii="Arial" w:hAnsi="Arial" w:cs="Arial"/>
          <w:sz w:val="24"/>
          <w:szCs w:val="24"/>
        </w:rPr>
        <w:t xml:space="preserve">%). </w:t>
      </w:r>
      <w:r w:rsidR="00DD5839">
        <w:rPr>
          <w:rFonts w:ascii="Arial" w:hAnsi="Arial" w:cs="Arial"/>
          <w:sz w:val="24"/>
          <w:szCs w:val="24"/>
        </w:rPr>
        <w:t xml:space="preserve">Showroom sales (kitchens, bathrooms and bedrooms) were down around 6% </w:t>
      </w:r>
      <w:r w:rsidR="0005717F">
        <w:rPr>
          <w:rFonts w:ascii="Arial" w:hAnsi="Arial" w:cs="Arial"/>
          <w:sz w:val="24"/>
          <w:szCs w:val="24"/>
        </w:rPr>
        <w:t xml:space="preserve">reflecting </w:t>
      </w:r>
      <w:r w:rsidR="000C3867">
        <w:rPr>
          <w:rFonts w:ascii="Arial" w:hAnsi="Arial" w:cs="Arial"/>
          <w:sz w:val="24"/>
          <w:szCs w:val="24"/>
        </w:rPr>
        <w:t>less</w:t>
      </w:r>
      <w:r w:rsidR="0005717F">
        <w:rPr>
          <w:rFonts w:ascii="Arial" w:hAnsi="Arial" w:cs="Arial"/>
          <w:sz w:val="24"/>
          <w:szCs w:val="24"/>
        </w:rPr>
        <w:t xml:space="preserve"> promotion</w:t>
      </w:r>
      <w:r w:rsidR="000C3867">
        <w:rPr>
          <w:rFonts w:ascii="Arial" w:hAnsi="Arial" w:cs="Arial"/>
          <w:sz w:val="24"/>
          <w:szCs w:val="24"/>
        </w:rPr>
        <w:t>al activity</w:t>
      </w:r>
      <w:r w:rsidR="0005717F">
        <w:rPr>
          <w:rFonts w:ascii="Arial" w:hAnsi="Arial" w:cs="Arial"/>
          <w:sz w:val="24"/>
          <w:szCs w:val="24"/>
        </w:rPr>
        <w:t xml:space="preserve"> </w:t>
      </w:r>
      <w:r w:rsidR="00DD5839">
        <w:rPr>
          <w:rFonts w:ascii="Arial" w:hAnsi="Arial" w:cs="Arial"/>
          <w:sz w:val="24"/>
          <w:szCs w:val="24"/>
        </w:rPr>
        <w:t>whereas s</w:t>
      </w:r>
      <w:r w:rsidR="002057A1">
        <w:rPr>
          <w:rFonts w:ascii="Arial" w:hAnsi="Arial" w:cs="Arial"/>
          <w:sz w:val="24"/>
          <w:szCs w:val="24"/>
        </w:rPr>
        <w:t xml:space="preserve">ales of </w:t>
      </w:r>
      <w:r w:rsidR="00991F67">
        <w:rPr>
          <w:rFonts w:ascii="Arial" w:hAnsi="Arial" w:cs="Arial"/>
          <w:sz w:val="24"/>
          <w:szCs w:val="24"/>
        </w:rPr>
        <w:t>indoor products</w:t>
      </w:r>
      <w:r w:rsidR="009C676E">
        <w:rPr>
          <w:rFonts w:ascii="Arial" w:hAnsi="Arial" w:cs="Arial"/>
          <w:sz w:val="24"/>
          <w:szCs w:val="24"/>
        </w:rPr>
        <w:t xml:space="preserve">, excluding showroom, </w:t>
      </w:r>
      <w:r w:rsidR="00991F67">
        <w:rPr>
          <w:rFonts w:ascii="Arial" w:hAnsi="Arial" w:cs="Arial"/>
          <w:sz w:val="24"/>
          <w:szCs w:val="24"/>
        </w:rPr>
        <w:t xml:space="preserve">were </w:t>
      </w:r>
      <w:r w:rsidR="00DD5839">
        <w:rPr>
          <w:rFonts w:ascii="Arial" w:hAnsi="Arial" w:cs="Arial"/>
          <w:sz w:val="24"/>
          <w:szCs w:val="24"/>
        </w:rPr>
        <w:t xml:space="preserve">up </w:t>
      </w:r>
      <w:r w:rsidR="00BC2F8A">
        <w:rPr>
          <w:rFonts w:ascii="Arial" w:hAnsi="Arial" w:cs="Arial"/>
          <w:sz w:val="24"/>
          <w:szCs w:val="24"/>
        </w:rPr>
        <w:t>almost</w:t>
      </w:r>
      <w:r w:rsidR="00DD5839">
        <w:rPr>
          <w:rFonts w:ascii="Arial" w:hAnsi="Arial" w:cs="Arial"/>
          <w:sz w:val="24"/>
          <w:szCs w:val="24"/>
        </w:rPr>
        <w:t xml:space="preserve"> </w:t>
      </w:r>
      <w:r w:rsidR="007E47E2">
        <w:rPr>
          <w:rFonts w:ascii="Arial" w:hAnsi="Arial" w:cs="Arial"/>
          <w:sz w:val="24"/>
          <w:szCs w:val="24"/>
        </w:rPr>
        <w:t>2</w:t>
      </w:r>
      <w:r w:rsidR="00DD5839">
        <w:rPr>
          <w:rFonts w:ascii="Arial" w:hAnsi="Arial" w:cs="Arial"/>
          <w:sz w:val="24"/>
          <w:szCs w:val="24"/>
        </w:rPr>
        <w:t xml:space="preserve">%. </w:t>
      </w:r>
      <w:r w:rsidR="00991F67">
        <w:rPr>
          <w:rFonts w:ascii="Arial" w:hAnsi="Arial" w:cs="Arial"/>
          <w:sz w:val="24"/>
          <w:szCs w:val="24"/>
        </w:rPr>
        <w:t xml:space="preserve"> </w:t>
      </w:r>
    </w:p>
    <w:p w:rsidR="00E3405F" w:rsidRDefault="00E3405F" w:rsidP="009633E5">
      <w:pPr>
        <w:jc w:val="left"/>
        <w:rPr>
          <w:rFonts w:ascii="Arial" w:hAnsi="Arial" w:cs="Arial"/>
          <w:sz w:val="24"/>
          <w:szCs w:val="24"/>
        </w:rPr>
      </w:pPr>
    </w:p>
    <w:p w:rsidR="00E37C58" w:rsidRDefault="00F12E9A" w:rsidP="009633E5">
      <w:pPr>
        <w:jc w:val="left"/>
        <w:rPr>
          <w:rFonts w:ascii="Arial" w:hAnsi="Arial" w:cs="Arial"/>
          <w:sz w:val="24"/>
          <w:szCs w:val="24"/>
        </w:rPr>
      </w:pPr>
      <w:r>
        <w:rPr>
          <w:rFonts w:ascii="Arial" w:hAnsi="Arial" w:cs="Arial"/>
          <w:b/>
          <w:sz w:val="24"/>
          <w:szCs w:val="24"/>
        </w:rPr>
        <w:t xml:space="preserve">Screwfix </w:t>
      </w:r>
      <w:r w:rsidR="00004A29">
        <w:rPr>
          <w:rFonts w:ascii="Arial" w:hAnsi="Arial" w:cs="Arial"/>
          <w:sz w:val="24"/>
          <w:szCs w:val="24"/>
        </w:rPr>
        <w:t xml:space="preserve">sales grew by </w:t>
      </w:r>
      <w:r w:rsidR="00972DB0">
        <w:rPr>
          <w:rFonts w:ascii="Arial" w:hAnsi="Arial" w:cs="Arial"/>
          <w:sz w:val="24"/>
          <w:szCs w:val="24"/>
        </w:rPr>
        <w:t>2</w:t>
      </w:r>
      <w:r w:rsidR="00B22364">
        <w:rPr>
          <w:rFonts w:ascii="Arial" w:hAnsi="Arial" w:cs="Arial"/>
          <w:sz w:val="24"/>
          <w:szCs w:val="24"/>
        </w:rPr>
        <w:t>2</w:t>
      </w:r>
      <w:r w:rsidR="00972DB0">
        <w:rPr>
          <w:rFonts w:ascii="Arial" w:hAnsi="Arial" w:cs="Arial"/>
          <w:sz w:val="24"/>
          <w:szCs w:val="24"/>
        </w:rPr>
        <w:t>.</w:t>
      </w:r>
      <w:r w:rsidR="00B22364">
        <w:rPr>
          <w:rFonts w:ascii="Arial" w:hAnsi="Arial" w:cs="Arial"/>
          <w:sz w:val="24"/>
          <w:szCs w:val="24"/>
        </w:rPr>
        <w:t>6</w:t>
      </w:r>
      <w:r w:rsidR="00004A29">
        <w:rPr>
          <w:rFonts w:ascii="Arial" w:hAnsi="Arial" w:cs="Arial"/>
          <w:sz w:val="24"/>
          <w:szCs w:val="24"/>
        </w:rPr>
        <w:t>% (+</w:t>
      </w:r>
      <w:r w:rsidR="00972DB0">
        <w:rPr>
          <w:rFonts w:ascii="Arial" w:hAnsi="Arial" w:cs="Arial"/>
          <w:sz w:val="24"/>
          <w:szCs w:val="24"/>
        </w:rPr>
        <w:t>11.</w:t>
      </w:r>
      <w:r w:rsidR="00B22364">
        <w:rPr>
          <w:rFonts w:ascii="Arial" w:hAnsi="Arial" w:cs="Arial"/>
          <w:sz w:val="24"/>
          <w:szCs w:val="24"/>
        </w:rPr>
        <w:t>8</w:t>
      </w:r>
      <w:r>
        <w:rPr>
          <w:rFonts w:ascii="Arial" w:hAnsi="Arial" w:cs="Arial"/>
          <w:sz w:val="24"/>
          <w:szCs w:val="24"/>
        </w:rPr>
        <w:t>% LFL)</w:t>
      </w:r>
      <w:r w:rsidR="00E43137">
        <w:rPr>
          <w:rFonts w:ascii="Arial" w:hAnsi="Arial" w:cs="Arial"/>
          <w:sz w:val="24"/>
          <w:szCs w:val="24"/>
        </w:rPr>
        <w:t xml:space="preserve">, up 23.5% year to date (+11.9% LFL) </w:t>
      </w:r>
      <w:r w:rsidR="0005717F">
        <w:rPr>
          <w:rFonts w:ascii="Arial" w:hAnsi="Arial" w:cs="Arial"/>
          <w:sz w:val="24"/>
          <w:szCs w:val="24"/>
        </w:rPr>
        <w:t>and is</w:t>
      </w:r>
      <w:r w:rsidR="00E3405F">
        <w:rPr>
          <w:rFonts w:ascii="Arial" w:hAnsi="Arial" w:cs="Arial"/>
          <w:sz w:val="24"/>
          <w:szCs w:val="24"/>
        </w:rPr>
        <w:t xml:space="preserve"> on track to have opened </w:t>
      </w:r>
      <w:r w:rsidR="00632A68">
        <w:rPr>
          <w:rFonts w:ascii="Arial" w:hAnsi="Arial" w:cs="Arial"/>
          <w:sz w:val="24"/>
          <w:szCs w:val="24"/>
        </w:rPr>
        <w:t>12</w:t>
      </w:r>
      <w:r w:rsidR="00E3405F">
        <w:rPr>
          <w:rFonts w:ascii="Arial" w:hAnsi="Arial" w:cs="Arial"/>
          <w:sz w:val="24"/>
          <w:szCs w:val="24"/>
        </w:rPr>
        <w:t xml:space="preserve"> new outlets during Q2, taking the total to 35</w:t>
      </w:r>
      <w:r w:rsidR="00632A68">
        <w:rPr>
          <w:rFonts w:ascii="Arial" w:hAnsi="Arial" w:cs="Arial"/>
          <w:sz w:val="24"/>
          <w:szCs w:val="24"/>
        </w:rPr>
        <w:t>6</w:t>
      </w:r>
      <w:r w:rsidR="00E3405F">
        <w:rPr>
          <w:rFonts w:ascii="Arial" w:hAnsi="Arial" w:cs="Arial"/>
          <w:sz w:val="24"/>
          <w:szCs w:val="24"/>
        </w:rPr>
        <w:t>.</w:t>
      </w:r>
    </w:p>
    <w:p w:rsidR="00E3405F" w:rsidRDefault="00E3405F" w:rsidP="009633E5">
      <w:pPr>
        <w:jc w:val="left"/>
        <w:rPr>
          <w:rFonts w:ascii="Arial" w:hAnsi="Arial" w:cs="Arial"/>
          <w:b/>
          <w:sz w:val="24"/>
          <w:szCs w:val="24"/>
        </w:rPr>
      </w:pPr>
    </w:p>
    <w:p w:rsidR="00427A7B" w:rsidRDefault="00427A7B" w:rsidP="009633E5">
      <w:pPr>
        <w:jc w:val="left"/>
        <w:rPr>
          <w:rFonts w:ascii="Arial" w:hAnsi="Arial" w:cs="Arial"/>
          <w:b/>
          <w:sz w:val="24"/>
          <w:szCs w:val="24"/>
        </w:rPr>
      </w:pPr>
    </w:p>
    <w:p w:rsidR="009E3551" w:rsidRPr="005F6EF2" w:rsidRDefault="009E3551" w:rsidP="009633E5">
      <w:pPr>
        <w:jc w:val="left"/>
        <w:rPr>
          <w:rFonts w:ascii="Arial" w:hAnsi="Arial" w:cs="Arial"/>
          <w:b/>
          <w:sz w:val="24"/>
          <w:szCs w:val="24"/>
          <w:u w:val="single"/>
        </w:rPr>
      </w:pPr>
      <w:r w:rsidRPr="005F6EF2">
        <w:rPr>
          <w:rFonts w:ascii="Arial" w:hAnsi="Arial" w:cs="Arial"/>
          <w:b/>
          <w:sz w:val="24"/>
          <w:szCs w:val="24"/>
          <w:u w:val="single"/>
        </w:rPr>
        <w:t>OTHER INTERNATIONAL</w:t>
      </w:r>
    </w:p>
    <w:p w:rsidR="00427A7B" w:rsidRPr="00F7178D" w:rsidRDefault="00427A7B" w:rsidP="009633E5">
      <w:pPr>
        <w:jc w:val="left"/>
        <w:rPr>
          <w:rFonts w:ascii="Arial" w:hAnsi="Arial" w:cs="Arial"/>
          <w:b/>
          <w:sz w:val="24"/>
          <w:szCs w:val="24"/>
        </w:rPr>
      </w:pPr>
    </w:p>
    <w:p w:rsidR="005240C7" w:rsidRDefault="00E37C58" w:rsidP="009633E5">
      <w:pPr>
        <w:jc w:val="left"/>
        <w:rPr>
          <w:rFonts w:ascii="Arial" w:hAnsi="Arial" w:cs="Arial"/>
          <w:sz w:val="24"/>
          <w:szCs w:val="24"/>
        </w:rPr>
      </w:pPr>
      <w:r>
        <w:rPr>
          <w:rFonts w:ascii="Arial" w:hAnsi="Arial" w:cs="Arial"/>
          <w:sz w:val="24"/>
          <w:szCs w:val="24"/>
        </w:rPr>
        <w:t xml:space="preserve">Total sales in </w:t>
      </w:r>
      <w:r>
        <w:rPr>
          <w:rFonts w:ascii="Arial" w:hAnsi="Arial" w:cs="Arial"/>
          <w:b/>
          <w:sz w:val="24"/>
          <w:szCs w:val="24"/>
        </w:rPr>
        <w:t xml:space="preserve">Other International </w:t>
      </w:r>
      <w:r w:rsidR="00606D64">
        <w:rPr>
          <w:rFonts w:ascii="Arial" w:hAnsi="Arial" w:cs="Arial"/>
          <w:sz w:val="24"/>
          <w:szCs w:val="24"/>
        </w:rPr>
        <w:t>grew</w:t>
      </w:r>
      <w:r>
        <w:rPr>
          <w:rFonts w:ascii="Arial" w:hAnsi="Arial" w:cs="Arial"/>
          <w:sz w:val="24"/>
          <w:szCs w:val="24"/>
        </w:rPr>
        <w:t xml:space="preserve"> </w:t>
      </w:r>
      <w:r w:rsidR="004F5474">
        <w:rPr>
          <w:rFonts w:ascii="Arial" w:hAnsi="Arial" w:cs="Arial"/>
          <w:sz w:val="24"/>
          <w:szCs w:val="24"/>
        </w:rPr>
        <w:t xml:space="preserve">by </w:t>
      </w:r>
      <w:r w:rsidR="009E399D">
        <w:rPr>
          <w:rFonts w:ascii="Arial" w:hAnsi="Arial" w:cs="Arial"/>
          <w:sz w:val="24"/>
          <w:szCs w:val="24"/>
        </w:rPr>
        <w:t>4.7</w:t>
      </w:r>
      <w:r w:rsidR="0048732D">
        <w:rPr>
          <w:rFonts w:ascii="Arial" w:hAnsi="Arial" w:cs="Arial"/>
          <w:sz w:val="24"/>
          <w:szCs w:val="24"/>
        </w:rPr>
        <w:t xml:space="preserve">% </w:t>
      </w:r>
      <w:r w:rsidR="00606D64">
        <w:rPr>
          <w:rFonts w:ascii="Arial" w:hAnsi="Arial" w:cs="Arial"/>
          <w:sz w:val="24"/>
          <w:szCs w:val="24"/>
        </w:rPr>
        <w:t>(-1.8</w:t>
      </w:r>
      <w:r>
        <w:rPr>
          <w:rFonts w:ascii="Arial" w:hAnsi="Arial" w:cs="Arial"/>
          <w:sz w:val="24"/>
          <w:szCs w:val="24"/>
        </w:rPr>
        <w:t>%</w:t>
      </w:r>
      <w:r w:rsidR="00FF227C">
        <w:rPr>
          <w:rFonts w:ascii="Arial" w:hAnsi="Arial" w:cs="Arial"/>
          <w:sz w:val="24"/>
          <w:szCs w:val="24"/>
        </w:rPr>
        <w:t xml:space="preserve"> LFL</w:t>
      </w:r>
      <w:r>
        <w:rPr>
          <w:rFonts w:ascii="Arial" w:hAnsi="Arial" w:cs="Arial"/>
          <w:sz w:val="24"/>
          <w:szCs w:val="24"/>
        </w:rPr>
        <w:t>)</w:t>
      </w:r>
      <w:r w:rsidR="005240C7">
        <w:rPr>
          <w:rFonts w:ascii="Arial" w:hAnsi="Arial" w:cs="Arial"/>
          <w:sz w:val="24"/>
          <w:szCs w:val="24"/>
        </w:rPr>
        <w:t>, up 9.5% year to date (+2.</w:t>
      </w:r>
      <w:r w:rsidR="009E399D">
        <w:rPr>
          <w:rFonts w:ascii="Arial" w:hAnsi="Arial" w:cs="Arial"/>
          <w:sz w:val="24"/>
          <w:szCs w:val="24"/>
        </w:rPr>
        <w:t>1</w:t>
      </w:r>
      <w:r w:rsidR="005240C7">
        <w:rPr>
          <w:rFonts w:ascii="Arial" w:hAnsi="Arial" w:cs="Arial"/>
          <w:sz w:val="24"/>
          <w:szCs w:val="24"/>
        </w:rPr>
        <w:t>% LFL)</w:t>
      </w:r>
      <w:r w:rsidR="00D21517">
        <w:rPr>
          <w:rFonts w:ascii="Arial" w:hAnsi="Arial" w:cs="Arial"/>
          <w:sz w:val="24"/>
          <w:szCs w:val="24"/>
        </w:rPr>
        <w:t xml:space="preserve">. </w:t>
      </w:r>
    </w:p>
    <w:p w:rsidR="00427A7B" w:rsidRDefault="00427A7B" w:rsidP="009633E5">
      <w:pPr>
        <w:jc w:val="left"/>
        <w:rPr>
          <w:rFonts w:ascii="Arial" w:hAnsi="Arial" w:cs="Arial"/>
          <w:sz w:val="24"/>
          <w:szCs w:val="24"/>
        </w:rPr>
      </w:pPr>
    </w:p>
    <w:p w:rsidR="00606D64" w:rsidRDefault="00457656" w:rsidP="009633E5">
      <w:pPr>
        <w:jc w:val="left"/>
        <w:rPr>
          <w:rFonts w:ascii="Arial" w:hAnsi="Arial" w:cs="Arial"/>
          <w:sz w:val="24"/>
          <w:szCs w:val="24"/>
        </w:rPr>
      </w:pPr>
      <w:r>
        <w:rPr>
          <w:rFonts w:ascii="Arial" w:hAnsi="Arial" w:cs="Arial"/>
          <w:sz w:val="24"/>
          <w:szCs w:val="24"/>
        </w:rPr>
        <w:t>Total s</w:t>
      </w:r>
      <w:r w:rsidR="00D21517">
        <w:rPr>
          <w:rFonts w:ascii="Arial" w:hAnsi="Arial" w:cs="Arial"/>
          <w:sz w:val="24"/>
          <w:szCs w:val="24"/>
        </w:rPr>
        <w:t>ales in</w:t>
      </w:r>
      <w:r w:rsidR="00E37C58">
        <w:rPr>
          <w:rFonts w:ascii="Arial" w:hAnsi="Arial" w:cs="Arial"/>
          <w:sz w:val="24"/>
          <w:szCs w:val="24"/>
        </w:rPr>
        <w:t xml:space="preserve"> </w:t>
      </w:r>
      <w:r w:rsidR="00E37C58">
        <w:rPr>
          <w:rFonts w:ascii="Arial" w:hAnsi="Arial" w:cs="Arial"/>
          <w:b/>
          <w:sz w:val="24"/>
          <w:szCs w:val="24"/>
        </w:rPr>
        <w:t xml:space="preserve">Poland </w:t>
      </w:r>
      <w:r w:rsidR="00D21517" w:rsidRPr="00D21517">
        <w:rPr>
          <w:rFonts w:ascii="Arial" w:hAnsi="Arial" w:cs="Arial"/>
          <w:sz w:val="24"/>
          <w:szCs w:val="24"/>
        </w:rPr>
        <w:t xml:space="preserve">were </w:t>
      </w:r>
      <w:r w:rsidR="00606D64">
        <w:rPr>
          <w:rFonts w:ascii="Arial" w:hAnsi="Arial" w:cs="Arial"/>
          <w:sz w:val="24"/>
          <w:szCs w:val="24"/>
        </w:rPr>
        <w:t xml:space="preserve">down </w:t>
      </w:r>
      <w:r w:rsidR="00CD19C4">
        <w:rPr>
          <w:rFonts w:ascii="Arial" w:hAnsi="Arial" w:cs="Arial"/>
          <w:sz w:val="24"/>
          <w:szCs w:val="24"/>
        </w:rPr>
        <w:t>3.4</w:t>
      </w:r>
      <w:r w:rsidR="0048732D">
        <w:rPr>
          <w:rFonts w:ascii="Arial" w:hAnsi="Arial" w:cs="Arial"/>
          <w:sz w:val="24"/>
          <w:szCs w:val="24"/>
        </w:rPr>
        <w:t>% (</w:t>
      </w:r>
      <w:r w:rsidR="00606D64">
        <w:rPr>
          <w:rFonts w:ascii="Arial" w:hAnsi="Arial" w:cs="Arial"/>
          <w:sz w:val="24"/>
          <w:szCs w:val="24"/>
        </w:rPr>
        <w:t>-</w:t>
      </w:r>
      <w:r w:rsidR="0048732D">
        <w:rPr>
          <w:rFonts w:ascii="Arial" w:hAnsi="Arial" w:cs="Arial"/>
          <w:sz w:val="24"/>
          <w:szCs w:val="24"/>
        </w:rPr>
        <w:t>3.</w:t>
      </w:r>
      <w:r w:rsidR="00CD19C4">
        <w:rPr>
          <w:rFonts w:ascii="Arial" w:hAnsi="Arial" w:cs="Arial"/>
          <w:sz w:val="24"/>
          <w:szCs w:val="24"/>
        </w:rPr>
        <w:t>5</w:t>
      </w:r>
      <w:r w:rsidR="00E37C58">
        <w:rPr>
          <w:rFonts w:ascii="Arial" w:hAnsi="Arial" w:cs="Arial"/>
          <w:sz w:val="24"/>
          <w:szCs w:val="24"/>
        </w:rPr>
        <w:t>% LFL)</w:t>
      </w:r>
      <w:r w:rsidR="005240C7">
        <w:rPr>
          <w:rFonts w:ascii="Arial" w:hAnsi="Arial" w:cs="Arial"/>
          <w:sz w:val="24"/>
          <w:szCs w:val="24"/>
        </w:rPr>
        <w:t xml:space="preserve">, up </w:t>
      </w:r>
      <w:r w:rsidR="00CD19C4">
        <w:rPr>
          <w:rFonts w:ascii="Arial" w:hAnsi="Arial" w:cs="Arial"/>
          <w:sz w:val="24"/>
          <w:szCs w:val="24"/>
        </w:rPr>
        <w:t>4</w:t>
      </w:r>
      <w:r w:rsidR="005240C7">
        <w:rPr>
          <w:rFonts w:ascii="Arial" w:hAnsi="Arial" w:cs="Arial"/>
          <w:sz w:val="24"/>
          <w:szCs w:val="24"/>
        </w:rPr>
        <w:t>.</w:t>
      </w:r>
      <w:r w:rsidR="00CD19C4">
        <w:rPr>
          <w:rFonts w:ascii="Arial" w:hAnsi="Arial" w:cs="Arial"/>
          <w:sz w:val="24"/>
          <w:szCs w:val="24"/>
        </w:rPr>
        <w:t>5</w:t>
      </w:r>
      <w:r w:rsidR="005240C7">
        <w:rPr>
          <w:rFonts w:ascii="Arial" w:hAnsi="Arial" w:cs="Arial"/>
          <w:sz w:val="24"/>
          <w:szCs w:val="24"/>
        </w:rPr>
        <w:t>% year to date (+3.</w:t>
      </w:r>
      <w:r w:rsidR="00CD19C4">
        <w:rPr>
          <w:rFonts w:ascii="Arial" w:hAnsi="Arial" w:cs="Arial"/>
          <w:sz w:val="24"/>
          <w:szCs w:val="24"/>
        </w:rPr>
        <w:t>9</w:t>
      </w:r>
      <w:r w:rsidR="005240C7">
        <w:rPr>
          <w:rFonts w:ascii="Arial" w:hAnsi="Arial" w:cs="Arial"/>
          <w:sz w:val="24"/>
          <w:szCs w:val="24"/>
        </w:rPr>
        <w:t>% LFL). In Q2 to date, s</w:t>
      </w:r>
      <w:r w:rsidR="00606D64">
        <w:rPr>
          <w:rFonts w:ascii="Arial" w:hAnsi="Arial" w:cs="Arial"/>
          <w:sz w:val="24"/>
          <w:szCs w:val="24"/>
        </w:rPr>
        <w:t>ales of outdoor and</w:t>
      </w:r>
      <w:r w:rsidR="0079163F">
        <w:rPr>
          <w:rFonts w:ascii="Arial" w:hAnsi="Arial" w:cs="Arial"/>
          <w:sz w:val="24"/>
          <w:szCs w:val="24"/>
        </w:rPr>
        <w:t xml:space="preserve"> seasonal products</w:t>
      </w:r>
      <w:r w:rsidR="005240C7">
        <w:rPr>
          <w:rFonts w:ascii="Arial" w:hAnsi="Arial" w:cs="Arial"/>
          <w:sz w:val="24"/>
          <w:szCs w:val="24"/>
        </w:rPr>
        <w:t xml:space="preserve"> were</w:t>
      </w:r>
      <w:r w:rsidR="0079163F">
        <w:rPr>
          <w:rFonts w:ascii="Arial" w:hAnsi="Arial" w:cs="Arial"/>
          <w:sz w:val="24"/>
          <w:szCs w:val="24"/>
        </w:rPr>
        <w:t xml:space="preserve"> down a</w:t>
      </w:r>
      <w:r w:rsidR="00BC2F8A">
        <w:rPr>
          <w:rFonts w:ascii="Arial" w:hAnsi="Arial" w:cs="Arial"/>
          <w:sz w:val="24"/>
          <w:szCs w:val="24"/>
        </w:rPr>
        <w:t>lmost</w:t>
      </w:r>
      <w:r w:rsidR="0079163F">
        <w:rPr>
          <w:rFonts w:ascii="Arial" w:hAnsi="Arial" w:cs="Arial"/>
          <w:sz w:val="24"/>
          <w:szCs w:val="24"/>
        </w:rPr>
        <w:t xml:space="preserve"> </w:t>
      </w:r>
      <w:r w:rsidR="00BC2F8A">
        <w:rPr>
          <w:rFonts w:ascii="Arial" w:hAnsi="Arial" w:cs="Arial"/>
          <w:sz w:val="24"/>
          <w:szCs w:val="24"/>
        </w:rPr>
        <w:t>9</w:t>
      </w:r>
      <w:r w:rsidR="00606D64">
        <w:rPr>
          <w:rFonts w:ascii="Arial" w:hAnsi="Arial" w:cs="Arial"/>
          <w:sz w:val="24"/>
          <w:szCs w:val="24"/>
        </w:rPr>
        <w:t>%, representing around</w:t>
      </w:r>
      <w:r w:rsidR="0079163F">
        <w:rPr>
          <w:rFonts w:ascii="Arial" w:hAnsi="Arial" w:cs="Arial"/>
          <w:sz w:val="24"/>
          <w:szCs w:val="24"/>
        </w:rPr>
        <w:t xml:space="preserve"> 20% of sales. Sales in these</w:t>
      </w:r>
      <w:r w:rsidR="00153C00">
        <w:rPr>
          <w:rFonts w:ascii="Arial" w:hAnsi="Arial" w:cs="Arial"/>
          <w:sz w:val="24"/>
          <w:szCs w:val="24"/>
        </w:rPr>
        <w:t xml:space="preserve"> categories were</w:t>
      </w:r>
      <w:r w:rsidR="0079163F">
        <w:rPr>
          <w:rFonts w:ascii="Arial" w:hAnsi="Arial" w:cs="Arial"/>
          <w:sz w:val="24"/>
          <w:szCs w:val="24"/>
        </w:rPr>
        <w:t xml:space="preserve"> impacted by both a strong performance in Q1 this year (+3</w:t>
      </w:r>
      <w:r w:rsidR="00BC2F8A">
        <w:rPr>
          <w:rFonts w:ascii="Arial" w:hAnsi="Arial" w:cs="Arial"/>
          <w:sz w:val="24"/>
          <w:szCs w:val="24"/>
        </w:rPr>
        <w:t>6</w:t>
      </w:r>
      <w:r w:rsidR="0079163F">
        <w:rPr>
          <w:rFonts w:ascii="Arial" w:hAnsi="Arial" w:cs="Arial"/>
          <w:sz w:val="24"/>
          <w:szCs w:val="24"/>
        </w:rPr>
        <w:t>%) and in Q2 last year (+</w:t>
      </w:r>
      <w:r w:rsidR="00BC2F8A">
        <w:rPr>
          <w:rFonts w:ascii="Arial" w:hAnsi="Arial" w:cs="Arial"/>
          <w:sz w:val="24"/>
          <w:szCs w:val="24"/>
        </w:rPr>
        <w:t>9</w:t>
      </w:r>
      <w:r w:rsidR="0079163F">
        <w:rPr>
          <w:rFonts w:ascii="Arial" w:hAnsi="Arial" w:cs="Arial"/>
          <w:sz w:val="24"/>
          <w:szCs w:val="24"/>
        </w:rPr>
        <w:t xml:space="preserve">%). Sales of indoor products were down around </w:t>
      </w:r>
      <w:r w:rsidR="00714633">
        <w:rPr>
          <w:rFonts w:ascii="Arial" w:hAnsi="Arial" w:cs="Arial"/>
          <w:sz w:val="24"/>
          <w:szCs w:val="24"/>
        </w:rPr>
        <w:t>2</w:t>
      </w:r>
      <w:r w:rsidR="0079163F">
        <w:rPr>
          <w:rFonts w:ascii="Arial" w:hAnsi="Arial" w:cs="Arial"/>
          <w:sz w:val="24"/>
          <w:szCs w:val="24"/>
        </w:rPr>
        <w:t>%.</w:t>
      </w:r>
      <w:r w:rsidR="00D23EF4">
        <w:rPr>
          <w:rFonts w:ascii="Arial" w:hAnsi="Arial" w:cs="Arial"/>
          <w:sz w:val="24"/>
          <w:szCs w:val="24"/>
        </w:rPr>
        <w:t xml:space="preserve"> </w:t>
      </w:r>
      <w:r w:rsidR="00DD5839">
        <w:rPr>
          <w:rFonts w:ascii="Arial" w:hAnsi="Arial" w:cs="Arial"/>
          <w:sz w:val="24"/>
          <w:szCs w:val="24"/>
        </w:rPr>
        <w:t>Gross margin is expected to be up across Q2</w:t>
      </w:r>
      <w:r w:rsidR="00A37CA1">
        <w:rPr>
          <w:rFonts w:ascii="Arial" w:hAnsi="Arial" w:cs="Arial"/>
          <w:sz w:val="24"/>
          <w:szCs w:val="24"/>
        </w:rPr>
        <w:t xml:space="preserve"> compared to the same period last year. </w:t>
      </w:r>
    </w:p>
    <w:p w:rsidR="0079163F" w:rsidRDefault="0079163F" w:rsidP="009633E5">
      <w:pPr>
        <w:jc w:val="left"/>
        <w:rPr>
          <w:rFonts w:ascii="Arial" w:hAnsi="Arial" w:cs="Arial"/>
          <w:sz w:val="24"/>
          <w:szCs w:val="24"/>
        </w:rPr>
      </w:pPr>
    </w:p>
    <w:p w:rsidR="00E37C58" w:rsidRDefault="00457656" w:rsidP="009633E5">
      <w:pPr>
        <w:jc w:val="left"/>
        <w:rPr>
          <w:rFonts w:ascii="Arial" w:hAnsi="Arial" w:cs="Arial"/>
          <w:sz w:val="24"/>
          <w:szCs w:val="24"/>
        </w:rPr>
      </w:pPr>
      <w:r>
        <w:rPr>
          <w:rFonts w:ascii="Arial" w:hAnsi="Arial" w:cs="Arial"/>
          <w:sz w:val="24"/>
          <w:szCs w:val="24"/>
        </w:rPr>
        <w:t>Total s</w:t>
      </w:r>
      <w:r w:rsidR="00E37C58">
        <w:rPr>
          <w:rFonts w:ascii="Arial" w:hAnsi="Arial" w:cs="Arial"/>
          <w:sz w:val="24"/>
          <w:szCs w:val="24"/>
        </w:rPr>
        <w:t xml:space="preserve">ales in </w:t>
      </w:r>
      <w:r w:rsidR="00E37C58" w:rsidRPr="003F3258">
        <w:rPr>
          <w:rFonts w:ascii="Arial" w:hAnsi="Arial" w:cs="Arial"/>
          <w:b/>
          <w:sz w:val="24"/>
          <w:szCs w:val="24"/>
        </w:rPr>
        <w:t>Russia</w:t>
      </w:r>
      <w:r w:rsidR="00E37C58">
        <w:rPr>
          <w:rFonts w:ascii="Arial" w:hAnsi="Arial" w:cs="Arial"/>
          <w:sz w:val="24"/>
          <w:szCs w:val="24"/>
        </w:rPr>
        <w:t xml:space="preserve"> </w:t>
      </w:r>
      <w:r w:rsidR="00F029DE">
        <w:rPr>
          <w:rFonts w:ascii="Arial" w:hAnsi="Arial" w:cs="Arial"/>
          <w:sz w:val="24"/>
          <w:szCs w:val="24"/>
        </w:rPr>
        <w:t>grew by</w:t>
      </w:r>
      <w:r w:rsidR="00871B6A">
        <w:rPr>
          <w:rFonts w:ascii="Arial" w:hAnsi="Arial" w:cs="Arial"/>
          <w:sz w:val="24"/>
          <w:szCs w:val="24"/>
        </w:rPr>
        <w:t xml:space="preserve"> </w:t>
      </w:r>
      <w:r w:rsidR="00CD19C4">
        <w:rPr>
          <w:rFonts w:ascii="Arial" w:hAnsi="Arial" w:cs="Arial"/>
          <w:sz w:val="24"/>
          <w:szCs w:val="24"/>
        </w:rPr>
        <w:t>15.7</w:t>
      </w:r>
      <w:r w:rsidR="00871B6A">
        <w:rPr>
          <w:rFonts w:ascii="Arial" w:hAnsi="Arial" w:cs="Arial"/>
          <w:sz w:val="24"/>
          <w:szCs w:val="24"/>
        </w:rPr>
        <w:t>% (+</w:t>
      </w:r>
      <w:r w:rsidR="0079163F">
        <w:rPr>
          <w:rFonts w:ascii="Arial" w:hAnsi="Arial" w:cs="Arial"/>
          <w:sz w:val="24"/>
          <w:szCs w:val="24"/>
        </w:rPr>
        <w:t>1</w:t>
      </w:r>
      <w:r w:rsidR="00CD19C4">
        <w:rPr>
          <w:rFonts w:ascii="Arial" w:hAnsi="Arial" w:cs="Arial"/>
          <w:sz w:val="24"/>
          <w:szCs w:val="24"/>
        </w:rPr>
        <w:t>2</w:t>
      </w:r>
      <w:r w:rsidR="0079163F">
        <w:rPr>
          <w:rFonts w:ascii="Arial" w:hAnsi="Arial" w:cs="Arial"/>
          <w:sz w:val="24"/>
          <w:szCs w:val="24"/>
        </w:rPr>
        <w:t>.0</w:t>
      </w:r>
      <w:r w:rsidR="00D21517">
        <w:rPr>
          <w:rFonts w:ascii="Arial" w:hAnsi="Arial" w:cs="Arial"/>
          <w:sz w:val="24"/>
          <w:szCs w:val="24"/>
        </w:rPr>
        <w:t xml:space="preserve">% LFL) </w:t>
      </w:r>
      <w:r w:rsidR="00D12943">
        <w:rPr>
          <w:rFonts w:ascii="Arial" w:hAnsi="Arial" w:cs="Arial"/>
          <w:sz w:val="24"/>
          <w:szCs w:val="24"/>
        </w:rPr>
        <w:t>whereas</w:t>
      </w:r>
      <w:r>
        <w:rPr>
          <w:rFonts w:ascii="Arial" w:hAnsi="Arial" w:cs="Arial"/>
          <w:sz w:val="24"/>
          <w:szCs w:val="24"/>
        </w:rPr>
        <w:t xml:space="preserve"> total</w:t>
      </w:r>
      <w:r w:rsidR="00D12943">
        <w:rPr>
          <w:rFonts w:ascii="Arial" w:hAnsi="Arial" w:cs="Arial"/>
          <w:sz w:val="24"/>
          <w:szCs w:val="24"/>
        </w:rPr>
        <w:t xml:space="preserve"> </w:t>
      </w:r>
      <w:r w:rsidR="00E37C58">
        <w:rPr>
          <w:rFonts w:ascii="Arial" w:hAnsi="Arial" w:cs="Arial"/>
          <w:sz w:val="24"/>
          <w:szCs w:val="24"/>
        </w:rPr>
        <w:t xml:space="preserve">sales in </w:t>
      </w:r>
      <w:r w:rsidR="00E37C58" w:rsidRPr="003F3258">
        <w:rPr>
          <w:rFonts w:ascii="Arial" w:hAnsi="Arial" w:cs="Arial"/>
          <w:b/>
          <w:sz w:val="24"/>
          <w:szCs w:val="24"/>
        </w:rPr>
        <w:t>Spain</w:t>
      </w:r>
      <w:r w:rsidR="00E37C58">
        <w:rPr>
          <w:rFonts w:ascii="Arial" w:hAnsi="Arial" w:cs="Arial"/>
          <w:sz w:val="24"/>
          <w:szCs w:val="24"/>
        </w:rPr>
        <w:t xml:space="preserve"> </w:t>
      </w:r>
      <w:r w:rsidR="00D12943">
        <w:rPr>
          <w:rFonts w:ascii="Arial" w:hAnsi="Arial" w:cs="Arial"/>
          <w:sz w:val="24"/>
          <w:szCs w:val="24"/>
        </w:rPr>
        <w:t xml:space="preserve">were </w:t>
      </w:r>
      <w:r w:rsidR="00871B6A">
        <w:rPr>
          <w:rFonts w:ascii="Arial" w:hAnsi="Arial" w:cs="Arial"/>
          <w:sz w:val="24"/>
          <w:szCs w:val="24"/>
        </w:rPr>
        <w:t>up 1</w:t>
      </w:r>
      <w:r w:rsidR="00CD19C4">
        <w:rPr>
          <w:rFonts w:ascii="Arial" w:hAnsi="Arial" w:cs="Arial"/>
          <w:sz w:val="24"/>
          <w:szCs w:val="24"/>
        </w:rPr>
        <w:t>2</w:t>
      </w:r>
      <w:r w:rsidR="0079163F">
        <w:rPr>
          <w:rFonts w:ascii="Arial" w:hAnsi="Arial" w:cs="Arial"/>
          <w:sz w:val="24"/>
          <w:szCs w:val="24"/>
        </w:rPr>
        <w:t>.</w:t>
      </w:r>
      <w:r w:rsidR="00CD19C4">
        <w:rPr>
          <w:rFonts w:ascii="Arial" w:hAnsi="Arial" w:cs="Arial"/>
          <w:sz w:val="24"/>
          <w:szCs w:val="24"/>
        </w:rPr>
        <w:t>2</w:t>
      </w:r>
      <w:r w:rsidR="00D12943">
        <w:rPr>
          <w:rFonts w:ascii="Arial" w:hAnsi="Arial" w:cs="Arial"/>
          <w:sz w:val="24"/>
          <w:szCs w:val="24"/>
        </w:rPr>
        <w:t xml:space="preserve">% </w:t>
      </w:r>
      <w:r w:rsidR="00871B6A">
        <w:rPr>
          <w:rFonts w:ascii="Arial" w:hAnsi="Arial" w:cs="Arial"/>
          <w:sz w:val="24"/>
          <w:szCs w:val="24"/>
        </w:rPr>
        <w:t>(-</w:t>
      </w:r>
      <w:r w:rsidR="0079163F">
        <w:rPr>
          <w:rFonts w:ascii="Arial" w:hAnsi="Arial" w:cs="Arial"/>
          <w:sz w:val="24"/>
          <w:szCs w:val="24"/>
        </w:rPr>
        <w:t>7.</w:t>
      </w:r>
      <w:r w:rsidR="00CD19C4">
        <w:rPr>
          <w:rFonts w:ascii="Arial" w:hAnsi="Arial" w:cs="Arial"/>
          <w:sz w:val="24"/>
          <w:szCs w:val="24"/>
        </w:rPr>
        <w:t>3</w:t>
      </w:r>
      <w:r w:rsidR="00E37C58">
        <w:rPr>
          <w:rFonts w:ascii="Arial" w:hAnsi="Arial" w:cs="Arial"/>
          <w:sz w:val="24"/>
          <w:szCs w:val="24"/>
        </w:rPr>
        <w:t xml:space="preserve">% LFL). In </w:t>
      </w:r>
      <w:r w:rsidR="00E37C58">
        <w:rPr>
          <w:rFonts w:ascii="Arial" w:hAnsi="Arial" w:cs="Arial"/>
          <w:b/>
          <w:sz w:val="24"/>
          <w:szCs w:val="24"/>
        </w:rPr>
        <w:t xml:space="preserve">China </w:t>
      </w:r>
      <w:r w:rsidRPr="00F7178D">
        <w:rPr>
          <w:rFonts w:ascii="Arial" w:hAnsi="Arial" w:cs="Arial"/>
          <w:sz w:val="24"/>
          <w:szCs w:val="24"/>
        </w:rPr>
        <w:t>total</w:t>
      </w:r>
      <w:r>
        <w:rPr>
          <w:rFonts w:ascii="Arial" w:hAnsi="Arial" w:cs="Arial"/>
          <w:b/>
          <w:sz w:val="24"/>
          <w:szCs w:val="24"/>
        </w:rPr>
        <w:t xml:space="preserve"> </w:t>
      </w:r>
      <w:r w:rsidR="00E37C58">
        <w:rPr>
          <w:rFonts w:ascii="Arial" w:hAnsi="Arial" w:cs="Arial"/>
          <w:sz w:val="24"/>
          <w:szCs w:val="24"/>
        </w:rPr>
        <w:t xml:space="preserve">sales were </w:t>
      </w:r>
      <w:r>
        <w:rPr>
          <w:rFonts w:ascii="Arial" w:hAnsi="Arial" w:cs="Arial"/>
          <w:sz w:val="24"/>
          <w:szCs w:val="24"/>
        </w:rPr>
        <w:t>down</w:t>
      </w:r>
      <w:r w:rsidR="00E37C58">
        <w:rPr>
          <w:rFonts w:ascii="Arial" w:hAnsi="Arial" w:cs="Arial"/>
          <w:sz w:val="24"/>
          <w:szCs w:val="24"/>
        </w:rPr>
        <w:t xml:space="preserve"> </w:t>
      </w:r>
      <w:r w:rsidR="00871B6A">
        <w:rPr>
          <w:rFonts w:ascii="Arial" w:hAnsi="Arial" w:cs="Arial"/>
          <w:sz w:val="24"/>
          <w:szCs w:val="24"/>
        </w:rPr>
        <w:t>9.</w:t>
      </w:r>
      <w:r w:rsidR="00CD19C4">
        <w:rPr>
          <w:rFonts w:ascii="Arial" w:hAnsi="Arial" w:cs="Arial"/>
          <w:sz w:val="24"/>
          <w:szCs w:val="24"/>
        </w:rPr>
        <w:t>2</w:t>
      </w:r>
      <w:r w:rsidR="00871B6A">
        <w:rPr>
          <w:rFonts w:ascii="Arial" w:hAnsi="Arial" w:cs="Arial"/>
          <w:sz w:val="24"/>
          <w:szCs w:val="24"/>
        </w:rPr>
        <w:t>% (</w:t>
      </w:r>
      <w:r>
        <w:rPr>
          <w:rFonts w:ascii="Arial" w:hAnsi="Arial" w:cs="Arial"/>
          <w:sz w:val="24"/>
          <w:szCs w:val="24"/>
        </w:rPr>
        <w:t>-9</w:t>
      </w:r>
      <w:r w:rsidR="00871B6A">
        <w:rPr>
          <w:rFonts w:ascii="Arial" w:hAnsi="Arial" w:cs="Arial"/>
          <w:sz w:val="24"/>
          <w:szCs w:val="24"/>
        </w:rPr>
        <w:t>.</w:t>
      </w:r>
      <w:r w:rsidR="00CD19C4">
        <w:rPr>
          <w:rFonts w:ascii="Arial" w:hAnsi="Arial" w:cs="Arial"/>
          <w:sz w:val="24"/>
          <w:szCs w:val="24"/>
        </w:rPr>
        <w:t>3</w:t>
      </w:r>
      <w:r w:rsidR="00D12943">
        <w:rPr>
          <w:rFonts w:ascii="Arial" w:hAnsi="Arial" w:cs="Arial"/>
          <w:sz w:val="24"/>
          <w:szCs w:val="24"/>
        </w:rPr>
        <w:t>% LFL</w:t>
      </w:r>
      <w:r>
        <w:rPr>
          <w:rFonts w:ascii="Arial" w:hAnsi="Arial" w:cs="Arial"/>
          <w:sz w:val="24"/>
          <w:szCs w:val="24"/>
        </w:rPr>
        <w:t>) impacted by a slowing Chinese property market*</w:t>
      </w:r>
      <w:r w:rsidR="00667E54">
        <w:rPr>
          <w:rFonts w:ascii="Arial" w:hAnsi="Arial" w:cs="Arial"/>
          <w:sz w:val="24"/>
          <w:szCs w:val="24"/>
        </w:rPr>
        <w:t xml:space="preserve"> which was</w:t>
      </w:r>
      <w:r w:rsidR="00D81464">
        <w:rPr>
          <w:rFonts w:ascii="Arial" w:hAnsi="Arial" w:cs="Arial"/>
          <w:sz w:val="24"/>
          <w:szCs w:val="24"/>
        </w:rPr>
        <w:t xml:space="preserve"> down around 1</w:t>
      </w:r>
      <w:r w:rsidR="003D22BB">
        <w:rPr>
          <w:rFonts w:ascii="Arial" w:hAnsi="Arial" w:cs="Arial"/>
          <w:sz w:val="24"/>
          <w:szCs w:val="24"/>
        </w:rPr>
        <w:t>8</w:t>
      </w:r>
      <w:r w:rsidR="00D81464">
        <w:rPr>
          <w:rFonts w:ascii="Arial" w:hAnsi="Arial" w:cs="Arial"/>
          <w:sz w:val="24"/>
          <w:szCs w:val="24"/>
        </w:rPr>
        <w:t>%</w:t>
      </w:r>
      <w:r w:rsidR="00D12943">
        <w:rPr>
          <w:rFonts w:ascii="Arial" w:hAnsi="Arial" w:cs="Arial"/>
          <w:sz w:val="24"/>
          <w:szCs w:val="24"/>
        </w:rPr>
        <w:t xml:space="preserve">.  </w:t>
      </w:r>
    </w:p>
    <w:p w:rsidR="008F6D3B" w:rsidRDefault="008F6D3B" w:rsidP="00D53EE4">
      <w:pPr>
        <w:autoSpaceDE w:val="0"/>
        <w:autoSpaceDN w:val="0"/>
        <w:adjustRightInd w:val="0"/>
        <w:jc w:val="left"/>
        <w:rPr>
          <w:rFonts w:ascii="Arial" w:hAnsi="Arial" w:cs="Arial"/>
          <w:b/>
          <w:sz w:val="24"/>
          <w:szCs w:val="24"/>
        </w:rPr>
      </w:pPr>
    </w:p>
    <w:p w:rsidR="008F6D3B" w:rsidRDefault="008F6D3B" w:rsidP="00D53EE4">
      <w:pPr>
        <w:autoSpaceDE w:val="0"/>
        <w:autoSpaceDN w:val="0"/>
        <w:adjustRightInd w:val="0"/>
        <w:jc w:val="left"/>
        <w:rPr>
          <w:rFonts w:ascii="Arial" w:hAnsi="Arial" w:cs="Arial"/>
          <w:b/>
          <w:sz w:val="24"/>
          <w:szCs w:val="24"/>
        </w:rPr>
      </w:pPr>
    </w:p>
    <w:p w:rsidR="008F6D3B" w:rsidRPr="005F6EF2" w:rsidRDefault="008F6D3B" w:rsidP="00D53EE4">
      <w:pPr>
        <w:autoSpaceDE w:val="0"/>
        <w:autoSpaceDN w:val="0"/>
        <w:adjustRightInd w:val="0"/>
        <w:jc w:val="left"/>
        <w:rPr>
          <w:rFonts w:ascii="Arial" w:hAnsi="Arial" w:cs="Arial"/>
          <w:b/>
          <w:sz w:val="24"/>
          <w:szCs w:val="24"/>
          <w:u w:val="single"/>
        </w:rPr>
      </w:pPr>
      <w:r w:rsidRPr="005F6EF2">
        <w:rPr>
          <w:rFonts w:ascii="Arial" w:hAnsi="Arial" w:cs="Arial"/>
          <w:b/>
          <w:sz w:val="24"/>
          <w:szCs w:val="24"/>
          <w:u w:val="single"/>
        </w:rPr>
        <w:t>MR BRICOLAGE UPDATE</w:t>
      </w:r>
    </w:p>
    <w:p w:rsidR="00531A9F" w:rsidRDefault="00531A9F" w:rsidP="00D53EE4">
      <w:pPr>
        <w:autoSpaceDE w:val="0"/>
        <w:autoSpaceDN w:val="0"/>
        <w:adjustRightInd w:val="0"/>
        <w:jc w:val="left"/>
        <w:rPr>
          <w:rFonts w:ascii="Arial" w:hAnsi="Arial" w:cs="Arial"/>
          <w:b/>
          <w:sz w:val="24"/>
          <w:szCs w:val="24"/>
        </w:rPr>
      </w:pPr>
    </w:p>
    <w:p w:rsidR="008F6D3B" w:rsidRDefault="008F6D3B" w:rsidP="00F7178D">
      <w:pPr>
        <w:jc w:val="left"/>
        <w:rPr>
          <w:rFonts w:ascii="Arial" w:hAnsi="Arial" w:cs="Arial"/>
          <w:sz w:val="24"/>
          <w:szCs w:val="24"/>
        </w:rPr>
      </w:pPr>
      <w:r>
        <w:rPr>
          <w:rFonts w:ascii="Arial" w:hAnsi="Arial" w:cs="Arial"/>
          <w:sz w:val="24"/>
          <w:szCs w:val="24"/>
        </w:rPr>
        <w:t xml:space="preserve">On </w:t>
      </w:r>
      <w:r w:rsidR="00714633">
        <w:rPr>
          <w:rFonts w:ascii="Arial" w:hAnsi="Arial" w:cs="Arial"/>
          <w:sz w:val="24"/>
          <w:szCs w:val="24"/>
        </w:rPr>
        <w:t>3</w:t>
      </w:r>
      <w:r>
        <w:rPr>
          <w:rFonts w:ascii="Arial" w:hAnsi="Arial" w:cs="Arial"/>
          <w:sz w:val="24"/>
          <w:szCs w:val="24"/>
        </w:rPr>
        <w:t xml:space="preserve"> April 2014, Kingfisher anno</w:t>
      </w:r>
      <w:r w:rsidR="00DF6CE3">
        <w:rPr>
          <w:rFonts w:ascii="Arial" w:hAnsi="Arial" w:cs="Arial"/>
          <w:sz w:val="24"/>
          <w:szCs w:val="24"/>
        </w:rPr>
        <w:t>unced it</w:t>
      </w:r>
      <w:r>
        <w:rPr>
          <w:rFonts w:ascii="Arial" w:hAnsi="Arial" w:cs="Arial"/>
          <w:sz w:val="24"/>
          <w:szCs w:val="24"/>
        </w:rPr>
        <w:t xml:space="preserve"> had entered into </w:t>
      </w:r>
      <w:r w:rsidRPr="00676B06">
        <w:rPr>
          <w:rFonts w:ascii="Arial" w:hAnsi="Arial" w:cs="Arial"/>
          <w:sz w:val="24"/>
          <w:szCs w:val="24"/>
        </w:rPr>
        <w:t>exclusive negotiations with the principal shareholders of Mr Bricolage, the home improvement retailer, to acquire their shareholding.</w:t>
      </w:r>
    </w:p>
    <w:p w:rsidR="008F6D3B" w:rsidRDefault="008F6D3B" w:rsidP="00F7178D">
      <w:pPr>
        <w:jc w:val="left"/>
        <w:rPr>
          <w:rFonts w:ascii="Arial" w:hAnsi="Arial" w:cs="Arial"/>
          <w:sz w:val="24"/>
          <w:szCs w:val="24"/>
        </w:rPr>
      </w:pPr>
    </w:p>
    <w:p w:rsidR="008F6D3B" w:rsidRDefault="008F6D3B" w:rsidP="00F7178D">
      <w:pPr>
        <w:jc w:val="left"/>
        <w:rPr>
          <w:rFonts w:ascii="Arial" w:hAnsi="Arial" w:cs="Arial"/>
          <w:sz w:val="24"/>
          <w:szCs w:val="24"/>
        </w:rPr>
      </w:pPr>
      <w:r>
        <w:rPr>
          <w:rFonts w:ascii="Arial" w:hAnsi="Arial" w:cs="Arial"/>
          <w:sz w:val="24"/>
          <w:szCs w:val="24"/>
        </w:rPr>
        <w:t xml:space="preserve">On </w:t>
      </w:r>
      <w:r w:rsidR="002B3983">
        <w:rPr>
          <w:rFonts w:ascii="Arial" w:hAnsi="Arial" w:cs="Arial"/>
          <w:sz w:val="24"/>
          <w:szCs w:val="24"/>
        </w:rPr>
        <w:t>2 April 2014</w:t>
      </w:r>
      <w:r>
        <w:rPr>
          <w:rFonts w:ascii="Arial" w:hAnsi="Arial" w:cs="Arial"/>
          <w:sz w:val="24"/>
          <w:szCs w:val="24"/>
        </w:rPr>
        <w:t>, a</w:t>
      </w:r>
      <w:r w:rsidRPr="00BA010D">
        <w:rPr>
          <w:rFonts w:ascii="Arial" w:hAnsi="Arial" w:cs="Arial"/>
          <w:sz w:val="24"/>
          <w:szCs w:val="24"/>
        </w:rPr>
        <w:t xml:space="preserve"> non-binding memorandum of understanding was entered into, marking the start of exclusive negotiations during which the operating businesses of Mr Bricolage and of Kingfisher in France </w:t>
      </w:r>
      <w:r>
        <w:rPr>
          <w:rFonts w:ascii="Arial" w:hAnsi="Arial" w:cs="Arial"/>
          <w:sz w:val="24"/>
          <w:szCs w:val="24"/>
        </w:rPr>
        <w:t>(Castorama and Brico Dépôt) would</w:t>
      </w:r>
      <w:r w:rsidRPr="00BA010D">
        <w:rPr>
          <w:rFonts w:ascii="Arial" w:hAnsi="Arial" w:cs="Arial"/>
          <w:sz w:val="24"/>
          <w:szCs w:val="24"/>
        </w:rPr>
        <w:t xml:space="preserve"> meet with their </w:t>
      </w:r>
      <w:r w:rsidR="00E43189">
        <w:rPr>
          <w:rFonts w:ascii="Arial" w:hAnsi="Arial" w:cs="Arial"/>
          <w:sz w:val="24"/>
          <w:szCs w:val="24"/>
        </w:rPr>
        <w:t xml:space="preserve">respective works councils and </w:t>
      </w:r>
      <w:r>
        <w:rPr>
          <w:rFonts w:ascii="Arial" w:hAnsi="Arial" w:cs="Arial"/>
          <w:sz w:val="24"/>
          <w:szCs w:val="24"/>
        </w:rPr>
        <w:t>would</w:t>
      </w:r>
      <w:r w:rsidR="00E43189">
        <w:rPr>
          <w:rFonts w:ascii="Arial" w:hAnsi="Arial" w:cs="Arial"/>
          <w:sz w:val="24"/>
          <w:szCs w:val="24"/>
        </w:rPr>
        <w:t xml:space="preserve"> propose improved commercial terms</w:t>
      </w:r>
      <w:r w:rsidRPr="00BA010D">
        <w:rPr>
          <w:rFonts w:ascii="Arial" w:hAnsi="Arial" w:cs="Arial"/>
          <w:sz w:val="24"/>
          <w:szCs w:val="24"/>
        </w:rPr>
        <w:t xml:space="preserve"> to the franchisees of Mr Bricolage. </w:t>
      </w:r>
      <w:r w:rsidR="00526A04">
        <w:rPr>
          <w:rFonts w:ascii="Arial" w:hAnsi="Arial" w:cs="Arial"/>
          <w:sz w:val="24"/>
          <w:szCs w:val="24"/>
        </w:rPr>
        <w:t>The outcome of these ne</w:t>
      </w:r>
      <w:r w:rsidR="00DF6CE3">
        <w:rPr>
          <w:rFonts w:ascii="Arial" w:hAnsi="Arial" w:cs="Arial"/>
          <w:sz w:val="24"/>
          <w:szCs w:val="24"/>
        </w:rPr>
        <w:t>gotiations has been successful</w:t>
      </w:r>
      <w:r w:rsidR="00526A04">
        <w:rPr>
          <w:rFonts w:ascii="Arial" w:hAnsi="Arial" w:cs="Arial"/>
          <w:sz w:val="24"/>
          <w:szCs w:val="24"/>
        </w:rPr>
        <w:t xml:space="preserve"> and accordingly, a binding agreement </w:t>
      </w:r>
      <w:r w:rsidR="00BC2F8A">
        <w:rPr>
          <w:rFonts w:ascii="Arial" w:hAnsi="Arial" w:cs="Arial"/>
          <w:sz w:val="24"/>
          <w:szCs w:val="24"/>
        </w:rPr>
        <w:t xml:space="preserve">was entered into on 23 July 2014. </w:t>
      </w:r>
    </w:p>
    <w:p w:rsidR="00BC2F8A" w:rsidRDefault="00664524" w:rsidP="00F7178D">
      <w:pPr>
        <w:jc w:val="left"/>
        <w:rPr>
          <w:rFonts w:ascii="Arial" w:hAnsi="Arial" w:cs="Arial"/>
          <w:sz w:val="24"/>
          <w:szCs w:val="24"/>
        </w:rPr>
      </w:pPr>
      <w:r>
        <w:rPr>
          <w:rFonts w:ascii="Arial" w:hAnsi="Arial" w:cs="Arial"/>
          <w:sz w:val="24"/>
          <w:szCs w:val="24"/>
        </w:rPr>
        <w:br w:type="page"/>
      </w:r>
      <w:r w:rsidR="008F6D3B" w:rsidRPr="00F7178D">
        <w:rPr>
          <w:rFonts w:ascii="Arial" w:hAnsi="Arial" w:cs="Arial"/>
          <w:sz w:val="24"/>
          <w:szCs w:val="24"/>
        </w:rPr>
        <w:t xml:space="preserve">The acquisition by Kingfisher </w:t>
      </w:r>
      <w:r w:rsidR="00526A04">
        <w:rPr>
          <w:rFonts w:ascii="Arial" w:hAnsi="Arial" w:cs="Arial"/>
          <w:sz w:val="24"/>
          <w:szCs w:val="24"/>
        </w:rPr>
        <w:t>of</w:t>
      </w:r>
      <w:r w:rsidR="008F6D3B" w:rsidRPr="00F7178D">
        <w:rPr>
          <w:rFonts w:ascii="Arial" w:hAnsi="Arial" w:cs="Arial"/>
          <w:sz w:val="24"/>
          <w:szCs w:val="24"/>
        </w:rPr>
        <w:t xml:space="preserve"> Mr Bricolage </w:t>
      </w:r>
      <w:r w:rsidR="00526A04">
        <w:rPr>
          <w:rFonts w:ascii="Arial" w:hAnsi="Arial" w:cs="Arial"/>
          <w:sz w:val="24"/>
          <w:szCs w:val="24"/>
        </w:rPr>
        <w:t>will now</w:t>
      </w:r>
      <w:r w:rsidR="00D81464">
        <w:rPr>
          <w:rFonts w:ascii="Arial" w:hAnsi="Arial" w:cs="Arial"/>
          <w:sz w:val="24"/>
          <w:szCs w:val="24"/>
        </w:rPr>
        <w:t xml:space="preserve"> </w:t>
      </w:r>
      <w:r w:rsidR="0005717F">
        <w:rPr>
          <w:rFonts w:ascii="Arial" w:hAnsi="Arial" w:cs="Arial"/>
          <w:sz w:val="24"/>
          <w:szCs w:val="24"/>
        </w:rPr>
        <w:t xml:space="preserve">proceed subject to </w:t>
      </w:r>
      <w:r w:rsidR="00526A04" w:rsidRPr="00F7178D">
        <w:rPr>
          <w:rFonts w:ascii="Arial" w:hAnsi="Arial" w:cs="Arial"/>
          <w:sz w:val="24"/>
          <w:szCs w:val="24"/>
        </w:rPr>
        <w:t>anti-trust clearance</w:t>
      </w:r>
      <w:r w:rsidR="00BC2F8A">
        <w:rPr>
          <w:rFonts w:ascii="Arial" w:hAnsi="Arial" w:cs="Arial"/>
          <w:sz w:val="24"/>
          <w:szCs w:val="24"/>
        </w:rPr>
        <w:t>s</w:t>
      </w:r>
      <w:r w:rsidR="00526A04" w:rsidRPr="00F7178D">
        <w:rPr>
          <w:rFonts w:ascii="Arial" w:hAnsi="Arial" w:cs="Arial"/>
          <w:sz w:val="24"/>
          <w:szCs w:val="24"/>
        </w:rPr>
        <w:t>.</w:t>
      </w:r>
      <w:r w:rsidR="00D81464">
        <w:rPr>
          <w:rFonts w:ascii="Arial" w:hAnsi="Arial" w:cs="Arial"/>
          <w:sz w:val="24"/>
          <w:szCs w:val="24"/>
        </w:rPr>
        <w:t xml:space="preserve"> Su</w:t>
      </w:r>
      <w:r w:rsidR="00D81464" w:rsidRPr="005F6EF2">
        <w:rPr>
          <w:rFonts w:ascii="Arial" w:hAnsi="Arial" w:cs="Arial"/>
          <w:sz w:val="24"/>
          <w:szCs w:val="24"/>
        </w:rPr>
        <w:t xml:space="preserve">bsequently, a mandatory offer </w:t>
      </w:r>
      <w:r w:rsidR="0005717F">
        <w:rPr>
          <w:rFonts w:ascii="Arial" w:hAnsi="Arial" w:cs="Arial"/>
          <w:sz w:val="24"/>
          <w:szCs w:val="24"/>
        </w:rPr>
        <w:t xml:space="preserve">will be made </w:t>
      </w:r>
      <w:r w:rsidR="00D81464" w:rsidRPr="005F6EF2">
        <w:rPr>
          <w:rFonts w:ascii="Arial" w:hAnsi="Arial" w:cs="Arial"/>
          <w:sz w:val="24"/>
          <w:szCs w:val="24"/>
        </w:rPr>
        <w:t>to acquire the shares held by the minority shareholders at the agreed price per share of €15, in accordance with applicable law</w:t>
      </w:r>
      <w:r w:rsidR="0005717F">
        <w:rPr>
          <w:rFonts w:ascii="Arial" w:hAnsi="Arial" w:cs="Arial"/>
          <w:sz w:val="24"/>
          <w:szCs w:val="24"/>
        </w:rPr>
        <w:t xml:space="preserve">. </w:t>
      </w:r>
      <w:r w:rsidR="00526A04" w:rsidRPr="00F7178D">
        <w:rPr>
          <w:rFonts w:ascii="Arial" w:hAnsi="Arial" w:cs="Arial"/>
          <w:sz w:val="24"/>
          <w:szCs w:val="24"/>
        </w:rPr>
        <w:t>Th</w:t>
      </w:r>
      <w:r w:rsidR="00D81464">
        <w:rPr>
          <w:rFonts w:ascii="Arial" w:hAnsi="Arial" w:cs="Arial"/>
          <w:sz w:val="24"/>
          <w:szCs w:val="24"/>
        </w:rPr>
        <w:t>e remainder of the</w:t>
      </w:r>
      <w:r w:rsidR="008F6D3B" w:rsidRPr="00F7178D">
        <w:rPr>
          <w:rFonts w:ascii="Arial" w:hAnsi="Arial" w:cs="Arial"/>
          <w:sz w:val="24"/>
          <w:szCs w:val="24"/>
        </w:rPr>
        <w:t xml:space="preserve"> process is </w:t>
      </w:r>
      <w:r w:rsidR="00BC2F8A">
        <w:rPr>
          <w:rFonts w:ascii="Arial" w:hAnsi="Arial" w:cs="Arial"/>
          <w:sz w:val="24"/>
          <w:szCs w:val="24"/>
        </w:rPr>
        <w:t xml:space="preserve">expected to be completed </w:t>
      </w:r>
      <w:r w:rsidR="0005717F">
        <w:rPr>
          <w:rFonts w:ascii="Arial" w:hAnsi="Arial" w:cs="Arial"/>
          <w:sz w:val="24"/>
          <w:szCs w:val="24"/>
        </w:rPr>
        <w:t>around the end of</w:t>
      </w:r>
      <w:r w:rsidR="00BC2F8A">
        <w:rPr>
          <w:rFonts w:ascii="Arial" w:hAnsi="Arial" w:cs="Arial"/>
          <w:sz w:val="24"/>
          <w:szCs w:val="24"/>
        </w:rPr>
        <w:t xml:space="preserve"> Kingfisher’s </w:t>
      </w:r>
      <w:r w:rsidR="008F6D3B" w:rsidRPr="00F7178D">
        <w:rPr>
          <w:rFonts w:ascii="Arial" w:hAnsi="Arial" w:cs="Arial"/>
          <w:sz w:val="24"/>
          <w:szCs w:val="24"/>
        </w:rPr>
        <w:t>2014/15 financial year.</w:t>
      </w:r>
      <w:r w:rsidR="00B333EB">
        <w:rPr>
          <w:rFonts w:ascii="Arial" w:hAnsi="Arial" w:cs="Arial"/>
          <w:sz w:val="24"/>
          <w:szCs w:val="24"/>
        </w:rPr>
        <w:t xml:space="preserve"> </w:t>
      </w:r>
    </w:p>
    <w:p w:rsidR="00BC2F8A" w:rsidRDefault="00BC2F8A" w:rsidP="00F7178D">
      <w:pPr>
        <w:jc w:val="left"/>
        <w:rPr>
          <w:rFonts w:ascii="Arial" w:hAnsi="Arial" w:cs="Arial"/>
          <w:sz w:val="24"/>
          <w:szCs w:val="24"/>
        </w:rPr>
      </w:pPr>
    </w:p>
    <w:p w:rsidR="00D53EE4" w:rsidRPr="00FD57E1" w:rsidRDefault="00E43137" w:rsidP="00A86D22">
      <w:pPr>
        <w:jc w:val="left"/>
        <w:rPr>
          <w:rFonts w:ascii="Arial" w:hAnsi="Arial" w:cs="Arial"/>
          <w:b/>
          <w:sz w:val="24"/>
          <w:szCs w:val="24"/>
        </w:rPr>
      </w:pPr>
      <w:r>
        <w:rPr>
          <w:rFonts w:ascii="Arial" w:hAnsi="Arial" w:cs="Arial"/>
          <w:b/>
          <w:sz w:val="24"/>
          <w:szCs w:val="24"/>
        </w:rPr>
        <w:t>C</w:t>
      </w:r>
      <w:r w:rsidR="00D53EE4">
        <w:rPr>
          <w:rFonts w:ascii="Arial" w:hAnsi="Arial" w:cs="Arial"/>
          <w:b/>
          <w:sz w:val="24"/>
          <w:szCs w:val="24"/>
        </w:rPr>
        <w:t>REATING THE LEADER</w:t>
      </w:r>
    </w:p>
    <w:p w:rsidR="00D53EE4" w:rsidRPr="00FD57E1" w:rsidRDefault="00D53EE4" w:rsidP="00D53EE4">
      <w:pPr>
        <w:autoSpaceDE w:val="0"/>
        <w:autoSpaceDN w:val="0"/>
        <w:adjustRightInd w:val="0"/>
        <w:jc w:val="left"/>
        <w:rPr>
          <w:rFonts w:ascii="Arial" w:hAnsi="Arial" w:cs="Arial"/>
          <w:sz w:val="24"/>
          <w:szCs w:val="24"/>
        </w:rPr>
      </w:pPr>
    </w:p>
    <w:p w:rsidR="00D53EE4" w:rsidRPr="00FD57E1" w:rsidRDefault="00D53EE4" w:rsidP="00D53EE4">
      <w:pPr>
        <w:tabs>
          <w:tab w:val="left" w:pos="5940"/>
        </w:tabs>
        <w:jc w:val="left"/>
        <w:rPr>
          <w:rFonts w:ascii="Arial" w:hAnsi="Arial" w:cs="Arial"/>
          <w:sz w:val="24"/>
          <w:szCs w:val="24"/>
        </w:rPr>
      </w:pPr>
      <w:r w:rsidRPr="00FD57E1">
        <w:rPr>
          <w:rFonts w:ascii="Arial" w:hAnsi="Arial" w:cs="Arial"/>
          <w:sz w:val="24"/>
          <w:szCs w:val="24"/>
        </w:rPr>
        <w:t xml:space="preserve">Progress continued with </w:t>
      </w:r>
      <w:r w:rsidR="00BC2F8A">
        <w:rPr>
          <w:rFonts w:ascii="Arial" w:hAnsi="Arial" w:cs="Arial"/>
          <w:sz w:val="24"/>
          <w:szCs w:val="24"/>
        </w:rPr>
        <w:t>Kingfisher’s</w:t>
      </w:r>
      <w:r w:rsidRPr="00FD57E1">
        <w:rPr>
          <w:rFonts w:ascii="Arial" w:hAnsi="Arial" w:cs="Arial"/>
          <w:sz w:val="24"/>
          <w:szCs w:val="24"/>
        </w:rPr>
        <w:t xml:space="preserve"> medium term development under the following eight steps:</w:t>
      </w:r>
      <w:r w:rsidRPr="00FD57E1">
        <w:rPr>
          <w:rFonts w:ascii="Arial" w:hAnsi="Arial" w:cs="Arial"/>
          <w:sz w:val="24"/>
          <w:szCs w:val="24"/>
        </w:rPr>
        <w:tab/>
      </w:r>
    </w:p>
    <w:p w:rsidR="00D53EE4" w:rsidRPr="00FD57E1" w:rsidRDefault="00D53EE4" w:rsidP="00D53EE4">
      <w:pPr>
        <w:tabs>
          <w:tab w:val="left" w:pos="5940"/>
        </w:tabs>
        <w:rPr>
          <w:rFonts w:ascii="Arial" w:hAnsi="Arial" w:cs="Arial"/>
          <w:sz w:val="24"/>
          <w:szCs w:val="24"/>
        </w:rPr>
      </w:pPr>
    </w:p>
    <w:p w:rsidR="00D53EE4" w:rsidRPr="00FD57E1" w:rsidRDefault="00D53EE4" w:rsidP="00D53EE4">
      <w:pPr>
        <w:ind w:left="720"/>
        <w:jc w:val="left"/>
        <w:rPr>
          <w:rFonts w:ascii="Arial" w:hAnsi="Arial" w:cs="Arial"/>
          <w:sz w:val="24"/>
          <w:szCs w:val="24"/>
        </w:rPr>
      </w:pPr>
      <w:r w:rsidRPr="00FD57E1">
        <w:rPr>
          <w:rFonts w:ascii="Arial" w:hAnsi="Arial" w:cs="Arial"/>
          <w:b/>
          <w:sz w:val="24"/>
          <w:szCs w:val="24"/>
        </w:rPr>
        <w:t xml:space="preserve">EASIER </w:t>
      </w:r>
    </w:p>
    <w:p w:rsidR="00D53EE4" w:rsidRPr="00FD57E1" w:rsidRDefault="00D53EE4" w:rsidP="00D53EE4">
      <w:pPr>
        <w:numPr>
          <w:ilvl w:val="0"/>
          <w:numId w:val="19"/>
        </w:numPr>
        <w:jc w:val="left"/>
        <w:rPr>
          <w:rFonts w:ascii="Arial" w:hAnsi="Arial" w:cs="Arial"/>
          <w:sz w:val="24"/>
          <w:szCs w:val="24"/>
        </w:rPr>
      </w:pPr>
      <w:r w:rsidRPr="00FD57E1">
        <w:rPr>
          <w:rFonts w:ascii="Arial" w:hAnsi="Arial" w:cs="Arial"/>
          <w:sz w:val="24"/>
          <w:szCs w:val="24"/>
        </w:rPr>
        <w:t>Making it easier for our customers to improve their home</w:t>
      </w:r>
    </w:p>
    <w:p w:rsidR="00D53EE4" w:rsidRPr="00FD57E1" w:rsidRDefault="00D53EE4" w:rsidP="00D53EE4">
      <w:pPr>
        <w:pStyle w:val="ListParagraph"/>
        <w:numPr>
          <w:ilvl w:val="0"/>
          <w:numId w:val="19"/>
        </w:numPr>
        <w:contextualSpacing/>
        <w:jc w:val="left"/>
        <w:rPr>
          <w:rFonts w:ascii="Arial" w:hAnsi="Arial" w:cs="Arial"/>
          <w:sz w:val="24"/>
          <w:szCs w:val="24"/>
        </w:rPr>
      </w:pPr>
      <w:r w:rsidRPr="00FD57E1">
        <w:rPr>
          <w:rFonts w:ascii="Arial" w:hAnsi="Arial" w:cs="Arial"/>
          <w:sz w:val="24"/>
          <w:szCs w:val="24"/>
        </w:rPr>
        <w:t>Giving our customers more ways to shop</w:t>
      </w:r>
    </w:p>
    <w:p w:rsidR="00D53EE4" w:rsidRPr="00FD57E1" w:rsidRDefault="00D53EE4" w:rsidP="00D53EE4">
      <w:pPr>
        <w:ind w:left="720"/>
        <w:jc w:val="left"/>
        <w:rPr>
          <w:rFonts w:ascii="Arial" w:hAnsi="Arial" w:cs="Arial"/>
          <w:b/>
          <w:sz w:val="24"/>
          <w:szCs w:val="24"/>
        </w:rPr>
      </w:pPr>
    </w:p>
    <w:p w:rsidR="00D53EE4" w:rsidRPr="00FD57E1" w:rsidRDefault="00D53EE4" w:rsidP="00D53EE4">
      <w:pPr>
        <w:ind w:left="720"/>
        <w:jc w:val="left"/>
        <w:rPr>
          <w:rFonts w:ascii="Arial" w:hAnsi="Arial" w:cs="Arial"/>
          <w:sz w:val="24"/>
          <w:szCs w:val="24"/>
        </w:rPr>
      </w:pPr>
      <w:r w:rsidRPr="00FD57E1">
        <w:rPr>
          <w:rFonts w:ascii="Arial" w:hAnsi="Arial" w:cs="Arial"/>
          <w:b/>
          <w:sz w:val="24"/>
          <w:szCs w:val="24"/>
        </w:rPr>
        <w:t xml:space="preserve">COMMON </w:t>
      </w:r>
    </w:p>
    <w:p w:rsidR="00D53EE4" w:rsidRPr="00FD57E1" w:rsidRDefault="00D53EE4" w:rsidP="00D53EE4">
      <w:pPr>
        <w:pStyle w:val="ListParagraph"/>
        <w:numPr>
          <w:ilvl w:val="0"/>
          <w:numId w:val="19"/>
        </w:numPr>
        <w:contextualSpacing/>
        <w:jc w:val="left"/>
        <w:rPr>
          <w:rFonts w:ascii="Arial" w:hAnsi="Arial" w:cs="Arial"/>
          <w:sz w:val="24"/>
          <w:szCs w:val="24"/>
        </w:rPr>
      </w:pPr>
      <w:r w:rsidRPr="00FD57E1">
        <w:rPr>
          <w:rFonts w:ascii="Arial" w:hAnsi="Arial" w:cs="Arial"/>
          <w:sz w:val="24"/>
          <w:szCs w:val="24"/>
        </w:rPr>
        <w:t>Building innovative common brands</w:t>
      </w:r>
    </w:p>
    <w:p w:rsidR="00D53EE4" w:rsidRPr="00FD57E1" w:rsidRDefault="00D53EE4" w:rsidP="00D53EE4">
      <w:pPr>
        <w:pStyle w:val="ListParagraph"/>
        <w:numPr>
          <w:ilvl w:val="0"/>
          <w:numId w:val="19"/>
        </w:numPr>
        <w:contextualSpacing/>
        <w:jc w:val="left"/>
        <w:rPr>
          <w:rFonts w:ascii="Arial" w:hAnsi="Arial" w:cs="Arial"/>
          <w:sz w:val="24"/>
          <w:szCs w:val="24"/>
        </w:rPr>
      </w:pPr>
      <w:r w:rsidRPr="00FD57E1">
        <w:rPr>
          <w:rFonts w:ascii="Arial" w:hAnsi="Arial" w:cs="Arial"/>
          <w:sz w:val="24"/>
          <w:szCs w:val="24"/>
        </w:rPr>
        <w:t>Driving efficiency and effectiveness everywhere</w:t>
      </w:r>
    </w:p>
    <w:p w:rsidR="00D53EE4" w:rsidRPr="00FD57E1" w:rsidRDefault="00D53EE4" w:rsidP="00D53EE4">
      <w:pPr>
        <w:ind w:left="720"/>
        <w:jc w:val="left"/>
        <w:rPr>
          <w:rFonts w:ascii="Arial" w:hAnsi="Arial" w:cs="Arial"/>
          <w:b/>
          <w:sz w:val="24"/>
          <w:szCs w:val="24"/>
        </w:rPr>
      </w:pPr>
    </w:p>
    <w:p w:rsidR="00D53EE4" w:rsidRPr="00FD57E1" w:rsidRDefault="00D53EE4" w:rsidP="00D53EE4">
      <w:pPr>
        <w:ind w:left="720"/>
        <w:jc w:val="left"/>
        <w:rPr>
          <w:rFonts w:ascii="Arial" w:hAnsi="Arial" w:cs="Arial"/>
          <w:sz w:val="24"/>
          <w:szCs w:val="24"/>
        </w:rPr>
      </w:pPr>
      <w:r w:rsidRPr="00FD57E1">
        <w:rPr>
          <w:rFonts w:ascii="Arial" w:hAnsi="Arial" w:cs="Arial"/>
          <w:b/>
          <w:sz w:val="24"/>
          <w:szCs w:val="24"/>
        </w:rPr>
        <w:t xml:space="preserve">EXPAND </w:t>
      </w:r>
    </w:p>
    <w:p w:rsidR="00D53EE4" w:rsidRPr="00FD57E1" w:rsidRDefault="00D53EE4" w:rsidP="00D53EE4">
      <w:pPr>
        <w:pStyle w:val="ListParagraph"/>
        <w:numPr>
          <w:ilvl w:val="0"/>
          <w:numId w:val="19"/>
        </w:numPr>
        <w:contextualSpacing/>
        <w:jc w:val="left"/>
        <w:rPr>
          <w:rFonts w:ascii="Arial" w:hAnsi="Arial" w:cs="Arial"/>
          <w:sz w:val="24"/>
          <w:szCs w:val="24"/>
        </w:rPr>
      </w:pPr>
      <w:r w:rsidRPr="00FD57E1">
        <w:rPr>
          <w:rFonts w:ascii="Arial" w:hAnsi="Arial" w:cs="Arial"/>
          <w:sz w:val="24"/>
          <w:szCs w:val="24"/>
        </w:rPr>
        <w:t>Growing our presence in existing markets</w:t>
      </w:r>
    </w:p>
    <w:p w:rsidR="00D53EE4" w:rsidRPr="00FD57E1" w:rsidRDefault="00D53EE4" w:rsidP="00D53EE4">
      <w:pPr>
        <w:pStyle w:val="ListParagraph"/>
        <w:numPr>
          <w:ilvl w:val="0"/>
          <w:numId w:val="19"/>
        </w:numPr>
        <w:contextualSpacing/>
        <w:jc w:val="left"/>
        <w:rPr>
          <w:rFonts w:ascii="Arial" w:hAnsi="Arial" w:cs="Arial"/>
          <w:sz w:val="24"/>
          <w:szCs w:val="24"/>
        </w:rPr>
      </w:pPr>
      <w:r w:rsidRPr="00FD57E1">
        <w:rPr>
          <w:rFonts w:ascii="Arial" w:hAnsi="Arial" w:cs="Arial"/>
          <w:sz w:val="24"/>
          <w:szCs w:val="24"/>
        </w:rPr>
        <w:t xml:space="preserve">Expanding in new and developing markets </w:t>
      </w:r>
    </w:p>
    <w:p w:rsidR="00D53EE4" w:rsidRPr="00FD57E1" w:rsidRDefault="00D53EE4" w:rsidP="00D53EE4">
      <w:pPr>
        <w:ind w:left="720"/>
        <w:jc w:val="left"/>
        <w:rPr>
          <w:rFonts w:ascii="Arial" w:hAnsi="Arial" w:cs="Arial"/>
          <w:b/>
          <w:sz w:val="24"/>
          <w:szCs w:val="24"/>
        </w:rPr>
      </w:pPr>
    </w:p>
    <w:p w:rsidR="00D53EE4" w:rsidRPr="00FD57E1" w:rsidRDefault="00D53EE4" w:rsidP="00D53EE4">
      <w:pPr>
        <w:ind w:left="720"/>
        <w:jc w:val="left"/>
        <w:rPr>
          <w:rFonts w:ascii="Arial" w:hAnsi="Arial" w:cs="Arial"/>
          <w:sz w:val="24"/>
          <w:szCs w:val="24"/>
        </w:rPr>
      </w:pPr>
      <w:r w:rsidRPr="00FD57E1">
        <w:rPr>
          <w:rFonts w:ascii="Arial" w:hAnsi="Arial" w:cs="Arial"/>
          <w:b/>
          <w:sz w:val="24"/>
          <w:szCs w:val="24"/>
        </w:rPr>
        <w:t xml:space="preserve">ONE TEAM </w:t>
      </w:r>
    </w:p>
    <w:p w:rsidR="00D53EE4" w:rsidRPr="00FD57E1" w:rsidRDefault="00D53EE4" w:rsidP="00D53EE4">
      <w:pPr>
        <w:pStyle w:val="ListParagraph"/>
        <w:numPr>
          <w:ilvl w:val="0"/>
          <w:numId w:val="19"/>
        </w:numPr>
        <w:contextualSpacing/>
        <w:rPr>
          <w:rFonts w:ascii="Arial" w:hAnsi="Arial" w:cs="Arial"/>
          <w:sz w:val="24"/>
          <w:szCs w:val="24"/>
        </w:rPr>
      </w:pPr>
      <w:r w:rsidRPr="00FD57E1">
        <w:rPr>
          <w:rFonts w:ascii="Arial" w:hAnsi="Arial" w:cs="Arial"/>
          <w:sz w:val="24"/>
          <w:szCs w:val="24"/>
        </w:rPr>
        <w:t>Developing leaders and connecting people</w:t>
      </w:r>
    </w:p>
    <w:p w:rsidR="00D53EE4" w:rsidRPr="00FD57E1" w:rsidRDefault="00D53EE4" w:rsidP="00D53EE4">
      <w:pPr>
        <w:pStyle w:val="ListParagraph"/>
        <w:numPr>
          <w:ilvl w:val="0"/>
          <w:numId w:val="19"/>
        </w:numPr>
        <w:contextualSpacing/>
        <w:jc w:val="left"/>
        <w:rPr>
          <w:rFonts w:ascii="Arial" w:hAnsi="Arial" w:cs="Arial"/>
          <w:sz w:val="24"/>
          <w:szCs w:val="24"/>
        </w:rPr>
      </w:pPr>
      <w:r w:rsidRPr="00FD57E1">
        <w:rPr>
          <w:rFonts w:ascii="Arial" w:hAnsi="Arial" w:cs="Arial"/>
          <w:sz w:val="24"/>
          <w:szCs w:val="24"/>
        </w:rPr>
        <w:t>Sustainability: becoming ‘Net Positive’</w:t>
      </w:r>
    </w:p>
    <w:p w:rsidR="00D53EE4" w:rsidRPr="00FD57E1" w:rsidRDefault="00D53EE4" w:rsidP="00D53EE4">
      <w:pPr>
        <w:contextualSpacing/>
        <w:jc w:val="left"/>
        <w:rPr>
          <w:rFonts w:ascii="Arial" w:hAnsi="Arial" w:cs="Arial"/>
          <w:color w:val="FF0000"/>
          <w:sz w:val="24"/>
          <w:szCs w:val="24"/>
        </w:rPr>
      </w:pPr>
    </w:p>
    <w:p w:rsidR="0067703E" w:rsidRDefault="00D53EE4" w:rsidP="009633E5">
      <w:pPr>
        <w:jc w:val="left"/>
        <w:rPr>
          <w:rFonts w:ascii="Arial" w:hAnsi="Arial" w:cs="Arial"/>
          <w:sz w:val="24"/>
          <w:szCs w:val="24"/>
        </w:rPr>
      </w:pPr>
      <w:r w:rsidRPr="006A0C08">
        <w:rPr>
          <w:rFonts w:ascii="Arial" w:hAnsi="Arial" w:cs="Arial"/>
          <w:sz w:val="24"/>
          <w:szCs w:val="24"/>
        </w:rPr>
        <w:t xml:space="preserve">Further details on progress will be given with the </w:t>
      </w:r>
      <w:r>
        <w:rPr>
          <w:rFonts w:ascii="Arial" w:hAnsi="Arial" w:cs="Arial"/>
          <w:sz w:val="24"/>
          <w:szCs w:val="24"/>
        </w:rPr>
        <w:t>interim</w:t>
      </w:r>
      <w:r w:rsidRPr="006A0C08">
        <w:rPr>
          <w:rFonts w:ascii="Arial" w:hAnsi="Arial" w:cs="Arial"/>
          <w:sz w:val="24"/>
          <w:szCs w:val="24"/>
        </w:rPr>
        <w:t xml:space="preserve"> results</w:t>
      </w:r>
      <w:r w:rsidR="00A80BFB">
        <w:rPr>
          <w:rFonts w:ascii="Arial" w:hAnsi="Arial" w:cs="Arial"/>
          <w:sz w:val="24"/>
          <w:szCs w:val="24"/>
        </w:rPr>
        <w:t xml:space="preserve"> </w:t>
      </w:r>
      <w:r w:rsidR="0067703E">
        <w:rPr>
          <w:rFonts w:ascii="Arial" w:hAnsi="Arial" w:cs="Arial"/>
          <w:sz w:val="24"/>
          <w:szCs w:val="24"/>
        </w:rPr>
        <w:t xml:space="preserve">for the half year ended 2 August 2014 </w:t>
      </w:r>
      <w:r w:rsidR="00A80BFB">
        <w:rPr>
          <w:rFonts w:ascii="Arial" w:hAnsi="Arial" w:cs="Arial"/>
          <w:sz w:val="24"/>
          <w:szCs w:val="24"/>
        </w:rPr>
        <w:t>on 1</w:t>
      </w:r>
      <w:r w:rsidR="0067703E">
        <w:rPr>
          <w:rFonts w:ascii="Arial" w:hAnsi="Arial" w:cs="Arial"/>
          <w:sz w:val="24"/>
          <w:szCs w:val="24"/>
        </w:rPr>
        <w:t>0</w:t>
      </w:r>
      <w:r w:rsidR="00A80BFB">
        <w:rPr>
          <w:rFonts w:ascii="Arial" w:hAnsi="Arial" w:cs="Arial"/>
          <w:sz w:val="24"/>
          <w:szCs w:val="24"/>
          <w:vertAlign w:val="superscript"/>
        </w:rPr>
        <w:t xml:space="preserve"> </w:t>
      </w:r>
      <w:r w:rsidR="00A80BFB">
        <w:rPr>
          <w:rFonts w:ascii="Arial" w:hAnsi="Arial" w:cs="Arial"/>
          <w:sz w:val="24"/>
          <w:szCs w:val="24"/>
        </w:rPr>
        <w:t>September 201</w:t>
      </w:r>
      <w:r w:rsidR="0067703E">
        <w:rPr>
          <w:rFonts w:ascii="Arial" w:hAnsi="Arial" w:cs="Arial"/>
          <w:sz w:val="24"/>
          <w:szCs w:val="24"/>
        </w:rPr>
        <w:t>4.</w:t>
      </w:r>
    </w:p>
    <w:p w:rsidR="0067703E" w:rsidRDefault="0067703E" w:rsidP="009633E5">
      <w:pPr>
        <w:jc w:val="left"/>
        <w:rPr>
          <w:rFonts w:ascii="Arial" w:hAnsi="Arial" w:cs="Arial"/>
          <w:sz w:val="24"/>
          <w:szCs w:val="24"/>
        </w:rPr>
      </w:pPr>
    </w:p>
    <w:p w:rsidR="0067703E" w:rsidRPr="00334ED3" w:rsidRDefault="0067703E" w:rsidP="0067703E">
      <w:pPr>
        <w:jc w:val="left"/>
        <w:rPr>
          <w:rFonts w:ascii="Arial" w:hAnsi="Arial" w:cs="Arial"/>
          <w:caps/>
          <w:sz w:val="24"/>
          <w:szCs w:val="24"/>
        </w:rPr>
      </w:pPr>
      <w:r w:rsidRPr="00334ED3">
        <w:rPr>
          <w:rFonts w:ascii="Arial" w:hAnsi="Arial" w:cs="Arial"/>
          <w:b/>
          <w:bCs/>
          <w:caps/>
          <w:sz w:val="24"/>
          <w:szCs w:val="24"/>
        </w:rPr>
        <w:t>Company Profile</w:t>
      </w:r>
      <w:r w:rsidR="00BC2F8A">
        <w:rPr>
          <w:rFonts w:ascii="Arial" w:hAnsi="Arial" w:cs="Arial"/>
          <w:b/>
          <w:bCs/>
          <w:caps/>
          <w:sz w:val="24"/>
          <w:szCs w:val="24"/>
        </w:rPr>
        <w:t xml:space="preserve"> (as at the end of Q1 2014/15)</w:t>
      </w:r>
    </w:p>
    <w:p w:rsidR="0067703E" w:rsidRPr="00791B66" w:rsidRDefault="0067703E" w:rsidP="0067703E">
      <w:pPr>
        <w:jc w:val="left"/>
        <w:rPr>
          <w:rFonts w:ascii="Arial" w:hAnsi="Arial" w:cs="Arial"/>
          <w:sz w:val="24"/>
          <w:szCs w:val="24"/>
        </w:rPr>
      </w:pPr>
    </w:p>
    <w:p w:rsidR="0067703E" w:rsidRPr="00A1426F" w:rsidRDefault="0067703E" w:rsidP="0067703E">
      <w:pPr>
        <w:autoSpaceDE w:val="0"/>
        <w:autoSpaceDN w:val="0"/>
        <w:adjustRightInd w:val="0"/>
        <w:jc w:val="left"/>
        <w:rPr>
          <w:rFonts w:ascii="Arial" w:hAnsi="Arial" w:cs="Arial"/>
          <w:sz w:val="24"/>
          <w:szCs w:val="24"/>
        </w:rPr>
      </w:pPr>
      <w:r w:rsidRPr="00A1426F">
        <w:rPr>
          <w:rFonts w:ascii="Arial" w:hAnsi="Arial" w:cs="Arial"/>
          <w:b/>
          <w:bCs/>
          <w:sz w:val="24"/>
          <w:szCs w:val="24"/>
        </w:rPr>
        <w:t xml:space="preserve">Kingfisher plc </w:t>
      </w:r>
      <w:r w:rsidRPr="00A1426F">
        <w:rPr>
          <w:rFonts w:ascii="Arial" w:hAnsi="Arial" w:cs="Arial"/>
          <w:sz w:val="24"/>
          <w:szCs w:val="24"/>
        </w:rPr>
        <w:t>is Europe’s leading home improvement retail group and the third largest in</w:t>
      </w:r>
    </w:p>
    <w:p w:rsidR="004D3C7E" w:rsidRDefault="0067703E" w:rsidP="009633E5">
      <w:pPr>
        <w:jc w:val="left"/>
        <w:rPr>
          <w:rFonts w:ascii="Arial" w:hAnsi="Arial" w:cs="Arial"/>
          <w:b/>
          <w:sz w:val="24"/>
          <w:szCs w:val="24"/>
        </w:rPr>
      </w:pPr>
      <w:r w:rsidRPr="00A1426F">
        <w:rPr>
          <w:rFonts w:ascii="Arial" w:hAnsi="Arial" w:cs="Arial"/>
          <w:sz w:val="24"/>
          <w:szCs w:val="24"/>
        </w:rPr>
        <w:t>the world</w:t>
      </w:r>
      <w:r w:rsidRPr="00F0537C">
        <w:rPr>
          <w:rFonts w:ascii="Arial" w:hAnsi="Arial" w:cs="Arial"/>
          <w:sz w:val="24"/>
          <w:szCs w:val="24"/>
        </w:rPr>
        <w:t>, with 1,13</w:t>
      </w:r>
      <w:r>
        <w:rPr>
          <w:rFonts w:ascii="Arial" w:hAnsi="Arial" w:cs="Arial"/>
          <w:sz w:val="24"/>
          <w:szCs w:val="24"/>
        </w:rPr>
        <w:t>4</w:t>
      </w:r>
      <w:r w:rsidRPr="00F0537C">
        <w:rPr>
          <w:rFonts w:ascii="Arial" w:hAnsi="Arial" w:cs="Arial"/>
          <w:sz w:val="24"/>
          <w:szCs w:val="24"/>
        </w:rPr>
        <w:t xml:space="preserve"> st</w:t>
      </w:r>
      <w:bookmarkStart w:id="0" w:name="_GoBack"/>
      <w:bookmarkEnd w:id="0"/>
      <w:r w:rsidRPr="00F0537C">
        <w:rPr>
          <w:rFonts w:ascii="Arial" w:hAnsi="Arial" w:cs="Arial"/>
          <w:sz w:val="24"/>
          <w:szCs w:val="24"/>
        </w:rPr>
        <w:t>ores</w:t>
      </w:r>
      <w:r w:rsidRPr="00A1426F">
        <w:rPr>
          <w:rFonts w:ascii="Arial" w:hAnsi="Arial" w:cs="Arial"/>
          <w:sz w:val="24"/>
          <w:szCs w:val="24"/>
        </w:rPr>
        <w:t xml:space="preserve"> in nine countries in Europe and Asia. Its main retail brands are</w:t>
      </w:r>
      <w:r>
        <w:rPr>
          <w:rFonts w:ascii="Arial" w:hAnsi="Arial" w:cs="Arial"/>
          <w:sz w:val="24"/>
          <w:szCs w:val="24"/>
        </w:rPr>
        <w:t xml:space="preserve"> </w:t>
      </w:r>
      <w:r w:rsidRPr="00A1426F">
        <w:rPr>
          <w:rFonts w:ascii="Arial" w:hAnsi="Arial" w:cs="Arial"/>
          <w:sz w:val="24"/>
          <w:szCs w:val="24"/>
        </w:rPr>
        <w:t>B&amp;Q, Castorama, Brico Dépôt and Screwfix. Kingfisher also operates the Koçtaş brand, a</w:t>
      </w:r>
      <w:r>
        <w:rPr>
          <w:rFonts w:ascii="Arial" w:hAnsi="Arial" w:cs="Arial"/>
          <w:sz w:val="24"/>
          <w:szCs w:val="24"/>
        </w:rPr>
        <w:t xml:space="preserve"> </w:t>
      </w:r>
      <w:r w:rsidRPr="00A1426F">
        <w:rPr>
          <w:rFonts w:ascii="Arial" w:hAnsi="Arial" w:cs="Arial"/>
          <w:sz w:val="24"/>
          <w:szCs w:val="24"/>
        </w:rPr>
        <w:t>50% joint venture in Turkey with the Koç Group.</w:t>
      </w:r>
      <w:r>
        <w:rPr>
          <w:rFonts w:ascii="Arial" w:hAnsi="Arial" w:cs="Arial"/>
          <w:sz w:val="24"/>
          <w:szCs w:val="24"/>
        </w:rPr>
        <w:t xml:space="preserve"> </w:t>
      </w:r>
    </w:p>
    <w:p w:rsidR="0067703E" w:rsidRDefault="0067703E" w:rsidP="009633E5">
      <w:pPr>
        <w:jc w:val="left"/>
        <w:rPr>
          <w:rFonts w:ascii="Arial" w:hAnsi="Arial" w:cs="Arial"/>
          <w:b/>
          <w:sz w:val="24"/>
          <w:szCs w:val="24"/>
        </w:rPr>
      </w:pPr>
    </w:p>
    <w:p w:rsidR="0067703E" w:rsidRDefault="0067703E" w:rsidP="009633E5">
      <w:pPr>
        <w:jc w:val="left"/>
        <w:rPr>
          <w:rFonts w:ascii="Arial" w:hAnsi="Arial" w:cs="Arial"/>
          <w:b/>
          <w:sz w:val="24"/>
          <w:szCs w:val="24"/>
        </w:rPr>
      </w:pPr>
      <w:r>
        <w:rPr>
          <w:rFonts w:ascii="Arial" w:hAnsi="Arial" w:cs="Arial"/>
          <w:b/>
          <w:sz w:val="24"/>
          <w:szCs w:val="24"/>
        </w:rPr>
        <w:t>ENQUIRIES</w:t>
      </w:r>
    </w:p>
    <w:p w:rsidR="0067703E" w:rsidRDefault="0067703E" w:rsidP="009633E5">
      <w:pPr>
        <w:jc w:val="left"/>
        <w:rPr>
          <w:rFonts w:ascii="Arial" w:hAnsi="Arial" w:cs="Arial"/>
          <w:b/>
          <w:sz w:val="24"/>
          <w:szCs w:val="24"/>
        </w:rPr>
      </w:pPr>
    </w:p>
    <w:tbl>
      <w:tblPr>
        <w:tblW w:w="4839"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06"/>
        <w:gridCol w:w="2615"/>
      </w:tblGrid>
      <w:tr w:rsidR="009633E5" w:rsidRPr="00791B66" w:rsidTr="00CD67B3">
        <w:tc>
          <w:tcPr>
            <w:tcW w:w="3597" w:type="pct"/>
            <w:tcBorders>
              <w:top w:val="single" w:sz="4" w:space="0" w:color="auto"/>
            </w:tcBorders>
          </w:tcPr>
          <w:p w:rsidR="009633E5" w:rsidRPr="00791B66" w:rsidRDefault="009633E5" w:rsidP="00CD67B3">
            <w:pPr>
              <w:jc w:val="left"/>
              <w:rPr>
                <w:rFonts w:ascii="Arial" w:hAnsi="Arial" w:cs="Arial"/>
                <w:sz w:val="24"/>
                <w:szCs w:val="24"/>
              </w:rPr>
            </w:pPr>
            <w:r w:rsidRPr="00791B66">
              <w:rPr>
                <w:rFonts w:ascii="Arial" w:hAnsi="Arial" w:cs="Arial"/>
                <w:sz w:val="24"/>
                <w:szCs w:val="24"/>
              </w:rPr>
              <w:t>Ian Harding, Group Communications Director</w:t>
            </w:r>
          </w:p>
        </w:tc>
        <w:tc>
          <w:tcPr>
            <w:tcW w:w="1403" w:type="pct"/>
            <w:tcBorders>
              <w:top w:val="single" w:sz="4" w:space="0" w:color="auto"/>
            </w:tcBorders>
          </w:tcPr>
          <w:p w:rsidR="009633E5" w:rsidRPr="00791B66" w:rsidRDefault="0067703E" w:rsidP="00CD67B3">
            <w:pPr>
              <w:jc w:val="right"/>
              <w:rPr>
                <w:rFonts w:ascii="Arial" w:hAnsi="Arial" w:cs="Arial"/>
                <w:sz w:val="24"/>
                <w:szCs w:val="24"/>
              </w:rPr>
            </w:pPr>
            <w:r>
              <w:rPr>
                <w:rFonts w:ascii="Arial" w:hAnsi="Arial" w:cs="Arial"/>
                <w:sz w:val="24"/>
                <w:szCs w:val="24"/>
              </w:rPr>
              <w:t xml:space="preserve">+44 (0) </w:t>
            </w:r>
            <w:r w:rsidR="009633E5" w:rsidRPr="00791B66">
              <w:rPr>
                <w:rFonts w:ascii="Arial" w:hAnsi="Arial" w:cs="Arial"/>
                <w:sz w:val="24"/>
                <w:szCs w:val="24"/>
              </w:rPr>
              <w:t>20 7644 1029</w:t>
            </w:r>
          </w:p>
        </w:tc>
      </w:tr>
      <w:tr w:rsidR="009633E5" w:rsidRPr="00791B66" w:rsidTr="00CD67B3">
        <w:trPr>
          <w:trHeight w:val="70"/>
        </w:trPr>
        <w:tc>
          <w:tcPr>
            <w:tcW w:w="3597" w:type="pct"/>
          </w:tcPr>
          <w:p w:rsidR="009633E5" w:rsidRPr="00791B66" w:rsidRDefault="009633E5" w:rsidP="00CD67B3">
            <w:pPr>
              <w:jc w:val="left"/>
              <w:rPr>
                <w:rFonts w:ascii="Arial" w:hAnsi="Arial" w:cs="Arial"/>
                <w:sz w:val="24"/>
                <w:szCs w:val="24"/>
              </w:rPr>
            </w:pPr>
          </w:p>
        </w:tc>
        <w:tc>
          <w:tcPr>
            <w:tcW w:w="1403" w:type="pct"/>
          </w:tcPr>
          <w:p w:rsidR="009633E5" w:rsidRPr="00791B66" w:rsidRDefault="009633E5" w:rsidP="00CD67B3">
            <w:pPr>
              <w:jc w:val="right"/>
              <w:rPr>
                <w:rFonts w:ascii="Arial" w:hAnsi="Arial" w:cs="Arial"/>
                <w:sz w:val="24"/>
                <w:szCs w:val="24"/>
              </w:rPr>
            </w:pPr>
          </w:p>
        </w:tc>
      </w:tr>
      <w:tr w:rsidR="009633E5" w:rsidRPr="00791B66" w:rsidTr="00CD67B3">
        <w:tc>
          <w:tcPr>
            <w:tcW w:w="3597" w:type="pct"/>
          </w:tcPr>
          <w:p w:rsidR="009633E5" w:rsidRPr="00791B66" w:rsidRDefault="009633E5" w:rsidP="00CD67B3">
            <w:pPr>
              <w:jc w:val="left"/>
              <w:rPr>
                <w:rFonts w:ascii="Arial" w:hAnsi="Arial" w:cs="Arial"/>
                <w:sz w:val="24"/>
                <w:szCs w:val="24"/>
              </w:rPr>
            </w:pPr>
            <w:r w:rsidRPr="00791B66">
              <w:rPr>
                <w:rFonts w:ascii="Arial" w:hAnsi="Arial" w:cs="Arial"/>
                <w:sz w:val="24"/>
                <w:szCs w:val="24"/>
              </w:rPr>
              <w:t xml:space="preserve">Sarah </w:t>
            </w:r>
            <w:r>
              <w:rPr>
                <w:rFonts w:ascii="Arial" w:hAnsi="Arial" w:cs="Arial"/>
                <w:sz w:val="24"/>
                <w:szCs w:val="24"/>
              </w:rPr>
              <w:t>Levy</w:t>
            </w:r>
            <w:r w:rsidRPr="00791B66">
              <w:rPr>
                <w:rFonts w:ascii="Arial" w:hAnsi="Arial" w:cs="Arial"/>
                <w:sz w:val="24"/>
                <w:szCs w:val="24"/>
              </w:rPr>
              <w:t xml:space="preserve">, </w:t>
            </w:r>
            <w:r w:rsidR="00BC07E0">
              <w:rPr>
                <w:rFonts w:ascii="Arial" w:hAnsi="Arial" w:cs="Arial"/>
                <w:sz w:val="24"/>
                <w:szCs w:val="24"/>
              </w:rPr>
              <w:t>Director</w:t>
            </w:r>
            <w:r w:rsidRPr="00791B66">
              <w:rPr>
                <w:rFonts w:ascii="Arial" w:hAnsi="Arial" w:cs="Arial"/>
                <w:sz w:val="24"/>
                <w:szCs w:val="24"/>
              </w:rPr>
              <w:t xml:space="preserve"> of Investor Relations</w:t>
            </w:r>
          </w:p>
        </w:tc>
        <w:tc>
          <w:tcPr>
            <w:tcW w:w="1403" w:type="pct"/>
          </w:tcPr>
          <w:p w:rsidR="009633E5" w:rsidRPr="00791B66" w:rsidRDefault="0067703E" w:rsidP="00E80687">
            <w:pPr>
              <w:jc w:val="right"/>
              <w:rPr>
                <w:rFonts w:ascii="Arial" w:hAnsi="Arial" w:cs="Arial"/>
                <w:sz w:val="24"/>
                <w:szCs w:val="24"/>
              </w:rPr>
            </w:pPr>
            <w:r>
              <w:rPr>
                <w:rFonts w:ascii="Arial" w:hAnsi="Arial" w:cs="Arial"/>
                <w:sz w:val="24"/>
                <w:szCs w:val="24"/>
              </w:rPr>
              <w:t xml:space="preserve">+44 (0) </w:t>
            </w:r>
            <w:r w:rsidR="009633E5" w:rsidRPr="00791B66">
              <w:rPr>
                <w:rFonts w:ascii="Arial" w:hAnsi="Arial" w:cs="Arial"/>
                <w:sz w:val="24"/>
                <w:szCs w:val="24"/>
              </w:rPr>
              <w:t>20 7644 1032</w:t>
            </w:r>
          </w:p>
        </w:tc>
      </w:tr>
      <w:tr w:rsidR="009633E5" w:rsidRPr="00791B66" w:rsidTr="00CD67B3">
        <w:tc>
          <w:tcPr>
            <w:tcW w:w="3597" w:type="pct"/>
          </w:tcPr>
          <w:p w:rsidR="009633E5" w:rsidRPr="00791B66" w:rsidRDefault="009633E5" w:rsidP="00CD67B3">
            <w:pPr>
              <w:jc w:val="left"/>
              <w:rPr>
                <w:rFonts w:ascii="Arial" w:hAnsi="Arial" w:cs="Arial"/>
                <w:sz w:val="24"/>
                <w:szCs w:val="24"/>
              </w:rPr>
            </w:pPr>
          </w:p>
        </w:tc>
        <w:tc>
          <w:tcPr>
            <w:tcW w:w="1403" w:type="pct"/>
          </w:tcPr>
          <w:p w:rsidR="009633E5" w:rsidRPr="00791B66" w:rsidRDefault="009633E5" w:rsidP="00CD67B3">
            <w:pPr>
              <w:jc w:val="right"/>
              <w:rPr>
                <w:rFonts w:ascii="Arial" w:hAnsi="Arial" w:cs="Arial"/>
                <w:sz w:val="24"/>
                <w:szCs w:val="24"/>
              </w:rPr>
            </w:pPr>
          </w:p>
        </w:tc>
      </w:tr>
      <w:tr w:rsidR="009633E5" w:rsidRPr="00791B66" w:rsidTr="00CD67B3">
        <w:tc>
          <w:tcPr>
            <w:tcW w:w="3597" w:type="pct"/>
          </w:tcPr>
          <w:p w:rsidR="009633E5" w:rsidRPr="00791B66" w:rsidRDefault="009633E5" w:rsidP="00CD67B3">
            <w:pPr>
              <w:jc w:val="left"/>
              <w:rPr>
                <w:rFonts w:ascii="Arial" w:hAnsi="Arial" w:cs="Arial"/>
                <w:sz w:val="24"/>
                <w:szCs w:val="24"/>
              </w:rPr>
            </w:pPr>
            <w:r w:rsidRPr="00791B66">
              <w:rPr>
                <w:rFonts w:ascii="Arial" w:hAnsi="Arial" w:cs="Arial"/>
                <w:sz w:val="24"/>
                <w:szCs w:val="24"/>
              </w:rPr>
              <w:t xml:space="preserve">Nigel Cope, Head of </w:t>
            </w:r>
            <w:r>
              <w:rPr>
                <w:rFonts w:ascii="Arial" w:hAnsi="Arial" w:cs="Arial"/>
                <w:sz w:val="24"/>
                <w:szCs w:val="24"/>
              </w:rPr>
              <w:t>Media Relations</w:t>
            </w:r>
          </w:p>
        </w:tc>
        <w:tc>
          <w:tcPr>
            <w:tcW w:w="1403" w:type="pct"/>
          </w:tcPr>
          <w:p w:rsidR="009633E5" w:rsidRPr="00791B66" w:rsidRDefault="0067703E" w:rsidP="00E80687">
            <w:pPr>
              <w:jc w:val="right"/>
              <w:rPr>
                <w:rFonts w:ascii="Arial" w:hAnsi="Arial" w:cs="Arial"/>
                <w:sz w:val="24"/>
                <w:szCs w:val="24"/>
              </w:rPr>
            </w:pPr>
            <w:r>
              <w:rPr>
                <w:rFonts w:ascii="Arial" w:hAnsi="Arial" w:cs="Arial"/>
                <w:sz w:val="24"/>
                <w:szCs w:val="24"/>
              </w:rPr>
              <w:t xml:space="preserve">+44 (0) </w:t>
            </w:r>
            <w:r w:rsidR="009633E5" w:rsidRPr="00791B66">
              <w:rPr>
                <w:rFonts w:ascii="Arial" w:hAnsi="Arial" w:cs="Arial"/>
                <w:sz w:val="24"/>
                <w:szCs w:val="24"/>
              </w:rPr>
              <w:t>20 7644 1030</w:t>
            </w:r>
          </w:p>
        </w:tc>
      </w:tr>
      <w:tr w:rsidR="009633E5" w:rsidTr="00CD67B3">
        <w:tc>
          <w:tcPr>
            <w:tcW w:w="3597" w:type="pct"/>
          </w:tcPr>
          <w:p w:rsidR="009633E5" w:rsidRDefault="009633E5" w:rsidP="00CD67B3">
            <w:pPr>
              <w:tabs>
                <w:tab w:val="left" w:pos="4455"/>
              </w:tabs>
              <w:jc w:val="left"/>
              <w:rPr>
                <w:rFonts w:ascii="Arial" w:hAnsi="Arial" w:cs="Arial"/>
                <w:sz w:val="24"/>
                <w:szCs w:val="24"/>
              </w:rPr>
            </w:pPr>
          </w:p>
        </w:tc>
        <w:tc>
          <w:tcPr>
            <w:tcW w:w="1403" w:type="pct"/>
          </w:tcPr>
          <w:p w:rsidR="009633E5" w:rsidRDefault="009633E5" w:rsidP="00CD67B3">
            <w:pPr>
              <w:jc w:val="right"/>
              <w:rPr>
                <w:rFonts w:ascii="Arial" w:hAnsi="Arial" w:cs="Arial"/>
                <w:sz w:val="24"/>
                <w:szCs w:val="24"/>
              </w:rPr>
            </w:pPr>
          </w:p>
        </w:tc>
      </w:tr>
      <w:tr w:rsidR="009633E5" w:rsidTr="00CD67B3">
        <w:tc>
          <w:tcPr>
            <w:tcW w:w="3597" w:type="pct"/>
          </w:tcPr>
          <w:p w:rsidR="009633E5" w:rsidRDefault="009633E5" w:rsidP="00B2223C">
            <w:pPr>
              <w:tabs>
                <w:tab w:val="left" w:pos="4455"/>
              </w:tabs>
              <w:jc w:val="left"/>
              <w:rPr>
                <w:rFonts w:ascii="Arial" w:hAnsi="Arial" w:cs="Arial"/>
                <w:sz w:val="24"/>
                <w:szCs w:val="24"/>
              </w:rPr>
            </w:pPr>
            <w:r>
              <w:rPr>
                <w:rFonts w:ascii="Arial" w:hAnsi="Arial" w:cs="Arial"/>
                <w:sz w:val="24"/>
                <w:szCs w:val="24"/>
              </w:rPr>
              <w:t xml:space="preserve">Clare </w:t>
            </w:r>
            <w:r w:rsidR="00BC2F8A">
              <w:rPr>
                <w:rFonts w:ascii="Arial" w:hAnsi="Arial" w:cs="Arial"/>
                <w:sz w:val="24"/>
                <w:szCs w:val="24"/>
              </w:rPr>
              <w:t>Feast</w:t>
            </w:r>
            <w:r>
              <w:rPr>
                <w:rFonts w:ascii="Arial" w:hAnsi="Arial" w:cs="Arial"/>
                <w:sz w:val="24"/>
                <w:szCs w:val="24"/>
              </w:rPr>
              <w:t xml:space="preserve">, </w:t>
            </w:r>
            <w:r w:rsidRPr="00681D2B">
              <w:rPr>
                <w:rFonts w:ascii="Arial" w:hAnsi="Arial" w:cs="Arial"/>
                <w:sz w:val="24"/>
                <w:szCs w:val="24"/>
              </w:rPr>
              <w:t xml:space="preserve">Media Relations </w:t>
            </w:r>
            <w:r w:rsidR="00B2223C">
              <w:rPr>
                <w:rFonts w:ascii="Arial" w:hAnsi="Arial" w:cs="Arial"/>
                <w:sz w:val="24"/>
                <w:szCs w:val="24"/>
              </w:rPr>
              <w:t>Manager</w:t>
            </w:r>
          </w:p>
        </w:tc>
        <w:tc>
          <w:tcPr>
            <w:tcW w:w="1403" w:type="pct"/>
          </w:tcPr>
          <w:p w:rsidR="009633E5" w:rsidRDefault="0067703E" w:rsidP="00E80687">
            <w:pPr>
              <w:jc w:val="right"/>
              <w:rPr>
                <w:rFonts w:ascii="Arial" w:hAnsi="Arial" w:cs="Arial"/>
                <w:sz w:val="24"/>
                <w:szCs w:val="24"/>
              </w:rPr>
            </w:pPr>
            <w:r>
              <w:rPr>
                <w:rFonts w:ascii="Arial" w:hAnsi="Arial" w:cs="Arial"/>
                <w:sz w:val="24"/>
                <w:szCs w:val="24"/>
              </w:rPr>
              <w:t xml:space="preserve">+44 (0) </w:t>
            </w:r>
            <w:r w:rsidR="009633E5">
              <w:rPr>
                <w:rFonts w:ascii="Arial" w:hAnsi="Arial" w:cs="Arial"/>
                <w:sz w:val="24"/>
                <w:szCs w:val="24"/>
              </w:rPr>
              <w:t>20 7644 1286</w:t>
            </w:r>
          </w:p>
        </w:tc>
      </w:tr>
      <w:tr w:rsidR="009633E5" w:rsidTr="00CD67B3">
        <w:tc>
          <w:tcPr>
            <w:tcW w:w="3597" w:type="pct"/>
          </w:tcPr>
          <w:p w:rsidR="009633E5" w:rsidRDefault="009633E5" w:rsidP="00CD67B3">
            <w:pPr>
              <w:jc w:val="left"/>
              <w:rPr>
                <w:rFonts w:ascii="Arial" w:hAnsi="Arial" w:cs="Arial"/>
                <w:sz w:val="24"/>
                <w:szCs w:val="24"/>
              </w:rPr>
            </w:pPr>
          </w:p>
        </w:tc>
        <w:tc>
          <w:tcPr>
            <w:tcW w:w="1403" w:type="pct"/>
          </w:tcPr>
          <w:p w:rsidR="009633E5" w:rsidRDefault="009633E5" w:rsidP="00CD67B3">
            <w:pPr>
              <w:jc w:val="right"/>
              <w:rPr>
                <w:rFonts w:ascii="Arial" w:hAnsi="Arial" w:cs="Arial"/>
                <w:sz w:val="24"/>
                <w:szCs w:val="24"/>
              </w:rPr>
            </w:pPr>
          </w:p>
        </w:tc>
      </w:tr>
      <w:tr w:rsidR="009633E5" w:rsidRPr="00791B66" w:rsidTr="00CD67B3">
        <w:tc>
          <w:tcPr>
            <w:tcW w:w="3597" w:type="pct"/>
            <w:tcBorders>
              <w:bottom w:val="single" w:sz="4" w:space="0" w:color="auto"/>
            </w:tcBorders>
          </w:tcPr>
          <w:p w:rsidR="009633E5" w:rsidRPr="00791B66" w:rsidRDefault="009633E5" w:rsidP="00CD67B3">
            <w:pPr>
              <w:jc w:val="left"/>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Brunswick</w:t>
                </w:r>
              </w:smartTag>
            </w:smartTag>
          </w:p>
        </w:tc>
        <w:tc>
          <w:tcPr>
            <w:tcW w:w="1403" w:type="pct"/>
            <w:tcBorders>
              <w:bottom w:val="single" w:sz="4" w:space="0" w:color="auto"/>
            </w:tcBorders>
          </w:tcPr>
          <w:p w:rsidR="009633E5" w:rsidRPr="00791B66" w:rsidRDefault="0067703E" w:rsidP="00E80687">
            <w:pPr>
              <w:jc w:val="right"/>
              <w:rPr>
                <w:rFonts w:ascii="Arial" w:hAnsi="Arial" w:cs="Arial"/>
                <w:sz w:val="24"/>
                <w:szCs w:val="24"/>
              </w:rPr>
            </w:pPr>
            <w:r>
              <w:rPr>
                <w:rFonts w:ascii="Arial" w:hAnsi="Arial" w:cs="Arial"/>
                <w:sz w:val="24"/>
                <w:szCs w:val="24"/>
              </w:rPr>
              <w:t xml:space="preserve">+44 (0) </w:t>
            </w:r>
            <w:r w:rsidR="009633E5">
              <w:rPr>
                <w:rFonts w:ascii="Arial" w:hAnsi="Arial" w:cs="Arial"/>
                <w:sz w:val="24"/>
                <w:szCs w:val="24"/>
              </w:rPr>
              <w:t>20 7404 5959</w:t>
            </w:r>
          </w:p>
        </w:tc>
      </w:tr>
    </w:tbl>
    <w:p w:rsidR="00C6289C" w:rsidRPr="009633E5" w:rsidRDefault="00C6289C" w:rsidP="009633E5">
      <w:pPr>
        <w:jc w:val="left"/>
        <w:rPr>
          <w:rFonts w:ascii="Arial" w:hAnsi="Arial" w:cs="Arial"/>
          <w:sz w:val="24"/>
          <w:szCs w:val="24"/>
        </w:rPr>
      </w:pPr>
    </w:p>
    <w:p w:rsidR="009633E5" w:rsidRPr="00791B66" w:rsidRDefault="009633E5" w:rsidP="009633E5">
      <w:pPr>
        <w:jc w:val="left"/>
        <w:rPr>
          <w:rFonts w:ascii="Arial" w:hAnsi="Arial" w:cs="Arial"/>
          <w:sz w:val="24"/>
          <w:szCs w:val="24"/>
        </w:rPr>
      </w:pPr>
      <w:r w:rsidRPr="00791B66">
        <w:rPr>
          <w:rFonts w:ascii="Arial" w:hAnsi="Arial" w:cs="Arial"/>
          <w:sz w:val="24"/>
          <w:szCs w:val="24"/>
        </w:rPr>
        <w:lastRenderedPageBreak/>
        <w:t xml:space="preserve">Further copies of this announcement can be downloaded from </w:t>
      </w:r>
      <w:hyperlink r:id="rId8" w:history="1">
        <w:r w:rsidRPr="00791B66">
          <w:rPr>
            <w:rStyle w:val="Hyperlink"/>
            <w:rFonts w:ascii="Arial" w:hAnsi="Arial" w:cs="Arial"/>
            <w:sz w:val="24"/>
            <w:szCs w:val="24"/>
          </w:rPr>
          <w:t>www.kingfisher.com</w:t>
        </w:r>
      </w:hyperlink>
      <w:r>
        <w:rPr>
          <w:rFonts w:ascii="Arial" w:hAnsi="Arial" w:cs="Arial"/>
          <w:sz w:val="24"/>
          <w:szCs w:val="24"/>
        </w:rPr>
        <w:t xml:space="preserve"> or viewed on the Kingfisher IR iPad App available for free at the Apple App store. </w:t>
      </w:r>
    </w:p>
    <w:p w:rsidR="00316FAF" w:rsidRDefault="009633E5" w:rsidP="00F16BAD">
      <w:pPr>
        <w:jc w:val="left"/>
        <w:rPr>
          <w:rFonts w:ascii="Arial" w:hAnsi="Arial" w:cs="Arial"/>
          <w:sz w:val="24"/>
          <w:szCs w:val="24"/>
        </w:rPr>
      </w:pPr>
      <w:r>
        <w:rPr>
          <w:rFonts w:ascii="Arial" w:hAnsi="Arial" w:cs="Arial"/>
          <w:sz w:val="24"/>
          <w:szCs w:val="24"/>
        </w:rPr>
        <w:t>We can also be followed on twitter @kingfisherplc</w:t>
      </w:r>
      <w:r w:rsidR="0067703E">
        <w:rPr>
          <w:rFonts w:ascii="Arial" w:hAnsi="Arial" w:cs="Arial"/>
          <w:sz w:val="24"/>
          <w:szCs w:val="24"/>
        </w:rPr>
        <w:t xml:space="preserve"> </w:t>
      </w:r>
      <w:r w:rsidR="0067703E" w:rsidRPr="00E80687">
        <w:rPr>
          <w:rFonts w:ascii="Arial" w:hAnsi="Arial" w:cs="Arial"/>
          <w:sz w:val="24"/>
          <w:szCs w:val="24"/>
        </w:rPr>
        <w:t>with the Q2</w:t>
      </w:r>
      <w:r w:rsidR="0067703E" w:rsidRPr="00F7178D">
        <w:rPr>
          <w:rFonts w:ascii="Arial" w:hAnsi="Arial" w:cs="Arial"/>
          <w:sz w:val="24"/>
          <w:szCs w:val="24"/>
        </w:rPr>
        <w:t xml:space="preserve"> results tag #KGFQ</w:t>
      </w:r>
      <w:r w:rsidR="00B333EB">
        <w:rPr>
          <w:rFonts w:ascii="Arial" w:hAnsi="Arial" w:cs="Arial"/>
          <w:sz w:val="24"/>
          <w:szCs w:val="24"/>
        </w:rPr>
        <w:t>2</w:t>
      </w:r>
      <w:r w:rsidR="0067703E">
        <w:rPr>
          <w:rFonts w:ascii="Arial" w:hAnsi="Arial" w:cs="Arial"/>
          <w:sz w:val="24"/>
          <w:szCs w:val="24"/>
        </w:rPr>
        <w:t>.</w:t>
      </w:r>
    </w:p>
    <w:p w:rsidR="0067703E" w:rsidRDefault="0067703E" w:rsidP="009633E5">
      <w:pPr>
        <w:autoSpaceDE w:val="0"/>
        <w:autoSpaceDN w:val="0"/>
        <w:adjustRightInd w:val="0"/>
        <w:jc w:val="left"/>
        <w:rPr>
          <w:rFonts w:ascii="Arial" w:hAnsi="Arial" w:cs="Arial"/>
          <w:sz w:val="24"/>
          <w:szCs w:val="24"/>
        </w:rPr>
      </w:pPr>
    </w:p>
    <w:p w:rsidR="00316FAF" w:rsidRDefault="00C325C0" w:rsidP="009633E5">
      <w:pPr>
        <w:autoSpaceDE w:val="0"/>
        <w:autoSpaceDN w:val="0"/>
        <w:adjustRightInd w:val="0"/>
        <w:jc w:val="left"/>
        <w:rPr>
          <w:rFonts w:ascii="Arial" w:hAnsi="Arial" w:cs="Arial"/>
          <w:sz w:val="24"/>
          <w:szCs w:val="24"/>
        </w:rPr>
      </w:pPr>
      <w:r>
        <w:rPr>
          <w:rFonts w:ascii="Arial" w:hAnsi="Arial" w:cs="Arial"/>
          <w:sz w:val="24"/>
          <w:szCs w:val="24"/>
        </w:rPr>
        <w:t xml:space="preserve">Kingfisher </w:t>
      </w:r>
      <w:r w:rsidR="00063EF0">
        <w:rPr>
          <w:rFonts w:ascii="Arial" w:hAnsi="Arial" w:cs="Arial"/>
          <w:sz w:val="24"/>
          <w:szCs w:val="24"/>
        </w:rPr>
        <w:t xml:space="preserve">American Depository receipts are </w:t>
      </w:r>
      <w:r w:rsidR="00316FAF">
        <w:rPr>
          <w:rFonts w:ascii="Arial" w:hAnsi="Arial" w:cs="Arial"/>
          <w:sz w:val="24"/>
          <w:szCs w:val="24"/>
        </w:rPr>
        <w:t>traded in the US on the OTCQX platform:</w:t>
      </w:r>
    </w:p>
    <w:p w:rsidR="00E0421F" w:rsidRDefault="00316FAF" w:rsidP="009633E5">
      <w:pPr>
        <w:autoSpaceDE w:val="0"/>
        <w:autoSpaceDN w:val="0"/>
        <w:adjustRightInd w:val="0"/>
        <w:jc w:val="left"/>
        <w:rPr>
          <w:rFonts w:ascii="Arial" w:hAnsi="Arial" w:cs="Arial"/>
          <w:sz w:val="24"/>
          <w:szCs w:val="24"/>
        </w:rPr>
      </w:pPr>
      <w:r>
        <w:rPr>
          <w:rFonts w:ascii="Arial" w:hAnsi="Arial" w:cs="Arial"/>
          <w:sz w:val="24"/>
          <w:szCs w:val="24"/>
        </w:rPr>
        <w:t>(OTCQX: KGFHY</w:t>
      </w:r>
      <w:r w:rsidRPr="00316FAF">
        <w:rPr>
          <w:rFonts w:ascii="Arial" w:hAnsi="Arial" w:cs="Arial"/>
          <w:sz w:val="24"/>
          <w:szCs w:val="24"/>
        </w:rPr>
        <w:t>)</w:t>
      </w:r>
      <w:r>
        <w:rPr>
          <w:rFonts w:ascii="Arial" w:hAnsi="Arial" w:cs="Arial"/>
          <w:sz w:val="24"/>
          <w:szCs w:val="24"/>
        </w:rPr>
        <w:t xml:space="preserve"> </w:t>
      </w:r>
      <w:r w:rsidR="00E0421F">
        <w:rPr>
          <w:rFonts w:ascii="Arial" w:hAnsi="Arial" w:cs="Arial"/>
          <w:sz w:val="24"/>
          <w:szCs w:val="24"/>
        </w:rPr>
        <w:t xml:space="preserve"> </w:t>
      </w:r>
    </w:p>
    <w:p w:rsidR="00586BE0" w:rsidRDefault="00DD2543" w:rsidP="00F7178D">
      <w:pPr>
        <w:autoSpaceDE w:val="0"/>
        <w:autoSpaceDN w:val="0"/>
        <w:adjustRightInd w:val="0"/>
        <w:jc w:val="left"/>
        <w:rPr>
          <w:rFonts w:ascii="Arial" w:hAnsi="Arial" w:cs="Arial"/>
          <w:b/>
          <w:sz w:val="24"/>
          <w:szCs w:val="24"/>
        </w:rPr>
      </w:pPr>
      <w:hyperlink r:id="rId9" w:history="1">
        <w:r w:rsidR="00F029DE" w:rsidRPr="00C36EF8">
          <w:rPr>
            <w:rStyle w:val="Hyperlink"/>
            <w:rFonts w:ascii="Arial" w:hAnsi="Arial" w:cs="Arial"/>
            <w:sz w:val="24"/>
            <w:szCs w:val="24"/>
          </w:rPr>
          <w:t>http://www.otcmarkets.com/stock/KGFHY/quote</w:t>
        </w:r>
      </w:hyperlink>
    </w:p>
    <w:p w:rsidR="00E43137" w:rsidRDefault="00E43137" w:rsidP="00586BE0">
      <w:pPr>
        <w:jc w:val="left"/>
        <w:rPr>
          <w:rFonts w:ascii="Arial" w:hAnsi="Arial" w:cs="Arial"/>
          <w:b/>
          <w:bCs/>
          <w:sz w:val="24"/>
          <w:szCs w:val="24"/>
        </w:rPr>
      </w:pPr>
    </w:p>
    <w:p w:rsidR="00E43137" w:rsidRDefault="00E43137" w:rsidP="00586BE0">
      <w:pPr>
        <w:jc w:val="left"/>
        <w:rPr>
          <w:rFonts w:ascii="Arial" w:hAnsi="Arial" w:cs="Arial"/>
          <w:b/>
          <w:bCs/>
          <w:sz w:val="24"/>
          <w:szCs w:val="24"/>
        </w:rPr>
      </w:pPr>
    </w:p>
    <w:p w:rsidR="00586BE0" w:rsidRPr="00421ED6" w:rsidRDefault="00586BE0" w:rsidP="00586BE0">
      <w:pPr>
        <w:jc w:val="left"/>
        <w:rPr>
          <w:rFonts w:ascii="Arial" w:hAnsi="Arial" w:cs="Arial"/>
          <w:sz w:val="24"/>
          <w:szCs w:val="24"/>
        </w:rPr>
      </w:pPr>
      <w:r w:rsidRPr="00A04F66">
        <w:rPr>
          <w:rFonts w:ascii="Arial" w:hAnsi="Arial" w:cs="Arial"/>
          <w:b/>
          <w:bCs/>
          <w:sz w:val="24"/>
          <w:szCs w:val="24"/>
        </w:rPr>
        <w:t>GLOSSARY (terms are listed in alphabetical order)</w:t>
      </w:r>
    </w:p>
    <w:p w:rsidR="00586BE0" w:rsidRPr="00A04F66" w:rsidRDefault="00586BE0" w:rsidP="00586BE0">
      <w:pPr>
        <w:jc w:val="left"/>
        <w:rPr>
          <w:rFonts w:ascii="Arial" w:hAnsi="Arial" w:cs="Arial"/>
          <w:b/>
          <w:iCs/>
          <w:sz w:val="24"/>
          <w:szCs w:val="24"/>
        </w:rPr>
      </w:pPr>
    </w:p>
    <w:p w:rsidR="00F60DF9" w:rsidRDefault="00F60DF9" w:rsidP="00F60DF9">
      <w:pPr>
        <w:jc w:val="left"/>
        <w:rPr>
          <w:rFonts w:ascii="Arial" w:hAnsi="Arial" w:cs="Arial"/>
          <w:iCs/>
          <w:sz w:val="24"/>
          <w:szCs w:val="24"/>
        </w:rPr>
      </w:pPr>
      <w:r w:rsidRPr="00DF79C4">
        <w:rPr>
          <w:rFonts w:ascii="Arial" w:hAnsi="Arial" w:cs="Arial"/>
          <w:b/>
          <w:iCs/>
          <w:sz w:val="24"/>
          <w:szCs w:val="24"/>
        </w:rPr>
        <w:t xml:space="preserve">Banque de France </w:t>
      </w:r>
      <w:r w:rsidRPr="00DF79C4">
        <w:rPr>
          <w:rFonts w:ascii="Arial" w:hAnsi="Arial" w:cs="Arial"/>
          <w:iCs/>
          <w:sz w:val="24"/>
          <w:szCs w:val="24"/>
        </w:rPr>
        <w:t xml:space="preserve">data </w:t>
      </w:r>
      <w:r>
        <w:rPr>
          <w:rFonts w:ascii="Arial" w:hAnsi="Arial" w:cs="Arial"/>
          <w:iCs/>
          <w:sz w:val="24"/>
          <w:szCs w:val="24"/>
        </w:rPr>
        <w:t xml:space="preserve">for the two months to June 2014 was down 1.4% and </w:t>
      </w:r>
      <w:r w:rsidRPr="00DF79C4">
        <w:rPr>
          <w:rFonts w:ascii="Arial" w:hAnsi="Arial" w:cs="Arial"/>
          <w:iCs/>
          <w:sz w:val="24"/>
          <w:szCs w:val="24"/>
        </w:rPr>
        <w:t>includes relocated and extended stores.</w:t>
      </w:r>
      <w:r>
        <w:rPr>
          <w:rFonts w:ascii="Arial" w:hAnsi="Arial" w:cs="Arial"/>
          <w:iCs/>
          <w:sz w:val="24"/>
          <w:szCs w:val="24"/>
        </w:rPr>
        <w:t xml:space="preserve"> </w:t>
      </w:r>
    </w:p>
    <w:p w:rsidR="009E3551" w:rsidRDefault="009E3551" w:rsidP="00F60DF9">
      <w:pPr>
        <w:jc w:val="left"/>
        <w:rPr>
          <w:rFonts w:ascii="Arial" w:hAnsi="Arial" w:cs="Arial"/>
          <w:iCs/>
          <w:sz w:val="24"/>
          <w:szCs w:val="24"/>
        </w:rPr>
      </w:pPr>
    </w:p>
    <w:p w:rsidR="009E3551" w:rsidRDefault="00DD2543" w:rsidP="00F60DF9">
      <w:pPr>
        <w:jc w:val="left"/>
        <w:rPr>
          <w:rFonts w:ascii="Arial" w:hAnsi="Arial" w:cs="Arial"/>
          <w:iCs/>
          <w:sz w:val="24"/>
          <w:szCs w:val="24"/>
        </w:rPr>
      </w:pPr>
      <w:hyperlink r:id="rId10" w:history="1">
        <w:r w:rsidR="00D81464" w:rsidRPr="00F30796">
          <w:rPr>
            <w:rStyle w:val="Hyperlink"/>
            <w:rFonts w:ascii="Arial" w:hAnsi="Arial" w:cs="Arial"/>
            <w:iCs/>
            <w:sz w:val="24"/>
            <w:szCs w:val="24"/>
          </w:rPr>
          <w:t>http://webstat.banque-france.fr/fr/browseSelection.do?node=5384398&amp;start=31/12/1992&amp;end=31/05/2014&amp;trans=N</w:t>
        </w:r>
      </w:hyperlink>
    </w:p>
    <w:p w:rsidR="009E3551" w:rsidRDefault="009E3551" w:rsidP="00F60DF9">
      <w:pPr>
        <w:jc w:val="left"/>
        <w:rPr>
          <w:rFonts w:ascii="Arial" w:hAnsi="Arial" w:cs="Arial"/>
          <w:iCs/>
          <w:sz w:val="24"/>
          <w:szCs w:val="24"/>
        </w:rPr>
      </w:pPr>
    </w:p>
    <w:p w:rsidR="00162398" w:rsidRDefault="00162398" w:rsidP="00F60DF9">
      <w:pPr>
        <w:jc w:val="left"/>
        <w:rPr>
          <w:rFonts w:ascii="Arial" w:hAnsi="Arial" w:cs="Arial"/>
          <w:b/>
          <w:sz w:val="24"/>
          <w:szCs w:val="24"/>
        </w:rPr>
      </w:pPr>
      <w:r>
        <w:rPr>
          <w:rFonts w:ascii="Arial" w:hAnsi="Arial" w:cs="Arial"/>
          <w:b/>
          <w:sz w:val="24"/>
          <w:szCs w:val="24"/>
        </w:rPr>
        <w:t>French property market</w:t>
      </w:r>
    </w:p>
    <w:p w:rsidR="009E3551" w:rsidRDefault="00BC2F8A" w:rsidP="00F60DF9">
      <w:pPr>
        <w:jc w:val="left"/>
        <w:rPr>
          <w:rFonts w:ascii="Arial" w:hAnsi="Arial" w:cs="Arial"/>
          <w:sz w:val="24"/>
          <w:szCs w:val="24"/>
        </w:rPr>
      </w:pPr>
      <w:r w:rsidRPr="005D772F">
        <w:rPr>
          <w:rFonts w:ascii="Arial" w:hAnsi="Arial" w:cs="Arial"/>
          <w:sz w:val="24"/>
          <w:szCs w:val="24"/>
        </w:rPr>
        <w:t>N</w:t>
      </w:r>
      <w:r w:rsidR="009E3551" w:rsidRPr="005D772F">
        <w:rPr>
          <w:rFonts w:ascii="Arial" w:hAnsi="Arial" w:cs="Arial"/>
          <w:sz w:val="24"/>
          <w:szCs w:val="24"/>
        </w:rPr>
        <w:t>ew housing starts and planning consent data</w:t>
      </w:r>
      <w:r w:rsidR="009E3551">
        <w:rPr>
          <w:rFonts w:ascii="Arial" w:hAnsi="Arial" w:cs="Arial"/>
          <w:sz w:val="24"/>
          <w:szCs w:val="24"/>
        </w:rPr>
        <w:t xml:space="preserve"> for the three months </w:t>
      </w:r>
      <w:r w:rsidR="009C3842">
        <w:rPr>
          <w:rFonts w:ascii="Arial" w:hAnsi="Arial" w:cs="Arial"/>
          <w:sz w:val="24"/>
          <w:szCs w:val="24"/>
        </w:rPr>
        <w:t xml:space="preserve">to </w:t>
      </w:r>
      <w:r w:rsidR="009E3551">
        <w:rPr>
          <w:rFonts w:ascii="Arial" w:hAnsi="Arial" w:cs="Arial"/>
          <w:sz w:val="24"/>
          <w:szCs w:val="24"/>
        </w:rPr>
        <w:t xml:space="preserve">May 2014 was down </w:t>
      </w:r>
      <w:r w:rsidR="00162398">
        <w:rPr>
          <w:rFonts w:ascii="Arial" w:hAnsi="Arial" w:cs="Arial"/>
          <w:sz w:val="24"/>
          <w:szCs w:val="24"/>
        </w:rPr>
        <w:t>20</w:t>
      </w:r>
      <w:r w:rsidR="009E3551">
        <w:rPr>
          <w:rFonts w:ascii="Arial" w:hAnsi="Arial" w:cs="Arial"/>
          <w:sz w:val="24"/>
          <w:szCs w:val="24"/>
        </w:rPr>
        <w:t xml:space="preserve">% and 16% respectively, according to the Ministry of Housing. </w:t>
      </w:r>
    </w:p>
    <w:p w:rsidR="009E3551" w:rsidRDefault="009E3551" w:rsidP="00F60DF9">
      <w:pPr>
        <w:jc w:val="left"/>
        <w:rPr>
          <w:rFonts w:ascii="Arial" w:hAnsi="Arial" w:cs="Arial"/>
          <w:sz w:val="24"/>
          <w:szCs w:val="24"/>
        </w:rPr>
      </w:pPr>
    </w:p>
    <w:p w:rsidR="009E3551" w:rsidRPr="00DF79C4" w:rsidRDefault="009E3551" w:rsidP="00F60DF9">
      <w:pPr>
        <w:jc w:val="left"/>
        <w:rPr>
          <w:rFonts w:ascii="Arial" w:hAnsi="Arial" w:cs="Arial"/>
          <w:iCs/>
          <w:sz w:val="24"/>
          <w:szCs w:val="24"/>
        </w:rPr>
      </w:pPr>
      <w:r w:rsidRPr="009E3551">
        <w:rPr>
          <w:rFonts w:ascii="Arial" w:hAnsi="Arial" w:cs="Arial"/>
          <w:iCs/>
          <w:sz w:val="24"/>
          <w:szCs w:val="24"/>
        </w:rPr>
        <w:t>http://www.statistiques.developpement-durable.gouv.fr/logement-construction/s/construction-logements.html</w:t>
      </w:r>
    </w:p>
    <w:p w:rsidR="00F60DF9" w:rsidRDefault="00F60DF9" w:rsidP="00457656">
      <w:pPr>
        <w:jc w:val="left"/>
        <w:rPr>
          <w:rFonts w:ascii="Arial" w:hAnsi="Arial" w:cs="Arial"/>
          <w:b/>
          <w:sz w:val="24"/>
          <w:szCs w:val="24"/>
        </w:rPr>
      </w:pPr>
    </w:p>
    <w:p w:rsidR="00457656" w:rsidRDefault="00457656" w:rsidP="00457656">
      <w:pPr>
        <w:jc w:val="left"/>
        <w:rPr>
          <w:rFonts w:ascii="Arial" w:hAnsi="Arial" w:cs="Arial"/>
          <w:sz w:val="24"/>
          <w:szCs w:val="24"/>
        </w:rPr>
      </w:pPr>
      <w:r w:rsidRPr="008D588B">
        <w:rPr>
          <w:rFonts w:ascii="Arial" w:hAnsi="Arial" w:cs="Arial"/>
          <w:b/>
          <w:sz w:val="24"/>
          <w:szCs w:val="24"/>
        </w:rPr>
        <w:t xml:space="preserve">Chinese property market </w:t>
      </w:r>
    </w:p>
    <w:p w:rsidR="00457656" w:rsidRPr="00A04F66" w:rsidRDefault="00457656" w:rsidP="00457656">
      <w:pPr>
        <w:jc w:val="left"/>
        <w:rPr>
          <w:rFonts w:ascii="Arial" w:hAnsi="Arial" w:cs="Arial"/>
          <w:sz w:val="24"/>
          <w:szCs w:val="24"/>
        </w:rPr>
      </w:pPr>
      <w:r>
        <w:rPr>
          <w:rFonts w:ascii="Arial" w:hAnsi="Arial" w:cs="Arial"/>
          <w:sz w:val="24"/>
          <w:szCs w:val="24"/>
        </w:rPr>
        <w:t xml:space="preserve">New property transaction sales </w:t>
      </w:r>
      <w:r w:rsidR="00667E54">
        <w:rPr>
          <w:rFonts w:ascii="Arial" w:hAnsi="Arial" w:cs="Arial"/>
          <w:sz w:val="24"/>
          <w:szCs w:val="24"/>
        </w:rPr>
        <w:t xml:space="preserve">were </w:t>
      </w:r>
      <w:r>
        <w:rPr>
          <w:rFonts w:ascii="Arial" w:hAnsi="Arial" w:cs="Arial"/>
          <w:sz w:val="24"/>
          <w:szCs w:val="24"/>
        </w:rPr>
        <w:t xml:space="preserve">down </w:t>
      </w:r>
      <w:r w:rsidR="00714633">
        <w:rPr>
          <w:rFonts w:ascii="Arial" w:hAnsi="Arial" w:cs="Arial"/>
          <w:sz w:val="24"/>
          <w:szCs w:val="24"/>
        </w:rPr>
        <w:t>1</w:t>
      </w:r>
      <w:r w:rsidR="003D22BB">
        <w:rPr>
          <w:rFonts w:ascii="Arial" w:hAnsi="Arial" w:cs="Arial"/>
          <w:sz w:val="24"/>
          <w:szCs w:val="24"/>
        </w:rPr>
        <w:t>8</w:t>
      </w:r>
      <w:r w:rsidRPr="00714633">
        <w:rPr>
          <w:rFonts w:ascii="Arial" w:hAnsi="Arial" w:cs="Arial"/>
          <w:sz w:val="24"/>
          <w:szCs w:val="24"/>
        </w:rPr>
        <w:t>%</w:t>
      </w:r>
      <w:r>
        <w:rPr>
          <w:rFonts w:ascii="Arial" w:hAnsi="Arial" w:cs="Arial"/>
          <w:sz w:val="24"/>
          <w:szCs w:val="24"/>
        </w:rPr>
        <w:t xml:space="preserve"> for the </w:t>
      </w:r>
      <w:r w:rsidR="009C3842">
        <w:rPr>
          <w:rFonts w:ascii="Arial" w:hAnsi="Arial" w:cs="Arial"/>
          <w:sz w:val="24"/>
          <w:szCs w:val="24"/>
        </w:rPr>
        <w:t xml:space="preserve">three </w:t>
      </w:r>
      <w:r w:rsidRPr="00C01956">
        <w:rPr>
          <w:rFonts w:ascii="Arial" w:hAnsi="Arial" w:cs="Arial"/>
          <w:sz w:val="24"/>
          <w:szCs w:val="24"/>
        </w:rPr>
        <w:t xml:space="preserve">months to </w:t>
      </w:r>
      <w:r w:rsidR="00277F5D">
        <w:rPr>
          <w:rFonts w:ascii="Arial" w:hAnsi="Arial" w:cs="Arial"/>
          <w:sz w:val="24"/>
          <w:szCs w:val="24"/>
        </w:rPr>
        <w:t>June</w:t>
      </w:r>
      <w:r>
        <w:rPr>
          <w:rFonts w:ascii="Arial" w:hAnsi="Arial" w:cs="Arial"/>
          <w:sz w:val="24"/>
          <w:szCs w:val="24"/>
        </w:rPr>
        <w:t xml:space="preserve"> 2014 </w:t>
      </w:r>
      <w:r w:rsidRPr="00C01956">
        <w:rPr>
          <w:rFonts w:ascii="Arial" w:hAnsi="Arial" w:cs="Arial"/>
          <w:sz w:val="24"/>
          <w:szCs w:val="24"/>
        </w:rPr>
        <w:t xml:space="preserve">for 17 cities in which </w:t>
      </w:r>
      <w:r w:rsidRPr="00A04F66">
        <w:rPr>
          <w:rFonts w:ascii="Arial" w:hAnsi="Arial" w:cs="Arial"/>
          <w:sz w:val="24"/>
          <w:szCs w:val="24"/>
        </w:rPr>
        <w:t>B&amp;Q China operates</w:t>
      </w:r>
      <w:r>
        <w:rPr>
          <w:rFonts w:ascii="Arial" w:hAnsi="Arial" w:cs="Arial"/>
          <w:sz w:val="24"/>
          <w:szCs w:val="24"/>
        </w:rPr>
        <w:t>,</w:t>
      </w:r>
      <w:r w:rsidRPr="00A04F66">
        <w:rPr>
          <w:rFonts w:ascii="Arial" w:hAnsi="Arial" w:cs="Arial"/>
          <w:sz w:val="24"/>
          <w:szCs w:val="24"/>
        </w:rPr>
        <w:t xml:space="preserve"> according to the China Real Estate Exchange.</w:t>
      </w:r>
    </w:p>
    <w:p w:rsidR="00457656" w:rsidRDefault="00457656" w:rsidP="00586BE0">
      <w:pPr>
        <w:jc w:val="left"/>
        <w:rPr>
          <w:rFonts w:ascii="Arial" w:hAnsi="Arial" w:cs="Arial"/>
          <w:b/>
          <w:iCs/>
          <w:sz w:val="24"/>
          <w:szCs w:val="24"/>
        </w:rPr>
      </w:pPr>
    </w:p>
    <w:p w:rsidR="00586BE0" w:rsidRPr="00A04F66" w:rsidRDefault="00586BE0" w:rsidP="00586BE0">
      <w:pPr>
        <w:jc w:val="left"/>
        <w:rPr>
          <w:rFonts w:ascii="Arial" w:hAnsi="Arial" w:cs="Arial"/>
          <w:iCs/>
          <w:sz w:val="24"/>
          <w:szCs w:val="24"/>
        </w:rPr>
      </w:pPr>
      <w:r w:rsidRPr="00A04F66">
        <w:rPr>
          <w:rFonts w:ascii="Arial" w:hAnsi="Arial" w:cs="Arial"/>
          <w:b/>
          <w:iCs/>
          <w:sz w:val="24"/>
          <w:szCs w:val="24"/>
        </w:rPr>
        <w:t>France</w:t>
      </w:r>
      <w:r w:rsidRPr="00A04F66">
        <w:rPr>
          <w:rFonts w:ascii="Arial" w:hAnsi="Arial" w:cs="Arial"/>
          <w:iCs/>
          <w:sz w:val="24"/>
          <w:szCs w:val="24"/>
        </w:rPr>
        <w:t xml:space="preserve"> consists of Castorama France and Brico Dépôt France.</w:t>
      </w:r>
    </w:p>
    <w:p w:rsidR="00586BE0" w:rsidRPr="00A04F66" w:rsidRDefault="00586BE0" w:rsidP="00586BE0">
      <w:pPr>
        <w:jc w:val="left"/>
        <w:rPr>
          <w:rFonts w:ascii="Arial" w:hAnsi="Arial" w:cs="Arial"/>
          <w:b/>
          <w:iCs/>
          <w:sz w:val="24"/>
          <w:szCs w:val="24"/>
        </w:rPr>
      </w:pPr>
    </w:p>
    <w:p w:rsidR="00586BE0" w:rsidRPr="00A04F66" w:rsidRDefault="00586BE0" w:rsidP="00586BE0">
      <w:pPr>
        <w:jc w:val="left"/>
        <w:rPr>
          <w:rFonts w:ascii="Arial" w:hAnsi="Arial" w:cs="Arial"/>
          <w:iCs/>
          <w:sz w:val="24"/>
          <w:szCs w:val="24"/>
        </w:rPr>
      </w:pPr>
      <w:r w:rsidRPr="00A04F66">
        <w:rPr>
          <w:rFonts w:ascii="Arial" w:hAnsi="Arial" w:cs="Arial"/>
          <w:b/>
          <w:iCs/>
          <w:sz w:val="24"/>
          <w:szCs w:val="24"/>
        </w:rPr>
        <w:t>LFL</w:t>
      </w:r>
      <w:r w:rsidRPr="00A04F66">
        <w:rPr>
          <w:rFonts w:ascii="Arial" w:hAnsi="Arial" w:cs="Arial"/>
          <w:iCs/>
          <w:sz w:val="24"/>
          <w:szCs w:val="24"/>
        </w:rPr>
        <w:t xml:space="preserve"> stands for like-for-like sales growth which represents the constant currency, year-on-year sales growth for stores that have been open for more than a year.</w:t>
      </w:r>
      <w:r>
        <w:rPr>
          <w:rFonts w:ascii="Arial" w:hAnsi="Arial" w:cs="Arial"/>
          <w:iCs/>
          <w:sz w:val="24"/>
          <w:szCs w:val="24"/>
        </w:rPr>
        <w:t xml:space="preserve"> </w:t>
      </w:r>
    </w:p>
    <w:p w:rsidR="00586BE0" w:rsidRPr="005638CF" w:rsidRDefault="00586BE0" w:rsidP="00586BE0">
      <w:pPr>
        <w:jc w:val="left"/>
        <w:rPr>
          <w:rFonts w:ascii="Arial" w:hAnsi="Arial" w:cs="Arial"/>
          <w:b/>
          <w:iCs/>
          <w:sz w:val="24"/>
          <w:szCs w:val="24"/>
          <w:highlight w:val="yellow"/>
        </w:rPr>
      </w:pPr>
    </w:p>
    <w:p w:rsidR="00586BE0" w:rsidRDefault="00586BE0" w:rsidP="00586BE0">
      <w:pPr>
        <w:jc w:val="left"/>
        <w:rPr>
          <w:rFonts w:ascii="Arial" w:hAnsi="Arial" w:cs="Arial"/>
          <w:iCs/>
          <w:sz w:val="24"/>
          <w:szCs w:val="24"/>
        </w:rPr>
      </w:pPr>
      <w:r w:rsidRPr="00A04F66">
        <w:rPr>
          <w:rFonts w:ascii="Arial" w:hAnsi="Arial" w:cs="Arial"/>
          <w:b/>
          <w:iCs/>
          <w:sz w:val="24"/>
          <w:szCs w:val="24"/>
        </w:rPr>
        <w:t>Other International</w:t>
      </w:r>
      <w:r w:rsidRPr="00A04F66">
        <w:rPr>
          <w:rFonts w:ascii="Arial" w:hAnsi="Arial" w:cs="Arial"/>
          <w:iCs/>
          <w:sz w:val="24"/>
          <w:szCs w:val="24"/>
        </w:rPr>
        <w:t xml:space="preserve"> consists of China, Poland, Romania, Russia, Spain</w:t>
      </w:r>
      <w:r>
        <w:rPr>
          <w:rFonts w:ascii="Arial" w:hAnsi="Arial" w:cs="Arial"/>
          <w:iCs/>
          <w:sz w:val="24"/>
          <w:szCs w:val="24"/>
        </w:rPr>
        <w:t>, Portugal, Germany</w:t>
      </w:r>
      <w:r w:rsidRPr="00A04F66">
        <w:rPr>
          <w:rFonts w:ascii="Arial" w:hAnsi="Arial" w:cs="Arial"/>
          <w:iCs/>
          <w:sz w:val="24"/>
          <w:szCs w:val="24"/>
        </w:rPr>
        <w:t xml:space="preserve"> and Turkey (Koçtaş JV).</w:t>
      </w:r>
      <w:r>
        <w:rPr>
          <w:rFonts w:ascii="Arial" w:hAnsi="Arial" w:cs="Arial"/>
          <w:iCs/>
          <w:sz w:val="24"/>
          <w:szCs w:val="24"/>
        </w:rPr>
        <w:t xml:space="preserve"> </w:t>
      </w:r>
    </w:p>
    <w:p w:rsidR="00586BE0" w:rsidRPr="005C1078" w:rsidRDefault="00586BE0" w:rsidP="00586BE0">
      <w:pPr>
        <w:tabs>
          <w:tab w:val="left" w:pos="357"/>
        </w:tabs>
        <w:ind w:right="-282"/>
        <w:jc w:val="left"/>
        <w:rPr>
          <w:rFonts w:ascii="Arial" w:hAnsi="Arial" w:cs="Arial"/>
          <w:b/>
          <w:sz w:val="24"/>
          <w:szCs w:val="24"/>
          <w:highlight w:val="yellow"/>
        </w:rPr>
      </w:pPr>
    </w:p>
    <w:p w:rsidR="00586BE0" w:rsidRPr="00044915" w:rsidRDefault="00586BE0" w:rsidP="00586BE0">
      <w:pPr>
        <w:tabs>
          <w:tab w:val="left" w:pos="357"/>
        </w:tabs>
        <w:ind w:right="-282"/>
        <w:jc w:val="left"/>
        <w:rPr>
          <w:rFonts w:ascii="Arial" w:hAnsi="Arial" w:cs="Arial"/>
          <w:iCs/>
          <w:sz w:val="24"/>
          <w:szCs w:val="24"/>
        </w:rPr>
      </w:pPr>
      <w:r w:rsidRPr="00044915">
        <w:rPr>
          <w:rFonts w:ascii="Arial" w:hAnsi="Arial" w:cs="Arial"/>
          <w:b/>
          <w:sz w:val="24"/>
          <w:szCs w:val="24"/>
        </w:rPr>
        <w:t>Sales</w:t>
      </w:r>
      <w:r w:rsidRPr="00044915">
        <w:rPr>
          <w:rFonts w:ascii="Arial" w:hAnsi="Arial" w:cs="Arial"/>
          <w:iCs/>
          <w:sz w:val="24"/>
          <w:szCs w:val="24"/>
        </w:rPr>
        <w:t xml:space="preserve"> </w:t>
      </w:r>
    </w:p>
    <w:p w:rsidR="00586BE0" w:rsidRPr="00F7178D" w:rsidRDefault="00586BE0" w:rsidP="00F7178D">
      <w:pPr>
        <w:tabs>
          <w:tab w:val="left" w:pos="357"/>
        </w:tabs>
        <w:ind w:right="-282"/>
        <w:jc w:val="left"/>
        <w:rPr>
          <w:rFonts w:ascii="Arial" w:hAnsi="Arial" w:cs="Arial"/>
          <w:iCs/>
          <w:sz w:val="24"/>
          <w:szCs w:val="24"/>
        </w:rPr>
      </w:pPr>
      <w:r w:rsidRPr="00F7178D">
        <w:rPr>
          <w:rFonts w:ascii="Arial" w:hAnsi="Arial" w:cs="Arial"/>
          <w:iCs/>
          <w:sz w:val="24"/>
          <w:szCs w:val="24"/>
        </w:rPr>
        <w:t xml:space="preserve">All figures are on a constant currency basis. </w:t>
      </w:r>
      <w:r>
        <w:rPr>
          <w:rFonts w:ascii="Arial" w:hAnsi="Arial" w:cs="Arial"/>
          <w:iCs/>
          <w:sz w:val="24"/>
          <w:szCs w:val="24"/>
        </w:rPr>
        <w:t>Group sales exclud</w:t>
      </w:r>
      <w:r w:rsidR="00BC2F8A">
        <w:rPr>
          <w:rFonts w:ascii="Arial" w:hAnsi="Arial" w:cs="Arial"/>
          <w:iCs/>
          <w:sz w:val="24"/>
          <w:szCs w:val="24"/>
        </w:rPr>
        <w:t>e</w:t>
      </w:r>
      <w:r>
        <w:rPr>
          <w:rFonts w:ascii="Arial" w:hAnsi="Arial" w:cs="Arial"/>
          <w:iCs/>
          <w:sz w:val="24"/>
          <w:szCs w:val="24"/>
        </w:rPr>
        <w:t xml:space="preserve"> </w:t>
      </w:r>
      <w:r w:rsidRPr="00044915">
        <w:rPr>
          <w:rFonts w:ascii="Arial" w:hAnsi="Arial" w:cs="Arial"/>
          <w:iCs/>
          <w:sz w:val="24"/>
          <w:szCs w:val="24"/>
        </w:rPr>
        <w:t>Joint Venture (Koçtaş JV) sales</w:t>
      </w:r>
      <w:r>
        <w:rPr>
          <w:rFonts w:ascii="Arial" w:hAnsi="Arial" w:cs="Arial"/>
          <w:iCs/>
          <w:sz w:val="24"/>
          <w:szCs w:val="24"/>
        </w:rPr>
        <w:t>.</w:t>
      </w:r>
      <w:r w:rsidRPr="00044915">
        <w:rPr>
          <w:rFonts w:ascii="Arial" w:hAnsi="Arial" w:cs="Arial"/>
          <w:iCs/>
          <w:sz w:val="24"/>
          <w:szCs w:val="24"/>
        </w:rPr>
        <w:t xml:space="preserve"> </w:t>
      </w:r>
      <w:r w:rsidRPr="00F7178D">
        <w:rPr>
          <w:rFonts w:ascii="Arial" w:hAnsi="Arial" w:cs="Arial"/>
          <w:iCs/>
          <w:sz w:val="24"/>
          <w:szCs w:val="24"/>
        </w:rPr>
        <w:t xml:space="preserve">Data is provided for the </w:t>
      </w:r>
      <w:r w:rsidR="00BC2F8A">
        <w:rPr>
          <w:rFonts w:ascii="Arial" w:hAnsi="Arial" w:cs="Arial"/>
          <w:iCs/>
          <w:sz w:val="24"/>
          <w:szCs w:val="24"/>
        </w:rPr>
        <w:t>10</w:t>
      </w:r>
      <w:r w:rsidRPr="00F7178D">
        <w:rPr>
          <w:rFonts w:ascii="Arial" w:hAnsi="Arial" w:cs="Arial"/>
          <w:iCs/>
          <w:sz w:val="24"/>
          <w:szCs w:val="24"/>
        </w:rPr>
        <w:t xml:space="preserve"> and </w:t>
      </w:r>
      <w:r w:rsidR="00BC2F8A">
        <w:rPr>
          <w:rFonts w:ascii="Arial" w:hAnsi="Arial" w:cs="Arial"/>
          <w:iCs/>
          <w:sz w:val="24"/>
          <w:szCs w:val="24"/>
        </w:rPr>
        <w:t>23</w:t>
      </w:r>
      <w:r w:rsidRPr="00F7178D">
        <w:rPr>
          <w:rFonts w:ascii="Arial" w:hAnsi="Arial" w:cs="Arial"/>
          <w:iCs/>
          <w:sz w:val="24"/>
          <w:szCs w:val="24"/>
        </w:rPr>
        <w:t xml:space="preserve"> weeks to </w:t>
      </w:r>
      <w:r w:rsidRPr="00E80687">
        <w:rPr>
          <w:rFonts w:ascii="Arial" w:hAnsi="Arial" w:cs="Arial"/>
          <w:iCs/>
          <w:sz w:val="24"/>
          <w:szCs w:val="24"/>
        </w:rPr>
        <w:t>12</w:t>
      </w:r>
      <w:r w:rsidRPr="00F7178D">
        <w:rPr>
          <w:rFonts w:ascii="Arial" w:hAnsi="Arial" w:cs="Arial"/>
          <w:iCs/>
          <w:sz w:val="24"/>
          <w:szCs w:val="24"/>
        </w:rPr>
        <w:t xml:space="preserve"> July 201</w:t>
      </w:r>
      <w:r w:rsidRPr="00E80687">
        <w:rPr>
          <w:rFonts w:ascii="Arial" w:hAnsi="Arial" w:cs="Arial"/>
          <w:iCs/>
          <w:sz w:val="24"/>
          <w:szCs w:val="24"/>
        </w:rPr>
        <w:t>4</w:t>
      </w:r>
      <w:r w:rsidRPr="00F7178D">
        <w:rPr>
          <w:rFonts w:ascii="Arial" w:hAnsi="Arial" w:cs="Arial"/>
          <w:iCs/>
          <w:sz w:val="24"/>
          <w:szCs w:val="24"/>
        </w:rPr>
        <w:t>, with the exception of China</w:t>
      </w:r>
      <w:r w:rsidR="00BC2F8A">
        <w:rPr>
          <w:rFonts w:ascii="Arial" w:hAnsi="Arial" w:cs="Arial"/>
          <w:iCs/>
          <w:sz w:val="24"/>
          <w:szCs w:val="24"/>
        </w:rPr>
        <w:t>, Romania</w:t>
      </w:r>
      <w:r w:rsidRPr="00F7178D">
        <w:rPr>
          <w:rFonts w:ascii="Arial" w:hAnsi="Arial" w:cs="Arial"/>
          <w:iCs/>
          <w:sz w:val="24"/>
          <w:szCs w:val="24"/>
        </w:rPr>
        <w:t xml:space="preserve"> and Russia which are reported for the </w:t>
      </w:r>
      <w:r w:rsidR="00BC2F8A">
        <w:rPr>
          <w:rFonts w:ascii="Arial" w:hAnsi="Arial" w:cs="Arial"/>
          <w:iCs/>
          <w:sz w:val="24"/>
          <w:szCs w:val="24"/>
        </w:rPr>
        <w:t>13</w:t>
      </w:r>
      <w:r w:rsidRPr="00F7178D">
        <w:rPr>
          <w:rFonts w:ascii="Arial" w:hAnsi="Arial" w:cs="Arial"/>
          <w:iCs/>
          <w:sz w:val="24"/>
          <w:szCs w:val="24"/>
        </w:rPr>
        <w:t xml:space="preserve"> and </w:t>
      </w:r>
      <w:r w:rsidR="00BC2F8A">
        <w:rPr>
          <w:rFonts w:ascii="Arial" w:hAnsi="Arial" w:cs="Arial"/>
          <w:iCs/>
          <w:sz w:val="24"/>
          <w:szCs w:val="24"/>
        </w:rPr>
        <w:t>26</w:t>
      </w:r>
      <w:r w:rsidRPr="00F7178D">
        <w:rPr>
          <w:rFonts w:ascii="Arial" w:hAnsi="Arial" w:cs="Arial"/>
          <w:iCs/>
          <w:sz w:val="24"/>
          <w:szCs w:val="24"/>
        </w:rPr>
        <w:t xml:space="preserve"> weeks to 30 June 201</w:t>
      </w:r>
      <w:r w:rsidRPr="00E80687">
        <w:rPr>
          <w:rFonts w:ascii="Arial" w:hAnsi="Arial" w:cs="Arial"/>
          <w:iCs/>
          <w:sz w:val="24"/>
          <w:szCs w:val="24"/>
        </w:rPr>
        <w:t>4</w:t>
      </w:r>
      <w:r w:rsidRPr="00F7178D">
        <w:rPr>
          <w:rFonts w:ascii="Arial" w:hAnsi="Arial" w:cs="Arial"/>
          <w:iCs/>
          <w:sz w:val="24"/>
          <w:szCs w:val="24"/>
        </w:rPr>
        <w:t xml:space="preserve">. </w:t>
      </w:r>
    </w:p>
    <w:p w:rsidR="00586BE0" w:rsidRPr="005C1078" w:rsidRDefault="00586BE0" w:rsidP="00586BE0">
      <w:pPr>
        <w:rPr>
          <w:rFonts w:ascii="Arial" w:hAnsi="Arial" w:cs="Arial"/>
          <w:b/>
          <w:iCs/>
          <w:sz w:val="24"/>
          <w:szCs w:val="24"/>
          <w:highlight w:val="yellow"/>
        </w:rPr>
      </w:pPr>
    </w:p>
    <w:p w:rsidR="00586BE0" w:rsidRDefault="00586BE0" w:rsidP="00586BE0">
      <w:pPr>
        <w:jc w:val="left"/>
        <w:rPr>
          <w:rFonts w:ascii="Arial" w:hAnsi="Arial" w:cs="Arial"/>
          <w:iCs/>
          <w:sz w:val="24"/>
          <w:szCs w:val="24"/>
        </w:rPr>
      </w:pPr>
      <w:r w:rsidRPr="00044915">
        <w:rPr>
          <w:rFonts w:ascii="Arial" w:hAnsi="Arial" w:cs="Arial"/>
          <w:b/>
          <w:iCs/>
          <w:sz w:val="24"/>
          <w:szCs w:val="24"/>
        </w:rPr>
        <w:t>UK &amp; Ireland</w:t>
      </w:r>
      <w:r w:rsidRPr="00044915">
        <w:rPr>
          <w:rFonts w:ascii="Arial" w:hAnsi="Arial" w:cs="Arial"/>
          <w:iCs/>
          <w:sz w:val="24"/>
          <w:szCs w:val="24"/>
        </w:rPr>
        <w:t xml:space="preserve"> consists of B&amp;Q in the UK &amp; Ireland and Screwfix</w:t>
      </w:r>
      <w:r>
        <w:rPr>
          <w:rFonts w:ascii="Arial" w:hAnsi="Arial" w:cs="Arial"/>
          <w:iCs/>
          <w:sz w:val="24"/>
          <w:szCs w:val="24"/>
        </w:rPr>
        <w:t xml:space="preserve"> in the UK</w:t>
      </w:r>
      <w:r w:rsidRPr="00044915">
        <w:rPr>
          <w:rFonts w:ascii="Arial" w:hAnsi="Arial" w:cs="Arial"/>
          <w:iCs/>
          <w:sz w:val="24"/>
          <w:szCs w:val="24"/>
        </w:rPr>
        <w:t>.</w:t>
      </w:r>
    </w:p>
    <w:p w:rsidR="00586BE0" w:rsidRDefault="00586BE0">
      <w:pPr>
        <w:jc w:val="left"/>
        <w:rPr>
          <w:rFonts w:ascii="Arial" w:hAnsi="Arial" w:cs="Arial"/>
          <w:b/>
          <w:sz w:val="24"/>
          <w:szCs w:val="24"/>
        </w:rPr>
      </w:pPr>
      <w:r>
        <w:rPr>
          <w:rFonts w:ascii="Arial" w:hAnsi="Arial" w:cs="Arial"/>
          <w:b/>
          <w:sz w:val="24"/>
          <w:szCs w:val="24"/>
        </w:rPr>
        <w:br w:type="page"/>
      </w:r>
    </w:p>
    <w:p w:rsidR="00B2223C" w:rsidRPr="00B2223C" w:rsidRDefault="00B2223C" w:rsidP="00B2223C">
      <w:pPr>
        <w:jc w:val="left"/>
        <w:rPr>
          <w:rFonts w:ascii="Arial" w:hAnsi="Arial" w:cs="Arial"/>
          <w:b/>
          <w:sz w:val="24"/>
          <w:szCs w:val="24"/>
        </w:rPr>
      </w:pPr>
      <w:r>
        <w:rPr>
          <w:rFonts w:ascii="Arial" w:hAnsi="Arial" w:cs="Arial"/>
          <w:b/>
          <w:sz w:val="24"/>
          <w:szCs w:val="24"/>
        </w:rPr>
        <w:lastRenderedPageBreak/>
        <w:t>FORWARD-LOOKING STATEMENTS</w:t>
      </w:r>
    </w:p>
    <w:p w:rsidR="00B2223C" w:rsidRPr="00B2223C" w:rsidRDefault="00B2223C" w:rsidP="00B2223C">
      <w:pPr>
        <w:jc w:val="left"/>
        <w:rPr>
          <w:rFonts w:ascii="Arial" w:hAnsi="Arial" w:cs="Arial"/>
          <w:b/>
          <w:sz w:val="24"/>
          <w:szCs w:val="24"/>
        </w:rPr>
      </w:pPr>
    </w:p>
    <w:p w:rsidR="00586BE0" w:rsidRPr="00FD57E1" w:rsidRDefault="00586BE0" w:rsidP="00586BE0">
      <w:pPr>
        <w:jc w:val="left"/>
        <w:rPr>
          <w:rFonts w:ascii="Arial" w:hAnsi="Arial" w:cs="Arial"/>
          <w:sz w:val="24"/>
          <w:szCs w:val="24"/>
        </w:rPr>
      </w:pPr>
      <w:r w:rsidRPr="005B007D">
        <w:rPr>
          <w:rFonts w:ascii="Arial" w:hAnsi="Arial" w:cs="Arial"/>
          <w:sz w:val="24"/>
          <w:szCs w:val="24"/>
        </w:rPr>
        <w:t>This announcement contains certain statements that are forward-looking and which should be considered, amongst other statutory provisions, in light of the safe harbour provisions of the United States Private Securities Litigation Reform Act of 1995. All statements other than statements of historical facts may be forward-looking statements. Such statements are, therefore, subject to risks, assumptions and uncertainties that could cause actual results to differ materially from those expressed or implied because they relate to future events. These forward-looking statements include, but are not limited to, statements relating to the Company’s expectations around the Company’s programme known as ‘Creating the Leader’ and its associated eight steps. Forward-looking statements can be identified by the use of relevant terminology including the words: “believes”, “estimates”, “anticipates”, “expects”, “intends”, “plans”, “goal”, “target”, “aim”, “may”, “will”, “would”, “could” or “should” or, in each case, their negative or other variations or comparable terminology and include all matters that are not historical facts. They appear in a number of places throughout this press release and include statements regarding our intentions, beliefs or current expectations and those of our officers, directors and employees concerning, amongst other things, our results of operations, financial condition, changes in tax rates, liquidity, prospects, growth, strategies and the businesses we operate. Other factors that could cause actual results to differ materially from those estimated by the forward-looking statements include, but are not limited to, global economic business conditions, monetary and interest rate policies, foreign currency exchange rates, equity and property prices, the impact of competition, inflation and deflation, changes to regulations, taxes and legislation, changes to consumer saving and spending habits; and our success in managing these factors. Consequently, our actual future financial condition, performance and results could differ materially from the plans, goals and expectations set out in our forward-looking statements. We urge you to read our annual report and other company reports, including the risk factors contained therein, for a more detailed discussion of the factors that could affect our future performance and the industry in which we operate. Reliance should not be placed on any forward-looking statement. Our forward looking statements speak only as of the date of this press release and the Company undertakes no obligation to publicly update any forward-looking statement, whether as a result of new information, future events or otherwise. Nothing in this press release should be construed as a profit forecast.</w:t>
      </w:r>
    </w:p>
    <w:p w:rsidR="00B2223C" w:rsidRPr="00B2223C" w:rsidRDefault="00B2223C" w:rsidP="00B2223C">
      <w:pPr>
        <w:jc w:val="left"/>
        <w:rPr>
          <w:rFonts w:ascii="Arial" w:hAnsi="Arial" w:cs="Arial"/>
          <w:sz w:val="24"/>
          <w:szCs w:val="24"/>
        </w:rPr>
      </w:pPr>
    </w:p>
    <w:p w:rsidR="00C6289C" w:rsidRPr="00B2223C" w:rsidRDefault="00C6289C" w:rsidP="00B2223C">
      <w:pPr>
        <w:jc w:val="left"/>
      </w:pPr>
    </w:p>
    <w:sectPr w:rsidR="00C6289C" w:rsidRPr="00B2223C" w:rsidSect="007F127E">
      <w:headerReference w:type="even" r:id="rId11"/>
      <w:headerReference w:type="default" r:id="rId12"/>
      <w:footerReference w:type="even" r:id="rId13"/>
      <w:footerReference w:type="default" r:id="rId14"/>
      <w:headerReference w:type="first" r:id="rId15"/>
      <w:pgSz w:w="11909" w:h="16834" w:code="9"/>
      <w:pgMar w:top="409" w:right="1134" w:bottom="720" w:left="1134" w:header="720" w:footer="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FE" w:rsidRDefault="007D02FE">
      <w:r>
        <w:separator/>
      </w:r>
    </w:p>
  </w:endnote>
  <w:endnote w:type="continuationSeparator" w:id="0">
    <w:p w:rsidR="007D02FE" w:rsidRDefault="007D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FE" w:rsidRDefault="007D02FE"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D02FE" w:rsidRDefault="007D02FE" w:rsidP="00866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FE" w:rsidRPr="00574478" w:rsidRDefault="007D02FE" w:rsidP="00574478">
    <w:pPr>
      <w:pStyle w:val="Footer"/>
      <w:jc w:val="right"/>
      <w:rPr>
        <w:rFonts w:ascii="Arial" w:hAnsi="Arial" w:cs="Arial"/>
      </w:rPr>
    </w:pPr>
    <w:r w:rsidRPr="00574478">
      <w:rPr>
        <w:rStyle w:val="PageNumber"/>
        <w:rFonts w:ascii="Arial" w:hAnsi="Arial" w:cs="Arial"/>
      </w:rPr>
      <w:fldChar w:fldCharType="begin"/>
    </w:r>
    <w:r w:rsidRPr="00574478">
      <w:rPr>
        <w:rStyle w:val="PageNumber"/>
        <w:rFonts w:ascii="Arial" w:hAnsi="Arial" w:cs="Arial"/>
      </w:rPr>
      <w:instrText xml:space="preserve"> PAGE </w:instrText>
    </w:r>
    <w:r w:rsidRPr="00574478">
      <w:rPr>
        <w:rStyle w:val="PageNumber"/>
        <w:rFonts w:ascii="Arial" w:hAnsi="Arial" w:cs="Arial"/>
      </w:rPr>
      <w:fldChar w:fldCharType="separate"/>
    </w:r>
    <w:r w:rsidR="00DD2543">
      <w:rPr>
        <w:rStyle w:val="PageNumber"/>
        <w:rFonts w:ascii="Arial" w:hAnsi="Arial" w:cs="Arial"/>
        <w:noProof/>
      </w:rPr>
      <w:t>4</w:t>
    </w:r>
    <w:r w:rsidRPr="00574478">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FE" w:rsidRDefault="007D02FE">
      <w:r>
        <w:separator/>
      </w:r>
    </w:p>
  </w:footnote>
  <w:footnote w:type="continuationSeparator" w:id="0">
    <w:p w:rsidR="007D02FE" w:rsidRDefault="007D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6C" w:rsidRDefault="008D0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FE" w:rsidRDefault="008D056C" w:rsidP="008D056C">
    <w:pPr>
      <w:pStyle w:val="Header"/>
      <w:jc w:val="center"/>
    </w:pPr>
    <w:r>
      <w:rPr>
        <w:noProof/>
      </w:rPr>
      <w:drawing>
        <wp:inline distT="0" distB="0" distL="0" distR="0" wp14:anchorId="614EB258" wp14:editId="231CBC47">
          <wp:extent cx="1645920" cy="607524"/>
          <wp:effectExtent l="0" t="0" r="0" b="254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647723" cy="608190"/>
                  </a:xfrm>
                  <a:prstGeom prst="rect">
                    <a:avLst/>
                  </a:prstGeom>
                  <a:noFill/>
                  <a:ln w="9525">
                    <a:noFill/>
                    <a:miter lim="800000"/>
                    <a:headEnd/>
                    <a:tailEnd/>
                  </a:ln>
                </pic:spPr>
              </pic:pic>
            </a:graphicData>
          </a:graphic>
        </wp:inline>
      </w:drawing>
    </w:r>
  </w:p>
  <w:p w:rsidR="00586BE0" w:rsidRPr="002E3B3A" w:rsidRDefault="00586BE0" w:rsidP="00586BE0">
    <w:pPr>
      <w:pStyle w:val="Header"/>
      <w:jc w:val="center"/>
      <w:rPr>
        <w:rFonts w:ascii="Arial" w:hAnsi="Arial" w:cs="Arial"/>
        <w:szCs w:val="22"/>
      </w:rPr>
    </w:pPr>
    <w:r w:rsidRPr="002E3B3A">
      <w:rPr>
        <w:rFonts w:ascii="Arial" w:hAnsi="Arial" w:cs="Arial"/>
        <w:szCs w:val="22"/>
      </w:rPr>
      <w:t>EMBARGOE</w:t>
    </w:r>
    <w:r>
      <w:rPr>
        <w:rFonts w:ascii="Arial" w:hAnsi="Arial" w:cs="Arial"/>
        <w:szCs w:val="22"/>
      </w:rPr>
      <w:t>D UNTIL 0700 HOURS – Thursday 24 July</w:t>
    </w:r>
    <w:r w:rsidRPr="002E3B3A">
      <w:rPr>
        <w:rFonts w:ascii="Arial" w:hAnsi="Arial" w:cs="Arial"/>
        <w:szCs w:val="22"/>
      </w:rPr>
      <w:t xml:space="preserve"> 2014</w:t>
    </w:r>
  </w:p>
  <w:p w:rsidR="00586BE0" w:rsidRDefault="00586BE0" w:rsidP="008D056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6C" w:rsidRDefault="008D0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9E7"/>
    <w:multiLevelType w:val="hybridMultilevel"/>
    <w:tmpl w:val="334077AC"/>
    <w:lvl w:ilvl="0" w:tplc="8794D58C">
      <w:start w:val="1"/>
      <w:numFmt w:val="decimal"/>
      <w:lvlText w:val="%1."/>
      <w:lvlJc w:val="left"/>
      <w:pPr>
        <w:tabs>
          <w:tab w:val="num" w:pos="1080"/>
        </w:tabs>
        <w:ind w:left="1080" w:hanging="360"/>
      </w:pPr>
    </w:lvl>
    <w:lvl w:ilvl="1" w:tplc="EEEEB79A">
      <w:start w:val="1"/>
      <w:numFmt w:val="decimal"/>
      <w:lvlText w:val="%2."/>
      <w:lvlJc w:val="left"/>
      <w:pPr>
        <w:tabs>
          <w:tab w:val="num" w:pos="1800"/>
        </w:tabs>
        <w:ind w:left="1800" w:hanging="360"/>
      </w:pPr>
    </w:lvl>
    <w:lvl w:ilvl="2" w:tplc="21F65834" w:tentative="1">
      <w:start w:val="1"/>
      <w:numFmt w:val="decimal"/>
      <w:lvlText w:val="%3."/>
      <w:lvlJc w:val="left"/>
      <w:pPr>
        <w:tabs>
          <w:tab w:val="num" w:pos="2520"/>
        </w:tabs>
        <w:ind w:left="2520" w:hanging="360"/>
      </w:pPr>
    </w:lvl>
    <w:lvl w:ilvl="3" w:tplc="57E089F0" w:tentative="1">
      <w:start w:val="1"/>
      <w:numFmt w:val="decimal"/>
      <w:lvlText w:val="%4."/>
      <w:lvlJc w:val="left"/>
      <w:pPr>
        <w:tabs>
          <w:tab w:val="num" w:pos="3240"/>
        </w:tabs>
        <w:ind w:left="3240" w:hanging="360"/>
      </w:pPr>
    </w:lvl>
    <w:lvl w:ilvl="4" w:tplc="2CBE04EC" w:tentative="1">
      <w:start w:val="1"/>
      <w:numFmt w:val="decimal"/>
      <w:lvlText w:val="%5."/>
      <w:lvlJc w:val="left"/>
      <w:pPr>
        <w:tabs>
          <w:tab w:val="num" w:pos="3960"/>
        </w:tabs>
        <w:ind w:left="3960" w:hanging="360"/>
      </w:pPr>
    </w:lvl>
    <w:lvl w:ilvl="5" w:tplc="3D38E5B6" w:tentative="1">
      <w:start w:val="1"/>
      <w:numFmt w:val="decimal"/>
      <w:lvlText w:val="%6."/>
      <w:lvlJc w:val="left"/>
      <w:pPr>
        <w:tabs>
          <w:tab w:val="num" w:pos="4680"/>
        </w:tabs>
        <w:ind w:left="4680" w:hanging="360"/>
      </w:pPr>
    </w:lvl>
    <w:lvl w:ilvl="6" w:tplc="3C5E4980" w:tentative="1">
      <w:start w:val="1"/>
      <w:numFmt w:val="decimal"/>
      <w:lvlText w:val="%7."/>
      <w:lvlJc w:val="left"/>
      <w:pPr>
        <w:tabs>
          <w:tab w:val="num" w:pos="5400"/>
        </w:tabs>
        <w:ind w:left="5400" w:hanging="360"/>
      </w:pPr>
    </w:lvl>
    <w:lvl w:ilvl="7" w:tplc="4710A70A" w:tentative="1">
      <w:start w:val="1"/>
      <w:numFmt w:val="decimal"/>
      <w:lvlText w:val="%8."/>
      <w:lvlJc w:val="left"/>
      <w:pPr>
        <w:tabs>
          <w:tab w:val="num" w:pos="6120"/>
        </w:tabs>
        <w:ind w:left="6120" w:hanging="360"/>
      </w:pPr>
    </w:lvl>
    <w:lvl w:ilvl="8" w:tplc="9774CC68" w:tentative="1">
      <w:start w:val="1"/>
      <w:numFmt w:val="decimal"/>
      <w:lvlText w:val="%9."/>
      <w:lvlJc w:val="left"/>
      <w:pPr>
        <w:tabs>
          <w:tab w:val="num" w:pos="6840"/>
        </w:tabs>
        <w:ind w:left="6840" w:hanging="360"/>
      </w:pPr>
    </w:lvl>
  </w:abstractNum>
  <w:abstractNum w:abstractNumId="1">
    <w:nsid w:val="07D77D89"/>
    <w:multiLevelType w:val="hybridMultilevel"/>
    <w:tmpl w:val="857EC69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F3A5517"/>
    <w:multiLevelType w:val="hybridMultilevel"/>
    <w:tmpl w:val="48881700"/>
    <w:lvl w:ilvl="0" w:tplc="E054A494">
      <w:start w:val="2"/>
      <w:numFmt w:val="decimalZero"/>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21F2EC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2444193"/>
    <w:multiLevelType w:val="multilevel"/>
    <w:tmpl w:val="019AC2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DF43420"/>
    <w:multiLevelType w:val="hybridMultilevel"/>
    <w:tmpl w:val="4D4A9F8E"/>
    <w:lvl w:ilvl="0" w:tplc="0CA43890">
      <w:start w:val="20"/>
      <w:numFmt w:val="decimalZero"/>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9006441"/>
    <w:multiLevelType w:val="hybridMultilevel"/>
    <w:tmpl w:val="FEA259DA"/>
    <w:lvl w:ilvl="0" w:tplc="18E20D6A">
      <w:start w:val="20"/>
      <w:numFmt w:val="decimalZero"/>
      <w:lvlText w:val="%1"/>
      <w:lvlJc w:val="left"/>
      <w:pPr>
        <w:ind w:left="1185" w:hanging="40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C160F9"/>
    <w:multiLevelType w:val="hybridMultilevel"/>
    <w:tmpl w:val="387C4EAE"/>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C57BC8"/>
    <w:multiLevelType w:val="hybridMultilevel"/>
    <w:tmpl w:val="9C4EE822"/>
    <w:lvl w:ilvl="0" w:tplc="97BE0228">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9553F62"/>
    <w:multiLevelType w:val="hybridMultilevel"/>
    <w:tmpl w:val="383A6D02"/>
    <w:lvl w:ilvl="0" w:tplc="08090011">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6CA70C2E"/>
    <w:multiLevelType w:val="hybridMultilevel"/>
    <w:tmpl w:val="C50A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4B1F27"/>
    <w:multiLevelType w:val="hybridMultilevel"/>
    <w:tmpl w:val="920A2616"/>
    <w:lvl w:ilvl="0" w:tplc="58FC4F8E">
      <w:start w:val="20"/>
      <w:numFmt w:val="decimalZero"/>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6"/>
  </w:num>
  <w:num w:numId="5">
    <w:abstractNumId w:val="4"/>
  </w:num>
  <w:num w:numId="6">
    <w:abstractNumId w:val="11"/>
  </w:num>
  <w:num w:numId="7">
    <w:abstractNumId w:val="17"/>
  </w:num>
  <w:num w:numId="8">
    <w:abstractNumId w:val="12"/>
  </w:num>
  <w:num w:numId="9">
    <w:abstractNumId w:val="13"/>
  </w:num>
  <w:num w:numId="10">
    <w:abstractNumId w:val="19"/>
  </w:num>
  <w:num w:numId="11">
    <w:abstractNumId w:val="14"/>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2"/>
  </w:num>
  <w:num w:numId="17">
    <w:abstractNumId w:val="5"/>
  </w:num>
  <w:num w:numId="18">
    <w:abstractNumId w:val="20"/>
  </w:num>
  <w:num w:numId="19">
    <w:abstractNumId w:val="0"/>
  </w:num>
  <w:num w:numId="20">
    <w:abstractNumId w:val="21"/>
  </w:num>
  <w:num w:numId="21">
    <w:abstractNumId w:val="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1843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C62"/>
    <w:rsid w:val="00001ABF"/>
    <w:rsid w:val="00002B9D"/>
    <w:rsid w:val="0000353E"/>
    <w:rsid w:val="00004A29"/>
    <w:rsid w:val="000077C7"/>
    <w:rsid w:val="00010672"/>
    <w:rsid w:val="00010EC9"/>
    <w:rsid w:val="00011491"/>
    <w:rsid w:val="00014846"/>
    <w:rsid w:val="00017349"/>
    <w:rsid w:val="0001737F"/>
    <w:rsid w:val="000205DF"/>
    <w:rsid w:val="000206F3"/>
    <w:rsid w:val="00020F7B"/>
    <w:rsid w:val="00022842"/>
    <w:rsid w:val="00023E6F"/>
    <w:rsid w:val="0002488D"/>
    <w:rsid w:val="00027D1A"/>
    <w:rsid w:val="00027E09"/>
    <w:rsid w:val="00031334"/>
    <w:rsid w:val="00031791"/>
    <w:rsid w:val="0003183A"/>
    <w:rsid w:val="000318DF"/>
    <w:rsid w:val="00031D3D"/>
    <w:rsid w:val="00034DDC"/>
    <w:rsid w:val="00034E8B"/>
    <w:rsid w:val="00036A8B"/>
    <w:rsid w:val="00037404"/>
    <w:rsid w:val="000413C4"/>
    <w:rsid w:val="000423FF"/>
    <w:rsid w:val="000441FF"/>
    <w:rsid w:val="00044FC2"/>
    <w:rsid w:val="00045949"/>
    <w:rsid w:val="00047FD5"/>
    <w:rsid w:val="00051EBF"/>
    <w:rsid w:val="00053C95"/>
    <w:rsid w:val="000541F4"/>
    <w:rsid w:val="0005717F"/>
    <w:rsid w:val="00060049"/>
    <w:rsid w:val="000622E7"/>
    <w:rsid w:val="00062AB6"/>
    <w:rsid w:val="00063EF0"/>
    <w:rsid w:val="0006468D"/>
    <w:rsid w:val="00064E7C"/>
    <w:rsid w:val="00065175"/>
    <w:rsid w:val="00066705"/>
    <w:rsid w:val="00067EA5"/>
    <w:rsid w:val="00070120"/>
    <w:rsid w:val="00071DB4"/>
    <w:rsid w:val="00072489"/>
    <w:rsid w:val="0007285C"/>
    <w:rsid w:val="0007350D"/>
    <w:rsid w:val="000755C1"/>
    <w:rsid w:val="00076BC8"/>
    <w:rsid w:val="00080209"/>
    <w:rsid w:val="000802F8"/>
    <w:rsid w:val="000819DF"/>
    <w:rsid w:val="000837D3"/>
    <w:rsid w:val="00083BFF"/>
    <w:rsid w:val="0008488A"/>
    <w:rsid w:val="000849D1"/>
    <w:rsid w:val="00085034"/>
    <w:rsid w:val="0008651D"/>
    <w:rsid w:val="00086A2E"/>
    <w:rsid w:val="00091FD4"/>
    <w:rsid w:val="000937A5"/>
    <w:rsid w:val="000947A3"/>
    <w:rsid w:val="00096C69"/>
    <w:rsid w:val="000A25C5"/>
    <w:rsid w:val="000A312D"/>
    <w:rsid w:val="000A554D"/>
    <w:rsid w:val="000A7504"/>
    <w:rsid w:val="000B1881"/>
    <w:rsid w:val="000B25C8"/>
    <w:rsid w:val="000B340F"/>
    <w:rsid w:val="000B3625"/>
    <w:rsid w:val="000B3FD3"/>
    <w:rsid w:val="000B7971"/>
    <w:rsid w:val="000C093B"/>
    <w:rsid w:val="000C122A"/>
    <w:rsid w:val="000C1C75"/>
    <w:rsid w:val="000C3867"/>
    <w:rsid w:val="000C3AAF"/>
    <w:rsid w:val="000C3D4A"/>
    <w:rsid w:val="000C6276"/>
    <w:rsid w:val="000C6C27"/>
    <w:rsid w:val="000C7D42"/>
    <w:rsid w:val="000D2F02"/>
    <w:rsid w:val="000D3708"/>
    <w:rsid w:val="000D5F1B"/>
    <w:rsid w:val="000D62F9"/>
    <w:rsid w:val="000D662E"/>
    <w:rsid w:val="000E020C"/>
    <w:rsid w:val="000E0DC9"/>
    <w:rsid w:val="000E2D96"/>
    <w:rsid w:val="000E319D"/>
    <w:rsid w:val="000E566A"/>
    <w:rsid w:val="000E5899"/>
    <w:rsid w:val="000E7022"/>
    <w:rsid w:val="000E7DA1"/>
    <w:rsid w:val="000F03DD"/>
    <w:rsid w:val="000F107F"/>
    <w:rsid w:val="000F44F6"/>
    <w:rsid w:val="000F622D"/>
    <w:rsid w:val="000F6D7B"/>
    <w:rsid w:val="000F734F"/>
    <w:rsid w:val="000F7949"/>
    <w:rsid w:val="00100C84"/>
    <w:rsid w:val="0010149C"/>
    <w:rsid w:val="00102A51"/>
    <w:rsid w:val="00102B0E"/>
    <w:rsid w:val="00103157"/>
    <w:rsid w:val="00103C24"/>
    <w:rsid w:val="00103C76"/>
    <w:rsid w:val="00103FAD"/>
    <w:rsid w:val="0010662E"/>
    <w:rsid w:val="00107751"/>
    <w:rsid w:val="00110652"/>
    <w:rsid w:val="00110CDE"/>
    <w:rsid w:val="00113FDA"/>
    <w:rsid w:val="001142E7"/>
    <w:rsid w:val="00115D90"/>
    <w:rsid w:val="00116170"/>
    <w:rsid w:val="00116C71"/>
    <w:rsid w:val="00117702"/>
    <w:rsid w:val="00117870"/>
    <w:rsid w:val="00117FB6"/>
    <w:rsid w:val="00120AFF"/>
    <w:rsid w:val="00121ACC"/>
    <w:rsid w:val="00122700"/>
    <w:rsid w:val="00122AAF"/>
    <w:rsid w:val="0012388E"/>
    <w:rsid w:val="00124BFA"/>
    <w:rsid w:val="00124E71"/>
    <w:rsid w:val="00125A18"/>
    <w:rsid w:val="00125F31"/>
    <w:rsid w:val="00126C3C"/>
    <w:rsid w:val="00127E84"/>
    <w:rsid w:val="001308FC"/>
    <w:rsid w:val="00131244"/>
    <w:rsid w:val="001323D4"/>
    <w:rsid w:val="00132DA1"/>
    <w:rsid w:val="00133834"/>
    <w:rsid w:val="0013498A"/>
    <w:rsid w:val="0013557E"/>
    <w:rsid w:val="00135C09"/>
    <w:rsid w:val="00136D11"/>
    <w:rsid w:val="001374B9"/>
    <w:rsid w:val="00137D76"/>
    <w:rsid w:val="00137DED"/>
    <w:rsid w:val="00141147"/>
    <w:rsid w:val="00141725"/>
    <w:rsid w:val="00142342"/>
    <w:rsid w:val="00142B22"/>
    <w:rsid w:val="001439DD"/>
    <w:rsid w:val="00145A34"/>
    <w:rsid w:val="00150AC7"/>
    <w:rsid w:val="00153C00"/>
    <w:rsid w:val="001552F9"/>
    <w:rsid w:val="00156FEA"/>
    <w:rsid w:val="00160AF1"/>
    <w:rsid w:val="00160AFF"/>
    <w:rsid w:val="00160BFB"/>
    <w:rsid w:val="0016129B"/>
    <w:rsid w:val="00161FB0"/>
    <w:rsid w:val="00162220"/>
    <w:rsid w:val="00162398"/>
    <w:rsid w:val="00162ED2"/>
    <w:rsid w:val="00164413"/>
    <w:rsid w:val="001671D8"/>
    <w:rsid w:val="00172333"/>
    <w:rsid w:val="00172F4C"/>
    <w:rsid w:val="0017310F"/>
    <w:rsid w:val="001760CB"/>
    <w:rsid w:val="00176254"/>
    <w:rsid w:val="00176A9F"/>
    <w:rsid w:val="00177A1D"/>
    <w:rsid w:val="00180284"/>
    <w:rsid w:val="00181D91"/>
    <w:rsid w:val="001820E7"/>
    <w:rsid w:val="0018319D"/>
    <w:rsid w:val="00185741"/>
    <w:rsid w:val="0018796F"/>
    <w:rsid w:val="001907B5"/>
    <w:rsid w:val="001961E6"/>
    <w:rsid w:val="001974C1"/>
    <w:rsid w:val="001A2E65"/>
    <w:rsid w:val="001A3734"/>
    <w:rsid w:val="001A5A9E"/>
    <w:rsid w:val="001A6A19"/>
    <w:rsid w:val="001A6B97"/>
    <w:rsid w:val="001A766F"/>
    <w:rsid w:val="001B4529"/>
    <w:rsid w:val="001B6938"/>
    <w:rsid w:val="001B7B07"/>
    <w:rsid w:val="001C2A11"/>
    <w:rsid w:val="001C3044"/>
    <w:rsid w:val="001C3FF6"/>
    <w:rsid w:val="001C42C7"/>
    <w:rsid w:val="001C4699"/>
    <w:rsid w:val="001C61AF"/>
    <w:rsid w:val="001C6B19"/>
    <w:rsid w:val="001C74EC"/>
    <w:rsid w:val="001D0547"/>
    <w:rsid w:val="001D3896"/>
    <w:rsid w:val="001D4F2A"/>
    <w:rsid w:val="001D5740"/>
    <w:rsid w:val="001D5EDD"/>
    <w:rsid w:val="001D6653"/>
    <w:rsid w:val="001E0ADF"/>
    <w:rsid w:val="001E1399"/>
    <w:rsid w:val="001E1BF0"/>
    <w:rsid w:val="001E1F68"/>
    <w:rsid w:val="001E26A5"/>
    <w:rsid w:val="001E29CA"/>
    <w:rsid w:val="001E310D"/>
    <w:rsid w:val="001E6656"/>
    <w:rsid w:val="001E7C85"/>
    <w:rsid w:val="001F09F1"/>
    <w:rsid w:val="001F151F"/>
    <w:rsid w:val="001F240F"/>
    <w:rsid w:val="001F31DE"/>
    <w:rsid w:val="001F4090"/>
    <w:rsid w:val="001F4C43"/>
    <w:rsid w:val="001F64C9"/>
    <w:rsid w:val="001F6F20"/>
    <w:rsid w:val="00200BDB"/>
    <w:rsid w:val="00203083"/>
    <w:rsid w:val="0020569F"/>
    <w:rsid w:val="002057A1"/>
    <w:rsid w:val="00205A15"/>
    <w:rsid w:val="00207539"/>
    <w:rsid w:val="00207AC4"/>
    <w:rsid w:val="00211DA3"/>
    <w:rsid w:val="00212BEF"/>
    <w:rsid w:val="00212D78"/>
    <w:rsid w:val="00213517"/>
    <w:rsid w:val="00215200"/>
    <w:rsid w:val="002158A2"/>
    <w:rsid w:val="00216069"/>
    <w:rsid w:val="00216B3D"/>
    <w:rsid w:val="002243B8"/>
    <w:rsid w:val="002314C1"/>
    <w:rsid w:val="00235189"/>
    <w:rsid w:val="002363BD"/>
    <w:rsid w:val="00236424"/>
    <w:rsid w:val="002372D8"/>
    <w:rsid w:val="00242856"/>
    <w:rsid w:val="00242959"/>
    <w:rsid w:val="00243A8E"/>
    <w:rsid w:val="00244441"/>
    <w:rsid w:val="00245446"/>
    <w:rsid w:val="002516D9"/>
    <w:rsid w:val="00252497"/>
    <w:rsid w:val="0025400C"/>
    <w:rsid w:val="002552C7"/>
    <w:rsid w:val="0025641A"/>
    <w:rsid w:val="00257C2E"/>
    <w:rsid w:val="00262B01"/>
    <w:rsid w:val="002639E3"/>
    <w:rsid w:val="00264E0C"/>
    <w:rsid w:val="0026532B"/>
    <w:rsid w:val="002704FC"/>
    <w:rsid w:val="00270982"/>
    <w:rsid w:val="00270E05"/>
    <w:rsid w:val="00272C73"/>
    <w:rsid w:val="00273DE1"/>
    <w:rsid w:val="002749FB"/>
    <w:rsid w:val="00275065"/>
    <w:rsid w:val="002775F1"/>
    <w:rsid w:val="00277F5D"/>
    <w:rsid w:val="00280D90"/>
    <w:rsid w:val="00282396"/>
    <w:rsid w:val="00282EBE"/>
    <w:rsid w:val="002846D4"/>
    <w:rsid w:val="00285D1A"/>
    <w:rsid w:val="00287909"/>
    <w:rsid w:val="0029040C"/>
    <w:rsid w:val="00292B39"/>
    <w:rsid w:val="002954F3"/>
    <w:rsid w:val="00297C2B"/>
    <w:rsid w:val="002A14E8"/>
    <w:rsid w:val="002A254E"/>
    <w:rsid w:val="002A3835"/>
    <w:rsid w:val="002A3B81"/>
    <w:rsid w:val="002A4138"/>
    <w:rsid w:val="002A4C6F"/>
    <w:rsid w:val="002A68DD"/>
    <w:rsid w:val="002A6AFF"/>
    <w:rsid w:val="002B0FE2"/>
    <w:rsid w:val="002B0FF7"/>
    <w:rsid w:val="002B1626"/>
    <w:rsid w:val="002B3983"/>
    <w:rsid w:val="002B3CC6"/>
    <w:rsid w:val="002B6725"/>
    <w:rsid w:val="002C08AA"/>
    <w:rsid w:val="002C0991"/>
    <w:rsid w:val="002C116D"/>
    <w:rsid w:val="002C1B83"/>
    <w:rsid w:val="002C26CF"/>
    <w:rsid w:val="002C3E7C"/>
    <w:rsid w:val="002C768B"/>
    <w:rsid w:val="002C7BD9"/>
    <w:rsid w:val="002D1185"/>
    <w:rsid w:val="002D18EA"/>
    <w:rsid w:val="002D1CCE"/>
    <w:rsid w:val="002D2823"/>
    <w:rsid w:val="002D4803"/>
    <w:rsid w:val="002D5207"/>
    <w:rsid w:val="002D5316"/>
    <w:rsid w:val="002D7D23"/>
    <w:rsid w:val="002E0088"/>
    <w:rsid w:val="002E03CF"/>
    <w:rsid w:val="002E05B3"/>
    <w:rsid w:val="002E4EF9"/>
    <w:rsid w:val="002E51EF"/>
    <w:rsid w:val="002E751F"/>
    <w:rsid w:val="002E787D"/>
    <w:rsid w:val="002F4045"/>
    <w:rsid w:val="002F4A5F"/>
    <w:rsid w:val="002F6674"/>
    <w:rsid w:val="0030015E"/>
    <w:rsid w:val="0030059C"/>
    <w:rsid w:val="00300767"/>
    <w:rsid w:val="0030180A"/>
    <w:rsid w:val="00301E50"/>
    <w:rsid w:val="0030282D"/>
    <w:rsid w:val="00312A5D"/>
    <w:rsid w:val="003130EE"/>
    <w:rsid w:val="003146E2"/>
    <w:rsid w:val="00316FAF"/>
    <w:rsid w:val="0031747B"/>
    <w:rsid w:val="00317EDE"/>
    <w:rsid w:val="00320377"/>
    <w:rsid w:val="003211C9"/>
    <w:rsid w:val="00322B58"/>
    <w:rsid w:val="00324D30"/>
    <w:rsid w:val="00326145"/>
    <w:rsid w:val="00327364"/>
    <w:rsid w:val="00327B7C"/>
    <w:rsid w:val="003313C3"/>
    <w:rsid w:val="00331CB8"/>
    <w:rsid w:val="0033273B"/>
    <w:rsid w:val="003329AF"/>
    <w:rsid w:val="003330E7"/>
    <w:rsid w:val="00333172"/>
    <w:rsid w:val="00333859"/>
    <w:rsid w:val="00334349"/>
    <w:rsid w:val="00334584"/>
    <w:rsid w:val="00335A33"/>
    <w:rsid w:val="003364FD"/>
    <w:rsid w:val="003437E5"/>
    <w:rsid w:val="003438D6"/>
    <w:rsid w:val="00343C2C"/>
    <w:rsid w:val="0034489E"/>
    <w:rsid w:val="00346B96"/>
    <w:rsid w:val="0034721F"/>
    <w:rsid w:val="003474C0"/>
    <w:rsid w:val="003507F0"/>
    <w:rsid w:val="00350F9D"/>
    <w:rsid w:val="00351478"/>
    <w:rsid w:val="00353B1E"/>
    <w:rsid w:val="0035459E"/>
    <w:rsid w:val="0035486E"/>
    <w:rsid w:val="00354A2D"/>
    <w:rsid w:val="00354CD5"/>
    <w:rsid w:val="00360651"/>
    <w:rsid w:val="00360995"/>
    <w:rsid w:val="003612BD"/>
    <w:rsid w:val="00361355"/>
    <w:rsid w:val="00364E33"/>
    <w:rsid w:val="0036583C"/>
    <w:rsid w:val="0036601D"/>
    <w:rsid w:val="0036664B"/>
    <w:rsid w:val="00366908"/>
    <w:rsid w:val="00366929"/>
    <w:rsid w:val="003702A2"/>
    <w:rsid w:val="003727B1"/>
    <w:rsid w:val="00374421"/>
    <w:rsid w:val="00374611"/>
    <w:rsid w:val="00375646"/>
    <w:rsid w:val="0037656C"/>
    <w:rsid w:val="00376FA8"/>
    <w:rsid w:val="0038053F"/>
    <w:rsid w:val="003805D4"/>
    <w:rsid w:val="00381008"/>
    <w:rsid w:val="00381FE5"/>
    <w:rsid w:val="0038240C"/>
    <w:rsid w:val="00382473"/>
    <w:rsid w:val="0038502C"/>
    <w:rsid w:val="0038510F"/>
    <w:rsid w:val="0038594B"/>
    <w:rsid w:val="003902B1"/>
    <w:rsid w:val="003938A6"/>
    <w:rsid w:val="00393C86"/>
    <w:rsid w:val="00393FBA"/>
    <w:rsid w:val="00394B3E"/>
    <w:rsid w:val="003959B3"/>
    <w:rsid w:val="0039714A"/>
    <w:rsid w:val="00397356"/>
    <w:rsid w:val="003A118F"/>
    <w:rsid w:val="003A1AA5"/>
    <w:rsid w:val="003A1DC8"/>
    <w:rsid w:val="003A2C19"/>
    <w:rsid w:val="003A331F"/>
    <w:rsid w:val="003A34BA"/>
    <w:rsid w:val="003A4BB1"/>
    <w:rsid w:val="003A4D48"/>
    <w:rsid w:val="003A64AA"/>
    <w:rsid w:val="003B1766"/>
    <w:rsid w:val="003B17FC"/>
    <w:rsid w:val="003B1F01"/>
    <w:rsid w:val="003B4294"/>
    <w:rsid w:val="003B435B"/>
    <w:rsid w:val="003B5509"/>
    <w:rsid w:val="003B5537"/>
    <w:rsid w:val="003B6AE6"/>
    <w:rsid w:val="003B7EAB"/>
    <w:rsid w:val="003C05DF"/>
    <w:rsid w:val="003C3367"/>
    <w:rsid w:val="003C37A8"/>
    <w:rsid w:val="003C5526"/>
    <w:rsid w:val="003C71BA"/>
    <w:rsid w:val="003D00EC"/>
    <w:rsid w:val="003D132C"/>
    <w:rsid w:val="003D2025"/>
    <w:rsid w:val="003D22BB"/>
    <w:rsid w:val="003D2535"/>
    <w:rsid w:val="003D4317"/>
    <w:rsid w:val="003D497F"/>
    <w:rsid w:val="003D4B27"/>
    <w:rsid w:val="003D560B"/>
    <w:rsid w:val="003E158E"/>
    <w:rsid w:val="003E3975"/>
    <w:rsid w:val="003E484B"/>
    <w:rsid w:val="003E4D08"/>
    <w:rsid w:val="003E6298"/>
    <w:rsid w:val="003F18DB"/>
    <w:rsid w:val="003F1F48"/>
    <w:rsid w:val="003F30D9"/>
    <w:rsid w:val="003F3258"/>
    <w:rsid w:val="003F40D8"/>
    <w:rsid w:val="003F46CB"/>
    <w:rsid w:val="003F6609"/>
    <w:rsid w:val="003F6658"/>
    <w:rsid w:val="00400799"/>
    <w:rsid w:val="0040133A"/>
    <w:rsid w:val="0040192B"/>
    <w:rsid w:val="00401C0E"/>
    <w:rsid w:val="00403BFE"/>
    <w:rsid w:val="004040BF"/>
    <w:rsid w:val="00404552"/>
    <w:rsid w:val="00406AF9"/>
    <w:rsid w:val="00406ECC"/>
    <w:rsid w:val="00407079"/>
    <w:rsid w:val="00407879"/>
    <w:rsid w:val="00410510"/>
    <w:rsid w:val="00410AC4"/>
    <w:rsid w:val="004111FF"/>
    <w:rsid w:val="004117C3"/>
    <w:rsid w:val="00412E8F"/>
    <w:rsid w:val="00413379"/>
    <w:rsid w:val="00414597"/>
    <w:rsid w:val="00414645"/>
    <w:rsid w:val="00414961"/>
    <w:rsid w:val="004153FD"/>
    <w:rsid w:val="00415458"/>
    <w:rsid w:val="00420465"/>
    <w:rsid w:val="004224CB"/>
    <w:rsid w:val="004230FB"/>
    <w:rsid w:val="004247D7"/>
    <w:rsid w:val="004247EC"/>
    <w:rsid w:val="00424EC9"/>
    <w:rsid w:val="004272DB"/>
    <w:rsid w:val="00427A7B"/>
    <w:rsid w:val="00427C0B"/>
    <w:rsid w:val="00432B61"/>
    <w:rsid w:val="00432D36"/>
    <w:rsid w:val="004335BA"/>
    <w:rsid w:val="00434F89"/>
    <w:rsid w:val="00435F18"/>
    <w:rsid w:val="0043600C"/>
    <w:rsid w:val="0044319C"/>
    <w:rsid w:val="00444ADE"/>
    <w:rsid w:val="00446518"/>
    <w:rsid w:val="00446A0F"/>
    <w:rsid w:val="00446E55"/>
    <w:rsid w:val="004511F5"/>
    <w:rsid w:val="004530A8"/>
    <w:rsid w:val="004567B3"/>
    <w:rsid w:val="00456A0C"/>
    <w:rsid w:val="00457656"/>
    <w:rsid w:val="004618A4"/>
    <w:rsid w:val="00461E1A"/>
    <w:rsid w:val="0046218A"/>
    <w:rsid w:val="004650C8"/>
    <w:rsid w:val="004662BE"/>
    <w:rsid w:val="00466666"/>
    <w:rsid w:val="00467CAC"/>
    <w:rsid w:val="0047184D"/>
    <w:rsid w:val="00471B06"/>
    <w:rsid w:val="004725EB"/>
    <w:rsid w:val="00472BA8"/>
    <w:rsid w:val="00473218"/>
    <w:rsid w:val="004737D9"/>
    <w:rsid w:val="00473B7E"/>
    <w:rsid w:val="0047568E"/>
    <w:rsid w:val="00476D6D"/>
    <w:rsid w:val="00483D03"/>
    <w:rsid w:val="00486D58"/>
    <w:rsid w:val="0048732D"/>
    <w:rsid w:val="004874D8"/>
    <w:rsid w:val="00490D64"/>
    <w:rsid w:val="00490EA6"/>
    <w:rsid w:val="00490F9A"/>
    <w:rsid w:val="00491B1D"/>
    <w:rsid w:val="00493E01"/>
    <w:rsid w:val="004946B6"/>
    <w:rsid w:val="00495541"/>
    <w:rsid w:val="00496B11"/>
    <w:rsid w:val="00497669"/>
    <w:rsid w:val="004A1080"/>
    <w:rsid w:val="004A30DC"/>
    <w:rsid w:val="004A3887"/>
    <w:rsid w:val="004A49D1"/>
    <w:rsid w:val="004A5AD6"/>
    <w:rsid w:val="004A6EF6"/>
    <w:rsid w:val="004A75E4"/>
    <w:rsid w:val="004B05AA"/>
    <w:rsid w:val="004B0F17"/>
    <w:rsid w:val="004B1BB2"/>
    <w:rsid w:val="004B6BB9"/>
    <w:rsid w:val="004B7872"/>
    <w:rsid w:val="004C07FF"/>
    <w:rsid w:val="004C1A26"/>
    <w:rsid w:val="004C27BD"/>
    <w:rsid w:val="004C2DD2"/>
    <w:rsid w:val="004C317C"/>
    <w:rsid w:val="004C3674"/>
    <w:rsid w:val="004C3A7B"/>
    <w:rsid w:val="004C4BFE"/>
    <w:rsid w:val="004C52FE"/>
    <w:rsid w:val="004C6280"/>
    <w:rsid w:val="004C6878"/>
    <w:rsid w:val="004C6D01"/>
    <w:rsid w:val="004C7BB6"/>
    <w:rsid w:val="004D01A5"/>
    <w:rsid w:val="004D01DC"/>
    <w:rsid w:val="004D0299"/>
    <w:rsid w:val="004D0E42"/>
    <w:rsid w:val="004D2BEB"/>
    <w:rsid w:val="004D3C7E"/>
    <w:rsid w:val="004D5159"/>
    <w:rsid w:val="004D5B28"/>
    <w:rsid w:val="004E01C1"/>
    <w:rsid w:val="004E11E6"/>
    <w:rsid w:val="004E1B62"/>
    <w:rsid w:val="004E3575"/>
    <w:rsid w:val="004E6632"/>
    <w:rsid w:val="004E69A0"/>
    <w:rsid w:val="004E75FB"/>
    <w:rsid w:val="004E7E33"/>
    <w:rsid w:val="004F2DCA"/>
    <w:rsid w:val="004F31D0"/>
    <w:rsid w:val="004F396C"/>
    <w:rsid w:val="004F3D7D"/>
    <w:rsid w:val="004F48EB"/>
    <w:rsid w:val="004F5474"/>
    <w:rsid w:val="004F63B9"/>
    <w:rsid w:val="0050064A"/>
    <w:rsid w:val="00500731"/>
    <w:rsid w:val="00500A25"/>
    <w:rsid w:val="00500DE4"/>
    <w:rsid w:val="00502906"/>
    <w:rsid w:val="00503B6F"/>
    <w:rsid w:val="00504429"/>
    <w:rsid w:val="005056EA"/>
    <w:rsid w:val="00505887"/>
    <w:rsid w:val="005076B1"/>
    <w:rsid w:val="00513CFD"/>
    <w:rsid w:val="00514394"/>
    <w:rsid w:val="0051543B"/>
    <w:rsid w:val="005156DB"/>
    <w:rsid w:val="00517855"/>
    <w:rsid w:val="0052027B"/>
    <w:rsid w:val="0052035E"/>
    <w:rsid w:val="005210F1"/>
    <w:rsid w:val="005228AC"/>
    <w:rsid w:val="00523A48"/>
    <w:rsid w:val="005240C7"/>
    <w:rsid w:val="005248DF"/>
    <w:rsid w:val="00524A72"/>
    <w:rsid w:val="00526A04"/>
    <w:rsid w:val="00526A6E"/>
    <w:rsid w:val="00527B73"/>
    <w:rsid w:val="00527CA8"/>
    <w:rsid w:val="00530E41"/>
    <w:rsid w:val="0053135F"/>
    <w:rsid w:val="00531A9F"/>
    <w:rsid w:val="00532519"/>
    <w:rsid w:val="00532A7C"/>
    <w:rsid w:val="00532B33"/>
    <w:rsid w:val="00532B5C"/>
    <w:rsid w:val="005336C1"/>
    <w:rsid w:val="00537B3C"/>
    <w:rsid w:val="00540129"/>
    <w:rsid w:val="0054095E"/>
    <w:rsid w:val="00540A37"/>
    <w:rsid w:val="00541C70"/>
    <w:rsid w:val="00541CAC"/>
    <w:rsid w:val="00541CC0"/>
    <w:rsid w:val="005422F2"/>
    <w:rsid w:val="00542A98"/>
    <w:rsid w:val="00545CC4"/>
    <w:rsid w:val="0054623A"/>
    <w:rsid w:val="0054774E"/>
    <w:rsid w:val="00550CA7"/>
    <w:rsid w:val="00551952"/>
    <w:rsid w:val="005538FA"/>
    <w:rsid w:val="00555468"/>
    <w:rsid w:val="0055548D"/>
    <w:rsid w:val="005567B3"/>
    <w:rsid w:val="005604E8"/>
    <w:rsid w:val="0056050B"/>
    <w:rsid w:val="005612CF"/>
    <w:rsid w:val="005614FF"/>
    <w:rsid w:val="00564D9D"/>
    <w:rsid w:val="00570499"/>
    <w:rsid w:val="00570E34"/>
    <w:rsid w:val="0057168E"/>
    <w:rsid w:val="00571C19"/>
    <w:rsid w:val="00571D37"/>
    <w:rsid w:val="0057214A"/>
    <w:rsid w:val="0057242C"/>
    <w:rsid w:val="0057327E"/>
    <w:rsid w:val="005732A1"/>
    <w:rsid w:val="00573CA1"/>
    <w:rsid w:val="00574478"/>
    <w:rsid w:val="00576A7F"/>
    <w:rsid w:val="00577057"/>
    <w:rsid w:val="00580049"/>
    <w:rsid w:val="00584BC4"/>
    <w:rsid w:val="0058528C"/>
    <w:rsid w:val="00586BE0"/>
    <w:rsid w:val="005911A0"/>
    <w:rsid w:val="005A2CAB"/>
    <w:rsid w:val="005A7722"/>
    <w:rsid w:val="005A7A82"/>
    <w:rsid w:val="005B02D8"/>
    <w:rsid w:val="005B049C"/>
    <w:rsid w:val="005B1271"/>
    <w:rsid w:val="005B33E4"/>
    <w:rsid w:val="005B42B6"/>
    <w:rsid w:val="005B4611"/>
    <w:rsid w:val="005B5483"/>
    <w:rsid w:val="005B6E3C"/>
    <w:rsid w:val="005B6EE0"/>
    <w:rsid w:val="005B77E5"/>
    <w:rsid w:val="005C029C"/>
    <w:rsid w:val="005C036F"/>
    <w:rsid w:val="005C04B5"/>
    <w:rsid w:val="005C05EE"/>
    <w:rsid w:val="005C19AF"/>
    <w:rsid w:val="005C35A3"/>
    <w:rsid w:val="005C4A51"/>
    <w:rsid w:val="005C4DA4"/>
    <w:rsid w:val="005C50C7"/>
    <w:rsid w:val="005C6160"/>
    <w:rsid w:val="005C698F"/>
    <w:rsid w:val="005C76D8"/>
    <w:rsid w:val="005C7F24"/>
    <w:rsid w:val="005D25A2"/>
    <w:rsid w:val="005D2A11"/>
    <w:rsid w:val="005D402A"/>
    <w:rsid w:val="005D4C7E"/>
    <w:rsid w:val="005D5187"/>
    <w:rsid w:val="005D7524"/>
    <w:rsid w:val="005D772F"/>
    <w:rsid w:val="005E01E0"/>
    <w:rsid w:val="005E1B68"/>
    <w:rsid w:val="005E2EFA"/>
    <w:rsid w:val="005E3F5A"/>
    <w:rsid w:val="005E4208"/>
    <w:rsid w:val="005E4B9E"/>
    <w:rsid w:val="005E4F89"/>
    <w:rsid w:val="005E535C"/>
    <w:rsid w:val="005F0889"/>
    <w:rsid w:val="005F0A5B"/>
    <w:rsid w:val="005F32F1"/>
    <w:rsid w:val="005F529A"/>
    <w:rsid w:val="005F57F3"/>
    <w:rsid w:val="005F6BEE"/>
    <w:rsid w:val="005F6EF2"/>
    <w:rsid w:val="005F711B"/>
    <w:rsid w:val="00601311"/>
    <w:rsid w:val="0060245E"/>
    <w:rsid w:val="006040A0"/>
    <w:rsid w:val="00605EF3"/>
    <w:rsid w:val="00605F0B"/>
    <w:rsid w:val="00606309"/>
    <w:rsid w:val="00606D64"/>
    <w:rsid w:val="006100DA"/>
    <w:rsid w:val="00613C30"/>
    <w:rsid w:val="00616E46"/>
    <w:rsid w:val="00617F61"/>
    <w:rsid w:val="00620261"/>
    <w:rsid w:val="0062080B"/>
    <w:rsid w:val="00623681"/>
    <w:rsid w:val="00624B90"/>
    <w:rsid w:val="00624E3F"/>
    <w:rsid w:val="006250F2"/>
    <w:rsid w:val="00625543"/>
    <w:rsid w:val="00625E6C"/>
    <w:rsid w:val="00630212"/>
    <w:rsid w:val="00632538"/>
    <w:rsid w:val="00632A68"/>
    <w:rsid w:val="00633D09"/>
    <w:rsid w:val="00633D90"/>
    <w:rsid w:val="00636DFB"/>
    <w:rsid w:val="0063706E"/>
    <w:rsid w:val="00637B1E"/>
    <w:rsid w:val="00640422"/>
    <w:rsid w:val="006415CE"/>
    <w:rsid w:val="00641B70"/>
    <w:rsid w:val="00642176"/>
    <w:rsid w:val="0064223B"/>
    <w:rsid w:val="0064377C"/>
    <w:rsid w:val="00643A4C"/>
    <w:rsid w:val="00644999"/>
    <w:rsid w:val="00645392"/>
    <w:rsid w:val="006460B9"/>
    <w:rsid w:val="00647294"/>
    <w:rsid w:val="00650B75"/>
    <w:rsid w:val="00652585"/>
    <w:rsid w:val="00653C89"/>
    <w:rsid w:val="00654D77"/>
    <w:rsid w:val="00656C3B"/>
    <w:rsid w:val="0065771D"/>
    <w:rsid w:val="00657F59"/>
    <w:rsid w:val="00660AC8"/>
    <w:rsid w:val="00661D2E"/>
    <w:rsid w:val="00663D7A"/>
    <w:rsid w:val="00664524"/>
    <w:rsid w:val="0066710F"/>
    <w:rsid w:val="0066756D"/>
    <w:rsid w:val="006677DD"/>
    <w:rsid w:val="00667E54"/>
    <w:rsid w:val="006710C3"/>
    <w:rsid w:val="00672697"/>
    <w:rsid w:val="00672D2C"/>
    <w:rsid w:val="00674AA4"/>
    <w:rsid w:val="00674C99"/>
    <w:rsid w:val="00675C6D"/>
    <w:rsid w:val="0067703E"/>
    <w:rsid w:val="00681D2B"/>
    <w:rsid w:val="00681E86"/>
    <w:rsid w:val="00685114"/>
    <w:rsid w:val="00685D32"/>
    <w:rsid w:val="00686474"/>
    <w:rsid w:val="006918D1"/>
    <w:rsid w:val="00696699"/>
    <w:rsid w:val="006A5358"/>
    <w:rsid w:val="006A5F66"/>
    <w:rsid w:val="006A685A"/>
    <w:rsid w:val="006A6BD2"/>
    <w:rsid w:val="006A6D34"/>
    <w:rsid w:val="006A6F9A"/>
    <w:rsid w:val="006A7978"/>
    <w:rsid w:val="006B108C"/>
    <w:rsid w:val="006B12B9"/>
    <w:rsid w:val="006B55FC"/>
    <w:rsid w:val="006B65A1"/>
    <w:rsid w:val="006B67E9"/>
    <w:rsid w:val="006C5368"/>
    <w:rsid w:val="006C57B9"/>
    <w:rsid w:val="006C7ADC"/>
    <w:rsid w:val="006D1223"/>
    <w:rsid w:val="006D201B"/>
    <w:rsid w:val="006D23C8"/>
    <w:rsid w:val="006D287B"/>
    <w:rsid w:val="006D3ADC"/>
    <w:rsid w:val="006D4A03"/>
    <w:rsid w:val="006D513D"/>
    <w:rsid w:val="006D51FC"/>
    <w:rsid w:val="006D5A60"/>
    <w:rsid w:val="006D77D7"/>
    <w:rsid w:val="006D7993"/>
    <w:rsid w:val="006E1495"/>
    <w:rsid w:val="006E182A"/>
    <w:rsid w:val="006E36A3"/>
    <w:rsid w:val="006E4F99"/>
    <w:rsid w:val="006E7F4A"/>
    <w:rsid w:val="006F06AF"/>
    <w:rsid w:val="006F1141"/>
    <w:rsid w:val="006F11C5"/>
    <w:rsid w:val="006F2306"/>
    <w:rsid w:val="006F2581"/>
    <w:rsid w:val="006F2EA0"/>
    <w:rsid w:val="006F32C3"/>
    <w:rsid w:val="006F77A2"/>
    <w:rsid w:val="006F7CE7"/>
    <w:rsid w:val="0070276D"/>
    <w:rsid w:val="00703183"/>
    <w:rsid w:val="0070448F"/>
    <w:rsid w:val="00705315"/>
    <w:rsid w:val="00706AA6"/>
    <w:rsid w:val="00710770"/>
    <w:rsid w:val="00711FD2"/>
    <w:rsid w:val="007124A8"/>
    <w:rsid w:val="00712C24"/>
    <w:rsid w:val="00714633"/>
    <w:rsid w:val="00717221"/>
    <w:rsid w:val="00717704"/>
    <w:rsid w:val="00721F8F"/>
    <w:rsid w:val="00724D5B"/>
    <w:rsid w:val="0072710D"/>
    <w:rsid w:val="0072775B"/>
    <w:rsid w:val="007278F1"/>
    <w:rsid w:val="007301C9"/>
    <w:rsid w:val="0073026D"/>
    <w:rsid w:val="0073091E"/>
    <w:rsid w:val="00730DB0"/>
    <w:rsid w:val="0073196E"/>
    <w:rsid w:val="00732DBA"/>
    <w:rsid w:val="0073386D"/>
    <w:rsid w:val="00734BDC"/>
    <w:rsid w:val="00734D3A"/>
    <w:rsid w:val="00734E12"/>
    <w:rsid w:val="007354D4"/>
    <w:rsid w:val="00735A89"/>
    <w:rsid w:val="0073635F"/>
    <w:rsid w:val="007403BB"/>
    <w:rsid w:val="00740D99"/>
    <w:rsid w:val="00740EF5"/>
    <w:rsid w:val="00742660"/>
    <w:rsid w:val="007440A5"/>
    <w:rsid w:val="007451E8"/>
    <w:rsid w:val="00745C19"/>
    <w:rsid w:val="007461DD"/>
    <w:rsid w:val="00747DEA"/>
    <w:rsid w:val="0075084A"/>
    <w:rsid w:val="00751B2D"/>
    <w:rsid w:val="00754BAF"/>
    <w:rsid w:val="00754F37"/>
    <w:rsid w:val="0075689E"/>
    <w:rsid w:val="00760678"/>
    <w:rsid w:val="007606FE"/>
    <w:rsid w:val="0076257D"/>
    <w:rsid w:val="0076423A"/>
    <w:rsid w:val="007646D4"/>
    <w:rsid w:val="00765675"/>
    <w:rsid w:val="007658EF"/>
    <w:rsid w:val="00766192"/>
    <w:rsid w:val="007727BA"/>
    <w:rsid w:val="007736C8"/>
    <w:rsid w:val="0077388C"/>
    <w:rsid w:val="00774CE1"/>
    <w:rsid w:val="007763EE"/>
    <w:rsid w:val="007800AC"/>
    <w:rsid w:val="00782840"/>
    <w:rsid w:val="00782E22"/>
    <w:rsid w:val="00782F98"/>
    <w:rsid w:val="00790012"/>
    <w:rsid w:val="007901C8"/>
    <w:rsid w:val="0079163F"/>
    <w:rsid w:val="00791B66"/>
    <w:rsid w:val="00792064"/>
    <w:rsid w:val="00795572"/>
    <w:rsid w:val="00795ADF"/>
    <w:rsid w:val="00796947"/>
    <w:rsid w:val="0079701C"/>
    <w:rsid w:val="0079752B"/>
    <w:rsid w:val="007A1E70"/>
    <w:rsid w:val="007A2858"/>
    <w:rsid w:val="007A3A40"/>
    <w:rsid w:val="007A5230"/>
    <w:rsid w:val="007A7391"/>
    <w:rsid w:val="007B0EC5"/>
    <w:rsid w:val="007B25CB"/>
    <w:rsid w:val="007B596F"/>
    <w:rsid w:val="007B68A9"/>
    <w:rsid w:val="007B6EE6"/>
    <w:rsid w:val="007C1EAC"/>
    <w:rsid w:val="007C2AD9"/>
    <w:rsid w:val="007C3B39"/>
    <w:rsid w:val="007C3D38"/>
    <w:rsid w:val="007C582F"/>
    <w:rsid w:val="007C742B"/>
    <w:rsid w:val="007D02FE"/>
    <w:rsid w:val="007D125B"/>
    <w:rsid w:val="007D1788"/>
    <w:rsid w:val="007D180F"/>
    <w:rsid w:val="007D1CAD"/>
    <w:rsid w:val="007D232F"/>
    <w:rsid w:val="007D376C"/>
    <w:rsid w:val="007D500C"/>
    <w:rsid w:val="007D7DF5"/>
    <w:rsid w:val="007E0159"/>
    <w:rsid w:val="007E13D2"/>
    <w:rsid w:val="007E1441"/>
    <w:rsid w:val="007E1667"/>
    <w:rsid w:val="007E29D6"/>
    <w:rsid w:val="007E36EE"/>
    <w:rsid w:val="007E47E2"/>
    <w:rsid w:val="007E5D7D"/>
    <w:rsid w:val="007E5F0B"/>
    <w:rsid w:val="007F127E"/>
    <w:rsid w:val="007F1495"/>
    <w:rsid w:val="007F2C8D"/>
    <w:rsid w:val="007F2CDE"/>
    <w:rsid w:val="007F4727"/>
    <w:rsid w:val="008013F4"/>
    <w:rsid w:val="00803E71"/>
    <w:rsid w:val="00804E37"/>
    <w:rsid w:val="00805660"/>
    <w:rsid w:val="008060E4"/>
    <w:rsid w:val="00806B6A"/>
    <w:rsid w:val="0080708F"/>
    <w:rsid w:val="0080719A"/>
    <w:rsid w:val="00811537"/>
    <w:rsid w:val="00811735"/>
    <w:rsid w:val="00811A69"/>
    <w:rsid w:val="00811D3A"/>
    <w:rsid w:val="0081319F"/>
    <w:rsid w:val="00813399"/>
    <w:rsid w:val="00813A4F"/>
    <w:rsid w:val="0081669F"/>
    <w:rsid w:val="00817C23"/>
    <w:rsid w:val="00822429"/>
    <w:rsid w:val="0082268B"/>
    <w:rsid w:val="00824608"/>
    <w:rsid w:val="008325B9"/>
    <w:rsid w:val="008332E9"/>
    <w:rsid w:val="0083379C"/>
    <w:rsid w:val="00833D09"/>
    <w:rsid w:val="00833FA4"/>
    <w:rsid w:val="0083638A"/>
    <w:rsid w:val="008370FD"/>
    <w:rsid w:val="008407D7"/>
    <w:rsid w:val="00841578"/>
    <w:rsid w:val="00842931"/>
    <w:rsid w:val="0084450E"/>
    <w:rsid w:val="00844F62"/>
    <w:rsid w:val="0084527F"/>
    <w:rsid w:val="008457C6"/>
    <w:rsid w:val="00846DFB"/>
    <w:rsid w:val="008473EB"/>
    <w:rsid w:val="00847BE7"/>
    <w:rsid w:val="008512B1"/>
    <w:rsid w:val="00851F84"/>
    <w:rsid w:val="00853274"/>
    <w:rsid w:val="00853FEC"/>
    <w:rsid w:val="00854476"/>
    <w:rsid w:val="0085535C"/>
    <w:rsid w:val="008570A8"/>
    <w:rsid w:val="00860B7E"/>
    <w:rsid w:val="008622BC"/>
    <w:rsid w:val="008628DC"/>
    <w:rsid w:val="00862FED"/>
    <w:rsid w:val="008646ED"/>
    <w:rsid w:val="00864E6E"/>
    <w:rsid w:val="00865600"/>
    <w:rsid w:val="00866A20"/>
    <w:rsid w:val="00866ADF"/>
    <w:rsid w:val="00866C87"/>
    <w:rsid w:val="00867C78"/>
    <w:rsid w:val="00871B6A"/>
    <w:rsid w:val="00871E23"/>
    <w:rsid w:val="0087355E"/>
    <w:rsid w:val="0087488F"/>
    <w:rsid w:val="00874DEB"/>
    <w:rsid w:val="0087597D"/>
    <w:rsid w:val="0087667E"/>
    <w:rsid w:val="008778C9"/>
    <w:rsid w:val="00883BBA"/>
    <w:rsid w:val="00884702"/>
    <w:rsid w:val="00884C50"/>
    <w:rsid w:val="00885692"/>
    <w:rsid w:val="00885AA8"/>
    <w:rsid w:val="00885D7C"/>
    <w:rsid w:val="008866B7"/>
    <w:rsid w:val="008871D3"/>
    <w:rsid w:val="00887CE6"/>
    <w:rsid w:val="00890BD6"/>
    <w:rsid w:val="00890C76"/>
    <w:rsid w:val="00893A47"/>
    <w:rsid w:val="00894178"/>
    <w:rsid w:val="0089442E"/>
    <w:rsid w:val="00894E5E"/>
    <w:rsid w:val="008A1113"/>
    <w:rsid w:val="008A132F"/>
    <w:rsid w:val="008A1DDB"/>
    <w:rsid w:val="008A2D19"/>
    <w:rsid w:val="008A6F12"/>
    <w:rsid w:val="008B076E"/>
    <w:rsid w:val="008B0A2B"/>
    <w:rsid w:val="008B0E89"/>
    <w:rsid w:val="008B1C42"/>
    <w:rsid w:val="008B23A4"/>
    <w:rsid w:val="008B2545"/>
    <w:rsid w:val="008B42E0"/>
    <w:rsid w:val="008B5B28"/>
    <w:rsid w:val="008B5C3D"/>
    <w:rsid w:val="008B5D93"/>
    <w:rsid w:val="008B5FA5"/>
    <w:rsid w:val="008B6E23"/>
    <w:rsid w:val="008B7BC1"/>
    <w:rsid w:val="008C13D2"/>
    <w:rsid w:val="008C25BA"/>
    <w:rsid w:val="008C323C"/>
    <w:rsid w:val="008C48EB"/>
    <w:rsid w:val="008C650C"/>
    <w:rsid w:val="008C788B"/>
    <w:rsid w:val="008D036B"/>
    <w:rsid w:val="008D056C"/>
    <w:rsid w:val="008D0E98"/>
    <w:rsid w:val="008D353B"/>
    <w:rsid w:val="008E2BDF"/>
    <w:rsid w:val="008E3C38"/>
    <w:rsid w:val="008E49A9"/>
    <w:rsid w:val="008E7544"/>
    <w:rsid w:val="008F18E8"/>
    <w:rsid w:val="008F3508"/>
    <w:rsid w:val="008F4D32"/>
    <w:rsid w:val="008F5D45"/>
    <w:rsid w:val="008F5E4F"/>
    <w:rsid w:val="008F60FF"/>
    <w:rsid w:val="008F6565"/>
    <w:rsid w:val="008F66CE"/>
    <w:rsid w:val="008F6D3B"/>
    <w:rsid w:val="009010C9"/>
    <w:rsid w:val="00902BF6"/>
    <w:rsid w:val="00902C0E"/>
    <w:rsid w:val="0090306D"/>
    <w:rsid w:val="009045A0"/>
    <w:rsid w:val="0090599F"/>
    <w:rsid w:val="00911553"/>
    <w:rsid w:val="0091243D"/>
    <w:rsid w:val="00914B18"/>
    <w:rsid w:val="00916626"/>
    <w:rsid w:val="009168DC"/>
    <w:rsid w:val="00916A29"/>
    <w:rsid w:val="00917603"/>
    <w:rsid w:val="009209D7"/>
    <w:rsid w:val="00921676"/>
    <w:rsid w:val="009216CE"/>
    <w:rsid w:val="009225E6"/>
    <w:rsid w:val="0092417F"/>
    <w:rsid w:val="00926D56"/>
    <w:rsid w:val="00926ED0"/>
    <w:rsid w:val="00926FC5"/>
    <w:rsid w:val="00927DA4"/>
    <w:rsid w:val="0093078A"/>
    <w:rsid w:val="00933C8C"/>
    <w:rsid w:val="0093576F"/>
    <w:rsid w:val="0093641D"/>
    <w:rsid w:val="00940ACC"/>
    <w:rsid w:val="009414DB"/>
    <w:rsid w:val="00941D38"/>
    <w:rsid w:val="009432D8"/>
    <w:rsid w:val="009442E3"/>
    <w:rsid w:val="00944516"/>
    <w:rsid w:val="00945E9B"/>
    <w:rsid w:val="00946AEF"/>
    <w:rsid w:val="0094776D"/>
    <w:rsid w:val="009477CA"/>
    <w:rsid w:val="00947EE9"/>
    <w:rsid w:val="00950094"/>
    <w:rsid w:val="00951DAE"/>
    <w:rsid w:val="00952EB4"/>
    <w:rsid w:val="009534ED"/>
    <w:rsid w:val="00953BBB"/>
    <w:rsid w:val="00955229"/>
    <w:rsid w:val="00955F74"/>
    <w:rsid w:val="00956C1E"/>
    <w:rsid w:val="00957196"/>
    <w:rsid w:val="00961DAE"/>
    <w:rsid w:val="009633E5"/>
    <w:rsid w:val="00964046"/>
    <w:rsid w:val="00965341"/>
    <w:rsid w:val="00965EB5"/>
    <w:rsid w:val="0096715D"/>
    <w:rsid w:val="00972D30"/>
    <w:rsid w:val="00972DB0"/>
    <w:rsid w:val="00973C3A"/>
    <w:rsid w:val="0097448B"/>
    <w:rsid w:val="00975088"/>
    <w:rsid w:val="00975B6A"/>
    <w:rsid w:val="009764EF"/>
    <w:rsid w:val="0097669C"/>
    <w:rsid w:val="00983726"/>
    <w:rsid w:val="00985858"/>
    <w:rsid w:val="00990623"/>
    <w:rsid w:val="00991532"/>
    <w:rsid w:val="00991F67"/>
    <w:rsid w:val="0099469B"/>
    <w:rsid w:val="009954CF"/>
    <w:rsid w:val="00995513"/>
    <w:rsid w:val="009955F4"/>
    <w:rsid w:val="00996FC3"/>
    <w:rsid w:val="009A0160"/>
    <w:rsid w:val="009A2816"/>
    <w:rsid w:val="009A468D"/>
    <w:rsid w:val="009A4D67"/>
    <w:rsid w:val="009B0A8D"/>
    <w:rsid w:val="009B10D7"/>
    <w:rsid w:val="009B1236"/>
    <w:rsid w:val="009B2DA1"/>
    <w:rsid w:val="009B40E0"/>
    <w:rsid w:val="009B4AFA"/>
    <w:rsid w:val="009B53E8"/>
    <w:rsid w:val="009B640A"/>
    <w:rsid w:val="009B6E95"/>
    <w:rsid w:val="009C3477"/>
    <w:rsid w:val="009C34D3"/>
    <w:rsid w:val="009C3842"/>
    <w:rsid w:val="009C656B"/>
    <w:rsid w:val="009C676E"/>
    <w:rsid w:val="009C6C0E"/>
    <w:rsid w:val="009C6F9A"/>
    <w:rsid w:val="009D17C1"/>
    <w:rsid w:val="009D17DB"/>
    <w:rsid w:val="009D2B8D"/>
    <w:rsid w:val="009D38F3"/>
    <w:rsid w:val="009D4447"/>
    <w:rsid w:val="009D5555"/>
    <w:rsid w:val="009D69D8"/>
    <w:rsid w:val="009D6FB8"/>
    <w:rsid w:val="009D7C81"/>
    <w:rsid w:val="009E0983"/>
    <w:rsid w:val="009E20B6"/>
    <w:rsid w:val="009E3551"/>
    <w:rsid w:val="009E399D"/>
    <w:rsid w:val="009E4CBE"/>
    <w:rsid w:val="009E7999"/>
    <w:rsid w:val="009F0828"/>
    <w:rsid w:val="009F0D42"/>
    <w:rsid w:val="009F1475"/>
    <w:rsid w:val="009F155C"/>
    <w:rsid w:val="009F16FA"/>
    <w:rsid w:val="009F33AF"/>
    <w:rsid w:val="009F71CD"/>
    <w:rsid w:val="00A003A8"/>
    <w:rsid w:val="00A01515"/>
    <w:rsid w:val="00A02FE7"/>
    <w:rsid w:val="00A04BEA"/>
    <w:rsid w:val="00A05A3F"/>
    <w:rsid w:val="00A067E0"/>
    <w:rsid w:val="00A1026C"/>
    <w:rsid w:val="00A12F8E"/>
    <w:rsid w:val="00A1370E"/>
    <w:rsid w:val="00A1438B"/>
    <w:rsid w:val="00A14671"/>
    <w:rsid w:val="00A14AF2"/>
    <w:rsid w:val="00A165C4"/>
    <w:rsid w:val="00A16A45"/>
    <w:rsid w:val="00A2082C"/>
    <w:rsid w:val="00A21362"/>
    <w:rsid w:val="00A22F44"/>
    <w:rsid w:val="00A249C9"/>
    <w:rsid w:val="00A255A2"/>
    <w:rsid w:val="00A32E99"/>
    <w:rsid w:val="00A33956"/>
    <w:rsid w:val="00A3514D"/>
    <w:rsid w:val="00A3520A"/>
    <w:rsid w:val="00A358C0"/>
    <w:rsid w:val="00A361FE"/>
    <w:rsid w:val="00A36758"/>
    <w:rsid w:val="00A37CA1"/>
    <w:rsid w:val="00A406B7"/>
    <w:rsid w:val="00A43EB8"/>
    <w:rsid w:val="00A446A7"/>
    <w:rsid w:val="00A452CC"/>
    <w:rsid w:val="00A45F98"/>
    <w:rsid w:val="00A5115F"/>
    <w:rsid w:val="00A53BB9"/>
    <w:rsid w:val="00A55864"/>
    <w:rsid w:val="00A56FE3"/>
    <w:rsid w:val="00A6091A"/>
    <w:rsid w:val="00A61181"/>
    <w:rsid w:val="00A62FB3"/>
    <w:rsid w:val="00A64FE9"/>
    <w:rsid w:val="00A659C8"/>
    <w:rsid w:val="00A65A41"/>
    <w:rsid w:val="00A6702C"/>
    <w:rsid w:val="00A675FF"/>
    <w:rsid w:val="00A676A0"/>
    <w:rsid w:val="00A67C49"/>
    <w:rsid w:val="00A7711C"/>
    <w:rsid w:val="00A80BFB"/>
    <w:rsid w:val="00A8125A"/>
    <w:rsid w:val="00A81D28"/>
    <w:rsid w:val="00A8334E"/>
    <w:rsid w:val="00A83846"/>
    <w:rsid w:val="00A84D71"/>
    <w:rsid w:val="00A853F0"/>
    <w:rsid w:val="00A86D22"/>
    <w:rsid w:val="00A86E62"/>
    <w:rsid w:val="00A8709D"/>
    <w:rsid w:val="00A8754D"/>
    <w:rsid w:val="00A92186"/>
    <w:rsid w:val="00A92C8E"/>
    <w:rsid w:val="00A935AA"/>
    <w:rsid w:val="00A95425"/>
    <w:rsid w:val="00A9568C"/>
    <w:rsid w:val="00A97BA6"/>
    <w:rsid w:val="00AA065B"/>
    <w:rsid w:val="00AA23A3"/>
    <w:rsid w:val="00AA34D0"/>
    <w:rsid w:val="00AA4BD1"/>
    <w:rsid w:val="00AA5F33"/>
    <w:rsid w:val="00AA61BF"/>
    <w:rsid w:val="00AA7834"/>
    <w:rsid w:val="00AB026D"/>
    <w:rsid w:val="00AB4D48"/>
    <w:rsid w:val="00AB504D"/>
    <w:rsid w:val="00AB54A4"/>
    <w:rsid w:val="00AC13E8"/>
    <w:rsid w:val="00AC19EA"/>
    <w:rsid w:val="00AC1C70"/>
    <w:rsid w:val="00AC2F71"/>
    <w:rsid w:val="00AC3FFD"/>
    <w:rsid w:val="00AC4A20"/>
    <w:rsid w:val="00AD02FE"/>
    <w:rsid w:val="00AD267B"/>
    <w:rsid w:val="00AD4F5E"/>
    <w:rsid w:val="00AD7197"/>
    <w:rsid w:val="00AD7411"/>
    <w:rsid w:val="00AE054E"/>
    <w:rsid w:val="00AE350F"/>
    <w:rsid w:val="00AE3D45"/>
    <w:rsid w:val="00AE484A"/>
    <w:rsid w:val="00AE6BB4"/>
    <w:rsid w:val="00AE726A"/>
    <w:rsid w:val="00AE7C36"/>
    <w:rsid w:val="00AF28BF"/>
    <w:rsid w:val="00AF2E6C"/>
    <w:rsid w:val="00AF49D6"/>
    <w:rsid w:val="00AF57ED"/>
    <w:rsid w:val="00AF6969"/>
    <w:rsid w:val="00AF7F5F"/>
    <w:rsid w:val="00B018E0"/>
    <w:rsid w:val="00B02F4C"/>
    <w:rsid w:val="00B03946"/>
    <w:rsid w:val="00B05955"/>
    <w:rsid w:val="00B1001E"/>
    <w:rsid w:val="00B12AE5"/>
    <w:rsid w:val="00B12F69"/>
    <w:rsid w:val="00B13BC5"/>
    <w:rsid w:val="00B156C3"/>
    <w:rsid w:val="00B17E8A"/>
    <w:rsid w:val="00B208D1"/>
    <w:rsid w:val="00B21524"/>
    <w:rsid w:val="00B217D7"/>
    <w:rsid w:val="00B2223C"/>
    <w:rsid w:val="00B22364"/>
    <w:rsid w:val="00B2260E"/>
    <w:rsid w:val="00B24BC2"/>
    <w:rsid w:val="00B25BF0"/>
    <w:rsid w:val="00B26141"/>
    <w:rsid w:val="00B26206"/>
    <w:rsid w:val="00B30A6F"/>
    <w:rsid w:val="00B317A9"/>
    <w:rsid w:val="00B31B5D"/>
    <w:rsid w:val="00B32CB6"/>
    <w:rsid w:val="00B333EB"/>
    <w:rsid w:val="00B33E16"/>
    <w:rsid w:val="00B35520"/>
    <w:rsid w:val="00B361B3"/>
    <w:rsid w:val="00B4106C"/>
    <w:rsid w:val="00B41B89"/>
    <w:rsid w:val="00B43128"/>
    <w:rsid w:val="00B4319A"/>
    <w:rsid w:val="00B44132"/>
    <w:rsid w:val="00B4571B"/>
    <w:rsid w:val="00B461D8"/>
    <w:rsid w:val="00B506BB"/>
    <w:rsid w:val="00B51176"/>
    <w:rsid w:val="00B527CA"/>
    <w:rsid w:val="00B52DE0"/>
    <w:rsid w:val="00B539DB"/>
    <w:rsid w:val="00B563CB"/>
    <w:rsid w:val="00B570B9"/>
    <w:rsid w:val="00B57298"/>
    <w:rsid w:val="00B6162C"/>
    <w:rsid w:val="00B7252B"/>
    <w:rsid w:val="00B7579E"/>
    <w:rsid w:val="00B76243"/>
    <w:rsid w:val="00B76549"/>
    <w:rsid w:val="00B81307"/>
    <w:rsid w:val="00B81E79"/>
    <w:rsid w:val="00B83CC1"/>
    <w:rsid w:val="00B840D5"/>
    <w:rsid w:val="00B841B8"/>
    <w:rsid w:val="00B8430A"/>
    <w:rsid w:val="00B84418"/>
    <w:rsid w:val="00B84C8D"/>
    <w:rsid w:val="00B87077"/>
    <w:rsid w:val="00B910C5"/>
    <w:rsid w:val="00B9168A"/>
    <w:rsid w:val="00B91E0D"/>
    <w:rsid w:val="00B929BF"/>
    <w:rsid w:val="00B9396A"/>
    <w:rsid w:val="00B940BD"/>
    <w:rsid w:val="00B949C4"/>
    <w:rsid w:val="00B96B15"/>
    <w:rsid w:val="00B972F1"/>
    <w:rsid w:val="00B979B3"/>
    <w:rsid w:val="00BA0910"/>
    <w:rsid w:val="00BA174F"/>
    <w:rsid w:val="00BA2473"/>
    <w:rsid w:val="00BA5B25"/>
    <w:rsid w:val="00BA6BD9"/>
    <w:rsid w:val="00BA6E68"/>
    <w:rsid w:val="00BA7919"/>
    <w:rsid w:val="00BB1340"/>
    <w:rsid w:val="00BB4275"/>
    <w:rsid w:val="00BB70CB"/>
    <w:rsid w:val="00BC07E0"/>
    <w:rsid w:val="00BC1F4F"/>
    <w:rsid w:val="00BC203D"/>
    <w:rsid w:val="00BC2A67"/>
    <w:rsid w:val="00BC2F8A"/>
    <w:rsid w:val="00BC38B6"/>
    <w:rsid w:val="00BC3F2B"/>
    <w:rsid w:val="00BC5644"/>
    <w:rsid w:val="00BC572A"/>
    <w:rsid w:val="00BC5835"/>
    <w:rsid w:val="00BC5848"/>
    <w:rsid w:val="00BC79BC"/>
    <w:rsid w:val="00BD243D"/>
    <w:rsid w:val="00BD3584"/>
    <w:rsid w:val="00BD385A"/>
    <w:rsid w:val="00BD6688"/>
    <w:rsid w:val="00BE0B26"/>
    <w:rsid w:val="00BE31A3"/>
    <w:rsid w:val="00BE65DA"/>
    <w:rsid w:val="00BE6E92"/>
    <w:rsid w:val="00BE74E1"/>
    <w:rsid w:val="00BF2050"/>
    <w:rsid w:val="00BF388B"/>
    <w:rsid w:val="00BF661B"/>
    <w:rsid w:val="00BF6F4C"/>
    <w:rsid w:val="00C00005"/>
    <w:rsid w:val="00C002B5"/>
    <w:rsid w:val="00C00A75"/>
    <w:rsid w:val="00C022E0"/>
    <w:rsid w:val="00C02D5D"/>
    <w:rsid w:val="00C02FEB"/>
    <w:rsid w:val="00C03DF0"/>
    <w:rsid w:val="00C0726C"/>
    <w:rsid w:val="00C10F0B"/>
    <w:rsid w:val="00C14158"/>
    <w:rsid w:val="00C16ED3"/>
    <w:rsid w:val="00C170B0"/>
    <w:rsid w:val="00C171F4"/>
    <w:rsid w:val="00C176E2"/>
    <w:rsid w:val="00C17B89"/>
    <w:rsid w:val="00C206FD"/>
    <w:rsid w:val="00C20F45"/>
    <w:rsid w:val="00C216E0"/>
    <w:rsid w:val="00C21CA5"/>
    <w:rsid w:val="00C24ED5"/>
    <w:rsid w:val="00C312B8"/>
    <w:rsid w:val="00C31B1F"/>
    <w:rsid w:val="00C325C0"/>
    <w:rsid w:val="00C3285B"/>
    <w:rsid w:val="00C3315A"/>
    <w:rsid w:val="00C337FC"/>
    <w:rsid w:val="00C3416D"/>
    <w:rsid w:val="00C346FB"/>
    <w:rsid w:val="00C357A4"/>
    <w:rsid w:val="00C40B38"/>
    <w:rsid w:val="00C43846"/>
    <w:rsid w:val="00C45010"/>
    <w:rsid w:val="00C45DFD"/>
    <w:rsid w:val="00C46365"/>
    <w:rsid w:val="00C472EB"/>
    <w:rsid w:val="00C4736F"/>
    <w:rsid w:val="00C474AE"/>
    <w:rsid w:val="00C4781F"/>
    <w:rsid w:val="00C50E52"/>
    <w:rsid w:val="00C54FD0"/>
    <w:rsid w:val="00C5592A"/>
    <w:rsid w:val="00C56878"/>
    <w:rsid w:val="00C6289C"/>
    <w:rsid w:val="00C63341"/>
    <w:rsid w:val="00C63901"/>
    <w:rsid w:val="00C640BF"/>
    <w:rsid w:val="00C663F0"/>
    <w:rsid w:val="00C6674B"/>
    <w:rsid w:val="00C66E40"/>
    <w:rsid w:val="00C66FEC"/>
    <w:rsid w:val="00C70324"/>
    <w:rsid w:val="00C7060E"/>
    <w:rsid w:val="00C71FC3"/>
    <w:rsid w:val="00C7212A"/>
    <w:rsid w:val="00C73BB4"/>
    <w:rsid w:val="00C744B4"/>
    <w:rsid w:val="00C74E78"/>
    <w:rsid w:val="00C758C8"/>
    <w:rsid w:val="00C76CE5"/>
    <w:rsid w:val="00C77F86"/>
    <w:rsid w:val="00C81441"/>
    <w:rsid w:val="00C819C5"/>
    <w:rsid w:val="00C81FC8"/>
    <w:rsid w:val="00C82D0E"/>
    <w:rsid w:val="00C830C8"/>
    <w:rsid w:val="00C84262"/>
    <w:rsid w:val="00C8542D"/>
    <w:rsid w:val="00C871FB"/>
    <w:rsid w:val="00C872C2"/>
    <w:rsid w:val="00C9224B"/>
    <w:rsid w:val="00C9367C"/>
    <w:rsid w:val="00C93D34"/>
    <w:rsid w:val="00C95686"/>
    <w:rsid w:val="00C96095"/>
    <w:rsid w:val="00C9640B"/>
    <w:rsid w:val="00C96FD2"/>
    <w:rsid w:val="00CA01D6"/>
    <w:rsid w:val="00CA025C"/>
    <w:rsid w:val="00CA24C3"/>
    <w:rsid w:val="00CA2DCF"/>
    <w:rsid w:val="00CA391C"/>
    <w:rsid w:val="00CA43A5"/>
    <w:rsid w:val="00CA5396"/>
    <w:rsid w:val="00CA5B1E"/>
    <w:rsid w:val="00CA5C15"/>
    <w:rsid w:val="00CA7961"/>
    <w:rsid w:val="00CA7E67"/>
    <w:rsid w:val="00CB0273"/>
    <w:rsid w:val="00CB15A5"/>
    <w:rsid w:val="00CB1B2F"/>
    <w:rsid w:val="00CB2FE9"/>
    <w:rsid w:val="00CB33FE"/>
    <w:rsid w:val="00CB41AE"/>
    <w:rsid w:val="00CB450F"/>
    <w:rsid w:val="00CB46FA"/>
    <w:rsid w:val="00CB6E9E"/>
    <w:rsid w:val="00CB6F76"/>
    <w:rsid w:val="00CB7BF1"/>
    <w:rsid w:val="00CC0A9C"/>
    <w:rsid w:val="00CC152C"/>
    <w:rsid w:val="00CC2842"/>
    <w:rsid w:val="00CC3878"/>
    <w:rsid w:val="00CC5E86"/>
    <w:rsid w:val="00CC7DA8"/>
    <w:rsid w:val="00CD01B3"/>
    <w:rsid w:val="00CD0A76"/>
    <w:rsid w:val="00CD16B8"/>
    <w:rsid w:val="00CD19C4"/>
    <w:rsid w:val="00CD27DE"/>
    <w:rsid w:val="00CD4734"/>
    <w:rsid w:val="00CD67B3"/>
    <w:rsid w:val="00CD704A"/>
    <w:rsid w:val="00CD72DA"/>
    <w:rsid w:val="00CE1E70"/>
    <w:rsid w:val="00CE6F08"/>
    <w:rsid w:val="00CE726F"/>
    <w:rsid w:val="00CF049F"/>
    <w:rsid w:val="00CF382C"/>
    <w:rsid w:val="00CF4604"/>
    <w:rsid w:val="00CF66A3"/>
    <w:rsid w:val="00CF6ED9"/>
    <w:rsid w:val="00CF7E8E"/>
    <w:rsid w:val="00D026D2"/>
    <w:rsid w:val="00D03FEE"/>
    <w:rsid w:val="00D04361"/>
    <w:rsid w:val="00D04A1B"/>
    <w:rsid w:val="00D05583"/>
    <w:rsid w:val="00D05B80"/>
    <w:rsid w:val="00D06644"/>
    <w:rsid w:val="00D11B92"/>
    <w:rsid w:val="00D11DED"/>
    <w:rsid w:val="00D123A3"/>
    <w:rsid w:val="00D12943"/>
    <w:rsid w:val="00D15D85"/>
    <w:rsid w:val="00D1792E"/>
    <w:rsid w:val="00D21517"/>
    <w:rsid w:val="00D21736"/>
    <w:rsid w:val="00D2336E"/>
    <w:rsid w:val="00D23404"/>
    <w:rsid w:val="00D23EF4"/>
    <w:rsid w:val="00D257EA"/>
    <w:rsid w:val="00D27B2A"/>
    <w:rsid w:val="00D3129E"/>
    <w:rsid w:val="00D331DA"/>
    <w:rsid w:val="00D3488A"/>
    <w:rsid w:val="00D34D77"/>
    <w:rsid w:val="00D34FF2"/>
    <w:rsid w:val="00D36E4F"/>
    <w:rsid w:val="00D3720C"/>
    <w:rsid w:val="00D41B77"/>
    <w:rsid w:val="00D41C90"/>
    <w:rsid w:val="00D43605"/>
    <w:rsid w:val="00D44794"/>
    <w:rsid w:val="00D456CD"/>
    <w:rsid w:val="00D476C0"/>
    <w:rsid w:val="00D47ACE"/>
    <w:rsid w:val="00D47D03"/>
    <w:rsid w:val="00D47F15"/>
    <w:rsid w:val="00D5026A"/>
    <w:rsid w:val="00D514A7"/>
    <w:rsid w:val="00D51BB0"/>
    <w:rsid w:val="00D53276"/>
    <w:rsid w:val="00D53EE4"/>
    <w:rsid w:val="00D54804"/>
    <w:rsid w:val="00D5634F"/>
    <w:rsid w:val="00D563FD"/>
    <w:rsid w:val="00D601FA"/>
    <w:rsid w:val="00D604A6"/>
    <w:rsid w:val="00D605BD"/>
    <w:rsid w:val="00D6061D"/>
    <w:rsid w:val="00D609F0"/>
    <w:rsid w:val="00D62FC0"/>
    <w:rsid w:val="00D6320A"/>
    <w:rsid w:val="00D63C0E"/>
    <w:rsid w:val="00D647B3"/>
    <w:rsid w:val="00D65351"/>
    <w:rsid w:val="00D65462"/>
    <w:rsid w:val="00D667B4"/>
    <w:rsid w:val="00D67CFF"/>
    <w:rsid w:val="00D705DB"/>
    <w:rsid w:val="00D706D7"/>
    <w:rsid w:val="00D72A60"/>
    <w:rsid w:val="00D74E8F"/>
    <w:rsid w:val="00D766E8"/>
    <w:rsid w:val="00D76807"/>
    <w:rsid w:val="00D77869"/>
    <w:rsid w:val="00D77F79"/>
    <w:rsid w:val="00D81464"/>
    <w:rsid w:val="00D82E22"/>
    <w:rsid w:val="00D833B4"/>
    <w:rsid w:val="00D84014"/>
    <w:rsid w:val="00D84A7D"/>
    <w:rsid w:val="00D8514F"/>
    <w:rsid w:val="00D87043"/>
    <w:rsid w:val="00D87414"/>
    <w:rsid w:val="00D90ADB"/>
    <w:rsid w:val="00D959C2"/>
    <w:rsid w:val="00DA0FF7"/>
    <w:rsid w:val="00DA722C"/>
    <w:rsid w:val="00DA7843"/>
    <w:rsid w:val="00DB0FF6"/>
    <w:rsid w:val="00DB1015"/>
    <w:rsid w:val="00DB55CE"/>
    <w:rsid w:val="00DB5F4E"/>
    <w:rsid w:val="00DB652E"/>
    <w:rsid w:val="00DB67E9"/>
    <w:rsid w:val="00DB6CA1"/>
    <w:rsid w:val="00DC1E55"/>
    <w:rsid w:val="00DC22EB"/>
    <w:rsid w:val="00DC3B45"/>
    <w:rsid w:val="00DD0D38"/>
    <w:rsid w:val="00DD0D67"/>
    <w:rsid w:val="00DD16E2"/>
    <w:rsid w:val="00DD2543"/>
    <w:rsid w:val="00DD51F6"/>
    <w:rsid w:val="00DD5332"/>
    <w:rsid w:val="00DD5839"/>
    <w:rsid w:val="00DD612C"/>
    <w:rsid w:val="00DD69A2"/>
    <w:rsid w:val="00DE0E44"/>
    <w:rsid w:val="00DE45EC"/>
    <w:rsid w:val="00DE5E98"/>
    <w:rsid w:val="00DE66D7"/>
    <w:rsid w:val="00DF0775"/>
    <w:rsid w:val="00DF19E6"/>
    <w:rsid w:val="00DF2EBC"/>
    <w:rsid w:val="00DF39CD"/>
    <w:rsid w:val="00DF3D97"/>
    <w:rsid w:val="00DF4271"/>
    <w:rsid w:val="00DF61F5"/>
    <w:rsid w:val="00DF6CE3"/>
    <w:rsid w:val="00DF6DDC"/>
    <w:rsid w:val="00DF6E29"/>
    <w:rsid w:val="00DF7107"/>
    <w:rsid w:val="00DF785E"/>
    <w:rsid w:val="00DF7966"/>
    <w:rsid w:val="00E002C6"/>
    <w:rsid w:val="00E00556"/>
    <w:rsid w:val="00E013EB"/>
    <w:rsid w:val="00E015E4"/>
    <w:rsid w:val="00E01757"/>
    <w:rsid w:val="00E02A18"/>
    <w:rsid w:val="00E0421F"/>
    <w:rsid w:val="00E07183"/>
    <w:rsid w:val="00E071DA"/>
    <w:rsid w:val="00E07D10"/>
    <w:rsid w:val="00E106FE"/>
    <w:rsid w:val="00E113D1"/>
    <w:rsid w:val="00E11FFD"/>
    <w:rsid w:val="00E122B6"/>
    <w:rsid w:val="00E13807"/>
    <w:rsid w:val="00E150FE"/>
    <w:rsid w:val="00E15900"/>
    <w:rsid w:val="00E172B8"/>
    <w:rsid w:val="00E17528"/>
    <w:rsid w:val="00E17DEA"/>
    <w:rsid w:val="00E20B63"/>
    <w:rsid w:val="00E20C45"/>
    <w:rsid w:val="00E223F5"/>
    <w:rsid w:val="00E22F18"/>
    <w:rsid w:val="00E2369E"/>
    <w:rsid w:val="00E25BB7"/>
    <w:rsid w:val="00E27B2D"/>
    <w:rsid w:val="00E32442"/>
    <w:rsid w:val="00E333DD"/>
    <w:rsid w:val="00E3405F"/>
    <w:rsid w:val="00E352C2"/>
    <w:rsid w:val="00E35CA9"/>
    <w:rsid w:val="00E36E71"/>
    <w:rsid w:val="00E37AE1"/>
    <w:rsid w:val="00E37C58"/>
    <w:rsid w:val="00E419AE"/>
    <w:rsid w:val="00E4243A"/>
    <w:rsid w:val="00E4268B"/>
    <w:rsid w:val="00E43137"/>
    <w:rsid w:val="00E43189"/>
    <w:rsid w:val="00E439D0"/>
    <w:rsid w:val="00E4450F"/>
    <w:rsid w:val="00E4501A"/>
    <w:rsid w:val="00E4511B"/>
    <w:rsid w:val="00E465B8"/>
    <w:rsid w:val="00E46DC7"/>
    <w:rsid w:val="00E47164"/>
    <w:rsid w:val="00E475ED"/>
    <w:rsid w:val="00E516C1"/>
    <w:rsid w:val="00E5195C"/>
    <w:rsid w:val="00E51B5E"/>
    <w:rsid w:val="00E531F6"/>
    <w:rsid w:val="00E56AC0"/>
    <w:rsid w:val="00E57A8D"/>
    <w:rsid w:val="00E57D01"/>
    <w:rsid w:val="00E602D4"/>
    <w:rsid w:val="00E60D1A"/>
    <w:rsid w:val="00E60D3F"/>
    <w:rsid w:val="00E62755"/>
    <w:rsid w:val="00E62780"/>
    <w:rsid w:val="00E62F7F"/>
    <w:rsid w:val="00E633D9"/>
    <w:rsid w:val="00E65505"/>
    <w:rsid w:val="00E6684C"/>
    <w:rsid w:val="00E6702F"/>
    <w:rsid w:val="00E71578"/>
    <w:rsid w:val="00E71A03"/>
    <w:rsid w:val="00E71EBE"/>
    <w:rsid w:val="00E74E4C"/>
    <w:rsid w:val="00E75470"/>
    <w:rsid w:val="00E7553C"/>
    <w:rsid w:val="00E75AEE"/>
    <w:rsid w:val="00E80569"/>
    <w:rsid w:val="00E80687"/>
    <w:rsid w:val="00E80EBF"/>
    <w:rsid w:val="00E862BE"/>
    <w:rsid w:val="00E87363"/>
    <w:rsid w:val="00E874B8"/>
    <w:rsid w:val="00E914AE"/>
    <w:rsid w:val="00E930C0"/>
    <w:rsid w:val="00E93B50"/>
    <w:rsid w:val="00E9577E"/>
    <w:rsid w:val="00E96E4C"/>
    <w:rsid w:val="00E97887"/>
    <w:rsid w:val="00EA1680"/>
    <w:rsid w:val="00EA2086"/>
    <w:rsid w:val="00EA2A02"/>
    <w:rsid w:val="00EA2B08"/>
    <w:rsid w:val="00EA61EC"/>
    <w:rsid w:val="00EA6233"/>
    <w:rsid w:val="00EA6457"/>
    <w:rsid w:val="00EA7048"/>
    <w:rsid w:val="00EA7A50"/>
    <w:rsid w:val="00EB1F96"/>
    <w:rsid w:val="00EB229C"/>
    <w:rsid w:val="00EB2481"/>
    <w:rsid w:val="00EB271B"/>
    <w:rsid w:val="00EB325C"/>
    <w:rsid w:val="00EB6614"/>
    <w:rsid w:val="00EB6FE2"/>
    <w:rsid w:val="00EC1CAC"/>
    <w:rsid w:val="00EC4DE4"/>
    <w:rsid w:val="00EC6EDD"/>
    <w:rsid w:val="00EC706B"/>
    <w:rsid w:val="00ED0998"/>
    <w:rsid w:val="00ED0DAF"/>
    <w:rsid w:val="00ED29E9"/>
    <w:rsid w:val="00ED4263"/>
    <w:rsid w:val="00ED4B78"/>
    <w:rsid w:val="00ED577E"/>
    <w:rsid w:val="00ED6061"/>
    <w:rsid w:val="00EE1660"/>
    <w:rsid w:val="00EE22A9"/>
    <w:rsid w:val="00EE2A7D"/>
    <w:rsid w:val="00EE2DC8"/>
    <w:rsid w:val="00EE540A"/>
    <w:rsid w:val="00EE6240"/>
    <w:rsid w:val="00EE7505"/>
    <w:rsid w:val="00EF11CB"/>
    <w:rsid w:val="00EF1C38"/>
    <w:rsid w:val="00EF2D18"/>
    <w:rsid w:val="00EF389E"/>
    <w:rsid w:val="00EF6619"/>
    <w:rsid w:val="00EF6D4E"/>
    <w:rsid w:val="00F009D3"/>
    <w:rsid w:val="00F00A16"/>
    <w:rsid w:val="00F029DE"/>
    <w:rsid w:val="00F03363"/>
    <w:rsid w:val="00F03393"/>
    <w:rsid w:val="00F04A19"/>
    <w:rsid w:val="00F06F37"/>
    <w:rsid w:val="00F0786B"/>
    <w:rsid w:val="00F11BE7"/>
    <w:rsid w:val="00F12E9A"/>
    <w:rsid w:val="00F141A8"/>
    <w:rsid w:val="00F14879"/>
    <w:rsid w:val="00F15F70"/>
    <w:rsid w:val="00F16BAD"/>
    <w:rsid w:val="00F1719A"/>
    <w:rsid w:val="00F17A9A"/>
    <w:rsid w:val="00F17E67"/>
    <w:rsid w:val="00F22D51"/>
    <w:rsid w:val="00F2362D"/>
    <w:rsid w:val="00F238D1"/>
    <w:rsid w:val="00F24CC7"/>
    <w:rsid w:val="00F25EF9"/>
    <w:rsid w:val="00F275DF"/>
    <w:rsid w:val="00F3065F"/>
    <w:rsid w:val="00F311E8"/>
    <w:rsid w:val="00F31596"/>
    <w:rsid w:val="00F32BE4"/>
    <w:rsid w:val="00F331EE"/>
    <w:rsid w:val="00F338ED"/>
    <w:rsid w:val="00F33B83"/>
    <w:rsid w:val="00F34C9C"/>
    <w:rsid w:val="00F35166"/>
    <w:rsid w:val="00F36576"/>
    <w:rsid w:val="00F36A74"/>
    <w:rsid w:val="00F372E2"/>
    <w:rsid w:val="00F4114A"/>
    <w:rsid w:val="00F417EF"/>
    <w:rsid w:val="00F42337"/>
    <w:rsid w:val="00F428C0"/>
    <w:rsid w:val="00F4478C"/>
    <w:rsid w:val="00F477B9"/>
    <w:rsid w:val="00F505CA"/>
    <w:rsid w:val="00F509FE"/>
    <w:rsid w:val="00F518A2"/>
    <w:rsid w:val="00F52363"/>
    <w:rsid w:val="00F54208"/>
    <w:rsid w:val="00F552E0"/>
    <w:rsid w:val="00F56AD8"/>
    <w:rsid w:val="00F57717"/>
    <w:rsid w:val="00F60DF9"/>
    <w:rsid w:val="00F60EB2"/>
    <w:rsid w:val="00F62780"/>
    <w:rsid w:val="00F637BB"/>
    <w:rsid w:val="00F656DB"/>
    <w:rsid w:val="00F6600C"/>
    <w:rsid w:val="00F675CA"/>
    <w:rsid w:val="00F715F1"/>
    <w:rsid w:val="00F7178D"/>
    <w:rsid w:val="00F722E7"/>
    <w:rsid w:val="00F75095"/>
    <w:rsid w:val="00F77689"/>
    <w:rsid w:val="00F80AEA"/>
    <w:rsid w:val="00F82763"/>
    <w:rsid w:val="00F832D6"/>
    <w:rsid w:val="00F86635"/>
    <w:rsid w:val="00F908E9"/>
    <w:rsid w:val="00F93CDA"/>
    <w:rsid w:val="00F947E6"/>
    <w:rsid w:val="00F94F3E"/>
    <w:rsid w:val="00F94F58"/>
    <w:rsid w:val="00F96D0D"/>
    <w:rsid w:val="00FA0D03"/>
    <w:rsid w:val="00FA2779"/>
    <w:rsid w:val="00FA29C9"/>
    <w:rsid w:val="00FA59FC"/>
    <w:rsid w:val="00FA6CEB"/>
    <w:rsid w:val="00FB2D0D"/>
    <w:rsid w:val="00FB33B3"/>
    <w:rsid w:val="00FB57F7"/>
    <w:rsid w:val="00FB6911"/>
    <w:rsid w:val="00FB72B1"/>
    <w:rsid w:val="00FC09EF"/>
    <w:rsid w:val="00FC10AB"/>
    <w:rsid w:val="00FC12A2"/>
    <w:rsid w:val="00FC1DEC"/>
    <w:rsid w:val="00FC5057"/>
    <w:rsid w:val="00FC521F"/>
    <w:rsid w:val="00FC533C"/>
    <w:rsid w:val="00FC5AC5"/>
    <w:rsid w:val="00FC6E57"/>
    <w:rsid w:val="00FD2E0A"/>
    <w:rsid w:val="00FD4095"/>
    <w:rsid w:val="00FE1B68"/>
    <w:rsid w:val="00FE2660"/>
    <w:rsid w:val="00FE3D61"/>
    <w:rsid w:val="00FE5846"/>
    <w:rsid w:val="00FE71FE"/>
    <w:rsid w:val="00FF227C"/>
    <w:rsid w:val="00FF4C0D"/>
    <w:rsid w:val="00FF7388"/>
    <w:rsid w:val="00FF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8436"/>
    <o:shapelayout v:ext="edit">
      <o:idmap v:ext="edit" data="1"/>
    </o:shapelayout>
  </w:shapeDefaults>
  <w:decimalSymbol w:val="."/>
  <w:listSeparator w:val=","/>
  <w15:docId w15:val="{C4B8DFF1-7750-44D7-9425-6D2CC203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8"/>
    <w:pPr>
      <w:jc w:val="both"/>
    </w:pPr>
    <w:rPr>
      <w:rFonts w:ascii="ZapfCalligr BT" w:hAnsi="ZapfCalligr BT"/>
      <w:szCs w:val="20"/>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498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3498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3498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3498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3498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3498A"/>
    <w:rPr>
      <w:rFonts w:ascii="Calibri" w:hAnsi="Calibri" w:cs="Times New Roman"/>
      <w:b/>
      <w:bCs/>
    </w:rPr>
  </w:style>
  <w:style w:type="character" w:customStyle="1" w:styleId="Heading7Char">
    <w:name w:val="Heading 7 Char"/>
    <w:basedOn w:val="DefaultParagraphFont"/>
    <w:link w:val="Heading7"/>
    <w:uiPriority w:val="99"/>
    <w:semiHidden/>
    <w:locked/>
    <w:rsid w:val="0013498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3498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3498A"/>
    <w:rPr>
      <w:rFonts w:ascii="Cambria" w:hAnsi="Cambria" w:cs="Times New Roman"/>
    </w:rPr>
  </w:style>
  <w:style w:type="table" w:styleId="TableGrid">
    <w:name w:val="Table Grid"/>
    <w:basedOn w:val="TableNormal"/>
    <w:uiPriority w:val="99"/>
    <w:rsid w:val="00ED09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570499"/>
    <w:rPr>
      <w:rFonts w:ascii="ZapfCalligr BT" w:hAnsi="ZapfCalligr BT" w:cs="Times New Roman"/>
      <w:sz w:val="22"/>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semiHidden/>
    <w:locked/>
    <w:rsid w:val="0013498A"/>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98A"/>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basedOn w:val="DefaultParagraphFont"/>
    <w:link w:val="BodyText"/>
    <w:uiPriority w:val="99"/>
    <w:semiHidden/>
    <w:locked/>
    <w:rsid w:val="0013498A"/>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basedOn w:val="DefaultParagraphFont"/>
    <w:link w:val="BodyTextIndent2"/>
    <w:uiPriority w:val="99"/>
    <w:semiHidden/>
    <w:locked/>
    <w:rsid w:val="0013498A"/>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basedOn w:val="DefaultParagraphFont"/>
    <w:link w:val="BodyText2"/>
    <w:uiPriority w:val="99"/>
    <w:semiHidden/>
    <w:locked/>
    <w:rsid w:val="0013498A"/>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basedOn w:val="DefaultParagraphFont"/>
    <w:link w:val="BodyText3"/>
    <w:uiPriority w:val="99"/>
    <w:semiHidden/>
    <w:locked/>
    <w:rsid w:val="0013498A"/>
    <w:rPr>
      <w:rFonts w:ascii="ZapfCalligr BT" w:hAnsi="ZapfCalligr BT" w:cs="Times New Roman"/>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basedOn w:val="DefaultParagraphFont"/>
    <w:link w:val="BodyTextIndent"/>
    <w:uiPriority w:val="99"/>
    <w:semiHidden/>
    <w:locked/>
    <w:rsid w:val="0013498A"/>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basedOn w:val="DefaultParagraphFont"/>
    <w:link w:val="BodyTextIndent3"/>
    <w:uiPriority w:val="99"/>
    <w:semiHidden/>
    <w:locked/>
    <w:rsid w:val="0013498A"/>
    <w:rPr>
      <w:rFonts w:ascii="ZapfCalligr BT" w:hAnsi="ZapfCalligr BT" w:cs="Times New Roman"/>
      <w:sz w:val="16"/>
      <w:szCs w:val="16"/>
    </w:rPr>
  </w:style>
  <w:style w:type="paragraph" w:styleId="NormalWeb">
    <w:name w:val="Normal (Web)"/>
    <w:basedOn w:val="Normal"/>
    <w:uiPriority w:val="99"/>
    <w:rsid w:val="005911A0"/>
    <w:pPr>
      <w:spacing w:before="75"/>
      <w:jc w:val="left"/>
    </w:pPr>
    <w:rPr>
      <w:rFonts w:ascii="Times New Roman" w:hAnsi="Times New Roman"/>
      <w:sz w:val="24"/>
      <w:szCs w:val="24"/>
    </w:rPr>
  </w:style>
  <w:style w:type="character" w:styleId="Emphasis">
    <w:name w:val="Emphasis"/>
    <w:basedOn w:val="DefaultParagraphFont"/>
    <w:uiPriority w:val="99"/>
    <w:qFormat/>
    <w:rsid w:val="005B6E3C"/>
    <w:rPr>
      <w:rFonts w:cs="Times New Roman"/>
      <w:i/>
      <w:iCs/>
    </w:rPr>
  </w:style>
  <w:style w:type="paragraph" w:styleId="PlainText">
    <w:name w:val="Plain Text"/>
    <w:basedOn w:val="Normal"/>
    <w:link w:val="PlainTextChar"/>
    <w:uiPriority w:val="99"/>
    <w:rsid w:val="00044FC2"/>
    <w:pPr>
      <w:jc w:val="left"/>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044FC2"/>
    <w:rPr>
      <w:rFonts w:ascii="Consolas" w:hAnsi="Consolas" w:cs="Times New Roman"/>
      <w:sz w:val="21"/>
      <w:szCs w:val="21"/>
      <w:lang w:eastAsia="en-US"/>
    </w:rPr>
  </w:style>
  <w:style w:type="paragraph" w:styleId="ListParagraph">
    <w:name w:val="List Paragraph"/>
    <w:basedOn w:val="Normal"/>
    <w:uiPriority w:val="34"/>
    <w:qFormat/>
    <w:rsid w:val="00C6289C"/>
    <w:pPr>
      <w:ind w:left="720"/>
    </w:pPr>
    <w:rPr>
      <w:rFonts w:cs="ZapfCalligr BT"/>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9661">
      <w:bodyDiv w:val="1"/>
      <w:marLeft w:val="0"/>
      <w:marRight w:val="0"/>
      <w:marTop w:val="0"/>
      <w:marBottom w:val="0"/>
      <w:divBdr>
        <w:top w:val="none" w:sz="0" w:space="0" w:color="auto"/>
        <w:left w:val="none" w:sz="0" w:space="0" w:color="auto"/>
        <w:bottom w:val="none" w:sz="0" w:space="0" w:color="auto"/>
        <w:right w:val="none" w:sz="0" w:space="0" w:color="auto"/>
      </w:divBdr>
    </w:div>
    <w:div w:id="154761165">
      <w:bodyDiv w:val="1"/>
      <w:marLeft w:val="0"/>
      <w:marRight w:val="0"/>
      <w:marTop w:val="0"/>
      <w:marBottom w:val="0"/>
      <w:divBdr>
        <w:top w:val="none" w:sz="0" w:space="0" w:color="auto"/>
        <w:left w:val="none" w:sz="0" w:space="0" w:color="auto"/>
        <w:bottom w:val="none" w:sz="0" w:space="0" w:color="auto"/>
        <w:right w:val="none" w:sz="0" w:space="0" w:color="auto"/>
      </w:divBdr>
      <w:divsChild>
        <w:div w:id="170144111">
          <w:marLeft w:val="0"/>
          <w:marRight w:val="0"/>
          <w:marTop w:val="0"/>
          <w:marBottom w:val="0"/>
          <w:divBdr>
            <w:top w:val="none" w:sz="0" w:space="0" w:color="auto"/>
            <w:left w:val="none" w:sz="0" w:space="0" w:color="auto"/>
            <w:bottom w:val="none" w:sz="0" w:space="0" w:color="auto"/>
            <w:right w:val="none" w:sz="0" w:space="0" w:color="auto"/>
          </w:divBdr>
          <w:divsChild>
            <w:div w:id="2016104761">
              <w:marLeft w:val="0"/>
              <w:marRight w:val="0"/>
              <w:marTop w:val="0"/>
              <w:marBottom w:val="0"/>
              <w:divBdr>
                <w:top w:val="none" w:sz="0" w:space="0" w:color="auto"/>
                <w:left w:val="none" w:sz="0" w:space="0" w:color="auto"/>
                <w:bottom w:val="none" w:sz="0" w:space="0" w:color="auto"/>
                <w:right w:val="none" w:sz="0" w:space="0" w:color="auto"/>
              </w:divBdr>
              <w:divsChild>
                <w:div w:id="900946490">
                  <w:marLeft w:val="0"/>
                  <w:marRight w:val="0"/>
                  <w:marTop w:val="0"/>
                  <w:marBottom w:val="0"/>
                  <w:divBdr>
                    <w:top w:val="none" w:sz="0" w:space="0" w:color="auto"/>
                    <w:left w:val="none" w:sz="0" w:space="0" w:color="auto"/>
                    <w:bottom w:val="none" w:sz="0" w:space="0" w:color="auto"/>
                    <w:right w:val="none" w:sz="0" w:space="0" w:color="auto"/>
                  </w:divBdr>
                  <w:divsChild>
                    <w:div w:id="2131435483">
                      <w:marLeft w:val="0"/>
                      <w:marRight w:val="0"/>
                      <w:marTop w:val="0"/>
                      <w:marBottom w:val="0"/>
                      <w:divBdr>
                        <w:top w:val="none" w:sz="0" w:space="0" w:color="auto"/>
                        <w:left w:val="none" w:sz="0" w:space="0" w:color="auto"/>
                        <w:bottom w:val="none" w:sz="0" w:space="0" w:color="auto"/>
                        <w:right w:val="none" w:sz="0" w:space="0" w:color="auto"/>
                      </w:divBdr>
                      <w:divsChild>
                        <w:div w:id="941456332">
                          <w:marLeft w:val="0"/>
                          <w:marRight w:val="0"/>
                          <w:marTop w:val="0"/>
                          <w:marBottom w:val="0"/>
                          <w:divBdr>
                            <w:top w:val="none" w:sz="0" w:space="0" w:color="auto"/>
                            <w:left w:val="none" w:sz="0" w:space="0" w:color="auto"/>
                            <w:bottom w:val="none" w:sz="0" w:space="0" w:color="auto"/>
                            <w:right w:val="none" w:sz="0" w:space="0" w:color="auto"/>
                          </w:divBdr>
                          <w:divsChild>
                            <w:div w:id="6684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91456">
      <w:bodyDiv w:val="1"/>
      <w:marLeft w:val="0"/>
      <w:marRight w:val="0"/>
      <w:marTop w:val="0"/>
      <w:marBottom w:val="0"/>
      <w:divBdr>
        <w:top w:val="none" w:sz="0" w:space="0" w:color="auto"/>
        <w:left w:val="none" w:sz="0" w:space="0" w:color="auto"/>
        <w:bottom w:val="none" w:sz="0" w:space="0" w:color="auto"/>
        <w:right w:val="none" w:sz="0" w:space="0" w:color="auto"/>
      </w:divBdr>
    </w:div>
    <w:div w:id="1518346122">
      <w:marLeft w:val="0"/>
      <w:marRight w:val="0"/>
      <w:marTop w:val="0"/>
      <w:marBottom w:val="0"/>
      <w:divBdr>
        <w:top w:val="none" w:sz="0" w:space="0" w:color="auto"/>
        <w:left w:val="none" w:sz="0" w:space="0" w:color="auto"/>
        <w:bottom w:val="none" w:sz="0" w:space="0" w:color="auto"/>
        <w:right w:val="none" w:sz="0" w:space="0" w:color="auto"/>
      </w:divBdr>
      <w:divsChild>
        <w:div w:id="1518346127">
          <w:marLeft w:val="0"/>
          <w:marRight w:val="0"/>
          <w:marTop w:val="0"/>
          <w:marBottom w:val="0"/>
          <w:divBdr>
            <w:top w:val="none" w:sz="0" w:space="0" w:color="auto"/>
            <w:left w:val="none" w:sz="0" w:space="0" w:color="auto"/>
            <w:bottom w:val="none" w:sz="0" w:space="0" w:color="auto"/>
            <w:right w:val="none" w:sz="0" w:space="0" w:color="auto"/>
          </w:divBdr>
          <w:divsChild>
            <w:div w:id="1518346123">
              <w:marLeft w:val="0"/>
              <w:marRight w:val="0"/>
              <w:marTop w:val="0"/>
              <w:marBottom w:val="0"/>
              <w:divBdr>
                <w:top w:val="none" w:sz="0" w:space="0" w:color="auto"/>
                <w:left w:val="none" w:sz="0" w:space="0" w:color="auto"/>
                <w:bottom w:val="none" w:sz="0" w:space="0" w:color="auto"/>
                <w:right w:val="none" w:sz="0" w:space="0" w:color="auto"/>
              </w:divBdr>
              <w:divsChild>
                <w:div w:id="1518346124">
                  <w:marLeft w:val="0"/>
                  <w:marRight w:val="0"/>
                  <w:marTop w:val="0"/>
                  <w:marBottom w:val="0"/>
                  <w:divBdr>
                    <w:top w:val="none" w:sz="0" w:space="0" w:color="auto"/>
                    <w:left w:val="none" w:sz="0" w:space="0" w:color="auto"/>
                    <w:bottom w:val="none" w:sz="0" w:space="0" w:color="auto"/>
                    <w:right w:val="none" w:sz="0" w:space="0" w:color="auto"/>
                  </w:divBdr>
                  <w:divsChild>
                    <w:div w:id="1518346125">
                      <w:marLeft w:val="0"/>
                      <w:marRight w:val="0"/>
                      <w:marTop w:val="0"/>
                      <w:marBottom w:val="0"/>
                      <w:divBdr>
                        <w:top w:val="none" w:sz="0" w:space="0" w:color="auto"/>
                        <w:left w:val="none" w:sz="0" w:space="0" w:color="auto"/>
                        <w:bottom w:val="none" w:sz="0" w:space="0" w:color="auto"/>
                        <w:right w:val="none" w:sz="0" w:space="0" w:color="auto"/>
                      </w:divBdr>
                      <w:divsChild>
                        <w:div w:id="1518346128">
                          <w:marLeft w:val="0"/>
                          <w:marRight w:val="0"/>
                          <w:marTop w:val="0"/>
                          <w:marBottom w:val="0"/>
                          <w:divBdr>
                            <w:top w:val="none" w:sz="0" w:space="0" w:color="auto"/>
                            <w:left w:val="none" w:sz="0" w:space="0" w:color="auto"/>
                            <w:bottom w:val="none" w:sz="0" w:space="0" w:color="auto"/>
                            <w:right w:val="none" w:sz="0" w:space="0" w:color="auto"/>
                          </w:divBdr>
                          <w:divsChild>
                            <w:div w:id="15183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46126">
      <w:marLeft w:val="0"/>
      <w:marRight w:val="0"/>
      <w:marTop w:val="0"/>
      <w:marBottom w:val="0"/>
      <w:divBdr>
        <w:top w:val="none" w:sz="0" w:space="0" w:color="auto"/>
        <w:left w:val="none" w:sz="0" w:space="0" w:color="auto"/>
        <w:bottom w:val="none" w:sz="0" w:space="0" w:color="auto"/>
        <w:right w:val="none" w:sz="0" w:space="0" w:color="auto"/>
      </w:divBdr>
    </w:div>
    <w:div w:id="1545214336">
      <w:bodyDiv w:val="1"/>
      <w:marLeft w:val="0"/>
      <w:marRight w:val="0"/>
      <w:marTop w:val="0"/>
      <w:marBottom w:val="0"/>
      <w:divBdr>
        <w:top w:val="none" w:sz="0" w:space="0" w:color="auto"/>
        <w:left w:val="none" w:sz="0" w:space="0" w:color="auto"/>
        <w:bottom w:val="none" w:sz="0" w:space="0" w:color="auto"/>
        <w:right w:val="none" w:sz="0" w:space="0" w:color="auto"/>
      </w:divBdr>
    </w:div>
    <w:div w:id="1886137760">
      <w:bodyDiv w:val="1"/>
      <w:marLeft w:val="0"/>
      <w:marRight w:val="0"/>
      <w:marTop w:val="0"/>
      <w:marBottom w:val="0"/>
      <w:divBdr>
        <w:top w:val="none" w:sz="0" w:space="0" w:color="auto"/>
        <w:left w:val="none" w:sz="0" w:space="0" w:color="auto"/>
        <w:bottom w:val="none" w:sz="0" w:space="0" w:color="auto"/>
        <w:right w:val="none" w:sz="0" w:space="0" w:color="auto"/>
      </w:divBdr>
      <w:divsChild>
        <w:div w:id="1545681577">
          <w:marLeft w:val="0"/>
          <w:marRight w:val="0"/>
          <w:marTop w:val="0"/>
          <w:marBottom w:val="0"/>
          <w:divBdr>
            <w:top w:val="none" w:sz="0" w:space="0" w:color="auto"/>
            <w:left w:val="none" w:sz="0" w:space="0" w:color="auto"/>
            <w:bottom w:val="none" w:sz="0" w:space="0" w:color="auto"/>
            <w:right w:val="none" w:sz="0" w:space="0" w:color="auto"/>
          </w:divBdr>
          <w:divsChild>
            <w:div w:id="1398816258">
              <w:marLeft w:val="150"/>
              <w:marRight w:val="150"/>
              <w:marTop w:val="225"/>
              <w:marBottom w:val="1500"/>
              <w:divBdr>
                <w:top w:val="none" w:sz="0" w:space="0" w:color="auto"/>
                <w:left w:val="none" w:sz="0" w:space="0" w:color="auto"/>
                <w:bottom w:val="none" w:sz="0" w:space="0" w:color="auto"/>
                <w:right w:val="none" w:sz="0" w:space="0" w:color="auto"/>
              </w:divBdr>
              <w:divsChild>
                <w:div w:id="904144895">
                  <w:marLeft w:val="0"/>
                  <w:marRight w:val="0"/>
                  <w:marTop w:val="0"/>
                  <w:marBottom w:val="0"/>
                  <w:divBdr>
                    <w:top w:val="none" w:sz="0" w:space="0" w:color="auto"/>
                    <w:left w:val="none" w:sz="0" w:space="0" w:color="auto"/>
                    <w:bottom w:val="none" w:sz="0" w:space="0" w:color="auto"/>
                    <w:right w:val="none" w:sz="0" w:space="0" w:color="auto"/>
                  </w:divBdr>
                  <w:divsChild>
                    <w:div w:id="738019161">
                      <w:marLeft w:val="0"/>
                      <w:marRight w:val="0"/>
                      <w:marTop w:val="0"/>
                      <w:marBottom w:val="0"/>
                      <w:divBdr>
                        <w:top w:val="none" w:sz="0" w:space="0" w:color="auto"/>
                        <w:left w:val="none" w:sz="0" w:space="0" w:color="auto"/>
                        <w:bottom w:val="none" w:sz="0" w:space="0" w:color="auto"/>
                        <w:right w:val="none" w:sz="0" w:space="0" w:color="auto"/>
                      </w:divBdr>
                      <w:divsChild>
                        <w:div w:id="122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2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ebstat.banque-france.fr/fr/browseSelection.do?node=5384398&amp;start=31/12/1992&amp;end=31/05/2014&amp;trans=N" TargetMode="External"/><Relationship Id="rId4" Type="http://schemas.openxmlformats.org/officeDocument/2006/relationships/settings" Target="settings.xml"/><Relationship Id="rId9" Type="http://schemas.openxmlformats.org/officeDocument/2006/relationships/hyperlink" Target="http://www.otcmarkets.com/stock/KGFHY/quo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43B2-6903-4703-8D93-A1AA6FE4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Kingfisher plc</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subject/>
  <dc:creator>heath</dc:creator>
  <cp:keywords/>
  <dc:description/>
  <cp:lastModifiedBy>Levy, Sarah</cp:lastModifiedBy>
  <cp:revision>3</cp:revision>
  <cp:lastPrinted>2014-07-23T14:56:00Z</cp:lastPrinted>
  <dcterms:created xsi:type="dcterms:W3CDTF">2014-07-23T17:06:00Z</dcterms:created>
  <dcterms:modified xsi:type="dcterms:W3CDTF">2014-07-23T17:39:00Z</dcterms:modified>
</cp:coreProperties>
</file>