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8B" w:rsidRDefault="000F03E3" w:rsidP="000F03E3">
      <w:pPr>
        <w:jc w:val="center"/>
        <w:rPr>
          <w:rFonts w:ascii="Arial" w:hAnsi="Arial" w:cs="Arial"/>
          <w:b/>
          <w:bCs/>
          <w:sz w:val="24"/>
          <w:szCs w:val="24"/>
        </w:rPr>
      </w:pPr>
      <w:bookmarkStart w:id="0" w:name="_GoBack"/>
      <w:bookmarkEnd w:id="0"/>
      <w:r w:rsidRPr="00F54156">
        <w:rPr>
          <w:rFonts w:ascii="Arial" w:hAnsi="Arial" w:cs="Arial"/>
          <w:b/>
          <w:bCs/>
          <w:sz w:val="24"/>
          <w:szCs w:val="24"/>
        </w:rPr>
        <w:t>K</w:t>
      </w:r>
      <w:r w:rsidR="006B7548" w:rsidRPr="00F54156">
        <w:rPr>
          <w:rFonts w:ascii="Arial" w:hAnsi="Arial" w:cs="Arial"/>
          <w:b/>
          <w:bCs/>
          <w:sz w:val="24"/>
          <w:szCs w:val="24"/>
        </w:rPr>
        <w:t xml:space="preserve">ingfisher </w:t>
      </w:r>
      <w:r w:rsidR="00DB462A" w:rsidRPr="00F54156">
        <w:rPr>
          <w:rFonts w:ascii="Arial" w:hAnsi="Arial" w:cs="Arial"/>
          <w:b/>
          <w:bCs/>
          <w:sz w:val="24"/>
          <w:szCs w:val="24"/>
        </w:rPr>
        <w:t xml:space="preserve">reports </w:t>
      </w:r>
      <w:r w:rsidR="006C3892" w:rsidRPr="00F54156">
        <w:rPr>
          <w:rFonts w:ascii="Arial" w:hAnsi="Arial" w:cs="Arial"/>
          <w:b/>
          <w:bCs/>
          <w:sz w:val="24"/>
          <w:szCs w:val="24"/>
        </w:rPr>
        <w:t>full year adjusted</w:t>
      </w:r>
      <w:r w:rsidR="007F7FFA">
        <w:rPr>
          <w:rFonts w:ascii="Arial" w:hAnsi="Arial" w:cs="Arial"/>
          <w:b/>
          <w:bCs/>
          <w:sz w:val="24"/>
          <w:szCs w:val="24"/>
        </w:rPr>
        <w:t>*</w:t>
      </w:r>
      <w:r w:rsidR="006C3892" w:rsidRPr="00F54156">
        <w:rPr>
          <w:rFonts w:ascii="Arial" w:hAnsi="Arial" w:cs="Arial"/>
          <w:b/>
          <w:bCs/>
          <w:sz w:val="24"/>
          <w:szCs w:val="24"/>
        </w:rPr>
        <w:t xml:space="preserve"> pre-tax profits </w:t>
      </w:r>
      <w:r w:rsidR="009D673A">
        <w:rPr>
          <w:rFonts w:ascii="Arial" w:hAnsi="Arial" w:cs="Arial"/>
          <w:b/>
          <w:bCs/>
          <w:sz w:val="24"/>
          <w:szCs w:val="24"/>
        </w:rPr>
        <w:t>up 4.1</w:t>
      </w:r>
      <w:r w:rsidR="00C8375A" w:rsidRPr="00F54156">
        <w:rPr>
          <w:rFonts w:ascii="Arial" w:hAnsi="Arial" w:cs="Arial"/>
          <w:b/>
          <w:bCs/>
          <w:sz w:val="24"/>
          <w:szCs w:val="24"/>
        </w:rPr>
        <w:t>%</w:t>
      </w:r>
      <w:r w:rsidR="006C3892" w:rsidRPr="00F54156">
        <w:rPr>
          <w:rFonts w:ascii="Arial" w:hAnsi="Arial" w:cs="Arial"/>
          <w:b/>
          <w:bCs/>
          <w:sz w:val="24"/>
          <w:szCs w:val="24"/>
        </w:rPr>
        <w:t xml:space="preserve"> to £</w:t>
      </w:r>
      <w:r w:rsidR="009D673A">
        <w:rPr>
          <w:rFonts w:ascii="Arial" w:hAnsi="Arial" w:cs="Arial"/>
          <w:b/>
          <w:bCs/>
          <w:sz w:val="24"/>
          <w:szCs w:val="24"/>
        </w:rPr>
        <w:t>744</w:t>
      </w:r>
      <w:r w:rsidR="00F54156" w:rsidRPr="00F54156">
        <w:rPr>
          <w:rFonts w:ascii="Arial" w:hAnsi="Arial" w:cs="Arial"/>
          <w:b/>
          <w:bCs/>
          <w:sz w:val="24"/>
          <w:szCs w:val="24"/>
        </w:rPr>
        <w:t xml:space="preserve"> </w:t>
      </w:r>
      <w:r w:rsidR="006C3892" w:rsidRPr="00F54156">
        <w:rPr>
          <w:rFonts w:ascii="Arial" w:hAnsi="Arial" w:cs="Arial"/>
          <w:b/>
          <w:bCs/>
          <w:sz w:val="24"/>
          <w:szCs w:val="24"/>
        </w:rPr>
        <w:t>millio</w:t>
      </w:r>
      <w:r w:rsidR="00C8375A" w:rsidRPr="00F54156">
        <w:rPr>
          <w:rFonts w:ascii="Arial" w:hAnsi="Arial" w:cs="Arial"/>
          <w:b/>
          <w:bCs/>
          <w:sz w:val="24"/>
          <w:szCs w:val="24"/>
        </w:rPr>
        <w:t xml:space="preserve">n. </w:t>
      </w:r>
    </w:p>
    <w:p w:rsidR="009100C3" w:rsidRDefault="00BD69AD" w:rsidP="009100C3">
      <w:pPr>
        <w:jc w:val="center"/>
        <w:rPr>
          <w:rFonts w:ascii="Arial" w:hAnsi="Arial" w:cs="Arial"/>
          <w:b/>
          <w:bCs/>
          <w:sz w:val="24"/>
          <w:szCs w:val="24"/>
        </w:rPr>
      </w:pPr>
      <w:r>
        <w:rPr>
          <w:rFonts w:ascii="Arial" w:hAnsi="Arial" w:cs="Arial"/>
          <w:b/>
          <w:bCs/>
          <w:sz w:val="24"/>
          <w:szCs w:val="24"/>
        </w:rPr>
        <w:t>Full year</w:t>
      </w:r>
      <w:r w:rsidR="00CC278B">
        <w:rPr>
          <w:rFonts w:ascii="Arial" w:hAnsi="Arial" w:cs="Arial"/>
          <w:b/>
          <w:bCs/>
          <w:sz w:val="24"/>
          <w:szCs w:val="24"/>
        </w:rPr>
        <w:t xml:space="preserve"> </w:t>
      </w:r>
      <w:r w:rsidR="00087D55">
        <w:rPr>
          <w:rFonts w:ascii="Arial" w:hAnsi="Arial" w:cs="Arial"/>
          <w:b/>
          <w:bCs/>
          <w:sz w:val="24"/>
          <w:szCs w:val="24"/>
        </w:rPr>
        <w:t>dividend up 5%</w:t>
      </w:r>
      <w:r w:rsidR="00B47BF6">
        <w:rPr>
          <w:rFonts w:ascii="Arial" w:hAnsi="Arial" w:cs="Arial"/>
          <w:b/>
          <w:bCs/>
          <w:sz w:val="24"/>
          <w:szCs w:val="24"/>
        </w:rPr>
        <w:t xml:space="preserve"> and</w:t>
      </w:r>
      <w:r w:rsidR="00F92C7C">
        <w:rPr>
          <w:rFonts w:ascii="Arial" w:hAnsi="Arial" w:cs="Arial"/>
          <w:b/>
          <w:bCs/>
          <w:sz w:val="24"/>
          <w:szCs w:val="24"/>
        </w:rPr>
        <w:t xml:space="preserve"> </w:t>
      </w:r>
    </w:p>
    <w:p w:rsidR="009D673A" w:rsidRDefault="00F92C7C" w:rsidP="00813C60">
      <w:pPr>
        <w:jc w:val="center"/>
        <w:rPr>
          <w:rFonts w:ascii="Arial" w:hAnsi="Arial" w:cs="Arial"/>
          <w:b/>
          <w:bCs/>
          <w:sz w:val="24"/>
          <w:szCs w:val="24"/>
        </w:rPr>
      </w:pPr>
      <w:r>
        <w:rPr>
          <w:rFonts w:ascii="Arial" w:hAnsi="Arial" w:cs="Arial"/>
          <w:b/>
          <w:bCs/>
          <w:sz w:val="24"/>
          <w:szCs w:val="24"/>
        </w:rPr>
        <w:t>a</w:t>
      </w:r>
      <w:r w:rsidR="00D10FDA">
        <w:rPr>
          <w:rFonts w:ascii="Arial" w:hAnsi="Arial" w:cs="Arial"/>
          <w:b/>
          <w:bCs/>
          <w:sz w:val="24"/>
          <w:szCs w:val="24"/>
        </w:rPr>
        <w:t>nnouncing</w:t>
      </w:r>
      <w:r>
        <w:rPr>
          <w:rFonts w:ascii="Arial" w:hAnsi="Arial" w:cs="Arial"/>
          <w:b/>
          <w:bCs/>
          <w:sz w:val="24"/>
          <w:szCs w:val="24"/>
        </w:rPr>
        <w:t xml:space="preserve"> a</w:t>
      </w:r>
      <w:r w:rsidR="009D673A">
        <w:rPr>
          <w:rFonts w:ascii="Arial" w:hAnsi="Arial" w:cs="Arial"/>
          <w:b/>
          <w:bCs/>
          <w:sz w:val="24"/>
          <w:szCs w:val="24"/>
        </w:rPr>
        <w:t xml:space="preserve"> </w:t>
      </w:r>
      <w:r w:rsidR="00B47BF6">
        <w:rPr>
          <w:rFonts w:ascii="Arial" w:hAnsi="Arial" w:cs="Arial"/>
          <w:b/>
          <w:bCs/>
          <w:sz w:val="24"/>
          <w:szCs w:val="24"/>
        </w:rPr>
        <w:t xml:space="preserve">multi-year </w:t>
      </w:r>
      <w:r w:rsidR="009D673A">
        <w:rPr>
          <w:rFonts w:ascii="Arial" w:hAnsi="Arial" w:cs="Arial"/>
          <w:b/>
          <w:bCs/>
          <w:sz w:val="24"/>
          <w:szCs w:val="24"/>
        </w:rPr>
        <w:t>capital retu</w:t>
      </w:r>
      <w:r w:rsidR="00A0425F">
        <w:rPr>
          <w:rFonts w:ascii="Arial" w:hAnsi="Arial" w:cs="Arial"/>
          <w:b/>
          <w:bCs/>
          <w:sz w:val="24"/>
          <w:szCs w:val="24"/>
        </w:rPr>
        <w:t xml:space="preserve">rn </w:t>
      </w:r>
      <w:r w:rsidR="00087D55">
        <w:rPr>
          <w:rFonts w:ascii="Arial" w:hAnsi="Arial" w:cs="Arial"/>
          <w:b/>
          <w:bCs/>
          <w:sz w:val="24"/>
          <w:szCs w:val="24"/>
        </w:rPr>
        <w:t xml:space="preserve">programme </w:t>
      </w:r>
      <w:r w:rsidR="008E5F62">
        <w:rPr>
          <w:rFonts w:ascii="Arial" w:hAnsi="Arial" w:cs="Arial"/>
          <w:b/>
          <w:bCs/>
          <w:sz w:val="24"/>
          <w:szCs w:val="24"/>
        </w:rPr>
        <w:t xml:space="preserve">in </w:t>
      </w:r>
      <w:r w:rsidR="009D673A">
        <w:rPr>
          <w:rFonts w:ascii="Arial" w:hAnsi="Arial" w:cs="Arial"/>
          <w:b/>
          <w:bCs/>
          <w:sz w:val="24"/>
          <w:szCs w:val="24"/>
        </w:rPr>
        <w:t>2014/15</w:t>
      </w:r>
      <w:r w:rsidR="00813C60">
        <w:rPr>
          <w:rFonts w:ascii="Arial" w:hAnsi="Arial" w:cs="Arial"/>
          <w:b/>
          <w:bCs/>
          <w:sz w:val="24"/>
          <w:szCs w:val="24"/>
        </w:rPr>
        <w:t>.</w:t>
      </w:r>
    </w:p>
    <w:p w:rsidR="000F03E3" w:rsidRPr="006F33BE" w:rsidRDefault="000F03E3" w:rsidP="000F03E3">
      <w:pPr>
        <w:jc w:val="left"/>
        <w:rPr>
          <w:rFonts w:ascii="Arial" w:hAnsi="Arial" w:cs="Arial"/>
          <w:b/>
          <w:bCs/>
          <w:sz w:val="24"/>
          <w:szCs w:val="24"/>
          <w:u w:val="single"/>
        </w:rPr>
      </w:pPr>
    </w:p>
    <w:tbl>
      <w:tblPr>
        <w:tblW w:w="5022" w:type="pct"/>
        <w:tblInd w:w="-106" w:type="dxa"/>
        <w:tblLayout w:type="fixed"/>
        <w:tblLook w:val="01E0" w:firstRow="1" w:lastRow="1" w:firstColumn="1" w:lastColumn="1" w:noHBand="0" w:noVBand="0"/>
      </w:tblPr>
      <w:tblGrid>
        <w:gridCol w:w="2941"/>
        <w:gridCol w:w="1418"/>
        <w:gridCol w:w="1417"/>
        <w:gridCol w:w="1276"/>
        <w:gridCol w:w="88"/>
        <w:gridCol w:w="1188"/>
        <w:gridCol w:w="1355"/>
      </w:tblGrid>
      <w:tr w:rsidR="00F54156" w:rsidRPr="001907D6" w:rsidTr="00C02E76">
        <w:trPr>
          <w:trHeight w:val="564"/>
        </w:trPr>
        <w:tc>
          <w:tcPr>
            <w:tcW w:w="2941" w:type="dxa"/>
            <w:tcBorders>
              <w:bottom w:val="single" w:sz="4" w:space="0" w:color="auto"/>
            </w:tcBorders>
          </w:tcPr>
          <w:p w:rsidR="000F03E3" w:rsidRPr="00F54156" w:rsidRDefault="00BD69AD" w:rsidP="00C4481A">
            <w:pPr>
              <w:jc w:val="left"/>
              <w:rPr>
                <w:rFonts w:ascii="Arial" w:hAnsi="Arial" w:cs="Arial"/>
                <w:b/>
                <w:bCs/>
                <w:sz w:val="20"/>
                <w:szCs w:val="20"/>
                <w:highlight w:val="yellow"/>
              </w:rPr>
            </w:pPr>
            <w:r w:rsidRPr="00F4055C">
              <w:rPr>
                <w:rFonts w:ascii="Arial" w:hAnsi="Arial" w:cs="Arial"/>
                <w:b/>
                <w:bCs/>
                <w:sz w:val="24"/>
                <w:szCs w:val="24"/>
                <w:u w:val="single"/>
              </w:rPr>
              <w:t xml:space="preserve">Group </w:t>
            </w:r>
            <w:r w:rsidR="00A83A46">
              <w:rPr>
                <w:rFonts w:ascii="Arial" w:hAnsi="Arial" w:cs="Arial"/>
                <w:b/>
                <w:bCs/>
                <w:sz w:val="24"/>
                <w:szCs w:val="24"/>
                <w:u w:val="single"/>
              </w:rPr>
              <w:t xml:space="preserve"> Financial </w:t>
            </w:r>
            <w:r w:rsidRPr="00F4055C">
              <w:rPr>
                <w:rFonts w:ascii="Arial" w:hAnsi="Arial" w:cs="Arial"/>
                <w:b/>
                <w:bCs/>
                <w:sz w:val="24"/>
                <w:szCs w:val="24"/>
                <w:u w:val="single"/>
              </w:rPr>
              <w:t>Summary</w:t>
            </w:r>
          </w:p>
        </w:tc>
        <w:tc>
          <w:tcPr>
            <w:tcW w:w="1418" w:type="dxa"/>
            <w:tcBorders>
              <w:bottom w:val="single" w:sz="4" w:space="0" w:color="auto"/>
            </w:tcBorders>
          </w:tcPr>
          <w:p w:rsidR="000F03E3" w:rsidRPr="009051DE" w:rsidRDefault="000F03E3" w:rsidP="00725805">
            <w:pPr>
              <w:jc w:val="right"/>
              <w:rPr>
                <w:rFonts w:ascii="Arial" w:hAnsi="Arial" w:cs="Arial"/>
                <w:b/>
                <w:bCs/>
                <w:sz w:val="24"/>
                <w:szCs w:val="24"/>
                <w:highlight w:val="yellow"/>
              </w:rPr>
            </w:pPr>
          </w:p>
        </w:tc>
        <w:tc>
          <w:tcPr>
            <w:tcW w:w="1417" w:type="dxa"/>
            <w:tcBorders>
              <w:bottom w:val="single" w:sz="4" w:space="0" w:color="auto"/>
            </w:tcBorders>
          </w:tcPr>
          <w:p w:rsidR="000F03E3" w:rsidRPr="009051DE" w:rsidRDefault="000F03E3" w:rsidP="00C4481A">
            <w:pPr>
              <w:jc w:val="right"/>
              <w:rPr>
                <w:rFonts w:ascii="Arial" w:hAnsi="Arial" w:cs="Arial"/>
                <w:b/>
                <w:bCs/>
                <w:sz w:val="24"/>
                <w:szCs w:val="24"/>
                <w:highlight w:val="yellow"/>
              </w:rPr>
            </w:pPr>
          </w:p>
        </w:tc>
        <w:tc>
          <w:tcPr>
            <w:tcW w:w="1364" w:type="dxa"/>
            <w:gridSpan w:val="2"/>
            <w:tcBorders>
              <w:bottom w:val="single" w:sz="4" w:space="0" w:color="auto"/>
            </w:tcBorders>
          </w:tcPr>
          <w:p w:rsidR="000F03E3" w:rsidRPr="009051DE" w:rsidRDefault="000F03E3" w:rsidP="00C4481A">
            <w:pPr>
              <w:jc w:val="right"/>
              <w:rPr>
                <w:rFonts w:ascii="Arial" w:hAnsi="Arial" w:cs="Arial"/>
                <w:b/>
                <w:bCs/>
                <w:sz w:val="24"/>
                <w:szCs w:val="24"/>
              </w:rPr>
            </w:pPr>
            <w:r w:rsidRPr="009051DE">
              <w:rPr>
                <w:rFonts w:ascii="Arial" w:hAnsi="Arial" w:cs="Arial"/>
                <w:b/>
                <w:bCs/>
                <w:sz w:val="24"/>
                <w:szCs w:val="24"/>
              </w:rPr>
              <w:t xml:space="preserve">% Total </w:t>
            </w:r>
          </w:p>
          <w:p w:rsidR="000F03E3" w:rsidRPr="009051DE" w:rsidRDefault="006C3892" w:rsidP="00725805">
            <w:pPr>
              <w:jc w:val="right"/>
              <w:rPr>
                <w:rFonts w:ascii="Arial" w:hAnsi="Arial" w:cs="Arial"/>
                <w:b/>
                <w:bCs/>
                <w:sz w:val="24"/>
                <w:szCs w:val="24"/>
                <w:lang w:eastAsia="en-US"/>
              </w:rPr>
            </w:pPr>
            <w:r w:rsidRPr="009051DE">
              <w:rPr>
                <w:rFonts w:ascii="Arial" w:hAnsi="Arial" w:cs="Arial"/>
                <w:b/>
                <w:bCs/>
                <w:sz w:val="24"/>
                <w:szCs w:val="24"/>
              </w:rPr>
              <w:t>C</w:t>
            </w:r>
            <w:r w:rsidR="000F03E3" w:rsidRPr="009051DE">
              <w:rPr>
                <w:rFonts w:ascii="Arial" w:hAnsi="Arial" w:cs="Arial"/>
                <w:b/>
                <w:bCs/>
                <w:sz w:val="24"/>
                <w:szCs w:val="24"/>
              </w:rPr>
              <w:t xml:space="preserve">hange </w:t>
            </w:r>
          </w:p>
        </w:tc>
        <w:tc>
          <w:tcPr>
            <w:tcW w:w="1188" w:type="dxa"/>
            <w:tcBorders>
              <w:bottom w:val="single" w:sz="4" w:space="0" w:color="auto"/>
            </w:tcBorders>
          </w:tcPr>
          <w:p w:rsidR="000F03E3" w:rsidRPr="00E607E0" w:rsidRDefault="000F03E3" w:rsidP="00725805">
            <w:pPr>
              <w:ind w:left="-94" w:firstLine="94"/>
              <w:jc w:val="right"/>
              <w:rPr>
                <w:rFonts w:ascii="Arial" w:hAnsi="Arial" w:cs="Arial"/>
                <w:b/>
                <w:bCs/>
                <w:sz w:val="24"/>
                <w:szCs w:val="24"/>
              </w:rPr>
            </w:pPr>
            <w:r w:rsidRPr="00E607E0">
              <w:rPr>
                <w:rFonts w:ascii="Arial" w:hAnsi="Arial" w:cs="Arial"/>
                <w:b/>
                <w:bCs/>
                <w:sz w:val="24"/>
                <w:szCs w:val="24"/>
              </w:rPr>
              <w:t>% Total C</w:t>
            </w:r>
            <w:r w:rsidR="006C3892" w:rsidRPr="00E607E0">
              <w:rPr>
                <w:rFonts w:ascii="Arial" w:hAnsi="Arial" w:cs="Arial"/>
                <w:b/>
                <w:bCs/>
                <w:sz w:val="24"/>
                <w:szCs w:val="24"/>
              </w:rPr>
              <w:t>hange</w:t>
            </w:r>
            <w:r w:rsidRPr="00E607E0">
              <w:rPr>
                <w:rFonts w:ascii="Arial" w:hAnsi="Arial" w:cs="Arial"/>
                <w:b/>
                <w:bCs/>
                <w:sz w:val="24"/>
                <w:szCs w:val="24"/>
              </w:rPr>
              <w:t xml:space="preserve"> </w:t>
            </w:r>
          </w:p>
        </w:tc>
        <w:tc>
          <w:tcPr>
            <w:tcW w:w="1355" w:type="dxa"/>
            <w:tcBorders>
              <w:bottom w:val="single" w:sz="4" w:space="0" w:color="auto"/>
            </w:tcBorders>
          </w:tcPr>
          <w:p w:rsidR="000F03E3" w:rsidRPr="00E607E0" w:rsidRDefault="000F03E3" w:rsidP="00725805">
            <w:pPr>
              <w:jc w:val="right"/>
              <w:rPr>
                <w:rFonts w:ascii="Arial" w:hAnsi="Arial" w:cs="Arial"/>
                <w:b/>
                <w:bCs/>
                <w:sz w:val="24"/>
                <w:szCs w:val="24"/>
              </w:rPr>
            </w:pPr>
            <w:r w:rsidRPr="00E607E0">
              <w:rPr>
                <w:rFonts w:ascii="Arial" w:hAnsi="Arial" w:cs="Arial"/>
                <w:b/>
                <w:bCs/>
                <w:sz w:val="24"/>
                <w:szCs w:val="24"/>
              </w:rPr>
              <w:t>% LFL</w:t>
            </w:r>
            <w:r w:rsidR="00A7352B" w:rsidRPr="00E607E0">
              <w:rPr>
                <w:rFonts w:ascii="Arial" w:hAnsi="Arial" w:cs="Arial"/>
                <w:b/>
                <w:bCs/>
                <w:sz w:val="24"/>
                <w:szCs w:val="24"/>
              </w:rPr>
              <w:t>*</w:t>
            </w:r>
            <w:r w:rsidRPr="00E607E0">
              <w:rPr>
                <w:rFonts w:ascii="Arial" w:hAnsi="Arial" w:cs="Arial"/>
                <w:b/>
                <w:bCs/>
                <w:sz w:val="24"/>
                <w:szCs w:val="24"/>
              </w:rPr>
              <w:t xml:space="preserve"> </w:t>
            </w:r>
            <w:r w:rsidR="006C3892" w:rsidRPr="00E607E0">
              <w:rPr>
                <w:rFonts w:ascii="Arial" w:hAnsi="Arial" w:cs="Arial"/>
                <w:b/>
                <w:bCs/>
                <w:sz w:val="24"/>
                <w:szCs w:val="24"/>
              </w:rPr>
              <w:t>C</w:t>
            </w:r>
            <w:r w:rsidRPr="00E607E0">
              <w:rPr>
                <w:rFonts w:ascii="Arial" w:hAnsi="Arial" w:cs="Arial"/>
                <w:b/>
                <w:bCs/>
                <w:sz w:val="24"/>
                <w:szCs w:val="24"/>
              </w:rPr>
              <w:t>hange</w:t>
            </w:r>
          </w:p>
        </w:tc>
      </w:tr>
      <w:tr w:rsidR="00F54156" w:rsidRPr="00F54156" w:rsidTr="00C02E76">
        <w:trPr>
          <w:trHeight w:val="562"/>
        </w:trPr>
        <w:tc>
          <w:tcPr>
            <w:tcW w:w="2941" w:type="dxa"/>
            <w:tcBorders>
              <w:bottom w:val="single" w:sz="4" w:space="0" w:color="auto"/>
            </w:tcBorders>
          </w:tcPr>
          <w:p w:rsidR="006C3892" w:rsidRPr="006F33BE" w:rsidRDefault="006C3892" w:rsidP="00C4481A">
            <w:pPr>
              <w:jc w:val="left"/>
              <w:rPr>
                <w:rFonts w:ascii="Arial" w:hAnsi="Arial" w:cs="Arial"/>
                <w:b/>
                <w:bCs/>
                <w:u w:val="single"/>
              </w:rPr>
            </w:pPr>
          </w:p>
        </w:tc>
        <w:tc>
          <w:tcPr>
            <w:tcW w:w="1418" w:type="dxa"/>
            <w:tcBorders>
              <w:bottom w:val="single" w:sz="4" w:space="0" w:color="auto"/>
            </w:tcBorders>
          </w:tcPr>
          <w:p w:rsidR="006C3892" w:rsidRPr="009051DE" w:rsidRDefault="00CC2EB6" w:rsidP="006C3892">
            <w:pPr>
              <w:jc w:val="right"/>
              <w:rPr>
                <w:rFonts w:ascii="Arial" w:hAnsi="Arial" w:cs="Arial"/>
                <w:b/>
                <w:bCs/>
                <w:sz w:val="24"/>
                <w:szCs w:val="24"/>
              </w:rPr>
            </w:pPr>
            <w:r w:rsidRPr="009051DE">
              <w:rPr>
                <w:rFonts w:ascii="Arial" w:hAnsi="Arial" w:cs="Arial"/>
                <w:b/>
                <w:bCs/>
                <w:sz w:val="24"/>
                <w:szCs w:val="24"/>
              </w:rPr>
              <w:t>2013/14</w:t>
            </w:r>
          </w:p>
          <w:p w:rsidR="006C3892" w:rsidRPr="009051DE" w:rsidRDefault="006C3892" w:rsidP="00C4481A">
            <w:pPr>
              <w:jc w:val="right"/>
              <w:rPr>
                <w:rFonts w:ascii="Arial" w:hAnsi="Arial" w:cs="Arial"/>
                <w:b/>
                <w:bCs/>
                <w:sz w:val="24"/>
                <w:szCs w:val="24"/>
              </w:rPr>
            </w:pPr>
          </w:p>
        </w:tc>
        <w:tc>
          <w:tcPr>
            <w:tcW w:w="1417" w:type="dxa"/>
            <w:tcBorders>
              <w:bottom w:val="single" w:sz="4" w:space="0" w:color="auto"/>
            </w:tcBorders>
          </w:tcPr>
          <w:p w:rsidR="006C3892" w:rsidRPr="009051DE" w:rsidRDefault="00CC2EB6" w:rsidP="00C4481A">
            <w:pPr>
              <w:jc w:val="right"/>
              <w:rPr>
                <w:rFonts w:ascii="Arial" w:hAnsi="Arial" w:cs="Arial"/>
                <w:b/>
                <w:bCs/>
                <w:sz w:val="24"/>
                <w:szCs w:val="24"/>
              </w:rPr>
            </w:pPr>
            <w:r w:rsidRPr="009051DE">
              <w:rPr>
                <w:rFonts w:ascii="Arial" w:hAnsi="Arial" w:cs="Arial"/>
                <w:b/>
                <w:bCs/>
                <w:sz w:val="24"/>
                <w:szCs w:val="24"/>
              </w:rPr>
              <w:t>2012/13</w:t>
            </w:r>
          </w:p>
        </w:tc>
        <w:tc>
          <w:tcPr>
            <w:tcW w:w="1276" w:type="dxa"/>
            <w:tcBorders>
              <w:bottom w:val="single" w:sz="4" w:space="0" w:color="auto"/>
            </w:tcBorders>
          </w:tcPr>
          <w:p w:rsidR="006C3892" w:rsidRPr="009051DE" w:rsidRDefault="006C3892" w:rsidP="00C4481A">
            <w:pPr>
              <w:jc w:val="right"/>
              <w:rPr>
                <w:rFonts w:ascii="Arial" w:hAnsi="Arial" w:cs="Arial"/>
                <w:b/>
                <w:bCs/>
                <w:sz w:val="24"/>
                <w:szCs w:val="24"/>
              </w:rPr>
            </w:pPr>
            <w:r w:rsidRPr="009051DE">
              <w:rPr>
                <w:rFonts w:ascii="Arial" w:hAnsi="Arial" w:cs="Arial"/>
                <w:b/>
                <w:bCs/>
                <w:sz w:val="24"/>
                <w:szCs w:val="24"/>
              </w:rPr>
              <w:t>Reported</w:t>
            </w:r>
          </w:p>
        </w:tc>
        <w:tc>
          <w:tcPr>
            <w:tcW w:w="1276" w:type="dxa"/>
            <w:gridSpan w:val="2"/>
            <w:tcBorders>
              <w:bottom w:val="single" w:sz="4" w:space="0" w:color="auto"/>
            </w:tcBorders>
          </w:tcPr>
          <w:p w:rsidR="006C3892" w:rsidRPr="00E607E0" w:rsidRDefault="006C3892" w:rsidP="008C05A8">
            <w:pPr>
              <w:ind w:left="-94" w:firstLine="94"/>
              <w:jc w:val="right"/>
              <w:rPr>
                <w:rFonts w:ascii="Arial" w:hAnsi="Arial" w:cs="Arial"/>
                <w:b/>
                <w:bCs/>
                <w:sz w:val="24"/>
                <w:szCs w:val="24"/>
              </w:rPr>
            </w:pPr>
            <w:r w:rsidRPr="009051DE">
              <w:rPr>
                <w:rFonts w:ascii="Arial" w:hAnsi="Arial" w:cs="Arial"/>
                <w:b/>
                <w:bCs/>
                <w:sz w:val="24"/>
                <w:szCs w:val="24"/>
              </w:rPr>
              <w:t>Constant currency</w:t>
            </w:r>
          </w:p>
        </w:tc>
        <w:tc>
          <w:tcPr>
            <w:tcW w:w="1355" w:type="dxa"/>
            <w:tcBorders>
              <w:bottom w:val="single" w:sz="4" w:space="0" w:color="auto"/>
            </w:tcBorders>
          </w:tcPr>
          <w:p w:rsidR="006C3892" w:rsidRPr="00E607E0" w:rsidRDefault="006C3892" w:rsidP="00C4481A">
            <w:pPr>
              <w:jc w:val="right"/>
              <w:rPr>
                <w:rFonts w:ascii="Arial" w:hAnsi="Arial" w:cs="Arial"/>
                <w:b/>
                <w:bCs/>
                <w:sz w:val="24"/>
                <w:szCs w:val="24"/>
              </w:rPr>
            </w:pPr>
            <w:r w:rsidRPr="00E607E0">
              <w:rPr>
                <w:rFonts w:ascii="Arial" w:hAnsi="Arial" w:cs="Arial"/>
                <w:b/>
                <w:bCs/>
                <w:sz w:val="24"/>
                <w:szCs w:val="24"/>
              </w:rPr>
              <w:t>Constant currency</w:t>
            </w:r>
          </w:p>
        </w:tc>
      </w:tr>
      <w:tr w:rsidR="00F54156" w:rsidRPr="00F54156" w:rsidTr="006F33BE">
        <w:tc>
          <w:tcPr>
            <w:tcW w:w="2941" w:type="dxa"/>
            <w:tcBorders>
              <w:top w:val="single" w:sz="4" w:space="0" w:color="auto"/>
            </w:tcBorders>
          </w:tcPr>
          <w:p w:rsidR="00F54156" w:rsidRPr="00C02E76" w:rsidRDefault="00F54156" w:rsidP="00C4481A">
            <w:pPr>
              <w:jc w:val="left"/>
              <w:rPr>
                <w:rFonts w:ascii="Arial" w:hAnsi="Arial" w:cs="Arial"/>
                <w:sz w:val="24"/>
                <w:szCs w:val="24"/>
              </w:rPr>
            </w:pPr>
            <w:r w:rsidRPr="00C02E76">
              <w:rPr>
                <w:rFonts w:ascii="Arial" w:hAnsi="Arial" w:cs="Arial"/>
                <w:sz w:val="24"/>
                <w:szCs w:val="24"/>
              </w:rPr>
              <w:t>Sales</w:t>
            </w:r>
            <w:r w:rsidR="00310C83" w:rsidRPr="00C02E76">
              <w:rPr>
                <w:rFonts w:ascii="Arial" w:hAnsi="Arial" w:cs="Arial"/>
                <w:bCs/>
                <w:sz w:val="24"/>
                <w:szCs w:val="24"/>
              </w:rPr>
              <w:t>*</w:t>
            </w:r>
          </w:p>
        </w:tc>
        <w:tc>
          <w:tcPr>
            <w:tcW w:w="1418" w:type="dxa"/>
            <w:tcBorders>
              <w:top w:val="single" w:sz="4" w:space="0" w:color="auto"/>
            </w:tcBorders>
          </w:tcPr>
          <w:p w:rsidR="00F54156" w:rsidRPr="00421ED6" w:rsidRDefault="00F54156" w:rsidP="00C4481A">
            <w:pPr>
              <w:jc w:val="right"/>
              <w:rPr>
                <w:rFonts w:ascii="Arial" w:hAnsi="Arial" w:cs="Arial"/>
                <w:sz w:val="24"/>
                <w:szCs w:val="24"/>
              </w:rPr>
            </w:pPr>
            <w:r w:rsidRPr="00421ED6">
              <w:rPr>
                <w:rFonts w:ascii="Arial" w:hAnsi="Arial" w:cs="Arial"/>
                <w:sz w:val="24"/>
                <w:szCs w:val="24"/>
              </w:rPr>
              <w:t>£</w:t>
            </w:r>
            <w:r w:rsidR="00DC7AEF" w:rsidRPr="00421ED6">
              <w:rPr>
                <w:rFonts w:ascii="Arial" w:hAnsi="Arial" w:cs="Arial"/>
                <w:sz w:val="24"/>
                <w:szCs w:val="24"/>
              </w:rPr>
              <w:t>11,12</w:t>
            </w:r>
            <w:r w:rsidR="0004782C">
              <w:rPr>
                <w:rFonts w:ascii="Arial" w:hAnsi="Arial" w:cs="Arial"/>
                <w:sz w:val="24"/>
                <w:szCs w:val="24"/>
              </w:rPr>
              <w:t>5</w:t>
            </w:r>
            <w:r w:rsidRPr="00421ED6">
              <w:rPr>
                <w:rFonts w:ascii="Arial" w:hAnsi="Arial" w:cs="Arial"/>
                <w:sz w:val="24"/>
                <w:szCs w:val="24"/>
              </w:rPr>
              <w:t>m</w:t>
            </w:r>
          </w:p>
        </w:tc>
        <w:tc>
          <w:tcPr>
            <w:tcW w:w="1417" w:type="dxa"/>
            <w:tcBorders>
              <w:top w:val="single" w:sz="4" w:space="0" w:color="auto"/>
            </w:tcBorders>
          </w:tcPr>
          <w:p w:rsidR="00F54156" w:rsidRPr="00421ED6" w:rsidRDefault="00F54156" w:rsidP="00AC5413">
            <w:pPr>
              <w:jc w:val="right"/>
              <w:rPr>
                <w:rFonts w:ascii="Arial" w:hAnsi="Arial" w:cs="Arial"/>
                <w:sz w:val="24"/>
                <w:szCs w:val="24"/>
              </w:rPr>
            </w:pPr>
            <w:r w:rsidRPr="00421ED6">
              <w:rPr>
                <w:rFonts w:ascii="Arial" w:hAnsi="Arial" w:cs="Arial"/>
                <w:sz w:val="24"/>
                <w:szCs w:val="24"/>
              </w:rPr>
              <w:t>£10,573m</w:t>
            </w:r>
          </w:p>
        </w:tc>
        <w:tc>
          <w:tcPr>
            <w:tcW w:w="1364" w:type="dxa"/>
            <w:gridSpan w:val="2"/>
            <w:tcBorders>
              <w:top w:val="single" w:sz="4" w:space="0" w:color="auto"/>
            </w:tcBorders>
          </w:tcPr>
          <w:p w:rsidR="00F54156" w:rsidRPr="00421ED6" w:rsidRDefault="00DC7AEF" w:rsidP="00C4481A">
            <w:pPr>
              <w:jc w:val="right"/>
              <w:rPr>
                <w:rFonts w:ascii="Arial" w:hAnsi="Arial" w:cs="Arial"/>
                <w:sz w:val="24"/>
                <w:szCs w:val="24"/>
              </w:rPr>
            </w:pPr>
            <w:r w:rsidRPr="00421ED6">
              <w:rPr>
                <w:rFonts w:ascii="Arial" w:hAnsi="Arial" w:cs="Arial"/>
                <w:sz w:val="24"/>
                <w:szCs w:val="24"/>
              </w:rPr>
              <w:t>+5.2</w:t>
            </w:r>
            <w:r w:rsidR="00F54156" w:rsidRPr="00421ED6">
              <w:rPr>
                <w:rFonts w:ascii="Arial" w:hAnsi="Arial" w:cs="Arial"/>
                <w:sz w:val="24"/>
                <w:szCs w:val="24"/>
              </w:rPr>
              <w:t>%</w:t>
            </w:r>
          </w:p>
        </w:tc>
        <w:tc>
          <w:tcPr>
            <w:tcW w:w="1188" w:type="dxa"/>
            <w:tcBorders>
              <w:top w:val="single" w:sz="4" w:space="0" w:color="auto"/>
            </w:tcBorders>
          </w:tcPr>
          <w:p w:rsidR="00F54156" w:rsidRPr="00F54156" w:rsidRDefault="00205885" w:rsidP="00C4481A">
            <w:pPr>
              <w:jc w:val="right"/>
              <w:rPr>
                <w:rFonts w:ascii="Arial" w:hAnsi="Arial" w:cs="Arial"/>
                <w:sz w:val="24"/>
                <w:szCs w:val="24"/>
                <w:highlight w:val="magenta"/>
              </w:rPr>
            </w:pPr>
            <w:r w:rsidRPr="00205885">
              <w:rPr>
                <w:rFonts w:ascii="Arial" w:hAnsi="Arial" w:cs="Arial"/>
                <w:sz w:val="24"/>
                <w:szCs w:val="24"/>
              </w:rPr>
              <w:t>+3.5</w:t>
            </w:r>
            <w:r w:rsidR="00F54156" w:rsidRPr="00205885">
              <w:rPr>
                <w:rFonts w:ascii="Arial" w:hAnsi="Arial" w:cs="Arial"/>
                <w:sz w:val="24"/>
                <w:szCs w:val="24"/>
              </w:rPr>
              <w:t>%</w:t>
            </w:r>
            <w:r w:rsidR="001907D6" w:rsidRPr="0098224A">
              <w:rPr>
                <w:rFonts w:ascii="Arial" w:hAnsi="Arial" w:cs="Arial"/>
                <w:i/>
                <w:vertAlign w:val="superscript"/>
              </w:rPr>
              <w:t>(1)</w:t>
            </w:r>
          </w:p>
        </w:tc>
        <w:tc>
          <w:tcPr>
            <w:tcW w:w="1355" w:type="dxa"/>
            <w:tcBorders>
              <w:top w:val="single" w:sz="4" w:space="0" w:color="auto"/>
            </w:tcBorders>
          </w:tcPr>
          <w:p w:rsidR="00F54156" w:rsidRPr="00F54156" w:rsidRDefault="00661868" w:rsidP="00C4481A">
            <w:pPr>
              <w:jc w:val="right"/>
              <w:rPr>
                <w:rFonts w:ascii="Arial" w:hAnsi="Arial" w:cs="Arial"/>
                <w:sz w:val="24"/>
                <w:szCs w:val="24"/>
                <w:highlight w:val="yellow"/>
              </w:rPr>
            </w:pPr>
            <w:r>
              <w:rPr>
                <w:rFonts w:ascii="Arial" w:hAnsi="Arial" w:cs="Arial"/>
                <w:sz w:val="24"/>
                <w:szCs w:val="24"/>
              </w:rPr>
              <w:t>+0.7</w:t>
            </w:r>
            <w:r w:rsidR="00F54156" w:rsidRPr="00F54156">
              <w:rPr>
                <w:rFonts w:ascii="Arial" w:hAnsi="Arial" w:cs="Arial"/>
                <w:sz w:val="24"/>
                <w:szCs w:val="24"/>
              </w:rPr>
              <w:t>%</w:t>
            </w:r>
          </w:p>
        </w:tc>
      </w:tr>
      <w:tr w:rsidR="00F54156" w:rsidRPr="00F54156" w:rsidTr="006F33BE">
        <w:tc>
          <w:tcPr>
            <w:tcW w:w="2941" w:type="dxa"/>
            <w:tcBorders>
              <w:bottom w:val="single" w:sz="4" w:space="0" w:color="auto"/>
            </w:tcBorders>
          </w:tcPr>
          <w:p w:rsidR="00F54156" w:rsidRPr="00C02E76" w:rsidRDefault="00F54156" w:rsidP="009051DE">
            <w:pPr>
              <w:jc w:val="left"/>
              <w:rPr>
                <w:rFonts w:ascii="Arial" w:hAnsi="Arial" w:cs="Arial"/>
                <w:sz w:val="24"/>
                <w:szCs w:val="24"/>
              </w:rPr>
            </w:pPr>
            <w:r w:rsidRPr="00C02E76">
              <w:rPr>
                <w:rFonts w:ascii="Arial" w:hAnsi="Arial" w:cs="Arial"/>
                <w:sz w:val="24"/>
                <w:szCs w:val="24"/>
              </w:rPr>
              <w:t>Retail profit</w:t>
            </w:r>
            <w:r w:rsidR="00421ED6" w:rsidRPr="00C02E76">
              <w:rPr>
                <w:rFonts w:ascii="Arial" w:hAnsi="Arial" w:cs="Arial"/>
                <w:sz w:val="24"/>
                <w:szCs w:val="24"/>
              </w:rPr>
              <w:t>*</w:t>
            </w:r>
            <w:r w:rsidR="00421ED6" w:rsidRPr="00C02E76">
              <w:rPr>
                <w:rFonts w:ascii="Arial" w:hAnsi="Arial" w:cs="Arial"/>
                <w:i/>
                <w:sz w:val="24"/>
                <w:szCs w:val="24"/>
                <w:vertAlign w:val="superscript"/>
              </w:rPr>
              <w:t>(</w:t>
            </w:r>
            <w:r w:rsidR="00417A9B" w:rsidRPr="00C02E76">
              <w:rPr>
                <w:rFonts w:ascii="Arial" w:hAnsi="Arial" w:cs="Arial"/>
                <w:i/>
                <w:sz w:val="24"/>
                <w:szCs w:val="24"/>
                <w:vertAlign w:val="superscript"/>
              </w:rPr>
              <w:t>2</w:t>
            </w:r>
            <w:r w:rsidR="00421ED6" w:rsidRPr="00C02E76">
              <w:rPr>
                <w:rFonts w:ascii="Arial" w:hAnsi="Arial" w:cs="Arial"/>
                <w:i/>
                <w:sz w:val="24"/>
                <w:szCs w:val="24"/>
                <w:vertAlign w:val="superscript"/>
              </w:rPr>
              <w:t>)</w:t>
            </w:r>
          </w:p>
        </w:tc>
        <w:tc>
          <w:tcPr>
            <w:tcW w:w="1418" w:type="dxa"/>
            <w:tcBorders>
              <w:bottom w:val="single" w:sz="4" w:space="0" w:color="auto"/>
            </w:tcBorders>
          </w:tcPr>
          <w:p w:rsidR="00F54156" w:rsidRPr="00421ED6" w:rsidRDefault="00F54156" w:rsidP="00C4481A">
            <w:pPr>
              <w:jc w:val="right"/>
              <w:rPr>
                <w:rFonts w:ascii="Arial" w:hAnsi="Arial" w:cs="Arial"/>
                <w:sz w:val="24"/>
                <w:szCs w:val="24"/>
              </w:rPr>
            </w:pPr>
            <w:r w:rsidRPr="00421ED6">
              <w:rPr>
                <w:rFonts w:ascii="Arial" w:hAnsi="Arial" w:cs="Arial"/>
                <w:sz w:val="24"/>
                <w:szCs w:val="24"/>
              </w:rPr>
              <w:t>£</w:t>
            </w:r>
            <w:r w:rsidR="006F33BE" w:rsidRPr="00421ED6">
              <w:rPr>
                <w:rFonts w:ascii="Arial" w:hAnsi="Arial" w:cs="Arial"/>
                <w:sz w:val="24"/>
                <w:szCs w:val="24"/>
              </w:rPr>
              <w:t>80</w:t>
            </w:r>
            <w:r w:rsidR="008E5638">
              <w:rPr>
                <w:rFonts w:ascii="Arial" w:hAnsi="Arial" w:cs="Arial"/>
                <w:sz w:val="24"/>
                <w:szCs w:val="24"/>
              </w:rPr>
              <w:t>5</w:t>
            </w:r>
            <w:r w:rsidRPr="00421ED6">
              <w:rPr>
                <w:rFonts w:ascii="Arial" w:hAnsi="Arial" w:cs="Arial"/>
                <w:sz w:val="24"/>
                <w:szCs w:val="24"/>
              </w:rPr>
              <w:t>m</w:t>
            </w:r>
          </w:p>
        </w:tc>
        <w:tc>
          <w:tcPr>
            <w:tcW w:w="1417" w:type="dxa"/>
            <w:tcBorders>
              <w:bottom w:val="single" w:sz="4" w:space="0" w:color="auto"/>
            </w:tcBorders>
          </w:tcPr>
          <w:p w:rsidR="00F54156" w:rsidRPr="00421ED6" w:rsidRDefault="00205885" w:rsidP="00AC5413">
            <w:pPr>
              <w:jc w:val="right"/>
              <w:rPr>
                <w:rFonts w:ascii="Arial" w:hAnsi="Arial" w:cs="Arial"/>
                <w:sz w:val="24"/>
                <w:szCs w:val="24"/>
              </w:rPr>
            </w:pPr>
            <w:r w:rsidRPr="00421ED6">
              <w:rPr>
                <w:rFonts w:ascii="Arial" w:hAnsi="Arial" w:cs="Arial"/>
                <w:sz w:val="24"/>
                <w:szCs w:val="24"/>
              </w:rPr>
              <w:t>£778</w:t>
            </w:r>
            <w:r w:rsidR="00F54156" w:rsidRPr="00421ED6">
              <w:rPr>
                <w:rFonts w:ascii="Arial" w:hAnsi="Arial" w:cs="Arial"/>
                <w:sz w:val="24"/>
                <w:szCs w:val="24"/>
              </w:rPr>
              <w:t>m</w:t>
            </w:r>
          </w:p>
        </w:tc>
        <w:tc>
          <w:tcPr>
            <w:tcW w:w="1364" w:type="dxa"/>
            <w:gridSpan w:val="2"/>
            <w:tcBorders>
              <w:bottom w:val="single" w:sz="4" w:space="0" w:color="auto"/>
            </w:tcBorders>
          </w:tcPr>
          <w:p w:rsidR="00F54156" w:rsidRPr="00421ED6" w:rsidRDefault="006F33BE" w:rsidP="00C4481A">
            <w:pPr>
              <w:jc w:val="right"/>
              <w:rPr>
                <w:rFonts w:ascii="Arial" w:hAnsi="Arial" w:cs="Arial"/>
                <w:sz w:val="24"/>
                <w:szCs w:val="24"/>
              </w:rPr>
            </w:pPr>
            <w:r w:rsidRPr="00421ED6">
              <w:rPr>
                <w:rFonts w:ascii="Arial" w:hAnsi="Arial" w:cs="Arial"/>
                <w:sz w:val="24"/>
                <w:szCs w:val="24"/>
              </w:rPr>
              <w:t>+3.</w:t>
            </w:r>
            <w:r w:rsidR="008E5638">
              <w:rPr>
                <w:rFonts w:ascii="Arial" w:hAnsi="Arial" w:cs="Arial"/>
                <w:sz w:val="24"/>
                <w:szCs w:val="24"/>
              </w:rPr>
              <w:t>5</w:t>
            </w:r>
            <w:r w:rsidR="00F54156" w:rsidRPr="00421ED6">
              <w:rPr>
                <w:rFonts w:ascii="Arial" w:hAnsi="Arial" w:cs="Arial"/>
                <w:sz w:val="24"/>
                <w:szCs w:val="24"/>
              </w:rPr>
              <w:t>%</w:t>
            </w:r>
          </w:p>
        </w:tc>
        <w:tc>
          <w:tcPr>
            <w:tcW w:w="1188" w:type="dxa"/>
            <w:tcBorders>
              <w:bottom w:val="single" w:sz="4" w:space="0" w:color="auto"/>
            </w:tcBorders>
          </w:tcPr>
          <w:p w:rsidR="00F54156" w:rsidRPr="00F54156" w:rsidRDefault="006F33BE" w:rsidP="00C4481A">
            <w:pPr>
              <w:jc w:val="right"/>
              <w:rPr>
                <w:rFonts w:ascii="Arial" w:hAnsi="Arial" w:cs="Arial"/>
                <w:sz w:val="24"/>
                <w:szCs w:val="24"/>
              </w:rPr>
            </w:pPr>
            <w:r>
              <w:rPr>
                <w:rFonts w:ascii="Arial" w:hAnsi="Arial" w:cs="Arial"/>
                <w:sz w:val="24"/>
                <w:szCs w:val="24"/>
              </w:rPr>
              <w:t>+0.</w:t>
            </w:r>
            <w:r w:rsidR="008E5638">
              <w:rPr>
                <w:rFonts w:ascii="Arial" w:hAnsi="Arial" w:cs="Arial"/>
                <w:sz w:val="24"/>
                <w:szCs w:val="24"/>
              </w:rPr>
              <w:t>7</w:t>
            </w:r>
            <w:r w:rsidR="00F54156" w:rsidRPr="00F54156">
              <w:rPr>
                <w:rFonts w:ascii="Arial" w:hAnsi="Arial" w:cs="Arial"/>
                <w:sz w:val="24"/>
                <w:szCs w:val="24"/>
              </w:rPr>
              <w:t>%</w:t>
            </w:r>
            <w:r w:rsidR="001907D6" w:rsidRPr="0098224A">
              <w:rPr>
                <w:rFonts w:ascii="Arial" w:hAnsi="Arial" w:cs="Arial"/>
                <w:i/>
                <w:vertAlign w:val="superscript"/>
              </w:rPr>
              <w:t>(1)</w:t>
            </w:r>
          </w:p>
        </w:tc>
        <w:tc>
          <w:tcPr>
            <w:tcW w:w="1355" w:type="dxa"/>
            <w:tcBorders>
              <w:bottom w:val="single" w:sz="4" w:space="0" w:color="auto"/>
            </w:tcBorders>
          </w:tcPr>
          <w:p w:rsidR="00F54156" w:rsidRPr="00F54156" w:rsidRDefault="00F54156" w:rsidP="00C4481A">
            <w:pPr>
              <w:jc w:val="right"/>
              <w:rPr>
                <w:rFonts w:ascii="Arial" w:hAnsi="Arial" w:cs="Arial"/>
                <w:sz w:val="24"/>
                <w:szCs w:val="24"/>
                <w:highlight w:val="yellow"/>
              </w:rPr>
            </w:pPr>
          </w:p>
        </w:tc>
      </w:tr>
      <w:tr w:rsidR="00F54156" w:rsidRPr="00F54156" w:rsidTr="006F33BE">
        <w:tc>
          <w:tcPr>
            <w:tcW w:w="2941" w:type="dxa"/>
            <w:tcBorders>
              <w:top w:val="single" w:sz="4" w:space="0" w:color="auto"/>
            </w:tcBorders>
          </w:tcPr>
          <w:p w:rsidR="00F54156" w:rsidRPr="00C02E76" w:rsidRDefault="00F54156" w:rsidP="00DC7AEF">
            <w:pPr>
              <w:jc w:val="left"/>
              <w:rPr>
                <w:rFonts w:ascii="Arial" w:hAnsi="Arial" w:cs="Arial"/>
                <w:sz w:val="24"/>
                <w:szCs w:val="24"/>
              </w:rPr>
            </w:pPr>
            <w:r w:rsidRPr="00C02E76">
              <w:rPr>
                <w:rFonts w:ascii="Arial" w:hAnsi="Arial" w:cs="Arial"/>
                <w:sz w:val="24"/>
                <w:szCs w:val="24"/>
              </w:rPr>
              <w:t>Adjusted</w:t>
            </w:r>
            <w:r w:rsidR="00310C83" w:rsidRPr="00C02E76">
              <w:rPr>
                <w:rFonts w:ascii="Arial" w:hAnsi="Arial" w:cs="Arial"/>
                <w:sz w:val="24"/>
                <w:szCs w:val="24"/>
              </w:rPr>
              <w:t>*</w:t>
            </w:r>
            <w:r w:rsidRPr="00C02E76">
              <w:rPr>
                <w:rFonts w:ascii="Arial" w:hAnsi="Arial" w:cs="Arial"/>
                <w:sz w:val="24"/>
                <w:szCs w:val="24"/>
              </w:rPr>
              <w:t xml:space="preserve"> pre-tax profit </w:t>
            </w:r>
          </w:p>
        </w:tc>
        <w:tc>
          <w:tcPr>
            <w:tcW w:w="1418" w:type="dxa"/>
            <w:tcBorders>
              <w:top w:val="single" w:sz="4" w:space="0" w:color="auto"/>
            </w:tcBorders>
          </w:tcPr>
          <w:p w:rsidR="00F54156" w:rsidRPr="00F54156" w:rsidRDefault="00F54156">
            <w:pPr>
              <w:jc w:val="right"/>
              <w:rPr>
                <w:rFonts w:ascii="Arial" w:hAnsi="Arial" w:cs="Arial"/>
                <w:sz w:val="24"/>
                <w:szCs w:val="24"/>
              </w:rPr>
            </w:pPr>
            <w:r w:rsidRPr="00F54156">
              <w:rPr>
                <w:rFonts w:ascii="Arial" w:hAnsi="Arial" w:cs="Arial"/>
                <w:sz w:val="24"/>
                <w:szCs w:val="24"/>
              </w:rPr>
              <w:t>£</w:t>
            </w:r>
            <w:r w:rsidR="006F33BE">
              <w:rPr>
                <w:rFonts w:ascii="Arial" w:hAnsi="Arial" w:cs="Arial"/>
                <w:sz w:val="24"/>
                <w:szCs w:val="24"/>
              </w:rPr>
              <w:t>744</w:t>
            </w:r>
            <w:r w:rsidRPr="00F54156">
              <w:rPr>
                <w:rFonts w:ascii="Arial" w:hAnsi="Arial" w:cs="Arial"/>
                <w:sz w:val="24"/>
                <w:szCs w:val="24"/>
              </w:rPr>
              <w:t>m</w:t>
            </w:r>
          </w:p>
        </w:tc>
        <w:tc>
          <w:tcPr>
            <w:tcW w:w="1417" w:type="dxa"/>
            <w:tcBorders>
              <w:top w:val="single" w:sz="4" w:space="0" w:color="auto"/>
            </w:tcBorders>
          </w:tcPr>
          <w:p w:rsidR="00F54156" w:rsidRPr="00F54156" w:rsidRDefault="00F54156" w:rsidP="00AC5413">
            <w:pPr>
              <w:jc w:val="right"/>
              <w:rPr>
                <w:rFonts w:ascii="Arial" w:hAnsi="Arial" w:cs="Arial"/>
                <w:sz w:val="24"/>
                <w:szCs w:val="24"/>
              </w:rPr>
            </w:pPr>
            <w:r w:rsidRPr="00F54156">
              <w:rPr>
                <w:rFonts w:ascii="Arial" w:hAnsi="Arial" w:cs="Arial"/>
                <w:sz w:val="24"/>
                <w:szCs w:val="24"/>
              </w:rPr>
              <w:t>£715m</w:t>
            </w:r>
          </w:p>
        </w:tc>
        <w:tc>
          <w:tcPr>
            <w:tcW w:w="1364" w:type="dxa"/>
            <w:gridSpan w:val="2"/>
            <w:tcBorders>
              <w:top w:val="single" w:sz="4" w:space="0" w:color="auto"/>
            </w:tcBorders>
          </w:tcPr>
          <w:p w:rsidR="00F54156" w:rsidRPr="00F54156" w:rsidRDefault="006F33BE" w:rsidP="00C4481A">
            <w:pPr>
              <w:jc w:val="right"/>
              <w:rPr>
                <w:rFonts w:ascii="Arial" w:hAnsi="Arial" w:cs="Arial"/>
                <w:sz w:val="24"/>
                <w:szCs w:val="24"/>
              </w:rPr>
            </w:pPr>
            <w:r>
              <w:rPr>
                <w:rFonts w:ascii="Arial" w:hAnsi="Arial" w:cs="Arial"/>
                <w:sz w:val="24"/>
                <w:szCs w:val="24"/>
              </w:rPr>
              <w:t>+4.1</w:t>
            </w:r>
            <w:r w:rsidR="00F54156" w:rsidRPr="00F54156">
              <w:rPr>
                <w:rFonts w:ascii="Arial" w:hAnsi="Arial" w:cs="Arial"/>
                <w:sz w:val="24"/>
                <w:szCs w:val="24"/>
              </w:rPr>
              <w:t>%</w:t>
            </w:r>
          </w:p>
        </w:tc>
        <w:tc>
          <w:tcPr>
            <w:tcW w:w="1188" w:type="dxa"/>
            <w:tcBorders>
              <w:top w:val="single" w:sz="4" w:space="0" w:color="auto"/>
            </w:tcBorders>
          </w:tcPr>
          <w:p w:rsidR="00F54156" w:rsidRPr="00F54156" w:rsidRDefault="00F54156" w:rsidP="00C4481A">
            <w:pPr>
              <w:jc w:val="right"/>
              <w:rPr>
                <w:rFonts w:ascii="Arial" w:hAnsi="Arial" w:cs="Arial"/>
                <w:sz w:val="24"/>
                <w:szCs w:val="24"/>
              </w:rPr>
            </w:pPr>
          </w:p>
        </w:tc>
        <w:tc>
          <w:tcPr>
            <w:tcW w:w="1355" w:type="dxa"/>
            <w:tcBorders>
              <w:top w:val="single" w:sz="4" w:space="0" w:color="auto"/>
            </w:tcBorders>
          </w:tcPr>
          <w:p w:rsidR="00F54156" w:rsidRPr="00F54156" w:rsidRDefault="00F54156" w:rsidP="00C4481A">
            <w:pPr>
              <w:jc w:val="right"/>
              <w:rPr>
                <w:rFonts w:ascii="Arial" w:hAnsi="Arial" w:cs="Arial"/>
                <w:sz w:val="24"/>
                <w:szCs w:val="24"/>
                <w:highlight w:val="yellow"/>
              </w:rPr>
            </w:pPr>
          </w:p>
        </w:tc>
      </w:tr>
      <w:tr w:rsidR="00F54156" w:rsidRPr="00F54156" w:rsidTr="006F33BE">
        <w:tc>
          <w:tcPr>
            <w:tcW w:w="2941" w:type="dxa"/>
            <w:tcBorders>
              <w:bottom w:val="single" w:sz="4" w:space="0" w:color="auto"/>
            </w:tcBorders>
          </w:tcPr>
          <w:p w:rsidR="00F54156" w:rsidRPr="00C02E76" w:rsidRDefault="00F54156" w:rsidP="00DC7AEF">
            <w:pPr>
              <w:jc w:val="left"/>
              <w:rPr>
                <w:rFonts w:ascii="Arial" w:hAnsi="Arial" w:cs="Arial"/>
                <w:sz w:val="24"/>
                <w:szCs w:val="24"/>
              </w:rPr>
            </w:pPr>
            <w:r w:rsidRPr="00C02E76">
              <w:rPr>
                <w:rFonts w:ascii="Arial" w:hAnsi="Arial" w:cs="Arial"/>
                <w:sz w:val="24"/>
                <w:szCs w:val="24"/>
              </w:rPr>
              <w:t>Adjusted basic EPS</w:t>
            </w:r>
          </w:p>
        </w:tc>
        <w:tc>
          <w:tcPr>
            <w:tcW w:w="1418" w:type="dxa"/>
            <w:tcBorders>
              <w:bottom w:val="single" w:sz="4" w:space="0" w:color="auto"/>
            </w:tcBorders>
          </w:tcPr>
          <w:p w:rsidR="00F54156" w:rsidRPr="00F54156" w:rsidRDefault="00BD69AD" w:rsidP="00C4481A">
            <w:pPr>
              <w:jc w:val="right"/>
              <w:rPr>
                <w:rFonts w:ascii="Arial" w:hAnsi="Arial" w:cs="Arial"/>
                <w:sz w:val="24"/>
                <w:szCs w:val="24"/>
              </w:rPr>
            </w:pPr>
            <w:r>
              <w:rPr>
                <w:rFonts w:ascii="Arial" w:hAnsi="Arial" w:cs="Arial"/>
                <w:sz w:val="24"/>
                <w:szCs w:val="24"/>
              </w:rPr>
              <w:t>23.</w:t>
            </w:r>
            <w:r w:rsidR="00D10FDA">
              <w:rPr>
                <w:rFonts w:ascii="Arial" w:hAnsi="Arial" w:cs="Arial"/>
                <w:sz w:val="24"/>
                <w:szCs w:val="24"/>
              </w:rPr>
              <w:t>4</w:t>
            </w:r>
            <w:r w:rsidR="00F54156" w:rsidRPr="00F54156">
              <w:rPr>
                <w:rFonts w:ascii="Arial" w:hAnsi="Arial" w:cs="Arial"/>
                <w:sz w:val="24"/>
                <w:szCs w:val="24"/>
              </w:rPr>
              <w:t>p</w:t>
            </w:r>
          </w:p>
        </w:tc>
        <w:tc>
          <w:tcPr>
            <w:tcW w:w="1417" w:type="dxa"/>
            <w:tcBorders>
              <w:bottom w:val="single" w:sz="4" w:space="0" w:color="auto"/>
            </w:tcBorders>
          </w:tcPr>
          <w:p w:rsidR="00F54156" w:rsidRPr="00F54156" w:rsidRDefault="00F54156" w:rsidP="00AC5413">
            <w:pPr>
              <w:jc w:val="right"/>
              <w:rPr>
                <w:rFonts w:ascii="Arial" w:hAnsi="Arial" w:cs="Arial"/>
                <w:sz w:val="24"/>
                <w:szCs w:val="24"/>
              </w:rPr>
            </w:pPr>
            <w:r w:rsidRPr="00F54156">
              <w:rPr>
                <w:rFonts w:ascii="Arial" w:hAnsi="Arial" w:cs="Arial"/>
                <w:sz w:val="24"/>
                <w:szCs w:val="24"/>
              </w:rPr>
              <w:t>22.3p</w:t>
            </w:r>
          </w:p>
        </w:tc>
        <w:tc>
          <w:tcPr>
            <w:tcW w:w="1364" w:type="dxa"/>
            <w:gridSpan w:val="2"/>
            <w:tcBorders>
              <w:bottom w:val="single" w:sz="4" w:space="0" w:color="auto"/>
            </w:tcBorders>
          </w:tcPr>
          <w:p w:rsidR="00F54156" w:rsidRPr="00F54156" w:rsidRDefault="00BD69AD" w:rsidP="00C4481A">
            <w:pPr>
              <w:jc w:val="right"/>
              <w:rPr>
                <w:rFonts w:ascii="Arial" w:hAnsi="Arial" w:cs="Arial"/>
                <w:sz w:val="24"/>
                <w:szCs w:val="24"/>
                <w:highlight w:val="magenta"/>
              </w:rPr>
            </w:pPr>
            <w:r>
              <w:rPr>
                <w:rFonts w:ascii="Arial" w:hAnsi="Arial" w:cs="Arial"/>
                <w:sz w:val="24"/>
                <w:szCs w:val="24"/>
              </w:rPr>
              <w:t>+</w:t>
            </w:r>
            <w:r w:rsidR="00D10FDA">
              <w:rPr>
                <w:rFonts w:ascii="Arial" w:hAnsi="Arial" w:cs="Arial"/>
                <w:sz w:val="24"/>
                <w:szCs w:val="24"/>
              </w:rPr>
              <w:t>4</w:t>
            </w:r>
            <w:r>
              <w:rPr>
                <w:rFonts w:ascii="Arial" w:hAnsi="Arial" w:cs="Arial"/>
                <w:sz w:val="24"/>
                <w:szCs w:val="24"/>
              </w:rPr>
              <w:t>.</w:t>
            </w:r>
            <w:r w:rsidR="00D10FDA">
              <w:rPr>
                <w:rFonts w:ascii="Arial" w:hAnsi="Arial" w:cs="Arial"/>
                <w:sz w:val="24"/>
                <w:szCs w:val="24"/>
              </w:rPr>
              <w:t>9</w:t>
            </w:r>
            <w:r w:rsidR="00F54156" w:rsidRPr="00F54156">
              <w:rPr>
                <w:rFonts w:ascii="Arial" w:hAnsi="Arial" w:cs="Arial"/>
                <w:sz w:val="24"/>
                <w:szCs w:val="24"/>
              </w:rPr>
              <w:t>%</w:t>
            </w:r>
          </w:p>
        </w:tc>
        <w:tc>
          <w:tcPr>
            <w:tcW w:w="1188" w:type="dxa"/>
            <w:tcBorders>
              <w:bottom w:val="single" w:sz="4" w:space="0" w:color="auto"/>
            </w:tcBorders>
          </w:tcPr>
          <w:p w:rsidR="00F54156" w:rsidRPr="00F54156" w:rsidRDefault="00F54156" w:rsidP="00C4481A">
            <w:pPr>
              <w:jc w:val="right"/>
              <w:rPr>
                <w:rFonts w:ascii="Arial" w:hAnsi="Arial" w:cs="Arial"/>
                <w:sz w:val="24"/>
                <w:szCs w:val="24"/>
                <w:highlight w:val="yellow"/>
              </w:rPr>
            </w:pPr>
          </w:p>
        </w:tc>
        <w:tc>
          <w:tcPr>
            <w:tcW w:w="1355" w:type="dxa"/>
            <w:tcBorders>
              <w:bottom w:val="single" w:sz="4" w:space="0" w:color="auto"/>
            </w:tcBorders>
          </w:tcPr>
          <w:p w:rsidR="00F54156" w:rsidRPr="00F54156" w:rsidRDefault="00F54156" w:rsidP="00C4481A">
            <w:pPr>
              <w:jc w:val="right"/>
              <w:rPr>
                <w:rFonts w:ascii="Arial" w:hAnsi="Arial" w:cs="Arial"/>
                <w:sz w:val="24"/>
                <w:szCs w:val="24"/>
                <w:highlight w:val="yellow"/>
              </w:rPr>
            </w:pPr>
          </w:p>
        </w:tc>
      </w:tr>
      <w:tr w:rsidR="00F54156" w:rsidRPr="00F54156" w:rsidTr="006F33BE">
        <w:tc>
          <w:tcPr>
            <w:tcW w:w="2941" w:type="dxa"/>
            <w:tcBorders>
              <w:top w:val="single" w:sz="4" w:space="0" w:color="auto"/>
            </w:tcBorders>
          </w:tcPr>
          <w:p w:rsidR="00F54156" w:rsidRPr="00C02E76" w:rsidRDefault="00F54156" w:rsidP="00725805">
            <w:pPr>
              <w:jc w:val="right"/>
              <w:rPr>
                <w:rFonts w:ascii="Arial" w:hAnsi="Arial" w:cs="Arial"/>
                <w:sz w:val="24"/>
                <w:szCs w:val="24"/>
              </w:rPr>
            </w:pPr>
            <w:r w:rsidRPr="00C02E76">
              <w:rPr>
                <w:rFonts w:ascii="Arial" w:hAnsi="Arial" w:cs="Arial"/>
                <w:sz w:val="24"/>
                <w:szCs w:val="24"/>
              </w:rPr>
              <w:t>Interim dividend</w:t>
            </w:r>
          </w:p>
        </w:tc>
        <w:tc>
          <w:tcPr>
            <w:tcW w:w="1418" w:type="dxa"/>
            <w:tcBorders>
              <w:top w:val="single" w:sz="4" w:space="0" w:color="auto"/>
            </w:tcBorders>
          </w:tcPr>
          <w:p w:rsidR="00F54156" w:rsidRPr="00421ED6" w:rsidDel="006212BA" w:rsidRDefault="00CC2EB6" w:rsidP="00C4481A">
            <w:pPr>
              <w:jc w:val="right"/>
              <w:rPr>
                <w:rFonts w:ascii="Arial" w:hAnsi="Arial" w:cs="Arial"/>
                <w:sz w:val="24"/>
                <w:szCs w:val="24"/>
              </w:rPr>
            </w:pPr>
            <w:r w:rsidRPr="00421ED6">
              <w:rPr>
                <w:rFonts w:ascii="Arial" w:hAnsi="Arial" w:cs="Arial"/>
                <w:sz w:val="24"/>
                <w:szCs w:val="24"/>
              </w:rPr>
              <w:t>3.12</w:t>
            </w:r>
            <w:r w:rsidR="00F54156" w:rsidRPr="00421ED6">
              <w:rPr>
                <w:rFonts w:ascii="Arial" w:hAnsi="Arial" w:cs="Arial"/>
                <w:sz w:val="24"/>
                <w:szCs w:val="24"/>
              </w:rPr>
              <w:t>p</w:t>
            </w:r>
          </w:p>
        </w:tc>
        <w:tc>
          <w:tcPr>
            <w:tcW w:w="1417" w:type="dxa"/>
            <w:tcBorders>
              <w:top w:val="single" w:sz="4" w:space="0" w:color="auto"/>
            </w:tcBorders>
          </w:tcPr>
          <w:p w:rsidR="00F54156" w:rsidRPr="00421ED6" w:rsidDel="006212BA" w:rsidRDefault="00F54156" w:rsidP="00AC5413">
            <w:pPr>
              <w:jc w:val="right"/>
              <w:rPr>
                <w:rFonts w:ascii="Arial" w:hAnsi="Arial" w:cs="Arial"/>
                <w:sz w:val="24"/>
                <w:szCs w:val="24"/>
              </w:rPr>
            </w:pPr>
            <w:r w:rsidRPr="00421ED6">
              <w:rPr>
                <w:rFonts w:ascii="Arial" w:hAnsi="Arial" w:cs="Arial"/>
                <w:sz w:val="24"/>
                <w:szCs w:val="24"/>
              </w:rPr>
              <w:t>3.09p</w:t>
            </w:r>
          </w:p>
        </w:tc>
        <w:tc>
          <w:tcPr>
            <w:tcW w:w="1364" w:type="dxa"/>
            <w:gridSpan w:val="2"/>
            <w:tcBorders>
              <w:top w:val="single" w:sz="4" w:space="0" w:color="auto"/>
            </w:tcBorders>
          </w:tcPr>
          <w:p w:rsidR="00F54156" w:rsidRPr="00421ED6" w:rsidDel="002A482E" w:rsidRDefault="006F33BE" w:rsidP="00C4481A">
            <w:pPr>
              <w:jc w:val="right"/>
              <w:rPr>
                <w:rFonts w:ascii="Arial" w:hAnsi="Arial" w:cs="Arial"/>
                <w:sz w:val="24"/>
                <w:szCs w:val="24"/>
              </w:rPr>
            </w:pPr>
            <w:r w:rsidRPr="00421ED6">
              <w:rPr>
                <w:rFonts w:ascii="Arial" w:hAnsi="Arial" w:cs="Arial"/>
                <w:sz w:val="24"/>
                <w:szCs w:val="24"/>
              </w:rPr>
              <w:t>+</w:t>
            </w:r>
            <w:r w:rsidR="00CC2EB6" w:rsidRPr="00421ED6">
              <w:rPr>
                <w:rFonts w:ascii="Arial" w:hAnsi="Arial" w:cs="Arial"/>
                <w:sz w:val="24"/>
                <w:szCs w:val="24"/>
              </w:rPr>
              <w:t>1.0</w:t>
            </w:r>
            <w:r w:rsidR="00F54156" w:rsidRPr="00421ED6">
              <w:rPr>
                <w:rFonts w:ascii="Arial" w:hAnsi="Arial" w:cs="Arial"/>
                <w:sz w:val="24"/>
                <w:szCs w:val="24"/>
              </w:rPr>
              <w:t>%</w:t>
            </w:r>
          </w:p>
        </w:tc>
        <w:tc>
          <w:tcPr>
            <w:tcW w:w="1188" w:type="dxa"/>
            <w:tcBorders>
              <w:top w:val="single" w:sz="4" w:space="0" w:color="auto"/>
            </w:tcBorders>
          </w:tcPr>
          <w:p w:rsidR="00F54156" w:rsidRPr="00F54156" w:rsidRDefault="00F54156" w:rsidP="00C4481A">
            <w:pPr>
              <w:jc w:val="right"/>
              <w:rPr>
                <w:rFonts w:ascii="Arial" w:hAnsi="Arial" w:cs="Arial"/>
                <w:sz w:val="24"/>
                <w:szCs w:val="24"/>
                <w:highlight w:val="yellow"/>
              </w:rPr>
            </w:pPr>
          </w:p>
        </w:tc>
        <w:tc>
          <w:tcPr>
            <w:tcW w:w="1355" w:type="dxa"/>
            <w:tcBorders>
              <w:top w:val="single" w:sz="4" w:space="0" w:color="auto"/>
            </w:tcBorders>
          </w:tcPr>
          <w:p w:rsidR="00F54156" w:rsidRPr="00F54156" w:rsidRDefault="00F54156" w:rsidP="00C4481A">
            <w:pPr>
              <w:jc w:val="right"/>
              <w:rPr>
                <w:rFonts w:ascii="Arial" w:hAnsi="Arial" w:cs="Arial"/>
                <w:sz w:val="24"/>
                <w:szCs w:val="24"/>
                <w:highlight w:val="yellow"/>
              </w:rPr>
            </w:pPr>
          </w:p>
        </w:tc>
      </w:tr>
      <w:tr w:rsidR="00F54156" w:rsidRPr="00F54156" w:rsidTr="006F33BE">
        <w:tc>
          <w:tcPr>
            <w:tcW w:w="2941" w:type="dxa"/>
          </w:tcPr>
          <w:p w:rsidR="00F54156" w:rsidRPr="00C02E76" w:rsidRDefault="00F54156" w:rsidP="00725805">
            <w:pPr>
              <w:jc w:val="right"/>
              <w:rPr>
                <w:rFonts w:ascii="Arial" w:hAnsi="Arial" w:cs="Arial"/>
                <w:sz w:val="24"/>
                <w:szCs w:val="24"/>
              </w:rPr>
            </w:pPr>
            <w:r w:rsidRPr="00C02E76">
              <w:rPr>
                <w:rFonts w:ascii="Arial" w:hAnsi="Arial" w:cs="Arial"/>
                <w:sz w:val="24"/>
                <w:szCs w:val="24"/>
              </w:rPr>
              <w:t>Final dividend</w:t>
            </w:r>
          </w:p>
        </w:tc>
        <w:tc>
          <w:tcPr>
            <w:tcW w:w="1418" w:type="dxa"/>
            <w:tcBorders>
              <w:bottom w:val="single" w:sz="4" w:space="0" w:color="auto"/>
            </w:tcBorders>
          </w:tcPr>
          <w:p w:rsidR="00F54156" w:rsidRPr="00F54156" w:rsidDel="006C3892" w:rsidRDefault="003C75BF" w:rsidP="00C4481A">
            <w:pPr>
              <w:jc w:val="right"/>
              <w:rPr>
                <w:rFonts w:ascii="Arial" w:hAnsi="Arial" w:cs="Arial"/>
                <w:sz w:val="24"/>
                <w:szCs w:val="24"/>
              </w:rPr>
            </w:pPr>
            <w:r>
              <w:rPr>
                <w:rFonts w:ascii="Arial" w:hAnsi="Arial" w:cs="Arial"/>
                <w:sz w:val="24"/>
                <w:szCs w:val="24"/>
              </w:rPr>
              <w:t>6.78</w:t>
            </w:r>
            <w:r w:rsidR="00F54156" w:rsidRPr="00F54156">
              <w:rPr>
                <w:rFonts w:ascii="Arial" w:hAnsi="Arial" w:cs="Arial"/>
                <w:sz w:val="24"/>
                <w:szCs w:val="24"/>
              </w:rPr>
              <w:t>p</w:t>
            </w:r>
          </w:p>
        </w:tc>
        <w:tc>
          <w:tcPr>
            <w:tcW w:w="1417" w:type="dxa"/>
            <w:tcBorders>
              <w:bottom w:val="single" w:sz="4" w:space="0" w:color="auto"/>
            </w:tcBorders>
          </w:tcPr>
          <w:p w:rsidR="00F54156" w:rsidRPr="00F54156" w:rsidDel="006C3892" w:rsidRDefault="00F54156" w:rsidP="00AC5413">
            <w:pPr>
              <w:jc w:val="right"/>
              <w:rPr>
                <w:rFonts w:ascii="Arial" w:hAnsi="Arial" w:cs="Arial"/>
                <w:sz w:val="24"/>
                <w:szCs w:val="24"/>
              </w:rPr>
            </w:pPr>
            <w:r w:rsidRPr="00F54156">
              <w:rPr>
                <w:rFonts w:ascii="Arial" w:hAnsi="Arial" w:cs="Arial"/>
                <w:sz w:val="24"/>
                <w:szCs w:val="24"/>
              </w:rPr>
              <w:t>6.37p</w:t>
            </w:r>
          </w:p>
        </w:tc>
        <w:tc>
          <w:tcPr>
            <w:tcW w:w="1364" w:type="dxa"/>
            <w:gridSpan w:val="2"/>
            <w:tcBorders>
              <w:bottom w:val="single" w:sz="4" w:space="0" w:color="auto"/>
            </w:tcBorders>
          </w:tcPr>
          <w:p w:rsidR="00F54156" w:rsidRPr="00F54156" w:rsidDel="006C3892" w:rsidRDefault="003C75BF" w:rsidP="00C4481A">
            <w:pPr>
              <w:jc w:val="right"/>
              <w:rPr>
                <w:rFonts w:ascii="Arial" w:hAnsi="Arial" w:cs="Arial"/>
                <w:sz w:val="24"/>
                <w:szCs w:val="24"/>
              </w:rPr>
            </w:pPr>
            <w:r>
              <w:rPr>
                <w:rFonts w:ascii="Arial" w:hAnsi="Arial" w:cs="Arial"/>
                <w:sz w:val="24"/>
                <w:szCs w:val="24"/>
              </w:rPr>
              <w:t>+6.4%</w:t>
            </w:r>
          </w:p>
        </w:tc>
        <w:tc>
          <w:tcPr>
            <w:tcW w:w="1188" w:type="dxa"/>
          </w:tcPr>
          <w:p w:rsidR="00F54156" w:rsidRPr="00F54156" w:rsidRDefault="00F54156" w:rsidP="00C4481A">
            <w:pPr>
              <w:jc w:val="right"/>
              <w:rPr>
                <w:rFonts w:ascii="Arial" w:hAnsi="Arial" w:cs="Arial"/>
                <w:sz w:val="24"/>
                <w:szCs w:val="24"/>
                <w:highlight w:val="yellow"/>
              </w:rPr>
            </w:pPr>
          </w:p>
        </w:tc>
        <w:tc>
          <w:tcPr>
            <w:tcW w:w="1355" w:type="dxa"/>
          </w:tcPr>
          <w:p w:rsidR="00F54156" w:rsidRPr="00F54156" w:rsidRDefault="00F54156" w:rsidP="00C4481A">
            <w:pPr>
              <w:jc w:val="right"/>
              <w:rPr>
                <w:rFonts w:ascii="Arial" w:hAnsi="Arial" w:cs="Arial"/>
                <w:sz w:val="24"/>
                <w:szCs w:val="24"/>
                <w:highlight w:val="yellow"/>
              </w:rPr>
            </w:pPr>
          </w:p>
        </w:tc>
      </w:tr>
      <w:tr w:rsidR="00F54156" w:rsidRPr="00F54156" w:rsidTr="006F33BE">
        <w:tc>
          <w:tcPr>
            <w:tcW w:w="2941" w:type="dxa"/>
            <w:tcBorders>
              <w:bottom w:val="single" w:sz="4" w:space="0" w:color="auto"/>
            </w:tcBorders>
          </w:tcPr>
          <w:p w:rsidR="00F54156" w:rsidRPr="00C02E76" w:rsidRDefault="00F54156" w:rsidP="00725805">
            <w:pPr>
              <w:jc w:val="left"/>
              <w:rPr>
                <w:rFonts w:ascii="Arial" w:hAnsi="Arial" w:cs="Arial"/>
                <w:sz w:val="24"/>
                <w:szCs w:val="24"/>
              </w:rPr>
            </w:pPr>
            <w:r w:rsidRPr="00C02E76">
              <w:rPr>
                <w:rFonts w:ascii="Arial" w:hAnsi="Arial" w:cs="Arial"/>
                <w:sz w:val="24"/>
                <w:szCs w:val="24"/>
              </w:rPr>
              <w:t>Full year dividend</w:t>
            </w:r>
          </w:p>
        </w:tc>
        <w:tc>
          <w:tcPr>
            <w:tcW w:w="1418" w:type="dxa"/>
            <w:tcBorders>
              <w:top w:val="single" w:sz="4" w:space="0" w:color="auto"/>
              <w:bottom w:val="single" w:sz="4" w:space="0" w:color="auto"/>
            </w:tcBorders>
          </w:tcPr>
          <w:p w:rsidR="00F54156" w:rsidRPr="00F54156" w:rsidDel="006C3892" w:rsidRDefault="003C75BF" w:rsidP="00C4481A">
            <w:pPr>
              <w:jc w:val="right"/>
              <w:rPr>
                <w:rFonts w:ascii="Arial" w:hAnsi="Arial" w:cs="Arial"/>
                <w:sz w:val="24"/>
                <w:szCs w:val="24"/>
              </w:rPr>
            </w:pPr>
            <w:r>
              <w:rPr>
                <w:rFonts w:ascii="Arial" w:hAnsi="Arial" w:cs="Arial"/>
                <w:sz w:val="24"/>
                <w:szCs w:val="24"/>
              </w:rPr>
              <w:t>9.9</w:t>
            </w:r>
            <w:r w:rsidR="00F54156" w:rsidRPr="00F54156">
              <w:rPr>
                <w:rFonts w:ascii="Arial" w:hAnsi="Arial" w:cs="Arial"/>
                <w:sz w:val="24"/>
                <w:szCs w:val="24"/>
              </w:rPr>
              <w:t>p</w:t>
            </w:r>
          </w:p>
        </w:tc>
        <w:tc>
          <w:tcPr>
            <w:tcW w:w="1417" w:type="dxa"/>
            <w:tcBorders>
              <w:top w:val="single" w:sz="4" w:space="0" w:color="auto"/>
              <w:bottom w:val="single" w:sz="4" w:space="0" w:color="auto"/>
            </w:tcBorders>
          </w:tcPr>
          <w:p w:rsidR="00F54156" w:rsidRPr="00F54156" w:rsidDel="006C3892" w:rsidRDefault="00F54156" w:rsidP="00AC5413">
            <w:pPr>
              <w:jc w:val="right"/>
              <w:rPr>
                <w:rFonts w:ascii="Arial" w:hAnsi="Arial" w:cs="Arial"/>
                <w:sz w:val="24"/>
                <w:szCs w:val="24"/>
              </w:rPr>
            </w:pPr>
            <w:r w:rsidRPr="00F54156">
              <w:rPr>
                <w:rFonts w:ascii="Arial" w:hAnsi="Arial" w:cs="Arial"/>
                <w:sz w:val="24"/>
                <w:szCs w:val="24"/>
              </w:rPr>
              <w:t>9.46p</w:t>
            </w:r>
          </w:p>
        </w:tc>
        <w:tc>
          <w:tcPr>
            <w:tcW w:w="1364" w:type="dxa"/>
            <w:gridSpan w:val="2"/>
            <w:tcBorders>
              <w:top w:val="single" w:sz="4" w:space="0" w:color="auto"/>
              <w:bottom w:val="single" w:sz="4" w:space="0" w:color="auto"/>
            </w:tcBorders>
          </w:tcPr>
          <w:p w:rsidR="00F54156" w:rsidRPr="00F54156" w:rsidDel="006C3892" w:rsidRDefault="003C75BF" w:rsidP="00C4481A">
            <w:pPr>
              <w:jc w:val="right"/>
              <w:rPr>
                <w:rFonts w:ascii="Arial" w:hAnsi="Arial" w:cs="Arial"/>
                <w:sz w:val="24"/>
                <w:szCs w:val="24"/>
              </w:rPr>
            </w:pPr>
            <w:r>
              <w:rPr>
                <w:rFonts w:ascii="Arial" w:hAnsi="Arial" w:cs="Arial"/>
                <w:sz w:val="24"/>
                <w:szCs w:val="24"/>
              </w:rPr>
              <w:t>+4.7</w:t>
            </w:r>
            <w:r w:rsidR="00F54156" w:rsidRPr="00F54156">
              <w:rPr>
                <w:rFonts w:ascii="Arial" w:hAnsi="Arial" w:cs="Arial"/>
                <w:sz w:val="24"/>
                <w:szCs w:val="24"/>
              </w:rPr>
              <w:t>%</w:t>
            </w:r>
          </w:p>
        </w:tc>
        <w:tc>
          <w:tcPr>
            <w:tcW w:w="1188" w:type="dxa"/>
            <w:tcBorders>
              <w:bottom w:val="single" w:sz="4" w:space="0" w:color="auto"/>
            </w:tcBorders>
          </w:tcPr>
          <w:p w:rsidR="00F54156" w:rsidRPr="00F54156" w:rsidRDefault="00F54156" w:rsidP="00C4481A">
            <w:pPr>
              <w:jc w:val="right"/>
              <w:rPr>
                <w:rFonts w:ascii="Arial" w:hAnsi="Arial" w:cs="Arial"/>
                <w:sz w:val="24"/>
                <w:szCs w:val="24"/>
                <w:highlight w:val="yellow"/>
              </w:rPr>
            </w:pPr>
          </w:p>
        </w:tc>
        <w:tc>
          <w:tcPr>
            <w:tcW w:w="1355" w:type="dxa"/>
            <w:tcBorders>
              <w:bottom w:val="single" w:sz="4" w:space="0" w:color="auto"/>
            </w:tcBorders>
          </w:tcPr>
          <w:p w:rsidR="00F54156" w:rsidRPr="00F54156" w:rsidRDefault="00F54156" w:rsidP="00C4481A">
            <w:pPr>
              <w:jc w:val="right"/>
              <w:rPr>
                <w:rFonts w:ascii="Arial" w:hAnsi="Arial" w:cs="Arial"/>
                <w:sz w:val="24"/>
                <w:szCs w:val="24"/>
                <w:highlight w:val="yellow"/>
              </w:rPr>
            </w:pPr>
          </w:p>
        </w:tc>
      </w:tr>
      <w:tr w:rsidR="00F54156" w:rsidRPr="00F54156" w:rsidTr="006F33BE">
        <w:tc>
          <w:tcPr>
            <w:tcW w:w="2941" w:type="dxa"/>
            <w:tcBorders>
              <w:top w:val="single" w:sz="4" w:space="0" w:color="auto"/>
              <w:bottom w:val="single" w:sz="4" w:space="0" w:color="auto"/>
            </w:tcBorders>
          </w:tcPr>
          <w:p w:rsidR="00F54156" w:rsidRPr="00C02E76" w:rsidRDefault="00205885" w:rsidP="00C4481A">
            <w:pPr>
              <w:ind w:right="-352"/>
              <w:jc w:val="left"/>
              <w:rPr>
                <w:rFonts w:ascii="Arial" w:hAnsi="Arial" w:cs="Arial"/>
                <w:sz w:val="24"/>
                <w:szCs w:val="24"/>
              </w:rPr>
            </w:pPr>
            <w:r w:rsidRPr="00C02E76">
              <w:rPr>
                <w:rFonts w:ascii="Arial" w:hAnsi="Arial" w:cs="Arial"/>
                <w:sz w:val="24"/>
                <w:szCs w:val="24"/>
              </w:rPr>
              <w:t>Net cash</w:t>
            </w:r>
            <w:r w:rsidR="007F02C0">
              <w:rPr>
                <w:rFonts w:ascii="Arial" w:hAnsi="Arial" w:cs="Arial"/>
                <w:sz w:val="24"/>
                <w:szCs w:val="24"/>
              </w:rPr>
              <w:t>*</w:t>
            </w:r>
          </w:p>
        </w:tc>
        <w:tc>
          <w:tcPr>
            <w:tcW w:w="1418" w:type="dxa"/>
            <w:tcBorders>
              <w:top w:val="single" w:sz="4" w:space="0" w:color="auto"/>
              <w:bottom w:val="single" w:sz="4" w:space="0" w:color="auto"/>
            </w:tcBorders>
          </w:tcPr>
          <w:p w:rsidR="00F54156" w:rsidRPr="00F54156" w:rsidRDefault="00F54156" w:rsidP="00C4481A">
            <w:pPr>
              <w:jc w:val="right"/>
              <w:rPr>
                <w:rFonts w:ascii="Arial" w:hAnsi="Arial" w:cs="Arial"/>
                <w:sz w:val="24"/>
                <w:szCs w:val="24"/>
              </w:rPr>
            </w:pPr>
            <w:r w:rsidRPr="00F54156">
              <w:rPr>
                <w:rFonts w:ascii="Arial" w:hAnsi="Arial" w:cs="Arial"/>
                <w:sz w:val="24"/>
                <w:szCs w:val="24"/>
              </w:rPr>
              <w:t>£</w:t>
            </w:r>
            <w:r w:rsidR="006F33BE">
              <w:rPr>
                <w:rFonts w:ascii="Arial" w:hAnsi="Arial" w:cs="Arial"/>
                <w:sz w:val="24"/>
                <w:szCs w:val="24"/>
              </w:rPr>
              <w:t>238</w:t>
            </w:r>
            <w:r w:rsidRPr="00F54156">
              <w:rPr>
                <w:rFonts w:ascii="Arial" w:hAnsi="Arial" w:cs="Arial"/>
                <w:sz w:val="24"/>
                <w:szCs w:val="24"/>
              </w:rPr>
              <w:t>m</w:t>
            </w:r>
          </w:p>
        </w:tc>
        <w:tc>
          <w:tcPr>
            <w:tcW w:w="1417" w:type="dxa"/>
            <w:tcBorders>
              <w:top w:val="single" w:sz="4" w:space="0" w:color="auto"/>
              <w:bottom w:val="single" w:sz="4" w:space="0" w:color="auto"/>
            </w:tcBorders>
          </w:tcPr>
          <w:p w:rsidR="00F54156" w:rsidRPr="00F54156" w:rsidRDefault="00F54156" w:rsidP="00AC5413">
            <w:pPr>
              <w:jc w:val="right"/>
              <w:rPr>
                <w:rFonts w:ascii="Arial" w:hAnsi="Arial" w:cs="Arial"/>
                <w:sz w:val="24"/>
                <w:szCs w:val="24"/>
              </w:rPr>
            </w:pPr>
            <w:r w:rsidRPr="00F54156">
              <w:rPr>
                <w:rFonts w:ascii="Arial" w:hAnsi="Arial" w:cs="Arial"/>
                <w:sz w:val="24"/>
                <w:szCs w:val="24"/>
              </w:rPr>
              <w:t>£38m</w:t>
            </w:r>
          </w:p>
        </w:tc>
        <w:tc>
          <w:tcPr>
            <w:tcW w:w="1364" w:type="dxa"/>
            <w:gridSpan w:val="2"/>
            <w:tcBorders>
              <w:top w:val="single" w:sz="4" w:space="0" w:color="auto"/>
              <w:bottom w:val="single" w:sz="4" w:space="0" w:color="auto"/>
            </w:tcBorders>
          </w:tcPr>
          <w:p w:rsidR="00F54156" w:rsidRPr="00F54156" w:rsidRDefault="00F54156" w:rsidP="00C4481A">
            <w:pPr>
              <w:jc w:val="right"/>
              <w:rPr>
                <w:rFonts w:ascii="Arial" w:hAnsi="Arial" w:cs="Arial"/>
                <w:sz w:val="24"/>
                <w:szCs w:val="24"/>
              </w:rPr>
            </w:pPr>
            <w:r w:rsidRPr="00F54156">
              <w:rPr>
                <w:rFonts w:ascii="Arial" w:hAnsi="Arial" w:cs="Arial"/>
                <w:sz w:val="24"/>
                <w:szCs w:val="24"/>
              </w:rPr>
              <w:t>n/a</w:t>
            </w:r>
          </w:p>
        </w:tc>
        <w:tc>
          <w:tcPr>
            <w:tcW w:w="1188" w:type="dxa"/>
            <w:tcBorders>
              <w:top w:val="single" w:sz="4" w:space="0" w:color="auto"/>
              <w:bottom w:val="single" w:sz="4" w:space="0" w:color="auto"/>
            </w:tcBorders>
          </w:tcPr>
          <w:p w:rsidR="00F54156" w:rsidRPr="00F54156" w:rsidRDefault="00F54156" w:rsidP="00C4481A">
            <w:pPr>
              <w:jc w:val="right"/>
              <w:rPr>
                <w:rFonts w:ascii="Arial" w:hAnsi="Arial" w:cs="Arial"/>
                <w:sz w:val="24"/>
                <w:szCs w:val="24"/>
              </w:rPr>
            </w:pPr>
          </w:p>
        </w:tc>
        <w:tc>
          <w:tcPr>
            <w:tcW w:w="1355" w:type="dxa"/>
            <w:tcBorders>
              <w:top w:val="single" w:sz="4" w:space="0" w:color="auto"/>
              <w:bottom w:val="single" w:sz="4" w:space="0" w:color="auto"/>
            </w:tcBorders>
          </w:tcPr>
          <w:p w:rsidR="00F54156" w:rsidRPr="00F54156" w:rsidRDefault="00F54156" w:rsidP="00C4481A">
            <w:pPr>
              <w:jc w:val="right"/>
              <w:rPr>
                <w:rFonts w:ascii="Arial" w:hAnsi="Arial" w:cs="Arial"/>
                <w:sz w:val="24"/>
                <w:szCs w:val="24"/>
                <w:highlight w:val="yellow"/>
              </w:rPr>
            </w:pPr>
          </w:p>
        </w:tc>
      </w:tr>
    </w:tbl>
    <w:p w:rsidR="00BE07B8" w:rsidRPr="00274E3C" w:rsidRDefault="00421ED6" w:rsidP="00421ED6">
      <w:pPr>
        <w:jc w:val="left"/>
        <w:rPr>
          <w:rFonts w:ascii="Arial" w:hAnsi="Arial" w:cs="Arial"/>
          <w:sz w:val="18"/>
          <w:szCs w:val="18"/>
        </w:rPr>
      </w:pPr>
      <w:r w:rsidRPr="00310C83">
        <w:rPr>
          <w:rFonts w:ascii="Arial" w:hAnsi="Arial" w:cs="Arial"/>
          <w:sz w:val="18"/>
          <w:szCs w:val="18"/>
        </w:rPr>
        <w:t xml:space="preserve">*Throughout this release ‘*’ indicates </w:t>
      </w:r>
      <w:r w:rsidR="00973D65">
        <w:rPr>
          <w:rFonts w:ascii="Arial" w:hAnsi="Arial" w:cs="Arial"/>
          <w:sz w:val="18"/>
          <w:szCs w:val="18"/>
        </w:rPr>
        <w:t xml:space="preserve">first instance of </w:t>
      </w:r>
      <w:r w:rsidRPr="00310C83">
        <w:rPr>
          <w:rFonts w:ascii="Arial" w:hAnsi="Arial" w:cs="Arial"/>
          <w:sz w:val="18"/>
          <w:szCs w:val="18"/>
        </w:rPr>
        <w:t>a term defined or explained in the glossary in Section 5 of this</w:t>
      </w:r>
      <w:r w:rsidR="00D91C41" w:rsidRPr="00310C83">
        <w:rPr>
          <w:rFonts w:ascii="Arial" w:hAnsi="Arial" w:cs="Arial"/>
          <w:sz w:val="18"/>
          <w:szCs w:val="18"/>
        </w:rPr>
        <w:t xml:space="preserve"> release.</w:t>
      </w:r>
    </w:p>
    <w:p w:rsidR="00417A9B" w:rsidRDefault="00417A9B" w:rsidP="00A64D40">
      <w:pPr>
        <w:pStyle w:val="ListParagraph"/>
        <w:numPr>
          <w:ilvl w:val="0"/>
          <w:numId w:val="10"/>
        </w:numPr>
        <w:tabs>
          <w:tab w:val="left" w:pos="357"/>
        </w:tabs>
        <w:ind w:right="-282"/>
        <w:jc w:val="left"/>
        <w:rPr>
          <w:rFonts w:ascii="Arial" w:hAnsi="Arial" w:cs="Arial"/>
          <w:i/>
          <w:sz w:val="18"/>
          <w:szCs w:val="18"/>
        </w:rPr>
      </w:pPr>
      <w:bookmarkStart w:id="1" w:name="OLE_LINK5"/>
      <w:bookmarkStart w:id="2" w:name="OLE_LINK6"/>
      <w:r>
        <w:rPr>
          <w:rFonts w:ascii="Arial" w:hAnsi="Arial" w:cs="Arial"/>
          <w:i/>
          <w:sz w:val="18"/>
          <w:szCs w:val="18"/>
        </w:rPr>
        <w:t>On a 52 week basis*</w:t>
      </w:r>
    </w:p>
    <w:p w:rsidR="00AF13D5" w:rsidRDefault="00AF13D5" w:rsidP="00A64D40">
      <w:pPr>
        <w:pStyle w:val="ListParagraph"/>
        <w:numPr>
          <w:ilvl w:val="0"/>
          <w:numId w:val="10"/>
        </w:numPr>
        <w:tabs>
          <w:tab w:val="left" w:pos="357"/>
        </w:tabs>
        <w:ind w:right="-282"/>
        <w:jc w:val="left"/>
        <w:rPr>
          <w:rFonts w:ascii="Arial" w:hAnsi="Arial" w:cs="Arial"/>
          <w:i/>
          <w:sz w:val="18"/>
          <w:szCs w:val="18"/>
        </w:rPr>
      </w:pPr>
      <w:r w:rsidRPr="00D91C41">
        <w:rPr>
          <w:rFonts w:ascii="Arial" w:hAnsi="Arial" w:cs="Arial"/>
          <w:i/>
          <w:sz w:val="18"/>
          <w:szCs w:val="18"/>
        </w:rPr>
        <w:t>201</w:t>
      </w:r>
      <w:r w:rsidR="00205885" w:rsidRPr="00D91C41">
        <w:rPr>
          <w:rFonts w:ascii="Arial" w:hAnsi="Arial" w:cs="Arial"/>
          <w:i/>
          <w:sz w:val="18"/>
          <w:szCs w:val="18"/>
        </w:rPr>
        <w:t>2/13 comparatives restated by £3</w:t>
      </w:r>
      <w:r w:rsidRPr="00D91C41">
        <w:rPr>
          <w:rFonts w:ascii="Arial" w:hAnsi="Arial" w:cs="Arial"/>
          <w:i/>
          <w:sz w:val="18"/>
          <w:szCs w:val="18"/>
        </w:rPr>
        <w:t>m</w:t>
      </w:r>
      <w:r w:rsidR="003954FA">
        <w:rPr>
          <w:rFonts w:ascii="Arial" w:hAnsi="Arial" w:cs="Arial"/>
          <w:i/>
          <w:sz w:val="18"/>
          <w:szCs w:val="18"/>
        </w:rPr>
        <w:t xml:space="preserve"> in the UK &amp; Ireland division</w:t>
      </w:r>
      <w:r w:rsidRPr="00D91C41">
        <w:rPr>
          <w:rFonts w:ascii="Arial" w:hAnsi="Arial" w:cs="Arial"/>
          <w:i/>
          <w:sz w:val="18"/>
          <w:szCs w:val="18"/>
        </w:rPr>
        <w:t xml:space="preserve"> to reflect reclassification of pension administrative expenses from finance costs to retail profit, as per the amended IAS 19</w:t>
      </w:r>
      <w:bookmarkEnd w:id="1"/>
      <w:bookmarkEnd w:id="2"/>
    </w:p>
    <w:p w:rsidR="00181E03" w:rsidRPr="007C228C" w:rsidRDefault="00181E03" w:rsidP="0026633C">
      <w:pPr>
        <w:jc w:val="left"/>
        <w:rPr>
          <w:rFonts w:ascii="Arial" w:hAnsi="Arial" w:cs="Arial"/>
          <w:sz w:val="24"/>
          <w:szCs w:val="24"/>
        </w:rPr>
      </w:pPr>
    </w:p>
    <w:p w:rsidR="00181E03" w:rsidRPr="007C228C" w:rsidRDefault="001863A8" w:rsidP="000537E2">
      <w:pPr>
        <w:jc w:val="left"/>
        <w:rPr>
          <w:rFonts w:ascii="Arial" w:hAnsi="Arial" w:cs="Arial"/>
          <w:b/>
          <w:bCs/>
          <w:sz w:val="24"/>
          <w:szCs w:val="24"/>
          <w:u w:val="single"/>
        </w:rPr>
      </w:pPr>
      <w:r>
        <w:rPr>
          <w:rFonts w:ascii="Arial" w:hAnsi="Arial" w:cs="Arial"/>
          <w:b/>
          <w:bCs/>
          <w:sz w:val="24"/>
          <w:szCs w:val="24"/>
          <w:u w:val="single"/>
        </w:rPr>
        <w:t xml:space="preserve">2013/14 </w:t>
      </w:r>
      <w:r w:rsidR="007C228C">
        <w:rPr>
          <w:rFonts w:ascii="Arial" w:hAnsi="Arial" w:cs="Arial"/>
          <w:b/>
          <w:bCs/>
          <w:sz w:val="24"/>
          <w:szCs w:val="24"/>
          <w:u w:val="single"/>
        </w:rPr>
        <w:t>Highlights</w:t>
      </w:r>
      <w:r w:rsidR="00500AA8">
        <w:rPr>
          <w:rFonts w:ascii="Arial" w:hAnsi="Arial" w:cs="Arial"/>
          <w:b/>
          <w:bCs/>
          <w:sz w:val="24"/>
          <w:szCs w:val="24"/>
          <w:u w:val="single"/>
        </w:rPr>
        <w:t xml:space="preserve"> </w:t>
      </w:r>
    </w:p>
    <w:p w:rsidR="00750502" w:rsidRDefault="00B47BF6" w:rsidP="00A0425F">
      <w:pPr>
        <w:numPr>
          <w:ilvl w:val="0"/>
          <w:numId w:val="1"/>
        </w:numPr>
        <w:jc w:val="left"/>
        <w:rPr>
          <w:rFonts w:ascii="Arial" w:hAnsi="Arial" w:cs="Arial"/>
          <w:sz w:val="24"/>
          <w:szCs w:val="24"/>
        </w:rPr>
      </w:pPr>
      <w:bookmarkStart w:id="3" w:name="OLE_LINK17"/>
      <w:bookmarkStart w:id="4" w:name="OLE_LINK18"/>
      <w:r>
        <w:rPr>
          <w:rFonts w:ascii="Arial" w:hAnsi="Arial" w:cs="Arial"/>
          <w:sz w:val="24"/>
          <w:szCs w:val="24"/>
        </w:rPr>
        <w:t>Good progress in tough environment</w:t>
      </w:r>
    </w:p>
    <w:p w:rsidR="00750502" w:rsidRPr="00B47BF6" w:rsidRDefault="00750502" w:rsidP="00C02E76">
      <w:pPr>
        <w:numPr>
          <w:ilvl w:val="1"/>
          <w:numId w:val="1"/>
        </w:numPr>
        <w:ind w:left="754" w:hanging="357"/>
        <w:jc w:val="left"/>
        <w:rPr>
          <w:rFonts w:ascii="Arial" w:hAnsi="Arial" w:cs="Arial"/>
          <w:sz w:val="24"/>
          <w:szCs w:val="24"/>
        </w:rPr>
      </w:pPr>
      <w:r w:rsidRPr="00B47BF6">
        <w:rPr>
          <w:rFonts w:ascii="Arial" w:hAnsi="Arial" w:cs="Arial"/>
          <w:sz w:val="24"/>
          <w:szCs w:val="24"/>
        </w:rPr>
        <w:t>Extremely challenging Q1</w:t>
      </w:r>
      <w:r w:rsidR="00B47BF6" w:rsidRPr="00B47BF6">
        <w:rPr>
          <w:rFonts w:ascii="Arial" w:hAnsi="Arial" w:cs="Arial"/>
          <w:sz w:val="24"/>
          <w:szCs w:val="24"/>
        </w:rPr>
        <w:t xml:space="preserve">, remainder of year more encouraging, </w:t>
      </w:r>
      <w:r w:rsidRPr="00B47BF6">
        <w:rPr>
          <w:rFonts w:ascii="Arial" w:hAnsi="Arial" w:cs="Arial"/>
          <w:sz w:val="24"/>
          <w:szCs w:val="24"/>
        </w:rPr>
        <w:t>except for persistent weak economic backdrop in France</w:t>
      </w:r>
      <w:r w:rsidR="00973D65">
        <w:rPr>
          <w:rFonts w:ascii="Arial" w:hAnsi="Arial" w:cs="Arial"/>
          <w:sz w:val="24"/>
          <w:szCs w:val="24"/>
        </w:rPr>
        <w:t>*</w:t>
      </w:r>
    </w:p>
    <w:p w:rsidR="007C228C" w:rsidRDefault="00637B9B" w:rsidP="00C02E76">
      <w:pPr>
        <w:numPr>
          <w:ilvl w:val="1"/>
          <w:numId w:val="1"/>
        </w:numPr>
        <w:ind w:left="754" w:hanging="357"/>
        <w:jc w:val="left"/>
        <w:rPr>
          <w:rFonts w:ascii="Arial" w:hAnsi="Arial" w:cs="Arial"/>
          <w:sz w:val="24"/>
          <w:szCs w:val="24"/>
        </w:rPr>
      </w:pPr>
      <w:r>
        <w:rPr>
          <w:rFonts w:ascii="Arial" w:hAnsi="Arial" w:cs="Arial"/>
          <w:sz w:val="24"/>
          <w:szCs w:val="24"/>
        </w:rPr>
        <w:t>Reported a</w:t>
      </w:r>
      <w:r w:rsidR="009C35D2">
        <w:rPr>
          <w:rFonts w:ascii="Arial" w:hAnsi="Arial" w:cs="Arial"/>
          <w:sz w:val="24"/>
          <w:szCs w:val="24"/>
        </w:rPr>
        <w:t>djusted PBT</w:t>
      </w:r>
      <w:r w:rsidR="00A0425F">
        <w:rPr>
          <w:rFonts w:ascii="Arial" w:hAnsi="Arial" w:cs="Arial"/>
          <w:sz w:val="24"/>
          <w:szCs w:val="24"/>
        </w:rPr>
        <w:t xml:space="preserve"> </w:t>
      </w:r>
      <w:r w:rsidR="00E23C85">
        <w:rPr>
          <w:rFonts w:ascii="Arial" w:hAnsi="Arial" w:cs="Arial"/>
          <w:sz w:val="24"/>
          <w:szCs w:val="24"/>
        </w:rPr>
        <w:t>up 4.1% and stronger underlying</w:t>
      </w:r>
      <w:r w:rsidR="00A0425F">
        <w:rPr>
          <w:rFonts w:ascii="Arial" w:hAnsi="Arial" w:cs="Arial"/>
          <w:sz w:val="24"/>
          <w:szCs w:val="24"/>
        </w:rPr>
        <w:t xml:space="preserve"> progress</w:t>
      </w:r>
    </w:p>
    <w:p w:rsidR="00A0425F" w:rsidRDefault="00CC278B" w:rsidP="00E6064A">
      <w:pPr>
        <w:numPr>
          <w:ilvl w:val="2"/>
          <w:numId w:val="1"/>
        </w:numPr>
        <w:ind w:left="1494"/>
        <w:jc w:val="left"/>
        <w:rPr>
          <w:rFonts w:ascii="Arial" w:hAnsi="Arial" w:cs="Arial"/>
          <w:sz w:val="24"/>
          <w:szCs w:val="24"/>
        </w:rPr>
      </w:pPr>
      <w:r>
        <w:rPr>
          <w:rFonts w:ascii="Arial" w:hAnsi="Arial" w:cs="Arial"/>
          <w:sz w:val="24"/>
          <w:szCs w:val="24"/>
        </w:rPr>
        <w:t>Market s</w:t>
      </w:r>
      <w:r w:rsidR="00A0425F">
        <w:rPr>
          <w:rFonts w:ascii="Arial" w:hAnsi="Arial" w:cs="Arial"/>
          <w:sz w:val="24"/>
          <w:szCs w:val="24"/>
        </w:rPr>
        <w:t xml:space="preserve">hare growth in France, </w:t>
      </w:r>
      <w:r w:rsidR="00637B9B">
        <w:rPr>
          <w:rFonts w:ascii="Arial" w:hAnsi="Arial" w:cs="Arial"/>
          <w:sz w:val="24"/>
          <w:szCs w:val="24"/>
        </w:rPr>
        <w:t xml:space="preserve">UK and </w:t>
      </w:r>
      <w:r w:rsidR="00A0425F">
        <w:rPr>
          <w:rFonts w:ascii="Arial" w:hAnsi="Arial" w:cs="Arial"/>
          <w:sz w:val="24"/>
          <w:szCs w:val="24"/>
        </w:rPr>
        <w:t xml:space="preserve">Poland </w:t>
      </w:r>
    </w:p>
    <w:p w:rsidR="00A0425F" w:rsidRDefault="00136BEE" w:rsidP="00E6064A">
      <w:pPr>
        <w:numPr>
          <w:ilvl w:val="2"/>
          <w:numId w:val="1"/>
        </w:numPr>
        <w:ind w:left="1494"/>
        <w:jc w:val="left"/>
        <w:rPr>
          <w:rFonts w:ascii="Arial" w:hAnsi="Arial" w:cs="Arial"/>
          <w:sz w:val="24"/>
          <w:szCs w:val="24"/>
        </w:rPr>
      </w:pPr>
      <w:r>
        <w:rPr>
          <w:rFonts w:ascii="Arial" w:hAnsi="Arial" w:cs="Arial"/>
          <w:sz w:val="24"/>
          <w:szCs w:val="24"/>
        </w:rPr>
        <w:t xml:space="preserve">Grown </w:t>
      </w:r>
      <w:r w:rsidR="00A0425F">
        <w:rPr>
          <w:rFonts w:ascii="Arial" w:hAnsi="Arial" w:cs="Arial"/>
          <w:sz w:val="24"/>
          <w:szCs w:val="24"/>
        </w:rPr>
        <w:t>Economic Profit (KEP</w:t>
      </w:r>
      <w:r w:rsidR="00795AA8">
        <w:rPr>
          <w:rFonts w:ascii="Arial" w:hAnsi="Arial" w:cs="Arial"/>
          <w:sz w:val="24"/>
          <w:szCs w:val="24"/>
        </w:rPr>
        <w:t>*</w:t>
      </w:r>
      <w:r w:rsidR="00A0425F">
        <w:rPr>
          <w:rFonts w:ascii="Arial" w:hAnsi="Arial" w:cs="Arial"/>
          <w:sz w:val="24"/>
          <w:szCs w:val="24"/>
        </w:rPr>
        <w:t>)</w:t>
      </w:r>
      <w:r w:rsidR="00D03FCC">
        <w:rPr>
          <w:rFonts w:ascii="Arial" w:hAnsi="Arial" w:cs="Arial"/>
          <w:sz w:val="24"/>
          <w:szCs w:val="24"/>
        </w:rPr>
        <w:t xml:space="preserve"> to £</w:t>
      </w:r>
      <w:r w:rsidR="001E23D7">
        <w:rPr>
          <w:rFonts w:ascii="Arial" w:hAnsi="Arial" w:cs="Arial"/>
          <w:sz w:val="24"/>
          <w:szCs w:val="24"/>
        </w:rPr>
        <w:t>74</w:t>
      </w:r>
      <w:r w:rsidR="00C16565">
        <w:rPr>
          <w:rFonts w:ascii="Arial" w:hAnsi="Arial" w:cs="Arial"/>
          <w:sz w:val="24"/>
          <w:szCs w:val="24"/>
        </w:rPr>
        <w:t>m</w:t>
      </w:r>
    </w:p>
    <w:p w:rsidR="00A0425F" w:rsidRDefault="00A0425F" w:rsidP="00E6064A">
      <w:pPr>
        <w:numPr>
          <w:ilvl w:val="2"/>
          <w:numId w:val="1"/>
        </w:numPr>
        <w:ind w:left="1494"/>
        <w:jc w:val="left"/>
        <w:rPr>
          <w:rFonts w:ascii="Arial" w:hAnsi="Arial" w:cs="Arial"/>
          <w:sz w:val="24"/>
          <w:szCs w:val="24"/>
        </w:rPr>
      </w:pPr>
      <w:r>
        <w:rPr>
          <w:rFonts w:ascii="Arial" w:hAnsi="Arial" w:cs="Arial"/>
          <w:sz w:val="24"/>
          <w:szCs w:val="24"/>
        </w:rPr>
        <w:t>Strong free cash flow</w:t>
      </w:r>
      <w:r w:rsidR="00E832E5">
        <w:rPr>
          <w:rFonts w:ascii="Arial" w:hAnsi="Arial" w:cs="Arial"/>
          <w:sz w:val="24"/>
          <w:szCs w:val="24"/>
        </w:rPr>
        <w:t>*</w:t>
      </w:r>
      <w:r>
        <w:rPr>
          <w:rFonts w:ascii="Arial" w:hAnsi="Arial" w:cs="Arial"/>
          <w:sz w:val="24"/>
          <w:szCs w:val="24"/>
        </w:rPr>
        <w:t xml:space="preserve"> generation</w:t>
      </w:r>
      <w:r w:rsidR="00780107">
        <w:rPr>
          <w:rFonts w:ascii="Arial" w:hAnsi="Arial" w:cs="Arial"/>
          <w:sz w:val="24"/>
          <w:szCs w:val="24"/>
        </w:rPr>
        <w:t xml:space="preserve"> of £5</w:t>
      </w:r>
      <w:r w:rsidR="008020CC">
        <w:rPr>
          <w:rFonts w:ascii="Arial" w:hAnsi="Arial" w:cs="Arial"/>
          <w:sz w:val="24"/>
          <w:szCs w:val="24"/>
        </w:rPr>
        <w:t>59</w:t>
      </w:r>
      <w:r w:rsidR="00C16565">
        <w:rPr>
          <w:rFonts w:ascii="Arial" w:hAnsi="Arial" w:cs="Arial"/>
          <w:sz w:val="24"/>
          <w:szCs w:val="24"/>
        </w:rPr>
        <w:t>m</w:t>
      </w:r>
      <w:r w:rsidR="00780107">
        <w:rPr>
          <w:rFonts w:ascii="Arial" w:hAnsi="Arial" w:cs="Arial"/>
          <w:sz w:val="24"/>
          <w:szCs w:val="24"/>
        </w:rPr>
        <w:t xml:space="preserve"> after cap</w:t>
      </w:r>
      <w:r w:rsidR="00E94809">
        <w:rPr>
          <w:rFonts w:ascii="Arial" w:hAnsi="Arial" w:cs="Arial"/>
          <w:sz w:val="24"/>
          <w:szCs w:val="24"/>
        </w:rPr>
        <w:t xml:space="preserve">ital </w:t>
      </w:r>
      <w:r w:rsidR="00780107">
        <w:rPr>
          <w:rFonts w:ascii="Arial" w:hAnsi="Arial" w:cs="Arial"/>
          <w:sz w:val="24"/>
          <w:szCs w:val="24"/>
        </w:rPr>
        <w:t>ex</w:t>
      </w:r>
      <w:r w:rsidR="00E94809">
        <w:rPr>
          <w:rFonts w:ascii="Arial" w:hAnsi="Arial" w:cs="Arial"/>
          <w:sz w:val="24"/>
          <w:szCs w:val="24"/>
        </w:rPr>
        <w:t>penditure</w:t>
      </w:r>
      <w:r>
        <w:rPr>
          <w:rFonts w:ascii="Arial" w:hAnsi="Arial" w:cs="Arial"/>
          <w:sz w:val="24"/>
          <w:szCs w:val="24"/>
        </w:rPr>
        <w:t xml:space="preserve"> </w:t>
      </w:r>
    </w:p>
    <w:p w:rsidR="001F33BF" w:rsidRPr="00F4055C" w:rsidRDefault="001F33BF" w:rsidP="001F33BF">
      <w:pPr>
        <w:numPr>
          <w:ilvl w:val="0"/>
          <w:numId w:val="1"/>
        </w:numPr>
        <w:jc w:val="left"/>
        <w:rPr>
          <w:rFonts w:ascii="Arial" w:hAnsi="Arial" w:cs="Arial"/>
          <w:sz w:val="24"/>
          <w:szCs w:val="24"/>
        </w:rPr>
      </w:pPr>
      <w:r w:rsidRPr="00F4055C">
        <w:rPr>
          <w:rFonts w:ascii="Arial" w:hAnsi="Arial" w:cs="Arial"/>
          <w:sz w:val="24"/>
          <w:szCs w:val="24"/>
        </w:rPr>
        <w:t xml:space="preserve">Exceptional </w:t>
      </w:r>
      <w:r w:rsidR="000E66AC" w:rsidRPr="00F4055C">
        <w:rPr>
          <w:rFonts w:ascii="Arial" w:hAnsi="Arial" w:cs="Arial"/>
          <w:sz w:val="24"/>
          <w:szCs w:val="24"/>
        </w:rPr>
        <w:t xml:space="preserve">accounting </w:t>
      </w:r>
      <w:r w:rsidRPr="00F4055C">
        <w:rPr>
          <w:rFonts w:ascii="Arial" w:hAnsi="Arial" w:cs="Arial"/>
          <w:sz w:val="24"/>
          <w:szCs w:val="24"/>
        </w:rPr>
        <w:t>gain of £</w:t>
      </w:r>
      <w:r w:rsidR="00BD69AD" w:rsidRPr="00F4055C">
        <w:rPr>
          <w:rFonts w:ascii="Arial" w:hAnsi="Arial" w:cs="Arial"/>
          <w:sz w:val="24"/>
          <w:szCs w:val="24"/>
        </w:rPr>
        <w:t>131</w:t>
      </w:r>
      <w:r w:rsidR="00C16565">
        <w:rPr>
          <w:rFonts w:ascii="Arial" w:hAnsi="Arial" w:cs="Arial"/>
          <w:sz w:val="24"/>
          <w:szCs w:val="24"/>
        </w:rPr>
        <w:t>m</w:t>
      </w:r>
      <w:r w:rsidR="00BD69AD" w:rsidRPr="00F4055C">
        <w:rPr>
          <w:rFonts w:ascii="Arial" w:hAnsi="Arial" w:cs="Arial"/>
          <w:sz w:val="24"/>
          <w:szCs w:val="24"/>
        </w:rPr>
        <w:t xml:space="preserve"> principally relating to the successful resolution of the Kesa demerger French tax case</w:t>
      </w:r>
    </w:p>
    <w:p w:rsidR="007C228C" w:rsidRDefault="00BB7281" w:rsidP="007C228C">
      <w:pPr>
        <w:numPr>
          <w:ilvl w:val="0"/>
          <w:numId w:val="1"/>
        </w:numPr>
        <w:jc w:val="left"/>
        <w:rPr>
          <w:rFonts w:ascii="Arial" w:hAnsi="Arial" w:cs="Arial"/>
          <w:sz w:val="24"/>
          <w:szCs w:val="24"/>
        </w:rPr>
      </w:pPr>
      <w:r>
        <w:rPr>
          <w:rFonts w:ascii="Arial" w:hAnsi="Arial" w:cs="Arial"/>
          <w:sz w:val="24"/>
          <w:szCs w:val="24"/>
        </w:rPr>
        <w:t>‘Creating the Leader’ programme continues to progress, on-going self-help initiatives supporting short</w:t>
      </w:r>
      <w:r w:rsidR="00FD48E7">
        <w:rPr>
          <w:rFonts w:ascii="Arial" w:hAnsi="Arial" w:cs="Arial"/>
          <w:sz w:val="24"/>
          <w:szCs w:val="24"/>
        </w:rPr>
        <w:t>-</w:t>
      </w:r>
      <w:r>
        <w:rPr>
          <w:rFonts w:ascii="Arial" w:hAnsi="Arial" w:cs="Arial"/>
          <w:sz w:val="24"/>
          <w:szCs w:val="24"/>
        </w:rPr>
        <w:t>term performance</w:t>
      </w:r>
      <w:r w:rsidR="00087D55">
        <w:rPr>
          <w:rFonts w:ascii="Arial" w:hAnsi="Arial" w:cs="Arial"/>
          <w:sz w:val="24"/>
          <w:szCs w:val="24"/>
        </w:rPr>
        <w:t xml:space="preserve"> whilst positioning the business for future growth </w:t>
      </w:r>
    </w:p>
    <w:p w:rsidR="00A0425F" w:rsidRDefault="00A0425F" w:rsidP="007C228C">
      <w:pPr>
        <w:numPr>
          <w:ilvl w:val="0"/>
          <w:numId w:val="1"/>
        </w:numPr>
        <w:jc w:val="left"/>
        <w:rPr>
          <w:rFonts w:ascii="Arial" w:hAnsi="Arial" w:cs="Arial"/>
          <w:sz w:val="24"/>
          <w:szCs w:val="24"/>
        </w:rPr>
      </w:pPr>
      <w:r>
        <w:rPr>
          <w:rFonts w:ascii="Arial" w:hAnsi="Arial" w:cs="Arial"/>
          <w:sz w:val="24"/>
          <w:szCs w:val="24"/>
        </w:rPr>
        <w:t xml:space="preserve">B&amp;Q UK &amp; Ireland’s </w:t>
      </w:r>
      <w:r w:rsidR="00B47BF6">
        <w:rPr>
          <w:rFonts w:ascii="Arial" w:hAnsi="Arial" w:cs="Arial"/>
          <w:sz w:val="24"/>
          <w:szCs w:val="24"/>
        </w:rPr>
        <w:t xml:space="preserve">accelerated </w:t>
      </w:r>
      <w:r>
        <w:rPr>
          <w:rFonts w:ascii="Arial" w:hAnsi="Arial" w:cs="Arial"/>
          <w:sz w:val="24"/>
          <w:szCs w:val="24"/>
        </w:rPr>
        <w:t>evolution now und</w:t>
      </w:r>
      <w:r w:rsidR="00376255">
        <w:rPr>
          <w:rFonts w:ascii="Arial" w:hAnsi="Arial" w:cs="Arial"/>
          <w:sz w:val="24"/>
          <w:szCs w:val="24"/>
        </w:rPr>
        <w:t xml:space="preserve">erway, led by </w:t>
      </w:r>
      <w:r w:rsidR="00CC278B">
        <w:rPr>
          <w:rFonts w:ascii="Arial" w:hAnsi="Arial" w:cs="Arial"/>
          <w:sz w:val="24"/>
          <w:szCs w:val="24"/>
        </w:rPr>
        <w:t>strengthened</w:t>
      </w:r>
      <w:r w:rsidR="00376255">
        <w:rPr>
          <w:rFonts w:ascii="Arial" w:hAnsi="Arial" w:cs="Arial"/>
          <w:sz w:val="24"/>
          <w:szCs w:val="24"/>
        </w:rPr>
        <w:t xml:space="preserve"> </w:t>
      </w:r>
      <w:r w:rsidR="001907D6">
        <w:rPr>
          <w:rFonts w:ascii="Arial" w:hAnsi="Arial" w:cs="Arial"/>
          <w:sz w:val="24"/>
          <w:szCs w:val="24"/>
        </w:rPr>
        <w:t xml:space="preserve">team </w:t>
      </w:r>
    </w:p>
    <w:p w:rsidR="00FE0A69" w:rsidRDefault="00FE0A69" w:rsidP="001863A8">
      <w:pPr>
        <w:jc w:val="left"/>
        <w:rPr>
          <w:rFonts w:ascii="Arial" w:hAnsi="Arial" w:cs="Arial"/>
          <w:b/>
          <w:bCs/>
          <w:sz w:val="24"/>
          <w:szCs w:val="24"/>
          <w:u w:val="single"/>
        </w:rPr>
      </w:pPr>
    </w:p>
    <w:p w:rsidR="001863A8" w:rsidRPr="001863A8" w:rsidRDefault="001863A8" w:rsidP="001863A8">
      <w:pPr>
        <w:jc w:val="left"/>
        <w:rPr>
          <w:rFonts w:ascii="Arial" w:hAnsi="Arial" w:cs="Arial"/>
          <w:b/>
          <w:bCs/>
          <w:sz w:val="24"/>
          <w:szCs w:val="24"/>
          <w:u w:val="single"/>
        </w:rPr>
      </w:pPr>
      <w:r w:rsidRPr="001863A8">
        <w:rPr>
          <w:rFonts w:ascii="Arial" w:hAnsi="Arial" w:cs="Arial"/>
          <w:b/>
          <w:bCs/>
          <w:sz w:val="24"/>
          <w:szCs w:val="24"/>
          <w:u w:val="single"/>
        </w:rPr>
        <w:t>2014/15</w:t>
      </w:r>
      <w:r w:rsidR="008C05A8">
        <w:rPr>
          <w:rFonts w:ascii="Arial" w:hAnsi="Arial" w:cs="Arial"/>
          <w:b/>
          <w:bCs/>
          <w:sz w:val="24"/>
          <w:szCs w:val="24"/>
          <w:u w:val="single"/>
        </w:rPr>
        <w:t xml:space="preserve"> New Developments</w:t>
      </w:r>
    </w:p>
    <w:p w:rsidR="00A0425F" w:rsidRDefault="00C16565" w:rsidP="007C228C">
      <w:pPr>
        <w:numPr>
          <w:ilvl w:val="0"/>
          <w:numId w:val="1"/>
        </w:numPr>
        <w:jc w:val="left"/>
        <w:rPr>
          <w:rFonts w:ascii="Arial" w:hAnsi="Arial" w:cs="Arial"/>
          <w:sz w:val="24"/>
          <w:szCs w:val="24"/>
        </w:rPr>
      </w:pPr>
      <w:r>
        <w:rPr>
          <w:rFonts w:ascii="Arial" w:hAnsi="Arial" w:cs="Arial"/>
          <w:sz w:val="24"/>
          <w:szCs w:val="24"/>
        </w:rPr>
        <w:t>A</w:t>
      </w:r>
      <w:r w:rsidR="001863A8">
        <w:rPr>
          <w:rFonts w:ascii="Arial" w:hAnsi="Arial" w:cs="Arial"/>
          <w:sz w:val="24"/>
          <w:szCs w:val="24"/>
        </w:rPr>
        <w:t xml:space="preserve"> </w:t>
      </w:r>
      <w:r w:rsidR="00750502">
        <w:rPr>
          <w:rFonts w:ascii="Arial" w:hAnsi="Arial" w:cs="Arial"/>
          <w:sz w:val="24"/>
          <w:szCs w:val="24"/>
        </w:rPr>
        <w:t xml:space="preserve">multi-year programme of additional </w:t>
      </w:r>
      <w:r w:rsidR="00A0425F">
        <w:rPr>
          <w:rFonts w:ascii="Arial" w:hAnsi="Arial" w:cs="Arial"/>
          <w:sz w:val="24"/>
          <w:szCs w:val="24"/>
        </w:rPr>
        <w:t>capital return</w:t>
      </w:r>
      <w:r w:rsidR="00750502">
        <w:rPr>
          <w:rFonts w:ascii="Arial" w:hAnsi="Arial" w:cs="Arial"/>
          <w:sz w:val="24"/>
          <w:szCs w:val="24"/>
        </w:rPr>
        <w:t>s</w:t>
      </w:r>
      <w:r w:rsidR="00A0425F">
        <w:rPr>
          <w:rFonts w:ascii="Arial" w:hAnsi="Arial" w:cs="Arial"/>
          <w:sz w:val="24"/>
          <w:szCs w:val="24"/>
        </w:rPr>
        <w:t xml:space="preserve"> </w:t>
      </w:r>
      <w:r w:rsidR="00750502">
        <w:rPr>
          <w:rFonts w:ascii="Arial" w:hAnsi="Arial" w:cs="Arial"/>
          <w:sz w:val="24"/>
          <w:szCs w:val="24"/>
        </w:rPr>
        <w:t>to</w:t>
      </w:r>
      <w:r w:rsidR="001863A8">
        <w:rPr>
          <w:rFonts w:ascii="Arial" w:hAnsi="Arial" w:cs="Arial"/>
          <w:sz w:val="24"/>
          <w:szCs w:val="24"/>
        </w:rPr>
        <w:t xml:space="preserve"> shareholders</w:t>
      </w:r>
      <w:r w:rsidR="004F2739">
        <w:rPr>
          <w:rFonts w:ascii="Arial" w:hAnsi="Arial" w:cs="Arial"/>
          <w:sz w:val="24"/>
          <w:szCs w:val="24"/>
        </w:rPr>
        <w:t xml:space="preserve">, </w:t>
      </w:r>
      <w:r w:rsidR="00750502">
        <w:rPr>
          <w:rFonts w:ascii="Arial" w:hAnsi="Arial" w:cs="Arial"/>
          <w:sz w:val="24"/>
          <w:szCs w:val="24"/>
        </w:rPr>
        <w:t>starting with</w:t>
      </w:r>
      <w:r w:rsidR="004F2739">
        <w:rPr>
          <w:rFonts w:ascii="Arial" w:hAnsi="Arial" w:cs="Arial"/>
          <w:sz w:val="24"/>
          <w:szCs w:val="24"/>
        </w:rPr>
        <w:t xml:space="preserve"> </w:t>
      </w:r>
      <w:r w:rsidR="00637B9B">
        <w:rPr>
          <w:rFonts w:ascii="Arial" w:hAnsi="Arial" w:cs="Arial"/>
          <w:sz w:val="24"/>
          <w:szCs w:val="24"/>
        </w:rPr>
        <w:t>around</w:t>
      </w:r>
      <w:r w:rsidR="001863A8">
        <w:rPr>
          <w:rFonts w:ascii="Arial" w:hAnsi="Arial" w:cs="Arial"/>
          <w:sz w:val="24"/>
          <w:szCs w:val="24"/>
        </w:rPr>
        <w:t xml:space="preserve"> </w:t>
      </w:r>
      <w:r w:rsidR="00A0425F">
        <w:rPr>
          <w:rFonts w:ascii="Arial" w:hAnsi="Arial" w:cs="Arial"/>
          <w:sz w:val="24"/>
          <w:szCs w:val="24"/>
        </w:rPr>
        <w:t>£</w:t>
      </w:r>
      <w:r w:rsidR="00750502">
        <w:rPr>
          <w:rFonts w:ascii="Arial" w:hAnsi="Arial" w:cs="Arial"/>
          <w:sz w:val="24"/>
          <w:szCs w:val="24"/>
        </w:rPr>
        <w:t>200</w:t>
      </w:r>
      <w:r>
        <w:rPr>
          <w:rFonts w:ascii="Arial" w:hAnsi="Arial" w:cs="Arial"/>
          <w:sz w:val="24"/>
          <w:szCs w:val="24"/>
        </w:rPr>
        <w:t>m</w:t>
      </w:r>
      <w:r w:rsidR="00A0425F">
        <w:rPr>
          <w:rFonts w:ascii="Arial" w:hAnsi="Arial" w:cs="Arial"/>
          <w:sz w:val="24"/>
          <w:szCs w:val="24"/>
        </w:rPr>
        <w:t xml:space="preserve"> during </w:t>
      </w:r>
      <w:r w:rsidR="00B47BF6">
        <w:rPr>
          <w:rFonts w:ascii="Arial" w:hAnsi="Arial" w:cs="Arial"/>
          <w:sz w:val="24"/>
          <w:szCs w:val="24"/>
        </w:rPr>
        <w:t xml:space="preserve">the financial year </w:t>
      </w:r>
      <w:r w:rsidR="00A0425F">
        <w:rPr>
          <w:rFonts w:ascii="Arial" w:hAnsi="Arial" w:cs="Arial"/>
          <w:sz w:val="24"/>
          <w:szCs w:val="24"/>
        </w:rPr>
        <w:t xml:space="preserve">2014/15  </w:t>
      </w:r>
    </w:p>
    <w:p w:rsidR="00234FFB" w:rsidRDefault="001F33BF" w:rsidP="007C228C">
      <w:pPr>
        <w:numPr>
          <w:ilvl w:val="0"/>
          <w:numId w:val="1"/>
        </w:numPr>
        <w:jc w:val="left"/>
        <w:rPr>
          <w:rFonts w:ascii="Arial" w:hAnsi="Arial" w:cs="Arial"/>
          <w:sz w:val="24"/>
          <w:szCs w:val="24"/>
        </w:rPr>
      </w:pPr>
      <w:r w:rsidRPr="00EA6927">
        <w:rPr>
          <w:rFonts w:ascii="Arial" w:hAnsi="Arial" w:cs="Arial"/>
          <w:sz w:val="24"/>
          <w:szCs w:val="24"/>
        </w:rPr>
        <w:t>Two new country entries planned. Two Brico D</w:t>
      </w:r>
      <w:r w:rsidR="00BD69AD" w:rsidRPr="00EA6927">
        <w:rPr>
          <w:rFonts w:ascii="Arial" w:hAnsi="Arial" w:cs="Arial"/>
          <w:sz w:val="24"/>
          <w:szCs w:val="24"/>
        </w:rPr>
        <w:t>é</w:t>
      </w:r>
      <w:r w:rsidRPr="00EA6927">
        <w:rPr>
          <w:rFonts w:ascii="Arial" w:hAnsi="Arial" w:cs="Arial"/>
          <w:sz w:val="24"/>
          <w:szCs w:val="24"/>
        </w:rPr>
        <w:t>p</w:t>
      </w:r>
      <w:r w:rsidR="00BD69AD" w:rsidRPr="00EA6927">
        <w:rPr>
          <w:rFonts w:ascii="Arial" w:hAnsi="Arial" w:cs="Arial"/>
          <w:sz w:val="24"/>
          <w:szCs w:val="24"/>
        </w:rPr>
        <w:t>ô</w:t>
      </w:r>
      <w:r w:rsidRPr="00EA6927">
        <w:rPr>
          <w:rFonts w:ascii="Arial" w:hAnsi="Arial" w:cs="Arial"/>
          <w:sz w:val="24"/>
          <w:szCs w:val="24"/>
        </w:rPr>
        <w:t xml:space="preserve">t stores to open in </w:t>
      </w:r>
      <w:r w:rsidR="001863A8" w:rsidRPr="00EA6927">
        <w:rPr>
          <w:rFonts w:ascii="Arial" w:hAnsi="Arial" w:cs="Arial"/>
          <w:sz w:val="24"/>
          <w:szCs w:val="24"/>
        </w:rPr>
        <w:t>Portugal</w:t>
      </w:r>
      <w:r w:rsidRPr="00EA6927">
        <w:rPr>
          <w:rFonts w:ascii="Arial" w:hAnsi="Arial" w:cs="Arial"/>
          <w:sz w:val="24"/>
          <w:szCs w:val="24"/>
        </w:rPr>
        <w:t xml:space="preserve"> and four </w:t>
      </w:r>
      <w:r w:rsidR="001863A8" w:rsidRPr="00EA6927">
        <w:rPr>
          <w:rFonts w:ascii="Arial" w:hAnsi="Arial" w:cs="Arial"/>
          <w:sz w:val="24"/>
          <w:szCs w:val="24"/>
        </w:rPr>
        <w:t xml:space="preserve">Screwfix </w:t>
      </w:r>
      <w:r w:rsidRPr="00EA6927">
        <w:rPr>
          <w:rFonts w:ascii="Arial" w:hAnsi="Arial" w:cs="Arial"/>
          <w:sz w:val="24"/>
          <w:szCs w:val="24"/>
        </w:rPr>
        <w:t>outlets</w:t>
      </w:r>
      <w:r w:rsidR="00CC278B" w:rsidRPr="00EA6927">
        <w:rPr>
          <w:rFonts w:ascii="Arial" w:hAnsi="Arial" w:cs="Arial"/>
          <w:sz w:val="24"/>
          <w:szCs w:val="24"/>
        </w:rPr>
        <w:t xml:space="preserve"> </w:t>
      </w:r>
      <w:r w:rsidR="00FD133A">
        <w:rPr>
          <w:rFonts w:ascii="Arial" w:hAnsi="Arial" w:cs="Arial"/>
          <w:sz w:val="24"/>
          <w:szCs w:val="24"/>
        </w:rPr>
        <w:t xml:space="preserve">to open </w:t>
      </w:r>
      <w:r w:rsidR="00CC278B" w:rsidRPr="00EA6927">
        <w:rPr>
          <w:rFonts w:ascii="Arial" w:hAnsi="Arial" w:cs="Arial"/>
          <w:sz w:val="24"/>
          <w:szCs w:val="24"/>
        </w:rPr>
        <w:t>in Germany</w:t>
      </w:r>
      <w:r w:rsidRPr="00EA6927">
        <w:rPr>
          <w:rFonts w:ascii="Arial" w:hAnsi="Arial" w:cs="Arial"/>
          <w:sz w:val="24"/>
          <w:szCs w:val="24"/>
        </w:rPr>
        <w:t xml:space="preserve"> with full next day national delivery</w:t>
      </w:r>
    </w:p>
    <w:p w:rsidR="001863A8" w:rsidRPr="00EA6927" w:rsidRDefault="004A0E96" w:rsidP="00C02E76">
      <w:pPr>
        <w:numPr>
          <w:ilvl w:val="1"/>
          <w:numId w:val="1"/>
        </w:numPr>
        <w:ind w:left="754" w:hanging="357"/>
        <w:jc w:val="left"/>
        <w:rPr>
          <w:rFonts w:ascii="Arial" w:hAnsi="Arial" w:cs="Arial"/>
          <w:sz w:val="24"/>
          <w:szCs w:val="24"/>
        </w:rPr>
      </w:pPr>
      <w:r>
        <w:rPr>
          <w:rFonts w:ascii="Arial" w:hAnsi="Arial" w:cs="Arial"/>
          <w:sz w:val="24"/>
          <w:szCs w:val="24"/>
        </w:rPr>
        <w:t>C</w:t>
      </w:r>
      <w:r w:rsidR="001863A8" w:rsidRPr="00EA6927">
        <w:rPr>
          <w:rFonts w:ascii="Arial" w:hAnsi="Arial" w:cs="Arial"/>
          <w:sz w:val="24"/>
          <w:szCs w:val="24"/>
        </w:rPr>
        <w:t xml:space="preserve">ombined </w:t>
      </w:r>
      <w:r w:rsidR="00AE6498">
        <w:rPr>
          <w:rFonts w:ascii="Arial" w:hAnsi="Arial" w:cs="Arial"/>
          <w:sz w:val="24"/>
          <w:szCs w:val="24"/>
        </w:rPr>
        <w:t xml:space="preserve">investment </w:t>
      </w:r>
      <w:r w:rsidR="001863A8" w:rsidRPr="00EA6927">
        <w:rPr>
          <w:rFonts w:ascii="Arial" w:hAnsi="Arial" w:cs="Arial"/>
          <w:sz w:val="24"/>
          <w:szCs w:val="24"/>
        </w:rPr>
        <w:t xml:space="preserve">impact on 2014/15 profit will be a </w:t>
      </w:r>
      <w:r w:rsidR="00500AA8">
        <w:rPr>
          <w:rFonts w:ascii="Arial" w:hAnsi="Arial" w:cs="Arial"/>
          <w:sz w:val="24"/>
          <w:szCs w:val="24"/>
        </w:rPr>
        <w:t xml:space="preserve">net </w:t>
      </w:r>
      <w:r w:rsidR="001863A8" w:rsidRPr="00EA6927">
        <w:rPr>
          <w:rFonts w:ascii="Arial" w:hAnsi="Arial" w:cs="Arial"/>
          <w:sz w:val="24"/>
          <w:szCs w:val="24"/>
        </w:rPr>
        <w:t xml:space="preserve">charge of </w:t>
      </w:r>
      <w:r w:rsidR="00500AA8">
        <w:rPr>
          <w:rFonts w:ascii="Arial" w:hAnsi="Arial" w:cs="Arial"/>
          <w:sz w:val="24"/>
          <w:szCs w:val="24"/>
        </w:rPr>
        <w:t xml:space="preserve">around </w:t>
      </w:r>
      <w:r w:rsidR="001863A8" w:rsidRPr="00EA6927">
        <w:rPr>
          <w:rFonts w:ascii="Arial" w:hAnsi="Arial" w:cs="Arial"/>
          <w:sz w:val="24"/>
          <w:szCs w:val="24"/>
        </w:rPr>
        <w:t>£10</w:t>
      </w:r>
      <w:r w:rsidR="00C16565">
        <w:rPr>
          <w:rFonts w:ascii="Arial" w:hAnsi="Arial" w:cs="Arial"/>
          <w:sz w:val="24"/>
          <w:szCs w:val="24"/>
        </w:rPr>
        <w:t>m</w:t>
      </w:r>
    </w:p>
    <w:p w:rsidR="00C16565" w:rsidRDefault="00C16565" w:rsidP="00B13D1C">
      <w:pPr>
        <w:numPr>
          <w:ilvl w:val="0"/>
          <w:numId w:val="1"/>
        </w:numPr>
        <w:jc w:val="left"/>
        <w:rPr>
          <w:rFonts w:ascii="Arial" w:hAnsi="Arial" w:cs="Arial"/>
          <w:sz w:val="24"/>
          <w:szCs w:val="24"/>
        </w:rPr>
      </w:pPr>
      <w:r>
        <w:rPr>
          <w:rFonts w:ascii="Arial" w:hAnsi="Arial" w:cs="Arial"/>
          <w:sz w:val="24"/>
          <w:szCs w:val="24"/>
        </w:rPr>
        <w:t>D</w:t>
      </w:r>
      <w:r w:rsidR="002A4FF0">
        <w:rPr>
          <w:rFonts w:ascii="Arial" w:hAnsi="Arial" w:cs="Arial"/>
          <w:sz w:val="24"/>
          <w:szCs w:val="24"/>
        </w:rPr>
        <w:t xml:space="preserve">isposal </w:t>
      </w:r>
      <w:r w:rsidR="009307A2">
        <w:rPr>
          <w:rFonts w:ascii="Arial" w:hAnsi="Arial" w:cs="Arial"/>
          <w:sz w:val="24"/>
          <w:szCs w:val="24"/>
        </w:rPr>
        <w:t xml:space="preserve">agreed on 24 March 2014 </w:t>
      </w:r>
      <w:r w:rsidR="00750502">
        <w:rPr>
          <w:rFonts w:ascii="Arial" w:hAnsi="Arial" w:cs="Arial"/>
          <w:sz w:val="24"/>
          <w:szCs w:val="24"/>
        </w:rPr>
        <w:t xml:space="preserve">of </w:t>
      </w:r>
      <w:r w:rsidR="00191239">
        <w:rPr>
          <w:rFonts w:ascii="Arial" w:hAnsi="Arial" w:cs="Arial"/>
          <w:sz w:val="24"/>
          <w:szCs w:val="24"/>
        </w:rPr>
        <w:t xml:space="preserve">the entire 21.2% stake in </w:t>
      </w:r>
      <w:r>
        <w:rPr>
          <w:rFonts w:ascii="Arial" w:hAnsi="Arial" w:cs="Arial"/>
          <w:sz w:val="24"/>
          <w:szCs w:val="24"/>
        </w:rPr>
        <w:t xml:space="preserve">Hornbach </w:t>
      </w:r>
      <w:r w:rsidR="00750502" w:rsidRPr="00500AA8">
        <w:rPr>
          <w:rFonts w:ascii="Arial" w:hAnsi="Arial" w:cs="Arial"/>
          <w:sz w:val="24"/>
          <w:szCs w:val="24"/>
        </w:rPr>
        <w:t>for</w:t>
      </w:r>
      <w:r w:rsidR="00191239">
        <w:rPr>
          <w:rFonts w:ascii="Arial" w:hAnsi="Arial" w:cs="Arial"/>
          <w:sz w:val="24"/>
          <w:szCs w:val="24"/>
        </w:rPr>
        <w:t xml:space="preserve"> approximately</w:t>
      </w:r>
      <w:r w:rsidR="00750502" w:rsidRPr="00500AA8">
        <w:rPr>
          <w:rFonts w:ascii="Arial" w:hAnsi="Arial" w:cs="Arial"/>
          <w:sz w:val="24"/>
          <w:szCs w:val="24"/>
        </w:rPr>
        <w:t xml:space="preserve"> </w:t>
      </w:r>
      <w:r w:rsidR="00750502" w:rsidRPr="00A1426F">
        <w:rPr>
          <w:rFonts w:ascii="Arial" w:hAnsi="Arial" w:cs="Arial"/>
          <w:sz w:val="24"/>
          <w:szCs w:val="24"/>
        </w:rPr>
        <w:t>£</w:t>
      </w:r>
      <w:r w:rsidR="00191239">
        <w:rPr>
          <w:rFonts w:ascii="Arial" w:hAnsi="Arial" w:cs="Arial"/>
          <w:sz w:val="24"/>
          <w:szCs w:val="24"/>
        </w:rPr>
        <w:t>1</w:t>
      </w:r>
      <w:r w:rsidR="00500AA8" w:rsidRPr="0036719C">
        <w:rPr>
          <w:rFonts w:ascii="Arial" w:hAnsi="Arial" w:cs="Arial"/>
          <w:sz w:val="24"/>
          <w:szCs w:val="24"/>
        </w:rPr>
        <w:t>9</w:t>
      </w:r>
      <w:r w:rsidR="00191239">
        <w:rPr>
          <w:rFonts w:ascii="Arial" w:hAnsi="Arial" w:cs="Arial"/>
          <w:sz w:val="24"/>
          <w:szCs w:val="24"/>
        </w:rPr>
        <w:t>5</w:t>
      </w:r>
      <w:r>
        <w:rPr>
          <w:rFonts w:ascii="Arial" w:hAnsi="Arial" w:cs="Arial"/>
          <w:sz w:val="24"/>
          <w:szCs w:val="24"/>
        </w:rPr>
        <w:t>m</w:t>
      </w:r>
      <w:r w:rsidR="0088534A">
        <w:rPr>
          <w:rFonts w:ascii="Arial" w:hAnsi="Arial" w:cs="Arial"/>
          <w:sz w:val="24"/>
          <w:szCs w:val="24"/>
        </w:rPr>
        <w:t xml:space="preserve"> following a review of this</w:t>
      </w:r>
      <w:r w:rsidR="00191239">
        <w:rPr>
          <w:rFonts w:ascii="Arial" w:hAnsi="Arial" w:cs="Arial"/>
          <w:sz w:val="24"/>
          <w:szCs w:val="24"/>
        </w:rPr>
        <w:t xml:space="preserve"> strategic investment</w:t>
      </w:r>
    </w:p>
    <w:p w:rsidR="0036719C" w:rsidRDefault="00C16565" w:rsidP="00B13D1C">
      <w:pPr>
        <w:numPr>
          <w:ilvl w:val="0"/>
          <w:numId w:val="1"/>
        </w:numPr>
        <w:jc w:val="left"/>
        <w:rPr>
          <w:rFonts w:ascii="Arial" w:hAnsi="Arial" w:cs="Arial"/>
          <w:sz w:val="24"/>
          <w:szCs w:val="24"/>
        </w:rPr>
      </w:pPr>
      <w:r>
        <w:rPr>
          <w:rFonts w:ascii="Arial" w:hAnsi="Arial" w:cs="Arial"/>
          <w:sz w:val="24"/>
          <w:szCs w:val="24"/>
        </w:rPr>
        <w:t>I</w:t>
      </w:r>
      <w:r w:rsidR="00750502">
        <w:rPr>
          <w:rFonts w:ascii="Arial" w:hAnsi="Arial" w:cs="Arial"/>
          <w:sz w:val="24"/>
          <w:szCs w:val="24"/>
        </w:rPr>
        <w:t xml:space="preserve">ntention to look for a strategic partner </w:t>
      </w:r>
      <w:r w:rsidR="000F45CE">
        <w:rPr>
          <w:rFonts w:ascii="Arial" w:hAnsi="Arial" w:cs="Arial"/>
          <w:sz w:val="24"/>
          <w:szCs w:val="24"/>
        </w:rPr>
        <w:t>for B&amp;Q</w:t>
      </w:r>
      <w:r w:rsidR="00025774">
        <w:rPr>
          <w:rFonts w:ascii="Arial" w:hAnsi="Arial" w:cs="Arial"/>
          <w:sz w:val="24"/>
          <w:szCs w:val="24"/>
        </w:rPr>
        <w:t xml:space="preserve"> China</w:t>
      </w:r>
      <w:r w:rsidR="00637B9B">
        <w:rPr>
          <w:rFonts w:ascii="Arial" w:hAnsi="Arial" w:cs="Arial"/>
          <w:sz w:val="24"/>
          <w:szCs w:val="24"/>
        </w:rPr>
        <w:t xml:space="preserve"> (to replicate the successful partner approach in Turkey)</w:t>
      </w:r>
    </w:p>
    <w:p w:rsidR="00191239" w:rsidRDefault="00191239" w:rsidP="007678AD">
      <w:pPr>
        <w:jc w:val="left"/>
        <w:rPr>
          <w:rFonts w:ascii="Arial" w:hAnsi="Arial" w:cs="Arial"/>
          <w:sz w:val="24"/>
          <w:szCs w:val="24"/>
        </w:rPr>
      </w:pPr>
    </w:p>
    <w:p w:rsidR="00C16565" w:rsidRPr="00F92C7C" w:rsidRDefault="00C16565" w:rsidP="007678AD">
      <w:pPr>
        <w:jc w:val="left"/>
        <w:rPr>
          <w:rFonts w:ascii="Arial" w:hAnsi="Arial" w:cs="Arial"/>
          <w:sz w:val="24"/>
          <w:szCs w:val="24"/>
        </w:rPr>
      </w:pPr>
    </w:p>
    <w:tbl>
      <w:tblPr>
        <w:tblW w:w="4840" w:type="pct"/>
        <w:tblInd w:w="-106" w:type="dxa"/>
        <w:tblBorders>
          <w:top w:val="single" w:sz="4" w:space="0" w:color="auto"/>
          <w:bottom w:val="single" w:sz="4" w:space="0" w:color="auto"/>
          <w:insideH w:val="single" w:sz="4" w:space="0" w:color="auto"/>
        </w:tblBorders>
        <w:tblLook w:val="01E0" w:firstRow="1" w:lastRow="1" w:firstColumn="1" w:lastColumn="1" w:noHBand="0" w:noVBand="0"/>
      </w:tblPr>
      <w:tblGrid>
        <w:gridCol w:w="4226"/>
        <w:gridCol w:w="1590"/>
        <w:gridCol w:w="1228"/>
        <w:gridCol w:w="2288"/>
      </w:tblGrid>
      <w:tr w:rsidR="007C228C" w:rsidRPr="007C228C" w:rsidTr="007C228C">
        <w:trPr>
          <w:trHeight w:val="284"/>
        </w:trPr>
        <w:tc>
          <w:tcPr>
            <w:tcW w:w="2264" w:type="pct"/>
            <w:tcBorders>
              <w:top w:val="nil"/>
            </w:tcBorders>
          </w:tcPr>
          <w:bookmarkEnd w:id="3"/>
          <w:bookmarkEnd w:id="4"/>
          <w:p w:rsidR="007C228C" w:rsidRPr="007C228C" w:rsidRDefault="00FE0A69" w:rsidP="00701EEA">
            <w:pPr>
              <w:jc w:val="left"/>
              <w:rPr>
                <w:rFonts w:ascii="Arial" w:hAnsi="Arial" w:cs="Arial"/>
                <w:b/>
                <w:bCs/>
                <w:sz w:val="24"/>
                <w:szCs w:val="24"/>
                <w:u w:val="single"/>
              </w:rPr>
            </w:pPr>
            <w:r>
              <w:rPr>
                <w:rFonts w:ascii="Arial" w:hAnsi="Arial" w:cs="Arial"/>
                <w:b/>
                <w:bCs/>
                <w:sz w:val="24"/>
                <w:szCs w:val="24"/>
                <w:u w:val="single"/>
              </w:rPr>
              <w:t>Statutory reporting</w:t>
            </w:r>
          </w:p>
        </w:tc>
        <w:tc>
          <w:tcPr>
            <w:tcW w:w="852" w:type="pct"/>
            <w:tcBorders>
              <w:top w:val="nil"/>
            </w:tcBorders>
          </w:tcPr>
          <w:p w:rsidR="007C228C" w:rsidRPr="007C228C" w:rsidRDefault="007C228C" w:rsidP="00F979C4">
            <w:pPr>
              <w:jc w:val="right"/>
              <w:rPr>
                <w:rFonts w:ascii="Arial" w:hAnsi="Arial" w:cs="Arial"/>
                <w:sz w:val="24"/>
                <w:szCs w:val="24"/>
                <w:highlight w:val="yellow"/>
              </w:rPr>
            </w:pPr>
            <w:r w:rsidRPr="007C228C">
              <w:rPr>
                <w:rFonts w:ascii="Arial" w:hAnsi="Arial" w:cs="Arial"/>
                <w:b/>
                <w:bCs/>
                <w:sz w:val="24"/>
                <w:szCs w:val="24"/>
              </w:rPr>
              <w:t>2013/14</w:t>
            </w:r>
            <w:r w:rsidRPr="007C228C">
              <w:rPr>
                <w:rFonts w:ascii="Arial" w:hAnsi="Arial" w:cs="Arial"/>
                <w:i/>
                <w:iCs/>
                <w:sz w:val="18"/>
                <w:szCs w:val="18"/>
              </w:rPr>
              <w:t xml:space="preserve">  </w:t>
            </w:r>
          </w:p>
        </w:tc>
        <w:tc>
          <w:tcPr>
            <w:tcW w:w="658" w:type="pct"/>
            <w:tcBorders>
              <w:top w:val="nil"/>
            </w:tcBorders>
          </w:tcPr>
          <w:p w:rsidR="007C228C" w:rsidRPr="007C228C" w:rsidRDefault="007C228C" w:rsidP="00AC5413">
            <w:pPr>
              <w:jc w:val="right"/>
              <w:rPr>
                <w:rFonts w:ascii="Arial" w:hAnsi="Arial" w:cs="Arial"/>
                <w:sz w:val="24"/>
                <w:szCs w:val="24"/>
                <w:highlight w:val="yellow"/>
              </w:rPr>
            </w:pPr>
            <w:r w:rsidRPr="007C228C">
              <w:rPr>
                <w:rFonts w:ascii="Arial" w:hAnsi="Arial" w:cs="Arial"/>
                <w:b/>
                <w:bCs/>
                <w:sz w:val="24"/>
                <w:szCs w:val="24"/>
              </w:rPr>
              <w:t>2012/13</w:t>
            </w:r>
            <w:r w:rsidRPr="007C228C">
              <w:rPr>
                <w:rFonts w:ascii="Arial" w:hAnsi="Arial" w:cs="Arial"/>
                <w:i/>
                <w:iCs/>
                <w:sz w:val="18"/>
                <w:szCs w:val="18"/>
              </w:rPr>
              <w:t xml:space="preserve">  </w:t>
            </w:r>
          </w:p>
        </w:tc>
        <w:tc>
          <w:tcPr>
            <w:tcW w:w="1226" w:type="pct"/>
            <w:tcBorders>
              <w:top w:val="nil"/>
            </w:tcBorders>
          </w:tcPr>
          <w:p w:rsidR="007C228C" w:rsidRPr="007C228C" w:rsidRDefault="007C228C" w:rsidP="00F979C4">
            <w:pPr>
              <w:jc w:val="right"/>
              <w:rPr>
                <w:rFonts w:ascii="Arial" w:hAnsi="Arial" w:cs="Arial"/>
                <w:sz w:val="24"/>
                <w:szCs w:val="24"/>
                <w:highlight w:val="magenta"/>
              </w:rPr>
            </w:pPr>
            <w:r w:rsidRPr="007C228C">
              <w:rPr>
                <w:rFonts w:ascii="Arial" w:hAnsi="Arial" w:cs="Arial"/>
                <w:b/>
                <w:bCs/>
                <w:sz w:val="24"/>
                <w:szCs w:val="24"/>
              </w:rPr>
              <w:t>Reported Change</w:t>
            </w:r>
          </w:p>
        </w:tc>
      </w:tr>
      <w:tr w:rsidR="007C228C" w:rsidRPr="007C228C" w:rsidTr="007C228C">
        <w:tc>
          <w:tcPr>
            <w:tcW w:w="2264" w:type="pct"/>
            <w:tcBorders>
              <w:top w:val="nil"/>
              <w:bottom w:val="nil"/>
            </w:tcBorders>
          </w:tcPr>
          <w:p w:rsidR="007C228C" w:rsidRPr="007C228C" w:rsidRDefault="007C228C" w:rsidP="00701EEA">
            <w:pPr>
              <w:jc w:val="left"/>
              <w:rPr>
                <w:rFonts w:ascii="Arial" w:hAnsi="Arial" w:cs="Arial"/>
                <w:sz w:val="24"/>
                <w:szCs w:val="24"/>
              </w:rPr>
            </w:pPr>
            <w:r w:rsidRPr="007C228C">
              <w:rPr>
                <w:rFonts w:ascii="Arial" w:hAnsi="Arial" w:cs="Arial"/>
                <w:sz w:val="24"/>
                <w:szCs w:val="24"/>
              </w:rPr>
              <w:t xml:space="preserve">Profit before taxation  </w:t>
            </w:r>
          </w:p>
        </w:tc>
        <w:tc>
          <w:tcPr>
            <w:tcW w:w="852" w:type="pct"/>
            <w:tcBorders>
              <w:top w:val="nil"/>
              <w:bottom w:val="nil"/>
            </w:tcBorders>
          </w:tcPr>
          <w:p w:rsidR="007C228C" w:rsidRPr="007C228C" w:rsidRDefault="007C228C" w:rsidP="00F979C4">
            <w:pPr>
              <w:jc w:val="right"/>
              <w:rPr>
                <w:rFonts w:ascii="Arial" w:hAnsi="Arial" w:cs="Arial"/>
                <w:sz w:val="24"/>
                <w:szCs w:val="24"/>
              </w:rPr>
            </w:pPr>
            <w:r w:rsidRPr="007C228C">
              <w:rPr>
                <w:rFonts w:ascii="Arial" w:hAnsi="Arial" w:cs="Arial"/>
                <w:sz w:val="24"/>
                <w:szCs w:val="24"/>
              </w:rPr>
              <w:t>£</w:t>
            </w:r>
            <w:r w:rsidR="00FE0A69">
              <w:rPr>
                <w:rFonts w:ascii="Arial" w:hAnsi="Arial" w:cs="Arial"/>
                <w:sz w:val="24"/>
                <w:szCs w:val="24"/>
              </w:rPr>
              <w:t>759</w:t>
            </w:r>
            <w:r w:rsidRPr="007C228C">
              <w:rPr>
                <w:rFonts w:ascii="Arial" w:hAnsi="Arial" w:cs="Arial"/>
                <w:sz w:val="24"/>
                <w:szCs w:val="24"/>
              </w:rPr>
              <w:t>m</w:t>
            </w:r>
          </w:p>
        </w:tc>
        <w:tc>
          <w:tcPr>
            <w:tcW w:w="658" w:type="pct"/>
            <w:tcBorders>
              <w:top w:val="nil"/>
              <w:bottom w:val="nil"/>
            </w:tcBorders>
          </w:tcPr>
          <w:p w:rsidR="007C228C" w:rsidRPr="007C228C" w:rsidRDefault="007C228C" w:rsidP="00AC5413">
            <w:pPr>
              <w:jc w:val="right"/>
              <w:rPr>
                <w:rFonts w:ascii="Arial" w:hAnsi="Arial" w:cs="Arial"/>
                <w:sz w:val="24"/>
                <w:szCs w:val="24"/>
              </w:rPr>
            </w:pPr>
            <w:r w:rsidRPr="007C228C">
              <w:rPr>
                <w:rFonts w:ascii="Arial" w:hAnsi="Arial" w:cs="Arial"/>
                <w:sz w:val="24"/>
                <w:szCs w:val="24"/>
              </w:rPr>
              <w:t>£691m</w:t>
            </w:r>
          </w:p>
        </w:tc>
        <w:tc>
          <w:tcPr>
            <w:tcW w:w="1226" w:type="pct"/>
            <w:tcBorders>
              <w:top w:val="nil"/>
              <w:bottom w:val="nil"/>
            </w:tcBorders>
          </w:tcPr>
          <w:p w:rsidR="007C228C" w:rsidRPr="007C228C" w:rsidRDefault="00FE0A69" w:rsidP="00F979C4">
            <w:pPr>
              <w:jc w:val="right"/>
              <w:rPr>
                <w:rFonts w:ascii="Arial" w:hAnsi="Arial" w:cs="Arial"/>
                <w:sz w:val="24"/>
                <w:szCs w:val="24"/>
              </w:rPr>
            </w:pPr>
            <w:r>
              <w:rPr>
                <w:rFonts w:ascii="Arial" w:hAnsi="Arial" w:cs="Arial"/>
                <w:sz w:val="24"/>
                <w:szCs w:val="24"/>
              </w:rPr>
              <w:t>+9.8</w:t>
            </w:r>
            <w:r w:rsidR="007C228C" w:rsidRPr="007C228C">
              <w:rPr>
                <w:rFonts w:ascii="Arial" w:hAnsi="Arial" w:cs="Arial"/>
                <w:sz w:val="24"/>
                <w:szCs w:val="24"/>
              </w:rPr>
              <w:t>%</w:t>
            </w:r>
          </w:p>
        </w:tc>
      </w:tr>
      <w:tr w:rsidR="007C228C" w:rsidRPr="007C228C" w:rsidTr="007C228C">
        <w:tc>
          <w:tcPr>
            <w:tcW w:w="2264" w:type="pct"/>
            <w:tcBorders>
              <w:top w:val="nil"/>
              <w:bottom w:val="nil"/>
            </w:tcBorders>
          </w:tcPr>
          <w:p w:rsidR="007C228C" w:rsidRPr="007C228C" w:rsidRDefault="007C228C" w:rsidP="00701EEA">
            <w:pPr>
              <w:jc w:val="left"/>
              <w:rPr>
                <w:rFonts w:ascii="Arial" w:hAnsi="Arial" w:cs="Arial"/>
                <w:sz w:val="24"/>
                <w:szCs w:val="24"/>
              </w:rPr>
            </w:pPr>
            <w:r w:rsidRPr="007C228C">
              <w:rPr>
                <w:rFonts w:ascii="Arial" w:hAnsi="Arial" w:cs="Arial"/>
                <w:sz w:val="24"/>
                <w:szCs w:val="24"/>
              </w:rPr>
              <w:t>Profit for the year</w:t>
            </w:r>
          </w:p>
        </w:tc>
        <w:tc>
          <w:tcPr>
            <w:tcW w:w="852" w:type="pct"/>
            <w:tcBorders>
              <w:top w:val="nil"/>
              <w:bottom w:val="nil"/>
            </w:tcBorders>
          </w:tcPr>
          <w:p w:rsidR="007C228C" w:rsidRPr="007C228C" w:rsidRDefault="007C228C" w:rsidP="00F979C4">
            <w:pPr>
              <w:jc w:val="right"/>
              <w:rPr>
                <w:rFonts w:ascii="Arial" w:hAnsi="Arial" w:cs="Arial"/>
                <w:sz w:val="24"/>
                <w:szCs w:val="24"/>
              </w:rPr>
            </w:pPr>
            <w:r w:rsidRPr="007C228C">
              <w:rPr>
                <w:rFonts w:ascii="Arial" w:hAnsi="Arial" w:cs="Arial"/>
                <w:sz w:val="24"/>
                <w:szCs w:val="24"/>
              </w:rPr>
              <w:t>£</w:t>
            </w:r>
            <w:r w:rsidR="00FE0A69">
              <w:rPr>
                <w:rFonts w:ascii="Arial" w:hAnsi="Arial" w:cs="Arial"/>
                <w:sz w:val="24"/>
                <w:szCs w:val="24"/>
              </w:rPr>
              <w:t>71</w:t>
            </w:r>
            <w:r w:rsidR="00025774">
              <w:rPr>
                <w:rFonts w:ascii="Arial" w:hAnsi="Arial" w:cs="Arial"/>
                <w:sz w:val="24"/>
                <w:szCs w:val="24"/>
              </w:rPr>
              <w:t>0</w:t>
            </w:r>
            <w:r w:rsidRPr="007C228C">
              <w:rPr>
                <w:rFonts w:ascii="Arial" w:hAnsi="Arial" w:cs="Arial"/>
                <w:sz w:val="24"/>
                <w:szCs w:val="24"/>
              </w:rPr>
              <w:t>m</w:t>
            </w:r>
          </w:p>
        </w:tc>
        <w:tc>
          <w:tcPr>
            <w:tcW w:w="658" w:type="pct"/>
            <w:tcBorders>
              <w:top w:val="nil"/>
              <w:bottom w:val="nil"/>
            </w:tcBorders>
          </w:tcPr>
          <w:p w:rsidR="007C228C" w:rsidRPr="007C228C" w:rsidRDefault="007C228C" w:rsidP="00AC5413">
            <w:pPr>
              <w:jc w:val="right"/>
              <w:rPr>
                <w:rFonts w:ascii="Arial" w:hAnsi="Arial" w:cs="Arial"/>
                <w:sz w:val="24"/>
                <w:szCs w:val="24"/>
              </w:rPr>
            </w:pPr>
            <w:r w:rsidRPr="007C228C">
              <w:rPr>
                <w:rFonts w:ascii="Arial" w:hAnsi="Arial" w:cs="Arial"/>
                <w:sz w:val="24"/>
                <w:szCs w:val="24"/>
              </w:rPr>
              <w:t>£564m</w:t>
            </w:r>
          </w:p>
        </w:tc>
        <w:tc>
          <w:tcPr>
            <w:tcW w:w="1226" w:type="pct"/>
            <w:tcBorders>
              <w:top w:val="nil"/>
              <w:bottom w:val="nil"/>
            </w:tcBorders>
          </w:tcPr>
          <w:p w:rsidR="007C228C" w:rsidRPr="007C228C" w:rsidRDefault="00FE0A69">
            <w:pPr>
              <w:jc w:val="right"/>
              <w:rPr>
                <w:rFonts w:ascii="Arial" w:hAnsi="Arial" w:cs="Arial"/>
                <w:sz w:val="24"/>
                <w:szCs w:val="24"/>
              </w:rPr>
            </w:pPr>
            <w:r>
              <w:rPr>
                <w:rFonts w:ascii="Arial" w:hAnsi="Arial" w:cs="Arial"/>
                <w:sz w:val="24"/>
                <w:szCs w:val="24"/>
              </w:rPr>
              <w:t>+2</w:t>
            </w:r>
            <w:r w:rsidR="00025774">
              <w:rPr>
                <w:rFonts w:ascii="Arial" w:hAnsi="Arial" w:cs="Arial"/>
                <w:sz w:val="24"/>
                <w:szCs w:val="24"/>
              </w:rPr>
              <w:t>5</w:t>
            </w:r>
            <w:r>
              <w:rPr>
                <w:rFonts w:ascii="Arial" w:hAnsi="Arial" w:cs="Arial"/>
                <w:sz w:val="24"/>
                <w:szCs w:val="24"/>
              </w:rPr>
              <w:t>.</w:t>
            </w:r>
            <w:r w:rsidR="00025774">
              <w:rPr>
                <w:rFonts w:ascii="Arial" w:hAnsi="Arial" w:cs="Arial"/>
                <w:sz w:val="24"/>
                <w:szCs w:val="24"/>
              </w:rPr>
              <w:t>9</w:t>
            </w:r>
            <w:r w:rsidR="007C228C" w:rsidRPr="007C228C">
              <w:rPr>
                <w:rFonts w:ascii="Arial" w:hAnsi="Arial" w:cs="Arial"/>
                <w:sz w:val="24"/>
                <w:szCs w:val="24"/>
              </w:rPr>
              <w:t>%</w:t>
            </w:r>
          </w:p>
        </w:tc>
      </w:tr>
      <w:tr w:rsidR="007C228C" w:rsidRPr="007C228C" w:rsidTr="007C228C">
        <w:tc>
          <w:tcPr>
            <w:tcW w:w="2264" w:type="pct"/>
            <w:tcBorders>
              <w:top w:val="nil"/>
            </w:tcBorders>
          </w:tcPr>
          <w:p w:rsidR="007C228C" w:rsidRPr="007C228C" w:rsidRDefault="007C228C" w:rsidP="00701EEA">
            <w:pPr>
              <w:jc w:val="left"/>
              <w:rPr>
                <w:rFonts w:ascii="Arial" w:hAnsi="Arial" w:cs="Arial"/>
                <w:sz w:val="24"/>
                <w:szCs w:val="24"/>
              </w:rPr>
            </w:pPr>
            <w:r w:rsidRPr="007C228C">
              <w:rPr>
                <w:rFonts w:ascii="Arial" w:hAnsi="Arial" w:cs="Arial"/>
                <w:sz w:val="24"/>
                <w:szCs w:val="24"/>
              </w:rPr>
              <w:t xml:space="preserve">Basic EPS </w:t>
            </w:r>
          </w:p>
        </w:tc>
        <w:tc>
          <w:tcPr>
            <w:tcW w:w="852" w:type="pct"/>
            <w:tcBorders>
              <w:top w:val="nil"/>
            </w:tcBorders>
          </w:tcPr>
          <w:p w:rsidR="007C228C" w:rsidRPr="007C228C" w:rsidDel="00FF703B" w:rsidRDefault="00FE0A69" w:rsidP="00F979C4">
            <w:pPr>
              <w:jc w:val="right"/>
              <w:rPr>
                <w:rFonts w:ascii="Arial" w:hAnsi="Arial" w:cs="Arial"/>
                <w:sz w:val="24"/>
                <w:szCs w:val="24"/>
              </w:rPr>
            </w:pPr>
            <w:r>
              <w:rPr>
                <w:rFonts w:ascii="Arial" w:hAnsi="Arial" w:cs="Arial"/>
                <w:sz w:val="24"/>
                <w:szCs w:val="24"/>
              </w:rPr>
              <w:t>30.</w:t>
            </w:r>
            <w:r w:rsidR="00025774">
              <w:rPr>
                <w:rFonts w:ascii="Arial" w:hAnsi="Arial" w:cs="Arial"/>
                <w:sz w:val="24"/>
                <w:szCs w:val="24"/>
              </w:rPr>
              <w:t>0</w:t>
            </w:r>
            <w:r w:rsidR="007C228C" w:rsidRPr="007C228C">
              <w:rPr>
                <w:rFonts w:ascii="Arial" w:hAnsi="Arial" w:cs="Arial"/>
                <w:sz w:val="24"/>
                <w:szCs w:val="24"/>
              </w:rPr>
              <w:t>p</w:t>
            </w:r>
          </w:p>
        </w:tc>
        <w:tc>
          <w:tcPr>
            <w:tcW w:w="658" w:type="pct"/>
            <w:tcBorders>
              <w:top w:val="nil"/>
            </w:tcBorders>
          </w:tcPr>
          <w:p w:rsidR="007C228C" w:rsidRPr="007C228C" w:rsidDel="00FF703B" w:rsidRDefault="007C228C" w:rsidP="00AC5413">
            <w:pPr>
              <w:jc w:val="right"/>
              <w:rPr>
                <w:rFonts w:ascii="Arial" w:hAnsi="Arial" w:cs="Arial"/>
                <w:sz w:val="24"/>
                <w:szCs w:val="24"/>
              </w:rPr>
            </w:pPr>
            <w:r w:rsidRPr="007C228C">
              <w:rPr>
                <w:rFonts w:ascii="Arial" w:hAnsi="Arial" w:cs="Arial"/>
                <w:sz w:val="24"/>
                <w:szCs w:val="24"/>
              </w:rPr>
              <w:t>24.1p</w:t>
            </w:r>
          </w:p>
        </w:tc>
        <w:tc>
          <w:tcPr>
            <w:tcW w:w="1226" w:type="pct"/>
            <w:tcBorders>
              <w:top w:val="nil"/>
            </w:tcBorders>
          </w:tcPr>
          <w:p w:rsidR="007C228C" w:rsidRPr="007C228C" w:rsidRDefault="00FE0A69" w:rsidP="00F979C4">
            <w:pPr>
              <w:jc w:val="right"/>
              <w:rPr>
                <w:rFonts w:ascii="Arial" w:hAnsi="Arial" w:cs="Arial"/>
                <w:sz w:val="24"/>
                <w:szCs w:val="24"/>
                <w:highlight w:val="yellow"/>
              </w:rPr>
            </w:pPr>
            <w:r>
              <w:rPr>
                <w:rFonts w:ascii="Arial" w:hAnsi="Arial" w:cs="Arial"/>
                <w:sz w:val="24"/>
                <w:szCs w:val="24"/>
              </w:rPr>
              <w:t>+24.</w:t>
            </w:r>
            <w:r w:rsidR="00025774">
              <w:rPr>
                <w:rFonts w:ascii="Arial" w:hAnsi="Arial" w:cs="Arial"/>
                <w:sz w:val="24"/>
                <w:szCs w:val="24"/>
              </w:rPr>
              <w:t>5</w:t>
            </w:r>
            <w:r w:rsidR="007C228C" w:rsidRPr="007C228C">
              <w:rPr>
                <w:rFonts w:ascii="Arial" w:hAnsi="Arial" w:cs="Arial"/>
                <w:sz w:val="24"/>
                <w:szCs w:val="24"/>
              </w:rPr>
              <w:t>%</w:t>
            </w:r>
          </w:p>
        </w:tc>
      </w:tr>
    </w:tbl>
    <w:p w:rsidR="00CE40BE" w:rsidRPr="007C228C" w:rsidRDefault="00181E03" w:rsidP="00C02E76">
      <w:pPr>
        <w:jc w:val="left"/>
        <w:rPr>
          <w:rFonts w:ascii="Arial" w:hAnsi="Arial" w:cs="Arial"/>
          <w:b/>
          <w:bCs/>
          <w:sz w:val="24"/>
          <w:szCs w:val="24"/>
        </w:rPr>
      </w:pPr>
      <w:r w:rsidRPr="007C228C">
        <w:rPr>
          <w:rFonts w:ascii="Arial" w:hAnsi="Arial" w:cs="Arial"/>
          <w:i/>
          <w:iCs/>
          <w:sz w:val="18"/>
          <w:szCs w:val="18"/>
        </w:rPr>
        <w:t>Note: A reconciliation to adjusted measures above is set out in the Financial Review</w:t>
      </w:r>
      <w:r w:rsidR="00107924" w:rsidRPr="007C228C">
        <w:rPr>
          <w:rFonts w:ascii="Arial" w:hAnsi="Arial" w:cs="Arial"/>
          <w:i/>
          <w:iCs/>
          <w:sz w:val="18"/>
          <w:szCs w:val="18"/>
        </w:rPr>
        <w:t xml:space="preserve"> (Section</w:t>
      </w:r>
      <w:r w:rsidR="00B11B25" w:rsidRPr="007C228C">
        <w:rPr>
          <w:rFonts w:ascii="Arial" w:hAnsi="Arial" w:cs="Arial"/>
          <w:i/>
          <w:iCs/>
          <w:sz w:val="18"/>
          <w:szCs w:val="18"/>
        </w:rPr>
        <w:t xml:space="preserve"> </w:t>
      </w:r>
      <w:r w:rsidR="00616DB8" w:rsidRPr="007C228C">
        <w:rPr>
          <w:rFonts w:ascii="Arial" w:hAnsi="Arial" w:cs="Arial"/>
          <w:i/>
          <w:iCs/>
          <w:sz w:val="18"/>
          <w:szCs w:val="18"/>
        </w:rPr>
        <w:t>4</w:t>
      </w:r>
      <w:r w:rsidR="0005796C" w:rsidRPr="007C228C">
        <w:rPr>
          <w:rFonts w:ascii="Arial" w:hAnsi="Arial" w:cs="Arial"/>
          <w:i/>
          <w:iCs/>
          <w:sz w:val="18"/>
          <w:szCs w:val="18"/>
        </w:rPr>
        <w:t xml:space="preserve">). </w:t>
      </w:r>
    </w:p>
    <w:p w:rsidR="00376255" w:rsidRPr="00137F69" w:rsidRDefault="00C11B6A" w:rsidP="00B24372">
      <w:pPr>
        <w:rPr>
          <w:rFonts w:ascii="Arial" w:hAnsi="Arial" w:cs="Arial"/>
          <w:b/>
          <w:bCs/>
          <w:sz w:val="24"/>
          <w:szCs w:val="24"/>
        </w:rPr>
      </w:pPr>
      <w:r w:rsidRPr="00137F69">
        <w:rPr>
          <w:rFonts w:ascii="Arial" w:hAnsi="Arial" w:cs="Arial"/>
          <w:b/>
          <w:bCs/>
          <w:sz w:val="24"/>
          <w:szCs w:val="24"/>
        </w:rPr>
        <w:lastRenderedPageBreak/>
        <w:t>Kingfisher’s Group Chief Executive, Sir Ian Cheshire, said;</w:t>
      </w:r>
    </w:p>
    <w:p w:rsidR="00C11B6A" w:rsidRDefault="00C11B6A" w:rsidP="00B24372">
      <w:pPr>
        <w:rPr>
          <w:rFonts w:ascii="Arial" w:hAnsi="Arial" w:cs="Arial"/>
          <w:bCs/>
          <w:sz w:val="24"/>
          <w:szCs w:val="24"/>
        </w:rPr>
      </w:pPr>
    </w:p>
    <w:p w:rsidR="00790367" w:rsidRDefault="00230F47" w:rsidP="00790367">
      <w:pPr>
        <w:jc w:val="left"/>
        <w:rPr>
          <w:rFonts w:ascii="Arial" w:hAnsi="Arial" w:cs="Arial"/>
          <w:bCs/>
          <w:sz w:val="24"/>
          <w:szCs w:val="24"/>
        </w:rPr>
      </w:pPr>
      <w:r>
        <w:rPr>
          <w:rFonts w:ascii="Arial" w:hAnsi="Arial" w:cs="Arial"/>
          <w:bCs/>
          <w:sz w:val="24"/>
          <w:szCs w:val="24"/>
        </w:rPr>
        <w:t>“</w:t>
      </w:r>
      <w:r w:rsidR="00790367">
        <w:rPr>
          <w:rFonts w:ascii="Arial" w:hAnsi="Arial" w:cs="Arial"/>
          <w:bCs/>
          <w:sz w:val="24"/>
          <w:szCs w:val="24"/>
        </w:rPr>
        <w:t xml:space="preserve">We </w:t>
      </w:r>
      <w:r w:rsidR="00CC278B">
        <w:rPr>
          <w:rFonts w:ascii="Arial" w:hAnsi="Arial" w:cs="Arial"/>
          <w:bCs/>
          <w:sz w:val="24"/>
          <w:szCs w:val="24"/>
        </w:rPr>
        <w:t>finish</w:t>
      </w:r>
      <w:r w:rsidR="00790367">
        <w:rPr>
          <w:rFonts w:ascii="Arial" w:hAnsi="Arial" w:cs="Arial"/>
          <w:bCs/>
          <w:sz w:val="24"/>
          <w:szCs w:val="24"/>
        </w:rPr>
        <w:t xml:space="preserve"> a challenging year </w:t>
      </w:r>
      <w:r w:rsidR="00825029">
        <w:rPr>
          <w:rFonts w:ascii="Arial" w:hAnsi="Arial" w:cs="Arial"/>
          <w:bCs/>
          <w:sz w:val="24"/>
          <w:szCs w:val="24"/>
        </w:rPr>
        <w:t xml:space="preserve">in </w:t>
      </w:r>
      <w:r w:rsidR="00790367">
        <w:rPr>
          <w:rFonts w:ascii="Arial" w:hAnsi="Arial" w:cs="Arial"/>
          <w:bCs/>
          <w:sz w:val="24"/>
          <w:szCs w:val="24"/>
        </w:rPr>
        <w:t xml:space="preserve">good </w:t>
      </w:r>
      <w:r w:rsidR="00825029">
        <w:rPr>
          <w:rFonts w:ascii="Arial" w:hAnsi="Arial" w:cs="Arial"/>
          <w:bCs/>
          <w:sz w:val="24"/>
          <w:szCs w:val="24"/>
        </w:rPr>
        <w:t>shape, with our self</w:t>
      </w:r>
      <w:r w:rsidR="00790367">
        <w:rPr>
          <w:rFonts w:ascii="Arial" w:hAnsi="Arial" w:cs="Arial"/>
          <w:bCs/>
          <w:sz w:val="24"/>
          <w:szCs w:val="24"/>
        </w:rPr>
        <w:t>-</w:t>
      </w:r>
      <w:r w:rsidR="00825029">
        <w:rPr>
          <w:rFonts w:ascii="Arial" w:hAnsi="Arial" w:cs="Arial"/>
          <w:bCs/>
          <w:sz w:val="24"/>
          <w:szCs w:val="24"/>
        </w:rPr>
        <w:t>help programme meaning we have grown profit</w:t>
      </w:r>
      <w:r w:rsidR="00B47BF6">
        <w:rPr>
          <w:rFonts w:ascii="Arial" w:hAnsi="Arial" w:cs="Arial"/>
          <w:bCs/>
          <w:sz w:val="24"/>
          <w:szCs w:val="24"/>
        </w:rPr>
        <w:t xml:space="preserve"> and economic return,</w:t>
      </w:r>
      <w:r w:rsidR="00790367">
        <w:rPr>
          <w:rFonts w:ascii="Arial" w:hAnsi="Arial" w:cs="Arial"/>
          <w:bCs/>
          <w:sz w:val="24"/>
          <w:szCs w:val="24"/>
        </w:rPr>
        <w:t xml:space="preserve"> </w:t>
      </w:r>
      <w:r w:rsidR="00825029">
        <w:rPr>
          <w:rFonts w:ascii="Arial" w:hAnsi="Arial" w:cs="Arial"/>
          <w:bCs/>
          <w:sz w:val="24"/>
          <w:szCs w:val="24"/>
        </w:rPr>
        <w:t xml:space="preserve">improved our balance sheet strength </w:t>
      </w:r>
      <w:r w:rsidR="00790367">
        <w:rPr>
          <w:rFonts w:ascii="Arial" w:hAnsi="Arial" w:cs="Arial"/>
          <w:bCs/>
          <w:sz w:val="24"/>
          <w:szCs w:val="24"/>
        </w:rPr>
        <w:t xml:space="preserve">whilst </w:t>
      </w:r>
      <w:r w:rsidR="00825029">
        <w:rPr>
          <w:rFonts w:ascii="Arial" w:hAnsi="Arial" w:cs="Arial"/>
          <w:bCs/>
          <w:sz w:val="24"/>
          <w:szCs w:val="24"/>
        </w:rPr>
        <w:t xml:space="preserve">also </w:t>
      </w:r>
      <w:r w:rsidR="00790367">
        <w:rPr>
          <w:rFonts w:ascii="Arial" w:hAnsi="Arial" w:cs="Arial"/>
          <w:bCs/>
          <w:sz w:val="24"/>
          <w:szCs w:val="24"/>
        </w:rPr>
        <w:t xml:space="preserve">investing in lower </w:t>
      </w:r>
      <w:r w:rsidR="00825029">
        <w:rPr>
          <w:rFonts w:ascii="Arial" w:hAnsi="Arial" w:cs="Arial"/>
          <w:bCs/>
          <w:sz w:val="24"/>
          <w:szCs w:val="24"/>
        </w:rPr>
        <w:t>prices</w:t>
      </w:r>
      <w:r w:rsidR="00790367">
        <w:rPr>
          <w:rFonts w:ascii="Arial" w:hAnsi="Arial" w:cs="Arial"/>
          <w:bCs/>
          <w:sz w:val="24"/>
          <w:szCs w:val="24"/>
        </w:rPr>
        <w:t xml:space="preserve"> for our customers and</w:t>
      </w:r>
      <w:r w:rsidR="00825029">
        <w:rPr>
          <w:rFonts w:ascii="Arial" w:hAnsi="Arial" w:cs="Arial"/>
          <w:bCs/>
          <w:sz w:val="24"/>
          <w:szCs w:val="24"/>
        </w:rPr>
        <w:t xml:space="preserve"> improve</w:t>
      </w:r>
      <w:r w:rsidR="00790367">
        <w:rPr>
          <w:rFonts w:ascii="Arial" w:hAnsi="Arial" w:cs="Arial"/>
          <w:bCs/>
          <w:sz w:val="24"/>
          <w:szCs w:val="24"/>
        </w:rPr>
        <w:t>d</w:t>
      </w:r>
      <w:r w:rsidR="00825029">
        <w:rPr>
          <w:rFonts w:ascii="Arial" w:hAnsi="Arial" w:cs="Arial"/>
          <w:bCs/>
          <w:sz w:val="24"/>
          <w:szCs w:val="24"/>
        </w:rPr>
        <w:t xml:space="preserve"> convenience</w:t>
      </w:r>
      <w:r w:rsidR="00790367">
        <w:rPr>
          <w:rFonts w:ascii="Arial" w:hAnsi="Arial" w:cs="Arial"/>
          <w:bCs/>
          <w:sz w:val="24"/>
          <w:szCs w:val="24"/>
        </w:rPr>
        <w:t xml:space="preserve">. The </w:t>
      </w:r>
      <w:r w:rsidR="00CC278B">
        <w:rPr>
          <w:rFonts w:ascii="Arial" w:hAnsi="Arial" w:cs="Arial"/>
          <w:bCs/>
          <w:sz w:val="24"/>
          <w:szCs w:val="24"/>
        </w:rPr>
        <w:t>economic</w:t>
      </w:r>
      <w:r w:rsidR="00790367">
        <w:rPr>
          <w:rFonts w:ascii="Arial" w:hAnsi="Arial" w:cs="Arial"/>
          <w:bCs/>
          <w:sz w:val="24"/>
          <w:szCs w:val="24"/>
        </w:rPr>
        <w:t xml:space="preserve"> backdrop was generally soft across Europe for much of the year, particularly in France, our most significant market.</w:t>
      </w:r>
    </w:p>
    <w:p w:rsidR="00790367" w:rsidRDefault="00790367" w:rsidP="00790367">
      <w:pPr>
        <w:jc w:val="left"/>
        <w:rPr>
          <w:rFonts w:ascii="Arial" w:hAnsi="Arial" w:cs="Arial"/>
          <w:bCs/>
          <w:sz w:val="24"/>
          <w:szCs w:val="24"/>
        </w:rPr>
      </w:pPr>
    </w:p>
    <w:p w:rsidR="00C11B6A" w:rsidRPr="00C11B6A" w:rsidRDefault="00230F47" w:rsidP="00790367">
      <w:pPr>
        <w:jc w:val="left"/>
        <w:rPr>
          <w:rFonts w:ascii="Arial" w:hAnsi="Arial" w:cs="Arial"/>
          <w:bCs/>
          <w:sz w:val="24"/>
          <w:szCs w:val="24"/>
        </w:rPr>
      </w:pPr>
      <w:r>
        <w:rPr>
          <w:rFonts w:ascii="Arial" w:hAnsi="Arial" w:cs="Arial"/>
          <w:bCs/>
          <w:sz w:val="24"/>
          <w:szCs w:val="24"/>
        </w:rPr>
        <w:t>“</w:t>
      </w:r>
      <w:r w:rsidR="00825029">
        <w:rPr>
          <w:rFonts w:ascii="Arial" w:hAnsi="Arial" w:cs="Arial"/>
          <w:bCs/>
          <w:sz w:val="24"/>
          <w:szCs w:val="24"/>
        </w:rPr>
        <w:t>Looking ahead we are well placed to benefit from a pick</w:t>
      </w:r>
      <w:r w:rsidR="00CA4CAD">
        <w:rPr>
          <w:rFonts w:ascii="Arial" w:hAnsi="Arial" w:cs="Arial"/>
          <w:bCs/>
          <w:sz w:val="24"/>
          <w:szCs w:val="24"/>
        </w:rPr>
        <w:t>-</w:t>
      </w:r>
      <w:r w:rsidR="00825029">
        <w:rPr>
          <w:rFonts w:ascii="Arial" w:hAnsi="Arial" w:cs="Arial"/>
          <w:bCs/>
          <w:sz w:val="24"/>
          <w:szCs w:val="24"/>
        </w:rPr>
        <w:t>up in consumer spending</w:t>
      </w:r>
      <w:r w:rsidR="00CA4CAD">
        <w:rPr>
          <w:rFonts w:ascii="Arial" w:hAnsi="Arial" w:cs="Arial"/>
          <w:bCs/>
          <w:sz w:val="24"/>
          <w:szCs w:val="24"/>
        </w:rPr>
        <w:t xml:space="preserve"> as E</w:t>
      </w:r>
      <w:r w:rsidR="00825029">
        <w:rPr>
          <w:rFonts w:ascii="Arial" w:hAnsi="Arial" w:cs="Arial"/>
          <w:bCs/>
          <w:sz w:val="24"/>
          <w:szCs w:val="24"/>
        </w:rPr>
        <w:t>urope</w:t>
      </w:r>
      <w:r w:rsidR="00CA4CAD">
        <w:rPr>
          <w:rFonts w:ascii="Arial" w:hAnsi="Arial" w:cs="Arial"/>
          <w:bCs/>
          <w:sz w:val="24"/>
          <w:szCs w:val="24"/>
        </w:rPr>
        <w:t>’</w:t>
      </w:r>
      <w:r w:rsidR="00825029">
        <w:rPr>
          <w:rFonts w:ascii="Arial" w:hAnsi="Arial" w:cs="Arial"/>
          <w:bCs/>
          <w:sz w:val="24"/>
          <w:szCs w:val="24"/>
        </w:rPr>
        <w:t>s economies return to growth.</w:t>
      </w:r>
      <w:r w:rsidR="00137F69">
        <w:rPr>
          <w:rFonts w:ascii="Arial" w:hAnsi="Arial" w:cs="Arial"/>
          <w:bCs/>
          <w:sz w:val="24"/>
          <w:szCs w:val="24"/>
        </w:rPr>
        <w:t xml:space="preserve"> Our prospects remain bright, giving us confidence to invest in the </w:t>
      </w:r>
      <w:r w:rsidR="00790367">
        <w:rPr>
          <w:rFonts w:ascii="Arial" w:hAnsi="Arial" w:cs="Arial"/>
          <w:bCs/>
          <w:sz w:val="24"/>
          <w:szCs w:val="24"/>
        </w:rPr>
        <w:t>business</w:t>
      </w:r>
      <w:r w:rsidR="00DF22CE">
        <w:rPr>
          <w:rFonts w:ascii="Arial" w:hAnsi="Arial" w:cs="Arial"/>
          <w:bCs/>
          <w:sz w:val="24"/>
          <w:szCs w:val="24"/>
        </w:rPr>
        <w:t xml:space="preserve"> and actively manage our portfolio, including</w:t>
      </w:r>
      <w:r w:rsidR="00137F69">
        <w:rPr>
          <w:rFonts w:ascii="Arial" w:hAnsi="Arial" w:cs="Arial"/>
          <w:bCs/>
          <w:sz w:val="24"/>
          <w:szCs w:val="24"/>
        </w:rPr>
        <w:t xml:space="preserve"> </w:t>
      </w:r>
      <w:r w:rsidR="00790367">
        <w:rPr>
          <w:rFonts w:ascii="Arial" w:hAnsi="Arial" w:cs="Arial"/>
          <w:bCs/>
          <w:sz w:val="24"/>
          <w:szCs w:val="24"/>
        </w:rPr>
        <w:t>expand</w:t>
      </w:r>
      <w:r w:rsidR="00DF22CE">
        <w:rPr>
          <w:rFonts w:ascii="Arial" w:hAnsi="Arial" w:cs="Arial"/>
          <w:bCs/>
          <w:sz w:val="24"/>
          <w:szCs w:val="24"/>
        </w:rPr>
        <w:t>ing</w:t>
      </w:r>
      <w:r w:rsidR="00790367">
        <w:rPr>
          <w:rFonts w:ascii="Arial" w:hAnsi="Arial" w:cs="Arial"/>
          <w:bCs/>
          <w:sz w:val="24"/>
          <w:szCs w:val="24"/>
        </w:rPr>
        <w:t xml:space="preserve"> into new markets</w:t>
      </w:r>
      <w:r>
        <w:rPr>
          <w:rFonts w:ascii="Arial" w:hAnsi="Arial" w:cs="Arial"/>
          <w:bCs/>
          <w:sz w:val="24"/>
          <w:szCs w:val="24"/>
        </w:rPr>
        <w:t>,</w:t>
      </w:r>
      <w:r w:rsidR="00137F69">
        <w:rPr>
          <w:rFonts w:ascii="Arial" w:hAnsi="Arial" w:cs="Arial"/>
          <w:bCs/>
          <w:sz w:val="24"/>
          <w:szCs w:val="24"/>
        </w:rPr>
        <w:t xml:space="preserve"> whilst also commencing a programme of </w:t>
      </w:r>
      <w:r w:rsidR="00CC278B">
        <w:rPr>
          <w:rFonts w:ascii="Arial" w:hAnsi="Arial" w:cs="Arial"/>
          <w:bCs/>
          <w:sz w:val="24"/>
          <w:szCs w:val="24"/>
        </w:rPr>
        <w:t xml:space="preserve">returning </w:t>
      </w:r>
      <w:r w:rsidR="00137F69">
        <w:rPr>
          <w:rFonts w:ascii="Arial" w:hAnsi="Arial" w:cs="Arial"/>
          <w:bCs/>
          <w:sz w:val="24"/>
          <w:szCs w:val="24"/>
        </w:rPr>
        <w:t xml:space="preserve">surplus capital </w:t>
      </w:r>
      <w:r w:rsidR="00CC278B">
        <w:rPr>
          <w:rFonts w:ascii="Arial" w:hAnsi="Arial" w:cs="Arial"/>
          <w:bCs/>
          <w:sz w:val="24"/>
          <w:szCs w:val="24"/>
        </w:rPr>
        <w:t>to</w:t>
      </w:r>
      <w:r w:rsidR="00137F69">
        <w:rPr>
          <w:rFonts w:ascii="Arial" w:hAnsi="Arial" w:cs="Arial"/>
          <w:bCs/>
          <w:sz w:val="24"/>
          <w:szCs w:val="24"/>
        </w:rPr>
        <w:t xml:space="preserve"> our shareholders</w:t>
      </w:r>
      <w:r w:rsidR="00CC278B">
        <w:rPr>
          <w:rFonts w:ascii="Arial" w:hAnsi="Arial" w:cs="Arial"/>
          <w:bCs/>
          <w:sz w:val="24"/>
          <w:szCs w:val="24"/>
        </w:rPr>
        <w:t>,</w:t>
      </w:r>
      <w:r w:rsidR="00137F69">
        <w:rPr>
          <w:rFonts w:ascii="Arial" w:hAnsi="Arial" w:cs="Arial"/>
          <w:bCs/>
          <w:sz w:val="24"/>
          <w:szCs w:val="24"/>
        </w:rPr>
        <w:t xml:space="preserve"> alongside the healthy </w:t>
      </w:r>
      <w:r w:rsidR="00CA4CAD">
        <w:rPr>
          <w:rFonts w:ascii="Arial" w:hAnsi="Arial" w:cs="Arial"/>
          <w:bCs/>
          <w:sz w:val="24"/>
          <w:szCs w:val="24"/>
        </w:rPr>
        <w:t>annual dividend</w:t>
      </w:r>
      <w:r w:rsidR="00137F69">
        <w:rPr>
          <w:rFonts w:ascii="Arial" w:hAnsi="Arial" w:cs="Arial"/>
          <w:bCs/>
          <w:sz w:val="24"/>
          <w:szCs w:val="24"/>
        </w:rPr>
        <w:t>.</w:t>
      </w:r>
      <w:r>
        <w:rPr>
          <w:rFonts w:ascii="Arial" w:hAnsi="Arial" w:cs="Arial"/>
          <w:bCs/>
          <w:sz w:val="24"/>
          <w:szCs w:val="24"/>
        </w:rPr>
        <w:t>”</w:t>
      </w:r>
    </w:p>
    <w:p w:rsidR="00376255" w:rsidRPr="00EA6927" w:rsidRDefault="00376255" w:rsidP="00AD5BF9">
      <w:pPr>
        <w:jc w:val="left"/>
        <w:rPr>
          <w:rFonts w:ascii="Arial" w:hAnsi="Arial" w:cs="Arial"/>
          <w:b/>
          <w:bCs/>
          <w:sz w:val="24"/>
          <w:szCs w:val="24"/>
        </w:rPr>
      </w:pPr>
    </w:p>
    <w:p w:rsidR="00181E03" w:rsidRPr="00376255" w:rsidRDefault="00181E03" w:rsidP="00AD5BF9">
      <w:pPr>
        <w:jc w:val="left"/>
        <w:rPr>
          <w:rFonts w:ascii="Arial" w:hAnsi="Arial" w:cs="Arial"/>
          <w:sz w:val="24"/>
          <w:szCs w:val="24"/>
        </w:rPr>
      </w:pPr>
      <w:r w:rsidRPr="007C228C">
        <w:rPr>
          <w:rFonts w:ascii="Arial" w:hAnsi="Arial" w:cs="Arial"/>
          <w:b/>
          <w:bCs/>
          <w:sz w:val="24"/>
          <w:szCs w:val="24"/>
          <w:lang w:val="fr-FR"/>
        </w:rPr>
        <w:t>Enquiries:</w:t>
      </w:r>
    </w:p>
    <w:p w:rsidR="008E7383" w:rsidRPr="007C228C" w:rsidRDefault="008E7383" w:rsidP="00AD5BF9">
      <w:pPr>
        <w:jc w:val="left"/>
        <w:rPr>
          <w:rFonts w:ascii="Arial" w:hAnsi="Arial" w:cs="Arial"/>
          <w:b/>
          <w:bCs/>
          <w:sz w:val="24"/>
          <w:szCs w:val="24"/>
          <w:lang w:val="fr-FR"/>
        </w:rPr>
      </w:pPr>
    </w:p>
    <w:tbl>
      <w:tblPr>
        <w:tblW w:w="4839"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06"/>
        <w:gridCol w:w="2615"/>
      </w:tblGrid>
      <w:tr w:rsidR="007C228C" w:rsidRPr="007C228C">
        <w:tc>
          <w:tcPr>
            <w:tcW w:w="3597" w:type="pct"/>
            <w:tcBorders>
              <w:top w:val="single" w:sz="4" w:space="0" w:color="auto"/>
            </w:tcBorders>
          </w:tcPr>
          <w:p w:rsidR="00181E03" w:rsidRPr="007C228C" w:rsidRDefault="00181E03" w:rsidP="008E3324">
            <w:pPr>
              <w:jc w:val="left"/>
              <w:rPr>
                <w:rFonts w:ascii="Arial" w:hAnsi="Arial" w:cs="Arial"/>
                <w:sz w:val="24"/>
                <w:szCs w:val="24"/>
              </w:rPr>
            </w:pPr>
            <w:r w:rsidRPr="007C228C">
              <w:rPr>
                <w:rFonts w:ascii="Arial" w:hAnsi="Arial" w:cs="Arial"/>
                <w:sz w:val="24"/>
                <w:szCs w:val="24"/>
              </w:rPr>
              <w:t>Ian Harding, Group Communications Director</w:t>
            </w:r>
          </w:p>
        </w:tc>
        <w:tc>
          <w:tcPr>
            <w:tcW w:w="1403" w:type="pct"/>
            <w:tcBorders>
              <w:top w:val="single" w:sz="4" w:space="0" w:color="auto"/>
            </w:tcBorders>
          </w:tcPr>
          <w:p w:rsidR="00181E03" w:rsidRPr="007C228C" w:rsidRDefault="00181E03" w:rsidP="00F979C4">
            <w:pPr>
              <w:jc w:val="right"/>
              <w:rPr>
                <w:rFonts w:ascii="Arial" w:hAnsi="Arial" w:cs="Arial"/>
                <w:sz w:val="24"/>
                <w:szCs w:val="24"/>
              </w:rPr>
            </w:pPr>
            <w:r w:rsidRPr="007C228C">
              <w:rPr>
                <w:rFonts w:ascii="Arial" w:hAnsi="Arial" w:cs="Arial"/>
                <w:sz w:val="24"/>
                <w:szCs w:val="24"/>
              </w:rPr>
              <w:t>020 7644 1029</w:t>
            </w:r>
          </w:p>
        </w:tc>
      </w:tr>
      <w:tr w:rsidR="007C228C" w:rsidRPr="007C228C" w:rsidTr="00033D68">
        <w:trPr>
          <w:trHeight w:val="57"/>
        </w:trPr>
        <w:tc>
          <w:tcPr>
            <w:tcW w:w="3597" w:type="pct"/>
          </w:tcPr>
          <w:p w:rsidR="00181E03" w:rsidRPr="007C228C" w:rsidRDefault="00181E03" w:rsidP="008E3324">
            <w:pPr>
              <w:jc w:val="left"/>
              <w:rPr>
                <w:rFonts w:ascii="Arial" w:hAnsi="Arial" w:cs="Arial"/>
                <w:sz w:val="16"/>
                <w:szCs w:val="16"/>
              </w:rPr>
            </w:pPr>
          </w:p>
        </w:tc>
        <w:tc>
          <w:tcPr>
            <w:tcW w:w="1403" w:type="pct"/>
          </w:tcPr>
          <w:p w:rsidR="00181E03" w:rsidRPr="007C228C" w:rsidRDefault="00181E03" w:rsidP="00F979C4">
            <w:pPr>
              <w:jc w:val="right"/>
              <w:rPr>
                <w:rFonts w:ascii="Arial" w:hAnsi="Arial" w:cs="Arial"/>
                <w:sz w:val="16"/>
                <w:szCs w:val="16"/>
              </w:rPr>
            </w:pPr>
          </w:p>
        </w:tc>
      </w:tr>
      <w:tr w:rsidR="007C228C" w:rsidRPr="007C228C">
        <w:tc>
          <w:tcPr>
            <w:tcW w:w="3597" w:type="pct"/>
          </w:tcPr>
          <w:p w:rsidR="00181E03" w:rsidRPr="007C228C" w:rsidRDefault="00181E03" w:rsidP="008E3324">
            <w:pPr>
              <w:jc w:val="left"/>
              <w:rPr>
                <w:rFonts w:ascii="Arial" w:hAnsi="Arial" w:cs="Arial"/>
                <w:sz w:val="24"/>
                <w:szCs w:val="24"/>
              </w:rPr>
            </w:pPr>
            <w:r w:rsidRPr="007C228C">
              <w:rPr>
                <w:rFonts w:ascii="Arial" w:hAnsi="Arial" w:cs="Arial"/>
                <w:sz w:val="24"/>
                <w:szCs w:val="24"/>
              </w:rPr>
              <w:t xml:space="preserve">Sarah </w:t>
            </w:r>
            <w:r w:rsidR="00FE57F9" w:rsidRPr="007C228C">
              <w:rPr>
                <w:rFonts w:ascii="Arial" w:hAnsi="Arial" w:cs="Arial"/>
                <w:sz w:val="24"/>
                <w:szCs w:val="24"/>
              </w:rPr>
              <w:t>Levy</w:t>
            </w:r>
            <w:r w:rsidR="007C228C" w:rsidRPr="007C228C">
              <w:rPr>
                <w:rFonts w:ascii="Arial" w:hAnsi="Arial" w:cs="Arial"/>
                <w:sz w:val="24"/>
                <w:szCs w:val="24"/>
              </w:rPr>
              <w:t>, Director</w:t>
            </w:r>
            <w:r w:rsidRPr="007C228C">
              <w:rPr>
                <w:rFonts w:ascii="Arial" w:hAnsi="Arial" w:cs="Arial"/>
                <w:sz w:val="24"/>
                <w:szCs w:val="24"/>
              </w:rPr>
              <w:t xml:space="preserve"> of Investor Relations</w:t>
            </w:r>
          </w:p>
        </w:tc>
        <w:tc>
          <w:tcPr>
            <w:tcW w:w="1403" w:type="pct"/>
          </w:tcPr>
          <w:p w:rsidR="00181E03" w:rsidRPr="007C228C" w:rsidRDefault="00181E03" w:rsidP="00F979C4">
            <w:pPr>
              <w:jc w:val="right"/>
              <w:rPr>
                <w:rFonts w:ascii="Arial" w:hAnsi="Arial" w:cs="Arial"/>
                <w:sz w:val="24"/>
                <w:szCs w:val="24"/>
              </w:rPr>
            </w:pPr>
            <w:r w:rsidRPr="007C228C">
              <w:rPr>
                <w:rFonts w:ascii="Arial" w:hAnsi="Arial" w:cs="Arial"/>
                <w:sz w:val="24"/>
                <w:szCs w:val="24"/>
              </w:rPr>
              <w:t>020 7644 1032</w:t>
            </w:r>
          </w:p>
        </w:tc>
      </w:tr>
      <w:tr w:rsidR="007C228C" w:rsidRPr="007C228C">
        <w:tc>
          <w:tcPr>
            <w:tcW w:w="3597" w:type="pct"/>
          </w:tcPr>
          <w:p w:rsidR="00181E03" w:rsidRPr="007C228C" w:rsidRDefault="00181E03" w:rsidP="008E3324">
            <w:pPr>
              <w:jc w:val="left"/>
              <w:rPr>
                <w:rFonts w:ascii="Arial" w:hAnsi="Arial" w:cs="Arial"/>
                <w:sz w:val="16"/>
                <w:szCs w:val="16"/>
              </w:rPr>
            </w:pPr>
          </w:p>
        </w:tc>
        <w:tc>
          <w:tcPr>
            <w:tcW w:w="1403" w:type="pct"/>
          </w:tcPr>
          <w:p w:rsidR="00181E03" w:rsidRPr="007C228C" w:rsidRDefault="00181E03" w:rsidP="00F979C4">
            <w:pPr>
              <w:jc w:val="right"/>
              <w:rPr>
                <w:rFonts w:ascii="Arial" w:hAnsi="Arial" w:cs="Arial"/>
                <w:sz w:val="16"/>
                <w:szCs w:val="16"/>
              </w:rPr>
            </w:pPr>
          </w:p>
        </w:tc>
      </w:tr>
      <w:tr w:rsidR="007C228C" w:rsidRPr="007C228C">
        <w:tc>
          <w:tcPr>
            <w:tcW w:w="3597" w:type="pct"/>
          </w:tcPr>
          <w:p w:rsidR="00181E03" w:rsidRPr="007C228C" w:rsidRDefault="00181E03" w:rsidP="008E3324">
            <w:pPr>
              <w:jc w:val="left"/>
              <w:rPr>
                <w:rFonts w:ascii="Arial" w:hAnsi="Arial" w:cs="Arial"/>
                <w:sz w:val="24"/>
                <w:szCs w:val="24"/>
              </w:rPr>
            </w:pPr>
            <w:r w:rsidRPr="007C228C">
              <w:rPr>
                <w:rFonts w:ascii="Arial" w:hAnsi="Arial" w:cs="Arial"/>
                <w:sz w:val="24"/>
                <w:szCs w:val="24"/>
              </w:rPr>
              <w:t>Nigel Cope, Head of Media Relations</w:t>
            </w:r>
          </w:p>
        </w:tc>
        <w:tc>
          <w:tcPr>
            <w:tcW w:w="1403" w:type="pct"/>
          </w:tcPr>
          <w:p w:rsidR="00181E03" w:rsidRPr="007C228C" w:rsidRDefault="00181E03" w:rsidP="00F979C4">
            <w:pPr>
              <w:jc w:val="right"/>
              <w:rPr>
                <w:rFonts w:ascii="Arial" w:hAnsi="Arial" w:cs="Arial"/>
                <w:sz w:val="24"/>
                <w:szCs w:val="24"/>
              </w:rPr>
            </w:pPr>
            <w:r w:rsidRPr="007C228C">
              <w:rPr>
                <w:rFonts w:ascii="Arial" w:hAnsi="Arial" w:cs="Arial"/>
                <w:sz w:val="24"/>
                <w:szCs w:val="24"/>
              </w:rPr>
              <w:t>020 7644 1030</w:t>
            </w:r>
          </w:p>
        </w:tc>
      </w:tr>
      <w:tr w:rsidR="007C228C" w:rsidRPr="007C228C">
        <w:tc>
          <w:tcPr>
            <w:tcW w:w="3597" w:type="pct"/>
          </w:tcPr>
          <w:p w:rsidR="00C34F2D" w:rsidRPr="007C228C" w:rsidRDefault="00C34F2D" w:rsidP="008E3324">
            <w:pPr>
              <w:jc w:val="left"/>
              <w:rPr>
                <w:rFonts w:ascii="Arial" w:hAnsi="Arial" w:cs="Arial"/>
                <w:sz w:val="16"/>
                <w:szCs w:val="16"/>
              </w:rPr>
            </w:pPr>
          </w:p>
        </w:tc>
        <w:tc>
          <w:tcPr>
            <w:tcW w:w="1403" w:type="pct"/>
          </w:tcPr>
          <w:p w:rsidR="00C34F2D" w:rsidRPr="007C228C" w:rsidRDefault="00C34F2D" w:rsidP="00F979C4">
            <w:pPr>
              <w:jc w:val="right"/>
              <w:rPr>
                <w:rFonts w:ascii="Arial" w:hAnsi="Arial" w:cs="Arial"/>
                <w:sz w:val="16"/>
                <w:szCs w:val="16"/>
              </w:rPr>
            </w:pPr>
          </w:p>
        </w:tc>
      </w:tr>
      <w:tr w:rsidR="007C228C" w:rsidRPr="007C228C">
        <w:tc>
          <w:tcPr>
            <w:tcW w:w="3597" w:type="pct"/>
          </w:tcPr>
          <w:p w:rsidR="00C34F2D" w:rsidRPr="007C228C" w:rsidRDefault="00C34F2D" w:rsidP="008E3324">
            <w:pPr>
              <w:jc w:val="left"/>
              <w:rPr>
                <w:rFonts w:ascii="Arial" w:hAnsi="Arial" w:cs="Arial"/>
                <w:sz w:val="24"/>
                <w:szCs w:val="24"/>
              </w:rPr>
            </w:pPr>
            <w:r w:rsidRPr="007C228C">
              <w:rPr>
                <w:rFonts w:ascii="Arial" w:hAnsi="Arial" w:cs="Arial"/>
                <w:sz w:val="24"/>
                <w:szCs w:val="24"/>
              </w:rPr>
              <w:t>Matt Duffy, Investor Relations Manager</w:t>
            </w:r>
          </w:p>
        </w:tc>
        <w:tc>
          <w:tcPr>
            <w:tcW w:w="1403" w:type="pct"/>
          </w:tcPr>
          <w:p w:rsidR="00C34F2D" w:rsidRPr="007C228C" w:rsidRDefault="00C34F2D" w:rsidP="00F979C4">
            <w:pPr>
              <w:jc w:val="right"/>
              <w:rPr>
                <w:rFonts w:ascii="Arial" w:hAnsi="Arial" w:cs="Arial"/>
                <w:sz w:val="24"/>
                <w:szCs w:val="24"/>
              </w:rPr>
            </w:pPr>
            <w:r w:rsidRPr="007C228C">
              <w:rPr>
                <w:rFonts w:ascii="Arial" w:hAnsi="Arial" w:cs="Arial"/>
                <w:sz w:val="24"/>
                <w:szCs w:val="24"/>
              </w:rPr>
              <w:t>020 7644 1082</w:t>
            </w:r>
          </w:p>
        </w:tc>
      </w:tr>
      <w:tr w:rsidR="007C228C" w:rsidRPr="007C228C">
        <w:tc>
          <w:tcPr>
            <w:tcW w:w="3597" w:type="pct"/>
          </w:tcPr>
          <w:p w:rsidR="00181E03" w:rsidRPr="007C228C" w:rsidRDefault="00181E03" w:rsidP="008E3324">
            <w:pPr>
              <w:jc w:val="left"/>
              <w:rPr>
                <w:rFonts w:ascii="Arial" w:hAnsi="Arial" w:cs="Arial"/>
                <w:sz w:val="16"/>
                <w:szCs w:val="16"/>
              </w:rPr>
            </w:pPr>
          </w:p>
        </w:tc>
        <w:tc>
          <w:tcPr>
            <w:tcW w:w="1403" w:type="pct"/>
          </w:tcPr>
          <w:p w:rsidR="00181E03" w:rsidRPr="007C228C" w:rsidRDefault="00181E03" w:rsidP="00F979C4">
            <w:pPr>
              <w:jc w:val="right"/>
              <w:rPr>
                <w:rFonts w:ascii="Arial" w:hAnsi="Arial" w:cs="Arial"/>
                <w:sz w:val="16"/>
                <w:szCs w:val="16"/>
              </w:rPr>
            </w:pPr>
          </w:p>
        </w:tc>
      </w:tr>
      <w:tr w:rsidR="007C228C" w:rsidRPr="007C228C">
        <w:tc>
          <w:tcPr>
            <w:tcW w:w="3597" w:type="pct"/>
          </w:tcPr>
          <w:p w:rsidR="00181E03" w:rsidRPr="007C228C" w:rsidRDefault="00181E03">
            <w:pPr>
              <w:jc w:val="left"/>
              <w:rPr>
                <w:rFonts w:ascii="Arial" w:hAnsi="Arial" w:cs="Arial"/>
                <w:sz w:val="24"/>
                <w:szCs w:val="24"/>
              </w:rPr>
            </w:pPr>
            <w:r w:rsidRPr="007C228C">
              <w:rPr>
                <w:rFonts w:ascii="Arial" w:hAnsi="Arial" w:cs="Arial"/>
                <w:sz w:val="24"/>
                <w:szCs w:val="24"/>
              </w:rPr>
              <w:t xml:space="preserve">Clare </w:t>
            </w:r>
            <w:r w:rsidR="00FD48E7">
              <w:rPr>
                <w:rFonts w:ascii="Arial" w:hAnsi="Arial" w:cs="Arial"/>
                <w:sz w:val="24"/>
                <w:szCs w:val="24"/>
              </w:rPr>
              <w:t>Feast</w:t>
            </w:r>
            <w:r w:rsidRPr="007C228C">
              <w:rPr>
                <w:rFonts w:ascii="Arial" w:hAnsi="Arial" w:cs="Arial"/>
                <w:sz w:val="24"/>
                <w:szCs w:val="24"/>
              </w:rPr>
              <w:t xml:space="preserve">, Media Relations </w:t>
            </w:r>
            <w:r w:rsidR="00060680" w:rsidRPr="007C228C">
              <w:rPr>
                <w:rFonts w:ascii="Arial" w:hAnsi="Arial" w:cs="Arial"/>
                <w:sz w:val="24"/>
                <w:szCs w:val="24"/>
              </w:rPr>
              <w:t>Manager</w:t>
            </w:r>
          </w:p>
        </w:tc>
        <w:tc>
          <w:tcPr>
            <w:tcW w:w="1403" w:type="pct"/>
          </w:tcPr>
          <w:p w:rsidR="00181E03" w:rsidRPr="007C228C" w:rsidRDefault="00181E03" w:rsidP="00F979C4">
            <w:pPr>
              <w:jc w:val="right"/>
              <w:rPr>
                <w:rFonts w:ascii="Arial" w:hAnsi="Arial" w:cs="Arial"/>
                <w:sz w:val="24"/>
                <w:szCs w:val="24"/>
              </w:rPr>
            </w:pPr>
            <w:r w:rsidRPr="007C228C">
              <w:rPr>
                <w:rFonts w:ascii="Arial" w:hAnsi="Arial" w:cs="Arial"/>
                <w:sz w:val="24"/>
                <w:szCs w:val="24"/>
              </w:rPr>
              <w:t>020 7644 1286</w:t>
            </w:r>
          </w:p>
        </w:tc>
      </w:tr>
      <w:tr w:rsidR="007C228C" w:rsidRPr="007C228C">
        <w:tc>
          <w:tcPr>
            <w:tcW w:w="3597" w:type="pct"/>
          </w:tcPr>
          <w:p w:rsidR="00181E03" w:rsidRPr="007C228C" w:rsidRDefault="00181E03" w:rsidP="008E3324">
            <w:pPr>
              <w:jc w:val="left"/>
              <w:rPr>
                <w:rFonts w:ascii="Arial" w:hAnsi="Arial" w:cs="Arial"/>
                <w:sz w:val="16"/>
                <w:szCs w:val="16"/>
              </w:rPr>
            </w:pPr>
          </w:p>
        </w:tc>
        <w:tc>
          <w:tcPr>
            <w:tcW w:w="1403" w:type="pct"/>
          </w:tcPr>
          <w:p w:rsidR="00181E03" w:rsidRPr="007C228C" w:rsidRDefault="00181E03" w:rsidP="00F979C4">
            <w:pPr>
              <w:jc w:val="right"/>
              <w:rPr>
                <w:rFonts w:ascii="Arial" w:hAnsi="Arial" w:cs="Arial"/>
                <w:sz w:val="16"/>
                <w:szCs w:val="16"/>
              </w:rPr>
            </w:pPr>
          </w:p>
        </w:tc>
      </w:tr>
      <w:tr w:rsidR="007C228C" w:rsidRPr="007C228C">
        <w:tc>
          <w:tcPr>
            <w:tcW w:w="3597" w:type="pct"/>
            <w:tcBorders>
              <w:bottom w:val="single" w:sz="4" w:space="0" w:color="auto"/>
            </w:tcBorders>
          </w:tcPr>
          <w:p w:rsidR="00181E03" w:rsidRPr="007C228C" w:rsidRDefault="00181E03" w:rsidP="008E3324">
            <w:pPr>
              <w:jc w:val="left"/>
              <w:rPr>
                <w:rFonts w:ascii="Arial" w:hAnsi="Arial" w:cs="Arial"/>
                <w:sz w:val="24"/>
                <w:szCs w:val="24"/>
              </w:rPr>
            </w:pPr>
            <w:r w:rsidRPr="007C228C">
              <w:rPr>
                <w:rFonts w:ascii="Arial" w:hAnsi="Arial" w:cs="Arial"/>
                <w:sz w:val="24"/>
                <w:szCs w:val="24"/>
              </w:rPr>
              <w:t>Brunswick</w:t>
            </w:r>
          </w:p>
        </w:tc>
        <w:tc>
          <w:tcPr>
            <w:tcW w:w="1403" w:type="pct"/>
            <w:tcBorders>
              <w:bottom w:val="single" w:sz="4" w:space="0" w:color="auto"/>
            </w:tcBorders>
          </w:tcPr>
          <w:p w:rsidR="00181E03" w:rsidRPr="007C228C" w:rsidRDefault="00181E03" w:rsidP="00F979C4">
            <w:pPr>
              <w:jc w:val="right"/>
              <w:rPr>
                <w:rFonts w:ascii="Arial" w:hAnsi="Arial" w:cs="Arial"/>
                <w:sz w:val="24"/>
                <w:szCs w:val="24"/>
              </w:rPr>
            </w:pPr>
            <w:r w:rsidRPr="007C228C">
              <w:rPr>
                <w:rFonts w:ascii="Arial" w:hAnsi="Arial" w:cs="Arial"/>
                <w:sz w:val="24"/>
                <w:szCs w:val="24"/>
              </w:rPr>
              <w:t>020 7404 5959</w:t>
            </w:r>
          </w:p>
        </w:tc>
      </w:tr>
    </w:tbl>
    <w:p w:rsidR="008E7383" w:rsidRPr="007C228C" w:rsidRDefault="008E7383" w:rsidP="00AD5BF9">
      <w:pPr>
        <w:jc w:val="left"/>
        <w:rPr>
          <w:rFonts w:ascii="Arial" w:hAnsi="Arial" w:cs="Arial"/>
          <w:sz w:val="24"/>
          <w:szCs w:val="24"/>
          <w:highlight w:val="yellow"/>
        </w:rPr>
      </w:pPr>
    </w:p>
    <w:p w:rsidR="007C228C" w:rsidRPr="007C228C" w:rsidRDefault="007C228C" w:rsidP="007C228C">
      <w:pPr>
        <w:jc w:val="left"/>
        <w:rPr>
          <w:rFonts w:ascii="Arial" w:hAnsi="Arial" w:cs="Arial"/>
          <w:sz w:val="24"/>
          <w:szCs w:val="24"/>
        </w:rPr>
      </w:pPr>
      <w:r w:rsidRPr="007C228C">
        <w:rPr>
          <w:rFonts w:ascii="Arial" w:hAnsi="Arial" w:cs="Arial"/>
          <w:sz w:val="24"/>
          <w:szCs w:val="24"/>
        </w:rPr>
        <w:t>Further copies of this announcement can be downloaded from www.kingfisher.com or</w:t>
      </w:r>
    </w:p>
    <w:p w:rsidR="007C228C" w:rsidRPr="007C228C" w:rsidRDefault="007C228C" w:rsidP="007C228C">
      <w:pPr>
        <w:jc w:val="left"/>
        <w:rPr>
          <w:rFonts w:ascii="Arial" w:hAnsi="Arial" w:cs="Arial"/>
          <w:sz w:val="24"/>
          <w:szCs w:val="24"/>
        </w:rPr>
      </w:pPr>
      <w:r w:rsidRPr="007C228C">
        <w:rPr>
          <w:rFonts w:ascii="Arial" w:hAnsi="Arial" w:cs="Arial"/>
          <w:sz w:val="24"/>
          <w:szCs w:val="24"/>
        </w:rPr>
        <w:t>viewed on the Kingfisher IR iPad App available for free at the Apple App store. Video</w:t>
      </w:r>
    </w:p>
    <w:p w:rsidR="007C228C" w:rsidRPr="007C228C" w:rsidRDefault="007C228C" w:rsidP="007C228C">
      <w:pPr>
        <w:jc w:val="left"/>
        <w:rPr>
          <w:rFonts w:ascii="Arial" w:hAnsi="Arial" w:cs="Arial"/>
          <w:sz w:val="24"/>
          <w:szCs w:val="24"/>
        </w:rPr>
      </w:pPr>
      <w:r w:rsidRPr="007C228C">
        <w:rPr>
          <w:rFonts w:ascii="Arial" w:hAnsi="Arial" w:cs="Arial"/>
          <w:sz w:val="24"/>
          <w:szCs w:val="24"/>
        </w:rPr>
        <w:t>interviews with</w:t>
      </w:r>
      <w:r w:rsidR="006F33BE">
        <w:rPr>
          <w:rFonts w:ascii="Arial" w:hAnsi="Arial" w:cs="Arial"/>
          <w:sz w:val="24"/>
          <w:szCs w:val="24"/>
        </w:rPr>
        <w:t xml:space="preserve"> Sir</w:t>
      </w:r>
      <w:r w:rsidRPr="007C228C">
        <w:rPr>
          <w:rFonts w:ascii="Arial" w:hAnsi="Arial" w:cs="Arial"/>
          <w:sz w:val="24"/>
          <w:szCs w:val="24"/>
        </w:rPr>
        <w:t xml:space="preserve"> Ian Cheshire (Group Chief Executive) and Karen Witts (Group Finance</w:t>
      </w:r>
    </w:p>
    <w:p w:rsidR="007C228C" w:rsidRPr="007C228C" w:rsidRDefault="007C228C" w:rsidP="007C228C">
      <w:pPr>
        <w:jc w:val="left"/>
        <w:rPr>
          <w:rFonts w:ascii="Arial" w:hAnsi="Arial" w:cs="Arial"/>
          <w:sz w:val="24"/>
          <w:szCs w:val="24"/>
        </w:rPr>
      </w:pPr>
      <w:r w:rsidRPr="007C228C">
        <w:rPr>
          <w:rFonts w:ascii="Arial" w:hAnsi="Arial" w:cs="Arial"/>
          <w:sz w:val="24"/>
          <w:szCs w:val="24"/>
        </w:rPr>
        <w:t>Director) are also available on the website and we can be followed on twitter</w:t>
      </w:r>
    </w:p>
    <w:p w:rsidR="00181E03" w:rsidRPr="007C228C" w:rsidRDefault="007C228C" w:rsidP="007C228C">
      <w:pPr>
        <w:jc w:val="left"/>
        <w:rPr>
          <w:rFonts w:ascii="Arial" w:hAnsi="Arial" w:cs="Arial"/>
          <w:sz w:val="24"/>
          <w:szCs w:val="24"/>
        </w:rPr>
      </w:pPr>
      <w:r w:rsidRPr="007C228C">
        <w:rPr>
          <w:rFonts w:ascii="Arial" w:hAnsi="Arial" w:cs="Arial"/>
          <w:sz w:val="24"/>
          <w:szCs w:val="24"/>
        </w:rPr>
        <w:t>@kingfisherplc.</w:t>
      </w:r>
    </w:p>
    <w:p w:rsidR="00025774" w:rsidRPr="00AC5413" w:rsidRDefault="00025774" w:rsidP="007C228C">
      <w:pPr>
        <w:jc w:val="left"/>
        <w:rPr>
          <w:rFonts w:ascii="Arial" w:hAnsi="Arial" w:cs="Arial"/>
          <w:sz w:val="24"/>
          <w:szCs w:val="24"/>
          <w:highlight w:val="yellow"/>
        </w:rPr>
      </w:pPr>
    </w:p>
    <w:p w:rsidR="007C228C" w:rsidRPr="00A1426F" w:rsidRDefault="007C228C" w:rsidP="007C228C">
      <w:pPr>
        <w:autoSpaceDE w:val="0"/>
        <w:autoSpaceDN w:val="0"/>
        <w:adjustRightInd w:val="0"/>
        <w:jc w:val="left"/>
        <w:rPr>
          <w:rFonts w:ascii="Arial" w:hAnsi="Arial" w:cs="Arial"/>
          <w:sz w:val="24"/>
          <w:szCs w:val="24"/>
        </w:rPr>
      </w:pPr>
      <w:r w:rsidRPr="00A1426F">
        <w:rPr>
          <w:rFonts w:ascii="Arial" w:hAnsi="Arial" w:cs="Arial"/>
          <w:sz w:val="24"/>
          <w:szCs w:val="24"/>
        </w:rPr>
        <w:t>Kingfisher American Depository Receipts are traded in the US on the OTCQX platform:</w:t>
      </w:r>
    </w:p>
    <w:p w:rsidR="007C228C" w:rsidRPr="00A1426F" w:rsidRDefault="007C228C" w:rsidP="007C228C">
      <w:pPr>
        <w:autoSpaceDE w:val="0"/>
        <w:autoSpaceDN w:val="0"/>
        <w:adjustRightInd w:val="0"/>
        <w:jc w:val="left"/>
        <w:rPr>
          <w:rFonts w:ascii="Arial" w:hAnsi="Arial" w:cs="Arial"/>
          <w:sz w:val="24"/>
          <w:szCs w:val="24"/>
        </w:rPr>
      </w:pPr>
      <w:r w:rsidRPr="00A1426F">
        <w:rPr>
          <w:rFonts w:ascii="Arial" w:hAnsi="Arial" w:cs="Arial"/>
          <w:sz w:val="24"/>
          <w:szCs w:val="24"/>
        </w:rPr>
        <w:t>(OTCQX: KGFHY)</w:t>
      </w:r>
    </w:p>
    <w:p w:rsidR="007C228C" w:rsidRPr="00637B9B" w:rsidRDefault="007C228C" w:rsidP="007C228C">
      <w:pPr>
        <w:jc w:val="left"/>
        <w:rPr>
          <w:rFonts w:ascii="Arial" w:hAnsi="Arial" w:cs="Arial"/>
          <w:sz w:val="24"/>
          <w:szCs w:val="24"/>
          <w:highlight w:val="yellow"/>
        </w:rPr>
      </w:pPr>
      <w:r w:rsidRPr="00A1426F">
        <w:rPr>
          <w:rFonts w:ascii="Arial" w:hAnsi="Arial" w:cs="Arial"/>
          <w:sz w:val="24"/>
          <w:szCs w:val="24"/>
        </w:rPr>
        <w:t>http://www.otcmarkets.com/stock/KGFHY/quote</w:t>
      </w:r>
    </w:p>
    <w:p w:rsidR="007C228C" w:rsidRPr="00AC5413" w:rsidRDefault="007C228C" w:rsidP="00EE1E29">
      <w:pPr>
        <w:jc w:val="left"/>
        <w:rPr>
          <w:rFonts w:ascii="Arial" w:hAnsi="Arial" w:cs="Arial"/>
          <w:sz w:val="24"/>
          <w:szCs w:val="24"/>
          <w:highlight w:val="yellow"/>
        </w:rPr>
      </w:pPr>
    </w:p>
    <w:p w:rsidR="00C34F2D" w:rsidRPr="00AC5413" w:rsidRDefault="00AC5413" w:rsidP="00C34F2D">
      <w:pPr>
        <w:jc w:val="left"/>
        <w:rPr>
          <w:rFonts w:ascii="Arial" w:hAnsi="Arial" w:cs="Arial"/>
          <w:sz w:val="24"/>
          <w:szCs w:val="24"/>
        </w:rPr>
      </w:pPr>
      <w:r w:rsidRPr="00AC5413">
        <w:rPr>
          <w:rFonts w:ascii="Arial" w:hAnsi="Arial" w:cs="Arial"/>
          <w:b/>
          <w:bCs/>
          <w:sz w:val="24"/>
          <w:szCs w:val="24"/>
        </w:rPr>
        <w:t>Company Profile</w:t>
      </w:r>
    </w:p>
    <w:p w:rsidR="00C34F2D" w:rsidRPr="00AC5413" w:rsidRDefault="00C34F2D" w:rsidP="00C34F2D">
      <w:pPr>
        <w:jc w:val="left"/>
        <w:rPr>
          <w:rFonts w:ascii="Arial" w:hAnsi="Arial" w:cs="Arial"/>
          <w:sz w:val="24"/>
          <w:szCs w:val="24"/>
        </w:rPr>
      </w:pPr>
    </w:p>
    <w:p w:rsidR="00AC5413" w:rsidRPr="00A1426F" w:rsidRDefault="00AC5413" w:rsidP="00AC5413">
      <w:pPr>
        <w:autoSpaceDE w:val="0"/>
        <w:autoSpaceDN w:val="0"/>
        <w:adjustRightInd w:val="0"/>
        <w:jc w:val="left"/>
        <w:rPr>
          <w:rFonts w:ascii="Arial" w:hAnsi="Arial" w:cs="Arial"/>
          <w:sz w:val="24"/>
          <w:szCs w:val="24"/>
        </w:rPr>
      </w:pPr>
      <w:r w:rsidRPr="00A1426F">
        <w:rPr>
          <w:rFonts w:ascii="Arial" w:hAnsi="Arial" w:cs="Arial"/>
          <w:b/>
          <w:bCs/>
          <w:sz w:val="24"/>
          <w:szCs w:val="24"/>
        </w:rPr>
        <w:t xml:space="preserve">Kingfisher plc </w:t>
      </w:r>
      <w:r w:rsidRPr="00A1426F">
        <w:rPr>
          <w:rFonts w:ascii="Arial" w:hAnsi="Arial" w:cs="Arial"/>
          <w:sz w:val="24"/>
          <w:szCs w:val="24"/>
        </w:rPr>
        <w:t>is Europe’s leading home improvement retail group and the third largest in</w:t>
      </w:r>
    </w:p>
    <w:p w:rsidR="00AC5413" w:rsidRPr="00A1426F" w:rsidRDefault="00C83B57" w:rsidP="00AC5413">
      <w:pPr>
        <w:autoSpaceDE w:val="0"/>
        <w:autoSpaceDN w:val="0"/>
        <w:adjustRightInd w:val="0"/>
        <w:jc w:val="left"/>
        <w:rPr>
          <w:rFonts w:ascii="Arial" w:hAnsi="Arial" w:cs="Arial"/>
          <w:sz w:val="24"/>
          <w:szCs w:val="24"/>
        </w:rPr>
      </w:pPr>
      <w:r w:rsidRPr="00A1426F">
        <w:rPr>
          <w:rFonts w:ascii="Arial" w:hAnsi="Arial" w:cs="Arial"/>
          <w:sz w:val="24"/>
          <w:szCs w:val="24"/>
        </w:rPr>
        <w:t xml:space="preserve">the world, with </w:t>
      </w:r>
      <w:r w:rsidR="00CC2EB6" w:rsidRPr="00A1426F">
        <w:rPr>
          <w:rFonts w:ascii="Arial" w:hAnsi="Arial" w:cs="Arial"/>
          <w:sz w:val="24"/>
          <w:szCs w:val="24"/>
        </w:rPr>
        <w:t>1,124 stores in nine</w:t>
      </w:r>
      <w:r w:rsidR="00AC5413" w:rsidRPr="00A1426F">
        <w:rPr>
          <w:rFonts w:ascii="Arial" w:hAnsi="Arial" w:cs="Arial"/>
          <w:sz w:val="24"/>
          <w:szCs w:val="24"/>
        </w:rPr>
        <w:t xml:space="preserve"> countries in Europe and Asia. Its main retail brands are</w:t>
      </w:r>
    </w:p>
    <w:p w:rsidR="00AC5413" w:rsidRPr="00A1426F" w:rsidRDefault="00AC5413" w:rsidP="00AC5413">
      <w:pPr>
        <w:autoSpaceDE w:val="0"/>
        <w:autoSpaceDN w:val="0"/>
        <w:adjustRightInd w:val="0"/>
        <w:jc w:val="left"/>
        <w:rPr>
          <w:rFonts w:ascii="Arial" w:hAnsi="Arial" w:cs="Arial"/>
          <w:sz w:val="24"/>
          <w:szCs w:val="24"/>
        </w:rPr>
      </w:pPr>
      <w:r w:rsidRPr="00A1426F">
        <w:rPr>
          <w:rFonts w:ascii="Arial" w:hAnsi="Arial" w:cs="Arial"/>
          <w:sz w:val="24"/>
          <w:szCs w:val="24"/>
        </w:rPr>
        <w:t>B&amp;Q, Castorama, Brico Dépôt and Screwfix. Kingfisher also operates the Koçtaş brand, a</w:t>
      </w:r>
    </w:p>
    <w:p w:rsidR="00341E1C" w:rsidRDefault="00AC5413" w:rsidP="00A1426F">
      <w:pPr>
        <w:autoSpaceDE w:val="0"/>
        <w:autoSpaceDN w:val="0"/>
        <w:adjustRightInd w:val="0"/>
        <w:jc w:val="left"/>
        <w:rPr>
          <w:rFonts w:ascii="Arial" w:hAnsi="Arial" w:cs="Arial"/>
          <w:sz w:val="24"/>
          <w:szCs w:val="24"/>
        </w:rPr>
      </w:pPr>
      <w:r w:rsidRPr="00A1426F">
        <w:rPr>
          <w:rFonts w:ascii="Arial" w:hAnsi="Arial" w:cs="Arial"/>
          <w:sz w:val="24"/>
          <w:szCs w:val="24"/>
        </w:rPr>
        <w:t>50% joint ventur</w:t>
      </w:r>
      <w:r w:rsidR="00CC2EB6" w:rsidRPr="00A1426F">
        <w:rPr>
          <w:rFonts w:ascii="Arial" w:hAnsi="Arial" w:cs="Arial"/>
          <w:sz w:val="24"/>
          <w:szCs w:val="24"/>
        </w:rPr>
        <w:t>e in Turkey with the Koç Group.</w:t>
      </w:r>
    </w:p>
    <w:p w:rsidR="00341E1C" w:rsidRDefault="00341E1C" w:rsidP="00A1426F">
      <w:pPr>
        <w:autoSpaceDE w:val="0"/>
        <w:autoSpaceDN w:val="0"/>
        <w:adjustRightInd w:val="0"/>
        <w:jc w:val="left"/>
        <w:rPr>
          <w:rFonts w:ascii="Arial" w:hAnsi="Arial" w:cs="Arial"/>
          <w:sz w:val="24"/>
          <w:szCs w:val="24"/>
        </w:rPr>
      </w:pPr>
    </w:p>
    <w:p w:rsidR="00025774" w:rsidRPr="00EA6927" w:rsidRDefault="00181E03" w:rsidP="00EE1E29">
      <w:pPr>
        <w:jc w:val="left"/>
        <w:rPr>
          <w:rFonts w:ascii="Arial" w:hAnsi="Arial" w:cs="Arial"/>
          <w:sz w:val="24"/>
          <w:szCs w:val="24"/>
        </w:rPr>
      </w:pPr>
      <w:r w:rsidRPr="00AC5413">
        <w:rPr>
          <w:rFonts w:ascii="Arial" w:hAnsi="Arial" w:cs="Arial"/>
          <w:sz w:val="24"/>
          <w:szCs w:val="24"/>
        </w:rPr>
        <w:t xml:space="preserve">The remainder of this release </w:t>
      </w:r>
      <w:r w:rsidR="009B6367" w:rsidRPr="00AC5413">
        <w:rPr>
          <w:rFonts w:ascii="Arial" w:hAnsi="Arial" w:cs="Arial"/>
          <w:sz w:val="24"/>
          <w:szCs w:val="24"/>
        </w:rPr>
        <w:t xml:space="preserve">is broken down into </w:t>
      </w:r>
      <w:r w:rsidR="00FC3ECC" w:rsidRPr="00AC5413">
        <w:rPr>
          <w:rFonts w:ascii="Arial" w:hAnsi="Arial" w:cs="Arial"/>
          <w:sz w:val="24"/>
          <w:szCs w:val="24"/>
        </w:rPr>
        <w:t>f</w:t>
      </w:r>
      <w:r w:rsidR="00421ED6">
        <w:rPr>
          <w:rFonts w:ascii="Arial" w:hAnsi="Arial" w:cs="Arial"/>
          <w:sz w:val="24"/>
          <w:szCs w:val="24"/>
        </w:rPr>
        <w:t>ive</w:t>
      </w:r>
      <w:r w:rsidR="00101D68" w:rsidRPr="00AC5413">
        <w:rPr>
          <w:rFonts w:ascii="Arial" w:hAnsi="Arial" w:cs="Arial"/>
          <w:sz w:val="24"/>
          <w:szCs w:val="24"/>
        </w:rPr>
        <w:t xml:space="preserve"> </w:t>
      </w:r>
      <w:r w:rsidRPr="00AC5413">
        <w:rPr>
          <w:rFonts w:ascii="Arial" w:hAnsi="Arial" w:cs="Arial"/>
          <w:sz w:val="24"/>
          <w:szCs w:val="24"/>
        </w:rPr>
        <w:t>main sections:</w:t>
      </w:r>
    </w:p>
    <w:p w:rsidR="00C34F2D" w:rsidRPr="00AC5413" w:rsidRDefault="00C34F2D" w:rsidP="00630EE8">
      <w:pPr>
        <w:numPr>
          <w:ilvl w:val="0"/>
          <w:numId w:val="2"/>
        </w:numPr>
        <w:ind w:left="360"/>
        <w:jc w:val="left"/>
        <w:rPr>
          <w:rFonts w:ascii="Arial" w:hAnsi="Arial" w:cs="Arial"/>
          <w:sz w:val="24"/>
          <w:szCs w:val="24"/>
        </w:rPr>
      </w:pPr>
      <w:r w:rsidRPr="00AC5413">
        <w:rPr>
          <w:rFonts w:ascii="Arial" w:hAnsi="Arial" w:cs="Arial"/>
          <w:sz w:val="24"/>
          <w:szCs w:val="24"/>
        </w:rPr>
        <w:t xml:space="preserve">‘Creating the Leader’ </w:t>
      </w:r>
      <w:r w:rsidR="00107924" w:rsidRPr="00AC5413">
        <w:rPr>
          <w:rFonts w:ascii="Arial" w:hAnsi="Arial" w:cs="Arial"/>
          <w:sz w:val="24"/>
          <w:szCs w:val="24"/>
        </w:rPr>
        <w:t>update</w:t>
      </w:r>
    </w:p>
    <w:p w:rsidR="003E3617" w:rsidRPr="00AC5413" w:rsidRDefault="003E3617" w:rsidP="00630EE8">
      <w:pPr>
        <w:numPr>
          <w:ilvl w:val="0"/>
          <w:numId w:val="2"/>
        </w:numPr>
        <w:ind w:left="360"/>
        <w:jc w:val="left"/>
        <w:rPr>
          <w:rFonts w:ascii="Arial" w:hAnsi="Arial" w:cs="Arial"/>
          <w:sz w:val="24"/>
          <w:szCs w:val="24"/>
        </w:rPr>
      </w:pPr>
      <w:r w:rsidRPr="00AC5413">
        <w:rPr>
          <w:rFonts w:ascii="Arial" w:hAnsi="Arial" w:cs="Arial"/>
          <w:sz w:val="24"/>
          <w:szCs w:val="24"/>
        </w:rPr>
        <w:t>Trading review by major geography</w:t>
      </w:r>
    </w:p>
    <w:p w:rsidR="00B11B25" w:rsidRPr="00AC5413" w:rsidRDefault="00AC5413" w:rsidP="00630EE8">
      <w:pPr>
        <w:numPr>
          <w:ilvl w:val="0"/>
          <w:numId w:val="2"/>
        </w:numPr>
        <w:ind w:left="360"/>
        <w:jc w:val="left"/>
        <w:rPr>
          <w:rFonts w:ascii="Arial" w:hAnsi="Arial" w:cs="Arial"/>
          <w:sz w:val="24"/>
          <w:szCs w:val="24"/>
        </w:rPr>
      </w:pPr>
      <w:r w:rsidRPr="00AC5413">
        <w:rPr>
          <w:rFonts w:ascii="Arial" w:hAnsi="Arial" w:cs="Arial"/>
          <w:sz w:val="24"/>
          <w:szCs w:val="24"/>
        </w:rPr>
        <w:t>2013/14</w:t>
      </w:r>
      <w:r w:rsidR="00B11B25" w:rsidRPr="00AC5413">
        <w:rPr>
          <w:rFonts w:ascii="Arial" w:hAnsi="Arial" w:cs="Arial"/>
          <w:sz w:val="24"/>
          <w:szCs w:val="24"/>
        </w:rPr>
        <w:t xml:space="preserve"> Summary data by geography</w:t>
      </w:r>
    </w:p>
    <w:p w:rsidR="00C34F2D" w:rsidRPr="00421ED6" w:rsidRDefault="00701506" w:rsidP="00630EE8">
      <w:pPr>
        <w:numPr>
          <w:ilvl w:val="0"/>
          <w:numId w:val="2"/>
        </w:numPr>
        <w:ind w:left="360"/>
        <w:jc w:val="left"/>
        <w:rPr>
          <w:rFonts w:ascii="Arial" w:hAnsi="Arial" w:cs="Arial"/>
          <w:b/>
          <w:bCs/>
          <w:sz w:val="28"/>
          <w:szCs w:val="28"/>
        </w:rPr>
      </w:pPr>
      <w:r>
        <w:rPr>
          <w:rFonts w:ascii="Arial" w:hAnsi="Arial" w:cs="Arial"/>
          <w:sz w:val="24"/>
          <w:szCs w:val="24"/>
        </w:rPr>
        <w:t xml:space="preserve">Financial Review </w:t>
      </w:r>
      <w:r w:rsidR="00793F84" w:rsidRPr="00AC5413">
        <w:rPr>
          <w:rFonts w:ascii="Arial" w:hAnsi="Arial" w:cs="Arial"/>
          <w:sz w:val="24"/>
          <w:szCs w:val="24"/>
        </w:rPr>
        <w:t xml:space="preserve">and, in part 2 of </w:t>
      </w:r>
      <w:r w:rsidR="000F4BB3" w:rsidRPr="00AC5413">
        <w:rPr>
          <w:rFonts w:ascii="Arial" w:hAnsi="Arial" w:cs="Arial"/>
          <w:sz w:val="24"/>
          <w:szCs w:val="24"/>
        </w:rPr>
        <w:t>this release</w:t>
      </w:r>
      <w:r w:rsidR="00793F84" w:rsidRPr="00AC5413">
        <w:rPr>
          <w:rFonts w:ascii="Arial" w:hAnsi="Arial" w:cs="Arial"/>
          <w:sz w:val="24"/>
          <w:szCs w:val="24"/>
        </w:rPr>
        <w:t>, the preliminary Financial Statements</w:t>
      </w:r>
    </w:p>
    <w:p w:rsidR="00421ED6" w:rsidRPr="00F4055C" w:rsidRDefault="00421ED6" w:rsidP="00630EE8">
      <w:pPr>
        <w:numPr>
          <w:ilvl w:val="0"/>
          <w:numId w:val="2"/>
        </w:numPr>
        <w:ind w:left="360"/>
        <w:jc w:val="left"/>
        <w:rPr>
          <w:rFonts w:ascii="Arial" w:hAnsi="Arial" w:cs="Arial"/>
          <w:b/>
          <w:bCs/>
          <w:sz w:val="28"/>
          <w:szCs w:val="28"/>
        </w:rPr>
      </w:pPr>
      <w:r>
        <w:rPr>
          <w:rFonts w:ascii="Arial" w:hAnsi="Arial" w:cs="Arial"/>
          <w:sz w:val="24"/>
          <w:szCs w:val="24"/>
        </w:rPr>
        <w:t>Glossary</w:t>
      </w:r>
    </w:p>
    <w:p w:rsidR="00230F47" w:rsidRPr="00AC5413" w:rsidRDefault="00230F47" w:rsidP="00F4055C">
      <w:pPr>
        <w:ind w:left="360"/>
        <w:jc w:val="left"/>
        <w:rPr>
          <w:rFonts w:ascii="Arial" w:hAnsi="Arial" w:cs="Arial"/>
          <w:b/>
          <w:bCs/>
          <w:sz w:val="28"/>
          <w:szCs w:val="28"/>
        </w:rPr>
      </w:pPr>
    </w:p>
    <w:p w:rsidR="00A83A46" w:rsidRDefault="00A83A46" w:rsidP="003E3617">
      <w:pPr>
        <w:jc w:val="left"/>
        <w:rPr>
          <w:rFonts w:ascii="Arial" w:hAnsi="Arial" w:cs="Arial"/>
          <w:b/>
          <w:sz w:val="24"/>
          <w:szCs w:val="24"/>
        </w:rPr>
      </w:pPr>
    </w:p>
    <w:p w:rsidR="00A83A46" w:rsidRDefault="00A83A46" w:rsidP="003E3617">
      <w:pPr>
        <w:jc w:val="left"/>
        <w:rPr>
          <w:rFonts w:ascii="Arial" w:hAnsi="Arial" w:cs="Arial"/>
          <w:b/>
          <w:sz w:val="24"/>
          <w:szCs w:val="24"/>
        </w:rPr>
      </w:pPr>
    </w:p>
    <w:p w:rsidR="00F92C7C" w:rsidRDefault="00F92C7C" w:rsidP="003E3617">
      <w:pPr>
        <w:jc w:val="left"/>
        <w:rPr>
          <w:rFonts w:ascii="Arial" w:hAnsi="Arial" w:cs="Arial"/>
          <w:b/>
          <w:sz w:val="24"/>
          <w:szCs w:val="24"/>
        </w:rPr>
      </w:pPr>
    </w:p>
    <w:p w:rsidR="003E3617" w:rsidRPr="00AC5413" w:rsidRDefault="003E3617" w:rsidP="003E3617">
      <w:pPr>
        <w:jc w:val="left"/>
        <w:rPr>
          <w:rFonts w:ascii="Arial" w:hAnsi="Arial" w:cs="Arial"/>
          <w:b/>
          <w:sz w:val="24"/>
          <w:szCs w:val="24"/>
        </w:rPr>
      </w:pPr>
      <w:r w:rsidRPr="00AC5413">
        <w:rPr>
          <w:rFonts w:ascii="Arial" w:hAnsi="Arial" w:cs="Arial"/>
          <w:b/>
          <w:sz w:val="24"/>
          <w:szCs w:val="24"/>
        </w:rPr>
        <w:t>Section 1</w:t>
      </w:r>
      <w:r w:rsidR="00376255">
        <w:rPr>
          <w:rFonts w:ascii="Arial" w:hAnsi="Arial" w:cs="Arial"/>
          <w:b/>
          <w:sz w:val="24"/>
          <w:szCs w:val="24"/>
        </w:rPr>
        <w:t xml:space="preserve">: </w:t>
      </w:r>
      <w:r w:rsidR="00F94DD3" w:rsidRPr="00AC5413">
        <w:rPr>
          <w:rFonts w:ascii="Arial" w:hAnsi="Arial" w:cs="Arial"/>
          <w:b/>
          <w:sz w:val="24"/>
          <w:szCs w:val="24"/>
        </w:rPr>
        <w:t>‘</w:t>
      </w:r>
      <w:r w:rsidRPr="00AC5413">
        <w:rPr>
          <w:rFonts w:ascii="Arial" w:hAnsi="Arial" w:cs="Arial"/>
          <w:b/>
          <w:sz w:val="24"/>
          <w:szCs w:val="24"/>
        </w:rPr>
        <w:t>CREATING THE LEADER</w:t>
      </w:r>
      <w:r w:rsidR="00F94DD3" w:rsidRPr="00AC5413">
        <w:rPr>
          <w:rFonts w:ascii="Arial" w:hAnsi="Arial" w:cs="Arial"/>
          <w:b/>
          <w:sz w:val="24"/>
          <w:szCs w:val="24"/>
        </w:rPr>
        <w:t>’</w:t>
      </w:r>
      <w:r w:rsidRPr="00AC5413">
        <w:rPr>
          <w:rFonts w:ascii="Arial" w:hAnsi="Arial" w:cs="Arial"/>
          <w:b/>
          <w:sz w:val="24"/>
          <w:szCs w:val="24"/>
        </w:rPr>
        <w:t xml:space="preserve"> UPDATE</w:t>
      </w:r>
    </w:p>
    <w:p w:rsidR="003E3617" w:rsidRPr="00AC5413" w:rsidRDefault="003E3617" w:rsidP="003E3617">
      <w:pPr>
        <w:jc w:val="left"/>
        <w:rPr>
          <w:rFonts w:ascii="Arial" w:hAnsi="Arial" w:cs="Arial"/>
          <w:b/>
          <w:sz w:val="24"/>
          <w:szCs w:val="24"/>
        </w:rPr>
      </w:pPr>
    </w:p>
    <w:p w:rsidR="006E1122" w:rsidRPr="007B54A7" w:rsidRDefault="003E3617" w:rsidP="006E1122">
      <w:pPr>
        <w:jc w:val="left"/>
        <w:rPr>
          <w:rFonts w:ascii="Arial" w:hAnsi="Arial" w:cs="Arial"/>
          <w:sz w:val="24"/>
          <w:szCs w:val="24"/>
        </w:rPr>
      </w:pPr>
      <w:r w:rsidRPr="00AC5413">
        <w:rPr>
          <w:rFonts w:ascii="Arial" w:hAnsi="Arial" w:cs="Arial"/>
          <w:sz w:val="24"/>
          <w:szCs w:val="24"/>
        </w:rPr>
        <w:t>Our unique contribution as a business to our customers is that we can harness our</w:t>
      </w:r>
      <w:r w:rsidR="00835160" w:rsidRPr="00AC5413">
        <w:rPr>
          <w:rFonts w:ascii="Arial" w:hAnsi="Arial" w:cs="Arial"/>
          <w:sz w:val="24"/>
          <w:szCs w:val="24"/>
        </w:rPr>
        <w:t xml:space="preserve"> home improvement experience</w:t>
      </w:r>
      <w:r w:rsidRPr="00AC5413">
        <w:rPr>
          <w:rFonts w:ascii="Arial" w:hAnsi="Arial" w:cs="Arial"/>
          <w:sz w:val="24"/>
          <w:szCs w:val="24"/>
        </w:rPr>
        <w:t xml:space="preserve">, our heritage as a leader in sustainability and our </w:t>
      </w:r>
      <w:r w:rsidR="00835160" w:rsidRPr="00AC5413">
        <w:rPr>
          <w:rFonts w:ascii="Arial" w:hAnsi="Arial" w:cs="Arial"/>
          <w:sz w:val="24"/>
          <w:szCs w:val="24"/>
        </w:rPr>
        <w:t xml:space="preserve">international scale </w:t>
      </w:r>
      <w:r w:rsidRPr="00AC5413">
        <w:rPr>
          <w:rFonts w:ascii="Arial" w:hAnsi="Arial" w:cs="Arial"/>
          <w:sz w:val="24"/>
          <w:szCs w:val="24"/>
        </w:rPr>
        <w:t xml:space="preserve">to bring new, more sustainable and more affordable products to market. By also providing our customers with project advice and new shopping channels to complement our stores we will make it easier for them to adapt their homes to their evolving </w:t>
      </w:r>
      <w:r w:rsidR="00835160" w:rsidRPr="00AC5413">
        <w:rPr>
          <w:rFonts w:ascii="Arial" w:hAnsi="Arial" w:cs="Arial"/>
          <w:sz w:val="24"/>
          <w:szCs w:val="24"/>
        </w:rPr>
        <w:t xml:space="preserve">lifestyles. </w:t>
      </w:r>
      <w:r w:rsidRPr="00AC5413">
        <w:rPr>
          <w:rFonts w:ascii="Arial" w:hAnsi="Arial" w:cs="Arial"/>
          <w:sz w:val="24"/>
          <w:szCs w:val="24"/>
        </w:rPr>
        <w:t xml:space="preserve">Our shorthand for describing this purpose is </w:t>
      </w:r>
      <w:r w:rsidR="006E1122">
        <w:rPr>
          <w:rFonts w:ascii="Arial" w:hAnsi="Arial" w:cs="Arial"/>
          <w:i/>
          <w:sz w:val="24"/>
          <w:szCs w:val="24"/>
        </w:rPr>
        <w:t xml:space="preserve">“Better Homes, Better Lives” </w:t>
      </w:r>
      <w:r w:rsidR="006E1122">
        <w:rPr>
          <w:rFonts w:ascii="Arial" w:hAnsi="Arial" w:cs="Arial"/>
          <w:sz w:val="24"/>
          <w:szCs w:val="24"/>
        </w:rPr>
        <w:t xml:space="preserve">and the programme of self-help initiatives to achieve this purpose is called ‘Creating the Leader’. </w:t>
      </w:r>
    </w:p>
    <w:p w:rsidR="00442D67" w:rsidRDefault="00442D67" w:rsidP="003E3617">
      <w:pPr>
        <w:jc w:val="left"/>
        <w:rPr>
          <w:rFonts w:ascii="Arial" w:hAnsi="Arial" w:cs="Arial"/>
          <w:b/>
          <w:bCs/>
          <w:sz w:val="24"/>
          <w:szCs w:val="24"/>
        </w:rPr>
      </w:pPr>
    </w:p>
    <w:p w:rsidR="003E3617" w:rsidRPr="00AC5413" w:rsidRDefault="003E3617" w:rsidP="003E3617">
      <w:pPr>
        <w:jc w:val="left"/>
        <w:rPr>
          <w:rFonts w:ascii="Arial" w:hAnsi="Arial" w:cs="Arial"/>
          <w:b/>
          <w:bCs/>
          <w:sz w:val="24"/>
          <w:szCs w:val="24"/>
          <w:highlight w:val="magenta"/>
        </w:rPr>
      </w:pPr>
      <w:r w:rsidRPr="00AC5413">
        <w:rPr>
          <w:rFonts w:ascii="Arial" w:hAnsi="Arial" w:cs="Arial"/>
          <w:b/>
          <w:bCs/>
          <w:sz w:val="24"/>
          <w:szCs w:val="24"/>
        </w:rPr>
        <w:t xml:space="preserve">‘Creating the Leader’ </w:t>
      </w:r>
      <w:r w:rsidR="00AC5413" w:rsidRPr="00AC5413">
        <w:rPr>
          <w:rFonts w:ascii="Arial" w:hAnsi="Arial" w:cs="Arial"/>
          <w:b/>
          <w:bCs/>
          <w:sz w:val="24"/>
          <w:szCs w:val="24"/>
        </w:rPr>
        <w:t>2013/14</w:t>
      </w:r>
      <w:r w:rsidR="007133B6" w:rsidRPr="00AC5413">
        <w:rPr>
          <w:rFonts w:ascii="Arial" w:hAnsi="Arial" w:cs="Arial"/>
          <w:b/>
          <w:bCs/>
          <w:sz w:val="24"/>
          <w:szCs w:val="24"/>
        </w:rPr>
        <w:t xml:space="preserve"> </w:t>
      </w:r>
      <w:r w:rsidRPr="00442D67">
        <w:rPr>
          <w:rFonts w:ascii="Arial" w:hAnsi="Arial" w:cs="Arial"/>
          <w:b/>
          <w:bCs/>
          <w:sz w:val="24"/>
          <w:szCs w:val="24"/>
        </w:rPr>
        <w:t>p</w:t>
      </w:r>
      <w:r w:rsidRPr="00442D67">
        <w:rPr>
          <w:rFonts w:ascii="Helvetica" w:hAnsi="Helvetica" w:cs="Helvetica"/>
          <w:b/>
          <w:bCs/>
          <w:sz w:val="24"/>
          <w:szCs w:val="24"/>
        </w:rPr>
        <w:t xml:space="preserve">rogress </w:t>
      </w:r>
      <w:r w:rsidR="00442D67" w:rsidRPr="00442D67">
        <w:rPr>
          <w:rFonts w:ascii="Helvetica" w:hAnsi="Helvetica" w:cs="Helvetica"/>
          <w:b/>
          <w:bCs/>
          <w:sz w:val="24"/>
          <w:szCs w:val="24"/>
        </w:rPr>
        <w:t>and key priorities</w:t>
      </w:r>
      <w:r w:rsidRPr="00442D67">
        <w:rPr>
          <w:rFonts w:ascii="Helvetica" w:hAnsi="Helvetica" w:cs="Helvetica"/>
          <w:b/>
          <w:bCs/>
          <w:sz w:val="24"/>
          <w:szCs w:val="24"/>
        </w:rPr>
        <w:t xml:space="preserve"> for </w:t>
      </w:r>
      <w:r w:rsidR="00AC5413" w:rsidRPr="00442D67">
        <w:rPr>
          <w:rFonts w:ascii="Helvetica" w:hAnsi="Helvetica" w:cs="Helvetica"/>
          <w:b/>
          <w:bCs/>
          <w:sz w:val="24"/>
          <w:szCs w:val="24"/>
        </w:rPr>
        <w:t>2014/15</w:t>
      </w:r>
    </w:p>
    <w:p w:rsidR="003E3617" w:rsidRPr="00AC5413" w:rsidRDefault="003E3617" w:rsidP="003E3617">
      <w:pPr>
        <w:jc w:val="left"/>
        <w:rPr>
          <w:rFonts w:ascii="Arial" w:hAnsi="Arial" w:cs="Arial"/>
          <w:sz w:val="24"/>
          <w:szCs w:val="24"/>
          <w:highlight w:val="magenta"/>
        </w:rPr>
      </w:pPr>
    </w:p>
    <w:p w:rsidR="003E3617" w:rsidRPr="00AC5413" w:rsidRDefault="003E3617" w:rsidP="003E3617">
      <w:pPr>
        <w:jc w:val="left"/>
        <w:rPr>
          <w:rFonts w:ascii="Arial" w:hAnsi="Arial" w:cs="Arial"/>
          <w:sz w:val="24"/>
          <w:szCs w:val="24"/>
        </w:rPr>
      </w:pPr>
      <w:r w:rsidRPr="00AC5413">
        <w:rPr>
          <w:rFonts w:ascii="Arial" w:hAnsi="Arial" w:cs="Arial"/>
          <w:sz w:val="24"/>
          <w:szCs w:val="24"/>
        </w:rPr>
        <w:t xml:space="preserve">In March 2012, we set out </w:t>
      </w:r>
      <w:r w:rsidR="00D56E13" w:rsidRPr="00AC5413">
        <w:rPr>
          <w:rFonts w:ascii="Arial" w:hAnsi="Arial" w:cs="Arial"/>
          <w:sz w:val="24"/>
          <w:szCs w:val="24"/>
        </w:rPr>
        <w:t xml:space="preserve">four areas (Easier, Common, Expand and One Team) with </w:t>
      </w:r>
      <w:r w:rsidRPr="00AC5413">
        <w:rPr>
          <w:rFonts w:ascii="Arial" w:hAnsi="Arial" w:cs="Arial"/>
          <w:sz w:val="24"/>
          <w:szCs w:val="24"/>
        </w:rPr>
        <w:t>eight specific steps that make up ‘Creating the Leader’ along with their associated key success measures and short</w:t>
      </w:r>
      <w:r w:rsidR="00FD48E7">
        <w:rPr>
          <w:rFonts w:ascii="Arial" w:hAnsi="Arial" w:cs="Arial"/>
          <w:sz w:val="24"/>
          <w:szCs w:val="24"/>
        </w:rPr>
        <w:t>-</w:t>
      </w:r>
      <w:r w:rsidRPr="00AC5413">
        <w:rPr>
          <w:rFonts w:ascii="Arial" w:hAnsi="Arial" w:cs="Arial"/>
          <w:sz w:val="24"/>
          <w:szCs w:val="24"/>
        </w:rPr>
        <w:t>term annual milestones. Today we update on the progress we have made towards each of th</w:t>
      </w:r>
      <w:r w:rsidR="00AC5413" w:rsidRPr="00AC5413">
        <w:rPr>
          <w:rFonts w:ascii="Arial" w:hAnsi="Arial" w:cs="Arial"/>
          <w:sz w:val="24"/>
          <w:szCs w:val="24"/>
        </w:rPr>
        <w:t>e 2013/14</w:t>
      </w:r>
      <w:r w:rsidRPr="00AC5413">
        <w:rPr>
          <w:rFonts w:ascii="Arial" w:hAnsi="Arial" w:cs="Arial"/>
          <w:sz w:val="24"/>
          <w:szCs w:val="24"/>
        </w:rPr>
        <w:t xml:space="preserve"> milestones</w:t>
      </w:r>
      <w:r w:rsidR="00025774">
        <w:rPr>
          <w:rFonts w:ascii="Arial" w:hAnsi="Arial" w:cs="Arial"/>
          <w:sz w:val="24"/>
          <w:szCs w:val="24"/>
        </w:rPr>
        <w:t xml:space="preserve"> set last year. </w:t>
      </w:r>
      <w:r w:rsidR="00CA5164">
        <w:rPr>
          <w:rFonts w:ascii="Arial" w:hAnsi="Arial" w:cs="Arial"/>
          <w:sz w:val="24"/>
          <w:szCs w:val="24"/>
        </w:rPr>
        <w:t xml:space="preserve">Going forward from 2014/15, we are replacing the longer list of </w:t>
      </w:r>
      <w:r w:rsidR="00B47BF6">
        <w:rPr>
          <w:rFonts w:ascii="Arial" w:hAnsi="Arial" w:cs="Arial"/>
          <w:sz w:val="24"/>
          <w:szCs w:val="24"/>
        </w:rPr>
        <w:t xml:space="preserve">detailed </w:t>
      </w:r>
      <w:r w:rsidR="00CA5164">
        <w:rPr>
          <w:rFonts w:ascii="Arial" w:hAnsi="Arial" w:cs="Arial"/>
          <w:sz w:val="24"/>
          <w:szCs w:val="24"/>
        </w:rPr>
        <w:t>milestones in favour</w:t>
      </w:r>
      <w:r w:rsidR="00234FFB">
        <w:rPr>
          <w:rFonts w:ascii="Arial" w:hAnsi="Arial" w:cs="Arial"/>
          <w:sz w:val="24"/>
          <w:szCs w:val="24"/>
        </w:rPr>
        <w:t xml:space="preserve"> of</w:t>
      </w:r>
      <w:r w:rsidR="00CA5164">
        <w:rPr>
          <w:rFonts w:ascii="Arial" w:hAnsi="Arial" w:cs="Arial"/>
          <w:sz w:val="24"/>
          <w:szCs w:val="24"/>
        </w:rPr>
        <w:t xml:space="preserve"> </w:t>
      </w:r>
      <w:r w:rsidR="00B47BF6">
        <w:rPr>
          <w:rFonts w:ascii="Arial" w:hAnsi="Arial" w:cs="Arial"/>
          <w:sz w:val="24"/>
          <w:szCs w:val="24"/>
        </w:rPr>
        <w:t xml:space="preserve">a summarised version that better </w:t>
      </w:r>
      <w:r w:rsidR="00CA5164">
        <w:rPr>
          <w:rFonts w:ascii="Arial" w:hAnsi="Arial" w:cs="Arial"/>
          <w:sz w:val="24"/>
          <w:szCs w:val="24"/>
        </w:rPr>
        <w:t>highlight</w:t>
      </w:r>
      <w:r w:rsidR="00B47BF6">
        <w:rPr>
          <w:rFonts w:ascii="Arial" w:hAnsi="Arial" w:cs="Arial"/>
          <w:sz w:val="24"/>
          <w:szCs w:val="24"/>
        </w:rPr>
        <w:t>s</w:t>
      </w:r>
      <w:r w:rsidR="00CA5164">
        <w:rPr>
          <w:rFonts w:ascii="Arial" w:hAnsi="Arial" w:cs="Arial"/>
          <w:sz w:val="24"/>
          <w:szCs w:val="24"/>
        </w:rPr>
        <w:t xml:space="preserve"> the key wider Group priorities, </w:t>
      </w:r>
      <w:r w:rsidR="00025774">
        <w:rPr>
          <w:rFonts w:ascii="Arial" w:hAnsi="Arial" w:cs="Arial"/>
          <w:sz w:val="24"/>
          <w:szCs w:val="24"/>
        </w:rPr>
        <w:t>within the ‘Creating the Leader’ framework:</w:t>
      </w:r>
    </w:p>
    <w:p w:rsidR="003E3617" w:rsidRDefault="003E3617" w:rsidP="003E3617">
      <w:pPr>
        <w:jc w:val="left"/>
        <w:rPr>
          <w:rFonts w:ascii="Arial" w:hAnsi="Arial" w:cs="Arial"/>
          <w:sz w:val="24"/>
          <w:szCs w:val="24"/>
          <w:highlight w:val="magenta"/>
        </w:rPr>
      </w:pPr>
    </w:p>
    <w:p w:rsidR="005A267E" w:rsidRPr="00310C83" w:rsidRDefault="005A267E" w:rsidP="003E3617">
      <w:pPr>
        <w:jc w:val="left"/>
        <w:rPr>
          <w:rFonts w:ascii="Arial" w:hAnsi="Arial" w:cs="Arial"/>
          <w:b/>
          <w:sz w:val="24"/>
          <w:szCs w:val="24"/>
          <w:u w:val="single"/>
        </w:rPr>
      </w:pPr>
      <w:r w:rsidRPr="00310C83">
        <w:rPr>
          <w:rFonts w:ascii="Arial" w:hAnsi="Arial" w:cs="Arial"/>
          <w:b/>
          <w:sz w:val="24"/>
          <w:szCs w:val="24"/>
          <w:u w:val="single"/>
        </w:rPr>
        <w:t>Progress against 2013/14 milestones:</w:t>
      </w:r>
    </w:p>
    <w:p w:rsidR="005A267E" w:rsidRDefault="005A267E" w:rsidP="00AC5413">
      <w:pPr>
        <w:jc w:val="left"/>
        <w:rPr>
          <w:rFonts w:ascii="Arial" w:hAnsi="Arial" w:cs="Arial"/>
          <w:b/>
          <w:sz w:val="24"/>
          <w:szCs w:val="24"/>
        </w:rPr>
      </w:pPr>
    </w:p>
    <w:p w:rsidR="00AC5413" w:rsidRPr="00AC5413" w:rsidRDefault="003E3617" w:rsidP="005A267E">
      <w:pPr>
        <w:jc w:val="left"/>
        <w:rPr>
          <w:rFonts w:ascii="Arial" w:hAnsi="Arial" w:cs="Arial"/>
          <w:sz w:val="24"/>
          <w:szCs w:val="24"/>
          <w:highlight w:val="magenta"/>
        </w:rPr>
      </w:pPr>
      <w:r w:rsidRPr="00AC5413">
        <w:rPr>
          <w:rFonts w:ascii="Arial" w:hAnsi="Arial" w:cs="Arial"/>
          <w:b/>
          <w:sz w:val="24"/>
          <w:szCs w:val="24"/>
        </w:rPr>
        <w:t xml:space="preserve">EASIER </w:t>
      </w:r>
    </w:p>
    <w:p w:rsidR="004B463A" w:rsidRPr="00AC5413" w:rsidRDefault="000C59E4" w:rsidP="00442D67">
      <w:pPr>
        <w:ind w:left="720" w:firstLine="414"/>
        <w:contextualSpacing/>
        <w:rPr>
          <w:rFonts w:ascii="Arial" w:hAnsi="Arial" w:cs="Arial"/>
          <w:i/>
          <w:sz w:val="24"/>
          <w:szCs w:val="24"/>
        </w:rPr>
      </w:pPr>
      <w:r w:rsidRPr="00AC5413">
        <w:rPr>
          <w:rFonts w:ascii="Arial" w:hAnsi="Arial" w:cs="Arial"/>
          <w:i/>
          <w:sz w:val="24"/>
          <w:szCs w:val="24"/>
        </w:rPr>
        <w:t>Emphasise our a</w:t>
      </w:r>
      <w:r w:rsidR="004B463A" w:rsidRPr="00AC5413">
        <w:rPr>
          <w:rFonts w:ascii="Arial" w:hAnsi="Arial" w:cs="Arial"/>
          <w:i/>
          <w:sz w:val="24"/>
          <w:szCs w:val="24"/>
        </w:rPr>
        <w:t>ffordability</w:t>
      </w:r>
      <w:r w:rsidRPr="00AC5413">
        <w:rPr>
          <w:rFonts w:ascii="Arial" w:hAnsi="Arial" w:cs="Arial"/>
          <w:i/>
          <w:sz w:val="24"/>
          <w:szCs w:val="24"/>
        </w:rPr>
        <w:t xml:space="preserve"> credentials</w:t>
      </w:r>
    </w:p>
    <w:p w:rsidR="00D371D5" w:rsidRPr="00A64D40" w:rsidRDefault="000C59E4" w:rsidP="00A64D40">
      <w:pPr>
        <w:pStyle w:val="ListParagraph"/>
        <w:numPr>
          <w:ilvl w:val="0"/>
          <w:numId w:val="11"/>
        </w:numPr>
        <w:jc w:val="left"/>
        <w:rPr>
          <w:rFonts w:ascii="Arial" w:hAnsi="Arial" w:cs="Arial"/>
          <w:sz w:val="24"/>
          <w:szCs w:val="24"/>
          <w:lang w:val="en-US"/>
        </w:rPr>
      </w:pPr>
      <w:r w:rsidRPr="00A64D40">
        <w:rPr>
          <w:rFonts w:ascii="Arial" w:hAnsi="Arial" w:cs="Arial"/>
          <w:sz w:val="24"/>
          <w:szCs w:val="24"/>
          <w:lang w:val="en-US"/>
        </w:rPr>
        <w:t>Launch</w:t>
      </w:r>
      <w:r w:rsidR="002E1C49" w:rsidRPr="00A64D40">
        <w:rPr>
          <w:rFonts w:ascii="Arial" w:hAnsi="Arial" w:cs="Arial"/>
          <w:sz w:val="24"/>
          <w:szCs w:val="24"/>
          <w:lang w:val="en-US"/>
        </w:rPr>
        <w:t>ed</w:t>
      </w:r>
      <w:r w:rsidRPr="00A64D40">
        <w:rPr>
          <w:rFonts w:ascii="Arial" w:hAnsi="Arial" w:cs="Arial"/>
          <w:sz w:val="24"/>
          <w:szCs w:val="24"/>
          <w:lang w:val="en-US"/>
        </w:rPr>
        <w:t xml:space="preserve"> </w:t>
      </w:r>
      <w:r w:rsidR="00D371D5" w:rsidRPr="00A64D40">
        <w:rPr>
          <w:rFonts w:ascii="Arial" w:hAnsi="Arial" w:cs="Arial"/>
          <w:sz w:val="24"/>
          <w:szCs w:val="24"/>
          <w:lang w:val="en-US"/>
        </w:rPr>
        <w:t>‘handy prices</w:t>
      </w:r>
      <w:r w:rsidRPr="00A64D40">
        <w:rPr>
          <w:rFonts w:ascii="Arial" w:hAnsi="Arial" w:cs="Arial"/>
          <w:sz w:val="24"/>
          <w:szCs w:val="24"/>
          <w:lang w:val="en-US"/>
        </w:rPr>
        <w:t>’</w:t>
      </w:r>
      <w:r w:rsidR="004A517F" w:rsidRPr="00A64D40">
        <w:rPr>
          <w:rFonts w:ascii="Arial" w:hAnsi="Arial" w:cs="Arial"/>
          <w:sz w:val="24"/>
          <w:szCs w:val="24"/>
          <w:lang w:val="en-US"/>
        </w:rPr>
        <w:t xml:space="preserve"> marketing campaign</w:t>
      </w:r>
      <w:r w:rsidR="00D371D5" w:rsidRPr="00A64D40">
        <w:rPr>
          <w:rFonts w:ascii="Arial" w:hAnsi="Arial" w:cs="Arial"/>
          <w:sz w:val="24"/>
          <w:szCs w:val="24"/>
          <w:lang w:val="en-US"/>
        </w:rPr>
        <w:t xml:space="preserve"> in B&amp;Q</w:t>
      </w:r>
      <w:r w:rsidR="004A517F" w:rsidRPr="00A64D40">
        <w:rPr>
          <w:rFonts w:ascii="Arial" w:hAnsi="Arial" w:cs="Arial"/>
          <w:sz w:val="24"/>
          <w:szCs w:val="24"/>
          <w:lang w:val="en-US"/>
        </w:rPr>
        <w:t xml:space="preserve"> </w:t>
      </w:r>
    </w:p>
    <w:p w:rsidR="00500AA8" w:rsidRPr="00A64D40" w:rsidRDefault="00500AA8" w:rsidP="00A64D40">
      <w:pPr>
        <w:pStyle w:val="ListParagraph"/>
        <w:numPr>
          <w:ilvl w:val="0"/>
          <w:numId w:val="11"/>
        </w:numPr>
        <w:jc w:val="left"/>
        <w:rPr>
          <w:rFonts w:ascii="Arial" w:hAnsi="Arial" w:cs="Arial"/>
          <w:sz w:val="24"/>
          <w:szCs w:val="24"/>
          <w:lang w:val="en-US"/>
        </w:rPr>
      </w:pPr>
      <w:r w:rsidRPr="00A64D40">
        <w:rPr>
          <w:rFonts w:ascii="Arial" w:hAnsi="Arial" w:cs="Arial"/>
          <w:sz w:val="24"/>
          <w:szCs w:val="24"/>
          <w:lang w:val="en-US"/>
        </w:rPr>
        <w:t>Invested in pricing in Castorama France &amp; Poland</w:t>
      </w:r>
    </w:p>
    <w:p w:rsidR="004A517F" w:rsidRPr="00A64D40" w:rsidRDefault="004A517F" w:rsidP="00A64D40">
      <w:pPr>
        <w:pStyle w:val="ListParagraph"/>
        <w:numPr>
          <w:ilvl w:val="0"/>
          <w:numId w:val="11"/>
        </w:numPr>
        <w:jc w:val="left"/>
        <w:rPr>
          <w:rFonts w:ascii="Arial" w:hAnsi="Arial" w:cs="Arial"/>
          <w:sz w:val="24"/>
          <w:szCs w:val="24"/>
          <w:lang w:val="en-US"/>
        </w:rPr>
      </w:pPr>
      <w:r w:rsidRPr="00AC5413">
        <w:rPr>
          <w:rFonts w:ascii="Arial" w:hAnsi="Arial" w:cs="Arial"/>
          <w:sz w:val="24"/>
          <w:szCs w:val="24"/>
          <w:lang w:val="en-US"/>
        </w:rPr>
        <w:t>Roll</w:t>
      </w:r>
      <w:r w:rsidR="002E1C49">
        <w:rPr>
          <w:rFonts w:ascii="Arial" w:hAnsi="Arial" w:cs="Arial"/>
          <w:sz w:val="24"/>
          <w:szCs w:val="24"/>
          <w:lang w:val="en-US"/>
        </w:rPr>
        <w:t>ed</w:t>
      </w:r>
      <w:r w:rsidRPr="00AC5413">
        <w:rPr>
          <w:rFonts w:ascii="Arial" w:hAnsi="Arial" w:cs="Arial"/>
          <w:sz w:val="24"/>
          <w:szCs w:val="24"/>
          <w:lang w:val="en-US"/>
        </w:rPr>
        <w:t xml:space="preserve"> out Brico Dépôt ‘back to basics’ marketing campaign</w:t>
      </w:r>
    </w:p>
    <w:p w:rsidR="00167E65" w:rsidRPr="00AC5413" w:rsidRDefault="00D371D5" w:rsidP="00A64D40">
      <w:pPr>
        <w:pStyle w:val="ListParagraph"/>
        <w:numPr>
          <w:ilvl w:val="0"/>
          <w:numId w:val="11"/>
        </w:numPr>
        <w:jc w:val="left"/>
        <w:rPr>
          <w:rFonts w:ascii="Arial" w:hAnsi="Arial" w:cs="Arial"/>
          <w:i/>
          <w:sz w:val="24"/>
          <w:szCs w:val="24"/>
        </w:rPr>
      </w:pPr>
      <w:r w:rsidRPr="00AC5413">
        <w:rPr>
          <w:rFonts w:ascii="Arial" w:hAnsi="Arial" w:cs="Arial"/>
          <w:sz w:val="24"/>
          <w:szCs w:val="24"/>
          <w:lang w:val="en-US"/>
        </w:rPr>
        <w:t>Extend</w:t>
      </w:r>
      <w:r w:rsidR="002E1C49">
        <w:rPr>
          <w:rFonts w:ascii="Arial" w:hAnsi="Arial" w:cs="Arial"/>
          <w:sz w:val="24"/>
          <w:szCs w:val="24"/>
          <w:lang w:val="en-US"/>
        </w:rPr>
        <w:t>ed</w:t>
      </w:r>
      <w:r w:rsidRPr="00AC5413">
        <w:rPr>
          <w:rFonts w:ascii="Arial" w:hAnsi="Arial" w:cs="Arial"/>
          <w:sz w:val="24"/>
          <w:szCs w:val="24"/>
          <w:lang w:val="en-US"/>
        </w:rPr>
        <w:t xml:space="preserve"> Brico Dépôt France &amp; Spain </w:t>
      </w:r>
      <w:proofErr w:type="spellStart"/>
      <w:r w:rsidR="00512F23" w:rsidRPr="00AC5413">
        <w:rPr>
          <w:rFonts w:ascii="Arial" w:hAnsi="Arial" w:cs="Arial"/>
          <w:sz w:val="24"/>
          <w:szCs w:val="24"/>
          <w:lang w:val="en-US"/>
        </w:rPr>
        <w:t>programme</w:t>
      </w:r>
      <w:proofErr w:type="spellEnd"/>
      <w:r w:rsidR="00512F23" w:rsidRPr="00AC5413">
        <w:rPr>
          <w:rFonts w:ascii="Arial" w:hAnsi="Arial" w:cs="Arial"/>
          <w:sz w:val="24"/>
          <w:szCs w:val="24"/>
          <w:lang w:val="en-US"/>
        </w:rPr>
        <w:t xml:space="preserve"> of </w:t>
      </w:r>
      <w:r w:rsidRPr="00AC5413">
        <w:rPr>
          <w:rFonts w:ascii="Arial" w:hAnsi="Arial" w:cs="Arial"/>
          <w:sz w:val="24"/>
          <w:szCs w:val="24"/>
          <w:lang w:val="en-US"/>
        </w:rPr>
        <w:t>‘</w:t>
      </w:r>
      <w:proofErr w:type="spellStart"/>
      <w:r w:rsidRPr="00AC5413">
        <w:rPr>
          <w:rFonts w:ascii="Arial" w:hAnsi="Arial" w:cs="Arial"/>
          <w:sz w:val="24"/>
          <w:szCs w:val="24"/>
          <w:lang w:val="en-US"/>
        </w:rPr>
        <w:t>arrivages</w:t>
      </w:r>
      <w:proofErr w:type="spellEnd"/>
      <w:r w:rsidRPr="00AC5413">
        <w:rPr>
          <w:rFonts w:ascii="Arial" w:hAnsi="Arial" w:cs="Arial"/>
          <w:sz w:val="24"/>
          <w:szCs w:val="24"/>
          <w:lang w:val="en-US"/>
        </w:rPr>
        <w:t>’</w:t>
      </w:r>
      <w:r w:rsidR="00512F23" w:rsidRPr="00AC5413">
        <w:rPr>
          <w:rFonts w:ascii="Arial" w:hAnsi="Arial" w:cs="Arial"/>
          <w:sz w:val="24"/>
          <w:szCs w:val="24"/>
          <w:lang w:val="en-US"/>
        </w:rPr>
        <w:t xml:space="preserve"> (one off special buys)</w:t>
      </w:r>
      <w:r w:rsidRPr="00AC5413">
        <w:rPr>
          <w:rFonts w:ascii="Arial" w:hAnsi="Arial" w:cs="Arial"/>
          <w:sz w:val="24"/>
          <w:szCs w:val="24"/>
          <w:lang w:val="en-US"/>
        </w:rPr>
        <w:t xml:space="preserve"> to Turkey &amp; Polan</w:t>
      </w:r>
      <w:r w:rsidR="00512F23" w:rsidRPr="00AC5413">
        <w:rPr>
          <w:rFonts w:ascii="Arial" w:hAnsi="Arial" w:cs="Arial"/>
          <w:sz w:val="24"/>
          <w:szCs w:val="24"/>
          <w:lang w:val="en-US"/>
        </w:rPr>
        <w:t>d</w:t>
      </w:r>
    </w:p>
    <w:p w:rsidR="00C3263C" w:rsidRPr="00AC5413" w:rsidRDefault="001C644B" w:rsidP="00A64D40">
      <w:pPr>
        <w:pStyle w:val="ListParagraph"/>
        <w:numPr>
          <w:ilvl w:val="0"/>
          <w:numId w:val="11"/>
        </w:numPr>
        <w:jc w:val="left"/>
        <w:rPr>
          <w:rFonts w:ascii="Arial" w:hAnsi="Arial" w:cs="Arial"/>
          <w:sz w:val="24"/>
          <w:szCs w:val="24"/>
          <w:lang w:val="en-US"/>
        </w:rPr>
      </w:pPr>
      <w:r w:rsidRPr="00AC5413">
        <w:rPr>
          <w:rFonts w:ascii="Arial" w:hAnsi="Arial" w:cs="Arial"/>
          <w:sz w:val="24"/>
          <w:szCs w:val="24"/>
          <w:lang w:val="en-US"/>
        </w:rPr>
        <w:t>Launch</w:t>
      </w:r>
      <w:r w:rsidR="002E1C49">
        <w:rPr>
          <w:rFonts w:ascii="Arial" w:hAnsi="Arial" w:cs="Arial"/>
          <w:sz w:val="24"/>
          <w:szCs w:val="24"/>
          <w:lang w:val="en-US"/>
        </w:rPr>
        <w:t>ed</w:t>
      </w:r>
      <w:r w:rsidRPr="00AC5413">
        <w:rPr>
          <w:rFonts w:ascii="Arial" w:hAnsi="Arial" w:cs="Arial"/>
          <w:sz w:val="24"/>
          <w:szCs w:val="24"/>
          <w:lang w:val="en-US"/>
        </w:rPr>
        <w:t xml:space="preserve"> UK Enterprise Finance Guarantee scheme for tradesmen</w:t>
      </w:r>
    </w:p>
    <w:p w:rsidR="004B463A" w:rsidRPr="00AC5413" w:rsidRDefault="000C59E4" w:rsidP="00442D67">
      <w:pPr>
        <w:ind w:left="851" w:firstLine="283"/>
        <w:contextualSpacing/>
        <w:rPr>
          <w:rFonts w:ascii="Arial" w:hAnsi="Arial" w:cs="Arial"/>
          <w:i/>
          <w:sz w:val="24"/>
          <w:szCs w:val="24"/>
        </w:rPr>
      </w:pPr>
      <w:r w:rsidRPr="00AC5413">
        <w:rPr>
          <w:rFonts w:ascii="Arial" w:hAnsi="Arial" w:cs="Arial"/>
          <w:i/>
          <w:sz w:val="24"/>
          <w:szCs w:val="24"/>
        </w:rPr>
        <w:t>Extend our o</w:t>
      </w:r>
      <w:r w:rsidR="004B463A" w:rsidRPr="00AC5413">
        <w:rPr>
          <w:rFonts w:ascii="Arial" w:hAnsi="Arial" w:cs="Arial"/>
          <w:i/>
          <w:sz w:val="24"/>
          <w:szCs w:val="24"/>
        </w:rPr>
        <w:t>mnichannel</w:t>
      </w:r>
      <w:r w:rsidR="00A83A46">
        <w:rPr>
          <w:rFonts w:ascii="Arial" w:hAnsi="Arial" w:cs="Arial"/>
          <w:i/>
          <w:sz w:val="24"/>
          <w:szCs w:val="24"/>
        </w:rPr>
        <w:t>*</w:t>
      </w:r>
      <w:r w:rsidRPr="00AC5413">
        <w:rPr>
          <w:rFonts w:ascii="Arial" w:hAnsi="Arial" w:cs="Arial"/>
          <w:i/>
          <w:sz w:val="24"/>
          <w:szCs w:val="24"/>
        </w:rPr>
        <w:t xml:space="preserve"> offer</w:t>
      </w:r>
    </w:p>
    <w:p w:rsidR="004B463A" w:rsidRDefault="00EF6EE0" w:rsidP="00A64D40">
      <w:pPr>
        <w:pStyle w:val="ListParagraph"/>
        <w:numPr>
          <w:ilvl w:val="0"/>
          <w:numId w:val="11"/>
        </w:numPr>
        <w:jc w:val="left"/>
        <w:rPr>
          <w:rFonts w:ascii="Arial" w:hAnsi="Arial" w:cs="Arial"/>
          <w:sz w:val="24"/>
          <w:szCs w:val="24"/>
        </w:rPr>
      </w:pPr>
      <w:r>
        <w:rPr>
          <w:rFonts w:ascii="Arial" w:hAnsi="Arial" w:cs="Arial"/>
          <w:sz w:val="24"/>
          <w:szCs w:val="24"/>
        </w:rPr>
        <w:t>U</w:t>
      </w:r>
      <w:r w:rsidR="004B463A" w:rsidRPr="00AC5413">
        <w:rPr>
          <w:rFonts w:ascii="Arial" w:hAnsi="Arial" w:cs="Arial"/>
          <w:sz w:val="24"/>
          <w:szCs w:val="24"/>
        </w:rPr>
        <w:t>pgraded B&amp;Q on-line</w:t>
      </w:r>
      <w:r w:rsidR="004B463A" w:rsidRPr="00A64D40">
        <w:rPr>
          <w:rFonts w:ascii="Arial" w:hAnsi="Arial" w:cs="Arial"/>
          <w:sz w:val="24"/>
          <w:szCs w:val="24"/>
        </w:rPr>
        <w:t xml:space="preserve"> </w:t>
      </w:r>
      <w:r w:rsidR="004B463A" w:rsidRPr="00AC5413">
        <w:rPr>
          <w:rFonts w:ascii="Arial" w:hAnsi="Arial" w:cs="Arial"/>
          <w:sz w:val="24"/>
          <w:szCs w:val="24"/>
        </w:rPr>
        <w:t>offer</w:t>
      </w:r>
      <w:r w:rsidR="00EB0885" w:rsidRPr="00AC5413">
        <w:rPr>
          <w:rFonts w:ascii="Arial" w:hAnsi="Arial" w:cs="Arial"/>
          <w:sz w:val="24"/>
          <w:szCs w:val="24"/>
        </w:rPr>
        <w:t xml:space="preserve"> (www.diy.com)</w:t>
      </w:r>
      <w:r w:rsidR="004B463A" w:rsidRPr="00AC5413">
        <w:rPr>
          <w:rFonts w:ascii="Arial" w:hAnsi="Arial" w:cs="Arial"/>
          <w:sz w:val="24"/>
          <w:szCs w:val="24"/>
        </w:rPr>
        <w:t xml:space="preserve">, including </w:t>
      </w:r>
      <w:r w:rsidR="004B463A" w:rsidRPr="00442D67">
        <w:rPr>
          <w:rFonts w:ascii="Arial" w:hAnsi="Arial" w:cs="Arial"/>
          <w:sz w:val="24"/>
          <w:szCs w:val="24"/>
        </w:rPr>
        <w:t xml:space="preserve">20,000 extra products for home delivery </w:t>
      </w:r>
      <w:r w:rsidR="000C59E4" w:rsidRPr="00442D67">
        <w:rPr>
          <w:rFonts w:ascii="Arial" w:hAnsi="Arial" w:cs="Arial"/>
          <w:sz w:val="24"/>
          <w:szCs w:val="24"/>
        </w:rPr>
        <w:t xml:space="preserve">(using </w:t>
      </w:r>
      <w:r w:rsidR="004B463A" w:rsidRPr="00442D67">
        <w:rPr>
          <w:rFonts w:ascii="Arial" w:hAnsi="Arial" w:cs="Arial"/>
          <w:sz w:val="24"/>
          <w:szCs w:val="24"/>
        </w:rPr>
        <w:t xml:space="preserve">Screwfix </w:t>
      </w:r>
      <w:r w:rsidR="000C59E4" w:rsidRPr="00442D67">
        <w:rPr>
          <w:rFonts w:ascii="Arial" w:hAnsi="Arial" w:cs="Arial"/>
          <w:sz w:val="24"/>
          <w:szCs w:val="24"/>
        </w:rPr>
        <w:t>omnichannel infrastructure)</w:t>
      </w:r>
    </w:p>
    <w:p w:rsidR="00D03FCC" w:rsidRPr="00AC5413" w:rsidRDefault="00D03FCC" w:rsidP="00A64D40">
      <w:pPr>
        <w:pStyle w:val="ListParagraph"/>
        <w:numPr>
          <w:ilvl w:val="0"/>
          <w:numId w:val="11"/>
        </w:numPr>
        <w:jc w:val="left"/>
        <w:rPr>
          <w:rFonts w:ascii="Arial" w:hAnsi="Arial" w:cs="Arial"/>
          <w:sz w:val="24"/>
          <w:szCs w:val="24"/>
        </w:rPr>
      </w:pPr>
      <w:r>
        <w:rPr>
          <w:rFonts w:ascii="Arial" w:hAnsi="Arial" w:cs="Arial"/>
          <w:sz w:val="24"/>
          <w:szCs w:val="24"/>
        </w:rPr>
        <w:t>Work to extend TradePoint</w:t>
      </w:r>
      <w:r w:rsidR="00A83A46">
        <w:rPr>
          <w:rFonts w:ascii="Arial" w:hAnsi="Arial" w:cs="Arial"/>
          <w:sz w:val="24"/>
          <w:szCs w:val="24"/>
        </w:rPr>
        <w:t>*</w:t>
      </w:r>
      <w:r>
        <w:rPr>
          <w:rFonts w:ascii="Arial" w:hAnsi="Arial" w:cs="Arial"/>
          <w:sz w:val="24"/>
          <w:szCs w:val="24"/>
        </w:rPr>
        <w:t xml:space="preserve"> website to main shop floor categories e.g. kitchens, continues</w:t>
      </w:r>
    </w:p>
    <w:p w:rsidR="00D371D5" w:rsidRPr="00AC5413" w:rsidRDefault="004A517F" w:rsidP="00A64D40">
      <w:pPr>
        <w:pStyle w:val="ListParagraph"/>
        <w:numPr>
          <w:ilvl w:val="0"/>
          <w:numId w:val="11"/>
        </w:numPr>
        <w:jc w:val="left"/>
        <w:rPr>
          <w:rFonts w:ascii="Arial" w:hAnsi="Arial" w:cs="Arial"/>
          <w:sz w:val="24"/>
          <w:szCs w:val="24"/>
        </w:rPr>
      </w:pPr>
      <w:r w:rsidRPr="00AC5413">
        <w:rPr>
          <w:rFonts w:ascii="Arial" w:hAnsi="Arial" w:cs="Arial"/>
          <w:sz w:val="24"/>
          <w:szCs w:val="24"/>
        </w:rPr>
        <w:t>Launch</w:t>
      </w:r>
      <w:r w:rsidR="002E1C49">
        <w:rPr>
          <w:rFonts w:ascii="Arial" w:hAnsi="Arial" w:cs="Arial"/>
          <w:sz w:val="24"/>
          <w:szCs w:val="24"/>
        </w:rPr>
        <w:t>ed</w:t>
      </w:r>
      <w:r w:rsidRPr="00AC5413">
        <w:rPr>
          <w:rFonts w:ascii="Arial" w:hAnsi="Arial" w:cs="Arial"/>
          <w:sz w:val="24"/>
          <w:szCs w:val="24"/>
        </w:rPr>
        <w:t xml:space="preserve"> u</w:t>
      </w:r>
      <w:r w:rsidR="00D371D5" w:rsidRPr="00AC5413">
        <w:rPr>
          <w:rFonts w:ascii="Arial" w:hAnsi="Arial" w:cs="Arial"/>
          <w:sz w:val="24"/>
          <w:szCs w:val="24"/>
        </w:rPr>
        <w:t>pgrade</w:t>
      </w:r>
      <w:r w:rsidRPr="00AC5413">
        <w:rPr>
          <w:rFonts w:ascii="Arial" w:hAnsi="Arial" w:cs="Arial"/>
          <w:sz w:val="24"/>
          <w:szCs w:val="24"/>
        </w:rPr>
        <w:t xml:space="preserve">d </w:t>
      </w:r>
      <w:r w:rsidR="00D371D5" w:rsidRPr="00AC5413">
        <w:rPr>
          <w:rFonts w:ascii="Arial" w:hAnsi="Arial" w:cs="Arial"/>
          <w:sz w:val="24"/>
          <w:szCs w:val="24"/>
        </w:rPr>
        <w:t>websites</w:t>
      </w:r>
      <w:r w:rsidR="00136BEE">
        <w:rPr>
          <w:rFonts w:ascii="Arial" w:hAnsi="Arial" w:cs="Arial"/>
          <w:sz w:val="24"/>
          <w:szCs w:val="24"/>
        </w:rPr>
        <w:t xml:space="preserve"> in</w:t>
      </w:r>
      <w:r w:rsidR="00D371D5" w:rsidRPr="00AC5413">
        <w:rPr>
          <w:rFonts w:ascii="Arial" w:hAnsi="Arial" w:cs="Arial"/>
          <w:sz w:val="24"/>
          <w:szCs w:val="24"/>
        </w:rPr>
        <w:t xml:space="preserve"> Turkey, China, Brico Dépôt France &amp; Spain </w:t>
      </w:r>
      <w:r w:rsidR="00136BEE">
        <w:rPr>
          <w:rFonts w:ascii="Arial" w:hAnsi="Arial" w:cs="Arial"/>
          <w:sz w:val="24"/>
          <w:szCs w:val="24"/>
        </w:rPr>
        <w:t>(work to extend Poland website continues)</w:t>
      </w:r>
    </w:p>
    <w:p w:rsidR="00081230" w:rsidRPr="00AC5413" w:rsidRDefault="00D371D5" w:rsidP="00A64D40">
      <w:pPr>
        <w:pStyle w:val="ListParagraph"/>
        <w:numPr>
          <w:ilvl w:val="0"/>
          <w:numId w:val="11"/>
        </w:numPr>
        <w:jc w:val="left"/>
        <w:rPr>
          <w:rFonts w:ascii="Arial" w:hAnsi="Arial" w:cs="Arial"/>
          <w:sz w:val="24"/>
          <w:szCs w:val="24"/>
        </w:rPr>
      </w:pPr>
      <w:r w:rsidRPr="00AC5413">
        <w:rPr>
          <w:rFonts w:ascii="Arial" w:hAnsi="Arial" w:cs="Arial"/>
          <w:sz w:val="24"/>
          <w:szCs w:val="24"/>
        </w:rPr>
        <w:t>Trial</w:t>
      </w:r>
      <w:r w:rsidR="00EF6EE0">
        <w:rPr>
          <w:rFonts w:ascii="Arial" w:hAnsi="Arial" w:cs="Arial"/>
          <w:sz w:val="24"/>
          <w:szCs w:val="24"/>
        </w:rPr>
        <w:t>led</w:t>
      </w:r>
      <w:r w:rsidRPr="00AC5413">
        <w:rPr>
          <w:rFonts w:ascii="Arial" w:hAnsi="Arial" w:cs="Arial"/>
          <w:sz w:val="24"/>
          <w:szCs w:val="24"/>
        </w:rPr>
        <w:t xml:space="preserve"> ‘click</w:t>
      </w:r>
      <w:r w:rsidR="00442D67">
        <w:rPr>
          <w:rFonts w:ascii="Arial" w:hAnsi="Arial" w:cs="Arial"/>
          <w:sz w:val="24"/>
          <w:szCs w:val="24"/>
        </w:rPr>
        <w:t xml:space="preserve"> &amp; collect’ in Castorama France</w:t>
      </w:r>
      <w:r w:rsidR="00BE5E4B" w:rsidRPr="00AC5413">
        <w:rPr>
          <w:rFonts w:ascii="Arial" w:hAnsi="Arial" w:cs="Arial"/>
          <w:sz w:val="24"/>
          <w:szCs w:val="24"/>
        </w:rPr>
        <w:t xml:space="preserve"> </w:t>
      </w:r>
      <w:r w:rsidRPr="00AC5413">
        <w:rPr>
          <w:rFonts w:ascii="Arial" w:hAnsi="Arial" w:cs="Arial"/>
          <w:sz w:val="24"/>
          <w:szCs w:val="24"/>
        </w:rPr>
        <w:t>&amp; Turkey</w:t>
      </w:r>
    </w:p>
    <w:p w:rsidR="00AC5413" w:rsidRPr="00AC5413" w:rsidRDefault="00AC5413" w:rsidP="0006717E">
      <w:pPr>
        <w:contextualSpacing/>
        <w:rPr>
          <w:rFonts w:ascii="Arial" w:hAnsi="Arial" w:cs="Arial"/>
          <w:b/>
          <w:sz w:val="24"/>
          <w:szCs w:val="24"/>
        </w:rPr>
      </w:pPr>
    </w:p>
    <w:p w:rsidR="003E3617" w:rsidRPr="00AC5413" w:rsidRDefault="003E3617" w:rsidP="0006717E">
      <w:pPr>
        <w:jc w:val="left"/>
        <w:rPr>
          <w:highlight w:val="magenta"/>
        </w:rPr>
      </w:pPr>
      <w:r w:rsidRPr="00AC5413">
        <w:rPr>
          <w:rFonts w:ascii="Arial" w:hAnsi="Arial" w:cs="Arial"/>
          <w:b/>
          <w:sz w:val="24"/>
          <w:szCs w:val="24"/>
        </w:rPr>
        <w:t>COMMON</w:t>
      </w:r>
      <w:r w:rsidRPr="00AC5413">
        <w:rPr>
          <w:rFonts w:ascii="Arial" w:hAnsi="Arial" w:cs="Arial"/>
          <w:sz w:val="24"/>
          <w:szCs w:val="24"/>
        </w:rPr>
        <w:t xml:space="preserve"> </w:t>
      </w:r>
    </w:p>
    <w:p w:rsidR="00806A5C" w:rsidRPr="00AC5413" w:rsidRDefault="00806A5C" w:rsidP="00442D67">
      <w:pPr>
        <w:ind w:left="720" w:firstLine="360"/>
        <w:contextualSpacing/>
        <w:jc w:val="left"/>
        <w:rPr>
          <w:rFonts w:ascii="Arial" w:hAnsi="Arial" w:cs="Arial"/>
          <w:i/>
          <w:sz w:val="24"/>
          <w:szCs w:val="24"/>
        </w:rPr>
      </w:pPr>
      <w:r w:rsidRPr="00AC5413">
        <w:rPr>
          <w:rFonts w:ascii="Arial" w:hAnsi="Arial" w:cs="Arial"/>
          <w:i/>
          <w:sz w:val="24"/>
          <w:szCs w:val="24"/>
        </w:rPr>
        <w:t>Product</w:t>
      </w:r>
      <w:r w:rsidR="005C5663" w:rsidRPr="00AC5413">
        <w:rPr>
          <w:rFonts w:ascii="Arial" w:hAnsi="Arial" w:cs="Arial"/>
          <w:i/>
          <w:sz w:val="24"/>
          <w:szCs w:val="24"/>
        </w:rPr>
        <w:t>:</w:t>
      </w:r>
    </w:p>
    <w:p w:rsidR="007F6C57" w:rsidRPr="00AC5413" w:rsidRDefault="007F6C57" w:rsidP="00A64D40">
      <w:pPr>
        <w:pStyle w:val="ListParagraph"/>
        <w:numPr>
          <w:ilvl w:val="0"/>
          <w:numId w:val="11"/>
        </w:numPr>
        <w:jc w:val="left"/>
        <w:rPr>
          <w:rFonts w:ascii="Arial" w:hAnsi="Arial" w:cs="Arial"/>
          <w:sz w:val="24"/>
          <w:szCs w:val="24"/>
        </w:rPr>
      </w:pPr>
      <w:r w:rsidRPr="00AC5413">
        <w:rPr>
          <w:rFonts w:ascii="Arial" w:hAnsi="Arial" w:cs="Arial"/>
          <w:sz w:val="24"/>
          <w:szCs w:val="24"/>
        </w:rPr>
        <w:t>Launch</w:t>
      </w:r>
      <w:r w:rsidR="00C767BD">
        <w:rPr>
          <w:rFonts w:ascii="Arial" w:hAnsi="Arial" w:cs="Arial"/>
          <w:sz w:val="24"/>
          <w:szCs w:val="24"/>
        </w:rPr>
        <w:t>ed</w:t>
      </w:r>
      <w:r w:rsidRPr="00AC5413">
        <w:rPr>
          <w:rFonts w:ascii="Arial" w:hAnsi="Arial" w:cs="Arial"/>
          <w:sz w:val="24"/>
          <w:szCs w:val="24"/>
        </w:rPr>
        <w:t xml:space="preserve"> new energy-efficiency ‘iQE’ Group brand</w:t>
      </w:r>
      <w:r w:rsidR="00806A5C" w:rsidRPr="00AC5413">
        <w:rPr>
          <w:rFonts w:ascii="Arial" w:hAnsi="Arial" w:cs="Arial"/>
          <w:sz w:val="24"/>
          <w:szCs w:val="24"/>
        </w:rPr>
        <w:t xml:space="preserve"> </w:t>
      </w:r>
    </w:p>
    <w:p w:rsidR="007F6C57" w:rsidRPr="00AC5413" w:rsidRDefault="001603A4" w:rsidP="00A64D40">
      <w:pPr>
        <w:pStyle w:val="ListParagraph"/>
        <w:numPr>
          <w:ilvl w:val="0"/>
          <w:numId w:val="11"/>
        </w:numPr>
        <w:jc w:val="left"/>
        <w:rPr>
          <w:rFonts w:ascii="Arial" w:hAnsi="Arial" w:cs="Arial"/>
          <w:sz w:val="24"/>
          <w:szCs w:val="24"/>
        </w:rPr>
      </w:pPr>
      <w:r>
        <w:rPr>
          <w:rFonts w:ascii="Arial" w:hAnsi="Arial" w:cs="Arial"/>
          <w:sz w:val="24"/>
          <w:szCs w:val="24"/>
        </w:rPr>
        <w:t>Extended common</w:t>
      </w:r>
      <w:r w:rsidR="00973D65">
        <w:rPr>
          <w:rFonts w:ascii="Arial" w:hAnsi="Arial" w:cs="Arial"/>
          <w:sz w:val="24"/>
          <w:szCs w:val="24"/>
        </w:rPr>
        <w:t>*</w:t>
      </w:r>
      <w:r>
        <w:rPr>
          <w:rFonts w:ascii="Arial" w:hAnsi="Arial" w:cs="Arial"/>
          <w:sz w:val="24"/>
          <w:szCs w:val="24"/>
        </w:rPr>
        <w:t xml:space="preserve"> p</w:t>
      </w:r>
      <w:r w:rsidR="007F6C57" w:rsidRPr="00AC5413">
        <w:rPr>
          <w:rFonts w:ascii="Arial" w:hAnsi="Arial" w:cs="Arial"/>
          <w:sz w:val="24"/>
          <w:szCs w:val="24"/>
        </w:rPr>
        <w:t>aint</w:t>
      </w:r>
      <w:r>
        <w:rPr>
          <w:rFonts w:ascii="Arial" w:hAnsi="Arial" w:cs="Arial"/>
          <w:sz w:val="24"/>
          <w:szCs w:val="24"/>
        </w:rPr>
        <w:t xml:space="preserve"> ranges </w:t>
      </w:r>
      <w:r w:rsidR="007F6C57" w:rsidRPr="00AC5413">
        <w:rPr>
          <w:rFonts w:ascii="Arial" w:hAnsi="Arial" w:cs="Arial"/>
          <w:sz w:val="24"/>
          <w:szCs w:val="24"/>
        </w:rPr>
        <w:t xml:space="preserve"> </w:t>
      </w:r>
    </w:p>
    <w:p w:rsidR="007F6C57" w:rsidRPr="00AC5413" w:rsidRDefault="007F6C57" w:rsidP="00442D67">
      <w:pPr>
        <w:pStyle w:val="ListParagraph"/>
        <w:numPr>
          <w:ilvl w:val="1"/>
          <w:numId w:val="3"/>
        </w:numPr>
        <w:contextualSpacing/>
        <w:jc w:val="left"/>
        <w:rPr>
          <w:rFonts w:ascii="Arial" w:hAnsi="Arial" w:cs="Arial"/>
          <w:sz w:val="24"/>
          <w:szCs w:val="24"/>
        </w:rPr>
      </w:pPr>
      <w:r w:rsidRPr="00AC5413">
        <w:rPr>
          <w:rFonts w:ascii="Arial" w:hAnsi="Arial" w:cs="Arial"/>
          <w:sz w:val="24"/>
          <w:szCs w:val="24"/>
        </w:rPr>
        <w:t>Roll</w:t>
      </w:r>
      <w:r w:rsidR="00C767BD">
        <w:rPr>
          <w:rFonts w:ascii="Arial" w:hAnsi="Arial" w:cs="Arial"/>
          <w:sz w:val="24"/>
          <w:szCs w:val="24"/>
        </w:rPr>
        <w:t>ed</w:t>
      </w:r>
      <w:r w:rsidRPr="00AC5413">
        <w:rPr>
          <w:rFonts w:ascii="Arial" w:hAnsi="Arial" w:cs="Arial"/>
          <w:sz w:val="24"/>
          <w:szCs w:val="24"/>
        </w:rPr>
        <w:t xml:space="preserve"> out ‘</w:t>
      </w:r>
      <w:r w:rsidR="004A5017" w:rsidRPr="00AC5413">
        <w:rPr>
          <w:rFonts w:ascii="Arial" w:hAnsi="Arial" w:cs="Arial"/>
          <w:sz w:val="24"/>
          <w:szCs w:val="24"/>
        </w:rPr>
        <w:t>C</w:t>
      </w:r>
      <w:r w:rsidRPr="00AC5413">
        <w:rPr>
          <w:rFonts w:ascii="Arial" w:hAnsi="Arial" w:cs="Arial"/>
          <w:sz w:val="24"/>
          <w:szCs w:val="24"/>
        </w:rPr>
        <w:t>olours’ Group own-brand paint into Russia &amp; Spain</w:t>
      </w:r>
    </w:p>
    <w:p w:rsidR="009D673A" w:rsidRPr="009D673A" w:rsidRDefault="009D673A" w:rsidP="009D673A">
      <w:pPr>
        <w:pStyle w:val="ListParagraph"/>
        <w:numPr>
          <w:ilvl w:val="1"/>
          <w:numId w:val="3"/>
        </w:numPr>
        <w:contextualSpacing/>
        <w:jc w:val="left"/>
        <w:rPr>
          <w:rFonts w:ascii="Arial" w:hAnsi="Arial" w:cs="Arial"/>
          <w:sz w:val="24"/>
          <w:szCs w:val="24"/>
        </w:rPr>
      </w:pPr>
      <w:r>
        <w:rPr>
          <w:rFonts w:ascii="Arial" w:hAnsi="Arial" w:cs="Arial"/>
          <w:sz w:val="24"/>
          <w:szCs w:val="24"/>
        </w:rPr>
        <w:t>Commenced</w:t>
      </w:r>
      <w:r w:rsidR="00EF6EE0" w:rsidRPr="009D673A">
        <w:rPr>
          <w:rFonts w:ascii="Arial" w:hAnsi="Arial" w:cs="Arial"/>
          <w:sz w:val="24"/>
          <w:szCs w:val="24"/>
        </w:rPr>
        <w:t xml:space="preserve"> r</w:t>
      </w:r>
      <w:r w:rsidR="007F6C57" w:rsidRPr="009D673A">
        <w:rPr>
          <w:rFonts w:ascii="Arial" w:hAnsi="Arial" w:cs="Arial"/>
          <w:sz w:val="24"/>
          <w:szCs w:val="24"/>
        </w:rPr>
        <w:t xml:space="preserve">oll out </w:t>
      </w:r>
      <w:r w:rsidR="00EF6EE0" w:rsidRPr="009D673A">
        <w:rPr>
          <w:rFonts w:ascii="Arial" w:hAnsi="Arial" w:cs="Arial"/>
          <w:sz w:val="24"/>
          <w:szCs w:val="24"/>
        </w:rPr>
        <w:t xml:space="preserve">of </w:t>
      </w:r>
      <w:r w:rsidR="007F6C57" w:rsidRPr="009D673A">
        <w:rPr>
          <w:rFonts w:ascii="Arial" w:hAnsi="Arial" w:cs="Arial"/>
          <w:sz w:val="24"/>
          <w:szCs w:val="24"/>
        </w:rPr>
        <w:t xml:space="preserve">new </w:t>
      </w:r>
      <w:r w:rsidR="00B47BF6">
        <w:rPr>
          <w:rFonts w:ascii="Arial" w:hAnsi="Arial" w:cs="Arial"/>
          <w:sz w:val="24"/>
          <w:szCs w:val="24"/>
        </w:rPr>
        <w:t>‘Colours’</w:t>
      </w:r>
      <w:r>
        <w:rPr>
          <w:rFonts w:ascii="Arial" w:hAnsi="Arial" w:cs="Arial"/>
          <w:sz w:val="24"/>
          <w:szCs w:val="24"/>
        </w:rPr>
        <w:t xml:space="preserve"> own-brand emulsion paint range across</w:t>
      </w:r>
      <w:r w:rsidR="007F6C57" w:rsidRPr="009D673A">
        <w:rPr>
          <w:rFonts w:ascii="Arial" w:hAnsi="Arial" w:cs="Arial"/>
          <w:sz w:val="24"/>
          <w:szCs w:val="24"/>
        </w:rPr>
        <w:t xml:space="preserve"> B&amp;Q UK</w:t>
      </w:r>
      <w:r>
        <w:rPr>
          <w:rFonts w:ascii="Arial" w:hAnsi="Arial" w:cs="Arial"/>
          <w:sz w:val="24"/>
          <w:szCs w:val="24"/>
        </w:rPr>
        <w:t xml:space="preserve"> (in 120 stores)</w:t>
      </w:r>
      <w:r w:rsidR="007F6C57" w:rsidRPr="009D673A">
        <w:rPr>
          <w:rFonts w:ascii="Arial" w:hAnsi="Arial" w:cs="Arial"/>
          <w:sz w:val="24"/>
          <w:szCs w:val="24"/>
        </w:rPr>
        <w:t xml:space="preserve"> &amp; Castorama France</w:t>
      </w:r>
      <w:r>
        <w:rPr>
          <w:rFonts w:ascii="Arial" w:hAnsi="Arial" w:cs="Arial"/>
          <w:sz w:val="24"/>
          <w:szCs w:val="24"/>
        </w:rPr>
        <w:t xml:space="preserve"> (completed)</w:t>
      </w:r>
    </w:p>
    <w:p w:rsidR="007F6C57" w:rsidRPr="00AC5413" w:rsidRDefault="007F6C57" w:rsidP="00442D67">
      <w:pPr>
        <w:pStyle w:val="ListParagraph"/>
        <w:numPr>
          <w:ilvl w:val="1"/>
          <w:numId w:val="3"/>
        </w:numPr>
        <w:contextualSpacing/>
        <w:jc w:val="left"/>
        <w:rPr>
          <w:rFonts w:ascii="Arial" w:hAnsi="Arial" w:cs="Arial"/>
          <w:sz w:val="24"/>
          <w:szCs w:val="24"/>
        </w:rPr>
      </w:pPr>
      <w:r w:rsidRPr="00AC5413">
        <w:rPr>
          <w:rFonts w:ascii="Arial" w:hAnsi="Arial" w:cs="Arial"/>
          <w:sz w:val="24"/>
          <w:szCs w:val="24"/>
        </w:rPr>
        <w:t>Launch</w:t>
      </w:r>
      <w:r w:rsidR="00C767BD">
        <w:rPr>
          <w:rFonts w:ascii="Arial" w:hAnsi="Arial" w:cs="Arial"/>
          <w:sz w:val="24"/>
          <w:szCs w:val="24"/>
        </w:rPr>
        <w:t>ed</w:t>
      </w:r>
      <w:r w:rsidRPr="00AC5413">
        <w:rPr>
          <w:rFonts w:ascii="Arial" w:hAnsi="Arial" w:cs="Arial"/>
          <w:sz w:val="24"/>
          <w:szCs w:val="24"/>
        </w:rPr>
        <w:t xml:space="preserve"> exclusive </w:t>
      </w:r>
      <w:r w:rsidR="00665141">
        <w:rPr>
          <w:rFonts w:ascii="Arial" w:hAnsi="Arial" w:cs="Arial"/>
          <w:sz w:val="24"/>
          <w:szCs w:val="24"/>
        </w:rPr>
        <w:t>‘</w:t>
      </w:r>
      <w:r w:rsidRPr="00AC5413">
        <w:rPr>
          <w:rFonts w:ascii="Arial" w:hAnsi="Arial" w:cs="Arial"/>
          <w:sz w:val="24"/>
          <w:szCs w:val="24"/>
        </w:rPr>
        <w:t>Valspar</w:t>
      </w:r>
      <w:r w:rsidR="00665141">
        <w:rPr>
          <w:rFonts w:ascii="Arial" w:hAnsi="Arial" w:cs="Arial"/>
          <w:sz w:val="24"/>
          <w:szCs w:val="24"/>
        </w:rPr>
        <w:t>’</w:t>
      </w:r>
      <w:r w:rsidRPr="00AC5413">
        <w:rPr>
          <w:rFonts w:ascii="Arial" w:hAnsi="Arial" w:cs="Arial"/>
          <w:sz w:val="24"/>
          <w:szCs w:val="24"/>
        </w:rPr>
        <w:t xml:space="preserve"> </w:t>
      </w:r>
      <w:r w:rsidR="00D71803" w:rsidRPr="00AC5413">
        <w:rPr>
          <w:rFonts w:ascii="Arial" w:hAnsi="Arial" w:cs="Arial"/>
          <w:sz w:val="24"/>
          <w:szCs w:val="24"/>
        </w:rPr>
        <w:t xml:space="preserve">paint </w:t>
      </w:r>
      <w:r w:rsidRPr="00AC5413">
        <w:rPr>
          <w:rFonts w:ascii="Arial" w:hAnsi="Arial" w:cs="Arial"/>
          <w:sz w:val="24"/>
          <w:szCs w:val="24"/>
        </w:rPr>
        <w:t xml:space="preserve">mixing desk into B&amp;Q </w:t>
      </w:r>
      <w:r w:rsidR="000F4BB3" w:rsidRPr="00AC5413">
        <w:rPr>
          <w:rFonts w:ascii="Arial" w:hAnsi="Arial" w:cs="Arial"/>
          <w:sz w:val="24"/>
          <w:szCs w:val="24"/>
        </w:rPr>
        <w:t xml:space="preserve">UK &amp; Ireland </w:t>
      </w:r>
      <w:r w:rsidR="00D03FCC">
        <w:rPr>
          <w:rFonts w:ascii="Arial" w:hAnsi="Arial" w:cs="Arial"/>
          <w:sz w:val="24"/>
          <w:szCs w:val="24"/>
        </w:rPr>
        <w:t xml:space="preserve">(now in 120 stores) </w:t>
      </w:r>
      <w:r w:rsidR="0036777F" w:rsidRPr="00AC5413">
        <w:rPr>
          <w:rFonts w:ascii="Arial" w:hAnsi="Arial" w:cs="Arial"/>
          <w:sz w:val="24"/>
          <w:szCs w:val="24"/>
        </w:rPr>
        <w:t>&amp;</w:t>
      </w:r>
      <w:r w:rsidRPr="00AC5413">
        <w:rPr>
          <w:rFonts w:ascii="Arial" w:hAnsi="Arial" w:cs="Arial"/>
          <w:sz w:val="24"/>
          <w:szCs w:val="24"/>
        </w:rPr>
        <w:t xml:space="preserve"> China</w:t>
      </w:r>
    </w:p>
    <w:p w:rsidR="003248EF" w:rsidRPr="003248EF" w:rsidRDefault="003248EF" w:rsidP="00A64D40">
      <w:pPr>
        <w:pStyle w:val="ListParagraph"/>
        <w:numPr>
          <w:ilvl w:val="0"/>
          <w:numId w:val="11"/>
        </w:numPr>
        <w:jc w:val="left"/>
        <w:rPr>
          <w:rFonts w:ascii="Arial" w:hAnsi="Arial" w:cs="Arial"/>
          <w:sz w:val="24"/>
          <w:szCs w:val="24"/>
        </w:rPr>
      </w:pPr>
      <w:r>
        <w:rPr>
          <w:rFonts w:ascii="Arial" w:hAnsi="Arial" w:cs="Arial"/>
          <w:sz w:val="24"/>
          <w:szCs w:val="24"/>
        </w:rPr>
        <w:t>L</w:t>
      </w:r>
      <w:r w:rsidRPr="00E6064A">
        <w:rPr>
          <w:rFonts w:ascii="Arial" w:hAnsi="Arial" w:cs="Arial"/>
          <w:sz w:val="24"/>
          <w:szCs w:val="24"/>
        </w:rPr>
        <w:t>aunch of</w:t>
      </w:r>
      <w:r w:rsidRPr="003248EF">
        <w:rPr>
          <w:rFonts w:ascii="Arial" w:hAnsi="Arial" w:cs="Arial"/>
          <w:sz w:val="24"/>
          <w:szCs w:val="24"/>
        </w:rPr>
        <w:t xml:space="preserve"> </w:t>
      </w:r>
      <w:r w:rsidR="00BB5B31">
        <w:rPr>
          <w:rFonts w:ascii="Arial" w:hAnsi="Arial" w:cs="Arial"/>
          <w:sz w:val="24"/>
          <w:szCs w:val="24"/>
        </w:rPr>
        <w:t>‘</w:t>
      </w:r>
      <w:r w:rsidRPr="003248EF">
        <w:rPr>
          <w:rFonts w:ascii="Arial" w:hAnsi="Arial" w:cs="Arial"/>
          <w:sz w:val="24"/>
          <w:szCs w:val="24"/>
        </w:rPr>
        <w:t>Site</w:t>
      </w:r>
      <w:r w:rsidR="00BB5B31">
        <w:rPr>
          <w:rFonts w:ascii="Arial" w:hAnsi="Arial" w:cs="Arial"/>
          <w:sz w:val="24"/>
          <w:szCs w:val="24"/>
        </w:rPr>
        <w:t>’</w:t>
      </w:r>
      <w:r w:rsidRPr="003248EF">
        <w:rPr>
          <w:rFonts w:ascii="Arial" w:hAnsi="Arial" w:cs="Arial"/>
          <w:sz w:val="24"/>
          <w:szCs w:val="24"/>
        </w:rPr>
        <w:t xml:space="preserve"> work wear into Brico Dépôt </w:t>
      </w:r>
      <w:r w:rsidR="00DE77A1">
        <w:rPr>
          <w:rFonts w:ascii="Arial" w:hAnsi="Arial" w:cs="Arial"/>
          <w:sz w:val="24"/>
          <w:szCs w:val="24"/>
        </w:rPr>
        <w:t xml:space="preserve">now planned during </w:t>
      </w:r>
      <w:r w:rsidRPr="003248EF">
        <w:rPr>
          <w:rFonts w:ascii="Arial" w:hAnsi="Arial" w:cs="Arial"/>
          <w:sz w:val="24"/>
          <w:szCs w:val="24"/>
        </w:rPr>
        <w:t>2014</w:t>
      </w:r>
      <w:r>
        <w:rPr>
          <w:rFonts w:ascii="Arial" w:hAnsi="Arial" w:cs="Arial"/>
          <w:sz w:val="24"/>
          <w:szCs w:val="24"/>
        </w:rPr>
        <w:t>/15</w:t>
      </w:r>
      <w:r w:rsidR="004B287F">
        <w:rPr>
          <w:rFonts w:ascii="Arial" w:hAnsi="Arial" w:cs="Arial"/>
          <w:sz w:val="24"/>
          <w:szCs w:val="24"/>
        </w:rPr>
        <w:t xml:space="preserve"> following ‘arrivage’ (one-off special buys) trial during 2013/14</w:t>
      </w:r>
    </w:p>
    <w:p w:rsidR="00F51486" w:rsidRPr="00E6064A" w:rsidRDefault="00C767BD" w:rsidP="00A64D40">
      <w:pPr>
        <w:pStyle w:val="ListParagraph"/>
        <w:numPr>
          <w:ilvl w:val="0"/>
          <w:numId w:val="11"/>
        </w:numPr>
        <w:jc w:val="left"/>
      </w:pPr>
      <w:r>
        <w:rPr>
          <w:rFonts w:ascii="Arial" w:hAnsi="Arial" w:cs="Arial"/>
          <w:sz w:val="24"/>
          <w:szCs w:val="24"/>
        </w:rPr>
        <w:lastRenderedPageBreak/>
        <w:t xml:space="preserve">Held </w:t>
      </w:r>
      <w:r w:rsidR="000C59E4" w:rsidRPr="00AC5413">
        <w:rPr>
          <w:rFonts w:ascii="Arial" w:hAnsi="Arial" w:cs="Arial"/>
          <w:sz w:val="24"/>
          <w:szCs w:val="24"/>
        </w:rPr>
        <w:t xml:space="preserve">inaugural European </w:t>
      </w:r>
      <w:r w:rsidR="007F6C57" w:rsidRPr="00AC5413">
        <w:rPr>
          <w:rFonts w:ascii="Arial" w:hAnsi="Arial" w:cs="Arial"/>
          <w:sz w:val="24"/>
          <w:szCs w:val="24"/>
        </w:rPr>
        <w:t>product show</w:t>
      </w:r>
      <w:r w:rsidR="006B7CBA" w:rsidRPr="00AC5413">
        <w:rPr>
          <w:rFonts w:ascii="Arial" w:hAnsi="Arial" w:cs="Arial"/>
          <w:sz w:val="24"/>
          <w:szCs w:val="24"/>
        </w:rPr>
        <w:t>,</w:t>
      </w:r>
      <w:r>
        <w:rPr>
          <w:rFonts w:ascii="Arial" w:hAnsi="Arial" w:cs="Arial"/>
          <w:sz w:val="24"/>
          <w:szCs w:val="24"/>
        </w:rPr>
        <w:t xml:space="preserve"> </w:t>
      </w:r>
      <w:r w:rsidR="006B7CBA" w:rsidRPr="00AC5413">
        <w:rPr>
          <w:rFonts w:ascii="Arial" w:hAnsi="Arial" w:cs="Arial"/>
          <w:sz w:val="24"/>
          <w:szCs w:val="24"/>
        </w:rPr>
        <w:t xml:space="preserve">attended by 6,000 </w:t>
      </w:r>
      <w:r w:rsidR="007F6C57" w:rsidRPr="00AC5413">
        <w:rPr>
          <w:rFonts w:ascii="Arial" w:hAnsi="Arial" w:cs="Arial"/>
          <w:sz w:val="24"/>
          <w:szCs w:val="24"/>
        </w:rPr>
        <w:t>store</w:t>
      </w:r>
      <w:r w:rsidR="006B7CBA" w:rsidRPr="00AC5413">
        <w:rPr>
          <w:rFonts w:ascii="Arial" w:hAnsi="Arial" w:cs="Arial"/>
          <w:sz w:val="24"/>
          <w:szCs w:val="24"/>
        </w:rPr>
        <w:t xml:space="preserve"> </w:t>
      </w:r>
      <w:r w:rsidR="0036777F" w:rsidRPr="00AC5413">
        <w:rPr>
          <w:rFonts w:ascii="Arial" w:hAnsi="Arial" w:cs="Arial"/>
          <w:sz w:val="24"/>
          <w:szCs w:val="24"/>
        </w:rPr>
        <w:t>&amp;</w:t>
      </w:r>
      <w:r w:rsidR="006B7CBA" w:rsidRPr="00AC5413">
        <w:rPr>
          <w:rFonts w:ascii="Arial" w:hAnsi="Arial" w:cs="Arial"/>
          <w:sz w:val="24"/>
          <w:szCs w:val="24"/>
        </w:rPr>
        <w:t xml:space="preserve"> buying colleagues from the UK </w:t>
      </w:r>
      <w:r w:rsidR="0036777F" w:rsidRPr="00AC5413">
        <w:rPr>
          <w:rFonts w:ascii="Arial" w:hAnsi="Arial" w:cs="Arial"/>
          <w:sz w:val="24"/>
          <w:szCs w:val="24"/>
        </w:rPr>
        <w:t>&amp;</w:t>
      </w:r>
      <w:r w:rsidR="006B7CBA" w:rsidRPr="00AC5413">
        <w:rPr>
          <w:rFonts w:ascii="Arial" w:hAnsi="Arial" w:cs="Arial"/>
          <w:sz w:val="24"/>
          <w:szCs w:val="24"/>
        </w:rPr>
        <w:t xml:space="preserve"> France</w:t>
      </w:r>
      <w:r w:rsidR="007F6C57" w:rsidRPr="00AC5413">
        <w:rPr>
          <w:rFonts w:ascii="Arial" w:hAnsi="Arial" w:cs="Arial"/>
          <w:sz w:val="24"/>
          <w:szCs w:val="24"/>
        </w:rPr>
        <w:t xml:space="preserve"> </w:t>
      </w:r>
    </w:p>
    <w:p w:rsidR="00D03FCC" w:rsidRPr="00F22393" w:rsidRDefault="00D03FCC" w:rsidP="00A64D40">
      <w:pPr>
        <w:pStyle w:val="ListParagraph"/>
        <w:numPr>
          <w:ilvl w:val="0"/>
          <w:numId w:val="11"/>
        </w:numPr>
        <w:jc w:val="left"/>
      </w:pPr>
      <w:r w:rsidRPr="00F22393">
        <w:rPr>
          <w:rFonts w:ascii="Arial" w:hAnsi="Arial" w:cs="Arial"/>
          <w:sz w:val="24"/>
          <w:szCs w:val="24"/>
        </w:rPr>
        <w:t xml:space="preserve">Achieved </w:t>
      </w:r>
      <w:r w:rsidR="00341E1C" w:rsidRPr="00F22393">
        <w:rPr>
          <w:rFonts w:ascii="Arial" w:hAnsi="Arial" w:cs="Arial"/>
          <w:sz w:val="24"/>
          <w:szCs w:val="24"/>
        </w:rPr>
        <w:t>9</w:t>
      </w:r>
      <w:r w:rsidRPr="00F22393">
        <w:rPr>
          <w:rFonts w:ascii="Arial" w:hAnsi="Arial" w:cs="Arial"/>
          <w:sz w:val="24"/>
          <w:szCs w:val="24"/>
        </w:rPr>
        <w:t xml:space="preserve">% common (up from 8% last year) and </w:t>
      </w:r>
      <w:r w:rsidR="00341E1C" w:rsidRPr="00F22393">
        <w:rPr>
          <w:rFonts w:ascii="Arial" w:hAnsi="Arial" w:cs="Arial"/>
          <w:sz w:val="24"/>
          <w:szCs w:val="24"/>
        </w:rPr>
        <w:t>20</w:t>
      </w:r>
      <w:r w:rsidR="00CA5164" w:rsidRPr="00F22393">
        <w:rPr>
          <w:rFonts w:ascii="Arial" w:hAnsi="Arial" w:cs="Arial"/>
          <w:sz w:val="24"/>
          <w:szCs w:val="24"/>
        </w:rPr>
        <w:t xml:space="preserve">% </w:t>
      </w:r>
      <w:r w:rsidRPr="00F22393">
        <w:rPr>
          <w:rFonts w:ascii="Arial" w:hAnsi="Arial" w:cs="Arial"/>
          <w:sz w:val="24"/>
          <w:szCs w:val="24"/>
        </w:rPr>
        <w:t>direct</w:t>
      </w:r>
      <w:r w:rsidR="00CA5164" w:rsidRPr="00F22393">
        <w:rPr>
          <w:rFonts w:ascii="Arial" w:hAnsi="Arial" w:cs="Arial"/>
          <w:sz w:val="24"/>
          <w:szCs w:val="24"/>
        </w:rPr>
        <w:t xml:space="preserve"> sourcing (up from 19% last year) </w:t>
      </w:r>
      <w:r w:rsidR="0046251F">
        <w:rPr>
          <w:rFonts w:ascii="Arial" w:hAnsi="Arial" w:cs="Arial"/>
          <w:sz w:val="24"/>
          <w:szCs w:val="24"/>
        </w:rPr>
        <w:t>reflecting a re-emphasis of quality over quantity</w:t>
      </w:r>
    </w:p>
    <w:p w:rsidR="00CA5164" w:rsidRPr="00AC5413" w:rsidRDefault="001E7E51" w:rsidP="00A64D40">
      <w:pPr>
        <w:pStyle w:val="ListParagraph"/>
        <w:numPr>
          <w:ilvl w:val="0"/>
          <w:numId w:val="11"/>
        </w:numPr>
        <w:jc w:val="left"/>
      </w:pPr>
      <w:r>
        <w:rPr>
          <w:rFonts w:ascii="Arial" w:hAnsi="Arial" w:cs="Arial"/>
          <w:sz w:val="24"/>
          <w:szCs w:val="24"/>
        </w:rPr>
        <w:t>E</w:t>
      </w:r>
      <w:r w:rsidR="00CA5164">
        <w:rPr>
          <w:rFonts w:ascii="Arial" w:hAnsi="Arial" w:cs="Arial"/>
          <w:sz w:val="24"/>
          <w:szCs w:val="24"/>
        </w:rPr>
        <w:t>xtend</w:t>
      </w:r>
      <w:r>
        <w:rPr>
          <w:rFonts w:ascii="Arial" w:hAnsi="Arial" w:cs="Arial"/>
          <w:sz w:val="24"/>
          <w:szCs w:val="24"/>
        </w:rPr>
        <w:t>ed</w:t>
      </w:r>
      <w:r w:rsidR="00CA5164">
        <w:rPr>
          <w:rFonts w:ascii="Arial" w:hAnsi="Arial" w:cs="Arial"/>
          <w:sz w:val="24"/>
          <w:szCs w:val="24"/>
        </w:rPr>
        <w:t xml:space="preserve"> F</w:t>
      </w:r>
      <w:r w:rsidR="00234FFB">
        <w:rPr>
          <w:rFonts w:ascii="Arial" w:hAnsi="Arial" w:cs="Arial"/>
          <w:sz w:val="24"/>
          <w:szCs w:val="24"/>
        </w:rPr>
        <w:t>re</w:t>
      </w:r>
      <w:r w:rsidR="00CA5164">
        <w:rPr>
          <w:rFonts w:ascii="Arial" w:hAnsi="Arial" w:cs="Arial"/>
          <w:sz w:val="24"/>
          <w:szCs w:val="24"/>
        </w:rPr>
        <w:t>nch common supplier contracts to the wider Castorama &amp; Brico Dépôt brands division</w:t>
      </w:r>
    </w:p>
    <w:p w:rsidR="00806A5C" w:rsidRPr="00AC5413" w:rsidRDefault="00806A5C" w:rsidP="00442D67">
      <w:pPr>
        <w:ind w:left="720" w:firstLine="414"/>
        <w:contextualSpacing/>
        <w:jc w:val="left"/>
        <w:rPr>
          <w:rFonts w:ascii="Arial" w:hAnsi="Arial" w:cs="Arial"/>
          <w:i/>
          <w:sz w:val="24"/>
          <w:szCs w:val="24"/>
        </w:rPr>
      </w:pPr>
      <w:r w:rsidRPr="00AC5413">
        <w:rPr>
          <w:rFonts w:ascii="Arial" w:hAnsi="Arial" w:cs="Arial"/>
          <w:i/>
          <w:sz w:val="24"/>
          <w:szCs w:val="24"/>
        </w:rPr>
        <w:t>Efficiency:</w:t>
      </w:r>
    </w:p>
    <w:p w:rsidR="00806A5C" w:rsidRPr="00AC5413" w:rsidRDefault="00806A5C" w:rsidP="00A64D40">
      <w:pPr>
        <w:pStyle w:val="ListParagraph"/>
        <w:numPr>
          <w:ilvl w:val="0"/>
          <w:numId w:val="11"/>
        </w:numPr>
        <w:jc w:val="left"/>
        <w:rPr>
          <w:rFonts w:ascii="Arial" w:hAnsi="Arial" w:cs="Arial"/>
          <w:sz w:val="24"/>
          <w:szCs w:val="24"/>
        </w:rPr>
      </w:pPr>
      <w:r w:rsidRPr="00AC5413">
        <w:rPr>
          <w:rFonts w:ascii="Arial" w:hAnsi="Arial" w:cs="Arial"/>
          <w:sz w:val="24"/>
          <w:szCs w:val="24"/>
        </w:rPr>
        <w:t xml:space="preserve">Upweighted </w:t>
      </w:r>
      <w:r w:rsidR="00074BF9" w:rsidRPr="00AC5413">
        <w:rPr>
          <w:rFonts w:ascii="Arial" w:hAnsi="Arial" w:cs="Arial"/>
          <w:sz w:val="24"/>
          <w:szCs w:val="24"/>
        </w:rPr>
        <w:t>distribution</w:t>
      </w:r>
      <w:r w:rsidRPr="00AC5413">
        <w:rPr>
          <w:rFonts w:ascii="Arial" w:hAnsi="Arial" w:cs="Arial"/>
          <w:sz w:val="24"/>
          <w:szCs w:val="24"/>
        </w:rPr>
        <w:t xml:space="preserve"> and </w:t>
      </w:r>
      <w:r w:rsidR="00D71803" w:rsidRPr="00AC5413">
        <w:rPr>
          <w:rFonts w:ascii="Arial" w:hAnsi="Arial" w:cs="Arial"/>
          <w:sz w:val="24"/>
          <w:szCs w:val="24"/>
        </w:rPr>
        <w:t xml:space="preserve">cross </w:t>
      </w:r>
      <w:r w:rsidRPr="00AC5413">
        <w:rPr>
          <w:rFonts w:ascii="Arial" w:hAnsi="Arial" w:cs="Arial"/>
          <w:sz w:val="24"/>
          <w:szCs w:val="24"/>
        </w:rPr>
        <w:t>docking capability in Poland, Spain &amp; Turkey</w:t>
      </w:r>
    </w:p>
    <w:p w:rsidR="00806A5C" w:rsidRPr="00AC5413" w:rsidRDefault="0083656F" w:rsidP="00A64D40">
      <w:pPr>
        <w:pStyle w:val="ListParagraph"/>
        <w:numPr>
          <w:ilvl w:val="0"/>
          <w:numId w:val="11"/>
        </w:numPr>
        <w:jc w:val="left"/>
        <w:rPr>
          <w:rFonts w:ascii="Arial" w:hAnsi="Arial" w:cs="Arial"/>
          <w:sz w:val="24"/>
          <w:szCs w:val="24"/>
        </w:rPr>
      </w:pPr>
      <w:r w:rsidRPr="00AC5413">
        <w:rPr>
          <w:rFonts w:ascii="Arial" w:hAnsi="Arial" w:cs="Arial"/>
          <w:sz w:val="24"/>
          <w:szCs w:val="24"/>
        </w:rPr>
        <w:t>SG&amp;A (s</w:t>
      </w:r>
      <w:r w:rsidR="000F4BB3" w:rsidRPr="00AC5413">
        <w:rPr>
          <w:rFonts w:ascii="Arial" w:hAnsi="Arial" w:cs="Arial"/>
          <w:sz w:val="24"/>
          <w:szCs w:val="24"/>
        </w:rPr>
        <w:t xml:space="preserve">elling, </w:t>
      </w:r>
      <w:r w:rsidRPr="00AC5413">
        <w:rPr>
          <w:rFonts w:ascii="Arial" w:hAnsi="Arial" w:cs="Arial"/>
          <w:sz w:val="24"/>
          <w:szCs w:val="24"/>
        </w:rPr>
        <w:t>g</w:t>
      </w:r>
      <w:r w:rsidR="000F4BB3" w:rsidRPr="00AC5413">
        <w:rPr>
          <w:rFonts w:ascii="Arial" w:hAnsi="Arial" w:cs="Arial"/>
          <w:sz w:val="24"/>
          <w:szCs w:val="24"/>
        </w:rPr>
        <w:t xml:space="preserve">eneral &amp; </w:t>
      </w:r>
      <w:r w:rsidRPr="00AC5413">
        <w:rPr>
          <w:rFonts w:ascii="Arial" w:hAnsi="Arial" w:cs="Arial"/>
          <w:sz w:val="24"/>
          <w:szCs w:val="24"/>
        </w:rPr>
        <w:t>a</w:t>
      </w:r>
      <w:r w:rsidR="000F4BB3" w:rsidRPr="00AC5413">
        <w:rPr>
          <w:rFonts w:ascii="Arial" w:hAnsi="Arial" w:cs="Arial"/>
          <w:sz w:val="24"/>
          <w:szCs w:val="24"/>
        </w:rPr>
        <w:t>dministrative expenses</w:t>
      </w:r>
      <w:r w:rsidRPr="00AC5413">
        <w:rPr>
          <w:rFonts w:ascii="Arial" w:hAnsi="Arial" w:cs="Arial"/>
          <w:sz w:val="24"/>
          <w:szCs w:val="24"/>
        </w:rPr>
        <w:t>)</w:t>
      </w:r>
      <w:r w:rsidR="000F4BB3" w:rsidRPr="00AC5413">
        <w:rPr>
          <w:rFonts w:ascii="Arial" w:hAnsi="Arial" w:cs="Arial"/>
          <w:sz w:val="24"/>
          <w:szCs w:val="24"/>
        </w:rPr>
        <w:t xml:space="preserve"> </w:t>
      </w:r>
      <w:r w:rsidR="00806A5C" w:rsidRPr="00AC5413">
        <w:rPr>
          <w:rFonts w:ascii="Arial" w:hAnsi="Arial" w:cs="Arial"/>
          <w:sz w:val="24"/>
          <w:szCs w:val="24"/>
        </w:rPr>
        <w:t>optimisation from media buying programmes across the UK &amp; France</w:t>
      </w:r>
      <w:r w:rsidR="00C767BD">
        <w:rPr>
          <w:rFonts w:ascii="Arial" w:hAnsi="Arial" w:cs="Arial"/>
          <w:sz w:val="24"/>
          <w:szCs w:val="24"/>
        </w:rPr>
        <w:t xml:space="preserve">. Achieved </w:t>
      </w:r>
      <w:r w:rsidR="003A179E">
        <w:rPr>
          <w:rFonts w:ascii="Arial" w:hAnsi="Arial" w:cs="Arial"/>
          <w:sz w:val="24"/>
          <w:szCs w:val="24"/>
        </w:rPr>
        <w:t>c. £</w:t>
      </w:r>
      <w:r w:rsidR="008F2F64">
        <w:rPr>
          <w:rFonts w:ascii="Arial" w:hAnsi="Arial" w:cs="Arial"/>
          <w:sz w:val="24"/>
          <w:szCs w:val="24"/>
        </w:rPr>
        <w:t>4</w:t>
      </w:r>
      <w:r w:rsidR="003A179E">
        <w:rPr>
          <w:rFonts w:ascii="Arial" w:hAnsi="Arial" w:cs="Arial"/>
          <w:sz w:val="24"/>
          <w:szCs w:val="24"/>
        </w:rPr>
        <w:t>0</w:t>
      </w:r>
      <w:r w:rsidR="00C767BD">
        <w:rPr>
          <w:rFonts w:ascii="Arial" w:hAnsi="Arial" w:cs="Arial"/>
          <w:sz w:val="24"/>
          <w:szCs w:val="24"/>
        </w:rPr>
        <w:t xml:space="preserve">m total savings from Group SG&amp;A </w:t>
      </w:r>
      <w:r w:rsidR="003A179E">
        <w:rPr>
          <w:rFonts w:ascii="Arial" w:hAnsi="Arial" w:cs="Arial"/>
          <w:sz w:val="24"/>
          <w:szCs w:val="24"/>
        </w:rPr>
        <w:t xml:space="preserve">initiatives since the start of </w:t>
      </w:r>
      <w:r w:rsidR="00234FFB">
        <w:rPr>
          <w:rFonts w:ascii="Arial" w:hAnsi="Arial" w:cs="Arial"/>
          <w:sz w:val="24"/>
          <w:szCs w:val="24"/>
        </w:rPr>
        <w:t>‘</w:t>
      </w:r>
      <w:r w:rsidR="003A179E">
        <w:rPr>
          <w:rFonts w:ascii="Arial" w:hAnsi="Arial" w:cs="Arial"/>
          <w:sz w:val="24"/>
          <w:szCs w:val="24"/>
        </w:rPr>
        <w:t>Creating the Leader’</w:t>
      </w:r>
    </w:p>
    <w:p w:rsidR="00806A5C" w:rsidRPr="00AC5413" w:rsidRDefault="00D03FCC" w:rsidP="00A64D40">
      <w:pPr>
        <w:pStyle w:val="ListParagraph"/>
        <w:numPr>
          <w:ilvl w:val="0"/>
          <w:numId w:val="11"/>
        </w:numPr>
        <w:jc w:val="left"/>
        <w:rPr>
          <w:rFonts w:ascii="Arial" w:hAnsi="Arial" w:cs="Arial"/>
          <w:sz w:val="24"/>
          <w:szCs w:val="24"/>
        </w:rPr>
      </w:pPr>
      <w:r>
        <w:rPr>
          <w:rFonts w:ascii="Arial" w:hAnsi="Arial" w:cs="Arial"/>
          <w:sz w:val="24"/>
          <w:szCs w:val="24"/>
        </w:rPr>
        <w:t xml:space="preserve">Extended </w:t>
      </w:r>
      <w:r w:rsidR="00806A5C" w:rsidRPr="00AC5413">
        <w:rPr>
          <w:rFonts w:ascii="Arial" w:hAnsi="Arial" w:cs="Arial"/>
          <w:sz w:val="24"/>
          <w:szCs w:val="24"/>
        </w:rPr>
        <w:t>Brico Dépôt shelf</w:t>
      </w:r>
      <w:r w:rsidR="00512BF0">
        <w:rPr>
          <w:rFonts w:ascii="Arial" w:hAnsi="Arial" w:cs="Arial"/>
          <w:sz w:val="24"/>
          <w:szCs w:val="24"/>
        </w:rPr>
        <w:t>-</w:t>
      </w:r>
      <w:r w:rsidR="00806A5C" w:rsidRPr="00AC5413">
        <w:rPr>
          <w:rFonts w:ascii="Arial" w:hAnsi="Arial" w:cs="Arial"/>
          <w:sz w:val="24"/>
          <w:szCs w:val="24"/>
        </w:rPr>
        <w:t>ready packaging</w:t>
      </w:r>
      <w:r>
        <w:rPr>
          <w:rFonts w:ascii="Arial" w:hAnsi="Arial" w:cs="Arial"/>
          <w:sz w:val="24"/>
          <w:szCs w:val="24"/>
        </w:rPr>
        <w:t>.</w:t>
      </w:r>
      <w:r w:rsidR="00D26ED6">
        <w:rPr>
          <w:rFonts w:ascii="Arial" w:hAnsi="Arial" w:cs="Arial"/>
          <w:sz w:val="24"/>
          <w:szCs w:val="24"/>
        </w:rPr>
        <w:t xml:space="preserve"> </w:t>
      </w:r>
      <w:r>
        <w:rPr>
          <w:rFonts w:ascii="Arial" w:hAnsi="Arial" w:cs="Arial"/>
          <w:sz w:val="24"/>
          <w:szCs w:val="24"/>
        </w:rPr>
        <w:t>N</w:t>
      </w:r>
      <w:r w:rsidR="00D26ED6">
        <w:rPr>
          <w:rFonts w:ascii="Arial" w:hAnsi="Arial" w:cs="Arial"/>
          <w:sz w:val="24"/>
          <w:szCs w:val="24"/>
        </w:rPr>
        <w:t>ow at 32%, up from 20%</w:t>
      </w:r>
      <w:r w:rsidR="00EF6EE0">
        <w:rPr>
          <w:rFonts w:ascii="Arial" w:hAnsi="Arial" w:cs="Arial"/>
          <w:sz w:val="24"/>
          <w:szCs w:val="24"/>
        </w:rPr>
        <w:t xml:space="preserve"> in 2012/13</w:t>
      </w:r>
    </w:p>
    <w:p w:rsidR="000D381E" w:rsidRPr="00AC5413" w:rsidRDefault="005F309B" w:rsidP="00A64D40">
      <w:pPr>
        <w:pStyle w:val="ListParagraph"/>
        <w:numPr>
          <w:ilvl w:val="0"/>
          <w:numId w:val="11"/>
        </w:numPr>
        <w:jc w:val="left"/>
        <w:rPr>
          <w:rFonts w:ascii="Arial" w:hAnsi="Arial" w:cs="Arial"/>
          <w:sz w:val="24"/>
          <w:szCs w:val="24"/>
        </w:rPr>
      </w:pPr>
      <w:r w:rsidRPr="00A64D40">
        <w:rPr>
          <w:rFonts w:ascii="Arial" w:hAnsi="Arial" w:cs="Arial"/>
          <w:sz w:val="24"/>
          <w:szCs w:val="24"/>
        </w:rPr>
        <w:t>Roll</w:t>
      </w:r>
      <w:r w:rsidR="00C767BD" w:rsidRPr="00A64D40">
        <w:rPr>
          <w:rFonts w:ascii="Arial" w:hAnsi="Arial" w:cs="Arial"/>
          <w:sz w:val="24"/>
          <w:szCs w:val="24"/>
        </w:rPr>
        <w:t>ed</w:t>
      </w:r>
      <w:r w:rsidRPr="00A64D40">
        <w:rPr>
          <w:rFonts w:ascii="Arial" w:hAnsi="Arial" w:cs="Arial"/>
          <w:sz w:val="24"/>
          <w:szCs w:val="24"/>
        </w:rPr>
        <w:t xml:space="preserve"> out France &amp; Spain all</w:t>
      </w:r>
      <w:r w:rsidR="00512BF0">
        <w:rPr>
          <w:rFonts w:ascii="Arial" w:hAnsi="Arial" w:cs="Arial"/>
          <w:sz w:val="24"/>
          <w:szCs w:val="24"/>
        </w:rPr>
        <w:t>-</w:t>
      </w:r>
      <w:r w:rsidRPr="00A64D40">
        <w:rPr>
          <w:rFonts w:ascii="Arial" w:hAnsi="Arial" w:cs="Arial"/>
          <w:sz w:val="24"/>
          <w:szCs w:val="24"/>
        </w:rPr>
        <w:t>staff bonus programmes to Poland (linked to individual store sales &amp; profit growth)</w:t>
      </w:r>
    </w:p>
    <w:p w:rsidR="00074BF9" w:rsidRPr="00AC5413" w:rsidRDefault="00D03FCC" w:rsidP="00A64D40">
      <w:pPr>
        <w:pStyle w:val="ListParagraph"/>
        <w:numPr>
          <w:ilvl w:val="0"/>
          <w:numId w:val="11"/>
        </w:numPr>
        <w:jc w:val="left"/>
        <w:rPr>
          <w:rFonts w:ascii="Arial" w:hAnsi="Arial" w:cs="Arial"/>
          <w:sz w:val="24"/>
          <w:szCs w:val="24"/>
        </w:rPr>
      </w:pPr>
      <w:r>
        <w:rPr>
          <w:rFonts w:ascii="Arial" w:hAnsi="Arial" w:cs="Arial"/>
          <w:sz w:val="24"/>
          <w:szCs w:val="24"/>
        </w:rPr>
        <w:t xml:space="preserve">Undertook </w:t>
      </w:r>
      <w:r w:rsidR="00806A5C" w:rsidRPr="00AC5413">
        <w:rPr>
          <w:rFonts w:ascii="Arial" w:hAnsi="Arial" w:cs="Arial"/>
          <w:sz w:val="24"/>
          <w:szCs w:val="24"/>
        </w:rPr>
        <w:t>IT process mapping analysis at Castorama France in readiness for Group</w:t>
      </w:r>
      <w:r w:rsidR="00E27589">
        <w:rPr>
          <w:rFonts w:ascii="Arial" w:hAnsi="Arial" w:cs="Arial"/>
          <w:sz w:val="24"/>
          <w:szCs w:val="24"/>
        </w:rPr>
        <w:t>-</w:t>
      </w:r>
      <w:r>
        <w:rPr>
          <w:rFonts w:ascii="Arial" w:hAnsi="Arial" w:cs="Arial"/>
          <w:sz w:val="24"/>
          <w:szCs w:val="24"/>
        </w:rPr>
        <w:t>wide IT programme</w:t>
      </w:r>
    </w:p>
    <w:p w:rsidR="005A267E" w:rsidRDefault="005A267E" w:rsidP="0006717E">
      <w:pPr>
        <w:jc w:val="left"/>
        <w:rPr>
          <w:rFonts w:ascii="Arial" w:hAnsi="Arial" w:cs="Arial"/>
          <w:b/>
          <w:sz w:val="24"/>
          <w:szCs w:val="24"/>
        </w:rPr>
      </w:pPr>
    </w:p>
    <w:p w:rsidR="003E3617" w:rsidRPr="00AC5413" w:rsidRDefault="003E3617" w:rsidP="0006717E">
      <w:pPr>
        <w:jc w:val="left"/>
        <w:rPr>
          <w:highlight w:val="magenta"/>
        </w:rPr>
      </w:pPr>
      <w:r w:rsidRPr="00AC5413">
        <w:rPr>
          <w:rFonts w:ascii="Arial" w:hAnsi="Arial" w:cs="Arial"/>
          <w:b/>
          <w:sz w:val="24"/>
          <w:szCs w:val="24"/>
        </w:rPr>
        <w:t xml:space="preserve">EXPAND </w:t>
      </w:r>
    </w:p>
    <w:p w:rsidR="00FD133A" w:rsidRDefault="00C03ADC" w:rsidP="00A64D40">
      <w:pPr>
        <w:pStyle w:val="ListParagraph"/>
        <w:numPr>
          <w:ilvl w:val="0"/>
          <w:numId w:val="11"/>
        </w:numPr>
        <w:jc w:val="left"/>
        <w:rPr>
          <w:rFonts w:ascii="Arial" w:hAnsi="Arial" w:cs="Arial"/>
          <w:sz w:val="24"/>
          <w:szCs w:val="24"/>
        </w:rPr>
      </w:pPr>
      <w:r w:rsidRPr="00AC5413">
        <w:rPr>
          <w:rFonts w:ascii="Arial" w:hAnsi="Arial" w:cs="Arial"/>
          <w:sz w:val="24"/>
          <w:szCs w:val="24"/>
        </w:rPr>
        <w:t>Open</w:t>
      </w:r>
      <w:r w:rsidR="002E1C49">
        <w:rPr>
          <w:rFonts w:ascii="Arial" w:hAnsi="Arial" w:cs="Arial"/>
          <w:sz w:val="24"/>
          <w:szCs w:val="24"/>
        </w:rPr>
        <w:t>ed</w:t>
      </w:r>
      <w:r w:rsidRPr="00AC5413">
        <w:rPr>
          <w:rFonts w:ascii="Arial" w:hAnsi="Arial" w:cs="Arial"/>
          <w:sz w:val="24"/>
          <w:szCs w:val="24"/>
        </w:rPr>
        <w:t xml:space="preserve"> </w:t>
      </w:r>
      <w:r w:rsidR="00C55FEE">
        <w:rPr>
          <w:rFonts w:ascii="Arial" w:hAnsi="Arial" w:cs="Arial"/>
          <w:sz w:val="24"/>
          <w:szCs w:val="24"/>
        </w:rPr>
        <w:t>8</w:t>
      </w:r>
      <w:r w:rsidR="00465E88">
        <w:rPr>
          <w:rFonts w:ascii="Arial" w:hAnsi="Arial" w:cs="Arial"/>
          <w:sz w:val="24"/>
          <w:szCs w:val="24"/>
        </w:rPr>
        <w:t>4</w:t>
      </w:r>
      <w:r w:rsidRPr="00AC5413">
        <w:rPr>
          <w:rFonts w:ascii="Arial" w:hAnsi="Arial" w:cs="Arial"/>
          <w:sz w:val="24"/>
          <w:szCs w:val="24"/>
        </w:rPr>
        <w:t xml:space="preserve"> </w:t>
      </w:r>
      <w:r w:rsidR="001E4B6A" w:rsidRPr="00AC5413">
        <w:rPr>
          <w:rFonts w:ascii="Arial" w:hAnsi="Arial" w:cs="Arial"/>
          <w:sz w:val="24"/>
          <w:szCs w:val="24"/>
        </w:rPr>
        <w:t xml:space="preserve">net new </w:t>
      </w:r>
      <w:r w:rsidR="002E1C49">
        <w:rPr>
          <w:rFonts w:ascii="Arial" w:hAnsi="Arial" w:cs="Arial"/>
          <w:sz w:val="24"/>
          <w:szCs w:val="24"/>
        </w:rPr>
        <w:t>stores</w:t>
      </w:r>
      <w:r w:rsidR="00DA44CF">
        <w:rPr>
          <w:rFonts w:ascii="Arial" w:hAnsi="Arial" w:cs="Arial"/>
          <w:sz w:val="24"/>
          <w:szCs w:val="24"/>
        </w:rPr>
        <w:t>:</w:t>
      </w:r>
      <w:r w:rsidR="002E1C49">
        <w:rPr>
          <w:rFonts w:ascii="Arial" w:hAnsi="Arial" w:cs="Arial"/>
          <w:sz w:val="24"/>
          <w:szCs w:val="24"/>
        </w:rPr>
        <w:t xml:space="preserve"> UK 6</w:t>
      </w:r>
      <w:r w:rsidR="00EF6EE0">
        <w:rPr>
          <w:rFonts w:ascii="Arial" w:hAnsi="Arial" w:cs="Arial"/>
          <w:sz w:val="24"/>
          <w:szCs w:val="24"/>
        </w:rPr>
        <w:t>2</w:t>
      </w:r>
      <w:r w:rsidR="004A0E96">
        <w:rPr>
          <w:rFonts w:ascii="Arial" w:hAnsi="Arial" w:cs="Arial"/>
          <w:sz w:val="24"/>
          <w:szCs w:val="24"/>
        </w:rPr>
        <w:t xml:space="preserve"> </w:t>
      </w:r>
      <w:r w:rsidR="00BB5B31">
        <w:rPr>
          <w:rFonts w:ascii="Arial" w:hAnsi="Arial" w:cs="Arial"/>
          <w:sz w:val="24"/>
          <w:szCs w:val="24"/>
        </w:rPr>
        <w:t>(</w:t>
      </w:r>
      <w:r w:rsidR="005A267E">
        <w:rPr>
          <w:rFonts w:ascii="Arial" w:hAnsi="Arial" w:cs="Arial"/>
          <w:sz w:val="24"/>
          <w:szCs w:val="24"/>
        </w:rPr>
        <w:t>principally Screwfix outlets)</w:t>
      </w:r>
      <w:r w:rsidR="00820B95">
        <w:rPr>
          <w:rFonts w:ascii="Arial" w:hAnsi="Arial" w:cs="Arial"/>
          <w:sz w:val="24"/>
          <w:szCs w:val="24"/>
        </w:rPr>
        <w:t>, France 7</w:t>
      </w:r>
      <w:r w:rsidRPr="00AC5413">
        <w:rPr>
          <w:rFonts w:ascii="Arial" w:hAnsi="Arial" w:cs="Arial"/>
          <w:sz w:val="24"/>
          <w:szCs w:val="24"/>
        </w:rPr>
        <w:t xml:space="preserve">, Poland </w:t>
      </w:r>
      <w:r w:rsidR="002620BE" w:rsidRPr="00AC5413">
        <w:rPr>
          <w:rFonts w:ascii="Arial" w:hAnsi="Arial" w:cs="Arial"/>
          <w:sz w:val="24"/>
          <w:szCs w:val="24"/>
        </w:rPr>
        <w:t>2</w:t>
      </w:r>
      <w:r w:rsidR="00630EE8">
        <w:rPr>
          <w:rFonts w:ascii="Arial" w:hAnsi="Arial" w:cs="Arial"/>
          <w:sz w:val="24"/>
          <w:szCs w:val="24"/>
        </w:rPr>
        <w:t xml:space="preserve">, Russia 1, </w:t>
      </w:r>
      <w:r w:rsidR="00820B95">
        <w:rPr>
          <w:rFonts w:ascii="Arial" w:hAnsi="Arial" w:cs="Arial"/>
          <w:sz w:val="24"/>
          <w:szCs w:val="24"/>
        </w:rPr>
        <w:t xml:space="preserve">Spain 4, </w:t>
      </w:r>
      <w:r w:rsidR="00F535CC">
        <w:rPr>
          <w:rFonts w:ascii="Arial" w:hAnsi="Arial" w:cs="Arial"/>
          <w:sz w:val="24"/>
          <w:szCs w:val="24"/>
        </w:rPr>
        <w:t xml:space="preserve">Turkey </w:t>
      </w:r>
      <w:r w:rsidR="00465E88">
        <w:rPr>
          <w:rFonts w:ascii="Arial" w:hAnsi="Arial" w:cs="Arial"/>
          <w:sz w:val="24"/>
          <w:szCs w:val="24"/>
        </w:rPr>
        <w:t>8</w:t>
      </w:r>
      <w:r w:rsidR="005A267E">
        <w:rPr>
          <w:rFonts w:ascii="Arial" w:hAnsi="Arial" w:cs="Arial"/>
          <w:sz w:val="24"/>
          <w:szCs w:val="24"/>
        </w:rPr>
        <w:t xml:space="preserve"> (including </w:t>
      </w:r>
      <w:r w:rsidR="00D71302">
        <w:rPr>
          <w:rFonts w:ascii="Arial" w:hAnsi="Arial" w:cs="Arial"/>
          <w:sz w:val="24"/>
          <w:szCs w:val="24"/>
        </w:rPr>
        <w:t>4</w:t>
      </w:r>
      <w:r w:rsidR="005A267E">
        <w:rPr>
          <w:rFonts w:ascii="Arial" w:hAnsi="Arial" w:cs="Arial"/>
          <w:sz w:val="24"/>
          <w:szCs w:val="24"/>
        </w:rPr>
        <w:t xml:space="preserve"> </w:t>
      </w:r>
      <w:r w:rsidR="005A267E" w:rsidRPr="005A267E">
        <w:rPr>
          <w:rFonts w:ascii="Arial" w:hAnsi="Arial" w:cs="Arial"/>
          <w:sz w:val="24"/>
          <w:szCs w:val="24"/>
        </w:rPr>
        <w:t>‘Koçtaş Fix’ outlets</w:t>
      </w:r>
      <w:r w:rsidR="00F535CC">
        <w:rPr>
          <w:rFonts w:ascii="Arial" w:hAnsi="Arial" w:cs="Arial"/>
          <w:sz w:val="24"/>
          <w:szCs w:val="24"/>
        </w:rPr>
        <w:t>), representing 3</w:t>
      </w:r>
      <w:r w:rsidRPr="00AC5413">
        <w:rPr>
          <w:rFonts w:ascii="Arial" w:hAnsi="Arial" w:cs="Arial"/>
          <w:sz w:val="24"/>
          <w:szCs w:val="24"/>
        </w:rPr>
        <w:t>% space growth</w:t>
      </w:r>
      <w:r w:rsidR="005A267E">
        <w:rPr>
          <w:rFonts w:ascii="Arial" w:hAnsi="Arial" w:cs="Arial"/>
          <w:sz w:val="24"/>
          <w:szCs w:val="24"/>
        </w:rPr>
        <w:t xml:space="preserve"> </w:t>
      </w:r>
    </w:p>
    <w:p w:rsidR="00C03ADC" w:rsidRPr="00AC5413" w:rsidRDefault="00FD133A" w:rsidP="00A64D40">
      <w:pPr>
        <w:pStyle w:val="ListParagraph"/>
        <w:numPr>
          <w:ilvl w:val="0"/>
          <w:numId w:val="11"/>
        </w:numPr>
        <w:jc w:val="left"/>
        <w:rPr>
          <w:rFonts w:ascii="Arial" w:hAnsi="Arial" w:cs="Arial"/>
          <w:sz w:val="24"/>
          <w:szCs w:val="24"/>
        </w:rPr>
      </w:pPr>
      <w:r>
        <w:rPr>
          <w:rFonts w:ascii="Arial" w:hAnsi="Arial" w:cs="Arial"/>
          <w:sz w:val="24"/>
          <w:szCs w:val="24"/>
        </w:rPr>
        <w:t>Bought 15 stores in Romania</w:t>
      </w:r>
      <w:r w:rsidR="009911D2">
        <w:rPr>
          <w:rFonts w:ascii="Arial" w:hAnsi="Arial" w:cs="Arial"/>
          <w:sz w:val="24"/>
          <w:szCs w:val="24"/>
        </w:rPr>
        <w:t xml:space="preserve"> which contributed an additional 2% space growth</w:t>
      </w:r>
      <w:r>
        <w:rPr>
          <w:rFonts w:ascii="Arial" w:hAnsi="Arial" w:cs="Arial"/>
          <w:sz w:val="24"/>
          <w:szCs w:val="24"/>
        </w:rPr>
        <w:t>. I</w:t>
      </w:r>
      <w:r w:rsidR="00D01DDE">
        <w:rPr>
          <w:rFonts w:ascii="Arial" w:hAnsi="Arial" w:cs="Arial"/>
          <w:sz w:val="24"/>
          <w:szCs w:val="24"/>
        </w:rPr>
        <w:t>n</w:t>
      </w:r>
      <w:r w:rsidR="009911D2">
        <w:rPr>
          <w:rFonts w:ascii="Arial" w:hAnsi="Arial" w:cs="Arial"/>
          <w:sz w:val="24"/>
          <w:szCs w:val="24"/>
        </w:rPr>
        <w:t xml:space="preserve"> total</w:t>
      </w:r>
      <w:r>
        <w:rPr>
          <w:rFonts w:ascii="Arial" w:hAnsi="Arial" w:cs="Arial"/>
          <w:sz w:val="24"/>
          <w:szCs w:val="24"/>
        </w:rPr>
        <w:t xml:space="preserve">, </w:t>
      </w:r>
      <w:r w:rsidR="00F6193C">
        <w:rPr>
          <w:rFonts w:ascii="Arial" w:hAnsi="Arial" w:cs="Arial"/>
          <w:sz w:val="24"/>
          <w:szCs w:val="24"/>
        </w:rPr>
        <w:t xml:space="preserve">Group </w:t>
      </w:r>
      <w:r w:rsidR="005A267E">
        <w:rPr>
          <w:rFonts w:ascii="Arial" w:hAnsi="Arial" w:cs="Arial"/>
          <w:sz w:val="24"/>
          <w:szCs w:val="24"/>
        </w:rPr>
        <w:t>space growth was 5%</w:t>
      </w:r>
    </w:p>
    <w:p w:rsidR="00C03ADC" w:rsidRPr="00AC5413" w:rsidRDefault="00C03ADC" w:rsidP="00A64D40">
      <w:pPr>
        <w:pStyle w:val="ListParagraph"/>
        <w:numPr>
          <w:ilvl w:val="0"/>
          <w:numId w:val="11"/>
        </w:numPr>
        <w:jc w:val="left"/>
        <w:rPr>
          <w:rFonts w:ascii="Arial" w:hAnsi="Arial" w:cs="Arial"/>
          <w:sz w:val="24"/>
          <w:szCs w:val="24"/>
        </w:rPr>
      </w:pPr>
      <w:r w:rsidRPr="00AC5413">
        <w:rPr>
          <w:rFonts w:ascii="Arial" w:hAnsi="Arial" w:cs="Arial"/>
          <w:sz w:val="24"/>
          <w:szCs w:val="24"/>
        </w:rPr>
        <w:t>Revamp</w:t>
      </w:r>
      <w:r w:rsidR="002E1C49">
        <w:rPr>
          <w:rFonts w:ascii="Arial" w:hAnsi="Arial" w:cs="Arial"/>
          <w:sz w:val="24"/>
          <w:szCs w:val="24"/>
        </w:rPr>
        <w:t>ed</w:t>
      </w:r>
      <w:r w:rsidRPr="00AC5413">
        <w:rPr>
          <w:rFonts w:ascii="Arial" w:hAnsi="Arial" w:cs="Arial"/>
          <w:sz w:val="24"/>
          <w:szCs w:val="24"/>
        </w:rPr>
        <w:t xml:space="preserve"> and extend</w:t>
      </w:r>
      <w:r w:rsidR="002E1C49">
        <w:rPr>
          <w:rFonts w:ascii="Arial" w:hAnsi="Arial" w:cs="Arial"/>
          <w:sz w:val="24"/>
          <w:szCs w:val="24"/>
        </w:rPr>
        <w:t>ed</w:t>
      </w:r>
      <w:r w:rsidRPr="00AC5413">
        <w:rPr>
          <w:rFonts w:ascii="Arial" w:hAnsi="Arial" w:cs="Arial"/>
          <w:sz w:val="24"/>
          <w:szCs w:val="24"/>
        </w:rPr>
        <w:t xml:space="preserve"> </w:t>
      </w:r>
      <w:r w:rsidR="00885179">
        <w:rPr>
          <w:rFonts w:ascii="Arial" w:hAnsi="Arial" w:cs="Arial"/>
          <w:sz w:val="24"/>
          <w:szCs w:val="24"/>
        </w:rPr>
        <w:t>4</w:t>
      </w:r>
      <w:r w:rsidRPr="00AC5413">
        <w:rPr>
          <w:rFonts w:ascii="Arial" w:hAnsi="Arial" w:cs="Arial"/>
          <w:sz w:val="24"/>
          <w:szCs w:val="24"/>
        </w:rPr>
        <w:t xml:space="preserve"> Castorama</w:t>
      </w:r>
      <w:r w:rsidR="009911D2">
        <w:rPr>
          <w:rFonts w:ascii="Arial" w:hAnsi="Arial" w:cs="Arial"/>
          <w:sz w:val="24"/>
          <w:szCs w:val="24"/>
        </w:rPr>
        <w:t xml:space="preserve"> France</w:t>
      </w:r>
      <w:r w:rsidRPr="00AC5413">
        <w:rPr>
          <w:rFonts w:ascii="Arial" w:hAnsi="Arial" w:cs="Arial"/>
          <w:sz w:val="24"/>
          <w:szCs w:val="24"/>
        </w:rPr>
        <w:t xml:space="preserve"> stores</w:t>
      </w:r>
    </w:p>
    <w:p w:rsidR="00C03ADC" w:rsidRPr="00B13D1C" w:rsidRDefault="00DB7164" w:rsidP="00A64D40">
      <w:pPr>
        <w:pStyle w:val="ListParagraph"/>
        <w:numPr>
          <w:ilvl w:val="0"/>
          <w:numId w:val="11"/>
        </w:numPr>
        <w:jc w:val="left"/>
        <w:rPr>
          <w:rFonts w:ascii="Arial" w:hAnsi="Arial" w:cs="Arial"/>
        </w:rPr>
      </w:pPr>
      <w:r w:rsidRPr="00AC5413">
        <w:rPr>
          <w:rFonts w:ascii="Arial" w:hAnsi="Arial" w:cs="Arial"/>
          <w:sz w:val="24"/>
          <w:szCs w:val="24"/>
        </w:rPr>
        <w:t>Evaluate</w:t>
      </w:r>
      <w:r w:rsidR="002E1C49">
        <w:rPr>
          <w:rFonts w:ascii="Arial" w:hAnsi="Arial" w:cs="Arial"/>
          <w:sz w:val="24"/>
          <w:szCs w:val="24"/>
        </w:rPr>
        <w:t>d</w:t>
      </w:r>
      <w:r w:rsidRPr="00AC5413">
        <w:rPr>
          <w:rFonts w:ascii="Arial" w:hAnsi="Arial" w:cs="Arial"/>
          <w:sz w:val="24"/>
          <w:szCs w:val="24"/>
        </w:rPr>
        <w:t xml:space="preserve"> Screwfix </w:t>
      </w:r>
      <w:r w:rsidR="0096151E" w:rsidRPr="00AC5413">
        <w:rPr>
          <w:rFonts w:ascii="Arial" w:hAnsi="Arial" w:cs="Arial"/>
          <w:sz w:val="24"/>
          <w:szCs w:val="24"/>
        </w:rPr>
        <w:t>international opportunities</w:t>
      </w:r>
      <w:r w:rsidR="00442D67">
        <w:rPr>
          <w:rFonts w:ascii="Arial" w:hAnsi="Arial" w:cs="Arial"/>
          <w:sz w:val="24"/>
          <w:szCs w:val="24"/>
        </w:rPr>
        <w:t xml:space="preserve">, announcing a 4 store </w:t>
      </w:r>
      <w:r w:rsidR="00FF6C35">
        <w:rPr>
          <w:rFonts w:ascii="Arial" w:hAnsi="Arial" w:cs="Arial"/>
          <w:sz w:val="24"/>
          <w:szCs w:val="24"/>
        </w:rPr>
        <w:t>pilot</w:t>
      </w:r>
      <w:r w:rsidR="00442D67">
        <w:rPr>
          <w:rFonts w:ascii="Arial" w:hAnsi="Arial" w:cs="Arial"/>
          <w:sz w:val="24"/>
          <w:szCs w:val="24"/>
        </w:rPr>
        <w:t xml:space="preserve"> in Germany </w:t>
      </w:r>
      <w:r w:rsidR="008E5638">
        <w:rPr>
          <w:rFonts w:ascii="Arial" w:hAnsi="Arial" w:cs="Arial"/>
          <w:sz w:val="24"/>
          <w:szCs w:val="24"/>
        </w:rPr>
        <w:t>in S</w:t>
      </w:r>
      <w:r w:rsidR="00442D67">
        <w:rPr>
          <w:rFonts w:ascii="Arial" w:hAnsi="Arial" w:cs="Arial"/>
          <w:sz w:val="24"/>
          <w:szCs w:val="24"/>
        </w:rPr>
        <w:t>ummer 2014</w:t>
      </w:r>
      <w:r w:rsidR="004B22DD">
        <w:rPr>
          <w:rFonts w:ascii="Arial" w:hAnsi="Arial" w:cs="Arial"/>
          <w:sz w:val="24"/>
          <w:szCs w:val="24"/>
        </w:rPr>
        <w:t xml:space="preserve"> and launch of </w:t>
      </w:r>
      <w:r w:rsidR="00DE77A1">
        <w:rPr>
          <w:rFonts w:ascii="Arial" w:hAnsi="Arial" w:cs="Arial"/>
          <w:sz w:val="24"/>
          <w:szCs w:val="24"/>
        </w:rPr>
        <w:t>country</w:t>
      </w:r>
      <w:r w:rsidR="00512BF0">
        <w:rPr>
          <w:rFonts w:ascii="Arial" w:hAnsi="Arial" w:cs="Arial"/>
          <w:sz w:val="24"/>
          <w:szCs w:val="24"/>
        </w:rPr>
        <w:t>-</w:t>
      </w:r>
      <w:r w:rsidR="00DE77A1">
        <w:rPr>
          <w:rFonts w:ascii="Arial" w:hAnsi="Arial" w:cs="Arial"/>
          <w:sz w:val="24"/>
          <w:szCs w:val="24"/>
        </w:rPr>
        <w:t xml:space="preserve">wide </w:t>
      </w:r>
      <w:r w:rsidR="004B22DD">
        <w:rPr>
          <w:rFonts w:ascii="Arial" w:hAnsi="Arial" w:cs="Arial"/>
          <w:sz w:val="24"/>
          <w:szCs w:val="24"/>
        </w:rPr>
        <w:t>website with next day delivery</w:t>
      </w:r>
    </w:p>
    <w:p w:rsidR="002A414F" w:rsidRPr="00C02E76" w:rsidRDefault="00B82BA9" w:rsidP="00A64D40">
      <w:pPr>
        <w:pStyle w:val="ListParagraph"/>
        <w:numPr>
          <w:ilvl w:val="0"/>
          <w:numId w:val="11"/>
        </w:numPr>
        <w:jc w:val="left"/>
        <w:rPr>
          <w:rFonts w:ascii="Arial" w:hAnsi="Arial" w:cs="Arial"/>
        </w:rPr>
      </w:pPr>
      <w:r>
        <w:rPr>
          <w:rFonts w:ascii="Arial" w:hAnsi="Arial" w:cs="Arial"/>
          <w:sz w:val="24"/>
          <w:szCs w:val="24"/>
        </w:rPr>
        <w:t>B&amp;Q UK store rightsizing update</w:t>
      </w:r>
    </w:p>
    <w:p w:rsidR="00B82BA9" w:rsidRPr="00B13D1C" w:rsidRDefault="002A414F" w:rsidP="00C02E76">
      <w:pPr>
        <w:pStyle w:val="ListParagraph"/>
        <w:numPr>
          <w:ilvl w:val="1"/>
          <w:numId w:val="11"/>
        </w:numPr>
        <w:jc w:val="left"/>
        <w:rPr>
          <w:rFonts w:ascii="Arial" w:hAnsi="Arial" w:cs="Arial"/>
        </w:rPr>
      </w:pPr>
      <w:r>
        <w:rPr>
          <w:rFonts w:ascii="Arial" w:hAnsi="Arial" w:cs="Arial"/>
          <w:sz w:val="24"/>
          <w:szCs w:val="24"/>
        </w:rPr>
        <w:t>F</w:t>
      </w:r>
      <w:r w:rsidR="00B82BA9">
        <w:rPr>
          <w:rFonts w:ascii="Arial" w:hAnsi="Arial" w:cs="Arial"/>
          <w:sz w:val="24"/>
          <w:szCs w:val="24"/>
        </w:rPr>
        <w:t>irst freehold store deal completed with a grocer last year</w:t>
      </w:r>
    </w:p>
    <w:p w:rsidR="00FF6C35" w:rsidRPr="00B13D1C" w:rsidRDefault="00B82BA9" w:rsidP="00C02E76">
      <w:pPr>
        <w:pStyle w:val="ListParagraph"/>
        <w:numPr>
          <w:ilvl w:val="2"/>
          <w:numId w:val="11"/>
        </w:numPr>
        <w:jc w:val="left"/>
        <w:rPr>
          <w:rFonts w:ascii="Arial" w:hAnsi="Arial" w:cs="Arial"/>
        </w:rPr>
      </w:pPr>
      <w:r w:rsidRPr="00FF6C35">
        <w:rPr>
          <w:rFonts w:ascii="Arial" w:hAnsi="Arial" w:cs="Arial"/>
          <w:sz w:val="24"/>
          <w:szCs w:val="24"/>
        </w:rPr>
        <w:t xml:space="preserve">Store reduced in size by 50%; sales density improvement of 75% </w:t>
      </w:r>
    </w:p>
    <w:p w:rsidR="00B82BA9" w:rsidRPr="00C02E76" w:rsidRDefault="0068072B" w:rsidP="00C02E76">
      <w:pPr>
        <w:pStyle w:val="ListParagraph"/>
        <w:numPr>
          <w:ilvl w:val="2"/>
          <w:numId w:val="11"/>
        </w:numPr>
        <w:jc w:val="left"/>
        <w:rPr>
          <w:rFonts w:ascii="Arial" w:hAnsi="Arial" w:cs="Arial"/>
        </w:rPr>
      </w:pPr>
      <w:r>
        <w:rPr>
          <w:rFonts w:ascii="Arial" w:hAnsi="Arial" w:cs="Arial"/>
          <w:sz w:val="24"/>
          <w:szCs w:val="24"/>
        </w:rPr>
        <w:t>N</w:t>
      </w:r>
      <w:r w:rsidR="00FF6C35" w:rsidRPr="00FF6C35">
        <w:rPr>
          <w:rFonts w:ascii="Arial" w:hAnsi="Arial" w:cs="Arial"/>
          <w:sz w:val="24"/>
          <w:szCs w:val="24"/>
        </w:rPr>
        <w:t xml:space="preserve">on-operational space </w:t>
      </w:r>
      <w:r w:rsidR="00B82BA9" w:rsidRPr="00FF6C35">
        <w:rPr>
          <w:rFonts w:ascii="Arial" w:hAnsi="Arial" w:cs="Arial"/>
          <w:sz w:val="24"/>
          <w:szCs w:val="24"/>
        </w:rPr>
        <w:t xml:space="preserve">sold </w:t>
      </w:r>
      <w:r>
        <w:rPr>
          <w:rFonts w:ascii="Arial" w:hAnsi="Arial" w:cs="Arial"/>
          <w:sz w:val="24"/>
          <w:szCs w:val="24"/>
        </w:rPr>
        <w:t xml:space="preserve">to grocer </w:t>
      </w:r>
      <w:r w:rsidR="00B82BA9" w:rsidRPr="00FF6C35">
        <w:rPr>
          <w:rFonts w:ascii="Arial" w:hAnsi="Arial" w:cs="Arial"/>
          <w:sz w:val="24"/>
          <w:szCs w:val="24"/>
        </w:rPr>
        <w:t xml:space="preserve">in </w:t>
      </w:r>
      <w:r w:rsidR="007C3F02">
        <w:rPr>
          <w:rFonts w:ascii="Arial" w:hAnsi="Arial" w:cs="Arial"/>
          <w:sz w:val="24"/>
          <w:szCs w:val="24"/>
        </w:rPr>
        <w:t>February</w:t>
      </w:r>
      <w:r w:rsidR="00B82BA9" w:rsidRPr="00FF6C35">
        <w:rPr>
          <w:rFonts w:ascii="Arial" w:hAnsi="Arial" w:cs="Arial"/>
          <w:sz w:val="24"/>
          <w:szCs w:val="24"/>
        </w:rPr>
        <w:t xml:space="preserve"> 2014 at a good return for £32 million</w:t>
      </w:r>
    </w:p>
    <w:p w:rsidR="002A414F" w:rsidRPr="00C02E76" w:rsidRDefault="002A414F" w:rsidP="00B13D1C">
      <w:pPr>
        <w:pStyle w:val="ListParagraph"/>
        <w:numPr>
          <w:ilvl w:val="1"/>
          <w:numId w:val="11"/>
        </w:numPr>
        <w:jc w:val="left"/>
        <w:rPr>
          <w:rFonts w:ascii="Arial" w:hAnsi="Arial" w:cs="Arial"/>
          <w:sz w:val="24"/>
          <w:szCs w:val="24"/>
        </w:rPr>
      </w:pPr>
      <w:r>
        <w:rPr>
          <w:rFonts w:ascii="Arial" w:hAnsi="Arial" w:cs="Arial"/>
          <w:sz w:val="24"/>
          <w:szCs w:val="24"/>
        </w:rPr>
        <w:t>A</w:t>
      </w:r>
      <w:r w:rsidRPr="009051DE">
        <w:rPr>
          <w:rFonts w:ascii="Arial" w:hAnsi="Arial" w:cs="Arial"/>
          <w:sz w:val="24"/>
          <w:szCs w:val="24"/>
        </w:rPr>
        <w:t xml:space="preserve">dditional </w:t>
      </w:r>
      <w:r w:rsidRPr="00C02E76">
        <w:rPr>
          <w:rFonts w:ascii="Arial" w:hAnsi="Arial" w:cs="Arial"/>
          <w:sz w:val="24"/>
          <w:szCs w:val="24"/>
        </w:rPr>
        <w:t xml:space="preserve">store has received </w:t>
      </w:r>
      <w:r w:rsidRPr="009051DE">
        <w:rPr>
          <w:rFonts w:ascii="Arial" w:hAnsi="Arial" w:cs="Arial"/>
          <w:sz w:val="24"/>
          <w:szCs w:val="24"/>
        </w:rPr>
        <w:t xml:space="preserve">planning permission and </w:t>
      </w:r>
      <w:r w:rsidRPr="00C02E76">
        <w:rPr>
          <w:rFonts w:ascii="Arial" w:hAnsi="Arial" w:cs="Arial"/>
          <w:sz w:val="24"/>
          <w:szCs w:val="24"/>
        </w:rPr>
        <w:t>seeking planning permission for another 16</w:t>
      </w:r>
    </w:p>
    <w:p w:rsidR="008207D6" w:rsidRPr="008207D6" w:rsidRDefault="008207D6" w:rsidP="008207D6">
      <w:pPr>
        <w:rPr>
          <w:rFonts w:ascii="Arial" w:hAnsi="Arial" w:cs="Arial"/>
          <w:b/>
          <w:color w:val="FF0000"/>
          <w:sz w:val="24"/>
          <w:szCs w:val="24"/>
        </w:rPr>
      </w:pPr>
    </w:p>
    <w:p w:rsidR="00437A6E" w:rsidRPr="00AC5413" w:rsidRDefault="003E3617" w:rsidP="0006717E">
      <w:pPr>
        <w:jc w:val="left"/>
      </w:pPr>
      <w:r w:rsidRPr="00AC5413">
        <w:rPr>
          <w:rFonts w:ascii="Arial" w:hAnsi="Arial" w:cs="Arial"/>
          <w:b/>
          <w:sz w:val="24"/>
          <w:szCs w:val="24"/>
        </w:rPr>
        <w:t xml:space="preserve">ONE TEAM </w:t>
      </w:r>
    </w:p>
    <w:p w:rsidR="00DC0FE9" w:rsidRPr="00AC5413" w:rsidRDefault="00AC5413" w:rsidP="00DC0FE9">
      <w:pPr>
        <w:ind w:left="360" w:firstLine="720"/>
        <w:contextualSpacing/>
        <w:jc w:val="left"/>
        <w:rPr>
          <w:rFonts w:ascii="Arial" w:hAnsi="Arial" w:cs="Arial"/>
          <w:sz w:val="24"/>
          <w:szCs w:val="24"/>
        </w:rPr>
      </w:pPr>
      <w:r w:rsidRPr="00AC5413">
        <w:rPr>
          <w:rFonts w:ascii="Arial" w:hAnsi="Arial" w:cs="Arial"/>
          <w:sz w:val="24"/>
          <w:szCs w:val="24"/>
        </w:rPr>
        <w:t>2013/14</w:t>
      </w:r>
      <w:r w:rsidR="00DC0FE9" w:rsidRPr="00AC5413">
        <w:rPr>
          <w:rFonts w:ascii="Arial" w:hAnsi="Arial" w:cs="Arial"/>
          <w:sz w:val="24"/>
          <w:szCs w:val="24"/>
        </w:rPr>
        <w:t xml:space="preserve"> progress</w:t>
      </w:r>
    </w:p>
    <w:p w:rsidR="00C03ADC" w:rsidRPr="00AC5413" w:rsidRDefault="00C03ADC" w:rsidP="00A64D40">
      <w:pPr>
        <w:pStyle w:val="ListParagraph"/>
        <w:numPr>
          <w:ilvl w:val="0"/>
          <w:numId w:val="11"/>
        </w:numPr>
        <w:jc w:val="left"/>
        <w:rPr>
          <w:rFonts w:ascii="Arial" w:hAnsi="Arial" w:cs="Arial"/>
          <w:sz w:val="24"/>
          <w:szCs w:val="24"/>
        </w:rPr>
      </w:pPr>
      <w:r w:rsidRPr="00AC5413">
        <w:rPr>
          <w:rFonts w:ascii="Arial" w:hAnsi="Arial" w:cs="Arial"/>
          <w:sz w:val="24"/>
          <w:szCs w:val="24"/>
        </w:rPr>
        <w:t>Continue</w:t>
      </w:r>
      <w:r w:rsidR="002E1C49">
        <w:rPr>
          <w:rFonts w:ascii="Arial" w:hAnsi="Arial" w:cs="Arial"/>
          <w:sz w:val="24"/>
          <w:szCs w:val="24"/>
        </w:rPr>
        <w:t>d</w:t>
      </w:r>
      <w:r w:rsidRPr="00AC5413">
        <w:rPr>
          <w:rFonts w:ascii="Arial" w:hAnsi="Arial" w:cs="Arial"/>
          <w:sz w:val="24"/>
          <w:szCs w:val="24"/>
        </w:rPr>
        <w:t xml:space="preserve"> to extend the Kingfisher </w:t>
      </w:r>
      <w:r w:rsidR="0089693D">
        <w:rPr>
          <w:rFonts w:ascii="Arial" w:hAnsi="Arial" w:cs="Arial"/>
          <w:sz w:val="24"/>
          <w:szCs w:val="24"/>
        </w:rPr>
        <w:t xml:space="preserve">One </w:t>
      </w:r>
      <w:r w:rsidRPr="00AC5413">
        <w:rPr>
          <w:rFonts w:ascii="Arial" w:hAnsi="Arial" w:cs="Arial"/>
          <w:sz w:val="24"/>
          <w:szCs w:val="24"/>
        </w:rPr>
        <w:t xml:space="preserve">Academy </w:t>
      </w:r>
    </w:p>
    <w:p w:rsidR="00337FBB" w:rsidRDefault="00D03FCC" w:rsidP="00A64D40">
      <w:pPr>
        <w:pStyle w:val="ListParagraph"/>
        <w:numPr>
          <w:ilvl w:val="0"/>
          <w:numId w:val="11"/>
        </w:numPr>
        <w:jc w:val="left"/>
        <w:rPr>
          <w:rFonts w:ascii="Arial" w:hAnsi="Arial" w:cs="Arial"/>
          <w:sz w:val="24"/>
          <w:szCs w:val="24"/>
        </w:rPr>
      </w:pPr>
      <w:r>
        <w:rPr>
          <w:rFonts w:ascii="Arial" w:hAnsi="Arial" w:cs="Arial"/>
          <w:sz w:val="24"/>
          <w:szCs w:val="24"/>
        </w:rPr>
        <w:t>Published f</w:t>
      </w:r>
      <w:r w:rsidR="007B131A">
        <w:rPr>
          <w:rFonts w:ascii="Arial" w:hAnsi="Arial" w:cs="Arial"/>
          <w:sz w:val="24"/>
          <w:szCs w:val="24"/>
        </w:rPr>
        <w:t>irst ‘</w:t>
      </w:r>
      <w:r w:rsidR="001B3CC2" w:rsidRPr="00AC5413">
        <w:rPr>
          <w:rFonts w:ascii="Arial" w:hAnsi="Arial" w:cs="Arial"/>
          <w:sz w:val="24"/>
          <w:szCs w:val="24"/>
        </w:rPr>
        <w:t>Net Positive</w:t>
      </w:r>
      <w:r w:rsidR="007B131A">
        <w:rPr>
          <w:rFonts w:ascii="Arial" w:hAnsi="Arial" w:cs="Arial"/>
          <w:sz w:val="24"/>
          <w:szCs w:val="24"/>
        </w:rPr>
        <w:t xml:space="preserve">’ report </w:t>
      </w:r>
      <w:r w:rsidR="00637B9B">
        <w:rPr>
          <w:rFonts w:ascii="Arial" w:hAnsi="Arial" w:cs="Arial"/>
          <w:sz w:val="24"/>
          <w:szCs w:val="24"/>
        </w:rPr>
        <w:t>and appointed Richard Gillies from M&amp;S as Group Sustainability Director, to lead ‘Net Positive’ agenda</w:t>
      </w:r>
    </w:p>
    <w:p w:rsidR="00546A62" w:rsidRPr="00A1426F" w:rsidRDefault="00BC06FE" w:rsidP="00A64D40">
      <w:pPr>
        <w:pStyle w:val="ListParagraph"/>
        <w:numPr>
          <w:ilvl w:val="0"/>
          <w:numId w:val="11"/>
        </w:numPr>
        <w:jc w:val="left"/>
        <w:rPr>
          <w:rFonts w:ascii="Arial" w:hAnsi="Arial" w:cs="Arial"/>
          <w:sz w:val="24"/>
          <w:szCs w:val="24"/>
        </w:rPr>
      </w:pPr>
      <w:r>
        <w:rPr>
          <w:rFonts w:ascii="Arial" w:hAnsi="Arial" w:cs="Arial"/>
          <w:sz w:val="24"/>
          <w:szCs w:val="24"/>
        </w:rPr>
        <w:t xml:space="preserve">Over 1,400 Kingfisher employees shared </w:t>
      </w:r>
      <w:r w:rsidR="00126DDD">
        <w:rPr>
          <w:rFonts w:ascii="Arial" w:hAnsi="Arial" w:cs="Arial"/>
          <w:sz w:val="24"/>
          <w:szCs w:val="24"/>
        </w:rPr>
        <w:t xml:space="preserve">an estimated gain of </w:t>
      </w:r>
      <w:r>
        <w:rPr>
          <w:rFonts w:ascii="Arial" w:hAnsi="Arial" w:cs="Arial"/>
          <w:sz w:val="24"/>
          <w:szCs w:val="24"/>
        </w:rPr>
        <w:t xml:space="preserve">£10 million following the maturity of </w:t>
      </w:r>
      <w:r w:rsidR="00126DDD">
        <w:rPr>
          <w:rFonts w:ascii="Arial" w:hAnsi="Arial" w:cs="Arial"/>
          <w:sz w:val="24"/>
          <w:szCs w:val="24"/>
        </w:rPr>
        <w:t xml:space="preserve">the </w:t>
      </w:r>
      <w:proofErr w:type="spellStart"/>
      <w:r>
        <w:rPr>
          <w:rFonts w:ascii="Arial" w:hAnsi="Arial" w:cs="Arial"/>
          <w:sz w:val="24"/>
          <w:szCs w:val="24"/>
        </w:rPr>
        <w:t>Share</w:t>
      </w:r>
      <w:r w:rsidR="00126DDD">
        <w:rPr>
          <w:rFonts w:ascii="Arial" w:hAnsi="Arial" w:cs="Arial"/>
          <w:sz w:val="24"/>
          <w:szCs w:val="24"/>
        </w:rPr>
        <w:t>s</w:t>
      </w:r>
      <w:r>
        <w:rPr>
          <w:rFonts w:ascii="Arial" w:hAnsi="Arial" w:cs="Arial"/>
          <w:sz w:val="24"/>
          <w:szCs w:val="24"/>
        </w:rPr>
        <w:t>ave</w:t>
      </w:r>
      <w:proofErr w:type="spellEnd"/>
      <w:r>
        <w:rPr>
          <w:rFonts w:ascii="Arial" w:hAnsi="Arial" w:cs="Arial"/>
          <w:sz w:val="24"/>
          <w:szCs w:val="24"/>
        </w:rPr>
        <w:t xml:space="preserve"> scheme in December 2013</w:t>
      </w:r>
    </w:p>
    <w:p w:rsidR="00820B95" w:rsidRDefault="00820B95" w:rsidP="00820B95">
      <w:pPr>
        <w:jc w:val="left"/>
        <w:rPr>
          <w:rStyle w:val="Emphasis"/>
          <w:rFonts w:ascii="Arial" w:hAnsi="Arial" w:cs="Arial"/>
          <w:sz w:val="18"/>
          <w:szCs w:val="18"/>
          <w:vertAlign w:val="superscript"/>
        </w:rPr>
      </w:pPr>
    </w:p>
    <w:p w:rsidR="00126DDD" w:rsidRPr="005A267E" w:rsidRDefault="00126DDD" w:rsidP="005A267E">
      <w:pPr>
        <w:contextualSpacing/>
        <w:jc w:val="left"/>
        <w:rPr>
          <w:rFonts w:ascii="Arial" w:hAnsi="Arial" w:cs="Arial"/>
          <w:b/>
          <w:sz w:val="24"/>
          <w:szCs w:val="24"/>
          <w:u w:val="single"/>
        </w:rPr>
      </w:pPr>
    </w:p>
    <w:p w:rsidR="00F413DD" w:rsidRDefault="00F413DD" w:rsidP="005A267E">
      <w:pPr>
        <w:contextualSpacing/>
        <w:jc w:val="left"/>
        <w:rPr>
          <w:rFonts w:ascii="Arial" w:hAnsi="Arial" w:cs="Arial"/>
          <w:b/>
          <w:sz w:val="24"/>
          <w:szCs w:val="24"/>
          <w:u w:val="single"/>
        </w:rPr>
      </w:pPr>
    </w:p>
    <w:p w:rsidR="00F413DD" w:rsidRDefault="00F413DD" w:rsidP="005A267E">
      <w:pPr>
        <w:contextualSpacing/>
        <w:jc w:val="left"/>
        <w:rPr>
          <w:rFonts w:ascii="Arial" w:hAnsi="Arial" w:cs="Arial"/>
          <w:b/>
          <w:sz w:val="24"/>
          <w:szCs w:val="24"/>
          <w:u w:val="single"/>
        </w:rPr>
      </w:pPr>
    </w:p>
    <w:p w:rsidR="00E607E0" w:rsidRDefault="00E607E0">
      <w:pPr>
        <w:jc w:val="left"/>
        <w:rPr>
          <w:rFonts w:ascii="Arial" w:hAnsi="Arial" w:cs="Arial"/>
          <w:b/>
          <w:sz w:val="24"/>
          <w:szCs w:val="24"/>
          <w:u w:val="single"/>
        </w:rPr>
      </w:pPr>
      <w:r>
        <w:rPr>
          <w:rFonts w:ascii="Arial" w:hAnsi="Arial" w:cs="Arial"/>
          <w:b/>
          <w:sz w:val="24"/>
          <w:szCs w:val="24"/>
          <w:u w:val="single"/>
        </w:rPr>
        <w:br w:type="page"/>
      </w:r>
    </w:p>
    <w:p w:rsidR="005A267E" w:rsidRPr="003C75BF" w:rsidRDefault="005A267E" w:rsidP="005A267E">
      <w:pPr>
        <w:contextualSpacing/>
        <w:jc w:val="left"/>
        <w:rPr>
          <w:rFonts w:ascii="Arial" w:hAnsi="Arial" w:cs="Arial"/>
          <w:b/>
          <w:sz w:val="24"/>
          <w:szCs w:val="24"/>
          <w:u w:val="single"/>
        </w:rPr>
      </w:pPr>
      <w:r w:rsidRPr="003C75BF">
        <w:rPr>
          <w:rFonts w:ascii="Arial" w:hAnsi="Arial" w:cs="Arial"/>
          <w:b/>
          <w:sz w:val="24"/>
          <w:szCs w:val="24"/>
          <w:u w:val="single"/>
        </w:rPr>
        <w:t>Key priorities for 2014/15:</w:t>
      </w:r>
    </w:p>
    <w:p w:rsidR="005A267E" w:rsidRPr="003C75BF" w:rsidRDefault="005A267E" w:rsidP="005A267E">
      <w:pPr>
        <w:contextualSpacing/>
        <w:jc w:val="left"/>
        <w:rPr>
          <w:rFonts w:ascii="Arial" w:hAnsi="Arial" w:cs="Arial"/>
          <w:b/>
          <w:sz w:val="24"/>
          <w:szCs w:val="24"/>
        </w:rPr>
      </w:pPr>
    </w:p>
    <w:p w:rsidR="005A267E" w:rsidRPr="003C75BF" w:rsidRDefault="005A267E" w:rsidP="005A267E">
      <w:pPr>
        <w:jc w:val="left"/>
        <w:rPr>
          <w:rFonts w:ascii="Arial" w:hAnsi="Arial" w:cs="Arial"/>
          <w:b/>
          <w:sz w:val="24"/>
          <w:szCs w:val="24"/>
        </w:rPr>
      </w:pPr>
      <w:r w:rsidRPr="003C75BF">
        <w:rPr>
          <w:rFonts w:ascii="Arial" w:hAnsi="Arial" w:cs="Arial"/>
          <w:b/>
          <w:sz w:val="24"/>
          <w:szCs w:val="24"/>
        </w:rPr>
        <w:t xml:space="preserve">EASIER </w:t>
      </w:r>
    </w:p>
    <w:p w:rsidR="005A267E" w:rsidRPr="003C75BF" w:rsidRDefault="00B47BF6" w:rsidP="00A64D40">
      <w:pPr>
        <w:pStyle w:val="ListParagraph"/>
        <w:numPr>
          <w:ilvl w:val="0"/>
          <w:numId w:val="11"/>
        </w:numPr>
        <w:jc w:val="left"/>
        <w:rPr>
          <w:rFonts w:ascii="Arial" w:hAnsi="Arial" w:cs="Arial"/>
          <w:sz w:val="24"/>
          <w:szCs w:val="24"/>
        </w:rPr>
      </w:pPr>
      <w:r>
        <w:rPr>
          <w:rFonts w:ascii="Arial" w:hAnsi="Arial" w:cs="Arial"/>
          <w:sz w:val="24"/>
          <w:szCs w:val="24"/>
        </w:rPr>
        <w:t xml:space="preserve">Extend </w:t>
      </w:r>
      <w:r w:rsidR="00D03FCC">
        <w:rPr>
          <w:rFonts w:ascii="Arial" w:hAnsi="Arial" w:cs="Arial"/>
          <w:sz w:val="24"/>
          <w:szCs w:val="24"/>
        </w:rPr>
        <w:t>omnichannel capabilities</w:t>
      </w:r>
      <w:r>
        <w:rPr>
          <w:rFonts w:ascii="Arial" w:hAnsi="Arial" w:cs="Arial"/>
          <w:sz w:val="24"/>
          <w:szCs w:val="24"/>
        </w:rPr>
        <w:t xml:space="preserve"> </w:t>
      </w:r>
      <w:r w:rsidR="00D03FCC">
        <w:rPr>
          <w:rFonts w:ascii="Arial" w:hAnsi="Arial" w:cs="Arial"/>
          <w:sz w:val="24"/>
          <w:szCs w:val="24"/>
        </w:rPr>
        <w:t>across the Group</w:t>
      </w:r>
    </w:p>
    <w:p w:rsidR="004A0E96" w:rsidRDefault="004A0E96" w:rsidP="005A267E">
      <w:pPr>
        <w:jc w:val="left"/>
        <w:rPr>
          <w:rFonts w:ascii="Arial" w:hAnsi="Arial" w:cs="Arial"/>
          <w:b/>
          <w:sz w:val="24"/>
          <w:szCs w:val="24"/>
        </w:rPr>
      </w:pPr>
    </w:p>
    <w:p w:rsidR="007D7E6A" w:rsidRDefault="007D7E6A" w:rsidP="005A267E">
      <w:pPr>
        <w:jc w:val="left"/>
        <w:rPr>
          <w:rFonts w:ascii="Arial" w:hAnsi="Arial" w:cs="Arial"/>
          <w:b/>
          <w:sz w:val="24"/>
          <w:szCs w:val="24"/>
        </w:rPr>
      </w:pPr>
    </w:p>
    <w:p w:rsidR="005A267E" w:rsidRPr="003C75BF" w:rsidRDefault="005A267E" w:rsidP="005A267E">
      <w:pPr>
        <w:jc w:val="left"/>
        <w:rPr>
          <w:rFonts w:ascii="Arial" w:hAnsi="Arial" w:cs="Arial"/>
          <w:b/>
          <w:sz w:val="24"/>
          <w:szCs w:val="24"/>
        </w:rPr>
      </w:pPr>
      <w:r w:rsidRPr="003C75BF">
        <w:rPr>
          <w:rFonts w:ascii="Arial" w:hAnsi="Arial" w:cs="Arial"/>
          <w:b/>
          <w:sz w:val="24"/>
          <w:szCs w:val="24"/>
        </w:rPr>
        <w:t xml:space="preserve">COMMON </w:t>
      </w:r>
    </w:p>
    <w:p w:rsidR="006F4B5F" w:rsidRPr="003C75BF" w:rsidRDefault="00D03FCC" w:rsidP="00A64D40">
      <w:pPr>
        <w:pStyle w:val="ListParagraph"/>
        <w:numPr>
          <w:ilvl w:val="0"/>
          <w:numId w:val="11"/>
        </w:numPr>
        <w:jc w:val="left"/>
        <w:rPr>
          <w:rFonts w:ascii="Arial" w:hAnsi="Arial" w:cs="Arial"/>
          <w:sz w:val="24"/>
          <w:szCs w:val="24"/>
        </w:rPr>
      </w:pPr>
      <w:r>
        <w:rPr>
          <w:rFonts w:ascii="Arial" w:hAnsi="Arial" w:cs="Arial"/>
          <w:sz w:val="24"/>
          <w:szCs w:val="24"/>
        </w:rPr>
        <w:t>Extend</w:t>
      </w:r>
      <w:r w:rsidR="003C75BF" w:rsidRPr="003C75BF">
        <w:rPr>
          <w:rFonts w:ascii="Arial" w:hAnsi="Arial" w:cs="Arial"/>
          <w:sz w:val="24"/>
          <w:szCs w:val="24"/>
        </w:rPr>
        <w:t xml:space="preserve"> sourcing programmes</w:t>
      </w:r>
      <w:r w:rsidR="00996711">
        <w:rPr>
          <w:rFonts w:ascii="Arial" w:hAnsi="Arial" w:cs="Arial"/>
          <w:sz w:val="24"/>
          <w:szCs w:val="24"/>
        </w:rPr>
        <w:t xml:space="preserve"> (e.g. new cross-Group MacAllister power and hand tools and Blooma BBQs) </w:t>
      </w:r>
    </w:p>
    <w:p w:rsidR="006F4B5F" w:rsidRPr="004F2739" w:rsidRDefault="00D03FCC" w:rsidP="00A64D40">
      <w:pPr>
        <w:pStyle w:val="ListParagraph"/>
        <w:numPr>
          <w:ilvl w:val="0"/>
          <w:numId w:val="11"/>
        </w:numPr>
        <w:jc w:val="left"/>
        <w:rPr>
          <w:rFonts w:ascii="Arial" w:hAnsi="Arial" w:cs="Arial"/>
          <w:sz w:val="24"/>
          <w:szCs w:val="24"/>
        </w:rPr>
      </w:pPr>
      <w:r>
        <w:rPr>
          <w:rFonts w:ascii="Arial" w:hAnsi="Arial" w:cs="Arial"/>
          <w:sz w:val="24"/>
          <w:szCs w:val="24"/>
        </w:rPr>
        <w:t>Start four year</w:t>
      </w:r>
      <w:r w:rsidR="006F4B5F" w:rsidRPr="004F2739">
        <w:rPr>
          <w:rFonts w:ascii="Arial" w:hAnsi="Arial" w:cs="Arial"/>
          <w:sz w:val="24"/>
          <w:szCs w:val="24"/>
        </w:rPr>
        <w:t xml:space="preserve"> Group</w:t>
      </w:r>
      <w:r w:rsidR="00E27589">
        <w:rPr>
          <w:rFonts w:ascii="Arial" w:hAnsi="Arial" w:cs="Arial"/>
          <w:sz w:val="24"/>
          <w:szCs w:val="24"/>
        </w:rPr>
        <w:t>-</w:t>
      </w:r>
      <w:r w:rsidR="003C75BF" w:rsidRPr="004F2739">
        <w:rPr>
          <w:rFonts w:ascii="Arial" w:hAnsi="Arial" w:cs="Arial"/>
          <w:sz w:val="24"/>
          <w:szCs w:val="24"/>
        </w:rPr>
        <w:t>wide</w:t>
      </w:r>
      <w:r w:rsidR="006F4B5F" w:rsidRPr="004F2739">
        <w:rPr>
          <w:rFonts w:ascii="Arial" w:hAnsi="Arial" w:cs="Arial"/>
          <w:sz w:val="24"/>
          <w:szCs w:val="24"/>
        </w:rPr>
        <w:t xml:space="preserve"> IT </w:t>
      </w:r>
      <w:r>
        <w:rPr>
          <w:rFonts w:ascii="Arial" w:hAnsi="Arial" w:cs="Arial"/>
          <w:sz w:val="24"/>
          <w:szCs w:val="24"/>
        </w:rPr>
        <w:t>programme</w:t>
      </w:r>
      <w:r w:rsidR="00D4054C">
        <w:rPr>
          <w:rFonts w:ascii="Arial" w:hAnsi="Arial" w:cs="Arial"/>
          <w:sz w:val="24"/>
          <w:szCs w:val="24"/>
        </w:rPr>
        <w:t>, consistent with our on-going cap</w:t>
      </w:r>
      <w:r w:rsidR="009911D2">
        <w:rPr>
          <w:rFonts w:ascii="Arial" w:hAnsi="Arial" w:cs="Arial"/>
          <w:sz w:val="24"/>
          <w:szCs w:val="24"/>
        </w:rPr>
        <w:t>ital expenditure</w:t>
      </w:r>
      <w:r w:rsidR="00D4054C">
        <w:rPr>
          <w:rFonts w:ascii="Arial" w:hAnsi="Arial" w:cs="Arial"/>
          <w:sz w:val="24"/>
          <w:szCs w:val="24"/>
        </w:rPr>
        <w:t xml:space="preserve"> plans</w:t>
      </w:r>
    </w:p>
    <w:p w:rsidR="005A267E" w:rsidRPr="006F4B5F" w:rsidRDefault="005A267E" w:rsidP="006F4B5F">
      <w:pPr>
        <w:jc w:val="left"/>
        <w:rPr>
          <w:rFonts w:ascii="Arial" w:hAnsi="Arial" w:cs="Arial"/>
          <w:sz w:val="24"/>
          <w:szCs w:val="24"/>
        </w:rPr>
      </w:pPr>
    </w:p>
    <w:p w:rsidR="005A267E" w:rsidRPr="006F4B5F" w:rsidRDefault="005A267E" w:rsidP="005A267E">
      <w:pPr>
        <w:jc w:val="left"/>
        <w:rPr>
          <w:rFonts w:ascii="Arial" w:hAnsi="Arial" w:cs="Arial"/>
          <w:b/>
          <w:sz w:val="24"/>
          <w:szCs w:val="24"/>
        </w:rPr>
      </w:pPr>
      <w:r w:rsidRPr="006F4B5F">
        <w:rPr>
          <w:rFonts w:ascii="Arial" w:hAnsi="Arial" w:cs="Arial"/>
          <w:b/>
          <w:sz w:val="24"/>
          <w:szCs w:val="24"/>
        </w:rPr>
        <w:t>EXPAND</w:t>
      </w:r>
    </w:p>
    <w:p w:rsidR="00863D1C" w:rsidRPr="003C75BF" w:rsidRDefault="00AE488A" w:rsidP="00A64D40">
      <w:pPr>
        <w:pStyle w:val="ListParagraph"/>
        <w:numPr>
          <w:ilvl w:val="0"/>
          <w:numId w:val="11"/>
        </w:numPr>
        <w:jc w:val="left"/>
        <w:rPr>
          <w:rFonts w:ascii="Arial" w:hAnsi="Arial" w:cs="Arial"/>
          <w:sz w:val="24"/>
          <w:szCs w:val="24"/>
        </w:rPr>
      </w:pPr>
      <w:r w:rsidRPr="003C75BF">
        <w:rPr>
          <w:rFonts w:ascii="Arial" w:hAnsi="Arial" w:cs="Arial"/>
          <w:sz w:val="24"/>
          <w:szCs w:val="24"/>
        </w:rPr>
        <w:t>Organic</w:t>
      </w:r>
      <w:r w:rsidR="00996711">
        <w:rPr>
          <w:rFonts w:ascii="Arial" w:hAnsi="Arial" w:cs="Arial"/>
          <w:sz w:val="24"/>
          <w:szCs w:val="24"/>
        </w:rPr>
        <w:t xml:space="preserve"> space</w:t>
      </w:r>
      <w:r w:rsidRPr="003C75BF">
        <w:rPr>
          <w:rFonts w:ascii="Arial" w:hAnsi="Arial" w:cs="Arial"/>
          <w:sz w:val="24"/>
          <w:szCs w:val="24"/>
        </w:rPr>
        <w:t xml:space="preserve"> growth of </w:t>
      </w:r>
      <w:r w:rsidR="00045E54">
        <w:rPr>
          <w:rFonts w:ascii="Arial" w:hAnsi="Arial" w:cs="Arial"/>
          <w:sz w:val="24"/>
          <w:szCs w:val="24"/>
        </w:rPr>
        <w:t>2</w:t>
      </w:r>
      <w:r w:rsidRPr="003C75BF">
        <w:rPr>
          <w:rFonts w:ascii="Arial" w:hAnsi="Arial" w:cs="Arial"/>
          <w:sz w:val="24"/>
          <w:szCs w:val="24"/>
        </w:rPr>
        <w:t>% (</w:t>
      </w:r>
      <w:r w:rsidR="00401C3D">
        <w:rPr>
          <w:rFonts w:ascii="Arial" w:hAnsi="Arial" w:cs="Arial"/>
          <w:sz w:val="24"/>
          <w:szCs w:val="24"/>
        </w:rPr>
        <w:t>7</w:t>
      </w:r>
      <w:r w:rsidR="00861CB3">
        <w:rPr>
          <w:rFonts w:ascii="Arial" w:hAnsi="Arial" w:cs="Arial"/>
          <w:sz w:val="24"/>
          <w:szCs w:val="24"/>
        </w:rPr>
        <w:t>1</w:t>
      </w:r>
      <w:r w:rsidRPr="003C75BF">
        <w:rPr>
          <w:rFonts w:ascii="Arial" w:hAnsi="Arial" w:cs="Arial"/>
          <w:sz w:val="24"/>
          <w:szCs w:val="24"/>
        </w:rPr>
        <w:t xml:space="preserve"> </w:t>
      </w:r>
      <w:r w:rsidR="006C3379">
        <w:rPr>
          <w:rFonts w:ascii="Arial" w:hAnsi="Arial" w:cs="Arial"/>
          <w:sz w:val="24"/>
          <w:szCs w:val="24"/>
        </w:rPr>
        <w:t xml:space="preserve">net new </w:t>
      </w:r>
      <w:r w:rsidRPr="003C75BF">
        <w:rPr>
          <w:rFonts w:ascii="Arial" w:hAnsi="Arial" w:cs="Arial"/>
          <w:sz w:val="24"/>
          <w:szCs w:val="24"/>
        </w:rPr>
        <w:t>stores</w:t>
      </w:r>
      <w:r w:rsidR="00B47BF6">
        <w:rPr>
          <w:rFonts w:ascii="Arial" w:hAnsi="Arial" w:cs="Arial"/>
          <w:sz w:val="24"/>
          <w:szCs w:val="24"/>
        </w:rPr>
        <w:t>, of which</w:t>
      </w:r>
      <w:r w:rsidR="00FD133A">
        <w:rPr>
          <w:rFonts w:ascii="Arial" w:hAnsi="Arial" w:cs="Arial"/>
          <w:sz w:val="24"/>
          <w:szCs w:val="24"/>
        </w:rPr>
        <w:t xml:space="preserve"> 5</w:t>
      </w:r>
      <w:r w:rsidR="00B47BF6">
        <w:rPr>
          <w:rFonts w:ascii="Arial" w:hAnsi="Arial" w:cs="Arial"/>
          <w:sz w:val="24"/>
          <w:szCs w:val="24"/>
        </w:rPr>
        <w:t>4</w:t>
      </w:r>
      <w:r w:rsidR="00FD133A">
        <w:rPr>
          <w:rFonts w:ascii="Arial" w:hAnsi="Arial" w:cs="Arial"/>
          <w:sz w:val="24"/>
          <w:szCs w:val="24"/>
        </w:rPr>
        <w:t xml:space="preserve"> </w:t>
      </w:r>
      <w:r w:rsidR="00B47BF6">
        <w:rPr>
          <w:rFonts w:ascii="Arial" w:hAnsi="Arial" w:cs="Arial"/>
          <w:sz w:val="24"/>
          <w:szCs w:val="24"/>
        </w:rPr>
        <w:t xml:space="preserve">are </w:t>
      </w:r>
      <w:r w:rsidR="00FD133A">
        <w:rPr>
          <w:rFonts w:ascii="Arial" w:hAnsi="Arial" w:cs="Arial"/>
          <w:sz w:val="24"/>
          <w:szCs w:val="24"/>
        </w:rPr>
        <w:t>Screwfix</w:t>
      </w:r>
      <w:r w:rsidR="003C75BF" w:rsidRPr="003C75BF">
        <w:rPr>
          <w:rFonts w:ascii="Arial" w:hAnsi="Arial" w:cs="Arial"/>
          <w:sz w:val="24"/>
          <w:szCs w:val="24"/>
        </w:rPr>
        <w:t xml:space="preserve"> outlets</w:t>
      </w:r>
      <w:r w:rsidRPr="003C75BF">
        <w:rPr>
          <w:rFonts w:ascii="Arial" w:hAnsi="Arial" w:cs="Arial"/>
          <w:sz w:val="24"/>
          <w:szCs w:val="24"/>
        </w:rPr>
        <w:t>) including</w:t>
      </w:r>
    </w:p>
    <w:p w:rsidR="00AE488A" w:rsidRDefault="00AE488A" w:rsidP="00A64D40">
      <w:pPr>
        <w:pStyle w:val="ListParagraph"/>
        <w:numPr>
          <w:ilvl w:val="1"/>
          <w:numId w:val="11"/>
        </w:numPr>
        <w:jc w:val="left"/>
        <w:rPr>
          <w:rFonts w:ascii="Arial" w:hAnsi="Arial" w:cs="Arial"/>
          <w:sz w:val="24"/>
          <w:szCs w:val="24"/>
        </w:rPr>
      </w:pPr>
      <w:r>
        <w:rPr>
          <w:rFonts w:ascii="Arial" w:hAnsi="Arial" w:cs="Arial"/>
          <w:sz w:val="24"/>
          <w:szCs w:val="24"/>
        </w:rPr>
        <w:t>2 store new country entry into Portugal</w:t>
      </w:r>
      <w:r w:rsidR="009D673A">
        <w:rPr>
          <w:rFonts w:ascii="Arial" w:hAnsi="Arial" w:cs="Arial"/>
          <w:sz w:val="24"/>
          <w:szCs w:val="24"/>
        </w:rPr>
        <w:t xml:space="preserve"> </w:t>
      </w:r>
      <w:r w:rsidR="00B47BF6">
        <w:rPr>
          <w:rFonts w:ascii="Arial" w:hAnsi="Arial" w:cs="Arial"/>
          <w:sz w:val="24"/>
          <w:szCs w:val="24"/>
        </w:rPr>
        <w:t>with Brico Dépôt</w:t>
      </w:r>
    </w:p>
    <w:p w:rsidR="00885179" w:rsidRDefault="003C75BF" w:rsidP="00A64D40">
      <w:pPr>
        <w:pStyle w:val="ListParagraph"/>
        <w:numPr>
          <w:ilvl w:val="1"/>
          <w:numId w:val="11"/>
        </w:numPr>
        <w:jc w:val="left"/>
        <w:rPr>
          <w:rFonts w:ascii="Arial" w:hAnsi="Arial" w:cs="Arial"/>
          <w:sz w:val="24"/>
          <w:szCs w:val="24"/>
        </w:rPr>
      </w:pPr>
      <w:r w:rsidRPr="00EA6927">
        <w:rPr>
          <w:rFonts w:ascii="Arial" w:hAnsi="Arial" w:cs="Arial"/>
          <w:sz w:val="24"/>
          <w:szCs w:val="24"/>
        </w:rPr>
        <w:t xml:space="preserve">Launch of Screwfix </w:t>
      </w:r>
      <w:r w:rsidR="00FF6C35">
        <w:rPr>
          <w:rFonts w:ascii="Arial" w:hAnsi="Arial" w:cs="Arial"/>
          <w:sz w:val="24"/>
          <w:szCs w:val="24"/>
        </w:rPr>
        <w:t>pilot</w:t>
      </w:r>
      <w:r w:rsidRPr="00EA6927">
        <w:rPr>
          <w:rFonts w:ascii="Arial" w:hAnsi="Arial" w:cs="Arial"/>
          <w:sz w:val="24"/>
          <w:szCs w:val="24"/>
        </w:rPr>
        <w:t xml:space="preserve"> in Germany incorporating 4 outlet</w:t>
      </w:r>
      <w:r w:rsidR="00C540E5">
        <w:rPr>
          <w:rFonts w:ascii="Arial" w:hAnsi="Arial" w:cs="Arial"/>
          <w:sz w:val="24"/>
          <w:szCs w:val="24"/>
        </w:rPr>
        <w:t>s</w:t>
      </w:r>
      <w:r w:rsidRPr="00EA6927">
        <w:rPr>
          <w:rFonts w:ascii="Arial" w:hAnsi="Arial" w:cs="Arial"/>
          <w:sz w:val="24"/>
          <w:szCs w:val="24"/>
        </w:rPr>
        <w:t xml:space="preserve"> and a website</w:t>
      </w:r>
      <w:r w:rsidR="00234FFB">
        <w:rPr>
          <w:rFonts w:ascii="Arial" w:hAnsi="Arial" w:cs="Arial"/>
          <w:sz w:val="24"/>
          <w:szCs w:val="24"/>
        </w:rPr>
        <w:t xml:space="preserve"> for country</w:t>
      </w:r>
      <w:r w:rsidR="00512BF0">
        <w:rPr>
          <w:rFonts w:ascii="Arial" w:hAnsi="Arial" w:cs="Arial"/>
          <w:sz w:val="24"/>
          <w:szCs w:val="24"/>
        </w:rPr>
        <w:t>-</w:t>
      </w:r>
      <w:r w:rsidR="00234FFB">
        <w:rPr>
          <w:rFonts w:ascii="Arial" w:hAnsi="Arial" w:cs="Arial"/>
          <w:sz w:val="24"/>
          <w:szCs w:val="24"/>
        </w:rPr>
        <w:t>wide next day delivery</w:t>
      </w:r>
      <w:r w:rsidRPr="00EA6927">
        <w:rPr>
          <w:rFonts w:ascii="Arial" w:hAnsi="Arial" w:cs="Arial"/>
          <w:sz w:val="24"/>
          <w:szCs w:val="24"/>
        </w:rPr>
        <w:t xml:space="preserve"> </w:t>
      </w:r>
    </w:p>
    <w:p w:rsidR="00FD133A" w:rsidRPr="00E6064A" w:rsidRDefault="00FD133A" w:rsidP="00A64D40">
      <w:pPr>
        <w:pStyle w:val="ListParagraph"/>
        <w:numPr>
          <w:ilvl w:val="1"/>
          <w:numId w:val="11"/>
        </w:numPr>
        <w:jc w:val="left"/>
        <w:rPr>
          <w:rFonts w:ascii="Arial" w:hAnsi="Arial" w:cs="Arial"/>
          <w:sz w:val="24"/>
          <w:szCs w:val="24"/>
        </w:rPr>
      </w:pPr>
      <w:r>
        <w:rPr>
          <w:rFonts w:ascii="Arial" w:hAnsi="Arial" w:cs="Arial"/>
          <w:sz w:val="24"/>
          <w:szCs w:val="24"/>
        </w:rPr>
        <w:t xml:space="preserve">Combined investment impact of these new country entries on 2014/15 profit will be a </w:t>
      </w:r>
      <w:r w:rsidR="002A4FF0">
        <w:rPr>
          <w:rFonts w:ascii="Arial" w:hAnsi="Arial" w:cs="Arial"/>
          <w:sz w:val="24"/>
          <w:szCs w:val="24"/>
        </w:rPr>
        <w:t xml:space="preserve">net </w:t>
      </w:r>
      <w:r>
        <w:rPr>
          <w:rFonts w:ascii="Arial" w:hAnsi="Arial" w:cs="Arial"/>
          <w:sz w:val="24"/>
          <w:szCs w:val="24"/>
        </w:rPr>
        <w:t>charge of £10 million</w:t>
      </w:r>
    </w:p>
    <w:p w:rsidR="0084279A" w:rsidRPr="0036719C" w:rsidRDefault="00A1138B" w:rsidP="00A64D40">
      <w:pPr>
        <w:pStyle w:val="ListParagraph"/>
        <w:numPr>
          <w:ilvl w:val="0"/>
          <w:numId w:val="11"/>
        </w:numPr>
        <w:jc w:val="left"/>
        <w:rPr>
          <w:rFonts w:ascii="Arial" w:hAnsi="Arial" w:cs="Arial"/>
          <w:sz w:val="24"/>
          <w:szCs w:val="24"/>
        </w:rPr>
      </w:pPr>
      <w:r>
        <w:rPr>
          <w:rFonts w:ascii="Arial" w:hAnsi="Arial" w:cs="Arial"/>
          <w:sz w:val="24"/>
          <w:szCs w:val="24"/>
        </w:rPr>
        <w:t>Actively managing</w:t>
      </w:r>
      <w:r w:rsidRPr="0036719C">
        <w:rPr>
          <w:rFonts w:ascii="Arial" w:hAnsi="Arial" w:cs="Arial"/>
          <w:sz w:val="24"/>
          <w:szCs w:val="24"/>
        </w:rPr>
        <w:t xml:space="preserve"> </w:t>
      </w:r>
      <w:r w:rsidR="0084279A" w:rsidRPr="0036719C">
        <w:rPr>
          <w:rFonts w:ascii="Arial" w:hAnsi="Arial" w:cs="Arial"/>
          <w:sz w:val="24"/>
          <w:szCs w:val="24"/>
        </w:rPr>
        <w:t>the portfolio</w:t>
      </w:r>
    </w:p>
    <w:p w:rsidR="00AE488A" w:rsidRPr="00A1426F" w:rsidRDefault="00AE488A" w:rsidP="00A64D40">
      <w:pPr>
        <w:pStyle w:val="ListParagraph"/>
        <w:numPr>
          <w:ilvl w:val="1"/>
          <w:numId w:val="11"/>
        </w:numPr>
        <w:jc w:val="left"/>
        <w:rPr>
          <w:rFonts w:ascii="Arial" w:hAnsi="Arial" w:cs="Arial"/>
          <w:sz w:val="24"/>
          <w:szCs w:val="24"/>
        </w:rPr>
      </w:pPr>
      <w:r w:rsidRPr="00A1426F">
        <w:rPr>
          <w:rFonts w:ascii="Arial" w:hAnsi="Arial" w:cs="Arial"/>
          <w:sz w:val="24"/>
          <w:szCs w:val="24"/>
        </w:rPr>
        <w:t xml:space="preserve">Complete </w:t>
      </w:r>
      <w:r w:rsidR="00B47BF6" w:rsidRPr="00A1426F">
        <w:rPr>
          <w:rFonts w:ascii="Arial" w:hAnsi="Arial" w:cs="Arial"/>
          <w:sz w:val="24"/>
          <w:szCs w:val="24"/>
        </w:rPr>
        <w:t xml:space="preserve">the </w:t>
      </w:r>
      <w:r w:rsidRPr="00A1426F">
        <w:rPr>
          <w:rFonts w:ascii="Arial" w:hAnsi="Arial" w:cs="Arial"/>
          <w:sz w:val="24"/>
          <w:szCs w:val="24"/>
        </w:rPr>
        <w:t>di</w:t>
      </w:r>
      <w:r w:rsidR="0084279A" w:rsidRPr="00A1426F">
        <w:rPr>
          <w:rFonts w:ascii="Arial" w:hAnsi="Arial" w:cs="Arial"/>
          <w:sz w:val="24"/>
          <w:szCs w:val="24"/>
        </w:rPr>
        <w:t>sposal</w:t>
      </w:r>
      <w:r w:rsidRPr="00A1426F">
        <w:rPr>
          <w:rFonts w:ascii="Arial" w:hAnsi="Arial" w:cs="Arial"/>
          <w:sz w:val="24"/>
          <w:szCs w:val="24"/>
        </w:rPr>
        <w:t xml:space="preserve"> of Hornbach</w:t>
      </w:r>
      <w:r w:rsidR="00CA5164" w:rsidRPr="00A1426F">
        <w:rPr>
          <w:rFonts w:ascii="Arial" w:hAnsi="Arial" w:cs="Arial"/>
          <w:sz w:val="24"/>
          <w:szCs w:val="24"/>
        </w:rPr>
        <w:t xml:space="preserve"> </w:t>
      </w:r>
    </w:p>
    <w:p w:rsidR="00AE488A" w:rsidRPr="00EA6927" w:rsidRDefault="000F45CE" w:rsidP="00A64D40">
      <w:pPr>
        <w:pStyle w:val="ListParagraph"/>
        <w:numPr>
          <w:ilvl w:val="1"/>
          <w:numId w:val="11"/>
        </w:numPr>
        <w:jc w:val="left"/>
        <w:rPr>
          <w:rFonts w:ascii="Arial" w:hAnsi="Arial" w:cs="Arial"/>
          <w:sz w:val="24"/>
          <w:szCs w:val="24"/>
        </w:rPr>
      </w:pPr>
      <w:r>
        <w:rPr>
          <w:rFonts w:ascii="Arial" w:hAnsi="Arial" w:cs="Arial"/>
          <w:sz w:val="24"/>
          <w:szCs w:val="24"/>
        </w:rPr>
        <w:t>Look for strategic partner for B&amp;Q</w:t>
      </w:r>
      <w:r w:rsidR="0084279A">
        <w:rPr>
          <w:rFonts w:ascii="Arial" w:hAnsi="Arial" w:cs="Arial"/>
          <w:sz w:val="24"/>
          <w:szCs w:val="24"/>
        </w:rPr>
        <w:t xml:space="preserve"> China </w:t>
      </w:r>
      <w:r>
        <w:rPr>
          <w:rFonts w:ascii="Arial" w:hAnsi="Arial" w:cs="Arial"/>
          <w:sz w:val="24"/>
          <w:szCs w:val="24"/>
        </w:rPr>
        <w:t>now that the business is</w:t>
      </w:r>
      <w:r w:rsidR="00F50318">
        <w:rPr>
          <w:rFonts w:ascii="Arial" w:hAnsi="Arial" w:cs="Arial"/>
          <w:sz w:val="24"/>
          <w:szCs w:val="24"/>
        </w:rPr>
        <w:t xml:space="preserve"> </w:t>
      </w:r>
      <w:r>
        <w:rPr>
          <w:rFonts w:ascii="Arial" w:hAnsi="Arial" w:cs="Arial"/>
          <w:sz w:val="24"/>
          <w:szCs w:val="24"/>
        </w:rPr>
        <w:t>stable</w:t>
      </w:r>
      <w:r w:rsidR="00CA5164">
        <w:rPr>
          <w:rFonts w:ascii="Arial" w:hAnsi="Arial" w:cs="Arial"/>
          <w:sz w:val="24"/>
          <w:szCs w:val="24"/>
        </w:rPr>
        <w:t xml:space="preserve"> with core business broadly break even</w:t>
      </w:r>
    </w:p>
    <w:p w:rsidR="00AE488A" w:rsidRPr="00EA6927" w:rsidRDefault="00AE488A" w:rsidP="00A64D40">
      <w:pPr>
        <w:pStyle w:val="ListParagraph"/>
        <w:numPr>
          <w:ilvl w:val="0"/>
          <w:numId w:val="11"/>
        </w:numPr>
        <w:jc w:val="left"/>
        <w:rPr>
          <w:rFonts w:ascii="Arial" w:hAnsi="Arial" w:cs="Arial"/>
          <w:sz w:val="24"/>
          <w:szCs w:val="24"/>
        </w:rPr>
      </w:pPr>
      <w:r w:rsidRPr="00EA6927">
        <w:rPr>
          <w:rFonts w:ascii="Arial" w:hAnsi="Arial" w:cs="Arial"/>
          <w:sz w:val="24"/>
          <w:szCs w:val="24"/>
        </w:rPr>
        <w:t>C</w:t>
      </w:r>
      <w:r w:rsidR="000F45CE">
        <w:rPr>
          <w:rFonts w:ascii="Arial" w:hAnsi="Arial" w:cs="Arial"/>
          <w:sz w:val="24"/>
          <w:szCs w:val="24"/>
        </w:rPr>
        <w:t>ontinue to c</w:t>
      </w:r>
      <w:r w:rsidRPr="00EA6927">
        <w:rPr>
          <w:rFonts w:ascii="Arial" w:hAnsi="Arial" w:cs="Arial"/>
          <w:sz w:val="24"/>
          <w:szCs w:val="24"/>
        </w:rPr>
        <w:t>apitalise on consolidation opportunities</w:t>
      </w:r>
      <w:r w:rsidR="00C540E5">
        <w:rPr>
          <w:rFonts w:ascii="Arial" w:hAnsi="Arial" w:cs="Arial"/>
          <w:sz w:val="24"/>
          <w:szCs w:val="24"/>
        </w:rPr>
        <w:t xml:space="preserve"> (</w:t>
      </w:r>
      <w:r w:rsidR="004B287F">
        <w:rPr>
          <w:rFonts w:ascii="Arial" w:hAnsi="Arial" w:cs="Arial"/>
          <w:sz w:val="24"/>
          <w:szCs w:val="24"/>
        </w:rPr>
        <w:t>as we did in</w:t>
      </w:r>
      <w:r w:rsidR="00C540E5">
        <w:rPr>
          <w:rFonts w:ascii="Arial" w:hAnsi="Arial" w:cs="Arial"/>
          <w:sz w:val="24"/>
          <w:szCs w:val="24"/>
        </w:rPr>
        <w:t xml:space="preserve"> Romania)</w:t>
      </w:r>
    </w:p>
    <w:p w:rsidR="000F45CE" w:rsidRPr="00AC5413" w:rsidRDefault="00863D1C" w:rsidP="00A64D40">
      <w:pPr>
        <w:pStyle w:val="ListParagraph"/>
        <w:numPr>
          <w:ilvl w:val="1"/>
          <w:numId w:val="11"/>
        </w:numPr>
        <w:jc w:val="left"/>
      </w:pPr>
      <w:r>
        <w:rPr>
          <w:rFonts w:ascii="Arial" w:hAnsi="Arial" w:cs="Arial"/>
          <w:sz w:val="24"/>
          <w:szCs w:val="24"/>
        </w:rPr>
        <w:t>Continue with rebranding of recently acquired Bricostore Romania</w:t>
      </w:r>
      <w:r w:rsidR="003C75BF">
        <w:rPr>
          <w:rFonts w:ascii="Arial" w:hAnsi="Arial" w:cs="Arial"/>
          <w:sz w:val="24"/>
          <w:szCs w:val="24"/>
        </w:rPr>
        <w:t xml:space="preserve"> stores</w:t>
      </w:r>
      <w:r w:rsidR="000F45CE">
        <w:rPr>
          <w:rFonts w:ascii="Arial" w:hAnsi="Arial" w:cs="Arial"/>
          <w:sz w:val="24"/>
          <w:szCs w:val="24"/>
        </w:rPr>
        <w:t xml:space="preserve"> under the Brico Dépôt banner</w:t>
      </w:r>
    </w:p>
    <w:p w:rsidR="002A4FF0" w:rsidRDefault="002A4FF0">
      <w:pPr>
        <w:jc w:val="left"/>
        <w:rPr>
          <w:rFonts w:ascii="Arial" w:hAnsi="Arial" w:cs="Arial"/>
          <w:b/>
          <w:bCs/>
          <w:sz w:val="24"/>
          <w:szCs w:val="24"/>
        </w:rPr>
      </w:pPr>
    </w:p>
    <w:p w:rsidR="002A4FF0" w:rsidRPr="00A1426F" w:rsidRDefault="002A4FF0" w:rsidP="00A1426F">
      <w:pPr>
        <w:jc w:val="left"/>
        <w:rPr>
          <w:rFonts w:ascii="Arial" w:hAnsi="Arial" w:cs="Arial"/>
          <w:b/>
          <w:bCs/>
          <w:sz w:val="24"/>
          <w:szCs w:val="24"/>
        </w:rPr>
      </w:pPr>
      <w:r>
        <w:rPr>
          <w:rFonts w:ascii="Arial" w:hAnsi="Arial" w:cs="Arial"/>
          <w:b/>
          <w:bCs/>
          <w:sz w:val="24"/>
          <w:szCs w:val="24"/>
        </w:rPr>
        <w:t>ONE TEAM</w:t>
      </w:r>
    </w:p>
    <w:p w:rsidR="009762BD" w:rsidRDefault="000A761B" w:rsidP="00A64D40">
      <w:pPr>
        <w:pStyle w:val="ListParagraph"/>
        <w:numPr>
          <w:ilvl w:val="0"/>
          <w:numId w:val="11"/>
        </w:numPr>
        <w:jc w:val="left"/>
        <w:rPr>
          <w:rFonts w:ascii="Arial" w:hAnsi="Arial" w:cs="Arial"/>
          <w:sz w:val="24"/>
          <w:szCs w:val="24"/>
        </w:rPr>
      </w:pPr>
      <w:r>
        <w:rPr>
          <w:rFonts w:ascii="Arial" w:hAnsi="Arial" w:cs="Arial"/>
          <w:sz w:val="24"/>
          <w:szCs w:val="24"/>
        </w:rPr>
        <w:t>People</w:t>
      </w:r>
    </w:p>
    <w:p w:rsidR="000A761B" w:rsidRPr="00A1426F" w:rsidRDefault="000A761B" w:rsidP="00A64D40">
      <w:pPr>
        <w:pStyle w:val="ListParagraph"/>
        <w:numPr>
          <w:ilvl w:val="1"/>
          <w:numId w:val="11"/>
        </w:numPr>
        <w:jc w:val="left"/>
        <w:rPr>
          <w:rFonts w:ascii="Arial" w:hAnsi="Arial" w:cs="Arial"/>
          <w:sz w:val="24"/>
          <w:szCs w:val="24"/>
        </w:rPr>
      </w:pPr>
      <w:r w:rsidRPr="00A1426F">
        <w:rPr>
          <w:rFonts w:ascii="Arial" w:hAnsi="Arial" w:cs="Arial"/>
          <w:sz w:val="24"/>
          <w:szCs w:val="24"/>
        </w:rPr>
        <w:t>Increased focus on talent management</w:t>
      </w:r>
    </w:p>
    <w:p w:rsidR="000A761B" w:rsidRPr="00A1426F" w:rsidRDefault="000A761B" w:rsidP="00A64D40">
      <w:pPr>
        <w:pStyle w:val="ListParagraph"/>
        <w:numPr>
          <w:ilvl w:val="1"/>
          <w:numId w:val="11"/>
        </w:numPr>
        <w:jc w:val="left"/>
        <w:rPr>
          <w:rFonts w:ascii="Arial" w:hAnsi="Arial" w:cs="Arial"/>
          <w:sz w:val="24"/>
          <w:szCs w:val="24"/>
        </w:rPr>
      </w:pPr>
      <w:r w:rsidRPr="00A1426F">
        <w:rPr>
          <w:rFonts w:ascii="Arial" w:hAnsi="Arial" w:cs="Arial"/>
          <w:sz w:val="24"/>
          <w:szCs w:val="24"/>
        </w:rPr>
        <w:t>Continue to develop Kingfisher One Academy with new programmes</w:t>
      </w:r>
    </w:p>
    <w:p w:rsidR="000A761B" w:rsidRPr="00A1426F" w:rsidRDefault="000A761B" w:rsidP="00A64D40">
      <w:pPr>
        <w:pStyle w:val="ListParagraph"/>
        <w:numPr>
          <w:ilvl w:val="0"/>
          <w:numId w:val="11"/>
        </w:numPr>
        <w:jc w:val="left"/>
        <w:rPr>
          <w:rFonts w:ascii="Arial" w:hAnsi="Arial" w:cs="Arial"/>
          <w:sz w:val="24"/>
          <w:szCs w:val="24"/>
        </w:rPr>
      </w:pPr>
      <w:r w:rsidRPr="00A1426F">
        <w:rPr>
          <w:rFonts w:ascii="Arial" w:hAnsi="Arial" w:cs="Arial"/>
          <w:sz w:val="24"/>
          <w:szCs w:val="24"/>
        </w:rPr>
        <w:t>Net Positive</w:t>
      </w:r>
    </w:p>
    <w:p w:rsidR="000A761B" w:rsidRPr="00A1426F" w:rsidRDefault="000A761B" w:rsidP="00A64D40">
      <w:pPr>
        <w:pStyle w:val="ListParagraph"/>
        <w:numPr>
          <w:ilvl w:val="1"/>
          <w:numId w:val="11"/>
        </w:numPr>
        <w:jc w:val="left"/>
        <w:rPr>
          <w:rFonts w:ascii="Arial" w:hAnsi="Arial" w:cs="Arial"/>
          <w:sz w:val="24"/>
          <w:szCs w:val="24"/>
        </w:rPr>
      </w:pPr>
      <w:r w:rsidRPr="00A1426F">
        <w:rPr>
          <w:rFonts w:ascii="Arial" w:hAnsi="Arial" w:cs="Arial"/>
          <w:sz w:val="24"/>
          <w:szCs w:val="24"/>
        </w:rPr>
        <w:t>Establish processes to accelerate Net Positive innovation and to apply what we learn a</w:t>
      </w:r>
      <w:r w:rsidR="00FC1857">
        <w:rPr>
          <w:rFonts w:ascii="Arial" w:hAnsi="Arial" w:cs="Arial"/>
          <w:sz w:val="24"/>
          <w:szCs w:val="24"/>
        </w:rPr>
        <w:t>cross the Group</w:t>
      </w:r>
    </w:p>
    <w:p w:rsidR="000A761B" w:rsidRPr="00A1426F" w:rsidRDefault="000A761B" w:rsidP="00A64D40">
      <w:pPr>
        <w:pStyle w:val="ListParagraph"/>
        <w:numPr>
          <w:ilvl w:val="1"/>
          <w:numId w:val="11"/>
        </w:numPr>
        <w:jc w:val="left"/>
        <w:rPr>
          <w:rFonts w:ascii="Arial" w:hAnsi="Arial" w:cs="Arial"/>
          <w:sz w:val="24"/>
          <w:szCs w:val="24"/>
        </w:rPr>
      </w:pPr>
      <w:r w:rsidRPr="00A1426F">
        <w:rPr>
          <w:rFonts w:ascii="Arial" w:hAnsi="Arial" w:cs="Arial"/>
          <w:sz w:val="24"/>
          <w:szCs w:val="24"/>
        </w:rPr>
        <w:t>Further integrate Net Positive into our Operating Company business plans</w:t>
      </w:r>
    </w:p>
    <w:p w:rsidR="000A761B" w:rsidRPr="00E6064A" w:rsidRDefault="000A761B" w:rsidP="00A1426F">
      <w:pPr>
        <w:pStyle w:val="ListParagraph"/>
        <w:ind w:left="1440"/>
        <w:jc w:val="left"/>
        <w:rPr>
          <w:rFonts w:ascii="Arial" w:hAnsi="Arial" w:cs="Arial"/>
          <w:sz w:val="24"/>
          <w:szCs w:val="24"/>
        </w:rPr>
      </w:pPr>
    </w:p>
    <w:p w:rsidR="00CA5164" w:rsidRDefault="00CA5164">
      <w:pPr>
        <w:jc w:val="left"/>
        <w:rPr>
          <w:rFonts w:ascii="Arial" w:hAnsi="Arial" w:cs="Arial"/>
          <w:b/>
          <w:bCs/>
          <w:sz w:val="24"/>
          <w:szCs w:val="24"/>
        </w:rPr>
      </w:pPr>
    </w:p>
    <w:p w:rsidR="002A4FF0" w:rsidRDefault="002A4FF0">
      <w:pPr>
        <w:jc w:val="left"/>
        <w:rPr>
          <w:rFonts w:ascii="Arial" w:hAnsi="Arial" w:cs="Arial"/>
          <w:b/>
          <w:bCs/>
          <w:sz w:val="24"/>
          <w:szCs w:val="24"/>
        </w:rPr>
      </w:pPr>
      <w:r>
        <w:rPr>
          <w:rFonts w:ascii="Arial" w:hAnsi="Arial" w:cs="Arial"/>
          <w:b/>
          <w:bCs/>
          <w:sz w:val="24"/>
          <w:szCs w:val="24"/>
        </w:rPr>
        <w:br w:type="page"/>
      </w:r>
    </w:p>
    <w:p w:rsidR="001B3B55" w:rsidRPr="00AC5413" w:rsidRDefault="00074BF9" w:rsidP="001B3B55">
      <w:pPr>
        <w:jc w:val="left"/>
        <w:rPr>
          <w:rFonts w:ascii="Helvetica" w:hAnsi="Helvetica" w:cs="Helvetica"/>
          <w:b/>
          <w:bCs/>
          <w:sz w:val="24"/>
          <w:szCs w:val="24"/>
        </w:rPr>
      </w:pPr>
      <w:r w:rsidRPr="00AC5413">
        <w:rPr>
          <w:rFonts w:ascii="Arial" w:hAnsi="Arial" w:cs="Arial"/>
          <w:b/>
          <w:bCs/>
          <w:sz w:val="24"/>
          <w:szCs w:val="24"/>
        </w:rPr>
        <w:t>S</w:t>
      </w:r>
      <w:r w:rsidR="00CD36B5" w:rsidRPr="00AC5413">
        <w:rPr>
          <w:rFonts w:ascii="Arial" w:hAnsi="Arial" w:cs="Arial"/>
          <w:b/>
          <w:bCs/>
          <w:sz w:val="24"/>
          <w:szCs w:val="24"/>
        </w:rPr>
        <w:t xml:space="preserve">ection </w:t>
      </w:r>
      <w:r w:rsidR="003E3617" w:rsidRPr="00AC5413">
        <w:rPr>
          <w:rFonts w:ascii="Arial" w:hAnsi="Arial" w:cs="Arial"/>
          <w:b/>
          <w:bCs/>
          <w:sz w:val="24"/>
          <w:szCs w:val="24"/>
        </w:rPr>
        <w:t>2</w:t>
      </w:r>
      <w:r w:rsidR="00376255">
        <w:rPr>
          <w:rFonts w:ascii="Arial" w:hAnsi="Arial" w:cs="Arial"/>
          <w:b/>
          <w:bCs/>
          <w:sz w:val="24"/>
          <w:szCs w:val="24"/>
        </w:rPr>
        <w:t xml:space="preserve">: </w:t>
      </w:r>
      <w:r w:rsidR="00CD36B5" w:rsidRPr="00AC5413">
        <w:rPr>
          <w:rFonts w:ascii="Helvetica" w:hAnsi="Helvetica" w:cs="Helvetica"/>
          <w:b/>
          <w:bCs/>
          <w:sz w:val="24"/>
          <w:szCs w:val="24"/>
        </w:rPr>
        <w:t xml:space="preserve">TRADING REVIEW BY </w:t>
      </w:r>
      <w:r w:rsidR="00F94DD3" w:rsidRPr="00AC5413">
        <w:rPr>
          <w:rFonts w:ascii="Helvetica" w:hAnsi="Helvetica" w:cs="Helvetica"/>
          <w:b/>
          <w:bCs/>
          <w:sz w:val="24"/>
          <w:szCs w:val="24"/>
        </w:rPr>
        <w:t>MAJOR GEOGRAPHY</w:t>
      </w:r>
    </w:p>
    <w:p w:rsidR="001B3B55" w:rsidRPr="00AC5413" w:rsidRDefault="001B3B55" w:rsidP="001B3B55">
      <w:pPr>
        <w:jc w:val="left"/>
        <w:rPr>
          <w:rFonts w:ascii="Arial" w:hAnsi="Arial" w:cs="Arial"/>
          <w:b/>
          <w:bCs/>
          <w:sz w:val="24"/>
          <w:szCs w:val="24"/>
          <w:highlight w:val="magenta"/>
        </w:rPr>
      </w:pPr>
    </w:p>
    <w:p w:rsidR="001B3B55" w:rsidRPr="00AC5413" w:rsidRDefault="001B3B55" w:rsidP="001B3B55">
      <w:pPr>
        <w:jc w:val="left"/>
        <w:rPr>
          <w:rFonts w:ascii="Arial" w:hAnsi="Arial" w:cs="Arial"/>
          <w:sz w:val="24"/>
          <w:szCs w:val="24"/>
        </w:rPr>
      </w:pPr>
      <w:bookmarkStart w:id="5" w:name="OLE_LINK3"/>
      <w:bookmarkStart w:id="6" w:name="OLE_LINK4"/>
      <w:r w:rsidRPr="00AC5413">
        <w:rPr>
          <w:rFonts w:ascii="Arial" w:hAnsi="Arial" w:cs="Arial"/>
          <w:b/>
          <w:bCs/>
          <w:sz w:val="24"/>
          <w:szCs w:val="24"/>
        </w:rPr>
        <w:t>FRANCE</w:t>
      </w:r>
    </w:p>
    <w:p w:rsidR="001B3B55" w:rsidRPr="00AC5413" w:rsidRDefault="001B3B55" w:rsidP="001B3B55">
      <w:pPr>
        <w:rPr>
          <w:rFonts w:ascii="Arial" w:hAnsi="Arial" w:cs="Arial"/>
          <w:b/>
          <w:bCs/>
          <w:sz w:val="24"/>
          <w:szCs w:val="24"/>
          <w:highlight w:val="magenta"/>
        </w:rPr>
      </w:pPr>
    </w:p>
    <w:tbl>
      <w:tblPr>
        <w:tblW w:w="48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1478"/>
        <w:gridCol w:w="1229"/>
        <w:gridCol w:w="1693"/>
        <w:gridCol w:w="1525"/>
        <w:gridCol w:w="1010"/>
      </w:tblGrid>
      <w:tr w:rsidR="00AC5413" w:rsidRPr="00AC5413" w:rsidTr="001B3B55">
        <w:tc>
          <w:tcPr>
            <w:tcW w:w="1280" w:type="pct"/>
          </w:tcPr>
          <w:p w:rsidR="001B3B55" w:rsidRPr="00AC5413" w:rsidRDefault="001B3B55" w:rsidP="001B3B55">
            <w:pPr>
              <w:rPr>
                <w:rFonts w:ascii="Arial" w:hAnsi="Arial" w:cs="Arial"/>
                <w:sz w:val="24"/>
                <w:szCs w:val="24"/>
              </w:rPr>
            </w:pPr>
            <w:r w:rsidRPr="00AC5413">
              <w:rPr>
                <w:rFonts w:ascii="Arial" w:hAnsi="Arial" w:cs="Arial"/>
                <w:b/>
                <w:bCs/>
                <w:sz w:val="24"/>
                <w:szCs w:val="24"/>
              </w:rPr>
              <w:t>Sales £m</w:t>
            </w:r>
          </w:p>
        </w:tc>
        <w:tc>
          <w:tcPr>
            <w:tcW w:w="793" w:type="pct"/>
          </w:tcPr>
          <w:p w:rsidR="001B3B55" w:rsidRPr="00AC5413" w:rsidRDefault="00AC5413" w:rsidP="001B3B55">
            <w:pPr>
              <w:jc w:val="right"/>
              <w:rPr>
                <w:rFonts w:ascii="Arial" w:hAnsi="Arial" w:cs="Arial"/>
                <w:sz w:val="24"/>
                <w:szCs w:val="24"/>
              </w:rPr>
            </w:pPr>
            <w:r>
              <w:rPr>
                <w:rFonts w:ascii="Arial" w:hAnsi="Arial" w:cs="Arial"/>
                <w:b/>
                <w:bCs/>
                <w:sz w:val="24"/>
                <w:szCs w:val="24"/>
              </w:rPr>
              <w:t>2013/14</w:t>
            </w:r>
          </w:p>
        </w:tc>
        <w:tc>
          <w:tcPr>
            <w:tcW w:w="659" w:type="pct"/>
          </w:tcPr>
          <w:p w:rsidR="001B3B55" w:rsidRPr="00AC5413" w:rsidRDefault="00AC5413" w:rsidP="001B3B55">
            <w:pPr>
              <w:jc w:val="right"/>
              <w:rPr>
                <w:rFonts w:ascii="Arial" w:hAnsi="Arial" w:cs="Arial"/>
                <w:b/>
                <w:bCs/>
                <w:sz w:val="24"/>
                <w:szCs w:val="24"/>
              </w:rPr>
            </w:pPr>
            <w:r w:rsidRPr="00AC5413">
              <w:rPr>
                <w:rFonts w:ascii="Arial" w:hAnsi="Arial" w:cs="Arial"/>
                <w:b/>
                <w:bCs/>
                <w:sz w:val="24"/>
                <w:szCs w:val="24"/>
              </w:rPr>
              <w:t>2012/13</w:t>
            </w:r>
          </w:p>
        </w:tc>
        <w:tc>
          <w:tcPr>
            <w:tcW w:w="908" w:type="pct"/>
          </w:tcPr>
          <w:p w:rsidR="001B3B55" w:rsidRDefault="00F223EE" w:rsidP="001B3B55">
            <w:pPr>
              <w:jc w:val="right"/>
              <w:rPr>
                <w:rFonts w:ascii="Arial" w:hAnsi="Arial" w:cs="Arial"/>
                <w:b/>
                <w:bCs/>
                <w:sz w:val="24"/>
                <w:szCs w:val="24"/>
              </w:rPr>
            </w:pPr>
            <w:r>
              <w:rPr>
                <w:rFonts w:ascii="Arial" w:hAnsi="Arial" w:cs="Arial"/>
                <w:b/>
                <w:bCs/>
                <w:sz w:val="24"/>
                <w:szCs w:val="24"/>
              </w:rPr>
              <w:t>% Total</w:t>
            </w:r>
            <w:r w:rsidR="001B3B55" w:rsidRPr="00AC5413">
              <w:rPr>
                <w:rFonts w:ascii="Arial" w:hAnsi="Arial" w:cs="Arial"/>
                <w:b/>
                <w:bCs/>
                <w:sz w:val="24"/>
                <w:szCs w:val="24"/>
              </w:rPr>
              <w:t xml:space="preserve"> Change</w:t>
            </w:r>
          </w:p>
          <w:p w:rsidR="00F223EE" w:rsidRPr="00AC5413" w:rsidRDefault="00F223EE" w:rsidP="001B3B55">
            <w:pPr>
              <w:jc w:val="right"/>
              <w:rPr>
                <w:rFonts w:ascii="Arial" w:hAnsi="Arial" w:cs="Arial"/>
                <w:b/>
                <w:bCs/>
                <w:sz w:val="24"/>
                <w:szCs w:val="24"/>
              </w:rPr>
            </w:pPr>
            <w:r>
              <w:rPr>
                <w:rFonts w:ascii="Arial" w:hAnsi="Arial" w:cs="Arial"/>
                <w:b/>
                <w:bCs/>
                <w:sz w:val="24"/>
                <w:szCs w:val="24"/>
              </w:rPr>
              <w:t>Reported</w:t>
            </w:r>
          </w:p>
        </w:tc>
        <w:tc>
          <w:tcPr>
            <w:tcW w:w="818" w:type="pct"/>
          </w:tcPr>
          <w:p w:rsidR="000C5C21" w:rsidRDefault="00F223EE" w:rsidP="00EB1DC5">
            <w:pPr>
              <w:jc w:val="right"/>
              <w:rPr>
                <w:rFonts w:ascii="Arial" w:hAnsi="Arial" w:cs="Arial"/>
                <w:b/>
                <w:bCs/>
                <w:sz w:val="24"/>
                <w:szCs w:val="24"/>
              </w:rPr>
            </w:pPr>
            <w:r>
              <w:rPr>
                <w:rFonts w:ascii="Arial" w:hAnsi="Arial" w:cs="Arial"/>
                <w:b/>
                <w:bCs/>
                <w:sz w:val="24"/>
                <w:szCs w:val="24"/>
              </w:rPr>
              <w:t xml:space="preserve">% Total </w:t>
            </w:r>
          </w:p>
          <w:p w:rsidR="000C5C21" w:rsidRDefault="000C5C21" w:rsidP="00EB1DC5">
            <w:pPr>
              <w:jc w:val="right"/>
              <w:rPr>
                <w:rFonts w:ascii="Arial" w:hAnsi="Arial" w:cs="Arial"/>
                <w:b/>
                <w:bCs/>
                <w:sz w:val="24"/>
                <w:szCs w:val="24"/>
              </w:rPr>
            </w:pPr>
            <w:r>
              <w:rPr>
                <w:rFonts w:ascii="Arial" w:hAnsi="Arial" w:cs="Arial"/>
                <w:b/>
                <w:bCs/>
                <w:sz w:val="24"/>
                <w:szCs w:val="24"/>
              </w:rPr>
              <w:t>Change</w:t>
            </w:r>
          </w:p>
          <w:p w:rsidR="001B3B55" w:rsidRPr="00AC5413" w:rsidRDefault="00F223EE" w:rsidP="00EB1DC5">
            <w:pPr>
              <w:jc w:val="right"/>
              <w:rPr>
                <w:rFonts w:ascii="Arial" w:hAnsi="Arial" w:cs="Arial"/>
                <w:b/>
                <w:bCs/>
                <w:sz w:val="24"/>
                <w:szCs w:val="24"/>
              </w:rPr>
            </w:pPr>
            <w:r>
              <w:rPr>
                <w:rFonts w:ascii="Arial" w:hAnsi="Arial" w:cs="Arial"/>
                <w:b/>
                <w:bCs/>
                <w:sz w:val="24"/>
                <w:szCs w:val="24"/>
              </w:rPr>
              <w:t>Constant c</w:t>
            </w:r>
            <w:r w:rsidR="00EB1DC5" w:rsidRPr="005C5799">
              <w:rPr>
                <w:rFonts w:ascii="Arial" w:hAnsi="Arial" w:cs="Arial"/>
                <w:b/>
                <w:bCs/>
                <w:sz w:val="24"/>
                <w:szCs w:val="24"/>
              </w:rPr>
              <w:t xml:space="preserve">urrency </w:t>
            </w:r>
            <w:r w:rsidR="00EB1DC5">
              <w:rPr>
                <w:rFonts w:ascii="Arial" w:hAnsi="Arial" w:cs="Arial"/>
                <w:b/>
                <w:bCs/>
                <w:sz w:val="24"/>
                <w:szCs w:val="24"/>
              </w:rPr>
              <w:t xml:space="preserve"> </w:t>
            </w:r>
          </w:p>
        </w:tc>
        <w:tc>
          <w:tcPr>
            <w:tcW w:w="542" w:type="pct"/>
          </w:tcPr>
          <w:p w:rsidR="001B3B55" w:rsidRPr="00AC5413" w:rsidRDefault="001B3B55" w:rsidP="001B3B55">
            <w:pPr>
              <w:ind w:hanging="108"/>
              <w:jc w:val="right"/>
              <w:rPr>
                <w:rFonts w:ascii="Arial" w:hAnsi="Arial" w:cs="Arial"/>
                <w:b/>
                <w:bCs/>
                <w:sz w:val="24"/>
                <w:szCs w:val="24"/>
              </w:rPr>
            </w:pPr>
            <w:r w:rsidRPr="00AC5413">
              <w:rPr>
                <w:rFonts w:ascii="Arial" w:hAnsi="Arial" w:cs="Arial"/>
                <w:b/>
                <w:bCs/>
                <w:sz w:val="24"/>
                <w:szCs w:val="24"/>
              </w:rPr>
              <w:t>% LFL</w:t>
            </w:r>
          </w:p>
          <w:p w:rsidR="001B3B55" w:rsidRPr="00AC5413" w:rsidRDefault="001B3B55" w:rsidP="001B3B55">
            <w:pPr>
              <w:ind w:hanging="108"/>
              <w:jc w:val="right"/>
              <w:rPr>
                <w:rFonts w:ascii="Arial" w:hAnsi="Arial" w:cs="Arial"/>
                <w:b/>
                <w:bCs/>
                <w:sz w:val="24"/>
                <w:szCs w:val="24"/>
              </w:rPr>
            </w:pPr>
            <w:r w:rsidRPr="00AC5413">
              <w:rPr>
                <w:rFonts w:ascii="Arial" w:hAnsi="Arial" w:cs="Arial"/>
                <w:b/>
                <w:bCs/>
                <w:sz w:val="24"/>
                <w:szCs w:val="24"/>
              </w:rPr>
              <w:t>Change</w:t>
            </w:r>
          </w:p>
        </w:tc>
      </w:tr>
      <w:tr w:rsidR="00AC5413" w:rsidRPr="00AC5413" w:rsidTr="001B3B55">
        <w:trPr>
          <w:trHeight w:val="147"/>
        </w:trPr>
        <w:tc>
          <w:tcPr>
            <w:tcW w:w="1280" w:type="pct"/>
          </w:tcPr>
          <w:p w:rsidR="001B3B55" w:rsidRPr="00AC5413" w:rsidRDefault="001B3B55" w:rsidP="001B3B55">
            <w:pPr>
              <w:rPr>
                <w:rFonts w:ascii="Arial" w:hAnsi="Arial" w:cs="Arial"/>
                <w:sz w:val="24"/>
                <w:szCs w:val="24"/>
              </w:rPr>
            </w:pPr>
            <w:r w:rsidRPr="00AC5413">
              <w:rPr>
                <w:rFonts w:ascii="Arial" w:hAnsi="Arial" w:cs="Arial"/>
                <w:sz w:val="24"/>
                <w:szCs w:val="24"/>
              </w:rPr>
              <w:t>France</w:t>
            </w:r>
          </w:p>
        </w:tc>
        <w:tc>
          <w:tcPr>
            <w:tcW w:w="793" w:type="pct"/>
          </w:tcPr>
          <w:p w:rsidR="001B3B55" w:rsidRPr="00AC5413" w:rsidRDefault="007B131A" w:rsidP="001B3B55">
            <w:pPr>
              <w:jc w:val="right"/>
              <w:rPr>
                <w:rFonts w:ascii="Arial" w:hAnsi="Arial" w:cs="Arial"/>
                <w:sz w:val="24"/>
                <w:szCs w:val="24"/>
              </w:rPr>
            </w:pPr>
            <w:r>
              <w:rPr>
                <w:rFonts w:ascii="Arial" w:hAnsi="Arial" w:cs="Arial"/>
                <w:sz w:val="24"/>
                <w:szCs w:val="24"/>
              </w:rPr>
              <w:t>4,423</w:t>
            </w:r>
          </w:p>
        </w:tc>
        <w:tc>
          <w:tcPr>
            <w:tcW w:w="659" w:type="pct"/>
          </w:tcPr>
          <w:p w:rsidR="001B3B55" w:rsidRPr="00AC5413" w:rsidRDefault="00AC5413" w:rsidP="001B3B55">
            <w:pPr>
              <w:jc w:val="right"/>
              <w:rPr>
                <w:rFonts w:ascii="Arial" w:hAnsi="Arial" w:cs="Arial"/>
                <w:sz w:val="24"/>
                <w:szCs w:val="24"/>
              </w:rPr>
            </w:pPr>
            <w:r w:rsidRPr="00AC5413">
              <w:rPr>
                <w:rFonts w:ascii="Arial" w:hAnsi="Arial" w:cs="Arial"/>
                <w:sz w:val="24"/>
                <w:szCs w:val="24"/>
              </w:rPr>
              <w:t>4,194</w:t>
            </w:r>
          </w:p>
        </w:tc>
        <w:tc>
          <w:tcPr>
            <w:tcW w:w="908" w:type="pct"/>
          </w:tcPr>
          <w:p w:rsidR="001B3B55" w:rsidRPr="00AC5413" w:rsidRDefault="007B131A" w:rsidP="001B3B55">
            <w:pPr>
              <w:jc w:val="right"/>
              <w:rPr>
                <w:rFonts w:ascii="Arial" w:hAnsi="Arial" w:cs="Arial"/>
                <w:sz w:val="24"/>
                <w:szCs w:val="24"/>
              </w:rPr>
            </w:pPr>
            <w:r>
              <w:rPr>
                <w:rFonts w:ascii="Arial" w:hAnsi="Arial" w:cs="Arial"/>
                <w:sz w:val="24"/>
                <w:szCs w:val="24"/>
              </w:rPr>
              <w:t>+5.5</w:t>
            </w:r>
            <w:r w:rsidR="00DB7164" w:rsidRPr="00AC5413">
              <w:rPr>
                <w:rFonts w:ascii="Arial" w:hAnsi="Arial" w:cs="Arial"/>
                <w:sz w:val="24"/>
                <w:szCs w:val="24"/>
              </w:rPr>
              <w:t>%</w:t>
            </w:r>
          </w:p>
        </w:tc>
        <w:tc>
          <w:tcPr>
            <w:tcW w:w="818" w:type="pct"/>
          </w:tcPr>
          <w:p w:rsidR="001B3B55" w:rsidRPr="00AC5413" w:rsidRDefault="007B131A" w:rsidP="001B3B55">
            <w:pPr>
              <w:jc w:val="right"/>
              <w:rPr>
                <w:rFonts w:ascii="Arial" w:hAnsi="Arial" w:cs="Arial"/>
                <w:sz w:val="24"/>
                <w:szCs w:val="24"/>
              </w:rPr>
            </w:pPr>
            <w:r>
              <w:rPr>
                <w:rFonts w:ascii="Arial" w:hAnsi="Arial" w:cs="Arial"/>
                <w:sz w:val="24"/>
                <w:szCs w:val="24"/>
              </w:rPr>
              <w:t>+0.8</w:t>
            </w:r>
            <w:r w:rsidR="00DB7164" w:rsidRPr="00AC5413">
              <w:rPr>
                <w:rFonts w:ascii="Arial" w:hAnsi="Arial" w:cs="Arial"/>
                <w:sz w:val="24"/>
                <w:szCs w:val="24"/>
              </w:rPr>
              <w:t>%</w:t>
            </w:r>
          </w:p>
        </w:tc>
        <w:tc>
          <w:tcPr>
            <w:tcW w:w="542" w:type="pct"/>
          </w:tcPr>
          <w:p w:rsidR="001B3B55" w:rsidRPr="00AC5413" w:rsidRDefault="00190730" w:rsidP="001B3B55">
            <w:pPr>
              <w:jc w:val="right"/>
              <w:rPr>
                <w:rFonts w:ascii="Arial" w:hAnsi="Arial" w:cs="Arial"/>
                <w:sz w:val="24"/>
                <w:szCs w:val="24"/>
              </w:rPr>
            </w:pPr>
            <w:r>
              <w:rPr>
                <w:rFonts w:ascii="Arial" w:hAnsi="Arial" w:cs="Arial"/>
                <w:sz w:val="24"/>
                <w:szCs w:val="24"/>
              </w:rPr>
              <w:t>(</w:t>
            </w:r>
            <w:r w:rsidR="007B131A">
              <w:rPr>
                <w:rFonts w:ascii="Arial" w:hAnsi="Arial" w:cs="Arial"/>
                <w:sz w:val="24"/>
                <w:szCs w:val="24"/>
              </w:rPr>
              <w:t>1.2</w:t>
            </w:r>
            <w:r>
              <w:rPr>
                <w:rFonts w:ascii="Arial" w:hAnsi="Arial" w:cs="Arial"/>
                <w:sz w:val="24"/>
                <w:szCs w:val="24"/>
              </w:rPr>
              <w:t>)</w:t>
            </w:r>
            <w:r w:rsidR="00DB7164" w:rsidRPr="00AC5413">
              <w:rPr>
                <w:rFonts w:ascii="Arial" w:hAnsi="Arial" w:cs="Arial"/>
                <w:sz w:val="24"/>
                <w:szCs w:val="24"/>
              </w:rPr>
              <w:t>%</w:t>
            </w:r>
          </w:p>
        </w:tc>
      </w:tr>
    </w:tbl>
    <w:p w:rsidR="001B3B55" w:rsidRPr="00AC5413" w:rsidRDefault="001B3B55" w:rsidP="001B3B55">
      <w:pPr>
        <w:rPr>
          <w:rFonts w:ascii="Arial" w:hAnsi="Arial" w:cs="Arial"/>
          <w:b/>
          <w:bCs/>
          <w:sz w:val="24"/>
          <w:szCs w:val="24"/>
          <w:highlight w:val="magenta"/>
        </w:rPr>
      </w:pPr>
    </w:p>
    <w:tbl>
      <w:tblPr>
        <w:tblW w:w="43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502"/>
        <w:gridCol w:w="1232"/>
        <w:gridCol w:w="1687"/>
        <w:gridCol w:w="1522"/>
      </w:tblGrid>
      <w:tr w:rsidR="00AC5413" w:rsidRPr="00AC5413" w:rsidTr="001B3B55">
        <w:tc>
          <w:tcPr>
            <w:tcW w:w="1424" w:type="pct"/>
          </w:tcPr>
          <w:p w:rsidR="001B3B55" w:rsidRPr="00AC5413" w:rsidRDefault="001B3B55" w:rsidP="001B3B55">
            <w:pPr>
              <w:rPr>
                <w:rFonts w:ascii="Arial" w:hAnsi="Arial" w:cs="Arial"/>
                <w:b/>
                <w:bCs/>
                <w:sz w:val="24"/>
                <w:szCs w:val="24"/>
              </w:rPr>
            </w:pPr>
            <w:r w:rsidRPr="00AC5413">
              <w:rPr>
                <w:rFonts w:ascii="Arial" w:hAnsi="Arial" w:cs="Arial"/>
                <w:b/>
                <w:bCs/>
                <w:sz w:val="24"/>
                <w:szCs w:val="24"/>
              </w:rPr>
              <w:t>Retail profit £m</w:t>
            </w:r>
          </w:p>
        </w:tc>
        <w:tc>
          <w:tcPr>
            <w:tcW w:w="904" w:type="pct"/>
          </w:tcPr>
          <w:p w:rsidR="001B3B55" w:rsidRPr="00AC5413" w:rsidRDefault="00AC5413" w:rsidP="001B3B55">
            <w:pPr>
              <w:jc w:val="right"/>
              <w:rPr>
                <w:rFonts w:ascii="Arial" w:hAnsi="Arial" w:cs="Arial"/>
                <w:b/>
                <w:bCs/>
                <w:sz w:val="24"/>
                <w:szCs w:val="24"/>
              </w:rPr>
            </w:pPr>
            <w:r>
              <w:rPr>
                <w:rFonts w:ascii="Arial" w:hAnsi="Arial" w:cs="Arial"/>
                <w:b/>
                <w:bCs/>
                <w:sz w:val="24"/>
                <w:szCs w:val="24"/>
              </w:rPr>
              <w:t>2013/14</w:t>
            </w:r>
          </w:p>
        </w:tc>
        <w:tc>
          <w:tcPr>
            <w:tcW w:w="741" w:type="pct"/>
          </w:tcPr>
          <w:p w:rsidR="001B3B55" w:rsidRPr="00AC5413" w:rsidRDefault="00AC5413" w:rsidP="001B3B55">
            <w:pPr>
              <w:jc w:val="right"/>
              <w:rPr>
                <w:rFonts w:ascii="Arial" w:hAnsi="Arial" w:cs="Arial"/>
                <w:b/>
                <w:bCs/>
                <w:sz w:val="24"/>
                <w:szCs w:val="24"/>
              </w:rPr>
            </w:pPr>
            <w:r w:rsidRPr="00AC5413">
              <w:rPr>
                <w:rFonts w:ascii="Arial" w:hAnsi="Arial" w:cs="Arial"/>
                <w:b/>
                <w:bCs/>
                <w:sz w:val="24"/>
                <w:szCs w:val="24"/>
              </w:rPr>
              <w:t>2012/13</w:t>
            </w:r>
          </w:p>
        </w:tc>
        <w:tc>
          <w:tcPr>
            <w:tcW w:w="1015" w:type="pct"/>
          </w:tcPr>
          <w:p w:rsidR="00F223EE" w:rsidRDefault="001B3B55" w:rsidP="001B3B55">
            <w:pPr>
              <w:jc w:val="right"/>
              <w:rPr>
                <w:rFonts w:ascii="Arial" w:hAnsi="Arial" w:cs="Arial"/>
                <w:b/>
                <w:bCs/>
                <w:sz w:val="24"/>
                <w:szCs w:val="24"/>
              </w:rPr>
            </w:pPr>
            <w:r w:rsidRPr="00AC5413">
              <w:rPr>
                <w:rFonts w:ascii="Arial" w:hAnsi="Arial" w:cs="Arial"/>
                <w:b/>
                <w:bCs/>
                <w:sz w:val="24"/>
                <w:szCs w:val="24"/>
              </w:rPr>
              <w:t xml:space="preserve">% </w:t>
            </w:r>
            <w:r w:rsidR="00F223EE">
              <w:rPr>
                <w:rFonts w:ascii="Arial" w:hAnsi="Arial" w:cs="Arial"/>
                <w:b/>
                <w:bCs/>
                <w:sz w:val="24"/>
                <w:szCs w:val="24"/>
              </w:rPr>
              <w:t>Change</w:t>
            </w:r>
          </w:p>
          <w:p w:rsidR="001B3B55" w:rsidRPr="00AC5413" w:rsidRDefault="001B3B55" w:rsidP="00F223EE">
            <w:pPr>
              <w:jc w:val="right"/>
              <w:rPr>
                <w:rFonts w:ascii="Arial" w:hAnsi="Arial" w:cs="Arial"/>
                <w:b/>
                <w:bCs/>
                <w:sz w:val="24"/>
                <w:szCs w:val="24"/>
              </w:rPr>
            </w:pPr>
            <w:r w:rsidRPr="00AC5413">
              <w:rPr>
                <w:rFonts w:ascii="Arial" w:hAnsi="Arial" w:cs="Arial"/>
                <w:b/>
                <w:bCs/>
                <w:sz w:val="24"/>
                <w:szCs w:val="24"/>
              </w:rPr>
              <w:t xml:space="preserve">Reported </w:t>
            </w:r>
          </w:p>
        </w:tc>
        <w:tc>
          <w:tcPr>
            <w:tcW w:w="916" w:type="pct"/>
          </w:tcPr>
          <w:p w:rsidR="001B3B55" w:rsidRPr="00AC5413" w:rsidRDefault="00EB1DC5" w:rsidP="00EB1DC5">
            <w:pPr>
              <w:jc w:val="right"/>
              <w:rPr>
                <w:rFonts w:ascii="Arial" w:hAnsi="Arial" w:cs="Arial"/>
                <w:b/>
                <w:bCs/>
                <w:sz w:val="24"/>
                <w:szCs w:val="24"/>
              </w:rPr>
            </w:pPr>
            <w:r w:rsidRPr="005C5799">
              <w:rPr>
                <w:rFonts w:ascii="Arial" w:hAnsi="Arial" w:cs="Arial"/>
                <w:b/>
                <w:bCs/>
                <w:sz w:val="24"/>
                <w:szCs w:val="24"/>
              </w:rPr>
              <w:t>%</w:t>
            </w:r>
            <w:r w:rsidR="00F223EE">
              <w:rPr>
                <w:rFonts w:ascii="Arial" w:hAnsi="Arial" w:cs="Arial"/>
                <w:b/>
                <w:bCs/>
                <w:sz w:val="24"/>
                <w:szCs w:val="24"/>
              </w:rPr>
              <w:t xml:space="preserve"> Change Constant currency</w:t>
            </w:r>
            <w:r>
              <w:rPr>
                <w:rFonts w:ascii="Arial" w:hAnsi="Arial" w:cs="Arial"/>
                <w:b/>
                <w:bCs/>
                <w:sz w:val="24"/>
                <w:szCs w:val="24"/>
              </w:rPr>
              <w:t xml:space="preserve"> </w:t>
            </w:r>
          </w:p>
        </w:tc>
      </w:tr>
      <w:tr w:rsidR="00AC5413" w:rsidRPr="00AC5413" w:rsidTr="001B3B55">
        <w:tc>
          <w:tcPr>
            <w:tcW w:w="1424" w:type="pct"/>
          </w:tcPr>
          <w:p w:rsidR="001B3B55" w:rsidRPr="00AC5413" w:rsidRDefault="001B3B55" w:rsidP="001B3B55">
            <w:pPr>
              <w:rPr>
                <w:rFonts w:ascii="Arial" w:hAnsi="Arial" w:cs="Arial"/>
                <w:sz w:val="24"/>
                <w:szCs w:val="24"/>
              </w:rPr>
            </w:pPr>
            <w:r w:rsidRPr="00AC5413">
              <w:rPr>
                <w:rFonts w:ascii="Arial" w:hAnsi="Arial" w:cs="Arial"/>
                <w:sz w:val="24"/>
                <w:szCs w:val="24"/>
              </w:rPr>
              <w:t>France</w:t>
            </w:r>
          </w:p>
        </w:tc>
        <w:tc>
          <w:tcPr>
            <w:tcW w:w="904" w:type="pct"/>
          </w:tcPr>
          <w:p w:rsidR="001B3B55" w:rsidRPr="00AC5413" w:rsidRDefault="00190730" w:rsidP="001B3B55">
            <w:pPr>
              <w:jc w:val="right"/>
              <w:rPr>
                <w:rFonts w:ascii="Arial" w:hAnsi="Arial" w:cs="Arial"/>
                <w:sz w:val="24"/>
                <w:szCs w:val="24"/>
              </w:rPr>
            </w:pPr>
            <w:r>
              <w:rPr>
                <w:rFonts w:ascii="Arial" w:hAnsi="Arial" w:cs="Arial"/>
                <w:sz w:val="24"/>
                <w:szCs w:val="24"/>
              </w:rPr>
              <w:t>396</w:t>
            </w:r>
          </w:p>
        </w:tc>
        <w:tc>
          <w:tcPr>
            <w:tcW w:w="741" w:type="pct"/>
          </w:tcPr>
          <w:p w:rsidR="001B3B55" w:rsidRPr="00AC5413" w:rsidRDefault="00AC5413" w:rsidP="001B3B55">
            <w:pPr>
              <w:jc w:val="right"/>
              <w:rPr>
                <w:rFonts w:ascii="Arial" w:hAnsi="Arial" w:cs="Arial"/>
                <w:sz w:val="24"/>
                <w:szCs w:val="24"/>
              </w:rPr>
            </w:pPr>
            <w:r>
              <w:rPr>
                <w:rFonts w:ascii="Arial" w:hAnsi="Arial" w:cs="Arial"/>
                <w:sz w:val="24"/>
                <w:szCs w:val="24"/>
              </w:rPr>
              <w:t>397</w:t>
            </w:r>
          </w:p>
        </w:tc>
        <w:tc>
          <w:tcPr>
            <w:tcW w:w="1015" w:type="pct"/>
          </w:tcPr>
          <w:p w:rsidR="001B3B55" w:rsidRPr="00AC5413" w:rsidRDefault="00190730" w:rsidP="001B3B55">
            <w:pPr>
              <w:jc w:val="right"/>
              <w:rPr>
                <w:rFonts w:ascii="Arial" w:hAnsi="Arial" w:cs="Arial"/>
                <w:sz w:val="24"/>
                <w:szCs w:val="24"/>
              </w:rPr>
            </w:pPr>
            <w:r>
              <w:rPr>
                <w:rFonts w:ascii="Arial" w:hAnsi="Arial" w:cs="Arial"/>
                <w:sz w:val="24"/>
                <w:szCs w:val="24"/>
              </w:rPr>
              <w:t>(0.4)</w:t>
            </w:r>
            <w:r w:rsidR="00DB7164" w:rsidRPr="00AC5413">
              <w:rPr>
                <w:rFonts w:ascii="Arial" w:hAnsi="Arial" w:cs="Arial"/>
                <w:sz w:val="24"/>
                <w:szCs w:val="24"/>
              </w:rPr>
              <w:t>%</w:t>
            </w:r>
          </w:p>
        </w:tc>
        <w:tc>
          <w:tcPr>
            <w:tcW w:w="916" w:type="pct"/>
          </w:tcPr>
          <w:p w:rsidR="001B3B55" w:rsidRPr="00AC5413" w:rsidRDefault="00190730" w:rsidP="001B3B55">
            <w:pPr>
              <w:jc w:val="right"/>
              <w:rPr>
                <w:rFonts w:ascii="Arial" w:hAnsi="Arial" w:cs="Arial"/>
                <w:sz w:val="24"/>
                <w:szCs w:val="24"/>
              </w:rPr>
            </w:pPr>
            <w:r>
              <w:rPr>
                <w:rFonts w:ascii="Arial" w:hAnsi="Arial" w:cs="Arial"/>
                <w:sz w:val="24"/>
                <w:szCs w:val="24"/>
              </w:rPr>
              <w:t>(4.7)</w:t>
            </w:r>
            <w:r w:rsidR="00DB7164" w:rsidRPr="00AC5413">
              <w:rPr>
                <w:rFonts w:ascii="Arial" w:hAnsi="Arial" w:cs="Arial"/>
                <w:sz w:val="24"/>
                <w:szCs w:val="24"/>
              </w:rPr>
              <w:t>%</w:t>
            </w:r>
          </w:p>
        </w:tc>
      </w:tr>
    </w:tbl>
    <w:p w:rsidR="009E3E79" w:rsidRPr="00AC5413" w:rsidRDefault="009E3E79" w:rsidP="001B3B55">
      <w:pPr>
        <w:jc w:val="left"/>
        <w:rPr>
          <w:rFonts w:ascii="Arial" w:hAnsi="Arial" w:cs="Arial"/>
          <w:sz w:val="24"/>
          <w:szCs w:val="24"/>
          <w:highlight w:val="magenta"/>
        </w:rPr>
      </w:pPr>
    </w:p>
    <w:p w:rsidR="001B3B55" w:rsidRPr="00AC5413" w:rsidRDefault="001B3B55" w:rsidP="001B3B55">
      <w:pPr>
        <w:jc w:val="left"/>
        <w:rPr>
          <w:rFonts w:ascii="Arial" w:hAnsi="Arial" w:cs="Arial"/>
          <w:b/>
          <w:bCs/>
          <w:i/>
          <w:iCs/>
          <w:sz w:val="18"/>
          <w:szCs w:val="18"/>
        </w:rPr>
      </w:pPr>
      <w:r w:rsidRPr="00AC5413">
        <w:rPr>
          <w:rFonts w:ascii="Arial" w:hAnsi="Arial" w:cs="Arial"/>
          <w:b/>
          <w:bCs/>
          <w:i/>
          <w:iCs/>
          <w:sz w:val="18"/>
          <w:szCs w:val="18"/>
        </w:rPr>
        <w:t>All trading commentary below is in constant currencies</w:t>
      </w:r>
    </w:p>
    <w:p w:rsidR="001B3B55" w:rsidRPr="00AC5413" w:rsidRDefault="001B3B55" w:rsidP="001B3B55">
      <w:pPr>
        <w:jc w:val="left"/>
        <w:rPr>
          <w:rFonts w:ascii="Arial" w:hAnsi="Arial" w:cs="Arial"/>
          <w:sz w:val="24"/>
          <w:szCs w:val="24"/>
          <w:highlight w:val="magenta"/>
        </w:rPr>
      </w:pPr>
    </w:p>
    <w:p w:rsidR="001B3B55" w:rsidRPr="00AC5413" w:rsidRDefault="001B3B55" w:rsidP="001B3B55">
      <w:pPr>
        <w:jc w:val="left"/>
        <w:rPr>
          <w:rFonts w:ascii="Arial" w:hAnsi="Arial" w:cs="Arial"/>
          <w:b/>
          <w:bCs/>
          <w:sz w:val="24"/>
          <w:szCs w:val="24"/>
        </w:rPr>
      </w:pPr>
      <w:r w:rsidRPr="00AC5413">
        <w:rPr>
          <w:rFonts w:ascii="Arial" w:hAnsi="Arial" w:cs="Arial"/>
          <w:b/>
          <w:bCs/>
          <w:sz w:val="24"/>
          <w:szCs w:val="24"/>
        </w:rPr>
        <w:t>Kingfisher France</w:t>
      </w:r>
    </w:p>
    <w:p w:rsidR="00BC059C" w:rsidRPr="00AC5413" w:rsidRDefault="00BC059C" w:rsidP="001B3B55">
      <w:pPr>
        <w:jc w:val="left"/>
        <w:rPr>
          <w:rFonts w:ascii="Arial" w:hAnsi="Arial" w:cs="Arial"/>
          <w:b/>
          <w:bCs/>
          <w:sz w:val="24"/>
          <w:szCs w:val="24"/>
        </w:rPr>
      </w:pPr>
    </w:p>
    <w:p w:rsidR="00B02528" w:rsidRDefault="00BC059C" w:rsidP="001B3B55">
      <w:pPr>
        <w:jc w:val="left"/>
        <w:rPr>
          <w:rFonts w:ascii="Arial" w:hAnsi="Arial" w:cs="Arial"/>
          <w:bCs/>
          <w:sz w:val="24"/>
          <w:szCs w:val="24"/>
        </w:rPr>
      </w:pPr>
      <w:r w:rsidRPr="00AC5413">
        <w:rPr>
          <w:rFonts w:ascii="Arial" w:hAnsi="Arial" w:cs="Arial"/>
          <w:bCs/>
          <w:sz w:val="24"/>
          <w:szCs w:val="24"/>
        </w:rPr>
        <w:t>Kin</w:t>
      </w:r>
      <w:r w:rsidR="00B02528">
        <w:rPr>
          <w:rFonts w:ascii="Arial" w:hAnsi="Arial" w:cs="Arial"/>
          <w:bCs/>
          <w:sz w:val="24"/>
          <w:szCs w:val="24"/>
        </w:rPr>
        <w:t>gfisher France sales grew by 0.8% (-1.2</w:t>
      </w:r>
      <w:r w:rsidRPr="00AC5413">
        <w:rPr>
          <w:rFonts w:ascii="Arial" w:hAnsi="Arial" w:cs="Arial"/>
          <w:bCs/>
          <w:sz w:val="24"/>
          <w:szCs w:val="24"/>
        </w:rPr>
        <w:t>% LFL)</w:t>
      </w:r>
      <w:r w:rsidR="00B02528">
        <w:rPr>
          <w:rFonts w:ascii="Arial" w:hAnsi="Arial" w:cs="Arial"/>
          <w:bCs/>
          <w:sz w:val="24"/>
          <w:szCs w:val="24"/>
        </w:rPr>
        <w:t xml:space="preserve"> to £4,423 million in soft markets impacted by weak consumer confidence</w:t>
      </w:r>
      <w:r w:rsidRPr="00AC5413">
        <w:rPr>
          <w:rFonts w:ascii="Arial" w:hAnsi="Arial" w:cs="Arial"/>
          <w:bCs/>
          <w:sz w:val="24"/>
          <w:szCs w:val="24"/>
        </w:rPr>
        <w:t xml:space="preserve">. </w:t>
      </w:r>
      <w:r w:rsidR="00B02528">
        <w:rPr>
          <w:rFonts w:ascii="Arial" w:hAnsi="Arial" w:cs="Arial"/>
          <w:bCs/>
          <w:sz w:val="24"/>
          <w:szCs w:val="24"/>
        </w:rPr>
        <w:t xml:space="preserve">Across the two businesses, seven net new stores were opened and four were revamped, adding around </w:t>
      </w:r>
      <w:r w:rsidR="005E17CE">
        <w:rPr>
          <w:rFonts w:ascii="Arial" w:hAnsi="Arial" w:cs="Arial"/>
          <w:bCs/>
          <w:sz w:val="24"/>
          <w:szCs w:val="24"/>
        </w:rPr>
        <w:t>4</w:t>
      </w:r>
      <w:r w:rsidR="00B02528">
        <w:rPr>
          <w:rFonts w:ascii="Arial" w:hAnsi="Arial" w:cs="Arial"/>
          <w:bCs/>
          <w:sz w:val="24"/>
          <w:szCs w:val="24"/>
        </w:rPr>
        <w:t xml:space="preserve">% new space. </w:t>
      </w:r>
    </w:p>
    <w:p w:rsidR="00FA1FDE" w:rsidRPr="00303155" w:rsidRDefault="00FA1FDE" w:rsidP="001B3B55">
      <w:pPr>
        <w:jc w:val="left"/>
        <w:rPr>
          <w:rFonts w:ascii="Arial" w:hAnsi="Arial" w:cs="Arial"/>
          <w:bCs/>
          <w:sz w:val="24"/>
          <w:szCs w:val="24"/>
        </w:rPr>
      </w:pPr>
    </w:p>
    <w:p w:rsidR="00B02528" w:rsidRDefault="00B02528" w:rsidP="001B3B55">
      <w:pPr>
        <w:jc w:val="left"/>
        <w:rPr>
          <w:rFonts w:ascii="Arial" w:hAnsi="Arial" w:cs="Arial"/>
          <w:bCs/>
          <w:sz w:val="24"/>
          <w:szCs w:val="24"/>
        </w:rPr>
      </w:pPr>
      <w:r>
        <w:rPr>
          <w:rFonts w:ascii="Arial" w:hAnsi="Arial" w:cs="Arial"/>
          <w:bCs/>
          <w:sz w:val="24"/>
          <w:szCs w:val="24"/>
        </w:rPr>
        <w:t xml:space="preserve">Gross margins were down 30 basis points, with on-going self-help initiatives offset by higher price promotional activity across </w:t>
      </w:r>
      <w:r w:rsidR="00EA2F66">
        <w:rPr>
          <w:rFonts w:ascii="Arial" w:hAnsi="Arial" w:cs="Arial"/>
          <w:bCs/>
          <w:sz w:val="24"/>
          <w:szCs w:val="24"/>
        </w:rPr>
        <w:t>both businesses. C</w:t>
      </w:r>
      <w:r>
        <w:rPr>
          <w:rFonts w:ascii="Arial" w:hAnsi="Arial" w:cs="Arial"/>
          <w:bCs/>
          <w:sz w:val="24"/>
          <w:szCs w:val="24"/>
        </w:rPr>
        <w:t>ontinued focu</w:t>
      </w:r>
      <w:r w:rsidR="00EA2F66">
        <w:rPr>
          <w:rFonts w:ascii="Arial" w:hAnsi="Arial" w:cs="Arial"/>
          <w:bCs/>
          <w:sz w:val="24"/>
          <w:szCs w:val="24"/>
        </w:rPr>
        <w:t xml:space="preserve">s on cost control, including lower levels of variable pay, resulted in retail profit down 4.7% compared to last year. </w:t>
      </w:r>
      <w:r>
        <w:rPr>
          <w:rFonts w:ascii="Arial" w:hAnsi="Arial" w:cs="Arial"/>
          <w:bCs/>
          <w:sz w:val="24"/>
          <w:szCs w:val="24"/>
        </w:rPr>
        <w:t xml:space="preserve"> </w:t>
      </w:r>
    </w:p>
    <w:p w:rsidR="001B3B55" w:rsidRPr="006A2252" w:rsidRDefault="001B3B55" w:rsidP="001B3B55">
      <w:pPr>
        <w:jc w:val="left"/>
        <w:rPr>
          <w:rFonts w:ascii="Arial" w:hAnsi="Arial" w:cs="Arial"/>
          <w:color w:val="FF0000"/>
          <w:sz w:val="24"/>
          <w:szCs w:val="24"/>
        </w:rPr>
      </w:pPr>
    </w:p>
    <w:p w:rsidR="00EA2F66" w:rsidRPr="001A38A9" w:rsidRDefault="001B3B55" w:rsidP="001B3B55">
      <w:pPr>
        <w:jc w:val="left"/>
        <w:rPr>
          <w:rFonts w:ascii="Arial" w:hAnsi="Arial" w:cs="Arial"/>
          <w:sz w:val="24"/>
          <w:szCs w:val="24"/>
        </w:rPr>
      </w:pPr>
      <w:r w:rsidRPr="00303155">
        <w:rPr>
          <w:rFonts w:ascii="Arial" w:hAnsi="Arial" w:cs="Arial"/>
          <w:b/>
          <w:bCs/>
          <w:sz w:val="24"/>
          <w:szCs w:val="24"/>
        </w:rPr>
        <w:t>Castorama</w:t>
      </w:r>
      <w:r w:rsidRPr="00303155">
        <w:rPr>
          <w:rFonts w:ascii="Arial" w:hAnsi="Arial" w:cs="Arial"/>
          <w:sz w:val="24"/>
          <w:szCs w:val="24"/>
        </w:rPr>
        <w:t xml:space="preserve"> total sales grew by </w:t>
      </w:r>
      <w:r w:rsidR="00EA2F66">
        <w:rPr>
          <w:rFonts w:ascii="Arial" w:hAnsi="Arial" w:cs="Arial"/>
          <w:sz w:val="24"/>
          <w:szCs w:val="24"/>
        </w:rPr>
        <w:t>2.3%</w:t>
      </w:r>
      <w:r w:rsidRPr="00303155">
        <w:rPr>
          <w:rFonts w:ascii="Arial" w:hAnsi="Arial" w:cs="Arial"/>
          <w:sz w:val="24"/>
          <w:szCs w:val="24"/>
        </w:rPr>
        <w:t xml:space="preserve"> (</w:t>
      </w:r>
      <w:r w:rsidR="00EA2F66">
        <w:rPr>
          <w:rFonts w:ascii="Arial" w:hAnsi="Arial" w:cs="Arial"/>
          <w:sz w:val="24"/>
          <w:szCs w:val="24"/>
        </w:rPr>
        <w:t>+0.5</w:t>
      </w:r>
      <w:r w:rsidRPr="00303155">
        <w:rPr>
          <w:rFonts w:ascii="Arial" w:hAnsi="Arial" w:cs="Arial"/>
          <w:sz w:val="24"/>
          <w:szCs w:val="24"/>
        </w:rPr>
        <w:t>% LFL</w:t>
      </w:r>
      <w:r w:rsidR="00773548" w:rsidRPr="00303155">
        <w:rPr>
          <w:rFonts w:ascii="Arial" w:hAnsi="Arial" w:cs="Arial"/>
          <w:sz w:val="24"/>
          <w:szCs w:val="24"/>
        </w:rPr>
        <w:t>)</w:t>
      </w:r>
      <w:r w:rsidR="00EA2F66">
        <w:rPr>
          <w:rFonts w:ascii="Arial" w:hAnsi="Arial" w:cs="Arial"/>
          <w:sz w:val="24"/>
          <w:szCs w:val="24"/>
        </w:rPr>
        <w:t xml:space="preserve"> to £2,469 million</w:t>
      </w:r>
      <w:r w:rsidR="00773548" w:rsidRPr="00303155">
        <w:rPr>
          <w:rFonts w:ascii="Arial" w:hAnsi="Arial" w:cs="Arial"/>
          <w:sz w:val="24"/>
          <w:szCs w:val="24"/>
        </w:rPr>
        <w:t>. According to Banque d</w:t>
      </w:r>
      <w:r w:rsidR="00B835BF" w:rsidRPr="00303155">
        <w:rPr>
          <w:rFonts w:ascii="Arial" w:hAnsi="Arial" w:cs="Arial"/>
          <w:sz w:val="24"/>
          <w:szCs w:val="24"/>
        </w:rPr>
        <w:t>e France data</w:t>
      </w:r>
      <w:r w:rsidR="00BE07B8">
        <w:rPr>
          <w:rFonts w:ascii="Arial" w:hAnsi="Arial" w:cs="Arial"/>
          <w:i/>
          <w:sz w:val="24"/>
          <w:szCs w:val="24"/>
          <w:vertAlign w:val="superscript"/>
        </w:rPr>
        <w:t>*</w:t>
      </w:r>
      <w:r w:rsidR="00B835BF" w:rsidRPr="00303155">
        <w:rPr>
          <w:rFonts w:ascii="Arial" w:hAnsi="Arial" w:cs="Arial"/>
          <w:sz w:val="24"/>
          <w:szCs w:val="24"/>
        </w:rPr>
        <w:t>,</w:t>
      </w:r>
      <w:r w:rsidR="00773548" w:rsidRPr="00303155">
        <w:rPr>
          <w:rFonts w:ascii="Arial" w:hAnsi="Arial" w:cs="Arial"/>
          <w:sz w:val="24"/>
          <w:szCs w:val="24"/>
        </w:rPr>
        <w:t xml:space="preserve"> sales for </w:t>
      </w:r>
      <w:r w:rsidR="00773548" w:rsidRPr="00BE07B8">
        <w:rPr>
          <w:rFonts w:ascii="Arial" w:hAnsi="Arial" w:cs="Arial"/>
          <w:sz w:val="24"/>
          <w:szCs w:val="24"/>
        </w:rPr>
        <w:t>the home improvement market</w:t>
      </w:r>
      <w:r w:rsidR="00EA2F66">
        <w:rPr>
          <w:rFonts w:ascii="Arial" w:hAnsi="Arial" w:cs="Arial"/>
          <w:sz w:val="24"/>
          <w:szCs w:val="24"/>
        </w:rPr>
        <w:t xml:space="preserve"> were down 1.</w:t>
      </w:r>
      <w:r w:rsidR="00773548" w:rsidRPr="00303155">
        <w:rPr>
          <w:rFonts w:ascii="Arial" w:hAnsi="Arial" w:cs="Arial"/>
          <w:sz w:val="24"/>
          <w:szCs w:val="24"/>
        </w:rPr>
        <w:t>%.</w:t>
      </w:r>
      <w:r w:rsidR="00EA2F66">
        <w:rPr>
          <w:rFonts w:ascii="Arial" w:hAnsi="Arial" w:cs="Arial"/>
          <w:sz w:val="24"/>
          <w:szCs w:val="24"/>
        </w:rPr>
        <w:t xml:space="preserve"> Castorama benefited from its innovative ‘Do-it-Smart’ approach aimed at making home improvement projects easier for customers. </w:t>
      </w:r>
      <w:r w:rsidR="001A38A9">
        <w:rPr>
          <w:rFonts w:ascii="Arial" w:hAnsi="Arial" w:cs="Arial"/>
          <w:sz w:val="24"/>
          <w:szCs w:val="24"/>
        </w:rPr>
        <w:t>LFL sales of indoor products were up around 1% with sales of new kitchen, bathroom and storage ranges performing particularly well. Sales of outdoor seasonal products were down around 1%.</w:t>
      </w:r>
      <w:r w:rsidR="00773548" w:rsidRPr="00303155">
        <w:rPr>
          <w:rFonts w:ascii="Arial" w:hAnsi="Arial" w:cs="Arial"/>
          <w:sz w:val="24"/>
          <w:szCs w:val="24"/>
        </w:rPr>
        <w:t xml:space="preserve"> </w:t>
      </w:r>
    </w:p>
    <w:p w:rsidR="001B3B55" w:rsidRPr="006A2252" w:rsidRDefault="001B3B55" w:rsidP="001B3B55">
      <w:pPr>
        <w:jc w:val="left"/>
        <w:rPr>
          <w:rFonts w:ascii="Arial" w:hAnsi="Arial" w:cs="Arial"/>
          <w:color w:val="FF0000"/>
          <w:sz w:val="24"/>
          <w:szCs w:val="24"/>
        </w:rPr>
      </w:pPr>
    </w:p>
    <w:p w:rsidR="00635B94" w:rsidRPr="00635B94" w:rsidRDefault="001B3B55" w:rsidP="001B3B55">
      <w:pPr>
        <w:jc w:val="left"/>
        <w:rPr>
          <w:rFonts w:ascii="Arial" w:hAnsi="Arial" w:cs="Arial"/>
          <w:sz w:val="24"/>
          <w:szCs w:val="24"/>
        </w:rPr>
      </w:pPr>
      <w:bookmarkStart w:id="7" w:name="OLE_LINK15"/>
      <w:bookmarkStart w:id="8" w:name="OLE_LINK16"/>
      <w:r w:rsidRPr="00303155">
        <w:rPr>
          <w:rFonts w:ascii="Arial" w:hAnsi="Arial" w:cs="Arial"/>
          <w:b/>
          <w:bCs/>
          <w:sz w:val="24"/>
          <w:szCs w:val="24"/>
        </w:rPr>
        <w:t>Brico Dépôt</w:t>
      </w:r>
      <w:r w:rsidR="00635B94">
        <w:rPr>
          <w:rFonts w:ascii="Arial" w:hAnsi="Arial" w:cs="Arial"/>
          <w:bCs/>
          <w:sz w:val="24"/>
          <w:szCs w:val="24"/>
        </w:rPr>
        <w:t xml:space="preserve"> total sales declined by 1.0% (-3.0% LFL) to £1,954 million. According to Kingfisher estimates, </w:t>
      </w:r>
      <w:r w:rsidR="00BE07B8">
        <w:rPr>
          <w:rFonts w:ascii="Arial" w:hAnsi="Arial" w:cs="Arial"/>
          <w:bCs/>
          <w:sz w:val="24"/>
          <w:szCs w:val="24"/>
        </w:rPr>
        <w:t>sales for the comparable market</w:t>
      </w:r>
      <w:r w:rsidR="00BE07B8">
        <w:rPr>
          <w:rFonts w:ascii="Arial" w:hAnsi="Arial" w:cs="Arial"/>
          <w:bCs/>
          <w:i/>
          <w:sz w:val="24"/>
          <w:szCs w:val="24"/>
          <w:vertAlign w:val="superscript"/>
        </w:rPr>
        <w:t>*</w:t>
      </w:r>
      <w:r w:rsidR="00BE07B8">
        <w:rPr>
          <w:rFonts w:ascii="Arial" w:hAnsi="Arial" w:cs="Arial"/>
          <w:bCs/>
          <w:sz w:val="24"/>
          <w:szCs w:val="24"/>
        </w:rPr>
        <w:t>,</w:t>
      </w:r>
      <w:r w:rsidR="00635B94">
        <w:rPr>
          <w:rFonts w:ascii="Arial" w:hAnsi="Arial" w:cs="Arial"/>
          <w:bCs/>
          <w:i/>
          <w:sz w:val="24"/>
          <w:szCs w:val="24"/>
          <w:vertAlign w:val="superscript"/>
        </w:rPr>
        <w:t xml:space="preserve"> </w:t>
      </w:r>
      <w:r w:rsidR="00635B94">
        <w:rPr>
          <w:rFonts w:ascii="Arial" w:hAnsi="Arial" w:cs="Arial"/>
          <w:sz w:val="24"/>
          <w:szCs w:val="24"/>
        </w:rPr>
        <w:t>which more specifically targets trade professionals and heavy DIYers, w</w:t>
      </w:r>
      <w:r w:rsidR="009911D2">
        <w:rPr>
          <w:rFonts w:ascii="Arial" w:hAnsi="Arial" w:cs="Arial"/>
          <w:sz w:val="24"/>
          <w:szCs w:val="24"/>
        </w:rPr>
        <w:t>ere</w:t>
      </w:r>
      <w:r w:rsidR="00635B94">
        <w:rPr>
          <w:rFonts w:ascii="Arial" w:hAnsi="Arial" w:cs="Arial"/>
          <w:sz w:val="24"/>
          <w:szCs w:val="24"/>
        </w:rPr>
        <w:t xml:space="preserve"> down </w:t>
      </w:r>
      <w:r w:rsidR="00635B94" w:rsidRPr="00BE07B8">
        <w:rPr>
          <w:rFonts w:ascii="Arial" w:hAnsi="Arial" w:cs="Arial"/>
          <w:sz w:val="24"/>
          <w:szCs w:val="24"/>
        </w:rPr>
        <w:t xml:space="preserve">around </w:t>
      </w:r>
      <w:r w:rsidR="002A4FF0">
        <w:rPr>
          <w:rFonts w:ascii="Arial" w:hAnsi="Arial" w:cs="Arial"/>
          <w:sz w:val="24"/>
          <w:szCs w:val="24"/>
        </w:rPr>
        <w:t>2</w:t>
      </w:r>
      <w:r w:rsidR="00635B94" w:rsidRPr="00BE07B8">
        <w:rPr>
          <w:rFonts w:ascii="Arial" w:hAnsi="Arial" w:cs="Arial"/>
          <w:sz w:val="24"/>
          <w:szCs w:val="24"/>
        </w:rPr>
        <w:t>%. Brico</w:t>
      </w:r>
      <w:r w:rsidR="00635B94">
        <w:rPr>
          <w:rFonts w:ascii="Arial" w:hAnsi="Arial" w:cs="Arial"/>
          <w:sz w:val="24"/>
          <w:szCs w:val="24"/>
        </w:rPr>
        <w:t xml:space="preserve"> Dépôt benefited from self-help initiatives which continued to progress well. These included new ranges introduced last year (e.g. kitchen, bathroom </w:t>
      </w:r>
      <w:r w:rsidR="00CE08D0">
        <w:rPr>
          <w:rFonts w:ascii="Arial" w:hAnsi="Arial" w:cs="Arial"/>
          <w:sz w:val="24"/>
          <w:szCs w:val="24"/>
        </w:rPr>
        <w:t>and power tool ranges) and more ‘arrivages’ (rolling one-off speci</w:t>
      </w:r>
      <w:r w:rsidR="005561BD">
        <w:rPr>
          <w:rFonts w:ascii="Arial" w:hAnsi="Arial" w:cs="Arial"/>
          <w:sz w:val="24"/>
          <w:szCs w:val="24"/>
        </w:rPr>
        <w:t>al buys), reinforcing Brico Dép</w:t>
      </w:r>
      <w:r w:rsidR="00CE08D0">
        <w:rPr>
          <w:rFonts w:ascii="Arial" w:hAnsi="Arial" w:cs="Arial"/>
          <w:sz w:val="24"/>
          <w:szCs w:val="24"/>
        </w:rPr>
        <w:t xml:space="preserve">ôt’s value credentials. </w:t>
      </w:r>
      <w:r w:rsidR="00635B94">
        <w:rPr>
          <w:rFonts w:ascii="Arial" w:hAnsi="Arial" w:cs="Arial"/>
          <w:sz w:val="24"/>
          <w:szCs w:val="24"/>
        </w:rPr>
        <w:t xml:space="preserve"> </w:t>
      </w:r>
    </w:p>
    <w:bookmarkEnd w:id="7"/>
    <w:bookmarkEnd w:id="8"/>
    <w:p w:rsidR="00303155" w:rsidRDefault="00303155" w:rsidP="001B3B55">
      <w:pPr>
        <w:jc w:val="left"/>
        <w:rPr>
          <w:rFonts w:ascii="Arial" w:hAnsi="Arial" w:cs="Arial"/>
          <w:sz w:val="24"/>
          <w:szCs w:val="24"/>
        </w:rPr>
      </w:pPr>
    </w:p>
    <w:p w:rsidR="00EA2F66" w:rsidRDefault="00EA2F66" w:rsidP="001B3B55">
      <w:pPr>
        <w:jc w:val="left"/>
        <w:rPr>
          <w:rFonts w:ascii="Arial" w:hAnsi="Arial" w:cs="Arial"/>
          <w:sz w:val="24"/>
          <w:szCs w:val="24"/>
        </w:rPr>
      </w:pPr>
    </w:p>
    <w:p w:rsidR="00BE07B8" w:rsidRPr="00BE07B8" w:rsidRDefault="00BE07B8" w:rsidP="00BE07B8">
      <w:pPr>
        <w:jc w:val="left"/>
        <w:rPr>
          <w:rFonts w:ascii="Arial" w:hAnsi="Arial" w:cs="Arial"/>
          <w:i/>
          <w:iCs/>
          <w:color w:val="FF0000"/>
          <w:sz w:val="18"/>
          <w:szCs w:val="18"/>
        </w:rPr>
      </w:pPr>
    </w:p>
    <w:bookmarkEnd w:id="5"/>
    <w:bookmarkEnd w:id="6"/>
    <w:p w:rsidR="00BE07B8" w:rsidRDefault="00BE07B8">
      <w:pPr>
        <w:jc w:val="left"/>
        <w:rPr>
          <w:rFonts w:ascii="Arial" w:hAnsi="Arial" w:cs="Arial"/>
          <w:b/>
          <w:bCs/>
          <w:sz w:val="24"/>
          <w:szCs w:val="24"/>
        </w:rPr>
      </w:pPr>
      <w:r>
        <w:rPr>
          <w:rFonts w:ascii="Arial" w:hAnsi="Arial" w:cs="Arial"/>
          <w:b/>
          <w:bCs/>
          <w:sz w:val="24"/>
          <w:szCs w:val="24"/>
        </w:rPr>
        <w:br w:type="page"/>
      </w:r>
    </w:p>
    <w:p w:rsidR="001B3B55" w:rsidRPr="005C5799" w:rsidRDefault="001B3B55" w:rsidP="001B3B55">
      <w:pPr>
        <w:jc w:val="left"/>
        <w:rPr>
          <w:rFonts w:ascii="Arial" w:hAnsi="Arial" w:cs="Arial"/>
          <w:i/>
          <w:iCs/>
          <w:sz w:val="24"/>
          <w:szCs w:val="24"/>
          <w:highlight w:val="magenta"/>
        </w:rPr>
      </w:pPr>
      <w:r w:rsidRPr="005C5799">
        <w:rPr>
          <w:rFonts w:ascii="Arial" w:hAnsi="Arial" w:cs="Arial"/>
          <w:b/>
          <w:bCs/>
          <w:sz w:val="24"/>
          <w:szCs w:val="24"/>
        </w:rPr>
        <w:t>UK &amp; IRELAND</w:t>
      </w:r>
      <w:r w:rsidR="00D12133">
        <w:rPr>
          <w:rFonts w:ascii="Arial" w:hAnsi="Arial" w:cs="Arial"/>
          <w:b/>
          <w:bCs/>
          <w:sz w:val="24"/>
          <w:szCs w:val="24"/>
        </w:rPr>
        <w:t>*</w:t>
      </w:r>
    </w:p>
    <w:p w:rsidR="001B3B55" w:rsidRPr="005C5799" w:rsidRDefault="001B3B55" w:rsidP="001B3B55">
      <w:pPr>
        <w:jc w:val="left"/>
        <w:rPr>
          <w:rFonts w:ascii="Arial" w:hAnsi="Arial" w:cs="Arial"/>
          <w:sz w:val="24"/>
          <w:szCs w:val="24"/>
          <w:highlight w:val="magenta"/>
        </w:rPr>
      </w:pPr>
    </w:p>
    <w:tbl>
      <w:tblPr>
        <w:tblW w:w="48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1247"/>
        <w:gridCol w:w="1523"/>
        <w:gridCol w:w="1527"/>
        <w:gridCol w:w="1659"/>
        <w:gridCol w:w="1148"/>
      </w:tblGrid>
      <w:tr w:rsidR="006A2252" w:rsidRPr="005C5799" w:rsidTr="001B3B55">
        <w:tc>
          <w:tcPr>
            <w:tcW w:w="1189" w:type="pct"/>
          </w:tcPr>
          <w:p w:rsidR="001B3B55" w:rsidRPr="005C5799" w:rsidRDefault="001B3B55" w:rsidP="001B3B55">
            <w:pPr>
              <w:rPr>
                <w:rFonts w:ascii="Arial" w:hAnsi="Arial" w:cs="Arial"/>
                <w:sz w:val="24"/>
                <w:szCs w:val="24"/>
              </w:rPr>
            </w:pPr>
            <w:r w:rsidRPr="005C5799">
              <w:rPr>
                <w:rFonts w:ascii="Arial" w:hAnsi="Arial" w:cs="Arial"/>
                <w:b/>
                <w:bCs/>
                <w:sz w:val="24"/>
                <w:szCs w:val="24"/>
              </w:rPr>
              <w:t>Sales £m</w:t>
            </w:r>
          </w:p>
        </w:tc>
        <w:tc>
          <w:tcPr>
            <w:tcW w:w="669" w:type="pct"/>
          </w:tcPr>
          <w:p w:rsidR="001B3B55" w:rsidRPr="005C5799" w:rsidRDefault="005C5799" w:rsidP="001B3B55">
            <w:pPr>
              <w:jc w:val="right"/>
              <w:rPr>
                <w:rFonts w:ascii="Arial" w:hAnsi="Arial" w:cs="Arial"/>
                <w:sz w:val="24"/>
                <w:szCs w:val="24"/>
              </w:rPr>
            </w:pPr>
            <w:r>
              <w:rPr>
                <w:rFonts w:ascii="Arial" w:hAnsi="Arial" w:cs="Arial"/>
                <w:b/>
                <w:bCs/>
                <w:sz w:val="24"/>
                <w:szCs w:val="24"/>
              </w:rPr>
              <w:t>2013/14</w:t>
            </w:r>
          </w:p>
        </w:tc>
        <w:tc>
          <w:tcPr>
            <w:tcW w:w="817" w:type="pct"/>
          </w:tcPr>
          <w:p w:rsidR="001B3B55" w:rsidRPr="005C5799" w:rsidRDefault="005C5799" w:rsidP="001B3B55">
            <w:pPr>
              <w:jc w:val="right"/>
              <w:rPr>
                <w:rFonts w:ascii="Arial" w:hAnsi="Arial" w:cs="Arial"/>
                <w:b/>
                <w:bCs/>
                <w:sz w:val="24"/>
                <w:szCs w:val="24"/>
              </w:rPr>
            </w:pPr>
            <w:r>
              <w:rPr>
                <w:rFonts w:ascii="Arial" w:hAnsi="Arial" w:cs="Arial"/>
                <w:b/>
                <w:bCs/>
                <w:sz w:val="24"/>
                <w:szCs w:val="24"/>
              </w:rPr>
              <w:t>2012/13</w:t>
            </w:r>
          </w:p>
        </w:tc>
        <w:tc>
          <w:tcPr>
            <w:tcW w:w="819" w:type="pct"/>
          </w:tcPr>
          <w:p w:rsidR="000C5C21" w:rsidRDefault="000C5C21" w:rsidP="000C5C21">
            <w:pPr>
              <w:jc w:val="right"/>
              <w:rPr>
                <w:rFonts w:ascii="Arial" w:hAnsi="Arial" w:cs="Arial"/>
                <w:b/>
                <w:bCs/>
                <w:sz w:val="24"/>
                <w:szCs w:val="24"/>
              </w:rPr>
            </w:pPr>
            <w:r>
              <w:rPr>
                <w:rFonts w:ascii="Arial" w:hAnsi="Arial" w:cs="Arial"/>
                <w:b/>
                <w:bCs/>
                <w:sz w:val="24"/>
                <w:szCs w:val="24"/>
              </w:rPr>
              <w:t>% Total</w:t>
            </w:r>
            <w:r w:rsidRPr="00AC5413">
              <w:rPr>
                <w:rFonts w:ascii="Arial" w:hAnsi="Arial" w:cs="Arial"/>
                <w:b/>
                <w:bCs/>
                <w:sz w:val="24"/>
                <w:szCs w:val="24"/>
              </w:rPr>
              <w:t xml:space="preserve"> Change</w:t>
            </w:r>
          </w:p>
          <w:p w:rsidR="001B3B55" w:rsidRPr="005C5799" w:rsidRDefault="000C5C21" w:rsidP="000C5C21">
            <w:pPr>
              <w:jc w:val="right"/>
              <w:rPr>
                <w:rFonts w:ascii="Arial" w:hAnsi="Arial" w:cs="Arial"/>
                <w:b/>
                <w:bCs/>
                <w:sz w:val="24"/>
                <w:szCs w:val="24"/>
              </w:rPr>
            </w:pPr>
            <w:r>
              <w:rPr>
                <w:rFonts w:ascii="Arial" w:hAnsi="Arial" w:cs="Arial"/>
                <w:b/>
                <w:bCs/>
                <w:sz w:val="24"/>
                <w:szCs w:val="24"/>
              </w:rPr>
              <w:t>Reported</w:t>
            </w:r>
          </w:p>
        </w:tc>
        <w:tc>
          <w:tcPr>
            <w:tcW w:w="890" w:type="pct"/>
          </w:tcPr>
          <w:p w:rsidR="000C5C21" w:rsidRDefault="001B3B55">
            <w:pPr>
              <w:jc w:val="right"/>
              <w:rPr>
                <w:rFonts w:ascii="Arial" w:hAnsi="Arial" w:cs="Arial"/>
                <w:b/>
                <w:bCs/>
                <w:sz w:val="24"/>
                <w:szCs w:val="24"/>
              </w:rPr>
            </w:pPr>
            <w:r w:rsidRPr="005C5799">
              <w:rPr>
                <w:rFonts w:ascii="Arial" w:hAnsi="Arial" w:cs="Arial"/>
                <w:b/>
                <w:bCs/>
                <w:sz w:val="24"/>
                <w:szCs w:val="24"/>
              </w:rPr>
              <w:t>%</w:t>
            </w:r>
            <w:r w:rsidR="000C5C21">
              <w:rPr>
                <w:rFonts w:ascii="Arial" w:hAnsi="Arial" w:cs="Arial"/>
                <w:b/>
                <w:bCs/>
                <w:sz w:val="24"/>
                <w:szCs w:val="24"/>
              </w:rPr>
              <w:t xml:space="preserve"> Total Change</w:t>
            </w:r>
            <w:r w:rsidRPr="005C5799">
              <w:rPr>
                <w:rFonts w:ascii="Arial" w:hAnsi="Arial" w:cs="Arial"/>
                <w:b/>
                <w:bCs/>
                <w:sz w:val="24"/>
                <w:szCs w:val="24"/>
              </w:rPr>
              <w:t xml:space="preserve"> </w:t>
            </w:r>
          </w:p>
          <w:p w:rsidR="007F4AD6" w:rsidRDefault="00726652">
            <w:pPr>
              <w:jc w:val="right"/>
              <w:rPr>
                <w:rFonts w:ascii="Arial" w:hAnsi="Arial" w:cs="Arial"/>
                <w:b/>
                <w:bCs/>
                <w:sz w:val="24"/>
                <w:szCs w:val="24"/>
              </w:rPr>
            </w:pPr>
            <w:r w:rsidRPr="005C5799">
              <w:rPr>
                <w:rFonts w:ascii="Arial" w:hAnsi="Arial" w:cs="Arial"/>
                <w:b/>
                <w:bCs/>
                <w:sz w:val="24"/>
                <w:szCs w:val="24"/>
              </w:rPr>
              <w:t xml:space="preserve">Constant </w:t>
            </w:r>
            <w:r w:rsidR="000C5C21">
              <w:rPr>
                <w:rFonts w:ascii="Arial" w:hAnsi="Arial" w:cs="Arial"/>
                <w:b/>
                <w:bCs/>
                <w:sz w:val="24"/>
                <w:szCs w:val="24"/>
              </w:rPr>
              <w:t>c</w:t>
            </w:r>
            <w:r w:rsidRPr="005C5799">
              <w:rPr>
                <w:rFonts w:ascii="Arial" w:hAnsi="Arial" w:cs="Arial"/>
                <w:b/>
                <w:bCs/>
                <w:sz w:val="24"/>
                <w:szCs w:val="24"/>
              </w:rPr>
              <w:t xml:space="preserve">urrency </w:t>
            </w:r>
          </w:p>
          <w:p w:rsidR="00726652" w:rsidRPr="005C5799" w:rsidRDefault="00E652D5" w:rsidP="000C5C21">
            <w:pPr>
              <w:jc w:val="right"/>
              <w:rPr>
                <w:rFonts w:ascii="Arial" w:hAnsi="Arial" w:cs="Arial"/>
                <w:b/>
                <w:bCs/>
                <w:sz w:val="24"/>
                <w:szCs w:val="24"/>
              </w:rPr>
            </w:pPr>
            <w:r>
              <w:rPr>
                <w:rFonts w:ascii="Arial" w:hAnsi="Arial" w:cs="Arial"/>
                <w:b/>
                <w:bCs/>
                <w:sz w:val="24"/>
                <w:szCs w:val="24"/>
              </w:rPr>
              <w:t>52 week basi</w:t>
            </w:r>
            <w:r w:rsidRPr="00731A16">
              <w:rPr>
                <w:rFonts w:ascii="Arial" w:hAnsi="Arial" w:cs="Arial"/>
                <w:b/>
                <w:bCs/>
                <w:sz w:val="24"/>
                <w:szCs w:val="24"/>
              </w:rPr>
              <w:t>s</w:t>
            </w:r>
            <w:r w:rsidR="000C5C21">
              <w:rPr>
                <w:rFonts w:ascii="Arial" w:hAnsi="Arial" w:cs="Arial"/>
                <w:b/>
                <w:bCs/>
                <w:sz w:val="24"/>
                <w:szCs w:val="24"/>
              </w:rPr>
              <w:t xml:space="preserve"> </w:t>
            </w:r>
          </w:p>
        </w:tc>
        <w:tc>
          <w:tcPr>
            <w:tcW w:w="616" w:type="pct"/>
          </w:tcPr>
          <w:p w:rsidR="001B3B55" w:rsidRPr="005C5799" w:rsidRDefault="001B3B55" w:rsidP="001B3B55">
            <w:pPr>
              <w:ind w:hanging="108"/>
              <w:jc w:val="right"/>
              <w:rPr>
                <w:rFonts w:ascii="Arial" w:hAnsi="Arial" w:cs="Arial"/>
                <w:b/>
                <w:bCs/>
                <w:sz w:val="24"/>
                <w:szCs w:val="24"/>
              </w:rPr>
            </w:pPr>
            <w:r w:rsidRPr="005C5799">
              <w:rPr>
                <w:rFonts w:ascii="Arial" w:hAnsi="Arial" w:cs="Arial"/>
                <w:b/>
                <w:bCs/>
                <w:sz w:val="24"/>
                <w:szCs w:val="24"/>
              </w:rPr>
              <w:t>% LFL</w:t>
            </w:r>
          </w:p>
          <w:p w:rsidR="001B3B55" w:rsidRPr="005C5799" w:rsidRDefault="001B3B55" w:rsidP="001B3B55">
            <w:pPr>
              <w:ind w:hanging="108"/>
              <w:jc w:val="right"/>
              <w:rPr>
                <w:rFonts w:ascii="Arial" w:hAnsi="Arial" w:cs="Arial"/>
                <w:b/>
                <w:bCs/>
                <w:sz w:val="24"/>
                <w:szCs w:val="24"/>
              </w:rPr>
            </w:pPr>
            <w:r w:rsidRPr="005C5799">
              <w:rPr>
                <w:rFonts w:ascii="Arial" w:hAnsi="Arial" w:cs="Arial"/>
                <w:b/>
                <w:bCs/>
                <w:sz w:val="24"/>
                <w:szCs w:val="24"/>
              </w:rPr>
              <w:t>Change</w:t>
            </w:r>
          </w:p>
        </w:tc>
      </w:tr>
      <w:tr w:rsidR="006A2252" w:rsidRPr="005C5799" w:rsidTr="001B3B55">
        <w:trPr>
          <w:trHeight w:val="147"/>
        </w:trPr>
        <w:tc>
          <w:tcPr>
            <w:tcW w:w="1189" w:type="pct"/>
          </w:tcPr>
          <w:p w:rsidR="001B3B55" w:rsidRPr="005C5799" w:rsidRDefault="001B3B55" w:rsidP="001B3B55">
            <w:pPr>
              <w:rPr>
                <w:rFonts w:ascii="Arial" w:hAnsi="Arial" w:cs="Arial"/>
                <w:sz w:val="24"/>
                <w:szCs w:val="24"/>
              </w:rPr>
            </w:pPr>
            <w:r w:rsidRPr="005C5799">
              <w:rPr>
                <w:rFonts w:ascii="Arial" w:hAnsi="Arial" w:cs="Arial"/>
                <w:sz w:val="24"/>
                <w:szCs w:val="24"/>
              </w:rPr>
              <w:t>UK &amp; Ireland</w:t>
            </w:r>
          </w:p>
        </w:tc>
        <w:tc>
          <w:tcPr>
            <w:tcW w:w="669" w:type="pct"/>
          </w:tcPr>
          <w:p w:rsidR="001B3B55" w:rsidRPr="005C5799" w:rsidRDefault="007B131A">
            <w:pPr>
              <w:jc w:val="right"/>
              <w:rPr>
                <w:rFonts w:ascii="Arial" w:hAnsi="Arial" w:cs="Arial"/>
                <w:sz w:val="24"/>
                <w:szCs w:val="24"/>
              </w:rPr>
            </w:pPr>
            <w:r>
              <w:rPr>
                <w:rFonts w:ascii="Arial" w:hAnsi="Arial" w:cs="Arial"/>
                <w:sz w:val="24"/>
                <w:szCs w:val="24"/>
              </w:rPr>
              <w:t>4,36</w:t>
            </w:r>
            <w:r w:rsidR="004B22DD">
              <w:rPr>
                <w:rFonts w:ascii="Arial" w:hAnsi="Arial" w:cs="Arial"/>
                <w:sz w:val="24"/>
                <w:szCs w:val="24"/>
              </w:rPr>
              <w:t>3</w:t>
            </w:r>
          </w:p>
        </w:tc>
        <w:tc>
          <w:tcPr>
            <w:tcW w:w="817" w:type="pct"/>
          </w:tcPr>
          <w:p w:rsidR="001B3B55" w:rsidRPr="005C5799" w:rsidRDefault="005C5799" w:rsidP="001B3B55">
            <w:pPr>
              <w:jc w:val="right"/>
              <w:rPr>
                <w:rFonts w:ascii="Arial" w:hAnsi="Arial" w:cs="Arial"/>
                <w:sz w:val="24"/>
                <w:szCs w:val="24"/>
              </w:rPr>
            </w:pPr>
            <w:r w:rsidRPr="005C5799">
              <w:rPr>
                <w:rFonts w:ascii="Arial" w:hAnsi="Arial" w:cs="Arial"/>
                <w:sz w:val="24"/>
                <w:szCs w:val="24"/>
              </w:rPr>
              <w:t>4,316</w:t>
            </w:r>
          </w:p>
        </w:tc>
        <w:tc>
          <w:tcPr>
            <w:tcW w:w="819" w:type="pct"/>
          </w:tcPr>
          <w:p w:rsidR="001B3B55" w:rsidRPr="005C5799" w:rsidRDefault="000C5C21">
            <w:pPr>
              <w:jc w:val="right"/>
              <w:rPr>
                <w:rFonts w:ascii="Arial" w:hAnsi="Arial" w:cs="Arial"/>
                <w:sz w:val="24"/>
                <w:szCs w:val="24"/>
              </w:rPr>
            </w:pPr>
            <w:r>
              <w:rPr>
                <w:rFonts w:ascii="Arial" w:hAnsi="Arial" w:cs="Arial"/>
                <w:sz w:val="24"/>
                <w:szCs w:val="24"/>
              </w:rPr>
              <w:t>+1.</w:t>
            </w:r>
            <w:r w:rsidR="004B22DD">
              <w:rPr>
                <w:rFonts w:ascii="Arial" w:hAnsi="Arial" w:cs="Arial"/>
                <w:sz w:val="24"/>
                <w:szCs w:val="24"/>
              </w:rPr>
              <w:t>0</w:t>
            </w:r>
            <w:r w:rsidR="00DB7164" w:rsidRPr="005C5799">
              <w:rPr>
                <w:rFonts w:ascii="Arial" w:hAnsi="Arial" w:cs="Arial"/>
                <w:sz w:val="24"/>
                <w:szCs w:val="24"/>
              </w:rPr>
              <w:t>%</w:t>
            </w:r>
          </w:p>
        </w:tc>
        <w:tc>
          <w:tcPr>
            <w:tcW w:w="890" w:type="pct"/>
          </w:tcPr>
          <w:p w:rsidR="001B3B55" w:rsidRPr="005C5799" w:rsidRDefault="007F4AD6" w:rsidP="001B3B55">
            <w:pPr>
              <w:jc w:val="right"/>
              <w:rPr>
                <w:rFonts w:ascii="Arial" w:hAnsi="Arial" w:cs="Arial"/>
                <w:sz w:val="24"/>
                <w:szCs w:val="24"/>
              </w:rPr>
            </w:pPr>
            <w:r>
              <w:rPr>
                <w:rFonts w:ascii="Arial" w:hAnsi="Arial" w:cs="Arial"/>
                <w:sz w:val="24"/>
                <w:szCs w:val="24"/>
              </w:rPr>
              <w:t>+2.7</w:t>
            </w:r>
            <w:r w:rsidR="00DB7164" w:rsidRPr="005C5799">
              <w:rPr>
                <w:rFonts w:ascii="Arial" w:hAnsi="Arial" w:cs="Arial"/>
                <w:sz w:val="24"/>
                <w:szCs w:val="24"/>
              </w:rPr>
              <w:t>%</w:t>
            </w:r>
          </w:p>
        </w:tc>
        <w:tc>
          <w:tcPr>
            <w:tcW w:w="616" w:type="pct"/>
          </w:tcPr>
          <w:p w:rsidR="001B3B55" w:rsidRPr="005C5799" w:rsidRDefault="007F4AD6" w:rsidP="001B3B55">
            <w:pPr>
              <w:jc w:val="right"/>
              <w:rPr>
                <w:rFonts w:ascii="Arial" w:hAnsi="Arial" w:cs="Arial"/>
                <w:sz w:val="24"/>
                <w:szCs w:val="24"/>
              </w:rPr>
            </w:pPr>
            <w:r>
              <w:rPr>
                <w:rFonts w:ascii="Arial" w:hAnsi="Arial" w:cs="Arial"/>
                <w:sz w:val="24"/>
                <w:szCs w:val="24"/>
              </w:rPr>
              <w:t>+1.1%</w:t>
            </w:r>
          </w:p>
        </w:tc>
      </w:tr>
    </w:tbl>
    <w:p w:rsidR="001B3B55" w:rsidRPr="005C5799" w:rsidRDefault="001B3B55" w:rsidP="001B3B55">
      <w:pPr>
        <w:rPr>
          <w:rFonts w:ascii="Arial" w:hAnsi="Arial" w:cs="Arial"/>
          <w:b/>
          <w:bCs/>
          <w:sz w:val="24"/>
          <w:szCs w:val="24"/>
        </w:rPr>
      </w:pPr>
    </w:p>
    <w:tbl>
      <w:tblPr>
        <w:tblW w:w="4243"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6"/>
        <w:gridCol w:w="1249"/>
        <w:gridCol w:w="1522"/>
        <w:gridCol w:w="1519"/>
        <w:gridCol w:w="1667"/>
      </w:tblGrid>
      <w:tr w:rsidR="000C5C21" w:rsidRPr="005C5799" w:rsidTr="000C5C21">
        <w:tc>
          <w:tcPr>
            <w:tcW w:w="1356" w:type="pct"/>
            <w:tcBorders>
              <w:top w:val="single" w:sz="4" w:space="0" w:color="auto"/>
            </w:tcBorders>
          </w:tcPr>
          <w:p w:rsidR="000C5C21" w:rsidRPr="005C5799" w:rsidRDefault="000C5C21" w:rsidP="000C5C21">
            <w:pPr>
              <w:rPr>
                <w:rFonts w:ascii="Arial" w:hAnsi="Arial" w:cs="Arial"/>
                <w:b/>
                <w:bCs/>
                <w:sz w:val="24"/>
                <w:szCs w:val="24"/>
              </w:rPr>
            </w:pPr>
            <w:r w:rsidRPr="005C5799">
              <w:rPr>
                <w:rFonts w:ascii="Arial" w:hAnsi="Arial" w:cs="Arial"/>
                <w:b/>
                <w:bCs/>
                <w:sz w:val="24"/>
                <w:szCs w:val="24"/>
              </w:rPr>
              <w:t>Retail profit £m</w:t>
            </w:r>
          </w:p>
        </w:tc>
        <w:tc>
          <w:tcPr>
            <w:tcW w:w="764" w:type="pct"/>
            <w:tcBorders>
              <w:top w:val="single" w:sz="4" w:space="0" w:color="auto"/>
            </w:tcBorders>
          </w:tcPr>
          <w:p w:rsidR="000C5C21" w:rsidRPr="005C5799" w:rsidRDefault="000C5C21" w:rsidP="000C5C21">
            <w:pPr>
              <w:jc w:val="right"/>
              <w:rPr>
                <w:rFonts w:ascii="Arial" w:hAnsi="Arial" w:cs="Arial"/>
                <w:b/>
                <w:bCs/>
                <w:sz w:val="24"/>
                <w:szCs w:val="24"/>
              </w:rPr>
            </w:pPr>
            <w:r>
              <w:rPr>
                <w:rFonts w:ascii="Arial" w:hAnsi="Arial" w:cs="Arial"/>
                <w:b/>
                <w:bCs/>
                <w:sz w:val="24"/>
                <w:szCs w:val="24"/>
              </w:rPr>
              <w:t>2013/14</w:t>
            </w:r>
          </w:p>
        </w:tc>
        <w:tc>
          <w:tcPr>
            <w:tcW w:w="931" w:type="pct"/>
            <w:tcBorders>
              <w:top w:val="single" w:sz="4" w:space="0" w:color="auto"/>
            </w:tcBorders>
          </w:tcPr>
          <w:p w:rsidR="000C5C21" w:rsidRPr="005C5799" w:rsidRDefault="000C5C21" w:rsidP="000C5C21">
            <w:pPr>
              <w:jc w:val="right"/>
              <w:rPr>
                <w:rFonts w:ascii="Arial" w:hAnsi="Arial" w:cs="Arial"/>
                <w:b/>
                <w:bCs/>
                <w:sz w:val="24"/>
                <w:szCs w:val="24"/>
              </w:rPr>
            </w:pPr>
            <w:r>
              <w:rPr>
                <w:rFonts w:ascii="Arial" w:hAnsi="Arial" w:cs="Arial"/>
                <w:b/>
                <w:bCs/>
                <w:sz w:val="24"/>
                <w:szCs w:val="24"/>
              </w:rPr>
              <w:t>2012/13</w:t>
            </w:r>
          </w:p>
        </w:tc>
        <w:tc>
          <w:tcPr>
            <w:tcW w:w="929" w:type="pct"/>
            <w:tcBorders>
              <w:top w:val="single" w:sz="4" w:space="0" w:color="auto"/>
            </w:tcBorders>
          </w:tcPr>
          <w:p w:rsidR="000C5C21" w:rsidRDefault="000C5C21" w:rsidP="000C5C21">
            <w:pPr>
              <w:jc w:val="right"/>
              <w:rPr>
                <w:rFonts w:ascii="Arial" w:hAnsi="Arial" w:cs="Arial"/>
                <w:b/>
                <w:bCs/>
                <w:sz w:val="24"/>
                <w:szCs w:val="24"/>
              </w:rPr>
            </w:pPr>
            <w:r w:rsidRPr="00AC5413">
              <w:rPr>
                <w:rFonts w:ascii="Arial" w:hAnsi="Arial" w:cs="Arial"/>
                <w:b/>
                <w:bCs/>
                <w:sz w:val="24"/>
                <w:szCs w:val="24"/>
              </w:rPr>
              <w:t xml:space="preserve">% </w:t>
            </w:r>
            <w:r>
              <w:rPr>
                <w:rFonts w:ascii="Arial" w:hAnsi="Arial" w:cs="Arial"/>
                <w:b/>
                <w:bCs/>
                <w:sz w:val="24"/>
                <w:szCs w:val="24"/>
              </w:rPr>
              <w:t>Change</w:t>
            </w:r>
          </w:p>
          <w:p w:rsidR="000C5C21" w:rsidRPr="00AC5413" w:rsidRDefault="000C5C21" w:rsidP="000C5C21">
            <w:pPr>
              <w:jc w:val="right"/>
              <w:rPr>
                <w:rFonts w:ascii="Arial" w:hAnsi="Arial" w:cs="Arial"/>
                <w:b/>
                <w:bCs/>
                <w:sz w:val="24"/>
                <w:szCs w:val="24"/>
              </w:rPr>
            </w:pPr>
            <w:r w:rsidRPr="00AC5413">
              <w:rPr>
                <w:rFonts w:ascii="Arial" w:hAnsi="Arial" w:cs="Arial"/>
                <w:b/>
                <w:bCs/>
                <w:sz w:val="24"/>
                <w:szCs w:val="24"/>
              </w:rPr>
              <w:t xml:space="preserve">Reported </w:t>
            </w:r>
          </w:p>
        </w:tc>
        <w:tc>
          <w:tcPr>
            <w:tcW w:w="1020" w:type="pct"/>
            <w:tcBorders>
              <w:top w:val="single" w:sz="4" w:space="0" w:color="auto"/>
            </w:tcBorders>
          </w:tcPr>
          <w:p w:rsidR="000C5C21" w:rsidRPr="00AC5413" w:rsidRDefault="000C5C21" w:rsidP="000C5C21">
            <w:pPr>
              <w:jc w:val="right"/>
              <w:rPr>
                <w:rFonts w:ascii="Arial" w:hAnsi="Arial" w:cs="Arial"/>
                <w:b/>
                <w:bCs/>
                <w:sz w:val="24"/>
                <w:szCs w:val="24"/>
              </w:rPr>
            </w:pPr>
            <w:r w:rsidRPr="005C5799">
              <w:rPr>
                <w:rFonts w:ascii="Arial" w:hAnsi="Arial" w:cs="Arial"/>
                <w:b/>
                <w:bCs/>
                <w:sz w:val="24"/>
                <w:szCs w:val="24"/>
              </w:rPr>
              <w:t>%</w:t>
            </w:r>
            <w:r>
              <w:rPr>
                <w:rFonts w:ascii="Arial" w:hAnsi="Arial" w:cs="Arial"/>
                <w:b/>
                <w:bCs/>
                <w:sz w:val="24"/>
                <w:szCs w:val="24"/>
              </w:rPr>
              <w:t xml:space="preserve"> Change Constant currency </w:t>
            </w:r>
          </w:p>
        </w:tc>
      </w:tr>
      <w:tr w:rsidR="000C5C21" w:rsidRPr="00543473" w:rsidTr="000C5C21">
        <w:tc>
          <w:tcPr>
            <w:tcW w:w="1356" w:type="pct"/>
            <w:tcBorders>
              <w:bottom w:val="single" w:sz="4" w:space="0" w:color="auto"/>
            </w:tcBorders>
          </w:tcPr>
          <w:p w:rsidR="000C5C21" w:rsidRPr="00543473" w:rsidRDefault="000C5C21" w:rsidP="000C5C21">
            <w:pPr>
              <w:rPr>
                <w:rFonts w:ascii="Arial" w:hAnsi="Arial" w:cs="Arial"/>
                <w:sz w:val="24"/>
                <w:szCs w:val="24"/>
              </w:rPr>
            </w:pPr>
            <w:r w:rsidRPr="00543473">
              <w:rPr>
                <w:rFonts w:ascii="Arial" w:hAnsi="Arial" w:cs="Arial"/>
                <w:sz w:val="24"/>
                <w:szCs w:val="24"/>
              </w:rPr>
              <w:t>UK &amp; Ireland</w:t>
            </w:r>
          </w:p>
        </w:tc>
        <w:tc>
          <w:tcPr>
            <w:tcW w:w="764" w:type="pct"/>
            <w:tcBorders>
              <w:bottom w:val="single" w:sz="4" w:space="0" w:color="auto"/>
            </w:tcBorders>
          </w:tcPr>
          <w:p w:rsidR="000C5C21" w:rsidRPr="00543473" w:rsidRDefault="000C5C21" w:rsidP="000C5C21">
            <w:pPr>
              <w:jc w:val="right"/>
              <w:rPr>
                <w:rFonts w:ascii="Arial" w:hAnsi="Arial" w:cs="Arial"/>
                <w:sz w:val="24"/>
                <w:szCs w:val="24"/>
              </w:rPr>
            </w:pPr>
            <w:r>
              <w:rPr>
                <w:rFonts w:ascii="Arial" w:hAnsi="Arial" w:cs="Arial"/>
                <w:sz w:val="24"/>
                <w:szCs w:val="24"/>
              </w:rPr>
              <w:t>23</w:t>
            </w:r>
            <w:r w:rsidR="004B22DD">
              <w:rPr>
                <w:rFonts w:ascii="Arial" w:hAnsi="Arial" w:cs="Arial"/>
                <w:sz w:val="24"/>
                <w:szCs w:val="24"/>
              </w:rPr>
              <w:t>8</w:t>
            </w:r>
          </w:p>
        </w:tc>
        <w:tc>
          <w:tcPr>
            <w:tcW w:w="931" w:type="pct"/>
            <w:tcBorders>
              <w:bottom w:val="single" w:sz="4" w:space="0" w:color="auto"/>
            </w:tcBorders>
          </w:tcPr>
          <w:p w:rsidR="000C5C21" w:rsidRPr="00543473" w:rsidRDefault="000C5C21" w:rsidP="000C5C21">
            <w:pPr>
              <w:jc w:val="right"/>
              <w:rPr>
                <w:rFonts w:ascii="Arial" w:hAnsi="Arial" w:cs="Arial"/>
                <w:sz w:val="24"/>
                <w:szCs w:val="24"/>
              </w:rPr>
            </w:pPr>
            <w:r w:rsidRPr="00543473">
              <w:rPr>
                <w:rFonts w:ascii="Arial" w:hAnsi="Arial" w:cs="Arial"/>
                <w:sz w:val="24"/>
                <w:szCs w:val="24"/>
              </w:rPr>
              <w:t>23</w:t>
            </w:r>
            <w:r w:rsidR="00234FFB">
              <w:rPr>
                <w:rFonts w:ascii="Arial" w:hAnsi="Arial" w:cs="Arial"/>
                <w:sz w:val="24"/>
                <w:szCs w:val="24"/>
              </w:rPr>
              <w:t>1</w:t>
            </w:r>
          </w:p>
        </w:tc>
        <w:tc>
          <w:tcPr>
            <w:tcW w:w="929" w:type="pct"/>
            <w:tcBorders>
              <w:bottom w:val="single" w:sz="4" w:space="0" w:color="auto"/>
            </w:tcBorders>
          </w:tcPr>
          <w:p w:rsidR="000C5C21" w:rsidRPr="00543473" w:rsidRDefault="000C5C21" w:rsidP="000C5C21">
            <w:pPr>
              <w:jc w:val="right"/>
              <w:rPr>
                <w:rFonts w:ascii="Arial" w:hAnsi="Arial" w:cs="Arial"/>
                <w:sz w:val="24"/>
                <w:szCs w:val="24"/>
              </w:rPr>
            </w:pPr>
            <w:r>
              <w:rPr>
                <w:rFonts w:ascii="Arial" w:hAnsi="Arial" w:cs="Arial"/>
                <w:sz w:val="24"/>
                <w:szCs w:val="24"/>
              </w:rPr>
              <w:t>+3.</w:t>
            </w:r>
            <w:r w:rsidR="004B22DD">
              <w:rPr>
                <w:rFonts w:ascii="Arial" w:hAnsi="Arial" w:cs="Arial"/>
                <w:sz w:val="24"/>
                <w:szCs w:val="24"/>
              </w:rPr>
              <w:t>3</w:t>
            </w:r>
            <w:r w:rsidRPr="00543473">
              <w:rPr>
                <w:rFonts w:ascii="Arial" w:hAnsi="Arial" w:cs="Arial"/>
                <w:sz w:val="24"/>
                <w:szCs w:val="24"/>
              </w:rPr>
              <w:t>%</w:t>
            </w:r>
          </w:p>
        </w:tc>
        <w:tc>
          <w:tcPr>
            <w:tcW w:w="1020" w:type="pct"/>
            <w:tcBorders>
              <w:bottom w:val="single" w:sz="4" w:space="0" w:color="auto"/>
            </w:tcBorders>
          </w:tcPr>
          <w:p w:rsidR="000C5C21" w:rsidRPr="00543473" w:rsidRDefault="000C5C21" w:rsidP="000C5C21">
            <w:pPr>
              <w:jc w:val="right"/>
              <w:rPr>
                <w:rFonts w:ascii="Arial" w:hAnsi="Arial" w:cs="Arial"/>
                <w:sz w:val="24"/>
                <w:szCs w:val="24"/>
              </w:rPr>
            </w:pPr>
            <w:r>
              <w:rPr>
                <w:rFonts w:ascii="Arial" w:hAnsi="Arial" w:cs="Arial"/>
                <w:sz w:val="24"/>
                <w:szCs w:val="24"/>
              </w:rPr>
              <w:t>+3.</w:t>
            </w:r>
            <w:r w:rsidR="004B22DD">
              <w:rPr>
                <w:rFonts w:ascii="Arial" w:hAnsi="Arial" w:cs="Arial"/>
                <w:sz w:val="24"/>
                <w:szCs w:val="24"/>
              </w:rPr>
              <w:t>4</w:t>
            </w:r>
            <w:r w:rsidRPr="00543473">
              <w:rPr>
                <w:rFonts w:ascii="Arial" w:hAnsi="Arial" w:cs="Arial"/>
                <w:sz w:val="24"/>
                <w:szCs w:val="24"/>
              </w:rPr>
              <w:t>%</w:t>
            </w:r>
          </w:p>
        </w:tc>
      </w:tr>
    </w:tbl>
    <w:p w:rsidR="003F2937" w:rsidRPr="00543473" w:rsidRDefault="003F2937" w:rsidP="001B3B55">
      <w:pPr>
        <w:jc w:val="left"/>
        <w:rPr>
          <w:rFonts w:ascii="Arial" w:hAnsi="Arial" w:cs="Arial"/>
          <w:i/>
          <w:iCs/>
          <w:sz w:val="24"/>
          <w:szCs w:val="24"/>
          <w:highlight w:val="magenta"/>
        </w:rPr>
      </w:pPr>
    </w:p>
    <w:p w:rsidR="001B3B55" w:rsidRDefault="001B3B55" w:rsidP="001B3B55">
      <w:pPr>
        <w:jc w:val="left"/>
        <w:rPr>
          <w:rFonts w:ascii="Arial" w:hAnsi="Arial" w:cs="Arial"/>
          <w:b/>
          <w:bCs/>
          <w:i/>
          <w:iCs/>
          <w:sz w:val="18"/>
          <w:szCs w:val="18"/>
        </w:rPr>
      </w:pPr>
      <w:r w:rsidRPr="00543473">
        <w:rPr>
          <w:rFonts w:ascii="Arial" w:hAnsi="Arial" w:cs="Arial"/>
          <w:b/>
          <w:bCs/>
          <w:i/>
          <w:iCs/>
          <w:sz w:val="18"/>
          <w:szCs w:val="18"/>
        </w:rPr>
        <w:t>All trading commentary below is in constant currencies</w:t>
      </w:r>
      <w:r w:rsidR="00CC59CF">
        <w:rPr>
          <w:rFonts w:ascii="Arial" w:hAnsi="Arial" w:cs="Arial"/>
          <w:b/>
          <w:bCs/>
          <w:i/>
          <w:iCs/>
          <w:sz w:val="18"/>
          <w:szCs w:val="18"/>
        </w:rPr>
        <w:t xml:space="preserve"> and % movements on a 52 week basis. </w:t>
      </w:r>
    </w:p>
    <w:p w:rsidR="008B7F6D" w:rsidRPr="00F22393" w:rsidRDefault="008B7F6D" w:rsidP="00F22393">
      <w:pPr>
        <w:tabs>
          <w:tab w:val="left" w:pos="357"/>
        </w:tabs>
        <w:ind w:right="-282"/>
        <w:jc w:val="left"/>
        <w:rPr>
          <w:rFonts w:ascii="Arial" w:hAnsi="Arial" w:cs="Arial"/>
          <w:i/>
          <w:sz w:val="18"/>
          <w:szCs w:val="18"/>
        </w:rPr>
      </w:pPr>
      <w:r>
        <w:rPr>
          <w:rFonts w:ascii="Arial" w:hAnsi="Arial" w:cs="Arial"/>
          <w:i/>
          <w:sz w:val="18"/>
          <w:szCs w:val="18"/>
        </w:rPr>
        <w:t xml:space="preserve">Note: </w:t>
      </w:r>
      <w:r w:rsidRPr="00F22393">
        <w:rPr>
          <w:rFonts w:ascii="Arial" w:hAnsi="Arial" w:cs="Arial"/>
          <w:i/>
          <w:sz w:val="18"/>
          <w:szCs w:val="18"/>
        </w:rPr>
        <w:t xml:space="preserve">2012/13 </w:t>
      </w:r>
      <w:r w:rsidR="00FD48E7">
        <w:rPr>
          <w:rFonts w:ascii="Arial" w:hAnsi="Arial" w:cs="Arial"/>
          <w:i/>
          <w:sz w:val="18"/>
          <w:szCs w:val="18"/>
        </w:rPr>
        <w:t xml:space="preserve">retail profit </w:t>
      </w:r>
      <w:r w:rsidRPr="00F22393">
        <w:rPr>
          <w:rFonts w:ascii="Arial" w:hAnsi="Arial" w:cs="Arial"/>
          <w:i/>
          <w:sz w:val="18"/>
          <w:szCs w:val="18"/>
        </w:rPr>
        <w:t>comparatives restated by £3m to reflect reclassification of pension administrative expenses from finance costs to retail profit, as per the amended IAS 19.</w:t>
      </w:r>
    </w:p>
    <w:p w:rsidR="001B3B55" w:rsidRPr="00543473" w:rsidRDefault="001B3B55" w:rsidP="001B3B55">
      <w:pPr>
        <w:jc w:val="left"/>
        <w:rPr>
          <w:rFonts w:ascii="Arial" w:hAnsi="Arial" w:cs="Arial"/>
          <w:sz w:val="24"/>
          <w:szCs w:val="24"/>
          <w:highlight w:val="magenta"/>
        </w:rPr>
      </w:pPr>
    </w:p>
    <w:p w:rsidR="001B3B55" w:rsidRPr="00543473" w:rsidRDefault="001B3B55" w:rsidP="001B3B55">
      <w:pPr>
        <w:jc w:val="left"/>
        <w:rPr>
          <w:rFonts w:ascii="Arial" w:hAnsi="Arial" w:cs="Arial"/>
          <w:b/>
          <w:bCs/>
          <w:sz w:val="24"/>
          <w:szCs w:val="24"/>
        </w:rPr>
      </w:pPr>
      <w:r w:rsidRPr="00543473">
        <w:rPr>
          <w:rFonts w:ascii="Arial" w:hAnsi="Arial" w:cs="Arial"/>
          <w:b/>
          <w:bCs/>
          <w:sz w:val="24"/>
          <w:szCs w:val="24"/>
        </w:rPr>
        <w:t>Kingfisher UK &amp; Ireland</w:t>
      </w:r>
    </w:p>
    <w:p w:rsidR="00F94CE4" w:rsidRDefault="008D2913" w:rsidP="008E6C24">
      <w:pPr>
        <w:jc w:val="left"/>
        <w:rPr>
          <w:rFonts w:ascii="Arial" w:hAnsi="Arial" w:cs="Arial"/>
          <w:sz w:val="24"/>
          <w:szCs w:val="24"/>
        </w:rPr>
      </w:pPr>
      <w:r w:rsidRPr="00543473">
        <w:rPr>
          <w:rFonts w:ascii="Arial" w:hAnsi="Arial" w:cs="Arial"/>
          <w:sz w:val="24"/>
          <w:szCs w:val="24"/>
        </w:rPr>
        <w:t>Kingfisher UK &amp; Ireland t</w:t>
      </w:r>
      <w:r w:rsidR="001B3B55" w:rsidRPr="00543473">
        <w:rPr>
          <w:rFonts w:ascii="Arial" w:hAnsi="Arial" w:cs="Arial"/>
          <w:sz w:val="24"/>
          <w:szCs w:val="24"/>
        </w:rPr>
        <w:t xml:space="preserve">otal sales were </w:t>
      </w:r>
      <w:r w:rsidR="00CC59CF">
        <w:rPr>
          <w:rFonts w:ascii="Arial" w:hAnsi="Arial" w:cs="Arial"/>
          <w:sz w:val="24"/>
          <w:szCs w:val="24"/>
        </w:rPr>
        <w:t>up</w:t>
      </w:r>
      <w:r w:rsidR="001B3B55" w:rsidRPr="00543473">
        <w:rPr>
          <w:rFonts w:ascii="Arial" w:hAnsi="Arial" w:cs="Arial"/>
          <w:sz w:val="24"/>
          <w:szCs w:val="24"/>
        </w:rPr>
        <w:t xml:space="preserve"> </w:t>
      </w:r>
      <w:r w:rsidR="00CC59CF">
        <w:rPr>
          <w:rFonts w:ascii="Arial" w:hAnsi="Arial" w:cs="Arial"/>
          <w:sz w:val="24"/>
          <w:szCs w:val="24"/>
        </w:rPr>
        <w:t>2.7</w:t>
      </w:r>
      <w:r w:rsidR="001B3B55" w:rsidRPr="00543473">
        <w:rPr>
          <w:rFonts w:ascii="Arial" w:hAnsi="Arial" w:cs="Arial"/>
          <w:sz w:val="24"/>
          <w:szCs w:val="24"/>
        </w:rPr>
        <w:t xml:space="preserve">% </w:t>
      </w:r>
      <w:r w:rsidR="00CC59CF">
        <w:rPr>
          <w:rFonts w:ascii="Arial" w:hAnsi="Arial" w:cs="Arial"/>
          <w:sz w:val="24"/>
          <w:szCs w:val="24"/>
        </w:rPr>
        <w:t xml:space="preserve">(+1.1% LFL) </w:t>
      </w:r>
      <w:r w:rsidR="001B3B55" w:rsidRPr="00543473">
        <w:rPr>
          <w:rFonts w:ascii="Arial" w:hAnsi="Arial" w:cs="Arial"/>
          <w:sz w:val="24"/>
          <w:szCs w:val="24"/>
        </w:rPr>
        <w:t>to £</w:t>
      </w:r>
      <w:r w:rsidR="00CC59CF">
        <w:rPr>
          <w:rFonts w:ascii="Arial" w:hAnsi="Arial" w:cs="Arial"/>
          <w:sz w:val="24"/>
          <w:szCs w:val="24"/>
        </w:rPr>
        <w:t>4,36</w:t>
      </w:r>
      <w:r w:rsidR="004B22DD">
        <w:rPr>
          <w:rFonts w:ascii="Arial" w:hAnsi="Arial" w:cs="Arial"/>
          <w:sz w:val="24"/>
          <w:szCs w:val="24"/>
        </w:rPr>
        <w:t>3</w:t>
      </w:r>
      <w:r w:rsidR="00CC59CF">
        <w:rPr>
          <w:rFonts w:ascii="Arial" w:hAnsi="Arial" w:cs="Arial"/>
          <w:sz w:val="24"/>
          <w:szCs w:val="24"/>
        </w:rPr>
        <w:t xml:space="preserve"> million</w:t>
      </w:r>
      <w:r w:rsidR="00F94CE4">
        <w:rPr>
          <w:rFonts w:ascii="Arial" w:hAnsi="Arial" w:cs="Arial"/>
          <w:sz w:val="24"/>
          <w:szCs w:val="24"/>
        </w:rPr>
        <w:t xml:space="preserve"> supported by a strong performance from Screwfix and encouraging early signs in the smaller tradesman market, offset by a slower underlying retail market. </w:t>
      </w:r>
    </w:p>
    <w:p w:rsidR="00EB72DF" w:rsidRDefault="00EB72DF" w:rsidP="008E6C24">
      <w:pPr>
        <w:jc w:val="left"/>
        <w:rPr>
          <w:rFonts w:ascii="Arial" w:hAnsi="Arial" w:cs="Arial"/>
          <w:sz w:val="24"/>
          <w:szCs w:val="24"/>
        </w:rPr>
      </w:pPr>
    </w:p>
    <w:p w:rsidR="00EB72DF" w:rsidRDefault="00EB72DF" w:rsidP="008E6C24">
      <w:pPr>
        <w:jc w:val="left"/>
        <w:rPr>
          <w:rFonts w:ascii="Arial" w:hAnsi="Arial" w:cs="Arial"/>
          <w:sz w:val="24"/>
          <w:szCs w:val="24"/>
        </w:rPr>
      </w:pPr>
      <w:r>
        <w:rPr>
          <w:rFonts w:ascii="Arial" w:hAnsi="Arial" w:cs="Arial"/>
          <w:sz w:val="24"/>
          <w:szCs w:val="24"/>
        </w:rPr>
        <w:t>Kingfisher UK &amp; Ireland delivered retail profit growth of 3.</w:t>
      </w:r>
      <w:r w:rsidR="004B22DD">
        <w:rPr>
          <w:rFonts w:ascii="Arial" w:hAnsi="Arial" w:cs="Arial"/>
          <w:sz w:val="24"/>
          <w:szCs w:val="24"/>
        </w:rPr>
        <w:t>4</w:t>
      </w:r>
      <w:r>
        <w:rPr>
          <w:rFonts w:ascii="Arial" w:hAnsi="Arial" w:cs="Arial"/>
          <w:sz w:val="24"/>
          <w:szCs w:val="24"/>
        </w:rPr>
        <w:t>% to £23</w:t>
      </w:r>
      <w:r w:rsidR="004B22DD">
        <w:rPr>
          <w:rFonts w:ascii="Arial" w:hAnsi="Arial" w:cs="Arial"/>
          <w:sz w:val="24"/>
          <w:szCs w:val="24"/>
        </w:rPr>
        <w:t>8</w:t>
      </w:r>
      <w:r>
        <w:rPr>
          <w:rFonts w:ascii="Arial" w:hAnsi="Arial" w:cs="Arial"/>
          <w:sz w:val="24"/>
          <w:szCs w:val="24"/>
        </w:rPr>
        <w:t xml:space="preserve"> million. Gross margins were up 10 basis points with the benefits from on-going self-help initiatives offset by investment in pricing across both businesses. A strong focus on operating cost efficiencies continued.  </w:t>
      </w:r>
    </w:p>
    <w:p w:rsidR="001B3B55" w:rsidRPr="00543473" w:rsidRDefault="001B3B55" w:rsidP="001B3B55">
      <w:pPr>
        <w:jc w:val="left"/>
        <w:rPr>
          <w:rFonts w:ascii="Arial" w:hAnsi="Arial" w:cs="Arial"/>
          <w:sz w:val="24"/>
          <w:szCs w:val="24"/>
          <w:highlight w:val="magenta"/>
        </w:rPr>
      </w:pPr>
    </w:p>
    <w:p w:rsidR="00A172C0" w:rsidRDefault="001B3B55" w:rsidP="001B3B55">
      <w:pPr>
        <w:jc w:val="left"/>
        <w:rPr>
          <w:rFonts w:ascii="Arial" w:hAnsi="Arial" w:cs="Arial"/>
          <w:sz w:val="24"/>
          <w:szCs w:val="24"/>
        </w:rPr>
      </w:pPr>
      <w:r w:rsidRPr="00543473">
        <w:rPr>
          <w:rFonts w:ascii="Arial" w:hAnsi="Arial" w:cs="Arial"/>
          <w:b/>
          <w:bCs/>
          <w:sz w:val="24"/>
          <w:szCs w:val="24"/>
        </w:rPr>
        <w:t>B&amp;Q UK &amp; Ireland’s</w:t>
      </w:r>
      <w:r w:rsidRPr="00543473">
        <w:rPr>
          <w:rFonts w:ascii="Arial" w:hAnsi="Arial" w:cs="Arial"/>
          <w:sz w:val="24"/>
          <w:szCs w:val="24"/>
        </w:rPr>
        <w:t xml:space="preserve"> total sales were </w:t>
      </w:r>
      <w:r w:rsidR="00F12D5D" w:rsidRPr="00543473">
        <w:rPr>
          <w:rFonts w:ascii="Arial" w:hAnsi="Arial" w:cs="Arial"/>
          <w:sz w:val="24"/>
          <w:szCs w:val="24"/>
        </w:rPr>
        <w:t>up</w:t>
      </w:r>
      <w:r w:rsidR="00A172C0">
        <w:rPr>
          <w:rFonts w:ascii="Arial" w:hAnsi="Arial" w:cs="Arial"/>
          <w:sz w:val="24"/>
          <w:szCs w:val="24"/>
        </w:rPr>
        <w:t xml:space="preserve"> 0.4</w:t>
      </w:r>
      <w:r w:rsidRPr="00543473">
        <w:rPr>
          <w:rFonts w:ascii="Arial" w:hAnsi="Arial" w:cs="Arial"/>
          <w:sz w:val="24"/>
          <w:szCs w:val="24"/>
        </w:rPr>
        <w:t>% (</w:t>
      </w:r>
      <w:r w:rsidR="00F12D5D" w:rsidRPr="00543473">
        <w:rPr>
          <w:rFonts w:ascii="Arial" w:hAnsi="Arial" w:cs="Arial"/>
          <w:sz w:val="24"/>
          <w:szCs w:val="24"/>
        </w:rPr>
        <w:t>+</w:t>
      </w:r>
      <w:r w:rsidR="00A172C0">
        <w:rPr>
          <w:rFonts w:ascii="Arial" w:hAnsi="Arial" w:cs="Arial"/>
          <w:sz w:val="24"/>
          <w:szCs w:val="24"/>
        </w:rPr>
        <w:t>0.1% L</w:t>
      </w:r>
      <w:r w:rsidRPr="00543473">
        <w:rPr>
          <w:rFonts w:ascii="Arial" w:hAnsi="Arial" w:cs="Arial"/>
          <w:sz w:val="24"/>
          <w:szCs w:val="24"/>
        </w:rPr>
        <w:t>FL) to £</w:t>
      </w:r>
      <w:r w:rsidR="00A172C0">
        <w:rPr>
          <w:rFonts w:ascii="Arial" w:hAnsi="Arial" w:cs="Arial"/>
          <w:sz w:val="24"/>
          <w:szCs w:val="24"/>
        </w:rPr>
        <w:t>3,698 m</w:t>
      </w:r>
      <w:r w:rsidRPr="00543473">
        <w:rPr>
          <w:rFonts w:ascii="Arial" w:hAnsi="Arial" w:cs="Arial"/>
          <w:sz w:val="24"/>
          <w:szCs w:val="24"/>
        </w:rPr>
        <w:t>illion</w:t>
      </w:r>
      <w:r w:rsidR="00A172C0">
        <w:rPr>
          <w:rFonts w:ascii="Arial" w:hAnsi="Arial" w:cs="Arial"/>
          <w:sz w:val="24"/>
          <w:szCs w:val="24"/>
        </w:rPr>
        <w:t>. Sales of out</w:t>
      </w:r>
      <w:r w:rsidR="00FD66FF">
        <w:rPr>
          <w:rFonts w:ascii="Arial" w:hAnsi="Arial" w:cs="Arial"/>
          <w:sz w:val="24"/>
          <w:szCs w:val="24"/>
        </w:rPr>
        <w:t xml:space="preserve">door products were up around 2%. Sales of indoor products were down around 1%. TradePoint continues to progress with sales up around 7% compared to last year.  </w:t>
      </w:r>
    </w:p>
    <w:p w:rsidR="00E02E9C" w:rsidRDefault="00E02E9C" w:rsidP="001B3B55">
      <w:pPr>
        <w:jc w:val="left"/>
        <w:rPr>
          <w:rFonts w:ascii="Arial" w:hAnsi="Arial" w:cs="Arial"/>
          <w:sz w:val="24"/>
          <w:szCs w:val="24"/>
        </w:rPr>
      </w:pPr>
    </w:p>
    <w:p w:rsidR="00E02E9C" w:rsidRDefault="00E02E9C" w:rsidP="001B3B55">
      <w:pPr>
        <w:jc w:val="left"/>
        <w:rPr>
          <w:rFonts w:ascii="Arial" w:hAnsi="Arial" w:cs="Arial"/>
          <w:sz w:val="24"/>
          <w:szCs w:val="24"/>
        </w:rPr>
      </w:pPr>
      <w:r>
        <w:rPr>
          <w:rFonts w:ascii="Arial" w:hAnsi="Arial" w:cs="Arial"/>
          <w:sz w:val="24"/>
          <w:szCs w:val="24"/>
        </w:rPr>
        <w:t xml:space="preserve">In Ireland, following the conclusion of the Examinership process in May 2013, one store was closed and significant rent reductions achieved across the remaining stores. </w:t>
      </w:r>
      <w:r w:rsidR="00F941F2">
        <w:rPr>
          <w:rFonts w:ascii="Arial" w:hAnsi="Arial" w:cs="Arial"/>
          <w:sz w:val="24"/>
          <w:szCs w:val="24"/>
        </w:rPr>
        <w:t>The business returned to break even in H2.</w:t>
      </w:r>
    </w:p>
    <w:p w:rsidR="008F5AA6" w:rsidRPr="00543473" w:rsidRDefault="008F5AA6" w:rsidP="001B3B55">
      <w:pPr>
        <w:jc w:val="left"/>
        <w:rPr>
          <w:rFonts w:ascii="Arial" w:hAnsi="Arial" w:cs="Arial"/>
          <w:sz w:val="24"/>
          <w:szCs w:val="24"/>
        </w:rPr>
      </w:pPr>
    </w:p>
    <w:p w:rsidR="00DE3788" w:rsidRPr="00543473" w:rsidRDefault="000F4BB3" w:rsidP="001B3B55">
      <w:pPr>
        <w:jc w:val="left"/>
        <w:rPr>
          <w:rFonts w:ascii="Arial" w:hAnsi="Arial" w:cs="Arial"/>
          <w:sz w:val="24"/>
          <w:szCs w:val="24"/>
        </w:rPr>
      </w:pPr>
      <w:r w:rsidRPr="00543473">
        <w:rPr>
          <w:rFonts w:ascii="Arial" w:hAnsi="Arial" w:cs="Arial"/>
          <w:sz w:val="24"/>
          <w:szCs w:val="24"/>
        </w:rPr>
        <w:t>T</w:t>
      </w:r>
      <w:r w:rsidR="00BE07B8">
        <w:rPr>
          <w:rFonts w:ascii="Arial" w:hAnsi="Arial" w:cs="Arial"/>
          <w:sz w:val="24"/>
          <w:szCs w:val="24"/>
        </w:rPr>
        <w:t>he market</w:t>
      </w:r>
      <w:r w:rsidRPr="00543473">
        <w:rPr>
          <w:rFonts w:ascii="Arial" w:hAnsi="Arial" w:cs="Arial"/>
          <w:sz w:val="24"/>
          <w:szCs w:val="24"/>
        </w:rPr>
        <w:t xml:space="preserve"> </w:t>
      </w:r>
      <w:r w:rsidR="00DE3788" w:rsidRPr="00543473">
        <w:rPr>
          <w:rFonts w:ascii="Arial" w:hAnsi="Arial" w:cs="Arial"/>
          <w:sz w:val="24"/>
          <w:szCs w:val="24"/>
        </w:rPr>
        <w:t>for the UK’s leading home improvement retailers</w:t>
      </w:r>
      <w:r w:rsidR="00310C83">
        <w:rPr>
          <w:rFonts w:ascii="Arial" w:hAnsi="Arial" w:cs="Arial"/>
          <w:sz w:val="24"/>
          <w:szCs w:val="24"/>
        </w:rPr>
        <w:t>*</w:t>
      </w:r>
      <w:r w:rsidR="00DE3788" w:rsidRPr="00543473">
        <w:rPr>
          <w:rFonts w:ascii="Arial" w:hAnsi="Arial" w:cs="Arial"/>
          <w:sz w:val="24"/>
          <w:szCs w:val="24"/>
        </w:rPr>
        <w:t xml:space="preserve"> was </w:t>
      </w:r>
      <w:r w:rsidR="00E83961">
        <w:rPr>
          <w:rFonts w:ascii="Arial" w:hAnsi="Arial" w:cs="Arial"/>
          <w:sz w:val="24"/>
          <w:szCs w:val="24"/>
        </w:rPr>
        <w:t>up 3.8%,</w:t>
      </w:r>
      <w:r w:rsidR="00DE3788" w:rsidRPr="00543473">
        <w:rPr>
          <w:rFonts w:ascii="Arial" w:hAnsi="Arial" w:cs="Arial"/>
          <w:sz w:val="24"/>
          <w:szCs w:val="24"/>
        </w:rPr>
        <w:t xml:space="preserve"> </w:t>
      </w:r>
      <w:r w:rsidR="00FD66FF">
        <w:rPr>
          <w:rFonts w:ascii="Arial" w:hAnsi="Arial" w:cs="Arial"/>
          <w:sz w:val="24"/>
          <w:szCs w:val="24"/>
        </w:rPr>
        <w:t>including seasonal ranges up 5</w:t>
      </w:r>
      <w:r w:rsidR="00E83961">
        <w:rPr>
          <w:rFonts w:ascii="Arial" w:hAnsi="Arial" w:cs="Arial"/>
          <w:sz w:val="24"/>
          <w:szCs w:val="24"/>
        </w:rPr>
        <w:t>.0</w:t>
      </w:r>
      <w:r w:rsidR="00DE3788" w:rsidRPr="00543473">
        <w:rPr>
          <w:rFonts w:ascii="Arial" w:hAnsi="Arial" w:cs="Arial"/>
          <w:sz w:val="24"/>
          <w:szCs w:val="24"/>
        </w:rPr>
        <w:t>%</w:t>
      </w:r>
      <w:r w:rsidR="0020782F">
        <w:rPr>
          <w:rFonts w:ascii="Arial" w:hAnsi="Arial" w:cs="Arial"/>
          <w:sz w:val="24"/>
          <w:szCs w:val="24"/>
        </w:rPr>
        <w:t>, following record adverse weather last year</w:t>
      </w:r>
      <w:r w:rsidR="00DE3788" w:rsidRPr="00543473">
        <w:rPr>
          <w:rFonts w:ascii="Arial" w:hAnsi="Arial" w:cs="Arial"/>
          <w:sz w:val="24"/>
          <w:szCs w:val="24"/>
        </w:rPr>
        <w:t xml:space="preserve">. On a comparable basis, B&amp;Q </w:t>
      </w:r>
      <w:r w:rsidR="00FD66FF">
        <w:rPr>
          <w:rFonts w:ascii="Arial" w:hAnsi="Arial" w:cs="Arial"/>
          <w:sz w:val="24"/>
          <w:szCs w:val="24"/>
        </w:rPr>
        <w:t>U</w:t>
      </w:r>
      <w:r w:rsidR="00E83961">
        <w:rPr>
          <w:rFonts w:ascii="Arial" w:hAnsi="Arial" w:cs="Arial"/>
          <w:sz w:val="24"/>
          <w:szCs w:val="24"/>
        </w:rPr>
        <w:t>K &amp; Ireland sales were up 1.7% and including Screwfix, up 4.1%.</w:t>
      </w:r>
    </w:p>
    <w:p w:rsidR="001668C9" w:rsidRDefault="001668C9" w:rsidP="001B3B55">
      <w:pPr>
        <w:jc w:val="left"/>
        <w:rPr>
          <w:rFonts w:ascii="Arial" w:hAnsi="Arial" w:cs="Arial"/>
          <w:sz w:val="24"/>
          <w:szCs w:val="24"/>
        </w:rPr>
      </w:pPr>
    </w:p>
    <w:p w:rsidR="001668C9" w:rsidRPr="0096326E" w:rsidRDefault="001668C9" w:rsidP="001668C9">
      <w:pPr>
        <w:rPr>
          <w:rFonts w:ascii="Arial" w:hAnsi="Arial" w:cs="Arial"/>
          <w:b/>
          <w:sz w:val="24"/>
          <w:szCs w:val="24"/>
        </w:rPr>
      </w:pPr>
      <w:r w:rsidRPr="0096326E">
        <w:rPr>
          <w:rFonts w:ascii="Arial" w:hAnsi="Arial" w:cs="Arial"/>
          <w:b/>
          <w:sz w:val="24"/>
          <w:szCs w:val="24"/>
        </w:rPr>
        <w:t xml:space="preserve">Strengthened management team </w:t>
      </w:r>
    </w:p>
    <w:p w:rsidR="001668C9" w:rsidRDefault="001668C9" w:rsidP="001668C9">
      <w:pPr>
        <w:jc w:val="left"/>
        <w:rPr>
          <w:rFonts w:ascii="Arial" w:hAnsi="Arial" w:cs="Arial"/>
          <w:sz w:val="24"/>
          <w:szCs w:val="24"/>
        </w:rPr>
      </w:pPr>
      <w:r w:rsidRPr="0096326E">
        <w:rPr>
          <w:rFonts w:ascii="Arial" w:hAnsi="Arial" w:cs="Arial"/>
          <w:sz w:val="24"/>
          <w:szCs w:val="24"/>
        </w:rPr>
        <w:t xml:space="preserve">B&amp;Q is a strong brand with the market </w:t>
      </w:r>
      <w:r w:rsidRPr="00EA6927">
        <w:rPr>
          <w:rFonts w:ascii="Arial" w:hAnsi="Arial" w:cs="Arial"/>
          <w:sz w:val="24"/>
          <w:szCs w:val="24"/>
        </w:rPr>
        <w:t xml:space="preserve">leading position in the attractive UK home improvement market. Despite a very challenging housing and economic backdrop for the last </w:t>
      </w:r>
      <w:r w:rsidR="006B2B14">
        <w:rPr>
          <w:rFonts w:ascii="Arial" w:hAnsi="Arial" w:cs="Arial"/>
          <w:sz w:val="24"/>
          <w:szCs w:val="24"/>
        </w:rPr>
        <w:t>six</w:t>
      </w:r>
      <w:r w:rsidR="006B2B14" w:rsidRPr="00EA6927">
        <w:rPr>
          <w:rFonts w:ascii="Arial" w:hAnsi="Arial" w:cs="Arial"/>
          <w:sz w:val="24"/>
          <w:szCs w:val="24"/>
        </w:rPr>
        <w:t xml:space="preserve"> </w:t>
      </w:r>
      <w:r w:rsidRPr="00EA6927">
        <w:rPr>
          <w:rFonts w:ascii="Arial" w:hAnsi="Arial" w:cs="Arial"/>
          <w:sz w:val="24"/>
          <w:szCs w:val="24"/>
        </w:rPr>
        <w:t>years, during which its market declined around 1</w:t>
      </w:r>
      <w:r w:rsidR="00BE4FDE">
        <w:rPr>
          <w:rFonts w:ascii="Arial" w:hAnsi="Arial" w:cs="Arial"/>
          <w:sz w:val="24"/>
          <w:szCs w:val="24"/>
        </w:rPr>
        <w:t>2</w:t>
      </w:r>
      <w:r w:rsidRPr="00EA6927">
        <w:rPr>
          <w:rFonts w:ascii="Arial" w:hAnsi="Arial" w:cs="Arial"/>
          <w:sz w:val="24"/>
          <w:szCs w:val="24"/>
        </w:rPr>
        <w:t>%</w:t>
      </w:r>
      <w:r w:rsidR="00DA44CF" w:rsidRPr="007678AD">
        <w:rPr>
          <w:rFonts w:ascii="Arial" w:hAnsi="Arial" w:cs="Arial"/>
          <w:i/>
          <w:sz w:val="24"/>
          <w:szCs w:val="24"/>
          <w:vertAlign w:val="superscript"/>
        </w:rPr>
        <w:t>(1)</w:t>
      </w:r>
      <w:r w:rsidRPr="00EA6927">
        <w:rPr>
          <w:rFonts w:ascii="Arial" w:hAnsi="Arial" w:cs="Arial"/>
          <w:sz w:val="24"/>
          <w:szCs w:val="24"/>
        </w:rPr>
        <w:t xml:space="preserve">, </w:t>
      </w:r>
      <w:r w:rsidR="00DA287B">
        <w:rPr>
          <w:rFonts w:ascii="Arial" w:hAnsi="Arial" w:cs="Arial"/>
          <w:sz w:val="24"/>
          <w:szCs w:val="24"/>
        </w:rPr>
        <w:t xml:space="preserve">Kingfisher UK </w:t>
      </w:r>
      <w:r w:rsidR="002B17E5">
        <w:rPr>
          <w:rFonts w:ascii="Arial" w:hAnsi="Arial" w:cs="Arial"/>
          <w:sz w:val="24"/>
          <w:szCs w:val="24"/>
        </w:rPr>
        <w:t xml:space="preserve">&amp; Ireland </w:t>
      </w:r>
      <w:r w:rsidR="00DA287B">
        <w:rPr>
          <w:rFonts w:ascii="Arial" w:hAnsi="Arial" w:cs="Arial"/>
          <w:sz w:val="24"/>
          <w:szCs w:val="24"/>
        </w:rPr>
        <w:t xml:space="preserve">delivered broadly flat sales and </w:t>
      </w:r>
      <w:r w:rsidRPr="00EA6927">
        <w:rPr>
          <w:rFonts w:ascii="Arial" w:hAnsi="Arial" w:cs="Arial"/>
          <w:sz w:val="24"/>
          <w:szCs w:val="24"/>
        </w:rPr>
        <w:t xml:space="preserve">achieved profit growth of </w:t>
      </w:r>
      <w:r w:rsidR="00DA287B">
        <w:rPr>
          <w:rFonts w:ascii="Arial" w:hAnsi="Arial" w:cs="Arial"/>
          <w:sz w:val="24"/>
          <w:szCs w:val="24"/>
        </w:rPr>
        <w:t>50</w:t>
      </w:r>
      <w:r w:rsidRPr="00EA6927">
        <w:rPr>
          <w:rFonts w:ascii="Arial" w:hAnsi="Arial" w:cs="Arial"/>
          <w:sz w:val="24"/>
          <w:szCs w:val="24"/>
        </w:rPr>
        <w:t>%</w:t>
      </w:r>
      <w:r w:rsidR="00DA287B">
        <w:rPr>
          <w:rFonts w:ascii="Arial" w:hAnsi="Arial" w:cs="Arial"/>
          <w:sz w:val="24"/>
          <w:szCs w:val="24"/>
        </w:rPr>
        <w:t xml:space="preserve"> by exploiting the UK trade market opportunity</w:t>
      </w:r>
      <w:r w:rsidR="00F941F2">
        <w:rPr>
          <w:rFonts w:ascii="Arial" w:hAnsi="Arial" w:cs="Arial"/>
          <w:sz w:val="24"/>
          <w:szCs w:val="24"/>
        </w:rPr>
        <w:t>, delivering a number of self-help initiatives</w:t>
      </w:r>
      <w:r w:rsidRPr="00EA6927">
        <w:rPr>
          <w:rFonts w:ascii="Arial" w:hAnsi="Arial" w:cs="Arial"/>
          <w:sz w:val="24"/>
          <w:szCs w:val="24"/>
        </w:rPr>
        <w:t xml:space="preserve"> whilst </w:t>
      </w:r>
      <w:r w:rsidR="005255F3">
        <w:rPr>
          <w:rFonts w:ascii="Arial" w:hAnsi="Arial" w:cs="Arial"/>
          <w:sz w:val="24"/>
          <w:szCs w:val="24"/>
        </w:rPr>
        <w:t xml:space="preserve">continuing to </w:t>
      </w:r>
      <w:r w:rsidRPr="00EA6927">
        <w:rPr>
          <w:rFonts w:ascii="Arial" w:hAnsi="Arial" w:cs="Arial"/>
          <w:sz w:val="24"/>
          <w:szCs w:val="24"/>
        </w:rPr>
        <w:t xml:space="preserve">invest in </w:t>
      </w:r>
      <w:r w:rsidR="005255F3">
        <w:rPr>
          <w:rFonts w:ascii="Arial" w:hAnsi="Arial" w:cs="Arial"/>
          <w:sz w:val="24"/>
          <w:szCs w:val="24"/>
        </w:rPr>
        <w:t xml:space="preserve">B&amp;Q’s </w:t>
      </w:r>
      <w:r w:rsidRPr="00EA6927">
        <w:rPr>
          <w:rFonts w:ascii="Arial" w:hAnsi="Arial" w:cs="Arial"/>
          <w:sz w:val="24"/>
          <w:szCs w:val="24"/>
        </w:rPr>
        <w:t xml:space="preserve">stores and infrastructure. Looking ahead, its customers and market are evolving very quickly and B&amp;Q </w:t>
      </w:r>
      <w:r w:rsidR="00D71302">
        <w:rPr>
          <w:rFonts w:ascii="Arial" w:hAnsi="Arial" w:cs="Arial"/>
          <w:sz w:val="24"/>
          <w:szCs w:val="24"/>
        </w:rPr>
        <w:t xml:space="preserve">UK &amp; Ireland </w:t>
      </w:r>
      <w:r w:rsidRPr="00EA6927">
        <w:rPr>
          <w:rFonts w:ascii="Arial" w:hAnsi="Arial" w:cs="Arial"/>
          <w:sz w:val="24"/>
          <w:szCs w:val="24"/>
        </w:rPr>
        <w:t>has set about redoubling its efforts to achieve future growth and continued success.</w:t>
      </w:r>
      <w:r w:rsidRPr="0096326E">
        <w:rPr>
          <w:rFonts w:ascii="Arial" w:hAnsi="Arial" w:cs="Arial"/>
          <w:sz w:val="24"/>
          <w:szCs w:val="24"/>
        </w:rPr>
        <w:t xml:space="preserve"> </w:t>
      </w:r>
    </w:p>
    <w:p w:rsidR="001668C9" w:rsidRPr="0096326E" w:rsidRDefault="001668C9" w:rsidP="001668C9">
      <w:pPr>
        <w:jc w:val="left"/>
        <w:rPr>
          <w:rFonts w:ascii="Arial" w:hAnsi="Arial" w:cs="Arial"/>
          <w:sz w:val="24"/>
          <w:szCs w:val="24"/>
        </w:rPr>
      </w:pPr>
    </w:p>
    <w:p w:rsidR="001668C9" w:rsidRDefault="001668C9" w:rsidP="001668C9">
      <w:pPr>
        <w:jc w:val="left"/>
        <w:rPr>
          <w:rFonts w:ascii="Arial" w:hAnsi="Arial" w:cs="Arial"/>
          <w:sz w:val="24"/>
          <w:szCs w:val="24"/>
        </w:rPr>
      </w:pPr>
      <w:r w:rsidRPr="0096326E">
        <w:rPr>
          <w:rFonts w:ascii="Arial" w:hAnsi="Arial" w:cs="Arial"/>
          <w:sz w:val="24"/>
          <w:szCs w:val="24"/>
        </w:rPr>
        <w:t>In October 2013</w:t>
      </w:r>
      <w:r>
        <w:rPr>
          <w:rFonts w:ascii="Arial" w:hAnsi="Arial" w:cs="Arial"/>
          <w:sz w:val="24"/>
          <w:szCs w:val="24"/>
        </w:rPr>
        <w:t>,</w:t>
      </w:r>
      <w:r w:rsidRPr="0096326E">
        <w:rPr>
          <w:rFonts w:ascii="Arial" w:hAnsi="Arial" w:cs="Arial"/>
          <w:sz w:val="24"/>
          <w:szCs w:val="24"/>
        </w:rPr>
        <w:t xml:space="preserve"> Kevin O’Byrne, an executive director of Kingfisher plc, assumed direct leadership of B&amp;Q UK &amp; Ireland. He subsequently further strengthened the B&amp;Q </w:t>
      </w:r>
      <w:r w:rsidR="00D71302">
        <w:rPr>
          <w:rFonts w:ascii="Arial" w:hAnsi="Arial" w:cs="Arial"/>
          <w:sz w:val="24"/>
          <w:szCs w:val="24"/>
        </w:rPr>
        <w:t xml:space="preserve">UK &amp; Ireland </w:t>
      </w:r>
      <w:r w:rsidRPr="0096326E">
        <w:rPr>
          <w:rFonts w:ascii="Arial" w:hAnsi="Arial" w:cs="Arial"/>
          <w:sz w:val="24"/>
          <w:szCs w:val="24"/>
        </w:rPr>
        <w:t>board with the appointment of three executives from the fast growing, highly successful Screwfix business (Steve Willett,</w:t>
      </w:r>
      <w:r w:rsidR="00E463DA">
        <w:rPr>
          <w:rFonts w:ascii="Arial" w:hAnsi="Arial" w:cs="Arial"/>
          <w:sz w:val="24"/>
          <w:szCs w:val="24"/>
        </w:rPr>
        <w:t xml:space="preserve"> previously Screwfix</w:t>
      </w:r>
      <w:r w:rsidRPr="0096326E">
        <w:rPr>
          <w:rFonts w:ascii="Arial" w:hAnsi="Arial" w:cs="Arial"/>
          <w:sz w:val="24"/>
          <w:szCs w:val="24"/>
        </w:rPr>
        <w:t xml:space="preserve"> CEO; David Lowther, Supply Chain; and Guy Eccles, HR) and the appointment of two </w:t>
      </w:r>
      <w:r w:rsidR="00E463DA">
        <w:rPr>
          <w:rFonts w:ascii="Arial" w:hAnsi="Arial" w:cs="Arial"/>
          <w:sz w:val="24"/>
          <w:szCs w:val="24"/>
        </w:rPr>
        <w:t>senior</w:t>
      </w:r>
      <w:r w:rsidRPr="0096326E">
        <w:rPr>
          <w:rFonts w:ascii="Arial" w:hAnsi="Arial" w:cs="Arial"/>
          <w:sz w:val="24"/>
          <w:szCs w:val="24"/>
        </w:rPr>
        <w:t xml:space="preserve"> executives from outside Kingfisher (Chris Moss as </w:t>
      </w:r>
      <w:r w:rsidR="006B2B14">
        <w:rPr>
          <w:rFonts w:ascii="Arial" w:hAnsi="Arial" w:cs="Arial"/>
          <w:sz w:val="24"/>
          <w:szCs w:val="24"/>
        </w:rPr>
        <w:t>M</w:t>
      </w:r>
      <w:r w:rsidRPr="0096326E">
        <w:rPr>
          <w:rFonts w:ascii="Arial" w:hAnsi="Arial" w:cs="Arial"/>
          <w:sz w:val="24"/>
          <w:szCs w:val="24"/>
        </w:rPr>
        <w:t xml:space="preserve">arketing </w:t>
      </w:r>
      <w:r w:rsidR="006B2B14">
        <w:rPr>
          <w:rFonts w:ascii="Arial" w:hAnsi="Arial" w:cs="Arial"/>
          <w:sz w:val="24"/>
          <w:szCs w:val="24"/>
        </w:rPr>
        <w:t>D</w:t>
      </w:r>
      <w:r w:rsidRPr="0096326E">
        <w:rPr>
          <w:rFonts w:ascii="Arial" w:hAnsi="Arial" w:cs="Arial"/>
          <w:sz w:val="24"/>
          <w:szCs w:val="24"/>
        </w:rPr>
        <w:t xml:space="preserve">irector, </w:t>
      </w:r>
      <w:r w:rsidR="00DE3621">
        <w:rPr>
          <w:rFonts w:ascii="Arial" w:hAnsi="Arial" w:cs="Arial"/>
          <w:sz w:val="24"/>
          <w:szCs w:val="24"/>
        </w:rPr>
        <w:t xml:space="preserve">formerly </w:t>
      </w:r>
      <w:r w:rsidRPr="0096326E">
        <w:rPr>
          <w:rFonts w:ascii="Arial" w:hAnsi="Arial" w:cs="Arial"/>
          <w:sz w:val="24"/>
          <w:szCs w:val="24"/>
        </w:rPr>
        <w:t xml:space="preserve">Virgin, Orange and 118 118; and more recently Darren Blackhurst as </w:t>
      </w:r>
      <w:r w:rsidR="006B2B14">
        <w:rPr>
          <w:rFonts w:ascii="Arial" w:hAnsi="Arial" w:cs="Arial"/>
          <w:sz w:val="24"/>
          <w:szCs w:val="24"/>
        </w:rPr>
        <w:t>C</w:t>
      </w:r>
      <w:r w:rsidRPr="0096326E">
        <w:rPr>
          <w:rFonts w:ascii="Arial" w:hAnsi="Arial" w:cs="Arial"/>
          <w:sz w:val="24"/>
          <w:szCs w:val="24"/>
        </w:rPr>
        <w:t xml:space="preserve">ommercial </w:t>
      </w:r>
      <w:r w:rsidR="006B2B14">
        <w:rPr>
          <w:rFonts w:ascii="Arial" w:hAnsi="Arial" w:cs="Arial"/>
          <w:sz w:val="24"/>
          <w:szCs w:val="24"/>
        </w:rPr>
        <w:t>D</w:t>
      </w:r>
      <w:r w:rsidRPr="0096326E">
        <w:rPr>
          <w:rFonts w:ascii="Arial" w:hAnsi="Arial" w:cs="Arial"/>
          <w:sz w:val="24"/>
          <w:szCs w:val="24"/>
        </w:rPr>
        <w:t xml:space="preserve">irector, </w:t>
      </w:r>
      <w:r w:rsidR="00DE3621">
        <w:rPr>
          <w:rFonts w:ascii="Arial" w:hAnsi="Arial" w:cs="Arial"/>
          <w:sz w:val="24"/>
          <w:szCs w:val="24"/>
        </w:rPr>
        <w:t xml:space="preserve">formerly </w:t>
      </w:r>
      <w:r w:rsidRPr="0096326E">
        <w:rPr>
          <w:rFonts w:ascii="Arial" w:hAnsi="Arial" w:cs="Arial"/>
          <w:sz w:val="24"/>
          <w:szCs w:val="24"/>
        </w:rPr>
        <w:t>Tesco, A</w:t>
      </w:r>
      <w:r w:rsidR="005C6367">
        <w:rPr>
          <w:rFonts w:ascii="Arial" w:hAnsi="Arial" w:cs="Arial"/>
          <w:sz w:val="24"/>
          <w:szCs w:val="24"/>
        </w:rPr>
        <w:t xml:space="preserve">sda </w:t>
      </w:r>
      <w:r w:rsidRPr="0096326E">
        <w:rPr>
          <w:rFonts w:ascii="Arial" w:hAnsi="Arial" w:cs="Arial"/>
          <w:sz w:val="24"/>
          <w:szCs w:val="24"/>
        </w:rPr>
        <w:t xml:space="preserve">and Matalan).  </w:t>
      </w:r>
    </w:p>
    <w:p w:rsidR="00376255" w:rsidRPr="0096326E" w:rsidRDefault="00376255" w:rsidP="001668C9">
      <w:pPr>
        <w:jc w:val="left"/>
        <w:rPr>
          <w:rFonts w:ascii="Arial" w:hAnsi="Arial" w:cs="Arial"/>
          <w:sz w:val="24"/>
          <w:szCs w:val="24"/>
        </w:rPr>
      </w:pPr>
    </w:p>
    <w:p w:rsidR="001668C9" w:rsidRDefault="001668C9" w:rsidP="001668C9">
      <w:pPr>
        <w:rPr>
          <w:rFonts w:ascii="Arial" w:hAnsi="Arial" w:cs="Arial"/>
          <w:sz w:val="24"/>
          <w:szCs w:val="24"/>
        </w:rPr>
      </w:pPr>
      <w:r w:rsidRPr="0096326E">
        <w:rPr>
          <w:rFonts w:ascii="Arial" w:hAnsi="Arial" w:cs="Arial"/>
          <w:sz w:val="24"/>
          <w:szCs w:val="24"/>
        </w:rPr>
        <w:t xml:space="preserve">This significantly </w:t>
      </w:r>
      <w:r w:rsidR="00CC278B">
        <w:rPr>
          <w:rFonts w:ascii="Arial" w:hAnsi="Arial" w:cs="Arial"/>
          <w:sz w:val="24"/>
          <w:szCs w:val="24"/>
        </w:rPr>
        <w:t>strengthened</w:t>
      </w:r>
      <w:r w:rsidRPr="0096326E">
        <w:rPr>
          <w:rFonts w:ascii="Arial" w:hAnsi="Arial" w:cs="Arial"/>
          <w:sz w:val="24"/>
          <w:szCs w:val="24"/>
        </w:rPr>
        <w:t xml:space="preserve"> management team ha</w:t>
      </w:r>
      <w:r w:rsidR="002408D1">
        <w:rPr>
          <w:rFonts w:ascii="Arial" w:hAnsi="Arial" w:cs="Arial"/>
          <w:sz w:val="24"/>
          <w:szCs w:val="24"/>
        </w:rPr>
        <w:t>s</w:t>
      </w:r>
      <w:r w:rsidRPr="0096326E">
        <w:rPr>
          <w:rFonts w:ascii="Arial" w:hAnsi="Arial" w:cs="Arial"/>
          <w:sz w:val="24"/>
          <w:szCs w:val="24"/>
        </w:rPr>
        <w:t xml:space="preserve"> made an encouraging early start, working towards two key aims: </w:t>
      </w:r>
    </w:p>
    <w:p w:rsidR="002B17E5" w:rsidRDefault="002B17E5" w:rsidP="001668C9">
      <w:pPr>
        <w:rPr>
          <w:rFonts w:ascii="Arial" w:hAnsi="Arial" w:cs="Arial"/>
          <w:sz w:val="24"/>
          <w:szCs w:val="24"/>
        </w:rPr>
      </w:pPr>
    </w:p>
    <w:p w:rsidR="001668C9" w:rsidRPr="002B17E5" w:rsidRDefault="002B17E5">
      <w:pPr>
        <w:pStyle w:val="ListParagraph"/>
        <w:numPr>
          <w:ilvl w:val="0"/>
          <w:numId w:val="12"/>
        </w:numPr>
        <w:spacing w:after="160" w:line="259" w:lineRule="auto"/>
        <w:contextualSpacing/>
        <w:jc w:val="left"/>
        <w:rPr>
          <w:rFonts w:ascii="Arial" w:hAnsi="Arial" w:cs="Arial"/>
          <w:sz w:val="24"/>
          <w:szCs w:val="24"/>
        </w:rPr>
      </w:pPr>
      <w:r w:rsidRPr="002B17E5">
        <w:rPr>
          <w:rFonts w:ascii="Arial" w:hAnsi="Arial" w:cs="Arial"/>
          <w:sz w:val="24"/>
          <w:szCs w:val="24"/>
        </w:rPr>
        <w:t>Re-energising the business. Examples of priorities include improving store navigation and customer communicati</w:t>
      </w:r>
      <w:r>
        <w:rPr>
          <w:rFonts w:ascii="Arial" w:hAnsi="Arial" w:cs="Arial"/>
          <w:sz w:val="24"/>
          <w:szCs w:val="24"/>
        </w:rPr>
        <w:t>on</w:t>
      </w:r>
      <w:r w:rsidR="001E7E51">
        <w:rPr>
          <w:rFonts w:ascii="Arial" w:hAnsi="Arial" w:cs="Arial"/>
          <w:sz w:val="24"/>
          <w:szCs w:val="24"/>
        </w:rPr>
        <w:t>,</w:t>
      </w:r>
      <w:r w:rsidRPr="002B17E5">
        <w:rPr>
          <w:rFonts w:ascii="Arial" w:hAnsi="Arial" w:cs="Arial"/>
          <w:sz w:val="24"/>
          <w:szCs w:val="24"/>
        </w:rPr>
        <w:t xml:space="preserve"> and driving footfall with better targeted marketing</w:t>
      </w:r>
      <w:r>
        <w:rPr>
          <w:rFonts w:ascii="Arial" w:hAnsi="Arial" w:cs="Arial"/>
          <w:sz w:val="24"/>
          <w:szCs w:val="24"/>
        </w:rPr>
        <w:t xml:space="preserve">. </w:t>
      </w:r>
    </w:p>
    <w:p w:rsidR="001668C9" w:rsidRDefault="002B17E5" w:rsidP="00A64D40">
      <w:pPr>
        <w:pStyle w:val="ListParagraph"/>
        <w:numPr>
          <w:ilvl w:val="0"/>
          <w:numId w:val="12"/>
        </w:numPr>
        <w:spacing w:after="160" w:line="259" w:lineRule="auto"/>
        <w:contextualSpacing/>
        <w:jc w:val="left"/>
        <w:rPr>
          <w:rFonts w:ascii="Arial" w:hAnsi="Arial" w:cs="Arial"/>
          <w:sz w:val="24"/>
          <w:szCs w:val="24"/>
        </w:rPr>
      </w:pPr>
      <w:r>
        <w:rPr>
          <w:rFonts w:ascii="Arial" w:hAnsi="Arial" w:cs="Arial"/>
          <w:sz w:val="24"/>
          <w:szCs w:val="24"/>
        </w:rPr>
        <w:t>Simplifying the business and g</w:t>
      </w:r>
      <w:r w:rsidR="001668C9" w:rsidRPr="0096326E">
        <w:rPr>
          <w:rFonts w:ascii="Arial" w:hAnsi="Arial" w:cs="Arial"/>
          <w:sz w:val="24"/>
          <w:szCs w:val="24"/>
        </w:rPr>
        <w:t>rowing sales and economic profit</w:t>
      </w:r>
      <w:r>
        <w:rPr>
          <w:rFonts w:ascii="Arial" w:hAnsi="Arial" w:cs="Arial"/>
          <w:sz w:val="24"/>
          <w:szCs w:val="24"/>
        </w:rPr>
        <w:t xml:space="preserve"> to make it more agile in the market place and more efficient</w:t>
      </w:r>
      <w:r w:rsidR="001668C9" w:rsidRPr="0096326E">
        <w:rPr>
          <w:rFonts w:ascii="Arial" w:hAnsi="Arial" w:cs="Arial"/>
          <w:sz w:val="24"/>
          <w:szCs w:val="24"/>
        </w:rPr>
        <w:t xml:space="preserve">. Examples </w:t>
      </w:r>
      <w:r w:rsidR="001603A4">
        <w:rPr>
          <w:rFonts w:ascii="Arial" w:hAnsi="Arial" w:cs="Arial"/>
          <w:sz w:val="24"/>
          <w:szCs w:val="24"/>
        </w:rPr>
        <w:t xml:space="preserve">of priorities </w:t>
      </w:r>
      <w:r w:rsidR="001668C9" w:rsidRPr="0096326E">
        <w:rPr>
          <w:rFonts w:ascii="Arial" w:hAnsi="Arial" w:cs="Arial"/>
          <w:sz w:val="24"/>
          <w:szCs w:val="24"/>
        </w:rPr>
        <w:t>include deliverin</w:t>
      </w:r>
      <w:r w:rsidR="00376255">
        <w:rPr>
          <w:rFonts w:ascii="Arial" w:hAnsi="Arial" w:cs="Arial"/>
          <w:sz w:val="24"/>
          <w:szCs w:val="24"/>
        </w:rPr>
        <w:t>g a seamless and efficient omni</w:t>
      </w:r>
      <w:r w:rsidR="001668C9" w:rsidRPr="0096326E">
        <w:rPr>
          <w:rFonts w:ascii="Arial" w:hAnsi="Arial" w:cs="Arial"/>
          <w:sz w:val="24"/>
          <w:szCs w:val="24"/>
        </w:rPr>
        <w:t>channel experience for customers, optimising the store footprint</w:t>
      </w:r>
      <w:r>
        <w:rPr>
          <w:rFonts w:ascii="Arial" w:hAnsi="Arial" w:cs="Arial"/>
          <w:sz w:val="24"/>
          <w:szCs w:val="24"/>
        </w:rPr>
        <w:t>, reducing complexity in the end to end supply chain thereby reducing costs to support lower prices</w:t>
      </w:r>
      <w:r w:rsidR="001E7E51">
        <w:rPr>
          <w:rFonts w:ascii="Arial" w:hAnsi="Arial" w:cs="Arial"/>
          <w:sz w:val="24"/>
          <w:szCs w:val="24"/>
        </w:rPr>
        <w:t>,</w:t>
      </w:r>
      <w:r>
        <w:rPr>
          <w:rFonts w:ascii="Arial" w:hAnsi="Arial" w:cs="Arial"/>
          <w:sz w:val="24"/>
          <w:szCs w:val="24"/>
        </w:rPr>
        <w:t xml:space="preserve"> and undertaking a detailed review of all the 19 categories across our stores focusing on customer needs and business models. </w:t>
      </w:r>
    </w:p>
    <w:p w:rsidR="001668C9" w:rsidRPr="002B69AA" w:rsidRDefault="001668C9" w:rsidP="001B3B55">
      <w:pPr>
        <w:jc w:val="left"/>
        <w:rPr>
          <w:rFonts w:ascii="Arial" w:hAnsi="Arial" w:cs="Arial"/>
          <w:sz w:val="24"/>
          <w:szCs w:val="24"/>
        </w:rPr>
      </w:pPr>
    </w:p>
    <w:p w:rsidR="001668C9" w:rsidRDefault="001668C9" w:rsidP="001668C9">
      <w:pPr>
        <w:contextualSpacing/>
        <w:jc w:val="left"/>
        <w:rPr>
          <w:rFonts w:ascii="Arial" w:hAnsi="Arial" w:cs="Arial"/>
          <w:sz w:val="24"/>
          <w:szCs w:val="24"/>
        </w:rPr>
      </w:pPr>
      <w:r w:rsidRPr="00543473">
        <w:rPr>
          <w:rFonts w:ascii="Arial" w:hAnsi="Arial" w:cs="Arial"/>
          <w:b/>
          <w:bCs/>
          <w:sz w:val="24"/>
          <w:szCs w:val="24"/>
        </w:rPr>
        <w:t>Screwfix</w:t>
      </w:r>
      <w:r w:rsidRPr="00543473">
        <w:rPr>
          <w:rFonts w:ascii="Arial" w:hAnsi="Arial" w:cs="Arial"/>
          <w:sz w:val="24"/>
          <w:szCs w:val="24"/>
        </w:rPr>
        <w:t xml:space="preserve"> grew total sales by </w:t>
      </w:r>
      <w:r>
        <w:rPr>
          <w:rFonts w:ascii="Arial" w:hAnsi="Arial" w:cs="Arial"/>
          <w:sz w:val="24"/>
          <w:szCs w:val="24"/>
        </w:rPr>
        <w:t>17.</w:t>
      </w:r>
      <w:r w:rsidR="004B22DD">
        <w:rPr>
          <w:rFonts w:ascii="Arial" w:hAnsi="Arial" w:cs="Arial"/>
          <w:sz w:val="24"/>
          <w:szCs w:val="24"/>
        </w:rPr>
        <w:t>6</w:t>
      </w:r>
      <w:r w:rsidRPr="00543473">
        <w:rPr>
          <w:rFonts w:ascii="Arial" w:hAnsi="Arial" w:cs="Arial"/>
          <w:sz w:val="24"/>
          <w:szCs w:val="24"/>
        </w:rPr>
        <w:t>%</w:t>
      </w:r>
      <w:r>
        <w:rPr>
          <w:rFonts w:ascii="Arial" w:hAnsi="Arial" w:cs="Arial"/>
          <w:sz w:val="24"/>
          <w:szCs w:val="24"/>
        </w:rPr>
        <w:t xml:space="preserve"> (+7.</w:t>
      </w:r>
      <w:r w:rsidR="004B22DD">
        <w:rPr>
          <w:rFonts w:ascii="Arial" w:hAnsi="Arial" w:cs="Arial"/>
          <w:sz w:val="24"/>
          <w:szCs w:val="24"/>
        </w:rPr>
        <w:t>3</w:t>
      </w:r>
      <w:r>
        <w:rPr>
          <w:rFonts w:ascii="Arial" w:hAnsi="Arial" w:cs="Arial"/>
          <w:sz w:val="24"/>
          <w:szCs w:val="24"/>
        </w:rPr>
        <w:t>% LFL)</w:t>
      </w:r>
      <w:r w:rsidRPr="00543473">
        <w:rPr>
          <w:rFonts w:ascii="Arial" w:hAnsi="Arial" w:cs="Arial"/>
          <w:sz w:val="24"/>
          <w:szCs w:val="24"/>
        </w:rPr>
        <w:t xml:space="preserve"> to £</w:t>
      </w:r>
      <w:r>
        <w:rPr>
          <w:rFonts w:ascii="Arial" w:hAnsi="Arial" w:cs="Arial"/>
          <w:sz w:val="24"/>
          <w:szCs w:val="24"/>
        </w:rPr>
        <w:t>66</w:t>
      </w:r>
      <w:r w:rsidR="004B22DD">
        <w:rPr>
          <w:rFonts w:ascii="Arial" w:hAnsi="Arial" w:cs="Arial"/>
          <w:sz w:val="24"/>
          <w:szCs w:val="24"/>
        </w:rPr>
        <w:t>5</w:t>
      </w:r>
      <w:r w:rsidRPr="00543473">
        <w:rPr>
          <w:rFonts w:ascii="Arial" w:hAnsi="Arial" w:cs="Arial"/>
          <w:sz w:val="24"/>
          <w:szCs w:val="24"/>
        </w:rPr>
        <w:t xml:space="preserve"> million,</w:t>
      </w:r>
      <w:r w:rsidRPr="00543473" w:rsidDel="00BD46D1">
        <w:rPr>
          <w:rFonts w:ascii="Arial" w:hAnsi="Arial" w:cs="Arial"/>
          <w:sz w:val="24"/>
          <w:szCs w:val="24"/>
        </w:rPr>
        <w:t xml:space="preserve"> </w:t>
      </w:r>
      <w:r>
        <w:rPr>
          <w:rFonts w:ascii="Arial" w:hAnsi="Arial" w:cs="Arial"/>
          <w:sz w:val="24"/>
          <w:szCs w:val="24"/>
        </w:rPr>
        <w:t>benefiting from a strong promotional programme, extended opening hours, the continued roll out of new outlets and the successful introduction of a mobile ‘</w:t>
      </w:r>
      <w:r w:rsidR="0071308E">
        <w:rPr>
          <w:rFonts w:ascii="Arial" w:hAnsi="Arial" w:cs="Arial"/>
          <w:sz w:val="24"/>
          <w:szCs w:val="24"/>
        </w:rPr>
        <w:t>C</w:t>
      </w:r>
      <w:r>
        <w:rPr>
          <w:rFonts w:ascii="Arial" w:hAnsi="Arial" w:cs="Arial"/>
          <w:sz w:val="24"/>
          <w:szCs w:val="24"/>
        </w:rPr>
        <w:t xml:space="preserve">lick, </w:t>
      </w:r>
      <w:r w:rsidR="0071308E">
        <w:rPr>
          <w:rFonts w:ascii="Arial" w:hAnsi="Arial" w:cs="Arial"/>
          <w:sz w:val="24"/>
          <w:szCs w:val="24"/>
        </w:rPr>
        <w:t>P</w:t>
      </w:r>
      <w:r>
        <w:rPr>
          <w:rFonts w:ascii="Arial" w:hAnsi="Arial" w:cs="Arial"/>
          <w:sz w:val="24"/>
          <w:szCs w:val="24"/>
        </w:rPr>
        <w:t xml:space="preserve">ay &amp; </w:t>
      </w:r>
      <w:r w:rsidR="0071308E">
        <w:rPr>
          <w:rFonts w:ascii="Arial" w:hAnsi="Arial" w:cs="Arial"/>
          <w:sz w:val="24"/>
          <w:szCs w:val="24"/>
        </w:rPr>
        <w:t>C</w:t>
      </w:r>
      <w:r>
        <w:rPr>
          <w:rFonts w:ascii="Arial" w:hAnsi="Arial" w:cs="Arial"/>
          <w:sz w:val="24"/>
          <w:szCs w:val="24"/>
        </w:rPr>
        <w:t>ollect’ offer last year. Sixty outlets were opened, taking the total to 335.</w:t>
      </w:r>
    </w:p>
    <w:p w:rsidR="001668C9" w:rsidRPr="002B69AA" w:rsidRDefault="001668C9" w:rsidP="001668C9">
      <w:pPr>
        <w:jc w:val="left"/>
        <w:rPr>
          <w:rFonts w:ascii="Arial" w:hAnsi="Arial" w:cs="Arial"/>
          <w:sz w:val="24"/>
          <w:szCs w:val="24"/>
        </w:rPr>
      </w:pPr>
    </w:p>
    <w:p w:rsidR="001668C9" w:rsidRDefault="001668C9" w:rsidP="001668C9">
      <w:pPr>
        <w:jc w:val="left"/>
        <w:rPr>
          <w:rFonts w:ascii="Arial" w:hAnsi="Arial" w:cs="Arial"/>
          <w:sz w:val="24"/>
          <w:szCs w:val="24"/>
        </w:rPr>
      </w:pPr>
      <w:r w:rsidRPr="002B69AA">
        <w:rPr>
          <w:rFonts w:ascii="Arial" w:hAnsi="Arial" w:cs="Arial"/>
          <w:sz w:val="24"/>
          <w:szCs w:val="24"/>
        </w:rPr>
        <w:t>The market</w:t>
      </w:r>
      <w:r>
        <w:rPr>
          <w:rFonts w:ascii="Arial" w:hAnsi="Arial" w:cs="Arial"/>
          <w:sz w:val="24"/>
          <w:szCs w:val="24"/>
        </w:rPr>
        <w:t xml:space="preserve"> </w:t>
      </w:r>
      <w:r w:rsidRPr="002B69AA">
        <w:rPr>
          <w:rFonts w:ascii="Arial" w:hAnsi="Arial" w:cs="Arial"/>
          <w:sz w:val="24"/>
          <w:szCs w:val="24"/>
        </w:rPr>
        <w:t>for the smaller trad</w:t>
      </w:r>
      <w:r>
        <w:rPr>
          <w:rFonts w:ascii="Arial" w:hAnsi="Arial" w:cs="Arial"/>
          <w:sz w:val="24"/>
          <w:szCs w:val="24"/>
        </w:rPr>
        <w:t>e</w:t>
      </w:r>
      <w:r w:rsidRPr="002B69AA">
        <w:rPr>
          <w:rFonts w:ascii="Arial" w:hAnsi="Arial" w:cs="Arial"/>
          <w:sz w:val="24"/>
          <w:szCs w:val="24"/>
        </w:rPr>
        <w:t>sm</w:t>
      </w:r>
      <w:r w:rsidRPr="00EA6927">
        <w:rPr>
          <w:rFonts w:ascii="Arial" w:hAnsi="Arial" w:cs="Arial"/>
          <w:sz w:val="24"/>
          <w:szCs w:val="24"/>
        </w:rPr>
        <w:t xml:space="preserve">en* was up around </w:t>
      </w:r>
      <w:r w:rsidR="008C2D4F" w:rsidRPr="00EA6927">
        <w:rPr>
          <w:rFonts w:ascii="Arial" w:hAnsi="Arial" w:cs="Arial"/>
          <w:sz w:val="24"/>
          <w:szCs w:val="24"/>
        </w:rPr>
        <w:t>2</w:t>
      </w:r>
      <w:r w:rsidRPr="00EA6927">
        <w:rPr>
          <w:rFonts w:ascii="Arial" w:hAnsi="Arial" w:cs="Arial"/>
          <w:sz w:val="24"/>
          <w:szCs w:val="24"/>
        </w:rPr>
        <w:t>%.</w:t>
      </w:r>
      <w:r>
        <w:rPr>
          <w:rFonts w:ascii="Arial" w:hAnsi="Arial" w:cs="Arial"/>
          <w:sz w:val="24"/>
          <w:szCs w:val="24"/>
        </w:rPr>
        <w:t xml:space="preserve"> </w:t>
      </w:r>
    </w:p>
    <w:p w:rsidR="00AD39A0" w:rsidRPr="006A2252" w:rsidRDefault="00AD39A0">
      <w:pPr>
        <w:jc w:val="left"/>
        <w:rPr>
          <w:rFonts w:ascii="Arial" w:hAnsi="Arial" w:cs="Arial"/>
          <w:b/>
          <w:bCs/>
          <w:color w:val="FF0000"/>
          <w:sz w:val="24"/>
          <w:szCs w:val="24"/>
        </w:rPr>
      </w:pPr>
    </w:p>
    <w:p w:rsidR="00DA44CF" w:rsidRDefault="00DA44CF" w:rsidP="00DA44CF">
      <w:pPr>
        <w:pStyle w:val="ListParagraph"/>
        <w:numPr>
          <w:ilvl w:val="0"/>
          <w:numId w:val="9"/>
        </w:numPr>
        <w:jc w:val="left"/>
        <w:rPr>
          <w:rFonts w:ascii="Arial" w:hAnsi="Arial" w:cs="Arial"/>
          <w:i/>
          <w:sz w:val="18"/>
          <w:szCs w:val="18"/>
        </w:rPr>
      </w:pPr>
      <w:r>
        <w:rPr>
          <w:rFonts w:ascii="Arial" w:hAnsi="Arial" w:cs="Arial"/>
          <w:i/>
          <w:sz w:val="18"/>
          <w:szCs w:val="18"/>
        </w:rPr>
        <w:t>As per Kingfisher estimates – BCG commissioned report</w:t>
      </w:r>
    </w:p>
    <w:p w:rsidR="00DA44CF" w:rsidRDefault="00DA44CF">
      <w:pPr>
        <w:jc w:val="left"/>
        <w:rPr>
          <w:rFonts w:ascii="Arial" w:hAnsi="Arial" w:cs="Arial"/>
          <w:b/>
          <w:bCs/>
          <w:sz w:val="24"/>
          <w:szCs w:val="24"/>
        </w:rPr>
      </w:pPr>
      <w:r>
        <w:rPr>
          <w:rFonts w:ascii="Arial" w:hAnsi="Arial" w:cs="Arial"/>
          <w:b/>
          <w:bCs/>
          <w:sz w:val="24"/>
          <w:szCs w:val="24"/>
        </w:rPr>
        <w:br w:type="page"/>
      </w:r>
    </w:p>
    <w:p w:rsidR="001B3B55" w:rsidRPr="00EB1DC5" w:rsidRDefault="001B3B55" w:rsidP="001B3B55">
      <w:pPr>
        <w:jc w:val="left"/>
        <w:rPr>
          <w:rFonts w:ascii="Arial" w:hAnsi="Arial" w:cs="Arial"/>
          <w:b/>
          <w:bCs/>
          <w:sz w:val="24"/>
          <w:szCs w:val="24"/>
          <w:highlight w:val="magenta"/>
        </w:rPr>
      </w:pPr>
      <w:r w:rsidRPr="00EB1DC5">
        <w:rPr>
          <w:rFonts w:ascii="Arial" w:hAnsi="Arial" w:cs="Arial"/>
          <w:b/>
          <w:bCs/>
          <w:sz w:val="24"/>
          <w:szCs w:val="24"/>
        </w:rPr>
        <w:t>OTHER INTERNATIONAL</w:t>
      </w:r>
      <w:r w:rsidR="00E652D5">
        <w:rPr>
          <w:rFonts w:ascii="Arial" w:hAnsi="Arial" w:cs="Arial"/>
          <w:b/>
          <w:bCs/>
          <w:sz w:val="24"/>
          <w:szCs w:val="24"/>
        </w:rPr>
        <w:t>*</w:t>
      </w:r>
    </w:p>
    <w:p w:rsidR="001B3B55" w:rsidRPr="00EB1DC5" w:rsidRDefault="001B3B55" w:rsidP="001B3B55">
      <w:pPr>
        <w:rPr>
          <w:rFonts w:ascii="Arial" w:hAnsi="Arial" w:cs="Arial"/>
          <w:b/>
          <w:bCs/>
          <w:sz w:val="24"/>
          <w:szCs w:val="24"/>
          <w:highlight w:val="magenta"/>
        </w:rPr>
      </w:pPr>
    </w:p>
    <w:tbl>
      <w:tblPr>
        <w:tblW w:w="4839"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86"/>
        <w:gridCol w:w="1230"/>
        <w:gridCol w:w="1407"/>
        <w:gridCol w:w="1585"/>
        <w:gridCol w:w="1583"/>
        <w:gridCol w:w="1230"/>
      </w:tblGrid>
      <w:tr w:rsidR="008C16B2" w:rsidRPr="00EB1DC5" w:rsidTr="001B3B55">
        <w:trPr>
          <w:trHeight w:val="134"/>
        </w:trPr>
        <w:tc>
          <w:tcPr>
            <w:tcW w:w="1226" w:type="pct"/>
            <w:tcBorders>
              <w:top w:val="single" w:sz="4" w:space="0" w:color="auto"/>
            </w:tcBorders>
          </w:tcPr>
          <w:p w:rsidR="008C16B2" w:rsidRPr="00EB1DC5" w:rsidRDefault="008C16B2" w:rsidP="008C16B2">
            <w:pPr>
              <w:rPr>
                <w:rFonts w:ascii="Arial" w:hAnsi="Arial" w:cs="Arial"/>
                <w:b/>
                <w:bCs/>
                <w:sz w:val="24"/>
                <w:szCs w:val="24"/>
              </w:rPr>
            </w:pPr>
            <w:r w:rsidRPr="00EB1DC5">
              <w:rPr>
                <w:rFonts w:ascii="Arial" w:hAnsi="Arial" w:cs="Arial"/>
                <w:b/>
                <w:bCs/>
                <w:sz w:val="24"/>
                <w:szCs w:val="24"/>
              </w:rPr>
              <w:t>Sales £m</w:t>
            </w:r>
          </w:p>
        </w:tc>
        <w:tc>
          <w:tcPr>
            <w:tcW w:w="660" w:type="pct"/>
            <w:tcBorders>
              <w:top w:val="single" w:sz="4" w:space="0" w:color="auto"/>
            </w:tcBorders>
          </w:tcPr>
          <w:p w:rsidR="008C16B2" w:rsidRPr="00EB1DC5" w:rsidRDefault="008C16B2" w:rsidP="008C16B2">
            <w:pPr>
              <w:jc w:val="right"/>
              <w:rPr>
                <w:rFonts w:ascii="Arial" w:hAnsi="Arial" w:cs="Arial"/>
                <w:b/>
                <w:bCs/>
                <w:sz w:val="24"/>
                <w:szCs w:val="24"/>
              </w:rPr>
            </w:pPr>
            <w:r>
              <w:rPr>
                <w:rFonts w:ascii="Arial" w:hAnsi="Arial" w:cs="Arial"/>
                <w:b/>
                <w:bCs/>
                <w:sz w:val="24"/>
                <w:szCs w:val="24"/>
              </w:rPr>
              <w:t>2013/14</w:t>
            </w:r>
          </w:p>
        </w:tc>
        <w:tc>
          <w:tcPr>
            <w:tcW w:w="755" w:type="pct"/>
            <w:tcBorders>
              <w:top w:val="single" w:sz="4" w:space="0" w:color="auto"/>
            </w:tcBorders>
          </w:tcPr>
          <w:p w:rsidR="008C16B2" w:rsidRPr="00EB1DC5" w:rsidRDefault="008C16B2" w:rsidP="008C16B2">
            <w:pPr>
              <w:jc w:val="right"/>
              <w:rPr>
                <w:rFonts w:ascii="Arial" w:hAnsi="Arial" w:cs="Arial"/>
                <w:b/>
                <w:bCs/>
                <w:sz w:val="24"/>
                <w:szCs w:val="24"/>
              </w:rPr>
            </w:pPr>
            <w:r w:rsidRPr="00EB1DC5">
              <w:rPr>
                <w:rFonts w:ascii="Arial" w:hAnsi="Arial" w:cs="Arial"/>
                <w:b/>
                <w:bCs/>
                <w:sz w:val="24"/>
                <w:szCs w:val="24"/>
              </w:rPr>
              <w:t>2012/13</w:t>
            </w:r>
          </w:p>
        </w:tc>
        <w:tc>
          <w:tcPr>
            <w:tcW w:w="850" w:type="pct"/>
            <w:tcBorders>
              <w:top w:val="single" w:sz="4" w:space="0" w:color="auto"/>
            </w:tcBorders>
          </w:tcPr>
          <w:p w:rsidR="008C16B2" w:rsidRDefault="008C16B2" w:rsidP="008C16B2">
            <w:pPr>
              <w:jc w:val="right"/>
              <w:rPr>
                <w:rFonts w:ascii="Arial" w:hAnsi="Arial" w:cs="Arial"/>
                <w:b/>
                <w:bCs/>
                <w:sz w:val="24"/>
                <w:szCs w:val="24"/>
              </w:rPr>
            </w:pPr>
            <w:r>
              <w:rPr>
                <w:rFonts w:ascii="Arial" w:hAnsi="Arial" w:cs="Arial"/>
                <w:b/>
                <w:bCs/>
                <w:sz w:val="24"/>
                <w:szCs w:val="24"/>
              </w:rPr>
              <w:t>% Total</w:t>
            </w:r>
            <w:r w:rsidRPr="00AC5413">
              <w:rPr>
                <w:rFonts w:ascii="Arial" w:hAnsi="Arial" w:cs="Arial"/>
                <w:b/>
                <w:bCs/>
                <w:sz w:val="24"/>
                <w:szCs w:val="24"/>
              </w:rPr>
              <w:t xml:space="preserve"> Change</w:t>
            </w:r>
          </w:p>
          <w:p w:rsidR="008C16B2" w:rsidRPr="00AC5413" w:rsidRDefault="008C16B2" w:rsidP="008C16B2">
            <w:pPr>
              <w:jc w:val="right"/>
              <w:rPr>
                <w:rFonts w:ascii="Arial" w:hAnsi="Arial" w:cs="Arial"/>
                <w:b/>
                <w:bCs/>
                <w:sz w:val="24"/>
                <w:szCs w:val="24"/>
              </w:rPr>
            </w:pPr>
            <w:r>
              <w:rPr>
                <w:rFonts w:ascii="Arial" w:hAnsi="Arial" w:cs="Arial"/>
                <w:b/>
                <w:bCs/>
                <w:sz w:val="24"/>
                <w:szCs w:val="24"/>
              </w:rPr>
              <w:t>Reported</w:t>
            </w:r>
          </w:p>
        </w:tc>
        <w:tc>
          <w:tcPr>
            <w:tcW w:w="849" w:type="pct"/>
            <w:tcBorders>
              <w:top w:val="single" w:sz="4" w:space="0" w:color="auto"/>
            </w:tcBorders>
          </w:tcPr>
          <w:p w:rsidR="000C5C21" w:rsidRDefault="008C16B2" w:rsidP="008C16B2">
            <w:pPr>
              <w:jc w:val="right"/>
              <w:rPr>
                <w:rFonts w:ascii="Arial" w:hAnsi="Arial" w:cs="Arial"/>
                <w:b/>
                <w:bCs/>
                <w:sz w:val="24"/>
                <w:szCs w:val="24"/>
              </w:rPr>
            </w:pPr>
            <w:r>
              <w:rPr>
                <w:rFonts w:ascii="Arial" w:hAnsi="Arial" w:cs="Arial"/>
                <w:b/>
                <w:bCs/>
                <w:sz w:val="24"/>
                <w:szCs w:val="24"/>
              </w:rPr>
              <w:t xml:space="preserve">% Total </w:t>
            </w:r>
          </w:p>
          <w:p w:rsidR="000C5C21" w:rsidRDefault="000C5C21" w:rsidP="008C16B2">
            <w:pPr>
              <w:jc w:val="right"/>
              <w:rPr>
                <w:rFonts w:ascii="Arial" w:hAnsi="Arial" w:cs="Arial"/>
                <w:b/>
                <w:bCs/>
                <w:sz w:val="24"/>
                <w:szCs w:val="24"/>
              </w:rPr>
            </w:pPr>
            <w:r>
              <w:rPr>
                <w:rFonts w:ascii="Arial" w:hAnsi="Arial" w:cs="Arial"/>
                <w:b/>
                <w:bCs/>
                <w:sz w:val="24"/>
                <w:szCs w:val="24"/>
              </w:rPr>
              <w:t>Change</w:t>
            </w:r>
          </w:p>
          <w:p w:rsidR="008C16B2" w:rsidRPr="00AC5413" w:rsidRDefault="008C16B2" w:rsidP="008C16B2">
            <w:pPr>
              <w:jc w:val="right"/>
              <w:rPr>
                <w:rFonts w:ascii="Arial" w:hAnsi="Arial" w:cs="Arial"/>
                <w:b/>
                <w:bCs/>
                <w:sz w:val="24"/>
                <w:szCs w:val="24"/>
              </w:rPr>
            </w:pPr>
            <w:r>
              <w:rPr>
                <w:rFonts w:ascii="Arial" w:hAnsi="Arial" w:cs="Arial"/>
                <w:b/>
                <w:bCs/>
                <w:sz w:val="24"/>
                <w:szCs w:val="24"/>
              </w:rPr>
              <w:t>Constant c</w:t>
            </w:r>
            <w:r w:rsidRPr="005C5799">
              <w:rPr>
                <w:rFonts w:ascii="Arial" w:hAnsi="Arial" w:cs="Arial"/>
                <w:b/>
                <w:bCs/>
                <w:sz w:val="24"/>
                <w:szCs w:val="24"/>
              </w:rPr>
              <w:t xml:space="preserve">urrency </w:t>
            </w:r>
            <w:r>
              <w:rPr>
                <w:rFonts w:ascii="Arial" w:hAnsi="Arial" w:cs="Arial"/>
                <w:b/>
                <w:bCs/>
                <w:sz w:val="24"/>
                <w:szCs w:val="24"/>
              </w:rPr>
              <w:t xml:space="preserve"> </w:t>
            </w:r>
          </w:p>
        </w:tc>
        <w:tc>
          <w:tcPr>
            <w:tcW w:w="660" w:type="pct"/>
            <w:tcBorders>
              <w:top w:val="single" w:sz="4" w:space="0" w:color="auto"/>
            </w:tcBorders>
          </w:tcPr>
          <w:p w:rsidR="008C16B2" w:rsidRPr="00AC5413" w:rsidRDefault="008C16B2" w:rsidP="008C16B2">
            <w:pPr>
              <w:ind w:hanging="108"/>
              <w:jc w:val="right"/>
              <w:rPr>
                <w:rFonts w:ascii="Arial" w:hAnsi="Arial" w:cs="Arial"/>
                <w:b/>
                <w:bCs/>
                <w:sz w:val="24"/>
                <w:szCs w:val="24"/>
              </w:rPr>
            </w:pPr>
            <w:r w:rsidRPr="00AC5413">
              <w:rPr>
                <w:rFonts w:ascii="Arial" w:hAnsi="Arial" w:cs="Arial"/>
                <w:b/>
                <w:bCs/>
                <w:sz w:val="24"/>
                <w:szCs w:val="24"/>
              </w:rPr>
              <w:t>% LFL</w:t>
            </w:r>
          </w:p>
          <w:p w:rsidR="008C16B2" w:rsidRPr="00AC5413" w:rsidRDefault="008C16B2" w:rsidP="008C16B2">
            <w:pPr>
              <w:ind w:hanging="108"/>
              <w:jc w:val="right"/>
              <w:rPr>
                <w:rFonts w:ascii="Arial" w:hAnsi="Arial" w:cs="Arial"/>
                <w:b/>
                <w:bCs/>
                <w:sz w:val="24"/>
                <w:szCs w:val="24"/>
              </w:rPr>
            </w:pPr>
            <w:r w:rsidRPr="00AC5413">
              <w:rPr>
                <w:rFonts w:ascii="Arial" w:hAnsi="Arial" w:cs="Arial"/>
                <w:b/>
                <w:bCs/>
                <w:sz w:val="24"/>
                <w:szCs w:val="24"/>
              </w:rPr>
              <w:t>Change</w:t>
            </w:r>
          </w:p>
        </w:tc>
      </w:tr>
      <w:tr w:rsidR="006A2252" w:rsidRPr="00EB1DC5" w:rsidTr="001B3B55">
        <w:trPr>
          <w:trHeight w:val="134"/>
        </w:trPr>
        <w:tc>
          <w:tcPr>
            <w:tcW w:w="1226" w:type="pct"/>
            <w:tcBorders>
              <w:bottom w:val="single" w:sz="4" w:space="0" w:color="auto"/>
            </w:tcBorders>
          </w:tcPr>
          <w:p w:rsidR="001B3B55" w:rsidRPr="00EB1DC5" w:rsidRDefault="001B3B55" w:rsidP="001B3B55">
            <w:pPr>
              <w:rPr>
                <w:rFonts w:ascii="Arial" w:hAnsi="Arial" w:cs="Arial"/>
                <w:sz w:val="24"/>
                <w:szCs w:val="24"/>
              </w:rPr>
            </w:pPr>
            <w:r w:rsidRPr="00EB1DC5">
              <w:rPr>
                <w:rFonts w:ascii="Arial" w:hAnsi="Arial" w:cs="Arial"/>
                <w:sz w:val="24"/>
                <w:szCs w:val="24"/>
              </w:rPr>
              <w:t>Other International</w:t>
            </w:r>
          </w:p>
        </w:tc>
        <w:tc>
          <w:tcPr>
            <w:tcW w:w="660" w:type="pct"/>
            <w:tcBorders>
              <w:bottom w:val="single" w:sz="4" w:space="0" w:color="auto"/>
            </w:tcBorders>
          </w:tcPr>
          <w:p w:rsidR="001B3B55" w:rsidRPr="00EB1DC5" w:rsidRDefault="00E20B38" w:rsidP="001B3B55">
            <w:pPr>
              <w:jc w:val="right"/>
              <w:rPr>
                <w:rFonts w:ascii="Arial" w:hAnsi="Arial" w:cs="Arial"/>
                <w:sz w:val="24"/>
                <w:szCs w:val="24"/>
              </w:rPr>
            </w:pPr>
            <w:r>
              <w:rPr>
                <w:rFonts w:ascii="Arial" w:hAnsi="Arial" w:cs="Arial"/>
                <w:sz w:val="24"/>
                <w:szCs w:val="24"/>
              </w:rPr>
              <w:t>2,339</w:t>
            </w:r>
          </w:p>
        </w:tc>
        <w:tc>
          <w:tcPr>
            <w:tcW w:w="755" w:type="pct"/>
            <w:tcBorders>
              <w:bottom w:val="single" w:sz="4" w:space="0" w:color="auto"/>
            </w:tcBorders>
          </w:tcPr>
          <w:p w:rsidR="00590201" w:rsidRPr="00EB1DC5" w:rsidRDefault="00EB1DC5">
            <w:pPr>
              <w:jc w:val="right"/>
              <w:rPr>
                <w:rFonts w:ascii="Arial" w:hAnsi="Arial" w:cs="Arial"/>
                <w:sz w:val="24"/>
                <w:szCs w:val="24"/>
              </w:rPr>
            </w:pPr>
            <w:r w:rsidRPr="00EB1DC5">
              <w:rPr>
                <w:rFonts w:ascii="Arial" w:hAnsi="Arial" w:cs="Arial"/>
                <w:sz w:val="24"/>
                <w:szCs w:val="24"/>
              </w:rPr>
              <w:t>2,063</w:t>
            </w:r>
          </w:p>
        </w:tc>
        <w:tc>
          <w:tcPr>
            <w:tcW w:w="850" w:type="pct"/>
            <w:tcBorders>
              <w:bottom w:val="single" w:sz="4" w:space="0" w:color="auto"/>
            </w:tcBorders>
          </w:tcPr>
          <w:p w:rsidR="001B3B55" w:rsidRPr="00EB1DC5" w:rsidRDefault="00E20B38" w:rsidP="001B3B55">
            <w:pPr>
              <w:jc w:val="right"/>
              <w:rPr>
                <w:rFonts w:ascii="Arial" w:hAnsi="Arial" w:cs="Arial"/>
                <w:sz w:val="24"/>
                <w:szCs w:val="24"/>
              </w:rPr>
            </w:pPr>
            <w:r>
              <w:rPr>
                <w:rFonts w:ascii="Arial" w:hAnsi="Arial" w:cs="Arial"/>
                <w:sz w:val="24"/>
                <w:szCs w:val="24"/>
              </w:rPr>
              <w:t>+13.3</w:t>
            </w:r>
            <w:r w:rsidR="00DB7164" w:rsidRPr="00EB1DC5">
              <w:rPr>
                <w:rFonts w:ascii="Arial" w:hAnsi="Arial" w:cs="Arial"/>
                <w:sz w:val="24"/>
                <w:szCs w:val="24"/>
              </w:rPr>
              <w:t>%</w:t>
            </w:r>
          </w:p>
        </w:tc>
        <w:tc>
          <w:tcPr>
            <w:tcW w:w="849" w:type="pct"/>
            <w:tcBorders>
              <w:bottom w:val="single" w:sz="4" w:space="0" w:color="auto"/>
            </w:tcBorders>
          </w:tcPr>
          <w:p w:rsidR="001B3B55" w:rsidRPr="00EB1DC5" w:rsidRDefault="00E20B38" w:rsidP="001B3B55">
            <w:pPr>
              <w:jc w:val="right"/>
              <w:rPr>
                <w:rFonts w:ascii="Arial" w:hAnsi="Arial" w:cs="Arial"/>
                <w:sz w:val="24"/>
                <w:szCs w:val="24"/>
              </w:rPr>
            </w:pPr>
            <w:r>
              <w:rPr>
                <w:rFonts w:ascii="Arial" w:hAnsi="Arial" w:cs="Arial"/>
                <w:sz w:val="24"/>
                <w:szCs w:val="24"/>
              </w:rPr>
              <w:t>+10.5</w:t>
            </w:r>
            <w:r w:rsidR="00DB7164" w:rsidRPr="00EB1DC5">
              <w:rPr>
                <w:rFonts w:ascii="Arial" w:hAnsi="Arial" w:cs="Arial"/>
                <w:sz w:val="24"/>
                <w:szCs w:val="24"/>
              </w:rPr>
              <w:t>%</w:t>
            </w:r>
          </w:p>
        </w:tc>
        <w:tc>
          <w:tcPr>
            <w:tcW w:w="660" w:type="pct"/>
            <w:tcBorders>
              <w:bottom w:val="single" w:sz="4" w:space="0" w:color="auto"/>
            </w:tcBorders>
          </w:tcPr>
          <w:p w:rsidR="001B3B55" w:rsidRPr="00EB1DC5" w:rsidRDefault="00E20B38" w:rsidP="001B3B55">
            <w:pPr>
              <w:jc w:val="right"/>
              <w:rPr>
                <w:rFonts w:ascii="Arial" w:hAnsi="Arial" w:cs="Arial"/>
                <w:sz w:val="24"/>
                <w:szCs w:val="24"/>
              </w:rPr>
            </w:pPr>
            <w:r>
              <w:rPr>
                <w:rFonts w:ascii="Arial" w:hAnsi="Arial" w:cs="Arial"/>
                <w:sz w:val="24"/>
                <w:szCs w:val="24"/>
              </w:rPr>
              <w:t>+3.4</w:t>
            </w:r>
            <w:r w:rsidR="00DB7164" w:rsidRPr="00EB1DC5">
              <w:rPr>
                <w:rFonts w:ascii="Arial" w:hAnsi="Arial" w:cs="Arial"/>
                <w:sz w:val="24"/>
                <w:szCs w:val="24"/>
              </w:rPr>
              <w:t>%</w:t>
            </w:r>
          </w:p>
        </w:tc>
      </w:tr>
    </w:tbl>
    <w:p w:rsidR="001B3B55" w:rsidRPr="00EB1DC5" w:rsidRDefault="001B3B55" w:rsidP="001B3B55">
      <w:pPr>
        <w:rPr>
          <w:rFonts w:ascii="Arial" w:hAnsi="Arial" w:cs="Arial"/>
          <w:sz w:val="24"/>
          <w:szCs w:val="24"/>
          <w:highlight w:val="magenta"/>
        </w:rPr>
      </w:pPr>
    </w:p>
    <w:tbl>
      <w:tblPr>
        <w:tblW w:w="42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192"/>
        <w:gridCol w:w="1446"/>
        <w:gridCol w:w="1555"/>
        <w:gridCol w:w="1607"/>
      </w:tblGrid>
      <w:tr w:rsidR="008C16B2" w:rsidRPr="00EB1DC5" w:rsidTr="008C16B2">
        <w:trPr>
          <w:trHeight w:val="134"/>
        </w:trPr>
        <w:tc>
          <w:tcPr>
            <w:tcW w:w="1415" w:type="pct"/>
          </w:tcPr>
          <w:p w:rsidR="008C16B2" w:rsidRPr="00EB1DC5" w:rsidRDefault="008C16B2" w:rsidP="008C16B2">
            <w:pPr>
              <w:rPr>
                <w:rFonts w:ascii="Arial" w:hAnsi="Arial" w:cs="Arial"/>
                <w:b/>
                <w:bCs/>
                <w:sz w:val="24"/>
                <w:szCs w:val="24"/>
              </w:rPr>
            </w:pPr>
            <w:r w:rsidRPr="00EB1DC5">
              <w:rPr>
                <w:rFonts w:ascii="Arial" w:hAnsi="Arial" w:cs="Arial"/>
                <w:b/>
                <w:bCs/>
                <w:sz w:val="24"/>
                <w:szCs w:val="24"/>
              </w:rPr>
              <w:t>Retail profit £m</w:t>
            </w:r>
          </w:p>
        </w:tc>
        <w:tc>
          <w:tcPr>
            <w:tcW w:w="737" w:type="pct"/>
          </w:tcPr>
          <w:p w:rsidR="008C16B2" w:rsidRPr="00EB1DC5" w:rsidRDefault="008C16B2" w:rsidP="008C16B2">
            <w:pPr>
              <w:jc w:val="right"/>
              <w:rPr>
                <w:rFonts w:ascii="Arial" w:hAnsi="Arial" w:cs="Arial"/>
                <w:b/>
                <w:bCs/>
                <w:sz w:val="24"/>
                <w:szCs w:val="24"/>
              </w:rPr>
            </w:pPr>
            <w:r>
              <w:rPr>
                <w:rFonts w:ascii="Arial" w:hAnsi="Arial" w:cs="Arial"/>
                <w:b/>
                <w:bCs/>
                <w:sz w:val="24"/>
                <w:szCs w:val="24"/>
              </w:rPr>
              <w:t>2013/14</w:t>
            </w:r>
          </w:p>
        </w:tc>
        <w:tc>
          <w:tcPr>
            <w:tcW w:w="894" w:type="pct"/>
          </w:tcPr>
          <w:p w:rsidR="008C16B2" w:rsidRPr="00EB1DC5" w:rsidRDefault="008C16B2" w:rsidP="008C16B2">
            <w:pPr>
              <w:jc w:val="right"/>
              <w:rPr>
                <w:rFonts w:ascii="Arial" w:hAnsi="Arial" w:cs="Arial"/>
                <w:b/>
                <w:bCs/>
                <w:sz w:val="24"/>
                <w:szCs w:val="24"/>
              </w:rPr>
            </w:pPr>
            <w:r w:rsidRPr="00EB1DC5">
              <w:rPr>
                <w:rFonts w:ascii="Arial" w:hAnsi="Arial" w:cs="Arial"/>
                <w:b/>
                <w:bCs/>
                <w:sz w:val="24"/>
                <w:szCs w:val="24"/>
              </w:rPr>
              <w:t>2012/13</w:t>
            </w:r>
          </w:p>
        </w:tc>
        <w:tc>
          <w:tcPr>
            <w:tcW w:w="961" w:type="pct"/>
          </w:tcPr>
          <w:p w:rsidR="008C16B2" w:rsidRDefault="008C16B2" w:rsidP="008C16B2">
            <w:pPr>
              <w:jc w:val="right"/>
              <w:rPr>
                <w:rFonts w:ascii="Arial" w:hAnsi="Arial" w:cs="Arial"/>
                <w:b/>
                <w:bCs/>
                <w:sz w:val="24"/>
                <w:szCs w:val="24"/>
              </w:rPr>
            </w:pPr>
            <w:r w:rsidRPr="00AC5413">
              <w:rPr>
                <w:rFonts w:ascii="Arial" w:hAnsi="Arial" w:cs="Arial"/>
                <w:b/>
                <w:bCs/>
                <w:sz w:val="24"/>
                <w:szCs w:val="24"/>
              </w:rPr>
              <w:t xml:space="preserve">% </w:t>
            </w:r>
            <w:r>
              <w:rPr>
                <w:rFonts w:ascii="Arial" w:hAnsi="Arial" w:cs="Arial"/>
                <w:b/>
                <w:bCs/>
                <w:sz w:val="24"/>
                <w:szCs w:val="24"/>
              </w:rPr>
              <w:t>Change</w:t>
            </w:r>
          </w:p>
          <w:p w:rsidR="008C16B2" w:rsidRPr="00AC5413" w:rsidRDefault="008C16B2" w:rsidP="008C16B2">
            <w:pPr>
              <w:jc w:val="right"/>
              <w:rPr>
                <w:rFonts w:ascii="Arial" w:hAnsi="Arial" w:cs="Arial"/>
                <w:b/>
                <w:bCs/>
                <w:sz w:val="24"/>
                <w:szCs w:val="24"/>
              </w:rPr>
            </w:pPr>
            <w:r w:rsidRPr="00AC5413">
              <w:rPr>
                <w:rFonts w:ascii="Arial" w:hAnsi="Arial" w:cs="Arial"/>
                <w:b/>
                <w:bCs/>
                <w:sz w:val="24"/>
                <w:szCs w:val="24"/>
              </w:rPr>
              <w:t xml:space="preserve">Reported </w:t>
            </w:r>
          </w:p>
        </w:tc>
        <w:tc>
          <w:tcPr>
            <w:tcW w:w="993" w:type="pct"/>
          </w:tcPr>
          <w:p w:rsidR="008C16B2" w:rsidRPr="00AC5413" w:rsidRDefault="008C16B2" w:rsidP="008C16B2">
            <w:pPr>
              <w:jc w:val="right"/>
              <w:rPr>
                <w:rFonts w:ascii="Arial" w:hAnsi="Arial" w:cs="Arial"/>
                <w:b/>
                <w:bCs/>
                <w:sz w:val="24"/>
                <w:szCs w:val="24"/>
              </w:rPr>
            </w:pPr>
            <w:r w:rsidRPr="005C5799">
              <w:rPr>
                <w:rFonts w:ascii="Arial" w:hAnsi="Arial" w:cs="Arial"/>
                <w:b/>
                <w:bCs/>
                <w:sz w:val="24"/>
                <w:szCs w:val="24"/>
              </w:rPr>
              <w:t>%</w:t>
            </w:r>
            <w:r>
              <w:rPr>
                <w:rFonts w:ascii="Arial" w:hAnsi="Arial" w:cs="Arial"/>
                <w:b/>
                <w:bCs/>
                <w:sz w:val="24"/>
                <w:szCs w:val="24"/>
              </w:rPr>
              <w:t xml:space="preserve"> Change Constant currency </w:t>
            </w:r>
          </w:p>
        </w:tc>
      </w:tr>
      <w:tr w:rsidR="006A2252" w:rsidRPr="00EB1DC5" w:rsidTr="008C16B2">
        <w:trPr>
          <w:trHeight w:val="134"/>
        </w:trPr>
        <w:tc>
          <w:tcPr>
            <w:tcW w:w="1415" w:type="pct"/>
          </w:tcPr>
          <w:p w:rsidR="001B3B55" w:rsidRPr="00EB1DC5" w:rsidRDefault="001B3B55" w:rsidP="001B3B55">
            <w:pPr>
              <w:rPr>
                <w:rFonts w:ascii="Arial" w:hAnsi="Arial" w:cs="Arial"/>
                <w:sz w:val="24"/>
                <w:szCs w:val="24"/>
              </w:rPr>
            </w:pPr>
            <w:r w:rsidRPr="00EB1DC5">
              <w:rPr>
                <w:rFonts w:ascii="Arial" w:hAnsi="Arial" w:cs="Arial"/>
                <w:sz w:val="24"/>
                <w:szCs w:val="24"/>
              </w:rPr>
              <w:t>Other International</w:t>
            </w:r>
          </w:p>
        </w:tc>
        <w:tc>
          <w:tcPr>
            <w:tcW w:w="737" w:type="pct"/>
          </w:tcPr>
          <w:p w:rsidR="001B3B55" w:rsidRPr="00EB1DC5" w:rsidRDefault="00E20B38" w:rsidP="001B3B55">
            <w:pPr>
              <w:jc w:val="right"/>
              <w:rPr>
                <w:rFonts w:ascii="Arial" w:hAnsi="Arial" w:cs="Arial"/>
                <w:sz w:val="24"/>
                <w:szCs w:val="24"/>
              </w:rPr>
            </w:pPr>
            <w:r>
              <w:rPr>
                <w:rFonts w:ascii="Arial" w:hAnsi="Arial" w:cs="Arial"/>
                <w:sz w:val="24"/>
                <w:szCs w:val="24"/>
              </w:rPr>
              <w:t>171</w:t>
            </w:r>
          </w:p>
        </w:tc>
        <w:tc>
          <w:tcPr>
            <w:tcW w:w="894" w:type="pct"/>
          </w:tcPr>
          <w:p w:rsidR="001B3B55" w:rsidRPr="00EB1DC5" w:rsidRDefault="00EB1DC5" w:rsidP="001B3B55">
            <w:pPr>
              <w:jc w:val="right"/>
              <w:rPr>
                <w:rFonts w:ascii="Arial" w:hAnsi="Arial" w:cs="Arial"/>
                <w:sz w:val="24"/>
                <w:szCs w:val="24"/>
              </w:rPr>
            </w:pPr>
            <w:r w:rsidRPr="00EB1DC5">
              <w:rPr>
                <w:rFonts w:ascii="Arial" w:hAnsi="Arial" w:cs="Arial"/>
                <w:sz w:val="24"/>
                <w:szCs w:val="24"/>
              </w:rPr>
              <w:t>150</w:t>
            </w:r>
          </w:p>
        </w:tc>
        <w:tc>
          <w:tcPr>
            <w:tcW w:w="961" w:type="pct"/>
          </w:tcPr>
          <w:p w:rsidR="001B3B55" w:rsidRPr="00EB1DC5" w:rsidRDefault="0063753C" w:rsidP="001B3B55">
            <w:pPr>
              <w:jc w:val="right"/>
              <w:rPr>
                <w:rFonts w:ascii="Arial" w:hAnsi="Arial" w:cs="Arial"/>
                <w:sz w:val="24"/>
                <w:szCs w:val="24"/>
              </w:rPr>
            </w:pPr>
            <w:r w:rsidRPr="00C05BAA">
              <w:rPr>
                <w:rFonts w:ascii="Arial" w:hAnsi="Arial" w:cs="Arial"/>
                <w:sz w:val="24"/>
                <w:szCs w:val="24"/>
              </w:rPr>
              <w:t>+</w:t>
            </w:r>
            <w:r w:rsidR="00E20B38" w:rsidRPr="00C05BAA">
              <w:rPr>
                <w:rFonts w:ascii="Arial" w:hAnsi="Arial" w:cs="Arial"/>
                <w:sz w:val="24"/>
                <w:szCs w:val="24"/>
              </w:rPr>
              <w:t>14.</w:t>
            </w:r>
            <w:r w:rsidR="004B22DD">
              <w:rPr>
                <w:rFonts w:ascii="Arial" w:hAnsi="Arial" w:cs="Arial"/>
                <w:sz w:val="24"/>
                <w:szCs w:val="24"/>
              </w:rPr>
              <w:t>2</w:t>
            </w:r>
            <w:r w:rsidR="00DB7164" w:rsidRPr="00C05BAA">
              <w:rPr>
                <w:rFonts w:ascii="Arial" w:hAnsi="Arial" w:cs="Arial"/>
                <w:sz w:val="24"/>
                <w:szCs w:val="24"/>
              </w:rPr>
              <w:t>%</w:t>
            </w:r>
          </w:p>
        </w:tc>
        <w:tc>
          <w:tcPr>
            <w:tcW w:w="993" w:type="pct"/>
          </w:tcPr>
          <w:p w:rsidR="001B3B55" w:rsidRPr="00EB1DC5" w:rsidRDefault="00E20B38" w:rsidP="001B3B55">
            <w:pPr>
              <w:jc w:val="right"/>
              <w:rPr>
                <w:rFonts w:ascii="Arial" w:hAnsi="Arial" w:cs="Arial"/>
                <w:sz w:val="24"/>
                <w:szCs w:val="24"/>
              </w:rPr>
            </w:pPr>
            <w:r>
              <w:rPr>
                <w:rFonts w:ascii="Arial" w:hAnsi="Arial" w:cs="Arial"/>
                <w:sz w:val="24"/>
                <w:szCs w:val="24"/>
              </w:rPr>
              <w:t>+11.</w:t>
            </w:r>
            <w:r w:rsidR="004B22DD">
              <w:rPr>
                <w:rFonts w:ascii="Arial" w:hAnsi="Arial" w:cs="Arial"/>
                <w:sz w:val="24"/>
                <w:szCs w:val="24"/>
              </w:rPr>
              <w:t>4</w:t>
            </w:r>
            <w:r w:rsidR="00DB7164" w:rsidRPr="00EB1DC5">
              <w:rPr>
                <w:rFonts w:ascii="Arial" w:hAnsi="Arial" w:cs="Arial"/>
                <w:sz w:val="24"/>
                <w:szCs w:val="24"/>
              </w:rPr>
              <w:t>%</w:t>
            </w:r>
          </w:p>
        </w:tc>
      </w:tr>
    </w:tbl>
    <w:p w:rsidR="009E3E79" w:rsidRPr="00EB1DC5" w:rsidRDefault="009E3E79" w:rsidP="001B3B55">
      <w:pPr>
        <w:rPr>
          <w:rFonts w:ascii="Arial" w:hAnsi="Arial" w:cs="Arial"/>
          <w:sz w:val="24"/>
          <w:szCs w:val="24"/>
          <w:highlight w:val="magenta"/>
        </w:rPr>
      </w:pPr>
    </w:p>
    <w:p w:rsidR="001B3B55" w:rsidRPr="00EB1DC5" w:rsidRDefault="001B3B55" w:rsidP="001B3B55">
      <w:pPr>
        <w:jc w:val="left"/>
        <w:rPr>
          <w:rFonts w:ascii="Arial" w:hAnsi="Arial" w:cs="Arial"/>
          <w:b/>
          <w:bCs/>
          <w:i/>
          <w:iCs/>
          <w:sz w:val="18"/>
          <w:szCs w:val="18"/>
        </w:rPr>
      </w:pPr>
      <w:r w:rsidRPr="00EB1DC5">
        <w:rPr>
          <w:rFonts w:ascii="Arial" w:hAnsi="Arial" w:cs="Arial"/>
          <w:b/>
          <w:bCs/>
          <w:i/>
          <w:iCs/>
          <w:sz w:val="18"/>
          <w:szCs w:val="18"/>
        </w:rPr>
        <w:t>All trading commentary below is in constant currencies</w:t>
      </w:r>
    </w:p>
    <w:p w:rsidR="001B3B55" w:rsidRPr="00C05BAA" w:rsidRDefault="001B3B55" w:rsidP="001B3B55">
      <w:pPr>
        <w:jc w:val="left"/>
        <w:rPr>
          <w:rFonts w:ascii="Arial" w:hAnsi="Arial" w:cs="Arial"/>
          <w:sz w:val="24"/>
          <w:szCs w:val="24"/>
        </w:rPr>
      </w:pPr>
    </w:p>
    <w:p w:rsidR="00E45058" w:rsidRPr="00EB0755" w:rsidRDefault="00185D0E" w:rsidP="00E45058">
      <w:pPr>
        <w:jc w:val="left"/>
        <w:rPr>
          <w:rFonts w:ascii="Arial" w:hAnsi="Arial" w:cs="Arial"/>
          <w:sz w:val="24"/>
          <w:szCs w:val="24"/>
        </w:rPr>
      </w:pPr>
      <w:r w:rsidRPr="00C05BAA">
        <w:rPr>
          <w:rFonts w:ascii="Arial" w:hAnsi="Arial" w:cs="Arial"/>
          <w:b/>
          <w:bCs/>
          <w:sz w:val="24"/>
          <w:szCs w:val="24"/>
        </w:rPr>
        <w:t>Other International</w:t>
      </w:r>
      <w:r w:rsidRPr="00C05BAA">
        <w:rPr>
          <w:rFonts w:ascii="Arial" w:hAnsi="Arial" w:cs="Arial"/>
          <w:sz w:val="24"/>
          <w:szCs w:val="24"/>
        </w:rPr>
        <w:t xml:space="preserve"> total sales </w:t>
      </w:r>
      <w:r w:rsidR="006E396B" w:rsidRPr="00C05BAA">
        <w:rPr>
          <w:rFonts w:ascii="Arial" w:hAnsi="Arial" w:cs="Arial"/>
          <w:sz w:val="24"/>
          <w:szCs w:val="24"/>
        </w:rPr>
        <w:t>increased by 10.5% (+3.4% LFL) to</w:t>
      </w:r>
      <w:r w:rsidR="006E396B">
        <w:rPr>
          <w:rFonts w:ascii="Arial" w:hAnsi="Arial" w:cs="Arial"/>
          <w:sz w:val="24"/>
          <w:szCs w:val="24"/>
        </w:rPr>
        <w:t xml:space="preserve"> £2,339 m</w:t>
      </w:r>
      <w:r w:rsidR="00C82E98">
        <w:rPr>
          <w:rFonts w:ascii="Arial" w:hAnsi="Arial" w:cs="Arial"/>
          <w:sz w:val="24"/>
          <w:szCs w:val="24"/>
        </w:rPr>
        <w:t>illion</w:t>
      </w:r>
      <w:r w:rsidR="006E396B">
        <w:rPr>
          <w:rFonts w:ascii="Arial" w:hAnsi="Arial" w:cs="Arial"/>
          <w:sz w:val="24"/>
          <w:szCs w:val="24"/>
        </w:rPr>
        <w:t xml:space="preserve"> driven by the acquisition of Romania, </w:t>
      </w:r>
      <w:r w:rsidR="00C35DD2">
        <w:rPr>
          <w:rFonts w:ascii="Arial" w:hAnsi="Arial" w:cs="Arial"/>
          <w:sz w:val="24"/>
          <w:szCs w:val="24"/>
        </w:rPr>
        <w:t>LFL growth</w:t>
      </w:r>
      <w:r w:rsidR="006E396B">
        <w:rPr>
          <w:rFonts w:ascii="Arial" w:hAnsi="Arial" w:cs="Arial"/>
          <w:sz w:val="24"/>
          <w:szCs w:val="24"/>
        </w:rPr>
        <w:t xml:space="preserve"> in Poland, Russia and China and new store openings. </w:t>
      </w:r>
      <w:r w:rsidR="00E45058" w:rsidRPr="00EB0755">
        <w:rPr>
          <w:rFonts w:ascii="Arial" w:hAnsi="Arial" w:cs="Arial"/>
          <w:sz w:val="24"/>
          <w:szCs w:val="24"/>
        </w:rPr>
        <w:t xml:space="preserve">Retail profit </w:t>
      </w:r>
      <w:r w:rsidR="00C82E98">
        <w:rPr>
          <w:rFonts w:ascii="Arial" w:hAnsi="Arial" w:cs="Arial"/>
          <w:sz w:val="24"/>
          <w:szCs w:val="24"/>
        </w:rPr>
        <w:t>increased by 11.</w:t>
      </w:r>
      <w:r w:rsidR="00234FFB">
        <w:rPr>
          <w:rFonts w:ascii="Arial" w:hAnsi="Arial" w:cs="Arial"/>
          <w:sz w:val="24"/>
          <w:szCs w:val="24"/>
        </w:rPr>
        <w:t>4</w:t>
      </w:r>
      <w:r w:rsidR="00C82E98">
        <w:rPr>
          <w:rFonts w:ascii="Arial" w:hAnsi="Arial" w:cs="Arial"/>
          <w:sz w:val="24"/>
          <w:szCs w:val="24"/>
        </w:rPr>
        <w:t>% to £171</w:t>
      </w:r>
      <w:r w:rsidR="00165942">
        <w:rPr>
          <w:rFonts w:ascii="Arial" w:hAnsi="Arial" w:cs="Arial"/>
          <w:sz w:val="24"/>
          <w:szCs w:val="24"/>
        </w:rPr>
        <w:t xml:space="preserve"> million</w:t>
      </w:r>
      <w:r w:rsidR="006E396B">
        <w:rPr>
          <w:rFonts w:ascii="Arial" w:hAnsi="Arial" w:cs="Arial"/>
          <w:sz w:val="24"/>
          <w:szCs w:val="24"/>
        </w:rPr>
        <w:t xml:space="preserve"> </w:t>
      </w:r>
      <w:r w:rsidR="00D71302">
        <w:rPr>
          <w:rFonts w:ascii="Arial" w:hAnsi="Arial" w:cs="Arial"/>
          <w:sz w:val="24"/>
          <w:szCs w:val="24"/>
        </w:rPr>
        <w:t xml:space="preserve">primarily </w:t>
      </w:r>
      <w:r w:rsidR="00606D2D">
        <w:rPr>
          <w:rFonts w:ascii="Arial" w:hAnsi="Arial" w:cs="Arial"/>
          <w:sz w:val="24"/>
          <w:szCs w:val="24"/>
        </w:rPr>
        <w:t xml:space="preserve">driven by Poland. </w:t>
      </w:r>
    </w:p>
    <w:p w:rsidR="00E45058" w:rsidRPr="00EB0755" w:rsidRDefault="00E45058" w:rsidP="00E45058">
      <w:pPr>
        <w:jc w:val="left"/>
        <w:rPr>
          <w:rFonts w:ascii="Arial" w:hAnsi="Arial" w:cs="Arial"/>
          <w:sz w:val="24"/>
          <w:szCs w:val="24"/>
          <w:highlight w:val="yellow"/>
        </w:rPr>
      </w:pPr>
    </w:p>
    <w:p w:rsidR="00EB0755" w:rsidRDefault="00E45058" w:rsidP="00185D0E">
      <w:pPr>
        <w:jc w:val="left"/>
        <w:rPr>
          <w:rFonts w:ascii="Arial" w:hAnsi="Arial" w:cs="Arial"/>
          <w:sz w:val="24"/>
          <w:szCs w:val="24"/>
        </w:rPr>
      </w:pPr>
      <w:r w:rsidRPr="00EB0755">
        <w:rPr>
          <w:rFonts w:ascii="Arial" w:hAnsi="Arial" w:cs="Arial"/>
          <w:sz w:val="24"/>
          <w:szCs w:val="24"/>
        </w:rPr>
        <w:t xml:space="preserve">During the year </w:t>
      </w:r>
      <w:r w:rsidR="00FD0AE7">
        <w:rPr>
          <w:rFonts w:ascii="Arial" w:hAnsi="Arial" w:cs="Arial"/>
          <w:sz w:val="24"/>
          <w:szCs w:val="24"/>
        </w:rPr>
        <w:t>1</w:t>
      </w:r>
      <w:r w:rsidR="00715BDB">
        <w:rPr>
          <w:rFonts w:ascii="Arial" w:hAnsi="Arial" w:cs="Arial"/>
          <w:sz w:val="24"/>
          <w:szCs w:val="24"/>
        </w:rPr>
        <w:t>5</w:t>
      </w:r>
      <w:r w:rsidR="00DF4521">
        <w:rPr>
          <w:rFonts w:ascii="Arial" w:hAnsi="Arial" w:cs="Arial"/>
          <w:sz w:val="24"/>
          <w:szCs w:val="24"/>
        </w:rPr>
        <w:t xml:space="preserve"> </w:t>
      </w:r>
      <w:r w:rsidR="003344AC">
        <w:rPr>
          <w:rFonts w:ascii="Arial" w:hAnsi="Arial" w:cs="Arial"/>
          <w:sz w:val="24"/>
          <w:szCs w:val="24"/>
        </w:rPr>
        <w:t xml:space="preserve">net </w:t>
      </w:r>
      <w:r w:rsidR="00043BA4" w:rsidRPr="00EB0755">
        <w:rPr>
          <w:rFonts w:ascii="Arial" w:hAnsi="Arial" w:cs="Arial"/>
          <w:sz w:val="24"/>
          <w:szCs w:val="24"/>
        </w:rPr>
        <w:t xml:space="preserve">new stores were </w:t>
      </w:r>
      <w:r w:rsidR="00EB0755" w:rsidRPr="00EB0755">
        <w:rPr>
          <w:rFonts w:ascii="Arial" w:hAnsi="Arial" w:cs="Arial"/>
          <w:sz w:val="24"/>
          <w:szCs w:val="24"/>
        </w:rPr>
        <w:t>op</w:t>
      </w:r>
      <w:r w:rsidR="00606D2D">
        <w:rPr>
          <w:rFonts w:ascii="Arial" w:hAnsi="Arial" w:cs="Arial"/>
          <w:sz w:val="24"/>
          <w:szCs w:val="24"/>
        </w:rPr>
        <w:t>ened, two in Poland, one in Russia, four in Spain and</w:t>
      </w:r>
      <w:r w:rsidR="00EE7D68">
        <w:rPr>
          <w:rFonts w:ascii="Arial" w:hAnsi="Arial" w:cs="Arial"/>
          <w:sz w:val="24"/>
          <w:szCs w:val="24"/>
        </w:rPr>
        <w:t xml:space="preserve"> </w:t>
      </w:r>
      <w:r w:rsidR="00697269">
        <w:rPr>
          <w:rFonts w:ascii="Arial" w:hAnsi="Arial" w:cs="Arial"/>
          <w:sz w:val="24"/>
          <w:szCs w:val="24"/>
        </w:rPr>
        <w:t>eight</w:t>
      </w:r>
      <w:r w:rsidR="00EE7D68">
        <w:rPr>
          <w:rFonts w:ascii="Arial" w:hAnsi="Arial" w:cs="Arial"/>
          <w:sz w:val="24"/>
          <w:szCs w:val="24"/>
        </w:rPr>
        <w:t xml:space="preserve"> in Turkey</w:t>
      </w:r>
      <w:r w:rsidR="00EE7D68" w:rsidRPr="00EE7D68">
        <w:rPr>
          <w:rFonts w:ascii="Arial" w:hAnsi="Arial" w:cs="Arial"/>
          <w:i/>
          <w:sz w:val="24"/>
          <w:szCs w:val="24"/>
          <w:vertAlign w:val="superscript"/>
        </w:rPr>
        <w:t>(</w:t>
      </w:r>
      <w:r w:rsidR="003F08E8">
        <w:rPr>
          <w:rFonts w:ascii="Arial" w:hAnsi="Arial" w:cs="Arial"/>
          <w:i/>
          <w:sz w:val="24"/>
          <w:szCs w:val="24"/>
          <w:vertAlign w:val="superscript"/>
        </w:rPr>
        <w:t>1</w:t>
      </w:r>
      <w:r w:rsidR="00EE7D68" w:rsidRPr="00EE7D68">
        <w:rPr>
          <w:rFonts w:ascii="Arial" w:hAnsi="Arial" w:cs="Arial"/>
          <w:i/>
          <w:sz w:val="24"/>
          <w:szCs w:val="24"/>
          <w:vertAlign w:val="superscript"/>
        </w:rPr>
        <w:t>)</w:t>
      </w:r>
      <w:r w:rsidR="003C6173">
        <w:rPr>
          <w:rFonts w:ascii="Arial" w:hAnsi="Arial" w:cs="Arial"/>
          <w:sz w:val="24"/>
          <w:szCs w:val="24"/>
        </w:rPr>
        <w:t xml:space="preserve">. Including the acquisition of </w:t>
      </w:r>
      <w:r w:rsidR="00FD0AE7">
        <w:rPr>
          <w:rFonts w:ascii="Arial" w:hAnsi="Arial" w:cs="Arial"/>
          <w:sz w:val="24"/>
          <w:szCs w:val="24"/>
        </w:rPr>
        <w:t xml:space="preserve">15 </w:t>
      </w:r>
      <w:r w:rsidR="00234FFB">
        <w:rPr>
          <w:rFonts w:ascii="Arial" w:hAnsi="Arial" w:cs="Arial"/>
          <w:sz w:val="24"/>
          <w:szCs w:val="24"/>
        </w:rPr>
        <w:t xml:space="preserve">additional </w:t>
      </w:r>
      <w:r w:rsidR="003C6173">
        <w:rPr>
          <w:rFonts w:ascii="Arial" w:hAnsi="Arial" w:cs="Arial"/>
          <w:sz w:val="24"/>
          <w:szCs w:val="24"/>
        </w:rPr>
        <w:t xml:space="preserve">stores in Romania </w:t>
      </w:r>
      <w:r w:rsidR="003954A4">
        <w:rPr>
          <w:rFonts w:ascii="Arial" w:hAnsi="Arial" w:cs="Arial"/>
          <w:sz w:val="24"/>
          <w:szCs w:val="24"/>
        </w:rPr>
        <w:t>in</w:t>
      </w:r>
      <w:r w:rsidR="00F27C71">
        <w:rPr>
          <w:rFonts w:ascii="Arial" w:hAnsi="Arial" w:cs="Arial"/>
          <w:sz w:val="24"/>
          <w:szCs w:val="24"/>
        </w:rPr>
        <w:t xml:space="preserve"> Q2</w:t>
      </w:r>
      <w:r w:rsidR="00606D2D">
        <w:rPr>
          <w:rFonts w:ascii="Arial" w:hAnsi="Arial" w:cs="Arial"/>
          <w:sz w:val="24"/>
          <w:szCs w:val="24"/>
        </w:rPr>
        <w:t xml:space="preserve">, 17% net new </w:t>
      </w:r>
      <w:r w:rsidR="00606D2D" w:rsidRPr="00C05BAA">
        <w:rPr>
          <w:rFonts w:ascii="Arial" w:hAnsi="Arial" w:cs="Arial"/>
          <w:sz w:val="24"/>
          <w:szCs w:val="24"/>
        </w:rPr>
        <w:t>space was added compared to last year.</w:t>
      </w:r>
      <w:r w:rsidR="00606D2D">
        <w:rPr>
          <w:rFonts w:ascii="Arial" w:hAnsi="Arial" w:cs="Arial"/>
          <w:sz w:val="24"/>
          <w:szCs w:val="24"/>
        </w:rPr>
        <w:t xml:space="preserve"> </w:t>
      </w:r>
    </w:p>
    <w:p w:rsidR="005E188F" w:rsidRPr="00EB0755" w:rsidRDefault="005E188F" w:rsidP="00185D0E">
      <w:pPr>
        <w:jc w:val="left"/>
        <w:rPr>
          <w:rFonts w:ascii="Arial" w:hAnsi="Arial" w:cs="Arial"/>
          <w:sz w:val="24"/>
          <w:szCs w:val="24"/>
        </w:rPr>
      </w:pPr>
    </w:p>
    <w:p w:rsidR="00EE7D68" w:rsidRDefault="00043BA4" w:rsidP="00185D0E">
      <w:pPr>
        <w:jc w:val="left"/>
        <w:rPr>
          <w:rFonts w:ascii="Arial" w:hAnsi="Arial" w:cs="Arial"/>
          <w:sz w:val="24"/>
          <w:szCs w:val="24"/>
        </w:rPr>
      </w:pPr>
      <w:r w:rsidRPr="00EB0755">
        <w:rPr>
          <w:rFonts w:ascii="Arial" w:hAnsi="Arial" w:cs="Arial"/>
          <w:sz w:val="24"/>
          <w:szCs w:val="24"/>
        </w:rPr>
        <w:t xml:space="preserve">Sales in </w:t>
      </w:r>
      <w:r w:rsidRPr="00EB0755">
        <w:rPr>
          <w:rFonts w:ascii="Arial" w:hAnsi="Arial" w:cs="Arial"/>
          <w:b/>
          <w:sz w:val="24"/>
          <w:szCs w:val="24"/>
        </w:rPr>
        <w:t>Poland</w:t>
      </w:r>
      <w:r w:rsidRPr="00EB0755">
        <w:rPr>
          <w:rFonts w:ascii="Arial" w:hAnsi="Arial" w:cs="Arial"/>
          <w:sz w:val="24"/>
          <w:szCs w:val="24"/>
        </w:rPr>
        <w:t xml:space="preserve"> were up</w:t>
      </w:r>
      <w:r w:rsidR="004763E6">
        <w:rPr>
          <w:rFonts w:ascii="Arial" w:hAnsi="Arial" w:cs="Arial"/>
          <w:sz w:val="24"/>
          <w:szCs w:val="24"/>
        </w:rPr>
        <w:t xml:space="preserve"> 3.9</w:t>
      </w:r>
      <w:r w:rsidRPr="00EB0755">
        <w:rPr>
          <w:rFonts w:ascii="Arial" w:hAnsi="Arial" w:cs="Arial"/>
          <w:sz w:val="24"/>
          <w:szCs w:val="24"/>
        </w:rPr>
        <w:t>% (</w:t>
      </w:r>
      <w:r w:rsidR="00F56B85">
        <w:rPr>
          <w:rFonts w:ascii="Arial" w:hAnsi="Arial" w:cs="Arial"/>
          <w:sz w:val="24"/>
          <w:szCs w:val="24"/>
        </w:rPr>
        <w:t>+1.2% LFL) to £1,</w:t>
      </w:r>
      <w:r w:rsidR="004763E6">
        <w:rPr>
          <w:rFonts w:ascii="Arial" w:hAnsi="Arial" w:cs="Arial"/>
          <w:sz w:val="24"/>
          <w:szCs w:val="24"/>
        </w:rPr>
        <w:t>1</w:t>
      </w:r>
      <w:r w:rsidR="00F56B85">
        <w:rPr>
          <w:rFonts w:ascii="Arial" w:hAnsi="Arial" w:cs="Arial"/>
          <w:sz w:val="24"/>
          <w:szCs w:val="24"/>
        </w:rPr>
        <w:t>09 m</w:t>
      </w:r>
      <w:r w:rsidR="00EE7D68">
        <w:rPr>
          <w:rFonts w:ascii="Arial" w:hAnsi="Arial" w:cs="Arial"/>
          <w:sz w:val="24"/>
          <w:szCs w:val="24"/>
        </w:rPr>
        <w:t>illion r</w:t>
      </w:r>
      <w:r w:rsidR="00F56B85">
        <w:rPr>
          <w:rFonts w:ascii="Arial" w:hAnsi="Arial" w:cs="Arial"/>
          <w:sz w:val="24"/>
          <w:szCs w:val="24"/>
        </w:rPr>
        <w:t xml:space="preserve">eflecting new store openings. </w:t>
      </w:r>
      <w:r w:rsidR="003C6173">
        <w:rPr>
          <w:rFonts w:ascii="Arial" w:hAnsi="Arial" w:cs="Arial"/>
          <w:sz w:val="24"/>
          <w:szCs w:val="24"/>
        </w:rPr>
        <w:t>G</w:t>
      </w:r>
      <w:r w:rsidR="003C6173" w:rsidRPr="00EB0755">
        <w:rPr>
          <w:rFonts w:ascii="Arial" w:hAnsi="Arial" w:cs="Arial"/>
          <w:sz w:val="24"/>
          <w:szCs w:val="24"/>
        </w:rPr>
        <w:t xml:space="preserve">ross margins were </w:t>
      </w:r>
      <w:r w:rsidR="003C6173">
        <w:rPr>
          <w:rFonts w:ascii="Arial" w:hAnsi="Arial" w:cs="Arial"/>
          <w:sz w:val="24"/>
          <w:szCs w:val="24"/>
        </w:rPr>
        <w:t>up 60</w:t>
      </w:r>
      <w:r w:rsidR="003C6173" w:rsidRPr="00EB0755">
        <w:rPr>
          <w:rFonts w:ascii="Arial" w:hAnsi="Arial" w:cs="Arial"/>
          <w:sz w:val="24"/>
          <w:szCs w:val="24"/>
        </w:rPr>
        <w:t xml:space="preserve"> basis points</w:t>
      </w:r>
      <w:r w:rsidR="003C6173">
        <w:rPr>
          <w:rFonts w:ascii="Arial" w:hAnsi="Arial" w:cs="Arial"/>
          <w:sz w:val="24"/>
          <w:szCs w:val="24"/>
        </w:rPr>
        <w:t xml:space="preserve"> with self-help initiatives more than offsetting investment in pricing which annualised during Q2.</w:t>
      </w:r>
      <w:r w:rsidR="003C6173" w:rsidRPr="00EB0755">
        <w:rPr>
          <w:rFonts w:ascii="Arial" w:hAnsi="Arial" w:cs="Arial"/>
          <w:sz w:val="24"/>
          <w:szCs w:val="24"/>
        </w:rPr>
        <w:t xml:space="preserve"> </w:t>
      </w:r>
      <w:r w:rsidR="005A64D4">
        <w:rPr>
          <w:rFonts w:ascii="Arial" w:hAnsi="Arial" w:cs="Arial"/>
          <w:sz w:val="24"/>
          <w:szCs w:val="24"/>
        </w:rPr>
        <w:t>Productivity initiatives</w:t>
      </w:r>
      <w:r w:rsidR="007F1CD4">
        <w:rPr>
          <w:rFonts w:ascii="Arial" w:hAnsi="Arial" w:cs="Arial"/>
          <w:sz w:val="24"/>
          <w:szCs w:val="24"/>
        </w:rPr>
        <w:t xml:space="preserve"> largely offse</w:t>
      </w:r>
      <w:r w:rsidR="00F56B85">
        <w:rPr>
          <w:rFonts w:ascii="Arial" w:hAnsi="Arial" w:cs="Arial"/>
          <w:sz w:val="24"/>
          <w:szCs w:val="24"/>
        </w:rPr>
        <w:t xml:space="preserve">t cost inflation resulting in </w:t>
      </w:r>
      <w:r w:rsidR="00F56B85" w:rsidRPr="00C05BAA">
        <w:rPr>
          <w:rFonts w:ascii="Arial" w:hAnsi="Arial" w:cs="Arial"/>
          <w:sz w:val="24"/>
          <w:szCs w:val="24"/>
        </w:rPr>
        <w:t>a</w:t>
      </w:r>
      <w:r w:rsidR="007F1CD4">
        <w:rPr>
          <w:rFonts w:ascii="Arial" w:hAnsi="Arial" w:cs="Arial"/>
          <w:sz w:val="24"/>
          <w:szCs w:val="24"/>
        </w:rPr>
        <w:t xml:space="preserve"> </w:t>
      </w:r>
      <w:r w:rsidR="002462B5">
        <w:rPr>
          <w:rFonts w:ascii="Arial" w:hAnsi="Arial" w:cs="Arial"/>
          <w:sz w:val="24"/>
          <w:szCs w:val="24"/>
        </w:rPr>
        <w:t>10.9</w:t>
      </w:r>
      <w:r w:rsidRPr="00EB0755">
        <w:rPr>
          <w:rFonts w:ascii="Arial" w:hAnsi="Arial" w:cs="Arial"/>
          <w:sz w:val="24"/>
          <w:szCs w:val="24"/>
        </w:rPr>
        <w:t xml:space="preserve">% </w:t>
      </w:r>
      <w:r w:rsidR="003C6173">
        <w:rPr>
          <w:rFonts w:ascii="Arial" w:hAnsi="Arial" w:cs="Arial"/>
          <w:sz w:val="24"/>
          <w:szCs w:val="24"/>
        </w:rPr>
        <w:t>increase</w:t>
      </w:r>
      <w:r w:rsidR="002462B5">
        <w:rPr>
          <w:rFonts w:ascii="Arial" w:hAnsi="Arial" w:cs="Arial"/>
          <w:sz w:val="24"/>
          <w:szCs w:val="24"/>
        </w:rPr>
        <w:t xml:space="preserve"> in retail profit to £12</w:t>
      </w:r>
      <w:r w:rsidR="0004782C">
        <w:rPr>
          <w:rFonts w:ascii="Arial" w:hAnsi="Arial" w:cs="Arial"/>
          <w:sz w:val="24"/>
          <w:szCs w:val="24"/>
        </w:rPr>
        <w:t>3</w:t>
      </w:r>
      <w:r w:rsidR="005A64D4">
        <w:rPr>
          <w:rFonts w:ascii="Arial" w:hAnsi="Arial" w:cs="Arial"/>
          <w:sz w:val="24"/>
          <w:szCs w:val="24"/>
        </w:rPr>
        <w:t xml:space="preserve"> million.</w:t>
      </w:r>
    </w:p>
    <w:p w:rsidR="00EE7D68" w:rsidRDefault="00EE7D68" w:rsidP="00185D0E">
      <w:pPr>
        <w:jc w:val="left"/>
        <w:rPr>
          <w:rFonts w:ascii="Arial" w:hAnsi="Arial" w:cs="Arial"/>
          <w:sz w:val="24"/>
          <w:szCs w:val="24"/>
        </w:rPr>
      </w:pPr>
    </w:p>
    <w:p w:rsidR="00144DF2" w:rsidRPr="00F158C0" w:rsidRDefault="00FC1204" w:rsidP="00144DF2">
      <w:pPr>
        <w:jc w:val="left"/>
        <w:rPr>
          <w:rFonts w:ascii="Arial" w:hAnsi="Arial" w:cs="Arial"/>
          <w:sz w:val="24"/>
          <w:szCs w:val="24"/>
        </w:rPr>
      </w:pPr>
      <w:r w:rsidRPr="00EB0755">
        <w:rPr>
          <w:rFonts w:ascii="Arial" w:hAnsi="Arial" w:cs="Arial"/>
          <w:sz w:val="24"/>
          <w:szCs w:val="24"/>
        </w:rPr>
        <w:t xml:space="preserve">In </w:t>
      </w:r>
      <w:r w:rsidRPr="00EB0755">
        <w:rPr>
          <w:rFonts w:ascii="Arial" w:hAnsi="Arial" w:cs="Arial"/>
          <w:b/>
          <w:sz w:val="24"/>
          <w:szCs w:val="24"/>
        </w:rPr>
        <w:t xml:space="preserve">Russia </w:t>
      </w:r>
      <w:r w:rsidRPr="00EB0755">
        <w:rPr>
          <w:rFonts w:ascii="Arial" w:hAnsi="Arial" w:cs="Arial"/>
          <w:sz w:val="24"/>
          <w:szCs w:val="24"/>
        </w:rPr>
        <w:t xml:space="preserve">sales </w:t>
      </w:r>
      <w:r>
        <w:rPr>
          <w:rFonts w:ascii="Arial" w:hAnsi="Arial" w:cs="Arial"/>
          <w:sz w:val="24"/>
          <w:szCs w:val="24"/>
        </w:rPr>
        <w:t>grew by 9.</w:t>
      </w:r>
      <w:r w:rsidRPr="00F27C71">
        <w:rPr>
          <w:rFonts w:ascii="Arial" w:hAnsi="Arial" w:cs="Arial"/>
          <w:sz w:val="24"/>
          <w:szCs w:val="24"/>
        </w:rPr>
        <w:t>2%</w:t>
      </w:r>
      <w:r w:rsidR="00F56B85" w:rsidRPr="00F27C71">
        <w:rPr>
          <w:rFonts w:ascii="Arial" w:hAnsi="Arial" w:cs="Arial"/>
          <w:sz w:val="24"/>
          <w:szCs w:val="24"/>
        </w:rPr>
        <w:t xml:space="preserve"> (+8.0% LFL) </w:t>
      </w:r>
      <w:r w:rsidRPr="00F27C71">
        <w:rPr>
          <w:rFonts w:ascii="Arial" w:hAnsi="Arial" w:cs="Arial"/>
          <w:sz w:val="24"/>
          <w:szCs w:val="24"/>
        </w:rPr>
        <w:t>to £453 million benefiting from</w:t>
      </w:r>
      <w:r w:rsidR="00103FCE" w:rsidRPr="00F27C71">
        <w:rPr>
          <w:rFonts w:ascii="Arial" w:hAnsi="Arial" w:cs="Arial"/>
          <w:sz w:val="24"/>
          <w:szCs w:val="24"/>
        </w:rPr>
        <w:t xml:space="preserve"> </w:t>
      </w:r>
      <w:r w:rsidR="006C213C" w:rsidRPr="00F27C71">
        <w:rPr>
          <w:rFonts w:ascii="Arial" w:hAnsi="Arial" w:cs="Arial"/>
          <w:sz w:val="24"/>
          <w:szCs w:val="24"/>
        </w:rPr>
        <w:t>new store</w:t>
      </w:r>
      <w:r w:rsidR="00103FCE" w:rsidRPr="00F27C71">
        <w:rPr>
          <w:rFonts w:ascii="Arial" w:hAnsi="Arial" w:cs="Arial"/>
          <w:sz w:val="24"/>
          <w:szCs w:val="24"/>
        </w:rPr>
        <w:t xml:space="preserve"> </w:t>
      </w:r>
      <w:r w:rsidR="006C213C" w:rsidRPr="00F27C71">
        <w:rPr>
          <w:rFonts w:ascii="Arial" w:hAnsi="Arial" w:cs="Arial"/>
          <w:sz w:val="24"/>
          <w:szCs w:val="24"/>
        </w:rPr>
        <w:t>opening</w:t>
      </w:r>
      <w:r w:rsidR="00F56B85" w:rsidRPr="00F27C71">
        <w:rPr>
          <w:rFonts w:ascii="Arial" w:hAnsi="Arial" w:cs="Arial"/>
          <w:sz w:val="24"/>
          <w:szCs w:val="24"/>
        </w:rPr>
        <w:t>s</w:t>
      </w:r>
      <w:r w:rsidR="00F7716E" w:rsidRPr="00F27C71">
        <w:rPr>
          <w:rFonts w:ascii="Arial" w:hAnsi="Arial" w:cs="Arial"/>
          <w:sz w:val="24"/>
          <w:szCs w:val="24"/>
        </w:rPr>
        <w:t>.</w:t>
      </w:r>
      <w:r w:rsidR="00F7716E">
        <w:rPr>
          <w:rFonts w:ascii="Arial" w:hAnsi="Arial" w:cs="Arial"/>
          <w:sz w:val="24"/>
          <w:szCs w:val="24"/>
        </w:rPr>
        <w:t xml:space="preserve"> LFL sales were up 10.5% in H1 though slower in H2 (+5.8% LFL).</w:t>
      </w:r>
      <w:r w:rsidR="006C213C">
        <w:rPr>
          <w:rFonts w:ascii="Arial" w:hAnsi="Arial" w:cs="Arial"/>
          <w:sz w:val="24"/>
          <w:szCs w:val="24"/>
        </w:rPr>
        <w:t xml:space="preserve"> </w:t>
      </w:r>
      <w:r>
        <w:rPr>
          <w:rFonts w:ascii="Arial" w:hAnsi="Arial" w:cs="Arial"/>
          <w:sz w:val="24"/>
          <w:szCs w:val="24"/>
        </w:rPr>
        <w:t>Retail profit was £15 million</w:t>
      </w:r>
      <w:r w:rsidR="00F7716E">
        <w:rPr>
          <w:rFonts w:ascii="Arial" w:hAnsi="Arial" w:cs="Arial"/>
          <w:sz w:val="24"/>
          <w:szCs w:val="24"/>
        </w:rPr>
        <w:t xml:space="preserve"> (2012/13: £16 million </w:t>
      </w:r>
      <w:r w:rsidRPr="0026648B">
        <w:rPr>
          <w:rFonts w:ascii="Arial" w:hAnsi="Arial" w:cs="Arial"/>
          <w:sz w:val="24"/>
          <w:szCs w:val="24"/>
        </w:rPr>
        <w:t>reported</w:t>
      </w:r>
      <w:r w:rsidR="00F7716E">
        <w:rPr>
          <w:rFonts w:ascii="Arial" w:hAnsi="Arial" w:cs="Arial"/>
          <w:sz w:val="24"/>
          <w:szCs w:val="24"/>
        </w:rPr>
        <w:t xml:space="preserve"> retail profit)</w:t>
      </w:r>
      <w:r w:rsidR="00CF61ED">
        <w:rPr>
          <w:rFonts w:ascii="Arial" w:hAnsi="Arial" w:cs="Arial"/>
          <w:sz w:val="24"/>
          <w:szCs w:val="24"/>
        </w:rPr>
        <w:t xml:space="preserve"> </w:t>
      </w:r>
      <w:r w:rsidR="00CF61ED" w:rsidRPr="00F27C71">
        <w:rPr>
          <w:rFonts w:ascii="Arial" w:hAnsi="Arial" w:cs="Arial"/>
          <w:sz w:val="24"/>
          <w:szCs w:val="24"/>
        </w:rPr>
        <w:t>reflecting higher pre-opening and advertising costs compared to last year</w:t>
      </w:r>
      <w:r w:rsidR="00F7716E" w:rsidRPr="00F27C71">
        <w:rPr>
          <w:rFonts w:ascii="Arial" w:hAnsi="Arial" w:cs="Arial"/>
          <w:sz w:val="24"/>
          <w:szCs w:val="24"/>
        </w:rPr>
        <w:t>.</w:t>
      </w:r>
      <w:r w:rsidR="00F27C71" w:rsidRPr="00F27C71">
        <w:rPr>
          <w:rFonts w:ascii="Arial" w:hAnsi="Arial" w:cs="Arial"/>
          <w:sz w:val="24"/>
          <w:szCs w:val="24"/>
        </w:rPr>
        <w:t xml:space="preserve"> </w:t>
      </w:r>
      <w:r w:rsidR="00144DF2" w:rsidRPr="00F27C71">
        <w:rPr>
          <w:rFonts w:ascii="Arial" w:hAnsi="Arial" w:cs="Arial"/>
          <w:sz w:val="24"/>
          <w:szCs w:val="24"/>
        </w:rPr>
        <w:t xml:space="preserve">In </w:t>
      </w:r>
      <w:r w:rsidR="00144DF2" w:rsidRPr="00F27C71">
        <w:rPr>
          <w:rFonts w:ascii="Arial" w:hAnsi="Arial" w:cs="Arial"/>
          <w:b/>
          <w:sz w:val="24"/>
          <w:szCs w:val="24"/>
        </w:rPr>
        <w:t xml:space="preserve">Turkey, </w:t>
      </w:r>
      <w:r w:rsidR="00144DF2" w:rsidRPr="00F27C71">
        <w:rPr>
          <w:rFonts w:ascii="Arial" w:hAnsi="Arial" w:cs="Arial"/>
          <w:sz w:val="24"/>
          <w:szCs w:val="24"/>
        </w:rPr>
        <w:t>Kingfisher’s</w:t>
      </w:r>
      <w:r w:rsidR="00144DF2" w:rsidRPr="0026648B">
        <w:rPr>
          <w:rFonts w:ascii="Arial" w:hAnsi="Arial" w:cs="Arial"/>
          <w:sz w:val="24"/>
          <w:szCs w:val="24"/>
        </w:rPr>
        <w:t xml:space="preserve"> 50% JV, </w:t>
      </w:r>
      <w:r w:rsidR="00144DF2" w:rsidRPr="0026648B">
        <w:rPr>
          <w:rFonts w:ascii="Arial" w:hAnsi="Arial" w:cs="Arial"/>
          <w:bCs/>
          <w:sz w:val="24"/>
          <w:szCs w:val="24"/>
        </w:rPr>
        <w:t xml:space="preserve">Koçtaş, grew </w:t>
      </w:r>
      <w:r w:rsidR="00144DF2">
        <w:rPr>
          <w:rFonts w:ascii="Arial" w:hAnsi="Arial" w:cs="Arial"/>
          <w:sz w:val="24"/>
          <w:szCs w:val="24"/>
        </w:rPr>
        <w:t>sales by 8.0</w:t>
      </w:r>
      <w:r w:rsidR="00144DF2" w:rsidRPr="0026648B">
        <w:rPr>
          <w:rFonts w:ascii="Arial" w:hAnsi="Arial" w:cs="Arial"/>
          <w:sz w:val="24"/>
          <w:szCs w:val="24"/>
        </w:rPr>
        <w:t>% (</w:t>
      </w:r>
      <w:r w:rsidR="00144DF2">
        <w:rPr>
          <w:rFonts w:ascii="Arial" w:hAnsi="Arial" w:cs="Arial"/>
          <w:sz w:val="24"/>
          <w:szCs w:val="24"/>
        </w:rPr>
        <w:t>+5.0</w:t>
      </w:r>
      <w:r w:rsidR="00144DF2" w:rsidRPr="0026648B">
        <w:rPr>
          <w:rFonts w:ascii="Arial" w:hAnsi="Arial" w:cs="Arial"/>
          <w:sz w:val="24"/>
          <w:szCs w:val="24"/>
        </w:rPr>
        <w:t>% LFL)</w:t>
      </w:r>
      <w:r w:rsidR="00AC2D47">
        <w:rPr>
          <w:rFonts w:ascii="Arial" w:hAnsi="Arial" w:cs="Arial"/>
          <w:sz w:val="24"/>
          <w:szCs w:val="24"/>
        </w:rPr>
        <w:t xml:space="preserve"> to £332 million</w:t>
      </w:r>
      <w:r w:rsidR="00144DF2" w:rsidRPr="0026648B">
        <w:rPr>
          <w:rFonts w:ascii="Arial" w:hAnsi="Arial" w:cs="Arial"/>
          <w:sz w:val="24"/>
          <w:szCs w:val="24"/>
        </w:rPr>
        <w:t xml:space="preserve"> reflecting new store opening</w:t>
      </w:r>
      <w:r w:rsidR="00E652D5">
        <w:rPr>
          <w:rFonts w:ascii="Arial" w:hAnsi="Arial" w:cs="Arial"/>
          <w:sz w:val="24"/>
          <w:szCs w:val="24"/>
        </w:rPr>
        <w:t>s</w:t>
      </w:r>
      <w:r w:rsidR="00144DF2" w:rsidRPr="00F158C0">
        <w:rPr>
          <w:rFonts w:ascii="Arial" w:hAnsi="Arial" w:cs="Arial"/>
          <w:sz w:val="24"/>
          <w:szCs w:val="24"/>
        </w:rPr>
        <w:t>.</w:t>
      </w:r>
      <w:r w:rsidR="00144DF2" w:rsidRPr="0026648B">
        <w:rPr>
          <w:rFonts w:ascii="Arial" w:hAnsi="Arial" w:cs="Arial"/>
          <w:sz w:val="24"/>
          <w:szCs w:val="24"/>
        </w:rPr>
        <w:t xml:space="preserve"> R</w:t>
      </w:r>
      <w:r w:rsidR="00144DF2">
        <w:rPr>
          <w:rFonts w:ascii="Arial" w:hAnsi="Arial" w:cs="Arial"/>
          <w:sz w:val="24"/>
          <w:szCs w:val="24"/>
        </w:rPr>
        <w:t>etail profit contribution was</w:t>
      </w:r>
      <w:r w:rsidR="00090A60">
        <w:rPr>
          <w:rFonts w:ascii="Arial" w:hAnsi="Arial" w:cs="Arial"/>
          <w:sz w:val="24"/>
          <w:szCs w:val="24"/>
        </w:rPr>
        <w:t xml:space="preserve"> up 24.4% to</w:t>
      </w:r>
      <w:r w:rsidR="00144DF2">
        <w:rPr>
          <w:rFonts w:ascii="Arial" w:hAnsi="Arial" w:cs="Arial"/>
          <w:sz w:val="24"/>
          <w:szCs w:val="24"/>
        </w:rPr>
        <w:t xml:space="preserve"> £11</w:t>
      </w:r>
      <w:r w:rsidR="00144DF2" w:rsidRPr="0026648B">
        <w:rPr>
          <w:rFonts w:ascii="Arial" w:hAnsi="Arial" w:cs="Arial"/>
          <w:sz w:val="24"/>
          <w:szCs w:val="24"/>
        </w:rPr>
        <w:t xml:space="preserve"> million</w:t>
      </w:r>
      <w:r w:rsidR="00090A60">
        <w:rPr>
          <w:rFonts w:ascii="Arial" w:hAnsi="Arial" w:cs="Arial"/>
          <w:sz w:val="24"/>
          <w:szCs w:val="24"/>
        </w:rPr>
        <w:t>.</w:t>
      </w:r>
    </w:p>
    <w:p w:rsidR="00144DF2" w:rsidRPr="0026648B" w:rsidRDefault="00144DF2" w:rsidP="00144DF2">
      <w:pPr>
        <w:jc w:val="left"/>
        <w:rPr>
          <w:rFonts w:ascii="Arial" w:hAnsi="Arial" w:cs="Arial"/>
          <w:sz w:val="24"/>
          <w:szCs w:val="24"/>
          <w:highlight w:val="yellow"/>
        </w:rPr>
      </w:pPr>
    </w:p>
    <w:p w:rsidR="00F27C71" w:rsidRDefault="00144DF2" w:rsidP="00185D0E">
      <w:pPr>
        <w:jc w:val="left"/>
        <w:rPr>
          <w:rFonts w:ascii="Arial" w:hAnsi="Arial" w:cs="Arial"/>
          <w:sz w:val="24"/>
          <w:szCs w:val="24"/>
        </w:rPr>
      </w:pPr>
      <w:r>
        <w:rPr>
          <w:rFonts w:ascii="Arial" w:hAnsi="Arial" w:cs="Arial"/>
          <w:sz w:val="24"/>
          <w:szCs w:val="24"/>
        </w:rPr>
        <w:t>Brico Dépôt</w:t>
      </w:r>
      <w:r w:rsidR="00043BA4" w:rsidRPr="00EB0755">
        <w:rPr>
          <w:rFonts w:ascii="Arial" w:hAnsi="Arial" w:cs="Arial"/>
          <w:sz w:val="24"/>
          <w:szCs w:val="24"/>
        </w:rPr>
        <w:t xml:space="preserve"> </w:t>
      </w:r>
      <w:r w:rsidR="00043BA4" w:rsidRPr="00EB0755">
        <w:rPr>
          <w:rFonts w:ascii="Arial" w:hAnsi="Arial" w:cs="Arial"/>
          <w:b/>
          <w:sz w:val="24"/>
          <w:szCs w:val="24"/>
        </w:rPr>
        <w:t>Spain</w:t>
      </w:r>
      <w:r w:rsidR="00043BA4" w:rsidRPr="00EB0755">
        <w:rPr>
          <w:rFonts w:ascii="Arial" w:hAnsi="Arial" w:cs="Arial"/>
          <w:sz w:val="24"/>
          <w:szCs w:val="24"/>
        </w:rPr>
        <w:t xml:space="preserve"> </w:t>
      </w:r>
      <w:r>
        <w:rPr>
          <w:rFonts w:ascii="Arial" w:hAnsi="Arial" w:cs="Arial"/>
          <w:sz w:val="24"/>
          <w:szCs w:val="24"/>
        </w:rPr>
        <w:t xml:space="preserve">sales </w:t>
      </w:r>
      <w:r w:rsidR="00043BA4" w:rsidRPr="00EB0755">
        <w:rPr>
          <w:rFonts w:ascii="Arial" w:hAnsi="Arial" w:cs="Arial"/>
          <w:sz w:val="24"/>
          <w:szCs w:val="24"/>
        </w:rPr>
        <w:t>grew</w:t>
      </w:r>
      <w:r w:rsidR="002462B5">
        <w:rPr>
          <w:rFonts w:ascii="Arial" w:hAnsi="Arial" w:cs="Arial"/>
          <w:sz w:val="24"/>
          <w:szCs w:val="24"/>
        </w:rPr>
        <w:t xml:space="preserve"> by 16.4</w:t>
      </w:r>
      <w:r w:rsidR="00043BA4" w:rsidRPr="00EB0755">
        <w:rPr>
          <w:rFonts w:ascii="Arial" w:hAnsi="Arial" w:cs="Arial"/>
          <w:sz w:val="24"/>
          <w:szCs w:val="24"/>
        </w:rPr>
        <w:t>% (</w:t>
      </w:r>
      <w:r w:rsidR="00A01F89">
        <w:rPr>
          <w:rFonts w:ascii="Arial" w:hAnsi="Arial" w:cs="Arial"/>
          <w:sz w:val="24"/>
          <w:szCs w:val="24"/>
        </w:rPr>
        <w:t>-</w:t>
      </w:r>
      <w:r w:rsidR="002462B5">
        <w:rPr>
          <w:rFonts w:ascii="Arial" w:hAnsi="Arial" w:cs="Arial"/>
          <w:sz w:val="24"/>
          <w:szCs w:val="24"/>
        </w:rPr>
        <w:t>3.1% LFL) to £284 million</w:t>
      </w:r>
      <w:r w:rsidR="00FC1204">
        <w:rPr>
          <w:rFonts w:ascii="Arial" w:hAnsi="Arial" w:cs="Arial"/>
          <w:sz w:val="24"/>
          <w:szCs w:val="24"/>
        </w:rPr>
        <w:t xml:space="preserve"> reflecting new store openings</w:t>
      </w:r>
      <w:r>
        <w:rPr>
          <w:rFonts w:ascii="Arial" w:hAnsi="Arial" w:cs="Arial"/>
          <w:sz w:val="24"/>
          <w:szCs w:val="24"/>
        </w:rPr>
        <w:t xml:space="preserve"> offset by a difficult market</w:t>
      </w:r>
      <w:r w:rsidR="00FC1204">
        <w:rPr>
          <w:rFonts w:ascii="Arial" w:hAnsi="Arial" w:cs="Arial"/>
          <w:sz w:val="24"/>
          <w:szCs w:val="24"/>
        </w:rPr>
        <w:t xml:space="preserve">. </w:t>
      </w:r>
      <w:r w:rsidR="002462B5">
        <w:rPr>
          <w:rFonts w:ascii="Arial" w:hAnsi="Arial" w:cs="Arial"/>
          <w:sz w:val="24"/>
          <w:szCs w:val="24"/>
        </w:rPr>
        <w:t>Retail profit was £1</w:t>
      </w:r>
      <w:r w:rsidR="00EB0755" w:rsidRPr="00EB0755">
        <w:rPr>
          <w:rFonts w:ascii="Arial" w:hAnsi="Arial" w:cs="Arial"/>
          <w:sz w:val="24"/>
          <w:szCs w:val="24"/>
        </w:rPr>
        <w:t xml:space="preserve"> million</w:t>
      </w:r>
      <w:r w:rsidR="00090A60">
        <w:rPr>
          <w:rFonts w:ascii="Arial" w:hAnsi="Arial" w:cs="Arial"/>
          <w:sz w:val="24"/>
          <w:szCs w:val="24"/>
        </w:rPr>
        <w:t xml:space="preserve"> (</w:t>
      </w:r>
      <w:r w:rsidR="008F4043">
        <w:rPr>
          <w:rFonts w:ascii="Arial" w:hAnsi="Arial" w:cs="Arial"/>
          <w:sz w:val="24"/>
          <w:szCs w:val="24"/>
        </w:rPr>
        <w:t>2012/13: £1 million reported retail profit).</w:t>
      </w:r>
      <w:r w:rsidR="00F27C71">
        <w:rPr>
          <w:rFonts w:ascii="Arial" w:hAnsi="Arial" w:cs="Arial"/>
          <w:sz w:val="24"/>
          <w:szCs w:val="24"/>
        </w:rPr>
        <w:t xml:space="preserve"> </w:t>
      </w:r>
      <w:r w:rsidR="00587CA4">
        <w:rPr>
          <w:rFonts w:ascii="Arial" w:hAnsi="Arial" w:cs="Arial"/>
          <w:sz w:val="24"/>
          <w:szCs w:val="24"/>
        </w:rPr>
        <w:t xml:space="preserve">Bricostore </w:t>
      </w:r>
      <w:r w:rsidR="00587CA4" w:rsidRPr="00587CA4">
        <w:rPr>
          <w:rFonts w:ascii="Arial" w:hAnsi="Arial" w:cs="Arial"/>
          <w:b/>
          <w:sz w:val="24"/>
          <w:szCs w:val="24"/>
        </w:rPr>
        <w:t>Romania</w:t>
      </w:r>
      <w:r w:rsidR="003954A4">
        <w:rPr>
          <w:rFonts w:ascii="Arial" w:hAnsi="Arial" w:cs="Arial"/>
          <w:sz w:val="24"/>
          <w:szCs w:val="24"/>
        </w:rPr>
        <w:t>, acquired in</w:t>
      </w:r>
      <w:r w:rsidR="008F4043">
        <w:rPr>
          <w:rFonts w:ascii="Arial" w:hAnsi="Arial" w:cs="Arial"/>
          <w:sz w:val="24"/>
          <w:szCs w:val="24"/>
        </w:rPr>
        <w:t xml:space="preserve"> Q2</w:t>
      </w:r>
      <w:r w:rsidR="00587CA4" w:rsidRPr="00587CA4">
        <w:rPr>
          <w:rFonts w:ascii="Arial" w:hAnsi="Arial" w:cs="Arial"/>
          <w:sz w:val="24"/>
          <w:szCs w:val="24"/>
        </w:rPr>
        <w:t>,</w:t>
      </w:r>
      <w:r w:rsidR="008F4043">
        <w:rPr>
          <w:rFonts w:ascii="Arial" w:hAnsi="Arial" w:cs="Arial"/>
          <w:sz w:val="24"/>
          <w:szCs w:val="24"/>
        </w:rPr>
        <w:t xml:space="preserve"> contributed</w:t>
      </w:r>
      <w:r w:rsidR="00587CA4">
        <w:rPr>
          <w:rFonts w:ascii="Arial" w:hAnsi="Arial" w:cs="Arial"/>
          <w:sz w:val="24"/>
          <w:szCs w:val="24"/>
        </w:rPr>
        <w:t xml:space="preserve"> sales of £72 million</w:t>
      </w:r>
      <w:r w:rsidR="00706827">
        <w:rPr>
          <w:rFonts w:ascii="Arial" w:hAnsi="Arial" w:cs="Arial"/>
          <w:sz w:val="24"/>
          <w:szCs w:val="24"/>
        </w:rPr>
        <w:t xml:space="preserve"> </w:t>
      </w:r>
      <w:r w:rsidR="00587CA4">
        <w:rPr>
          <w:rFonts w:ascii="Arial" w:hAnsi="Arial" w:cs="Arial"/>
          <w:sz w:val="24"/>
          <w:szCs w:val="24"/>
        </w:rPr>
        <w:t>and retail profit of £</w:t>
      </w:r>
      <w:r w:rsidR="0004782C">
        <w:rPr>
          <w:rFonts w:ascii="Arial" w:hAnsi="Arial" w:cs="Arial"/>
          <w:sz w:val="24"/>
          <w:szCs w:val="24"/>
        </w:rPr>
        <w:t>1 million</w:t>
      </w:r>
      <w:r w:rsidR="00587CA4">
        <w:rPr>
          <w:rFonts w:ascii="Arial" w:hAnsi="Arial" w:cs="Arial"/>
          <w:sz w:val="24"/>
          <w:szCs w:val="24"/>
        </w:rPr>
        <w:t>.</w:t>
      </w:r>
      <w:r w:rsidR="00D71302">
        <w:rPr>
          <w:rFonts w:ascii="Arial" w:hAnsi="Arial" w:cs="Arial"/>
          <w:sz w:val="24"/>
          <w:szCs w:val="24"/>
        </w:rPr>
        <w:t xml:space="preserve"> </w:t>
      </w:r>
    </w:p>
    <w:p w:rsidR="00D71302" w:rsidRDefault="00D71302" w:rsidP="00185D0E">
      <w:pPr>
        <w:jc w:val="left"/>
        <w:rPr>
          <w:rFonts w:ascii="Arial" w:hAnsi="Arial" w:cs="Arial"/>
          <w:sz w:val="24"/>
          <w:szCs w:val="24"/>
        </w:rPr>
      </w:pPr>
    </w:p>
    <w:p w:rsidR="00D71302" w:rsidRDefault="00D71302" w:rsidP="00185D0E">
      <w:pPr>
        <w:jc w:val="left"/>
        <w:rPr>
          <w:rFonts w:ascii="Arial" w:hAnsi="Arial" w:cs="Arial"/>
          <w:sz w:val="24"/>
          <w:szCs w:val="24"/>
        </w:rPr>
      </w:pPr>
      <w:r w:rsidRPr="0026648B">
        <w:rPr>
          <w:rFonts w:ascii="Arial" w:hAnsi="Arial" w:cs="Arial"/>
          <w:b/>
          <w:sz w:val="24"/>
          <w:szCs w:val="24"/>
        </w:rPr>
        <w:t>Hornbach</w:t>
      </w:r>
      <w:r>
        <w:rPr>
          <w:rFonts w:ascii="Arial" w:hAnsi="Arial" w:cs="Arial"/>
          <w:sz w:val="24"/>
          <w:szCs w:val="24"/>
        </w:rPr>
        <w:t>, in which Kingfisher had</w:t>
      </w:r>
      <w:r w:rsidRPr="0026648B">
        <w:rPr>
          <w:rFonts w:ascii="Arial" w:hAnsi="Arial" w:cs="Arial"/>
          <w:sz w:val="24"/>
          <w:szCs w:val="24"/>
        </w:rPr>
        <w:t xml:space="preserve"> a 21% economic interest</w:t>
      </w:r>
      <w:r>
        <w:rPr>
          <w:rFonts w:ascii="Arial" w:hAnsi="Arial" w:cs="Arial"/>
          <w:i/>
          <w:sz w:val="24"/>
          <w:szCs w:val="24"/>
          <w:vertAlign w:val="superscript"/>
        </w:rPr>
        <w:t>(2</w:t>
      </w:r>
      <w:r w:rsidRPr="00365752">
        <w:rPr>
          <w:rFonts w:ascii="Arial" w:hAnsi="Arial" w:cs="Arial"/>
          <w:i/>
          <w:sz w:val="24"/>
          <w:szCs w:val="24"/>
          <w:vertAlign w:val="superscript"/>
        </w:rPr>
        <w:t>)</w:t>
      </w:r>
      <w:r w:rsidRPr="0026648B">
        <w:rPr>
          <w:rFonts w:ascii="Arial" w:hAnsi="Arial" w:cs="Arial"/>
          <w:sz w:val="24"/>
          <w:szCs w:val="24"/>
        </w:rPr>
        <w:t>, contributed £</w:t>
      </w:r>
      <w:r>
        <w:rPr>
          <w:rFonts w:ascii="Arial" w:hAnsi="Arial" w:cs="Arial"/>
          <w:sz w:val="24"/>
          <w:szCs w:val="24"/>
        </w:rPr>
        <w:t>26</w:t>
      </w:r>
      <w:r w:rsidRPr="0026648B">
        <w:rPr>
          <w:rFonts w:ascii="Arial" w:hAnsi="Arial" w:cs="Arial"/>
          <w:sz w:val="24"/>
          <w:szCs w:val="24"/>
        </w:rPr>
        <w:t xml:space="preserve"> million to retail profit</w:t>
      </w:r>
      <w:r>
        <w:rPr>
          <w:rFonts w:ascii="Arial" w:hAnsi="Arial" w:cs="Arial"/>
          <w:sz w:val="24"/>
          <w:szCs w:val="24"/>
        </w:rPr>
        <w:t xml:space="preserve"> (2012/13: £26 million reported retail profit).</w:t>
      </w:r>
    </w:p>
    <w:p w:rsidR="00D71302" w:rsidRPr="0026648B" w:rsidRDefault="00D71302" w:rsidP="00185D0E">
      <w:pPr>
        <w:jc w:val="left"/>
        <w:rPr>
          <w:rFonts w:ascii="Arial" w:hAnsi="Arial" w:cs="Arial"/>
          <w:sz w:val="24"/>
          <w:szCs w:val="24"/>
        </w:rPr>
      </w:pPr>
    </w:p>
    <w:p w:rsidR="00F36BC0" w:rsidRPr="0026648B" w:rsidRDefault="00F36BC0" w:rsidP="0006717E">
      <w:pPr>
        <w:jc w:val="left"/>
        <w:rPr>
          <w:rFonts w:ascii="Arial" w:hAnsi="Arial" w:cs="Arial"/>
          <w:sz w:val="24"/>
          <w:szCs w:val="24"/>
        </w:rPr>
      </w:pPr>
      <w:r w:rsidRPr="0026648B">
        <w:rPr>
          <w:rFonts w:ascii="Arial" w:hAnsi="Arial" w:cs="Arial"/>
          <w:sz w:val="24"/>
          <w:szCs w:val="24"/>
        </w:rPr>
        <w:t xml:space="preserve">B&amp;Q </w:t>
      </w:r>
      <w:r w:rsidRPr="0026648B">
        <w:rPr>
          <w:rFonts w:ascii="Arial" w:hAnsi="Arial" w:cs="Arial"/>
          <w:b/>
          <w:sz w:val="24"/>
          <w:szCs w:val="24"/>
        </w:rPr>
        <w:t>China</w:t>
      </w:r>
      <w:r w:rsidRPr="0026648B">
        <w:rPr>
          <w:rFonts w:ascii="Arial" w:hAnsi="Arial" w:cs="Arial"/>
          <w:sz w:val="24"/>
          <w:szCs w:val="24"/>
        </w:rPr>
        <w:t xml:space="preserve"> sales </w:t>
      </w:r>
      <w:r w:rsidR="0026648B" w:rsidRPr="0026648B">
        <w:rPr>
          <w:rFonts w:ascii="Arial" w:hAnsi="Arial" w:cs="Arial"/>
          <w:sz w:val="24"/>
          <w:szCs w:val="24"/>
        </w:rPr>
        <w:t>increase</w:t>
      </w:r>
      <w:r w:rsidR="00365752">
        <w:rPr>
          <w:rFonts w:ascii="Arial" w:hAnsi="Arial" w:cs="Arial"/>
          <w:sz w:val="24"/>
          <w:szCs w:val="24"/>
        </w:rPr>
        <w:t>d by 8.0</w:t>
      </w:r>
      <w:r w:rsidRPr="0026648B">
        <w:rPr>
          <w:rFonts w:ascii="Arial" w:hAnsi="Arial" w:cs="Arial"/>
          <w:sz w:val="24"/>
          <w:szCs w:val="24"/>
        </w:rPr>
        <w:t>% (</w:t>
      </w:r>
      <w:r w:rsidR="005A41F0" w:rsidRPr="0026648B">
        <w:rPr>
          <w:rFonts w:ascii="Arial" w:hAnsi="Arial" w:cs="Arial"/>
          <w:sz w:val="24"/>
          <w:szCs w:val="24"/>
        </w:rPr>
        <w:t>+</w:t>
      </w:r>
      <w:r w:rsidR="00365752">
        <w:rPr>
          <w:rFonts w:ascii="Arial" w:hAnsi="Arial" w:cs="Arial"/>
          <w:sz w:val="24"/>
          <w:szCs w:val="24"/>
        </w:rPr>
        <w:t>8.7% LFL) to £421</w:t>
      </w:r>
      <w:r w:rsidR="009B393E">
        <w:rPr>
          <w:rFonts w:ascii="Arial" w:hAnsi="Arial" w:cs="Arial"/>
          <w:sz w:val="24"/>
          <w:szCs w:val="24"/>
        </w:rPr>
        <w:t xml:space="preserve"> million benefit</w:t>
      </w:r>
      <w:r w:rsidR="00A30AB8">
        <w:rPr>
          <w:rFonts w:ascii="Arial" w:hAnsi="Arial" w:cs="Arial"/>
          <w:sz w:val="24"/>
          <w:szCs w:val="24"/>
        </w:rPr>
        <w:t>ing from</w:t>
      </w:r>
      <w:r w:rsidR="0069260C">
        <w:rPr>
          <w:rFonts w:ascii="Arial" w:hAnsi="Arial" w:cs="Arial"/>
          <w:sz w:val="24"/>
          <w:szCs w:val="24"/>
        </w:rPr>
        <w:t xml:space="preserve"> additi</w:t>
      </w:r>
      <w:r w:rsidR="00274313">
        <w:rPr>
          <w:rFonts w:ascii="Arial" w:hAnsi="Arial" w:cs="Arial"/>
          <w:sz w:val="24"/>
          <w:szCs w:val="24"/>
        </w:rPr>
        <w:t>onal promotional activity</w:t>
      </w:r>
      <w:r w:rsidR="00377045">
        <w:rPr>
          <w:rFonts w:ascii="Arial" w:hAnsi="Arial" w:cs="Arial"/>
          <w:sz w:val="24"/>
          <w:szCs w:val="24"/>
        </w:rPr>
        <w:t>.</w:t>
      </w:r>
      <w:r w:rsidR="0010341A">
        <w:rPr>
          <w:rFonts w:ascii="Arial" w:hAnsi="Arial" w:cs="Arial"/>
          <w:sz w:val="24"/>
          <w:szCs w:val="24"/>
        </w:rPr>
        <w:t xml:space="preserve"> </w:t>
      </w:r>
      <w:r w:rsidR="00F27C71">
        <w:rPr>
          <w:rFonts w:ascii="Arial" w:hAnsi="Arial" w:cs="Arial"/>
          <w:sz w:val="24"/>
          <w:szCs w:val="24"/>
        </w:rPr>
        <w:t>The r</w:t>
      </w:r>
      <w:r w:rsidR="00BE7D2C" w:rsidRPr="0026648B">
        <w:rPr>
          <w:rFonts w:ascii="Arial" w:hAnsi="Arial" w:cs="Arial"/>
          <w:sz w:val="24"/>
          <w:szCs w:val="24"/>
        </w:rPr>
        <w:t xml:space="preserve">etail loss was </w:t>
      </w:r>
      <w:r w:rsidR="00365752">
        <w:rPr>
          <w:rFonts w:ascii="Arial" w:hAnsi="Arial" w:cs="Arial"/>
          <w:sz w:val="24"/>
          <w:szCs w:val="24"/>
        </w:rPr>
        <w:t>£6</w:t>
      </w:r>
      <w:r w:rsidRPr="0026648B">
        <w:rPr>
          <w:rFonts w:ascii="Arial" w:hAnsi="Arial" w:cs="Arial"/>
          <w:sz w:val="24"/>
          <w:szCs w:val="24"/>
        </w:rPr>
        <w:t xml:space="preserve"> million </w:t>
      </w:r>
      <w:r w:rsidR="0026648B" w:rsidRPr="0026648B">
        <w:rPr>
          <w:rFonts w:ascii="Arial" w:hAnsi="Arial" w:cs="Arial"/>
          <w:sz w:val="24"/>
          <w:szCs w:val="24"/>
        </w:rPr>
        <w:t xml:space="preserve">(2012/13: </w:t>
      </w:r>
      <w:r w:rsidR="00365752">
        <w:rPr>
          <w:rFonts w:ascii="Arial" w:hAnsi="Arial" w:cs="Arial"/>
          <w:sz w:val="24"/>
          <w:szCs w:val="24"/>
        </w:rPr>
        <w:t>£9</w:t>
      </w:r>
      <w:r w:rsidR="00BE7D2C" w:rsidRPr="0026648B">
        <w:rPr>
          <w:rFonts w:ascii="Arial" w:hAnsi="Arial" w:cs="Arial"/>
          <w:sz w:val="24"/>
          <w:szCs w:val="24"/>
        </w:rPr>
        <w:t xml:space="preserve"> million</w:t>
      </w:r>
      <w:r w:rsidR="00FF046F" w:rsidRPr="0026648B">
        <w:rPr>
          <w:rFonts w:ascii="Arial" w:hAnsi="Arial" w:cs="Arial"/>
          <w:sz w:val="24"/>
          <w:szCs w:val="24"/>
        </w:rPr>
        <w:t xml:space="preserve"> reported</w:t>
      </w:r>
      <w:r w:rsidR="00BE7D2C" w:rsidRPr="0026648B">
        <w:rPr>
          <w:rFonts w:ascii="Arial" w:hAnsi="Arial" w:cs="Arial"/>
          <w:sz w:val="24"/>
          <w:szCs w:val="24"/>
        </w:rPr>
        <w:t xml:space="preserve"> loss)</w:t>
      </w:r>
      <w:r w:rsidR="00C0665A" w:rsidRPr="00FF7CDC">
        <w:rPr>
          <w:rFonts w:ascii="Arial" w:hAnsi="Arial" w:cs="Arial"/>
          <w:sz w:val="24"/>
          <w:szCs w:val="24"/>
        </w:rPr>
        <w:t xml:space="preserve"> </w:t>
      </w:r>
      <w:r w:rsidR="00F27C71">
        <w:rPr>
          <w:rFonts w:ascii="Arial" w:hAnsi="Arial" w:cs="Arial"/>
          <w:sz w:val="24"/>
          <w:szCs w:val="24"/>
        </w:rPr>
        <w:t xml:space="preserve">largely </w:t>
      </w:r>
      <w:r w:rsidR="00BE7D2C" w:rsidRPr="0026648B">
        <w:rPr>
          <w:rFonts w:ascii="Arial" w:hAnsi="Arial" w:cs="Arial"/>
          <w:sz w:val="24"/>
          <w:szCs w:val="24"/>
        </w:rPr>
        <w:t xml:space="preserve">relating to </w:t>
      </w:r>
      <w:r w:rsidR="00F27C71">
        <w:rPr>
          <w:rFonts w:ascii="Arial" w:hAnsi="Arial" w:cs="Arial"/>
          <w:sz w:val="24"/>
          <w:szCs w:val="24"/>
        </w:rPr>
        <w:t>costs o</w:t>
      </w:r>
      <w:r w:rsidR="00AA4425" w:rsidRPr="0026648B">
        <w:rPr>
          <w:rFonts w:ascii="Arial" w:hAnsi="Arial" w:cs="Arial"/>
          <w:sz w:val="24"/>
          <w:szCs w:val="24"/>
        </w:rPr>
        <w:t xml:space="preserve">n </w:t>
      </w:r>
      <w:r w:rsidR="00FF7CDC">
        <w:rPr>
          <w:rFonts w:ascii="Arial" w:hAnsi="Arial" w:cs="Arial"/>
          <w:sz w:val="24"/>
          <w:szCs w:val="24"/>
        </w:rPr>
        <w:t>the new format store</w:t>
      </w:r>
      <w:r w:rsidR="009B393E">
        <w:rPr>
          <w:rFonts w:ascii="Arial" w:hAnsi="Arial" w:cs="Arial"/>
          <w:sz w:val="24"/>
          <w:szCs w:val="24"/>
        </w:rPr>
        <w:t xml:space="preserve"> trial </w:t>
      </w:r>
      <w:r w:rsidR="009B393E" w:rsidRPr="00F27C71">
        <w:rPr>
          <w:rFonts w:ascii="Arial" w:hAnsi="Arial" w:cs="Arial"/>
          <w:sz w:val="24"/>
          <w:szCs w:val="24"/>
        </w:rPr>
        <w:t xml:space="preserve">which opened in March </w:t>
      </w:r>
      <w:r w:rsidR="00DA44CF">
        <w:rPr>
          <w:rFonts w:ascii="Arial" w:hAnsi="Arial" w:cs="Arial"/>
          <w:sz w:val="24"/>
          <w:szCs w:val="24"/>
        </w:rPr>
        <w:t>2013</w:t>
      </w:r>
      <w:r w:rsidR="009B393E" w:rsidRPr="00F27C71">
        <w:rPr>
          <w:rFonts w:ascii="Arial" w:hAnsi="Arial" w:cs="Arial"/>
          <w:sz w:val="24"/>
          <w:szCs w:val="24"/>
        </w:rPr>
        <w:t>.</w:t>
      </w:r>
      <w:r w:rsidR="009B393E">
        <w:rPr>
          <w:rFonts w:ascii="Arial" w:hAnsi="Arial" w:cs="Arial"/>
          <w:sz w:val="24"/>
          <w:szCs w:val="24"/>
        </w:rPr>
        <w:t xml:space="preserve"> </w:t>
      </w:r>
    </w:p>
    <w:p w:rsidR="00DF4521" w:rsidRPr="002B69AA" w:rsidRDefault="00DF4521" w:rsidP="00365752">
      <w:pPr>
        <w:pStyle w:val="ListParagraph"/>
        <w:jc w:val="left"/>
        <w:rPr>
          <w:rFonts w:ascii="Arial" w:hAnsi="Arial" w:cs="Arial"/>
          <w:i/>
          <w:sz w:val="18"/>
          <w:szCs w:val="18"/>
        </w:rPr>
      </w:pPr>
    </w:p>
    <w:p w:rsidR="002A4FF0" w:rsidRDefault="009762BD" w:rsidP="007678AD">
      <w:pPr>
        <w:pStyle w:val="ListParagraph"/>
        <w:numPr>
          <w:ilvl w:val="0"/>
          <w:numId w:val="22"/>
        </w:numPr>
        <w:jc w:val="left"/>
        <w:rPr>
          <w:rFonts w:ascii="Arial" w:hAnsi="Arial" w:cs="Arial"/>
          <w:i/>
          <w:sz w:val="18"/>
          <w:szCs w:val="18"/>
        </w:rPr>
      </w:pPr>
      <w:r w:rsidRPr="00F941F2">
        <w:rPr>
          <w:rFonts w:ascii="Arial" w:hAnsi="Arial" w:cs="Arial"/>
          <w:i/>
          <w:sz w:val="18"/>
          <w:szCs w:val="18"/>
        </w:rPr>
        <w:t>Including four Koçtaş ‘Fix’ outlets</w:t>
      </w:r>
    </w:p>
    <w:p w:rsidR="004A0E96" w:rsidRDefault="004A0E96" w:rsidP="007678AD">
      <w:pPr>
        <w:pStyle w:val="ListParagraph"/>
        <w:numPr>
          <w:ilvl w:val="0"/>
          <w:numId w:val="22"/>
        </w:numPr>
        <w:jc w:val="left"/>
        <w:rPr>
          <w:rFonts w:ascii="Arial" w:hAnsi="Arial" w:cs="Arial"/>
          <w:i/>
          <w:sz w:val="18"/>
          <w:szCs w:val="18"/>
        </w:rPr>
      </w:pPr>
      <w:r>
        <w:rPr>
          <w:rFonts w:ascii="Arial" w:hAnsi="Arial" w:cs="Arial"/>
          <w:i/>
          <w:sz w:val="18"/>
          <w:szCs w:val="18"/>
        </w:rPr>
        <w:t xml:space="preserve">Following the disposal </w:t>
      </w:r>
      <w:r w:rsidR="0036719C">
        <w:rPr>
          <w:rFonts w:ascii="Arial" w:hAnsi="Arial" w:cs="Arial"/>
          <w:i/>
          <w:sz w:val="18"/>
          <w:szCs w:val="18"/>
        </w:rPr>
        <w:t xml:space="preserve">of </w:t>
      </w:r>
      <w:r w:rsidR="00715BDB">
        <w:rPr>
          <w:rFonts w:ascii="Arial" w:hAnsi="Arial" w:cs="Arial"/>
          <w:i/>
          <w:sz w:val="18"/>
          <w:szCs w:val="18"/>
        </w:rPr>
        <w:t xml:space="preserve">the Group’s </w:t>
      </w:r>
      <w:r w:rsidR="00F6193C">
        <w:rPr>
          <w:rFonts w:ascii="Arial" w:hAnsi="Arial" w:cs="Arial"/>
          <w:i/>
          <w:sz w:val="18"/>
          <w:szCs w:val="18"/>
        </w:rPr>
        <w:t xml:space="preserve">unlisted shares </w:t>
      </w:r>
      <w:r w:rsidR="0036719C">
        <w:rPr>
          <w:rFonts w:ascii="Arial" w:hAnsi="Arial" w:cs="Arial"/>
          <w:i/>
          <w:sz w:val="18"/>
          <w:szCs w:val="18"/>
        </w:rPr>
        <w:t xml:space="preserve">in Hornbach, </w:t>
      </w:r>
      <w:r w:rsidR="003954FA">
        <w:rPr>
          <w:rFonts w:ascii="Arial" w:hAnsi="Arial" w:cs="Arial"/>
          <w:i/>
          <w:sz w:val="18"/>
          <w:szCs w:val="18"/>
        </w:rPr>
        <w:t xml:space="preserve">going forward the Group will no longer record its share of Hornbach’s results within retail profit </w:t>
      </w:r>
    </w:p>
    <w:p w:rsidR="00DF4521" w:rsidRDefault="00DF4521">
      <w:pPr>
        <w:jc w:val="left"/>
        <w:rPr>
          <w:rFonts w:ascii="Arial" w:hAnsi="Arial" w:cs="Arial"/>
          <w:b/>
          <w:bCs/>
          <w:sz w:val="24"/>
          <w:szCs w:val="24"/>
        </w:rPr>
      </w:pPr>
    </w:p>
    <w:p w:rsidR="00E607E0" w:rsidRDefault="00E607E0">
      <w:pPr>
        <w:jc w:val="left"/>
        <w:rPr>
          <w:rFonts w:ascii="Arial" w:hAnsi="Arial" w:cs="Arial"/>
          <w:b/>
          <w:bCs/>
          <w:sz w:val="24"/>
          <w:szCs w:val="24"/>
        </w:rPr>
      </w:pPr>
      <w:r>
        <w:rPr>
          <w:rFonts w:ascii="Arial" w:hAnsi="Arial" w:cs="Arial"/>
          <w:b/>
          <w:bCs/>
          <w:sz w:val="24"/>
          <w:szCs w:val="24"/>
        </w:rPr>
        <w:br w:type="page"/>
      </w:r>
    </w:p>
    <w:p w:rsidR="00616A26" w:rsidRPr="0026648B" w:rsidRDefault="00616A26" w:rsidP="00616A26">
      <w:pPr>
        <w:jc w:val="left"/>
        <w:rPr>
          <w:rFonts w:ascii="Arial" w:hAnsi="Arial" w:cs="Arial"/>
          <w:b/>
          <w:bCs/>
          <w:sz w:val="24"/>
          <w:szCs w:val="24"/>
        </w:rPr>
      </w:pPr>
      <w:r w:rsidRPr="0026648B">
        <w:rPr>
          <w:rFonts w:ascii="Arial" w:hAnsi="Arial" w:cs="Arial"/>
          <w:b/>
          <w:bCs/>
          <w:sz w:val="24"/>
          <w:szCs w:val="24"/>
        </w:rPr>
        <w:t>Section 3</w:t>
      </w:r>
      <w:r w:rsidR="00376255">
        <w:rPr>
          <w:rFonts w:ascii="Arial" w:hAnsi="Arial" w:cs="Arial"/>
          <w:b/>
          <w:bCs/>
          <w:sz w:val="24"/>
          <w:szCs w:val="24"/>
        </w:rPr>
        <w:t xml:space="preserve">: </w:t>
      </w:r>
      <w:r w:rsidR="0026648B">
        <w:rPr>
          <w:rFonts w:ascii="Arial" w:hAnsi="Arial" w:cs="Arial"/>
          <w:b/>
          <w:bCs/>
          <w:sz w:val="24"/>
          <w:szCs w:val="24"/>
        </w:rPr>
        <w:t xml:space="preserve">SUMMARY </w:t>
      </w:r>
      <w:r w:rsidRPr="0026648B">
        <w:rPr>
          <w:rFonts w:ascii="Arial" w:hAnsi="Arial" w:cs="Arial"/>
          <w:b/>
          <w:bCs/>
          <w:sz w:val="24"/>
          <w:szCs w:val="24"/>
        </w:rPr>
        <w:t>DATA BY GEOGRAPHY</w:t>
      </w:r>
    </w:p>
    <w:p w:rsidR="00616A26" w:rsidRPr="0026648B" w:rsidRDefault="00616A26" w:rsidP="00616A26">
      <w:pPr>
        <w:jc w:val="left"/>
        <w:rPr>
          <w:rFonts w:ascii="Arial" w:hAnsi="Arial" w:cs="Arial"/>
          <w:sz w:val="24"/>
          <w:szCs w:val="24"/>
          <w:highlight w:val="magenta"/>
        </w:rPr>
      </w:pPr>
    </w:p>
    <w:tbl>
      <w:tblPr>
        <w:tblW w:w="4296" w:type="pct"/>
        <w:tblInd w:w="2" w:type="dxa"/>
        <w:tblLayout w:type="fixed"/>
        <w:tblLook w:val="01E0" w:firstRow="1" w:lastRow="1" w:firstColumn="1" w:lastColumn="1" w:noHBand="0" w:noVBand="0"/>
      </w:tblPr>
      <w:tblGrid>
        <w:gridCol w:w="2738"/>
        <w:gridCol w:w="2083"/>
        <w:gridCol w:w="1665"/>
        <w:gridCol w:w="1798"/>
      </w:tblGrid>
      <w:tr w:rsidR="006E1122" w:rsidRPr="00271E01" w:rsidTr="006E1122">
        <w:trPr>
          <w:trHeight w:val="739"/>
        </w:trPr>
        <w:tc>
          <w:tcPr>
            <w:tcW w:w="1653" w:type="pct"/>
            <w:tcBorders>
              <w:bottom w:val="single" w:sz="4" w:space="0" w:color="auto"/>
            </w:tcBorders>
          </w:tcPr>
          <w:p w:rsidR="006E1122" w:rsidRPr="00271E01" w:rsidRDefault="006E1122" w:rsidP="006E1122">
            <w:pPr>
              <w:ind w:left="110" w:hanging="110"/>
              <w:jc w:val="left"/>
              <w:rPr>
                <w:rFonts w:ascii="Arial" w:hAnsi="Arial" w:cs="Arial"/>
                <w:b/>
                <w:bCs/>
              </w:rPr>
            </w:pPr>
            <w:r>
              <w:rPr>
                <w:rFonts w:ascii="Arial" w:hAnsi="Arial" w:cs="Arial"/>
              </w:rPr>
              <w:t>As at 1</w:t>
            </w:r>
            <w:r w:rsidR="00FB4505">
              <w:rPr>
                <w:rFonts w:ascii="Arial" w:hAnsi="Arial" w:cs="Arial"/>
              </w:rPr>
              <w:t xml:space="preserve"> </w:t>
            </w:r>
            <w:r>
              <w:rPr>
                <w:rFonts w:ascii="Arial" w:hAnsi="Arial" w:cs="Arial"/>
              </w:rPr>
              <w:t>February 2014</w:t>
            </w:r>
          </w:p>
        </w:tc>
        <w:tc>
          <w:tcPr>
            <w:tcW w:w="1257" w:type="pct"/>
            <w:tcBorders>
              <w:bottom w:val="single" w:sz="4" w:space="0" w:color="auto"/>
            </w:tcBorders>
          </w:tcPr>
          <w:p w:rsidR="006E1122" w:rsidRDefault="006E1122" w:rsidP="006E1122">
            <w:pPr>
              <w:ind w:left="110" w:hanging="110"/>
              <w:jc w:val="right"/>
              <w:rPr>
                <w:rFonts w:ascii="Arial" w:hAnsi="Arial" w:cs="Arial"/>
                <w:b/>
                <w:bCs/>
              </w:rPr>
            </w:pPr>
            <w:r w:rsidRPr="00271E01">
              <w:rPr>
                <w:rFonts w:ascii="Arial" w:hAnsi="Arial" w:cs="Arial"/>
                <w:b/>
                <w:bCs/>
              </w:rPr>
              <w:t xml:space="preserve">Store </w:t>
            </w:r>
          </w:p>
          <w:p w:rsidR="006E1122" w:rsidRPr="00271E01" w:rsidRDefault="006E1122" w:rsidP="006E1122">
            <w:pPr>
              <w:ind w:left="110" w:hanging="110"/>
              <w:jc w:val="right"/>
              <w:rPr>
                <w:rFonts w:ascii="Arial" w:hAnsi="Arial" w:cs="Arial"/>
                <w:b/>
                <w:bCs/>
                <w:highlight w:val="magenta"/>
              </w:rPr>
            </w:pPr>
            <w:r w:rsidRPr="00271E01">
              <w:rPr>
                <w:rFonts w:ascii="Arial" w:hAnsi="Arial" w:cs="Arial"/>
                <w:b/>
                <w:bCs/>
              </w:rPr>
              <w:t>numbers</w:t>
            </w:r>
          </w:p>
        </w:tc>
        <w:tc>
          <w:tcPr>
            <w:tcW w:w="1005" w:type="pct"/>
            <w:tcBorders>
              <w:bottom w:val="single" w:sz="4" w:space="0" w:color="auto"/>
            </w:tcBorders>
          </w:tcPr>
          <w:p w:rsidR="006E1122" w:rsidRPr="002E35F8" w:rsidRDefault="006E1122" w:rsidP="006E1122">
            <w:pPr>
              <w:ind w:left="110" w:hanging="110"/>
              <w:jc w:val="right"/>
              <w:rPr>
                <w:rFonts w:ascii="Arial" w:hAnsi="Arial" w:cs="Arial"/>
                <w:b/>
                <w:bCs/>
              </w:rPr>
            </w:pPr>
            <w:r w:rsidRPr="002E35F8">
              <w:rPr>
                <w:rFonts w:ascii="Arial" w:hAnsi="Arial" w:cs="Arial"/>
                <w:b/>
                <w:bCs/>
              </w:rPr>
              <w:t>Selling space</w:t>
            </w:r>
          </w:p>
          <w:p w:rsidR="006E1122" w:rsidRPr="009618C2" w:rsidRDefault="006E1122" w:rsidP="006E1122">
            <w:pPr>
              <w:ind w:left="110" w:hanging="110"/>
              <w:jc w:val="right"/>
              <w:rPr>
                <w:rFonts w:ascii="Arial" w:hAnsi="Arial" w:cs="Arial"/>
                <w:b/>
                <w:bCs/>
              </w:rPr>
            </w:pPr>
            <w:r w:rsidRPr="009618C2">
              <w:rPr>
                <w:rFonts w:ascii="Arial" w:hAnsi="Arial" w:cs="Arial"/>
                <w:b/>
                <w:bCs/>
              </w:rPr>
              <w:t>(000s</w:t>
            </w:r>
            <w:r>
              <w:rPr>
                <w:rFonts w:ascii="Arial" w:hAnsi="Arial" w:cs="Arial"/>
                <w:b/>
                <w:bCs/>
              </w:rPr>
              <w:t xml:space="preserve"> </w:t>
            </w:r>
            <w:r w:rsidRPr="009618C2">
              <w:rPr>
                <w:rFonts w:ascii="Arial" w:hAnsi="Arial" w:cs="Arial"/>
                <w:b/>
                <w:bCs/>
              </w:rPr>
              <w:t>m2)</w:t>
            </w:r>
          </w:p>
        </w:tc>
        <w:tc>
          <w:tcPr>
            <w:tcW w:w="1085" w:type="pct"/>
            <w:tcBorders>
              <w:bottom w:val="single" w:sz="4" w:space="0" w:color="auto"/>
            </w:tcBorders>
          </w:tcPr>
          <w:p w:rsidR="006E1122" w:rsidRPr="002E35F8" w:rsidRDefault="006E1122" w:rsidP="006E1122">
            <w:pPr>
              <w:ind w:left="110" w:hanging="110"/>
              <w:jc w:val="right"/>
              <w:rPr>
                <w:rFonts w:ascii="Arial" w:hAnsi="Arial" w:cs="Arial"/>
                <w:b/>
                <w:bCs/>
              </w:rPr>
            </w:pPr>
            <w:r w:rsidRPr="002E35F8">
              <w:rPr>
                <w:rFonts w:ascii="Arial" w:hAnsi="Arial" w:cs="Arial"/>
                <w:b/>
                <w:bCs/>
              </w:rPr>
              <w:t>Employees</w:t>
            </w:r>
          </w:p>
          <w:p w:rsidR="006E1122" w:rsidRPr="009618C2" w:rsidRDefault="006E1122" w:rsidP="006E1122">
            <w:pPr>
              <w:ind w:left="110" w:hanging="110"/>
              <w:jc w:val="right"/>
              <w:rPr>
                <w:rFonts w:ascii="Arial" w:hAnsi="Arial" w:cs="Arial"/>
                <w:b/>
                <w:bCs/>
              </w:rPr>
            </w:pPr>
            <w:r w:rsidRPr="009618C2">
              <w:rPr>
                <w:rFonts w:ascii="Arial" w:hAnsi="Arial" w:cs="Arial"/>
                <w:b/>
                <w:bCs/>
              </w:rPr>
              <w:t>(FTE)</w:t>
            </w:r>
          </w:p>
        </w:tc>
      </w:tr>
      <w:tr w:rsidR="006E1122" w:rsidRPr="00271E01" w:rsidTr="006E1122">
        <w:tc>
          <w:tcPr>
            <w:tcW w:w="1653" w:type="pct"/>
            <w:tcBorders>
              <w:top w:val="single" w:sz="4" w:space="0" w:color="auto"/>
            </w:tcBorders>
          </w:tcPr>
          <w:p w:rsidR="006E1122" w:rsidRPr="00271E01" w:rsidRDefault="006E1122" w:rsidP="006E1122">
            <w:pPr>
              <w:ind w:left="110" w:hanging="110"/>
              <w:jc w:val="left"/>
              <w:rPr>
                <w:rFonts w:ascii="Arial" w:hAnsi="Arial" w:cs="Arial"/>
              </w:rPr>
            </w:pPr>
            <w:r w:rsidRPr="00271E01">
              <w:rPr>
                <w:rFonts w:ascii="Arial" w:hAnsi="Arial" w:cs="Arial"/>
              </w:rPr>
              <w:t>Castorama</w:t>
            </w:r>
            <w:r w:rsidRPr="00271E01" w:rsidDel="00CC3AB5">
              <w:rPr>
                <w:rFonts w:ascii="Arial" w:hAnsi="Arial" w:cs="Arial"/>
              </w:rPr>
              <w:t xml:space="preserve"> </w:t>
            </w:r>
          </w:p>
        </w:tc>
        <w:tc>
          <w:tcPr>
            <w:tcW w:w="1257" w:type="pct"/>
            <w:tcBorders>
              <w:top w:val="single" w:sz="4" w:space="0" w:color="auto"/>
            </w:tcBorders>
          </w:tcPr>
          <w:p w:rsidR="006E1122" w:rsidRPr="00271E01" w:rsidRDefault="0068050C" w:rsidP="006E1122">
            <w:pPr>
              <w:ind w:left="110" w:hanging="110"/>
              <w:jc w:val="right"/>
              <w:rPr>
                <w:rFonts w:ascii="Arial" w:hAnsi="Arial" w:cs="Arial"/>
              </w:rPr>
            </w:pPr>
            <w:r>
              <w:rPr>
                <w:rFonts w:ascii="Arial" w:hAnsi="Arial" w:cs="Arial"/>
              </w:rPr>
              <w:t>105</w:t>
            </w:r>
          </w:p>
        </w:tc>
        <w:tc>
          <w:tcPr>
            <w:tcW w:w="1005" w:type="pct"/>
            <w:tcBorders>
              <w:top w:val="single" w:sz="4" w:space="0" w:color="auto"/>
            </w:tcBorders>
          </w:tcPr>
          <w:p w:rsidR="006E1122" w:rsidRPr="00271E01" w:rsidRDefault="0068050C" w:rsidP="006E1122">
            <w:pPr>
              <w:ind w:left="110" w:hanging="110"/>
              <w:jc w:val="right"/>
              <w:rPr>
                <w:rFonts w:ascii="Arial" w:hAnsi="Arial" w:cs="Arial"/>
              </w:rPr>
            </w:pPr>
            <w:r>
              <w:rPr>
                <w:rFonts w:ascii="Arial" w:hAnsi="Arial" w:cs="Arial"/>
              </w:rPr>
              <w:t>1,118</w:t>
            </w:r>
          </w:p>
        </w:tc>
        <w:tc>
          <w:tcPr>
            <w:tcW w:w="1085" w:type="pct"/>
            <w:tcBorders>
              <w:top w:val="single" w:sz="4" w:space="0" w:color="auto"/>
            </w:tcBorders>
          </w:tcPr>
          <w:p w:rsidR="006E1122" w:rsidRPr="00271E01" w:rsidRDefault="0068050C" w:rsidP="006E1122">
            <w:pPr>
              <w:ind w:left="110" w:hanging="110"/>
              <w:jc w:val="right"/>
              <w:rPr>
                <w:rFonts w:ascii="Arial" w:hAnsi="Arial" w:cs="Arial"/>
              </w:rPr>
            </w:pPr>
            <w:r>
              <w:rPr>
                <w:rFonts w:ascii="Arial" w:hAnsi="Arial" w:cs="Arial"/>
              </w:rPr>
              <w:t>11,322</w:t>
            </w:r>
          </w:p>
        </w:tc>
      </w:tr>
      <w:tr w:rsidR="006E1122" w:rsidRPr="00271E01" w:rsidTr="006E1122">
        <w:tc>
          <w:tcPr>
            <w:tcW w:w="1653" w:type="pct"/>
            <w:tcBorders>
              <w:bottom w:val="single" w:sz="4" w:space="0" w:color="auto"/>
            </w:tcBorders>
          </w:tcPr>
          <w:p w:rsidR="006E1122" w:rsidRPr="00271E01" w:rsidRDefault="006E1122" w:rsidP="006E1122">
            <w:pPr>
              <w:ind w:left="110" w:hanging="110"/>
              <w:jc w:val="left"/>
              <w:rPr>
                <w:rFonts w:ascii="Arial" w:hAnsi="Arial" w:cs="Arial"/>
              </w:rPr>
            </w:pPr>
            <w:r w:rsidRPr="00271E01">
              <w:rPr>
                <w:rFonts w:ascii="Arial" w:hAnsi="Arial" w:cs="Arial"/>
              </w:rPr>
              <w:t>Brico Dépôt</w:t>
            </w:r>
          </w:p>
        </w:tc>
        <w:tc>
          <w:tcPr>
            <w:tcW w:w="1257" w:type="pct"/>
            <w:tcBorders>
              <w:bottom w:val="single" w:sz="4" w:space="0" w:color="auto"/>
            </w:tcBorders>
          </w:tcPr>
          <w:p w:rsidR="006E1122" w:rsidRPr="00271E01" w:rsidRDefault="0068050C" w:rsidP="006E1122">
            <w:pPr>
              <w:ind w:left="110" w:hanging="110"/>
              <w:jc w:val="right"/>
              <w:rPr>
                <w:rFonts w:ascii="Arial" w:hAnsi="Arial" w:cs="Arial"/>
              </w:rPr>
            </w:pPr>
            <w:r>
              <w:rPr>
                <w:rFonts w:ascii="Arial" w:hAnsi="Arial" w:cs="Arial"/>
              </w:rPr>
              <w:t>109</w:t>
            </w:r>
          </w:p>
        </w:tc>
        <w:tc>
          <w:tcPr>
            <w:tcW w:w="1005" w:type="pct"/>
            <w:tcBorders>
              <w:bottom w:val="single" w:sz="4" w:space="0" w:color="auto"/>
            </w:tcBorders>
          </w:tcPr>
          <w:p w:rsidR="006E1122" w:rsidRPr="00271E01" w:rsidRDefault="0068050C" w:rsidP="006E1122">
            <w:pPr>
              <w:ind w:left="110" w:hanging="110"/>
              <w:jc w:val="right"/>
              <w:rPr>
                <w:rFonts w:ascii="Arial" w:hAnsi="Arial" w:cs="Arial"/>
              </w:rPr>
            </w:pPr>
            <w:r>
              <w:rPr>
                <w:rFonts w:ascii="Arial" w:hAnsi="Arial" w:cs="Arial"/>
              </w:rPr>
              <w:t>608</w:t>
            </w:r>
          </w:p>
        </w:tc>
        <w:tc>
          <w:tcPr>
            <w:tcW w:w="1085" w:type="pct"/>
            <w:tcBorders>
              <w:bottom w:val="single" w:sz="4" w:space="0" w:color="auto"/>
            </w:tcBorders>
          </w:tcPr>
          <w:p w:rsidR="006E1122" w:rsidRPr="00271E01" w:rsidRDefault="0068050C" w:rsidP="006E1122">
            <w:pPr>
              <w:ind w:left="110" w:hanging="110"/>
              <w:jc w:val="right"/>
              <w:rPr>
                <w:rFonts w:ascii="Arial" w:hAnsi="Arial" w:cs="Arial"/>
              </w:rPr>
            </w:pPr>
            <w:r>
              <w:rPr>
                <w:rFonts w:ascii="Arial" w:hAnsi="Arial" w:cs="Arial"/>
              </w:rPr>
              <w:t>6,875</w:t>
            </w:r>
          </w:p>
        </w:tc>
      </w:tr>
      <w:tr w:rsidR="006E1122" w:rsidRPr="00271E01" w:rsidTr="006E1122">
        <w:tc>
          <w:tcPr>
            <w:tcW w:w="1653" w:type="pct"/>
            <w:tcBorders>
              <w:top w:val="single" w:sz="4" w:space="0" w:color="auto"/>
            </w:tcBorders>
          </w:tcPr>
          <w:p w:rsidR="006E1122" w:rsidRPr="00271E01" w:rsidRDefault="006E1122" w:rsidP="006E1122">
            <w:pPr>
              <w:ind w:left="110" w:hanging="110"/>
              <w:jc w:val="left"/>
              <w:rPr>
                <w:rFonts w:ascii="Arial" w:hAnsi="Arial" w:cs="Arial"/>
                <w:b/>
                <w:bCs/>
              </w:rPr>
            </w:pPr>
            <w:r w:rsidRPr="00271E01">
              <w:rPr>
                <w:rFonts w:ascii="Arial" w:hAnsi="Arial" w:cs="Arial"/>
                <w:b/>
                <w:bCs/>
              </w:rPr>
              <w:t>France</w:t>
            </w:r>
          </w:p>
        </w:tc>
        <w:tc>
          <w:tcPr>
            <w:tcW w:w="1257" w:type="pct"/>
            <w:tcBorders>
              <w:top w:val="single" w:sz="4" w:space="0" w:color="auto"/>
            </w:tcBorders>
          </w:tcPr>
          <w:p w:rsidR="006E1122" w:rsidRPr="00271E01" w:rsidRDefault="0068050C" w:rsidP="006E1122">
            <w:pPr>
              <w:ind w:left="110" w:hanging="110"/>
              <w:jc w:val="right"/>
              <w:rPr>
                <w:rFonts w:ascii="Arial" w:hAnsi="Arial" w:cs="Arial"/>
                <w:b/>
                <w:bCs/>
              </w:rPr>
            </w:pPr>
            <w:r>
              <w:rPr>
                <w:rFonts w:ascii="Arial" w:hAnsi="Arial" w:cs="Arial"/>
                <w:b/>
                <w:bCs/>
              </w:rPr>
              <w:t>214</w:t>
            </w:r>
          </w:p>
        </w:tc>
        <w:tc>
          <w:tcPr>
            <w:tcW w:w="1005" w:type="pct"/>
            <w:tcBorders>
              <w:top w:val="single" w:sz="4" w:space="0" w:color="auto"/>
            </w:tcBorders>
          </w:tcPr>
          <w:p w:rsidR="006E1122" w:rsidRPr="00271E01" w:rsidRDefault="0068050C" w:rsidP="006E1122">
            <w:pPr>
              <w:ind w:left="110" w:hanging="110"/>
              <w:jc w:val="right"/>
              <w:rPr>
                <w:rFonts w:ascii="Arial" w:hAnsi="Arial" w:cs="Arial"/>
                <w:b/>
                <w:bCs/>
              </w:rPr>
            </w:pPr>
            <w:r>
              <w:rPr>
                <w:rFonts w:ascii="Arial" w:hAnsi="Arial" w:cs="Arial"/>
                <w:b/>
                <w:bCs/>
              </w:rPr>
              <w:t>1,726</w:t>
            </w:r>
          </w:p>
        </w:tc>
        <w:tc>
          <w:tcPr>
            <w:tcW w:w="1085" w:type="pct"/>
            <w:tcBorders>
              <w:top w:val="single" w:sz="4" w:space="0" w:color="auto"/>
            </w:tcBorders>
          </w:tcPr>
          <w:p w:rsidR="006E1122" w:rsidRPr="00271E01" w:rsidRDefault="0068050C" w:rsidP="006E1122">
            <w:pPr>
              <w:ind w:left="110" w:hanging="110"/>
              <w:jc w:val="right"/>
              <w:rPr>
                <w:rFonts w:ascii="Arial" w:hAnsi="Arial" w:cs="Arial"/>
                <w:b/>
                <w:bCs/>
              </w:rPr>
            </w:pPr>
            <w:r>
              <w:rPr>
                <w:rFonts w:ascii="Arial" w:hAnsi="Arial" w:cs="Arial"/>
                <w:b/>
                <w:bCs/>
              </w:rPr>
              <w:t>18,197</w:t>
            </w:r>
          </w:p>
        </w:tc>
      </w:tr>
      <w:tr w:rsidR="006E1122" w:rsidRPr="00271E01" w:rsidTr="006E1122">
        <w:tc>
          <w:tcPr>
            <w:tcW w:w="1653" w:type="pct"/>
          </w:tcPr>
          <w:p w:rsidR="006E1122" w:rsidRPr="00271E01" w:rsidRDefault="006E1122" w:rsidP="006E1122">
            <w:pPr>
              <w:spacing w:before="60"/>
              <w:jc w:val="left"/>
              <w:rPr>
                <w:rFonts w:ascii="Arial" w:hAnsi="Arial" w:cs="Arial"/>
              </w:rPr>
            </w:pPr>
            <w:r w:rsidRPr="00271E01">
              <w:rPr>
                <w:rFonts w:ascii="Arial" w:hAnsi="Arial" w:cs="Arial"/>
              </w:rPr>
              <w:t>B&amp;Q UK &amp; Ireland</w:t>
            </w:r>
          </w:p>
        </w:tc>
        <w:tc>
          <w:tcPr>
            <w:tcW w:w="1257" w:type="pct"/>
          </w:tcPr>
          <w:p w:rsidR="006E1122" w:rsidRPr="00271E01" w:rsidRDefault="0068050C" w:rsidP="006E1122">
            <w:pPr>
              <w:spacing w:before="60"/>
              <w:ind w:left="110" w:hanging="110"/>
              <w:jc w:val="right"/>
              <w:rPr>
                <w:rFonts w:ascii="Arial" w:hAnsi="Arial" w:cs="Arial"/>
              </w:rPr>
            </w:pPr>
            <w:r>
              <w:rPr>
                <w:rFonts w:ascii="Arial" w:hAnsi="Arial" w:cs="Arial"/>
              </w:rPr>
              <w:t>360</w:t>
            </w:r>
          </w:p>
        </w:tc>
        <w:tc>
          <w:tcPr>
            <w:tcW w:w="1005" w:type="pct"/>
          </w:tcPr>
          <w:p w:rsidR="006E1122" w:rsidRPr="00271E01" w:rsidRDefault="0068050C" w:rsidP="006E1122">
            <w:pPr>
              <w:spacing w:before="60"/>
              <w:ind w:left="110" w:hanging="110"/>
              <w:jc w:val="right"/>
              <w:rPr>
                <w:rFonts w:ascii="Arial" w:hAnsi="Arial" w:cs="Arial"/>
              </w:rPr>
            </w:pPr>
            <w:r>
              <w:rPr>
                <w:rFonts w:ascii="Arial" w:hAnsi="Arial" w:cs="Arial"/>
              </w:rPr>
              <w:t>2,570</w:t>
            </w:r>
          </w:p>
        </w:tc>
        <w:tc>
          <w:tcPr>
            <w:tcW w:w="1085" w:type="pct"/>
          </w:tcPr>
          <w:p w:rsidR="006E1122" w:rsidRPr="00271E01" w:rsidRDefault="0068050C" w:rsidP="006E1122">
            <w:pPr>
              <w:spacing w:before="60"/>
              <w:ind w:left="110" w:hanging="110"/>
              <w:jc w:val="right"/>
              <w:rPr>
                <w:rFonts w:ascii="Arial" w:hAnsi="Arial" w:cs="Arial"/>
              </w:rPr>
            </w:pPr>
            <w:r>
              <w:rPr>
                <w:rFonts w:ascii="Arial" w:hAnsi="Arial" w:cs="Arial"/>
              </w:rPr>
              <w:t>21,146</w:t>
            </w:r>
          </w:p>
        </w:tc>
      </w:tr>
      <w:tr w:rsidR="006E1122" w:rsidRPr="00271E01" w:rsidTr="006E1122">
        <w:tc>
          <w:tcPr>
            <w:tcW w:w="1653" w:type="pct"/>
            <w:tcBorders>
              <w:bottom w:val="single" w:sz="4" w:space="0" w:color="auto"/>
            </w:tcBorders>
          </w:tcPr>
          <w:p w:rsidR="006E1122" w:rsidRPr="00271E01" w:rsidRDefault="006E1122" w:rsidP="006E1122">
            <w:pPr>
              <w:ind w:left="110" w:hanging="110"/>
              <w:jc w:val="left"/>
              <w:rPr>
                <w:rFonts w:ascii="Arial" w:hAnsi="Arial" w:cs="Arial"/>
              </w:rPr>
            </w:pPr>
            <w:r w:rsidRPr="00271E01">
              <w:rPr>
                <w:rFonts w:ascii="Arial" w:hAnsi="Arial" w:cs="Arial"/>
              </w:rPr>
              <w:t xml:space="preserve">Screwfix </w:t>
            </w:r>
          </w:p>
        </w:tc>
        <w:tc>
          <w:tcPr>
            <w:tcW w:w="1257" w:type="pct"/>
            <w:tcBorders>
              <w:bottom w:val="single" w:sz="4" w:space="0" w:color="auto"/>
            </w:tcBorders>
          </w:tcPr>
          <w:p w:rsidR="006E1122" w:rsidRPr="00271E01" w:rsidRDefault="0068050C" w:rsidP="006E1122">
            <w:pPr>
              <w:ind w:left="110" w:hanging="110"/>
              <w:jc w:val="right"/>
              <w:rPr>
                <w:rFonts w:ascii="Arial" w:hAnsi="Arial" w:cs="Arial"/>
              </w:rPr>
            </w:pPr>
            <w:r>
              <w:rPr>
                <w:rFonts w:ascii="Arial" w:hAnsi="Arial" w:cs="Arial"/>
              </w:rPr>
              <w:t>335</w:t>
            </w:r>
          </w:p>
        </w:tc>
        <w:tc>
          <w:tcPr>
            <w:tcW w:w="1005" w:type="pct"/>
            <w:tcBorders>
              <w:bottom w:val="single" w:sz="4" w:space="0" w:color="auto"/>
            </w:tcBorders>
            <w:shd w:val="clear" w:color="auto" w:fill="auto"/>
          </w:tcPr>
          <w:p w:rsidR="006E1122" w:rsidRPr="00271E01" w:rsidRDefault="0068050C" w:rsidP="006E1122">
            <w:pPr>
              <w:ind w:left="110" w:hanging="110"/>
              <w:jc w:val="right"/>
              <w:rPr>
                <w:rFonts w:ascii="Arial" w:hAnsi="Arial" w:cs="Arial"/>
              </w:rPr>
            </w:pPr>
            <w:r>
              <w:rPr>
                <w:rFonts w:ascii="Arial" w:hAnsi="Arial" w:cs="Arial"/>
              </w:rPr>
              <w:t>23</w:t>
            </w:r>
          </w:p>
        </w:tc>
        <w:tc>
          <w:tcPr>
            <w:tcW w:w="1085" w:type="pct"/>
            <w:tcBorders>
              <w:bottom w:val="single" w:sz="4" w:space="0" w:color="auto"/>
            </w:tcBorders>
          </w:tcPr>
          <w:p w:rsidR="006E1122" w:rsidRPr="00271E01" w:rsidRDefault="0068050C" w:rsidP="006E1122">
            <w:pPr>
              <w:ind w:left="110" w:hanging="110"/>
              <w:jc w:val="right"/>
              <w:rPr>
                <w:rFonts w:ascii="Arial" w:hAnsi="Arial" w:cs="Arial"/>
              </w:rPr>
            </w:pPr>
            <w:r>
              <w:rPr>
                <w:rFonts w:ascii="Arial" w:hAnsi="Arial" w:cs="Arial"/>
              </w:rPr>
              <w:t>4,375</w:t>
            </w:r>
          </w:p>
        </w:tc>
      </w:tr>
      <w:tr w:rsidR="006E1122" w:rsidRPr="00271E01" w:rsidTr="006E1122">
        <w:tc>
          <w:tcPr>
            <w:tcW w:w="1653" w:type="pct"/>
            <w:tcBorders>
              <w:top w:val="single" w:sz="4" w:space="0" w:color="auto"/>
            </w:tcBorders>
          </w:tcPr>
          <w:p w:rsidR="006E1122" w:rsidRPr="00271E01" w:rsidRDefault="006E1122" w:rsidP="006E1122">
            <w:pPr>
              <w:ind w:left="110" w:hanging="110"/>
              <w:jc w:val="left"/>
              <w:rPr>
                <w:rFonts w:ascii="Arial" w:hAnsi="Arial" w:cs="Arial"/>
                <w:b/>
                <w:bCs/>
              </w:rPr>
            </w:pPr>
            <w:r w:rsidRPr="00271E01">
              <w:rPr>
                <w:rFonts w:ascii="Arial" w:hAnsi="Arial" w:cs="Arial"/>
                <w:b/>
                <w:bCs/>
              </w:rPr>
              <w:t>UK &amp; Ireland</w:t>
            </w:r>
          </w:p>
        </w:tc>
        <w:tc>
          <w:tcPr>
            <w:tcW w:w="1257" w:type="pct"/>
            <w:tcBorders>
              <w:top w:val="single" w:sz="4" w:space="0" w:color="auto"/>
            </w:tcBorders>
          </w:tcPr>
          <w:p w:rsidR="006E1122" w:rsidRPr="00271E01" w:rsidRDefault="0068050C" w:rsidP="006E1122">
            <w:pPr>
              <w:ind w:left="110" w:hanging="110"/>
              <w:jc w:val="right"/>
              <w:rPr>
                <w:rFonts w:ascii="Arial" w:hAnsi="Arial" w:cs="Arial"/>
                <w:b/>
                <w:bCs/>
              </w:rPr>
            </w:pPr>
            <w:r>
              <w:rPr>
                <w:rFonts w:ascii="Arial" w:hAnsi="Arial" w:cs="Arial"/>
                <w:b/>
                <w:bCs/>
              </w:rPr>
              <w:t>695</w:t>
            </w:r>
          </w:p>
        </w:tc>
        <w:tc>
          <w:tcPr>
            <w:tcW w:w="1005" w:type="pct"/>
            <w:tcBorders>
              <w:top w:val="single" w:sz="4" w:space="0" w:color="auto"/>
            </w:tcBorders>
          </w:tcPr>
          <w:p w:rsidR="006E1122" w:rsidRPr="00271E01" w:rsidRDefault="0068050C" w:rsidP="006E1122">
            <w:pPr>
              <w:ind w:left="110" w:hanging="110"/>
              <w:jc w:val="right"/>
              <w:rPr>
                <w:rFonts w:ascii="Arial" w:hAnsi="Arial" w:cs="Arial"/>
                <w:b/>
                <w:bCs/>
              </w:rPr>
            </w:pPr>
            <w:r>
              <w:rPr>
                <w:rFonts w:ascii="Arial" w:hAnsi="Arial" w:cs="Arial"/>
                <w:b/>
                <w:bCs/>
              </w:rPr>
              <w:t>2,593</w:t>
            </w:r>
          </w:p>
        </w:tc>
        <w:tc>
          <w:tcPr>
            <w:tcW w:w="1085" w:type="pct"/>
            <w:tcBorders>
              <w:top w:val="single" w:sz="4" w:space="0" w:color="auto"/>
            </w:tcBorders>
          </w:tcPr>
          <w:p w:rsidR="006E1122" w:rsidRPr="00271E01" w:rsidRDefault="0068050C" w:rsidP="006E1122">
            <w:pPr>
              <w:ind w:left="110" w:hanging="110"/>
              <w:jc w:val="right"/>
              <w:rPr>
                <w:rFonts w:ascii="Arial" w:hAnsi="Arial" w:cs="Arial"/>
                <w:b/>
                <w:bCs/>
              </w:rPr>
            </w:pPr>
            <w:r>
              <w:rPr>
                <w:rFonts w:ascii="Arial" w:hAnsi="Arial" w:cs="Arial"/>
                <w:b/>
                <w:bCs/>
              </w:rPr>
              <w:t>25,521</w:t>
            </w:r>
          </w:p>
        </w:tc>
      </w:tr>
      <w:tr w:rsidR="006E1122" w:rsidRPr="00271E01" w:rsidTr="006E1122">
        <w:tc>
          <w:tcPr>
            <w:tcW w:w="1653" w:type="pct"/>
          </w:tcPr>
          <w:p w:rsidR="006E1122" w:rsidRPr="00271E01" w:rsidRDefault="006E1122" w:rsidP="006E1122">
            <w:pPr>
              <w:spacing w:before="60"/>
              <w:ind w:left="110" w:hanging="110"/>
              <w:jc w:val="left"/>
              <w:rPr>
                <w:rFonts w:ascii="Arial" w:hAnsi="Arial" w:cs="Arial"/>
              </w:rPr>
            </w:pPr>
            <w:r w:rsidRPr="00271E01">
              <w:rPr>
                <w:rFonts w:ascii="Arial" w:hAnsi="Arial" w:cs="Arial"/>
              </w:rPr>
              <w:t>Poland</w:t>
            </w:r>
          </w:p>
        </w:tc>
        <w:tc>
          <w:tcPr>
            <w:tcW w:w="1257" w:type="pct"/>
          </w:tcPr>
          <w:p w:rsidR="006E1122" w:rsidRPr="00271E01" w:rsidRDefault="0068050C" w:rsidP="006E1122">
            <w:pPr>
              <w:spacing w:before="60"/>
              <w:ind w:left="110" w:hanging="110"/>
              <w:jc w:val="right"/>
              <w:rPr>
                <w:rFonts w:ascii="Arial" w:hAnsi="Arial" w:cs="Arial"/>
              </w:rPr>
            </w:pPr>
            <w:r>
              <w:rPr>
                <w:rFonts w:ascii="Arial" w:hAnsi="Arial" w:cs="Arial"/>
              </w:rPr>
              <w:t>72</w:t>
            </w:r>
          </w:p>
        </w:tc>
        <w:tc>
          <w:tcPr>
            <w:tcW w:w="1005" w:type="pct"/>
          </w:tcPr>
          <w:p w:rsidR="006E1122" w:rsidRPr="00271E01" w:rsidRDefault="0068050C" w:rsidP="006E1122">
            <w:pPr>
              <w:spacing w:before="60"/>
              <w:ind w:left="110" w:hanging="110"/>
              <w:jc w:val="right"/>
              <w:rPr>
                <w:rFonts w:ascii="Arial" w:hAnsi="Arial" w:cs="Arial"/>
              </w:rPr>
            </w:pPr>
            <w:r>
              <w:rPr>
                <w:rFonts w:ascii="Arial" w:hAnsi="Arial" w:cs="Arial"/>
              </w:rPr>
              <w:t>529</w:t>
            </w:r>
          </w:p>
        </w:tc>
        <w:tc>
          <w:tcPr>
            <w:tcW w:w="1085" w:type="pct"/>
          </w:tcPr>
          <w:p w:rsidR="006E1122" w:rsidRPr="00271E01" w:rsidRDefault="009F0602" w:rsidP="006E1122">
            <w:pPr>
              <w:spacing w:before="60"/>
              <w:ind w:left="110" w:hanging="110"/>
              <w:jc w:val="right"/>
              <w:rPr>
                <w:rFonts w:ascii="Arial" w:hAnsi="Arial" w:cs="Arial"/>
              </w:rPr>
            </w:pPr>
            <w:r>
              <w:rPr>
                <w:rFonts w:ascii="Arial" w:hAnsi="Arial" w:cs="Arial"/>
              </w:rPr>
              <w:t>10,197</w:t>
            </w:r>
          </w:p>
        </w:tc>
      </w:tr>
      <w:tr w:rsidR="006E1122" w:rsidRPr="00271E01" w:rsidTr="006E1122">
        <w:tc>
          <w:tcPr>
            <w:tcW w:w="1653" w:type="pct"/>
          </w:tcPr>
          <w:p w:rsidR="006E1122" w:rsidRPr="00271E01" w:rsidRDefault="006E1122" w:rsidP="006E1122">
            <w:pPr>
              <w:ind w:left="110" w:hanging="110"/>
              <w:jc w:val="left"/>
              <w:rPr>
                <w:rFonts w:ascii="Arial" w:hAnsi="Arial" w:cs="Arial"/>
                <w:lang w:val="it-IT"/>
              </w:rPr>
            </w:pPr>
            <w:r w:rsidRPr="00271E01">
              <w:rPr>
                <w:rFonts w:ascii="Arial" w:hAnsi="Arial" w:cs="Arial"/>
                <w:lang w:val="it-IT"/>
              </w:rPr>
              <w:t>China</w:t>
            </w:r>
          </w:p>
        </w:tc>
        <w:tc>
          <w:tcPr>
            <w:tcW w:w="1257" w:type="pct"/>
          </w:tcPr>
          <w:p w:rsidR="006E1122" w:rsidRPr="00271E01" w:rsidRDefault="0068050C" w:rsidP="006E1122">
            <w:pPr>
              <w:ind w:left="110" w:hanging="110"/>
              <w:jc w:val="right"/>
              <w:rPr>
                <w:rFonts w:ascii="Arial" w:hAnsi="Arial" w:cs="Arial"/>
              </w:rPr>
            </w:pPr>
            <w:r>
              <w:rPr>
                <w:rFonts w:ascii="Arial" w:hAnsi="Arial" w:cs="Arial"/>
              </w:rPr>
              <w:t>39</w:t>
            </w:r>
          </w:p>
        </w:tc>
        <w:tc>
          <w:tcPr>
            <w:tcW w:w="1005" w:type="pct"/>
          </w:tcPr>
          <w:p w:rsidR="006E1122" w:rsidRPr="00271E01" w:rsidRDefault="0068050C" w:rsidP="006E1122">
            <w:pPr>
              <w:ind w:left="110" w:hanging="110"/>
              <w:jc w:val="right"/>
              <w:rPr>
                <w:rFonts w:ascii="Arial" w:hAnsi="Arial" w:cs="Arial"/>
              </w:rPr>
            </w:pPr>
            <w:r>
              <w:rPr>
                <w:rFonts w:ascii="Arial" w:hAnsi="Arial" w:cs="Arial"/>
              </w:rPr>
              <w:t>319</w:t>
            </w:r>
          </w:p>
        </w:tc>
        <w:tc>
          <w:tcPr>
            <w:tcW w:w="1085" w:type="pct"/>
          </w:tcPr>
          <w:p w:rsidR="006E1122" w:rsidRPr="00271E01" w:rsidRDefault="009F0602" w:rsidP="006E1122">
            <w:pPr>
              <w:ind w:left="110" w:hanging="110"/>
              <w:jc w:val="right"/>
              <w:rPr>
                <w:rFonts w:ascii="Arial" w:hAnsi="Arial" w:cs="Arial"/>
              </w:rPr>
            </w:pPr>
            <w:r>
              <w:rPr>
                <w:rFonts w:ascii="Arial" w:hAnsi="Arial" w:cs="Arial"/>
              </w:rPr>
              <w:t>3,997</w:t>
            </w:r>
          </w:p>
        </w:tc>
      </w:tr>
      <w:tr w:rsidR="006E1122" w:rsidRPr="00271E01" w:rsidTr="006E1122">
        <w:tc>
          <w:tcPr>
            <w:tcW w:w="1653" w:type="pct"/>
          </w:tcPr>
          <w:p w:rsidR="006E1122" w:rsidRDefault="006E1122" w:rsidP="006E1122">
            <w:pPr>
              <w:ind w:left="110" w:hanging="110"/>
              <w:jc w:val="left"/>
              <w:rPr>
                <w:rFonts w:ascii="Arial" w:hAnsi="Arial" w:cs="Arial"/>
                <w:lang w:val="it-IT"/>
              </w:rPr>
            </w:pPr>
            <w:r>
              <w:rPr>
                <w:rFonts w:ascii="Arial" w:hAnsi="Arial" w:cs="Arial"/>
                <w:lang w:val="it-IT"/>
              </w:rPr>
              <w:t>Romania</w:t>
            </w:r>
          </w:p>
        </w:tc>
        <w:tc>
          <w:tcPr>
            <w:tcW w:w="1257" w:type="pct"/>
          </w:tcPr>
          <w:p w:rsidR="006E1122" w:rsidRDefault="0068050C" w:rsidP="006E1122">
            <w:pPr>
              <w:ind w:left="110" w:hanging="110"/>
              <w:jc w:val="right"/>
              <w:rPr>
                <w:rFonts w:ascii="Arial" w:hAnsi="Arial" w:cs="Arial"/>
              </w:rPr>
            </w:pPr>
            <w:r>
              <w:rPr>
                <w:rFonts w:ascii="Arial" w:hAnsi="Arial" w:cs="Arial"/>
              </w:rPr>
              <w:t>15</w:t>
            </w:r>
          </w:p>
        </w:tc>
        <w:tc>
          <w:tcPr>
            <w:tcW w:w="1005" w:type="pct"/>
          </w:tcPr>
          <w:p w:rsidR="006E1122" w:rsidRDefault="0068050C" w:rsidP="006E1122">
            <w:pPr>
              <w:ind w:left="110" w:hanging="110"/>
              <w:jc w:val="right"/>
              <w:rPr>
                <w:rFonts w:ascii="Arial" w:hAnsi="Arial" w:cs="Arial"/>
              </w:rPr>
            </w:pPr>
            <w:r>
              <w:rPr>
                <w:rFonts w:ascii="Arial" w:hAnsi="Arial" w:cs="Arial"/>
              </w:rPr>
              <w:t>156</w:t>
            </w:r>
          </w:p>
        </w:tc>
        <w:tc>
          <w:tcPr>
            <w:tcW w:w="1085" w:type="pct"/>
          </w:tcPr>
          <w:p w:rsidR="006E1122" w:rsidRDefault="009F0602" w:rsidP="006E1122">
            <w:pPr>
              <w:ind w:left="110" w:hanging="110"/>
              <w:jc w:val="right"/>
              <w:rPr>
                <w:rFonts w:ascii="Arial" w:hAnsi="Arial" w:cs="Arial"/>
              </w:rPr>
            </w:pPr>
            <w:r>
              <w:rPr>
                <w:rFonts w:ascii="Arial" w:hAnsi="Arial" w:cs="Arial"/>
              </w:rPr>
              <w:t>1,037</w:t>
            </w:r>
          </w:p>
        </w:tc>
      </w:tr>
      <w:tr w:rsidR="006E1122" w:rsidRPr="00271E01" w:rsidTr="006E1122">
        <w:tc>
          <w:tcPr>
            <w:tcW w:w="1653" w:type="pct"/>
          </w:tcPr>
          <w:p w:rsidR="006E1122" w:rsidRDefault="006E1122" w:rsidP="006E1122">
            <w:pPr>
              <w:jc w:val="left"/>
              <w:rPr>
                <w:rFonts w:ascii="Arial" w:hAnsi="Arial" w:cs="Arial"/>
                <w:lang w:val="it-IT"/>
              </w:rPr>
            </w:pPr>
            <w:r>
              <w:rPr>
                <w:rFonts w:ascii="Arial" w:hAnsi="Arial" w:cs="Arial"/>
                <w:lang w:val="it-IT"/>
              </w:rPr>
              <w:t>Russia</w:t>
            </w:r>
          </w:p>
        </w:tc>
        <w:tc>
          <w:tcPr>
            <w:tcW w:w="1257" w:type="pct"/>
          </w:tcPr>
          <w:p w:rsidR="006E1122" w:rsidRDefault="0068050C" w:rsidP="006E1122">
            <w:pPr>
              <w:ind w:left="110" w:hanging="110"/>
              <w:jc w:val="right"/>
              <w:rPr>
                <w:rFonts w:ascii="Arial" w:hAnsi="Arial" w:cs="Arial"/>
                <w:lang w:val="it-IT"/>
              </w:rPr>
            </w:pPr>
            <w:r>
              <w:rPr>
                <w:rFonts w:ascii="Arial" w:hAnsi="Arial" w:cs="Arial"/>
                <w:lang w:val="it-IT"/>
              </w:rPr>
              <w:t>20</w:t>
            </w:r>
          </w:p>
        </w:tc>
        <w:tc>
          <w:tcPr>
            <w:tcW w:w="1005" w:type="pct"/>
          </w:tcPr>
          <w:p w:rsidR="006E1122" w:rsidRDefault="0068050C" w:rsidP="006E1122">
            <w:pPr>
              <w:ind w:left="110" w:hanging="110"/>
              <w:jc w:val="right"/>
              <w:rPr>
                <w:rFonts w:ascii="Arial" w:hAnsi="Arial" w:cs="Arial"/>
                <w:lang w:val="it-IT"/>
              </w:rPr>
            </w:pPr>
            <w:r>
              <w:rPr>
                <w:rFonts w:ascii="Arial" w:hAnsi="Arial" w:cs="Arial"/>
                <w:lang w:val="it-IT"/>
              </w:rPr>
              <w:t>1</w:t>
            </w:r>
            <w:r w:rsidR="00F413DD">
              <w:rPr>
                <w:rFonts w:ascii="Arial" w:hAnsi="Arial" w:cs="Arial"/>
                <w:lang w:val="it-IT"/>
              </w:rPr>
              <w:t>85</w:t>
            </w:r>
          </w:p>
        </w:tc>
        <w:tc>
          <w:tcPr>
            <w:tcW w:w="1085" w:type="pct"/>
          </w:tcPr>
          <w:p w:rsidR="006E1122" w:rsidRDefault="009F0602" w:rsidP="006E1122">
            <w:pPr>
              <w:ind w:left="110" w:hanging="110"/>
              <w:jc w:val="right"/>
              <w:rPr>
                <w:rFonts w:ascii="Arial" w:hAnsi="Arial" w:cs="Arial"/>
                <w:lang w:val="it-IT"/>
              </w:rPr>
            </w:pPr>
            <w:r>
              <w:rPr>
                <w:rFonts w:ascii="Arial" w:hAnsi="Arial" w:cs="Arial"/>
                <w:lang w:val="it-IT"/>
              </w:rPr>
              <w:t>2,648</w:t>
            </w:r>
          </w:p>
        </w:tc>
      </w:tr>
      <w:tr w:rsidR="006E1122" w:rsidRPr="00271E01" w:rsidTr="006E1122">
        <w:tc>
          <w:tcPr>
            <w:tcW w:w="1653" w:type="pct"/>
          </w:tcPr>
          <w:p w:rsidR="006E1122" w:rsidRDefault="006E1122" w:rsidP="006E1122">
            <w:pPr>
              <w:jc w:val="left"/>
              <w:rPr>
                <w:rFonts w:ascii="Arial" w:hAnsi="Arial" w:cs="Arial"/>
                <w:lang w:val="it-IT"/>
              </w:rPr>
            </w:pPr>
            <w:r>
              <w:rPr>
                <w:rFonts w:ascii="Arial" w:hAnsi="Arial" w:cs="Arial"/>
                <w:lang w:val="it-IT"/>
              </w:rPr>
              <w:t>Spain</w:t>
            </w:r>
          </w:p>
        </w:tc>
        <w:tc>
          <w:tcPr>
            <w:tcW w:w="1257" w:type="pct"/>
          </w:tcPr>
          <w:p w:rsidR="006E1122" w:rsidRDefault="0068050C" w:rsidP="006E1122">
            <w:pPr>
              <w:ind w:left="110" w:hanging="110"/>
              <w:jc w:val="right"/>
              <w:rPr>
                <w:rFonts w:ascii="Arial" w:hAnsi="Arial" w:cs="Arial"/>
                <w:lang w:val="it-IT"/>
              </w:rPr>
            </w:pPr>
            <w:r>
              <w:rPr>
                <w:rFonts w:ascii="Arial" w:hAnsi="Arial" w:cs="Arial"/>
                <w:lang w:val="it-IT"/>
              </w:rPr>
              <w:t>24</w:t>
            </w:r>
          </w:p>
        </w:tc>
        <w:tc>
          <w:tcPr>
            <w:tcW w:w="1005" w:type="pct"/>
          </w:tcPr>
          <w:p w:rsidR="006E1122" w:rsidRDefault="0068050C" w:rsidP="006E1122">
            <w:pPr>
              <w:ind w:left="110" w:hanging="110"/>
              <w:jc w:val="right"/>
              <w:rPr>
                <w:rFonts w:ascii="Arial" w:hAnsi="Arial" w:cs="Arial"/>
                <w:lang w:val="it-IT"/>
              </w:rPr>
            </w:pPr>
            <w:r>
              <w:rPr>
                <w:rFonts w:ascii="Arial" w:hAnsi="Arial" w:cs="Arial"/>
                <w:lang w:val="it-IT"/>
              </w:rPr>
              <w:t>142</w:t>
            </w:r>
          </w:p>
        </w:tc>
        <w:tc>
          <w:tcPr>
            <w:tcW w:w="1085" w:type="pct"/>
          </w:tcPr>
          <w:p w:rsidR="006E1122" w:rsidRDefault="009F0602" w:rsidP="006E1122">
            <w:pPr>
              <w:ind w:left="110" w:hanging="110"/>
              <w:jc w:val="right"/>
              <w:rPr>
                <w:rFonts w:ascii="Arial" w:hAnsi="Arial" w:cs="Arial"/>
                <w:lang w:val="it-IT"/>
              </w:rPr>
            </w:pPr>
            <w:r>
              <w:rPr>
                <w:rFonts w:ascii="Arial" w:hAnsi="Arial" w:cs="Arial"/>
                <w:lang w:val="it-IT"/>
              </w:rPr>
              <w:t>1,371</w:t>
            </w:r>
          </w:p>
        </w:tc>
      </w:tr>
      <w:tr w:rsidR="006E1122" w:rsidRPr="00271E01" w:rsidTr="006E1122">
        <w:tc>
          <w:tcPr>
            <w:tcW w:w="1653" w:type="pct"/>
            <w:tcBorders>
              <w:bottom w:val="single" w:sz="4" w:space="0" w:color="auto"/>
            </w:tcBorders>
          </w:tcPr>
          <w:p w:rsidR="006E1122" w:rsidRPr="00271E01" w:rsidRDefault="006E1122" w:rsidP="006E1122">
            <w:pPr>
              <w:jc w:val="left"/>
              <w:rPr>
                <w:rFonts w:ascii="Arial" w:hAnsi="Arial" w:cs="Arial"/>
                <w:lang w:val="it-IT"/>
              </w:rPr>
            </w:pPr>
            <w:r w:rsidRPr="00271E01">
              <w:rPr>
                <w:rFonts w:ascii="Arial" w:hAnsi="Arial" w:cs="Arial"/>
                <w:lang w:val="it-IT"/>
              </w:rPr>
              <w:t>Turkey JV</w:t>
            </w:r>
          </w:p>
        </w:tc>
        <w:tc>
          <w:tcPr>
            <w:tcW w:w="1257" w:type="pct"/>
            <w:tcBorders>
              <w:bottom w:val="single" w:sz="4" w:space="0" w:color="auto"/>
            </w:tcBorders>
          </w:tcPr>
          <w:p w:rsidR="006E1122" w:rsidRPr="00271E01" w:rsidRDefault="0068050C" w:rsidP="006E1122">
            <w:pPr>
              <w:ind w:left="110" w:hanging="110"/>
              <w:jc w:val="right"/>
              <w:rPr>
                <w:rFonts w:ascii="Arial" w:hAnsi="Arial" w:cs="Arial"/>
                <w:lang w:val="it-IT"/>
              </w:rPr>
            </w:pPr>
            <w:r>
              <w:rPr>
                <w:rFonts w:ascii="Arial" w:hAnsi="Arial" w:cs="Arial"/>
                <w:lang w:val="it-IT"/>
              </w:rPr>
              <w:t>45</w:t>
            </w:r>
          </w:p>
        </w:tc>
        <w:tc>
          <w:tcPr>
            <w:tcW w:w="1005" w:type="pct"/>
            <w:tcBorders>
              <w:bottom w:val="single" w:sz="4" w:space="0" w:color="auto"/>
            </w:tcBorders>
          </w:tcPr>
          <w:p w:rsidR="006E1122" w:rsidRPr="00271E01" w:rsidRDefault="0068050C" w:rsidP="006E1122">
            <w:pPr>
              <w:ind w:left="110" w:hanging="110"/>
              <w:jc w:val="right"/>
              <w:rPr>
                <w:rFonts w:ascii="Arial" w:hAnsi="Arial" w:cs="Arial"/>
                <w:lang w:val="it-IT"/>
              </w:rPr>
            </w:pPr>
            <w:r>
              <w:rPr>
                <w:rFonts w:ascii="Arial" w:hAnsi="Arial" w:cs="Arial"/>
                <w:lang w:val="it-IT"/>
              </w:rPr>
              <w:t>216</w:t>
            </w:r>
          </w:p>
        </w:tc>
        <w:tc>
          <w:tcPr>
            <w:tcW w:w="1085" w:type="pct"/>
            <w:tcBorders>
              <w:bottom w:val="single" w:sz="4" w:space="0" w:color="auto"/>
            </w:tcBorders>
          </w:tcPr>
          <w:p w:rsidR="006E1122" w:rsidRPr="00271E01" w:rsidRDefault="009F0602" w:rsidP="006E1122">
            <w:pPr>
              <w:ind w:left="110" w:hanging="110"/>
              <w:jc w:val="right"/>
              <w:rPr>
                <w:rFonts w:ascii="Arial" w:hAnsi="Arial" w:cs="Arial"/>
                <w:lang w:val="it-IT"/>
              </w:rPr>
            </w:pPr>
            <w:r>
              <w:rPr>
                <w:rFonts w:ascii="Arial" w:hAnsi="Arial" w:cs="Arial"/>
                <w:lang w:val="it-IT"/>
              </w:rPr>
              <w:t>3,333</w:t>
            </w:r>
          </w:p>
        </w:tc>
      </w:tr>
      <w:tr w:rsidR="006E1122" w:rsidRPr="00271E01" w:rsidTr="006E1122">
        <w:tc>
          <w:tcPr>
            <w:tcW w:w="1653" w:type="pct"/>
            <w:tcBorders>
              <w:top w:val="single" w:sz="4" w:space="0" w:color="auto"/>
              <w:bottom w:val="single" w:sz="4" w:space="0" w:color="auto"/>
            </w:tcBorders>
          </w:tcPr>
          <w:p w:rsidR="006E1122" w:rsidRPr="00271E01" w:rsidRDefault="006E1122" w:rsidP="006E1122">
            <w:pPr>
              <w:jc w:val="left"/>
              <w:rPr>
                <w:rFonts w:ascii="Arial" w:hAnsi="Arial" w:cs="Arial"/>
                <w:b/>
                <w:bCs/>
              </w:rPr>
            </w:pPr>
            <w:r>
              <w:rPr>
                <w:rFonts w:ascii="Arial" w:hAnsi="Arial" w:cs="Arial"/>
                <w:b/>
                <w:bCs/>
              </w:rPr>
              <w:t xml:space="preserve">Other </w:t>
            </w:r>
            <w:r w:rsidRPr="00271E01">
              <w:rPr>
                <w:rFonts w:ascii="Arial" w:hAnsi="Arial" w:cs="Arial"/>
                <w:b/>
                <w:bCs/>
              </w:rPr>
              <w:t>International</w:t>
            </w:r>
          </w:p>
        </w:tc>
        <w:tc>
          <w:tcPr>
            <w:tcW w:w="1257" w:type="pct"/>
            <w:tcBorders>
              <w:top w:val="single" w:sz="4" w:space="0" w:color="auto"/>
              <w:bottom w:val="single" w:sz="4" w:space="0" w:color="auto"/>
            </w:tcBorders>
          </w:tcPr>
          <w:p w:rsidR="006E1122" w:rsidRPr="00271E01" w:rsidRDefault="0068050C" w:rsidP="006E1122">
            <w:pPr>
              <w:ind w:left="110" w:hanging="110"/>
              <w:jc w:val="right"/>
              <w:rPr>
                <w:rFonts w:ascii="Arial" w:hAnsi="Arial" w:cs="Arial"/>
                <w:b/>
                <w:bCs/>
              </w:rPr>
            </w:pPr>
            <w:r>
              <w:rPr>
                <w:rFonts w:ascii="Arial" w:hAnsi="Arial" w:cs="Arial"/>
                <w:b/>
                <w:bCs/>
              </w:rPr>
              <w:t>215</w:t>
            </w:r>
          </w:p>
        </w:tc>
        <w:tc>
          <w:tcPr>
            <w:tcW w:w="1005" w:type="pct"/>
            <w:tcBorders>
              <w:top w:val="single" w:sz="4" w:space="0" w:color="auto"/>
              <w:bottom w:val="single" w:sz="4" w:space="0" w:color="auto"/>
            </w:tcBorders>
          </w:tcPr>
          <w:p w:rsidR="006E1122" w:rsidRPr="00271E01" w:rsidRDefault="0068050C" w:rsidP="006E1122">
            <w:pPr>
              <w:ind w:left="110" w:hanging="110"/>
              <w:jc w:val="right"/>
              <w:rPr>
                <w:rFonts w:ascii="Arial" w:hAnsi="Arial" w:cs="Arial"/>
                <w:b/>
                <w:bCs/>
              </w:rPr>
            </w:pPr>
            <w:r>
              <w:rPr>
                <w:rFonts w:ascii="Arial" w:hAnsi="Arial" w:cs="Arial"/>
                <w:b/>
                <w:bCs/>
              </w:rPr>
              <w:t>1,54</w:t>
            </w:r>
            <w:r w:rsidR="00F413DD">
              <w:rPr>
                <w:rFonts w:ascii="Arial" w:hAnsi="Arial" w:cs="Arial"/>
                <w:b/>
                <w:bCs/>
              </w:rPr>
              <w:t>7</w:t>
            </w:r>
          </w:p>
        </w:tc>
        <w:tc>
          <w:tcPr>
            <w:tcW w:w="1085" w:type="pct"/>
            <w:tcBorders>
              <w:top w:val="single" w:sz="4" w:space="0" w:color="auto"/>
              <w:bottom w:val="single" w:sz="4" w:space="0" w:color="auto"/>
            </w:tcBorders>
          </w:tcPr>
          <w:p w:rsidR="006E1122" w:rsidRPr="00271E01" w:rsidRDefault="009F0602" w:rsidP="006E1122">
            <w:pPr>
              <w:ind w:left="110" w:hanging="110"/>
              <w:jc w:val="right"/>
              <w:rPr>
                <w:rFonts w:ascii="Arial" w:hAnsi="Arial" w:cs="Arial"/>
                <w:b/>
                <w:bCs/>
              </w:rPr>
            </w:pPr>
            <w:r>
              <w:rPr>
                <w:rFonts w:ascii="Arial" w:hAnsi="Arial" w:cs="Arial"/>
                <w:b/>
                <w:bCs/>
              </w:rPr>
              <w:t>22,583</w:t>
            </w:r>
          </w:p>
        </w:tc>
      </w:tr>
      <w:tr w:rsidR="006E1122" w:rsidRPr="00271E01" w:rsidTr="006E1122">
        <w:tc>
          <w:tcPr>
            <w:tcW w:w="1653" w:type="pct"/>
            <w:tcBorders>
              <w:top w:val="single" w:sz="4" w:space="0" w:color="auto"/>
              <w:bottom w:val="single" w:sz="4" w:space="0" w:color="auto"/>
            </w:tcBorders>
          </w:tcPr>
          <w:p w:rsidR="006E1122" w:rsidRPr="00271E01" w:rsidRDefault="006E1122" w:rsidP="006E1122">
            <w:pPr>
              <w:spacing w:before="100"/>
              <w:ind w:left="108" w:hanging="108"/>
              <w:jc w:val="left"/>
              <w:rPr>
                <w:rFonts w:ascii="Arial" w:hAnsi="Arial" w:cs="Arial"/>
                <w:b/>
                <w:bCs/>
              </w:rPr>
            </w:pPr>
            <w:r>
              <w:rPr>
                <w:rFonts w:ascii="Arial" w:hAnsi="Arial" w:cs="Arial"/>
                <w:b/>
                <w:bCs/>
              </w:rPr>
              <w:t>Total Group</w:t>
            </w:r>
          </w:p>
        </w:tc>
        <w:tc>
          <w:tcPr>
            <w:tcW w:w="1257" w:type="pct"/>
            <w:tcBorders>
              <w:top w:val="single" w:sz="4" w:space="0" w:color="auto"/>
              <w:bottom w:val="single" w:sz="4" w:space="0" w:color="auto"/>
            </w:tcBorders>
          </w:tcPr>
          <w:p w:rsidR="006E1122" w:rsidRPr="00271E01" w:rsidRDefault="0068050C" w:rsidP="006E1122">
            <w:pPr>
              <w:spacing w:before="100"/>
              <w:ind w:left="108" w:hanging="108"/>
              <w:jc w:val="right"/>
              <w:rPr>
                <w:rFonts w:ascii="Arial" w:hAnsi="Arial" w:cs="Arial"/>
                <w:b/>
                <w:bCs/>
              </w:rPr>
            </w:pPr>
            <w:r>
              <w:rPr>
                <w:rFonts w:ascii="Arial" w:hAnsi="Arial" w:cs="Arial"/>
                <w:b/>
                <w:bCs/>
              </w:rPr>
              <w:t>1,124</w:t>
            </w:r>
          </w:p>
        </w:tc>
        <w:tc>
          <w:tcPr>
            <w:tcW w:w="1005" w:type="pct"/>
            <w:tcBorders>
              <w:top w:val="single" w:sz="4" w:space="0" w:color="auto"/>
              <w:bottom w:val="single" w:sz="4" w:space="0" w:color="auto"/>
            </w:tcBorders>
          </w:tcPr>
          <w:p w:rsidR="006E1122" w:rsidRPr="00271E01" w:rsidRDefault="0068050C" w:rsidP="006E1122">
            <w:pPr>
              <w:spacing w:before="100"/>
              <w:ind w:left="108" w:hanging="108"/>
              <w:jc w:val="right"/>
              <w:rPr>
                <w:rFonts w:ascii="Arial" w:hAnsi="Arial" w:cs="Arial"/>
                <w:b/>
                <w:bCs/>
              </w:rPr>
            </w:pPr>
            <w:r>
              <w:rPr>
                <w:rFonts w:ascii="Arial" w:hAnsi="Arial" w:cs="Arial"/>
                <w:b/>
                <w:bCs/>
              </w:rPr>
              <w:t>5,86</w:t>
            </w:r>
            <w:r w:rsidR="00F413DD">
              <w:rPr>
                <w:rFonts w:ascii="Arial" w:hAnsi="Arial" w:cs="Arial"/>
                <w:b/>
                <w:bCs/>
              </w:rPr>
              <w:t>6</w:t>
            </w:r>
          </w:p>
        </w:tc>
        <w:tc>
          <w:tcPr>
            <w:tcW w:w="1085" w:type="pct"/>
            <w:tcBorders>
              <w:top w:val="single" w:sz="4" w:space="0" w:color="auto"/>
              <w:bottom w:val="single" w:sz="4" w:space="0" w:color="auto"/>
            </w:tcBorders>
          </w:tcPr>
          <w:p w:rsidR="006E1122" w:rsidRPr="00271E01" w:rsidRDefault="009F0602" w:rsidP="006E1122">
            <w:pPr>
              <w:spacing w:before="100"/>
              <w:ind w:left="108" w:hanging="108"/>
              <w:jc w:val="right"/>
              <w:rPr>
                <w:rFonts w:ascii="Arial" w:hAnsi="Arial" w:cs="Arial"/>
                <w:b/>
                <w:bCs/>
              </w:rPr>
            </w:pPr>
            <w:r>
              <w:rPr>
                <w:rFonts w:ascii="Arial" w:hAnsi="Arial" w:cs="Arial"/>
                <w:b/>
                <w:bCs/>
              </w:rPr>
              <w:t>66,301</w:t>
            </w:r>
          </w:p>
        </w:tc>
      </w:tr>
      <w:tr w:rsidR="006E1122" w:rsidRPr="00271E01" w:rsidTr="006E1122">
        <w:tc>
          <w:tcPr>
            <w:tcW w:w="1653" w:type="pct"/>
            <w:tcBorders>
              <w:top w:val="single" w:sz="4" w:space="0" w:color="auto"/>
            </w:tcBorders>
          </w:tcPr>
          <w:p w:rsidR="006E1122" w:rsidRDefault="006E1122" w:rsidP="006E1122">
            <w:pPr>
              <w:spacing w:before="100"/>
              <w:ind w:left="108" w:hanging="108"/>
              <w:jc w:val="left"/>
              <w:rPr>
                <w:rFonts w:ascii="Arial" w:hAnsi="Arial" w:cs="Arial"/>
                <w:b/>
                <w:bCs/>
              </w:rPr>
            </w:pPr>
          </w:p>
        </w:tc>
        <w:tc>
          <w:tcPr>
            <w:tcW w:w="1257" w:type="pct"/>
            <w:tcBorders>
              <w:top w:val="single" w:sz="4" w:space="0" w:color="auto"/>
            </w:tcBorders>
          </w:tcPr>
          <w:p w:rsidR="006E1122" w:rsidRPr="00271E01" w:rsidRDefault="006E1122" w:rsidP="006E1122">
            <w:pPr>
              <w:spacing w:before="100"/>
              <w:ind w:left="108" w:hanging="108"/>
              <w:jc w:val="right"/>
              <w:rPr>
                <w:rFonts w:ascii="Arial" w:hAnsi="Arial" w:cs="Arial"/>
                <w:b/>
                <w:bCs/>
              </w:rPr>
            </w:pPr>
          </w:p>
        </w:tc>
        <w:tc>
          <w:tcPr>
            <w:tcW w:w="1005" w:type="pct"/>
            <w:tcBorders>
              <w:top w:val="single" w:sz="4" w:space="0" w:color="auto"/>
            </w:tcBorders>
          </w:tcPr>
          <w:p w:rsidR="006E1122" w:rsidRPr="00271E01" w:rsidRDefault="006E1122" w:rsidP="006E1122">
            <w:pPr>
              <w:spacing w:before="100"/>
              <w:ind w:left="108" w:hanging="108"/>
              <w:jc w:val="right"/>
              <w:rPr>
                <w:rFonts w:ascii="Arial" w:hAnsi="Arial" w:cs="Arial"/>
                <w:b/>
                <w:bCs/>
              </w:rPr>
            </w:pPr>
          </w:p>
        </w:tc>
        <w:tc>
          <w:tcPr>
            <w:tcW w:w="1085" w:type="pct"/>
            <w:tcBorders>
              <w:top w:val="single" w:sz="4" w:space="0" w:color="auto"/>
            </w:tcBorders>
          </w:tcPr>
          <w:p w:rsidR="006E1122" w:rsidRPr="00271E01" w:rsidRDefault="006E1122" w:rsidP="006E1122">
            <w:pPr>
              <w:spacing w:before="100"/>
              <w:ind w:left="108" w:hanging="108"/>
              <w:jc w:val="right"/>
              <w:rPr>
                <w:rFonts w:ascii="Arial" w:hAnsi="Arial" w:cs="Arial"/>
                <w:b/>
                <w:bCs/>
              </w:rPr>
            </w:pPr>
          </w:p>
        </w:tc>
      </w:tr>
    </w:tbl>
    <w:p w:rsidR="00616A26" w:rsidRPr="0026648B" w:rsidRDefault="00616A26" w:rsidP="00616A26">
      <w:pPr>
        <w:jc w:val="left"/>
        <w:rPr>
          <w:rFonts w:ascii="Arial" w:hAnsi="Arial" w:cs="Arial"/>
          <w:b/>
          <w:bCs/>
        </w:rPr>
      </w:pPr>
    </w:p>
    <w:tbl>
      <w:tblPr>
        <w:tblW w:w="8472" w:type="dxa"/>
        <w:tblLayout w:type="fixed"/>
        <w:tblLook w:val="01E0" w:firstRow="1" w:lastRow="1" w:firstColumn="1" w:lastColumn="1" w:noHBand="0" w:noVBand="0"/>
      </w:tblPr>
      <w:tblGrid>
        <w:gridCol w:w="2376"/>
        <w:gridCol w:w="1276"/>
        <w:gridCol w:w="1276"/>
        <w:gridCol w:w="1701"/>
        <w:gridCol w:w="1843"/>
      </w:tblGrid>
      <w:tr w:rsidR="006A2252" w:rsidRPr="0026648B" w:rsidTr="009618C2">
        <w:trPr>
          <w:trHeight w:val="567"/>
        </w:trPr>
        <w:tc>
          <w:tcPr>
            <w:tcW w:w="2376" w:type="dxa"/>
            <w:tcBorders>
              <w:bottom w:val="single" w:sz="4" w:space="0" w:color="auto"/>
            </w:tcBorders>
          </w:tcPr>
          <w:p w:rsidR="00616A26" w:rsidRPr="00FB4505" w:rsidRDefault="00FB4505" w:rsidP="00C659A8">
            <w:pPr>
              <w:jc w:val="left"/>
              <w:rPr>
                <w:rFonts w:ascii="Arial" w:hAnsi="Arial" w:cs="Arial"/>
              </w:rPr>
            </w:pPr>
            <w:r w:rsidRPr="00FB4505">
              <w:rPr>
                <w:rFonts w:ascii="Arial" w:hAnsi="Arial" w:cs="Arial"/>
              </w:rPr>
              <w:t>Full year 2013/14</w:t>
            </w:r>
          </w:p>
        </w:tc>
        <w:tc>
          <w:tcPr>
            <w:tcW w:w="1276" w:type="dxa"/>
            <w:tcBorders>
              <w:bottom w:val="single" w:sz="4" w:space="0" w:color="auto"/>
            </w:tcBorders>
          </w:tcPr>
          <w:p w:rsidR="00616A26" w:rsidRPr="0026648B" w:rsidRDefault="00616A26" w:rsidP="00C659A8">
            <w:pPr>
              <w:jc w:val="right"/>
              <w:rPr>
                <w:rFonts w:ascii="Arial" w:hAnsi="Arial" w:cs="Arial"/>
                <w:b/>
              </w:rPr>
            </w:pPr>
            <w:r w:rsidRPr="0026648B">
              <w:rPr>
                <w:rFonts w:ascii="Arial" w:hAnsi="Arial" w:cs="Arial"/>
                <w:b/>
              </w:rPr>
              <w:t xml:space="preserve">Sales </w:t>
            </w:r>
          </w:p>
        </w:tc>
        <w:tc>
          <w:tcPr>
            <w:tcW w:w="1276" w:type="dxa"/>
            <w:tcBorders>
              <w:bottom w:val="single" w:sz="4" w:space="0" w:color="auto"/>
            </w:tcBorders>
          </w:tcPr>
          <w:p w:rsidR="00616A26" w:rsidRPr="0026648B" w:rsidRDefault="00616A26" w:rsidP="00C659A8">
            <w:pPr>
              <w:jc w:val="right"/>
              <w:rPr>
                <w:rFonts w:ascii="Arial" w:hAnsi="Arial" w:cs="Arial"/>
                <w:b/>
              </w:rPr>
            </w:pPr>
            <w:r w:rsidRPr="0026648B">
              <w:rPr>
                <w:rFonts w:ascii="Arial" w:hAnsi="Arial" w:cs="Arial"/>
                <w:b/>
              </w:rPr>
              <w:t>% Total</w:t>
            </w:r>
          </w:p>
          <w:p w:rsidR="00616A26" w:rsidRPr="0026648B" w:rsidRDefault="00616A26" w:rsidP="00C659A8">
            <w:pPr>
              <w:jc w:val="right"/>
              <w:rPr>
                <w:rFonts w:ascii="Arial" w:hAnsi="Arial" w:cs="Arial"/>
                <w:b/>
              </w:rPr>
            </w:pPr>
            <w:r w:rsidRPr="0026648B">
              <w:rPr>
                <w:rFonts w:ascii="Arial" w:hAnsi="Arial" w:cs="Arial"/>
                <w:b/>
              </w:rPr>
              <w:t>Change</w:t>
            </w:r>
          </w:p>
        </w:tc>
        <w:tc>
          <w:tcPr>
            <w:tcW w:w="1701" w:type="dxa"/>
            <w:tcBorders>
              <w:bottom w:val="single" w:sz="4" w:space="0" w:color="auto"/>
            </w:tcBorders>
          </w:tcPr>
          <w:p w:rsidR="00616A26" w:rsidRPr="0026648B" w:rsidRDefault="00616A26" w:rsidP="00C659A8">
            <w:pPr>
              <w:jc w:val="right"/>
              <w:rPr>
                <w:rFonts w:ascii="Arial" w:hAnsi="Arial" w:cs="Arial"/>
                <w:b/>
              </w:rPr>
            </w:pPr>
            <w:r w:rsidRPr="0026648B">
              <w:rPr>
                <w:rFonts w:ascii="Arial" w:hAnsi="Arial" w:cs="Arial"/>
                <w:b/>
              </w:rPr>
              <w:t>% Total Change</w:t>
            </w:r>
          </w:p>
        </w:tc>
        <w:tc>
          <w:tcPr>
            <w:tcW w:w="1843" w:type="dxa"/>
            <w:tcBorders>
              <w:bottom w:val="single" w:sz="4" w:space="0" w:color="auto"/>
            </w:tcBorders>
          </w:tcPr>
          <w:p w:rsidR="00616A26" w:rsidRPr="0026648B" w:rsidRDefault="00616A26" w:rsidP="00C659A8">
            <w:pPr>
              <w:jc w:val="right"/>
              <w:rPr>
                <w:rFonts w:ascii="Arial" w:hAnsi="Arial" w:cs="Arial"/>
                <w:b/>
              </w:rPr>
            </w:pPr>
            <w:r w:rsidRPr="0026648B">
              <w:rPr>
                <w:rFonts w:ascii="Arial" w:hAnsi="Arial" w:cs="Arial"/>
                <w:b/>
              </w:rPr>
              <w:t>% LFL Change</w:t>
            </w:r>
          </w:p>
        </w:tc>
      </w:tr>
      <w:tr w:rsidR="006A2252" w:rsidRPr="0026648B" w:rsidTr="009618C2">
        <w:trPr>
          <w:trHeight w:val="567"/>
        </w:trPr>
        <w:tc>
          <w:tcPr>
            <w:tcW w:w="2376" w:type="dxa"/>
            <w:tcBorders>
              <w:top w:val="single" w:sz="4" w:space="0" w:color="auto"/>
              <w:bottom w:val="single" w:sz="4" w:space="0" w:color="auto"/>
            </w:tcBorders>
          </w:tcPr>
          <w:p w:rsidR="00616A26" w:rsidRPr="0026648B" w:rsidRDefault="00616A26" w:rsidP="00C659A8">
            <w:pPr>
              <w:jc w:val="right"/>
              <w:rPr>
                <w:rFonts w:ascii="Arial" w:hAnsi="Arial" w:cs="Arial"/>
              </w:rPr>
            </w:pPr>
          </w:p>
        </w:tc>
        <w:tc>
          <w:tcPr>
            <w:tcW w:w="1276" w:type="dxa"/>
            <w:tcBorders>
              <w:top w:val="single" w:sz="4" w:space="0" w:color="auto"/>
              <w:bottom w:val="single" w:sz="4" w:space="0" w:color="auto"/>
            </w:tcBorders>
          </w:tcPr>
          <w:p w:rsidR="00616A26" w:rsidRPr="0026648B" w:rsidRDefault="00616A26" w:rsidP="00C659A8">
            <w:pPr>
              <w:jc w:val="right"/>
              <w:rPr>
                <w:rFonts w:ascii="Arial" w:hAnsi="Arial" w:cs="Arial"/>
                <w:b/>
              </w:rPr>
            </w:pPr>
            <w:r w:rsidRPr="0026648B">
              <w:rPr>
                <w:rFonts w:ascii="Arial" w:hAnsi="Arial" w:cs="Arial"/>
                <w:b/>
              </w:rPr>
              <w:t>£m</w:t>
            </w:r>
          </w:p>
          <w:p w:rsidR="00616A26" w:rsidRPr="0026648B" w:rsidRDefault="0026648B" w:rsidP="00C659A8">
            <w:pPr>
              <w:jc w:val="right"/>
              <w:rPr>
                <w:rFonts w:ascii="Arial" w:hAnsi="Arial" w:cs="Arial"/>
                <w:b/>
              </w:rPr>
            </w:pPr>
            <w:r w:rsidRPr="0026648B">
              <w:rPr>
                <w:rFonts w:ascii="Arial" w:hAnsi="Arial" w:cs="Arial"/>
                <w:b/>
              </w:rPr>
              <w:t>2013/14</w:t>
            </w:r>
          </w:p>
          <w:p w:rsidR="00616A26" w:rsidRPr="0026648B" w:rsidRDefault="00616A26" w:rsidP="00C659A8">
            <w:pPr>
              <w:jc w:val="right"/>
              <w:rPr>
                <w:rFonts w:ascii="Arial" w:hAnsi="Arial" w:cs="Arial"/>
                <w:b/>
              </w:rPr>
            </w:pPr>
          </w:p>
        </w:tc>
        <w:tc>
          <w:tcPr>
            <w:tcW w:w="1276" w:type="dxa"/>
            <w:tcBorders>
              <w:top w:val="single" w:sz="4" w:space="0" w:color="auto"/>
              <w:bottom w:val="single" w:sz="4" w:space="0" w:color="auto"/>
            </w:tcBorders>
          </w:tcPr>
          <w:p w:rsidR="00616A26" w:rsidRPr="0026648B" w:rsidRDefault="00616A26" w:rsidP="00C659A8">
            <w:pPr>
              <w:jc w:val="right"/>
              <w:rPr>
                <w:rFonts w:ascii="Arial" w:hAnsi="Arial" w:cs="Arial"/>
              </w:rPr>
            </w:pPr>
            <w:r w:rsidRPr="0026648B">
              <w:rPr>
                <w:rFonts w:ascii="Arial" w:hAnsi="Arial" w:cs="Arial"/>
                <w:b/>
              </w:rPr>
              <w:t>Reported</w:t>
            </w:r>
          </w:p>
        </w:tc>
        <w:tc>
          <w:tcPr>
            <w:tcW w:w="1701" w:type="dxa"/>
            <w:tcBorders>
              <w:top w:val="single" w:sz="4" w:space="0" w:color="auto"/>
              <w:bottom w:val="single" w:sz="4" w:space="0" w:color="auto"/>
            </w:tcBorders>
          </w:tcPr>
          <w:p w:rsidR="00616A26" w:rsidRPr="0026648B" w:rsidRDefault="000045F9" w:rsidP="000045F9">
            <w:pPr>
              <w:jc w:val="right"/>
              <w:rPr>
                <w:rFonts w:ascii="Arial" w:hAnsi="Arial" w:cs="Arial"/>
                <w:b/>
                <w:vertAlign w:val="superscript"/>
              </w:rPr>
            </w:pPr>
            <w:r>
              <w:rPr>
                <w:rFonts w:ascii="Arial" w:hAnsi="Arial" w:cs="Arial"/>
                <w:b/>
              </w:rPr>
              <w:t>Constant c</w:t>
            </w:r>
            <w:r w:rsidR="0026648B" w:rsidRPr="0026648B">
              <w:rPr>
                <w:rFonts w:ascii="Arial" w:hAnsi="Arial" w:cs="Arial"/>
                <w:b/>
              </w:rPr>
              <w:t>urrency</w:t>
            </w:r>
            <w:r w:rsidR="00D2245A">
              <w:rPr>
                <w:rFonts w:ascii="Arial" w:hAnsi="Arial" w:cs="Arial"/>
                <w:b/>
              </w:rPr>
              <w:t xml:space="preserve"> 52 week basis</w:t>
            </w:r>
          </w:p>
        </w:tc>
        <w:tc>
          <w:tcPr>
            <w:tcW w:w="1843" w:type="dxa"/>
            <w:tcBorders>
              <w:top w:val="single" w:sz="4" w:space="0" w:color="auto"/>
              <w:bottom w:val="single" w:sz="4" w:space="0" w:color="auto"/>
            </w:tcBorders>
          </w:tcPr>
          <w:p w:rsidR="00616A26" w:rsidRPr="0026648B" w:rsidRDefault="0026648B" w:rsidP="000045F9">
            <w:pPr>
              <w:jc w:val="right"/>
              <w:rPr>
                <w:rFonts w:ascii="Arial" w:hAnsi="Arial" w:cs="Arial"/>
                <w:b/>
              </w:rPr>
            </w:pPr>
            <w:r w:rsidRPr="0026648B">
              <w:rPr>
                <w:rFonts w:ascii="Arial" w:hAnsi="Arial" w:cs="Arial"/>
                <w:b/>
              </w:rPr>
              <w:t>C</w:t>
            </w:r>
            <w:r w:rsidR="000045F9">
              <w:rPr>
                <w:rFonts w:ascii="Arial" w:hAnsi="Arial" w:cs="Arial"/>
                <w:b/>
              </w:rPr>
              <w:t>onstant c</w:t>
            </w:r>
            <w:r w:rsidR="00616A26" w:rsidRPr="0026648B">
              <w:rPr>
                <w:rFonts w:ascii="Arial" w:hAnsi="Arial" w:cs="Arial"/>
                <w:b/>
              </w:rPr>
              <w:t>urrency</w:t>
            </w:r>
          </w:p>
        </w:tc>
      </w:tr>
      <w:tr w:rsidR="006A2252" w:rsidRPr="0026648B" w:rsidTr="009618C2">
        <w:trPr>
          <w:trHeight w:hRule="exact" w:val="90"/>
        </w:trPr>
        <w:tc>
          <w:tcPr>
            <w:tcW w:w="2376" w:type="dxa"/>
            <w:tcBorders>
              <w:top w:val="single" w:sz="4" w:space="0" w:color="auto"/>
            </w:tcBorders>
          </w:tcPr>
          <w:p w:rsidR="00616A26" w:rsidRPr="0026648B" w:rsidRDefault="00616A26" w:rsidP="00C659A8">
            <w:pPr>
              <w:rPr>
                <w:rFonts w:ascii="Arial" w:hAnsi="Arial" w:cs="Arial"/>
              </w:rPr>
            </w:pPr>
          </w:p>
        </w:tc>
        <w:tc>
          <w:tcPr>
            <w:tcW w:w="1276" w:type="dxa"/>
            <w:tcBorders>
              <w:top w:val="single" w:sz="4" w:space="0" w:color="auto"/>
            </w:tcBorders>
          </w:tcPr>
          <w:p w:rsidR="00616A26" w:rsidRPr="0026648B" w:rsidRDefault="00616A26" w:rsidP="00C659A8">
            <w:pPr>
              <w:jc w:val="right"/>
              <w:rPr>
                <w:rFonts w:ascii="Arial" w:hAnsi="Arial" w:cs="Arial"/>
              </w:rPr>
            </w:pPr>
          </w:p>
        </w:tc>
        <w:tc>
          <w:tcPr>
            <w:tcW w:w="1276" w:type="dxa"/>
            <w:tcBorders>
              <w:top w:val="single" w:sz="4" w:space="0" w:color="auto"/>
            </w:tcBorders>
          </w:tcPr>
          <w:p w:rsidR="00616A26" w:rsidRPr="0026648B" w:rsidRDefault="00616A26" w:rsidP="00C659A8">
            <w:pPr>
              <w:jc w:val="right"/>
              <w:rPr>
                <w:rFonts w:ascii="Arial" w:hAnsi="Arial" w:cs="Arial"/>
              </w:rPr>
            </w:pPr>
          </w:p>
        </w:tc>
        <w:tc>
          <w:tcPr>
            <w:tcW w:w="1701" w:type="dxa"/>
            <w:tcBorders>
              <w:top w:val="single" w:sz="4" w:space="0" w:color="auto"/>
            </w:tcBorders>
          </w:tcPr>
          <w:p w:rsidR="00616A26" w:rsidRPr="0026648B" w:rsidRDefault="00616A26" w:rsidP="00C659A8">
            <w:pPr>
              <w:jc w:val="right"/>
              <w:rPr>
                <w:rFonts w:ascii="Arial" w:hAnsi="Arial" w:cs="Arial"/>
              </w:rPr>
            </w:pPr>
          </w:p>
        </w:tc>
        <w:tc>
          <w:tcPr>
            <w:tcW w:w="1843" w:type="dxa"/>
            <w:tcBorders>
              <w:top w:val="single" w:sz="4" w:space="0" w:color="auto"/>
            </w:tcBorders>
          </w:tcPr>
          <w:p w:rsidR="00616A26" w:rsidRPr="0026648B" w:rsidRDefault="00616A26" w:rsidP="00C659A8">
            <w:pPr>
              <w:jc w:val="right"/>
              <w:rPr>
                <w:rFonts w:ascii="Arial" w:hAnsi="Arial" w:cs="Arial"/>
              </w:rPr>
            </w:pPr>
          </w:p>
        </w:tc>
      </w:tr>
      <w:tr w:rsidR="006A2252" w:rsidRPr="0026648B" w:rsidTr="009618C2">
        <w:trPr>
          <w:trHeight w:hRule="exact" w:val="312"/>
        </w:trPr>
        <w:tc>
          <w:tcPr>
            <w:tcW w:w="2376" w:type="dxa"/>
          </w:tcPr>
          <w:p w:rsidR="00616A26" w:rsidRPr="0026648B" w:rsidRDefault="00616A26" w:rsidP="00C659A8">
            <w:pPr>
              <w:rPr>
                <w:rFonts w:ascii="Arial" w:hAnsi="Arial" w:cs="Arial"/>
              </w:rPr>
            </w:pPr>
            <w:r w:rsidRPr="0026648B">
              <w:rPr>
                <w:rFonts w:ascii="Arial" w:hAnsi="Arial" w:cs="Arial"/>
              </w:rPr>
              <w:t>Castorama</w:t>
            </w:r>
          </w:p>
        </w:tc>
        <w:tc>
          <w:tcPr>
            <w:tcW w:w="1276" w:type="dxa"/>
          </w:tcPr>
          <w:p w:rsidR="00616A26" w:rsidRPr="0026648B" w:rsidRDefault="007F4AD6" w:rsidP="00C659A8">
            <w:pPr>
              <w:jc w:val="right"/>
              <w:rPr>
                <w:rFonts w:ascii="Arial" w:hAnsi="Arial" w:cs="Arial"/>
              </w:rPr>
            </w:pPr>
            <w:r w:rsidRPr="007F4AD6">
              <w:rPr>
                <w:rFonts w:ascii="Arial" w:hAnsi="Arial" w:cs="Arial"/>
              </w:rPr>
              <w:t>2,469</w:t>
            </w:r>
          </w:p>
        </w:tc>
        <w:tc>
          <w:tcPr>
            <w:tcW w:w="1276" w:type="dxa"/>
          </w:tcPr>
          <w:p w:rsidR="00616A26" w:rsidRPr="0026648B" w:rsidRDefault="00D2245A" w:rsidP="00C659A8">
            <w:pPr>
              <w:jc w:val="right"/>
              <w:rPr>
                <w:rFonts w:ascii="Arial" w:hAnsi="Arial" w:cs="Arial"/>
              </w:rPr>
            </w:pPr>
            <w:r>
              <w:rPr>
                <w:rFonts w:ascii="Arial" w:hAnsi="Arial" w:cs="Arial"/>
              </w:rPr>
              <w:t>+</w:t>
            </w:r>
            <w:r w:rsidR="007F4AD6" w:rsidRPr="007F4AD6">
              <w:rPr>
                <w:rFonts w:ascii="Arial" w:hAnsi="Arial" w:cs="Arial"/>
              </w:rPr>
              <w:t>7.0%</w:t>
            </w:r>
          </w:p>
        </w:tc>
        <w:tc>
          <w:tcPr>
            <w:tcW w:w="1701" w:type="dxa"/>
          </w:tcPr>
          <w:p w:rsidR="00616A26" w:rsidRPr="0026648B" w:rsidRDefault="00544A19" w:rsidP="00C659A8">
            <w:pPr>
              <w:jc w:val="right"/>
              <w:rPr>
                <w:rFonts w:ascii="Arial" w:hAnsi="Arial" w:cs="Arial"/>
              </w:rPr>
            </w:pPr>
            <w:r>
              <w:rPr>
                <w:rFonts w:ascii="Arial" w:hAnsi="Arial" w:cs="Arial"/>
              </w:rPr>
              <w:t>+2.3%</w:t>
            </w:r>
          </w:p>
        </w:tc>
        <w:tc>
          <w:tcPr>
            <w:tcW w:w="1843" w:type="dxa"/>
          </w:tcPr>
          <w:p w:rsidR="00616A26" w:rsidRPr="0026648B" w:rsidRDefault="002A5005" w:rsidP="00C659A8">
            <w:pPr>
              <w:jc w:val="right"/>
              <w:rPr>
                <w:rFonts w:ascii="Arial" w:hAnsi="Arial" w:cs="Arial"/>
              </w:rPr>
            </w:pPr>
            <w:r>
              <w:rPr>
                <w:rFonts w:ascii="Arial" w:hAnsi="Arial" w:cs="Arial"/>
              </w:rPr>
              <w:t>+0.5%</w:t>
            </w:r>
          </w:p>
        </w:tc>
      </w:tr>
      <w:tr w:rsidR="006A2252" w:rsidRPr="0026648B" w:rsidTr="009618C2">
        <w:trPr>
          <w:trHeight w:hRule="exact" w:val="257"/>
        </w:trPr>
        <w:tc>
          <w:tcPr>
            <w:tcW w:w="2376" w:type="dxa"/>
            <w:tcBorders>
              <w:bottom w:val="single" w:sz="4" w:space="0" w:color="auto"/>
            </w:tcBorders>
          </w:tcPr>
          <w:p w:rsidR="00616A26" w:rsidRPr="0026648B" w:rsidRDefault="00616A26" w:rsidP="00C659A8">
            <w:pPr>
              <w:rPr>
                <w:rFonts w:ascii="Arial" w:hAnsi="Arial" w:cs="Arial"/>
              </w:rPr>
            </w:pPr>
            <w:r w:rsidRPr="0026648B">
              <w:rPr>
                <w:rFonts w:ascii="Arial" w:hAnsi="Arial" w:cs="Arial"/>
              </w:rPr>
              <w:t>Brico Dépôt</w:t>
            </w:r>
          </w:p>
        </w:tc>
        <w:tc>
          <w:tcPr>
            <w:tcW w:w="1276" w:type="dxa"/>
            <w:tcBorders>
              <w:bottom w:val="single" w:sz="4" w:space="0" w:color="auto"/>
            </w:tcBorders>
          </w:tcPr>
          <w:p w:rsidR="00616A26" w:rsidRPr="0026648B" w:rsidRDefault="007F4AD6" w:rsidP="00C659A8">
            <w:pPr>
              <w:jc w:val="right"/>
              <w:rPr>
                <w:rFonts w:ascii="Arial" w:hAnsi="Arial" w:cs="Arial"/>
              </w:rPr>
            </w:pPr>
            <w:r w:rsidRPr="007F4AD6">
              <w:rPr>
                <w:rFonts w:ascii="Arial" w:hAnsi="Arial" w:cs="Arial"/>
              </w:rPr>
              <w:t>1,954</w:t>
            </w:r>
          </w:p>
        </w:tc>
        <w:tc>
          <w:tcPr>
            <w:tcW w:w="1276" w:type="dxa"/>
            <w:tcBorders>
              <w:bottom w:val="single" w:sz="4" w:space="0" w:color="auto"/>
            </w:tcBorders>
          </w:tcPr>
          <w:p w:rsidR="00616A26" w:rsidRPr="0026648B" w:rsidRDefault="00D2245A" w:rsidP="00C659A8">
            <w:pPr>
              <w:jc w:val="right"/>
              <w:rPr>
                <w:rFonts w:ascii="Arial" w:hAnsi="Arial" w:cs="Arial"/>
              </w:rPr>
            </w:pPr>
            <w:r>
              <w:rPr>
                <w:rFonts w:ascii="Arial" w:hAnsi="Arial" w:cs="Arial"/>
              </w:rPr>
              <w:t>+</w:t>
            </w:r>
            <w:r w:rsidR="007F4AD6" w:rsidRPr="007F4AD6">
              <w:rPr>
                <w:rFonts w:ascii="Arial" w:hAnsi="Arial" w:cs="Arial"/>
              </w:rPr>
              <w:t>3.6%</w:t>
            </w:r>
          </w:p>
        </w:tc>
        <w:tc>
          <w:tcPr>
            <w:tcW w:w="1701" w:type="dxa"/>
            <w:tcBorders>
              <w:bottom w:val="single" w:sz="4" w:space="0" w:color="auto"/>
            </w:tcBorders>
          </w:tcPr>
          <w:p w:rsidR="00616A26" w:rsidRPr="0026648B" w:rsidRDefault="00544A19" w:rsidP="00C659A8">
            <w:pPr>
              <w:jc w:val="right"/>
              <w:rPr>
                <w:rFonts w:ascii="Arial" w:hAnsi="Arial" w:cs="Arial"/>
              </w:rPr>
            </w:pPr>
            <w:r>
              <w:rPr>
                <w:rFonts w:ascii="Arial" w:hAnsi="Arial" w:cs="Arial"/>
              </w:rPr>
              <w:t>(1.0)%</w:t>
            </w:r>
          </w:p>
        </w:tc>
        <w:tc>
          <w:tcPr>
            <w:tcW w:w="1843" w:type="dxa"/>
            <w:tcBorders>
              <w:bottom w:val="single" w:sz="4" w:space="0" w:color="auto"/>
            </w:tcBorders>
          </w:tcPr>
          <w:p w:rsidR="00616A26" w:rsidRPr="0026648B" w:rsidRDefault="002A5005" w:rsidP="00C659A8">
            <w:pPr>
              <w:jc w:val="right"/>
              <w:rPr>
                <w:rFonts w:ascii="Arial" w:hAnsi="Arial" w:cs="Arial"/>
              </w:rPr>
            </w:pPr>
            <w:r>
              <w:rPr>
                <w:rFonts w:ascii="Arial" w:hAnsi="Arial" w:cs="Arial"/>
              </w:rPr>
              <w:t>(3.0)%</w:t>
            </w:r>
          </w:p>
        </w:tc>
      </w:tr>
      <w:tr w:rsidR="006A2252" w:rsidRPr="0026648B" w:rsidTr="009618C2">
        <w:trPr>
          <w:trHeight w:hRule="exact" w:val="302"/>
        </w:trPr>
        <w:tc>
          <w:tcPr>
            <w:tcW w:w="2376" w:type="dxa"/>
            <w:tcBorders>
              <w:top w:val="single" w:sz="4" w:space="0" w:color="auto"/>
            </w:tcBorders>
          </w:tcPr>
          <w:p w:rsidR="00616A26" w:rsidRPr="0026648B" w:rsidRDefault="00616A26" w:rsidP="00C659A8">
            <w:pPr>
              <w:rPr>
                <w:rFonts w:ascii="Arial" w:hAnsi="Arial" w:cs="Arial"/>
                <w:b/>
              </w:rPr>
            </w:pPr>
            <w:r w:rsidRPr="0026648B">
              <w:rPr>
                <w:rFonts w:ascii="Arial" w:hAnsi="Arial" w:cs="Arial"/>
                <w:b/>
              </w:rPr>
              <w:t>France</w:t>
            </w:r>
          </w:p>
        </w:tc>
        <w:tc>
          <w:tcPr>
            <w:tcW w:w="1276" w:type="dxa"/>
            <w:tcBorders>
              <w:top w:val="single" w:sz="4" w:space="0" w:color="auto"/>
            </w:tcBorders>
          </w:tcPr>
          <w:p w:rsidR="00616A26" w:rsidRPr="0026648B" w:rsidRDefault="007F4AD6" w:rsidP="00C659A8">
            <w:pPr>
              <w:jc w:val="right"/>
              <w:rPr>
                <w:rFonts w:ascii="Arial" w:hAnsi="Arial" w:cs="Arial"/>
                <w:b/>
              </w:rPr>
            </w:pPr>
            <w:r w:rsidRPr="007F4AD6">
              <w:rPr>
                <w:rFonts w:ascii="Arial" w:hAnsi="Arial" w:cs="Arial"/>
                <w:b/>
              </w:rPr>
              <w:t>4,423</w:t>
            </w:r>
          </w:p>
        </w:tc>
        <w:tc>
          <w:tcPr>
            <w:tcW w:w="1276" w:type="dxa"/>
            <w:tcBorders>
              <w:top w:val="single" w:sz="4" w:space="0" w:color="auto"/>
            </w:tcBorders>
          </w:tcPr>
          <w:p w:rsidR="00616A26" w:rsidRPr="0026648B" w:rsidRDefault="00D2245A" w:rsidP="00C659A8">
            <w:pPr>
              <w:jc w:val="right"/>
              <w:rPr>
                <w:rFonts w:ascii="Arial" w:hAnsi="Arial" w:cs="Arial"/>
                <w:b/>
              </w:rPr>
            </w:pPr>
            <w:r>
              <w:rPr>
                <w:rFonts w:ascii="Arial" w:hAnsi="Arial" w:cs="Arial"/>
                <w:b/>
              </w:rPr>
              <w:t>+</w:t>
            </w:r>
            <w:r w:rsidR="007F4AD6" w:rsidRPr="007F4AD6">
              <w:rPr>
                <w:rFonts w:ascii="Arial" w:hAnsi="Arial" w:cs="Arial"/>
                <w:b/>
              </w:rPr>
              <w:t>5.5%</w:t>
            </w:r>
          </w:p>
        </w:tc>
        <w:tc>
          <w:tcPr>
            <w:tcW w:w="1701" w:type="dxa"/>
            <w:tcBorders>
              <w:top w:val="single" w:sz="4" w:space="0" w:color="auto"/>
            </w:tcBorders>
          </w:tcPr>
          <w:p w:rsidR="00616A26" w:rsidRPr="0026648B" w:rsidRDefault="00544A19" w:rsidP="00C659A8">
            <w:pPr>
              <w:jc w:val="right"/>
              <w:rPr>
                <w:rFonts w:ascii="Arial" w:hAnsi="Arial" w:cs="Arial"/>
                <w:b/>
              </w:rPr>
            </w:pPr>
            <w:r>
              <w:rPr>
                <w:rFonts w:ascii="Arial" w:hAnsi="Arial" w:cs="Arial"/>
                <w:b/>
              </w:rPr>
              <w:t>+0.8%</w:t>
            </w:r>
          </w:p>
        </w:tc>
        <w:tc>
          <w:tcPr>
            <w:tcW w:w="1843" w:type="dxa"/>
            <w:tcBorders>
              <w:top w:val="single" w:sz="4" w:space="0" w:color="auto"/>
            </w:tcBorders>
          </w:tcPr>
          <w:p w:rsidR="00616A26" w:rsidRPr="0026648B" w:rsidRDefault="002A5005" w:rsidP="00C659A8">
            <w:pPr>
              <w:jc w:val="right"/>
              <w:rPr>
                <w:rFonts w:ascii="Arial" w:hAnsi="Arial" w:cs="Arial"/>
                <w:b/>
              </w:rPr>
            </w:pPr>
            <w:r>
              <w:rPr>
                <w:rFonts w:ascii="Arial" w:hAnsi="Arial" w:cs="Arial"/>
                <w:b/>
              </w:rPr>
              <w:t>(1.2)%</w:t>
            </w:r>
          </w:p>
        </w:tc>
      </w:tr>
      <w:tr w:rsidR="006A2252" w:rsidRPr="0026648B" w:rsidTr="0068050C">
        <w:trPr>
          <w:trHeight w:hRule="exact" w:val="312"/>
        </w:trPr>
        <w:tc>
          <w:tcPr>
            <w:tcW w:w="2376" w:type="dxa"/>
          </w:tcPr>
          <w:p w:rsidR="00616A26" w:rsidRPr="0026648B" w:rsidRDefault="00616A26" w:rsidP="00C659A8">
            <w:pPr>
              <w:jc w:val="left"/>
              <w:rPr>
                <w:rFonts w:ascii="Arial" w:hAnsi="Arial" w:cs="Arial"/>
              </w:rPr>
            </w:pPr>
            <w:r w:rsidRPr="0026648B">
              <w:rPr>
                <w:rFonts w:ascii="Arial" w:hAnsi="Arial" w:cs="Arial"/>
              </w:rPr>
              <w:t>B&amp;Q UK &amp; Ireland</w:t>
            </w:r>
            <w:r w:rsidRPr="0026648B">
              <w:rPr>
                <w:rFonts w:ascii="Arial" w:hAnsi="Arial" w:cs="Arial"/>
                <w:vertAlign w:val="superscript"/>
              </w:rPr>
              <w:t xml:space="preserve"> </w:t>
            </w:r>
          </w:p>
        </w:tc>
        <w:tc>
          <w:tcPr>
            <w:tcW w:w="1276" w:type="dxa"/>
          </w:tcPr>
          <w:p w:rsidR="00616A26" w:rsidRPr="0026648B" w:rsidRDefault="007F4AD6">
            <w:pPr>
              <w:jc w:val="right"/>
              <w:rPr>
                <w:rFonts w:ascii="Arial" w:hAnsi="Arial" w:cs="Arial"/>
              </w:rPr>
            </w:pPr>
            <w:r w:rsidRPr="007F4AD6">
              <w:rPr>
                <w:rFonts w:ascii="Arial" w:hAnsi="Arial" w:cs="Arial"/>
              </w:rPr>
              <w:t>3,698</w:t>
            </w:r>
          </w:p>
        </w:tc>
        <w:tc>
          <w:tcPr>
            <w:tcW w:w="1276" w:type="dxa"/>
          </w:tcPr>
          <w:p w:rsidR="00616A26" w:rsidRPr="0026648B" w:rsidRDefault="00544A19">
            <w:pPr>
              <w:jc w:val="right"/>
              <w:rPr>
                <w:rFonts w:ascii="Arial" w:hAnsi="Arial" w:cs="Arial"/>
              </w:rPr>
            </w:pPr>
            <w:r>
              <w:rPr>
                <w:rFonts w:ascii="Arial" w:hAnsi="Arial" w:cs="Arial"/>
              </w:rPr>
              <w:t>(1.1)</w:t>
            </w:r>
            <w:r w:rsidR="00D2245A" w:rsidRPr="00D2245A">
              <w:rPr>
                <w:rFonts w:ascii="Arial" w:hAnsi="Arial" w:cs="Arial"/>
              </w:rPr>
              <w:t>%</w:t>
            </w:r>
          </w:p>
        </w:tc>
        <w:tc>
          <w:tcPr>
            <w:tcW w:w="1701" w:type="dxa"/>
          </w:tcPr>
          <w:p w:rsidR="00616A26" w:rsidRPr="0026648B" w:rsidRDefault="00544A19" w:rsidP="00C659A8">
            <w:pPr>
              <w:jc w:val="right"/>
              <w:rPr>
                <w:rFonts w:ascii="Arial" w:hAnsi="Arial" w:cs="Arial"/>
              </w:rPr>
            </w:pPr>
            <w:r>
              <w:rPr>
                <w:rFonts w:ascii="Arial" w:hAnsi="Arial" w:cs="Arial"/>
              </w:rPr>
              <w:t>+0.4%</w:t>
            </w:r>
          </w:p>
        </w:tc>
        <w:tc>
          <w:tcPr>
            <w:tcW w:w="1843" w:type="dxa"/>
          </w:tcPr>
          <w:p w:rsidR="00616A26" w:rsidRPr="0026648B" w:rsidRDefault="002A5005" w:rsidP="00C659A8">
            <w:pPr>
              <w:jc w:val="right"/>
              <w:rPr>
                <w:rFonts w:ascii="Arial" w:hAnsi="Arial" w:cs="Arial"/>
              </w:rPr>
            </w:pPr>
            <w:r>
              <w:rPr>
                <w:rFonts w:ascii="Arial" w:hAnsi="Arial" w:cs="Arial"/>
              </w:rPr>
              <w:t>+0.1%</w:t>
            </w:r>
          </w:p>
        </w:tc>
      </w:tr>
      <w:tr w:rsidR="006A2252" w:rsidRPr="0026648B" w:rsidTr="0068050C">
        <w:trPr>
          <w:trHeight w:hRule="exact" w:val="312"/>
        </w:trPr>
        <w:tc>
          <w:tcPr>
            <w:tcW w:w="2376" w:type="dxa"/>
            <w:tcBorders>
              <w:bottom w:val="single" w:sz="4" w:space="0" w:color="auto"/>
            </w:tcBorders>
          </w:tcPr>
          <w:p w:rsidR="00616A26" w:rsidRPr="0026648B" w:rsidRDefault="00616A26" w:rsidP="00C659A8">
            <w:pPr>
              <w:jc w:val="left"/>
              <w:rPr>
                <w:rFonts w:ascii="Arial" w:hAnsi="Arial" w:cs="Arial"/>
              </w:rPr>
            </w:pPr>
            <w:r w:rsidRPr="0026648B">
              <w:rPr>
                <w:rFonts w:ascii="Arial" w:hAnsi="Arial" w:cs="Arial"/>
              </w:rPr>
              <w:t>Screwfix</w:t>
            </w:r>
          </w:p>
        </w:tc>
        <w:tc>
          <w:tcPr>
            <w:tcW w:w="1276" w:type="dxa"/>
            <w:tcBorders>
              <w:bottom w:val="single" w:sz="4" w:space="0" w:color="auto"/>
            </w:tcBorders>
          </w:tcPr>
          <w:p w:rsidR="00616A26" w:rsidRPr="0026648B" w:rsidRDefault="007F4AD6" w:rsidP="00C659A8">
            <w:pPr>
              <w:jc w:val="right"/>
              <w:rPr>
                <w:rFonts w:ascii="Arial" w:hAnsi="Arial" w:cs="Arial"/>
              </w:rPr>
            </w:pPr>
            <w:r w:rsidRPr="007F4AD6">
              <w:rPr>
                <w:rFonts w:ascii="Arial" w:hAnsi="Arial" w:cs="Arial"/>
              </w:rPr>
              <w:t>66</w:t>
            </w:r>
            <w:r w:rsidR="0004782C">
              <w:rPr>
                <w:rFonts w:ascii="Arial" w:hAnsi="Arial" w:cs="Arial"/>
              </w:rPr>
              <w:t>5</w:t>
            </w:r>
          </w:p>
        </w:tc>
        <w:tc>
          <w:tcPr>
            <w:tcW w:w="1276" w:type="dxa"/>
            <w:tcBorders>
              <w:bottom w:val="single" w:sz="4" w:space="0" w:color="auto"/>
            </w:tcBorders>
          </w:tcPr>
          <w:p w:rsidR="00616A26" w:rsidRPr="0026648B" w:rsidRDefault="00D2245A" w:rsidP="00C659A8">
            <w:pPr>
              <w:jc w:val="right"/>
              <w:rPr>
                <w:rFonts w:ascii="Arial" w:hAnsi="Arial" w:cs="Arial"/>
              </w:rPr>
            </w:pPr>
            <w:r>
              <w:rPr>
                <w:rFonts w:ascii="Arial" w:hAnsi="Arial" w:cs="Arial"/>
              </w:rPr>
              <w:t>+</w:t>
            </w:r>
            <w:r w:rsidRPr="00D2245A">
              <w:rPr>
                <w:rFonts w:ascii="Arial" w:hAnsi="Arial" w:cs="Arial"/>
              </w:rPr>
              <w:t>15.</w:t>
            </w:r>
            <w:r w:rsidR="0004782C">
              <w:rPr>
                <w:rFonts w:ascii="Arial" w:hAnsi="Arial" w:cs="Arial"/>
              </w:rPr>
              <w:t>2</w:t>
            </w:r>
            <w:r w:rsidRPr="00D2245A">
              <w:rPr>
                <w:rFonts w:ascii="Arial" w:hAnsi="Arial" w:cs="Arial"/>
              </w:rPr>
              <w:t>%</w:t>
            </w:r>
          </w:p>
        </w:tc>
        <w:tc>
          <w:tcPr>
            <w:tcW w:w="1701" w:type="dxa"/>
            <w:tcBorders>
              <w:bottom w:val="single" w:sz="4" w:space="0" w:color="auto"/>
            </w:tcBorders>
          </w:tcPr>
          <w:p w:rsidR="00616A26" w:rsidRPr="0026648B" w:rsidRDefault="00544A19" w:rsidP="00C659A8">
            <w:pPr>
              <w:jc w:val="right"/>
              <w:rPr>
                <w:rFonts w:ascii="Arial" w:hAnsi="Arial" w:cs="Arial"/>
              </w:rPr>
            </w:pPr>
            <w:r>
              <w:rPr>
                <w:rFonts w:ascii="Arial" w:hAnsi="Arial" w:cs="Arial"/>
              </w:rPr>
              <w:t>+17.</w:t>
            </w:r>
            <w:r w:rsidR="0004782C">
              <w:rPr>
                <w:rFonts w:ascii="Arial" w:hAnsi="Arial" w:cs="Arial"/>
              </w:rPr>
              <w:t>6</w:t>
            </w:r>
            <w:r>
              <w:rPr>
                <w:rFonts w:ascii="Arial" w:hAnsi="Arial" w:cs="Arial"/>
              </w:rPr>
              <w:t>%</w:t>
            </w:r>
          </w:p>
        </w:tc>
        <w:tc>
          <w:tcPr>
            <w:tcW w:w="1843" w:type="dxa"/>
            <w:tcBorders>
              <w:bottom w:val="single" w:sz="4" w:space="0" w:color="auto"/>
            </w:tcBorders>
          </w:tcPr>
          <w:p w:rsidR="00616A26" w:rsidRPr="0026648B" w:rsidRDefault="002A5005" w:rsidP="00C659A8">
            <w:pPr>
              <w:jc w:val="right"/>
              <w:rPr>
                <w:rFonts w:ascii="Arial" w:hAnsi="Arial" w:cs="Arial"/>
              </w:rPr>
            </w:pPr>
            <w:r>
              <w:rPr>
                <w:rFonts w:ascii="Arial" w:hAnsi="Arial" w:cs="Arial"/>
              </w:rPr>
              <w:t>+7.</w:t>
            </w:r>
            <w:r w:rsidR="0004782C">
              <w:rPr>
                <w:rFonts w:ascii="Arial" w:hAnsi="Arial" w:cs="Arial"/>
              </w:rPr>
              <w:t>3</w:t>
            </w:r>
            <w:r>
              <w:rPr>
                <w:rFonts w:ascii="Arial" w:hAnsi="Arial" w:cs="Arial"/>
              </w:rPr>
              <w:t>%</w:t>
            </w:r>
          </w:p>
        </w:tc>
      </w:tr>
      <w:tr w:rsidR="006A2252" w:rsidRPr="0026648B" w:rsidTr="009618C2">
        <w:trPr>
          <w:trHeight w:hRule="exact" w:val="337"/>
        </w:trPr>
        <w:tc>
          <w:tcPr>
            <w:tcW w:w="2376" w:type="dxa"/>
            <w:tcBorders>
              <w:top w:val="single" w:sz="4" w:space="0" w:color="auto"/>
            </w:tcBorders>
          </w:tcPr>
          <w:p w:rsidR="00616A26" w:rsidRPr="0026648B" w:rsidRDefault="00616A26" w:rsidP="00C659A8">
            <w:pPr>
              <w:jc w:val="left"/>
              <w:rPr>
                <w:rFonts w:ascii="Arial" w:hAnsi="Arial" w:cs="Arial"/>
                <w:b/>
                <w:vertAlign w:val="superscript"/>
              </w:rPr>
            </w:pPr>
            <w:r w:rsidRPr="0026648B">
              <w:rPr>
                <w:rFonts w:ascii="Arial" w:hAnsi="Arial" w:cs="Arial"/>
                <w:b/>
              </w:rPr>
              <w:t>UK &amp; Ireland</w:t>
            </w:r>
          </w:p>
        </w:tc>
        <w:tc>
          <w:tcPr>
            <w:tcW w:w="1276" w:type="dxa"/>
            <w:tcBorders>
              <w:top w:val="single" w:sz="4" w:space="0" w:color="auto"/>
            </w:tcBorders>
          </w:tcPr>
          <w:p w:rsidR="00616A26" w:rsidRPr="0026648B" w:rsidRDefault="007F4AD6">
            <w:pPr>
              <w:jc w:val="right"/>
              <w:rPr>
                <w:rFonts w:ascii="Arial" w:hAnsi="Arial" w:cs="Arial"/>
                <w:b/>
              </w:rPr>
            </w:pPr>
            <w:r w:rsidRPr="007F4AD6">
              <w:rPr>
                <w:rFonts w:ascii="Arial" w:hAnsi="Arial" w:cs="Arial"/>
                <w:b/>
              </w:rPr>
              <w:t>4,36</w:t>
            </w:r>
            <w:r w:rsidR="0004782C">
              <w:rPr>
                <w:rFonts w:ascii="Arial" w:hAnsi="Arial" w:cs="Arial"/>
                <w:b/>
              </w:rPr>
              <w:t>3</w:t>
            </w:r>
          </w:p>
        </w:tc>
        <w:tc>
          <w:tcPr>
            <w:tcW w:w="1276" w:type="dxa"/>
            <w:tcBorders>
              <w:top w:val="single" w:sz="4" w:space="0" w:color="auto"/>
            </w:tcBorders>
          </w:tcPr>
          <w:p w:rsidR="00616A26" w:rsidRPr="0026648B" w:rsidRDefault="00D2245A" w:rsidP="00C659A8">
            <w:pPr>
              <w:jc w:val="right"/>
              <w:rPr>
                <w:rFonts w:ascii="Arial" w:hAnsi="Arial" w:cs="Arial"/>
                <w:b/>
              </w:rPr>
            </w:pPr>
            <w:r>
              <w:rPr>
                <w:rFonts w:ascii="Arial" w:hAnsi="Arial" w:cs="Arial"/>
                <w:b/>
              </w:rPr>
              <w:t>+</w:t>
            </w:r>
            <w:r w:rsidRPr="00D2245A">
              <w:rPr>
                <w:rFonts w:ascii="Arial" w:hAnsi="Arial" w:cs="Arial"/>
                <w:b/>
              </w:rPr>
              <w:t>1.1%</w:t>
            </w:r>
          </w:p>
        </w:tc>
        <w:tc>
          <w:tcPr>
            <w:tcW w:w="1701" w:type="dxa"/>
            <w:tcBorders>
              <w:top w:val="single" w:sz="4" w:space="0" w:color="auto"/>
            </w:tcBorders>
          </w:tcPr>
          <w:p w:rsidR="00616A26" w:rsidRPr="0026648B" w:rsidRDefault="00544A19" w:rsidP="00C659A8">
            <w:pPr>
              <w:jc w:val="right"/>
              <w:rPr>
                <w:rFonts w:ascii="Arial" w:hAnsi="Arial" w:cs="Arial"/>
                <w:b/>
              </w:rPr>
            </w:pPr>
            <w:r>
              <w:rPr>
                <w:rFonts w:ascii="Arial" w:hAnsi="Arial" w:cs="Arial"/>
                <w:b/>
              </w:rPr>
              <w:t>+2.7%</w:t>
            </w:r>
          </w:p>
        </w:tc>
        <w:tc>
          <w:tcPr>
            <w:tcW w:w="1843" w:type="dxa"/>
            <w:tcBorders>
              <w:top w:val="single" w:sz="4" w:space="0" w:color="auto"/>
            </w:tcBorders>
          </w:tcPr>
          <w:p w:rsidR="00616A26" w:rsidRPr="0026648B" w:rsidRDefault="002A5005" w:rsidP="00C659A8">
            <w:pPr>
              <w:jc w:val="right"/>
              <w:rPr>
                <w:rFonts w:ascii="Arial" w:hAnsi="Arial" w:cs="Arial"/>
                <w:b/>
              </w:rPr>
            </w:pPr>
            <w:r>
              <w:rPr>
                <w:rFonts w:ascii="Arial" w:hAnsi="Arial" w:cs="Arial"/>
                <w:b/>
              </w:rPr>
              <w:t>+1.1%</w:t>
            </w:r>
          </w:p>
        </w:tc>
      </w:tr>
      <w:tr w:rsidR="006A2252" w:rsidRPr="0026648B" w:rsidTr="009618C2">
        <w:trPr>
          <w:trHeight w:hRule="exact" w:val="312"/>
        </w:trPr>
        <w:tc>
          <w:tcPr>
            <w:tcW w:w="2376" w:type="dxa"/>
          </w:tcPr>
          <w:p w:rsidR="00616A26" w:rsidRPr="0026648B" w:rsidRDefault="00616A26" w:rsidP="00C659A8">
            <w:pPr>
              <w:jc w:val="left"/>
              <w:rPr>
                <w:rFonts w:ascii="Arial" w:hAnsi="Arial" w:cs="Arial"/>
              </w:rPr>
            </w:pPr>
            <w:r w:rsidRPr="0026648B">
              <w:rPr>
                <w:rFonts w:ascii="Arial" w:hAnsi="Arial" w:cs="Arial"/>
              </w:rPr>
              <w:t>Poland</w:t>
            </w:r>
          </w:p>
        </w:tc>
        <w:tc>
          <w:tcPr>
            <w:tcW w:w="1276" w:type="dxa"/>
          </w:tcPr>
          <w:p w:rsidR="00616A26" w:rsidRPr="0026648B" w:rsidRDefault="007F4AD6" w:rsidP="00C659A8">
            <w:pPr>
              <w:jc w:val="right"/>
              <w:rPr>
                <w:rFonts w:ascii="Arial" w:hAnsi="Arial" w:cs="Arial"/>
              </w:rPr>
            </w:pPr>
            <w:r w:rsidRPr="007F4AD6">
              <w:rPr>
                <w:rFonts w:ascii="Arial" w:hAnsi="Arial" w:cs="Arial"/>
              </w:rPr>
              <w:t>1,109</w:t>
            </w:r>
          </w:p>
        </w:tc>
        <w:tc>
          <w:tcPr>
            <w:tcW w:w="1276" w:type="dxa"/>
          </w:tcPr>
          <w:p w:rsidR="00616A26" w:rsidRPr="0026648B" w:rsidRDefault="00D2245A" w:rsidP="00C659A8">
            <w:pPr>
              <w:jc w:val="right"/>
              <w:rPr>
                <w:rFonts w:ascii="Arial" w:hAnsi="Arial" w:cs="Arial"/>
              </w:rPr>
            </w:pPr>
            <w:r>
              <w:rPr>
                <w:rFonts w:ascii="Arial" w:hAnsi="Arial" w:cs="Arial"/>
              </w:rPr>
              <w:t>+</w:t>
            </w:r>
            <w:r w:rsidRPr="00D2245A">
              <w:rPr>
                <w:rFonts w:ascii="Arial" w:hAnsi="Arial" w:cs="Arial"/>
              </w:rPr>
              <w:t>7.7%</w:t>
            </w:r>
          </w:p>
        </w:tc>
        <w:tc>
          <w:tcPr>
            <w:tcW w:w="1701" w:type="dxa"/>
          </w:tcPr>
          <w:p w:rsidR="00616A26" w:rsidRPr="0026648B" w:rsidRDefault="00544A19" w:rsidP="00C659A8">
            <w:pPr>
              <w:jc w:val="right"/>
              <w:rPr>
                <w:rFonts w:ascii="Arial" w:hAnsi="Arial" w:cs="Arial"/>
              </w:rPr>
            </w:pPr>
            <w:r>
              <w:rPr>
                <w:rFonts w:ascii="Arial" w:hAnsi="Arial" w:cs="Arial"/>
              </w:rPr>
              <w:t>+3.9%</w:t>
            </w:r>
          </w:p>
        </w:tc>
        <w:tc>
          <w:tcPr>
            <w:tcW w:w="1843" w:type="dxa"/>
          </w:tcPr>
          <w:p w:rsidR="00616A26" w:rsidRPr="0026648B" w:rsidRDefault="002A5005" w:rsidP="00C659A8">
            <w:pPr>
              <w:jc w:val="right"/>
              <w:rPr>
                <w:rFonts w:ascii="Arial" w:hAnsi="Arial" w:cs="Arial"/>
              </w:rPr>
            </w:pPr>
            <w:r>
              <w:rPr>
                <w:rFonts w:ascii="Arial" w:hAnsi="Arial" w:cs="Arial"/>
              </w:rPr>
              <w:t>+1.2%</w:t>
            </w:r>
          </w:p>
        </w:tc>
      </w:tr>
      <w:tr w:rsidR="006A2252" w:rsidRPr="0026648B" w:rsidTr="009618C2">
        <w:trPr>
          <w:trHeight w:hRule="exact" w:val="312"/>
        </w:trPr>
        <w:tc>
          <w:tcPr>
            <w:tcW w:w="2376" w:type="dxa"/>
          </w:tcPr>
          <w:p w:rsidR="00616A26" w:rsidRPr="0026648B" w:rsidRDefault="00616A26" w:rsidP="00C659A8">
            <w:pPr>
              <w:jc w:val="left"/>
              <w:rPr>
                <w:rFonts w:ascii="Arial" w:hAnsi="Arial" w:cs="Arial"/>
              </w:rPr>
            </w:pPr>
            <w:r w:rsidRPr="0026648B">
              <w:rPr>
                <w:rFonts w:ascii="Arial" w:hAnsi="Arial" w:cs="Arial"/>
              </w:rPr>
              <w:t>China</w:t>
            </w:r>
          </w:p>
        </w:tc>
        <w:tc>
          <w:tcPr>
            <w:tcW w:w="1276" w:type="dxa"/>
          </w:tcPr>
          <w:p w:rsidR="00616A26" w:rsidRPr="0026648B" w:rsidRDefault="007F4AD6" w:rsidP="00C659A8">
            <w:pPr>
              <w:jc w:val="right"/>
              <w:rPr>
                <w:rFonts w:ascii="Arial" w:hAnsi="Arial" w:cs="Arial"/>
              </w:rPr>
            </w:pPr>
            <w:r w:rsidRPr="007F4AD6">
              <w:rPr>
                <w:rFonts w:ascii="Arial" w:hAnsi="Arial" w:cs="Arial"/>
              </w:rPr>
              <w:t>421</w:t>
            </w:r>
          </w:p>
        </w:tc>
        <w:tc>
          <w:tcPr>
            <w:tcW w:w="1276" w:type="dxa"/>
          </w:tcPr>
          <w:p w:rsidR="00616A26" w:rsidRPr="0026648B" w:rsidRDefault="00D2245A" w:rsidP="00C659A8">
            <w:pPr>
              <w:jc w:val="right"/>
              <w:rPr>
                <w:rFonts w:ascii="Arial" w:hAnsi="Arial" w:cs="Arial"/>
              </w:rPr>
            </w:pPr>
            <w:r>
              <w:rPr>
                <w:rFonts w:ascii="Arial" w:hAnsi="Arial" w:cs="Arial"/>
              </w:rPr>
              <w:t>+</w:t>
            </w:r>
            <w:r w:rsidRPr="00D2245A">
              <w:rPr>
                <w:rFonts w:ascii="Arial" w:hAnsi="Arial" w:cs="Arial"/>
              </w:rPr>
              <w:t>12.4%</w:t>
            </w:r>
          </w:p>
        </w:tc>
        <w:tc>
          <w:tcPr>
            <w:tcW w:w="1701" w:type="dxa"/>
          </w:tcPr>
          <w:p w:rsidR="00616A26" w:rsidRPr="0026648B" w:rsidRDefault="00544A19" w:rsidP="00C659A8">
            <w:pPr>
              <w:jc w:val="right"/>
              <w:rPr>
                <w:rFonts w:ascii="Arial" w:hAnsi="Arial" w:cs="Arial"/>
              </w:rPr>
            </w:pPr>
            <w:r>
              <w:rPr>
                <w:rFonts w:ascii="Arial" w:hAnsi="Arial" w:cs="Arial"/>
              </w:rPr>
              <w:t>+8.0%</w:t>
            </w:r>
          </w:p>
        </w:tc>
        <w:tc>
          <w:tcPr>
            <w:tcW w:w="1843" w:type="dxa"/>
          </w:tcPr>
          <w:p w:rsidR="00616A26" w:rsidRPr="0026648B" w:rsidRDefault="002A5005" w:rsidP="00C659A8">
            <w:pPr>
              <w:jc w:val="right"/>
              <w:rPr>
                <w:rFonts w:ascii="Arial" w:hAnsi="Arial" w:cs="Arial"/>
              </w:rPr>
            </w:pPr>
            <w:r>
              <w:rPr>
                <w:rFonts w:ascii="Arial" w:hAnsi="Arial" w:cs="Arial"/>
              </w:rPr>
              <w:t>+8.7%</w:t>
            </w:r>
          </w:p>
        </w:tc>
      </w:tr>
      <w:tr w:rsidR="006A2252" w:rsidRPr="0026648B" w:rsidTr="009618C2">
        <w:trPr>
          <w:trHeight w:hRule="exact" w:val="312"/>
        </w:trPr>
        <w:tc>
          <w:tcPr>
            <w:tcW w:w="2376" w:type="dxa"/>
          </w:tcPr>
          <w:p w:rsidR="00616A26" w:rsidRPr="0026648B" w:rsidRDefault="002F1ABE">
            <w:pPr>
              <w:jc w:val="left"/>
              <w:rPr>
                <w:rFonts w:ascii="Arial" w:hAnsi="Arial" w:cs="Arial"/>
              </w:rPr>
            </w:pPr>
            <w:r w:rsidRPr="0026648B">
              <w:rPr>
                <w:rFonts w:ascii="Arial" w:hAnsi="Arial" w:cs="Arial"/>
              </w:rPr>
              <w:t>Russia</w:t>
            </w:r>
            <w:r w:rsidR="00616A26" w:rsidRPr="0026648B">
              <w:rPr>
                <w:rFonts w:ascii="Arial" w:hAnsi="Arial" w:cs="Arial"/>
              </w:rPr>
              <w:t xml:space="preserve"> </w:t>
            </w:r>
          </w:p>
        </w:tc>
        <w:tc>
          <w:tcPr>
            <w:tcW w:w="1276" w:type="dxa"/>
          </w:tcPr>
          <w:p w:rsidR="00616A26" w:rsidRPr="0026648B" w:rsidRDefault="007F4AD6">
            <w:pPr>
              <w:jc w:val="right"/>
              <w:rPr>
                <w:rFonts w:ascii="Arial" w:hAnsi="Arial" w:cs="Arial"/>
              </w:rPr>
            </w:pPr>
            <w:r w:rsidRPr="007F4AD6">
              <w:rPr>
                <w:rFonts w:ascii="Arial" w:hAnsi="Arial" w:cs="Arial"/>
              </w:rPr>
              <w:t>453</w:t>
            </w:r>
          </w:p>
        </w:tc>
        <w:tc>
          <w:tcPr>
            <w:tcW w:w="1276" w:type="dxa"/>
          </w:tcPr>
          <w:p w:rsidR="00616A26" w:rsidRPr="0026648B" w:rsidRDefault="00D2245A">
            <w:pPr>
              <w:jc w:val="right"/>
              <w:rPr>
                <w:rFonts w:ascii="Arial" w:hAnsi="Arial" w:cs="Arial"/>
              </w:rPr>
            </w:pPr>
            <w:r>
              <w:rPr>
                <w:rFonts w:ascii="Arial" w:hAnsi="Arial" w:cs="Arial"/>
              </w:rPr>
              <w:t>+</w:t>
            </w:r>
            <w:r w:rsidRPr="00D2245A">
              <w:rPr>
                <w:rFonts w:ascii="Arial" w:hAnsi="Arial" w:cs="Arial"/>
              </w:rPr>
              <w:t>6.3%</w:t>
            </w:r>
          </w:p>
        </w:tc>
        <w:tc>
          <w:tcPr>
            <w:tcW w:w="1701" w:type="dxa"/>
          </w:tcPr>
          <w:p w:rsidR="00616A26" w:rsidRPr="0026648B" w:rsidRDefault="00544A19">
            <w:pPr>
              <w:jc w:val="right"/>
              <w:rPr>
                <w:rFonts w:ascii="Arial" w:hAnsi="Arial" w:cs="Arial"/>
              </w:rPr>
            </w:pPr>
            <w:r>
              <w:rPr>
                <w:rFonts w:ascii="Arial" w:hAnsi="Arial" w:cs="Arial"/>
              </w:rPr>
              <w:t>+9.2%</w:t>
            </w:r>
          </w:p>
        </w:tc>
        <w:tc>
          <w:tcPr>
            <w:tcW w:w="1843" w:type="dxa"/>
          </w:tcPr>
          <w:p w:rsidR="00616A26" w:rsidRPr="0026648B" w:rsidRDefault="002A5005">
            <w:pPr>
              <w:jc w:val="right"/>
              <w:rPr>
                <w:rFonts w:ascii="Arial" w:hAnsi="Arial" w:cs="Arial"/>
              </w:rPr>
            </w:pPr>
            <w:r>
              <w:rPr>
                <w:rFonts w:ascii="Arial" w:hAnsi="Arial" w:cs="Arial"/>
              </w:rPr>
              <w:t>+8.0%</w:t>
            </w:r>
          </w:p>
        </w:tc>
      </w:tr>
      <w:tr w:rsidR="0026648B" w:rsidRPr="0026648B" w:rsidTr="009618C2">
        <w:trPr>
          <w:trHeight w:hRule="exact" w:val="312"/>
        </w:trPr>
        <w:tc>
          <w:tcPr>
            <w:tcW w:w="2376" w:type="dxa"/>
          </w:tcPr>
          <w:p w:rsidR="0026648B" w:rsidRPr="0026648B" w:rsidRDefault="0026648B">
            <w:pPr>
              <w:jc w:val="left"/>
              <w:rPr>
                <w:rFonts w:ascii="Arial" w:hAnsi="Arial" w:cs="Arial"/>
              </w:rPr>
            </w:pPr>
            <w:r>
              <w:rPr>
                <w:rFonts w:ascii="Arial" w:hAnsi="Arial" w:cs="Arial"/>
              </w:rPr>
              <w:t>Romania</w:t>
            </w:r>
            <w:r w:rsidR="00DA44CF" w:rsidRPr="007678AD">
              <w:rPr>
                <w:rFonts w:ascii="Arial" w:hAnsi="Arial" w:cs="Arial"/>
                <w:i/>
                <w:vertAlign w:val="superscript"/>
              </w:rPr>
              <w:t>(1)</w:t>
            </w:r>
          </w:p>
        </w:tc>
        <w:tc>
          <w:tcPr>
            <w:tcW w:w="1276" w:type="dxa"/>
          </w:tcPr>
          <w:p w:rsidR="0026648B" w:rsidRPr="0026648B" w:rsidRDefault="007F4AD6">
            <w:pPr>
              <w:jc w:val="right"/>
              <w:rPr>
                <w:rFonts w:ascii="Arial" w:hAnsi="Arial" w:cs="Arial"/>
              </w:rPr>
            </w:pPr>
            <w:r w:rsidRPr="007F4AD6">
              <w:rPr>
                <w:rFonts w:ascii="Arial" w:hAnsi="Arial" w:cs="Arial"/>
              </w:rPr>
              <w:t>72</w:t>
            </w:r>
          </w:p>
        </w:tc>
        <w:tc>
          <w:tcPr>
            <w:tcW w:w="1276" w:type="dxa"/>
          </w:tcPr>
          <w:p w:rsidR="00D2245A" w:rsidRPr="0026648B" w:rsidRDefault="00D2245A" w:rsidP="00D2245A">
            <w:pPr>
              <w:jc w:val="right"/>
              <w:rPr>
                <w:rFonts w:ascii="Arial" w:hAnsi="Arial" w:cs="Arial"/>
              </w:rPr>
            </w:pPr>
            <w:r>
              <w:rPr>
                <w:rFonts w:ascii="Arial" w:hAnsi="Arial" w:cs="Arial"/>
              </w:rPr>
              <w:t>n/a</w:t>
            </w:r>
          </w:p>
        </w:tc>
        <w:tc>
          <w:tcPr>
            <w:tcW w:w="1701" w:type="dxa"/>
          </w:tcPr>
          <w:p w:rsidR="0026648B" w:rsidRPr="0026648B" w:rsidRDefault="00544A19">
            <w:pPr>
              <w:jc w:val="right"/>
              <w:rPr>
                <w:rFonts w:ascii="Arial" w:hAnsi="Arial" w:cs="Arial"/>
              </w:rPr>
            </w:pPr>
            <w:r>
              <w:rPr>
                <w:rFonts w:ascii="Arial" w:hAnsi="Arial" w:cs="Arial"/>
              </w:rPr>
              <w:t>n/a</w:t>
            </w:r>
          </w:p>
        </w:tc>
        <w:tc>
          <w:tcPr>
            <w:tcW w:w="1843" w:type="dxa"/>
          </w:tcPr>
          <w:p w:rsidR="0026648B" w:rsidRPr="0026648B" w:rsidRDefault="002A5005">
            <w:pPr>
              <w:jc w:val="right"/>
              <w:rPr>
                <w:rFonts w:ascii="Arial" w:hAnsi="Arial" w:cs="Arial"/>
              </w:rPr>
            </w:pPr>
            <w:r>
              <w:rPr>
                <w:rFonts w:ascii="Arial" w:hAnsi="Arial" w:cs="Arial"/>
              </w:rPr>
              <w:t>n/a</w:t>
            </w:r>
          </w:p>
        </w:tc>
      </w:tr>
      <w:tr w:rsidR="006A2252" w:rsidRPr="0026648B" w:rsidTr="009618C2">
        <w:trPr>
          <w:trHeight w:hRule="exact" w:val="312"/>
        </w:trPr>
        <w:tc>
          <w:tcPr>
            <w:tcW w:w="2376" w:type="dxa"/>
          </w:tcPr>
          <w:p w:rsidR="00616A26" w:rsidRPr="0026648B" w:rsidRDefault="00616A26" w:rsidP="00C659A8">
            <w:pPr>
              <w:jc w:val="left"/>
              <w:rPr>
                <w:rFonts w:ascii="Arial" w:hAnsi="Arial" w:cs="Arial"/>
              </w:rPr>
            </w:pPr>
            <w:r w:rsidRPr="0026648B">
              <w:rPr>
                <w:rFonts w:ascii="Arial" w:hAnsi="Arial" w:cs="Arial"/>
              </w:rPr>
              <w:t xml:space="preserve">Spain </w:t>
            </w:r>
          </w:p>
        </w:tc>
        <w:tc>
          <w:tcPr>
            <w:tcW w:w="1276" w:type="dxa"/>
          </w:tcPr>
          <w:p w:rsidR="00616A26" w:rsidRPr="0026648B" w:rsidRDefault="007F4AD6" w:rsidP="00C659A8">
            <w:pPr>
              <w:jc w:val="right"/>
              <w:rPr>
                <w:rFonts w:ascii="Arial" w:hAnsi="Arial" w:cs="Arial"/>
              </w:rPr>
            </w:pPr>
            <w:r w:rsidRPr="007F4AD6">
              <w:rPr>
                <w:rFonts w:ascii="Arial" w:hAnsi="Arial" w:cs="Arial"/>
              </w:rPr>
              <w:t>284</w:t>
            </w:r>
          </w:p>
        </w:tc>
        <w:tc>
          <w:tcPr>
            <w:tcW w:w="1276" w:type="dxa"/>
          </w:tcPr>
          <w:p w:rsidR="00616A26" w:rsidRPr="0026648B" w:rsidRDefault="00D2245A" w:rsidP="00C659A8">
            <w:pPr>
              <w:jc w:val="right"/>
              <w:rPr>
                <w:rFonts w:ascii="Arial" w:hAnsi="Arial" w:cs="Arial"/>
              </w:rPr>
            </w:pPr>
            <w:r>
              <w:rPr>
                <w:rFonts w:ascii="Arial" w:hAnsi="Arial" w:cs="Arial"/>
              </w:rPr>
              <w:t>+</w:t>
            </w:r>
            <w:r w:rsidRPr="00D2245A">
              <w:rPr>
                <w:rFonts w:ascii="Arial" w:hAnsi="Arial" w:cs="Arial"/>
              </w:rPr>
              <w:t>21.7%</w:t>
            </w:r>
          </w:p>
        </w:tc>
        <w:tc>
          <w:tcPr>
            <w:tcW w:w="1701" w:type="dxa"/>
          </w:tcPr>
          <w:p w:rsidR="00616A26" w:rsidRPr="0026648B" w:rsidRDefault="002A5005" w:rsidP="00C659A8">
            <w:pPr>
              <w:jc w:val="right"/>
              <w:rPr>
                <w:rFonts w:ascii="Arial" w:hAnsi="Arial" w:cs="Arial"/>
              </w:rPr>
            </w:pPr>
            <w:r>
              <w:rPr>
                <w:rFonts w:ascii="Arial" w:hAnsi="Arial" w:cs="Arial"/>
              </w:rPr>
              <w:t>+16.4%</w:t>
            </w:r>
          </w:p>
        </w:tc>
        <w:tc>
          <w:tcPr>
            <w:tcW w:w="1843" w:type="dxa"/>
          </w:tcPr>
          <w:p w:rsidR="00616A26" w:rsidRPr="0026648B" w:rsidRDefault="002A5005" w:rsidP="00C659A8">
            <w:pPr>
              <w:jc w:val="right"/>
              <w:rPr>
                <w:rFonts w:ascii="Arial" w:hAnsi="Arial" w:cs="Arial"/>
              </w:rPr>
            </w:pPr>
            <w:r>
              <w:rPr>
                <w:rFonts w:ascii="Arial" w:hAnsi="Arial" w:cs="Arial"/>
              </w:rPr>
              <w:t>(3.1)%</w:t>
            </w:r>
          </w:p>
        </w:tc>
      </w:tr>
      <w:tr w:rsidR="006A2252" w:rsidRPr="0026648B" w:rsidTr="0068050C">
        <w:trPr>
          <w:trHeight w:hRule="exact" w:val="322"/>
        </w:trPr>
        <w:tc>
          <w:tcPr>
            <w:tcW w:w="2376" w:type="dxa"/>
            <w:tcBorders>
              <w:top w:val="single" w:sz="4" w:space="0" w:color="auto"/>
              <w:bottom w:val="single" w:sz="4" w:space="0" w:color="auto"/>
            </w:tcBorders>
          </w:tcPr>
          <w:p w:rsidR="00616A26" w:rsidRPr="0026648B" w:rsidRDefault="00616A26" w:rsidP="00C659A8">
            <w:pPr>
              <w:jc w:val="left"/>
              <w:rPr>
                <w:rFonts w:ascii="Arial" w:hAnsi="Arial" w:cs="Arial"/>
                <w:b/>
              </w:rPr>
            </w:pPr>
            <w:r w:rsidRPr="0026648B">
              <w:rPr>
                <w:rFonts w:ascii="Arial" w:hAnsi="Arial" w:cs="Arial"/>
                <w:b/>
              </w:rPr>
              <w:t>Other International</w:t>
            </w:r>
          </w:p>
        </w:tc>
        <w:tc>
          <w:tcPr>
            <w:tcW w:w="1276" w:type="dxa"/>
            <w:tcBorders>
              <w:top w:val="single" w:sz="4" w:space="0" w:color="auto"/>
              <w:bottom w:val="single" w:sz="4" w:space="0" w:color="auto"/>
            </w:tcBorders>
          </w:tcPr>
          <w:p w:rsidR="00616A26" w:rsidRPr="0026648B" w:rsidRDefault="007F4AD6" w:rsidP="0068050C">
            <w:pPr>
              <w:jc w:val="right"/>
              <w:rPr>
                <w:rFonts w:ascii="Arial" w:hAnsi="Arial" w:cs="Arial"/>
                <w:b/>
              </w:rPr>
            </w:pPr>
            <w:r w:rsidRPr="007F4AD6">
              <w:rPr>
                <w:rFonts w:ascii="Arial" w:hAnsi="Arial" w:cs="Arial"/>
                <w:b/>
              </w:rPr>
              <w:t>2,339</w:t>
            </w:r>
          </w:p>
        </w:tc>
        <w:tc>
          <w:tcPr>
            <w:tcW w:w="1276" w:type="dxa"/>
            <w:tcBorders>
              <w:top w:val="single" w:sz="4" w:space="0" w:color="auto"/>
              <w:bottom w:val="single" w:sz="4" w:space="0" w:color="auto"/>
            </w:tcBorders>
          </w:tcPr>
          <w:p w:rsidR="00616A26" w:rsidRPr="0026648B" w:rsidRDefault="00D2245A" w:rsidP="0068050C">
            <w:pPr>
              <w:jc w:val="right"/>
              <w:rPr>
                <w:rFonts w:ascii="Arial" w:hAnsi="Arial" w:cs="Arial"/>
                <w:b/>
              </w:rPr>
            </w:pPr>
            <w:r>
              <w:rPr>
                <w:rFonts w:ascii="Arial" w:hAnsi="Arial" w:cs="Arial"/>
                <w:b/>
              </w:rPr>
              <w:t>+</w:t>
            </w:r>
            <w:r w:rsidRPr="00D2245A">
              <w:rPr>
                <w:rFonts w:ascii="Arial" w:hAnsi="Arial" w:cs="Arial"/>
                <w:b/>
              </w:rPr>
              <w:t>13.3%</w:t>
            </w:r>
          </w:p>
        </w:tc>
        <w:tc>
          <w:tcPr>
            <w:tcW w:w="1701" w:type="dxa"/>
            <w:tcBorders>
              <w:top w:val="single" w:sz="4" w:space="0" w:color="auto"/>
              <w:bottom w:val="single" w:sz="4" w:space="0" w:color="auto"/>
            </w:tcBorders>
          </w:tcPr>
          <w:p w:rsidR="00616A26" w:rsidRPr="0026648B" w:rsidRDefault="002A5005" w:rsidP="0068050C">
            <w:pPr>
              <w:jc w:val="right"/>
              <w:rPr>
                <w:rFonts w:ascii="Arial" w:hAnsi="Arial" w:cs="Arial"/>
                <w:b/>
              </w:rPr>
            </w:pPr>
            <w:r>
              <w:rPr>
                <w:rFonts w:ascii="Arial" w:hAnsi="Arial" w:cs="Arial"/>
                <w:b/>
              </w:rPr>
              <w:t>+10.5%</w:t>
            </w:r>
          </w:p>
        </w:tc>
        <w:tc>
          <w:tcPr>
            <w:tcW w:w="1843" w:type="dxa"/>
            <w:tcBorders>
              <w:top w:val="single" w:sz="4" w:space="0" w:color="auto"/>
              <w:bottom w:val="single" w:sz="4" w:space="0" w:color="auto"/>
            </w:tcBorders>
          </w:tcPr>
          <w:p w:rsidR="00616A26" w:rsidRPr="0026648B" w:rsidRDefault="002A5005" w:rsidP="0068050C">
            <w:pPr>
              <w:jc w:val="right"/>
              <w:rPr>
                <w:rFonts w:ascii="Arial" w:hAnsi="Arial" w:cs="Arial"/>
                <w:b/>
              </w:rPr>
            </w:pPr>
            <w:r>
              <w:rPr>
                <w:rFonts w:ascii="Arial" w:hAnsi="Arial" w:cs="Arial"/>
                <w:b/>
              </w:rPr>
              <w:t>+3.4%</w:t>
            </w:r>
          </w:p>
        </w:tc>
      </w:tr>
      <w:tr w:rsidR="00616A26" w:rsidRPr="0026648B" w:rsidTr="009618C2">
        <w:trPr>
          <w:trHeight w:hRule="exact" w:val="367"/>
        </w:trPr>
        <w:tc>
          <w:tcPr>
            <w:tcW w:w="2376" w:type="dxa"/>
            <w:tcBorders>
              <w:top w:val="single" w:sz="4" w:space="0" w:color="auto"/>
              <w:bottom w:val="single" w:sz="4" w:space="0" w:color="auto"/>
            </w:tcBorders>
          </w:tcPr>
          <w:p w:rsidR="00616A26" w:rsidRPr="0026648B" w:rsidRDefault="00616A26" w:rsidP="00C659A8">
            <w:pPr>
              <w:spacing w:before="60"/>
              <w:rPr>
                <w:rFonts w:ascii="Arial" w:hAnsi="Arial" w:cs="Arial"/>
                <w:b/>
              </w:rPr>
            </w:pPr>
            <w:r w:rsidRPr="0026648B">
              <w:rPr>
                <w:rFonts w:ascii="Arial" w:hAnsi="Arial" w:cs="Arial"/>
                <w:b/>
              </w:rPr>
              <w:t>Total Group</w:t>
            </w:r>
          </w:p>
        </w:tc>
        <w:tc>
          <w:tcPr>
            <w:tcW w:w="1276" w:type="dxa"/>
            <w:tcBorders>
              <w:top w:val="single" w:sz="4" w:space="0" w:color="auto"/>
              <w:bottom w:val="single" w:sz="4" w:space="0" w:color="auto"/>
            </w:tcBorders>
          </w:tcPr>
          <w:p w:rsidR="00616A26" w:rsidRPr="0026648B" w:rsidRDefault="007F4AD6">
            <w:pPr>
              <w:spacing w:before="60"/>
              <w:jc w:val="right"/>
              <w:rPr>
                <w:rFonts w:ascii="Arial" w:hAnsi="Arial" w:cs="Arial"/>
                <w:b/>
              </w:rPr>
            </w:pPr>
            <w:r w:rsidRPr="007F4AD6">
              <w:rPr>
                <w:rFonts w:ascii="Arial" w:hAnsi="Arial" w:cs="Arial"/>
                <w:b/>
              </w:rPr>
              <w:t>11,12</w:t>
            </w:r>
            <w:r w:rsidR="0004782C">
              <w:rPr>
                <w:rFonts w:ascii="Arial" w:hAnsi="Arial" w:cs="Arial"/>
                <w:b/>
              </w:rPr>
              <w:t>5</w:t>
            </w:r>
          </w:p>
        </w:tc>
        <w:tc>
          <w:tcPr>
            <w:tcW w:w="1276" w:type="dxa"/>
            <w:tcBorders>
              <w:top w:val="single" w:sz="4" w:space="0" w:color="auto"/>
              <w:bottom w:val="single" w:sz="4" w:space="0" w:color="auto"/>
            </w:tcBorders>
          </w:tcPr>
          <w:p w:rsidR="00616A26" w:rsidRPr="0026648B" w:rsidRDefault="00D2245A" w:rsidP="00C659A8">
            <w:pPr>
              <w:spacing w:before="60"/>
              <w:jc w:val="right"/>
              <w:rPr>
                <w:rFonts w:ascii="Arial" w:hAnsi="Arial" w:cs="Arial"/>
                <w:b/>
              </w:rPr>
            </w:pPr>
            <w:r>
              <w:rPr>
                <w:rFonts w:ascii="Arial" w:hAnsi="Arial" w:cs="Arial"/>
                <w:b/>
              </w:rPr>
              <w:t>+</w:t>
            </w:r>
            <w:r w:rsidRPr="00D2245A">
              <w:rPr>
                <w:rFonts w:ascii="Arial" w:hAnsi="Arial" w:cs="Arial"/>
                <w:b/>
              </w:rPr>
              <w:t>5.2%</w:t>
            </w:r>
          </w:p>
        </w:tc>
        <w:tc>
          <w:tcPr>
            <w:tcW w:w="1701" w:type="dxa"/>
            <w:tcBorders>
              <w:top w:val="single" w:sz="4" w:space="0" w:color="auto"/>
              <w:bottom w:val="single" w:sz="4" w:space="0" w:color="auto"/>
            </w:tcBorders>
          </w:tcPr>
          <w:p w:rsidR="00616A26" w:rsidRPr="0026648B" w:rsidRDefault="002A5005" w:rsidP="00C659A8">
            <w:pPr>
              <w:spacing w:before="60"/>
              <w:jc w:val="right"/>
              <w:rPr>
                <w:rFonts w:ascii="Arial" w:hAnsi="Arial" w:cs="Arial"/>
                <w:b/>
              </w:rPr>
            </w:pPr>
            <w:r>
              <w:rPr>
                <w:rFonts w:ascii="Arial" w:hAnsi="Arial" w:cs="Arial"/>
                <w:b/>
              </w:rPr>
              <w:t>+3.5%</w:t>
            </w:r>
          </w:p>
        </w:tc>
        <w:tc>
          <w:tcPr>
            <w:tcW w:w="1843" w:type="dxa"/>
            <w:tcBorders>
              <w:top w:val="single" w:sz="4" w:space="0" w:color="auto"/>
              <w:bottom w:val="single" w:sz="4" w:space="0" w:color="auto"/>
            </w:tcBorders>
          </w:tcPr>
          <w:p w:rsidR="00616A26" w:rsidRPr="0026648B" w:rsidRDefault="0068050C" w:rsidP="00C659A8">
            <w:pPr>
              <w:spacing w:before="60"/>
              <w:jc w:val="right"/>
              <w:rPr>
                <w:rFonts w:ascii="Arial" w:hAnsi="Arial" w:cs="Arial"/>
                <w:b/>
              </w:rPr>
            </w:pPr>
            <w:r>
              <w:rPr>
                <w:rFonts w:ascii="Arial" w:hAnsi="Arial" w:cs="Arial"/>
                <w:b/>
              </w:rPr>
              <w:t>+0.7%</w:t>
            </w:r>
          </w:p>
        </w:tc>
      </w:tr>
    </w:tbl>
    <w:p w:rsidR="00544A19" w:rsidRPr="0026648B" w:rsidRDefault="00544A19" w:rsidP="00842F7C">
      <w:pPr>
        <w:tabs>
          <w:tab w:val="left" w:pos="357"/>
        </w:tabs>
        <w:ind w:right="-282"/>
        <w:jc w:val="left"/>
        <w:rPr>
          <w:rFonts w:ascii="Arial" w:hAnsi="Arial" w:cs="Arial"/>
          <w:i/>
          <w:iCs/>
          <w:sz w:val="18"/>
          <w:szCs w:val="18"/>
        </w:rPr>
      </w:pPr>
    </w:p>
    <w:p w:rsidR="009E0561" w:rsidRPr="0026648B" w:rsidRDefault="009E0561" w:rsidP="00616A26">
      <w:pPr>
        <w:tabs>
          <w:tab w:val="left" w:pos="357"/>
        </w:tabs>
        <w:ind w:right="-282"/>
        <w:jc w:val="left"/>
        <w:rPr>
          <w:rFonts w:ascii="Arial" w:hAnsi="Arial" w:cs="Arial"/>
          <w:i/>
          <w:iCs/>
          <w:sz w:val="18"/>
          <w:szCs w:val="18"/>
        </w:rPr>
      </w:pPr>
    </w:p>
    <w:p w:rsidR="00DA44CF" w:rsidRPr="00FA5AC4" w:rsidRDefault="00DA44CF" w:rsidP="00DA44CF">
      <w:pPr>
        <w:tabs>
          <w:tab w:val="left" w:pos="357"/>
        </w:tabs>
        <w:ind w:right="-282"/>
        <w:jc w:val="left"/>
        <w:rPr>
          <w:rFonts w:ascii="Arial" w:hAnsi="Arial" w:cs="Arial"/>
          <w:i/>
          <w:iCs/>
          <w:sz w:val="18"/>
          <w:szCs w:val="18"/>
        </w:rPr>
      </w:pPr>
      <w:r>
        <w:rPr>
          <w:rFonts w:ascii="Arial" w:hAnsi="Arial" w:cs="Arial"/>
          <w:i/>
          <w:iCs/>
          <w:sz w:val="18"/>
          <w:szCs w:val="18"/>
          <w:vertAlign w:val="superscript"/>
        </w:rPr>
        <w:t>(1</w:t>
      </w:r>
      <w:r w:rsidRPr="00D97E00">
        <w:rPr>
          <w:rFonts w:ascii="Arial" w:hAnsi="Arial" w:cs="Arial"/>
          <w:i/>
          <w:iCs/>
          <w:sz w:val="18"/>
          <w:szCs w:val="18"/>
          <w:vertAlign w:val="superscript"/>
        </w:rPr>
        <w:t>)</w:t>
      </w:r>
      <w:r>
        <w:rPr>
          <w:rFonts w:ascii="Arial" w:hAnsi="Arial" w:cs="Arial"/>
          <w:i/>
          <w:iCs/>
          <w:sz w:val="18"/>
          <w:szCs w:val="18"/>
        </w:rPr>
        <w:t xml:space="preserve">Represents seven months trading since acquisition </w:t>
      </w:r>
    </w:p>
    <w:p w:rsidR="009E0561" w:rsidRPr="0026648B" w:rsidRDefault="009E0561">
      <w:pPr>
        <w:jc w:val="left"/>
        <w:rPr>
          <w:rFonts w:ascii="Arial" w:hAnsi="Arial" w:cs="Arial"/>
          <w:i/>
          <w:iCs/>
          <w:sz w:val="18"/>
          <w:szCs w:val="18"/>
        </w:rPr>
      </w:pPr>
      <w:r w:rsidRPr="0026648B">
        <w:rPr>
          <w:rFonts w:ascii="Arial" w:hAnsi="Arial" w:cs="Arial"/>
          <w:i/>
          <w:iCs/>
          <w:sz w:val="18"/>
          <w:szCs w:val="18"/>
        </w:rPr>
        <w:br w:type="page"/>
      </w:r>
    </w:p>
    <w:p w:rsidR="00616A26" w:rsidRPr="0026648B" w:rsidRDefault="00616A26" w:rsidP="00616A26">
      <w:pPr>
        <w:jc w:val="left"/>
        <w:rPr>
          <w:rFonts w:ascii="Arial" w:hAnsi="Arial" w:cs="Arial"/>
          <w:b/>
          <w:bCs/>
        </w:rPr>
      </w:pPr>
    </w:p>
    <w:tbl>
      <w:tblPr>
        <w:tblW w:w="8612" w:type="dxa"/>
        <w:tblLayout w:type="fixed"/>
        <w:tblLook w:val="01E0" w:firstRow="1" w:lastRow="1" w:firstColumn="1" w:lastColumn="1" w:noHBand="0" w:noVBand="0"/>
      </w:tblPr>
      <w:tblGrid>
        <w:gridCol w:w="2376"/>
        <w:gridCol w:w="1134"/>
        <w:gridCol w:w="1276"/>
        <w:gridCol w:w="1276"/>
        <w:gridCol w:w="1276"/>
        <w:gridCol w:w="1274"/>
      </w:tblGrid>
      <w:tr w:rsidR="0026648B" w:rsidRPr="0026648B" w:rsidTr="00052140">
        <w:trPr>
          <w:trHeight w:val="771"/>
        </w:trPr>
        <w:tc>
          <w:tcPr>
            <w:tcW w:w="2376" w:type="dxa"/>
          </w:tcPr>
          <w:p w:rsidR="0026648B" w:rsidRPr="0026648B" w:rsidRDefault="00FB4505" w:rsidP="0026648B">
            <w:pPr>
              <w:jc w:val="left"/>
              <w:rPr>
                <w:rFonts w:ascii="Arial" w:hAnsi="Arial" w:cs="Arial"/>
                <w:u w:val="single"/>
              </w:rPr>
            </w:pPr>
            <w:r w:rsidRPr="00FB4505">
              <w:rPr>
                <w:rFonts w:ascii="Arial" w:hAnsi="Arial" w:cs="Arial"/>
              </w:rPr>
              <w:t>Full year 2013/14</w:t>
            </w:r>
          </w:p>
        </w:tc>
        <w:tc>
          <w:tcPr>
            <w:tcW w:w="1134" w:type="dxa"/>
          </w:tcPr>
          <w:p w:rsidR="0026648B" w:rsidRPr="0026648B" w:rsidRDefault="0026648B" w:rsidP="0026648B">
            <w:pPr>
              <w:tabs>
                <w:tab w:val="left" w:pos="300"/>
              </w:tabs>
              <w:jc w:val="right"/>
              <w:rPr>
                <w:rFonts w:ascii="Arial" w:hAnsi="Arial" w:cs="Arial"/>
                <w:b/>
              </w:rPr>
            </w:pPr>
            <w:r w:rsidRPr="0026648B">
              <w:rPr>
                <w:rFonts w:ascii="Arial" w:hAnsi="Arial" w:cs="Arial"/>
                <w:b/>
              </w:rPr>
              <w:t>Retail Profit</w:t>
            </w:r>
          </w:p>
        </w:tc>
        <w:tc>
          <w:tcPr>
            <w:tcW w:w="1276" w:type="dxa"/>
          </w:tcPr>
          <w:p w:rsidR="0026648B" w:rsidRPr="0026648B" w:rsidRDefault="0026648B" w:rsidP="0026648B">
            <w:pPr>
              <w:tabs>
                <w:tab w:val="left" w:pos="300"/>
              </w:tabs>
              <w:ind w:hanging="108"/>
              <w:jc w:val="right"/>
              <w:rPr>
                <w:rFonts w:ascii="Arial" w:hAnsi="Arial" w:cs="Arial"/>
                <w:b/>
              </w:rPr>
            </w:pPr>
            <w:r w:rsidRPr="0026648B">
              <w:rPr>
                <w:rFonts w:ascii="Arial" w:hAnsi="Arial" w:cs="Arial"/>
                <w:b/>
              </w:rPr>
              <w:t>% Total</w:t>
            </w:r>
          </w:p>
          <w:p w:rsidR="0026648B" w:rsidRPr="0026648B" w:rsidRDefault="0026648B" w:rsidP="0026648B">
            <w:pPr>
              <w:tabs>
                <w:tab w:val="left" w:pos="300"/>
              </w:tabs>
              <w:ind w:hanging="108"/>
              <w:jc w:val="right"/>
              <w:rPr>
                <w:rFonts w:ascii="Arial" w:hAnsi="Arial" w:cs="Arial"/>
                <w:b/>
              </w:rPr>
            </w:pPr>
            <w:r w:rsidRPr="0026648B">
              <w:rPr>
                <w:rFonts w:ascii="Arial" w:hAnsi="Arial" w:cs="Arial"/>
                <w:b/>
              </w:rPr>
              <w:t>Change</w:t>
            </w:r>
          </w:p>
        </w:tc>
        <w:tc>
          <w:tcPr>
            <w:tcW w:w="1276" w:type="dxa"/>
          </w:tcPr>
          <w:p w:rsidR="0026648B" w:rsidRPr="0026648B" w:rsidRDefault="0026648B" w:rsidP="0026648B">
            <w:pPr>
              <w:jc w:val="right"/>
              <w:rPr>
                <w:rFonts w:ascii="Arial" w:hAnsi="Arial" w:cs="Arial"/>
                <w:b/>
              </w:rPr>
            </w:pPr>
            <w:r w:rsidRPr="0026648B">
              <w:rPr>
                <w:rFonts w:ascii="Arial" w:hAnsi="Arial" w:cs="Arial"/>
                <w:b/>
              </w:rPr>
              <w:t>% Total Change</w:t>
            </w:r>
          </w:p>
        </w:tc>
        <w:tc>
          <w:tcPr>
            <w:tcW w:w="1276" w:type="dxa"/>
          </w:tcPr>
          <w:p w:rsidR="0026648B" w:rsidRPr="0026648B" w:rsidRDefault="0026648B" w:rsidP="0026648B">
            <w:pPr>
              <w:jc w:val="right"/>
              <w:rPr>
                <w:rFonts w:ascii="Arial" w:hAnsi="Arial" w:cs="Arial"/>
                <w:b/>
              </w:rPr>
            </w:pPr>
            <w:r w:rsidRPr="0026648B">
              <w:rPr>
                <w:rFonts w:ascii="Arial" w:hAnsi="Arial" w:cs="Arial"/>
                <w:b/>
              </w:rPr>
              <w:t>Operating Margin</w:t>
            </w:r>
          </w:p>
          <w:p w:rsidR="0026648B" w:rsidRPr="0026648B" w:rsidRDefault="00052140" w:rsidP="00052140">
            <w:pPr>
              <w:jc w:val="right"/>
              <w:rPr>
                <w:rFonts w:ascii="Arial" w:hAnsi="Arial" w:cs="Arial"/>
                <w:b/>
              </w:rPr>
            </w:pPr>
            <w:r>
              <w:rPr>
                <w:rFonts w:ascii="Arial" w:hAnsi="Arial" w:cs="Arial"/>
                <w:b/>
              </w:rPr>
              <w:t>%</w:t>
            </w:r>
          </w:p>
        </w:tc>
        <w:tc>
          <w:tcPr>
            <w:tcW w:w="1274" w:type="dxa"/>
          </w:tcPr>
          <w:p w:rsidR="0026648B" w:rsidRPr="0026648B" w:rsidRDefault="0026648B" w:rsidP="0026648B">
            <w:pPr>
              <w:jc w:val="right"/>
              <w:rPr>
                <w:rFonts w:ascii="Arial" w:hAnsi="Arial" w:cs="Arial"/>
                <w:b/>
              </w:rPr>
            </w:pPr>
            <w:r w:rsidRPr="0026648B">
              <w:rPr>
                <w:rFonts w:ascii="Arial" w:hAnsi="Arial" w:cs="Arial"/>
                <w:b/>
              </w:rPr>
              <w:t>Operating Margin</w:t>
            </w:r>
          </w:p>
          <w:p w:rsidR="0026648B" w:rsidRPr="0026648B" w:rsidRDefault="0026648B" w:rsidP="00052140">
            <w:pPr>
              <w:jc w:val="right"/>
              <w:rPr>
                <w:rFonts w:ascii="Arial" w:hAnsi="Arial" w:cs="Arial"/>
                <w:b/>
              </w:rPr>
            </w:pPr>
            <w:r w:rsidRPr="0026648B">
              <w:rPr>
                <w:rFonts w:ascii="Arial" w:hAnsi="Arial" w:cs="Arial"/>
                <w:b/>
              </w:rPr>
              <w:t xml:space="preserve">% </w:t>
            </w:r>
          </w:p>
        </w:tc>
      </w:tr>
      <w:tr w:rsidR="0026648B" w:rsidRPr="00271E01" w:rsidTr="0026648B">
        <w:trPr>
          <w:trHeight w:val="531"/>
        </w:trPr>
        <w:tc>
          <w:tcPr>
            <w:tcW w:w="2376" w:type="dxa"/>
            <w:tcBorders>
              <w:bottom w:val="single" w:sz="4" w:space="0" w:color="auto"/>
            </w:tcBorders>
          </w:tcPr>
          <w:p w:rsidR="0026648B" w:rsidRPr="00271E01" w:rsidRDefault="0026648B" w:rsidP="0026648B">
            <w:pPr>
              <w:rPr>
                <w:rFonts w:ascii="Arial" w:hAnsi="Arial" w:cs="Arial"/>
              </w:rPr>
            </w:pPr>
          </w:p>
        </w:tc>
        <w:tc>
          <w:tcPr>
            <w:tcW w:w="1134" w:type="dxa"/>
            <w:tcBorders>
              <w:bottom w:val="single" w:sz="4" w:space="0" w:color="auto"/>
            </w:tcBorders>
          </w:tcPr>
          <w:p w:rsidR="0026648B" w:rsidRPr="00271E01" w:rsidRDefault="0026648B" w:rsidP="0026648B">
            <w:pPr>
              <w:jc w:val="right"/>
              <w:rPr>
                <w:rFonts w:ascii="Arial" w:hAnsi="Arial" w:cs="Arial"/>
                <w:b/>
              </w:rPr>
            </w:pPr>
            <w:r w:rsidRPr="00271E01">
              <w:rPr>
                <w:rFonts w:ascii="Arial" w:hAnsi="Arial" w:cs="Arial"/>
                <w:b/>
              </w:rPr>
              <w:t>£m</w:t>
            </w:r>
          </w:p>
          <w:p w:rsidR="0026648B" w:rsidRPr="00271E01" w:rsidRDefault="0026648B" w:rsidP="0026648B">
            <w:pPr>
              <w:jc w:val="right"/>
              <w:rPr>
                <w:rFonts w:ascii="Arial" w:hAnsi="Arial" w:cs="Arial"/>
                <w:b/>
              </w:rPr>
            </w:pPr>
            <w:r>
              <w:rPr>
                <w:rFonts w:ascii="Arial" w:hAnsi="Arial" w:cs="Arial"/>
                <w:b/>
              </w:rPr>
              <w:t>2013/14</w:t>
            </w:r>
          </w:p>
        </w:tc>
        <w:tc>
          <w:tcPr>
            <w:tcW w:w="1276" w:type="dxa"/>
            <w:tcBorders>
              <w:bottom w:val="single" w:sz="4" w:space="0" w:color="auto"/>
            </w:tcBorders>
          </w:tcPr>
          <w:p w:rsidR="0026648B" w:rsidRPr="00271E01" w:rsidRDefault="0026648B" w:rsidP="0026648B">
            <w:pPr>
              <w:tabs>
                <w:tab w:val="left" w:pos="300"/>
              </w:tabs>
              <w:ind w:hanging="108"/>
              <w:jc w:val="right"/>
              <w:rPr>
                <w:rFonts w:ascii="Arial" w:hAnsi="Arial" w:cs="Arial"/>
                <w:b/>
              </w:rPr>
            </w:pPr>
            <w:r w:rsidRPr="00271E01">
              <w:rPr>
                <w:rFonts w:ascii="Arial" w:hAnsi="Arial" w:cs="Arial"/>
                <w:b/>
              </w:rPr>
              <w:t xml:space="preserve"> Reported</w:t>
            </w:r>
          </w:p>
        </w:tc>
        <w:tc>
          <w:tcPr>
            <w:tcW w:w="1276" w:type="dxa"/>
            <w:tcBorders>
              <w:bottom w:val="single" w:sz="4" w:space="0" w:color="auto"/>
            </w:tcBorders>
          </w:tcPr>
          <w:p w:rsidR="0026648B" w:rsidRPr="00271E01" w:rsidRDefault="0026648B" w:rsidP="0026648B">
            <w:pPr>
              <w:jc w:val="right"/>
              <w:rPr>
                <w:rFonts w:ascii="Arial" w:hAnsi="Arial" w:cs="Arial"/>
                <w:b/>
              </w:rPr>
            </w:pPr>
            <w:r>
              <w:rPr>
                <w:rFonts w:ascii="Arial" w:hAnsi="Arial" w:cs="Arial"/>
                <w:b/>
              </w:rPr>
              <w:t>Constant C</w:t>
            </w:r>
            <w:r w:rsidRPr="00271E01">
              <w:rPr>
                <w:rFonts w:ascii="Arial" w:hAnsi="Arial" w:cs="Arial"/>
                <w:b/>
              </w:rPr>
              <w:t>urrency</w:t>
            </w:r>
          </w:p>
        </w:tc>
        <w:tc>
          <w:tcPr>
            <w:tcW w:w="1276" w:type="dxa"/>
            <w:tcBorders>
              <w:bottom w:val="single" w:sz="4" w:space="0" w:color="auto"/>
            </w:tcBorders>
          </w:tcPr>
          <w:p w:rsidR="00052140" w:rsidRDefault="00052140" w:rsidP="00052140">
            <w:pPr>
              <w:jc w:val="right"/>
              <w:rPr>
                <w:rFonts w:ascii="Arial" w:hAnsi="Arial" w:cs="Arial"/>
                <w:b/>
              </w:rPr>
            </w:pPr>
          </w:p>
          <w:p w:rsidR="0026648B" w:rsidRPr="00271E01" w:rsidRDefault="00052140" w:rsidP="00052140">
            <w:pPr>
              <w:jc w:val="right"/>
              <w:rPr>
                <w:rFonts w:ascii="Arial" w:hAnsi="Arial" w:cs="Arial"/>
                <w:b/>
              </w:rPr>
            </w:pPr>
            <w:r>
              <w:rPr>
                <w:rFonts w:ascii="Arial" w:hAnsi="Arial" w:cs="Arial"/>
                <w:b/>
              </w:rPr>
              <w:t>2013/14</w:t>
            </w:r>
          </w:p>
        </w:tc>
        <w:tc>
          <w:tcPr>
            <w:tcW w:w="1274" w:type="dxa"/>
            <w:tcBorders>
              <w:bottom w:val="single" w:sz="4" w:space="0" w:color="auto"/>
            </w:tcBorders>
          </w:tcPr>
          <w:p w:rsidR="00052140" w:rsidRDefault="00052140" w:rsidP="0026648B">
            <w:pPr>
              <w:jc w:val="right"/>
              <w:rPr>
                <w:rFonts w:ascii="Arial" w:hAnsi="Arial" w:cs="Arial"/>
                <w:b/>
              </w:rPr>
            </w:pPr>
          </w:p>
          <w:p w:rsidR="0026648B" w:rsidRPr="00271E01" w:rsidRDefault="00052140" w:rsidP="0026648B">
            <w:pPr>
              <w:jc w:val="right"/>
              <w:rPr>
                <w:rFonts w:ascii="Arial" w:hAnsi="Arial" w:cs="Arial"/>
                <w:b/>
              </w:rPr>
            </w:pPr>
            <w:r>
              <w:rPr>
                <w:rFonts w:ascii="Arial" w:hAnsi="Arial" w:cs="Arial"/>
                <w:b/>
              </w:rPr>
              <w:t>2012/13</w:t>
            </w:r>
          </w:p>
        </w:tc>
      </w:tr>
      <w:tr w:rsidR="0026648B" w:rsidRPr="008653D3" w:rsidTr="00074443">
        <w:trPr>
          <w:trHeight w:hRule="exact" w:val="345"/>
        </w:trPr>
        <w:tc>
          <w:tcPr>
            <w:tcW w:w="2376" w:type="dxa"/>
            <w:tcBorders>
              <w:top w:val="single" w:sz="4" w:space="0" w:color="auto"/>
            </w:tcBorders>
          </w:tcPr>
          <w:p w:rsidR="0026648B" w:rsidRPr="00271E01" w:rsidRDefault="0026648B" w:rsidP="0026648B">
            <w:pPr>
              <w:rPr>
                <w:rFonts w:ascii="Arial" w:hAnsi="Arial" w:cs="Arial"/>
                <w:b/>
              </w:rPr>
            </w:pPr>
            <w:r w:rsidRPr="00271E01">
              <w:rPr>
                <w:rFonts w:ascii="Arial" w:hAnsi="Arial" w:cs="Arial"/>
                <w:b/>
              </w:rPr>
              <w:t>France</w:t>
            </w:r>
          </w:p>
        </w:tc>
        <w:tc>
          <w:tcPr>
            <w:tcW w:w="1134" w:type="dxa"/>
            <w:tcBorders>
              <w:top w:val="single" w:sz="4" w:space="0" w:color="auto"/>
            </w:tcBorders>
          </w:tcPr>
          <w:p w:rsidR="0026648B" w:rsidRPr="00271E01" w:rsidRDefault="00AA62A7" w:rsidP="0026648B">
            <w:pPr>
              <w:jc w:val="right"/>
              <w:rPr>
                <w:rFonts w:ascii="Arial" w:hAnsi="Arial" w:cs="Arial"/>
                <w:b/>
              </w:rPr>
            </w:pPr>
            <w:r>
              <w:rPr>
                <w:rFonts w:ascii="Arial" w:hAnsi="Arial" w:cs="Arial"/>
                <w:b/>
              </w:rPr>
              <w:t>396</w:t>
            </w:r>
          </w:p>
        </w:tc>
        <w:tc>
          <w:tcPr>
            <w:tcW w:w="1276" w:type="dxa"/>
            <w:tcBorders>
              <w:top w:val="single" w:sz="4" w:space="0" w:color="auto"/>
            </w:tcBorders>
          </w:tcPr>
          <w:p w:rsidR="0026648B" w:rsidRPr="00271E01" w:rsidRDefault="00AA62A7" w:rsidP="0026648B">
            <w:pPr>
              <w:jc w:val="right"/>
              <w:rPr>
                <w:rFonts w:ascii="Arial" w:hAnsi="Arial" w:cs="Arial"/>
                <w:b/>
              </w:rPr>
            </w:pPr>
            <w:r>
              <w:rPr>
                <w:rFonts w:ascii="Arial" w:hAnsi="Arial" w:cs="Arial"/>
                <w:b/>
              </w:rPr>
              <w:t>(0.4)%</w:t>
            </w:r>
          </w:p>
        </w:tc>
        <w:tc>
          <w:tcPr>
            <w:tcW w:w="1276" w:type="dxa"/>
            <w:tcBorders>
              <w:top w:val="single" w:sz="4" w:space="0" w:color="auto"/>
            </w:tcBorders>
          </w:tcPr>
          <w:p w:rsidR="0026648B" w:rsidRPr="00271E01" w:rsidRDefault="00AA62A7" w:rsidP="0026648B">
            <w:pPr>
              <w:jc w:val="right"/>
              <w:rPr>
                <w:rFonts w:ascii="Arial" w:hAnsi="Arial" w:cs="Arial"/>
                <w:b/>
              </w:rPr>
            </w:pPr>
            <w:r>
              <w:rPr>
                <w:rFonts w:ascii="Arial" w:hAnsi="Arial" w:cs="Arial"/>
                <w:b/>
              </w:rPr>
              <w:t>(4.7)%</w:t>
            </w:r>
          </w:p>
        </w:tc>
        <w:tc>
          <w:tcPr>
            <w:tcW w:w="1276" w:type="dxa"/>
            <w:tcBorders>
              <w:top w:val="single" w:sz="4" w:space="0" w:color="auto"/>
            </w:tcBorders>
            <w:shd w:val="clear" w:color="auto" w:fill="auto"/>
          </w:tcPr>
          <w:p w:rsidR="0026648B" w:rsidRPr="00074443" w:rsidRDefault="00D63355" w:rsidP="00074443">
            <w:pPr>
              <w:spacing w:line="360" w:lineRule="auto"/>
              <w:jc w:val="right"/>
              <w:rPr>
                <w:rFonts w:ascii="Arial" w:hAnsi="Arial" w:cs="Arial"/>
                <w:b/>
              </w:rPr>
            </w:pPr>
            <w:r>
              <w:rPr>
                <w:rFonts w:ascii="Arial" w:hAnsi="Arial" w:cs="Arial"/>
                <w:b/>
              </w:rPr>
              <w:t>8.9%</w:t>
            </w:r>
          </w:p>
        </w:tc>
        <w:tc>
          <w:tcPr>
            <w:tcW w:w="1274" w:type="dxa"/>
            <w:tcBorders>
              <w:top w:val="single" w:sz="4" w:space="0" w:color="auto"/>
            </w:tcBorders>
            <w:shd w:val="clear" w:color="auto" w:fill="auto"/>
          </w:tcPr>
          <w:p w:rsidR="0026648B" w:rsidRPr="00074443" w:rsidRDefault="00D63355" w:rsidP="0026648B">
            <w:pPr>
              <w:jc w:val="right"/>
              <w:rPr>
                <w:rFonts w:ascii="Arial" w:hAnsi="Arial" w:cs="Arial"/>
                <w:b/>
              </w:rPr>
            </w:pPr>
            <w:r>
              <w:rPr>
                <w:rFonts w:ascii="Arial" w:hAnsi="Arial" w:cs="Arial"/>
                <w:b/>
              </w:rPr>
              <w:t>9.5%</w:t>
            </w:r>
          </w:p>
        </w:tc>
      </w:tr>
      <w:tr w:rsidR="0026648B" w:rsidRPr="008653D3" w:rsidTr="00074443">
        <w:trPr>
          <w:trHeight w:hRule="exact" w:val="359"/>
        </w:trPr>
        <w:tc>
          <w:tcPr>
            <w:tcW w:w="2376" w:type="dxa"/>
            <w:tcBorders>
              <w:top w:val="single" w:sz="4" w:space="0" w:color="auto"/>
              <w:bottom w:val="single" w:sz="4" w:space="0" w:color="auto"/>
            </w:tcBorders>
          </w:tcPr>
          <w:p w:rsidR="0026648B" w:rsidRPr="00271E01" w:rsidRDefault="0026648B" w:rsidP="0026648B">
            <w:pPr>
              <w:jc w:val="left"/>
              <w:rPr>
                <w:rFonts w:ascii="Arial" w:hAnsi="Arial" w:cs="Arial"/>
                <w:b/>
                <w:vertAlign w:val="superscript"/>
              </w:rPr>
            </w:pPr>
            <w:r w:rsidRPr="00271E01">
              <w:rPr>
                <w:rFonts w:ascii="Arial" w:hAnsi="Arial" w:cs="Arial"/>
                <w:b/>
              </w:rPr>
              <w:t>UK &amp; Ireland</w:t>
            </w:r>
            <w:r w:rsidR="006E1122" w:rsidRPr="006E1122">
              <w:rPr>
                <w:rFonts w:ascii="Arial" w:hAnsi="Arial" w:cs="Arial"/>
                <w:b/>
                <w:i/>
                <w:vertAlign w:val="superscript"/>
              </w:rPr>
              <w:t>(1)</w:t>
            </w:r>
          </w:p>
        </w:tc>
        <w:tc>
          <w:tcPr>
            <w:tcW w:w="1134" w:type="dxa"/>
            <w:tcBorders>
              <w:top w:val="single" w:sz="4" w:space="0" w:color="auto"/>
              <w:bottom w:val="single" w:sz="4" w:space="0" w:color="auto"/>
            </w:tcBorders>
          </w:tcPr>
          <w:p w:rsidR="0026648B" w:rsidRPr="00271E01" w:rsidRDefault="009F0602" w:rsidP="0026648B">
            <w:pPr>
              <w:jc w:val="right"/>
              <w:rPr>
                <w:rFonts w:ascii="Arial" w:hAnsi="Arial" w:cs="Arial"/>
                <w:b/>
              </w:rPr>
            </w:pPr>
            <w:r>
              <w:rPr>
                <w:rFonts w:ascii="Arial" w:hAnsi="Arial" w:cs="Arial"/>
                <w:b/>
              </w:rPr>
              <w:t>23</w:t>
            </w:r>
            <w:r w:rsidR="0004782C">
              <w:rPr>
                <w:rFonts w:ascii="Arial" w:hAnsi="Arial" w:cs="Arial"/>
                <w:b/>
              </w:rPr>
              <w:t>8</w:t>
            </w:r>
          </w:p>
        </w:tc>
        <w:tc>
          <w:tcPr>
            <w:tcW w:w="1276" w:type="dxa"/>
            <w:tcBorders>
              <w:top w:val="single" w:sz="4" w:space="0" w:color="auto"/>
              <w:bottom w:val="single" w:sz="4" w:space="0" w:color="auto"/>
            </w:tcBorders>
          </w:tcPr>
          <w:p w:rsidR="0026648B" w:rsidRPr="00271E01" w:rsidRDefault="00AA62A7" w:rsidP="0026648B">
            <w:pPr>
              <w:jc w:val="right"/>
              <w:rPr>
                <w:rFonts w:ascii="Arial" w:hAnsi="Arial" w:cs="Arial"/>
                <w:b/>
              </w:rPr>
            </w:pPr>
            <w:r>
              <w:rPr>
                <w:rFonts w:ascii="Arial" w:hAnsi="Arial" w:cs="Arial"/>
                <w:b/>
              </w:rPr>
              <w:t>+3.</w:t>
            </w:r>
            <w:r w:rsidR="0004782C">
              <w:rPr>
                <w:rFonts w:ascii="Arial" w:hAnsi="Arial" w:cs="Arial"/>
                <w:b/>
              </w:rPr>
              <w:t>3</w:t>
            </w:r>
            <w:r>
              <w:rPr>
                <w:rFonts w:ascii="Arial" w:hAnsi="Arial" w:cs="Arial"/>
                <w:b/>
              </w:rPr>
              <w:t>%</w:t>
            </w:r>
          </w:p>
        </w:tc>
        <w:tc>
          <w:tcPr>
            <w:tcW w:w="1276" w:type="dxa"/>
            <w:tcBorders>
              <w:top w:val="single" w:sz="4" w:space="0" w:color="auto"/>
              <w:bottom w:val="single" w:sz="4" w:space="0" w:color="auto"/>
            </w:tcBorders>
          </w:tcPr>
          <w:p w:rsidR="0026648B" w:rsidRPr="00271E01" w:rsidRDefault="00AA62A7" w:rsidP="0026648B">
            <w:pPr>
              <w:jc w:val="right"/>
              <w:rPr>
                <w:rFonts w:ascii="Arial" w:hAnsi="Arial" w:cs="Arial"/>
                <w:b/>
              </w:rPr>
            </w:pPr>
            <w:r>
              <w:rPr>
                <w:rFonts w:ascii="Arial" w:hAnsi="Arial" w:cs="Arial"/>
                <w:b/>
              </w:rPr>
              <w:t>+3.</w:t>
            </w:r>
            <w:r w:rsidR="0004782C">
              <w:rPr>
                <w:rFonts w:ascii="Arial" w:hAnsi="Arial" w:cs="Arial"/>
                <w:b/>
              </w:rPr>
              <w:t>4</w:t>
            </w:r>
            <w:r>
              <w:rPr>
                <w:rFonts w:ascii="Arial" w:hAnsi="Arial" w:cs="Arial"/>
                <w:b/>
              </w:rPr>
              <w:t>%</w:t>
            </w:r>
          </w:p>
        </w:tc>
        <w:tc>
          <w:tcPr>
            <w:tcW w:w="1276" w:type="dxa"/>
            <w:tcBorders>
              <w:top w:val="single" w:sz="4" w:space="0" w:color="auto"/>
              <w:bottom w:val="single" w:sz="4" w:space="0" w:color="auto"/>
            </w:tcBorders>
            <w:shd w:val="clear" w:color="auto" w:fill="auto"/>
          </w:tcPr>
          <w:p w:rsidR="0026648B" w:rsidRPr="004A0E96" w:rsidRDefault="00D63355" w:rsidP="0026648B">
            <w:pPr>
              <w:jc w:val="right"/>
              <w:rPr>
                <w:rFonts w:ascii="Arial" w:hAnsi="Arial" w:cs="Arial"/>
                <w:b/>
              </w:rPr>
            </w:pPr>
            <w:r w:rsidRPr="004A0E96">
              <w:rPr>
                <w:rFonts w:ascii="Arial" w:hAnsi="Arial" w:cs="Arial"/>
                <w:b/>
              </w:rPr>
              <w:t>5.5%</w:t>
            </w:r>
          </w:p>
        </w:tc>
        <w:tc>
          <w:tcPr>
            <w:tcW w:w="1274" w:type="dxa"/>
            <w:tcBorders>
              <w:top w:val="single" w:sz="4" w:space="0" w:color="auto"/>
              <w:bottom w:val="single" w:sz="4" w:space="0" w:color="auto"/>
            </w:tcBorders>
            <w:shd w:val="clear" w:color="auto" w:fill="auto"/>
          </w:tcPr>
          <w:p w:rsidR="0026648B" w:rsidRPr="004A0E96" w:rsidRDefault="00D63355" w:rsidP="0026648B">
            <w:pPr>
              <w:jc w:val="right"/>
              <w:rPr>
                <w:rFonts w:ascii="Arial" w:hAnsi="Arial" w:cs="Arial"/>
                <w:b/>
              </w:rPr>
            </w:pPr>
            <w:r w:rsidRPr="004A0E96">
              <w:rPr>
                <w:rFonts w:ascii="Arial" w:hAnsi="Arial" w:cs="Arial"/>
                <w:b/>
              </w:rPr>
              <w:t>5.3%</w:t>
            </w:r>
          </w:p>
        </w:tc>
      </w:tr>
      <w:tr w:rsidR="0026648B" w:rsidRPr="008653D3" w:rsidTr="00074443">
        <w:trPr>
          <w:trHeight w:hRule="exact" w:val="312"/>
        </w:trPr>
        <w:tc>
          <w:tcPr>
            <w:tcW w:w="2376" w:type="dxa"/>
            <w:tcBorders>
              <w:top w:val="single" w:sz="4" w:space="0" w:color="auto"/>
            </w:tcBorders>
          </w:tcPr>
          <w:p w:rsidR="0026648B" w:rsidRPr="00271E01" w:rsidRDefault="0026648B" w:rsidP="0026648B">
            <w:pPr>
              <w:jc w:val="left"/>
              <w:rPr>
                <w:rFonts w:ascii="Arial" w:hAnsi="Arial" w:cs="Arial"/>
              </w:rPr>
            </w:pPr>
            <w:r w:rsidRPr="00271E01">
              <w:rPr>
                <w:rFonts w:ascii="Arial" w:hAnsi="Arial" w:cs="Arial"/>
              </w:rPr>
              <w:t>Poland</w:t>
            </w:r>
          </w:p>
        </w:tc>
        <w:tc>
          <w:tcPr>
            <w:tcW w:w="1134" w:type="dxa"/>
            <w:tcBorders>
              <w:top w:val="single" w:sz="4" w:space="0" w:color="auto"/>
            </w:tcBorders>
          </w:tcPr>
          <w:p w:rsidR="0026648B" w:rsidRPr="00271E01" w:rsidRDefault="00AA62A7" w:rsidP="0026648B">
            <w:pPr>
              <w:jc w:val="right"/>
              <w:rPr>
                <w:rFonts w:ascii="Arial" w:hAnsi="Arial" w:cs="Arial"/>
              </w:rPr>
            </w:pPr>
            <w:r>
              <w:rPr>
                <w:rFonts w:ascii="Arial" w:hAnsi="Arial" w:cs="Arial"/>
              </w:rPr>
              <w:t>12</w:t>
            </w:r>
            <w:r w:rsidR="0004782C">
              <w:rPr>
                <w:rFonts w:ascii="Arial" w:hAnsi="Arial" w:cs="Arial"/>
              </w:rPr>
              <w:t>3</w:t>
            </w:r>
          </w:p>
        </w:tc>
        <w:tc>
          <w:tcPr>
            <w:tcW w:w="1276" w:type="dxa"/>
            <w:tcBorders>
              <w:top w:val="single" w:sz="4" w:space="0" w:color="auto"/>
            </w:tcBorders>
          </w:tcPr>
          <w:p w:rsidR="0026648B" w:rsidRPr="00271E01" w:rsidRDefault="00AA62A7" w:rsidP="0026648B">
            <w:pPr>
              <w:jc w:val="right"/>
              <w:rPr>
                <w:rFonts w:ascii="Arial" w:hAnsi="Arial" w:cs="Arial"/>
              </w:rPr>
            </w:pPr>
            <w:r>
              <w:rPr>
                <w:rFonts w:ascii="Arial" w:hAnsi="Arial" w:cs="Arial"/>
              </w:rPr>
              <w:t>+15.0%</w:t>
            </w:r>
          </w:p>
        </w:tc>
        <w:tc>
          <w:tcPr>
            <w:tcW w:w="1276" w:type="dxa"/>
            <w:tcBorders>
              <w:top w:val="single" w:sz="4" w:space="0" w:color="auto"/>
            </w:tcBorders>
          </w:tcPr>
          <w:p w:rsidR="0026648B" w:rsidRPr="00271E01" w:rsidRDefault="00AA62A7" w:rsidP="0026648B">
            <w:pPr>
              <w:jc w:val="right"/>
              <w:rPr>
                <w:rFonts w:ascii="Arial" w:hAnsi="Arial" w:cs="Arial"/>
              </w:rPr>
            </w:pPr>
            <w:r>
              <w:rPr>
                <w:rFonts w:ascii="Arial" w:hAnsi="Arial" w:cs="Arial"/>
              </w:rPr>
              <w:t>+10.9%</w:t>
            </w:r>
          </w:p>
        </w:tc>
        <w:tc>
          <w:tcPr>
            <w:tcW w:w="1276" w:type="dxa"/>
            <w:tcBorders>
              <w:top w:val="single" w:sz="4" w:space="0" w:color="auto"/>
            </w:tcBorders>
            <w:shd w:val="clear" w:color="auto" w:fill="auto"/>
          </w:tcPr>
          <w:p w:rsidR="0026648B" w:rsidRPr="004A0E96" w:rsidRDefault="00D63355" w:rsidP="0026648B">
            <w:pPr>
              <w:jc w:val="right"/>
              <w:rPr>
                <w:rFonts w:ascii="Arial" w:hAnsi="Arial" w:cs="Arial"/>
              </w:rPr>
            </w:pPr>
            <w:r w:rsidRPr="004A0E96">
              <w:rPr>
                <w:rFonts w:ascii="Arial" w:hAnsi="Arial" w:cs="Arial"/>
              </w:rPr>
              <w:t>11.1%</w:t>
            </w:r>
          </w:p>
        </w:tc>
        <w:tc>
          <w:tcPr>
            <w:tcW w:w="1274" w:type="dxa"/>
            <w:tcBorders>
              <w:top w:val="single" w:sz="4" w:space="0" w:color="auto"/>
            </w:tcBorders>
            <w:shd w:val="clear" w:color="auto" w:fill="auto"/>
          </w:tcPr>
          <w:p w:rsidR="0026648B" w:rsidRPr="004A0E96" w:rsidRDefault="00D63355" w:rsidP="0026648B">
            <w:pPr>
              <w:jc w:val="right"/>
              <w:rPr>
                <w:rFonts w:ascii="Arial" w:hAnsi="Arial" w:cs="Arial"/>
              </w:rPr>
            </w:pPr>
            <w:r w:rsidRPr="004A0E96">
              <w:rPr>
                <w:rFonts w:ascii="Arial" w:hAnsi="Arial" w:cs="Arial"/>
              </w:rPr>
              <w:t>10.4%</w:t>
            </w:r>
          </w:p>
        </w:tc>
      </w:tr>
      <w:tr w:rsidR="0026648B" w:rsidRPr="008653D3" w:rsidTr="00074443">
        <w:trPr>
          <w:trHeight w:hRule="exact" w:val="312"/>
        </w:trPr>
        <w:tc>
          <w:tcPr>
            <w:tcW w:w="2376" w:type="dxa"/>
          </w:tcPr>
          <w:p w:rsidR="0026648B" w:rsidRPr="00271E01" w:rsidRDefault="0026648B" w:rsidP="0026648B">
            <w:pPr>
              <w:jc w:val="left"/>
              <w:rPr>
                <w:rFonts w:ascii="Arial" w:hAnsi="Arial" w:cs="Arial"/>
              </w:rPr>
            </w:pPr>
            <w:r w:rsidRPr="00271E01">
              <w:rPr>
                <w:rFonts w:ascii="Arial" w:hAnsi="Arial" w:cs="Arial"/>
              </w:rPr>
              <w:t>China</w:t>
            </w:r>
          </w:p>
        </w:tc>
        <w:tc>
          <w:tcPr>
            <w:tcW w:w="1134" w:type="dxa"/>
          </w:tcPr>
          <w:p w:rsidR="0026648B" w:rsidRPr="00271E01" w:rsidRDefault="00AA62A7" w:rsidP="0026648B">
            <w:pPr>
              <w:jc w:val="right"/>
              <w:rPr>
                <w:rFonts w:ascii="Arial" w:hAnsi="Arial" w:cs="Arial"/>
              </w:rPr>
            </w:pPr>
            <w:r>
              <w:rPr>
                <w:rFonts w:ascii="Arial" w:hAnsi="Arial" w:cs="Arial"/>
              </w:rPr>
              <w:t>(6)</w:t>
            </w:r>
          </w:p>
        </w:tc>
        <w:tc>
          <w:tcPr>
            <w:tcW w:w="1276" w:type="dxa"/>
          </w:tcPr>
          <w:p w:rsidR="0026648B" w:rsidRPr="00271E01" w:rsidRDefault="00AA62A7" w:rsidP="0026648B">
            <w:pPr>
              <w:jc w:val="right"/>
              <w:rPr>
                <w:rFonts w:ascii="Arial" w:hAnsi="Arial" w:cs="Arial"/>
              </w:rPr>
            </w:pPr>
            <w:r>
              <w:rPr>
                <w:rFonts w:ascii="Arial" w:hAnsi="Arial" w:cs="Arial"/>
              </w:rPr>
              <w:t>+40.1%</w:t>
            </w:r>
          </w:p>
        </w:tc>
        <w:tc>
          <w:tcPr>
            <w:tcW w:w="1276" w:type="dxa"/>
          </w:tcPr>
          <w:p w:rsidR="0026648B" w:rsidRPr="00271E01" w:rsidRDefault="00AA62A7" w:rsidP="0026648B">
            <w:pPr>
              <w:jc w:val="right"/>
              <w:rPr>
                <w:rFonts w:ascii="Arial" w:hAnsi="Arial" w:cs="Arial"/>
              </w:rPr>
            </w:pPr>
            <w:r>
              <w:rPr>
                <w:rFonts w:ascii="Arial" w:hAnsi="Arial" w:cs="Arial"/>
              </w:rPr>
              <w:t>+42.4%</w:t>
            </w:r>
          </w:p>
        </w:tc>
        <w:tc>
          <w:tcPr>
            <w:tcW w:w="1276" w:type="dxa"/>
            <w:shd w:val="clear" w:color="auto" w:fill="auto"/>
          </w:tcPr>
          <w:p w:rsidR="0026648B" w:rsidRPr="00074443" w:rsidRDefault="00D63355" w:rsidP="0026648B">
            <w:pPr>
              <w:jc w:val="right"/>
              <w:rPr>
                <w:rFonts w:ascii="Arial" w:hAnsi="Arial" w:cs="Arial"/>
              </w:rPr>
            </w:pPr>
            <w:r>
              <w:rPr>
                <w:rFonts w:ascii="Arial" w:hAnsi="Arial" w:cs="Arial"/>
              </w:rPr>
              <w:t>(1.3)%</w:t>
            </w:r>
          </w:p>
        </w:tc>
        <w:tc>
          <w:tcPr>
            <w:tcW w:w="1274" w:type="dxa"/>
            <w:shd w:val="clear" w:color="auto" w:fill="auto"/>
          </w:tcPr>
          <w:p w:rsidR="0026648B" w:rsidRPr="00074443" w:rsidRDefault="00D63355" w:rsidP="0026648B">
            <w:pPr>
              <w:jc w:val="right"/>
              <w:rPr>
                <w:rFonts w:ascii="Arial" w:hAnsi="Arial" w:cs="Arial"/>
              </w:rPr>
            </w:pPr>
            <w:r>
              <w:rPr>
                <w:rFonts w:ascii="Arial" w:hAnsi="Arial" w:cs="Arial"/>
              </w:rPr>
              <w:t>(2.</w:t>
            </w:r>
            <w:r w:rsidR="009D638E">
              <w:rPr>
                <w:rFonts w:ascii="Arial" w:hAnsi="Arial" w:cs="Arial"/>
              </w:rPr>
              <w:t>4</w:t>
            </w:r>
            <w:r>
              <w:rPr>
                <w:rFonts w:ascii="Arial" w:hAnsi="Arial" w:cs="Arial"/>
              </w:rPr>
              <w:t>)%</w:t>
            </w:r>
          </w:p>
        </w:tc>
      </w:tr>
      <w:tr w:rsidR="0026648B" w:rsidRPr="008653D3" w:rsidTr="00074443">
        <w:trPr>
          <w:trHeight w:hRule="exact" w:val="312"/>
        </w:trPr>
        <w:tc>
          <w:tcPr>
            <w:tcW w:w="2376" w:type="dxa"/>
          </w:tcPr>
          <w:p w:rsidR="0026648B" w:rsidRDefault="0026648B" w:rsidP="0026648B">
            <w:pPr>
              <w:jc w:val="left"/>
              <w:rPr>
                <w:rFonts w:ascii="Arial" w:hAnsi="Arial" w:cs="Arial"/>
              </w:rPr>
            </w:pPr>
            <w:r>
              <w:rPr>
                <w:rFonts w:ascii="Arial" w:hAnsi="Arial" w:cs="Arial"/>
              </w:rPr>
              <w:t>Hornbach</w:t>
            </w:r>
          </w:p>
        </w:tc>
        <w:tc>
          <w:tcPr>
            <w:tcW w:w="1134" w:type="dxa"/>
          </w:tcPr>
          <w:p w:rsidR="0026648B" w:rsidRDefault="00AA62A7" w:rsidP="0026648B">
            <w:pPr>
              <w:jc w:val="right"/>
              <w:rPr>
                <w:rFonts w:ascii="Arial" w:hAnsi="Arial" w:cs="Arial"/>
              </w:rPr>
            </w:pPr>
            <w:r>
              <w:rPr>
                <w:rFonts w:ascii="Arial" w:hAnsi="Arial" w:cs="Arial"/>
              </w:rPr>
              <w:t>26</w:t>
            </w:r>
          </w:p>
        </w:tc>
        <w:tc>
          <w:tcPr>
            <w:tcW w:w="1276" w:type="dxa"/>
          </w:tcPr>
          <w:p w:rsidR="0026648B" w:rsidRDefault="00AA62A7" w:rsidP="0026648B">
            <w:pPr>
              <w:jc w:val="right"/>
              <w:rPr>
                <w:rFonts w:ascii="Arial" w:hAnsi="Arial" w:cs="Arial"/>
              </w:rPr>
            </w:pPr>
            <w:r>
              <w:rPr>
                <w:rFonts w:ascii="Arial" w:hAnsi="Arial" w:cs="Arial"/>
              </w:rPr>
              <w:t>+0.9%</w:t>
            </w:r>
          </w:p>
        </w:tc>
        <w:tc>
          <w:tcPr>
            <w:tcW w:w="1276" w:type="dxa"/>
          </w:tcPr>
          <w:p w:rsidR="0026648B" w:rsidRDefault="00AA62A7" w:rsidP="0026648B">
            <w:pPr>
              <w:jc w:val="right"/>
              <w:rPr>
                <w:rFonts w:ascii="Arial" w:hAnsi="Arial" w:cs="Arial"/>
              </w:rPr>
            </w:pPr>
            <w:r>
              <w:rPr>
                <w:rFonts w:ascii="Arial" w:hAnsi="Arial" w:cs="Arial"/>
              </w:rPr>
              <w:t>(3.6)%</w:t>
            </w:r>
          </w:p>
        </w:tc>
        <w:tc>
          <w:tcPr>
            <w:tcW w:w="1276" w:type="dxa"/>
            <w:shd w:val="clear" w:color="auto" w:fill="auto"/>
          </w:tcPr>
          <w:p w:rsidR="0026648B" w:rsidRPr="00074443" w:rsidRDefault="008259CB" w:rsidP="0026648B">
            <w:pPr>
              <w:jc w:val="right"/>
              <w:rPr>
                <w:rFonts w:ascii="Arial" w:hAnsi="Arial" w:cs="Arial"/>
              </w:rPr>
            </w:pPr>
            <w:r w:rsidRPr="00074443">
              <w:rPr>
                <w:rFonts w:ascii="Arial" w:hAnsi="Arial" w:cs="Arial"/>
              </w:rPr>
              <w:t>n/a</w:t>
            </w:r>
            <w:r w:rsidRPr="00074443">
              <w:rPr>
                <w:rFonts w:ascii="Arial" w:hAnsi="Arial" w:cs="Arial"/>
                <w:i/>
                <w:vertAlign w:val="superscript"/>
              </w:rPr>
              <w:t>(2)</w:t>
            </w:r>
          </w:p>
        </w:tc>
        <w:tc>
          <w:tcPr>
            <w:tcW w:w="1274" w:type="dxa"/>
            <w:shd w:val="clear" w:color="auto" w:fill="auto"/>
          </w:tcPr>
          <w:p w:rsidR="0026648B" w:rsidRPr="00074443" w:rsidRDefault="008259CB" w:rsidP="0026648B">
            <w:pPr>
              <w:jc w:val="right"/>
              <w:rPr>
                <w:rFonts w:ascii="Arial" w:hAnsi="Arial" w:cs="Arial"/>
              </w:rPr>
            </w:pPr>
            <w:r w:rsidRPr="00074443">
              <w:rPr>
                <w:rFonts w:ascii="Arial" w:hAnsi="Arial" w:cs="Arial"/>
              </w:rPr>
              <w:t>n/a</w:t>
            </w:r>
            <w:r w:rsidRPr="00074443">
              <w:rPr>
                <w:rFonts w:ascii="Arial" w:hAnsi="Arial" w:cs="Arial"/>
                <w:i/>
                <w:vertAlign w:val="superscript"/>
              </w:rPr>
              <w:t>(2)</w:t>
            </w:r>
          </w:p>
        </w:tc>
      </w:tr>
      <w:tr w:rsidR="008259CB" w:rsidRPr="008653D3" w:rsidTr="00074443">
        <w:trPr>
          <w:trHeight w:hRule="exact" w:val="312"/>
        </w:trPr>
        <w:tc>
          <w:tcPr>
            <w:tcW w:w="2376" w:type="dxa"/>
          </w:tcPr>
          <w:p w:rsidR="008259CB" w:rsidRPr="00271E01" w:rsidRDefault="008259CB" w:rsidP="0026648B">
            <w:pPr>
              <w:jc w:val="left"/>
              <w:rPr>
                <w:rFonts w:ascii="Arial" w:hAnsi="Arial" w:cs="Arial"/>
              </w:rPr>
            </w:pPr>
            <w:r>
              <w:rPr>
                <w:rFonts w:ascii="Arial" w:hAnsi="Arial" w:cs="Arial"/>
              </w:rPr>
              <w:t>Romania</w:t>
            </w:r>
            <w:r w:rsidR="00DA44CF" w:rsidRPr="007678AD">
              <w:rPr>
                <w:rFonts w:ascii="Arial" w:hAnsi="Arial" w:cs="Arial"/>
                <w:i/>
                <w:vertAlign w:val="superscript"/>
              </w:rPr>
              <w:t>(3)</w:t>
            </w:r>
          </w:p>
        </w:tc>
        <w:tc>
          <w:tcPr>
            <w:tcW w:w="1134" w:type="dxa"/>
          </w:tcPr>
          <w:p w:rsidR="008259CB" w:rsidRDefault="0004782C" w:rsidP="0026648B">
            <w:pPr>
              <w:jc w:val="right"/>
              <w:rPr>
                <w:rFonts w:ascii="Arial" w:hAnsi="Arial" w:cs="Arial"/>
              </w:rPr>
            </w:pPr>
            <w:r>
              <w:rPr>
                <w:rFonts w:ascii="Arial" w:hAnsi="Arial" w:cs="Arial"/>
              </w:rPr>
              <w:t>1</w:t>
            </w:r>
          </w:p>
        </w:tc>
        <w:tc>
          <w:tcPr>
            <w:tcW w:w="1276" w:type="dxa"/>
          </w:tcPr>
          <w:p w:rsidR="008259CB" w:rsidRDefault="008259CB" w:rsidP="00C767BD">
            <w:pPr>
              <w:jc w:val="right"/>
              <w:rPr>
                <w:rFonts w:ascii="Arial" w:hAnsi="Arial" w:cs="Arial"/>
              </w:rPr>
            </w:pPr>
            <w:r>
              <w:rPr>
                <w:rFonts w:ascii="Arial" w:hAnsi="Arial" w:cs="Arial"/>
              </w:rPr>
              <w:t>n/a</w:t>
            </w:r>
          </w:p>
        </w:tc>
        <w:tc>
          <w:tcPr>
            <w:tcW w:w="1276" w:type="dxa"/>
          </w:tcPr>
          <w:p w:rsidR="008259CB" w:rsidRDefault="00377708" w:rsidP="00C767BD">
            <w:pPr>
              <w:jc w:val="right"/>
              <w:rPr>
                <w:rFonts w:ascii="Arial" w:hAnsi="Arial" w:cs="Arial"/>
              </w:rPr>
            </w:pPr>
            <w:r>
              <w:rPr>
                <w:rFonts w:ascii="Arial" w:hAnsi="Arial" w:cs="Arial"/>
              </w:rPr>
              <w:t>n/a</w:t>
            </w:r>
          </w:p>
        </w:tc>
        <w:tc>
          <w:tcPr>
            <w:tcW w:w="1276" w:type="dxa"/>
            <w:shd w:val="clear" w:color="auto" w:fill="auto"/>
          </w:tcPr>
          <w:p w:rsidR="008259CB" w:rsidRPr="00074443" w:rsidRDefault="00DA44CF">
            <w:pPr>
              <w:jc w:val="right"/>
              <w:rPr>
                <w:rFonts w:ascii="Arial" w:hAnsi="Arial" w:cs="Arial"/>
              </w:rPr>
            </w:pPr>
            <w:r>
              <w:rPr>
                <w:rFonts w:ascii="Arial" w:hAnsi="Arial" w:cs="Arial"/>
              </w:rPr>
              <w:t>0.9%</w:t>
            </w:r>
          </w:p>
          <w:p w:rsidR="008259CB" w:rsidRPr="00074443" w:rsidRDefault="008259CB" w:rsidP="00C767BD">
            <w:pPr>
              <w:jc w:val="right"/>
              <w:rPr>
                <w:rFonts w:ascii="Arial" w:hAnsi="Arial" w:cs="Arial"/>
              </w:rPr>
            </w:pPr>
          </w:p>
        </w:tc>
        <w:tc>
          <w:tcPr>
            <w:tcW w:w="1274" w:type="dxa"/>
            <w:shd w:val="clear" w:color="auto" w:fill="auto"/>
          </w:tcPr>
          <w:p w:rsidR="008259CB" w:rsidRPr="00074443" w:rsidRDefault="00377708" w:rsidP="00C767BD">
            <w:pPr>
              <w:jc w:val="right"/>
              <w:rPr>
                <w:rFonts w:ascii="Arial" w:hAnsi="Arial" w:cs="Arial"/>
              </w:rPr>
            </w:pPr>
            <w:r w:rsidRPr="00074443">
              <w:rPr>
                <w:rFonts w:ascii="Arial" w:hAnsi="Arial" w:cs="Arial"/>
              </w:rPr>
              <w:t>n/a</w:t>
            </w:r>
          </w:p>
        </w:tc>
      </w:tr>
      <w:tr w:rsidR="008259CB" w:rsidRPr="008653D3" w:rsidTr="00074443">
        <w:trPr>
          <w:trHeight w:hRule="exact" w:val="312"/>
        </w:trPr>
        <w:tc>
          <w:tcPr>
            <w:tcW w:w="2376" w:type="dxa"/>
          </w:tcPr>
          <w:p w:rsidR="008259CB" w:rsidRPr="00271E01" w:rsidRDefault="008259CB" w:rsidP="0026648B">
            <w:pPr>
              <w:jc w:val="left"/>
              <w:rPr>
                <w:rFonts w:ascii="Arial" w:hAnsi="Arial" w:cs="Arial"/>
              </w:rPr>
            </w:pPr>
            <w:r w:rsidRPr="00271E01">
              <w:rPr>
                <w:rFonts w:ascii="Arial" w:hAnsi="Arial" w:cs="Arial"/>
              </w:rPr>
              <w:t>Russia</w:t>
            </w:r>
          </w:p>
        </w:tc>
        <w:tc>
          <w:tcPr>
            <w:tcW w:w="1134" w:type="dxa"/>
          </w:tcPr>
          <w:p w:rsidR="008259CB" w:rsidRPr="00271E01" w:rsidRDefault="00AA62A7" w:rsidP="0026648B">
            <w:pPr>
              <w:jc w:val="right"/>
              <w:rPr>
                <w:rFonts w:ascii="Arial" w:hAnsi="Arial" w:cs="Arial"/>
              </w:rPr>
            </w:pPr>
            <w:r>
              <w:rPr>
                <w:rFonts w:ascii="Arial" w:hAnsi="Arial" w:cs="Arial"/>
              </w:rPr>
              <w:t>15</w:t>
            </w:r>
          </w:p>
        </w:tc>
        <w:tc>
          <w:tcPr>
            <w:tcW w:w="1276" w:type="dxa"/>
          </w:tcPr>
          <w:p w:rsidR="008259CB" w:rsidRPr="00271E01" w:rsidRDefault="00AA62A7" w:rsidP="0026648B">
            <w:pPr>
              <w:jc w:val="right"/>
              <w:rPr>
                <w:rFonts w:ascii="Arial" w:hAnsi="Arial" w:cs="Arial"/>
              </w:rPr>
            </w:pPr>
            <w:r>
              <w:rPr>
                <w:rFonts w:ascii="Arial" w:hAnsi="Arial" w:cs="Arial"/>
              </w:rPr>
              <w:t>(9.2)%</w:t>
            </w:r>
          </w:p>
        </w:tc>
        <w:tc>
          <w:tcPr>
            <w:tcW w:w="1276" w:type="dxa"/>
          </w:tcPr>
          <w:p w:rsidR="008259CB" w:rsidRPr="00271E01" w:rsidRDefault="00AA62A7" w:rsidP="0026648B">
            <w:pPr>
              <w:jc w:val="right"/>
              <w:rPr>
                <w:rFonts w:ascii="Arial" w:hAnsi="Arial" w:cs="Arial"/>
              </w:rPr>
            </w:pPr>
            <w:r>
              <w:rPr>
                <w:rFonts w:ascii="Arial" w:hAnsi="Arial" w:cs="Arial"/>
              </w:rPr>
              <w:t>(6.</w:t>
            </w:r>
            <w:r w:rsidR="00234FFB">
              <w:rPr>
                <w:rFonts w:ascii="Arial" w:hAnsi="Arial" w:cs="Arial"/>
              </w:rPr>
              <w:t>7</w:t>
            </w:r>
            <w:r>
              <w:rPr>
                <w:rFonts w:ascii="Arial" w:hAnsi="Arial" w:cs="Arial"/>
              </w:rPr>
              <w:t>)%</w:t>
            </w:r>
          </w:p>
        </w:tc>
        <w:tc>
          <w:tcPr>
            <w:tcW w:w="1276" w:type="dxa"/>
            <w:shd w:val="clear" w:color="auto" w:fill="auto"/>
          </w:tcPr>
          <w:p w:rsidR="008259CB" w:rsidRPr="00074443" w:rsidRDefault="00D63355" w:rsidP="0026648B">
            <w:pPr>
              <w:jc w:val="right"/>
              <w:rPr>
                <w:rFonts w:ascii="Arial" w:hAnsi="Arial" w:cs="Arial"/>
              </w:rPr>
            </w:pPr>
            <w:r>
              <w:rPr>
                <w:rFonts w:ascii="Arial" w:hAnsi="Arial" w:cs="Arial"/>
              </w:rPr>
              <w:t>3.3%</w:t>
            </w:r>
          </w:p>
        </w:tc>
        <w:tc>
          <w:tcPr>
            <w:tcW w:w="1274" w:type="dxa"/>
            <w:shd w:val="clear" w:color="auto" w:fill="auto"/>
          </w:tcPr>
          <w:p w:rsidR="008259CB" w:rsidRPr="00074443" w:rsidRDefault="00D63355" w:rsidP="0026648B">
            <w:pPr>
              <w:jc w:val="right"/>
              <w:rPr>
                <w:rFonts w:ascii="Arial" w:hAnsi="Arial" w:cs="Arial"/>
              </w:rPr>
            </w:pPr>
            <w:r>
              <w:rPr>
                <w:rFonts w:ascii="Arial" w:hAnsi="Arial" w:cs="Arial"/>
              </w:rPr>
              <w:t>3.</w:t>
            </w:r>
            <w:r w:rsidR="009D638E">
              <w:rPr>
                <w:rFonts w:ascii="Arial" w:hAnsi="Arial" w:cs="Arial"/>
              </w:rPr>
              <w:t>8</w:t>
            </w:r>
            <w:r>
              <w:rPr>
                <w:rFonts w:ascii="Arial" w:hAnsi="Arial" w:cs="Arial"/>
              </w:rPr>
              <w:t>%</w:t>
            </w:r>
          </w:p>
        </w:tc>
      </w:tr>
      <w:tr w:rsidR="008259CB" w:rsidRPr="008653D3" w:rsidTr="00074443">
        <w:trPr>
          <w:trHeight w:hRule="exact" w:val="312"/>
        </w:trPr>
        <w:tc>
          <w:tcPr>
            <w:tcW w:w="2376" w:type="dxa"/>
          </w:tcPr>
          <w:p w:rsidR="008259CB" w:rsidRDefault="008259CB" w:rsidP="0026648B">
            <w:pPr>
              <w:jc w:val="left"/>
              <w:rPr>
                <w:rFonts w:ascii="Arial" w:hAnsi="Arial" w:cs="Arial"/>
              </w:rPr>
            </w:pPr>
            <w:r w:rsidRPr="00271E01">
              <w:rPr>
                <w:rFonts w:ascii="Arial" w:hAnsi="Arial" w:cs="Arial"/>
              </w:rPr>
              <w:t xml:space="preserve">Spain </w:t>
            </w:r>
          </w:p>
        </w:tc>
        <w:tc>
          <w:tcPr>
            <w:tcW w:w="1134" w:type="dxa"/>
          </w:tcPr>
          <w:p w:rsidR="008259CB" w:rsidRDefault="00AA62A7" w:rsidP="0026648B">
            <w:pPr>
              <w:jc w:val="right"/>
              <w:rPr>
                <w:rFonts w:ascii="Arial" w:hAnsi="Arial" w:cs="Arial"/>
              </w:rPr>
            </w:pPr>
            <w:r>
              <w:rPr>
                <w:rFonts w:ascii="Arial" w:hAnsi="Arial" w:cs="Arial"/>
              </w:rPr>
              <w:t>1</w:t>
            </w:r>
          </w:p>
        </w:tc>
        <w:tc>
          <w:tcPr>
            <w:tcW w:w="1276" w:type="dxa"/>
          </w:tcPr>
          <w:p w:rsidR="008259CB" w:rsidRDefault="00AA62A7" w:rsidP="0026648B">
            <w:pPr>
              <w:jc w:val="right"/>
              <w:rPr>
                <w:rFonts w:ascii="Arial" w:hAnsi="Arial" w:cs="Arial"/>
              </w:rPr>
            </w:pPr>
            <w:r>
              <w:rPr>
                <w:rFonts w:ascii="Arial" w:hAnsi="Arial" w:cs="Arial"/>
              </w:rPr>
              <w:t>+91.0%</w:t>
            </w:r>
          </w:p>
        </w:tc>
        <w:tc>
          <w:tcPr>
            <w:tcW w:w="1276" w:type="dxa"/>
          </w:tcPr>
          <w:p w:rsidR="008259CB" w:rsidRDefault="00AA62A7" w:rsidP="0026648B">
            <w:pPr>
              <w:jc w:val="right"/>
              <w:rPr>
                <w:rFonts w:ascii="Arial" w:hAnsi="Arial" w:cs="Arial"/>
              </w:rPr>
            </w:pPr>
            <w:r>
              <w:rPr>
                <w:rFonts w:ascii="Arial" w:hAnsi="Arial" w:cs="Arial"/>
              </w:rPr>
              <w:t>+82.6%</w:t>
            </w:r>
          </w:p>
        </w:tc>
        <w:tc>
          <w:tcPr>
            <w:tcW w:w="1276" w:type="dxa"/>
            <w:shd w:val="clear" w:color="auto" w:fill="auto"/>
          </w:tcPr>
          <w:p w:rsidR="008259CB" w:rsidRPr="00074443" w:rsidRDefault="00D63355" w:rsidP="0026648B">
            <w:pPr>
              <w:jc w:val="right"/>
              <w:rPr>
                <w:rFonts w:ascii="Arial" w:hAnsi="Arial" w:cs="Arial"/>
              </w:rPr>
            </w:pPr>
            <w:r>
              <w:rPr>
                <w:rFonts w:ascii="Arial" w:hAnsi="Arial" w:cs="Arial"/>
              </w:rPr>
              <w:t>0.5%</w:t>
            </w:r>
          </w:p>
        </w:tc>
        <w:tc>
          <w:tcPr>
            <w:tcW w:w="1274" w:type="dxa"/>
            <w:shd w:val="clear" w:color="auto" w:fill="auto"/>
          </w:tcPr>
          <w:p w:rsidR="008259CB" w:rsidRPr="00074443" w:rsidRDefault="00D63355" w:rsidP="0026648B">
            <w:pPr>
              <w:jc w:val="right"/>
              <w:rPr>
                <w:rFonts w:ascii="Arial" w:hAnsi="Arial" w:cs="Arial"/>
              </w:rPr>
            </w:pPr>
            <w:r>
              <w:rPr>
                <w:rFonts w:ascii="Arial" w:hAnsi="Arial" w:cs="Arial"/>
              </w:rPr>
              <w:t>0.</w:t>
            </w:r>
            <w:r w:rsidR="009D638E">
              <w:rPr>
                <w:rFonts w:ascii="Arial" w:hAnsi="Arial" w:cs="Arial"/>
              </w:rPr>
              <w:t>4</w:t>
            </w:r>
            <w:r>
              <w:rPr>
                <w:rFonts w:ascii="Arial" w:hAnsi="Arial" w:cs="Arial"/>
              </w:rPr>
              <w:t>%</w:t>
            </w:r>
          </w:p>
        </w:tc>
      </w:tr>
      <w:tr w:rsidR="008259CB" w:rsidRPr="008653D3" w:rsidTr="00074443">
        <w:trPr>
          <w:trHeight w:hRule="exact" w:val="312"/>
        </w:trPr>
        <w:tc>
          <w:tcPr>
            <w:tcW w:w="2376" w:type="dxa"/>
          </w:tcPr>
          <w:p w:rsidR="008259CB" w:rsidRPr="00271E01" w:rsidRDefault="008259CB" w:rsidP="0026648B">
            <w:pPr>
              <w:jc w:val="left"/>
              <w:rPr>
                <w:rFonts w:ascii="Arial" w:hAnsi="Arial" w:cs="Arial"/>
              </w:rPr>
            </w:pPr>
            <w:r>
              <w:rPr>
                <w:rFonts w:ascii="Arial" w:hAnsi="Arial" w:cs="Arial"/>
              </w:rPr>
              <w:t>Turkey JV</w:t>
            </w:r>
          </w:p>
        </w:tc>
        <w:tc>
          <w:tcPr>
            <w:tcW w:w="1134" w:type="dxa"/>
          </w:tcPr>
          <w:p w:rsidR="008259CB" w:rsidRPr="00271E01" w:rsidRDefault="00AA62A7" w:rsidP="0026648B">
            <w:pPr>
              <w:jc w:val="right"/>
              <w:rPr>
                <w:rFonts w:ascii="Arial" w:hAnsi="Arial" w:cs="Arial"/>
              </w:rPr>
            </w:pPr>
            <w:r>
              <w:rPr>
                <w:rFonts w:ascii="Arial" w:hAnsi="Arial" w:cs="Arial"/>
              </w:rPr>
              <w:t>11</w:t>
            </w:r>
          </w:p>
        </w:tc>
        <w:tc>
          <w:tcPr>
            <w:tcW w:w="1276" w:type="dxa"/>
          </w:tcPr>
          <w:p w:rsidR="008259CB" w:rsidRPr="00271E01" w:rsidRDefault="00AA62A7" w:rsidP="0026648B">
            <w:pPr>
              <w:jc w:val="right"/>
              <w:rPr>
                <w:rFonts w:ascii="Arial" w:hAnsi="Arial" w:cs="Arial"/>
              </w:rPr>
            </w:pPr>
            <w:r>
              <w:rPr>
                <w:rFonts w:ascii="Arial" w:hAnsi="Arial" w:cs="Arial"/>
              </w:rPr>
              <w:t>+16.0%</w:t>
            </w:r>
          </w:p>
        </w:tc>
        <w:tc>
          <w:tcPr>
            <w:tcW w:w="1276" w:type="dxa"/>
          </w:tcPr>
          <w:p w:rsidR="008259CB" w:rsidRPr="00271E01" w:rsidRDefault="00AA62A7" w:rsidP="0026648B">
            <w:pPr>
              <w:jc w:val="right"/>
              <w:rPr>
                <w:rFonts w:ascii="Arial" w:hAnsi="Arial" w:cs="Arial"/>
              </w:rPr>
            </w:pPr>
            <w:r>
              <w:rPr>
                <w:rFonts w:ascii="Arial" w:hAnsi="Arial" w:cs="Arial"/>
              </w:rPr>
              <w:t>+24.4%</w:t>
            </w:r>
          </w:p>
        </w:tc>
        <w:tc>
          <w:tcPr>
            <w:tcW w:w="1276" w:type="dxa"/>
            <w:shd w:val="clear" w:color="auto" w:fill="auto"/>
          </w:tcPr>
          <w:p w:rsidR="008259CB" w:rsidRPr="00074443" w:rsidRDefault="008259CB" w:rsidP="0026648B">
            <w:pPr>
              <w:jc w:val="right"/>
              <w:rPr>
                <w:rFonts w:ascii="Arial" w:hAnsi="Arial" w:cs="Arial"/>
              </w:rPr>
            </w:pPr>
            <w:r w:rsidRPr="00074443">
              <w:rPr>
                <w:rFonts w:ascii="Arial" w:hAnsi="Arial" w:cs="Arial"/>
              </w:rPr>
              <w:t>n/a</w:t>
            </w:r>
            <w:r w:rsidRPr="00074443">
              <w:rPr>
                <w:rFonts w:ascii="Arial" w:hAnsi="Arial" w:cs="Arial"/>
                <w:i/>
                <w:vertAlign w:val="superscript"/>
              </w:rPr>
              <w:t>(2)</w:t>
            </w:r>
          </w:p>
        </w:tc>
        <w:tc>
          <w:tcPr>
            <w:tcW w:w="1274" w:type="dxa"/>
            <w:shd w:val="clear" w:color="auto" w:fill="auto"/>
          </w:tcPr>
          <w:p w:rsidR="008259CB" w:rsidRPr="00074443" w:rsidRDefault="008259CB" w:rsidP="0026648B">
            <w:pPr>
              <w:jc w:val="right"/>
              <w:rPr>
                <w:rFonts w:ascii="Arial" w:hAnsi="Arial" w:cs="Arial"/>
              </w:rPr>
            </w:pPr>
            <w:r w:rsidRPr="00074443">
              <w:rPr>
                <w:rFonts w:ascii="Arial" w:hAnsi="Arial" w:cs="Arial"/>
              </w:rPr>
              <w:t>n/a</w:t>
            </w:r>
            <w:r w:rsidRPr="00074443">
              <w:rPr>
                <w:rFonts w:ascii="Arial" w:hAnsi="Arial" w:cs="Arial"/>
                <w:i/>
                <w:vertAlign w:val="superscript"/>
              </w:rPr>
              <w:t>(2)</w:t>
            </w:r>
          </w:p>
        </w:tc>
      </w:tr>
      <w:tr w:rsidR="008259CB" w:rsidRPr="008653D3" w:rsidTr="00074443">
        <w:trPr>
          <w:trHeight w:hRule="exact" w:val="359"/>
        </w:trPr>
        <w:tc>
          <w:tcPr>
            <w:tcW w:w="2376" w:type="dxa"/>
            <w:tcBorders>
              <w:top w:val="single" w:sz="4" w:space="0" w:color="auto"/>
              <w:bottom w:val="single" w:sz="4" w:space="0" w:color="auto"/>
            </w:tcBorders>
          </w:tcPr>
          <w:p w:rsidR="008259CB" w:rsidRPr="00271E01" w:rsidRDefault="008259CB" w:rsidP="0026648B">
            <w:pPr>
              <w:spacing w:before="20"/>
              <w:jc w:val="left"/>
              <w:rPr>
                <w:rFonts w:ascii="Arial" w:hAnsi="Arial" w:cs="Arial"/>
                <w:b/>
              </w:rPr>
            </w:pPr>
            <w:r w:rsidRPr="00271E01">
              <w:rPr>
                <w:rFonts w:ascii="Arial" w:hAnsi="Arial" w:cs="Arial"/>
                <w:b/>
              </w:rPr>
              <w:t>Other International</w:t>
            </w:r>
          </w:p>
        </w:tc>
        <w:tc>
          <w:tcPr>
            <w:tcW w:w="1134" w:type="dxa"/>
            <w:tcBorders>
              <w:top w:val="single" w:sz="4" w:space="0" w:color="auto"/>
              <w:bottom w:val="single" w:sz="4" w:space="0" w:color="auto"/>
            </w:tcBorders>
          </w:tcPr>
          <w:p w:rsidR="008259CB" w:rsidRPr="00271E01" w:rsidRDefault="00AA62A7" w:rsidP="0026648B">
            <w:pPr>
              <w:spacing w:before="20"/>
              <w:jc w:val="right"/>
              <w:rPr>
                <w:rFonts w:ascii="Arial" w:hAnsi="Arial" w:cs="Arial"/>
                <w:b/>
              </w:rPr>
            </w:pPr>
            <w:r>
              <w:rPr>
                <w:rFonts w:ascii="Arial" w:hAnsi="Arial" w:cs="Arial"/>
                <w:b/>
              </w:rPr>
              <w:t>171</w:t>
            </w:r>
          </w:p>
        </w:tc>
        <w:tc>
          <w:tcPr>
            <w:tcW w:w="1276" w:type="dxa"/>
            <w:tcBorders>
              <w:top w:val="single" w:sz="4" w:space="0" w:color="auto"/>
              <w:bottom w:val="single" w:sz="4" w:space="0" w:color="auto"/>
            </w:tcBorders>
          </w:tcPr>
          <w:p w:rsidR="008259CB" w:rsidRPr="00271E01" w:rsidRDefault="00AA62A7" w:rsidP="0026648B">
            <w:pPr>
              <w:spacing w:before="20"/>
              <w:jc w:val="right"/>
              <w:rPr>
                <w:rFonts w:ascii="Arial" w:hAnsi="Arial" w:cs="Arial"/>
                <w:b/>
              </w:rPr>
            </w:pPr>
            <w:r>
              <w:rPr>
                <w:rFonts w:ascii="Arial" w:hAnsi="Arial" w:cs="Arial"/>
                <w:b/>
              </w:rPr>
              <w:t>+14.</w:t>
            </w:r>
            <w:r w:rsidR="00234FFB">
              <w:rPr>
                <w:rFonts w:ascii="Arial" w:hAnsi="Arial" w:cs="Arial"/>
                <w:b/>
              </w:rPr>
              <w:t>2</w:t>
            </w:r>
            <w:r>
              <w:rPr>
                <w:rFonts w:ascii="Arial" w:hAnsi="Arial" w:cs="Arial"/>
                <w:b/>
              </w:rPr>
              <w:t>%</w:t>
            </w:r>
          </w:p>
        </w:tc>
        <w:tc>
          <w:tcPr>
            <w:tcW w:w="1276" w:type="dxa"/>
            <w:tcBorders>
              <w:top w:val="single" w:sz="4" w:space="0" w:color="auto"/>
              <w:bottom w:val="single" w:sz="4" w:space="0" w:color="auto"/>
            </w:tcBorders>
          </w:tcPr>
          <w:p w:rsidR="008259CB" w:rsidRPr="00271E01" w:rsidRDefault="00AA62A7" w:rsidP="0026648B">
            <w:pPr>
              <w:spacing w:before="20"/>
              <w:jc w:val="right"/>
              <w:rPr>
                <w:rFonts w:ascii="Arial" w:hAnsi="Arial" w:cs="Arial"/>
                <w:b/>
              </w:rPr>
            </w:pPr>
            <w:r>
              <w:rPr>
                <w:rFonts w:ascii="Arial" w:hAnsi="Arial" w:cs="Arial"/>
                <w:b/>
              </w:rPr>
              <w:t>+11.</w:t>
            </w:r>
            <w:r w:rsidR="00234FFB">
              <w:rPr>
                <w:rFonts w:ascii="Arial" w:hAnsi="Arial" w:cs="Arial"/>
                <w:b/>
              </w:rPr>
              <w:t>4</w:t>
            </w:r>
            <w:r>
              <w:rPr>
                <w:rFonts w:ascii="Arial" w:hAnsi="Arial" w:cs="Arial"/>
                <w:b/>
              </w:rPr>
              <w:t>%</w:t>
            </w:r>
          </w:p>
        </w:tc>
        <w:tc>
          <w:tcPr>
            <w:tcW w:w="1276" w:type="dxa"/>
            <w:tcBorders>
              <w:top w:val="single" w:sz="4" w:space="0" w:color="auto"/>
              <w:bottom w:val="single" w:sz="4" w:space="0" w:color="auto"/>
            </w:tcBorders>
            <w:shd w:val="clear" w:color="auto" w:fill="auto"/>
          </w:tcPr>
          <w:p w:rsidR="008259CB" w:rsidRPr="004A0E96" w:rsidRDefault="00D63355" w:rsidP="0026648B">
            <w:pPr>
              <w:spacing w:before="20"/>
              <w:jc w:val="right"/>
              <w:rPr>
                <w:rFonts w:ascii="Arial" w:hAnsi="Arial" w:cs="Arial"/>
                <w:b/>
              </w:rPr>
            </w:pPr>
            <w:r w:rsidRPr="004A0E96">
              <w:rPr>
                <w:rFonts w:ascii="Arial" w:hAnsi="Arial" w:cs="Arial"/>
                <w:b/>
              </w:rPr>
              <w:t>7.3%</w:t>
            </w:r>
          </w:p>
        </w:tc>
        <w:tc>
          <w:tcPr>
            <w:tcW w:w="1274" w:type="dxa"/>
            <w:tcBorders>
              <w:top w:val="single" w:sz="4" w:space="0" w:color="auto"/>
              <w:bottom w:val="single" w:sz="4" w:space="0" w:color="auto"/>
            </w:tcBorders>
            <w:shd w:val="clear" w:color="auto" w:fill="auto"/>
          </w:tcPr>
          <w:p w:rsidR="008259CB" w:rsidRPr="004A0E96" w:rsidRDefault="00D63355" w:rsidP="0026648B">
            <w:pPr>
              <w:spacing w:before="20"/>
              <w:jc w:val="right"/>
              <w:rPr>
                <w:rFonts w:ascii="Arial" w:hAnsi="Arial" w:cs="Arial"/>
                <w:b/>
              </w:rPr>
            </w:pPr>
            <w:r w:rsidRPr="004A0E96">
              <w:rPr>
                <w:rFonts w:ascii="Arial" w:hAnsi="Arial" w:cs="Arial"/>
                <w:b/>
              </w:rPr>
              <w:t>7.3%</w:t>
            </w:r>
          </w:p>
        </w:tc>
      </w:tr>
      <w:tr w:rsidR="008259CB" w:rsidRPr="0026648B" w:rsidTr="00074443">
        <w:trPr>
          <w:trHeight w:hRule="exact" w:val="437"/>
        </w:trPr>
        <w:tc>
          <w:tcPr>
            <w:tcW w:w="2376" w:type="dxa"/>
            <w:tcBorders>
              <w:top w:val="single" w:sz="4" w:space="0" w:color="auto"/>
              <w:bottom w:val="single" w:sz="4" w:space="0" w:color="auto"/>
            </w:tcBorders>
          </w:tcPr>
          <w:p w:rsidR="008259CB" w:rsidRPr="0026648B" w:rsidRDefault="008259CB" w:rsidP="0026648B">
            <w:pPr>
              <w:spacing w:before="100"/>
              <w:rPr>
                <w:rFonts w:ascii="Arial" w:hAnsi="Arial" w:cs="Arial"/>
                <w:b/>
              </w:rPr>
            </w:pPr>
            <w:r w:rsidRPr="0026648B">
              <w:rPr>
                <w:rFonts w:ascii="Arial" w:hAnsi="Arial" w:cs="Arial"/>
                <w:b/>
              </w:rPr>
              <w:t>Total Group</w:t>
            </w:r>
            <w:r w:rsidRPr="0026648B">
              <w:rPr>
                <w:rFonts w:ascii="Arial" w:hAnsi="Arial" w:cs="Arial"/>
                <w:b/>
                <w:i/>
                <w:vertAlign w:val="superscript"/>
              </w:rPr>
              <w:t>(1)</w:t>
            </w:r>
          </w:p>
        </w:tc>
        <w:tc>
          <w:tcPr>
            <w:tcW w:w="1134" w:type="dxa"/>
            <w:tcBorders>
              <w:top w:val="single" w:sz="4" w:space="0" w:color="auto"/>
              <w:bottom w:val="single" w:sz="4" w:space="0" w:color="auto"/>
            </w:tcBorders>
          </w:tcPr>
          <w:p w:rsidR="008259CB" w:rsidRPr="0026648B" w:rsidRDefault="00AA62A7" w:rsidP="0026648B">
            <w:pPr>
              <w:spacing w:before="100"/>
              <w:jc w:val="right"/>
              <w:rPr>
                <w:rFonts w:ascii="Arial" w:hAnsi="Arial" w:cs="Arial"/>
                <w:b/>
              </w:rPr>
            </w:pPr>
            <w:r>
              <w:rPr>
                <w:rFonts w:ascii="Arial" w:hAnsi="Arial" w:cs="Arial"/>
                <w:b/>
              </w:rPr>
              <w:t>80</w:t>
            </w:r>
            <w:r w:rsidR="0004782C">
              <w:rPr>
                <w:rFonts w:ascii="Arial" w:hAnsi="Arial" w:cs="Arial"/>
                <w:b/>
              </w:rPr>
              <w:t>5</w:t>
            </w:r>
          </w:p>
        </w:tc>
        <w:tc>
          <w:tcPr>
            <w:tcW w:w="1276" w:type="dxa"/>
            <w:tcBorders>
              <w:top w:val="single" w:sz="4" w:space="0" w:color="auto"/>
              <w:bottom w:val="single" w:sz="4" w:space="0" w:color="auto"/>
            </w:tcBorders>
          </w:tcPr>
          <w:p w:rsidR="008259CB" w:rsidRPr="0026648B" w:rsidRDefault="00AA62A7" w:rsidP="0026648B">
            <w:pPr>
              <w:spacing w:before="100"/>
              <w:jc w:val="right"/>
              <w:rPr>
                <w:rFonts w:ascii="Arial" w:hAnsi="Arial" w:cs="Arial"/>
                <w:b/>
              </w:rPr>
            </w:pPr>
            <w:r>
              <w:rPr>
                <w:rFonts w:ascii="Arial" w:hAnsi="Arial" w:cs="Arial"/>
                <w:b/>
              </w:rPr>
              <w:t>+3.</w:t>
            </w:r>
            <w:r w:rsidR="0004782C">
              <w:rPr>
                <w:rFonts w:ascii="Arial" w:hAnsi="Arial" w:cs="Arial"/>
                <w:b/>
              </w:rPr>
              <w:t>5</w:t>
            </w:r>
            <w:r>
              <w:rPr>
                <w:rFonts w:ascii="Arial" w:hAnsi="Arial" w:cs="Arial"/>
                <w:b/>
              </w:rPr>
              <w:t>%</w:t>
            </w:r>
          </w:p>
        </w:tc>
        <w:tc>
          <w:tcPr>
            <w:tcW w:w="1276" w:type="dxa"/>
            <w:tcBorders>
              <w:top w:val="single" w:sz="4" w:space="0" w:color="auto"/>
              <w:bottom w:val="single" w:sz="4" w:space="0" w:color="auto"/>
            </w:tcBorders>
          </w:tcPr>
          <w:p w:rsidR="008259CB" w:rsidRPr="0026648B" w:rsidRDefault="00AA62A7" w:rsidP="0026648B">
            <w:pPr>
              <w:spacing w:before="100"/>
              <w:jc w:val="right"/>
              <w:rPr>
                <w:rFonts w:ascii="Arial" w:hAnsi="Arial" w:cs="Arial"/>
                <w:b/>
              </w:rPr>
            </w:pPr>
            <w:r>
              <w:rPr>
                <w:rFonts w:ascii="Arial" w:hAnsi="Arial" w:cs="Arial"/>
                <w:b/>
              </w:rPr>
              <w:t>+0.</w:t>
            </w:r>
            <w:r w:rsidR="0004782C">
              <w:rPr>
                <w:rFonts w:ascii="Arial" w:hAnsi="Arial" w:cs="Arial"/>
                <w:b/>
              </w:rPr>
              <w:t>7</w:t>
            </w:r>
            <w:r>
              <w:rPr>
                <w:rFonts w:ascii="Arial" w:hAnsi="Arial" w:cs="Arial"/>
                <w:b/>
              </w:rPr>
              <w:t>%</w:t>
            </w:r>
          </w:p>
        </w:tc>
        <w:tc>
          <w:tcPr>
            <w:tcW w:w="1276" w:type="dxa"/>
            <w:tcBorders>
              <w:top w:val="single" w:sz="4" w:space="0" w:color="auto"/>
              <w:bottom w:val="single" w:sz="4" w:space="0" w:color="auto"/>
            </w:tcBorders>
            <w:shd w:val="clear" w:color="auto" w:fill="auto"/>
          </w:tcPr>
          <w:p w:rsidR="008259CB" w:rsidRPr="004A0E96" w:rsidRDefault="00D63355" w:rsidP="0026648B">
            <w:pPr>
              <w:spacing w:before="100"/>
              <w:jc w:val="right"/>
              <w:rPr>
                <w:rFonts w:ascii="Arial" w:hAnsi="Arial" w:cs="Arial"/>
                <w:b/>
              </w:rPr>
            </w:pPr>
            <w:r w:rsidRPr="004A0E96">
              <w:rPr>
                <w:rFonts w:ascii="Arial" w:hAnsi="Arial" w:cs="Arial"/>
                <w:b/>
              </w:rPr>
              <w:t>7.2%</w:t>
            </w:r>
          </w:p>
        </w:tc>
        <w:tc>
          <w:tcPr>
            <w:tcW w:w="1274" w:type="dxa"/>
            <w:tcBorders>
              <w:top w:val="single" w:sz="4" w:space="0" w:color="auto"/>
              <w:bottom w:val="single" w:sz="4" w:space="0" w:color="auto"/>
            </w:tcBorders>
            <w:shd w:val="clear" w:color="auto" w:fill="auto"/>
          </w:tcPr>
          <w:p w:rsidR="008259CB" w:rsidRPr="004A0E96" w:rsidRDefault="00D63355" w:rsidP="0026648B">
            <w:pPr>
              <w:spacing w:before="100"/>
              <w:jc w:val="right"/>
              <w:rPr>
                <w:rFonts w:ascii="Arial" w:hAnsi="Arial" w:cs="Arial"/>
                <w:b/>
              </w:rPr>
            </w:pPr>
            <w:r w:rsidRPr="004A0E96">
              <w:rPr>
                <w:rFonts w:ascii="Arial" w:hAnsi="Arial" w:cs="Arial"/>
                <w:b/>
              </w:rPr>
              <w:t>7.4%</w:t>
            </w:r>
          </w:p>
        </w:tc>
      </w:tr>
    </w:tbl>
    <w:p w:rsidR="00616A26" w:rsidRDefault="00616A26" w:rsidP="00616A26">
      <w:pPr>
        <w:jc w:val="left"/>
        <w:rPr>
          <w:rFonts w:ascii="Arial" w:hAnsi="Arial" w:cs="Arial"/>
          <w:i/>
          <w:sz w:val="18"/>
          <w:szCs w:val="18"/>
        </w:rPr>
      </w:pPr>
    </w:p>
    <w:p w:rsidR="006E1122" w:rsidRPr="00FA5AC4" w:rsidRDefault="006E1122" w:rsidP="006E1122">
      <w:pPr>
        <w:tabs>
          <w:tab w:val="left" w:pos="357"/>
        </w:tabs>
        <w:ind w:right="-282"/>
        <w:jc w:val="left"/>
        <w:rPr>
          <w:rFonts w:ascii="Arial" w:hAnsi="Arial" w:cs="Arial"/>
          <w:i/>
          <w:iCs/>
          <w:sz w:val="18"/>
          <w:szCs w:val="18"/>
        </w:rPr>
      </w:pPr>
      <w:r>
        <w:rPr>
          <w:rFonts w:ascii="Arial" w:hAnsi="Arial" w:cs="Arial"/>
          <w:i/>
          <w:iCs/>
          <w:sz w:val="18"/>
          <w:szCs w:val="18"/>
          <w:vertAlign w:val="superscript"/>
        </w:rPr>
        <w:t>(1</w:t>
      </w:r>
      <w:r w:rsidRPr="00D97E00">
        <w:rPr>
          <w:rFonts w:ascii="Arial" w:hAnsi="Arial" w:cs="Arial"/>
          <w:i/>
          <w:iCs/>
          <w:sz w:val="18"/>
          <w:szCs w:val="18"/>
          <w:vertAlign w:val="superscript"/>
        </w:rPr>
        <w:t>)</w:t>
      </w:r>
      <w:r w:rsidRPr="009528BD">
        <w:rPr>
          <w:rFonts w:ascii="Arial" w:hAnsi="Arial" w:cs="Arial"/>
          <w:i/>
          <w:iCs/>
          <w:sz w:val="18"/>
          <w:szCs w:val="18"/>
        </w:rPr>
        <w:t>201</w:t>
      </w:r>
      <w:r w:rsidR="00AA62A7">
        <w:rPr>
          <w:rFonts w:ascii="Arial" w:hAnsi="Arial" w:cs="Arial"/>
          <w:i/>
          <w:iCs/>
          <w:sz w:val="18"/>
          <w:szCs w:val="18"/>
        </w:rPr>
        <w:t xml:space="preserve">2/13 </w:t>
      </w:r>
      <w:r w:rsidR="0071308E">
        <w:rPr>
          <w:rFonts w:ascii="Arial" w:hAnsi="Arial" w:cs="Arial"/>
          <w:i/>
          <w:iCs/>
          <w:sz w:val="18"/>
          <w:szCs w:val="18"/>
        </w:rPr>
        <w:t xml:space="preserve">retail profit </w:t>
      </w:r>
      <w:r w:rsidR="00AA62A7">
        <w:rPr>
          <w:rFonts w:ascii="Arial" w:hAnsi="Arial" w:cs="Arial"/>
          <w:i/>
          <w:iCs/>
          <w:sz w:val="18"/>
          <w:szCs w:val="18"/>
        </w:rPr>
        <w:t>comparatives restated by £3</w:t>
      </w:r>
      <w:r w:rsidRPr="009528BD">
        <w:rPr>
          <w:rFonts w:ascii="Arial" w:hAnsi="Arial" w:cs="Arial"/>
          <w:i/>
          <w:iCs/>
          <w:sz w:val="18"/>
          <w:szCs w:val="18"/>
        </w:rPr>
        <w:t xml:space="preserve">m to reflect reclassification of pension administrative expenses from finance costs to </w:t>
      </w:r>
      <w:r>
        <w:rPr>
          <w:rFonts w:ascii="Arial" w:hAnsi="Arial" w:cs="Arial"/>
          <w:i/>
          <w:iCs/>
          <w:sz w:val="18"/>
          <w:szCs w:val="18"/>
        </w:rPr>
        <w:t>retail</w:t>
      </w:r>
      <w:r w:rsidRPr="009528BD">
        <w:rPr>
          <w:rFonts w:ascii="Arial" w:hAnsi="Arial" w:cs="Arial"/>
          <w:i/>
          <w:iCs/>
          <w:sz w:val="18"/>
          <w:szCs w:val="18"/>
        </w:rPr>
        <w:t xml:space="preserve"> profit, as per the amended IAS 19.</w:t>
      </w:r>
    </w:p>
    <w:p w:rsidR="00AA4425" w:rsidRDefault="006E1122" w:rsidP="00AA4425">
      <w:pPr>
        <w:tabs>
          <w:tab w:val="left" w:pos="357"/>
        </w:tabs>
        <w:ind w:right="-282"/>
        <w:jc w:val="left"/>
        <w:rPr>
          <w:rFonts w:ascii="Arial" w:hAnsi="Arial" w:cs="Arial"/>
          <w:i/>
          <w:iCs/>
          <w:sz w:val="18"/>
          <w:szCs w:val="18"/>
        </w:rPr>
      </w:pPr>
      <w:r>
        <w:rPr>
          <w:rFonts w:ascii="Arial" w:hAnsi="Arial" w:cs="Arial"/>
          <w:i/>
          <w:iCs/>
          <w:sz w:val="18"/>
          <w:szCs w:val="18"/>
          <w:vertAlign w:val="superscript"/>
        </w:rPr>
        <w:t>(2</w:t>
      </w:r>
      <w:r w:rsidR="00AA4425" w:rsidRPr="0026648B">
        <w:rPr>
          <w:rFonts w:ascii="Arial" w:hAnsi="Arial" w:cs="Arial"/>
          <w:i/>
          <w:iCs/>
          <w:sz w:val="18"/>
          <w:szCs w:val="18"/>
          <w:vertAlign w:val="superscript"/>
        </w:rPr>
        <w:t>)</w:t>
      </w:r>
      <w:r w:rsidR="00D23E19" w:rsidRPr="0026648B">
        <w:rPr>
          <w:rFonts w:ascii="Arial" w:hAnsi="Arial" w:cs="Arial"/>
          <w:i/>
          <w:iCs/>
          <w:sz w:val="18"/>
          <w:szCs w:val="18"/>
        </w:rPr>
        <w:t>Joint Venture (Koçtaş JV) and Associate (Hornbach) sales are not consolidate</w:t>
      </w:r>
      <w:r w:rsidR="008A41F7" w:rsidRPr="0026648B">
        <w:rPr>
          <w:rFonts w:ascii="Arial" w:hAnsi="Arial" w:cs="Arial"/>
          <w:i/>
          <w:iCs/>
          <w:sz w:val="18"/>
          <w:szCs w:val="18"/>
        </w:rPr>
        <w:t>d</w:t>
      </w:r>
      <w:r w:rsidR="00D23E19" w:rsidRPr="0026648B">
        <w:rPr>
          <w:rFonts w:ascii="Arial" w:hAnsi="Arial" w:cs="Arial"/>
          <w:i/>
          <w:iCs/>
          <w:sz w:val="18"/>
          <w:szCs w:val="18"/>
        </w:rPr>
        <w:t xml:space="preserve"> therefore not applicable. </w:t>
      </w:r>
    </w:p>
    <w:p w:rsidR="00DA44CF" w:rsidRPr="00FA5AC4" w:rsidRDefault="00DA44CF" w:rsidP="00DA44CF">
      <w:pPr>
        <w:tabs>
          <w:tab w:val="left" w:pos="357"/>
        </w:tabs>
        <w:ind w:right="-282"/>
        <w:jc w:val="left"/>
        <w:rPr>
          <w:rFonts w:ascii="Arial" w:hAnsi="Arial" w:cs="Arial"/>
          <w:i/>
          <w:iCs/>
          <w:sz w:val="18"/>
          <w:szCs w:val="18"/>
        </w:rPr>
      </w:pPr>
      <w:r>
        <w:rPr>
          <w:rFonts w:ascii="Arial" w:hAnsi="Arial" w:cs="Arial"/>
          <w:i/>
          <w:iCs/>
          <w:sz w:val="18"/>
          <w:szCs w:val="18"/>
          <w:vertAlign w:val="superscript"/>
        </w:rPr>
        <w:t>(3</w:t>
      </w:r>
      <w:r w:rsidRPr="00D97E00">
        <w:rPr>
          <w:rFonts w:ascii="Arial" w:hAnsi="Arial" w:cs="Arial"/>
          <w:i/>
          <w:iCs/>
          <w:sz w:val="18"/>
          <w:szCs w:val="18"/>
          <w:vertAlign w:val="superscript"/>
        </w:rPr>
        <w:t>)</w:t>
      </w:r>
      <w:r>
        <w:rPr>
          <w:rFonts w:ascii="Arial" w:hAnsi="Arial" w:cs="Arial"/>
          <w:i/>
          <w:iCs/>
          <w:sz w:val="18"/>
          <w:szCs w:val="18"/>
        </w:rPr>
        <w:t xml:space="preserve">Represents seven months trading since acquisition </w:t>
      </w:r>
    </w:p>
    <w:p w:rsidR="00AA4425" w:rsidRPr="0026648B" w:rsidRDefault="00AA4425" w:rsidP="00616A2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18"/>
        <w:gridCol w:w="1417"/>
      </w:tblGrid>
      <w:tr w:rsidR="0026648B" w:rsidRPr="0026648B" w:rsidTr="00C82F88">
        <w:trPr>
          <w:trHeight w:val="317"/>
        </w:trPr>
        <w:tc>
          <w:tcPr>
            <w:tcW w:w="8613" w:type="dxa"/>
            <w:gridSpan w:val="3"/>
            <w:tcBorders>
              <w:bottom w:val="single" w:sz="4" w:space="0" w:color="auto"/>
            </w:tcBorders>
          </w:tcPr>
          <w:p w:rsidR="00616A26" w:rsidRPr="00052140" w:rsidRDefault="00277ECC" w:rsidP="00C659A8">
            <w:pPr>
              <w:spacing w:before="40"/>
              <w:jc w:val="left"/>
              <w:rPr>
                <w:rFonts w:ascii="Arial" w:hAnsi="Arial" w:cs="Arial"/>
                <w:b/>
                <w:sz w:val="24"/>
                <w:szCs w:val="24"/>
              </w:rPr>
            </w:pPr>
            <w:r w:rsidRPr="00052140">
              <w:rPr>
                <w:rFonts w:ascii="Arial" w:hAnsi="Arial" w:cs="Arial"/>
                <w:b/>
                <w:sz w:val="24"/>
                <w:szCs w:val="24"/>
              </w:rPr>
              <w:t>Year to date</w:t>
            </w:r>
            <w:r w:rsidR="00616A26" w:rsidRPr="00052140">
              <w:rPr>
                <w:rFonts w:ascii="Arial" w:hAnsi="Arial" w:cs="Arial"/>
                <w:b/>
                <w:sz w:val="24"/>
                <w:szCs w:val="24"/>
              </w:rPr>
              <w:t xml:space="preserve"> average FX rates </w:t>
            </w:r>
            <w:proofErr w:type="spellStart"/>
            <w:r w:rsidR="00616A26" w:rsidRPr="00052140">
              <w:rPr>
                <w:rFonts w:ascii="Arial" w:hAnsi="Arial" w:cs="Arial"/>
                <w:b/>
                <w:sz w:val="24"/>
                <w:szCs w:val="24"/>
              </w:rPr>
              <w:t>vs</w:t>
            </w:r>
            <w:proofErr w:type="spellEnd"/>
            <w:r w:rsidR="00616A26" w:rsidRPr="00052140">
              <w:rPr>
                <w:rFonts w:ascii="Arial" w:hAnsi="Arial" w:cs="Arial"/>
                <w:b/>
                <w:sz w:val="24"/>
                <w:szCs w:val="24"/>
              </w:rPr>
              <w:t xml:space="preserve"> </w:t>
            </w:r>
            <w:r w:rsidR="00E90F78" w:rsidRPr="00052140">
              <w:rPr>
                <w:rFonts w:ascii="Arial" w:hAnsi="Arial" w:cs="Arial"/>
                <w:b/>
                <w:sz w:val="24"/>
                <w:szCs w:val="24"/>
              </w:rPr>
              <w:t>£</w:t>
            </w:r>
            <w:r w:rsidR="00616A26" w:rsidRPr="00052140">
              <w:rPr>
                <w:rFonts w:ascii="Arial" w:hAnsi="Arial" w:cs="Arial"/>
                <w:b/>
                <w:sz w:val="24"/>
                <w:szCs w:val="24"/>
              </w:rPr>
              <w:t xml:space="preserve"> Sterling</w:t>
            </w:r>
          </w:p>
        </w:tc>
      </w:tr>
      <w:tr w:rsidR="0026648B" w:rsidRPr="0026648B" w:rsidTr="00C82F88">
        <w:trPr>
          <w:trHeight w:val="317"/>
        </w:trPr>
        <w:tc>
          <w:tcPr>
            <w:tcW w:w="5778" w:type="dxa"/>
            <w:tcBorders>
              <w:top w:val="single" w:sz="4" w:space="0" w:color="auto"/>
              <w:bottom w:val="single" w:sz="4" w:space="0" w:color="auto"/>
            </w:tcBorders>
          </w:tcPr>
          <w:p w:rsidR="00616A26" w:rsidRPr="0026648B" w:rsidRDefault="00616A26" w:rsidP="00C659A8">
            <w:pPr>
              <w:spacing w:before="60"/>
              <w:rPr>
                <w:rFonts w:ascii="Arial" w:hAnsi="Arial" w:cs="Arial"/>
                <w:b/>
                <w:sz w:val="22"/>
                <w:szCs w:val="22"/>
              </w:rPr>
            </w:pPr>
          </w:p>
        </w:tc>
        <w:tc>
          <w:tcPr>
            <w:tcW w:w="1418" w:type="dxa"/>
            <w:tcBorders>
              <w:top w:val="single" w:sz="4" w:space="0" w:color="auto"/>
              <w:bottom w:val="single" w:sz="4" w:space="0" w:color="auto"/>
            </w:tcBorders>
          </w:tcPr>
          <w:p w:rsidR="00616A26" w:rsidRPr="0026648B" w:rsidRDefault="00AF13D5" w:rsidP="00C659A8">
            <w:pPr>
              <w:spacing w:before="60"/>
              <w:jc w:val="right"/>
              <w:rPr>
                <w:rFonts w:ascii="Arial" w:hAnsi="Arial" w:cs="Arial"/>
                <w:b/>
                <w:sz w:val="22"/>
                <w:szCs w:val="22"/>
              </w:rPr>
            </w:pPr>
            <w:r>
              <w:rPr>
                <w:rFonts w:ascii="Arial" w:hAnsi="Arial" w:cs="Arial"/>
                <w:b/>
                <w:sz w:val="22"/>
                <w:szCs w:val="22"/>
              </w:rPr>
              <w:t>2013/14</w:t>
            </w:r>
          </w:p>
        </w:tc>
        <w:tc>
          <w:tcPr>
            <w:tcW w:w="1417" w:type="dxa"/>
            <w:tcBorders>
              <w:top w:val="single" w:sz="4" w:space="0" w:color="auto"/>
              <w:bottom w:val="single" w:sz="4" w:space="0" w:color="auto"/>
            </w:tcBorders>
          </w:tcPr>
          <w:p w:rsidR="00616A26" w:rsidRPr="0026648B" w:rsidRDefault="0026648B" w:rsidP="00C659A8">
            <w:pPr>
              <w:spacing w:before="60"/>
              <w:jc w:val="right"/>
              <w:rPr>
                <w:rFonts w:ascii="Arial" w:hAnsi="Arial" w:cs="Arial"/>
                <w:b/>
                <w:sz w:val="22"/>
                <w:szCs w:val="22"/>
              </w:rPr>
            </w:pPr>
            <w:r w:rsidRPr="0026648B">
              <w:rPr>
                <w:rFonts w:ascii="Arial" w:hAnsi="Arial" w:cs="Arial"/>
                <w:b/>
                <w:sz w:val="22"/>
                <w:szCs w:val="22"/>
              </w:rPr>
              <w:t>2012/13</w:t>
            </w:r>
          </w:p>
        </w:tc>
      </w:tr>
      <w:tr w:rsidR="0026648B" w:rsidRPr="0026648B" w:rsidTr="00C82F88">
        <w:tc>
          <w:tcPr>
            <w:tcW w:w="5778" w:type="dxa"/>
            <w:tcBorders>
              <w:top w:val="single" w:sz="4" w:space="0" w:color="auto"/>
            </w:tcBorders>
          </w:tcPr>
          <w:p w:rsidR="0026648B" w:rsidRPr="0026648B" w:rsidRDefault="0026648B" w:rsidP="00C659A8">
            <w:pPr>
              <w:spacing w:before="60"/>
              <w:rPr>
                <w:rFonts w:ascii="Arial" w:hAnsi="Arial" w:cs="Arial"/>
                <w:sz w:val="22"/>
                <w:szCs w:val="22"/>
              </w:rPr>
            </w:pPr>
            <w:r w:rsidRPr="0026648B">
              <w:rPr>
                <w:rFonts w:ascii="Arial" w:hAnsi="Arial" w:cs="Arial"/>
                <w:sz w:val="22"/>
                <w:szCs w:val="22"/>
              </w:rPr>
              <w:t>Euro</w:t>
            </w:r>
          </w:p>
        </w:tc>
        <w:tc>
          <w:tcPr>
            <w:tcW w:w="1418" w:type="dxa"/>
            <w:tcBorders>
              <w:top w:val="single" w:sz="4" w:space="0" w:color="auto"/>
            </w:tcBorders>
          </w:tcPr>
          <w:p w:rsidR="0026648B" w:rsidRPr="0026648B" w:rsidRDefault="00AA62A7" w:rsidP="00C659A8">
            <w:pPr>
              <w:spacing w:before="60"/>
              <w:jc w:val="right"/>
              <w:rPr>
                <w:rFonts w:ascii="Arial" w:hAnsi="Arial" w:cs="Arial"/>
                <w:sz w:val="22"/>
                <w:szCs w:val="22"/>
              </w:rPr>
            </w:pPr>
            <w:r>
              <w:rPr>
                <w:rFonts w:ascii="Arial" w:hAnsi="Arial" w:cs="Arial"/>
                <w:sz w:val="22"/>
                <w:szCs w:val="22"/>
              </w:rPr>
              <w:t>1.18</w:t>
            </w:r>
          </w:p>
        </w:tc>
        <w:tc>
          <w:tcPr>
            <w:tcW w:w="1417" w:type="dxa"/>
            <w:tcBorders>
              <w:top w:val="single" w:sz="4" w:space="0" w:color="auto"/>
            </w:tcBorders>
          </w:tcPr>
          <w:p w:rsidR="0026648B" w:rsidRPr="0026648B" w:rsidRDefault="0026648B" w:rsidP="0026648B">
            <w:pPr>
              <w:spacing w:before="60"/>
              <w:jc w:val="right"/>
              <w:rPr>
                <w:rFonts w:ascii="Arial" w:hAnsi="Arial" w:cs="Arial"/>
                <w:sz w:val="22"/>
                <w:szCs w:val="22"/>
              </w:rPr>
            </w:pPr>
            <w:r w:rsidRPr="0026648B">
              <w:rPr>
                <w:rFonts w:ascii="Arial" w:hAnsi="Arial" w:cs="Arial"/>
                <w:sz w:val="22"/>
                <w:szCs w:val="22"/>
              </w:rPr>
              <w:t>1.23</w:t>
            </w:r>
          </w:p>
        </w:tc>
      </w:tr>
      <w:tr w:rsidR="0026648B" w:rsidRPr="0026648B" w:rsidTr="00C82F88">
        <w:tc>
          <w:tcPr>
            <w:tcW w:w="5778" w:type="dxa"/>
          </w:tcPr>
          <w:p w:rsidR="0026648B" w:rsidRPr="0026648B" w:rsidRDefault="0026648B" w:rsidP="00C659A8">
            <w:pPr>
              <w:rPr>
                <w:rFonts w:ascii="Arial" w:hAnsi="Arial" w:cs="Arial"/>
                <w:sz w:val="22"/>
                <w:szCs w:val="22"/>
              </w:rPr>
            </w:pPr>
            <w:r w:rsidRPr="0026648B">
              <w:rPr>
                <w:rFonts w:ascii="Arial" w:hAnsi="Arial" w:cs="Arial"/>
                <w:sz w:val="22"/>
                <w:szCs w:val="22"/>
              </w:rPr>
              <w:t>Polish Zloty</w:t>
            </w:r>
          </w:p>
        </w:tc>
        <w:tc>
          <w:tcPr>
            <w:tcW w:w="1418" w:type="dxa"/>
          </w:tcPr>
          <w:p w:rsidR="0026648B" w:rsidRPr="0026648B" w:rsidRDefault="00AA62A7" w:rsidP="00C659A8">
            <w:pPr>
              <w:jc w:val="right"/>
              <w:rPr>
                <w:rFonts w:ascii="Arial" w:hAnsi="Arial" w:cs="Arial"/>
                <w:sz w:val="22"/>
                <w:szCs w:val="22"/>
              </w:rPr>
            </w:pPr>
            <w:r>
              <w:rPr>
                <w:rFonts w:ascii="Arial" w:hAnsi="Arial" w:cs="Arial"/>
                <w:sz w:val="22"/>
                <w:szCs w:val="22"/>
              </w:rPr>
              <w:t>4.95</w:t>
            </w:r>
          </w:p>
        </w:tc>
        <w:tc>
          <w:tcPr>
            <w:tcW w:w="1417" w:type="dxa"/>
          </w:tcPr>
          <w:p w:rsidR="0026648B" w:rsidRPr="0026648B" w:rsidRDefault="0026648B" w:rsidP="0026648B">
            <w:pPr>
              <w:jc w:val="right"/>
              <w:rPr>
                <w:rFonts w:ascii="Arial" w:hAnsi="Arial" w:cs="Arial"/>
                <w:sz w:val="22"/>
                <w:szCs w:val="22"/>
              </w:rPr>
            </w:pPr>
            <w:r w:rsidRPr="0026648B">
              <w:rPr>
                <w:rFonts w:ascii="Arial" w:hAnsi="Arial" w:cs="Arial"/>
                <w:sz w:val="22"/>
                <w:szCs w:val="22"/>
              </w:rPr>
              <w:t>5.13</w:t>
            </w:r>
          </w:p>
        </w:tc>
      </w:tr>
      <w:tr w:rsidR="0026648B" w:rsidRPr="0026648B" w:rsidTr="00C82F88">
        <w:tc>
          <w:tcPr>
            <w:tcW w:w="5778" w:type="dxa"/>
          </w:tcPr>
          <w:p w:rsidR="0026648B" w:rsidRPr="0026648B" w:rsidRDefault="0026648B" w:rsidP="00C659A8">
            <w:pPr>
              <w:rPr>
                <w:rFonts w:ascii="Arial" w:hAnsi="Arial" w:cs="Arial"/>
                <w:sz w:val="22"/>
                <w:szCs w:val="22"/>
              </w:rPr>
            </w:pPr>
            <w:r w:rsidRPr="0026648B">
              <w:rPr>
                <w:rFonts w:ascii="Arial" w:hAnsi="Arial" w:cs="Arial"/>
                <w:sz w:val="22"/>
                <w:szCs w:val="22"/>
              </w:rPr>
              <w:t xml:space="preserve">Chinese </w:t>
            </w:r>
            <w:proofErr w:type="spellStart"/>
            <w:r w:rsidRPr="0026648B">
              <w:rPr>
                <w:rFonts w:ascii="Arial" w:hAnsi="Arial" w:cs="Arial"/>
                <w:sz w:val="22"/>
                <w:szCs w:val="22"/>
              </w:rPr>
              <w:t>Renminbi</w:t>
            </w:r>
            <w:proofErr w:type="spellEnd"/>
            <w:r w:rsidRPr="0026648B">
              <w:rPr>
                <w:rFonts w:ascii="Arial" w:hAnsi="Arial" w:cs="Arial"/>
                <w:sz w:val="22"/>
                <w:szCs w:val="22"/>
              </w:rPr>
              <w:t xml:space="preserve"> </w:t>
            </w:r>
          </w:p>
        </w:tc>
        <w:tc>
          <w:tcPr>
            <w:tcW w:w="1418" w:type="dxa"/>
          </w:tcPr>
          <w:p w:rsidR="0026648B" w:rsidRPr="0026648B" w:rsidRDefault="00AA62A7" w:rsidP="00C659A8">
            <w:pPr>
              <w:jc w:val="right"/>
              <w:rPr>
                <w:rFonts w:ascii="Arial" w:hAnsi="Arial" w:cs="Arial"/>
                <w:sz w:val="22"/>
                <w:szCs w:val="22"/>
              </w:rPr>
            </w:pPr>
            <w:r>
              <w:rPr>
                <w:rFonts w:ascii="Arial" w:hAnsi="Arial" w:cs="Arial"/>
                <w:sz w:val="22"/>
                <w:szCs w:val="22"/>
              </w:rPr>
              <w:t>9.62</w:t>
            </w:r>
          </w:p>
        </w:tc>
        <w:tc>
          <w:tcPr>
            <w:tcW w:w="1417" w:type="dxa"/>
          </w:tcPr>
          <w:p w:rsidR="0026648B" w:rsidRPr="0026648B" w:rsidRDefault="0026648B" w:rsidP="0026648B">
            <w:pPr>
              <w:jc w:val="right"/>
              <w:rPr>
                <w:rFonts w:ascii="Arial" w:hAnsi="Arial" w:cs="Arial"/>
                <w:sz w:val="22"/>
                <w:szCs w:val="22"/>
              </w:rPr>
            </w:pPr>
            <w:r w:rsidRPr="0026648B">
              <w:rPr>
                <w:rFonts w:ascii="Arial" w:hAnsi="Arial" w:cs="Arial"/>
                <w:sz w:val="22"/>
                <w:szCs w:val="22"/>
              </w:rPr>
              <w:t>10.01</w:t>
            </w:r>
          </w:p>
        </w:tc>
      </w:tr>
      <w:tr w:rsidR="00AA62A7" w:rsidRPr="0026648B" w:rsidTr="00C82F88">
        <w:tc>
          <w:tcPr>
            <w:tcW w:w="5778" w:type="dxa"/>
          </w:tcPr>
          <w:p w:rsidR="00AA62A7" w:rsidRPr="00AA62A7" w:rsidRDefault="00AA62A7" w:rsidP="00C659A8">
            <w:pPr>
              <w:rPr>
                <w:rFonts w:ascii="Arial" w:hAnsi="Arial" w:cs="Arial"/>
                <w:sz w:val="22"/>
                <w:szCs w:val="22"/>
              </w:rPr>
            </w:pPr>
            <w:r>
              <w:rPr>
                <w:rFonts w:ascii="Arial" w:hAnsi="Arial" w:cs="Arial"/>
                <w:sz w:val="22"/>
                <w:szCs w:val="22"/>
              </w:rPr>
              <w:t xml:space="preserve">Romanian </w:t>
            </w:r>
            <w:proofErr w:type="spellStart"/>
            <w:r>
              <w:rPr>
                <w:rFonts w:ascii="Arial" w:hAnsi="Arial" w:cs="Arial"/>
                <w:sz w:val="22"/>
                <w:szCs w:val="22"/>
              </w:rPr>
              <w:t>Leu</w:t>
            </w:r>
            <w:proofErr w:type="spellEnd"/>
          </w:p>
        </w:tc>
        <w:tc>
          <w:tcPr>
            <w:tcW w:w="1418" w:type="dxa"/>
          </w:tcPr>
          <w:p w:rsidR="00AA62A7" w:rsidRPr="00AA62A7" w:rsidRDefault="00AA62A7" w:rsidP="00C659A8">
            <w:pPr>
              <w:jc w:val="right"/>
              <w:rPr>
                <w:rFonts w:ascii="Arial" w:hAnsi="Arial" w:cs="Arial"/>
                <w:sz w:val="22"/>
                <w:szCs w:val="22"/>
              </w:rPr>
            </w:pPr>
            <w:r>
              <w:rPr>
                <w:rFonts w:ascii="Arial" w:hAnsi="Arial" w:cs="Arial"/>
                <w:sz w:val="22"/>
                <w:szCs w:val="22"/>
              </w:rPr>
              <w:t>5.27</w:t>
            </w:r>
          </w:p>
        </w:tc>
        <w:tc>
          <w:tcPr>
            <w:tcW w:w="1417" w:type="dxa"/>
          </w:tcPr>
          <w:p w:rsidR="00AA62A7" w:rsidRPr="00AA62A7" w:rsidRDefault="00AA62A7" w:rsidP="0026648B">
            <w:pPr>
              <w:jc w:val="right"/>
              <w:rPr>
                <w:rFonts w:ascii="Arial" w:hAnsi="Arial" w:cs="Arial"/>
                <w:sz w:val="22"/>
                <w:szCs w:val="22"/>
              </w:rPr>
            </w:pPr>
            <w:r w:rsidRPr="00AA62A7">
              <w:rPr>
                <w:rFonts w:ascii="Arial" w:hAnsi="Arial" w:cs="Arial"/>
                <w:sz w:val="22"/>
                <w:szCs w:val="22"/>
              </w:rPr>
              <w:t>n/a</w:t>
            </w:r>
          </w:p>
        </w:tc>
      </w:tr>
      <w:tr w:rsidR="0026648B" w:rsidRPr="0026648B" w:rsidTr="00EC1FEB">
        <w:trPr>
          <w:trHeight w:val="80"/>
        </w:trPr>
        <w:tc>
          <w:tcPr>
            <w:tcW w:w="5778" w:type="dxa"/>
          </w:tcPr>
          <w:p w:rsidR="0026648B" w:rsidRPr="0026648B" w:rsidRDefault="0026648B" w:rsidP="00C659A8">
            <w:pPr>
              <w:spacing w:after="20"/>
              <w:rPr>
                <w:rFonts w:ascii="Arial" w:hAnsi="Arial" w:cs="Arial"/>
                <w:sz w:val="22"/>
                <w:szCs w:val="22"/>
              </w:rPr>
            </w:pPr>
            <w:r w:rsidRPr="0026648B">
              <w:rPr>
                <w:rFonts w:ascii="Arial" w:hAnsi="Arial" w:cs="Arial"/>
                <w:sz w:val="22"/>
                <w:szCs w:val="22"/>
              </w:rPr>
              <w:t xml:space="preserve">Russian Rouble </w:t>
            </w:r>
          </w:p>
        </w:tc>
        <w:tc>
          <w:tcPr>
            <w:tcW w:w="1418" w:type="dxa"/>
          </w:tcPr>
          <w:p w:rsidR="0026648B" w:rsidRPr="0026648B" w:rsidRDefault="00AA62A7" w:rsidP="00C659A8">
            <w:pPr>
              <w:spacing w:after="20"/>
              <w:jc w:val="right"/>
              <w:rPr>
                <w:rFonts w:ascii="Arial" w:hAnsi="Arial" w:cs="Arial"/>
                <w:sz w:val="22"/>
                <w:szCs w:val="22"/>
              </w:rPr>
            </w:pPr>
            <w:r>
              <w:rPr>
                <w:rFonts w:ascii="Arial" w:hAnsi="Arial" w:cs="Arial"/>
                <w:sz w:val="22"/>
                <w:szCs w:val="22"/>
              </w:rPr>
              <w:t>50.49</w:t>
            </w:r>
          </w:p>
        </w:tc>
        <w:tc>
          <w:tcPr>
            <w:tcW w:w="1417" w:type="dxa"/>
          </w:tcPr>
          <w:p w:rsidR="0026648B" w:rsidRPr="0026648B" w:rsidRDefault="0026648B" w:rsidP="0026648B">
            <w:pPr>
              <w:spacing w:after="20"/>
              <w:jc w:val="right"/>
              <w:rPr>
                <w:rFonts w:ascii="Arial" w:hAnsi="Arial" w:cs="Arial"/>
                <w:sz w:val="22"/>
                <w:szCs w:val="22"/>
              </w:rPr>
            </w:pPr>
            <w:r w:rsidRPr="0026648B">
              <w:rPr>
                <w:rFonts w:ascii="Arial" w:hAnsi="Arial" w:cs="Arial"/>
                <w:sz w:val="22"/>
                <w:szCs w:val="22"/>
              </w:rPr>
              <w:t>49.17</w:t>
            </w:r>
          </w:p>
        </w:tc>
      </w:tr>
      <w:tr w:rsidR="0026648B" w:rsidRPr="0026648B" w:rsidTr="00C82F88">
        <w:trPr>
          <w:trHeight w:val="80"/>
        </w:trPr>
        <w:tc>
          <w:tcPr>
            <w:tcW w:w="5778" w:type="dxa"/>
            <w:tcBorders>
              <w:bottom w:val="single" w:sz="4" w:space="0" w:color="auto"/>
            </w:tcBorders>
          </w:tcPr>
          <w:p w:rsidR="0026648B" w:rsidRPr="0026648B" w:rsidRDefault="0026648B" w:rsidP="00EC1FEB">
            <w:pPr>
              <w:rPr>
                <w:rFonts w:ascii="Arial" w:hAnsi="Arial" w:cs="Arial"/>
                <w:sz w:val="22"/>
                <w:szCs w:val="22"/>
              </w:rPr>
            </w:pPr>
            <w:r w:rsidRPr="0026648B">
              <w:rPr>
                <w:rFonts w:ascii="Arial" w:hAnsi="Arial" w:cs="Arial"/>
                <w:sz w:val="22"/>
                <w:szCs w:val="22"/>
              </w:rPr>
              <w:t>Turkish Lira</w:t>
            </w:r>
          </w:p>
        </w:tc>
        <w:tc>
          <w:tcPr>
            <w:tcW w:w="1418" w:type="dxa"/>
            <w:tcBorders>
              <w:bottom w:val="single" w:sz="4" w:space="0" w:color="auto"/>
            </w:tcBorders>
          </w:tcPr>
          <w:p w:rsidR="0026648B" w:rsidRPr="0026648B" w:rsidRDefault="00AA62A7" w:rsidP="00EC1FEB">
            <w:pPr>
              <w:jc w:val="right"/>
              <w:rPr>
                <w:rFonts w:ascii="Arial" w:hAnsi="Arial" w:cs="Arial"/>
                <w:sz w:val="22"/>
                <w:szCs w:val="22"/>
              </w:rPr>
            </w:pPr>
            <w:r>
              <w:rPr>
                <w:rFonts w:ascii="Arial" w:hAnsi="Arial" w:cs="Arial"/>
                <w:sz w:val="22"/>
                <w:szCs w:val="22"/>
              </w:rPr>
              <w:t>3.05</w:t>
            </w:r>
          </w:p>
        </w:tc>
        <w:tc>
          <w:tcPr>
            <w:tcW w:w="1417" w:type="dxa"/>
            <w:tcBorders>
              <w:bottom w:val="single" w:sz="4" w:space="0" w:color="auto"/>
            </w:tcBorders>
          </w:tcPr>
          <w:p w:rsidR="0026648B" w:rsidRPr="0026648B" w:rsidRDefault="0026648B" w:rsidP="0026648B">
            <w:pPr>
              <w:jc w:val="right"/>
              <w:rPr>
                <w:rFonts w:ascii="Arial" w:hAnsi="Arial" w:cs="Arial"/>
                <w:sz w:val="22"/>
                <w:szCs w:val="22"/>
              </w:rPr>
            </w:pPr>
            <w:r w:rsidRPr="0026648B">
              <w:rPr>
                <w:rFonts w:ascii="Arial" w:hAnsi="Arial" w:cs="Arial"/>
                <w:sz w:val="22"/>
                <w:szCs w:val="22"/>
              </w:rPr>
              <w:t>2.85</w:t>
            </w:r>
          </w:p>
        </w:tc>
      </w:tr>
    </w:tbl>
    <w:p w:rsidR="00CB7720" w:rsidRDefault="00CB7720" w:rsidP="00CF0A43">
      <w:pPr>
        <w:jc w:val="left"/>
        <w:rPr>
          <w:rFonts w:ascii="Arial" w:hAnsi="Arial" w:cs="Arial"/>
          <w:b/>
          <w:bCs/>
        </w:rPr>
      </w:pPr>
    </w:p>
    <w:p w:rsidR="00375E3F" w:rsidRDefault="00375E3F" w:rsidP="00CF0A43">
      <w:pPr>
        <w:jc w:val="left"/>
        <w:rPr>
          <w:rFonts w:ascii="Arial" w:hAnsi="Arial" w:cs="Arial"/>
          <w:b/>
          <w:bCs/>
        </w:rPr>
      </w:pPr>
    </w:p>
    <w:p w:rsidR="00375E3F" w:rsidRPr="00052140" w:rsidRDefault="00375E3F" w:rsidP="00375E3F">
      <w:pPr>
        <w:jc w:val="left"/>
        <w:rPr>
          <w:rFonts w:ascii="Arial" w:hAnsi="Arial" w:cs="Arial"/>
          <w:sz w:val="24"/>
          <w:szCs w:val="24"/>
        </w:rPr>
      </w:pPr>
      <w:r>
        <w:rPr>
          <w:rFonts w:ascii="Arial" w:hAnsi="Arial" w:cs="Arial"/>
          <w:b/>
          <w:sz w:val="24"/>
          <w:szCs w:val="24"/>
        </w:rPr>
        <w:t>FOURTH</w:t>
      </w:r>
      <w:r w:rsidRPr="00791B66">
        <w:rPr>
          <w:rFonts w:ascii="Arial" w:hAnsi="Arial" w:cs="Arial"/>
          <w:b/>
          <w:sz w:val="24"/>
          <w:szCs w:val="24"/>
        </w:rPr>
        <w:t xml:space="preserve"> QUARTER BY </w:t>
      </w:r>
      <w:r>
        <w:rPr>
          <w:rFonts w:ascii="Arial" w:hAnsi="Arial" w:cs="Arial"/>
          <w:b/>
          <w:sz w:val="24"/>
          <w:szCs w:val="24"/>
        </w:rPr>
        <w:t xml:space="preserve">MAJOR </w:t>
      </w:r>
      <w:r w:rsidRPr="00791B66">
        <w:rPr>
          <w:rFonts w:ascii="Arial" w:hAnsi="Arial" w:cs="Arial"/>
          <w:b/>
          <w:sz w:val="24"/>
          <w:szCs w:val="24"/>
        </w:rPr>
        <w:t xml:space="preserve">GEOGRAPHY </w:t>
      </w:r>
      <w:r>
        <w:rPr>
          <w:rFonts w:ascii="Arial" w:hAnsi="Arial" w:cs="Arial"/>
          <w:sz w:val="24"/>
          <w:szCs w:val="24"/>
        </w:rPr>
        <w:t>– 13 weeks ended 1 February 2014</w:t>
      </w:r>
    </w:p>
    <w:tbl>
      <w:tblPr>
        <w:tblW w:w="0" w:type="auto"/>
        <w:tblLayout w:type="fixed"/>
        <w:tblLook w:val="01E0" w:firstRow="1" w:lastRow="1" w:firstColumn="1" w:lastColumn="1" w:noHBand="0" w:noVBand="0"/>
      </w:tblPr>
      <w:tblGrid>
        <w:gridCol w:w="1424"/>
        <w:gridCol w:w="939"/>
        <w:gridCol w:w="1228"/>
        <w:gridCol w:w="1337"/>
        <w:gridCol w:w="1337"/>
        <w:gridCol w:w="983"/>
        <w:gridCol w:w="1272"/>
        <w:gridCol w:w="1337"/>
      </w:tblGrid>
      <w:tr w:rsidR="00375E3F" w:rsidRPr="001E29CA" w:rsidTr="00C767BD">
        <w:trPr>
          <w:trHeight w:val="567"/>
        </w:trPr>
        <w:tc>
          <w:tcPr>
            <w:tcW w:w="1424" w:type="dxa"/>
            <w:tcBorders>
              <w:bottom w:val="single" w:sz="4" w:space="0" w:color="auto"/>
            </w:tcBorders>
          </w:tcPr>
          <w:p w:rsidR="00375E3F" w:rsidRPr="008766BD" w:rsidRDefault="00375E3F" w:rsidP="00C767BD">
            <w:pPr>
              <w:jc w:val="left"/>
              <w:rPr>
                <w:rFonts w:ascii="Arial" w:hAnsi="Arial" w:cs="Arial"/>
                <w:b/>
                <w:sz w:val="20"/>
                <w:u w:val="single"/>
              </w:rPr>
            </w:pPr>
          </w:p>
        </w:tc>
        <w:tc>
          <w:tcPr>
            <w:tcW w:w="939"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0045F9">
            <w:pPr>
              <w:jc w:val="right"/>
              <w:rPr>
                <w:rFonts w:ascii="Arial" w:hAnsi="Arial" w:cs="Arial"/>
                <w:b/>
                <w:sz w:val="20"/>
              </w:rPr>
            </w:pPr>
            <w:r>
              <w:rPr>
                <w:rFonts w:ascii="Arial" w:hAnsi="Arial" w:cs="Arial"/>
                <w:b/>
                <w:sz w:val="20"/>
              </w:rPr>
              <w:t xml:space="preserve">Sales </w:t>
            </w:r>
          </w:p>
        </w:tc>
        <w:tc>
          <w:tcPr>
            <w:tcW w:w="1228"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C767BD">
            <w:pPr>
              <w:jc w:val="right"/>
              <w:rPr>
                <w:rFonts w:ascii="Arial" w:hAnsi="Arial" w:cs="Arial"/>
                <w:b/>
                <w:sz w:val="20"/>
              </w:rPr>
            </w:pPr>
            <w:r w:rsidRPr="001E29CA">
              <w:rPr>
                <w:rFonts w:ascii="Arial" w:hAnsi="Arial" w:cs="Arial"/>
                <w:b/>
                <w:sz w:val="20"/>
              </w:rPr>
              <w:t>% Total</w:t>
            </w:r>
            <w:r w:rsidR="008822E1">
              <w:rPr>
                <w:rFonts w:ascii="Arial" w:hAnsi="Arial" w:cs="Arial"/>
                <w:b/>
                <w:sz w:val="20"/>
              </w:rPr>
              <w:t xml:space="preserve"> Change</w:t>
            </w:r>
          </w:p>
        </w:tc>
        <w:tc>
          <w:tcPr>
            <w:tcW w:w="1337"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C767BD">
            <w:pPr>
              <w:jc w:val="right"/>
              <w:rPr>
                <w:rFonts w:ascii="Arial" w:hAnsi="Arial" w:cs="Arial"/>
                <w:b/>
                <w:sz w:val="20"/>
              </w:rPr>
            </w:pPr>
            <w:r w:rsidRPr="001E29CA">
              <w:rPr>
                <w:rFonts w:ascii="Arial" w:hAnsi="Arial" w:cs="Arial"/>
                <w:b/>
                <w:sz w:val="20"/>
              </w:rPr>
              <w:t>% Total</w:t>
            </w:r>
            <w:r w:rsidR="008822E1">
              <w:rPr>
                <w:rFonts w:ascii="Arial" w:hAnsi="Arial" w:cs="Arial"/>
                <w:b/>
                <w:sz w:val="20"/>
              </w:rPr>
              <w:t xml:space="preserve"> Change</w:t>
            </w:r>
          </w:p>
        </w:tc>
        <w:tc>
          <w:tcPr>
            <w:tcW w:w="1337"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C767BD">
            <w:pPr>
              <w:jc w:val="right"/>
              <w:rPr>
                <w:rFonts w:ascii="Arial" w:hAnsi="Arial" w:cs="Arial"/>
                <w:b/>
                <w:sz w:val="20"/>
              </w:rPr>
            </w:pPr>
            <w:r w:rsidRPr="001E29CA">
              <w:rPr>
                <w:rFonts w:ascii="Arial" w:hAnsi="Arial" w:cs="Arial"/>
                <w:b/>
                <w:sz w:val="20"/>
              </w:rPr>
              <w:t>% LFL</w:t>
            </w:r>
            <w:r w:rsidR="008822E1">
              <w:rPr>
                <w:rFonts w:ascii="Arial" w:hAnsi="Arial" w:cs="Arial"/>
                <w:b/>
                <w:sz w:val="20"/>
              </w:rPr>
              <w:t xml:space="preserve"> Change</w:t>
            </w:r>
          </w:p>
        </w:tc>
        <w:tc>
          <w:tcPr>
            <w:tcW w:w="983" w:type="dxa"/>
            <w:tcBorders>
              <w:bottom w:val="single" w:sz="4" w:space="0" w:color="auto"/>
            </w:tcBorders>
          </w:tcPr>
          <w:p w:rsidR="008822E1" w:rsidRDefault="008822E1" w:rsidP="00C767BD">
            <w:pPr>
              <w:tabs>
                <w:tab w:val="left" w:pos="300"/>
              </w:tabs>
              <w:ind w:right="-170"/>
              <w:jc w:val="center"/>
              <w:rPr>
                <w:rFonts w:ascii="Arial" w:hAnsi="Arial" w:cs="Arial"/>
                <w:b/>
                <w:sz w:val="20"/>
              </w:rPr>
            </w:pPr>
          </w:p>
          <w:p w:rsidR="00375E3F" w:rsidRDefault="00375E3F" w:rsidP="00C767BD">
            <w:pPr>
              <w:tabs>
                <w:tab w:val="left" w:pos="300"/>
              </w:tabs>
              <w:ind w:right="-170"/>
              <w:jc w:val="center"/>
              <w:rPr>
                <w:rFonts w:ascii="Arial" w:hAnsi="Arial" w:cs="Arial"/>
                <w:b/>
                <w:sz w:val="20"/>
              </w:rPr>
            </w:pPr>
            <w:r>
              <w:rPr>
                <w:rFonts w:ascii="Arial" w:hAnsi="Arial" w:cs="Arial"/>
                <w:b/>
                <w:sz w:val="20"/>
              </w:rPr>
              <w:t xml:space="preserve">Retail Profit </w:t>
            </w:r>
          </w:p>
        </w:tc>
        <w:tc>
          <w:tcPr>
            <w:tcW w:w="1272"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C767BD">
            <w:pPr>
              <w:tabs>
                <w:tab w:val="left" w:pos="300"/>
              </w:tabs>
              <w:ind w:hanging="108"/>
              <w:jc w:val="right"/>
              <w:rPr>
                <w:rFonts w:ascii="Arial" w:hAnsi="Arial" w:cs="Arial"/>
                <w:b/>
                <w:sz w:val="20"/>
              </w:rPr>
            </w:pPr>
            <w:r>
              <w:rPr>
                <w:rFonts w:ascii="Arial" w:hAnsi="Arial" w:cs="Arial"/>
                <w:b/>
                <w:sz w:val="20"/>
              </w:rPr>
              <w:t>% Total</w:t>
            </w:r>
            <w:r w:rsidR="008822E1">
              <w:rPr>
                <w:rFonts w:ascii="Arial" w:hAnsi="Arial" w:cs="Arial"/>
                <w:b/>
                <w:sz w:val="20"/>
              </w:rPr>
              <w:t xml:space="preserve"> Change</w:t>
            </w:r>
          </w:p>
        </w:tc>
        <w:tc>
          <w:tcPr>
            <w:tcW w:w="1337" w:type="dxa"/>
            <w:tcBorders>
              <w:bottom w:val="single" w:sz="4" w:space="0" w:color="auto"/>
            </w:tcBorders>
          </w:tcPr>
          <w:p w:rsidR="00375E3F" w:rsidRDefault="00375E3F" w:rsidP="00C767BD">
            <w:pPr>
              <w:jc w:val="right"/>
              <w:rPr>
                <w:rFonts w:ascii="Arial" w:hAnsi="Arial" w:cs="Arial"/>
                <w:b/>
                <w:sz w:val="20"/>
              </w:rPr>
            </w:pPr>
          </w:p>
          <w:p w:rsidR="00375E3F" w:rsidRPr="001E29CA" w:rsidRDefault="00375E3F" w:rsidP="00C767BD">
            <w:pPr>
              <w:jc w:val="right"/>
              <w:rPr>
                <w:rFonts w:ascii="Arial" w:hAnsi="Arial" w:cs="Arial"/>
                <w:b/>
                <w:sz w:val="20"/>
              </w:rPr>
            </w:pPr>
            <w:r w:rsidRPr="001E29CA">
              <w:rPr>
                <w:rFonts w:ascii="Arial" w:hAnsi="Arial" w:cs="Arial"/>
                <w:b/>
                <w:sz w:val="20"/>
              </w:rPr>
              <w:t>% Total</w:t>
            </w:r>
            <w:r w:rsidR="008822E1">
              <w:rPr>
                <w:rFonts w:ascii="Arial" w:hAnsi="Arial" w:cs="Arial"/>
                <w:b/>
                <w:sz w:val="20"/>
              </w:rPr>
              <w:t xml:space="preserve"> Change</w:t>
            </w:r>
          </w:p>
        </w:tc>
      </w:tr>
      <w:tr w:rsidR="00375E3F" w:rsidRPr="001E29CA" w:rsidTr="00C767BD">
        <w:trPr>
          <w:trHeight w:val="567"/>
        </w:trPr>
        <w:tc>
          <w:tcPr>
            <w:tcW w:w="1424" w:type="dxa"/>
            <w:tcBorders>
              <w:top w:val="single" w:sz="4" w:space="0" w:color="auto"/>
              <w:bottom w:val="single" w:sz="4" w:space="0" w:color="auto"/>
            </w:tcBorders>
          </w:tcPr>
          <w:p w:rsidR="00375E3F" w:rsidRPr="001E29CA" w:rsidRDefault="00375E3F" w:rsidP="00C767BD">
            <w:pPr>
              <w:rPr>
                <w:rFonts w:ascii="Arial" w:hAnsi="Arial" w:cs="Arial"/>
                <w:sz w:val="20"/>
              </w:rPr>
            </w:pPr>
          </w:p>
        </w:tc>
        <w:tc>
          <w:tcPr>
            <w:tcW w:w="939" w:type="dxa"/>
            <w:tcBorders>
              <w:top w:val="single" w:sz="4" w:space="0" w:color="auto"/>
              <w:bottom w:val="single" w:sz="4" w:space="0" w:color="auto"/>
            </w:tcBorders>
          </w:tcPr>
          <w:p w:rsidR="00375E3F" w:rsidRDefault="00375E3F" w:rsidP="00C767BD">
            <w:pPr>
              <w:jc w:val="right"/>
              <w:rPr>
                <w:rFonts w:ascii="Arial" w:hAnsi="Arial" w:cs="Arial"/>
                <w:b/>
                <w:sz w:val="20"/>
              </w:rPr>
            </w:pPr>
            <w:r w:rsidRPr="001E29CA">
              <w:rPr>
                <w:rFonts w:ascii="Arial" w:hAnsi="Arial" w:cs="Arial"/>
                <w:b/>
                <w:sz w:val="20"/>
              </w:rPr>
              <w:t>20</w:t>
            </w:r>
            <w:r>
              <w:rPr>
                <w:rFonts w:ascii="Arial" w:hAnsi="Arial" w:cs="Arial"/>
                <w:b/>
                <w:sz w:val="20"/>
              </w:rPr>
              <w:t>13</w:t>
            </w:r>
            <w:r w:rsidRPr="001E29CA">
              <w:rPr>
                <w:rFonts w:ascii="Arial" w:hAnsi="Arial" w:cs="Arial"/>
                <w:b/>
                <w:sz w:val="20"/>
              </w:rPr>
              <w:t>/</w:t>
            </w:r>
            <w:r>
              <w:rPr>
                <w:rFonts w:ascii="Arial" w:hAnsi="Arial" w:cs="Arial"/>
                <w:b/>
                <w:sz w:val="20"/>
              </w:rPr>
              <w:t>14</w:t>
            </w:r>
          </w:p>
          <w:p w:rsidR="00375E3F" w:rsidRPr="001E29CA" w:rsidRDefault="00375E3F" w:rsidP="00C767BD">
            <w:pPr>
              <w:jc w:val="right"/>
              <w:rPr>
                <w:rFonts w:ascii="Arial" w:hAnsi="Arial" w:cs="Arial"/>
                <w:b/>
                <w:sz w:val="20"/>
              </w:rPr>
            </w:pPr>
            <w:r>
              <w:rPr>
                <w:rFonts w:ascii="Arial" w:hAnsi="Arial" w:cs="Arial"/>
                <w:b/>
                <w:sz w:val="20"/>
              </w:rPr>
              <w:t>£m</w:t>
            </w:r>
          </w:p>
        </w:tc>
        <w:tc>
          <w:tcPr>
            <w:tcW w:w="1228" w:type="dxa"/>
            <w:tcBorders>
              <w:top w:val="single" w:sz="4" w:space="0" w:color="auto"/>
              <w:bottom w:val="single" w:sz="4" w:space="0" w:color="auto"/>
            </w:tcBorders>
          </w:tcPr>
          <w:p w:rsidR="00375E3F" w:rsidRPr="001E29CA" w:rsidRDefault="008822E1" w:rsidP="008822E1">
            <w:pPr>
              <w:jc w:val="right"/>
              <w:rPr>
                <w:rFonts w:ascii="Arial" w:hAnsi="Arial" w:cs="Arial"/>
                <w:sz w:val="20"/>
              </w:rPr>
            </w:pPr>
            <w:r>
              <w:rPr>
                <w:rFonts w:ascii="Arial" w:hAnsi="Arial" w:cs="Arial"/>
                <w:b/>
                <w:sz w:val="20"/>
              </w:rPr>
              <w:t>Reported</w:t>
            </w:r>
          </w:p>
        </w:tc>
        <w:tc>
          <w:tcPr>
            <w:tcW w:w="1337" w:type="dxa"/>
            <w:tcBorders>
              <w:top w:val="single" w:sz="4" w:space="0" w:color="auto"/>
              <w:bottom w:val="single" w:sz="4" w:space="0" w:color="auto"/>
            </w:tcBorders>
          </w:tcPr>
          <w:p w:rsidR="00375E3F" w:rsidRPr="001E29CA" w:rsidRDefault="00375E3F" w:rsidP="00C767BD">
            <w:pPr>
              <w:jc w:val="right"/>
              <w:rPr>
                <w:rFonts w:ascii="Arial" w:hAnsi="Arial" w:cs="Arial"/>
                <w:b/>
                <w:sz w:val="20"/>
              </w:rPr>
            </w:pPr>
            <w:r>
              <w:rPr>
                <w:rFonts w:ascii="Arial" w:hAnsi="Arial" w:cs="Arial"/>
                <w:b/>
                <w:sz w:val="20"/>
              </w:rPr>
              <w:t>Constant currency</w:t>
            </w:r>
            <w:r w:rsidR="002F2502">
              <w:rPr>
                <w:rFonts w:ascii="Arial" w:hAnsi="Arial" w:cs="Arial"/>
                <w:b/>
                <w:sz w:val="20"/>
              </w:rPr>
              <w:t xml:space="preserve"> 13 week basis</w:t>
            </w:r>
            <w:r w:rsidR="000045F9">
              <w:rPr>
                <w:rFonts w:ascii="Arial" w:hAnsi="Arial" w:cs="Arial"/>
                <w:b/>
                <w:sz w:val="20"/>
                <w:vertAlign w:val="superscript"/>
              </w:rPr>
              <w:t>*</w:t>
            </w:r>
          </w:p>
        </w:tc>
        <w:tc>
          <w:tcPr>
            <w:tcW w:w="1337" w:type="dxa"/>
            <w:tcBorders>
              <w:top w:val="single" w:sz="4" w:space="0" w:color="auto"/>
              <w:bottom w:val="single" w:sz="4" w:space="0" w:color="auto"/>
            </w:tcBorders>
          </w:tcPr>
          <w:p w:rsidR="00375E3F" w:rsidRPr="001E29CA" w:rsidRDefault="008822E1" w:rsidP="00C767BD">
            <w:pPr>
              <w:jc w:val="right"/>
              <w:rPr>
                <w:rFonts w:ascii="Arial" w:hAnsi="Arial" w:cs="Arial"/>
                <w:b/>
                <w:sz w:val="20"/>
              </w:rPr>
            </w:pPr>
            <w:r>
              <w:rPr>
                <w:rFonts w:ascii="Arial" w:hAnsi="Arial" w:cs="Arial"/>
                <w:b/>
                <w:sz w:val="20"/>
              </w:rPr>
              <w:t>Constant currency</w:t>
            </w:r>
          </w:p>
        </w:tc>
        <w:tc>
          <w:tcPr>
            <w:tcW w:w="983" w:type="dxa"/>
            <w:tcBorders>
              <w:top w:val="single" w:sz="4" w:space="0" w:color="auto"/>
              <w:bottom w:val="single" w:sz="4" w:space="0" w:color="auto"/>
            </w:tcBorders>
          </w:tcPr>
          <w:p w:rsidR="00375E3F" w:rsidRPr="00343C2C" w:rsidRDefault="00375E3F" w:rsidP="00C767BD">
            <w:pPr>
              <w:jc w:val="right"/>
              <w:rPr>
                <w:rFonts w:ascii="Arial" w:hAnsi="Arial" w:cs="Arial"/>
                <w:b/>
                <w:sz w:val="20"/>
              </w:rPr>
            </w:pPr>
            <w:r w:rsidRPr="00343C2C">
              <w:rPr>
                <w:rFonts w:ascii="Arial" w:hAnsi="Arial" w:cs="Arial"/>
                <w:b/>
                <w:sz w:val="20"/>
              </w:rPr>
              <w:t>20</w:t>
            </w:r>
            <w:r>
              <w:rPr>
                <w:rFonts w:ascii="Arial" w:hAnsi="Arial" w:cs="Arial"/>
                <w:b/>
                <w:sz w:val="20"/>
              </w:rPr>
              <w:t>13</w:t>
            </w:r>
            <w:r w:rsidRPr="00343C2C">
              <w:rPr>
                <w:rFonts w:ascii="Arial" w:hAnsi="Arial" w:cs="Arial"/>
                <w:b/>
                <w:sz w:val="20"/>
              </w:rPr>
              <w:t>/</w:t>
            </w:r>
            <w:r>
              <w:rPr>
                <w:rFonts w:ascii="Arial" w:hAnsi="Arial" w:cs="Arial"/>
                <w:b/>
                <w:sz w:val="20"/>
              </w:rPr>
              <w:t>14</w:t>
            </w:r>
          </w:p>
          <w:p w:rsidR="00375E3F" w:rsidRPr="00343C2C" w:rsidRDefault="00375E3F" w:rsidP="00C767BD">
            <w:pPr>
              <w:jc w:val="right"/>
              <w:rPr>
                <w:rFonts w:ascii="Arial" w:hAnsi="Arial" w:cs="Arial"/>
                <w:b/>
                <w:sz w:val="20"/>
              </w:rPr>
            </w:pPr>
            <w:r>
              <w:rPr>
                <w:rFonts w:ascii="Arial" w:hAnsi="Arial" w:cs="Arial"/>
                <w:b/>
                <w:sz w:val="20"/>
              </w:rPr>
              <w:t xml:space="preserve">  </w:t>
            </w:r>
            <w:r w:rsidRPr="00343C2C">
              <w:rPr>
                <w:rFonts w:ascii="Arial" w:hAnsi="Arial" w:cs="Arial"/>
                <w:b/>
                <w:sz w:val="20"/>
              </w:rPr>
              <w:t>£m</w:t>
            </w:r>
          </w:p>
        </w:tc>
        <w:tc>
          <w:tcPr>
            <w:tcW w:w="1272" w:type="dxa"/>
            <w:tcBorders>
              <w:top w:val="single" w:sz="4" w:space="0" w:color="auto"/>
              <w:bottom w:val="single" w:sz="4" w:space="0" w:color="auto"/>
            </w:tcBorders>
          </w:tcPr>
          <w:p w:rsidR="00375E3F" w:rsidRPr="00343C2C" w:rsidRDefault="008822E1" w:rsidP="00C767BD">
            <w:pPr>
              <w:tabs>
                <w:tab w:val="left" w:pos="300"/>
              </w:tabs>
              <w:ind w:hanging="108"/>
              <w:jc w:val="right"/>
              <w:rPr>
                <w:rFonts w:ascii="Arial" w:hAnsi="Arial" w:cs="Arial"/>
                <w:b/>
                <w:sz w:val="20"/>
              </w:rPr>
            </w:pPr>
            <w:r>
              <w:rPr>
                <w:rFonts w:ascii="Arial" w:hAnsi="Arial" w:cs="Arial"/>
                <w:b/>
                <w:sz w:val="20"/>
              </w:rPr>
              <w:t xml:space="preserve"> Reported</w:t>
            </w:r>
          </w:p>
        </w:tc>
        <w:tc>
          <w:tcPr>
            <w:tcW w:w="1337" w:type="dxa"/>
            <w:tcBorders>
              <w:top w:val="single" w:sz="4" w:space="0" w:color="auto"/>
              <w:bottom w:val="single" w:sz="4" w:space="0" w:color="auto"/>
            </w:tcBorders>
          </w:tcPr>
          <w:p w:rsidR="00375E3F" w:rsidRPr="001E29CA" w:rsidRDefault="00375E3F" w:rsidP="00C767BD">
            <w:pPr>
              <w:jc w:val="right"/>
              <w:rPr>
                <w:rFonts w:ascii="Arial" w:hAnsi="Arial" w:cs="Arial"/>
                <w:b/>
                <w:sz w:val="20"/>
              </w:rPr>
            </w:pPr>
            <w:r>
              <w:rPr>
                <w:rFonts w:ascii="Arial" w:hAnsi="Arial" w:cs="Arial"/>
                <w:b/>
                <w:sz w:val="20"/>
              </w:rPr>
              <w:t>Constant currency</w:t>
            </w:r>
          </w:p>
        </w:tc>
      </w:tr>
      <w:tr w:rsidR="00375E3F" w:rsidRPr="00A33CE9" w:rsidTr="00C767BD">
        <w:trPr>
          <w:trHeight w:hRule="exact" w:val="90"/>
        </w:trPr>
        <w:tc>
          <w:tcPr>
            <w:tcW w:w="1424" w:type="dxa"/>
            <w:tcBorders>
              <w:top w:val="single" w:sz="4" w:space="0" w:color="auto"/>
            </w:tcBorders>
          </w:tcPr>
          <w:p w:rsidR="00375E3F" w:rsidRPr="00B36322" w:rsidRDefault="00375E3F" w:rsidP="00C767BD">
            <w:pPr>
              <w:rPr>
                <w:rFonts w:ascii="Arial" w:hAnsi="Arial" w:cs="Arial"/>
                <w:sz w:val="20"/>
              </w:rPr>
            </w:pPr>
          </w:p>
        </w:tc>
        <w:tc>
          <w:tcPr>
            <w:tcW w:w="939" w:type="dxa"/>
            <w:tcBorders>
              <w:top w:val="single" w:sz="4" w:space="0" w:color="auto"/>
            </w:tcBorders>
          </w:tcPr>
          <w:p w:rsidR="00375E3F" w:rsidRPr="00B36322" w:rsidRDefault="00375E3F" w:rsidP="00C767BD">
            <w:pPr>
              <w:jc w:val="right"/>
              <w:rPr>
                <w:rFonts w:ascii="Arial" w:hAnsi="Arial" w:cs="Arial"/>
                <w:sz w:val="20"/>
              </w:rPr>
            </w:pPr>
          </w:p>
        </w:tc>
        <w:tc>
          <w:tcPr>
            <w:tcW w:w="1228" w:type="dxa"/>
            <w:tcBorders>
              <w:top w:val="single" w:sz="4" w:space="0" w:color="auto"/>
            </w:tcBorders>
          </w:tcPr>
          <w:p w:rsidR="00375E3F" w:rsidRPr="00B36322" w:rsidRDefault="00375E3F" w:rsidP="00C767BD">
            <w:pPr>
              <w:jc w:val="right"/>
              <w:rPr>
                <w:rFonts w:ascii="Arial" w:hAnsi="Arial" w:cs="Arial"/>
                <w:sz w:val="20"/>
              </w:rPr>
            </w:pPr>
          </w:p>
        </w:tc>
        <w:tc>
          <w:tcPr>
            <w:tcW w:w="1337" w:type="dxa"/>
            <w:tcBorders>
              <w:top w:val="single" w:sz="4" w:space="0" w:color="auto"/>
            </w:tcBorders>
          </w:tcPr>
          <w:p w:rsidR="00375E3F" w:rsidRPr="00B36322" w:rsidRDefault="00375E3F" w:rsidP="00C767BD">
            <w:pPr>
              <w:jc w:val="right"/>
              <w:rPr>
                <w:rFonts w:ascii="Arial" w:hAnsi="Arial" w:cs="Arial"/>
                <w:sz w:val="20"/>
              </w:rPr>
            </w:pPr>
          </w:p>
        </w:tc>
        <w:tc>
          <w:tcPr>
            <w:tcW w:w="1337" w:type="dxa"/>
            <w:tcBorders>
              <w:top w:val="single" w:sz="4" w:space="0" w:color="auto"/>
            </w:tcBorders>
          </w:tcPr>
          <w:p w:rsidR="00375E3F" w:rsidRPr="00B36322" w:rsidRDefault="00375E3F" w:rsidP="00C767BD">
            <w:pPr>
              <w:jc w:val="right"/>
              <w:rPr>
                <w:rFonts w:ascii="Arial" w:hAnsi="Arial" w:cs="Arial"/>
                <w:sz w:val="20"/>
              </w:rPr>
            </w:pPr>
          </w:p>
        </w:tc>
        <w:tc>
          <w:tcPr>
            <w:tcW w:w="983" w:type="dxa"/>
            <w:tcBorders>
              <w:top w:val="single" w:sz="4" w:space="0" w:color="auto"/>
            </w:tcBorders>
          </w:tcPr>
          <w:p w:rsidR="00375E3F" w:rsidRPr="00B36322" w:rsidRDefault="00375E3F" w:rsidP="00C767BD">
            <w:pPr>
              <w:jc w:val="right"/>
              <w:rPr>
                <w:rFonts w:ascii="Arial" w:hAnsi="Arial" w:cs="Arial"/>
                <w:sz w:val="20"/>
              </w:rPr>
            </w:pPr>
          </w:p>
        </w:tc>
        <w:tc>
          <w:tcPr>
            <w:tcW w:w="1272" w:type="dxa"/>
            <w:tcBorders>
              <w:top w:val="single" w:sz="4" w:space="0" w:color="auto"/>
            </w:tcBorders>
          </w:tcPr>
          <w:p w:rsidR="00375E3F" w:rsidRPr="00B36322" w:rsidRDefault="00375E3F" w:rsidP="00C767BD">
            <w:pPr>
              <w:jc w:val="right"/>
              <w:rPr>
                <w:rFonts w:ascii="Arial" w:hAnsi="Arial" w:cs="Arial"/>
                <w:sz w:val="20"/>
              </w:rPr>
            </w:pPr>
          </w:p>
        </w:tc>
        <w:tc>
          <w:tcPr>
            <w:tcW w:w="1337" w:type="dxa"/>
            <w:tcBorders>
              <w:top w:val="single" w:sz="4" w:space="0" w:color="auto"/>
            </w:tcBorders>
          </w:tcPr>
          <w:p w:rsidR="00375E3F" w:rsidRPr="00B36322" w:rsidRDefault="00375E3F" w:rsidP="00C767BD">
            <w:pPr>
              <w:jc w:val="right"/>
              <w:rPr>
                <w:rFonts w:ascii="Arial" w:hAnsi="Arial" w:cs="Arial"/>
                <w:sz w:val="20"/>
              </w:rPr>
            </w:pPr>
          </w:p>
        </w:tc>
      </w:tr>
      <w:tr w:rsidR="00C91449" w:rsidRPr="00A33CE9" w:rsidTr="00C767BD">
        <w:trPr>
          <w:trHeight w:hRule="exact" w:val="312"/>
        </w:trPr>
        <w:tc>
          <w:tcPr>
            <w:tcW w:w="1424" w:type="dxa"/>
          </w:tcPr>
          <w:p w:rsidR="00C91449" w:rsidRPr="00B36322" w:rsidRDefault="00C91449" w:rsidP="00C91449">
            <w:pPr>
              <w:rPr>
                <w:rFonts w:ascii="Arial" w:hAnsi="Arial" w:cs="Arial"/>
                <w:sz w:val="20"/>
              </w:rPr>
            </w:pPr>
            <w:r w:rsidRPr="00B36322">
              <w:rPr>
                <w:rFonts w:ascii="Arial" w:hAnsi="Arial" w:cs="Arial"/>
                <w:sz w:val="20"/>
              </w:rPr>
              <w:t xml:space="preserve">France </w:t>
            </w:r>
          </w:p>
        </w:tc>
        <w:tc>
          <w:tcPr>
            <w:tcW w:w="939" w:type="dxa"/>
          </w:tcPr>
          <w:p w:rsidR="00C91449" w:rsidRPr="00B36322" w:rsidRDefault="00C91449" w:rsidP="00C91449">
            <w:pPr>
              <w:jc w:val="right"/>
              <w:rPr>
                <w:rFonts w:ascii="Arial" w:hAnsi="Arial" w:cs="Arial"/>
                <w:sz w:val="20"/>
              </w:rPr>
            </w:pPr>
            <w:r>
              <w:rPr>
                <w:rFonts w:ascii="Arial" w:hAnsi="Arial" w:cs="Arial"/>
                <w:sz w:val="20"/>
              </w:rPr>
              <w:t>944</w:t>
            </w:r>
          </w:p>
        </w:tc>
        <w:tc>
          <w:tcPr>
            <w:tcW w:w="1228" w:type="dxa"/>
          </w:tcPr>
          <w:p w:rsidR="00C91449" w:rsidRPr="00B36322" w:rsidRDefault="00C91449" w:rsidP="00C91449">
            <w:pPr>
              <w:jc w:val="right"/>
              <w:rPr>
                <w:rFonts w:ascii="Arial" w:hAnsi="Arial" w:cs="Arial"/>
                <w:sz w:val="20"/>
              </w:rPr>
            </w:pPr>
            <w:r>
              <w:rPr>
                <w:rFonts w:ascii="Arial" w:hAnsi="Arial" w:cs="Arial"/>
                <w:sz w:val="20"/>
              </w:rPr>
              <w:t>+4.1</w:t>
            </w:r>
            <w:r w:rsidRPr="00B36322">
              <w:rPr>
                <w:rFonts w:ascii="Arial" w:hAnsi="Arial" w:cs="Arial"/>
                <w:sz w:val="20"/>
              </w:rPr>
              <w:t>%</w:t>
            </w:r>
          </w:p>
        </w:tc>
        <w:tc>
          <w:tcPr>
            <w:tcW w:w="1337" w:type="dxa"/>
          </w:tcPr>
          <w:p w:rsidR="00C91449" w:rsidRPr="00B36322" w:rsidRDefault="00C91449" w:rsidP="00C91449">
            <w:pPr>
              <w:jc w:val="right"/>
              <w:rPr>
                <w:rFonts w:ascii="Arial" w:hAnsi="Arial" w:cs="Arial"/>
                <w:sz w:val="20"/>
              </w:rPr>
            </w:pPr>
            <w:r>
              <w:rPr>
                <w:rFonts w:ascii="Arial" w:hAnsi="Arial" w:cs="Arial"/>
                <w:sz w:val="20"/>
              </w:rPr>
              <w:t>+2.4</w:t>
            </w:r>
            <w:r w:rsidRPr="00B36322">
              <w:rPr>
                <w:rFonts w:ascii="Arial" w:hAnsi="Arial" w:cs="Arial"/>
                <w:sz w:val="20"/>
              </w:rPr>
              <w:t>%</w:t>
            </w:r>
          </w:p>
        </w:tc>
        <w:tc>
          <w:tcPr>
            <w:tcW w:w="1337" w:type="dxa"/>
          </w:tcPr>
          <w:p w:rsidR="00C91449" w:rsidRPr="00B36322" w:rsidRDefault="00C91449" w:rsidP="00C91449">
            <w:pPr>
              <w:jc w:val="right"/>
              <w:rPr>
                <w:rFonts w:ascii="Arial" w:hAnsi="Arial" w:cs="Arial"/>
                <w:sz w:val="20"/>
              </w:rPr>
            </w:pPr>
            <w:r>
              <w:rPr>
                <w:rFonts w:ascii="Arial" w:hAnsi="Arial" w:cs="Arial"/>
                <w:sz w:val="20"/>
              </w:rPr>
              <w:t>+0.3</w:t>
            </w:r>
            <w:r w:rsidRPr="00B36322">
              <w:rPr>
                <w:rFonts w:ascii="Arial" w:hAnsi="Arial" w:cs="Arial"/>
                <w:sz w:val="20"/>
              </w:rPr>
              <w:t>%</w:t>
            </w:r>
          </w:p>
        </w:tc>
        <w:tc>
          <w:tcPr>
            <w:tcW w:w="983" w:type="dxa"/>
          </w:tcPr>
          <w:p w:rsidR="00C91449" w:rsidRPr="00B36322" w:rsidRDefault="00C91449" w:rsidP="00C91449">
            <w:pPr>
              <w:jc w:val="right"/>
              <w:rPr>
                <w:rFonts w:ascii="Arial" w:hAnsi="Arial" w:cs="Arial"/>
                <w:sz w:val="20"/>
              </w:rPr>
            </w:pPr>
            <w:r>
              <w:rPr>
                <w:rFonts w:ascii="Arial" w:hAnsi="Arial" w:cs="Arial"/>
                <w:sz w:val="20"/>
              </w:rPr>
              <w:t>65</w:t>
            </w:r>
          </w:p>
        </w:tc>
        <w:tc>
          <w:tcPr>
            <w:tcW w:w="1272" w:type="dxa"/>
            <w:shd w:val="clear" w:color="auto" w:fill="auto"/>
          </w:tcPr>
          <w:p w:rsidR="00C91449" w:rsidRPr="00B36322" w:rsidRDefault="00C91449" w:rsidP="00C91449">
            <w:pPr>
              <w:jc w:val="right"/>
              <w:rPr>
                <w:rFonts w:ascii="Arial" w:hAnsi="Arial" w:cs="Arial"/>
                <w:sz w:val="20"/>
              </w:rPr>
            </w:pPr>
            <w:r>
              <w:rPr>
                <w:rFonts w:ascii="Arial" w:hAnsi="Arial" w:cs="Arial"/>
                <w:sz w:val="20"/>
              </w:rPr>
              <w:t>(1.9)</w:t>
            </w:r>
            <w:r w:rsidRPr="00B36322">
              <w:rPr>
                <w:rFonts w:ascii="Arial" w:hAnsi="Arial" w:cs="Arial"/>
                <w:sz w:val="20"/>
              </w:rPr>
              <w:t>%</w:t>
            </w:r>
          </w:p>
        </w:tc>
        <w:tc>
          <w:tcPr>
            <w:tcW w:w="1337" w:type="dxa"/>
          </w:tcPr>
          <w:p w:rsidR="00C91449" w:rsidRPr="00B36322" w:rsidRDefault="00C91449" w:rsidP="00C91449">
            <w:pPr>
              <w:jc w:val="right"/>
              <w:rPr>
                <w:rFonts w:ascii="Arial" w:hAnsi="Arial" w:cs="Arial"/>
                <w:sz w:val="20"/>
              </w:rPr>
            </w:pPr>
            <w:r>
              <w:rPr>
                <w:rFonts w:ascii="Arial" w:hAnsi="Arial" w:cs="Arial"/>
                <w:sz w:val="20"/>
              </w:rPr>
              <w:t>(2.3)</w:t>
            </w:r>
            <w:r w:rsidRPr="00B36322">
              <w:rPr>
                <w:rFonts w:ascii="Arial" w:hAnsi="Arial" w:cs="Arial"/>
                <w:sz w:val="20"/>
              </w:rPr>
              <w:t>%</w:t>
            </w:r>
          </w:p>
        </w:tc>
      </w:tr>
      <w:tr w:rsidR="00C91449" w:rsidRPr="001E29CA" w:rsidTr="00C767BD">
        <w:trPr>
          <w:trHeight w:hRule="exact" w:val="312"/>
        </w:trPr>
        <w:tc>
          <w:tcPr>
            <w:tcW w:w="1424" w:type="dxa"/>
          </w:tcPr>
          <w:p w:rsidR="00C91449" w:rsidRPr="00B36322" w:rsidRDefault="00C91449" w:rsidP="00C91449">
            <w:pPr>
              <w:jc w:val="left"/>
              <w:rPr>
                <w:rFonts w:ascii="Arial" w:hAnsi="Arial" w:cs="Arial"/>
                <w:sz w:val="20"/>
              </w:rPr>
            </w:pPr>
            <w:r w:rsidRPr="00B36322">
              <w:rPr>
                <w:rFonts w:ascii="Arial" w:hAnsi="Arial" w:cs="Arial"/>
                <w:sz w:val="20"/>
              </w:rPr>
              <w:t>UK &amp; Ireland</w:t>
            </w:r>
          </w:p>
        </w:tc>
        <w:tc>
          <w:tcPr>
            <w:tcW w:w="939" w:type="dxa"/>
          </w:tcPr>
          <w:p w:rsidR="00C91449" w:rsidRPr="00B36322" w:rsidRDefault="00C91449" w:rsidP="00C91449">
            <w:pPr>
              <w:jc w:val="right"/>
              <w:rPr>
                <w:rFonts w:ascii="Arial" w:hAnsi="Arial" w:cs="Arial"/>
                <w:sz w:val="20"/>
              </w:rPr>
            </w:pPr>
            <w:r>
              <w:rPr>
                <w:rFonts w:ascii="Arial" w:hAnsi="Arial" w:cs="Arial"/>
                <w:sz w:val="20"/>
              </w:rPr>
              <w:t>99</w:t>
            </w:r>
            <w:r w:rsidR="001A262A">
              <w:rPr>
                <w:rFonts w:ascii="Arial" w:hAnsi="Arial" w:cs="Arial"/>
                <w:sz w:val="20"/>
              </w:rPr>
              <w:t>8</w:t>
            </w:r>
          </w:p>
        </w:tc>
        <w:tc>
          <w:tcPr>
            <w:tcW w:w="1228" w:type="dxa"/>
          </w:tcPr>
          <w:p w:rsidR="00C91449" w:rsidRPr="00B36322" w:rsidRDefault="00C91449" w:rsidP="00C91449">
            <w:pPr>
              <w:jc w:val="right"/>
              <w:rPr>
                <w:rFonts w:ascii="Arial" w:hAnsi="Arial" w:cs="Arial"/>
                <w:sz w:val="20"/>
              </w:rPr>
            </w:pPr>
            <w:r>
              <w:rPr>
                <w:rFonts w:ascii="Arial" w:hAnsi="Arial" w:cs="Arial"/>
                <w:sz w:val="20"/>
              </w:rPr>
              <w:t>+0.</w:t>
            </w:r>
            <w:r w:rsidR="001A262A">
              <w:rPr>
                <w:rFonts w:ascii="Arial" w:hAnsi="Arial" w:cs="Arial"/>
                <w:sz w:val="20"/>
              </w:rPr>
              <w:t>1</w:t>
            </w:r>
            <w:r w:rsidRPr="00B36322">
              <w:rPr>
                <w:rFonts w:ascii="Arial" w:hAnsi="Arial" w:cs="Arial"/>
                <w:sz w:val="20"/>
              </w:rPr>
              <w:t>%</w:t>
            </w:r>
          </w:p>
        </w:tc>
        <w:tc>
          <w:tcPr>
            <w:tcW w:w="1337" w:type="dxa"/>
          </w:tcPr>
          <w:p w:rsidR="00C91449" w:rsidRPr="00B36322" w:rsidRDefault="00C91449" w:rsidP="00C91449">
            <w:pPr>
              <w:jc w:val="right"/>
              <w:rPr>
                <w:rFonts w:ascii="Arial" w:hAnsi="Arial" w:cs="Arial"/>
                <w:sz w:val="20"/>
              </w:rPr>
            </w:pPr>
            <w:r>
              <w:rPr>
                <w:rFonts w:ascii="Arial" w:hAnsi="Arial" w:cs="Arial"/>
                <w:sz w:val="20"/>
              </w:rPr>
              <w:t>+7.9</w:t>
            </w:r>
            <w:r w:rsidRPr="00B36322">
              <w:rPr>
                <w:rFonts w:ascii="Arial" w:hAnsi="Arial" w:cs="Arial"/>
                <w:sz w:val="20"/>
              </w:rPr>
              <w:t>%</w:t>
            </w:r>
          </w:p>
        </w:tc>
        <w:tc>
          <w:tcPr>
            <w:tcW w:w="1337" w:type="dxa"/>
          </w:tcPr>
          <w:p w:rsidR="00C91449" w:rsidRPr="00B36322" w:rsidRDefault="00C91449" w:rsidP="00C91449">
            <w:pPr>
              <w:jc w:val="right"/>
              <w:rPr>
                <w:rFonts w:ascii="Arial" w:hAnsi="Arial" w:cs="Arial"/>
                <w:sz w:val="20"/>
              </w:rPr>
            </w:pPr>
            <w:r>
              <w:rPr>
                <w:rFonts w:ascii="Arial" w:hAnsi="Arial" w:cs="Arial"/>
                <w:sz w:val="20"/>
              </w:rPr>
              <w:t>+5.</w:t>
            </w:r>
            <w:r w:rsidR="001A262A">
              <w:rPr>
                <w:rFonts w:ascii="Arial" w:hAnsi="Arial" w:cs="Arial"/>
                <w:sz w:val="20"/>
              </w:rPr>
              <w:t>3</w:t>
            </w:r>
            <w:r w:rsidRPr="00B36322">
              <w:rPr>
                <w:rFonts w:ascii="Arial" w:hAnsi="Arial" w:cs="Arial"/>
                <w:sz w:val="20"/>
              </w:rPr>
              <w:t>%</w:t>
            </w:r>
          </w:p>
        </w:tc>
        <w:tc>
          <w:tcPr>
            <w:tcW w:w="983" w:type="dxa"/>
          </w:tcPr>
          <w:p w:rsidR="00C91449" w:rsidRPr="00B36322" w:rsidRDefault="00C91449" w:rsidP="00C91449">
            <w:pPr>
              <w:jc w:val="right"/>
              <w:rPr>
                <w:rFonts w:ascii="Arial" w:hAnsi="Arial" w:cs="Arial"/>
                <w:sz w:val="20"/>
              </w:rPr>
            </w:pPr>
            <w:r>
              <w:rPr>
                <w:rFonts w:ascii="Arial" w:hAnsi="Arial" w:cs="Arial"/>
                <w:sz w:val="20"/>
              </w:rPr>
              <w:t>3</w:t>
            </w:r>
            <w:r w:rsidR="001A262A">
              <w:rPr>
                <w:rFonts w:ascii="Arial" w:hAnsi="Arial" w:cs="Arial"/>
                <w:sz w:val="20"/>
              </w:rPr>
              <w:t>4</w:t>
            </w:r>
          </w:p>
        </w:tc>
        <w:tc>
          <w:tcPr>
            <w:tcW w:w="1272" w:type="dxa"/>
          </w:tcPr>
          <w:p w:rsidR="00C91449" w:rsidRPr="00B36322" w:rsidRDefault="00C91449" w:rsidP="00C91449">
            <w:pPr>
              <w:jc w:val="right"/>
              <w:rPr>
                <w:rFonts w:ascii="Arial" w:hAnsi="Arial" w:cs="Arial"/>
                <w:sz w:val="20"/>
              </w:rPr>
            </w:pPr>
            <w:r>
              <w:rPr>
                <w:rFonts w:ascii="Arial" w:hAnsi="Arial" w:cs="Arial"/>
                <w:sz w:val="20"/>
              </w:rPr>
              <w:t>+1</w:t>
            </w:r>
            <w:r w:rsidR="001A262A">
              <w:rPr>
                <w:rFonts w:ascii="Arial" w:hAnsi="Arial" w:cs="Arial"/>
                <w:sz w:val="20"/>
              </w:rPr>
              <w:t>7.5</w:t>
            </w:r>
            <w:r w:rsidRPr="00B36322">
              <w:rPr>
                <w:rFonts w:ascii="Arial" w:hAnsi="Arial" w:cs="Arial"/>
                <w:sz w:val="20"/>
              </w:rPr>
              <w:t>%</w:t>
            </w:r>
          </w:p>
        </w:tc>
        <w:tc>
          <w:tcPr>
            <w:tcW w:w="1337" w:type="dxa"/>
          </w:tcPr>
          <w:p w:rsidR="00C91449" w:rsidRPr="00B36322" w:rsidRDefault="00C91449" w:rsidP="00C91449">
            <w:pPr>
              <w:jc w:val="right"/>
              <w:rPr>
                <w:rFonts w:ascii="Arial" w:hAnsi="Arial" w:cs="Arial"/>
                <w:sz w:val="20"/>
              </w:rPr>
            </w:pPr>
            <w:r>
              <w:rPr>
                <w:rFonts w:ascii="Arial" w:hAnsi="Arial" w:cs="Arial"/>
                <w:sz w:val="20"/>
              </w:rPr>
              <w:t>+1</w:t>
            </w:r>
            <w:r w:rsidR="001A262A">
              <w:rPr>
                <w:rFonts w:ascii="Arial" w:hAnsi="Arial" w:cs="Arial"/>
                <w:sz w:val="20"/>
              </w:rPr>
              <w:t>7.5</w:t>
            </w:r>
            <w:r>
              <w:rPr>
                <w:rFonts w:ascii="Arial" w:hAnsi="Arial" w:cs="Arial"/>
                <w:sz w:val="20"/>
              </w:rPr>
              <w:t>%</w:t>
            </w:r>
          </w:p>
        </w:tc>
      </w:tr>
      <w:tr w:rsidR="00C91449" w:rsidRPr="00196BEF" w:rsidTr="00C767BD">
        <w:trPr>
          <w:trHeight w:hRule="exact" w:val="544"/>
        </w:trPr>
        <w:tc>
          <w:tcPr>
            <w:tcW w:w="1424" w:type="dxa"/>
            <w:tcBorders>
              <w:bottom w:val="single" w:sz="4" w:space="0" w:color="auto"/>
            </w:tcBorders>
          </w:tcPr>
          <w:p w:rsidR="00C91449" w:rsidRPr="00B36322" w:rsidRDefault="00C91449" w:rsidP="00C91449">
            <w:pPr>
              <w:jc w:val="left"/>
              <w:rPr>
                <w:rFonts w:ascii="Arial" w:hAnsi="Arial" w:cs="Arial"/>
                <w:sz w:val="20"/>
              </w:rPr>
            </w:pPr>
            <w:r w:rsidRPr="00B36322">
              <w:rPr>
                <w:rFonts w:ascii="Arial" w:hAnsi="Arial" w:cs="Arial"/>
                <w:sz w:val="20"/>
              </w:rPr>
              <w:t xml:space="preserve">Other International </w:t>
            </w:r>
          </w:p>
        </w:tc>
        <w:tc>
          <w:tcPr>
            <w:tcW w:w="939" w:type="dxa"/>
            <w:tcBorders>
              <w:bottom w:val="single" w:sz="4" w:space="0" w:color="auto"/>
            </w:tcBorders>
            <w:vAlign w:val="center"/>
          </w:tcPr>
          <w:p w:rsidR="00C91449" w:rsidRPr="00B36322" w:rsidRDefault="00C91449" w:rsidP="00C91449">
            <w:pPr>
              <w:jc w:val="right"/>
              <w:rPr>
                <w:rFonts w:ascii="Arial" w:hAnsi="Arial" w:cs="Arial"/>
                <w:sz w:val="20"/>
              </w:rPr>
            </w:pPr>
            <w:r>
              <w:rPr>
                <w:rFonts w:ascii="Arial" w:hAnsi="Arial" w:cs="Arial"/>
                <w:sz w:val="20"/>
              </w:rPr>
              <w:t>546</w:t>
            </w:r>
          </w:p>
        </w:tc>
        <w:tc>
          <w:tcPr>
            <w:tcW w:w="1228" w:type="dxa"/>
            <w:tcBorders>
              <w:bottom w:val="single" w:sz="4" w:space="0" w:color="auto"/>
            </w:tcBorders>
            <w:vAlign w:val="center"/>
          </w:tcPr>
          <w:p w:rsidR="00C91449" w:rsidRPr="00B36322" w:rsidRDefault="00C91449" w:rsidP="00C91449">
            <w:pPr>
              <w:jc w:val="right"/>
              <w:rPr>
                <w:rFonts w:ascii="Arial" w:hAnsi="Arial" w:cs="Arial"/>
                <w:sz w:val="20"/>
              </w:rPr>
            </w:pPr>
            <w:r>
              <w:rPr>
                <w:rFonts w:ascii="Arial" w:hAnsi="Arial" w:cs="Arial"/>
                <w:sz w:val="20"/>
              </w:rPr>
              <w:t>+12.1</w:t>
            </w:r>
            <w:r w:rsidRPr="00B36322">
              <w:rPr>
                <w:rFonts w:ascii="Arial" w:hAnsi="Arial" w:cs="Arial"/>
                <w:sz w:val="20"/>
              </w:rPr>
              <w:t>%</w:t>
            </w:r>
          </w:p>
        </w:tc>
        <w:tc>
          <w:tcPr>
            <w:tcW w:w="1337" w:type="dxa"/>
            <w:tcBorders>
              <w:bottom w:val="single" w:sz="4" w:space="0" w:color="auto"/>
            </w:tcBorders>
            <w:vAlign w:val="center"/>
          </w:tcPr>
          <w:p w:rsidR="00C91449" w:rsidRPr="00B36322" w:rsidRDefault="00C91449" w:rsidP="00C91449">
            <w:pPr>
              <w:jc w:val="right"/>
              <w:rPr>
                <w:rFonts w:ascii="Arial" w:hAnsi="Arial" w:cs="Arial"/>
                <w:sz w:val="20"/>
              </w:rPr>
            </w:pPr>
            <w:r>
              <w:rPr>
                <w:rFonts w:ascii="Arial" w:hAnsi="Arial" w:cs="Arial"/>
                <w:sz w:val="20"/>
              </w:rPr>
              <w:t>+13.9</w:t>
            </w:r>
            <w:r w:rsidRPr="00B36322">
              <w:rPr>
                <w:rFonts w:ascii="Arial" w:hAnsi="Arial" w:cs="Arial"/>
                <w:sz w:val="20"/>
              </w:rPr>
              <w:t>%</w:t>
            </w:r>
          </w:p>
        </w:tc>
        <w:tc>
          <w:tcPr>
            <w:tcW w:w="1337" w:type="dxa"/>
            <w:tcBorders>
              <w:bottom w:val="single" w:sz="4" w:space="0" w:color="auto"/>
            </w:tcBorders>
            <w:vAlign w:val="center"/>
          </w:tcPr>
          <w:p w:rsidR="00C91449" w:rsidRPr="00B36322" w:rsidRDefault="00C91449" w:rsidP="00C91449">
            <w:pPr>
              <w:jc w:val="right"/>
              <w:rPr>
                <w:rFonts w:ascii="Arial" w:hAnsi="Arial" w:cs="Arial"/>
                <w:sz w:val="20"/>
              </w:rPr>
            </w:pPr>
            <w:r>
              <w:rPr>
                <w:rFonts w:ascii="Arial" w:hAnsi="Arial" w:cs="Arial"/>
                <w:sz w:val="20"/>
              </w:rPr>
              <w:t>+5.3</w:t>
            </w:r>
            <w:r w:rsidRPr="00B36322">
              <w:rPr>
                <w:rFonts w:ascii="Arial" w:hAnsi="Arial" w:cs="Arial"/>
                <w:sz w:val="20"/>
              </w:rPr>
              <w:t>%</w:t>
            </w:r>
          </w:p>
        </w:tc>
        <w:tc>
          <w:tcPr>
            <w:tcW w:w="983" w:type="dxa"/>
            <w:tcBorders>
              <w:bottom w:val="single" w:sz="4" w:space="0" w:color="auto"/>
            </w:tcBorders>
            <w:vAlign w:val="center"/>
          </w:tcPr>
          <w:p w:rsidR="00C91449" w:rsidRPr="00B36322" w:rsidRDefault="00C91449" w:rsidP="00C91449">
            <w:pPr>
              <w:jc w:val="right"/>
              <w:rPr>
                <w:rFonts w:ascii="Arial" w:hAnsi="Arial" w:cs="Arial"/>
                <w:sz w:val="20"/>
              </w:rPr>
            </w:pPr>
            <w:r>
              <w:rPr>
                <w:rFonts w:ascii="Arial" w:hAnsi="Arial" w:cs="Arial"/>
                <w:sz w:val="20"/>
              </w:rPr>
              <w:t>41</w:t>
            </w:r>
          </w:p>
        </w:tc>
        <w:tc>
          <w:tcPr>
            <w:tcW w:w="1272" w:type="dxa"/>
            <w:tcBorders>
              <w:bottom w:val="single" w:sz="4" w:space="0" w:color="auto"/>
            </w:tcBorders>
            <w:vAlign w:val="center"/>
          </w:tcPr>
          <w:p w:rsidR="00C91449" w:rsidRPr="00B36322" w:rsidRDefault="00C91449" w:rsidP="00C91449">
            <w:pPr>
              <w:jc w:val="right"/>
              <w:rPr>
                <w:rFonts w:ascii="Arial" w:hAnsi="Arial" w:cs="Arial"/>
                <w:sz w:val="20"/>
              </w:rPr>
            </w:pPr>
            <w:r>
              <w:rPr>
                <w:rFonts w:ascii="Arial" w:hAnsi="Arial" w:cs="Arial"/>
                <w:sz w:val="20"/>
              </w:rPr>
              <w:t>+6</w:t>
            </w:r>
            <w:r w:rsidR="001A262A">
              <w:rPr>
                <w:rFonts w:ascii="Arial" w:hAnsi="Arial" w:cs="Arial"/>
                <w:sz w:val="20"/>
              </w:rPr>
              <w:t>4.3</w:t>
            </w:r>
            <w:r w:rsidRPr="00B36322">
              <w:rPr>
                <w:rFonts w:ascii="Arial" w:hAnsi="Arial" w:cs="Arial"/>
                <w:sz w:val="20"/>
              </w:rPr>
              <w:t>%</w:t>
            </w:r>
          </w:p>
        </w:tc>
        <w:tc>
          <w:tcPr>
            <w:tcW w:w="1337" w:type="dxa"/>
            <w:tcBorders>
              <w:bottom w:val="single" w:sz="4" w:space="0" w:color="auto"/>
            </w:tcBorders>
            <w:vAlign w:val="center"/>
          </w:tcPr>
          <w:p w:rsidR="00C91449" w:rsidRPr="00B36322" w:rsidRDefault="00C91449" w:rsidP="00C91449">
            <w:pPr>
              <w:jc w:val="right"/>
              <w:rPr>
                <w:rFonts w:ascii="Arial" w:hAnsi="Arial" w:cs="Arial"/>
                <w:sz w:val="20"/>
              </w:rPr>
            </w:pPr>
            <w:r>
              <w:rPr>
                <w:rFonts w:ascii="Arial" w:hAnsi="Arial" w:cs="Arial"/>
                <w:sz w:val="20"/>
              </w:rPr>
              <w:t>+6</w:t>
            </w:r>
            <w:r w:rsidR="001A262A">
              <w:rPr>
                <w:rFonts w:ascii="Arial" w:hAnsi="Arial" w:cs="Arial"/>
                <w:sz w:val="20"/>
              </w:rPr>
              <w:t>9</w:t>
            </w:r>
            <w:r>
              <w:rPr>
                <w:rFonts w:ascii="Arial" w:hAnsi="Arial" w:cs="Arial"/>
                <w:sz w:val="20"/>
              </w:rPr>
              <w:t>.0</w:t>
            </w:r>
            <w:r w:rsidRPr="00B36322">
              <w:rPr>
                <w:rFonts w:ascii="Arial" w:hAnsi="Arial" w:cs="Arial"/>
                <w:sz w:val="20"/>
              </w:rPr>
              <w:t>%</w:t>
            </w:r>
          </w:p>
        </w:tc>
      </w:tr>
      <w:tr w:rsidR="00375E3F" w:rsidRPr="001E29CA" w:rsidTr="00C767BD">
        <w:trPr>
          <w:trHeight w:hRule="exact" w:val="312"/>
        </w:trPr>
        <w:tc>
          <w:tcPr>
            <w:tcW w:w="1424" w:type="dxa"/>
            <w:tcBorders>
              <w:top w:val="single" w:sz="4" w:space="0" w:color="auto"/>
              <w:bottom w:val="single" w:sz="4" w:space="0" w:color="auto"/>
            </w:tcBorders>
          </w:tcPr>
          <w:p w:rsidR="00375E3F" w:rsidRPr="00B36322" w:rsidRDefault="00375E3F" w:rsidP="00C767BD">
            <w:pPr>
              <w:rPr>
                <w:rFonts w:ascii="Arial" w:hAnsi="Arial" w:cs="Arial"/>
                <w:b/>
                <w:sz w:val="20"/>
              </w:rPr>
            </w:pPr>
            <w:r w:rsidRPr="00B36322">
              <w:rPr>
                <w:rFonts w:ascii="Arial" w:hAnsi="Arial" w:cs="Arial"/>
                <w:b/>
                <w:sz w:val="20"/>
              </w:rPr>
              <w:t>Total Group</w:t>
            </w:r>
          </w:p>
        </w:tc>
        <w:tc>
          <w:tcPr>
            <w:tcW w:w="939" w:type="dxa"/>
            <w:tcBorders>
              <w:top w:val="single" w:sz="4" w:space="0" w:color="auto"/>
              <w:bottom w:val="single" w:sz="4" w:space="0" w:color="auto"/>
            </w:tcBorders>
          </w:tcPr>
          <w:p w:rsidR="00375E3F" w:rsidRPr="00B36322" w:rsidRDefault="002F2502" w:rsidP="00C767BD">
            <w:pPr>
              <w:jc w:val="right"/>
              <w:rPr>
                <w:rFonts w:ascii="Arial" w:hAnsi="Arial" w:cs="Arial"/>
                <w:b/>
                <w:sz w:val="20"/>
              </w:rPr>
            </w:pPr>
            <w:r>
              <w:rPr>
                <w:rFonts w:ascii="Arial" w:hAnsi="Arial" w:cs="Arial"/>
                <w:b/>
                <w:sz w:val="20"/>
              </w:rPr>
              <w:t>2,48</w:t>
            </w:r>
            <w:r w:rsidR="001A262A">
              <w:rPr>
                <w:rFonts w:ascii="Arial" w:hAnsi="Arial" w:cs="Arial"/>
                <w:b/>
                <w:sz w:val="20"/>
              </w:rPr>
              <w:t>8</w:t>
            </w:r>
          </w:p>
        </w:tc>
        <w:tc>
          <w:tcPr>
            <w:tcW w:w="1228" w:type="dxa"/>
            <w:tcBorders>
              <w:top w:val="single" w:sz="4" w:space="0" w:color="auto"/>
              <w:bottom w:val="single" w:sz="4" w:space="0" w:color="auto"/>
            </w:tcBorders>
          </w:tcPr>
          <w:p w:rsidR="00375E3F" w:rsidRPr="00B36322" w:rsidRDefault="002F2502" w:rsidP="00C767BD">
            <w:pPr>
              <w:jc w:val="right"/>
              <w:rPr>
                <w:rFonts w:ascii="Arial" w:hAnsi="Arial" w:cs="Arial"/>
                <w:b/>
                <w:sz w:val="20"/>
              </w:rPr>
            </w:pPr>
            <w:r>
              <w:rPr>
                <w:rFonts w:ascii="Arial" w:hAnsi="Arial" w:cs="Arial"/>
                <w:b/>
                <w:sz w:val="20"/>
              </w:rPr>
              <w:t>+4.1</w:t>
            </w:r>
            <w:r w:rsidR="00375E3F" w:rsidRPr="00B36322">
              <w:rPr>
                <w:rFonts w:ascii="Arial" w:hAnsi="Arial" w:cs="Arial"/>
                <w:b/>
                <w:sz w:val="20"/>
              </w:rPr>
              <w:t>%</w:t>
            </w:r>
          </w:p>
        </w:tc>
        <w:tc>
          <w:tcPr>
            <w:tcW w:w="1337" w:type="dxa"/>
            <w:tcBorders>
              <w:top w:val="single" w:sz="4" w:space="0" w:color="auto"/>
              <w:bottom w:val="single" w:sz="4" w:space="0" w:color="auto"/>
            </w:tcBorders>
          </w:tcPr>
          <w:p w:rsidR="00375E3F" w:rsidRPr="00B36322" w:rsidRDefault="00C91449" w:rsidP="00C767BD">
            <w:pPr>
              <w:jc w:val="right"/>
              <w:rPr>
                <w:rFonts w:ascii="Arial" w:hAnsi="Arial" w:cs="Arial"/>
                <w:b/>
                <w:sz w:val="20"/>
              </w:rPr>
            </w:pPr>
            <w:r>
              <w:rPr>
                <w:rFonts w:ascii="Arial" w:hAnsi="Arial" w:cs="Arial"/>
                <w:b/>
                <w:sz w:val="20"/>
              </w:rPr>
              <w:t>+7.0</w:t>
            </w:r>
            <w:r w:rsidR="00375E3F" w:rsidRPr="00B36322">
              <w:rPr>
                <w:rFonts w:ascii="Arial" w:hAnsi="Arial" w:cs="Arial"/>
                <w:b/>
                <w:sz w:val="20"/>
              </w:rPr>
              <w:t>%</w:t>
            </w:r>
          </w:p>
        </w:tc>
        <w:tc>
          <w:tcPr>
            <w:tcW w:w="1337" w:type="dxa"/>
            <w:tcBorders>
              <w:top w:val="single" w:sz="4" w:space="0" w:color="auto"/>
              <w:bottom w:val="single" w:sz="4" w:space="0" w:color="auto"/>
            </w:tcBorders>
          </w:tcPr>
          <w:p w:rsidR="00375E3F" w:rsidRPr="00B36322" w:rsidRDefault="00C91449" w:rsidP="00C767BD">
            <w:pPr>
              <w:jc w:val="right"/>
              <w:rPr>
                <w:rFonts w:ascii="Arial" w:hAnsi="Arial" w:cs="Arial"/>
                <w:b/>
                <w:sz w:val="20"/>
              </w:rPr>
            </w:pPr>
            <w:r>
              <w:rPr>
                <w:rFonts w:ascii="Arial" w:hAnsi="Arial" w:cs="Arial"/>
                <w:b/>
                <w:sz w:val="20"/>
              </w:rPr>
              <w:t>+3.</w:t>
            </w:r>
            <w:r w:rsidR="001A262A">
              <w:rPr>
                <w:rFonts w:ascii="Arial" w:hAnsi="Arial" w:cs="Arial"/>
                <w:b/>
                <w:sz w:val="20"/>
              </w:rPr>
              <w:t>3</w:t>
            </w:r>
            <w:r w:rsidR="00375E3F" w:rsidRPr="00B36322">
              <w:rPr>
                <w:rFonts w:ascii="Arial" w:hAnsi="Arial" w:cs="Arial"/>
                <w:b/>
                <w:sz w:val="20"/>
              </w:rPr>
              <w:t>%</w:t>
            </w:r>
          </w:p>
        </w:tc>
        <w:tc>
          <w:tcPr>
            <w:tcW w:w="983" w:type="dxa"/>
            <w:tcBorders>
              <w:top w:val="single" w:sz="4" w:space="0" w:color="auto"/>
              <w:bottom w:val="single" w:sz="4" w:space="0" w:color="auto"/>
            </w:tcBorders>
          </w:tcPr>
          <w:p w:rsidR="00375E3F" w:rsidRPr="00B36322" w:rsidRDefault="00804E0D" w:rsidP="00C767BD">
            <w:pPr>
              <w:jc w:val="right"/>
              <w:rPr>
                <w:rFonts w:ascii="Arial" w:hAnsi="Arial" w:cs="Arial"/>
                <w:b/>
                <w:sz w:val="20"/>
              </w:rPr>
            </w:pPr>
            <w:r>
              <w:rPr>
                <w:rFonts w:ascii="Arial" w:hAnsi="Arial" w:cs="Arial"/>
                <w:b/>
                <w:sz w:val="20"/>
              </w:rPr>
              <w:t>1</w:t>
            </w:r>
            <w:r w:rsidR="001A262A">
              <w:rPr>
                <w:rFonts w:ascii="Arial" w:hAnsi="Arial" w:cs="Arial"/>
                <w:b/>
                <w:sz w:val="20"/>
              </w:rPr>
              <w:t>40</w:t>
            </w:r>
          </w:p>
        </w:tc>
        <w:tc>
          <w:tcPr>
            <w:tcW w:w="1272" w:type="dxa"/>
            <w:tcBorders>
              <w:top w:val="single" w:sz="4" w:space="0" w:color="auto"/>
              <w:bottom w:val="single" w:sz="4" w:space="0" w:color="auto"/>
            </w:tcBorders>
          </w:tcPr>
          <w:p w:rsidR="00375E3F" w:rsidRPr="00B36322" w:rsidRDefault="002F2502" w:rsidP="00C767BD">
            <w:pPr>
              <w:jc w:val="right"/>
              <w:rPr>
                <w:rFonts w:ascii="Arial" w:hAnsi="Arial" w:cs="Arial"/>
                <w:b/>
                <w:sz w:val="20"/>
              </w:rPr>
            </w:pPr>
            <w:r>
              <w:rPr>
                <w:rFonts w:ascii="Arial" w:hAnsi="Arial" w:cs="Arial"/>
                <w:b/>
                <w:sz w:val="20"/>
              </w:rPr>
              <w:t>+1</w:t>
            </w:r>
            <w:r w:rsidR="001A262A">
              <w:rPr>
                <w:rFonts w:ascii="Arial" w:hAnsi="Arial" w:cs="Arial"/>
                <w:b/>
                <w:sz w:val="20"/>
              </w:rPr>
              <w:t>6.8</w:t>
            </w:r>
            <w:r w:rsidR="00375E3F" w:rsidRPr="00B36322">
              <w:rPr>
                <w:rFonts w:ascii="Arial" w:hAnsi="Arial" w:cs="Arial"/>
                <w:b/>
                <w:sz w:val="20"/>
              </w:rPr>
              <w:t>%</w:t>
            </w:r>
          </w:p>
        </w:tc>
        <w:tc>
          <w:tcPr>
            <w:tcW w:w="1337" w:type="dxa"/>
            <w:tcBorders>
              <w:top w:val="single" w:sz="4" w:space="0" w:color="auto"/>
              <w:bottom w:val="single" w:sz="4" w:space="0" w:color="auto"/>
            </w:tcBorders>
          </w:tcPr>
          <w:p w:rsidR="00375E3F" w:rsidRPr="00B36322" w:rsidRDefault="002F2502" w:rsidP="00C767BD">
            <w:pPr>
              <w:jc w:val="right"/>
              <w:rPr>
                <w:rFonts w:ascii="Arial" w:hAnsi="Arial" w:cs="Arial"/>
                <w:b/>
                <w:sz w:val="20"/>
              </w:rPr>
            </w:pPr>
            <w:r w:rsidRPr="002F2502">
              <w:rPr>
                <w:rFonts w:ascii="Arial" w:hAnsi="Arial" w:cs="Arial"/>
                <w:b/>
                <w:sz w:val="20"/>
              </w:rPr>
              <w:t>+1</w:t>
            </w:r>
            <w:r w:rsidR="001A262A">
              <w:rPr>
                <w:rFonts w:ascii="Arial" w:hAnsi="Arial" w:cs="Arial"/>
                <w:b/>
                <w:sz w:val="20"/>
              </w:rPr>
              <w:t>7.2%</w:t>
            </w:r>
          </w:p>
        </w:tc>
      </w:tr>
    </w:tbl>
    <w:p w:rsidR="00375E3F" w:rsidRDefault="00375E3F" w:rsidP="00375E3F">
      <w:pPr>
        <w:jc w:val="left"/>
        <w:rPr>
          <w:rFonts w:ascii="Arial" w:hAnsi="Arial" w:cs="Arial"/>
          <w:b/>
          <w:bCs/>
          <w:sz w:val="24"/>
          <w:szCs w:val="24"/>
        </w:rPr>
      </w:pPr>
    </w:p>
    <w:p w:rsidR="008822E1" w:rsidRPr="00052140" w:rsidRDefault="008822E1" w:rsidP="008822E1">
      <w:pPr>
        <w:tabs>
          <w:tab w:val="left" w:pos="357"/>
        </w:tabs>
        <w:ind w:right="-282"/>
        <w:jc w:val="left"/>
        <w:rPr>
          <w:rFonts w:ascii="Arial" w:hAnsi="Arial" w:cs="Arial"/>
          <w:iCs/>
          <w:sz w:val="24"/>
          <w:szCs w:val="24"/>
        </w:rPr>
      </w:pPr>
      <w:r w:rsidRPr="00052140">
        <w:rPr>
          <w:rFonts w:ascii="Arial" w:hAnsi="Arial" w:cs="Arial"/>
          <w:iCs/>
          <w:sz w:val="24"/>
          <w:szCs w:val="24"/>
        </w:rPr>
        <w:t>Data tables for</w:t>
      </w:r>
      <w:r w:rsidR="00234FFB">
        <w:rPr>
          <w:rFonts w:ascii="Arial" w:hAnsi="Arial" w:cs="Arial"/>
          <w:iCs/>
          <w:sz w:val="24"/>
          <w:szCs w:val="24"/>
        </w:rPr>
        <w:t xml:space="preserve"> the</w:t>
      </w:r>
      <w:r w:rsidRPr="00052140">
        <w:rPr>
          <w:rFonts w:ascii="Arial" w:hAnsi="Arial" w:cs="Arial"/>
          <w:iCs/>
          <w:sz w:val="24"/>
          <w:szCs w:val="24"/>
        </w:rPr>
        <w:t xml:space="preserve"> full year are available for download in excel format at </w:t>
      </w:r>
      <w:hyperlink r:id="rId8" w:history="1">
        <w:r w:rsidRPr="00052140">
          <w:rPr>
            <w:rStyle w:val="Hyperlink"/>
            <w:rFonts w:ascii="Arial" w:hAnsi="Arial" w:cs="Arial"/>
            <w:iCs/>
            <w:sz w:val="24"/>
            <w:szCs w:val="24"/>
          </w:rPr>
          <w:t>http://www.kingfisher.com/index.asp?pageide=59</w:t>
        </w:r>
      </w:hyperlink>
      <w:r w:rsidRPr="00052140">
        <w:rPr>
          <w:rFonts w:ascii="Arial" w:hAnsi="Arial" w:cs="Arial"/>
          <w:iCs/>
          <w:sz w:val="24"/>
          <w:szCs w:val="24"/>
        </w:rPr>
        <w:t xml:space="preserve">. </w:t>
      </w:r>
    </w:p>
    <w:p w:rsidR="001B3B55" w:rsidRPr="0026648B" w:rsidRDefault="00B940B7" w:rsidP="001B3B55">
      <w:pPr>
        <w:jc w:val="left"/>
        <w:rPr>
          <w:rFonts w:ascii="Arial" w:hAnsi="Arial" w:cs="Arial"/>
          <w:sz w:val="24"/>
          <w:szCs w:val="24"/>
        </w:rPr>
      </w:pPr>
      <w:r w:rsidRPr="006A2252">
        <w:rPr>
          <w:rFonts w:ascii="Arial" w:hAnsi="Arial" w:cs="Arial"/>
          <w:b/>
          <w:bCs/>
          <w:color w:val="FF0000"/>
          <w:sz w:val="24"/>
          <w:szCs w:val="24"/>
        </w:rPr>
        <w:br w:type="page"/>
      </w:r>
      <w:r w:rsidR="00FC3ECC" w:rsidRPr="0026648B">
        <w:rPr>
          <w:rFonts w:ascii="Arial" w:hAnsi="Arial" w:cs="Arial"/>
          <w:b/>
          <w:bCs/>
          <w:sz w:val="24"/>
          <w:szCs w:val="24"/>
        </w:rPr>
        <w:t xml:space="preserve">Section </w:t>
      </w:r>
      <w:r w:rsidR="00995BF9" w:rsidRPr="0026648B">
        <w:rPr>
          <w:rFonts w:ascii="Arial" w:hAnsi="Arial" w:cs="Arial"/>
          <w:b/>
          <w:bCs/>
          <w:sz w:val="24"/>
          <w:szCs w:val="24"/>
        </w:rPr>
        <w:t>4</w:t>
      </w:r>
      <w:r w:rsidR="00376255">
        <w:rPr>
          <w:rFonts w:ascii="Arial" w:hAnsi="Arial" w:cs="Arial"/>
          <w:b/>
          <w:bCs/>
          <w:sz w:val="24"/>
          <w:szCs w:val="24"/>
        </w:rPr>
        <w:t xml:space="preserve">: </w:t>
      </w:r>
      <w:r w:rsidR="00FC3ECC" w:rsidRPr="0026648B">
        <w:rPr>
          <w:rFonts w:ascii="Arial" w:hAnsi="Arial" w:cs="Arial"/>
          <w:b/>
          <w:bCs/>
          <w:sz w:val="24"/>
          <w:szCs w:val="24"/>
        </w:rPr>
        <w:t>FINANCIAL REVIEW</w:t>
      </w:r>
    </w:p>
    <w:p w:rsidR="008E6E22" w:rsidRDefault="008E6E22" w:rsidP="003F45F2">
      <w:pPr>
        <w:tabs>
          <w:tab w:val="right" w:pos="9356"/>
        </w:tabs>
        <w:rPr>
          <w:rFonts w:ascii="Arial" w:hAnsi="Arial" w:cs="Arial"/>
          <w:b/>
          <w:i/>
          <w:sz w:val="24"/>
          <w:szCs w:val="24"/>
        </w:rPr>
      </w:pPr>
    </w:p>
    <w:p w:rsidR="00A7352B" w:rsidRDefault="00A7352B" w:rsidP="00F22393">
      <w:pPr>
        <w:jc w:val="left"/>
      </w:pPr>
      <w:r w:rsidRPr="00C82F88">
        <w:rPr>
          <w:rFonts w:ascii="Arial" w:hAnsi="Arial" w:cs="Arial" w:hint="eastAsia"/>
          <w:sz w:val="24"/>
          <w:szCs w:val="24"/>
        </w:rPr>
        <w:t xml:space="preserve">A summary of the reported financial results for the year ended </w:t>
      </w:r>
      <w:r>
        <w:rPr>
          <w:rFonts w:ascii="Arial" w:hAnsi="Arial" w:cs="Arial"/>
          <w:sz w:val="24"/>
          <w:szCs w:val="24"/>
        </w:rPr>
        <w:t>1</w:t>
      </w:r>
      <w:r w:rsidRPr="00C82F88">
        <w:rPr>
          <w:rFonts w:ascii="Arial" w:hAnsi="Arial" w:cs="Arial" w:hint="eastAsia"/>
          <w:sz w:val="24"/>
          <w:szCs w:val="24"/>
        </w:rPr>
        <w:t xml:space="preserve"> February 201</w:t>
      </w:r>
      <w:r>
        <w:rPr>
          <w:rFonts w:ascii="Arial" w:hAnsi="Arial" w:cs="Arial"/>
          <w:sz w:val="24"/>
          <w:szCs w:val="24"/>
        </w:rPr>
        <w:t>4</w:t>
      </w:r>
      <w:r w:rsidRPr="00C82F88">
        <w:rPr>
          <w:rFonts w:ascii="Arial" w:hAnsi="Arial" w:cs="Arial" w:hint="eastAsia"/>
          <w:sz w:val="24"/>
          <w:szCs w:val="24"/>
        </w:rPr>
        <w:t xml:space="preserve"> is set out below:</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48"/>
        <w:gridCol w:w="1297"/>
        <w:gridCol w:w="1284"/>
        <w:gridCol w:w="1410"/>
      </w:tblGrid>
      <w:tr w:rsidR="00A7352B" w:rsidRPr="00014F94" w:rsidTr="00A7352B">
        <w:tc>
          <w:tcPr>
            <w:tcW w:w="2981" w:type="pct"/>
            <w:tcBorders>
              <w:bottom w:val="single" w:sz="4" w:space="0" w:color="auto"/>
            </w:tcBorders>
          </w:tcPr>
          <w:p w:rsidR="00A7352B" w:rsidRPr="00014F94" w:rsidRDefault="00A7352B" w:rsidP="00A7352B">
            <w:pPr>
              <w:jc w:val="right"/>
              <w:rPr>
                <w:rFonts w:ascii="Arial" w:hAnsi="Arial" w:cs="Arial"/>
                <w:sz w:val="24"/>
                <w:szCs w:val="24"/>
              </w:rPr>
            </w:pPr>
          </w:p>
        </w:tc>
        <w:tc>
          <w:tcPr>
            <w:tcW w:w="648" w:type="pct"/>
            <w:tcBorders>
              <w:bottom w:val="single" w:sz="4" w:space="0" w:color="auto"/>
            </w:tcBorders>
          </w:tcPr>
          <w:p w:rsidR="00A7352B" w:rsidRPr="00FD6375" w:rsidRDefault="00A7352B" w:rsidP="00735AC7">
            <w:pPr>
              <w:jc w:val="right"/>
              <w:rPr>
                <w:rFonts w:ascii="Arial" w:hAnsi="Arial" w:cs="Arial"/>
                <w:b/>
                <w:sz w:val="24"/>
                <w:szCs w:val="24"/>
              </w:rPr>
            </w:pPr>
            <w:r>
              <w:rPr>
                <w:rFonts w:ascii="Arial" w:hAnsi="Arial" w:cs="Arial"/>
                <w:b/>
                <w:sz w:val="24"/>
                <w:szCs w:val="24"/>
              </w:rPr>
              <w:t>2013/14</w:t>
            </w:r>
          </w:p>
        </w:tc>
        <w:tc>
          <w:tcPr>
            <w:tcW w:w="586" w:type="pct"/>
            <w:tcBorders>
              <w:bottom w:val="single" w:sz="4" w:space="0" w:color="auto"/>
            </w:tcBorders>
          </w:tcPr>
          <w:p w:rsidR="00A7352B" w:rsidRPr="00D71CD9" w:rsidRDefault="001663A2">
            <w:pPr>
              <w:jc w:val="right"/>
              <w:rPr>
                <w:rFonts w:ascii="Arial" w:hAnsi="Arial" w:cs="Arial"/>
                <w:sz w:val="24"/>
                <w:szCs w:val="24"/>
              </w:rPr>
            </w:pPr>
            <w:r>
              <w:rPr>
                <w:rFonts w:ascii="Arial" w:hAnsi="Arial" w:cs="Arial"/>
                <w:sz w:val="24"/>
                <w:szCs w:val="24"/>
              </w:rPr>
              <w:t>2012/13</w:t>
            </w:r>
          </w:p>
        </w:tc>
        <w:tc>
          <w:tcPr>
            <w:tcW w:w="784" w:type="pct"/>
            <w:tcBorders>
              <w:bottom w:val="single" w:sz="4" w:space="0" w:color="auto"/>
            </w:tcBorders>
          </w:tcPr>
          <w:p w:rsidR="00A7352B" w:rsidRPr="00014F94" w:rsidRDefault="00A7352B" w:rsidP="00A7352B">
            <w:pPr>
              <w:jc w:val="right"/>
              <w:rPr>
                <w:rFonts w:ascii="Arial" w:hAnsi="Arial" w:cs="Arial"/>
                <w:sz w:val="24"/>
                <w:szCs w:val="24"/>
              </w:rPr>
            </w:pPr>
            <w:r w:rsidRPr="00014F94">
              <w:rPr>
                <w:rFonts w:ascii="Arial" w:hAnsi="Arial" w:cs="Arial"/>
                <w:sz w:val="24"/>
                <w:szCs w:val="24"/>
              </w:rPr>
              <w:t>Increase</w:t>
            </w:r>
          </w:p>
        </w:tc>
      </w:tr>
      <w:tr w:rsidR="00A7352B" w:rsidRPr="00014F94" w:rsidTr="00A7352B">
        <w:trPr>
          <w:trHeight w:val="80"/>
        </w:trPr>
        <w:tc>
          <w:tcPr>
            <w:tcW w:w="2981" w:type="pct"/>
            <w:tcBorders>
              <w:top w:val="single" w:sz="4" w:space="0" w:color="auto"/>
            </w:tcBorders>
          </w:tcPr>
          <w:p w:rsidR="00A7352B" w:rsidRPr="00A0203D" w:rsidRDefault="00A7352B" w:rsidP="00A7352B">
            <w:pPr>
              <w:rPr>
                <w:rFonts w:ascii="Arial" w:hAnsi="Arial" w:cs="Arial"/>
                <w:sz w:val="2"/>
                <w:szCs w:val="2"/>
              </w:rPr>
            </w:pPr>
          </w:p>
        </w:tc>
        <w:tc>
          <w:tcPr>
            <w:tcW w:w="648" w:type="pct"/>
            <w:tcBorders>
              <w:top w:val="single" w:sz="4" w:space="0" w:color="auto"/>
            </w:tcBorders>
          </w:tcPr>
          <w:p w:rsidR="00A7352B" w:rsidRPr="00A0203D" w:rsidRDefault="00A7352B" w:rsidP="00A7352B">
            <w:pPr>
              <w:jc w:val="right"/>
              <w:rPr>
                <w:rFonts w:ascii="Arial" w:hAnsi="Arial" w:cs="Arial"/>
                <w:b/>
                <w:sz w:val="2"/>
                <w:szCs w:val="2"/>
              </w:rPr>
            </w:pPr>
          </w:p>
        </w:tc>
        <w:tc>
          <w:tcPr>
            <w:tcW w:w="586" w:type="pct"/>
            <w:tcBorders>
              <w:top w:val="single" w:sz="4" w:space="0" w:color="auto"/>
            </w:tcBorders>
          </w:tcPr>
          <w:p w:rsidR="00A7352B" w:rsidRPr="00D71CD9" w:rsidRDefault="00A7352B" w:rsidP="00A7352B">
            <w:pPr>
              <w:jc w:val="right"/>
              <w:rPr>
                <w:rFonts w:ascii="Arial" w:hAnsi="Arial" w:cs="Arial"/>
                <w:sz w:val="2"/>
                <w:szCs w:val="2"/>
              </w:rPr>
            </w:pPr>
          </w:p>
        </w:tc>
        <w:tc>
          <w:tcPr>
            <w:tcW w:w="784" w:type="pct"/>
            <w:tcBorders>
              <w:top w:val="single" w:sz="4" w:space="0" w:color="auto"/>
            </w:tcBorders>
          </w:tcPr>
          <w:p w:rsidR="00A7352B" w:rsidRPr="00A0203D" w:rsidRDefault="00A7352B" w:rsidP="00A7352B">
            <w:pPr>
              <w:jc w:val="right"/>
              <w:rPr>
                <w:rFonts w:ascii="Arial" w:hAnsi="Arial" w:cs="Arial"/>
                <w:sz w:val="2"/>
                <w:szCs w:val="2"/>
              </w:rPr>
            </w:pPr>
          </w:p>
        </w:tc>
      </w:tr>
      <w:tr w:rsidR="00A7352B" w:rsidRPr="00014F94" w:rsidTr="00A7352B">
        <w:tc>
          <w:tcPr>
            <w:tcW w:w="2981" w:type="pct"/>
          </w:tcPr>
          <w:p w:rsidR="00A7352B" w:rsidRPr="00014F94" w:rsidRDefault="00A7352B" w:rsidP="00A7352B">
            <w:pPr>
              <w:jc w:val="left"/>
              <w:rPr>
                <w:rFonts w:ascii="Arial" w:hAnsi="Arial" w:cs="Arial"/>
                <w:sz w:val="24"/>
                <w:szCs w:val="24"/>
              </w:rPr>
            </w:pPr>
            <w:r>
              <w:rPr>
                <w:rFonts w:ascii="Arial" w:hAnsi="Arial" w:cs="Arial"/>
                <w:sz w:val="24"/>
                <w:szCs w:val="24"/>
              </w:rPr>
              <w:t>Sales</w:t>
            </w:r>
          </w:p>
        </w:tc>
        <w:tc>
          <w:tcPr>
            <w:tcW w:w="648" w:type="pct"/>
          </w:tcPr>
          <w:p w:rsidR="00A7352B" w:rsidRPr="00FD6375" w:rsidRDefault="001663A2" w:rsidP="00A7352B">
            <w:pPr>
              <w:jc w:val="right"/>
              <w:rPr>
                <w:rFonts w:ascii="Arial" w:hAnsi="Arial" w:cs="Arial"/>
                <w:b/>
                <w:sz w:val="24"/>
                <w:szCs w:val="24"/>
              </w:rPr>
            </w:pPr>
            <w:r>
              <w:rPr>
                <w:rFonts w:ascii="Arial" w:hAnsi="Arial" w:cs="Arial"/>
                <w:b/>
                <w:sz w:val="24"/>
                <w:szCs w:val="24"/>
              </w:rPr>
              <w:t>£</w:t>
            </w:r>
            <w:r w:rsidR="00A7352B">
              <w:rPr>
                <w:rFonts w:ascii="Arial" w:hAnsi="Arial" w:cs="Arial"/>
                <w:b/>
                <w:sz w:val="24"/>
                <w:szCs w:val="24"/>
              </w:rPr>
              <w:t>11,125</w:t>
            </w:r>
            <w:r>
              <w:rPr>
                <w:rFonts w:ascii="Arial" w:hAnsi="Arial" w:cs="Arial"/>
                <w:b/>
                <w:sz w:val="24"/>
                <w:szCs w:val="24"/>
              </w:rPr>
              <w:t>m</w:t>
            </w:r>
          </w:p>
        </w:tc>
        <w:tc>
          <w:tcPr>
            <w:tcW w:w="586" w:type="pct"/>
          </w:tcPr>
          <w:p w:rsidR="00A7352B" w:rsidRPr="00D71CD9" w:rsidRDefault="001663A2" w:rsidP="00A7352B">
            <w:pPr>
              <w:jc w:val="right"/>
              <w:rPr>
                <w:rFonts w:ascii="Arial" w:hAnsi="Arial" w:cs="Arial"/>
                <w:sz w:val="24"/>
                <w:szCs w:val="24"/>
              </w:rPr>
            </w:pPr>
            <w:r>
              <w:rPr>
                <w:rFonts w:ascii="Arial" w:hAnsi="Arial" w:cs="Arial"/>
                <w:sz w:val="24"/>
                <w:szCs w:val="24"/>
              </w:rPr>
              <w:t>£</w:t>
            </w:r>
            <w:r w:rsidR="00A7352B" w:rsidRPr="00D71CD9">
              <w:rPr>
                <w:rFonts w:ascii="Arial" w:hAnsi="Arial" w:cs="Arial"/>
                <w:sz w:val="24"/>
                <w:szCs w:val="24"/>
              </w:rPr>
              <w:t>10,573</w:t>
            </w:r>
            <w:r>
              <w:rPr>
                <w:rFonts w:ascii="Arial" w:hAnsi="Arial" w:cs="Arial"/>
                <w:sz w:val="24"/>
                <w:szCs w:val="24"/>
              </w:rPr>
              <w:t>m</w:t>
            </w:r>
          </w:p>
        </w:tc>
        <w:tc>
          <w:tcPr>
            <w:tcW w:w="784" w:type="pct"/>
          </w:tcPr>
          <w:p w:rsidR="00A7352B" w:rsidRDefault="001663A2" w:rsidP="00A7352B">
            <w:pPr>
              <w:jc w:val="right"/>
              <w:rPr>
                <w:rFonts w:ascii="Arial" w:hAnsi="Arial" w:cs="Arial"/>
                <w:sz w:val="24"/>
                <w:szCs w:val="24"/>
              </w:rPr>
            </w:pPr>
            <w:r>
              <w:rPr>
                <w:rFonts w:ascii="Arial" w:hAnsi="Arial" w:cs="Arial"/>
                <w:sz w:val="24"/>
                <w:szCs w:val="24"/>
              </w:rPr>
              <w:t>+</w:t>
            </w:r>
            <w:r w:rsidR="00A7352B">
              <w:rPr>
                <w:rFonts w:ascii="Arial" w:hAnsi="Arial" w:cs="Arial"/>
                <w:sz w:val="24"/>
                <w:szCs w:val="24"/>
              </w:rPr>
              <w:t>5.2%</w:t>
            </w:r>
          </w:p>
        </w:tc>
      </w:tr>
      <w:tr w:rsidR="00A7352B" w:rsidRPr="00014F94" w:rsidTr="00A7352B">
        <w:trPr>
          <w:trHeight w:hRule="exact" w:val="85"/>
        </w:trPr>
        <w:tc>
          <w:tcPr>
            <w:tcW w:w="2981" w:type="pct"/>
          </w:tcPr>
          <w:p w:rsidR="00A7352B" w:rsidRPr="00014F94" w:rsidRDefault="00A7352B" w:rsidP="00A7352B">
            <w:pPr>
              <w:jc w:val="left"/>
              <w:rPr>
                <w:rFonts w:ascii="Arial" w:hAnsi="Arial" w:cs="Arial"/>
                <w:sz w:val="24"/>
                <w:szCs w:val="24"/>
              </w:rPr>
            </w:pPr>
          </w:p>
        </w:tc>
        <w:tc>
          <w:tcPr>
            <w:tcW w:w="648" w:type="pct"/>
          </w:tcPr>
          <w:p w:rsidR="00A7352B" w:rsidRPr="00FD6375" w:rsidRDefault="00A7352B" w:rsidP="00A7352B">
            <w:pPr>
              <w:jc w:val="right"/>
              <w:rPr>
                <w:rFonts w:ascii="Arial" w:hAnsi="Arial" w:cs="Arial"/>
                <w:b/>
                <w:sz w:val="24"/>
                <w:szCs w:val="24"/>
              </w:rPr>
            </w:pPr>
          </w:p>
        </w:tc>
        <w:tc>
          <w:tcPr>
            <w:tcW w:w="586" w:type="pct"/>
          </w:tcPr>
          <w:p w:rsidR="00A7352B" w:rsidRPr="00D71CD9" w:rsidRDefault="00A7352B" w:rsidP="00A7352B">
            <w:pPr>
              <w:jc w:val="right"/>
              <w:rPr>
                <w:rFonts w:ascii="Arial" w:hAnsi="Arial" w:cs="Arial"/>
                <w:sz w:val="24"/>
                <w:szCs w:val="24"/>
              </w:rPr>
            </w:pPr>
          </w:p>
        </w:tc>
        <w:tc>
          <w:tcPr>
            <w:tcW w:w="784" w:type="pct"/>
          </w:tcPr>
          <w:p w:rsidR="00A7352B" w:rsidRDefault="00A7352B" w:rsidP="00A7352B">
            <w:pPr>
              <w:jc w:val="right"/>
              <w:rPr>
                <w:rFonts w:ascii="Arial" w:hAnsi="Arial" w:cs="Arial"/>
                <w:sz w:val="24"/>
                <w:szCs w:val="24"/>
              </w:rPr>
            </w:pPr>
          </w:p>
        </w:tc>
      </w:tr>
      <w:tr w:rsidR="00A7352B" w:rsidRPr="00014F94" w:rsidTr="00A7352B">
        <w:tc>
          <w:tcPr>
            <w:tcW w:w="2981" w:type="pct"/>
          </w:tcPr>
          <w:p w:rsidR="00A7352B" w:rsidRPr="00014F94" w:rsidRDefault="00A7352B" w:rsidP="00A7352B">
            <w:pPr>
              <w:jc w:val="left"/>
              <w:rPr>
                <w:rFonts w:ascii="Arial" w:hAnsi="Arial" w:cs="Arial"/>
                <w:sz w:val="24"/>
                <w:szCs w:val="24"/>
              </w:rPr>
            </w:pPr>
            <w:r w:rsidRPr="00014F94">
              <w:rPr>
                <w:rFonts w:ascii="Arial" w:hAnsi="Arial" w:cs="Arial"/>
                <w:sz w:val="24"/>
                <w:szCs w:val="24"/>
              </w:rPr>
              <w:t xml:space="preserve">Adjusted pre-tax profit </w:t>
            </w:r>
          </w:p>
        </w:tc>
        <w:tc>
          <w:tcPr>
            <w:tcW w:w="648" w:type="pct"/>
          </w:tcPr>
          <w:p w:rsidR="00A7352B" w:rsidRPr="00FD6375" w:rsidRDefault="001663A2" w:rsidP="00A7352B">
            <w:pPr>
              <w:jc w:val="right"/>
              <w:rPr>
                <w:rFonts w:ascii="Arial" w:hAnsi="Arial" w:cs="Arial"/>
                <w:b/>
                <w:sz w:val="24"/>
                <w:szCs w:val="24"/>
              </w:rPr>
            </w:pPr>
            <w:r>
              <w:rPr>
                <w:rFonts w:ascii="Arial" w:hAnsi="Arial" w:cs="Arial"/>
                <w:b/>
                <w:sz w:val="24"/>
                <w:szCs w:val="24"/>
              </w:rPr>
              <w:t>£</w:t>
            </w:r>
            <w:r w:rsidR="00A7352B">
              <w:rPr>
                <w:rFonts w:ascii="Arial" w:hAnsi="Arial" w:cs="Arial"/>
                <w:b/>
                <w:sz w:val="24"/>
                <w:szCs w:val="24"/>
              </w:rPr>
              <w:t>744</w:t>
            </w:r>
            <w:r>
              <w:rPr>
                <w:rFonts w:ascii="Arial" w:hAnsi="Arial" w:cs="Arial"/>
                <w:b/>
                <w:sz w:val="24"/>
                <w:szCs w:val="24"/>
              </w:rPr>
              <w:t>m</w:t>
            </w:r>
          </w:p>
        </w:tc>
        <w:tc>
          <w:tcPr>
            <w:tcW w:w="586" w:type="pct"/>
          </w:tcPr>
          <w:p w:rsidR="00A7352B" w:rsidRPr="00D71CD9" w:rsidRDefault="001663A2" w:rsidP="00A7352B">
            <w:pPr>
              <w:jc w:val="right"/>
              <w:rPr>
                <w:rFonts w:ascii="Arial" w:hAnsi="Arial" w:cs="Arial"/>
                <w:sz w:val="24"/>
                <w:szCs w:val="24"/>
              </w:rPr>
            </w:pPr>
            <w:r>
              <w:rPr>
                <w:rFonts w:ascii="Arial" w:hAnsi="Arial" w:cs="Arial"/>
                <w:sz w:val="24"/>
                <w:szCs w:val="24"/>
              </w:rPr>
              <w:t>£</w:t>
            </w:r>
            <w:r w:rsidR="00A7352B" w:rsidRPr="00D71CD9">
              <w:rPr>
                <w:rFonts w:ascii="Arial" w:hAnsi="Arial" w:cs="Arial"/>
                <w:sz w:val="24"/>
                <w:szCs w:val="24"/>
              </w:rPr>
              <w:t>715</w:t>
            </w:r>
            <w:r>
              <w:rPr>
                <w:rFonts w:ascii="Arial" w:hAnsi="Arial" w:cs="Arial"/>
                <w:sz w:val="24"/>
                <w:szCs w:val="24"/>
              </w:rPr>
              <w:t>m</w:t>
            </w:r>
          </w:p>
        </w:tc>
        <w:tc>
          <w:tcPr>
            <w:tcW w:w="784" w:type="pct"/>
          </w:tcPr>
          <w:p w:rsidR="00A7352B" w:rsidRDefault="001663A2" w:rsidP="00A7352B">
            <w:pPr>
              <w:jc w:val="right"/>
              <w:rPr>
                <w:rFonts w:ascii="Arial" w:hAnsi="Arial" w:cs="Arial"/>
                <w:sz w:val="24"/>
                <w:szCs w:val="24"/>
              </w:rPr>
            </w:pPr>
            <w:r>
              <w:rPr>
                <w:rFonts w:ascii="Arial" w:hAnsi="Arial" w:cs="Arial"/>
                <w:sz w:val="24"/>
                <w:szCs w:val="24"/>
              </w:rPr>
              <w:t>+</w:t>
            </w:r>
            <w:r w:rsidR="00A7352B">
              <w:rPr>
                <w:rFonts w:ascii="Arial" w:hAnsi="Arial" w:cs="Arial"/>
                <w:sz w:val="24"/>
                <w:szCs w:val="24"/>
              </w:rPr>
              <w:t>4.1%</w:t>
            </w:r>
          </w:p>
        </w:tc>
      </w:tr>
      <w:tr w:rsidR="00A7352B" w:rsidRPr="00014F94" w:rsidTr="00A7352B">
        <w:trPr>
          <w:trHeight w:hRule="exact" w:val="85"/>
        </w:trPr>
        <w:tc>
          <w:tcPr>
            <w:tcW w:w="2981" w:type="pct"/>
          </w:tcPr>
          <w:p w:rsidR="00A7352B" w:rsidRPr="00014F94" w:rsidRDefault="00A7352B" w:rsidP="00A7352B">
            <w:pPr>
              <w:jc w:val="left"/>
              <w:rPr>
                <w:rFonts w:ascii="Arial" w:hAnsi="Arial" w:cs="Arial"/>
                <w:sz w:val="24"/>
                <w:szCs w:val="24"/>
              </w:rPr>
            </w:pPr>
          </w:p>
        </w:tc>
        <w:tc>
          <w:tcPr>
            <w:tcW w:w="648" w:type="pct"/>
          </w:tcPr>
          <w:p w:rsidR="00A7352B" w:rsidRPr="00FD6375" w:rsidRDefault="00A7352B" w:rsidP="00A7352B">
            <w:pPr>
              <w:jc w:val="right"/>
              <w:rPr>
                <w:rFonts w:ascii="Arial" w:hAnsi="Arial" w:cs="Arial"/>
                <w:b/>
                <w:sz w:val="24"/>
                <w:szCs w:val="24"/>
              </w:rPr>
            </w:pPr>
          </w:p>
        </w:tc>
        <w:tc>
          <w:tcPr>
            <w:tcW w:w="586" w:type="pct"/>
          </w:tcPr>
          <w:p w:rsidR="00A7352B" w:rsidRPr="00D71CD9" w:rsidRDefault="00A7352B" w:rsidP="00A7352B">
            <w:pPr>
              <w:jc w:val="right"/>
              <w:rPr>
                <w:rFonts w:ascii="Arial" w:hAnsi="Arial" w:cs="Arial"/>
                <w:sz w:val="24"/>
                <w:szCs w:val="24"/>
              </w:rPr>
            </w:pPr>
          </w:p>
        </w:tc>
        <w:tc>
          <w:tcPr>
            <w:tcW w:w="784" w:type="pct"/>
          </w:tcPr>
          <w:p w:rsidR="00A7352B" w:rsidRDefault="00A7352B" w:rsidP="00A7352B">
            <w:pPr>
              <w:jc w:val="right"/>
              <w:rPr>
                <w:rFonts w:ascii="Arial" w:hAnsi="Arial" w:cs="Arial"/>
                <w:sz w:val="24"/>
                <w:szCs w:val="24"/>
              </w:rPr>
            </w:pPr>
          </w:p>
        </w:tc>
      </w:tr>
      <w:tr w:rsidR="00A7352B" w:rsidRPr="00014F94" w:rsidTr="00A7352B">
        <w:tc>
          <w:tcPr>
            <w:tcW w:w="2981" w:type="pct"/>
          </w:tcPr>
          <w:p w:rsidR="00A7352B" w:rsidRPr="00014F94" w:rsidRDefault="00A7352B" w:rsidP="00A7352B">
            <w:pPr>
              <w:jc w:val="left"/>
              <w:rPr>
                <w:rFonts w:ascii="Arial" w:hAnsi="Arial" w:cs="Arial"/>
                <w:sz w:val="24"/>
                <w:szCs w:val="24"/>
              </w:rPr>
            </w:pPr>
            <w:r w:rsidRPr="00014F94">
              <w:rPr>
                <w:rFonts w:ascii="Arial" w:hAnsi="Arial" w:cs="Arial"/>
                <w:sz w:val="24"/>
                <w:szCs w:val="24"/>
              </w:rPr>
              <w:t xml:space="preserve">Profit before taxation </w:t>
            </w:r>
            <w:r>
              <w:rPr>
                <w:rFonts w:ascii="Arial" w:hAnsi="Arial" w:cs="Arial"/>
                <w:sz w:val="24"/>
                <w:szCs w:val="24"/>
              </w:rPr>
              <w:t>after exceptional items</w:t>
            </w:r>
          </w:p>
        </w:tc>
        <w:tc>
          <w:tcPr>
            <w:tcW w:w="648" w:type="pct"/>
          </w:tcPr>
          <w:p w:rsidR="00A7352B" w:rsidRDefault="001663A2" w:rsidP="00A7352B">
            <w:pPr>
              <w:jc w:val="right"/>
              <w:rPr>
                <w:rFonts w:ascii="Arial" w:hAnsi="Arial" w:cs="Arial"/>
                <w:b/>
                <w:sz w:val="24"/>
                <w:szCs w:val="24"/>
              </w:rPr>
            </w:pPr>
            <w:r>
              <w:rPr>
                <w:rFonts w:ascii="Arial" w:hAnsi="Arial" w:cs="Arial"/>
                <w:b/>
                <w:sz w:val="24"/>
                <w:szCs w:val="24"/>
              </w:rPr>
              <w:t>£</w:t>
            </w:r>
            <w:r w:rsidR="00A7352B">
              <w:rPr>
                <w:rFonts w:ascii="Arial" w:hAnsi="Arial" w:cs="Arial"/>
                <w:b/>
                <w:sz w:val="24"/>
                <w:szCs w:val="24"/>
              </w:rPr>
              <w:t>759</w:t>
            </w:r>
            <w:r>
              <w:rPr>
                <w:rFonts w:ascii="Arial" w:hAnsi="Arial" w:cs="Arial"/>
                <w:b/>
                <w:sz w:val="24"/>
                <w:szCs w:val="24"/>
              </w:rPr>
              <w:t>m</w:t>
            </w:r>
          </w:p>
        </w:tc>
        <w:tc>
          <w:tcPr>
            <w:tcW w:w="586" w:type="pct"/>
          </w:tcPr>
          <w:p w:rsidR="00A7352B" w:rsidRPr="00D71CD9" w:rsidRDefault="001663A2" w:rsidP="00A7352B">
            <w:pPr>
              <w:jc w:val="right"/>
              <w:rPr>
                <w:rFonts w:ascii="Arial" w:hAnsi="Arial" w:cs="Arial"/>
                <w:sz w:val="24"/>
                <w:szCs w:val="24"/>
              </w:rPr>
            </w:pPr>
            <w:r>
              <w:rPr>
                <w:rFonts w:ascii="Arial" w:hAnsi="Arial" w:cs="Arial"/>
                <w:sz w:val="24"/>
                <w:szCs w:val="24"/>
              </w:rPr>
              <w:t>£</w:t>
            </w:r>
            <w:r w:rsidR="00A7352B" w:rsidRPr="00D71CD9">
              <w:rPr>
                <w:rFonts w:ascii="Arial" w:hAnsi="Arial" w:cs="Arial"/>
                <w:sz w:val="24"/>
                <w:szCs w:val="24"/>
              </w:rPr>
              <w:t>691</w:t>
            </w:r>
            <w:r>
              <w:rPr>
                <w:rFonts w:ascii="Arial" w:hAnsi="Arial" w:cs="Arial"/>
                <w:sz w:val="24"/>
                <w:szCs w:val="24"/>
              </w:rPr>
              <w:t>m</w:t>
            </w:r>
          </w:p>
        </w:tc>
        <w:tc>
          <w:tcPr>
            <w:tcW w:w="784" w:type="pct"/>
          </w:tcPr>
          <w:p w:rsidR="00A7352B" w:rsidRDefault="001663A2" w:rsidP="00A7352B">
            <w:pPr>
              <w:jc w:val="right"/>
              <w:rPr>
                <w:rFonts w:ascii="Arial" w:hAnsi="Arial" w:cs="Arial"/>
                <w:sz w:val="24"/>
                <w:szCs w:val="24"/>
              </w:rPr>
            </w:pPr>
            <w:r>
              <w:rPr>
                <w:rFonts w:ascii="Arial" w:hAnsi="Arial" w:cs="Arial"/>
                <w:sz w:val="24"/>
                <w:szCs w:val="24"/>
              </w:rPr>
              <w:t>+</w:t>
            </w:r>
            <w:r w:rsidR="00A7352B">
              <w:rPr>
                <w:rFonts w:ascii="Arial" w:hAnsi="Arial" w:cs="Arial"/>
                <w:sz w:val="24"/>
                <w:szCs w:val="24"/>
              </w:rPr>
              <w:t>9.8%</w:t>
            </w:r>
          </w:p>
        </w:tc>
      </w:tr>
      <w:tr w:rsidR="00A7352B" w:rsidRPr="00014F94" w:rsidTr="00A7352B">
        <w:trPr>
          <w:trHeight w:hRule="exact" w:val="85"/>
        </w:trPr>
        <w:tc>
          <w:tcPr>
            <w:tcW w:w="2981" w:type="pct"/>
          </w:tcPr>
          <w:p w:rsidR="00A7352B" w:rsidRPr="00014F94" w:rsidRDefault="00A7352B" w:rsidP="00A7352B">
            <w:pPr>
              <w:jc w:val="left"/>
              <w:rPr>
                <w:rFonts w:ascii="Arial" w:hAnsi="Arial" w:cs="Arial"/>
                <w:sz w:val="24"/>
                <w:szCs w:val="24"/>
              </w:rPr>
            </w:pPr>
          </w:p>
        </w:tc>
        <w:tc>
          <w:tcPr>
            <w:tcW w:w="648" w:type="pct"/>
          </w:tcPr>
          <w:p w:rsidR="00A7352B" w:rsidRPr="00FD6375" w:rsidRDefault="00A7352B" w:rsidP="00A7352B">
            <w:pPr>
              <w:jc w:val="right"/>
              <w:rPr>
                <w:rFonts w:ascii="Arial" w:hAnsi="Arial" w:cs="Arial"/>
                <w:b/>
                <w:sz w:val="24"/>
                <w:szCs w:val="24"/>
              </w:rPr>
            </w:pPr>
          </w:p>
        </w:tc>
        <w:tc>
          <w:tcPr>
            <w:tcW w:w="586" w:type="pct"/>
          </w:tcPr>
          <w:p w:rsidR="00A7352B" w:rsidRPr="00D71CD9" w:rsidRDefault="00A7352B" w:rsidP="00A7352B">
            <w:pPr>
              <w:jc w:val="right"/>
              <w:rPr>
                <w:rFonts w:ascii="Arial" w:hAnsi="Arial" w:cs="Arial"/>
                <w:sz w:val="24"/>
                <w:szCs w:val="24"/>
              </w:rPr>
            </w:pPr>
          </w:p>
        </w:tc>
        <w:tc>
          <w:tcPr>
            <w:tcW w:w="784" w:type="pct"/>
          </w:tcPr>
          <w:p w:rsidR="00A7352B" w:rsidRDefault="00A7352B" w:rsidP="00A7352B">
            <w:pPr>
              <w:jc w:val="right"/>
              <w:rPr>
                <w:rFonts w:ascii="Arial" w:hAnsi="Arial" w:cs="Arial"/>
                <w:sz w:val="24"/>
                <w:szCs w:val="24"/>
              </w:rPr>
            </w:pPr>
          </w:p>
        </w:tc>
      </w:tr>
      <w:tr w:rsidR="00A7352B" w:rsidRPr="00014F94" w:rsidTr="00A7352B">
        <w:tc>
          <w:tcPr>
            <w:tcW w:w="2981" w:type="pct"/>
          </w:tcPr>
          <w:p w:rsidR="00A7352B" w:rsidRPr="00014F94" w:rsidRDefault="00A7352B" w:rsidP="00A7352B">
            <w:pPr>
              <w:jc w:val="left"/>
              <w:rPr>
                <w:rFonts w:ascii="Arial" w:hAnsi="Arial" w:cs="Arial"/>
                <w:sz w:val="24"/>
                <w:szCs w:val="24"/>
              </w:rPr>
            </w:pPr>
            <w:r w:rsidRPr="00014F94">
              <w:rPr>
                <w:rFonts w:ascii="Arial" w:hAnsi="Arial" w:cs="Arial"/>
                <w:sz w:val="24"/>
                <w:szCs w:val="24"/>
              </w:rPr>
              <w:t xml:space="preserve">Adjusted </w:t>
            </w:r>
            <w:r>
              <w:rPr>
                <w:rFonts w:ascii="Arial" w:hAnsi="Arial" w:cs="Arial"/>
                <w:sz w:val="24"/>
                <w:szCs w:val="24"/>
              </w:rPr>
              <w:t xml:space="preserve">basic </w:t>
            </w:r>
            <w:r w:rsidRPr="00014F94">
              <w:rPr>
                <w:rFonts w:ascii="Arial" w:hAnsi="Arial" w:cs="Arial"/>
                <w:sz w:val="24"/>
                <w:szCs w:val="24"/>
              </w:rPr>
              <w:t>earnings per share</w:t>
            </w:r>
            <w:r>
              <w:rPr>
                <w:rFonts w:ascii="Arial" w:hAnsi="Arial" w:cs="Arial"/>
                <w:sz w:val="24"/>
                <w:szCs w:val="24"/>
              </w:rPr>
              <w:t xml:space="preserve"> </w:t>
            </w:r>
          </w:p>
        </w:tc>
        <w:tc>
          <w:tcPr>
            <w:tcW w:w="648" w:type="pct"/>
          </w:tcPr>
          <w:p w:rsidR="00A7352B" w:rsidRPr="00FD6375" w:rsidRDefault="00A7352B" w:rsidP="00A7352B">
            <w:pPr>
              <w:jc w:val="right"/>
              <w:rPr>
                <w:rFonts w:ascii="Arial" w:hAnsi="Arial" w:cs="Arial"/>
                <w:b/>
                <w:sz w:val="24"/>
                <w:szCs w:val="24"/>
              </w:rPr>
            </w:pPr>
            <w:r>
              <w:rPr>
                <w:rFonts w:ascii="Arial" w:hAnsi="Arial" w:cs="Arial"/>
                <w:b/>
                <w:sz w:val="24"/>
                <w:szCs w:val="24"/>
              </w:rPr>
              <w:t>23.4p</w:t>
            </w:r>
          </w:p>
        </w:tc>
        <w:tc>
          <w:tcPr>
            <w:tcW w:w="586" w:type="pct"/>
          </w:tcPr>
          <w:p w:rsidR="00A7352B" w:rsidRPr="00D71CD9" w:rsidRDefault="00A7352B" w:rsidP="00A7352B">
            <w:pPr>
              <w:jc w:val="right"/>
              <w:rPr>
                <w:rFonts w:ascii="Arial" w:hAnsi="Arial" w:cs="Arial"/>
                <w:sz w:val="24"/>
                <w:szCs w:val="24"/>
              </w:rPr>
            </w:pPr>
            <w:r w:rsidRPr="00D71CD9">
              <w:rPr>
                <w:rFonts w:ascii="Arial" w:hAnsi="Arial" w:cs="Arial"/>
                <w:sz w:val="24"/>
                <w:szCs w:val="24"/>
              </w:rPr>
              <w:t>22.3p</w:t>
            </w:r>
          </w:p>
        </w:tc>
        <w:tc>
          <w:tcPr>
            <w:tcW w:w="784" w:type="pct"/>
          </w:tcPr>
          <w:p w:rsidR="00A7352B" w:rsidRDefault="001663A2" w:rsidP="00A7352B">
            <w:pPr>
              <w:jc w:val="right"/>
              <w:rPr>
                <w:rFonts w:ascii="Arial" w:hAnsi="Arial" w:cs="Arial"/>
                <w:sz w:val="24"/>
                <w:szCs w:val="24"/>
              </w:rPr>
            </w:pPr>
            <w:r>
              <w:rPr>
                <w:rFonts w:ascii="Arial" w:hAnsi="Arial" w:cs="Arial"/>
                <w:sz w:val="24"/>
                <w:szCs w:val="24"/>
              </w:rPr>
              <w:t>+</w:t>
            </w:r>
            <w:r w:rsidR="00A7352B">
              <w:rPr>
                <w:rFonts w:ascii="Arial" w:hAnsi="Arial" w:cs="Arial"/>
                <w:sz w:val="24"/>
                <w:szCs w:val="24"/>
              </w:rPr>
              <w:t>4.9%</w:t>
            </w:r>
          </w:p>
        </w:tc>
      </w:tr>
      <w:tr w:rsidR="00A7352B" w:rsidRPr="00014F94" w:rsidTr="00A7352B">
        <w:trPr>
          <w:trHeight w:hRule="exact" w:val="85"/>
        </w:trPr>
        <w:tc>
          <w:tcPr>
            <w:tcW w:w="2981" w:type="pct"/>
          </w:tcPr>
          <w:p w:rsidR="00A7352B" w:rsidRPr="00014F94" w:rsidRDefault="00A7352B" w:rsidP="00A7352B">
            <w:pPr>
              <w:jc w:val="left"/>
              <w:rPr>
                <w:rFonts w:ascii="Arial" w:hAnsi="Arial" w:cs="Arial"/>
                <w:sz w:val="24"/>
                <w:szCs w:val="24"/>
              </w:rPr>
            </w:pPr>
          </w:p>
        </w:tc>
        <w:tc>
          <w:tcPr>
            <w:tcW w:w="648" w:type="pct"/>
          </w:tcPr>
          <w:p w:rsidR="00A7352B" w:rsidRPr="00FD6375" w:rsidRDefault="00A7352B" w:rsidP="00A7352B">
            <w:pPr>
              <w:jc w:val="right"/>
              <w:rPr>
                <w:rFonts w:ascii="Arial" w:hAnsi="Arial" w:cs="Arial"/>
                <w:b/>
                <w:sz w:val="24"/>
                <w:szCs w:val="24"/>
              </w:rPr>
            </w:pPr>
          </w:p>
        </w:tc>
        <w:tc>
          <w:tcPr>
            <w:tcW w:w="586" w:type="pct"/>
          </w:tcPr>
          <w:p w:rsidR="00A7352B" w:rsidRPr="00D71CD9" w:rsidRDefault="00A7352B" w:rsidP="00A7352B">
            <w:pPr>
              <w:jc w:val="right"/>
              <w:rPr>
                <w:rFonts w:ascii="Arial" w:hAnsi="Arial" w:cs="Arial"/>
                <w:sz w:val="24"/>
                <w:szCs w:val="24"/>
              </w:rPr>
            </w:pPr>
          </w:p>
        </w:tc>
        <w:tc>
          <w:tcPr>
            <w:tcW w:w="784" w:type="pct"/>
          </w:tcPr>
          <w:p w:rsidR="00A7352B" w:rsidRDefault="00A7352B" w:rsidP="00A7352B">
            <w:pPr>
              <w:jc w:val="right"/>
              <w:rPr>
                <w:rFonts w:ascii="Arial" w:hAnsi="Arial" w:cs="Arial"/>
                <w:sz w:val="24"/>
                <w:szCs w:val="24"/>
              </w:rPr>
            </w:pPr>
          </w:p>
        </w:tc>
      </w:tr>
      <w:tr w:rsidR="00A7352B" w:rsidRPr="00014F94" w:rsidTr="00A7352B">
        <w:tc>
          <w:tcPr>
            <w:tcW w:w="2981" w:type="pct"/>
            <w:tcBorders>
              <w:bottom w:val="single" w:sz="4" w:space="0" w:color="auto"/>
            </w:tcBorders>
          </w:tcPr>
          <w:p w:rsidR="00A7352B" w:rsidRPr="00014F94" w:rsidRDefault="00A7352B" w:rsidP="00A7352B">
            <w:pPr>
              <w:jc w:val="left"/>
              <w:rPr>
                <w:rFonts w:ascii="Arial" w:hAnsi="Arial" w:cs="Arial"/>
                <w:sz w:val="24"/>
                <w:szCs w:val="24"/>
              </w:rPr>
            </w:pPr>
            <w:r w:rsidRPr="00014F94">
              <w:rPr>
                <w:rFonts w:ascii="Arial" w:hAnsi="Arial" w:cs="Arial"/>
                <w:sz w:val="24"/>
                <w:szCs w:val="24"/>
              </w:rPr>
              <w:t>Dividends</w:t>
            </w:r>
          </w:p>
        </w:tc>
        <w:tc>
          <w:tcPr>
            <w:tcW w:w="648" w:type="pct"/>
            <w:tcBorders>
              <w:bottom w:val="single" w:sz="4" w:space="0" w:color="auto"/>
            </w:tcBorders>
          </w:tcPr>
          <w:p w:rsidR="00A7352B" w:rsidRPr="00FD6375" w:rsidRDefault="001663A2" w:rsidP="00A7352B">
            <w:pPr>
              <w:jc w:val="right"/>
              <w:rPr>
                <w:rFonts w:ascii="Arial" w:hAnsi="Arial" w:cs="Arial"/>
                <w:b/>
                <w:sz w:val="24"/>
                <w:szCs w:val="24"/>
              </w:rPr>
            </w:pPr>
            <w:r>
              <w:rPr>
                <w:rFonts w:ascii="Arial" w:hAnsi="Arial" w:cs="Arial"/>
                <w:b/>
                <w:sz w:val="24"/>
                <w:szCs w:val="24"/>
              </w:rPr>
              <w:t>9.9p</w:t>
            </w:r>
          </w:p>
        </w:tc>
        <w:tc>
          <w:tcPr>
            <w:tcW w:w="586" w:type="pct"/>
            <w:tcBorders>
              <w:bottom w:val="single" w:sz="4" w:space="0" w:color="auto"/>
            </w:tcBorders>
          </w:tcPr>
          <w:p w:rsidR="00A7352B" w:rsidRPr="00D71CD9" w:rsidRDefault="00A7352B" w:rsidP="00A7352B">
            <w:pPr>
              <w:jc w:val="right"/>
              <w:rPr>
                <w:rFonts w:ascii="Arial" w:hAnsi="Arial" w:cs="Arial"/>
                <w:sz w:val="24"/>
                <w:szCs w:val="24"/>
              </w:rPr>
            </w:pPr>
            <w:r w:rsidRPr="00D71CD9">
              <w:rPr>
                <w:rFonts w:ascii="Arial" w:hAnsi="Arial" w:cs="Arial"/>
                <w:sz w:val="24"/>
                <w:szCs w:val="24"/>
              </w:rPr>
              <w:t>9.46p</w:t>
            </w:r>
          </w:p>
        </w:tc>
        <w:tc>
          <w:tcPr>
            <w:tcW w:w="784" w:type="pct"/>
            <w:tcBorders>
              <w:bottom w:val="single" w:sz="4" w:space="0" w:color="auto"/>
            </w:tcBorders>
          </w:tcPr>
          <w:p w:rsidR="00A7352B" w:rsidRDefault="001663A2" w:rsidP="00A7352B">
            <w:pPr>
              <w:jc w:val="right"/>
              <w:rPr>
                <w:rFonts w:ascii="Arial" w:hAnsi="Arial" w:cs="Arial"/>
                <w:sz w:val="24"/>
                <w:szCs w:val="24"/>
              </w:rPr>
            </w:pPr>
            <w:r>
              <w:rPr>
                <w:rFonts w:ascii="Arial" w:hAnsi="Arial" w:cs="Arial"/>
                <w:sz w:val="24"/>
                <w:szCs w:val="24"/>
              </w:rPr>
              <w:t>+4.7</w:t>
            </w:r>
            <w:r w:rsidR="00A7352B">
              <w:rPr>
                <w:rFonts w:ascii="Arial" w:hAnsi="Arial" w:cs="Arial"/>
                <w:sz w:val="24"/>
                <w:szCs w:val="24"/>
              </w:rPr>
              <w:t>%</w:t>
            </w:r>
          </w:p>
        </w:tc>
      </w:tr>
    </w:tbl>
    <w:p w:rsidR="00A7352B" w:rsidRDefault="00A7352B" w:rsidP="00A7352B"/>
    <w:p w:rsidR="00A7352B" w:rsidRDefault="00A7352B" w:rsidP="00A7352B">
      <w:pPr>
        <w:jc w:val="left"/>
        <w:rPr>
          <w:rFonts w:ascii="Arial" w:hAnsi="Arial" w:cs="Arial"/>
          <w:sz w:val="24"/>
        </w:rPr>
      </w:pPr>
      <w:r w:rsidRPr="00C82F88">
        <w:rPr>
          <w:rFonts w:ascii="Arial" w:hAnsi="Arial" w:cs="Arial"/>
          <w:sz w:val="24"/>
          <w:szCs w:val="24"/>
        </w:rPr>
        <w:t>A reconciliation of statutory profit to adjusted profit is set out below:</w:t>
      </w:r>
    </w:p>
    <w:p w:rsidR="00A7352B" w:rsidRDefault="00A7352B" w:rsidP="00A7352B">
      <w:pPr>
        <w:jc w:val="left"/>
        <w:rPr>
          <w:rFonts w:ascii="Arial" w:hAnsi="Arial" w:cs="Arial"/>
          <w:sz w:val="24"/>
        </w:rPr>
      </w:pPr>
    </w:p>
    <w:tbl>
      <w:tblPr>
        <w:tblStyle w:val="TableGrid"/>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44"/>
        <w:gridCol w:w="1230"/>
        <w:gridCol w:w="1212"/>
        <w:gridCol w:w="1497"/>
      </w:tblGrid>
      <w:tr w:rsidR="00A7352B" w:rsidRPr="00014F94" w:rsidTr="00A7352B">
        <w:tc>
          <w:tcPr>
            <w:tcW w:w="2966" w:type="pct"/>
            <w:tcBorders>
              <w:bottom w:val="single" w:sz="4" w:space="0" w:color="auto"/>
            </w:tcBorders>
          </w:tcPr>
          <w:p w:rsidR="00A7352B" w:rsidRPr="00014F94" w:rsidRDefault="00A7352B" w:rsidP="00A7352B">
            <w:pPr>
              <w:jc w:val="right"/>
              <w:rPr>
                <w:rFonts w:ascii="Arial" w:hAnsi="Arial" w:cs="Arial"/>
                <w:sz w:val="24"/>
                <w:szCs w:val="24"/>
              </w:rPr>
            </w:pPr>
          </w:p>
        </w:tc>
        <w:tc>
          <w:tcPr>
            <w:tcW w:w="635" w:type="pct"/>
            <w:tcBorders>
              <w:bottom w:val="single" w:sz="4" w:space="0" w:color="auto"/>
            </w:tcBorders>
          </w:tcPr>
          <w:p w:rsidR="00A7352B" w:rsidRPr="00FD6375" w:rsidRDefault="00A7352B" w:rsidP="00A7352B">
            <w:pPr>
              <w:jc w:val="right"/>
              <w:rPr>
                <w:rFonts w:ascii="Arial" w:hAnsi="Arial" w:cs="Arial"/>
                <w:b/>
                <w:sz w:val="24"/>
                <w:szCs w:val="24"/>
              </w:rPr>
            </w:pPr>
            <w:r>
              <w:rPr>
                <w:rFonts w:ascii="Arial" w:hAnsi="Arial" w:cs="Arial"/>
                <w:b/>
                <w:sz w:val="24"/>
                <w:szCs w:val="24"/>
              </w:rPr>
              <w:t>2013/14</w:t>
            </w:r>
          </w:p>
          <w:p w:rsidR="00A7352B" w:rsidRPr="00477C40" w:rsidRDefault="00A7352B" w:rsidP="00A7352B">
            <w:pPr>
              <w:jc w:val="right"/>
              <w:rPr>
                <w:rFonts w:ascii="Arial" w:hAnsi="Arial" w:cs="Arial"/>
                <w:b/>
                <w:sz w:val="24"/>
                <w:szCs w:val="24"/>
              </w:rPr>
            </w:pPr>
            <w:r w:rsidRPr="00477C40">
              <w:rPr>
                <w:rFonts w:ascii="Arial" w:hAnsi="Arial" w:cs="Arial"/>
                <w:b/>
                <w:sz w:val="24"/>
                <w:szCs w:val="24"/>
              </w:rPr>
              <w:t>£m</w:t>
            </w:r>
          </w:p>
        </w:tc>
        <w:tc>
          <w:tcPr>
            <w:tcW w:w="626" w:type="pct"/>
            <w:tcBorders>
              <w:bottom w:val="single" w:sz="4" w:space="0" w:color="auto"/>
            </w:tcBorders>
          </w:tcPr>
          <w:p w:rsidR="00A7352B" w:rsidRPr="00D71CD9" w:rsidRDefault="00A7352B" w:rsidP="00A7352B">
            <w:pPr>
              <w:jc w:val="right"/>
              <w:rPr>
                <w:rFonts w:ascii="Arial" w:hAnsi="Arial" w:cs="Arial"/>
                <w:sz w:val="24"/>
                <w:szCs w:val="24"/>
              </w:rPr>
            </w:pPr>
            <w:r w:rsidRPr="00D71CD9">
              <w:rPr>
                <w:rFonts w:ascii="Arial" w:hAnsi="Arial" w:cs="Arial"/>
                <w:sz w:val="24"/>
                <w:szCs w:val="24"/>
              </w:rPr>
              <w:t>2012/13</w:t>
            </w:r>
          </w:p>
          <w:p w:rsidR="00A7352B" w:rsidRPr="00D71CD9" w:rsidRDefault="00A7352B" w:rsidP="00A7352B">
            <w:pPr>
              <w:jc w:val="right"/>
              <w:rPr>
                <w:rFonts w:ascii="Arial" w:hAnsi="Arial" w:cs="Arial"/>
                <w:sz w:val="24"/>
                <w:szCs w:val="24"/>
              </w:rPr>
            </w:pPr>
            <w:r w:rsidRPr="00D71CD9">
              <w:rPr>
                <w:rFonts w:ascii="Arial" w:hAnsi="Arial" w:cs="Arial"/>
                <w:sz w:val="24"/>
                <w:szCs w:val="24"/>
              </w:rPr>
              <w:t>£m</w:t>
            </w:r>
          </w:p>
        </w:tc>
        <w:tc>
          <w:tcPr>
            <w:tcW w:w="773" w:type="pct"/>
            <w:tcBorders>
              <w:bottom w:val="single" w:sz="4" w:space="0" w:color="auto"/>
            </w:tcBorders>
          </w:tcPr>
          <w:p w:rsidR="00A7352B" w:rsidRDefault="00A7352B" w:rsidP="00A7352B">
            <w:pPr>
              <w:jc w:val="right"/>
              <w:rPr>
                <w:rFonts w:ascii="Arial" w:hAnsi="Arial" w:cs="Arial"/>
                <w:sz w:val="24"/>
                <w:szCs w:val="24"/>
              </w:rPr>
            </w:pPr>
          </w:p>
          <w:p w:rsidR="00A7352B" w:rsidRPr="00014F94" w:rsidRDefault="00A7352B" w:rsidP="00A7352B">
            <w:pPr>
              <w:jc w:val="right"/>
              <w:rPr>
                <w:rFonts w:ascii="Arial" w:hAnsi="Arial" w:cs="Arial"/>
                <w:sz w:val="24"/>
                <w:szCs w:val="24"/>
              </w:rPr>
            </w:pPr>
            <w:r>
              <w:rPr>
                <w:rFonts w:ascii="Arial" w:hAnsi="Arial" w:cs="Arial"/>
                <w:sz w:val="24"/>
                <w:szCs w:val="24"/>
              </w:rPr>
              <w:t>Increase</w:t>
            </w:r>
          </w:p>
        </w:tc>
      </w:tr>
      <w:tr w:rsidR="00A7352B" w:rsidRPr="00014F94" w:rsidTr="00A7352B">
        <w:trPr>
          <w:trHeight w:hRule="exact" w:val="113"/>
        </w:trPr>
        <w:tc>
          <w:tcPr>
            <w:tcW w:w="2966" w:type="pct"/>
            <w:tcBorders>
              <w:top w:val="single" w:sz="4" w:space="0" w:color="auto"/>
            </w:tcBorders>
          </w:tcPr>
          <w:p w:rsidR="00A7352B" w:rsidRPr="00014F94" w:rsidRDefault="00A7352B" w:rsidP="00A7352B">
            <w:pPr>
              <w:rPr>
                <w:rFonts w:ascii="Arial" w:hAnsi="Arial" w:cs="Arial"/>
                <w:sz w:val="24"/>
                <w:szCs w:val="24"/>
              </w:rPr>
            </w:pPr>
          </w:p>
        </w:tc>
        <w:tc>
          <w:tcPr>
            <w:tcW w:w="635" w:type="pct"/>
            <w:tcBorders>
              <w:top w:val="single" w:sz="4" w:space="0" w:color="auto"/>
            </w:tcBorders>
          </w:tcPr>
          <w:p w:rsidR="00A7352B" w:rsidRPr="00477C40" w:rsidRDefault="00A7352B" w:rsidP="00A7352B">
            <w:pPr>
              <w:jc w:val="right"/>
              <w:rPr>
                <w:rFonts w:ascii="Arial" w:hAnsi="Arial" w:cs="Arial"/>
                <w:b/>
                <w:sz w:val="24"/>
                <w:szCs w:val="24"/>
              </w:rPr>
            </w:pPr>
          </w:p>
        </w:tc>
        <w:tc>
          <w:tcPr>
            <w:tcW w:w="626" w:type="pct"/>
            <w:tcBorders>
              <w:top w:val="single" w:sz="4" w:space="0" w:color="auto"/>
            </w:tcBorders>
          </w:tcPr>
          <w:p w:rsidR="00A7352B" w:rsidRPr="00D71CD9" w:rsidRDefault="00A7352B" w:rsidP="00A7352B">
            <w:pPr>
              <w:jc w:val="right"/>
              <w:rPr>
                <w:rFonts w:ascii="Arial" w:hAnsi="Arial" w:cs="Arial"/>
                <w:sz w:val="24"/>
                <w:szCs w:val="24"/>
              </w:rPr>
            </w:pPr>
          </w:p>
        </w:tc>
        <w:tc>
          <w:tcPr>
            <w:tcW w:w="773" w:type="pct"/>
            <w:tcBorders>
              <w:top w:val="single" w:sz="4" w:space="0" w:color="auto"/>
            </w:tcBorders>
          </w:tcPr>
          <w:p w:rsidR="00A7352B" w:rsidRPr="00014F94" w:rsidRDefault="00A7352B" w:rsidP="00A7352B">
            <w:pPr>
              <w:jc w:val="right"/>
              <w:rPr>
                <w:rFonts w:ascii="Arial" w:hAnsi="Arial" w:cs="Arial"/>
                <w:sz w:val="24"/>
                <w:szCs w:val="24"/>
              </w:rPr>
            </w:pPr>
          </w:p>
        </w:tc>
      </w:tr>
      <w:tr w:rsidR="00A7352B" w:rsidRPr="00014F94" w:rsidTr="00A7352B">
        <w:tc>
          <w:tcPr>
            <w:tcW w:w="2966" w:type="pct"/>
          </w:tcPr>
          <w:p w:rsidR="00A7352B" w:rsidRPr="00C82F88" w:rsidRDefault="00A7352B" w:rsidP="00A7352B">
            <w:pPr>
              <w:jc w:val="left"/>
              <w:rPr>
                <w:rFonts w:ascii="Arial" w:hAnsi="Arial" w:cs="Arial"/>
                <w:b/>
                <w:sz w:val="24"/>
                <w:szCs w:val="24"/>
              </w:rPr>
            </w:pPr>
            <w:r w:rsidRPr="00C82F88">
              <w:rPr>
                <w:rFonts w:ascii="Arial" w:hAnsi="Arial" w:cs="Arial"/>
                <w:b/>
                <w:sz w:val="24"/>
                <w:szCs w:val="24"/>
              </w:rPr>
              <w:t>Profit before taxation</w:t>
            </w:r>
          </w:p>
        </w:tc>
        <w:tc>
          <w:tcPr>
            <w:tcW w:w="635" w:type="pct"/>
          </w:tcPr>
          <w:p w:rsidR="00A7352B" w:rsidRPr="00477C40" w:rsidRDefault="00A7352B" w:rsidP="00A7352B">
            <w:pPr>
              <w:jc w:val="right"/>
              <w:rPr>
                <w:rFonts w:ascii="Arial" w:hAnsi="Arial" w:cs="Arial"/>
                <w:b/>
                <w:sz w:val="24"/>
                <w:szCs w:val="24"/>
              </w:rPr>
            </w:pPr>
            <w:r>
              <w:rPr>
                <w:rFonts w:ascii="Arial" w:hAnsi="Arial" w:cs="Arial"/>
                <w:b/>
                <w:sz w:val="24"/>
                <w:szCs w:val="24"/>
              </w:rPr>
              <w:t>759</w:t>
            </w:r>
          </w:p>
        </w:tc>
        <w:tc>
          <w:tcPr>
            <w:tcW w:w="626" w:type="pct"/>
          </w:tcPr>
          <w:p w:rsidR="00A7352B" w:rsidRPr="00D71CD9" w:rsidRDefault="00A7352B" w:rsidP="00A7352B">
            <w:pPr>
              <w:jc w:val="right"/>
              <w:rPr>
                <w:rFonts w:ascii="Arial" w:hAnsi="Arial" w:cs="Arial"/>
                <w:sz w:val="24"/>
                <w:szCs w:val="24"/>
              </w:rPr>
            </w:pPr>
            <w:r w:rsidRPr="00D71CD9">
              <w:rPr>
                <w:rFonts w:ascii="Arial" w:hAnsi="Arial" w:cs="Arial"/>
                <w:sz w:val="24"/>
                <w:szCs w:val="24"/>
              </w:rPr>
              <w:t>691</w:t>
            </w:r>
          </w:p>
        </w:tc>
        <w:tc>
          <w:tcPr>
            <w:tcW w:w="773" w:type="pct"/>
            <w:vAlign w:val="bottom"/>
          </w:tcPr>
          <w:p w:rsidR="00A7352B" w:rsidRPr="008C746C" w:rsidRDefault="001663A2" w:rsidP="00A7352B">
            <w:pPr>
              <w:jc w:val="right"/>
              <w:rPr>
                <w:rFonts w:ascii="Arial" w:hAnsi="Arial" w:cs="Arial"/>
                <w:sz w:val="24"/>
                <w:szCs w:val="24"/>
              </w:rPr>
            </w:pPr>
            <w:r>
              <w:rPr>
                <w:rFonts w:ascii="Arial" w:hAnsi="Arial" w:cs="Arial"/>
                <w:sz w:val="24"/>
                <w:szCs w:val="24"/>
              </w:rPr>
              <w:t>+</w:t>
            </w:r>
            <w:r w:rsidR="00A7352B">
              <w:rPr>
                <w:rFonts w:ascii="Arial" w:hAnsi="Arial" w:cs="Arial"/>
                <w:sz w:val="24"/>
                <w:szCs w:val="24"/>
              </w:rPr>
              <w:t>9.8%</w:t>
            </w:r>
          </w:p>
        </w:tc>
      </w:tr>
      <w:tr w:rsidR="00A7352B" w:rsidRPr="00014F94" w:rsidTr="00A7352B">
        <w:tc>
          <w:tcPr>
            <w:tcW w:w="2966" w:type="pct"/>
            <w:tcBorders>
              <w:bottom w:val="single" w:sz="4" w:space="0" w:color="auto"/>
            </w:tcBorders>
          </w:tcPr>
          <w:p w:rsidR="00A7352B" w:rsidRPr="00014F94" w:rsidRDefault="00A7352B" w:rsidP="00A7352B">
            <w:pPr>
              <w:jc w:val="left"/>
              <w:rPr>
                <w:rFonts w:ascii="Arial" w:hAnsi="Arial" w:cs="Arial"/>
                <w:sz w:val="24"/>
                <w:szCs w:val="24"/>
              </w:rPr>
            </w:pPr>
            <w:r w:rsidRPr="00014F94">
              <w:rPr>
                <w:rFonts w:ascii="Arial" w:hAnsi="Arial" w:cs="Arial"/>
                <w:sz w:val="24"/>
                <w:szCs w:val="24"/>
              </w:rPr>
              <w:t>Exceptional items</w:t>
            </w:r>
          </w:p>
        </w:tc>
        <w:tc>
          <w:tcPr>
            <w:tcW w:w="635" w:type="pct"/>
            <w:tcBorders>
              <w:bottom w:val="single" w:sz="4" w:space="0" w:color="auto"/>
            </w:tcBorders>
          </w:tcPr>
          <w:p w:rsidR="00A7352B" w:rsidRPr="00477C40" w:rsidRDefault="00A7352B" w:rsidP="00A7352B">
            <w:pPr>
              <w:jc w:val="right"/>
              <w:rPr>
                <w:rFonts w:ascii="Arial" w:hAnsi="Arial" w:cs="Arial"/>
                <w:b/>
                <w:sz w:val="24"/>
                <w:szCs w:val="24"/>
              </w:rPr>
            </w:pPr>
            <w:r>
              <w:rPr>
                <w:rFonts w:ascii="Arial" w:hAnsi="Arial" w:cs="Arial"/>
                <w:b/>
                <w:sz w:val="24"/>
                <w:szCs w:val="24"/>
              </w:rPr>
              <w:t>(17)</w:t>
            </w:r>
          </w:p>
        </w:tc>
        <w:tc>
          <w:tcPr>
            <w:tcW w:w="626" w:type="pct"/>
            <w:tcBorders>
              <w:bottom w:val="single" w:sz="4" w:space="0" w:color="auto"/>
            </w:tcBorders>
          </w:tcPr>
          <w:p w:rsidR="00A7352B" w:rsidRPr="00D71CD9" w:rsidRDefault="00A7352B" w:rsidP="00A7352B">
            <w:pPr>
              <w:jc w:val="right"/>
              <w:rPr>
                <w:rFonts w:ascii="Arial" w:hAnsi="Arial" w:cs="Arial"/>
                <w:sz w:val="24"/>
                <w:szCs w:val="24"/>
              </w:rPr>
            </w:pPr>
            <w:r w:rsidRPr="00D71CD9">
              <w:rPr>
                <w:rFonts w:ascii="Arial" w:hAnsi="Arial" w:cs="Arial"/>
                <w:sz w:val="24"/>
                <w:szCs w:val="24"/>
              </w:rPr>
              <w:t>26</w:t>
            </w:r>
          </w:p>
        </w:tc>
        <w:tc>
          <w:tcPr>
            <w:tcW w:w="773" w:type="pct"/>
            <w:tcBorders>
              <w:bottom w:val="single" w:sz="4" w:space="0" w:color="auto"/>
            </w:tcBorders>
            <w:vAlign w:val="bottom"/>
          </w:tcPr>
          <w:p w:rsidR="00A7352B" w:rsidRPr="008C746C" w:rsidRDefault="00A7352B" w:rsidP="00A7352B">
            <w:pPr>
              <w:jc w:val="right"/>
              <w:rPr>
                <w:rFonts w:ascii="Arial" w:hAnsi="Arial" w:cs="Arial"/>
                <w:sz w:val="24"/>
                <w:szCs w:val="24"/>
              </w:rPr>
            </w:pPr>
          </w:p>
        </w:tc>
      </w:tr>
      <w:tr w:rsidR="00A7352B" w:rsidRPr="00014F94" w:rsidTr="00A7352B">
        <w:tc>
          <w:tcPr>
            <w:tcW w:w="2966" w:type="pct"/>
            <w:tcBorders>
              <w:top w:val="single" w:sz="4" w:space="0" w:color="auto"/>
            </w:tcBorders>
          </w:tcPr>
          <w:p w:rsidR="00A7352B" w:rsidRPr="00014F94" w:rsidRDefault="00A7352B" w:rsidP="00A7352B">
            <w:pPr>
              <w:jc w:val="left"/>
              <w:rPr>
                <w:rFonts w:ascii="Arial" w:hAnsi="Arial" w:cs="Arial"/>
                <w:sz w:val="24"/>
                <w:szCs w:val="24"/>
              </w:rPr>
            </w:pPr>
            <w:r w:rsidRPr="00014F94">
              <w:rPr>
                <w:rFonts w:ascii="Arial" w:hAnsi="Arial" w:cs="Arial"/>
                <w:sz w:val="24"/>
                <w:szCs w:val="24"/>
              </w:rPr>
              <w:t xml:space="preserve">Profit before exceptional items and taxation </w:t>
            </w:r>
          </w:p>
        </w:tc>
        <w:tc>
          <w:tcPr>
            <w:tcW w:w="635" w:type="pct"/>
            <w:tcBorders>
              <w:top w:val="single" w:sz="4" w:space="0" w:color="auto"/>
            </w:tcBorders>
          </w:tcPr>
          <w:p w:rsidR="00A7352B" w:rsidRPr="00477C40" w:rsidRDefault="00A7352B" w:rsidP="00A7352B">
            <w:pPr>
              <w:jc w:val="right"/>
              <w:rPr>
                <w:rFonts w:ascii="Arial" w:hAnsi="Arial" w:cs="Arial"/>
                <w:b/>
                <w:sz w:val="24"/>
                <w:szCs w:val="24"/>
              </w:rPr>
            </w:pPr>
            <w:r>
              <w:rPr>
                <w:rFonts w:ascii="Arial" w:hAnsi="Arial" w:cs="Arial"/>
                <w:b/>
                <w:sz w:val="24"/>
                <w:szCs w:val="24"/>
              </w:rPr>
              <w:t>742</w:t>
            </w:r>
          </w:p>
        </w:tc>
        <w:tc>
          <w:tcPr>
            <w:tcW w:w="626" w:type="pct"/>
            <w:tcBorders>
              <w:top w:val="single" w:sz="4" w:space="0" w:color="auto"/>
            </w:tcBorders>
          </w:tcPr>
          <w:p w:rsidR="00A7352B" w:rsidRPr="00D71CD9" w:rsidRDefault="00A7352B" w:rsidP="00A7352B">
            <w:pPr>
              <w:jc w:val="right"/>
              <w:rPr>
                <w:rFonts w:ascii="Arial" w:hAnsi="Arial" w:cs="Arial"/>
                <w:sz w:val="24"/>
                <w:szCs w:val="24"/>
              </w:rPr>
            </w:pPr>
            <w:r w:rsidRPr="00D71CD9">
              <w:rPr>
                <w:rFonts w:ascii="Arial" w:hAnsi="Arial" w:cs="Arial"/>
                <w:sz w:val="24"/>
                <w:szCs w:val="24"/>
              </w:rPr>
              <w:t>717</w:t>
            </w:r>
          </w:p>
        </w:tc>
        <w:tc>
          <w:tcPr>
            <w:tcW w:w="773" w:type="pct"/>
            <w:tcBorders>
              <w:top w:val="single" w:sz="4" w:space="0" w:color="auto"/>
            </w:tcBorders>
            <w:vAlign w:val="bottom"/>
          </w:tcPr>
          <w:p w:rsidR="00A7352B" w:rsidRPr="008C746C" w:rsidRDefault="001663A2" w:rsidP="00A7352B">
            <w:pPr>
              <w:jc w:val="right"/>
              <w:rPr>
                <w:rFonts w:ascii="Arial" w:hAnsi="Arial" w:cs="Arial"/>
                <w:sz w:val="24"/>
                <w:szCs w:val="24"/>
              </w:rPr>
            </w:pPr>
            <w:r>
              <w:rPr>
                <w:rFonts w:ascii="Arial" w:hAnsi="Arial" w:cs="Arial"/>
                <w:sz w:val="24"/>
                <w:szCs w:val="24"/>
              </w:rPr>
              <w:t>+</w:t>
            </w:r>
            <w:r w:rsidR="00A7352B">
              <w:rPr>
                <w:rFonts w:ascii="Arial" w:hAnsi="Arial" w:cs="Arial"/>
                <w:sz w:val="24"/>
                <w:szCs w:val="24"/>
              </w:rPr>
              <w:t>3.5%</w:t>
            </w:r>
          </w:p>
        </w:tc>
      </w:tr>
      <w:tr w:rsidR="00A7352B" w:rsidRPr="00014F94" w:rsidTr="00A7352B">
        <w:tc>
          <w:tcPr>
            <w:tcW w:w="2966" w:type="pct"/>
            <w:tcBorders>
              <w:bottom w:val="single" w:sz="4" w:space="0" w:color="auto"/>
            </w:tcBorders>
          </w:tcPr>
          <w:p w:rsidR="00A7352B" w:rsidRPr="00014F94" w:rsidRDefault="00A7352B" w:rsidP="00A7352B">
            <w:pPr>
              <w:jc w:val="left"/>
              <w:rPr>
                <w:rFonts w:ascii="Arial" w:hAnsi="Arial" w:cs="Arial"/>
                <w:sz w:val="24"/>
                <w:szCs w:val="24"/>
              </w:rPr>
            </w:pPr>
            <w:r w:rsidRPr="00014F94">
              <w:rPr>
                <w:rFonts w:ascii="Arial" w:hAnsi="Arial" w:cs="Arial"/>
                <w:sz w:val="24"/>
                <w:szCs w:val="24"/>
              </w:rPr>
              <w:t>Financing fair value remeasurements</w:t>
            </w:r>
            <w:r w:rsidR="001663A2">
              <w:rPr>
                <w:rFonts w:ascii="Arial" w:hAnsi="Arial" w:cs="Arial"/>
                <w:sz w:val="24"/>
                <w:szCs w:val="24"/>
              </w:rPr>
              <w:t xml:space="preserve"> (FFVR</w:t>
            </w:r>
            <w:r w:rsidR="00F44D08">
              <w:rPr>
                <w:rFonts w:ascii="Arial" w:hAnsi="Arial" w:cs="Arial"/>
                <w:sz w:val="24"/>
                <w:szCs w:val="24"/>
              </w:rPr>
              <w:t>*</w:t>
            </w:r>
            <w:r w:rsidR="001663A2">
              <w:rPr>
                <w:rFonts w:ascii="Arial" w:hAnsi="Arial" w:cs="Arial"/>
                <w:sz w:val="24"/>
                <w:szCs w:val="24"/>
              </w:rPr>
              <w:t>)</w:t>
            </w:r>
          </w:p>
        </w:tc>
        <w:tc>
          <w:tcPr>
            <w:tcW w:w="635" w:type="pct"/>
            <w:tcBorders>
              <w:bottom w:val="single" w:sz="4" w:space="0" w:color="auto"/>
            </w:tcBorders>
          </w:tcPr>
          <w:p w:rsidR="00A7352B" w:rsidRPr="00477C40" w:rsidRDefault="00A7352B" w:rsidP="00A7352B">
            <w:pPr>
              <w:jc w:val="right"/>
              <w:rPr>
                <w:rFonts w:ascii="Arial" w:hAnsi="Arial" w:cs="Arial"/>
                <w:b/>
                <w:sz w:val="24"/>
                <w:szCs w:val="24"/>
              </w:rPr>
            </w:pPr>
            <w:r>
              <w:rPr>
                <w:rFonts w:ascii="Arial" w:hAnsi="Arial" w:cs="Arial"/>
                <w:b/>
                <w:sz w:val="24"/>
                <w:szCs w:val="24"/>
              </w:rPr>
              <w:t>2</w:t>
            </w:r>
          </w:p>
        </w:tc>
        <w:tc>
          <w:tcPr>
            <w:tcW w:w="626" w:type="pct"/>
            <w:tcBorders>
              <w:bottom w:val="single" w:sz="4" w:space="0" w:color="auto"/>
            </w:tcBorders>
          </w:tcPr>
          <w:p w:rsidR="00A7352B" w:rsidRPr="00D71CD9" w:rsidRDefault="00A7352B" w:rsidP="00A7352B">
            <w:pPr>
              <w:jc w:val="right"/>
              <w:rPr>
                <w:rFonts w:ascii="Arial" w:hAnsi="Arial" w:cs="Arial"/>
                <w:sz w:val="24"/>
                <w:szCs w:val="24"/>
              </w:rPr>
            </w:pPr>
            <w:r w:rsidRPr="00D71CD9">
              <w:rPr>
                <w:rFonts w:ascii="Arial" w:hAnsi="Arial" w:cs="Arial"/>
                <w:sz w:val="24"/>
                <w:szCs w:val="24"/>
              </w:rPr>
              <w:t>(2)</w:t>
            </w:r>
          </w:p>
        </w:tc>
        <w:tc>
          <w:tcPr>
            <w:tcW w:w="773" w:type="pct"/>
            <w:tcBorders>
              <w:bottom w:val="single" w:sz="4" w:space="0" w:color="auto"/>
            </w:tcBorders>
            <w:vAlign w:val="bottom"/>
          </w:tcPr>
          <w:p w:rsidR="00A7352B" w:rsidRPr="008C746C" w:rsidRDefault="00A7352B" w:rsidP="00A7352B">
            <w:pPr>
              <w:jc w:val="right"/>
              <w:rPr>
                <w:rFonts w:ascii="Arial" w:hAnsi="Arial" w:cs="Arial"/>
                <w:sz w:val="24"/>
                <w:szCs w:val="24"/>
              </w:rPr>
            </w:pPr>
          </w:p>
        </w:tc>
      </w:tr>
      <w:tr w:rsidR="00A7352B" w:rsidRPr="00014F94" w:rsidTr="00A7352B">
        <w:tc>
          <w:tcPr>
            <w:tcW w:w="2966" w:type="pct"/>
            <w:tcBorders>
              <w:top w:val="single" w:sz="4" w:space="0" w:color="auto"/>
              <w:bottom w:val="single" w:sz="4" w:space="0" w:color="auto"/>
            </w:tcBorders>
          </w:tcPr>
          <w:p w:rsidR="00A7352B" w:rsidRPr="00C82F88" w:rsidRDefault="00A7352B" w:rsidP="00A7352B">
            <w:pPr>
              <w:jc w:val="left"/>
              <w:rPr>
                <w:rFonts w:ascii="Arial" w:hAnsi="Arial" w:cs="Arial"/>
                <w:b/>
                <w:sz w:val="24"/>
                <w:szCs w:val="24"/>
              </w:rPr>
            </w:pPr>
            <w:r w:rsidRPr="00C82F88">
              <w:rPr>
                <w:rFonts w:ascii="Arial" w:hAnsi="Arial" w:cs="Arial"/>
                <w:b/>
                <w:sz w:val="24"/>
                <w:szCs w:val="24"/>
              </w:rPr>
              <w:t>Adjusted pre-tax profit</w:t>
            </w:r>
          </w:p>
        </w:tc>
        <w:tc>
          <w:tcPr>
            <w:tcW w:w="635" w:type="pct"/>
            <w:tcBorders>
              <w:top w:val="single" w:sz="4" w:space="0" w:color="auto"/>
              <w:bottom w:val="single" w:sz="4" w:space="0" w:color="auto"/>
            </w:tcBorders>
          </w:tcPr>
          <w:p w:rsidR="00A7352B" w:rsidRPr="00477C40" w:rsidRDefault="00A7352B" w:rsidP="00A7352B">
            <w:pPr>
              <w:jc w:val="right"/>
              <w:rPr>
                <w:rFonts w:ascii="Arial" w:hAnsi="Arial" w:cs="Arial"/>
                <w:b/>
                <w:sz w:val="24"/>
                <w:szCs w:val="24"/>
              </w:rPr>
            </w:pPr>
            <w:r>
              <w:rPr>
                <w:rFonts w:ascii="Arial" w:hAnsi="Arial" w:cs="Arial"/>
                <w:b/>
                <w:sz w:val="24"/>
                <w:szCs w:val="24"/>
              </w:rPr>
              <w:t>744</w:t>
            </w:r>
          </w:p>
        </w:tc>
        <w:tc>
          <w:tcPr>
            <w:tcW w:w="626" w:type="pct"/>
            <w:tcBorders>
              <w:top w:val="single" w:sz="4" w:space="0" w:color="auto"/>
              <w:bottom w:val="single" w:sz="4" w:space="0" w:color="auto"/>
            </w:tcBorders>
          </w:tcPr>
          <w:p w:rsidR="00A7352B" w:rsidRPr="00D71CD9" w:rsidRDefault="00A7352B" w:rsidP="00A7352B">
            <w:pPr>
              <w:jc w:val="right"/>
              <w:rPr>
                <w:rFonts w:ascii="Arial" w:hAnsi="Arial" w:cs="Arial"/>
                <w:sz w:val="24"/>
                <w:szCs w:val="24"/>
              </w:rPr>
            </w:pPr>
            <w:r w:rsidRPr="00D71CD9">
              <w:rPr>
                <w:rFonts w:ascii="Arial" w:hAnsi="Arial" w:cs="Arial"/>
                <w:sz w:val="24"/>
                <w:szCs w:val="24"/>
              </w:rPr>
              <w:t>715</w:t>
            </w:r>
          </w:p>
        </w:tc>
        <w:tc>
          <w:tcPr>
            <w:tcW w:w="773" w:type="pct"/>
            <w:tcBorders>
              <w:top w:val="single" w:sz="4" w:space="0" w:color="auto"/>
              <w:bottom w:val="single" w:sz="4" w:space="0" w:color="auto"/>
            </w:tcBorders>
            <w:vAlign w:val="bottom"/>
          </w:tcPr>
          <w:p w:rsidR="00A7352B" w:rsidRPr="008C746C" w:rsidRDefault="001663A2" w:rsidP="00A7352B">
            <w:pPr>
              <w:jc w:val="right"/>
              <w:rPr>
                <w:rFonts w:ascii="Arial" w:hAnsi="Arial" w:cs="Arial"/>
                <w:sz w:val="24"/>
                <w:szCs w:val="24"/>
              </w:rPr>
            </w:pPr>
            <w:r>
              <w:rPr>
                <w:rFonts w:ascii="Arial" w:hAnsi="Arial" w:cs="Arial"/>
                <w:sz w:val="24"/>
                <w:szCs w:val="24"/>
              </w:rPr>
              <w:t>+</w:t>
            </w:r>
            <w:r w:rsidR="00A7352B">
              <w:rPr>
                <w:rFonts w:ascii="Arial" w:hAnsi="Arial" w:cs="Arial"/>
                <w:sz w:val="24"/>
                <w:szCs w:val="24"/>
              </w:rPr>
              <w:t>4.1%</w:t>
            </w:r>
          </w:p>
        </w:tc>
      </w:tr>
    </w:tbl>
    <w:p w:rsidR="00A7352B" w:rsidRPr="00C82F88" w:rsidRDefault="00A7352B" w:rsidP="00A7352B">
      <w:pPr>
        <w:jc w:val="left"/>
        <w:rPr>
          <w:rFonts w:ascii="Arial" w:hAnsi="Arial" w:cs="Arial"/>
          <w:sz w:val="24"/>
        </w:rPr>
      </w:pPr>
    </w:p>
    <w:p w:rsidR="00A7352B" w:rsidRDefault="00A7352B" w:rsidP="00A7352B">
      <w:pPr>
        <w:jc w:val="left"/>
        <w:rPr>
          <w:rFonts w:ascii="Arial" w:hAnsi="Arial" w:cs="Arial"/>
          <w:sz w:val="24"/>
        </w:rPr>
      </w:pPr>
      <w:r w:rsidRPr="00C82F88">
        <w:rPr>
          <w:rFonts w:ascii="Arial" w:hAnsi="Arial" w:cs="Arial"/>
          <w:sz w:val="24"/>
          <w:szCs w:val="24"/>
        </w:rPr>
        <w:t xml:space="preserve">Profit and EPS including all exceptional items for the year ended </w:t>
      </w:r>
      <w:r>
        <w:rPr>
          <w:rFonts w:ascii="Arial" w:hAnsi="Arial" w:cs="Arial"/>
          <w:sz w:val="24"/>
          <w:szCs w:val="24"/>
        </w:rPr>
        <w:t>1</w:t>
      </w:r>
      <w:r w:rsidRPr="00C82F88">
        <w:rPr>
          <w:rFonts w:ascii="Arial" w:hAnsi="Arial" w:cs="Arial"/>
          <w:sz w:val="24"/>
          <w:szCs w:val="24"/>
        </w:rPr>
        <w:t xml:space="preserve"> February 201</w:t>
      </w:r>
      <w:r>
        <w:rPr>
          <w:rFonts w:ascii="Arial" w:hAnsi="Arial" w:cs="Arial"/>
          <w:sz w:val="24"/>
          <w:szCs w:val="24"/>
        </w:rPr>
        <w:t>4</w:t>
      </w:r>
      <w:r w:rsidRPr="00C82F88">
        <w:rPr>
          <w:rFonts w:ascii="Arial" w:hAnsi="Arial" w:cs="Arial"/>
          <w:sz w:val="24"/>
          <w:szCs w:val="24"/>
        </w:rPr>
        <w:t xml:space="preserve"> are set out below:</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2"/>
        <w:gridCol w:w="1194"/>
        <w:gridCol w:w="1313"/>
        <w:gridCol w:w="1454"/>
      </w:tblGrid>
      <w:tr w:rsidR="00A7352B" w:rsidRPr="00014F94" w:rsidTr="00A7352B">
        <w:tc>
          <w:tcPr>
            <w:tcW w:w="2946" w:type="pct"/>
            <w:tcBorders>
              <w:bottom w:val="single" w:sz="4" w:space="0" w:color="auto"/>
            </w:tcBorders>
          </w:tcPr>
          <w:p w:rsidR="00A7352B" w:rsidRPr="00014F94" w:rsidRDefault="00A7352B" w:rsidP="00A7352B">
            <w:pPr>
              <w:jc w:val="right"/>
              <w:rPr>
                <w:rFonts w:ascii="Arial" w:hAnsi="Arial" w:cs="Arial"/>
                <w:sz w:val="24"/>
                <w:szCs w:val="24"/>
              </w:rPr>
            </w:pPr>
          </w:p>
        </w:tc>
        <w:tc>
          <w:tcPr>
            <w:tcW w:w="619" w:type="pct"/>
            <w:tcBorders>
              <w:bottom w:val="single" w:sz="4" w:space="0" w:color="auto"/>
            </w:tcBorders>
          </w:tcPr>
          <w:p w:rsidR="00A7352B" w:rsidRDefault="00A7352B" w:rsidP="00A7352B">
            <w:pPr>
              <w:jc w:val="right"/>
              <w:rPr>
                <w:rFonts w:ascii="Arial" w:hAnsi="Arial" w:cs="Arial"/>
                <w:b/>
                <w:sz w:val="24"/>
                <w:szCs w:val="24"/>
              </w:rPr>
            </w:pPr>
            <w:r>
              <w:rPr>
                <w:rFonts w:ascii="Arial" w:hAnsi="Arial" w:cs="Arial"/>
                <w:b/>
                <w:sz w:val="24"/>
                <w:szCs w:val="24"/>
              </w:rPr>
              <w:t>2013/14</w:t>
            </w:r>
          </w:p>
        </w:tc>
        <w:tc>
          <w:tcPr>
            <w:tcW w:w="681" w:type="pct"/>
            <w:tcBorders>
              <w:bottom w:val="single" w:sz="4" w:space="0" w:color="auto"/>
            </w:tcBorders>
          </w:tcPr>
          <w:p w:rsidR="00A7352B" w:rsidRPr="00DD1D91" w:rsidRDefault="00A7352B" w:rsidP="00A7352B">
            <w:pPr>
              <w:jc w:val="right"/>
              <w:rPr>
                <w:rFonts w:ascii="Arial" w:hAnsi="Arial" w:cs="Arial"/>
                <w:sz w:val="24"/>
                <w:szCs w:val="24"/>
              </w:rPr>
            </w:pPr>
            <w:r w:rsidRPr="00DD1D91">
              <w:rPr>
                <w:rFonts w:ascii="Arial" w:hAnsi="Arial" w:cs="Arial"/>
                <w:sz w:val="24"/>
                <w:szCs w:val="24"/>
              </w:rPr>
              <w:t>2012/13</w:t>
            </w:r>
          </w:p>
        </w:tc>
        <w:tc>
          <w:tcPr>
            <w:tcW w:w="754" w:type="pct"/>
            <w:tcBorders>
              <w:bottom w:val="single" w:sz="4" w:space="0" w:color="auto"/>
            </w:tcBorders>
          </w:tcPr>
          <w:p w:rsidR="00A7352B" w:rsidRPr="00014F94" w:rsidRDefault="00A7352B" w:rsidP="00A7352B">
            <w:pPr>
              <w:jc w:val="right"/>
              <w:rPr>
                <w:rFonts w:ascii="Arial" w:hAnsi="Arial" w:cs="Arial"/>
                <w:sz w:val="24"/>
                <w:szCs w:val="24"/>
              </w:rPr>
            </w:pPr>
            <w:r>
              <w:rPr>
                <w:rFonts w:ascii="Arial" w:hAnsi="Arial" w:cs="Arial"/>
                <w:sz w:val="24"/>
                <w:szCs w:val="24"/>
              </w:rPr>
              <w:t>Increase</w:t>
            </w:r>
            <w:r w:rsidRPr="00014F94">
              <w:rPr>
                <w:rFonts w:ascii="Arial" w:hAnsi="Arial" w:cs="Arial"/>
                <w:sz w:val="24"/>
                <w:szCs w:val="24"/>
              </w:rPr>
              <w:t xml:space="preserve"> </w:t>
            </w:r>
          </w:p>
        </w:tc>
      </w:tr>
      <w:tr w:rsidR="00A7352B" w:rsidRPr="00A0203D" w:rsidTr="00A7352B">
        <w:trPr>
          <w:trHeight w:val="80"/>
        </w:trPr>
        <w:tc>
          <w:tcPr>
            <w:tcW w:w="2946" w:type="pct"/>
            <w:tcBorders>
              <w:top w:val="single" w:sz="4" w:space="0" w:color="auto"/>
            </w:tcBorders>
          </w:tcPr>
          <w:p w:rsidR="00A7352B" w:rsidRPr="00A0203D" w:rsidRDefault="00A7352B" w:rsidP="00A7352B">
            <w:pPr>
              <w:rPr>
                <w:rFonts w:ascii="Arial" w:hAnsi="Arial" w:cs="Arial"/>
                <w:sz w:val="2"/>
                <w:szCs w:val="2"/>
              </w:rPr>
            </w:pPr>
          </w:p>
        </w:tc>
        <w:tc>
          <w:tcPr>
            <w:tcW w:w="619" w:type="pct"/>
            <w:tcBorders>
              <w:top w:val="single" w:sz="4" w:space="0" w:color="auto"/>
            </w:tcBorders>
          </w:tcPr>
          <w:p w:rsidR="00A7352B" w:rsidRPr="00A0203D" w:rsidRDefault="00A7352B" w:rsidP="00A7352B">
            <w:pPr>
              <w:jc w:val="right"/>
              <w:rPr>
                <w:rFonts w:ascii="Arial" w:hAnsi="Arial" w:cs="Arial"/>
                <w:b/>
                <w:sz w:val="2"/>
                <w:szCs w:val="2"/>
              </w:rPr>
            </w:pPr>
          </w:p>
        </w:tc>
        <w:tc>
          <w:tcPr>
            <w:tcW w:w="681" w:type="pct"/>
            <w:tcBorders>
              <w:top w:val="single" w:sz="4" w:space="0" w:color="auto"/>
            </w:tcBorders>
          </w:tcPr>
          <w:p w:rsidR="00A7352B" w:rsidRPr="00DD1D91" w:rsidRDefault="00A7352B" w:rsidP="00A7352B">
            <w:pPr>
              <w:jc w:val="right"/>
              <w:rPr>
                <w:rFonts w:ascii="Arial" w:hAnsi="Arial" w:cs="Arial"/>
                <w:sz w:val="2"/>
                <w:szCs w:val="2"/>
              </w:rPr>
            </w:pPr>
          </w:p>
        </w:tc>
        <w:tc>
          <w:tcPr>
            <w:tcW w:w="754" w:type="pct"/>
            <w:tcBorders>
              <w:top w:val="single" w:sz="4" w:space="0" w:color="auto"/>
            </w:tcBorders>
          </w:tcPr>
          <w:p w:rsidR="00A7352B" w:rsidRPr="00A0203D" w:rsidRDefault="00A7352B" w:rsidP="00A7352B">
            <w:pPr>
              <w:jc w:val="right"/>
              <w:rPr>
                <w:rFonts w:ascii="Arial" w:hAnsi="Arial" w:cs="Arial"/>
                <w:sz w:val="2"/>
                <w:szCs w:val="2"/>
              </w:rPr>
            </w:pPr>
            <w:r>
              <w:rPr>
                <w:rFonts w:ascii="Arial" w:hAnsi="Arial" w:cs="Arial"/>
                <w:sz w:val="2"/>
                <w:szCs w:val="2"/>
              </w:rPr>
              <w:t>2</w:t>
            </w:r>
          </w:p>
        </w:tc>
      </w:tr>
      <w:tr w:rsidR="00A7352B" w:rsidRPr="00355EAF" w:rsidTr="00A7352B">
        <w:tc>
          <w:tcPr>
            <w:tcW w:w="2946" w:type="pct"/>
          </w:tcPr>
          <w:p w:rsidR="00A7352B" w:rsidRPr="00CC73BC" w:rsidRDefault="00A7352B" w:rsidP="00A7352B">
            <w:pPr>
              <w:jc w:val="left"/>
              <w:rPr>
                <w:rFonts w:ascii="Arial" w:hAnsi="Arial" w:cs="Arial"/>
                <w:sz w:val="24"/>
                <w:szCs w:val="24"/>
              </w:rPr>
            </w:pPr>
            <w:r w:rsidRPr="00CC73BC">
              <w:rPr>
                <w:rFonts w:ascii="Arial" w:hAnsi="Arial" w:cs="Arial"/>
                <w:sz w:val="24"/>
                <w:szCs w:val="24"/>
              </w:rPr>
              <w:t>Profit after tax</w:t>
            </w:r>
          </w:p>
        </w:tc>
        <w:tc>
          <w:tcPr>
            <w:tcW w:w="619" w:type="pct"/>
          </w:tcPr>
          <w:p w:rsidR="00A7352B" w:rsidRPr="00CC73BC" w:rsidRDefault="005147A0" w:rsidP="00A7352B">
            <w:pPr>
              <w:jc w:val="right"/>
              <w:rPr>
                <w:rFonts w:ascii="Arial" w:hAnsi="Arial" w:cs="Arial"/>
                <w:b/>
                <w:sz w:val="24"/>
                <w:szCs w:val="24"/>
              </w:rPr>
            </w:pPr>
            <w:r>
              <w:rPr>
                <w:rFonts w:ascii="Arial" w:hAnsi="Arial" w:cs="Arial"/>
                <w:b/>
                <w:sz w:val="24"/>
                <w:szCs w:val="24"/>
              </w:rPr>
              <w:t>£</w:t>
            </w:r>
            <w:r w:rsidR="00A7352B" w:rsidRPr="00CC73BC">
              <w:rPr>
                <w:rFonts w:ascii="Arial" w:hAnsi="Arial" w:cs="Arial"/>
                <w:b/>
                <w:sz w:val="24"/>
                <w:szCs w:val="24"/>
              </w:rPr>
              <w:t>71</w:t>
            </w:r>
            <w:r w:rsidR="00A7352B">
              <w:rPr>
                <w:rFonts w:ascii="Arial" w:hAnsi="Arial" w:cs="Arial"/>
                <w:b/>
                <w:sz w:val="24"/>
                <w:szCs w:val="24"/>
              </w:rPr>
              <w:t>0</w:t>
            </w:r>
            <w:r>
              <w:rPr>
                <w:rFonts w:ascii="Arial" w:hAnsi="Arial" w:cs="Arial"/>
                <w:b/>
                <w:sz w:val="24"/>
                <w:szCs w:val="24"/>
              </w:rPr>
              <w:t>m</w:t>
            </w:r>
          </w:p>
        </w:tc>
        <w:tc>
          <w:tcPr>
            <w:tcW w:w="681" w:type="pct"/>
          </w:tcPr>
          <w:p w:rsidR="00A7352B" w:rsidRPr="00CC73BC" w:rsidRDefault="005147A0" w:rsidP="00A7352B">
            <w:pPr>
              <w:jc w:val="right"/>
              <w:rPr>
                <w:rFonts w:ascii="Arial" w:hAnsi="Arial" w:cs="Arial"/>
                <w:sz w:val="24"/>
                <w:szCs w:val="24"/>
              </w:rPr>
            </w:pPr>
            <w:r>
              <w:rPr>
                <w:rFonts w:ascii="Arial" w:hAnsi="Arial" w:cs="Arial"/>
                <w:sz w:val="24"/>
                <w:szCs w:val="24"/>
              </w:rPr>
              <w:t>£</w:t>
            </w:r>
            <w:r w:rsidR="00A7352B" w:rsidRPr="00CC73BC">
              <w:rPr>
                <w:rFonts w:ascii="Arial" w:hAnsi="Arial" w:cs="Arial"/>
                <w:sz w:val="24"/>
                <w:szCs w:val="24"/>
              </w:rPr>
              <w:t>564</w:t>
            </w:r>
            <w:r>
              <w:rPr>
                <w:rFonts w:ascii="Arial" w:hAnsi="Arial" w:cs="Arial"/>
                <w:sz w:val="24"/>
                <w:szCs w:val="24"/>
              </w:rPr>
              <w:t>m</w:t>
            </w:r>
          </w:p>
        </w:tc>
        <w:tc>
          <w:tcPr>
            <w:tcW w:w="754" w:type="pct"/>
          </w:tcPr>
          <w:p w:rsidR="00A7352B" w:rsidRPr="00CC73BC" w:rsidRDefault="005147A0" w:rsidP="00A7352B">
            <w:pPr>
              <w:jc w:val="right"/>
              <w:rPr>
                <w:rFonts w:ascii="Arial" w:hAnsi="Arial" w:cs="Arial"/>
                <w:sz w:val="24"/>
                <w:szCs w:val="24"/>
              </w:rPr>
            </w:pPr>
            <w:r>
              <w:rPr>
                <w:rFonts w:ascii="Arial" w:hAnsi="Arial" w:cs="Arial"/>
                <w:sz w:val="24"/>
                <w:szCs w:val="24"/>
              </w:rPr>
              <w:t>+</w:t>
            </w:r>
            <w:r w:rsidR="00A7352B" w:rsidRPr="00CC73BC">
              <w:rPr>
                <w:rFonts w:ascii="Arial" w:hAnsi="Arial" w:cs="Arial"/>
                <w:sz w:val="24"/>
                <w:szCs w:val="24"/>
              </w:rPr>
              <w:t>2</w:t>
            </w:r>
            <w:r w:rsidR="00A7352B">
              <w:rPr>
                <w:rFonts w:ascii="Arial" w:hAnsi="Arial" w:cs="Arial"/>
                <w:sz w:val="24"/>
                <w:szCs w:val="24"/>
              </w:rPr>
              <w:t>5</w:t>
            </w:r>
            <w:r w:rsidR="00A7352B" w:rsidRPr="00CC73BC">
              <w:rPr>
                <w:rFonts w:ascii="Arial" w:hAnsi="Arial" w:cs="Arial"/>
                <w:sz w:val="24"/>
                <w:szCs w:val="24"/>
              </w:rPr>
              <w:t>.</w:t>
            </w:r>
            <w:r w:rsidR="00A7352B">
              <w:rPr>
                <w:rFonts w:ascii="Arial" w:hAnsi="Arial" w:cs="Arial"/>
                <w:sz w:val="24"/>
                <w:szCs w:val="24"/>
              </w:rPr>
              <w:t>9</w:t>
            </w:r>
            <w:r w:rsidR="00A7352B" w:rsidRPr="00CC73BC">
              <w:rPr>
                <w:rFonts w:ascii="Arial" w:hAnsi="Arial" w:cs="Arial"/>
                <w:sz w:val="24"/>
                <w:szCs w:val="24"/>
              </w:rPr>
              <w:t>%</w:t>
            </w:r>
          </w:p>
        </w:tc>
      </w:tr>
      <w:tr w:rsidR="00A7352B" w:rsidRPr="00355EAF" w:rsidTr="00A7352B">
        <w:trPr>
          <w:trHeight w:hRule="exact" w:val="85"/>
        </w:trPr>
        <w:tc>
          <w:tcPr>
            <w:tcW w:w="2946" w:type="pct"/>
          </w:tcPr>
          <w:p w:rsidR="00A7352B" w:rsidRPr="00355EAF" w:rsidRDefault="00A7352B" w:rsidP="00A7352B">
            <w:pPr>
              <w:jc w:val="left"/>
              <w:rPr>
                <w:rFonts w:ascii="Arial" w:hAnsi="Arial" w:cs="Arial"/>
                <w:sz w:val="24"/>
                <w:szCs w:val="24"/>
                <w:highlight w:val="yellow"/>
              </w:rPr>
            </w:pPr>
          </w:p>
        </w:tc>
        <w:tc>
          <w:tcPr>
            <w:tcW w:w="619" w:type="pct"/>
          </w:tcPr>
          <w:p w:rsidR="00A7352B" w:rsidRPr="00355EAF" w:rsidRDefault="00A7352B" w:rsidP="00A7352B">
            <w:pPr>
              <w:jc w:val="center"/>
              <w:rPr>
                <w:rFonts w:ascii="Arial" w:hAnsi="Arial" w:cs="Arial"/>
                <w:b/>
                <w:sz w:val="24"/>
                <w:szCs w:val="24"/>
                <w:highlight w:val="yellow"/>
              </w:rPr>
            </w:pPr>
          </w:p>
        </w:tc>
        <w:tc>
          <w:tcPr>
            <w:tcW w:w="681" w:type="pct"/>
          </w:tcPr>
          <w:p w:rsidR="00A7352B" w:rsidRPr="00355EAF" w:rsidRDefault="00A7352B" w:rsidP="00A7352B">
            <w:pPr>
              <w:jc w:val="center"/>
              <w:rPr>
                <w:rFonts w:ascii="Arial" w:hAnsi="Arial" w:cs="Arial"/>
                <w:sz w:val="24"/>
                <w:szCs w:val="24"/>
                <w:highlight w:val="yellow"/>
              </w:rPr>
            </w:pPr>
          </w:p>
        </w:tc>
        <w:tc>
          <w:tcPr>
            <w:tcW w:w="754" w:type="pct"/>
          </w:tcPr>
          <w:p w:rsidR="00A7352B" w:rsidRPr="00355EAF" w:rsidRDefault="00A7352B" w:rsidP="00A7352B">
            <w:pPr>
              <w:jc w:val="right"/>
              <w:rPr>
                <w:rFonts w:ascii="Arial" w:hAnsi="Arial" w:cs="Arial"/>
                <w:sz w:val="24"/>
                <w:szCs w:val="24"/>
                <w:highlight w:val="yellow"/>
              </w:rPr>
            </w:pPr>
          </w:p>
        </w:tc>
      </w:tr>
      <w:tr w:rsidR="00A7352B" w:rsidTr="00A7352B">
        <w:tc>
          <w:tcPr>
            <w:tcW w:w="2946" w:type="pct"/>
            <w:tcBorders>
              <w:bottom w:val="single" w:sz="4" w:space="0" w:color="auto"/>
            </w:tcBorders>
          </w:tcPr>
          <w:p w:rsidR="00A7352B" w:rsidRPr="00CC73BC" w:rsidRDefault="00A7352B" w:rsidP="00A7352B">
            <w:pPr>
              <w:jc w:val="left"/>
              <w:rPr>
                <w:rFonts w:ascii="Arial" w:hAnsi="Arial" w:cs="Arial"/>
                <w:sz w:val="24"/>
                <w:szCs w:val="24"/>
              </w:rPr>
            </w:pPr>
            <w:r w:rsidRPr="00CC73BC">
              <w:rPr>
                <w:rFonts w:ascii="Arial" w:hAnsi="Arial" w:cs="Arial"/>
                <w:sz w:val="24"/>
                <w:szCs w:val="24"/>
              </w:rPr>
              <w:t xml:space="preserve">Basic EPS </w:t>
            </w:r>
          </w:p>
        </w:tc>
        <w:tc>
          <w:tcPr>
            <w:tcW w:w="619" w:type="pct"/>
            <w:tcBorders>
              <w:bottom w:val="single" w:sz="4" w:space="0" w:color="auto"/>
            </w:tcBorders>
          </w:tcPr>
          <w:p w:rsidR="00A7352B" w:rsidRPr="00CC73BC" w:rsidRDefault="00A7352B" w:rsidP="00A7352B">
            <w:pPr>
              <w:jc w:val="right"/>
              <w:rPr>
                <w:rFonts w:ascii="Arial" w:hAnsi="Arial" w:cs="Arial"/>
                <w:b/>
                <w:sz w:val="24"/>
                <w:szCs w:val="24"/>
              </w:rPr>
            </w:pPr>
            <w:r w:rsidRPr="00CC73BC">
              <w:rPr>
                <w:rFonts w:ascii="Arial" w:hAnsi="Arial" w:cs="Arial"/>
                <w:b/>
                <w:sz w:val="24"/>
                <w:szCs w:val="24"/>
              </w:rPr>
              <w:t>30.</w:t>
            </w:r>
            <w:r>
              <w:rPr>
                <w:rFonts w:ascii="Arial" w:hAnsi="Arial" w:cs="Arial"/>
                <w:b/>
                <w:sz w:val="24"/>
                <w:szCs w:val="24"/>
              </w:rPr>
              <w:t>0</w:t>
            </w:r>
            <w:r w:rsidRPr="00CC73BC">
              <w:rPr>
                <w:rFonts w:ascii="Arial" w:hAnsi="Arial" w:cs="Arial"/>
                <w:b/>
                <w:sz w:val="24"/>
                <w:szCs w:val="24"/>
              </w:rPr>
              <w:t>p</w:t>
            </w:r>
          </w:p>
        </w:tc>
        <w:tc>
          <w:tcPr>
            <w:tcW w:w="681" w:type="pct"/>
            <w:tcBorders>
              <w:bottom w:val="single" w:sz="4" w:space="0" w:color="auto"/>
            </w:tcBorders>
          </w:tcPr>
          <w:p w:rsidR="00A7352B" w:rsidRPr="00CC73BC" w:rsidRDefault="00A7352B" w:rsidP="00A7352B">
            <w:pPr>
              <w:jc w:val="right"/>
              <w:rPr>
                <w:rFonts w:ascii="Arial" w:hAnsi="Arial" w:cs="Arial"/>
                <w:sz w:val="24"/>
                <w:szCs w:val="24"/>
              </w:rPr>
            </w:pPr>
            <w:r w:rsidRPr="00CC73BC">
              <w:rPr>
                <w:rFonts w:ascii="Arial" w:hAnsi="Arial" w:cs="Arial"/>
                <w:sz w:val="24"/>
                <w:szCs w:val="24"/>
              </w:rPr>
              <w:t>24.1p</w:t>
            </w:r>
          </w:p>
        </w:tc>
        <w:tc>
          <w:tcPr>
            <w:tcW w:w="754" w:type="pct"/>
            <w:tcBorders>
              <w:bottom w:val="single" w:sz="4" w:space="0" w:color="auto"/>
            </w:tcBorders>
          </w:tcPr>
          <w:p w:rsidR="00A7352B" w:rsidRDefault="005147A0" w:rsidP="00A7352B">
            <w:pPr>
              <w:jc w:val="right"/>
              <w:rPr>
                <w:rFonts w:ascii="Arial" w:hAnsi="Arial" w:cs="Arial"/>
                <w:sz w:val="24"/>
                <w:szCs w:val="24"/>
              </w:rPr>
            </w:pPr>
            <w:r>
              <w:rPr>
                <w:rFonts w:ascii="Arial" w:hAnsi="Arial" w:cs="Arial"/>
                <w:sz w:val="24"/>
                <w:szCs w:val="24"/>
              </w:rPr>
              <w:t>+</w:t>
            </w:r>
            <w:r w:rsidR="00A7352B" w:rsidRPr="00CC73BC">
              <w:rPr>
                <w:rFonts w:ascii="Arial" w:hAnsi="Arial" w:cs="Arial"/>
                <w:sz w:val="24"/>
                <w:szCs w:val="24"/>
              </w:rPr>
              <w:t>24.</w:t>
            </w:r>
            <w:r w:rsidR="00A7352B">
              <w:rPr>
                <w:rFonts w:ascii="Arial" w:hAnsi="Arial" w:cs="Arial"/>
                <w:sz w:val="24"/>
                <w:szCs w:val="24"/>
              </w:rPr>
              <w:t>5</w:t>
            </w:r>
            <w:r w:rsidR="00A7352B" w:rsidRPr="00CC73BC">
              <w:rPr>
                <w:rFonts w:ascii="Arial" w:hAnsi="Arial" w:cs="Arial"/>
                <w:sz w:val="24"/>
                <w:szCs w:val="24"/>
              </w:rPr>
              <w:t>%</w:t>
            </w:r>
          </w:p>
        </w:tc>
      </w:tr>
    </w:tbl>
    <w:p w:rsidR="00A7352B" w:rsidRDefault="00A7352B" w:rsidP="00A7352B">
      <w:pPr>
        <w:jc w:val="left"/>
        <w:rPr>
          <w:rFonts w:ascii="Arial" w:hAnsi="Arial" w:cs="Arial"/>
          <w:sz w:val="24"/>
        </w:rPr>
      </w:pPr>
    </w:p>
    <w:p w:rsidR="00A7352B" w:rsidRDefault="00A7352B" w:rsidP="00A7352B">
      <w:pPr>
        <w:jc w:val="left"/>
        <w:rPr>
          <w:rFonts w:ascii="Arial" w:hAnsi="Arial" w:cs="Arial"/>
          <w:b/>
          <w:sz w:val="24"/>
          <w:szCs w:val="24"/>
        </w:rPr>
      </w:pPr>
      <w:r w:rsidRPr="00C82F88">
        <w:rPr>
          <w:rFonts w:ascii="Arial" w:hAnsi="Arial" w:cs="Arial" w:hint="eastAsia"/>
          <w:b/>
          <w:sz w:val="24"/>
          <w:szCs w:val="24"/>
        </w:rPr>
        <w:t>Overview</w:t>
      </w:r>
    </w:p>
    <w:p w:rsidR="00A7352B" w:rsidRDefault="00A7352B" w:rsidP="00735AC7">
      <w:pPr>
        <w:jc w:val="left"/>
        <w:rPr>
          <w:rFonts w:ascii="Arial" w:hAnsi="Arial" w:cs="Arial"/>
          <w:b/>
          <w:sz w:val="24"/>
          <w:szCs w:val="24"/>
        </w:rPr>
      </w:pPr>
    </w:p>
    <w:p w:rsidR="00A7352B" w:rsidRPr="00A558A0" w:rsidRDefault="00A7352B" w:rsidP="00A64D40">
      <w:pPr>
        <w:jc w:val="left"/>
        <w:rPr>
          <w:rFonts w:ascii="Arial" w:hAnsi="Arial" w:cs="Arial"/>
          <w:sz w:val="24"/>
          <w:szCs w:val="24"/>
        </w:rPr>
      </w:pPr>
      <w:r w:rsidRPr="00CB454F">
        <w:rPr>
          <w:rFonts w:ascii="Arial" w:hAnsi="Arial" w:cs="Arial" w:hint="eastAsia"/>
          <w:sz w:val="24"/>
          <w:szCs w:val="24"/>
        </w:rPr>
        <w:t>Statutory profit after tax increased by 25.9% in the year to £710</w:t>
      </w:r>
      <w:r w:rsidR="00465E88">
        <w:rPr>
          <w:rFonts w:ascii="Arial" w:hAnsi="Arial" w:cs="Arial"/>
          <w:sz w:val="24"/>
          <w:szCs w:val="24"/>
        </w:rPr>
        <w:t xml:space="preserve"> </w:t>
      </w:r>
      <w:r w:rsidRPr="00CB454F">
        <w:rPr>
          <w:rFonts w:ascii="Arial" w:hAnsi="Arial" w:cs="Arial" w:hint="eastAsia"/>
          <w:sz w:val="24"/>
          <w:szCs w:val="24"/>
        </w:rPr>
        <w:t>m</w:t>
      </w:r>
      <w:r w:rsidR="00465E88">
        <w:rPr>
          <w:rFonts w:ascii="Arial" w:hAnsi="Arial" w:cs="Arial"/>
          <w:sz w:val="24"/>
          <w:szCs w:val="24"/>
        </w:rPr>
        <w:t>illion</w:t>
      </w:r>
      <w:r w:rsidR="00465E88">
        <w:rPr>
          <w:rFonts w:ascii="Arial" w:hAnsi="Arial" w:cs="Arial" w:hint="eastAsia"/>
          <w:sz w:val="24"/>
          <w:szCs w:val="24"/>
        </w:rPr>
        <w:t>.</w:t>
      </w:r>
      <w:r w:rsidR="00465E88">
        <w:rPr>
          <w:rFonts w:ascii="Arial" w:hAnsi="Arial" w:cs="Arial"/>
          <w:sz w:val="24"/>
          <w:szCs w:val="24"/>
        </w:rPr>
        <w:t xml:space="preserve"> </w:t>
      </w:r>
      <w:r w:rsidRPr="00A558A0">
        <w:rPr>
          <w:rFonts w:ascii="Arial" w:hAnsi="Arial" w:cs="Arial"/>
          <w:sz w:val="24"/>
          <w:szCs w:val="24"/>
        </w:rPr>
        <w:t xml:space="preserve">The statutory </w:t>
      </w:r>
      <w:r>
        <w:rPr>
          <w:rFonts w:ascii="Arial" w:hAnsi="Arial" w:cs="Arial"/>
          <w:sz w:val="24"/>
          <w:szCs w:val="24"/>
        </w:rPr>
        <w:t>re</w:t>
      </w:r>
      <w:r w:rsidR="00465E88">
        <w:rPr>
          <w:rFonts w:ascii="Arial" w:hAnsi="Arial" w:cs="Arial"/>
          <w:sz w:val="24"/>
          <w:szCs w:val="24"/>
        </w:rPr>
        <w:t>sults for the year have benefit</w:t>
      </w:r>
      <w:r>
        <w:rPr>
          <w:rFonts w:ascii="Arial" w:hAnsi="Arial" w:cs="Arial"/>
          <w:sz w:val="24"/>
          <w:szCs w:val="24"/>
        </w:rPr>
        <w:t xml:space="preserve">ed significantly from exceptional items which add £17 million to profit before </w:t>
      </w:r>
      <w:r w:rsidRPr="00760A03">
        <w:rPr>
          <w:rFonts w:ascii="Arial" w:hAnsi="Arial" w:cs="Arial"/>
          <w:sz w:val="24"/>
          <w:szCs w:val="24"/>
        </w:rPr>
        <w:t>tax, £131 million to profit after tax and 5.</w:t>
      </w:r>
      <w:r>
        <w:rPr>
          <w:rFonts w:ascii="Arial" w:hAnsi="Arial" w:cs="Arial"/>
          <w:sz w:val="24"/>
          <w:szCs w:val="24"/>
        </w:rPr>
        <w:t>5</w:t>
      </w:r>
      <w:r w:rsidRPr="00760A03">
        <w:rPr>
          <w:rFonts w:ascii="Arial" w:hAnsi="Arial" w:cs="Arial"/>
          <w:sz w:val="24"/>
          <w:szCs w:val="24"/>
        </w:rPr>
        <w:t>p to</w:t>
      </w:r>
      <w:r w:rsidR="00465E88">
        <w:rPr>
          <w:rFonts w:ascii="Arial" w:hAnsi="Arial" w:cs="Arial"/>
          <w:sz w:val="24"/>
          <w:szCs w:val="24"/>
        </w:rPr>
        <w:t xml:space="preserve"> basic earnings per share. </w:t>
      </w:r>
      <w:r>
        <w:rPr>
          <w:rFonts w:ascii="Arial" w:hAnsi="Arial" w:cs="Arial"/>
          <w:sz w:val="24"/>
          <w:szCs w:val="24"/>
        </w:rPr>
        <w:t>For comparative purposes adjusted measures</w:t>
      </w:r>
      <w:r w:rsidR="00D21FEC">
        <w:rPr>
          <w:rFonts w:ascii="Arial" w:hAnsi="Arial" w:cs="Arial"/>
          <w:sz w:val="24"/>
          <w:szCs w:val="24"/>
        </w:rPr>
        <w:t xml:space="preserve"> are therefore presented</w:t>
      </w:r>
      <w:r>
        <w:rPr>
          <w:rFonts w:ascii="Arial" w:hAnsi="Arial" w:cs="Arial"/>
          <w:sz w:val="24"/>
          <w:szCs w:val="24"/>
        </w:rPr>
        <w:t xml:space="preserve">. The exceptional items are detailed further below.  </w:t>
      </w:r>
    </w:p>
    <w:p w:rsidR="00A7352B" w:rsidRDefault="00A7352B" w:rsidP="00735AC7">
      <w:pPr>
        <w:jc w:val="left"/>
        <w:rPr>
          <w:rFonts w:ascii="Arial" w:hAnsi="Arial" w:cs="Arial"/>
          <w:b/>
          <w:sz w:val="24"/>
          <w:szCs w:val="24"/>
        </w:rPr>
      </w:pPr>
    </w:p>
    <w:p w:rsidR="00A7352B" w:rsidRDefault="00A7352B">
      <w:pPr>
        <w:jc w:val="left"/>
        <w:rPr>
          <w:rFonts w:ascii="Arial" w:hAnsi="Arial" w:cs="Arial"/>
          <w:sz w:val="24"/>
          <w:szCs w:val="24"/>
        </w:rPr>
      </w:pPr>
      <w:r w:rsidRPr="009618C2">
        <w:rPr>
          <w:rFonts w:ascii="Arial" w:hAnsi="Arial" w:cs="Arial"/>
          <w:sz w:val="24"/>
          <w:szCs w:val="24"/>
        </w:rPr>
        <w:t>The</w:t>
      </w:r>
      <w:r>
        <w:rPr>
          <w:rFonts w:ascii="Arial" w:hAnsi="Arial" w:cs="Arial"/>
          <w:sz w:val="24"/>
          <w:szCs w:val="24"/>
        </w:rPr>
        <w:t xml:space="preserve"> </w:t>
      </w:r>
      <w:r w:rsidRPr="009618C2">
        <w:rPr>
          <w:rFonts w:ascii="Arial" w:hAnsi="Arial" w:cs="Arial"/>
          <w:sz w:val="24"/>
          <w:szCs w:val="24"/>
        </w:rPr>
        <w:t>Group’s financial reporting year ends on the nearest Saturday to 31 January. The current year is for the 5</w:t>
      </w:r>
      <w:r>
        <w:rPr>
          <w:rFonts w:ascii="Arial" w:hAnsi="Arial" w:cs="Arial"/>
          <w:sz w:val="24"/>
          <w:szCs w:val="24"/>
        </w:rPr>
        <w:t>2</w:t>
      </w:r>
      <w:r w:rsidRPr="009618C2">
        <w:rPr>
          <w:rFonts w:ascii="Arial" w:hAnsi="Arial" w:cs="Arial"/>
          <w:sz w:val="24"/>
          <w:szCs w:val="24"/>
        </w:rPr>
        <w:t xml:space="preserve"> weeks ended </w:t>
      </w:r>
      <w:r>
        <w:rPr>
          <w:rFonts w:ascii="Arial" w:hAnsi="Arial" w:cs="Arial"/>
          <w:sz w:val="24"/>
          <w:szCs w:val="24"/>
        </w:rPr>
        <w:t>1</w:t>
      </w:r>
      <w:r w:rsidRPr="009618C2">
        <w:rPr>
          <w:rFonts w:ascii="Arial" w:hAnsi="Arial" w:cs="Arial"/>
          <w:sz w:val="24"/>
          <w:szCs w:val="24"/>
        </w:rPr>
        <w:t xml:space="preserve"> February 201</w:t>
      </w:r>
      <w:r>
        <w:rPr>
          <w:rFonts w:ascii="Arial" w:hAnsi="Arial" w:cs="Arial"/>
          <w:sz w:val="24"/>
          <w:szCs w:val="24"/>
        </w:rPr>
        <w:t>4</w:t>
      </w:r>
      <w:r w:rsidRPr="009618C2">
        <w:rPr>
          <w:rFonts w:ascii="Arial" w:hAnsi="Arial" w:cs="Arial"/>
          <w:sz w:val="24"/>
          <w:szCs w:val="24"/>
        </w:rPr>
        <w:t xml:space="preserve"> with the comparative</w:t>
      </w:r>
      <w:r>
        <w:rPr>
          <w:rFonts w:ascii="Arial" w:hAnsi="Arial" w:cs="Arial"/>
          <w:sz w:val="24"/>
          <w:szCs w:val="24"/>
        </w:rPr>
        <w:t xml:space="preserve"> financial year being for the 53</w:t>
      </w:r>
      <w:r w:rsidRPr="009618C2">
        <w:rPr>
          <w:rFonts w:ascii="Arial" w:hAnsi="Arial" w:cs="Arial"/>
          <w:sz w:val="24"/>
          <w:szCs w:val="24"/>
        </w:rPr>
        <w:t xml:space="preserve"> weeks </w:t>
      </w:r>
      <w:r>
        <w:rPr>
          <w:rFonts w:ascii="Arial" w:hAnsi="Arial" w:cs="Arial"/>
          <w:sz w:val="24"/>
          <w:szCs w:val="24"/>
        </w:rPr>
        <w:t>ended 2</w:t>
      </w:r>
      <w:r w:rsidRPr="009618C2">
        <w:rPr>
          <w:rFonts w:ascii="Arial" w:hAnsi="Arial" w:cs="Arial"/>
          <w:sz w:val="24"/>
          <w:szCs w:val="24"/>
        </w:rPr>
        <w:t xml:space="preserve"> </w:t>
      </w:r>
      <w:r>
        <w:rPr>
          <w:rFonts w:ascii="Arial" w:hAnsi="Arial" w:cs="Arial"/>
          <w:sz w:val="24"/>
          <w:szCs w:val="24"/>
        </w:rPr>
        <w:t>February</w:t>
      </w:r>
      <w:r w:rsidRPr="009618C2">
        <w:rPr>
          <w:rFonts w:ascii="Arial" w:hAnsi="Arial" w:cs="Arial"/>
          <w:sz w:val="24"/>
          <w:szCs w:val="24"/>
        </w:rPr>
        <w:t xml:space="preserve"> 201</w:t>
      </w:r>
      <w:r>
        <w:rPr>
          <w:rFonts w:ascii="Arial" w:hAnsi="Arial" w:cs="Arial"/>
          <w:sz w:val="24"/>
          <w:szCs w:val="24"/>
        </w:rPr>
        <w:t>3</w:t>
      </w:r>
      <w:r w:rsidRPr="009618C2">
        <w:rPr>
          <w:rFonts w:ascii="Arial" w:hAnsi="Arial" w:cs="Arial"/>
          <w:sz w:val="24"/>
          <w:szCs w:val="24"/>
        </w:rPr>
        <w:t xml:space="preserve">. This only impacts the UK &amp; Ireland businesses with all of the other businesses reporting on a calendar basis as a result of </w:t>
      </w:r>
      <w:r w:rsidRPr="00F0097F">
        <w:rPr>
          <w:rFonts w:ascii="Arial" w:hAnsi="Arial" w:cs="Arial"/>
          <w:sz w:val="24"/>
          <w:szCs w:val="24"/>
        </w:rPr>
        <w:t>local requirements. The effect of the 53</w:t>
      </w:r>
      <w:r w:rsidRPr="00F0097F">
        <w:rPr>
          <w:rFonts w:ascii="Arial" w:hAnsi="Arial" w:cs="Arial"/>
          <w:sz w:val="24"/>
          <w:szCs w:val="24"/>
          <w:vertAlign w:val="superscript"/>
        </w:rPr>
        <w:t>rd</w:t>
      </w:r>
      <w:r w:rsidRPr="00F0097F">
        <w:rPr>
          <w:rFonts w:ascii="Arial" w:hAnsi="Arial" w:cs="Arial"/>
          <w:sz w:val="24"/>
          <w:szCs w:val="24"/>
        </w:rPr>
        <w:t xml:space="preserve"> week on the prior year results of the Group is the inclusion of an additional £72 million sales and an immaterial benefit to retail profit.</w:t>
      </w:r>
    </w:p>
    <w:p w:rsidR="00A7352B" w:rsidRDefault="00A7352B">
      <w:pPr>
        <w:jc w:val="left"/>
        <w:rPr>
          <w:rFonts w:ascii="Arial" w:hAnsi="Arial" w:cs="Arial"/>
          <w:sz w:val="24"/>
          <w:szCs w:val="24"/>
        </w:rPr>
      </w:pPr>
    </w:p>
    <w:p w:rsidR="00A7352B" w:rsidRPr="009618C2" w:rsidRDefault="00A7352B">
      <w:pPr>
        <w:jc w:val="left"/>
        <w:rPr>
          <w:rFonts w:ascii="Arial" w:hAnsi="Arial" w:cs="Arial"/>
          <w:sz w:val="24"/>
          <w:szCs w:val="24"/>
        </w:rPr>
      </w:pPr>
      <w:r w:rsidRPr="005600AD">
        <w:rPr>
          <w:rFonts w:ascii="Arial" w:hAnsi="Arial" w:cs="Arial"/>
          <w:sz w:val="24"/>
          <w:szCs w:val="24"/>
        </w:rPr>
        <w:t>Total sales grew by 3.5% on a constant currency 52 week basis and increased by 5.2% to £11.1 billion</w:t>
      </w:r>
      <w:r>
        <w:rPr>
          <w:rFonts w:ascii="Arial" w:hAnsi="Arial" w:cs="Arial"/>
          <w:sz w:val="24"/>
          <w:szCs w:val="24"/>
        </w:rPr>
        <w:t xml:space="preserve"> (2012/13: £10.6 billion) on a reported rate basis. On a like-for-like basis, Group sales were </w:t>
      </w:r>
      <w:r w:rsidRPr="005600AD">
        <w:rPr>
          <w:rFonts w:ascii="Arial" w:hAnsi="Arial" w:cs="Arial"/>
          <w:sz w:val="24"/>
          <w:szCs w:val="24"/>
        </w:rPr>
        <w:t>up 0.7%</w:t>
      </w:r>
      <w:r>
        <w:rPr>
          <w:rFonts w:ascii="Arial" w:hAnsi="Arial" w:cs="Arial"/>
          <w:sz w:val="24"/>
          <w:szCs w:val="24"/>
        </w:rPr>
        <w:t xml:space="preserve">. During the year, a net additional 91 new stores were opened, </w:t>
      </w:r>
      <w:r w:rsidRPr="002041CB">
        <w:rPr>
          <w:rFonts w:ascii="Arial" w:hAnsi="Arial" w:cs="Arial"/>
          <w:sz w:val="24"/>
          <w:szCs w:val="24"/>
        </w:rPr>
        <w:t>including 60 Screwfix outlets</w:t>
      </w:r>
      <w:r w:rsidR="00F44D08">
        <w:rPr>
          <w:rFonts w:ascii="Arial" w:hAnsi="Arial" w:cs="Arial"/>
          <w:sz w:val="24"/>
          <w:szCs w:val="24"/>
        </w:rPr>
        <w:t xml:space="preserve"> and 15 acquired stores in Romania</w:t>
      </w:r>
      <w:r w:rsidRPr="002041CB">
        <w:rPr>
          <w:rFonts w:ascii="Arial" w:hAnsi="Arial" w:cs="Arial"/>
          <w:sz w:val="24"/>
          <w:szCs w:val="24"/>
        </w:rPr>
        <w:t>, taking the store network to 1</w:t>
      </w:r>
      <w:r>
        <w:rPr>
          <w:rFonts w:ascii="Arial" w:hAnsi="Arial" w:cs="Arial"/>
          <w:sz w:val="24"/>
          <w:szCs w:val="24"/>
        </w:rPr>
        <w:t>,</w:t>
      </w:r>
      <w:r w:rsidRPr="002041CB">
        <w:rPr>
          <w:rFonts w:ascii="Arial" w:hAnsi="Arial" w:cs="Arial"/>
          <w:sz w:val="24"/>
          <w:szCs w:val="24"/>
        </w:rPr>
        <w:t>079 stores (excluding 4</w:t>
      </w:r>
      <w:r>
        <w:rPr>
          <w:rFonts w:ascii="Arial" w:hAnsi="Arial" w:cs="Arial"/>
          <w:sz w:val="24"/>
          <w:szCs w:val="24"/>
        </w:rPr>
        <w:t>5</w:t>
      </w:r>
      <w:r w:rsidRPr="002041CB">
        <w:rPr>
          <w:rFonts w:ascii="Arial" w:hAnsi="Arial" w:cs="Arial"/>
          <w:sz w:val="24"/>
          <w:szCs w:val="24"/>
        </w:rPr>
        <w:t xml:space="preserve"> Turkey JV stores).</w:t>
      </w:r>
    </w:p>
    <w:p w:rsidR="00A7352B" w:rsidRPr="00C82F88" w:rsidRDefault="00A7352B" w:rsidP="00A7352B">
      <w:pPr>
        <w:jc w:val="left"/>
        <w:rPr>
          <w:rFonts w:ascii="Arial" w:hAnsi="Arial" w:cs="Arial"/>
          <w:sz w:val="24"/>
          <w:szCs w:val="24"/>
        </w:rPr>
      </w:pPr>
    </w:p>
    <w:p w:rsidR="00A7352B" w:rsidRDefault="00A7352B" w:rsidP="00A7352B">
      <w:pPr>
        <w:jc w:val="left"/>
        <w:rPr>
          <w:rFonts w:ascii="Arial" w:hAnsi="Arial" w:cs="Arial"/>
          <w:sz w:val="24"/>
          <w:szCs w:val="24"/>
        </w:rPr>
      </w:pPr>
      <w:r w:rsidRPr="00C82F88">
        <w:rPr>
          <w:rFonts w:ascii="Arial" w:hAnsi="Arial" w:cs="Arial" w:hint="eastAsia"/>
          <w:b/>
          <w:sz w:val="24"/>
          <w:szCs w:val="24"/>
        </w:rPr>
        <w:t>Retail profit</w:t>
      </w:r>
      <w:r w:rsidRPr="00C82F88">
        <w:rPr>
          <w:rFonts w:ascii="Arial" w:hAnsi="Arial" w:cs="Arial"/>
          <w:sz w:val="24"/>
          <w:szCs w:val="24"/>
        </w:rPr>
        <w:t xml:space="preserve"> before exceptional items </w:t>
      </w:r>
      <w:r>
        <w:rPr>
          <w:rFonts w:ascii="Arial" w:hAnsi="Arial" w:cs="Arial"/>
          <w:sz w:val="24"/>
          <w:szCs w:val="24"/>
        </w:rPr>
        <w:t>increased</w:t>
      </w:r>
      <w:r w:rsidRPr="00C82F88">
        <w:rPr>
          <w:rFonts w:ascii="Arial" w:hAnsi="Arial" w:cs="Arial"/>
          <w:sz w:val="24"/>
          <w:szCs w:val="24"/>
        </w:rPr>
        <w:t xml:space="preserve"> by £</w:t>
      </w:r>
      <w:r w:rsidRPr="00F0097F">
        <w:rPr>
          <w:rFonts w:ascii="Arial" w:hAnsi="Arial" w:cs="Arial"/>
          <w:sz w:val="24"/>
          <w:szCs w:val="24"/>
        </w:rPr>
        <w:t>27 million to £805 million (2012</w:t>
      </w:r>
      <w:r w:rsidRPr="00C82F88">
        <w:rPr>
          <w:rFonts w:ascii="Arial" w:hAnsi="Arial" w:cs="Arial"/>
          <w:sz w:val="24"/>
          <w:szCs w:val="24"/>
        </w:rPr>
        <w:t>/1</w:t>
      </w:r>
      <w:r>
        <w:rPr>
          <w:rFonts w:ascii="Arial" w:hAnsi="Arial" w:cs="Arial"/>
          <w:sz w:val="24"/>
          <w:szCs w:val="24"/>
        </w:rPr>
        <w:t>3 re</w:t>
      </w:r>
      <w:r w:rsidRPr="009A44E2">
        <w:rPr>
          <w:rFonts w:ascii="Arial" w:hAnsi="Arial" w:cs="Arial"/>
          <w:sz w:val="24"/>
          <w:szCs w:val="24"/>
        </w:rPr>
        <w:t>stated</w:t>
      </w:r>
      <w:r w:rsidR="00F44D08">
        <w:rPr>
          <w:rFonts w:ascii="Arial" w:hAnsi="Arial" w:cs="Arial"/>
          <w:sz w:val="24"/>
          <w:szCs w:val="24"/>
        </w:rPr>
        <w:t>: £778 million), including a £24</w:t>
      </w:r>
      <w:r w:rsidRPr="009A44E2">
        <w:rPr>
          <w:rFonts w:ascii="Arial" w:hAnsi="Arial" w:cs="Arial"/>
          <w:sz w:val="24"/>
          <w:szCs w:val="24"/>
        </w:rPr>
        <w:t xml:space="preserve"> million favourable foreign exchange movement representing a 0.7% increase on a constant currency basis. </w:t>
      </w:r>
    </w:p>
    <w:p w:rsidR="00A7352B" w:rsidRPr="00C82F88" w:rsidRDefault="00A7352B" w:rsidP="00A7352B">
      <w:pPr>
        <w:jc w:val="left"/>
        <w:rPr>
          <w:rFonts w:ascii="Arial" w:hAnsi="Arial" w:cs="Arial"/>
          <w:sz w:val="24"/>
          <w:szCs w:val="24"/>
        </w:rPr>
      </w:pPr>
    </w:p>
    <w:p w:rsidR="00A7352B" w:rsidRDefault="00A7352B" w:rsidP="00A7352B">
      <w:pPr>
        <w:jc w:val="left"/>
        <w:rPr>
          <w:rFonts w:ascii="Arial" w:hAnsi="Arial" w:cs="Arial"/>
          <w:sz w:val="24"/>
          <w:szCs w:val="24"/>
        </w:rPr>
      </w:pPr>
      <w:r w:rsidRPr="00C82F88">
        <w:rPr>
          <w:rFonts w:ascii="Arial" w:hAnsi="Arial" w:cs="Arial" w:hint="eastAsia"/>
          <w:sz w:val="24"/>
          <w:szCs w:val="24"/>
        </w:rPr>
        <w:t xml:space="preserve">The net </w:t>
      </w:r>
      <w:r w:rsidRPr="00C82F88">
        <w:rPr>
          <w:rFonts w:ascii="Arial" w:hAnsi="Arial" w:cs="Arial" w:hint="eastAsia"/>
          <w:b/>
          <w:sz w:val="24"/>
          <w:szCs w:val="24"/>
        </w:rPr>
        <w:t xml:space="preserve">interest </w:t>
      </w:r>
      <w:r>
        <w:rPr>
          <w:rFonts w:ascii="Arial" w:hAnsi="Arial" w:cs="Arial"/>
          <w:sz w:val="24"/>
          <w:szCs w:val="24"/>
        </w:rPr>
        <w:t>income</w:t>
      </w:r>
      <w:r w:rsidRPr="00C82F88">
        <w:rPr>
          <w:rFonts w:ascii="Arial" w:hAnsi="Arial" w:cs="Arial"/>
          <w:sz w:val="24"/>
          <w:szCs w:val="24"/>
        </w:rPr>
        <w:t xml:space="preserve"> for the year was £</w:t>
      </w:r>
      <w:r>
        <w:rPr>
          <w:rFonts w:ascii="Arial" w:hAnsi="Arial" w:cs="Arial"/>
          <w:sz w:val="24"/>
          <w:szCs w:val="24"/>
        </w:rPr>
        <w:t>23</w:t>
      </w:r>
      <w:r w:rsidRPr="00B82F3F">
        <w:rPr>
          <w:rFonts w:ascii="Arial" w:hAnsi="Arial" w:cs="Arial"/>
          <w:sz w:val="24"/>
          <w:szCs w:val="24"/>
        </w:rPr>
        <w:t xml:space="preserve"> million</w:t>
      </w:r>
      <w:r w:rsidRPr="00C82F88">
        <w:rPr>
          <w:rFonts w:ascii="Arial" w:hAnsi="Arial" w:cs="Arial"/>
          <w:sz w:val="24"/>
          <w:szCs w:val="24"/>
        </w:rPr>
        <w:t xml:space="preserve">, </w:t>
      </w:r>
      <w:r>
        <w:rPr>
          <w:rFonts w:ascii="Arial" w:hAnsi="Arial" w:cs="Arial"/>
          <w:sz w:val="24"/>
          <w:szCs w:val="24"/>
        </w:rPr>
        <w:t>compared with a restated prior year charge of £1</w:t>
      </w:r>
      <w:r w:rsidR="00F44D08">
        <w:rPr>
          <w:rFonts w:ascii="Arial" w:hAnsi="Arial" w:cs="Arial"/>
          <w:sz w:val="24"/>
          <w:szCs w:val="24"/>
        </w:rPr>
        <w:t xml:space="preserve"> </w:t>
      </w:r>
      <w:r>
        <w:rPr>
          <w:rFonts w:ascii="Arial" w:hAnsi="Arial" w:cs="Arial"/>
          <w:sz w:val="24"/>
          <w:szCs w:val="24"/>
        </w:rPr>
        <w:t>m</w:t>
      </w:r>
      <w:r w:rsidR="00F44D08">
        <w:rPr>
          <w:rFonts w:ascii="Arial" w:hAnsi="Arial" w:cs="Arial"/>
          <w:sz w:val="24"/>
          <w:szCs w:val="24"/>
        </w:rPr>
        <w:t>illion</w:t>
      </w:r>
      <w:r>
        <w:rPr>
          <w:rFonts w:ascii="Arial" w:hAnsi="Arial" w:cs="Arial"/>
          <w:sz w:val="24"/>
          <w:szCs w:val="24"/>
        </w:rPr>
        <w:t>.</w:t>
      </w:r>
      <w:r w:rsidRPr="00C82F88">
        <w:rPr>
          <w:rFonts w:ascii="Arial" w:hAnsi="Arial" w:cs="Arial"/>
          <w:sz w:val="24"/>
          <w:szCs w:val="24"/>
        </w:rPr>
        <w:t xml:space="preserve"> A breakdown of this </w:t>
      </w:r>
      <w:r w:rsidRPr="00C82F88">
        <w:rPr>
          <w:rFonts w:ascii="Arial" w:hAnsi="Arial" w:cs="Arial" w:hint="eastAsia"/>
          <w:sz w:val="24"/>
          <w:szCs w:val="24"/>
        </w:rPr>
        <w:t xml:space="preserve">is shown below. </w:t>
      </w:r>
    </w:p>
    <w:tbl>
      <w:tblPr>
        <w:tblW w:w="4873" w:type="pct"/>
        <w:tblLook w:val="0000" w:firstRow="0" w:lastRow="0" w:firstColumn="0" w:lastColumn="0" w:noHBand="0" w:noVBand="0"/>
      </w:tblPr>
      <w:tblGrid>
        <w:gridCol w:w="6797"/>
        <w:gridCol w:w="1323"/>
        <w:gridCol w:w="1276"/>
      </w:tblGrid>
      <w:tr w:rsidR="00A7352B" w:rsidRPr="00525B67" w:rsidTr="00A7352B">
        <w:trPr>
          <w:trHeight w:val="525"/>
        </w:trPr>
        <w:tc>
          <w:tcPr>
            <w:tcW w:w="3617" w:type="pct"/>
            <w:tcBorders>
              <w:bottom w:val="single" w:sz="4" w:space="0" w:color="auto"/>
            </w:tcBorders>
            <w:shd w:val="clear" w:color="auto" w:fill="auto"/>
            <w:vAlign w:val="bottom"/>
          </w:tcPr>
          <w:p w:rsidR="00A7352B" w:rsidRDefault="00A7352B" w:rsidP="00A7352B">
            <w:pPr>
              <w:jc w:val="left"/>
              <w:rPr>
                <w:rFonts w:ascii="Arial" w:hAnsi="Arial" w:cs="Arial"/>
                <w:bCs/>
                <w:sz w:val="24"/>
                <w:szCs w:val="24"/>
                <w:highlight w:val="yellow"/>
              </w:rPr>
            </w:pPr>
          </w:p>
          <w:p w:rsidR="00A7352B" w:rsidRPr="00525B67" w:rsidRDefault="00A7352B" w:rsidP="00A7352B">
            <w:pPr>
              <w:jc w:val="left"/>
              <w:rPr>
                <w:rFonts w:ascii="Arial" w:hAnsi="Arial" w:cs="Arial"/>
                <w:bCs/>
                <w:sz w:val="24"/>
                <w:szCs w:val="24"/>
                <w:highlight w:val="yellow"/>
              </w:rPr>
            </w:pPr>
          </w:p>
        </w:tc>
        <w:tc>
          <w:tcPr>
            <w:tcW w:w="704" w:type="pct"/>
            <w:tcBorders>
              <w:bottom w:val="single" w:sz="4" w:space="0" w:color="auto"/>
            </w:tcBorders>
            <w:shd w:val="clear" w:color="auto" w:fill="auto"/>
            <w:vAlign w:val="bottom"/>
          </w:tcPr>
          <w:p w:rsidR="00A7352B" w:rsidRDefault="00A7352B" w:rsidP="00A7352B">
            <w:pPr>
              <w:jc w:val="right"/>
              <w:rPr>
                <w:rFonts w:ascii="Arial" w:hAnsi="Arial" w:cs="Arial"/>
                <w:b/>
                <w:bCs/>
                <w:sz w:val="24"/>
                <w:szCs w:val="24"/>
              </w:rPr>
            </w:pPr>
            <w:r>
              <w:rPr>
                <w:rFonts w:ascii="Arial" w:hAnsi="Arial" w:cs="Arial"/>
                <w:b/>
                <w:bCs/>
                <w:sz w:val="24"/>
                <w:szCs w:val="24"/>
              </w:rPr>
              <w:t>2013</w:t>
            </w:r>
            <w:r w:rsidRPr="00C9291D">
              <w:rPr>
                <w:rFonts w:ascii="Arial" w:hAnsi="Arial" w:cs="Arial"/>
                <w:b/>
                <w:bCs/>
                <w:sz w:val="24"/>
                <w:szCs w:val="24"/>
              </w:rPr>
              <w:t>/1</w:t>
            </w:r>
            <w:r>
              <w:rPr>
                <w:rFonts w:ascii="Arial" w:hAnsi="Arial" w:cs="Arial"/>
                <w:b/>
                <w:bCs/>
                <w:sz w:val="24"/>
                <w:szCs w:val="24"/>
              </w:rPr>
              <w:t>4</w:t>
            </w:r>
          </w:p>
          <w:p w:rsidR="00A7352B" w:rsidRPr="00C9291D" w:rsidRDefault="00A7352B" w:rsidP="00A7352B">
            <w:pPr>
              <w:jc w:val="right"/>
              <w:rPr>
                <w:rFonts w:ascii="Arial" w:hAnsi="Arial" w:cs="Arial"/>
                <w:b/>
                <w:bCs/>
                <w:sz w:val="24"/>
                <w:szCs w:val="24"/>
              </w:rPr>
            </w:pPr>
          </w:p>
          <w:p w:rsidR="00A7352B" w:rsidRPr="00EF013D" w:rsidRDefault="00A7352B" w:rsidP="00A7352B">
            <w:pPr>
              <w:jc w:val="right"/>
              <w:rPr>
                <w:rFonts w:ascii="Arial" w:hAnsi="Arial" w:cs="Arial"/>
                <w:b/>
                <w:bCs/>
                <w:sz w:val="24"/>
                <w:szCs w:val="24"/>
              </w:rPr>
            </w:pPr>
            <w:r w:rsidRPr="00C9291D">
              <w:rPr>
                <w:rFonts w:ascii="Arial" w:hAnsi="Arial" w:cs="Arial"/>
                <w:b/>
                <w:bCs/>
                <w:sz w:val="24"/>
                <w:szCs w:val="24"/>
              </w:rPr>
              <w:t>£m</w:t>
            </w:r>
          </w:p>
        </w:tc>
        <w:tc>
          <w:tcPr>
            <w:tcW w:w="679" w:type="pct"/>
            <w:tcBorders>
              <w:bottom w:val="single" w:sz="4" w:space="0" w:color="auto"/>
            </w:tcBorders>
            <w:vAlign w:val="bottom"/>
          </w:tcPr>
          <w:p w:rsidR="00A7352B" w:rsidRDefault="00A7352B" w:rsidP="00A7352B">
            <w:pPr>
              <w:jc w:val="right"/>
              <w:rPr>
                <w:rFonts w:ascii="Arial" w:hAnsi="Arial" w:cs="Arial"/>
                <w:bCs/>
                <w:sz w:val="24"/>
                <w:szCs w:val="24"/>
              </w:rPr>
            </w:pPr>
            <w:r w:rsidRPr="009160A4">
              <w:rPr>
                <w:rFonts w:ascii="Arial" w:hAnsi="Arial" w:cs="Arial"/>
                <w:bCs/>
                <w:sz w:val="24"/>
                <w:szCs w:val="24"/>
              </w:rPr>
              <w:t>2012/13</w:t>
            </w:r>
          </w:p>
          <w:p w:rsidR="00A7352B" w:rsidRPr="009160A4" w:rsidRDefault="00A7352B" w:rsidP="00A7352B">
            <w:pPr>
              <w:jc w:val="right"/>
              <w:rPr>
                <w:rFonts w:ascii="Arial" w:hAnsi="Arial" w:cs="Arial"/>
                <w:bCs/>
                <w:sz w:val="24"/>
                <w:szCs w:val="24"/>
              </w:rPr>
            </w:pPr>
            <w:r>
              <w:rPr>
                <w:rFonts w:ascii="Arial" w:hAnsi="Arial" w:cs="Arial"/>
                <w:bCs/>
                <w:sz w:val="24"/>
                <w:szCs w:val="24"/>
              </w:rPr>
              <w:t>(restated)</w:t>
            </w:r>
          </w:p>
          <w:p w:rsidR="00A7352B" w:rsidRPr="009160A4" w:rsidRDefault="00A7352B" w:rsidP="00A7352B">
            <w:pPr>
              <w:jc w:val="right"/>
              <w:rPr>
                <w:rFonts w:ascii="Arial" w:hAnsi="Arial" w:cs="Arial"/>
                <w:bCs/>
                <w:sz w:val="24"/>
                <w:szCs w:val="24"/>
              </w:rPr>
            </w:pPr>
            <w:r w:rsidRPr="009160A4">
              <w:rPr>
                <w:rFonts w:ascii="Arial" w:hAnsi="Arial" w:cs="Arial"/>
                <w:bCs/>
                <w:sz w:val="24"/>
                <w:szCs w:val="24"/>
              </w:rPr>
              <w:t>£m</w:t>
            </w:r>
          </w:p>
        </w:tc>
      </w:tr>
      <w:tr w:rsidR="00A7352B" w:rsidRPr="00C93053" w:rsidTr="00A7352B">
        <w:trPr>
          <w:trHeight w:val="254"/>
        </w:trPr>
        <w:tc>
          <w:tcPr>
            <w:tcW w:w="3617" w:type="pct"/>
            <w:tcBorders>
              <w:top w:val="single" w:sz="4" w:space="0" w:color="auto"/>
            </w:tcBorders>
            <w:shd w:val="clear" w:color="auto" w:fill="auto"/>
            <w:vAlign w:val="bottom"/>
          </w:tcPr>
          <w:p w:rsidR="00A7352B" w:rsidRPr="00C82F88" w:rsidRDefault="00A7352B" w:rsidP="00A7352B">
            <w:pPr>
              <w:jc w:val="left"/>
              <w:rPr>
                <w:rFonts w:ascii="Arial" w:hAnsi="Arial" w:cs="Arial"/>
                <w:sz w:val="24"/>
                <w:szCs w:val="24"/>
              </w:rPr>
            </w:pPr>
            <w:r w:rsidRPr="00C82F88">
              <w:rPr>
                <w:rFonts w:ascii="Arial" w:hAnsi="Arial" w:cs="Arial"/>
                <w:sz w:val="24"/>
                <w:szCs w:val="24"/>
              </w:rPr>
              <w:t>Underlying net interest</w:t>
            </w:r>
          </w:p>
        </w:tc>
        <w:tc>
          <w:tcPr>
            <w:tcW w:w="704" w:type="pct"/>
            <w:tcBorders>
              <w:top w:val="single" w:sz="4" w:space="0" w:color="auto"/>
            </w:tcBorders>
            <w:shd w:val="clear" w:color="auto" w:fill="auto"/>
            <w:vAlign w:val="bottom"/>
          </w:tcPr>
          <w:p w:rsidR="00A7352B" w:rsidRPr="00D26AE2" w:rsidRDefault="00A7352B" w:rsidP="00A7352B">
            <w:pPr>
              <w:jc w:val="right"/>
              <w:rPr>
                <w:rFonts w:ascii="Arial" w:hAnsi="Arial" w:cs="Arial"/>
                <w:b/>
                <w:sz w:val="24"/>
                <w:szCs w:val="24"/>
              </w:rPr>
            </w:pPr>
            <w:r>
              <w:rPr>
                <w:rFonts w:ascii="Arial" w:hAnsi="Arial" w:cs="Arial"/>
                <w:b/>
                <w:sz w:val="24"/>
                <w:szCs w:val="24"/>
              </w:rPr>
              <w:t>(2)</w:t>
            </w:r>
          </w:p>
        </w:tc>
        <w:tc>
          <w:tcPr>
            <w:tcW w:w="679" w:type="pct"/>
            <w:tcBorders>
              <w:top w:val="single" w:sz="4" w:space="0" w:color="auto"/>
            </w:tcBorders>
            <w:vAlign w:val="bottom"/>
          </w:tcPr>
          <w:p w:rsidR="00A7352B" w:rsidRPr="00C93053" w:rsidRDefault="00A7352B" w:rsidP="00A7352B">
            <w:pPr>
              <w:jc w:val="right"/>
              <w:rPr>
                <w:rFonts w:ascii="Arial" w:hAnsi="Arial" w:cs="Arial"/>
                <w:sz w:val="24"/>
                <w:szCs w:val="24"/>
              </w:rPr>
            </w:pPr>
            <w:r w:rsidRPr="00C93053">
              <w:rPr>
                <w:rFonts w:ascii="Arial" w:hAnsi="Arial" w:cs="Arial"/>
                <w:sz w:val="24"/>
                <w:szCs w:val="24"/>
              </w:rPr>
              <w:t>(3)</w:t>
            </w:r>
          </w:p>
        </w:tc>
      </w:tr>
      <w:tr w:rsidR="00A7352B" w:rsidRPr="00C93053" w:rsidTr="00A7352B">
        <w:trPr>
          <w:trHeight w:val="254"/>
        </w:trPr>
        <w:tc>
          <w:tcPr>
            <w:tcW w:w="3617" w:type="pct"/>
            <w:shd w:val="clear" w:color="auto" w:fill="auto"/>
            <w:vAlign w:val="bottom"/>
          </w:tcPr>
          <w:p w:rsidR="00A7352B" w:rsidRPr="00735AC7" w:rsidRDefault="00A7352B" w:rsidP="00A7352B">
            <w:pPr>
              <w:jc w:val="left"/>
              <w:rPr>
                <w:rFonts w:ascii="Arial" w:hAnsi="Arial" w:cs="Arial"/>
                <w:sz w:val="24"/>
                <w:szCs w:val="24"/>
              </w:rPr>
            </w:pPr>
            <w:r>
              <w:rPr>
                <w:rFonts w:ascii="Arial" w:hAnsi="Arial" w:cs="Arial"/>
                <w:sz w:val="24"/>
                <w:szCs w:val="24"/>
              </w:rPr>
              <w:t>FFVR</w:t>
            </w:r>
          </w:p>
        </w:tc>
        <w:tc>
          <w:tcPr>
            <w:tcW w:w="704" w:type="pct"/>
            <w:shd w:val="clear" w:color="auto" w:fill="auto"/>
            <w:vAlign w:val="bottom"/>
          </w:tcPr>
          <w:p w:rsidR="00A7352B" w:rsidRPr="00D26AE2" w:rsidRDefault="00A7352B" w:rsidP="00A7352B">
            <w:pPr>
              <w:jc w:val="right"/>
              <w:rPr>
                <w:rFonts w:ascii="Arial" w:hAnsi="Arial" w:cs="Arial"/>
                <w:b/>
                <w:sz w:val="24"/>
                <w:szCs w:val="24"/>
              </w:rPr>
            </w:pPr>
            <w:r>
              <w:rPr>
                <w:rFonts w:ascii="Arial" w:hAnsi="Arial" w:cs="Arial"/>
                <w:b/>
                <w:sz w:val="24"/>
                <w:szCs w:val="24"/>
              </w:rPr>
              <w:t>(2)</w:t>
            </w:r>
          </w:p>
        </w:tc>
        <w:tc>
          <w:tcPr>
            <w:tcW w:w="679" w:type="pct"/>
            <w:vAlign w:val="bottom"/>
          </w:tcPr>
          <w:p w:rsidR="00A7352B" w:rsidRPr="00C93053" w:rsidRDefault="00A7352B" w:rsidP="00A7352B">
            <w:pPr>
              <w:jc w:val="right"/>
              <w:rPr>
                <w:rFonts w:ascii="Arial" w:hAnsi="Arial" w:cs="Arial"/>
                <w:sz w:val="24"/>
                <w:szCs w:val="24"/>
              </w:rPr>
            </w:pPr>
            <w:r w:rsidRPr="00C93053">
              <w:rPr>
                <w:rFonts w:ascii="Arial" w:hAnsi="Arial" w:cs="Arial"/>
                <w:sz w:val="24"/>
                <w:szCs w:val="24"/>
              </w:rPr>
              <w:t>2</w:t>
            </w:r>
          </w:p>
        </w:tc>
      </w:tr>
      <w:tr w:rsidR="00A7352B" w:rsidRPr="00C93053" w:rsidTr="00A7352B">
        <w:trPr>
          <w:trHeight w:val="254"/>
        </w:trPr>
        <w:tc>
          <w:tcPr>
            <w:tcW w:w="3617" w:type="pct"/>
            <w:shd w:val="clear" w:color="auto" w:fill="auto"/>
            <w:vAlign w:val="bottom"/>
          </w:tcPr>
          <w:p w:rsidR="00A7352B" w:rsidRPr="00EF013D" w:rsidRDefault="00A7352B" w:rsidP="00A7352B">
            <w:pPr>
              <w:jc w:val="left"/>
              <w:rPr>
                <w:rFonts w:ascii="Arial" w:hAnsi="Arial" w:cs="Arial"/>
                <w:sz w:val="24"/>
                <w:szCs w:val="24"/>
              </w:rPr>
            </w:pPr>
            <w:r>
              <w:rPr>
                <w:rFonts w:ascii="Arial" w:hAnsi="Arial" w:cs="Arial"/>
                <w:sz w:val="24"/>
                <w:szCs w:val="24"/>
              </w:rPr>
              <w:t>Exceptional items</w:t>
            </w:r>
          </w:p>
        </w:tc>
        <w:tc>
          <w:tcPr>
            <w:tcW w:w="704" w:type="pct"/>
            <w:shd w:val="clear" w:color="auto" w:fill="auto"/>
            <w:vAlign w:val="bottom"/>
          </w:tcPr>
          <w:p w:rsidR="00A7352B" w:rsidRPr="00D26AE2" w:rsidRDefault="00A7352B" w:rsidP="00A7352B">
            <w:pPr>
              <w:jc w:val="right"/>
              <w:rPr>
                <w:rFonts w:ascii="Arial" w:hAnsi="Arial" w:cs="Arial"/>
                <w:b/>
                <w:sz w:val="24"/>
                <w:szCs w:val="24"/>
              </w:rPr>
            </w:pPr>
            <w:r>
              <w:rPr>
                <w:rFonts w:ascii="Arial" w:hAnsi="Arial" w:cs="Arial"/>
                <w:b/>
                <w:sz w:val="24"/>
                <w:szCs w:val="24"/>
              </w:rPr>
              <w:t>27</w:t>
            </w:r>
          </w:p>
        </w:tc>
        <w:tc>
          <w:tcPr>
            <w:tcW w:w="679" w:type="pct"/>
            <w:vAlign w:val="bottom"/>
          </w:tcPr>
          <w:p w:rsidR="00A7352B" w:rsidRPr="00C93053" w:rsidRDefault="00A7352B" w:rsidP="00A7352B">
            <w:pPr>
              <w:jc w:val="right"/>
              <w:rPr>
                <w:rFonts w:ascii="Arial" w:hAnsi="Arial" w:cs="Arial"/>
                <w:sz w:val="24"/>
                <w:szCs w:val="24"/>
              </w:rPr>
            </w:pPr>
            <w:r>
              <w:rPr>
                <w:rFonts w:ascii="Arial" w:hAnsi="Arial" w:cs="Arial"/>
                <w:sz w:val="24"/>
                <w:szCs w:val="24"/>
              </w:rPr>
              <w:t>-</w:t>
            </w:r>
          </w:p>
        </w:tc>
      </w:tr>
      <w:tr w:rsidR="00A7352B" w:rsidRPr="00C93053" w:rsidTr="00A7352B">
        <w:trPr>
          <w:trHeight w:val="308"/>
        </w:trPr>
        <w:tc>
          <w:tcPr>
            <w:tcW w:w="3617" w:type="pct"/>
            <w:tcBorders>
              <w:top w:val="single" w:sz="4" w:space="0" w:color="auto"/>
              <w:bottom w:val="single" w:sz="4" w:space="0" w:color="auto"/>
            </w:tcBorders>
            <w:shd w:val="clear" w:color="auto" w:fill="auto"/>
            <w:vAlign w:val="bottom"/>
          </w:tcPr>
          <w:p w:rsidR="00A7352B" w:rsidRPr="00EF013D" w:rsidRDefault="00A7352B" w:rsidP="00A7352B">
            <w:pPr>
              <w:jc w:val="left"/>
              <w:rPr>
                <w:rFonts w:ascii="Arial" w:hAnsi="Arial" w:cs="Arial"/>
                <w:b/>
                <w:sz w:val="24"/>
                <w:szCs w:val="24"/>
              </w:rPr>
            </w:pPr>
            <w:r w:rsidRPr="00EF013D">
              <w:rPr>
                <w:rFonts w:ascii="Arial" w:hAnsi="Arial" w:cs="Arial"/>
                <w:b/>
                <w:sz w:val="24"/>
                <w:szCs w:val="24"/>
              </w:rPr>
              <w:t xml:space="preserve">Statutory net interest </w:t>
            </w:r>
          </w:p>
        </w:tc>
        <w:tc>
          <w:tcPr>
            <w:tcW w:w="704" w:type="pct"/>
            <w:tcBorders>
              <w:top w:val="single" w:sz="4" w:space="0" w:color="auto"/>
              <w:bottom w:val="single" w:sz="4" w:space="0" w:color="auto"/>
            </w:tcBorders>
            <w:shd w:val="clear" w:color="auto" w:fill="auto"/>
            <w:vAlign w:val="bottom"/>
          </w:tcPr>
          <w:p w:rsidR="00A7352B" w:rsidRPr="00D26AE2" w:rsidRDefault="00A7352B" w:rsidP="00A7352B">
            <w:pPr>
              <w:jc w:val="right"/>
              <w:rPr>
                <w:rFonts w:ascii="Arial" w:hAnsi="Arial" w:cs="Arial"/>
                <w:b/>
                <w:sz w:val="24"/>
                <w:szCs w:val="24"/>
              </w:rPr>
            </w:pPr>
            <w:r>
              <w:rPr>
                <w:rFonts w:ascii="Arial" w:hAnsi="Arial" w:cs="Arial"/>
                <w:b/>
                <w:sz w:val="24"/>
                <w:szCs w:val="24"/>
              </w:rPr>
              <w:t>23</w:t>
            </w:r>
          </w:p>
        </w:tc>
        <w:tc>
          <w:tcPr>
            <w:tcW w:w="679" w:type="pct"/>
            <w:tcBorders>
              <w:top w:val="single" w:sz="4" w:space="0" w:color="auto"/>
              <w:bottom w:val="single" w:sz="4" w:space="0" w:color="auto"/>
            </w:tcBorders>
            <w:vAlign w:val="bottom"/>
          </w:tcPr>
          <w:p w:rsidR="00A7352B" w:rsidRPr="00C93053" w:rsidRDefault="00A7352B" w:rsidP="00A7352B">
            <w:pPr>
              <w:jc w:val="right"/>
              <w:rPr>
                <w:rFonts w:ascii="Arial" w:hAnsi="Arial" w:cs="Arial"/>
                <w:sz w:val="24"/>
                <w:szCs w:val="24"/>
              </w:rPr>
            </w:pPr>
            <w:r w:rsidRPr="00C93053">
              <w:rPr>
                <w:rFonts w:ascii="Arial" w:hAnsi="Arial" w:cs="Arial"/>
                <w:sz w:val="24"/>
                <w:szCs w:val="24"/>
              </w:rPr>
              <w:t>(1)</w:t>
            </w:r>
          </w:p>
        </w:tc>
      </w:tr>
    </w:tbl>
    <w:p w:rsidR="00A7352B" w:rsidRDefault="00A7352B" w:rsidP="00A7352B">
      <w:pPr>
        <w:jc w:val="left"/>
        <w:rPr>
          <w:rFonts w:ascii="Arial" w:hAnsi="Arial" w:cs="Arial"/>
          <w:sz w:val="24"/>
          <w:szCs w:val="24"/>
        </w:rPr>
      </w:pPr>
    </w:p>
    <w:p w:rsidR="00940EA3" w:rsidRDefault="00A7352B" w:rsidP="00A7352B">
      <w:pPr>
        <w:jc w:val="left"/>
        <w:rPr>
          <w:rFonts w:ascii="Arial" w:hAnsi="Arial" w:cs="Arial"/>
          <w:b/>
          <w:sz w:val="24"/>
          <w:szCs w:val="24"/>
        </w:rPr>
      </w:pPr>
      <w:r>
        <w:rPr>
          <w:rFonts w:ascii="Arial" w:hAnsi="Arial" w:cs="Arial"/>
          <w:sz w:val="24"/>
          <w:szCs w:val="24"/>
        </w:rPr>
        <w:t>The principal movement in net interest is driven by the release of a £27</w:t>
      </w:r>
      <w:r w:rsidR="00F44D08">
        <w:rPr>
          <w:rFonts w:ascii="Arial" w:hAnsi="Arial" w:cs="Arial"/>
          <w:sz w:val="24"/>
          <w:szCs w:val="24"/>
        </w:rPr>
        <w:t xml:space="preserve"> </w:t>
      </w:r>
      <w:r>
        <w:rPr>
          <w:rFonts w:ascii="Arial" w:hAnsi="Arial" w:cs="Arial"/>
          <w:sz w:val="24"/>
          <w:szCs w:val="24"/>
        </w:rPr>
        <w:t>m</w:t>
      </w:r>
      <w:r w:rsidR="00F44D08">
        <w:rPr>
          <w:rFonts w:ascii="Arial" w:hAnsi="Arial" w:cs="Arial"/>
          <w:sz w:val="24"/>
          <w:szCs w:val="24"/>
        </w:rPr>
        <w:t>illion</w:t>
      </w:r>
      <w:r>
        <w:rPr>
          <w:rFonts w:ascii="Arial" w:hAnsi="Arial" w:cs="Arial"/>
          <w:sz w:val="24"/>
          <w:szCs w:val="24"/>
        </w:rPr>
        <w:t xml:space="preserve"> exceptional repayment supplement provision on the </w:t>
      </w:r>
      <w:r w:rsidR="00F44D08">
        <w:rPr>
          <w:rFonts w:ascii="Arial" w:hAnsi="Arial" w:cs="Arial"/>
          <w:sz w:val="24"/>
          <w:szCs w:val="24"/>
        </w:rPr>
        <w:t>Kesa demerger French tax case (</w:t>
      </w:r>
      <w:r w:rsidR="00735AC7">
        <w:rPr>
          <w:rFonts w:ascii="Arial" w:hAnsi="Arial" w:cs="Arial"/>
          <w:sz w:val="24"/>
          <w:szCs w:val="24"/>
        </w:rPr>
        <w:t>see exceptional items</w:t>
      </w:r>
      <w:r>
        <w:rPr>
          <w:rFonts w:ascii="Arial" w:hAnsi="Arial" w:cs="Arial"/>
          <w:sz w:val="24"/>
          <w:szCs w:val="24"/>
        </w:rPr>
        <w:t xml:space="preserve"> below</w:t>
      </w:r>
      <w:r w:rsidR="00F44D08">
        <w:rPr>
          <w:rFonts w:ascii="Arial" w:hAnsi="Arial" w:cs="Arial"/>
          <w:sz w:val="24"/>
          <w:szCs w:val="24"/>
        </w:rPr>
        <w:t>)</w:t>
      </w:r>
      <w:r>
        <w:rPr>
          <w:rFonts w:ascii="Arial" w:hAnsi="Arial" w:cs="Arial"/>
          <w:sz w:val="24"/>
          <w:szCs w:val="24"/>
        </w:rPr>
        <w:t>.</w:t>
      </w:r>
      <w:r w:rsidR="00940EA3">
        <w:rPr>
          <w:rFonts w:ascii="Arial" w:hAnsi="Arial" w:cs="Arial"/>
          <w:sz w:val="24"/>
          <w:szCs w:val="24"/>
        </w:rPr>
        <w:t xml:space="preserve"> </w:t>
      </w:r>
    </w:p>
    <w:p w:rsidR="00940EA3" w:rsidRDefault="00940EA3" w:rsidP="00A7352B">
      <w:pPr>
        <w:jc w:val="left"/>
        <w:rPr>
          <w:rFonts w:ascii="Arial" w:hAnsi="Arial" w:cs="Arial"/>
          <w:b/>
          <w:sz w:val="24"/>
          <w:szCs w:val="24"/>
        </w:rPr>
      </w:pPr>
    </w:p>
    <w:p w:rsidR="00A7352B" w:rsidRDefault="00A7352B" w:rsidP="00A7352B">
      <w:pPr>
        <w:jc w:val="left"/>
        <w:rPr>
          <w:rFonts w:ascii="Arial" w:hAnsi="Arial" w:cs="Arial"/>
          <w:sz w:val="24"/>
          <w:szCs w:val="24"/>
        </w:rPr>
      </w:pPr>
      <w:r w:rsidRPr="00C82F88">
        <w:rPr>
          <w:rFonts w:ascii="Arial" w:hAnsi="Arial" w:cs="Arial" w:hint="eastAsia"/>
          <w:b/>
          <w:sz w:val="24"/>
          <w:szCs w:val="24"/>
        </w:rPr>
        <w:t>Profit before tax</w:t>
      </w:r>
      <w:r w:rsidRPr="00C82F88">
        <w:rPr>
          <w:rFonts w:ascii="Arial" w:hAnsi="Arial" w:cs="Arial"/>
          <w:sz w:val="24"/>
          <w:szCs w:val="24"/>
        </w:rPr>
        <w:t xml:space="preserve"> </w:t>
      </w:r>
      <w:r>
        <w:rPr>
          <w:rFonts w:ascii="Arial" w:hAnsi="Arial" w:cs="Arial"/>
          <w:sz w:val="24"/>
          <w:szCs w:val="24"/>
        </w:rPr>
        <w:t>increased</w:t>
      </w:r>
      <w:r w:rsidRPr="00C82F88">
        <w:rPr>
          <w:rFonts w:ascii="Arial" w:hAnsi="Arial" w:cs="Arial"/>
          <w:sz w:val="24"/>
          <w:szCs w:val="24"/>
        </w:rPr>
        <w:t xml:space="preserve"> </w:t>
      </w:r>
      <w:r w:rsidRPr="00061EAA">
        <w:rPr>
          <w:rFonts w:ascii="Arial" w:hAnsi="Arial" w:cs="Arial"/>
          <w:sz w:val="24"/>
          <w:szCs w:val="24"/>
        </w:rPr>
        <w:t xml:space="preserve">by </w:t>
      </w:r>
      <w:r>
        <w:rPr>
          <w:rFonts w:ascii="Arial" w:hAnsi="Arial" w:cs="Arial"/>
          <w:sz w:val="24"/>
          <w:szCs w:val="24"/>
        </w:rPr>
        <w:t>9.8</w:t>
      </w:r>
      <w:r w:rsidRPr="00061EAA">
        <w:rPr>
          <w:rFonts w:ascii="Arial" w:hAnsi="Arial" w:cs="Arial"/>
          <w:sz w:val="24"/>
          <w:szCs w:val="24"/>
        </w:rPr>
        <w:t>% to £</w:t>
      </w:r>
      <w:r>
        <w:rPr>
          <w:rFonts w:ascii="Arial" w:hAnsi="Arial" w:cs="Arial"/>
          <w:sz w:val="24"/>
          <w:szCs w:val="24"/>
        </w:rPr>
        <w:t>759</w:t>
      </w:r>
      <w:r w:rsidRPr="00C82F88">
        <w:rPr>
          <w:rFonts w:ascii="Arial" w:hAnsi="Arial" w:cs="Arial"/>
          <w:sz w:val="24"/>
          <w:szCs w:val="24"/>
        </w:rPr>
        <w:t xml:space="preserve"> million</w:t>
      </w:r>
      <w:r>
        <w:rPr>
          <w:rFonts w:ascii="Arial" w:hAnsi="Arial" w:cs="Arial"/>
          <w:sz w:val="24"/>
          <w:szCs w:val="24"/>
        </w:rPr>
        <w:t xml:space="preserve">. </w:t>
      </w:r>
      <w:r w:rsidRPr="00C82F88">
        <w:rPr>
          <w:rFonts w:ascii="Arial" w:hAnsi="Arial" w:cs="Arial"/>
          <w:sz w:val="24"/>
          <w:szCs w:val="24"/>
        </w:rPr>
        <w:t xml:space="preserve">After removing the impact of exceptional items and fair value </w:t>
      </w:r>
      <w:r w:rsidRPr="00C82F88">
        <w:rPr>
          <w:rFonts w:ascii="Arial" w:hAnsi="Arial" w:cs="Arial" w:hint="eastAsia"/>
          <w:sz w:val="24"/>
          <w:szCs w:val="24"/>
        </w:rPr>
        <w:t xml:space="preserve">remeasurements, </w:t>
      </w:r>
      <w:r w:rsidRPr="00C82F88">
        <w:rPr>
          <w:rFonts w:ascii="Arial" w:hAnsi="Arial" w:cs="Arial" w:hint="eastAsia"/>
          <w:b/>
          <w:sz w:val="24"/>
          <w:szCs w:val="24"/>
        </w:rPr>
        <w:t>adjusted pre-tax profit</w:t>
      </w:r>
      <w:r w:rsidRPr="00C82F88">
        <w:rPr>
          <w:rFonts w:ascii="Arial" w:hAnsi="Arial" w:cs="Arial"/>
          <w:sz w:val="24"/>
          <w:szCs w:val="24"/>
        </w:rPr>
        <w:t xml:space="preserve"> </w:t>
      </w:r>
      <w:r>
        <w:rPr>
          <w:rFonts w:ascii="Arial" w:hAnsi="Arial" w:cs="Arial"/>
          <w:sz w:val="24"/>
          <w:szCs w:val="24"/>
        </w:rPr>
        <w:t>grew</w:t>
      </w:r>
      <w:r w:rsidRPr="00C82F88">
        <w:rPr>
          <w:rFonts w:ascii="Arial" w:hAnsi="Arial" w:cs="Arial"/>
          <w:sz w:val="24"/>
          <w:szCs w:val="24"/>
        </w:rPr>
        <w:t xml:space="preserve"> by </w:t>
      </w:r>
      <w:r>
        <w:rPr>
          <w:rFonts w:ascii="Arial" w:hAnsi="Arial" w:cs="Arial"/>
          <w:sz w:val="24"/>
          <w:szCs w:val="24"/>
        </w:rPr>
        <w:t>4.1</w:t>
      </w:r>
      <w:r w:rsidRPr="00061EAA">
        <w:rPr>
          <w:rFonts w:ascii="Arial" w:hAnsi="Arial" w:cs="Arial"/>
          <w:sz w:val="24"/>
          <w:szCs w:val="24"/>
        </w:rPr>
        <w:t>% to £7</w:t>
      </w:r>
      <w:r>
        <w:rPr>
          <w:rFonts w:ascii="Arial" w:hAnsi="Arial" w:cs="Arial"/>
          <w:sz w:val="24"/>
          <w:szCs w:val="24"/>
        </w:rPr>
        <w:t>44</w:t>
      </w:r>
      <w:r w:rsidRPr="00061EAA">
        <w:rPr>
          <w:rFonts w:ascii="Arial" w:hAnsi="Arial" w:cs="Arial"/>
          <w:sz w:val="24"/>
          <w:szCs w:val="24"/>
        </w:rPr>
        <w:t xml:space="preserve"> million.</w:t>
      </w:r>
      <w:r w:rsidR="00940EA3">
        <w:rPr>
          <w:rFonts w:ascii="Arial" w:hAnsi="Arial" w:cs="Arial"/>
          <w:sz w:val="24"/>
          <w:szCs w:val="24"/>
        </w:rPr>
        <w:t xml:space="preserve"> </w:t>
      </w:r>
      <w:r w:rsidRPr="00BD6AC0">
        <w:rPr>
          <w:rFonts w:ascii="Arial" w:hAnsi="Arial" w:cs="Arial" w:hint="eastAsia"/>
          <w:b/>
          <w:sz w:val="24"/>
          <w:szCs w:val="24"/>
        </w:rPr>
        <w:t>Profit after tax</w:t>
      </w:r>
      <w:r w:rsidRPr="00BD6AC0">
        <w:rPr>
          <w:rFonts w:ascii="Arial" w:hAnsi="Arial" w:cs="Arial"/>
          <w:sz w:val="24"/>
          <w:szCs w:val="24"/>
        </w:rPr>
        <w:t xml:space="preserve"> for the period was £71</w:t>
      </w:r>
      <w:r>
        <w:rPr>
          <w:rFonts w:ascii="Arial" w:hAnsi="Arial" w:cs="Arial"/>
          <w:sz w:val="24"/>
          <w:szCs w:val="24"/>
        </w:rPr>
        <w:t>0</w:t>
      </w:r>
      <w:r w:rsidRPr="00BD6AC0">
        <w:rPr>
          <w:rFonts w:ascii="Arial" w:hAnsi="Arial" w:cs="Arial"/>
          <w:sz w:val="24"/>
          <w:szCs w:val="24"/>
        </w:rPr>
        <w:t xml:space="preserve"> million (2012/13: £564 million). This resulted in the Group recording a </w:t>
      </w:r>
      <w:r w:rsidRPr="00BD6AC0">
        <w:rPr>
          <w:rFonts w:ascii="Arial" w:hAnsi="Arial" w:cs="Arial" w:hint="eastAsia"/>
          <w:b/>
          <w:sz w:val="24"/>
          <w:szCs w:val="24"/>
        </w:rPr>
        <w:t>basic EPS</w:t>
      </w:r>
      <w:r w:rsidRPr="00BD6AC0">
        <w:rPr>
          <w:rFonts w:ascii="Arial" w:hAnsi="Arial" w:cs="Arial" w:hint="eastAsia"/>
          <w:sz w:val="24"/>
          <w:szCs w:val="24"/>
        </w:rPr>
        <w:t xml:space="preserve"> of </w:t>
      </w:r>
      <w:r w:rsidRPr="00BD6AC0">
        <w:rPr>
          <w:rFonts w:ascii="Arial" w:hAnsi="Arial" w:cs="Arial"/>
          <w:sz w:val="24"/>
          <w:szCs w:val="24"/>
        </w:rPr>
        <w:t>30.</w:t>
      </w:r>
      <w:r>
        <w:rPr>
          <w:rFonts w:ascii="Arial" w:hAnsi="Arial" w:cs="Arial"/>
          <w:sz w:val="24"/>
          <w:szCs w:val="24"/>
        </w:rPr>
        <w:t>0</w:t>
      </w:r>
      <w:r w:rsidRPr="00BD6AC0">
        <w:rPr>
          <w:rFonts w:ascii="Arial" w:hAnsi="Arial" w:cs="Arial"/>
          <w:sz w:val="24"/>
          <w:szCs w:val="24"/>
        </w:rPr>
        <w:t>p</w:t>
      </w:r>
      <w:r w:rsidRPr="00BD6AC0">
        <w:rPr>
          <w:rFonts w:ascii="Arial" w:hAnsi="Arial" w:cs="Arial" w:hint="eastAsia"/>
          <w:sz w:val="24"/>
          <w:szCs w:val="24"/>
        </w:rPr>
        <w:t xml:space="preserve"> in the year (201</w:t>
      </w:r>
      <w:r w:rsidRPr="00BD6AC0">
        <w:rPr>
          <w:rFonts w:ascii="Arial" w:hAnsi="Arial" w:cs="Arial"/>
          <w:sz w:val="24"/>
          <w:szCs w:val="24"/>
        </w:rPr>
        <w:t>2</w:t>
      </w:r>
      <w:r w:rsidRPr="00BD6AC0">
        <w:rPr>
          <w:rFonts w:ascii="Arial" w:hAnsi="Arial" w:cs="Arial" w:hint="eastAsia"/>
          <w:sz w:val="24"/>
          <w:szCs w:val="24"/>
        </w:rPr>
        <w:t>/1</w:t>
      </w:r>
      <w:r w:rsidRPr="00BD6AC0">
        <w:rPr>
          <w:rFonts w:ascii="Arial" w:hAnsi="Arial" w:cs="Arial"/>
          <w:sz w:val="24"/>
          <w:szCs w:val="24"/>
        </w:rPr>
        <w:t>3</w:t>
      </w:r>
      <w:r w:rsidRPr="00BD6AC0">
        <w:rPr>
          <w:rFonts w:ascii="Arial" w:hAnsi="Arial" w:cs="Arial" w:hint="eastAsia"/>
          <w:sz w:val="24"/>
          <w:szCs w:val="24"/>
        </w:rPr>
        <w:t>: 2</w:t>
      </w:r>
      <w:r w:rsidRPr="00BD6AC0">
        <w:rPr>
          <w:rFonts w:ascii="Arial" w:hAnsi="Arial" w:cs="Arial"/>
          <w:sz w:val="24"/>
          <w:szCs w:val="24"/>
        </w:rPr>
        <w:t>4</w:t>
      </w:r>
      <w:r w:rsidRPr="00BD6AC0">
        <w:rPr>
          <w:rFonts w:ascii="Arial" w:hAnsi="Arial" w:cs="Arial" w:hint="eastAsia"/>
          <w:sz w:val="24"/>
          <w:szCs w:val="24"/>
        </w:rPr>
        <w:t>.</w:t>
      </w:r>
      <w:r w:rsidRPr="00BD6AC0">
        <w:rPr>
          <w:rFonts w:ascii="Arial" w:hAnsi="Arial" w:cs="Arial"/>
          <w:sz w:val="24"/>
          <w:szCs w:val="24"/>
        </w:rPr>
        <w:t>1</w:t>
      </w:r>
      <w:r w:rsidRPr="00BD6AC0">
        <w:rPr>
          <w:rFonts w:ascii="Arial" w:hAnsi="Arial" w:cs="Arial" w:hint="eastAsia"/>
          <w:sz w:val="24"/>
          <w:szCs w:val="24"/>
        </w:rPr>
        <w:t>p).</w:t>
      </w:r>
    </w:p>
    <w:p w:rsidR="00A7352B" w:rsidRDefault="00A7352B" w:rsidP="00A7352B">
      <w:pPr>
        <w:jc w:val="left"/>
        <w:rPr>
          <w:rFonts w:ascii="Arial" w:hAnsi="Arial" w:cs="Arial"/>
          <w:sz w:val="24"/>
          <w:szCs w:val="24"/>
        </w:rPr>
      </w:pPr>
    </w:p>
    <w:p w:rsidR="00A7352B" w:rsidRPr="00E530B3" w:rsidRDefault="00A7352B" w:rsidP="00A7352B">
      <w:pPr>
        <w:jc w:val="left"/>
        <w:rPr>
          <w:rFonts w:ascii="Arial" w:hAnsi="Arial" w:cs="Arial"/>
          <w:b/>
          <w:sz w:val="24"/>
          <w:szCs w:val="24"/>
        </w:rPr>
      </w:pPr>
      <w:r w:rsidRPr="00CB2113">
        <w:rPr>
          <w:rFonts w:ascii="Arial" w:hAnsi="Arial" w:cs="Arial"/>
          <w:b/>
          <w:sz w:val="24"/>
          <w:szCs w:val="24"/>
        </w:rPr>
        <w:t xml:space="preserve">Taxation </w:t>
      </w:r>
    </w:p>
    <w:p w:rsidR="00A7352B" w:rsidRDefault="00A7352B" w:rsidP="00A7352B">
      <w:pPr>
        <w:jc w:val="left"/>
        <w:rPr>
          <w:rFonts w:ascii="Arial" w:hAnsi="Arial" w:cs="Arial"/>
          <w:sz w:val="24"/>
          <w:szCs w:val="24"/>
        </w:rPr>
      </w:pPr>
    </w:p>
    <w:p w:rsidR="00A7352B" w:rsidRPr="00073A9A" w:rsidRDefault="00A7352B" w:rsidP="00A7352B">
      <w:pPr>
        <w:pStyle w:val="PlainText"/>
        <w:rPr>
          <w:rFonts w:ascii="Arial" w:hAnsi="Arial" w:cs="Arial"/>
          <w:sz w:val="24"/>
          <w:szCs w:val="24"/>
        </w:rPr>
      </w:pPr>
      <w:r w:rsidRPr="00CB454F">
        <w:rPr>
          <w:rFonts w:ascii="Arial" w:hAnsi="Arial" w:cs="Arial"/>
          <w:sz w:val="24"/>
          <w:szCs w:val="24"/>
        </w:rPr>
        <w:t>The effective corporation tax rate, excluding exceptional and prior year items is 26% this year</w:t>
      </w:r>
      <w:r w:rsidR="00F44D08">
        <w:rPr>
          <w:rFonts w:ascii="Arial" w:hAnsi="Arial" w:cs="Arial"/>
          <w:sz w:val="24"/>
          <w:szCs w:val="24"/>
        </w:rPr>
        <w:t xml:space="preserve"> compared with 27% in 2012/13. </w:t>
      </w:r>
      <w:r w:rsidRPr="00CB454F">
        <w:rPr>
          <w:rFonts w:ascii="Arial" w:hAnsi="Arial" w:cs="Arial"/>
          <w:sz w:val="24"/>
          <w:szCs w:val="24"/>
        </w:rPr>
        <w:t>The overall rate of tax includes the impact of exceptional items and prior year adjustments. The impact of such items reduced the</w:t>
      </w:r>
      <w:r w:rsidRPr="00FE2362">
        <w:rPr>
          <w:rFonts w:ascii="Arial" w:hAnsi="Arial" w:cs="Arial"/>
          <w:sz w:val="24"/>
          <w:szCs w:val="24"/>
        </w:rPr>
        <w:t xml:space="preserve"> rate from 26% to 6% (2012/13</w:t>
      </w:r>
      <w:r>
        <w:rPr>
          <w:rFonts w:ascii="Arial" w:hAnsi="Arial" w:cs="Arial"/>
          <w:sz w:val="24"/>
          <w:szCs w:val="24"/>
        </w:rPr>
        <w:t>:</w:t>
      </w:r>
      <w:r w:rsidRPr="00FE2362">
        <w:rPr>
          <w:rFonts w:ascii="Arial" w:hAnsi="Arial" w:cs="Arial"/>
          <w:sz w:val="24"/>
          <w:szCs w:val="24"/>
        </w:rPr>
        <w:t xml:space="preserve"> 1</w:t>
      </w:r>
      <w:r>
        <w:rPr>
          <w:rFonts w:ascii="Arial" w:hAnsi="Arial" w:cs="Arial"/>
          <w:sz w:val="24"/>
          <w:szCs w:val="24"/>
        </w:rPr>
        <w:t>8</w:t>
      </w:r>
      <w:r w:rsidRPr="00CB454F">
        <w:rPr>
          <w:rFonts w:ascii="Arial" w:hAnsi="Arial" w:cs="Arial"/>
          <w:sz w:val="24"/>
          <w:szCs w:val="24"/>
        </w:rPr>
        <w:t>%) reflecting the positive decisi</w:t>
      </w:r>
      <w:r w:rsidR="00735AC7">
        <w:rPr>
          <w:rFonts w:ascii="Arial" w:hAnsi="Arial" w:cs="Arial"/>
          <w:sz w:val="24"/>
          <w:szCs w:val="24"/>
        </w:rPr>
        <w:t xml:space="preserve">on in the Kesa </w:t>
      </w:r>
      <w:r w:rsidR="009100C3">
        <w:rPr>
          <w:rFonts w:ascii="Arial" w:hAnsi="Arial" w:cs="Arial"/>
          <w:sz w:val="24"/>
          <w:szCs w:val="24"/>
        </w:rPr>
        <w:t xml:space="preserve">demerger </w:t>
      </w:r>
      <w:r w:rsidR="00735AC7">
        <w:rPr>
          <w:rFonts w:ascii="Arial" w:hAnsi="Arial" w:cs="Arial"/>
          <w:sz w:val="24"/>
          <w:szCs w:val="24"/>
        </w:rPr>
        <w:t>French tax case (see exceptional items</w:t>
      </w:r>
      <w:r w:rsidRPr="00CB454F">
        <w:rPr>
          <w:rFonts w:ascii="Arial" w:hAnsi="Arial" w:cs="Arial"/>
          <w:sz w:val="24"/>
          <w:szCs w:val="24"/>
        </w:rPr>
        <w:t xml:space="preserve"> </w:t>
      </w:r>
      <w:r>
        <w:rPr>
          <w:rFonts w:ascii="Arial" w:hAnsi="Arial" w:cs="Arial"/>
          <w:sz w:val="24"/>
          <w:szCs w:val="24"/>
        </w:rPr>
        <w:t>below</w:t>
      </w:r>
      <w:r w:rsidR="00735AC7">
        <w:rPr>
          <w:rFonts w:ascii="Arial" w:hAnsi="Arial" w:cs="Arial"/>
          <w:sz w:val="24"/>
          <w:szCs w:val="24"/>
        </w:rPr>
        <w:t>)</w:t>
      </w:r>
      <w:r w:rsidRPr="00CB454F">
        <w:rPr>
          <w:rFonts w:ascii="Arial" w:hAnsi="Arial" w:cs="Arial"/>
          <w:sz w:val="24"/>
          <w:szCs w:val="24"/>
        </w:rPr>
        <w:t>, the impact on deferred taxes of the further 3% fall in the UK rate and the release of prior year provisions either reassessed or time expired.</w:t>
      </w:r>
    </w:p>
    <w:p w:rsidR="00A7352B" w:rsidRPr="0078091F" w:rsidRDefault="00A7352B" w:rsidP="00A7352B">
      <w:pPr>
        <w:autoSpaceDE w:val="0"/>
        <w:autoSpaceDN w:val="0"/>
        <w:jc w:val="left"/>
        <w:rPr>
          <w:rFonts w:ascii="Arial" w:hAnsi="Arial" w:cs="Arial"/>
          <w:sz w:val="24"/>
          <w:szCs w:val="24"/>
        </w:rPr>
      </w:pPr>
    </w:p>
    <w:p w:rsidR="00A7352B" w:rsidRDefault="00A7352B" w:rsidP="00A64D40">
      <w:pPr>
        <w:jc w:val="left"/>
        <w:rPr>
          <w:rFonts w:ascii="Arial" w:hAnsi="Arial" w:cs="Arial"/>
          <w:sz w:val="24"/>
          <w:szCs w:val="24"/>
        </w:rPr>
      </w:pPr>
      <w:r w:rsidRPr="0078091F">
        <w:rPr>
          <w:rFonts w:ascii="Arial" w:hAnsi="Arial" w:cs="Arial"/>
          <w:sz w:val="24"/>
          <w:szCs w:val="24"/>
        </w:rPr>
        <w:t>Kingfisher’s effective tax rate is sensitive to the blend of tax rates and profits in the Group’s various jurisdictions. The adjusted effective rate of tax, calculated on profit before exceptional items, prior year tax adjustments and the impact of rate changes is 26% (2012/13: 27%). This is higher than the UK statutory rate because of the amount of Group profit that is earned in higher tax jurisdictions and because no future benefit is assumed for losses incurred in overseas jurisdictions such as China</w:t>
      </w:r>
      <w:r>
        <w:rPr>
          <w:rFonts w:ascii="Arial" w:hAnsi="Arial" w:cs="Arial"/>
          <w:sz w:val="24"/>
          <w:szCs w:val="24"/>
        </w:rPr>
        <w:t>.</w:t>
      </w:r>
    </w:p>
    <w:p w:rsidR="00A7352B" w:rsidRDefault="00A7352B" w:rsidP="00A7352B"/>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61"/>
        <w:gridCol w:w="1276"/>
        <w:gridCol w:w="1417"/>
        <w:gridCol w:w="1276"/>
        <w:gridCol w:w="1276"/>
      </w:tblGrid>
      <w:tr w:rsidR="00A7352B" w:rsidRPr="00E20BFB" w:rsidTr="00A7352B">
        <w:trPr>
          <w:trHeight w:val="516"/>
        </w:trPr>
        <w:tc>
          <w:tcPr>
            <w:tcW w:w="4361" w:type="dxa"/>
            <w:tcBorders>
              <w:bottom w:val="single" w:sz="4" w:space="0" w:color="auto"/>
            </w:tcBorders>
          </w:tcPr>
          <w:p w:rsidR="00A7352B" w:rsidRPr="00E20BFB" w:rsidRDefault="00A7352B" w:rsidP="00A7352B">
            <w:pPr>
              <w:jc w:val="left"/>
              <w:rPr>
                <w:rFonts w:ascii="Arial" w:hAnsi="Arial" w:cs="Arial"/>
                <w:b/>
                <w:sz w:val="24"/>
                <w:szCs w:val="24"/>
              </w:rPr>
            </w:pPr>
            <w:r w:rsidRPr="00CB2113">
              <w:rPr>
                <w:rFonts w:ascii="Arial" w:hAnsi="Arial" w:cs="Arial"/>
                <w:b/>
                <w:sz w:val="24"/>
                <w:szCs w:val="24"/>
              </w:rPr>
              <w:t>Effective tax rate calculation</w:t>
            </w:r>
          </w:p>
        </w:tc>
        <w:tc>
          <w:tcPr>
            <w:tcW w:w="1276" w:type="dxa"/>
            <w:tcBorders>
              <w:bottom w:val="single" w:sz="4" w:space="0" w:color="auto"/>
            </w:tcBorders>
          </w:tcPr>
          <w:p w:rsidR="00A7352B" w:rsidRPr="00E20BFB" w:rsidRDefault="00A7352B" w:rsidP="00A7352B">
            <w:pPr>
              <w:jc w:val="right"/>
              <w:rPr>
                <w:rFonts w:ascii="Arial" w:hAnsi="Arial" w:cs="Arial"/>
                <w:b/>
                <w:sz w:val="24"/>
                <w:szCs w:val="24"/>
              </w:rPr>
            </w:pPr>
            <w:r w:rsidRPr="00E20BFB">
              <w:rPr>
                <w:rFonts w:ascii="Arial" w:hAnsi="Arial" w:cs="Arial"/>
                <w:b/>
                <w:sz w:val="24"/>
                <w:szCs w:val="24"/>
              </w:rPr>
              <w:t>Profit</w:t>
            </w:r>
          </w:p>
          <w:p w:rsidR="00A7352B" w:rsidRPr="00E20BFB" w:rsidRDefault="00A7352B" w:rsidP="00A7352B">
            <w:pPr>
              <w:jc w:val="right"/>
              <w:rPr>
                <w:rFonts w:ascii="Arial" w:hAnsi="Arial" w:cs="Arial"/>
                <w:b/>
                <w:sz w:val="24"/>
                <w:szCs w:val="24"/>
              </w:rPr>
            </w:pPr>
            <w:r w:rsidRPr="00E20BFB">
              <w:rPr>
                <w:rFonts w:ascii="Arial" w:hAnsi="Arial" w:cs="Arial"/>
                <w:b/>
                <w:sz w:val="24"/>
                <w:szCs w:val="24"/>
              </w:rPr>
              <w:t>£m</w:t>
            </w:r>
          </w:p>
        </w:tc>
        <w:tc>
          <w:tcPr>
            <w:tcW w:w="1417" w:type="dxa"/>
            <w:tcBorders>
              <w:bottom w:val="single" w:sz="4" w:space="0" w:color="auto"/>
            </w:tcBorders>
          </w:tcPr>
          <w:p w:rsidR="00A7352B" w:rsidRPr="00E20BFB" w:rsidRDefault="00A7352B" w:rsidP="00A7352B">
            <w:pPr>
              <w:jc w:val="right"/>
              <w:rPr>
                <w:rFonts w:ascii="Arial" w:hAnsi="Arial" w:cs="Arial"/>
                <w:b/>
                <w:sz w:val="24"/>
                <w:szCs w:val="24"/>
              </w:rPr>
            </w:pPr>
            <w:r w:rsidRPr="00E20BFB">
              <w:rPr>
                <w:rFonts w:ascii="Arial" w:hAnsi="Arial" w:cs="Arial"/>
                <w:b/>
                <w:sz w:val="24"/>
                <w:szCs w:val="24"/>
              </w:rPr>
              <w:t xml:space="preserve">Tax </w:t>
            </w:r>
          </w:p>
          <w:p w:rsidR="00A7352B" w:rsidRPr="00E20BFB" w:rsidRDefault="00A7352B" w:rsidP="00A7352B">
            <w:pPr>
              <w:jc w:val="right"/>
              <w:rPr>
                <w:rFonts w:ascii="Arial" w:hAnsi="Arial" w:cs="Arial"/>
                <w:b/>
                <w:sz w:val="24"/>
                <w:szCs w:val="24"/>
              </w:rPr>
            </w:pPr>
            <w:r w:rsidRPr="00E20BFB">
              <w:rPr>
                <w:rFonts w:ascii="Arial" w:hAnsi="Arial" w:cs="Arial"/>
                <w:b/>
                <w:sz w:val="24"/>
                <w:szCs w:val="24"/>
              </w:rPr>
              <w:t>£m</w:t>
            </w:r>
          </w:p>
        </w:tc>
        <w:tc>
          <w:tcPr>
            <w:tcW w:w="1276" w:type="dxa"/>
            <w:tcBorders>
              <w:bottom w:val="single" w:sz="4" w:space="0" w:color="auto"/>
            </w:tcBorders>
          </w:tcPr>
          <w:p w:rsidR="00A7352B" w:rsidRDefault="00A7352B" w:rsidP="00A7352B">
            <w:pPr>
              <w:jc w:val="right"/>
              <w:rPr>
                <w:rFonts w:ascii="Arial" w:hAnsi="Arial" w:cs="Arial"/>
                <w:b/>
                <w:sz w:val="24"/>
                <w:szCs w:val="24"/>
              </w:rPr>
            </w:pPr>
            <w:r>
              <w:rPr>
                <w:rFonts w:ascii="Arial" w:hAnsi="Arial" w:cs="Arial"/>
                <w:b/>
                <w:sz w:val="24"/>
                <w:szCs w:val="24"/>
              </w:rPr>
              <w:t>2013/14</w:t>
            </w:r>
          </w:p>
          <w:p w:rsidR="00A7352B" w:rsidRPr="00E20BFB" w:rsidRDefault="00A7352B" w:rsidP="00A7352B">
            <w:pPr>
              <w:jc w:val="right"/>
              <w:rPr>
                <w:rFonts w:ascii="Arial" w:hAnsi="Arial" w:cs="Arial"/>
                <w:b/>
                <w:sz w:val="24"/>
                <w:szCs w:val="24"/>
              </w:rPr>
            </w:pPr>
            <w:r>
              <w:rPr>
                <w:rFonts w:ascii="Arial" w:hAnsi="Arial" w:cs="Arial"/>
                <w:b/>
                <w:sz w:val="24"/>
                <w:szCs w:val="24"/>
              </w:rPr>
              <w:t>%</w:t>
            </w:r>
          </w:p>
        </w:tc>
        <w:tc>
          <w:tcPr>
            <w:tcW w:w="1276" w:type="dxa"/>
            <w:tcBorders>
              <w:bottom w:val="single" w:sz="4" w:space="0" w:color="auto"/>
            </w:tcBorders>
          </w:tcPr>
          <w:p w:rsidR="00A7352B" w:rsidRPr="00D77FFA" w:rsidRDefault="00A7352B" w:rsidP="00A7352B">
            <w:pPr>
              <w:jc w:val="right"/>
              <w:rPr>
                <w:rFonts w:ascii="Arial" w:hAnsi="Arial" w:cs="Arial"/>
                <w:sz w:val="24"/>
                <w:szCs w:val="24"/>
              </w:rPr>
            </w:pPr>
            <w:r w:rsidRPr="00D77FFA">
              <w:rPr>
                <w:rFonts w:ascii="Arial" w:hAnsi="Arial" w:cs="Arial"/>
                <w:sz w:val="24"/>
                <w:szCs w:val="24"/>
              </w:rPr>
              <w:t>2012/13</w:t>
            </w:r>
          </w:p>
          <w:p w:rsidR="00A7352B" w:rsidRPr="00D77FFA" w:rsidRDefault="00A7352B" w:rsidP="00A7352B">
            <w:pPr>
              <w:jc w:val="right"/>
              <w:rPr>
                <w:rFonts w:ascii="Arial" w:hAnsi="Arial" w:cs="Arial"/>
                <w:sz w:val="24"/>
                <w:szCs w:val="24"/>
              </w:rPr>
            </w:pPr>
            <w:r w:rsidRPr="00D77FFA">
              <w:rPr>
                <w:rFonts w:ascii="Arial" w:hAnsi="Arial" w:cs="Arial"/>
                <w:sz w:val="24"/>
                <w:szCs w:val="24"/>
              </w:rPr>
              <w:t>%</w:t>
            </w:r>
          </w:p>
        </w:tc>
      </w:tr>
      <w:tr w:rsidR="00A7352B" w:rsidRPr="00793CB7" w:rsidTr="00A7352B">
        <w:tc>
          <w:tcPr>
            <w:tcW w:w="4361" w:type="dxa"/>
            <w:tcBorders>
              <w:top w:val="single" w:sz="4" w:space="0" w:color="auto"/>
            </w:tcBorders>
          </w:tcPr>
          <w:p w:rsidR="00A7352B" w:rsidRPr="00793CB7" w:rsidRDefault="00A7352B" w:rsidP="00A7352B">
            <w:pPr>
              <w:jc w:val="left"/>
              <w:rPr>
                <w:rFonts w:ascii="Arial" w:hAnsi="Arial" w:cs="Arial"/>
                <w:sz w:val="24"/>
                <w:szCs w:val="24"/>
              </w:rPr>
            </w:pPr>
            <w:r w:rsidRPr="00793CB7">
              <w:rPr>
                <w:rFonts w:ascii="Arial" w:hAnsi="Arial" w:cs="Arial"/>
                <w:sz w:val="24"/>
                <w:szCs w:val="24"/>
              </w:rPr>
              <w:t>Profit before tax and tax thereon</w:t>
            </w:r>
          </w:p>
        </w:tc>
        <w:tc>
          <w:tcPr>
            <w:tcW w:w="1276" w:type="dxa"/>
            <w:tcBorders>
              <w:top w:val="single" w:sz="4" w:space="0" w:color="auto"/>
            </w:tcBorders>
          </w:tcPr>
          <w:p w:rsidR="00A7352B" w:rsidRPr="00793CB7" w:rsidRDefault="00A7352B" w:rsidP="00A7352B">
            <w:pPr>
              <w:jc w:val="right"/>
              <w:rPr>
                <w:rFonts w:ascii="Arial" w:hAnsi="Arial" w:cs="Arial"/>
                <w:sz w:val="24"/>
                <w:szCs w:val="24"/>
              </w:rPr>
            </w:pPr>
            <w:r w:rsidRPr="00793CB7">
              <w:rPr>
                <w:rFonts w:ascii="Arial" w:hAnsi="Arial" w:cs="Arial"/>
                <w:sz w:val="24"/>
                <w:szCs w:val="24"/>
              </w:rPr>
              <w:t>759</w:t>
            </w:r>
          </w:p>
        </w:tc>
        <w:tc>
          <w:tcPr>
            <w:tcW w:w="1417" w:type="dxa"/>
            <w:tcBorders>
              <w:top w:val="single" w:sz="4" w:space="0" w:color="auto"/>
            </w:tcBorders>
          </w:tcPr>
          <w:p w:rsidR="00A7352B" w:rsidRPr="00793CB7" w:rsidRDefault="00A7352B" w:rsidP="00A7352B">
            <w:pPr>
              <w:jc w:val="right"/>
              <w:rPr>
                <w:rFonts w:ascii="Arial" w:hAnsi="Arial" w:cs="Arial"/>
                <w:sz w:val="24"/>
                <w:szCs w:val="24"/>
              </w:rPr>
            </w:pPr>
            <w:r w:rsidRPr="00793CB7">
              <w:rPr>
                <w:rFonts w:ascii="Arial" w:hAnsi="Arial" w:cs="Arial"/>
                <w:sz w:val="24"/>
                <w:szCs w:val="24"/>
              </w:rPr>
              <w:t>49</w:t>
            </w:r>
          </w:p>
        </w:tc>
        <w:tc>
          <w:tcPr>
            <w:tcW w:w="1276" w:type="dxa"/>
            <w:tcBorders>
              <w:top w:val="single" w:sz="4" w:space="0" w:color="auto"/>
            </w:tcBorders>
          </w:tcPr>
          <w:p w:rsidR="00A7352B" w:rsidRPr="00793CB7" w:rsidRDefault="00A7352B" w:rsidP="00A7352B">
            <w:pPr>
              <w:jc w:val="right"/>
              <w:rPr>
                <w:rFonts w:ascii="Arial" w:hAnsi="Arial" w:cs="Arial"/>
                <w:sz w:val="24"/>
                <w:szCs w:val="24"/>
              </w:rPr>
            </w:pPr>
            <w:r w:rsidRPr="00793CB7">
              <w:rPr>
                <w:rFonts w:ascii="Arial" w:hAnsi="Arial" w:cs="Arial"/>
                <w:sz w:val="24"/>
                <w:szCs w:val="24"/>
              </w:rPr>
              <w:t>6</w:t>
            </w:r>
          </w:p>
        </w:tc>
        <w:tc>
          <w:tcPr>
            <w:tcW w:w="1276" w:type="dxa"/>
            <w:tcBorders>
              <w:top w:val="single" w:sz="4" w:space="0" w:color="auto"/>
            </w:tcBorders>
          </w:tcPr>
          <w:p w:rsidR="00A7352B" w:rsidRPr="00793CB7" w:rsidRDefault="00A7352B" w:rsidP="00A7352B">
            <w:pPr>
              <w:jc w:val="right"/>
              <w:rPr>
                <w:rFonts w:ascii="Arial" w:hAnsi="Arial" w:cs="Arial"/>
                <w:sz w:val="24"/>
                <w:szCs w:val="24"/>
              </w:rPr>
            </w:pPr>
            <w:r w:rsidRPr="00793CB7">
              <w:rPr>
                <w:rFonts w:ascii="Arial" w:hAnsi="Arial" w:cs="Arial"/>
                <w:sz w:val="24"/>
                <w:szCs w:val="24"/>
              </w:rPr>
              <w:t>18</w:t>
            </w:r>
          </w:p>
        </w:tc>
      </w:tr>
      <w:tr w:rsidR="00A7352B" w:rsidRPr="00793CB7" w:rsidTr="00A7352B">
        <w:tc>
          <w:tcPr>
            <w:tcW w:w="4361" w:type="dxa"/>
          </w:tcPr>
          <w:p w:rsidR="00A7352B" w:rsidRPr="00793CB7" w:rsidRDefault="00A7352B" w:rsidP="00A7352B">
            <w:pPr>
              <w:jc w:val="left"/>
              <w:rPr>
                <w:rFonts w:ascii="Arial" w:hAnsi="Arial" w:cs="Arial"/>
                <w:sz w:val="24"/>
                <w:szCs w:val="24"/>
              </w:rPr>
            </w:pPr>
            <w:r w:rsidRPr="00793CB7">
              <w:rPr>
                <w:rFonts w:ascii="Arial" w:hAnsi="Arial" w:cs="Arial"/>
                <w:sz w:val="24"/>
                <w:szCs w:val="24"/>
              </w:rPr>
              <w:t>Exceptional items</w:t>
            </w:r>
          </w:p>
        </w:tc>
        <w:tc>
          <w:tcPr>
            <w:tcW w:w="1276" w:type="dxa"/>
          </w:tcPr>
          <w:p w:rsidR="00A7352B" w:rsidRPr="00793CB7" w:rsidRDefault="00A7352B" w:rsidP="00A7352B">
            <w:pPr>
              <w:jc w:val="right"/>
              <w:rPr>
                <w:rFonts w:ascii="Arial" w:hAnsi="Arial" w:cs="Arial"/>
                <w:sz w:val="24"/>
                <w:szCs w:val="24"/>
              </w:rPr>
            </w:pPr>
            <w:r w:rsidRPr="00793CB7">
              <w:rPr>
                <w:rFonts w:ascii="Arial" w:hAnsi="Arial" w:cs="Arial"/>
                <w:sz w:val="24"/>
                <w:szCs w:val="24"/>
              </w:rPr>
              <w:t>(17)</w:t>
            </w:r>
          </w:p>
        </w:tc>
        <w:tc>
          <w:tcPr>
            <w:tcW w:w="1417" w:type="dxa"/>
          </w:tcPr>
          <w:p w:rsidR="00A7352B" w:rsidRPr="00793CB7" w:rsidRDefault="00A7352B" w:rsidP="00A7352B">
            <w:pPr>
              <w:jc w:val="right"/>
              <w:rPr>
                <w:rFonts w:ascii="Arial" w:hAnsi="Arial" w:cs="Arial"/>
                <w:sz w:val="24"/>
                <w:szCs w:val="24"/>
              </w:rPr>
            </w:pPr>
            <w:r w:rsidRPr="00793CB7">
              <w:rPr>
                <w:rFonts w:ascii="Arial" w:hAnsi="Arial" w:cs="Arial"/>
                <w:sz w:val="24"/>
                <w:szCs w:val="24"/>
              </w:rPr>
              <w:t>114</w:t>
            </w:r>
          </w:p>
        </w:tc>
        <w:tc>
          <w:tcPr>
            <w:tcW w:w="1276" w:type="dxa"/>
          </w:tcPr>
          <w:p w:rsidR="00A7352B" w:rsidRPr="00793CB7" w:rsidRDefault="00A7352B" w:rsidP="00A7352B">
            <w:pPr>
              <w:jc w:val="right"/>
              <w:rPr>
                <w:rFonts w:ascii="Arial" w:hAnsi="Arial" w:cs="Arial"/>
                <w:sz w:val="24"/>
                <w:szCs w:val="24"/>
              </w:rPr>
            </w:pPr>
          </w:p>
        </w:tc>
        <w:tc>
          <w:tcPr>
            <w:tcW w:w="1276" w:type="dxa"/>
          </w:tcPr>
          <w:p w:rsidR="00A7352B" w:rsidRPr="00793CB7" w:rsidRDefault="00A7352B" w:rsidP="00A7352B">
            <w:pPr>
              <w:jc w:val="right"/>
              <w:rPr>
                <w:rFonts w:ascii="Arial" w:hAnsi="Arial" w:cs="Arial"/>
                <w:sz w:val="24"/>
                <w:szCs w:val="24"/>
              </w:rPr>
            </w:pPr>
          </w:p>
        </w:tc>
      </w:tr>
      <w:tr w:rsidR="00A7352B" w:rsidRPr="00793CB7" w:rsidTr="00A7352B">
        <w:tc>
          <w:tcPr>
            <w:tcW w:w="4361" w:type="dxa"/>
            <w:tcBorders>
              <w:bottom w:val="single" w:sz="4" w:space="0" w:color="auto"/>
            </w:tcBorders>
          </w:tcPr>
          <w:p w:rsidR="00A7352B" w:rsidRPr="00793CB7" w:rsidRDefault="00A7352B" w:rsidP="00A7352B">
            <w:pPr>
              <w:jc w:val="left"/>
              <w:rPr>
                <w:rFonts w:ascii="Arial" w:hAnsi="Arial" w:cs="Arial"/>
                <w:sz w:val="24"/>
                <w:szCs w:val="24"/>
              </w:rPr>
            </w:pPr>
            <w:r w:rsidRPr="00793CB7">
              <w:rPr>
                <w:rFonts w:ascii="Arial" w:hAnsi="Arial" w:cs="Arial"/>
                <w:sz w:val="24"/>
                <w:szCs w:val="24"/>
              </w:rPr>
              <w:t>Prior year items and rate changes</w:t>
            </w:r>
          </w:p>
        </w:tc>
        <w:tc>
          <w:tcPr>
            <w:tcW w:w="1276" w:type="dxa"/>
            <w:tcBorders>
              <w:bottom w:val="single" w:sz="4" w:space="0" w:color="auto"/>
            </w:tcBorders>
          </w:tcPr>
          <w:p w:rsidR="00A7352B" w:rsidRPr="00793CB7" w:rsidRDefault="00A7352B" w:rsidP="00A7352B">
            <w:pPr>
              <w:jc w:val="right"/>
              <w:rPr>
                <w:rFonts w:ascii="Arial" w:hAnsi="Arial" w:cs="Arial"/>
                <w:sz w:val="24"/>
                <w:szCs w:val="24"/>
              </w:rPr>
            </w:pPr>
            <w:r w:rsidRPr="00793CB7">
              <w:rPr>
                <w:rFonts w:ascii="Arial" w:hAnsi="Arial" w:cs="Arial"/>
                <w:sz w:val="24"/>
                <w:szCs w:val="24"/>
              </w:rPr>
              <w:t>-</w:t>
            </w:r>
          </w:p>
        </w:tc>
        <w:tc>
          <w:tcPr>
            <w:tcW w:w="1417" w:type="dxa"/>
            <w:tcBorders>
              <w:bottom w:val="single" w:sz="4" w:space="0" w:color="auto"/>
            </w:tcBorders>
          </w:tcPr>
          <w:p w:rsidR="00A7352B" w:rsidRPr="00793CB7" w:rsidRDefault="00A7352B" w:rsidP="00A7352B">
            <w:pPr>
              <w:jc w:val="right"/>
              <w:rPr>
                <w:rFonts w:ascii="Arial" w:hAnsi="Arial" w:cs="Arial"/>
                <w:sz w:val="24"/>
                <w:szCs w:val="24"/>
              </w:rPr>
            </w:pPr>
            <w:r w:rsidRPr="00793CB7">
              <w:rPr>
                <w:rFonts w:ascii="Arial" w:hAnsi="Arial" w:cs="Arial"/>
                <w:sz w:val="24"/>
                <w:szCs w:val="24"/>
              </w:rPr>
              <w:t>27</w:t>
            </w:r>
          </w:p>
        </w:tc>
        <w:tc>
          <w:tcPr>
            <w:tcW w:w="1276" w:type="dxa"/>
            <w:tcBorders>
              <w:bottom w:val="single" w:sz="4" w:space="0" w:color="auto"/>
            </w:tcBorders>
          </w:tcPr>
          <w:p w:rsidR="00A7352B" w:rsidRPr="00793CB7" w:rsidRDefault="00A7352B" w:rsidP="00A7352B">
            <w:pPr>
              <w:jc w:val="right"/>
              <w:rPr>
                <w:rFonts w:ascii="Arial" w:hAnsi="Arial" w:cs="Arial"/>
                <w:sz w:val="24"/>
                <w:szCs w:val="24"/>
              </w:rPr>
            </w:pPr>
          </w:p>
        </w:tc>
        <w:tc>
          <w:tcPr>
            <w:tcW w:w="1276" w:type="dxa"/>
            <w:tcBorders>
              <w:bottom w:val="single" w:sz="4" w:space="0" w:color="auto"/>
            </w:tcBorders>
          </w:tcPr>
          <w:p w:rsidR="00A7352B" w:rsidRPr="00793CB7" w:rsidRDefault="00A7352B" w:rsidP="00A7352B">
            <w:pPr>
              <w:jc w:val="right"/>
              <w:rPr>
                <w:rFonts w:ascii="Arial" w:hAnsi="Arial" w:cs="Arial"/>
                <w:sz w:val="24"/>
                <w:szCs w:val="24"/>
              </w:rPr>
            </w:pPr>
          </w:p>
        </w:tc>
      </w:tr>
      <w:tr w:rsidR="00A7352B" w:rsidRPr="00793CB7" w:rsidTr="00A7352B">
        <w:tc>
          <w:tcPr>
            <w:tcW w:w="4361" w:type="dxa"/>
            <w:tcBorders>
              <w:top w:val="single" w:sz="4" w:space="0" w:color="auto"/>
              <w:bottom w:val="single" w:sz="4" w:space="0" w:color="auto"/>
            </w:tcBorders>
          </w:tcPr>
          <w:p w:rsidR="00A7352B" w:rsidRPr="00793CB7" w:rsidRDefault="00A7352B" w:rsidP="00A7352B">
            <w:pPr>
              <w:jc w:val="left"/>
              <w:rPr>
                <w:rFonts w:ascii="Arial" w:hAnsi="Arial" w:cs="Arial"/>
                <w:b/>
                <w:sz w:val="24"/>
                <w:szCs w:val="24"/>
              </w:rPr>
            </w:pPr>
            <w:r w:rsidRPr="00793CB7">
              <w:rPr>
                <w:rFonts w:ascii="Arial" w:hAnsi="Arial" w:cs="Arial"/>
                <w:b/>
                <w:sz w:val="24"/>
                <w:szCs w:val="24"/>
              </w:rPr>
              <w:t xml:space="preserve">Total </w:t>
            </w:r>
            <w:r w:rsidR="007F7FFA">
              <w:rPr>
                <w:rFonts w:ascii="Arial" w:hAnsi="Arial" w:cs="Arial"/>
                <w:b/>
                <w:sz w:val="24"/>
                <w:szCs w:val="24"/>
              </w:rPr>
              <w:t>–</w:t>
            </w:r>
            <w:r w:rsidRPr="00793CB7">
              <w:rPr>
                <w:rFonts w:ascii="Arial" w:hAnsi="Arial" w:cs="Arial"/>
                <w:b/>
                <w:sz w:val="24"/>
                <w:szCs w:val="24"/>
              </w:rPr>
              <w:t xml:space="preserve"> adjusted</w:t>
            </w:r>
          </w:p>
        </w:tc>
        <w:tc>
          <w:tcPr>
            <w:tcW w:w="1276" w:type="dxa"/>
            <w:tcBorders>
              <w:top w:val="single" w:sz="4" w:space="0" w:color="auto"/>
              <w:bottom w:val="single" w:sz="4" w:space="0" w:color="auto"/>
            </w:tcBorders>
          </w:tcPr>
          <w:p w:rsidR="00A7352B" w:rsidRPr="00793CB7" w:rsidRDefault="00A7352B" w:rsidP="00A7352B">
            <w:pPr>
              <w:jc w:val="right"/>
              <w:rPr>
                <w:rFonts w:ascii="Arial" w:hAnsi="Arial" w:cs="Arial"/>
                <w:b/>
                <w:sz w:val="24"/>
                <w:szCs w:val="24"/>
              </w:rPr>
            </w:pPr>
            <w:r w:rsidRPr="00793CB7">
              <w:rPr>
                <w:rFonts w:ascii="Arial" w:hAnsi="Arial" w:cs="Arial"/>
                <w:b/>
                <w:sz w:val="24"/>
                <w:szCs w:val="24"/>
              </w:rPr>
              <w:t>742</w:t>
            </w:r>
          </w:p>
        </w:tc>
        <w:tc>
          <w:tcPr>
            <w:tcW w:w="1417" w:type="dxa"/>
            <w:tcBorders>
              <w:top w:val="single" w:sz="4" w:space="0" w:color="auto"/>
              <w:bottom w:val="single" w:sz="4" w:space="0" w:color="auto"/>
            </w:tcBorders>
          </w:tcPr>
          <w:p w:rsidR="00A7352B" w:rsidRPr="00793CB7" w:rsidRDefault="00A7352B" w:rsidP="00A7352B">
            <w:pPr>
              <w:jc w:val="right"/>
              <w:rPr>
                <w:rFonts w:ascii="Arial" w:hAnsi="Arial" w:cs="Arial"/>
                <w:b/>
                <w:sz w:val="24"/>
                <w:szCs w:val="24"/>
              </w:rPr>
            </w:pPr>
            <w:r w:rsidRPr="00793CB7">
              <w:rPr>
                <w:rFonts w:ascii="Arial" w:hAnsi="Arial" w:cs="Arial"/>
                <w:b/>
                <w:sz w:val="24"/>
                <w:szCs w:val="24"/>
              </w:rPr>
              <w:t>190</w:t>
            </w:r>
          </w:p>
        </w:tc>
        <w:tc>
          <w:tcPr>
            <w:tcW w:w="1276" w:type="dxa"/>
            <w:tcBorders>
              <w:top w:val="single" w:sz="4" w:space="0" w:color="auto"/>
              <w:bottom w:val="single" w:sz="4" w:space="0" w:color="auto"/>
            </w:tcBorders>
          </w:tcPr>
          <w:p w:rsidR="00A7352B" w:rsidRPr="00793CB7" w:rsidRDefault="00A7352B" w:rsidP="00A7352B">
            <w:pPr>
              <w:jc w:val="right"/>
              <w:rPr>
                <w:rFonts w:ascii="Arial" w:hAnsi="Arial" w:cs="Arial"/>
                <w:b/>
                <w:sz w:val="24"/>
                <w:szCs w:val="24"/>
              </w:rPr>
            </w:pPr>
            <w:r w:rsidRPr="00793CB7">
              <w:rPr>
                <w:rFonts w:ascii="Arial" w:hAnsi="Arial" w:cs="Arial"/>
                <w:b/>
                <w:sz w:val="24"/>
                <w:szCs w:val="24"/>
              </w:rPr>
              <w:t>26</w:t>
            </w:r>
          </w:p>
        </w:tc>
        <w:tc>
          <w:tcPr>
            <w:tcW w:w="1276" w:type="dxa"/>
            <w:tcBorders>
              <w:top w:val="single" w:sz="4" w:space="0" w:color="auto"/>
              <w:bottom w:val="single" w:sz="4" w:space="0" w:color="auto"/>
            </w:tcBorders>
          </w:tcPr>
          <w:p w:rsidR="00A7352B" w:rsidRPr="00793CB7" w:rsidRDefault="00A7352B" w:rsidP="00A7352B">
            <w:pPr>
              <w:jc w:val="right"/>
              <w:rPr>
                <w:rFonts w:ascii="Arial" w:hAnsi="Arial" w:cs="Arial"/>
                <w:sz w:val="24"/>
                <w:szCs w:val="24"/>
              </w:rPr>
            </w:pPr>
            <w:r w:rsidRPr="00793CB7">
              <w:rPr>
                <w:rFonts w:ascii="Arial" w:hAnsi="Arial" w:cs="Arial"/>
                <w:sz w:val="24"/>
                <w:szCs w:val="24"/>
              </w:rPr>
              <w:t>27</w:t>
            </w:r>
          </w:p>
        </w:tc>
      </w:tr>
    </w:tbl>
    <w:p w:rsidR="00A7352B" w:rsidRPr="00C82F88" w:rsidRDefault="00A7352B" w:rsidP="00A7352B">
      <w:pPr>
        <w:jc w:val="left"/>
        <w:rPr>
          <w:rFonts w:ascii="Arial" w:hAnsi="Arial" w:cs="Arial"/>
          <w:sz w:val="24"/>
          <w:szCs w:val="24"/>
        </w:rPr>
      </w:pPr>
    </w:p>
    <w:p w:rsidR="00AC624B" w:rsidRDefault="00A7352B">
      <w:pPr>
        <w:jc w:val="left"/>
        <w:rPr>
          <w:rFonts w:ascii="Arial" w:hAnsi="Arial" w:cs="Arial"/>
          <w:sz w:val="24"/>
          <w:szCs w:val="24"/>
        </w:rPr>
      </w:pPr>
      <w:r w:rsidRPr="007A433D">
        <w:rPr>
          <w:rFonts w:ascii="Arial" w:hAnsi="Arial" w:cs="Arial"/>
          <w:sz w:val="24"/>
          <w:szCs w:val="24"/>
        </w:rPr>
        <w:t xml:space="preserve">The effective rate of tax is lower than in 2012/13 as a result of </w:t>
      </w:r>
      <w:r w:rsidR="00AC624B">
        <w:rPr>
          <w:rFonts w:ascii="Arial" w:hAnsi="Arial" w:cs="Arial"/>
          <w:sz w:val="24"/>
          <w:szCs w:val="24"/>
        </w:rPr>
        <w:t xml:space="preserve">the mix of profits and </w:t>
      </w:r>
      <w:r w:rsidRPr="007A433D">
        <w:rPr>
          <w:rFonts w:ascii="Arial" w:hAnsi="Arial" w:cs="Arial"/>
          <w:sz w:val="24"/>
          <w:szCs w:val="24"/>
        </w:rPr>
        <w:t xml:space="preserve">tax rate changes in some of the </w:t>
      </w:r>
      <w:r w:rsidRPr="00CB2113">
        <w:rPr>
          <w:rFonts w:ascii="Arial" w:hAnsi="Arial" w:cs="Arial"/>
          <w:sz w:val="24"/>
          <w:szCs w:val="24"/>
        </w:rPr>
        <w:t xml:space="preserve">countries in which we operate. The most significant </w:t>
      </w:r>
      <w:r w:rsidR="00AC624B">
        <w:rPr>
          <w:rFonts w:ascii="Arial" w:hAnsi="Arial" w:cs="Arial"/>
          <w:sz w:val="24"/>
          <w:szCs w:val="24"/>
        </w:rPr>
        <w:t xml:space="preserve">rate </w:t>
      </w:r>
      <w:r w:rsidRPr="00CB2113">
        <w:rPr>
          <w:rFonts w:ascii="Arial" w:hAnsi="Arial" w:cs="Arial"/>
          <w:sz w:val="24"/>
          <w:szCs w:val="24"/>
        </w:rPr>
        <w:t>changes in 2013/14 were the UK statutory tax rate falling from 24% to 23% regarding current year profits and from 23% to 20% regarding deferred tax, offset by an increase in the French tax rate from 36% to 38%.</w:t>
      </w:r>
    </w:p>
    <w:p w:rsidR="00A7352B" w:rsidRDefault="00A7352B" w:rsidP="00A7352B">
      <w:pPr>
        <w:jc w:val="left"/>
        <w:rPr>
          <w:rFonts w:ascii="Arial" w:hAnsi="Arial" w:cs="Arial"/>
          <w:sz w:val="24"/>
          <w:szCs w:val="24"/>
        </w:rPr>
      </w:pPr>
      <w:r w:rsidRPr="00C82F88">
        <w:rPr>
          <w:rFonts w:ascii="Arial" w:hAnsi="Arial" w:cs="Arial" w:hint="eastAsia"/>
          <w:sz w:val="24"/>
          <w:szCs w:val="24"/>
        </w:rPr>
        <w:t>The tax rates for this financial year and the expected rates for next year are as follows:</w:t>
      </w:r>
    </w:p>
    <w:p w:rsidR="00AC624B" w:rsidRDefault="00AC624B" w:rsidP="00A7352B">
      <w:pPr>
        <w:jc w:val="left"/>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3544"/>
        <w:gridCol w:w="3510"/>
      </w:tblGrid>
      <w:tr w:rsidR="00A7352B" w:rsidRPr="00E20BFB" w:rsidTr="00F22393">
        <w:trPr>
          <w:trHeight w:val="383"/>
        </w:trPr>
        <w:tc>
          <w:tcPr>
            <w:tcW w:w="2552" w:type="dxa"/>
            <w:tcBorders>
              <w:bottom w:val="single" w:sz="4" w:space="0" w:color="auto"/>
            </w:tcBorders>
          </w:tcPr>
          <w:p w:rsidR="00A7352B" w:rsidRPr="00E20BFB" w:rsidRDefault="00A7352B" w:rsidP="00A7352B">
            <w:pPr>
              <w:jc w:val="left"/>
              <w:rPr>
                <w:rFonts w:ascii="Arial" w:hAnsi="Arial" w:cs="Arial"/>
                <w:b/>
                <w:sz w:val="24"/>
                <w:szCs w:val="24"/>
              </w:rPr>
            </w:pPr>
            <w:r>
              <w:rPr>
                <w:rFonts w:ascii="Arial" w:hAnsi="Arial" w:cs="Arial"/>
                <w:b/>
                <w:sz w:val="24"/>
                <w:szCs w:val="24"/>
              </w:rPr>
              <w:t>Jurisdiction</w:t>
            </w:r>
          </w:p>
        </w:tc>
        <w:tc>
          <w:tcPr>
            <w:tcW w:w="3544" w:type="dxa"/>
            <w:tcBorders>
              <w:bottom w:val="single" w:sz="4" w:space="0" w:color="auto"/>
            </w:tcBorders>
          </w:tcPr>
          <w:p w:rsidR="00A7352B" w:rsidRPr="00EC1FEB" w:rsidRDefault="00A7352B">
            <w:pPr>
              <w:jc w:val="right"/>
              <w:rPr>
                <w:rFonts w:ascii="Arial" w:hAnsi="Arial" w:cs="Arial"/>
                <w:b/>
                <w:sz w:val="24"/>
                <w:szCs w:val="24"/>
              </w:rPr>
            </w:pPr>
            <w:r w:rsidRPr="00EC1FEB">
              <w:rPr>
                <w:rFonts w:ascii="Arial" w:hAnsi="Arial" w:cs="Arial"/>
                <w:b/>
                <w:sz w:val="24"/>
                <w:szCs w:val="24"/>
              </w:rPr>
              <w:t>Statutory tax rate</w:t>
            </w:r>
            <w:r w:rsidR="00940EA3">
              <w:rPr>
                <w:rFonts w:ascii="Arial" w:hAnsi="Arial" w:cs="Arial"/>
                <w:b/>
                <w:sz w:val="24"/>
                <w:szCs w:val="24"/>
              </w:rPr>
              <w:t xml:space="preserve"> 2014/15 </w:t>
            </w:r>
          </w:p>
        </w:tc>
        <w:tc>
          <w:tcPr>
            <w:tcW w:w="3510" w:type="dxa"/>
            <w:tcBorders>
              <w:bottom w:val="single" w:sz="4" w:space="0" w:color="auto"/>
            </w:tcBorders>
          </w:tcPr>
          <w:p w:rsidR="00A7352B" w:rsidRPr="00EA64B5" w:rsidRDefault="00A7352B">
            <w:pPr>
              <w:jc w:val="right"/>
              <w:rPr>
                <w:rFonts w:ascii="Arial" w:hAnsi="Arial" w:cs="Arial"/>
                <w:sz w:val="24"/>
                <w:szCs w:val="24"/>
              </w:rPr>
            </w:pPr>
            <w:r w:rsidRPr="00EA64B5">
              <w:rPr>
                <w:rFonts w:ascii="Arial" w:hAnsi="Arial" w:cs="Arial"/>
                <w:sz w:val="24"/>
                <w:szCs w:val="24"/>
              </w:rPr>
              <w:t>Statutory tax rate</w:t>
            </w:r>
            <w:r w:rsidR="00940EA3">
              <w:rPr>
                <w:rFonts w:ascii="Arial" w:hAnsi="Arial" w:cs="Arial"/>
                <w:sz w:val="24"/>
                <w:szCs w:val="24"/>
              </w:rPr>
              <w:t xml:space="preserve"> 2013/14</w:t>
            </w:r>
          </w:p>
        </w:tc>
      </w:tr>
      <w:tr w:rsidR="00A7352B" w:rsidRPr="00E20BFB" w:rsidTr="00F22393">
        <w:tc>
          <w:tcPr>
            <w:tcW w:w="2552" w:type="dxa"/>
            <w:tcBorders>
              <w:top w:val="single" w:sz="4" w:space="0" w:color="auto"/>
            </w:tcBorders>
          </w:tcPr>
          <w:p w:rsidR="00A7352B" w:rsidRPr="00E20BFB" w:rsidRDefault="00A7352B" w:rsidP="00A7352B">
            <w:pPr>
              <w:jc w:val="left"/>
              <w:rPr>
                <w:rFonts w:ascii="Arial" w:hAnsi="Arial" w:cs="Arial"/>
                <w:sz w:val="24"/>
                <w:szCs w:val="24"/>
              </w:rPr>
            </w:pPr>
            <w:r>
              <w:rPr>
                <w:rFonts w:ascii="Arial" w:hAnsi="Arial" w:cs="Arial"/>
                <w:sz w:val="24"/>
                <w:szCs w:val="24"/>
              </w:rPr>
              <w:t>UK</w:t>
            </w:r>
          </w:p>
        </w:tc>
        <w:tc>
          <w:tcPr>
            <w:tcW w:w="3544" w:type="dxa"/>
            <w:tcBorders>
              <w:top w:val="single" w:sz="4" w:space="0" w:color="auto"/>
            </w:tcBorders>
          </w:tcPr>
          <w:p w:rsidR="00A7352B" w:rsidRPr="008C6F5E" w:rsidRDefault="00A7352B" w:rsidP="00A7352B">
            <w:pPr>
              <w:jc w:val="right"/>
              <w:rPr>
                <w:rFonts w:ascii="Arial" w:hAnsi="Arial" w:cs="Arial"/>
                <w:sz w:val="24"/>
                <w:szCs w:val="24"/>
              </w:rPr>
            </w:pPr>
            <w:r w:rsidRPr="008C6F5E">
              <w:rPr>
                <w:rFonts w:ascii="Arial" w:hAnsi="Arial" w:cs="Arial"/>
                <w:sz w:val="24"/>
                <w:szCs w:val="24"/>
              </w:rPr>
              <w:t>21%</w:t>
            </w:r>
          </w:p>
        </w:tc>
        <w:tc>
          <w:tcPr>
            <w:tcW w:w="3510" w:type="dxa"/>
            <w:tcBorders>
              <w:top w:val="single" w:sz="4" w:space="0" w:color="auto"/>
            </w:tcBorders>
          </w:tcPr>
          <w:p w:rsidR="00A7352B" w:rsidRPr="00EA64B5" w:rsidRDefault="00A7352B" w:rsidP="00A7352B">
            <w:pPr>
              <w:jc w:val="right"/>
              <w:rPr>
                <w:rFonts w:ascii="Arial" w:hAnsi="Arial" w:cs="Arial"/>
                <w:sz w:val="24"/>
                <w:szCs w:val="24"/>
              </w:rPr>
            </w:pPr>
            <w:r w:rsidRPr="00EA64B5">
              <w:rPr>
                <w:rFonts w:ascii="Arial" w:hAnsi="Arial" w:cs="Arial"/>
                <w:sz w:val="24"/>
                <w:szCs w:val="24"/>
              </w:rPr>
              <w:t>23%</w:t>
            </w:r>
          </w:p>
        </w:tc>
      </w:tr>
      <w:tr w:rsidR="00A7352B" w:rsidRPr="00E20BFB" w:rsidTr="00F22393">
        <w:tc>
          <w:tcPr>
            <w:tcW w:w="2552" w:type="dxa"/>
          </w:tcPr>
          <w:p w:rsidR="00A7352B" w:rsidRDefault="00A7352B" w:rsidP="00A7352B">
            <w:pPr>
              <w:jc w:val="left"/>
              <w:rPr>
                <w:rFonts w:ascii="Arial" w:hAnsi="Arial" w:cs="Arial"/>
                <w:sz w:val="24"/>
                <w:szCs w:val="24"/>
              </w:rPr>
            </w:pPr>
            <w:r>
              <w:rPr>
                <w:rFonts w:ascii="Arial" w:hAnsi="Arial" w:cs="Arial"/>
                <w:sz w:val="24"/>
                <w:szCs w:val="24"/>
              </w:rPr>
              <w:t>France</w:t>
            </w:r>
          </w:p>
        </w:tc>
        <w:tc>
          <w:tcPr>
            <w:tcW w:w="3544" w:type="dxa"/>
          </w:tcPr>
          <w:p w:rsidR="00A7352B" w:rsidRPr="008C6F5E" w:rsidRDefault="00A7352B" w:rsidP="00A7352B">
            <w:pPr>
              <w:jc w:val="right"/>
              <w:rPr>
                <w:rFonts w:ascii="Arial" w:hAnsi="Arial" w:cs="Arial"/>
                <w:b/>
                <w:sz w:val="24"/>
                <w:szCs w:val="24"/>
              </w:rPr>
            </w:pPr>
            <w:r w:rsidRPr="008C6F5E">
              <w:rPr>
                <w:rFonts w:ascii="Arial" w:hAnsi="Arial" w:cs="Arial"/>
                <w:sz w:val="24"/>
                <w:szCs w:val="24"/>
              </w:rPr>
              <w:t>34.4% - 38.0%</w:t>
            </w:r>
          </w:p>
        </w:tc>
        <w:tc>
          <w:tcPr>
            <w:tcW w:w="3510" w:type="dxa"/>
          </w:tcPr>
          <w:p w:rsidR="00A7352B" w:rsidRPr="00EA64B5" w:rsidRDefault="00A7352B" w:rsidP="00A7352B">
            <w:pPr>
              <w:jc w:val="right"/>
              <w:rPr>
                <w:rFonts w:ascii="Arial" w:hAnsi="Arial" w:cs="Arial"/>
                <w:sz w:val="24"/>
                <w:szCs w:val="24"/>
              </w:rPr>
            </w:pPr>
            <w:r w:rsidRPr="00EA64B5">
              <w:rPr>
                <w:rFonts w:ascii="Arial" w:hAnsi="Arial" w:cs="Arial"/>
                <w:sz w:val="24"/>
                <w:szCs w:val="24"/>
              </w:rPr>
              <w:t xml:space="preserve">34.4% - </w:t>
            </w:r>
            <w:r w:rsidR="00735AC7">
              <w:rPr>
                <w:rFonts w:ascii="Arial" w:hAnsi="Arial" w:cs="Arial"/>
                <w:sz w:val="24"/>
                <w:szCs w:val="24"/>
              </w:rPr>
              <w:t>38.0</w:t>
            </w:r>
            <w:r w:rsidRPr="00EA64B5">
              <w:rPr>
                <w:rFonts w:ascii="Arial" w:hAnsi="Arial" w:cs="Arial"/>
                <w:sz w:val="24"/>
                <w:szCs w:val="24"/>
              </w:rPr>
              <w:t>%</w:t>
            </w:r>
          </w:p>
        </w:tc>
      </w:tr>
      <w:tr w:rsidR="00A7352B" w:rsidRPr="00E20BFB" w:rsidTr="00F22393">
        <w:tc>
          <w:tcPr>
            <w:tcW w:w="2552" w:type="dxa"/>
          </w:tcPr>
          <w:p w:rsidR="00A7352B" w:rsidRDefault="00A7352B" w:rsidP="00A7352B">
            <w:pPr>
              <w:jc w:val="left"/>
              <w:rPr>
                <w:rFonts w:ascii="Arial" w:hAnsi="Arial" w:cs="Arial"/>
                <w:sz w:val="24"/>
                <w:szCs w:val="24"/>
              </w:rPr>
            </w:pPr>
            <w:r>
              <w:rPr>
                <w:rFonts w:ascii="Arial" w:hAnsi="Arial" w:cs="Arial"/>
                <w:sz w:val="24"/>
                <w:szCs w:val="24"/>
              </w:rPr>
              <w:t>Poland</w:t>
            </w:r>
          </w:p>
        </w:tc>
        <w:tc>
          <w:tcPr>
            <w:tcW w:w="3544" w:type="dxa"/>
          </w:tcPr>
          <w:p w:rsidR="00A7352B" w:rsidRPr="008C6F5E" w:rsidRDefault="00A7352B" w:rsidP="00A7352B">
            <w:pPr>
              <w:jc w:val="right"/>
              <w:rPr>
                <w:rFonts w:ascii="Arial" w:hAnsi="Arial" w:cs="Arial"/>
                <w:sz w:val="24"/>
                <w:szCs w:val="24"/>
              </w:rPr>
            </w:pPr>
            <w:r w:rsidRPr="008C6F5E">
              <w:rPr>
                <w:rFonts w:ascii="Arial" w:hAnsi="Arial" w:cs="Arial"/>
                <w:sz w:val="24"/>
                <w:szCs w:val="24"/>
              </w:rPr>
              <w:t>19%</w:t>
            </w:r>
          </w:p>
        </w:tc>
        <w:tc>
          <w:tcPr>
            <w:tcW w:w="3510" w:type="dxa"/>
          </w:tcPr>
          <w:p w:rsidR="00A7352B" w:rsidRPr="00EA64B5" w:rsidRDefault="00A7352B" w:rsidP="00A7352B">
            <w:pPr>
              <w:jc w:val="right"/>
              <w:rPr>
                <w:rFonts w:ascii="Arial" w:hAnsi="Arial" w:cs="Arial"/>
                <w:sz w:val="24"/>
                <w:szCs w:val="24"/>
              </w:rPr>
            </w:pPr>
            <w:r w:rsidRPr="00EA64B5">
              <w:rPr>
                <w:rFonts w:ascii="Arial" w:hAnsi="Arial" w:cs="Arial"/>
                <w:sz w:val="24"/>
                <w:szCs w:val="24"/>
              </w:rPr>
              <w:t>19%</w:t>
            </w:r>
          </w:p>
        </w:tc>
      </w:tr>
      <w:tr w:rsidR="00A7352B" w:rsidRPr="00E20BFB" w:rsidTr="00F22393">
        <w:tc>
          <w:tcPr>
            <w:tcW w:w="2552" w:type="dxa"/>
          </w:tcPr>
          <w:p w:rsidR="00A7352B" w:rsidRDefault="00A7352B" w:rsidP="00A7352B">
            <w:pPr>
              <w:jc w:val="left"/>
              <w:rPr>
                <w:rFonts w:ascii="Arial" w:hAnsi="Arial" w:cs="Arial"/>
                <w:sz w:val="24"/>
                <w:szCs w:val="24"/>
              </w:rPr>
            </w:pPr>
            <w:r>
              <w:rPr>
                <w:rFonts w:ascii="Arial" w:hAnsi="Arial" w:cs="Arial"/>
                <w:sz w:val="24"/>
                <w:szCs w:val="24"/>
              </w:rPr>
              <w:t>Rest of Europe</w:t>
            </w:r>
          </w:p>
        </w:tc>
        <w:tc>
          <w:tcPr>
            <w:tcW w:w="3544" w:type="dxa"/>
          </w:tcPr>
          <w:p w:rsidR="00A7352B" w:rsidRPr="008C6F5E" w:rsidRDefault="00A7352B" w:rsidP="00A7352B">
            <w:pPr>
              <w:jc w:val="right"/>
              <w:rPr>
                <w:rFonts w:ascii="Arial" w:hAnsi="Arial" w:cs="Arial"/>
                <w:sz w:val="24"/>
                <w:szCs w:val="24"/>
              </w:rPr>
            </w:pPr>
            <w:r w:rsidRPr="008C6F5E">
              <w:rPr>
                <w:rFonts w:ascii="Arial" w:hAnsi="Arial" w:cs="Arial"/>
                <w:sz w:val="24"/>
                <w:szCs w:val="24"/>
              </w:rPr>
              <w:t>0% - 34%</w:t>
            </w:r>
          </w:p>
        </w:tc>
        <w:tc>
          <w:tcPr>
            <w:tcW w:w="3510" w:type="dxa"/>
          </w:tcPr>
          <w:p w:rsidR="00A7352B" w:rsidRPr="00EA64B5" w:rsidRDefault="00A7352B" w:rsidP="00A7352B">
            <w:pPr>
              <w:jc w:val="right"/>
              <w:rPr>
                <w:rFonts w:ascii="Arial" w:hAnsi="Arial" w:cs="Arial"/>
                <w:sz w:val="24"/>
                <w:szCs w:val="24"/>
              </w:rPr>
            </w:pPr>
            <w:r w:rsidRPr="00EA64B5">
              <w:rPr>
                <w:rFonts w:ascii="Arial" w:hAnsi="Arial" w:cs="Arial"/>
                <w:sz w:val="24"/>
                <w:szCs w:val="24"/>
              </w:rPr>
              <w:t>0% - 34%</w:t>
            </w:r>
          </w:p>
        </w:tc>
      </w:tr>
      <w:tr w:rsidR="00A7352B" w:rsidRPr="00E20BFB" w:rsidTr="00F22393">
        <w:tc>
          <w:tcPr>
            <w:tcW w:w="2552" w:type="dxa"/>
          </w:tcPr>
          <w:p w:rsidR="00A7352B" w:rsidRDefault="00A7352B" w:rsidP="00A7352B">
            <w:pPr>
              <w:jc w:val="left"/>
              <w:rPr>
                <w:rFonts w:ascii="Arial" w:hAnsi="Arial" w:cs="Arial"/>
                <w:sz w:val="24"/>
                <w:szCs w:val="24"/>
              </w:rPr>
            </w:pPr>
            <w:r>
              <w:rPr>
                <w:rFonts w:ascii="Arial" w:hAnsi="Arial" w:cs="Arial"/>
                <w:sz w:val="24"/>
                <w:szCs w:val="24"/>
              </w:rPr>
              <w:t>Asia</w:t>
            </w:r>
          </w:p>
        </w:tc>
        <w:tc>
          <w:tcPr>
            <w:tcW w:w="3544" w:type="dxa"/>
          </w:tcPr>
          <w:p w:rsidR="00A7352B" w:rsidRPr="008C6F5E" w:rsidRDefault="00A7352B" w:rsidP="00A7352B">
            <w:pPr>
              <w:jc w:val="right"/>
              <w:rPr>
                <w:rFonts w:ascii="Arial" w:hAnsi="Arial" w:cs="Arial"/>
                <w:sz w:val="24"/>
                <w:szCs w:val="24"/>
              </w:rPr>
            </w:pPr>
            <w:r w:rsidRPr="008C6F5E">
              <w:rPr>
                <w:rFonts w:ascii="Arial" w:hAnsi="Arial" w:cs="Arial"/>
                <w:sz w:val="24"/>
                <w:szCs w:val="24"/>
              </w:rPr>
              <w:t>16.5% - 25%</w:t>
            </w:r>
          </w:p>
        </w:tc>
        <w:tc>
          <w:tcPr>
            <w:tcW w:w="3510" w:type="dxa"/>
          </w:tcPr>
          <w:p w:rsidR="00A7352B" w:rsidRPr="00EA64B5" w:rsidRDefault="00A7352B" w:rsidP="00A7352B">
            <w:pPr>
              <w:jc w:val="right"/>
              <w:rPr>
                <w:rFonts w:ascii="Arial" w:hAnsi="Arial" w:cs="Arial"/>
                <w:sz w:val="24"/>
                <w:szCs w:val="24"/>
              </w:rPr>
            </w:pPr>
            <w:r w:rsidRPr="00EA64B5">
              <w:rPr>
                <w:rFonts w:ascii="Arial" w:hAnsi="Arial" w:cs="Arial"/>
                <w:sz w:val="24"/>
                <w:szCs w:val="24"/>
              </w:rPr>
              <w:t>16.5% - 25%</w:t>
            </w:r>
          </w:p>
        </w:tc>
      </w:tr>
    </w:tbl>
    <w:p w:rsidR="00A7352B" w:rsidRDefault="00A7352B" w:rsidP="00A7352B">
      <w:pPr>
        <w:jc w:val="left"/>
      </w:pPr>
    </w:p>
    <w:p w:rsidR="00A7352B" w:rsidRPr="00C82F88" w:rsidRDefault="00A7352B" w:rsidP="00A7352B">
      <w:pPr>
        <w:jc w:val="left"/>
        <w:rPr>
          <w:rFonts w:ascii="Arial" w:hAnsi="Arial" w:cs="Arial"/>
          <w:b/>
          <w:sz w:val="24"/>
          <w:szCs w:val="24"/>
        </w:rPr>
      </w:pPr>
      <w:r w:rsidRPr="008C6F5E">
        <w:rPr>
          <w:rFonts w:ascii="Arial" w:hAnsi="Arial" w:cs="Arial"/>
          <w:b/>
          <w:sz w:val="24"/>
          <w:szCs w:val="24"/>
        </w:rPr>
        <w:t xml:space="preserve">Tax contribution </w:t>
      </w:r>
    </w:p>
    <w:p w:rsidR="00A7352B" w:rsidRDefault="00A7352B" w:rsidP="00A7352B">
      <w:pPr>
        <w:jc w:val="left"/>
        <w:rPr>
          <w:rFonts w:ascii="Arial" w:hAnsi="Arial" w:cs="Arial"/>
          <w:sz w:val="24"/>
          <w:szCs w:val="24"/>
        </w:rPr>
      </w:pPr>
    </w:p>
    <w:p w:rsidR="00A7352B" w:rsidRPr="001A3C6C" w:rsidRDefault="00A7352B" w:rsidP="00A7352B">
      <w:pPr>
        <w:jc w:val="left"/>
        <w:rPr>
          <w:rFonts w:ascii="Arial" w:hAnsi="Arial" w:cs="Arial"/>
          <w:sz w:val="24"/>
          <w:szCs w:val="24"/>
          <w:lang w:val="en-US"/>
        </w:rPr>
      </w:pPr>
      <w:r w:rsidRPr="00CB454F">
        <w:rPr>
          <w:rFonts w:ascii="Arial" w:hAnsi="Arial" w:cs="Arial"/>
          <w:sz w:val="24"/>
          <w:szCs w:val="24"/>
          <w:lang w:val="en-US"/>
        </w:rPr>
        <w:t>Kingfisher makes a significant economic contribution to the countries in which it operates. In 2013/14 it contributed £1.71</w:t>
      </w:r>
      <w:r w:rsidR="00735AC7">
        <w:rPr>
          <w:rFonts w:ascii="Arial" w:hAnsi="Arial" w:cs="Arial"/>
          <w:sz w:val="24"/>
          <w:szCs w:val="24"/>
          <w:lang w:val="en-US"/>
        </w:rPr>
        <w:t xml:space="preserve"> </w:t>
      </w:r>
      <w:r w:rsidRPr="00CB454F">
        <w:rPr>
          <w:rFonts w:ascii="Arial" w:hAnsi="Arial" w:cs="Arial"/>
          <w:sz w:val="24"/>
          <w:szCs w:val="24"/>
          <w:lang w:val="en-US"/>
        </w:rPr>
        <w:t>b</w:t>
      </w:r>
      <w:r w:rsidR="00735AC7">
        <w:rPr>
          <w:rFonts w:ascii="Arial" w:hAnsi="Arial" w:cs="Arial"/>
          <w:sz w:val="24"/>
          <w:szCs w:val="24"/>
          <w:lang w:val="en-US"/>
        </w:rPr>
        <w:t>illio</w:t>
      </w:r>
      <w:r w:rsidRPr="00CB454F">
        <w:rPr>
          <w:rFonts w:ascii="Arial" w:hAnsi="Arial" w:cs="Arial"/>
          <w:sz w:val="24"/>
          <w:szCs w:val="24"/>
          <w:lang w:val="en-US"/>
        </w:rPr>
        <w:t xml:space="preserve">n in taxes it both </w:t>
      </w:r>
      <w:proofErr w:type="spellStart"/>
      <w:r w:rsidRPr="00CB454F">
        <w:rPr>
          <w:rFonts w:ascii="Arial" w:hAnsi="Arial" w:cs="Arial"/>
          <w:sz w:val="24"/>
          <w:szCs w:val="24"/>
          <w:lang w:val="en-US"/>
        </w:rPr>
        <w:t>pays</w:t>
      </w:r>
      <w:proofErr w:type="spellEnd"/>
      <w:r w:rsidRPr="00CB454F">
        <w:rPr>
          <w:rFonts w:ascii="Arial" w:hAnsi="Arial" w:cs="Arial"/>
          <w:sz w:val="24"/>
          <w:szCs w:val="24"/>
          <w:lang w:val="en-US"/>
        </w:rPr>
        <w:t xml:space="preserve"> and c</w:t>
      </w:r>
      <w:r w:rsidR="00735AC7">
        <w:rPr>
          <w:rFonts w:ascii="Arial" w:hAnsi="Arial" w:cs="Arial"/>
          <w:sz w:val="24"/>
          <w:szCs w:val="24"/>
          <w:lang w:val="en-US"/>
        </w:rPr>
        <w:t xml:space="preserve">ollects for these Governments. </w:t>
      </w:r>
      <w:r w:rsidRPr="00CB454F">
        <w:rPr>
          <w:rFonts w:ascii="Arial" w:hAnsi="Arial" w:cs="Arial"/>
          <w:sz w:val="24"/>
          <w:szCs w:val="24"/>
          <w:lang w:val="en-US"/>
        </w:rPr>
        <w:t xml:space="preserve">The Group pays tax on its profits, its properties, in employing </w:t>
      </w:r>
      <w:r w:rsidR="00BA64CA">
        <w:rPr>
          <w:rFonts w:ascii="Arial" w:hAnsi="Arial" w:cs="Arial"/>
          <w:sz w:val="24"/>
          <w:szCs w:val="24"/>
          <w:lang w:val="en-US"/>
        </w:rPr>
        <w:t>79</w:t>
      </w:r>
      <w:r>
        <w:rPr>
          <w:rFonts w:ascii="Arial" w:hAnsi="Arial" w:cs="Arial"/>
          <w:sz w:val="24"/>
          <w:szCs w:val="24"/>
          <w:lang w:val="en-US"/>
        </w:rPr>
        <w:t>,000 people</w:t>
      </w:r>
      <w:r w:rsidRPr="00CB454F">
        <w:rPr>
          <w:rFonts w:ascii="Arial" w:hAnsi="Arial" w:cs="Arial"/>
          <w:sz w:val="24"/>
          <w:szCs w:val="24"/>
          <w:lang w:val="en-US"/>
        </w:rPr>
        <w:t>, in environmental levies, in customs duties and levies as well as other local taxes.  The most sig</w:t>
      </w:r>
      <w:r w:rsidRPr="008673CF">
        <w:rPr>
          <w:rFonts w:ascii="Arial" w:hAnsi="Arial" w:cs="Arial"/>
          <w:sz w:val="24"/>
          <w:szCs w:val="24"/>
          <w:lang w:val="en-US"/>
        </w:rPr>
        <w:t xml:space="preserve">nificant taxes it collects for </w:t>
      </w:r>
      <w:r>
        <w:rPr>
          <w:rFonts w:ascii="Arial" w:hAnsi="Arial" w:cs="Arial"/>
          <w:sz w:val="24"/>
          <w:szCs w:val="24"/>
          <w:lang w:val="en-US"/>
        </w:rPr>
        <w:t>g</w:t>
      </w:r>
      <w:r w:rsidRPr="00CB454F">
        <w:rPr>
          <w:rFonts w:ascii="Arial" w:hAnsi="Arial" w:cs="Arial"/>
          <w:sz w:val="24"/>
          <w:szCs w:val="24"/>
          <w:lang w:val="en-US"/>
        </w:rPr>
        <w:t>overnments are the sales taxes charged to its customers on their purchases (VAT) and e</w:t>
      </w:r>
      <w:r w:rsidR="00735AC7">
        <w:rPr>
          <w:rFonts w:ascii="Arial" w:hAnsi="Arial" w:cs="Arial"/>
          <w:sz w:val="24"/>
          <w:szCs w:val="24"/>
          <w:lang w:val="en-US"/>
        </w:rPr>
        <w:t xml:space="preserve">mployee payroll related taxes. </w:t>
      </w:r>
      <w:r w:rsidRPr="00CB454F">
        <w:rPr>
          <w:rFonts w:ascii="Arial" w:hAnsi="Arial" w:cs="Arial"/>
          <w:sz w:val="24"/>
          <w:szCs w:val="24"/>
          <w:lang w:val="en-US"/>
        </w:rPr>
        <w:t>Taxes paid and collected together represent Kingfisher's total tax contribution which is shown below:</w:t>
      </w:r>
    </w:p>
    <w:p w:rsidR="00A7352B" w:rsidRDefault="00A7352B" w:rsidP="00A7352B">
      <w:pPr>
        <w:jc w:val="left"/>
        <w:rPr>
          <w:rFonts w:ascii="Arial" w:hAnsi="Arial" w:cs="Arial"/>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54"/>
        <w:gridCol w:w="1276"/>
        <w:gridCol w:w="1276"/>
      </w:tblGrid>
      <w:tr w:rsidR="00A7352B" w:rsidRPr="00E20BFB" w:rsidTr="00A7352B">
        <w:trPr>
          <w:trHeight w:val="516"/>
        </w:trPr>
        <w:tc>
          <w:tcPr>
            <w:tcW w:w="7054" w:type="dxa"/>
            <w:tcBorders>
              <w:bottom w:val="single" w:sz="4" w:space="0" w:color="auto"/>
            </w:tcBorders>
          </w:tcPr>
          <w:p w:rsidR="00A7352B" w:rsidRPr="00D4291D" w:rsidRDefault="00A7352B" w:rsidP="00A7352B">
            <w:pPr>
              <w:jc w:val="left"/>
              <w:rPr>
                <w:rFonts w:ascii="Arial" w:hAnsi="Arial" w:cs="Arial"/>
                <w:b/>
                <w:sz w:val="24"/>
                <w:szCs w:val="24"/>
                <w:highlight w:val="magenta"/>
              </w:rPr>
            </w:pPr>
            <w:r w:rsidRPr="008C6F5E">
              <w:rPr>
                <w:rFonts w:ascii="Arial" w:hAnsi="Arial" w:cs="Arial"/>
                <w:b/>
                <w:sz w:val="24"/>
                <w:szCs w:val="24"/>
              </w:rPr>
              <w:t xml:space="preserve">Total taxes paid as a result of Group </w:t>
            </w:r>
            <w:r w:rsidRPr="00C33EBF">
              <w:rPr>
                <w:rFonts w:ascii="Arial" w:hAnsi="Arial" w:cs="Arial"/>
                <w:b/>
                <w:sz w:val="24"/>
                <w:szCs w:val="24"/>
              </w:rPr>
              <w:t>operations</w:t>
            </w:r>
          </w:p>
        </w:tc>
        <w:tc>
          <w:tcPr>
            <w:tcW w:w="1276" w:type="dxa"/>
            <w:tcBorders>
              <w:bottom w:val="single" w:sz="4" w:space="0" w:color="auto"/>
            </w:tcBorders>
          </w:tcPr>
          <w:p w:rsidR="00A7352B" w:rsidRDefault="00A7352B" w:rsidP="00A7352B">
            <w:pPr>
              <w:jc w:val="right"/>
              <w:rPr>
                <w:rFonts w:ascii="Arial" w:hAnsi="Arial" w:cs="Arial"/>
                <w:b/>
                <w:sz w:val="24"/>
                <w:szCs w:val="24"/>
              </w:rPr>
            </w:pPr>
            <w:r>
              <w:rPr>
                <w:rFonts w:ascii="Arial" w:hAnsi="Arial" w:cs="Arial"/>
                <w:b/>
                <w:sz w:val="24"/>
                <w:szCs w:val="24"/>
              </w:rPr>
              <w:t>2013/14</w:t>
            </w:r>
          </w:p>
          <w:p w:rsidR="00A7352B" w:rsidRPr="00E20BFB" w:rsidRDefault="00A7352B" w:rsidP="00A7352B">
            <w:pPr>
              <w:jc w:val="right"/>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bn</w:t>
            </w:r>
            <w:proofErr w:type="spellEnd"/>
          </w:p>
        </w:tc>
        <w:tc>
          <w:tcPr>
            <w:tcW w:w="1276" w:type="dxa"/>
            <w:tcBorders>
              <w:bottom w:val="single" w:sz="4" w:space="0" w:color="auto"/>
            </w:tcBorders>
          </w:tcPr>
          <w:p w:rsidR="00A7352B" w:rsidRPr="0089422D" w:rsidRDefault="00A7352B" w:rsidP="00A7352B">
            <w:pPr>
              <w:jc w:val="right"/>
              <w:rPr>
                <w:rFonts w:ascii="Arial" w:hAnsi="Arial" w:cs="Arial"/>
                <w:sz w:val="24"/>
                <w:szCs w:val="24"/>
              </w:rPr>
            </w:pPr>
            <w:r w:rsidRPr="0089422D">
              <w:rPr>
                <w:rFonts w:ascii="Arial" w:hAnsi="Arial" w:cs="Arial"/>
                <w:sz w:val="24"/>
                <w:szCs w:val="24"/>
              </w:rPr>
              <w:t>2012/13</w:t>
            </w:r>
          </w:p>
          <w:p w:rsidR="00A7352B" w:rsidRPr="0089422D" w:rsidRDefault="00A7352B" w:rsidP="00A7352B">
            <w:pPr>
              <w:jc w:val="right"/>
              <w:rPr>
                <w:rFonts w:ascii="Arial" w:hAnsi="Arial" w:cs="Arial"/>
                <w:sz w:val="24"/>
                <w:szCs w:val="24"/>
              </w:rPr>
            </w:pPr>
            <w:r w:rsidRPr="0089422D">
              <w:rPr>
                <w:rFonts w:ascii="Arial" w:hAnsi="Arial" w:cs="Arial"/>
                <w:sz w:val="24"/>
                <w:szCs w:val="24"/>
              </w:rPr>
              <w:t>£</w:t>
            </w:r>
            <w:proofErr w:type="spellStart"/>
            <w:r w:rsidRPr="0089422D">
              <w:rPr>
                <w:rFonts w:ascii="Arial" w:hAnsi="Arial" w:cs="Arial"/>
                <w:sz w:val="24"/>
                <w:szCs w:val="24"/>
              </w:rPr>
              <w:t>bn</w:t>
            </w:r>
            <w:proofErr w:type="spellEnd"/>
          </w:p>
        </w:tc>
      </w:tr>
      <w:tr w:rsidR="00A7352B" w:rsidRPr="008C6F5E" w:rsidTr="00A7352B">
        <w:tc>
          <w:tcPr>
            <w:tcW w:w="7054" w:type="dxa"/>
            <w:tcBorders>
              <w:top w:val="single" w:sz="4" w:space="0" w:color="auto"/>
            </w:tcBorders>
          </w:tcPr>
          <w:p w:rsidR="00A7352B" w:rsidRPr="008C6F5E" w:rsidRDefault="00A7352B" w:rsidP="00A7352B">
            <w:pPr>
              <w:jc w:val="left"/>
              <w:rPr>
                <w:rFonts w:ascii="Arial" w:hAnsi="Arial" w:cs="Arial"/>
                <w:sz w:val="24"/>
                <w:szCs w:val="24"/>
              </w:rPr>
            </w:pPr>
            <w:r w:rsidRPr="008C6F5E">
              <w:rPr>
                <w:rFonts w:ascii="Arial" w:hAnsi="Arial" w:cs="Arial"/>
                <w:sz w:val="24"/>
                <w:szCs w:val="24"/>
              </w:rPr>
              <w:t>Taxes borne</w:t>
            </w:r>
          </w:p>
        </w:tc>
        <w:tc>
          <w:tcPr>
            <w:tcW w:w="1276" w:type="dxa"/>
            <w:tcBorders>
              <w:top w:val="single" w:sz="4" w:space="0" w:color="auto"/>
            </w:tcBorders>
          </w:tcPr>
          <w:p w:rsidR="00A7352B" w:rsidRPr="008C6F5E" w:rsidRDefault="00A7352B" w:rsidP="00A7352B">
            <w:pPr>
              <w:jc w:val="right"/>
              <w:rPr>
                <w:rFonts w:ascii="Arial" w:hAnsi="Arial" w:cs="Arial"/>
                <w:b/>
                <w:sz w:val="24"/>
                <w:szCs w:val="24"/>
              </w:rPr>
            </w:pPr>
            <w:r w:rsidRPr="008C6F5E">
              <w:rPr>
                <w:rFonts w:ascii="Arial" w:hAnsi="Arial" w:cs="Arial"/>
                <w:b/>
                <w:sz w:val="24"/>
                <w:szCs w:val="24"/>
              </w:rPr>
              <w:t>0.74</w:t>
            </w:r>
          </w:p>
        </w:tc>
        <w:tc>
          <w:tcPr>
            <w:tcW w:w="1276" w:type="dxa"/>
            <w:tcBorders>
              <w:top w:val="single" w:sz="4" w:space="0" w:color="auto"/>
            </w:tcBorders>
          </w:tcPr>
          <w:p w:rsidR="00A7352B" w:rsidRPr="008C6F5E" w:rsidRDefault="00A7352B" w:rsidP="00A7352B">
            <w:pPr>
              <w:jc w:val="right"/>
              <w:rPr>
                <w:rFonts w:ascii="Arial" w:hAnsi="Arial" w:cs="Arial"/>
                <w:sz w:val="24"/>
                <w:szCs w:val="24"/>
              </w:rPr>
            </w:pPr>
            <w:r w:rsidRPr="008C6F5E">
              <w:rPr>
                <w:rFonts w:ascii="Arial" w:hAnsi="Arial" w:cs="Arial"/>
                <w:sz w:val="24"/>
                <w:szCs w:val="24"/>
              </w:rPr>
              <w:t>0.70</w:t>
            </w:r>
          </w:p>
        </w:tc>
      </w:tr>
      <w:tr w:rsidR="00A7352B" w:rsidRPr="008C6F5E" w:rsidTr="00A7352B">
        <w:tc>
          <w:tcPr>
            <w:tcW w:w="7054" w:type="dxa"/>
          </w:tcPr>
          <w:p w:rsidR="00A7352B" w:rsidRPr="008C6F5E" w:rsidRDefault="00A7352B" w:rsidP="00A7352B">
            <w:pPr>
              <w:jc w:val="left"/>
              <w:rPr>
                <w:rFonts w:ascii="Arial" w:hAnsi="Arial" w:cs="Arial"/>
                <w:sz w:val="24"/>
                <w:szCs w:val="24"/>
              </w:rPr>
            </w:pPr>
            <w:r w:rsidRPr="008C6F5E">
              <w:rPr>
                <w:rFonts w:ascii="Arial" w:hAnsi="Arial" w:cs="Arial"/>
                <w:sz w:val="24"/>
                <w:szCs w:val="24"/>
              </w:rPr>
              <w:t>Taxes collected</w:t>
            </w:r>
          </w:p>
        </w:tc>
        <w:tc>
          <w:tcPr>
            <w:tcW w:w="1276" w:type="dxa"/>
          </w:tcPr>
          <w:p w:rsidR="00A7352B" w:rsidRPr="008C6F5E" w:rsidRDefault="00A7352B" w:rsidP="00A7352B">
            <w:pPr>
              <w:jc w:val="right"/>
              <w:rPr>
                <w:rFonts w:ascii="Arial" w:hAnsi="Arial" w:cs="Arial"/>
                <w:b/>
                <w:sz w:val="24"/>
                <w:szCs w:val="24"/>
              </w:rPr>
            </w:pPr>
            <w:r w:rsidRPr="008C6F5E">
              <w:rPr>
                <w:rFonts w:ascii="Arial" w:hAnsi="Arial" w:cs="Arial"/>
                <w:b/>
                <w:sz w:val="24"/>
                <w:szCs w:val="24"/>
              </w:rPr>
              <w:t>0.97</w:t>
            </w:r>
          </w:p>
        </w:tc>
        <w:tc>
          <w:tcPr>
            <w:tcW w:w="1276" w:type="dxa"/>
          </w:tcPr>
          <w:p w:rsidR="00A7352B" w:rsidRPr="008C6F5E" w:rsidRDefault="00A7352B" w:rsidP="00A7352B">
            <w:pPr>
              <w:jc w:val="right"/>
              <w:rPr>
                <w:rFonts w:ascii="Arial" w:hAnsi="Arial" w:cs="Arial"/>
                <w:sz w:val="24"/>
                <w:szCs w:val="24"/>
              </w:rPr>
            </w:pPr>
            <w:r w:rsidRPr="008C6F5E">
              <w:rPr>
                <w:rFonts w:ascii="Arial" w:hAnsi="Arial" w:cs="Arial"/>
                <w:sz w:val="24"/>
                <w:szCs w:val="24"/>
              </w:rPr>
              <w:t>0.90</w:t>
            </w:r>
          </w:p>
        </w:tc>
      </w:tr>
      <w:tr w:rsidR="00A7352B" w:rsidRPr="008C6F5E" w:rsidTr="00A7352B">
        <w:tc>
          <w:tcPr>
            <w:tcW w:w="7054" w:type="dxa"/>
            <w:tcBorders>
              <w:top w:val="single" w:sz="4" w:space="0" w:color="auto"/>
              <w:bottom w:val="single" w:sz="4" w:space="0" w:color="auto"/>
            </w:tcBorders>
          </w:tcPr>
          <w:p w:rsidR="00A7352B" w:rsidRPr="008C6F5E" w:rsidRDefault="00A7352B" w:rsidP="00A7352B">
            <w:pPr>
              <w:jc w:val="left"/>
              <w:rPr>
                <w:rFonts w:ascii="Arial" w:hAnsi="Arial" w:cs="Arial"/>
                <w:b/>
                <w:sz w:val="24"/>
                <w:szCs w:val="24"/>
              </w:rPr>
            </w:pPr>
            <w:r w:rsidRPr="008C6F5E">
              <w:rPr>
                <w:rFonts w:ascii="Arial" w:hAnsi="Arial" w:cs="Arial"/>
                <w:b/>
                <w:sz w:val="24"/>
                <w:szCs w:val="24"/>
              </w:rPr>
              <w:t>Total tax contribution</w:t>
            </w:r>
          </w:p>
        </w:tc>
        <w:tc>
          <w:tcPr>
            <w:tcW w:w="1276" w:type="dxa"/>
            <w:tcBorders>
              <w:top w:val="single" w:sz="4" w:space="0" w:color="auto"/>
              <w:bottom w:val="single" w:sz="4" w:space="0" w:color="auto"/>
            </w:tcBorders>
          </w:tcPr>
          <w:p w:rsidR="00A7352B" w:rsidRPr="008C6F5E" w:rsidRDefault="00A7352B" w:rsidP="00A7352B">
            <w:pPr>
              <w:jc w:val="right"/>
              <w:rPr>
                <w:rFonts w:ascii="Arial" w:hAnsi="Arial" w:cs="Arial"/>
                <w:b/>
                <w:sz w:val="24"/>
                <w:szCs w:val="24"/>
              </w:rPr>
            </w:pPr>
            <w:r w:rsidRPr="008C6F5E">
              <w:rPr>
                <w:rFonts w:ascii="Arial" w:hAnsi="Arial" w:cs="Arial"/>
                <w:b/>
                <w:sz w:val="24"/>
                <w:szCs w:val="24"/>
              </w:rPr>
              <w:t>1.71</w:t>
            </w:r>
          </w:p>
        </w:tc>
        <w:tc>
          <w:tcPr>
            <w:tcW w:w="1276" w:type="dxa"/>
            <w:tcBorders>
              <w:top w:val="single" w:sz="4" w:space="0" w:color="auto"/>
              <w:bottom w:val="single" w:sz="4" w:space="0" w:color="auto"/>
            </w:tcBorders>
          </w:tcPr>
          <w:p w:rsidR="00A7352B" w:rsidRPr="008C6F5E" w:rsidRDefault="00A7352B" w:rsidP="00A7352B">
            <w:pPr>
              <w:jc w:val="right"/>
              <w:rPr>
                <w:rFonts w:ascii="Arial" w:hAnsi="Arial" w:cs="Arial"/>
                <w:sz w:val="24"/>
                <w:szCs w:val="24"/>
              </w:rPr>
            </w:pPr>
            <w:r w:rsidRPr="008C6F5E">
              <w:rPr>
                <w:rFonts w:ascii="Arial" w:hAnsi="Arial" w:cs="Arial"/>
                <w:sz w:val="24"/>
                <w:szCs w:val="24"/>
              </w:rPr>
              <w:t>1.60</w:t>
            </w:r>
          </w:p>
        </w:tc>
      </w:tr>
    </w:tbl>
    <w:p w:rsidR="00A7352B" w:rsidRPr="008C6F5E" w:rsidRDefault="00A7352B" w:rsidP="00A7352B">
      <w:pPr>
        <w:tabs>
          <w:tab w:val="right" w:pos="9356"/>
        </w:tabs>
        <w:rPr>
          <w:rFonts w:ascii="Arial" w:hAnsi="Arial" w:cs="Arial"/>
          <w:color w:val="FF0000"/>
          <w:sz w:val="24"/>
          <w:szCs w:val="24"/>
        </w:rPr>
      </w:pPr>
      <w:r w:rsidRPr="008C6F5E">
        <w:rPr>
          <w:rFonts w:ascii="Arial" w:hAnsi="Arial" w:cs="Arial"/>
          <w:b/>
          <w:color w:val="FF0000"/>
          <w:sz w:val="24"/>
          <w:szCs w:val="24"/>
        </w:rPr>
        <w:tab/>
      </w:r>
    </w:p>
    <w:p w:rsidR="009100C3" w:rsidRPr="00CB454F" w:rsidRDefault="00A7352B" w:rsidP="00A7352B">
      <w:pPr>
        <w:pStyle w:val="PlainText"/>
        <w:rPr>
          <w:rFonts w:ascii="Arial" w:hAnsi="Arial" w:cs="Arial"/>
          <w:sz w:val="24"/>
          <w:szCs w:val="24"/>
          <w:lang w:val="en-US"/>
        </w:rPr>
      </w:pPr>
      <w:bookmarkStart w:id="9" w:name="FR"/>
      <w:bookmarkEnd w:id="9"/>
      <w:r w:rsidRPr="00CB454F">
        <w:rPr>
          <w:rFonts w:ascii="Arial" w:hAnsi="Arial" w:cs="Arial"/>
          <w:sz w:val="24"/>
          <w:szCs w:val="24"/>
          <w:lang w:val="en-US"/>
        </w:rPr>
        <w:t xml:space="preserve">Kingfisher participates in the Total Tax Contribution survey that PwC perform for the Hundred </w:t>
      </w:r>
      <w:r w:rsidR="00735AC7">
        <w:rPr>
          <w:rFonts w:ascii="Arial" w:hAnsi="Arial" w:cs="Arial"/>
          <w:sz w:val="24"/>
          <w:szCs w:val="24"/>
          <w:lang w:val="en-US"/>
        </w:rPr>
        <w:t xml:space="preserve">Group of Finance Directors. </w:t>
      </w:r>
      <w:r w:rsidRPr="00CB454F">
        <w:rPr>
          <w:rFonts w:ascii="Arial" w:hAnsi="Arial" w:cs="Arial"/>
          <w:sz w:val="24"/>
          <w:szCs w:val="24"/>
          <w:lang w:val="en-US"/>
        </w:rPr>
        <w:t>The 2013 survey ranked Kingfisher 31</w:t>
      </w:r>
      <w:r w:rsidR="00735AC7" w:rsidRPr="00A64D40">
        <w:rPr>
          <w:rFonts w:ascii="Arial" w:hAnsi="Arial" w:cs="Arial"/>
          <w:sz w:val="24"/>
          <w:szCs w:val="24"/>
          <w:vertAlign w:val="superscript"/>
          <w:lang w:val="en-US"/>
        </w:rPr>
        <w:t>st</w:t>
      </w:r>
      <w:r w:rsidRPr="00CB454F">
        <w:rPr>
          <w:rFonts w:ascii="Arial" w:hAnsi="Arial" w:cs="Arial"/>
          <w:sz w:val="24"/>
          <w:szCs w:val="24"/>
          <w:lang w:val="en-US"/>
        </w:rPr>
        <w:t xml:space="preserve"> for its Tot</w:t>
      </w:r>
      <w:r w:rsidR="00735AC7">
        <w:rPr>
          <w:rFonts w:ascii="Arial" w:hAnsi="Arial" w:cs="Arial"/>
          <w:sz w:val="24"/>
          <w:szCs w:val="24"/>
          <w:lang w:val="en-US"/>
        </w:rPr>
        <w:t xml:space="preserve">al Tax Contribution in the UK. In 2013, </w:t>
      </w:r>
      <w:r w:rsidRPr="00CB454F">
        <w:rPr>
          <w:rFonts w:ascii="Arial" w:hAnsi="Arial" w:cs="Arial"/>
          <w:sz w:val="24"/>
          <w:szCs w:val="24"/>
          <w:lang w:val="en-US"/>
        </w:rPr>
        <w:t xml:space="preserve">101 companies </w:t>
      </w:r>
      <w:r w:rsidR="00735AC7">
        <w:rPr>
          <w:rFonts w:ascii="Arial" w:hAnsi="Arial" w:cs="Arial"/>
          <w:sz w:val="24"/>
          <w:szCs w:val="24"/>
          <w:lang w:val="en-US"/>
        </w:rPr>
        <w:t xml:space="preserve">contributed to the survey. </w:t>
      </w:r>
      <w:r w:rsidRPr="00CB454F">
        <w:rPr>
          <w:rFonts w:ascii="Arial" w:hAnsi="Arial" w:cs="Arial"/>
          <w:sz w:val="24"/>
          <w:szCs w:val="24"/>
          <w:lang w:val="en-US"/>
        </w:rPr>
        <w:t xml:space="preserve"> </w:t>
      </w:r>
    </w:p>
    <w:p w:rsidR="00A7352B" w:rsidRDefault="00A7352B" w:rsidP="00A7352B">
      <w:pPr>
        <w:jc w:val="left"/>
        <w:rPr>
          <w:rFonts w:ascii="Arial" w:hAnsi="Arial" w:cs="Arial"/>
          <w:b/>
          <w:sz w:val="24"/>
          <w:szCs w:val="24"/>
        </w:rPr>
      </w:pPr>
    </w:p>
    <w:p w:rsidR="00A7352B" w:rsidRDefault="00A7352B" w:rsidP="00A7352B">
      <w:pPr>
        <w:jc w:val="left"/>
        <w:rPr>
          <w:rFonts w:ascii="Arial" w:hAnsi="Arial" w:cs="Arial"/>
          <w:b/>
          <w:sz w:val="24"/>
          <w:szCs w:val="24"/>
        </w:rPr>
      </w:pPr>
      <w:r w:rsidRPr="004104B0">
        <w:rPr>
          <w:rFonts w:ascii="Arial" w:hAnsi="Arial" w:cs="Arial"/>
          <w:b/>
          <w:sz w:val="24"/>
          <w:szCs w:val="24"/>
        </w:rPr>
        <w:t>Exceptional items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62"/>
        <w:gridCol w:w="1843"/>
        <w:gridCol w:w="1701"/>
      </w:tblGrid>
      <w:tr w:rsidR="00A7352B" w:rsidRPr="00E20BFB" w:rsidTr="00A7352B">
        <w:trPr>
          <w:trHeight w:val="516"/>
        </w:trPr>
        <w:tc>
          <w:tcPr>
            <w:tcW w:w="6062" w:type="dxa"/>
            <w:tcBorders>
              <w:bottom w:val="single" w:sz="4" w:space="0" w:color="auto"/>
            </w:tcBorders>
          </w:tcPr>
          <w:p w:rsidR="00A7352B" w:rsidRPr="00E20BFB" w:rsidRDefault="00A7352B" w:rsidP="00A7352B">
            <w:pPr>
              <w:jc w:val="left"/>
              <w:rPr>
                <w:rFonts w:ascii="Arial" w:hAnsi="Arial" w:cs="Arial"/>
                <w:b/>
                <w:sz w:val="24"/>
                <w:szCs w:val="24"/>
              </w:rPr>
            </w:pPr>
          </w:p>
        </w:tc>
        <w:tc>
          <w:tcPr>
            <w:tcW w:w="1843" w:type="dxa"/>
            <w:tcBorders>
              <w:bottom w:val="single" w:sz="4" w:space="0" w:color="auto"/>
            </w:tcBorders>
          </w:tcPr>
          <w:p w:rsidR="00A7352B" w:rsidRDefault="00A7352B" w:rsidP="00A7352B">
            <w:pPr>
              <w:jc w:val="right"/>
              <w:rPr>
                <w:rFonts w:ascii="Arial" w:hAnsi="Arial" w:cs="Arial"/>
                <w:b/>
                <w:sz w:val="24"/>
                <w:szCs w:val="24"/>
              </w:rPr>
            </w:pPr>
            <w:r>
              <w:rPr>
                <w:rFonts w:ascii="Arial" w:hAnsi="Arial" w:cs="Arial"/>
                <w:b/>
                <w:sz w:val="24"/>
                <w:szCs w:val="24"/>
              </w:rPr>
              <w:t>2013/14</w:t>
            </w:r>
          </w:p>
          <w:p w:rsidR="00A7352B" w:rsidRDefault="00A7352B" w:rsidP="00A7352B">
            <w:pPr>
              <w:jc w:val="right"/>
              <w:rPr>
                <w:rFonts w:ascii="Arial" w:hAnsi="Arial" w:cs="Arial"/>
                <w:b/>
                <w:sz w:val="24"/>
                <w:szCs w:val="24"/>
              </w:rPr>
            </w:pPr>
            <w:r>
              <w:rPr>
                <w:rFonts w:ascii="Arial" w:hAnsi="Arial" w:cs="Arial"/>
                <w:b/>
                <w:sz w:val="24"/>
                <w:szCs w:val="24"/>
              </w:rPr>
              <w:t>£m</w:t>
            </w:r>
          </w:p>
          <w:p w:rsidR="00A7352B" w:rsidRPr="00E20BFB" w:rsidRDefault="00A7352B" w:rsidP="00A7352B">
            <w:pPr>
              <w:jc w:val="right"/>
              <w:rPr>
                <w:rFonts w:ascii="Arial" w:hAnsi="Arial" w:cs="Arial"/>
                <w:b/>
                <w:sz w:val="24"/>
                <w:szCs w:val="24"/>
              </w:rPr>
            </w:pPr>
            <w:r>
              <w:rPr>
                <w:rFonts w:ascii="Arial" w:hAnsi="Arial" w:cs="Arial"/>
                <w:b/>
                <w:sz w:val="24"/>
                <w:szCs w:val="24"/>
              </w:rPr>
              <w:t>Gain/(charge)</w:t>
            </w:r>
          </w:p>
        </w:tc>
        <w:tc>
          <w:tcPr>
            <w:tcW w:w="1701" w:type="dxa"/>
            <w:tcBorders>
              <w:bottom w:val="single" w:sz="4" w:space="0" w:color="auto"/>
            </w:tcBorders>
          </w:tcPr>
          <w:p w:rsidR="00A7352B" w:rsidRPr="00BF6C22" w:rsidRDefault="00A7352B" w:rsidP="00A7352B">
            <w:pPr>
              <w:jc w:val="right"/>
              <w:rPr>
                <w:rFonts w:ascii="Arial" w:hAnsi="Arial" w:cs="Arial"/>
                <w:sz w:val="24"/>
                <w:szCs w:val="24"/>
              </w:rPr>
            </w:pPr>
            <w:r w:rsidRPr="00BF6C22">
              <w:rPr>
                <w:rFonts w:ascii="Arial" w:hAnsi="Arial" w:cs="Arial"/>
                <w:sz w:val="24"/>
                <w:szCs w:val="24"/>
              </w:rPr>
              <w:t>2012/13</w:t>
            </w:r>
          </w:p>
          <w:p w:rsidR="00A7352B" w:rsidRPr="00BF6C22" w:rsidRDefault="00A7352B" w:rsidP="00A7352B">
            <w:pPr>
              <w:jc w:val="right"/>
              <w:rPr>
                <w:rFonts w:ascii="Arial" w:hAnsi="Arial" w:cs="Arial"/>
                <w:sz w:val="24"/>
                <w:szCs w:val="24"/>
              </w:rPr>
            </w:pPr>
            <w:r w:rsidRPr="00BF6C22">
              <w:rPr>
                <w:rFonts w:ascii="Arial" w:hAnsi="Arial" w:cs="Arial"/>
                <w:sz w:val="24"/>
                <w:szCs w:val="24"/>
              </w:rPr>
              <w:t>£m</w:t>
            </w:r>
          </w:p>
          <w:p w:rsidR="00A7352B" w:rsidRPr="00BF6C22" w:rsidRDefault="00A7352B" w:rsidP="00A7352B">
            <w:pPr>
              <w:jc w:val="right"/>
              <w:rPr>
                <w:rFonts w:ascii="Arial" w:hAnsi="Arial" w:cs="Arial"/>
                <w:sz w:val="24"/>
                <w:szCs w:val="24"/>
              </w:rPr>
            </w:pPr>
            <w:r w:rsidRPr="00BF6C22">
              <w:rPr>
                <w:rFonts w:ascii="Arial" w:hAnsi="Arial" w:cs="Arial"/>
                <w:sz w:val="24"/>
                <w:szCs w:val="24"/>
              </w:rPr>
              <w:t>(Charge)/gain</w:t>
            </w:r>
          </w:p>
        </w:tc>
      </w:tr>
      <w:tr w:rsidR="00A7352B" w:rsidRPr="00E20BFB" w:rsidTr="00A7352B">
        <w:tc>
          <w:tcPr>
            <w:tcW w:w="6062" w:type="dxa"/>
            <w:tcBorders>
              <w:top w:val="single" w:sz="4" w:space="0" w:color="auto"/>
            </w:tcBorders>
          </w:tcPr>
          <w:p w:rsidR="00A7352B" w:rsidRDefault="00A7352B" w:rsidP="00A7352B">
            <w:pPr>
              <w:jc w:val="left"/>
              <w:rPr>
                <w:rFonts w:ascii="Arial" w:hAnsi="Arial" w:cs="Arial"/>
                <w:sz w:val="24"/>
                <w:szCs w:val="24"/>
              </w:rPr>
            </w:pPr>
            <w:r>
              <w:rPr>
                <w:rFonts w:ascii="Arial" w:hAnsi="Arial" w:cs="Arial"/>
                <w:sz w:val="24"/>
                <w:szCs w:val="24"/>
              </w:rPr>
              <w:t xml:space="preserve">Kesa demerger French tax case </w:t>
            </w:r>
            <w:r w:rsidR="00672718">
              <w:rPr>
                <w:rFonts w:ascii="Arial" w:hAnsi="Arial" w:cs="Arial"/>
                <w:sz w:val="24"/>
                <w:szCs w:val="24"/>
              </w:rPr>
              <w:t xml:space="preserve">- </w:t>
            </w:r>
            <w:r>
              <w:rPr>
                <w:rFonts w:ascii="Arial" w:hAnsi="Arial" w:cs="Arial"/>
                <w:sz w:val="24"/>
                <w:szCs w:val="24"/>
              </w:rPr>
              <w:t>repayment supplement</w:t>
            </w:r>
          </w:p>
          <w:p w:rsidR="00A7352B" w:rsidRDefault="00A7352B" w:rsidP="00A7352B">
            <w:pPr>
              <w:jc w:val="left"/>
              <w:rPr>
                <w:rFonts w:ascii="Arial" w:hAnsi="Arial" w:cs="Arial"/>
                <w:sz w:val="24"/>
                <w:szCs w:val="24"/>
              </w:rPr>
            </w:pPr>
            <w:r>
              <w:rPr>
                <w:rFonts w:ascii="Arial" w:hAnsi="Arial" w:cs="Arial"/>
                <w:sz w:val="24"/>
                <w:szCs w:val="24"/>
              </w:rPr>
              <w:t>Net impairment of investment in Hornbach</w:t>
            </w:r>
          </w:p>
          <w:p w:rsidR="00A7352B" w:rsidRDefault="00A7352B" w:rsidP="00A7352B">
            <w:pPr>
              <w:jc w:val="left"/>
              <w:rPr>
                <w:rFonts w:ascii="Arial" w:hAnsi="Arial" w:cs="Arial"/>
                <w:sz w:val="24"/>
                <w:szCs w:val="24"/>
              </w:rPr>
            </w:pPr>
            <w:r>
              <w:rPr>
                <w:rFonts w:ascii="Arial" w:hAnsi="Arial" w:cs="Arial"/>
                <w:sz w:val="24"/>
                <w:szCs w:val="24"/>
              </w:rPr>
              <w:t>Acquisition and integration costs</w:t>
            </w:r>
          </w:p>
          <w:p w:rsidR="00A7352B" w:rsidRPr="00E20BFB" w:rsidRDefault="00A7352B" w:rsidP="00A7352B">
            <w:pPr>
              <w:jc w:val="left"/>
              <w:rPr>
                <w:rFonts w:ascii="Arial" w:hAnsi="Arial" w:cs="Arial"/>
                <w:sz w:val="24"/>
                <w:szCs w:val="24"/>
              </w:rPr>
            </w:pPr>
            <w:r>
              <w:rPr>
                <w:rFonts w:ascii="Arial" w:hAnsi="Arial" w:cs="Arial"/>
                <w:sz w:val="24"/>
                <w:szCs w:val="24"/>
              </w:rPr>
              <w:t>Ireland restructuring</w:t>
            </w:r>
          </w:p>
        </w:tc>
        <w:tc>
          <w:tcPr>
            <w:tcW w:w="1843" w:type="dxa"/>
            <w:tcBorders>
              <w:top w:val="single" w:sz="4" w:space="0" w:color="auto"/>
            </w:tcBorders>
          </w:tcPr>
          <w:p w:rsidR="00A7352B" w:rsidRPr="00FA1306" w:rsidRDefault="00A7352B" w:rsidP="00A7352B">
            <w:pPr>
              <w:jc w:val="right"/>
              <w:rPr>
                <w:rFonts w:ascii="Arial" w:hAnsi="Arial" w:cs="Arial"/>
                <w:b/>
                <w:sz w:val="24"/>
                <w:szCs w:val="24"/>
              </w:rPr>
            </w:pPr>
            <w:r w:rsidRPr="00FA1306">
              <w:rPr>
                <w:rFonts w:ascii="Arial" w:hAnsi="Arial" w:cs="Arial"/>
                <w:b/>
                <w:sz w:val="24"/>
                <w:szCs w:val="24"/>
              </w:rPr>
              <w:t>27</w:t>
            </w:r>
          </w:p>
          <w:p w:rsidR="00A7352B" w:rsidRPr="00FA1306" w:rsidRDefault="00A7352B" w:rsidP="00A7352B">
            <w:pPr>
              <w:jc w:val="right"/>
              <w:rPr>
                <w:rFonts w:ascii="Arial" w:hAnsi="Arial" w:cs="Arial"/>
                <w:b/>
                <w:sz w:val="24"/>
                <w:szCs w:val="24"/>
              </w:rPr>
            </w:pPr>
          </w:p>
          <w:p w:rsidR="00A7352B" w:rsidRPr="00FA1306" w:rsidRDefault="00A7352B" w:rsidP="00A7352B">
            <w:pPr>
              <w:jc w:val="right"/>
              <w:rPr>
                <w:rFonts w:ascii="Arial" w:hAnsi="Arial" w:cs="Arial"/>
                <w:b/>
                <w:sz w:val="24"/>
                <w:szCs w:val="24"/>
              </w:rPr>
            </w:pPr>
            <w:r w:rsidRPr="00FA1306">
              <w:rPr>
                <w:rFonts w:ascii="Arial" w:hAnsi="Arial" w:cs="Arial"/>
                <w:b/>
                <w:sz w:val="24"/>
                <w:szCs w:val="24"/>
              </w:rPr>
              <w:t>(14)</w:t>
            </w:r>
          </w:p>
          <w:p w:rsidR="00A7352B" w:rsidRPr="00FA1306" w:rsidRDefault="00A7352B" w:rsidP="00A7352B">
            <w:pPr>
              <w:jc w:val="right"/>
              <w:rPr>
                <w:rFonts w:ascii="Arial" w:hAnsi="Arial" w:cs="Arial"/>
                <w:b/>
                <w:sz w:val="24"/>
                <w:szCs w:val="24"/>
              </w:rPr>
            </w:pPr>
            <w:r w:rsidRPr="00FA1306">
              <w:rPr>
                <w:rFonts w:ascii="Arial" w:hAnsi="Arial" w:cs="Arial"/>
                <w:b/>
                <w:sz w:val="24"/>
                <w:szCs w:val="24"/>
              </w:rPr>
              <w:t>(5)</w:t>
            </w:r>
          </w:p>
          <w:p w:rsidR="00A7352B" w:rsidRPr="00FA1306" w:rsidRDefault="00A7352B" w:rsidP="00A7352B">
            <w:pPr>
              <w:jc w:val="right"/>
              <w:rPr>
                <w:rFonts w:ascii="Arial" w:hAnsi="Arial" w:cs="Arial"/>
                <w:b/>
                <w:sz w:val="24"/>
                <w:szCs w:val="24"/>
              </w:rPr>
            </w:pPr>
            <w:r w:rsidRPr="00FA1306">
              <w:rPr>
                <w:rFonts w:ascii="Arial" w:hAnsi="Arial" w:cs="Arial"/>
                <w:b/>
                <w:sz w:val="24"/>
                <w:szCs w:val="24"/>
              </w:rPr>
              <w:t>7</w:t>
            </w:r>
          </w:p>
        </w:tc>
        <w:tc>
          <w:tcPr>
            <w:tcW w:w="1701" w:type="dxa"/>
            <w:tcBorders>
              <w:top w:val="single" w:sz="4" w:space="0" w:color="auto"/>
            </w:tcBorders>
          </w:tcPr>
          <w:p w:rsidR="00A7352B" w:rsidRDefault="00A7352B" w:rsidP="00A7352B">
            <w:pPr>
              <w:jc w:val="right"/>
              <w:rPr>
                <w:rFonts w:ascii="Arial" w:hAnsi="Arial" w:cs="Arial"/>
                <w:sz w:val="24"/>
                <w:szCs w:val="24"/>
              </w:rPr>
            </w:pPr>
            <w:r>
              <w:rPr>
                <w:rFonts w:ascii="Arial" w:hAnsi="Arial" w:cs="Arial"/>
                <w:sz w:val="24"/>
                <w:szCs w:val="24"/>
              </w:rPr>
              <w:t>-</w:t>
            </w:r>
          </w:p>
          <w:p w:rsidR="00A7352B" w:rsidRDefault="00A7352B" w:rsidP="00A7352B">
            <w:pPr>
              <w:jc w:val="right"/>
              <w:rPr>
                <w:rFonts w:ascii="Arial" w:hAnsi="Arial" w:cs="Arial"/>
                <w:sz w:val="24"/>
                <w:szCs w:val="24"/>
              </w:rPr>
            </w:pPr>
          </w:p>
          <w:p w:rsidR="00A7352B" w:rsidRDefault="00A7352B" w:rsidP="00A7352B">
            <w:pPr>
              <w:jc w:val="right"/>
              <w:rPr>
                <w:rFonts w:ascii="Arial" w:hAnsi="Arial" w:cs="Arial"/>
                <w:sz w:val="24"/>
                <w:szCs w:val="24"/>
              </w:rPr>
            </w:pPr>
            <w:r>
              <w:rPr>
                <w:rFonts w:ascii="Arial" w:hAnsi="Arial" w:cs="Arial"/>
                <w:sz w:val="24"/>
                <w:szCs w:val="24"/>
              </w:rPr>
              <w:t>-</w:t>
            </w:r>
          </w:p>
          <w:p w:rsidR="00A7352B" w:rsidRDefault="00A7352B" w:rsidP="00A7352B">
            <w:pPr>
              <w:jc w:val="right"/>
              <w:rPr>
                <w:rFonts w:ascii="Arial" w:hAnsi="Arial" w:cs="Arial"/>
                <w:sz w:val="24"/>
                <w:szCs w:val="24"/>
              </w:rPr>
            </w:pPr>
            <w:r>
              <w:rPr>
                <w:rFonts w:ascii="Arial" w:hAnsi="Arial" w:cs="Arial"/>
                <w:sz w:val="24"/>
                <w:szCs w:val="24"/>
              </w:rPr>
              <w:t>-</w:t>
            </w:r>
          </w:p>
          <w:p w:rsidR="00A7352B" w:rsidRPr="00BF6C22" w:rsidRDefault="00A7352B" w:rsidP="00A7352B">
            <w:pPr>
              <w:jc w:val="right"/>
              <w:rPr>
                <w:rFonts w:ascii="Arial" w:hAnsi="Arial" w:cs="Arial"/>
                <w:sz w:val="24"/>
                <w:szCs w:val="24"/>
              </w:rPr>
            </w:pPr>
            <w:r>
              <w:rPr>
                <w:rFonts w:ascii="Arial" w:hAnsi="Arial" w:cs="Arial"/>
                <w:sz w:val="24"/>
                <w:szCs w:val="24"/>
              </w:rPr>
              <w:t>(21)</w:t>
            </w:r>
          </w:p>
        </w:tc>
      </w:tr>
      <w:tr w:rsidR="00A7352B" w:rsidRPr="00E20BFB" w:rsidTr="00A7352B">
        <w:tc>
          <w:tcPr>
            <w:tcW w:w="6062" w:type="dxa"/>
          </w:tcPr>
          <w:p w:rsidR="00A7352B" w:rsidRDefault="00A7352B" w:rsidP="00A7352B">
            <w:pPr>
              <w:jc w:val="left"/>
              <w:rPr>
                <w:rFonts w:ascii="Arial" w:hAnsi="Arial" w:cs="Arial"/>
                <w:sz w:val="24"/>
                <w:szCs w:val="24"/>
              </w:rPr>
            </w:pPr>
            <w:r>
              <w:rPr>
                <w:rFonts w:ascii="Arial" w:hAnsi="Arial" w:cs="Arial"/>
                <w:sz w:val="24"/>
                <w:szCs w:val="24"/>
              </w:rPr>
              <w:t>UK restructuring</w:t>
            </w:r>
          </w:p>
        </w:tc>
        <w:tc>
          <w:tcPr>
            <w:tcW w:w="1843" w:type="dxa"/>
          </w:tcPr>
          <w:p w:rsidR="00A7352B" w:rsidRPr="00FA1306" w:rsidRDefault="00A7352B" w:rsidP="00A7352B">
            <w:pPr>
              <w:jc w:val="right"/>
              <w:rPr>
                <w:rFonts w:ascii="Arial" w:hAnsi="Arial" w:cs="Arial"/>
                <w:b/>
                <w:sz w:val="24"/>
                <w:szCs w:val="24"/>
              </w:rPr>
            </w:pPr>
            <w:r w:rsidRPr="00FA1306">
              <w:rPr>
                <w:rFonts w:ascii="Arial" w:hAnsi="Arial" w:cs="Arial"/>
                <w:b/>
                <w:sz w:val="24"/>
                <w:szCs w:val="24"/>
              </w:rPr>
              <w:t>-</w:t>
            </w:r>
          </w:p>
        </w:tc>
        <w:tc>
          <w:tcPr>
            <w:tcW w:w="1701" w:type="dxa"/>
          </w:tcPr>
          <w:p w:rsidR="00A7352B" w:rsidRPr="00BF6C22" w:rsidRDefault="00A7352B" w:rsidP="00A7352B">
            <w:pPr>
              <w:jc w:val="right"/>
              <w:rPr>
                <w:rFonts w:ascii="Arial" w:hAnsi="Arial" w:cs="Arial"/>
                <w:sz w:val="24"/>
                <w:szCs w:val="24"/>
              </w:rPr>
            </w:pPr>
            <w:r w:rsidRPr="00BF6C22">
              <w:rPr>
                <w:rFonts w:ascii="Arial" w:hAnsi="Arial" w:cs="Arial"/>
                <w:sz w:val="24"/>
                <w:szCs w:val="24"/>
              </w:rPr>
              <w:t>(16)</w:t>
            </w:r>
          </w:p>
        </w:tc>
      </w:tr>
      <w:tr w:rsidR="00A7352B" w:rsidRPr="00E20BFB" w:rsidTr="00A7352B">
        <w:tc>
          <w:tcPr>
            <w:tcW w:w="6062" w:type="dxa"/>
          </w:tcPr>
          <w:p w:rsidR="00A7352B" w:rsidRDefault="00A7352B" w:rsidP="00A7352B">
            <w:pPr>
              <w:jc w:val="left"/>
              <w:rPr>
                <w:rFonts w:ascii="Arial" w:hAnsi="Arial" w:cs="Arial"/>
                <w:sz w:val="24"/>
                <w:szCs w:val="24"/>
              </w:rPr>
            </w:pPr>
            <w:r>
              <w:rPr>
                <w:rFonts w:ascii="Arial" w:hAnsi="Arial" w:cs="Arial"/>
                <w:sz w:val="24"/>
                <w:szCs w:val="24"/>
              </w:rPr>
              <w:t>Net pension gain</w:t>
            </w:r>
          </w:p>
        </w:tc>
        <w:tc>
          <w:tcPr>
            <w:tcW w:w="1843" w:type="dxa"/>
          </w:tcPr>
          <w:p w:rsidR="00A7352B" w:rsidRPr="00FA1306" w:rsidRDefault="00A7352B" w:rsidP="00A7352B">
            <w:pPr>
              <w:jc w:val="right"/>
              <w:rPr>
                <w:rFonts w:ascii="Arial" w:hAnsi="Arial" w:cs="Arial"/>
                <w:b/>
                <w:sz w:val="24"/>
                <w:szCs w:val="24"/>
              </w:rPr>
            </w:pPr>
            <w:r w:rsidRPr="00FA1306">
              <w:rPr>
                <w:rFonts w:ascii="Arial" w:hAnsi="Arial" w:cs="Arial"/>
                <w:b/>
                <w:sz w:val="24"/>
                <w:szCs w:val="24"/>
              </w:rPr>
              <w:t>-</w:t>
            </w:r>
          </w:p>
        </w:tc>
        <w:tc>
          <w:tcPr>
            <w:tcW w:w="1701" w:type="dxa"/>
          </w:tcPr>
          <w:p w:rsidR="00A7352B" w:rsidRPr="00BF6C22" w:rsidRDefault="00A7352B" w:rsidP="00A7352B">
            <w:pPr>
              <w:jc w:val="right"/>
              <w:rPr>
                <w:rFonts w:ascii="Arial" w:hAnsi="Arial" w:cs="Arial"/>
                <w:sz w:val="24"/>
                <w:szCs w:val="24"/>
              </w:rPr>
            </w:pPr>
            <w:r w:rsidRPr="00BF6C22">
              <w:rPr>
                <w:rFonts w:ascii="Arial" w:hAnsi="Arial" w:cs="Arial"/>
                <w:sz w:val="24"/>
                <w:szCs w:val="24"/>
              </w:rPr>
              <w:t>11</w:t>
            </w:r>
          </w:p>
        </w:tc>
      </w:tr>
      <w:tr w:rsidR="00A7352B" w:rsidRPr="00E20BFB" w:rsidTr="00A7352B">
        <w:tc>
          <w:tcPr>
            <w:tcW w:w="6062" w:type="dxa"/>
            <w:tcBorders>
              <w:bottom w:val="single" w:sz="4" w:space="0" w:color="auto"/>
            </w:tcBorders>
          </w:tcPr>
          <w:p w:rsidR="00A7352B" w:rsidRDefault="00A7352B" w:rsidP="00A7352B">
            <w:pPr>
              <w:jc w:val="left"/>
              <w:rPr>
                <w:rFonts w:ascii="Arial" w:hAnsi="Arial" w:cs="Arial"/>
                <w:sz w:val="24"/>
                <w:szCs w:val="24"/>
              </w:rPr>
            </w:pPr>
            <w:r>
              <w:rPr>
                <w:rFonts w:ascii="Arial" w:hAnsi="Arial" w:cs="Arial"/>
                <w:sz w:val="24"/>
                <w:szCs w:val="24"/>
              </w:rPr>
              <w:t>Gain on disposal of properties</w:t>
            </w:r>
          </w:p>
        </w:tc>
        <w:tc>
          <w:tcPr>
            <w:tcW w:w="1843" w:type="dxa"/>
            <w:tcBorders>
              <w:bottom w:val="single" w:sz="4" w:space="0" w:color="auto"/>
            </w:tcBorders>
          </w:tcPr>
          <w:p w:rsidR="00A7352B" w:rsidRPr="00FA1306" w:rsidRDefault="00A7352B" w:rsidP="00A7352B">
            <w:pPr>
              <w:jc w:val="right"/>
              <w:rPr>
                <w:rFonts w:ascii="Arial" w:hAnsi="Arial" w:cs="Arial"/>
                <w:b/>
                <w:sz w:val="24"/>
                <w:szCs w:val="24"/>
              </w:rPr>
            </w:pPr>
            <w:r w:rsidRPr="00FA1306">
              <w:rPr>
                <w:rFonts w:ascii="Arial" w:hAnsi="Arial" w:cs="Arial"/>
                <w:b/>
                <w:sz w:val="24"/>
                <w:szCs w:val="24"/>
              </w:rPr>
              <w:t>2</w:t>
            </w:r>
          </w:p>
        </w:tc>
        <w:tc>
          <w:tcPr>
            <w:tcW w:w="1701" w:type="dxa"/>
            <w:tcBorders>
              <w:bottom w:val="single" w:sz="4" w:space="0" w:color="auto"/>
            </w:tcBorders>
          </w:tcPr>
          <w:p w:rsidR="00A7352B" w:rsidRPr="00BF6C22" w:rsidRDefault="00A7352B" w:rsidP="00A7352B">
            <w:pPr>
              <w:jc w:val="right"/>
              <w:rPr>
                <w:rFonts w:ascii="Arial" w:hAnsi="Arial" w:cs="Arial"/>
                <w:sz w:val="24"/>
                <w:szCs w:val="24"/>
              </w:rPr>
            </w:pPr>
            <w:r w:rsidRPr="00BF6C22">
              <w:rPr>
                <w:rFonts w:ascii="Arial" w:hAnsi="Arial" w:cs="Arial"/>
                <w:sz w:val="24"/>
                <w:szCs w:val="24"/>
              </w:rPr>
              <w:t>-</w:t>
            </w:r>
          </w:p>
        </w:tc>
      </w:tr>
      <w:tr w:rsidR="00A7352B" w:rsidRPr="00700E2D" w:rsidTr="00A7352B">
        <w:tc>
          <w:tcPr>
            <w:tcW w:w="6062" w:type="dxa"/>
            <w:tcBorders>
              <w:top w:val="single" w:sz="4" w:space="0" w:color="auto"/>
            </w:tcBorders>
          </w:tcPr>
          <w:p w:rsidR="00A7352B" w:rsidRPr="00015AAF" w:rsidRDefault="00A7352B" w:rsidP="00A7352B">
            <w:pPr>
              <w:jc w:val="left"/>
              <w:rPr>
                <w:rFonts w:ascii="Arial" w:hAnsi="Arial" w:cs="Arial"/>
                <w:b/>
                <w:sz w:val="24"/>
                <w:szCs w:val="24"/>
              </w:rPr>
            </w:pPr>
          </w:p>
        </w:tc>
        <w:tc>
          <w:tcPr>
            <w:tcW w:w="1843" w:type="dxa"/>
            <w:tcBorders>
              <w:top w:val="single" w:sz="4" w:space="0" w:color="auto"/>
            </w:tcBorders>
          </w:tcPr>
          <w:p w:rsidR="00A7352B" w:rsidRPr="00FA1306" w:rsidRDefault="00A7352B" w:rsidP="00A7352B">
            <w:pPr>
              <w:jc w:val="right"/>
              <w:rPr>
                <w:rFonts w:ascii="Arial" w:hAnsi="Arial" w:cs="Arial"/>
                <w:b/>
                <w:sz w:val="24"/>
                <w:szCs w:val="24"/>
              </w:rPr>
            </w:pPr>
            <w:r w:rsidRPr="00FA1306">
              <w:rPr>
                <w:rFonts w:ascii="Arial" w:hAnsi="Arial" w:cs="Arial"/>
                <w:b/>
                <w:sz w:val="24"/>
                <w:szCs w:val="24"/>
              </w:rPr>
              <w:t>17</w:t>
            </w:r>
          </w:p>
        </w:tc>
        <w:tc>
          <w:tcPr>
            <w:tcW w:w="1701" w:type="dxa"/>
            <w:tcBorders>
              <w:top w:val="single" w:sz="4" w:space="0" w:color="auto"/>
            </w:tcBorders>
          </w:tcPr>
          <w:p w:rsidR="00A7352B" w:rsidRPr="00BF6C22" w:rsidRDefault="00A7352B" w:rsidP="00A7352B">
            <w:pPr>
              <w:jc w:val="right"/>
              <w:rPr>
                <w:rFonts w:ascii="Arial" w:hAnsi="Arial" w:cs="Arial"/>
                <w:sz w:val="24"/>
                <w:szCs w:val="24"/>
              </w:rPr>
            </w:pPr>
            <w:r w:rsidRPr="00BF6C22">
              <w:rPr>
                <w:rFonts w:ascii="Arial" w:hAnsi="Arial" w:cs="Arial"/>
                <w:sz w:val="24"/>
                <w:szCs w:val="24"/>
              </w:rPr>
              <w:t>(26)</w:t>
            </w:r>
          </w:p>
        </w:tc>
      </w:tr>
      <w:tr w:rsidR="00A7352B" w:rsidRPr="00700E2D" w:rsidTr="00A7352B">
        <w:tc>
          <w:tcPr>
            <w:tcW w:w="6062" w:type="dxa"/>
          </w:tcPr>
          <w:p w:rsidR="00A7352B" w:rsidRPr="00C82F88" w:rsidRDefault="00A7352B" w:rsidP="00A7352B">
            <w:pPr>
              <w:jc w:val="left"/>
              <w:rPr>
                <w:rFonts w:ascii="Arial" w:hAnsi="Arial" w:cs="Arial"/>
                <w:sz w:val="24"/>
                <w:szCs w:val="24"/>
              </w:rPr>
            </w:pPr>
            <w:r w:rsidRPr="00C82F88">
              <w:rPr>
                <w:rFonts w:ascii="Arial" w:hAnsi="Arial" w:cs="Arial"/>
                <w:sz w:val="24"/>
                <w:szCs w:val="24"/>
              </w:rPr>
              <w:t>Tax on exceptional items</w:t>
            </w:r>
          </w:p>
        </w:tc>
        <w:tc>
          <w:tcPr>
            <w:tcW w:w="1843" w:type="dxa"/>
          </w:tcPr>
          <w:p w:rsidR="00A7352B" w:rsidRPr="00FA1306" w:rsidRDefault="00A7352B" w:rsidP="00A7352B">
            <w:pPr>
              <w:jc w:val="right"/>
              <w:rPr>
                <w:rFonts w:ascii="Arial" w:hAnsi="Arial" w:cs="Arial"/>
                <w:b/>
                <w:sz w:val="24"/>
                <w:szCs w:val="24"/>
              </w:rPr>
            </w:pPr>
            <w:r>
              <w:rPr>
                <w:rFonts w:ascii="Arial" w:hAnsi="Arial" w:cs="Arial"/>
                <w:b/>
                <w:sz w:val="24"/>
                <w:szCs w:val="24"/>
              </w:rPr>
              <w:t>(4</w:t>
            </w:r>
            <w:r w:rsidRPr="00FA1306">
              <w:rPr>
                <w:rFonts w:ascii="Arial" w:hAnsi="Arial" w:cs="Arial"/>
                <w:b/>
                <w:sz w:val="24"/>
                <w:szCs w:val="24"/>
              </w:rPr>
              <w:t>)</w:t>
            </w:r>
          </w:p>
        </w:tc>
        <w:tc>
          <w:tcPr>
            <w:tcW w:w="1701" w:type="dxa"/>
          </w:tcPr>
          <w:p w:rsidR="00A7352B" w:rsidRPr="00BF6C22" w:rsidRDefault="00A7352B" w:rsidP="00A7352B">
            <w:pPr>
              <w:jc w:val="right"/>
              <w:rPr>
                <w:rFonts w:ascii="Arial" w:hAnsi="Arial" w:cs="Arial"/>
                <w:sz w:val="24"/>
                <w:szCs w:val="24"/>
              </w:rPr>
            </w:pPr>
            <w:r w:rsidRPr="00BF6C22">
              <w:rPr>
                <w:rFonts w:ascii="Arial" w:hAnsi="Arial" w:cs="Arial"/>
                <w:sz w:val="24"/>
                <w:szCs w:val="24"/>
              </w:rPr>
              <w:t>1</w:t>
            </w:r>
          </w:p>
        </w:tc>
      </w:tr>
      <w:tr w:rsidR="00A7352B" w:rsidRPr="00700E2D" w:rsidTr="00A7352B">
        <w:tc>
          <w:tcPr>
            <w:tcW w:w="6062" w:type="dxa"/>
            <w:tcBorders>
              <w:bottom w:val="single" w:sz="4" w:space="0" w:color="auto"/>
            </w:tcBorders>
          </w:tcPr>
          <w:p w:rsidR="00A7352B" w:rsidRPr="00C82F88" w:rsidRDefault="00A7352B" w:rsidP="00A7352B">
            <w:pPr>
              <w:jc w:val="left"/>
              <w:rPr>
                <w:rFonts w:ascii="Arial" w:hAnsi="Arial" w:cs="Arial"/>
                <w:sz w:val="24"/>
                <w:szCs w:val="24"/>
              </w:rPr>
            </w:pPr>
            <w:r>
              <w:rPr>
                <w:rFonts w:ascii="Arial" w:hAnsi="Arial" w:cs="Arial"/>
                <w:sz w:val="24"/>
                <w:szCs w:val="24"/>
              </w:rPr>
              <w:t>Kesa demerger French tax case</w:t>
            </w:r>
          </w:p>
        </w:tc>
        <w:tc>
          <w:tcPr>
            <w:tcW w:w="1843" w:type="dxa"/>
            <w:tcBorders>
              <w:bottom w:val="single" w:sz="4" w:space="0" w:color="auto"/>
            </w:tcBorders>
          </w:tcPr>
          <w:p w:rsidR="00A7352B" w:rsidRPr="00FA1306" w:rsidRDefault="00A7352B" w:rsidP="00A7352B">
            <w:pPr>
              <w:jc w:val="right"/>
              <w:rPr>
                <w:rFonts w:ascii="Arial" w:hAnsi="Arial" w:cs="Arial"/>
                <w:b/>
                <w:sz w:val="24"/>
                <w:szCs w:val="24"/>
              </w:rPr>
            </w:pPr>
            <w:r>
              <w:rPr>
                <w:rFonts w:ascii="Arial" w:hAnsi="Arial" w:cs="Arial"/>
                <w:b/>
                <w:sz w:val="24"/>
                <w:szCs w:val="24"/>
              </w:rPr>
              <w:t>118</w:t>
            </w:r>
          </w:p>
        </w:tc>
        <w:tc>
          <w:tcPr>
            <w:tcW w:w="1701" w:type="dxa"/>
            <w:tcBorders>
              <w:bottom w:val="single" w:sz="4" w:space="0" w:color="auto"/>
            </w:tcBorders>
          </w:tcPr>
          <w:p w:rsidR="00A7352B" w:rsidRPr="00BF6C22" w:rsidRDefault="00A7352B" w:rsidP="00A7352B">
            <w:pPr>
              <w:jc w:val="right"/>
              <w:rPr>
                <w:rFonts w:ascii="Arial" w:hAnsi="Arial" w:cs="Arial"/>
                <w:sz w:val="24"/>
                <w:szCs w:val="24"/>
              </w:rPr>
            </w:pPr>
            <w:r>
              <w:rPr>
                <w:rFonts w:ascii="Arial" w:hAnsi="Arial" w:cs="Arial"/>
                <w:sz w:val="24"/>
                <w:szCs w:val="24"/>
              </w:rPr>
              <w:t>-</w:t>
            </w:r>
          </w:p>
        </w:tc>
      </w:tr>
      <w:tr w:rsidR="00A7352B" w:rsidRPr="00700E2D" w:rsidTr="00A7352B">
        <w:tc>
          <w:tcPr>
            <w:tcW w:w="6062" w:type="dxa"/>
            <w:tcBorders>
              <w:top w:val="single" w:sz="4" w:space="0" w:color="auto"/>
              <w:bottom w:val="single" w:sz="4" w:space="0" w:color="auto"/>
            </w:tcBorders>
          </w:tcPr>
          <w:p w:rsidR="00A7352B" w:rsidRDefault="00A7352B" w:rsidP="00A7352B">
            <w:pPr>
              <w:jc w:val="left"/>
              <w:rPr>
                <w:rFonts w:ascii="Arial" w:hAnsi="Arial" w:cs="Arial"/>
                <w:b/>
                <w:sz w:val="24"/>
                <w:szCs w:val="24"/>
              </w:rPr>
            </w:pPr>
            <w:r>
              <w:rPr>
                <w:rFonts w:ascii="Arial" w:hAnsi="Arial" w:cs="Arial"/>
                <w:b/>
                <w:sz w:val="24"/>
                <w:szCs w:val="24"/>
              </w:rPr>
              <w:t>Net exceptional items</w:t>
            </w:r>
          </w:p>
        </w:tc>
        <w:tc>
          <w:tcPr>
            <w:tcW w:w="1843" w:type="dxa"/>
            <w:tcBorders>
              <w:top w:val="single" w:sz="4" w:space="0" w:color="auto"/>
              <w:bottom w:val="single" w:sz="4" w:space="0" w:color="auto"/>
            </w:tcBorders>
          </w:tcPr>
          <w:p w:rsidR="00A7352B" w:rsidRPr="00FA1306" w:rsidRDefault="00A7352B" w:rsidP="00A7352B">
            <w:pPr>
              <w:jc w:val="right"/>
              <w:rPr>
                <w:rFonts w:ascii="Arial" w:hAnsi="Arial" w:cs="Arial"/>
                <w:b/>
                <w:sz w:val="24"/>
                <w:szCs w:val="24"/>
              </w:rPr>
            </w:pPr>
            <w:r w:rsidRPr="00FA1306">
              <w:rPr>
                <w:rFonts w:ascii="Arial" w:hAnsi="Arial" w:cs="Arial"/>
                <w:b/>
                <w:sz w:val="24"/>
                <w:szCs w:val="24"/>
              </w:rPr>
              <w:t>131</w:t>
            </w:r>
          </w:p>
        </w:tc>
        <w:tc>
          <w:tcPr>
            <w:tcW w:w="1701" w:type="dxa"/>
            <w:tcBorders>
              <w:top w:val="single" w:sz="4" w:space="0" w:color="auto"/>
              <w:bottom w:val="single" w:sz="4" w:space="0" w:color="auto"/>
            </w:tcBorders>
          </w:tcPr>
          <w:p w:rsidR="00A7352B" w:rsidRPr="00BF6C22" w:rsidRDefault="00A7352B" w:rsidP="00A7352B">
            <w:pPr>
              <w:jc w:val="right"/>
              <w:rPr>
                <w:rFonts w:ascii="Arial" w:hAnsi="Arial" w:cs="Arial"/>
                <w:sz w:val="24"/>
                <w:szCs w:val="24"/>
              </w:rPr>
            </w:pPr>
            <w:r w:rsidRPr="00BF6C22">
              <w:rPr>
                <w:rFonts w:ascii="Arial" w:hAnsi="Arial" w:cs="Arial"/>
                <w:sz w:val="24"/>
                <w:szCs w:val="24"/>
              </w:rPr>
              <w:t>(25)</w:t>
            </w:r>
          </w:p>
        </w:tc>
      </w:tr>
    </w:tbl>
    <w:p w:rsidR="00BC4447" w:rsidRPr="00C82F88" w:rsidRDefault="00BC4447" w:rsidP="00A7352B">
      <w:pPr>
        <w:jc w:val="left"/>
        <w:rPr>
          <w:rFonts w:ascii="Arial" w:hAnsi="Arial" w:cs="Arial"/>
          <w:sz w:val="24"/>
          <w:szCs w:val="24"/>
        </w:rPr>
      </w:pPr>
    </w:p>
    <w:p w:rsidR="00A7352B" w:rsidRDefault="00A7352B" w:rsidP="00A7352B">
      <w:pPr>
        <w:jc w:val="left"/>
        <w:rPr>
          <w:rFonts w:ascii="Arial" w:hAnsi="Arial" w:cs="Arial"/>
          <w:sz w:val="24"/>
          <w:szCs w:val="24"/>
        </w:rPr>
      </w:pPr>
      <w:r w:rsidRPr="00C82F88">
        <w:rPr>
          <w:rFonts w:ascii="Arial" w:hAnsi="Arial" w:cs="Arial"/>
          <w:sz w:val="24"/>
          <w:szCs w:val="24"/>
        </w:rPr>
        <w:t xml:space="preserve">In the year the Group booked net post-tax </w:t>
      </w:r>
      <w:r w:rsidRPr="00AF390B">
        <w:rPr>
          <w:rFonts w:ascii="Arial" w:hAnsi="Arial" w:cs="Arial"/>
          <w:sz w:val="24"/>
          <w:szCs w:val="24"/>
        </w:rPr>
        <w:t>exceptional income of £13</w:t>
      </w:r>
      <w:r>
        <w:rPr>
          <w:rFonts w:ascii="Arial" w:hAnsi="Arial" w:cs="Arial"/>
          <w:sz w:val="24"/>
          <w:szCs w:val="24"/>
        </w:rPr>
        <w:t>1</w:t>
      </w:r>
      <w:r w:rsidRPr="00AF390B">
        <w:rPr>
          <w:rFonts w:ascii="Arial" w:hAnsi="Arial" w:cs="Arial"/>
          <w:sz w:val="24"/>
          <w:szCs w:val="24"/>
        </w:rPr>
        <w:t xml:space="preserve"> million (2012</w:t>
      </w:r>
      <w:r w:rsidRPr="00C82F88">
        <w:rPr>
          <w:rFonts w:ascii="Arial" w:hAnsi="Arial" w:cs="Arial"/>
          <w:sz w:val="24"/>
          <w:szCs w:val="24"/>
        </w:rPr>
        <w:t>/1</w:t>
      </w:r>
      <w:r>
        <w:rPr>
          <w:rFonts w:ascii="Arial" w:hAnsi="Arial" w:cs="Arial"/>
          <w:sz w:val="24"/>
          <w:szCs w:val="24"/>
        </w:rPr>
        <w:t>3</w:t>
      </w:r>
      <w:r w:rsidRPr="00C82F88">
        <w:rPr>
          <w:rFonts w:ascii="Arial" w:hAnsi="Arial" w:cs="Arial"/>
          <w:sz w:val="24"/>
          <w:szCs w:val="24"/>
        </w:rPr>
        <w:t>: £</w:t>
      </w:r>
      <w:r>
        <w:rPr>
          <w:rFonts w:ascii="Arial" w:hAnsi="Arial" w:cs="Arial"/>
          <w:sz w:val="24"/>
          <w:szCs w:val="24"/>
        </w:rPr>
        <w:t>2</w:t>
      </w:r>
      <w:r w:rsidRPr="00C82F88">
        <w:rPr>
          <w:rFonts w:ascii="Arial" w:hAnsi="Arial" w:cs="Arial"/>
          <w:sz w:val="24"/>
          <w:szCs w:val="24"/>
        </w:rPr>
        <w:t xml:space="preserve">5 million </w:t>
      </w:r>
      <w:r>
        <w:rPr>
          <w:rFonts w:ascii="Arial" w:hAnsi="Arial" w:cs="Arial"/>
          <w:sz w:val="24"/>
          <w:szCs w:val="24"/>
        </w:rPr>
        <w:t>charge</w:t>
      </w:r>
      <w:r w:rsidRPr="00C82F88">
        <w:rPr>
          <w:rFonts w:ascii="Arial" w:hAnsi="Arial" w:cs="Arial"/>
          <w:sz w:val="24"/>
          <w:szCs w:val="24"/>
        </w:rPr>
        <w:t xml:space="preserve">). </w:t>
      </w:r>
    </w:p>
    <w:p w:rsidR="00A7352B" w:rsidRDefault="00A7352B" w:rsidP="00A7352B">
      <w:pPr>
        <w:jc w:val="left"/>
        <w:rPr>
          <w:rFonts w:ascii="Arial" w:hAnsi="Arial" w:cs="Arial"/>
          <w:sz w:val="24"/>
          <w:szCs w:val="24"/>
        </w:rPr>
      </w:pPr>
    </w:p>
    <w:p w:rsidR="009100C3" w:rsidRDefault="009100C3" w:rsidP="009100C3">
      <w:pPr>
        <w:jc w:val="left"/>
        <w:rPr>
          <w:rFonts w:ascii="Arial" w:hAnsi="Arial" w:cs="Arial"/>
          <w:sz w:val="24"/>
          <w:szCs w:val="24"/>
        </w:rPr>
      </w:pPr>
      <w:r>
        <w:rPr>
          <w:rFonts w:ascii="Arial" w:hAnsi="Arial" w:cs="Arial"/>
          <w:sz w:val="24"/>
          <w:szCs w:val="24"/>
        </w:rPr>
        <w:t>Kingfisher paid €138 million tax to the French tax authorities in the year ended 31 January 2004 as a consequence of the Kesa Electricals demerger and recorded this as an exceptional tax charge.  Following a successful appeal Kingfisher received a refund totalling €169 million from the French tax authorities in September 2009. The French tax authorities appealed this decision with the final level of court finding in Kingfisher’s favour in July 2013. This decision removed any uncertainty over the position and resulted in an exceptional credit of £145 million (€169 million), of which £27 million has been recognised in interest and £118 million in taxation.</w:t>
      </w:r>
    </w:p>
    <w:p w:rsidR="00A7352B" w:rsidRPr="00F22393" w:rsidRDefault="00A7352B" w:rsidP="00F22393">
      <w:pPr>
        <w:jc w:val="left"/>
        <w:rPr>
          <w:rFonts w:ascii="Arial" w:hAnsi="Arial" w:cs="Arial"/>
          <w:sz w:val="24"/>
          <w:szCs w:val="24"/>
        </w:rPr>
      </w:pPr>
    </w:p>
    <w:p w:rsidR="00191239" w:rsidRDefault="00191239" w:rsidP="00191239">
      <w:pPr>
        <w:pStyle w:val="Default"/>
        <w:rPr>
          <w:rFonts w:ascii="Arial" w:eastAsia="Times New Roman" w:hAnsi="Arial" w:cs="Arial"/>
          <w:color w:val="auto"/>
        </w:rPr>
      </w:pPr>
      <w:r>
        <w:rPr>
          <w:rFonts w:ascii="Arial" w:eastAsia="Times New Roman" w:hAnsi="Arial" w:cs="Arial"/>
          <w:color w:val="auto"/>
        </w:rPr>
        <w:t xml:space="preserve">In 2013/14 Kingfisher acquired </w:t>
      </w:r>
      <w:r w:rsidRPr="00BE3FA6">
        <w:rPr>
          <w:rFonts w:ascii="Arial" w:eastAsia="Times New Roman" w:hAnsi="Arial" w:cs="Arial"/>
          <w:color w:val="auto"/>
        </w:rPr>
        <w:t xml:space="preserve">Bricostore in Romania and </w:t>
      </w:r>
      <w:r>
        <w:rPr>
          <w:rFonts w:ascii="Arial" w:eastAsia="Times New Roman" w:hAnsi="Arial" w:cs="Arial"/>
          <w:color w:val="auto"/>
        </w:rPr>
        <w:t xml:space="preserve">announced its intention to pilot four </w:t>
      </w:r>
      <w:r w:rsidRPr="00BE3FA6">
        <w:rPr>
          <w:rFonts w:ascii="Arial" w:eastAsia="Times New Roman" w:hAnsi="Arial" w:cs="Arial"/>
          <w:color w:val="auto"/>
        </w:rPr>
        <w:t xml:space="preserve">Screwfix </w:t>
      </w:r>
      <w:r>
        <w:rPr>
          <w:rFonts w:ascii="Arial" w:eastAsia="Times New Roman" w:hAnsi="Arial" w:cs="Arial"/>
          <w:color w:val="auto"/>
        </w:rPr>
        <w:t xml:space="preserve">outlets </w:t>
      </w:r>
      <w:r w:rsidRPr="00BE3FA6">
        <w:rPr>
          <w:rFonts w:ascii="Arial" w:eastAsia="Times New Roman" w:hAnsi="Arial" w:cs="Arial"/>
          <w:color w:val="auto"/>
        </w:rPr>
        <w:t>in Germany in 2014</w:t>
      </w:r>
      <w:r>
        <w:rPr>
          <w:rFonts w:ascii="Arial" w:eastAsia="Times New Roman" w:hAnsi="Arial" w:cs="Arial"/>
          <w:color w:val="auto"/>
        </w:rPr>
        <w:t xml:space="preserve">. At the same time Kingfisher undertook a review of its </w:t>
      </w:r>
      <w:r w:rsidRPr="00BE3FA6">
        <w:rPr>
          <w:rFonts w:ascii="Arial" w:eastAsia="Times New Roman" w:hAnsi="Arial" w:cs="Arial"/>
          <w:color w:val="auto"/>
        </w:rPr>
        <w:t>strategic investment in Hornbach</w:t>
      </w:r>
      <w:r>
        <w:rPr>
          <w:rFonts w:ascii="Arial" w:eastAsia="Times New Roman" w:hAnsi="Arial" w:cs="Arial"/>
          <w:color w:val="auto"/>
        </w:rPr>
        <w:t>, which has operations in both of these markets. O</w:t>
      </w:r>
      <w:r w:rsidRPr="00D54328">
        <w:rPr>
          <w:rFonts w:ascii="Arial" w:eastAsia="Times New Roman" w:hAnsi="Arial" w:cs="Arial"/>
          <w:color w:val="auto"/>
        </w:rPr>
        <w:t xml:space="preserve">n 31 January 2014 the Group decided to divest its equity stake </w:t>
      </w:r>
      <w:r>
        <w:rPr>
          <w:rFonts w:ascii="Arial" w:eastAsia="Times New Roman" w:hAnsi="Arial" w:cs="Arial"/>
          <w:color w:val="auto"/>
        </w:rPr>
        <w:t xml:space="preserve">in Hornbach </w:t>
      </w:r>
      <w:r w:rsidRPr="00D54328">
        <w:rPr>
          <w:rFonts w:ascii="Arial" w:eastAsia="Times New Roman" w:hAnsi="Arial" w:cs="Arial"/>
          <w:color w:val="auto"/>
        </w:rPr>
        <w:t>and also waive its right to appoint directors to the Hornbach board.</w:t>
      </w:r>
      <w:r>
        <w:rPr>
          <w:rFonts w:ascii="Arial" w:eastAsia="Times New Roman" w:hAnsi="Arial" w:cs="Arial"/>
          <w:color w:val="auto"/>
        </w:rPr>
        <w:t xml:space="preserve"> </w:t>
      </w:r>
    </w:p>
    <w:p w:rsidR="00191239" w:rsidRPr="006D46DE" w:rsidRDefault="00191239" w:rsidP="007678AD">
      <w:pPr>
        <w:jc w:val="left"/>
        <w:rPr>
          <w:rFonts w:ascii="Arial" w:eastAsia="Times New Roman" w:hAnsi="Arial" w:cs="Arial"/>
          <w:sz w:val="24"/>
          <w:szCs w:val="24"/>
        </w:rPr>
      </w:pPr>
      <w:r>
        <w:rPr>
          <w:rFonts w:ascii="Calibri" w:eastAsia="Times New Roman" w:hAnsi="Calibri" w:cs="Calibri"/>
          <w:color w:val="1F497D"/>
        </w:rPr>
        <w:br/>
      </w:r>
      <w:r w:rsidRPr="006D46DE">
        <w:rPr>
          <w:rFonts w:ascii="Arial" w:eastAsia="Times New Roman" w:hAnsi="Arial" w:cs="Arial"/>
          <w:sz w:val="24"/>
          <w:szCs w:val="24"/>
        </w:rPr>
        <w:t xml:space="preserve">This decision has impacted the 2013/14 financial statements by changing the basis on which the Group accounts for its shareholding, resulting in a net £14 million exceptional loss with the investment being impaired to its market value of £198 million and reclassified  as an asset held for sale. In 2013/14 the Group recorded a £14 million pre-exceptional profit in relation to its share of Hornbach’s results, comprising £26 million of retail profit less £12 million share of interest and tax. </w:t>
      </w:r>
    </w:p>
    <w:p w:rsidR="0063270F" w:rsidRDefault="0063270F" w:rsidP="00191239">
      <w:pPr>
        <w:pStyle w:val="Default"/>
        <w:rPr>
          <w:rFonts w:ascii="Arial" w:eastAsia="Times New Roman" w:hAnsi="Arial" w:cs="Arial"/>
          <w:color w:val="auto"/>
        </w:rPr>
      </w:pPr>
    </w:p>
    <w:p w:rsidR="0063270F" w:rsidRDefault="0063270F" w:rsidP="0063270F">
      <w:pPr>
        <w:pStyle w:val="Default"/>
        <w:rPr>
          <w:rFonts w:ascii="Verdana" w:hAnsi="Verdana" w:cs="Times New Roman"/>
          <w:lang w:val="de-DE"/>
        </w:rPr>
      </w:pPr>
      <w:r>
        <w:rPr>
          <w:rFonts w:ascii="Arial" w:hAnsi="Arial" w:cs="Arial"/>
          <w:color w:val="auto"/>
          <w:lang w:val="en-US"/>
        </w:rPr>
        <w:t xml:space="preserve">Following the end of the 2013/14 financial year, on 24 March 2014 Kingfisher </w:t>
      </w:r>
      <w:r w:rsidR="009307A2">
        <w:rPr>
          <w:rFonts w:ascii="Arial" w:hAnsi="Arial" w:cs="Arial"/>
          <w:color w:val="auto"/>
          <w:lang w:val="en-US"/>
        </w:rPr>
        <w:t>agreed to sell</w:t>
      </w:r>
      <w:r>
        <w:rPr>
          <w:rFonts w:ascii="Arial" w:hAnsi="Arial" w:cs="Arial"/>
          <w:color w:val="auto"/>
          <w:lang w:val="en-US"/>
        </w:rPr>
        <w:t xml:space="preserve"> all the shares it holds in Hornbach Holding AG and </w:t>
      </w:r>
      <w:proofErr w:type="spellStart"/>
      <w:r>
        <w:rPr>
          <w:rFonts w:ascii="Arial" w:hAnsi="Arial" w:cs="Arial"/>
          <w:color w:val="auto"/>
          <w:lang w:val="en-US"/>
        </w:rPr>
        <w:t>Hornbach-Baumarkt</w:t>
      </w:r>
      <w:proofErr w:type="spellEnd"/>
      <w:r>
        <w:rPr>
          <w:rFonts w:ascii="Arial" w:hAnsi="Arial" w:cs="Arial"/>
          <w:color w:val="auto"/>
          <w:lang w:val="en-US"/>
        </w:rPr>
        <w:t xml:space="preserve"> AG which together formed its 21.2% stake in Hornbach</w:t>
      </w:r>
      <w:r w:rsidR="009307A2">
        <w:rPr>
          <w:rFonts w:ascii="Arial" w:hAnsi="Arial" w:cs="Arial"/>
          <w:color w:val="auto"/>
          <w:lang w:val="en-US"/>
        </w:rPr>
        <w:t>,</w:t>
      </w:r>
      <w:r>
        <w:rPr>
          <w:rFonts w:ascii="Arial" w:hAnsi="Arial" w:cs="Arial"/>
          <w:color w:val="auto"/>
          <w:lang w:val="en-US"/>
        </w:rPr>
        <w:t xml:space="preserve"> for approximately £195 million. The stakes in the listed Hornbach Holding preference shares and </w:t>
      </w:r>
      <w:proofErr w:type="spellStart"/>
      <w:r>
        <w:rPr>
          <w:rFonts w:ascii="Arial" w:hAnsi="Arial" w:cs="Arial"/>
          <w:color w:val="auto"/>
          <w:lang w:val="en-US"/>
        </w:rPr>
        <w:t>Hornbach</w:t>
      </w:r>
      <w:proofErr w:type="spellEnd"/>
      <w:r>
        <w:rPr>
          <w:rFonts w:ascii="Arial" w:hAnsi="Arial" w:cs="Arial"/>
          <w:color w:val="auto"/>
          <w:lang w:val="en-US"/>
        </w:rPr>
        <w:t xml:space="preserve"> </w:t>
      </w:r>
      <w:proofErr w:type="spellStart"/>
      <w:r>
        <w:rPr>
          <w:rFonts w:ascii="Arial" w:hAnsi="Arial" w:cs="Arial"/>
          <w:color w:val="auto"/>
          <w:lang w:val="en-US"/>
        </w:rPr>
        <w:t>Baumarkt</w:t>
      </w:r>
      <w:proofErr w:type="spellEnd"/>
      <w:r>
        <w:rPr>
          <w:rFonts w:ascii="Arial" w:hAnsi="Arial" w:cs="Arial"/>
          <w:color w:val="auto"/>
          <w:lang w:val="en-US"/>
        </w:rPr>
        <w:t xml:space="preserve"> have been sold to international institutional investors in an </w:t>
      </w:r>
      <w:r w:rsidR="00E619A3">
        <w:rPr>
          <w:rFonts w:ascii="Arial" w:hAnsi="Arial" w:cs="Arial"/>
          <w:color w:val="auto"/>
          <w:lang w:val="en-US"/>
        </w:rPr>
        <w:t>‘a</w:t>
      </w:r>
      <w:r>
        <w:rPr>
          <w:rFonts w:ascii="Arial" w:hAnsi="Arial" w:cs="Arial"/>
          <w:color w:val="auto"/>
          <w:lang w:val="en-US"/>
        </w:rPr>
        <w:t xml:space="preserve">ccelerated </w:t>
      </w:r>
      <w:proofErr w:type="spellStart"/>
      <w:r w:rsidR="00E619A3">
        <w:rPr>
          <w:rFonts w:ascii="Arial" w:hAnsi="Arial" w:cs="Arial"/>
          <w:color w:val="auto"/>
          <w:lang w:val="en-US"/>
        </w:rPr>
        <w:t>b</w:t>
      </w:r>
      <w:r>
        <w:rPr>
          <w:rFonts w:ascii="Arial" w:hAnsi="Arial" w:cs="Arial"/>
          <w:color w:val="auto"/>
          <w:lang w:val="en-US"/>
        </w:rPr>
        <w:t>ookbuilding</w:t>
      </w:r>
      <w:proofErr w:type="spellEnd"/>
      <w:r w:rsidR="00E619A3">
        <w:rPr>
          <w:rFonts w:ascii="Arial" w:hAnsi="Arial" w:cs="Arial"/>
          <w:color w:val="auto"/>
          <w:lang w:val="en-US"/>
        </w:rPr>
        <w:t>’</w:t>
      </w:r>
      <w:r>
        <w:rPr>
          <w:rFonts w:ascii="Arial" w:hAnsi="Arial" w:cs="Arial"/>
          <w:color w:val="auto"/>
          <w:lang w:val="en-US"/>
        </w:rPr>
        <w:t xml:space="preserve"> by </w:t>
      </w:r>
      <w:proofErr w:type="spellStart"/>
      <w:r>
        <w:rPr>
          <w:rFonts w:ascii="Arial" w:hAnsi="Arial" w:cs="Arial"/>
          <w:color w:val="auto"/>
          <w:lang w:val="en-US"/>
        </w:rPr>
        <w:t>Berenberg</w:t>
      </w:r>
      <w:proofErr w:type="spellEnd"/>
      <w:r>
        <w:rPr>
          <w:rFonts w:ascii="Arial" w:hAnsi="Arial" w:cs="Arial"/>
          <w:color w:val="auto"/>
          <w:lang w:val="en-US"/>
        </w:rPr>
        <w:t xml:space="preserve"> Bank.</w:t>
      </w:r>
      <w:r w:rsidR="009307A2">
        <w:rPr>
          <w:rFonts w:ascii="Arial" w:hAnsi="Arial" w:cs="Arial"/>
          <w:color w:val="auto"/>
          <w:lang w:val="en-US"/>
        </w:rPr>
        <w:t xml:space="preserve"> The Hornbach family have agreed to buy</w:t>
      </w:r>
      <w:r>
        <w:rPr>
          <w:rFonts w:ascii="Arial" w:hAnsi="Arial" w:cs="Arial"/>
          <w:color w:val="auto"/>
          <w:lang w:val="en-US"/>
        </w:rPr>
        <w:t xml:space="preserve"> </w:t>
      </w:r>
      <w:r w:rsidR="009307A2">
        <w:rPr>
          <w:rFonts w:ascii="Arial" w:hAnsi="Arial" w:cs="Arial"/>
          <w:color w:val="auto"/>
          <w:lang w:val="en-US"/>
        </w:rPr>
        <w:t>t</w:t>
      </w:r>
      <w:r>
        <w:rPr>
          <w:rFonts w:ascii="Arial" w:hAnsi="Arial" w:cs="Arial"/>
          <w:color w:val="auto"/>
          <w:lang w:val="en-US"/>
        </w:rPr>
        <w:t>he non-listed ordinary shares in Hornbach Holding</w:t>
      </w:r>
      <w:r w:rsidR="009307A2">
        <w:rPr>
          <w:rFonts w:ascii="Arial" w:hAnsi="Arial" w:cs="Arial"/>
          <w:color w:val="auto"/>
          <w:lang w:val="en-US"/>
        </w:rPr>
        <w:t xml:space="preserve"> AG. </w:t>
      </w:r>
      <w:r>
        <w:rPr>
          <w:rFonts w:ascii="Arial" w:hAnsi="Arial" w:cs="Arial"/>
          <w:color w:val="auto"/>
          <w:lang w:val="en-US"/>
        </w:rPr>
        <w:t xml:space="preserve"> </w:t>
      </w:r>
    </w:p>
    <w:p w:rsidR="003954FA" w:rsidRDefault="003954FA" w:rsidP="00A64D40">
      <w:pPr>
        <w:jc w:val="left"/>
        <w:rPr>
          <w:rFonts w:ascii="Arial" w:hAnsi="Arial" w:cs="Arial"/>
          <w:sz w:val="24"/>
          <w:szCs w:val="24"/>
        </w:rPr>
      </w:pPr>
    </w:p>
    <w:p w:rsidR="00A7352B" w:rsidRDefault="00A7352B" w:rsidP="00A7352B">
      <w:pPr>
        <w:jc w:val="left"/>
        <w:rPr>
          <w:rFonts w:ascii="Arial" w:hAnsi="Arial" w:cs="Arial"/>
          <w:sz w:val="24"/>
          <w:szCs w:val="24"/>
        </w:rPr>
      </w:pPr>
      <w:r w:rsidRPr="00FA103C">
        <w:rPr>
          <w:rFonts w:ascii="Arial" w:hAnsi="Arial" w:cs="Arial" w:hint="eastAsia"/>
          <w:sz w:val="24"/>
          <w:szCs w:val="24"/>
        </w:rPr>
        <w:t>Acquisition and integration costs of £5</w:t>
      </w:r>
      <w:r w:rsidR="0015666B">
        <w:rPr>
          <w:rFonts w:ascii="Arial" w:hAnsi="Arial" w:cs="Arial"/>
          <w:sz w:val="24"/>
          <w:szCs w:val="24"/>
        </w:rPr>
        <w:t xml:space="preserve"> </w:t>
      </w:r>
      <w:r w:rsidRPr="00FA103C">
        <w:rPr>
          <w:rFonts w:ascii="Arial" w:hAnsi="Arial" w:cs="Arial" w:hint="eastAsia"/>
          <w:sz w:val="24"/>
          <w:szCs w:val="24"/>
        </w:rPr>
        <w:t>m</w:t>
      </w:r>
      <w:r w:rsidR="0015666B">
        <w:rPr>
          <w:rFonts w:ascii="Arial" w:hAnsi="Arial" w:cs="Arial"/>
          <w:sz w:val="24"/>
          <w:szCs w:val="24"/>
        </w:rPr>
        <w:t>illion</w:t>
      </w:r>
      <w:r w:rsidRPr="00FA103C">
        <w:rPr>
          <w:rFonts w:ascii="Arial" w:hAnsi="Arial" w:cs="Arial" w:hint="eastAsia"/>
          <w:sz w:val="24"/>
          <w:szCs w:val="24"/>
        </w:rPr>
        <w:t xml:space="preserve"> principally comprise costs of acquiring and integrating the Bricostore Romania business.</w:t>
      </w:r>
    </w:p>
    <w:p w:rsidR="00A7352B" w:rsidRDefault="00A7352B" w:rsidP="00A7352B">
      <w:pPr>
        <w:jc w:val="left"/>
        <w:rPr>
          <w:rFonts w:ascii="Arial" w:hAnsi="Arial" w:cs="Arial"/>
          <w:sz w:val="24"/>
          <w:szCs w:val="24"/>
        </w:rPr>
      </w:pPr>
    </w:p>
    <w:p w:rsidR="00A7352B" w:rsidRPr="00AD5C6A" w:rsidRDefault="00A7352B" w:rsidP="00A7352B">
      <w:pPr>
        <w:jc w:val="left"/>
        <w:rPr>
          <w:rFonts w:ascii="Arial" w:hAnsi="Arial" w:cs="Arial"/>
          <w:sz w:val="24"/>
          <w:szCs w:val="24"/>
        </w:rPr>
      </w:pPr>
      <w:r w:rsidRPr="00AD5C6A">
        <w:rPr>
          <w:rFonts w:ascii="Arial" w:hAnsi="Arial" w:cs="Arial"/>
          <w:sz w:val="24"/>
          <w:szCs w:val="24"/>
        </w:rPr>
        <w:t xml:space="preserve">The current </w:t>
      </w:r>
      <w:r>
        <w:rPr>
          <w:rFonts w:ascii="Arial" w:hAnsi="Arial" w:cs="Arial"/>
          <w:sz w:val="24"/>
          <w:szCs w:val="24"/>
        </w:rPr>
        <w:t>year</w:t>
      </w:r>
      <w:r w:rsidRPr="00AD5C6A">
        <w:rPr>
          <w:rFonts w:ascii="Arial" w:hAnsi="Arial" w:cs="Arial"/>
          <w:sz w:val="24"/>
          <w:szCs w:val="24"/>
        </w:rPr>
        <w:t xml:space="preserve"> also includes an exceptional credit of £7</w:t>
      </w:r>
      <w:r w:rsidR="0015666B">
        <w:rPr>
          <w:rFonts w:ascii="Arial" w:hAnsi="Arial" w:cs="Arial"/>
          <w:sz w:val="24"/>
          <w:szCs w:val="24"/>
        </w:rPr>
        <w:t xml:space="preserve"> </w:t>
      </w:r>
      <w:r w:rsidRPr="00AD5C6A">
        <w:rPr>
          <w:rFonts w:ascii="Arial" w:hAnsi="Arial" w:cs="Arial"/>
          <w:sz w:val="24"/>
          <w:szCs w:val="24"/>
        </w:rPr>
        <w:t>million for Ireland restructuring, reflecting the release of provisions recorded in January 2013 when B&amp;Q Ireland entered</w:t>
      </w:r>
      <w:r w:rsidR="0015666B">
        <w:rPr>
          <w:rFonts w:ascii="Arial" w:hAnsi="Arial" w:cs="Arial"/>
          <w:sz w:val="24"/>
          <w:szCs w:val="24"/>
        </w:rPr>
        <w:t xml:space="preserve"> into an Examinership process. Following the conclusion of this process</w:t>
      </w:r>
      <w:r w:rsidRPr="00AD5C6A">
        <w:rPr>
          <w:rFonts w:ascii="Arial" w:hAnsi="Arial" w:cs="Arial"/>
          <w:sz w:val="24"/>
          <w:szCs w:val="24"/>
        </w:rPr>
        <w:t xml:space="preserve"> in May 2013</w:t>
      </w:r>
      <w:r w:rsidR="0015666B">
        <w:rPr>
          <w:rFonts w:ascii="Arial" w:hAnsi="Arial" w:cs="Arial"/>
          <w:sz w:val="24"/>
          <w:szCs w:val="24"/>
        </w:rPr>
        <w:t xml:space="preserve">, only one store was closed </w:t>
      </w:r>
      <w:r w:rsidRPr="00AD5C6A">
        <w:rPr>
          <w:rFonts w:ascii="Arial" w:hAnsi="Arial" w:cs="Arial"/>
          <w:sz w:val="24"/>
          <w:szCs w:val="24"/>
        </w:rPr>
        <w:t xml:space="preserve">rather than </w:t>
      </w:r>
      <w:r w:rsidR="0015666B">
        <w:rPr>
          <w:rFonts w:ascii="Arial" w:hAnsi="Arial" w:cs="Arial"/>
          <w:sz w:val="24"/>
          <w:szCs w:val="24"/>
        </w:rPr>
        <w:t>the potential of</w:t>
      </w:r>
      <w:r w:rsidRPr="00AD5C6A">
        <w:rPr>
          <w:rFonts w:ascii="Arial" w:hAnsi="Arial" w:cs="Arial"/>
          <w:sz w:val="24"/>
          <w:szCs w:val="24"/>
        </w:rPr>
        <w:t xml:space="preserve"> five</w:t>
      </w:r>
      <w:r w:rsidR="0015666B">
        <w:rPr>
          <w:rFonts w:ascii="Arial" w:hAnsi="Arial" w:cs="Arial"/>
          <w:sz w:val="24"/>
          <w:szCs w:val="24"/>
        </w:rPr>
        <w:t>,</w:t>
      </w:r>
      <w:r w:rsidRPr="00AD5C6A">
        <w:rPr>
          <w:rFonts w:ascii="Arial" w:hAnsi="Arial" w:cs="Arial"/>
          <w:sz w:val="24"/>
          <w:szCs w:val="24"/>
        </w:rPr>
        <w:t xml:space="preserve"> with over 600 jobs saved.</w:t>
      </w:r>
    </w:p>
    <w:p w:rsidR="00A7352B" w:rsidRDefault="00A7352B" w:rsidP="00A7352B">
      <w:pPr>
        <w:jc w:val="left"/>
        <w:rPr>
          <w:rFonts w:ascii="Arial" w:hAnsi="Arial" w:cs="Arial"/>
          <w:b/>
          <w:bCs/>
          <w:color w:val="FF0000"/>
          <w:sz w:val="24"/>
          <w:szCs w:val="24"/>
        </w:rPr>
      </w:pPr>
    </w:p>
    <w:p w:rsidR="00A7352B" w:rsidRDefault="00A7352B" w:rsidP="00A7352B">
      <w:pPr>
        <w:jc w:val="left"/>
        <w:rPr>
          <w:rFonts w:ascii="Arial" w:hAnsi="Arial" w:cs="Arial"/>
          <w:b/>
          <w:bCs/>
          <w:color w:val="FF0000"/>
          <w:sz w:val="24"/>
          <w:szCs w:val="24"/>
        </w:rPr>
      </w:pPr>
      <w:r w:rsidRPr="00C82F88">
        <w:rPr>
          <w:rFonts w:ascii="Arial" w:hAnsi="Arial" w:cs="Arial"/>
          <w:b/>
          <w:bCs/>
          <w:sz w:val="24"/>
          <w:szCs w:val="24"/>
        </w:rPr>
        <w:t>Earnings per share</w:t>
      </w:r>
    </w:p>
    <w:p w:rsidR="00A7352B" w:rsidRDefault="00A7352B" w:rsidP="00A7352B">
      <w:pPr>
        <w:jc w:val="left"/>
        <w:rPr>
          <w:rFonts w:ascii="Arial" w:hAnsi="Arial" w:cs="Arial"/>
          <w:b/>
          <w:bCs/>
          <w:color w:val="FF0000"/>
          <w:sz w:val="24"/>
          <w:szCs w:val="24"/>
        </w:rPr>
      </w:pPr>
    </w:p>
    <w:p w:rsidR="00A7352B" w:rsidRDefault="00A7352B" w:rsidP="00A7352B">
      <w:pPr>
        <w:jc w:val="left"/>
        <w:rPr>
          <w:rFonts w:ascii="Arial" w:hAnsi="Arial" w:cs="Arial"/>
          <w:sz w:val="24"/>
          <w:szCs w:val="24"/>
        </w:rPr>
      </w:pPr>
      <w:r w:rsidRPr="0045089B">
        <w:rPr>
          <w:rFonts w:ascii="Arial" w:hAnsi="Arial" w:cs="Arial" w:hint="eastAsia"/>
          <w:sz w:val="24"/>
          <w:szCs w:val="24"/>
        </w:rPr>
        <w:t xml:space="preserve">Basic earnings per share (EPS) have </w:t>
      </w:r>
      <w:r w:rsidRPr="0045089B">
        <w:rPr>
          <w:rFonts w:ascii="Arial" w:hAnsi="Arial" w:cs="Arial"/>
          <w:sz w:val="24"/>
          <w:szCs w:val="24"/>
        </w:rPr>
        <w:t>increased</w:t>
      </w:r>
      <w:r w:rsidRPr="0045089B">
        <w:rPr>
          <w:rFonts w:ascii="Arial" w:hAnsi="Arial" w:cs="Arial" w:hint="eastAsia"/>
          <w:sz w:val="24"/>
          <w:szCs w:val="24"/>
        </w:rPr>
        <w:t xml:space="preserve"> by </w:t>
      </w:r>
      <w:r w:rsidRPr="0045089B">
        <w:rPr>
          <w:rFonts w:ascii="Arial" w:hAnsi="Arial" w:cs="Arial"/>
          <w:sz w:val="24"/>
          <w:szCs w:val="24"/>
        </w:rPr>
        <w:t>2</w:t>
      </w:r>
      <w:r>
        <w:rPr>
          <w:rFonts w:ascii="Arial" w:hAnsi="Arial" w:cs="Arial"/>
          <w:sz w:val="24"/>
          <w:szCs w:val="24"/>
        </w:rPr>
        <w:t>4.5</w:t>
      </w:r>
      <w:r w:rsidRPr="0045089B">
        <w:rPr>
          <w:rFonts w:ascii="Arial" w:hAnsi="Arial" w:cs="Arial" w:hint="eastAsia"/>
          <w:sz w:val="24"/>
          <w:szCs w:val="24"/>
        </w:rPr>
        <w:t xml:space="preserve">% to </w:t>
      </w:r>
      <w:r w:rsidRPr="0045089B">
        <w:rPr>
          <w:rFonts w:ascii="Arial" w:hAnsi="Arial" w:cs="Arial"/>
          <w:sz w:val="24"/>
          <w:szCs w:val="24"/>
        </w:rPr>
        <w:t>30.</w:t>
      </w:r>
      <w:r>
        <w:rPr>
          <w:rFonts w:ascii="Arial" w:hAnsi="Arial" w:cs="Arial"/>
          <w:sz w:val="24"/>
          <w:szCs w:val="24"/>
        </w:rPr>
        <w:t>0</w:t>
      </w:r>
      <w:r w:rsidRPr="0045089B">
        <w:rPr>
          <w:rFonts w:ascii="Arial" w:hAnsi="Arial" w:cs="Arial"/>
          <w:sz w:val="24"/>
          <w:szCs w:val="24"/>
        </w:rPr>
        <w:t>p</w:t>
      </w:r>
      <w:r w:rsidRPr="0045089B">
        <w:rPr>
          <w:rFonts w:ascii="Arial" w:hAnsi="Arial" w:cs="Arial" w:hint="eastAsia"/>
          <w:sz w:val="24"/>
          <w:szCs w:val="24"/>
        </w:rPr>
        <w:t xml:space="preserve"> (201</w:t>
      </w:r>
      <w:r w:rsidRPr="0045089B">
        <w:rPr>
          <w:rFonts w:ascii="Arial" w:hAnsi="Arial" w:cs="Arial"/>
          <w:sz w:val="24"/>
          <w:szCs w:val="24"/>
        </w:rPr>
        <w:t>2</w:t>
      </w:r>
      <w:r w:rsidRPr="0045089B">
        <w:rPr>
          <w:rFonts w:ascii="Arial" w:hAnsi="Arial" w:cs="Arial" w:hint="eastAsia"/>
          <w:sz w:val="24"/>
          <w:szCs w:val="24"/>
        </w:rPr>
        <w:t>/1</w:t>
      </w:r>
      <w:r w:rsidRPr="0045089B">
        <w:rPr>
          <w:rFonts w:ascii="Arial" w:hAnsi="Arial" w:cs="Arial"/>
          <w:sz w:val="24"/>
          <w:szCs w:val="24"/>
        </w:rPr>
        <w:t>3</w:t>
      </w:r>
      <w:r w:rsidRPr="0045089B">
        <w:rPr>
          <w:rFonts w:ascii="Arial" w:hAnsi="Arial" w:cs="Arial" w:hint="eastAsia"/>
          <w:sz w:val="24"/>
          <w:szCs w:val="24"/>
        </w:rPr>
        <w:t>: 2</w:t>
      </w:r>
      <w:r w:rsidRPr="0045089B">
        <w:rPr>
          <w:rFonts w:ascii="Arial" w:hAnsi="Arial" w:cs="Arial"/>
          <w:sz w:val="24"/>
          <w:szCs w:val="24"/>
        </w:rPr>
        <w:t>4</w:t>
      </w:r>
      <w:r w:rsidRPr="0045089B">
        <w:rPr>
          <w:rFonts w:ascii="Arial" w:hAnsi="Arial" w:cs="Arial" w:hint="eastAsia"/>
          <w:sz w:val="24"/>
          <w:szCs w:val="24"/>
        </w:rPr>
        <w:t>.</w:t>
      </w:r>
      <w:r w:rsidRPr="0045089B">
        <w:rPr>
          <w:rFonts w:ascii="Arial" w:hAnsi="Arial" w:cs="Arial"/>
          <w:sz w:val="24"/>
          <w:szCs w:val="24"/>
        </w:rPr>
        <w:t>1</w:t>
      </w:r>
      <w:r w:rsidRPr="0045089B">
        <w:rPr>
          <w:rFonts w:ascii="Arial" w:hAnsi="Arial" w:cs="Arial" w:hint="eastAsia"/>
          <w:sz w:val="24"/>
          <w:szCs w:val="24"/>
        </w:rPr>
        <w:t>p). On a more comparable basis, removing the impact of exceptional items, financing fair value remeasurements and the effect of prior year tax adjustments, adjusted</w:t>
      </w:r>
      <w:r w:rsidR="007F7FFA">
        <w:rPr>
          <w:rFonts w:ascii="Arial" w:hAnsi="Arial" w:cs="Arial"/>
          <w:sz w:val="24"/>
          <w:szCs w:val="24"/>
        </w:rPr>
        <w:t xml:space="preserve"> </w:t>
      </w:r>
      <w:r w:rsidRPr="0045089B">
        <w:rPr>
          <w:rFonts w:ascii="Arial" w:hAnsi="Arial" w:cs="Arial" w:hint="eastAsia"/>
          <w:sz w:val="24"/>
          <w:szCs w:val="24"/>
        </w:rPr>
        <w:t xml:space="preserve">basic earnings per share </w:t>
      </w:r>
      <w:r w:rsidRPr="0045089B">
        <w:rPr>
          <w:rFonts w:ascii="Arial" w:hAnsi="Arial" w:cs="Arial"/>
          <w:sz w:val="24"/>
          <w:szCs w:val="24"/>
        </w:rPr>
        <w:t>increased</w:t>
      </w:r>
      <w:r w:rsidRPr="0045089B">
        <w:rPr>
          <w:rFonts w:ascii="Arial" w:hAnsi="Arial" w:cs="Arial" w:hint="eastAsia"/>
          <w:sz w:val="24"/>
          <w:szCs w:val="24"/>
        </w:rPr>
        <w:t xml:space="preserve"> by </w:t>
      </w:r>
      <w:r>
        <w:rPr>
          <w:rFonts w:ascii="Arial" w:hAnsi="Arial" w:cs="Arial"/>
          <w:sz w:val="24"/>
          <w:szCs w:val="24"/>
        </w:rPr>
        <w:t>4.9</w:t>
      </w:r>
      <w:r w:rsidRPr="0045089B">
        <w:rPr>
          <w:rFonts w:ascii="Arial" w:hAnsi="Arial" w:cs="Arial" w:hint="eastAsia"/>
          <w:sz w:val="24"/>
          <w:szCs w:val="24"/>
        </w:rPr>
        <w:t xml:space="preserve">% to </w:t>
      </w:r>
      <w:r w:rsidRPr="0045089B">
        <w:rPr>
          <w:rFonts w:ascii="Arial" w:hAnsi="Arial" w:cs="Arial"/>
          <w:sz w:val="24"/>
          <w:szCs w:val="24"/>
        </w:rPr>
        <w:t>2</w:t>
      </w:r>
      <w:r>
        <w:rPr>
          <w:rFonts w:ascii="Arial" w:hAnsi="Arial" w:cs="Arial"/>
          <w:sz w:val="24"/>
          <w:szCs w:val="24"/>
        </w:rPr>
        <w:t>3.4</w:t>
      </w:r>
      <w:r w:rsidRPr="0045089B">
        <w:rPr>
          <w:rFonts w:ascii="Arial" w:hAnsi="Arial" w:cs="Arial"/>
          <w:sz w:val="24"/>
          <w:szCs w:val="24"/>
        </w:rPr>
        <w:t>p</w:t>
      </w:r>
      <w:r w:rsidRPr="0045089B">
        <w:rPr>
          <w:rFonts w:ascii="Arial" w:hAnsi="Arial" w:cs="Arial" w:hint="eastAsia"/>
          <w:sz w:val="24"/>
          <w:szCs w:val="24"/>
        </w:rPr>
        <w:t xml:space="preserve"> (201</w:t>
      </w:r>
      <w:r w:rsidRPr="0045089B">
        <w:rPr>
          <w:rFonts w:ascii="Arial" w:hAnsi="Arial" w:cs="Arial"/>
          <w:sz w:val="24"/>
          <w:szCs w:val="24"/>
        </w:rPr>
        <w:t>2</w:t>
      </w:r>
      <w:r w:rsidRPr="0045089B">
        <w:rPr>
          <w:rFonts w:ascii="Arial" w:hAnsi="Arial" w:cs="Arial" w:hint="eastAsia"/>
          <w:sz w:val="24"/>
          <w:szCs w:val="24"/>
        </w:rPr>
        <w:t>/1</w:t>
      </w:r>
      <w:r w:rsidRPr="0045089B">
        <w:rPr>
          <w:rFonts w:ascii="Arial" w:hAnsi="Arial" w:cs="Arial"/>
          <w:sz w:val="24"/>
          <w:szCs w:val="24"/>
        </w:rPr>
        <w:t>3</w:t>
      </w:r>
      <w:r w:rsidRPr="0045089B">
        <w:rPr>
          <w:rFonts w:ascii="Arial" w:hAnsi="Arial" w:cs="Arial" w:hint="eastAsia"/>
          <w:sz w:val="24"/>
          <w:szCs w:val="24"/>
        </w:rPr>
        <w:t>: 2</w:t>
      </w:r>
      <w:r w:rsidRPr="0045089B">
        <w:rPr>
          <w:rFonts w:ascii="Arial" w:hAnsi="Arial" w:cs="Arial"/>
          <w:sz w:val="24"/>
          <w:szCs w:val="24"/>
        </w:rPr>
        <w:t>2</w:t>
      </w:r>
      <w:r w:rsidRPr="0045089B">
        <w:rPr>
          <w:rFonts w:ascii="Arial" w:hAnsi="Arial" w:cs="Arial" w:hint="eastAsia"/>
          <w:sz w:val="24"/>
          <w:szCs w:val="24"/>
        </w:rPr>
        <w:t>.</w:t>
      </w:r>
      <w:r w:rsidRPr="0045089B">
        <w:rPr>
          <w:rFonts w:ascii="Arial" w:hAnsi="Arial" w:cs="Arial"/>
          <w:sz w:val="24"/>
          <w:szCs w:val="24"/>
        </w:rPr>
        <w:t>3</w:t>
      </w:r>
      <w:r w:rsidRPr="0045089B">
        <w:rPr>
          <w:rFonts w:ascii="Arial" w:hAnsi="Arial" w:cs="Arial" w:hint="eastAsia"/>
          <w:sz w:val="24"/>
          <w:szCs w:val="24"/>
        </w:rPr>
        <w:t>p).</w:t>
      </w:r>
      <w:r w:rsidRPr="00C82F88">
        <w:rPr>
          <w:rFonts w:ascii="Arial" w:hAnsi="Arial" w:cs="Arial" w:hint="eastAsia"/>
          <w:sz w:val="24"/>
          <w:szCs w:val="24"/>
        </w:rPr>
        <w:t xml:space="preserve"> </w:t>
      </w:r>
    </w:p>
    <w:p w:rsidR="00A7352B" w:rsidRDefault="00A7352B" w:rsidP="00A7352B">
      <w:pPr>
        <w:jc w:val="left"/>
        <w:rPr>
          <w:rFonts w:ascii="Arial" w:hAnsi="Arial" w:cs="Arial"/>
          <w:b/>
          <w:bCs/>
          <w:color w:val="FF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5"/>
        <w:gridCol w:w="1408"/>
        <w:gridCol w:w="1408"/>
        <w:gridCol w:w="1190"/>
        <w:gridCol w:w="1190"/>
      </w:tblGrid>
      <w:tr w:rsidR="00A7352B" w:rsidRPr="00F53F2D" w:rsidTr="00A7352B">
        <w:tc>
          <w:tcPr>
            <w:tcW w:w="2305" w:type="pct"/>
            <w:tcBorders>
              <w:bottom w:val="single" w:sz="4" w:space="0" w:color="auto"/>
            </w:tcBorders>
          </w:tcPr>
          <w:p w:rsidR="00A7352B" w:rsidRPr="00E530B3" w:rsidRDefault="00A7352B" w:rsidP="00A7352B">
            <w:pPr>
              <w:rPr>
                <w:rFonts w:ascii="Arial" w:hAnsi="Arial" w:cs="Arial"/>
                <w:sz w:val="24"/>
                <w:szCs w:val="24"/>
              </w:rPr>
            </w:pPr>
          </w:p>
        </w:tc>
        <w:tc>
          <w:tcPr>
            <w:tcW w:w="730" w:type="pct"/>
            <w:tcBorders>
              <w:bottom w:val="single" w:sz="4" w:space="0" w:color="auto"/>
            </w:tcBorders>
          </w:tcPr>
          <w:p w:rsidR="00A7352B" w:rsidRDefault="00A7352B" w:rsidP="00A7352B">
            <w:pPr>
              <w:jc w:val="right"/>
              <w:rPr>
                <w:rFonts w:ascii="Arial" w:hAnsi="Arial" w:cs="Arial"/>
                <w:b/>
                <w:sz w:val="24"/>
                <w:szCs w:val="24"/>
              </w:rPr>
            </w:pPr>
            <w:r>
              <w:rPr>
                <w:rFonts w:ascii="Arial" w:hAnsi="Arial" w:cs="Arial"/>
                <w:b/>
                <w:sz w:val="24"/>
                <w:szCs w:val="24"/>
              </w:rPr>
              <w:t>Earnings</w:t>
            </w:r>
          </w:p>
          <w:p w:rsidR="00A7352B" w:rsidRDefault="00A7352B" w:rsidP="00A7352B">
            <w:pPr>
              <w:jc w:val="right"/>
              <w:rPr>
                <w:rFonts w:ascii="Arial" w:hAnsi="Arial" w:cs="Arial"/>
                <w:b/>
                <w:sz w:val="24"/>
                <w:szCs w:val="24"/>
              </w:rPr>
            </w:pPr>
            <w:r>
              <w:rPr>
                <w:rFonts w:ascii="Arial" w:hAnsi="Arial" w:cs="Arial"/>
                <w:b/>
                <w:sz w:val="24"/>
                <w:szCs w:val="24"/>
              </w:rPr>
              <w:t>£m</w:t>
            </w:r>
          </w:p>
        </w:tc>
        <w:tc>
          <w:tcPr>
            <w:tcW w:w="730" w:type="pct"/>
            <w:tcBorders>
              <w:bottom w:val="single" w:sz="4" w:space="0" w:color="auto"/>
            </w:tcBorders>
          </w:tcPr>
          <w:p w:rsidR="00A7352B" w:rsidRPr="00D327BC" w:rsidRDefault="00A7352B" w:rsidP="00A7352B">
            <w:pPr>
              <w:jc w:val="right"/>
              <w:rPr>
                <w:rFonts w:ascii="Arial" w:hAnsi="Arial" w:cs="Arial"/>
                <w:b/>
                <w:sz w:val="24"/>
                <w:szCs w:val="24"/>
              </w:rPr>
            </w:pPr>
            <w:r>
              <w:rPr>
                <w:rFonts w:ascii="Arial" w:hAnsi="Arial" w:cs="Arial"/>
                <w:b/>
                <w:sz w:val="24"/>
                <w:szCs w:val="24"/>
              </w:rPr>
              <w:t>2013/14</w:t>
            </w:r>
          </w:p>
        </w:tc>
        <w:tc>
          <w:tcPr>
            <w:tcW w:w="617" w:type="pct"/>
            <w:tcBorders>
              <w:bottom w:val="single" w:sz="4" w:space="0" w:color="auto"/>
            </w:tcBorders>
          </w:tcPr>
          <w:p w:rsidR="00A7352B" w:rsidRPr="00DE36C0" w:rsidRDefault="00A7352B" w:rsidP="00A7352B">
            <w:pPr>
              <w:jc w:val="right"/>
              <w:rPr>
                <w:rFonts w:ascii="Arial" w:hAnsi="Arial" w:cs="Arial"/>
                <w:sz w:val="24"/>
                <w:szCs w:val="24"/>
              </w:rPr>
            </w:pPr>
            <w:r w:rsidRPr="00DE36C0">
              <w:rPr>
                <w:rFonts w:ascii="Arial" w:hAnsi="Arial" w:cs="Arial"/>
                <w:sz w:val="24"/>
                <w:szCs w:val="24"/>
              </w:rPr>
              <w:t>Earnings</w:t>
            </w:r>
          </w:p>
          <w:p w:rsidR="00A7352B" w:rsidRPr="00DE36C0" w:rsidRDefault="00A7352B" w:rsidP="00A7352B">
            <w:pPr>
              <w:jc w:val="right"/>
              <w:rPr>
                <w:rFonts w:ascii="Arial" w:hAnsi="Arial" w:cs="Arial"/>
                <w:sz w:val="24"/>
                <w:szCs w:val="24"/>
              </w:rPr>
            </w:pPr>
            <w:r w:rsidRPr="00DE36C0">
              <w:rPr>
                <w:rFonts w:ascii="Arial" w:hAnsi="Arial" w:cs="Arial"/>
                <w:sz w:val="24"/>
                <w:szCs w:val="24"/>
              </w:rPr>
              <w:t>£m</w:t>
            </w:r>
          </w:p>
        </w:tc>
        <w:tc>
          <w:tcPr>
            <w:tcW w:w="617" w:type="pct"/>
            <w:tcBorders>
              <w:bottom w:val="single" w:sz="4" w:space="0" w:color="auto"/>
            </w:tcBorders>
          </w:tcPr>
          <w:p w:rsidR="00A7352B" w:rsidRPr="00B65AB3" w:rsidRDefault="00A7352B" w:rsidP="00A7352B">
            <w:pPr>
              <w:jc w:val="right"/>
              <w:rPr>
                <w:rFonts w:ascii="Arial" w:hAnsi="Arial" w:cs="Arial"/>
                <w:sz w:val="24"/>
                <w:szCs w:val="24"/>
              </w:rPr>
            </w:pPr>
            <w:r w:rsidRPr="00B65AB3">
              <w:rPr>
                <w:rFonts w:ascii="Arial" w:hAnsi="Arial" w:cs="Arial"/>
                <w:sz w:val="24"/>
                <w:szCs w:val="24"/>
              </w:rPr>
              <w:t>2012/13</w:t>
            </w:r>
          </w:p>
        </w:tc>
      </w:tr>
      <w:tr w:rsidR="00A7352B" w:rsidRPr="004859B4" w:rsidTr="00A7352B">
        <w:tc>
          <w:tcPr>
            <w:tcW w:w="2305" w:type="pct"/>
            <w:tcBorders>
              <w:top w:val="single" w:sz="4" w:space="0" w:color="auto"/>
            </w:tcBorders>
          </w:tcPr>
          <w:p w:rsidR="00A7352B" w:rsidRPr="00E530B3" w:rsidRDefault="00A7352B" w:rsidP="00A7352B">
            <w:pPr>
              <w:rPr>
                <w:rFonts w:ascii="Arial" w:hAnsi="Arial" w:cs="Arial"/>
                <w:sz w:val="24"/>
                <w:szCs w:val="24"/>
              </w:rPr>
            </w:pPr>
            <w:r w:rsidRPr="00E530B3">
              <w:rPr>
                <w:rFonts w:ascii="Arial" w:hAnsi="Arial" w:cs="Arial"/>
                <w:sz w:val="24"/>
                <w:szCs w:val="24"/>
              </w:rPr>
              <w:t>Basic earnings per share</w:t>
            </w:r>
          </w:p>
        </w:tc>
        <w:tc>
          <w:tcPr>
            <w:tcW w:w="730" w:type="pct"/>
            <w:tcBorders>
              <w:top w:val="single" w:sz="4" w:space="0" w:color="auto"/>
            </w:tcBorders>
          </w:tcPr>
          <w:p w:rsidR="00A7352B" w:rsidRDefault="00A7352B" w:rsidP="00A7352B">
            <w:pPr>
              <w:jc w:val="right"/>
              <w:rPr>
                <w:rFonts w:ascii="Arial" w:hAnsi="Arial" w:cs="Arial"/>
                <w:b/>
                <w:sz w:val="24"/>
                <w:szCs w:val="24"/>
              </w:rPr>
            </w:pPr>
            <w:r>
              <w:rPr>
                <w:rFonts w:ascii="Arial" w:hAnsi="Arial" w:cs="Arial"/>
                <w:b/>
                <w:sz w:val="24"/>
                <w:szCs w:val="24"/>
              </w:rPr>
              <w:t>709</w:t>
            </w:r>
          </w:p>
        </w:tc>
        <w:tc>
          <w:tcPr>
            <w:tcW w:w="730" w:type="pct"/>
            <w:tcBorders>
              <w:top w:val="single" w:sz="4" w:space="0" w:color="auto"/>
            </w:tcBorders>
          </w:tcPr>
          <w:p w:rsidR="00A7352B" w:rsidRPr="00185E72" w:rsidRDefault="00A7352B" w:rsidP="00A7352B">
            <w:pPr>
              <w:jc w:val="right"/>
              <w:rPr>
                <w:rFonts w:ascii="Arial" w:hAnsi="Arial" w:cs="Arial"/>
                <w:b/>
                <w:sz w:val="24"/>
                <w:szCs w:val="24"/>
              </w:rPr>
            </w:pPr>
            <w:r>
              <w:rPr>
                <w:rFonts w:ascii="Arial" w:hAnsi="Arial" w:cs="Arial"/>
                <w:b/>
                <w:sz w:val="24"/>
                <w:szCs w:val="24"/>
              </w:rPr>
              <w:t>30.0p</w:t>
            </w:r>
          </w:p>
        </w:tc>
        <w:tc>
          <w:tcPr>
            <w:tcW w:w="617" w:type="pct"/>
            <w:tcBorders>
              <w:top w:val="single" w:sz="4" w:space="0" w:color="auto"/>
            </w:tcBorders>
          </w:tcPr>
          <w:p w:rsidR="00A7352B" w:rsidRPr="00B65AB3" w:rsidRDefault="00A7352B" w:rsidP="00A7352B">
            <w:pPr>
              <w:jc w:val="right"/>
              <w:rPr>
                <w:rFonts w:ascii="Arial" w:hAnsi="Arial" w:cs="Arial"/>
                <w:sz w:val="24"/>
                <w:szCs w:val="24"/>
              </w:rPr>
            </w:pPr>
            <w:r>
              <w:rPr>
                <w:rFonts w:ascii="Arial" w:hAnsi="Arial" w:cs="Arial"/>
                <w:sz w:val="24"/>
                <w:szCs w:val="24"/>
              </w:rPr>
              <w:t>564</w:t>
            </w:r>
          </w:p>
        </w:tc>
        <w:tc>
          <w:tcPr>
            <w:tcW w:w="617" w:type="pct"/>
            <w:tcBorders>
              <w:top w:val="single" w:sz="4" w:space="0" w:color="auto"/>
            </w:tcBorders>
          </w:tcPr>
          <w:p w:rsidR="00A7352B" w:rsidRPr="00B65AB3" w:rsidRDefault="00A7352B" w:rsidP="00A7352B">
            <w:pPr>
              <w:jc w:val="right"/>
              <w:rPr>
                <w:rFonts w:ascii="Arial" w:hAnsi="Arial" w:cs="Arial"/>
                <w:sz w:val="24"/>
                <w:szCs w:val="24"/>
              </w:rPr>
            </w:pPr>
            <w:r w:rsidRPr="00B65AB3">
              <w:rPr>
                <w:rFonts w:ascii="Arial" w:hAnsi="Arial" w:cs="Arial"/>
                <w:sz w:val="24"/>
                <w:szCs w:val="24"/>
              </w:rPr>
              <w:t>24.1p</w:t>
            </w:r>
          </w:p>
        </w:tc>
      </w:tr>
      <w:tr w:rsidR="00A7352B" w:rsidRPr="004859B4" w:rsidTr="00A7352B">
        <w:tc>
          <w:tcPr>
            <w:tcW w:w="2305" w:type="pct"/>
          </w:tcPr>
          <w:p w:rsidR="00A7352B" w:rsidRPr="00E530B3" w:rsidRDefault="00A7352B" w:rsidP="00A7352B">
            <w:pPr>
              <w:jc w:val="left"/>
              <w:rPr>
                <w:rFonts w:ascii="Arial" w:hAnsi="Arial" w:cs="Arial"/>
                <w:sz w:val="24"/>
                <w:szCs w:val="24"/>
              </w:rPr>
            </w:pPr>
            <w:r>
              <w:rPr>
                <w:rFonts w:ascii="Arial" w:hAnsi="Arial" w:cs="Arial"/>
                <w:sz w:val="24"/>
                <w:szCs w:val="24"/>
              </w:rPr>
              <w:t>Net e</w:t>
            </w:r>
            <w:r w:rsidRPr="00E530B3">
              <w:rPr>
                <w:rFonts w:ascii="Arial" w:hAnsi="Arial" w:cs="Arial"/>
                <w:sz w:val="24"/>
                <w:szCs w:val="24"/>
              </w:rPr>
              <w:t>xceptional items</w:t>
            </w:r>
            <w:r>
              <w:rPr>
                <w:rFonts w:ascii="Arial" w:hAnsi="Arial" w:cs="Arial"/>
                <w:sz w:val="24"/>
                <w:szCs w:val="24"/>
              </w:rPr>
              <w:t xml:space="preserve"> </w:t>
            </w:r>
          </w:p>
        </w:tc>
        <w:tc>
          <w:tcPr>
            <w:tcW w:w="730" w:type="pct"/>
          </w:tcPr>
          <w:p w:rsidR="00A7352B" w:rsidRDefault="00A7352B" w:rsidP="00A7352B">
            <w:pPr>
              <w:jc w:val="right"/>
              <w:rPr>
                <w:rFonts w:ascii="Arial" w:hAnsi="Arial" w:cs="Arial"/>
                <w:b/>
                <w:sz w:val="24"/>
                <w:szCs w:val="24"/>
              </w:rPr>
            </w:pPr>
            <w:r>
              <w:rPr>
                <w:rFonts w:ascii="Arial" w:hAnsi="Arial" w:cs="Arial"/>
                <w:b/>
                <w:sz w:val="24"/>
                <w:szCs w:val="24"/>
              </w:rPr>
              <w:t>(131)</w:t>
            </w:r>
          </w:p>
        </w:tc>
        <w:tc>
          <w:tcPr>
            <w:tcW w:w="730" w:type="pct"/>
          </w:tcPr>
          <w:p w:rsidR="00A7352B" w:rsidRPr="00185E72" w:rsidRDefault="00A7352B" w:rsidP="00A7352B">
            <w:pPr>
              <w:jc w:val="right"/>
              <w:rPr>
                <w:rFonts w:ascii="Arial" w:hAnsi="Arial" w:cs="Arial"/>
                <w:b/>
                <w:sz w:val="24"/>
                <w:szCs w:val="24"/>
              </w:rPr>
            </w:pPr>
            <w:r>
              <w:rPr>
                <w:rFonts w:ascii="Arial" w:hAnsi="Arial" w:cs="Arial"/>
                <w:b/>
                <w:sz w:val="24"/>
                <w:szCs w:val="24"/>
              </w:rPr>
              <w:t>(5.5)p</w:t>
            </w:r>
          </w:p>
        </w:tc>
        <w:tc>
          <w:tcPr>
            <w:tcW w:w="617" w:type="pct"/>
          </w:tcPr>
          <w:p w:rsidR="00A7352B" w:rsidRPr="00B65AB3" w:rsidRDefault="00A7352B" w:rsidP="00A7352B">
            <w:pPr>
              <w:jc w:val="right"/>
              <w:rPr>
                <w:rFonts w:ascii="Arial" w:hAnsi="Arial" w:cs="Arial"/>
                <w:sz w:val="24"/>
                <w:szCs w:val="24"/>
              </w:rPr>
            </w:pPr>
            <w:r>
              <w:rPr>
                <w:rFonts w:ascii="Arial" w:hAnsi="Arial" w:cs="Arial"/>
                <w:sz w:val="24"/>
                <w:szCs w:val="24"/>
              </w:rPr>
              <w:t>2</w:t>
            </w:r>
            <w:r w:rsidR="005A0B0D">
              <w:rPr>
                <w:rFonts w:ascii="Arial" w:hAnsi="Arial" w:cs="Arial"/>
                <w:sz w:val="24"/>
                <w:szCs w:val="24"/>
              </w:rPr>
              <w:t>5</w:t>
            </w:r>
          </w:p>
        </w:tc>
        <w:tc>
          <w:tcPr>
            <w:tcW w:w="617" w:type="pct"/>
          </w:tcPr>
          <w:p w:rsidR="00A7352B" w:rsidRPr="00B65AB3" w:rsidRDefault="00A7352B" w:rsidP="00A7352B">
            <w:pPr>
              <w:jc w:val="right"/>
              <w:rPr>
                <w:rFonts w:ascii="Arial" w:hAnsi="Arial" w:cs="Arial"/>
                <w:sz w:val="24"/>
                <w:szCs w:val="24"/>
              </w:rPr>
            </w:pPr>
            <w:r w:rsidRPr="00B65AB3">
              <w:rPr>
                <w:rFonts w:ascii="Arial" w:hAnsi="Arial" w:cs="Arial"/>
                <w:sz w:val="24"/>
                <w:szCs w:val="24"/>
              </w:rPr>
              <w:t>1.1p</w:t>
            </w:r>
          </w:p>
        </w:tc>
      </w:tr>
      <w:tr w:rsidR="00A7352B" w:rsidRPr="004859B4" w:rsidTr="00A7352B">
        <w:tc>
          <w:tcPr>
            <w:tcW w:w="2305" w:type="pct"/>
          </w:tcPr>
          <w:p w:rsidR="00A7352B" w:rsidRDefault="00A7352B" w:rsidP="00A7352B">
            <w:pPr>
              <w:jc w:val="left"/>
              <w:rPr>
                <w:rFonts w:ascii="Arial" w:hAnsi="Arial" w:cs="Arial"/>
                <w:sz w:val="24"/>
                <w:szCs w:val="24"/>
              </w:rPr>
            </w:pPr>
            <w:r>
              <w:rPr>
                <w:rFonts w:ascii="Arial" w:hAnsi="Arial" w:cs="Arial"/>
                <w:sz w:val="24"/>
                <w:szCs w:val="24"/>
              </w:rPr>
              <w:t>Prior year tax items and rate changes</w:t>
            </w:r>
          </w:p>
        </w:tc>
        <w:tc>
          <w:tcPr>
            <w:tcW w:w="730" w:type="pct"/>
          </w:tcPr>
          <w:p w:rsidR="00A7352B" w:rsidRDefault="00A7352B" w:rsidP="00A7352B">
            <w:pPr>
              <w:jc w:val="right"/>
              <w:rPr>
                <w:rFonts w:ascii="Arial" w:hAnsi="Arial" w:cs="Arial"/>
                <w:b/>
                <w:sz w:val="24"/>
                <w:szCs w:val="24"/>
              </w:rPr>
            </w:pPr>
            <w:r>
              <w:rPr>
                <w:rFonts w:ascii="Arial" w:hAnsi="Arial" w:cs="Arial"/>
                <w:b/>
                <w:sz w:val="24"/>
                <w:szCs w:val="24"/>
              </w:rPr>
              <w:t>(27)</w:t>
            </w:r>
          </w:p>
        </w:tc>
        <w:tc>
          <w:tcPr>
            <w:tcW w:w="730" w:type="pct"/>
          </w:tcPr>
          <w:p w:rsidR="00A7352B" w:rsidRDefault="00A7352B" w:rsidP="00A7352B">
            <w:pPr>
              <w:jc w:val="right"/>
              <w:rPr>
                <w:rFonts w:ascii="Arial" w:hAnsi="Arial" w:cs="Arial"/>
                <w:b/>
                <w:sz w:val="24"/>
                <w:szCs w:val="24"/>
              </w:rPr>
            </w:pPr>
            <w:r>
              <w:rPr>
                <w:rFonts w:ascii="Arial" w:hAnsi="Arial" w:cs="Arial"/>
                <w:b/>
                <w:sz w:val="24"/>
                <w:szCs w:val="24"/>
              </w:rPr>
              <w:t>(1.1)p</w:t>
            </w:r>
          </w:p>
        </w:tc>
        <w:tc>
          <w:tcPr>
            <w:tcW w:w="617" w:type="pct"/>
          </w:tcPr>
          <w:p w:rsidR="00A7352B" w:rsidRPr="00B65AB3" w:rsidRDefault="00A7352B" w:rsidP="00A7352B">
            <w:pPr>
              <w:jc w:val="right"/>
              <w:rPr>
                <w:rFonts w:ascii="Arial" w:hAnsi="Arial" w:cs="Arial"/>
                <w:sz w:val="24"/>
                <w:szCs w:val="24"/>
              </w:rPr>
            </w:pPr>
            <w:r>
              <w:rPr>
                <w:rFonts w:ascii="Arial" w:hAnsi="Arial" w:cs="Arial"/>
                <w:sz w:val="24"/>
                <w:szCs w:val="24"/>
              </w:rPr>
              <w:t>(6</w:t>
            </w:r>
            <w:r w:rsidR="005A0B0D">
              <w:rPr>
                <w:rFonts w:ascii="Arial" w:hAnsi="Arial" w:cs="Arial"/>
                <w:sz w:val="24"/>
                <w:szCs w:val="24"/>
              </w:rPr>
              <w:t>6</w:t>
            </w:r>
            <w:r>
              <w:rPr>
                <w:rFonts w:ascii="Arial" w:hAnsi="Arial" w:cs="Arial"/>
                <w:sz w:val="24"/>
                <w:szCs w:val="24"/>
              </w:rPr>
              <w:t>)</w:t>
            </w:r>
          </w:p>
        </w:tc>
        <w:tc>
          <w:tcPr>
            <w:tcW w:w="617" w:type="pct"/>
          </w:tcPr>
          <w:p w:rsidR="00A7352B" w:rsidRPr="00B65AB3" w:rsidRDefault="00A7352B" w:rsidP="00A7352B">
            <w:pPr>
              <w:jc w:val="right"/>
              <w:rPr>
                <w:rFonts w:ascii="Arial" w:hAnsi="Arial" w:cs="Arial"/>
                <w:sz w:val="24"/>
                <w:szCs w:val="24"/>
              </w:rPr>
            </w:pPr>
            <w:r>
              <w:rPr>
                <w:rFonts w:ascii="Arial" w:hAnsi="Arial" w:cs="Arial"/>
                <w:sz w:val="24"/>
                <w:szCs w:val="24"/>
              </w:rPr>
              <w:t>(2.</w:t>
            </w:r>
            <w:r w:rsidR="005A0B0D">
              <w:rPr>
                <w:rFonts w:ascii="Arial" w:hAnsi="Arial" w:cs="Arial"/>
                <w:sz w:val="24"/>
                <w:szCs w:val="24"/>
              </w:rPr>
              <w:t>8</w:t>
            </w:r>
            <w:r>
              <w:rPr>
                <w:rFonts w:ascii="Arial" w:hAnsi="Arial" w:cs="Arial"/>
                <w:sz w:val="24"/>
                <w:szCs w:val="24"/>
              </w:rPr>
              <w:t>)p</w:t>
            </w:r>
          </w:p>
        </w:tc>
      </w:tr>
      <w:tr w:rsidR="00A7352B" w:rsidRPr="004859B4" w:rsidTr="00A7352B">
        <w:tc>
          <w:tcPr>
            <w:tcW w:w="2305" w:type="pct"/>
          </w:tcPr>
          <w:p w:rsidR="00A7352B" w:rsidRPr="00E530B3" w:rsidRDefault="003F08D3" w:rsidP="00A7352B">
            <w:pPr>
              <w:jc w:val="left"/>
              <w:rPr>
                <w:rFonts w:ascii="Arial" w:hAnsi="Arial" w:cs="Arial"/>
                <w:sz w:val="24"/>
                <w:szCs w:val="24"/>
              </w:rPr>
            </w:pPr>
            <w:r>
              <w:rPr>
                <w:rFonts w:ascii="Arial" w:hAnsi="Arial" w:cs="Arial"/>
                <w:sz w:val="24"/>
                <w:szCs w:val="24"/>
              </w:rPr>
              <w:t>FFVR</w:t>
            </w:r>
            <w:r w:rsidR="00A7352B">
              <w:rPr>
                <w:rFonts w:ascii="Arial" w:hAnsi="Arial" w:cs="Arial"/>
                <w:sz w:val="24"/>
                <w:szCs w:val="24"/>
              </w:rPr>
              <w:t xml:space="preserve"> (net of tax)</w:t>
            </w:r>
          </w:p>
        </w:tc>
        <w:tc>
          <w:tcPr>
            <w:tcW w:w="730" w:type="pct"/>
          </w:tcPr>
          <w:p w:rsidR="00A7352B" w:rsidRDefault="00A7352B" w:rsidP="00A7352B">
            <w:pPr>
              <w:jc w:val="right"/>
              <w:rPr>
                <w:rFonts w:ascii="Arial" w:hAnsi="Arial" w:cs="Arial"/>
                <w:b/>
                <w:sz w:val="24"/>
                <w:szCs w:val="24"/>
              </w:rPr>
            </w:pPr>
            <w:r>
              <w:rPr>
                <w:rFonts w:ascii="Arial" w:hAnsi="Arial" w:cs="Arial"/>
                <w:b/>
                <w:sz w:val="24"/>
                <w:szCs w:val="24"/>
              </w:rPr>
              <w:t>1</w:t>
            </w:r>
          </w:p>
        </w:tc>
        <w:tc>
          <w:tcPr>
            <w:tcW w:w="730" w:type="pct"/>
          </w:tcPr>
          <w:p w:rsidR="00A7352B" w:rsidRPr="00185E72" w:rsidRDefault="00A7352B" w:rsidP="00A7352B">
            <w:pPr>
              <w:jc w:val="right"/>
              <w:rPr>
                <w:rFonts w:ascii="Arial" w:hAnsi="Arial" w:cs="Arial"/>
                <w:b/>
                <w:sz w:val="24"/>
                <w:szCs w:val="24"/>
              </w:rPr>
            </w:pPr>
            <w:r>
              <w:rPr>
                <w:rFonts w:ascii="Arial" w:hAnsi="Arial" w:cs="Arial"/>
                <w:b/>
                <w:sz w:val="24"/>
                <w:szCs w:val="24"/>
              </w:rPr>
              <w:t>-</w:t>
            </w:r>
          </w:p>
        </w:tc>
        <w:tc>
          <w:tcPr>
            <w:tcW w:w="617" w:type="pct"/>
          </w:tcPr>
          <w:p w:rsidR="00A7352B" w:rsidRPr="00B65AB3" w:rsidRDefault="00A7352B" w:rsidP="00A7352B">
            <w:pPr>
              <w:jc w:val="right"/>
              <w:rPr>
                <w:rFonts w:ascii="Arial" w:hAnsi="Arial" w:cs="Arial"/>
                <w:sz w:val="24"/>
                <w:szCs w:val="24"/>
              </w:rPr>
            </w:pPr>
            <w:r>
              <w:rPr>
                <w:rFonts w:ascii="Arial" w:hAnsi="Arial" w:cs="Arial"/>
                <w:sz w:val="24"/>
                <w:szCs w:val="24"/>
              </w:rPr>
              <w:t>(1)</w:t>
            </w:r>
          </w:p>
        </w:tc>
        <w:tc>
          <w:tcPr>
            <w:tcW w:w="617" w:type="pct"/>
          </w:tcPr>
          <w:p w:rsidR="00A7352B" w:rsidRPr="00B65AB3" w:rsidRDefault="005A0B0D" w:rsidP="00A7352B">
            <w:pPr>
              <w:jc w:val="right"/>
              <w:rPr>
                <w:rFonts w:ascii="Arial" w:hAnsi="Arial" w:cs="Arial"/>
                <w:sz w:val="24"/>
                <w:szCs w:val="24"/>
              </w:rPr>
            </w:pPr>
            <w:r>
              <w:rPr>
                <w:rFonts w:ascii="Arial" w:hAnsi="Arial" w:cs="Arial"/>
                <w:sz w:val="24"/>
                <w:szCs w:val="24"/>
              </w:rPr>
              <w:t>(0.1)p</w:t>
            </w:r>
          </w:p>
        </w:tc>
      </w:tr>
      <w:tr w:rsidR="00A7352B" w:rsidRPr="004859B4" w:rsidTr="00A7352B">
        <w:trPr>
          <w:trHeight w:val="70"/>
        </w:trPr>
        <w:tc>
          <w:tcPr>
            <w:tcW w:w="2305" w:type="pct"/>
            <w:tcBorders>
              <w:top w:val="single" w:sz="4" w:space="0" w:color="auto"/>
              <w:bottom w:val="single" w:sz="4" w:space="0" w:color="auto"/>
            </w:tcBorders>
          </w:tcPr>
          <w:p w:rsidR="00A7352B" w:rsidRPr="00C82F88" w:rsidRDefault="00A7352B" w:rsidP="00A7352B">
            <w:pPr>
              <w:rPr>
                <w:rFonts w:ascii="Arial" w:hAnsi="Arial" w:cs="Arial"/>
                <w:b/>
                <w:sz w:val="24"/>
                <w:szCs w:val="24"/>
              </w:rPr>
            </w:pPr>
            <w:r w:rsidRPr="00C82F88">
              <w:rPr>
                <w:rFonts w:ascii="Arial" w:hAnsi="Arial" w:cs="Arial"/>
                <w:b/>
                <w:sz w:val="24"/>
                <w:szCs w:val="24"/>
              </w:rPr>
              <w:t>Adjusted earnings per share</w:t>
            </w:r>
          </w:p>
        </w:tc>
        <w:tc>
          <w:tcPr>
            <w:tcW w:w="730" w:type="pct"/>
            <w:tcBorders>
              <w:top w:val="single" w:sz="4" w:space="0" w:color="auto"/>
              <w:bottom w:val="single" w:sz="4" w:space="0" w:color="auto"/>
            </w:tcBorders>
          </w:tcPr>
          <w:p w:rsidR="00A7352B" w:rsidRDefault="00A7352B" w:rsidP="00A7352B">
            <w:pPr>
              <w:jc w:val="right"/>
              <w:rPr>
                <w:rFonts w:ascii="Arial" w:hAnsi="Arial" w:cs="Arial"/>
                <w:b/>
                <w:sz w:val="24"/>
                <w:szCs w:val="24"/>
              </w:rPr>
            </w:pPr>
            <w:r>
              <w:rPr>
                <w:rFonts w:ascii="Arial" w:hAnsi="Arial" w:cs="Arial"/>
                <w:b/>
                <w:sz w:val="24"/>
                <w:szCs w:val="24"/>
              </w:rPr>
              <w:t>552</w:t>
            </w:r>
          </w:p>
        </w:tc>
        <w:tc>
          <w:tcPr>
            <w:tcW w:w="730" w:type="pct"/>
            <w:tcBorders>
              <w:top w:val="single" w:sz="4" w:space="0" w:color="auto"/>
              <w:bottom w:val="single" w:sz="4" w:space="0" w:color="auto"/>
            </w:tcBorders>
          </w:tcPr>
          <w:p w:rsidR="00A7352B" w:rsidRPr="00185E72" w:rsidRDefault="00A7352B" w:rsidP="00A7352B">
            <w:pPr>
              <w:jc w:val="right"/>
              <w:rPr>
                <w:rFonts w:ascii="Arial" w:hAnsi="Arial" w:cs="Arial"/>
                <w:b/>
                <w:sz w:val="24"/>
                <w:szCs w:val="24"/>
              </w:rPr>
            </w:pPr>
            <w:r>
              <w:rPr>
                <w:rFonts w:ascii="Arial" w:hAnsi="Arial" w:cs="Arial"/>
                <w:b/>
                <w:sz w:val="24"/>
                <w:szCs w:val="24"/>
              </w:rPr>
              <w:t>23.4p</w:t>
            </w:r>
          </w:p>
        </w:tc>
        <w:tc>
          <w:tcPr>
            <w:tcW w:w="617" w:type="pct"/>
            <w:tcBorders>
              <w:top w:val="single" w:sz="4" w:space="0" w:color="auto"/>
              <w:bottom w:val="single" w:sz="4" w:space="0" w:color="auto"/>
            </w:tcBorders>
          </w:tcPr>
          <w:p w:rsidR="00A7352B" w:rsidRPr="00B65AB3" w:rsidRDefault="00A7352B" w:rsidP="00A7352B">
            <w:pPr>
              <w:jc w:val="right"/>
              <w:rPr>
                <w:rFonts w:ascii="Arial" w:hAnsi="Arial" w:cs="Arial"/>
                <w:sz w:val="24"/>
                <w:szCs w:val="24"/>
              </w:rPr>
            </w:pPr>
            <w:r>
              <w:rPr>
                <w:rFonts w:ascii="Arial" w:hAnsi="Arial" w:cs="Arial"/>
                <w:sz w:val="24"/>
                <w:szCs w:val="24"/>
              </w:rPr>
              <w:t>522</w:t>
            </w:r>
          </w:p>
        </w:tc>
        <w:tc>
          <w:tcPr>
            <w:tcW w:w="617" w:type="pct"/>
            <w:tcBorders>
              <w:top w:val="single" w:sz="4" w:space="0" w:color="auto"/>
              <w:bottom w:val="single" w:sz="4" w:space="0" w:color="auto"/>
            </w:tcBorders>
          </w:tcPr>
          <w:p w:rsidR="00A7352B" w:rsidRPr="00B65AB3" w:rsidRDefault="00A7352B" w:rsidP="00A7352B">
            <w:pPr>
              <w:jc w:val="right"/>
              <w:rPr>
                <w:rFonts w:ascii="Arial" w:hAnsi="Arial" w:cs="Arial"/>
                <w:sz w:val="24"/>
                <w:szCs w:val="24"/>
              </w:rPr>
            </w:pPr>
            <w:r w:rsidRPr="00B65AB3">
              <w:rPr>
                <w:rFonts w:ascii="Arial" w:hAnsi="Arial" w:cs="Arial"/>
                <w:sz w:val="24"/>
                <w:szCs w:val="24"/>
              </w:rPr>
              <w:t>22.3p</w:t>
            </w:r>
          </w:p>
        </w:tc>
      </w:tr>
    </w:tbl>
    <w:p w:rsidR="00E607E0" w:rsidRDefault="00E607E0" w:rsidP="00A7352B">
      <w:pPr>
        <w:jc w:val="left"/>
        <w:rPr>
          <w:rFonts w:ascii="Arial" w:hAnsi="Arial" w:cs="Arial"/>
          <w:b/>
          <w:bCs/>
          <w:sz w:val="24"/>
          <w:szCs w:val="24"/>
        </w:rPr>
      </w:pPr>
    </w:p>
    <w:p w:rsidR="00DA44CF" w:rsidRDefault="00DA44CF" w:rsidP="00A7352B">
      <w:pPr>
        <w:jc w:val="left"/>
        <w:rPr>
          <w:rFonts w:ascii="Arial" w:hAnsi="Arial" w:cs="Arial"/>
          <w:b/>
          <w:bCs/>
          <w:sz w:val="24"/>
          <w:szCs w:val="24"/>
        </w:rPr>
      </w:pPr>
    </w:p>
    <w:p w:rsidR="00A7352B" w:rsidRPr="00325ADC" w:rsidRDefault="00A7352B" w:rsidP="00A7352B">
      <w:pPr>
        <w:jc w:val="left"/>
        <w:rPr>
          <w:rFonts w:ascii="Arial" w:hAnsi="Arial" w:cs="Arial"/>
          <w:b/>
          <w:bCs/>
          <w:sz w:val="24"/>
          <w:szCs w:val="24"/>
        </w:rPr>
      </w:pPr>
      <w:r w:rsidRPr="00325ADC">
        <w:rPr>
          <w:rFonts w:ascii="Arial" w:hAnsi="Arial" w:cs="Arial"/>
          <w:b/>
          <w:bCs/>
          <w:sz w:val="24"/>
          <w:szCs w:val="24"/>
        </w:rPr>
        <w:t>Dividends</w:t>
      </w:r>
    </w:p>
    <w:p w:rsidR="00A7352B" w:rsidRPr="00325ADC" w:rsidRDefault="00A7352B" w:rsidP="00A7352B">
      <w:pPr>
        <w:jc w:val="left"/>
        <w:rPr>
          <w:rFonts w:ascii="Arial" w:hAnsi="Arial" w:cs="Arial"/>
          <w:b/>
          <w:bCs/>
          <w:color w:val="FF0000"/>
          <w:sz w:val="24"/>
          <w:szCs w:val="24"/>
        </w:rPr>
      </w:pPr>
    </w:p>
    <w:p w:rsidR="00A7352B" w:rsidRPr="00325ADC" w:rsidRDefault="00A7352B" w:rsidP="00A7352B">
      <w:pPr>
        <w:jc w:val="left"/>
        <w:rPr>
          <w:rFonts w:ascii="Arial" w:hAnsi="Arial" w:cs="Arial"/>
          <w:sz w:val="24"/>
          <w:szCs w:val="24"/>
        </w:rPr>
      </w:pPr>
      <w:r w:rsidRPr="00325ADC">
        <w:rPr>
          <w:rFonts w:ascii="Arial" w:hAnsi="Arial" w:cs="Arial" w:hint="eastAsia"/>
          <w:sz w:val="24"/>
          <w:szCs w:val="24"/>
        </w:rPr>
        <w:t xml:space="preserve">The Board has proposed a final dividend of </w:t>
      </w:r>
      <w:r>
        <w:rPr>
          <w:rFonts w:ascii="Arial" w:hAnsi="Arial" w:cs="Arial"/>
          <w:sz w:val="24"/>
          <w:szCs w:val="24"/>
        </w:rPr>
        <w:t>6.78</w:t>
      </w:r>
      <w:r w:rsidRPr="00325ADC">
        <w:rPr>
          <w:rFonts w:ascii="Arial" w:hAnsi="Arial" w:cs="Arial" w:hint="eastAsia"/>
          <w:sz w:val="24"/>
          <w:szCs w:val="24"/>
        </w:rPr>
        <w:t xml:space="preserve">p which results in a full year dividend of </w:t>
      </w:r>
      <w:r>
        <w:rPr>
          <w:rFonts w:ascii="Arial" w:hAnsi="Arial" w:cs="Arial"/>
          <w:sz w:val="24"/>
          <w:szCs w:val="24"/>
        </w:rPr>
        <w:t>9.9p</w:t>
      </w:r>
      <w:r w:rsidRPr="00325ADC">
        <w:rPr>
          <w:rFonts w:ascii="Arial" w:hAnsi="Arial" w:cs="Arial" w:hint="eastAsia"/>
          <w:sz w:val="24"/>
          <w:szCs w:val="24"/>
        </w:rPr>
        <w:t xml:space="preserve">, an increase of </w:t>
      </w:r>
      <w:r>
        <w:rPr>
          <w:rFonts w:ascii="Arial" w:hAnsi="Arial" w:cs="Arial"/>
          <w:sz w:val="24"/>
          <w:szCs w:val="24"/>
        </w:rPr>
        <w:t>4.7%</w:t>
      </w:r>
      <w:r w:rsidRPr="00325ADC">
        <w:rPr>
          <w:rFonts w:ascii="Arial" w:hAnsi="Arial" w:cs="Arial" w:hint="eastAsia"/>
          <w:sz w:val="24"/>
          <w:szCs w:val="24"/>
        </w:rPr>
        <w:t xml:space="preserve"> (201</w:t>
      </w:r>
      <w:r w:rsidRPr="00325ADC">
        <w:rPr>
          <w:rFonts w:ascii="Arial" w:hAnsi="Arial" w:cs="Arial"/>
          <w:sz w:val="24"/>
          <w:szCs w:val="24"/>
        </w:rPr>
        <w:t>2</w:t>
      </w:r>
      <w:r w:rsidRPr="00325ADC">
        <w:rPr>
          <w:rFonts w:ascii="Arial" w:hAnsi="Arial" w:cs="Arial" w:hint="eastAsia"/>
          <w:sz w:val="24"/>
          <w:szCs w:val="24"/>
        </w:rPr>
        <w:t>/1</w:t>
      </w:r>
      <w:r w:rsidRPr="00325ADC">
        <w:rPr>
          <w:rFonts w:ascii="Arial" w:hAnsi="Arial" w:cs="Arial"/>
          <w:sz w:val="24"/>
          <w:szCs w:val="24"/>
        </w:rPr>
        <w:t>3</w:t>
      </w:r>
      <w:r w:rsidRPr="00325ADC">
        <w:rPr>
          <w:rFonts w:ascii="Arial" w:hAnsi="Arial" w:cs="Arial" w:hint="eastAsia"/>
          <w:sz w:val="24"/>
          <w:szCs w:val="24"/>
        </w:rPr>
        <w:t xml:space="preserve">: </w:t>
      </w:r>
      <w:r w:rsidRPr="00325ADC">
        <w:rPr>
          <w:rFonts w:ascii="Arial" w:hAnsi="Arial" w:cs="Arial"/>
          <w:sz w:val="24"/>
          <w:szCs w:val="24"/>
        </w:rPr>
        <w:t>9</w:t>
      </w:r>
      <w:r w:rsidRPr="00325ADC">
        <w:rPr>
          <w:rFonts w:ascii="Arial" w:hAnsi="Arial" w:cs="Arial" w:hint="eastAsia"/>
          <w:sz w:val="24"/>
          <w:szCs w:val="24"/>
        </w:rPr>
        <w:t>.</w:t>
      </w:r>
      <w:r w:rsidRPr="00325ADC">
        <w:rPr>
          <w:rFonts w:ascii="Arial" w:hAnsi="Arial" w:cs="Arial"/>
          <w:sz w:val="24"/>
          <w:szCs w:val="24"/>
        </w:rPr>
        <w:t>46</w:t>
      </w:r>
      <w:r w:rsidRPr="00325ADC">
        <w:rPr>
          <w:rFonts w:ascii="Arial" w:hAnsi="Arial" w:cs="Arial" w:hint="eastAsia"/>
          <w:sz w:val="24"/>
          <w:szCs w:val="24"/>
        </w:rPr>
        <w:t xml:space="preserve">p). The final dividend </w:t>
      </w:r>
      <w:r>
        <w:rPr>
          <w:rFonts w:ascii="Arial" w:hAnsi="Arial" w:cs="Arial"/>
          <w:sz w:val="24"/>
          <w:szCs w:val="24"/>
        </w:rPr>
        <w:t>maintains</w:t>
      </w:r>
      <w:r w:rsidRPr="00325ADC">
        <w:rPr>
          <w:rFonts w:ascii="Arial" w:hAnsi="Arial" w:cs="Arial" w:hint="eastAsia"/>
          <w:sz w:val="24"/>
          <w:szCs w:val="24"/>
        </w:rPr>
        <w:t xml:space="preserve"> full year dividend cover on adjusted earnings to </w:t>
      </w:r>
      <w:r>
        <w:rPr>
          <w:rFonts w:ascii="Arial" w:hAnsi="Arial" w:cs="Arial"/>
          <w:sz w:val="24"/>
          <w:szCs w:val="24"/>
        </w:rPr>
        <w:t>2.4</w:t>
      </w:r>
      <w:r w:rsidRPr="00325ADC">
        <w:rPr>
          <w:rFonts w:ascii="Arial" w:hAnsi="Arial" w:cs="Arial" w:hint="eastAsia"/>
          <w:sz w:val="24"/>
          <w:szCs w:val="24"/>
        </w:rPr>
        <w:t xml:space="preserve"> times (201</w:t>
      </w:r>
      <w:r w:rsidRPr="00325ADC">
        <w:rPr>
          <w:rFonts w:ascii="Arial" w:hAnsi="Arial" w:cs="Arial"/>
          <w:sz w:val="24"/>
          <w:szCs w:val="24"/>
        </w:rPr>
        <w:t>2</w:t>
      </w:r>
      <w:r w:rsidRPr="00325ADC">
        <w:rPr>
          <w:rFonts w:ascii="Arial" w:hAnsi="Arial" w:cs="Arial" w:hint="eastAsia"/>
          <w:sz w:val="24"/>
          <w:szCs w:val="24"/>
        </w:rPr>
        <w:t>/1</w:t>
      </w:r>
      <w:r w:rsidRPr="00325ADC">
        <w:rPr>
          <w:rFonts w:ascii="Arial" w:hAnsi="Arial" w:cs="Arial"/>
          <w:sz w:val="24"/>
          <w:szCs w:val="24"/>
        </w:rPr>
        <w:t>3</w:t>
      </w:r>
      <w:r w:rsidRPr="00325ADC">
        <w:rPr>
          <w:rFonts w:ascii="Arial" w:hAnsi="Arial" w:cs="Arial" w:hint="eastAsia"/>
          <w:sz w:val="24"/>
          <w:szCs w:val="24"/>
        </w:rPr>
        <w:t>: 2.</w:t>
      </w:r>
      <w:r w:rsidRPr="00325ADC">
        <w:rPr>
          <w:rFonts w:ascii="Arial" w:hAnsi="Arial" w:cs="Arial"/>
          <w:sz w:val="24"/>
          <w:szCs w:val="24"/>
        </w:rPr>
        <w:t>4</w:t>
      </w:r>
      <w:r w:rsidRPr="00325ADC">
        <w:rPr>
          <w:rFonts w:ascii="Arial" w:hAnsi="Arial" w:cs="Arial" w:hint="eastAsia"/>
          <w:sz w:val="24"/>
          <w:szCs w:val="24"/>
        </w:rPr>
        <w:t xml:space="preserve"> times)</w:t>
      </w:r>
      <w:r w:rsidRPr="00325ADC">
        <w:rPr>
          <w:rFonts w:ascii="Arial" w:hAnsi="Arial" w:cs="Arial"/>
          <w:sz w:val="24"/>
          <w:szCs w:val="24"/>
        </w:rPr>
        <w:t>.</w:t>
      </w:r>
    </w:p>
    <w:p w:rsidR="00A7352B" w:rsidRPr="00325ADC" w:rsidRDefault="00A7352B" w:rsidP="00A7352B">
      <w:pPr>
        <w:jc w:val="left"/>
        <w:rPr>
          <w:rFonts w:ascii="Arial" w:hAnsi="Arial" w:cs="Arial"/>
          <w:sz w:val="24"/>
          <w:szCs w:val="24"/>
        </w:rPr>
      </w:pPr>
    </w:p>
    <w:p w:rsidR="00A7352B" w:rsidRPr="00A64D40" w:rsidRDefault="000723A4" w:rsidP="00A7352B">
      <w:pPr>
        <w:jc w:val="left"/>
        <w:rPr>
          <w:rFonts w:ascii="Arial" w:hAnsi="Arial" w:cs="Arial"/>
          <w:sz w:val="24"/>
          <w:szCs w:val="24"/>
        </w:rPr>
      </w:pPr>
      <w:r w:rsidRPr="00A64D40">
        <w:rPr>
          <w:rFonts w:ascii="Arial" w:hAnsi="Arial" w:cs="Arial"/>
          <w:sz w:val="24"/>
          <w:szCs w:val="24"/>
        </w:rPr>
        <w:t xml:space="preserve">Going forward, the Group </w:t>
      </w:r>
      <w:r>
        <w:rPr>
          <w:rFonts w:ascii="Arial" w:hAnsi="Arial" w:cs="Arial"/>
          <w:sz w:val="24"/>
          <w:szCs w:val="24"/>
        </w:rPr>
        <w:t xml:space="preserve">continues to aim to move towards a medium term annual dividend cover of around 2.5 times. At this level, the Board believes the dividend will continue to be prudently covered by earnings and free cash flow and remain consistent with the capital needs of the business.  </w:t>
      </w:r>
    </w:p>
    <w:p w:rsidR="000723A4" w:rsidRPr="00343971" w:rsidRDefault="000723A4" w:rsidP="00A7352B">
      <w:pPr>
        <w:jc w:val="left"/>
        <w:rPr>
          <w:rFonts w:ascii="Arial" w:hAnsi="Arial" w:cs="Arial"/>
          <w:sz w:val="24"/>
          <w:szCs w:val="24"/>
          <w:highlight w:val="yellow"/>
        </w:rPr>
      </w:pPr>
    </w:p>
    <w:p w:rsidR="00A7352B" w:rsidRPr="00BE7408" w:rsidRDefault="00A7352B" w:rsidP="00A7352B">
      <w:pPr>
        <w:jc w:val="left"/>
        <w:rPr>
          <w:rFonts w:ascii="Arial" w:hAnsi="Arial" w:cs="Arial"/>
          <w:sz w:val="24"/>
          <w:szCs w:val="24"/>
        </w:rPr>
      </w:pPr>
      <w:r w:rsidRPr="00BE7408">
        <w:rPr>
          <w:rFonts w:ascii="Arial" w:hAnsi="Arial" w:cs="Arial"/>
          <w:sz w:val="24"/>
          <w:szCs w:val="24"/>
        </w:rPr>
        <w:t>The final dividend for the year ended 1 February 2014 will be paid on 16 June 2014 to shareholders on the register at close of business on 16 May 2014, subject to approval of shareholders at the Annual General Meeting, to be held on 12 June 2014. A dividend reinvestment plan (DRIP) is available to shareholders who would prefer to invest their dividends in the shares of the Company. The shares will go ex-dividend on 14 May 2014. For those shareholders electing to receive the DRIP the last date for receipt of electing is 23 May 2014</w:t>
      </w:r>
      <w:r>
        <w:rPr>
          <w:rFonts w:ascii="Arial" w:hAnsi="Arial" w:cs="Arial"/>
          <w:sz w:val="24"/>
          <w:szCs w:val="24"/>
        </w:rPr>
        <w:t>.</w:t>
      </w:r>
    </w:p>
    <w:p w:rsidR="00A7352B" w:rsidRDefault="00A7352B" w:rsidP="00A7352B">
      <w:pPr>
        <w:jc w:val="left"/>
        <w:rPr>
          <w:rFonts w:ascii="Arial" w:hAnsi="Arial" w:cs="Arial"/>
          <w:sz w:val="24"/>
          <w:szCs w:val="24"/>
        </w:rPr>
      </w:pPr>
    </w:p>
    <w:p w:rsidR="00A7352B" w:rsidRDefault="00A7352B" w:rsidP="00A7352B">
      <w:pPr>
        <w:jc w:val="left"/>
        <w:rPr>
          <w:rFonts w:ascii="Arial" w:hAnsi="Arial" w:cs="Arial"/>
          <w:b/>
          <w:sz w:val="24"/>
          <w:szCs w:val="24"/>
        </w:rPr>
      </w:pPr>
      <w:r w:rsidRPr="008C6F5E">
        <w:rPr>
          <w:rFonts w:ascii="Arial" w:hAnsi="Arial" w:cs="Arial"/>
          <w:b/>
          <w:sz w:val="24"/>
          <w:szCs w:val="24"/>
        </w:rPr>
        <w:t xml:space="preserve">Economic </w:t>
      </w:r>
      <w:r w:rsidRPr="00B10ACC">
        <w:rPr>
          <w:rFonts w:ascii="Arial" w:hAnsi="Arial" w:cs="Arial"/>
          <w:b/>
          <w:sz w:val="24"/>
          <w:szCs w:val="24"/>
        </w:rPr>
        <w:t>returns</w:t>
      </w:r>
    </w:p>
    <w:p w:rsidR="00A7352B" w:rsidRDefault="00A7352B" w:rsidP="00A7352B">
      <w:pPr>
        <w:jc w:val="left"/>
        <w:rPr>
          <w:rFonts w:ascii="Arial" w:hAnsi="Arial" w:cs="Arial"/>
          <w:b/>
          <w:sz w:val="24"/>
          <w:szCs w:val="24"/>
        </w:rPr>
      </w:pPr>
    </w:p>
    <w:p w:rsidR="005B3F58" w:rsidRPr="001B5062" w:rsidRDefault="00A7352B" w:rsidP="001B5062">
      <w:pPr>
        <w:jc w:val="left"/>
        <w:rPr>
          <w:rFonts w:ascii="Arial" w:hAnsi="Arial" w:cs="Arial"/>
          <w:sz w:val="24"/>
          <w:szCs w:val="24"/>
        </w:rPr>
      </w:pPr>
      <w:r w:rsidRPr="00C82F88">
        <w:rPr>
          <w:rFonts w:ascii="Arial" w:hAnsi="Arial" w:cs="Arial" w:hint="eastAsia"/>
          <w:sz w:val="24"/>
          <w:szCs w:val="24"/>
        </w:rPr>
        <w:t xml:space="preserve">Management are focused on Kingfisher Economic Profit (KEP) as </w:t>
      </w:r>
      <w:r w:rsidR="005B3F58">
        <w:rPr>
          <w:rFonts w:ascii="Arial" w:hAnsi="Arial" w:cs="Arial"/>
          <w:sz w:val="24"/>
          <w:szCs w:val="24"/>
        </w:rPr>
        <w:t>a</w:t>
      </w:r>
      <w:r w:rsidRPr="00C82F88">
        <w:rPr>
          <w:rFonts w:ascii="Arial" w:hAnsi="Arial" w:cs="Arial" w:hint="eastAsia"/>
          <w:sz w:val="24"/>
          <w:szCs w:val="24"/>
        </w:rPr>
        <w:t xml:space="preserve"> main measure of return on capital. </w:t>
      </w:r>
      <w:r w:rsidR="005B3F58">
        <w:rPr>
          <w:rFonts w:ascii="Arial" w:hAnsi="Arial" w:cs="Arial"/>
          <w:sz w:val="24"/>
          <w:szCs w:val="24"/>
        </w:rPr>
        <w:t xml:space="preserve">It is used in the capital investment process, to assess performance and drive returns in strategic plans. </w:t>
      </w:r>
      <w:r w:rsidR="001B5062" w:rsidRPr="00930C11">
        <w:rPr>
          <w:rFonts w:ascii="Arial" w:hAnsi="Arial" w:cs="Arial"/>
          <w:sz w:val="24"/>
          <w:szCs w:val="24"/>
        </w:rPr>
        <w:t>KEP is derived from the concept of Economic Value Added</w:t>
      </w:r>
      <w:r w:rsidR="001B5062" w:rsidRPr="001B5062">
        <w:rPr>
          <w:rFonts w:ascii="Arial" w:hAnsi="Arial" w:cs="Arial"/>
          <w:sz w:val="24"/>
          <w:szCs w:val="24"/>
        </w:rPr>
        <w:t xml:space="preserve"> representing </w:t>
      </w:r>
      <w:r w:rsidR="001B5062" w:rsidRPr="00930C11">
        <w:rPr>
          <w:rFonts w:ascii="Arial" w:hAnsi="Arial" w:cs="Arial"/>
          <w:sz w:val="24"/>
          <w:szCs w:val="24"/>
        </w:rPr>
        <w:t>earnings after a charge for the annual cost of capital employed in the business</w:t>
      </w:r>
      <w:r w:rsidR="001B5062" w:rsidRPr="001B5062">
        <w:rPr>
          <w:rFonts w:ascii="Arial" w:hAnsi="Arial" w:cs="Arial"/>
          <w:sz w:val="24"/>
          <w:szCs w:val="24"/>
        </w:rPr>
        <w:t xml:space="preserve">. </w:t>
      </w:r>
      <w:r w:rsidR="001B5062" w:rsidRPr="00930C11">
        <w:rPr>
          <w:rFonts w:ascii="Arial" w:hAnsi="Arial" w:cs="Arial"/>
          <w:sz w:val="24"/>
          <w:szCs w:val="24"/>
        </w:rPr>
        <w:t xml:space="preserve">Earnings are defined as adjusted post-tax profit, excluding interest, property lease costs and </w:t>
      </w:r>
      <w:r w:rsidR="001B5062" w:rsidRPr="001B5062">
        <w:rPr>
          <w:rFonts w:ascii="Arial" w:hAnsi="Arial" w:cs="Arial"/>
          <w:sz w:val="24"/>
          <w:szCs w:val="24"/>
        </w:rPr>
        <w:t xml:space="preserve">exceptional items. </w:t>
      </w:r>
      <w:r w:rsidR="001B5062" w:rsidRPr="00930C11">
        <w:rPr>
          <w:rFonts w:ascii="Arial" w:hAnsi="Arial" w:cs="Arial"/>
          <w:sz w:val="24"/>
          <w:szCs w:val="24"/>
        </w:rPr>
        <w:t>A charge is then deducted by applying the weighted average cost of capital (WACC) to capital employed. For the purposes of consistency both WACC and capita</w:t>
      </w:r>
      <w:r w:rsidR="001B5062" w:rsidRPr="001B5062">
        <w:rPr>
          <w:rFonts w:ascii="Arial" w:hAnsi="Arial" w:cs="Arial"/>
          <w:sz w:val="24"/>
          <w:szCs w:val="24"/>
        </w:rPr>
        <w:t xml:space="preserve">l employed are lease adjusted. </w:t>
      </w:r>
      <w:r w:rsidR="001B5062" w:rsidRPr="00930C11">
        <w:rPr>
          <w:rFonts w:ascii="Arial" w:hAnsi="Arial" w:cs="Arial"/>
          <w:sz w:val="24"/>
          <w:szCs w:val="24"/>
        </w:rPr>
        <w:t xml:space="preserve">Leases are capitalised based on an estimate of their long-term property yields. In order to focus on controllable factors both WACC and long term property yields are based on those in place when KEP was introduced.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53"/>
        <w:gridCol w:w="1518"/>
        <w:gridCol w:w="1517"/>
        <w:gridCol w:w="1518"/>
      </w:tblGrid>
      <w:tr w:rsidR="00A7352B" w:rsidRPr="00E20BFB" w:rsidTr="00A7352B">
        <w:trPr>
          <w:trHeight w:val="516"/>
        </w:trPr>
        <w:tc>
          <w:tcPr>
            <w:tcW w:w="5053" w:type="dxa"/>
            <w:tcBorders>
              <w:bottom w:val="single" w:sz="4" w:space="0" w:color="auto"/>
            </w:tcBorders>
          </w:tcPr>
          <w:p w:rsidR="00A7352B" w:rsidRPr="00E20BFB" w:rsidRDefault="00A7352B" w:rsidP="00A7352B">
            <w:pPr>
              <w:jc w:val="left"/>
              <w:rPr>
                <w:rFonts w:ascii="Arial" w:hAnsi="Arial" w:cs="Arial"/>
                <w:b/>
                <w:sz w:val="24"/>
                <w:szCs w:val="24"/>
              </w:rPr>
            </w:pPr>
          </w:p>
        </w:tc>
        <w:tc>
          <w:tcPr>
            <w:tcW w:w="1518" w:type="dxa"/>
            <w:tcBorders>
              <w:bottom w:val="single" w:sz="4" w:space="0" w:color="auto"/>
            </w:tcBorders>
          </w:tcPr>
          <w:p w:rsidR="00A7352B" w:rsidRDefault="00A7352B" w:rsidP="00A7352B">
            <w:pPr>
              <w:jc w:val="right"/>
              <w:rPr>
                <w:rFonts w:ascii="Arial" w:hAnsi="Arial" w:cs="Arial"/>
                <w:b/>
                <w:sz w:val="24"/>
                <w:szCs w:val="24"/>
              </w:rPr>
            </w:pPr>
            <w:r>
              <w:rPr>
                <w:rFonts w:ascii="Arial" w:hAnsi="Arial" w:cs="Arial"/>
                <w:b/>
                <w:sz w:val="24"/>
                <w:szCs w:val="24"/>
              </w:rPr>
              <w:t>2013/14</w:t>
            </w:r>
          </w:p>
          <w:p w:rsidR="00A7352B" w:rsidRPr="00E20BFB" w:rsidRDefault="00A7352B" w:rsidP="00A7352B">
            <w:pPr>
              <w:jc w:val="right"/>
              <w:rPr>
                <w:rFonts w:ascii="Arial" w:hAnsi="Arial" w:cs="Arial"/>
                <w:b/>
                <w:sz w:val="24"/>
                <w:szCs w:val="24"/>
              </w:rPr>
            </w:pPr>
            <w:r>
              <w:rPr>
                <w:rFonts w:ascii="Arial" w:hAnsi="Arial" w:cs="Arial"/>
                <w:b/>
                <w:sz w:val="24"/>
                <w:szCs w:val="24"/>
              </w:rPr>
              <w:t>£m</w:t>
            </w:r>
          </w:p>
        </w:tc>
        <w:tc>
          <w:tcPr>
            <w:tcW w:w="1517" w:type="dxa"/>
            <w:tcBorders>
              <w:bottom w:val="single" w:sz="4" w:space="0" w:color="auto"/>
            </w:tcBorders>
          </w:tcPr>
          <w:p w:rsidR="00A7352B" w:rsidRPr="0006497D" w:rsidRDefault="00A7352B" w:rsidP="00A7352B">
            <w:pPr>
              <w:jc w:val="right"/>
              <w:rPr>
                <w:rFonts w:ascii="Arial" w:hAnsi="Arial" w:cs="Arial"/>
                <w:sz w:val="24"/>
                <w:szCs w:val="24"/>
              </w:rPr>
            </w:pPr>
            <w:r w:rsidRPr="0006497D">
              <w:rPr>
                <w:rFonts w:ascii="Arial" w:hAnsi="Arial" w:cs="Arial"/>
                <w:sz w:val="24"/>
                <w:szCs w:val="24"/>
              </w:rPr>
              <w:t>2012/13</w:t>
            </w:r>
          </w:p>
          <w:p w:rsidR="00A7352B" w:rsidRPr="0006497D" w:rsidRDefault="00A7352B" w:rsidP="00A7352B">
            <w:pPr>
              <w:tabs>
                <w:tab w:val="center" w:pos="650"/>
                <w:tab w:val="right" w:pos="1301"/>
              </w:tabs>
              <w:jc w:val="left"/>
              <w:rPr>
                <w:rFonts w:ascii="Arial" w:hAnsi="Arial" w:cs="Arial"/>
                <w:sz w:val="24"/>
                <w:szCs w:val="24"/>
              </w:rPr>
            </w:pPr>
            <w:r w:rsidRPr="0006497D">
              <w:rPr>
                <w:rFonts w:ascii="Arial" w:hAnsi="Arial" w:cs="Arial"/>
                <w:sz w:val="24"/>
                <w:szCs w:val="24"/>
              </w:rPr>
              <w:tab/>
            </w:r>
            <w:r w:rsidRPr="0006497D">
              <w:rPr>
                <w:rFonts w:ascii="Arial" w:hAnsi="Arial" w:cs="Arial"/>
                <w:sz w:val="24"/>
                <w:szCs w:val="24"/>
              </w:rPr>
              <w:tab/>
              <w:t>£m</w:t>
            </w:r>
          </w:p>
        </w:tc>
        <w:tc>
          <w:tcPr>
            <w:tcW w:w="1518" w:type="dxa"/>
            <w:tcBorders>
              <w:bottom w:val="single" w:sz="4" w:space="0" w:color="auto"/>
            </w:tcBorders>
          </w:tcPr>
          <w:p w:rsidR="00A7352B" w:rsidRDefault="00A7352B" w:rsidP="00A7352B">
            <w:pPr>
              <w:jc w:val="right"/>
              <w:rPr>
                <w:rFonts w:ascii="Arial" w:hAnsi="Arial" w:cs="Arial"/>
                <w:sz w:val="24"/>
                <w:szCs w:val="24"/>
              </w:rPr>
            </w:pPr>
            <w:r>
              <w:rPr>
                <w:rFonts w:ascii="Arial" w:hAnsi="Arial" w:cs="Arial"/>
                <w:sz w:val="24"/>
                <w:szCs w:val="24"/>
              </w:rPr>
              <w:t>Increase</w:t>
            </w:r>
          </w:p>
          <w:p w:rsidR="00A7352B" w:rsidRPr="00C82F88" w:rsidRDefault="00A7352B" w:rsidP="00A7352B">
            <w:pPr>
              <w:jc w:val="right"/>
              <w:rPr>
                <w:rFonts w:ascii="Arial" w:hAnsi="Arial" w:cs="Arial"/>
                <w:sz w:val="24"/>
                <w:szCs w:val="24"/>
              </w:rPr>
            </w:pPr>
            <w:r>
              <w:rPr>
                <w:rFonts w:ascii="Arial" w:hAnsi="Arial" w:cs="Arial"/>
                <w:sz w:val="24"/>
                <w:szCs w:val="24"/>
              </w:rPr>
              <w:t>£m</w:t>
            </w:r>
          </w:p>
        </w:tc>
      </w:tr>
      <w:tr w:rsidR="00A7352B" w:rsidRPr="00E20BFB" w:rsidTr="00A7352B">
        <w:tc>
          <w:tcPr>
            <w:tcW w:w="5053" w:type="dxa"/>
            <w:tcBorders>
              <w:top w:val="single" w:sz="4" w:space="0" w:color="auto"/>
              <w:bottom w:val="single" w:sz="4" w:space="0" w:color="auto"/>
            </w:tcBorders>
          </w:tcPr>
          <w:p w:rsidR="00A7352B" w:rsidRPr="00E20BFB" w:rsidRDefault="00A7352B" w:rsidP="00A7352B">
            <w:pPr>
              <w:jc w:val="left"/>
              <w:rPr>
                <w:rFonts w:ascii="Arial" w:hAnsi="Arial" w:cs="Arial"/>
                <w:sz w:val="24"/>
                <w:szCs w:val="24"/>
              </w:rPr>
            </w:pPr>
            <w:r>
              <w:rPr>
                <w:rFonts w:ascii="Arial" w:hAnsi="Arial" w:cs="Arial"/>
                <w:b/>
                <w:sz w:val="24"/>
                <w:szCs w:val="24"/>
              </w:rPr>
              <w:t>Kingfisher Economic Profit (KEP)</w:t>
            </w:r>
          </w:p>
        </w:tc>
        <w:tc>
          <w:tcPr>
            <w:tcW w:w="1518" w:type="dxa"/>
            <w:tcBorders>
              <w:top w:val="single" w:sz="4" w:space="0" w:color="auto"/>
              <w:bottom w:val="single" w:sz="4" w:space="0" w:color="auto"/>
            </w:tcBorders>
          </w:tcPr>
          <w:p w:rsidR="00A7352B" w:rsidRPr="009618C2" w:rsidRDefault="00FA71CF" w:rsidP="00A7352B">
            <w:pPr>
              <w:jc w:val="right"/>
              <w:rPr>
                <w:rFonts w:ascii="Arial" w:hAnsi="Arial" w:cs="Arial"/>
                <w:b/>
                <w:sz w:val="24"/>
                <w:szCs w:val="24"/>
              </w:rPr>
            </w:pPr>
            <w:r>
              <w:rPr>
                <w:rFonts w:ascii="Arial" w:hAnsi="Arial" w:cs="Arial"/>
                <w:b/>
                <w:sz w:val="24"/>
                <w:szCs w:val="24"/>
              </w:rPr>
              <w:t>74</w:t>
            </w:r>
          </w:p>
        </w:tc>
        <w:tc>
          <w:tcPr>
            <w:tcW w:w="1517" w:type="dxa"/>
            <w:tcBorders>
              <w:top w:val="single" w:sz="4" w:space="0" w:color="auto"/>
              <w:bottom w:val="single" w:sz="4" w:space="0" w:color="auto"/>
            </w:tcBorders>
          </w:tcPr>
          <w:p w:rsidR="00A7352B" w:rsidRPr="0006497D" w:rsidRDefault="00A7352B" w:rsidP="00A7352B">
            <w:pPr>
              <w:jc w:val="right"/>
              <w:rPr>
                <w:rFonts w:ascii="Arial" w:hAnsi="Arial" w:cs="Arial"/>
                <w:sz w:val="24"/>
                <w:szCs w:val="24"/>
              </w:rPr>
            </w:pPr>
            <w:r w:rsidRPr="0006497D">
              <w:rPr>
                <w:rFonts w:ascii="Arial" w:hAnsi="Arial" w:cs="Arial"/>
                <w:sz w:val="24"/>
                <w:szCs w:val="24"/>
              </w:rPr>
              <w:t>44</w:t>
            </w:r>
          </w:p>
        </w:tc>
        <w:tc>
          <w:tcPr>
            <w:tcW w:w="1518" w:type="dxa"/>
            <w:tcBorders>
              <w:top w:val="single" w:sz="4" w:space="0" w:color="auto"/>
              <w:bottom w:val="single" w:sz="4" w:space="0" w:color="auto"/>
            </w:tcBorders>
          </w:tcPr>
          <w:p w:rsidR="00A7352B" w:rsidRPr="00E20BFB" w:rsidRDefault="00A7352B" w:rsidP="00A7352B">
            <w:pPr>
              <w:jc w:val="right"/>
              <w:rPr>
                <w:rFonts w:ascii="Arial" w:hAnsi="Arial" w:cs="Arial"/>
                <w:sz w:val="24"/>
                <w:szCs w:val="24"/>
              </w:rPr>
            </w:pPr>
            <w:r>
              <w:rPr>
                <w:rFonts w:ascii="Arial" w:hAnsi="Arial" w:cs="Arial"/>
                <w:sz w:val="24"/>
                <w:szCs w:val="24"/>
              </w:rPr>
              <w:t>3</w:t>
            </w:r>
            <w:r w:rsidR="00FA71CF">
              <w:rPr>
                <w:rFonts w:ascii="Arial" w:hAnsi="Arial" w:cs="Arial"/>
                <w:sz w:val="24"/>
                <w:szCs w:val="24"/>
              </w:rPr>
              <w:t>0</w:t>
            </w:r>
          </w:p>
        </w:tc>
      </w:tr>
    </w:tbl>
    <w:p w:rsidR="00A7352B" w:rsidRDefault="00A7352B" w:rsidP="00A7352B">
      <w:pPr>
        <w:jc w:val="left"/>
        <w:rPr>
          <w:rFonts w:ascii="Arial" w:hAnsi="Arial" w:cs="Arial"/>
          <w:b/>
          <w:sz w:val="24"/>
          <w:szCs w:val="24"/>
        </w:rPr>
      </w:pPr>
    </w:p>
    <w:p w:rsidR="00A7352B" w:rsidRDefault="00A7352B" w:rsidP="00A7352B">
      <w:pPr>
        <w:jc w:val="left"/>
        <w:rPr>
          <w:rFonts w:ascii="Arial" w:hAnsi="Arial" w:cs="Arial"/>
          <w:b/>
          <w:sz w:val="24"/>
          <w:szCs w:val="24"/>
        </w:rPr>
      </w:pPr>
      <w:r w:rsidRPr="00C82F88">
        <w:rPr>
          <w:rFonts w:ascii="Arial" w:hAnsi="Arial" w:cs="Arial"/>
          <w:b/>
          <w:sz w:val="24"/>
          <w:szCs w:val="24"/>
        </w:rPr>
        <w:t>Geographic divisional return</w:t>
      </w:r>
    </w:p>
    <w:p w:rsidR="00A7352B" w:rsidRDefault="00A7352B" w:rsidP="00A7352B">
      <w:pPr>
        <w:jc w:val="left"/>
        <w:rPr>
          <w:rFonts w:ascii="Arial" w:hAnsi="Arial" w:cs="Arial"/>
          <w:sz w:val="24"/>
          <w:szCs w:val="24"/>
        </w:rPr>
      </w:pPr>
    </w:p>
    <w:p w:rsidR="00A7352B" w:rsidRDefault="00A7352B" w:rsidP="00A7352B">
      <w:pPr>
        <w:jc w:val="left"/>
      </w:pPr>
      <w:r>
        <w:rPr>
          <w:rFonts w:ascii="Arial" w:hAnsi="Arial" w:cs="Arial"/>
          <w:sz w:val="24"/>
          <w:szCs w:val="24"/>
        </w:rPr>
        <w:t xml:space="preserve">Kingfisher’s underlying KEP by geographic division is set out below. </w:t>
      </w:r>
      <w:r w:rsidRPr="00C82F88">
        <w:rPr>
          <w:rFonts w:ascii="Arial" w:hAnsi="Arial" w:cs="Arial" w:hint="eastAsia"/>
          <w:sz w:val="24"/>
          <w:szCs w:val="24"/>
        </w:rPr>
        <w:t xml:space="preserve">The divisional invested capital excludes </w:t>
      </w:r>
      <w:r>
        <w:rPr>
          <w:rFonts w:ascii="Arial" w:hAnsi="Arial" w:cs="Arial"/>
          <w:sz w:val="24"/>
          <w:szCs w:val="24"/>
        </w:rPr>
        <w:t xml:space="preserve">central </w:t>
      </w:r>
      <w:r w:rsidRPr="00C82F88">
        <w:rPr>
          <w:rFonts w:ascii="Arial" w:hAnsi="Arial" w:cs="Arial" w:hint="eastAsia"/>
          <w:sz w:val="24"/>
          <w:szCs w:val="24"/>
        </w:rPr>
        <w:t>goodwill</w:t>
      </w:r>
      <w:r>
        <w:rPr>
          <w:rFonts w:ascii="Arial" w:hAnsi="Arial" w:cs="Arial"/>
          <w:sz w:val="24"/>
          <w:szCs w:val="24"/>
        </w:rPr>
        <w:t xml:space="preserve"> of £2.4 billion</w:t>
      </w:r>
      <w:r w:rsidR="008B7F6D">
        <w:t>.</w:t>
      </w:r>
    </w:p>
    <w:tbl>
      <w:tblPr>
        <w:tblStyle w:val="TableGrid"/>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9"/>
        <w:gridCol w:w="973"/>
        <w:gridCol w:w="1324"/>
        <w:gridCol w:w="1174"/>
        <w:gridCol w:w="1324"/>
        <w:gridCol w:w="1228"/>
        <w:gridCol w:w="1084"/>
      </w:tblGrid>
      <w:tr w:rsidR="00A7352B" w:rsidRPr="00B46053" w:rsidTr="00A7352B">
        <w:trPr>
          <w:trHeight w:val="479"/>
        </w:trPr>
        <w:tc>
          <w:tcPr>
            <w:tcW w:w="1229" w:type="pct"/>
            <w:vMerge w:val="restart"/>
          </w:tcPr>
          <w:p w:rsidR="00A7352B" w:rsidRPr="00B46053" w:rsidRDefault="00A7352B" w:rsidP="00A7352B">
            <w:pPr>
              <w:jc w:val="left"/>
              <w:rPr>
                <w:rFonts w:ascii="Arial" w:hAnsi="Arial" w:cs="Arial"/>
                <w:sz w:val="24"/>
                <w:szCs w:val="24"/>
              </w:rPr>
            </w:pPr>
          </w:p>
        </w:tc>
        <w:tc>
          <w:tcPr>
            <w:tcW w:w="529" w:type="pct"/>
            <w:vMerge w:val="restart"/>
          </w:tcPr>
          <w:p w:rsidR="00A7352B" w:rsidRDefault="00A7352B" w:rsidP="00A7352B">
            <w:pPr>
              <w:jc w:val="right"/>
              <w:rPr>
                <w:rFonts w:ascii="Arial" w:hAnsi="Arial" w:cs="Arial"/>
                <w:sz w:val="24"/>
                <w:szCs w:val="24"/>
              </w:rPr>
            </w:pPr>
          </w:p>
          <w:p w:rsidR="00A7352B" w:rsidRDefault="00A7352B" w:rsidP="00A7352B">
            <w:pPr>
              <w:jc w:val="right"/>
              <w:rPr>
                <w:rFonts w:ascii="Arial" w:hAnsi="Arial" w:cs="Arial"/>
                <w:sz w:val="24"/>
                <w:szCs w:val="24"/>
              </w:rPr>
            </w:pPr>
          </w:p>
          <w:p w:rsidR="00A7352B" w:rsidRPr="00B46053" w:rsidRDefault="00A7352B" w:rsidP="00A7352B">
            <w:pPr>
              <w:jc w:val="right"/>
              <w:rPr>
                <w:rFonts w:ascii="Arial" w:hAnsi="Arial" w:cs="Arial"/>
                <w:sz w:val="24"/>
                <w:szCs w:val="24"/>
              </w:rPr>
            </w:pPr>
            <w:r w:rsidRPr="00B46053">
              <w:rPr>
                <w:rFonts w:ascii="Arial" w:hAnsi="Arial" w:cs="Arial"/>
                <w:sz w:val="24"/>
                <w:szCs w:val="24"/>
              </w:rPr>
              <w:t xml:space="preserve"> Sales £</w:t>
            </w:r>
            <w:proofErr w:type="spellStart"/>
            <w:r w:rsidRPr="00B46053">
              <w:rPr>
                <w:rFonts w:ascii="Arial" w:hAnsi="Arial" w:cs="Arial"/>
                <w:sz w:val="24"/>
                <w:szCs w:val="24"/>
              </w:rPr>
              <w:t>bn</w:t>
            </w:r>
            <w:proofErr w:type="spellEnd"/>
          </w:p>
        </w:tc>
        <w:tc>
          <w:tcPr>
            <w:tcW w:w="689" w:type="pct"/>
            <w:vMerge w:val="restart"/>
          </w:tcPr>
          <w:p w:rsidR="00A7352B" w:rsidRDefault="00A7352B" w:rsidP="00A7352B">
            <w:pPr>
              <w:jc w:val="right"/>
              <w:rPr>
                <w:rFonts w:ascii="Arial" w:hAnsi="Arial" w:cs="Arial"/>
                <w:sz w:val="24"/>
                <w:szCs w:val="24"/>
              </w:rPr>
            </w:pPr>
          </w:p>
          <w:p w:rsidR="00A7352B" w:rsidRPr="00B46053" w:rsidRDefault="00A7352B" w:rsidP="00A7352B">
            <w:pPr>
              <w:jc w:val="right"/>
              <w:rPr>
                <w:rFonts w:ascii="Arial" w:hAnsi="Arial" w:cs="Arial"/>
                <w:sz w:val="24"/>
                <w:szCs w:val="24"/>
              </w:rPr>
            </w:pPr>
            <w:r w:rsidRPr="00B46053">
              <w:rPr>
                <w:rFonts w:ascii="Arial" w:hAnsi="Arial" w:cs="Arial"/>
                <w:sz w:val="24"/>
                <w:szCs w:val="24"/>
              </w:rPr>
              <w:t>Proportion of Group sales %</w:t>
            </w:r>
          </w:p>
        </w:tc>
        <w:tc>
          <w:tcPr>
            <w:tcW w:w="636" w:type="pct"/>
            <w:vMerge w:val="restart"/>
            <w:vAlign w:val="bottom"/>
          </w:tcPr>
          <w:p w:rsidR="00A7352B" w:rsidRPr="00B46053" w:rsidRDefault="00A7352B" w:rsidP="00A7352B">
            <w:pPr>
              <w:jc w:val="right"/>
              <w:rPr>
                <w:rFonts w:ascii="Arial" w:hAnsi="Arial" w:cs="Arial"/>
                <w:sz w:val="24"/>
                <w:szCs w:val="24"/>
              </w:rPr>
            </w:pPr>
            <w:r w:rsidRPr="00B46053">
              <w:rPr>
                <w:rFonts w:ascii="Arial" w:hAnsi="Arial" w:cs="Arial"/>
                <w:sz w:val="24"/>
                <w:szCs w:val="24"/>
              </w:rPr>
              <w:t>Invested Capital</w:t>
            </w:r>
          </w:p>
          <w:p w:rsidR="00A7352B" w:rsidRPr="00B46053" w:rsidRDefault="00A7352B" w:rsidP="00A7352B">
            <w:pPr>
              <w:jc w:val="right"/>
              <w:rPr>
                <w:rFonts w:ascii="Arial" w:hAnsi="Arial" w:cs="Arial"/>
                <w:sz w:val="24"/>
                <w:szCs w:val="24"/>
              </w:rPr>
            </w:pPr>
            <w:r w:rsidRPr="00B46053">
              <w:rPr>
                <w:rFonts w:ascii="Arial" w:hAnsi="Arial" w:cs="Arial"/>
                <w:sz w:val="24"/>
                <w:szCs w:val="24"/>
              </w:rPr>
              <w:t>(IC)</w:t>
            </w:r>
          </w:p>
          <w:p w:rsidR="00A7352B" w:rsidRPr="00B46053" w:rsidRDefault="00A7352B" w:rsidP="00A7352B">
            <w:pPr>
              <w:jc w:val="right"/>
              <w:rPr>
                <w:rFonts w:ascii="Arial" w:hAnsi="Arial" w:cs="Arial"/>
                <w:sz w:val="24"/>
                <w:szCs w:val="24"/>
              </w:rPr>
            </w:pPr>
            <w:r w:rsidRPr="00B46053">
              <w:rPr>
                <w:rFonts w:ascii="Arial" w:hAnsi="Arial" w:cs="Arial"/>
                <w:sz w:val="24"/>
                <w:szCs w:val="24"/>
              </w:rPr>
              <w:t>£</w:t>
            </w:r>
            <w:proofErr w:type="spellStart"/>
            <w:r w:rsidRPr="00B46053">
              <w:rPr>
                <w:rFonts w:ascii="Arial" w:hAnsi="Arial" w:cs="Arial"/>
                <w:sz w:val="24"/>
                <w:szCs w:val="24"/>
              </w:rPr>
              <w:t>bn</w:t>
            </w:r>
            <w:proofErr w:type="spellEnd"/>
          </w:p>
        </w:tc>
        <w:tc>
          <w:tcPr>
            <w:tcW w:w="689" w:type="pct"/>
            <w:vMerge w:val="restart"/>
            <w:vAlign w:val="bottom"/>
          </w:tcPr>
          <w:p w:rsidR="00A7352B" w:rsidRPr="00B46053" w:rsidRDefault="00A7352B" w:rsidP="00A7352B">
            <w:pPr>
              <w:jc w:val="right"/>
              <w:rPr>
                <w:rFonts w:ascii="Arial" w:hAnsi="Arial" w:cs="Arial"/>
                <w:sz w:val="24"/>
                <w:szCs w:val="24"/>
              </w:rPr>
            </w:pPr>
            <w:r w:rsidRPr="00B46053">
              <w:rPr>
                <w:rFonts w:ascii="Arial" w:hAnsi="Arial" w:cs="Arial"/>
                <w:sz w:val="24"/>
                <w:szCs w:val="24"/>
              </w:rPr>
              <w:t>Proportion of Group IC %</w:t>
            </w:r>
          </w:p>
        </w:tc>
        <w:tc>
          <w:tcPr>
            <w:tcW w:w="1228" w:type="pct"/>
            <w:gridSpan w:val="2"/>
            <w:vAlign w:val="bottom"/>
          </w:tcPr>
          <w:p w:rsidR="00A7352B" w:rsidRDefault="00A7352B" w:rsidP="00A7352B">
            <w:pPr>
              <w:jc w:val="right"/>
              <w:rPr>
                <w:rFonts w:ascii="Arial" w:hAnsi="Arial" w:cs="Arial"/>
                <w:b/>
                <w:sz w:val="24"/>
                <w:szCs w:val="24"/>
              </w:rPr>
            </w:pPr>
            <w:r>
              <w:rPr>
                <w:rFonts w:ascii="Arial" w:hAnsi="Arial" w:cs="Arial"/>
                <w:sz w:val="24"/>
                <w:szCs w:val="24"/>
              </w:rPr>
              <w:t>Returns £m KEP</w:t>
            </w:r>
          </w:p>
          <w:p w:rsidR="00A7352B" w:rsidRPr="00B46053" w:rsidRDefault="00A7352B" w:rsidP="00A7352B">
            <w:pPr>
              <w:jc w:val="right"/>
              <w:rPr>
                <w:rFonts w:ascii="Arial" w:hAnsi="Arial" w:cs="Arial"/>
                <w:sz w:val="24"/>
                <w:szCs w:val="24"/>
              </w:rPr>
            </w:pPr>
          </w:p>
        </w:tc>
      </w:tr>
      <w:tr w:rsidR="00A7352B" w:rsidRPr="00B46053" w:rsidTr="00A7352B">
        <w:trPr>
          <w:trHeight w:val="555"/>
        </w:trPr>
        <w:tc>
          <w:tcPr>
            <w:tcW w:w="1229" w:type="pct"/>
            <w:vMerge/>
            <w:tcBorders>
              <w:bottom w:val="single" w:sz="4" w:space="0" w:color="auto"/>
            </w:tcBorders>
          </w:tcPr>
          <w:p w:rsidR="00A7352B" w:rsidRPr="00B46053" w:rsidRDefault="00A7352B" w:rsidP="00A7352B">
            <w:pPr>
              <w:jc w:val="left"/>
              <w:rPr>
                <w:rFonts w:ascii="Arial" w:hAnsi="Arial" w:cs="Arial"/>
                <w:sz w:val="24"/>
                <w:szCs w:val="24"/>
              </w:rPr>
            </w:pPr>
          </w:p>
        </w:tc>
        <w:tc>
          <w:tcPr>
            <w:tcW w:w="529" w:type="pct"/>
            <w:vMerge/>
            <w:tcBorders>
              <w:bottom w:val="single" w:sz="4" w:space="0" w:color="auto"/>
            </w:tcBorders>
          </w:tcPr>
          <w:p w:rsidR="00A7352B" w:rsidRDefault="00A7352B" w:rsidP="00A7352B">
            <w:pPr>
              <w:jc w:val="right"/>
              <w:rPr>
                <w:rFonts w:ascii="Arial" w:hAnsi="Arial" w:cs="Arial"/>
                <w:sz w:val="24"/>
                <w:szCs w:val="24"/>
              </w:rPr>
            </w:pPr>
          </w:p>
        </w:tc>
        <w:tc>
          <w:tcPr>
            <w:tcW w:w="689" w:type="pct"/>
            <w:vMerge/>
            <w:tcBorders>
              <w:bottom w:val="single" w:sz="4" w:space="0" w:color="auto"/>
            </w:tcBorders>
          </w:tcPr>
          <w:p w:rsidR="00A7352B" w:rsidRDefault="00A7352B" w:rsidP="00A7352B">
            <w:pPr>
              <w:jc w:val="right"/>
              <w:rPr>
                <w:rFonts w:ascii="Arial" w:hAnsi="Arial" w:cs="Arial"/>
                <w:sz w:val="24"/>
                <w:szCs w:val="24"/>
              </w:rPr>
            </w:pPr>
          </w:p>
        </w:tc>
        <w:tc>
          <w:tcPr>
            <w:tcW w:w="636" w:type="pct"/>
            <w:vMerge/>
            <w:tcBorders>
              <w:bottom w:val="single" w:sz="4" w:space="0" w:color="auto"/>
            </w:tcBorders>
            <w:vAlign w:val="bottom"/>
          </w:tcPr>
          <w:p w:rsidR="00A7352B" w:rsidRPr="00B46053" w:rsidRDefault="00A7352B" w:rsidP="00A7352B">
            <w:pPr>
              <w:jc w:val="right"/>
              <w:rPr>
                <w:rFonts w:ascii="Arial" w:hAnsi="Arial" w:cs="Arial"/>
                <w:sz w:val="24"/>
                <w:szCs w:val="24"/>
              </w:rPr>
            </w:pPr>
          </w:p>
        </w:tc>
        <w:tc>
          <w:tcPr>
            <w:tcW w:w="689" w:type="pct"/>
            <w:vMerge/>
            <w:tcBorders>
              <w:bottom w:val="single" w:sz="4" w:space="0" w:color="auto"/>
            </w:tcBorders>
            <w:vAlign w:val="bottom"/>
          </w:tcPr>
          <w:p w:rsidR="00A7352B" w:rsidRPr="00B46053" w:rsidRDefault="00A7352B" w:rsidP="00A7352B">
            <w:pPr>
              <w:jc w:val="right"/>
              <w:rPr>
                <w:rFonts w:ascii="Arial" w:hAnsi="Arial" w:cs="Arial"/>
                <w:sz w:val="24"/>
                <w:szCs w:val="24"/>
              </w:rPr>
            </w:pPr>
          </w:p>
        </w:tc>
        <w:tc>
          <w:tcPr>
            <w:tcW w:w="664" w:type="pct"/>
            <w:tcBorders>
              <w:bottom w:val="single" w:sz="4" w:space="0" w:color="auto"/>
            </w:tcBorders>
          </w:tcPr>
          <w:p w:rsidR="00A7352B" w:rsidRDefault="00A7352B" w:rsidP="00A7352B">
            <w:pPr>
              <w:jc w:val="right"/>
              <w:rPr>
                <w:rFonts w:ascii="Arial" w:hAnsi="Arial" w:cs="Arial"/>
                <w:b/>
                <w:sz w:val="24"/>
                <w:szCs w:val="24"/>
              </w:rPr>
            </w:pPr>
          </w:p>
          <w:p w:rsidR="00A7352B" w:rsidRDefault="00A7352B" w:rsidP="00A7352B">
            <w:pPr>
              <w:jc w:val="right"/>
              <w:rPr>
                <w:rFonts w:ascii="Arial" w:hAnsi="Arial" w:cs="Arial"/>
                <w:b/>
                <w:sz w:val="24"/>
                <w:szCs w:val="24"/>
              </w:rPr>
            </w:pPr>
            <w:r>
              <w:rPr>
                <w:rFonts w:ascii="Arial" w:hAnsi="Arial" w:cs="Arial"/>
                <w:b/>
                <w:sz w:val="24"/>
                <w:szCs w:val="24"/>
              </w:rPr>
              <w:t>2013/14</w:t>
            </w:r>
          </w:p>
        </w:tc>
        <w:tc>
          <w:tcPr>
            <w:tcW w:w="564" w:type="pct"/>
            <w:tcBorders>
              <w:bottom w:val="single" w:sz="4" w:space="0" w:color="auto"/>
            </w:tcBorders>
          </w:tcPr>
          <w:p w:rsidR="00A7352B" w:rsidRPr="0006497D" w:rsidRDefault="00A7352B" w:rsidP="00A7352B">
            <w:pPr>
              <w:jc w:val="right"/>
              <w:rPr>
                <w:rFonts w:ascii="Arial" w:hAnsi="Arial" w:cs="Arial"/>
                <w:sz w:val="24"/>
                <w:szCs w:val="24"/>
              </w:rPr>
            </w:pPr>
          </w:p>
          <w:p w:rsidR="00A7352B" w:rsidRPr="0006497D" w:rsidRDefault="00A7352B" w:rsidP="00A7352B">
            <w:pPr>
              <w:jc w:val="right"/>
              <w:rPr>
                <w:rFonts w:ascii="Arial" w:hAnsi="Arial" w:cs="Arial"/>
                <w:sz w:val="24"/>
                <w:szCs w:val="24"/>
              </w:rPr>
            </w:pPr>
            <w:r w:rsidRPr="0006497D">
              <w:rPr>
                <w:rFonts w:ascii="Arial" w:hAnsi="Arial" w:cs="Arial"/>
                <w:sz w:val="24"/>
                <w:szCs w:val="24"/>
              </w:rPr>
              <w:t>2012/13</w:t>
            </w:r>
          </w:p>
        </w:tc>
      </w:tr>
      <w:tr w:rsidR="00A7352B" w:rsidRPr="00B46053" w:rsidTr="00A7352B">
        <w:tc>
          <w:tcPr>
            <w:tcW w:w="1229" w:type="pct"/>
            <w:tcBorders>
              <w:top w:val="single" w:sz="4" w:space="0" w:color="auto"/>
            </w:tcBorders>
          </w:tcPr>
          <w:p w:rsidR="00A7352B" w:rsidRPr="00B46053" w:rsidRDefault="00A7352B" w:rsidP="00A7352B">
            <w:pPr>
              <w:jc w:val="left"/>
              <w:rPr>
                <w:rFonts w:ascii="Arial" w:hAnsi="Arial" w:cs="Arial"/>
                <w:sz w:val="24"/>
                <w:szCs w:val="24"/>
              </w:rPr>
            </w:pPr>
            <w:r w:rsidRPr="00B46053">
              <w:rPr>
                <w:rFonts w:ascii="Arial" w:hAnsi="Arial" w:cs="Arial"/>
                <w:sz w:val="24"/>
                <w:szCs w:val="24"/>
              </w:rPr>
              <w:t>UK</w:t>
            </w:r>
          </w:p>
        </w:tc>
        <w:tc>
          <w:tcPr>
            <w:tcW w:w="529" w:type="pct"/>
            <w:tcBorders>
              <w:top w:val="single" w:sz="4" w:space="0" w:color="auto"/>
            </w:tcBorders>
            <w:shd w:val="clear" w:color="auto" w:fill="auto"/>
          </w:tcPr>
          <w:p w:rsidR="00A7352B" w:rsidRPr="00A93D11" w:rsidRDefault="00A7352B" w:rsidP="00A7352B">
            <w:pPr>
              <w:jc w:val="right"/>
              <w:rPr>
                <w:rFonts w:ascii="Arial" w:hAnsi="Arial" w:cs="Arial"/>
                <w:sz w:val="24"/>
                <w:szCs w:val="24"/>
              </w:rPr>
            </w:pPr>
            <w:r>
              <w:rPr>
                <w:rFonts w:ascii="Arial" w:hAnsi="Arial" w:cs="Arial"/>
                <w:sz w:val="24"/>
                <w:szCs w:val="24"/>
              </w:rPr>
              <w:t>4.4</w:t>
            </w:r>
          </w:p>
        </w:tc>
        <w:tc>
          <w:tcPr>
            <w:tcW w:w="689" w:type="pct"/>
            <w:tcBorders>
              <w:top w:val="single" w:sz="4" w:space="0" w:color="auto"/>
            </w:tcBorders>
            <w:shd w:val="clear" w:color="auto" w:fill="auto"/>
          </w:tcPr>
          <w:p w:rsidR="00A7352B" w:rsidRPr="00A93D11" w:rsidRDefault="00A7352B" w:rsidP="00A7352B">
            <w:pPr>
              <w:jc w:val="right"/>
              <w:rPr>
                <w:rFonts w:ascii="Arial" w:hAnsi="Arial" w:cs="Arial"/>
                <w:sz w:val="24"/>
                <w:szCs w:val="24"/>
              </w:rPr>
            </w:pPr>
            <w:r>
              <w:rPr>
                <w:rFonts w:ascii="Arial" w:hAnsi="Arial" w:cs="Arial"/>
                <w:sz w:val="24"/>
                <w:szCs w:val="24"/>
              </w:rPr>
              <w:t>40%</w:t>
            </w:r>
          </w:p>
        </w:tc>
        <w:tc>
          <w:tcPr>
            <w:tcW w:w="636" w:type="pct"/>
            <w:tcBorders>
              <w:top w:val="single" w:sz="4" w:space="0" w:color="auto"/>
            </w:tcBorders>
            <w:shd w:val="clear" w:color="auto" w:fill="auto"/>
          </w:tcPr>
          <w:p w:rsidR="00A7352B" w:rsidRPr="0054321D" w:rsidRDefault="00A7352B" w:rsidP="00A7352B">
            <w:pPr>
              <w:jc w:val="right"/>
              <w:rPr>
                <w:rFonts w:ascii="Arial" w:hAnsi="Arial" w:cs="Arial"/>
                <w:sz w:val="24"/>
                <w:szCs w:val="24"/>
              </w:rPr>
            </w:pPr>
            <w:r>
              <w:rPr>
                <w:rFonts w:ascii="Arial" w:hAnsi="Arial" w:cs="Arial"/>
                <w:sz w:val="24"/>
                <w:szCs w:val="24"/>
              </w:rPr>
              <w:t>5.</w:t>
            </w:r>
            <w:r w:rsidR="009D638E">
              <w:rPr>
                <w:rFonts w:ascii="Arial" w:hAnsi="Arial" w:cs="Arial"/>
                <w:sz w:val="24"/>
                <w:szCs w:val="24"/>
              </w:rPr>
              <w:t>9</w:t>
            </w:r>
          </w:p>
        </w:tc>
        <w:tc>
          <w:tcPr>
            <w:tcW w:w="689" w:type="pct"/>
            <w:tcBorders>
              <w:top w:val="single" w:sz="4" w:space="0" w:color="auto"/>
            </w:tcBorders>
            <w:shd w:val="clear" w:color="auto" w:fill="auto"/>
          </w:tcPr>
          <w:p w:rsidR="00A7352B" w:rsidRPr="0054321D" w:rsidRDefault="00A7352B" w:rsidP="00A7352B">
            <w:pPr>
              <w:jc w:val="right"/>
              <w:rPr>
                <w:rFonts w:ascii="Arial" w:hAnsi="Arial" w:cs="Arial"/>
                <w:sz w:val="24"/>
                <w:szCs w:val="24"/>
              </w:rPr>
            </w:pPr>
            <w:r>
              <w:rPr>
                <w:rFonts w:ascii="Arial" w:hAnsi="Arial" w:cs="Arial"/>
                <w:sz w:val="24"/>
                <w:szCs w:val="24"/>
              </w:rPr>
              <w:t>4</w:t>
            </w:r>
            <w:r w:rsidR="009D638E">
              <w:rPr>
                <w:rFonts w:ascii="Arial" w:hAnsi="Arial" w:cs="Arial"/>
                <w:sz w:val="24"/>
                <w:szCs w:val="24"/>
              </w:rPr>
              <w:t>8</w:t>
            </w:r>
            <w:r>
              <w:rPr>
                <w:rFonts w:ascii="Arial" w:hAnsi="Arial" w:cs="Arial"/>
                <w:sz w:val="24"/>
                <w:szCs w:val="24"/>
              </w:rPr>
              <w:t>%</w:t>
            </w:r>
          </w:p>
        </w:tc>
        <w:tc>
          <w:tcPr>
            <w:tcW w:w="664" w:type="pct"/>
            <w:tcBorders>
              <w:top w:val="single" w:sz="4" w:space="0" w:color="auto"/>
            </w:tcBorders>
            <w:shd w:val="clear" w:color="auto" w:fill="auto"/>
          </w:tcPr>
          <w:p w:rsidR="00A7352B" w:rsidRPr="00AD519B" w:rsidRDefault="00A7352B" w:rsidP="00A7352B">
            <w:pPr>
              <w:jc w:val="right"/>
              <w:rPr>
                <w:rFonts w:ascii="Arial" w:hAnsi="Arial" w:cs="Arial"/>
                <w:b/>
                <w:sz w:val="24"/>
                <w:szCs w:val="24"/>
              </w:rPr>
            </w:pPr>
            <w:r w:rsidRPr="00AD519B">
              <w:rPr>
                <w:rFonts w:ascii="Arial" w:hAnsi="Arial" w:cs="Arial"/>
                <w:b/>
                <w:sz w:val="24"/>
                <w:szCs w:val="24"/>
              </w:rPr>
              <w:t>17</w:t>
            </w:r>
          </w:p>
        </w:tc>
        <w:tc>
          <w:tcPr>
            <w:tcW w:w="564" w:type="pct"/>
            <w:tcBorders>
              <w:top w:val="single" w:sz="4" w:space="0" w:color="auto"/>
            </w:tcBorders>
          </w:tcPr>
          <w:p w:rsidR="00A7352B" w:rsidRPr="0006497D" w:rsidRDefault="00A7352B" w:rsidP="00A7352B">
            <w:pPr>
              <w:jc w:val="right"/>
              <w:rPr>
                <w:rFonts w:ascii="Arial" w:hAnsi="Arial" w:cs="Arial"/>
                <w:sz w:val="24"/>
                <w:szCs w:val="24"/>
              </w:rPr>
            </w:pPr>
            <w:r w:rsidRPr="0006497D">
              <w:rPr>
                <w:rFonts w:ascii="Arial" w:hAnsi="Arial" w:cs="Arial"/>
                <w:sz w:val="24"/>
                <w:szCs w:val="24"/>
              </w:rPr>
              <w:t>(5)</w:t>
            </w:r>
          </w:p>
        </w:tc>
      </w:tr>
      <w:tr w:rsidR="00A7352B" w:rsidRPr="00B46053" w:rsidTr="00A7352B">
        <w:tc>
          <w:tcPr>
            <w:tcW w:w="1229" w:type="pct"/>
          </w:tcPr>
          <w:p w:rsidR="00A7352B" w:rsidRPr="00B46053" w:rsidRDefault="00A7352B" w:rsidP="00A7352B">
            <w:pPr>
              <w:jc w:val="left"/>
              <w:rPr>
                <w:rFonts w:ascii="Arial" w:hAnsi="Arial" w:cs="Arial"/>
                <w:sz w:val="24"/>
                <w:szCs w:val="24"/>
              </w:rPr>
            </w:pPr>
            <w:r w:rsidRPr="00B46053">
              <w:rPr>
                <w:rFonts w:ascii="Arial" w:hAnsi="Arial" w:cs="Arial"/>
                <w:sz w:val="24"/>
                <w:szCs w:val="24"/>
              </w:rPr>
              <w:t xml:space="preserve">France  </w:t>
            </w:r>
          </w:p>
        </w:tc>
        <w:tc>
          <w:tcPr>
            <w:tcW w:w="529" w:type="pct"/>
            <w:shd w:val="clear" w:color="auto" w:fill="auto"/>
          </w:tcPr>
          <w:p w:rsidR="00A7352B" w:rsidRPr="00A93D11" w:rsidRDefault="00A7352B" w:rsidP="00A7352B">
            <w:pPr>
              <w:jc w:val="right"/>
              <w:rPr>
                <w:rFonts w:ascii="Arial" w:hAnsi="Arial" w:cs="Arial"/>
                <w:sz w:val="24"/>
                <w:szCs w:val="24"/>
              </w:rPr>
            </w:pPr>
            <w:r>
              <w:rPr>
                <w:rFonts w:ascii="Arial" w:hAnsi="Arial" w:cs="Arial"/>
                <w:sz w:val="24"/>
                <w:szCs w:val="24"/>
              </w:rPr>
              <w:t>4.4</w:t>
            </w:r>
          </w:p>
        </w:tc>
        <w:tc>
          <w:tcPr>
            <w:tcW w:w="689" w:type="pct"/>
            <w:shd w:val="clear" w:color="auto" w:fill="auto"/>
          </w:tcPr>
          <w:p w:rsidR="00A7352B" w:rsidRPr="00A93D11" w:rsidRDefault="00A7352B" w:rsidP="00A7352B">
            <w:pPr>
              <w:jc w:val="right"/>
              <w:rPr>
                <w:rFonts w:ascii="Arial" w:hAnsi="Arial" w:cs="Arial"/>
                <w:sz w:val="24"/>
                <w:szCs w:val="24"/>
              </w:rPr>
            </w:pPr>
            <w:r>
              <w:rPr>
                <w:rFonts w:ascii="Arial" w:hAnsi="Arial" w:cs="Arial"/>
                <w:sz w:val="24"/>
                <w:szCs w:val="24"/>
              </w:rPr>
              <w:t>40%</w:t>
            </w:r>
          </w:p>
        </w:tc>
        <w:tc>
          <w:tcPr>
            <w:tcW w:w="636" w:type="pct"/>
            <w:shd w:val="clear" w:color="auto" w:fill="auto"/>
          </w:tcPr>
          <w:p w:rsidR="00A7352B" w:rsidRPr="0054321D" w:rsidRDefault="00A7352B" w:rsidP="00A7352B">
            <w:pPr>
              <w:jc w:val="right"/>
              <w:rPr>
                <w:rFonts w:ascii="Arial" w:hAnsi="Arial" w:cs="Arial"/>
                <w:sz w:val="24"/>
                <w:szCs w:val="24"/>
              </w:rPr>
            </w:pPr>
            <w:r>
              <w:rPr>
                <w:rFonts w:ascii="Arial" w:hAnsi="Arial" w:cs="Arial"/>
                <w:sz w:val="24"/>
                <w:szCs w:val="24"/>
              </w:rPr>
              <w:t>2.4</w:t>
            </w:r>
          </w:p>
        </w:tc>
        <w:tc>
          <w:tcPr>
            <w:tcW w:w="689" w:type="pct"/>
            <w:shd w:val="clear" w:color="auto" w:fill="auto"/>
          </w:tcPr>
          <w:p w:rsidR="00A7352B" w:rsidRPr="0054321D" w:rsidRDefault="00A7352B" w:rsidP="00A7352B">
            <w:pPr>
              <w:jc w:val="right"/>
              <w:rPr>
                <w:rFonts w:ascii="Arial" w:hAnsi="Arial" w:cs="Arial"/>
                <w:sz w:val="24"/>
                <w:szCs w:val="24"/>
              </w:rPr>
            </w:pPr>
            <w:r>
              <w:rPr>
                <w:rFonts w:ascii="Arial" w:hAnsi="Arial" w:cs="Arial"/>
                <w:sz w:val="24"/>
                <w:szCs w:val="24"/>
              </w:rPr>
              <w:t>20%</w:t>
            </w:r>
          </w:p>
        </w:tc>
        <w:tc>
          <w:tcPr>
            <w:tcW w:w="664" w:type="pct"/>
            <w:shd w:val="clear" w:color="auto" w:fill="auto"/>
          </w:tcPr>
          <w:p w:rsidR="00A7352B" w:rsidRPr="00AD519B" w:rsidRDefault="00A7352B" w:rsidP="00A7352B">
            <w:pPr>
              <w:jc w:val="right"/>
              <w:rPr>
                <w:rFonts w:ascii="Arial" w:hAnsi="Arial" w:cs="Arial"/>
                <w:b/>
                <w:sz w:val="24"/>
                <w:szCs w:val="24"/>
              </w:rPr>
            </w:pPr>
            <w:r w:rsidRPr="00AD519B">
              <w:rPr>
                <w:rFonts w:ascii="Arial" w:hAnsi="Arial" w:cs="Arial"/>
                <w:b/>
                <w:sz w:val="24"/>
                <w:szCs w:val="24"/>
              </w:rPr>
              <w:t>137</w:t>
            </w:r>
          </w:p>
        </w:tc>
        <w:tc>
          <w:tcPr>
            <w:tcW w:w="564" w:type="pct"/>
          </w:tcPr>
          <w:p w:rsidR="00A7352B" w:rsidRPr="0006497D" w:rsidRDefault="00A7352B" w:rsidP="00A7352B">
            <w:pPr>
              <w:jc w:val="right"/>
              <w:rPr>
                <w:rFonts w:ascii="Arial" w:hAnsi="Arial" w:cs="Arial"/>
                <w:sz w:val="24"/>
                <w:szCs w:val="24"/>
              </w:rPr>
            </w:pPr>
            <w:r w:rsidRPr="0006497D">
              <w:rPr>
                <w:rFonts w:ascii="Arial" w:hAnsi="Arial" w:cs="Arial"/>
                <w:sz w:val="24"/>
                <w:szCs w:val="24"/>
              </w:rPr>
              <w:t>150</w:t>
            </w:r>
          </w:p>
        </w:tc>
      </w:tr>
      <w:tr w:rsidR="00A7352B" w:rsidRPr="003E4860" w:rsidTr="00A7352B">
        <w:tc>
          <w:tcPr>
            <w:tcW w:w="1229" w:type="pct"/>
          </w:tcPr>
          <w:p w:rsidR="00A7352B" w:rsidRPr="00A749C4" w:rsidRDefault="00A7352B" w:rsidP="00A7352B">
            <w:pPr>
              <w:jc w:val="left"/>
              <w:rPr>
                <w:rFonts w:ascii="Arial" w:hAnsi="Arial" w:cs="Arial"/>
                <w:sz w:val="24"/>
                <w:szCs w:val="24"/>
              </w:rPr>
            </w:pPr>
            <w:r>
              <w:rPr>
                <w:rFonts w:ascii="Arial" w:hAnsi="Arial" w:cs="Arial"/>
                <w:sz w:val="24"/>
                <w:szCs w:val="24"/>
              </w:rPr>
              <w:t>Other International</w:t>
            </w:r>
          </w:p>
        </w:tc>
        <w:tc>
          <w:tcPr>
            <w:tcW w:w="529" w:type="pct"/>
            <w:shd w:val="clear" w:color="auto" w:fill="auto"/>
          </w:tcPr>
          <w:p w:rsidR="00A7352B" w:rsidRPr="00A749C4" w:rsidRDefault="00A7352B" w:rsidP="00A7352B">
            <w:pPr>
              <w:jc w:val="right"/>
              <w:rPr>
                <w:rFonts w:ascii="Arial" w:hAnsi="Arial" w:cs="Arial"/>
                <w:sz w:val="24"/>
                <w:szCs w:val="24"/>
              </w:rPr>
            </w:pPr>
            <w:r>
              <w:rPr>
                <w:rFonts w:ascii="Arial" w:hAnsi="Arial" w:cs="Arial"/>
                <w:sz w:val="24"/>
                <w:szCs w:val="24"/>
              </w:rPr>
              <w:t>2.3</w:t>
            </w:r>
          </w:p>
        </w:tc>
        <w:tc>
          <w:tcPr>
            <w:tcW w:w="689" w:type="pct"/>
            <w:shd w:val="clear" w:color="auto" w:fill="auto"/>
          </w:tcPr>
          <w:p w:rsidR="00A7352B" w:rsidRPr="00A749C4" w:rsidRDefault="00A7352B" w:rsidP="00A7352B">
            <w:pPr>
              <w:jc w:val="right"/>
              <w:rPr>
                <w:rFonts w:ascii="Arial" w:hAnsi="Arial" w:cs="Arial"/>
                <w:sz w:val="24"/>
                <w:szCs w:val="24"/>
              </w:rPr>
            </w:pPr>
            <w:r>
              <w:rPr>
                <w:rFonts w:ascii="Arial" w:hAnsi="Arial" w:cs="Arial"/>
                <w:sz w:val="24"/>
                <w:szCs w:val="24"/>
              </w:rPr>
              <w:t>20%</w:t>
            </w:r>
          </w:p>
        </w:tc>
        <w:tc>
          <w:tcPr>
            <w:tcW w:w="636" w:type="pct"/>
            <w:shd w:val="clear" w:color="auto" w:fill="auto"/>
          </w:tcPr>
          <w:p w:rsidR="00A7352B" w:rsidRPr="00A749C4" w:rsidRDefault="00A7352B" w:rsidP="00A7352B">
            <w:pPr>
              <w:jc w:val="right"/>
              <w:rPr>
                <w:rFonts w:ascii="Arial" w:hAnsi="Arial" w:cs="Arial"/>
                <w:sz w:val="24"/>
                <w:szCs w:val="24"/>
              </w:rPr>
            </w:pPr>
            <w:r>
              <w:rPr>
                <w:rFonts w:ascii="Arial" w:hAnsi="Arial" w:cs="Arial"/>
                <w:sz w:val="24"/>
                <w:szCs w:val="24"/>
              </w:rPr>
              <w:t>1.</w:t>
            </w:r>
            <w:r w:rsidR="006A22F2">
              <w:rPr>
                <w:rFonts w:ascii="Arial" w:hAnsi="Arial" w:cs="Arial"/>
                <w:sz w:val="24"/>
                <w:szCs w:val="24"/>
              </w:rPr>
              <w:t>5</w:t>
            </w:r>
          </w:p>
        </w:tc>
        <w:tc>
          <w:tcPr>
            <w:tcW w:w="689" w:type="pct"/>
            <w:shd w:val="clear" w:color="auto" w:fill="auto"/>
          </w:tcPr>
          <w:p w:rsidR="00A7352B" w:rsidRPr="00A749C4" w:rsidRDefault="00A7352B" w:rsidP="00A7352B">
            <w:pPr>
              <w:jc w:val="right"/>
              <w:rPr>
                <w:rFonts w:ascii="Arial" w:hAnsi="Arial" w:cs="Arial"/>
                <w:sz w:val="24"/>
                <w:szCs w:val="24"/>
              </w:rPr>
            </w:pPr>
            <w:r>
              <w:rPr>
                <w:rFonts w:ascii="Arial" w:hAnsi="Arial" w:cs="Arial"/>
                <w:sz w:val="24"/>
                <w:szCs w:val="24"/>
              </w:rPr>
              <w:t>1</w:t>
            </w:r>
            <w:r w:rsidR="009D638E">
              <w:rPr>
                <w:rFonts w:ascii="Arial" w:hAnsi="Arial" w:cs="Arial"/>
                <w:sz w:val="24"/>
                <w:szCs w:val="24"/>
              </w:rPr>
              <w:t>2</w:t>
            </w:r>
            <w:r>
              <w:rPr>
                <w:rFonts w:ascii="Arial" w:hAnsi="Arial" w:cs="Arial"/>
                <w:sz w:val="24"/>
                <w:szCs w:val="24"/>
              </w:rPr>
              <w:t>%</w:t>
            </w:r>
          </w:p>
        </w:tc>
        <w:tc>
          <w:tcPr>
            <w:tcW w:w="664" w:type="pct"/>
            <w:shd w:val="clear" w:color="auto" w:fill="auto"/>
          </w:tcPr>
          <w:p w:rsidR="00A7352B" w:rsidRPr="00AD519B" w:rsidRDefault="00A7352B" w:rsidP="00A7352B">
            <w:pPr>
              <w:jc w:val="right"/>
              <w:rPr>
                <w:rFonts w:ascii="Arial" w:hAnsi="Arial" w:cs="Arial"/>
                <w:b/>
                <w:sz w:val="24"/>
                <w:szCs w:val="24"/>
              </w:rPr>
            </w:pPr>
            <w:r w:rsidRPr="00AD519B">
              <w:rPr>
                <w:rFonts w:ascii="Arial" w:hAnsi="Arial" w:cs="Arial"/>
                <w:b/>
                <w:sz w:val="24"/>
                <w:szCs w:val="24"/>
              </w:rPr>
              <w:t>46</w:t>
            </w:r>
          </w:p>
        </w:tc>
        <w:tc>
          <w:tcPr>
            <w:tcW w:w="564" w:type="pct"/>
          </w:tcPr>
          <w:p w:rsidR="00A7352B" w:rsidRPr="0006497D" w:rsidRDefault="00A7352B" w:rsidP="00A7352B">
            <w:pPr>
              <w:jc w:val="right"/>
              <w:rPr>
                <w:rFonts w:ascii="Arial" w:hAnsi="Arial" w:cs="Arial"/>
                <w:sz w:val="24"/>
                <w:szCs w:val="24"/>
              </w:rPr>
            </w:pPr>
            <w:r w:rsidRPr="0006497D">
              <w:rPr>
                <w:rFonts w:ascii="Arial" w:hAnsi="Arial" w:cs="Arial"/>
                <w:sz w:val="24"/>
                <w:szCs w:val="24"/>
              </w:rPr>
              <w:t>37</w:t>
            </w:r>
          </w:p>
        </w:tc>
      </w:tr>
      <w:tr w:rsidR="00A7352B" w:rsidRPr="003E4860" w:rsidTr="00A7352B">
        <w:tc>
          <w:tcPr>
            <w:tcW w:w="1229" w:type="pct"/>
            <w:tcBorders>
              <w:bottom w:val="single" w:sz="4" w:space="0" w:color="auto"/>
            </w:tcBorders>
          </w:tcPr>
          <w:p w:rsidR="00A7352B" w:rsidRPr="00A749C4" w:rsidRDefault="00A7352B" w:rsidP="00A7352B">
            <w:pPr>
              <w:jc w:val="left"/>
              <w:rPr>
                <w:rFonts w:ascii="Arial" w:hAnsi="Arial" w:cs="Arial"/>
                <w:sz w:val="24"/>
                <w:szCs w:val="24"/>
              </w:rPr>
            </w:pPr>
            <w:r>
              <w:rPr>
                <w:rFonts w:ascii="Arial" w:hAnsi="Arial" w:cs="Arial"/>
                <w:sz w:val="24"/>
                <w:szCs w:val="24"/>
              </w:rPr>
              <w:t>Goodwill &amp; Central</w:t>
            </w:r>
          </w:p>
        </w:tc>
        <w:tc>
          <w:tcPr>
            <w:tcW w:w="529" w:type="pct"/>
            <w:tcBorders>
              <w:bottom w:val="single" w:sz="4" w:space="0" w:color="auto"/>
            </w:tcBorders>
            <w:shd w:val="clear" w:color="auto" w:fill="auto"/>
          </w:tcPr>
          <w:p w:rsidR="00A7352B" w:rsidRPr="00A749C4" w:rsidRDefault="00A7352B" w:rsidP="00A7352B">
            <w:pPr>
              <w:jc w:val="right"/>
              <w:rPr>
                <w:rFonts w:ascii="Arial" w:hAnsi="Arial" w:cs="Arial"/>
                <w:sz w:val="24"/>
                <w:szCs w:val="24"/>
              </w:rPr>
            </w:pPr>
          </w:p>
        </w:tc>
        <w:tc>
          <w:tcPr>
            <w:tcW w:w="689" w:type="pct"/>
            <w:tcBorders>
              <w:bottom w:val="single" w:sz="4" w:space="0" w:color="auto"/>
            </w:tcBorders>
            <w:shd w:val="clear" w:color="auto" w:fill="auto"/>
          </w:tcPr>
          <w:p w:rsidR="00A7352B" w:rsidRPr="00A749C4" w:rsidRDefault="00A7352B" w:rsidP="00A7352B">
            <w:pPr>
              <w:jc w:val="right"/>
              <w:rPr>
                <w:rFonts w:ascii="Arial" w:hAnsi="Arial" w:cs="Arial"/>
                <w:sz w:val="24"/>
                <w:szCs w:val="24"/>
              </w:rPr>
            </w:pPr>
          </w:p>
        </w:tc>
        <w:tc>
          <w:tcPr>
            <w:tcW w:w="636" w:type="pct"/>
            <w:tcBorders>
              <w:bottom w:val="single" w:sz="4" w:space="0" w:color="auto"/>
            </w:tcBorders>
            <w:shd w:val="clear" w:color="auto" w:fill="auto"/>
          </w:tcPr>
          <w:p w:rsidR="00A7352B" w:rsidRPr="00234ACC" w:rsidRDefault="00A7352B" w:rsidP="00A7352B">
            <w:pPr>
              <w:jc w:val="right"/>
              <w:rPr>
                <w:rFonts w:ascii="Arial" w:hAnsi="Arial" w:cs="Arial"/>
                <w:sz w:val="24"/>
                <w:szCs w:val="24"/>
              </w:rPr>
            </w:pPr>
            <w:r>
              <w:rPr>
                <w:rFonts w:ascii="Arial" w:hAnsi="Arial" w:cs="Arial"/>
                <w:sz w:val="24"/>
                <w:szCs w:val="24"/>
              </w:rPr>
              <w:t>2.</w:t>
            </w:r>
            <w:r w:rsidR="00B73197">
              <w:rPr>
                <w:rFonts w:ascii="Arial" w:hAnsi="Arial" w:cs="Arial"/>
                <w:sz w:val="24"/>
                <w:szCs w:val="24"/>
              </w:rPr>
              <w:t>4</w:t>
            </w:r>
          </w:p>
        </w:tc>
        <w:tc>
          <w:tcPr>
            <w:tcW w:w="689" w:type="pct"/>
            <w:tcBorders>
              <w:bottom w:val="single" w:sz="4" w:space="0" w:color="auto"/>
            </w:tcBorders>
            <w:shd w:val="clear" w:color="auto" w:fill="auto"/>
          </w:tcPr>
          <w:p w:rsidR="00A7352B" w:rsidRPr="00234ACC" w:rsidRDefault="009D638E" w:rsidP="00A7352B">
            <w:pPr>
              <w:jc w:val="right"/>
              <w:rPr>
                <w:rFonts w:ascii="Arial" w:hAnsi="Arial" w:cs="Arial"/>
                <w:sz w:val="24"/>
                <w:szCs w:val="24"/>
              </w:rPr>
            </w:pPr>
            <w:r>
              <w:rPr>
                <w:rFonts w:ascii="Arial" w:hAnsi="Arial" w:cs="Arial"/>
                <w:sz w:val="24"/>
                <w:szCs w:val="24"/>
              </w:rPr>
              <w:t>20</w:t>
            </w:r>
            <w:r w:rsidR="00A7352B">
              <w:rPr>
                <w:rFonts w:ascii="Arial" w:hAnsi="Arial" w:cs="Arial"/>
                <w:sz w:val="24"/>
                <w:szCs w:val="24"/>
              </w:rPr>
              <w:t>%</w:t>
            </w:r>
          </w:p>
        </w:tc>
        <w:tc>
          <w:tcPr>
            <w:tcW w:w="664" w:type="pct"/>
            <w:tcBorders>
              <w:bottom w:val="single" w:sz="4" w:space="0" w:color="auto"/>
            </w:tcBorders>
            <w:shd w:val="clear" w:color="auto" w:fill="auto"/>
          </w:tcPr>
          <w:p w:rsidR="00A7352B" w:rsidRPr="00AD519B" w:rsidRDefault="00A7352B" w:rsidP="00A7352B">
            <w:pPr>
              <w:jc w:val="right"/>
              <w:rPr>
                <w:rFonts w:ascii="Arial" w:hAnsi="Arial" w:cs="Arial"/>
                <w:b/>
                <w:sz w:val="24"/>
                <w:szCs w:val="24"/>
              </w:rPr>
            </w:pPr>
            <w:r w:rsidRPr="00AD519B">
              <w:rPr>
                <w:rFonts w:ascii="Arial" w:hAnsi="Arial" w:cs="Arial"/>
                <w:b/>
                <w:sz w:val="24"/>
                <w:szCs w:val="24"/>
              </w:rPr>
              <w:t>(1</w:t>
            </w:r>
            <w:r w:rsidR="00AD519B">
              <w:rPr>
                <w:rFonts w:ascii="Arial" w:hAnsi="Arial" w:cs="Arial"/>
                <w:b/>
                <w:sz w:val="24"/>
                <w:szCs w:val="24"/>
              </w:rPr>
              <w:t>26</w:t>
            </w:r>
            <w:r w:rsidRPr="00AD519B">
              <w:rPr>
                <w:rFonts w:ascii="Arial" w:hAnsi="Arial" w:cs="Arial"/>
                <w:b/>
                <w:sz w:val="24"/>
                <w:szCs w:val="24"/>
              </w:rPr>
              <w:t>)</w:t>
            </w:r>
          </w:p>
        </w:tc>
        <w:tc>
          <w:tcPr>
            <w:tcW w:w="564" w:type="pct"/>
            <w:tcBorders>
              <w:bottom w:val="single" w:sz="4" w:space="0" w:color="auto"/>
            </w:tcBorders>
          </w:tcPr>
          <w:p w:rsidR="00A7352B" w:rsidRPr="0006497D" w:rsidRDefault="00A7352B" w:rsidP="00A7352B">
            <w:pPr>
              <w:jc w:val="right"/>
              <w:rPr>
                <w:rFonts w:ascii="Arial" w:hAnsi="Arial" w:cs="Arial"/>
                <w:sz w:val="24"/>
                <w:szCs w:val="24"/>
              </w:rPr>
            </w:pPr>
            <w:r w:rsidRPr="0006497D">
              <w:rPr>
                <w:rFonts w:ascii="Arial" w:hAnsi="Arial" w:cs="Arial"/>
                <w:sz w:val="24"/>
                <w:szCs w:val="24"/>
              </w:rPr>
              <w:t>(138)</w:t>
            </w:r>
          </w:p>
        </w:tc>
      </w:tr>
      <w:tr w:rsidR="00A7352B" w:rsidRPr="003E4860" w:rsidTr="00A7352B">
        <w:tc>
          <w:tcPr>
            <w:tcW w:w="1229" w:type="pct"/>
            <w:tcBorders>
              <w:top w:val="single" w:sz="4" w:space="0" w:color="auto"/>
              <w:bottom w:val="single" w:sz="4" w:space="0" w:color="auto"/>
            </w:tcBorders>
          </w:tcPr>
          <w:p w:rsidR="00A7352B" w:rsidRPr="00A749C4" w:rsidRDefault="00A7352B" w:rsidP="00A7352B">
            <w:pPr>
              <w:jc w:val="left"/>
              <w:rPr>
                <w:rFonts w:ascii="Arial" w:hAnsi="Arial" w:cs="Arial"/>
                <w:sz w:val="24"/>
                <w:szCs w:val="24"/>
              </w:rPr>
            </w:pPr>
            <w:r>
              <w:rPr>
                <w:rFonts w:ascii="Arial" w:hAnsi="Arial" w:cs="Arial"/>
                <w:b/>
                <w:sz w:val="24"/>
                <w:szCs w:val="24"/>
              </w:rPr>
              <w:t>T</w:t>
            </w:r>
            <w:r w:rsidRPr="009618C2">
              <w:rPr>
                <w:rFonts w:ascii="Arial" w:hAnsi="Arial" w:cs="Arial"/>
                <w:b/>
                <w:sz w:val="24"/>
                <w:szCs w:val="24"/>
              </w:rPr>
              <w:t>otal</w:t>
            </w:r>
          </w:p>
        </w:tc>
        <w:tc>
          <w:tcPr>
            <w:tcW w:w="529" w:type="pct"/>
            <w:tcBorders>
              <w:top w:val="single" w:sz="4" w:space="0" w:color="auto"/>
              <w:bottom w:val="single" w:sz="4" w:space="0" w:color="auto"/>
            </w:tcBorders>
            <w:shd w:val="clear" w:color="auto" w:fill="auto"/>
          </w:tcPr>
          <w:p w:rsidR="00A7352B" w:rsidRPr="00A749C4" w:rsidRDefault="00A7352B" w:rsidP="00A7352B">
            <w:pPr>
              <w:jc w:val="right"/>
              <w:rPr>
                <w:rFonts w:ascii="Arial" w:hAnsi="Arial" w:cs="Arial"/>
                <w:sz w:val="24"/>
                <w:szCs w:val="24"/>
              </w:rPr>
            </w:pPr>
            <w:r>
              <w:rPr>
                <w:rFonts w:ascii="Arial" w:hAnsi="Arial" w:cs="Arial"/>
                <w:sz w:val="24"/>
                <w:szCs w:val="24"/>
              </w:rPr>
              <w:t>11.1</w:t>
            </w:r>
          </w:p>
        </w:tc>
        <w:tc>
          <w:tcPr>
            <w:tcW w:w="689" w:type="pct"/>
            <w:tcBorders>
              <w:top w:val="single" w:sz="4" w:space="0" w:color="auto"/>
              <w:bottom w:val="single" w:sz="4" w:space="0" w:color="auto"/>
            </w:tcBorders>
            <w:shd w:val="clear" w:color="auto" w:fill="auto"/>
          </w:tcPr>
          <w:p w:rsidR="00A7352B" w:rsidRPr="00A749C4" w:rsidRDefault="00A7352B" w:rsidP="00A7352B">
            <w:pPr>
              <w:jc w:val="right"/>
              <w:rPr>
                <w:rFonts w:ascii="Arial" w:hAnsi="Arial" w:cs="Arial"/>
                <w:sz w:val="24"/>
                <w:szCs w:val="24"/>
              </w:rPr>
            </w:pPr>
          </w:p>
        </w:tc>
        <w:tc>
          <w:tcPr>
            <w:tcW w:w="636" w:type="pct"/>
            <w:tcBorders>
              <w:top w:val="single" w:sz="4" w:space="0" w:color="auto"/>
              <w:bottom w:val="single" w:sz="4" w:space="0" w:color="auto"/>
            </w:tcBorders>
            <w:shd w:val="clear" w:color="auto" w:fill="auto"/>
          </w:tcPr>
          <w:p w:rsidR="00A7352B" w:rsidRPr="00A749C4" w:rsidRDefault="00A7352B" w:rsidP="00A7352B">
            <w:pPr>
              <w:jc w:val="right"/>
              <w:rPr>
                <w:rFonts w:ascii="Arial" w:hAnsi="Arial" w:cs="Arial"/>
                <w:sz w:val="24"/>
                <w:szCs w:val="24"/>
              </w:rPr>
            </w:pPr>
            <w:r>
              <w:rPr>
                <w:rFonts w:ascii="Arial" w:hAnsi="Arial" w:cs="Arial"/>
                <w:sz w:val="24"/>
                <w:szCs w:val="24"/>
              </w:rPr>
              <w:t>12.</w:t>
            </w:r>
            <w:r w:rsidR="009D638E">
              <w:rPr>
                <w:rFonts w:ascii="Arial" w:hAnsi="Arial" w:cs="Arial"/>
                <w:sz w:val="24"/>
                <w:szCs w:val="24"/>
              </w:rPr>
              <w:t>2</w:t>
            </w:r>
          </w:p>
        </w:tc>
        <w:tc>
          <w:tcPr>
            <w:tcW w:w="689" w:type="pct"/>
            <w:tcBorders>
              <w:top w:val="single" w:sz="4" w:space="0" w:color="auto"/>
              <w:bottom w:val="single" w:sz="4" w:space="0" w:color="auto"/>
            </w:tcBorders>
            <w:shd w:val="clear" w:color="auto" w:fill="auto"/>
          </w:tcPr>
          <w:p w:rsidR="00A7352B" w:rsidRPr="00A749C4" w:rsidRDefault="00A7352B" w:rsidP="00A7352B">
            <w:pPr>
              <w:jc w:val="right"/>
              <w:rPr>
                <w:rFonts w:ascii="Arial" w:hAnsi="Arial" w:cs="Arial"/>
                <w:sz w:val="24"/>
                <w:szCs w:val="24"/>
              </w:rPr>
            </w:pPr>
          </w:p>
        </w:tc>
        <w:tc>
          <w:tcPr>
            <w:tcW w:w="664" w:type="pct"/>
            <w:tcBorders>
              <w:top w:val="single" w:sz="4" w:space="0" w:color="auto"/>
              <w:bottom w:val="single" w:sz="4" w:space="0" w:color="auto"/>
            </w:tcBorders>
            <w:shd w:val="clear" w:color="auto" w:fill="auto"/>
          </w:tcPr>
          <w:p w:rsidR="00A7352B" w:rsidRPr="00AD519B" w:rsidRDefault="00FA71CF" w:rsidP="00A7352B">
            <w:pPr>
              <w:jc w:val="right"/>
              <w:rPr>
                <w:rFonts w:ascii="Arial" w:hAnsi="Arial" w:cs="Arial"/>
                <w:b/>
                <w:sz w:val="24"/>
                <w:szCs w:val="24"/>
              </w:rPr>
            </w:pPr>
            <w:r w:rsidRPr="00AD519B">
              <w:rPr>
                <w:rFonts w:ascii="Arial" w:hAnsi="Arial" w:cs="Arial"/>
                <w:b/>
                <w:sz w:val="24"/>
                <w:szCs w:val="24"/>
              </w:rPr>
              <w:t>74</w:t>
            </w:r>
          </w:p>
        </w:tc>
        <w:tc>
          <w:tcPr>
            <w:tcW w:w="564" w:type="pct"/>
            <w:tcBorders>
              <w:top w:val="single" w:sz="4" w:space="0" w:color="auto"/>
              <w:bottom w:val="single" w:sz="4" w:space="0" w:color="auto"/>
            </w:tcBorders>
          </w:tcPr>
          <w:p w:rsidR="00A7352B" w:rsidRPr="0006497D" w:rsidRDefault="00A7352B" w:rsidP="00A7352B">
            <w:pPr>
              <w:jc w:val="right"/>
              <w:rPr>
                <w:rFonts w:ascii="Arial" w:hAnsi="Arial" w:cs="Arial"/>
                <w:sz w:val="24"/>
                <w:szCs w:val="24"/>
              </w:rPr>
            </w:pPr>
            <w:r w:rsidRPr="0006497D" w:rsidDel="00A749C4">
              <w:rPr>
                <w:rFonts w:ascii="Arial" w:hAnsi="Arial" w:cs="Arial"/>
                <w:sz w:val="24"/>
                <w:szCs w:val="24"/>
              </w:rPr>
              <w:t xml:space="preserve"> </w:t>
            </w:r>
            <w:r w:rsidRPr="0006497D">
              <w:rPr>
                <w:rFonts w:ascii="Arial" w:hAnsi="Arial" w:cs="Arial"/>
                <w:sz w:val="24"/>
                <w:szCs w:val="24"/>
              </w:rPr>
              <w:t>44</w:t>
            </w:r>
          </w:p>
        </w:tc>
      </w:tr>
    </w:tbl>
    <w:p w:rsidR="00F92C7C" w:rsidRDefault="00F92C7C" w:rsidP="00A7352B">
      <w:pPr>
        <w:jc w:val="left"/>
        <w:rPr>
          <w:rFonts w:ascii="Arial" w:hAnsi="Arial" w:cs="Arial"/>
          <w:b/>
          <w:sz w:val="24"/>
          <w:szCs w:val="24"/>
        </w:rPr>
      </w:pPr>
    </w:p>
    <w:p w:rsidR="00D21FEC" w:rsidRDefault="00D21FEC" w:rsidP="00A7352B">
      <w:pPr>
        <w:jc w:val="left"/>
        <w:rPr>
          <w:rFonts w:ascii="Arial" w:hAnsi="Arial" w:cs="Arial"/>
          <w:b/>
          <w:sz w:val="24"/>
          <w:szCs w:val="24"/>
        </w:rPr>
      </w:pPr>
    </w:p>
    <w:p w:rsidR="00D21FEC" w:rsidRDefault="00D21FEC" w:rsidP="00A7352B">
      <w:pPr>
        <w:jc w:val="left"/>
        <w:rPr>
          <w:rFonts w:ascii="Arial" w:hAnsi="Arial" w:cs="Arial"/>
          <w:b/>
          <w:sz w:val="24"/>
          <w:szCs w:val="24"/>
        </w:rPr>
      </w:pPr>
    </w:p>
    <w:p w:rsidR="00A7352B" w:rsidRDefault="00A7352B" w:rsidP="00A7352B">
      <w:pPr>
        <w:jc w:val="left"/>
        <w:rPr>
          <w:rFonts w:ascii="Arial" w:hAnsi="Arial" w:cs="Arial"/>
          <w:b/>
          <w:sz w:val="24"/>
          <w:szCs w:val="24"/>
        </w:rPr>
      </w:pPr>
      <w:r>
        <w:rPr>
          <w:rFonts w:ascii="Arial" w:hAnsi="Arial" w:cs="Arial"/>
          <w:b/>
          <w:sz w:val="24"/>
          <w:szCs w:val="24"/>
        </w:rPr>
        <w:t>Free cash flow</w:t>
      </w:r>
    </w:p>
    <w:p w:rsidR="00A7352B" w:rsidRDefault="00A7352B" w:rsidP="00A7352B">
      <w:pPr>
        <w:jc w:val="left"/>
        <w:rPr>
          <w:rFonts w:ascii="Arial" w:hAnsi="Arial" w:cs="Arial"/>
          <w:b/>
          <w:sz w:val="24"/>
          <w:szCs w:val="24"/>
        </w:rPr>
      </w:pPr>
    </w:p>
    <w:p w:rsidR="00A7352B" w:rsidRPr="00C82F88" w:rsidRDefault="00A7352B" w:rsidP="00A7352B">
      <w:pPr>
        <w:jc w:val="left"/>
        <w:rPr>
          <w:rFonts w:ascii="Arial" w:hAnsi="Arial" w:cs="Arial"/>
          <w:sz w:val="24"/>
          <w:szCs w:val="24"/>
        </w:rPr>
      </w:pPr>
      <w:r w:rsidRPr="00C82F88">
        <w:rPr>
          <w:rFonts w:ascii="Arial" w:hAnsi="Arial" w:cs="Arial" w:hint="eastAsia"/>
          <w:sz w:val="24"/>
          <w:szCs w:val="24"/>
        </w:rPr>
        <w:t>A reconciliation of free cash flow and cash flow movement in net</w:t>
      </w:r>
      <w:r>
        <w:rPr>
          <w:rFonts w:ascii="Arial" w:hAnsi="Arial" w:cs="Arial"/>
          <w:sz w:val="24"/>
          <w:szCs w:val="24"/>
        </w:rPr>
        <w:t xml:space="preserve"> </w:t>
      </w:r>
      <w:r w:rsidRPr="00C82F88">
        <w:rPr>
          <w:rFonts w:ascii="Arial" w:hAnsi="Arial" w:cs="Arial" w:hint="eastAsia"/>
          <w:sz w:val="24"/>
          <w:szCs w:val="24"/>
        </w:rPr>
        <w:t>cash is set out below:</w:t>
      </w:r>
    </w:p>
    <w:p w:rsidR="00A7352B" w:rsidRDefault="00A7352B" w:rsidP="00A7352B">
      <w:pPr>
        <w:jc w:val="left"/>
        <w:rPr>
          <w:rFonts w:ascii="Arial" w:hAnsi="Arial" w:cs="Arial"/>
          <w:b/>
          <w:sz w:val="24"/>
          <w:szCs w:val="24"/>
        </w:rPr>
      </w:pPr>
    </w:p>
    <w:tbl>
      <w:tblPr>
        <w:tblW w:w="9508" w:type="dxa"/>
        <w:tblInd w:w="98" w:type="dxa"/>
        <w:tblLayout w:type="fixed"/>
        <w:tblLook w:val="0000" w:firstRow="0" w:lastRow="0" w:firstColumn="0" w:lastColumn="0" w:noHBand="0" w:noVBand="0"/>
      </w:tblPr>
      <w:tblGrid>
        <w:gridCol w:w="6531"/>
        <w:gridCol w:w="1559"/>
        <w:gridCol w:w="1418"/>
      </w:tblGrid>
      <w:tr w:rsidR="00A7352B" w:rsidRPr="001D3869" w:rsidTr="00A7352B">
        <w:trPr>
          <w:trHeight w:val="555"/>
        </w:trPr>
        <w:tc>
          <w:tcPr>
            <w:tcW w:w="6531" w:type="dxa"/>
            <w:shd w:val="clear" w:color="auto" w:fill="auto"/>
            <w:vAlign w:val="bottom"/>
          </w:tcPr>
          <w:p w:rsidR="00A7352B" w:rsidRPr="00EA4941" w:rsidRDefault="00A7352B" w:rsidP="00A7352B">
            <w:pPr>
              <w:jc w:val="left"/>
              <w:rPr>
                <w:rFonts w:ascii="Arial" w:hAnsi="Arial" w:cs="Arial"/>
                <w:bCs/>
                <w:sz w:val="24"/>
                <w:szCs w:val="24"/>
              </w:rPr>
            </w:pPr>
          </w:p>
        </w:tc>
        <w:tc>
          <w:tcPr>
            <w:tcW w:w="1559" w:type="dxa"/>
          </w:tcPr>
          <w:p w:rsidR="00A7352B" w:rsidRPr="00EA4941" w:rsidRDefault="00A7352B" w:rsidP="00A7352B">
            <w:pPr>
              <w:jc w:val="right"/>
              <w:rPr>
                <w:rFonts w:ascii="Arial" w:hAnsi="Arial" w:cs="Arial"/>
                <w:b/>
                <w:bCs/>
                <w:sz w:val="24"/>
                <w:szCs w:val="24"/>
              </w:rPr>
            </w:pPr>
            <w:r>
              <w:rPr>
                <w:rFonts w:ascii="Arial" w:hAnsi="Arial" w:cs="Arial"/>
                <w:b/>
                <w:bCs/>
                <w:sz w:val="24"/>
                <w:szCs w:val="24"/>
              </w:rPr>
              <w:t>2013/14</w:t>
            </w:r>
          </w:p>
          <w:p w:rsidR="00A7352B" w:rsidRPr="00EA4941" w:rsidRDefault="00A7352B" w:rsidP="00A7352B">
            <w:pPr>
              <w:jc w:val="right"/>
              <w:rPr>
                <w:rFonts w:ascii="Arial" w:hAnsi="Arial" w:cs="Arial"/>
                <w:b/>
                <w:bCs/>
                <w:sz w:val="24"/>
                <w:szCs w:val="24"/>
              </w:rPr>
            </w:pPr>
            <w:r w:rsidRPr="00EA4941">
              <w:rPr>
                <w:rFonts w:ascii="Arial" w:hAnsi="Arial" w:cs="Arial"/>
                <w:b/>
                <w:bCs/>
                <w:sz w:val="24"/>
                <w:szCs w:val="24"/>
              </w:rPr>
              <w:t>£m</w:t>
            </w:r>
          </w:p>
        </w:tc>
        <w:tc>
          <w:tcPr>
            <w:tcW w:w="1418" w:type="dxa"/>
          </w:tcPr>
          <w:p w:rsidR="00A7352B" w:rsidRPr="001D3869" w:rsidRDefault="00A7352B" w:rsidP="00A7352B">
            <w:pPr>
              <w:jc w:val="right"/>
              <w:rPr>
                <w:rFonts w:ascii="Arial" w:hAnsi="Arial" w:cs="Arial"/>
                <w:bCs/>
                <w:sz w:val="24"/>
                <w:szCs w:val="24"/>
              </w:rPr>
            </w:pPr>
            <w:r w:rsidRPr="001D3869">
              <w:rPr>
                <w:rFonts w:ascii="Arial" w:hAnsi="Arial" w:cs="Arial"/>
                <w:bCs/>
                <w:sz w:val="24"/>
                <w:szCs w:val="24"/>
              </w:rPr>
              <w:t>2012/13</w:t>
            </w:r>
          </w:p>
          <w:p w:rsidR="00A7352B" w:rsidRPr="001D3869" w:rsidRDefault="00A7352B" w:rsidP="00A7352B">
            <w:pPr>
              <w:jc w:val="right"/>
              <w:rPr>
                <w:rFonts w:ascii="Arial" w:hAnsi="Arial" w:cs="Arial"/>
                <w:bCs/>
                <w:sz w:val="24"/>
                <w:szCs w:val="24"/>
              </w:rPr>
            </w:pPr>
            <w:r w:rsidRPr="001D3869">
              <w:rPr>
                <w:rFonts w:ascii="Arial" w:hAnsi="Arial" w:cs="Arial"/>
                <w:bCs/>
                <w:sz w:val="24"/>
                <w:szCs w:val="24"/>
              </w:rPr>
              <w:t>£m</w:t>
            </w:r>
            <w:r>
              <w:rPr>
                <w:rFonts w:ascii="Arial" w:hAnsi="Arial" w:cs="Arial"/>
                <w:bCs/>
                <w:sz w:val="24"/>
                <w:szCs w:val="24"/>
              </w:rPr>
              <w:t xml:space="preserve"> (restated)</w:t>
            </w:r>
          </w:p>
        </w:tc>
      </w:tr>
      <w:tr w:rsidR="00A7352B" w:rsidRPr="001D3869" w:rsidTr="00A7352B">
        <w:trPr>
          <w:trHeight w:val="255"/>
        </w:trPr>
        <w:tc>
          <w:tcPr>
            <w:tcW w:w="6531" w:type="dxa"/>
            <w:tcBorders>
              <w:top w:val="single" w:sz="4" w:space="0" w:color="auto"/>
            </w:tcBorders>
            <w:shd w:val="clear" w:color="auto" w:fill="auto"/>
            <w:vAlign w:val="bottom"/>
          </w:tcPr>
          <w:p w:rsidR="00A7352B" w:rsidRPr="006862B3" w:rsidRDefault="00A7352B" w:rsidP="00A7352B">
            <w:pPr>
              <w:rPr>
                <w:rFonts w:ascii="Arial" w:hAnsi="Arial" w:cs="Arial"/>
                <w:b/>
                <w:sz w:val="24"/>
                <w:szCs w:val="24"/>
              </w:rPr>
            </w:pPr>
            <w:r w:rsidRPr="006862B3">
              <w:rPr>
                <w:rFonts w:ascii="Arial" w:hAnsi="Arial" w:cs="Arial"/>
                <w:b/>
                <w:sz w:val="24"/>
                <w:szCs w:val="24"/>
              </w:rPr>
              <w:t>Operating profit (before exceptional items)</w:t>
            </w:r>
          </w:p>
        </w:tc>
        <w:tc>
          <w:tcPr>
            <w:tcW w:w="1559" w:type="dxa"/>
            <w:tcBorders>
              <w:top w:val="single" w:sz="4" w:space="0" w:color="auto"/>
            </w:tcBorders>
          </w:tcPr>
          <w:p w:rsidR="00A7352B" w:rsidRPr="006862B3" w:rsidRDefault="00A7352B" w:rsidP="00A7352B">
            <w:pPr>
              <w:jc w:val="right"/>
              <w:rPr>
                <w:rFonts w:ascii="Arial" w:hAnsi="Arial" w:cs="Arial"/>
                <w:b/>
                <w:sz w:val="24"/>
                <w:szCs w:val="24"/>
              </w:rPr>
            </w:pPr>
            <w:r>
              <w:rPr>
                <w:rFonts w:ascii="Arial" w:hAnsi="Arial" w:cs="Arial"/>
                <w:b/>
                <w:sz w:val="24"/>
                <w:szCs w:val="24"/>
              </w:rPr>
              <w:t>746</w:t>
            </w:r>
          </w:p>
        </w:tc>
        <w:tc>
          <w:tcPr>
            <w:tcW w:w="1418" w:type="dxa"/>
            <w:tcBorders>
              <w:top w:val="single" w:sz="4" w:space="0" w:color="auto"/>
            </w:tcBorders>
          </w:tcPr>
          <w:p w:rsidR="00A7352B" w:rsidRPr="001D3869" w:rsidRDefault="00A7352B" w:rsidP="00A7352B">
            <w:pPr>
              <w:jc w:val="right"/>
              <w:rPr>
                <w:rFonts w:ascii="Arial" w:hAnsi="Arial" w:cs="Arial"/>
                <w:sz w:val="24"/>
                <w:szCs w:val="24"/>
              </w:rPr>
            </w:pPr>
            <w:r w:rsidRPr="001D3869">
              <w:rPr>
                <w:rFonts w:ascii="Arial" w:hAnsi="Arial" w:cs="Arial"/>
                <w:sz w:val="24"/>
                <w:szCs w:val="24"/>
              </w:rPr>
              <w:t>7</w:t>
            </w:r>
            <w:r>
              <w:rPr>
                <w:rFonts w:ascii="Arial" w:hAnsi="Arial" w:cs="Arial"/>
                <w:sz w:val="24"/>
                <w:szCs w:val="24"/>
              </w:rPr>
              <w:t>18</w:t>
            </w:r>
          </w:p>
        </w:tc>
      </w:tr>
      <w:tr w:rsidR="00A7352B" w:rsidRPr="001D3869" w:rsidTr="00A7352B">
        <w:trPr>
          <w:trHeight w:val="270"/>
        </w:trPr>
        <w:tc>
          <w:tcPr>
            <w:tcW w:w="6531" w:type="dxa"/>
            <w:shd w:val="clear" w:color="auto" w:fill="auto"/>
            <w:vAlign w:val="bottom"/>
          </w:tcPr>
          <w:p w:rsidR="00A7352B" w:rsidRPr="006862B3" w:rsidRDefault="00A7352B" w:rsidP="00A7352B">
            <w:pPr>
              <w:rPr>
                <w:rFonts w:ascii="Arial" w:hAnsi="Arial" w:cs="Arial"/>
                <w:sz w:val="24"/>
                <w:szCs w:val="24"/>
              </w:rPr>
            </w:pPr>
            <w:r w:rsidRPr="006862B3">
              <w:rPr>
                <w:rFonts w:ascii="Arial" w:hAnsi="Arial" w:cs="Arial"/>
                <w:sz w:val="24"/>
                <w:szCs w:val="24"/>
              </w:rPr>
              <w:t>Other non</w:t>
            </w:r>
            <w:r>
              <w:rPr>
                <w:rFonts w:ascii="Arial" w:hAnsi="Arial" w:cs="Arial"/>
                <w:sz w:val="24"/>
                <w:szCs w:val="24"/>
              </w:rPr>
              <w:t>-</w:t>
            </w:r>
            <w:r w:rsidRPr="006862B3">
              <w:rPr>
                <w:rFonts w:ascii="Arial" w:hAnsi="Arial" w:cs="Arial"/>
                <w:sz w:val="24"/>
                <w:szCs w:val="24"/>
              </w:rPr>
              <w:t>cash items</w:t>
            </w:r>
            <w:r w:rsidR="00F60788">
              <w:rPr>
                <w:rFonts w:ascii="Arial" w:hAnsi="Arial" w:cs="Arial"/>
                <w:i/>
                <w:sz w:val="20"/>
                <w:szCs w:val="20"/>
                <w:vertAlign w:val="superscript"/>
              </w:rPr>
              <w:t>(1)</w:t>
            </w:r>
          </w:p>
        </w:tc>
        <w:tc>
          <w:tcPr>
            <w:tcW w:w="1559" w:type="dxa"/>
          </w:tcPr>
          <w:p w:rsidR="00A7352B" w:rsidRPr="006862B3" w:rsidRDefault="00A7352B" w:rsidP="00A7352B">
            <w:pPr>
              <w:jc w:val="right"/>
              <w:rPr>
                <w:rFonts w:ascii="Arial" w:hAnsi="Arial" w:cs="Arial"/>
                <w:b/>
                <w:sz w:val="24"/>
                <w:szCs w:val="24"/>
              </w:rPr>
            </w:pPr>
            <w:r>
              <w:rPr>
                <w:rFonts w:ascii="Arial" w:hAnsi="Arial" w:cs="Arial"/>
                <w:b/>
                <w:sz w:val="24"/>
                <w:szCs w:val="24"/>
              </w:rPr>
              <w:t>265</w:t>
            </w:r>
          </w:p>
        </w:tc>
        <w:tc>
          <w:tcPr>
            <w:tcW w:w="1418" w:type="dxa"/>
          </w:tcPr>
          <w:p w:rsidR="00A7352B" w:rsidRPr="001D3869" w:rsidRDefault="00A7352B" w:rsidP="00A7352B">
            <w:pPr>
              <w:jc w:val="right"/>
              <w:rPr>
                <w:rFonts w:ascii="Arial" w:hAnsi="Arial" w:cs="Arial"/>
                <w:sz w:val="24"/>
                <w:szCs w:val="24"/>
              </w:rPr>
            </w:pPr>
            <w:r>
              <w:rPr>
                <w:rFonts w:ascii="Arial" w:hAnsi="Arial" w:cs="Arial"/>
                <w:sz w:val="24"/>
                <w:szCs w:val="24"/>
              </w:rPr>
              <w:t>264</w:t>
            </w:r>
          </w:p>
        </w:tc>
      </w:tr>
      <w:tr w:rsidR="00A7352B" w:rsidRPr="001D3869" w:rsidTr="00A7352B">
        <w:trPr>
          <w:trHeight w:val="247"/>
        </w:trPr>
        <w:tc>
          <w:tcPr>
            <w:tcW w:w="6531" w:type="dxa"/>
            <w:shd w:val="clear" w:color="auto" w:fill="auto"/>
            <w:vAlign w:val="bottom"/>
          </w:tcPr>
          <w:p w:rsidR="00A7352B" w:rsidRPr="006862B3" w:rsidRDefault="00A7352B" w:rsidP="00A7352B">
            <w:pPr>
              <w:rPr>
                <w:rFonts w:ascii="Arial" w:hAnsi="Arial" w:cs="Arial"/>
                <w:sz w:val="24"/>
                <w:szCs w:val="24"/>
              </w:rPr>
            </w:pPr>
            <w:r w:rsidRPr="006862B3">
              <w:rPr>
                <w:rFonts w:ascii="Arial" w:hAnsi="Arial" w:cs="Arial"/>
                <w:sz w:val="24"/>
                <w:szCs w:val="24"/>
              </w:rPr>
              <w:t>Change in working capital</w:t>
            </w:r>
          </w:p>
        </w:tc>
        <w:tc>
          <w:tcPr>
            <w:tcW w:w="1559" w:type="dxa"/>
          </w:tcPr>
          <w:p w:rsidR="00A7352B" w:rsidRPr="006862B3" w:rsidRDefault="008020CC" w:rsidP="00A7352B">
            <w:pPr>
              <w:jc w:val="right"/>
              <w:rPr>
                <w:rFonts w:ascii="Arial" w:hAnsi="Arial" w:cs="Arial"/>
                <w:b/>
                <w:sz w:val="24"/>
                <w:szCs w:val="24"/>
              </w:rPr>
            </w:pPr>
            <w:r>
              <w:rPr>
                <w:rFonts w:ascii="Arial" w:hAnsi="Arial" w:cs="Arial"/>
                <w:b/>
                <w:sz w:val="24"/>
                <w:szCs w:val="24"/>
              </w:rPr>
              <w:t>27</w:t>
            </w:r>
          </w:p>
        </w:tc>
        <w:tc>
          <w:tcPr>
            <w:tcW w:w="1418" w:type="dxa"/>
          </w:tcPr>
          <w:p w:rsidR="00A7352B" w:rsidRPr="001D3869" w:rsidRDefault="00A7352B" w:rsidP="00A7352B">
            <w:pPr>
              <w:jc w:val="right"/>
              <w:rPr>
                <w:rFonts w:ascii="Arial" w:hAnsi="Arial" w:cs="Arial"/>
                <w:sz w:val="24"/>
                <w:szCs w:val="24"/>
              </w:rPr>
            </w:pPr>
            <w:r w:rsidRPr="001D3869">
              <w:rPr>
                <w:rFonts w:ascii="Arial" w:hAnsi="Arial" w:cs="Arial"/>
                <w:sz w:val="24"/>
                <w:szCs w:val="24"/>
              </w:rPr>
              <w:t>(178)</w:t>
            </w:r>
          </w:p>
        </w:tc>
      </w:tr>
      <w:tr w:rsidR="00A7352B" w:rsidRPr="001D3869" w:rsidTr="00A7352B">
        <w:trPr>
          <w:trHeight w:val="255"/>
        </w:trPr>
        <w:tc>
          <w:tcPr>
            <w:tcW w:w="6531" w:type="dxa"/>
            <w:tcBorders>
              <w:bottom w:val="single" w:sz="4" w:space="0" w:color="auto"/>
            </w:tcBorders>
            <w:shd w:val="clear" w:color="auto" w:fill="auto"/>
            <w:vAlign w:val="bottom"/>
          </w:tcPr>
          <w:p w:rsidR="00A7352B" w:rsidRPr="006862B3" w:rsidRDefault="00A7352B" w:rsidP="00A7352B">
            <w:pPr>
              <w:rPr>
                <w:rFonts w:ascii="Arial" w:hAnsi="Arial" w:cs="Arial"/>
                <w:sz w:val="24"/>
                <w:szCs w:val="24"/>
              </w:rPr>
            </w:pPr>
            <w:r w:rsidRPr="006862B3">
              <w:rPr>
                <w:rFonts w:ascii="Arial" w:hAnsi="Arial" w:cs="Arial"/>
                <w:sz w:val="24"/>
                <w:szCs w:val="24"/>
              </w:rPr>
              <w:t>Pensions and provisions (before exceptional items)</w:t>
            </w:r>
          </w:p>
        </w:tc>
        <w:tc>
          <w:tcPr>
            <w:tcW w:w="1559" w:type="dxa"/>
            <w:tcBorders>
              <w:bottom w:val="single" w:sz="4" w:space="0" w:color="auto"/>
            </w:tcBorders>
          </w:tcPr>
          <w:p w:rsidR="00A7352B" w:rsidRPr="006862B3" w:rsidRDefault="008020CC" w:rsidP="00A7352B">
            <w:pPr>
              <w:jc w:val="right"/>
              <w:rPr>
                <w:rFonts w:ascii="Arial" w:hAnsi="Arial" w:cs="Arial"/>
                <w:b/>
                <w:sz w:val="24"/>
                <w:szCs w:val="24"/>
              </w:rPr>
            </w:pPr>
            <w:r>
              <w:rPr>
                <w:rFonts w:ascii="Arial" w:hAnsi="Arial" w:cs="Arial"/>
                <w:b/>
                <w:sz w:val="24"/>
                <w:szCs w:val="24"/>
              </w:rPr>
              <w:t>(37</w:t>
            </w:r>
            <w:r w:rsidR="00A7352B">
              <w:rPr>
                <w:rFonts w:ascii="Arial" w:hAnsi="Arial" w:cs="Arial"/>
                <w:b/>
                <w:sz w:val="24"/>
                <w:szCs w:val="24"/>
              </w:rPr>
              <w:t>)</w:t>
            </w:r>
          </w:p>
        </w:tc>
        <w:tc>
          <w:tcPr>
            <w:tcW w:w="1418" w:type="dxa"/>
            <w:tcBorders>
              <w:bottom w:val="single" w:sz="4" w:space="0" w:color="auto"/>
            </w:tcBorders>
          </w:tcPr>
          <w:p w:rsidR="00A7352B" w:rsidRPr="001D3869" w:rsidRDefault="00A7352B" w:rsidP="00A7352B">
            <w:pPr>
              <w:jc w:val="right"/>
              <w:rPr>
                <w:rFonts w:ascii="Arial" w:hAnsi="Arial" w:cs="Arial"/>
                <w:sz w:val="24"/>
                <w:szCs w:val="24"/>
              </w:rPr>
            </w:pPr>
            <w:r w:rsidRPr="001D3869">
              <w:rPr>
                <w:rFonts w:ascii="Arial" w:hAnsi="Arial" w:cs="Arial"/>
                <w:sz w:val="24"/>
                <w:szCs w:val="24"/>
              </w:rPr>
              <w:t>(42)</w:t>
            </w:r>
          </w:p>
        </w:tc>
      </w:tr>
      <w:tr w:rsidR="00A7352B" w:rsidRPr="001D3869" w:rsidTr="00A7352B">
        <w:trPr>
          <w:trHeight w:val="255"/>
        </w:trPr>
        <w:tc>
          <w:tcPr>
            <w:tcW w:w="6531" w:type="dxa"/>
            <w:tcBorders>
              <w:top w:val="single" w:sz="4" w:space="0" w:color="auto"/>
            </w:tcBorders>
            <w:shd w:val="clear" w:color="auto" w:fill="auto"/>
            <w:vAlign w:val="bottom"/>
          </w:tcPr>
          <w:p w:rsidR="00A7352B" w:rsidRPr="006862B3" w:rsidRDefault="00A7352B" w:rsidP="00A7352B">
            <w:pPr>
              <w:rPr>
                <w:rFonts w:ascii="Arial" w:hAnsi="Arial" w:cs="Arial"/>
                <w:sz w:val="24"/>
                <w:szCs w:val="24"/>
              </w:rPr>
            </w:pPr>
            <w:r w:rsidRPr="006862B3">
              <w:rPr>
                <w:rFonts w:ascii="Arial" w:hAnsi="Arial" w:cs="Arial"/>
                <w:sz w:val="24"/>
                <w:szCs w:val="24"/>
              </w:rPr>
              <w:t>Operating cash flow</w:t>
            </w:r>
          </w:p>
        </w:tc>
        <w:tc>
          <w:tcPr>
            <w:tcW w:w="1559" w:type="dxa"/>
            <w:tcBorders>
              <w:top w:val="single" w:sz="4" w:space="0" w:color="auto"/>
            </w:tcBorders>
          </w:tcPr>
          <w:p w:rsidR="00A7352B" w:rsidRPr="006862B3" w:rsidRDefault="008020CC" w:rsidP="00A7352B">
            <w:pPr>
              <w:jc w:val="right"/>
              <w:rPr>
                <w:rFonts w:ascii="Arial" w:hAnsi="Arial" w:cs="Arial"/>
                <w:b/>
                <w:sz w:val="24"/>
                <w:szCs w:val="24"/>
              </w:rPr>
            </w:pPr>
            <w:r>
              <w:rPr>
                <w:rFonts w:ascii="Arial" w:hAnsi="Arial" w:cs="Arial"/>
                <w:b/>
                <w:sz w:val="24"/>
                <w:szCs w:val="24"/>
              </w:rPr>
              <w:t>1,001</w:t>
            </w:r>
          </w:p>
        </w:tc>
        <w:tc>
          <w:tcPr>
            <w:tcW w:w="1418" w:type="dxa"/>
            <w:tcBorders>
              <w:top w:val="single" w:sz="4" w:space="0" w:color="auto"/>
            </w:tcBorders>
          </w:tcPr>
          <w:p w:rsidR="00A7352B" w:rsidRPr="001D3869" w:rsidRDefault="00A7352B" w:rsidP="00A7352B">
            <w:pPr>
              <w:jc w:val="right"/>
              <w:rPr>
                <w:rFonts w:ascii="Arial" w:hAnsi="Arial" w:cs="Arial"/>
                <w:sz w:val="24"/>
                <w:szCs w:val="24"/>
              </w:rPr>
            </w:pPr>
            <w:r w:rsidRPr="001D3869">
              <w:rPr>
                <w:rFonts w:ascii="Arial" w:hAnsi="Arial" w:cs="Arial"/>
                <w:sz w:val="24"/>
                <w:szCs w:val="24"/>
              </w:rPr>
              <w:t>762</w:t>
            </w:r>
          </w:p>
        </w:tc>
      </w:tr>
      <w:tr w:rsidR="00A7352B" w:rsidRPr="001D3869" w:rsidTr="00A7352B">
        <w:trPr>
          <w:trHeight w:val="311"/>
        </w:trPr>
        <w:tc>
          <w:tcPr>
            <w:tcW w:w="6531" w:type="dxa"/>
            <w:shd w:val="clear" w:color="auto" w:fill="auto"/>
            <w:vAlign w:val="bottom"/>
          </w:tcPr>
          <w:p w:rsidR="00A7352B" w:rsidRPr="006862B3" w:rsidRDefault="00A7352B" w:rsidP="00A7352B">
            <w:pPr>
              <w:rPr>
                <w:rFonts w:ascii="Arial" w:hAnsi="Arial" w:cs="Arial"/>
                <w:sz w:val="24"/>
                <w:szCs w:val="24"/>
              </w:rPr>
            </w:pPr>
            <w:r>
              <w:rPr>
                <w:rFonts w:ascii="Arial" w:hAnsi="Arial" w:cs="Arial"/>
                <w:sz w:val="24"/>
                <w:szCs w:val="24"/>
              </w:rPr>
              <w:t>Net i</w:t>
            </w:r>
            <w:r w:rsidRPr="006862B3">
              <w:rPr>
                <w:rFonts w:ascii="Arial" w:hAnsi="Arial" w:cs="Arial"/>
                <w:sz w:val="24"/>
                <w:szCs w:val="24"/>
              </w:rPr>
              <w:t>nterest paid</w:t>
            </w:r>
          </w:p>
        </w:tc>
        <w:tc>
          <w:tcPr>
            <w:tcW w:w="1559" w:type="dxa"/>
          </w:tcPr>
          <w:p w:rsidR="00A7352B" w:rsidRPr="006862B3" w:rsidRDefault="00A7352B" w:rsidP="00A7352B">
            <w:pPr>
              <w:jc w:val="right"/>
              <w:rPr>
                <w:rFonts w:ascii="Arial" w:hAnsi="Arial" w:cs="Arial"/>
                <w:b/>
                <w:sz w:val="24"/>
                <w:szCs w:val="24"/>
              </w:rPr>
            </w:pPr>
            <w:r>
              <w:rPr>
                <w:rFonts w:ascii="Arial" w:hAnsi="Arial" w:cs="Arial"/>
                <w:b/>
                <w:sz w:val="24"/>
                <w:szCs w:val="24"/>
              </w:rPr>
              <w:t>(8)</w:t>
            </w:r>
          </w:p>
        </w:tc>
        <w:tc>
          <w:tcPr>
            <w:tcW w:w="1418" w:type="dxa"/>
          </w:tcPr>
          <w:p w:rsidR="00A7352B" w:rsidRPr="001D3869" w:rsidRDefault="00A7352B" w:rsidP="00A7352B">
            <w:pPr>
              <w:jc w:val="right"/>
              <w:rPr>
                <w:rFonts w:ascii="Arial" w:hAnsi="Arial" w:cs="Arial"/>
                <w:sz w:val="24"/>
                <w:szCs w:val="24"/>
              </w:rPr>
            </w:pPr>
            <w:r w:rsidRPr="001D3869">
              <w:rPr>
                <w:rFonts w:ascii="Arial" w:hAnsi="Arial" w:cs="Arial"/>
                <w:sz w:val="24"/>
                <w:szCs w:val="24"/>
              </w:rPr>
              <w:t>(4)</w:t>
            </w:r>
          </w:p>
        </w:tc>
      </w:tr>
      <w:tr w:rsidR="00A7352B" w:rsidRPr="001D3869" w:rsidTr="00A7352B">
        <w:trPr>
          <w:trHeight w:val="270"/>
        </w:trPr>
        <w:tc>
          <w:tcPr>
            <w:tcW w:w="6531" w:type="dxa"/>
            <w:shd w:val="clear" w:color="auto" w:fill="auto"/>
            <w:vAlign w:val="bottom"/>
          </w:tcPr>
          <w:p w:rsidR="00A7352B" w:rsidRPr="006862B3" w:rsidRDefault="00A7352B" w:rsidP="00A7352B">
            <w:pPr>
              <w:rPr>
                <w:rFonts w:ascii="Arial" w:hAnsi="Arial" w:cs="Arial"/>
                <w:sz w:val="24"/>
                <w:szCs w:val="24"/>
              </w:rPr>
            </w:pPr>
            <w:r w:rsidRPr="006862B3">
              <w:rPr>
                <w:rFonts w:ascii="Arial" w:hAnsi="Arial" w:cs="Arial"/>
                <w:sz w:val="24"/>
                <w:szCs w:val="24"/>
              </w:rPr>
              <w:t>Tax paid</w:t>
            </w:r>
          </w:p>
        </w:tc>
        <w:tc>
          <w:tcPr>
            <w:tcW w:w="1559" w:type="dxa"/>
          </w:tcPr>
          <w:p w:rsidR="00A7352B" w:rsidRPr="006862B3" w:rsidRDefault="00A7352B" w:rsidP="00A7352B">
            <w:pPr>
              <w:jc w:val="right"/>
              <w:rPr>
                <w:rFonts w:ascii="Arial" w:hAnsi="Arial" w:cs="Arial"/>
                <w:b/>
                <w:sz w:val="24"/>
                <w:szCs w:val="24"/>
              </w:rPr>
            </w:pPr>
            <w:r>
              <w:rPr>
                <w:rFonts w:ascii="Arial" w:hAnsi="Arial" w:cs="Arial"/>
                <w:b/>
                <w:sz w:val="24"/>
                <w:szCs w:val="24"/>
              </w:rPr>
              <w:t>(142)</w:t>
            </w:r>
          </w:p>
        </w:tc>
        <w:tc>
          <w:tcPr>
            <w:tcW w:w="1418" w:type="dxa"/>
          </w:tcPr>
          <w:p w:rsidR="00A7352B" w:rsidRPr="001D3869" w:rsidRDefault="00A7352B" w:rsidP="00A7352B">
            <w:pPr>
              <w:jc w:val="right"/>
              <w:rPr>
                <w:rFonts w:ascii="Arial" w:hAnsi="Arial" w:cs="Arial"/>
                <w:sz w:val="24"/>
                <w:szCs w:val="24"/>
              </w:rPr>
            </w:pPr>
            <w:r w:rsidRPr="001D3869">
              <w:rPr>
                <w:rFonts w:ascii="Arial" w:hAnsi="Arial" w:cs="Arial"/>
                <w:sz w:val="24"/>
                <w:szCs w:val="24"/>
              </w:rPr>
              <w:t>(129)</w:t>
            </w:r>
          </w:p>
        </w:tc>
      </w:tr>
      <w:tr w:rsidR="00A7352B" w:rsidRPr="001D3869" w:rsidTr="00A7352B">
        <w:trPr>
          <w:trHeight w:val="270"/>
        </w:trPr>
        <w:tc>
          <w:tcPr>
            <w:tcW w:w="6531" w:type="dxa"/>
            <w:shd w:val="clear" w:color="auto" w:fill="auto"/>
            <w:vAlign w:val="bottom"/>
          </w:tcPr>
          <w:p w:rsidR="00A7352B" w:rsidRPr="006862B3" w:rsidRDefault="00A7352B" w:rsidP="00A7352B">
            <w:pPr>
              <w:rPr>
                <w:rFonts w:ascii="Arial" w:hAnsi="Arial" w:cs="Arial"/>
                <w:sz w:val="24"/>
                <w:szCs w:val="24"/>
              </w:rPr>
            </w:pPr>
            <w:r w:rsidRPr="006862B3">
              <w:rPr>
                <w:rFonts w:ascii="Arial" w:hAnsi="Arial" w:cs="Arial"/>
                <w:sz w:val="24"/>
                <w:szCs w:val="24"/>
              </w:rPr>
              <w:t>Gross capital expenditure</w:t>
            </w:r>
            <w:r>
              <w:rPr>
                <w:rFonts w:ascii="Arial" w:hAnsi="Arial" w:cs="Arial"/>
                <w:sz w:val="24"/>
                <w:szCs w:val="24"/>
              </w:rPr>
              <w:t xml:space="preserve"> </w:t>
            </w:r>
          </w:p>
        </w:tc>
        <w:tc>
          <w:tcPr>
            <w:tcW w:w="1559" w:type="dxa"/>
          </w:tcPr>
          <w:p w:rsidR="00A7352B" w:rsidRPr="006862B3" w:rsidRDefault="00A7352B" w:rsidP="00A7352B">
            <w:pPr>
              <w:jc w:val="right"/>
              <w:rPr>
                <w:rFonts w:ascii="Arial" w:hAnsi="Arial" w:cs="Arial"/>
                <w:b/>
                <w:sz w:val="24"/>
                <w:szCs w:val="24"/>
              </w:rPr>
            </w:pPr>
            <w:r>
              <w:rPr>
                <w:rFonts w:ascii="Arial" w:hAnsi="Arial" w:cs="Arial"/>
                <w:b/>
                <w:sz w:val="24"/>
                <w:szCs w:val="24"/>
              </w:rPr>
              <w:t>(304)</w:t>
            </w:r>
          </w:p>
        </w:tc>
        <w:tc>
          <w:tcPr>
            <w:tcW w:w="1418" w:type="dxa"/>
          </w:tcPr>
          <w:p w:rsidR="00A7352B" w:rsidRPr="001D3869" w:rsidRDefault="00A7352B" w:rsidP="00A7352B">
            <w:pPr>
              <w:jc w:val="right"/>
              <w:rPr>
                <w:rFonts w:ascii="Arial" w:hAnsi="Arial" w:cs="Arial"/>
                <w:sz w:val="24"/>
                <w:szCs w:val="24"/>
              </w:rPr>
            </w:pPr>
            <w:r w:rsidRPr="001D3869">
              <w:rPr>
                <w:rFonts w:ascii="Arial" w:hAnsi="Arial" w:cs="Arial"/>
                <w:sz w:val="24"/>
                <w:szCs w:val="24"/>
              </w:rPr>
              <w:t>(316)</w:t>
            </w:r>
          </w:p>
        </w:tc>
      </w:tr>
      <w:tr w:rsidR="00A7352B" w:rsidRPr="001D3869" w:rsidTr="00A7352B">
        <w:trPr>
          <w:trHeight w:val="270"/>
        </w:trPr>
        <w:tc>
          <w:tcPr>
            <w:tcW w:w="6531" w:type="dxa"/>
            <w:tcBorders>
              <w:bottom w:val="single" w:sz="4" w:space="0" w:color="auto"/>
            </w:tcBorders>
            <w:shd w:val="clear" w:color="auto" w:fill="auto"/>
            <w:vAlign w:val="bottom"/>
          </w:tcPr>
          <w:p w:rsidR="00A7352B" w:rsidRPr="006862B3" w:rsidRDefault="00A7352B" w:rsidP="00A7352B">
            <w:pPr>
              <w:rPr>
                <w:rFonts w:ascii="Arial" w:hAnsi="Arial" w:cs="Arial"/>
                <w:sz w:val="24"/>
                <w:szCs w:val="24"/>
              </w:rPr>
            </w:pPr>
            <w:r>
              <w:rPr>
                <w:rFonts w:ascii="Arial" w:hAnsi="Arial" w:cs="Arial"/>
                <w:sz w:val="24"/>
                <w:szCs w:val="24"/>
              </w:rPr>
              <w:t>Disposal of assets</w:t>
            </w:r>
          </w:p>
        </w:tc>
        <w:tc>
          <w:tcPr>
            <w:tcW w:w="1559" w:type="dxa"/>
            <w:tcBorders>
              <w:bottom w:val="single" w:sz="4" w:space="0" w:color="auto"/>
            </w:tcBorders>
          </w:tcPr>
          <w:p w:rsidR="00A7352B" w:rsidRPr="006862B3" w:rsidRDefault="00A7352B" w:rsidP="00A7352B">
            <w:pPr>
              <w:jc w:val="right"/>
              <w:rPr>
                <w:rFonts w:ascii="Arial" w:hAnsi="Arial" w:cs="Arial"/>
                <w:b/>
                <w:sz w:val="24"/>
                <w:szCs w:val="24"/>
              </w:rPr>
            </w:pPr>
            <w:r>
              <w:rPr>
                <w:rFonts w:ascii="Arial" w:hAnsi="Arial" w:cs="Arial"/>
                <w:b/>
                <w:sz w:val="24"/>
                <w:szCs w:val="24"/>
              </w:rPr>
              <w:t>12</w:t>
            </w:r>
          </w:p>
        </w:tc>
        <w:tc>
          <w:tcPr>
            <w:tcW w:w="1418" w:type="dxa"/>
            <w:tcBorders>
              <w:bottom w:val="single" w:sz="4" w:space="0" w:color="auto"/>
            </w:tcBorders>
          </w:tcPr>
          <w:p w:rsidR="00A7352B" w:rsidRPr="001D3869" w:rsidRDefault="00A7352B" w:rsidP="00A7352B">
            <w:pPr>
              <w:jc w:val="right"/>
              <w:rPr>
                <w:rFonts w:ascii="Arial" w:hAnsi="Arial" w:cs="Arial"/>
                <w:sz w:val="24"/>
                <w:szCs w:val="24"/>
              </w:rPr>
            </w:pPr>
            <w:r w:rsidRPr="001D3869">
              <w:rPr>
                <w:rFonts w:ascii="Arial" w:hAnsi="Arial" w:cs="Arial"/>
                <w:sz w:val="24"/>
                <w:szCs w:val="24"/>
              </w:rPr>
              <w:t>17</w:t>
            </w:r>
          </w:p>
        </w:tc>
      </w:tr>
      <w:tr w:rsidR="00A7352B" w:rsidRPr="001D3869" w:rsidTr="00A7352B">
        <w:trPr>
          <w:trHeight w:val="270"/>
        </w:trPr>
        <w:tc>
          <w:tcPr>
            <w:tcW w:w="6531" w:type="dxa"/>
            <w:tcBorders>
              <w:top w:val="single" w:sz="4" w:space="0" w:color="auto"/>
            </w:tcBorders>
            <w:shd w:val="clear" w:color="auto" w:fill="auto"/>
            <w:vAlign w:val="bottom"/>
          </w:tcPr>
          <w:p w:rsidR="00A7352B" w:rsidRPr="006862B3" w:rsidRDefault="00A7352B" w:rsidP="00A7352B">
            <w:pPr>
              <w:rPr>
                <w:rFonts w:ascii="Arial" w:hAnsi="Arial" w:cs="Arial"/>
                <w:b/>
                <w:sz w:val="24"/>
                <w:szCs w:val="24"/>
              </w:rPr>
            </w:pPr>
            <w:r w:rsidRPr="006862B3">
              <w:rPr>
                <w:rFonts w:ascii="Arial" w:hAnsi="Arial" w:cs="Arial"/>
                <w:b/>
                <w:sz w:val="24"/>
                <w:szCs w:val="24"/>
              </w:rPr>
              <w:t>Free cash flow</w:t>
            </w:r>
          </w:p>
        </w:tc>
        <w:tc>
          <w:tcPr>
            <w:tcW w:w="1559" w:type="dxa"/>
            <w:tcBorders>
              <w:top w:val="single" w:sz="4" w:space="0" w:color="auto"/>
            </w:tcBorders>
          </w:tcPr>
          <w:p w:rsidR="00A7352B" w:rsidRPr="006862B3" w:rsidRDefault="008020CC" w:rsidP="00A7352B">
            <w:pPr>
              <w:jc w:val="right"/>
              <w:rPr>
                <w:rFonts w:ascii="Arial" w:hAnsi="Arial" w:cs="Arial"/>
                <w:b/>
                <w:sz w:val="24"/>
                <w:szCs w:val="24"/>
              </w:rPr>
            </w:pPr>
            <w:r>
              <w:rPr>
                <w:rFonts w:ascii="Arial" w:hAnsi="Arial" w:cs="Arial"/>
                <w:b/>
                <w:sz w:val="24"/>
                <w:szCs w:val="24"/>
              </w:rPr>
              <w:t>559</w:t>
            </w:r>
          </w:p>
        </w:tc>
        <w:tc>
          <w:tcPr>
            <w:tcW w:w="1418" w:type="dxa"/>
            <w:tcBorders>
              <w:top w:val="single" w:sz="4" w:space="0" w:color="auto"/>
            </w:tcBorders>
          </w:tcPr>
          <w:p w:rsidR="00A7352B" w:rsidRPr="001D3869" w:rsidRDefault="00A7352B" w:rsidP="00A7352B">
            <w:pPr>
              <w:jc w:val="right"/>
              <w:rPr>
                <w:rFonts w:ascii="Arial" w:hAnsi="Arial" w:cs="Arial"/>
                <w:sz w:val="24"/>
                <w:szCs w:val="24"/>
              </w:rPr>
            </w:pPr>
            <w:r w:rsidRPr="001D3869">
              <w:rPr>
                <w:rFonts w:ascii="Arial" w:hAnsi="Arial" w:cs="Arial"/>
                <w:sz w:val="24"/>
                <w:szCs w:val="24"/>
              </w:rPr>
              <w:t>330</w:t>
            </w:r>
          </w:p>
        </w:tc>
      </w:tr>
      <w:tr w:rsidR="00A7352B" w:rsidRPr="001D3869" w:rsidTr="00A7352B">
        <w:trPr>
          <w:trHeight w:val="270"/>
        </w:trPr>
        <w:tc>
          <w:tcPr>
            <w:tcW w:w="6531" w:type="dxa"/>
            <w:shd w:val="clear" w:color="auto" w:fill="auto"/>
            <w:vAlign w:val="bottom"/>
          </w:tcPr>
          <w:p w:rsidR="00A7352B" w:rsidRPr="006862B3" w:rsidRDefault="00A7352B" w:rsidP="00A7352B">
            <w:pPr>
              <w:rPr>
                <w:rFonts w:ascii="Arial" w:hAnsi="Arial" w:cs="Arial"/>
                <w:sz w:val="24"/>
                <w:szCs w:val="24"/>
              </w:rPr>
            </w:pPr>
            <w:r w:rsidRPr="006862B3">
              <w:rPr>
                <w:rFonts w:ascii="Arial" w:hAnsi="Arial" w:cs="Arial"/>
                <w:sz w:val="24"/>
                <w:szCs w:val="24"/>
              </w:rPr>
              <w:t>Dividends paid</w:t>
            </w:r>
          </w:p>
        </w:tc>
        <w:tc>
          <w:tcPr>
            <w:tcW w:w="1559" w:type="dxa"/>
          </w:tcPr>
          <w:p w:rsidR="00A7352B" w:rsidRPr="006862B3" w:rsidRDefault="00A7352B" w:rsidP="00A7352B">
            <w:pPr>
              <w:jc w:val="right"/>
              <w:rPr>
                <w:rFonts w:ascii="Arial" w:hAnsi="Arial" w:cs="Arial"/>
                <w:b/>
                <w:sz w:val="24"/>
                <w:szCs w:val="24"/>
              </w:rPr>
            </w:pPr>
            <w:r>
              <w:rPr>
                <w:rFonts w:ascii="Arial" w:hAnsi="Arial" w:cs="Arial"/>
                <w:b/>
                <w:sz w:val="24"/>
                <w:szCs w:val="24"/>
              </w:rPr>
              <w:t>(224)</w:t>
            </w:r>
          </w:p>
        </w:tc>
        <w:tc>
          <w:tcPr>
            <w:tcW w:w="1418" w:type="dxa"/>
          </w:tcPr>
          <w:p w:rsidR="00A7352B" w:rsidRPr="001D3869" w:rsidRDefault="00A7352B" w:rsidP="00A7352B">
            <w:pPr>
              <w:jc w:val="right"/>
              <w:rPr>
                <w:rFonts w:ascii="Arial" w:hAnsi="Arial" w:cs="Arial"/>
                <w:sz w:val="24"/>
                <w:szCs w:val="24"/>
              </w:rPr>
            </w:pPr>
            <w:r w:rsidRPr="001D3869">
              <w:rPr>
                <w:rFonts w:ascii="Arial" w:hAnsi="Arial" w:cs="Arial"/>
                <w:sz w:val="24"/>
                <w:szCs w:val="24"/>
              </w:rPr>
              <w:t>(221)</w:t>
            </w:r>
          </w:p>
        </w:tc>
      </w:tr>
      <w:tr w:rsidR="00A7352B" w:rsidRPr="001D3869" w:rsidTr="00A7352B">
        <w:trPr>
          <w:trHeight w:val="270"/>
        </w:trPr>
        <w:tc>
          <w:tcPr>
            <w:tcW w:w="6531" w:type="dxa"/>
            <w:shd w:val="clear" w:color="auto" w:fill="auto"/>
            <w:vAlign w:val="bottom"/>
          </w:tcPr>
          <w:p w:rsidR="00A7352B" w:rsidRPr="006862B3" w:rsidRDefault="00A7352B" w:rsidP="00A7352B">
            <w:pPr>
              <w:rPr>
                <w:rFonts w:ascii="Arial" w:hAnsi="Arial" w:cs="Arial"/>
                <w:sz w:val="24"/>
                <w:szCs w:val="24"/>
              </w:rPr>
            </w:pPr>
            <w:r>
              <w:rPr>
                <w:rFonts w:ascii="Arial" w:hAnsi="Arial" w:cs="Arial"/>
                <w:sz w:val="24"/>
                <w:szCs w:val="24"/>
              </w:rPr>
              <w:t>Acquisition of Bricostore Romania</w:t>
            </w:r>
            <w:r w:rsidR="00F7301E">
              <w:rPr>
                <w:rFonts w:ascii="Arial" w:hAnsi="Arial" w:cs="Arial"/>
                <w:sz w:val="24"/>
                <w:szCs w:val="24"/>
              </w:rPr>
              <w:t xml:space="preserve"> (including debt)</w:t>
            </w:r>
          </w:p>
        </w:tc>
        <w:tc>
          <w:tcPr>
            <w:tcW w:w="1559" w:type="dxa"/>
          </w:tcPr>
          <w:p w:rsidR="00A7352B" w:rsidRPr="006862B3" w:rsidRDefault="00F7301E" w:rsidP="00A7352B">
            <w:pPr>
              <w:jc w:val="right"/>
              <w:rPr>
                <w:rFonts w:ascii="Arial" w:hAnsi="Arial" w:cs="Arial"/>
                <w:b/>
                <w:sz w:val="24"/>
                <w:szCs w:val="24"/>
              </w:rPr>
            </w:pPr>
            <w:r>
              <w:rPr>
                <w:rFonts w:ascii="Arial" w:hAnsi="Arial" w:cs="Arial"/>
                <w:b/>
                <w:sz w:val="24"/>
                <w:szCs w:val="24"/>
              </w:rPr>
              <w:t>(63</w:t>
            </w:r>
            <w:r w:rsidR="00A7352B">
              <w:rPr>
                <w:rFonts w:ascii="Arial" w:hAnsi="Arial" w:cs="Arial"/>
                <w:b/>
                <w:sz w:val="24"/>
                <w:szCs w:val="24"/>
              </w:rPr>
              <w:t>)</w:t>
            </w:r>
          </w:p>
        </w:tc>
        <w:tc>
          <w:tcPr>
            <w:tcW w:w="1418" w:type="dxa"/>
          </w:tcPr>
          <w:p w:rsidR="00A7352B" w:rsidRPr="001D3869" w:rsidRDefault="00A7352B" w:rsidP="00A7352B">
            <w:pPr>
              <w:jc w:val="right"/>
              <w:rPr>
                <w:rFonts w:ascii="Arial" w:hAnsi="Arial" w:cs="Arial"/>
                <w:sz w:val="24"/>
                <w:szCs w:val="24"/>
              </w:rPr>
            </w:pPr>
            <w:r>
              <w:rPr>
                <w:rFonts w:ascii="Arial" w:hAnsi="Arial" w:cs="Arial"/>
                <w:sz w:val="24"/>
                <w:szCs w:val="24"/>
              </w:rPr>
              <w:t>-</w:t>
            </w:r>
          </w:p>
        </w:tc>
      </w:tr>
      <w:tr w:rsidR="00F7301E" w:rsidRPr="001D3869" w:rsidTr="00A7352B">
        <w:trPr>
          <w:trHeight w:val="270"/>
        </w:trPr>
        <w:tc>
          <w:tcPr>
            <w:tcW w:w="6531" w:type="dxa"/>
            <w:shd w:val="clear" w:color="auto" w:fill="auto"/>
            <w:vAlign w:val="bottom"/>
          </w:tcPr>
          <w:p w:rsidR="00F7301E" w:rsidRPr="006862B3" w:rsidRDefault="00F7301E" w:rsidP="00A7352B">
            <w:pPr>
              <w:rPr>
                <w:rFonts w:ascii="Arial" w:hAnsi="Arial" w:cs="Arial"/>
                <w:sz w:val="24"/>
                <w:szCs w:val="24"/>
              </w:rPr>
            </w:pPr>
            <w:r>
              <w:rPr>
                <w:rFonts w:ascii="Arial" w:hAnsi="Arial" w:cs="Arial"/>
                <w:sz w:val="24"/>
                <w:szCs w:val="24"/>
              </w:rPr>
              <w:t>Other</w:t>
            </w:r>
            <w:r w:rsidR="00BF0801">
              <w:rPr>
                <w:rFonts w:ascii="Arial" w:hAnsi="Arial" w:cs="Arial"/>
                <w:i/>
                <w:sz w:val="20"/>
                <w:szCs w:val="20"/>
                <w:vertAlign w:val="superscript"/>
              </w:rPr>
              <w:t>(</w:t>
            </w:r>
            <w:r w:rsidR="00D21FEC">
              <w:rPr>
                <w:rFonts w:ascii="Arial" w:hAnsi="Arial" w:cs="Arial"/>
                <w:i/>
                <w:sz w:val="20"/>
                <w:szCs w:val="20"/>
                <w:vertAlign w:val="superscript"/>
              </w:rPr>
              <w:t>2</w:t>
            </w:r>
            <w:r w:rsidR="00BF0801">
              <w:rPr>
                <w:rFonts w:ascii="Arial" w:hAnsi="Arial" w:cs="Arial"/>
                <w:i/>
                <w:sz w:val="20"/>
                <w:szCs w:val="20"/>
                <w:vertAlign w:val="superscript"/>
              </w:rPr>
              <w:t>)</w:t>
            </w:r>
          </w:p>
        </w:tc>
        <w:tc>
          <w:tcPr>
            <w:tcW w:w="1559" w:type="dxa"/>
          </w:tcPr>
          <w:p w:rsidR="00F7301E" w:rsidRDefault="008020CC" w:rsidP="00A7352B">
            <w:pPr>
              <w:jc w:val="right"/>
              <w:rPr>
                <w:rFonts w:ascii="Arial" w:hAnsi="Arial" w:cs="Arial"/>
                <w:b/>
                <w:sz w:val="24"/>
                <w:szCs w:val="24"/>
              </w:rPr>
            </w:pPr>
            <w:r>
              <w:rPr>
                <w:rFonts w:ascii="Arial" w:hAnsi="Arial" w:cs="Arial"/>
                <w:b/>
                <w:sz w:val="24"/>
                <w:szCs w:val="24"/>
              </w:rPr>
              <w:t>(1</w:t>
            </w:r>
            <w:r w:rsidR="00BF0801">
              <w:rPr>
                <w:rFonts w:ascii="Arial" w:hAnsi="Arial" w:cs="Arial"/>
                <w:b/>
                <w:sz w:val="24"/>
                <w:szCs w:val="24"/>
              </w:rPr>
              <w:t>)</w:t>
            </w:r>
          </w:p>
        </w:tc>
        <w:tc>
          <w:tcPr>
            <w:tcW w:w="1418" w:type="dxa"/>
          </w:tcPr>
          <w:p w:rsidR="00F7301E" w:rsidRPr="001D3869" w:rsidRDefault="00BF0801" w:rsidP="00A7352B">
            <w:pPr>
              <w:jc w:val="right"/>
              <w:rPr>
                <w:rFonts w:ascii="Arial" w:hAnsi="Arial" w:cs="Arial"/>
                <w:sz w:val="24"/>
                <w:szCs w:val="24"/>
              </w:rPr>
            </w:pPr>
            <w:r>
              <w:rPr>
                <w:rFonts w:ascii="Arial" w:hAnsi="Arial" w:cs="Arial"/>
                <w:sz w:val="24"/>
                <w:szCs w:val="24"/>
              </w:rPr>
              <w:t>(10)</w:t>
            </w:r>
          </w:p>
        </w:tc>
      </w:tr>
      <w:tr w:rsidR="00A7352B" w:rsidRPr="001D3869" w:rsidTr="00A7352B">
        <w:trPr>
          <w:trHeight w:val="270"/>
        </w:trPr>
        <w:tc>
          <w:tcPr>
            <w:tcW w:w="6531" w:type="dxa"/>
            <w:shd w:val="clear" w:color="auto" w:fill="auto"/>
            <w:vAlign w:val="bottom"/>
          </w:tcPr>
          <w:p w:rsidR="00A7352B" w:rsidRPr="006862B3" w:rsidRDefault="00A7352B" w:rsidP="00A7352B">
            <w:pPr>
              <w:rPr>
                <w:rFonts w:ascii="Arial" w:hAnsi="Arial" w:cs="Arial"/>
                <w:sz w:val="24"/>
                <w:szCs w:val="24"/>
              </w:rPr>
            </w:pPr>
            <w:r w:rsidRPr="006862B3">
              <w:rPr>
                <w:rFonts w:ascii="Arial" w:hAnsi="Arial" w:cs="Arial"/>
                <w:sz w:val="24"/>
                <w:szCs w:val="24"/>
              </w:rPr>
              <w:t>Share purchase</w:t>
            </w:r>
            <w:r>
              <w:rPr>
                <w:rFonts w:ascii="Arial" w:hAnsi="Arial" w:cs="Arial"/>
                <w:sz w:val="24"/>
                <w:szCs w:val="24"/>
              </w:rPr>
              <w:t xml:space="preserve"> for employee incentive schemes</w:t>
            </w:r>
          </w:p>
        </w:tc>
        <w:tc>
          <w:tcPr>
            <w:tcW w:w="1559" w:type="dxa"/>
          </w:tcPr>
          <w:p w:rsidR="00A7352B" w:rsidRPr="006862B3" w:rsidRDefault="00A7352B" w:rsidP="00A7352B">
            <w:pPr>
              <w:jc w:val="right"/>
              <w:rPr>
                <w:rFonts w:ascii="Arial" w:hAnsi="Arial" w:cs="Arial"/>
                <w:b/>
                <w:sz w:val="24"/>
                <w:szCs w:val="24"/>
              </w:rPr>
            </w:pPr>
            <w:r>
              <w:rPr>
                <w:rFonts w:ascii="Arial" w:hAnsi="Arial" w:cs="Arial"/>
                <w:b/>
                <w:sz w:val="24"/>
                <w:szCs w:val="24"/>
              </w:rPr>
              <w:t>(24)</w:t>
            </w:r>
          </w:p>
        </w:tc>
        <w:tc>
          <w:tcPr>
            <w:tcW w:w="1418" w:type="dxa"/>
          </w:tcPr>
          <w:p w:rsidR="00A7352B" w:rsidRPr="001D3869" w:rsidRDefault="00A7352B" w:rsidP="00A7352B">
            <w:pPr>
              <w:jc w:val="right"/>
              <w:rPr>
                <w:rFonts w:ascii="Arial" w:hAnsi="Arial" w:cs="Arial"/>
                <w:sz w:val="24"/>
                <w:szCs w:val="24"/>
              </w:rPr>
            </w:pPr>
            <w:r w:rsidRPr="001D3869">
              <w:rPr>
                <w:rFonts w:ascii="Arial" w:hAnsi="Arial" w:cs="Arial"/>
                <w:sz w:val="24"/>
                <w:szCs w:val="24"/>
              </w:rPr>
              <w:t>-</w:t>
            </w:r>
          </w:p>
        </w:tc>
      </w:tr>
      <w:tr w:rsidR="00A7352B" w:rsidRPr="001D3869" w:rsidTr="00A7352B">
        <w:trPr>
          <w:trHeight w:val="270"/>
        </w:trPr>
        <w:tc>
          <w:tcPr>
            <w:tcW w:w="6531" w:type="dxa"/>
            <w:tcBorders>
              <w:top w:val="single" w:sz="4" w:space="0" w:color="auto"/>
            </w:tcBorders>
            <w:shd w:val="clear" w:color="auto" w:fill="auto"/>
            <w:vAlign w:val="bottom"/>
          </w:tcPr>
          <w:p w:rsidR="00A7352B" w:rsidRPr="009D2302" w:rsidRDefault="00A7352B" w:rsidP="00A7352B">
            <w:pPr>
              <w:rPr>
                <w:rFonts w:ascii="Arial" w:hAnsi="Arial" w:cs="Arial"/>
                <w:b/>
                <w:sz w:val="24"/>
                <w:szCs w:val="24"/>
              </w:rPr>
            </w:pPr>
            <w:r w:rsidRPr="009D2302">
              <w:rPr>
                <w:rFonts w:ascii="Arial" w:hAnsi="Arial" w:cs="Arial"/>
                <w:b/>
                <w:sz w:val="24"/>
                <w:szCs w:val="24"/>
              </w:rPr>
              <w:t xml:space="preserve">Cash flow movement in net </w:t>
            </w:r>
            <w:r>
              <w:rPr>
                <w:rFonts w:ascii="Arial" w:hAnsi="Arial" w:cs="Arial"/>
                <w:b/>
                <w:sz w:val="24"/>
                <w:szCs w:val="24"/>
              </w:rPr>
              <w:t>cash</w:t>
            </w:r>
          </w:p>
        </w:tc>
        <w:tc>
          <w:tcPr>
            <w:tcW w:w="1559" w:type="dxa"/>
            <w:tcBorders>
              <w:top w:val="single" w:sz="4" w:space="0" w:color="auto"/>
            </w:tcBorders>
          </w:tcPr>
          <w:p w:rsidR="00A7352B" w:rsidRPr="009D2302" w:rsidRDefault="00BF0801" w:rsidP="00A7352B">
            <w:pPr>
              <w:jc w:val="right"/>
              <w:rPr>
                <w:rFonts w:ascii="Arial" w:hAnsi="Arial" w:cs="Arial"/>
                <w:b/>
                <w:sz w:val="24"/>
                <w:szCs w:val="24"/>
              </w:rPr>
            </w:pPr>
            <w:r>
              <w:rPr>
                <w:rFonts w:ascii="Arial" w:hAnsi="Arial" w:cs="Arial"/>
                <w:b/>
                <w:sz w:val="24"/>
                <w:szCs w:val="24"/>
              </w:rPr>
              <w:t>247</w:t>
            </w:r>
          </w:p>
        </w:tc>
        <w:tc>
          <w:tcPr>
            <w:tcW w:w="1418" w:type="dxa"/>
            <w:tcBorders>
              <w:top w:val="single" w:sz="4" w:space="0" w:color="auto"/>
            </w:tcBorders>
          </w:tcPr>
          <w:p w:rsidR="00A7352B" w:rsidRPr="001D3869" w:rsidRDefault="00A7352B" w:rsidP="00A7352B">
            <w:pPr>
              <w:jc w:val="right"/>
              <w:rPr>
                <w:rFonts w:ascii="Arial" w:hAnsi="Arial" w:cs="Arial"/>
                <w:sz w:val="24"/>
                <w:szCs w:val="24"/>
              </w:rPr>
            </w:pPr>
            <w:r w:rsidRPr="001D3869">
              <w:rPr>
                <w:rFonts w:ascii="Arial" w:hAnsi="Arial" w:cs="Arial"/>
                <w:sz w:val="24"/>
                <w:szCs w:val="24"/>
              </w:rPr>
              <w:t>99</w:t>
            </w:r>
          </w:p>
        </w:tc>
      </w:tr>
      <w:tr w:rsidR="00A7352B" w:rsidRPr="001D3869" w:rsidTr="00A7352B">
        <w:trPr>
          <w:trHeight w:val="270"/>
        </w:trPr>
        <w:tc>
          <w:tcPr>
            <w:tcW w:w="6531" w:type="dxa"/>
            <w:shd w:val="clear" w:color="auto" w:fill="auto"/>
            <w:vAlign w:val="bottom"/>
          </w:tcPr>
          <w:p w:rsidR="00A7352B" w:rsidRPr="00EE25F8" w:rsidRDefault="00A7352B" w:rsidP="00A7352B">
            <w:pPr>
              <w:rPr>
                <w:rFonts w:ascii="Arial" w:hAnsi="Arial" w:cs="Arial"/>
                <w:sz w:val="24"/>
                <w:szCs w:val="24"/>
              </w:rPr>
            </w:pPr>
            <w:r w:rsidRPr="00EE25F8">
              <w:rPr>
                <w:rFonts w:ascii="Arial" w:hAnsi="Arial" w:cs="Arial"/>
                <w:sz w:val="24"/>
                <w:szCs w:val="24"/>
              </w:rPr>
              <w:t xml:space="preserve">Opening </w:t>
            </w:r>
            <w:r w:rsidRPr="00F53F2D">
              <w:rPr>
                <w:rFonts w:ascii="Arial" w:hAnsi="Arial" w:cs="Arial"/>
                <w:sz w:val="24"/>
                <w:szCs w:val="24"/>
              </w:rPr>
              <w:t xml:space="preserve">net </w:t>
            </w:r>
            <w:r>
              <w:rPr>
                <w:rFonts w:ascii="Arial" w:hAnsi="Arial" w:cs="Arial"/>
                <w:sz w:val="24"/>
                <w:szCs w:val="24"/>
              </w:rPr>
              <w:t>cash/</w:t>
            </w:r>
            <w:r w:rsidRPr="00F53F2D">
              <w:rPr>
                <w:rFonts w:ascii="Arial" w:hAnsi="Arial" w:cs="Arial"/>
                <w:sz w:val="24"/>
                <w:szCs w:val="24"/>
              </w:rPr>
              <w:t>(debt)</w:t>
            </w:r>
          </w:p>
        </w:tc>
        <w:tc>
          <w:tcPr>
            <w:tcW w:w="1559" w:type="dxa"/>
          </w:tcPr>
          <w:p w:rsidR="00A7352B" w:rsidRPr="00DC1C03" w:rsidRDefault="00A7352B" w:rsidP="00A7352B">
            <w:pPr>
              <w:jc w:val="right"/>
              <w:rPr>
                <w:rFonts w:ascii="Arial" w:hAnsi="Arial" w:cs="Arial"/>
                <w:b/>
                <w:sz w:val="24"/>
                <w:szCs w:val="24"/>
              </w:rPr>
            </w:pPr>
            <w:r>
              <w:rPr>
                <w:rFonts w:ascii="Arial" w:hAnsi="Arial" w:cs="Arial"/>
                <w:b/>
                <w:sz w:val="24"/>
                <w:szCs w:val="24"/>
              </w:rPr>
              <w:t>38</w:t>
            </w:r>
          </w:p>
        </w:tc>
        <w:tc>
          <w:tcPr>
            <w:tcW w:w="1418" w:type="dxa"/>
          </w:tcPr>
          <w:p w:rsidR="00A7352B" w:rsidRPr="001D3869" w:rsidRDefault="00A7352B" w:rsidP="00A7352B">
            <w:pPr>
              <w:jc w:val="right"/>
              <w:rPr>
                <w:rFonts w:ascii="Arial" w:hAnsi="Arial" w:cs="Arial"/>
                <w:sz w:val="24"/>
                <w:szCs w:val="24"/>
              </w:rPr>
            </w:pPr>
            <w:r w:rsidRPr="001D3869">
              <w:rPr>
                <w:rFonts w:ascii="Arial" w:hAnsi="Arial" w:cs="Arial"/>
                <w:sz w:val="24"/>
                <w:szCs w:val="24"/>
              </w:rPr>
              <w:t>(88)</w:t>
            </w:r>
          </w:p>
        </w:tc>
      </w:tr>
      <w:tr w:rsidR="00A7352B" w:rsidRPr="001D3869" w:rsidTr="00A7352B">
        <w:trPr>
          <w:trHeight w:val="270"/>
        </w:trPr>
        <w:tc>
          <w:tcPr>
            <w:tcW w:w="6531" w:type="dxa"/>
            <w:tcBorders>
              <w:bottom w:val="single" w:sz="4" w:space="0" w:color="auto"/>
            </w:tcBorders>
            <w:shd w:val="clear" w:color="auto" w:fill="auto"/>
            <w:vAlign w:val="bottom"/>
          </w:tcPr>
          <w:p w:rsidR="00A7352B" w:rsidRPr="00EE25F8" w:rsidRDefault="00A7352B" w:rsidP="00A7352B">
            <w:pPr>
              <w:rPr>
                <w:rFonts w:ascii="Arial" w:hAnsi="Arial" w:cs="Arial"/>
                <w:sz w:val="24"/>
                <w:szCs w:val="24"/>
              </w:rPr>
            </w:pPr>
            <w:r>
              <w:rPr>
                <w:rFonts w:ascii="Arial" w:hAnsi="Arial" w:cs="Arial"/>
                <w:sz w:val="24"/>
                <w:szCs w:val="24"/>
              </w:rPr>
              <w:t>Other movement including foreign exchange</w:t>
            </w:r>
          </w:p>
        </w:tc>
        <w:tc>
          <w:tcPr>
            <w:tcW w:w="1559" w:type="dxa"/>
            <w:tcBorders>
              <w:bottom w:val="single" w:sz="4" w:space="0" w:color="auto"/>
            </w:tcBorders>
          </w:tcPr>
          <w:p w:rsidR="00A7352B" w:rsidRPr="00DC1C03" w:rsidRDefault="00A7352B" w:rsidP="00A7352B">
            <w:pPr>
              <w:jc w:val="right"/>
              <w:rPr>
                <w:rFonts w:ascii="Arial" w:hAnsi="Arial" w:cs="Arial"/>
                <w:b/>
                <w:sz w:val="24"/>
                <w:szCs w:val="24"/>
              </w:rPr>
            </w:pPr>
            <w:r>
              <w:rPr>
                <w:rFonts w:ascii="Arial" w:hAnsi="Arial" w:cs="Arial"/>
                <w:b/>
                <w:sz w:val="24"/>
                <w:szCs w:val="24"/>
              </w:rPr>
              <w:t>(47)</w:t>
            </w:r>
          </w:p>
        </w:tc>
        <w:tc>
          <w:tcPr>
            <w:tcW w:w="1418" w:type="dxa"/>
            <w:tcBorders>
              <w:bottom w:val="single" w:sz="4" w:space="0" w:color="auto"/>
            </w:tcBorders>
          </w:tcPr>
          <w:p w:rsidR="00A7352B" w:rsidRPr="001D3869" w:rsidRDefault="00A7352B" w:rsidP="00A7352B">
            <w:pPr>
              <w:jc w:val="right"/>
              <w:rPr>
                <w:rFonts w:ascii="Arial" w:hAnsi="Arial" w:cs="Arial"/>
                <w:sz w:val="24"/>
                <w:szCs w:val="24"/>
              </w:rPr>
            </w:pPr>
            <w:r w:rsidRPr="001D3869">
              <w:rPr>
                <w:rFonts w:ascii="Arial" w:hAnsi="Arial" w:cs="Arial"/>
                <w:sz w:val="24"/>
                <w:szCs w:val="24"/>
              </w:rPr>
              <w:t>27</w:t>
            </w:r>
          </w:p>
        </w:tc>
      </w:tr>
      <w:tr w:rsidR="00A7352B" w:rsidRPr="001D3869" w:rsidTr="00A7352B">
        <w:trPr>
          <w:trHeight w:val="270"/>
        </w:trPr>
        <w:tc>
          <w:tcPr>
            <w:tcW w:w="6531" w:type="dxa"/>
            <w:tcBorders>
              <w:top w:val="single" w:sz="4" w:space="0" w:color="auto"/>
              <w:bottom w:val="single" w:sz="4" w:space="0" w:color="auto"/>
            </w:tcBorders>
            <w:shd w:val="clear" w:color="auto" w:fill="auto"/>
            <w:vAlign w:val="bottom"/>
          </w:tcPr>
          <w:p w:rsidR="00A7352B" w:rsidRPr="009D2302" w:rsidRDefault="00A7352B" w:rsidP="00A7352B">
            <w:pPr>
              <w:rPr>
                <w:rFonts w:ascii="Arial" w:hAnsi="Arial" w:cs="Arial"/>
                <w:b/>
                <w:sz w:val="24"/>
                <w:szCs w:val="24"/>
              </w:rPr>
            </w:pPr>
            <w:r>
              <w:rPr>
                <w:rFonts w:ascii="Arial" w:hAnsi="Arial" w:cs="Arial"/>
                <w:b/>
                <w:sz w:val="24"/>
                <w:szCs w:val="24"/>
              </w:rPr>
              <w:t>Closing net cash</w:t>
            </w:r>
          </w:p>
        </w:tc>
        <w:tc>
          <w:tcPr>
            <w:tcW w:w="1559" w:type="dxa"/>
            <w:tcBorders>
              <w:top w:val="single" w:sz="4" w:space="0" w:color="auto"/>
              <w:bottom w:val="single" w:sz="4" w:space="0" w:color="auto"/>
            </w:tcBorders>
          </w:tcPr>
          <w:p w:rsidR="00A7352B" w:rsidRPr="009D2302" w:rsidRDefault="00A7352B" w:rsidP="00A7352B">
            <w:pPr>
              <w:jc w:val="right"/>
              <w:rPr>
                <w:rFonts w:ascii="Arial" w:hAnsi="Arial" w:cs="Arial"/>
                <w:b/>
                <w:sz w:val="24"/>
                <w:szCs w:val="24"/>
              </w:rPr>
            </w:pPr>
            <w:r>
              <w:rPr>
                <w:rFonts w:ascii="Arial" w:hAnsi="Arial" w:cs="Arial"/>
                <w:b/>
                <w:sz w:val="24"/>
                <w:szCs w:val="24"/>
              </w:rPr>
              <w:t>238</w:t>
            </w:r>
          </w:p>
        </w:tc>
        <w:tc>
          <w:tcPr>
            <w:tcW w:w="1418" w:type="dxa"/>
            <w:tcBorders>
              <w:top w:val="single" w:sz="4" w:space="0" w:color="auto"/>
              <w:bottom w:val="single" w:sz="4" w:space="0" w:color="auto"/>
            </w:tcBorders>
          </w:tcPr>
          <w:p w:rsidR="00A7352B" w:rsidRPr="001D3869" w:rsidRDefault="00A7352B" w:rsidP="00A7352B">
            <w:pPr>
              <w:jc w:val="right"/>
              <w:rPr>
                <w:rFonts w:ascii="Arial" w:hAnsi="Arial" w:cs="Arial"/>
                <w:sz w:val="24"/>
                <w:szCs w:val="24"/>
              </w:rPr>
            </w:pPr>
            <w:r w:rsidRPr="001D3869">
              <w:rPr>
                <w:rFonts w:ascii="Arial" w:hAnsi="Arial" w:cs="Arial"/>
                <w:sz w:val="24"/>
                <w:szCs w:val="24"/>
              </w:rPr>
              <w:t>38</w:t>
            </w:r>
          </w:p>
        </w:tc>
      </w:tr>
    </w:tbl>
    <w:p w:rsidR="00D21FEC" w:rsidRPr="00D21FEC" w:rsidRDefault="00D21FEC" w:rsidP="007678AD">
      <w:pPr>
        <w:jc w:val="left"/>
        <w:rPr>
          <w:rFonts w:ascii="Arial" w:hAnsi="Arial" w:cs="Arial"/>
          <w:i/>
          <w:sz w:val="18"/>
          <w:szCs w:val="18"/>
        </w:rPr>
      </w:pPr>
      <w:r w:rsidRPr="007678AD">
        <w:rPr>
          <w:rFonts w:ascii="Arial" w:hAnsi="Arial" w:cs="Arial"/>
          <w:i/>
          <w:sz w:val="18"/>
          <w:szCs w:val="18"/>
        </w:rPr>
        <w:t xml:space="preserve"> </w:t>
      </w:r>
    </w:p>
    <w:p w:rsidR="00D21FEC" w:rsidRPr="00D21FEC" w:rsidRDefault="00D21FEC" w:rsidP="007678AD">
      <w:pPr>
        <w:pStyle w:val="ListParagraph"/>
        <w:numPr>
          <w:ilvl w:val="0"/>
          <w:numId w:val="20"/>
        </w:numPr>
        <w:ind w:right="-368"/>
        <w:jc w:val="left"/>
        <w:rPr>
          <w:rFonts w:ascii="Arial" w:hAnsi="Arial" w:cs="Arial"/>
          <w:i/>
          <w:sz w:val="18"/>
          <w:szCs w:val="18"/>
        </w:rPr>
      </w:pPr>
      <w:r w:rsidRPr="00D21FEC">
        <w:rPr>
          <w:rFonts w:ascii="Arial" w:hAnsi="Arial" w:cs="Arial"/>
          <w:i/>
          <w:sz w:val="18"/>
          <w:szCs w:val="18"/>
        </w:rPr>
        <w:t>Other</w:t>
      </w:r>
      <w:r w:rsidR="0071308E">
        <w:rPr>
          <w:rFonts w:ascii="Arial" w:hAnsi="Arial" w:cs="Arial"/>
          <w:i/>
          <w:sz w:val="18"/>
          <w:szCs w:val="18"/>
        </w:rPr>
        <w:t xml:space="preserve"> </w:t>
      </w:r>
      <w:r w:rsidRPr="00D21FEC">
        <w:rPr>
          <w:rFonts w:ascii="Arial" w:hAnsi="Arial" w:cs="Arial"/>
          <w:i/>
          <w:sz w:val="18"/>
          <w:szCs w:val="18"/>
        </w:rPr>
        <w:t>non-cash items includes depreciation and amortisation, impairment losses, share-based compensation charge, share of post-tax results of JVs and associates, pension operating cost and profit/loss on retail disposals.</w:t>
      </w:r>
    </w:p>
    <w:p w:rsidR="00A7352B" w:rsidRPr="007678AD" w:rsidRDefault="00A7352B" w:rsidP="007678AD">
      <w:pPr>
        <w:pStyle w:val="ListParagraph"/>
        <w:numPr>
          <w:ilvl w:val="0"/>
          <w:numId w:val="20"/>
        </w:numPr>
        <w:ind w:right="-368"/>
        <w:jc w:val="left"/>
        <w:rPr>
          <w:rFonts w:ascii="Arial" w:hAnsi="Arial" w:cs="Arial"/>
          <w:i/>
          <w:sz w:val="18"/>
          <w:szCs w:val="18"/>
        </w:rPr>
      </w:pPr>
      <w:r w:rsidRPr="007678AD">
        <w:rPr>
          <w:rFonts w:ascii="Arial" w:hAnsi="Arial" w:cs="Arial"/>
          <w:i/>
          <w:sz w:val="18"/>
          <w:szCs w:val="18"/>
        </w:rPr>
        <w:t xml:space="preserve">Includes dividends received from JVs and associates, issue of shares and exceptional items (excluding property disposals). </w:t>
      </w:r>
    </w:p>
    <w:p w:rsidR="00A7352B" w:rsidRDefault="00A7352B" w:rsidP="00A7352B">
      <w:pPr>
        <w:jc w:val="left"/>
        <w:rPr>
          <w:rFonts w:ascii="Arial" w:hAnsi="Arial" w:cs="Arial"/>
          <w:sz w:val="24"/>
          <w:szCs w:val="24"/>
        </w:rPr>
      </w:pPr>
    </w:p>
    <w:p w:rsidR="00A7352B" w:rsidRPr="00C82F88" w:rsidRDefault="00A7352B" w:rsidP="00A7352B">
      <w:pPr>
        <w:jc w:val="left"/>
        <w:rPr>
          <w:rFonts w:ascii="Arial" w:hAnsi="Arial" w:cs="Arial"/>
          <w:sz w:val="24"/>
          <w:szCs w:val="24"/>
        </w:rPr>
      </w:pPr>
      <w:r w:rsidRPr="00C82F88">
        <w:rPr>
          <w:rFonts w:ascii="Arial" w:hAnsi="Arial" w:cs="Arial" w:hint="eastAsia"/>
          <w:sz w:val="24"/>
          <w:szCs w:val="24"/>
        </w:rPr>
        <w:t xml:space="preserve">Net cash at the end of the year was </w:t>
      </w:r>
      <w:r w:rsidRPr="00535126">
        <w:rPr>
          <w:rFonts w:ascii="Arial" w:hAnsi="Arial" w:cs="Arial"/>
          <w:sz w:val="24"/>
          <w:szCs w:val="24"/>
        </w:rPr>
        <w:t>£2</w:t>
      </w:r>
      <w:r w:rsidRPr="00535126">
        <w:rPr>
          <w:rFonts w:ascii="Arial" w:hAnsi="Arial" w:cs="Arial" w:hint="eastAsia"/>
          <w:sz w:val="24"/>
          <w:szCs w:val="24"/>
        </w:rPr>
        <w:t>38 million</w:t>
      </w:r>
      <w:r w:rsidRPr="00C82F88">
        <w:rPr>
          <w:rFonts w:ascii="Arial" w:hAnsi="Arial" w:cs="Arial" w:hint="eastAsia"/>
          <w:sz w:val="24"/>
          <w:szCs w:val="24"/>
        </w:rPr>
        <w:t xml:space="preserve"> (201</w:t>
      </w:r>
      <w:r>
        <w:rPr>
          <w:rFonts w:ascii="Arial" w:hAnsi="Arial" w:cs="Arial"/>
          <w:sz w:val="24"/>
          <w:szCs w:val="24"/>
        </w:rPr>
        <w:t>2</w:t>
      </w:r>
      <w:r w:rsidRPr="00C82F88">
        <w:rPr>
          <w:rFonts w:ascii="Arial" w:hAnsi="Arial" w:cs="Arial" w:hint="eastAsia"/>
          <w:sz w:val="24"/>
          <w:szCs w:val="24"/>
        </w:rPr>
        <w:t>/1</w:t>
      </w:r>
      <w:r>
        <w:rPr>
          <w:rFonts w:ascii="Arial" w:hAnsi="Arial" w:cs="Arial"/>
          <w:sz w:val="24"/>
          <w:szCs w:val="24"/>
        </w:rPr>
        <w:t>3</w:t>
      </w:r>
      <w:r w:rsidRPr="00C82F88">
        <w:rPr>
          <w:rFonts w:ascii="Arial" w:hAnsi="Arial" w:cs="Arial" w:hint="eastAsia"/>
          <w:sz w:val="24"/>
          <w:szCs w:val="24"/>
        </w:rPr>
        <w:t xml:space="preserve">: </w:t>
      </w:r>
      <w:r w:rsidRPr="00C82F88">
        <w:rPr>
          <w:rFonts w:ascii="Arial" w:hAnsi="Arial" w:cs="Arial"/>
          <w:sz w:val="24"/>
          <w:szCs w:val="24"/>
        </w:rPr>
        <w:t>£</w:t>
      </w:r>
      <w:r>
        <w:rPr>
          <w:rFonts w:ascii="Arial" w:hAnsi="Arial" w:cs="Arial"/>
          <w:sz w:val="24"/>
          <w:szCs w:val="24"/>
        </w:rPr>
        <w:t>3</w:t>
      </w:r>
      <w:r w:rsidRPr="00C82F88">
        <w:rPr>
          <w:rFonts w:ascii="Arial" w:hAnsi="Arial" w:cs="Arial" w:hint="eastAsia"/>
          <w:sz w:val="24"/>
          <w:szCs w:val="24"/>
        </w:rPr>
        <w:t xml:space="preserve">8 million net </w:t>
      </w:r>
      <w:r>
        <w:rPr>
          <w:rFonts w:ascii="Arial" w:hAnsi="Arial" w:cs="Arial"/>
          <w:sz w:val="24"/>
          <w:szCs w:val="24"/>
        </w:rPr>
        <w:t>cash</w:t>
      </w:r>
      <w:r w:rsidRPr="00C82F88">
        <w:rPr>
          <w:rFonts w:ascii="Arial" w:hAnsi="Arial" w:cs="Arial" w:hint="eastAsia"/>
          <w:sz w:val="24"/>
          <w:szCs w:val="24"/>
        </w:rPr>
        <w:t xml:space="preserve">). </w:t>
      </w:r>
    </w:p>
    <w:p w:rsidR="00A7352B" w:rsidRPr="00C82F88" w:rsidRDefault="00A7352B" w:rsidP="00A7352B">
      <w:pPr>
        <w:jc w:val="left"/>
        <w:rPr>
          <w:rFonts w:ascii="Arial" w:hAnsi="Arial" w:cs="Arial"/>
          <w:sz w:val="24"/>
          <w:szCs w:val="24"/>
        </w:rPr>
      </w:pPr>
    </w:p>
    <w:p w:rsidR="00A7352B" w:rsidRDefault="00A7352B" w:rsidP="00A7352B">
      <w:pPr>
        <w:jc w:val="left"/>
        <w:rPr>
          <w:rFonts w:ascii="Arial" w:hAnsi="Arial" w:cs="Arial"/>
          <w:sz w:val="24"/>
          <w:szCs w:val="24"/>
        </w:rPr>
      </w:pPr>
      <w:r w:rsidRPr="00535126">
        <w:rPr>
          <w:rFonts w:ascii="Arial" w:hAnsi="Arial" w:cs="Arial" w:hint="eastAsia"/>
          <w:sz w:val="24"/>
          <w:szCs w:val="24"/>
        </w:rPr>
        <w:t xml:space="preserve">Free cash flow of </w:t>
      </w:r>
      <w:r w:rsidR="008020CC">
        <w:rPr>
          <w:rFonts w:ascii="Arial" w:hAnsi="Arial" w:cs="Arial"/>
          <w:sz w:val="24"/>
          <w:szCs w:val="24"/>
        </w:rPr>
        <w:t>£559</w:t>
      </w:r>
      <w:r w:rsidRPr="00535126">
        <w:rPr>
          <w:rFonts w:ascii="Arial" w:hAnsi="Arial" w:cs="Arial" w:hint="eastAsia"/>
          <w:sz w:val="24"/>
          <w:szCs w:val="24"/>
        </w:rPr>
        <w:t xml:space="preserve"> million was generated in the year, a</w:t>
      </w:r>
      <w:r w:rsidRPr="00535126">
        <w:rPr>
          <w:rFonts w:ascii="Arial" w:hAnsi="Arial" w:cs="Arial"/>
          <w:sz w:val="24"/>
          <w:szCs w:val="24"/>
        </w:rPr>
        <w:t>n increase</w:t>
      </w:r>
      <w:r w:rsidRPr="00535126">
        <w:rPr>
          <w:rFonts w:ascii="Arial" w:hAnsi="Arial" w:cs="Arial" w:hint="eastAsia"/>
          <w:sz w:val="24"/>
          <w:szCs w:val="24"/>
        </w:rPr>
        <w:t xml:space="preserve"> of </w:t>
      </w:r>
      <w:r w:rsidRPr="00535126">
        <w:rPr>
          <w:rFonts w:ascii="Arial" w:hAnsi="Arial" w:cs="Arial"/>
          <w:sz w:val="24"/>
          <w:szCs w:val="24"/>
        </w:rPr>
        <w:t>£2</w:t>
      </w:r>
      <w:r w:rsidR="008020CC">
        <w:rPr>
          <w:rFonts w:ascii="Arial" w:hAnsi="Arial" w:cs="Arial" w:hint="eastAsia"/>
          <w:sz w:val="24"/>
          <w:szCs w:val="24"/>
        </w:rPr>
        <w:t>29</w:t>
      </w:r>
      <w:r w:rsidRPr="00535126">
        <w:rPr>
          <w:rFonts w:ascii="Arial" w:hAnsi="Arial" w:cs="Arial" w:hint="eastAsia"/>
          <w:sz w:val="24"/>
          <w:szCs w:val="24"/>
        </w:rPr>
        <w:t xml:space="preserve"> million year</w:t>
      </w:r>
      <w:r w:rsidRPr="00535126">
        <w:rPr>
          <w:rFonts w:ascii="Arial" w:hAnsi="Arial" w:cs="Arial"/>
          <w:sz w:val="24"/>
          <w:szCs w:val="24"/>
        </w:rPr>
        <w:t xml:space="preserve"> </w:t>
      </w:r>
      <w:r w:rsidRPr="00B10ACC">
        <w:rPr>
          <w:rFonts w:ascii="Arial" w:hAnsi="Arial" w:cs="Arial" w:hint="eastAsia"/>
          <w:sz w:val="24"/>
          <w:szCs w:val="24"/>
        </w:rPr>
        <w:t>on</w:t>
      </w:r>
      <w:r w:rsidRPr="00B10ACC">
        <w:rPr>
          <w:rFonts w:ascii="Arial" w:hAnsi="Arial" w:cs="Arial"/>
          <w:sz w:val="24"/>
          <w:szCs w:val="24"/>
        </w:rPr>
        <w:t xml:space="preserve"> </w:t>
      </w:r>
      <w:r w:rsidRPr="00B10ACC">
        <w:rPr>
          <w:rFonts w:ascii="Arial" w:hAnsi="Arial" w:cs="Arial" w:hint="eastAsia"/>
          <w:sz w:val="24"/>
          <w:szCs w:val="24"/>
        </w:rPr>
        <w:t xml:space="preserve">year </w:t>
      </w:r>
      <w:r>
        <w:rPr>
          <w:rFonts w:ascii="Arial" w:hAnsi="Arial" w:cs="Arial"/>
          <w:sz w:val="24"/>
          <w:szCs w:val="24"/>
        </w:rPr>
        <w:t xml:space="preserve">primarily due to </w:t>
      </w:r>
      <w:r w:rsidR="00A90C9F">
        <w:rPr>
          <w:rFonts w:ascii="Arial" w:hAnsi="Arial" w:cs="Arial"/>
          <w:sz w:val="24"/>
          <w:szCs w:val="24"/>
        </w:rPr>
        <w:t>the</w:t>
      </w:r>
      <w:r>
        <w:rPr>
          <w:rFonts w:ascii="Arial" w:hAnsi="Arial" w:cs="Arial"/>
          <w:sz w:val="24"/>
          <w:szCs w:val="24"/>
        </w:rPr>
        <w:t xml:space="preserve"> movement in working capital. </w:t>
      </w:r>
      <w:r w:rsidRPr="00CB454F">
        <w:rPr>
          <w:rFonts w:ascii="Arial" w:hAnsi="Arial" w:cs="Arial"/>
          <w:sz w:val="24"/>
          <w:szCs w:val="24"/>
        </w:rPr>
        <w:t>Th</w:t>
      </w:r>
      <w:r w:rsidR="00BF0801">
        <w:rPr>
          <w:rFonts w:ascii="Arial" w:hAnsi="Arial" w:cs="Arial"/>
          <w:sz w:val="24"/>
          <w:szCs w:val="24"/>
        </w:rPr>
        <w:t>is is a combination of LME* and w</w:t>
      </w:r>
      <w:r w:rsidRPr="00CB454F">
        <w:rPr>
          <w:rFonts w:ascii="Arial" w:hAnsi="Arial" w:cs="Arial"/>
          <w:sz w:val="24"/>
          <w:szCs w:val="24"/>
        </w:rPr>
        <w:t>eek 53 impac</w:t>
      </w:r>
      <w:r w:rsidR="003D7F0E">
        <w:rPr>
          <w:rFonts w:ascii="Arial" w:hAnsi="Arial" w:cs="Arial"/>
          <w:sz w:val="24"/>
          <w:szCs w:val="24"/>
        </w:rPr>
        <w:t>ts in the prior year,</w:t>
      </w:r>
      <w:r w:rsidRPr="00CB454F">
        <w:rPr>
          <w:rFonts w:ascii="Arial" w:hAnsi="Arial" w:cs="Arial"/>
          <w:sz w:val="24"/>
          <w:szCs w:val="24"/>
        </w:rPr>
        <w:t xml:space="preserve"> the </w:t>
      </w:r>
      <w:r w:rsidR="003D7F0E">
        <w:rPr>
          <w:rFonts w:ascii="Arial" w:hAnsi="Arial" w:cs="Arial"/>
          <w:sz w:val="24"/>
          <w:szCs w:val="24"/>
        </w:rPr>
        <w:t>reversal of a higher</w:t>
      </w:r>
      <w:r w:rsidR="003D7F0E" w:rsidRPr="00A64D40">
        <w:rPr>
          <w:rFonts w:ascii="Arial" w:hAnsi="Arial" w:cs="Arial"/>
          <w:sz w:val="24"/>
          <w:szCs w:val="24"/>
        </w:rPr>
        <w:t xml:space="preserve"> stock position last year </w:t>
      </w:r>
      <w:r w:rsidR="003D7F0E">
        <w:rPr>
          <w:rFonts w:ascii="Arial" w:hAnsi="Arial" w:cs="Arial"/>
          <w:sz w:val="24"/>
          <w:szCs w:val="24"/>
        </w:rPr>
        <w:t>ahead of</w:t>
      </w:r>
      <w:r w:rsidR="003D7F0E" w:rsidRPr="00A64D40">
        <w:rPr>
          <w:rFonts w:ascii="Arial" w:hAnsi="Arial" w:cs="Arial"/>
          <w:sz w:val="24"/>
          <w:szCs w:val="24"/>
        </w:rPr>
        <w:t xml:space="preserve"> an early Easter and Chinese New Year</w:t>
      </w:r>
      <w:r w:rsidR="00303364">
        <w:rPr>
          <w:rFonts w:ascii="Arial" w:hAnsi="Arial" w:cs="Arial"/>
          <w:sz w:val="24"/>
          <w:szCs w:val="24"/>
        </w:rPr>
        <w:t xml:space="preserve"> </w:t>
      </w:r>
      <w:r w:rsidR="00BF0801">
        <w:rPr>
          <w:rFonts w:ascii="Arial" w:hAnsi="Arial" w:cs="Arial"/>
          <w:sz w:val="24"/>
          <w:szCs w:val="24"/>
        </w:rPr>
        <w:t>and a higher level of showroom deposits at the year end, following a solid kitchens, bedrooms &amp; b</w:t>
      </w:r>
      <w:r w:rsidR="003D7F0E">
        <w:rPr>
          <w:rFonts w:ascii="Arial" w:hAnsi="Arial" w:cs="Arial"/>
          <w:sz w:val="24"/>
          <w:szCs w:val="24"/>
        </w:rPr>
        <w:t>athrooms trading strategy</w:t>
      </w:r>
      <w:r w:rsidRPr="00CB454F">
        <w:rPr>
          <w:rFonts w:ascii="Arial" w:hAnsi="Arial" w:cs="Arial"/>
          <w:sz w:val="24"/>
          <w:szCs w:val="24"/>
        </w:rPr>
        <w:t xml:space="preserve"> for B&amp;Q </w:t>
      </w:r>
      <w:r>
        <w:rPr>
          <w:rFonts w:ascii="Arial" w:hAnsi="Arial" w:cs="Arial"/>
          <w:sz w:val="24"/>
          <w:szCs w:val="24"/>
        </w:rPr>
        <w:t xml:space="preserve">UK </w:t>
      </w:r>
      <w:r w:rsidRPr="00CB454F">
        <w:rPr>
          <w:rFonts w:ascii="Arial" w:hAnsi="Arial" w:cs="Arial"/>
          <w:sz w:val="24"/>
          <w:szCs w:val="24"/>
        </w:rPr>
        <w:t>in Q4.</w:t>
      </w:r>
    </w:p>
    <w:p w:rsidR="00A7352B" w:rsidRPr="00C82F88" w:rsidRDefault="00A7352B" w:rsidP="00A7352B">
      <w:pPr>
        <w:jc w:val="left"/>
        <w:rPr>
          <w:rFonts w:ascii="Arial" w:hAnsi="Arial" w:cs="Arial"/>
          <w:sz w:val="24"/>
          <w:szCs w:val="24"/>
        </w:rPr>
      </w:pPr>
    </w:p>
    <w:p w:rsidR="008020CC" w:rsidRDefault="00A7352B" w:rsidP="00A7352B">
      <w:pPr>
        <w:jc w:val="left"/>
        <w:rPr>
          <w:rFonts w:ascii="Arial" w:hAnsi="Arial" w:cs="Arial"/>
          <w:sz w:val="24"/>
          <w:szCs w:val="24"/>
        </w:rPr>
      </w:pPr>
      <w:r w:rsidRPr="00C82F88">
        <w:rPr>
          <w:rFonts w:ascii="Arial" w:hAnsi="Arial" w:cs="Arial" w:hint="eastAsia"/>
          <w:sz w:val="24"/>
          <w:szCs w:val="24"/>
        </w:rPr>
        <w:t xml:space="preserve">During the year free cash flow generated was utilised </w:t>
      </w:r>
      <w:r w:rsidR="00A90C9F">
        <w:rPr>
          <w:rFonts w:ascii="Arial" w:hAnsi="Arial" w:cs="Arial"/>
          <w:sz w:val="24"/>
          <w:szCs w:val="24"/>
        </w:rPr>
        <w:t>by</w:t>
      </w:r>
      <w:r w:rsidRPr="00C82F88">
        <w:rPr>
          <w:rFonts w:ascii="Arial" w:hAnsi="Arial" w:cs="Arial" w:hint="eastAsia"/>
          <w:sz w:val="24"/>
          <w:szCs w:val="24"/>
        </w:rPr>
        <w:t xml:space="preserve"> the dividend being </w:t>
      </w:r>
      <w:r w:rsidRPr="00F44AFD">
        <w:rPr>
          <w:rFonts w:ascii="Arial" w:hAnsi="Arial" w:cs="Arial" w:hint="eastAsia"/>
          <w:sz w:val="24"/>
          <w:szCs w:val="24"/>
        </w:rPr>
        <w:t xml:space="preserve">increased to </w:t>
      </w:r>
      <w:r w:rsidRPr="00F44AFD">
        <w:rPr>
          <w:rFonts w:ascii="Arial" w:hAnsi="Arial" w:cs="Arial"/>
          <w:sz w:val="24"/>
          <w:szCs w:val="24"/>
        </w:rPr>
        <w:t>£</w:t>
      </w:r>
      <w:r w:rsidRPr="00F44AFD">
        <w:rPr>
          <w:rFonts w:ascii="Arial" w:hAnsi="Arial" w:cs="Arial" w:hint="eastAsia"/>
          <w:sz w:val="24"/>
          <w:szCs w:val="24"/>
        </w:rPr>
        <w:t>22</w:t>
      </w:r>
      <w:r w:rsidRPr="00F44AFD">
        <w:rPr>
          <w:rFonts w:ascii="Arial" w:hAnsi="Arial" w:cs="Arial"/>
          <w:sz w:val="24"/>
          <w:szCs w:val="24"/>
        </w:rPr>
        <w:t>4</w:t>
      </w:r>
      <w:r w:rsidRPr="00F44AFD">
        <w:rPr>
          <w:rFonts w:ascii="Arial" w:hAnsi="Arial" w:cs="Arial" w:hint="eastAsia"/>
          <w:sz w:val="24"/>
          <w:szCs w:val="24"/>
        </w:rPr>
        <w:t xml:space="preserve"> million</w:t>
      </w:r>
      <w:r w:rsidR="00A90C9F">
        <w:rPr>
          <w:rFonts w:ascii="Arial" w:hAnsi="Arial" w:cs="Arial"/>
          <w:sz w:val="24"/>
          <w:szCs w:val="24"/>
        </w:rPr>
        <w:t xml:space="preserve">, the acquisition of </w:t>
      </w:r>
      <w:r w:rsidR="00DA44CF">
        <w:rPr>
          <w:rFonts w:ascii="Arial" w:hAnsi="Arial" w:cs="Arial"/>
          <w:sz w:val="24"/>
          <w:szCs w:val="24"/>
        </w:rPr>
        <w:t xml:space="preserve">Bricostore </w:t>
      </w:r>
      <w:r w:rsidR="00A90C9F">
        <w:rPr>
          <w:rFonts w:ascii="Arial" w:hAnsi="Arial" w:cs="Arial"/>
          <w:sz w:val="24"/>
          <w:szCs w:val="24"/>
        </w:rPr>
        <w:t xml:space="preserve">Romania and an additional </w:t>
      </w:r>
      <w:r>
        <w:rPr>
          <w:rFonts w:ascii="Arial" w:hAnsi="Arial" w:cs="Arial"/>
          <w:sz w:val="24"/>
          <w:szCs w:val="24"/>
        </w:rPr>
        <w:t>£24</w:t>
      </w:r>
      <w:r w:rsidR="005C4FED">
        <w:rPr>
          <w:rFonts w:ascii="Arial" w:hAnsi="Arial" w:cs="Arial"/>
          <w:sz w:val="24"/>
          <w:szCs w:val="24"/>
        </w:rPr>
        <w:t xml:space="preserve"> </w:t>
      </w:r>
      <w:r>
        <w:rPr>
          <w:rFonts w:ascii="Arial" w:hAnsi="Arial" w:cs="Arial"/>
          <w:sz w:val="24"/>
          <w:szCs w:val="24"/>
        </w:rPr>
        <w:t>m</w:t>
      </w:r>
      <w:r w:rsidR="005C4FED">
        <w:rPr>
          <w:rFonts w:ascii="Arial" w:hAnsi="Arial" w:cs="Arial"/>
          <w:sz w:val="24"/>
          <w:szCs w:val="24"/>
        </w:rPr>
        <w:t>illion</w:t>
      </w:r>
      <w:r>
        <w:rPr>
          <w:rFonts w:ascii="Arial" w:hAnsi="Arial" w:cs="Arial"/>
          <w:sz w:val="24"/>
          <w:szCs w:val="24"/>
        </w:rPr>
        <w:t xml:space="preserve"> to acquire 6 million shares to cover existing share incentive schemes, </w:t>
      </w:r>
      <w:r w:rsidR="00A90C9F">
        <w:rPr>
          <w:rFonts w:ascii="Arial" w:hAnsi="Arial" w:cs="Arial"/>
          <w:sz w:val="24"/>
          <w:szCs w:val="24"/>
        </w:rPr>
        <w:t xml:space="preserve">thereby </w:t>
      </w:r>
      <w:r>
        <w:rPr>
          <w:rFonts w:ascii="Arial" w:hAnsi="Arial" w:cs="Arial"/>
          <w:sz w:val="24"/>
          <w:szCs w:val="24"/>
        </w:rPr>
        <w:t>avoiding dilution of current shareholders.</w:t>
      </w:r>
      <w:r w:rsidRPr="00C82F88">
        <w:rPr>
          <w:rFonts w:ascii="Arial" w:hAnsi="Arial" w:cs="Arial" w:hint="eastAsia"/>
          <w:sz w:val="24"/>
          <w:szCs w:val="24"/>
        </w:rPr>
        <w:t xml:space="preserve">  </w:t>
      </w:r>
    </w:p>
    <w:p w:rsidR="009100C3" w:rsidRPr="00A64D40" w:rsidRDefault="009100C3" w:rsidP="00A7352B">
      <w:pPr>
        <w:jc w:val="left"/>
        <w:rPr>
          <w:rFonts w:ascii="Arial" w:hAnsi="Arial" w:cs="Arial"/>
          <w:sz w:val="24"/>
          <w:szCs w:val="24"/>
        </w:rPr>
      </w:pPr>
    </w:p>
    <w:p w:rsidR="00A7352B" w:rsidRPr="00C82F88" w:rsidRDefault="00A7352B" w:rsidP="00A7352B">
      <w:pPr>
        <w:jc w:val="left"/>
        <w:rPr>
          <w:rFonts w:ascii="Arial" w:hAnsi="Arial" w:cs="Arial"/>
          <w:b/>
          <w:sz w:val="24"/>
          <w:szCs w:val="24"/>
        </w:rPr>
      </w:pPr>
      <w:r w:rsidRPr="00C82F88">
        <w:rPr>
          <w:rFonts w:ascii="Arial" w:hAnsi="Arial" w:cs="Arial"/>
          <w:b/>
          <w:sz w:val="24"/>
          <w:szCs w:val="24"/>
        </w:rPr>
        <w:t>Capital expenditure</w:t>
      </w:r>
    </w:p>
    <w:p w:rsidR="00A7352B" w:rsidRDefault="00A7352B" w:rsidP="00A7352B">
      <w:pPr>
        <w:jc w:val="left"/>
        <w:rPr>
          <w:rFonts w:ascii="Arial" w:hAnsi="Arial" w:cs="Arial"/>
          <w:b/>
          <w:sz w:val="24"/>
          <w:szCs w:val="24"/>
        </w:rPr>
      </w:pPr>
    </w:p>
    <w:p w:rsidR="00A7352B" w:rsidRDefault="00A7352B" w:rsidP="00A7352B">
      <w:pPr>
        <w:jc w:val="left"/>
        <w:rPr>
          <w:rFonts w:ascii="Arial" w:hAnsi="Arial" w:cs="Arial"/>
          <w:sz w:val="24"/>
          <w:szCs w:val="24"/>
        </w:rPr>
      </w:pPr>
      <w:r w:rsidRPr="000F321F">
        <w:rPr>
          <w:rFonts w:ascii="Arial" w:hAnsi="Arial" w:cs="Arial" w:hint="eastAsia"/>
          <w:sz w:val="24"/>
          <w:szCs w:val="24"/>
        </w:rPr>
        <w:t xml:space="preserve">Gross capital expenditure for the year was </w:t>
      </w:r>
      <w:r w:rsidRPr="000F321F">
        <w:rPr>
          <w:rFonts w:ascii="Arial" w:hAnsi="Arial" w:cs="Arial"/>
          <w:sz w:val="24"/>
          <w:szCs w:val="24"/>
        </w:rPr>
        <w:t>£</w:t>
      </w:r>
      <w:r w:rsidRPr="000F321F">
        <w:rPr>
          <w:rFonts w:ascii="Arial" w:hAnsi="Arial" w:cs="Arial" w:hint="eastAsia"/>
          <w:sz w:val="24"/>
          <w:szCs w:val="24"/>
        </w:rPr>
        <w:t>3</w:t>
      </w:r>
      <w:r w:rsidRPr="000F321F">
        <w:rPr>
          <w:rFonts w:ascii="Arial" w:hAnsi="Arial" w:cs="Arial"/>
          <w:sz w:val="24"/>
          <w:szCs w:val="24"/>
        </w:rPr>
        <w:t>04</w:t>
      </w:r>
      <w:r w:rsidRPr="000F321F">
        <w:rPr>
          <w:rFonts w:ascii="Arial" w:hAnsi="Arial" w:cs="Arial" w:hint="eastAsia"/>
          <w:sz w:val="24"/>
          <w:szCs w:val="24"/>
        </w:rPr>
        <w:t xml:space="preserve"> million (201</w:t>
      </w:r>
      <w:r w:rsidRPr="000F321F">
        <w:rPr>
          <w:rFonts w:ascii="Arial" w:hAnsi="Arial" w:cs="Arial"/>
          <w:sz w:val="24"/>
          <w:szCs w:val="24"/>
        </w:rPr>
        <w:t>2</w:t>
      </w:r>
      <w:r w:rsidRPr="000F321F">
        <w:rPr>
          <w:rFonts w:ascii="Arial" w:hAnsi="Arial" w:cs="Arial" w:hint="eastAsia"/>
          <w:sz w:val="24"/>
          <w:szCs w:val="24"/>
        </w:rPr>
        <w:t>/1</w:t>
      </w:r>
      <w:r w:rsidRPr="000F321F">
        <w:rPr>
          <w:rFonts w:ascii="Arial" w:hAnsi="Arial" w:cs="Arial"/>
          <w:sz w:val="24"/>
          <w:szCs w:val="24"/>
        </w:rPr>
        <w:t>3</w:t>
      </w:r>
      <w:r w:rsidRPr="000F321F">
        <w:rPr>
          <w:rFonts w:ascii="Arial" w:hAnsi="Arial" w:cs="Arial" w:hint="eastAsia"/>
          <w:sz w:val="24"/>
          <w:szCs w:val="24"/>
        </w:rPr>
        <w:t xml:space="preserve">: </w:t>
      </w:r>
      <w:r w:rsidRPr="000F321F">
        <w:rPr>
          <w:rFonts w:ascii="Arial" w:hAnsi="Arial" w:cs="Arial"/>
          <w:sz w:val="24"/>
          <w:szCs w:val="24"/>
        </w:rPr>
        <w:t>£316</w:t>
      </w:r>
      <w:r w:rsidRPr="000F321F">
        <w:rPr>
          <w:rFonts w:ascii="Arial" w:hAnsi="Arial" w:cs="Arial" w:hint="eastAsia"/>
          <w:sz w:val="24"/>
          <w:szCs w:val="24"/>
        </w:rPr>
        <w:t xml:space="preserve"> million)</w:t>
      </w:r>
      <w:r>
        <w:rPr>
          <w:rFonts w:ascii="Arial" w:hAnsi="Arial" w:cs="Arial"/>
          <w:sz w:val="24"/>
          <w:szCs w:val="24"/>
        </w:rPr>
        <w:t xml:space="preserve"> with a further £63 million invested on Bricostore Romania</w:t>
      </w:r>
      <w:r w:rsidRPr="000F321F">
        <w:rPr>
          <w:rFonts w:ascii="Arial" w:hAnsi="Arial" w:cs="Arial" w:hint="eastAsia"/>
          <w:sz w:val="24"/>
          <w:szCs w:val="24"/>
        </w:rPr>
        <w:t>.</w:t>
      </w:r>
      <w:r w:rsidRPr="000F321F">
        <w:rPr>
          <w:rFonts w:ascii="Arial" w:hAnsi="Arial" w:cs="Arial"/>
          <w:sz w:val="24"/>
          <w:szCs w:val="24"/>
        </w:rPr>
        <w:t xml:space="preserve"> </w:t>
      </w:r>
      <w:r w:rsidRPr="000F321F">
        <w:rPr>
          <w:rFonts w:ascii="Arial" w:hAnsi="Arial" w:cs="Arial" w:hint="eastAsia"/>
          <w:sz w:val="24"/>
          <w:szCs w:val="24"/>
        </w:rPr>
        <w:t xml:space="preserve">A total of </w:t>
      </w:r>
      <w:r w:rsidRPr="000F321F">
        <w:rPr>
          <w:rFonts w:ascii="Arial" w:hAnsi="Arial" w:cs="Arial"/>
          <w:sz w:val="24"/>
          <w:szCs w:val="24"/>
        </w:rPr>
        <w:t>£12</w:t>
      </w:r>
      <w:r w:rsidRPr="000F321F">
        <w:rPr>
          <w:rFonts w:ascii="Arial" w:hAnsi="Arial" w:cs="Arial" w:hint="eastAsia"/>
          <w:sz w:val="24"/>
          <w:szCs w:val="24"/>
        </w:rPr>
        <w:t xml:space="preserve"> million of proceeds from disposals were received</w:t>
      </w:r>
      <w:r w:rsidRPr="00C82F88">
        <w:rPr>
          <w:rFonts w:ascii="Arial" w:hAnsi="Arial" w:cs="Arial" w:hint="eastAsia"/>
          <w:sz w:val="24"/>
          <w:szCs w:val="24"/>
        </w:rPr>
        <w:t xml:space="preserve"> during the year (201</w:t>
      </w:r>
      <w:r>
        <w:rPr>
          <w:rFonts w:ascii="Arial" w:hAnsi="Arial" w:cs="Arial"/>
          <w:sz w:val="24"/>
          <w:szCs w:val="24"/>
        </w:rPr>
        <w:t>2</w:t>
      </w:r>
      <w:r w:rsidRPr="00C82F88">
        <w:rPr>
          <w:rFonts w:ascii="Arial" w:hAnsi="Arial" w:cs="Arial" w:hint="eastAsia"/>
          <w:sz w:val="24"/>
          <w:szCs w:val="24"/>
        </w:rPr>
        <w:t>/1</w:t>
      </w:r>
      <w:r>
        <w:rPr>
          <w:rFonts w:ascii="Arial" w:hAnsi="Arial" w:cs="Arial"/>
          <w:sz w:val="24"/>
          <w:szCs w:val="24"/>
        </w:rPr>
        <w:t>3</w:t>
      </w:r>
      <w:r w:rsidRPr="00C82F88">
        <w:rPr>
          <w:rFonts w:ascii="Arial" w:hAnsi="Arial" w:cs="Arial" w:hint="eastAsia"/>
          <w:sz w:val="24"/>
          <w:szCs w:val="24"/>
        </w:rPr>
        <w:t xml:space="preserve">: </w:t>
      </w:r>
      <w:r w:rsidRPr="00C82F88">
        <w:rPr>
          <w:rFonts w:ascii="Arial" w:hAnsi="Arial" w:cs="Arial"/>
          <w:sz w:val="24"/>
          <w:szCs w:val="24"/>
        </w:rPr>
        <w:t>£</w:t>
      </w:r>
      <w:r>
        <w:rPr>
          <w:rFonts w:ascii="Arial" w:hAnsi="Arial" w:cs="Arial"/>
          <w:sz w:val="24"/>
          <w:szCs w:val="24"/>
        </w:rPr>
        <w:t>17</w:t>
      </w:r>
      <w:r w:rsidRPr="00C82F88">
        <w:rPr>
          <w:rFonts w:ascii="Arial" w:hAnsi="Arial" w:cs="Arial" w:hint="eastAsia"/>
          <w:sz w:val="24"/>
          <w:szCs w:val="24"/>
        </w:rPr>
        <w:t xml:space="preserve"> million). </w:t>
      </w:r>
    </w:p>
    <w:p w:rsidR="00A7352B" w:rsidRPr="00C82F88" w:rsidRDefault="00A7352B" w:rsidP="00A7352B">
      <w:pPr>
        <w:jc w:val="left"/>
        <w:rPr>
          <w:rFonts w:ascii="Arial" w:hAnsi="Arial" w:cs="Arial"/>
          <w:sz w:val="24"/>
          <w:szCs w:val="24"/>
        </w:rPr>
      </w:pPr>
    </w:p>
    <w:p w:rsidR="00F312BB" w:rsidRPr="00C82F88" w:rsidRDefault="00A7352B" w:rsidP="00A7352B">
      <w:pPr>
        <w:jc w:val="left"/>
        <w:rPr>
          <w:rFonts w:ascii="Arial" w:hAnsi="Arial" w:cs="Arial"/>
          <w:sz w:val="24"/>
          <w:szCs w:val="24"/>
        </w:rPr>
      </w:pPr>
      <w:r>
        <w:rPr>
          <w:rFonts w:ascii="Arial" w:hAnsi="Arial" w:cs="Arial"/>
          <w:sz w:val="24"/>
          <w:szCs w:val="24"/>
        </w:rPr>
        <w:t>The</w:t>
      </w:r>
      <w:r w:rsidRPr="00C82F88">
        <w:rPr>
          <w:rFonts w:ascii="Arial" w:hAnsi="Arial" w:cs="Arial" w:hint="eastAsia"/>
          <w:sz w:val="24"/>
          <w:szCs w:val="24"/>
        </w:rPr>
        <w:t xml:space="preserve"> Group has a rigorous approach to capital allocation and authorisation. The process includes:</w:t>
      </w:r>
    </w:p>
    <w:p w:rsidR="00A7352B" w:rsidRDefault="00A7352B" w:rsidP="00A64D40">
      <w:pPr>
        <w:pStyle w:val="ListParagraph"/>
        <w:numPr>
          <w:ilvl w:val="0"/>
          <w:numId w:val="15"/>
        </w:numPr>
        <w:jc w:val="left"/>
        <w:rPr>
          <w:rFonts w:ascii="Arial" w:hAnsi="Arial" w:cs="Arial"/>
          <w:sz w:val="24"/>
        </w:rPr>
      </w:pPr>
      <w:r w:rsidRPr="00C82F88">
        <w:rPr>
          <w:rFonts w:ascii="Arial" w:hAnsi="Arial" w:cs="Arial"/>
          <w:sz w:val="24"/>
          <w:szCs w:val="24"/>
        </w:rPr>
        <w:t xml:space="preserve">An annual strategic planning process based on detailed medium term plans for all businesses for the next </w:t>
      </w:r>
      <w:r w:rsidR="00DA44CF">
        <w:rPr>
          <w:rFonts w:ascii="Arial" w:hAnsi="Arial" w:cs="Arial"/>
          <w:sz w:val="24"/>
          <w:szCs w:val="24"/>
        </w:rPr>
        <w:t>three</w:t>
      </w:r>
      <w:r w:rsidRPr="00C82F88">
        <w:rPr>
          <w:rFonts w:ascii="Arial" w:hAnsi="Arial" w:cs="Arial"/>
          <w:sz w:val="24"/>
          <w:szCs w:val="24"/>
        </w:rPr>
        <w:t xml:space="preserve"> years. This process drives the key strategic capital allocation decisions and the output is reviewed by the Board;</w:t>
      </w:r>
    </w:p>
    <w:p w:rsidR="00A7352B" w:rsidRPr="00C82F88" w:rsidRDefault="00A7352B" w:rsidP="00A7352B">
      <w:pPr>
        <w:pStyle w:val="ListParagraph"/>
        <w:jc w:val="left"/>
        <w:rPr>
          <w:rFonts w:ascii="Arial" w:hAnsi="Arial" w:cs="Arial"/>
          <w:sz w:val="24"/>
        </w:rPr>
      </w:pPr>
    </w:p>
    <w:p w:rsidR="00A7352B" w:rsidRDefault="00A7352B" w:rsidP="00A64D40">
      <w:pPr>
        <w:pStyle w:val="ListParagraph"/>
        <w:numPr>
          <w:ilvl w:val="0"/>
          <w:numId w:val="15"/>
        </w:numPr>
        <w:jc w:val="left"/>
        <w:rPr>
          <w:rFonts w:ascii="Arial" w:hAnsi="Arial" w:cs="Arial"/>
          <w:sz w:val="24"/>
        </w:rPr>
      </w:pPr>
      <w:r w:rsidRPr="00C82F88">
        <w:rPr>
          <w:rFonts w:ascii="Arial" w:hAnsi="Arial" w:cs="Arial"/>
          <w:sz w:val="24"/>
          <w:szCs w:val="24"/>
        </w:rPr>
        <w:t xml:space="preserve">A capital approval process through a capital expenditure committee, attended by the Group Chief Executive, Group Finance Director, </w:t>
      </w:r>
      <w:r>
        <w:rPr>
          <w:rFonts w:ascii="Arial" w:hAnsi="Arial" w:cs="Arial"/>
          <w:sz w:val="24"/>
          <w:szCs w:val="24"/>
        </w:rPr>
        <w:t xml:space="preserve">CEO Group Productivity and Development, </w:t>
      </w:r>
      <w:r w:rsidRPr="00C82F88">
        <w:rPr>
          <w:rFonts w:ascii="Arial" w:hAnsi="Arial" w:cs="Arial"/>
          <w:sz w:val="24"/>
          <w:szCs w:val="24"/>
        </w:rPr>
        <w:t xml:space="preserve">Group Property Director and </w:t>
      </w:r>
      <w:r>
        <w:rPr>
          <w:rFonts w:ascii="Arial" w:hAnsi="Arial" w:cs="Arial"/>
          <w:sz w:val="24"/>
          <w:szCs w:val="24"/>
        </w:rPr>
        <w:t>Group General Counsel</w:t>
      </w:r>
      <w:r w:rsidRPr="00C82F88">
        <w:rPr>
          <w:rFonts w:ascii="Arial" w:hAnsi="Arial" w:cs="Arial"/>
          <w:sz w:val="24"/>
          <w:szCs w:val="24"/>
        </w:rPr>
        <w:t xml:space="preserve">. The committee is delegated to review all projects above </w:t>
      </w:r>
      <w:r w:rsidRPr="00C82F88">
        <w:rPr>
          <w:rFonts w:ascii="Arial" w:hAnsi="Arial" w:cs="Arial" w:hint="eastAsia"/>
          <w:sz w:val="24"/>
          <w:szCs w:val="24"/>
        </w:rPr>
        <w:t>£</w:t>
      </w:r>
      <w:r w:rsidRPr="00C82F88">
        <w:rPr>
          <w:rFonts w:ascii="Arial" w:hAnsi="Arial" w:cs="Arial"/>
          <w:sz w:val="24"/>
          <w:szCs w:val="24"/>
        </w:rPr>
        <w:t xml:space="preserve">0.75 million and to sign-off the projects between </w:t>
      </w:r>
      <w:r w:rsidRPr="00C82F88">
        <w:rPr>
          <w:rFonts w:ascii="Arial" w:hAnsi="Arial" w:cs="Arial" w:hint="eastAsia"/>
          <w:sz w:val="24"/>
          <w:szCs w:val="24"/>
        </w:rPr>
        <w:t>£</w:t>
      </w:r>
      <w:r w:rsidRPr="00C82F88">
        <w:rPr>
          <w:rFonts w:ascii="Arial" w:hAnsi="Arial" w:cs="Arial"/>
          <w:sz w:val="24"/>
          <w:szCs w:val="24"/>
        </w:rPr>
        <w:t xml:space="preserve">0.75 million and </w:t>
      </w:r>
      <w:r w:rsidRPr="00C82F88">
        <w:rPr>
          <w:rFonts w:ascii="Arial" w:hAnsi="Arial" w:cs="Arial" w:hint="eastAsia"/>
          <w:sz w:val="24"/>
          <w:szCs w:val="24"/>
        </w:rPr>
        <w:t>£</w:t>
      </w:r>
      <w:r w:rsidRPr="00C82F88">
        <w:rPr>
          <w:rFonts w:ascii="Arial" w:hAnsi="Arial" w:cs="Arial"/>
          <w:sz w:val="24"/>
          <w:szCs w:val="24"/>
        </w:rPr>
        <w:t>15.0 million (including the capitalised value of lease commitments);</w:t>
      </w:r>
    </w:p>
    <w:p w:rsidR="00A7352B" w:rsidRPr="00C82F88" w:rsidRDefault="00A7352B" w:rsidP="00A7352B">
      <w:pPr>
        <w:jc w:val="left"/>
        <w:rPr>
          <w:rFonts w:ascii="Arial" w:hAnsi="Arial" w:cs="Arial"/>
          <w:sz w:val="24"/>
        </w:rPr>
      </w:pPr>
    </w:p>
    <w:p w:rsidR="00A7352B" w:rsidRDefault="00A7352B" w:rsidP="00A64D40">
      <w:pPr>
        <w:pStyle w:val="ListParagraph"/>
        <w:numPr>
          <w:ilvl w:val="0"/>
          <w:numId w:val="15"/>
        </w:numPr>
        <w:jc w:val="left"/>
        <w:rPr>
          <w:rFonts w:ascii="Arial" w:hAnsi="Arial" w:cs="Arial"/>
          <w:sz w:val="24"/>
        </w:rPr>
      </w:pPr>
      <w:r w:rsidRPr="00C82F88">
        <w:rPr>
          <w:rFonts w:ascii="Arial" w:hAnsi="Arial" w:cs="Arial"/>
          <w:sz w:val="24"/>
          <w:szCs w:val="24"/>
        </w:rPr>
        <w:t xml:space="preserve">Projects above </w:t>
      </w:r>
      <w:r w:rsidRPr="00C82F88">
        <w:rPr>
          <w:rFonts w:ascii="Arial" w:hAnsi="Arial" w:cs="Arial" w:hint="eastAsia"/>
          <w:sz w:val="24"/>
          <w:szCs w:val="24"/>
        </w:rPr>
        <w:t>£</w:t>
      </w:r>
      <w:r w:rsidRPr="00C82F88">
        <w:rPr>
          <w:rFonts w:ascii="Arial" w:hAnsi="Arial" w:cs="Arial"/>
          <w:sz w:val="24"/>
          <w:szCs w:val="24"/>
        </w:rPr>
        <w:t>15.0 million are required to be approved by the Board</w:t>
      </w:r>
      <w:r>
        <w:rPr>
          <w:rFonts w:ascii="Arial" w:hAnsi="Arial" w:cs="Arial"/>
          <w:sz w:val="24"/>
          <w:szCs w:val="24"/>
        </w:rPr>
        <w:t>.</w:t>
      </w:r>
      <w:r w:rsidRPr="00C82F88">
        <w:rPr>
          <w:rFonts w:ascii="Arial" w:hAnsi="Arial" w:cs="Arial"/>
          <w:sz w:val="24"/>
          <w:szCs w:val="24"/>
        </w:rPr>
        <w:t xml:space="preserve"> </w:t>
      </w:r>
      <w:r>
        <w:rPr>
          <w:rFonts w:ascii="Arial" w:hAnsi="Arial" w:cs="Arial"/>
          <w:sz w:val="24"/>
          <w:szCs w:val="24"/>
        </w:rPr>
        <w:t xml:space="preserve"> A</w:t>
      </w:r>
      <w:r w:rsidRPr="00C82F88">
        <w:rPr>
          <w:rFonts w:ascii="Arial" w:hAnsi="Arial" w:cs="Arial"/>
          <w:sz w:val="24"/>
          <w:szCs w:val="24"/>
        </w:rPr>
        <w:t xml:space="preserve">ll projects above </w:t>
      </w:r>
      <w:r w:rsidRPr="00C82F88">
        <w:rPr>
          <w:rFonts w:ascii="Arial" w:hAnsi="Arial" w:cs="Arial" w:hint="eastAsia"/>
          <w:sz w:val="24"/>
          <w:szCs w:val="24"/>
        </w:rPr>
        <w:t>£</w:t>
      </w:r>
      <w:r w:rsidRPr="00C82F88">
        <w:rPr>
          <w:rFonts w:ascii="Arial" w:hAnsi="Arial" w:cs="Arial"/>
          <w:sz w:val="24"/>
          <w:szCs w:val="24"/>
        </w:rPr>
        <w:t>0.75 million are notified to the Board;</w:t>
      </w:r>
    </w:p>
    <w:p w:rsidR="00A7352B" w:rsidRPr="00C82F88" w:rsidRDefault="00A7352B" w:rsidP="00A7352B">
      <w:pPr>
        <w:jc w:val="left"/>
        <w:rPr>
          <w:rFonts w:ascii="Arial" w:hAnsi="Arial" w:cs="Arial"/>
          <w:sz w:val="24"/>
        </w:rPr>
      </w:pPr>
    </w:p>
    <w:p w:rsidR="00A7352B" w:rsidRDefault="00A7352B" w:rsidP="00A64D40">
      <w:pPr>
        <w:pStyle w:val="ListParagraph"/>
        <w:numPr>
          <w:ilvl w:val="0"/>
          <w:numId w:val="15"/>
        </w:numPr>
        <w:jc w:val="left"/>
        <w:rPr>
          <w:rFonts w:ascii="Arial" w:hAnsi="Arial" w:cs="Arial"/>
          <w:sz w:val="24"/>
        </w:rPr>
      </w:pPr>
      <w:r w:rsidRPr="00C82F88">
        <w:rPr>
          <w:rFonts w:ascii="Arial" w:hAnsi="Arial" w:cs="Arial"/>
          <w:sz w:val="24"/>
          <w:szCs w:val="24"/>
        </w:rPr>
        <w:t xml:space="preserve">Clear investment criteria including KEP </w:t>
      </w:r>
      <w:r>
        <w:rPr>
          <w:rFonts w:ascii="Arial" w:hAnsi="Arial" w:cs="Arial"/>
          <w:sz w:val="24"/>
          <w:szCs w:val="24"/>
        </w:rPr>
        <w:t xml:space="preserve">and NPV (Net Present Value) </w:t>
      </w:r>
      <w:r w:rsidRPr="00C82F88">
        <w:rPr>
          <w:rFonts w:ascii="Arial" w:hAnsi="Arial" w:cs="Arial"/>
          <w:sz w:val="24"/>
          <w:szCs w:val="24"/>
        </w:rPr>
        <w:t xml:space="preserve">and challenging hurdle rates for IRR (Internal Rate of Return) and DPB (Discounted </w:t>
      </w:r>
      <w:proofErr w:type="spellStart"/>
      <w:r w:rsidRPr="00C82F88">
        <w:rPr>
          <w:rFonts w:ascii="Arial" w:hAnsi="Arial" w:cs="Arial"/>
          <w:sz w:val="24"/>
          <w:szCs w:val="24"/>
        </w:rPr>
        <w:t>PayBack</w:t>
      </w:r>
      <w:proofErr w:type="spellEnd"/>
      <w:r w:rsidRPr="00C82F88">
        <w:rPr>
          <w:rFonts w:ascii="Arial" w:hAnsi="Arial" w:cs="Arial"/>
          <w:sz w:val="24"/>
          <w:szCs w:val="24"/>
        </w:rPr>
        <w:t>);</w:t>
      </w:r>
    </w:p>
    <w:p w:rsidR="00A7352B" w:rsidRPr="00C82F88" w:rsidRDefault="00A7352B" w:rsidP="00A7352B">
      <w:pPr>
        <w:jc w:val="left"/>
        <w:rPr>
          <w:rFonts w:ascii="Arial" w:hAnsi="Arial" w:cs="Arial"/>
          <w:sz w:val="24"/>
        </w:rPr>
      </w:pPr>
    </w:p>
    <w:p w:rsidR="00A7352B" w:rsidRPr="00BF6B56" w:rsidRDefault="00A7352B" w:rsidP="00A64D40">
      <w:pPr>
        <w:pStyle w:val="ListParagraph"/>
        <w:numPr>
          <w:ilvl w:val="0"/>
          <w:numId w:val="15"/>
        </w:numPr>
        <w:jc w:val="left"/>
        <w:rPr>
          <w:rFonts w:ascii="Arial" w:hAnsi="Arial" w:cs="Arial"/>
          <w:sz w:val="24"/>
        </w:rPr>
      </w:pPr>
      <w:r w:rsidRPr="00BF6B56">
        <w:rPr>
          <w:rFonts w:ascii="Arial" w:hAnsi="Arial" w:cs="Arial"/>
          <w:sz w:val="24"/>
          <w:szCs w:val="24"/>
        </w:rPr>
        <w:t xml:space="preserve">An annual post-investment review process to undertake a full assessment of all projects above £0.75 million which were completed in the last 2 to 4 years. The findings of this exercise are considered by both the capital expenditure committee and the Board and </w:t>
      </w:r>
      <w:r>
        <w:rPr>
          <w:rFonts w:ascii="Arial" w:hAnsi="Arial" w:cs="Arial"/>
          <w:sz w:val="24"/>
          <w:szCs w:val="24"/>
        </w:rPr>
        <w:t xml:space="preserve">used to inform </w:t>
      </w:r>
      <w:r w:rsidRPr="00BF6B56">
        <w:rPr>
          <w:rFonts w:ascii="Arial" w:hAnsi="Arial" w:cs="Arial"/>
          <w:sz w:val="24"/>
          <w:szCs w:val="24"/>
        </w:rPr>
        <w:t xml:space="preserve">the assumptions for similar </w:t>
      </w:r>
      <w:r w:rsidR="005C4FED">
        <w:rPr>
          <w:rFonts w:ascii="Arial" w:hAnsi="Arial" w:cs="Arial"/>
          <w:sz w:val="24"/>
          <w:szCs w:val="24"/>
        </w:rPr>
        <w:t>project proposals going forward;</w:t>
      </w:r>
    </w:p>
    <w:p w:rsidR="00A7352B" w:rsidRPr="00D87B09" w:rsidRDefault="00A7352B" w:rsidP="00A7352B">
      <w:pPr>
        <w:pStyle w:val="ListParagraph"/>
        <w:jc w:val="left"/>
        <w:rPr>
          <w:rFonts w:ascii="Arial" w:hAnsi="Arial" w:cs="Arial"/>
          <w:sz w:val="24"/>
        </w:rPr>
      </w:pPr>
    </w:p>
    <w:p w:rsidR="00A7352B" w:rsidRDefault="00A7352B" w:rsidP="00A64D40">
      <w:pPr>
        <w:pStyle w:val="ListParagraph"/>
        <w:numPr>
          <w:ilvl w:val="0"/>
          <w:numId w:val="15"/>
        </w:numPr>
        <w:jc w:val="left"/>
        <w:rPr>
          <w:rFonts w:ascii="Arial" w:hAnsi="Arial" w:cs="Arial"/>
          <w:sz w:val="24"/>
        </w:rPr>
      </w:pPr>
      <w:r w:rsidRPr="00C82F88">
        <w:rPr>
          <w:rFonts w:ascii="Arial" w:hAnsi="Arial" w:cs="Arial"/>
          <w:sz w:val="24"/>
          <w:szCs w:val="24"/>
        </w:rPr>
        <w:t>An annual review of KEP by store is performed which drives plans to improve the returns of weaker stores</w:t>
      </w:r>
      <w:r>
        <w:rPr>
          <w:rFonts w:ascii="Arial" w:hAnsi="Arial" w:cs="Arial"/>
          <w:sz w:val="24"/>
          <w:szCs w:val="24"/>
        </w:rPr>
        <w:t>, and develop lessons from higher returning stores.</w:t>
      </w:r>
    </w:p>
    <w:p w:rsidR="00F312BB" w:rsidRDefault="00F312BB" w:rsidP="00A7352B">
      <w:pPr>
        <w:jc w:val="left"/>
        <w:rPr>
          <w:rFonts w:ascii="Arial" w:hAnsi="Arial" w:cs="Arial"/>
          <w:b/>
          <w:sz w:val="24"/>
          <w:szCs w:val="24"/>
        </w:rPr>
      </w:pPr>
    </w:p>
    <w:p w:rsidR="00A7352B" w:rsidRDefault="00A7352B" w:rsidP="00A7352B">
      <w:pPr>
        <w:jc w:val="left"/>
        <w:rPr>
          <w:rFonts w:ascii="Arial" w:hAnsi="Arial" w:cs="Arial"/>
          <w:b/>
          <w:sz w:val="24"/>
        </w:rPr>
      </w:pPr>
      <w:r w:rsidRPr="00C82F88">
        <w:rPr>
          <w:rFonts w:ascii="Arial" w:hAnsi="Arial" w:cs="Arial"/>
          <w:b/>
          <w:sz w:val="24"/>
          <w:szCs w:val="24"/>
        </w:rPr>
        <w:t>Management of balance sheet and liquidity risk and financing</w:t>
      </w:r>
    </w:p>
    <w:p w:rsidR="00A7352B" w:rsidRDefault="00A7352B" w:rsidP="00A7352B">
      <w:pPr>
        <w:jc w:val="left"/>
        <w:rPr>
          <w:rFonts w:ascii="Arial" w:hAnsi="Arial" w:cs="Arial"/>
          <w:sz w:val="24"/>
          <w:szCs w:val="24"/>
        </w:rPr>
      </w:pPr>
    </w:p>
    <w:p w:rsidR="00BC4447" w:rsidRDefault="00A7352B" w:rsidP="00A7352B">
      <w:pPr>
        <w:jc w:val="left"/>
        <w:rPr>
          <w:rFonts w:ascii="Arial" w:hAnsi="Arial" w:cs="Arial"/>
          <w:sz w:val="24"/>
          <w:szCs w:val="24"/>
        </w:rPr>
      </w:pPr>
      <w:r w:rsidRPr="00780200">
        <w:rPr>
          <w:rFonts w:ascii="Arial" w:hAnsi="Arial" w:cs="Arial"/>
          <w:sz w:val="24"/>
          <w:szCs w:val="24"/>
        </w:rPr>
        <w:t xml:space="preserve">The Group finished the year with £238 million of net cash on the balance sheet. However, </w:t>
      </w:r>
      <w:r w:rsidRPr="00D65A66">
        <w:rPr>
          <w:rFonts w:ascii="Arial" w:hAnsi="Arial" w:cs="Arial"/>
          <w:sz w:val="24"/>
          <w:szCs w:val="24"/>
        </w:rPr>
        <w:t xml:space="preserve">the Group’s overall leverage is more significant when including capitalised lease debt that in accordance with accounting </w:t>
      </w:r>
      <w:r>
        <w:rPr>
          <w:rFonts w:ascii="Arial" w:hAnsi="Arial" w:cs="Arial"/>
          <w:sz w:val="24"/>
          <w:szCs w:val="24"/>
        </w:rPr>
        <w:t>standards</w:t>
      </w:r>
      <w:r w:rsidRPr="00D65A66">
        <w:rPr>
          <w:rFonts w:ascii="Arial" w:hAnsi="Arial" w:cs="Arial" w:hint="eastAsia"/>
          <w:sz w:val="24"/>
          <w:szCs w:val="24"/>
        </w:rPr>
        <w:t xml:space="preserve"> does not appear on the balance sheet</w:t>
      </w:r>
      <w:r w:rsidRPr="00D65A66">
        <w:rPr>
          <w:rFonts w:ascii="Arial" w:hAnsi="Arial" w:cs="Arial"/>
          <w:sz w:val="24"/>
          <w:szCs w:val="24"/>
        </w:rPr>
        <w:t xml:space="preserve">. </w:t>
      </w:r>
      <w:r w:rsidRPr="00D65A66">
        <w:rPr>
          <w:rFonts w:ascii="Arial" w:hAnsi="Arial" w:cs="Arial" w:hint="eastAsia"/>
          <w:sz w:val="24"/>
          <w:szCs w:val="24"/>
        </w:rPr>
        <w:t xml:space="preserve">The ratio of the </w:t>
      </w:r>
      <w:r w:rsidRPr="00D65A66">
        <w:rPr>
          <w:rFonts w:ascii="Arial" w:hAnsi="Arial" w:cs="Arial"/>
          <w:sz w:val="24"/>
          <w:szCs w:val="24"/>
        </w:rPr>
        <w:t>G</w:t>
      </w:r>
      <w:r w:rsidRPr="00D65A66">
        <w:rPr>
          <w:rFonts w:ascii="Arial" w:hAnsi="Arial" w:cs="Arial" w:hint="eastAsia"/>
          <w:sz w:val="24"/>
          <w:szCs w:val="24"/>
        </w:rPr>
        <w:t>roup</w:t>
      </w:r>
      <w:r w:rsidRPr="00D65A66">
        <w:rPr>
          <w:rFonts w:ascii="Arial" w:hAnsi="Arial" w:cs="Arial"/>
          <w:sz w:val="24"/>
          <w:szCs w:val="24"/>
        </w:rPr>
        <w:t>’</w:t>
      </w:r>
      <w:r w:rsidRPr="00D65A66">
        <w:rPr>
          <w:rFonts w:ascii="Arial" w:hAnsi="Arial" w:cs="Arial" w:hint="eastAsia"/>
          <w:sz w:val="24"/>
          <w:szCs w:val="24"/>
        </w:rPr>
        <w:t xml:space="preserve">s lease </w:t>
      </w:r>
      <w:r w:rsidRPr="0057294D">
        <w:rPr>
          <w:rFonts w:ascii="Arial" w:hAnsi="Arial" w:cs="Arial" w:hint="eastAsia"/>
          <w:sz w:val="24"/>
          <w:szCs w:val="24"/>
        </w:rPr>
        <w:t>adjusted net debt (capitalising leases at 8 times annual rent)</w:t>
      </w:r>
      <w:r w:rsidRPr="00D65A66">
        <w:rPr>
          <w:rFonts w:ascii="Arial" w:hAnsi="Arial" w:cs="Arial" w:hint="eastAsia"/>
          <w:sz w:val="24"/>
          <w:szCs w:val="24"/>
        </w:rPr>
        <w:t xml:space="preserve"> to </w:t>
      </w:r>
      <w:r w:rsidRPr="00D65A66">
        <w:rPr>
          <w:rFonts w:ascii="Arial" w:hAnsi="Arial" w:cs="Arial"/>
          <w:sz w:val="24"/>
          <w:szCs w:val="24"/>
        </w:rPr>
        <w:t>EBITDAR is 2.</w:t>
      </w:r>
      <w:r>
        <w:rPr>
          <w:rFonts w:ascii="Arial" w:hAnsi="Arial" w:cs="Arial"/>
          <w:sz w:val="24"/>
          <w:szCs w:val="24"/>
        </w:rPr>
        <w:t>3</w:t>
      </w:r>
      <w:r w:rsidRPr="00D65A66">
        <w:rPr>
          <w:rFonts w:ascii="Arial" w:hAnsi="Arial" w:cs="Arial"/>
          <w:sz w:val="24"/>
          <w:szCs w:val="24"/>
        </w:rPr>
        <w:t xml:space="preserve"> times</w:t>
      </w:r>
      <w:r w:rsidRPr="00D65A66">
        <w:rPr>
          <w:rFonts w:ascii="Arial" w:hAnsi="Arial" w:cs="Arial" w:hint="eastAsia"/>
          <w:sz w:val="24"/>
          <w:szCs w:val="24"/>
        </w:rPr>
        <w:t xml:space="preserve"> as at the year end. At this level the Group has financial flexibility whilst retaining an efficient cost of capital.</w:t>
      </w:r>
    </w:p>
    <w:p w:rsidR="00BC4447" w:rsidRDefault="00BC4447" w:rsidP="00A7352B">
      <w:pPr>
        <w:jc w:val="left"/>
        <w:rPr>
          <w:rFonts w:ascii="Arial" w:hAnsi="Arial" w:cs="Arial"/>
          <w:sz w:val="24"/>
          <w:szCs w:val="24"/>
        </w:rPr>
      </w:pPr>
    </w:p>
    <w:p w:rsidR="00BC4447" w:rsidRDefault="00BC4447" w:rsidP="00BC4447">
      <w:pPr>
        <w:jc w:val="left"/>
        <w:rPr>
          <w:rFonts w:ascii="Arial" w:hAnsi="Arial" w:cs="Arial"/>
          <w:sz w:val="24"/>
          <w:szCs w:val="24"/>
        </w:rPr>
      </w:pPr>
      <w:r w:rsidRPr="00C82F88">
        <w:rPr>
          <w:rFonts w:ascii="Arial" w:hAnsi="Arial" w:cs="Arial" w:hint="eastAsia"/>
          <w:sz w:val="24"/>
          <w:szCs w:val="24"/>
        </w:rPr>
        <w:t xml:space="preserve">A reconciliation of </w:t>
      </w:r>
      <w:r>
        <w:rPr>
          <w:rFonts w:ascii="Arial" w:hAnsi="Arial" w:cs="Arial"/>
          <w:sz w:val="24"/>
          <w:szCs w:val="24"/>
        </w:rPr>
        <w:t xml:space="preserve">lease adjusted net debt to EBITDAR </w:t>
      </w:r>
      <w:r w:rsidRPr="00C82F88">
        <w:rPr>
          <w:rFonts w:ascii="Arial" w:hAnsi="Arial" w:cs="Arial" w:hint="eastAsia"/>
          <w:sz w:val="24"/>
          <w:szCs w:val="24"/>
        </w:rPr>
        <w:t>is set out below:</w:t>
      </w:r>
    </w:p>
    <w:p w:rsidR="00DE3F28" w:rsidRDefault="00DE3F28" w:rsidP="00BC4447">
      <w:pPr>
        <w:jc w:val="left"/>
        <w:rPr>
          <w:rFonts w:ascii="Arial" w:hAnsi="Arial" w:cs="Arial"/>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1842"/>
        <w:gridCol w:w="2268"/>
      </w:tblGrid>
      <w:tr w:rsidR="00BC4447" w:rsidRPr="00E20BFB" w:rsidTr="00F22393">
        <w:trPr>
          <w:trHeight w:val="731"/>
        </w:trPr>
        <w:tc>
          <w:tcPr>
            <w:tcW w:w="5529" w:type="dxa"/>
            <w:tcBorders>
              <w:bottom w:val="single" w:sz="4" w:space="0" w:color="auto"/>
            </w:tcBorders>
          </w:tcPr>
          <w:p w:rsidR="00BC4447" w:rsidRPr="00E20BFB" w:rsidRDefault="00BC4447" w:rsidP="00DF11E3">
            <w:pPr>
              <w:jc w:val="left"/>
              <w:rPr>
                <w:rFonts w:ascii="Arial" w:hAnsi="Arial" w:cs="Arial"/>
                <w:b/>
                <w:sz w:val="24"/>
                <w:szCs w:val="24"/>
              </w:rPr>
            </w:pPr>
          </w:p>
        </w:tc>
        <w:tc>
          <w:tcPr>
            <w:tcW w:w="1842" w:type="dxa"/>
            <w:tcBorders>
              <w:bottom w:val="single" w:sz="4" w:space="0" w:color="auto"/>
            </w:tcBorders>
          </w:tcPr>
          <w:p w:rsidR="00BC4447" w:rsidRDefault="00BC4447" w:rsidP="00DF11E3">
            <w:pPr>
              <w:jc w:val="right"/>
              <w:rPr>
                <w:rFonts w:ascii="Arial" w:hAnsi="Arial" w:cs="Arial"/>
                <w:b/>
                <w:sz w:val="24"/>
                <w:szCs w:val="24"/>
              </w:rPr>
            </w:pPr>
            <w:r>
              <w:rPr>
                <w:rFonts w:ascii="Arial" w:hAnsi="Arial" w:cs="Arial"/>
                <w:b/>
                <w:sz w:val="24"/>
                <w:szCs w:val="24"/>
              </w:rPr>
              <w:t>2013/14</w:t>
            </w:r>
          </w:p>
          <w:p w:rsidR="00BC4447" w:rsidRPr="00D67D7A" w:rsidRDefault="00BC4447" w:rsidP="00DF11E3">
            <w:pPr>
              <w:ind w:left="-1242" w:firstLine="1242"/>
              <w:jc w:val="right"/>
              <w:rPr>
                <w:rFonts w:ascii="Arial" w:hAnsi="Arial" w:cs="Arial"/>
                <w:b/>
                <w:sz w:val="24"/>
                <w:szCs w:val="24"/>
              </w:rPr>
            </w:pPr>
            <w:r>
              <w:rPr>
                <w:rFonts w:ascii="Arial" w:hAnsi="Arial" w:cs="Arial"/>
                <w:b/>
                <w:sz w:val="24"/>
                <w:szCs w:val="24"/>
              </w:rPr>
              <w:t>£m</w:t>
            </w:r>
            <w:r w:rsidDel="00C24082">
              <w:rPr>
                <w:rFonts w:ascii="Arial" w:hAnsi="Arial" w:cs="Arial"/>
                <w:b/>
                <w:sz w:val="24"/>
                <w:szCs w:val="24"/>
              </w:rPr>
              <w:t xml:space="preserve"> </w:t>
            </w:r>
          </w:p>
        </w:tc>
        <w:tc>
          <w:tcPr>
            <w:tcW w:w="2268" w:type="dxa"/>
            <w:tcBorders>
              <w:bottom w:val="single" w:sz="4" w:space="0" w:color="auto"/>
            </w:tcBorders>
          </w:tcPr>
          <w:p w:rsidR="00BC4447" w:rsidRPr="00515773" w:rsidRDefault="00BC4447" w:rsidP="00DF11E3">
            <w:pPr>
              <w:jc w:val="right"/>
              <w:rPr>
                <w:rFonts w:ascii="Arial" w:hAnsi="Arial" w:cs="Arial"/>
                <w:sz w:val="24"/>
                <w:szCs w:val="24"/>
              </w:rPr>
            </w:pPr>
            <w:r>
              <w:rPr>
                <w:rFonts w:ascii="Arial" w:hAnsi="Arial" w:cs="Arial"/>
                <w:b/>
                <w:sz w:val="24"/>
                <w:szCs w:val="24"/>
              </w:rPr>
              <w:tab/>
            </w:r>
            <w:r w:rsidRPr="00515773">
              <w:rPr>
                <w:rFonts w:ascii="Arial" w:hAnsi="Arial" w:cs="Arial"/>
                <w:sz w:val="24"/>
                <w:szCs w:val="24"/>
              </w:rPr>
              <w:t xml:space="preserve">2012/13 </w:t>
            </w:r>
          </w:p>
          <w:p w:rsidR="00BC4447" w:rsidRPr="00F22393" w:rsidRDefault="00BC4447" w:rsidP="00F22393">
            <w:pPr>
              <w:jc w:val="right"/>
              <w:rPr>
                <w:rFonts w:ascii="Arial" w:hAnsi="Arial" w:cs="Arial"/>
                <w:sz w:val="24"/>
                <w:szCs w:val="24"/>
              </w:rPr>
            </w:pPr>
            <w:r w:rsidRPr="00515773">
              <w:rPr>
                <w:rFonts w:ascii="Arial" w:hAnsi="Arial" w:cs="Arial"/>
                <w:sz w:val="24"/>
                <w:szCs w:val="24"/>
              </w:rPr>
              <w:t>(restated)</w:t>
            </w:r>
            <w:r>
              <w:rPr>
                <w:rFonts w:ascii="Arial" w:hAnsi="Arial" w:cs="Arial"/>
                <w:sz w:val="24"/>
                <w:szCs w:val="24"/>
              </w:rPr>
              <w:t xml:space="preserve"> £m</w:t>
            </w:r>
          </w:p>
        </w:tc>
      </w:tr>
      <w:tr w:rsidR="00BC4447" w:rsidRPr="00E20BFB" w:rsidTr="00F22393">
        <w:tc>
          <w:tcPr>
            <w:tcW w:w="5529" w:type="dxa"/>
            <w:tcBorders>
              <w:top w:val="single" w:sz="4" w:space="0" w:color="auto"/>
            </w:tcBorders>
          </w:tcPr>
          <w:p w:rsidR="00BC4447" w:rsidRPr="00E80A1D" w:rsidRDefault="00BC4447" w:rsidP="00DF11E3">
            <w:pPr>
              <w:jc w:val="left"/>
              <w:rPr>
                <w:rFonts w:ascii="Arial" w:hAnsi="Arial" w:cs="Arial"/>
                <w:sz w:val="24"/>
                <w:szCs w:val="24"/>
              </w:rPr>
            </w:pPr>
            <w:r>
              <w:rPr>
                <w:rFonts w:ascii="Arial" w:hAnsi="Arial" w:cs="Arial"/>
                <w:sz w:val="24"/>
                <w:szCs w:val="24"/>
              </w:rPr>
              <w:t>EBITDA*</w:t>
            </w:r>
          </w:p>
        </w:tc>
        <w:tc>
          <w:tcPr>
            <w:tcW w:w="1842" w:type="dxa"/>
            <w:tcBorders>
              <w:top w:val="single" w:sz="4" w:space="0" w:color="auto"/>
            </w:tcBorders>
          </w:tcPr>
          <w:p w:rsidR="00BC4447" w:rsidRPr="00D67D7A" w:rsidRDefault="00BC4447" w:rsidP="00DF11E3">
            <w:pPr>
              <w:jc w:val="right"/>
              <w:rPr>
                <w:rFonts w:ascii="Arial" w:hAnsi="Arial" w:cs="Arial"/>
                <w:sz w:val="24"/>
                <w:szCs w:val="24"/>
              </w:rPr>
            </w:pPr>
            <w:r>
              <w:rPr>
                <w:rFonts w:ascii="Arial" w:hAnsi="Arial" w:cs="Arial"/>
                <w:sz w:val="24"/>
                <w:szCs w:val="24"/>
              </w:rPr>
              <w:t>1,024</w:t>
            </w:r>
          </w:p>
        </w:tc>
        <w:tc>
          <w:tcPr>
            <w:tcW w:w="2268" w:type="dxa"/>
            <w:tcBorders>
              <w:top w:val="single" w:sz="4" w:space="0" w:color="auto"/>
            </w:tcBorders>
          </w:tcPr>
          <w:p w:rsidR="00BC4447" w:rsidRPr="00D83DC0" w:rsidRDefault="00BC4447" w:rsidP="00DF11E3">
            <w:pPr>
              <w:jc w:val="right"/>
              <w:rPr>
                <w:rFonts w:ascii="Arial" w:hAnsi="Arial" w:cs="Arial"/>
                <w:sz w:val="24"/>
                <w:szCs w:val="24"/>
              </w:rPr>
            </w:pPr>
            <w:r w:rsidRPr="00D83DC0">
              <w:rPr>
                <w:rFonts w:ascii="Arial" w:hAnsi="Arial" w:cs="Arial"/>
                <w:sz w:val="24"/>
                <w:szCs w:val="24"/>
              </w:rPr>
              <w:t>984</w:t>
            </w:r>
          </w:p>
        </w:tc>
      </w:tr>
      <w:tr w:rsidR="00BC4447" w:rsidRPr="00E20BFB" w:rsidTr="00F22393">
        <w:tc>
          <w:tcPr>
            <w:tcW w:w="5529" w:type="dxa"/>
          </w:tcPr>
          <w:p w:rsidR="00BC4447" w:rsidRDefault="00BC4447" w:rsidP="00DF11E3">
            <w:pPr>
              <w:jc w:val="left"/>
              <w:rPr>
                <w:rFonts w:ascii="Arial" w:hAnsi="Arial" w:cs="Arial"/>
                <w:sz w:val="24"/>
                <w:szCs w:val="24"/>
              </w:rPr>
            </w:pPr>
            <w:r>
              <w:rPr>
                <w:rFonts w:ascii="Arial" w:hAnsi="Arial" w:cs="Arial"/>
                <w:sz w:val="24"/>
                <w:szCs w:val="24"/>
              </w:rPr>
              <w:t>Property operating lease rentals</w:t>
            </w:r>
          </w:p>
        </w:tc>
        <w:tc>
          <w:tcPr>
            <w:tcW w:w="1842" w:type="dxa"/>
            <w:tcBorders>
              <w:bottom w:val="single" w:sz="4" w:space="0" w:color="auto"/>
            </w:tcBorders>
          </w:tcPr>
          <w:p w:rsidR="00BC4447" w:rsidRPr="00D67D7A" w:rsidRDefault="00BC4447" w:rsidP="00DF11E3">
            <w:pPr>
              <w:jc w:val="right"/>
              <w:rPr>
                <w:rFonts w:ascii="Arial" w:hAnsi="Arial" w:cs="Arial"/>
                <w:sz w:val="24"/>
                <w:szCs w:val="24"/>
              </w:rPr>
            </w:pPr>
            <w:r>
              <w:rPr>
                <w:rFonts w:ascii="Arial" w:hAnsi="Arial" w:cs="Arial"/>
                <w:sz w:val="24"/>
                <w:szCs w:val="24"/>
              </w:rPr>
              <w:t>440</w:t>
            </w:r>
          </w:p>
        </w:tc>
        <w:tc>
          <w:tcPr>
            <w:tcW w:w="2268" w:type="dxa"/>
            <w:tcBorders>
              <w:bottom w:val="single" w:sz="4" w:space="0" w:color="auto"/>
            </w:tcBorders>
          </w:tcPr>
          <w:p w:rsidR="00BC4447" w:rsidRPr="00D83DC0" w:rsidRDefault="00BC4447" w:rsidP="00DF11E3">
            <w:pPr>
              <w:jc w:val="right"/>
              <w:rPr>
                <w:rFonts w:ascii="Arial" w:hAnsi="Arial" w:cs="Arial"/>
                <w:sz w:val="24"/>
                <w:szCs w:val="24"/>
              </w:rPr>
            </w:pPr>
            <w:r w:rsidRPr="00D83DC0">
              <w:rPr>
                <w:rFonts w:ascii="Arial" w:hAnsi="Arial" w:cs="Arial"/>
                <w:sz w:val="24"/>
                <w:szCs w:val="24"/>
              </w:rPr>
              <w:t>435</w:t>
            </w:r>
          </w:p>
        </w:tc>
      </w:tr>
      <w:tr w:rsidR="00BC4447" w:rsidRPr="00E20BFB" w:rsidTr="00F22393">
        <w:tc>
          <w:tcPr>
            <w:tcW w:w="5529" w:type="dxa"/>
          </w:tcPr>
          <w:p w:rsidR="00BC4447" w:rsidRPr="009618C2" w:rsidRDefault="00BC4447" w:rsidP="00DF11E3">
            <w:pPr>
              <w:jc w:val="left"/>
              <w:rPr>
                <w:rFonts w:ascii="Arial" w:hAnsi="Arial" w:cs="Arial"/>
                <w:b/>
                <w:sz w:val="24"/>
                <w:szCs w:val="24"/>
              </w:rPr>
            </w:pPr>
            <w:r w:rsidRPr="009618C2">
              <w:rPr>
                <w:rFonts w:ascii="Arial" w:hAnsi="Arial" w:cs="Arial"/>
                <w:b/>
                <w:sz w:val="24"/>
                <w:szCs w:val="24"/>
              </w:rPr>
              <w:t>EBITDAR</w:t>
            </w:r>
            <w:r w:rsidR="00F60788">
              <w:rPr>
                <w:rFonts w:ascii="Arial" w:hAnsi="Arial" w:cs="Arial"/>
                <w:b/>
                <w:sz w:val="24"/>
                <w:szCs w:val="24"/>
              </w:rPr>
              <w:t>*</w:t>
            </w:r>
          </w:p>
        </w:tc>
        <w:tc>
          <w:tcPr>
            <w:tcW w:w="1842" w:type="dxa"/>
            <w:tcBorders>
              <w:top w:val="single" w:sz="4" w:space="0" w:color="auto"/>
            </w:tcBorders>
          </w:tcPr>
          <w:p w:rsidR="00BC4447" w:rsidRPr="009618C2" w:rsidRDefault="00BC4447" w:rsidP="00DF11E3">
            <w:pPr>
              <w:jc w:val="right"/>
              <w:rPr>
                <w:rFonts w:ascii="Arial" w:hAnsi="Arial" w:cs="Arial"/>
                <w:b/>
                <w:sz w:val="24"/>
                <w:szCs w:val="24"/>
              </w:rPr>
            </w:pPr>
            <w:r>
              <w:rPr>
                <w:rFonts w:ascii="Arial" w:hAnsi="Arial" w:cs="Arial"/>
                <w:b/>
                <w:sz w:val="24"/>
                <w:szCs w:val="24"/>
              </w:rPr>
              <w:t>1,464</w:t>
            </w:r>
          </w:p>
        </w:tc>
        <w:tc>
          <w:tcPr>
            <w:tcW w:w="2268" w:type="dxa"/>
            <w:tcBorders>
              <w:top w:val="single" w:sz="4" w:space="0" w:color="auto"/>
            </w:tcBorders>
          </w:tcPr>
          <w:p w:rsidR="00BC4447" w:rsidRPr="00515773" w:rsidRDefault="00BC4447" w:rsidP="00DF11E3">
            <w:pPr>
              <w:jc w:val="right"/>
              <w:rPr>
                <w:rFonts w:ascii="Arial" w:hAnsi="Arial" w:cs="Arial"/>
                <w:sz w:val="24"/>
                <w:szCs w:val="24"/>
              </w:rPr>
            </w:pPr>
            <w:r w:rsidRPr="00515773">
              <w:rPr>
                <w:rFonts w:ascii="Arial" w:hAnsi="Arial" w:cs="Arial"/>
                <w:sz w:val="24"/>
                <w:szCs w:val="24"/>
              </w:rPr>
              <w:t>1,419</w:t>
            </w:r>
          </w:p>
        </w:tc>
      </w:tr>
      <w:tr w:rsidR="00BC4447" w:rsidRPr="00830EB6" w:rsidTr="00F22393">
        <w:tc>
          <w:tcPr>
            <w:tcW w:w="5529" w:type="dxa"/>
          </w:tcPr>
          <w:p w:rsidR="00BC4447" w:rsidRPr="00EC1FEB" w:rsidRDefault="00BC4447" w:rsidP="00DF11E3">
            <w:pPr>
              <w:jc w:val="left"/>
              <w:rPr>
                <w:rFonts w:ascii="Arial" w:hAnsi="Arial" w:cs="Arial"/>
                <w:sz w:val="24"/>
                <w:szCs w:val="24"/>
              </w:rPr>
            </w:pPr>
            <w:r w:rsidRPr="00EC1FEB">
              <w:rPr>
                <w:rFonts w:ascii="Arial" w:hAnsi="Arial" w:cs="Arial"/>
                <w:sz w:val="24"/>
                <w:szCs w:val="24"/>
              </w:rPr>
              <w:t>Financial (net cash)</w:t>
            </w:r>
          </w:p>
        </w:tc>
        <w:tc>
          <w:tcPr>
            <w:tcW w:w="1842" w:type="dxa"/>
          </w:tcPr>
          <w:p w:rsidR="00BC4447" w:rsidRPr="00D67D7A" w:rsidRDefault="00BC4447" w:rsidP="00DF11E3">
            <w:pPr>
              <w:jc w:val="right"/>
              <w:rPr>
                <w:rFonts w:ascii="Arial" w:hAnsi="Arial" w:cs="Arial"/>
                <w:sz w:val="24"/>
                <w:szCs w:val="24"/>
                <w:lang w:val="fr-FR"/>
              </w:rPr>
            </w:pPr>
            <w:r>
              <w:rPr>
                <w:rFonts w:ascii="Arial" w:hAnsi="Arial" w:cs="Arial"/>
                <w:sz w:val="24"/>
                <w:szCs w:val="24"/>
                <w:lang w:val="fr-FR"/>
              </w:rPr>
              <w:t>(238)</w:t>
            </w:r>
          </w:p>
        </w:tc>
        <w:tc>
          <w:tcPr>
            <w:tcW w:w="2268" w:type="dxa"/>
          </w:tcPr>
          <w:p w:rsidR="00BC4447" w:rsidRPr="00D83DC0" w:rsidRDefault="00BC4447" w:rsidP="00DF11E3">
            <w:pPr>
              <w:jc w:val="right"/>
              <w:rPr>
                <w:rFonts w:ascii="Arial" w:hAnsi="Arial" w:cs="Arial"/>
                <w:sz w:val="24"/>
                <w:szCs w:val="24"/>
                <w:lang w:val="fr-FR"/>
              </w:rPr>
            </w:pPr>
            <w:r w:rsidRPr="00D83DC0">
              <w:rPr>
                <w:rFonts w:ascii="Arial" w:hAnsi="Arial" w:cs="Arial"/>
                <w:sz w:val="24"/>
                <w:szCs w:val="24"/>
                <w:lang w:val="fr-FR"/>
              </w:rPr>
              <w:t>(38)</w:t>
            </w:r>
          </w:p>
        </w:tc>
      </w:tr>
      <w:tr w:rsidR="00BC4447" w:rsidRPr="00E20BFB" w:rsidTr="00F22393">
        <w:tc>
          <w:tcPr>
            <w:tcW w:w="5529" w:type="dxa"/>
          </w:tcPr>
          <w:p w:rsidR="00BC4447" w:rsidRDefault="00BC4447" w:rsidP="00DF11E3">
            <w:pPr>
              <w:jc w:val="left"/>
              <w:rPr>
                <w:rFonts w:ascii="Arial" w:hAnsi="Arial" w:cs="Arial"/>
                <w:sz w:val="24"/>
                <w:szCs w:val="24"/>
              </w:rPr>
            </w:pPr>
            <w:r>
              <w:rPr>
                <w:rFonts w:ascii="Arial" w:hAnsi="Arial" w:cs="Arial"/>
                <w:sz w:val="24"/>
                <w:szCs w:val="24"/>
              </w:rPr>
              <w:t xml:space="preserve">Pension position </w:t>
            </w:r>
          </w:p>
        </w:tc>
        <w:tc>
          <w:tcPr>
            <w:tcW w:w="1842" w:type="dxa"/>
          </w:tcPr>
          <w:p w:rsidR="00BC4447" w:rsidRPr="00D67D7A" w:rsidRDefault="00BC4447" w:rsidP="00DF11E3">
            <w:pPr>
              <w:jc w:val="right"/>
              <w:rPr>
                <w:rFonts w:ascii="Arial" w:hAnsi="Arial" w:cs="Arial"/>
                <w:sz w:val="24"/>
                <w:szCs w:val="24"/>
              </w:rPr>
            </w:pPr>
            <w:r>
              <w:rPr>
                <w:rFonts w:ascii="Arial" w:hAnsi="Arial" w:cs="Arial"/>
                <w:sz w:val="24"/>
                <w:szCs w:val="24"/>
              </w:rPr>
              <w:t>100</w:t>
            </w:r>
          </w:p>
        </w:tc>
        <w:tc>
          <w:tcPr>
            <w:tcW w:w="2268" w:type="dxa"/>
          </w:tcPr>
          <w:p w:rsidR="00BC4447" w:rsidRPr="00D83DC0" w:rsidRDefault="00BC4447" w:rsidP="00DF11E3">
            <w:pPr>
              <w:jc w:val="right"/>
              <w:rPr>
                <w:rFonts w:ascii="Arial" w:hAnsi="Arial" w:cs="Arial"/>
                <w:sz w:val="24"/>
                <w:szCs w:val="24"/>
              </w:rPr>
            </w:pPr>
            <w:r w:rsidRPr="00D83DC0">
              <w:rPr>
                <w:rFonts w:ascii="Arial" w:hAnsi="Arial" w:cs="Arial"/>
                <w:sz w:val="24"/>
                <w:szCs w:val="24"/>
              </w:rPr>
              <w:t>-</w:t>
            </w:r>
          </w:p>
        </w:tc>
      </w:tr>
      <w:tr w:rsidR="00BC4447" w:rsidRPr="00E20BFB" w:rsidTr="00F22393">
        <w:tc>
          <w:tcPr>
            <w:tcW w:w="5529" w:type="dxa"/>
          </w:tcPr>
          <w:p w:rsidR="00BC4447" w:rsidRPr="0057294D" w:rsidRDefault="00BC4447" w:rsidP="00DF11E3">
            <w:pPr>
              <w:jc w:val="left"/>
              <w:rPr>
                <w:rFonts w:ascii="Arial" w:hAnsi="Arial" w:cs="Arial"/>
                <w:sz w:val="24"/>
                <w:szCs w:val="24"/>
              </w:rPr>
            </w:pPr>
            <w:r w:rsidRPr="0057294D">
              <w:rPr>
                <w:rFonts w:ascii="Arial" w:hAnsi="Arial" w:cs="Arial"/>
                <w:sz w:val="24"/>
                <w:szCs w:val="24"/>
              </w:rPr>
              <w:t>Property operating lease rentals (8x)</w:t>
            </w:r>
            <w:r>
              <w:rPr>
                <w:rFonts w:ascii="Arial" w:hAnsi="Arial" w:cs="Arial"/>
                <w:i/>
                <w:sz w:val="24"/>
                <w:szCs w:val="24"/>
                <w:vertAlign w:val="superscript"/>
              </w:rPr>
              <w:t>(1</w:t>
            </w:r>
            <w:r w:rsidRPr="0057294D">
              <w:rPr>
                <w:rFonts w:ascii="Arial" w:hAnsi="Arial" w:cs="Arial"/>
                <w:i/>
                <w:sz w:val="24"/>
                <w:szCs w:val="24"/>
                <w:vertAlign w:val="superscript"/>
              </w:rPr>
              <w:t>)</w:t>
            </w:r>
          </w:p>
        </w:tc>
        <w:tc>
          <w:tcPr>
            <w:tcW w:w="1842" w:type="dxa"/>
            <w:tcBorders>
              <w:bottom w:val="single" w:sz="4" w:space="0" w:color="auto"/>
            </w:tcBorders>
          </w:tcPr>
          <w:p w:rsidR="00BC4447" w:rsidRPr="0057294D" w:rsidRDefault="00BC4447" w:rsidP="00DF11E3">
            <w:pPr>
              <w:jc w:val="right"/>
              <w:rPr>
                <w:rFonts w:ascii="Arial" w:hAnsi="Arial" w:cs="Arial"/>
                <w:sz w:val="24"/>
                <w:szCs w:val="24"/>
              </w:rPr>
            </w:pPr>
            <w:r w:rsidRPr="0057294D">
              <w:rPr>
                <w:rFonts w:ascii="Arial" w:hAnsi="Arial" w:cs="Arial"/>
                <w:sz w:val="24"/>
                <w:szCs w:val="24"/>
              </w:rPr>
              <w:t>3,520</w:t>
            </w:r>
          </w:p>
        </w:tc>
        <w:tc>
          <w:tcPr>
            <w:tcW w:w="2268" w:type="dxa"/>
            <w:tcBorders>
              <w:bottom w:val="single" w:sz="4" w:space="0" w:color="auto"/>
            </w:tcBorders>
          </w:tcPr>
          <w:p w:rsidR="00BC4447" w:rsidRPr="00D83DC0" w:rsidRDefault="00BC4447" w:rsidP="00DF11E3">
            <w:pPr>
              <w:jc w:val="right"/>
              <w:rPr>
                <w:rFonts w:ascii="Arial" w:hAnsi="Arial" w:cs="Arial"/>
                <w:sz w:val="24"/>
                <w:szCs w:val="24"/>
              </w:rPr>
            </w:pPr>
            <w:r w:rsidRPr="00D83DC0">
              <w:rPr>
                <w:rFonts w:ascii="Arial" w:hAnsi="Arial" w:cs="Arial"/>
                <w:sz w:val="24"/>
                <w:szCs w:val="24"/>
              </w:rPr>
              <w:t>3,480</w:t>
            </w:r>
          </w:p>
        </w:tc>
      </w:tr>
      <w:tr w:rsidR="00BC4447" w:rsidRPr="00E20BFB" w:rsidTr="00F22393">
        <w:tc>
          <w:tcPr>
            <w:tcW w:w="5529" w:type="dxa"/>
            <w:tcBorders>
              <w:bottom w:val="single" w:sz="4" w:space="0" w:color="auto"/>
            </w:tcBorders>
          </w:tcPr>
          <w:p w:rsidR="00BC4447" w:rsidRPr="009618C2" w:rsidRDefault="00BC4447" w:rsidP="00DF11E3">
            <w:pPr>
              <w:jc w:val="left"/>
              <w:rPr>
                <w:rFonts w:ascii="Arial" w:hAnsi="Arial" w:cs="Arial"/>
                <w:b/>
                <w:sz w:val="24"/>
                <w:szCs w:val="24"/>
              </w:rPr>
            </w:pPr>
            <w:r w:rsidRPr="009618C2">
              <w:rPr>
                <w:rFonts w:ascii="Arial" w:hAnsi="Arial" w:cs="Arial"/>
                <w:b/>
                <w:sz w:val="24"/>
                <w:szCs w:val="24"/>
              </w:rPr>
              <w:t>Lease adjusted net debt</w:t>
            </w:r>
            <w:r>
              <w:rPr>
                <w:rFonts w:ascii="Arial" w:hAnsi="Arial" w:cs="Arial"/>
                <w:b/>
                <w:sz w:val="24"/>
                <w:szCs w:val="24"/>
              </w:rPr>
              <w:t xml:space="preserve"> </w:t>
            </w:r>
          </w:p>
        </w:tc>
        <w:tc>
          <w:tcPr>
            <w:tcW w:w="1842" w:type="dxa"/>
            <w:tcBorders>
              <w:top w:val="single" w:sz="4" w:space="0" w:color="auto"/>
              <w:bottom w:val="single" w:sz="4" w:space="0" w:color="auto"/>
            </w:tcBorders>
          </w:tcPr>
          <w:p w:rsidR="00BC4447" w:rsidRPr="009618C2" w:rsidRDefault="00BC4447" w:rsidP="00DF11E3">
            <w:pPr>
              <w:jc w:val="right"/>
              <w:rPr>
                <w:rFonts w:ascii="Arial" w:hAnsi="Arial" w:cs="Arial"/>
                <w:b/>
                <w:sz w:val="24"/>
                <w:szCs w:val="24"/>
              </w:rPr>
            </w:pPr>
            <w:r>
              <w:rPr>
                <w:rFonts w:ascii="Arial" w:hAnsi="Arial" w:cs="Arial"/>
                <w:b/>
                <w:sz w:val="24"/>
                <w:szCs w:val="24"/>
              </w:rPr>
              <w:t>3,382</w:t>
            </w:r>
          </w:p>
        </w:tc>
        <w:tc>
          <w:tcPr>
            <w:tcW w:w="2268" w:type="dxa"/>
            <w:tcBorders>
              <w:top w:val="single" w:sz="4" w:space="0" w:color="auto"/>
              <w:bottom w:val="single" w:sz="4" w:space="0" w:color="auto"/>
            </w:tcBorders>
          </w:tcPr>
          <w:p w:rsidR="00BC4447" w:rsidRPr="00515773" w:rsidRDefault="00BC4447" w:rsidP="00DF11E3">
            <w:pPr>
              <w:jc w:val="right"/>
              <w:rPr>
                <w:rFonts w:ascii="Arial" w:hAnsi="Arial" w:cs="Arial"/>
                <w:sz w:val="24"/>
                <w:szCs w:val="24"/>
              </w:rPr>
            </w:pPr>
            <w:r w:rsidRPr="00515773">
              <w:rPr>
                <w:rFonts w:ascii="Arial" w:hAnsi="Arial" w:cs="Arial"/>
                <w:sz w:val="24"/>
                <w:szCs w:val="24"/>
              </w:rPr>
              <w:t>3,442</w:t>
            </w:r>
          </w:p>
        </w:tc>
      </w:tr>
      <w:tr w:rsidR="00BC4447" w:rsidRPr="00D67D7A" w:rsidTr="00F22393">
        <w:tc>
          <w:tcPr>
            <w:tcW w:w="5529" w:type="dxa"/>
            <w:tcBorders>
              <w:bottom w:val="single" w:sz="4" w:space="0" w:color="auto"/>
            </w:tcBorders>
          </w:tcPr>
          <w:p w:rsidR="00BC4447" w:rsidRPr="009618C2" w:rsidRDefault="00BC4447" w:rsidP="00DF11E3">
            <w:pPr>
              <w:jc w:val="left"/>
              <w:rPr>
                <w:rFonts w:ascii="Arial" w:hAnsi="Arial" w:cs="Arial"/>
                <w:b/>
                <w:sz w:val="24"/>
                <w:szCs w:val="24"/>
              </w:rPr>
            </w:pPr>
            <w:r w:rsidRPr="009618C2">
              <w:rPr>
                <w:rFonts w:ascii="Arial" w:hAnsi="Arial" w:cs="Arial"/>
                <w:b/>
                <w:sz w:val="24"/>
                <w:szCs w:val="24"/>
              </w:rPr>
              <w:t>Lease adjusted net debt to EBITDAR</w:t>
            </w:r>
          </w:p>
        </w:tc>
        <w:tc>
          <w:tcPr>
            <w:tcW w:w="1842" w:type="dxa"/>
            <w:tcBorders>
              <w:bottom w:val="single" w:sz="4" w:space="0" w:color="auto"/>
            </w:tcBorders>
          </w:tcPr>
          <w:p w:rsidR="00BC4447" w:rsidRPr="009618C2" w:rsidRDefault="00BC4447" w:rsidP="00DF11E3">
            <w:pPr>
              <w:jc w:val="right"/>
              <w:rPr>
                <w:rFonts w:ascii="Arial" w:hAnsi="Arial" w:cs="Arial"/>
                <w:b/>
                <w:sz w:val="24"/>
                <w:szCs w:val="24"/>
              </w:rPr>
            </w:pPr>
            <w:r>
              <w:rPr>
                <w:rFonts w:ascii="Arial" w:hAnsi="Arial" w:cs="Arial"/>
                <w:b/>
                <w:sz w:val="24"/>
                <w:szCs w:val="24"/>
              </w:rPr>
              <w:t>2.3x</w:t>
            </w:r>
          </w:p>
        </w:tc>
        <w:tc>
          <w:tcPr>
            <w:tcW w:w="2268" w:type="dxa"/>
            <w:tcBorders>
              <w:bottom w:val="single" w:sz="4" w:space="0" w:color="auto"/>
            </w:tcBorders>
          </w:tcPr>
          <w:p w:rsidR="00BC4447" w:rsidRPr="00515773" w:rsidRDefault="00BC4447" w:rsidP="00DF11E3">
            <w:pPr>
              <w:jc w:val="right"/>
              <w:rPr>
                <w:rFonts w:ascii="Arial" w:hAnsi="Arial" w:cs="Arial"/>
                <w:sz w:val="24"/>
                <w:szCs w:val="24"/>
              </w:rPr>
            </w:pPr>
            <w:r w:rsidRPr="00515773">
              <w:rPr>
                <w:rFonts w:ascii="Arial" w:hAnsi="Arial" w:cs="Arial"/>
                <w:sz w:val="24"/>
                <w:szCs w:val="24"/>
              </w:rPr>
              <w:t>2.4x</w:t>
            </w:r>
          </w:p>
        </w:tc>
      </w:tr>
    </w:tbl>
    <w:p w:rsidR="00F312BB" w:rsidRPr="001504FC" w:rsidRDefault="00BC4447" w:rsidP="00F312BB">
      <w:pPr>
        <w:jc w:val="left"/>
        <w:rPr>
          <w:rFonts w:ascii="Arial" w:hAnsi="Arial" w:cs="Arial"/>
          <w:b/>
          <w:bCs/>
          <w:sz w:val="24"/>
          <w:szCs w:val="24"/>
        </w:rPr>
      </w:pPr>
      <w:r w:rsidRPr="00C82F88" w:rsidDel="00BC4447">
        <w:rPr>
          <w:rFonts w:ascii="Arial" w:hAnsi="Arial" w:cs="Arial" w:hint="eastAsia"/>
          <w:sz w:val="24"/>
          <w:szCs w:val="24"/>
        </w:rPr>
        <w:t xml:space="preserve"> </w:t>
      </w:r>
      <w:r w:rsidR="00E80A1D">
        <w:rPr>
          <w:rFonts w:ascii="Arial" w:hAnsi="Arial" w:cs="Arial"/>
          <w:bCs/>
          <w:i/>
          <w:sz w:val="18"/>
          <w:szCs w:val="18"/>
          <w:vertAlign w:val="superscript"/>
        </w:rPr>
        <w:t>(1</w:t>
      </w:r>
      <w:r w:rsidR="00A7352B" w:rsidRPr="009618C2">
        <w:rPr>
          <w:rFonts w:ascii="Arial" w:hAnsi="Arial" w:cs="Arial"/>
          <w:bCs/>
          <w:i/>
          <w:sz w:val="18"/>
          <w:szCs w:val="18"/>
          <w:vertAlign w:val="superscript"/>
        </w:rPr>
        <w:t xml:space="preserve">) </w:t>
      </w:r>
      <w:r w:rsidR="00A7352B" w:rsidRPr="009618C2">
        <w:rPr>
          <w:rFonts w:ascii="Arial" w:hAnsi="Arial" w:cs="Arial"/>
          <w:bCs/>
          <w:i/>
          <w:sz w:val="18"/>
          <w:szCs w:val="18"/>
        </w:rPr>
        <w:t>Kingfisher believes 8x is a reasonable industry standard for estimating the economic value of its leased assets</w:t>
      </w:r>
    </w:p>
    <w:p w:rsidR="00E607E0" w:rsidRDefault="00E607E0" w:rsidP="00F312BB">
      <w:pPr>
        <w:jc w:val="left"/>
        <w:rPr>
          <w:rFonts w:ascii="Arial" w:hAnsi="Arial" w:cs="Arial"/>
          <w:sz w:val="24"/>
          <w:szCs w:val="24"/>
        </w:rPr>
      </w:pPr>
    </w:p>
    <w:p w:rsidR="00F312BB" w:rsidRPr="001504FC" w:rsidRDefault="00F312BB" w:rsidP="00F312BB">
      <w:pPr>
        <w:jc w:val="left"/>
        <w:rPr>
          <w:rFonts w:ascii="Arial" w:hAnsi="Arial" w:cs="Arial"/>
          <w:sz w:val="24"/>
          <w:szCs w:val="24"/>
        </w:rPr>
      </w:pPr>
      <w:r w:rsidRPr="001504FC">
        <w:rPr>
          <w:rFonts w:ascii="Arial" w:hAnsi="Arial" w:cs="Arial"/>
          <w:sz w:val="24"/>
          <w:szCs w:val="24"/>
        </w:rPr>
        <w:t>Kingfisher aims to maintain its solid investment grade credit rating whilst investing in the business where economic returns are attractive and paying a healthy annual dividend to shareholders. After satisfying these key aims and taking into account the economic and trading outlook</w:t>
      </w:r>
      <w:r>
        <w:rPr>
          <w:rFonts w:ascii="Arial" w:hAnsi="Arial" w:cs="Arial"/>
          <w:sz w:val="24"/>
          <w:szCs w:val="24"/>
        </w:rPr>
        <w:t>,</w:t>
      </w:r>
      <w:r w:rsidRPr="001504FC">
        <w:rPr>
          <w:rFonts w:ascii="Arial" w:hAnsi="Arial" w:cs="Arial"/>
          <w:sz w:val="24"/>
          <w:szCs w:val="24"/>
        </w:rPr>
        <w:t xml:space="preserve"> any surplus capital would be returned to shareholders.</w:t>
      </w:r>
    </w:p>
    <w:p w:rsidR="00F312BB" w:rsidRPr="001504FC" w:rsidRDefault="00F312BB" w:rsidP="00F312BB">
      <w:pPr>
        <w:jc w:val="left"/>
        <w:rPr>
          <w:rFonts w:ascii="Arial" w:hAnsi="Arial" w:cs="Arial"/>
          <w:sz w:val="24"/>
          <w:szCs w:val="24"/>
        </w:rPr>
      </w:pPr>
    </w:p>
    <w:p w:rsidR="008020CC" w:rsidRPr="001504FC" w:rsidRDefault="00F312BB" w:rsidP="00F312BB">
      <w:pPr>
        <w:jc w:val="left"/>
        <w:rPr>
          <w:rFonts w:ascii="Arial" w:hAnsi="Arial" w:cs="Arial"/>
          <w:sz w:val="24"/>
          <w:szCs w:val="24"/>
        </w:rPr>
      </w:pPr>
      <w:r w:rsidRPr="001504FC">
        <w:rPr>
          <w:rFonts w:ascii="Arial" w:hAnsi="Arial" w:cs="Arial"/>
          <w:sz w:val="24"/>
          <w:szCs w:val="24"/>
        </w:rPr>
        <w:t xml:space="preserve">Taking all these factors into account, in addition to increasing the annual dividend by 5% (to </w:t>
      </w:r>
      <w:r w:rsidR="00DA44CF">
        <w:rPr>
          <w:rFonts w:ascii="Arial" w:hAnsi="Arial" w:cs="Arial"/>
          <w:sz w:val="24"/>
          <w:szCs w:val="24"/>
        </w:rPr>
        <w:t xml:space="preserve">an estimated </w:t>
      </w:r>
      <w:r w:rsidRPr="001504FC">
        <w:rPr>
          <w:rFonts w:ascii="Arial" w:hAnsi="Arial" w:cs="Arial"/>
          <w:sz w:val="24"/>
          <w:szCs w:val="24"/>
        </w:rPr>
        <w:t>£2</w:t>
      </w:r>
      <w:r w:rsidR="000D2867">
        <w:rPr>
          <w:rFonts w:ascii="Arial" w:hAnsi="Arial" w:cs="Arial"/>
          <w:sz w:val="24"/>
          <w:szCs w:val="24"/>
        </w:rPr>
        <w:t>3</w:t>
      </w:r>
      <w:r w:rsidRPr="001504FC">
        <w:rPr>
          <w:rFonts w:ascii="Arial" w:hAnsi="Arial" w:cs="Arial"/>
          <w:sz w:val="24"/>
          <w:szCs w:val="24"/>
        </w:rPr>
        <w:t xml:space="preserve">4 million) </w:t>
      </w:r>
      <w:r w:rsidR="008020CC">
        <w:rPr>
          <w:rFonts w:ascii="Arial" w:hAnsi="Arial" w:cs="Arial"/>
          <w:sz w:val="24"/>
          <w:szCs w:val="24"/>
        </w:rPr>
        <w:t xml:space="preserve">the Board has approved a </w:t>
      </w:r>
      <w:r w:rsidRPr="001504FC">
        <w:rPr>
          <w:rFonts w:ascii="Arial" w:hAnsi="Arial" w:cs="Arial"/>
          <w:sz w:val="24"/>
          <w:szCs w:val="24"/>
        </w:rPr>
        <w:t>multi-year programme of additional capital returns to shareholders, starting with around £200 million during the financial year 2014/15. At this level we will retain flexibility to continue reinvesting in the business, paying a healthy dividend and capitalising on value enhancing consolidation opportunities (</w:t>
      </w:r>
      <w:r w:rsidR="004B287F">
        <w:rPr>
          <w:rFonts w:ascii="Arial" w:hAnsi="Arial" w:cs="Arial"/>
          <w:sz w:val="24"/>
          <w:szCs w:val="24"/>
        </w:rPr>
        <w:t>as we did in</w:t>
      </w:r>
      <w:r w:rsidRPr="001504FC">
        <w:rPr>
          <w:rFonts w:ascii="Arial" w:hAnsi="Arial" w:cs="Arial"/>
          <w:sz w:val="24"/>
          <w:szCs w:val="24"/>
        </w:rPr>
        <w:t xml:space="preserve"> Romania). </w:t>
      </w:r>
    </w:p>
    <w:p w:rsidR="00F312BB" w:rsidRPr="001504FC" w:rsidRDefault="00F312BB" w:rsidP="00F312BB">
      <w:pPr>
        <w:jc w:val="left"/>
        <w:rPr>
          <w:rFonts w:ascii="Arial" w:hAnsi="Arial" w:cs="Arial"/>
          <w:sz w:val="24"/>
          <w:szCs w:val="24"/>
        </w:rPr>
      </w:pPr>
      <w:r w:rsidRPr="001504FC">
        <w:rPr>
          <w:rFonts w:ascii="Arial" w:hAnsi="Arial" w:cs="Arial"/>
          <w:sz w:val="24"/>
          <w:szCs w:val="24"/>
        </w:rPr>
        <w:t>   </w:t>
      </w:r>
    </w:p>
    <w:p w:rsidR="00F312BB" w:rsidRPr="001504FC" w:rsidRDefault="00F312BB" w:rsidP="00F312BB">
      <w:pPr>
        <w:jc w:val="left"/>
        <w:rPr>
          <w:rFonts w:ascii="Arial" w:hAnsi="Arial" w:cs="Arial"/>
          <w:sz w:val="24"/>
          <w:szCs w:val="24"/>
        </w:rPr>
      </w:pPr>
      <w:r w:rsidRPr="001504FC">
        <w:rPr>
          <w:rFonts w:ascii="Arial" w:hAnsi="Arial" w:cs="Arial"/>
          <w:sz w:val="24"/>
          <w:szCs w:val="24"/>
        </w:rPr>
        <w:t>The timing and mechanism for this capital return will be kept under review to ensure we maximise value creation for our shareholders. Updates will be given with our interim and full year results.</w:t>
      </w:r>
    </w:p>
    <w:p w:rsidR="00A7352B" w:rsidRDefault="00A7352B" w:rsidP="00A7352B">
      <w:pPr>
        <w:jc w:val="left"/>
        <w:rPr>
          <w:rFonts w:ascii="Arial" w:hAnsi="Arial" w:cs="Arial"/>
          <w:b/>
          <w:sz w:val="24"/>
          <w:szCs w:val="24"/>
        </w:rPr>
      </w:pPr>
    </w:p>
    <w:p w:rsidR="00A7352B" w:rsidRPr="00C82F88" w:rsidRDefault="00A7352B" w:rsidP="00A7352B">
      <w:pPr>
        <w:jc w:val="left"/>
        <w:rPr>
          <w:rFonts w:ascii="Arial" w:hAnsi="Arial" w:cs="Arial"/>
          <w:sz w:val="24"/>
          <w:szCs w:val="24"/>
        </w:rPr>
      </w:pPr>
      <w:r w:rsidRPr="00C82F88">
        <w:rPr>
          <w:rFonts w:ascii="Arial" w:hAnsi="Arial" w:cs="Arial" w:hint="eastAsia"/>
          <w:sz w:val="24"/>
          <w:szCs w:val="24"/>
        </w:rPr>
        <w:t xml:space="preserve">Kingfisher regularly reviews the level of cash and debt facilities required to fund its activities. This involves preparing a prudent cash flow forecast for the next three years, determining the level of debt facilities required to fund the business, planning for repayments of debt at its maturity and identifying an appropriate amount of headroom to provide a reserve against unexpected outflows. </w:t>
      </w:r>
    </w:p>
    <w:p w:rsidR="00A7352B" w:rsidRDefault="00A7352B" w:rsidP="00A7352B">
      <w:pPr>
        <w:jc w:val="left"/>
        <w:rPr>
          <w:rFonts w:ascii="Arial" w:hAnsi="Arial" w:cs="Arial"/>
          <w:sz w:val="24"/>
          <w:szCs w:val="24"/>
        </w:rPr>
      </w:pPr>
    </w:p>
    <w:p w:rsidR="00C051C0" w:rsidRDefault="00C051C0" w:rsidP="00C051C0">
      <w:pPr>
        <w:jc w:val="left"/>
        <w:rPr>
          <w:rFonts w:ascii="Arial" w:hAnsi="Arial" w:cs="Arial"/>
          <w:sz w:val="24"/>
          <w:szCs w:val="24"/>
        </w:rPr>
      </w:pPr>
      <w:r w:rsidRPr="00C82F88">
        <w:rPr>
          <w:rFonts w:ascii="Arial" w:hAnsi="Arial" w:cs="Arial" w:hint="eastAsia"/>
          <w:sz w:val="24"/>
          <w:szCs w:val="24"/>
        </w:rPr>
        <w:t xml:space="preserve">Kingfisher has a </w:t>
      </w:r>
      <w:r w:rsidRPr="00C82F88">
        <w:rPr>
          <w:rFonts w:ascii="Arial" w:hAnsi="Arial" w:cs="Arial"/>
          <w:sz w:val="24"/>
          <w:szCs w:val="24"/>
        </w:rPr>
        <w:t>£200</w:t>
      </w:r>
      <w:r w:rsidRPr="00B433EB">
        <w:rPr>
          <w:rFonts w:ascii="Arial" w:hAnsi="Arial" w:cs="Arial"/>
          <w:sz w:val="24"/>
          <w:szCs w:val="24"/>
        </w:rPr>
        <w:t xml:space="preserve"> </w:t>
      </w:r>
      <w:r w:rsidRPr="00C82F88">
        <w:rPr>
          <w:rFonts w:ascii="Arial" w:hAnsi="Arial" w:cs="Arial" w:hint="eastAsia"/>
          <w:sz w:val="24"/>
          <w:szCs w:val="24"/>
        </w:rPr>
        <w:t>m</w:t>
      </w:r>
      <w:r w:rsidRPr="00B433EB">
        <w:rPr>
          <w:rFonts w:ascii="Arial" w:hAnsi="Arial" w:cs="Arial"/>
          <w:sz w:val="24"/>
          <w:szCs w:val="24"/>
        </w:rPr>
        <w:t>illion</w:t>
      </w:r>
      <w:r w:rsidRPr="00C82F88">
        <w:rPr>
          <w:rFonts w:ascii="Arial" w:hAnsi="Arial" w:cs="Arial" w:hint="eastAsia"/>
          <w:sz w:val="24"/>
          <w:szCs w:val="24"/>
        </w:rPr>
        <w:t xml:space="preserve"> committed bank facility maturing in August 2016, which remained undrawn at the year end.</w:t>
      </w:r>
    </w:p>
    <w:p w:rsidR="00C051C0" w:rsidRDefault="00C051C0" w:rsidP="00C051C0">
      <w:pPr>
        <w:jc w:val="left"/>
        <w:rPr>
          <w:rFonts w:ascii="Arial" w:hAnsi="Arial" w:cs="Arial"/>
          <w:sz w:val="24"/>
          <w:szCs w:val="24"/>
        </w:rPr>
      </w:pPr>
    </w:p>
    <w:p w:rsidR="00C051C0" w:rsidRPr="00263422" w:rsidRDefault="00C051C0" w:rsidP="00C051C0">
      <w:pPr>
        <w:jc w:val="left"/>
        <w:rPr>
          <w:rFonts w:ascii="Arial" w:hAnsi="Arial" w:cs="Arial"/>
          <w:sz w:val="24"/>
          <w:szCs w:val="24"/>
        </w:rPr>
      </w:pPr>
      <w:r w:rsidRPr="009618C2">
        <w:rPr>
          <w:rFonts w:ascii="Arial" w:hAnsi="Arial" w:cs="Arial"/>
          <w:sz w:val="24"/>
          <w:szCs w:val="24"/>
        </w:rPr>
        <w:t xml:space="preserve">The </w:t>
      </w:r>
      <w:r>
        <w:rPr>
          <w:rFonts w:ascii="Arial" w:hAnsi="Arial" w:cs="Arial"/>
          <w:sz w:val="24"/>
          <w:szCs w:val="24"/>
        </w:rPr>
        <w:t>terms of the US Private Placement note agreement and the committed bank facility require only that the ratio of Group operating profit, excluding exceptional items, to net interest payable must be no less than 3:1 for the preceding 12 months at</w:t>
      </w:r>
      <w:r w:rsidR="00940EA3">
        <w:rPr>
          <w:rFonts w:ascii="Arial" w:hAnsi="Arial" w:cs="Arial"/>
          <w:sz w:val="24"/>
          <w:szCs w:val="24"/>
        </w:rPr>
        <w:t xml:space="preserve"> half year and full year ends. </w:t>
      </w:r>
      <w:r>
        <w:rPr>
          <w:rFonts w:ascii="Arial" w:hAnsi="Arial" w:cs="Arial"/>
          <w:sz w:val="24"/>
          <w:szCs w:val="24"/>
        </w:rPr>
        <w:t xml:space="preserve">At the year end the Group’s ratio was significantly higher than this requirement. </w:t>
      </w:r>
    </w:p>
    <w:p w:rsidR="00C051C0" w:rsidRDefault="00C051C0" w:rsidP="00C051C0">
      <w:pPr>
        <w:jc w:val="left"/>
        <w:rPr>
          <w:rFonts w:ascii="Arial" w:hAnsi="Arial" w:cs="Arial"/>
          <w:sz w:val="24"/>
          <w:szCs w:val="24"/>
        </w:rPr>
      </w:pPr>
    </w:p>
    <w:p w:rsidR="00C051C0" w:rsidRDefault="00C051C0" w:rsidP="00C051C0">
      <w:pPr>
        <w:jc w:val="left"/>
        <w:rPr>
          <w:rStyle w:val="Hyperlink"/>
          <w:rFonts w:ascii="Arial" w:hAnsi="Arial" w:cs="Arial"/>
          <w:color w:val="auto"/>
          <w:sz w:val="24"/>
          <w:szCs w:val="24"/>
          <w:u w:val="none"/>
        </w:rPr>
      </w:pPr>
      <w:r w:rsidRPr="00C82F88">
        <w:rPr>
          <w:rFonts w:ascii="Arial" w:hAnsi="Arial" w:cs="Arial" w:hint="eastAsia"/>
          <w:sz w:val="24"/>
          <w:szCs w:val="24"/>
        </w:rPr>
        <w:t>The maturity profile of Kingfisher</w:t>
      </w:r>
      <w:r w:rsidRPr="00C82F88">
        <w:rPr>
          <w:rFonts w:ascii="Arial" w:hAnsi="Arial" w:cs="Arial" w:hint="eastAsia"/>
          <w:sz w:val="24"/>
          <w:szCs w:val="24"/>
        </w:rPr>
        <w:t>’</w:t>
      </w:r>
      <w:r w:rsidRPr="00C82F88">
        <w:rPr>
          <w:rFonts w:ascii="Arial" w:hAnsi="Arial" w:cs="Arial" w:hint="eastAsia"/>
          <w:sz w:val="24"/>
          <w:szCs w:val="24"/>
        </w:rPr>
        <w:t xml:space="preserve">s debt is illustrated at: </w:t>
      </w:r>
      <w:hyperlink r:id="rId9" w:history="1">
        <w:r w:rsidRPr="009618C2">
          <w:rPr>
            <w:rStyle w:val="Hyperlink"/>
            <w:rFonts w:ascii="Arial" w:hAnsi="Arial" w:cs="Arial"/>
            <w:color w:val="auto"/>
            <w:sz w:val="24"/>
            <w:szCs w:val="24"/>
            <w:u w:val="none"/>
          </w:rPr>
          <w:t>www.kingfisher.com/index.asp?pageid=76</w:t>
        </w:r>
      </w:hyperlink>
    </w:p>
    <w:p w:rsidR="00A7352B" w:rsidRPr="00C82F88" w:rsidRDefault="00A7352B" w:rsidP="00A7352B">
      <w:pPr>
        <w:jc w:val="left"/>
        <w:rPr>
          <w:rFonts w:ascii="Arial" w:hAnsi="Arial" w:cs="Arial"/>
          <w:sz w:val="24"/>
          <w:szCs w:val="24"/>
        </w:rPr>
      </w:pPr>
    </w:p>
    <w:p w:rsidR="00A7352B" w:rsidRPr="00C82F88" w:rsidRDefault="00A7352B" w:rsidP="00A7352B">
      <w:pPr>
        <w:jc w:val="left"/>
        <w:rPr>
          <w:rFonts w:ascii="Arial" w:hAnsi="Arial" w:cs="Arial"/>
          <w:sz w:val="24"/>
          <w:szCs w:val="24"/>
        </w:rPr>
      </w:pPr>
      <w:r w:rsidRPr="00C82F88">
        <w:rPr>
          <w:rFonts w:ascii="Arial" w:hAnsi="Arial" w:cs="Arial" w:hint="eastAsia"/>
          <w:sz w:val="24"/>
          <w:szCs w:val="24"/>
        </w:rPr>
        <w:t xml:space="preserve">Kingfisher deposits surplus cash with a number of banks with the strongest short-term credit ratings and with money market funds which have the strongest, AAA, credit rating and offer same day liquidity. A credit limit for each bank or fund is agreed by the Board covering the full value of deposits and </w:t>
      </w:r>
      <w:r>
        <w:rPr>
          <w:rFonts w:ascii="Arial" w:hAnsi="Arial" w:cs="Arial"/>
          <w:sz w:val="24"/>
          <w:szCs w:val="24"/>
        </w:rPr>
        <w:t>the fair value</w:t>
      </w:r>
      <w:r w:rsidRPr="00C82F88">
        <w:rPr>
          <w:rFonts w:ascii="Arial" w:hAnsi="Arial" w:cs="Arial" w:hint="eastAsia"/>
          <w:sz w:val="24"/>
          <w:szCs w:val="24"/>
        </w:rPr>
        <w:t xml:space="preserve"> of derivative contracts.</w:t>
      </w:r>
      <w:r>
        <w:rPr>
          <w:rFonts w:ascii="Arial" w:hAnsi="Arial" w:cs="Arial"/>
          <w:sz w:val="24"/>
          <w:szCs w:val="24"/>
        </w:rPr>
        <w:t xml:space="preserve"> </w:t>
      </w:r>
      <w:r w:rsidRPr="00C82F88">
        <w:rPr>
          <w:rFonts w:ascii="Arial" w:hAnsi="Arial" w:cs="Arial" w:hint="eastAsia"/>
          <w:sz w:val="24"/>
          <w:szCs w:val="24"/>
        </w:rPr>
        <w:t xml:space="preserve">The credit risk is reduced further by spreading the investments and derivative contracts across several counterparties. At the year end, the Group had a total of around </w:t>
      </w:r>
      <w:r w:rsidRPr="00C82F88">
        <w:rPr>
          <w:rFonts w:ascii="Arial" w:hAnsi="Arial" w:cs="Arial"/>
          <w:sz w:val="24"/>
          <w:szCs w:val="24"/>
        </w:rPr>
        <w:t>£</w:t>
      </w:r>
      <w:r w:rsidR="003773F9">
        <w:rPr>
          <w:rFonts w:ascii="Arial" w:hAnsi="Arial" w:cs="Arial"/>
          <w:sz w:val="24"/>
          <w:szCs w:val="24"/>
        </w:rPr>
        <w:t>5</w:t>
      </w:r>
      <w:r w:rsidRPr="00C82F88">
        <w:rPr>
          <w:rFonts w:ascii="Arial" w:hAnsi="Arial" w:cs="Arial" w:hint="eastAsia"/>
          <w:sz w:val="24"/>
          <w:szCs w:val="24"/>
        </w:rPr>
        <w:t>00 million of cash deposited with banks and in money market funds.</w:t>
      </w:r>
      <w:r w:rsidR="00940EA3">
        <w:rPr>
          <w:rFonts w:ascii="Arial" w:hAnsi="Arial" w:cs="Arial"/>
          <w:sz w:val="24"/>
          <w:szCs w:val="24"/>
        </w:rPr>
        <w:t xml:space="preserve"> The highest cash deposit with a single counterparty was £50 million. </w:t>
      </w:r>
    </w:p>
    <w:p w:rsidR="00A7352B" w:rsidRDefault="00A7352B" w:rsidP="00A7352B">
      <w:pPr>
        <w:jc w:val="left"/>
        <w:rPr>
          <w:rFonts w:ascii="Arial" w:hAnsi="Arial" w:cs="Arial"/>
          <w:sz w:val="24"/>
          <w:szCs w:val="24"/>
          <w:u w:val="single"/>
        </w:rPr>
      </w:pPr>
    </w:p>
    <w:p w:rsidR="00A7352B" w:rsidRDefault="00A7352B" w:rsidP="00A7352B">
      <w:pPr>
        <w:jc w:val="left"/>
        <w:rPr>
          <w:rFonts w:ascii="Arial" w:hAnsi="Arial" w:cs="Arial"/>
          <w:sz w:val="24"/>
          <w:szCs w:val="24"/>
        </w:rPr>
      </w:pPr>
      <w:r w:rsidRPr="00C82F88">
        <w:rPr>
          <w:rFonts w:ascii="Arial" w:hAnsi="Arial" w:cs="Arial" w:hint="eastAsia"/>
          <w:sz w:val="24"/>
          <w:szCs w:val="24"/>
        </w:rPr>
        <w:t>The Group has entered into interest rate derivative contracts to convert the fixed rate payable on its bonds and US Private Placement notes to a floating rate of interest. The floating interest rates paid by the Group under its financing arrangements are based on LIBOR and EURIBOR plus a margin. The margins were not changed during the year.</w:t>
      </w:r>
    </w:p>
    <w:p w:rsidR="009100C3" w:rsidRDefault="009100C3" w:rsidP="00A7352B">
      <w:pPr>
        <w:rPr>
          <w:rFonts w:ascii="Arial" w:hAnsi="Arial" w:cs="Arial"/>
          <w:b/>
          <w:sz w:val="24"/>
          <w:szCs w:val="24"/>
        </w:rPr>
      </w:pPr>
    </w:p>
    <w:p w:rsidR="00A7352B" w:rsidRPr="00F61F1E" w:rsidRDefault="00A7352B" w:rsidP="00A7352B">
      <w:pPr>
        <w:rPr>
          <w:rFonts w:ascii="Arial" w:hAnsi="Arial" w:cs="Arial"/>
          <w:b/>
          <w:sz w:val="24"/>
          <w:szCs w:val="24"/>
        </w:rPr>
      </w:pPr>
      <w:r w:rsidRPr="007275FE">
        <w:rPr>
          <w:rFonts w:ascii="Arial" w:hAnsi="Arial" w:cs="Arial"/>
          <w:b/>
          <w:sz w:val="24"/>
          <w:szCs w:val="24"/>
        </w:rPr>
        <w:t>Acquisitions</w:t>
      </w:r>
    </w:p>
    <w:p w:rsidR="00A7352B" w:rsidRDefault="00A7352B" w:rsidP="00A7352B">
      <w:pPr>
        <w:jc w:val="left"/>
        <w:rPr>
          <w:rFonts w:ascii="Arial" w:hAnsi="Arial" w:cs="Arial"/>
          <w:sz w:val="24"/>
          <w:szCs w:val="24"/>
        </w:rPr>
      </w:pPr>
    </w:p>
    <w:p w:rsidR="00A7352B" w:rsidRDefault="00A7352B" w:rsidP="00A64D40">
      <w:pPr>
        <w:jc w:val="left"/>
        <w:rPr>
          <w:rFonts w:ascii="Arial" w:hAnsi="Arial" w:cs="Arial"/>
          <w:sz w:val="24"/>
          <w:szCs w:val="24"/>
        </w:rPr>
      </w:pPr>
      <w:r w:rsidRPr="00105EFD">
        <w:rPr>
          <w:rFonts w:ascii="Arial" w:hAnsi="Arial" w:cs="Arial"/>
          <w:sz w:val="24"/>
          <w:szCs w:val="24"/>
        </w:rPr>
        <w:t>On 31 May 2013, the Group acqui</w:t>
      </w:r>
      <w:r>
        <w:rPr>
          <w:rFonts w:ascii="Arial" w:hAnsi="Arial" w:cs="Arial"/>
          <w:sz w:val="24"/>
          <w:szCs w:val="24"/>
        </w:rPr>
        <w:t>red 100% of Bricostore Romania, a home improvement business operating 15 stores including 8 freeholds</w:t>
      </w:r>
      <w:r w:rsidRPr="00105EFD">
        <w:rPr>
          <w:rFonts w:ascii="Arial" w:hAnsi="Arial" w:cs="Arial"/>
          <w:sz w:val="24"/>
          <w:szCs w:val="24"/>
        </w:rPr>
        <w:t xml:space="preserve">. </w:t>
      </w:r>
      <w:r>
        <w:rPr>
          <w:rFonts w:ascii="Arial" w:hAnsi="Arial" w:cs="Arial"/>
          <w:sz w:val="24"/>
          <w:szCs w:val="24"/>
        </w:rPr>
        <w:t>Kingfisher paid £35 million of cash consideration and acquired £7 million of cash with Bricostore Romania.</w:t>
      </w:r>
      <w:r w:rsidRPr="006B654D">
        <w:rPr>
          <w:rFonts w:ascii="Arial" w:hAnsi="Arial" w:cs="Arial"/>
          <w:sz w:val="24"/>
          <w:szCs w:val="24"/>
        </w:rPr>
        <w:t xml:space="preserve"> </w:t>
      </w:r>
      <w:r>
        <w:rPr>
          <w:rFonts w:ascii="Arial" w:hAnsi="Arial" w:cs="Arial"/>
          <w:sz w:val="24"/>
          <w:szCs w:val="24"/>
        </w:rPr>
        <w:t xml:space="preserve">In addition, debt of £35 million was acquired with the business, </w:t>
      </w:r>
      <w:r w:rsidR="00F312BB">
        <w:rPr>
          <w:rFonts w:ascii="Arial" w:hAnsi="Arial" w:cs="Arial"/>
          <w:sz w:val="24"/>
          <w:szCs w:val="24"/>
        </w:rPr>
        <w:t>which was immediately settled</w:t>
      </w:r>
      <w:r w:rsidR="000C1266">
        <w:rPr>
          <w:rFonts w:ascii="Arial" w:hAnsi="Arial" w:cs="Arial"/>
          <w:sz w:val="24"/>
          <w:szCs w:val="24"/>
        </w:rPr>
        <w:t>, resulting in a total amount invested of £63 million</w:t>
      </w:r>
      <w:r w:rsidR="00F312BB">
        <w:rPr>
          <w:rFonts w:ascii="Arial" w:hAnsi="Arial" w:cs="Arial"/>
          <w:sz w:val="24"/>
          <w:szCs w:val="24"/>
        </w:rPr>
        <w:t xml:space="preserve">. </w:t>
      </w:r>
      <w:r>
        <w:rPr>
          <w:rFonts w:ascii="Arial" w:hAnsi="Arial" w:cs="Arial"/>
          <w:sz w:val="24"/>
          <w:szCs w:val="24"/>
        </w:rPr>
        <w:t>Goodwill of £18 million has been recognised on acquisition.</w:t>
      </w:r>
    </w:p>
    <w:p w:rsidR="00A7352B" w:rsidRDefault="00A7352B" w:rsidP="00A64D40">
      <w:pPr>
        <w:jc w:val="left"/>
        <w:rPr>
          <w:rFonts w:ascii="Arial" w:hAnsi="Arial" w:cs="Arial"/>
          <w:sz w:val="24"/>
          <w:szCs w:val="24"/>
        </w:rPr>
      </w:pPr>
    </w:p>
    <w:p w:rsidR="00A7352B" w:rsidRPr="00105EFD" w:rsidRDefault="00A7352B" w:rsidP="00A64D40">
      <w:pPr>
        <w:jc w:val="left"/>
        <w:rPr>
          <w:rFonts w:ascii="Arial" w:hAnsi="Arial" w:cs="Arial"/>
          <w:sz w:val="24"/>
          <w:szCs w:val="24"/>
        </w:rPr>
      </w:pPr>
      <w:r>
        <w:rPr>
          <w:rFonts w:ascii="Arial" w:hAnsi="Arial" w:cs="Arial"/>
          <w:sz w:val="24"/>
          <w:szCs w:val="24"/>
        </w:rPr>
        <w:t>The year end results include seven month’s trading of Bricostore Romania, in which it contributed sales of £72 million and a retail profit of £1</w:t>
      </w:r>
      <w:r w:rsidR="00F312BB">
        <w:rPr>
          <w:rFonts w:ascii="Arial" w:hAnsi="Arial" w:cs="Arial"/>
          <w:sz w:val="24"/>
          <w:szCs w:val="24"/>
        </w:rPr>
        <w:t xml:space="preserve"> </w:t>
      </w:r>
      <w:r>
        <w:rPr>
          <w:rFonts w:ascii="Arial" w:hAnsi="Arial" w:cs="Arial"/>
          <w:sz w:val="24"/>
          <w:szCs w:val="24"/>
        </w:rPr>
        <w:t>m</w:t>
      </w:r>
      <w:r w:rsidR="00F312BB">
        <w:rPr>
          <w:rFonts w:ascii="Arial" w:hAnsi="Arial" w:cs="Arial"/>
          <w:sz w:val="24"/>
          <w:szCs w:val="24"/>
        </w:rPr>
        <w:t>illion</w:t>
      </w:r>
      <w:r>
        <w:rPr>
          <w:rFonts w:ascii="Arial" w:hAnsi="Arial" w:cs="Arial"/>
          <w:sz w:val="24"/>
          <w:szCs w:val="24"/>
        </w:rPr>
        <w:t>. Since acquisition, Romania traded under its acquired brand Bricostore. In March 2014, two stores</w:t>
      </w:r>
      <w:r w:rsidR="00DA44CF">
        <w:rPr>
          <w:rFonts w:ascii="Arial" w:hAnsi="Arial" w:cs="Arial"/>
          <w:sz w:val="24"/>
          <w:szCs w:val="24"/>
        </w:rPr>
        <w:t xml:space="preserve"> were</w:t>
      </w:r>
      <w:r>
        <w:rPr>
          <w:rFonts w:ascii="Arial" w:hAnsi="Arial" w:cs="Arial"/>
          <w:sz w:val="24"/>
          <w:szCs w:val="24"/>
        </w:rPr>
        <w:t xml:space="preserve"> converted into the Brico D</w:t>
      </w:r>
      <w:r w:rsidR="00147D09">
        <w:rPr>
          <w:rFonts w:ascii="Arial" w:hAnsi="Arial" w:cs="Arial"/>
          <w:sz w:val="24"/>
          <w:szCs w:val="24"/>
        </w:rPr>
        <w:t>é</w:t>
      </w:r>
      <w:r>
        <w:rPr>
          <w:rFonts w:ascii="Arial" w:hAnsi="Arial" w:cs="Arial"/>
          <w:sz w:val="24"/>
          <w:szCs w:val="24"/>
        </w:rPr>
        <w:t>p</w:t>
      </w:r>
      <w:r w:rsidR="00147D09">
        <w:rPr>
          <w:rFonts w:ascii="Arial" w:hAnsi="Arial" w:cs="Arial"/>
          <w:sz w:val="24"/>
          <w:szCs w:val="24"/>
        </w:rPr>
        <w:t>ô</w:t>
      </w:r>
      <w:r>
        <w:rPr>
          <w:rFonts w:ascii="Arial" w:hAnsi="Arial" w:cs="Arial"/>
          <w:sz w:val="24"/>
          <w:szCs w:val="24"/>
        </w:rPr>
        <w:t>t format.</w:t>
      </w:r>
    </w:p>
    <w:p w:rsidR="00A7352B" w:rsidRDefault="00A7352B" w:rsidP="00A7352B">
      <w:pPr>
        <w:jc w:val="left"/>
        <w:rPr>
          <w:rFonts w:ascii="Arial" w:hAnsi="Arial" w:cs="Arial"/>
          <w:sz w:val="24"/>
          <w:szCs w:val="24"/>
        </w:rPr>
      </w:pPr>
    </w:p>
    <w:p w:rsidR="00A7352B" w:rsidRDefault="00A7352B" w:rsidP="00A7352B">
      <w:pPr>
        <w:rPr>
          <w:rFonts w:ascii="Arial" w:hAnsi="Arial" w:cs="Arial"/>
          <w:b/>
          <w:sz w:val="24"/>
          <w:szCs w:val="24"/>
        </w:rPr>
      </w:pPr>
      <w:r w:rsidRPr="007F6990">
        <w:rPr>
          <w:rFonts w:ascii="Arial" w:hAnsi="Arial" w:cs="Arial" w:hint="eastAsia"/>
          <w:b/>
          <w:sz w:val="24"/>
          <w:szCs w:val="24"/>
        </w:rPr>
        <w:t>Property</w:t>
      </w:r>
      <w:r>
        <w:rPr>
          <w:rFonts w:ascii="Arial" w:hAnsi="Arial" w:cs="Arial"/>
          <w:b/>
          <w:sz w:val="24"/>
          <w:szCs w:val="24"/>
        </w:rPr>
        <w:t xml:space="preserve"> </w:t>
      </w:r>
    </w:p>
    <w:p w:rsidR="00A7352B" w:rsidRDefault="00A7352B" w:rsidP="00A7352B">
      <w:pPr>
        <w:rPr>
          <w:rFonts w:ascii="Arial" w:hAnsi="Arial" w:cs="Arial"/>
          <w:b/>
          <w:sz w:val="24"/>
          <w:szCs w:val="24"/>
        </w:rPr>
      </w:pPr>
    </w:p>
    <w:p w:rsidR="00A7352B" w:rsidRDefault="00A7352B" w:rsidP="00A7352B">
      <w:pPr>
        <w:jc w:val="left"/>
        <w:rPr>
          <w:rFonts w:ascii="Arial" w:hAnsi="Arial" w:cs="Arial"/>
          <w:sz w:val="24"/>
          <w:szCs w:val="24"/>
        </w:rPr>
      </w:pPr>
      <w:r w:rsidRPr="00C82F88">
        <w:rPr>
          <w:rFonts w:ascii="Arial" w:hAnsi="Arial" w:cs="Arial" w:hint="eastAsia"/>
          <w:sz w:val="24"/>
          <w:szCs w:val="24"/>
        </w:rPr>
        <w:t xml:space="preserve">The Group owns a significant property portfolio, most of which is used for trading purposes. </w:t>
      </w:r>
      <w:r>
        <w:rPr>
          <w:rFonts w:ascii="Arial" w:hAnsi="Arial" w:cs="Arial"/>
          <w:sz w:val="24"/>
          <w:szCs w:val="24"/>
        </w:rPr>
        <w:t xml:space="preserve">A valuation was performed for internal purposes </w:t>
      </w:r>
      <w:r w:rsidRPr="00C82F88">
        <w:rPr>
          <w:rFonts w:ascii="Arial" w:hAnsi="Arial" w:cs="Arial" w:hint="eastAsia"/>
          <w:sz w:val="24"/>
          <w:szCs w:val="24"/>
        </w:rPr>
        <w:t>in November 201</w:t>
      </w:r>
      <w:r>
        <w:rPr>
          <w:rFonts w:ascii="Arial" w:hAnsi="Arial" w:cs="Arial"/>
          <w:sz w:val="24"/>
          <w:szCs w:val="24"/>
        </w:rPr>
        <w:t>3</w:t>
      </w:r>
      <w:r w:rsidRPr="00C82F88">
        <w:rPr>
          <w:rFonts w:ascii="Arial" w:hAnsi="Arial" w:cs="Arial" w:hint="eastAsia"/>
          <w:sz w:val="24"/>
          <w:szCs w:val="24"/>
        </w:rPr>
        <w:t xml:space="preserve"> with the portfolio valued by external professional valuers</w:t>
      </w:r>
      <w:r w:rsidR="007A20AB">
        <w:rPr>
          <w:rFonts w:ascii="Arial" w:hAnsi="Arial" w:cs="Arial"/>
          <w:sz w:val="24"/>
          <w:szCs w:val="24"/>
        </w:rPr>
        <w:t>.</w:t>
      </w:r>
      <w:r>
        <w:rPr>
          <w:rFonts w:ascii="Arial" w:hAnsi="Arial" w:cs="Arial"/>
          <w:sz w:val="24"/>
          <w:szCs w:val="24"/>
        </w:rPr>
        <w:t xml:space="preserve"> Based on</w:t>
      </w:r>
      <w:r w:rsidR="00F312BB">
        <w:rPr>
          <w:rFonts w:ascii="Arial" w:hAnsi="Arial" w:cs="Arial"/>
          <w:sz w:val="24"/>
          <w:szCs w:val="24"/>
        </w:rPr>
        <w:t xml:space="preserve"> this exercise</w:t>
      </w:r>
      <w:r w:rsidR="00044F13">
        <w:rPr>
          <w:rFonts w:ascii="Arial" w:hAnsi="Arial" w:cs="Arial"/>
          <w:sz w:val="24"/>
          <w:szCs w:val="24"/>
        </w:rPr>
        <w:t xml:space="preserve">, </w:t>
      </w:r>
      <w:r w:rsidR="00044F13" w:rsidRPr="007678AD">
        <w:rPr>
          <w:rFonts w:ascii="Arial" w:hAnsi="Arial" w:cs="Arial"/>
          <w:sz w:val="24"/>
          <w:szCs w:val="24"/>
        </w:rPr>
        <w:t>on a sale and leaseback basis with Kingfisher in occupancy</w:t>
      </w:r>
      <w:r w:rsidR="00044F13">
        <w:rPr>
          <w:rFonts w:ascii="Arial" w:hAnsi="Arial" w:cs="Arial"/>
          <w:sz w:val="24"/>
          <w:szCs w:val="24"/>
        </w:rPr>
        <w:t>,</w:t>
      </w:r>
      <w:r w:rsidR="00F312BB">
        <w:rPr>
          <w:rFonts w:ascii="Arial" w:hAnsi="Arial" w:cs="Arial"/>
          <w:sz w:val="24"/>
          <w:szCs w:val="24"/>
        </w:rPr>
        <w:t xml:space="preserve"> the value of</w:t>
      </w:r>
      <w:r>
        <w:rPr>
          <w:rFonts w:ascii="Arial" w:hAnsi="Arial" w:cs="Arial"/>
          <w:sz w:val="24"/>
          <w:szCs w:val="24"/>
        </w:rPr>
        <w:t xml:space="preserve"> </w:t>
      </w:r>
      <w:r w:rsidRPr="00DF2650">
        <w:rPr>
          <w:rFonts w:ascii="Arial" w:hAnsi="Arial" w:cs="Arial"/>
          <w:sz w:val="24"/>
          <w:szCs w:val="24"/>
        </w:rPr>
        <w:t>property is £</w:t>
      </w:r>
      <w:r w:rsidRPr="00DF2650">
        <w:rPr>
          <w:rFonts w:ascii="Arial" w:hAnsi="Arial" w:cs="Arial" w:hint="eastAsia"/>
          <w:sz w:val="24"/>
          <w:szCs w:val="24"/>
        </w:rPr>
        <w:t>3.</w:t>
      </w:r>
      <w:r>
        <w:rPr>
          <w:rFonts w:ascii="Arial" w:hAnsi="Arial" w:cs="Arial"/>
          <w:sz w:val="24"/>
          <w:szCs w:val="24"/>
        </w:rPr>
        <w:t>5</w:t>
      </w:r>
      <w:r w:rsidRPr="00DF2650">
        <w:rPr>
          <w:rFonts w:ascii="Arial" w:hAnsi="Arial" w:cs="Arial" w:hint="eastAsia"/>
          <w:sz w:val="24"/>
          <w:szCs w:val="24"/>
        </w:rPr>
        <w:t xml:space="preserve"> billion at year end (201</w:t>
      </w:r>
      <w:r w:rsidRPr="00DF2650">
        <w:rPr>
          <w:rFonts w:ascii="Arial" w:hAnsi="Arial" w:cs="Arial"/>
          <w:sz w:val="24"/>
          <w:szCs w:val="24"/>
        </w:rPr>
        <w:t>2</w:t>
      </w:r>
      <w:r w:rsidRPr="00DF2650">
        <w:rPr>
          <w:rFonts w:ascii="Arial" w:hAnsi="Arial" w:cs="Arial" w:hint="eastAsia"/>
          <w:sz w:val="24"/>
          <w:szCs w:val="24"/>
        </w:rPr>
        <w:t>/1</w:t>
      </w:r>
      <w:r w:rsidRPr="00DF2650">
        <w:rPr>
          <w:rFonts w:ascii="Arial" w:hAnsi="Arial" w:cs="Arial"/>
          <w:sz w:val="24"/>
          <w:szCs w:val="24"/>
        </w:rPr>
        <w:t>3</w:t>
      </w:r>
      <w:r w:rsidRPr="00DF2650">
        <w:rPr>
          <w:rFonts w:ascii="Arial" w:hAnsi="Arial" w:cs="Arial" w:hint="eastAsia"/>
          <w:sz w:val="24"/>
          <w:szCs w:val="24"/>
        </w:rPr>
        <w:t xml:space="preserve">: </w:t>
      </w:r>
      <w:r w:rsidRPr="00DF2650">
        <w:rPr>
          <w:rFonts w:ascii="Arial" w:hAnsi="Arial" w:cs="Arial"/>
          <w:sz w:val="24"/>
          <w:szCs w:val="24"/>
        </w:rPr>
        <w:t>£</w:t>
      </w:r>
      <w:r w:rsidRPr="00DF2650">
        <w:rPr>
          <w:rFonts w:ascii="Arial" w:hAnsi="Arial" w:cs="Arial" w:hint="eastAsia"/>
          <w:sz w:val="24"/>
          <w:szCs w:val="24"/>
        </w:rPr>
        <w:t>3.</w:t>
      </w:r>
      <w:r w:rsidRPr="00DF2650">
        <w:rPr>
          <w:rFonts w:ascii="Arial" w:hAnsi="Arial" w:cs="Arial"/>
          <w:sz w:val="24"/>
          <w:szCs w:val="24"/>
        </w:rPr>
        <w:t>6</w:t>
      </w:r>
      <w:r w:rsidRPr="00DF2650">
        <w:rPr>
          <w:rFonts w:ascii="Arial" w:hAnsi="Arial" w:cs="Arial" w:hint="eastAsia"/>
          <w:sz w:val="24"/>
          <w:szCs w:val="24"/>
        </w:rPr>
        <w:t xml:space="preserve"> billion)</w:t>
      </w:r>
      <w:r w:rsidRPr="00DF2650">
        <w:rPr>
          <w:rFonts w:ascii="Arial" w:hAnsi="Arial" w:cs="Arial"/>
          <w:sz w:val="24"/>
          <w:szCs w:val="24"/>
        </w:rPr>
        <w:t xml:space="preserve">. This is </w:t>
      </w:r>
      <w:r w:rsidRPr="00DF2650">
        <w:rPr>
          <w:rFonts w:ascii="Arial" w:hAnsi="Arial" w:cs="Arial" w:hint="eastAsia"/>
          <w:sz w:val="24"/>
          <w:szCs w:val="24"/>
        </w:rPr>
        <w:t xml:space="preserve">compared to the net book value of </w:t>
      </w:r>
      <w:r w:rsidRPr="00DF2650">
        <w:rPr>
          <w:rFonts w:ascii="Arial" w:hAnsi="Arial" w:cs="Arial"/>
          <w:sz w:val="24"/>
          <w:szCs w:val="24"/>
        </w:rPr>
        <w:t>£</w:t>
      </w:r>
      <w:r w:rsidRPr="00DF2650">
        <w:rPr>
          <w:rFonts w:ascii="Arial" w:hAnsi="Arial" w:cs="Arial" w:hint="eastAsia"/>
          <w:sz w:val="24"/>
          <w:szCs w:val="24"/>
        </w:rPr>
        <w:t>2.</w:t>
      </w:r>
      <w:r w:rsidRPr="00DF2650">
        <w:rPr>
          <w:rFonts w:ascii="Arial" w:hAnsi="Arial" w:cs="Arial"/>
          <w:sz w:val="24"/>
          <w:szCs w:val="24"/>
        </w:rPr>
        <w:t>8</w:t>
      </w:r>
      <w:r w:rsidRPr="00DF2650">
        <w:rPr>
          <w:rFonts w:ascii="Arial" w:hAnsi="Arial" w:cs="Arial" w:hint="eastAsia"/>
          <w:sz w:val="24"/>
          <w:szCs w:val="24"/>
        </w:rPr>
        <w:t xml:space="preserve"> billion</w:t>
      </w:r>
      <w:r w:rsidRPr="00C82F88">
        <w:rPr>
          <w:rFonts w:ascii="Arial" w:hAnsi="Arial" w:cs="Arial" w:hint="eastAsia"/>
          <w:sz w:val="24"/>
          <w:szCs w:val="24"/>
        </w:rPr>
        <w:t xml:space="preserve"> (201</w:t>
      </w:r>
      <w:r>
        <w:rPr>
          <w:rFonts w:ascii="Arial" w:hAnsi="Arial" w:cs="Arial"/>
          <w:sz w:val="24"/>
          <w:szCs w:val="24"/>
        </w:rPr>
        <w:t>2</w:t>
      </w:r>
      <w:r w:rsidRPr="00C82F88">
        <w:rPr>
          <w:rFonts w:ascii="Arial" w:hAnsi="Arial" w:cs="Arial" w:hint="eastAsia"/>
          <w:sz w:val="24"/>
          <w:szCs w:val="24"/>
        </w:rPr>
        <w:t>/1</w:t>
      </w:r>
      <w:r>
        <w:rPr>
          <w:rFonts w:ascii="Arial" w:hAnsi="Arial" w:cs="Arial"/>
          <w:sz w:val="24"/>
          <w:szCs w:val="24"/>
        </w:rPr>
        <w:t>3</w:t>
      </w:r>
      <w:r w:rsidRPr="00C82F88">
        <w:rPr>
          <w:rFonts w:ascii="Arial" w:hAnsi="Arial" w:cs="Arial" w:hint="eastAsia"/>
          <w:sz w:val="24"/>
          <w:szCs w:val="24"/>
        </w:rPr>
        <w:t xml:space="preserve">: </w:t>
      </w:r>
      <w:r w:rsidRPr="00C82F88">
        <w:rPr>
          <w:rFonts w:ascii="Arial" w:hAnsi="Arial" w:cs="Arial"/>
          <w:sz w:val="24"/>
          <w:szCs w:val="24"/>
        </w:rPr>
        <w:t>£</w:t>
      </w:r>
      <w:r w:rsidRPr="00C82F88">
        <w:rPr>
          <w:rFonts w:ascii="Arial" w:hAnsi="Arial" w:cs="Arial" w:hint="eastAsia"/>
          <w:sz w:val="24"/>
          <w:szCs w:val="24"/>
        </w:rPr>
        <w:t>2.</w:t>
      </w:r>
      <w:r>
        <w:rPr>
          <w:rFonts w:ascii="Arial" w:hAnsi="Arial" w:cs="Arial"/>
          <w:sz w:val="24"/>
          <w:szCs w:val="24"/>
        </w:rPr>
        <w:t>9</w:t>
      </w:r>
      <w:r w:rsidRPr="00C82F88">
        <w:rPr>
          <w:rFonts w:ascii="Arial" w:hAnsi="Arial" w:cs="Arial" w:hint="eastAsia"/>
          <w:sz w:val="24"/>
          <w:szCs w:val="24"/>
        </w:rPr>
        <w:t xml:space="preserve"> billion) recorded in the financial statements. </w:t>
      </w:r>
    </w:p>
    <w:p w:rsidR="00A7352B" w:rsidRDefault="00A7352B" w:rsidP="00A7352B">
      <w:pPr>
        <w:jc w:val="left"/>
        <w:rPr>
          <w:rFonts w:ascii="Arial" w:hAnsi="Arial" w:cs="Arial"/>
          <w:b/>
          <w:sz w:val="24"/>
          <w:szCs w:val="24"/>
        </w:rPr>
      </w:pPr>
    </w:p>
    <w:p w:rsidR="00A7352B" w:rsidRPr="00C82F88" w:rsidRDefault="00A7352B" w:rsidP="00A7352B">
      <w:pPr>
        <w:jc w:val="left"/>
        <w:rPr>
          <w:rFonts w:ascii="Arial" w:hAnsi="Arial" w:cs="Arial"/>
          <w:b/>
          <w:sz w:val="24"/>
          <w:szCs w:val="24"/>
        </w:rPr>
      </w:pPr>
      <w:r w:rsidRPr="00C82F88">
        <w:rPr>
          <w:rFonts w:ascii="Arial" w:hAnsi="Arial" w:cs="Arial"/>
          <w:b/>
          <w:sz w:val="24"/>
          <w:szCs w:val="24"/>
        </w:rPr>
        <w:t>Pensions</w:t>
      </w:r>
    </w:p>
    <w:p w:rsidR="00A7352B" w:rsidRDefault="00A7352B" w:rsidP="00A7352B">
      <w:pPr>
        <w:rPr>
          <w:rFonts w:ascii="Arial" w:hAnsi="Arial" w:cs="Arial"/>
          <w:b/>
          <w:sz w:val="24"/>
          <w:szCs w:val="24"/>
        </w:rPr>
      </w:pPr>
    </w:p>
    <w:p w:rsidR="00A7352B" w:rsidRDefault="00A7352B" w:rsidP="00A7352B">
      <w:pPr>
        <w:jc w:val="left"/>
        <w:rPr>
          <w:rFonts w:ascii="Arial" w:hAnsi="Arial" w:cs="Arial"/>
          <w:sz w:val="24"/>
          <w:szCs w:val="24"/>
        </w:rPr>
      </w:pPr>
      <w:r>
        <w:rPr>
          <w:rFonts w:ascii="Arial" w:hAnsi="Arial" w:cs="Arial"/>
          <w:sz w:val="24"/>
          <w:szCs w:val="24"/>
        </w:rPr>
        <w:t>At the year end, the Group had a net deficit of £100 million (2012/13: £nil) in relation to defined benefit pension arrangements of which a £29 million deficit (2012/13: £71 million surplus) is in relation to the UK Scheme. The adverse movement is driven by UK scheme actuarial losses following the inclusion of updated membership data from the 2013 triennial funding valuation, partially offset by employer contributions in the year.</w:t>
      </w:r>
    </w:p>
    <w:p w:rsidR="00A7352B" w:rsidRDefault="00A7352B" w:rsidP="00A7352B">
      <w:pPr>
        <w:jc w:val="left"/>
        <w:rPr>
          <w:rFonts w:ascii="Arial" w:hAnsi="Arial" w:cs="Arial"/>
          <w:sz w:val="24"/>
          <w:szCs w:val="24"/>
        </w:rPr>
      </w:pPr>
    </w:p>
    <w:p w:rsidR="00A7352B" w:rsidRDefault="00A7352B">
      <w:pPr>
        <w:jc w:val="left"/>
        <w:rPr>
          <w:rFonts w:ascii="Arial" w:hAnsi="Arial" w:cs="Arial"/>
          <w:sz w:val="24"/>
          <w:szCs w:val="24"/>
        </w:rPr>
      </w:pPr>
      <w:r>
        <w:rPr>
          <w:rFonts w:ascii="Arial" w:hAnsi="Arial" w:cs="Arial"/>
          <w:sz w:val="24"/>
          <w:szCs w:val="24"/>
        </w:rPr>
        <w:t xml:space="preserve">The approach used to prepare the pension valuation is in line with current market practice and international accounting standards, and has been applied consistently. This accounting valuation is very sensitive to a number of assumptions and market rates which are likely to fluctuate in the future. To aid understanding of the impact that changes to the assumptions could have on the reported UK pension position, we have included sensitivity analysis as part of the pension disclosure in note </w:t>
      </w:r>
      <w:r w:rsidR="00DA44CF">
        <w:rPr>
          <w:rFonts w:ascii="Arial" w:hAnsi="Arial" w:cs="Arial"/>
          <w:sz w:val="24"/>
          <w:szCs w:val="24"/>
        </w:rPr>
        <w:t>9</w:t>
      </w:r>
      <w:r>
        <w:rPr>
          <w:rFonts w:ascii="Arial" w:hAnsi="Arial" w:cs="Arial"/>
          <w:sz w:val="24"/>
          <w:szCs w:val="24"/>
        </w:rPr>
        <w:t xml:space="preserve"> of the preliminary Financial Statements. Further details of key assumptions are also contained within the note.</w:t>
      </w:r>
    </w:p>
    <w:p w:rsidR="00A7352B" w:rsidRDefault="00A7352B" w:rsidP="00A64D40">
      <w:pPr>
        <w:jc w:val="left"/>
        <w:rPr>
          <w:rFonts w:ascii="Arial" w:hAnsi="Arial" w:cs="Arial"/>
          <w:sz w:val="24"/>
          <w:szCs w:val="24"/>
        </w:rPr>
      </w:pPr>
    </w:p>
    <w:p w:rsidR="00A7352B" w:rsidRDefault="00A7352B" w:rsidP="00A64D40">
      <w:pPr>
        <w:jc w:val="left"/>
        <w:rPr>
          <w:rFonts w:ascii="Arial" w:hAnsi="Arial" w:cs="Arial"/>
          <w:sz w:val="24"/>
          <w:szCs w:val="24"/>
        </w:rPr>
      </w:pPr>
      <w:r>
        <w:rPr>
          <w:rFonts w:ascii="Arial" w:hAnsi="Arial" w:cs="Arial"/>
          <w:sz w:val="24"/>
          <w:szCs w:val="24"/>
        </w:rPr>
        <w:t>The Group has adopted a revised pensions accounting standard in the year. This has resulted in a reclassification of £3</w:t>
      </w:r>
      <w:r w:rsidR="00F312BB">
        <w:rPr>
          <w:rFonts w:ascii="Arial" w:hAnsi="Arial" w:cs="Arial"/>
          <w:sz w:val="24"/>
          <w:szCs w:val="24"/>
        </w:rPr>
        <w:t xml:space="preserve"> </w:t>
      </w:r>
      <w:r>
        <w:rPr>
          <w:rFonts w:ascii="Arial" w:hAnsi="Arial" w:cs="Arial"/>
          <w:sz w:val="24"/>
          <w:szCs w:val="24"/>
        </w:rPr>
        <w:t>m</w:t>
      </w:r>
      <w:r w:rsidR="00F312BB">
        <w:rPr>
          <w:rFonts w:ascii="Arial" w:hAnsi="Arial" w:cs="Arial"/>
          <w:sz w:val="24"/>
          <w:szCs w:val="24"/>
        </w:rPr>
        <w:t>illion</w:t>
      </w:r>
      <w:r>
        <w:rPr>
          <w:rFonts w:ascii="Arial" w:hAnsi="Arial" w:cs="Arial"/>
          <w:sz w:val="24"/>
          <w:szCs w:val="24"/>
        </w:rPr>
        <w:t xml:space="preserve"> of administrative costs of running the UK scheme from interest to retail profit in both the current and prior years.</w:t>
      </w:r>
    </w:p>
    <w:p w:rsidR="00A7352B" w:rsidRDefault="00A7352B" w:rsidP="00A64D40">
      <w:pPr>
        <w:jc w:val="left"/>
        <w:rPr>
          <w:rFonts w:ascii="Arial" w:hAnsi="Arial" w:cs="Arial"/>
          <w:sz w:val="24"/>
          <w:szCs w:val="24"/>
        </w:rPr>
      </w:pPr>
    </w:p>
    <w:p w:rsidR="00A7352B" w:rsidRDefault="00A7352B" w:rsidP="00A64D40">
      <w:pPr>
        <w:jc w:val="left"/>
        <w:rPr>
          <w:rFonts w:ascii="Arial" w:hAnsi="Arial" w:cs="Arial"/>
          <w:sz w:val="24"/>
          <w:szCs w:val="24"/>
        </w:rPr>
      </w:pPr>
      <w:r>
        <w:rPr>
          <w:rFonts w:ascii="Arial" w:hAnsi="Arial" w:cs="Arial"/>
          <w:sz w:val="24"/>
          <w:szCs w:val="24"/>
        </w:rPr>
        <w:t xml:space="preserve">In the prior year, and following consultation with the active members, the UK final salary pension scheme was closed to future benefit accrual and replaced by an enhanced defined contribution scheme offered to all UK employees. Auto-enrolment of eligible employees into this scheme commenced in the year, with </w:t>
      </w:r>
      <w:r w:rsidRPr="003B502E">
        <w:rPr>
          <w:rFonts w:ascii="Arial" w:hAnsi="Arial" w:cs="Arial"/>
          <w:sz w:val="24"/>
          <w:szCs w:val="24"/>
        </w:rPr>
        <w:t>around two-thirds</w:t>
      </w:r>
      <w:r>
        <w:rPr>
          <w:rFonts w:ascii="Arial" w:hAnsi="Arial" w:cs="Arial"/>
          <w:sz w:val="24"/>
          <w:szCs w:val="24"/>
        </w:rPr>
        <w:t xml:space="preserve"> of all UK employees now participating.</w:t>
      </w:r>
    </w:p>
    <w:p w:rsidR="00A7352B" w:rsidRPr="00C82F88" w:rsidRDefault="00A7352B" w:rsidP="00A7352B">
      <w:pPr>
        <w:jc w:val="left"/>
        <w:rPr>
          <w:rFonts w:ascii="Arial" w:hAnsi="Arial" w:cs="Arial"/>
          <w:b/>
          <w:sz w:val="24"/>
          <w:szCs w:val="24"/>
        </w:rPr>
      </w:pPr>
    </w:p>
    <w:p w:rsidR="00421ED6" w:rsidRPr="00421ED6" w:rsidRDefault="00A7352B" w:rsidP="00A64D40">
      <w:pPr>
        <w:jc w:val="left"/>
        <w:rPr>
          <w:rFonts w:ascii="Arial" w:hAnsi="Arial" w:cs="Arial"/>
          <w:sz w:val="24"/>
          <w:szCs w:val="24"/>
        </w:rPr>
      </w:pPr>
      <w:r>
        <w:rPr>
          <w:rFonts w:ascii="Arial" w:hAnsi="Arial" w:cs="Arial"/>
          <w:b/>
          <w:bCs/>
          <w:sz w:val="24"/>
          <w:szCs w:val="24"/>
        </w:rPr>
        <w:br w:type="page"/>
      </w:r>
      <w:r w:rsidR="00376255">
        <w:rPr>
          <w:rFonts w:ascii="Arial" w:hAnsi="Arial" w:cs="Arial"/>
          <w:b/>
          <w:bCs/>
          <w:sz w:val="24"/>
          <w:szCs w:val="24"/>
        </w:rPr>
        <w:t xml:space="preserve">Section 5: </w:t>
      </w:r>
      <w:r w:rsidR="00421ED6">
        <w:rPr>
          <w:rFonts w:ascii="Arial" w:hAnsi="Arial" w:cs="Arial"/>
          <w:b/>
          <w:bCs/>
          <w:sz w:val="24"/>
          <w:szCs w:val="24"/>
        </w:rPr>
        <w:t>GLOSSARY</w:t>
      </w:r>
      <w:r w:rsidR="00F92C7C">
        <w:rPr>
          <w:rFonts w:ascii="Arial" w:hAnsi="Arial" w:cs="Arial"/>
          <w:b/>
          <w:bCs/>
          <w:sz w:val="24"/>
          <w:szCs w:val="24"/>
        </w:rPr>
        <w:t xml:space="preserve"> (terms are listed in alphabetical order)</w:t>
      </w:r>
    </w:p>
    <w:p w:rsidR="00421ED6" w:rsidRDefault="00421ED6" w:rsidP="00421ED6">
      <w:pPr>
        <w:rPr>
          <w:rFonts w:ascii="Arial" w:hAnsi="Arial" w:cs="Arial"/>
          <w:b/>
          <w:sz w:val="20"/>
          <w:szCs w:val="20"/>
        </w:rPr>
      </w:pPr>
    </w:p>
    <w:p w:rsidR="00421ED6" w:rsidRPr="000045F9" w:rsidRDefault="00421ED6" w:rsidP="00930C11">
      <w:pPr>
        <w:jc w:val="left"/>
        <w:rPr>
          <w:rFonts w:ascii="Arial" w:hAnsi="Arial" w:cs="Arial"/>
          <w:iCs/>
          <w:sz w:val="24"/>
          <w:szCs w:val="24"/>
        </w:rPr>
      </w:pPr>
      <w:r w:rsidRPr="000045F9">
        <w:rPr>
          <w:rFonts w:ascii="Arial" w:hAnsi="Arial" w:cs="Arial"/>
          <w:b/>
          <w:sz w:val="24"/>
          <w:szCs w:val="24"/>
        </w:rPr>
        <w:t>Adjusted</w:t>
      </w:r>
      <w:r w:rsidRPr="000045F9">
        <w:rPr>
          <w:rFonts w:ascii="Arial" w:hAnsi="Arial" w:cs="Arial"/>
          <w:iCs/>
          <w:sz w:val="24"/>
          <w:szCs w:val="24"/>
        </w:rPr>
        <w:t xml:space="preserve"> measures are before exceptional items, financing fair value remeasurements, amortisation of acquisition intangibles, related tax items and tax on prior year items</w:t>
      </w:r>
      <w:r w:rsidR="00DA44CF">
        <w:rPr>
          <w:rFonts w:ascii="Arial" w:hAnsi="Arial" w:cs="Arial"/>
          <w:iCs/>
          <w:sz w:val="24"/>
          <w:szCs w:val="24"/>
        </w:rPr>
        <w:t xml:space="preserve"> including the impact of rate changes on deferred tax</w:t>
      </w:r>
      <w:r w:rsidRPr="000045F9">
        <w:rPr>
          <w:rFonts w:ascii="Arial" w:hAnsi="Arial" w:cs="Arial"/>
          <w:iCs/>
          <w:sz w:val="24"/>
          <w:szCs w:val="24"/>
        </w:rPr>
        <w:t>. A reconciliation to statutory amounts is set out in the Financial Review (Section 4).</w:t>
      </w:r>
    </w:p>
    <w:p w:rsidR="00421ED6" w:rsidRPr="00A54745" w:rsidRDefault="00421ED6" w:rsidP="00421ED6">
      <w:pPr>
        <w:rPr>
          <w:rFonts w:ascii="Arial" w:hAnsi="Arial" w:cs="Arial"/>
          <w:iCs/>
          <w:sz w:val="20"/>
          <w:szCs w:val="20"/>
        </w:rPr>
      </w:pPr>
    </w:p>
    <w:p w:rsidR="00421ED6" w:rsidRPr="000045F9" w:rsidRDefault="00421ED6" w:rsidP="00421ED6">
      <w:pPr>
        <w:rPr>
          <w:rFonts w:ascii="Arial" w:hAnsi="Arial" w:cs="Arial"/>
          <w:iCs/>
          <w:sz w:val="24"/>
          <w:szCs w:val="24"/>
        </w:rPr>
      </w:pPr>
      <w:r w:rsidRPr="000045F9">
        <w:rPr>
          <w:rFonts w:ascii="Arial" w:hAnsi="Arial" w:cs="Arial"/>
          <w:b/>
          <w:iCs/>
          <w:sz w:val="24"/>
          <w:szCs w:val="24"/>
        </w:rPr>
        <w:t xml:space="preserve">Banque de France </w:t>
      </w:r>
      <w:r w:rsidR="00D71302">
        <w:rPr>
          <w:rFonts w:ascii="Arial" w:hAnsi="Arial" w:cs="Arial"/>
          <w:iCs/>
          <w:sz w:val="24"/>
          <w:szCs w:val="24"/>
        </w:rPr>
        <w:t>d</w:t>
      </w:r>
      <w:r w:rsidRPr="00F22393">
        <w:rPr>
          <w:rFonts w:ascii="Arial" w:hAnsi="Arial" w:cs="Arial"/>
          <w:iCs/>
          <w:sz w:val="24"/>
          <w:szCs w:val="24"/>
        </w:rPr>
        <w:t>ata</w:t>
      </w:r>
      <w:r w:rsidRPr="000045F9">
        <w:rPr>
          <w:rFonts w:ascii="Arial" w:hAnsi="Arial" w:cs="Arial"/>
          <w:iCs/>
          <w:sz w:val="24"/>
          <w:szCs w:val="24"/>
        </w:rPr>
        <w:t xml:space="preserve"> includes relocated and extended stores</w:t>
      </w:r>
      <w:r w:rsidR="008A7B91">
        <w:rPr>
          <w:rFonts w:ascii="Arial" w:hAnsi="Arial" w:cs="Arial"/>
          <w:iCs/>
          <w:sz w:val="24"/>
          <w:szCs w:val="24"/>
        </w:rPr>
        <w:t>.</w:t>
      </w:r>
    </w:p>
    <w:p w:rsidR="00421ED6" w:rsidRPr="000045F9" w:rsidRDefault="00421ED6" w:rsidP="00421ED6">
      <w:pPr>
        <w:rPr>
          <w:rFonts w:ascii="Arial" w:hAnsi="Arial" w:cs="Arial"/>
          <w:iCs/>
          <w:sz w:val="24"/>
          <w:szCs w:val="24"/>
        </w:rPr>
      </w:pPr>
    </w:p>
    <w:p w:rsidR="00421ED6" w:rsidRPr="000045F9" w:rsidRDefault="00BE07B8" w:rsidP="00421ED6">
      <w:pPr>
        <w:rPr>
          <w:rFonts w:ascii="Arial" w:hAnsi="Arial" w:cs="Arial"/>
          <w:iCs/>
          <w:sz w:val="24"/>
          <w:szCs w:val="24"/>
        </w:rPr>
      </w:pPr>
      <w:r w:rsidRPr="000045F9">
        <w:rPr>
          <w:rFonts w:ascii="Arial" w:hAnsi="Arial" w:cs="Arial"/>
          <w:b/>
          <w:iCs/>
          <w:sz w:val="24"/>
          <w:szCs w:val="24"/>
        </w:rPr>
        <w:t>Brico Dépôt c</w:t>
      </w:r>
      <w:r w:rsidR="00421ED6" w:rsidRPr="000045F9">
        <w:rPr>
          <w:rFonts w:ascii="Arial" w:hAnsi="Arial" w:cs="Arial"/>
          <w:b/>
          <w:iCs/>
          <w:sz w:val="24"/>
          <w:szCs w:val="24"/>
        </w:rPr>
        <w:t>omparable market</w:t>
      </w:r>
      <w:r w:rsidRPr="000045F9">
        <w:rPr>
          <w:rFonts w:ascii="Arial" w:hAnsi="Arial" w:cs="Arial"/>
          <w:iCs/>
          <w:sz w:val="24"/>
          <w:szCs w:val="24"/>
        </w:rPr>
        <w:t xml:space="preserve"> is a r</w:t>
      </w:r>
      <w:r w:rsidR="00421ED6" w:rsidRPr="000045F9">
        <w:rPr>
          <w:rFonts w:ascii="Arial" w:hAnsi="Arial" w:cs="Arial"/>
          <w:iCs/>
          <w:sz w:val="24"/>
          <w:szCs w:val="24"/>
        </w:rPr>
        <w:t>olling 12 month average of Banque de France (60%) and I+C (www.iplu</w:t>
      </w:r>
      <w:r w:rsidRPr="000045F9">
        <w:rPr>
          <w:rFonts w:ascii="Arial" w:hAnsi="Arial" w:cs="Arial"/>
          <w:iCs/>
          <w:sz w:val="24"/>
          <w:szCs w:val="24"/>
        </w:rPr>
        <w:t>sc.com) trade data (40%) February</w:t>
      </w:r>
      <w:r w:rsidR="00421ED6" w:rsidRPr="000045F9">
        <w:rPr>
          <w:rFonts w:ascii="Arial" w:hAnsi="Arial" w:cs="Arial"/>
          <w:iCs/>
          <w:sz w:val="24"/>
          <w:szCs w:val="24"/>
        </w:rPr>
        <w:t xml:space="preserve"> 20</w:t>
      </w:r>
      <w:r w:rsidRPr="000045F9">
        <w:rPr>
          <w:rFonts w:ascii="Arial" w:hAnsi="Arial" w:cs="Arial"/>
          <w:iCs/>
          <w:sz w:val="24"/>
          <w:szCs w:val="24"/>
        </w:rPr>
        <w:t>13 – January 2014.</w:t>
      </w:r>
    </w:p>
    <w:p w:rsidR="00D21FEC" w:rsidRDefault="00D21FEC" w:rsidP="007678AD">
      <w:pPr>
        <w:pStyle w:val="ListParagraph"/>
        <w:rPr>
          <w:rFonts w:ascii="Arial" w:hAnsi="Arial" w:cs="Arial"/>
          <w:sz w:val="24"/>
          <w:szCs w:val="24"/>
        </w:rPr>
      </w:pPr>
    </w:p>
    <w:p w:rsidR="00D21FEC" w:rsidRPr="007678AD" w:rsidRDefault="00D21FEC" w:rsidP="007678AD">
      <w:pPr>
        <w:jc w:val="left"/>
        <w:rPr>
          <w:rFonts w:ascii="Arial" w:hAnsi="Arial" w:cs="Arial"/>
          <w:iCs/>
          <w:sz w:val="24"/>
          <w:szCs w:val="24"/>
        </w:rPr>
      </w:pPr>
      <w:r w:rsidRPr="007678AD">
        <w:rPr>
          <w:rFonts w:ascii="Arial" w:hAnsi="Arial" w:cs="Arial"/>
          <w:b/>
          <w:iCs/>
          <w:sz w:val="24"/>
          <w:szCs w:val="24"/>
        </w:rPr>
        <w:t>Common</w:t>
      </w:r>
      <w:r w:rsidRPr="007678AD">
        <w:rPr>
          <w:rFonts w:ascii="Arial" w:hAnsi="Arial" w:cs="Arial"/>
          <w:iCs/>
          <w:sz w:val="24"/>
          <w:szCs w:val="24"/>
        </w:rPr>
        <w:t xml:space="preserve"> means two or more operating companies selling the same product or a similar product but from the same supplier where the same product is not possible due to market / legal reasons (e.g. electrical extension cable which is the same supplier but with different electrical sockets)</w:t>
      </w:r>
      <w:r>
        <w:rPr>
          <w:rFonts w:ascii="Arial" w:hAnsi="Arial" w:cs="Arial"/>
          <w:iCs/>
          <w:sz w:val="24"/>
          <w:szCs w:val="24"/>
        </w:rPr>
        <w:t>.</w:t>
      </w:r>
    </w:p>
    <w:p w:rsidR="00CA5164" w:rsidRDefault="00CA5164" w:rsidP="00421ED6">
      <w:pPr>
        <w:rPr>
          <w:rFonts w:ascii="Arial" w:hAnsi="Arial" w:cs="Arial"/>
          <w:b/>
          <w:sz w:val="24"/>
          <w:szCs w:val="24"/>
        </w:rPr>
      </w:pPr>
    </w:p>
    <w:p w:rsidR="000045F9" w:rsidRPr="000045F9" w:rsidRDefault="000045F9" w:rsidP="00421ED6">
      <w:pPr>
        <w:rPr>
          <w:rFonts w:ascii="Arial" w:hAnsi="Arial" w:cs="Arial"/>
          <w:b/>
          <w:sz w:val="24"/>
          <w:szCs w:val="24"/>
        </w:rPr>
      </w:pPr>
      <w:r w:rsidRPr="000045F9">
        <w:rPr>
          <w:rFonts w:ascii="Arial" w:hAnsi="Arial" w:cs="Arial"/>
          <w:b/>
          <w:sz w:val="24"/>
          <w:szCs w:val="24"/>
        </w:rPr>
        <w:t>Constant currency 13 week basis</w:t>
      </w:r>
    </w:p>
    <w:p w:rsidR="000045F9" w:rsidRPr="000045F9" w:rsidRDefault="000045F9" w:rsidP="000045F9">
      <w:pPr>
        <w:tabs>
          <w:tab w:val="left" w:pos="357"/>
        </w:tabs>
        <w:ind w:right="-282"/>
        <w:jc w:val="left"/>
        <w:rPr>
          <w:rFonts w:ascii="Arial" w:hAnsi="Arial" w:cs="Arial"/>
          <w:iCs/>
          <w:sz w:val="24"/>
          <w:szCs w:val="24"/>
        </w:rPr>
      </w:pPr>
      <w:r w:rsidRPr="000045F9">
        <w:rPr>
          <w:rFonts w:ascii="Arial" w:hAnsi="Arial" w:cs="Arial"/>
          <w:iCs/>
          <w:sz w:val="24"/>
          <w:szCs w:val="24"/>
        </w:rPr>
        <w:t xml:space="preserve">In the UK &amp; Ireland Kingfisher reports each financial year up to the nearest Saturday to 31 January. </w:t>
      </w:r>
      <w:r w:rsidR="007F02C0">
        <w:rPr>
          <w:rFonts w:ascii="Arial" w:hAnsi="Arial" w:cs="Arial"/>
          <w:iCs/>
          <w:sz w:val="24"/>
          <w:szCs w:val="24"/>
        </w:rPr>
        <w:t>In 2012/13</w:t>
      </w:r>
      <w:r w:rsidR="00885179">
        <w:rPr>
          <w:rFonts w:ascii="Arial" w:hAnsi="Arial" w:cs="Arial"/>
          <w:iCs/>
          <w:sz w:val="24"/>
          <w:szCs w:val="24"/>
        </w:rPr>
        <w:t xml:space="preserve"> this resulted in a 14 week fourth quarter. </w:t>
      </w:r>
    </w:p>
    <w:p w:rsidR="000045F9" w:rsidRPr="000045F9" w:rsidRDefault="000045F9" w:rsidP="00421ED6">
      <w:pPr>
        <w:rPr>
          <w:rFonts w:ascii="Arial" w:hAnsi="Arial" w:cs="Arial"/>
          <w:b/>
          <w:iCs/>
          <w:sz w:val="24"/>
          <w:szCs w:val="24"/>
        </w:rPr>
      </w:pPr>
    </w:p>
    <w:p w:rsidR="008A7B91" w:rsidRDefault="00421ED6" w:rsidP="00EA6927">
      <w:pPr>
        <w:jc w:val="left"/>
        <w:rPr>
          <w:rFonts w:ascii="Arial" w:hAnsi="Arial" w:cs="Arial"/>
          <w:iCs/>
          <w:sz w:val="24"/>
          <w:szCs w:val="24"/>
        </w:rPr>
      </w:pPr>
      <w:r w:rsidRPr="000045F9">
        <w:rPr>
          <w:rFonts w:ascii="Arial" w:hAnsi="Arial" w:cs="Arial"/>
          <w:b/>
          <w:iCs/>
          <w:sz w:val="24"/>
          <w:szCs w:val="24"/>
        </w:rPr>
        <w:t xml:space="preserve">Constant </w:t>
      </w:r>
      <w:r w:rsidR="008A7B91">
        <w:rPr>
          <w:rFonts w:ascii="Arial" w:hAnsi="Arial" w:cs="Arial"/>
          <w:b/>
          <w:iCs/>
          <w:sz w:val="24"/>
          <w:szCs w:val="24"/>
        </w:rPr>
        <w:t>c</w:t>
      </w:r>
      <w:r w:rsidRPr="000045F9">
        <w:rPr>
          <w:rFonts w:ascii="Arial" w:hAnsi="Arial" w:cs="Arial"/>
          <w:b/>
          <w:iCs/>
          <w:sz w:val="24"/>
          <w:szCs w:val="24"/>
        </w:rPr>
        <w:t xml:space="preserve">urrency </w:t>
      </w:r>
      <w:r w:rsidR="008A7B91">
        <w:rPr>
          <w:rFonts w:ascii="Arial" w:hAnsi="Arial" w:cs="Arial"/>
          <w:b/>
          <w:iCs/>
          <w:sz w:val="24"/>
          <w:szCs w:val="24"/>
        </w:rPr>
        <w:t>c</w:t>
      </w:r>
      <w:r w:rsidRPr="000045F9">
        <w:rPr>
          <w:rFonts w:ascii="Arial" w:hAnsi="Arial" w:cs="Arial"/>
          <w:b/>
          <w:iCs/>
          <w:sz w:val="24"/>
          <w:szCs w:val="24"/>
        </w:rPr>
        <w:t>hange 52 week basis</w:t>
      </w:r>
      <w:r w:rsidRPr="000045F9">
        <w:rPr>
          <w:rFonts w:ascii="Arial" w:hAnsi="Arial" w:cs="Arial"/>
          <w:iCs/>
          <w:sz w:val="24"/>
          <w:szCs w:val="24"/>
        </w:rPr>
        <w:t xml:space="preserve"> </w:t>
      </w:r>
    </w:p>
    <w:p w:rsidR="00421ED6" w:rsidRPr="000045F9" w:rsidRDefault="008A7B91" w:rsidP="00EA6927">
      <w:pPr>
        <w:jc w:val="left"/>
        <w:rPr>
          <w:rFonts w:ascii="Arial" w:hAnsi="Arial" w:cs="Arial"/>
          <w:iCs/>
          <w:sz w:val="24"/>
          <w:szCs w:val="24"/>
        </w:rPr>
      </w:pPr>
      <w:r>
        <w:rPr>
          <w:rFonts w:ascii="Arial" w:hAnsi="Arial" w:cs="Arial"/>
          <w:iCs/>
          <w:sz w:val="24"/>
          <w:szCs w:val="24"/>
        </w:rPr>
        <w:t>I</w:t>
      </w:r>
      <w:r w:rsidR="00421ED6" w:rsidRPr="000045F9">
        <w:rPr>
          <w:rFonts w:ascii="Arial" w:hAnsi="Arial" w:cs="Arial"/>
          <w:iCs/>
          <w:sz w:val="24"/>
          <w:szCs w:val="24"/>
        </w:rPr>
        <w:t xml:space="preserve">n the UK &amp; Ireland Kingfisher reports each financial year up to the nearest Saturday to 31 January. </w:t>
      </w:r>
      <w:r w:rsidR="007F02C0">
        <w:rPr>
          <w:rFonts w:ascii="Arial" w:hAnsi="Arial" w:cs="Arial"/>
          <w:iCs/>
          <w:sz w:val="24"/>
          <w:szCs w:val="24"/>
        </w:rPr>
        <w:t>In 2012/13</w:t>
      </w:r>
      <w:r w:rsidR="00421ED6" w:rsidRPr="000045F9">
        <w:rPr>
          <w:rFonts w:ascii="Arial" w:hAnsi="Arial" w:cs="Arial"/>
          <w:iCs/>
          <w:sz w:val="24"/>
          <w:szCs w:val="24"/>
        </w:rPr>
        <w:t xml:space="preserve"> this</w:t>
      </w:r>
      <w:r w:rsidR="000045F9">
        <w:rPr>
          <w:rFonts w:ascii="Arial" w:hAnsi="Arial" w:cs="Arial"/>
          <w:iCs/>
          <w:sz w:val="24"/>
          <w:szCs w:val="24"/>
        </w:rPr>
        <w:t xml:space="preserve"> </w:t>
      </w:r>
      <w:r w:rsidR="00421ED6" w:rsidRPr="000045F9">
        <w:rPr>
          <w:rFonts w:ascii="Arial" w:hAnsi="Arial" w:cs="Arial"/>
          <w:iCs/>
          <w:sz w:val="24"/>
          <w:szCs w:val="24"/>
        </w:rPr>
        <w:t>resulted in a 53 week year.</w:t>
      </w:r>
    </w:p>
    <w:p w:rsidR="00E652D5" w:rsidRPr="000045F9" w:rsidRDefault="00E652D5" w:rsidP="00421ED6">
      <w:pPr>
        <w:rPr>
          <w:rFonts w:ascii="Arial" w:hAnsi="Arial" w:cs="Arial"/>
          <w:iCs/>
          <w:sz w:val="24"/>
          <w:szCs w:val="24"/>
        </w:rPr>
      </w:pPr>
    </w:p>
    <w:p w:rsidR="00E80A1D" w:rsidRDefault="00E80A1D" w:rsidP="00E80A1D">
      <w:pPr>
        <w:jc w:val="left"/>
        <w:rPr>
          <w:rFonts w:ascii="Arial" w:hAnsi="Arial" w:cs="Arial"/>
          <w:iCs/>
          <w:sz w:val="24"/>
          <w:szCs w:val="24"/>
        </w:rPr>
      </w:pPr>
      <w:r>
        <w:rPr>
          <w:rFonts w:ascii="Arial" w:hAnsi="Arial" w:cs="Arial"/>
          <w:b/>
          <w:iCs/>
          <w:sz w:val="24"/>
          <w:szCs w:val="24"/>
        </w:rPr>
        <w:t>EBITDA</w:t>
      </w:r>
      <w:r w:rsidRPr="00930C11">
        <w:rPr>
          <w:rFonts w:ascii="Arial" w:hAnsi="Arial" w:cs="Arial"/>
          <w:iCs/>
          <w:sz w:val="24"/>
          <w:szCs w:val="24"/>
        </w:rPr>
        <w:t xml:space="preserve"> </w:t>
      </w:r>
      <w:r w:rsidR="009051DE" w:rsidRPr="00930C11">
        <w:rPr>
          <w:rFonts w:ascii="Arial" w:hAnsi="Arial" w:cs="Arial"/>
          <w:iCs/>
          <w:sz w:val="24"/>
          <w:szCs w:val="24"/>
        </w:rPr>
        <w:t xml:space="preserve">(earnings before interest, tax, depreciation and amortisation) which is </w:t>
      </w:r>
      <w:r>
        <w:rPr>
          <w:rFonts w:ascii="Arial" w:hAnsi="Arial" w:cs="Arial"/>
          <w:iCs/>
          <w:sz w:val="24"/>
          <w:szCs w:val="24"/>
        </w:rPr>
        <w:t>c</w:t>
      </w:r>
      <w:r w:rsidRPr="00A64D40">
        <w:rPr>
          <w:rFonts w:ascii="Arial" w:hAnsi="Arial" w:cs="Arial"/>
          <w:iCs/>
          <w:sz w:val="24"/>
          <w:szCs w:val="24"/>
        </w:rPr>
        <w:t xml:space="preserve">alculated as </w:t>
      </w:r>
      <w:r w:rsidR="009E5220">
        <w:rPr>
          <w:rFonts w:ascii="Arial" w:hAnsi="Arial" w:cs="Arial"/>
          <w:iCs/>
          <w:sz w:val="24"/>
          <w:szCs w:val="24"/>
        </w:rPr>
        <w:t>R</w:t>
      </w:r>
      <w:r w:rsidRPr="00A64D40">
        <w:rPr>
          <w:rFonts w:ascii="Arial" w:hAnsi="Arial" w:cs="Arial"/>
          <w:iCs/>
          <w:sz w:val="24"/>
          <w:szCs w:val="24"/>
        </w:rPr>
        <w:t>etail profit less central costs and before depreciation and amortisatio</w:t>
      </w:r>
      <w:r>
        <w:rPr>
          <w:rFonts w:ascii="Arial" w:hAnsi="Arial" w:cs="Arial"/>
          <w:iCs/>
          <w:sz w:val="24"/>
          <w:szCs w:val="24"/>
        </w:rPr>
        <w:t>n.</w:t>
      </w:r>
    </w:p>
    <w:p w:rsidR="00F60788" w:rsidRDefault="00F60788" w:rsidP="00E80A1D">
      <w:pPr>
        <w:jc w:val="left"/>
        <w:rPr>
          <w:rFonts w:ascii="Arial" w:hAnsi="Arial" w:cs="Arial"/>
          <w:iCs/>
          <w:sz w:val="24"/>
          <w:szCs w:val="24"/>
        </w:rPr>
      </w:pPr>
    </w:p>
    <w:p w:rsidR="00F60788" w:rsidRPr="009618C2" w:rsidRDefault="00F60788" w:rsidP="00E80A1D">
      <w:pPr>
        <w:jc w:val="left"/>
        <w:rPr>
          <w:rFonts w:ascii="Arial" w:hAnsi="Arial" w:cs="Arial"/>
          <w:i/>
          <w:sz w:val="18"/>
          <w:szCs w:val="18"/>
        </w:rPr>
      </w:pPr>
      <w:r>
        <w:rPr>
          <w:rFonts w:ascii="Arial" w:hAnsi="Arial" w:cs="Arial"/>
          <w:b/>
          <w:iCs/>
          <w:sz w:val="24"/>
          <w:szCs w:val="24"/>
        </w:rPr>
        <w:t>EBITDAR</w:t>
      </w:r>
      <w:r w:rsidRPr="00930C11">
        <w:rPr>
          <w:rFonts w:ascii="Arial" w:hAnsi="Arial" w:cs="Arial"/>
          <w:iCs/>
          <w:sz w:val="24"/>
          <w:szCs w:val="24"/>
        </w:rPr>
        <w:t xml:space="preserve"> (earnings before i</w:t>
      </w:r>
      <w:r>
        <w:rPr>
          <w:rFonts w:ascii="Arial" w:hAnsi="Arial" w:cs="Arial"/>
          <w:iCs/>
          <w:sz w:val="24"/>
          <w:szCs w:val="24"/>
        </w:rPr>
        <w:t xml:space="preserve">nterest, tax, depreciation, </w:t>
      </w:r>
      <w:r w:rsidRPr="00930C11">
        <w:rPr>
          <w:rFonts w:ascii="Arial" w:hAnsi="Arial" w:cs="Arial"/>
          <w:iCs/>
          <w:sz w:val="24"/>
          <w:szCs w:val="24"/>
        </w:rPr>
        <w:t>amortisation</w:t>
      </w:r>
      <w:r>
        <w:rPr>
          <w:rFonts w:ascii="Arial" w:hAnsi="Arial" w:cs="Arial"/>
          <w:iCs/>
          <w:sz w:val="24"/>
          <w:szCs w:val="24"/>
        </w:rPr>
        <w:t xml:space="preserve"> and property operating lease rentals</w:t>
      </w:r>
      <w:r w:rsidRPr="00930C11">
        <w:rPr>
          <w:rFonts w:ascii="Arial" w:hAnsi="Arial" w:cs="Arial"/>
          <w:iCs/>
          <w:sz w:val="24"/>
          <w:szCs w:val="24"/>
        </w:rPr>
        <w:t xml:space="preserve">) which is </w:t>
      </w:r>
      <w:r>
        <w:rPr>
          <w:rFonts w:ascii="Arial" w:hAnsi="Arial" w:cs="Arial"/>
          <w:iCs/>
          <w:sz w:val="24"/>
          <w:szCs w:val="24"/>
        </w:rPr>
        <w:t>c</w:t>
      </w:r>
      <w:r w:rsidR="005C6367">
        <w:rPr>
          <w:rFonts w:ascii="Arial" w:hAnsi="Arial" w:cs="Arial"/>
          <w:iCs/>
          <w:sz w:val="24"/>
          <w:szCs w:val="24"/>
        </w:rPr>
        <w:t xml:space="preserve">alculated as </w:t>
      </w:r>
      <w:r w:rsidR="009E5220">
        <w:rPr>
          <w:rFonts w:ascii="Arial" w:hAnsi="Arial" w:cs="Arial"/>
          <w:iCs/>
          <w:sz w:val="24"/>
          <w:szCs w:val="24"/>
        </w:rPr>
        <w:t>R</w:t>
      </w:r>
      <w:r w:rsidRPr="00A64D40">
        <w:rPr>
          <w:rFonts w:ascii="Arial" w:hAnsi="Arial" w:cs="Arial"/>
          <w:iCs/>
          <w:sz w:val="24"/>
          <w:szCs w:val="24"/>
        </w:rPr>
        <w:t>etai</w:t>
      </w:r>
      <w:r>
        <w:rPr>
          <w:rFonts w:ascii="Arial" w:hAnsi="Arial" w:cs="Arial"/>
          <w:iCs/>
          <w:sz w:val="24"/>
          <w:szCs w:val="24"/>
        </w:rPr>
        <w:t xml:space="preserve">l profit less central costs, </w:t>
      </w:r>
      <w:r w:rsidRPr="00A64D40">
        <w:rPr>
          <w:rFonts w:ascii="Arial" w:hAnsi="Arial" w:cs="Arial"/>
          <w:iCs/>
          <w:sz w:val="24"/>
          <w:szCs w:val="24"/>
        </w:rPr>
        <w:t>before depreciation and amortisatio</w:t>
      </w:r>
      <w:r>
        <w:rPr>
          <w:rFonts w:ascii="Arial" w:hAnsi="Arial" w:cs="Arial"/>
          <w:iCs/>
          <w:sz w:val="24"/>
          <w:szCs w:val="24"/>
        </w:rPr>
        <w:t xml:space="preserve">n and property operating lease rentals. </w:t>
      </w:r>
    </w:p>
    <w:p w:rsidR="00E80A1D" w:rsidRDefault="00E80A1D" w:rsidP="00E652D5">
      <w:pPr>
        <w:jc w:val="left"/>
        <w:rPr>
          <w:rFonts w:ascii="Arial" w:hAnsi="Arial" w:cs="Arial"/>
          <w:b/>
          <w:iCs/>
          <w:sz w:val="24"/>
          <w:szCs w:val="24"/>
        </w:rPr>
      </w:pPr>
    </w:p>
    <w:p w:rsidR="00E652D5" w:rsidRDefault="00E652D5" w:rsidP="00E652D5">
      <w:pPr>
        <w:jc w:val="left"/>
        <w:rPr>
          <w:rFonts w:ascii="Arial" w:hAnsi="Arial" w:cs="Arial"/>
          <w:iCs/>
          <w:sz w:val="24"/>
          <w:szCs w:val="24"/>
        </w:rPr>
      </w:pPr>
      <w:r w:rsidRPr="000045F9">
        <w:rPr>
          <w:rFonts w:ascii="Arial" w:hAnsi="Arial" w:cs="Arial"/>
          <w:b/>
          <w:iCs/>
          <w:sz w:val="24"/>
          <w:szCs w:val="24"/>
        </w:rPr>
        <w:t>France</w:t>
      </w:r>
      <w:r w:rsidRPr="000045F9">
        <w:rPr>
          <w:rFonts w:ascii="Arial" w:hAnsi="Arial" w:cs="Arial"/>
          <w:iCs/>
          <w:sz w:val="24"/>
          <w:szCs w:val="24"/>
        </w:rPr>
        <w:t xml:space="preserve"> </w:t>
      </w:r>
      <w:r w:rsidR="00D71302">
        <w:rPr>
          <w:rFonts w:ascii="Arial" w:hAnsi="Arial" w:cs="Arial"/>
          <w:iCs/>
          <w:sz w:val="24"/>
          <w:szCs w:val="24"/>
        </w:rPr>
        <w:t>consists of</w:t>
      </w:r>
      <w:r w:rsidRPr="000045F9">
        <w:rPr>
          <w:rFonts w:ascii="Arial" w:hAnsi="Arial" w:cs="Arial"/>
          <w:iCs/>
          <w:sz w:val="24"/>
          <w:szCs w:val="24"/>
        </w:rPr>
        <w:t xml:space="preserve"> Castorama</w:t>
      </w:r>
      <w:r w:rsidR="00684C33">
        <w:rPr>
          <w:rFonts w:ascii="Arial" w:hAnsi="Arial" w:cs="Arial"/>
          <w:iCs/>
          <w:sz w:val="24"/>
          <w:szCs w:val="24"/>
        </w:rPr>
        <w:t xml:space="preserve"> France </w:t>
      </w:r>
      <w:r w:rsidRPr="000045F9">
        <w:rPr>
          <w:rFonts w:ascii="Arial" w:hAnsi="Arial" w:cs="Arial"/>
          <w:iCs/>
          <w:sz w:val="24"/>
          <w:szCs w:val="24"/>
        </w:rPr>
        <w:t>and Brico Dépôt</w:t>
      </w:r>
      <w:r w:rsidR="00684C33">
        <w:rPr>
          <w:rFonts w:ascii="Arial" w:hAnsi="Arial" w:cs="Arial"/>
          <w:iCs/>
          <w:sz w:val="24"/>
          <w:szCs w:val="24"/>
        </w:rPr>
        <w:t xml:space="preserve"> France</w:t>
      </w:r>
      <w:r w:rsidR="000045F9">
        <w:rPr>
          <w:rFonts w:ascii="Arial" w:hAnsi="Arial" w:cs="Arial"/>
          <w:iCs/>
          <w:sz w:val="24"/>
          <w:szCs w:val="24"/>
        </w:rPr>
        <w:t>.</w:t>
      </w:r>
    </w:p>
    <w:p w:rsidR="00E832E5" w:rsidRDefault="00E832E5" w:rsidP="00E652D5">
      <w:pPr>
        <w:jc w:val="left"/>
        <w:rPr>
          <w:rFonts w:ascii="Arial" w:hAnsi="Arial" w:cs="Arial"/>
          <w:iCs/>
          <w:sz w:val="24"/>
          <w:szCs w:val="24"/>
        </w:rPr>
      </w:pPr>
    </w:p>
    <w:p w:rsidR="00E832E5" w:rsidRPr="0098224A" w:rsidRDefault="00E832E5" w:rsidP="00E832E5">
      <w:pPr>
        <w:jc w:val="left"/>
        <w:rPr>
          <w:rFonts w:ascii="Arial" w:hAnsi="Arial" w:cs="Arial"/>
          <w:iCs/>
          <w:sz w:val="24"/>
          <w:szCs w:val="24"/>
        </w:rPr>
      </w:pPr>
      <w:r w:rsidRPr="0098224A">
        <w:rPr>
          <w:rFonts w:ascii="Arial" w:hAnsi="Arial" w:cs="Arial"/>
          <w:b/>
          <w:iCs/>
          <w:sz w:val="24"/>
          <w:szCs w:val="24"/>
        </w:rPr>
        <w:t>Free cash flow</w:t>
      </w:r>
      <w:r>
        <w:rPr>
          <w:rFonts w:ascii="Arial" w:hAnsi="Arial" w:cs="Arial"/>
          <w:b/>
          <w:iCs/>
          <w:sz w:val="24"/>
          <w:szCs w:val="24"/>
        </w:rPr>
        <w:t xml:space="preserve"> </w:t>
      </w:r>
      <w:r>
        <w:rPr>
          <w:rFonts w:ascii="Arial" w:hAnsi="Arial" w:cs="Arial"/>
          <w:iCs/>
          <w:sz w:val="24"/>
          <w:szCs w:val="24"/>
        </w:rPr>
        <w:t>represents cash generated from operations less the amount spent on tax, interest and capital expenditure during the year (excluding acquisitions).</w:t>
      </w:r>
      <w:r w:rsidR="007F02C0">
        <w:rPr>
          <w:rFonts w:ascii="Arial" w:hAnsi="Arial" w:cs="Arial"/>
          <w:iCs/>
          <w:sz w:val="24"/>
          <w:szCs w:val="24"/>
        </w:rPr>
        <w:t xml:space="preserve"> A reconciliation from operating profit (before exceptional items) is set out in the Financial Review (Section 4). </w:t>
      </w:r>
    </w:p>
    <w:p w:rsidR="00234FFB" w:rsidRDefault="00234FFB" w:rsidP="00E652D5">
      <w:pPr>
        <w:jc w:val="left"/>
        <w:rPr>
          <w:rFonts w:ascii="Arial" w:hAnsi="Arial" w:cs="Arial"/>
          <w:iCs/>
          <w:sz w:val="24"/>
          <w:szCs w:val="24"/>
        </w:rPr>
      </w:pPr>
    </w:p>
    <w:p w:rsidR="00A7352B" w:rsidRDefault="00234FFB" w:rsidP="00E652D5">
      <w:pPr>
        <w:jc w:val="left"/>
        <w:rPr>
          <w:rFonts w:ascii="Arial" w:hAnsi="Arial" w:cs="Arial"/>
          <w:iCs/>
          <w:sz w:val="24"/>
          <w:szCs w:val="24"/>
        </w:rPr>
      </w:pPr>
      <w:r w:rsidRPr="00A64D40">
        <w:rPr>
          <w:rFonts w:ascii="Arial" w:hAnsi="Arial" w:cs="Arial"/>
          <w:b/>
          <w:iCs/>
          <w:sz w:val="24"/>
          <w:szCs w:val="24"/>
        </w:rPr>
        <w:t xml:space="preserve">FFVR </w:t>
      </w:r>
      <w:r w:rsidR="009051DE" w:rsidRPr="00930C11">
        <w:rPr>
          <w:rFonts w:ascii="Arial" w:hAnsi="Arial" w:cs="Arial"/>
          <w:iCs/>
          <w:sz w:val="24"/>
          <w:szCs w:val="24"/>
        </w:rPr>
        <w:t>(financing fair value remeasurements)</w:t>
      </w:r>
      <w:r w:rsidR="009051DE">
        <w:rPr>
          <w:rFonts w:ascii="Arial" w:hAnsi="Arial" w:cs="Arial"/>
          <w:b/>
          <w:iCs/>
          <w:sz w:val="24"/>
          <w:szCs w:val="24"/>
        </w:rPr>
        <w:t xml:space="preserve"> </w:t>
      </w:r>
      <w:r w:rsidR="00D2625F" w:rsidRPr="00CA7142">
        <w:rPr>
          <w:rFonts w:ascii="Arial" w:hAnsi="Arial" w:cs="Arial"/>
          <w:iCs/>
          <w:sz w:val="24"/>
          <w:szCs w:val="24"/>
        </w:rPr>
        <w:t>r</w:t>
      </w:r>
      <w:r w:rsidR="00F44D08" w:rsidRPr="00A64D40">
        <w:rPr>
          <w:rFonts w:ascii="Arial" w:hAnsi="Arial" w:cs="Arial"/>
          <w:iCs/>
          <w:sz w:val="24"/>
          <w:szCs w:val="24"/>
        </w:rPr>
        <w:t>epresents changes in the fair value of financing derivatives, excluding interest accruals, offset by fair value adjustments to the carrying value of borrowings and other hedged items under fair value hedge relationships.</w:t>
      </w:r>
    </w:p>
    <w:p w:rsidR="00F44D08" w:rsidRDefault="00F44D08" w:rsidP="00E652D5">
      <w:pPr>
        <w:jc w:val="left"/>
        <w:rPr>
          <w:rFonts w:ascii="Arial" w:hAnsi="Arial" w:cs="Arial"/>
          <w:b/>
          <w:iCs/>
          <w:sz w:val="24"/>
          <w:szCs w:val="24"/>
        </w:rPr>
      </w:pPr>
    </w:p>
    <w:p w:rsidR="00795AA8" w:rsidRDefault="00795AA8" w:rsidP="00795AA8">
      <w:r w:rsidRPr="00930C11">
        <w:rPr>
          <w:rFonts w:ascii="Arial" w:hAnsi="Arial" w:cs="Arial"/>
          <w:b/>
          <w:iCs/>
          <w:sz w:val="24"/>
          <w:szCs w:val="24"/>
        </w:rPr>
        <w:t>KEP</w:t>
      </w:r>
      <w:r w:rsidRPr="00C049BE">
        <w:rPr>
          <w:b/>
          <w:bCs/>
        </w:rPr>
        <w:t xml:space="preserve"> </w:t>
      </w:r>
      <w:r w:rsidRPr="00930C11">
        <w:rPr>
          <w:rFonts w:ascii="Arial" w:hAnsi="Arial" w:cs="Arial"/>
          <w:iCs/>
          <w:sz w:val="24"/>
          <w:szCs w:val="24"/>
        </w:rPr>
        <w:t>(Kingfisher Economic Profit) represents earnings after a charge for the annual cost of capital employed in the business. A definition is provided in the Financial Review (Section 4).</w:t>
      </w:r>
    </w:p>
    <w:p w:rsidR="00795AA8" w:rsidRDefault="00795AA8" w:rsidP="00E652D5">
      <w:pPr>
        <w:jc w:val="left"/>
        <w:rPr>
          <w:rFonts w:ascii="Arial" w:hAnsi="Arial" w:cs="Arial"/>
          <w:b/>
          <w:iCs/>
          <w:sz w:val="24"/>
          <w:szCs w:val="24"/>
        </w:rPr>
      </w:pPr>
    </w:p>
    <w:p w:rsidR="00A7352B" w:rsidRDefault="00A7352B" w:rsidP="00E652D5">
      <w:pPr>
        <w:jc w:val="left"/>
        <w:rPr>
          <w:rFonts w:ascii="Arial" w:hAnsi="Arial" w:cs="Arial"/>
          <w:iCs/>
          <w:sz w:val="24"/>
          <w:szCs w:val="24"/>
        </w:rPr>
      </w:pPr>
      <w:r w:rsidRPr="00A64D40">
        <w:rPr>
          <w:rFonts w:ascii="Arial" w:hAnsi="Arial" w:cs="Arial"/>
          <w:b/>
          <w:iCs/>
          <w:sz w:val="24"/>
          <w:szCs w:val="24"/>
        </w:rPr>
        <w:t>LFL</w:t>
      </w:r>
      <w:r>
        <w:rPr>
          <w:rFonts w:ascii="Arial" w:hAnsi="Arial" w:cs="Arial"/>
          <w:iCs/>
          <w:sz w:val="24"/>
          <w:szCs w:val="24"/>
        </w:rPr>
        <w:t xml:space="preserve"> </w:t>
      </w:r>
      <w:r w:rsidR="00D2625F">
        <w:rPr>
          <w:rFonts w:ascii="Arial" w:hAnsi="Arial" w:cs="Arial"/>
          <w:iCs/>
          <w:sz w:val="24"/>
          <w:szCs w:val="24"/>
        </w:rPr>
        <w:t>stands for l</w:t>
      </w:r>
      <w:r w:rsidRPr="00A7352B">
        <w:rPr>
          <w:rFonts w:ascii="Arial" w:hAnsi="Arial" w:cs="Arial"/>
          <w:iCs/>
          <w:sz w:val="24"/>
          <w:szCs w:val="24"/>
        </w:rPr>
        <w:t xml:space="preserve">ike-for-like </w:t>
      </w:r>
      <w:r w:rsidRPr="00A64D40">
        <w:rPr>
          <w:rFonts w:ascii="Arial" w:hAnsi="Arial" w:cs="Arial"/>
          <w:iCs/>
          <w:sz w:val="24"/>
          <w:szCs w:val="24"/>
        </w:rPr>
        <w:t xml:space="preserve">sales growth </w:t>
      </w:r>
      <w:r w:rsidR="002530C8">
        <w:rPr>
          <w:rFonts w:ascii="Arial" w:hAnsi="Arial" w:cs="Arial"/>
          <w:iCs/>
          <w:sz w:val="24"/>
          <w:szCs w:val="24"/>
        </w:rPr>
        <w:t xml:space="preserve">which </w:t>
      </w:r>
      <w:r w:rsidRPr="00A64D40">
        <w:rPr>
          <w:rFonts w:ascii="Arial" w:hAnsi="Arial" w:cs="Arial"/>
          <w:iCs/>
          <w:sz w:val="24"/>
          <w:szCs w:val="24"/>
        </w:rPr>
        <w:t>represents the constant currency, year-on-year sales growth for stores that have been open for more than a year.</w:t>
      </w:r>
    </w:p>
    <w:p w:rsidR="00BF0801" w:rsidRDefault="00BF0801" w:rsidP="00E652D5">
      <w:pPr>
        <w:jc w:val="left"/>
        <w:rPr>
          <w:rFonts w:ascii="Arial" w:hAnsi="Arial" w:cs="Arial"/>
          <w:iCs/>
          <w:sz w:val="24"/>
          <w:szCs w:val="24"/>
        </w:rPr>
      </w:pPr>
    </w:p>
    <w:p w:rsidR="00BF0801" w:rsidRPr="000045F9" w:rsidRDefault="00BF0801" w:rsidP="00E652D5">
      <w:pPr>
        <w:jc w:val="left"/>
        <w:rPr>
          <w:rFonts w:ascii="Arial" w:hAnsi="Arial" w:cs="Arial"/>
          <w:iCs/>
          <w:sz w:val="24"/>
          <w:szCs w:val="24"/>
        </w:rPr>
      </w:pPr>
      <w:r w:rsidRPr="00A64D40">
        <w:rPr>
          <w:rFonts w:ascii="Arial" w:hAnsi="Arial" w:cs="Arial"/>
          <w:b/>
          <w:iCs/>
          <w:sz w:val="24"/>
          <w:szCs w:val="24"/>
        </w:rPr>
        <w:t>LME</w:t>
      </w:r>
      <w:r w:rsidRPr="00A64D40">
        <w:rPr>
          <w:rFonts w:ascii="Arial" w:hAnsi="Arial" w:cs="Arial"/>
          <w:iCs/>
          <w:sz w:val="24"/>
          <w:szCs w:val="24"/>
        </w:rPr>
        <w:t xml:space="preserve"> is the legislative change shortening payment terms in France, implemented over the three year</w:t>
      </w:r>
      <w:r w:rsidR="00715BDB">
        <w:rPr>
          <w:rFonts w:ascii="Arial" w:hAnsi="Arial" w:cs="Arial"/>
          <w:iCs/>
          <w:sz w:val="24"/>
          <w:szCs w:val="24"/>
        </w:rPr>
        <w:t>s</w:t>
      </w:r>
      <w:r w:rsidRPr="00A64D40">
        <w:rPr>
          <w:rFonts w:ascii="Arial" w:hAnsi="Arial" w:cs="Arial"/>
          <w:iCs/>
          <w:sz w:val="24"/>
          <w:szCs w:val="24"/>
        </w:rPr>
        <w:t xml:space="preserve"> to 2012</w:t>
      </w:r>
      <w:r>
        <w:rPr>
          <w:rFonts w:ascii="Arial" w:hAnsi="Arial" w:cs="Arial"/>
          <w:iCs/>
          <w:sz w:val="24"/>
          <w:szCs w:val="24"/>
        </w:rPr>
        <w:t>.</w:t>
      </w:r>
    </w:p>
    <w:p w:rsidR="008A7B91" w:rsidRDefault="00421ED6" w:rsidP="00EA6927">
      <w:pPr>
        <w:jc w:val="left"/>
        <w:rPr>
          <w:rFonts w:ascii="Arial" w:hAnsi="Arial" w:cs="Arial"/>
          <w:b/>
          <w:iCs/>
          <w:sz w:val="24"/>
          <w:szCs w:val="24"/>
        </w:rPr>
      </w:pPr>
      <w:r w:rsidRPr="000045F9">
        <w:rPr>
          <w:rFonts w:ascii="Arial" w:hAnsi="Arial" w:cs="Arial"/>
          <w:b/>
          <w:iCs/>
          <w:sz w:val="24"/>
          <w:szCs w:val="24"/>
        </w:rPr>
        <w:t>Market for the UK’s leading home improvement retailers</w:t>
      </w:r>
      <w:r w:rsidRPr="00EA6927">
        <w:rPr>
          <w:rFonts w:ascii="Arial" w:hAnsi="Arial" w:cs="Arial"/>
          <w:iCs/>
          <w:sz w:val="24"/>
          <w:szCs w:val="24"/>
        </w:rPr>
        <w:t xml:space="preserve"> </w:t>
      </w:r>
    </w:p>
    <w:p w:rsidR="00421ED6" w:rsidRPr="000045F9" w:rsidRDefault="00421ED6" w:rsidP="00EA6927">
      <w:pPr>
        <w:jc w:val="left"/>
        <w:rPr>
          <w:rFonts w:ascii="Arial" w:hAnsi="Arial" w:cs="Arial"/>
          <w:iCs/>
          <w:sz w:val="24"/>
          <w:szCs w:val="24"/>
        </w:rPr>
      </w:pPr>
      <w:r w:rsidRPr="000045F9">
        <w:rPr>
          <w:rFonts w:ascii="Arial" w:hAnsi="Arial" w:cs="Arial"/>
          <w:iCs/>
          <w:sz w:val="24"/>
          <w:szCs w:val="24"/>
        </w:rPr>
        <w:t>Kingfisher estimate for the UK RMI (Repairs, Mai</w:t>
      </w:r>
      <w:r w:rsidR="000045F9">
        <w:rPr>
          <w:rFonts w:ascii="Arial" w:hAnsi="Arial" w:cs="Arial"/>
          <w:iCs/>
          <w:sz w:val="24"/>
          <w:szCs w:val="24"/>
        </w:rPr>
        <w:t>ntenance &amp; Improvement) market</w:t>
      </w:r>
      <w:r w:rsidRPr="000045F9">
        <w:rPr>
          <w:rFonts w:ascii="Arial" w:hAnsi="Arial" w:cs="Arial"/>
          <w:iCs/>
          <w:sz w:val="24"/>
          <w:szCs w:val="24"/>
        </w:rPr>
        <w:t xml:space="preserve"> incorporates </w:t>
      </w:r>
      <w:proofErr w:type="spellStart"/>
      <w:r w:rsidRPr="000045F9">
        <w:rPr>
          <w:rFonts w:ascii="Arial" w:hAnsi="Arial" w:cs="Arial"/>
          <w:iCs/>
          <w:sz w:val="24"/>
          <w:szCs w:val="24"/>
        </w:rPr>
        <w:t>GfK</w:t>
      </w:r>
      <w:proofErr w:type="spellEnd"/>
      <w:r w:rsidRPr="000045F9">
        <w:rPr>
          <w:rFonts w:ascii="Arial" w:hAnsi="Arial" w:cs="Arial"/>
          <w:iCs/>
          <w:sz w:val="24"/>
          <w:szCs w:val="24"/>
        </w:rPr>
        <w:t xml:space="preserve"> data, which includes new space but which excludes B&amp;Q Ireland and private retailers e.g. IKEA and other smaller independents. It is on a cash sales basis and is adjusted for discounts.</w:t>
      </w:r>
    </w:p>
    <w:p w:rsidR="00E652D5" w:rsidRPr="000045F9" w:rsidRDefault="00E652D5" w:rsidP="00421ED6">
      <w:pPr>
        <w:rPr>
          <w:rFonts w:ascii="Arial" w:hAnsi="Arial" w:cs="Arial"/>
          <w:iCs/>
          <w:sz w:val="24"/>
          <w:szCs w:val="24"/>
        </w:rPr>
      </w:pPr>
    </w:p>
    <w:p w:rsidR="007F02C0" w:rsidRDefault="007F02C0" w:rsidP="00E652D5">
      <w:pPr>
        <w:jc w:val="left"/>
        <w:rPr>
          <w:rFonts w:ascii="Arial" w:hAnsi="Arial" w:cs="Arial"/>
          <w:iCs/>
          <w:sz w:val="24"/>
          <w:szCs w:val="24"/>
        </w:rPr>
      </w:pPr>
      <w:r>
        <w:rPr>
          <w:rFonts w:ascii="Arial" w:hAnsi="Arial" w:cs="Arial"/>
          <w:b/>
          <w:iCs/>
          <w:sz w:val="24"/>
          <w:szCs w:val="24"/>
        </w:rPr>
        <w:t xml:space="preserve">Net cash </w:t>
      </w:r>
      <w:r>
        <w:rPr>
          <w:rFonts w:ascii="Arial" w:hAnsi="Arial" w:cs="Arial"/>
          <w:iCs/>
          <w:sz w:val="24"/>
          <w:szCs w:val="24"/>
        </w:rPr>
        <w:t xml:space="preserve">comprises borrowings and financing derivatives (excluding accrued interest), less cash and cash equivalents and current other investments. </w:t>
      </w:r>
    </w:p>
    <w:p w:rsidR="007F02C0" w:rsidRPr="007678AD" w:rsidRDefault="007F02C0" w:rsidP="00E652D5">
      <w:pPr>
        <w:jc w:val="left"/>
        <w:rPr>
          <w:rFonts w:ascii="Arial" w:hAnsi="Arial" w:cs="Arial"/>
          <w:iCs/>
          <w:sz w:val="24"/>
          <w:szCs w:val="24"/>
        </w:rPr>
      </w:pPr>
    </w:p>
    <w:p w:rsidR="00A83A46" w:rsidRDefault="00A83A46" w:rsidP="00E652D5">
      <w:pPr>
        <w:jc w:val="left"/>
        <w:rPr>
          <w:rFonts w:ascii="Arial" w:hAnsi="Arial" w:cs="Arial"/>
          <w:b/>
          <w:iCs/>
          <w:sz w:val="24"/>
          <w:szCs w:val="24"/>
        </w:rPr>
      </w:pPr>
      <w:r>
        <w:rPr>
          <w:rFonts w:ascii="Arial" w:hAnsi="Arial" w:cs="Arial"/>
          <w:b/>
          <w:iCs/>
          <w:sz w:val="24"/>
          <w:szCs w:val="24"/>
        </w:rPr>
        <w:t xml:space="preserve">Omnichannel </w:t>
      </w:r>
      <w:r w:rsidRPr="00C02E76">
        <w:rPr>
          <w:rFonts w:ascii="Arial" w:hAnsi="Arial" w:cs="Arial"/>
          <w:iCs/>
          <w:sz w:val="24"/>
          <w:szCs w:val="24"/>
        </w:rPr>
        <w:t xml:space="preserve">- allowing customers to shop with us in any way they prefer </w:t>
      </w:r>
      <w:r>
        <w:rPr>
          <w:rFonts w:ascii="Arial" w:hAnsi="Arial" w:cs="Arial"/>
          <w:iCs/>
          <w:sz w:val="24"/>
          <w:szCs w:val="24"/>
        </w:rPr>
        <w:t>(</w:t>
      </w:r>
      <w:r w:rsidRPr="00C02E76">
        <w:rPr>
          <w:rFonts w:ascii="Arial" w:hAnsi="Arial" w:cs="Arial"/>
          <w:iCs/>
          <w:sz w:val="24"/>
          <w:szCs w:val="24"/>
        </w:rPr>
        <w:t>via shops, the internet or catalogues</w:t>
      </w:r>
      <w:r>
        <w:rPr>
          <w:rFonts w:ascii="Arial" w:hAnsi="Arial" w:cs="Arial"/>
          <w:iCs/>
          <w:sz w:val="24"/>
          <w:szCs w:val="24"/>
        </w:rPr>
        <w:t>)</w:t>
      </w:r>
      <w:r w:rsidR="00795AA8">
        <w:rPr>
          <w:rFonts w:ascii="Arial" w:hAnsi="Arial" w:cs="Arial"/>
          <w:iCs/>
          <w:sz w:val="24"/>
          <w:szCs w:val="24"/>
        </w:rPr>
        <w:t>.</w:t>
      </w:r>
    </w:p>
    <w:p w:rsidR="00A83A46" w:rsidRDefault="00A83A46" w:rsidP="00E652D5">
      <w:pPr>
        <w:jc w:val="left"/>
        <w:rPr>
          <w:rFonts w:ascii="Arial" w:hAnsi="Arial" w:cs="Arial"/>
          <w:b/>
          <w:iCs/>
          <w:sz w:val="24"/>
          <w:szCs w:val="24"/>
        </w:rPr>
      </w:pPr>
    </w:p>
    <w:p w:rsidR="008A7B91" w:rsidRDefault="00E652D5" w:rsidP="00E652D5">
      <w:pPr>
        <w:jc w:val="left"/>
        <w:rPr>
          <w:rFonts w:ascii="Arial" w:hAnsi="Arial" w:cs="Arial"/>
          <w:iCs/>
          <w:sz w:val="24"/>
          <w:szCs w:val="24"/>
        </w:rPr>
      </w:pPr>
      <w:r w:rsidRPr="000045F9">
        <w:rPr>
          <w:rFonts w:ascii="Arial" w:hAnsi="Arial" w:cs="Arial"/>
          <w:b/>
          <w:iCs/>
          <w:sz w:val="24"/>
          <w:szCs w:val="24"/>
        </w:rPr>
        <w:t>Other International</w:t>
      </w:r>
      <w:r w:rsidRPr="000045F9">
        <w:rPr>
          <w:rFonts w:ascii="Arial" w:hAnsi="Arial" w:cs="Arial"/>
          <w:iCs/>
          <w:sz w:val="24"/>
          <w:szCs w:val="24"/>
        </w:rPr>
        <w:t xml:space="preserve"> </w:t>
      </w:r>
      <w:r w:rsidR="00F00FB3">
        <w:rPr>
          <w:rFonts w:ascii="Arial" w:hAnsi="Arial" w:cs="Arial"/>
          <w:iCs/>
          <w:sz w:val="24"/>
          <w:szCs w:val="24"/>
        </w:rPr>
        <w:t>consists of</w:t>
      </w:r>
      <w:r w:rsidRPr="000045F9">
        <w:rPr>
          <w:rFonts w:ascii="Arial" w:hAnsi="Arial" w:cs="Arial"/>
          <w:iCs/>
          <w:sz w:val="24"/>
          <w:szCs w:val="24"/>
        </w:rPr>
        <w:t xml:space="preserve"> China, Poland, Romania, Russia, Spain, Turkey</w:t>
      </w:r>
      <w:r w:rsidR="00F00FB3">
        <w:rPr>
          <w:rFonts w:ascii="Arial" w:hAnsi="Arial" w:cs="Arial"/>
          <w:iCs/>
          <w:sz w:val="24"/>
          <w:szCs w:val="24"/>
        </w:rPr>
        <w:t xml:space="preserve"> (</w:t>
      </w:r>
      <w:r w:rsidR="00F00FB3" w:rsidRPr="000045F9">
        <w:rPr>
          <w:rFonts w:ascii="Arial" w:hAnsi="Arial" w:cs="Arial"/>
          <w:iCs/>
          <w:sz w:val="24"/>
          <w:szCs w:val="24"/>
        </w:rPr>
        <w:t>Koçtaş</w:t>
      </w:r>
      <w:r w:rsidRPr="000045F9">
        <w:rPr>
          <w:rFonts w:ascii="Arial" w:hAnsi="Arial" w:cs="Arial"/>
          <w:iCs/>
          <w:sz w:val="24"/>
          <w:szCs w:val="24"/>
        </w:rPr>
        <w:t xml:space="preserve"> JV</w:t>
      </w:r>
      <w:r w:rsidR="00F00FB3">
        <w:rPr>
          <w:rFonts w:ascii="Arial" w:hAnsi="Arial" w:cs="Arial"/>
          <w:iCs/>
          <w:sz w:val="24"/>
          <w:szCs w:val="24"/>
        </w:rPr>
        <w:t>)</w:t>
      </w:r>
      <w:r w:rsidRPr="000045F9">
        <w:rPr>
          <w:rFonts w:ascii="Arial" w:hAnsi="Arial" w:cs="Arial"/>
          <w:iCs/>
          <w:sz w:val="24"/>
          <w:szCs w:val="24"/>
        </w:rPr>
        <w:t xml:space="preserve"> and Hornbach in Germany. </w:t>
      </w:r>
    </w:p>
    <w:p w:rsidR="00BF0801" w:rsidRDefault="00BF0801" w:rsidP="00E652D5">
      <w:pPr>
        <w:jc w:val="left"/>
        <w:rPr>
          <w:rFonts w:ascii="Arial" w:hAnsi="Arial" w:cs="Arial"/>
          <w:iCs/>
          <w:sz w:val="24"/>
          <w:szCs w:val="24"/>
        </w:rPr>
      </w:pPr>
    </w:p>
    <w:p w:rsidR="00421ED6" w:rsidRPr="000045F9" w:rsidRDefault="00421ED6" w:rsidP="00EA6927">
      <w:pPr>
        <w:jc w:val="left"/>
        <w:rPr>
          <w:rFonts w:ascii="Arial" w:hAnsi="Arial" w:cs="Arial"/>
          <w:iCs/>
          <w:sz w:val="24"/>
          <w:szCs w:val="24"/>
        </w:rPr>
      </w:pPr>
      <w:r w:rsidRPr="000045F9">
        <w:rPr>
          <w:rFonts w:ascii="Arial" w:hAnsi="Arial" w:cs="Arial"/>
          <w:b/>
          <w:iCs/>
          <w:sz w:val="24"/>
          <w:szCs w:val="24"/>
        </w:rPr>
        <w:t>Retail profit</w:t>
      </w:r>
      <w:r w:rsidRPr="000045F9">
        <w:rPr>
          <w:rFonts w:ascii="Arial" w:hAnsi="Arial" w:cs="Arial"/>
          <w:iCs/>
          <w:sz w:val="24"/>
          <w:szCs w:val="24"/>
        </w:rPr>
        <w:t xml:space="preserve"> is operating profit stated before central costs, exceptional items, amortisation of acquisition intangibles and the Group’s share of interest and tax of JVs and associates. 2012/13 Group and UK retail profit comparatives restated by £3</w:t>
      </w:r>
      <w:r w:rsidR="008A7B91">
        <w:rPr>
          <w:rFonts w:ascii="Arial" w:hAnsi="Arial" w:cs="Arial"/>
          <w:iCs/>
          <w:sz w:val="24"/>
          <w:szCs w:val="24"/>
        </w:rPr>
        <w:t xml:space="preserve"> </w:t>
      </w:r>
      <w:r w:rsidRPr="000045F9">
        <w:rPr>
          <w:rFonts w:ascii="Arial" w:hAnsi="Arial" w:cs="Arial"/>
          <w:iCs/>
          <w:sz w:val="24"/>
          <w:szCs w:val="24"/>
        </w:rPr>
        <w:t>m</w:t>
      </w:r>
      <w:r w:rsidR="008A7B91">
        <w:rPr>
          <w:rFonts w:ascii="Arial" w:hAnsi="Arial" w:cs="Arial"/>
          <w:iCs/>
          <w:sz w:val="24"/>
          <w:szCs w:val="24"/>
        </w:rPr>
        <w:t>illion</w:t>
      </w:r>
      <w:r w:rsidRPr="000045F9">
        <w:rPr>
          <w:rFonts w:ascii="Arial" w:hAnsi="Arial" w:cs="Arial"/>
          <w:iCs/>
          <w:sz w:val="24"/>
          <w:szCs w:val="24"/>
        </w:rPr>
        <w:t xml:space="preserve"> to reflect reclassification of pension administrative expenses from finance costs to retail profit in the UK, as per the amended IAS 19.</w:t>
      </w:r>
    </w:p>
    <w:p w:rsidR="00421ED6" w:rsidRPr="000045F9" w:rsidRDefault="00421ED6" w:rsidP="00421ED6">
      <w:pPr>
        <w:tabs>
          <w:tab w:val="left" w:pos="357"/>
        </w:tabs>
        <w:ind w:right="-282"/>
        <w:jc w:val="left"/>
        <w:rPr>
          <w:rFonts w:ascii="Arial" w:hAnsi="Arial" w:cs="Arial"/>
          <w:b/>
          <w:sz w:val="24"/>
          <w:szCs w:val="24"/>
        </w:rPr>
      </w:pPr>
    </w:p>
    <w:p w:rsidR="008A7B91" w:rsidRDefault="00421ED6" w:rsidP="00421ED6">
      <w:pPr>
        <w:tabs>
          <w:tab w:val="left" w:pos="357"/>
        </w:tabs>
        <w:ind w:right="-282"/>
        <w:jc w:val="left"/>
        <w:rPr>
          <w:rFonts w:ascii="Arial" w:hAnsi="Arial" w:cs="Arial"/>
          <w:iCs/>
          <w:sz w:val="24"/>
          <w:szCs w:val="24"/>
        </w:rPr>
      </w:pPr>
      <w:r w:rsidRPr="000045F9">
        <w:rPr>
          <w:rFonts w:ascii="Arial" w:hAnsi="Arial" w:cs="Arial"/>
          <w:b/>
          <w:sz w:val="24"/>
          <w:szCs w:val="24"/>
        </w:rPr>
        <w:t>Sales</w:t>
      </w:r>
      <w:r w:rsidRPr="000045F9">
        <w:rPr>
          <w:rFonts w:ascii="Arial" w:hAnsi="Arial" w:cs="Arial"/>
          <w:iCs/>
          <w:sz w:val="24"/>
          <w:szCs w:val="24"/>
        </w:rPr>
        <w:t xml:space="preserve"> </w:t>
      </w:r>
    </w:p>
    <w:p w:rsidR="00421ED6" w:rsidRPr="000045F9" w:rsidRDefault="00421ED6" w:rsidP="00421ED6">
      <w:pPr>
        <w:tabs>
          <w:tab w:val="left" w:pos="357"/>
        </w:tabs>
        <w:ind w:right="-282"/>
        <w:jc w:val="left"/>
        <w:rPr>
          <w:rFonts w:ascii="Arial" w:hAnsi="Arial" w:cs="Arial"/>
          <w:iCs/>
          <w:sz w:val="24"/>
          <w:szCs w:val="24"/>
        </w:rPr>
      </w:pPr>
      <w:r w:rsidRPr="000045F9">
        <w:rPr>
          <w:rFonts w:ascii="Arial" w:hAnsi="Arial" w:cs="Arial"/>
          <w:iCs/>
          <w:sz w:val="24"/>
          <w:szCs w:val="24"/>
        </w:rPr>
        <w:t xml:space="preserve">Joint Venture (Koçtaş JV) and Associate (Hornbach) sales are not consolidated. </w:t>
      </w:r>
    </w:p>
    <w:p w:rsidR="00234FFB" w:rsidRDefault="00234FFB" w:rsidP="00EA6927">
      <w:pPr>
        <w:jc w:val="left"/>
        <w:rPr>
          <w:rFonts w:ascii="Arial" w:hAnsi="Arial" w:cs="Arial"/>
          <w:b/>
          <w:iCs/>
          <w:sz w:val="24"/>
          <w:szCs w:val="24"/>
        </w:rPr>
      </w:pPr>
      <w:bookmarkStart w:id="10" w:name="OLE_LINK9"/>
      <w:bookmarkStart w:id="11" w:name="OLE_LINK10"/>
    </w:p>
    <w:p w:rsidR="008A7B91" w:rsidRDefault="00310C83" w:rsidP="00EA6927">
      <w:pPr>
        <w:jc w:val="left"/>
        <w:rPr>
          <w:rFonts w:ascii="Arial" w:hAnsi="Arial" w:cs="Arial"/>
          <w:b/>
          <w:iCs/>
          <w:sz w:val="24"/>
          <w:szCs w:val="24"/>
        </w:rPr>
      </w:pPr>
      <w:r w:rsidRPr="000045F9">
        <w:rPr>
          <w:rFonts w:ascii="Arial" w:hAnsi="Arial" w:cs="Arial"/>
          <w:b/>
          <w:iCs/>
          <w:sz w:val="24"/>
          <w:szCs w:val="24"/>
        </w:rPr>
        <w:t>Smaller tradesman market</w:t>
      </w:r>
      <w:r w:rsidR="000045F9">
        <w:rPr>
          <w:rFonts w:ascii="Arial" w:hAnsi="Arial" w:cs="Arial"/>
          <w:b/>
          <w:iCs/>
          <w:sz w:val="24"/>
          <w:szCs w:val="24"/>
        </w:rPr>
        <w:t xml:space="preserve"> </w:t>
      </w:r>
    </w:p>
    <w:p w:rsidR="00310C83" w:rsidRDefault="00310C83" w:rsidP="00EA6927">
      <w:pPr>
        <w:jc w:val="left"/>
        <w:rPr>
          <w:rFonts w:ascii="Arial" w:hAnsi="Arial" w:cs="Arial"/>
          <w:iCs/>
          <w:sz w:val="24"/>
          <w:szCs w:val="24"/>
        </w:rPr>
      </w:pPr>
      <w:r w:rsidRPr="000045F9">
        <w:rPr>
          <w:rFonts w:ascii="Arial" w:hAnsi="Arial" w:cs="Arial"/>
          <w:iCs/>
          <w:sz w:val="24"/>
          <w:szCs w:val="24"/>
        </w:rPr>
        <w:t xml:space="preserve">Kingfisher estimate </w:t>
      </w:r>
      <w:r w:rsidR="000045F9">
        <w:rPr>
          <w:rFonts w:ascii="Arial" w:hAnsi="Arial" w:cs="Arial"/>
          <w:iCs/>
          <w:sz w:val="24"/>
          <w:szCs w:val="24"/>
        </w:rPr>
        <w:t>for the UK smaller tradesman market i</w:t>
      </w:r>
      <w:r w:rsidR="000E3241">
        <w:rPr>
          <w:rFonts w:ascii="Arial" w:hAnsi="Arial" w:cs="Arial"/>
          <w:iCs/>
          <w:sz w:val="24"/>
          <w:szCs w:val="24"/>
        </w:rPr>
        <w:t>s a weighted</w:t>
      </w:r>
      <w:r w:rsidRPr="000045F9">
        <w:rPr>
          <w:rFonts w:ascii="Arial" w:hAnsi="Arial" w:cs="Arial"/>
          <w:iCs/>
          <w:sz w:val="24"/>
          <w:szCs w:val="24"/>
        </w:rPr>
        <w:t xml:space="preserve"> average </w:t>
      </w:r>
      <w:r w:rsidR="000E3241">
        <w:rPr>
          <w:rFonts w:ascii="Arial" w:hAnsi="Arial" w:cs="Arial"/>
          <w:iCs/>
          <w:sz w:val="24"/>
          <w:szCs w:val="24"/>
        </w:rPr>
        <w:t xml:space="preserve">incorporating 70% trade (using the most recent public data available for the big </w:t>
      </w:r>
      <w:r w:rsidR="000E3241" w:rsidRPr="000045F9">
        <w:rPr>
          <w:rFonts w:ascii="Arial" w:hAnsi="Arial" w:cs="Arial"/>
          <w:iCs/>
          <w:sz w:val="24"/>
          <w:szCs w:val="24"/>
        </w:rPr>
        <w:t>trade merchants</w:t>
      </w:r>
      <w:r w:rsidR="000E3241">
        <w:rPr>
          <w:rFonts w:ascii="Arial" w:hAnsi="Arial" w:cs="Arial"/>
          <w:iCs/>
          <w:sz w:val="24"/>
          <w:szCs w:val="24"/>
        </w:rPr>
        <w:t xml:space="preserve"> as a proxy) and 30% DIY (using the </w:t>
      </w:r>
      <w:r w:rsidRPr="000045F9">
        <w:rPr>
          <w:rFonts w:ascii="Arial" w:hAnsi="Arial" w:cs="Arial"/>
          <w:iCs/>
          <w:sz w:val="24"/>
          <w:szCs w:val="24"/>
        </w:rPr>
        <w:t>UK RMI</w:t>
      </w:r>
      <w:r w:rsidR="000E3241">
        <w:rPr>
          <w:rFonts w:ascii="Arial" w:hAnsi="Arial" w:cs="Arial"/>
          <w:iCs/>
          <w:sz w:val="24"/>
          <w:szCs w:val="24"/>
        </w:rPr>
        <w:t xml:space="preserve"> (Repairs, Maintenance &amp; Improvement) </w:t>
      </w:r>
      <w:proofErr w:type="spellStart"/>
      <w:r w:rsidR="000E3241">
        <w:rPr>
          <w:rFonts w:ascii="Arial" w:hAnsi="Arial" w:cs="Arial"/>
          <w:iCs/>
          <w:sz w:val="24"/>
          <w:szCs w:val="24"/>
        </w:rPr>
        <w:t>GfK</w:t>
      </w:r>
      <w:proofErr w:type="spellEnd"/>
      <w:r w:rsidR="000E3241">
        <w:rPr>
          <w:rFonts w:ascii="Arial" w:hAnsi="Arial" w:cs="Arial"/>
          <w:iCs/>
          <w:sz w:val="24"/>
          <w:szCs w:val="24"/>
        </w:rPr>
        <w:t xml:space="preserve"> large chain (shed) data).</w:t>
      </w:r>
      <w:r w:rsidR="000045F9">
        <w:rPr>
          <w:rFonts w:ascii="Arial" w:hAnsi="Arial" w:cs="Arial"/>
          <w:iCs/>
          <w:sz w:val="24"/>
          <w:szCs w:val="24"/>
        </w:rPr>
        <w:t xml:space="preserve"> </w:t>
      </w:r>
    </w:p>
    <w:p w:rsidR="00A83A46" w:rsidRDefault="00A83A46" w:rsidP="00EA6927">
      <w:pPr>
        <w:jc w:val="left"/>
        <w:rPr>
          <w:rFonts w:ascii="Arial" w:hAnsi="Arial" w:cs="Arial"/>
          <w:iCs/>
          <w:sz w:val="24"/>
          <w:szCs w:val="24"/>
        </w:rPr>
      </w:pPr>
    </w:p>
    <w:p w:rsidR="00A83A46" w:rsidRPr="00C02E76" w:rsidRDefault="00A83A46" w:rsidP="00EA6927">
      <w:pPr>
        <w:jc w:val="left"/>
        <w:rPr>
          <w:rFonts w:ascii="Arial" w:hAnsi="Arial" w:cs="Arial"/>
          <w:b/>
          <w:iCs/>
          <w:sz w:val="24"/>
          <w:szCs w:val="24"/>
        </w:rPr>
      </w:pPr>
      <w:r w:rsidRPr="00C02E76">
        <w:rPr>
          <w:rFonts w:ascii="Arial" w:hAnsi="Arial" w:cs="Arial"/>
          <w:b/>
          <w:iCs/>
          <w:sz w:val="24"/>
          <w:szCs w:val="24"/>
        </w:rPr>
        <w:t>TradePoint</w:t>
      </w:r>
    </w:p>
    <w:bookmarkEnd w:id="10"/>
    <w:bookmarkEnd w:id="11"/>
    <w:p w:rsidR="00310C83" w:rsidRPr="00C02E76" w:rsidRDefault="00A83A46" w:rsidP="00C02E76">
      <w:pPr>
        <w:jc w:val="left"/>
        <w:rPr>
          <w:rFonts w:ascii="Arial" w:hAnsi="Arial" w:cs="Arial"/>
          <w:iCs/>
          <w:sz w:val="24"/>
          <w:szCs w:val="24"/>
        </w:rPr>
      </w:pPr>
      <w:r w:rsidRPr="00C02E76">
        <w:rPr>
          <w:rFonts w:ascii="Arial" w:hAnsi="Arial" w:cs="Arial"/>
          <w:iCs/>
          <w:sz w:val="24"/>
          <w:szCs w:val="24"/>
        </w:rPr>
        <w:t xml:space="preserve">B&amp;Q UK &amp; Ireland’s ‘trade-only’ </w:t>
      </w:r>
      <w:r w:rsidR="00B312FA">
        <w:rPr>
          <w:rFonts w:ascii="Arial" w:hAnsi="Arial" w:cs="Arial"/>
          <w:iCs/>
          <w:sz w:val="24"/>
          <w:szCs w:val="24"/>
        </w:rPr>
        <w:t>offer.</w:t>
      </w:r>
    </w:p>
    <w:p w:rsidR="00A83A46" w:rsidRPr="000045F9" w:rsidRDefault="00A83A46" w:rsidP="00421ED6">
      <w:pPr>
        <w:rPr>
          <w:rFonts w:ascii="Arial" w:hAnsi="Arial" w:cs="Arial"/>
          <w:b/>
          <w:iCs/>
          <w:sz w:val="24"/>
          <w:szCs w:val="24"/>
        </w:rPr>
      </w:pPr>
    </w:p>
    <w:p w:rsidR="00E652D5" w:rsidRPr="000045F9" w:rsidRDefault="00E652D5" w:rsidP="00E652D5">
      <w:pPr>
        <w:jc w:val="left"/>
        <w:rPr>
          <w:rFonts w:ascii="Arial" w:hAnsi="Arial" w:cs="Arial"/>
          <w:iCs/>
          <w:sz w:val="24"/>
          <w:szCs w:val="24"/>
        </w:rPr>
      </w:pPr>
      <w:r w:rsidRPr="000045F9">
        <w:rPr>
          <w:rFonts w:ascii="Arial" w:hAnsi="Arial" w:cs="Arial"/>
          <w:b/>
          <w:iCs/>
          <w:sz w:val="24"/>
          <w:szCs w:val="24"/>
        </w:rPr>
        <w:t>UK &amp; Ireland</w:t>
      </w:r>
      <w:r w:rsidRPr="000045F9">
        <w:rPr>
          <w:rFonts w:ascii="Arial" w:hAnsi="Arial" w:cs="Arial"/>
          <w:iCs/>
          <w:sz w:val="24"/>
          <w:szCs w:val="24"/>
        </w:rPr>
        <w:t xml:space="preserve"> </w:t>
      </w:r>
      <w:r w:rsidR="00D71302">
        <w:rPr>
          <w:rFonts w:ascii="Arial" w:hAnsi="Arial" w:cs="Arial"/>
          <w:iCs/>
          <w:sz w:val="24"/>
          <w:szCs w:val="24"/>
        </w:rPr>
        <w:t>consists of</w:t>
      </w:r>
      <w:r w:rsidRPr="000045F9">
        <w:rPr>
          <w:rFonts w:ascii="Arial" w:hAnsi="Arial" w:cs="Arial"/>
          <w:iCs/>
          <w:sz w:val="24"/>
          <w:szCs w:val="24"/>
        </w:rPr>
        <w:t xml:space="preserve"> B&amp;Q in the UK &amp; Ireland and Screwfix</w:t>
      </w:r>
      <w:r w:rsidR="000045F9">
        <w:rPr>
          <w:rFonts w:ascii="Arial" w:hAnsi="Arial" w:cs="Arial"/>
          <w:iCs/>
          <w:sz w:val="24"/>
          <w:szCs w:val="24"/>
        </w:rPr>
        <w:t>.</w:t>
      </w:r>
    </w:p>
    <w:p w:rsidR="00E652D5" w:rsidRPr="000045F9" w:rsidRDefault="00E652D5" w:rsidP="00421ED6">
      <w:pPr>
        <w:rPr>
          <w:rFonts w:ascii="Arial" w:hAnsi="Arial" w:cs="Arial"/>
          <w:b/>
          <w:iCs/>
          <w:sz w:val="24"/>
          <w:szCs w:val="24"/>
        </w:rPr>
      </w:pPr>
    </w:p>
    <w:p w:rsidR="00181E03" w:rsidRPr="0026648B" w:rsidRDefault="00421ED6" w:rsidP="00824608">
      <w:pPr>
        <w:jc w:val="left"/>
        <w:rPr>
          <w:rFonts w:ascii="Arial" w:hAnsi="Arial" w:cs="Arial"/>
          <w:b/>
          <w:bCs/>
          <w:sz w:val="24"/>
          <w:szCs w:val="24"/>
        </w:rPr>
      </w:pPr>
      <w:r>
        <w:rPr>
          <w:rFonts w:ascii="Arial" w:hAnsi="Arial" w:cs="Arial"/>
          <w:b/>
          <w:bCs/>
          <w:sz w:val="24"/>
          <w:szCs w:val="24"/>
        </w:rPr>
        <w:br w:type="page"/>
      </w:r>
      <w:r w:rsidR="00181E03" w:rsidRPr="0026648B">
        <w:rPr>
          <w:rFonts w:ascii="Arial" w:hAnsi="Arial" w:cs="Arial"/>
          <w:b/>
          <w:bCs/>
          <w:sz w:val="24"/>
          <w:szCs w:val="24"/>
        </w:rPr>
        <w:t>Forward-looking statements</w:t>
      </w:r>
    </w:p>
    <w:p w:rsidR="00181E03" w:rsidRPr="0026648B" w:rsidRDefault="00181E03" w:rsidP="006E52BD">
      <w:pPr>
        <w:jc w:val="left"/>
        <w:rPr>
          <w:rFonts w:ascii="Arial" w:hAnsi="Arial" w:cs="Arial"/>
          <w:sz w:val="24"/>
          <w:szCs w:val="24"/>
        </w:rPr>
      </w:pPr>
    </w:p>
    <w:p w:rsidR="0026648B" w:rsidRPr="000F03E3" w:rsidRDefault="0026648B" w:rsidP="0026648B">
      <w:pPr>
        <w:jc w:val="left"/>
        <w:rPr>
          <w:rFonts w:ascii="Arial" w:hAnsi="Arial" w:cs="Arial"/>
        </w:rPr>
      </w:pPr>
      <w:r w:rsidRPr="000F03E3">
        <w:rPr>
          <w:rFonts w:ascii="Arial" w:hAnsi="Arial" w:cs="Arial"/>
          <w:sz w:val="24"/>
          <w:szCs w:val="24"/>
        </w:rPr>
        <w:t xml:space="preserve">This </w:t>
      </w:r>
      <w:r>
        <w:rPr>
          <w:rFonts w:ascii="Arial" w:hAnsi="Arial" w:cs="Arial"/>
          <w:sz w:val="24"/>
          <w:szCs w:val="24"/>
        </w:rPr>
        <w:t>announcement</w:t>
      </w:r>
      <w:r w:rsidRPr="000F03E3">
        <w:rPr>
          <w:rFonts w:ascii="Arial" w:hAnsi="Arial" w:cs="Arial"/>
          <w:sz w:val="24"/>
          <w:szCs w:val="24"/>
        </w:rPr>
        <w:t xml:space="preserve"> contains certain statements that are forward-looking and </w:t>
      </w:r>
      <w:r>
        <w:rPr>
          <w:rFonts w:ascii="Arial" w:hAnsi="Arial" w:cs="Arial"/>
          <w:sz w:val="24"/>
          <w:szCs w:val="24"/>
        </w:rPr>
        <w:t xml:space="preserve">which should be considered, amongst other statutory provisions, in light of the safe harbour provisions of the United States Private Securities Litigation Reform Act of 1995. All statements other than statements of historical facts may be forward-looking statements.  Such statements </w:t>
      </w:r>
      <w:r w:rsidRPr="000F03E3">
        <w:rPr>
          <w:rFonts w:ascii="Arial" w:hAnsi="Arial" w:cs="Arial"/>
          <w:sz w:val="24"/>
          <w:szCs w:val="24"/>
        </w:rPr>
        <w:t>are</w:t>
      </w:r>
      <w:r>
        <w:rPr>
          <w:rFonts w:ascii="Arial" w:hAnsi="Arial" w:cs="Arial"/>
          <w:sz w:val="24"/>
          <w:szCs w:val="24"/>
        </w:rPr>
        <w:t xml:space="preserve">, </w:t>
      </w:r>
      <w:r w:rsidRPr="000F03E3">
        <w:rPr>
          <w:rFonts w:ascii="Arial" w:hAnsi="Arial" w:cs="Arial"/>
          <w:sz w:val="24"/>
          <w:szCs w:val="24"/>
        </w:rPr>
        <w:t>therefore</w:t>
      </w:r>
      <w:r>
        <w:rPr>
          <w:rFonts w:ascii="Arial" w:hAnsi="Arial" w:cs="Arial"/>
          <w:sz w:val="24"/>
          <w:szCs w:val="24"/>
        </w:rPr>
        <w:t>,</w:t>
      </w:r>
      <w:r w:rsidRPr="000F03E3">
        <w:rPr>
          <w:rFonts w:ascii="Arial" w:hAnsi="Arial" w:cs="Arial"/>
          <w:sz w:val="24"/>
          <w:szCs w:val="24"/>
        </w:rPr>
        <w:t xml:space="preserve"> subject to risks, assumptions and uncertainties that could cause actual results to differ materially from those expressed or implied because they relate to future events. These forward-looking statements include, but are not limited to, statements </w:t>
      </w:r>
      <w:bookmarkStart w:id="12" w:name="OLE_LINK7"/>
      <w:bookmarkStart w:id="13" w:name="OLE_LINK8"/>
      <w:r w:rsidRPr="000F03E3">
        <w:rPr>
          <w:rFonts w:ascii="Arial" w:hAnsi="Arial" w:cs="Arial"/>
          <w:sz w:val="24"/>
          <w:szCs w:val="24"/>
        </w:rPr>
        <w:t xml:space="preserve">relating to the Company’s expectations around the </w:t>
      </w:r>
      <w:r>
        <w:rPr>
          <w:rFonts w:ascii="Arial" w:hAnsi="Arial" w:cs="Arial"/>
          <w:sz w:val="24"/>
          <w:szCs w:val="24"/>
        </w:rPr>
        <w:t>C</w:t>
      </w:r>
      <w:r w:rsidRPr="000F03E3">
        <w:rPr>
          <w:rFonts w:ascii="Arial" w:hAnsi="Arial" w:cs="Arial"/>
          <w:sz w:val="24"/>
          <w:szCs w:val="24"/>
        </w:rPr>
        <w:t xml:space="preserve">ompany’s </w:t>
      </w:r>
      <w:r>
        <w:rPr>
          <w:rFonts w:ascii="Arial" w:hAnsi="Arial" w:cs="Arial"/>
          <w:sz w:val="24"/>
          <w:szCs w:val="24"/>
        </w:rPr>
        <w:t>programme</w:t>
      </w:r>
      <w:r w:rsidRPr="000F03E3">
        <w:rPr>
          <w:rFonts w:ascii="Arial" w:hAnsi="Arial" w:cs="Arial"/>
          <w:sz w:val="24"/>
          <w:szCs w:val="24"/>
        </w:rPr>
        <w:t xml:space="preserve"> known as ‘Creating the Leader’ and its associated eight steps.</w:t>
      </w:r>
      <w:r w:rsidRPr="000F03E3">
        <w:rPr>
          <w:rFonts w:ascii="Arial" w:hAnsi="Arial" w:cs="Arial"/>
        </w:rPr>
        <w:t xml:space="preserve"> </w:t>
      </w:r>
      <w:bookmarkEnd w:id="12"/>
      <w:bookmarkEnd w:id="13"/>
    </w:p>
    <w:p w:rsidR="0026648B" w:rsidRPr="000F03E3" w:rsidRDefault="0026648B" w:rsidP="0026648B">
      <w:pPr>
        <w:jc w:val="left"/>
        <w:rPr>
          <w:rFonts w:ascii="Arial" w:hAnsi="Arial" w:cs="Arial"/>
          <w:sz w:val="24"/>
          <w:szCs w:val="24"/>
        </w:rPr>
      </w:pPr>
    </w:p>
    <w:p w:rsidR="0026648B" w:rsidRPr="00D05830" w:rsidRDefault="0026648B" w:rsidP="0026648B">
      <w:pPr>
        <w:jc w:val="left"/>
        <w:rPr>
          <w:rFonts w:ascii="Arial" w:hAnsi="Arial" w:cs="Arial"/>
          <w:sz w:val="24"/>
          <w:szCs w:val="24"/>
        </w:rPr>
      </w:pPr>
      <w:r w:rsidRPr="000F03E3">
        <w:rPr>
          <w:rFonts w:ascii="Arial" w:hAnsi="Arial" w:cs="Arial"/>
          <w:sz w:val="24"/>
          <w:szCs w:val="24"/>
        </w:rPr>
        <w:t>Forward-looking statements can be identified by the use of relevant terminology including the words: “believes”, “estimates”, “anticipates”, “expects”, “intends”, “plans”, “goal”, “target”, “aim”, “may”, “will”, “would”, “could” or “should” or, in each case, their negative or other variations or comparable terminology and include all matters that are not historical facts</w:t>
      </w:r>
      <w:r w:rsidRPr="00D05830">
        <w:rPr>
          <w:rFonts w:ascii="Arial" w:hAnsi="Arial" w:cs="Arial"/>
          <w:sz w:val="24"/>
          <w:szCs w:val="24"/>
        </w:rPr>
        <w:t>. They appear in a number of places throughout this press release and include statements regarding our intentions, beliefs or current expectations and those of our officers, directors and employees concerning, amongst other things, our results of operations, financial condition, changes in tax rates, liquidity, prospects, growth, strategies and the businesses we operate.</w:t>
      </w:r>
    </w:p>
    <w:p w:rsidR="0026648B" w:rsidRPr="000F03E3" w:rsidRDefault="0026648B" w:rsidP="0026648B">
      <w:pPr>
        <w:jc w:val="left"/>
        <w:rPr>
          <w:rFonts w:ascii="Arial" w:hAnsi="Arial" w:cs="Arial"/>
          <w:sz w:val="24"/>
          <w:szCs w:val="24"/>
        </w:rPr>
      </w:pPr>
    </w:p>
    <w:p w:rsidR="0026648B" w:rsidRPr="000F03E3" w:rsidRDefault="0026648B" w:rsidP="0026648B">
      <w:pPr>
        <w:jc w:val="left"/>
        <w:rPr>
          <w:rFonts w:ascii="Arial" w:hAnsi="Arial" w:cs="Arial"/>
          <w:sz w:val="24"/>
          <w:szCs w:val="24"/>
        </w:rPr>
      </w:pPr>
      <w:r w:rsidRPr="000F03E3">
        <w:rPr>
          <w:rFonts w:ascii="Arial" w:hAnsi="Arial" w:cs="Arial"/>
          <w:sz w:val="24"/>
          <w:szCs w:val="24"/>
        </w:rPr>
        <w:t>Other factors that could cause actual results to differ materially from those estimated by the forward-looking statements include, but are not limited to, global economic business conditions, monetary and interest rate policies, foreign currency exchange rates, equity and property prices, the impact of competition, inflation and deflation, changes to regulations, taxes and legislation, changes to consumer saving and spending habits; and our success in managing these factors.</w:t>
      </w:r>
    </w:p>
    <w:p w:rsidR="0026648B" w:rsidRPr="000F03E3" w:rsidRDefault="0026648B" w:rsidP="0026648B">
      <w:pPr>
        <w:jc w:val="left"/>
        <w:rPr>
          <w:rFonts w:ascii="Arial" w:hAnsi="Arial" w:cs="Arial"/>
          <w:sz w:val="24"/>
          <w:szCs w:val="24"/>
        </w:rPr>
      </w:pPr>
    </w:p>
    <w:p w:rsidR="0026648B" w:rsidRPr="000F03E3" w:rsidRDefault="0026648B" w:rsidP="0026648B">
      <w:pPr>
        <w:jc w:val="left"/>
        <w:rPr>
          <w:rFonts w:ascii="Arial" w:hAnsi="Arial" w:cs="Arial"/>
          <w:sz w:val="24"/>
          <w:szCs w:val="24"/>
        </w:rPr>
      </w:pPr>
      <w:r w:rsidRPr="000F03E3">
        <w:rPr>
          <w:rFonts w:ascii="Arial" w:hAnsi="Arial" w:cs="Arial"/>
          <w:sz w:val="24"/>
          <w:szCs w:val="24"/>
        </w:rPr>
        <w:t>Consequently, our actual future financial condition, performance and results could differ materially from the plans, goals and expectations set out in our forward-looking statements</w:t>
      </w:r>
      <w:r>
        <w:rPr>
          <w:rFonts w:ascii="Arial" w:hAnsi="Arial" w:cs="Arial"/>
          <w:sz w:val="24"/>
          <w:szCs w:val="24"/>
        </w:rPr>
        <w:t>. We urge you to read our annual report and other company reports, including the risk factors contained therein, for a more detailed discussion of the factors that could affect our future performance and the industry in which we operate. R</w:t>
      </w:r>
      <w:r w:rsidRPr="000F03E3">
        <w:rPr>
          <w:rFonts w:ascii="Arial" w:hAnsi="Arial" w:cs="Arial"/>
          <w:sz w:val="24"/>
          <w:szCs w:val="24"/>
        </w:rPr>
        <w:t>eliance should not be placed on any forward</w:t>
      </w:r>
      <w:r>
        <w:rPr>
          <w:rFonts w:ascii="Arial" w:hAnsi="Arial" w:cs="Arial"/>
          <w:sz w:val="24"/>
          <w:szCs w:val="24"/>
        </w:rPr>
        <w:t>-</w:t>
      </w:r>
      <w:r w:rsidRPr="000F03E3">
        <w:rPr>
          <w:rFonts w:ascii="Arial" w:hAnsi="Arial" w:cs="Arial"/>
          <w:sz w:val="24"/>
          <w:szCs w:val="24"/>
        </w:rPr>
        <w:t xml:space="preserve">looking statement. </w:t>
      </w:r>
      <w:r>
        <w:rPr>
          <w:rFonts w:ascii="Arial" w:hAnsi="Arial" w:cs="Arial"/>
          <w:sz w:val="24"/>
          <w:szCs w:val="24"/>
        </w:rPr>
        <w:t>Our forward looking statements speak only as of the date of this press release and t</w:t>
      </w:r>
      <w:r w:rsidRPr="000F03E3">
        <w:rPr>
          <w:rFonts w:ascii="Arial" w:hAnsi="Arial" w:cs="Arial"/>
          <w:sz w:val="24"/>
          <w:szCs w:val="24"/>
        </w:rPr>
        <w:t xml:space="preserve">he Company undertakes no obligation to publicly update any forward-looking statement, whether as a result of new information, future events or otherwise. Nothing in this press release should be construed as a profit forecast. </w:t>
      </w:r>
    </w:p>
    <w:p w:rsidR="00181E03" w:rsidRPr="0026648B" w:rsidRDefault="00181E03" w:rsidP="0026648B">
      <w:pPr>
        <w:jc w:val="left"/>
        <w:rPr>
          <w:rFonts w:cs="Times New Roman"/>
        </w:rPr>
      </w:pPr>
    </w:p>
    <w:sectPr w:rsidR="00181E03" w:rsidRPr="0026648B" w:rsidSect="00930C11">
      <w:headerReference w:type="default" r:id="rId10"/>
      <w:footerReference w:type="default" r:id="rId11"/>
      <w:type w:val="continuous"/>
      <w:pgSz w:w="11909" w:h="16834" w:code="9"/>
      <w:pgMar w:top="1077" w:right="1134" w:bottom="720" w:left="1134" w:header="11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39" w:rsidRDefault="00191239">
      <w:pPr>
        <w:rPr>
          <w:rFonts w:cs="Times New Roman"/>
        </w:rPr>
      </w:pPr>
      <w:r>
        <w:rPr>
          <w:rFonts w:cs="Times New Roman"/>
        </w:rPr>
        <w:separator/>
      </w:r>
    </w:p>
  </w:endnote>
  <w:endnote w:type="continuationSeparator" w:id="0">
    <w:p w:rsidR="00191239" w:rsidRDefault="001912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Avenir 35"/>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Trade Gothic LT Std Bold">
    <w:panose1 w:val="00000000000000000000"/>
    <w:charset w:val="00"/>
    <w:family w:val="modern"/>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57898"/>
      <w:docPartObj>
        <w:docPartGallery w:val="Page Numbers (Bottom of Page)"/>
        <w:docPartUnique/>
      </w:docPartObj>
    </w:sdtPr>
    <w:sdtEndPr>
      <w:rPr>
        <w:noProof/>
      </w:rPr>
    </w:sdtEndPr>
    <w:sdtContent>
      <w:p w:rsidR="00191239" w:rsidRDefault="00191239">
        <w:pPr>
          <w:pStyle w:val="Footer"/>
          <w:jc w:val="right"/>
        </w:pPr>
        <w:r>
          <w:fldChar w:fldCharType="begin"/>
        </w:r>
        <w:r>
          <w:instrText xml:space="preserve"> PAGE   \* MERGEFORMAT </w:instrText>
        </w:r>
        <w:r>
          <w:fldChar w:fldCharType="separate"/>
        </w:r>
        <w:r w:rsidR="00AD3C97">
          <w:rPr>
            <w:noProof/>
          </w:rPr>
          <w:t>23</w:t>
        </w:r>
        <w:r>
          <w:rPr>
            <w:noProof/>
          </w:rPr>
          <w:fldChar w:fldCharType="end"/>
        </w:r>
      </w:p>
    </w:sdtContent>
  </w:sdt>
  <w:p w:rsidR="00191239" w:rsidRPr="00930C11" w:rsidRDefault="00191239" w:rsidP="00965768">
    <w:pPr>
      <w:pStyle w:val="Footer"/>
      <w:ind w:right="360"/>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39" w:rsidRDefault="00191239">
      <w:pPr>
        <w:rPr>
          <w:rFonts w:cs="Times New Roman"/>
        </w:rPr>
      </w:pPr>
      <w:r>
        <w:rPr>
          <w:rFonts w:cs="Times New Roman"/>
        </w:rPr>
        <w:separator/>
      </w:r>
    </w:p>
  </w:footnote>
  <w:footnote w:type="continuationSeparator" w:id="0">
    <w:p w:rsidR="00191239" w:rsidRDefault="0019123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39" w:rsidRDefault="00191239" w:rsidP="00341E1C">
    <w:pPr>
      <w:pStyle w:val="Header"/>
      <w:jc w:val="center"/>
    </w:pPr>
  </w:p>
  <w:p w:rsidR="00191239" w:rsidRPr="00341E1C" w:rsidRDefault="00191239">
    <w:pPr>
      <w:pStyle w:val="Header"/>
      <w:jc w:val="center"/>
    </w:pPr>
    <w:r>
      <w:rPr>
        <w:noProof/>
      </w:rPr>
      <w:drawing>
        <wp:inline distT="0" distB="0" distL="0" distR="0" wp14:anchorId="682B7F29" wp14:editId="67BA3942">
          <wp:extent cx="1219200" cy="377461"/>
          <wp:effectExtent l="0" t="0" r="0" b="381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223971" cy="3789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1">
    <w:nsid w:val="09ED7FE0"/>
    <w:multiLevelType w:val="hybridMultilevel"/>
    <w:tmpl w:val="1346C1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B942FF"/>
    <w:multiLevelType w:val="hybridMultilevel"/>
    <w:tmpl w:val="D70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A4B3A"/>
    <w:multiLevelType w:val="hybridMultilevel"/>
    <w:tmpl w:val="67883BC4"/>
    <w:lvl w:ilvl="0" w:tplc="613E1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12799"/>
    <w:multiLevelType w:val="hybridMultilevel"/>
    <w:tmpl w:val="8A0C4EAA"/>
    <w:lvl w:ilvl="0" w:tplc="A012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66312E"/>
    <w:multiLevelType w:val="hybridMultilevel"/>
    <w:tmpl w:val="7BE81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1338AE"/>
    <w:multiLevelType w:val="hybridMultilevel"/>
    <w:tmpl w:val="B7CED212"/>
    <w:lvl w:ilvl="0" w:tplc="08090001">
      <w:start w:val="1"/>
      <w:numFmt w:val="bullet"/>
      <w:lvlText w:val=""/>
      <w:lvlJc w:val="left"/>
      <w:pPr>
        <w:ind w:left="1800" w:hanging="360"/>
      </w:pPr>
      <w:rPr>
        <w:rFonts w:ascii="Symbol" w:hAnsi="Symbol" w:hint="default"/>
      </w:rPr>
    </w:lvl>
    <w:lvl w:ilvl="1" w:tplc="B9F0DF66">
      <w:numFmt w:val="bullet"/>
      <w:lvlText w:val="-"/>
      <w:lvlJc w:val="left"/>
      <w:pPr>
        <w:ind w:left="2520" w:hanging="360"/>
      </w:pPr>
      <w:rPr>
        <w:rFonts w:ascii="Arial" w:eastAsia="Batang"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D8D14F0"/>
    <w:multiLevelType w:val="hybridMultilevel"/>
    <w:tmpl w:val="826AB8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nsid w:val="404B386C"/>
    <w:multiLevelType w:val="hybridMultilevel"/>
    <w:tmpl w:val="8A0C4EAA"/>
    <w:lvl w:ilvl="0" w:tplc="A012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9D1FB7"/>
    <w:multiLevelType w:val="hybridMultilevel"/>
    <w:tmpl w:val="E7961D54"/>
    <w:lvl w:ilvl="0" w:tplc="20909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576636A1"/>
    <w:multiLevelType w:val="hybridMultilevel"/>
    <w:tmpl w:val="051C7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9DB5388"/>
    <w:multiLevelType w:val="hybridMultilevel"/>
    <w:tmpl w:val="E7961D54"/>
    <w:lvl w:ilvl="0" w:tplc="20909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D9599F"/>
    <w:multiLevelType w:val="hybridMultilevel"/>
    <w:tmpl w:val="021662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6C012E65"/>
    <w:multiLevelType w:val="hybridMultilevel"/>
    <w:tmpl w:val="27CC09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D3A24BB"/>
    <w:multiLevelType w:val="hybridMultilevel"/>
    <w:tmpl w:val="B7A232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FB37768"/>
    <w:multiLevelType w:val="hybridMultilevel"/>
    <w:tmpl w:val="E7EE264C"/>
    <w:lvl w:ilvl="0" w:tplc="A012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D90350"/>
    <w:multiLevelType w:val="hybridMultilevel"/>
    <w:tmpl w:val="86E0D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76090E85"/>
    <w:multiLevelType w:val="multilevel"/>
    <w:tmpl w:val="500EC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1"/>
  </w:num>
  <w:num w:numId="3">
    <w:abstractNumId w:val="15"/>
  </w:num>
  <w:num w:numId="4">
    <w:abstractNumId w:val="14"/>
  </w:num>
  <w:num w:numId="5">
    <w:abstractNumId w:val="7"/>
  </w:num>
  <w:num w:numId="6">
    <w:abstractNumId w:val="16"/>
  </w:num>
  <w:num w:numId="7">
    <w:abstractNumId w:val="18"/>
  </w:num>
  <w:num w:numId="8">
    <w:abstractNumId w:val="6"/>
  </w:num>
  <w:num w:numId="9">
    <w:abstractNumId w:val="4"/>
  </w:num>
  <w:num w:numId="10">
    <w:abstractNumId w:val="10"/>
  </w:num>
  <w:num w:numId="11">
    <w:abstractNumId w:val="12"/>
  </w:num>
  <w:num w:numId="12">
    <w:abstractNumId w:val="1"/>
  </w:num>
  <w:num w:numId="13">
    <w:abstractNumId w:val="5"/>
  </w:num>
  <w:num w:numId="14">
    <w:abstractNumId w:val="0"/>
  </w:num>
  <w:num w:numId="15">
    <w:abstractNumId w:val="2"/>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7"/>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trackRevisions/>
  <w:defaultTabStop w:val="720"/>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47F"/>
    <w:rsid w:val="000006D2"/>
    <w:rsid w:val="00000FE7"/>
    <w:rsid w:val="000012DD"/>
    <w:rsid w:val="0000154D"/>
    <w:rsid w:val="000015BF"/>
    <w:rsid w:val="000026D0"/>
    <w:rsid w:val="00002DFA"/>
    <w:rsid w:val="00002F27"/>
    <w:rsid w:val="0000303B"/>
    <w:rsid w:val="000034A6"/>
    <w:rsid w:val="00003A9F"/>
    <w:rsid w:val="00003FF5"/>
    <w:rsid w:val="0000423D"/>
    <w:rsid w:val="000045F9"/>
    <w:rsid w:val="000047E4"/>
    <w:rsid w:val="00005607"/>
    <w:rsid w:val="00006863"/>
    <w:rsid w:val="00006B3B"/>
    <w:rsid w:val="00006C01"/>
    <w:rsid w:val="00006F66"/>
    <w:rsid w:val="00007058"/>
    <w:rsid w:val="000077C7"/>
    <w:rsid w:val="00007BD0"/>
    <w:rsid w:val="0001042A"/>
    <w:rsid w:val="00010672"/>
    <w:rsid w:val="000109D7"/>
    <w:rsid w:val="00010EC9"/>
    <w:rsid w:val="00011491"/>
    <w:rsid w:val="000119D5"/>
    <w:rsid w:val="00012085"/>
    <w:rsid w:val="000125AC"/>
    <w:rsid w:val="00012C17"/>
    <w:rsid w:val="00012FF2"/>
    <w:rsid w:val="00013174"/>
    <w:rsid w:val="000138C0"/>
    <w:rsid w:val="00013A12"/>
    <w:rsid w:val="00013AD9"/>
    <w:rsid w:val="00013BFF"/>
    <w:rsid w:val="00014458"/>
    <w:rsid w:val="00014608"/>
    <w:rsid w:val="000147F4"/>
    <w:rsid w:val="00014AB9"/>
    <w:rsid w:val="00014C8E"/>
    <w:rsid w:val="00014F94"/>
    <w:rsid w:val="00015283"/>
    <w:rsid w:val="000156C2"/>
    <w:rsid w:val="00015B14"/>
    <w:rsid w:val="00016C9C"/>
    <w:rsid w:val="00016E58"/>
    <w:rsid w:val="0001743F"/>
    <w:rsid w:val="00020047"/>
    <w:rsid w:val="000206F6"/>
    <w:rsid w:val="00020713"/>
    <w:rsid w:val="00020B7F"/>
    <w:rsid w:val="00020DCF"/>
    <w:rsid w:val="0002185E"/>
    <w:rsid w:val="00021E77"/>
    <w:rsid w:val="00021FC5"/>
    <w:rsid w:val="00021FCA"/>
    <w:rsid w:val="00022100"/>
    <w:rsid w:val="000221CC"/>
    <w:rsid w:val="00022456"/>
    <w:rsid w:val="00023169"/>
    <w:rsid w:val="000232E9"/>
    <w:rsid w:val="000234FE"/>
    <w:rsid w:val="00023E6F"/>
    <w:rsid w:val="00024CBC"/>
    <w:rsid w:val="00025399"/>
    <w:rsid w:val="00025774"/>
    <w:rsid w:val="000261CC"/>
    <w:rsid w:val="00026714"/>
    <w:rsid w:val="00026977"/>
    <w:rsid w:val="00027085"/>
    <w:rsid w:val="00027B8D"/>
    <w:rsid w:val="00027E09"/>
    <w:rsid w:val="000300B8"/>
    <w:rsid w:val="0003078B"/>
    <w:rsid w:val="00030D76"/>
    <w:rsid w:val="00030DEB"/>
    <w:rsid w:val="00030F90"/>
    <w:rsid w:val="00031334"/>
    <w:rsid w:val="00031453"/>
    <w:rsid w:val="000317BC"/>
    <w:rsid w:val="000317F9"/>
    <w:rsid w:val="000318DF"/>
    <w:rsid w:val="00031C7B"/>
    <w:rsid w:val="00031D82"/>
    <w:rsid w:val="0003213B"/>
    <w:rsid w:val="00032390"/>
    <w:rsid w:val="00032C17"/>
    <w:rsid w:val="00033259"/>
    <w:rsid w:val="00033342"/>
    <w:rsid w:val="00033A74"/>
    <w:rsid w:val="00033D2D"/>
    <w:rsid w:val="00033D3C"/>
    <w:rsid w:val="00033D68"/>
    <w:rsid w:val="000341AB"/>
    <w:rsid w:val="000344B3"/>
    <w:rsid w:val="000349E8"/>
    <w:rsid w:val="00034CC9"/>
    <w:rsid w:val="00034DDC"/>
    <w:rsid w:val="000359DA"/>
    <w:rsid w:val="00035B51"/>
    <w:rsid w:val="00035FDA"/>
    <w:rsid w:val="00036114"/>
    <w:rsid w:val="00036C2F"/>
    <w:rsid w:val="00037404"/>
    <w:rsid w:val="0003744D"/>
    <w:rsid w:val="00037997"/>
    <w:rsid w:val="00037AEB"/>
    <w:rsid w:val="00040085"/>
    <w:rsid w:val="00040303"/>
    <w:rsid w:val="0004034D"/>
    <w:rsid w:val="000407D5"/>
    <w:rsid w:val="00040C08"/>
    <w:rsid w:val="000413C4"/>
    <w:rsid w:val="00041831"/>
    <w:rsid w:val="00041D18"/>
    <w:rsid w:val="0004258A"/>
    <w:rsid w:val="00042926"/>
    <w:rsid w:val="00043BA4"/>
    <w:rsid w:val="00043CDA"/>
    <w:rsid w:val="00044165"/>
    <w:rsid w:val="0004430A"/>
    <w:rsid w:val="00044627"/>
    <w:rsid w:val="000446E4"/>
    <w:rsid w:val="000448DF"/>
    <w:rsid w:val="00044C1B"/>
    <w:rsid w:val="00044F13"/>
    <w:rsid w:val="000457B5"/>
    <w:rsid w:val="00045E54"/>
    <w:rsid w:val="00046120"/>
    <w:rsid w:val="00046B2D"/>
    <w:rsid w:val="00046BDE"/>
    <w:rsid w:val="0004773B"/>
    <w:rsid w:val="0004782C"/>
    <w:rsid w:val="000478E9"/>
    <w:rsid w:val="00050BDB"/>
    <w:rsid w:val="00050CE5"/>
    <w:rsid w:val="00051573"/>
    <w:rsid w:val="00051EBF"/>
    <w:rsid w:val="00052140"/>
    <w:rsid w:val="0005238F"/>
    <w:rsid w:val="000523F7"/>
    <w:rsid w:val="000526A4"/>
    <w:rsid w:val="0005276B"/>
    <w:rsid w:val="00052A6C"/>
    <w:rsid w:val="000537E2"/>
    <w:rsid w:val="00053DE2"/>
    <w:rsid w:val="00054194"/>
    <w:rsid w:val="00054A32"/>
    <w:rsid w:val="00054D9E"/>
    <w:rsid w:val="00054DE9"/>
    <w:rsid w:val="00054FD6"/>
    <w:rsid w:val="00055787"/>
    <w:rsid w:val="000561C7"/>
    <w:rsid w:val="00056513"/>
    <w:rsid w:val="000568B5"/>
    <w:rsid w:val="00056F7A"/>
    <w:rsid w:val="0005739A"/>
    <w:rsid w:val="0005796C"/>
    <w:rsid w:val="00060482"/>
    <w:rsid w:val="000604E7"/>
    <w:rsid w:val="00060679"/>
    <w:rsid w:val="00060680"/>
    <w:rsid w:val="00060E8F"/>
    <w:rsid w:val="000622E7"/>
    <w:rsid w:val="000629AB"/>
    <w:rsid w:val="00062AB6"/>
    <w:rsid w:val="0006315F"/>
    <w:rsid w:val="000634B6"/>
    <w:rsid w:val="00063EB2"/>
    <w:rsid w:val="00064E7C"/>
    <w:rsid w:val="00065824"/>
    <w:rsid w:val="0006589E"/>
    <w:rsid w:val="0006596C"/>
    <w:rsid w:val="00065A51"/>
    <w:rsid w:val="00065AA7"/>
    <w:rsid w:val="00065E95"/>
    <w:rsid w:val="00065F74"/>
    <w:rsid w:val="0006601F"/>
    <w:rsid w:val="00066649"/>
    <w:rsid w:val="0006717E"/>
    <w:rsid w:val="0006778C"/>
    <w:rsid w:val="00067B95"/>
    <w:rsid w:val="00070120"/>
    <w:rsid w:val="00070A63"/>
    <w:rsid w:val="00070D5F"/>
    <w:rsid w:val="00070F3E"/>
    <w:rsid w:val="00071152"/>
    <w:rsid w:val="00071858"/>
    <w:rsid w:val="00071F89"/>
    <w:rsid w:val="00072063"/>
    <w:rsid w:val="000723A4"/>
    <w:rsid w:val="00072489"/>
    <w:rsid w:val="000734F4"/>
    <w:rsid w:val="000735D9"/>
    <w:rsid w:val="00073851"/>
    <w:rsid w:val="00073EFC"/>
    <w:rsid w:val="00074103"/>
    <w:rsid w:val="00074233"/>
    <w:rsid w:val="00074443"/>
    <w:rsid w:val="0007470C"/>
    <w:rsid w:val="00074BF9"/>
    <w:rsid w:val="00074C6A"/>
    <w:rsid w:val="000754CF"/>
    <w:rsid w:val="00075A92"/>
    <w:rsid w:val="000761DC"/>
    <w:rsid w:val="00076513"/>
    <w:rsid w:val="00076649"/>
    <w:rsid w:val="000770D6"/>
    <w:rsid w:val="0007726C"/>
    <w:rsid w:val="000773CF"/>
    <w:rsid w:val="00077704"/>
    <w:rsid w:val="00080F1A"/>
    <w:rsid w:val="0008111F"/>
    <w:rsid w:val="00081216"/>
    <w:rsid w:val="00081230"/>
    <w:rsid w:val="0008136D"/>
    <w:rsid w:val="00081417"/>
    <w:rsid w:val="000819DF"/>
    <w:rsid w:val="00081CC8"/>
    <w:rsid w:val="00082B7C"/>
    <w:rsid w:val="00083039"/>
    <w:rsid w:val="000840E2"/>
    <w:rsid w:val="00084CB8"/>
    <w:rsid w:val="00084E72"/>
    <w:rsid w:val="00085179"/>
    <w:rsid w:val="000861D8"/>
    <w:rsid w:val="00086349"/>
    <w:rsid w:val="00087C26"/>
    <w:rsid w:val="00087D55"/>
    <w:rsid w:val="00087E41"/>
    <w:rsid w:val="0009025C"/>
    <w:rsid w:val="00090A60"/>
    <w:rsid w:val="00090AE2"/>
    <w:rsid w:val="00090B70"/>
    <w:rsid w:val="000913CA"/>
    <w:rsid w:val="000918E1"/>
    <w:rsid w:val="00091FD4"/>
    <w:rsid w:val="00092194"/>
    <w:rsid w:val="000923E0"/>
    <w:rsid w:val="000924F7"/>
    <w:rsid w:val="00092DF5"/>
    <w:rsid w:val="00093029"/>
    <w:rsid w:val="00093517"/>
    <w:rsid w:val="000937B3"/>
    <w:rsid w:val="00093F7F"/>
    <w:rsid w:val="000959E8"/>
    <w:rsid w:val="000975F7"/>
    <w:rsid w:val="00097D37"/>
    <w:rsid w:val="00097DD9"/>
    <w:rsid w:val="000A0129"/>
    <w:rsid w:val="000A0209"/>
    <w:rsid w:val="000A02C6"/>
    <w:rsid w:val="000A02EF"/>
    <w:rsid w:val="000A0CAC"/>
    <w:rsid w:val="000A0EFF"/>
    <w:rsid w:val="000A107E"/>
    <w:rsid w:val="000A1234"/>
    <w:rsid w:val="000A23C5"/>
    <w:rsid w:val="000A25C5"/>
    <w:rsid w:val="000A2C95"/>
    <w:rsid w:val="000A2E03"/>
    <w:rsid w:val="000A3006"/>
    <w:rsid w:val="000A3330"/>
    <w:rsid w:val="000A35D3"/>
    <w:rsid w:val="000A37A0"/>
    <w:rsid w:val="000A3A1C"/>
    <w:rsid w:val="000A3AC5"/>
    <w:rsid w:val="000A4351"/>
    <w:rsid w:val="000A45C8"/>
    <w:rsid w:val="000A4B7D"/>
    <w:rsid w:val="000A4D5A"/>
    <w:rsid w:val="000A51C2"/>
    <w:rsid w:val="000A60E5"/>
    <w:rsid w:val="000A6215"/>
    <w:rsid w:val="000A66C7"/>
    <w:rsid w:val="000A761B"/>
    <w:rsid w:val="000A7C3E"/>
    <w:rsid w:val="000B0535"/>
    <w:rsid w:val="000B09FC"/>
    <w:rsid w:val="000B0B47"/>
    <w:rsid w:val="000B0F79"/>
    <w:rsid w:val="000B1C32"/>
    <w:rsid w:val="000B25D8"/>
    <w:rsid w:val="000B2C8D"/>
    <w:rsid w:val="000B32F7"/>
    <w:rsid w:val="000B3DB1"/>
    <w:rsid w:val="000B3FD3"/>
    <w:rsid w:val="000B430F"/>
    <w:rsid w:val="000B4EFA"/>
    <w:rsid w:val="000B53D0"/>
    <w:rsid w:val="000B5C0B"/>
    <w:rsid w:val="000B61C5"/>
    <w:rsid w:val="000B641C"/>
    <w:rsid w:val="000B67C0"/>
    <w:rsid w:val="000B6AD0"/>
    <w:rsid w:val="000B71EB"/>
    <w:rsid w:val="000B76FF"/>
    <w:rsid w:val="000B7CF2"/>
    <w:rsid w:val="000C0248"/>
    <w:rsid w:val="000C05C9"/>
    <w:rsid w:val="000C0AFD"/>
    <w:rsid w:val="000C1266"/>
    <w:rsid w:val="000C30BC"/>
    <w:rsid w:val="000C347E"/>
    <w:rsid w:val="000C382A"/>
    <w:rsid w:val="000C3C41"/>
    <w:rsid w:val="000C3DF2"/>
    <w:rsid w:val="000C47B3"/>
    <w:rsid w:val="000C4AAD"/>
    <w:rsid w:val="000C4C21"/>
    <w:rsid w:val="000C574B"/>
    <w:rsid w:val="000C57DF"/>
    <w:rsid w:val="000C59E4"/>
    <w:rsid w:val="000C5C21"/>
    <w:rsid w:val="000C5D0A"/>
    <w:rsid w:val="000C5D1B"/>
    <w:rsid w:val="000C5F79"/>
    <w:rsid w:val="000C67CC"/>
    <w:rsid w:val="000C69C8"/>
    <w:rsid w:val="000C6C27"/>
    <w:rsid w:val="000C7426"/>
    <w:rsid w:val="000C7A93"/>
    <w:rsid w:val="000D0336"/>
    <w:rsid w:val="000D07E5"/>
    <w:rsid w:val="000D0A03"/>
    <w:rsid w:val="000D0DCD"/>
    <w:rsid w:val="000D16B8"/>
    <w:rsid w:val="000D21AF"/>
    <w:rsid w:val="000D2867"/>
    <w:rsid w:val="000D2B97"/>
    <w:rsid w:val="000D2F02"/>
    <w:rsid w:val="000D30A7"/>
    <w:rsid w:val="000D381E"/>
    <w:rsid w:val="000D3AE7"/>
    <w:rsid w:val="000D432E"/>
    <w:rsid w:val="000D49CD"/>
    <w:rsid w:val="000D4BE1"/>
    <w:rsid w:val="000D4DD5"/>
    <w:rsid w:val="000D569F"/>
    <w:rsid w:val="000D5F1B"/>
    <w:rsid w:val="000D645B"/>
    <w:rsid w:val="000D67DC"/>
    <w:rsid w:val="000D7D54"/>
    <w:rsid w:val="000E0314"/>
    <w:rsid w:val="000E0BFB"/>
    <w:rsid w:val="000E0D80"/>
    <w:rsid w:val="000E0EB7"/>
    <w:rsid w:val="000E1109"/>
    <w:rsid w:val="000E155B"/>
    <w:rsid w:val="000E1C7B"/>
    <w:rsid w:val="000E1D6E"/>
    <w:rsid w:val="000E1F6A"/>
    <w:rsid w:val="000E2220"/>
    <w:rsid w:val="000E22DF"/>
    <w:rsid w:val="000E2675"/>
    <w:rsid w:val="000E3241"/>
    <w:rsid w:val="000E329D"/>
    <w:rsid w:val="000E330A"/>
    <w:rsid w:val="000E3683"/>
    <w:rsid w:val="000E37CA"/>
    <w:rsid w:val="000E3AA8"/>
    <w:rsid w:val="000E3BC6"/>
    <w:rsid w:val="000E43AB"/>
    <w:rsid w:val="000E4433"/>
    <w:rsid w:val="000E4D3A"/>
    <w:rsid w:val="000E4ED4"/>
    <w:rsid w:val="000E50AD"/>
    <w:rsid w:val="000E566A"/>
    <w:rsid w:val="000E5899"/>
    <w:rsid w:val="000E66AC"/>
    <w:rsid w:val="000E6720"/>
    <w:rsid w:val="000E693E"/>
    <w:rsid w:val="000E695E"/>
    <w:rsid w:val="000E6AA6"/>
    <w:rsid w:val="000E6BB6"/>
    <w:rsid w:val="000E6DE6"/>
    <w:rsid w:val="000E74CA"/>
    <w:rsid w:val="000E7CBF"/>
    <w:rsid w:val="000E7DA1"/>
    <w:rsid w:val="000E7DD2"/>
    <w:rsid w:val="000F00F9"/>
    <w:rsid w:val="000F03E3"/>
    <w:rsid w:val="000F06B1"/>
    <w:rsid w:val="000F105E"/>
    <w:rsid w:val="000F10A7"/>
    <w:rsid w:val="000F1261"/>
    <w:rsid w:val="000F14C3"/>
    <w:rsid w:val="000F14C6"/>
    <w:rsid w:val="000F14D4"/>
    <w:rsid w:val="000F1B86"/>
    <w:rsid w:val="000F2115"/>
    <w:rsid w:val="000F2179"/>
    <w:rsid w:val="000F2813"/>
    <w:rsid w:val="000F3278"/>
    <w:rsid w:val="000F36CC"/>
    <w:rsid w:val="000F3B5F"/>
    <w:rsid w:val="000F3BA7"/>
    <w:rsid w:val="000F4496"/>
    <w:rsid w:val="000F45CE"/>
    <w:rsid w:val="000F480A"/>
    <w:rsid w:val="000F4BB3"/>
    <w:rsid w:val="000F4E80"/>
    <w:rsid w:val="000F5397"/>
    <w:rsid w:val="000F547C"/>
    <w:rsid w:val="000F593D"/>
    <w:rsid w:val="000F5D2A"/>
    <w:rsid w:val="000F6A44"/>
    <w:rsid w:val="000F6F92"/>
    <w:rsid w:val="000F7781"/>
    <w:rsid w:val="000F7E4C"/>
    <w:rsid w:val="000F7FC4"/>
    <w:rsid w:val="0010042D"/>
    <w:rsid w:val="0010057A"/>
    <w:rsid w:val="0010133E"/>
    <w:rsid w:val="00101D68"/>
    <w:rsid w:val="0010261D"/>
    <w:rsid w:val="00102A51"/>
    <w:rsid w:val="00102D39"/>
    <w:rsid w:val="0010341A"/>
    <w:rsid w:val="00103485"/>
    <w:rsid w:val="00103C76"/>
    <w:rsid w:val="00103E5A"/>
    <w:rsid w:val="00103FAD"/>
    <w:rsid w:val="00103FCE"/>
    <w:rsid w:val="00104057"/>
    <w:rsid w:val="00104159"/>
    <w:rsid w:val="00104E76"/>
    <w:rsid w:val="0010539C"/>
    <w:rsid w:val="00105632"/>
    <w:rsid w:val="00105890"/>
    <w:rsid w:val="00105DCF"/>
    <w:rsid w:val="00105DD3"/>
    <w:rsid w:val="00106539"/>
    <w:rsid w:val="00106815"/>
    <w:rsid w:val="00106E6B"/>
    <w:rsid w:val="001075FB"/>
    <w:rsid w:val="00107924"/>
    <w:rsid w:val="00107DC8"/>
    <w:rsid w:val="00110FD8"/>
    <w:rsid w:val="00112117"/>
    <w:rsid w:val="001123D6"/>
    <w:rsid w:val="0011248C"/>
    <w:rsid w:val="001125A1"/>
    <w:rsid w:val="00112D48"/>
    <w:rsid w:val="001132B5"/>
    <w:rsid w:val="00113FDA"/>
    <w:rsid w:val="00114781"/>
    <w:rsid w:val="00114869"/>
    <w:rsid w:val="0011509F"/>
    <w:rsid w:val="00115399"/>
    <w:rsid w:val="00115731"/>
    <w:rsid w:val="0011658F"/>
    <w:rsid w:val="001172A6"/>
    <w:rsid w:val="001174B7"/>
    <w:rsid w:val="001176F2"/>
    <w:rsid w:val="001177E6"/>
    <w:rsid w:val="001179F4"/>
    <w:rsid w:val="00117BBF"/>
    <w:rsid w:val="0012027D"/>
    <w:rsid w:val="00120567"/>
    <w:rsid w:val="00121339"/>
    <w:rsid w:val="001214EC"/>
    <w:rsid w:val="00121D1E"/>
    <w:rsid w:val="00121EB0"/>
    <w:rsid w:val="00122311"/>
    <w:rsid w:val="00122998"/>
    <w:rsid w:val="0012310C"/>
    <w:rsid w:val="001238A3"/>
    <w:rsid w:val="00123FB3"/>
    <w:rsid w:val="001241B9"/>
    <w:rsid w:val="001248E5"/>
    <w:rsid w:val="00125011"/>
    <w:rsid w:val="00125156"/>
    <w:rsid w:val="001254D4"/>
    <w:rsid w:val="001255A5"/>
    <w:rsid w:val="00125621"/>
    <w:rsid w:val="001258AE"/>
    <w:rsid w:val="00125FF5"/>
    <w:rsid w:val="00126394"/>
    <w:rsid w:val="0012667F"/>
    <w:rsid w:val="001267F5"/>
    <w:rsid w:val="00126C3C"/>
    <w:rsid w:val="00126DDD"/>
    <w:rsid w:val="0012761F"/>
    <w:rsid w:val="00127849"/>
    <w:rsid w:val="00127950"/>
    <w:rsid w:val="001279C4"/>
    <w:rsid w:val="00127D81"/>
    <w:rsid w:val="001306D8"/>
    <w:rsid w:val="0013193D"/>
    <w:rsid w:val="00132109"/>
    <w:rsid w:val="001323D4"/>
    <w:rsid w:val="00132841"/>
    <w:rsid w:val="00132C25"/>
    <w:rsid w:val="00132DA1"/>
    <w:rsid w:val="00132E7F"/>
    <w:rsid w:val="0013374D"/>
    <w:rsid w:val="00133ED6"/>
    <w:rsid w:val="00134488"/>
    <w:rsid w:val="001346F4"/>
    <w:rsid w:val="00134C67"/>
    <w:rsid w:val="001367DD"/>
    <w:rsid w:val="00136898"/>
    <w:rsid w:val="00136BEE"/>
    <w:rsid w:val="00136C20"/>
    <w:rsid w:val="00137504"/>
    <w:rsid w:val="00137696"/>
    <w:rsid w:val="00137A9B"/>
    <w:rsid w:val="00137D76"/>
    <w:rsid w:val="00137F69"/>
    <w:rsid w:val="001406FE"/>
    <w:rsid w:val="00140960"/>
    <w:rsid w:val="00140B2F"/>
    <w:rsid w:val="00140DDA"/>
    <w:rsid w:val="001414FB"/>
    <w:rsid w:val="00141725"/>
    <w:rsid w:val="001419E6"/>
    <w:rsid w:val="00141F58"/>
    <w:rsid w:val="00142342"/>
    <w:rsid w:val="00143087"/>
    <w:rsid w:val="001430D1"/>
    <w:rsid w:val="00143169"/>
    <w:rsid w:val="00143242"/>
    <w:rsid w:val="00143717"/>
    <w:rsid w:val="001437C2"/>
    <w:rsid w:val="001440B0"/>
    <w:rsid w:val="00144266"/>
    <w:rsid w:val="00144881"/>
    <w:rsid w:val="00144892"/>
    <w:rsid w:val="00144DF2"/>
    <w:rsid w:val="00145253"/>
    <w:rsid w:val="001459A8"/>
    <w:rsid w:val="00146976"/>
    <w:rsid w:val="00147033"/>
    <w:rsid w:val="00147242"/>
    <w:rsid w:val="00147529"/>
    <w:rsid w:val="00147B4B"/>
    <w:rsid w:val="00147D09"/>
    <w:rsid w:val="00147E0E"/>
    <w:rsid w:val="001500FF"/>
    <w:rsid w:val="00151CB3"/>
    <w:rsid w:val="00151DE3"/>
    <w:rsid w:val="00152970"/>
    <w:rsid w:val="001530C9"/>
    <w:rsid w:val="00153546"/>
    <w:rsid w:val="00154498"/>
    <w:rsid w:val="00154569"/>
    <w:rsid w:val="00154BD5"/>
    <w:rsid w:val="00155091"/>
    <w:rsid w:val="001550F0"/>
    <w:rsid w:val="0015554A"/>
    <w:rsid w:val="00155560"/>
    <w:rsid w:val="001559A1"/>
    <w:rsid w:val="00155BA5"/>
    <w:rsid w:val="00155BF2"/>
    <w:rsid w:val="001561D8"/>
    <w:rsid w:val="0015666B"/>
    <w:rsid w:val="00156680"/>
    <w:rsid w:val="00156BCF"/>
    <w:rsid w:val="00157321"/>
    <w:rsid w:val="0015740A"/>
    <w:rsid w:val="00157AF0"/>
    <w:rsid w:val="00157D7C"/>
    <w:rsid w:val="00160179"/>
    <w:rsid w:val="00160253"/>
    <w:rsid w:val="001603A4"/>
    <w:rsid w:val="001618DA"/>
    <w:rsid w:val="00161BD1"/>
    <w:rsid w:val="00161FB0"/>
    <w:rsid w:val="00162253"/>
    <w:rsid w:val="00162348"/>
    <w:rsid w:val="0016260A"/>
    <w:rsid w:val="0016285F"/>
    <w:rsid w:val="00162CED"/>
    <w:rsid w:val="00162ED2"/>
    <w:rsid w:val="00162F7E"/>
    <w:rsid w:val="00163576"/>
    <w:rsid w:val="00163F65"/>
    <w:rsid w:val="001642CA"/>
    <w:rsid w:val="001645BA"/>
    <w:rsid w:val="00164E76"/>
    <w:rsid w:val="001657B6"/>
    <w:rsid w:val="00165942"/>
    <w:rsid w:val="00165F09"/>
    <w:rsid w:val="001663A2"/>
    <w:rsid w:val="00166698"/>
    <w:rsid w:val="001668C9"/>
    <w:rsid w:val="00166D70"/>
    <w:rsid w:val="00167400"/>
    <w:rsid w:val="00167502"/>
    <w:rsid w:val="00167897"/>
    <w:rsid w:val="00167E65"/>
    <w:rsid w:val="001702A2"/>
    <w:rsid w:val="00170B1B"/>
    <w:rsid w:val="00170F08"/>
    <w:rsid w:val="0017169D"/>
    <w:rsid w:val="001717DD"/>
    <w:rsid w:val="00171828"/>
    <w:rsid w:val="0017212B"/>
    <w:rsid w:val="001728D4"/>
    <w:rsid w:val="00172D06"/>
    <w:rsid w:val="00172F2D"/>
    <w:rsid w:val="00173093"/>
    <w:rsid w:val="00173180"/>
    <w:rsid w:val="0017367D"/>
    <w:rsid w:val="0017384D"/>
    <w:rsid w:val="001740EC"/>
    <w:rsid w:val="001744CB"/>
    <w:rsid w:val="00174B61"/>
    <w:rsid w:val="00175763"/>
    <w:rsid w:val="001759EF"/>
    <w:rsid w:val="001760E8"/>
    <w:rsid w:val="00176254"/>
    <w:rsid w:val="00177B0B"/>
    <w:rsid w:val="00180355"/>
    <w:rsid w:val="00180729"/>
    <w:rsid w:val="00180AAA"/>
    <w:rsid w:val="0018100A"/>
    <w:rsid w:val="001819B5"/>
    <w:rsid w:val="00181D91"/>
    <w:rsid w:val="00181E03"/>
    <w:rsid w:val="00182416"/>
    <w:rsid w:val="0018289C"/>
    <w:rsid w:val="00182A58"/>
    <w:rsid w:val="00182DC2"/>
    <w:rsid w:val="001832FA"/>
    <w:rsid w:val="001833EF"/>
    <w:rsid w:val="001834B9"/>
    <w:rsid w:val="0018372E"/>
    <w:rsid w:val="0018398E"/>
    <w:rsid w:val="001844E0"/>
    <w:rsid w:val="001848CB"/>
    <w:rsid w:val="00185741"/>
    <w:rsid w:val="00185D09"/>
    <w:rsid w:val="00185D0E"/>
    <w:rsid w:val="00185E72"/>
    <w:rsid w:val="001863A8"/>
    <w:rsid w:val="0018667C"/>
    <w:rsid w:val="00186CF0"/>
    <w:rsid w:val="001903E1"/>
    <w:rsid w:val="00190730"/>
    <w:rsid w:val="001907D6"/>
    <w:rsid w:val="00190E69"/>
    <w:rsid w:val="00191239"/>
    <w:rsid w:val="001920B5"/>
    <w:rsid w:val="0019224E"/>
    <w:rsid w:val="00192DE9"/>
    <w:rsid w:val="00193BD3"/>
    <w:rsid w:val="00193ED2"/>
    <w:rsid w:val="00193EF4"/>
    <w:rsid w:val="0019409B"/>
    <w:rsid w:val="001941E7"/>
    <w:rsid w:val="001949E2"/>
    <w:rsid w:val="00195B4C"/>
    <w:rsid w:val="00196317"/>
    <w:rsid w:val="001963AA"/>
    <w:rsid w:val="00196439"/>
    <w:rsid w:val="00197495"/>
    <w:rsid w:val="00197611"/>
    <w:rsid w:val="001A00C5"/>
    <w:rsid w:val="001A096E"/>
    <w:rsid w:val="001A1C02"/>
    <w:rsid w:val="001A208F"/>
    <w:rsid w:val="001A24CD"/>
    <w:rsid w:val="001A262A"/>
    <w:rsid w:val="001A2711"/>
    <w:rsid w:val="001A2812"/>
    <w:rsid w:val="001A2A64"/>
    <w:rsid w:val="001A2AE7"/>
    <w:rsid w:val="001A2CFD"/>
    <w:rsid w:val="001A2E65"/>
    <w:rsid w:val="001A31DE"/>
    <w:rsid w:val="001A32E2"/>
    <w:rsid w:val="001A3654"/>
    <w:rsid w:val="001A3734"/>
    <w:rsid w:val="001A38A9"/>
    <w:rsid w:val="001A3D04"/>
    <w:rsid w:val="001A46A3"/>
    <w:rsid w:val="001A4EB0"/>
    <w:rsid w:val="001A5124"/>
    <w:rsid w:val="001A5347"/>
    <w:rsid w:val="001A5A94"/>
    <w:rsid w:val="001A5DAF"/>
    <w:rsid w:val="001A6658"/>
    <w:rsid w:val="001A666F"/>
    <w:rsid w:val="001A6B97"/>
    <w:rsid w:val="001A7079"/>
    <w:rsid w:val="001A7725"/>
    <w:rsid w:val="001A786D"/>
    <w:rsid w:val="001A7C96"/>
    <w:rsid w:val="001B0660"/>
    <w:rsid w:val="001B0DE1"/>
    <w:rsid w:val="001B10B5"/>
    <w:rsid w:val="001B157F"/>
    <w:rsid w:val="001B2A81"/>
    <w:rsid w:val="001B2D85"/>
    <w:rsid w:val="001B30B2"/>
    <w:rsid w:val="001B32DB"/>
    <w:rsid w:val="001B36A0"/>
    <w:rsid w:val="001B3B55"/>
    <w:rsid w:val="001B3CC2"/>
    <w:rsid w:val="001B40F9"/>
    <w:rsid w:val="001B4529"/>
    <w:rsid w:val="001B4B71"/>
    <w:rsid w:val="001B4B8A"/>
    <w:rsid w:val="001B5062"/>
    <w:rsid w:val="001B5D4F"/>
    <w:rsid w:val="001B616C"/>
    <w:rsid w:val="001B61AE"/>
    <w:rsid w:val="001B63A5"/>
    <w:rsid w:val="001C0410"/>
    <w:rsid w:val="001C0C20"/>
    <w:rsid w:val="001C1AD9"/>
    <w:rsid w:val="001C1B4B"/>
    <w:rsid w:val="001C1FD6"/>
    <w:rsid w:val="001C236D"/>
    <w:rsid w:val="001C3A3B"/>
    <w:rsid w:val="001C3FF6"/>
    <w:rsid w:val="001C576D"/>
    <w:rsid w:val="001C5B77"/>
    <w:rsid w:val="001C61AF"/>
    <w:rsid w:val="001C6248"/>
    <w:rsid w:val="001C644B"/>
    <w:rsid w:val="001C68F7"/>
    <w:rsid w:val="001C6B19"/>
    <w:rsid w:val="001C74EC"/>
    <w:rsid w:val="001C7824"/>
    <w:rsid w:val="001C7B9C"/>
    <w:rsid w:val="001D0858"/>
    <w:rsid w:val="001D0C2E"/>
    <w:rsid w:val="001D0F76"/>
    <w:rsid w:val="001D10B9"/>
    <w:rsid w:val="001D19CC"/>
    <w:rsid w:val="001D209D"/>
    <w:rsid w:val="001D3D6A"/>
    <w:rsid w:val="001D3FF2"/>
    <w:rsid w:val="001D40C4"/>
    <w:rsid w:val="001D4CA3"/>
    <w:rsid w:val="001D4F4F"/>
    <w:rsid w:val="001D6E75"/>
    <w:rsid w:val="001D750C"/>
    <w:rsid w:val="001D7D5D"/>
    <w:rsid w:val="001D7F11"/>
    <w:rsid w:val="001E0B77"/>
    <w:rsid w:val="001E0CF3"/>
    <w:rsid w:val="001E0FB3"/>
    <w:rsid w:val="001E167F"/>
    <w:rsid w:val="001E1B55"/>
    <w:rsid w:val="001E22FD"/>
    <w:rsid w:val="001E23D7"/>
    <w:rsid w:val="001E25DC"/>
    <w:rsid w:val="001E26A5"/>
    <w:rsid w:val="001E3374"/>
    <w:rsid w:val="001E35B4"/>
    <w:rsid w:val="001E3970"/>
    <w:rsid w:val="001E3E62"/>
    <w:rsid w:val="001E49DC"/>
    <w:rsid w:val="001E4AA8"/>
    <w:rsid w:val="001E4B6A"/>
    <w:rsid w:val="001E4B8F"/>
    <w:rsid w:val="001E4FF1"/>
    <w:rsid w:val="001E51D1"/>
    <w:rsid w:val="001E5224"/>
    <w:rsid w:val="001E5FE6"/>
    <w:rsid w:val="001E612D"/>
    <w:rsid w:val="001E69BA"/>
    <w:rsid w:val="001E6AFC"/>
    <w:rsid w:val="001E7DAF"/>
    <w:rsid w:val="001E7E51"/>
    <w:rsid w:val="001F02E4"/>
    <w:rsid w:val="001F052B"/>
    <w:rsid w:val="001F058F"/>
    <w:rsid w:val="001F141B"/>
    <w:rsid w:val="001F151F"/>
    <w:rsid w:val="001F155F"/>
    <w:rsid w:val="001F197F"/>
    <w:rsid w:val="001F1F9A"/>
    <w:rsid w:val="001F240F"/>
    <w:rsid w:val="001F25DD"/>
    <w:rsid w:val="001F2637"/>
    <w:rsid w:val="001F3047"/>
    <w:rsid w:val="001F31B0"/>
    <w:rsid w:val="001F33BF"/>
    <w:rsid w:val="001F344B"/>
    <w:rsid w:val="001F3480"/>
    <w:rsid w:val="001F4090"/>
    <w:rsid w:val="001F449D"/>
    <w:rsid w:val="001F46A7"/>
    <w:rsid w:val="001F4B82"/>
    <w:rsid w:val="001F4FD9"/>
    <w:rsid w:val="001F5390"/>
    <w:rsid w:val="001F6476"/>
    <w:rsid w:val="001F64C9"/>
    <w:rsid w:val="001F678F"/>
    <w:rsid w:val="001F68BC"/>
    <w:rsid w:val="001F6CD3"/>
    <w:rsid w:val="001F73BC"/>
    <w:rsid w:val="001F73F4"/>
    <w:rsid w:val="001F74E8"/>
    <w:rsid w:val="002000C7"/>
    <w:rsid w:val="002004B5"/>
    <w:rsid w:val="00200789"/>
    <w:rsid w:val="002009E5"/>
    <w:rsid w:val="00201642"/>
    <w:rsid w:val="00201908"/>
    <w:rsid w:val="00201A93"/>
    <w:rsid w:val="00202469"/>
    <w:rsid w:val="00202558"/>
    <w:rsid w:val="002025ED"/>
    <w:rsid w:val="00202B2B"/>
    <w:rsid w:val="00203083"/>
    <w:rsid w:val="00204CC6"/>
    <w:rsid w:val="00205885"/>
    <w:rsid w:val="00205974"/>
    <w:rsid w:val="00205DE3"/>
    <w:rsid w:val="0020685A"/>
    <w:rsid w:val="00206EA1"/>
    <w:rsid w:val="0020716C"/>
    <w:rsid w:val="0020782F"/>
    <w:rsid w:val="0020786D"/>
    <w:rsid w:val="00207A9C"/>
    <w:rsid w:val="00210466"/>
    <w:rsid w:val="00210A4F"/>
    <w:rsid w:val="00210C30"/>
    <w:rsid w:val="00211A24"/>
    <w:rsid w:val="00211C22"/>
    <w:rsid w:val="002120B5"/>
    <w:rsid w:val="002125F7"/>
    <w:rsid w:val="00212750"/>
    <w:rsid w:val="00212BEF"/>
    <w:rsid w:val="00212E20"/>
    <w:rsid w:val="00213517"/>
    <w:rsid w:val="0021353B"/>
    <w:rsid w:val="00213633"/>
    <w:rsid w:val="0021373C"/>
    <w:rsid w:val="0021398F"/>
    <w:rsid w:val="00213A90"/>
    <w:rsid w:val="00213B91"/>
    <w:rsid w:val="002143ED"/>
    <w:rsid w:val="00215200"/>
    <w:rsid w:val="00216069"/>
    <w:rsid w:val="00216902"/>
    <w:rsid w:val="00216B3D"/>
    <w:rsid w:val="002174C6"/>
    <w:rsid w:val="00217643"/>
    <w:rsid w:val="00217AE1"/>
    <w:rsid w:val="00217BA0"/>
    <w:rsid w:val="00217BC0"/>
    <w:rsid w:val="00217F26"/>
    <w:rsid w:val="00220117"/>
    <w:rsid w:val="00220559"/>
    <w:rsid w:val="00220E0D"/>
    <w:rsid w:val="002214BA"/>
    <w:rsid w:val="0022150B"/>
    <w:rsid w:val="00221DAD"/>
    <w:rsid w:val="00221F1D"/>
    <w:rsid w:val="002224B8"/>
    <w:rsid w:val="00222677"/>
    <w:rsid w:val="002236FA"/>
    <w:rsid w:val="00223745"/>
    <w:rsid w:val="00224235"/>
    <w:rsid w:val="0022459D"/>
    <w:rsid w:val="00224FE9"/>
    <w:rsid w:val="00225554"/>
    <w:rsid w:val="00225A73"/>
    <w:rsid w:val="00225C77"/>
    <w:rsid w:val="00226281"/>
    <w:rsid w:val="002268B8"/>
    <w:rsid w:val="00226B44"/>
    <w:rsid w:val="0022714E"/>
    <w:rsid w:val="0022756D"/>
    <w:rsid w:val="00227A42"/>
    <w:rsid w:val="002305B6"/>
    <w:rsid w:val="00230F47"/>
    <w:rsid w:val="00230F98"/>
    <w:rsid w:val="002316B2"/>
    <w:rsid w:val="00231DE7"/>
    <w:rsid w:val="0023201E"/>
    <w:rsid w:val="00232125"/>
    <w:rsid w:val="00232433"/>
    <w:rsid w:val="00232566"/>
    <w:rsid w:val="00232DF6"/>
    <w:rsid w:val="00233E21"/>
    <w:rsid w:val="00234ACC"/>
    <w:rsid w:val="00234B68"/>
    <w:rsid w:val="00234FFB"/>
    <w:rsid w:val="00235259"/>
    <w:rsid w:val="00235459"/>
    <w:rsid w:val="002356B1"/>
    <w:rsid w:val="00236551"/>
    <w:rsid w:val="00236BC0"/>
    <w:rsid w:val="00236C76"/>
    <w:rsid w:val="002372D8"/>
    <w:rsid w:val="002374FC"/>
    <w:rsid w:val="0023760C"/>
    <w:rsid w:val="00237B8A"/>
    <w:rsid w:val="00240184"/>
    <w:rsid w:val="002408D1"/>
    <w:rsid w:val="00240A37"/>
    <w:rsid w:val="00240E0C"/>
    <w:rsid w:val="0024124E"/>
    <w:rsid w:val="00241592"/>
    <w:rsid w:val="00241F07"/>
    <w:rsid w:val="002426BF"/>
    <w:rsid w:val="002427BB"/>
    <w:rsid w:val="00242856"/>
    <w:rsid w:val="002428ED"/>
    <w:rsid w:val="00242EEA"/>
    <w:rsid w:val="00243A8E"/>
    <w:rsid w:val="00244016"/>
    <w:rsid w:val="00244E28"/>
    <w:rsid w:val="00244F3A"/>
    <w:rsid w:val="00244FA0"/>
    <w:rsid w:val="002461B0"/>
    <w:rsid w:val="002462B5"/>
    <w:rsid w:val="00246F58"/>
    <w:rsid w:val="00247602"/>
    <w:rsid w:val="00247C2C"/>
    <w:rsid w:val="00247DF8"/>
    <w:rsid w:val="00250000"/>
    <w:rsid w:val="00250A7A"/>
    <w:rsid w:val="00250AB1"/>
    <w:rsid w:val="00250E3C"/>
    <w:rsid w:val="00251EB0"/>
    <w:rsid w:val="00252063"/>
    <w:rsid w:val="002520A3"/>
    <w:rsid w:val="00252245"/>
    <w:rsid w:val="0025268D"/>
    <w:rsid w:val="00252BA1"/>
    <w:rsid w:val="002530C8"/>
    <w:rsid w:val="00253707"/>
    <w:rsid w:val="0025382B"/>
    <w:rsid w:val="0025390B"/>
    <w:rsid w:val="00253A2D"/>
    <w:rsid w:val="0025400C"/>
    <w:rsid w:val="0025420C"/>
    <w:rsid w:val="002545D0"/>
    <w:rsid w:val="002552C7"/>
    <w:rsid w:val="002559A5"/>
    <w:rsid w:val="002559B4"/>
    <w:rsid w:val="0025641A"/>
    <w:rsid w:val="00256589"/>
    <w:rsid w:val="0025676F"/>
    <w:rsid w:val="00256A04"/>
    <w:rsid w:val="00257085"/>
    <w:rsid w:val="00257167"/>
    <w:rsid w:val="00257330"/>
    <w:rsid w:val="00257ABF"/>
    <w:rsid w:val="00257BE5"/>
    <w:rsid w:val="0026099B"/>
    <w:rsid w:val="00260A45"/>
    <w:rsid w:val="00260B50"/>
    <w:rsid w:val="00260E7F"/>
    <w:rsid w:val="0026182A"/>
    <w:rsid w:val="00261C09"/>
    <w:rsid w:val="002620BE"/>
    <w:rsid w:val="0026281D"/>
    <w:rsid w:val="00262B01"/>
    <w:rsid w:val="00262E5E"/>
    <w:rsid w:val="0026331C"/>
    <w:rsid w:val="00263422"/>
    <w:rsid w:val="00263A9D"/>
    <w:rsid w:val="00263B3A"/>
    <w:rsid w:val="00264215"/>
    <w:rsid w:val="00264277"/>
    <w:rsid w:val="0026532B"/>
    <w:rsid w:val="0026543C"/>
    <w:rsid w:val="00265513"/>
    <w:rsid w:val="0026599C"/>
    <w:rsid w:val="002662A2"/>
    <w:rsid w:val="0026633C"/>
    <w:rsid w:val="0026648B"/>
    <w:rsid w:val="00266730"/>
    <w:rsid w:val="00267128"/>
    <w:rsid w:val="00267361"/>
    <w:rsid w:val="002678E4"/>
    <w:rsid w:val="00267DE7"/>
    <w:rsid w:val="00267F41"/>
    <w:rsid w:val="00270132"/>
    <w:rsid w:val="00270DC3"/>
    <w:rsid w:val="00270F04"/>
    <w:rsid w:val="002712F3"/>
    <w:rsid w:val="00271502"/>
    <w:rsid w:val="002715F0"/>
    <w:rsid w:val="00271C02"/>
    <w:rsid w:val="00271CF2"/>
    <w:rsid w:val="00271DBF"/>
    <w:rsid w:val="00272183"/>
    <w:rsid w:val="0027277E"/>
    <w:rsid w:val="00272937"/>
    <w:rsid w:val="00272C73"/>
    <w:rsid w:val="00273005"/>
    <w:rsid w:val="0027300D"/>
    <w:rsid w:val="00273314"/>
    <w:rsid w:val="00274209"/>
    <w:rsid w:val="00274313"/>
    <w:rsid w:val="002749FB"/>
    <w:rsid w:val="00274E3C"/>
    <w:rsid w:val="00274F2B"/>
    <w:rsid w:val="00275065"/>
    <w:rsid w:val="00276B89"/>
    <w:rsid w:val="00276D77"/>
    <w:rsid w:val="0027721D"/>
    <w:rsid w:val="00277ECC"/>
    <w:rsid w:val="00280042"/>
    <w:rsid w:val="00280659"/>
    <w:rsid w:val="0028139B"/>
    <w:rsid w:val="00281C9C"/>
    <w:rsid w:val="00282067"/>
    <w:rsid w:val="00282130"/>
    <w:rsid w:val="00282177"/>
    <w:rsid w:val="00282800"/>
    <w:rsid w:val="00284592"/>
    <w:rsid w:val="0028461B"/>
    <w:rsid w:val="00284889"/>
    <w:rsid w:val="00284D28"/>
    <w:rsid w:val="0028512B"/>
    <w:rsid w:val="00285D1A"/>
    <w:rsid w:val="00285F60"/>
    <w:rsid w:val="002864DA"/>
    <w:rsid w:val="002873DC"/>
    <w:rsid w:val="00287449"/>
    <w:rsid w:val="00287B80"/>
    <w:rsid w:val="00287F41"/>
    <w:rsid w:val="00290146"/>
    <w:rsid w:val="00290517"/>
    <w:rsid w:val="002908E9"/>
    <w:rsid w:val="00291095"/>
    <w:rsid w:val="0029137E"/>
    <w:rsid w:val="002914DE"/>
    <w:rsid w:val="0029193E"/>
    <w:rsid w:val="00291E13"/>
    <w:rsid w:val="0029216A"/>
    <w:rsid w:val="002929E2"/>
    <w:rsid w:val="00292A9C"/>
    <w:rsid w:val="002938BD"/>
    <w:rsid w:val="00293C10"/>
    <w:rsid w:val="00294032"/>
    <w:rsid w:val="00294126"/>
    <w:rsid w:val="002945DC"/>
    <w:rsid w:val="00294947"/>
    <w:rsid w:val="00294A44"/>
    <w:rsid w:val="00294A6C"/>
    <w:rsid w:val="00294D87"/>
    <w:rsid w:val="002952BA"/>
    <w:rsid w:val="002959B8"/>
    <w:rsid w:val="00295D85"/>
    <w:rsid w:val="00296819"/>
    <w:rsid w:val="0029725A"/>
    <w:rsid w:val="00297530"/>
    <w:rsid w:val="002978F8"/>
    <w:rsid w:val="00297B4B"/>
    <w:rsid w:val="002A009D"/>
    <w:rsid w:val="002A0831"/>
    <w:rsid w:val="002A094A"/>
    <w:rsid w:val="002A0A6C"/>
    <w:rsid w:val="002A254E"/>
    <w:rsid w:val="002A2BF6"/>
    <w:rsid w:val="002A2FCD"/>
    <w:rsid w:val="002A3337"/>
    <w:rsid w:val="002A414F"/>
    <w:rsid w:val="002A42D4"/>
    <w:rsid w:val="002A431F"/>
    <w:rsid w:val="002A447C"/>
    <w:rsid w:val="002A482E"/>
    <w:rsid w:val="002A4B25"/>
    <w:rsid w:val="002A4C6F"/>
    <w:rsid w:val="002A4F73"/>
    <w:rsid w:val="002A4FF0"/>
    <w:rsid w:val="002A5005"/>
    <w:rsid w:val="002A58A9"/>
    <w:rsid w:val="002A5DD1"/>
    <w:rsid w:val="002A60B3"/>
    <w:rsid w:val="002A6143"/>
    <w:rsid w:val="002A6209"/>
    <w:rsid w:val="002A67F5"/>
    <w:rsid w:val="002A68AA"/>
    <w:rsid w:val="002A6CB7"/>
    <w:rsid w:val="002A79FF"/>
    <w:rsid w:val="002A7FB8"/>
    <w:rsid w:val="002B0726"/>
    <w:rsid w:val="002B078D"/>
    <w:rsid w:val="002B08ED"/>
    <w:rsid w:val="002B0937"/>
    <w:rsid w:val="002B1626"/>
    <w:rsid w:val="002B17E5"/>
    <w:rsid w:val="002B18CF"/>
    <w:rsid w:val="002B1A71"/>
    <w:rsid w:val="002B2071"/>
    <w:rsid w:val="002B26AC"/>
    <w:rsid w:val="002B2E9B"/>
    <w:rsid w:val="002B30CD"/>
    <w:rsid w:val="002B310B"/>
    <w:rsid w:val="002B3284"/>
    <w:rsid w:val="002B3EBF"/>
    <w:rsid w:val="002B3FF3"/>
    <w:rsid w:val="002B42FC"/>
    <w:rsid w:val="002B46B6"/>
    <w:rsid w:val="002B48A6"/>
    <w:rsid w:val="002B5199"/>
    <w:rsid w:val="002B5358"/>
    <w:rsid w:val="002B5AF4"/>
    <w:rsid w:val="002B5FB2"/>
    <w:rsid w:val="002B6637"/>
    <w:rsid w:val="002B6725"/>
    <w:rsid w:val="002B69AA"/>
    <w:rsid w:val="002B6BB5"/>
    <w:rsid w:val="002B6BD1"/>
    <w:rsid w:val="002B7140"/>
    <w:rsid w:val="002B72A6"/>
    <w:rsid w:val="002B7495"/>
    <w:rsid w:val="002B7600"/>
    <w:rsid w:val="002B7721"/>
    <w:rsid w:val="002B78B6"/>
    <w:rsid w:val="002B7A7E"/>
    <w:rsid w:val="002B7D6B"/>
    <w:rsid w:val="002B7DBE"/>
    <w:rsid w:val="002C0288"/>
    <w:rsid w:val="002C0ADD"/>
    <w:rsid w:val="002C1177"/>
    <w:rsid w:val="002C1697"/>
    <w:rsid w:val="002C1874"/>
    <w:rsid w:val="002C18B3"/>
    <w:rsid w:val="002C26CF"/>
    <w:rsid w:val="002C2876"/>
    <w:rsid w:val="002C36EF"/>
    <w:rsid w:val="002C3A51"/>
    <w:rsid w:val="002C408D"/>
    <w:rsid w:val="002C4729"/>
    <w:rsid w:val="002C4A8A"/>
    <w:rsid w:val="002C4B2A"/>
    <w:rsid w:val="002C5038"/>
    <w:rsid w:val="002C5CD5"/>
    <w:rsid w:val="002C5E09"/>
    <w:rsid w:val="002C5F40"/>
    <w:rsid w:val="002C6749"/>
    <w:rsid w:val="002C7040"/>
    <w:rsid w:val="002C7078"/>
    <w:rsid w:val="002C721A"/>
    <w:rsid w:val="002C7AC8"/>
    <w:rsid w:val="002C7C60"/>
    <w:rsid w:val="002D0337"/>
    <w:rsid w:val="002D0B4C"/>
    <w:rsid w:val="002D0C07"/>
    <w:rsid w:val="002D1012"/>
    <w:rsid w:val="002D1185"/>
    <w:rsid w:val="002D1709"/>
    <w:rsid w:val="002D180D"/>
    <w:rsid w:val="002D18EA"/>
    <w:rsid w:val="002D2375"/>
    <w:rsid w:val="002D24D5"/>
    <w:rsid w:val="002D2823"/>
    <w:rsid w:val="002D2CC0"/>
    <w:rsid w:val="002D4402"/>
    <w:rsid w:val="002D4A60"/>
    <w:rsid w:val="002D4E61"/>
    <w:rsid w:val="002D5207"/>
    <w:rsid w:val="002D6187"/>
    <w:rsid w:val="002D7583"/>
    <w:rsid w:val="002D7796"/>
    <w:rsid w:val="002D7815"/>
    <w:rsid w:val="002D7BCB"/>
    <w:rsid w:val="002E0088"/>
    <w:rsid w:val="002E03CF"/>
    <w:rsid w:val="002E04A3"/>
    <w:rsid w:val="002E05B3"/>
    <w:rsid w:val="002E12A5"/>
    <w:rsid w:val="002E159F"/>
    <w:rsid w:val="002E1699"/>
    <w:rsid w:val="002E1BA5"/>
    <w:rsid w:val="002E1C49"/>
    <w:rsid w:val="002E24BE"/>
    <w:rsid w:val="002E261F"/>
    <w:rsid w:val="002E32B2"/>
    <w:rsid w:val="002E35F8"/>
    <w:rsid w:val="002E4648"/>
    <w:rsid w:val="002E46EB"/>
    <w:rsid w:val="002E4AA6"/>
    <w:rsid w:val="002E5203"/>
    <w:rsid w:val="002E560A"/>
    <w:rsid w:val="002E669A"/>
    <w:rsid w:val="002E7046"/>
    <w:rsid w:val="002E707A"/>
    <w:rsid w:val="002F01C0"/>
    <w:rsid w:val="002F1560"/>
    <w:rsid w:val="002F16C7"/>
    <w:rsid w:val="002F1ABE"/>
    <w:rsid w:val="002F1F0F"/>
    <w:rsid w:val="002F2502"/>
    <w:rsid w:val="002F2F2E"/>
    <w:rsid w:val="002F2FAB"/>
    <w:rsid w:val="002F3169"/>
    <w:rsid w:val="002F3483"/>
    <w:rsid w:val="002F34AA"/>
    <w:rsid w:val="002F3897"/>
    <w:rsid w:val="002F3946"/>
    <w:rsid w:val="002F4045"/>
    <w:rsid w:val="002F421C"/>
    <w:rsid w:val="002F4384"/>
    <w:rsid w:val="002F4662"/>
    <w:rsid w:val="002F532B"/>
    <w:rsid w:val="002F5C9B"/>
    <w:rsid w:val="002F5D64"/>
    <w:rsid w:val="002F6E24"/>
    <w:rsid w:val="002F75B6"/>
    <w:rsid w:val="002F7C45"/>
    <w:rsid w:val="0030015E"/>
    <w:rsid w:val="003004E6"/>
    <w:rsid w:val="00300D1C"/>
    <w:rsid w:val="00301624"/>
    <w:rsid w:val="0030180A"/>
    <w:rsid w:val="00301851"/>
    <w:rsid w:val="0030198A"/>
    <w:rsid w:val="003022D1"/>
    <w:rsid w:val="00302318"/>
    <w:rsid w:val="003024F1"/>
    <w:rsid w:val="00302ADC"/>
    <w:rsid w:val="00303155"/>
    <w:rsid w:val="00303364"/>
    <w:rsid w:val="0030381D"/>
    <w:rsid w:val="00303BD0"/>
    <w:rsid w:val="003049FA"/>
    <w:rsid w:val="00304A8F"/>
    <w:rsid w:val="00304ADD"/>
    <w:rsid w:val="00304C3E"/>
    <w:rsid w:val="00304EF1"/>
    <w:rsid w:val="003056F3"/>
    <w:rsid w:val="003072F6"/>
    <w:rsid w:val="00307402"/>
    <w:rsid w:val="00307E4B"/>
    <w:rsid w:val="0031026D"/>
    <w:rsid w:val="0031044C"/>
    <w:rsid w:val="00310C83"/>
    <w:rsid w:val="00310DFA"/>
    <w:rsid w:val="003111A9"/>
    <w:rsid w:val="00311566"/>
    <w:rsid w:val="00311A91"/>
    <w:rsid w:val="00312A17"/>
    <w:rsid w:val="00312A5D"/>
    <w:rsid w:val="00312DC6"/>
    <w:rsid w:val="003130EE"/>
    <w:rsid w:val="00313306"/>
    <w:rsid w:val="00313324"/>
    <w:rsid w:val="003146E2"/>
    <w:rsid w:val="003152E6"/>
    <w:rsid w:val="00315B25"/>
    <w:rsid w:val="003160EE"/>
    <w:rsid w:val="0031622A"/>
    <w:rsid w:val="0031695E"/>
    <w:rsid w:val="0031747B"/>
    <w:rsid w:val="00317708"/>
    <w:rsid w:val="00317918"/>
    <w:rsid w:val="00317C77"/>
    <w:rsid w:val="00317EDE"/>
    <w:rsid w:val="003204FB"/>
    <w:rsid w:val="0032067A"/>
    <w:rsid w:val="00320B71"/>
    <w:rsid w:val="00321260"/>
    <w:rsid w:val="00321A64"/>
    <w:rsid w:val="00321E6E"/>
    <w:rsid w:val="0032210D"/>
    <w:rsid w:val="00322B58"/>
    <w:rsid w:val="00323224"/>
    <w:rsid w:val="0032411D"/>
    <w:rsid w:val="003248EF"/>
    <w:rsid w:val="00324C0C"/>
    <w:rsid w:val="003254BC"/>
    <w:rsid w:val="003255F5"/>
    <w:rsid w:val="00325BF5"/>
    <w:rsid w:val="003261A1"/>
    <w:rsid w:val="00326CDE"/>
    <w:rsid w:val="00327804"/>
    <w:rsid w:val="0033015D"/>
    <w:rsid w:val="003303A6"/>
    <w:rsid w:val="003305F3"/>
    <w:rsid w:val="003307BC"/>
    <w:rsid w:val="0033091A"/>
    <w:rsid w:val="00330AA1"/>
    <w:rsid w:val="00330D2D"/>
    <w:rsid w:val="00331159"/>
    <w:rsid w:val="00331D37"/>
    <w:rsid w:val="00331E8F"/>
    <w:rsid w:val="00332AA3"/>
    <w:rsid w:val="00332F21"/>
    <w:rsid w:val="00332FD3"/>
    <w:rsid w:val="00333F06"/>
    <w:rsid w:val="003344AC"/>
    <w:rsid w:val="00334E78"/>
    <w:rsid w:val="00335273"/>
    <w:rsid w:val="00335566"/>
    <w:rsid w:val="00335B8C"/>
    <w:rsid w:val="00336822"/>
    <w:rsid w:val="00336E31"/>
    <w:rsid w:val="003375B0"/>
    <w:rsid w:val="003375B9"/>
    <w:rsid w:val="003379E0"/>
    <w:rsid w:val="00337F91"/>
    <w:rsid w:val="00337FBB"/>
    <w:rsid w:val="00340291"/>
    <w:rsid w:val="00340B57"/>
    <w:rsid w:val="00340F94"/>
    <w:rsid w:val="003410A8"/>
    <w:rsid w:val="0034180B"/>
    <w:rsid w:val="00341E1C"/>
    <w:rsid w:val="00342F25"/>
    <w:rsid w:val="00343147"/>
    <w:rsid w:val="003431EE"/>
    <w:rsid w:val="003437E5"/>
    <w:rsid w:val="003438D6"/>
    <w:rsid w:val="0034489E"/>
    <w:rsid w:val="0034492B"/>
    <w:rsid w:val="00344CBB"/>
    <w:rsid w:val="00345676"/>
    <w:rsid w:val="00345954"/>
    <w:rsid w:val="00345C19"/>
    <w:rsid w:val="00345CAF"/>
    <w:rsid w:val="00345CB5"/>
    <w:rsid w:val="003465BA"/>
    <w:rsid w:val="00346779"/>
    <w:rsid w:val="00346CD5"/>
    <w:rsid w:val="00346DB7"/>
    <w:rsid w:val="00346F79"/>
    <w:rsid w:val="00346F7D"/>
    <w:rsid w:val="00347018"/>
    <w:rsid w:val="00347DB1"/>
    <w:rsid w:val="0035035B"/>
    <w:rsid w:val="003509E5"/>
    <w:rsid w:val="0035187F"/>
    <w:rsid w:val="00351935"/>
    <w:rsid w:val="00351970"/>
    <w:rsid w:val="00351BD6"/>
    <w:rsid w:val="0035230C"/>
    <w:rsid w:val="003525D9"/>
    <w:rsid w:val="00352BDA"/>
    <w:rsid w:val="003531AA"/>
    <w:rsid w:val="003536BB"/>
    <w:rsid w:val="003536D4"/>
    <w:rsid w:val="003537BD"/>
    <w:rsid w:val="003539C5"/>
    <w:rsid w:val="00353AC0"/>
    <w:rsid w:val="00354CD5"/>
    <w:rsid w:val="003550B1"/>
    <w:rsid w:val="00355753"/>
    <w:rsid w:val="00355C45"/>
    <w:rsid w:val="00356010"/>
    <w:rsid w:val="003562A6"/>
    <w:rsid w:val="003570FA"/>
    <w:rsid w:val="003572CA"/>
    <w:rsid w:val="003577E0"/>
    <w:rsid w:val="0036007D"/>
    <w:rsid w:val="00360995"/>
    <w:rsid w:val="00361345"/>
    <w:rsid w:val="00361718"/>
    <w:rsid w:val="003622F2"/>
    <w:rsid w:val="003632E0"/>
    <w:rsid w:val="003639D6"/>
    <w:rsid w:val="00364734"/>
    <w:rsid w:val="00364D8E"/>
    <w:rsid w:val="00364E33"/>
    <w:rsid w:val="0036518A"/>
    <w:rsid w:val="0036570B"/>
    <w:rsid w:val="00365752"/>
    <w:rsid w:val="0036583C"/>
    <w:rsid w:val="00365E32"/>
    <w:rsid w:val="00365F16"/>
    <w:rsid w:val="003664BB"/>
    <w:rsid w:val="003665CB"/>
    <w:rsid w:val="003666D3"/>
    <w:rsid w:val="00366833"/>
    <w:rsid w:val="00367006"/>
    <w:rsid w:val="0036719C"/>
    <w:rsid w:val="0036777F"/>
    <w:rsid w:val="003677DE"/>
    <w:rsid w:val="0036794A"/>
    <w:rsid w:val="003702A2"/>
    <w:rsid w:val="00370C48"/>
    <w:rsid w:val="00371E6A"/>
    <w:rsid w:val="00372217"/>
    <w:rsid w:val="00372302"/>
    <w:rsid w:val="00372FA8"/>
    <w:rsid w:val="003739DE"/>
    <w:rsid w:val="00373C86"/>
    <w:rsid w:val="00373E56"/>
    <w:rsid w:val="00375646"/>
    <w:rsid w:val="00375A4F"/>
    <w:rsid w:val="00375E3F"/>
    <w:rsid w:val="00376203"/>
    <w:rsid w:val="00376255"/>
    <w:rsid w:val="00376788"/>
    <w:rsid w:val="00376A7D"/>
    <w:rsid w:val="00376E50"/>
    <w:rsid w:val="00377045"/>
    <w:rsid w:val="003773F9"/>
    <w:rsid w:val="00377708"/>
    <w:rsid w:val="00377934"/>
    <w:rsid w:val="00377B17"/>
    <w:rsid w:val="00377CEE"/>
    <w:rsid w:val="00377F1B"/>
    <w:rsid w:val="003801C7"/>
    <w:rsid w:val="003803A5"/>
    <w:rsid w:val="0038053F"/>
    <w:rsid w:val="0038068E"/>
    <w:rsid w:val="0038093C"/>
    <w:rsid w:val="003814F5"/>
    <w:rsid w:val="00381719"/>
    <w:rsid w:val="00381760"/>
    <w:rsid w:val="003817A7"/>
    <w:rsid w:val="00381F34"/>
    <w:rsid w:val="00382355"/>
    <w:rsid w:val="00382473"/>
    <w:rsid w:val="0038260D"/>
    <w:rsid w:val="00382F1B"/>
    <w:rsid w:val="00383F78"/>
    <w:rsid w:val="00384060"/>
    <w:rsid w:val="00384C21"/>
    <w:rsid w:val="00384DD9"/>
    <w:rsid w:val="00384FC0"/>
    <w:rsid w:val="0038502C"/>
    <w:rsid w:val="003850DC"/>
    <w:rsid w:val="00386651"/>
    <w:rsid w:val="00386E10"/>
    <w:rsid w:val="003871E2"/>
    <w:rsid w:val="00387496"/>
    <w:rsid w:val="00390866"/>
    <w:rsid w:val="00390E01"/>
    <w:rsid w:val="00390F42"/>
    <w:rsid w:val="00392367"/>
    <w:rsid w:val="00392595"/>
    <w:rsid w:val="00392C3A"/>
    <w:rsid w:val="00392F37"/>
    <w:rsid w:val="00393E7C"/>
    <w:rsid w:val="00393FBA"/>
    <w:rsid w:val="00394079"/>
    <w:rsid w:val="003943C8"/>
    <w:rsid w:val="00394A23"/>
    <w:rsid w:val="00394D4C"/>
    <w:rsid w:val="00394EE4"/>
    <w:rsid w:val="003954A4"/>
    <w:rsid w:val="003954FA"/>
    <w:rsid w:val="003956CC"/>
    <w:rsid w:val="003960EA"/>
    <w:rsid w:val="0039678E"/>
    <w:rsid w:val="003A0D23"/>
    <w:rsid w:val="003A137B"/>
    <w:rsid w:val="003A179E"/>
    <w:rsid w:val="003A1DC8"/>
    <w:rsid w:val="003A23E0"/>
    <w:rsid w:val="003A32C1"/>
    <w:rsid w:val="003A34BD"/>
    <w:rsid w:val="003A43B1"/>
    <w:rsid w:val="003A4D48"/>
    <w:rsid w:val="003A4E1C"/>
    <w:rsid w:val="003A588B"/>
    <w:rsid w:val="003A5EC5"/>
    <w:rsid w:val="003A6656"/>
    <w:rsid w:val="003A6689"/>
    <w:rsid w:val="003A6965"/>
    <w:rsid w:val="003A6C6A"/>
    <w:rsid w:val="003A748E"/>
    <w:rsid w:val="003A7885"/>
    <w:rsid w:val="003A7B31"/>
    <w:rsid w:val="003A7D7C"/>
    <w:rsid w:val="003B04B8"/>
    <w:rsid w:val="003B0512"/>
    <w:rsid w:val="003B0C14"/>
    <w:rsid w:val="003B0D78"/>
    <w:rsid w:val="003B1F01"/>
    <w:rsid w:val="003B2736"/>
    <w:rsid w:val="003B2E71"/>
    <w:rsid w:val="003B3335"/>
    <w:rsid w:val="003B41A5"/>
    <w:rsid w:val="003B456F"/>
    <w:rsid w:val="003B4647"/>
    <w:rsid w:val="003B570F"/>
    <w:rsid w:val="003B5713"/>
    <w:rsid w:val="003B5A2D"/>
    <w:rsid w:val="003B64D6"/>
    <w:rsid w:val="003B65DD"/>
    <w:rsid w:val="003B6F0E"/>
    <w:rsid w:val="003B72BB"/>
    <w:rsid w:val="003B736B"/>
    <w:rsid w:val="003B7467"/>
    <w:rsid w:val="003B7625"/>
    <w:rsid w:val="003C0742"/>
    <w:rsid w:val="003C0B1C"/>
    <w:rsid w:val="003C1551"/>
    <w:rsid w:val="003C15B9"/>
    <w:rsid w:val="003C1F8C"/>
    <w:rsid w:val="003C278C"/>
    <w:rsid w:val="003C3085"/>
    <w:rsid w:val="003C3E6A"/>
    <w:rsid w:val="003C41D6"/>
    <w:rsid w:val="003C424F"/>
    <w:rsid w:val="003C4989"/>
    <w:rsid w:val="003C6173"/>
    <w:rsid w:val="003C6D67"/>
    <w:rsid w:val="003C6DEA"/>
    <w:rsid w:val="003C7210"/>
    <w:rsid w:val="003C759A"/>
    <w:rsid w:val="003C75BF"/>
    <w:rsid w:val="003C7887"/>
    <w:rsid w:val="003D095E"/>
    <w:rsid w:val="003D0DF2"/>
    <w:rsid w:val="003D132C"/>
    <w:rsid w:val="003D1572"/>
    <w:rsid w:val="003D16A4"/>
    <w:rsid w:val="003D1DC2"/>
    <w:rsid w:val="003D21AF"/>
    <w:rsid w:val="003D235F"/>
    <w:rsid w:val="003D3821"/>
    <w:rsid w:val="003D39B7"/>
    <w:rsid w:val="003D3A55"/>
    <w:rsid w:val="003D4EB0"/>
    <w:rsid w:val="003D5005"/>
    <w:rsid w:val="003D560B"/>
    <w:rsid w:val="003D5AB1"/>
    <w:rsid w:val="003D5D63"/>
    <w:rsid w:val="003D642E"/>
    <w:rsid w:val="003D644B"/>
    <w:rsid w:val="003D6732"/>
    <w:rsid w:val="003D79DC"/>
    <w:rsid w:val="003D7EA8"/>
    <w:rsid w:val="003D7F0E"/>
    <w:rsid w:val="003D7F3E"/>
    <w:rsid w:val="003D7FFA"/>
    <w:rsid w:val="003E0858"/>
    <w:rsid w:val="003E148F"/>
    <w:rsid w:val="003E1A6B"/>
    <w:rsid w:val="003E26CF"/>
    <w:rsid w:val="003E26ED"/>
    <w:rsid w:val="003E2B26"/>
    <w:rsid w:val="003E2E6B"/>
    <w:rsid w:val="003E30AD"/>
    <w:rsid w:val="003E3617"/>
    <w:rsid w:val="003E37B2"/>
    <w:rsid w:val="003E3FEF"/>
    <w:rsid w:val="003E47D2"/>
    <w:rsid w:val="003E4860"/>
    <w:rsid w:val="003E4933"/>
    <w:rsid w:val="003E4A7C"/>
    <w:rsid w:val="003E4D08"/>
    <w:rsid w:val="003E4D57"/>
    <w:rsid w:val="003E60BC"/>
    <w:rsid w:val="003E6298"/>
    <w:rsid w:val="003E6906"/>
    <w:rsid w:val="003E6D82"/>
    <w:rsid w:val="003F08D3"/>
    <w:rsid w:val="003F08E8"/>
    <w:rsid w:val="003F09F3"/>
    <w:rsid w:val="003F0AF7"/>
    <w:rsid w:val="003F1B69"/>
    <w:rsid w:val="003F20FA"/>
    <w:rsid w:val="003F22D7"/>
    <w:rsid w:val="003F2725"/>
    <w:rsid w:val="003F2937"/>
    <w:rsid w:val="003F2D13"/>
    <w:rsid w:val="003F359B"/>
    <w:rsid w:val="003F4319"/>
    <w:rsid w:val="003F45F2"/>
    <w:rsid w:val="003F4664"/>
    <w:rsid w:val="003F5673"/>
    <w:rsid w:val="003F6658"/>
    <w:rsid w:val="003F6B1B"/>
    <w:rsid w:val="003F6DDB"/>
    <w:rsid w:val="003F78C3"/>
    <w:rsid w:val="003F7B37"/>
    <w:rsid w:val="003F7CFC"/>
    <w:rsid w:val="004002B1"/>
    <w:rsid w:val="00400731"/>
    <w:rsid w:val="00400799"/>
    <w:rsid w:val="00401614"/>
    <w:rsid w:val="00401BE3"/>
    <w:rsid w:val="00401C3D"/>
    <w:rsid w:val="00401CD8"/>
    <w:rsid w:val="00401D29"/>
    <w:rsid w:val="00401D56"/>
    <w:rsid w:val="00401EEE"/>
    <w:rsid w:val="004029C5"/>
    <w:rsid w:val="0040320E"/>
    <w:rsid w:val="004035AE"/>
    <w:rsid w:val="00403C33"/>
    <w:rsid w:val="004048A7"/>
    <w:rsid w:val="00404927"/>
    <w:rsid w:val="0040525C"/>
    <w:rsid w:val="00405270"/>
    <w:rsid w:val="0040576B"/>
    <w:rsid w:val="00405C0A"/>
    <w:rsid w:val="00405E64"/>
    <w:rsid w:val="004061F9"/>
    <w:rsid w:val="004066FC"/>
    <w:rsid w:val="0040679D"/>
    <w:rsid w:val="00406B79"/>
    <w:rsid w:val="00407079"/>
    <w:rsid w:val="00407204"/>
    <w:rsid w:val="004072E4"/>
    <w:rsid w:val="00407551"/>
    <w:rsid w:val="0040768B"/>
    <w:rsid w:val="00407B0F"/>
    <w:rsid w:val="00407B52"/>
    <w:rsid w:val="00407BDF"/>
    <w:rsid w:val="0041028C"/>
    <w:rsid w:val="00410307"/>
    <w:rsid w:val="0041163C"/>
    <w:rsid w:val="004117C3"/>
    <w:rsid w:val="004119B4"/>
    <w:rsid w:val="004123DC"/>
    <w:rsid w:val="00412AF0"/>
    <w:rsid w:val="0041325F"/>
    <w:rsid w:val="00413495"/>
    <w:rsid w:val="00413B28"/>
    <w:rsid w:val="00413BE0"/>
    <w:rsid w:val="0041417B"/>
    <w:rsid w:val="00414645"/>
    <w:rsid w:val="00414C67"/>
    <w:rsid w:val="00414E7A"/>
    <w:rsid w:val="00415174"/>
    <w:rsid w:val="004153FD"/>
    <w:rsid w:val="00415458"/>
    <w:rsid w:val="00415889"/>
    <w:rsid w:val="00415A1C"/>
    <w:rsid w:val="00415C38"/>
    <w:rsid w:val="004164DD"/>
    <w:rsid w:val="0041657F"/>
    <w:rsid w:val="00416AE8"/>
    <w:rsid w:val="00417245"/>
    <w:rsid w:val="00417A9B"/>
    <w:rsid w:val="00420465"/>
    <w:rsid w:val="004204D7"/>
    <w:rsid w:val="00420754"/>
    <w:rsid w:val="004208A3"/>
    <w:rsid w:val="00420946"/>
    <w:rsid w:val="00420F18"/>
    <w:rsid w:val="0042140A"/>
    <w:rsid w:val="004215E6"/>
    <w:rsid w:val="00421716"/>
    <w:rsid w:val="0042190E"/>
    <w:rsid w:val="00421C36"/>
    <w:rsid w:val="00421ED6"/>
    <w:rsid w:val="00421FDF"/>
    <w:rsid w:val="00422269"/>
    <w:rsid w:val="004229D5"/>
    <w:rsid w:val="00422A38"/>
    <w:rsid w:val="00423669"/>
    <w:rsid w:val="00423701"/>
    <w:rsid w:val="00423B1E"/>
    <w:rsid w:val="0042420D"/>
    <w:rsid w:val="004247D7"/>
    <w:rsid w:val="004257B4"/>
    <w:rsid w:val="00426054"/>
    <w:rsid w:val="004271AE"/>
    <w:rsid w:val="00427370"/>
    <w:rsid w:val="00427A74"/>
    <w:rsid w:val="00427EF3"/>
    <w:rsid w:val="00427F95"/>
    <w:rsid w:val="00430224"/>
    <w:rsid w:val="004302BC"/>
    <w:rsid w:val="0043060F"/>
    <w:rsid w:val="004310C2"/>
    <w:rsid w:val="00432463"/>
    <w:rsid w:val="00432A3A"/>
    <w:rsid w:val="00432AFC"/>
    <w:rsid w:val="00432B79"/>
    <w:rsid w:val="004335BA"/>
    <w:rsid w:val="00435274"/>
    <w:rsid w:val="004359B3"/>
    <w:rsid w:val="00435D19"/>
    <w:rsid w:val="00435EB5"/>
    <w:rsid w:val="00435F18"/>
    <w:rsid w:val="004361C7"/>
    <w:rsid w:val="0043628C"/>
    <w:rsid w:val="00436BB2"/>
    <w:rsid w:val="00436D37"/>
    <w:rsid w:val="00436EB4"/>
    <w:rsid w:val="00437070"/>
    <w:rsid w:val="0043744F"/>
    <w:rsid w:val="004374E8"/>
    <w:rsid w:val="0043753C"/>
    <w:rsid w:val="00437A6E"/>
    <w:rsid w:val="00437C7D"/>
    <w:rsid w:val="00437EED"/>
    <w:rsid w:val="0044060E"/>
    <w:rsid w:val="00440EA5"/>
    <w:rsid w:val="0044113D"/>
    <w:rsid w:val="00441B42"/>
    <w:rsid w:val="00441E17"/>
    <w:rsid w:val="00442956"/>
    <w:rsid w:val="00442D67"/>
    <w:rsid w:val="00442ED1"/>
    <w:rsid w:val="00442F0E"/>
    <w:rsid w:val="004430B4"/>
    <w:rsid w:val="00443A2D"/>
    <w:rsid w:val="00443D9D"/>
    <w:rsid w:val="00443F45"/>
    <w:rsid w:val="0044410A"/>
    <w:rsid w:val="00444919"/>
    <w:rsid w:val="00444ADE"/>
    <w:rsid w:val="00444C30"/>
    <w:rsid w:val="0044545A"/>
    <w:rsid w:val="00445793"/>
    <w:rsid w:val="00445875"/>
    <w:rsid w:val="00446BC6"/>
    <w:rsid w:val="00446CB8"/>
    <w:rsid w:val="004474B4"/>
    <w:rsid w:val="004504A1"/>
    <w:rsid w:val="00450624"/>
    <w:rsid w:val="004506E7"/>
    <w:rsid w:val="004509FF"/>
    <w:rsid w:val="00450BDF"/>
    <w:rsid w:val="0045126A"/>
    <w:rsid w:val="00451994"/>
    <w:rsid w:val="00451C40"/>
    <w:rsid w:val="0045216E"/>
    <w:rsid w:val="0045217B"/>
    <w:rsid w:val="004521D1"/>
    <w:rsid w:val="004530A8"/>
    <w:rsid w:val="00453172"/>
    <w:rsid w:val="004533CA"/>
    <w:rsid w:val="00453F2E"/>
    <w:rsid w:val="00454158"/>
    <w:rsid w:val="00454FEB"/>
    <w:rsid w:val="004554DD"/>
    <w:rsid w:val="00455ACD"/>
    <w:rsid w:val="00455C11"/>
    <w:rsid w:val="00455F1A"/>
    <w:rsid w:val="00456A0C"/>
    <w:rsid w:val="00456E39"/>
    <w:rsid w:val="004576DA"/>
    <w:rsid w:val="00457EA9"/>
    <w:rsid w:val="00460AE5"/>
    <w:rsid w:val="00461AEC"/>
    <w:rsid w:val="00461BB5"/>
    <w:rsid w:val="0046218A"/>
    <w:rsid w:val="0046251F"/>
    <w:rsid w:val="00462793"/>
    <w:rsid w:val="004629C2"/>
    <w:rsid w:val="00462CCF"/>
    <w:rsid w:val="00462D69"/>
    <w:rsid w:val="00462F04"/>
    <w:rsid w:val="004634EA"/>
    <w:rsid w:val="0046357C"/>
    <w:rsid w:val="00463E25"/>
    <w:rsid w:val="0046477E"/>
    <w:rsid w:val="00464AC3"/>
    <w:rsid w:val="00465174"/>
    <w:rsid w:val="0046573D"/>
    <w:rsid w:val="00465E70"/>
    <w:rsid w:val="00465E88"/>
    <w:rsid w:val="00466B4B"/>
    <w:rsid w:val="00466F1B"/>
    <w:rsid w:val="00467059"/>
    <w:rsid w:val="0046712E"/>
    <w:rsid w:val="00467201"/>
    <w:rsid w:val="00467621"/>
    <w:rsid w:val="00467AE8"/>
    <w:rsid w:val="00467C4F"/>
    <w:rsid w:val="00467E08"/>
    <w:rsid w:val="00467F21"/>
    <w:rsid w:val="00470066"/>
    <w:rsid w:val="0047012D"/>
    <w:rsid w:val="0047032F"/>
    <w:rsid w:val="004708C3"/>
    <w:rsid w:val="00471146"/>
    <w:rsid w:val="004718E8"/>
    <w:rsid w:val="0047191C"/>
    <w:rsid w:val="00471F27"/>
    <w:rsid w:val="00472543"/>
    <w:rsid w:val="00472783"/>
    <w:rsid w:val="00472924"/>
    <w:rsid w:val="00472BA8"/>
    <w:rsid w:val="00473B7E"/>
    <w:rsid w:val="00473E1F"/>
    <w:rsid w:val="004741A0"/>
    <w:rsid w:val="0047568E"/>
    <w:rsid w:val="004763E6"/>
    <w:rsid w:val="00476680"/>
    <w:rsid w:val="00476AC0"/>
    <w:rsid w:val="00476D0D"/>
    <w:rsid w:val="0047785F"/>
    <w:rsid w:val="00477894"/>
    <w:rsid w:val="004779B2"/>
    <w:rsid w:val="00477A93"/>
    <w:rsid w:val="00477C36"/>
    <w:rsid w:val="00477C5D"/>
    <w:rsid w:val="00477CCF"/>
    <w:rsid w:val="00477D6E"/>
    <w:rsid w:val="00477DC9"/>
    <w:rsid w:val="00480359"/>
    <w:rsid w:val="0048052F"/>
    <w:rsid w:val="00480BFA"/>
    <w:rsid w:val="00480EE4"/>
    <w:rsid w:val="004810CD"/>
    <w:rsid w:val="00481BBF"/>
    <w:rsid w:val="00481E51"/>
    <w:rsid w:val="00482382"/>
    <w:rsid w:val="004824BB"/>
    <w:rsid w:val="00482E98"/>
    <w:rsid w:val="00484232"/>
    <w:rsid w:val="004842DA"/>
    <w:rsid w:val="004846B3"/>
    <w:rsid w:val="004855DE"/>
    <w:rsid w:val="00485BA6"/>
    <w:rsid w:val="00485BF4"/>
    <w:rsid w:val="00485C87"/>
    <w:rsid w:val="00486384"/>
    <w:rsid w:val="00486553"/>
    <w:rsid w:val="00486D58"/>
    <w:rsid w:val="00486E06"/>
    <w:rsid w:val="00487150"/>
    <w:rsid w:val="004874A3"/>
    <w:rsid w:val="004874D8"/>
    <w:rsid w:val="00487D43"/>
    <w:rsid w:val="00490349"/>
    <w:rsid w:val="00490421"/>
    <w:rsid w:val="0049057B"/>
    <w:rsid w:val="00490A55"/>
    <w:rsid w:val="00490D00"/>
    <w:rsid w:val="00490D5F"/>
    <w:rsid w:val="00490D64"/>
    <w:rsid w:val="00490F9A"/>
    <w:rsid w:val="0049118E"/>
    <w:rsid w:val="004913BE"/>
    <w:rsid w:val="004916C9"/>
    <w:rsid w:val="00491EEB"/>
    <w:rsid w:val="00491F89"/>
    <w:rsid w:val="004920CC"/>
    <w:rsid w:val="004924BD"/>
    <w:rsid w:val="0049363D"/>
    <w:rsid w:val="00493C9E"/>
    <w:rsid w:val="00493F3B"/>
    <w:rsid w:val="0049482E"/>
    <w:rsid w:val="004948B3"/>
    <w:rsid w:val="00494A20"/>
    <w:rsid w:val="00495418"/>
    <w:rsid w:val="00495FD9"/>
    <w:rsid w:val="004965B3"/>
    <w:rsid w:val="004966C1"/>
    <w:rsid w:val="00496DB7"/>
    <w:rsid w:val="00497669"/>
    <w:rsid w:val="004978EE"/>
    <w:rsid w:val="00497920"/>
    <w:rsid w:val="004A07AC"/>
    <w:rsid w:val="004A0E96"/>
    <w:rsid w:val="004A22F4"/>
    <w:rsid w:val="004A273E"/>
    <w:rsid w:val="004A2E68"/>
    <w:rsid w:val="004A2E69"/>
    <w:rsid w:val="004A30A1"/>
    <w:rsid w:val="004A33AC"/>
    <w:rsid w:val="004A3689"/>
    <w:rsid w:val="004A49D1"/>
    <w:rsid w:val="004A5017"/>
    <w:rsid w:val="004A5124"/>
    <w:rsid w:val="004A515B"/>
    <w:rsid w:val="004A517F"/>
    <w:rsid w:val="004A5482"/>
    <w:rsid w:val="004A574C"/>
    <w:rsid w:val="004A5E10"/>
    <w:rsid w:val="004A5EE7"/>
    <w:rsid w:val="004A6706"/>
    <w:rsid w:val="004A6B29"/>
    <w:rsid w:val="004A6E1D"/>
    <w:rsid w:val="004A7148"/>
    <w:rsid w:val="004A75E4"/>
    <w:rsid w:val="004B07DC"/>
    <w:rsid w:val="004B0B09"/>
    <w:rsid w:val="004B0B20"/>
    <w:rsid w:val="004B0DCF"/>
    <w:rsid w:val="004B12F0"/>
    <w:rsid w:val="004B1697"/>
    <w:rsid w:val="004B16E3"/>
    <w:rsid w:val="004B1D16"/>
    <w:rsid w:val="004B2265"/>
    <w:rsid w:val="004B22DD"/>
    <w:rsid w:val="004B287F"/>
    <w:rsid w:val="004B32F1"/>
    <w:rsid w:val="004B344B"/>
    <w:rsid w:val="004B3D63"/>
    <w:rsid w:val="004B463A"/>
    <w:rsid w:val="004B52E1"/>
    <w:rsid w:val="004B5F8E"/>
    <w:rsid w:val="004B5FEE"/>
    <w:rsid w:val="004B6415"/>
    <w:rsid w:val="004B6A42"/>
    <w:rsid w:val="004B6C74"/>
    <w:rsid w:val="004B7717"/>
    <w:rsid w:val="004B77ED"/>
    <w:rsid w:val="004B7872"/>
    <w:rsid w:val="004B7CE8"/>
    <w:rsid w:val="004C0A97"/>
    <w:rsid w:val="004C0CC8"/>
    <w:rsid w:val="004C1194"/>
    <w:rsid w:val="004C155C"/>
    <w:rsid w:val="004C17A6"/>
    <w:rsid w:val="004C1C35"/>
    <w:rsid w:val="004C27BD"/>
    <w:rsid w:val="004C2DD2"/>
    <w:rsid w:val="004C317C"/>
    <w:rsid w:val="004C349F"/>
    <w:rsid w:val="004C36D6"/>
    <w:rsid w:val="004C3EC9"/>
    <w:rsid w:val="004C4075"/>
    <w:rsid w:val="004C4415"/>
    <w:rsid w:val="004C4609"/>
    <w:rsid w:val="004C4933"/>
    <w:rsid w:val="004C52FE"/>
    <w:rsid w:val="004C5B2B"/>
    <w:rsid w:val="004C60BD"/>
    <w:rsid w:val="004C6280"/>
    <w:rsid w:val="004C705A"/>
    <w:rsid w:val="004C74A4"/>
    <w:rsid w:val="004C7820"/>
    <w:rsid w:val="004C7CE2"/>
    <w:rsid w:val="004D0044"/>
    <w:rsid w:val="004D01A5"/>
    <w:rsid w:val="004D0363"/>
    <w:rsid w:val="004D08F4"/>
    <w:rsid w:val="004D0AA7"/>
    <w:rsid w:val="004D0F20"/>
    <w:rsid w:val="004D13B5"/>
    <w:rsid w:val="004D1BE9"/>
    <w:rsid w:val="004D20BA"/>
    <w:rsid w:val="004D215C"/>
    <w:rsid w:val="004D27EA"/>
    <w:rsid w:val="004D38A3"/>
    <w:rsid w:val="004D4A74"/>
    <w:rsid w:val="004D4AD8"/>
    <w:rsid w:val="004D4ADD"/>
    <w:rsid w:val="004D4E0A"/>
    <w:rsid w:val="004D4F17"/>
    <w:rsid w:val="004D5A88"/>
    <w:rsid w:val="004D5CF0"/>
    <w:rsid w:val="004D607D"/>
    <w:rsid w:val="004D62F2"/>
    <w:rsid w:val="004D686A"/>
    <w:rsid w:val="004D7565"/>
    <w:rsid w:val="004D7805"/>
    <w:rsid w:val="004E06A0"/>
    <w:rsid w:val="004E0A90"/>
    <w:rsid w:val="004E11F4"/>
    <w:rsid w:val="004E1464"/>
    <w:rsid w:val="004E1B62"/>
    <w:rsid w:val="004E205D"/>
    <w:rsid w:val="004E20B2"/>
    <w:rsid w:val="004E2E1C"/>
    <w:rsid w:val="004E30C2"/>
    <w:rsid w:val="004E3575"/>
    <w:rsid w:val="004E4167"/>
    <w:rsid w:val="004E42CA"/>
    <w:rsid w:val="004E525D"/>
    <w:rsid w:val="004E53F7"/>
    <w:rsid w:val="004E58F2"/>
    <w:rsid w:val="004E59EE"/>
    <w:rsid w:val="004E5EAE"/>
    <w:rsid w:val="004E6B08"/>
    <w:rsid w:val="004E6CFA"/>
    <w:rsid w:val="004E6E8A"/>
    <w:rsid w:val="004E72C2"/>
    <w:rsid w:val="004E7337"/>
    <w:rsid w:val="004E7768"/>
    <w:rsid w:val="004E77CE"/>
    <w:rsid w:val="004E7F5A"/>
    <w:rsid w:val="004F01BF"/>
    <w:rsid w:val="004F099A"/>
    <w:rsid w:val="004F09B3"/>
    <w:rsid w:val="004F103F"/>
    <w:rsid w:val="004F19D2"/>
    <w:rsid w:val="004F1A97"/>
    <w:rsid w:val="004F1D61"/>
    <w:rsid w:val="004F1E21"/>
    <w:rsid w:val="004F1ED6"/>
    <w:rsid w:val="004F1F7B"/>
    <w:rsid w:val="004F228A"/>
    <w:rsid w:val="004F22E9"/>
    <w:rsid w:val="004F24B0"/>
    <w:rsid w:val="004F2739"/>
    <w:rsid w:val="004F28E7"/>
    <w:rsid w:val="004F2DCA"/>
    <w:rsid w:val="004F32A6"/>
    <w:rsid w:val="004F3D20"/>
    <w:rsid w:val="004F4426"/>
    <w:rsid w:val="004F4461"/>
    <w:rsid w:val="004F460E"/>
    <w:rsid w:val="004F4692"/>
    <w:rsid w:val="004F4BCA"/>
    <w:rsid w:val="004F5601"/>
    <w:rsid w:val="004F5D22"/>
    <w:rsid w:val="004F63B9"/>
    <w:rsid w:val="004F6F2C"/>
    <w:rsid w:val="004F7506"/>
    <w:rsid w:val="004F762E"/>
    <w:rsid w:val="004F7785"/>
    <w:rsid w:val="004F7E8C"/>
    <w:rsid w:val="00500015"/>
    <w:rsid w:val="005004BC"/>
    <w:rsid w:val="00500731"/>
    <w:rsid w:val="00500AA8"/>
    <w:rsid w:val="0050100A"/>
    <w:rsid w:val="0050111B"/>
    <w:rsid w:val="0050147E"/>
    <w:rsid w:val="005020CB"/>
    <w:rsid w:val="00502A55"/>
    <w:rsid w:val="00502CFF"/>
    <w:rsid w:val="00503717"/>
    <w:rsid w:val="005038DB"/>
    <w:rsid w:val="00503BD4"/>
    <w:rsid w:val="00504431"/>
    <w:rsid w:val="00505034"/>
    <w:rsid w:val="00505676"/>
    <w:rsid w:val="005056EA"/>
    <w:rsid w:val="0050574E"/>
    <w:rsid w:val="00507C25"/>
    <w:rsid w:val="00507FA9"/>
    <w:rsid w:val="00510126"/>
    <w:rsid w:val="0051060F"/>
    <w:rsid w:val="0051064D"/>
    <w:rsid w:val="0051093E"/>
    <w:rsid w:val="00510ABD"/>
    <w:rsid w:val="00510D12"/>
    <w:rsid w:val="005113D0"/>
    <w:rsid w:val="00511A39"/>
    <w:rsid w:val="00511BAD"/>
    <w:rsid w:val="00511D9E"/>
    <w:rsid w:val="00512862"/>
    <w:rsid w:val="00512BF0"/>
    <w:rsid w:val="00512F23"/>
    <w:rsid w:val="005132E4"/>
    <w:rsid w:val="005140E8"/>
    <w:rsid w:val="005142CF"/>
    <w:rsid w:val="005145A9"/>
    <w:rsid w:val="005147A0"/>
    <w:rsid w:val="0051543B"/>
    <w:rsid w:val="0051676F"/>
    <w:rsid w:val="00516E41"/>
    <w:rsid w:val="00517090"/>
    <w:rsid w:val="00517A78"/>
    <w:rsid w:val="005201F1"/>
    <w:rsid w:val="0052035E"/>
    <w:rsid w:val="00522480"/>
    <w:rsid w:val="005228AC"/>
    <w:rsid w:val="00522A41"/>
    <w:rsid w:val="00522EA4"/>
    <w:rsid w:val="00523F9C"/>
    <w:rsid w:val="005244D9"/>
    <w:rsid w:val="005245DF"/>
    <w:rsid w:val="005255F3"/>
    <w:rsid w:val="0052562F"/>
    <w:rsid w:val="00525B67"/>
    <w:rsid w:val="00526292"/>
    <w:rsid w:val="005263DF"/>
    <w:rsid w:val="00527249"/>
    <w:rsid w:val="00527B73"/>
    <w:rsid w:val="00527CA8"/>
    <w:rsid w:val="00530E0B"/>
    <w:rsid w:val="005312F9"/>
    <w:rsid w:val="0053135F"/>
    <w:rsid w:val="005315F9"/>
    <w:rsid w:val="00532936"/>
    <w:rsid w:val="00532B5C"/>
    <w:rsid w:val="00532D7A"/>
    <w:rsid w:val="00532FB1"/>
    <w:rsid w:val="00533922"/>
    <w:rsid w:val="005341EE"/>
    <w:rsid w:val="005342FB"/>
    <w:rsid w:val="005343DB"/>
    <w:rsid w:val="005346A4"/>
    <w:rsid w:val="00534893"/>
    <w:rsid w:val="00534A26"/>
    <w:rsid w:val="00534D4F"/>
    <w:rsid w:val="00534E59"/>
    <w:rsid w:val="00535362"/>
    <w:rsid w:val="00536382"/>
    <w:rsid w:val="00536E44"/>
    <w:rsid w:val="00536E81"/>
    <w:rsid w:val="00536EAF"/>
    <w:rsid w:val="00540129"/>
    <w:rsid w:val="00540515"/>
    <w:rsid w:val="00540522"/>
    <w:rsid w:val="0054080A"/>
    <w:rsid w:val="00540987"/>
    <w:rsid w:val="00540A1F"/>
    <w:rsid w:val="00541199"/>
    <w:rsid w:val="00541913"/>
    <w:rsid w:val="00541A01"/>
    <w:rsid w:val="00541C7E"/>
    <w:rsid w:val="005423E8"/>
    <w:rsid w:val="00542A98"/>
    <w:rsid w:val="00543473"/>
    <w:rsid w:val="00543ACD"/>
    <w:rsid w:val="00543CFA"/>
    <w:rsid w:val="00543FB9"/>
    <w:rsid w:val="0054418D"/>
    <w:rsid w:val="00544A05"/>
    <w:rsid w:val="00544A19"/>
    <w:rsid w:val="00544CB7"/>
    <w:rsid w:val="0054503F"/>
    <w:rsid w:val="0054509B"/>
    <w:rsid w:val="0054517F"/>
    <w:rsid w:val="00545581"/>
    <w:rsid w:val="00545CC4"/>
    <w:rsid w:val="00545D72"/>
    <w:rsid w:val="00545E4C"/>
    <w:rsid w:val="0054671A"/>
    <w:rsid w:val="00546A62"/>
    <w:rsid w:val="00546BAE"/>
    <w:rsid w:val="00546D54"/>
    <w:rsid w:val="0054731D"/>
    <w:rsid w:val="005474B5"/>
    <w:rsid w:val="00547899"/>
    <w:rsid w:val="00547DF8"/>
    <w:rsid w:val="00550163"/>
    <w:rsid w:val="005508C6"/>
    <w:rsid w:val="00550CA7"/>
    <w:rsid w:val="00550FCE"/>
    <w:rsid w:val="005516C9"/>
    <w:rsid w:val="00551952"/>
    <w:rsid w:val="00551A04"/>
    <w:rsid w:val="00551FE5"/>
    <w:rsid w:val="00552EEB"/>
    <w:rsid w:val="00553810"/>
    <w:rsid w:val="00553829"/>
    <w:rsid w:val="005538FA"/>
    <w:rsid w:val="00553A7E"/>
    <w:rsid w:val="00554B2F"/>
    <w:rsid w:val="00555203"/>
    <w:rsid w:val="0055548D"/>
    <w:rsid w:val="00555542"/>
    <w:rsid w:val="00555C48"/>
    <w:rsid w:val="00555D6D"/>
    <w:rsid w:val="005561BD"/>
    <w:rsid w:val="005568D0"/>
    <w:rsid w:val="00556E1F"/>
    <w:rsid w:val="005571ED"/>
    <w:rsid w:val="0055730A"/>
    <w:rsid w:val="005573CA"/>
    <w:rsid w:val="00557B0E"/>
    <w:rsid w:val="005604B8"/>
    <w:rsid w:val="005604E8"/>
    <w:rsid w:val="00560CC1"/>
    <w:rsid w:val="0056126C"/>
    <w:rsid w:val="0056127A"/>
    <w:rsid w:val="005614C1"/>
    <w:rsid w:val="005623CE"/>
    <w:rsid w:val="005631E0"/>
    <w:rsid w:val="00563230"/>
    <w:rsid w:val="00563267"/>
    <w:rsid w:val="005635F1"/>
    <w:rsid w:val="005646D1"/>
    <w:rsid w:val="00564CED"/>
    <w:rsid w:val="005650B9"/>
    <w:rsid w:val="00565EBC"/>
    <w:rsid w:val="005662F4"/>
    <w:rsid w:val="00566E90"/>
    <w:rsid w:val="00566FAF"/>
    <w:rsid w:val="005670E2"/>
    <w:rsid w:val="0056783F"/>
    <w:rsid w:val="005704AB"/>
    <w:rsid w:val="0057078F"/>
    <w:rsid w:val="00570D58"/>
    <w:rsid w:val="0057124B"/>
    <w:rsid w:val="00571632"/>
    <w:rsid w:val="00571C19"/>
    <w:rsid w:val="0057327E"/>
    <w:rsid w:val="00573B96"/>
    <w:rsid w:val="00574242"/>
    <w:rsid w:val="00574353"/>
    <w:rsid w:val="005746A2"/>
    <w:rsid w:val="005753E5"/>
    <w:rsid w:val="0057592F"/>
    <w:rsid w:val="00576132"/>
    <w:rsid w:val="00576557"/>
    <w:rsid w:val="00577024"/>
    <w:rsid w:val="00577A8E"/>
    <w:rsid w:val="005807BA"/>
    <w:rsid w:val="00580CE9"/>
    <w:rsid w:val="0058124A"/>
    <w:rsid w:val="0058132D"/>
    <w:rsid w:val="00581772"/>
    <w:rsid w:val="005830DE"/>
    <w:rsid w:val="00583234"/>
    <w:rsid w:val="00583DA8"/>
    <w:rsid w:val="005845FD"/>
    <w:rsid w:val="00584CDC"/>
    <w:rsid w:val="00585D6D"/>
    <w:rsid w:val="00585F9F"/>
    <w:rsid w:val="005863E9"/>
    <w:rsid w:val="005867D6"/>
    <w:rsid w:val="005874FB"/>
    <w:rsid w:val="0058765E"/>
    <w:rsid w:val="00587CA4"/>
    <w:rsid w:val="00587E09"/>
    <w:rsid w:val="005901D4"/>
    <w:rsid w:val="00590201"/>
    <w:rsid w:val="00590707"/>
    <w:rsid w:val="00590A2E"/>
    <w:rsid w:val="00590C5D"/>
    <w:rsid w:val="005911A1"/>
    <w:rsid w:val="005917A8"/>
    <w:rsid w:val="0059232C"/>
    <w:rsid w:val="00592628"/>
    <w:rsid w:val="00592D01"/>
    <w:rsid w:val="005930BC"/>
    <w:rsid w:val="005932E5"/>
    <w:rsid w:val="00593350"/>
    <w:rsid w:val="00593C81"/>
    <w:rsid w:val="00593DE5"/>
    <w:rsid w:val="00593F42"/>
    <w:rsid w:val="00594118"/>
    <w:rsid w:val="00594857"/>
    <w:rsid w:val="005958A8"/>
    <w:rsid w:val="00596399"/>
    <w:rsid w:val="00596718"/>
    <w:rsid w:val="00596826"/>
    <w:rsid w:val="00596A60"/>
    <w:rsid w:val="00596BD3"/>
    <w:rsid w:val="005970DE"/>
    <w:rsid w:val="00597A2D"/>
    <w:rsid w:val="005A08FE"/>
    <w:rsid w:val="005A0B0D"/>
    <w:rsid w:val="005A1540"/>
    <w:rsid w:val="005A1911"/>
    <w:rsid w:val="005A1A8A"/>
    <w:rsid w:val="005A21EB"/>
    <w:rsid w:val="005A2354"/>
    <w:rsid w:val="005A267E"/>
    <w:rsid w:val="005A296C"/>
    <w:rsid w:val="005A3063"/>
    <w:rsid w:val="005A392D"/>
    <w:rsid w:val="005A3B55"/>
    <w:rsid w:val="005A3B72"/>
    <w:rsid w:val="005A41F0"/>
    <w:rsid w:val="005A4202"/>
    <w:rsid w:val="005A42ED"/>
    <w:rsid w:val="005A491A"/>
    <w:rsid w:val="005A5798"/>
    <w:rsid w:val="005A5940"/>
    <w:rsid w:val="005A598C"/>
    <w:rsid w:val="005A5998"/>
    <w:rsid w:val="005A5F32"/>
    <w:rsid w:val="005A6356"/>
    <w:rsid w:val="005A64D4"/>
    <w:rsid w:val="005A6B13"/>
    <w:rsid w:val="005A6D9C"/>
    <w:rsid w:val="005A7722"/>
    <w:rsid w:val="005A7A82"/>
    <w:rsid w:val="005A7F59"/>
    <w:rsid w:val="005B012E"/>
    <w:rsid w:val="005B01DD"/>
    <w:rsid w:val="005B0506"/>
    <w:rsid w:val="005B0DC7"/>
    <w:rsid w:val="005B0FE8"/>
    <w:rsid w:val="005B11DD"/>
    <w:rsid w:val="005B19F2"/>
    <w:rsid w:val="005B1C58"/>
    <w:rsid w:val="005B2678"/>
    <w:rsid w:val="005B2C78"/>
    <w:rsid w:val="005B36DB"/>
    <w:rsid w:val="005B3792"/>
    <w:rsid w:val="005B37E4"/>
    <w:rsid w:val="005B3F58"/>
    <w:rsid w:val="005B414A"/>
    <w:rsid w:val="005B4153"/>
    <w:rsid w:val="005B4303"/>
    <w:rsid w:val="005B4611"/>
    <w:rsid w:val="005B4D0C"/>
    <w:rsid w:val="005B5483"/>
    <w:rsid w:val="005B5904"/>
    <w:rsid w:val="005B5AA3"/>
    <w:rsid w:val="005B5B54"/>
    <w:rsid w:val="005B5D55"/>
    <w:rsid w:val="005B6B0F"/>
    <w:rsid w:val="005B6EE0"/>
    <w:rsid w:val="005B73C1"/>
    <w:rsid w:val="005B752C"/>
    <w:rsid w:val="005C014C"/>
    <w:rsid w:val="005C04B5"/>
    <w:rsid w:val="005C065C"/>
    <w:rsid w:val="005C0CFF"/>
    <w:rsid w:val="005C0ECE"/>
    <w:rsid w:val="005C1258"/>
    <w:rsid w:val="005C1694"/>
    <w:rsid w:val="005C1859"/>
    <w:rsid w:val="005C189F"/>
    <w:rsid w:val="005C19AF"/>
    <w:rsid w:val="005C1C2E"/>
    <w:rsid w:val="005C240B"/>
    <w:rsid w:val="005C2775"/>
    <w:rsid w:val="005C2CB3"/>
    <w:rsid w:val="005C35A3"/>
    <w:rsid w:val="005C35CF"/>
    <w:rsid w:val="005C39C0"/>
    <w:rsid w:val="005C3F62"/>
    <w:rsid w:val="005C3F79"/>
    <w:rsid w:val="005C417E"/>
    <w:rsid w:val="005C4200"/>
    <w:rsid w:val="005C42A5"/>
    <w:rsid w:val="005C4C76"/>
    <w:rsid w:val="005C4CBD"/>
    <w:rsid w:val="005C4DA4"/>
    <w:rsid w:val="005C4FED"/>
    <w:rsid w:val="005C5663"/>
    <w:rsid w:val="005C5799"/>
    <w:rsid w:val="005C59BA"/>
    <w:rsid w:val="005C6160"/>
    <w:rsid w:val="005C6367"/>
    <w:rsid w:val="005C6BAB"/>
    <w:rsid w:val="005C7670"/>
    <w:rsid w:val="005C7D50"/>
    <w:rsid w:val="005C7E11"/>
    <w:rsid w:val="005C7F78"/>
    <w:rsid w:val="005D00C0"/>
    <w:rsid w:val="005D086C"/>
    <w:rsid w:val="005D0B7D"/>
    <w:rsid w:val="005D0B9F"/>
    <w:rsid w:val="005D13BE"/>
    <w:rsid w:val="005D1724"/>
    <w:rsid w:val="005D1B64"/>
    <w:rsid w:val="005D1C86"/>
    <w:rsid w:val="005D1E53"/>
    <w:rsid w:val="005D40DC"/>
    <w:rsid w:val="005D49A4"/>
    <w:rsid w:val="005D50BB"/>
    <w:rsid w:val="005D5187"/>
    <w:rsid w:val="005D518B"/>
    <w:rsid w:val="005D57A4"/>
    <w:rsid w:val="005D5A63"/>
    <w:rsid w:val="005D5C2D"/>
    <w:rsid w:val="005D5EAE"/>
    <w:rsid w:val="005D664C"/>
    <w:rsid w:val="005D694F"/>
    <w:rsid w:val="005D696F"/>
    <w:rsid w:val="005D704B"/>
    <w:rsid w:val="005D7B06"/>
    <w:rsid w:val="005E0480"/>
    <w:rsid w:val="005E0A90"/>
    <w:rsid w:val="005E0EDB"/>
    <w:rsid w:val="005E13C5"/>
    <w:rsid w:val="005E17CE"/>
    <w:rsid w:val="005E188F"/>
    <w:rsid w:val="005E1B4E"/>
    <w:rsid w:val="005E2BEA"/>
    <w:rsid w:val="005E2EFA"/>
    <w:rsid w:val="005E3508"/>
    <w:rsid w:val="005E3680"/>
    <w:rsid w:val="005E3930"/>
    <w:rsid w:val="005E3A16"/>
    <w:rsid w:val="005E4144"/>
    <w:rsid w:val="005E438F"/>
    <w:rsid w:val="005E454F"/>
    <w:rsid w:val="005E4866"/>
    <w:rsid w:val="005E5118"/>
    <w:rsid w:val="005E5149"/>
    <w:rsid w:val="005E5192"/>
    <w:rsid w:val="005E62DF"/>
    <w:rsid w:val="005E6A21"/>
    <w:rsid w:val="005E6C6D"/>
    <w:rsid w:val="005E6DAD"/>
    <w:rsid w:val="005E732F"/>
    <w:rsid w:val="005E74D7"/>
    <w:rsid w:val="005E758C"/>
    <w:rsid w:val="005E79C6"/>
    <w:rsid w:val="005F0031"/>
    <w:rsid w:val="005F0454"/>
    <w:rsid w:val="005F0693"/>
    <w:rsid w:val="005F0A5B"/>
    <w:rsid w:val="005F0C2C"/>
    <w:rsid w:val="005F0D3B"/>
    <w:rsid w:val="005F1237"/>
    <w:rsid w:val="005F1A8E"/>
    <w:rsid w:val="005F2E64"/>
    <w:rsid w:val="005F2EF7"/>
    <w:rsid w:val="005F309B"/>
    <w:rsid w:val="005F34A8"/>
    <w:rsid w:val="005F39FE"/>
    <w:rsid w:val="005F3A0E"/>
    <w:rsid w:val="005F3BA5"/>
    <w:rsid w:val="005F3CDC"/>
    <w:rsid w:val="005F4497"/>
    <w:rsid w:val="005F453B"/>
    <w:rsid w:val="005F4A72"/>
    <w:rsid w:val="005F4CBF"/>
    <w:rsid w:val="005F505A"/>
    <w:rsid w:val="005F572A"/>
    <w:rsid w:val="005F5F24"/>
    <w:rsid w:val="005F63F2"/>
    <w:rsid w:val="005F641C"/>
    <w:rsid w:val="005F6436"/>
    <w:rsid w:val="005F6568"/>
    <w:rsid w:val="005F6BEF"/>
    <w:rsid w:val="005F6C43"/>
    <w:rsid w:val="005F6E1A"/>
    <w:rsid w:val="005F711B"/>
    <w:rsid w:val="005F720D"/>
    <w:rsid w:val="005F7AF1"/>
    <w:rsid w:val="005F7F62"/>
    <w:rsid w:val="00600604"/>
    <w:rsid w:val="00600993"/>
    <w:rsid w:val="00600E12"/>
    <w:rsid w:val="00601311"/>
    <w:rsid w:val="0060177C"/>
    <w:rsid w:val="006017F9"/>
    <w:rsid w:val="00601BCE"/>
    <w:rsid w:val="006030FD"/>
    <w:rsid w:val="00603116"/>
    <w:rsid w:val="00603278"/>
    <w:rsid w:val="0060380C"/>
    <w:rsid w:val="006040A0"/>
    <w:rsid w:val="00604442"/>
    <w:rsid w:val="00604B5E"/>
    <w:rsid w:val="00604D3F"/>
    <w:rsid w:val="00605107"/>
    <w:rsid w:val="00605B19"/>
    <w:rsid w:val="00605B9F"/>
    <w:rsid w:val="00605EF3"/>
    <w:rsid w:val="00606309"/>
    <w:rsid w:val="0060671F"/>
    <w:rsid w:val="006069DA"/>
    <w:rsid w:val="00606BEC"/>
    <w:rsid w:val="00606D2D"/>
    <w:rsid w:val="0060787B"/>
    <w:rsid w:val="006100DA"/>
    <w:rsid w:val="006105D3"/>
    <w:rsid w:val="006105D6"/>
    <w:rsid w:val="00610C3B"/>
    <w:rsid w:val="00610F5E"/>
    <w:rsid w:val="006117E3"/>
    <w:rsid w:val="0061190D"/>
    <w:rsid w:val="0061279E"/>
    <w:rsid w:val="00612825"/>
    <w:rsid w:val="00612978"/>
    <w:rsid w:val="00612FC2"/>
    <w:rsid w:val="00613210"/>
    <w:rsid w:val="006133A7"/>
    <w:rsid w:val="0061357D"/>
    <w:rsid w:val="006137AC"/>
    <w:rsid w:val="00613D84"/>
    <w:rsid w:val="006149BB"/>
    <w:rsid w:val="00614AE1"/>
    <w:rsid w:val="00615255"/>
    <w:rsid w:val="00615796"/>
    <w:rsid w:val="006158A7"/>
    <w:rsid w:val="0061590B"/>
    <w:rsid w:val="00615D1B"/>
    <w:rsid w:val="006160C7"/>
    <w:rsid w:val="006163AC"/>
    <w:rsid w:val="00616A26"/>
    <w:rsid w:val="00616B9B"/>
    <w:rsid w:val="00616C00"/>
    <w:rsid w:val="00616DB8"/>
    <w:rsid w:val="00616E46"/>
    <w:rsid w:val="00616E83"/>
    <w:rsid w:val="00617BDF"/>
    <w:rsid w:val="00620C5E"/>
    <w:rsid w:val="00620E13"/>
    <w:rsid w:val="006212BA"/>
    <w:rsid w:val="006214E2"/>
    <w:rsid w:val="00621C61"/>
    <w:rsid w:val="00621ED0"/>
    <w:rsid w:val="00622159"/>
    <w:rsid w:val="0062221F"/>
    <w:rsid w:val="0062254F"/>
    <w:rsid w:val="0062268A"/>
    <w:rsid w:val="00623357"/>
    <w:rsid w:val="006233D0"/>
    <w:rsid w:val="00623681"/>
    <w:rsid w:val="00624144"/>
    <w:rsid w:val="00624B42"/>
    <w:rsid w:val="00624CA6"/>
    <w:rsid w:val="00625C1A"/>
    <w:rsid w:val="00625E6C"/>
    <w:rsid w:val="006261D0"/>
    <w:rsid w:val="006264D8"/>
    <w:rsid w:val="00627633"/>
    <w:rsid w:val="0062792E"/>
    <w:rsid w:val="00627AEF"/>
    <w:rsid w:val="00630434"/>
    <w:rsid w:val="00630C6B"/>
    <w:rsid w:val="00630CA6"/>
    <w:rsid w:val="00630EE8"/>
    <w:rsid w:val="0063107F"/>
    <w:rsid w:val="00631823"/>
    <w:rsid w:val="00632211"/>
    <w:rsid w:val="00632538"/>
    <w:rsid w:val="0063270F"/>
    <w:rsid w:val="006329B5"/>
    <w:rsid w:val="00633648"/>
    <w:rsid w:val="00633D90"/>
    <w:rsid w:val="006352E8"/>
    <w:rsid w:val="006356E5"/>
    <w:rsid w:val="00635B94"/>
    <w:rsid w:val="00635B98"/>
    <w:rsid w:val="00636498"/>
    <w:rsid w:val="00637054"/>
    <w:rsid w:val="00637280"/>
    <w:rsid w:val="006374FD"/>
    <w:rsid w:val="00637505"/>
    <w:rsid w:val="0063753C"/>
    <w:rsid w:val="00637B1E"/>
    <w:rsid w:val="00637B9B"/>
    <w:rsid w:val="00637FAE"/>
    <w:rsid w:val="006400DB"/>
    <w:rsid w:val="00640422"/>
    <w:rsid w:val="006413F4"/>
    <w:rsid w:val="00641B70"/>
    <w:rsid w:val="00641D29"/>
    <w:rsid w:val="006427DC"/>
    <w:rsid w:val="00642921"/>
    <w:rsid w:val="00642B1D"/>
    <w:rsid w:val="00642EE2"/>
    <w:rsid w:val="00643624"/>
    <w:rsid w:val="00643994"/>
    <w:rsid w:val="00643F33"/>
    <w:rsid w:val="006448BB"/>
    <w:rsid w:val="00644CA0"/>
    <w:rsid w:val="0064505B"/>
    <w:rsid w:val="006450E0"/>
    <w:rsid w:val="00645284"/>
    <w:rsid w:val="0064567A"/>
    <w:rsid w:val="006466D3"/>
    <w:rsid w:val="00646C2D"/>
    <w:rsid w:val="00647350"/>
    <w:rsid w:val="00647960"/>
    <w:rsid w:val="00647EB6"/>
    <w:rsid w:val="00650857"/>
    <w:rsid w:val="00650B75"/>
    <w:rsid w:val="00651705"/>
    <w:rsid w:val="00652585"/>
    <w:rsid w:val="00652651"/>
    <w:rsid w:val="006530B2"/>
    <w:rsid w:val="00653C89"/>
    <w:rsid w:val="0065418A"/>
    <w:rsid w:val="0065486A"/>
    <w:rsid w:val="00654A04"/>
    <w:rsid w:val="00654AA7"/>
    <w:rsid w:val="00655168"/>
    <w:rsid w:val="006556B4"/>
    <w:rsid w:val="006557A9"/>
    <w:rsid w:val="00656532"/>
    <w:rsid w:val="00657208"/>
    <w:rsid w:val="006578C8"/>
    <w:rsid w:val="006579DD"/>
    <w:rsid w:val="00660151"/>
    <w:rsid w:val="00660AC8"/>
    <w:rsid w:val="00660E70"/>
    <w:rsid w:val="006611C8"/>
    <w:rsid w:val="00661868"/>
    <w:rsid w:val="00662A7A"/>
    <w:rsid w:val="00662CF1"/>
    <w:rsid w:val="006637DF"/>
    <w:rsid w:val="0066381D"/>
    <w:rsid w:val="00664020"/>
    <w:rsid w:val="0066460E"/>
    <w:rsid w:val="00665141"/>
    <w:rsid w:val="00665A97"/>
    <w:rsid w:val="00665E84"/>
    <w:rsid w:val="0066611C"/>
    <w:rsid w:val="0066634E"/>
    <w:rsid w:val="00666D74"/>
    <w:rsid w:val="00667A28"/>
    <w:rsid w:val="00667AB6"/>
    <w:rsid w:val="006708DB"/>
    <w:rsid w:val="00670A41"/>
    <w:rsid w:val="00670B06"/>
    <w:rsid w:val="00670EFD"/>
    <w:rsid w:val="00670F37"/>
    <w:rsid w:val="00671021"/>
    <w:rsid w:val="006710C3"/>
    <w:rsid w:val="00671CB9"/>
    <w:rsid w:val="00671EC3"/>
    <w:rsid w:val="0067206B"/>
    <w:rsid w:val="00672718"/>
    <w:rsid w:val="0067283A"/>
    <w:rsid w:val="00672D2C"/>
    <w:rsid w:val="00673662"/>
    <w:rsid w:val="006737FD"/>
    <w:rsid w:val="0067394E"/>
    <w:rsid w:val="00673A48"/>
    <w:rsid w:val="00674632"/>
    <w:rsid w:val="0067468D"/>
    <w:rsid w:val="00674B56"/>
    <w:rsid w:val="00674C99"/>
    <w:rsid w:val="00674F6D"/>
    <w:rsid w:val="00675469"/>
    <w:rsid w:val="006756B0"/>
    <w:rsid w:val="006758B5"/>
    <w:rsid w:val="00675C6D"/>
    <w:rsid w:val="00675C7E"/>
    <w:rsid w:val="00675C80"/>
    <w:rsid w:val="00676379"/>
    <w:rsid w:val="006763F5"/>
    <w:rsid w:val="00676A4C"/>
    <w:rsid w:val="00676ABB"/>
    <w:rsid w:val="00676D35"/>
    <w:rsid w:val="006770F7"/>
    <w:rsid w:val="006774E2"/>
    <w:rsid w:val="00677A8B"/>
    <w:rsid w:val="00677BF1"/>
    <w:rsid w:val="00677F0E"/>
    <w:rsid w:val="0068050C"/>
    <w:rsid w:val="0068072B"/>
    <w:rsid w:val="00680882"/>
    <w:rsid w:val="00680D0E"/>
    <w:rsid w:val="00681086"/>
    <w:rsid w:val="00681A94"/>
    <w:rsid w:val="00681D2B"/>
    <w:rsid w:val="00681E98"/>
    <w:rsid w:val="00682647"/>
    <w:rsid w:val="00682687"/>
    <w:rsid w:val="006828DE"/>
    <w:rsid w:val="006833C2"/>
    <w:rsid w:val="00683719"/>
    <w:rsid w:val="006839FD"/>
    <w:rsid w:val="00683AB1"/>
    <w:rsid w:val="00683B13"/>
    <w:rsid w:val="006847CC"/>
    <w:rsid w:val="00684A1A"/>
    <w:rsid w:val="00684C33"/>
    <w:rsid w:val="00685114"/>
    <w:rsid w:val="006851BD"/>
    <w:rsid w:val="0068583C"/>
    <w:rsid w:val="00685D32"/>
    <w:rsid w:val="006862B3"/>
    <w:rsid w:val="006862CD"/>
    <w:rsid w:val="006864A4"/>
    <w:rsid w:val="0068651F"/>
    <w:rsid w:val="00686C56"/>
    <w:rsid w:val="00687BA0"/>
    <w:rsid w:val="00687F81"/>
    <w:rsid w:val="00687FD4"/>
    <w:rsid w:val="0069079C"/>
    <w:rsid w:val="00691388"/>
    <w:rsid w:val="006913CD"/>
    <w:rsid w:val="00691444"/>
    <w:rsid w:val="006916A9"/>
    <w:rsid w:val="00691D3A"/>
    <w:rsid w:val="0069260C"/>
    <w:rsid w:val="00692831"/>
    <w:rsid w:val="0069427F"/>
    <w:rsid w:val="0069464D"/>
    <w:rsid w:val="00694B5D"/>
    <w:rsid w:val="00695A27"/>
    <w:rsid w:val="00695BC8"/>
    <w:rsid w:val="00695E47"/>
    <w:rsid w:val="0069600C"/>
    <w:rsid w:val="00696214"/>
    <w:rsid w:val="00696494"/>
    <w:rsid w:val="00697269"/>
    <w:rsid w:val="0069756A"/>
    <w:rsid w:val="0069770E"/>
    <w:rsid w:val="00697FEB"/>
    <w:rsid w:val="006A0121"/>
    <w:rsid w:val="006A04C7"/>
    <w:rsid w:val="006A0810"/>
    <w:rsid w:val="006A0ED4"/>
    <w:rsid w:val="006A14F3"/>
    <w:rsid w:val="006A2252"/>
    <w:rsid w:val="006A22F2"/>
    <w:rsid w:val="006A23DF"/>
    <w:rsid w:val="006A27F9"/>
    <w:rsid w:val="006A2C70"/>
    <w:rsid w:val="006A3659"/>
    <w:rsid w:val="006A3A22"/>
    <w:rsid w:val="006A42CA"/>
    <w:rsid w:val="006A48CD"/>
    <w:rsid w:val="006A4A3B"/>
    <w:rsid w:val="006A5BAF"/>
    <w:rsid w:val="006A671A"/>
    <w:rsid w:val="006A69E2"/>
    <w:rsid w:val="006A6BD2"/>
    <w:rsid w:val="006A6D86"/>
    <w:rsid w:val="006A75C8"/>
    <w:rsid w:val="006A7718"/>
    <w:rsid w:val="006A7978"/>
    <w:rsid w:val="006A7D66"/>
    <w:rsid w:val="006A7E73"/>
    <w:rsid w:val="006B0ECA"/>
    <w:rsid w:val="006B1626"/>
    <w:rsid w:val="006B2B14"/>
    <w:rsid w:val="006B319B"/>
    <w:rsid w:val="006B35C9"/>
    <w:rsid w:val="006B36D3"/>
    <w:rsid w:val="006B3B48"/>
    <w:rsid w:val="006B3E63"/>
    <w:rsid w:val="006B4564"/>
    <w:rsid w:val="006B4A10"/>
    <w:rsid w:val="006B5002"/>
    <w:rsid w:val="006B580B"/>
    <w:rsid w:val="006B5B62"/>
    <w:rsid w:val="006B6138"/>
    <w:rsid w:val="006B6641"/>
    <w:rsid w:val="006B67FF"/>
    <w:rsid w:val="006B6CBD"/>
    <w:rsid w:val="006B6D18"/>
    <w:rsid w:val="006B6DCB"/>
    <w:rsid w:val="006B7548"/>
    <w:rsid w:val="006B77EA"/>
    <w:rsid w:val="006B789C"/>
    <w:rsid w:val="006B7CBA"/>
    <w:rsid w:val="006B7D52"/>
    <w:rsid w:val="006C0679"/>
    <w:rsid w:val="006C06C6"/>
    <w:rsid w:val="006C0BDB"/>
    <w:rsid w:val="006C0F30"/>
    <w:rsid w:val="006C1919"/>
    <w:rsid w:val="006C1D1B"/>
    <w:rsid w:val="006C1E5A"/>
    <w:rsid w:val="006C1EE5"/>
    <w:rsid w:val="006C213C"/>
    <w:rsid w:val="006C22E8"/>
    <w:rsid w:val="006C2ED5"/>
    <w:rsid w:val="006C30B8"/>
    <w:rsid w:val="006C30C7"/>
    <w:rsid w:val="006C3379"/>
    <w:rsid w:val="006C3892"/>
    <w:rsid w:val="006C46DD"/>
    <w:rsid w:val="006C4A18"/>
    <w:rsid w:val="006C4F4D"/>
    <w:rsid w:val="006C586F"/>
    <w:rsid w:val="006C5D6B"/>
    <w:rsid w:val="006C5F03"/>
    <w:rsid w:val="006C6D23"/>
    <w:rsid w:val="006C7ADC"/>
    <w:rsid w:val="006C7B32"/>
    <w:rsid w:val="006C7D9E"/>
    <w:rsid w:val="006D0116"/>
    <w:rsid w:val="006D016E"/>
    <w:rsid w:val="006D0698"/>
    <w:rsid w:val="006D0C7B"/>
    <w:rsid w:val="006D1237"/>
    <w:rsid w:val="006D14FE"/>
    <w:rsid w:val="006D1BEC"/>
    <w:rsid w:val="006D1D26"/>
    <w:rsid w:val="006D1DE5"/>
    <w:rsid w:val="006D201B"/>
    <w:rsid w:val="006D2062"/>
    <w:rsid w:val="006D213C"/>
    <w:rsid w:val="006D235A"/>
    <w:rsid w:val="006D3C22"/>
    <w:rsid w:val="006D4638"/>
    <w:rsid w:val="006D46E2"/>
    <w:rsid w:val="006D4B63"/>
    <w:rsid w:val="006D513D"/>
    <w:rsid w:val="006D517E"/>
    <w:rsid w:val="006D51FC"/>
    <w:rsid w:val="006D5386"/>
    <w:rsid w:val="006D53B8"/>
    <w:rsid w:val="006D56BC"/>
    <w:rsid w:val="006D5B46"/>
    <w:rsid w:val="006D5E4B"/>
    <w:rsid w:val="006D5F51"/>
    <w:rsid w:val="006D60FF"/>
    <w:rsid w:val="006D6235"/>
    <w:rsid w:val="006D65E6"/>
    <w:rsid w:val="006D6EA2"/>
    <w:rsid w:val="006D7993"/>
    <w:rsid w:val="006D7E0D"/>
    <w:rsid w:val="006E0D80"/>
    <w:rsid w:val="006E1122"/>
    <w:rsid w:val="006E121F"/>
    <w:rsid w:val="006E162F"/>
    <w:rsid w:val="006E1690"/>
    <w:rsid w:val="006E17EC"/>
    <w:rsid w:val="006E1AC2"/>
    <w:rsid w:val="006E278A"/>
    <w:rsid w:val="006E2847"/>
    <w:rsid w:val="006E2A49"/>
    <w:rsid w:val="006E2F6F"/>
    <w:rsid w:val="006E3131"/>
    <w:rsid w:val="006E396B"/>
    <w:rsid w:val="006E3A7F"/>
    <w:rsid w:val="006E3B27"/>
    <w:rsid w:val="006E3BFA"/>
    <w:rsid w:val="006E44A7"/>
    <w:rsid w:val="006E4ECA"/>
    <w:rsid w:val="006E52BD"/>
    <w:rsid w:val="006E60BD"/>
    <w:rsid w:val="006E66B7"/>
    <w:rsid w:val="006F0C68"/>
    <w:rsid w:val="006F1141"/>
    <w:rsid w:val="006F1304"/>
    <w:rsid w:val="006F1BFD"/>
    <w:rsid w:val="006F2581"/>
    <w:rsid w:val="006F2AC1"/>
    <w:rsid w:val="006F2CAB"/>
    <w:rsid w:val="006F32C3"/>
    <w:rsid w:val="006F33BE"/>
    <w:rsid w:val="006F353B"/>
    <w:rsid w:val="006F37DA"/>
    <w:rsid w:val="006F3BAC"/>
    <w:rsid w:val="006F3BE2"/>
    <w:rsid w:val="006F3E77"/>
    <w:rsid w:val="006F3FC6"/>
    <w:rsid w:val="006F47B9"/>
    <w:rsid w:val="006F4AAE"/>
    <w:rsid w:val="006F4B5F"/>
    <w:rsid w:val="006F56CE"/>
    <w:rsid w:val="006F5F97"/>
    <w:rsid w:val="006F6857"/>
    <w:rsid w:val="006F6A12"/>
    <w:rsid w:val="006F6DF7"/>
    <w:rsid w:val="006F6FFB"/>
    <w:rsid w:val="006F7BCC"/>
    <w:rsid w:val="0070058A"/>
    <w:rsid w:val="00700E2D"/>
    <w:rsid w:val="00700E8E"/>
    <w:rsid w:val="00700F23"/>
    <w:rsid w:val="00701506"/>
    <w:rsid w:val="00701810"/>
    <w:rsid w:val="0070183B"/>
    <w:rsid w:val="007018F4"/>
    <w:rsid w:val="0070190E"/>
    <w:rsid w:val="00701C34"/>
    <w:rsid w:val="00701EEA"/>
    <w:rsid w:val="007029F5"/>
    <w:rsid w:val="00702A86"/>
    <w:rsid w:val="00702F20"/>
    <w:rsid w:val="00702FE2"/>
    <w:rsid w:val="007031A9"/>
    <w:rsid w:val="0070423F"/>
    <w:rsid w:val="00704347"/>
    <w:rsid w:val="0070448F"/>
    <w:rsid w:val="007046BE"/>
    <w:rsid w:val="007046F2"/>
    <w:rsid w:val="00705011"/>
    <w:rsid w:val="0070504B"/>
    <w:rsid w:val="00706487"/>
    <w:rsid w:val="00706827"/>
    <w:rsid w:val="007068C9"/>
    <w:rsid w:val="007073DB"/>
    <w:rsid w:val="00707CA4"/>
    <w:rsid w:val="0071021C"/>
    <w:rsid w:val="0071048B"/>
    <w:rsid w:val="007105CB"/>
    <w:rsid w:val="00710661"/>
    <w:rsid w:val="00710770"/>
    <w:rsid w:val="00710FFF"/>
    <w:rsid w:val="007110AC"/>
    <w:rsid w:val="007112E5"/>
    <w:rsid w:val="00711845"/>
    <w:rsid w:val="007119DD"/>
    <w:rsid w:val="00711A36"/>
    <w:rsid w:val="00711AD2"/>
    <w:rsid w:val="00712137"/>
    <w:rsid w:val="00712B76"/>
    <w:rsid w:val="00712C24"/>
    <w:rsid w:val="0071308E"/>
    <w:rsid w:val="007133B6"/>
    <w:rsid w:val="0071489C"/>
    <w:rsid w:val="00714C34"/>
    <w:rsid w:val="007157EF"/>
    <w:rsid w:val="00715BDB"/>
    <w:rsid w:val="00715D23"/>
    <w:rsid w:val="00715E07"/>
    <w:rsid w:val="00716338"/>
    <w:rsid w:val="0071640E"/>
    <w:rsid w:val="00716520"/>
    <w:rsid w:val="00716D4C"/>
    <w:rsid w:val="00717158"/>
    <w:rsid w:val="00717237"/>
    <w:rsid w:val="007173BD"/>
    <w:rsid w:val="00717432"/>
    <w:rsid w:val="0071760B"/>
    <w:rsid w:val="00717704"/>
    <w:rsid w:val="007177AE"/>
    <w:rsid w:val="0071795A"/>
    <w:rsid w:val="007208DA"/>
    <w:rsid w:val="007209B6"/>
    <w:rsid w:val="00720C57"/>
    <w:rsid w:val="00720C74"/>
    <w:rsid w:val="00720D56"/>
    <w:rsid w:val="00721C9B"/>
    <w:rsid w:val="00721F8F"/>
    <w:rsid w:val="00722239"/>
    <w:rsid w:val="007222F5"/>
    <w:rsid w:val="00722562"/>
    <w:rsid w:val="00722DBE"/>
    <w:rsid w:val="007238BE"/>
    <w:rsid w:val="00723C21"/>
    <w:rsid w:val="00724007"/>
    <w:rsid w:val="007244F5"/>
    <w:rsid w:val="00724877"/>
    <w:rsid w:val="007255B2"/>
    <w:rsid w:val="00725805"/>
    <w:rsid w:val="00726532"/>
    <w:rsid w:val="00726652"/>
    <w:rsid w:val="00726B79"/>
    <w:rsid w:val="0072710D"/>
    <w:rsid w:val="007271E5"/>
    <w:rsid w:val="00727404"/>
    <w:rsid w:val="007308C3"/>
    <w:rsid w:val="0073096D"/>
    <w:rsid w:val="00730C55"/>
    <w:rsid w:val="00731247"/>
    <w:rsid w:val="00731352"/>
    <w:rsid w:val="007313B6"/>
    <w:rsid w:val="007314FB"/>
    <w:rsid w:val="00731A16"/>
    <w:rsid w:val="00731E9A"/>
    <w:rsid w:val="00732DBA"/>
    <w:rsid w:val="00733153"/>
    <w:rsid w:val="007332D3"/>
    <w:rsid w:val="00733580"/>
    <w:rsid w:val="00733642"/>
    <w:rsid w:val="007337BA"/>
    <w:rsid w:val="00734210"/>
    <w:rsid w:val="007347F0"/>
    <w:rsid w:val="0073504B"/>
    <w:rsid w:val="0073539E"/>
    <w:rsid w:val="00735A89"/>
    <w:rsid w:val="00735AC7"/>
    <w:rsid w:val="00736679"/>
    <w:rsid w:val="007367AB"/>
    <w:rsid w:val="00736E5E"/>
    <w:rsid w:val="00737812"/>
    <w:rsid w:val="00737F83"/>
    <w:rsid w:val="007403BB"/>
    <w:rsid w:val="00740D12"/>
    <w:rsid w:val="00740D1D"/>
    <w:rsid w:val="00740D99"/>
    <w:rsid w:val="00742660"/>
    <w:rsid w:val="0074278D"/>
    <w:rsid w:val="00742872"/>
    <w:rsid w:val="00742F4C"/>
    <w:rsid w:val="007433A8"/>
    <w:rsid w:val="00743BA0"/>
    <w:rsid w:val="00743D7E"/>
    <w:rsid w:val="007440B2"/>
    <w:rsid w:val="00744BF8"/>
    <w:rsid w:val="00744C1A"/>
    <w:rsid w:val="00744FCF"/>
    <w:rsid w:val="00745354"/>
    <w:rsid w:val="00745727"/>
    <w:rsid w:val="00745844"/>
    <w:rsid w:val="00745C19"/>
    <w:rsid w:val="00746705"/>
    <w:rsid w:val="00746E22"/>
    <w:rsid w:val="00747EEC"/>
    <w:rsid w:val="00750502"/>
    <w:rsid w:val="0075059C"/>
    <w:rsid w:val="007508D2"/>
    <w:rsid w:val="00750FA5"/>
    <w:rsid w:val="007512D0"/>
    <w:rsid w:val="007514A8"/>
    <w:rsid w:val="00751F30"/>
    <w:rsid w:val="0075238A"/>
    <w:rsid w:val="00752899"/>
    <w:rsid w:val="007528A9"/>
    <w:rsid w:val="00752D54"/>
    <w:rsid w:val="00752D98"/>
    <w:rsid w:val="00752F1E"/>
    <w:rsid w:val="007533F8"/>
    <w:rsid w:val="007537C3"/>
    <w:rsid w:val="00753A3D"/>
    <w:rsid w:val="00754581"/>
    <w:rsid w:val="007547D0"/>
    <w:rsid w:val="00754A07"/>
    <w:rsid w:val="00754BAF"/>
    <w:rsid w:val="00754F37"/>
    <w:rsid w:val="00755ACA"/>
    <w:rsid w:val="00755E60"/>
    <w:rsid w:val="0075630B"/>
    <w:rsid w:val="0075639F"/>
    <w:rsid w:val="00756497"/>
    <w:rsid w:val="0075689E"/>
    <w:rsid w:val="007568A1"/>
    <w:rsid w:val="00756CA9"/>
    <w:rsid w:val="00757024"/>
    <w:rsid w:val="00757055"/>
    <w:rsid w:val="007574B1"/>
    <w:rsid w:val="00760285"/>
    <w:rsid w:val="00760655"/>
    <w:rsid w:val="00760678"/>
    <w:rsid w:val="00760A5C"/>
    <w:rsid w:val="0076169B"/>
    <w:rsid w:val="00761BF7"/>
    <w:rsid w:val="00761CC8"/>
    <w:rsid w:val="00761D0A"/>
    <w:rsid w:val="00762974"/>
    <w:rsid w:val="0076334B"/>
    <w:rsid w:val="0076359F"/>
    <w:rsid w:val="00765675"/>
    <w:rsid w:val="0076582C"/>
    <w:rsid w:val="007658EF"/>
    <w:rsid w:val="00765F87"/>
    <w:rsid w:val="0076611E"/>
    <w:rsid w:val="007666AE"/>
    <w:rsid w:val="00766881"/>
    <w:rsid w:val="00766891"/>
    <w:rsid w:val="00766B91"/>
    <w:rsid w:val="0076772C"/>
    <w:rsid w:val="007678AD"/>
    <w:rsid w:val="00767958"/>
    <w:rsid w:val="00767BEE"/>
    <w:rsid w:val="00770176"/>
    <w:rsid w:val="007701C0"/>
    <w:rsid w:val="00770853"/>
    <w:rsid w:val="00770969"/>
    <w:rsid w:val="00770E79"/>
    <w:rsid w:val="00771258"/>
    <w:rsid w:val="0077161B"/>
    <w:rsid w:val="00771AC1"/>
    <w:rsid w:val="00771EF7"/>
    <w:rsid w:val="00771F2B"/>
    <w:rsid w:val="007726D3"/>
    <w:rsid w:val="00772E9C"/>
    <w:rsid w:val="007732D4"/>
    <w:rsid w:val="00773483"/>
    <w:rsid w:val="00773548"/>
    <w:rsid w:val="00773832"/>
    <w:rsid w:val="0077385F"/>
    <w:rsid w:val="00774F4C"/>
    <w:rsid w:val="00774F8E"/>
    <w:rsid w:val="00775307"/>
    <w:rsid w:val="00775B9D"/>
    <w:rsid w:val="00776B79"/>
    <w:rsid w:val="00776C41"/>
    <w:rsid w:val="00776E3A"/>
    <w:rsid w:val="007774C9"/>
    <w:rsid w:val="007777B8"/>
    <w:rsid w:val="00777B03"/>
    <w:rsid w:val="00780107"/>
    <w:rsid w:val="00780159"/>
    <w:rsid w:val="007803D3"/>
    <w:rsid w:val="0078041A"/>
    <w:rsid w:val="0078071C"/>
    <w:rsid w:val="00781544"/>
    <w:rsid w:val="00782840"/>
    <w:rsid w:val="00782A32"/>
    <w:rsid w:val="00782E22"/>
    <w:rsid w:val="00782F98"/>
    <w:rsid w:val="0078333C"/>
    <w:rsid w:val="00784BE3"/>
    <w:rsid w:val="007853A6"/>
    <w:rsid w:val="00785548"/>
    <w:rsid w:val="007861AB"/>
    <w:rsid w:val="00786767"/>
    <w:rsid w:val="0078687B"/>
    <w:rsid w:val="00786E1D"/>
    <w:rsid w:val="00786FDF"/>
    <w:rsid w:val="0078764E"/>
    <w:rsid w:val="00787D59"/>
    <w:rsid w:val="00787E7F"/>
    <w:rsid w:val="00787F56"/>
    <w:rsid w:val="00790034"/>
    <w:rsid w:val="00790367"/>
    <w:rsid w:val="00790902"/>
    <w:rsid w:val="00790E5A"/>
    <w:rsid w:val="00791255"/>
    <w:rsid w:val="00791383"/>
    <w:rsid w:val="007914CC"/>
    <w:rsid w:val="00791559"/>
    <w:rsid w:val="00791B66"/>
    <w:rsid w:val="00791C7A"/>
    <w:rsid w:val="00791F3C"/>
    <w:rsid w:val="00792754"/>
    <w:rsid w:val="0079291C"/>
    <w:rsid w:val="00792DC9"/>
    <w:rsid w:val="007933D8"/>
    <w:rsid w:val="00793CF3"/>
    <w:rsid w:val="00793F84"/>
    <w:rsid w:val="0079497E"/>
    <w:rsid w:val="00794E16"/>
    <w:rsid w:val="00795AA8"/>
    <w:rsid w:val="00797E7C"/>
    <w:rsid w:val="007A013D"/>
    <w:rsid w:val="007A077E"/>
    <w:rsid w:val="007A08EE"/>
    <w:rsid w:val="007A09D0"/>
    <w:rsid w:val="007A16DC"/>
    <w:rsid w:val="007A1897"/>
    <w:rsid w:val="007A20AB"/>
    <w:rsid w:val="007A22E5"/>
    <w:rsid w:val="007A263B"/>
    <w:rsid w:val="007A26E6"/>
    <w:rsid w:val="007A28FE"/>
    <w:rsid w:val="007A2989"/>
    <w:rsid w:val="007A3FBB"/>
    <w:rsid w:val="007A44D8"/>
    <w:rsid w:val="007A45DB"/>
    <w:rsid w:val="007A61E5"/>
    <w:rsid w:val="007A7AE1"/>
    <w:rsid w:val="007A7BCA"/>
    <w:rsid w:val="007B0131"/>
    <w:rsid w:val="007B015F"/>
    <w:rsid w:val="007B035F"/>
    <w:rsid w:val="007B03FE"/>
    <w:rsid w:val="007B0583"/>
    <w:rsid w:val="007B09D2"/>
    <w:rsid w:val="007B0CE6"/>
    <w:rsid w:val="007B0DA7"/>
    <w:rsid w:val="007B131A"/>
    <w:rsid w:val="007B1B20"/>
    <w:rsid w:val="007B1D8D"/>
    <w:rsid w:val="007B24D9"/>
    <w:rsid w:val="007B25CB"/>
    <w:rsid w:val="007B29A2"/>
    <w:rsid w:val="007B355D"/>
    <w:rsid w:val="007B3AFC"/>
    <w:rsid w:val="007B5110"/>
    <w:rsid w:val="007B53A3"/>
    <w:rsid w:val="007B596F"/>
    <w:rsid w:val="007B5EF3"/>
    <w:rsid w:val="007B5FF2"/>
    <w:rsid w:val="007B6133"/>
    <w:rsid w:val="007B629A"/>
    <w:rsid w:val="007B6452"/>
    <w:rsid w:val="007B6B76"/>
    <w:rsid w:val="007B6CD5"/>
    <w:rsid w:val="007B7168"/>
    <w:rsid w:val="007C00FC"/>
    <w:rsid w:val="007C03E4"/>
    <w:rsid w:val="007C051A"/>
    <w:rsid w:val="007C0B82"/>
    <w:rsid w:val="007C0CF7"/>
    <w:rsid w:val="007C17D6"/>
    <w:rsid w:val="007C1B6B"/>
    <w:rsid w:val="007C228C"/>
    <w:rsid w:val="007C23F3"/>
    <w:rsid w:val="007C27CF"/>
    <w:rsid w:val="007C3506"/>
    <w:rsid w:val="007C378A"/>
    <w:rsid w:val="007C39DA"/>
    <w:rsid w:val="007C3F02"/>
    <w:rsid w:val="007C4328"/>
    <w:rsid w:val="007C4A12"/>
    <w:rsid w:val="007C4E55"/>
    <w:rsid w:val="007C5DFE"/>
    <w:rsid w:val="007C63B2"/>
    <w:rsid w:val="007C7074"/>
    <w:rsid w:val="007C742B"/>
    <w:rsid w:val="007D0045"/>
    <w:rsid w:val="007D03F7"/>
    <w:rsid w:val="007D052A"/>
    <w:rsid w:val="007D0A1E"/>
    <w:rsid w:val="007D13AD"/>
    <w:rsid w:val="007D15FF"/>
    <w:rsid w:val="007D220F"/>
    <w:rsid w:val="007D297B"/>
    <w:rsid w:val="007D2AFC"/>
    <w:rsid w:val="007D2C20"/>
    <w:rsid w:val="007D308D"/>
    <w:rsid w:val="007D30E7"/>
    <w:rsid w:val="007D4620"/>
    <w:rsid w:val="007D468F"/>
    <w:rsid w:val="007D4867"/>
    <w:rsid w:val="007D4BA6"/>
    <w:rsid w:val="007D500C"/>
    <w:rsid w:val="007D567F"/>
    <w:rsid w:val="007D5B3B"/>
    <w:rsid w:val="007D68AF"/>
    <w:rsid w:val="007D7E6A"/>
    <w:rsid w:val="007D7F3E"/>
    <w:rsid w:val="007E025C"/>
    <w:rsid w:val="007E038D"/>
    <w:rsid w:val="007E1441"/>
    <w:rsid w:val="007E1D4F"/>
    <w:rsid w:val="007E353A"/>
    <w:rsid w:val="007E39BE"/>
    <w:rsid w:val="007E43E0"/>
    <w:rsid w:val="007E4D8F"/>
    <w:rsid w:val="007E5323"/>
    <w:rsid w:val="007E532F"/>
    <w:rsid w:val="007E5414"/>
    <w:rsid w:val="007E5B46"/>
    <w:rsid w:val="007E5D23"/>
    <w:rsid w:val="007E5D69"/>
    <w:rsid w:val="007E62C5"/>
    <w:rsid w:val="007E659A"/>
    <w:rsid w:val="007E69FD"/>
    <w:rsid w:val="007E6E27"/>
    <w:rsid w:val="007E7360"/>
    <w:rsid w:val="007F009A"/>
    <w:rsid w:val="007F00EC"/>
    <w:rsid w:val="007F0130"/>
    <w:rsid w:val="007F02C0"/>
    <w:rsid w:val="007F02FC"/>
    <w:rsid w:val="007F0396"/>
    <w:rsid w:val="007F075E"/>
    <w:rsid w:val="007F1CD4"/>
    <w:rsid w:val="007F21E6"/>
    <w:rsid w:val="007F2C8D"/>
    <w:rsid w:val="007F2CDE"/>
    <w:rsid w:val="007F2E5C"/>
    <w:rsid w:val="007F3C3D"/>
    <w:rsid w:val="007F3C5D"/>
    <w:rsid w:val="007F469F"/>
    <w:rsid w:val="007F4AD6"/>
    <w:rsid w:val="007F51E1"/>
    <w:rsid w:val="007F5863"/>
    <w:rsid w:val="007F65BF"/>
    <w:rsid w:val="007F6C57"/>
    <w:rsid w:val="007F6F88"/>
    <w:rsid w:val="007F75AB"/>
    <w:rsid w:val="007F7895"/>
    <w:rsid w:val="007F7AC9"/>
    <w:rsid w:val="007F7FFA"/>
    <w:rsid w:val="008013F4"/>
    <w:rsid w:val="00801879"/>
    <w:rsid w:val="00801E74"/>
    <w:rsid w:val="00801EF1"/>
    <w:rsid w:val="008020CC"/>
    <w:rsid w:val="0080256C"/>
    <w:rsid w:val="008026EF"/>
    <w:rsid w:val="0080349D"/>
    <w:rsid w:val="008038FF"/>
    <w:rsid w:val="00803989"/>
    <w:rsid w:val="008039A6"/>
    <w:rsid w:val="00803C43"/>
    <w:rsid w:val="0080417F"/>
    <w:rsid w:val="00804E0D"/>
    <w:rsid w:val="00804E59"/>
    <w:rsid w:val="00805371"/>
    <w:rsid w:val="008066A9"/>
    <w:rsid w:val="00806A5C"/>
    <w:rsid w:val="0080708F"/>
    <w:rsid w:val="008070C0"/>
    <w:rsid w:val="008070FD"/>
    <w:rsid w:val="008072BC"/>
    <w:rsid w:val="00807B62"/>
    <w:rsid w:val="00810693"/>
    <w:rsid w:val="00811A2B"/>
    <w:rsid w:val="00811D3A"/>
    <w:rsid w:val="00812A23"/>
    <w:rsid w:val="00812A37"/>
    <w:rsid w:val="00812B24"/>
    <w:rsid w:val="00813399"/>
    <w:rsid w:val="00813C60"/>
    <w:rsid w:val="00813D84"/>
    <w:rsid w:val="00813F48"/>
    <w:rsid w:val="00814252"/>
    <w:rsid w:val="00814950"/>
    <w:rsid w:val="00814EC4"/>
    <w:rsid w:val="00815D2D"/>
    <w:rsid w:val="00815EEB"/>
    <w:rsid w:val="00815F18"/>
    <w:rsid w:val="008161BB"/>
    <w:rsid w:val="008165F7"/>
    <w:rsid w:val="008168CF"/>
    <w:rsid w:val="008178A9"/>
    <w:rsid w:val="00817BCE"/>
    <w:rsid w:val="0082076D"/>
    <w:rsid w:val="008207D6"/>
    <w:rsid w:val="00820B95"/>
    <w:rsid w:val="00821727"/>
    <w:rsid w:val="008218C0"/>
    <w:rsid w:val="00822054"/>
    <w:rsid w:val="0082268B"/>
    <w:rsid w:val="00823DBE"/>
    <w:rsid w:val="00823F78"/>
    <w:rsid w:val="0082418E"/>
    <w:rsid w:val="00824608"/>
    <w:rsid w:val="00824959"/>
    <w:rsid w:val="00824F2F"/>
    <w:rsid w:val="00825029"/>
    <w:rsid w:val="008250A9"/>
    <w:rsid w:val="008251CE"/>
    <w:rsid w:val="0082568D"/>
    <w:rsid w:val="008259CB"/>
    <w:rsid w:val="00827733"/>
    <w:rsid w:val="00827B0A"/>
    <w:rsid w:val="008303E2"/>
    <w:rsid w:val="00830EB6"/>
    <w:rsid w:val="00831433"/>
    <w:rsid w:val="00831473"/>
    <w:rsid w:val="00831AA0"/>
    <w:rsid w:val="00832483"/>
    <w:rsid w:val="0083285B"/>
    <w:rsid w:val="00833094"/>
    <w:rsid w:val="008332E9"/>
    <w:rsid w:val="0083379C"/>
    <w:rsid w:val="00833D09"/>
    <w:rsid w:val="0083450A"/>
    <w:rsid w:val="0083475E"/>
    <w:rsid w:val="00835160"/>
    <w:rsid w:val="008352E2"/>
    <w:rsid w:val="00835521"/>
    <w:rsid w:val="0083638A"/>
    <w:rsid w:val="0083656F"/>
    <w:rsid w:val="008366D7"/>
    <w:rsid w:val="008370FD"/>
    <w:rsid w:val="00840071"/>
    <w:rsid w:val="008407D7"/>
    <w:rsid w:val="0084080C"/>
    <w:rsid w:val="00840BD2"/>
    <w:rsid w:val="00840C6F"/>
    <w:rsid w:val="00840D3A"/>
    <w:rsid w:val="00840EBE"/>
    <w:rsid w:val="008414A2"/>
    <w:rsid w:val="008414CF"/>
    <w:rsid w:val="00841D63"/>
    <w:rsid w:val="0084263F"/>
    <w:rsid w:val="0084279A"/>
    <w:rsid w:val="00842931"/>
    <w:rsid w:val="00842F7C"/>
    <w:rsid w:val="0084320D"/>
    <w:rsid w:val="00843257"/>
    <w:rsid w:val="008433B9"/>
    <w:rsid w:val="00843553"/>
    <w:rsid w:val="00843D12"/>
    <w:rsid w:val="00844677"/>
    <w:rsid w:val="00844963"/>
    <w:rsid w:val="00844A91"/>
    <w:rsid w:val="00844C2C"/>
    <w:rsid w:val="00845268"/>
    <w:rsid w:val="008454CD"/>
    <w:rsid w:val="0084648F"/>
    <w:rsid w:val="00846666"/>
    <w:rsid w:val="00846777"/>
    <w:rsid w:val="008468A8"/>
    <w:rsid w:val="00846F6C"/>
    <w:rsid w:val="008473EB"/>
    <w:rsid w:val="0084740E"/>
    <w:rsid w:val="00847743"/>
    <w:rsid w:val="00847B2F"/>
    <w:rsid w:val="00847BE7"/>
    <w:rsid w:val="00847DA6"/>
    <w:rsid w:val="00850001"/>
    <w:rsid w:val="00850217"/>
    <w:rsid w:val="008502F9"/>
    <w:rsid w:val="008506A2"/>
    <w:rsid w:val="008515A1"/>
    <w:rsid w:val="008517D6"/>
    <w:rsid w:val="00851BD4"/>
    <w:rsid w:val="00851DA8"/>
    <w:rsid w:val="00852083"/>
    <w:rsid w:val="00853289"/>
    <w:rsid w:val="00853E80"/>
    <w:rsid w:val="00853FEC"/>
    <w:rsid w:val="00854249"/>
    <w:rsid w:val="00854512"/>
    <w:rsid w:val="0085455D"/>
    <w:rsid w:val="008546EB"/>
    <w:rsid w:val="00854F50"/>
    <w:rsid w:val="00855760"/>
    <w:rsid w:val="00855A6A"/>
    <w:rsid w:val="00856099"/>
    <w:rsid w:val="008560AB"/>
    <w:rsid w:val="008562FF"/>
    <w:rsid w:val="008566FB"/>
    <w:rsid w:val="00856806"/>
    <w:rsid w:val="0085730C"/>
    <w:rsid w:val="008601EC"/>
    <w:rsid w:val="008606E9"/>
    <w:rsid w:val="00861CB3"/>
    <w:rsid w:val="008622BC"/>
    <w:rsid w:val="00862CC5"/>
    <w:rsid w:val="00862DBC"/>
    <w:rsid w:val="008635BD"/>
    <w:rsid w:val="00863BF2"/>
    <w:rsid w:val="00863D1C"/>
    <w:rsid w:val="00863E24"/>
    <w:rsid w:val="008640DB"/>
    <w:rsid w:val="00864737"/>
    <w:rsid w:val="00864B00"/>
    <w:rsid w:val="00864C85"/>
    <w:rsid w:val="0086508C"/>
    <w:rsid w:val="00865EFF"/>
    <w:rsid w:val="008661D5"/>
    <w:rsid w:val="00866751"/>
    <w:rsid w:val="00866A4E"/>
    <w:rsid w:val="00866ADF"/>
    <w:rsid w:val="00866B13"/>
    <w:rsid w:val="008670F0"/>
    <w:rsid w:val="00867544"/>
    <w:rsid w:val="0086796B"/>
    <w:rsid w:val="00867EA2"/>
    <w:rsid w:val="008707A1"/>
    <w:rsid w:val="0087116E"/>
    <w:rsid w:val="00871650"/>
    <w:rsid w:val="008718FD"/>
    <w:rsid w:val="00871D4C"/>
    <w:rsid w:val="00871E23"/>
    <w:rsid w:val="00872525"/>
    <w:rsid w:val="00872A10"/>
    <w:rsid w:val="008738E9"/>
    <w:rsid w:val="00873C76"/>
    <w:rsid w:val="0087434D"/>
    <w:rsid w:val="008748A4"/>
    <w:rsid w:val="00874E7C"/>
    <w:rsid w:val="008757E1"/>
    <w:rsid w:val="008759E3"/>
    <w:rsid w:val="00875A76"/>
    <w:rsid w:val="00875B59"/>
    <w:rsid w:val="0087667E"/>
    <w:rsid w:val="008767E5"/>
    <w:rsid w:val="00876837"/>
    <w:rsid w:val="00876926"/>
    <w:rsid w:val="008771D2"/>
    <w:rsid w:val="0087773C"/>
    <w:rsid w:val="008778C9"/>
    <w:rsid w:val="00877A96"/>
    <w:rsid w:val="00877D8C"/>
    <w:rsid w:val="00877E09"/>
    <w:rsid w:val="0088017A"/>
    <w:rsid w:val="0088089A"/>
    <w:rsid w:val="00880D9A"/>
    <w:rsid w:val="0088151D"/>
    <w:rsid w:val="00881ACE"/>
    <w:rsid w:val="00881F41"/>
    <w:rsid w:val="00881F59"/>
    <w:rsid w:val="008822E1"/>
    <w:rsid w:val="008829B0"/>
    <w:rsid w:val="00882AE3"/>
    <w:rsid w:val="0088355F"/>
    <w:rsid w:val="008837F1"/>
    <w:rsid w:val="00883B46"/>
    <w:rsid w:val="00883C7C"/>
    <w:rsid w:val="00884702"/>
    <w:rsid w:val="00884A21"/>
    <w:rsid w:val="00884C50"/>
    <w:rsid w:val="00885179"/>
    <w:rsid w:val="0088534A"/>
    <w:rsid w:val="00885924"/>
    <w:rsid w:val="00885AA8"/>
    <w:rsid w:val="00885AF7"/>
    <w:rsid w:val="00886E5C"/>
    <w:rsid w:val="00887193"/>
    <w:rsid w:val="008875FE"/>
    <w:rsid w:val="00887894"/>
    <w:rsid w:val="0088795C"/>
    <w:rsid w:val="00887A3C"/>
    <w:rsid w:val="008901DE"/>
    <w:rsid w:val="00890ABA"/>
    <w:rsid w:val="00890BD6"/>
    <w:rsid w:val="00891762"/>
    <w:rsid w:val="00891CFE"/>
    <w:rsid w:val="008921F8"/>
    <w:rsid w:val="008932B1"/>
    <w:rsid w:val="008934F3"/>
    <w:rsid w:val="00894178"/>
    <w:rsid w:val="00894229"/>
    <w:rsid w:val="00894FB8"/>
    <w:rsid w:val="0089577A"/>
    <w:rsid w:val="00895A8A"/>
    <w:rsid w:val="00895AD8"/>
    <w:rsid w:val="0089693D"/>
    <w:rsid w:val="008969DE"/>
    <w:rsid w:val="00896E7B"/>
    <w:rsid w:val="00896F2B"/>
    <w:rsid w:val="008970A2"/>
    <w:rsid w:val="00897144"/>
    <w:rsid w:val="008977D8"/>
    <w:rsid w:val="008A022D"/>
    <w:rsid w:val="008A09C1"/>
    <w:rsid w:val="008A100A"/>
    <w:rsid w:val="008A132F"/>
    <w:rsid w:val="008A1CE3"/>
    <w:rsid w:val="008A1F35"/>
    <w:rsid w:val="008A2104"/>
    <w:rsid w:val="008A2248"/>
    <w:rsid w:val="008A241D"/>
    <w:rsid w:val="008A3630"/>
    <w:rsid w:val="008A39DB"/>
    <w:rsid w:val="008A41F7"/>
    <w:rsid w:val="008A42AB"/>
    <w:rsid w:val="008A4358"/>
    <w:rsid w:val="008A488A"/>
    <w:rsid w:val="008A4D64"/>
    <w:rsid w:val="008A59EA"/>
    <w:rsid w:val="008A5F80"/>
    <w:rsid w:val="008A61A7"/>
    <w:rsid w:val="008A7A70"/>
    <w:rsid w:val="008A7B91"/>
    <w:rsid w:val="008B015B"/>
    <w:rsid w:val="008B07B6"/>
    <w:rsid w:val="008B0B4E"/>
    <w:rsid w:val="008B0CA6"/>
    <w:rsid w:val="008B11A3"/>
    <w:rsid w:val="008B15BE"/>
    <w:rsid w:val="008B162E"/>
    <w:rsid w:val="008B2804"/>
    <w:rsid w:val="008B31B8"/>
    <w:rsid w:val="008B3278"/>
    <w:rsid w:val="008B352B"/>
    <w:rsid w:val="008B3909"/>
    <w:rsid w:val="008B3EBE"/>
    <w:rsid w:val="008B48C2"/>
    <w:rsid w:val="008B4EEC"/>
    <w:rsid w:val="008B5528"/>
    <w:rsid w:val="008B5995"/>
    <w:rsid w:val="008B5C1E"/>
    <w:rsid w:val="008B5F22"/>
    <w:rsid w:val="008B5FA5"/>
    <w:rsid w:val="008B78EA"/>
    <w:rsid w:val="008B7BC1"/>
    <w:rsid w:val="008B7F6D"/>
    <w:rsid w:val="008C05A8"/>
    <w:rsid w:val="008C0632"/>
    <w:rsid w:val="008C0BC2"/>
    <w:rsid w:val="008C0EEE"/>
    <w:rsid w:val="008C13D2"/>
    <w:rsid w:val="008C16B2"/>
    <w:rsid w:val="008C1A68"/>
    <w:rsid w:val="008C1C7C"/>
    <w:rsid w:val="008C1D57"/>
    <w:rsid w:val="008C1FAB"/>
    <w:rsid w:val="008C20C1"/>
    <w:rsid w:val="008C2C5C"/>
    <w:rsid w:val="008C2D4F"/>
    <w:rsid w:val="008C305E"/>
    <w:rsid w:val="008C3202"/>
    <w:rsid w:val="008C4089"/>
    <w:rsid w:val="008C420A"/>
    <w:rsid w:val="008C4404"/>
    <w:rsid w:val="008C45D2"/>
    <w:rsid w:val="008C4935"/>
    <w:rsid w:val="008C499C"/>
    <w:rsid w:val="008C4BB5"/>
    <w:rsid w:val="008C4D03"/>
    <w:rsid w:val="008C5007"/>
    <w:rsid w:val="008C53F0"/>
    <w:rsid w:val="008C5746"/>
    <w:rsid w:val="008C5C4B"/>
    <w:rsid w:val="008C5F02"/>
    <w:rsid w:val="008C69EC"/>
    <w:rsid w:val="008C6ACD"/>
    <w:rsid w:val="008C788B"/>
    <w:rsid w:val="008C7949"/>
    <w:rsid w:val="008D1193"/>
    <w:rsid w:val="008D1333"/>
    <w:rsid w:val="008D1C17"/>
    <w:rsid w:val="008D22AF"/>
    <w:rsid w:val="008D23F7"/>
    <w:rsid w:val="008D2913"/>
    <w:rsid w:val="008D351C"/>
    <w:rsid w:val="008D3785"/>
    <w:rsid w:val="008D379B"/>
    <w:rsid w:val="008D399A"/>
    <w:rsid w:val="008D4535"/>
    <w:rsid w:val="008D4847"/>
    <w:rsid w:val="008D5C58"/>
    <w:rsid w:val="008D5DA1"/>
    <w:rsid w:val="008D6182"/>
    <w:rsid w:val="008D63AA"/>
    <w:rsid w:val="008D6E70"/>
    <w:rsid w:val="008D79CB"/>
    <w:rsid w:val="008D7A41"/>
    <w:rsid w:val="008D7AE5"/>
    <w:rsid w:val="008D7E66"/>
    <w:rsid w:val="008D7F95"/>
    <w:rsid w:val="008E0059"/>
    <w:rsid w:val="008E022A"/>
    <w:rsid w:val="008E0CF5"/>
    <w:rsid w:val="008E17B0"/>
    <w:rsid w:val="008E18C8"/>
    <w:rsid w:val="008E3324"/>
    <w:rsid w:val="008E40C6"/>
    <w:rsid w:val="008E44D1"/>
    <w:rsid w:val="008E49A9"/>
    <w:rsid w:val="008E4B5A"/>
    <w:rsid w:val="008E5180"/>
    <w:rsid w:val="008E5501"/>
    <w:rsid w:val="008E5638"/>
    <w:rsid w:val="008E5ACD"/>
    <w:rsid w:val="008E5D33"/>
    <w:rsid w:val="008E5F0D"/>
    <w:rsid w:val="008E5F62"/>
    <w:rsid w:val="008E65C2"/>
    <w:rsid w:val="008E6BB0"/>
    <w:rsid w:val="008E6C24"/>
    <w:rsid w:val="008E6E22"/>
    <w:rsid w:val="008E6FA5"/>
    <w:rsid w:val="008E7383"/>
    <w:rsid w:val="008E76D5"/>
    <w:rsid w:val="008E79AE"/>
    <w:rsid w:val="008F0061"/>
    <w:rsid w:val="008F0DCF"/>
    <w:rsid w:val="008F1877"/>
    <w:rsid w:val="008F18DA"/>
    <w:rsid w:val="008F1929"/>
    <w:rsid w:val="008F1AC8"/>
    <w:rsid w:val="008F2A01"/>
    <w:rsid w:val="008F2DFF"/>
    <w:rsid w:val="008F2ED6"/>
    <w:rsid w:val="008F2F64"/>
    <w:rsid w:val="008F32E1"/>
    <w:rsid w:val="008F367A"/>
    <w:rsid w:val="008F3747"/>
    <w:rsid w:val="008F37F4"/>
    <w:rsid w:val="008F4043"/>
    <w:rsid w:val="008F4A53"/>
    <w:rsid w:val="008F4ADF"/>
    <w:rsid w:val="008F55C5"/>
    <w:rsid w:val="008F58CF"/>
    <w:rsid w:val="008F5AA6"/>
    <w:rsid w:val="008F60FF"/>
    <w:rsid w:val="008F61AB"/>
    <w:rsid w:val="008F6565"/>
    <w:rsid w:val="008F66CE"/>
    <w:rsid w:val="008F6A01"/>
    <w:rsid w:val="008F7363"/>
    <w:rsid w:val="008F7675"/>
    <w:rsid w:val="008F7AC8"/>
    <w:rsid w:val="008F7FD2"/>
    <w:rsid w:val="00900880"/>
    <w:rsid w:val="00902CE0"/>
    <w:rsid w:val="00903140"/>
    <w:rsid w:val="0090381E"/>
    <w:rsid w:val="00904C62"/>
    <w:rsid w:val="009051DE"/>
    <w:rsid w:val="0090564C"/>
    <w:rsid w:val="00905689"/>
    <w:rsid w:val="00906486"/>
    <w:rsid w:val="009067DE"/>
    <w:rsid w:val="00906BBD"/>
    <w:rsid w:val="00906D92"/>
    <w:rsid w:val="00907647"/>
    <w:rsid w:val="009100C3"/>
    <w:rsid w:val="009111C2"/>
    <w:rsid w:val="009112E4"/>
    <w:rsid w:val="009112ED"/>
    <w:rsid w:val="00911553"/>
    <w:rsid w:val="00911695"/>
    <w:rsid w:val="00911DC1"/>
    <w:rsid w:val="00911DCE"/>
    <w:rsid w:val="009120C2"/>
    <w:rsid w:val="0091243D"/>
    <w:rsid w:val="0091293D"/>
    <w:rsid w:val="00912D47"/>
    <w:rsid w:val="00913271"/>
    <w:rsid w:val="00913601"/>
    <w:rsid w:val="00914052"/>
    <w:rsid w:val="00914B18"/>
    <w:rsid w:val="00914B26"/>
    <w:rsid w:val="00914C00"/>
    <w:rsid w:val="009155CE"/>
    <w:rsid w:val="009159A9"/>
    <w:rsid w:val="009163CE"/>
    <w:rsid w:val="00916626"/>
    <w:rsid w:val="00916A29"/>
    <w:rsid w:val="0091738D"/>
    <w:rsid w:val="00917D39"/>
    <w:rsid w:val="00920127"/>
    <w:rsid w:val="009201B3"/>
    <w:rsid w:val="009206C8"/>
    <w:rsid w:val="009209D7"/>
    <w:rsid w:val="00920DE1"/>
    <w:rsid w:val="009216CE"/>
    <w:rsid w:val="009229FA"/>
    <w:rsid w:val="00922D32"/>
    <w:rsid w:val="009230A5"/>
    <w:rsid w:val="009234D7"/>
    <w:rsid w:val="00924627"/>
    <w:rsid w:val="00924D44"/>
    <w:rsid w:val="00925259"/>
    <w:rsid w:val="00925574"/>
    <w:rsid w:val="00925970"/>
    <w:rsid w:val="00925A30"/>
    <w:rsid w:val="00925D05"/>
    <w:rsid w:val="00925E57"/>
    <w:rsid w:val="00925F5D"/>
    <w:rsid w:val="00925F64"/>
    <w:rsid w:val="00926216"/>
    <w:rsid w:val="0092647E"/>
    <w:rsid w:val="00926AC4"/>
    <w:rsid w:val="00926D0D"/>
    <w:rsid w:val="00926ED0"/>
    <w:rsid w:val="00926FC5"/>
    <w:rsid w:val="00927AFF"/>
    <w:rsid w:val="009301CD"/>
    <w:rsid w:val="0093044B"/>
    <w:rsid w:val="00930457"/>
    <w:rsid w:val="009307A2"/>
    <w:rsid w:val="00930C11"/>
    <w:rsid w:val="00930D94"/>
    <w:rsid w:val="009311CE"/>
    <w:rsid w:val="00931942"/>
    <w:rsid w:val="009321A8"/>
    <w:rsid w:val="0093487C"/>
    <w:rsid w:val="00934BF1"/>
    <w:rsid w:val="00934F59"/>
    <w:rsid w:val="00934FA0"/>
    <w:rsid w:val="00936186"/>
    <w:rsid w:val="00936610"/>
    <w:rsid w:val="009367A8"/>
    <w:rsid w:val="00936D94"/>
    <w:rsid w:val="00936F31"/>
    <w:rsid w:val="009371B0"/>
    <w:rsid w:val="0093767E"/>
    <w:rsid w:val="00937688"/>
    <w:rsid w:val="00937B07"/>
    <w:rsid w:val="00937B31"/>
    <w:rsid w:val="00940386"/>
    <w:rsid w:val="009403D6"/>
    <w:rsid w:val="009404F6"/>
    <w:rsid w:val="00940EA3"/>
    <w:rsid w:val="009411BC"/>
    <w:rsid w:val="009414DB"/>
    <w:rsid w:val="00941678"/>
    <w:rsid w:val="0094242A"/>
    <w:rsid w:val="00943148"/>
    <w:rsid w:val="009437D1"/>
    <w:rsid w:val="00945344"/>
    <w:rsid w:val="00945768"/>
    <w:rsid w:val="009457C0"/>
    <w:rsid w:val="00945B54"/>
    <w:rsid w:val="00945F53"/>
    <w:rsid w:val="009462CA"/>
    <w:rsid w:val="0094659E"/>
    <w:rsid w:val="0094776D"/>
    <w:rsid w:val="009477CA"/>
    <w:rsid w:val="00947887"/>
    <w:rsid w:val="00947D66"/>
    <w:rsid w:val="00950094"/>
    <w:rsid w:val="009516AD"/>
    <w:rsid w:val="009517D4"/>
    <w:rsid w:val="00951DAE"/>
    <w:rsid w:val="0095239A"/>
    <w:rsid w:val="0095270B"/>
    <w:rsid w:val="00952845"/>
    <w:rsid w:val="00953666"/>
    <w:rsid w:val="0095371D"/>
    <w:rsid w:val="00954D40"/>
    <w:rsid w:val="009550DC"/>
    <w:rsid w:val="0095518B"/>
    <w:rsid w:val="009551F9"/>
    <w:rsid w:val="00955581"/>
    <w:rsid w:val="00955AD4"/>
    <w:rsid w:val="00955F74"/>
    <w:rsid w:val="009561DB"/>
    <w:rsid w:val="009569BE"/>
    <w:rsid w:val="009569EE"/>
    <w:rsid w:val="00957196"/>
    <w:rsid w:val="00957560"/>
    <w:rsid w:val="00957F28"/>
    <w:rsid w:val="00957FD7"/>
    <w:rsid w:val="009605EE"/>
    <w:rsid w:val="0096151E"/>
    <w:rsid w:val="0096164C"/>
    <w:rsid w:val="009617E3"/>
    <w:rsid w:val="009618C2"/>
    <w:rsid w:val="00961D53"/>
    <w:rsid w:val="0096216A"/>
    <w:rsid w:val="00962170"/>
    <w:rsid w:val="009622A0"/>
    <w:rsid w:val="0096316A"/>
    <w:rsid w:val="00963768"/>
    <w:rsid w:val="00963DA6"/>
    <w:rsid w:val="00963DAD"/>
    <w:rsid w:val="00964046"/>
    <w:rsid w:val="0096467A"/>
    <w:rsid w:val="00964A3C"/>
    <w:rsid w:val="00964DC6"/>
    <w:rsid w:val="00964E12"/>
    <w:rsid w:val="00965232"/>
    <w:rsid w:val="00965293"/>
    <w:rsid w:val="00965341"/>
    <w:rsid w:val="00965768"/>
    <w:rsid w:val="0096662B"/>
    <w:rsid w:val="00966B7E"/>
    <w:rsid w:val="00966C8D"/>
    <w:rsid w:val="0096715D"/>
    <w:rsid w:val="00967583"/>
    <w:rsid w:val="00967D82"/>
    <w:rsid w:val="00970B72"/>
    <w:rsid w:val="00970BF4"/>
    <w:rsid w:val="00970E5C"/>
    <w:rsid w:val="00971952"/>
    <w:rsid w:val="00971FAD"/>
    <w:rsid w:val="009722F9"/>
    <w:rsid w:val="009723D0"/>
    <w:rsid w:val="00972688"/>
    <w:rsid w:val="009726BE"/>
    <w:rsid w:val="00972D30"/>
    <w:rsid w:val="00973C3A"/>
    <w:rsid w:val="00973D65"/>
    <w:rsid w:val="00974015"/>
    <w:rsid w:val="00974046"/>
    <w:rsid w:val="0097410D"/>
    <w:rsid w:val="009749C2"/>
    <w:rsid w:val="00975862"/>
    <w:rsid w:val="009758DE"/>
    <w:rsid w:val="00975B6A"/>
    <w:rsid w:val="00975D6F"/>
    <w:rsid w:val="009761A4"/>
    <w:rsid w:val="009762BD"/>
    <w:rsid w:val="00976BDB"/>
    <w:rsid w:val="00976DB2"/>
    <w:rsid w:val="00977300"/>
    <w:rsid w:val="00980200"/>
    <w:rsid w:val="00980B29"/>
    <w:rsid w:val="00981341"/>
    <w:rsid w:val="0098151E"/>
    <w:rsid w:val="00981D76"/>
    <w:rsid w:val="00981D79"/>
    <w:rsid w:val="00981EF5"/>
    <w:rsid w:val="00981F56"/>
    <w:rsid w:val="00982D62"/>
    <w:rsid w:val="00982F91"/>
    <w:rsid w:val="00983269"/>
    <w:rsid w:val="00983DBB"/>
    <w:rsid w:val="00983EC1"/>
    <w:rsid w:val="009841A4"/>
    <w:rsid w:val="00986BF7"/>
    <w:rsid w:val="00987B60"/>
    <w:rsid w:val="00987FCD"/>
    <w:rsid w:val="0099021C"/>
    <w:rsid w:val="00990226"/>
    <w:rsid w:val="009903D7"/>
    <w:rsid w:val="0099040C"/>
    <w:rsid w:val="009911D2"/>
    <w:rsid w:val="009914E4"/>
    <w:rsid w:val="00991792"/>
    <w:rsid w:val="009917AB"/>
    <w:rsid w:val="00991B6C"/>
    <w:rsid w:val="00991C6B"/>
    <w:rsid w:val="00992B44"/>
    <w:rsid w:val="00992D40"/>
    <w:rsid w:val="00993A76"/>
    <w:rsid w:val="00994030"/>
    <w:rsid w:val="00994186"/>
    <w:rsid w:val="0099469B"/>
    <w:rsid w:val="009946EF"/>
    <w:rsid w:val="00994BD6"/>
    <w:rsid w:val="00994FF8"/>
    <w:rsid w:val="00995156"/>
    <w:rsid w:val="00995BF9"/>
    <w:rsid w:val="00995E5E"/>
    <w:rsid w:val="00995E90"/>
    <w:rsid w:val="00995ECD"/>
    <w:rsid w:val="00996075"/>
    <w:rsid w:val="0099648B"/>
    <w:rsid w:val="00996711"/>
    <w:rsid w:val="00997013"/>
    <w:rsid w:val="00997917"/>
    <w:rsid w:val="00997B0A"/>
    <w:rsid w:val="00997EBE"/>
    <w:rsid w:val="009A06BE"/>
    <w:rsid w:val="009A0B1C"/>
    <w:rsid w:val="009A0DEA"/>
    <w:rsid w:val="009A18CD"/>
    <w:rsid w:val="009A1F29"/>
    <w:rsid w:val="009A200E"/>
    <w:rsid w:val="009A20B2"/>
    <w:rsid w:val="009A3A69"/>
    <w:rsid w:val="009A3F58"/>
    <w:rsid w:val="009A4329"/>
    <w:rsid w:val="009A468D"/>
    <w:rsid w:val="009A4D67"/>
    <w:rsid w:val="009A5A54"/>
    <w:rsid w:val="009A5B4F"/>
    <w:rsid w:val="009A5F21"/>
    <w:rsid w:val="009A6F26"/>
    <w:rsid w:val="009A76D6"/>
    <w:rsid w:val="009A799A"/>
    <w:rsid w:val="009A79E7"/>
    <w:rsid w:val="009A7C7F"/>
    <w:rsid w:val="009B09C5"/>
    <w:rsid w:val="009B0A8D"/>
    <w:rsid w:val="009B16BE"/>
    <w:rsid w:val="009B179C"/>
    <w:rsid w:val="009B18DC"/>
    <w:rsid w:val="009B19A6"/>
    <w:rsid w:val="009B1BA9"/>
    <w:rsid w:val="009B1FD5"/>
    <w:rsid w:val="009B2588"/>
    <w:rsid w:val="009B298E"/>
    <w:rsid w:val="009B393E"/>
    <w:rsid w:val="009B3B32"/>
    <w:rsid w:val="009B3BC2"/>
    <w:rsid w:val="009B3E30"/>
    <w:rsid w:val="009B4C36"/>
    <w:rsid w:val="009B4DB4"/>
    <w:rsid w:val="009B537F"/>
    <w:rsid w:val="009B55E2"/>
    <w:rsid w:val="009B5C02"/>
    <w:rsid w:val="009B6367"/>
    <w:rsid w:val="009B6718"/>
    <w:rsid w:val="009B6844"/>
    <w:rsid w:val="009B6896"/>
    <w:rsid w:val="009C0441"/>
    <w:rsid w:val="009C0A91"/>
    <w:rsid w:val="009C0B5A"/>
    <w:rsid w:val="009C1092"/>
    <w:rsid w:val="009C11FF"/>
    <w:rsid w:val="009C13DB"/>
    <w:rsid w:val="009C18B1"/>
    <w:rsid w:val="009C1A55"/>
    <w:rsid w:val="009C24EB"/>
    <w:rsid w:val="009C2EFA"/>
    <w:rsid w:val="009C321D"/>
    <w:rsid w:val="009C35D2"/>
    <w:rsid w:val="009C38F3"/>
    <w:rsid w:val="009C3E45"/>
    <w:rsid w:val="009C426F"/>
    <w:rsid w:val="009C457F"/>
    <w:rsid w:val="009C4904"/>
    <w:rsid w:val="009C4BB8"/>
    <w:rsid w:val="009C4C53"/>
    <w:rsid w:val="009C4D9A"/>
    <w:rsid w:val="009C4DCB"/>
    <w:rsid w:val="009C5050"/>
    <w:rsid w:val="009C56F2"/>
    <w:rsid w:val="009C5C6E"/>
    <w:rsid w:val="009C62A4"/>
    <w:rsid w:val="009C6546"/>
    <w:rsid w:val="009C65D6"/>
    <w:rsid w:val="009C6FA5"/>
    <w:rsid w:val="009C7858"/>
    <w:rsid w:val="009C78B1"/>
    <w:rsid w:val="009C78BD"/>
    <w:rsid w:val="009C79BE"/>
    <w:rsid w:val="009C7AA7"/>
    <w:rsid w:val="009C7C98"/>
    <w:rsid w:val="009C7E3B"/>
    <w:rsid w:val="009D02AE"/>
    <w:rsid w:val="009D07FE"/>
    <w:rsid w:val="009D0A47"/>
    <w:rsid w:val="009D0C70"/>
    <w:rsid w:val="009D1060"/>
    <w:rsid w:val="009D2302"/>
    <w:rsid w:val="009D2D7F"/>
    <w:rsid w:val="009D31E0"/>
    <w:rsid w:val="009D5483"/>
    <w:rsid w:val="009D5555"/>
    <w:rsid w:val="009D5AB3"/>
    <w:rsid w:val="009D612C"/>
    <w:rsid w:val="009D638E"/>
    <w:rsid w:val="009D673A"/>
    <w:rsid w:val="009D6CA6"/>
    <w:rsid w:val="009E0259"/>
    <w:rsid w:val="009E0347"/>
    <w:rsid w:val="009E0561"/>
    <w:rsid w:val="009E057F"/>
    <w:rsid w:val="009E062A"/>
    <w:rsid w:val="009E0C81"/>
    <w:rsid w:val="009E1A69"/>
    <w:rsid w:val="009E1D6F"/>
    <w:rsid w:val="009E1DB0"/>
    <w:rsid w:val="009E2269"/>
    <w:rsid w:val="009E22B9"/>
    <w:rsid w:val="009E2CE2"/>
    <w:rsid w:val="009E3E79"/>
    <w:rsid w:val="009E484E"/>
    <w:rsid w:val="009E4CA5"/>
    <w:rsid w:val="009E4CBE"/>
    <w:rsid w:val="009E4E5E"/>
    <w:rsid w:val="009E5220"/>
    <w:rsid w:val="009E5538"/>
    <w:rsid w:val="009E579F"/>
    <w:rsid w:val="009E589A"/>
    <w:rsid w:val="009E5D4D"/>
    <w:rsid w:val="009E5D7C"/>
    <w:rsid w:val="009E71B8"/>
    <w:rsid w:val="009E7733"/>
    <w:rsid w:val="009E78DE"/>
    <w:rsid w:val="009E7999"/>
    <w:rsid w:val="009E79F9"/>
    <w:rsid w:val="009E7D20"/>
    <w:rsid w:val="009E7D48"/>
    <w:rsid w:val="009E7E37"/>
    <w:rsid w:val="009F052D"/>
    <w:rsid w:val="009F0602"/>
    <w:rsid w:val="009F0B65"/>
    <w:rsid w:val="009F0D42"/>
    <w:rsid w:val="009F1475"/>
    <w:rsid w:val="009F1BFE"/>
    <w:rsid w:val="009F1CB7"/>
    <w:rsid w:val="009F21D3"/>
    <w:rsid w:val="009F2916"/>
    <w:rsid w:val="009F4745"/>
    <w:rsid w:val="009F48CA"/>
    <w:rsid w:val="009F4F0A"/>
    <w:rsid w:val="009F4FC3"/>
    <w:rsid w:val="009F54BC"/>
    <w:rsid w:val="009F55A9"/>
    <w:rsid w:val="009F585A"/>
    <w:rsid w:val="009F5B4D"/>
    <w:rsid w:val="009F6759"/>
    <w:rsid w:val="009F6778"/>
    <w:rsid w:val="009F6BCC"/>
    <w:rsid w:val="009F6C7F"/>
    <w:rsid w:val="00A000BB"/>
    <w:rsid w:val="00A00214"/>
    <w:rsid w:val="00A002D4"/>
    <w:rsid w:val="00A003A8"/>
    <w:rsid w:val="00A01C06"/>
    <w:rsid w:val="00A01C2E"/>
    <w:rsid w:val="00A01F89"/>
    <w:rsid w:val="00A0203D"/>
    <w:rsid w:val="00A022BF"/>
    <w:rsid w:val="00A023D1"/>
    <w:rsid w:val="00A02A1B"/>
    <w:rsid w:val="00A02C2D"/>
    <w:rsid w:val="00A02ECD"/>
    <w:rsid w:val="00A02FD8"/>
    <w:rsid w:val="00A0370C"/>
    <w:rsid w:val="00A03A2A"/>
    <w:rsid w:val="00A04186"/>
    <w:rsid w:val="00A0425F"/>
    <w:rsid w:val="00A04F15"/>
    <w:rsid w:val="00A0510D"/>
    <w:rsid w:val="00A05583"/>
    <w:rsid w:val="00A05953"/>
    <w:rsid w:val="00A060B1"/>
    <w:rsid w:val="00A06696"/>
    <w:rsid w:val="00A067E0"/>
    <w:rsid w:val="00A06C66"/>
    <w:rsid w:val="00A074CF"/>
    <w:rsid w:val="00A075A0"/>
    <w:rsid w:val="00A0768A"/>
    <w:rsid w:val="00A07E1F"/>
    <w:rsid w:val="00A107A1"/>
    <w:rsid w:val="00A10F13"/>
    <w:rsid w:val="00A1105F"/>
    <w:rsid w:val="00A1138B"/>
    <w:rsid w:val="00A115E5"/>
    <w:rsid w:val="00A11BB7"/>
    <w:rsid w:val="00A121E0"/>
    <w:rsid w:val="00A124D0"/>
    <w:rsid w:val="00A125B6"/>
    <w:rsid w:val="00A12D04"/>
    <w:rsid w:val="00A12DAC"/>
    <w:rsid w:val="00A1370E"/>
    <w:rsid w:val="00A13E04"/>
    <w:rsid w:val="00A141EB"/>
    <w:rsid w:val="00A1426F"/>
    <w:rsid w:val="00A1436B"/>
    <w:rsid w:val="00A1444B"/>
    <w:rsid w:val="00A1555D"/>
    <w:rsid w:val="00A16192"/>
    <w:rsid w:val="00A16595"/>
    <w:rsid w:val="00A166A8"/>
    <w:rsid w:val="00A16A45"/>
    <w:rsid w:val="00A16B43"/>
    <w:rsid w:val="00A171AD"/>
    <w:rsid w:val="00A172C0"/>
    <w:rsid w:val="00A17397"/>
    <w:rsid w:val="00A176DE"/>
    <w:rsid w:val="00A17CC8"/>
    <w:rsid w:val="00A20D90"/>
    <w:rsid w:val="00A20DBD"/>
    <w:rsid w:val="00A216B5"/>
    <w:rsid w:val="00A22391"/>
    <w:rsid w:val="00A22743"/>
    <w:rsid w:val="00A22C7A"/>
    <w:rsid w:val="00A23074"/>
    <w:rsid w:val="00A237BA"/>
    <w:rsid w:val="00A2388B"/>
    <w:rsid w:val="00A24194"/>
    <w:rsid w:val="00A24520"/>
    <w:rsid w:val="00A249C9"/>
    <w:rsid w:val="00A24D06"/>
    <w:rsid w:val="00A252DA"/>
    <w:rsid w:val="00A254DD"/>
    <w:rsid w:val="00A25585"/>
    <w:rsid w:val="00A2661C"/>
    <w:rsid w:val="00A2695B"/>
    <w:rsid w:val="00A269C8"/>
    <w:rsid w:val="00A26B16"/>
    <w:rsid w:val="00A2712B"/>
    <w:rsid w:val="00A274A2"/>
    <w:rsid w:val="00A27605"/>
    <w:rsid w:val="00A27650"/>
    <w:rsid w:val="00A27D35"/>
    <w:rsid w:val="00A30652"/>
    <w:rsid w:val="00A3069F"/>
    <w:rsid w:val="00A30991"/>
    <w:rsid w:val="00A30AB8"/>
    <w:rsid w:val="00A30ABB"/>
    <w:rsid w:val="00A30BFC"/>
    <w:rsid w:val="00A317A2"/>
    <w:rsid w:val="00A323D3"/>
    <w:rsid w:val="00A325DB"/>
    <w:rsid w:val="00A327A0"/>
    <w:rsid w:val="00A32E99"/>
    <w:rsid w:val="00A33956"/>
    <w:rsid w:val="00A33F74"/>
    <w:rsid w:val="00A34A6C"/>
    <w:rsid w:val="00A34FAC"/>
    <w:rsid w:val="00A350EB"/>
    <w:rsid w:val="00A3514D"/>
    <w:rsid w:val="00A35E7C"/>
    <w:rsid w:val="00A364FB"/>
    <w:rsid w:val="00A366AF"/>
    <w:rsid w:val="00A36758"/>
    <w:rsid w:val="00A36CEA"/>
    <w:rsid w:val="00A37251"/>
    <w:rsid w:val="00A375B4"/>
    <w:rsid w:val="00A40546"/>
    <w:rsid w:val="00A40B40"/>
    <w:rsid w:val="00A41B1B"/>
    <w:rsid w:val="00A41C31"/>
    <w:rsid w:val="00A41C51"/>
    <w:rsid w:val="00A42162"/>
    <w:rsid w:val="00A424BD"/>
    <w:rsid w:val="00A42C6B"/>
    <w:rsid w:val="00A42D02"/>
    <w:rsid w:val="00A42FBF"/>
    <w:rsid w:val="00A439A9"/>
    <w:rsid w:val="00A43CF5"/>
    <w:rsid w:val="00A4558B"/>
    <w:rsid w:val="00A455A7"/>
    <w:rsid w:val="00A459DB"/>
    <w:rsid w:val="00A45F1D"/>
    <w:rsid w:val="00A472AD"/>
    <w:rsid w:val="00A47384"/>
    <w:rsid w:val="00A47CA0"/>
    <w:rsid w:val="00A5052D"/>
    <w:rsid w:val="00A50F81"/>
    <w:rsid w:val="00A5115F"/>
    <w:rsid w:val="00A51FB7"/>
    <w:rsid w:val="00A521C1"/>
    <w:rsid w:val="00A528B5"/>
    <w:rsid w:val="00A52BBE"/>
    <w:rsid w:val="00A5304E"/>
    <w:rsid w:val="00A53668"/>
    <w:rsid w:val="00A53BB2"/>
    <w:rsid w:val="00A53D23"/>
    <w:rsid w:val="00A53D25"/>
    <w:rsid w:val="00A54957"/>
    <w:rsid w:val="00A54FD5"/>
    <w:rsid w:val="00A554A5"/>
    <w:rsid w:val="00A55A3C"/>
    <w:rsid w:val="00A55A89"/>
    <w:rsid w:val="00A55B5D"/>
    <w:rsid w:val="00A55B77"/>
    <w:rsid w:val="00A55C2A"/>
    <w:rsid w:val="00A55C5D"/>
    <w:rsid w:val="00A56255"/>
    <w:rsid w:val="00A56614"/>
    <w:rsid w:val="00A56F17"/>
    <w:rsid w:val="00A579FF"/>
    <w:rsid w:val="00A57BB5"/>
    <w:rsid w:val="00A604B0"/>
    <w:rsid w:val="00A607B1"/>
    <w:rsid w:val="00A60976"/>
    <w:rsid w:val="00A60C76"/>
    <w:rsid w:val="00A60FE8"/>
    <w:rsid w:val="00A619F0"/>
    <w:rsid w:val="00A61D9E"/>
    <w:rsid w:val="00A623EC"/>
    <w:rsid w:val="00A625AD"/>
    <w:rsid w:val="00A625BC"/>
    <w:rsid w:val="00A62F24"/>
    <w:rsid w:val="00A63258"/>
    <w:rsid w:val="00A63FD2"/>
    <w:rsid w:val="00A647E9"/>
    <w:rsid w:val="00A64865"/>
    <w:rsid w:val="00A64D40"/>
    <w:rsid w:val="00A6519A"/>
    <w:rsid w:val="00A651B6"/>
    <w:rsid w:val="00A659C8"/>
    <w:rsid w:val="00A65A03"/>
    <w:rsid w:val="00A66135"/>
    <w:rsid w:val="00A666A2"/>
    <w:rsid w:val="00A6702C"/>
    <w:rsid w:val="00A6717D"/>
    <w:rsid w:val="00A677F3"/>
    <w:rsid w:val="00A67A8B"/>
    <w:rsid w:val="00A67C49"/>
    <w:rsid w:val="00A71101"/>
    <w:rsid w:val="00A7113E"/>
    <w:rsid w:val="00A714E6"/>
    <w:rsid w:val="00A71977"/>
    <w:rsid w:val="00A71C1F"/>
    <w:rsid w:val="00A71E23"/>
    <w:rsid w:val="00A7352B"/>
    <w:rsid w:val="00A73586"/>
    <w:rsid w:val="00A736FF"/>
    <w:rsid w:val="00A73F44"/>
    <w:rsid w:val="00A749C1"/>
    <w:rsid w:val="00A749C4"/>
    <w:rsid w:val="00A74F77"/>
    <w:rsid w:val="00A75614"/>
    <w:rsid w:val="00A75655"/>
    <w:rsid w:val="00A75916"/>
    <w:rsid w:val="00A75CAB"/>
    <w:rsid w:val="00A75EB2"/>
    <w:rsid w:val="00A76730"/>
    <w:rsid w:val="00A76D2D"/>
    <w:rsid w:val="00A76DC2"/>
    <w:rsid w:val="00A76FDC"/>
    <w:rsid w:val="00A7711C"/>
    <w:rsid w:val="00A771E6"/>
    <w:rsid w:val="00A77248"/>
    <w:rsid w:val="00A773B5"/>
    <w:rsid w:val="00A774E3"/>
    <w:rsid w:val="00A77802"/>
    <w:rsid w:val="00A77AD9"/>
    <w:rsid w:val="00A77E8F"/>
    <w:rsid w:val="00A800DF"/>
    <w:rsid w:val="00A800EF"/>
    <w:rsid w:val="00A808A4"/>
    <w:rsid w:val="00A8268E"/>
    <w:rsid w:val="00A835D3"/>
    <w:rsid w:val="00A83692"/>
    <w:rsid w:val="00A837CF"/>
    <w:rsid w:val="00A83846"/>
    <w:rsid w:val="00A83A46"/>
    <w:rsid w:val="00A83AB1"/>
    <w:rsid w:val="00A845C6"/>
    <w:rsid w:val="00A8491B"/>
    <w:rsid w:val="00A84B6A"/>
    <w:rsid w:val="00A84D71"/>
    <w:rsid w:val="00A84F75"/>
    <w:rsid w:val="00A85C09"/>
    <w:rsid w:val="00A86604"/>
    <w:rsid w:val="00A86E5D"/>
    <w:rsid w:val="00A86EA2"/>
    <w:rsid w:val="00A87073"/>
    <w:rsid w:val="00A87409"/>
    <w:rsid w:val="00A8756C"/>
    <w:rsid w:val="00A875DE"/>
    <w:rsid w:val="00A87D00"/>
    <w:rsid w:val="00A87FC0"/>
    <w:rsid w:val="00A906C2"/>
    <w:rsid w:val="00A9079F"/>
    <w:rsid w:val="00A9081A"/>
    <w:rsid w:val="00A90A8A"/>
    <w:rsid w:val="00A90C9F"/>
    <w:rsid w:val="00A90F81"/>
    <w:rsid w:val="00A9110E"/>
    <w:rsid w:val="00A91CA6"/>
    <w:rsid w:val="00A91D72"/>
    <w:rsid w:val="00A92965"/>
    <w:rsid w:val="00A92CA0"/>
    <w:rsid w:val="00A93953"/>
    <w:rsid w:val="00A93E15"/>
    <w:rsid w:val="00A9568C"/>
    <w:rsid w:val="00A95A0B"/>
    <w:rsid w:val="00A95B30"/>
    <w:rsid w:val="00A95E14"/>
    <w:rsid w:val="00A95FC4"/>
    <w:rsid w:val="00A962D8"/>
    <w:rsid w:val="00A963E4"/>
    <w:rsid w:val="00A96E14"/>
    <w:rsid w:val="00A96E94"/>
    <w:rsid w:val="00A96FF3"/>
    <w:rsid w:val="00A97F3D"/>
    <w:rsid w:val="00A97F8B"/>
    <w:rsid w:val="00AA0109"/>
    <w:rsid w:val="00AA054C"/>
    <w:rsid w:val="00AA0586"/>
    <w:rsid w:val="00AA1106"/>
    <w:rsid w:val="00AA1626"/>
    <w:rsid w:val="00AA1924"/>
    <w:rsid w:val="00AA1928"/>
    <w:rsid w:val="00AA1B3E"/>
    <w:rsid w:val="00AA23A3"/>
    <w:rsid w:val="00AA253D"/>
    <w:rsid w:val="00AA3130"/>
    <w:rsid w:val="00AA34D0"/>
    <w:rsid w:val="00AA3A4C"/>
    <w:rsid w:val="00AA3B99"/>
    <w:rsid w:val="00AA3FAF"/>
    <w:rsid w:val="00AA4425"/>
    <w:rsid w:val="00AA470F"/>
    <w:rsid w:val="00AA4BD1"/>
    <w:rsid w:val="00AA59C0"/>
    <w:rsid w:val="00AA5A3F"/>
    <w:rsid w:val="00AA5F33"/>
    <w:rsid w:val="00AA6133"/>
    <w:rsid w:val="00AA61BF"/>
    <w:rsid w:val="00AA62A7"/>
    <w:rsid w:val="00AA64B2"/>
    <w:rsid w:val="00AA6B61"/>
    <w:rsid w:val="00AA74EC"/>
    <w:rsid w:val="00AA7761"/>
    <w:rsid w:val="00AA7834"/>
    <w:rsid w:val="00AA788C"/>
    <w:rsid w:val="00AA7C8B"/>
    <w:rsid w:val="00AA7EFB"/>
    <w:rsid w:val="00AB042A"/>
    <w:rsid w:val="00AB0F54"/>
    <w:rsid w:val="00AB0FF0"/>
    <w:rsid w:val="00AB19C4"/>
    <w:rsid w:val="00AB1A5F"/>
    <w:rsid w:val="00AB1B9D"/>
    <w:rsid w:val="00AB2F9E"/>
    <w:rsid w:val="00AB395B"/>
    <w:rsid w:val="00AB3A3F"/>
    <w:rsid w:val="00AB3F07"/>
    <w:rsid w:val="00AB40AD"/>
    <w:rsid w:val="00AB43C5"/>
    <w:rsid w:val="00AB46DE"/>
    <w:rsid w:val="00AB4792"/>
    <w:rsid w:val="00AB4D48"/>
    <w:rsid w:val="00AB4EA9"/>
    <w:rsid w:val="00AB5638"/>
    <w:rsid w:val="00AB5786"/>
    <w:rsid w:val="00AB57D0"/>
    <w:rsid w:val="00AB5E55"/>
    <w:rsid w:val="00AB6451"/>
    <w:rsid w:val="00AB6AFC"/>
    <w:rsid w:val="00AB6EC0"/>
    <w:rsid w:val="00AC02E8"/>
    <w:rsid w:val="00AC03AC"/>
    <w:rsid w:val="00AC0426"/>
    <w:rsid w:val="00AC04D1"/>
    <w:rsid w:val="00AC0D6F"/>
    <w:rsid w:val="00AC0E2A"/>
    <w:rsid w:val="00AC12BF"/>
    <w:rsid w:val="00AC163F"/>
    <w:rsid w:val="00AC19B7"/>
    <w:rsid w:val="00AC1C63"/>
    <w:rsid w:val="00AC2022"/>
    <w:rsid w:val="00AC213C"/>
    <w:rsid w:val="00AC2362"/>
    <w:rsid w:val="00AC2A46"/>
    <w:rsid w:val="00AC2D47"/>
    <w:rsid w:val="00AC3486"/>
    <w:rsid w:val="00AC3D2C"/>
    <w:rsid w:val="00AC430B"/>
    <w:rsid w:val="00AC454C"/>
    <w:rsid w:val="00AC4823"/>
    <w:rsid w:val="00AC5413"/>
    <w:rsid w:val="00AC5547"/>
    <w:rsid w:val="00AC5745"/>
    <w:rsid w:val="00AC5AFF"/>
    <w:rsid w:val="00AC5C62"/>
    <w:rsid w:val="00AC624B"/>
    <w:rsid w:val="00AC64C7"/>
    <w:rsid w:val="00AC6BF6"/>
    <w:rsid w:val="00AC7046"/>
    <w:rsid w:val="00AC7675"/>
    <w:rsid w:val="00AC77FB"/>
    <w:rsid w:val="00AC79CA"/>
    <w:rsid w:val="00AC7C25"/>
    <w:rsid w:val="00AC7F78"/>
    <w:rsid w:val="00AD09D5"/>
    <w:rsid w:val="00AD09FB"/>
    <w:rsid w:val="00AD0D65"/>
    <w:rsid w:val="00AD1269"/>
    <w:rsid w:val="00AD1366"/>
    <w:rsid w:val="00AD22F3"/>
    <w:rsid w:val="00AD2A4D"/>
    <w:rsid w:val="00AD39A0"/>
    <w:rsid w:val="00AD3BB6"/>
    <w:rsid w:val="00AD3C97"/>
    <w:rsid w:val="00AD3ED4"/>
    <w:rsid w:val="00AD47A4"/>
    <w:rsid w:val="00AD4E6B"/>
    <w:rsid w:val="00AD4E98"/>
    <w:rsid w:val="00AD519B"/>
    <w:rsid w:val="00AD545E"/>
    <w:rsid w:val="00AD5657"/>
    <w:rsid w:val="00AD5BF9"/>
    <w:rsid w:val="00AD5DF8"/>
    <w:rsid w:val="00AD5EDA"/>
    <w:rsid w:val="00AD66B0"/>
    <w:rsid w:val="00AD7536"/>
    <w:rsid w:val="00AD7996"/>
    <w:rsid w:val="00AD7FEA"/>
    <w:rsid w:val="00AE0A09"/>
    <w:rsid w:val="00AE0E6C"/>
    <w:rsid w:val="00AE1692"/>
    <w:rsid w:val="00AE19F0"/>
    <w:rsid w:val="00AE30FC"/>
    <w:rsid w:val="00AE3AAB"/>
    <w:rsid w:val="00AE3BA9"/>
    <w:rsid w:val="00AE3C64"/>
    <w:rsid w:val="00AE488A"/>
    <w:rsid w:val="00AE4BC2"/>
    <w:rsid w:val="00AE532F"/>
    <w:rsid w:val="00AE5394"/>
    <w:rsid w:val="00AE557D"/>
    <w:rsid w:val="00AE55B7"/>
    <w:rsid w:val="00AE5A41"/>
    <w:rsid w:val="00AE5BC3"/>
    <w:rsid w:val="00AE601D"/>
    <w:rsid w:val="00AE60F7"/>
    <w:rsid w:val="00AE6498"/>
    <w:rsid w:val="00AE6BB4"/>
    <w:rsid w:val="00AE758A"/>
    <w:rsid w:val="00AE7937"/>
    <w:rsid w:val="00AE7B5C"/>
    <w:rsid w:val="00AF11F7"/>
    <w:rsid w:val="00AF13D5"/>
    <w:rsid w:val="00AF1DA5"/>
    <w:rsid w:val="00AF1E22"/>
    <w:rsid w:val="00AF2D07"/>
    <w:rsid w:val="00AF3171"/>
    <w:rsid w:val="00AF3AD0"/>
    <w:rsid w:val="00AF417D"/>
    <w:rsid w:val="00AF4366"/>
    <w:rsid w:val="00AF43FA"/>
    <w:rsid w:val="00AF4DDB"/>
    <w:rsid w:val="00AF55C7"/>
    <w:rsid w:val="00AF5CF3"/>
    <w:rsid w:val="00AF6A5B"/>
    <w:rsid w:val="00AF725C"/>
    <w:rsid w:val="00AF7550"/>
    <w:rsid w:val="00AF7C82"/>
    <w:rsid w:val="00AF7E1A"/>
    <w:rsid w:val="00AF7F5F"/>
    <w:rsid w:val="00B00270"/>
    <w:rsid w:val="00B019A1"/>
    <w:rsid w:val="00B01F70"/>
    <w:rsid w:val="00B02230"/>
    <w:rsid w:val="00B023FD"/>
    <w:rsid w:val="00B02528"/>
    <w:rsid w:val="00B0295F"/>
    <w:rsid w:val="00B02F4C"/>
    <w:rsid w:val="00B03066"/>
    <w:rsid w:val="00B03C69"/>
    <w:rsid w:val="00B03FA5"/>
    <w:rsid w:val="00B04019"/>
    <w:rsid w:val="00B047D7"/>
    <w:rsid w:val="00B04E1A"/>
    <w:rsid w:val="00B057B4"/>
    <w:rsid w:val="00B05E25"/>
    <w:rsid w:val="00B05FBD"/>
    <w:rsid w:val="00B060B1"/>
    <w:rsid w:val="00B062DD"/>
    <w:rsid w:val="00B063B4"/>
    <w:rsid w:val="00B06851"/>
    <w:rsid w:val="00B068D7"/>
    <w:rsid w:val="00B06EC0"/>
    <w:rsid w:val="00B0713C"/>
    <w:rsid w:val="00B0767E"/>
    <w:rsid w:val="00B076F0"/>
    <w:rsid w:val="00B07C2E"/>
    <w:rsid w:val="00B10772"/>
    <w:rsid w:val="00B110CA"/>
    <w:rsid w:val="00B11212"/>
    <w:rsid w:val="00B11B25"/>
    <w:rsid w:val="00B11BBF"/>
    <w:rsid w:val="00B11D2D"/>
    <w:rsid w:val="00B1203A"/>
    <w:rsid w:val="00B12286"/>
    <w:rsid w:val="00B12307"/>
    <w:rsid w:val="00B1250E"/>
    <w:rsid w:val="00B129B4"/>
    <w:rsid w:val="00B12F69"/>
    <w:rsid w:val="00B12F7F"/>
    <w:rsid w:val="00B12FB1"/>
    <w:rsid w:val="00B13234"/>
    <w:rsid w:val="00B13A5A"/>
    <w:rsid w:val="00B13D1C"/>
    <w:rsid w:val="00B13D56"/>
    <w:rsid w:val="00B1437B"/>
    <w:rsid w:val="00B14826"/>
    <w:rsid w:val="00B14AF3"/>
    <w:rsid w:val="00B14C86"/>
    <w:rsid w:val="00B14DA0"/>
    <w:rsid w:val="00B152DA"/>
    <w:rsid w:val="00B16204"/>
    <w:rsid w:val="00B1664F"/>
    <w:rsid w:val="00B16666"/>
    <w:rsid w:val="00B17011"/>
    <w:rsid w:val="00B173A5"/>
    <w:rsid w:val="00B17C3C"/>
    <w:rsid w:val="00B205ED"/>
    <w:rsid w:val="00B208D1"/>
    <w:rsid w:val="00B20F4A"/>
    <w:rsid w:val="00B21279"/>
    <w:rsid w:val="00B21524"/>
    <w:rsid w:val="00B217D7"/>
    <w:rsid w:val="00B2258B"/>
    <w:rsid w:val="00B2260E"/>
    <w:rsid w:val="00B229D9"/>
    <w:rsid w:val="00B22B35"/>
    <w:rsid w:val="00B22C36"/>
    <w:rsid w:val="00B23AEE"/>
    <w:rsid w:val="00B23CF4"/>
    <w:rsid w:val="00B23E0B"/>
    <w:rsid w:val="00B24372"/>
    <w:rsid w:val="00B2474C"/>
    <w:rsid w:val="00B2480B"/>
    <w:rsid w:val="00B24BC2"/>
    <w:rsid w:val="00B24CC0"/>
    <w:rsid w:val="00B24FB6"/>
    <w:rsid w:val="00B259F5"/>
    <w:rsid w:val="00B26206"/>
    <w:rsid w:val="00B262AA"/>
    <w:rsid w:val="00B263E1"/>
    <w:rsid w:val="00B2667D"/>
    <w:rsid w:val="00B26BA1"/>
    <w:rsid w:val="00B27E55"/>
    <w:rsid w:val="00B30561"/>
    <w:rsid w:val="00B3067D"/>
    <w:rsid w:val="00B30A6F"/>
    <w:rsid w:val="00B30C68"/>
    <w:rsid w:val="00B312FA"/>
    <w:rsid w:val="00B31C38"/>
    <w:rsid w:val="00B320ED"/>
    <w:rsid w:val="00B32380"/>
    <w:rsid w:val="00B32448"/>
    <w:rsid w:val="00B3292E"/>
    <w:rsid w:val="00B32BAA"/>
    <w:rsid w:val="00B32EB0"/>
    <w:rsid w:val="00B331A6"/>
    <w:rsid w:val="00B335D7"/>
    <w:rsid w:val="00B33C08"/>
    <w:rsid w:val="00B33CBA"/>
    <w:rsid w:val="00B34EEA"/>
    <w:rsid w:val="00B35073"/>
    <w:rsid w:val="00B35520"/>
    <w:rsid w:val="00B35BC2"/>
    <w:rsid w:val="00B361B3"/>
    <w:rsid w:val="00B36669"/>
    <w:rsid w:val="00B3743E"/>
    <w:rsid w:val="00B37F85"/>
    <w:rsid w:val="00B400D2"/>
    <w:rsid w:val="00B400E8"/>
    <w:rsid w:val="00B40255"/>
    <w:rsid w:val="00B4066D"/>
    <w:rsid w:val="00B4184A"/>
    <w:rsid w:val="00B41B89"/>
    <w:rsid w:val="00B41F3E"/>
    <w:rsid w:val="00B431F3"/>
    <w:rsid w:val="00B433EB"/>
    <w:rsid w:val="00B43CD0"/>
    <w:rsid w:val="00B43D0D"/>
    <w:rsid w:val="00B445BC"/>
    <w:rsid w:val="00B45C3C"/>
    <w:rsid w:val="00B45FA1"/>
    <w:rsid w:val="00B4610E"/>
    <w:rsid w:val="00B461D8"/>
    <w:rsid w:val="00B4624C"/>
    <w:rsid w:val="00B4718A"/>
    <w:rsid w:val="00B47431"/>
    <w:rsid w:val="00B47727"/>
    <w:rsid w:val="00B47968"/>
    <w:rsid w:val="00B47BF6"/>
    <w:rsid w:val="00B47ED7"/>
    <w:rsid w:val="00B502D8"/>
    <w:rsid w:val="00B50605"/>
    <w:rsid w:val="00B5078B"/>
    <w:rsid w:val="00B50D6D"/>
    <w:rsid w:val="00B514CE"/>
    <w:rsid w:val="00B5229B"/>
    <w:rsid w:val="00B527CA"/>
    <w:rsid w:val="00B52A57"/>
    <w:rsid w:val="00B52DAF"/>
    <w:rsid w:val="00B52DE0"/>
    <w:rsid w:val="00B5338A"/>
    <w:rsid w:val="00B539DB"/>
    <w:rsid w:val="00B53AE9"/>
    <w:rsid w:val="00B53F01"/>
    <w:rsid w:val="00B54073"/>
    <w:rsid w:val="00B5425E"/>
    <w:rsid w:val="00B545E6"/>
    <w:rsid w:val="00B5471E"/>
    <w:rsid w:val="00B549EA"/>
    <w:rsid w:val="00B54C09"/>
    <w:rsid w:val="00B553E3"/>
    <w:rsid w:val="00B55AC3"/>
    <w:rsid w:val="00B55C1A"/>
    <w:rsid w:val="00B56DD7"/>
    <w:rsid w:val="00B57298"/>
    <w:rsid w:val="00B576F7"/>
    <w:rsid w:val="00B57702"/>
    <w:rsid w:val="00B577E3"/>
    <w:rsid w:val="00B602D9"/>
    <w:rsid w:val="00B60EDE"/>
    <w:rsid w:val="00B611C2"/>
    <w:rsid w:val="00B6207B"/>
    <w:rsid w:val="00B62445"/>
    <w:rsid w:val="00B62807"/>
    <w:rsid w:val="00B63941"/>
    <w:rsid w:val="00B63F20"/>
    <w:rsid w:val="00B643D2"/>
    <w:rsid w:val="00B6470F"/>
    <w:rsid w:val="00B64B0D"/>
    <w:rsid w:val="00B650B1"/>
    <w:rsid w:val="00B65391"/>
    <w:rsid w:val="00B65A57"/>
    <w:rsid w:val="00B6606D"/>
    <w:rsid w:val="00B66273"/>
    <w:rsid w:val="00B663CC"/>
    <w:rsid w:val="00B66BE1"/>
    <w:rsid w:val="00B67189"/>
    <w:rsid w:val="00B70BF4"/>
    <w:rsid w:val="00B717C0"/>
    <w:rsid w:val="00B71950"/>
    <w:rsid w:val="00B71E65"/>
    <w:rsid w:val="00B71E90"/>
    <w:rsid w:val="00B7252B"/>
    <w:rsid w:val="00B73197"/>
    <w:rsid w:val="00B733ED"/>
    <w:rsid w:val="00B735E8"/>
    <w:rsid w:val="00B73CFD"/>
    <w:rsid w:val="00B73EF4"/>
    <w:rsid w:val="00B74EFF"/>
    <w:rsid w:val="00B752DD"/>
    <w:rsid w:val="00B76549"/>
    <w:rsid w:val="00B766CB"/>
    <w:rsid w:val="00B76BCE"/>
    <w:rsid w:val="00B76F8A"/>
    <w:rsid w:val="00B77449"/>
    <w:rsid w:val="00B77B0C"/>
    <w:rsid w:val="00B77C0D"/>
    <w:rsid w:val="00B77C4D"/>
    <w:rsid w:val="00B77F41"/>
    <w:rsid w:val="00B807D7"/>
    <w:rsid w:val="00B8118E"/>
    <w:rsid w:val="00B81551"/>
    <w:rsid w:val="00B81C7F"/>
    <w:rsid w:val="00B81E79"/>
    <w:rsid w:val="00B81F8D"/>
    <w:rsid w:val="00B8207A"/>
    <w:rsid w:val="00B82080"/>
    <w:rsid w:val="00B827AE"/>
    <w:rsid w:val="00B82B09"/>
    <w:rsid w:val="00B82BA9"/>
    <w:rsid w:val="00B82DCB"/>
    <w:rsid w:val="00B835BF"/>
    <w:rsid w:val="00B836A6"/>
    <w:rsid w:val="00B840D5"/>
    <w:rsid w:val="00B8430A"/>
    <w:rsid w:val="00B84988"/>
    <w:rsid w:val="00B84A2E"/>
    <w:rsid w:val="00B84AA0"/>
    <w:rsid w:val="00B84C8D"/>
    <w:rsid w:val="00B84EE9"/>
    <w:rsid w:val="00B85274"/>
    <w:rsid w:val="00B85740"/>
    <w:rsid w:val="00B857C7"/>
    <w:rsid w:val="00B86056"/>
    <w:rsid w:val="00B87BB5"/>
    <w:rsid w:val="00B903FE"/>
    <w:rsid w:val="00B908BA"/>
    <w:rsid w:val="00B90BC9"/>
    <w:rsid w:val="00B90D1B"/>
    <w:rsid w:val="00B91765"/>
    <w:rsid w:val="00B917BE"/>
    <w:rsid w:val="00B91BAB"/>
    <w:rsid w:val="00B91BD5"/>
    <w:rsid w:val="00B91DFC"/>
    <w:rsid w:val="00B923CF"/>
    <w:rsid w:val="00B924C0"/>
    <w:rsid w:val="00B940B7"/>
    <w:rsid w:val="00B940BD"/>
    <w:rsid w:val="00B9420D"/>
    <w:rsid w:val="00B94A1E"/>
    <w:rsid w:val="00B95822"/>
    <w:rsid w:val="00B95EC5"/>
    <w:rsid w:val="00B95ED9"/>
    <w:rsid w:val="00B96291"/>
    <w:rsid w:val="00B96DD5"/>
    <w:rsid w:val="00B96E18"/>
    <w:rsid w:val="00B972F1"/>
    <w:rsid w:val="00B974B6"/>
    <w:rsid w:val="00B977EE"/>
    <w:rsid w:val="00B979B3"/>
    <w:rsid w:val="00B97D53"/>
    <w:rsid w:val="00BA121A"/>
    <w:rsid w:val="00BA126D"/>
    <w:rsid w:val="00BA174F"/>
    <w:rsid w:val="00BA1AA0"/>
    <w:rsid w:val="00BA23C7"/>
    <w:rsid w:val="00BA26A4"/>
    <w:rsid w:val="00BA322E"/>
    <w:rsid w:val="00BA3B8C"/>
    <w:rsid w:val="00BA3DDC"/>
    <w:rsid w:val="00BA3E49"/>
    <w:rsid w:val="00BA4383"/>
    <w:rsid w:val="00BA4708"/>
    <w:rsid w:val="00BA4A58"/>
    <w:rsid w:val="00BA4C96"/>
    <w:rsid w:val="00BA51DA"/>
    <w:rsid w:val="00BA59B2"/>
    <w:rsid w:val="00BA5CDF"/>
    <w:rsid w:val="00BA64CA"/>
    <w:rsid w:val="00BA6703"/>
    <w:rsid w:val="00BA672A"/>
    <w:rsid w:val="00BA6823"/>
    <w:rsid w:val="00BA6848"/>
    <w:rsid w:val="00BA69CB"/>
    <w:rsid w:val="00BA6BD9"/>
    <w:rsid w:val="00BA7919"/>
    <w:rsid w:val="00BA7FCD"/>
    <w:rsid w:val="00BB0151"/>
    <w:rsid w:val="00BB1DA5"/>
    <w:rsid w:val="00BB1E82"/>
    <w:rsid w:val="00BB1F2E"/>
    <w:rsid w:val="00BB2611"/>
    <w:rsid w:val="00BB2BB6"/>
    <w:rsid w:val="00BB2C0D"/>
    <w:rsid w:val="00BB2E28"/>
    <w:rsid w:val="00BB3458"/>
    <w:rsid w:val="00BB38E0"/>
    <w:rsid w:val="00BB3D68"/>
    <w:rsid w:val="00BB4AB2"/>
    <w:rsid w:val="00BB4C9F"/>
    <w:rsid w:val="00BB55C9"/>
    <w:rsid w:val="00BB564C"/>
    <w:rsid w:val="00BB57FB"/>
    <w:rsid w:val="00BB5B31"/>
    <w:rsid w:val="00BB68E9"/>
    <w:rsid w:val="00BB7281"/>
    <w:rsid w:val="00BB7B10"/>
    <w:rsid w:val="00BB7C53"/>
    <w:rsid w:val="00BB7FDF"/>
    <w:rsid w:val="00BC059C"/>
    <w:rsid w:val="00BC06FE"/>
    <w:rsid w:val="00BC0F8D"/>
    <w:rsid w:val="00BC216E"/>
    <w:rsid w:val="00BC3A58"/>
    <w:rsid w:val="00BC3B0B"/>
    <w:rsid w:val="00BC3BE1"/>
    <w:rsid w:val="00BC3D69"/>
    <w:rsid w:val="00BC3F2B"/>
    <w:rsid w:val="00BC4447"/>
    <w:rsid w:val="00BC4B10"/>
    <w:rsid w:val="00BC5418"/>
    <w:rsid w:val="00BC5848"/>
    <w:rsid w:val="00BC61A6"/>
    <w:rsid w:val="00BC6D76"/>
    <w:rsid w:val="00BC70DD"/>
    <w:rsid w:val="00BC7334"/>
    <w:rsid w:val="00BC740D"/>
    <w:rsid w:val="00BC74E2"/>
    <w:rsid w:val="00BC770E"/>
    <w:rsid w:val="00BC7D0A"/>
    <w:rsid w:val="00BD036D"/>
    <w:rsid w:val="00BD06A9"/>
    <w:rsid w:val="00BD110A"/>
    <w:rsid w:val="00BD1276"/>
    <w:rsid w:val="00BD12C2"/>
    <w:rsid w:val="00BD13F0"/>
    <w:rsid w:val="00BD1444"/>
    <w:rsid w:val="00BD1956"/>
    <w:rsid w:val="00BD1E87"/>
    <w:rsid w:val="00BD216A"/>
    <w:rsid w:val="00BD2580"/>
    <w:rsid w:val="00BD2DF8"/>
    <w:rsid w:val="00BD35EC"/>
    <w:rsid w:val="00BD36C6"/>
    <w:rsid w:val="00BD4182"/>
    <w:rsid w:val="00BD426D"/>
    <w:rsid w:val="00BD46D1"/>
    <w:rsid w:val="00BD490B"/>
    <w:rsid w:val="00BD4B3D"/>
    <w:rsid w:val="00BD5DDD"/>
    <w:rsid w:val="00BD6048"/>
    <w:rsid w:val="00BD6184"/>
    <w:rsid w:val="00BD67DB"/>
    <w:rsid w:val="00BD69AD"/>
    <w:rsid w:val="00BD6AE3"/>
    <w:rsid w:val="00BD6BD5"/>
    <w:rsid w:val="00BD7368"/>
    <w:rsid w:val="00BD770A"/>
    <w:rsid w:val="00BD7B8E"/>
    <w:rsid w:val="00BE0633"/>
    <w:rsid w:val="00BE07B8"/>
    <w:rsid w:val="00BE08F9"/>
    <w:rsid w:val="00BE0AD6"/>
    <w:rsid w:val="00BE0F87"/>
    <w:rsid w:val="00BE11FA"/>
    <w:rsid w:val="00BE14E7"/>
    <w:rsid w:val="00BE16A5"/>
    <w:rsid w:val="00BE1799"/>
    <w:rsid w:val="00BE1F37"/>
    <w:rsid w:val="00BE20E7"/>
    <w:rsid w:val="00BE23CA"/>
    <w:rsid w:val="00BE314C"/>
    <w:rsid w:val="00BE3A8B"/>
    <w:rsid w:val="00BE3AEC"/>
    <w:rsid w:val="00BE4B0B"/>
    <w:rsid w:val="00BE4DEA"/>
    <w:rsid w:val="00BE4F86"/>
    <w:rsid w:val="00BE4FDE"/>
    <w:rsid w:val="00BE587C"/>
    <w:rsid w:val="00BE59DD"/>
    <w:rsid w:val="00BE5E4B"/>
    <w:rsid w:val="00BE6394"/>
    <w:rsid w:val="00BE6890"/>
    <w:rsid w:val="00BE68AF"/>
    <w:rsid w:val="00BE7560"/>
    <w:rsid w:val="00BE77F1"/>
    <w:rsid w:val="00BE7C0D"/>
    <w:rsid w:val="00BE7D2C"/>
    <w:rsid w:val="00BF0232"/>
    <w:rsid w:val="00BF03A6"/>
    <w:rsid w:val="00BF0801"/>
    <w:rsid w:val="00BF092B"/>
    <w:rsid w:val="00BF0A10"/>
    <w:rsid w:val="00BF0AFF"/>
    <w:rsid w:val="00BF19B6"/>
    <w:rsid w:val="00BF1B89"/>
    <w:rsid w:val="00BF2050"/>
    <w:rsid w:val="00BF213E"/>
    <w:rsid w:val="00BF251D"/>
    <w:rsid w:val="00BF3123"/>
    <w:rsid w:val="00BF31AA"/>
    <w:rsid w:val="00BF32B2"/>
    <w:rsid w:val="00BF3335"/>
    <w:rsid w:val="00BF33FD"/>
    <w:rsid w:val="00BF3611"/>
    <w:rsid w:val="00BF388B"/>
    <w:rsid w:val="00BF3DAD"/>
    <w:rsid w:val="00BF47E7"/>
    <w:rsid w:val="00BF4F11"/>
    <w:rsid w:val="00BF5A5B"/>
    <w:rsid w:val="00BF5ECA"/>
    <w:rsid w:val="00BF63D0"/>
    <w:rsid w:val="00BF63E1"/>
    <w:rsid w:val="00BF661B"/>
    <w:rsid w:val="00BF68CF"/>
    <w:rsid w:val="00BF6B56"/>
    <w:rsid w:val="00BF6F4C"/>
    <w:rsid w:val="00BF7104"/>
    <w:rsid w:val="00BF7CFA"/>
    <w:rsid w:val="00C000FC"/>
    <w:rsid w:val="00C00597"/>
    <w:rsid w:val="00C01C56"/>
    <w:rsid w:val="00C01D9A"/>
    <w:rsid w:val="00C0236B"/>
    <w:rsid w:val="00C02D5D"/>
    <w:rsid w:val="00C02E76"/>
    <w:rsid w:val="00C02FEB"/>
    <w:rsid w:val="00C030F1"/>
    <w:rsid w:val="00C031EA"/>
    <w:rsid w:val="00C0353A"/>
    <w:rsid w:val="00C03ADC"/>
    <w:rsid w:val="00C0407B"/>
    <w:rsid w:val="00C04483"/>
    <w:rsid w:val="00C04975"/>
    <w:rsid w:val="00C050BA"/>
    <w:rsid w:val="00C051C0"/>
    <w:rsid w:val="00C0527F"/>
    <w:rsid w:val="00C05454"/>
    <w:rsid w:val="00C05956"/>
    <w:rsid w:val="00C05BAA"/>
    <w:rsid w:val="00C06326"/>
    <w:rsid w:val="00C0665A"/>
    <w:rsid w:val="00C06CD1"/>
    <w:rsid w:val="00C06D12"/>
    <w:rsid w:val="00C06E9F"/>
    <w:rsid w:val="00C07737"/>
    <w:rsid w:val="00C07AAF"/>
    <w:rsid w:val="00C11B6A"/>
    <w:rsid w:val="00C1256C"/>
    <w:rsid w:val="00C13149"/>
    <w:rsid w:val="00C137D0"/>
    <w:rsid w:val="00C139E0"/>
    <w:rsid w:val="00C13C01"/>
    <w:rsid w:val="00C142B2"/>
    <w:rsid w:val="00C14ADD"/>
    <w:rsid w:val="00C1560F"/>
    <w:rsid w:val="00C1578B"/>
    <w:rsid w:val="00C15FBD"/>
    <w:rsid w:val="00C16565"/>
    <w:rsid w:val="00C16692"/>
    <w:rsid w:val="00C16ED3"/>
    <w:rsid w:val="00C170B0"/>
    <w:rsid w:val="00C173E9"/>
    <w:rsid w:val="00C176E2"/>
    <w:rsid w:val="00C17B45"/>
    <w:rsid w:val="00C17B89"/>
    <w:rsid w:val="00C2005B"/>
    <w:rsid w:val="00C20122"/>
    <w:rsid w:val="00C201DF"/>
    <w:rsid w:val="00C206FD"/>
    <w:rsid w:val="00C209BF"/>
    <w:rsid w:val="00C215DC"/>
    <w:rsid w:val="00C2181D"/>
    <w:rsid w:val="00C21C9C"/>
    <w:rsid w:val="00C21D6E"/>
    <w:rsid w:val="00C22107"/>
    <w:rsid w:val="00C221FE"/>
    <w:rsid w:val="00C23196"/>
    <w:rsid w:val="00C234C7"/>
    <w:rsid w:val="00C240DA"/>
    <w:rsid w:val="00C2445E"/>
    <w:rsid w:val="00C24D6A"/>
    <w:rsid w:val="00C24DDF"/>
    <w:rsid w:val="00C25003"/>
    <w:rsid w:val="00C25191"/>
    <w:rsid w:val="00C25381"/>
    <w:rsid w:val="00C25B7B"/>
    <w:rsid w:val="00C26188"/>
    <w:rsid w:val="00C268FB"/>
    <w:rsid w:val="00C27123"/>
    <w:rsid w:val="00C2727C"/>
    <w:rsid w:val="00C30B98"/>
    <w:rsid w:val="00C3113C"/>
    <w:rsid w:val="00C31562"/>
    <w:rsid w:val="00C320E1"/>
    <w:rsid w:val="00C32282"/>
    <w:rsid w:val="00C3236E"/>
    <w:rsid w:val="00C3263C"/>
    <w:rsid w:val="00C32CEF"/>
    <w:rsid w:val="00C330B4"/>
    <w:rsid w:val="00C3315A"/>
    <w:rsid w:val="00C3333C"/>
    <w:rsid w:val="00C33540"/>
    <w:rsid w:val="00C33556"/>
    <w:rsid w:val="00C3384C"/>
    <w:rsid w:val="00C3386D"/>
    <w:rsid w:val="00C339C0"/>
    <w:rsid w:val="00C33A0F"/>
    <w:rsid w:val="00C33B3F"/>
    <w:rsid w:val="00C345A8"/>
    <w:rsid w:val="00C346FB"/>
    <w:rsid w:val="00C34874"/>
    <w:rsid w:val="00C34F2D"/>
    <w:rsid w:val="00C35373"/>
    <w:rsid w:val="00C35DD2"/>
    <w:rsid w:val="00C369BF"/>
    <w:rsid w:val="00C37AE7"/>
    <w:rsid w:val="00C37F72"/>
    <w:rsid w:val="00C40CA0"/>
    <w:rsid w:val="00C40E8D"/>
    <w:rsid w:val="00C412D9"/>
    <w:rsid w:val="00C41C1F"/>
    <w:rsid w:val="00C425DF"/>
    <w:rsid w:val="00C42C19"/>
    <w:rsid w:val="00C42DF6"/>
    <w:rsid w:val="00C43846"/>
    <w:rsid w:val="00C440EB"/>
    <w:rsid w:val="00C4480C"/>
    <w:rsid w:val="00C4481A"/>
    <w:rsid w:val="00C44BED"/>
    <w:rsid w:val="00C4527D"/>
    <w:rsid w:val="00C45303"/>
    <w:rsid w:val="00C45636"/>
    <w:rsid w:val="00C463D6"/>
    <w:rsid w:val="00C46744"/>
    <w:rsid w:val="00C469FC"/>
    <w:rsid w:val="00C46B0B"/>
    <w:rsid w:val="00C4706F"/>
    <w:rsid w:val="00C470C7"/>
    <w:rsid w:val="00C474AE"/>
    <w:rsid w:val="00C4760F"/>
    <w:rsid w:val="00C47C5D"/>
    <w:rsid w:val="00C47DD4"/>
    <w:rsid w:val="00C502E1"/>
    <w:rsid w:val="00C50D1C"/>
    <w:rsid w:val="00C50E28"/>
    <w:rsid w:val="00C51D91"/>
    <w:rsid w:val="00C51ED1"/>
    <w:rsid w:val="00C529EA"/>
    <w:rsid w:val="00C52F33"/>
    <w:rsid w:val="00C53550"/>
    <w:rsid w:val="00C5359B"/>
    <w:rsid w:val="00C536EA"/>
    <w:rsid w:val="00C53BA1"/>
    <w:rsid w:val="00C540E5"/>
    <w:rsid w:val="00C545DA"/>
    <w:rsid w:val="00C5525B"/>
    <w:rsid w:val="00C5592A"/>
    <w:rsid w:val="00C55F90"/>
    <w:rsid w:val="00C55FEE"/>
    <w:rsid w:val="00C56137"/>
    <w:rsid w:val="00C5615B"/>
    <w:rsid w:val="00C563C1"/>
    <w:rsid w:val="00C56C07"/>
    <w:rsid w:val="00C57073"/>
    <w:rsid w:val="00C618F9"/>
    <w:rsid w:val="00C61BAA"/>
    <w:rsid w:val="00C6230B"/>
    <w:rsid w:val="00C6300D"/>
    <w:rsid w:val="00C630CA"/>
    <w:rsid w:val="00C6368A"/>
    <w:rsid w:val="00C63AD6"/>
    <w:rsid w:val="00C64370"/>
    <w:rsid w:val="00C646EB"/>
    <w:rsid w:val="00C64B0F"/>
    <w:rsid w:val="00C6505D"/>
    <w:rsid w:val="00C659A8"/>
    <w:rsid w:val="00C65C02"/>
    <w:rsid w:val="00C65D05"/>
    <w:rsid w:val="00C661D7"/>
    <w:rsid w:val="00C662F0"/>
    <w:rsid w:val="00C663F0"/>
    <w:rsid w:val="00C66B59"/>
    <w:rsid w:val="00C675C6"/>
    <w:rsid w:val="00C67632"/>
    <w:rsid w:val="00C67D27"/>
    <w:rsid w:val="00C67FB0"/>
    <w:rsid w:val="00C70B4E"/>
    <w:rsid w:val="00C70D22"/>
    <w:rsid w:val="00C70F74"/>
    <w:rsid w:val="00C70FE8"/>
    <w:rsid w:val="00C71412"/>
    <w:rsid w:val="00C71A51"/>
    <w:rsid w:val="00C71C7F"/>
    <w:rsid w:val="00C71FC3"/>
    <w:rsid w:val="00C7212A"/>
    <w:rsid w:val="00C72405"/>
    <w:rsid w:val="00C73332"/>
    <w:rsid w:val="00C73A78"/>
    <w:rsid w:val="00C73A89"/>
    <w:rsid w:val="00C73E43"/>
    <w:rsid w:val="00C744B4"/>
    <w:rsid w:val="00C74A95"/>
    <w:rsid w:val="00C75338"/>
    <w:rsid w:val="00C758C8"/>
    <w:rsid w:val="00C75A92"/>
    <w:rsid w:val="00C75DFC"/>
    <w:rsid w:val="00C767BD"/>
    <w:rsid w:val="00C76CE5"/>
    <w:rsid w:val="00C7713E"/>
    <w:rsid w:val="00C774BF"/>
    <w:rsid w:val="00C774FB"/>
    <w:rsid w:val="00C779EC"/>
    <w:rsid w:val="00C802E0"/>
    <w:rsid w:val="00C807EE"/>
    <w:rsid w:val="00C808D3"/>
    <w:rsid w:val="00C80BFD"/>
    <w:rsid w:val="00C81441"/>
    <w:rsid w:val="00C814F9"/>
    <w:rsid w:val="00C819C5"/>
    <w:rsid w:val="00C82BFF"/>
    <w:rsid w:val="00C82E98"/>
    <w:rsid w:val="00C82F88"/>
    <w:rsid w:val="00C8375A"/>
    <w:rsid w:val="00C83B57"/>
    <w:rsid w:val="00C8402F"/>
    <w:rsid w:val="00C8483D"/>
    <w:rsid w:val="00C8534C"/>
    <w:rsid w:val="00C85637"/>
    <w:rsid w:val="00C85CC6"/>
    <w:rsid w:val="00C85CF9"/>
    <w:rsid w:val="00C85E85"/>
    <w:rsid w:val="00C8613B"/>
    <w:rsid w:val="00C86A42"/>
    <w:rsid w:val="00C86E11"/>
    <w:rsid w:val="00C8719D"/>
    <w:rsid w:val="00C871FB"/>
    <w:rsid w:val="00C87303"/>
    <w:rsid w:val="00C877FA"/>
    <w:rsid w:val="00C879C6"/>
    <w:rsid w:val="00C87C7F"/>
    <w:rsid w:val="00C87D04"/>
    <w:rsid w:val="00C90F20"/>
    <w:rsid w:val="00C913DE"/>
    <w:rsid w:val="00C91449"/>
    <w:rsid w:val="00C914D6"/>
    <w:rsid w:val="00C91C55"/>
    <w:rsid w:val="00C928AA"/>
    <w:rsid w:val="00C93635"/>
    <w:rsid w:val="00C93D34"/>
    <w:rsid w:val="00C940C9"/>
    <w:rsid w:val="00C941B7"/>
    <w:rsid w:val="00C942D9"/>
    <w:rsid w:val="00C94876"/>
    <w:rsid w:val="00C94E20"/>
    <w:rsid w:val="00C95486"/>
    <w:rsid w:val="00C95686"/>
    <w:rsid w:val="00C95BF8"/>
    <w:rsid w:val="00C960C7"/>
    <w:rsid w:val="00C971C9"/>
    <w:rsid w:val="00C972A1"/>
    <w:rsid w:val="00C9732A"/>
    <w:rsid w:val="00C9768F"/>
    <w:rsid w:val="00C97C1C"/>
    <w:rsid w:val="00CA00FB"/>
    <w:rsid w:val="00CA025C"/>
    <w:rsid w:val="00CA0D49"/>
    <w:rsid w:val="00CA0F5E"/>
    <w:rsid w:val="00CA1884"/>
    <w:rsid w:val="00CA19D3"/>
    <w:rsid w:val="00CA20D7"/>
    <w:rsid w:val="00CA268F"/>
    <w:rsid w:val="00CA2EA9"/>
    <w:rsid w:val="00CA31DE"/>
    <w:rsid w:val="00CA4512"/>
    <w:rsid w:val="00CA45E0"/>
    <w:rsid w:val="00CA4CAD"/>
    <w:rsid w:val="00CA4E63"/>
    <w:rsid w:val="00CA5164"/>
    <w:rsid w:val="00CA51D5"/>
    <w:rsid w:val="00CA5396"/>
    <w:rsid w:val="00CA5421"/>
    <w:rsid w:val="00CA542E"/>
    <w:rsid w:val="00CA5C15"/>
    <w:rsid w:val="00CA661C"/>
    <w:rsid w:val="00CA68C2"/>
    <w:rsid w:val="00CA6E9C"/>
    <w:rsid w:val="00CA6F36"/>
    <w:rsid w:val="00CA7142"/>
    <w:rsid w:val="00CA74C7"/>
    <w:rsid w:val="00CA75E4"/>
    <w:rsid w:val="00CA7709"/>
    <w:rsid w:val="00CA7880"/>
    <w:rsid w:val="00CA7BBD"/>
    <w:rsid w:val="00CA7C72"/>
    <w:rsid w:val="00CB0273"/>
    <w:rsid w:val="00CB05F5"/>
    <w:rsid w:val="00CB0A48"/>
    <w:rsid w:val="00CB0B84"/>
    <w:rsid w:val="00CB10F9"/>
    <w:rsid w:val="00CB1694"/>
    <w:rsid w:val="00CB1793"/>
    <w:rsid w:val="00CB1B2F"/>
    <w:rsid w:val="00CB2FE9"/>
    <w:rsid w:val="00CB33CA"/>
    <w:rsid w:val="00CB407B"/>
    <w:rsid w:val="00CB44B7"/>
    <w:rsid w:val="00CB450F"/>
    <w:rsid w:val="00CB605A"/>
    <w:rsid w:val="00CB62D0"/>
    <w:rsid w:val="00CB6704"/>
    <w:rsid w:val="00CB6EF0"/>
    <w:rsid w:val="00CB6F76"/>
    <w:rsid w:val="00CB747C"/>
    <w:rsid w:val="00CB7720"/>
    <w:rsid w:val="00CB7A54"/>
    <w:rsid w:val="00CB7D31"/>
    <w:rsid w:val="00CC0A9C"/>
    <w:rsid w:val="00CC134F"/>
    <w:rsid w:val="00CC1645"/>
    <w:rsid w:val="00CC1A77"/>
    <w:rsid w:val="00CC1C13"/>
    <w:rsid w:val="00CC1F96"/>
    <w:rsid w:val="00CC258D"/>
    <w:rsid w:val="00CC278B"/>
    <w:rsid w:val="00CC28E8"/>
    <w:rsid w:val="00CC2EB6"/>
    <w:rsid w:val="00CC2FE1"/>
    <w:rsid w:val="00CC317E"/>
    <w:rsid w:val="00CC3AB5"/>
    <w:rsid w:val="00CC413C"/>
    <w:rsid w:val="00CC415B"/>
    <w:rsid w:val="00CC480D"/>
    <w:rsid w:val="00CC4B43"/>
    <w:rsid w:val="00CC5773"/>
    <w:rsid w:val="00CC58EB"/>
    <w:rsid w:val="00CC59CF"/>
    <w:rsid w:val="00CC5D6F"/>
    <w:rsid w:val="00CC6619"/>
    <w:rsid w:val="00CC6DF1"/>
    <w:rsid w:val="00CC7CB8"/>
    <w:rsid w:val="00CC7DA8"/>
    <w:rsid w:val="00CC7DE7"/>
    <w:rsid w:val="00CD01B3"/>
    <w:rsid w:val="00CD08A9"/>
    <w:rsid w:val="00CD0C8B"/>
    <w:rsid w:val="00CD0FEA"/>
    <w:rsid w:val="00CD16EA"/>
    <w:rsid w:val="00CD19E4"/>
    <w:rsid w:val="00CD1E5C"/>
    <w:rsid w:val="00CD2027"/>
    <w:rsid w:val="00CD2831"/>
    <w:rsid w:val="00CD2DA6"/>
    <w:rsid w:val="00CD33A1"/>
    <w:rsid w:val="00CD36B5"/>
    <w:rsid w:val="00CD38BB"/>
    <w:rsid w:val="00CD4228"/>
    <w:rsid w:val="00CD4488"/>
    <w:rsid w:val="00CD519A"/>
    <w:rsid w:val="00CD566E"/>
    <w:rsid w:val="00CD5830"/>
    <w:rsid w:val="00CD586B"/>
    <w:rsid w:val="00CD5AE8"/>
    <w:rsid w:val="00CD5F72"/>
    <w:rsid w:val="00CD63A4"/>
    <w:rsid w:val="00CD6A34"/>
    <w:rsid w:val="00CD6F41"/>
    <w:rsid w:val="00CD793A"/>
    <w:rsid w:val="00CE026E"/>
    <w:rsid w:val="00CE08D0"/>
    <w:rsid w:val="00CE0C3E"/>
    <w:rsid w:val="00CE120F"/>
    <w:rsid w:val="00CE1211"/>
    <w:rsid w:val="00CE14B3"/>
    <w:rsid w:val="00CE17D2"/>
    <w:rsid w:val="00CE226E"/>
    <w:rsid w:val="00CE3176"/>
    <w:rsid w:val="00CE3E44"/>
    <w:rsid w:val="00CE3F0E"/>
    <w:rsid w:val="00CE40BE"/>
    <w:rsid w:val="00CE40EF"/>
    <w:rsid w:val="00CE458D"/>
    <w:rsid w:val="00CE473E"/>
    <w:rsid w:val="00CE4D2D"/>
    <w:rsid w:val="00CE4E50"/>
    <w:rsid w:val="00CE5428"/>
    <w:rsid w:val="00CE5BFF"/>
    <w:rsid w:val="00CE5F42"/>
    <w:rsid w:val="00CE6286"/>
    <w:rsid w:val="00CE6881"/>
    <w:rsid w:val="00CE6E1D"/>
    <w:rsid w:val="00CE6F08"/>
    <w:rsid w:val="00CE6F37"/>
    <w:rsid w:val="00CE76EB"/>
    <w:rsid w:val="00CF0033"/>
    <w:rsid w:val="00CF08A9"/>
    <w:rsid w:val="00CF09C3"/>
    <w:rsid w:val="00CF0A43"/>
    <w:rsid w:val="00CF0E99"/>
    <w:rsid w:val="00CF0F3C"/>
    <w:rsid w:val="00CF2329"/>
    <w:rsid w:val="00CF253E"/>
    <w:rsid w:val="00CF257B"/>
    <w:rsid w:val="00CF2620"/>
    <w:rsid w:val="00CF2A40"/>
    <w:rsid w:val="00CF2A4A"/>
    <w:rsid w:val="00CF2DB0"/>
    <w:rsid w:val="00CF2E43"/>
    <w:rsid w:val="00CF3A4C"/>
    <w:rsid w:val="00CF4377"/>
    <w:rsid w:val="00CF465E"/>
    <w:rsid w:val="00CF4694"/>
    <w:rsid w:val="00CF470A"/>
    <w:rsid w:val="00CF4B98"/>
    <w:rsid w:val="00CF4E83"/>
    <w:rsid w:val="00CF5442"/>
    <w:rsid w:val="00CF5491"/>
    <w:rsid w:val="00CF58F6"/>
    <w:rsid w:val="00CF5F91"/>
    <w:rsid w:val="00CF61ED"/>
    <w:rsid w:val="00CF6467"/>
    <w:rsid w:val="00CF68BB"/>
    <w:rsid w:val="00CF6CFB"/>
    <w:rsid w:val="00CF6ED9"/>
    <w:rsid w:val="00CF760D"/>
    <w:rsid w:val="00CF7BE1"/>
    <w:rsid w:val="00CF7EE5"/>
    <w:rsid w:val="00D00293"/>
    <w:rsid w:val="00D005D9"/>
    <w:rsid w:val="00D00860"/>
    <w:rsid w:val="00D01DDE"/>
    <w:rsid w:val="00D020B8"/>
    <w:rsid w:val="00D023A6"/>
    <w:rsid w:val="00D02650"/>
    <w:rsid w:val="00D026D2"/>
    <w:rsid w:val="00D027BE"/>
    <w:rsid w:val="00D0293E"/>
    <w:rsid w:val="00D0293F"/>
    <w:rsid w:val="00D0328D"/>
    <w:rsid w:val="00D033B4"/>
    <w:rsid w:val="00D0341D"/>
    <w:rsid w:val="00D03FCC"/>
    <w:rsid w:val="00D03FE0"/>
    <w:rsid w:val="00D03FEE"/>
    <w:rsid w:val="00D0427E"/>
    <w:rsid w:val="00D042C2"/>
    <w:rsid w:val="00D042E8"/>
    <w:rsid w:val="00D04617"/>
    <w:rsid w:val="00D047D7"/>
    <w:rsid w:val="00D04A1B"/>
    <w:rsid w:val="00D04B2B"/>
    <w:rsid w:val="00D04FDA"/>
    <w:rsid w:val="00D052D2"/>
    <w:rsid w:val="00D0566F"/>
    <w:rsid w:val="00D05830"/>
    <w:rsid w:val="00D05AAD"/>
    <w:rsid w:val="00D06368"/>
    <w:rsid w:val="00D06601"/>
    <w:rsid w:val="00D06BF9"/>
    <w:rsid w:val="00D06CB9"/>
    <w:rsid w:val="00D0708D"/>
    <w:rsid w:val="00D077D9"/>
    <w:rsid w:val="00D1065D"/>
    <w:rsid w:val="00D106C6"/>
    <w:rsid w:val="00D10EE4"/>
    <w:rsid w:val="00D10FDA"/>
    <w:rsid w:val="00D11EBE"/>
    <w:rsid w:val="00D12133"/>
    <w:rsid w:val="00D12753"/>
    <w:rsid w:val="00D12E3E"/>
    <w:rsid w:val="00D13422"/>
    <w:rsid w:val="00D138DA"/>
    <w:rsid w:val="00D139B2"/>
    <w:rsid w:val="00D13AC1"/>
    <w:rsid w:val="00D14263"/>
    <w:rsid w:val="00D15035"/>
    <w:rsid w:val="00D160AA"/>
    <w:rsid w:val="00D169D5"/>
    <w:rsid w:val="00D175BD"/>
    <w:rsid w:val="00D17D56"/>
    <w:rsid w:val="00D17ED0"/>
    <w:rsid w:val="00D203FE"/>
    <w:rsid w:val="00D2064B"/>
    <w:rsid w:val="00D20AAB"/>
    <w:rsid w:val="00D214C3"/>
    <w:rsid w:val="00D21736"/>
    <w:rsid w:val="00D2179F"/>
    <w:rsid w:val="00D21914"/>
    <w:rsid w:val="00D21D6D"/>
    <w:rsid w:val="00D21F15"/>
    <w:rsid w:val="00D21FEC"/>
    <w:rsid w:val="00D2245A"/>
    <w:rsid w:val="00D23149"/>
    <w:rsid w:val="00D23E19"/>
    <w:rsid w:val="00D24141"/>
    <w:rsid w:val="00D2556D"/>
    <w:rsid w:val="00D2625F"/>
    <w:rsid w:val="00D26AE2"/>
    <w:rsid w:val="00D26B80"/>
    <w:rsid w:val="00D26ED6"/>
    <w:rsid w:val="00D275F3"/>
    <w:rsid w:val="00D278A4"/>
    <w:rsid w:val="00D30291"/>
    <w:rsid w:val="00D30327"/>
    <w:rsid w:val="00D30BB1"/>
    <w:rsid w:val="00D30F2A"/>
    <w:rsid w:val="00D31048"/>
    <w:rsid w:val="00D3171F"/>
    <w:rsid w:val="00D31981"/>
    <w:rsid w:val="00D31D9E"/>
    <w:rsid w:val="00D32135"/>
    <w:rsid w:val="00D32911"/>
    <w:rsid w:val="00D32BE6"/>
    <w:rsid w:val="00D33503"/>
    <w:rsid w:val="00D336EE"/>
    <w:rsid w:val="00D33C9F"/>
    <w:rsid w:val="00D34380"/>
    <w:rsid w:val="00D348AA"/>
    <w:rsid w:val="00D34AD7"/>
    <w:rsid w:val="00D34FF2"/>
    <w:rsid w:val="00D35135"/>
    <w:rsid w:val="00D35E0D"/>
    <w:rsid w:val="00D3645C"/>
    <w:rsid w:val="00D36B68"/>
    <w:rsid w:val="00D36E4F"/>
    <w:rsid w:val="00D371D5"/>
    <w:rsid w:val="00D37680"/>
    <w:rsid w:val="00D37F89"/>
    <w:rsid w:val="00D400C9"/>
    <w:rsid w:val="00D40267"/>
    <w:rsid w:val="00D4054C"/>
    <w:rsid w:val="00D40DC3"/>
    <w:rsid w:val="00D40E52"/>
    <w:rsid w:val="00D41143"/>
    <w:rsid w:val="00D4133D"/>
    <w:rsid w:val="00D41C90"/>
    <w:rsid w:val="00D420B2"/>
    <w:rsid w:val="00D42145"/>
    <w:rsid w:val="00D42E11"/>
    <w:rsid w:val="00D432A5"/>
    <w:rsid w:val="00D43564"/>
    <w:rsid w:val="00D4371B"/>
    <w:rsid w:val="00D439E8"/>
    <w:rsid w:val="00D43E18"/>
    <w:rsid w:val="00D443FA"/>
    <w:rsid w:val="00D44473"/>
    <w:rsid w:val="00D44E83"/>
    <w:rsid w:val="00D456CD"/>
    <w:rsid w:val="00D45CF4"/>
    <w:rsid w:val="00D45D16"/>
    <w:rsid w:val="00D45E05"/>
    <w:rsid w:val="00D46D04"/>
    <w:rsid w:val="00D46E64"/>
    <w:rsid w:val="00D472A3"/>
    <w:rsid w:val="00D50371"/>
    <w:rsid w:val="00D50CF1"/>
    <w:rsid w:val="00D51305"/>
    <w:rsid w:val="00D5134B"/>
    <w:rsid w:val="00D519E9"/>
    <w:rsid w:val="00D5275F"/>
    <w:rsid w:val="00D53068"/>
    <w:rsid w:val="00D533B1"/>
    <w:rsid w:val="00D53569"/>
    <w:rsid w:val="00D54525"/>
    <w:rsid w:val="00D556C6"/>
    <w:rsid w:val="00D55925"/>
    <w:rsid w:val="00D5621B"/>
    <w:rsid w:val="00D5634F"/>
    <w:rsid w:val="00D563FD"/>
    <w:rsid w:val="00D56BEB"/>
    <w:rsid w:val="00D56E13"/>
    <w:rsid w:val="00D56F1A"/>
    <w:rsid w:val="00D56F98"/>
    <w:rsid w:val="00D573FA"/>
    <w:rsid w:val="00D57789"/>
    <w:rsid w:val="00D57D50"/>
    <w:rsid w:val="00D60104"/>
    <w:rsid w:val="00D605BD"/>
    <w:rsid w:val="00D607A6"/>
    <w:rsid w:val="00D609F0"/>
    <w:rsid w:val="00D60BCC"/>
    <w:rsid w:val="00D61120"/>
    <w:rsid w:val="00D61603"/>
    <w:rsid w:val="00D61723"/>
    <w:rsid w:val="00D62771"/>
    <w:rsid w:val="00D629D1"/>
    <w:rsid w:val="00D62CD1"/>
    <w:rsid w:val="00D62D85"/>
    <w:rsid w:val="00D63171"/>
    <w:rsid w:val="00D63355"/>
    <w:rsid w:val="00D63C0E"/>
    <w:rsid w:val="00D63D8D"/>
    <w:rsid w:val="00D648A1"/>
    <w:rsid w:val="00D64971"/>
    <w:rsid w:val="00D64ADC"/>
    <w:rsid w:val="00D65351"/>
    <w:rsid w:val="00D654A1"/>
    <w:rsid w:val="00D66827"/>
    <w:rsid w:val="00D66EDA"/>
    <w:rsid w:val="00D67372"/>
    <w:rsid w:val="00D6747E"/>
    <w:rsid w:val="00D67CFF"/>
    <w:rsid w:val="00D67D7A"/>
    <w:rsid w:val="00D67E8C"/>
    <w:rsid w:val="00D67EFF"/>
    <w:rsid w:val="00D7101E"/>
    <w:rsid w:val="00D711A5"/>
    <w:rsid w:val="00D711FE"/>
    <w:rsid w:val="00D712EF"/>
    <w:rsid w:val="00D71302"/>
    <w:rsid w:val="00D71803"/>
    <w:rsid w:val="00D71F53"/>
    <w:rsid w:val="00D728DF"/>
    <w:rsid w:val="00D72D6C"/>
    <w:rsid w:val="00D72E13"/>
    <w:rsid w:val="00D73753"/>
    <w:rsid w:val="00D73B6C"/>
    <w:rsid w:val="00D74BBF"/>
    <w:rsid w:val="00D74BFF"/>
    <w:rsid w:val="00D74E8F"/>
    <w:rsid w:val="00D74E9A"/>
    <w:rsid w:val="00D75756"/>
    <w:rsid w:val="00D76A30"/>
    <w:rsid w:val="00D76D71"/>
    <w:rsid w:val="00D770DD"/>
    <w:rsid w:val="00D77320"/>
    <w:rsid w:val="00D801DF"/>
    <w:rsid w:val="00D80545"/>
    <w:rsid w:val="00D80AB4"/>
    <w:rsid w:val="00D80DC5"/>
    <w:rsid w:val="00D81579"/>
    <w:rsid w:val="00D81D0E"/>
    <w:rsid w:val="00D829FB"/>
    <w:rsid w:val="00D82C13"/>
    <w:rsid w:val="00D82C6B"/>
    <w:rsid w:val="00D82CD9"/>
    <w:rsid w:val="00D8315F"/>
    <w:rsid w:val="00D845A2"/>
    <w:rsid w:val="00D84662"/>
    <w:rsid w:val="00D856C0"/>
    <w:rsid w:val="00D85F37"/>
    <w:rsid w:val="00D85F67"/>
    <w:rsid w:val="00D86455"/>
    <w:rsid w:val="00D86881"/>
    <w:rsid w:val="00D86AC1"/>
    <w:rsid w:val="00D87251"/>
    <w:rsid w:val="00D8751F"/>
    <w:rsid w:val="00D8758A"/>
    <w:rsid w:val="00D87B09"/>
    <w:rsid w:val="00D87F66"/>
    <w:rsid w:val="00D87FD6"/>
    <w:rsid w:val="00D87FE4"/>
    <w:rsid w:val="00D90ADB"/>
    <w:rsid w:val="00D90C50"/>
    <w:rsid w:val="00D912DC"/>
    <w:rsid w:val="00D91460"/>
    <w:rsid w:val="00D914DB"/>
    <w:rsid w:val="00D91C14"/>
    <w:rsid w:val="00D91C41"/>
    <w:rsid w:val="00D9267C"/>
    <w:rsid w:val="00D9324C"/>
    <w:rsid w:val="00D93375"/>
    <w:rsid w:val="00D93880"/>
    <w:rsid w:val="00D93D59"/>
    <w:rsid w:val="00D93EFF"/>
    <w:rsid w:val="00D93F72"/>
    <w:rsid w:val="00D9460D"/>
    <w:rsid w:val="00D956EF"/>
    <w:rsid w:val="00D96313"/>
    <w:rsid w:val="00D9676F"/>
    <w:rsid w:val="00D96A0F"/>
    <w:rsid w:val="00D96CB4"/>
    <w:rsid w:val="00DA0552"/>
    <w:rsid w:val="00DA0B8A"/>
    <w:rsid w:val="00DA11B2"/>
    <w:rsid w:val="00DA1AD0"/>
    <w:rsid w:val="00DA1BA7"/>
    <w:rsid w:val="00DA20B5"/>
    <w:rsid w:val="00DA22DA"/>
    <w:rsid w:val="00DA23DD"/>
    <w:rsid w:val="00DA2423"/>
    <w:rsid w:val="00DA287B"/>
    <w:rsid w:val="00DA2A96"/>
    <w:rsid w:val="00DA3080"/>
    <w:rsid w:val="00DA30A2"/>
    <w:rsid w:val="00DA390D"/>
    <w:rsid w:val="00DA3961"/>
    <w:rsid w:val="00DA436C"/>
    <w:rsid w:val="00DA44CF"/>
    <w:rsid w:val="00DA5D0B"/>
    <w:rsid w:val="00DA5F76"/>
    <w:rsid w:val="00DA60A5"/>
    <w:rsid w:val="00DA60F5"/>
    <w:rsid w:val="00DA76EE"/>
    <w:rsid w:val="00DB01EA"/>
    <w:rsid w:val="00DB03AE"/>
    <w:rsid w:val="00DB03F6"/>
    <w:rsid w:val="00DB08CB"/>
    <w:rsid w:val="00DB0963"/>
    <w:rsid w:val="00DB0B52"/>
    <w:rsid w:val="00DB0FA3"/>
    <w:rsid w:val="00DB16C1"/>
    <w:rsid w:val="00DB1D88"/>
    <w:rsid w:val="00DB2595"/>
    <w:rsid w:val="00DB303F"/>
    <w:rsid w:val="00DB3635"/>
    <w:rsid w:val="00DB4006"/>
    <w:rsid w:val="00DB42EF"/>
    <w:rsid w:val="00DB462A"/>
    <w:rsid w:val="00DB4B61"/>
    <w:rsid w:val="00DB55CE"/>
    <w:rsid w:val="00DB64F5"/>
    <w:rsid w:val="00DB6CAF"/>
    <w:rsid w:val="00DB7164"/>
    <w:rsid w:val="00DB729B"/>
    <w:rsid w:val="00DB72CE"/>
    <w:rsid w:val="00DB7400"/>
    <w:rsid w:val="00DB7EB1"/>
    <w:rsid w:val="00DC02FC"/>
    <w:rsid w:val="00DC0347"/>
    <w:rsid w:val="00DC0ADA"/>
    <w:rsid w:val="00DC0FE9"/>
    <w:rsid w:val="00DC13C3"/>
    <w:rsid w:val="00DC1C03"/>
    <w:rsid w:val="00DC2212"/>
    <w:rsid w:val="00DC252D"/>
    <w:rsid w:val="00DC2595"/>
    <w:rsid w:val="00DC2823"/>
    <w:rsid w:val="00DC2DF4"/>
    <w:rsid w:val="00DC30E1"/>
    <w:rsid w:val="00DC31F2"/>
    <w:rsid w:val="00DC35F6"/>
    <w:rsid w:val="00DC3898"/>
    <w:rsid w:val="00DC4083"/>
    <w:rsid w:val="00DC48DF"/>
    <w:rsid w:val="00DC5D8A"/>
    <w:rsid w:val="00DC6572"/>
    <w:rsid w:val="00DC6E4A"/>
    <w:rsid w:val="00DC789A"/>
    <w:rsid w:val="00DC7912"/>
    <w:rsid w:val="00DC7AEF"/>
    <w:rsid w:val="00DD0D38"/>
    <w:rsid w:val="00DD0D67"/>
    <w:rsid w:val="00DD0D77"/>
    <w:rsid w:val="00DD15E7"/>
    <w:rsid w:val="00DD16E2"/>
    <w:rsid w:val="00DD1A0F"/>
    <w:rsid w:val="00DD1C3A"/>
    <w:rsid w:val="00DD2514"/>
    <w:rsid w:val="00DD25D6"/>
    <w:rsid w:val="00DD3364"/>
    <w:rsid w:val="00DD3CA2"/>
    <w:rsid w:val="00DD4038"/>
    <w:rsid w:val="00DD40B6"/>
    <w:rsid w:val="00DD46E2"/>
    <w:rsid w:val="00DD485A"/>
    <w:rsid w:val="00DD51F6"/>
    <w:rsid w:val="00DD595A"/>
    <w:rsid w:val="00DD5BB8"/>
    <w:rsid w:val="00DD685B"/>
    <w:rsid w:val="00DD6A64"/>
    <w:rsid w:val="00DD6C94"/>
    <w:rsid w:val="00DD711F"/>
    <w:rsid w:val="00DD7703"/>
    <w:rsid w:val="00DE1838"/>
    <w:rsid w:val="00DE1CB1"/>
    <w:rsid w:val="00DE339D"/>
    <w:rsid w:val="00DE3621"/>
    <w:rsid w:val="00DE3788"/>
    <w:rsid w:val="00DE3F28"/>
    <w:rsid w:val="00DE44B4"/>
    <w:rsid w:val="00DE588F"/>
    <w:rsid w:val="00DE5E98"/>
    <w:rsid w:val="00DE63D0"/>
    <w:rsid w:val="00DE67D6"/>
    <w:rsid w:val="00DE67EC"/>
    <w:rsid w:val="00DE69D3"/>
    <w:rsid w:val="00DE6A43"/>
    <w:rsid w:val="00DE6DF3"/>
    <w:rsid w:val="00DE7542"/>
    <w:rsid w:val="00DE77A1"/>
    <w:rsid w:val="00DE77C6"/>
    <w:rsid w:val="00DF04D2"/>
    <w:rsid w:val="00DF0775"/>
    <w:rsid w:val="00DF083E"/>
    <w:rsid w:val="00DF0AD2"/>
    <w:rsid w:val="00DF11E3"/>
    <w:rsid w:val="00DF13B9"/>
    <w:rsid w:val="00DF192E"/>
    <w:rsid w:val="00DF1FD5"/>
    <w:rsid w:val="00DF22CE"/>
    <w:rsid w:val="00DF29F8"/>
    <w:rsid w:val="00DF3641"/>
    <w:rsid w:val="00DF366D"/>
    <w:rsid w:val="00DF37D4"/>
    <w:rsid w:val="00DF38AD"/>
    <w:rsid w:val="00DF3917"/>
    <w:rsid w:val="00DF3D97"/>
    <w:rsid w:val="00DF3F0D"/>
    <w:rsid w:val="00DF4271"/>
    <w:rsid w:val="00DF4521"/>
    <w:rsid w:val="00DF45B7"/>
    <w:rsid w:val="00DF4C0F"/>
    <w:rsid w:val="00DF5008"/>
    <w:rsid w:val="00DF60B0"/>
    <w:rsid w:val="00DF61F5"/>
    <w:rsid w:val="00DF66C8"/>
    <w:rsid w:val="00DF6C17"/>
    <w:rsid w:val="00DF75EA"/>
    <w:rsid w:val="00DF785E"/>
    <w:rsid w:val="00DF7966"/>
    <w:rsid w:val="00DF7B53"/>
    <w:rsid w:val="00DF7F08"/>
    <w:rsid w:val="00E002A8"/>
    <w:rsid w:val="00E00F89"/>
    <w:rsid w:val="00E015E4"/>
    <w:rsid w:val="00E01F35"/>
    <w:rsid w:val="00E022E5"/>
    <w:rsid w:val="00E026D3"/>
    <w:rsid w:val="00E02A18"/>
    <w:rsid w:val="00E02E9C"/>
    <w:rsid w:val="00E02FD4"/>
    <w:rsid w:val="00E03BC7"/>
    <w:rsid w:val="00E04230"/>
    <w:rsid w:val="00E04D1A"/>
    <w:rsid w:val="00E051E0"/>
    <w:rsid w:val="00E05662"/>
    <w:rsid w:val="00E0571C"/>
    <w:rsid w:val="00E062CB"/>
    <w:rsid w:val="00E063FD"/>
    <w:rsid w:val="00E065B4"/>
    <w:rsid w:val="00E0674D"/>
    <w:rsid w:val="00E07183"/>
    <w:rsid w:val="00E071DA"/>
    <w:rsid w:val="00E07776"/>
    <w:rsid w:val="00E1026F"/>
    <w:rsid w:val="00E1047C"/>
    <w:rsid w:val="00E10812"/>
    <w:rsid w:val="00E11FFD"/>
    <w:rsid w:val="00E1228F"/>
    <w:rsid w:val="00E12A15"/>
    <w:rsid w:val="00E135D6"/>
    <w:rsid w:val="00E1369C"/>
    <w:rsid w:val="00E13807"/>
    <w:rsid w:val="00E13B1D"/>
    <w:rsid w:val="00E13D11"/>
    <w:rsid w:val="00E14011"/>
    <w:rsid w:val="00E14176"/>
    <w:rsid w:val="00E144AC"/>
    <w:rsid w:val="00E1539A"/>
    <w:rsid w:val="00E1592F"/>
    <w:rsid w:val="00E15C72"/>
    <w:rsid w:val="00E1606C"/>
    <w:rsid w:val="00E16ABA"/>
    <w:rsid w:val="00E16E41"/>
    <w:rsid w:val="00E20246"/>
    <w:rsid w:val="00E20B38"/>
    <w:rsid w:val="00E20C45"/>
    <w:rsid w:val="00E2103F"/>
    <w:rsid w:val="00E2132A"/>
    <w:rsid w:val="00E21C0D"/>
    <w:rsid w:val="00E223F5"/>
    <w:rsid w:val="00E224BF"/>
    <w:rsid w:val="00E22708"/>
    <w:rsid w:val="00E22D70"/>
    <w:rsid w:val="00E23C85"/>
    <w:rsid w:val="00E23D60"/>
    <w:rsid w:val="00E23E5D"/>
    <w:rsid w:val="00E24D8A"/>
    <w:rsid w:val="00E24F54"/>
    <w:rsid w:val="00E2516F"/>
    <w:rsid w:val="00E25B4D"/>
    <w:rsid w:val="00E25BB7"/>
    <w:rsid w:val="00E261B9"/>
    <w:rsid w:val="00E263E0"/>
    <w:rsid w:val="00E26ABB"/>
    <w:rsid w:val="00E26CC1"/>
    <w:rsid w:val="00E27589"/>
    <w:rsid w:val="00E27F3C"/>
    <w:rsid w:val="00E30084"/>
    <w:rsid w:val="00E30488"/>
    <w:rsid w:val="00E3049E"/>
    <w:rsid w:val="00E30B31"/>
    <w:rsid w:val="00E320D0"/>
    <w:rsid w:val="00E3241F"/>
    <w:rsid w:val="00E32A87"/>
    <w:rsid w:val="00E3369A"/>
    <w:rsid w:val="00E338C8"/>
    <w:rsid w:val="00E349A4"/>
    <w:rsid w:val="00E3565C"/>
    <w:rsid w:val="00E3565D"/>
    <w:rsid w:val="00E35B26"/>
    <w:rsid w:val="00E35B99"/>
    <w:rsid w:val="00E35F79"/>
    <w:rsid w:val="00E36F91"/>
    <w:rsid w:val="00E37058"/>
    <w:rsid w:val="00E3706C"/>
    <w:rsid w:val="00E37635"/>
    <w:rsid w:val="00E37E6C"/>
    <w:rsid w:val="00E37E6F"/>
    <w:rsid w:val="00E4049E"/>
    <w:rsid w:val="00E407DD"/>
    <w:rsid w:val="00E408E3"/>
    <w:rsid w:val="00E40B5B"/>
    <w:rsid w:val="00E419AE"/>
    <w:rsid w:val="00E41B74"/>
    <w:rsid w:val="00E41E7E"/>
    <w:rsid w:val="00E4268B"/>
    <w:rsid w:val="00E426DF"/>
    <w:rsid w:val="00E42B80"/>
    <w:rsid w:val="00E434DF"/>
    <w:rsid w:val="00E437C3"/>
    <w:rsid w:val="00E439D0"/>
    <w:rsid w:val="00E43AB5"/>
    <w:rsid w:val="00E44055"/>
    <w:rsid w:val="00E449C2"/>
    <w:rsid w:val="00E44BE3"/>
    <w:rsid w:val="00E44ED4"/>
    <w:rsid w:val="00E45058"/>
    <w:rsid w:val="00E4511B"/>
    <w:rsid w:val="00E45D71"/>
    <w:rsid w:val="00E45E18"/>
    <w:rsid w:val="00E463DA"/>
    <w:rsid w:val="00E46DC7"/>
    <w:rsid w:val="00E47164"/>
    <w:rsid w:val="00E4733A"/>
    <w:rsid w:val="00E47789"/>
    <w:rsid w:val="00E47B32"/>
    <w:rsid w:val="00E509B9"/>
    <w:rsid w:val="00E5153C"/>
    <w:rsid w:val="00E5191C"/>
    <w:rsid w:val="00E51D90"/>
    <w:rsid w:val="00E52A6D"/>
    <w:rsid w:val="00E52BAA"/>
    <w:rsid w:val="00E530B3"/>
    <w:rsid w:val="00E531F6"/>
    <w:rsid w:val="00E53746"/>
    <w:rsid w:val="00E53836"/>
    <w:rsid w:val="00E53B79"/>
    <w:rsid w:val="00E55B2B"/>
    <w:rsid w:val="00E55DFF"/>
    <w:rsid w:val="00E560B2"/>
    <w:rsid w:val="00E56AC0"/>
    <w:rsid w:val="00E56B77"/>
    <w:rsid w:val="00E57273"/>
    <w:rsid w:val="00E6064A"/>
    <w:rsid w:val="00E607E0"/>
    <w:rsid w:val="00E60CD8"/>
    <w:rsid w:val="00E60D1A"/>
    <w:rsid w:val="00E60EA0"/>
    <w:rsid w:val="00E6149B"/>
    <w:rsid w:val="00E61515"/>
    <w:rsid w:val="00E617F8"/>
    <w:rsid w:val="00E619A3"/>
    <w:rsid w:val="00E622A8"/>
    <w:rsid w:val="00E62927"/>
    <w:rsid w:val="00E62DC6"/>
    <w:rsid w:val="00E637B9"/>
    <w:rsid w:val="00E638B3"/>
    <w:rsid w:val="00E6484D"/>
    <w:rsid w:val="00E6509F"/>
    <w:rsid w:val="00E652D5"/>
    <w:rsid w:val="00E659DE"/>
    <w:rsid w:val="00E66062"/>
    <w:rsid w:val="00E6619D"/>
    <w:rsid w:val="00E662A0"/>
    <w:rsid w:val="00E666A6"/>
    <w:rsid w:val="00E6684C"/>
    <w:rsid w:val="00E668C9"/>
    <w:rsid w:val="00E67841"/>
    <w:rsid w:val="00E67FD8"/>
    <w:rsid w:val="00E7067A"/>
    <w:rsid w:val="00E7069F"/>
    <w:rsid w:val="00E70EF9"/>
    <w:rsid w:val="00E71CE6"/>
    <w:rsid w:val="00E72BFE"/>
    <w:rsid w:val="00E7413E"/>
    <w:rsid w:val="00E74797"/>
    <w:rsid w:val="00E74812"/>
    <w:rsid w:val="00E74B4E"/>
    <w:rsid w:val="00E74E4C"/>
    <w:rsid w:val="00E74F22"/>
    <w:rsid w:val="00E74F9D"/>
    <w:rsid w:val="00E75009"/>
    <w:rsid w:val="00E76D59"/>
    <w:rsid w:val="00E76DC9"/>
    <w:rsid w:val="00E771C7"/>
    <w:rsid w:val="00E775CE"/>
    <w:rsid w:val="00E77BB8"/>
    <w:rsid w:val="00E77D3B"/>
    <w:rsid w:val="00E803E8"/>
    <w:rsid w:val="00E80A1D"/>
    <w:rsid w:val="00E80A39"/>
    <w:rsid w:val="00E80C56"/>
    <w:rsid w:val="00E81AE7"/>
    <w:rsid w:val="00E81C52"/>
    <w:rsid w:val="00E82574"/>
    <w:rsid w:val="00E82DA4"/>
    <w:rsid w:val="00E832E5"/>
    <w:rsid w:val="00E83961"/>
    <w:rsid w:val="00E83C11"/>
    <w:rsid w:val="00E850CB"/>
    <w:rsid w:val="00E857B8"/>
    <w:rsid w:val="00E857CA"/>
    <w:rsid w:val="00E85E41"/>
    <w:rsid w:val="00E86143"/>
    <w:rsid w:val="00E8628F"/>
    <w:rsid w:val="00E867B0"/>
    <w:rsid w:val="00E86BE8"/>
    <w:rsid w:val="00E8711A"/>
    <w:rsid w:val="00E8736B"/>
    <w:rsid w:val="00E87723"/>
    <w:rsid w:val="00E87731"/>
    <w:rsid w:val="00E903B8"/>
    <w:rsid w:val="00E904FD"/>
    <w:rsid w:val="00E90B67"/>
    <w:rsid w:val="00E90F78"/>
    <w:rsid w:val="00E913B9"/>
    <w:rsid w:val="00E914AE"/>
    <w:rsid w:val="00E92A47"/>
    <w:rsid w:val="00E92ABD"/>
    <w:rsid w:val="00E92C6C"/>
    <w:rsid w:val="00E9374F"/>
    <w:rsid w:val="00E9376F"/>
    <w:rsid w:val="00E938A4"/>
    <w:rsid w:val="00E93982"/>
    <w:rsid w:val="00E93F0E"/>
    <w:rsid w:val="00E940C7"/>
    <w:rsid w:val="00E94809"/>
    <w:rsid w:val="00E95001"/>
    <w:rsid w:val="00E95549"/>
    <w:rsid w:val="00E95C8E"/>
    <w:rsid w:val="00E95D30"/>
    <w:rsid w:val="00E95FB3"/>
    <w:rsid w:val="00E95FDF"/>
    <w:rsid w:val="00E9626E"/>
    <w:rsid w:val="00E964E7"/>
    <w:rsid w:val="00E96825"/>
    <w:rsid w:val="00E969FB"/>
    <w:rsid w:val="00E96A96"/>
    <w:rsid w:val="00E96B9E"/>
    <w:rsid w:val="00E977BC"/>
    <w:rsid w:val="00E978C5"/>
    <w:rsid w:val="00E9799F"/>
    <w:rsid w:val="00E97AF9"/>
    <w:rsid w:val="00E97E73"/>
    <w:rsid w:val="00EA066A"/>
    <w:rsid w:val="00EA0C7F"/>
    <w:rsid w:val="00EA0DAD"/>
    <w:rsid w:val="00EA1680"/>
    <w:rsid w:val="00EA183B"/>
    <w:rsid w:val="00EA2393"/>
    <w:rsid w:val="00EA2EEA"/>
    <w:rsid w:val="00EA2F66"/>
    <w:rsid w:val="00EA434B"/>
    <w:rsid w:val="00EA481C"/>
    <w:rsid w:val="00EA4941"/>
    <w:rsid w:val="00EA4D30"/>
    <w:rsid w:val="00EA500C"/>
    <w:rsid w:val="00EA58FA"/>
    <w:rsid w:val="00EA5EF9"/>
    <w:rsid w:val="00EA6927"/>
    <w:rsid w:val="00EA69BF"/>
    <w:rsid w:val="00EA6C58"/>
    <w:rsid w:val="00EA7048"/>
    <w:rsid w:val="00EA7395"/>
    <w:rsid w:val="00EA7A42"/>
    <w:rsid w:val="00EA7B4E"/>
    <w:rsid w:val="00EB00B9"/>
    <w:rsid w:val="00EB04DA"/>
    <w:rsid w:val="00EB0755"/>
    <w:rsid w:val="00EB0885"/>
    <w:rsid w:val="00EB0AC1"/>
    <w:rsid w:val="00EB14CF"/>
    <w:rsid w:val="00EB1DC5"/>
    <w:rsid w:val="00EB229C"/>
    <w:rsid w:val="00EB2481"/>
    <w:rsid w:val="00EB271B"/>
    <w:rsid w:val="00EB2832"/>
    <w:rsid w:val="00EB29E1"/>
    <w:rsid w:val="00EB37D4"/>
    <w:rsid w:val="00EB4ACF"/>
    <w:rsid w:val="00EB614B"/>
    <w:rsid w:val="00EB614D"/>
    <w:rsid w:val="00EB625F"/>
    <w:rsid w:val="00EB6482"/>
    <w:rsid w:val="00EB6614"/>
    <w:rsid w:val="00EB72DF"/>
    <w:rsid w:val="00EB7794"/>
    <w:rsid w:val="00EB7E0B"/>
    <w:rsid w:val="00EB7E6D"/>
    <w:rsid w:val="00EC015F"/>
    <w:rsid w:val="00EC0184"/>
    <w:rsid w:val="00EC0243"/>
    <w:rsid w:val="00EC0D5D"/>
    <w:rsid w:val="00EC1506"/>
    <w:rsid w:val="00EC170B"/>
    <w:rsid w:val="00EC1C2C"/>
    <w:rsid w:val="00EC1E41"/>
    <w:rsid w:val="00EC1FEB"/>
    <w:rsid w:val="00EC2F83"/>
    <w:rsid w:val="00EC3215"/>
    <w:rsid w:val="00EC323A"/>
    <w:rsid w:val="00EC3438"/>
    <w:rsid w:val="00EC34F3"/>
    <w:rsid w:val="00EC43FB"/>
    <w:rsid w:val="00EC6760"/>
    <w:rsid w:val="00EC686B"/>
    <w:rsid w:val="00EC699C"/>
    <w:rsid w:val="00EC6CB8"/>
    <w:rsid w:val="00EC6EDD"/>
    <w:rsid w:val="00EC706B"/>
    <w:rsid w:val="00EC712E"/>
    <w:rsid w:val="00EC7384"/>
    <w:rsid w:val="00EC7473"/>
    <w:rsid w:val="00EC754B"/>
    <w:rsid w:val="00ED0702"/>
    <w:rsid w:val="00ED0998"/>
    <w:rsid w:val="00ED0A64"/>
    <w:rsid w:val="00ED0E87"/>
    <w:rsid w:val="00ED1382"/>
    <w:rsid w:val="00ED1CD0"/>
    <w:rsid w:val="00ED1D38"/>
    <w:rsid w:val="00ED2504"/>
    <w:rsid w:val="00ED294F"/>
    <w:rsid w:val="00ED2A18"/>
    <w:rsid w:val="00ED311E"/>
    <w:rsid w:val="00ED3561"/>
    <w:rsid w:val="00ED5091"/>
    <w:rsid w:val="00ED51C6"/>
    <w:rsid w:val="00ED51E1"/>
    <w:rsid w:val="00ED550D"/>
    <w:rsid w:val="00ED5DDE"/>
    <w:rsid w:val="00ED62E3"/>
    <w:rsid w:val="00ED631F"/>
    <w:rsid w:val="00ED6839"/>
    <w:rsid w:val="00ED6A84"/>
    <w:rsid w:val="00ED6BF7"/>
    <w:rsid w:val="00ED724E"/>
    <w:rsid w:val="00ED7299"/>
    <w:rsid w:val="00EE0161"/>
    <w:rsid w:val="00EE1028"/>
    <w:rsid w:val="00EE1AB2"/>
    <w:rsid w:val="00EE1D2F"/>
    <w:rsid w:val="00EE1E29"/>
    <w:rsid w:val="00EE1F6F"/>
    <w:rsid w:val="00EE202C"/>
    <w:rsid w:val="00EE21ED"/>
    <w:rsid w:val="00EE2260"/>
    <w:rsid w:val="00EE25F8"/>
    <w:rsid w:val="00EE2CD7"/>
    <w:rsid w:val="00EE3257"/>
    <w:rsid w:val="00EE3966"/>
    <w:rsid w:val="00EE3C33"/>
    <w:rsid w:val="00EE3E73"/>
    <w:rsid w:val="00EE404E"/>
    <w:rsid w:val="00EE47B1"/>
    <w:rsid w:val="00EE4AD9"/>
    <w:rsid w:val="00EE4F4E"/>
    <w:rsid w:val="00EE54A6"/>
    <w:rsid w:val="00EE5A5B"/>
    <w:rsid w:val="00EE5FB3"/>
    <w:rsid w:val="00EE613D"/>
    <w:rsid w:val="00EE61F7"/>
    <w:rsid w:val="00EE6240"/>
    <w:rsid w:val="00EE694F"/>
    <w:rsid w:val="00EE7881"/>
    <w:rsid w:val="00EE78D6"/>
    <w:rsid w:val="00EE7967"/>
    <w:rsid w:val="00EE7D68"/>
    <w:rsid w:val="00EF013D"/>
    <w:rsid w:val="00EF0E51"/>
    <w:rsid w:val="00EF0E5D"/>
    <w:rsid w:val="00EF1608"/>
    <w:rsid w:val="00EF1A22"/>
    <w:rsid w:val="00EF1C38"/>
    <w:rsid w:val="00EF3CC3"/>
    <w:rsid w:val="00EF3F84"/>
    <w:rsid w:val="00EF4219"/>
    <w:rsid w:val="00EF47D9"/>
    <w:rsid w:val="00EF4C13"/>
    <w:rsid w:val="00EF5EBC"/>
    <w:rsid w:val="00EF634B"/>
    <w:rsid w:val="00EF6EE0"/>
    <w:rsid w:val="00EF75EA"/>
    <w:rsid w:val="00EF7BCF"/>
    <w:rsid w:val="00EF7E31"/>
    <w:rsid w:val="00F0009E"/>
    <w:rsid w:val="00F00771"/>
    <w:rsid w:val="00F00FB3"/>
    <w:rsid w:val="00F010F1"/>
    <w:rsid w:val="00F01340"/>
    <w:rsid w:val="00F019E5"/>
    <w:rsid w:val="00F01A09"/>
    <w:rsid w:val="00F02504"/>
    <w:rsid w:val="00F02872"/>
    <w:rsid w:val="00F03044"/>
    <w:rsid w:val="00F03393"/>
    <w:rsid w:val="00F03FDA"/>
    <w:rsid w:val="00F04AC3"/>
    <w:rsid w:val="00F04BDE"/>
    <w:rsid w:val="00F05B4C"/>
    <w:rsid w:val="00F05D30"/>
    <w:rsid w:val="00F06266"/>
    <w:rsid w:val="00F0672B"/>
    <w:rsid w:val="00F074E2"/>
    <w:rsid w:val="00F0768C"/>
    <w:rsid w:val="00F102B2"/>
    <w:rsid w:val="00F10896"/>
    <w:rsid w:val="00F109F5"/>
    <w:rsid w:val="00F10F3F"/>
    <w:rsid w:val="00F11EEA"/>
    <w:rsid w:val="00F1254A"/>
    <w:rsid w:val="00F12D5D"/>
    <w:rsid w:val="00F13545"/>
    <w:rsid w:val="00F13F6D"/>
    <w:rsid w:val="00F14F2A"/>
    <w:rsid w:val="00F15167"/>
    <w:rsid w:val="00F158C0"/>
    <w:rsid w:val="00F161FA"/>
    <w:rsid w:val="00F1654F"/>
    <w:rsid w:val="00F167BF"/>
    <w:rsid w:val="00F16C8E"/>
    <w:rsid w:val="00F16EF9"/>
    <w:rsid w:val="00F16F07"/>
    <w:rsid w:val="00F1719A"/>
    <w:rsid w:val="00F179C7"/>
    <w:rsid w:val="00F17DAA"/>
    <w:rsid w:val="00F2038B"/>
    <w:rsid w:val="00F209AB"/>
    <w:rsid w:val="00F20DB6"/>
    <w:rsid w:val="00F20F65"/>
    <w:rsid w:val="00F20FC5"/>
    <w:rsid w:val="00F21343"/>
    <w:rsid w:val="00F2172B"/>
    <w:rsid w:val="00F21CF9"/>
    <w:rsid w:val="00F21DD0"/>
    <w:rsid w:val="00F22393"/>
    <w:rsid w:val="00F223EE"/>
    <w:rsid w:val="00F22AF2"/>
    <w:rsid w:val="00F22D51"/>
    <w:rsid w:val="00F2306B"/>
    <w:rsid w:val="00F2338B"/>
    <w:rsid w:val="00F2362D"/>
    <w:rsid w:val="00F23ACF"/>
    <w:rsid w:val="00F23EB0"/>
    <w:rsid w:val="00F24808"/>
    <w:rsid w:val="00F24EAE"/>
    <w:rsid w:val="00F2543C"/>
    <w:rsid w:val="00F25B8B"/>
    <w:rsid w:val="00F25EA9"/>
    <w:rsid w:val="00F27094"/>
    <w:rsid w:val="00F27299"/>
    <w:rsid w:val="00F2756F"/>
    <w:rsid w:val="00F275DF"/>
    <w:rsid w:val="00F276AE"/>
    <w:rsid w:val="00F278E3"/>
    <w:rsid w:val="00F27A6B"/>
    <w:rsid w:val="00F27C71"/>
    <w:rsid w:val="00F27D67"/>
    <w:rsid w:val="00F3065F"/>
    <w:rsid w:val="00F30699"/>
    <w:rsid w:val="00F30902"/>
    <w:rsid w:val="00F3092B"/>
    <w:rsid w:val="00F312BB"/>
    <w:rsid w:val="00F318F0"/>
    <w:rsid w:val="00F31ACE"/>
    <w:rsid w:val="00F31B62"/>
    <w:rsid w:val="00F31FA6"/>
    <w:rsid w:val="00F32BE4"/>
    <w:rsid w:val="00F32C7E"/>
    <w:rsid w:val="00F32E03"/>
    <w:rsid w:val="00F331EE"/>
    <w:rsid w:val="00F33698"/>
    <w:rsid w:val="00F339D9"/>
    <w:rsid w:val="00F33B83"/>
    <w:rsid w:val="00F33CCB"/>
    <w:rsid w:val="00F33CFD"/>
    <w:rsid w:val="00F33F31"/>
    <w:rsid w:val="00F33FD6"/>
    <w:rsid w:val="00F3400E"/>
    <w:rsid w:val="00F349C9"/>
    <w:rsid w:val="00F34EFF"/>
    <w:rsid w:val="00F35DCC"/>
    <w:rsid w:val="00F362DF"/>
    <w:rsid w:val="00F36A74"/>
    <w:rsid w:val="00F36BC0"/>
    <w:rsid w:val="00F37053"/>
    <w:rsid w:val="00F372E2"/>
    <w:rsid w:val="00F3776E"/>
    <w:rsid w:val="00F37782"/>
    <w:rsid w:val="00F37947"/>
    <w:rsid w:val="00F37A3D"/>
    <w:rsid w:val="00F37F6D"/>
    <w:rsid w:val="00F4055C"/>
    <w:rsid w:val="00F40754"/>
    <w:rsid w:val="00F40A86"/>
    <w:rsid w:val="00F40D46"/>
    <w:rsid w:val="00F40ED6"/>
    <w:rsid w:val="00F40FF8"/>
    <w:rsid w:val="00F4114A"/>
    <w:rsid w:val="00F411CD"/>
    <w:rsid w:val="00F413DD"/>
    <w:rsid w:val="00F417EF"/>
    <w:rsid w:val="00F4188F"/>
    <w:rsid w:val="00F41CE4"/>
    <w:rsid w:val="00F41E1C"/>
    <w:rsid w:val="00F41E95"/>
    <w:rsid w:val="00F41ECF"/>
    <w:rsid w:val="00F4212D"/>
    <w:rsid w:val="00F4226F"/>
    <w:rsid w:val="00F42337"/>
    <w:rsid w:val="00F426E2"/>
    <w:rsid w:val="00F428C0"/>
    <w:rsid w:val="00F42A57"/>
    <w:rsid w:val="00F42FB7"/>
    <w:rsid w:val="00F43634"/>
    <w:rsid w:val="00F439EF"/>
    <w:rsid w:val="00F44151"/>
    <w:rsid w:val="00F443CA"/>
    <w:rsid w:val="00F4478C"/>
    <w:rsid w:val="00F447C8"/>
    <w:rsid w:val="00F44D08"/>
    <w:rsid w:val="00F44E6B"/>
    <w:rsid w:val="00F453ED"/>
    <w:rsid w:val="00F45807"/>
    <w:rsid w:val="00F45ABF"/>
    <w:rsid w:val="00F45B05"/>
    <w:rsid w:val="00F45FAA"/>
    <w:rsid w:val="00F46332"/>
    <w:rsid w:val="00F463EE"/>
    <w:rsid w:val="00F47072"/>
    <w:rsid w:val="00F477B9"/>
    <w:rsid w:val="00F50283"/>
    <w:rsid w:val="00F50318"/>
    <w:rsid w:val="00F50637"/>
    <w:rsid w:val="00F506B3"/>
    <w:rsid w:val="00F50738"/>
    <w:rsid w:val="00F509C3"/>
    <w:rsid w:val="00F50E1A"/>
    <w:rsid w:val="00F51486"/>
    <w:rsid w:val="00F51531"/>
    <w:rsid w:val="00F51632"/>
    <w:rsid w:val="00F521FD"/>
    <w:rsid w:val="00F52558"/>
    <w:rsid w:val="00F52691"/>
    <w:rsid w:val="00F52E30"/>
    <w:rsid w:val="00F53135"/>
    <w:rsid w:val="00F535CC"/>
    <w:rsid w:val="00F53EBA"/>
    <w:rsid w:val="00F53F2D"/>
    <w:rsid w:val="00F54156"/>
    <w:rsid w:val="00F542C1"/>
    <w:rsid w:val="00F54D6D"/>
    <w:rsid w:val="00F555F0"/>
    <w:rsid w:val="00F5565E"/>
    <w:rsid w:val="00F56279"/>
    <w:rsid w:val="00F56336"/>
    <w:rsid w:val="00F563D6"/>
    <w:rsid w:val="00F5677D"/>
    <w:rsid w:val="00F56B85"/>
    <w:rsid w:val="00F56E0B"/>
    <w:rsid w:val="00F57717"/>
    <w:rsid w:val="00F60788"/>
    <w:rsid w:val="00F608B9"/>
    <w:rsid w:val="00F60A2D"/>
    <w:rsid w:val="00F60E13"/>
    <w:rsid w:val="00F60EB2"/>
    <w:rsid w:val="00F610AD"/>
    <w:rsid w:val="00F615DC"/>
    <w:rsid w:val="00F6193C"/>
    <w:rsid w:val="00F61A8C"/>
    <w:rsid w:val="00F61BBA"/>
    <w:rsid w:val="00F62099"/>
    <w:rsid w:val="00F6214C"/>
    <w:rsid w:val="00F62477"/>
    <w:rsid w:val="00F625EC"/>
    <w:rsid w:val="00F6291C"/>
    <w:rsid w:val="00F6345A"/>
    <w:rsid w:val="00F63464"/>
    <w:rsid w:val="00F637BB"/>
    <w:rsid w:val="00F6497B"/>
    <w:rsid w:val="00F64B34"/>
    <w:rsid w:val="00F64C09"/>
    <w:rsid w:val="00F6507E"/>
    <w:rsid w:val="00F650A5"/>
    <w:rsid w:val="00F651EC"/>
    <w:rsid w:val="00F656DB"/>
    <w:rsid w:val="00F658CC"/>
    <w:rsid w:val="00F6615B"/>
    <w:rsid w:val="00F66CB0"/>
    <w:rsid w:val="00F67775"/>
    <w:rsid w:val="00F679F2"/>
    <w:rsid w:val="00F67B0E"/>
    <w:rsid w:val="00F67E49"/>
    <w:rsid w:val="00F7088E"/>
    <w:rsid w:val="00F722A3"/>
    <w:rsid w:val="00F72EAA"/>
    <w:rsid w:val="00F7301E"/>
    <w:rsid w:val="00F7367E"/>
    <w:rsid w:val="00F73F12"/>
    <w:rsid w:val="00F741A7"/>
    <w:rsid w:val="00F742F8"/>
    <w:rsid w:val="00F748EA"/>
    <w:rsid w:val="00F74F7D"/>
    <w:rsid w:val="00F75095"/>
    <w:rsid w:val="00F75737"/>
    <w:rsid w:val="00F757AF"/>
    <w:rsid w:val="00F76408"/>
    <w:rsid w:val="00F7716E"/>
    <w:rsid w:val="00F7741E"/>
    <w:rsid w:val="00F77932"/>
    <w:rsid w:val="00F77ED9"/>
    <w:rsid w:val="00F806A0"/>
    <w:rsid w:val="00F80AEA"/>
    <w:rsid w:val="00F811DB"/>
    <w:rsid w:val="00F81D31"/>
    <w:rsid w:val="00F82763"/>
    <w:rsid w:val="00F82F24"/>
    <w:rsid w:val="00F8314A"/>
    <w:rsid w:val="00F8406A"/>
    <w:rsid w:val="00F84103"/>
    <w:rsid w:val="00F845C6"/>
    <w:rsid w:val="00F84A0B"/>
    <w:rsid w:val="00F84E22"/>
    <w:rsid w:val="00F84FCB"/>
    <w:rsid w:val="00F8563D"/>
    <w:rsid w:val="00F85F25"/>
    <w:rsid w:val="00F87CFF"/>
    <w:rsid w:val="00F903BE"/>
    <w:rsid w:val="00F907A8"/>
    <w:rsid w:val="00F907E5"/>
    <w:rsid w:val="00F90CF2"/>
    <w:rsid w:val="00F910D2"/>
    <w:rsid w:val="00F91F0C"/>
    <w:rsid w:val="00F92250"/>
    <w:rsid w:val="00F928A8"/>
    <w:rsid w:val="00F92ADD"/>
    <w:rsid w:val="00F92C05"/>
    <w:rsid w:val="00F92C7C"/>
    <w:rsid w:val="00F93010"/>
    <w:rsid w:val="00F934FD"/>
    <w:rsid w:val="00F93CDA"/>
    <w:rsid w:val="00F941F2"/>
    <w:rsid w:val="00F94534"/>
    <w:rsid w:val="00F94744"/>
    <w:rsid w:val="00F94CE4"/>
    <w:rsid w:val="00F94DD3"/>
    <w:rsid w:val="00F951A9"/>
    <w:rsid w:val="00F952E3"/>
    <w:rsid w:val="00F9554F"/>
    <w:rsid w:val="00F95E69"/>
    <w:rsid w:val="00F9680E"/>
    <w:rsid w:val="00F96D0D"/>
    <w:rsid w:val="00F96ECE"/>
    <w:rsid w:val="00F972E0"/>
    <w:rsid w:val="00F9757F"/>
    <w:rsid w:val="00F979C4"/>
    <w:rsid w:val="00FA028E"/>
    <w:rsid w:val="00FA0D03"/>
    <w:rsid w:val="00FA1250"/>
    <w:rsid w:val="00FA166F"/>
    <w:rsid w:val="00FA1898"/>
    <w:rsid w:val="00FA1FDE"/>
    <w:rsid w:val="00FA246F"/>
    <w:rsid w:val="00FA26D3"/>
    <w:rsid w:val="00FA2779"/>
    <w:rsid w:val="00FA2866"/>
    <w:rsid w:val="00FA2B05"/>
    <w:rsid w:val="00FA3BCB"/>
    <w:rsid w:val="00FA3DAE"/>
    <w:rsid w:val="00FA4124"/>
    <w:rsid w:val="00FA45D6"/>
    <w:rsid w:val="00FA4D9A"/>
    <w:rsid w:val="00FA5B63"/>
    <w:rsid w:val="00FA5C13"/>
    <w:rsid w:val="00FA6518"/>
    <w:rsid w:val="00FA699D"/>
    <w:rsid w:val="00FA718D"/>
    <w:rsid w:val="00FA71CF"/>
    <w:rsid w:val="00FB064C"/>
    <w:rsid w:val="00FB0999"/>
    <w:rsid w:val="00FB11D0"/>
    <w:rsid w:val="00FB278F"/>
    <w:rsid w:val="00FB3860"/>
    <w:rsid w:val="00FB4505"/>
    <w:rsid w:val="00FB458E"/>
    <w:rsid w:val="00FB4E26"/>
    <w:rsid w:val="00FB4F97"/>
    <w:rsid w:val="00FB5520"/>
    <w:rsid w:val="00FB581D"/>
    <w:rsid w:val="00FB5FA6"/>
    <w:rsid w:val="00FB6278"/>
    <w:rsid w:val="00FB6606"/>
    <w:rsid w:val="00FB691E"/>
    <w:rsid w:val="00FB6C43"/>
    <w:rsid w:val="00FB7491"/>
    <w:rsid w:val="00FB74EE"/>
    <w:rsid w:val="00FB7AE4"/>
    <w:rsid w:val="00FC0422"/>
    <w:rsid w:val="00FC10AB"/>
    <w:rsid w:val="00FC1204"/>
    <w:rsid w:val="00FC1857"/>
    <w:rsid w:val="00FC1C68"/>
    <w:rsid w:val="00FC1EC4"/>
    <w:rsid w:val="00FC1ECF"/>
    <w:rsid w:val="00FC2237"/>
    <w:rsid w:val="00FC2C44"/>
    <w:rsid w:val="00FC2CAA"/>
    <w:rsid w:val="00FC2D3D"/>
    <w:rsid w:val="00FC2F33"/>
    <w:rsid w:val="00FC3717"/>
    <w:rsid w:val="00FC39AA"/>
    <w:rsid w:val="00FC3ECC"/>
    <w:rsid w:val="00FC416F"/>
    <w:rsid w:val="00FC4480"/>
    <w:rsid w:val="00FC48E4"/>
    <w:rsid w:val="00FC51D0"/>
    <w:rsid w:val="00FC521F"/>
    <w:rsid w:val="00FC5490"/>
    <w:rsid w:val="00FC6FC5"/>
    <w:rsid w:val="00FC7830"/>
    <w:rsid w:val="00FC794E"/>
    <w:rsid w:val="00FD0472"/>
    <w:rsid w:val="00FD065E"/>
    <w:rsid w:val="00FD07C3"/>
    <w:rsid w:val="00FD08ED"/>
    <w:rsid w:val="00FD0989"/>
    <w:rsid w:val="00FD0A83"/>
    <w:rsid w:val="00FD0AE7"/>
    <w:rsid w:val="00FD0CDD"/>
    <w:rsid w:val="00FD0D3E"/>
    <w:rsid w:val="00FD133A"/>
    <w:rsid w:val="00FD1691"/>
    <w:rsid w:val="00FD2648"/>
    <w:rsid w:val="00FD26E5"/>
    <w:rsid w:val="00FD2792"/>
    <w:rsid w:val="00FD336B"/>
    <w:rsid w:val="00FD4095"/>
    <w:rsid w:val="00FD43E0"/>
    <w:rsid w:val="00FD468D"/>
    <w:rsid w:val="00FD48E7"/>
    <w:rsid w:val="00FD4BE0"/>
    <w:rsid w:val="00FD4EC5"/>
    <w:rsid w:val="00FD5303"/>
    <w:rsid w:val="00FD59A1"/>
    <w:rsid w:val="00FD628F"/>
    <w:rsid w:val="00FD64E1"/>
    <w:rsid w:val="00FD66FF"/>
    <w:rsid w:val="00FD6A9B"/>
    <w:rsid w:val="00FD70C3"/>
    <w:rsid w:val="00FD7353"/>
    <w:rsid w:val="00FE0772"/>
    <w:rsid w:val="00FE07BB"/>
    <w:rsid w:val="00FE0A69"/>
    <w:rsid w:val="00FE1BD8"/>
    <w:rsid w:val="00FE21CE"/>
    <w:rsid w:val="00FE2660"/>
    <w:rsid w:val="00FE2E29"/>
    <w:rsid w:val="00FE3921"/>
    <w:rsid w:val="00FE3954"/>
    <w:rsid w:val="00FE3A51"/>
    <w:rsid w:val="00FE3C08"/>
    <w:rsid w:val="00FE3E6A"/>
    <w:rsid w:val="00FE4165"/>
    <w:rsid w:val="00FE4299"/>
    <w:rsid w:val="00FE4F49"/>
    <w:rsid w:val="00FE5068"/>
    <w:rsid w:val="00FE57F9"/>
    <w:rsid w:val="00FE60C9"/>
    <w:rsid w:val="00FE6A9C"/>
    <w:rsid w:val="00FE7079"/>
    <w:rsid w:val="00FE723F"/>
    <w:rsid w:val="00FE7374"/>
    <w:rsid w:val="00FE795F"/>
    <w:rsid w:val="00FE7A65"/>
    <w:rsid w:val="00FF0245"/>
    <w:rsid w:val="00FF046F"/>
    <w:rsid w:val="00FF0899"/>
    <w:rsid w:val="00FF1A6D"/>
    <w:rsid w:val="00FF20B9"/>
    <w:rsid w:val="00FF36AF"/>
    <w:rsid w:val="00FF3898"/>
    <w:rsid w:val="00FF3A16"/>
    <w:rsid w:val="00FF3E53"/>
    <w:rsid w:val="00FF407A"/>
    <w:rsid w:val="00FF4E65"/>
    <w:rsid w:val="00FF5D58"/>
    <w:rsid w:val="00FF6B01"/>
    <w:rsid w:val="00FF6C35"/>
    <w:rsid w:val="00FF6D58"/>
    <w:rsid w:val="00FF703B"/>
    <w:rsid w:val="00FF7085"/>
    <w:rsid w:val="00FF7444"/>
    <w:rsid w:val="00FF7630"/>
    <w:rsid w:val="00FF7646"/>
    <w:rsid w:val="00FF7A90"/>
    <w:rsid w:val="00FF7BB0"/>
    <w:rsid w:val="00FF7CDC"/>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A63DB5F-2F66-4517-B2F4-161C51DF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uiPriority w:val="99"/>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99"/>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semiHidden/>
    <w:locked/>
    <w:rsid w:val="000D30A7"/>
    <w:rPr>
      <w:sz w:val="16"/>
      <w:szCs w:val="16"/>
    </w:rPr>
  </w:style>
  <w:style w:type="paragraph" w:styleId="CommentText">
    <w:name w:val="annotation text"/>
    <w:basedOn w:val="Normal"/>
    <w:link w:val="CommentTextChar"/>
    <w:semiHidden/>
    <w:locked/>
    <w:rsid w:val="000D30A7"/>
    <w:rPr>
      <w:rFonts w:eastAsia="Times New Roman" w:cs="Times New Roman"/>
      <w:sz w:val="20"/>
      <w:szCs w:val="20"/>
    </w:rPr>
  </w:style>
  <w:style w:type="character" w:customStyle="1" w:styleId="CommentTextChar">
    <w:name w:val="Comment Text Char"/>
    <w:basedOn w:val="DefaultParagraphFont"/>
    <w:link w:val="CommentText"/>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8"/>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14"/>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index.asp?pageide=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gfisher.com/index.asp?pageid=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15505-ABBA-46D8-9C59-0022DCFC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7991</Words>
  <Characters>45550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53435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creator>woodward</dc:creator>
  <cp:lastModifiedBy>Matt Duffy</cp:lastModifiedBy>
  <cp:revision>6</cp:revision>
  <cp:lastPrinted>2014-03-19T13:00:00Z</cp:lastPrinted>
  <dcterms:created xsi:type="dcterms:W3CDTF">2014-03-24T20:17:00Z</dcterms:created>
  <dcterms:modified xsi:type="dcterms:W3CDTF">2014-03-27T11:54:00Z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