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786" w:rsidRDefault="000F03E3" w:rsidP="00896453">
      <w:pPr>
        <w:spacing w:before="100" w:beforeAutospacing="1" w:after="100" w:afterAutospacing="1"/>
        <w:jc w:val="center"/>
        <w:rPr>
          <w:rFonts w:ascii="Arial" w:hAnsi="Arial" w:cs="Arial"/>
          <w:b/>
          <w:bCs/>
          <w:sz w:val="24"/>
          <w:szCs w:val="24"/>
          <w:u w:val="single"/>
        </w:rPr>
      </w:pPr>
      <w:r w:rsidRPr="00F54156">
        <w:rPr>
          <w:rFonts w:ascii="Arial" w:hAnsi="Arial" w:cs="Arial"/>
          <w:b/>
          <w:bCs/>
          <w:sz w:val="24"/>
          <w:szCs w:val="24"/>
        </w:rPr>
        <w:t>K</w:t>
      </w:r>
      <w:r w:rsidR="006B7548" w:rsidRPr="00F54156">
        <w:rPr>
          <w:rFonts w:ascii="Arial" w:hAnsi="Arial" w:cs="Arial"/>
          <w:b/>
          <w:bCs/>
          <w:sz w:val="24"/>
          <w:szCs w:val="24"/>
        </w:rPr>
        <w:t>ingfisher</w:t>
      </w:r>
      <w:r w:rsidR="00DB462A" w:rsidRPr="00F54156">
        <w:rPr>
          <w:rFonts w:ascii="Arial" w:hAnsi="Arial" w:cs="Arial"/>
          <w:b/>
          <w:bCs/>
          <w:sz w:val="24"/>
          <w:szCs w:val="24"/>
        </w:rPr>
        <w:t xml:space="preserve"> </w:t>
      </w:r>
      <w:r w:rsidR="00527C9A">
        <w:rPr>
          <w:rFonts w:ascii="Arial" w:hAnsi="Arial" w:cs="Arial"/>
          <w:b/>
          <w:bCs/>
          <w:sz w:val="24"/>
          <w:szCs w:val="24"/>
        </w:rPr>
        <w:t xml:space="preserve">reports </w:t>
      </w:r>
      <w:r w:rsidR="0090500F">
        <w:rPr>
          <w:rFonts w:ascii="Arial" w:hAnsi="Arial" w:cs="Arial"/>
          <w:b/>
          <w:bCs/>
          <w:sz w:val="24"/>
          <w:szCs w:val="24"/>
        </w:rPr>
        <w:t>ha</w:t>
      </w:r>
      <w:r w:rsidR="00F813BD">
        <w:rPr>
          <w:rFonts w:ascii="Arial" w:hAnsi="Arial" w:cs="Arial"/>
          <w:b/>
          <w:bCs/>
          <w:sz w:val="24"/>
          <w:szCs w:val="24"/>
        </w:rPr>
        <w:t>lf</w:t>
      </w:r>
      <w:r w:rsidR="00F813BD" w:rsidRPr="00F54156">
        <w:rPr>
          <w:rFonts w:ascii="Arial" w:hAnsi="Arial" w:cs="Arial"/>
          <w:b/>
          <w:bCs/>
          <w:sz w:val="24"/>
          <w:szCs w:val="24"/>
        </w:rPr>
        <w:t xml:space="preserve"> </w:t>
      </w:r>
      <w:r w:rsidR="006C3892" w:rsidRPr="00F54156">
        <w:rPr>
          <w:rFonts w:ascii="Arial" w:hAnsi="Arial" w:cs="Arial"/>
          <w:b/>
          <w:bCs/>
          <w:sz w:val="24"/>
          <w:szCs w:val="24"/>
        </w:rPr>
        <w:t xml:space="preserve">year </w:t>
      </w:r>
      <w:r w:rsidR="00527C9A">
        <w:rPr>
          <w:rFonts w:ascii="Arial" w:hAnsi="Arial" w:cs="Arial"/>
          <w:b/>
          <w:bCs/>
          <w:sz w:val="24"/>
          <w:szCs w:val="24"/>
        </w:rPr>
        <w:t xml:space="preserve">total </w:t>
      </w:r>
      <w:r w:rsidR="001E608A">
        <w:rPr>
          <w:rFonts w:ascii="Arial" w:hAnsi="Arial" w:cs="Arial"/>
          <w:b/>
          <w:bCs/>
          <w:sz w:val="24"/>
          <w:szCs w:val="24"/>
        </w:rPr>
        <w:t xml:space="preserve">sales up </w:t>
      </w:r>
      <w:r w:rsidR="0090500F">
        <w:rPr>
          <w:rFonts w:ascii="Arial" w:hAnsi="Arial" w:cs="Arial"/>
          <w:b/>
          <w:bCs/>
          <w:sz w:val="24"/>
          <w:szCs w:val="24"/>
        </w:rPr>
        <w:t>0.9</w:t>
      </w:r>
      <w:r w:rsidR="001E608A">
        <w:rPr>
          <w:rFonts w:ascii="Arial" w:hAnsi="Arial" w:cs="Arial"/>
          <w:b/>
          <w:bCs/>
          <w:sz w:val="24"/>
          <w:szCs w:val="24"/>
        </w:rPr>
        <w:t>% (+1.8</w:t>
      </w:r>
      <w:r w:rsidR="00F813BD">
        <w:rPr>
          <w:rFonts w:ascii="Arial" w:hAnsi="Arial" w:cs="Arial"/>
          <w:b/>
          <w:bCs/>
          <w:sz w:val="24"/>
          <w:szCs w:val="24"/>
        </w:rPr>
        <w:t>% LFL)</w:t>
      </w:r>
      <w:r w:rsidR="00527C9A">
        <w:rPr>
          <w:rFonts w:ascii="Arial" w:hAnsi="Arial" w:cs="Arial"/>
          <w:b/>
          <w:bCs/>
          <w:sz w:val="24"/>
          <w:szCs w:val="24"/>
        </w:rPr>
        <w:t xml:space="preserve"> and flat</w:t>
      </w:r>
      <w:r w:rsidR="00F813BD">
        <w:rPr>
          <w:rFonts w:ascii="Arial" w:hAnsi="Arial" w:cs="Arial"/>
          <w:b/>
          <w:bCs/>
          <w:sz w:val="24"/>
          <w:szCs w:val="24"/>
        </w:rPr>
        <w:t xml:space="preserve"> </w:t>
      </w:r>
      <w:r w:rsidR="006C3892" w:rsidRPr="00F54156">
        <w:rPr>
          <w:rFonts w:ascii="Arial" w:hAnsi="Arial" w:cs="Arial"/>
          <w:b/>
          <w:bCs/>
          <w:sz w:val="24"/>
          <w:szCs w:val="24"/>
        </w:rPr>
        <w:t>adjusted pre-tax profits</w:t>
      </w:r>
      <w:r w:rsidR="00A8740A">
        <w:rPr>
          <w:rFonts w:ascii="Arial" w:hAnsi="Arial" w:cs="Arial"/>
          <w:b/>
          <w:bCs/>
          <w:sz w:val="24"/>
          <w:szCs w:val="24"/>
        </w:rPr>
        <w:t xml:space="preserve"> </w:t>
      </w:r>
      <w:r w:rsidR="00527C9A">
        <w:rPr>
          <w:rFonts w:ascii="Arial" w:hAnsi="Arial" w:cs="Arial"/>
          <w:b/>
          <w:bCs/>
          <w:sz w:val="24"/>
          <w:szCs w:val="24"/>
        </w:rPr>
        <w:t>of £364 million</w:t>
      </w:r>
      <w:r w:rsidR="00533348">
        <w:rPr>
          <w:rFonts w:ascii="Arial" w:hAnsi="Arial" w:cs="Arial"/>
          <w:b/>
          <w:bCs/>
          <w:sz w:val="24"/>
          <w:szCs w:val="24"/>
        </w:rPr>
        <w:t xml:space="preserve"> after the</w:t>
      </w:r>
      <w:r w:rsidR="00C21786">
        <w:rPr>
          <w:rFonts w:ascii="Arial" w:hAnsi="Arial" w:cs="Arial"/>
          <w:b/>
          <w:bCs/>
          <w:sz w:val="24"/>
          <w:szCs w:val="24"/>
        </w:rPr>
        <w:t xml:space="preserve"> </w:t>
      </w:r>
      <w:r w:rsidR="00533348">
        <w:rPr>
          <w:rFonts w:ascii="Arial" w:hAnsi="Arial" w:cs="Arial"/>
          <w:b/>
          <w:bCs/>
          <w:sz w:val="24"/>
          <w:szCs w:val="24"/>
        </w:rPr>
        <w:t>negative impact of foreign exchange translation</w:t>
      </w:r>
      <w:r w:rsidR="00753255">
        <w:rPr>
          <w:rFonts w:ascii="Arial" w:hAnsi="Arial" w:cs="Arial"/>
          <w:b/>
          <w:bCs/>
          <w:sz w:val="24"/>
          <w:szCs w:val="24"/>
        </w:rPr>
        <w:t xml:space="preserve">. </w:t>
      </w:r>
      <w:r w:rsidR="00753255" w:rsidRPr="00896453">
        <w:rPr>
          <w:rFonts w:ascii="Arial" w:hAnsi="Arial" w:cs="Arial"/>
          <w:b/>
          <w:bCs/>
          <w:sz w:val="24"/>
          <w:szCs w:val="24"/>
        </w:rPr>
        <w:t xml:space="preserve">Kingfisher </w:t>
      </w:r>
      <w:r w:rsidR="00753255">
        <w:rPr>
          <w:rFonts w:ascii="Arial" w:hAnsi="Arial" w:cs="Arial"/>
          <w:b/>
          <w:bCs/>
          <w:sz w:val="24"/>
          <w:szCs w:val="24"/>
        </w:rPr>
        <w:t xml:space="preserve">also </w:t>
      </w:r>
      <w:r w:rsidR="00753255" w:rsidRPr="00896453">
        <w:rPr>
          <w:rFonts w:ascii="Arial" w:hAnsi="Arial" w:cs="Arial"/>
          <w:b/>
          <w:bCs/>
          <w:sz w:val="24"/>
          <w:szCs w:val="24"/>
        </w:rPr>
        <w:t>announces Group Chief Executive succession plan. Sir Ian Cheshire to be succeeded by Ms Véronique Laury, Chief Executive of Castorama France, before the end of the current financial year.</w:t>
      </w:r>
      <w:r w:rsidR="00382EA5">
        <w:rPr>
          <w:rFonts w:ascii="Arial" w:hAnsi="Arial" w:cs="Arial"/>
          <w:b/>
          <w:bCs/>
          <w:sz w:val="24"/>
          <w:szCs w:val="24"/>
        </w:rPr>
        <w:t xml:space="preserve"> See separate RNS. </w:t>
      </w:r>
    </w:p>
    <w:p w:rsidR="00F813BD" w:rsidRPr="00182EFD" w:rsidRDefault="00F813BD" w:rsidP="00F813BD">
      <w:pPr>
        <w:jc w:val="left"/>
        <w:rPr>
          <w:rFonts w:ascii="Arial" w:hAnsi="Arial" w:cs="Arial"/>
          <w:b/>
          <w:bCs/>
          <w:sz w:val="24"/>
          <w:szCs w:val="24"/>
          <w:u w:val="single"/>
        </w:rPr>
      </w:pPr>
      <w:r w:rsidRPr="00182EFD">
        <w:rPr>
          <w:rFonts w:ascii="Arial" w:hAnsi="Arial" w:cs="Arial"/>
          <w:b/>
          <w:bCs/>
          <w:sz w:val="24"/>
          <w:szCs w:val="24"/>
          <w:u w:val="single"/>
        </w:rPr>
        <w:t>Group Financial Summary</w:t>
      </w:r>
    </w:p>
    <w:tbl>
      <w:tblPr>
        <w:tblW w:w="5054" w:type="pct"/>
        <w:tblInd w:w="-106" w:type="dxa"/>
        <w:tblLayout w:type="fixed"/>
        <w:tblLook w:val="01E0" w:firstRow="1" w:lastRow="1" w:firstColumn="1" w:lastColumn="1" w:noHBand="0" w:noVBand="0"/>
      </w:tblPr>
      <w:tblGrid>
        <w:gridCol w:w="3255"/>
        <w:gridCol w:w="1388"/>
        <w:gridCol w:w="1275"/>
        <w:gridCol w:w="1276"/>
        <w:gridCol w:w="1276"/>
        <w:gridCol w:w="1275"/>
      </w:tblGrid>
      <w:tr w:rsidR="00F813BD" w:rsidRPr="00182EFD" w:rsidTr="008152E6">
        <w:trPr>
          <w:trHeight w:val="732"/>
        </w:trPr>
        <w:tc>
          <w:tcPr>
            <w:tcW w:w="3255" w:type="dxa"/>
            <w:tcBorders>
              <w:bottom w:val="single" w:sz="4" w:space="0" w:color="auto"/>
            </w:tcBorders>
          </w:tcPr>
          <w:p w:rsidR="00F813BD" w:rsidRDefault="00F813BD" w:rsidP="00F813BD">
            <w:pPr>
              <w:jc w:val="left"/>
              <w:rPr>
                <w:rFonts w:ascii="Arial" w:hAnsi="Arial" w:cs="Arial"/>
                <w:b/>
                <w:bCs/>
                <w:sz w:val="20"/>
                <w:szCs w:val="20"/>
              </w:rPr>
            </w:pPr>
          </w:p>
          <w:p w:rsidR="009B65F3" w:rsidRDefault="00F813BD" w:rsidP="00F813BD">
            <w:pPr>
              <w:jc w:val="left"/>
              <w:rPr>
                <w:rFonts w:ascii="Arial" w:hAnsi="Arial" w:cs="Arial"/>
                <w:b/>
                <w:bCs/>
                <w:sz w:val="24"/>
                <w:szCs w:val="24"/>
              </w:rPr>
            </w:pPr>
            <w:r>
              <w:rPr>
                <w:rFonts w:ascii="Arial" w:hAnsi="Arial" w:cs="Arial"/>
                <w:b/>
                <w:bCs/>
                <w:sz w:val="24"/>
                <w:szCs w:val="24"/>
              </w:rPr>
              <w:t xml:space="preserve">26 weeks ended </w:t>
            </w:r>
          </w:p>
          <w:p w:rsidR="00F813BD" w:rsidRPr="00FA5AC4" w:rsidRDefault="00511E3B" w:rsidP="00F813BD">
            <w:pPr>
              <w:jc w:val="left"/>
              <w:rPr>
                <w:rFonts w:ascii="Arial" w:hAnsi="Arial" w:cs="Arial"/>
                <w:b/>
                <w:bCs/>
                <w:sz w:val="24"/>
                <w:szCs w:val="24"/>
                <w:highlight w:val="yellow"/>
              </w:rPr>
            </w:pPr>
            <w:r>
              <w:rPr>
                <w:rFonts w:ascii="Arial" w:hAnsi="Arial" w:cs="Arial"/>
                <w:b/>
                <w:bCs/>
                <w:sz w:val="24"/>
                <w:szCs w:val="24"/>
              </w:rPr>
              <w:t>2</w:t>
            </w:r>
            <w:r w:rsidR="00F813BD">
              <w:rPr>
                <w:rFonts w:ascii="Arial" w:hAnsi="Arial" w:cs="Arial"/>
                <w:b/>
                <w:bCs/>
                <w:sz w:val="24"/>
                <w:szCs w:val="24"/>
              </w:rPr>
              <w:t xml:space="preserve"> August 2014</w:t>
            </w:r>
          </w:p>
        </w:tc>
        <w:tc>
          <w:tcPr>
            <w:tcW w:w="1388" w:type="dxa"/>
            <w:tcBorders>
              <w:bottom w:val="single" w:sz="4" w:space="0" w:color="auto"/>
            </w:tcBorders>
          </w:tcPr>
          <w:p w:rsidR="00F813BD" w:rsidRPr="00182EFD" w:rsidRDefault="00F813BD" w:rsidP="00F813BD">
            <w:pPr>
              <w:jc w:val="right"/>
              <w:rPr>
                <w:rFonts w:ascii="Arial" w:hAnsi="Arial" w:cs="Arial"/>
                <w:b/>
                <w:bCs/>
                <w:sz w:val="24"/>
                <w:szCs w:val="24"/>
                <w:highlight w:val="yellow"/>
              </w:rPr>
            </w:pPr>
          </w:p>
        </w:tc>
        <w:tc>
          <w:tcPr>
            <w:tcW w:w="1275" w:type="dxa"/>
            <w:tcBorders>
              <w:bottom w:val="single" w:sz="4" w:space="0" w:color="auto"/>
            </w:tcBorders>
          </w:tcPr>
          <w:p w:rsidR="00F813BD" w:rsidRPr="00182EFD" w:rsidRDefault="00F813BD" w:rsidP="00F813BD">
            <w:pPr>
              <w:jc w:val="right"/>
              <w:rPr>
                <w:rFonts w:ascii="Arial" w:hAnsi="Arial" w:cs="Arial"/>
                <w:b/>
                <w:bCs/>
                <w:sz w:val="24"/>
                <w:szCs w:val="24"/>
                <w:highlight w:val="yellow"/>
              </w:rPr>
            </w:pPr>
          </w:p>
        </w:tc>
        <w:tc>
          <w:tcPr>
            <w:tcW w:w="1276" w:type="dxa"/>
            <w:tcBorders>
              <w:bottom w:val="single" w:sz="4" w:space="0" w:color="auto"/>
            </w:tcBorders>
          </w:tcPr>
          <w:p w:rsidR="00AF1EC3" w:rsidRDefault="00AF1EC3" w:rsidP="00F813BD">
            <w:pPr>
              <w:jc w:val="right"/>
              <w:rPr>
                <w:rFonts w:ascii="Arial" w:hAnsi="Arial" w:cs="Arial"/>
                <w:b/>
                <w:bCs/>
                <w:sz w:val="24"/>
                <w:szCs w:val="24"/>
              </w:rPr>
            </w:pPr>
          </w:p>
          <w:p w:rsidR="00F813BD" w:rsidRPr="00182EFD" w:rsidRDefault="00F813BD" w:rsidP="00F813BD">
            <w:pPr>
              <w:jc w:val="right"/>
              <w:rPr>
                <w:rFonts w:ascii="Arial" w:hAnsi="Arial" w:cs="Arial"/>
                <w:b/>
                <w:bCs/>
                <w:sz w:val="24"/>
                <w:szCs w:val="24"/>
              </w:rPr>
            </w:pPr>
            <w:r w:rsidRPr="00182EFD">
              <w:rPr>
                <w:rFonts w:ascii="Arial" w:hAnsi="Arial" w:cs="Arial"/>
                <w:b/>
                <w:bCs/>
                <w:sz w:val="24"/>
                <w:szCs w:val="24"/>
              </w:rPr>
              <w:t xml:space="preserve">% Total </w:t>
            </w:r>
          </w:p>
          <w:p w:rsidR="00F813BD" w:rsidRPr="00182EFD" w:rsidRDefault="00F813BD" w:rsidP="00F813BD">
            <w:pPr>
              <w:jc w:val="right"/>
              <w:rPr>
                <w:rFonts w:ascii="Arial" w:hAnsi="Arial" w:cs="Arial"/>
                <w:b/>
                <w:bCs/>
                <w:sz w:val="24"/>
                <w:szCs w:val="24"/>
                <w:lang w:eastAsia="en-US"/>
              </w:rPr>
            </w:pPr>
            <w:r w:rsidRPr="00182EFD">
              <w:rPr>
                <w:rFonts w:ascii="Arial" w:hAnsi="Arial" w:cs="Arial"/>
                <w:b/>
                <w:bCs/>
                <w:sz w:val="24"/>
                <w:szCs w:val="24"/>
              </w:rPr>
              <w:t xml:space="preserve">Change </w:t>
            </w:r>
          </w:p>
        </w:tc>
        <w:tc>
          <w:tcPr>
            <w:tcW w:w="1276" w:type="dxa"/>
            <w:tcBorders>
              <w:bottom w:val="single" w:sz="4" w:space="0" w:color="auto"/>
            </w:tcBorders>
          </w:tcPr>
          <w:p w:rsidR="00AF1EC3" w:rsidRDefault="00AF1EC3" w:rsidP="00F813BD">
            <w:pPr>
              <w:ind w:left="-94" w:firstLine="94"/>
              <w:jc w:val="right"/>
              <w:rPr>
                <w:rFonts w:ascii="Arial" w:hAnsi="Arial" w:cs="Arial"/>
                <w:b/>
                <w:bCs/>
                <w:sz w:val="24"/>
                <w:szCs w:val="24"/>
              </w:rPr>
            </w:pPr>
          </w:p>
          <w:p w:rsidR="00F813BD" w:rsidRPr="00182EFD" w:rsidRDefault="00F813BD" w:rsidP="00F813BD">
            <w:pPr>
              <w:ind w:left="-94" w:firstLine="94"/>
              <w:jc w:val="right"/>
              <w:rPr>
                <w:rFonts w:ascii="Arial" w:hAnsi="Arial" w:cs="Arial"/>
                <w:b/>
                <w:bCs/>
                <w:sz w:val="24"/>
                <w:szCs w:val="24"/>
              </w:rPr>
            </w:pPr>
            <w:r w:rsidRPr="00182EFD">
              <w:rPr>
                <w:rFonts w:ascii="Arial" w:hAnsi="Arial" w:cs="Arial"/>
                <w:b/>
                <w:bCs/>
                <w:sz w:val="24"/>
                <w:szCs w:val="24"/>
              </w:rPr>
              <w:t xml:space="preserve">% Total Change </w:t>
            </w:r>
          </w:p>
        </w:tc>
        <w:tc>
          <w:tcPr>
            <w:tcW w:w="1275" w:type="dxa"/>
            <w:tcBorders>
              <w:bottom w:val="single" w:sz="4" w:space="0" w:color="auto"/>
            </w:tcBorders>
          </w:tcPr>
          <w:p w:rsidR="00AF1EC3" w:rsidRDefault="00AF1EC3" w:rsidP="00F813BD">
            <w:pPr>
              <w:jc w:val="right"/>
              <w:rPr>
                <w:rFonts w:ascii="Arial" w:hAnsi="Arial" w:cs="Arial"/>
                <w:b/>
                <w:bCs/>
                <w:sz w:val="24"/>
                <w:szCs w:val="24"/>
              </w:rPr>
            </w:pPr>
          </w:p>
          <w:p w:rsidR="00F813BD" w:rsidRPr="00182EFD" w:rsidRDefault="00F813BD" w:rsidP="00F813BD">
            <w:pPr>
              <w:jc w:val="right"/>
              <w:rPr>
                <w:rFonts w:ascii="Arial" w:hAnsi="Arial" w:cs="Arial"/>
                <w:b/>
                <w:bCs/>
                <w:sz w:val="24"/>
                <w:szCs w:val="24"/>
              </w:rPr>
            </w:pPr>
            <w:r w:rsidRPr="00182EFD">
              <w:rPr>
                <w:rFonts w:ascii="Arial" w:hAnsi="Arial" w:cs="Arial"/>
                <w:b/>
                <w:bCs/>
                <w:sz w:val="24"/>
                <w:szCs w:val="24"/>
              </w:rPr>
              <w:t>% LFL</w:t>
            </w:r>
            <w:r w:rsidR="005C6924">
              <w:rPr>
                <w:rFonts w:ascii="Arial" w:hAnsi="Arial" w:cs="Arial"/>
                <w:b/>
                <w:bCs/>
                <w:sz w:val="24"/>
                <w:szCs w:val="24"/>
              </w:rPr>
              <w:t>*</w:t>
            </w:r>
            <w:r w:rsidRPr="00182EFD">
              <w:rPr>
                <w:rFonts w:ascii="Arial" w:hAnsi="Arial" w:cs="Arial"/>
                <w:b/>
                <w:bCs/>
                <w:sz w:val="24"/>
                <w:szCs w:val="24"/>
              </w:rPr>
              <w:t xml:space="preserve"> Change</w:t>
            </w:r>
          </w:p>
        </w:tc>
      </w:tr>
      <w:tr w:rsidR="00F813BD" w:rsidRPr="00182EFD" w:rsidTr="00293E4D">
        <w:trPr>
          <w:trHeight w:val="620"/>
        </w:trPr>
        <w:tc>
          <w:tcPr>
            <w:tcW w:w="3255" w:type="dxa"/>
            <w:tcBorders>
              <w:bottom w:val="single" w:sz="4" w:space="0" w:color="auto"/>
            </w:tcBorders>
          </w:tcPr>
          <w:p w:rsidR="00F813BD" w:rsidRPr="00182EFD" w:rsidRDefault="00F813BD" w:rsidP="00F813BD">
            <w:pPr>
              <w:jc w:val="left"/>
              <w:rPr>
                <w:rFonts w:ascii="Arial" w:hAnsi="Arial" w:cs="Arial"/>
                <w:b/>
                <w:bCs/>
                <w:sz w:val="24"/>
                <w:szCs w:val="24"/>
                <w:u w:val="single"/>
              </w:rPr>
            </w:pPr>
          </w:p>
        </w:tc>
        <w:tc>
          <w:tcPr>
            <w:tcW w:w="1388" w:type="dxa"/>
            <w:tcBorders>
              <w:bottom w:val="single" w:sz="4" w:space="0" w:color="auto"/>
            </w:tcBorders>
          </w:tcPr>
          <w:p w:rsidR="00F813BD" w:rsidRPr="00182EFD" w:rsidRDefault="00F813BD" w:rsidP="00F813BD">
            <w:pPr>
              <w:jc w:val="right"/>
              <w:rPr>
                <w:rFonts w:ascii="Arial" w:hAnsi="Arial" w:cs="Arial"/>
                <w:b/>
                <w:bCs/>
                <w:sz w:val="24"/>
                <w:szCs w:val="24"/>
              </w:rPr>
            </w:pPr>
            <w:r w:rsidRPr="00182EFD">
              <w:rPr>
                <w:rFonts w:ascii="Arial" w:hAnsi="Arial" w:cs="Arial"/>
                <w:b/>
                <w:bCs/>
                <w:sz w:val="24"/>
                <w:szCs w:val="24"/>
              </w:rPr>
              <w:t>201</w:t>
            </w:r>
            <w:r>
              <w:rPr>
                <w:rFonts w:ascii="Arial" w:hAnsi="Arial" w:cs="Arial"/>
                <w:b/>
                <w:bCs/>
                <w:sz w:val="24"/>
                <w:szCs w:val="24"/>
              </w:rPr>
              <w:t>4</w:t>
            </w:r>
            <w:r w:rsidRPr="00182EFD">
              <w:rPr>
                <w:rFonts w:ascii="Arial" w:hAnsi="Arial" w:cs="Arial"/>
                <w:b/>
                <w:bCs/>
                <w:sz w:val="24"/>
                <w:szCs w:val="24"/>
              </w:rPr>
              <w:t>/1</w:t>
            </w:r>
            <w:r>
              <w:rPr>
                <w:rFonts w:ascii="Arial" w:hAnsi="Arial" w:cs="Arial"/>
                <w:b/>
                <w:bCs/>
                <w:sz w:val="24"/>
                <w:szCs w:val="24"/>
              </w:rPr>
              <w:t>5</w:t>
            </w:r>
          </w:p>
        </w:tc>
        <w:tc>
          <w:tcPr>
            <w:tcW w:w="1275" w:type="dxa"/>
            <w:tcBorders>
              <w:bottom w:val="single" w:sz="4" w:space="0" w:color="auto"/>
            </w:tcBorders>
          </w:tcPr>
          <w:p w:rsidR="00F813BD" w:rsidRPr="00182EFD" w:rsidRDefault="00F813BD" w:rsidP="00F813BD">
            <w:pPr>
              <w:jc w:val="right"/>
              <w:rPr>
                <w:rFonts w:ascii="Arial" w:hAnsi="Arial" w:cs="Arial"/>
                <w:b/>
                <w:bCs/>
                <w:sz w:val="24"/>
                <w:szCs w:val="24"/>
              </w:rPr>
            </w:pPr>
            <w:r w:rsidRPr="00182EFD">
              <w:rPr>
                <w:rFonts w:ascii="Arial" w:hAnsi="Arial" w:cs="Arial"/>
                <w:b/>
                <w:bCs/>
                <w:sz w:val="24"/>
                <w:szCs w:val="24"/>
              </w:rPr>
              <w:t>2013/14</w:t>
            </w:r>
          </w:p>
        </w:tc>
        <w:tc>
          <w:tcPr>
            <w:tcW w:w="1276" w:type="dxa"/>
            <w:tcBorders>
              <w:bottom w:val="single" w:sz="4" w:space="0" w:color="auto"/>
            </w:tcBorders>
          </w:tcPr>
          <w:p w:rsidR="00F813BD" w:rsidRPr="00182EFD" w:rsidRDefault="00F813BD" w:rsidP="00F813BD">
            <w:pPr>
              <w:jc w:val="right"/>
              <w:rPr>
                <w:rFonts w:ascii="Arial" w:hAnsi="Arial" w:cs="Arial"/>
                <w:b/>
                <w:bCs/>
                <w:sz w:val="24"/>
                <w:szCs w:val="24"/>
              </w:rPr>
            </w:pPr>
            <w:r w:rsidRPr="00182EFD">
              <w:rPr>
                <w:rFonts w:ascii="Arial" w:hAnsi="Arial" w:cs="Arial"/>
                <w:b/>
                <w:bCs/>
                <w:sz w:val="24"/>
                <w:szCs w:val="24"/>
              </w:rPr>
              <w:t>Reported</w:t>
            </w:r>
          </w:p>
        </w:tc>
        <w:tc>
          <w:tcPr>
            <w:tcW w:w="1276" w:type="dxa"/>
            <w:tcBorders>
              <w:bottom w:val="single" w:sz="4" w:space="0" w:color="auto"/>
            </w:tcBorders>
          </w:tcPr>
          <w:p w:rsidR="00F813BD" w:rsidRPr="00182EFD" w:rsidRDefault="00F813BD" w:rsidP="00F813BD">
            <w:pPr>
              <w:ind w:left="-94" w:firstLine="94"/>
              <w:jc w:val="right"/>
              <w:rPr>
                <w:rFonts w:ascii="Arial" w:hAnsi="Arial" w:cs="Arial"/>
                <w:b/>
                <w:bCs/>
                <w:sz w:val="24"/>
                <w:szCs w:val="24"/>
              </w:rPr>
            </w:pPr>
            <w:r w:rsidRPr="00182EFD">
              <w:rPr>
                <w:rFonts w:ascii="Arial" w:hAnsi="Arial" w:cs="Arial"/>
                <w:b/>
                <w:bCs/>
                <w:sz w:val="24"/>
                <w:szCs w:val="24"/>
              </w:rPr>
              <w:t xml:space="preserve">Constant currency </w:t>
            </w:r>
          </w:p>
        </w:tc>
        <w:tc>
          <w:tcPr>
            <w:tcW w:w="1275" w:type="dxa"/>
            <w:tcBorders>
              <w:bottom w:val="single" w:sz="4" w:space="0" w:color="auto"/>
            </w:tcBorders>
          </w:tcPr>
          <w:p w:rsidR="00F813BD" w:rsidRPr="00182EFD" w:rsidRDefault="00F813BD" w:rsidP="00F813BD">
            <w:pPr>
              <w:jc w:val="right"/>
              <w:rPr>
                <w:rFonts w:ascii="Arial" w:hAnsi="Arial" w:cs="Arial"/>
                <w:b/>
                <w:bCs/>
                <w:sz w:val="24"/>
                <w:szCs w:val="24"/>
              </w:rPr>
            </w:pPr>
            <w:r w:rsidRPr="00182EFD">
              <w:rPr>
                <w:rFonts w:ascii="Arial" w:hAnsi="Arial" w:cs="Arial"/>
                <w:b/>
                <w:bCs/>
                <w:sz w:val="24"/>
                <w:szCs w:val="24"/>
              </w:rPr>
              <w:t>Constant currency</w:t>
            </w:r>
          </w:p>
        </w:tc>
      </w:tr>
      <w:tr w:rsidR="00F813BD" w:rsidRPr="00C4481A" w:rsidTr="005C6924">
        <w:tc>
          <w:tcPr>
            <w:tcW w:w="3255" w:type="dxa"/>
            <w:tcBorders>
              <w:top w:val="single" w:sz="4" w:space="0" w:color="auto"/>
            </w:tcBorders>
          </w:tcPr>
          <w:p w:rsidR="00F813BD" w:rsidRPr="00C4481A" w:rsidRDefault="00F813BD" w:rsidP="00F813BD">
            <w:pPr>
              <w:jc w:val="left"/>
              <w:rPr>
                <w:rFonts w:ascii="Arial" w:hAnsi="Arial" w:cs="Arial"/>
                <w:sz w:val="24"/>
                <w:szCs w:val="24"/>
              </w:rPr>
            </w:pPr>
            <w:r w:rsidRPr="00C4481A">
              <w:rPr>
                <w:rFonts w:ascii="Arial" w:hAnsi="Arial" w:cs="Arial"/>
                <w:sz w:val="24"/>
                <w:szCs w:val="24"/>
              </w:rPr>
              <w:t>Sales</w:t>
            </w:r>
            <w:r w:rsidR="005C6924">
              <w:rPr>
                <w:rFonts w:ascii="Arial" w:hAnsi="Arial" w:cs="Arial"/>
                <w:sz w:val="24"/>
                <w:szCs w:val="24"/>
              </w:rPr>
              <w:t>*</w:t>
            </w:r>
            <w:r w:rsidRPr="00EC015F">
              <w:rPr>
                <w:rFonts w:ascii="Arial" w:hAnsi="Arial" w:cs="Arial"/>
                <w:i/>
                <w:sz w:val="24"/>
                <w:szCs w:val="24"/>
                <w:vertAlign w:val="superscript"/>
              </w:rPr>
              <w:t xml:space="preserve"> </w:t>
            </w:r>
          </w:p>
        </w:tc>
        <w:tc>
          <w:tcPr>
            <w:tcW w:w="1388" w:type="dxa"/>
            <w:tcBorders>
              <w:top w:val="single" w:sz="4" w:space="0" w:color="auto"/>
            </w:tcBorders>
          </w:tcPr>
          <w:p w:rsidR="00F813BD" w:rsidRPr="007D220F" w:rsidRDefault="00CF0C61" w:rsidP="00F813BD">
            <w:pPr>
              <w:jc w:val="right"/>
              <w:rPr>
                <w:rFonts w:ascii="Arial" w:hAnsi="Arial" w:cs="Arial"/>
                <w:sz w:val="24"/>
                <w:szCs w:val="24"/>
                <w:highlight w:val="magenta"/>
              </w:rPr>
            </w:pPr>
            <w:r w:rsidRPr="00445748">
              <w:rPr>
                <w:rFonts w:ascii="Arial" w:hAnsi="Arial" w:cs="Arial"/>
                <w:sz w:val="24"/>
                <w:szCs w:val="24"/>
              </w:rPr>
              <w:t>£5</w:t>
            </w:r>
            <w:r>
              <w:rPr>
                <w:rFonts w:ascii="Arial" w:hAnsi="Arial" w:cs="Arial"/>
                <w:sz w:val="24"/>
                <w:szCs w:val="24"/>
              </w:rPr>
              <w:t>,768m</w:t>
            </w:r>
          </w:p>
        </w:tc>
        <w:tc>
          <w:tcPr>
            <w:tcW w:w="1275" w:type="dxa"/>
            <w:tcBorders>
              <w:top w:val="single" w:sz="4" w:space="0" w:color="auto"/>
            </w:tcBorders>
          </w:tcPr>
          <w:p w:rsidR="00F813BD" w:rsidRPr="00C4481A" w:rsidRDefault="00F813BD" w:rsidP="00F813BD">
            <w:pPr>
              <w:jc w:val="right"/>
              <w:rPr>
                <w:rFonts w:ascii="Arial" w:hAnsi="Arial" w:cs="Arial"/>
                <w:sz w:val="24"/>
                <w:szCs w:val="24"/>
              </w:rPr>
            </w:pPr>
            <w:r>
              <w:rPr>
                <w:rFonts w:ascii="Arial" w:hAnsi="Arial" w:cs="Arial"/>
                <w:sz w:val="24"/>
                <w:szCs w:val="24"/>
              </w:rPr>
              <w:t>£5,716m</w:t>
            </w:r>
          </w:p>
        </w:tc>
        <w:tc>
          <w:tcPr>
            <w:tcW w:w="1276" w:type="dxa"/>
            <w:tcBorders>
              <w:top w:val="single" w:sz="4" w:space="0" w:color="auto"/>
            </w:tcBorders>
          </w:tcPr>
          <w:p w:rsidR="00F813BD" w:rsidRPr="007D220F" w:rsidRDefault="006C7217" w:rsidP="00F813BD">
            <w:pPr>
              <w:jc w:val="right"/>
              <w:rPr>
                <w:rFonts w:ascii="Arial" w:hAnsi="Arial" w:cs="Arial"/>
                <w:sz w:val="24"/>
                <w:szCs w:val="24"/>
                <w:highlight w:val="magenta"/>
              </w:rPr>
            </w:pPr>
            <w:r>
              <w:rPr>
                <w:rFonts w:ascii="Arial" w:hAnsi="Arial" w:cs="Arial"/>
                <w:sz w:val="24"/>
                <w:szCs w:val="24"/>
              </w:rPr>
              <w:t>+</w:t>
            </w:r>
            <w:r w:rsidR="00B540EC">
              <w:rPr>
                <w:rFonts w:ascii="Arial" w:hAnsi="Arial" w:cs="Arial"/>
                <w:sz w:val="24"/>
                <w:szCs w:val="24"/>
              </w:rPr>
              <w:t>0.9%</w:t>
            </w:r>
          </w:p>
        </w:tc>
        <w:tc>
          <w:tcPr>
            <w:tcW w:w="1276" w:type="dxa"/>
            <w:tcBorders>
              <w:top w:val="single" w:sz="4" w:space="0" w:color="auto"/>
            </w:tcBorders>
          </w:tcPr>
          <w:p w:rsidR="00F813BD" w:rsidRPr="007D220F" w:rsidRDefault="00F813BD" w:rsidP="00F813BD">
            <w:pPr>
              <w:jc w:val="right"/>
              <w:rPr>
                <w:rFonts w:ascii="Arial" w:hAnsi="Arial" w:cs="Arial"/>
                <w:sz w:val="24"/>
                <w:szCs w:val="24"/>
                <w:highlight w:val="magenta"/>
              </w:rPr>
            </w:pPr>
            <w:r>
              <w:rPr>
                <w:rFonts w:ascii="Arial" w:hAnsi="Arial" w:cs="Arial"/>
                <w:sz w:val="24"/>
                <w:szCs w:val="24"/>
              </w:rPr>
              <w:t>+</w:t>
            </w:r>
            <w:r w:rsidR="00B540EC">
              <w:rPr>
                <w:rFonts w:ascii="Arial" w:hAnsi="Arial" w:cs="Arial"/>
                <w:sz w:val="24"/>
                <w:szCs w:val="24"/>
              </w:rPr>
              <w:t>4.6</w:t>
            </w:r>
            <w:r>
              <w:rPr>
                <w:rFonts w:ascii="Arial" w:hAnsi="Arial" w:cs="Arial"/>
                <w:sz w:val="24"/>
                <w:szCs w:val="24"/>
              </w:rPr>
              <w:t>%</w:t>
            </w:r>
          </w:p>
        </w:tc>
        <w:tc>
          <w:tcPr>
            <w:tcW w:w="1275" w:type="dxa"/>
            <w:tcBorders>
              <w:top w:val="single" w:sz="4" w:space="0" w:color="auto"/>
            </w:tcBorders>
          </w:tcPr>
          <w:p w:rsidR="00F813BD" w:rsidRPr="007D220F" w:rsidRDefault="006C7217" w:rsidP="00F813BD">
            <w:pPr>
              <w:jc w:val="right"/>
              <w:rPr>
                <w:rFonts w:ascii="Arial" w:hAnsi="Arial" w:cs="Arial"/>
                <w:sz w:val="24"/>
                <w:szCs w:val="24"/>
                <w:highlight w:val="yellow"/>
              </w:rPr>
            </w:pPr>
            <w:r>
              <w:rPr>
                <w:rFonts w:ascii="Arial" w:hAnsi="Arial" w:cs="Arial"/>
                <w:sz w:val="24"/>
                <w:szCs w:val="24"/>
              </w:rPr>
              <w:t>+</w:t>
            </w:r>
            <w:r w:rsidR="00B540EC">
              <w:rPr>
                <w:rFonts w:ascii="Arial" w:hAnsi="Arial" w:cs="Arial"/>
                <w:sz w:val="24"/>
                <w:szCs w:val="24"/>
              </w:rPr>
              <w:t>1.8</w:t>
            </w:r>
            <w:r w:rsidR="00F813BD">
              <w:rPr>
                <w:rFonts w:ascii="Arial" w:hAnsi="Arial" w:cs="Arial"/>
                <w:sz w:val="24"/>
                <w:szCs w:val="24"/>
              </w:rPr>
              <w:t>%</w:t>
            </w:r>
          </w:p>
        </w:tc>
      </w:tr>
      <w:tr w:rsidR="00F813BD" w:rsidRPr="00C4481A" w:rsidTr="005C6924">
        <w:tc>
          <w:tcPr>
            <w:tcW w:w="3255" w:type="dxa"/>
          </w:tcPr>
          <w:p w:rsidR="00F813BD" w:rsidRPr="00C4481A" w:rsidRDefault="00F813BD" w:rsidP="00F813BD">
            <w:pPr>
              <w:jc w:val="left"/>
              <w:rPr>
                <w:rFonts w:ascii="Arial" w:hAnsi="Arial" w:cs="Arial"/>
                <w:sz w:val="24"/>
                <w:szCs w:val="24"/>
              </w:rPr>
            </w:pPr>
            <w:r w:rsidRPr="00C4481A">
              <w:rPr>
                <w:rFonts w:ascii="Arial" w:hAnsi="Arial" w:cs="Arial"/>
                <w:sz w:val="24"/>
                <w:szCs w:val="24"/>
              </w:rPr>
              <w:t>Retail profit</w:t>
            </w:r>
            <w:r w:rsidR="009B1ADF">
              <w:rPr>
                <w:rFonts w:ascii="Arial" w:hAnsi="Arial" w:cs="Arial"/>
                <w:sz w:val="24"/>
                <w:szCs w:val="24"/>
              </w:rPr>
              <w:t>*</w:t>
            </w:r>
            <w:r w:rsidR="00490B59" w:rsidRPr="003D6BAF">
              <w:rPr>
                <w:rFonts w:ascii="Arial" w:hAnsi="Arial" w:cs="Arial"/>
                <w:i/>
                <w:sz w:val="24"/>
                <w:szCs w:val="24"/>
                <w:vertAlign w:val="superscript"/>
              </w:rPr>
              <w:t xml:space="preserve"> (1)</w:t>
            </w:r>
          </w:p>
        </w:tc>
        <w:tc>
          <w:tcPr>
            <w:tcW w:w="1388" w:type="dxa"/>
          </w:tcPr>
          <w:p w:rsidR="00F813BD" w:rsidRPr="006374FD" w:rsidRDefault="00B540EC" w:rsidP="00F813BD">
            <w:pPr>
              <w:jc w:val="right"/>
              <w:rPr>
                <w:rFonts w:ascii="Arial" w:hAnsi="Arial" w:cs="Arial"/>
                <w:sz w:val="24"/>
                <w:szCs w:val="24"/>
              </w:rPr>
            </w:pPr>
            <w:r>
              <w:rPr>
                <w:rFonts w:ascii="Arial" w:hAnsi="Arial" w:cs="Arial"/>
                <w:sz w:val="24"/>
                <w:szCs w:val="24"/>
              </w:rPr>
              <w:t>£3</w:t>
            </w:r>
            <w:r w:rsidR="000A2852">
              <w:rPr>
                <w:rFonts w:ascii="Arial" w:hAnsi="Arial" w:cs="Arial"/>
                <w:sz w:val="24"/>
                <w:szCs w:val="24"/>
              </w:rPr>
              <w:t>90</w:t>
            </w:r>
            <w:r w:rsidR="00CF0C61">
              <w:rPr>
                <w:rFonts w:ascii="Arial" w:hAnsi="Arial" w:cs="Arial"/>
                <w:sz w:val="24"/>
                <w:szCs w:val="24"/>
              </w:rPr>
              <w:t>m</w:t>
            </w:r>
          </w:p>
        </w:tc>
        <w:tc>
          <w:tcPr>
            <w:tcW w:w="1275" w:type="dxa"/>
          </w:tcPr>
          <w:p w:rsidR="00F813BD" w:rsidRPr="006374FD" w:rsidRDefault="00F813BD" w:rsidP="00F813BD">
            <w:pPr>
              <w:jc w:val="right"/>
              <w:rPr>
                <w:rFonts w:ascii="Arial" w:hAnsi="Arial" w:cs="Arial"/>
                <w:sz w:val="24"/>
                <w:szCs w:val="24"/>
              </w:rPr>
            </w:pPr>
            <w:r>
              <w:rPr>
                <w:rFonts w:ascii="Arial" w:hAnsi="Arial" w:cs="Arial"/>
                <w:sz w:val="24"/>
                <w:szCs w:val="24"/>
              </w:rPr>
              <w:t>£39</w:t>
            </w:r>
            <w:r w:rsidR="00643017">
              <w:rPr>
                <w:rFonts w:ascii="Arial" w:hAnsi="Arial" w:cs="Arial"/>
                <w:sz w:val="24"/>
                <w:szCs w:val="24"/>
              </w:rPr>
              <w:t>0</w:t>
            </w:r>
            <w:r>
              <w:rPr>
                <w:rFonts w:ascii="Arial" w:hAnsi="Arial" w:cs="Arial"/>
                <w:sz w:val="24"/>
                <w:szCs w:val="24"/>
              </w:rPr>
              <w:t>m</w:t>
            </w:r>
          </w:p>
        </w:tc>
        <w:tc>
          <w:tcPr>
            <w:tcW w:w="1276" w:type="dxa"/>
          </w:tcPr>
          <w:p w:rsidR="00F813BD" w:rsidRPr="006374FD" w:rsidRDefault="00490B59" w:rsidP="0090500F">
            <w:pPr>
              <w:jc w:val="right"/>
              <w:rPr>
                <w:rFonts w:ascii="Arial" w:hAnsi="Arial" w:cs="Arial"/>
                <w:sz w:val="24"/>
                <w:szCs w:val="24"/>
              </w:rPr>
            </w:pPr>
            <w:r>
              <w:rPr>
                <w:rFonts w:ascii="Arial" w:hAnsi="Arial" w:cs="Arial"/>
                <w:sz w:val="24"/>
                <w:szCs w:val="24"/>
              </w:rPr>
              <w:t>Flat</w:t>
            </w:r>
          </w:p>
        </w:tc>
        <w:tc>
          <w:tcPr>
            <w:tcW w:w="1276" w:type="dxa"/>
          </w:tcPr>
          <w:p w:rsidR="00F813BD" w:rsidRPr="006374FD" w:rsidRDefault="00273D2D" w:rsidP="00F813BD">
            <w:pPr>
              <w:jc w:val="right"/>
              <w:rPr>
                <w:rFonts w:ascii="Arial" w:hAnsi="Arial" w:cs="Arial"/>
                <w:sz w:val="24"/>
                <w:szCs w:val="24"/>
              </w:rPr>
            </w:pPr>
            <w:r>
              <w:rPr>
                <w:rFonts w:ascii="Arial" w:hAnsi="Arial" w:cs="Arial"/>
                <w:sz w:val="24"/>
                <w:szCs w:val="24"/>
              </w:rPr>
              <w:t>+3</w:t>
            </w:r>
            <w:r w:rsidR="00B540EC">
              <w:rPr>
                <w:rFonts w:ascii="Arial" w:hAnsi="Arial" w:cs="Arial"/>
                <w:sz w:val="24"/>
                <w:szCs w:val="24"/>
              </w:rPr>
              <w:t>.</w:t>
            </w:r>
            <w:r>
              <w:rPr>
                <w:rFonts w:ascii="Arial" w:hAnsi="Arial" w:cs="Arial"/>
                <w:sz w:val="24"/>
                <w:szCs w:val="24"/>
              </w:rPr>
              <w:t>3</w:t>
            </w:r>
            <w:r w:rsidR="00F813BD">
              <w:rPr>
                <w:rFonts w:ascii="Arial" w:hAnsi="Arial" w:cs="Arial"/>
                <w:sz w:val="24"/>
                <w:szCs w:val="24"/>
              </w:rPr>
              <w:t>%</w:t>
            </w:r>
          </w:p>
        </w:tc>
        <w:tc>
          <w:tcPr>
            <w:tcW w:w="1275" w:type="dxa"/>
          </w:tcPr>
          <w:p w:rsidR="00F813BD" w:rsidRPr="007D220F" w:rsidRDefault="00F813BD" w:rsidP="00F813BD">
            <w:pPr>
              <w:jc w:val="right"/>
              <w:rPr>
                <w:rFonts w:ascii="Arial" w:hAnsi="Arial" w:cs="Arial"/>
                <w:sz w:val="24"/>
                <w:szCs w:val="24"/>
                <w:highlight w:val="yellow"/>
              </w:rPr>
            </w:pPr>
          </w:p>
        </w:tc>
      </w:tr>
      <w:tr w:rsidR="00F813BD" w:rsidRPr="00C4481A" w:rsidTr="005C6924">
        <w:tc>
          <w:tcPr>
            <w:tcW w:w="3255" w:type="dxa"/>
          </w:tcPr>
          <w:p w:rsidR="00F813BD" w:rsidRDefault="00F813BD" w:rsidP="00F813BD">
            <w:pPr>
              <w:jc w:val="left"/>
              <w:rPr>
                <w:rFonts w:ascii="Arial" w:hAnsi="Arial" w:cs="Arial"/>
                <w:sz w:val="24"/>
                <w:szCs w:val="24"/>
              </w:rPr>
            </w:pPr>
            <w:r w:rsidRPr="00C4481A">
              <w:rPr>
                <w:rFonts w:ascii="Arial" w:hAnsi="Arial" w:cs="Arial"/>
                <w:sz w:val="24"/>
                <w:szCs w:val="24"/>
              </w:rPr>
              <w:t>Adjusted</w:t>
            </w:r>
            <w:r w:rsidR="005C6924">
              <w:rPr>
                <w:rFonts w:ascii="Arial" w:hAnsi="Arial" w:cs="Arial"/>
                <w:sz w:val="24"/>
                <w:szCs w:val="24"/>
              </w:rPr>
              <w:t>*</w:t>
            </w:r>
            <w:r w:rsidRPr="00C4481A">
              <w:rPr>
                <w:rFonts w:ascii="Arial" w:hAnsi="Arial" w:cs="Arial"/>
                <w:sz w:val="24"/>
                <w:szCs w:val="24"/>
              </w:rPr>
              <w:t xml:space="preserve"> pre-tax profit</w:t>
            </w:r>
            <w:r w:rsidR="00490B59" w:rsidRPr="00B71CE9">
              <w:rPr>
                <w:rFonts w:ascii="Arial" w:hAnsi="Arial" w:cs="Arial"/>
                <w:i/>
                <w:sz w:val="24"/>
                <w:szCs w:val="24"/>
                <w:vertAlign w:val="superscript"/>
              </w:rPr>
              <w:t>(1)</w:t>
            </w:r>
            <w:r w:rsidRPr="00C4481A">
              <w:rPr>
                <w:rFonts w:ascii="Arial" w:hAnsi="Arial" w:cs="Arial"/>
                <w:sz w:val="24"/>
                <w:szCs w:val="24"/>
              </w:rPr>
              <w:t xml:space="preserve"> </w:t>
            </w:r>
          </w:p>
        </w:tc>
        <w:tc>
          <w:tcPr>
            <w:tcW w:w="1388" w:type="dxa"/>
          </w:tcPr>
          <w:p w:rsidR="00F813BD" w:rsidRDefault="006C7217" w:rsidP="00F813BD">
            <w:pPr>
              <w:jc w:val="right"/>
              <w:rPr>
                <w:rFonts w:ascii="Arial" w:hAnsi="Arial" w:cs="Arial"/>
                <w:sz w:val="24"/>
                <w:szCs w:val="24"/>
              </w:rPr>
            </w:pPr>
            <w:r>
              <w:rPr>
                <w:rFonts w:ascii="Arial" w:hAnsi="Arial" w:cs="Arial"/>
                <w:sz w:val="24"/>
                <w:szCs w:val="24"/>
              </w:rPr>
              <w:t>£36</w:t>
            </w:r>
            <w:r w:rsidR="00490B59">
              <w:rPr>
                <w:rFonts w:ascii="Arial" w:hAnsi="Arial" w:cs="Arial"/>
                <w:sz w:val="24"/>
                <w:szCs w:val="24"/>
              </w:rPr>
              <w:t>4</w:t>
            </w:r>
            <w:r>
              <w:rPr>
                <w:rFonts w:ascii="Arial" w:hAnsi="Arial" w:cs="Arial"/>
                <w:sz w:val="24"/>
                <w:szCs w:val="24"/>
              </w:rPr>
              <w:t>m</w:t>
            </w:r>
          </w:p>
        </w:tc>
        <w:tc>
          <w:tcPr>
            <w:tcW w:w="1275" w:type="dxa"/>
          </w:tcPr>
          <w:p w:rsidR="00F813BD" w:rsidRDefault="00F813BD" w:rsidP="00F813BD">
            <w:pPr>
              <w:jc w:val="right"/>
              <w:rPr>
                <w:rFonts w:ascii="Arial" w:hAnsi="Arial" w:cs="Arial"/>
                <w:sz w:val="24"/>
                <w:szCs w:val="24"/>
              </w:rPr>
            </w:pPr>
            <w:r>
              <w:rPr>
                <w:rFonts w:ascii="Arial" w:hAnsi="Arial" w:cs="Arial"/>
                <w:sz w:val="24"/>
                <w:szCs w:val="24"/>
              </w:rPr>
              <w:t>£36</w:t>
            </w:r>
            <w:r w:rsidR="00490B59">
              <w:rPr>
                <w:rFonts w:ascii="Arial" w:hAnsi="Arial" w:cs="Arial"/>
                <w:sz w:val="24"/>
                <w:szCs w:val="24"/>
              </w:rPr>
              <w:t>4</w:t>
            </w:r>
            <w:r>
              <w:rPr>
                <w:rFonts w:ascii="Arial" w:hAnsi="Arial" w:cs="Arial"/>
                <w:sz w:val="24"/>
                <w:szCs w:val="24"/>
              </w:rPr>
              <w:t>m</w:t>
            </w:r>
          </w:p>
        </w:tc>
        <w:tc>
          <w:tcPr>
            <w:tcW w:w="1276" w:type="dxa"/>
          </w:tcPr>
          <w:p w:rsidR="00F813BD" w:rsidRDefault="00490B59" w:rsidP="0090500F">
            <w:pPr>
              <w:jc w:val="right"/>
              <w:rPr>
                <w:rFonts w:ascii="Arial" w:hAnsi="Arial" w:cs="Arial"/>
                <w:sz w:val="24"/>
                <w:szCs w:val="24"/>
              </w:rPr>
            </w:pPr>
            <w:r>
              <w:rPr>
                <w:rFonts w:ascii="Arial" w:hAnsi="Arial" w:cs="Arial"/>
                <w:sz w:val="24"/>
                <w:szCs w:val="24"/>
              </w:rPr>
              <w:t>Flat</w:t>
            </w:r>
          </w:p>
        </w:tc>
        <w:tc>
          <w:tcPr>
            <w:tcW w:w="1276" w:type="dxa"/>
          </w:tcPr>
          <w:p w:rsidR="00F813BD" w:rsidRPr="006374FD" w:rsidRDefault="00F813BD" w:rsidP="00F813BD">
            <w:pPr>
              <w:jc w:val="right"/>
              <w:rPr>
                <w:rFonts w:ascii="Arial" w:hAnsi="Arial" w:cs="Arial"/>
                <w:sz w:val="24"/>
                <w:szCs w:val="24"/>
              </w:rPr>
            </w:pPr>
          </w:p>
        </w:tc>
        <w:tc>
          <w:tcPr>
            <w:tcW w:w="1275" w:type="dxa"/>
          </w:tcPr>
          <w:p w:rsidR="00F813BD" w:rsidRPr="007D220F" w:rsidRDefault="00F813BD" w:rsidP="00F813BD">
            <w:pPr>
              <w:jc w:val="right"/>
              <w:rPr>
                <w:rFonts w:ascii="Arial" w:hAnsi="Arial" w:cs="Arial"/>
                <w:sz w:val="24"/>
                <w:szCs w:val="24"/>
                <w:highlight w:val="yellow"/>
              </w:rPr>
            </w:pPr>
          </w:p>
        </w:tc>
      </w:tr>
      <w:tr w:rsidR="00F813BD" w:rsidRPr="00C4481A" w:rsidTr="005C6924">
        <w:tc>
          <w:tcPr>
            <w:tcW w:w="3255" w:type="dxa"/>
          </w:tcPr>
          <w:p w:rsidR="00F813BD" w:rsidRDefault="00F813BD" w:rsidP="00F813BD">
            <w:pPr>
              <w:jc w:val="left"/>
              <w:rPr>
                <w:rFonts w:ascii="Arial" w:hAnsi="Arial" w:cs="Arial"/>
                <w:sz w:val="24"/>
                <w:szCs w:val="24"/>
              </w:rPr>
            </w:pPr>
            <w:r w:rsidRPr="00C4481A">
              <w:rPr>
                <w:rFonts w:ascii="Arial" w:hAnsi="Arial" w:cs="Arial"/>
                <w:sz w:val="24"/>
                <w:szCs w:val="24"/>
              </w:rPr>
              <w:t>Adjusted basic EPS</w:t>
            </w:r>
            <w:r w:rsidR="00490B59" w:rsidRPr="00B71CE9">
              <w:rPr>
                <w:rFonts w:ascii="Arial" w:hAnsi="Arial" w:cs="Arial"/>
                <w:i/>
                <w:sz w:val="24"/>
                <w:szCs w:val="24"/>
                <w:vertAlign w:val="superscript"/>
              </w:rPr>
              <w:t>(1)</w:t>
            </w:r>
          </w:p>
        </w:tc>
        <w:tc>
          <w:tcPr>
            <w:tcW w:w="1388" w:type="dxa"/>
          </w:tcPr>
          <w:p w:rsidR="00F813BD" w:rsidRDefault="00AE3145" w:rsidP="00F813BD">
            <w:pPr>
              <w:jc w:val="right"/>
              <w:rPr>
                <w:rFonts w:ascii="Arial" w:hAnsi="Arial" w:cs="Arial"/>
                <w:sz w:val="24"/>
                <w:szCs w:val="24"/>
              </w:rPr>
            </w:pPr>
            <w:r>
              <w:rPr>
                <w:rFonts w:ascii="Arial" w:hAnsi="Arial" w:cs="Arial"/>
                <w:sz w:val="24"/>
                <w:szCs w:val="24"/>
              </w:rPr>
              <w:t>11.3</w:t>
            </w:r>
            <w:r w:rsidR="006C7217">
              <w:rPr>
                <w:rFonts w:ascii="Arial" w:hAnsi="Arial" w:cs="Arial"/>
                <w:sz w:val="24"/>
                <w:szCs w:val="24"/>
              </w:rPr>
              <w:t>p</w:t>
            </w:r>
          </w:p>
        </w:tc>
        <w:tc>
          <w:tcPr>
            <w:tcW w:w="1275" w:type="dxa"/>
          </w:tcPr>
          <w:p w:rsidR="00F813BD" w:rsidRDefault="00F813BD" w:rsidP="00F813BD">
            <w:pPr>
              <w:jc w:val="right"/>
              <w:rPr>
                <w:rFonts w:ascii="Arial" w:hAnsi="Arial" w:cs="Arial"/>
                <w:sz w:val="24"/>
                <w:szCs w:val="24"/>
              </w:rPr>
            </w:pPr>
            <w:r>
              <w:rPr>
                <w:rFonts w:ascii="Arial" w:hAnsi="Arial" w:cs="Arial"/>
                <w:sz w:val="24"/>
                <w:szCs w:val="24"/>
              </w:rPr>
              <w:t>11.3</w:t>
            </w:r>
            <w:r w:rsidRPr="00FA5AC4">
              <w:rPr>
                <w:rFonts w:ascii="Arial" w:hAnsi="Arial" w:cs="Arial"/>
                <w:sz w:val="24"/>
                <w:szCs w:val="24"/>
              </w:rPr>
              <w:t>p</w:t>
            </w:r>
          </w:p>
        </w:tc>
        <w:tc>
          <w:tcPr>
            <w:tcW w:w="1276" w:type="dxa"/>
          </w:tcPr>
          <w:p w:rsidR="00F813BD" w:rsidRDefault="00AE3145" w:rsidP="00F813BD">
            <w:pPr>
              <w:jc w:val="right"/>
              <w:rPr>
                <w:rFonts w:ascii="Arial" w:hAnsi="Arial" w:cs="Arial"/>
                <w:sz w:val="24"/>
                <w:szCs w:val="24"/>
              </w:rPr>
            </w:pPr>
            <w:r>
              <w:rPr>
                <w:rFonts w:ascii="Arial" w:hAnsi="Arial" w:cs="Arial"/>
                <w:sz w:val="24"/>
                <w:szCs w:val="24"/>
              </w:rPr>
              <w:t>Flat</w:t>
            </w:r>
          </w:p>
        </w:tc>
        <w:tc>
          <w:tcPr>
            <w:tcW w:w="1276" w:type="dxa"/>
          </w:tcPr>
          <w:p w:rsidR="00F813BD" w:rsidRPr="006374FD" w:rsidRDefault="00F813BD" w:rsidP="00F813BD">
            <w:pPr>
              <w:jc w:val="right"/>
              <w:rPr>
                <w:rFonts w:ascii="Arial" w:hAnsi="Arial" w:cs="Arial"/>
                <w:sz w:val="24"/>
                <w:szCs w:val="24"/>
              </w:rPr>
            </w:pPr>
          </w:p>
        </w:tc>
        <w:tc>
          <w:tcPr>
            <w:tcW w:w="1275" w:type="dxa"/>
          </w:tcPr>
          <w:p w:rsidR="00F813BD" w:rsidRPr="007D220F" w:rsidRDefault="00F813BD" w:rsidP="00F813BD">
            <w:pPr>
              <w:jc w:val="right"/>
              <w:rPr>
                <w:rFonts w:ascii="Arial" w:hAnsi="Arial" w:cs="Arial"/>
                <w:sz w:val="24"/>
                <w:szCs w:val="24"/>
                <w:highlight w:val="yellow"/>
              </w:rPr>
            </w:pPr>
          </w:p>
        </w:tc>
      </w:tr>
      <w:tr w:rsidR="00F813BD" w:rsidRPr="00C4481A" w:rsidTr="005C6924">
        <w:tc>
          <w:tcPr>
            <w:tcW w:w="3255" w:type="dxa"/>
          </w:tcPr>
          <w:p w:rsidR="00F813BD" w:rsidRPr="00C4481A" w:rsidRDefault="00F813BD" w:rsidP="00F813BD">
            <w:pPr>
              <w:jc w:val="left"/>
              <w:rPr>
                <w:rFonts w:ascii="Arial" w:hAnsi="Arial" w:cs="Arial"/>
                <w:sz w:val="24"/>
                <w:szCs w:val="24"/>
              </w:rPr>
            </w:pPr>
            <w:r>
              <w:rPr>
                <w:rFonts w:ascii="Arial" w:hAnsi="Arial" w:cs="Arial"/>
                <w:sz w:val="24"/>
                <w:szCs w:val="24"/>
              </w:rPr>
              <w:t>Statutory pre-tax profit</w:t>
            </w:r>
          </w:p>
        </w:tc>
        <w:tc>
          <w:tcPr>
            <w:tcW w:w="1388" w:type="dxa"/>
          </w:tcPr>
          <w:p w:rsidR="00F813BD" w:rsidRDefault="006C7217" w:rsidP="00F813BD">
            <w:pPr>
              <w:jc w:val="right"/>
              <w:rPr>
                <w:rFonts w:ascii="Arial" w:hAnsi="Arial" w:cs="Arial"/>
                <w:sz w:val="24"/>
                <w:szCs w:val="24"/>
              </w:rPr>
            </w:pPr>
            <w:r>
              <w:rPr>
                <w:rFonts w:ascii="Arial" w:hAnsi="Arial" w:cs="Arial"/>
                <w:sz w:val="24"/>
                <w:szCs w:val="24"/>
              </w:rPr>
              <w:t>£</w:t>
            </w:r>
            <w:r w:rsidR="00AE3145">
              <w:rPr>
                <w:rFonts w:ascii="Arial" w:hAnsi="Arial" w:cs="Arial"/>
                <w:sz w:val="24"/>
                <w:szCs w:val="24"/>
              </w:rPr>
              <w:t>375</w:t>
            </w:r>
            <w:r>
              <w:rPr>
                <w:rFonts w:ascii="Arial" w:hAnsi="Arial" w:cs="Arial"/>
                <w:sz w:val="24"/>
                <w:szCs w:val="24"/>
              </w:rPr>
              <w:t>m</w:t>
            </w:r>
          </w:p>
        </w:tc>
        <w:tc>
          <w:tcPr>
            <w:tcW w:w="1275" w:type="dxa"/>
          </w:tcPr>
          <w:p w:rsidR="00F813BD" w:rsidRPr="00251609" w:rsidRDefault="00F813BD" w:rsidP="00F813BD">
            <w:pPr>
              <w:jc w:val="right"/>
              <w:rPr>
                <w:rFonts w:ascii="Arial" w:hAnsi="Arial" w:cs="Arial"/>
                <w:sz w:val="24"/>
                <w:szCs w:val="24"/>
              </w:rPr>
            </w:pPr>
            <w:r>
              <w:rPr>
                <w:rFonts w:ascii="Arial" w:hAnsi="Arial" w:cs="Arial"/>
                <w:sz w:val="24"/>
                <w:szCs w:val="24"/>
              </w:rPr>
              <w:t>£401m</w:t>
            </w:r>
          </w:p>
        </w:tc>
        <w:tc>
          <w:tcPr>
            <w:tcW w:w="1276" w:type="dxa"/>
          </w:tcPr>
          <w:p w:rsidR="00F813BD" w:rsidRPr="00251609" w:rsidRDefault="00AE3145" w:rsidP="00F813BD">
            <w:pPr>
              <w:jc w:val="right"/>
              <w:rPr>
                <w:rFonts w:ascii="Arial" w:hAnsi="Arial" w:cs="Arial"/>
                <w:sz w:val="24"/>
                <w:szCs w:val="24"/>
              </w:rPr>
            </w:pPr>
            <w:r>
              <w:rPr>
                <w:rFonts w:ascii="Arial" w:hAnsi="Arial" w:cs="Arial"/>
                <w:sz w:val="24"/>
                <w:szCs w:val="24"/>
              </w:rPr>
              <w:t>(6.</w:t>
            </w:r>
            <w:r w:rsidR="003F0A73">
              <w:rPr>
                <w:rFonts w:ascii="Arial" w:hAnsi="Arial" w:cs="Arial"/>
                <w:sz w:val="24"/>
                <w:szCs w:val="24"/>
              </w:rPr>
              <w:t>5</w:t>
            </w:r>
            <w:r>
              <w:rPr>
                <w:rFonts w:ascii="Arial" w:hAnsi="Arial" w:cs="Arial"/>
                <w:sz w:val="24"/>
                <w:szCs w:val="24"/>
              </w:rPr>
              <w:t>)%</w:t>
            </w:r>
          </w:p>
        </w:tc>
        <w:tc>
          <w:tcPr>
            <w:tcW w:w="1276" w:type="dxa"/>
          </w:tcPr>
          <w:p w:rsidR="00F813BD" w:rsidRPr="006374FD" w:rsidRDefault="00F813BD" w:rsidP="00F813BD">
            <w:pPr>
              <w:jc w:val="right"/>
              <w:rPr>
                <w:rFonts w:ascii="Arial" w:hAnsi="Arial" w:cs="Arial"/>
                <w:sz w:val="24"/>
                <w:szCs w:val="24"/>
              </w:rPr>
            </w:pPr>
          </w:p>
        </w:tc>
        <w:tc>
          <w:tcPr>
            <w:tcW w:w="1275" w:type="dxa"/>
          </w:tcPr>
          <w:p w:rsidR="00F813BD" w:rsidRPr="007D220F" w:rsidRDefault="00F813BD" w:rsidP="00F813BD">
            <w:pPr>
              <w:jc w:val="right"/>
              <w:rPr>
                <w:rFonts w:ascii="Arial" w:hAnsi="Arial" w:cs="Arial"/>
                <w:sz w:val="24"/>
                <w:szCs w:val="24"/>
                <w:highlight w:val="yellow"/>
              </w:rPr>
            </w:pPr>
          </w:p>
        </w:tc>
      </w:tr>
      <w:tr w:rsidR="00F813BD" w:rsidRPr="00C4481A" w:rsidTr="005C6924">
        <w:tc>
          <w:tcPr>
            <w:tcW w:w="3255" w:type="dxa"/>
          </w:tcPr>
          <w:p w:rsidR="00F813BD" w:rsidRPr="00C4481A" w:rsidRDefault="00F813BD" w:rsidP="00F813BD">
            <w:pPr>
              <w:jc w:val="left"/>
              <w:rPr>
                <w:rFonts w:ascii="Arial" w:hAnsi="Arial" w:cs="Arial"/>
                <w:sz w:val="24"/>
                <w:szCs w:val="24"/>
              </w:rPr>
            </w:pPr>
            <w:r>
              <w:rPr>
                <w:rFonts w:ascii="Arial" w:hAnsi="Arial" w:cs="Arial"/>
                <w:sz w:val="24"/>
                <w:szCs w:val="24"/>
              </w:rPr>
              <w:t>Statutory post-tax profit</w:t>
            </w:r>
          </w:p>
        </w:tc>
        <w:tc>
          <w:tcPr>
            <w:tcW w:w="1388" w:type="dxa"/>
          </w:tcPr>
          <w:p w:rsidR="00F813BD" w:rsidRDefault="006C7217" w:rsidP="00F813BD">
            <w:pPr>
              <w:jc w:val="right"/>
              <w:rPr>
                <w:rFonts w:ascii="Arial" w:hAnsi="Arial" w:cs="Arial"/>
                <w:sz w:val="24"/>
                <w:szCs w:val="24"/>
              </w:rPr>
            </w:pPr>
            <w:r>
              <w:rPr>
                <w:rFonts w:ascii="Arial" w:hAnsi="Arial" w:cs="Arial"/>
                <w:sz w:val="24"/>
                <w:szCs w:val="24"/>
              </w:rPr>
              <w:t>£</w:t>
            </w:r>
            <w:r w:rsidR="00AE3145">
              <w:rPr>
                <w:rFonts w:ascii="Arial" w:hAnsi="Arial" w:cs="Arial"/>
                <w:sz w:val="24"/>
                <w:szCs w:val="24"/>
              </w:rPr>
              <w:t>277</w:t>
            </w:r>
            <w:r>
              <w:rPr>
                <w:rFonts w:ascii="Arial" w:hAnsi="Arial" w:cs="Arial"/>
                <w:sz w:val="24"/>
                <w:szCs w:val="24"/>
              </w:rPr>
              <w:t>m</w:t>
            </w:r>
          </w:p>
        </w:tc>
        <w:tc>
          <w:tcPr>
            <w:tcW w:w="1275" w:type="dxa"/>
          </w:tcPr>
          <w:p w:rsidR="00F813BD" w:rsidRPr="00251609" w:rsidRDefault="00F813BD" w:rsidP="00F813BD">
            <w:pPr>
              <w:jc w:val="right"/>
              <w:rPr>
                <w:rFonts w:ascii="Arial" w:hAnsi="Arial" w:cs="Arial"/>
                <w:sz w:val="24"/>
                <w:szCs w:val="24"/>
              </w:rPr>
            </w:pPr>
            <w:r w:rsidRPr="00FA5AC4">
              <w:rPr>
                <w:rFonts w:ascii="Arial" w:hAnsi="Arial" w:cs="Arial"/>
                <w:sz w:val="24"/>
                <w:szCs w:val="24"/>
              </w:rPr>
              <w:t>£</w:t>
            </w:r>
            <w:r>
              <w:rPr>
                <w:rFonts w:ascii="Arial" w:hAnsi="Arial" w:cs="Arial"/>
                <w:sz w:val="24"/>
                <w:szCs w:val="24"/>
              </w:rPr>
              <w:t>440</w:t>
            </w:r>
            <w:r w:rsidRPr="00FA5AC4">
              <w:rPr>
                <w:rFonts w:ascii="Arial" w:hAnsi="Arial" w:cs="Arial"/>
                <w:sz w:val="24"/>
                <w:szCs w:val="24"/>
              </w:rPr>
              <w:t>m</w:t>
            </w:r>
          </w:p>
        </w:tc>
        <w:tc>
          <w:tcPr>
            <w:tcW w:w="1276" w:type="dxa"/>
          </w:tcPr>
          <w:p w:rsidR="00F813BD" w:rsidRPr="00251609" w:rsidRDefault="00AE3145" w:rsidP="00F813BD">
            <w:pPr>
              <w:jc w:val="right"/>
              <w:rPr>
                <w:rFonts w:ascii="Arial" w:hAnsi="Arial" w:cs="Arial"/>
                <w:sz w:val="24"/>
                <w:szCs w:val="24"/>
              </w:rPr>
            </w:pPr>
            <w:r>
              <w:rPr>
                <w:rFonts w:ascii="Arial" w:hAnsi="Arial" w:cs="Arial"/>
                <w:sz w:val="24"/>
                <w:szCs w:val="24"/>
              </w:rPr>
              <w:t>(37.0)%</w:t>
            </w:r>
          </w:p>
        </w:tc>
        <w:tc>
          <w:tcPr>
            <w:tcW w:w="1276" w:type="dxa"/>
          </w:tcPr>
          <w:p w:rsidR="00F813BD" w:rsidRPr="006374FD" w:rsidRDefault="00F813BD" w:rsidP="00F813BD">
            <w:pPr>
              <w:jc w:val="right"/>
              <w:rPr>
                <w:rFonts w:ascii="Arial" w:hAnsi="Arial" w:cs="Arial"/>
                <w:sz w:val="24"/>
                <w:szCs w:val="24"/>
              </w:rPr>
            </w:pPr>
          </w:p>
        </w:tc>
        <w:tc>
          <w:tcPr>
            <w:tcW w:w="1275" w:type="dxa"/>
          </w:tcPr>
          <w:p w:rsidR="00F813BD" w:rsidRPr="007D220F" w:rsidRDefault="00F813BD" w:rsidP="00F813BD">
            <w:pPr>
              <w:jc w:val="right"/>
              <w:rPr>
                <w:rFonts w:ascii="Arial" w:hAnsi="Arial" w:cs="Arial"/>
                <w:sz w:val="24"/>
                <w:szCs w:val="24"/>
                <w:highlight w:val="yellow"/>
              </w:rPr>
            </w:pPr>
          </w:p>
        </w:tc>
      </w:tr>
      <w:tr w:rsidR="00F813BD" w:rsidRPr="00C4481A" w:rsidTr="005C6924">
        <w:tc>
          <w:tcPr>
            <w:tcW w:w="3255" w:type="dxa"/>
          </w:tcPr>
          <w:p w:rsidR="00F813BD" w:rsidRPr="00C4481A" w:rsidRDefault="00F813BD" w:rsidP="00F813BD">
            <w:pPr>
              <w:jc w:val="left"/>
              <w:rPr>
                <w:rFonts w:ascii="Arial" w:hAnsi="Arial" w:cs="Arial"/>
                <w:sz w:val="24"/>
                <w:szCs w:val="24"/>
              </w:rPr>
            </w:pPr>
            <w:r w:rsidRPr="004C2B82">
              <w:rPr>
                <w:rFonts w:ascii="Arial" w:hAnsi="Arial" w:cs="Arial"/>
                <w:sz w:val="24"/>
                <w:szCs w:val="24"/>
              </w:rPr>
              <w:t xml:space="preserve">Basic EPS </w:t>
            </w:r>
          </w:p>
        </w:tc>
        <w:tc>
          <w:tcPr>
            <w:tcW w:w="1388" w:type="dxa"/>
          </w:tcPr>
          <w:p w:rsidR="00F813BD" w:rsidRDefault="00AE3145" w:rsidP="00F813BD">
            <w:pPr>
              <w:jc w:val="right"/>
              <w:rPr>
                <w:rFonts w:ascii="Arial" w:hAnsi="Arial" w:cs="Arial"/>
                <w:sz w:val="24"/>
                <w:szCs w:val="24"/>
              </w:rPr>
            </w:pPr>
            <w:r>
              <w:rPr>
                <w:rFonts w:ascii="Arial" w:hAnsi="Arial" w:cs="Arial"/>
                <w:sz w:val="24"/>
                <w:szCs w:val="24"/>
              </w:rPr>
              <w:t>11.8</w:t>
            </w:r>
            <w:r w:rsidR="006C7217">
              <w:rPr>
                <w:rFonts w:ascii="Arial" w:hAnsi="Arial" w:cs="Arial"/>
                <w:sz w:val="24"/>
                <w:szCs w:val="24"/>
              </w:rPr>
              <w:t>p</w:t>
            </w:r>
          </w:p>
        </w:tc>
        <w:tc>
          <w:tcPr>
            <w:tcW w:w="1275" w:type="dxa"/>
          </w:tcPr>
          <w:p w:rsidR="00F813BD" w:rsidRPr="00FA5AC4" w:rsidRDefault="00F813BD" w:rsidP="00F813BD">
            <w:pPr>
              <w:jc w:val="right"/>
              <w:rPr>
                <w:rFonts w:ascii="Arial" w:hAnsi="Arial" w:cs="Arial"/>
                <w:sz w:val="24"/>
                <w:szCs w:val="24"/>
              </w:rPr>
            </w:pPr>
            <w:r>
              <w:rPr>
                <w:rFonts w:ascii="Arial" w:hAnsi="Arial" w:cs="Arial"/>
                <w:sz w:val="24"/>
                <w:szCs w:val="24"/>
              </w:rPr>
              <w:t>18.7</w:t>
            </w:r>
            <w:r w:rsidRPr="00FA5AC4">
              <w:rPr>
                <w:rFonts w:ascii="Arial" w:hAnsi="Arial" w:cs="Arial"/>
                <w:sz w:val="24"/>
                <w:szCs w:val="24"/>
              </w:rPr>
              <w:t>p</w:t>
            </w:r>
          </w:p>
        </w:tc>
        <w:tc>
          <w:tcPr>
            <w:tcW w:w="1276" w:type="dxa"/>
          </w:tcPr>
          <w:p w:rsidR="00F813BD" w:rsidRDefault="00AE3145" w:rsidP="00F813BD">
            <w:pPr>
              <w:jc w:val="right"/>
              <w:rPr>
                <w:rFonts w:ascii="Arial" w:hAnsi="Arial" w:cs="Arial"/>
                <w:sz w:val="24"/>
                <w:szCs w:val="24"/>
              </w:rPr>
            </w:pPr>
            <w:r>
              <w:rPr>
                <w:rFonts w:ascii="Arial" w:hAnsi="Arial" w:cs="Arial"/>
                <w:sz w:val="24"/>
                <w:szCs w:val="24"/>
              </w:rPr>
              <w:t>(36.9)%</w:t>
            </w:r>
          </w:p>
        </w:tc>
        <w:tc>
          <w:tcPr>
            <w:tcW w:w="1276" w:type="dxa"/>
          </w:tcPr>
          <w:p w:rsidR="00F813BD" w:rsidRPr="007D220F" w:rsidRDefault="00F813BD" w:rsidP="00F813BD">
            <w:pPr>
              <w:jc w:val="right"/>
              <w:rPr>
                <w:rFonts w:ascii="Arial" w:hAnsi="Arial" w:cs="Arial"/>
                <w:sz w:val="24"/>
                <w:szCs w:val="24"/>
                <w:highlight w:val="yellow"/>
              </w:rPr>
            </w:pPr>
          </w:p>
        </w:tc>
        <w:tc>
          <w:tcPr>
            <w:tcW w:w="1275" w:type="dxa"/>
          </w:tcPr>
          <w:p w:rsidR="00F813BD" w:rsidRPr="007D220F" w:rsidRDefault="00F813BD" w:rsidP="00F813BD">
            <w:pPr>
              <w:jc w:val="right"/>
              <w:rPr>
                <w:rFonts w:ascii="Arial" w:hAnsi="Arial" w:cs="Arial"/>
                <w:sz w:val="24"/>
                <w:szCs w:val="24"/>
                <w:highlight w:val="yellow"/>
              </w:rPr>
            </w:pPr>
          </w:p>
        </w:tc>
      </w:tr>
      <w:tr w:rsidR="00F813BD" w:rsidRPr="00C4481A" w:rsidTr="005C6924">
        <w:tc>
          <w:tcPr>
            <w:tcW w:w="3255" w:type="dxa"/>
          </w:tcPr>
          <w:p w:rsidR="00533348" w:rsidRPr="00C4481A" w:rsidRDefault="00F813BD" w:rsidP="00F813BD">
            <w:pPr>
              <w:jc w:val="left"/>
              <w:rPr>
                <w:rFonts w:ascii="Arial" w:hAnsi="Arial" w:cs="Arial"/>
                <w:sz w:val="24"/>
                <w:szCs w:val="24"/>
              </w:rPr>
            </w:pPr>
            <w:r w:rsidRPr="00C4481A">
              <w:rPr>
                <w:rFonts w:ascii="Arial" w:hAnsi="Arial" w:cs="Arial"/>
                <w:sz w:val="24"/>
                <w:szCs w:val="24"/>
              </w:rPr>
              <w:t>Interim dividend</w:t>
            </w:r>
          </w:p>
        </w:tc>
        <w:tc>
          <w:tcPr>
            <w:tcW w:w="1388" w:type="dxa"/>
          </w:tcPr>
          <w:p w:rsidR="00F813BD" w:rsidRPr="00FA5AC4" w:rsidDel="006212BA" w:rsidRDefault="00927350" w:rsidP="00F813BD">
            <w:pPr>
              <w:jc w:val="right"/>
              <w:rPr>
                <w:rFonts w:ascii="Arial" w:hAnsi="Arial" w:cs="Arial"/>
                <w:sz w:val="24"/>
                <w:szCs w:val="24"/>
              </w:rPr>
            </w:pPr>
            <w:r w:rsidRPr="008152E6">
              <w:rPr>
                <w:rFonts w:ascii="Arial" w:hAnsi="Arial" w:cs="Arial"/>
                <w:sz w:val="24"/>
                <w:szCs w:val="24"/>
              </w:rPr>
              <w:t>3.15</w:t>
            </w:r>
            <w:r w:rsidR="006C7217" w:rsidRPr="008152E6">
              <w:rPr>
                <w:rFonts w:ascii="Arial" w:hAnsi="Arial" w:cs="Arial"/>
                <w:sz w:val="24"/>
                <w:szCs w:val="24"/>
              </w:rPr>
              <w:t>p</w:t>
            </w:r>
          </w:p>
        </w:tc>
        <w:tc>
          <w:tcPr>
            <w:tcW w:w="1275" w:type="dxa"/>
          </w:tcPr>
          <w:p w:rsidR="00F813BD" w:rsidRPr="00FA5AC4" w:rsidDel="006212BA" w:rsidRDefault="00F813BD" w:rsidP="00F813BD">
            <w:pPr>
              <w:jc w:val="right"/>
              <w:rPr>
                <w:rFonts w:ascii="Arial" w:hAnsi="Arial" w:cs="Arial"/>
                <w:sz w:val="24"/>
                <w:szCs w:val="24"/>
              </w:rPr>
            </w:pPr>
            <w:r>
              <w:rPr>
                <w:rFonts w:ascii="Arial" w:hAnsi="Arial" w:cs="Arial"/>
                <w:sz w:val="24"/>
                <w:szCs w:val="24"/>
              </w:rPr>
              <w:t>3.12p</w:t>
            </w:r>
          </w:p>
        </w:tc>
        <w:tc>
          <w:tcPr>
            <w:tcW w:w="1276" w:type="dxa"/>
          </w:tcPr>
          <w:p w:rsidR="00F813BD" w:rsidRPr="00FA5AC4" w:rsidDel="002A482E" w:rsidRDefault="00927350" w:rsidP="00F813BD">
            <w:pPr>
              <w:jc w:val="right"/>
              <w:rPr>
                <w:rFonts w:ascii="Arial" w:hAnsi="Arial" w:cs="Arial"/>
                <w:sz w:val="24"/>
                <w:szCs w:val="24"/>
              </w:rPr>
            </w:pPr>
            <w:r w:rsidRPr="008152E6">
              <w:rPr>
                <w:rFonts w:ascii="Arial" w:hAnsi="Arial" w:cs="Arial"/>
                <w:sz w:val="24"/>
                <w:szCs w:val="24"/>
              </w:rPr>
              <w:t>+1.0%</w:t>
            </w:r>
          </w:p>
        </w:tc>
        <w:tc>
          <w:tcPr>
            <w:tcW w:w="1276" w:type="dxa"/>
          </w:tcPr>
          <w:p w:rsidR="00F813BD" w:rsidRPr="007D220F" w:rsidRDefault="00F813BD" w:rsidP="00F813BD">
            <w:pPr>
              <w:jc w:val="right"/>
              <w:rPr>
                <w:rFonts w:ascii="Arial" w:hAnsi="Arial" w:cs="Arial"/>
                <w:sz w:val="24"/>
                <w:szCs w:val="24"/>
                <w:highlight w:val="yellow"/>
              </w:rPr>
            </w:pPr>
          </w:p>
        </w:tc>
        <w:tc>
          <w:tcPr>
            <w:tcW w:w="1275" w:type="dxa"/>
          </w:tcPr>
          <w:p w:rsidR="00F813BD" w:rsidRPr="007D220F" w:rsidRDefault="00F813BD" w:rsidP="00F813BD">
            <w:pPr>
              <w:jc w:val="right"/>
              <w:rPr>
                <w:rFonts w:ascii="Arial" w:hAnsi="Arial" w:cs="Arial"/>
                <w:sz w:val="24"/>
                <w:szCs w:val="24"/>
                <w:highlight w:val="yellow"/>
              </w:rPr>
            </w:pPr>
          </w:p>
        </w:tc>
      </w:tr>
      <w:tr w:rsidR="00F813BD" w:rsidRPr="00C4481A" w:rsidTr="005C6924">
        <w:tc>
          <w:tcPr>
            <w:tcW w:w="3255" w:type="dxa"/>
            <w:tcBorders>
              <w:bottom w:val="single" w:sz="4" w:space="0" w:color="auto"/>
            </w:tcBorders>
          </w:tcPr>
          <w:p w:rsidR="00F813BD" w:rsidRPr="00C4481A" w:rsidRDefault="00F813BD" w:rsidP="00F813BD">
            <w:pPr>
              <w:ind w:right="-352"/>
              <w:jc w:val="left"/>
              <w:rPr>
                <w:rFonts w:ascii="Arial" w:hAnsi="Arial" w:cs="Arial"/>
                <w:sz w:val="24"/>
                <w:szCs w:val="24"/>
              </w:rPr>
            </w:pPr>
            <w:r>
              <w:rPr>
                <w:rFonts w:ascii="Arial" w:hAnsi="Arial" w:cs="Arial"/>
                <w:sz w:val="24"/>
                <w:szCs w:val="24"/>
              </w:rPr>
              <w:t>N</w:t>
            </w:r>
            <w:r w:rsidRPr="00C4481A">
              <w:rPr>
                <w:rFonts w:ascii="Arial" w:hAnsi="Arial" w:cs="Arial"/>
                <w:sz w:val="24"/>
                <w:szCs w:val="24"/>
              </w:rPr>
              <w:t>et cash</w:t>
            </w:r>
            <w:r w:rsidR="005C6924">
              <w:rPr>
                <w:rFonts w:ascii="Arial" w:hAnsi="Arial" w:cs="Arial"/>
                <w:sz w:val="24"/>
                <w:szCs w:val="24"/>
              </w:rPr>
              <w:t>*</w:t>
            </w:r>
          </w:p>
        </w:tc>
        <w:tc>
          <w:tcPr>
            <w:tcW w:w="1388" w:type="dxa"/>
            <w:tcBorders>
              <w:bottom w:val="single" w:sz="4" w:space="0" w:color="auto"/>
            </w:tcBorders>
          </w:tcPr>
          <w:p w:rsidR="00F813BD" w:rsidRPr="00FA5AC4" w:rsidRDefault="00A8740A" w:rsidP="00F813BD">
            <w:pPr>
              <w:jc w:val="right"/>
              <w:rPr>
                <w:rFonts w:ascii="Arial" w:hAnsi="Arial" w:cs="Arial"/>
                <w:sz w:val="24"/>
                <w:szCs w:val="24"/>
              </w:rPr>
            </w:pPr>
            <w:r>
              <w:rPr>
                <w:rFonts w:ascii="Arial" w:hAnsi="Arial" w:cs="Arial"/>
                <w:sz w:val="24"/>
                <w:szCs w:val="24"/>
              </w:rPr>
              <w:t>£496m</w:t>
            </w:r>
          </w:p>
        </w:tc>
        <w:tc>
          <w:tcPr>
            <w:tcW w:w="1275" w:type="dxa"/>
            <w:tcBorders>
              <w:bottom w:val="single" w:sz="4" w:space="0" w:color="auto"/>
            </w:tcBorders>
          </w:tcPr>
          <w:p w:rsidR="00F813BD" w:rsidRPr="00FA5AC4" w:rsidRDefault="00F813BD" w:rsidP="00F813BD">
            <w:pPr>
              <w:jc w:val="right"/>
              <w:rPr>
                <w:rFonts w:ascii="Arial" w:hAnsi="Arial" w:cs="Arial"/>
                <w:sz w:val="24"/>
                <w:szCs w:val="24"/>
              </w:rPr>
            </w:pPr>
            <w:r w:rsidRPr="00FA5AC4">
              <w:rPr>
                <w:rFonts w:ascii="Arial" w:hAnsi="Arial" w:cs="Arial"/>
                <w:sz w:val="24"/>
                <w:szCs w:val="24"/>
              </w:rPr>
              <w:t>£2</w:t>
            </w:r>
            <w:r>
              <w:rPr>
                <w:rFonts w:ascii="Arial" w:hAnsi="Arial" w:cs="Arial"/>
                <w:sz w:val="24"/>
                <w:szCs w:val="24"/>
              </w:rPr>
              <w:t>59</w:t>
            </w:r>
            <w:r w:rsidRPr="00FA5AC4">
              <w:rPr>
                <w:rFonts w:ascii="Arial" w:hAnsi="Arial" w:cs="Arial"/>
                <w:sz w:val="24"/>
                <w:szCs w:val="24"/>
              </w:rPr>
              <w:t>m</w:t>
            </w:r>
          </w:p>
        </w:tc>
        <w:tc>
          <w:tcPr>
            <w:tcW w:w="1276" w:type="dxa"/>
            <w:tcBorders>
              <w:bottom w:val="single" w:sz="4" w:space="0" w:color="auto"/>
            </w:tcBorders>
          </w:tcPr>
          <w:p w:rsidR="00F813BD" w:rsidRPr="00FA5AC4" w:rsidRDefault="00F813BD" w:rsidP="00F813BD">
            <w:pPr>
              <w:jc w:val="right"/>
              <w:rPr>
                <w:rFonts w:ascii="Arial" w:hAnsi="Arial" w:cs="Arial"/>
                <w:sz w:val="24"/>
                <w:szCs w:val="24"/>
              </w:rPr>
            </w:pPr>
            <w:r>
              <w:rPr>
                <w:rFonts w:ascii="Arial" w:hAnsi="Arial" w:cs="Arial"/>
                <w:sz w:val="24"/>
                <w:szCs w:val="24"/>
              </w:rPr>
              <w:t>n/a</w:t>
            </w:r>
          </w:p>
        </w:tc>
        <w:tc>
          <w:tcPr>
            <w:tcW w:w="1276" w:type="dxa"/>
            <w:tcBorders>
              <w:bottom w:val="single" w:sz="4" w:space="0" w:color="auto"/>
            </w:tcBorders>
          </w:tcPr>
          <w:p w:rsidR="00F813BD" w:rsidRPr="0006717E" w:rsidRDefault="00F813BD" w:rsidP="00F813BD">
            <w:pPr>
              <w:jc w:val="right"/>
              <w:rPr>
                <w:rFonts w:ascii="Arial" w:hAnsi="Arial" w:cs="Arial"/>
                <w:sz w:val="24"/>
                <w:szCs w:val="24"/>
              </w:rPr>
            </w:pPr>
          </w:p>
        </w:tc>
        <w:tc>
          <w:tcPr>
            <w:tcW w:w="1275" w:type="dxa"/>
            <w:tcBorders>
              <w:bottom w:val="single" w:sz="4" w:space="0" w:color="auto"/>
            </w:tcBorders>
          </w:tcPr>
          <w:p w:rsidR="00F813BD" w:rsidRPr="007D220F" w:rsidRDefault="00F813BD" w:rsidP="00F813BD">
            <w:pPr>
              <w:jc w:val="right"/>
              <w:rPr>
                <w:rFonts w:ascii="Arial" w:hAnsi="Arial" w:cs="Arial"/>
                <w:sz w:val="24"/>
                <w:szCs w:val="24"/>
                <w:highlight w:val="yellow"/>
              </w:rPr>
            </w:pPr>
          </w:p>
        </w:tc>
      </w:tr>
    </w:tbl>
    <w:p w:rsidR="00BE07B8" w:rsidRDefault="00F813BD" w:rsidP="00421ED6">
      <w:pPr>
        <w:jc w:val="left"/>
        <w:rPr>
          <w:rFonts w:ascii="Arial" w:hAnsi="Arial" w:cs="Arial"/>
          <w:sz w:val="18"/>
          <w:szCs w:val="18"/>
        </w:rPr>
      </w:pPr>
      <w:r>
        <w:rPr>
          <w:rFonts w:ascii="Arial" w:hAnsi="Arial" w:cs="Arial"/>
          <w:vanish/>
          <w:sz w:val="18"/>
          <w:szCs w:val="18"/>
        </w:rPr>
        <w:cr/>
        <w:t xml:space="preserve">August 2014ed 1ax profit []ies, </w:t>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sidR="00421ED6" w:rsidRPr="00310C83">
        <w:rPr>
          <w:rFonts w:ascii="Arial" w:hAnsi="Arial" w:cs="Arial"/>
          <w:sz w:val="18"/>
          <w:szCs w:val="18"/>
        </w:rPr>
        <w:t>*Throughout this release ‘*’ indicates</w:t>
      </w:r>
      <w:r w:rsidR="004E29A5">
        <w:rPr>
          <w:rFonts w:ascii="Arial" w:hAnsi="Arial" w:cs="Arial"/>
          <w:sz w:val="18"/>
          <w:szCs w:val="18"/>
        </w:rPr>
        <w:t xml:space="preserve"> the</w:t>
      </w:r>
      <w:r w:rsidR="00421ED6" w:rsidRPr="00310C83">
        <w:rPr>
          <w:rFonts w:ascii="Arial" w:hAnsi="Arial" w:cs="Arial"/>
          <w:sz w:val="18"/>
          <w:szCs w:val="18"/>
        </w:rPr>
        <w:t xml:space="preserve"> </w:t>
      </w:r>
      <w:r w:rsidR="00973D65">
        <w:rPr>
          <w:rFonts w:ascii="Arial" w:hAnsi="Arial" w:cs="Arial"/>
          <w:sz w:val="18"/>
          <w:szCs w:val="18"/>
        </w:rPr>
        <w:t xml:space="preserve">first instance of </w:t>
      </w:r>
      <w:r w:rsidR="00421ED6" w:rsidRPr="00310C83">
        <w:rPr>
          <w:rFonts w:ascii="Arial" w:hAnsi="Arial" w:cs="Arial"/>
          <w:sz w:val="18"/>
          <w:szCs w:val="18"/>
        </w:rPr>
        <w:t>term</w:t>
      </w:r>
      <w:r w:rsidR="006E5CD9">
        <w:rPr>
          <w:rFonts w:ascii="Arial" w:hAnsi="Arial" w:cs="Arial"/>
          <w:sz w:val="18"/>
          <w:szCs w:val="18"/>
        </w:rPr>
        <w:t>s</w:t>
      </w:r>
      <w:r w:rsidR="00421ED6" w:rsidRPr="00310C83">
        <w:rPr>
          <w:rFonts w:ascii="Arial" w:hAnsi="Arial" w:cs="Arial"/>
          <w:sz w:val="18"/>
          <w:szCs w:val="18"/>
        </w:rPr>
        <w:t xml:space="preserve"> defined in</w:t>
      </w:r>
      <w:r w:rsidR="006E5CD9">
        <w:rPr>
          <w:rFonts w:ascii="Arial" w:hAnsi="Arial" w:cs="Arial"/>
          <w:sz w:val="18"/>
          <w:szCs w:val="18"/>
        </w:rPr>
        <w:t xml:space="preserve"> </w:t>
      </w:r>
      <w:r w:rsidR="00421ED6" w:rsidRPr="00310C83">
        <w:rPr>
          <w:rFonts w:ascii="Arial" w:hAnsi="Arial" w:cs="Arial"/>
          <w:sz w:val="18"/>
          <w:szCs w:val="18"/>
        </w:rPr>
        <w:t xml:space="preserve">Section 5 </w:t>
      </w:r>
      <w:r w:rsidR="006E5CD9">
        <w:rPr>
          <w:rFonts w:ascii="Arial" w:hAnsi="Arial" w:cs="Arial"/>
          <w:sz w:val="18"/>
          <w:szCs w:val="18"/>
        </w:rPr>
        <w:t xml:space="preserve">‘Glossary’ </w:t>
      </w:r>
      <w:r w:rsidR="00421ED6" w:rsidRPr="00310C83">
        <w:rPr>
          <w:rFonts w:ascii="Arial" w:hAnsi="Arial" w:cs="Arial"/>
          <w:sz w:val="18"/>
          <w:szCs w:val="18"/>
        </w:rPr>
        <w:t>of this</w:t>
      </w:r>
      <w:r w:rsidR="00D91C41" w:rsidRPr="00310C83">
        <w:rPr>
          <w:rFonts w:ascii="Arial" w:hAnsi="Arial" w:cs="Arial"/>
          <w:sz w:val="18"/>
          <w:szCs w:val="18"/>
        </w:rPr>
        <w:t xml:space="preserve"> </w:t>
      </w:r>
      <w:r w:rsidR="006E5CD9">
        <w:rPr>
          <w:rFonts w:ascii="Arial" w:hAnsi="Arial" w:cs="Arial"/>
          <w:sz w:val="18"/>
          <w:szCs w:val="18"/>
        </w:rPr>
        <w:t>announcement</w:t>
      </w:r>
      <w:r w:rsidR="00D91C41" w:rsidRPr="00310C83">
        <w:rPr>
          <w:rFonts w:ascii="Arial" w:hAnsi="Arial" w:cs="Arial"/>
          <w:sz w:val="18"/>
          <w:szCs w:val="18"/>
        </w:rPr>
        <w:t>.</w:t>
      </w:r>
    </w:p>
    <w:p w:rsidR="00490B59" w:rsidRPr="00490B59" w:rsidRDefault="00490B59" w:rsidP="00421ED6">
      <w:pPr>
        <w:jc w:val="left"/>
        <w:rPr>
          <w:rFonts w:ascii="Arial" w:hAnsi="Arial" w:cs="Arial"/>
          <w:sz w:val="18"/>
          <w:szCs w:val="18"/>
        </w:rPr>
      </w:pPr>
      <w:r w:rsidRPr="00B71CE9">
        <w:rPr>
          <w:rFonts w:ascii="Arial" w:hAnsi="Arial" w:cs="Arial"/>
          <w:i/>
          <w:sz w:val="24"/>
          <w:szCs w:val="24"/>
          <w:vertAlign w:val="superscript"/>
        </w:rPr>
        <w:t>(1)</w:t>
      </w:r>
      <w:r w:rsidRPr="003D6BAF">
        <w:rPr>
          <w:rFonts w:ascii="Arial" w:hAnsi="Arial" w:cs="Arial"/>
          <w:i/>
          <w:sz w:val="18"/>
          <w:szCs w:val="18"/>
        </w:rPr>
        <w:t>2013/</w:t>
      </w:r>
      <w:r w:rsidR="00643017">
        <w:rPr>
          <w:rFonts w:ascii="Arial" w:hAnsi="Arial" w:cs="Arial"/>
          <w:i/>
          <w:sz w:val="18"/>
          <w:szCs w:val="18"/>
        </w:rPr>
        <w:t xml:space="preserve">14 comparatives restated </w:t>
      </w:r>
      <w:r w:rsidRPr="003D6BAF">
        <w:rPr>
          <w:rFonts w:ascii="Arial" w:hAnsi="Arial" w:cs="Arial"/>
          <w:i/>
          <w:sz w:val="18"/>
          <w:szCs w:val="18"/>
        </w:rPr>
        <w:t>to reflect disposal of Hornbach</w:t>
      </w:r>
      <w:r w:rsidR="006E5CD9">
        <w:rPr>
          <w:rFonts w:ascii="Arial" w:hAnsi="Arial" w:cs="Arial"/>
          <w:i/>
          <w:sz w:val="18"/>
          <w:szCs w:val="18"/>
        </w:rPr>
        <w:t xml:space="preserve"> (see note 2 in part 2 to this announcement)</w:t>
      </w:r>
    </w:p>
    <w:p w:rsidR="00181E03" w:rsidRPr="007C228C" w:rsidRDefault="00181E03" w:rsidP="0026633C">
      <w:pPr>
        <w:jc w:val="left"/>
        <w:rPr>
          <w:rFonts w:ascii="Arial" w:hAnsi="Arial" w:cs="Arial"/>
          <w:sz w:val="24"/>
          <w:szCs w:val="24"/>
        </w:rPr>
      </w:pPr>
    </w:p>
    <w:p w:rsidR="00B7625A" w:rsidRPr="007C228C" w:rsidRDefault="00DA0019" w:rsidP="000537E2">
      <w:pPr>
        <w:jc w:val="left"/>
        <w:rPr>
          <w:rFonts w:ascii="Arial" w:hAnsi="Arial" w:cs="Arial"/>
          <w:b/>
          <w:bCs/>
          <w:sz w:val="24"/>
          <w:szCs w:val="24"/>
          <w:u w:val="single"/>
        </w:rPr>
      </w:pPr>
      <w:r>
        <w:rPr>
          <w:rFonts w:ascii="Arial" w:hAnsi="Arial" w:cs="Arial"/>
          <w:b/>
          <w:bCs/>
          <w:sz w:val="24"/>
          <w:szCs w:val="24"/>
          <w:u w:val="single"/>
        </w:rPr>
        <w:t>First half h</w:t>
      </w:r>
      <w:r w:rsidR="007C228C">
        <w:rPr>
          <w:rFonts w:ascii="Arial" w:hAnsi="Arial" w:cs="Arial"/>
          <w:b/>
          <w:bCs/>
          <w:sz w:val="24"/>
          <w:szCs w:val="24"/>
          <w:u w:val="single"/>
        </w:rPr>
        <w:t>ighlights</w:t>
      </w:r>
      <w:r w:rsidR="00A8740A">
        <w:rPr>
          <w:rFonts w:ascii="Arial" w:hAnsi="Arial" w:cs="Arial"/>
          <w:b/>
          <w:bCs/>
          <w:sz w:val="24"/>
          <w:szCs w:val="24"/>
          <w:u w:val="single"/>
        </w:rPr>
        <w:t xml:space="preserve"> in constant currencies:</w:t>
      </w:r>
      <w:r w:rsidR="00500AA8">
        <w:rPr>
          <w:rFonts w:ascii="Arial" w:hAnsi="Arial" w:cs="Arial"/>
          <w:b/>
          <w:bCs/>
          <w:sz w:val="24"/>
          <w:szCs w:val="24"/>
          <w:u w:val="single"/>
        </w:rPr>
        <w:t xml:space="preserve"> </w:t>
      </w:r>
    </w:p>
    <w:p w:rsidR="00533348" w:rsidRDefault="00533348">
      <w:pPr>
        <w:numPr>
          <w:ilvl w:val="0"/>
          <w:numId w:val="1"/>
        </w:numPr>
        <w:jc w:val="left"/>
        <w:rPr>
          <w:rFonts w:ascii="Arial" w:hAnsi="Arial" w:cs="Arial"/>
          <w:sz w:val="24"/>
          <w:szCs w:val="24"/>
        </w:rPr>
      </w:pPr>
      <w:bookmarkStart w:id="0" w:name="OLE_LINK17"/>
      <w:bookmarkStart w:id="1" w:name="OLE_LINK18"/>
      <w:r>
        <w:rPr>
          <w:rFonts w:ascii="Arial" w:hAnsi="Arial" w:cs="Arial"/>
          <w:sz w:val="24"/>
          <w:szCs w:val="24"/>
        </w:rPr>
        <w:t>R</w:t>
      </w:r>
      <w:r w:rsidRPr="00306005">
        <w:rPr>
          <w:rFonts w:ascii="Arial" w:hAnsi="Arial" w:cs="Arial"/>
          <w:sz w:val="24"/>
          <w:szCs w:val="24"/>
        </w:rPr>
        <w:t xml:space="preserve">eported </w:t>
      </w:r>
      <w:r w:rsidR="00EB09E6">
        <w:rPr>
          <w:rFonts w:ascii="Arial" w:hAnsi="Arial" w:cs="Arial"/>
          <w:sz w:val="24"/>
          <w:szCs w:val="24"/>
        </w:rPr>
        <w:t xml:space="preserve">Group </w:t>
      </w:r>
      <w:r>
        <w:rPr>
          <w:rFonts w:ascii="Arial" w:hAnsi="Arial" w:cs="Arial"/>
          <w:sz w:val="24"/>
          <w:szCs w:val="24"/>
        </w:rPr>
        <w:t xml:space="preserve">retail </w:t>
      </w:r>
      <w:r w:rsidRPr="00306005">
        <w:rPr>
          <w:rFonts w:ascii="Arial" w:hAnsi="Arial" w:cs="Arial"/>
          <w:sz w:val="24"/>
          <w:szCs w:val="24"/>
        </w:rPr>
        <w:t xml:space="preserve">profit </w:t>
      </w:r>
      <w:r>
        <w:rPr>
          <w:rFonts w:ascii="Arial" w:hAnsi="Arial" w:cs="Arial"/>
          <w:sz w:val="24"/>
          <w:szCs w:val="24"/>
        </w:rPr>
        <w:t xml:space="preserve">of £390m </w:t>
      </w:r>
      <w:r w:rsidRPr="00306005">
        <w:rPr>
          <w:rFonts w:ascii="Arial" w:hAnsi="Arial" w:cs="Arial"/>
          <w:sz w:val="24"/>
          <w:szCs w:val="24"/>
        </w:rPr>
        <w:t>impacted by £12</w:t>
      </w:r>
      <w:r w:rsidR="00933687">
        <w:rPr>
          <w:rFonts w:ascii="Arial" w:hAnsi="Arial" w:cs="Arial"/>
          <w:sz w:val="24"/>
          <w:szCs w:val="24"/>
        </w:rPr>
        <w:t>m</w:t>
      </w:r>
      <w:r w:rsidRPr="00306005">
        <w:rPr>
          <w:rFonts w:ascii="Arial" w:hAnsi="Arial" w:cs="Arial"/>
          <w:sz w:val="24"/>
          <w:szCs w:val="24"/>
        </w:rPr>
        <w:t xml:space="preserve"> adverse foreign exchange movements when translating overseas profits into sterling</w:t>
      </w:r>
      <w:r>
        <w:rPr>
          <w:rFonts w:ascii="Arial" w:hAnsi="Arial" w:cs="Arial"/>
          <w:sz w:val="24"/>
          <w:szCs w:val="24"/>
        </w:rPr>
        <w:t xml:space="preserve"> </w:t>
      </w:r>
    </w:p>
    <w:p w:rsidR="00307617" w:rsidRPr="00533348" w:rsidRDefault="005B26A9">
      <w:pPr>
        <w:numPr>
          <w:ilvl w:val="0"/>
          <w:numId w:val="1"/>
        </w:numPr>
        <w:jc w:val="left"/>
        <w:rPr>
          <w:rFonts w:ascii="Arial" w:hAnsi="Arial" w:cs="Arial"/>
          <w:sz w:val="24"/>
          <w:szCs w:val="24"/>
        </w:rPr>
      </w:pPr>
      <w:r>
        <w:rPr>
          <w:rFonts w:ascii="Arial" w:hAnsi="Arial" w:cs="Arial"/>
          <w:sz w:val="24"/>
          <w:szCs w:val="24"/>
        </w:rPr>
        <w:t xml:space="preserve">Group retail profit </w:t>
      </w:r>
      <w:r w:rsidR="00D919C8">
        <w:rPr>
          <w:rFonts w:ascii="Arial" w:hAnsi="Arial" w:cs="Arial"/>
          <w:sz w:val="24"/>
          <w:szCs w:val="24"/>
        </w:rPr>
        <w:t xml:space="preserve">ahead 3.3% </w:t>
      </w:r>
      <w:r w:rsidR="00533348">
        <w:rPr>
          <w:rFonts w:ascii="Arial" w:hAnsi="Arial" w:cs="Arial"/>
          <w:sz w:val="24"/>
          <w:szCs w:val="24"/>
        </w:rPr>
        <w:t xml:space="preserve">in constant currencies, </w:t>
      </w:r>
      <w:r w:rsidR="00D919C8">
        <w:rPr>
          <w:rFonts w:ascii="Arial" w:hAnsi="Arial" w:cs="Arial"/>
          <w:sz w:val="24"/>
          <w:szCs w:val="24"/>
        </w:rPr>
        <w:t xml:space="preserve">after </w:t>
      </w:r>
      <w:r w:rsidR="000F322B" w:rsidRPr="005B26A9">
        <w:rPr>
          <w:rFonts w:ascii="Arial" w:hAnsi="Arial" w:cs="Arial"/>
          <w:sz w:val="24"/>
          <w:szCs w:val="24"/>
        </w:rPr>
        <w:t xml:space="preserve">development costs </w:t>
      </w:r>
      <w:r w:rsidR="00533348">
        <w:rPr>
          <w:rFonts w:ascii="Arial" w:hAnsi="Arial" w:cs="Arial"/>
          <w:sz w:val="24"/>
          <w:szCs w:val="24"/>
        </w:rPr>
        <w:t>of £11m</w:t>
      </w:r>
      <w:r w:rsidR="00933687">
        <w:rPr>
          <w:rFonts w:ascii="Arial" w:hAnsi="Arial" w:cs="Arial"/>
          <w:sz w:val="24"/>
          <w:szCs w:val="24"/>
        </w:rPr>
        <w:t xml:space="preserve"> </w:t>
      </w:r>
      <w:r>
        <w:rPr>
          <w:rFonts w:ascii="Arial" w:hAnsi="Arial" w:cs="Arial"/>
          <w:sz w:val="24"/>
          <w:szCs w:val="24"/>
        </w:rPr>
        <w:t xml:space="preserve">in </w:t>
      </w:r>
      <w:r w:rsidR="00ED3BA3">
        <w:rPr>
          <w:rFonts w:ascii="Arial" w:hAnsi="Arial" w:cs="Arial"/>
          <w:sz w:val="24"/>
          <w:szCs w:val="24"/>
        </w:rPr>
        <w:t xml:space="preserve">our new markets - </w:t>
      </w:r>
      <w:r w:rsidRPr="005B26A9">
        <w:rPr>
          <w:rFonts w:ascii="Arial" w:hAnsi="Arial" w:cs="Arial"/>
          <w:sz w:val="24"/>
          <w:szCs w:val="24"/>
        </w:rPr>
        <w:t>Portugal, Germany</w:t>
      </w:r>
      <w:r w:rsidR="00536EC3" w:rsidRPr="005B26A9">
        <w:rPr>
          <w:rFonts w:ascii="Arial" w:hAnsi="Arial" w:cs="Arial"/>
          <w:sz w:val="24"/>
          <w:szCs w:val="24"/>
        </w:rPr>
        <w:t xml:space="preserve"> &amp; Romania</w:t>
      </w:r>
      <w:r w:rsidR="00D919C8">
        <w:rPr>
          <w:rFonts w:ascii="Arial" w:hAnsi="Arial" w:cs="Arial"/>
          <w:sz w:val="24"/>
          <w:szCs w:val="24"/>
        </w:rPr>
        <w:t xml:space="preserve">. </w:t>
      </w:r>
      <w:r w:rsidRPr="0075574F">
        <w:rPr>
          <w:rFonts w:ascii="Arial" w:hAnsi="Arial" w:cs="Arial"/>
          <w:sz w:val="24"/>
          <w:szCs w:val="24"/>
        </w:rPr>
        <w:t xml:space="preserve">Underlying retail profit, excluding </w:t>
      </w:r>
      <w:r>
        <w:rPr>
          <w:rFonts w:ascii="Arial" w:hAnsi="Arial" w:cs="Arial"/>
          <w:sz w:val="24"/>
          <w:szCs w:val="24"/>
        </w:rPr>
        <w:t>these development costs,</w:t>
      </w:r>
      <w:r w:rsidR="00D919C8">
        <w:rPr>
          <w:rFonts w:ascii="Arial" w:hAnsi="Arial" w:cs="Arial"/>
          <w:sz w:val="24"/>
          <w:szCs w:val="24"/>
        </w:rPr>
        <w:t xml:space="preserve"> was</w:t>
      </w:r>
      <w:r>
        <w:rPr>
          <w:rFonts w:ascii="Arial" w:hAnsi="Arial" w:cs="Arial"/>
          <w:sz w:val="24"/>
          <w:szCs w:val="24"/>
        </w:rPr>
        <w:t xml:space="preserve"> </w:t>
      </w:r>
      <w:r w:rsidR="000F322B" w:rsidRPr="005B26A9">
        <w:rPr>
          <w:rFonts w:ascii="Arial" w:hAnsi="Arial" w:cs="Arial"/>
          <w:sz w:val="24"/>
          <w:szCs w:val="24"/>
        </w:rPr>
        <w:t xml:space="preserve">up </w:t>
      </w:r>
      <w:r w:rsidR="000D6E86">
        <w:rPr>
          <w:rFonts w:ascii="Arial" w:hAnsi="Arial" w:cs="Arial"/>
          <w:sz w:val="24"/>
          <w:szCs w:val="24"/>
        </w:rPr>
        <w:t>6.0</w:t>
      </w:r>
      <w:r w:rsidR="000F322B" w:rsidRPr="005B26A9">
        <w:rPr>
          <w:rFonts w:ascii="Arial" w:hAnsi="Arial" w:cs="Arial"/>
          <w:sz w:val="24"/>
          <w:szCs w:val="24"/>
        </w:rPr>
        <w:t>%</w:t>
      </w:r>
      <w:r w:rsidR="00533348">
        <w:rPr>
          <w:rFonts w:ascii="Arial" w:hAnsi="Arial" w:cs="Arial"/>
          <w:sz w:val="24"/>
          <w:szCs w:val="24"/>
        </w:rPr>
        <w:t xml:space="preserve"> </w:t>
      </w:r>
    </w:p>
    <w:p w:rsidR="00ED3BA3" w:rsidRPr="00C0194C" w:rsidRDefault="00533348" w:rsidP="003464E8">
      <w:pPr>
        <w:pStyle w:val="ListParagraph"/>
        <w:numPr>
          <w:ilvl w:val="0"/>
          <w:numId w:val="1"/>
        </w:numPr>
        <w:jc w:val="left"/>
        <w:rPr>
          <w:rFonts w:ascii="Arial" w:hAnsi="Arial" w:cs="Arial"/>
          <w:sz w:val="24"/>
          <w:szCs w:val="24"/>
        </w:rPr>
      </w:pPr>
      <w:r w:rsidRPr="00DA0019">
        <w:rPr>
          <w:rFonts w:ascii="Arial" w:hAnsi="Arial" w:cs="Arial"/>
          <w:sz w:val="24"/>
          <w:szCs w:val="24"/>
        </w:rPr>
        <w:t xml:space="preserve">Total sales in France grew 0.4% and profit was </w:t>
      </w:r>
      <w:r w:rsidR="003F0A73">
        <w:rPr>
          <w:rFonts w:ascii="Arial" w:hAnsi="Arial" w:cs="Arial"/>
          <w:sz w:val="24"/>
          <w:szCs w:val="24"/>
        </w:rPr>
        <w:t xml:space="preserve">flat. </w:t>
      </w:r>
      <w:r w:rsidRPr="00DA0019">
        <w:rPr>
          <w:rFonts w:ascii="Arial" w:hAnsi="Arial" w:cs="Arial"/>
          <w:sz w:val="24"/>
          <w:szCs w:val="24"/>
        </w:rPr>
        <w:t>T</w:t>
      </w:r>
      <w:r w:rsidR="00ED3BA3" w:rsidRPr="00DA0019">
        <w:rPr>
          <w:rFonts w:ascii="Arial" w:hAnsi="Arial" w:cs="Arial"/>
          <w:sz w:val="24"/>
          <w:szCs w:val="24"/>
        </w:rPr>
        <w:t xml:space="preserve">he ongoing slow economy and declining housing market impacted our performance, particularly </w:t>
      </w:r>
      <w:r w:rsidR="00B23F1E" w:rsidRPr="00DA0019">
        <w:rPr>
          <w:rFonts w:ascii="Arial" w:hAnsi="Arial" w:cs="Arial"/>
          <w:sz w:val="24"/>
          <w:szCs w:val="24"/>
        </w:rPr>
        <w:t>for our</w:t>
      </w:r>
      <w:r w:rsidR="00ED3BA3" w:rsidRPr="00DA0019">
        <w:rPr>
          <w:rFonts w:ascii="Arial" w:hAnsi="Arial" w:cs="Arial"/>
          <w:sz w:val="24"/>
          <w:szCs w:val="24"/>
        </w:rPr>
        <w:t xml:space="preserve"> more construction orientated Brico D</w:t>
      </w:r>
      <w:r w:rsidR="00B23F1E" w:rsidRPr="00DA0019">
        <w:rPr>
          <w:rFonts w:ascii="Arial" w:hAnsi="Arial" w:cs="Arial"/>
          <w:sz w:val="24"/>
          <w:szCs w:val="24"/>
        </w:rPr>
        <w:t>é</w:t>
      </w:r>
      <w:r w:rsidR="00ED3BA3" w:rsidRPr="00DA0019">
        <w:rPr>
          <w:rFonts w:ascii="Arial" w:hAnsi="Arial" w:cs="Arial"/>
          <w:sz w:val="24"/>
          <w:szCs w:val="24"/>
        </w:rPr>
        <w:t>p</w:t>
      </w:r>
      <w:r w:rsidR="00614E39" w:rsidRPr="00DA0019">
        <w:rPr>
          <w:rFonts w:ascii="Arial" w:hAnsi="Arial" w:cs="Arial"/>
          <w:bCs/>
          <w:sz w:val="24"/>
          <w:szCs w:val="24"/>
        </w:rPr>
        <w:t>ô</w:t>
      </w:r>
      <w:r w:rsidR="00ED3BA3" w:rsidRPr="00DA0019">
        <w:rPr>
          <w:rFonts w:ascii="Arial" w:hAnsi="Arial" w:cs="Arial"/>
          <w:sz w:val="24"/>
          <w:szCs w:val="24"/>
        </w:rPr>
        <w:t>t business</w:t>
      </w:r>
    </w:p>
    <w:p w:rsidR="002272F0" w:rsidRDefault="00533348" w:rsidP="00614E39">
      <w:pPr>
        <w:pStyle w:val="ListParagraph"/>
        <w:numPr>
          <w:ilvl w:val="0"/>
          <w:numId w:val="1"/>
        </w:numPr>
        <w:jc w:val="left"/>
        <w:rPr>
          <w:rFonts w:ascii="Arial" w:hAnsi="Arial" w:cs="Arial"/>
          <w:sz w:val="24"/>
          <w:szCs w:val="24"/>
        </w:rPr>
      </w:pPr>
      <w:r w:rsidRPr="002272F0">
        <w:rPr>
          <w:rFonts w:ascii="Arial" w:hAnsi="Arial" w:cs="Arial"/>
          <w:sz w:val="24"/>
          <w:szCs w:val="24"/>
        </w:rPr>
        <w:t xml:space="preserve">UK </w:t>
      </w:r>
      <w:r w:rsidR="003F0A73">
        <w:rPr>
          <w:rFonts w:ascii="Arial" w:hAnsi="Arial" w:cs="Arial"/>
          <w:sz w:val="24"/>
          <w:szCs w:val="24"/>
        </w:rPr>
        <w:t xml:space="preserve">&amp; Ireland </w:t>
      </w:r>
      <w:r w:rsidRPr="002272F0">
        <w:rPr>
          <w:rFonts w:ascii="Arial" w:hAnsi="Arial" w:cs="Arial"/>
          <w:sz w:val="24"/>
          <w:szCs w:val="24"/>
        </w:rPr>
        <w:t xml:space="preserve">sales </w:t>
      </w:r>
      <w:r w:rsidR="000A55A8">
        <w:rPr>
          <w:rFonts w:ascii="Arial" w:hAnsi="Arial" w:cs="Arial"/>
          <w:sz w:val="24"/>
          <w:szCs w:val="24"/>
        </w:rPr>
        <w:t xml:space="preserve">were </w:t>
      </w:r>
      <w:r w:rsidRPr="002272F0">
        <w:rPr>
          <w:rFonts w:ascii="Arial" w:hAnsi="Arial" w:cs="Arial"/>
          <w:sz w:val="24"/>
          <w:szCs w:val="24"/>
        </w:rPr>
        <w:t>up 6.</w:t>
      </w:r>
      <w:r w:rsidR="00E5187E">
        <w:rPr>
          <w:rFonts w:ascii="Arial" w:hAnsi="Arial" w:cs="Arial"/>
          <w:sz w:val="24"/>
          <w:szCs w:val="24"/>
        </w:rPr>
        <w:t>6</w:t>
      </w:r>
      <w:r w:rsidRPr="002272F0">
        <w:rPr>
          <w:rFonts w:ascii="Arial" w:hAnsi="Arial" w:cs="Arial"/>
          <w:sz w:val="24"/>
          <w:szCs w:val="24"/>
        </w:rPr>
        <w:t>% (+4.4</w:t>
      </w:r>
      <w:r w:rsidR="00E5187E">
        <w:rPr>
          <w:rFonts w:ascii="Arial" w:hAnsi="Arial" w:cs="Arial"/>
          <w:sz w:val="24"/>
          <w:szCs w:val="24"/>
        </w:rPr>
        <w:t>%</w:t>
      </w:r>
      <w:r w:rsidRPr="002272F0">
        <w:rPr>
          <w:rFonts w:ascii="Arial" w:hAnsi="Arial" w:cs="Arial"/>
          <w:sz w:val="24"/>
          <w:szCs w:val="24"/>
        </w:rPr>
        <w:t xml:space="preserve"> LFL) and retail profit was up 17.7%</w:t>
      </w:r>
      <w:r w:rsidR="000A55A8">
        <w:rPr>
          <w:rFonts w:ascii="Arial" w:hAnsi="Arial" w:cs="Arial"/>
          <w:sz w:val="24"/>
          <w:szCs w:val="24"/>
        </w:rPr>
        <w:t xml:space="preserve">, benefiting </w:t>
      </w:r>
      <w:r w:rsidR="005B26A9" w:rsidRPr="002272F0">
        <w:rPr>
          <w:rFonts w:ascii="Arial" w:hAnsi="Arial" w:cs="Arial"/>
          <w:sz w:val="24"/>
          <w:szCs w:val="24"/>
        </w:rPr>
        <w:t>from initiatives to re-energise B&amp;Q and better demand for trade products</w:t>
      </w:r>
      <w:r w:rsidR="00F0179F">
        <w:rPr>
          <w:rFonts w:ascii="Arial" w:hAnsi="Arial" w:cs="Arial"/>
          <w:sz w:val="24"/>
          <w:szCs w:val="24"/>
        </w:rPr>
        <w:t xml:space="preserve"> as housing construction and activity improved</w:t>
      </w:r>
      <w:r w:rsidR="006E5CD9">
        <w:rPr>
          <w:rFonts w:ascii="Arial" w:hAnsi="Arial" w:cs="Arial"/>
          <w:sz w:val="24"/>
          <w:szCs w:val="24"/>
        </w:rPr>
        <w:t>. The B&amp;Q strategy update is on pages 8</w:t>
      </w:r>
      <w:r w:rsidR="000A55A8">
        <w:rPr>
          <w:rFonts w:ascii="Arial" w:hAnsi="Arial" w:cs="Arial"/>
          <w:sz w:val="24"/>
          <w:szCs w:val="24"/>
        </w:rPr>
        <w:t>-</w:t>
      </w:r>
      <w:r w:rsidR="006E5CD9">
        <w:rPr>
          <w:rFonts w:ascii="Arial" w:hAnsi="Arial" w:cs="Arial"/>
          <w:sz w:val="24"/>
          <w:szCs w:val="24"/>
        </w:rPr>
        <w:t>9</w:t>
      </w:r>
    </w:p>
    <w:p w:rsidR="002272F0" w:rsidRDefault="00D919C8" w:rsidP="00614E39">
      <w:pPr>
        <w:pStyle w:val="ListParagraph"/>
        <w:numPr>
          <w:ilvl w:val="0"/>
          <w:numId w:val="1"/>
        </w:numPr>
        <w:jc w:val="left"/>
        <w:rPr>
          <w:rFonts w:ascii="Arial" w:hAnsi="Arial" w:cs="Arial"/>
          <w:sz w:val="24"/>
          <w:szCs w:val="24"/>
        </w:rPr>
      </w:pPr>
      <w:r w:rsidRPr="00614E39">
        <w:rPr>
          <w:rFonts w:ascii="Arial" w:hAnsi="Arial" w:cs="Arial"/>
          <w:sz w:val="24"/>
          <w:szCs w:val="24"/>
        </w:rPr>
        <w:t xml:space="preserve">In </w:t>
      </w:r>
      <w:r w:rsidR="00B23F1E">
        <w:rPr>
          <w:rFonts w:ascii="Arial" w:hAnsi="Arial" w:cs="Arial"/>
          <w:sz w:val="24"/>
          <w:szCs w:val="24"/>
        </w:rPr>
        <w:t>O</w:t>
      </w:r>
      <w:r w:rsidR="00ED3BA3" w:rsidRPr="00614E39">
        <w:rPr>
          <w:rFonts w:ascii="Arial" w:hAnsi="Arial" w:cs="Arial"/>
          <w:sz w:val="24"/>
          <w:szCs w:val="24"/>
        </w:rPr>
        <w:t xml:space="preserve">ther </w:t>
      </w:r>
      <w:r w:rsidR="00B23F1E">
        <w:rPr>
          <w:rFonts w:ascii="Arial" w:hAnsi="Arial" w:cs="Arial"/>
          <w:sz w:val="24"/>
          <w:szCs w:val="24"/>
        </w:rPr>
        <w:t>I</w:t>
      </w:r>
      <w:r w:rsidR="00ED3BA3" w:rsidRPr="00614E39">
        <w:rPr>
          <w:rFonts w:ascii="Arial" w:hAnsi="Arial" w:cs="Arial"/>
          <w:sz w:val="24"/>
          <w:szCs w:val="24"/>
        </w:rPr>
        <w:t>nternational markets sal</w:t>
      </w:r>
      <w:r w:rsidRPr="00614E39">
        <w:rPr>
          <w:rFonts w:ascii="Arial" w:hAnsi="Arial" w:cs="Arial"/>
          <w:sz w:val="24"/>
          <w:szCs w:val="24"/>
        </w:rPr>
        <w:t xml:space="preserve">es </w:t>
      </w:r>
      <w:r w:rsidR="00ED3BA3" w:rsidRPr="00614E39">
        <w:rPr>
          <w:rFonts w:ascii="Arial" w:hAnsi="Arial" w:cs="Arial"/>
          <w:sz w:val="24"/>
          <w:szCs w:val="24"/>
        </w:rPr>
        <w:t xml:space="preserve">grew </w:t>
      </w:r>
      <w:r w:rsidR="00B23F1E">
        <w:rPr>
          <w:rFonts w:ascii="Arial" w:hAnsi="Arial" w:cs="Arial"/>
          <w:sz w:val="24"/>
          <w:szCs w:val="24"/>
        </w:rPr>
        <w:t>8.8</w:t>
      </w:r>
      <w:r w:rsidR="00ED3BA3" w:rsidRPr="00614E39">
        <w:rPr>
          <w:rFonts w:ascii="Arial" w:hAnsi="Arial" w:cs="Arial"/>
          <w:sz w:val="24"/>
          <w:szCs w:val="24"/>
        </w:rPr>
        <w:t>% but profit growth in Poland, Turkey and Spain was offset by new country development costs and higher losses in China</w:t>
      </w:r>
    </w:p>
    <w:p w:rsidR="002272F0" w:rsidRPr="002272F0" w:rsidRDefault="002272F0" w:rsidP="00614E39">
      <w:pPr>
        <w:pStyle w:val="ListParagraph"/>
        <w:numPr>
          <w:ilvl w:val="0"/>
          <w:numId w:val="1"/>
        </w:numPr>
        <w:jc w:val="left"/>
        <w:rPr>
          <w:rFonts w:ascii="Arial" w:hAnsi="Arial" w:cs="Arial"/>
          <w:sz w:val="24"/>
          <w:szCs w:val="24"/>
        </w:rPr>
      </w:pPr>
      <w:r>
        <w:rPr>
          <w:rFonts w:ascii="Arial" w:hAnsi="Arial" w:cs="Arial"/>
          <w:sz w:val="24"/>
          <w:szCs w:val="24"/>
        </w:rPr>
        <w:t xml:space="preserve">Progress continued with our ‘Creating the Leader’ programme including entering a binding agreement to acquire </w:t>
      </w:r>
      <w:r w:rsidR="0096275F">
        <w:rPr>
          <w:rFonts w:ascii="Arial" w:hAnsi="Arial" w:cs="Arial"/>
          <w:sz w:val="24"/>
          <w:szCs w:val="24"/>
        </w:rPr>
        <w:t xml:space="preserve">the shares of the principal shareholders of </w:t>
      </w:r>
      <w:r>
        <w:rPr>
          <w:rFonts w:ascii="Arial" w:hAnsi="Arial" w:cs="Arial"/>
          <w:sz w:val="24"/>
          <w:szCs w:val="24"/>
        </w:rPr>
        <w:t>Mr Bricolage, the French home improvement retailer</w:t>
      </w:r>
      <w:r w:rsidR="000D78BC">
        <w:rPr>
          <w:rFonts w:ascii="Arial" w:hAnsi="Arial" w:cs="Arial"/>
          <w:sz w:val="24"/>
          <w:szCs w:val="24"/>
        </w:rPr>
        <w:t>,</w:t>
      </w:r>
      <w:r>
        <w:rPr>
          <w:rFonts w:ascii="Arial" w:hAnsi="Arial" w:cs="Arial"/>
          <w:sz w:val="24"/>
          <w:szCs w:val="24"/>
        </w:rPr>
        <w:t xml:space="preserve"> and opening </w:t>
      </w:r>
      <w:r w:rsidR="003F0A73">
        <w:rPr>
          <w:rFonts w:ascii="Arial" w:hAnsi="Arial" w:cs="Arial"/>
          <w:sz w:val="24"/>
          <w:szCs w:val="24"/>
        </w:rPr>
        <w:t xml:space="preserve">today </w:t>
      </w:r>
      <w:r>
        <w:rPr>
          <w:rFonts w:ascii="Arial" w:hAnsi="Arial" w:cs="Arial"/>
          <w:sz w:val="24"/>
          <w:szCs w:val="24"/>
        </w:rPr>
        <w:t xml:space="preserve">our first </w:t>
      </w:r>
      <w:r w:rsidR="00F21C86">
        <w:rPr>
          <w:rFonts w:ascii="Arial" w:hAnsi="Arial" w:cs="Arial"/>
          <w:sz w:val="24"/>
          <w:szCs w:val="24"/>
        </w:rPr>
        <w:t>4</w:t>
      </w:r>
      <w:r>
        <w:rPr>
          <w:rFonts w:ascii="Arial" w:hAnsi="Arial" w:cs="Arial"/>
          <w:sz w:val="24"/>
          <w:szCs w:val="24"/>
        </w:rPr>
        <w:t xml:space="preserve"> Screwfix outlets in Germany with </w:t>
      </w:r>
      <w:r w:rsidR="006E5CD9">
        <w:rPr>
          <w:rFonts w:ascii="Arial" w:hAnsi="Arial" w:cs="Arial"/>
          <w:sz w:val="24"/>
          <w:szCs w:val="24"/>
        </w:rPr>
        <w:t>next day</w:t>
      </w:r>
      <w:r>
        <w:rPr>
          <w:rFonts w:ascii="Arial" w:hAnsi="Arial" w:cs="Arial"/>
          <w:sz w:val="24"/>
          <w:szCs w:val="24"/>
        </w:rPr>
        <w:t xml:space="preserve"> national delivery</w:t>
      </w:r>
    </w:p>
    <w:p w:rsidR="00DA0019" w:rsidRDefault="000D78BC" w:rsidP="00DA0019">
      <w:pPr>
        <w:pStyle w:val="ListParagraph"/>
        <w:numPr>
          <w:ilvl w:val="0"/>
          <w:numId w:val="1"/>
        </w:numPr>
        <w:jc w:val="left"/>
        <w:rPr>
          <w:rFonts w:ascii="Arial" w:hAnsi="Arial" w:cs="Arial"/>
          <w:sz w:val="24"/>
          <w:szCs w:val="24"/>
        </w:rPr>
      </w:pPr>
      <w:r>
        <w:rPr>
          <w:rFonts w:ascii="Arial" w:hAnsi="Arial" w:cs="Arial"/>
          <w:sz w:val="24"/>
          <w:szCs w:val="24"/>
        </w:rPr>
        <w:t>The p</w:t>
      </w:r>
      <w:r w:rsidR="003A4BAB">
        <w:rPr>
          <w:rFonts w:ascii="Arial" w:hAnsi="Arial" w:cs="Arial"/>
          <w:sz w:val="24"/>
          <w:szCs w:val="24"/>
        </w:rPr>
        <w:t>reviously announced multi-year capital returns programme to shareholders</w:t>
      </w:r>
      <w:r w:rsidR="002272F0">
        <w:rPr>
          <w:rFonts w:ascii="Arial" w:hAnsi="Arial" w:cs="Arial"/>
          <w:sz w:val="24"/>
          <w:szCs w:val="24"/>
        </w:rPr>
        <w:t>,</w:t>
      </w:r>
      <w:r w:rsidR="00F0179F">
        <w:rPr>
          <w:rFonts w:ascii="Arial" w:hAnsi="Arial" w:cs="Arial"/>
          <w:sz w:val="24"/>
          <w:szCs w:val="24"/>
        </w:rPr>
        <w:t xml:space="preserve"> </w:t>
      </w:r>
      <w:r w:rsidR="002272F0">
        <w:rPr>
          <w:rFonts w:ascii="Arial" w:hAnsi="Arial" w:cs="Arial"/>
          <w:sz w:val="24"/>
          <w:szCs w:val="24"/>
        </w:rPr>
        <w:t xml:space="preserve">starting with </w:t>
      </w:r>
      <w:r w:rsidR="003A4BAB">
        <w:rPr>
          <w:rFonts w:ascii="Arial" w:hAnsi="Arial" w:cs="Arial"/>
          <w:sz w:val="24"/>
          <w:szCs w:val="24"/>
        </w:rPr>
        <w:t>£200</w:t>
      </w:r>
      <w:r w:rsidR="00933687">
        <w:rPr>
          <w:rFonts w:ascii="Arial" w:hAnsi="Arial" w:cs="Arial"/>
          <w:sz w:val="24"/>
          <w:szCs w:val="24"/>
        </w:rPr>
        <w:t>m</w:t>
      </w:r>
      <w:r w:rsidR="003A4BAB">
        <w:rPr>
          <w:rFonts w:ascii="Arial" w:hAnsi="Arial" w:cs="Arial"/>
          <w:sz w:val="24"/>
          <w:szCs w:val="24"/>
        </w:rPr>
        <w:t xml:space="preserve"> in FY 2014/15 </w:t>
      </w:r>
      <w:r>
        <w:rPr>
          <w:rFonts w:ascii="Arial" w:hAnsi="Arial" w:cs="Arial"/>
          <w:sz w:val="24"/>
          <w:szCs w:val="24"/>
        </w:rPr>
        <w:t xml:space="preserve">commenced in H1. </w:t>
      </w:r>
      <w:r w:rsidR="00533348" w:rsidRPr="00614E39">
        <w:rPr>
          <w:rFonts w:ascii="Arial" w:hAnsi="Arial" w:cs="Arial"/>
          <w:sz w:val="24"/>
          <w:szCs w:val="24"/>
        </w:rPr>
        <w:t>£</w:t>
      </w:r>
      <w:r w:rsidR="00533348">
        <w:rPr>
          <w:rFonts w:ascii="Arial" w:hAnsi="Arial" w:cs="Arial"/>
          <w:sz w:val="24"/>
          <w:szCs w:val="24"/>
        </w:rPr>
        <w:t>100</w:t>
      </w:r>
      <w:r w:rsidR="00533348" w:rsidRPr="00614E39">
        <w:rPr>
          <w:rFonts w:ascii="Arial" w:hAnsi="Arial" w:cs="Arial"/>
          <w:sz w:val="24"/>
          <w:szCs w:val="24"/>
        </w:rPr>
        <w:t xml:space="preserve">m </w:t>
      </w:r>
      <w:r w:rsidR="00533348">
        <w:rPr>
          <w:rFonts w:ascii="Arial" w:hAnsi="Arial" w:cs="Arial"/>
          <w:sz w:val="24"/>
          <w:szCs w:val="24"/>
        </w:rPr>
        <w:t xml:space="preserve">was </w:t>
      </w:r>
      <w:r w:rsidR="00533348" w:rsidRPr="00614E39">
        <w:rPr>
          <w:rFonts w:ascii="Arial" w:hAnsi="Arial" w:cs="Arial"/>
          <w:sz w:val="24"/>
          <w:szCs w:val="24"/>
        </w:rPr>
        <w:t xml:space="preserve">returned </w:t>
      </w:r>
      <w:r w:rsidR="00533348">
        <w:rPr>
          <w:rFonts w:ascii="Arial" w:hAnsi="Arial" w:cs="Arial"/>
          <w:sz w:val="24"/>
          <w:szCs w:val="24"/>
        </w:rPr>
        <w:t xml:space="preserve">as </w:t>
      </w:r>
      <w:r w:rsidR="00533348" w:rsidRPr="00614E39">
        <w:rPr>
          <w:rFonts w:ascii="Arial" w:hAnsi="Arial" w:cs="Arial"/>
          <w:sz w:val="24"/>
          <w:szCs w:val="24"/>
        </w:rPr>
        <w:t>a special dividend</w:t>
      </w:r>
      <w:r w:rsidR="00533348">
        <w:rPr>
          <w:rFonts w:ascii="Arial" w:hAnsi="Arial" w:cs="Arial"/>
          <w:sz w:val="24"/>
          <w:szCs w:val="24"/>
        </w:rPr>
        <w:t xml:space="preserve"> and </w:t>
      </w:r>
      <w:r w:rsidR="003A4BAB" w:rsidRPr="00614E39">
        <w:rPr>
          <w:rFonts w:ascii="Arial" w:hAnsi="Arial" w:cs="Arial"/>
          <w:sz w:val="24"/>
          <w:szCs w:val="24"/>
        </w:rPr>
        <w:t>£35</w:t>
      </w:r>
      <w:r w:rsidR="00933687">
        <w:rPr>
          <w:rFonts w:ascii="Arial" w:hAnsi="Arial" w:cs="Arial"/>
          <w:sz w:val="24"/>
          <w:szCs w:val="24"/>
        </w:rPr>
        <w:t>m</w:t>
      </w:r>
      <w:r w:rsidR="00FF77E1" w:rsidRPr="00614E39">
        <w:rPr>
          <w:rFonts w:ascii="Arial" w:hAnsi="Arial" w:cs="Arial"/>
          <w:sz w:val="24"/>
          <w:szCs w:val="24"/>
        </w:rPr>
        <w:t xml:space="preserve"> via a share </w:t>
      </w:r>
      <w:r w:rsidRPr="002272F0">
        <w:rPr>
          <w:rFonts w:ascii="Arial" w:hAnsi="Arial" w:cs="Arial"/>
          <w:sz w:val="24"/>
          <w:szCs w:val="24"/>
        </w:rPr>
        <w:t>buyback</w:t>
      </w:r>
      <w:r w:rsidR="003A4BAB" w:rsidRPr="00614E39">
        <w:rPr>
          <w:rFonts w:ascii="Arial" w:hAnsi="Arial" w:cs="Arial"/>
          <w:sz w:val="24"/>
          <w:szCs w:val="24"/>
        </w:rPr>
        <w:t xml:space="preserve"> (8.5</w:t>
      </w:r>
      <w:r w:rsidR="00933687">
        <w:rPr>
          <w:rFonts w:ascii="Arial" w:hAnsi="Arial" w:cs="Arial"/>
          <w:sz w:val="24"/>
          <w:szCs w:val="24"/>
        </w:rPr>
        <w:t>m</w:t>
      </w:r>
      <w:r w:rsidR="003A4BAB" w:rsidRPr="00614E39">
        <w:rPr>
          <w:rFonts w:ascii="Arial" w:hAnsi="Arial" w:cs="Arial"/>
          <w:sz w:val="24"/>
          <w:szCs w:val="24"/>
        </w:rPr>
        <w:t xml:space="preserve"> shares)</w:t>
      </w:r>
    </w:p>
    <w:p w:rsidR="00DA0019" w:rsidRDefault="00DA0019" w:rsidP="00C0194C">
      <w:pPr>
        <w:pStyle w:val="ListParagraph"/>
        <w:ind w:left="360"/>
        <w:jc w:val="left"/>
        <w:rPr>
          <w:rFonts w:ascii="Arial" w:hAnsi="Arial" w:cs="Arial"/>
          <w:sz w:val="24"/>
          <w:szCs w:val="24"/>
        </w:rPr>
      </w:pPr>
    </w:p>
    <w:p w:rsidR="00DA0019" w:rsidRDefault="00DA0019" w:rsidP="00C0194C">
      <w:pPr>
        <w:pStyle w:val="ListParagraph"/>
        <w:ind w:left="0"/>
        <w:jc w:val="left"/>
        <w:rPr>
          <w:rFonts w:ascii="Arial" w:hAnsi="Arial" w:cs="Arial"/>
          <w:sz w:val="24"/>
          <w:szCs w:val="24"/>
        </w:rPr>
      </w:pPr>
      <w:r w:rsidRPr="00C0194C">
        <w:rPr>
          <w:rFonts w:ascii="Arial" w:hAnsi="Arial" w:cs="Arial"/>
          <w:b/>
          <w:bCs/>
          <w:sz w:val="24"/>
          <w:szCs w:val="24"/>
          <w:u w:val="single"/>
        </w:rPr>
        <w:t>Subsequent</w:t>
      </w:r>
      <w:r>
        <w:rPr>
          <w:rFonts w:ascii="Arial" w:hAnsi="Arial" w:cs="Arial"/>
          <w:b/>
          <w:bCs/>
          <w:sz w:val="24"/>
          <w:szCs w:val="24"/>
          <w:u w:val="single"/>
        </w:rPr>
        <w:t xml:space="preserve"> </w:t>
      </w:r>
      <w:r w:rsidR="005D3F65">
        <w:rPr>
          <w:rFonts w:ascii="Arial" w:hAnsi="Arial" w:cs="Arial"/>
          <w:b/>
          <w:bCs/>
          <w:sz w:val="24"/>
          <w:szCs w:val="24"/>
          <w:u w:val="single"/>
        </w:rPr>
        <w:t>highlights:</w:t>
      </w:r>
      <w:r>
        <w:rPr>
          <w:rFonts w:ascii="Arial" w:hAnsi="Arial" w:cs="Arial"/>
          <w:sz w:val="24"/>
          <w:szCs w:val="24"/>
        </w:rPr>
        <w:t xml:space="preserve"> </w:t>
      </w:r>
    </w:p>
    <w:p w:rsidR="00DA0019" w:rsidRDefault="00AC7A95" w:rsidP="00DA0019">
      <w:pPr>
        <w:pStyle w:val="ListParagraph"/>
        <w:numPr>
          <w:ilvl w:val="0"/>
          <w:numId w:val="1"/>
        </w:numPr>
        <w:jc w:val="left"/>
        <w:rPr>
          <w:rFonts w:ascii="Arial" w:hAnsi="Arial" w:cs="Arial"/>
          <w:sz w:val="24"/>
          <w:szCs w:val="24"/>
        </w:rPr>
      </w:pPr>
      <w:r>
        <w:rPr>
          <w:rFonts w:ascii="Arial" w:hAnsi="Arial" w:cs="Arial"/>
          <w:sz w:val="24"/>
          <w:szCs w:val="24"/>
        </w:rPr>
        <w:t xml:space="preserve">Remainder </w:t>
      </w:r>
      <w:r w:rsidR="000D6E86">
        <w:rPr>
          <w:rFonts w:ascii="Arial" w:hAnsi="Arial" w:cs="Arial"/>
          <w:sz w:val="24"/>
          <w:szCs w:val="24"/>
        </w:rPr>
        <w:t xml:space="preserve">of the capital returns programme will resume as a </w:t>
      </w:r>
      <w:r w:rsidR="00533348">
        <w:rPr>
          <w:rFonts w:ascii="Arial" w:hAnsi="Arial" w:cs="Arial"/>
          <w:sz w:val="24"/>
          <w:szCs w:val="24"/>
        </w:rPr>
        <w:t>share buyback</w:t>
      </w:r>
    </w:p>
    <w:p w:rsidR="00A73C42" w:rsidRDefault="00DA0019" w:rsidP="001F3AEA">
      <w:pPr>
        <w:pStyle w:val="ListParagraph"/>
        <w:numPr>
          <w:ilvl w:val="0"/>
          <w:numId w:val="1"/>
        </w:numPr>
        <w:jc w:val="left"/>
        <w:rPr>
          <w:rFonts w:ascii="Arial" w:hAnsi="Arial" w:cs="Arial"/>
          <w:b/>
          <w:sz w:val="24"/>
          <w:szCs w:val="24"/>
        </w:rPr>
      </w:pPr>
      <w:r w:rsidRPr="00B86161">
        <w:rPr>
          <w:rFonts w:ascii="Arial" w:hAnsi="Arial" w:cs="Arial"/>
          <w:sz w:val="24"/>
          <w:szCs w:val="24"/>
        </w:rPr>
        <w:lastRenderedPageBreak/>
        <w:t xml:space="preserve">At Q2 we indicated that </w:t>
      </w:r>
      <w:r w:rsidR="0056739B" w:rsidRPr="00B86161">
        <w:rPr>
          <w:rFonts w:ascii="Arial" w:hAnsi="Arial" w:cs="Arial"/>
          <w:sz w:val="24"/>
          <w:szCs w:val="24"/>
        </w:rPr>
        <w:t>we experienced a sharp market downturn in June and July</w:t>
      </w:r>
      <w:r w:rsidR="00C44EC2">
        <w:rPr>
          <w:rFonts w:ascii="Arial" w:hAnsi="Arial" w:cs="Arial"/>
          <w:sz w:val="24"/>
          <w:szCs w:val="24"/>
        </w:rPr>
        <w:t xml:space="preserve"> in France and Poland (Castorama</w:t>
      </w:r>
      <w:r w:rsidR="00295945">
        <w:rPr>
          <w:rFonts w:ascii="Arial" w:hAnsi="Arial" w:cs="Arial"/>
          <w:sz w:val="24"/>
          <w:szCs w:val="24"/>
        </w:rPr>
        <w:t xml:space="preserve"> France </w:t>
      </w:r>
      <w:r w:rsidR="00C44EC2">
        <w:rPr>
          <w:rFonts w:ascii="Arial" w:hAnsi="Arial" w:cs="Arial"/>
          <w:sz w:val="24"/>
          <w:szCs w:val="24"/>
        </w:rPr>
        <w:t>-3</w:t>
      </w:r>
      <w:r w:rsidR="00295945">
        <w:rPr>
          <w:rFonts w:ascii="Arial" w:hAnsi="Arial" w:cs="Arial"/>
          <w:sz w:val="24"/>
          <w:szCs w:val="24"/>
        </w:rPr>
        <w:t>.</w:t>
      </w:r>
      <w:r w:rsidR="00C44EC2">
        <w:rPr>
          <w:rFonts w:ascii="Arial" w:hAnsi="Arial" w:cs="Arial"/>
          <w:sz w:val="24"/>
          <w:szCs w:val="24"/>
        </w:rPr>
        <w:t>3</w:t>
      </w:r>
      <w:r w:rsidR="00295945">
        <w:rPr>
          <w:rFonts w:ascii="Arial" w:hAnsi="Arial" w:cs="Arial"/>
          <w:sz w:val="24"/>
          <w:szCs w:val="24"/>
        </w:rPr>
        <w:t>%</w:t>
      </w:r>
      <w:r w:rsidR="00C44EC2">
        <w:rPr>
          <w:rFonts w:ascii="Arial" w:hAnsi="Arial" w:cs="Arial"/>
          <w:sz w:val="24"/>
          <w:szCs w:val="24"/>
        </w:rPr>
        <w:t xml:space="preserve"> LFL; Brico Dépôt -7.2% LFL; </w:t>
      </w:r>
      <w:r w:rsidR="00295945">
        <w:rPr>
          <w:rFonts w:ascii="Arial" w:hAnsi="Arial" w:cs="Arial"/>
          <w:sz w:val="24"/>
          <w:szCs w:val="24"/>
        </w:rPr>
        <w:t xml:space="preserve">Castorama Poland </w:t>
      </w:r>
      <w:r w:rsidR="00C44EC2">
        <w:rPr>
          <w:rFonts w:ascii="Arial" w:hAnsi="Arial" w:cs="Arial"/>
          <w:sz w:val="24"/>
          <w:szCs w:val="24"/>
        </w:rPr>
        <w:t>-</w:t>
      </w:r>
      <w:r w:rsidR="00295945">
        <w:rPr>
          <w:rFonts w:ascii="Arial" w:hAnsi="Arial" w:cs="Arial"/>
          <w:sz w:val="24"/>
          <w:szCs w:val="24"/>
        </w:rPr>
        <w:t>4.7%</w:t>
      </w:r>
      <w:r w:rsidR="00C44EC2">
        <w:rPr>
          <w:rFonts w:ascii="Arial" w:hAnsi="Arial" w:cs="Arial"/>
          <w:sz w:val="24"/>
          <w:szCs w:val="24"/>
        </w:rPr>
        <w:t xml:space="preserve"> LFL)</w:t>
      </w:r>
      <w:r w:rsidR="00295945">
        <w:rPr>
          <w:rFonts w:ascii="Arial" w:hAnsi="Arial" w:cs="Arial"/>
          <w:sz w:val="24"/>
          <w:szCs w:val="24"/>
        </w:rPr>
        <w:t>.</w:t>
      </w:r>
      <w:r w:rsidR="0056739B" w:rsidRPr="00D11391">
        <w:rPr>
          <w:rFonts w:ascii="Arial" w:hAnsi="Arial" w:cs="Arial"/>
          <w:sz w:val="24"/>
          <w:szCs w:val="24"/>
        </w:rPr>
        <w:t xml:space="preserve"> </w:t>
      </w:r>
      <w:r w:rsidRPr="00A06B54">
        <w:rPr>
          <w:rFonts w:ascii="Arial" w:hAnsi="Arial" w:cs="Arial"/>
          <w:sz w:val="24"/>
          <w:szCs w:val="24"/>
        </w:rPr>
        <w:t>Since</w:t>
      </w:r>
      <w:r w:rsidRPr="00B86161">
        <w:rPr>
          <w:rFonts w:ascii="Arial" w:hAnsi="Arial" w:cs="Arial"/>
          <w:sz w:val="24"/>
          <w:szCs w:val="24"/>
        </w:rPr>
        <w:t xml:space="preserve"> then </w:t>
      </w:r>
      <w:r w:rsidR="00F43244">
        <w:rPr>
          <w:rFonts w:ascii="Arial" w:hAnsi="Arial" w:cs="Arial"/>
          <w:sz w:val="24"/>
          <w:szCs w:val="24"/>
        </w:rPr>
        <w:t xml:space="preserve">in </w:t>
      </w:r>
      <w:r w:rsidRPr="00B86161">
        <w:rPr>
          <w:rFonts w:ascii="Arial" w:hAnsi="Arial" w:cs="Arial"/>
          <w:sz w:val="24"/>
          <w:szCs w:val="24"/>
        </w:rPr>
        <w:t>August</w:t>
      </w:r>
      <w:r w:rsidR="0004096F">
        <w:rPr>
          <w:rFonts w:ascii="Arial" w:hAnsi="Arial" w:cs="Arial"/>
          <w:sz w:val="24"/>
          <w:szCs w:val="24"/>
        </w:rPr>
        <w:t>, one of our largest months,</w:t>
      </w:r>
      <w:r w:rsidRPr="00B86161">
        <w:rPr>
          <w:rFonts w:ascii="Arial" w:hAnsi="Arial" w:cs="Arial"/>
          <w:sz w:val="24"/>
          <w:szCs w:val="24"/>
        </w:rPr>
        <w:t xml:space="preserve"> </w:t>
      </w:r>
      <w:r w:rsidR="00F43244">
        <w:rPr>
          <w:rFonts w:ascii="Arial" w:hAnsi="Arial" w:cs="Arial"/>
          <w:sz w:val="24"/>
          <w:szCs w:val="24"/>
        </w:rPr>
        <w:t>sales were</w:t>
      </w:r>
      <w:r w:rsidR="0004096F">
        <w:rPr>
          <w:rFonts w:ascii="Arial" w:hAnsi="Arial" w:cs="Arial"/>
          <w:sz w:val="24"/>
          <w:szCs w:val="24"/>
        </w:rPr>
        <w:t xml:space="preserve"> better</w:t>
      </w:r>
      <w:r w:rsidR="0056739B" w:rsidRPr="00B86161">
        <w:rPr>
          <w:rFonts w:ascii="Arial" w:hAnsi="Arial" w:cs="Arial"/>
          <w:sz w:val="24"/>
          <w:szCs w:val="24"/>
        </w:rPr>
        <w:t xml:space="preserve"> across both </w:t>
      </w:r>
      <w:r w:rsidR="0056739B" w:rsidRPr="000E4F1D">
        <w:rPr>
          <w:rFonts w:ascii="Arial" w:hAnsi="Arial" w:cs="Arial"/>
          <w:sz w:val="24"/>
          <w:szCs w:val="24"/>
        </w:rPr>
        <w:t>markets</w:t>
      </w:r>
      <w:r w:rsidRPr="000E4F1D">
        <w:rPr>
          <w:rFonts w:ascii="Arial" w:hAnsi="Arial" w:cs="Arial"/>
          <w:sz w:val="24"/>
          <w:szCs w:val="24"/>
        </w:rPr>
        <w:t xml:space="preserve"> (</w:t>
      </w:r>
      <w:r w:rsidR="00C44EC2">
        <w:rPr>
          <w:rFonts w:ascii="Arial" w:hAnsi="Arial" w:cs="Arial"/>
          <w:sz w:val="24"/>
          <w:szCs w:val="24"/>
        </w:rPr>
        <w:t>Castorama France -0.6%</w:t>
      </w:r>
      <w:r w:rsidR="003C3DEA">
        <w:rPr>
          <w:rFonts w:ascii="Arial" w:hAnsi="Arial" w:cs="Arial"/>
          <w:sz w:val="24"/>
          <w:szCs w:val="24"/>
        </w:rPr>
        <w:t xml:space="preserve"> LFL</w:t>
      </w:r>
      <w:r w:rsidR="00C44EC2">
        <w:rPr>
          <w:rFonts w:ascii="Arial" w:hAnsi="Arial" w:cs="Arial"/>
          <w:sz w:val="24"/>
          <w:szCs w:val="24"/>
        </w:rPr>
        <w:t>; Brico Dépôt France -4.3%</w:t>
      </w:r>
      <w:r w:rsidR="003C3DEA">
        <w:rPr>
          <w:rFonts w:ascii="Arial" w:hAnsi="Arial" w:cs="Arial"/>
          <w:sz w:val="24"/>
          <w:szCs w:val="24"/>
        </w:rPr>
        <w:t xml:space="preserve"> LFL</w:t>
      </w:r>
      <w:r w:rsidR="00C44EC2">
        <w:rPr>
          <w:rFonts w:ascii="Arial" w:hAnsi="Arial" w:cs="Arial"/>
          <w:sz w:val="24"/>
          <w:szCs w:val="24"/>
        </w:rPr>
        <w:t>; Casto</w:t>
      </w:r>
      <w:r w:rsidR="00F43244">
        <w:rPr>
          <w:rFonts w:ascii="Arial" w:hAnsi="Arial" w:cs="Arial"/>
          <w:sz w:val="24"/>
          <w:szCs w:val="24"/>
        </w:rPr>
        <w:t xml:space="preserve">rama </w:t>
      </w:r>
      <w:r w:rsidR="0056739B" w:rsidRPr="00D11391">
        <w:rPr>
          <w:rFonts w:ascii="Arial" w:hAnsi="Arial" w:cs="Arial"/>
          <w:sz w:val="24"/>
          <w:szCs w:val="24"/>
        </w:rPr>
        <w:t>Poland +</w:t>
      </w:r>
      <w:r w:rsidR="000E4F1D" w:rsidRPr="00D11391">
        <w:rPr>
          <w:rFonts w:ascii="Arial" w:hAnsi="Arial" w:cs="Arial"/>
          <w:sz w:val="24"/>
          <w:szCs w:val="24"/>
        </w:rPr>
        <w:t>3.3</w:t>
      </w:r>
      <w:r w:rsidR="0056739B" w:rsidRPr="00D11391">
        <w:rPr>
          <w:rFonts w:ascii="Arial" w:hAnsi="Arial" w:cs="Arial"/>
          <w:sz w:val="24"/>
          <w:szCs w:val="24"/>
        </w:rPr>
        <w:t>% LFL)</w:t>
      </w:r>
      <w:r w:rsidR="00F21C86" w:rsidRPr="00D11391">
        <w:rPr>
          <w:rFonts w:ascii="Arial" w:hAnsi="Arial" w:cs="Arial"/>
          <w:sz w:val="24"/>
          <w:szCs w:val="24"/>
        </w:rPr>
        <w:t xml:space="preserve"> </w:t>
      </w:r>
      <w:r w:rsidR="00F21C86" w:rsidRPr="004D1BD9">
        <w:rPr>
          <w:rFonts w:ascii="Arial" w:hAnsi="Arial" w:cs="Arial"/>
          <w:sz w:val="24"/>
          <w:szCs w:val="24"/>
        </w:rPr>
        <w:t xml:space="preserve">and </w:t>
      </w:r>
      <w:r w:rsidR="00F21C86" w:rsidRPr="00687DBD">
        <w:rPr>
          <w:rFonts w:ascii="Arial" w:hAnsi="Arial" w:cs="Arial"/>
          <w:sz w:val="24"/>
          <w:szCs w:val="24"/>
        </w:rPr>
        <w:t>overall Group LFL was +</w:t>
      </w:r>
      <w:r w:rsidR="004D1BD9">
        <w:rPr>
          <w:rFonts w:ascii="Arial" w:hAnsi="Arial" w:cs="Arial"/>
          <w:sz w:val="24"/>
          <w:szCs w:val="24"/>
        </w:rPr>
        <w:t>0.3</w:t>
      </w:r>
      <w:r w:rsidR="00F21C86" w:rsidRPr="00687DBD">
        <w:rPr>
          <w:rFonts w:ascii="Arial" w:hAnsi="Arial" w:cs="Arial"/>
          <w:sz w:val="24"/>
          <w:szCs w:val="24"/>
        </w:rPr>
        <w:t>%</w:t>
      </w:r>
    </w:p>
    <w:p w:rsidR="00753255" w:rsidRDefault="00753255" w:rsidP="00B24372">
      <w:pPr>
        <w:rPr>
          <w:rFonts w:ascii="Arial" w:hAnsi="Arial" w:cs="Arial"/>
          <w:b/>
          <w:sz w:val="24"/>
          <w:szCs w:val="24"/>
        </w:rPr>
      </w:pPr>
    </w:p>
    <w:p w:rsidR="00376255" w:rsidRPr="00933687" w:rsidRDefault="00933687" w:rsidP="00B24372">
      <w:pPr>
        <w:rPr>
          <w:rFonts w:ascii="Arial" w:hAnsi="Arial" w:cs="Arial"/>
          <w:b/>
          <w:bCs/>
          <w:sz w:val="24"/>
          <w:szCs w:val="24"/>
        </w:rPr>
      </w:pPr>
      <w:r w:rsidRPr="00C0194C">
        <w:rPr>
          <w:rFonts w:ascii="Arial" w:hAnsi="Arial" w:cs="Arial"/>
          <w:b/>
          <w:sz w:val="24"/>
          <w:szCs w:val="24"/>
        </w:rPr>
        <w:t>K</w:t>
      </w:r>
      <w:bookmarkEnd w:id="0"/>
      <w:bookmarkEnd w:id="1"/>
      <w:r w:rsidR="00C11B6A" w:rsidRPr="00933687">
        <w:rPr>
          <w:rFonts w:ascii="Arial" w:hAnsi="Arial" w:cs="Arial"/>
          <w:b/>
          <w:bCs/>
          <w:sz w:val="24"/>
          <w:szCs w:val="24"/>
        </w:rPr>
        <w:t>ingfisher’s Group Chief Executive, Sir Ian Cheshire, said</w:t>
      </w:r>
      <w:r w:rsidR="00553FBE">
        <w:rPr>
          <w:rFonts w:ascii="Arial" w:hAnsi="Arial" w:cs="Arial"/>
          <w:b/>
          <w:bCs/>
          <w:sz w:val="24"/>
          <w:szCs w:val="24"/>
        </w:rPr>
        <w:t>:</w:t>
      </w:r>
    </w:p>
    <w:p w:rsidR="00C11B6A" w:rsidRPr="00933687" w:rsidRDefault="00C11B6A" w:rsidP="00B24372">
      <w:pPr>
        <w:rPr>
          <w:rFonts w:ascii="Arial" w:hAnsi="Arial" w:cs="Arial"/>
          <w:bCs/>
          <w:sz w:val="24"/>
          <w:szCs w:val="24"/>
        </w:rPr>
      </w:pPr>
    </w:p>
    <w:p w:rsidR="00831CFC" w:rsidRDefault="00230F47" w:rsidP="00790367">
      <w:pPr>
        <w:jc w:val="left"/>
        <w:rPr>
          <w:rFonts w:ascii="Arial" w:hAnsi="Arial" w:cs="Arial"/>
          <w:bCs/>
          <w:sz w:val="24"/>
          <w:szCs w:val="24"/>
        </w:rPr>
      </w:pPr>
      <w:r w:rsidRPr="00933687">
        <w:rPr>
          <w:rFonts w:ascii="Arial" w:hAnsi="Arial" w:cs="Arial"/>
          <w:bCs/>
          <w:sz w:val="24"/>
          <w:szCs w:val="24"/>
        </w:rPr>
        <w:t>“</w:t>
      </w:r>
      <w:r w:rsidR="00E05CA7" w:rsidRPr="00933687">
        <w:rPr>
          <w:rFonts w:ascii="Arial" w:hAnsi="Arial" w:cs="Arial"/>
          <w:bCs/>
          <w:sz w:val="24"/>
          <w:szCs w:val="24"/>
        </w:rPr>
        <w:t>T</w:t>
      </w:r>
      <w:r w:rsidR="006A788A" w:rsidRPr="00933687">
        <w:rPr>
          <w:rFonts w:ascii="Arial" w:hAnsi="Arial" w:cs="Arial"/>
          <w:bCs/>
          <w:sz w:val="24"/>
          <w:szCs w:val="24"/>
        </w:rPr>
        <w:t>his was a difficult first half with demand in our largest and most significant market, France</w:t>
      </w:r>
      <w:r w:rsidR="006A788A">
        <w:rPr>
          <w:rFonts w:ascii="Arial" w:hAnsi="Arial" w:cs="Arial"/>
          <w:bCs/>
          <w:sz w:val="24"/>
          <w:szCs w:val="24"/>
        </w:rPr>
        <w:t xml:space="preserve">, remaining </w:t>
      </w:r>
      <w:r w:rsidR="000D78BC">
        <w:rPr>
          <w:rFonts w:ascii="Arial" w:hAnsi="Arial" w:cs="Arial"/>
          <w:bCs/>
          <w:sz w:val="24"/>
          <w:szCs w:val="24"/>
        </w:rPr>
        <w:t xml:space="preserve">particularly </w:t>
      </w:r>
      <w:r w:rsidR="006A788A">
        <w:rPr>
          <w:rFonts w:ascii="Arial" w:hAnsi="Arial" w:cs="Arial"/>
          <w:bCs/>
          <w:sz w:val="24"/>
          <w:szCs w:val="24"/>
        </w:rPr>
        <w:t>weak</w:t>
      </w:r>
      <w:r w:rsidR="00533348" w:rsidRPr="00533348">
        <w:rPr>
          <w:rFonts w:ascii="Arial" w:hAnsi="Arial" w:cs="Arial"/>
          <w:bCs/>
          <w:sz w:val="24"/>
          <w:szCs w:val="24"/>
        </w:rPr>
        <w:t xml:space="preserve"> </w:t>
      </w:r>
      <w:r w:rsidR="00533348">
        <w:rPr>
          <w:rFonts w:ascii="Arial" w:hAnsi="Arial" w:cs="Arial"/>
          <w:bCs/>
          <w:sz w:val="24"/>
          <w:szCs w:val="24"/>
        </w:rPr>
        <w:t>with a sharp market downturn experienced in our second quarter.</w:t>
      </w:r>
      <w:r w:rsidR="006A788A">
        <w:rPr>
          <w:rFonts w:ascii="Arial" w:hAnsi="Arial" w:cs="Arial"/>
          <w:bCs/>
          <w:sz w:val="24"/>
          <w:szCs w:val="24"/>
        </w:rPr>
        <w:t xml:space="preserve"> </w:t>
      </w:r>
      <w:r w:rsidR="00A06B54">
        <w:rPr>
          <w:rFonts w:ascii="Arial" w:hAnsi="Arial" w:cs="Arial"/>
          <w:bCs/>
          <w:sz w:val="24"/>
          <w:szCs w:val="24"/>
        </w:rPr>
        <w:t xml:space="preserve">We did though deliver flat profits in France, a resilient performance despite the difficult backdrop. </w:t>
      </w:r>
      <w:r w:rsidR="00464745">
        <w:rPr>
          <w:rFonts w:ascii="Arial" w:hAnsi="Arial" w:cs="Arial"/>
          <w:bCs/>
          <w:sz w:val="24"/>
          <w:szCs w:val="24"/>
        </w:rPr>
        <w:t xml:space="preserve">However, conditions in the UK were more favourable with better weather and encouraging signs in the smaller tradesman market. </w:t>
      </w:r>
      <w:r w:rsidR="006A788A">
        <w:rPr>
          <w:rFonts w:ascii="Arial" w:hAnsi="Arial" w:cs="Arial"/>
          <w:bCs/>
          <w:sz w:val="24"/>
          <w:szCs w:val="24"/>
        </w:rPr>
        <w:t xml:space="preserve">We were able to capitalise on </w:t>
      </w:r>
      <w:r w:rsidR="00A71948">
        <w:rPr>
          <w:rFonts w:ascii="Arial" w:hAnsi="Arial" w:cs="Arial"/>
          <w:bCs/>
          <w:sz w:val="24"/>
          <w:szCs w:val="24"/>
        </w:rPr>
        <w:t xml:space="preserve">the </w:t>
      </w:r>
      <w:r w:rsidR="006A788A">
        <w:rPr>
          <w:rFonts w:ascii="Arial" w:hAnsi="Arial" w:cs="Arial"/>
          <w:bCs/>
          <w:sz w:val="24"/>
          <w:szCs w:val="24"/>
        </w:rPr>
        <w:t xml:space="preserve">better conditions with Screwfix performing particularly well growing sales </w:t>
      </w:r>
      <w:r w:rsidR="000D78BC">
        <w:rPr>
          <w:rFonts w:ascii="Arial" w:hAnsi="Arial" w:cs="Arial"/>
          <w:bCs/>
          <w:sz w:val="24"/>
          <w:szCs w:val="24"/>
        </w:rPr>
        <w:t>by 23</w:t>
      </w:r>
      <w:r w:rsidR="006A788A">
        <w:rPr>
          <w:rFonts w:ascii="Arial" w:hAnsi="Arial" w:cs="Arial"/>
          <w:bCs/>
          <w:sz w:val="24"/>
          <w:szCs w:val="24"/>
        </w:rPr>
        <w:t xml:space="preserve">%. B&amp;Q </w:t>
      </w:r>
      <w:r w:rsidR="005D3F65">
        <w:rPr>
          <w:rFonts w:ascii="Arial" w:hAnsi="Arial" w:cs="Arial"/>
          <w:bCs/>
          <w:sz w:val="24"/>
          <w:szCs w:val="24"/>
        </w:rPr>
        <w:t xml:space="preserve">UK &amp; Ireland also </w:t>
      </w:r>
      <w:r w:rsidR="006A788A">
        <w:rPr>
          <w:rFonts w:ascii="Arial" w:hAnsi="Arial" w:cs="Arial"/>
          <w:bCs/>
          <w:sz w:val="24"/>
          <w:szCs w:val="24"/>
        </w:rPr>
        <w:t>deliver</w:t>
      </w:r>
      <w:r w:rsidR="00831CFC">
        <w:rPr>
          <w:rFonts w:ascii="Arial" w:hAnsi="Arial" w:cs="Arial"/>
          <w:bCs/>
          <w:sz w:val="24"/>
          <w:szCs w:val="24"/>
        </w:rPr>
        <w:t xml:space="preserve">ed </w:t>
      </w:r>
      <w:r w:rsidR="005D3F65">
        <w:rPr>
          <w:rFonts w:ascii="Arial" w:hAnsi="Arial" w:cs="Arial"/>
          <w:bCs/>
          <w:sz w:val="24"/>
          <w:szCs w:val="24"/>
        </w:rPr>
        <w:t xml:space="preserve">their best H1 sales </w:t>
      </w:r>
      <w:r w:rsidR="00F21C86">
        <w:rPr>
          <w:rFonts w:ascii="Arial" w:hAnsi="Arial" w:cs="Arial"/>
          <w:bCs/>
          <w:sz w:val="24"/>
          <w:szCs w:val="24"/>
        </w:rPr>
        <w:t>growth</w:t>
      </w:r>
      <w:r w:rsidR="005D3F65">
        <w:rPr>
          <w:rFonts w:ascii="Arial" w:hAnsi="Arial" w:cs="Arial"/>
          <w:bCs/>
          <w:sz w:val="24"/>
          <w:szCs w:val="24"/>
        </w:rPr>
        <w:t xml:space="preserve"> in over a decade</w:t>
      </w:r>
      <w:r w:rsidR="003F0A73">
        <w:rPr>
          <w:rFonts w:ascii="Arial" w:hAnsi="Arial" w:cs="Arial"/>
          <w:bCs/>
          <w:sz w:val="24"/>
          <w:szCs w:val="24"/>
        </w:rPr>
        <w:t xml:space="preserve"> </w:t>
      </w:r>
      <w:r w:rsidR="00831CFC">
        <w:rPr>
          <w:rFonts w:ascii="Arial" w:hAnsi="Arial" w:cs="Arial"/>
          <w:bCs/>
          <w:sz w:val="24"/>
          <w:szCs w:val="24"/>
        </w:rPr>
        <w:t xml:space="preserve">as the new team start to gain traction with </w:t>
      </w:r>
      <w:r w:rsidR="00F65620">
        <w:rPr>
          <w:rFonts w:ascii="Arial" w:hAnsi="Arial" w:cs="Arial"/>
          <w:bCs/>
          <w:sz w:val="24"/>
          <w:szCs w:val="24"/>
        </w:rPr>
        <w:t>its</w:t>
      </w:r>
      <w:r w:rsidR="00831CFC">
        <w:rPr>
          <w:rFonts w:ascii="Arial" w:hAnsi="Arial" w:cs="Arial"/>
          <w:bCs/>
          <w:sz w:val="24"/>
          <w:szCs w:val="24"/>
        </w:rPr>
        <w:t xml:space="preserve"> re-energising initiatives</w:t>
      </w:r>
      <w:r w:rsidR="00DA0019">
        <w:rPr>
          <w:rFonts w:ascii="Arial" w:hAnsi="Arial" w:cs="Arial"/>
          <w:bCs/>
          <w:sz w:val="24"/>
          <w:szCs w:val="24"/>
        </w:rPr>
        <w:t xml:space="preserve"> and started to make progress with its plan to better position the business for the future.</w:t>
      </w:r>
    </w:p>
    <w:p w:rsidR="00831CFC" w:rsidRDefault="00831CFC" w:rsidP="00790367">
      <w:pPr>
        <w:jc w:val="left"/>
        <w:rPr>
          <w:rFonts w:ascii="Arial" w:hAnsi="Arial" w:cs="Arial"/>
          <w:bCs/>
          <w:sz w:val="24"/>
          <w:szCs w:val="24"/>
        </w:rPr>
      </w:pPr>
    </w:p>
    <w:p w:rsidR="00323314" w:rsidRDefault="00614E39" w:rsidP="00790367">
      <w:pPr>
        <w:jc w:val="left"/>
        <w:rPr>
          <w:rFonts w:ascii="Arial" w:hAnsi="Arial" w:cs="Arial"/>
          <w:bCs/>
          <w:sz w:val="24"/>
          <w:szCs w:val="24"/>
        </w:rPr>
      </w:pPr>
      <w:r>
        <w:rPr>
          <w:rFonts w:ascii="Arial" w:hAnsi="Arial" w:cs="Arial"/>
          <w:bCs/>
          <w:sz w:val="24"/>
          <w:szCs w:val="24"/>
        </w:rPr>
        <w:t>“</w:t>
      </w:r>
      <w:r w:rsidR="00464745">
        <w:rPr>
          <w:rFonts w:ascii="Arial" w:hAnsi="Arial" w:cs="Arial"/>
          <w:bCs/>
          <w:sz w:val="24"/>
          <w:szCs w:val="24"/>
        </w:rPr>
        <w:t>Looking to the longer term, w</w:t>
      </w:r>
      <w:r w:rsidR="00831CFC">
        <w:rPr>
          <w:rFonts w:ascii="Arial" w:hAnsi="Arial" w:cs="Arial"/>
          <w:bCs/>
          <w:sz w:val="24"/>
          <w:szCs w:val="24"/>
        </w:rPr>
        <w:t xml:space="preserve">e continue to work on our ‘Creating the Leader’ programme including opening </w:t>
      </w:r>
      <w:r w:rsidR="00A71948">
        <w:rPr>
          <w:rFonts w:ascii="Arial" w:hAnsi="Arial" w:cs="Arial"/>
          <w:bCs/>
          <w:sz w:val="24"/>
          <w:szCs w:val="24"/>
        </w:rPr>
        <w:t xml:space="preserve">Screwfix and Brico </w:t>
      </w:r>
      <w:r w:rsidR="005D3F65">
        <w:rPr>
          <w:rFonts w:ascii="Arial" w:hAnsi="Arial" w:cs="Arial"/>
          <w:bCs/>
          <w:sz w:val="24"/>
          <w:szCs w:val="24"/>
        </w:rPr>
        <w:t xml:space="preserve">Dépôt </w:t>
      </w:r>
      <w:r w:rsidR="00831CFC">
        <w:rPr>
          <w:rFonts w:ascii="Arial" w:hAnsi="Arial" w:cs="Arial"/>
          <w:bCs/>
          <w:sz w:val="24"/>
          <w:szCs w:val="24"/>
        </w:rPr>
        <w:t xml:space="preserve">stores in two new countries and </w:t>
      </w:r>
      <w:r w:rsidR="00A71948">
        <w:rPr>
          <w:rFonts w:ascii="Arial" w:hAnsi="Arial" w:cs="Arial"/>
          <w:bCs/>
          <w:sz w:val="24"/>
          <w:szCs w:val="24"/>
        </w:rPr>
        <w:t xml:space="preserve">accelerating the rebranding of </w:t>
      </w:r>
      <w:r w:rsidR="00831CFC">
        <w:rPr>
          <w:rFonts w:ascii="Arial" w:hAnsi="Arial" w:cs="Arial"/>
          <w:bCs/>
          <w:sz w:val="24"/>
          <w:szCs w:val="24"/>
        </w:rPr>
        <w:t xml:space="preserve">the </w:t>
      </w:r>
      <w:r w:rsidR="00A71948">
        <w:rPr>
          <w:rFonts w:ascii="Arial" w:hAnsi="Arial" w:cs="Arial"/>
          <w:bCs/>
          <w:sz w:val="24"/>
          <w:szCs w:val="24"/>
        </w:rPr>
        <w:t xml:space="preserve">recently acquired Romanian </w:t>
      </w:r>
      <w:r w:rsidR="00831CFC">
        <w:rPr>
          <w:rFonts w:ascii="Arial" w:hAnsi="Arial" w:cs="Arial"/>
          <w:bCs/>
          <w:sz w:val="24"/>
          <w:szCs w:val="24"/>
        </w:rPr>
        <w:t xml:space="preserve">business into </w:t>
      </w:r>
      <w:r w:rsidR="000D78BC">
        <w:rPr>
          <w:rFonts w:ascii="Arial" w:hAnsi="Arial" w:cs="Arial"/>
          <w:bCs/>
          <w:sz w:val="24"/>
          <w:szCs w:val="24"/>
        </w:rPr>
        <w:t xml:space="preserve">the </w:t>
      </w:r>
      <w:r w:rsidR="00831CFC">
        <w:rPr>
          <w:rFonts w:ascii="Arial" w:hAnsi="Arial" w:cs="Arial"/>
          <w:bCs/>
          <w:sz w:val="24"/>
          <w:szCs w:val="24"/>
        </w:rPr>
        <w:t>Brico D</w:t>
      </w:r>
      <w:r w:rsidR="00F65620">
        <w:rPr>
          <w:rFonts w:ascii="Arial" w:hAnsi="Arial" w:cs="Arial"/>
          <w:bCs/>
          <w:sz w:val="24"/>
          <w:szCs w:val="24"/>
        </w:rPr>
        <w:t>é</w:t>
      </w:r>
      <w:r w:rsidR="00831CFC">
        <w:rPr>
          <w:rFonts w:ascii="Arial" w:hAnsi="Arial" w:cs="Arial"/>
          <w:bCs/>
          <w:sz w:val="24"/>
          <w:szCs w:val="24"/>
        </w:rPr>
        <w:t>p</w:t>
      </w:r>
      <w:r w:rsidR="00F65620">
        <w:rPr>
          <w:rFonts w:ascii="Arial" w:hAnsi="Arial" w:cs="Arial"/>
          <w:bCs/>
          <w:sz w:val="24"/>
          <w:szCs w:val="24"/>
        </w:rPr>
        <w:t>ô</w:t>
      </w:r>
      <w:r w:rsidR="00831CFC">
        <w:rPr>
          <w:rFonts w:ascii="Arial" w:hAnsi="Arial" w:cs="Arial"/>
          <w:bCs/>
          <w:sz w:val="24"/>
          <w:szCs w:val="24"/>
        </w:rPr>
        <w:t>t</w:t>
      </w:r>
      <w:r w:rsidR="000D78BC">
        <w:rPr>
          <w:rFonts w:ascii="Arial" w:hAnsi="Arial" w:cs="Arial"/>
          <w:bCs/>
          <w:sz w:val="24"/>
          <w:szCs w:val="24"/>
        </w:rPr>
        <w:t xml:space="preserve"> format</w:t>
      </w:r>
      <w:r w:rsidR="00831CFC">
        <w:rPr>
          <w:rFonts w:ascii="Arial" w:hAnsi="Arial" w:cs="Arial"/>
          <w:bCs/>
          <w:sz w:val="24"/>
          <w:szCs w:val="24"/>
        </w:rPr>
        <w:t xml:space="preserve">. </w:t>
      </w:r>
      <w:r w:rsidR="00464745">
        <w:rPr>
          <w:rFonts w:ascii="Arial" w:hAnsi="Arial" w:cs="Arial"/>
          <w:bCs/>
          <w:sz w:val="24"/>
          <w:szCs w:val="24"/>
        </w:rPr>
        <w:t xml:space="preserve">We remain convinced that investment today to develop </w:t>
      </w:r>
      <w:r w:rsidR="00831CFC">
        <w:rPr>
          <w:rFonts w:ascii="Arial" w:hAnsi="Arial" w:cs="Arial"/>
          <w:bCs/>
          <w:sz w:val="24"/>
          <w:szCs w:val="24"/>
        </w:rPr>
        <w:t xml:space="preserve">the </w:t>
      </w:r>
      <w:r w:rsidR="00323314">
        <w:rPr>
          <w:rFonts w:ascii="Arial" w:hAnsi="Arial" w:cs="Arial"/>
          <w:bCs/>
          <w:sz w:val="24"/>
          <w:szCs w:val="24"/>
        </w:rPr>
        <w:t xml:space="preserve">highly profitable </w:t>
      </w:r>
      <w:r w:rsidR="00831CFC">
        <w:rPr>
          <w:rFonts w:ascii="Arial" w:hAnsi="Arial" w:cs="Arial"/>
          <w:bCs/>
          <w:sz w:val="24"/>
          <w:szCs w:val="24"/>
        </w:rPr>
        <w:t>Screwfix and Brico D</w:t>
      </w:r>
      <w:r w:rsidR="00F65620">
        <w:rPr>
          <w:rFonts w:ascii="Arial" w:hAnsi="Arial" w:cs="Arial"/>
          <w:bCs/>
          <w:sz w:val="24"/>
          <w:szCs w:val="24"/>
        </w:rPr>
        <w:t>é</w:t>
      </w:r>
      <w:r w:rsidR="00831CFC">
        <w:rPr>
          <w:rFonts w:ascii="Arial" w:hAnsi="Arial" w:cs="Arial"/>
          <w:bCs/>
          <w:sz w:val="24"/>
          <w:szCs w:val="24"/>
        </w:rPr>
        <w:t>p</w:t>
      </w:r>
      <w:r w:rsidR="00F65620">
        <w:rPr>
          <w:rFonts w:ascii="Arial" w:hAnsi="Arial" w:cs="Arial"/>
          <w:bCs/>
          <w:sz w:val="24"/>
          <w:szCs w:val="24"/>
        </w:rPr>
        <w:t>ô</w:t>
      </w:r>
      <w:r w:rsidR="00831CFC">
        <w:rPr>
          <w:rFonts w:ascii="Arial" w:hAnsi="Arial" w:cs="Arial"/>
          <w:bCs/>
          <w:sz w:val="24"/>
          <w:szCs w:val="24"/>
        </w:rPr>
        <w:t xml:space="preserve">t </w:t>
      </w:r>
      <w:r w:rsidR="00323314">
        <w:rPr>
          <w:rFonts w:ascii="Arial" w:hAnsi="Arial" w:cs="Arial"/>
          <w:bCs/>
          <w:sz w:val="24"/>
          <w:szCs w:val="24"/>
        </w:rPr>
        <w:t xml:space="preserve">formats </w:t>
      </w:r>
      <w:r w:rsidR="00464745">
        <w:rPr>
          <w:rFonts w:ascii="Arial" w:hAnsi="Arial" w:cs="Arial"/>
          <w:bCs/>
          <w:sz w:val="24"/>
          <w:szCs w:val="24"/>
        </w:rPr>
        <w:t xml:space="preserve">into new markets </w:t>
      </w:r>
      <w:r w:rsidR="00F21C86">
        <w:rPr>
          <w:rFonts w:ascii="Arial" w:hAnsi="Arial" w:cs="Arial"/>
          <w:bCs/>
          <w:sz w:val="24"/>
          <w:szCs w:val="24"/>
        </w:rPr>
        <w:t>create</w:t>
      </w:r>
      <w:r w:rsidR="00323314">
        <w:rPr>
          <w:rFonts w:ascii="Arial" w:hAnsi="Arial" w:cs="Arial"/>
          <w:bCs/>
          <w:sz w:val="24"/>
          <w:szCs w:val="24"/>
        </w:rPr>
        <w:t>s a huge growth opportunity for Kingfisher</w:t>
      </w:r>
      <w:r w:rsidR="00464745">
        <w:rPr>
          <w:rFonts w:ascii="Arial" w:hAnsi="Arial" w:cs="Arial"/>
          <w:bCs/>
          <w:sz w:val="24"/>
          <w:szCs w:val="24"/>
        </w:rPr>
        <w:t xml:space="preserve">.   </w:t>
      </w:r>
    </w:p>
    <w:p w:rsidR="00323314" w:rsidRDefault="00323314" w:rsidP="00790367">
      <w:pPr>
        <w:jc w:val="left"/>
        <w:rPr>
          <w:rFonts w:ascii="Arial" w:hAnsi="Arial" w:cs="Arial"/>
          <w:bCs/>
          <w:sz w:val="24"/>
          <w:szCs w:val="24"/>
        </w:rPr>
      </w:pPr>
    </w:p>
    <w:p w:rsidR="00323314" w:rsidRDefault="00614E39" w:rsidP="00790367">
      <w:pPr>
        <w:jc w:val="left"/>
        <w:rPr>
          <w:rFonts w:ascii="Arial" w:hAnsi="Arial" w:cs="Arial"/>
          <w:bCs/>
          <w:sz w:val="24"/>
          <w:szCs w:val="24"/>
        </w:rPr>
      </w:pPr>
      <w:r>
        <w:rPr>
          <w:rFonts w:ascii="Arial" w:hAnsi="Arial" w:cs="Arial"/>
          <w:bCs/>
          <w:sz w:val="24"/>
          <w:szCs w:val="24"/>
        </w:rPr>
        <w:t>“</w:t>
      </w:r>
      <w:r w:rsidR="00DA0019">
        <w:rPr>
          <w:rFonts w:ascii="Arial" w:hAnsi="Arial" w:cs="Arial"/>
          <w:bCs/>
          <w:sz w:val="24"/>
          <w:szCs w:val="24"/>
        </w:rPr>
        <w:t xml:space="preserve">Whilst </w:t>
      </w:r>
      <w:r w:rsidR="000D6E86">
        <w:rPr>
          <w:rFonts w:ascii="Arial" w:hAnsi="Arial" w:cs="Arial"/>
          <w:bCs/>
          <w:sz w:val="24"/>
          <w:szCs w:val="24"/>
        </w:rPr>
        <w:t>our</w:t>
      </w:r>
      <w:r w:rsidR="00DA0019">
        <w:rPr>
          <w:rFonts w:ascii="Arial" w:hAnsi="Arial" w:cs="Arial"/>
          <w:bCs/>
          <w:sz w:val="24"/>
          <w:szCs w:val="24"/>
        </w:rPr>
        <w:t xml:space="preserve"> French </w:t>
      </w:r>
      <w:r w:rsidR="000D6E86">
        <w:rPr>
          <w:rFonts w:ascii="Arial" w:hAnsi="Arial" w:cs="Arial"/>
          <w:bCs/>
          <w:sz w:val="24"/>
          <w:szCs w:val="24"/>
        </w:rPr>
        <w:t>business</w:t>
      </w:r>
      <w:r w:rsidR="00DA0019">
        <w:rPr>
          <w:rFonts w:ascii="Arial" w:hAnsi="Arial" w:cs="Arial"/>
          <w:bCs/>
          <w:sz w:val="24"/>
          <w:szCs w:val="24"/>
        </w:rPr>
        <w:t xml:space="preserve"> saw an improvement in August we remain cautious </w:t>
      </w:r>
      <w:r w:rsidR="00AC7A95">
        <w:rPr>
          <w:rFonts w:ascii="Arial" w:hAnsi="Arial" w:cs="Arial"/>
          <w:bCs/>
          <w:sz w:val="24"/>
          <w:szCs w:val="24"/>
        </w:rPr>
        <w:t xml:space="preserve">about the economic backdrop </w:t>
      </w:r>
      <w:r w:rsidR="00DA0019">
        <w:rPr>
          <w:rFonts w:ascii="Arial" w:hAnsi="Arial" w:cs="Arial"/>
          <w:bCs/>
          <w:sz w:val="24"/>
          <w:szCs w:val="24"/>
        </w:rPr>
        <w:t xml:space="preserve">and </w:t>
      </w:r>
      <w:r w:rsidR="00323314">
        <w:rPr>
          <w:rFonts w:ascii="Arial" w:hAnsi="Arial" w:cs="Arial"/>
          <w:bCs/>
          <w:sz w:val="24"/>
          <w:szCs w:val="24"/>
        </w:rPr>
        <w:t xml:space="preserve">focused on trading effectively </w:t>
      </w:r>
      <w:r w:rsidR="00F21C86">
        <w:rPr>
          <w:rFonts w:ascii="Arial" w:hAnsi="Arial" w:cs="Arial"/>
          <w:bCs/>
          <w:sz w:val="24"/>
          <w:szCs w:val="24"/>
        </w:rPr>
        <w:t>with continued self-help initiatives</w:t>
      </w:r>
      <w:r w:rsidR="00563644">
        <w:rPr>
          <w:rFonts w:ascii="Arial" w:hAnsi="Arial" w:cs="Arial"/>
          <w:bCs/>
          <w:sz w:val="24"/>
          <w:szCs w:val="24"/>
        </w:rPr>
        <w:t xml:space="preserve"> </w:t>
      </w:r>
      <w:r w:rsidR="00DA0019">
        <w:rPr>
          <w:rFonts w:ascii="Arial" w:hAnsi="Arial" w:cs="Arial"/>
          <w:bCs/>
          <w:sz w:val="24"/>
          <w:szCs w:val="24"/>
        </w:rPr>
        <w:t>whilst c</w:t>
      </w:r>
      <w:r w:rsidR="00323314">
        <w:rPr>
          <w:rFonts w:ascii="Arial" w:hAnsi="Arial" w:cs="Arial"/>
          <w:bCs/>
          <w:sz w:val="24"/>
          <w:szCs w:val="24"/>
        </w:rPr>
        <w:t>ontinu</w:t>
      </w:r>
      <w:r w:rsidR="00DA0019">
        <w:rPr>
          <w:rFonts w:ascii="Arial" w:hAnsi="Arial" w:cs="Arial"/>
          <w:bCs/>
          <w:sz w:val="24"/>
          <w:szCs w:val="24"/>
        </w:rPr>
        <w:t xml:space="preserve">ing </w:t>
      </w:r>
      <w:r w:rsidR="00323314">
        <w:rPr>
          <w:rFonts w:ascii="Arial" w:hAnsi="Arial" w:cs="Arial"/>
          <w:bCs/>
          <w:sz w:val="24"/>
          <w:szCs w:val="24"/>
        </w:rPr>
        <w:t>with our initiatives to build a long term, sustainable future for the business.</w:t>
      </w:r>
      <w:r w:rsidR="00A71948">
        <w:rPr>
          <w:rFonts w:ascii="Arial" w:hAnsi="Arial" w:cs="Arial"/>
          <w:bCs/>
          <w:sz w:val="24"/>
          <w:szCs w:val="24"/>
        </w:rPr>
        <w:t xml:space="preserve"> We have a strong balance sheet </w:t>
      </w:r>
      <w:r w:rsidR="00DA0019">
        <w:rPr>
          <w:rFonts w:ascii="Arial" w:hAnsi="Arial" w:cs="Arial"/>
          <w:bCs/>
          <w:sz w:val="24"/>
          <w:szCs w:val="24"/>
        </w:rPr>
        <w:t xml:space="preserve">and cashflow </w:t>
      </w:r>
      <w:r w:rsidR="00A71948">
        <w:rPr>
          <w:rFonts w:ascii="Arial" w:hAnsi="Arial" w:cs="Arial"/>
          <w:bCs/>
          <w:sz w:val="24"/>
          <w:szCs w:val="24"/>
        </w:rPr>
        <w:t xml:space="preserve">to enable the necessary investment </w:t>
      </w:r>
      <w:r w:rsidR="00DA0019">
        <w:rPr>
          <w:rFonts w:ascii="Arial" w:hAnsi="Arial" w:cs="Arial"/>
          <w:bCs/>
          <w:sz w:val="24"/>
          <w:szCs w:val="24"/>
        </w:rPr>
        <w:t xml:space="preserve">in the future </w:t>
      </w:r>
      <w:r w:rsidR="00A71948">
        <w:rPr>
          <w:rFonts w:ascii="Arial" w:hAnsi="Arial" w:cs="Arial"/>
          <w:bCs/>
          <w:sz w:val="24"/>
          <w:szCs w:val="24"/>
        </w:rPr>
        <w:t>as well as paying a healthy dividend to our shareholders</w:t>
      </w:r>
      <w:r w:rsidR="00DA0019">
        <w:rPr>
          <w:rFonts w:ascii="Arial" w:hAnsi="Arial" w:cs="Arial"/>
          <w:bCs/>
          <w:sz w:val="24"/>
          <w:szCs w:val="24"/>
        </w:rPr>
        <w:t xml:space="preserve">. </w:t>
      </w:r>
      <w:r w:rsidR="00A71948">
        <w:rPr>
          <w:rFonts w:ascii="Arial" w:hAnsi="Arial" w:cs="Arial"/>
          <w:bCs/>
          <w:sz w:val="24"/>
          <w:szCs w:val="24"/>
        </w:rPr>
        <w:t>I am pleased that we are also recommencing our share buyback</w:t>
      </w:r>
      <w:r w:rsidR="000D6E86">
        <w:rPr>
          <w:rFonts w:ascii="Arial" w:hAnsi="Arial" w:cs="Arial"/>
          <w:bCs/>
          <w:sz w:val="24"/>
          <w:szCs w:val="24"/>
        </w:rPr>
        <w:t>.</w:t>
      </w:r>
      <w:r w:rsidR="00323314">
        <w:rPr>
          <w:rFonts w:ascii="Arial" w:hAnsi="Arial" w:cs="Arial"/>
          <w:bCs/>
          <w:sz w:val="24"/>
          <w:szCs w:val="24"/>
        </w:rPr>
        <w:t xml:space="preserve">” </w:t>
      </w:r>
    </w:p>
    <w:p w:rsidR="006A788A" w:rsidRPr="00614E39" w:rsidRDefault="006A788A" w:rsidP="00AD5BF9">
      <w:pPr>
        <w:jc w:val="left"/>
        <w:rPr>
          <w:rFonts w:ascii="Arial" w:hAnsi="Arial" w:cs="Arial"/>
          <w:b/>
          <w:bCs/>
          <w:sz w:val="24"/>
          <w:szCs w:val="24"/>
        </w:rPr>
      </w:pPr>
    </w:p>
    <w:p w:rsidR="00181E03" w:rsidRPr="00376255" w:rsidRDefault="00A8740A" w:rsidP="00AD5BF9">
      <w:pPr>
        <w:jc w:val="left"/>
        <w:rPr>
          <w:rFonts w:ascii="Arial" w:hAnsi="Arial" w:cs="Arial"/>
          <w:sz w:val="24"/>
          <w:szCs w:val="24"/>
        </w:rPr>
      </w:pPr>
      <w:r>
        <w:rPr>
          <w:rFonts w:ascii="Arial" w:hAnsi="Arial" w:cs="Arial"/>
          <w:b/>
          <w:bCs/>
          <w:sz w:val="24"/>
          <w:szCs w:val="24"/>
          <w:lang w:val="fr-FR"/>
        </w:rPr>
        <w:t>ENQUIRIES</w:t>
      </w:r>
    </w:p>
    <w:p w:rsidR="008E7383" w:rsidRPr="007C228C" w:rsidRDefault="008E7383" w:rsidP="00AD5BF9">
      <w:pPr>
        <w:jc w:val="left"/>
        <w:rPr>
          <w:rFonts w:ascii="Arial" w:hAnsi="Arial" w:cs="Arial"/>
          <w:b/>
          <w:bCs/>
          <w:sz w:val="24"/>
          <w:szCs w:val="24"/>
          <w:lang w:val="fr-FR"/>
        </w:rPr>
      </w:pPr>
    </w:p>
    <w:tbl>
      <w:tblPr>
        <w:tblW w:w="4839" w:type="pct"/>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706"/>
        <w:gridCol w:w="2615"/>
      </w:tblGrid>
      <w:tr w:rsidR="007C228C" w:rsidRPr="007C228C">
        <w:tc>
          <w:tcPr>
            <w:tcW w:w="3597" w:type="pct"/>
            <w:tcBorders>
              <w:top w:val="single" w:sz="4" w:space="0" w:color="auto"/>
            </w:tcBorders>
          </w:tcPr>
          <w:p w:rsidR="00181E03" w:rsidRPr="007C228C" w:rsidRDefault="00181E03" w:rsidP="008E3324">
            <w:pPr>
              <w:jc w:val="left"/>
              <w:rPr>
                <w:rFonts w:ascii="Arial" w:hAnsi="Arial" w:cs="Arial"/>
                <w:sz w:val="24"/>
                <w:szCs w:val="24"/>
              </w:rPr>
            </w:pPr>
            <w:r w:rsidRPr="007C228C">
              <w:rPr>
                <w:rFonts w:ascii="Arial" w:hAnsi="Arial" w:cs="Arial"/>
                <w:sz w:val="24"/>
                <w:szCs w:val="24"/>
              </w:rPr>
              <w:t>Ian Harding, Group Communications Director</w:t>
            </w:r>
          </w:p>
        </w:tc>
        <w:tc>
          <w:tcPr>
            <w:tcW w:w="1403" w:type="pct"/>
            <w:tcBorders>
              <w:top w:val="single" w:sz="4" w:space="0" w:color="auto"/>
            </w:tcBorders>
          </w:tcPr>
          <w:p w:rsidR="00181E03" w:rsidRPr="007C228C" w:rsidRDefault="00A8740A" w:rsidP="00F979C4">
            <w:pPr>
              <w:jc w:val="right"/>
              <w:rPr>
                <w:rFonts w:ascii="Arial" w:hAnsi="Arial" w:cs="Arial"/>
                <w:sz w:val="24"/>
                <w:szCs w:val="24"/>
              </w:rPr>
            </w:pPr>
            <w:r>
              <w:rPr>
                <w:rFonts w:ascii="Arial" w:hAnsi="Arial" w:cs="Arial"/>
                <w:sz w:val="24"/>
                <w:szCs w:val="24"/>
              </w:rPr>
              <w:t>+44 (</w:t>
            </w:r>
            <w:r w:rsidR="00181E03" w:rsidRPr="007C228C">
              <w:rPr>
                <w:rFonts w:ascii="Arial" w:hAnsi="Arial" w:cs="Arial"/>
                <w:sz w:val="24"/>
                <w:szCs w:val="24"/>
              </w:rPr>
              <w:t>0</w:t>
            </w:r>
            <w:r>
              <w:rPr>
                <w:rFonts w:ascii="Arial" w:hAnsi="Arial" w:cs="Arial"/>
                <w:sz w:val="24"/>
                <w:szCs w:val="24"/>
              </w:rPr>
              <w:t xml:space="preserve">) </w:t>
            </w:r>
            <w:r w:rsidR="00181E03" w:rsidRPr="007C228C">
              <w:rPr>
                <w:rFonts w:ascii="Arial" w:hAnsi="Arial" w:cs="Arial"/>
                <w:sz w:val="24"/>
                <w:szCs w:val="24"/>
              </w:rPr>
              <w:t>20 7644 1029</w:t>
            </w:r>
          </w:p>
        </w:tc>
      </w:tr>
      <w:tr w:rsidR="007C228C" w:rsidRPr="007C228C" w:rsidTr="00033D68">
        <w:trPr>
          <w:trHeight w:val="57"/>
        </w:trPr>
        <w:tc>
          <w:tcPr>
            <w:tcW w:w="3597" w:type="pct"/>
          </w:tcPr>
          <w:p w:rsidR="00181E03" w:rsidRPr="007C228C" w:rsidRDefault="00181E03" w:rsidP="008E3324">
            <w:pPr>
              <w:jc w:val="left"/>
              <w:rPr>
                <w:rFonts w:ascii="Arial" w:hAnsi="Arial" w:cs="Arial"/>
                <w:sz w:val="16"/>
                <w:szCs w:val="16"/>
              </w:rPr>
            </w:pPr>
          </w:p>
        </w:tc>
        <w:tc>
          <w:tcPr>
            <w:tcW w:w="1403" w:type="pct"/>
          </w:tcPr>
          <w:p w:rsidR="00181E03" w:rsidRPr="007C228C" w:rsidRDefault="00181E03" w:rsidP="00F979C4">
            <w:pPr>
              <w:jc w:val="right"/>
              <w:rPr>
                <w:rFonts w:ascii="Arial" w:hAnsi="Arial" w:cs="Arial"/>
                <w:sz w:val="16"/>
                <w:szCs w:val="16"/>
              </w:rPr>
            </w:pPr>
          </w:p>
        </w:tc>
      </w:tr>
      <w:tr w:rsidR="007C228C" w:rsidRPr="007C228C">
        <w:tc>
          <w:tcPr>
            <w:tcW w:w="3597" w:type="pct"/>
          </w:tcPr>
          <w:p w:rsidR="00181E03" w:rsidRPr="007C228C" w:rsidRDefault="00181E03" w:rsidP="008E3324">
            <w:pPr>
              <w:jc w:val="left"/>
              <w:rPr>
                <w:rFonts w:ascii="Arial" w:hAnsi="Arial" w:cs="Arial"/>
                <w:sz w:val="24"/>
                <w:szCs w:val="24"/>
              </w:rPr>
            </w:pPr>
            <w:r w:rsidRPr="007C228C">
              <w:rPr>
                <w:rFonts w:ascii="Arial" w:hAnsi="Arial" w:cs="Arial"/>
                <w:sz w:val="24"/>
                <w:szCs w:val="24"/>
              </w:rPr>
              <w:t xml:space="preserve">Sarah </w:t>
            </w:r>
            <w:r w:rsidR="00FE57F9" w:rsidRPr="007C228C">
              <w:rPr>
                <w:rFonts w:ascii="Arial" w:hAnsi="Arial" w:cs="Arial"/>
                <w:sz w:val="24"/>
                <w:szCs w:val="24"/>
              </w:rPr>
              <w:t>Levy</w:t>
            </w:r>
            <w:r w:rsidR="007C228C" w:rsidRPr="007C228C">
              <w:rPr>
                <w:rFonts w:ascii="Arial" w:hAnsi="Arial" w:cs="Arial"/>
                <w:sz w:val="24"/>
                <w:szCs w:val="24"/>
              </w:rPr>
              <w:t>, Director</w:t>
            </w:r>
            <w:r w:rsidRPr="007C228C">
              <w:rPr>
                <w:rFonts w:ascii="Arial" w:hAnsi="Arial" w:cs="Arial"/>
                <w:sz w:val="24"/>
                <w:szCs w:val="24"/>
              </w:rPr>
              <w:t xml:space="preserve"> of Investor Relations</w:t>
            </w:r>
          </w:p>
        </w:tc>
        <w:tc>
          <w:tcPr>
            <w:tcW w:w="1403" w:type="pct"/>
          </w:tcPr>
          <w:p w:rsidR="00181E03" w:rsidRPr="007C228C" w:rsidRDefault="00A8740A" w:rsidP="00F979C4">
            <w:pPr>
              <w:jc w:val="right"/>
              <w:rPr>
                <w:rFonts w:ascii="Arial" w:hAnsi="Arial" w:cs="Arial"/>
                <w:sz w:val="24"/>
                <w:szCs w:val="24"/>
              </w:rPr>
            </w:pPr>
            <w:r>
              <w:rPr>
                <w:rFonts w:ascii="Arial" w:hAnsi="Arial" w:cs="Arial"/>
                <w:sz w:val="24"/>
                <w:szCs w:val="24"/>
              </w:rPr>
              <w:t>+44 (</w:t>
            </w:r>
            <w:r w:rsidR="00181E03" w:rsidRPr="007C228C">
              <w:rPr>
                <w:rFonts w:ascii="Arial" w:hAnsi="Arial" w:cs="Arial"/>
                <w:sz w:val="24"/>
                <w:szCs w:val="24"/>
              </w:rPr>
              <w:t>0</w:t>
            </w:r>
            <w:r>
              <w:rPr>
                <w:rFonts w:ascii="Arial" w:hAnsi="Arial" w:cs="Arial"/>
                <w:sz w:val="24"/>
                <w:szCs w:val="24"/>
              </w:rPr>
              <w:t xml:space="preserve">) </w:t>
            </w:r>
            <w:r w:rsidR="00181E03" w:rsidRPr="007C228C">
              <w:rPr>
                <w:rFonts w:ascii="Arial" w:hAnsi="Arial" w:cs="Arial"/>
                <w:sz w:val="24"/>
                <w:szCs w:val="24"/>
              </w:rPr>
              <w:t>20 7644 1032</w:t>
            </w:r>
          </w:p>
        </w:tc>
      </w:tr>
      <w:tr w:rsidR="007C228C" w:rsidRPr="007C228C">
        <w:tc>
          <w:tcPr>
            <w:tcW w:w="3597" w:type="pct"/>
          </w:tcPr>
          <w:p w:rsidR="00181E03" w:rsidRPr="007C228C" w:rsidRDefault="00181E03" w:rsidP="008E3324">
            <w:pPr>
              <w:jc w:val="left"/>
              <w:rPr>
                <w:rFonts w:ascii="Arial" w:hAnsi="Arial" w:cs="Arial"/>
                <w:sz w:val="16"/>
                <w:szCs w:val="16"/>
              </w:rPr>
            </w:pPr>
          </w:p>
        </w:tc>
        <w:tc>
          <w:tcPr>
            <w:tcW w:w="1403" w:type="pct"/>
          </w:tcPr>
          <w:p w:rsidR="00181E03" w:rsidRPr="007C228C" w:rsidRDefault="00181E03" w:rsidP="00F979C4">
            <w:pPr>
              <w:jc w:val="right"/>
              <w:rPr>
                <w:rFonts w:ascii="Arial" w:hAnsi="Arial" w:cs="Arial"/>
                <w:sz w:val="16"/>
                <w:szCs w:val="16"/>
              </w:rPr>
            </w:pPr>
          </w:p>
        </w:tc>
      </w:tr>
      <w:tr w:rsidR="007C228C" w:rsidRPr="007C228C">
        <w:tc>
          <w:tcPr>
            <w:tcW w:w="3597" w:type="pct"/>
          </w:tcPr>
          <w:p w:rsidR="00181E03" w:rsidRPr="007C228C" w:rsidRDefault="00181E03" w:rsidP="008E3324">
            <w:pPr>
              <w:jc w:val="left"/>
              <w:rPr>
                <w:rFonts w:ascii="Arial" w:hAnsi="Arial" w:cs="Arial"/>
                <w:sz w:val="24"/>
                <w:szCs w:val="24"/>
              </w:rPr>
            </w:pPr>
            <w:r w:rsidRPr="007C228C">
              <w:rPr>
                <w:rFonts w:ascii="Arial" w:hAnsi="Arial" w:cs="Arial"/>
                <w:sz w:val="24"/>
                <w:szCs w:val="24"/>
              </w:rPr>
              <w:t>Nigel Cope, Head of Media Relations</w:t>
            </w:r>
          </w:p>
        </w:tc>
        <w:tc>
          <w:tcPr>
            <w:tcW w:w="1403" w:type="pct"/>
          </w:tcPr>
          <w:p w:rsidR="00181E03" w:rsidRPr="007C228C" w:rsidRDefault="00A8740A" w:rsidP="00F979C4">
            <w:pPr>
              <w:jc w:val="right"/>
              <w:rPr>
                <w:rFonts w:ascii="Arial" w:hAnsi="Arial" w:cs="Arial"/>
                <w:sz w:val="24"/>
                <w:szCs w:val="24"/>
              </w:rPr>
            </w:pPr>
            <w:r>
              <w:rPr>
                <w:rFonts w:ascii="Arial" w:hAnsi="Arial" w:cs="Arial"/>
                <w:sz w:val="24"/>
                <w:szCs w:val="24"/>
              </w:rPr>
              <w:t>+44 (</w:t>
            </w:r>
            <w:r w:rsidRPr="007C228C">
              <w:rPr>
                <w:rFonts w:ascii="Arial" w:hAnsi="Arial" w:cs="Arial"/>
                <w:sz w:val="24"/>
                <w:szCs w:val="24"/>
              </w:rPr>
              <w:t>0</w:t>
            </w:r>
            <w:r>
              <w:rPr>
                <w:rFonts w:ascii="Arial" w:hAnsi="Arial" w:cs="Arial"/>
                <w:sz w:val="24"/>
                <w:szCs w:val="24"/>
              </w:rPr>
              <w:t xml:space="preserve">) </w:t>
            </w:r>
            <w:r w:rsidR="00181E03" w:rsidRPr="007C228C">
              <w:rPr>
                <w:rFonts w:ascii="Arial" w:hAnsi="Arial" w:cs="Arial"/>
                <w:sz w:val="24"/>
                <w:szCs w:val="24"/>
              </w:rPr>
              <w:t>20 7644 1030</w:t>
            </w:r>
          </w:p>
        </w:tc>
      </w:tr>
      <w:tr w:rsidR="007C228C" w:rsidRPr="007C228C">
        <w:tc>
          <w:tcPr>
            <w:tcW w:w="3597" w:type="pct"/>
          </w:tcPr>
          <w:p w:rsidR="00C34F2D" w:rsidRPr="007C228C" w:rsidRDefault="00C34F2D" w:rsidP="008E3324">
            <w:pPr>
              <w:jc w:val="left"/>
              <w:rPr>
                <w:rFonts w:ascii="Arial" w:hAnsi="Arial" w:cs="Arial"/>
                <w:sz w:val="16"/>
                <w:szCs w:val="16"/>
              </w:rPr>
            </w:pPr>
          </w:p>
        </w:tc>
        <w:tc>
          <w:tcPr>
            <w:tcW w:w="1403" w:type="pct"/>
          </w:tcPr>
          <w:p w:rsidR="00C34F2D" w:rsidRPr="007C228C" w:rsidRDefault="00C34F2D" w:rsidP="00F979C4">
            <w:pPr>
              <w:jc w:val="right"/>
              <w:rPr>
                <w:rFonts w:ascii="Arial" w:hAnsi="Arial" w:cs="Arial"/>
                <w:sz w:val="16"/>
                <w:szCs w:val="16"/>
              </w:rPr>
            </w:pPr>
          </w:p>
        </w:tc>
      </w:tr>
      <w:tr w:rsidR="007C228C" w:rsidRPr="007C228C">
        <w:tc>
          <w:tcPr>
            <w:tcW w:w="3597" w:type="pct"/>
          </w:tcPr>
          <w:p w:rsidR="00C34F2D" w:rsidRPr="007C228C" w:rsidRDefault="00C34F2D" w:rsidP="008E3324">
            <w:pPr>
              <w:jc w:val="left"/>
              <w:rPr>
                <w:rFonts w:ascii="Arial" w:hAnsi="Arial" w:cs="Arial"/>
                <w:sz w:val="24"/>
                <w:szCs w:val="24"/>
              </w:rPr>
            </w:pPr>
            <w:r w:rsidRPr="007C228C">
              <w:rPr>
                <w:rFonts w:ascii="Arial" w:hAnsi="Arial" w:cs="Arial"/>
                <w:sz w:val="24"/>
                <w:szCs w:val="24"/>
              </w:rPr>
              <w:t>Matt Duffy, Investor Relations Manager</w:t>
            </w:r>
          </w:p>
        </w:tc>
        <w:tc>
          <w:tcPr>
            <w:tcW w:w="1403" w:type="pct"/>
          </w:tcPr>
          <w:p w:rsidR="00C34F2D" w:rsidRPr="007C228C" w:rsidRDefault="00A8740A" w:rsidP="00F979C4">
            <w:pPr>
              <w:jc w:val="right"/>
              <w:rPr>
                <w:rFonts w:ascii="Arial" w:hAnsi="Arial" w:cs="Arial"/>
                <w:sz w:val="24"/>
                <w:szCs w:val="24"/>
              </w:rPr>
            </w:pPr>
            <w:r>
              <w:rPr>
                <w:rFonts w:ascii="Arial" w:hAnsi="Arial" w:cs="Arial"/>
                <w:sz w:val="24"/>
                <w:szCs w:val="24"/>
              </w:rPr>
              <w:t>+44 (</w:t>
            </w:r>
            <w:r w:rsidRPr="007C228C">
              <w:rPr>
                <w:rFonts w:ascii="Arial" w:hAnsi="Arial" w:cs="Arial"/>
                <w:sz w:val="24"/>
                <w:szCs w:val="24"/>
              </w:rPr>
              <w:t>0</w:t>
            </w:r>
            <w:r>
              <w:rPr>
                <w:rFonts w:ascii="Arial" w:hAnsi="Arial" w:cs="Arial"/>
                <w:sz w:val="24"/>
                <w:szCs w:val="24"/>
              </w:rPr>
              <w:t xml:space="preserve">) </w:t>
            </w:r>
            <w:r w:rsidR="00C34F2D" w:rsidRPr="007C228C">
              <w:rPr>
                <w:rFonts w:ascii="Arial" w:hAnsi="Arial" w:cs="Arial"/>
                <w:sz w:val="24"/>
                <w:szCs w:val="24"/>
              </w:rPr>
              <w:t>20 7644 1082</w:t>
            </w:r>
          </w:p>
        </w:tc>
      </w:tr>
      <w:tr w:rsidR="007C228C" w:rsidRPr="007C228C">
        <w:tc>
          <w:tcPr>
            <w:tcW w:w="3597" w:type="pct"/>
          </w:tcPr>
          <w:p w:rsidR="00181E03" w:rsidRPr="007C228C" w:rsidRDefault="00181E03" w:rsidP="008E3324">
            <w:pPr>
              <w:jc w:val="left"/>
              <w:rPr>
                <w:rFonts w:ascii="Arial" w:hAnsi="Arial" w:cs="Arial"/>
                <w:sz w:val="16"/>
                <w:szCs w:val="16"/>
              </w:rPr>
            </w:pPr>
          </w:p>
        </w:tc>
        <w:tc>
          <w:tcPr>
            <w:tcW w:w="1403" w:type="pct"/>
          </w:tcPr>
          <w:p w:rsidR="00181E03" w:rsidRPr="007C228C" w:rsidRDefault="00181E03" w:rsidP="00F979C4">
            <w:pPr>
              <w:jc w:val="right"/>
              <w:rPr>
                <w:rFonts w:ascii="Arial" w:hAnsi="Arial" w:cs="Arial"/>
                <w:sz w:val="16"/>
                <w:szCs w:val="16"/>
              </w:rPr>
            </w:pPr>
          </w:p>
        </w:tc>
      </w:tr>
      <w:tr w:rsidR="007C228C" w:rsidRPr="007C228C">
        <w:tc>
          <w:tcPr>
            <w:tcW w:w="3597" w:type="pct"/>
            <w:tcBorders>
              <w:bottom w:val="single" w:sz="4" w:space="0" w:color="auto"/>
            </w:tcBorders>
          </w:tcPr>
          <w:p w:rsidR="00181E03" w:rsidRPr="007C228C" w:rsidRDefault="00181E03" w:rsidP="008E3324">
            <w:pPr>
              <w:jc w:val="left"/>
              <w:rPr>
                <w:rFonts w:ascii="Arial" w:hAnsi="Arial" w:cs="Arial"/>
                <w:sz w:val="24"/>
                <w:szCs w:val="24"/>
              </w:rPr>
            </w:pPr>
            <w:r w:rsidRPr="007C228C">
              <w:rPr>
                <w:rFonts w:ascii="Arial" w:hAnsi="Arial" w:cs="Arial"/>
                <w:sz w:val="24"/>
                <w:szCs w:val="24"/>
              </w:rPr>
              <w:t>Brunswick</w:t>
            </w:r>
          </w:p>
        </w:tc>
        <w:tc>
          <w:tcPr>
            <w:tcW w:w="1403" w:type="pct"/>
            <w:tcBorders>
              <w:bottom w:val="single" w:sz="4" w:space="0" w:color="auto"/>
            </w:tcBorders>
          </w:tcPr>
          <w:p w:rsidR="00181E03" w:rsidRPr="007C228C" w:rsidRDefault="00A8740A" w:rsidP="00F979C4">
            <w:pPr>
              <w:jc w:val="right"/>
              <w:rPr>
                <w:rFonts w:ascii="Arial" w:hAnsi="Arial" w:cs="Arial"/>
                <w:sz w:val="24"/>
                <w:szCs w:val="24"/>
              </w:rPr>
            </w:pPr>
            <w:r>
              <w:rPr>
                <w:rFonts w:ascii="Arial" w:hAnsi="Arial" w:cs="Arial"/>
                <w:sz w:val="24"/>
                <w:szCs w:val="24"/>
              </w:rPr>
              <w:t>+44 (</w:t>
            </w:r>
            <w:r w:rsidRPr="007C228C">
              <w:rPr>
                <w:rFonts w:ascii="Arial" w:hAnsi="Arial" w:cs="Arial"/>
                <w:sz w:val="24"/>
                <w:szCs w:val="24"/>
              </w:rPr>
              <w:t>0</w:t>
            </w:r>
            <w:r>
              <w:rPr>
                <w:rFonts w:ascii="Arial" w:hAnsi="Arial" w:cs="Arial"/>
                <w:sz w:val="24"/>
                <w:szCs w:val="24"/>
              </w:rPr>
              <w:t xml:space="preserve">) </w:t>
            </w:r>
            <w:r w:rsidR="00181E03" w:rsidRPr="007C228C">
              <w:rPr>
                <w:rFonts w:ascii="Arial" w:hAnsi="Arial" w:cs="Arial"/>
                <w:sz w:val="24"/>
                <w:szCs w:val="24"/>
              </w:rPr>
              <w:t>20 7404 5959</w:t>
            </w:r>
          </w:p>
        </w:tc>
      </w:tr>
    </w:tbl>
    <w:p w:rsidR="008E7383" w:rsidRPr="007C228C" w:rsidRDefault="008E7383" w:rsidP="00AD5BF9">
      <w:pPr>
        <w:jc w:val="left"/>
        <w:rPr>
          <w:rFonts w:ascii="Arial" w:hAnsi="Arial" w:cs="Arial"/>
          <w:sz w:val="24"/>
          <w:szCs w:val="24"/>
          <w:highlight w:val="yellow"/>
        </w:rPr>
      </w:pPr>
    </w:p>
    <w:p w:rsidR="007C228C" w:rsidRPr="007C228C" w:rsidRDefault="007C228C" w:rsidP="007C228C">
      <w:pPr>
        <w:jc w:val="left"/>
        <w:rPr>
          <w:rFonts w:ascii="Arial" w:hAnsi="Arial" w:cs="Arial"/>
          <w:sz w:val="24"/>
          <w:szCs w:val="24"/>
        </w:rPr>
      </w:pPr>
      <w:r w:rsidRPr="007C228C">
        <w:rPr>
          <w:rFonts w:ascii="Arial" w:hAnsi="Arial" w:cs="Arial"/>
          <w:sz w:val="24"/>
          <w:szCs w:val="24"/>
        </w:rPr>
        <w:t xml:space="preserve">Further copies of this announcement can be downloaded from </w:t>
      </w:r>
      <w:hyperlink r:id="rId8" w:history="1">
        <w:r w:rsidR="00A8740A" w:rsidRPr="00015CB4">
          <w:rPr>
            <w:rStyle w:val="Hyperlink"/>
            <w:rFonts w:ascii="Arial" w:hAnsi="Arial" w:cs="Arial"/>
            <w:sz w:val="24"/>
            <w:szCs w:val="24"/>
          </w:rPr>
          <w:t>www.kingfisher.com</w:t>
        </w:r>
      </w:hyperlink>
      <w:r w:rsidR="00A8740A">
        <w:rPr>
          <w:rFonts w:ascii="Arial" w:hAnsi="Arial" w:cs="Arial"/>
          <w:sz w:val="24"/>
          <w:szCs w:val="24"/>
        </w:rPr>
        <w:t xml:space="preserve"> </w:t>
      </w:r>
      <w:r w:rsidRPr="007C228C">
        <w:rPr>
          <w:rFonts w:ascii="Arial" w:hAnsi="Arial" w:cs="Arial"/>
          <w:sz w:val="24"/>
          <w:szCs w:val="24"/>
        </w:rPr>
        <w:t>or</w:t>
      </w:r>
      <w:r w:rsidR="00D51571">
        <w:rPr>
          <w:rFonts w:ascii="Arial" w:hAnsi="Arial" w:cs="Arial"/>
          <w:sz w:val="24"/>
          <w:szCs w:val="24"/>
        </w:rPr>
        <w:t xml:space="preserve"> </w:t>
      </w:r>
      <w:r w:rsidRPr="007C228C">
        <w:rPr>
          <w:rFonts w:ascii="Arial" w:hAnsi="Arial" w:cs="Arial"/>
          <w:sz w:val="24"/>
          <w:szCs w:val="24"/>
        </w:rPr>
        <w:t>viewed on the Kingfisher IR iPad App available for free at the Apple App store. Video</w:t>
      </w:r>
    </w:p>
    <w:p w:rsidR="007C228C" w:rsidRPr="007C228C" w:rsidRDefault="007C228C" w:rsidP="007C228C">
      <w:pPr>
        <w:jc w:val="left"/>
        <w:rPr>
          <w:rFonts w:ascii="Arial" w:hAnsi="Arial" w:cs="Arial"/>
          <w:sz w:val="24"/>
          <w:szCs w:val="24"/>
        </w:rPr>
      </w:pPr>
      <w:r w:rsidRPr="007C228C">
        <w:rPr>
          <w:rFonts w:ascii="Arial" w:hAnsi="Arial" w:cs="Arial"/>
          <w:sz w:val="24"/>
          <w:szCs w:val="24"/>
        </w:rPr>
        <w:t>interviews with</w:t>
      </w:r>
      <w:r w:rsidR="006F33BE">
        <w:rPr>
          <w:rFonts w:ascii="Arial" w:hAnsi="Arial" w:cs="Arial"/>
          <w:sz w:val="24"/>
          <w:szCs w:val="24"/>
        </w:rPr>
        <w:t xml:space="preserve"> Sir</w:t>
      </w:r>
      <w:r w:rsidRPr="007C228C">
        <w:rPr>
          <w:rFonts w:ascii="Arial" w:hAnsi="Arial" w:cs="Arial"/>
          <w:sz w:val="24"/>
          <w:szCs w:val="24"/>
        </w:rPr>
        <w:t xml:space="preserve"> Ian Cheshire (Group Chief Executive) and Karen Witts (Group Finance</w:t>
      </w:r>
    </w:p>
    <w:p w:rsidR="007C228C" w:rsidRPr="007C228C" w:rsidRDefault="007C228C" w:rsidP="007C228C">
      <w:pPr>
        <w:jc w:val="left"/>
        <w:rPr>
          <w:rFonts w:ascii="Arial" w:hAnsi="Arial" w:cs="Arial"/>
          <w:sz w:val="24"/>
          <w:szCs w:val="24"/>
        </w:rPr>
      </w:pPr>
      <w:r w:rsidRPr="007C228C">
        <w:rPr>
          <w:rFonts w:ascii="Arial" w:hAnsi="Arial" w:cs="Arial"/>
          <w:sz w:val="24"/>
          <w:szCs w:val="24"/>
        </w:rPr>
        <w:t>Director) are also available on the website and we can be followed on twitter</w:t>
      </w:r>
    </w:p>
    <w:p w:rsidR="00181E03" w:rsidRPr="007C228C" w:rsidRDefault="00E05CA7" w:rsidP="007C228C">
      <w:pPr>
        <w:jc w:val="left"/>
        <w:rPr>
          <w:rFonts w:ascii="Arial" w:hAnsi="Arial" w:cs="Arial"/>
          <w:sz w:val="24"/>
          <w:szCs w:val="24"/>
        </w:rPr>
      </w:pPr>
      <w:r>
        <w:rPr>
          <w:rFonts w:ascii="Arial" w:hAnsi="Arial" w:cs="Arial"/>
          <w:sz w:val="24"/>
          <w:szCs w:val="24"/>
        </w:rPr>
        <w:t xml:space="preserve">@kingfisherplc </w:t>
      </w:r>
      <w:r w:rsidRPr="00E05CA7">
        <w:rPr>
          <w:rFonts w:ascii="Arial" w:hAnsi="Arial" w:cs="Arial"/>
          <w:sz w:val="24"/>
          <w:szCs w:val="24"/>
        </w:rPr>
        <w:t>with the interim results tag #KGFHY</w:t>
      </w:r>
      <w:r>
        <w:rPr>
          <w:rFonts w:ascii="Arial" w:hAnsi="Arial" w:cs="Arial"/>
          <w:sz w:val="24"/>
          <w:szCs w:val="24"/>
        </w:rPr>
        <w:t>.</w:t>
      </w:r>
    </w:p>
    <w:p w:rsidR="00025774" w:rsidRPr="00AC5413" w:rsidRDefault="00025774" w:rsidP="007C228C">
      <w:pPr>
        <w:jc w:val="left"/>
        <w:rPr>
          <w:rFonts w:ascii="Arial" w:hAnsi="Arial" w:cs="Arial"/>
          <w:sz w:val="24"/>
          <w:szCs w:val="24"/>
          <w:highlight w:val="yellow"/>
        </w:rPr>
      </w:pPr>
    </w:p>
    <w:p w:rsidR="007C228C" w:rsidRPr="00A1426F" w:rsidRDefault="007C228C" w:rsidP="007C228C">
      <w:pPr>
        <w:autoSpaceDE w:val="0"/>
        <w:autoSpaceDN w:val="0"/>
        <w:adjustRightInd w:val="0"/>
        <w:jc w:val="left"/>
        <w:rPr>
          <w:rFonts w:ascii="Arial" w:hAnsi="Arial" w:cs="Arial"/>
          <w:sz w:val="24"/>
          <w:szCs w:val="24"/>
        </w:rPr>
      </w:pPr>
      <w:r w:rsidRPr="00A1426F">
        <w:rPr>
          <w:rFonts w:ascii="Arial" w:hAnsi="Arial" w:cs="Arial"/>
          <w:sz w:val="24"/>
          <w:szCs w:val="24"/>
        </w:rPr>
        <w:t>Kingfisher American Depository Receipts are traded in the US on the OTCQX platform:</w:t>
      </w:r>
    </w:p>
    <w:p w:rsidR="007C228C" w:rsidRPr="00A1426F" w:rsidRDefault="007C228C" w:rsidP="007C228C">
      <w:pPr>
        <w:autoSpaceDE w:val="0"/>
        <w:autoSpaceDN w:val="0"/>
        <w:adjustRightInd w:val="0"/>
        <w:jc w:val="left"/>
        <w:rPr>
          <w:rFonts w:ascii="Arial" w:hAnsi="Arial" w:cs="Arial"/>
          <w:sz w:val="24"/>
          <w:szCs w:val="24"/>
        </w:rPr>
      </w:pPr>
      <w:r w:rsidRPr="00A1426F">
        <w:rPr>
          <w:rFonts w:ascii="Arial" w:hAnsi="Arial" w:cs="Arial"/>
          <w:sz w:val="24"/>
          <w:szCs w:val="24"/>
        </w:rPr>
        <w:t>(OTCQX: KGFHY)</w:t>
      </w:r>
    </w:p>
    <w:p w:rsidR="007C228C" w:rsidRPr="00637B9B" w:rsidRDefault="007C228C" w:rsidP="007C228C">
      <w:pPr>
        <w:jc w:val="left"/>
        <w:rPr>
          <w:rFonts w:ascii="Arial" w:hAnsi="Arial" w:cs="Arial"/>
          <w:sz w:val="24"/>
          <w:szCs w:val="24"/>
          <w:highlight w:val="yellow"/>
        </w:rPr>
      </w:pPr>
      <w:r w:rsidRPr="00A1426F">
        <w:rPr>
          <w:rFonts w:ascii="Arial" w:hAnsi="Arial" w:cs="Arial"/>
          <w:sz w:val="24"/>
          <w:szCs w:val="24"/>
        </w:rPr>
        <w:t>http://www.otcmarkets.com/stock/KGFHY/quote</w:t>
      </w:r>
    </w:p>
    <w:p w:rsidR="007C228C" w:rsidRPr="00AC5413" w:rsidRDefault="007C228C" w:rsidP="00EE1E29">
      <w:pPr>
        <w:jc w:val="left"/>
        <w:rPr>
          <w:rFonts w:ascii="Arial" w:hAnsi="Arial" w:cs="Arial"/>
          <w:sz w:val="24"/>
          <w:szCs w:val="24"/>
          <w:highlight w:val="yellow"/>
        </w:rPr>
      </w:pPr>
    </w:p>
    <w:p w:rsidR="006D455C" w:rsidRDefault="006D455C">
      <w:pPr>
        <w:jc w:val="left"/>
        <w:rPr>
          <w:rFonts w:ascii="Arial" w:hAnsi="Arial" w:cs="Arial"/>
          <w:b/>
          <w:bCs/>
          <w:sz w:val="24"/>
          <w:szCs w:val="24"/>
        </w:rPr>
      </w:pPr>
      <w:r>
        <w:rPr>
          <w:rFonts w:ascii="Arial" w:hAnsi="Arial" w:cs="Arial"/>
          <w:b/>
          <w:bCs/>
          <w:sz w:val="24"/>
          <w:szCs w:val="24"/>
        </w:rPr>
        <w:lastRenderedPageBreak/>
        <w:br w:type="page"/>
      </w:r>
    </w:p>
    <w:p w:rsidR="00C34F2D" w:rsidRPr="00AC5413" w:rsidRDefault="00A8740A" w:rsidP="00C34F2D">
      <w:pPr>
        <w:jc w:val="left"/>
        <w:rPr>
          <w:rFonts w:ascii="Arial" w:hAnsi="Arial" w:cs="Arial"/>
          <w:sz w:val="24"/>
          <w:szCs w:val="24"/>
        </w:rPr>
      </w:pPr>
      <w:r>
        <w:rPr>
          <w:rFonts w:ascii="Arial" w:hAnsi="Arial" w:cs="Arial"/>
          <w:b/>
          <w:bCs/>
          <w:sz w:val="24"/>
          <w:szCs w:val="24"/>
        </w:rPr>
        <w:lastRenderedPageBreak/>
        <w:t>COMPANY PROFILE</w:t>
      </w:r>
    </w:p>
    <w:p w:rsidR="00C34F2D" w:rsidRPr="00AC5413" w:rsidRDefault="00C34F2D" w:rsidP="00C34F2D">
      <w:pPr>
        <w:jc w:val="left"/>
        <w:rPr>
          <w:rFonts w:ascii="Arial" w:hAnsi="Arial" w:cs="Arial"/>
          <w:sz w:val="24"/>
          <w:szCs w:val="24"/>
        </w:rPr>
      </w:pPr>
    </w:p>
    <w:p w:rsidR="00AC5413" w:rsidRPr="00A1426F" w:rsidRDefault="00AC5413" w:rsidP="00AC5413">
      <w:pPr>
        <w:autoSpaceDE w:val="0"/>
        <w:autoSpaceDN w:val="0"/>
        <w:adjustRightInd w:val="0"/>
        <w:jc w:val="left"/>
        <w:rPr>
          <w:rFonts w:ascii="Arial" w:hAnsi="Arial" w:cs="Arial"/>
          <w:sz w:val="24"/>
          <w:szCs w:val="24"/>
        </w:rPr>
      </w:pPr>
      <w:r w:rsidRPr="00A1426F">
        <w:rPr>
          <w:rFonts w:ascii="Arial" w:hAnsi="Arial" w:cs="Arial"/>
          <w:b/>
          <w:bCs/>
          <w:sz w:val="24"/>
          <w:szCs w:val="24"/>
        </w:rPr>
        <w:t xml:space="preserve">Kingfisher plc </w:t>
      </w:r>
      <w:r w:rsidRPr="00A1426F">
        <w:rPr>
          <w:rFonts w:ascii="Arial" w:hAnsi="Arial" w:cs="Arial"/>
          <w:sz w:val="24"/>
          <w:szCs w:val="24"/>
        </w:rPr>
        <w:t>is Europe’s leading home improvement retail group and the third largest in</w:t>
      </w:r>
    </w:p>
    <w:p w:rsidR="00AC5413" w:rsidRPr="00A1426F" w:rsidRDefault="00C83B57" w:rsidP="00AC5413">
      <w:pPr>
        <w:autoSpaceDE w:val="0"/>
        <w:autoSpaceDN w:val="0"/>
        <w:adjustRightInd w:val="0"/>
        <w:jc w:val="left"/>
        <w:rPr>
          <w:rFonts w:ascii="Arial" w:hAnsi="Arial" w:cs="Arial"/>
          <w:sz w:val="24"/>
          <w:szCs w:val="24"/>
        </w:rPr>
      </w:pPr>
      <w:r w:rsidRPr="00A1426F">
        <w:rPr>
          <w:rFonts w:ascii="Arial" w:hAnsi="Arial" w:cs="Arial"/>
          <w:sz w:val="24"/>
          <w:szCs w:val="24"/>
        </w:rPr>
        <w:t xml:space="preserve">the world, with </w:t>
      </w:r>
      <w:r w:rsidR="00A8740A">
        <w:rPr>
          <w:rFonts w:ascii="Arial" w:hAnsi="Arial" w:cs="Arial"/>
          <w:sz w:val="24"/>
          <w:szCs w:val="24"/>
        </w:rPr>
        <w:t>1,157</w:t>
      </w:r>
      <w:r w:rsidR="00CC2EB6" w:rsidRPr="00A1426F">
        <w:rPr>
          <w:rFonts w:ascii="Arial" w:hAnsi="Arial" w:cs="Arial"/>
          <w:sz w:val="24"/>
          <w:szCs w:val="24"/>
        </w:rPr>
        <w:t xml:space="preserve"> stores in </w:t>
      </w:r>
      <w:r w:rsidR="00A8740A">
        <w:rPr>
          <w:rFonts w:ascii="Arial" w:hAnsi="Arial" w:cs="Arial"/>
          <w:sz w:val="24"/>
          <w:szCs w:val="24"/>
        </w:rPr>
        <w:t>ten</w:t>
      </w:r>
      <w:r w:rsidR="00AC5413" w:rsidRPr="00A1426F">
        <w:rPr>
          <w:rFonts w:ascii="Arial" w:hAnsi="Arial" w:cs="Arial"/>
          <w:sz w:val="24"/>
          <w:szCs w:val="24"/>
        </w:rPr>
        <w:t xml:space="preserve"> countries in Europe and Asia. Its main retail brands are</w:t>
      </w:r>
    </w:p>
    <w:p w:rsidR="00AC5413" w:rsidRPr="00A1426F" w:rsidRDefault="00AC5413" w:rsidP="00AC5413">
      <w:pPr>
        <w:autoSpaceDE w:val="0"/>
        <w:autoSpaceDN w:val="0"/>
        <w:adjustRightInd w:val="0"/>
        <w:jc w:val="left"/>
        <w:rPr>
          <w:rFonts w:ascii="Arial" w:hAnsi="Arial" w:cs="Arial"/>
          <w:sz w:val="24"/>
          <w:szCs w:val="24"/>
        </w:rPr>
      </w:pPr>
      <w:r w:rsidRPr="00A1426F">
        <w:rPr>
          <w:rFonts w:ascii="Arial" w:hAnsi="Arial" w:cs="Arial"/>
          <w:sz w:val="24"/>
          <w:szCs w:val="24"/>
        </w:rPr>
        <w:t>B&amp;Q, Castorama, Brico Dépôt and Screwfix. Kingfisher also operates the Koçtaş brand, a</w:t>
      </w:r>
    </w:p>
    <w:p w:rsidR="00341E1C" w:rsidRDefault="00AC5413" w:rsidP="00A1426F">
      <w:pPr>
        <w:autoSpaceDE w:val="0"/>
        <w:autoSpaceDN w:val="0"/>
        <w:adjustRightInd w:val="0"/>
        <w:jc w:val="left"/>
        <w:rPr>
          <w:rFonts w:ascii="Arial" w:hAnsi="Arial" w:cs="Arial"/>
          <w:sz w:val="24"/>
          <w:szCs w:val="24"/>
        </w:rPr>
      </w:pPr>
      <w:r w:rsidRPr="00A1426F">
        <w:rPr>
          <w:rFonts w:ascii="Arial" w:hAnsi="Arial" w:cs="Arial"/>
          <w:sz w:val="24"/>
          <w:szCs w:val="24"/>
        </w:rPr>
        <w:t>50% joint ventur</w:t>
      </w:r>
      <w:r w:rsidR="00CC2EB6" w:rsidRPr="00A1426F">
        <w:rPr>
          <w:rFonts w:ascii="Arial" w:hAnsi="Arial" w:cs="Arial"/>
          <w:sz w:val="24"/>
          <w:szCs w:val="24"/>
        </w:rPr>
        <w:t>e in Turkey with the Koç Group.</w:t>
      </w:r>
    </w:p>
    <w:p w:rsidR="00614E39" w:rsidRDefault="00614E39" w:rsidP="00EE1E29">
      <w:pPr>
        <w:jc w:val="left"/>
        <w:rPr>
          <w:rFonts w:ascii="Arial" w:hAnsi="Arial" w:cs="Arial"/>
          <w:sz w:val="24"/>
          <w:szCs w:val="24"/>
        </w:rPr>
      </w:pPr>
    </w:p>
    <w:p w:rsidR="00025774" w:rsidRPr="00EA6927" w:rsidRDefault="00181E03" w:rsidP="00EE1E29">
      <w:pPr>
        <w:jc w:val="left"/>
        <w:rPr>
          <w:rFonts w:ascii="Arial" w:hAnsi="Arial" w:cs="Arial"/>
          <w:sz w:val="24"/>
          <w:szCs w:val="24"/>
        </w:rPr>
      </w:pPr>
      <w:r w:rsidRPr="00AC5413">
        <w:rPr>
          <w:rFonts w:ascii="Arial" w:hAnsi="Arial" w:cs="Arial"/>
          <w:sz w:val="24"/>
          <w:szCs w:val="24"/>
        </w:rPr>
        <w:t xml:space="preserve">The remainder of this release </w:t>
      </w:r>
      <w:r w:rsidR="009B6367" w:rsidRPr="00AC5413">
        <w:rPr>
          <w:rFonts w:ascii="Arial" w:hAnsi="Arial" w:cs="Arial"/>
          <w:sz w:val="24"/>
          <w:szCs w:val="24"/>
        </w:rPr>
        <w:t xml:space="preserve">is broken down into </w:t>
      </w:r>
      <w:r w:rsidR="00FC3ECC" w:rsidRPr="00AC5413">
        <w:rPr>
          <w:rFonts w:ascii="Arial" w:hAnsi="Arial" w:cs="Arial"/>
          <w:sz w:val="24"/>
          <w:szCs w:val="24"/>
        </w:rPr>
        <w:t>f</w:t>
      </w:r>
      <w:r w:rsidR="00421ED6">
        <w:rPr>
          <w:rFonts w:ascii="Arial" w:hAnsi="Arial" w:cs="Arial"/>
          <w:sz w:val="24"/>
          <w:szCs w:val="24"/>
        </w:rPr>
        <w:t>ive</w:t>
      </w:r>
      <w:r w:rsidR="00101D68" w:rsidRPr="00AC5413">
        <w:rPr>
          <w:rFonts w:ascii="Arial" w:hAnsi="Arial" w:cs="Arial"/>
          <w:sz w:val="24"/>
          <w:szCs w:val="24"/>
        </w:rPr>
        <w:t xml:space="preserve"> </w:t>
      </w:r>
      <w:r w:rsidRPr="00AC5413">
        <w:rPr>
          <w:rFonts w:ascii="Arial" w:hAnsi="Arial" w:cs="Arial"/>
          <w:sz w:val="24"/>
          <w:szCs w:val="24"/>
        </w:rPr>
        <w:t>main sections:</w:t>
      </w:r>
    </w:p>
    <w:p w:rsidR="00C34F2D" w:rsidRPr="00AC5413" w:rsidRDefault="00C34F2D" w:rsidP="00630EE8">
      <w:pPr>
        <w:numPr>
          <w:ilvl w:val="0"/>
          <w:numId w:val="2"/>
        </w:numPr>
        <w:ind w:left="360"/>
        <w:jc w:val="left"/>
        <w:rPr>
          <w:rFonts w:ascii="Arial" w:hAnsi="Arial" w:cs="Arial"/>
          <w:sz w:val="24"/>
          <w:szCs w:val="24"/>
        </w:rPr>
      </w:pPr>
      <w:r w:rsidRPr="00AC5413">
        <w:rPr>
          <w:rFonts w:ascii="Arial" w:hAnsi="Arial" w:cs="Arial"/>
          <w:sz w:val="24"/>
          <w:szCs w:val="24"/>
        </w:rPr>
        <w:t xml:space="preserve">‘Creating the Leader’ </w:t>
      </w:r>
      <w:r w:rsidR="00107924" w:rsidRPr="00AC5413">
        <w:rPr>
          <w:rFonts w:ascii="Arial" w:hAnsi="Arial" w:cs="Arial"/>
          <w:sz w:val="24"/>
          <w:szCs w:val="24"/>
        </w:rPr>
        <w:t>update</w:t>
      </w:r>
    </w:p>
    <w:p w:rsidR="003E3617" w:rsidRPr="00AC5413" w:rsidRDefault="003E3617" w:rsidP="00630EE8">
      <w:pPr>
        <w:numPr>
          <w:ilvl w:val="0"/>
          <w:numId w:val="2"/>
        </w:numPr>
        <w:ind w:left="360"/>
        <w:jc w:val="left"/>
        <w:rPr>
          <w:rFonts w:ascii="Arial" w:hAnsi="Arial" w:cs="Arial"/>
          <w:sz w:val="24"/>
          <w:szCs w:val="24"/>
        </w:rPr>
      </w:pPr>
      <w:r w:rsidRPr="00AC5413">
        <w:rPr>
          <w:rFonts w:ascii="Arial" w:hAnsi="Arial" w:cs="Arial"/>
          <w:sz w:val="24"/>
          <w:szCs w:val="24"/>
        </w:rPr>
        <w:t>Trading review by major geography</w:t>
      </w:r>
    </w:p>
    <w:p w:rsidR="00B11B25" w:rsidRPr="00AC5413" w:rsidRDefault="00AC5413" w:rsidP="00630EE8">
      <w:pPr>
        <w:numPr>
          <w:ilvl w:val="0"/>
          <w:numId w:val="2"/>
        </w:numPr>
        <w:ind w:left="360"/>
        <w:jc w:val="left"/>
        <w:rPr>
          <w:rFonts w:ascii="Arial" w:hAnsi="Arial" w:cs="Arial"/>
          <w:sz w:val="24"/>
          <w:szCs w:val="24"/>
        </w:rPr>
      </w:pPr>
      <w:r w:rsidRPr="00AC5413">
        <w:rPr>
          <w:rFonts w:ascii="Arial" w:hAnsi="Arial" w:cs="Arial"/>
          <w:sz w:val="24"/>
          <w:szCs w:val="24"/>
        </w:rPr>
        <w:t>201</w:t>
      </w:r>
      <w:r w:rsidR="00A8740A">
        <w:rPr>
          <w:rFonts w:ascii="Arial" w:hAnsi="Arial" w:cs="Arial"/>
          <w:sz w:val="24"/>
          <w:szCs w:val="24"/>
        </w:rPr>
        <w:t>4</w:t>
      </w:r>
      <w:r w:rsidRPr="00AC5413">
        <w:rPr>
          <w:rFonts w:ascii="Arial" w:hAnsi="Arial" w:cs="Arial"/>
          <w:sz w:val="24"/>
          <w:szCs w:val="24"/>
        </w:rPr>
        <w:t>/1</w:t>
      </w:r>
      <w:r w:rsidR="00A8740A">
        <w:rPr>
          <w:rFonts w:ascii="Arial" w:hAnsi="Arial" w:cs="Arial"/>
          <w:sz w:val="24"/>
          <w:szCs w:val="24"/>
        </w:rPr>
        <w:t>5</w:t>
      </w:r>
      <w:r w:rsidR="00B11B25" w:rsidRPr="00AC5413">
        <w:rPr>
          <w:rFonts w:ascii="Arial" w:hAnsi="Arial" w:cs="Arial"/>
          <w:sz w:val="24"/>
          <w:szCs w:val="24"/>
        </w:rPr>
        <w:t xml:space="preserve"> Summary data by geography</w:t>
      </w:r>
    </w:p>
    <w:p w:rsidR="00C34F2D" w:rsidRPr="00421ED6" w:rsidRDefault="00701506" w:rsidP="00630EE8">
      <w:pPr>
        <w:numPr>
          <w:ilvl w:val="0"/>
          <w:numId w:val="2"/>
        </w:numPr>
        <w:ind w:left="360"/>
        <w:jc w:val="left"/>
        <w:rPr>
          <w:rFonts w:ascii="Arial" w:hAnsi="Arial" w:cs="Arial"/>
          <w:b/>
          <w:bCs/>
          <w:sz w:val="28"/>
          <w:szCs w:val="28"/>
        </w:rPr>
      </w:pPr>
      <w:r>
        <w:rPr>
          <w:rFonts w:ascii="Arial" w:hAnsi="Arial" w:cs="Arial"/>
          <w:sz w:val="24"/>
          <w:szCs w:val="24"/>
        </w:rPr>
        <w:t xml:space="preserve">Financial Review </w:t>
      </w:r>
      <w:r w:rsidR="00793F84" w:rsidRPr="00AC5413">
        <w:rPr>
          <w:rFonts w:ascii="Arial" w:hAnsi="Arial" w:cs="Arial"/>
          <w:sz w:val="24"/>
          <w:szCs w:val="24"/>
        </w:rPr>
        <w:t xml:space="preserve">and, in part 2 of </w:t>
      </w:r>
      <w:r w:rsidR="000F4BB3" w:rsidRPr="00AC5413">
        <w:rPr>
          <w:rFonts w:ascii="Arial" w:hAnsi="Arial" w:cs="Arial"/>
          <w:sz w:val="24"/>
          <w:szCs w:val="24"/>
        </w:rPr>
        <w:t xml:space="preserve">this </w:t>
      </w:r>
      <w:r w:rsidR="00A8740A">
        <w:rPr>
          <w:rFonts w:ascii="Arial" w:hAnsi="Arial" w:cs="Arial"/>
          <w:sz w:val="24"/>
          <w:szCs w:val="24"/>
        </w:rPr>
        <w:t>announcement</w:t>
      </w:r>
      <w:r w:rsidR="00793F84" w:rsidRPr="00AC5413">
        <w:rPr>
          <w:rFonts w:ascii="Arial" w:hAnsi="Arial" w:cs="Arial"/>
          <w:sz w:val="24"/>
          <w:szCs w:val="24"/>
        </w:rPr>
        <w:t xml:space="preserve">, the </w:t>
      </w:r>
      <w:r w:rsidR="00A8740A">
        <w:rPr>
          <w:rFonts w:ascii="Arial" w:hAnsi="Arial" w:cs="Arial"/>
          <w:sz w:val="24"/>
          <w:szCs w:val="24"/>
        </w:rPr>
        <w:t xml:space="preserve">interim condensed </w:t>
      </w:r>
      <w:r w:rsidR="00793F84" w:rsidRPr="00AC5413">
        <w:rPr>
          <w:rFonts w:ascii="Arial" w:hAnsi="Arial" w:cs="Arial"/>
          <w:sz w:val="24"/>
          <w:szCs w:val="24"/>
        </w:rPr>
        <w:t>Financial Statements</w:t>
      </w:r>
    </w:p>
    <w:p w:rsidR="00421ED6" w:rsidRPr="00F4055C" w:rsidRDefault="00421ED6" w:rsidP="00630EE8">
      <w:pPr>
        <w:numPr>
          <w:ilvl w:val="0"/>
          <w:numId w:val="2"/>
        </w:numPr>
        <w:ind w:left="360"/>
        <w:jc w:val="left"/>
        <w:rPr>
          <w:rFonts w:ascii="Arial" w:hAnsi="Arial" w:cs="Arial"/>
          <w:b/>
          <w:bCs/>
          <w:sz w:val="28"/>
          <w:szCs w:val="28"/>
        </w:rPr>
      </w:pPr>
      <w:r>
        <w:rPr>
          <w:rFonts w:ascii="Arial" w:hAnsi="Arial" w:cs="Arial"/>
          <w:sz w:val="24"/>
          <w:szCs w:val="24"/>
        </w:rPr>
        <w:t>Glossary</w:t>
      </w:r>
    </w:p>
    <w:p w:rsidR="00A83A46" w:rsidRDefault="00A83A46" w:rsidP="003E3617">
      <w:pPr>
        <w:jc w:val="left"/>
        <w:rPr>
          <w:rFonts w:ascii="Arial" w:hAnsi="Arial" w:cs="Arial"/>
          <w:b/>
          <w:sz w:val="24"/>
          <w:szCs w:val="24"/>
        </w:rPr>
      </w:pPr>
    </w:p>
    <w:p w:rsidR="00562C09" w:rsidRDefault="00562C09">
      <w:pPr>
        <w:jc w:val="left"/>
        <w:rPr>
          <w:rFonts w:ascii="Arial" w:hAnsi="Arial" w:cs="Arial"/>
          <w:b/>
          <w:sz w:val="24"/>
          <w:szCs w:val="24"/>
        </w:rPr>
      </w:pPr>
      <w:r>
        <w:rPr>
          <w:rFonts w:ascii="Arial" w:hAnsi="Arial" w:cs="Arial"/>
          <w:b/>
          <w:sz w:val="24"/>
          <w:szCs w:val="24"/>
        </w:rPr>
        <w:br w:type="page"/>
      </w:r>
    </w:p>
    <w:p w:rsidR="003E3617" w:rsidRPr="00AC5413" w:rsidRDefault="003E3617" w:rsidP="003E3617">
      <w:pPr>
        <w:jc w:val="left"/>
        <w:rPr>
          <w:rFonts w:ascii="Arial" w:hAnsi="Arial" w:cs="Arial"/>
          <w:b/>
          <w:sz w:val="24"/>
          <w:szCs w:val="24"/>
        </w:rPr>
      </w:pPr>
      <w:r w:rsidRPr="00AC5413">
        <w:rPr>
          <w:rFonts w:ascii="Arial" w:hAnsi="Arial" w:cs="Arial"/>
          <w:b/>
          <w:sz w:val="24"/>
          <w:szCs w:val="24"/>
        </w:rPr>
        <w:lastRenderedPageBreak/>
        <w:t>Section 1</w:t>
      </w:r>
      <w:r w:rsidR="00376255">
        <w:rPr>
          <w:rFonts w:ascii="Arial" w:hAnsi="Arial" w:cs="Arial"/>
          <w:b/>
          <w:sz w:val="24"/>
          <w:szCs w:val="24"/>
        </w:rPr>
        <w:t xml:space="preserve">: </w:t>
      </w:r>
      <w:r w:rsidR="00F94DD3" w:rsidRPr="00AC5413">
        <w:rPr>
          <w:rFonts w:ascii="Arial" w:hAnsi="Arial" w:cs="Arial"/>
          <w:b/>
          <w:sz w:val="24"/>
          <w:szCs w:val="24"/>
        </w:rPr>
        <w:t>‘</w:t>
      </w:r>
      <w:r w:rsidRPr="00AC5413">
        <w:rPr>
          <w:rFonts w:ascii="Arial" w:hAnsi="Arial" w:cs="Arial"/>
          <w:b/>
          <w:sz w:val="24"/>
          <w:szCs w:val="24"/>
        </w:rPr>
        <w:t>CREATING THE LEADER</w:t>
      </w:r>
      <w:r w:rsidR="00F94DD3" w:rsidRPr="00AC5413">
        <w:rPr>
          <w:rFonts w:ascii="Arial" w:hAnsi="Arial" w:cs="Arial"/>
          <w:b/>
          <w:sz w:val="24"/>
          <w:szCs w:val="24"/>
        </w:rPr>
        <w:t>’</w:t>
      </w:r>
      <w:r w:rsidRPr="00AC5413">
        <w:rPr>
          <w:rFonts w:ascii="Arial" w:hAnsi="Arial" w:cs="Arial"/>
          <w:b/>
          <w:sz w:val="24"/>
          <w:szCs w:val="24"/>
        </w:rPr>
        <w:t xml:space="preserve"> UPDATE</w:t>
      </w:r>
    </w:p>
    <w:p w:rsidR="003E3617" w:rsidRPr="00AC5413" w:rsidRDefault="003E3617" w:rsidP="003E3617">
      <w:pPr>
        <w:jc w:val="left"/>
        <w:rPr>
          <w:rFonts w:ascii="Arial" w:hAnsi="Arial" w:cs="Arial"/>
          <w:b/>
          <w:sz w:val="24"/>
          <w:szCs w:val="24"/>
        </w:rPr>
      </w:pPr>
    </w:p>
    <w:p w:rsidR="006E1122" w:rsidRPr="007B54A7" w:rsidRDefault="003E3617" w:rsidP="006E1122">
      <w:pPr>
        <w:jc w:val="left"/>
        <w:rPr>
          <w:rFonts w:ascii="Arial" w:hAnsi="Arial" w:cs="Arial"/>
          <w:sz w:val="24"/>
          <w:szCs w:val="24"/>
        </w:rPr>
      </w:pPr>
      <w:r w:rsidRPr="00AC5413">
        <w:rPr>
          <w:rFonts w:ascii="Arial" w:hAnsi="Arial" w:cs="Arial"/>
          <w:sz w:val="24"/>
          <w:szCs w:val="24"/>
        </w:rPr>
        <w:t>Our unique contribution as a business to our customers is that we can harness our</w:t>
      </w:r>
      <w:r w:rsidR="00835160" w:rsidRPr="00AC5413">
        <w:rPr>
          <w:rFonts w:ascii="Arial" w:hAnsi="Arial" w:cs="Arial"/>
          <w:sz w:val="24"/>
          <w:szCs w:val="24"/>
        </w:rPr>
        <w:t xml:space="preserve"> home improvement experience</w:t>
      </w:r>
      <w:r w:rsidRPr="00AC5413">
        <w:rPr>
          <w:rFonts w:ascii="Arial" w:hAnsi="Arial" w:cs="Arial"/>
          <w:sz w:val="24"/>
          <w:szCs w:val="24"/>
        </w:rPr>
        <w:t xml:space="preserve">, our heritage as a leader in sustainability and our </w:t>
      </w:r>
      <w:r w:rsidR="00835160" w:rsidRPr="00AC5413">
        <w:rPr>
          <w:rFonts w:ascii="Arial" w:hAnsi="Arial" w:cs="Arial"/>
          <w:sz w:val="24"/>
          <w:szCs w:val="24"/>
        </w:rPr>
        <w:t xml:space="preserve">international scale </w:t>
      </w:r>
      <w:r w:rsidRPr="00AC5413">
        <w:rPr>
          <w:rFonts w:ascii="Arial" w:hAnsi="Arial" w:cs="Arial"/>
          <w:sz w:val="24"/>
          <w:szCs w:val="24"/>
        </w:rPr>
        <w:t xml:space="preserve">to bring new, more sustainable and more affordable products to market. By also providing our customers with project advice and new shopping channels to complement our stores we will make it easier for them to adapt their homes to their evolving </w:t>
      </w:r>
      <w:r w:rsidR="00835160" w:rsidRPr="00AC5413">
        <w:rPr>
          <w:rFonts w:ascii="Arial" w:hAnsi="Arial" w:cs="Arial"/>
          <w:sz w:val="24"/>
          <w:szCs w:val="24"/>
        </w:rPr>
        <w:t xml:space="preserve">lifestyles. </w:t>
      </w:r>
      <w:r w:rsidRPr="00AC5413">
        <w:rPr>
          <w:rFonts w:ascii="Arial" w:hAnsi="Arial" w:cs="Arial"/>
          <w:sz w:val="24"/>
          <w:szCs w:val="24"/>
        </w:rPr>
        <w:t xml:space="preserve">Our shorthand for describing this purpose is </w:t>
      </w:r>
      <w:r w:rsidR="006E1122">
        <w:rPr>
          <w:rFonts w:ascii="Arial" w:hAnsi="Arial" w:cs="Arial"/>
          <w:i/>
          <w:sz w:val="24"/>
          <w:szCs w:val="24"/>
        </w:rPr>
        <w:t xml:space="preserve">“Better Homes, Better Lives” </w:t>
      </w:r>
      <w:r w:rsidR="006E1122">
        <w:rPr>
          <w:rFonts w:ascii="Arial" w:hAnsi="Arial" w:cs="Arial"/>
          <w:sz w:val="24"/>
          <w:szCs w:val="24"/>
        </w:rPr>
        <w:t xml:space="preserve">and the programme of self-help initiatives to achieve this purpose is called ‘Creating the Leader’. </w:t>
      </w:r>
    </w:p>
    <w:p w:rsidR="00442D67" w:rsidRDefault="00442D67" w:rsidP="003E3617">
      <w:pPr>
        <w:jc w:val="left"/>
        <w:rPr>
          <w:rFonts w:ascii="Arial" w:hAnsi="Arial" w:cs="Arial"/>
          <w:b/>
          <w:bCs/>
          <w:sz w:val="24"/>
          <w:szCs w:val="24"/>
        </w:rPr>
      </w:pPr>
    </w:p>
    <w:p w:rsidR="003E3617" w:rsidRDefault="003E3617" w:rsidP="003E3617">
      <w:pPr>
        <w:jc w:val="left"/>
        <w:rPr>
          <w:rFonts w:ascii="Arial" w:hAnsi="Arial" w:cs="Arial"/>
          <w:sz w:val="24"/>
          <w:szCs w:val="24"/>
          <w:highlight w:val="magenta"/>
        </w:rPr>
      </w:pPr>
      <w:r w:rsidRPr="00AC5413">
        <w:rPr>
          <w:rFonts w:ascii="Arial" w:hAnsi="Arial" w:cs="Arial"/>
          <w:b/>
          <w:bCs/>
          <w:sz w:val="24"/>
          <w:szCs w:val="24"/>
        </w:rPr>
        <w:t xml:space="preserve">‘Creating the Leader’ </w:t>
      </w:r>
      <w:r w:rsidR="00AC5413" w:rsidRPr="00AC5413">
        <w:rPr>
          <w:rFonts w:ascii="Arial" w:hAnsi="Arial" w:cs="Arial"/>
          <w:b/>
          <w:bCs/>
          <w:sz w:val="24"/>
          <w:szCs w:val="24"/>
        </w:rPr>
        <w:t>201</w:t>
      </w:r>
      <w:r w:rsidR="005D1C9D">
        <w:rPr>
          <w:rFonts w:ascii="Arial" w:hAnsi="Arial" w:cs="Arial"/>
          <w:b/>
          <w:bCs/>
          <w:sz w:val="24"/>
          <w:szCs w:val="24"/>
        </w:rPr>
        <w:t>4</w:t>
      </w:r>
      <w:r w:rsidR="00AC5413" w:rsidRPr="00AC5413">
        <w:rPr>
          <w:rFonts w:ascii="Arial" w:hAnsi="Arial" w:cs="Arial"/>
          <w:b/>
          <w:bCs/>
          <w:sz w:val="24"/>
          <w:szCs w:val="24"/>
        </w:rPr>
        <w:t>/1</w:t>
      </w:r>
      <w:r w:rsidR="005D1C9D">
        <w:rPr>
          <w:rFonts w:ascii="Arial" w:hAnsi="Arial" w:cs="Arial"/>
          <w:b/>
          <w:bCs/>
          <w:sz w:val="24"/>
          <w:szCs w:val="24"/>
        </w:rPr>
        <w:t>5 H1</w:t>
      </w:r>
      <w:r w:rsidR="007133B6" w:rsidRPr="00AC5413">
        <w:rPr>
          <w:rFonts w:ascii="Arial" w:hAnsi="Arial" w:cs="Arial"/>
          <w:b/>
          <w:bCs/>
          <w:sz w:val="24"/>
          <w:szCs w:val="24"/>
        </w:rPr>
        <w:t xml:space="preserve"> </w:t>
      </w:r>
      <w:r w:rsidRPr="00442D67">
        <w:rPr>
          <w:rFonts w:ascii="Arial" w:hAnsi="Arial" w:cs="Arial"/>
          <w:b/>
          <w:bCs/>
          <w:sz w:val="24"/>
          <w:szCs w:val="24"/>
        </w:rPr>
        <w:t>p</w:t>
      </w:r>
      <w:r w:rsidRPr="00442D67">
        <w:rPr>
          <w:rFonts w:ascii="Helvetica" w:hAnsi="Helvetica" w:cs="Helvetica"/>
          <w:b/>
          <w:bCs/>
          <w:sz w:val="24"/>
          <w:szCs w:val="24"/>
        </w:rPr>
        <w:t xml:space="preserve">rogress </w:t>
      </w:r>
    </w:p>
    <w:p w:rsidR="005D1C9D" w:rsidRPr="00AC5413" w:rsidRDefault="005D1C9D" w:rsidP="003E3617">
      <w:pPr>
        <w:jc w:val="left"/>
        <w:rPr>
          <w:rFonts w:ascii="Arial" w:hAnsi="Arial" w:cs="Arial"/>
          <w:sz w:val="24"/>
          <w:szCs w:val="24"/>
          <w:highlight w:val="magenta"/>
        </w:rPr>
      </w:pPr>
    </w:p>
    <w:p w:rsidR="005D1C9D" w:rsidRPr="00E3789B" w:rsidRDefault="003E3617" w:rsidP="003E3617">
      <w:pPr>
        <w:jc w:val="left"/>
        <w:rPr>
          <w:rFonts w:ascii="Arial" w:hAnsi="Arial" w:cs="Arial"/>
          <w:sz w:val="24"/>
          <w:szCs w:val="24"/>
        </w:rPr>
      </w:pPr>
      <w:r w:rsidRPr="00AC5413">
        <w:rPr>
          <w:rFonts w:ascii="Arial" w:hAnsi="Arial" w:cs="Arial"/>
          <w:sz w:val="24"/>
          <w:szCs w:val="24"/>
        </w:rPr>
        <w:t>In March 201</w:t>
      </w:r>
      <w:r w:rsidR="00562C09">
        <w:rPr>
          <w:rFonts w:ascii="Arial" w:hAnsi="Arial" w:cs="Arial"/>
          <w:sz w:val="24"/>
          <w:szCs w:val="24"/>
        </w:rPr>
        <w:t>4</w:t>
      </w:r>
      <w:r w:rsidRPr="00AC5413">
        <w:rPr>
          <w:rFonts w:ascii="Arial" w:hAnsi="Arial" w:cs="Arial"/>
          <w:sz w:val="24"/>
          <w:szCs w:val="24"/>
        </w:rPr>
        <w:t>, we set out</w:t>
      </w:r>
      <w:r w:rsidR="005D1C9D">
        <w:rPr>
          <w:rFonts w:ascii="Arial" w:hAnsi="Arial" w:cs="Arial"/>
          <w:sz w:val="24"/>
          <w:szCs w:val="24"/>
        </w:rPr>
        <w:t xml:space="preserve"> our key 2014/15 priorities against our four areas (Easier, Common, Expand and One Team) that make up ‘Creating the Leader’. Today we update on the progress we have made towards each of these 2014/15 </w:t>
      </w:r>
      <w:r w:rsidR="005D1C9D" w:rsidRPr="00E3789B">
        <w:rPr>
          <w:rFonts w:ascii="Arial" w:hAnsi="Arial" w:cs="Arial"/>
          <w:sz w:val="24"/>
          <w:szCs w:val="24"/>
        </w:rPr>
        <w:t>priorities:</w:t>
      </w:r>
    </w:p>
    <w:p w:rsidR="005A267E" w:rsidRPr="003C75BF" w:rsidRDefault="005A267E" w:rsidP="005A267E">
      <w:pPr>
        <w:contextualSpacing/>
        <w:jc w:val="left"/>
        <w:rPr>
          <w:rFonts w:ascii="Arial" w:hAnsi="Arial" w:cs="Arial"/>
          <w:b/>
          <w:sz w:val="24"/>
          <w:szCs w:val="24"/>
        </w:rPr>
      </w:pPr>
    </w:p>
    <w:p w:rsidR="005A267E" w:rsidRDefault="005A267E" w:rsidP="005A267E">
      <w:pPr>
        <w:jc w:val="left"/>
        <w:rPr>
          <w:rFonts w:ascii="Arial" w:hAnsi="Arial" w:cs="Arial"/>
          <w:b/>
          <w:sz w:val="24"/>
          <w:szCs w:val="24"/>
        </w:rPr>
      </w:pPr>
      <w:r w:rsidRPr="003C75BF">
        <w:rPr>
          <w:rFonts w:ascii="Arial" w:hAnsi="Arial" w:cs="Arial"/>
          <w:b/>
          <w:sz w:val="24"/>
          <w:szCs w:val="24"/>
        </w:rPr>
        <w:t xml:space="preserve">EASIER </w:t>
      </w:r>
    </w:p>
    <w:p w:rsidR="00E3789B" w:rsidRPr="003C75BF" w:rsidRDefault="00E3789B" w:rsidP="005A267E">
      <w:pPr>
        <w:jc w:val="left"/>
        <w:rPr>
          <w:rFonts w:ascii="Arial" w:hAnsi="Arial" w:cs="Arial"/>
          <w:b/>
          <w:sz w:val="24"/>
          <w:szCs w:val="24"/>
        </w:rPr>
      </w:pPr>
    </w:p>
    <w:p w:rsidR="00E3789B" w:rsidRDefault="00E3789B" w:rsidP="00E3789B">
      <w:pPr>
        <w:jc w:val="left"/>
        <w:rPr>
          <w:rFonts w:ascii="Arial" w:hAnsi="Arial" w:cs="Arial"/>
          <w:i/>
          <w:sz w:val="24"/>
          <w:szCs w:val="24"/>
        </w:rPr>
      </w:pPr>
      <w:r w:rsidRPr="00CB5842">
        <w:rPr>
          <w:rFonts w:ascii="Arial" w:hAnsi="Arial" w:cs="Arial"/>
          <w:i/>
          <w:sz w:val="24"/>
          <w:szCs w:val="24"/>
        </w:rPr>
        <w:t xml:space="preserve">Priority: </w:t>
      </w:r>
      <w:r w:rsidR="00B47BF6" w:rsidRPr="00CB5842">
        <w:rPr>
          <w:rFonts w:ascii="Arial" w:hAnsi="Arial" w:cs="Arial"/>
          <w:i/>
          <w:sz w:val="24"/>
          <w:szCs w:val="24"/>
        </w:rPr>
        <w:t xml:space="preserve">Extend </w:t>
      </w:r>
      <w:r w:rsidR="00D03FCC" w:rsidRPr="00CB5842">
        <w:rPr>
          <w:rFonts w:ascii="Arial" w:hAnsi="Arial" w:cs="Arial"/>
          <w:i/>
          <w:sz w:val="24"/>
          <w:szCs w:val="24"/>
        </w:rPr>
        <w:t>omnichannel</w:t>
      </w:r>
      <w:r w:rsidR="00E26ABC">
        <w:rPr>
          <w:rFonts w:ascii="Arial" w:hAnsi="Arial" w:cs="Arial"/>
          <w:i/>
          <w:sz w:val="24"/>
          <w:szCs w:val="24"/>
        </w:rPr>
        <w:t>*</w:t>
      </w:r>
      <w:r w:rsidR="00D03FCC" w:rsidRPr="00CB5842">
        <w:rPr>
          <w:rFonts w:ascii="Arial" w:hAnsi="Arial" w:cs="Arial"/>
          <w:i/>
          <w:sz w:val="24"/>
          <w:szCs w:val="24"/>
        </w:rPr>
        <w:t xml:space="preserve"> capabilities</w:t>
      </w:r>
      <w:r w:rsidR="00B47BF6" w:rsidRPr="00CB5842">
        <w:rPr>
          <w:rFonts w:ascii="Arial" w:hAnsi="Arial" w:cs="Arial"/>
          <w:i/>
          <w:sz w:val="24"/>
          <w:szCs w:val="24"/>
        </w:rPr>
        <w:t xml:space="preserve"> </w:t>
      </w:r>
      <w:r w:rsidR="00D03FCC" w:rsidRPr="00CB5842">
        <w:rPr>
          <w:rFonts w:ascii="Arial" w:hAnsi="Arial" w:cs="Arial"/>
          <w:i/>
          <w:sz w:val="24"/>
          <w:szCs w:val="24"/>
        </w:rPr>
        <w:t>across the Group</w:t>
      </w:r>
    </w:p>
    <w:p w:rsidR="00E3789B" w:rsidRPr="00105FC9" w:rsidRDefault="00E3789B" w:rsidP="00CB5842">
      <w:pPr>
        <w:jc w:val="left"/>
        <w:rPr>
          <w:rFonts w:ascii="Arial" w:hAnsi="Arial" w:cs="Arial"/>
          <w:sz w:val="24"/>
          <w:szCs w:val="24"/>
        </w:rPr>
      </w:pPr>
      <w:r w:rsidRPr="00CB5842">
        <w:rPr>
          <w:rFonts w:ascii="Arial" w:hAnsi="Arial" w:cs="Arial"/>
          <w:sz w:val="24"/>
          <w:szCs w:val="24"/>
        </w:rPr>
        <w:t>2014/15 half year progress</w:t>
      </w:r>
    </w:p>
    <w:p w:rsidR="005D1C9D" w:rsidRDefault="00273D2D">
      <w:pPr>
        <w:pStyle w:val="ListParagraph"/>
        <w:numPr>
          <w:ilvl w:val="0"/>
          <w:numId w:val="11"/>
        </w:numPr>
        <w:jc w:val="left"/>
        <w:rPr>
          <w:rFonts w:ascii="Arial" w:hAnsi="Arial" w:cs="Arial"/>
          <w:sz w:val="24"/>
          <w:szCs w:val="24"/>
        </w:rPr>
      </w:pPr>
      <w:r>
        <w:rPr>
          <w:rFonts w:ascii="Arial" w:hAnsi="Arial" w:cs="Arial"/>
          <w:sz w:val="24"/>
          <w:szCs w:val="24"/>
        </w:rPr>
        <w:t>‘Click, Pay &amp; Collect’ offer at B&amp;Q UK</w:t>
      </w:r>
      <w:r w:rsidR="0033734C">
        <w:rPr>
          <w:rFonts w:ascii="Arial" w:hAnsi="Arial" w:cs="Arial"/>
          <w:sz w:val="24"/>
          <w:szCs w:val="24"/>
        </w:rPr>
        <w:t xml:space="preserve"> </w:t>
      </w:r>
      <w:r w:rsidR="00EA7EA6">
        <w:rPr>
          <w:rFonts w:ascii="Arial" w:hAnsi="Arial" w:cs="Arial"/>
          <w:sz w:val="24"/>
          <w:szCs w:val="24"/>
        </w:rPr>
        <w:t>going</w:t>
      </w:r>
      <w:r w:rsidR="0033734C">
        <w:rPr>
          <w:rFonts w:ascii="Arial" w:hAnsi="Arial" w:cs="Arial"/>
          <w:sz w:val="24"/>
          <w:szCs w:val="24"/>
        </w:rPr>
        <w:t xml:space="preserve"> live</w:t>
      </w:r>
      <w:r w:rsidR="00EA7EA6">
        <w:rPr>
          <w:rFonts w:ascii="Arial" w:hAnsi="Arial" w:cs="Arial"/>
          <w:sz w:val="24"/>
          <w:szCs w:val="24"/>
        </w:rPr>
        <w:t xml:space="preserve"> with the release of diy.com</w:t>
      </w:r>
    </w:p>
    <w:p w:rsidR="005D1C9D" w:rsidRPr="003C75BF" w:rsidRDefault="00273D2D">
      <w:pPr>
        <w:pStyle w:val="ListParagraph"/>
        <w:numPr>
          <w:ilvl w:val="0"/>
          <w:numId w:val="11"/>
        </w:numPr>
        <w:jc w:val="left"/>
        <w:rPr>
          <w:rFonts w:ascii="Arial" w:hAnsi="Arial" w:cs="Arial"/>
          <w:sz w:val="24"/>
          <w:szCs w:val="24"/>
        </w:rPr>
      </w:pPr>
      <w:r w:rsidRPr="00E12754">
        <w:rPr>
          <w:rFonts w:ascii="Arial" w:hAnsi="Arial" w:cs="Arial"/>
          <w:sz w:val="24"/>
          <w:szCs w:val="24"/>
        </w:rPr>
        <w:t>Launched ‘</w:t>
      </w:r>
      <w:r w:rsidRPr="00834B30">
        <w:rPr>
          <w:rFonts w:ascii="Arial" w:hAnsi="Arial" w:cs="Arial"/>
          <w:sz w:val="24"/>
          <w:szCs w:val="24"/>
        </w:rPr>
        <w:t>Click</w:t>
      </w:r>
      <w:r w:rsidR="006E5CD9">
        <w:rPr>
          <w:rFonts w:ascii="Arial" w:hAnsi="Arial" w:cs="Arial"/>
          <w:sz w:val="24"/>
          <w:szCs w:val="24"/>
        </w:rPr>
        <w:t>, Pay</w:t>
      </w:r>
      <w:r>
        <w:rPr>
          <w:rFonts w:ascii="Arial" w:hAnsi="Arial" w:cs="Arial"/>
          <w:sz w:val="24"/>
          <w:szCs w:val="24"/>
        </w:rPr>
        <w:t xml:space="preserve"> &amp; Collect’</w:t>
      </w:r>
      <w:r w:rsidR="00527C9A">
        <w:rPr>
          <w:rFonts w:ascii="Arial" w:hAnsi="Arial" w:cs="Arial"/>
          <w:sz w:val="24"/>
          <w:szCs w:val="24"/>
        </w:rPr>
        <w:t xml:space="preserve"> in </w:t>
      </w:r>
      <w:r w:rsidR="005E05CB" w:rsidRPr="00C0194C">
        <w:rPr>
          <w:rFonts w:ascii="Arial" w:hAnsi="Arial" w:cs="Arial"/>
          <w:sz w:val="24"/>
          <w:szCs w:val="24"/>
        </w:rPr>
        <w:t>17</w:t>
      </w:r>
      <w:r w:rsidR="00527C9A">
        <w:rPr>
          <w:rFonts w:ascii="Arial" w:hAnsi="Arial" w:cs="Arial"/>
          <w:sz w:val="24"/>
          <w:szCs w:val="24"/>
        </w:rPr>
        <w:t xml:space="preserve"> stores</w:t>
      </w:r>
      <w:r>
        <w:rPr>
          <w:rFonts w:ascii="Arial" w:hAnsi="Arial" w:cs="Arial"/>
          <w:sz w:val="24"/>
          <w:szCs w:val="24"/>
        </w:rPr>
        <w:t xml:space="preserve"> a</w:t>
      </w:r>
      <w:r w:rsidR="00527C9A">
        <w:rPr>
          <w:rFonts w:ascii="Arial" w:hAnsi="Arial" w:cs="Arial"/>
          <w:sz w:val="24"/>
          <w:szCs w:val="24"/>
        </w:rPr>
        <w:t>cross</w:t>
      </w:r>
      <w:r>
        <w:rPr>
          <w:rFonts w:ascii="Arial" w:hAnsi="Arial" w:cs="Arial"/>
          <w:sz w:val="24"/>
          <w:szCs w:val="24"/>
        </w:rPr>
        <w:t xml:space="preserve"> Castorama France and Brico Dépôt France</w:t>
      </w:r>
    </w:p>
    <w:p w:rsidR="007D7E6A" w:rsidRDefault="007D7E6A" w:rsidP="005A267E">
      <w:pPr>
        <w:jc w:val="left"/>
        <w:rPr>
          <w:rFonts w:ascii="Arial" w:hAnsi="Arial" w:cs="Arial"/>
          <w:b/>
          <w:sz w:val="24"/>
          <w:szCs w:val="24"/>
        </w:rPr>
      </w:pPr>
    </w:p>
    <w:p w:rsidR="005A267E" w:rsidRPr="003C75BF" w:rsidRDefault="005A267E" w:rsidP="005A267E">
      <w:pPr>
        <w:jc w:val="left"/>
        <w:rPr>
          <w:rFonts w:ascii="Arial" w:hAnsi="Arial" w:cs="Arial"/>
          <w:b/>
          <w:sz w:val="24"/>
          <w:szCs w:val="24"/>
        </w:rPr>
      </w:pPr>
      <w:r w:rsidRPr="003C75BF">
        <w:rPr>
          <w:rFonts w:ascii="Arial" w:hAnsi="Arial" w:cs="Arial"/>
          <w:b/>
          <w:sz w:val="24"/>
          <w:szCs w:val="24"/>
        </w:rPr>
        <w:t>COMMON</w:t>
      </w:r>
      <w:r w:rsidR="00E26ABC">
        <w:rPr>
          <w:rFonts w:ascii="Arial" w:hAnsi="Arial" w:cs="Arial"/>
          <w:b/>
          <w:sz w:val="24"/>
          <w:szCs w:val="24"/>
        </w:rPr>
        <w:t>*</w:t>
      </w:r>
      <w:r w:rsidRPr="003C75BF">
        <w:rPr>
          <w:rFonts w:ascii="Arial" w:hAnsi="Arial" w:cs="Arial"/>
          <w:b/>
          <w:sz w:val="24"/>
          <w:szCs w:val="24"/>
        </w:rPr>
        <w:t xml:space="preserve"> </w:t>
      </w:r>
    </w:p>
    <w:p w:rsidR="00E3789B" w:rsidRDefault="00E3789B" w:rsidP="00CB5842">
      <w:pPr>
        <w:jc w:val="left"/>
        <w:rPr>
          <w:rFonts w:ascii="Arial" w:hAnsi="Arial" w:cs="Arial"/>
          <w:i/>
          <w:sz w:val="24"/>
          <w:szCs w:val="24"/>
        </w:rPr>
      </w:pPr>
    </w:p>
    <w:p w:rsidR="00E3789B" w:rsidRDefault="00E3789B" w:rsidP="00CB5842">
      <w:pPr>
        <w:jc w:val="left"/>
        <w:rPr>
          <w:rFonts w:ascii="Arial" w:hAnsi="Arial" w:cs="Arial"/>
          <w:i/>
          <w:sz w:val="24"/>
          <w:szCs w:val="24"/>
        </w:rPr>
      </w:pPr>
      <w:r w:rsidRPr="00CB5842">
        <w:rPr>
          <w:rFonts w:ascii="Arial" w:hAnsi="Arial" w:cs="Arial"/>
          <w:i/>
          <w:sz w:val="24"/>
          <w:szCs w:val="24"/>
        </w:rPr>
        <w:t xml:space="preserve">Priority: </w:t>
      </w:r>
      <w:r w:rsidR="00D03FCC" w:rsidRPr="00CB5842">
        <w:rPr>
          <w:rFonts w:ascii="Arial" w:hAnsi="Arial" w:cs="Arial"/>
          <w:i/>
          <w:sz w:val="24"/>
          <w:szCs w:val="24"/>
        </w:rPr>
        <w:t>Extend</w:t>
      </w:r>
      <w:r w:rsidR="003C75BF" w:rsidRPr="00CB5842">
        <w:rPr>
          <w:rFonts w:ascii="Arial" w:hAnsi="Arial" w:cs="Arial"/>
          <w:i/>
          <w:sz w:val="24"/>
          <w:szCs w:val="24"/>
        </w:rPr>
        <w:t xml:space="preserve"> sourcing programmes</w:t>
      </w:r>
      <w:r w:rsidR="00996711" w:rsidRPr="00CB5842">
        <w:rPr>
          <w:rFonts w:ascii="Arial" w:hAnsi="Arial" w:cs="Arial"/>
          <w:i/>
          <w:sz w:val="24"/>
          <w:szCs w:val="24"/>
        </w:rPr>
        <w:t xml:space="preserve"> </w:t>
      </w:r>
    </w:p>
    <w:p w:rsidR="006F4B5F" w:rsidRPr="00105FC9" w:rsidRDefault="00E3789B" w:rsidP="00CB5842">
      <w:pPr>
        <w:jc w:val="left"/>
        <w:rPr>
          <w:rFonts w:ascii="Arial" w:hAnsi="Arial" w:cs="Arial"/>
          <w:sz w:val="24"/>
          <w:szCs w:val="24"/>
        </w:rPr>
      </w:pPr>
      <w:r w:rsidRPr="00CB5842">
        <w:rPr>
          <w:rFonts w:ascii="Arial" w:hAnsi="Arial" w:cs="Arial"/>
          <w:sz w:val="24"/>
          <w:szCs w:val="24"/>
        </w:rPr>
        <w:t>2014/15 half year progress</w:t>
      </w:r>
    </w:p>
    <w:p w:rsidR="005D1C9D" w:rsidRDefault="005D1C9D">
      <w:pPr>
        <w:pStyle w:val="ListParagraph"/>
        <w:numPr>
          <w:ilvl w:val="0"/>
          <w:numId w:val="11"/>
        </w:numPr>
        <w:jc w:val="left"/>
        <w:rPr>
          <w:rFonts w:ascii="Arial" w:hAnsi="Arial" w:cs="Arial"/>
          <w:sz w:val="24"/>
          <w:szCs w:val="24"/>
        </w:rPr>
      </w:pPr>
      <w:r>
        <w:rPr>
          <w:rFonts w:ascii="Arial" w:hAnsi="Arial" w:cs="Arial"/>
          <w:sz w:val="24"/>
          <w:szCs w:val="24"/>
        </w:rPr>
        <w:t>Achieved 10% common (up from 9% at Jan 201</w:t>
      </w:r>
      <w:r w:rsidR="00562C09">
        <w:rPr>
          <w:rFonts w:ascii="Arial" w:hAnsi="Arial" w:cs="Arial"/>
          <w:sz w:val="24"/>
          <w:szCs w:val="24"/>
        </w:rPr>
        <w:t>4</w:t>
      </w:r>
      <w:r>
        <w:rPr>
          <w:rFonts w:ascii="Arial" w:hAnsi="Arial" w:cs="Arial"/>
          <w:sz w:val="24"/>
          <w:szCs w:val="24"/>
        </w:rPr>
        <w:t>) and 2</w:t>
      </w:r>
      <w:r w:rsidR="000D6E86">
        <w:rPr>
          <w:rFonts w:ascii="Arial" w:hAnsi="Arial" w:cs="Arial"/>
          <w:sz w:val="24"/>
          <w:szCs w:val="24"/>
        </w:rPr>
        <w:t>0</w:t>
      </w:r>
      <w:r>
        <w:rPr>
          <w:rFonts w:ascii="Arial" w:hAnsi="Arial" w:cs="Arial"/>
          <w:sz w:val="24"/>
          <w:szCs w:val="24"/>
        </w:rPr>
        <w:t>% direct sourcing (20% at Jan 201</w:t>
      </w:r>
      <w:r w:rsidR="00562C09">
        <w:rPr>
          <w:rFonts w:ascii="Arial" w:hAnsi="Arial" w:cs="Arial"/>
          <w:sz w:val="24"/>
          <w:szCs w:val="24"/>
        </w:rPr>
        <w:t>4</w:t>
      </w:r>
      <w:r>
        <w:rPr>
          <w:rFonts w:ascii="Arial" w:hAnsi="Arial" w:cs="Arial"/>
          <w:sz w:val="24"/>
          <w:szCs w:val="24"/>
        </w:rPr>
        <w:t>)</w:t>
      </w:r>
    </w:p>
    <w:p w:rsidR="00527C9A" w:rsidRDefault="00527C9A">
      <w:pPr>
        <w:pStyle w:val="ListParagraph"/>
        <w:numPr>
          <w:ilvl w:val="0"/>
          <w:numId w:val="11"/>
        </w:numPr>
        <w:jc w:val="left"/>
        <w:rPr>
          <w:rFonts w:ascii="Arial" w:hAnsi="Arial" w:cs="Arial"/>
          <w:sz w:val="24"/>
          <w:szCs w:val="24"/>
        </w:rPr>
      </w:pPr>
      <w:r>
        <w:rPr>
          <w:rFonts w:ascii="Arial" w:hAnsi="Arial" w:cs="Arial"/>
          <w:sz w:val="24"/>
          <w:szCs w:val="24"/>
        </w:rPr>
        <w:t>Launched online sourcing ‘Katalog’ to support sourcing programmes</w:t>
      </w:r>
    </w:p>
    <w:p w:rsidR="00527C9A" w:rsidRDefault="00527C9A" w:rsidP="003D6BAF">
      <w:pPr>
        <w:pStyle w:val="ListParagraph"/>
        <w:numPr>
          <w:ilvl w:val="1"/>
          <w:numId w:val="11"/>
        </w:numPr>
        <w:jc w:val="left"/>
        <w:rPr>
          <w:rFonts w:ascii="Arial" w:hAnsi="Arial" w:cs="Arial"/>
          <w:sz w:val="24"/>
          <w:szCs w:val="24"/>
        </w:rPr>
      </w:pPr>
      <w:r>
        <w:rPr>
          <w:rFonts w:ascii="Arial" w:hAnsi="Arial" w:cs="Arial"/>
          <w:sz w:val="24"/>
          <w:szCs w:val="24"/>
        </w:rPr>
        <w:t xml:space="preserve">Web-based virtual showroom showcasing 55,000 </w:t>
      </w:r>
      <w:r w:rsidR="00383676">
        <w:rPr>
          <w:rFonts w:ascii="Arial" w:hAnsi="Arial" w:cs="Arial"/>
          <w:sz w:val="24"/>
          <w:szCs w:val="24"/>
        </w:rPr>
        <w:t>G</w:t>
      </w:r>
      <w:r>
        <w:rPr>
          <w:rFonts w:ascii="Arial" w:hAnsi="Arial" w:cs="Arial"/>
          <w:sz w:val="24"/>
          <w:szCs w:val="24"/>
        </w:rPr>
        <w:t>roup products</w:t>
      </w:r>
    </w:p>
    <w:p w:rsidR="00527C9A" w:rsidRDefault="00527C9A" w:rsidP="003D6BAF">
      <w:pPr>
        <w:pStyle w:val="ListParagraph"/>
        <w:numPr>
          <w:ilvl w:val="1"/>
          <w:numId w:val="11"/>
        </w:numPr>
        <w:jc w:val="left"/>
        <w:rPr>
          <w:rFonts w:ascii="Arial" w:hAnsi="Arial" w:cs="Arial"/>
          <w:sz w:val="24"/>
          <w:szCs w:val="24"/>
        </w:rPr>
      </w:pPr>
      <w:r>
        <w:rPr>
          <w:rFonts w:ascii="Arial" w:hAnsi="Arial" w:cs="Arial"/>
          <w:sz w:val="24"/>
          <w:szCs w:val="24"/>
        </w:rPr>
        <w:t>Available to all operating companies</w:t>
      </w:r>
    </w:p>
    <w:p w:rsidR="00E3789B" w:rsidRPr="00CB5842" w:rsidRDefault="00E3789B" w:rsidP="00CB5842">
      <w:pPr>
        <w:jc w:val="left"/>
        <w:rPr>
          <w:rFonts w:ascii="Arial" w:hAnsi="Arial" w:cs="Arial"/>
          <w:sz w:val="24"/>
          <w:szCs w:val="24"/>
        </w:rPr>
      </w:pPr>
    </w:p>
    <w:p w:rsidR="00E3789B" w:rsidRDefault="00E3789B" w:rsidP="00CB5842">
      <w:pPr>
        <w:jc w:val="left"/>
        <w:rPr>
          <w:rFonts w:ascii="Arial" w:hAnsi="Arial" w:cs="Arial"/>
          <w:i/>
          <w:sz w:val="24"/>
          <w:szCs w:val="24"/>
        </w:rPr>
      </w:pPr>
      <w:r w:rsidRPr="00CB5842">
        <w:rPr>
          <w:rFonts w:ascii="Arial" w:hAnsi="Arial" w:cs="Arial"/>
          <w:i/>
          <w:sz w:val="24"/>
          <w:szCs w:val="24"/>
        </w:rPr>
        <w:t xml:space="preserve">Priority: </w:t>
      </w:r>
      <w:r w:rsidR="00D03FCC" w:rsidRPr="00CB5842">
        <w:rPr>
          <w:rFonts w:ascii="Arial" w:hAnsi="Arial" w:cs="Arial"/>
          <w:i/>
          <w:sz w:val="24"/>
          <w:szCs w:val="24"/>
        </w:rPr>
        <w:t>Start four year</w:t>
      </w:r>
      <w:r w:rsidR="006F4B5F" w:rsidRPr="00CB5842">
        <w:rPr>
          <w:rFonts w:ascii="Arial" w:hAnsi="Arial" w:cs="Arial"/>
          <w:i/>
          <w:sz w:val="24"/>
          <w:szCs w:val="24"/>
        </w:rPr>
        <w:t xml:space="preserve"> Group</w:t>
      </w:r>
      <w:r w:rsidR="00E27589" w:rsidRPr="00CB5842">
        <w:rPr>
          <w:rFonts w:ascii="Arial" w:hAnsi="Arial" w:cs="Arial"/>
          <w:i/>
          <w:sz w:val="24"/>
          <w:szCs w:val="24"/>
        </w:rPr>
        <w:t>-</w:t>
      </w:r>
      <w:r w:rsidR="003C75BF" w:rsidRPr="00CB5842">
        <w:rPr>
          <w:rFonts w:ascii="Arial" w:hAnsi="Arial" w:cs="Arial"/>
          <w:i/>
          <w:sz w:val="24"/>
          <w:szCs w:val="24"/>
        </w:rPr>
        <w:t>wide</w:t>
      </w:r>
      <w:r w:rsidR="006F4B5F" w:rsidRPr="00CB5842">
        <w:rPr>
          <w:rFonts w:ascii="Arial" w:hAnsi="Arial" w:cs="Arial"/>
          <w:i/>
          <w:sz w:val="24"/>
          <w:szCs w:val="24"/>
        </w:rPr>
        <w:t xml:space="preserve"> IT </w:t>
      </w:r>
      <w:r w:rsidR="00D03FCC" w:rsidRPr="00CB5842">
        <w:rPr>
          <w:rFonts w:ascii="Arial" w:hAnsi="Arial" w:cs="Arial"/>
          <w:i/>
          <w:sz w:val="24"/>
          <w:szCs w:val="24"/>
        </w:rPr>
        <w:t>programme</w:t>
      </w:r>
    </w:p>
    <w:p w:rsidR="006F4B5F" w:rsidRPr="00105FC9" w:rsidRDefault="00E3789B" w:rsidP="00CB5842">
      <w:pPr>
        <w:jc w:val="left"/>
        <w:rPr>
          <w:rFonts w:ascii="Arial" w:hAnsi="Arial" w:cs="Arial"/>
          <w:sz w:val="24"/>
          <w:szCs w:val="24"/>
        </w:rPr>
      </w:pPr>
      <w:r w:rsidRPr="00CB5842">
        <w:rPr>
          <w:rFonts w:ascii="Arial" w:hAnsi="Arial" w:cs="Arial"/>
          <w:sz w:val="24"/>
          <w:szCs w:val="24"/>
        </w:rPr>
        <w:t>2014/15 half year progress</w:t>
      </w:r>
    </w:p>
    <w:p w:rsidR="005D1C9D" w:rsidRPr="00C0194C" w:rsidRDefault="00DE7F41">
      <w:pPr>
        <w:pStyle w:val="ListParagraph"/>
        <w:numPr>
          <w:ilvl w:val="0"/>
          <w:numId w:val="11"/>
        </w:numPr>
        <w:jc w:val="left"/>
        <w:rPr>
          <w:rFonts w:ascii="Arial" w:hAnsi="Arial" w:cs="Arial"/>
          <w:sz w:val="24"/>
          <w:szCs w:val="24"/>
        </w:rPr>
      </w:pPr>
      <w:r w:rsidRPr="00C0194C">
        <w:rPr>
          <w:rFonts w:ascii="Arial" w:hAnsi="Arial" w:cs="Arial"/>
          <w:sz w:val="24"/>
          <w:szCs w:val="24"/>
        </w:rPr>
        <w:t xml:space="preserve">Programme on track </w:t>
      </w:r>
      <w:r w:rsidR="008E4B0E">
        <w:rPr>
          <w:rFonts w:ascii="Arial" w:hAnsi="Arial" w:cs="Arial"/>
          <w:sz w:val="24"/>
          <w:szCs w:val="24"/>
        </w:rPr>
        <w:t xml:space="preserve">driven by cross Group team of </w:t>
      </w:r>
      <w:r w:rsidR="0096122B">
        <w:rPr>
          <w:rFonts w:ascii="Arial" w:hAnsi="Arial" w:cs="Arial"/>
          <w:sz w:val="24"/>
          <w:szCs w:val="24"/>
        </w:rPr>
        <w:t>c.100</w:t>
      </w:r>
    </w:p>
    <w:p w:rsidR="005D1C9D" w:rsidRPr="00C0194C" w:rsidRDefault="00DE7F41">
      <w:pPr>
        <w:pStyle w:val="ListParagraph"/>
        <w:numPr>
          <w:ilvl w:val="0"/>
          <w:numId w:val="11"/>
        </w:numPr>
        <w:jc w:val="left"/>
        <w:rPr>
          <w:rFonts w:ascii="Arial" w:hAnsi="Arial" w:cs="Arial"/>
          <w:sz w:val="24"/>
          <w:szCs w:val="24"/>
        </w:rPr>
      </w:pPr>
      <w:r w:rsidRPr="00C0194C">
        <w:rPr>
          <w:rFonts w:ascii="Arial" w:hAnsi="Arial" w:cs="Arial"/>
          <w:sz w:val="24"/>
          <w:szCs w:val="24"/>
        </w:rPr>
        <w:t>Fully working pilot will be in a standalone B&amp;Q UK store late next year followed by a rollout phase to other operating companies</w:t>
      </w:r>
    </w:p>
    <w:p w:rsidR="00AE56F1" w:rsidRDefault="00AE56F1" w:rsidP="005A267E">
      <w:pPr>
        <w:jc w:val="left"/>
        <w:rPr>
          <w:rFonts w:ascii="Arial" w:hAnsi="Arial" w:cs="Arial"/>
          <w:b/>
          <w:sz w:val="24"/>
          <w:szCs w:val="24"/>
        </w:rPr>
      </w:pPr>
    </w:p>
    <w:p w:rsidR="005A267E" w:rsidRDefault="005A267E" w:rsidP="005A267E">
      <w:pPr>
        <w:jc w:val="left"/>
        <w:rPr>
          <w:rFonts w:ascii="Arial" w:hAnsi="Arial" w:cs="Arial"/>
          <w:b/>
          <w:sz w:val="24"/>
          <w:szCs w:val="24"/>
        </w:rPr>
      </w:pPr>
      <w:r w:rsidRPr="006F4B5F">
        <w:rPr>
          <w:rFonts w:ascii="Arial" w:hAnsi="Arial" w:cs="Arial"/>
          <w:b/>
          <w:sz w:val="24"/>
          <w:szCs w:val="24"/>
        </w:rPr>
        <w:t>EXPAND</w:t>
      </w:r>
    </w:p>
    <w:p w:rsidR="00E3789B" w:rsidRDefault="00E3789B">
      <w:pPr>
        <w:jc w:val="left"/>
        <w:rPr>
          <w:rFonts w:ascii="Arial" w:hAnsi="Arial" w:cs="Arial"/>
          <w:i/>
          <w:sz w:val="24"/>
          <w:szCs w:val="24"/>
        </w:rPr>
      </w:pPr>
    </w:p>
    <w:p w:rsidR="005744F1" w:rsidRPr="00CB5842" w:rsidRDefault="00E3789B" w:rsidP="005A267E">
      <w:pPr>
        <w:jc w:val="left"/>
        <w:rPr>
          <w:rFonts w:ascii="Arial" w:hAnsi="Arial" w:cs="Arial"/>
          <w:sz w:val="24"/>
          <w:szCs w:val="24"/>
        </w:rPr>
      </w:pPr>
      <w:r w:rsidRPr="00CB5842">
        <w:rPr>
          <w:rFonts w:ascii="Arial" w:hAnsi="Arial" w:cs="Arial"/>
          <w:i/>
          <w:sz w:val="24"/>
          <w:szCs w:val="24"/>
        </w:rPr>
        <w:t>Priority: Organic space growth of 2%</w:t>
      </w:r>
      <w:r w:rsidRPr="00E3789B">
        <w:rPr>
          <w:rFonts w:ascii="Arial" w:hAnsi="Arial" w:cs="Arial"/>
          <w:sz w:val="24"/>
          <w:szCs w:val="24"/>
        </w:rPr>
        <w:t xml:space="preserve"> (71 net new stores, of which 54 are Screwfix outlets) </w:t>
      </w:r>
    </w:p>
    <w:p w:rsidR="00C951A5" w:rsidRPr="00CB5842" w:rsidRDefault="00C951A5" w:rsidP="005A267E">
      <w:pPr>
        <w:jc w:val="left"/>
        <w:rPr>
          <w:rFonts w:ascii="Arial" w:hAnsi="Arial" w:cs="Arial"/>
          <w:sz w:val="24"/>
          <w:szCs w:val="24"/>
        </w:rPr>
      </w:pPr>
      <w:r w:rsidRPr="00CB5842">
        <w:rPr>
          <w:rFonts w:ascii="Arial" w:hAnsi="Arial" w:cs="Arial"/>
          <w:sz w:val="24"/>
          <w:szCs w:val="24"/>
        </w:rPr>
        <w:t>2014/15 half year progress</w:t>
      </w:r>
    </w:p>
    <w:p w:rsidR="00105FC9" w:rsidRDefault="00105FC9" w:rsidP="00105FC9">
      <w:pPr>
        <w:pStyle w:val="ListParagraph"/>
        <w:numPr>
          <w:ilvl w:val="0"/>
          <w:numId w:val="11"/>
        </w:numPr>
        <w:jc w:val="left"/>
        <w:rPr>
          <w:rFonts w:ascii="Arial" w:hAnsi="Arial" w:cs="Arial"/>
          <w:sz w:val="24"/>
          <w:szCs w:val="24"/>
        </w:rPr>
      </w:pPr>
      <w:r>
        <w:rPr>
          <w:rFonts w:ascii="Arial" w:hAnsi="Arial" w:cs="Arial"/>
          <w:sz w:val="24"/>
          <w:szCs w:val="24"/>
        </w:rPr>
        <w:t xml:space="preserve">Organic space growth of 1% (33 net new stores, of which 24 are Screwfix outlets) including 1 store new country entry into Portugal with </w:t>
      </w:r>
      <w:r w:rsidRPr="003E18CA">
        <w:rPr>
          <w:rFonts w:ascii="Arial" w:hAnsi="Arial" w:cs="Arial"/>
          <w:sz w:val="24"/>
          <w:szCs w:val="24"/>
        </w:rPr>
        <w:t>Brico Dépôt</w:t>
      </w:r>
    </w:p>
    <w:p w:rsidR="00CF7E30" w:rsidRDefault="00CF7E30" w:rsidP="00CB5842">
      <w:pPr>
        <w:pStyle w:val="ListParagraph"/>
        <w:numPr>
          <w:ilvl w:val="0"/>
          <w:numId w:val="11"/>
        </w:numPr>
        <w:jc w:val="left"/>
        <w:rPr>
          <w:rFonts w:ascii="Arial" w:hAnsi="Arial" w:cs="Arial"/>
          <w:sz w:val="24"/>
          <w:szCs w:val="24"/>
        </w:rPr>
      </w:pPr>
      <w:r w:rsidRPr="00EA6927">
        <w:rPr>
          <w:rFonts w:ascii="Arial" w:hAnsi="Arial" w:cs="Arial"/>
          <w:sz w:val="24"/>
          <w:szCs w:val="24"/>
        </w:rPr>
        <w:t>Screwfix</w:t>
      </w:r>
      <w:r w:rsidR="00562C09">
        <w:rPr>
          <w:rFonts w:ascii="Arial" w:hAnsi="Arial" w:cs="Arial"/>
          <w:sz w:val="24"/>
          <w:szCs w:val="24"/>
        </w:rPr>
        <w:t xml:space="preserve"> </w:t>
      </w:r>
      <w:r w:rsidR="004E29A5">
        <w:rPr>
          <w:rFonts w:ascii="Arial" w:hAnsi="Arial" w:cs="Arial"/>
          <w:sz w:val="24"/>
          <w:szCs w:val="24"/>
        </w:rPr>
        <w:t xml:space="preserve">Germany </w:t>
      </w:r>
      <w:r w:rsidR="00562C09">
        <w:rPr>
          <w:rFonts w:ascii="Arial" w:hAnsi="Arial" w:cs="Arial"/>
          <w:sz w:val="24"/>
          <w:szCs w:val="24"/>
        </w:rPr>
        <w:t>was</w:t>
      </w:r>
      <w:r>
        <w:rPr>
          <w:rFonts w:ascii="Arial" w:hAnsi="Arial" w:cs="Arial"/>
          <w:sz w:val="24"/>
          <w:szCs w:val="24"/>
        </w:rPr>
        <w:t xml:space="preserve"> launched</w:t>
      </w:r>
      <w:r w:rsidR="00562C09">
        <w:rPr>
          <w:rFonts w:ascii="Arial" w:hAnsi="Arial" w:cs="Arial"/>
          <w:sz w:val="24"/>
          <w:szCs w:val="24"/>
        </w:rPr>
        <w:t xml:space="preserve"> today</w:t>
      </w:r>
      <w:r>
        <w:rPr>
          <w:rFonts w:ascii="Arial" w:hAnsi="Arial" w:cs="Arial"/>
          <w:sz w:val="24"/>
          <w:szCs w:val="24"/>
        </w:rPr>
        <w:t xml:space="preserve"> </w:t>
      </w:r>
      <w:r w:rsidRPr="00EA6927">
        <w:rPr>
          <w:rFonts w:ascii="Arial" w:hAnsi="Arial" w:cs="Arial"/>
          <w:sz w:val="24"/>
          <w:szCs w:val="24"/>
        </w:rPr>
        <w:t>incorporating 4 outlet</w:t>
      </w:r>
      <w:r>
        <w:rPr>
          <w:rFonts w:ascii="Arial" w:hAnsi="Arial" w:cs="Arial"/>
          <w:sz w:val="24"/>
          <w:szCs w:val="24"/>
        </w:rPr>
        <w:t>s</w:t>
      </w:r>
      <w:r w:rsidRPr="00EA6927">
        <w:rPr>
          <w:rFonts w:ascii="Arial" w:hAnsi="Arial" w:cs="Arial"/>
          <w:sz w:val="24"/>
          <w:szCs w:val="24"/>
        </w:rPr>
        <w:t xml:space="preserve"> and a website</w:t>
      </w:r>
      <w:r>
        <w:rPr>
          <w:rFonts w:ascii="Arial" w:hAnsi="Arial" w:cs="Arial"/>
          <w:sz w:val="24"/>
          <w:szCs w:val="24"/>
        </w:rPr>
        <w:t xml:space="preserve"> </w:t>
      </w:r>
      <w:r w:rsidR="008953A2">
        <w:rPr>
          <w:rFonts w:ascii="Arial" w:hAnsi="Arial" w:cs="Arial"/>
          <w:sz w:val="24"/>
          <w:szCs w:val="24"/>
        </w:rPr>
        <w:t>with national</w:t>
      </w:r>
      <w:r>
        <w:rPr>
          <w:rFonts w:ascii="Arial" w:hAnsi="Arial" w:cs="Arial"/>
          <w:sz w:val="24"/>
          <w:szCs w:val="24"/>
        </w:rPr>
        <w:t xml:space="preserve"> next day delivery</w:t>
      </w:r>
      <w:r w:rsidRPr="00EA6927">
        <w:rPr>
          <w:rFonts w:ascii="Arial" w:hAnsi="Arial" w:cs="Arial"/>
          <w:sz w:val="24"/>
          <w:szCs w:val="24"/>
        </w:rPr>
        <w:t xml:space="preserve"> </w:t>
      </w:r>
    </w:p>
    <w:p w:rsidR="00105FC9" w:rsidRPr="00CB5842" w:rsidRDefault="00105FC9" w:rsidP="005A267E">
      <w:pPr>
        <w:jc w:val="left"/>
        <w:rPr>
          <w:rFonts w:ascii="Arial" w:hAnsi="Arial" w:cs="Arial"/>
          <w:i/>
          <w:sz w:val="24"/>
          <w:szCs w:val="24"/>
        </w:rPr>
      </w:pPr>
    </w:p>
    <w:p w:rsidR="006D455C" w:rsidRDefault="006D455C">
      <w:pPr>
        <w:jc w:val="left"/>
        <w:rPr>
          <w:rFonts w:ascii="Arial" w:hAnsi="Arial" w:cs="Arial"/>
          <w:i/>
          <w:sz w:val="24"/>
          <w:szCs w:val="24"/>
        </w:rPr>
      </w:pPr>
      <w:r>
        <w:rPr>
          <w:rFonts w:ascii="Arial" w:hAnsi="Arial" w:cs="Arial"/>
          <w:i/>
          <w:sz w:val="24"/>
          <w:szCs w:val="24"/>
        </w:rPr>
        <w:br w:type="page"/>
      </w:r>
    </w:p>
    <w:p w:rsidR="00105FC9" w:rsidRDefault="00105FC9" w:rsidP="00CB5842">
      <w:pPr>
        <w:jc w:val="left"/>
        <w:rPr>
          <w:rFonts w:ascii="Arial" w:hAnsi="Arial" w:cs="Arial"/>
          <w:i/>
          <w:sz w:val="24"/>
          <w:szCs w:val="24"/>
        </w:rPr>
      </w:pPr>
      <w:r>
        <w:rPr>
          <w:rFonts w:ascii="Arial" w:hAnsi="Arial" w:cs="Arial"/>
          <w:i/>
          <w:sz w:val="24"/>
          <w:szCs w:val="24"/>
        </w:rPr>
        <w:lastRenderedPageBreak/>
        <w:t xml:space="preserve">Priority: </w:t>
      </w:r>
      <w:r w:rsidR="00A1138B" w:rsidRPr="00CB5842">
        <w:rPr>
          <w:rFonts w:ascii="Arial" w:hAnsi="Arial" w:cs="Arial"/>
          <w:i/>
          <w:sz w:val="24"/>
          <w:szCs w:val="24"/>
        </w:rPr>
        <w:t xml:space="preserve">Actively managing </w:t>
      </w:r>
      <w:r w:rsidR="0084279A" w:rsidRPr="00CB5842">
        <w:rPr>
          <w:rFonts w:ascii="Arial" w:hAnsi="Arial" w:cs="Arial"/>
          <w:i/>
          <w:sz w:val="24"/>
          <w:szCs w:val="24"/>
        </w:rPr>
        <w:t>the portfolio</w:t>
      </w:r>
    </w:p>
    <w:p w:rsidR="00105FC9" w:rsidRPr="00CB5842" w:rsidRDefault="00105FC9" w:rsidP="00105FC9">
      <w:pPr>
        <w:jc w:val="left"/>
        <w:rPr>
          <w:rFonts w:ascii="Arial" w:hAnsi="Arial" w:cs="Arial"/>
          <w:sz w:val="24"/>
          <w:szCs w:val="24"/>
        </w:rPr>
      </w:pPr>
      <w:r w:rsidRPr="00CB5842">
        <w:rPr>
          <w:rFonts w:ascii="Arial" w:hAnsi="Arial" w:cs="Arial"/>
          <w:sz w:val="24"/>
          <w:szCs w:val="24"/>
        </w:rPr>
        <w:t>2014/15 half year progress</w:t>
      </w:r>
    </w:p>
    <w:p w:rsidR="00AE488A" w:rsidRPr="00A1426F" w:rsidRDefault="00AE488A" w:rsidP="00CB5842">
      <w:pPr>
        <w:pStyle w:val="ListParagraph"/>
        <w:numPr>
          <w:ilvl w:val="0"/>
          <w:numId w:val="11"/>
        </w:numPr>
        <w:jc w:val="left"/>
        <w:rPr>
          <w:rFonts w:ascii="Arial" w:hAnsi="Arial" w:cs="Arial"/>
          <w:sz w:val="24"/>
          <w:szCs w:val="24"/>
        </w:rPr>
      </w:pPr>
      <w:r w:rsidRPr="00A1426F">
        <w:rPr>
          <w:rFonts w:ascii="Arial" w:hAnsi="Arial" w:cs="Arial"/>
          <w:sz w:val="24"/>
          <w:szCs w:val="24"/>
        </w:rPr>
        <w:t>Complete</w:t>
      </w:r>
      <w:r w:rsidR="00105FC9">
        <w:rPr>
          <w:rFonts w:ascii="Arial" w:hAnsi="Arial" w:cs="Arial"/>
          <w:sz w:val="24"/>
          <w:szCs w:val="24"/>
        </w:rPr>
        <w:t>d</w:t>
      </w:r>
      <w:r w:rsidRPr="00A1426F">
        <w:rPr>
          <w:rFonts w:ascii="Arial" w:hAnsi="Arial" w:cs="Arial"/>
          <w:sz w:val="24"/>
          <w:szCs w:val="24"/>
        </w:rPr>
        <w:t xml:space="preserve"> </w:t>
      </w:r>
      <w:r w:rsidR="00B47BF6" w:rsidRPr="00A1426F">
        <w:rPr>
          <w:rFonts w:ascii="Arial" w:hAnsi="Arial" w:cs="Arial"/>
          <w:sz w:val="24"/>
          <w:szCs w:val="24"/>
        </w:rPr>
        <w:t xml:space="preserve">the </w:t>
      </w:r>
      <w:r w:rsidRPr="00A1426F">
        <w:rPr>
          <w:rFonts w:ascii="Arial" w:hAnsi="Arial" w:cs="Arial"/>
          <w:sz w:val="24"/>
          <w:szCs w:val="24"/>
        </w:rPr>
        <w:t>di</w:t>
      </w:r>
      <w:r w:rsidR="0084279A" w:rsidRPr="00A1426F">
        <w:rPr>
          <w:rFonts w:ascii="Arial" w:hAnsi="Arial" w:cs="Arial"/>
          <w:sz w:val="24"/>
          <w:szCs w:val="24"/>
        </w:rPr>
        <w:t>sposal</w:t>
      </w:r>
      <w:r w:rsidRPr="00A1426F">
        <w:rPr>
          <w:rFonts w:ascii="Arial" w:hAnsi="Arial" w:cs="Arial"/>
          <w:sz w:val="24"/>
          <w:szCs w:val="24"/>
        </w:rPr>
        <w:t xml:space="preserve"> of Hornbach</w:t>
      </w:r>
      <w:r w:rsidR="00CA5164" w:rsidRPr="00A1426F">
        <w:rPr>
          <w:rFonts w:ascii="Arial" w:hAnsi="Arial" w:cs="Arial"/>
          <w:sz w:val="24"/>
          <w:szCs w:val="24"/>
        </w:rPr>
        <w:t xml:space="preserve"> </w:t>
      </w:r>
      <w:r w:rsidR="00105FC9">
        <w:rPr>
          <w:rFonts w:ascii="Arial" w:hAnsi="Arial" w:cs="Arial"/>
          <w:sz w:val="24"/>
          <w:szCs w:val="24"/>
        </w:rPr>
        <w:t>(proceeds received of £19</w:t>
      </w:r>
      <w:r w:rsidR="00A5442E">
        <w:rPr>
          <w:rFonts w:ascii="Arial" w:hAnsi="Arial" w:cs="Arial"/>
          <w:sz w:val="24"/>
          <w:szCs w:val="24"/>
        </w:rPr>
        <w:t>8</w:t>
      </w:r>
      <w:r w:rsidR="00105FC9">
        <w:rPr>
          <w:rFonts w:ascii="Arial" w:hAnsi="Arial" w:cs="Arial"/>
          <w:sz w:val="24"/>
          <w:szCs w:val="24"/>
        </w:rPr>
        <w:t>m)</w:t>
      </w:r>
    </w:p>
    <w:p w:rsidR="00105FC9" w:rsidRDefault="00105FC9" w:rsidP="00CB5842">
      <w:pPr>
        <w:pStyle w:val="ListParagraph"/>
        <w:numPr>
          <w:ilvl w:val="0"/>
          <w:numId w:val="11"/>
        </w:numPr>
        <w:jc w:val="left"/>
        <w:rPr>
          <w:rFonts w:ascii="Arial" w:hAnsi="Arial" w:cs="Arial"/>
          <w:sz w:val="24"/>
          <w:szCs w:val="24"/>
        </w:rPr>
      </w:pPr>
      <w:r>
        <w:rPr>
          <w:rFonts w:ascii="Arial" w:hAnsi="Arial" w:cs="Arial"/>
          <w:sz w:val="24"/>
          <w:szCs w:val="24"/>
        </w:rPr>
        <w:t>Commenced search</w:t>
      </w:r>
      <w:r w:rsidR="000F45CE">
        <w:rPr>
          <w:rFonts w:ascii="Arial" w:hAnsi="Arial" w:cs="Arial"/>
          <w:sz w:val="24"/>
          <w:szCs w:val="24"/>
        </w:rPr>
        <w:t xml:space="preserve"> for strategic partner for B&amp;Q</w:t>
      </w:r>
      <w:r w:rsidR="0084279A">
        <w:rPr>
          <w:rFonts w:ascii="Arial" w:hAnsi="Arial" w:cs="Arial"/>
          <w:sz w:val="24"/>
          <w:szCs w:val="24"/>
        </w:rPr>
        <w:t xml:space="preserve"> China </w:t>
      </w:r>
    </w:p>
    <w:p w:rsidR="0096122B" w:rsidRDefault="0096122B" w:rsidP="00FB61DA">
      <w:pPr>
        <w:pStyle w:val="ListParagraph"/>
        <w:numPr>
          <w:ilvl w:val="1"/>
          <w:numId w:val="11"/>
        </w:numPr>
        <w:jc w:val="left"/>
        <w:rPr>
          <w:rFonts w:ascii="Arial" w:hAnsi="Arial" w:cs="Arial"/>
          <w:sz w:val="24"/>
          <w:szCs w:val="24"/>
        </w:rPr>
      </w:pPr>
      <w:r>
        <w:rPr>
          <w:rFonts w:ascii="Arial" w:hAnsi="Arial" w:cs="Arial"/>
          <w:sz w:val="24"/>
          <w:szCs w:val="24"/>
        </w:rPr>
        <w:t>In preliminary discussions</w:t>
      </w:r>
    </w:p>
    <w:p w:rsidR="00CF7E30" w:rsidRDefault="00CF7E30" w:rsidP="00CB5842">
      <w:pPr>
        <w:pStyle w:val="ListParagraph"/>
        <w:ind w:left="1440"/>
        <w:jc w:val="left"/>
      </w:pPr>
    </w:p>
    <w:p w:rsidR="00105FC9" w:rsidRDefault="00105FC9" w:rsidP="00CB5842">
      <w:pPr>
        <w:jc w:val="left"/>
        <w:rPr>
          <w:rFonts w:ascii="Arial" w:hAnsi="Arial" w:cs="Arial"/>
          <w:i/>
          <w:sz w:val="24"/>
          <w:szCs w:val="24"/>
        </w:rPr>
      </w:pPr>
      <w:r w:rsidRPr="00CB5842">
        <w:rPr>
          <w:rFonts w:ascii="Arial" w:hAnsi="Arial" w:cs="Arial"/>
          <w:i/>
          <w:sz w:val="24"/>
          <w:szCs w:val="24"/>
        </w:rPr>
        <w:t xml:space="preserve">Priority: </w:t>
      </w:r>
      <w:r w:rsidR="00AE488A" w:rsidRPr="00CB5842">
        <w:rPr>
          <w:rFonts w:ascii="Arial" w:hAnsi="Arial" w:cs="Arial"/>
          <w:i/>
          <w:sz w:val="24"/>
          <w:szCs w:val="24"/>
        </w:rPr>
        <w:t>C</w:t>
      </w:r>
      <w:r w:rsidR="000F45CE" w:rsidRPr="00CB5842">
        <w:rPr>
          <w:rFonts w:ascii="Arial" w:hAnsi="Arial" w:cs="Arial"/>
          <w:i/>
          <w:sz w:val="24"/>
          <w:szCs w:val="24"/>
        </w:rPr>
        <w:t>ontinue to c</w:t>
      </w:r>
      <w:r w:rsidR="00AE488A" w:rsidRPr="00CB5842">
        <w:rPr>
          <w:rFonts w:ascii="Arial" w:hAnsi="Arial" w:cs="Arial"/>
          <w:i/>
          <w:sz w:val="24"/>
          <w:szCs w:val="24"/>
        </w:rPr>
        <w:t>apitalise on consolidation opportunities</w:t>
      </w:r>
      <w:r w:rsidR="00C540E5" w:rsidRPr="00CB5842">
        <w:rPr>
          <w:rFonts w:ascii="Arial" w:hAnsi="Arial" w:cs="Arial"/>
          <w:i/>
          <w:sz w:val="24"/>
          <w:szCs w:val="24"/>
        </w:rPr>
        <w:t xml:space="preserve"> </w:t>
      </w:r>
    </w:p>
    <w:p w:rsidR="00AE488A" w:rsidRPr="00CB5842" w:rsidRDefault="00105FC9" w:rsidP="00CB5842">
      <w:pPr>
        <w:jc w:val="left"/>
        <w:rPr>
          <w:rFonts w:ascii="Arial" w:hAnsi="Arial" w:cs="Arial"/>
          <w:sz w:val="24"/>
          <w:szCs w:val="24"/>
        </w:rPr>
      </w:pPr>
      <w:r w:rsidRPr="00CB5842">
        <w:rPr>
          <w:rFonts w:ascii="Arial" w:hAnsi="Arial" w:cs="Arial"/>
          <w:sz w:val="24"/>
          <w:szCs w:val="24"/>
        </w:rPr>
        <w:t>2014/15 half year progress</w:t>
      </w:r>
    </w:p>
    <w:p w:rsidR="00105FC9" w:rsidRDefault="00105FC9" w:rsidP="00105FC9">
      <w:pPr>
        <w:pStyle w:val="ListParagraph"/>
        <w:numPr>
          <w:ilvl w:val="0"/>
          <w:numId w:val="11"/>
        </w:numPr>
        <w:jc w:val="left"/>
        <w:rPr>
          <w:rFonts w:ascii="Arial" w:hAnsi="Arial" w:cs="Arial"/>
          <w:sz w:val="24"/>
          <w:szCs w:val="24"/>
        </w:rPr>
      </w:pPr>
      <w:r>
        <w:rPr>
          <w:rFonts w:ascii="Arial" w:hAnsi="Arial" w:cs="Arial"/>
          <w:sz w:val="24"/>
          <w:szCs w:val="24"/>
        </w:rPr>
        <w:t xml:space="preserve">Rebranded two of </w:t>
      </w:r>
      <w:r w:rsidR="00CF7E30">
        <w:rPr>
          <w:rFonts w:ascii="Arial" w:hAnsi="Arial" w:cs="Arial"/>
          <w:sz w:val="24"/>
          <w:szCs w:val="24"/>
        </w:rPr>
        <w:t xml:space="preserve">the </w:t>
      </w:r>
      <w:r>
        <w:rPr>
          <w:rFonts w:ascii="Arial" w:hAnsi="Arial" w:cs="Arial"/>
          <w:sz w:val="24"/>
          <w:szCs w:val="24"/>
        </w:rPr>
        <w:t xml:space="preserve">recently acquired </w:t>
      </w:r>
      <w:r w:rsidR="00273D2D">
        <w:rPr>
          <w:rFonts w:ascii="Arial" w:hAnsi="Arial" w:cs="Arial"/>
          <w:sz w:val="24"/>
          <w:szCs w:val="24"/>
        </w:rPr>
        <w:t xml:space="preserve">15 </w:t>
      </w:r>
      <w:r>
        <w:rPr>
          <w:rFonts w:ascii="Arial" w:hAnsi="Arial" w:cs="Arial"/>
          <w:sz w:val="24"/>
          <w:szCs w:val="24"/>
        </w:rPr>
        <w:t>Bricostore Romania stores under the Brico Dépôt b</w:t>
      </w:r>
      <w:r w:rsidR="00562C09">
        <w:rPr>
          <w:rFonts w:ascii="Arial" w:hAnsi="Arial" w:cs="Arial"/>
          <w:sz w:val="24"/>
          <w:szCs w:val="24"/>
        </w:rPr>
        <w:t>rand</w:t>
      </w:r>
    </w:p>
    <w:p w:rsidR="001F3122" w:rsidRDefault="001F3122" w:rsidP="00CB5842">
      <w:pPr>
        <w:pStyle w:val="ListParagraph"/>
        <w:numPr>
          <w:ilvl w:val="1"/>
          <w:numId w:val="11"/>
        </w:numPr>
        <w:jc w:val="left"/>
        <w:rPr>
          <w:rFonts w:ascii="Arial" w:hAnsi="Arial" w:cs="Arial"/>
          <w:sz w:val="24"/>
          <w:szCs w:val="24"/>
        </w:rPr>
      </w:pPr>
      <w:r>
        <w:rPr>
          <w:rFonts w:ascii="Arial" w:hAnsi="Arial" w:cs="Arial"/>
          <w:sz w:val="24"/>
          <w:szCs w:val="24"/>
        </w:rPr>
        <w:t>Given encouraging results from these first two stores, the remaining 13 will be rebranded</w:t>
      </w:r>
      <w:r w:rsidR="00273D2D">
        <w:rPr>
          <w:rFonts w:ascii="Arial" w:hAnsi="Arial" w:cs="Arial"/>
          <w:sz w:val="24"/>
          <w:szCs w:val="24"/>
        </w:rPr>
        <w:t xml:space="preserve"> earlier than originally planned,</w:t>
      </w:r>
      <w:r>
        <w:rPr>
          <w:rFonts w:ascii="Arial" w:hAnsi="Arial" w:cs="Arial"/>
          <w:sz w:val="24"/>
          <w:szCs w:val="24"/>
        </w:rPr>
        <w:t xml:space="preserve"> by Q1 next year</w:t>
      </w:r>
      <w:r w:rsidR="00273D2D">
        <w:rPr>
          <w:rFonts w:ascii="Arial" w:hAnsi="Arial" w:cs="Arial"/>
          <w:sz w:val="24"/>
          <w:szCs w:val="24"/>
        </w:rPr>
        <w:t xml:space="preserve">. The </w:t>
      </w:r>
      <w:r w:rsidR="006E5CD9">
        <w:rPr>
          <w:rFonts w:ascii="Arial" w:hAnsi="Arial" w:cs="Arial"/>
          <w:sz w:val="24"/>
          <w:szCs w:val="24"/>
        </w:rPr>
        <w:t xml:space="preserve">additional </w:t>
      </w:r>
      <w:r w:rsidR="00273D2D">
        <w:rPr>
          <w:rFonts w:ascii="Arial" w:hAnsi="Arial" w:cs="Arial"/>
          <w:sz w:val="24"/>
          <w:szCs w:val="24"/>
        </w:rPr>
        <w:t xml:space="preserve">investment impact of this acceleration on 2014/15 profit will be a net charge of </w:t>
      </w:r>
      <w:r w:rsidR="007F5EEA" w:rsidRPr="007F5EEA">
        <w:rPr>
          <w:rFonts w:ascii="Arial" w:hAnsi="Arial" w:cs="Arial"/>
          <w:sz w:val="24"/>
          <w:szCs w:val="24"/>
        </w:rPr>
        <w:t xml:space="preserve">around </w:t>
      </w:r>
      <w:r w:rsidR="00273D2D" w:rsidRPr="003D6BAF">
        <w:rPr>
          <w:rFonts w:ascii="Arial" w:hAnsi="Arial" w:cs="Arial"/>
          <w:sz w:val="24"/>
          <w:szCs w:val="24"/>
        </w:rPr>
        <w:t>£</w:t>
      </w:r>
      <w:r w:rsidR="007F5EEA" w:rsidRPr="003D6BAF">
        <w:rPr>
          <w:rFonts w:ascii="Arial" w:hAnsi="Arial" w:cs="Arial"/>
          <w:sz w:val="24"/>
          <w:szCs w:val="24"/>
        </w:rPr>
        <w:t>6</w:t>
      </w:r>
      <w:r w:rsidR="00273D2D" w:rsidRPr="007F5EEA">
        <w:rPr>
          <w:rFonts w:ascii="Arial" w:hAnsi="Arial" w:cs="Arial"/>
          <w:sz w:val="24"/>
          <w:szCs w:val="24"/>
        </w:rPr>
        <w:t xml:space="preserve"> million</w:t>
      </w:r>
      <w:r w:rsidR="00273D2D">
        <w:rPr>
          <w:rFonts w:ascii="Arial" w:hAnsi="Arial" w:cs="Arial"/>
          <w:sz w:val="24"/>
          <w:szCs w:val="24"/>
        </w:rPr>
        <w:t xml:space="preserve"> </w:t>
      </w:r>
    </w:p>
    <w:p w:rsidR="00CF7E30" w:rsidRDefault="00CF7E30" w:rsidP="00CB5842">
      <w:pPr>
        <w:pStyle w:val="ListParagraph"/>
        <w:numPr>
          <w:ilvl w:val="0"/>
          <w:numId w:val="11"/>
        </w:numPr>
        <w:jc w:val="left"/>
        <w:rPr>
          <w:rFonts w:ascii="Arial" w:hAnsi="Arial" w:cs="Arial"/>
          <w:sz w:val="24"/>
          <w:szCs w:val="24"/>
        </w:rPr>
      </w:pPr>
      <w:r>
        <w:rPr>
          <w:rFonts w:ascii="Arial" w:hAnsi="Arial" w:cs="Arial"/>
          <w:sz w:val="24"/>
          <w:szCs w:val="24"/>
        </w:rPr>
        <w:t>Entered into a binding agreement on 23 July 2014 following the outcome of successful exclusive negotiations to acquire the shareholding of the principal shareholders of Mr Bricolage, the French home improvement retailer</w:t>
      </w:r>
    </w:p>
    <w:p w:rsidR="00CF7E30" w:rsidRDefault="00CF7E30">
      <w:pPr>
        <w:pStyle w:val="ListParagraph"/>
        <w:numPr>
          <w:ilvl w:val="1"/>
          <w:numId w:val="11"/>
        </w:numPr>
        <w:jc w:val="left"/>
        <w:rPr>
          <w:rFonts w:ascii="Arial" w:hAnsi="Arial" w:cs="Arial"/>
          <w:sz w:val="24"/>
          <w:szCs w:val="24"/>
        </w:rPr>
      </w:pPr>
      <w:r>
        <w:rPr>
          <w:rFonts w:ascii="Arial" w:hAnsi="Arial" w:cs="Arial"/>
          <w:sz w:val="24"/>
          <w:szCs w:val="24"/>
        </w:rPr>
        <w:t xml:space="preserve">Acquisition </w:t>
      </w:r>
      <w:r w:rsidR="0096275F">
        <w:rPr>
          <w:rFonts w:ascii="Arial" w:hAnsi="Arial" w:cs="Arial"/>
          <w:sz w:val="24"/>
          <w:szCs w:val="24"/>
        </w:rPr>
        <w:t xml:space="preserve">of this shareholding </w:t>
      </w:r>
      <w:r>
        <w:rPr>
          <w:rFonts w:ascii="Arial" w:hAnsi="Arial" w:cs="Arial"/>
          <w:sz w:val="24"/>
          <w:szCs w:val="24"/>
        </w:rPr>
        <w:t xml:space="preserve">will now proceed subject to </w:t>
      </w:r>
      <w:r w:rsidR="00643847">
        <w:rPr>
          <w:rFonts w:ascii="Arial" w:hAnsi="Arial" w:cs="Arial"/>
          <w:sz w:val="24"/>
          <w:szCs w:val="24"/>
        </w:rPr>
        <w:t xml:space="preserve">French </w:t>
      </w:r>
      <w:r>
        <w:rPr>
          <w:rFonts w:ascii="Arial" w:hAnsi="Arial" w:cs="Arial"/>
          <w:sz w:val="24"/>
          <w:szCs w:val="24"/>
        </w:rPr>
        <w:t>anti-trust clearance</w:t>
      </w:r>
    </w:p>
    <w:p w:rsidR="0037612E" w:rsidRPr="00C0194C" w:rsidRDefault="00CF7E30">
      <w:pPr>
        <w:pStyle w:val="ListParagraph"/>
        <w:numPr>
          <w:ilvl w:val="1"/>
          <w:numId w:val="11"/>
        </w:numPr>
        <w:jc w:val="left"/>
        <w:rPr>
          <w:rFonts w:ascii="Arial" w:hAnsi="Arial" w:cs="Arial"/>
          <w:sz w:val="24"/>
          <w:szCs w:val="24"/>
        </w:rPr>
      </w:pPr>
      <w:r>
        <w:rPr>
          <w:rFonts w:ascii="Arial" w:hAnsi="Arial" w:cs="Arial"/>
          <w:sz w:val="24"/>
          <w:szCs w:val="24"/>
        </w:rPr>
        <w:t>Subsequently, a mandatory offer will be made to acquire the shares held by the minority shareholders at the agreed price per share of €15, in accordance with applicable law</w:t>
      </w:r>
    </w:p>
    <w:p w:rsidR="00C951A5" w:rsidRDefault="0096275F" w:rsidP="00614E39">
      <w:pPr>
        <w:pStyle w:val="ListParagraph"/>
        <w:numPr>
          <w:ilvl w:val="1"/>
          <w:numId w:val="11"/>
        </w:numPr>
        <w:jc w:val="left"/>
        <w:rPr>
          <w:rFonts w:ascii="Arial" w:hAnsi="Arial" w:cs="Arial"/>
          <w:sz w:val="24"/>
          <w:szCs w:val="24"/>
        </w:rPr>
      </w:pPr>
      <w:r>
        <w:rPr>
          <w:rFonts w:ascii="Arial" w:hAnsi="Arial" w:cs="Arial"/>
          <w:sz w:val="24"/>
          <w:szCs w:val="24"/>
        </w:rPr>
        <w:t>Closure</w:t>
      </w:r>
      <w:r w:rsidR="00CF7E30">
        <w:rPr>
          <w:rFonts w:ascii="Arial" w:hAnsi="Arial" w:cs="Arial"/>
          <w:sz w:val="24"/>
          <w:szCs w:val="24"/>
        </w:rPr>
        <w:t xml:space="preserve"> of </w:t>
      </w:r>
      <w:r>
        <w:rPr>
          <w:rFonts w:ascii="Arial" w:hAnsi="Arial" w:cs="Arial"/>
          <w:sz w:val="24"/>
          <w:szCs w:val="24"/>
        </w:rPr>
        <w:t>the acquisition of the shareholding of the principal shareholders</w:t>
      </w:r>
      <w:r w:rsidR="00CF7E30">
        <w:rPr>
          <w:rFonts w:ascii="Arial" w:hAnsi="Arial" w:cs="Arial"/>
          <w:sz w:val="24"/>
          <w:szCs w:val="24"/>
        </w:rPr>
        <w:t xml:space="preserve"> expected to be completed around the end of Kingfisher’s 2014/15 financial year </w:t>
      </w:r>
    </w:p>
    <w:p w:rsidR="0095263C" w:rsidRDefault="0095263C" w:rsidP="00614E39">
      <w:pPr>
        <w:pStyle w:val="ListParagraph"/>
        <w:numPr>
          <w:ilvl w:val="1"/>
          <w:numId w:val="11"/>
        </w:numPr>
        <w:jc w:val="left"/>
        <w:rPr>
          <w:rFonts w:ascii="Arial" w:hAnsi="Arial" w:cs="Arial"/>
          <w:sz w:val="24"/>
          <w:szCs w:val="24"/>
        </w:rPr>
      </w:pPr>
      <w:r>
        <w:rPr>
          <w:rFonts w:ascii="Arial" w:hAnsi="Arial" w:cs="Arial"/>
          <w:sz w:val="24"/>
          <w:szCs w:val="24"/>
        </w:rPr>
        <w:t>This will then give rise to the start of a multi-year project, including plans to set up a Brico Dépôt franchising operation in FY 2015/16</w:t>
      </w:r>
    </w:p>
    <w:p w:rsidR="002A4FF0" w:rsidRDefault="002A4FF0">
      <w:pPr>
        <w:jc w:val="left"/>
        <w:rPr>
          <w:rFonts w:ascii="Arial" w:hAnsi="Arial" w:cs="Arial"/>
          <w:b/>
          <w:bCs/>
          <w:sz w:val="24"/>
          <w:szCs w:val="24"/>
        </w:rPr>
      </w:pPr>
    </w:p>
    <w:p w:rsidR="002A4FF0" w:rsidRDefault="002A4FF0" w:rsidP="00A1426F">
      <w:pPr>
        <w:jc w:val="left"/>
        <w:rPr>
          <w:rFonts w:ascii="Arial" w:hAnsi="Arial" w:cs="Arial"/>
          <w:b/>
          <w:bCs/>
          <w:sz w:val="24"/>
          <w:szCs w:val="24"/>
        </w:rPr>
      </w:pPr>
      <w:r>
        <w:rPr>
          <w:rFonts w:ascii="Arial" w:hAnsi="Arial" w:cs="Arial"/>
          <w:b/>
          <w:bCs/>
          <w:sz w:val="24"/>
          <w:szCs w:val="24"/>
        </w:rPr>
        <w:t>ONE TEAM</w:t>
      </w:r>
    </w:p>
    <w:p w:rsidR="009F1279" w:rsidRPr="00A1426F" w:rsidRDefault="009F1279" w:rsidP="00A1426F">
      <w:pPr>
        <w:jc w:val="left"/>
        <w:rPr>
          <w:rFonts w:ascii="Arial" w:hAnsi="Arial" w:cs="Arial"/>
          <w:b/>
          <w:bCs/>
          <w:sz w:val="24"/>
          <w:szCs w:val="24"/>
        </w:rPr>
      </w:pPr>
    </w:p>
    <w:p w:rsidR="009F1279" w:rsidRDefault="00CF7E30" w:rsidP="00CB5842">
      <w:pPr>
        <w:tabs>
          <w:tab w:val="left" w:pos="2172"/>
        </w:tabs>
        <w:jc w:val="left"/>
        <w:rPr>
          <w:rFonts w:ascii="Arial" w:hAnsi="Arial" w:cs="Arial"/>
          <w:sz w:val="24"/>
          <w:szCs w:val="24"/>
        </w:rPr>
      </w:pPr>
      <w:r w:rsidRPr="00CB5842">
        <w:rPr>
          <w:rFonts w:ascii="Arial" w:hAnsi="Arial" w:cs="Arial"/>
          <w:i/>
          <w:sz w:val="24"/>
          <w:szCs w:val="24"/>
        </w:rPr>
        <w:t xml:space="preserve">Priority: </w:t>
      </w:r>
      <w:r w:rsidR="000A761B" w:rsidRPr="00CB5842">
        <w:rPr>
          <w:rFonts w:ascii="Arial" w:hAnsi="Arial" w:cs="Arial"/>
          <w:i/>
          <w:sz w:val="24"/>
          <w:szCs w:val="24"/>
        </w:rPr>
        <w:t>Peopl</w:t>
      </w:r>
      <w:r w:rsidR="00D302CB">
        <w:rPr>
          <w:rFonts w:ascii="Arial" w:hAnsi="Arial" w:cs="Arial"/>
          <w:i/>
          <w:sz w:val="24"/>
          <w:szCs w:val="24"/>
        </w:rPr>
        <w:t>e (</w:t>
      </w:r>
      <w:r w:rsidR="000A761B" w:rsidRPr="00CB5842">
        <w:rPr>
          <w:rFonts w:ascii="Arial" w:hAnsi="Arial" w:cs="Arial"/>
          <w:i/>
          <w:sz w:val="24"/>
          <w:szCs w:val="24"/>
        </w:rPr>
        <w:t>Increased focus on talent management</w:t>
      </w:r>
      <w:r w:rsidR="00D302CB">
        <w:rPr>
          <w:rFonts w:ascii="Arial" w:hAnsi="Arial" w:cs="Arial"/>
          <w:sz w:val="24"/>
          <w:szCs w:val="24"/>
        </w:rPr>
        <w:t xml:space="preserve">; </w:t>
      </w:r>
      <w:r w:rsidR="000A761B" w:rsidRPr="00CB5842">
        <w:rPr>
          <w:rFonts w:ascii="Arial" w:hAnsi="Arial" w:cs="Arial"/>
          <w:i/>
          <w:sz w:val="24"/>
          <w:szCs w:val="24"/>
        </w:rPr>
        <w:t>Continue to develop Kingfisher One Academy with new programme</w:t>
      </w:r>
      <w:r w:rsidR="009F1279">
        <w:rPr>
          <w:rFonts w:ascii="Arial" w:hAnsi="Arial" w:cs="Arial"/>
          <w:sz w:val="24"/>
          <w:szCs w:val="24"/>
        </w:rPr>
        <w:t>s</w:t>
      </w:r>
      <w:r w:rsidR="00D302CB">
        <w:rPr>
          <w:rFonts w:ascii="Arial" w:hAnsi="Arial" w:cs="Arial"/>
          <w:sz w:val="24"/>
          <w:szCs w:val="24"/>
        </w:rPr>
        <w:t>)</w:t>
      </w:r>
    </w:p>
    <w:p w:rsidR="009F1279" w:rsidRDefault="009F1279" w:rsidP="00CB5842">
      <w:pPr>
        <w:jc w:val="left"/>
        <w:rPr>
          <w:rFonts w:ascii="Arial" w:hAnsi="Arial" w:cs="Arial"/>
          <w:sz w:val="24"/>
          <w:szCs w:val="24"/>
        </w:rPr>
      </w:pPr>
      <w:r w:rsidRPr="00CB5842">
        <w:rPr>
          <w:rFonts w:ascii="Arial" w:hAnsi="Arial" w:cs="Arial"/>
          <w:sz w:val="24"/>
          <w:szCs w:val="24"/>
        </w:rPr>
        <w:t>2014/15 half year progress</w:t>
      </w:r>
    </w:p>
    <w:p w:rsidR="009F1279" w:rsidRPr="00C0194C" w:rsidRDefault="00562C09">
      <w:pPr>
        <w:pStyle w:val="ListParagraph"/>
        <w:numPr>
          <w:ilvl w:val="0"/>
          <w:numId w:val="11"/>
        </w:numPr>
        <w:jc w:val="left"/>
        <w:rPr>
          <w:rFonts w:ascii="Arial" w:hAnsi="Arial" w:cs="Arial"/>
          <w:sz w:val="24"/>
          <w:szCs w:val="24"/>
        </w:rPr>
      </w:pPr>
      <w:r>
        <w:rPr>
          <w:rFonts w:ascii="Arial" w:hAnsi="Arial" w:cs="Arial"/>
          <w:sz w:val="24"/>
          <w:szCs w:val="24"/>
        </w:rPr>
        <w:t>Launched n</w:t>
      </w:r>
      <w:r w:rsidR="003464E8">
        <w:rPr>
          <w:rFonts w:ascii="Arial" w:hAnsi="Arial" w:cs="Arial"/>
          <w:sz w:val="24"/>
          <w:szCs w:val="24"/>
        </w:rPr>
        <w:t>ew</w:t>
      </w:r>
      <w:r w:rsidR="003464E8" w:rsidRPr="00C0194C">
        <w:rPr>
          <w:rFonts w:ascii="Arial" w:hAnsi="Arial" w:cs="Arial"/>
          <w:sz w:val="24"/>
          <w:szCs w:val="24"/>
        </w:rPr>
        <w:t xml:space="preserve"> </w:t>
      </w:r>
      <w:r w:rsidR="003464E8">
        <w:rPr>
          <w:rFonts w:ascii="Arial" w:hAnsi="Arial" w:cs="Arial"/>
          <w:sz w:val="24"/>
          <w:szCs w:val="24"/>
        </w:rPr>
        <w:t>‘</w:t>
      </w:r>
      <w:r w:rsidR="003464E8" w:rsidRPr="00C0194C">
        <w:rPr>
          <w:rFonts w:ascii="Arial" w:hAnsi="Arial" w:cs="Arial"/>
          <w:sz w:val="24"/>
          <w:szCs w:val="24"/>
        </w:rPr>
        <w:t>Early Talent</w:t>
      </w:r>
      <w:r w:rsidR="003464E8">
        <w:rPr>
          <w:rFonts w:ascii="Arial" w:hAnsi="Arial" w:cs="Arial"/>
          <w:sz w:val="24"/>
          <w:szCs w:val="24"/>
        </w:rPr>
        <w:t>’</w:t>
      </w:r>
      <w:r w:rsidR="003464E8" w:rsidRPr="00C0194C">
        <w:rPr>
          <w:rFonts w:ascii="Arial" w:hAnsi="Arial" w:cs="Arial"/>
          <w:sz w:val="24"/>
          <w:szCs w:val="24"/>
        </w:rPr>
        <w:t xml:space="preserve"> </w:t>
      </w:r>
      <w:r w:rsidR="003464E8" w:rsidRPr="00D445BA">
        <w:rPr>
          <w:rFonts w:ascii="Arial" w:hAnsi="Arial" w:cs="Arial"/>
          <w:sz w:val="24"/>
          <w:szCs w:val="24"/>
        </w:rPr>
        <w:t>program</w:t>
      </w:r>
      <w:r w:rsidR="003464E8">
        <w:rPr>
          <w:rFonts w:ascii="Arial" w:hAnsi="Arial" w:cs="Arial"/>
          <w:sz w:val="24"/>
          <w:szCs w:val="24"/>
        </w:rPr>
        <w:t xml:space="preserve">me </w:t>
      </w:r>
      <w:r w:rsidR="003464E8" w:rsidRPr="002C1FED">
        <w:rPr>
          <w:rFonts w:ascii="Arial" w:hAnsi="Arial" w:cs="Arial"/>
          <w:sz w:val="24"/>
          <w:szCs w:val="24"/>
        </w:rPr>
        <w:t>for high potential graduates</w:t>
      </w:r>
      <w:r w:rsidR="003464E8" w:rsidRPr="003464E8">
        <w:rPr>
          <w:rFonts w:ascii="Arial" w:hAnsi="Arial" w:cs="Arial"/>
          <w:sz w:val="24"/>
          <w:szCs w:val="24"/>
        </w:rPr>
        <w:t xml:space="preserve"> </w:t>
      </w:r>
      <w:r w:rsidR="003464E8" w:rsidRPr="00C0194C">
        <w:rPr>
          <w:rFonts w:ascii="Arial" w:hAnsi="Arial" w:cs="Arial"/>
          <w:sz w:val="24"/>
          <w:szCs w:val="24"/>
        </w:rPr>
        <w:t xml:space="preserve">and ‘Kingfisher LEAD’ </w:t>
      </w:r>
      <w:r w:rsidR="003464E8" w:rsidRPr="003464E8">
        <w:rPr>
          <w:rFonts w:ascii="Arial" w:hAnsi="Arial" w:cs="Arial"/>
          <w:sz w:val="24"/>
          <w:szCs w:val="24"/>
        </w:rPr>
        <w:t>programme for</w:t>
      </w:r>
      <w:r w:rsidR="003464E8" w:rsidRPr="00C0194C">
        <w:rPr>
          <w:rFonts w:ascii="Arial" w:hAnsi="Arial" w:cs="Arial"/>
          <w:sz w:val="24"/>
          <w:szCs w:val="24"/>
        </w:rPr>
        <w:t xml:space="preserve"> high performing managers</w:t>
      </w:r>
      <w:r w:rsidR="003464E8" w:rsidRPr="003464E8">
        <w:rPr>
          <w:rFonts w:ascii="Arial" w:hAnsi="Arial" w:cs="Arial"/>
          <w:sz w:val="24"/>
          <w:szCs w:val="24"/>
        </w:rPr>
        <w:t xml:space="preserve"> </w:t>
      </w:r>
    </w:p>
    <w:p w:rsidR="009F1279" w:rsidRPr="00C0194C" w:rsidRDefault="003464E8">
      <w:pPr>
        <w:pStyle w:val="ListParagraph"/>
        <w:numPr>
          <w:ilvl w:val="0"/>
          <w:numId w:val="11"/>
        </w:numPr>
        <w:jc w:val="left"/>
        <w:rPr>
          <w:rFonts w:ascii="Arial" w:hAnsi="Arial" w:cs="Arial"/>
          <w:sz w:val="24"/>
          <w:szCs w:val="24"/>
        </w:rPr>
      </w:pPr>
      <w:r w:rsidRPr="00C0194C">
        <w:rPr>
          <w:rFonts w:ascii="Arial" w:hAnsi="Arial" w:cs="Arial"/>
          <w:sz w:val="24"/>
          <w:szCs w:val="24"/>
        </w:rPr>
        <w:t>Continued to develop the Kingfisher One Academy with new ‘Collaborative Leadership’, Innovation and ‘Net Positive’ programmes</w:t>
      </w:r>
    </w:p>
    <w:p w:rsidR="009F1279" w:rsidRDefault="009F1279" w:rsidP="00CB5842">
      <w:pPr>
        <w:jc w:val="left"/>
        <w:rPr>
          <w:rFonts w:ascii="Arial" w:hAnsi="Arial" w:cs="Arial"/>
          <w:sz w:val="24"/>
          <w:szCs w:val="24"/>
        </w:rPr>
      </w:pPr>
    </w:p>
    <w:p w:rsidR="009E0EEF" w:rsidRPr="00B86161" w:rsidRDefault="009F1279" w:rsidP="00CB5842">
      <w:pPr>
        <w:jc w:val="left"/>
        <w:rPr>
          <w:rFonts w:ascii="Arial" w:hAnsi="Arial" w:cs="Arial"/>
          <w:i/>
          <w:sz w:val="24"/>
          <w:szCs w:val="24"/>
        </w:rPr>
      </w:pPr>
      <w:r>
        <w:rPr>
          <w:rFonts w:ascii="Arial" w:hAnsi="Arial" w:cs="Arial"/>
          <w:sz w:val="24"/>
          <w:szCs w:val="24"/>
        </w:rPr>
        <w:t>Priority: Net Positive</w:t>
      </w:r>
      <w:r w:rsidR="00D302CB">
        <w:rPr>
          <w:rFonts w:ascii="Arial" w:hAnsi="Arial" w:cs="Arial"/>
          <w:sz w:val="24"/>
          <w:szCs w:val="24"/>
        </w:rPr>
        <w:t xml:space="preserve"> (</w:t>
      </w:r>
      <w:r>
        <w:rPr>
          <w:rFonts w:ascii="Arial" w:hAnsi="Arial" w:cs="Arial"/>
          <w:i/>
          <w:sz w:val="24"/>
          <w:szCs w:val="24"/>
        </w:rPr>
        <w:t xml:space="preserve">Establish processes to accelerate </w:t>
      </w:r>
      <w:r w:rsidRPr="003E18CA">
        <w:rPr>
          <w:rFonts w:ascii="Arial" w:hAnsi="Arial" w:cs="Arial"/>
          <w:i/>
          <w:sz w:val="24"/>
          <w:szCs w:val="24"/>
        </w:rPr>
        <w:t>Net Positive innovation and to apply what we learn across the Group</w:t>
      </w:r>
      <w:r w:rsidR="00D302CB">
        <w:rPr>
          <w:rFonts w:ascii="Arial" w:hAnsi="Arial" w:cs="Arial"/>
          <w:i/>
          <w:sz w:val="24"/>
          <w:szCs w:val="24"/>
        </w:rPr>
        <w:t xml:space="preserve">; </w:t>
      </w:r>
      <w:r>
        <w:rPr>
          <w:rFonts w:ascii="Arial" w:hAnsi="Arial" w:cs="Arial"/>
          <w:i/>
          <w:sz w:val="24"/>
          <w:szCs w:val="24"/>
        </w:rPr>
        <w:t xml:space="preserve">Further integrate Net Positive into our </w:t>
      </w:r>
      <w:r w:rsidR="00383676">
        <w:rPr>
          <w:rFonts w:ascii="Arial" w:hAnsi="Arial" w:cs="Arial"/>
          <w:i/>
          <w:sz w:val="24"/>
          <w:szCs w:val="24"/>
        </w:rPr>
        <w:t>o</w:t>
      </w:r>
      <w:r>
        <w:rPr>
          <w:rFonts w:ascii="Arial" w:hAnsi="Arial" w:cs="Arial"/>
          <w:i/>
          <w:sz w:val="24"/>
          <w:szCs w:val="24"/>
        </w:rPr>
        <w:t xml:space="preserve">perating </w:t>
      </w:r>
      <w:r w:rsidR="00383676">
        <w:rPr>
          <w:rFonts w:ascii="Arial" w:hAnsi="Arial" w:cs="Arial"/>
          <w:i/>
          <w:sz w:val="24"/>
          <w:szCs w:val="24"/>
        </w:rPr>
        <w:t>c</w:t>
      </w:r>
      <w:r>
        <w:rPr>
          <w:rFonts w:ascii="Arial" w:hAnsi="Arial" w:cs="Arial"/>
          <w:i/>
          <w:sz w:val="24"/>
          <w:szCs w:val="24"/>
        </w:rPr>
        <w:t>ompany business plans</w:t>
      </w:r>
      <w:r w:rsidR="00D302CB">
        <w:rPr>
          <w:rFonts w:ascii="Arial" w:hAnsi="Arial" w:cs="Arial"/>
          <w:i/>
          <w:sz w:val="24"/>
          <w:szCs w:val="24"/>
        </w:rPr>
        <w:t>)</w:t>
      </w:r>
    </w:p>
    <w:p w:rsidR="009E0EEF" w:rsidRDefault="009E0EEF" w:rsidP="00635F71">
      <w:pPr>
        <w:jc w:val="left"/>
        <w:rPr>
          <w:rFonts w:ascii="Arial" w:hAnsi="Arial" w:cs="Arial"/>
          <w:sz w:val="24"/>
          <w:szCs w:val="24"/>
        </w:rPr>
      </w:pPr>
    </w:p>
    <w:p w:rsidR="00635F71" w:rsidRDefault="00635F71" w:rsidP="00635F71">
      <w:pPr>
        <w:jc w:val="left"/>
        <w:rPr>
          <w:rFonts w:ascii="Arial" w:hAnsi="Arial" w:cs="Arial"/>
          <w:sz w:val="24"/>
          <w:szCs w:val="24"/>
        </w:rPr>
      </w:pPr>
      <w:r w:rsidRPr="00124E3E">
        <w:rPr>
          <w:rFonts w:ascii="Arial" w:hAnsi="Arial" w:cs="Arial"/>
          <w:sz w:val="24"/>
          <w:szCs w:val="24"/>
        </w:rPr>
        <w:t>2014/15 half year progress</w:t>
      </w:r>
    </w:p>
    <w:p w:rsidR="0096122B" w:rsidRDefault="0096122B" w:rsidP="0096122B">
      <w:pPr>
        <w:pStyle w:val="ListParagraph"/>
        <w:numPr>
          <w:ilvl w:val="0"/>
          <w:numId w:val="35"/>
        </w:numPr>
        <w:jc w:val="left"/>
        <w:rPr>
          <w:rFonts w:ascii="Arial" w:hAnsi="Arial" w:cs="Arial"/>
          <w:sz w:val="24"/>
          <w:szCs w:val="24"/>
        </w:rPr>
      </w:pPr>
      <w:r>
        <w:rPr>
          <w:rFonts w:ascii="Arial" w:hAnsi="Arial" w:cs="Arial"/>
          <w:sz w:val="24"/>
          <w:szCs w:val="24"/>
        </w:rPr>
        <w:t>Extended Net Positive into bonusable objective</w:t>
      </w:r>
      <w:r w:rsidR="00A43DA9">
        <w:rPr>
          <w:rFonts w:ascii="Arial" w:hAnsi="Arial" w:cs="Arial"/>
          <w:sz w:val="24"/>
          <w:szCs w:val="24"/>
        </w:rPr>
        <w:t>s to the One Team board</w:t>
      </w:r>
      <w:r>
        <w:rPr>
          <w:rFonts w:ascii="Arial" w:hAnsi="Arial" w:cs="Arial"/>
          <w:sz w:val="24"/>
          <w:szCs w:val="24"/>
        </w:rPr>
        <w:t xml:space="preserve"> from the Gr</w:t>
      </w:r>
      <w:r w:rsidR="00A43DA9">
        <w:rPr>
          <w:rFonts w:ascii="Arial" w:hAnsi="Arial" w:cs="Arial"/>
          <w:sz w:val="24"/>
          <w:szCs w:val="24"/>
        </w:rPr>
        <w:t>oup Executive previously</w:t>
      </w:r>
    </w:p>
    <w:p w:rsidR="0096122B" w:rsidRDefault="0096122B" w:rsidP="0096122B">
      <w:pPr>
        <w:pStyle w:val="ListParagraph"/>
        <w:numPr>
          <w:ilvl w:val="0"/>
          <w:numId w:val="35"/>
        </w:numPr>
        <w:jc w:val="left"/>
        <w:rPr>
          <w:rFonts w:ascii="Arial" w:hAnsi="Arial" w:cs="Arial"/>
          <w:sz w:val="24"/>
          <w:szCs w:val="24"/>
        </w:rPr>
      </w:pPr>
      <w:r>
        <w:rPr>
          <w:rFonts w:ascii="Arial" w:hAnsi="Arial" w:cs="Arial"/>
          <w:sz w:val="24"/>
          <w:szCs w:val="24"/>
        </w:rPr>
        <w:t xml:space="preserve">Established </w:t>
      </w:r>
      <w:r w:rsidR="00E839B4">
        <w:rPr>
          <w:rFonts w:ascii="Arial" w:hAnsi="Arial" w:cs="Arial"/>
          <w:sz w:val="24"/>
          <w:szCs w:val="24"/>
        </w:rPr>
        <w:t xml:space="preserve">internal </w:t>
      </w:r>
      <w:r>
        <w:rPr>
          <w:rFonts w:ascii="Arial" w:hAnsi="Arial" w:cs="Arial"/>
          <w:sz w:val="24"/>
          <w:szCs w:val="24"/>
        </w:rPr>
        <w:t xml:space="preserve">governance </w:t>
      </w:r>
      <w:r w:rsidR="00E839B4">
        <w:rPr>
          <w:rFonts w:ascii="Arial" w:hAnsi="Arial" w:cs="Arial"/>
          <w:sz w:val="24"/>
          <w:szCs w:val="24"/>
        </w:rPr>
        <w:t>framework</w:t>
      </w:r>
      <w:r>
        <w:rPr>
          <w:rFonts w:ascii="Arial" w:hAnsi="Arial" w:cs="Arial"/>
          <w:sz w:val="24"/>
          <w:szCs w:val="24"/>
        </w:rPr>
        <w:t xml:space="preserve"> for sustainability reporting to the Group Executive, with representation at board level from all operating companies</w:t>
      </w:r>
    </w:p>
    <w:p w:rsidR="00635F71" w:rsidRDefault="00635F71" w:rsidP="001B3B55">
      <w:pPr>
        <w:jc w:val="left"/>
        <w:rPr>
          <w:rFonts w:ascii="Arial" w:hAnsi="Arial" w:cs="Arial"/>
          <w:sz w:val="24"/>
          <w:szCs w:val="24"/>
          <w:highlight w:val="yellow"/>
        </w:rPr>
      </w:pPr>
    </w:p>
    <w:p w:rsidR="00B5186A" w:rsidRDefault="00B5186A" w:rsidP="001B3B55">
      <w:pPr>
        <w:jc w:val="left"/>
        <w:rPr>
          <w:rFonts w:ascii="Arial" w:hAnsi="Arial" w:cs="Arial"/>
          <w:sz w:val="24"/>
          <w:szCs w:val="24"/>
          <w:highlight w:val="yellow"/>
        </w:rPr>
      </w:pPr>
    </w:p>
    <w:p w:rsidR="001B3B55" w:rsidRPr="00AC5413" w:rsidRDefault="00074BF9" w:rsidP="001B3B55">
      <w:pPr>
        <w:jc w:val="left"/>
        <w:rPr>
          <w:rFonts w:ascii="Helvetica" w:hAnsi="Helvetica" w:cs="Helvetica"/>
          <w:b/>
          <w:bCs/>
          <w:sz w:val="24"/>
          <w:szCs w:val="24"/>
        </w:rPr>
      </w:pPr>
      <w:r w:rsidRPr="00AC5413">
        <w:rPr>
          <w:rFonts w:ascii="Arial" w:hAnsi="Arial" w:cs="Arial"/>
          <w:b/>
          <w:bCs/>
          <w:sz w:val="24"/>
          <w:szCs w:val="24"/>
        </w:rPr>
        <w:lastRenderedPageBreak/>
        <w:t>S</w:t>
      </w:r>
      <w:r w:rsidR="00CD36B5" w:rsidRPr="00AC5413">
        <w:rPr>
          <w:rFonts w:ascii="Arial" w:hAnsi="Arial" w:cs="Arial"/>
          <w:b/>
          <w:bCs/>
          <w:sz w:val="24"/>
          <w:szCs w:val="24"/>
        </w:rPr>
        <w:t xml:space="preserve">ection </w:t>
      </w:r>
      <w:r w:rsidR="003E3617" w:rsidRPr="00AC5413">
        <w:rPr>
          <w:rFonts w:ascii="Arial" w:hAnsi="Arial" w:cs="Arial"/>
          <w:b/>
          <w:bCs/>
          <w:sz w:val="24"/>
          <w:szCs w:val="24"/>
        </w:rPr>
        <w:t>2</w:t>
      </w:r>
      <w:r w:rsidR="00376255">
        <w:rPr>
          <w:rFonts w:ascii="Arial" w:hAnsi="Arial" w:cs="Arial"/>
          <w:b/>
          <w:bCs/>
          <w:sz w:val="24"/>
          <w:szCs w:val="24"/>
        </w:rPr>
        <w:t xml:space="preserve">: </w:t>
      </w:r>
      <w:r w:rsidR="00CD36B5" w:rsidRPr="00AC5413">
        <w:rPr>
          <w:rFonts w:ascii="Helvetica" w:hAnsi="Helvetica" w:cs="Helvetica"/>
          <w:b/>
          <w:bCs/>
          <w:sz w:val="24"/>
          <w:szCs w:val="24"/>
        </w:rPr>
        <w:t xml:space="preserve">TRADING REVIEW BY </w:t>
      </w:r>
      <w:r w:rsidR="00F94DD3" w:rsidRPr="00AC5413">
        <w:rPr>
          <w:rFonts w:ascii="Helvetica" w:hAnsi="Helvetica" w:cs="Helvetica"/>
          <w:b/>
          <w:bCs/>
          <w:sz w:val="24"/>
          <w:szCs w:val="24"/>
        </w:rPr>
        <w:t>MAJOR GEOGRAPHY</w:t>
      </w:r>
    </w:p>
    <w:p w:rsidR="003C00F7" w:rsidRPr="00B526CD" w:rsidRDefault="003C00F7" w:rsidP="003C00F7">
      <w:pPr>
        <w:rPr>
          <w:rFonts w:ascii="Arial" w:hAnsi="Arial" w:cs="Arial"/>
          <w:b/>
          <w:bCs/>
          <w:sz w:val="24"/>
          <w:szCs w:val="24"/>
          <w:highlight w:val="magenta"/>
        </w:rPr>
      </w:pPr>
      <w:bookmarkStart w:id="2" w:name="OLE_LINK3"/>
      <w:bookmarkStart w:id="3" w:name="OLE_LINK4"/>
    </w:p>
    <w:p w:rsidR="00DE4AA8" w:rsidRPr="00AC5413" w:rsidRDefault="00DE4AA8" w:rsidP="00DE4AA8">
      <w:pPr>
        <w:jc w:val="left"/>
        <w:rPr>
          <w:rFonts w:ascii="Arial" w:hAnsi="Arial" w:cs="Arial"/>
          <w:sz w:val="24"/>
          <w:szCs w:val="24"/>
        </w:rPr>
      </w:pPr>
      <w:r w:rsidRPr="00AC5413">
        <w:rPr>
          <w:rFonts w:ascii="Arial" w:hAnsi="Arial" w:cs="Arial"/>
          <w:b/>
          <w:bCs/>
          <w:sz w:val="24"/>
          <w:szCs w:val="24"/>
        </w:rPr>
        <w:t>FRANCE</w:t>
      </w:r>
      <w:r>
        <w:rPr>
          <w:rFonts w:ascii="Arial" w:hAnsi="Arial" w:cs="Arial"/>
          <w:b/>
          <w:bCs/>
          <w:sz w:val="24"/>
          <w:szCs w:val="24"/>
        </w:rPr>
        <w:t>*</w:t>
      </w:r>
    </w:p>
    <w:p w:rsidR="00DE4AA8" w:rsidRPr="00B526CD" w:rsidRDefault="00DE4AA8" w:rsidP="00DE4AA8">
      <w:pPr>
        <w:rPr>
          <w:rFonts w:ascii="Arial" w:hAnsi="Arial" w:cs="Arial"/>
          <w:b/>
          <w:bCs/>
          <w:sz w:val="24"/>
          <w:szCs w:val="24"/>
          <w:highlight w:val="magenta"/>
        </w:rPr>
      </w:pPr>
    </w:p>
    <w:tbl>
      <w:tblPr>
        <w:tblW w:w="465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9"/>
        <w:gridCol w:w="1479"/>
        <w:gridCol w:w="1228"/>
        <w:gridCol w:w="1692"/>
        <w:gridCol w:w="1526"/>
        <w:gridCol w:w="1010"/>
      </w:tblGrid>
      <w:tr w:rsidR="00DE4AA8" w:rsidRPr="00B526CD" w:rsidTr="0084730E">
        <w:tc>
          <w:tcPr>
            <w:tcW w:w="1136" w:type="pct"/>
          </w:tcPr>
          <w:p w:rsidR="00DE4AA8" w:rsidRPr="00B526CD" w:rsidRDefault="00DE4AA8" w:rsidP="0084730E">
            <w:pPr>
              <w:rPr>
                <w:rFonts w:ascii="Arial" w:hAnsi="Arial" w:cs="Arial"/>
                <w:sz w:val="24"/>
                <w:szCs w:val="24"/>
              </w:rPr>
            </w:pPr>
            <w:r w:rsidRPr="00B526CD">
              <w:rPr>
                <w:rFonts w:ascii="Arial" w:hAnsi="Arial" w:cs="Arial"/>
                <w:b/>
                <w:bCs/>
                <w:sz w:val="24"/>
                <w:szCs w:val="24"/>
              </w:rPr>
              <w:t>Sales £m</w:t>
            </w:r>
          </w:p>
        </w:tc>
        <w:tc>
          <w:tcPr>
            <w:tcW w:w="824" w:type="pct"/>
          </w:tcPr>
          <w:p w:rsidR="00DE4AA8" w:rsidRPr="00B526CD" w:rsidRDefault="00DE4AA8" w:rsidP="0084730E">
            <w:pPr>
              <w:jc w:val="right"/>
              <w:rPr>
                <w:rFonts w:ascii="Arial" w:hAnsi="Arial" w:cs="Arial"/>
                <w:sz w:val="24"/>
                <w:szCs w:val="24"/>
              </w:rPr>
            </w:pPr>
            <w:r>
              <w:rPr>
                <w:rFonts w:ascii="Arial" w:hAnsi="Arial" w:cs="Arial"/>
                <w:b/>
                <w:bCs/>
                <w:sz w:val="24"/>
                <w:szCs w:val="24"/>
              </w:rPr>
              <w:t>2014/15</w:t>
            </w:r>
          </w:p>
        </w:tc>
        <w:tc>
          <w:tcPr>
            <w:tcW w:w="684" w:type="pct"/>
          </w:tcPr>
          <w:p w:rsidR="00DE4AA8" w:rsidRPr="00B526CD" w:rsidRDefault="00DE4AA8" w:rsidP="0084730E">
            <w:pPr>
              <w:jc w:val="right"/>
              <w:rPr>
                <w:rFonts w:ascii="Arial" w:hAnsi="Arial" w:cs="Arial"/>
                <w:b/>
                <w:bCs/>
                <w:sz w:val="24"/>
                <w:szCs w:val="24"/>
              </w:rPr>
            </w:pPr>
            <w:r>
              <w:rPr>
                <w:rFonts w:ascii="Arial" w:hAnsi="Arial" w:cs="Arial"/>
                <w:b/>
                <w:bCs/>
                <w:sz w:val="24"/>
                <w:szCs w:val="24"/>
              </w:rPr>
              <w:t>2013/14</w:t>
            </w:r>
          </w:p>
        </w:tc>
        <w:tc>
          <w:tcPr>
            <w:tcW w:w="943" w:type="pct"/>
          </w:tcPr>
          <w:p w:rsidR="00DE4AA8" w:rsidRPr="00B526CD" w:rsidRDefault="00DE4AA8" w:rsidP="0084730E">
            <w:pPr>
              <w:jc w:val="right"/>
              <w:rPr>
                <w:rFonts w:ascii="Arial" w:hAnsi="Arial" w:cs="Arial"/>
                <w:b/>
                <w:bCs/>
                <w:sz w:val="24"/>
                <w:szCs w:val="24"/>
              </w:rPr>
            </w:pPr>
            <w:r w:rsidRPr="00B526CD">
              <w:rPr>
                <w:rFonts w:ascii="Arial" w:hAnsi="Arial" w:cs="Arial"/>
                <w:b/>
                <w:bCs/>
                <w:sz w:val="24"/>
                <w:szCs w:val="24"/>
              </w:rPr>
              <w:t xml:space="preserve">% </w:t>
            </w:r>
            <w:r>
              <w:rPr>
                <w:rFonts w:ascii="Arial" w:hAnsi="Arial" w:cs="Arial"/>
                <w:b/>
                <w:bCs/>
                <w:sz w:val="24"/>
                <w:szCs w:val="24"/>
              </w:rPr>
              <w:t xml:space="preserve">Total Change </w:t>
            </w:r>
            <w:r w:rsidRPr="00B526CD">
              <w:rPr>
                <w:rFonts w:ascii="Arial" w:hAnsi="Arial" w:cs="Arial"/>
                <w:b/>
                <w:bCs/>
                <w:sz w:val="24"/>
                <w:szCs w:val="24"/>
              </w:rPr>
              <w:t>Reported</w:t>
            </w:r>
          </w:p>
        </w:tc>
        <w:tc>
          <w:tcPr>
            <w:tcW w:w="850" w:type="pct"/>
          </w:tcPr>
          <w:p w:rsidR="00DE4AA8" w:rsidRDefault="00DE4AA8" w:rsidP="0084730E">
            <w:pPr>
              <w:jc w:val="right"/>
              <w:rPr>
                <w:rFonts w:ascii="Arial" w:hAnsi="Arial" w:cs="Arial"/>
                <w:b/>
                <w:bCs/>
                <w:sz w:val="24"/>
                <w:szCs w:val="24"/>
              </w:rPr>
            </w:pPr>
            <w:r w:rsidRPr="00B526CD">
              <w:rPr>
                <w:rFonts w:ascii="Arial" w:hAnsi="Arial" w:cs="Arial"/>
                <w:b/>
                <w:bCs/>
                <w:sz w:val="24"/>
                <w:szCs w:val="24"/>
              </w:rPr>
              <w:t xml:space="preserve">% </w:t>
            </w:r>
            <w:r>
              <w:rPr>
                <w:rFonts w:ascii="Arial" w:hAnsi="Arial" w:cs="Arial"/>
                <w:b/>
                <w:bCs/>
                <w:sz w:val="24"/>
                <w:szCs w:val="24"/>
              </w:rPr>
              <w:t xml:space="preserve">Total Change </w:t>
            </w:r>
            <w:r w:rsidRPr="00B526CD">
              <w:rPr>
                <w:rFonts w:ascii="Arial" w:hAnsi="Arial" w:cs="Arial"/>
                <w:b/>
                <w:bCs/>
                <w:sz w:val="24"/>
                <w:szCs w:val="24"/>
              </w:rPr>
              <w:t xml:space="preserve">Constant </w:t>
            </w:r>
          </w:p>
          <w:p w:rsidR="00DE4AA8" w:rsidRPr="00B526CD" w:rsidRDefault="00DE4AA8" w:rsidP="0084730E">
            <w:pPr>
              <w:jc w:val="right"/>
              <w:rPr>
                <w:rFonts w:ascii="Arial" w:hAnsi="Arial" w:cs="Arial"/>
                <w:b/>
                <w:bCs/>
                <w:sz w:val="24"/>
                <w:szCs w:val="24"/>
              </w:rPr>
            </w:pPr>
            <w:r>
              <w:rPr>
                <w:rFonts w:ascii="Arial" w:hAnsi="Arial" w:cs="Arial"/>
                <w:b/>
                <w:bCs/>
                <w:sz w:val="24"/>
                <w:szCs w:val="24"/>
              </w:rPr>
              <w:t>Currency</w:t>
            </w:r>
          </w:p>
        </w:tc>
        <w:tc>
          <w:tcPr>
            <w:tcW w:w="563" w:type="pct"/>
          </w:tcPr>
          <w:p w:rsidR="00DE4AA8" w:rsidRPr="00B526CD" w:rsidRDefault="00DE4AA8" w:rsidP="0084730E">
            <w:pPr>
              <w:ind w:hanging="108"/>
              <w:jc w:val="right"/>
              <w:rPr>
                <w:rFonts w:ascii="Arial" w:hAnsi="Arial" w:cs="Arial"/>
                <w:b/>
                <w:bCs/>
                <w:sz w:val="24"/>
                <w:szCs w:val="24"/>
              </w:rPr>
            </w:pPr>
            <w:r w:rsidRPr="00B526CD">
              <w:rPr>
                <w:rFonts w:ascii="Arial" w:hAnsi="Arial" w:cs="Arial"/>
                <w:b/>
                <w:bCs/>
                <w:sz w:val="24"/>
                <w:szCs w:val="24"/>
              </w:rPr>
              <w:t>% LFL</w:t>
            </w:r>
          </w:p>
          <w:p w:rsidR="00DE4AA8" w:rsidRPr="00B526CD" w:rsidRDefault="00DE4AA8" w:rsidP="0084730E">
            <w:pPr>
              <w:ind w:hanging="108"/>
              <w:jc w:val="right"/>
              <w:rPr>
                <w:rFonts w:ascii="Arial" w:hAnsi="Arial" w:cs="Arial"/>
                <w:b/>
                <w:bCs/>
                <w:sz w:val="24"/>
                <w:szCs w:val="24"/>
              </w:rPr>
            </w:pPr>
            <w:r w:rsidRPr="00B526CD">
              <w:rPr>
                <w:rFonts w:ascii="Arial" w:hAnsi="Arial" w:cs="Arial"/>
                <w:b/>
                <w:bCs/>
                <w:sz w:val="24"/>
                <w:szCs w:val="24"/>
              </w:rPr>
              <w:t>Change</w:t>
            </w:r>
          </w:p>
        </w:tc>
      </w:tr>
      <w:tr w:rsidR="00DE4AA8" w:rsidRPr="00B526CD" w:rsidTr="0084730E">
        <w:trPr>
          <w:trHeight w:val="147"/>
        </w:trPr>
        <w:tc>
          <w:tcPr>
            <w:tcW w:w="1136" w:type="pct"/>
          </w:tcPr>
          <w:p w:rsidR="00DE4AA8" w:rsidRPr="00B526CD" w:rsidRDefault="00DE4AA8" w:rsidP="0084730E">
            <w:pPr>
              <w:rPr>
                <w:rFonts w:ascii="Arial" w:hAnsi="Arial" w:cs="Arial"/>
                <w:sz w:val="24"/>
                <w:szCs w:val="24"/>
              </w:rPr>
            </w:pPr>
            <w:r w:rsidRPr="00B526CD">
              <w:rPr>
                <w:rFonts w:ascii="Arial" w:hAnsi="Arial" w:cs="Arial"/>
                <w:sz w:val="24"/>
                <w:szCs w:val="24"/>
              </w:rPr>
              <w:t>France</w:t>
            </w:r>
          </w:p>
        </w:tc>
        <w:tc>
          <w:tcPr>
            <w:tcW w:w="824" w:type="pct"/>
          </w:tcPr>
          <w:p w:rsidR="00DE4AA8" w:rsidRPr="00B526CD" w:rsidRDefault="00DE4AA8" w:rsidP="0084730E">
            <w:pPr>
              <w:jc w:val="right"/>
              <w:rPr>
                <w:rFonts w:ascii="Arial" w:hAnsi="Arial" w:cs="Arial"/>
                <w:sz w:val="24"/>
                <w:szCs w:val="24"/>
              </w:rPr>
            </w:pPr>
            <w:r>
              <w:rPr>
                <w:rFonts w:ascii="Arial" w:hAnsi="Arial" w:cs="Arial"/>
                <w:sz w:val="24"/>
                <w:szCs w:val="24"/>
              </w:rPr>
              <w:t>2,205</w:t>
            </w:r>
          </w:p>
        </w:tc>
        <w:tc>
          <w:tcPr>
            <w:tcW w:w="684" w:type="pct"/>
          </w:tcPr>
          <w:p w:rsidR="00DE4AA8" w:rsidRPr="00B526CD" w:rsidRDefault="00DE4AA8" w:rsidP="0084730E">
            <w:pPr>
              <w:jc w:val="right"/>
              <w:rPr>
                <w:rFonts w:ascii="Arial" w:hAnsi="Arial" w:cs="Arial"/>
                <w:sz w:val="24"/>
                <w:szCs w:val="24"/>
              </w:rPr>
            </w:pPr>
            <w:r w:rsidRPr="00B526CD">
              <w:rPr>
                <w:rFonts w:ascii="Arial" w:hAnsi="Arial" w:cs="Arial"/>
                <w:sz w:val="24"/>
                <w:szCs w:val="24"/>
              </w:rPr>
              <w:t>2,306</w:t>
            </w:r>
          </w:p>
        </w:tc>
        <w:tc>
          <w:tcPr>
            <w:tcW w:w="943" w:type="pct"/>
          </w:tcPr>
          <w:p w:rsidR="00DE4AA8" w:rsidRPr="00B526CD" w:rsidRDefault="00DE4AA8" w:rsidP="0084730E">
            <w:pPr>
              <w:jc w:val="right"/>
              <w:rPr>
                <w:rFonts w:ascii="Arial" w:hAnsi="Arial" w:cs="Arial"/>
                <w:sz w:val="24"/>
                <w:szCs w:val="24"/>
              </w:rPr>
            </w:pPr>
            <w:r>
              <w:rPr>
                <w:rFonts w:ascii="Arial" w:hAnsi="Arial" w:cs="Arial"/>
                <w:sz w:val="24"/>
                <w:szCs w:val="24"/>
              </w:rPr>
              <w:t>(4.4)%</w:t>
            </w:r>
          </w:p>
        </w:tc>
        <w:tc>
          <w:tcPr>
            <w:tcW w:w="850" w:type="pct"/>
          </w:tcPr>
          <w:p w:rsidR="00DE4AA8" w:rsidRPr="00B526CD" w:rsidRDefault="00DE4AA8" w:rsidP="0084730E">
            <w:pPr>
              <w:jc w:val="right"/>
              <w:rPr>
                <w:rFonts w:ascii="Arial" w:hAnsi="Arial" w:cs="Arial"/>
                <w:sz w:val="24"/>
                <w:szCs w:val="24"/>
              </w:rPr>
            </w:pPr>
            <w:r>
              <w:rPr>
                <w:rFonts w:ascii="Arial" w:hAnsi="Arial" w:cs="Arial"/>
                <w:sz w:val="24"/>
                <w:szCs w:val="24"/>
              </w:rPr>
              <w:t>+0.4%</w:t>
            </w:r>
          </w:p>
        </w:tc>
        <w:tc>
          <w:tcPr>
            <w:tcW w:w="563" w:type="pct"/>
          </w:tcPr>
          <w:p w:rsidR="00DE4AA8" w:rsidRPr="00B526CD" w:rsidRDefault="00DE4AA8" w:rsidP="0084730E">
            <w:pPr>
              <w:jc w:val="right"/>
              <w:rPr>
                <w:rFonts w:ascii="Arial" w:hAnsi="Arial" w:cs="Arial"/>
                <w:sz w:val="24"/>
                <w:szCs w:val="24"/>
              </w:rPr>
            </w:pPr>
            <w:r>
              <w:rPr>
                <w:rFonts w:ascii="Arial" w:hAnsi="Arial" w:cs="Arial"/>
                <w:sz w:val="24"/>
                <w:szCs w:val="24"/>
              </w:rPr>
              <w:t>(0.8)%</w:t>
            </w:r>
          </w:p>
        </w:tc>
      </w:tr>
    </w:tbl>
    <w:p w:rsidR="00DE4AA8" w:rsidRPr="00B526CD" w:rsidRDefault="00DE4AA8" w:rsidP="00DE4AA8">
      <w:pPr>
        <w:rPr>
          <w:rFonts w:ascii="Arial" w:hAnsi="Arial" w:cs="Arial"/>
          <w:b/>
          <w:bCs/>
          <w:sz w:val="24"/>
          <w:szCs w:val="24"/>
          <w:highlight w:val="magenta"/>
        </w:rPr>
      </w:pPr>
    </w:p>
    <w:tbl>
      <w:tblPr>
        <w:tblW w:w="413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0"/>
        <w:gridCol w:w="1503"/>
        <w:gridCol w:w="1231"/>
        <w:gridCol w:w="1688"/>
        <w:gridCol w:w="1521"/>
      </w:tblGrid>
      <w:tr w:rsidR="00DE4AA8" w:rsidRPr="00B526CD" w:rsidTr="0084730E">
        <w:tc>
          <w:tcPr>
            <w:tcW w:w="1268" w:type="pct"/>
          </w:tcPr>
          <w:p w:rsidR="00DE4AA8" w:rsidRPr="00B526CD" w:rsidRDefault="00DE4AA8" w:rsidP="0084730E">
            <w:pPr>
              <w:rPr>
                <w:rFonts w:ascii="Arial" w:hAnsi="Arial" w:cs="Arial"/>
                <w:b/>
                <w:bCs/>
                <w:sz w:val="24"/>
                <w:szCs w:val="24"/>
              </w:rPr>
            </w:pPr>
            <w:r w:rsidRPr="00B526CD">
              <w:rPr>
                <w:rFonts w:ascii="Arial" w:hAnsi="Arial" w:cs="Arial"/>
                <w:b/>
                <w:bCs/>
                <w:sz w:val="24"/>
                <w:szCs w:val="24"/>
              </w:rPr>
              <w:t>Retail profit £m</w:t>
            </w:r>
          </w:p>
        </w:tc>
        <w:tc>
          <w:tcPr>
            <w:tcW w:w="944" w:type="pct"/>
          </w:tcPr>
          <w:p w:rsidR="00DE4AA8" w:rsidRPr="00B526CD" w:rsidRDefault="00DE4AA8" w:rsidP="0084730E">
            <w:pPr>
              <w:jc w:val="right"/>
              <w:rPr>
                <w:rFonts w:ascii="Arial" w:hAnsi="Arial" w:cs="Arial"/>
                <w:b/>
                <w:bCs/>
                <w:sz w:val="24"/>
                <w:szCs w:val="24"/>
              </w:rPr>
            </w:pPr>
            <w:r>
              <w:rPr>
                <w:rFonts w:ascii="Arial" w:hAnsi="Arial" w:cs="Arial"/>
                <w:b/>
                <w:bCs/>
                <w:sz w:val="24"/>
                <w:szCs w:val="24"/>
              </w:rPr>
              <w:t>2014/15</w:t>
            </w:r>
          </w:p>
        </w:tc>
        <w:tc>
          <w:tcPr>
            <w:tcW w:w="773" w:type="pct"/>
          </w:tcPr>
          <w:p w:rsidR="00DE4AA8" w:rsidRPr="00B526CD" w:rsidRDefault="00DE4AA8" w:rsidP="0084730E">
            <w:pPr>
              <w:jc w:val="right"/>
              <w:rPr>
                <w:rFonts w:ascii="Arial" w:hAnsi="Arial" w:cs="Arial"/>
                <w:b/>
                <w:bCs/>
                <w:sz w:val="24"/>
                <w:szCs w:val="24"/>
              </w:rPr>
            </w:pPr>
            <w:r>
              <w:rPr>
                <w:rFonts w:ascii="Arial" w:hAnsi="Arial" w:cs="Arial"/>
                <w:b/>
                <w:bCs/>
                <w:sz w:val="24"/>
                <w:szCs w:val="24"/>
              </w:rPr>
              <w:t>2013/14</w:t>
            </w:r>
          </w:p>
        </w:tc>
        <w:tc>
          <w:tcPr>
            <w:tcW w:w="1060" w:type="pct"/>
          </w:tcPr>
          <w:p w:rsidR="00DE4AA8" w:rsidRPr="00B526CD" w:rsidRDefault="00DE4AA8" w:rsidP="0084730E">
            <w:pPr>
              <w:jc w:val="right"/>
              <w:rPr>
                <w:rFonts w:ascii="Arial" w:hAnsi="Arial" w:cs="Arial"/>
                <w:b/>
                <w:bCs/>
                <w:sz w:val="24"/>
                <w:szCs w:val="24"/>
              </w:rPr>
            </w:pPr>
            <w:r w:rsidRPr="00B526CD">
              <w:rPr>
                <w:rFonts w:ascii="Arial" w:hAnsi="Arial" w:cs="Arial"/>
                <w:b/>
                <w:bCs/>
                <w:sz w:val="24"/>
                <w:szCs w:val="24"/>
              </w:rPr>
              <w:t xml:space="preserve">% </w:t>
            </w:r>
            <w:r>
              <w:rPr>
                <w:rFonts w:ascii="Arial" w:hAnsi="Arial" w:cs="Arial"/>
                <w:b/>
                <w:bCs/>
                <w:sz w:val="24"/>
                <w:szCs w:val="24"/>
              </w:rPr>
              <w:t xml:space="preserve">Change </w:t>
            </w:r>
            <w:r w:rsidRPr="00B526CD">
              <w:rPr>
                <w:rFonts w:ascii="Arial" w:hAnsi="Arial" w:cs="Arial"/>
                <w:b/>
                <w:bCs/>
                <w:sz w:val="24"/>
                <w:szCs w:val="24"/>
              </w:rPr>
              <w:t xml:space="preserve">Reported </w:t>
            </w:r>
          </w:p>
        </w:tc>
        <w:tc>
          <w:tcPr>
            <w:tcW w:w="956" w:type="pct"/>
          </w:tcPr>
          <w:p w:rsidR="00DE4AA8" w:rsidRDefault="00DE4AA8" w:rsidP="0084730E">
            <w:pPr>
              <w:jc w:val="right"/>
              <w:rPr>
                <w:rFonts w:ascii="Arial" w:hAnsi="Arial" w:cs="Arial"/>
                <w:b/>
                <w:bCs/>
                <w:sz w:val="24"/>
                <w:szCs w:val="24"/>
              </w:rPr>
            </w:pPr>
            <w:r w:rsidRPr="00B526CD">
              <w:rPr>
                <w:rFonts w:ascii="Arial" w:hAnsi="Arial" w:cs="Arial"/>
                <w:b/>
                <w:bCs/>
                <w:sz w:val="24"/>
                <w:szCs w:val="24"/>
              </w:rPr>
              <w:t>%</w:t>
            </w:r>
            <w:r>
              <w:rPr>
                <w:rFonts w:ascii="Arial" w:hAnsi="Arial" w:cs="Arial"/>
                <w:b/>
                <w:bCs/>
                <w:sz w:val="24"/>
                <w:szCs w:val="24"/>
              </w:rPr>
              <w:t xml:space="preserve"> Change</w:t>
            </w:r>
            <w:r w:rsidRPr="00B526CD">
              <w:rPr>
                <w:rFonts w:ascii="Arial" w:hAnsi="Arial" w:cs="Arial"/>
                <w:b/>
                <w:bCs/>
                <w:sz w:val="24"/>
                <w:szCs w:val="24"/>
              </w:rPr>
              <w:t xml:space="preserve"> Constant</w:t>
            </w:r>
          </w:p>
          <w:p w:rsidR="00DE4AA8" w:rsidRPr="00B526CD" w:rsidRDefault="00DE4AA8" w:rsidP="0084730E">
            <w:pPr>
              <w:jc w:val="right"/>
              <w:rPr>
                <w:rFonts w:ascii="Arial" w:hAnsi="Arial" w:cs="Arial"/>
                <w:b/>
                <w:bCs/>
                <w:sz w:val="24"/>
                <w:szCs w:val="24"/>
              </w:rPr>
            </w:pPr>
            <w:r>
              <w:rPr>
                <w:rFonts w:ascii="Arial" w:hAnsi="Arial" w:cs="Arial"/>
                <w:b/>
                <w:bCs/>
                <w:sz w:val="24"/>
                <w:szCs w:val="24"/>
              </w:rPr>
              <w:t>Currency</w:t>
            </w:r>
            <w:r w:rsidRPr="00B526CD">
              <w:rPr>
                <w:rFonts w:ascii="Arial" w:hAnsi="Arial" w:cs="Arial"/>
                <w:b/>
                <w:bCs/>
                <w:sz w:val="24"/>
                <w:szCs w:val="24"/>
              </w:rPr>
              <w:t xml:space="preserve"> </w:t>
            </w:r>
          </w:p>
        </w:tc>
      </w:tr>
      <w:tr w:rsidR="00DE4AA8" w:rsidRPr="00A92CD1" w:rsidTr="0084730E">
        <w:tc>
          <w:tcPr>
            <w:tcW w:w="1268" w:type="pct"/>
          </w:tcPr>
          <w:p w:rsidR="00DE4AA8" w:rsidRPr="00A92CD1" w:rsidRDefault="00DE4AA8" w:rsidP="0084730E">
            <w:pPr>
              <w:rPr>
                <w:rFonts w:ascii="Arial" w:hAnsi="Arial" w:cs="Arial"/>
                <w:sz w:val="24"/>
                <w:szCs w:val="24"/>
              </w:rPr>
            </w:pPr>
            <w:r w:rsidRPr="00A92CD1">
              <w:rPr>
                <w:rFonts w:ascii="Arial" w:hAnsi="Arial" w:cs="Arial"/>
                <w:sz w:val="24"/>
                <w:szCs w:val="24"/>
              </w:rPr>
              <w:t>France</w:t>
            </w:r>
          </w:p>
        </w:tc>
        <w:tc>
          <w:tcPr>
            <w:tcW w:w="944" w:type="pct"/>
          </w:tcPr>
          <w:p w:rsidR="00DE4AA8" w:rsidRPr="00A92CD1" w:rsidRDefault="00DE4AA8" w:rsidP="0084730E">
            <w:pPr>
              <w:jc w:val="right"/>
              <w:rPr>
                <w:rFonts w:ascii="Arial" w:hAnsi="Arial" w:cs="Arial"/>
                <w:sz w:val="24"/>
                <w:szCs w:val="24"/>
              </w:rPr>
            </w:pPr>
            <w:r>
              <w:rPr>
                <w:rFonts w:ascii="Arial" w:hAnsi="Arial" w:cs="Arial"/>
                <w:sz w:val="24"/>
                <w:szCs w:val="24"/>
              </w:rPr>
              <w:t>18</w:t>
            </w:r>
            <w:r w:rsidR="005E05CB">
              <w:rPr>
                <w:rFonts w:ascii="Arial" w:hAnsi="Arial" w:cs="Arial"/>
                <w:sz w:val="24"/>
                <w:szCs w:val="24"/>
              </w:rPr>
              <w:t>2</w:t>
            </w:r>
          </w:p>
        </w:tc>
        <w:tc>
          <w:tcPr>
            <w:tcW w:w="773" w:type="pct"/>
          </w:tcPr>
          <w:p w:rsidR="00DE4AA8" w:rsidRPr="00A92CD1" w:rsidRDefault="00DE4AA8" w:rsidP="0084730E">
            <w:pPr>
              <w:jc w:val="right"/>
              <w:rPr>
                <w:rFonts w:ascii="Arial" w:hAnsi="Arial" w:cs="Arial"/>
                <w:sz w:val="24"/>
                <w:szCs w:val="24"/>
              </w:rPr>
            </w:pPr>
            <w:r w:rsidRPr="00A92CD1">
              <w:rPr>
                <w:rFonts w:ascii="Arial" w:hAnsi="Arial" w:cs="Arial"/>
                <w:sz w:val="24"/>
                <w:szCs w:val="24"/>
              </w:rPr>
              <w:t>191</w:t>
            </w:r>
          </w:p>
        </w:tc>
        <w:tc>
          <w:tcPr>
            <w:tcW w:w="1060" w:type="pct"/>
          </w:tcPr>
          <w:p w:rsidR="00DE4AA8" w:rsidRPr="00A92CD1" w:rsidRDefault="00DE4AA8" w:rsidP="0084730E">
            <w:pPr>
              <w:jc w:val="right"/>
              <w:rPr>
                <w:rFonts w:ascii="Arial" w:hAnsi="Arial" w:cs="Arial"/>
                <w:sz w:val="24"/>
                <w:szCs w:val="24"/>
              </w:rPr>
            </w:pPr>
            <w:r>
              <w:rPr>
                <w:rFonts w:ascii="Arial" w:hAnsi="Arial" w:cs="Arial"/>
                <w:sz w:val="24"/>
                <w:szCs w:val="24"/>
              </w:rPr>
              <w:t>(</w:t>
            </w:r>
            <w:r w:rsidR="005E05CB">
              <w:rPr>
                <w:rFonts w:ascii="Arial" w:hAnsi="Arial" w:cs="Arial"/>
                <w:sz w:val="24"/>
                <w:szCs w:val="24"/>
              </w:rPr>
              <w:t>4.8</w:t>
            </w:r>
            <w:r>
              <w:rPr>
                <w:rFonts w:ascii="Arial" w:hAnsi="Arial" w:cs="Arial"/>
                <w:sz w:val="24"/>
                <w:szCs w:val="24"/>
              </w:rPr>
              <w:t>)%</w:t>
            </w:r>
          </w:p>
        </w:tc>
        <w:tc>
          <w:tcPr>
            <w:tcW w:w="956" w:type="pct"/>
          </w:tcPr>
          <w:p w:rsidR="00DE4AA8" w:rsidRPr="00A92CD1" w:rsidRDefault="005E05CB">
            <w:pPr>
              <w:jc w:val="right"/>
              <w:rPr>
                <w:rFonts w:ascii="Arial" w:hAnsi="Arial" w:cs="Arial"/>
                <w:sz w:val="24"/>
                <w:szCs w:val="24"/>
              </w:rPr>
            </w:pPr>
            <w:r>
              <w:rPr>
                <w:rFonts w:ascii="Arial" w:hAnsi="Arial" w:cs="Arial"/>
                <w:sz w:val="24"/>
                <w:szCs w:val="24"/>
              </w:rPr>
              <w:t>Flat</w:t>
            </w:r>
          </w:p>
        </w:tc>
      </w:tr>
    </w:tbl>
    <w:p w:rsidR="00DE4AA8" w:rsidRDefault="00DE4AA8" w:rsidP="00DE4AA8">
      <w:pPr>
        <w:jc w:val="left"/>
        <w:rPr>
          <w:rFonts w:ascii="Arial" w:hAnsi="Arial" w:cs="Arial"/>
          <w:i/>
          <w:iCs/>
          <w:sz w:val="18"/>
          <w:szCs w:val="18"/>
        </w:rPr>
      </w:pPr>
    </w:p>
    <w:p w:rsidR="00DE4AA8" w:rsidRPr="00AC5413" w:rsidRDefault="00DE4AA8" w:rsidP="00DE4AA8">
      <w:pPr>
        <w:jc w:val="left"/>
        <w:rPr>
          <w:rFonts w:ascii="Arial" w:hAnsi="Arial" w:cs="Arial"/>
          <w:b/>
          <w:bCs/>
          <w:i/>
          <w:iCs/>
          <w:sz w:val="18"/>
          <w:szCs w:val="18"/>
        </w:rPr>
      </w:pPr>
      <w:r w:rsidRPr="00AC5413">
        <w:rPr>
          <w:rFonts w:ascii="Arial" w:hAnsi="Arial" w:cs="Arial"/>
          <w:b/>
          <w:bCs/>
          <w:i/>
          <w:iCs/>
          <w:sz w:val="18"/>
          <w:szCs w:val="18"/>
        </w:rPr>
        <w:t>All trading commentary below is in constant currencies</w:t>
      </w:r>
    </w:p>
    <w:p w:rsidR="00DE4AA8" w:rsidRPr="00AC5413" w:rsidRDefault="00DE4AA8" w:rsidP="00DE4AA8">
      <w:pPr>
        <w:jc w:val="left"/>
        <w:rPr>
          <w:rFonts w:ascii="Arial" w:hAnsi="Arial" w:cs="Arial"/>
          <w:sz w:val="24"/>
          <w:szCs w:val="24"/>
          <w:highlight w:val="magenta"/>
        </w:rPr>
      </w:pPr>
    </w:p>
    <w:p w:rsidR="00DE4AA8" w:rsidRPr="00AC5413" w:rsidRDefault="00DE4AA8" w:rsidP="00DE4AA8">
      <w:pPr>
        <w:jc w:val="left"/>
        <w:rPr>
          <w:rFonts w:ascii="Arial" w:hAnsi="Arial" w:cs="Arial"/>
          <w:b/>
          <w:bCs/>
          <w:sz w:val="24"/>
          <w:szCs w:val="24"/>
        </w:rPr>
      </w:pPr>
      <w:r w:rsidRPr="00AC5413">
        <w:rPr>
          <w:rFonts w:ascii="Arial" w:hAnsi="Arial" w:cs="Arial"/>
          <w:b/>
          <w:bCs/>
          <w:sz w:val="24"/>
          <w:szCs w:val="24"/>
        </w:rPr>
        <w:t>Kingfisher France</w:t>
      </w:r>
    </w:p>
    <w:p w:rsidR="00DE4AA8" w:rsidRPr="00AC5413" w:rsidRDefault="00DE4AA8" w:rsidP="00DE4AA8">
      <w:pPr>
        <w:jc w:val="left"/>
        <w:rPr>
          <w:rFonts w:ascii="Arial" w:hAnsi="Arial" w:cs="Arial"/>
          <w:b/>
          <w:bCs/>
          <w:sz w:val="24"/>
          <w:szCs w:val="24"/>
        </w:rPr>
      </w:pPr>
    </w:p>
    <w:p w:rsidR="00DE4AA8" w:rsidRDefault="00DE4AA8" w:rsidP="00DE4AA8">
      <w:pPr>
        <w:jc w:val="left"/>
        <w:rPr>
          <w:rFonts w:ascii="Arial" w:hAnsi="Arial" w:cs="Arial"/>
          <w:bCs/>
          <w:sz w:val="24"/>
          <w:szCs w:val="24"/>
        </w:rPr>
      </w:pPr>
      <w:r w:rsidRPr="00AC5413">
        <w:rPr>
          <w:rFonts w:ascii="Arial" w:hAnsi="Arial" w:cs="Arial"/>
          <w:bCs/>
          <w:sz w:val="24"/>
          <w:szCs w:val="24"/>
        </w:rPr>
        <w:t>Kin</w:t>
      </w:r>
      <w:r>
        <w:rPr>
          <w:rFonts w:ascii="Arial" w:hAnsi="Arial" w:cs="Arial"/>
          <w:bCs/>
          <w:sz w:val="24"/>
          <w:szCs w:val="24"/>
        </w:rPr>
        <w:t>gfisher France total sales increased by 0.4% (-0.8</w:t>
      </w:r>
      <w:r w:rsidRPr="00AC5413">
        <w:rPr>
          <w:rFonts w:ascii="Arial" w:hAnsi="Arial" w:cs="Arial"/>
          <w:bCs/>
          <w:sz w:val="24"/>
          <w:szCs w:val="24"/>
        </w:rPr>
        <w:t>% LFL</w:t>
      </w:r>
      <w:r>
        <w:rPr>
          <w:rFonts w:ascii="Arial" w:hAnsi="Arial" w:cs="Arial"/>
          <w:bCs/>
          <w:sz w:val="24"/>
          <w:szCs w:val="24"/>
        </w:rPr>
        <w:t>; -3.2% 2 year LFL</w:t>
      </w:r>
      <w:r w:rsidRPr="00AC5413">
        <w:rPr>
          <w:rFonts w:ascii="Arial" w:hAnsi="Arial" w:cs="Arial"/>
          <w:bCs/>
          <w:sz w:val="24"/>
          <w:szCs w:val="24"/>
        </w:rPr>
        <w:t>)</w:t>
      </w:r>
      <w:r>
        <w:rPr>
          <w:rFonts w:ascii="Arial" w:hAnsi="Arial" w:cs="Arial"/>
          <w:bCs/>
          <w:sz w:val="24"/>
          <w:szCs w:val="24"/>
        </w:rPr>
        <w:t xml:space="preserve"> to £2,205 million supported by better weather compared to H1 last year whilst underlying markets remained soft</w:t>
      </w:r>
      <w:r w:rsidRPr="00AC5413">
        <w:rPr>
          <w:rFonts w:ascii="Arial" w:hAnsi="Arial" w:cs="Arial"/>
          <w:bCs/>
          <w:sz w:val="24"/>
          <w:szCs w:val="24"/>
        </w:rPr>
        <w:t xml:space="preserve">. </w:t>
      </w:r>
      <w:r>
        <w:rPr>
          <w:rFonts w:ascii="Arial" w:hAnsi="Arial" w:cs="Arial"/>
          <w:bCs/>
          <w:sz w:val="24"/>
          <w:szCs w:val="24"/>
        </w:rPr>
        <w:t>Across the two businesses, 2% net new space was added compared to H1 last year. O</w:t>
      </w:r>
      <w:r w:rsidRPr="00270087">
        <w:rPr>
          <w:rFonts w:ascii="Arial" w:hAnsi="Arial" w:cs="Arial"/>
          <w:bCs/>
          <w:sz w:val="24"/>
          <w:szCs w:val="24"/>
        </w:rPr>
        <w:t>ne net new store was opened</w:t>
      </w:r>
      <w:r>
        <w:rPr>
          <w:rFonts w:ascii="Arial" w:hAnsi="Arial" w:cs="Arial"/>
          <w:bCs/>
          <w:sz w:val="24"/>
          <w:szCs w:val="24"/>
        </w:rPr>
        <w:t xml:space="preserve">, </w:t>
      </w:r>
      <w:r w:rsidRPr="00270087">
        <w:rPr>
          <w:rFonts w:ascii="Arial" w:hAnsi="Arial" w:cs="Arial"/>
          <w:bCs/>
          <w:sz w:val="24"/>
          <w:szCs w:val="24"/>
        </w:rPr>
        <w:t xml:space="preserve">two </w:t>
      </w:r>
      <w:r>
        <w:rPr>
          <w:rFonts w:ascii="Arial" w:hAnsi="Arial" w:cs="Arial"/>
          <w:bCs/>
          <w:sz w:val="24"/>
          <w:szCs w:val="24"/>
        </w:rPr>
        <w:t xml:space="preserve">stores </w:t>
      </w:r>
      <w:r w:rsidRPr="00270087">
        <w:rPr>
          <w:rFonts w:ascii="Arial" w:hAnsi="Arial" w:cs="Arial"/>
          <w:bCs/>
          <w:sz w:val="24"/>
          <w:szCs w:val="24"/>
        </w:rPr>
        <w:t>were revamped,</w:t>
      </w:r>
      <w:r>
        <w:rPr>
          <w:rFonts w:ascii="Arial" w:hAnsi="Arial" w:cs="Arial"/>
          <w:bCs/>
          <w:sz w:val="24"/>
          <w:szCs w:val="24"/>
        </w:rPr>
        <w:t xml:space="preserve"> and two Castorama stores were converted to Brico Dépôt. </w:t>
      </w:r>
    </w:p>
    <w:p w:rsidR="00DE4AA8" w:rsidRPr="00303155" w:rsidRDefault="00DE4AA8" w:rsidP="00DE4AA8">
      <w:pPr>
        <w:jc w:val="left"/>
        <w:rPr>
          <w:rFonts w:ascii="Arial" w:hAnsi="Arial" w:cs="Arial"/>
          <w:bCs/>
          <w:sz w:val="24"/>
          <w:szCs w:val="24"/>
        </w:rPr>
      </w:pPr>
    </w:p>
    <w:p w:rsidR="00DE4AA8" w:rsidRDefault="00DE4AA8" w:rsidP="00DE4AA8">
      <w:pPr>
        <w:jc w:val="left"/>
        <w:rPr>
          <w:rFonts w:ascii="Arial" w:hAnsi="Arial" w:cs="Arial"/>
          <w:bCs/>
          <w:sz w:val="24"/>
          <w:szCs w:val="24"/>
        </w:rPr>
      </w:pPr>
      <w:r>
        <w:rPr>
          <w:rFonts w:ascii="Arial" w:hAnsi="Arial" w:cs="Arial"/>
          <w:bCs/>
          <w:sz w:val="24"/>
          <w:szCs w:val="24"/>
        </w:rPr>
        <w:t>Kingfisher France delivered flat retail profit of £18</w:t>
      </w:r>
      <w:r w:rsidR="005E05CB">
        <w:rPr>
          <w:rFonts w:ascii="Arial" w:hAnsi="Arial" w:cs="Arial"/>
          <w:bCs/>
          <w:sz w:val="24"/>
          <w:szCs w:val="24"/>
        </w:rPr>
        <w:t>2</w:t>
      </w:r>
      <w:r>
        <w:rPr>
          <w:rFonts w:ascii="Arial" w:hAnsi="Arial" w:cs="Arial"/>
          <w:bCs/>
          <w:sz w:val="24"/>
          <w:szCs w:val="24"/>
        </w:rPr>
        <w:t xml:space="preserve"> million reflecting lower levels of variable </w:t>
      </w:r>
      <w:r w:rsidRPr="00DE7F41">
        <w:rPr>
          <w:rFonts w:ascii="Arial" w:hAnsi="Arial" w:cs="Arial"/>
          <w:bCs/>
          <w:sz w:val="24"/>
          <w:szCs w:val="24"/>
        </w:rPr>
        <w:t>pay</w:t>
      </w:r>
      <w:r w:rsidR="004E29A5">
        <w:rPr>
          <w:rFonts w:ascii="Arial" w:hAnsi="Arial" w:cs="Arial"/>
          <w:bCs/>
          <w:sz w:val="24"/>
          <w:szCs w:val="24"/>
        </w:rPr>
        <w:t xml:space="preserve"> and </w:t>
      </w:r>
      <w:r w:rsidR="00FA0F28" w:rsidRPr="00DE7F41">
        <w:rPr>
          <w:rFonts w:ascii="Arial" w:hAnsi="Arial" w:cs="Arial"/>
          <w:bCs/>
          <w:sz w:val="24"/>
          <w:szCs w:val="24"/>
        </w:rPr>
        <w:t>pre-opening cost</w:t>
      </w:r>
      <w:r w:rsidR="004E29A5">
        <w:rPr>
          <w:rFonts w:ascii="Arial" w:hAnsi="Arial" w:cs="Arial"/>
          <w:bCs/>
          <w:sz w:val="24"/>
          <w:szCs w:val="24"/>
        </w:rPr>
        <w:t>s</w:t>
      </w:r>
      <w:r w:rsidR="00FA0F28">
        <w:rPr>
          <w:rFonts w:ascii="Arial" w:hAnsi="Arial" w:cs="Arial"/>
          <w:bCs/>
          <w:sz w:val="24"/>
          <w:szCs w:val="24"/>
        </w:rPr>
        <w:t xml:space="preserve"> </w:t>
      </w:r>
      <w:r>
        <w:rPr>
          <w:rFonts w:ascii="Arial" w:hAnsi="Arial" w:cs="Arial"/>
          <w:bCs/>
          <w:sz w:val="24"/>
          <w:szCs w:val="24"/>
        </w:rPr>
        <w:t>and higher gross margins</w:t>
      </w:r>
      <w:r w:rsidR="00CF5C09">
        <w:rPr>
          <w:rFonts w:ascii="Arial" w:hAnsi="Arial" w:cs="Arial"/>
          <w:bCs/>
          <w:sz w:val="24"/>
          <w:szCs w:val="24"/>
        </w:rPr>
        <w:t xml:space="preserve"> largely offsetting inflation</w:t>
      </w:r>
      <w:r>
        <w:rPr>
          <w:rFonts w:ascii="Arial" w:hAnsi="Arial" w:cs="Arial"/>
          <w:bCs/>
          <w:sz w:val="24"/>
          <w:szCs w:val="24"/>
        </w:rPr>
        <w:t xml:space="preserve">. Gross margins were up 30 basis points across H1, with ongoing self-help initiatives offset by additional </w:t>
      </w:r>
      <w:r w:rsidRPr="00EB2EFA">
        <w:rPr>
          <w:rFonts w:ascii="Arial" w:hAnsi="Arial" w:cs="Arial"/>
          <w:bCs/>
          <w:sz w:val="24"/>
          <w:szCs w:val="24"/>
        </w:rPr>
        <w:t>promotional activity</w:t>
      </w:r>
      <w:r>
        <w:rPr>
          <w:rFonts w:ascii="Arial" w:hAnsi="Arial" w:cs="Arial"/>
          <w:bCs/>
          <w:sz w:val="24"/>
          <w:szCs w:val="24"/>
        </w:rPr>
        <w:t xml:space="preserve"> in Q2. </w:t>
      </w:r>
    </w:p>
    <w:p w:rsidR="00DE4AA8" w:rsidRPr="006A2252" w:rsidRDefault="00DE4AA8" w:rsidP="00DE4AA8">
      <w:pPr>
        <w:jc w:val="left"/>
        <w:rPr>
          <w:rFonts w:ascii="Arial" w:hAnsi="Arial" w:cs="Arial"/>
          <w:color w:val="FF0000"/>
          <w:sz w:val="24"/>
          <w:szCs w:val="24"/>
        </w:rPr>
      </w:pPr>
    </w:p>
    <w:p w:rsidR="00DE4AA8" w:rsidRDefault="00DE4AA8" w:rsidP="00DE4AA8">
      <w:pPr>
        <w:jc w:val="left"/>
        <w:rPr>
          <w:rFonts w:ascii="Arial" w:hAnsi="Arial" w:cs="Arial"/>
          <w:sz w:val="24"/>
          <w:szCs w:val="24"/>
        </w:rPr>
      </w:pPr>
      <w:r w:rsidRPr="00303155">
        <w:rPr>
          <w:rFonts w:ascii="Arial" w:hAnsi="Arial" w:cs="Arial"/>
          <w:b/>
          <w:bCs/>
          <w:sz w:val="24"/>
          <w:szCs w:val="24"/>
        </w:rPr>
        <w:t>Castorama</w:t>
      </w:r>
      <w:r w:rsidRPr="00303155">
        <w:rPr>
          <w:rFonts w:ascii="Arial" w:hAnsi="Arial" w:cs="Arial"/>
          <w:sz w:val="24"/>
          <w:szCs w:val="24"/>
        </w:rPr>
        <w:t xml:space="preserve"> total sales grew by </w:t>
      </w:r>
      <w:r>
        <w:rPr>
          <w:rFonts w:ascii="Arial" w:hAnsi="Arial" w:cs="Arial"/>
          <w:sz w:val="24"/>
          <w:szCs w:val="24"/>
        </w:rPr>
        <w:t>0.1%</w:t>
      </w:r>
      <w:r w:rsidRPr="00303155">
        <w:rPr>
          <w:rFonts w:ascii="Arial" w:hAnsi="Arial" w:cs="Arial"/>
          <w:sz w:val="24"/>
          <w:szCs w:val="24"/>
        </w:rPr>
        <w:t xml:space="preserve"> (</w:t>
      </w:r>
      <w:r>
        <w:rPr>
          <w:rFonts w:ascii="Arial" w:hAnsi="Arial" w:cs="Arial"/>
          <w:sz w:val="24"/>
          <w:szCs w:val="24"/>
        </w:rPr>
        <w:t>+0.1</w:t>
      </w:r>
      <w:r w:rsidRPr="00303155">
        <w:rPr>
          <w:rFonts w:ascii="Arial" w:hAnsi="Arial" w:cs="Arial"/>
          <w:sz w:val="24"/>
          <w:szCs w:val="24"/>
        </w:rPr>
        <w:t>% LFL</w:t>
      </w:r>
      <w:r>
        <w:rPr>
          <w:rFonts w:ascii="Arial" w:hAnsi="Arial" w:cs="Arial"/>
          <w:sz w:val="24"/>
          <w:szCs w:val="24"/>
        </w:rPr>
        <w:t>; -1.1% 2 year LFL</w:t>
      </w:r>
      <w:r w:rsidRPr="00303155">
        <w:rPr>
          <w:rFonts w:ascii="Arial" w:hAnsi="Arial" w:cs="Arial"/>
          <w:sz w:val="24"/>
          <w:szCs w:val="24"/>
        </w:rPr>
        <w:t>)</w:t>
      </w:r>
      <w:r>
        <w:rPr>
          <w:rFonts w:ascii="Arial" w:hAnsi="Arial" w:cs="Arial"/>
          <w:sz w:val="24"/>
          <w:szCs w:val="24"/>
        </w:rPr>
        <w:t xml:space="preserve"> to £1,234 million</w:t>
      </w:r>
      <w:r w:rsidRPr="00303155">
        <w:rPr>
          <w:rFonts w:ascii="Arial" w:hAnsi="Arial" w:cs="Arial"/>
          <w:sz w:val="24"/>
          <w:szCs w:val="24"/>
        </w:rPr>
        <w:t xml:space="preserve">. </w:t>
      </w:r>
    </w:p>
    <w:p w:rsidR="00DE4AA8" w:rsidRDefault="00DE4AA8" w:rsidP="00DE4AA8">
      <w:pPr>
        <w:jc w:val="left"/>
        <w:rPr>
          <w:rFonts w:ascii="Arial" w:hAnsi="Arial" w:cs="Arial"/>
          <w:sz w:val="24"/>
          <w:szCs w:val="24"/>
        </w:rPr>
      </w:pPr>
    </w:p>
    <w:p w:rsidR="00DE4AA8" w:rsidRDefault="00DE4AA8" w:rsidP="00DE4AA8">
      <w:pPr>
        <w:jc w:val="left"/>
        <w:rPr>
          <w:rFonts w:ascii="Arial" w:hAnsi="Arial" w:cs="Arial"/>
          <w:sz w:val="24"/>
          <w:szCs w:val="24"/>
        </w:rPr>
      </w:pPr>
      <w:r w:rsidRPr="00303155">
        <w:rPr>
          <w:rFonts w:ascii="Arial" w:hAnsi="Arial" w:cs="Arial"/>
          <w:sz w:val="24"/>
          <w:szCs w:val="24"/>
        </w:rPr>
        <w:t>According to Banque de France data</w:t>
      </w:r>
      <w:r>
        <w:rPr>
          <w:rFonts w:ascii="Arial" w:hAnsi="Arial" w:cs="Arial"/>
          <w:i/>
          <w:sz w:val="24"/>
          <w:szCs w:val="24"/>
          <w:vertAlign w:val="superscript"/>
        </w:rPr>
        <w:t>*</w:t>
      </w:r>
      <w:r w:rsidRPr="00303155">
        <w:rPr>
          <w:rFonts w:ascii="Arial" w:hAnsi="Arial" w:cs="Arial"/>
          <w:sz w:val="24"/>
          <w:szCs w:val="24"/>
        </w:rPr>
        <w:t xml:space="preserve">, sales for </w:t>
      </w:r>
      <w:r w:rsidRPr="00BE07B8">
        <w:rPr>
          <w:rFonts w:ascii="Arial" w:hAnsi="Arial" w:cs="Arial"/>
          <w:sz w:val="24"/>
          <w:szCs w:val="24"/>
        </w:rPr>
        <w:t>the home improvement market</w:t>
      </w:r>
      <w:r>
        <w:rPr>
          <w:rFonts w:ascii="Arial" w:hAnsi="Arial" w:cs="Arial"/>
          <w:sz w:val="24"/>
          <w:szCs w:val="24"/>
        </w:rPr>
        <w:t xml:space="preserve"> were up 2% for the first four months (February to May), turning down sharply by 5% in June and July. Across H1 sales </w:t>
      </w:r>
      <w:r w:rsidR="00BD51E9">
        <w:rPr>
          <w:rFonts w:ascii="Arial" w:hAnsi="Arial" w:cs="Arial"/>
          <w:sz w:val="24"/>
          <w:szCs w:val="24"/>
        </w:rPr>
        <w:t xml:space="preserve">for the home improvement market </w:t>
      </w:r>
      <w:r>
        <w:rPr>
          <w:rFonts w:ascii="Arial" w:hAnsi="Arial" w:cs="Arial"/>
          <w:sz w:val="24"/>
          <w:szCs w:val="24"/>
        </w:rPr>
        <w:t xml:space="preserve">were broadly flat and down around </w:t>
      </w:r>
      <w:r w:rsidR="00433E0D">
        <w:rPr>
          <w:rFonts w:ascii="Arial" w:hAnsi="Arial" w:cs="Arial"/>
          <w:sz w:val="24"/>
          <w:szCs w:val="24"/>
        </w:rPr>
        <w:t>4</w:t>
      </w:r>
      <w:r>
        <w:rPr>
          <w:rFonts w:ascii="Arial" w:hAnsi="Arial" w:cs="Arial"/>
          <w:sz w:val="24"/>
          <w:szCs w:val="24"/>
        </w:rPr>
        <w:t xml:space="preserve">% on a two year basis. </w:t>
      </w:r>
    </w:p>
    <w:p w:rsidR="00DE4AA8" w:rsidRDefault="00DE4AA8" w:rsidP="00DE4AA8">
      <w:pPr>
        <w:jc w:val="left"/>
        <w:rPr>
          <w:rFonts w:ascii="Arial" w:hAnsi="Arial" w:cs="Arial"/>
          <w:sz w:val="24"/>
          <w:szCs w:val="24"/>
        </w:rPr>
      </w:pPr>
    </w:p>
    <w:p w:rsidR="00DE4AA8" w:rsidRPr="006A2252" w:rsidRDefault="00DE4AA8" w:rsidP="00DE4AA8">
      <w:pPr>
        <w:jc w:val="left"/>
        <w:rPr>
          <w:rFonts w:ascii="Arial" w:hAnsi="Arial" w:cs="Arial"/>
          <w:color w:val="FF0000"/>
          <w:sz w:val="24"/>
          <w:szCs w:val="24"/>
        </w:rPr>
      </w:pPr>
      <w:r>
        <w:rPr>
          <w:rFonts w:ascii="Arial" w:hAnsi="Arial" w:cs="Arial"/>
          <w:bCs/>
          <w:sz w:val="24"/>
          <w:szCs w:val="24"/>
        </w:rPr>
        <w:t>Sales of seasonal products were up around 4% whereas sales of indoor and building products were down around 1%.</w:t>
      </w:r>
    </w:p>
    <w:p w:rsidR="00DE4AA8" w:rsidRDefault="00DE4AA8" w:rsidP="00DE4AA8">
      <w:pPr>
        <w:jc w:val="left"/>
        <w:rPr>
          <w:rFonts w:ascii="Arial" w:hAnsi="Arial" w:cs="Arial"/>
          <w:b/>
          <w:bCs/>
          <w:sz w:val="24"/>
          <w:szCs w:val="24"/>
        </w:rPr>
      </w:pPr>
    </w:p>
    <w:p w:rsidR="00DE4AA8" w:rsidRDefault="00DE4AA8" w:rsidP="00DE4AA8">
      <w:pPr>
        <w:jc w:val="left"/>
        <w:rPr>
          <w:rFonts w:ascii="Arial" w:hAnsi="Arial" w:cs="Arial"/>
          <w:bCs/>
          <w:sz w:val="24"/>
          <w:szCs w:val="24"/>
        </w:rPr>
      </w:pPr>
      <w:r w:rsidRPr="00303155">
        <w:rPr>
          <w:rFonts w:ascii="Arial" w:hAnsi="Arial" w:cs="Arial"/>
          <w:b/>
          <w:bCs/>
          <w:sz w:val="24"/>
          <w:szCs w:val="24"/>
        </w:rPr>
        <w:t>Brico Dépôt</w:t>
      </w:r>
      <w:r>
        <w:rPr>
          <w:rFonts w:ascii="Arial" w:hAnsi="Arial" w:cs="Arial"/>
          <w:bCs/>
          <w:sz w:val="24"/>
          <w:szCs w:val="24"/>
        </w:rPr>
        <w:t xml:space="preserve">, which more specifically targets trade professionals and heavy DIYers, grew total sales by 0.8% (-1.9% LFL; -5.7% 2 year LFL) to £971 million driven by new store openings. Sales were impacted by a slower house building market with new housing starts and planning consent data* down around </w:t>
      </w:r>
      <w:r w:rsidR="00755290">
        <w:rPr>
          <w:rFonts w:ascii="Arial" w:hAnsi="Arial" w:cs="Arial"/>
          <w:bCs/>
          <w:sz w:val="24"/>
          <w:szCs w:val="24"/>
        </w:rPr>
        <w:t>15</w:t>
      </w:r>
      <w:r>
        <w:rPr>
          <w:rFonts w:ascii="Arial" w:hAnsi="Arial" w:cs="Arial"/>
          <w:bCs/>
          <w:sz w:val="24"/>
          <w:szCs w:val="24"/>
        </w:rPr>
        <w:t xml:space="preserve">% and </w:t>
      </w:r>
      <w:r w:rsidR="00604C65" w:rsidRPr="00A00E8B">
        <w:rPr>
          <w:rFonts w:ascii="Arial" w:hAnsi="Arial" w:cs="Arial"/>
          <w:bCs/>
          <w:sz w:val="24"/>
          <w:szCs w:val="24"/>
        </w:rPr>
        <w:t>13</w:t>
      </w:r>
      <w:r w:rsidRPr="00604C65">
        <w:rPr>
          <w:rFonts w:ascii="Arial" w:hAnsi="Arial" w:cs="Arial"/>
          <w:bCs/>
          <w:sz w:val="24"/>
          <w:szCs w:val="24"/>
        </w:rPr>
        <w:t>%</w:t>
      </w:r>
      <w:r>
        <w:rPr>
          <w:rFonts w:ascii="Arial" w:hAnsi="Arial" w:cs="Arial"/>
          <w:bCs/>
          <w:sz w:val="24"/>
          <w:szCs w:val="24"/>
        </w:rPr>
        <w:t xml:space="preserve"> respectively.</w:t>
      </w:r>
    </w:p>
    <w:p w:rsidR="00BE07B8" w:rsidRPr="00BE07B8" w:rsidRDefault="00BE07B8" w:rsidP="00BE07B8">
      <w:pPr>
        <w:jc w:val="left"/>
        <w:rPr>
          <w:rFonts w:ascii="Arial" w:hAnsi="Arial" w:cs="Arial"/>
          <w:i/>
          <w:iCs/>
          <w:color w:val="FF0000"/>
          <w:sz w:val="18"/>
          <w:szCs w:val="18"/>
        </w:rPr>
      </w:pPr>
    </w:p>
    <w:bookmarkEnd w:id="2"/>
    <w:bookmarkEnd w:id="3"/>
    <w:p w:rsidR="00BE07B8" w:rsidRDefault="00BE07B8">
      <w:pPr>
        <w:jc w:val="left"/>
        <w:rPr>
          <w:rFonts w:ascii="Arial" w:hAnsi="Arial" w:cs="Arial"/>
          <w:b/>
          <w:bCs/>
          <w:sz w:val="24"/>
          <w:szCs w:val="24"/>
        </w:rPr>
      </w:pPr>
      <w:r>
        <w:rPr>
          <w:rFonts w:ascii="Arial" w:hAnsi="Arial" w:cs="Arial"/>
          <w:b/>
          <w:bCs/>
          <w:sz w:val="24"/>
          <w:szCs w:val="24"/>
        </w:rPr>
        <w:br w:type="page"/>
      </w:r>
    </w:p>
    <w:p w:rsidR="001B3B55" w:rsidRPr="005C5799" w:rsidRDefault="001B3B55" w:rsidP="001B3B55">
      <w:pPr>
        <w:jc w:val="left"/>
        <w:rPr>
          <w:rFonts w:ascii="Arial" w:hAnsi="Arial" w:cs="Arial"/>
          <w:i/>
          <w:iCs/>
          <w:sz w:val="24"/>
          <w:szCs w:val="24"/>
          <w:highlight w:val="magenta"/>
        </w:rPr>
      </w:pPr>
      <w:r w:rsidRPr="005C5799">
        <w:rPr>
          <w:rFonts w:ascii="Arial" w:hAnsi="Arial" w:cs="Arial"/>
          <w:b/>
          <w:bCs/>
          <w:sz w:val="24"/>
          <w:szCs w:val="24"/>
        </w:rPr>
        <w:lastRenderedPageBreak/>
        <w:t>UK &amp; IRELAND</w:t>
      </w:r>
      <w:r w:rsidR="00D12133">
        <w:rPr>
          <w:rFonts w:ascii="Arial" w:hAnsi="Arial" w:cs="Arial"/>
          <w:b/>
          <w:bCs/>
          <w:sz w:val="24"/>
          <w:szCs w:val="24"/>
        </w:rPr>
        <w:t>*</w:t>
      </w:r>
    </w:p>
    <w:p w:rsidR="000134F7" w:rsidRPr="006E42B5" w:rsidRDefault="000134F7" w:rsidP="000134F7">
      <w:pPr>
        <w:jc w:val="left"/>
        <w:rPr>
          <w:rFonts w:ascii="Arial" w:hAnsi="Arial" w:cs="Arial"/>
          <w:sz w:val="24"/>
          <w:szCs w:val="24"/>
          <w:highlight w:val="magenta"/>
        </w:rPr>
      </w:pPr>
    </w:p>
    <w:tbl>
      <w:tblPr>
        <w:tblW w:w="483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7"/>
        <w:gridCol w:w="1247"/>
        <w:gridCol w:w="1523"/>
        <w:gridCol w:w="1527"/>
        <w:gridCol w:w="1659"/>
        <w:gridCol w:w="1148"/>
      </w:tblGrid>
      <w:tr w:rsidR="000134F7" w:rsidRPr="006E42B5" w:rsidTr="001E608A">
        <w:tc>
          <w:tcPr>
            <w:tcW w:w="1189" w:type="pct"/>
          </w:tcPr>
          <w:p w:rsidR="000134F7" w:rsidRPr="006E42B5" w:rsidRDefault="000134F7" w:rsidP="001E608A">
            <w:pPr>
              <w:rPr>
                <w:rFonts w:ascii="Arial" w:hAnsi="Arial" w:cs="Arial"/>
                <w:sz w:val="24"/>
                <w:szCs w:val="24"/>
                <w:highlight w:val="magenta"/>
              </w:rPr>
            </w:pPr>
            <w:r w:rsidRPr="006E42B5">
              <w:rPr>
                <w:rFonts w:ascii="Arial" w:hAnsi="Arial" w:cs="Arial"/>
                <w:b/>
                <w:bCs/>
                <w:sz w:val="24"/>
                <w:szCs w:val="24"/>
              </w:rPr>
              <w:t>Sales £m</w:t>
            </w:r>
          </w:p>
        </w:tc>
        <w:tc>
          <w:tcPr>
            <w:tcW w:w="669" w:type="pct"/>
          </w:tcPr>
          <w:p w:rsidR="000134F7" w:rsidRPr="006E42B5" w:rsidRDefault="000134F7" w:rsidP="001E608A">
            <w:pPr>
              <w:jc w:val="right"/>
              <w:rPr>
                <w:rFonts w:ascii="Arial" w:hAnsi="Arial" w:cs="Arial"/>
                <w:sz w:val="24"/>
                <w:szCs w:val="24"/>
              </w:rPr>
            </w:pPr>
            <w:r>
              <w:rPr>
                <w:rFonts w:ascii="Arial" w:hAnsi="Arial" w:cs="Arial"/>
                <w:b/>
                <w:bCs/>
                <w:sz w:val="24"/>
                <w:szCs w:val="24"/>
              </w:rPr>
              <w:t>2014/15</w:t>
            </w:r>
          </w:p>
        </w:tc>
        <w:tc>
          <w:tcPr>
            <w:tcW w:w="817" w:type="pct"/>
          </w:tcPr>
          <w:p w:rsidR="000134F7" w:rsidRPr="006E42B5" w:rsidRDefault="000134F7" w:rsidP="001E608A">
            <w:pPr>
              <w:jc w:val="right"/>
              <w:rPr>
                <w:rFonts w:ascii="Arial" w:hAnsi="Arial" w:cs="Arial"/>
                <w:b/>
                <w:bCs/>
                <w:sz w:val="24"/>
                <w:szCs w:val="24"/>
              </w:rPr>
            </w:pPr>
            <w:r w:rsidRPr="006E42B5">
              <w:rPr>
                <w:rFonts w:ascii="Arial" w:hAnsi="Arial" w:cs="Arial"/>
                <w:b/>
                <w:bCs/>
                <w:sz w:val="24"/>
                <w:szCs w:val="24"/>
              </w:rPr>
              <w:t>2013/14</w:t>
            </w:r>
          </w:p>
        </w:tc>
        <w:tc>
          <w:tcPr>
            <w:tcW w:w="819" w:type="pct"/>
          </w:tcPr>
          <w:p w:rsidR="000134F7" w:rsidRDefault="000134F7" w:rsidP="001E608A">
            <w:pPr>
              <w:jc w:val="right"/>
              <w:rPr>
                <w:rFonts w:ascii="Arial" w:hAnsi="Arial" w:cs="Arial"/>
                <w:b/>
                <w:bCs/>
                <w:sz w:val="24"/>
                <w:szCs w:val="24"/>
              </w:rPr>
            </w:pPr>
            <w:r w:rsidRPr="006E42B5">
              <w:rPr>
                <w:rFonts w:ascii="Arial" w:hAnsi="Arial" w:cs="Arial"/>
                <w:b/>
                <w:bCs/>
                <w:sz w:val="24"/>
                <w:szCs w:val="24"/>
              </w:rPr>
              <w:t>%</w:t>
            </w:r>
            <w:r w:rsidR="001F7725">
              <w:rPr>
                <w:rFonts w:ascii="Arial" w:hAnsi="Arial" w:cs="Arial"/>
                <w:b/>
                <w:bCs/>
                <w:sz w:val="24"/>
                <w:szCs w:val="24"/>
              </w:rPr>
              <w:t xml:space="preserve"> Total</w:t>
            </w:r>
            <w:r w:rsidRPr="006E42B5">
              <w:rPr>
                <w:rFonts w:ascii="Arial" w:hAnsi="Arial" w:cs="Arial"/>
                <w:b/>
                <w:bCs/>
                <w:sz w:val="24"/>
                <w:szCs w:val="24"/>
              </w:rPr>
              <w:t xml:space="preserve"> </w:t>
            </w:r>
          </w:p>
          <w:p w:rsidR="000134F7" w:rsidRDefault="000134F7" w:rsidP="001E608A">
            <w:pPr>
              <w:jc w:val="right"/>
              <w:rPr>
                <w:rFonts w:ascii="Arial" w:hAnsi="Arial" w:cs="Arial"/>
                <w:b/>
                <w:bCs/>
                <w:sz w:val="24"/>
                <w:szCs w:val="24"/>
              </w:rPr>
            </w:pPr>
            <w:r w:rsidRPr="006E42B5">
              <w:rPr>
                <w:rFonts w:ascii="Arial" w:hAnsi="Arial" w:cs="Arial"/>
                <w:b/>
                <w:bCs/>
                <w:sz w:val="24"/>
                <w:szCs w:val="24"/>
              </w:rPr>
              <w:t>Change</w:t>
            </w:r>
          </w:p>
          <w:p w:rsidR="001F7725" w:rsidRPr="006E42B5" w:rsidRDefault="001F7725" w:rsidP="001E608A">
            <w:pPr>
              <w:jc w:val="right"/>
              <w:rPr>
                <w:rFonts w:ascii="Arial" w:hAnsi="Arial" w:cs="Arial"/>
                <w:b/>
                <w:bCs/>
                <w:sz w:val="24"/>
                <w:szCs w:val="24"/>
              </w:rPr>
            </w:pPr>
            <w:r>
              <w:rPr>
                <w:rFonts w:ascii="Arial" w:hAnsi="Arial" w:cs="Arial"/>
                <w:b/>
                <w:bCs/>
                <w:sz w:val="24"/>
                <w:szCs w:val="24"/>
              </w:rPr>
              <w:t>Reported</w:t>
            </w:r>
          </w:p>
        </w:tc>
        <w:tc>
          <w:tcPr>
            <w:tcW w:w="890" w:type="pct"/>
          </w:tcPr>
          <w:p w:rsidR="000134F7" w:rsidRDefault="000134F7" w:rsidP="001E608A">
            <w:pPr>
              <w:jc w:val="right"/>
              <w:rPr>
                <w:rFonts w:ascii="Arial" w:hAnsi="Arial" w:cs="Arial"/>
                <w:b/>
                <w:bCs/>
                <w:sz w:val="24"/>
                <w:szCs w:val="24"/>
              </w:rPr>
            </w:pPr>
            <w:r w:rsidRPr="006E42B5">
              <w:rPr>
                <w:rFonts w:ascii="Arial" w:hAnsi="Arial" w:cs="Arial"/>
                <w:b/>
                <w:bCs/>
                <w:sz w:val="24"/>
                <w:szCs w:val="24"/>
              </w:rPr>
              <w:t xml:space="preserve">% </w:t>
            </w:r>
            <w:r w:rsidR="001F7725">
              <w:rPr>
                <w:rFonts w:ascii="Arial" w:hAnsi="Arial" w:cs="Arial"/>
                <w:b/>
                <w:bCs/>
                <w:sz w:val="24"/>
                <w:szCs w:val="24"/>
              </w:rPr>
              <w:t>Total Change Co</w:t>
            </w:r>
            <w:r w:rsidRPr="006E42B5">
              <w:rPr>
                <w:rFonts w:ascii="Arial" w:hAnsi="Arial" w:cs="Arial"/>
                <w:b/>
                <w:bCs/>
                <w:sz w:val="24"/>
                <w:szCs w:val="24"/>
              </w:rPr>
              <w:t>nstant</w:t>
            </w:r>
          </w:p>
          <w:p w:rsidR="000134F7" w:rsidRPr="006E42B5" w:rsidRDefault="000134F7" w:rsidP="00CB5842">
            <w:pPr>
              <w:jc w:val="right"/>
              <w:rPr>
                <w:rFonts w:ascii="Arial" w:hAnsi="Arial" w:cs="Arial"/>
                <w:b/>
                <w:bCs/>
                <w:sz w:val="24"/>
                <w:szCs w:val="24"/>
              </w:rPr>
            </w:pPr>
            <w:r>
              <w:rPr>
                <w:rFonts w:ascii="Arial" w:hAnsi="Arial" w:cs="Arial"/>
                <w:b/>
                <w:bCs/>
                <w:sz w:val="24"/>
                <w:szCs w:val="24"/>
              </w:rPr>
              <w:t>Currency</w:t>
            </w:r>
            <w:r w:rsidRPr="006E42B5">
              <w:rPr>
                <w:rFonts w:ascii="Arial" w:hAnsi="Arial" w:cs="Arial"/>
                <w:b/>
                <w:bCs/>
                <w:sz w:val="24"/>
                <w:szCs w:val="24"/>
              </w:rPr>
              <w:t xml:space="preserve"> </w:t>
            </w:r>
          </w:p>
        </w:tc>
        <w:tc>
          <w:tcPr>
            <w:tcW w:w="616" w:type="pct"/>
          </w:tcPr>
          <w:p w:rsidR="000134F7" w:rsidRPr="006E42B5" w:rsidRDefault="000134F7" w:rsidP="001E608A">
            <w:pPr>
              <w:ind w:hanging="108"/>
              <w:jc w:val="right"/>
              <w:rPr>
                <w:rFonts w:ascii="Arial" w:hAnsi="Arial" w:cs="Arial"/>
                <w:b/>
                <w:bCs/>
                <w:sz w:val="24"/>
                <w:szCs w:val="24"/>
              </w:rPr>
            </w:pPr>
            <w:r w:rsidRPr="006E42B5">
              <w:rPr>
                <w:rFonts w:ascii="Arial" w:hAnsi="Arial" w:cs="Arial"/>
                <w:b/>
                <w:bCs/>
                <w:sz w:val="24"/>
                <w:szCs w:val="24"/>
              </w:rPr>
              <w:t>% LFL</w:t>
            </w:r>
          </w:p>
          <w:p w:rsidR="000134F7" w:rsidRPr="006E42B5" w:rsidRDefault="000134F7" w:rsidP="001E608A">
            <w:pPr>
              <w:ind w:hanging="108"/>
              <w:jc w:val="right"/>
              <w:rPr>
                <w:rFonts w:ascii="Arial" w:hAnsi="Arial" w:cs="Arial"/>
                <w:b/>
                <w:bCs/>
                <w:sz w:val="24"/>
                <w:szCs w:val="24"/>
              </w:rPr>
            </w:pPr>
            <w:r w:rsidRPr="006E42B5">
              <w:rPr>
                <w:rFonts w:ascii="Arial" w:hAnsi="Arial" w:cs="Arial"/>
                <w:b/>
                <w:bCs/>
                <w:sz w:val="24"/>
                <w:szCs w:val="24"/>
              </w:rPr>
              <w:t>Change</w:t>
            </w:r>
          </w:p>
        </w:tc>
      </w:tr>
      <w:tr w:rsidR="000134F7" w:rsidRPr="006E42B5" w:rsidTr="001E608A">
        <w:trPr>
          <w:trHeight w:val="147"/>
        </w:trPr>
        <w:tc>
          <w:tcPr>
            <w:tcW w:w="1189" w:type="pct"/>
          </w:tcPr>
          <w:p w:rsidR="000134F7" w:rsidRPr="006E42B5" w:rsidRDefault="000134F7" w:rsidP="001E608A">
            <w:pPr>
              <w:rPr>
                <w:rFonts w:ascii="Arial" w:hAnsi="Arial" w:cs="Arial"/>
                <w:sz w:val="24"/>
                <w:szCs w:val="24"/>
              </w:rPr>
            </w:pPr>
            <w:r w:rsidRPr="006E42B5">
              <w:rPr>
                <w:rFonts w:ascii="Arial" w:hAnsi="Arial" w:cs="Arial"/>
                <w:sz w:val="24"/>
                <w:szCs w:val="24"/>
              </w:rPr>
              <w:t>UK &amp; Ireland</w:t>
            </w:r>
          </w:p>
        </w:tc>
        <w:tc>
          <w:tcPr>
            <w:tcW w:w="669" w:type="pct"/>
          </w:tcPr>
          <w:p w:rsidR="000134F7" w:rsidRPr="006E42B5" w:rsidRDefault="009F764B" w:rsidP="001E608A">
            <w:pPr>
              <w:jc w:val="right"/>
              <w:rPr>
                <w:rFonts w:ascii="Arial" w:hAnsi="Arial" w:cs="Arial"/>
                <w:sz w:val="24"/>
                <w:szCs w:val="24"/>
              </w:rPr>
            </w:pPr>
            <w:r>
              <w:rPr>
                <w:rFonts w:ascii="Arial" w:hAnsi="Arial" w:cs="Arial"/>
                <w:sz w:val="24"/>
                <w:szCs w:val="24"/>
              </w:rPr>
              <w:t>2,419</w:t>
            </w:r>
          </w:p>
        </w:tc>
        <w:tc>
          <w:tcPr>
            <w:tcW w:w="817" w:type="pct"/>
          </w:tcPr>
          <w:p w:rsidR="000134F7" w:rsidRPr="006E42B5" w:rsidRDefault="009F764B" w:rsidP="001E608A">
            <w:pPr>
              <w:jc w:val="right"/>
              <w:rPr>
                <w:rFonts w:ascii="Arial" w:hAnsi="Arial" w:cs="Arial"/>
                <w:sz w:val="24"/>
                <w:szCs w:val="24"/>
                <w:highlight w:val="magenta"/>
              </w:rPr>
            </w:pPr>
            <w:r>
              <w:rPr>
                <w:rFonts w:ascii="Arial" w:hAnsi="Arial" w:cs="Arial"/>
                <w:sz w:val="24"/>
                <w:szCs w:val="24"/>
              </w:rPr>
              <w:t>2,270</w:t>
            </w:r>
          </w:p>
        </w:tc>
        <w:tc>
          <w:tcPr>
            <w:tcW w:w="819" w:type="pct"/>
          </w:tcPr>
          <w:p w:rsidR="000134F7" w:rsidRPr="006E42B5" w:rsidRDefault="009F764B" w:rsidP="001E608A">
            <w:pPr>
              <w:jc w:val="right"/>
              <w:rPr>
                <w:rFonts w:ascii="Arial" w:hAnsi="Arial" w:cs="Arial"/>
                <w:sz w:val="24"/>
                <w:szCs w:val="24"/>
              </w:rPr>
            </w:pPr>
            <w:r>
              <w:rPr>
                <w:rFonts w:ascii="Arial" w:hAnsi="Arial" w:cs="Arial"/>
                <w:sz w:val="24"/>
                <w:szCs w:val="24"/>
              </w:rPr>
              <w:t>+6.5%</w:t>
            </w:r>
          </w:p>
        </w:tc>
        <w:tc>
          <w:tcPr>
            <w:tcW w:w="890" w:type="pct"/>
          </w:tcPr>
          <w:p w:rsidR="000134F7" w:rsidRPr="006E42B5" w:rsidRDefault="009F764B" w:rsidP="001E608A">
            <w:pPr>
              <w:jc w:val="right"/>
              <w:rPr>
                <w:rFonts w:ascii="Arial" w:hAnsi="Arial" w:cs="Arial"/>
                <w:sz w:val="24"/>
                <w:szCs w:val="24"/>
              </w:rPr>
            </w:pPr>
            <w:r>
              <w:rPr>
                <w:rFonts w:ascii="Arial" w:hAnsi="Arial" w:cs="Arial"/>
                <w:sz w:val="24"/>
                <w:szCs w:val="24"/>
              </w:rPr>
              <w:t>+6.6%</w:t>
            </w:r>
          </w:p>
        </w:tc>
        <w:tc>
          <w:tcPr>
            <w:tcW w:w="616" w:type="pct"/>
          </w:tcPr>
          <w:p w:rsidR="000134F7" w:rsidRPr="006E42B5" w:rsidRDefault="009F764B" w:rsidP="001E608A">
            <w:pPr>
              <w:jc w:val="right"/>
              <w:rPr>
                <w:rFonts w:ascii="Arial" w:hAnsi="Arial" w:cs="Arial"/>
                <w:sz w:val="24"/>
                <w:szCs w:val="24"/>
              </w:rPr>
            </w:pPr>
            <w:r>
              <w:rPr>
                <w:rFonts w:ascii="Arial" w:hAnsi="Arial" w:cs="Arial"/>
                <w:sz w:val="24"/>
                <w:szCs w:val="24"/>
              </w:rPr>
              <w:t>+4.4%</w:t>
            </w:r>
          </w:p>
        </w:tc>
      </w:tr>
    </w:tbl>
    <w:p w:rsidR="000134F7" w:rsidRPr="006E42B5" w:rsidRDefault="000134F7" w:rsidP="000134F7">
      <w:pPr>
        <w:rPr>
          <w:rFonts w:ascii="Arial" w:hAnsi="Arial" w:cs="Arial"/>
          <w:b/>
          <w:bCs/>
          <w:sz w:val="24"/>
          <w:szCs w:val="24"/>
          <w:highlight w:val="magenta"/>
        </w:rPr>
      </w:pPr>
    </w:p>
    <w:tbl>
      <w:tblPr>
        <w:tblW w:w="4243" w:type="pct"/>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16"/>
        <w:gridCol w:w="1249"/>
        <w:gridCol w:w="1522"/>
        <w:gridCol w:w="1519"/>
        <w:gridCol w:w="1667"/>
      </w:tblGrid>
      <w:tr w:rsidR="000134F7" w:rsidRPr="006E42B5" w:rsidTr="000134F7">
        <w:tc>
          <w:tcPr>
            <w:tcW w:w="1356" w:type="pct"/>
            <w:tcBorders>
              <w:top w:val="single" w:sz="4" w:space="0" w:color="auto"/>
            </w:tcBorders>
          </w:tcPr>
          <w:p w:rsidR="000134F7" w:rsidRPr="006E42B5" w:rsidRDefault="000134F7" w:rsidP="000134F7">
            <w:pPr>
              <w:rPr>
                <w:rFonts w:ascii="Arial" w:hAnsi="Arial" w:cs="Arial"/>
                <w:b/>
                <w:bCs/>
                <w:sz w:val="24"/>
                <w:szCs w:val="24"/>
              </w:rPr>
            </w:pPr>
            <w:r w:rsidRPr="006E42B5">
              <w:rPr>
                <w:rFonts w:ascii="Arial" w:hAnsi="Arial" w:cs="Arial"/>
                <w:b/>
                <w:bCs/>
                <w:sz w:val="24"/>
                <w:szCs w:val="24"/>
              </w:rPr>
              <w:t>Retail profit £m</w:t>
            </w:r>
          </w:p>
        </w:tc>
        <w:tc>
          <w:tcPr>
            <w:tcW w:w="764" w:type="pct"/>
            <w:tcBorders>
              <w:top w:val="single" w:sz="4" w:space="0" w:color="auto"/>
            </w:tcBorders>
          </w:tcPr>
          <w:p w:rsidR="000134F7" w:rsidRPr="006E42B5" w:rsidRDefault="000134F7" w:rsidP="000134F7">
            <w:pPr>
              <w:jc w:val="right"/>
              <w:rPr>
                <w:rFonts w:ascii="Arial" w:hAnsi="Arial" w:cs="Arial"/>
                <w:b/>
                <w:bCs/>
                <w:sz w:val="24"/>
                <w:szCs w:val="24"/>
              </w:rPr>
            </w:pPr>
            <w:r w:rsidRPr="006E42B5">
              <w:rPr>
                <w:rFonts w:ascii="Arial" w:hAnsi="Arial" w:cs="Arial"/>
                <w:b/>
                <w:bCs/>
                <w:sz w:val="24"/>
                <w:szCs w:val="24"/>
              </w:rPr>
              <w:t>201</w:t>
            </w:r>
            <w:r w:rsidR="000B2DAA">
              <w:rPr>
                <w:rFonts w:ascii="Arial" w:hAnsi="Arial" w:cs="Arial"/>
                <w:b/>
                <w:bCs/>
                <w:sz w:val="24"/>
                <w:szCs w:val="24"/>
              </w:rPr>
              <w:t>4</w:t>
            </w:r>
            <w:r w:rsidRPr="006E42B5">
              <w:rPr>
                <w:rFonts w:ascii="Arial" w:hAnsi="Arial" w:cs="Arial"/>
                <w:b/>
                <w:bCs/>
                <w:sz w:val="24"/>
                <w:szCs w:val="24"/>
              </w:rPr>
              <w:t>/1</w:t>
            </w:r>
            <w:r w:rsidR="000B2DAA">
              <w:rPr>
                <w:rFonts w:ascii="Arial" w:hAnsi="Arial" w:cs="Arial"/>
                <w:b/>
                <w:bCs/>
                <w:sz w:val="24"/>
                <w:szCs w:val="24"/>
              </w:rPr>
              <w:t>5</w:t>
            </w:r>
          </w:p>
        </w:tc>
        <w:tc>
          <w:tcPr>
            <w:tcW w:w="931" w:type="pct"/>
            <w:tcBorders>
              <w:top w:val="single" w:sz="4" w:space="0" w:color="auto"/>
            </w:tcBorders>
          </w:tcPr>
          <w:p w:rsidR="000134F7" w:rsidRPr="006E42B5" w:rsidRDefault="000134F7" w:rsidP="000134F7">
            <w:pPr>
              <w:jc w:val="right"/>
              <w:rPr>
                <w:rFonts w:ascii="Arial" w:hAnsi="Arial" w:cs="Arial"/>
                <w:b/>
                <w:bCs/>
                <w:sz w:val="24"/>
                <w:szCs w:val="24"/>
              </w:rPr>
            </w:pPr>
            <w:r w:rsidRPr="006E42B5">
              <w:rPr>
                <w:rFonts w:ascii="Arial" w:hAnsi="Arial" w:cs="Arial"/>
                <w:b/>
                <w:bCs/>
                <w:sz w:val="24"/>
                <w:szCs w:val="24"/>
              </w:rPr>
              <w:t>2013/14</w:t>
            </w:r>
          </w:p>
        </w:tc>
        <w:tc>
          <w:tcPr>
            <w:tcW w:w="929" w:type="pct"/>
            <w:tcBorders>
              <w:top w:val="single" w:sz="4" w:space="0" w:color="auto"/>
            </w:tcBorders>
          </w:tcPr>
          <w:p w:rsidR="000134F7" w:rsidRDefault="000134F7" w:rsidP="000134F7">
            <w:pPr>
              <w:jc w:val="right"/>
              <w:rPr>
                <w:rFonts w:ascii="Arial" w:hAnsi="Arial" w:cs="Arial"/>
                <w:b/>
                <w:bCs/>
                <w:sz w:val="24"/>
                <w:szCs w:val="24"/>
              </w:rPr>
            </w:pPr>
            <w:r w:rsidRPr="006E42B5">
              <w:rPr>
                <w:rFonts w:ascii="Arial" w:hAnsi="Arial" w:cs="Arial"/>
                <w:b/>
                <w:bCs/>
                <w:sz w:val="24"/>
                <w:szCs w:val="24"/>
              </w:rPr>
              <w:t xml:space="preserve">% </w:t>
            </w:r>
            <w:r w:rsidR="001F7725" w:rsidRPr="006E42B5">
              <w:rPr>
                <w:rFonts w:ascii="Arial" w:hAnsi="Arial" w:cs="Arial"/>
                <w:b/>
                <w:bCs/>
                <w:sz w:val="24"/>
                <w:szCs w:val="24"/>
              </w:rPr>
              <w:t xml:space="preserve">Change </w:t>
            </w:r>
            <w:r w:rsidRPr="006E42B5">
              <w:rPr>
                <w:rFonts w:ascii="Arial" w:hAnsi="Arial" w:cs="Arial"/>
                <w:b/>
                <w:bCs/>
                <w:sz w:val="24"/>
                <w:szCs w:val="24"/>
              </w:rPr>
              <w:t>Reported</w:t>
            </w:r>
          </w:p>
          <w:p w:rsidR="000134F7" w:rsidRPr="006E42B5" w:rsidRDefault="000134F7" w:rsidP="000134F7">
            <w:pPr>
              <w:jc w:val="right"/>
              <w:rPr>
                <w:rFonts w:ascii="Arial" w:hAnsi="Arial" w:cs="Arial"/>
                <w:b/>
                <w:bCs/>
                <w:sz w:val="24"/>
                <w:szCs w:val="24"/>
              </w:rPr>
            </w:pPr>
          </w:p>
        </w:tc>
        <w:tc>
          <w:tcPr>
            <w:tcW w:w="1020" w:type="pct"/>
            <w:tcBorders>
              <w:top w:val="single" w:sz="4" w:space="0" w:color="auto"/>
            </w:tcBorders>
          </w:tcPr>
          <w:p w:rsidR="000134F7" w:rsidRDefault="000134F7" w:rsidP="000134F7">
            <w:pPr>
              <w:jc w:val="right"/>
              <w:rPr>
                <w:rFonts w:ascii="Arial" w:hAnsi="Arial" w:cs="Arial"/>
                <w:b/>
                <w:bCs/>
                <w:sz w:val="24"/>
                <w:szCs w:val="24"/>
              </w:rPr>
            </w:pPr>
            <w:r w:rsidRPr="006E42B5">
              <w:rPr>
                <w:rFonts w:ascii="Arial" w:hAnsi="Arial" w:cs="Arial"/>
                <w:b/>
                <w:bCs/>
                <w:sz w:val="24"/>
                <w:szCs w:val="24"/>
              </w:rPr>
              <w:t xml:space="preserve">% </w:t>
            </w:r>
            <w:r w:rsidR="001F7725" w:rsidRPr="006E42B5">
              <w:rPr>
                <w:rFonts w:ascii="Arial" w:hAnsi="Arial" w:cs="Arial"/>
                <w:b/>
                <w:bCs/>
                <w:sz w:val="24"/>
                <w:szCs w:val="24"/>
              </w:rPr>
              <w:t xml:space="preserve">Change </w:t>
            </w:r>
            <w:r w:rsidRPr="006E42B5">
              <w:rPr>
                <w:rFonts w:ascii="Arial" w:hAnsi="Arial" w:cs="Arial"/>
                <w:b/>
                <w:bCs/>
                <w:sz w:val="24"/>
                <w:szCs w:val="24"/>
              </w:rPr>
              <w:t>Constant</w:t>
            </w:r>
          </w:p>
          <w:p w:rsidR="000134F7" w:rsidRPr="006E42B5" w:rsidRDefault="000134F7" w:rsidP="00CB5842">
            <w:pPr>
              <w:jc w:val="right"/>
              <w:rPr>
                <w:rFonts w:ascii="Arial" w:hAnsi="Arial" w:cs="Arial"/>
                <w:b/>
                <w:bCs/>
                <w:sz w:val="24"/>
                <w:szCs w:val="24"/>
              </w:rPr>
            </w:pPr>
            <w:r>
              <w:rPr>
                <w:rFonts w:ascii="Arial" w:hAnsi="Arial" w:cs="Arial"/>
                <w:b/>
                <w:bCs/>
                <w:sz w:val="24"/>
                <w:szCs w:val="24"/>
              </w:rPr>
              <w:t>Currency</w:t>
            </w:r>
            <w:r w:rsidRPr="006E42B5">
              <w:rPr>
                <w:rFonts w:ascii="Arial" w:hAnsi="Arial" w:cs="Arial"/>
                <w:b/>
                <w:bCs/>
                <w:sz w:val="24"/>
                <w:szCs w:val="24"/>
              </w:rPr>
              <w:t xml:space="preserve"> </w:t>
            </w:r>
          </w:p>
        </w:tc>
      </w:tr>
      <w:tr w:rsidR="000134F7" w:rsidRPr="006E42B5" w:rsidTr="000134F7">
        <w:tc>
          <w:tcPr>
            <w:tcW w:w="1356" w:type="pct"/>
            <w:tcBorders>
              <w:bottom w:val="single" w:sz="4" w:space="0" w:color="auto"/>
            </w:tcBorders>
          </w:tcPr>
          <w:p w:rsidR="000134F7" w:rsidRPr="006E42B5" w:rsidRDefault="000134F7" w:rsidP="000134F7">
            <w:pPr>
              <w:rPr>
                <w:rFonts w:ascii="Arial" w:hAnsi="Arial" w:cs="Arial"/>
                <w:sz w:val="24"/>
                <w:szCs w:val="24"/>
              </w:rPr>
            </w:pPr>
            <w:r w:rsidRPr="006E42B5">
              <w:rPr>
                <w:rFonts w:ascii="Arial" w:hAnsi="Arial" w:cs="Arial"/>
                <w:sz w:val="24"/>
                <w:szCs w:val="24"/>
              </w:rPr>
              <w:t>UK &amp; Ireland</w:t>
            </w:r>
          </w:p>
        </w:tc>
        <w:tc>
          <w:tcPr>
            <w:tcW w:w="764" w:type="pct"/>
            <w:tcBorders>
              <w:bottom w:val="single" w:sz="4" w:space="0" w:color="auto"/>
            </w:tcBorders>
          </w:tcPr>
          <w:p w:rsidR="000134F7" w:rsidRPr="006E42B5" w:rsidRDefault="009F764B" w:rsidP="000134F7">
            <w:pPr>
              <w:jc w:val="right"/>
              <w:rPr>
                <w:rFonts w:ascii="Arial" w:hAnsi="Arial" w:cs="Arial"/>
                <w:sz w:val="24"/>
                <w:szCs w:val="24"/>
              </w:rPr>
            </w:pPr>
            <w:r>
              <w:rPr>
                <w:rFonts w:ascii="Arial" w:hAnsi="Arial" w:cs="Arial"/>
                <w:sz w:val="24"/>
                <w:szCs w:val="24"/>
              </w:rPr>
              <w:t>166</w:t>
            </w:r>
          </w:p>
        </w:tc>
        <w:tc>
          <w:tcPr>
            <w:tcW w:w="931" w:type="pct"/>
            <w:tcBorders>
              <w:bottom w:val="single" w:sz="4" w:space="0" w:color="auto"/>
            </w:tcBorders>
          </w:tcPr>
          <w:p w:rsidR="000134F7" w:rsidRPr="006E42B5" w:rsidRDefault="00D008C5" w:rsidP="000134F7">
            <w:pPr>
              <w:jc w:val="right"/>
              <w:rPr>
                <w:rFonts w:ascii="Arial" w:hAnsi="Arial" w:cs="Arial"/>
                <w:sz w:val="24"/>
                <w:szCs w:val="24"/>
              </w:rPr>
            </w:pPr>
            <w:r>
              <w:rPr>
                <w:rFonts w:ascii="Arial" w:hAnsi="Arial" w:cs="Arial"/>
                <w:sz w:val="24"/>
                <w:szCs w:val="24"/>
              </w:rPr>
              <w:t>141</w:t>
            </w:r>
          </w:p>
        </w:tc>
        <w:tc>
          <w:tcPr>
            <w:tcW w:w="929" w:type="pct"/>
            <w:tcBorders>
              <w:bottom w:val="single" w:sz="4" w:space="0" w:color="auto"/>
            </w:tcBorders>
          </w:tcPr>
          <w:p w:rsidR="000134F7" w:rsidRPr="006E42B5" w:rsidRDefault="00D008C5" w:rsidP="000134F7">
            <w:pPr>
              <w:jc w:val="right"/>
              <w:rPr>
                <w:rFonts w:ascii="Arial" w:hAnsi="Arial" w:cs="Arial"/>
                <w:sz w:val="24"/>
                <w:szCs w:val="24"/>
              </w:rPr>
            </w:pPr>
            <w:r>
              <w:rPr>
                <w:rFonts w:ascii="Arial" w:hAnsi="Arial" w:cs="Arial"/>
                <w:sz w:val="24"/>
                <w:szCs w:val="24"/>
              </w:rPr>
              <w:t>+17.7%</w:t>
            </w:r>
          </w:p>
        </w:tc>
        <w:tc>
          <w:tcPr>
            <w:tcW w:w="1020" w:type="pct"/>
            <w:tcBorders>
              <w:bottom w:val="single" w:sz="4" w:space="0" w:color="auto"/>
            </w:tcBorders>
          </w:tcPr>
          <w:p w:rsidR="000134F7" w:rsidRPr="006E42B5" w:rsidRDefault="00D008C5" w:rsidP="000134F7">
            <w:pPr>
              <w:jc w:val="right"/>
              <w:rPr>
                <w:rFonts w:ascii="Arial" w:hAnsi="Arial" w:cs="Arial"/>
                <w:sz w:val="24"/>
                <w:szCs w:val="24"/>
              </w:rPr>
            </w:pPr>
            <w:r>
              <w:rPr>
                <w:rFonts w:ascii="Arial" w:hAnsi="Arial" w:cs="Arial"/>
                <w:sz w:val="24"/>
                <w:szCs w:val="24"/>
              </w:rPr>
              <w:t>+17.7%</w:t>
            </w:r>
          </w:p>
        </w:tc>
      </w:tr>
    </w:tbl>
    <w:p w:rsidR="000134F7" w:rsidRDefault="000134F7" w:rsidP="000134F7">
      <w:pPr>
        <w:jc w:val="left"/>
        <w:rPr>
          <w:rFonts w:ascii="Arial" w:hAnsi="Arial" w:cs="Arial"/>
          <w:i/>
          <w:iCs/>
          <w:sz w:val="18"/>
          <w:szCs w:val="18"/>
        </w:rPr>
      </w:pPr>
    </w:p>
    <w:p w:rsidR="000134F7" w:rsidRDefault="000134F7" w:rsidP="001B3B55">
      <w:pPr>
        <w:jc w:val="left"/>
        <w:rPr>
          <w:rFonts w:ascii="Arial" w:hAnsi="Arial" w:cs="Arial"/>
          <w:b/>
          <w:bCs/>
          <w:i/>
          <w:iCs/>
          <w:sz w:val="18"/>
          <w:szCs w:val="18"/>
        </w:rPr>
      </w:pPr>
    </w:p>
    <w:p w:rsidR="008B7F6D" w:rsidRPr="00F22393" w:rsidRDefault="001B3B55" w:rsidP="000134F7">
      <w:pPr>
        <w:jc w:val="left"/>
        <w:rPr>
          <w:rFonts w:ascii="Arial" w:hAnsi="Arial" w:cs="Arial"/>
          <w:i/>
          <w:sz w:val="18"/>
          <w:szCs w:val="18"/>
        </w:rPr>
      </w:pPr>
      <w:r w:rsidRPr="00543473">
        <w:rPr>
          <w:rFonts w:ascii="Arial" w:hAnsi="Arial" w:cs="Arial"/>
          <w:b/>
          <w:bCs/>
          <w:i/>
          <w:iCs/>
          <w:sz w:val="18"/>
          <w:szCs w:val="18"/>
        </w:rPr>
        <w:t>All trading commentary below is in constant currencies</w:t>
      </w:r>
      <w:r w:rsidR="00CC59CF">
        <w:rPr>
          <w:rFonts w:ascii="Arial" w:hAnsi="Arial" w:cs="Arial"/>
          <w:b/>
          <w:bCs/>
          <w:i/>
          <w:iCs/>
          <w:sz w:val="18"/>
          <w:szCs w:val="18"/>
        </w:rPr>
        <w:t xml:space="preserve"> </w:t>
      </w:r>
    </w:p>
    <w:p w:rsidR="001B3B55" w:rsidRPr="00543473" w:rsidRDefault="001B3B55" w:rsidP="001B3B55">
      <w:pPr>
        <w:jc w:val="left"/>
        <w:rPr>
          <w:rFonts w:ascii="Arial" w:hAnsi="Arial" w:cs="Arial"/>
          <w:sz w:val="24"/>
          <w:szCs w:val="24"/>
          <w:highlight w:val="magenta"/>
        </w:rPr>
      </w:pPr>
    </w:p>
    <w:p w:rsidR="000B2DAA" w:rsidRDefault="000B2DAA" w:rsidP="000B2DAA">
      <w:pPr>
        <w:jc w:val="left"/>
        <w:rPr>
          <w:rFonts w:ascii="Arial" w:hAnsi="Arial" w:cs="Arial"/>
          <w:b/>
          <w:bCs/>
          <w:sz w:val="24"/>
          <w:szCs w:val="24"/>
        </w:rPr>
      </w:pPr>
      <w:r w:rsidRPr="00543473">
        <w:rPr>
          <w:rFonts w:ascii="Arial" w:hAnsi="Arial" w:cs="Arial"/>
          <w:b/>
          <w:bCs/>
          <w:sz w:val="24"/>
          <w:szCs w:val="24"/>
        </w:rPr>
        <w:t>Kingfisher UK &amp; Ireland</w:t>
      </w:r>
    </w:p>
    <w:p w:rsidR="000B2DAA" w:rsidRDefault="000B2DAA" w:rsidP="000B2DAA">
      <w:pPr>
        <w:jc w:val="left"/>
        <w:rPr>
          <w:rFonts w:ascii="Arial" w:hAnsi="Arial" w:cs="Arial"/>
          <w:b/>
          <w:bCs/>
          <w:sz w:val="24"/>
          <w:szCs w:val="24"/>
        </w:rPr>
      </w:pPr>
    </w:p>
    <w:p w:rsidR="001B3B55" w:rsidRPr="00741CA8" w:rsidRDefault="00D008C5" w:rsidP="001B3B55">
      <w:pPr>
        <w:jc w:val="left"/>
        <w:rPr>
          <w:rFonts w:ascii="Arial" w:hAnsi="Arial" w:cs="Arial"/>
          <w:sz w:val="24"/>
          <w:szCs w:val="24"/>
        </w:rPr>
      </w:pPr>
      <w:r w:rsidRPr="00CB5842">
        <w:rPr>
          <w:rFonts w:ascii="Arial" w:hAnsi="Arial" w:cs="Arial"/>
          <w:bCs/>
          <w:sz w:val="24"/>
          <w:szCs w:val="24"/>
        </w:rPr>
        <w:t xml:space="preserve">Total sales </w:t>
      </w:r>
      <w:r w:rsidRPr="0033734C">
        <w:rPr>
          <w:rFonts w:ascii="Arial" w:hAnsi="Arial" w:cs="Arial"/>
          <w:bCs/>
          <w:sz w:val="24"/>
          <w:szCs w:val="24"/>
        </w:rPr>
        <w:t>increased by 6.6% to £2,419 million (+4.4% LFL</w:t>
      </w:r>
      <w:r w:rsidR="00AF1EC3" w:rsidRPr="0033734C">
        <w:rPr>
          <w:rFonts w:ascii="Arial" w:hAnsi="Arial" w:cs="Arial"/>
          <w:bCs/>
          <w:sz w:val="24"/>
          <w:szCs w:val="24"/>
        </w:rPr>
        <w:t>,</w:t>
      </w:r>
      <w:r w:rsidR="00AF1EC3">
        <w:rPr>
          <w:rFonts w:ascii="Arial" w:hAnsi="Arial" w:cs="Arial"/>
          <w:bCs/>
          <w:sz w:val="24"/>
          <w:szCs w:val="24"/>
        </w:rPr>
        <w:t xml:space="preserve"> </w:t>
      </w:r>
      <w:r w:rsidR="00536EC3" w:rsidRPr="00B812E2">
        <w:rPr>
          <w:rFonts w:ascii="Arial" w:hAnsi="Arial" w:cs="Arial"/>
          <w:bCs/>
          <w:sz w:val="24"/>
          <w:szCs w:val="24"/>
        </w:rPr>
        <w:t>+3.3</w:t>
      </w:r>
      <w:r w:rsidR="00AF1EC3" w:rsidRPr="00536EC3">
        <w:rPr>
          <w:rFonts w:ascii="Arial" w:hAnsi="Arial" w:cs="Arial"/>
          <w:bCs/>
          <w:sz w:val="24"/>
          <w:szCs w:val="24"/>
        </w:rPr>
        <w:t>%</w:t>
      </w:r>
      <w:r w:rsidR="00AF1EC3">
        <w:rPr>
          <w:rFonts w:ascii="Arial" w:hAnsi="Arial" w:cs="Arial"/>
          <w:bCs/>
          <w:sz w:val="24"/>
          <w:szCs w:val="24"/>
        </w:rPr>
        <w:t xml:space="preserve"> 2 year LFL</w:t>
      </w:r>
      <w:r>
        <w:rPr>
          <w:rFonts w:ascii="Arial" w:hAnsi="Arial" w:cs="Arial"/>
          <w:bCs/>
          <w:sz w:val="24"/>
          <w:szCs w:val="24"/>
        </w:rPr>
        <w:t>)</w:t>
      </w:r>
      <w:r w:rsidR="00775EC2">
        <w:rPr>
          <w:rFonts w:ascii="Arial" w:hAnsi="Arial" w:cs="Arial"/>
          <w:bCs/>
          <w:sz w:val="24"/>
          <w:szCs w:val="24"/>
        </w:rPr>
        <w:t xml:space="preserve"> and </w:t>
      </w:r>
      <w:r w:rsidR="00775EC2">
        <w:rPr>
          <w:rFonts w:ascii="Arial" w:hAnsi="Arial" w:cs="Arial"/>
          <w:sz w:val="24"/>
          <w:szCs w:val="24"/>
        </w:rPr>
        <w:t>r</w:t>
      </w:r>
      <w:r w:rsidR="00EB72DF">
        <w:rPr>
          <w:rFonts w:ascii="Arial" w:hAnsi="Arial" w:cs="Arial"/>
          <w:sz w:val="24"/>
          <w:szCs w:val="24"/>
        </w:rPr>
        <w:t xml:space="preserve">etail profit </w:t>
      </w:r>
      <w:r w:rsidR="00775EC2">
        <w:rPr>
          <w:rFonts w:ascii="Arial" w:hAnsi="Arial" w:cs="Arial"/>
          <w:sz w:val="24"/>
          <w:szCs w:val="24"/>
        </w:rPr>
        <w:t xml:space="preserve">grew by </w:t>
      </w:r>
      <w:r>
        <w:rPr>
          <w:rFonts w:ascii="Arial" w:hAnsi="Arial" w:cs="Arial"/>
          <w:sz w:val="24"/>
          <w:szCs w:val="24"/>
        </w:rPr>
        <w:t>17.7</w:t>
      </w:r>
      <w:r w:rsidR="00EB72DF">
        <w:rPr>
          <w:rFonts w:ascii="Arial" w:hAnsi="Arial" w:cs="Arial"/>
          <w:sz w:val="24"/>
          <w:szCs w:val="24"/>
        </w:rPr>
        <w:t>% to £</w:t>
      </w:r>
      <w:r w:rsidR="0023123C">
        <w:rPr>
          <w:rFonts w:ascii="Arial" w:hAnsi="Arial" w:cs="Arial"/>
          <w:sz w:val="24"/>
          <w:szCs w:val="24"/>
        </w:rPr>
        <w:t>166</w:t>
      </w:r>
      <w:r w:rsidR="00EB72DF">
        <w:rPr>
          <w:rFonts w:ascii="Arial" w:hAnsi="Arial" w:cs="Arial"/>
          <w:sz w:val="24"/>
          <w:szCs w:val="24"/>
        </w:rPr>
        <w:t xml:space="preserve"> million. Gross margins were </w:t>
      </w:r>
      <w:r w:rsidR="0023123C">
        <w:rPr>
          <w:rFonts w:ascii="Arial" w:hAnsi="Arial" w:cs="Arial"/>
          <w:sz w:val="24"/>
          <w:szCs w:val="24"/>
        </w:rPr>
        <w:t>down</w:t>
      </w:r>
      <w:r w:rsidR="000134F7">
        <w:rPr>
          <w:rFonts w:ascii="Arial" w:hAnsi="Arial" w:cs="Arial"/>
          <w:sz w:val="24"/>
          <w:szCs w:val="24"/>
        </w:rPr>
        <w:t xml:space="preserve"> </w:t>
      </w:r>
      <w:r w:rsidR="0023123C">
        <w:rPr>
          <w:rFonts w:ascii="Arial" w:hAnsi="Arial" w:cs="Arial"/>
          <w:sz w:val="24"/>
          <w:szCs w:val="24"/>
        </w:rPr>
        <w:t xml:space="preserve">80 </w:t>
      </w:r>
      <w:r w:rsidR="000134F7">
        <w:rPr>
          <w:rFonts w:ascii="Arial" w:hAnsi="Arial" w:cs="Arial"/>
          <w:sz w:val="24"/>
          <w:szCs w:val="24"/>
        </w:rPr>
        <w:t xml:space="preserve">basis </w:t>
      </w:r>
      <w:r w:rsidR="000134F7" w:rsidRPr="00741CA8">
        <w:rPr>
          <w:rFonts w:ascii="Arial" w:hAnsi="Arial" w:cs="Arial"/>
          <w:sz w:val="24"/>
          <w:szCs w:val="24"/>
        </w:rPr>
        <w:t>points</w:t>
      </w:r>
      <w:r>
        <w:rPr>
          <w:rFonts w:ascii="Arial" w:hAnsi="Arial" w:cs="Arial"/>
          <w:sz w:val="24"/>
          <w:szCs w:val="24"/>
        </w:rPr>
        <w:t xml:space="preserve"> largely reflecting the recognition </w:t>
      </w:r>
      <w:r w:rsidR="005567B9">
        <w:rPr>
          <w:rFonts w:ascii="Arial" w:hAnsi="Arial" w:cs="Arial"/>
          <w:sz w:val="24"/>
          <w:szCs w:val="24"/>
        </w:rPr>
        <w:t xml:space="preserve">in Q1 </w:t>
      </w:r>
      <w:r>
        <w:rPr>
          <w:rFonts w:ascii="Arial" w:hAnsi="Arial" w:cs="Arial"/>
          <w:sz w:val="24"/>
          <w:szCs w:val="24"/>
        </w:rPr>
        <w:t xml:space="preserve">of more promotionally-led showroom sales (kitchens, bathrooms </w:t>
      </w:r>
      <w:r w:rsidR="005567B9">
        <w:rPr>
          <w:rFonts w:ascii="Arial" w:hAnsi="Arial" w:cs="Arial"/>
          <w:sz w:val="24"/>
          <w:szCs w:val="24"/>
        </w:rPr>
        <w:t>and bedrooms) from Q4 last year</w:t>
      </w:r>
      <w:r>
        <w:rPr>
          <w:rFonts w:ascii="Arial" w:hAnsi="Arial" w:cs="Arial"/>
          <w:sz w:val="24"/>
          <w:szCs w:val="24"/>
        </w:rPr>
        <w:t xml:space="preserve"> </w:t>
      </w:r>
      <w:r w:rsidR="005567B9">
        <w:rPr>
          <w:rFonts w:ascii="Arial" w:hAnsi="Arial" w:cs="Arial"/>
          <w:sz w:val="24"/>
          <w:szCs w:val="24"/>
        </w:rPr>
        <w:t xml:space="preserve">(Q1 gross margin down 210 basis points; Q2 gross margin up 40 basis points). Tight cost control continued, despite higher levels of variable </w:t>
      </w:r>
      <w:r w:rsidR="002307EA">
        <w:rPr>
          <w:rFonts w:ascii="Arial" w:hAnsi="Arial" w:cs="Arial"/>
          <w:sz w:val="24"/>
          <w:szCs w:val="24"/>
        </w:rPr>
        <w:t xml:space="preserve">pay. </w:t>
      </w:r>
    </w:p>
    <w:p w:rsidR="00695777" w:rsidRDefault="00695777" w:rsidP="001B3B55">
      <w:pPr>
        <w:jc w:val="left"/>
        <w:rPr>
          <w:rFonts w:ascii="Arial" w:hAnsi="Arial" w:cs="Arial"/>
          <w:sz w:val="24"/>
          <w:szCs w:val="24"/>
          <w:highlight w:val="magenta"/>
        </w:rPr>
      </w:pPr>
    </w:p>
    <w:p w:rsidR="00C21786" w:rsidRDefault="00C21786" w:rsidP="00C21786">
      <w:pPr>
        <w:jc w:val="left"/>
        <w:rPr>
          <w:rFonts w:ascii="Arial" w:hAnsi="Arial" w:cs="Arial"/>
          <w:sz w:val="24"/>
          <w:szCs w:val="24"/>
        </w:rPr>
      </w:pPr>
      <w:r w:rsidRPr="00C0194C">
        <w:rPr>
          <w:rFonts w:ascii="Arial" w:hAnsi="Arial" w:cs="Arial"/>
          <w:bCs/>
          <w:sz w:val="24"/>
          <w:szCs w:val="24"/>
        </w:rPr>
        <w:t xml:space="preserve">On a value basis, </w:t>
      </w:r>
      <w:r>
        <w:rPr>
          <w:rFonts w:ascii="Arial" w:hAnsi="Arial" w:cs="Arial"/>
          <w:sz w:val="24"/>
          <w:szCs w:val="24"/>
        </w:rPr>
        <w:t>t</w:t>
      </w:r>
      <w:r w:rsidRPr="001C43BC">
        <w:rPr>
          <w:rFonts w:ascii="Arial" w:hAnsi="Arial" w:cs="Arial"/>
          <w:sz w:val="24"/>
          <w:szCs w:val="24"/>
        </w:rPr>
        <w:t>he</w:t>
      </w:r>
      <w:r>
        <w:rPr>
          <w:rFonts w:ascii="Arial" w:hAnsi="Arial" w:cs="Arial"/>
          <w:sz w:val="24"/>
          <w:szCs w:val="24"/>
        </w:rPr>
        <w:t xml:space="preserve"> UK home improvement leader market*</w:t>
      </w:r>
      <w:r w:rsidRPr="00614E39">
        <w:rPr>
          <w:rFonts w:ascii="Arial" w:hAnsi="Arial" w:cs="Arial"/>
          <w:sz w:val="24"/>
          <w:szCs w:val="24"/>
        </w:rPr>
        <w:t xml:space="preserve"> </w:t>
      </w:r>
      <w:r w:rsidR="0096122B">
        <w:rPr>
          <w:rFonts w:ascii="Arial" w:hAnsi="Arial" w:cs="Arial"/>
          <w:sz w:val="24"/>
          <w:szCs w:val="24"/>
        </w:rPr>
        <w:t xml:space="preserve">for H1 </w:t>
      </w:r>
      <w:r w:rsidRPr="00614E39">
        <w:rPr>
          <w:rFonts w:ascii="Arial" w:hAnsi="Arial" w:cs="Arial"/>
          <w:sz w:val="24"/>
          <w:szCs w:val="24"/>
        </w:rPr>
        <w:t>was up 5.5%</w:t>
      </w:r>
      <w:r>
        <w:rPr>
          <w:rFonts w:ascii="Arial" w:hAnsi="Arial" w:cs="Arial"/>
          <w:sz w:val="24"/>
          <w:szCs w:val="24"/>
        </w:rPr>
        <w:t xml:space="preserve"> reflecting better weather year on year, a stronger UK economy and more buoyant housing construction</w:t>
      </w:r>
      <w:r w:rsidRPr="00614E39">
        <w:rPr>
          <w:rFonts w:ascii="Arial" w:hAnsi="Arial" w:cs="Arial"/>
          <w:sz w:val="24"/>
          <w:szCs w:val="24"/>
        </w:rPr>
        <w:t xml:space="preserve">. On </w:t>
      </w:r>
      <w:r w:rsidR="0096122B">
        <w:rPr>
          <w:rFonts w:ascii="Arial" w:hAnsi="Arial" w:cs="Arial"/>
          <w:sz w:val="24"/>
          <w:szCs w:val="24"/>
        </w:rPr>
        <w:t>the same definition</w:t>
      </w:r>
      <w:r w:rsidRPr="00614E39">
        <w:rPr>
          <w:rFonts w:ascii="Arial" w:hAnsi="Arial" w:cs="Arial"/>
          <w:sz w:val="24"/>
          <w:szCs w:val="24"/>
        </w:rPr>
        <w:t xml:space="preserve">, </w:t>
      </w:r>
      <w:r>
        <w:rPr>
          <w:rFonts w:ascii="Arial" w:hAnsi="Arial" w:cs="Arial"/>
          <w:sz w:val="24"/>
          <w:szCs w:val="24"/>
        </w:rPr>
        <w:t xml:space="preserve">Kingfisher </w:t>
      </w:r>
      <w:r w:rsidRPr="00614E39">
        <w:rPr>
          <w:rFonts w:ascii="Arial" w:hAnsi="Arial" w:cs="Arial"/>
          <w:sz w:val="24"/>
          <w:szCs w:val="24"/>
        </w:rPr>
        <w:t xml:space="preserve">UK sales were up </w:t>
      </w:r>
      <w:r w:rsidR="0096122B">
        <w:rPr>
          <w:rFonts w:ascii="Arial" w:hAnsi="Arial" w:cs="Arial"/>
          <w:sz w:val="24"/>
          <w:szCs w:val="24"/>
        </w:rPr>
        <w:t xml:space="preserve">around </w:t>
      </w:r>
      <w:r w:rsidRPr="00614E39">
        <w:rPr>
          <w:rFonts w:ascii="Arial" w:hAnsi="Arial" w:cs="Arial"/>
          <w:sz w:val="24"/>
          <w:szCs w:val="24"/>
        </w:rPr>
        <w:t>5%</w:t>
      </w:r>
      <w:r>
        <w:rPr>
          <w:rFonts w:ascii="Arial" w:hAnsi="Arial" w:cs="Arial"/>
          <w:sz w:val="24"/>
          <w:szCs w:val="24"/>
        </w:rPr>
        <w:t xml:space="preserve">. </w:t>
      </w:r>
    </w:p>
    <w:p w:rsidR="0009690B" w:rsidRDefault="0009690B" w:rsidP="00C21786">
      <w:pPr>
        <w:jc w:val="left"/>
        <w:rPr>
          <w:rFonts w:ascii="Arial" w:hAnsi="Arial" w:cs="Arial"/>
          <w:sz w:val="24"/>
          <w:szCs w:val="24"/>
        </w:rPr>
      </w:pPr>
    </w:p>
    <w:p w:rsidR="00203D6B" w:rsidRDefault="0009690B" w:rsidP="001B3B55">
      <w:pPr>
        <w:jc w:val="left"/>
        <w:rPr>
          <w:rFonts w:ascii="Arial" w:hAnsi="Arial" w:cs="Arial"/>
          <w:sz w:val="24"/>
          <w:szCs w:val="24"/>
        </w:rPr>
      </w:pPr>
      <w:r>
        <w:rPr>
          <w:rFonts w:ascii="Arial" w:hAnsi="Arial" w:cs="Arial"/>
          <w:sz w:val="24"/>
          <w:szCs w:val="24"/>
        </w:rPr>
        <w:t>During H1</w:t>
      </w:r>
      <w:r w:rsidR="00F46AD9">
        <w:rPr>
          <w:rFonts w:ascii="Arial" w:hAnsi="Arial" w:cs="Arial"/>
          <w:sz w:val="24"/>
          <w:szCs w:val="24"/>
        </w:rPr>
        <w:t>,</w:t>
      </w:r>
      <w:r w:rsidRPr="00D11391">
        <w:rPr>
          <w:rFonts w:ascii="Arial" w:hAnsi="Arial" w:cs="Arial"/>
          <w:sz w:val="24"/>
          <w:szCs w:val="24"/>
        </w:rPr>
        <w:t xml:space="preserve"> B&amp;Q reduced prices on </w:t>
      </w:r>
      <w:r w:rsidR="005C1F02">
        <w:rPr>
          <w:rFonts w:ascii="Arial" w:hAnsi="Arial" w:cs="Arial"/>
          <w:sz w:val="24"/>
          <w:szCs w:val="24"/>
        </w:rPr>
        <w:t>c.</w:t>
      </w:r>
      <w:r w:rsidRPr="00D11391">
        <w:rPr>
          <w:rFonts w:ascii="Arial" w:hAnsi="Arial" w:cs="Arial"/>
          <w:sz w:val="24"/>
          <w:szCs w:val="24"/>
        </w:rPr>
        <w:t>3,500 products</w:t>
      </w:r>
      <w:r>
        <w:rPr>
          <w:rFonts w:ascii="Arial" w:hAnsi="Arial" w:cs="Arial"/>
          <w:sz w:val="24"/>
          <w:szCs w:val="24"/>
        </w:rPr>
        <w:t xml:space="preserve"> helping improve price perception and increase sales volumes</w:t>
      </w:r>
      <w:r w:rsidRPr="00D11391">
        <w:rPr>
          <w:rFonts w:ascii="Arial" w:hAnsi="Arial" w:cs="Arial"/>
          <w:sz w:val="24"/>
          <w:szCs w:val="24"/>
        </w:rPr>
        <w:t xml:space="preserve">. Over time, as the initiative gains momentum, the resulting growth in sales volume will </w:t>
      </w:r>
      <w:r>
        <w:rPr>
          <w:rFonts w:ascii="Arial" w:hAnsi="Arial" w:cs="Arial"/>
          <w:sz w:val="24"/>
          <w:szCs w:val="24"/>
        </w:rPr>
        <w:t xml:space="preserve">also </w:t>
      </w:r>
      <w:r w:rsidRPr="00D11391">
        <w:rPr>
          <w:rFonts w:ascii="Arial" w:hAnsi="Arial" w:cs="Arial"/>
          <w:sz w:val="24"/>
          <w:szCs w:val="24"/>
        </w:rPr>
        <w:t>drive grow</w:t>
      </w:r>
      <w:r>
        <w:rPr>
          <w:rFonts w:ascii="Arial" w:hAnsi="Arial" w:cs="Arial"/>
          <w:sz w:val="24"/>
          <w:szCs w:val="24"/>
        </w:rPr>
        <w:t>th in sales on a value basis</w:t>
      </w:r>
      <w:r w:rsidR="00F46AD9">
        <w:rPr>
          <w:rFonts w:ascii="Arial" w:hAnsi="Arial" w:cs="Arial"/>
          <w:sz w:val="24"/>
          <w:szCs w:val="24"/>
        </w:rPr>
        <w:t>,</w:t>
      </w:r>
      <w:r>
        <w:rPr>
          <w:rFonts w:ascii="Arial" w:hAnsi="Arial" w:cs="Arial"/>
          <w:sz w:val="24"/>
          <w:szCs w:val="24"/>
        </w:rPr>
        <w:t xml:space="preserve"> however so far i</w:t>
      </w:r>
      <w:r w:rsidRPr="00D11391">
        <w:rPr>
          <w:rFonts w:ascii="Arial" w:hAnsi="Arial" w:cs="Arial"/>
          <w:sz w:val="24"/>
          <w:szCs w:val="24"/>
        </w:rPr>
        <w:t>t is too early for the results to be seen in Kingfisher UK’s sales performanc</w:t>
      </w:r>
      <w:r>
        <w:rPr>
          <w:rFonts w:ascii="Arial" w:hAnsi="Arial" w:cs="Arial"/>
          <w:sz w:val="24"/>
          <w:szCs w:val="24"/>
        </w:rPr>
        <w:t xml:space="preserve">e on a value basis. </w:t>
      </w:r>
    </w:p>
    <w:p w:rsidR="00203D6B" w:rsidRDefault="00203D6B" w:rsidP="001B3B55">
      <w:pPr>
        <w:jc w:val="left"/>
        <w:rPr>
          <w:rFonts w:ascii="Arial" w:hAnsi="Arial" w:cs="Arial"/>
          <w:sz w:val="24"/>
          <w:szCs w:val="24"/>
        </w:rPr>
      </w:pPr>
    </w:p>
    <w:p w:rsidR="00C21786" w:rsidRDefault="0009690B" w:rsidP="001B3B55">
      <w:pPr>
        <w:jc w:val="left"/>
        <w:rPr>
          <w:rFonts w:ascii="Arial" w:hAnsi="Arial" w:cs="Arial"/>
          <w:sz w:val="24"/>
          <w:szCs w:val="24"/>
          <w:highlight w:val="magenta"/>
        </w:rPr>
      </w:pPr>
      <w:r>
        <w:rPr>
          <w:rFonts w:ascii="Arial" w:hAnsi="Arial" w:cs="Arial"/>
          <w:sz w:val="24"/>
          <w:szCs w:val="24"/>
        </w:rPr>
        <w:t>Consequently, o</w:t>
      </w:r>
      <w:r w:rsidR="00C21786">
        <w:rPr>
          <w:rFonts w:ascii="Arial" w:hAnsi="Arial" w:cs="Arial"/>
          <w:sz w:val="24"/>
          <w:szCs w:val="24"/>
        </w:rPr>
        <w:t>n a volume basis</w:t>
      </w:r>
      <w:r w:rsidR="00D65AB9">
        <w:rPr>
          <w:rFonts w:ascii="Arial" w:hAnsi="Arial" w:cs="Arial"/>
          <w:sz w:val="24"/>
          <w:szCs w:val="24"/>
        </w:rPr>
        <w:t xml:space="preserve"> (being quantity</w:t>
      </w:r>
      <w:r w:rsidR="00E41574">
        <w:rPr>
          <w:rFonts w:ascii="Arial" w:hAnsi="Arial" w:cs="Arial"/>
          <w:sz w:val="24"/>
          <w:szCs w:val="24"/>
        </w:rPr>
        <w:t xml:space="preserve"> of products sold)</w:t>
      </w:r>
      <w:r w:rsidR="00C21786">
        <w:rPr>
          <w:rFonts w:ascii="Arial" w:hAnsi="Arial" w:cs="Arial"/>
          <w:sz w:val="24"/>
          <w:szCs w:val="24"/>
        </w:rPr>
        <w:t xml:space="preserve">, the UK home improvement leader market </w:t>
      </w:r>
      <w:r w:rsidR="0096122B">
        <w:rPr>
          <w:rFonts w:ascii="Arial" w:hAnsi="Arial" w:cs="Arial"/>
          <w:sz w:val="24"/>
          <w:szCs w:val="24"/>
        </w:rPr>
        <w:t xml:space="preserve">for H1 </w:t>
      </w:r>
      <w:r w:rsidR="00C21786">
        <w:rPr>
          <w:rFonts w:ascii="Arial" w:hAnsi="Arial" w:cs="Arial"/>
          <w:sz w:val="24"/>
          <w:szCs w:val="24"/>
        </w:rPr>
        <w:t>was up 3.2</w:t>
      </w:r>
      <w:r w:rsidR="00C21786" w:rsidRPr="00614E39">
        <w:rPr>
          <w:rFonts w:ascii="Arial" w:hAnsi="Arial" w:cs="Arial"/>
          <w:sz w:val="24"/>
          <w:szCs w:val="24"/>
        </w:rPr>
        <w:t>%</w:t>
      </w:r>
      <w:r w:rsidR="00C21786">
        <w:rPr>
          <w:rFonts w:ascii="Arial" w:hAnsi="Arial" w:cs="Arial"/>
          <w:sz w:val="24"/>
          <w:szCs w:val="24"/>
        </w:rPr>
        <w:t>.</w:t>
      </w:r>
      <w:r w:rsidR="00C21786" w:rsidRPr="00614E39">
        <w:rPr>
          <w:rFonts w:ascii="Arial" w:hAnsi="Arial" w:cs="Arial"/>
          <w:sz w:val="24"/>
          <w:szCs w:val="24"/>
        </w:rPr>
        <w:t xml:space="preserve"> On </w:t>
      </w:r>
      <w:r w:rsidR="0096122B">
        <w:rPr>
          <w:rFonts w:ascii="Arial" w:hAnsi="Arial" w:cs="Arial"/>
          <w:sz w:val="24"/>
          <w:szCs w:val="24"/>
        </w:rPr>
        <w:t>the same definition</w:t>
      </w:r>
      <w:r w:rsidR="00C21786" w:rsidRPr="00614E39">
        <w:rPr>
          <w:rFonts w:ascii="Arial" w:hAnsi="Arial" w:cs="Arial"/>
          <w:sz w:val="24"/>
          <w:szCs w:val="24"/>
        </w:rPr>
        <w:t xml:space="preserve">, </w:t>
      </w:r>
      <w:r w:rsidR="00C21786">
        <w:rPr>
          <w:rFonts w:ascii="Arial" w:hAnsi="Arial" w:cs="Arial"/>
          <w:sz w:val="24"/>
          <w:szCs w:val="24"/>
        </w:rPr>
        <w:t xml:space="preserve">Kingfisher UK sales </w:t>
      </w:r>
      <w:r w:rsidR="00C21786" w:rsidRPr="0058269A">
        <w:rPr>
          <w:rFonts w:ascii="Arial" w:hAnsi="Arial" w:cs="Arial"/>
          <w:sz w:val="24"/>
          <w:szCs w:val="24"/>
        </w:rPr>
        <w:t xml:space="preserve">were up </w:t>
      </w:r>
      <w:r w:rsidR="0096122B">
        <w:rPr>
          <w:rFonts w:ascii="Arial" w:hAnsi="Arial" w:cs="Arial"/>
          <w:sz w:val="24"/>
          <w:szCs w:val="24"/>
        </w:rPr>
        <w:t>over twice that rate</w:t>
      </w:r>
      <w:r w:rsidR="00C21786">
        <w:rPr>
          <w:rFonts w:ascii="Arial" w:hAnsi="Arial" w:cs="Arial"/>
          <w:sz w:val="24"/>
          <w:szCs w:val="24"/>
        </w:rPr>
        <w:t xml:space="preserve"> with both businesses ahead of the </w:t>
      </w:r>
      <w:r w:rsidR="00C21786" w:rsidRPr="0033734C">
        <w:rPr>
          <w:rFonts w:ascii="Arial" w:hAnsi="Arial" w:cs="Arial"/>
          <w:sz w:val="24"/>
          <w:szCs w:val="24"/>
        </w:rPr>
        <w:t>marke</w:t>
      </w:r>
      <w:r w:rsidR="00C21786">
        <w:rPr>
          <w:rFonts w:ascii="Arial" w:hAnsi="Arial" w:cs="Arial"/>
          <w:sz w:val="24"/>
          <w:szCs w:val="24"/>
        </w:rPr>
        <w:t>t.</w:t>
      </w:r>
    </w:p>
    <w:p w:rsidR="00C21786" w:rsidRPr="00543473" w:rsidRDefault="00C21786" w:rsidP="001B3B55">
      <w:pPr>
        <w:jc w:val="left"/>
        <w:rPr>
          <w:rFonts w:ascii="Arial" w:hAnsi="Arial" w:cs="Arial"/>
          <w:sz w:val="24"/>
          <w:szCs w:val="24"/>
          <w:highlight w:val="magenta"/>
        </w:rPr>
      </w:pPr>
    </w:p>
    <w:p w:rsidR="008F5AA6" w:rsidRDefault="001B3B55" w:rsidP="001B3B55">
      <w:pPr>
        <w:jc w:val="left"/>
        <w:rPr>
          <w:rFonts w:ascii="Arial" w:hAnsi="Arial" w:cs="Arial"/>
          <w:sz w:val="24"/>
          <w:szCs w:val="24"/>
        </w:rPr>
      </w:pPr>
      <w:r w:rsidRPr="00543473">
        <w:rPr>
          <w:rFonts w:ascii="Arial" w:hAnsi="Arial" w:cs="Arial"/>
          <w:b/>
          <w:bCs/>
          <w:sz w:val="24"/>
          <w:szCs w:val="24"/>
        </w:rPr>
        <w:t>B&amp;Q UK &amp; Ireland’s</w:t>
      </w:r>
      <w:r w:rsidRPr="00543473">
        <w:rPr>
          <w:rFonts w:ascii="Arial" w:hAnsi="Arial" w:cs="Arial"/>
          <w:sz w:val="24"/>
          <w:szCs w:val="24"/>
        </w:rPr>
        <w:t xml:space="preserve"> total sales </w:t>
      </w:r>
      <w:r w:rsidR="006D2FE5">
        <w:rPr>
          <w:rFonts w:ascii="Arial" w:hAnsi="Arial" w:cs="Arial"/>
          <w:sz w:val="24"/>
          <w:szCs w:val="24"/>
        </w:rPr>
        <w:t>grew by 4.0% (+3.2% LFL</w:t>
      </w:r>
      <w:r w:rsidR="00AF1EC3">
        <w:rPr>
          <w:rFonts w:ascii="Arial" w:hAnsi="Arial" w:cs="Arial"/>
          <w:sz w:val="24"/>
          <w:szCs w:val="24"/>
        </w:rPr>
        <w:t>, +1.5% 2 year LFL</w:t>
      </w:r>
      <w:r w:rsidR="006D2FE5">
        <w:rPr>
          <w:rFonts w:ascii="Arial" w:hAnsi="Arial" w:cs="Arial"/>
          <w:sz w:val="24"/>
          <w:szCs w:val="24"/>
        </w:rPr>
        <w:t>) to £2,033 million. Sales of outdoor seasonal and building products were up around 6% benefiting from the better weather</w:t>
      </w:r>
      <w:r w:rsidR="009C3211">
        <w:rPr>
          <w:rFonts w:ascii="Arial" w:hAnsi="Arial" w:cs="Arial"/>
          <w:sz w:val="24"/>
          <w:szCs w:val="24"/>
        </w:rPr>
        <w:t xml:space="preserve"> </w:t>
      </w:r>
      <w:r w:rsidR="009C3211" w:rsidRPr="0033734C">
        <w:rPr>
          <w:rFonts w:ascii="Arial" w:hAnsi="Arial" w:cs="Arial"/>
          <w:sz w:val="24"/>
          <w:szCs w:val="24"/>
        </w:rPr>
        <w:t>and a more buoyant smaller trade</w:t>
      </w:r>
      <w:r w:rsidR="0033734C" w:rsidRPr="00B86161">
        <w:rPr>
          <w:rFonts w:ascii="Arial" w:hAnsi="Arial" w:cs="Arial"/>
          <w:sz w:val="24"/>
          <w:szCs w:val="24"/>
        </w:rPr>
        <w:t>sman</w:t>
      </w:r>
      <w:r w:rsidR="009C3211" w:rsidRPr="0033734C">
        <w:rPr>
          <w:rFonts w:ascii="Arial" w:hAnsi="Arial" w:cs="Arial"/>
          <w:sz w:val="24"/>
          <w:szCs w:val="24"/>
        </w:rPr>
        <w:t xml:space="preserve"> market</w:t>
      </w:r>
      <w:r w:rsidR="006D2FE5" w:rsidRPr="0033734C">
        <w:rPr>
          <w:rFonts w:ascii="Arial" w:hAnsi="Arial" w:cs="Arial"/>
          <w:sz w:val="24"/>
          <w:szCs w:val="24"/>
        </w:rPr>
        <w:t>.</w:t>
      </w:r>
      <w:r w:rsidR="006D2FE5">
        <w:rPr>
          <w:rFonts w:ascii="Arial" w:hAnsi="Arial" w:cs="Arial"/>
          <w:sz w:val="24"/>
          <w:szCs w:val="24"/>
        </w:rPr>
        <w:t xml:space="preserve"> Sales of indoor products, excluding showroom, were up around</w:t>
      </w:r>
      <w:r w:rsidR="00E4141D">
        <w:rPr>
          <w:rFonts w:ascii="Arial" w:hAnsi="Arial" w:cs="Arial"/>
          <w:sz w:val="24"/>
          <w:szCs w:val="24"/>
        </w:rPr>
        <w:t xml:space="preserve"> 3%. Sales of showroom products were down 1.5% reflecting less promotional activity in Q2</w:t>
      </w:r>
      <w:r w:rsidR="0042715D">
        <w:rPr>
          <w:rFonts w:ascii="Arial" w:hAnsi="Arial" w:cs="Arial"/>
          <w:sz w:val="24"/>
          <w:szCs w:val="24"/>
        </w:rPr>
        <w:t>.</w:t>
      </w:r>
    </w:p>
    <w:p w:rsidR="00B23E5F" w:rsidRDefault="00B23E5F" w:rsidP="00B23E5F">
      <w:pPr>
        <w:contextualSpacing/>
        <w:jc w:val="left"/>
        <w:rPr>
          <w:rFonts w:ascii="Arial" w:hAnsi="Arial" w:cs="Arial"/>
          <w:b/>
          <w:bCs/>
          <w:sz w:val="24"/>
          <w:szCs w:val="24"/>
        </w:rPr>
      </w:pPr>
    </w:p>
    <w:p w:rsidR="00B23E5F" w:rsidRDefault="00B23E5F" w:rsidP="00B23E5F">
      <w:pPr>
        <w:contextualSpacing/>
        <w:jc w:val="left"/>
        <w:rPr>
          <w:rFonts w:ascii="Arial" w:hAnsi="Arial" w:cs="Arial"/>
          <w:sz w:val="24"/>
          <w:szCs w:val="24"/>
        </w:rPr>
      </w:pPr>
      <w:r w:rsidRPr="00543473">
        <w:rPr>
          <w:rFonts w:ascii="Arial" w:hAnsi="Arial" w:cs="Arial"/>
          <w:b/>
          <w:bCs/>
          <w:sz w:val="24"/>
          <w:szCs w:val="24"/>
        </w:rPr>
        <w:t>Screwfix</w:t>
      </w:r>
      <w:r w:rsidRPr="00543473">
        <w:rPr>
          <w:rFonts w:ascii="Arial" w:hAnsi="Arial" w:cs="Arial"/>
          <w:sz w:val="24"/>
          <w:szCs w:val="24"/>
        </w:rPr>
        <w:t xml:space="preserve"> total sales </w:t>
      </w:r>
      <w:r>
        <w:rPr>
          <w:rFonts w:ascii="Arial" w:hAnsi="Arial" w:cs="Arial"/>
          <w:sz w:val="24"/>
          <w:szCs w:val="24"/>
        </w:rPr>
        <w:t xml:space="preserve">grew </w:t>
      </w:r>
      <w:r w:rsidRPr="00543473">
        <w:rPr>
          <w:rFonts w:ascii="Arial" w:hAnsi="Arial" w:cs="Arial"/>
          <w:sz w:val="24"/>
          <w:szCs w:val="24"/>
        </w:rPr>
        <w:t xml:space="preserve">by </w:t>
      </w:r>
      <w:r>
        <w:rPr>
          <w:rFonts w:ascii="Arial" w:hAnsi="Arial" w:cs="Arial"/>
          <w:sz w:val="24"/>
          <w:szCs w:val="24"/>
        </w:rPr>
        <w:t>23.3% (+11.9% LFL, +15.9% 2 year LFL)</w:t>
      </w:r>
      <w:r w:rsidRPr="00543473">
        <w:rPr>
          <w:rFonts w:ascii="Arial" w:hAnsi="Arial" w:cs="Arial"/>
          <w:sz w:val="24"/>
          <w:szCs w:val="24"/>
        </w:rPr>
        <w:t xml:space="preserve"> to £</w:t>
      </w:r>
      <w:r>
        <w:rPr>
          <w:rFonts w:ascii="Arial" w:hAnsi="Arial" w:cs="Arial"/>
          <w:sz w:val="24"/>
          <w:szCs w:val="24"/>
        </w:rPr>
        <w:t>386</w:t>
      </w:r>
      <w:r w:rsidRPr="00543473">
        <w:rPr>
          <w:rFonts w:ascii="Arial" w:hAnsi="Arial" w:cs="Arial"/>
          <w:sz w:val="24"/>
          <w:szCs w:val="24"/>
        </w:rPr>
        <w:t xml:space="preserve"> million</w:t>
      </w:r>
      <w:r>
        <w:rPr>
          <w:rFonts w:ascii="Arial" w:hAnsi="Arial" w:cs="Arial"/>
          <w:sz w:val="24"/>
          <w:szCs w:val="24"/>
        </w:rPr>
        <w:t xml:space="preserve">, benefiting from a strong promotional programme, the continued roll out of new outlets and the continued success of the mobile </w:t>
      </w:r>
      <w:r w:rsidR="00E057E9" w:rsidRPr="00E12754">
        <w:rPr>
          <w:rFonts w:ascii="Arial" w:hAnsi="Arial" w:cs="Arial"/>
          <w:sz w:val="24"/>
          <w:szCs w:val="24"/>
        </w:rPr>
        <w:t>‘</w:t>
      </w:r>
      <w:r w:rsidR="00E057E9" w:rsidRPr="00834B30">
        <w:rPr>
          <w:rFonts w:ascii="Arial" w:hAnsi="Arial" w:cs="Arial"/>
          <w:sz w:val="24"/>
          <w:szCs w:val="24"/>
        </w:rPr>
        <w:t>Click</w:t>
      </w:r>
      <w:r w:rsidR="00E057E9">
        <w:rPr>
          <w:rFonts w:ascii="Arial" w:hAnsi="Arial" w:cs="Arial"/>
          <w:sz w:val="24"/>
          <w:szCs w:val="24"/>
        </w:rPr>
        <w:t xml:space="preserve">, Pay &amp; Collect’ </w:t>
      </w:r>
      <w:r>
        <w:rPr>
          <w:rFonts w:ascii="Arial" w:hAnsi="Arial" w:cs="Arial"/>
          <w:sz w:val="24"/>
          <w:szCs w:val="24"/>
        </w:rPr>
        <w:t>offer. Twenty-four net new outlets were opened, taking the total to 359.</w:t>
      </w:r>
    </w:p>
    <w:p w:rsidR="00B23E5F" w:rsidRPr="002B69AA" w:rsidRDefault="00B23E5F" w:rsidP="00B23E5F">
      <w:pPr>
        <w:jc w:val="left"/>
        <w:rPr>
          <w:rFonts w:ascii="Arial" w:hAnsi="Arial" w:cs="Arial"/>
          <w:sz w:val="24"/>
          <w:szCs w:val="24"/>
        </w:rPr>
      </w:pPr>
    </w:p>
    <w:p w:rsidR="00B23E5F" w:rsidRDefault="00B23E5F" w:rsidP="00B23E5F">
      <w:pPr>
        <w:jc w:val="left"/>
        <w:rPr>
          <w:rFonts w:ascii="Arial" w:hAnsi="Arial" w:cs="Arial"/>
          <w:sz w:val="24"/>
          <w:szCs w:val="24"/>
        </w:rPr>
      </w:pPr>
      <w:r w:rsidRPr="002B69AA">
        <w:rPr>
          <w:rFonts w:ascii="Arial" w:hAnsi="Arial" w:cs="Arial"/>
          <w:sz w:val="24"/>
          <w:szCs w:val="24"/>
        </w:rPr>
        <w:t xml:space="preserve">The </w:t>
      </w:r>
      <w:r>
        <w:rPr>
          <w:rFonts w:ascii="Arial" w:hAnsi="Arial" w:cs="Arial"/>
          <w:sz w:val="24"/>
          <w:szCs w:val="24"/>
        </w:rPr>
        <w:t xml:space="preserve">UK </w:t>
      </w:r>
      <w:r w:rsidRPr="002B69AA">
        <w:rPr>
          <w:rFonts w:ascii="Arial" w:hAnsi="Arial" w:cs="Arial"/>
          <w:sz w:val="24"/>
          <w:szCs w:val="24"/>
        </w:rPr>
        <w:t>market</w:t>
      </w:r>
      <w:r>
        <w:rPr>
          <w:rFonts w:ascii="Arial" w:hAnsi="Arial" w:cs="Arial"/>
          <w:sz w:val="24"/>
          <w:szCs w:val="24"/>
        </w:rPr>
        <w:t xml:space="preserve"> </w:t>
      </w:r>
      <w:r w:rsidRPr="002B69AA">
        <w:rPr>
          <w:rFonts w:ascii="Arial" w:hAnsi="Arial" w:cs="Arial"/>
          <w:sz w:val="24"/>
          <w:szCs w:val="24"/>
        </w:rPr>
        <w:t>for the smaller trad</w:t>
      </w:r>
      <w:r>
        <w:rPr>
          <w:rFonts w:ascii="Arial" w:hAnsi="Arial" w:cs="Arial"/>
          <w:sz w:val="24"/>
          <w:szCs w:val="24"/>
        </w:rPr>
        <w:t>e</w:t>
      </w:r>
      <w:r w:rsidRPr="002B69AA">
        <w:rPr>
          <w:rFonts w:ascii="Arial" w:hAnsi="Arial" w:cs="Arial"/>
          <w:sz w:val="24"/>
          <w:szCs w:val="24"/>
        </w:rPr>
        <w:t>sm</w:t>
      </w:r>
      <w:r>
        <w:rPr>
          <w:rFonts w:ascii="Arial" w:hAnsi="Arial" w:cs="Arial"/>
          <w:sz w:val="24"/>
          <w:szCs w:val="24"/>
        </w:rPr>
        <w:t>a</w:t>
      </w:r>
      <w:r w:rsidRPr="00EA6927">
        <w:rPr>
          <w:rFonts w:ascii="Arial" w:hAnsi="Arial" w:cs="Arial"/>
          <w:sz w:val="24"/>
          <w:szCs w:val="24"/>
        </w:rPr>
        <w:t xml:space="preserve">n* was up around </w:t>
      </w:r>
      <w:r w:rsidR="00643558">
        <w:rPr>
          <w:rFonts w:ascii="Arial" w:hAnsi="Arial" w:cs="Arial"/>
          <w:sz w:val="24"/>
          <w:szCs w:val="24"/>
        </w:rPr>
        <w:t>7</w:t>
      </w:r>
      <w:r w:rsidRPr="00EA6927">
        <w:rPr>
          <w:rFonts w:ascii="Arial" w:hAnsi="Arial" w:cs="Arial"/>
          <w:sz w:val="24"/>
          <w:szCs w:val="24"/>
        </w:rPr>
        <w:t>%.</w:t>
      </w:r>
      <w:r>
        <w:rPr>
          <w:rFonts w:ascii="Arial" w:hAnsi="Arial" w:cs="Arial"/>
          <w:sz w:val="24"/>
          <w:szCs w:val="24"/>
        </w:rPr>
        <w:t xml:space="preserve"> </w:t>
      </w:r>
    </w:p>
    <w:p w:rsidR="00203D6B" w:rsidRPr="00543473" w:rsidRDefault="00203D6B" w:rsidP="001B3B55">
      <w:pPr>
        <w:jc w:val="left"/>
        <w:rPr>
          <w:rFonts w:ascii="Arial" w:hAnsi="Arial" w:cs="Arial"/>
          <w:sz w:val="24"/>
          <w:szCs w:val="24"/>
        </w:rPr>
      </w:pPr>
    </w:p>
    <w:p w:rsidR="00F94705" w:rsidRDefault="00881461" w:rsidP="001668C9">
      <w:pPr>
        <w:contextualSpacing/>
        <w:jc w:val="left"/>
        <w:rPr>
          <w:rFonts w:ascii="Arial" w:hAnsi="Arial" w:cs="Arial"/>
          <w:b/>
          <w:bCs/>
          <w:sz w:val="24"/>
          <w:szCs w:val="24"/>
        </w:rPr>
      </w:pPr>
      <w:r w:rsidRPr="00B86161">
        <w:rPr>
          <w:rFonts w:ascii="Arial" w:hAnsi="Arial" w:cs="Arial"/>
          <w:b/>
          <w:bCs/>
          <w:sz w:val="24"/>
          <w:szCs w:val="24"/>
        </w:rPr>
        <w:lastRenderedPageBreak/>
        <w:t>B&amp;Q strategy update</w:t>
      </w:r>
      <w:r w:rsidR="00CF5C09" w:rsidRPr="00B86161">
        <w:rPr>
          <w:rFonts w:ascii="Arial" w:hAnsi="Arial" w:cs="Arial"/>
          <w:b/>
          <w:bCs/>
          <w:sz w:val="24"/>
          <w:szCs w:val="24"/>
        </w:rPr>
        <w:t xml:space="preserve"> </w:t>
      </w:r>
    </w:p>
    <w:p w:rsidR="00BD040E" w:rsidRDefault="00BD040E" w:rsidP="00881461">
      <w:pPr>
        <w:jc w:val="left"/>
        <w:rPr>
          <w:rFonts w:ascii="Arial" w:hAnsi="Arial" w:cs="Arial"/>
          <w:sz w:val="24"/>
          <w:szCs w:val="24"/>
        </w:rPr>
      </w:pPr>
    </w:p>
    <w:p w:rsidR="00DC31EF" w:rsidRDefault="00881461" w:rsidP="00881461">
      <w:pPr>
        <w:jc w:val="left"/>
        <w:rPr>
          <w:rFonts w:ascii="Arial" w:hAnsi="Arial" w:cs="Arial"/>
          <w:sz w:val="24"/>
          <w:szCs w:val="24"/>
        </w:rPr>
      </w:pPr>
      <w:r w:rsidRPr="00EA6927">
        <w:rPr>
          <w:rFonts w:ascii="Arial" w:hAnsi="Arial" w:cs="Arial"/>
          <w:sz w:val="24"/>
          <w:szCs w:val="24"/>
        </w:rPr>
        <w:t xml:space="preserve">Despite a very challenging housing and economic backdrop for the last </w:t>
      </w:r>
      <w:r>
        <w:rPr>
          <w:rFonts w:ascii="Arial" w:hAnsi="Arial" w:cs="Arial"/>
          <w:sz w:val="24"/>
          <w:szCs w:val="24"/>
        </w:rPr>
        <w:t>six</w:t>
      </w:r>
      <w:r w:rsidRPr="00EA6927">
        <w:rPr>
          <w:rFonts w:ascii="Arial" w:hAnsi="Arial" w:cs="Arial"/>
          <w:sz w:val="24"/>
          <w:szCs w:val="24"/>
        </w:rPr>
        <w:t xml:space="preserve"> years, during which </w:t>
      </w:r>
      <w:r w:rsidR="00BD040E">
        <w:rPr>
          <w:rFonts w:ascii="Arial" w:hAnsi="Arial" w:cs="Arial"/>
          <w:sz w:val="24"/>
          <w:szCs w:val="24"/>
        </w:rPr>
        <w:t>the UK home improvement</w:t>
      </w:r>
      <w:r w:rsidRPr="00EA6927">
        <w:rPr>
          <w:rFonts w:ascii="Arial" w:hAnsi="Arial" w:cs="Arial"/>
          <w:sz w:val="24"/>
          <w:szCs w:val="24"/>
        </w:rPr>
        <w:t xml:space="preserve"> market declined around 1</w:t>
      </w:r>
      <w:r>
        <w:rPr>
          <w:rFonts w:ascii="Arial" w:hAnsi="Arial" w:cs="Arial"/>
          <w:sz w:val="24"/>
          <w:szCs w:val="24"/>
        </w:rPr>
        <w:t>2</w:t>
      </w:r>
      <w:r w:rsidRPr="00EA6927">
        <w:rPr>
          <w:rFonts w:ascii="Arial" w:hAnsi="Arial" w:cs="Arial"/>
          <w:sz w:val="24"/>
          <w:szCs w:val="24"/>
        </w:rPr>
        <w:t>%</w:t>
      </w:r>
      <w:r w:rsidRPr="007678AD">
        <w:rPr>
          <w:rFonts w:ascii="Arial" w:hAnsi="Arial" w:cs="Arial"/>
          <w:i/>
          <w:sz w:val="24"/>
          <w:szCs w:val="24"/>
          <w:vertAlign w:val="superscript"/>
        </w:rPr>
        <w:t>(1)</w:t>
      </w:r>
      <w:r w:rsidRPr="00EA6927">
        <w:rPr>
          <w:rFonts w:ascii="Arial" w:hAnsi="Arial" w:cs="Arial"/>
          <w:sz w:val="24"/>
          <w:szCs w:val="24"/>
        </w:rPr>
        <w:t xml:space="preserve">, </w:t>
      </w:r>
      <w:r>
        <w:rPr>
          <w:rFonts w:ascii="Arial" w:hAnsi="Arial" w:cs="Arial"/>
          <w:sz w:val="24"/>
          <w:szCs w:val="24"/>
        </w:rPr>
        <w:t xml:space="preserve">Kingfisher UK &amp; Ireland delivered broadly flat sales and </w:t>
      </w:r>
      <w:r w:rsidRPr="00EA6927">
        <w:rPr>
          <w:rFonts w:ascii="Arial" w:hAnsi="Arial" w:cs="Arial"/>
          <w:sz w:val="24"/>
          <w:szCs w:val="24"/>
        </w:rPr>
        <w:t xml:space="preserve">achieved profit growth of </w:t>
      </w:r>
      <w:r>
        <w:rPr>
          <w:rFonts w:ascii="Arial" w:hAnsi="Arial" w:cs="Arial"/>
          <w:sz w:val="24"/>
          <w:szCs w:val="24"/>
        </w:rPr>
        <w:t>50</w:t>
      </w:r>
      <w:r w:rsidRPr="00EA6927">
        <w:rPr>
          <w:rFonts w:ascii="Arial" w:hAnsi="Arial" w:cs="Arial"/>
          <w:sz w:val="24"/>
          <w:szCs w:val="24"/>
        </w:rPr>
        <w:t>%</w:t>
      </w:r>
      <w:r>
        <w:rPr>
          <w:rFonts w:ascii="Arial" w:hAnsi="Arial" w:cs="Arial"/>
          <w:sz w:val="24"/>
          <w:szCs w:val="24"/>
        </w:rPr>
        <w:t xml:space="preserve"> by exploiting the UK trade market opportunity</w:t>
      </w:r>
      <w:r w:rsidR="00583882">
        <w:rPr>
          <w:rFonts w:ascii="Arial" w:hAnsi="Arial" w:cs="Arial"/>
          <w:sz w:val="24"/>
          <w:szCs w:val="24"/>
        </w:rPr>
        <w:t>.</w:t>
      </w:r>
      <w:r w:rsidR="00E005E1" w:rsidRPr="00DE5AEC">
        <w:rPr>
          <w:rFonts w:ascii="Arial" w:hAnsi="Arial" w:cs="Arial"/>
          <w:sz w:val="24"/>
          <w:szCs w:val="24"/>
        </w:rPr>
        <w:t xml:space="preserve"> While B&amp;Q remains the market leader we recognise that the business needs to evolve and adapt to a fast changing retail environment.</w:t>
      </w:r>
      <w:r w:rsidR="00E005E1">
        <w:rPr>
          <w:rFonts w:ascii="Arial" w:hAnsi="Arial" w:cs="Arial"/>
          <w:sz w:val="24"/>
          <w:szCs w:val="24"/>
        </w:rPr>
        <w:t xml:space="preserve"> </w:t>
      </w:r>
      <w:r w:rsidRPr="00EA6927">
        <w:rPr>
          <w:rFonts w:ascii="Arial" w:hAnsi="Arial" w:cs="Arial"/>
          <w:sz w:val="24"/>
          <w:szCs w:val="24"/>
        </w:rPr>
        <w:t>Looking ahead, its customers and market are evolving very quickly and B&amp;</w:t>
      </w:r>
      <w:r w:rsidR="007B34AD">
        <w:rPr>
          <w:rFonts w:ascii="Arial" w:hAnsi="Arial" w:cs="Arial"/>
          <w:sz w:val="24"/>
          <w:szCs w:val="24"/>
        </w:rPr>
        <w:t xml:space="preserve">Q </w:t>
      </w:r>
      <w:r w:rsidRPr="00EA6927">
        <w:rPr>
          <w:rFonts w:ascii="Arial" w:hAnsi="Arial" w:cs="Arial"/>
          <w:sz w:val="24"/>
          <w:szCs w:val="24"/>
        </w:rPr>
        <w:t xml:space="preserve">has </w:t>
      </w:r>
      <w:r w:rsidR="00583882">
        <w:rPr>
          <w:rFonts w:ascii="Arial" w:hAnsi="Arial" w:cs="Arial"/>
          <w:sz w:val="24"/>
          <w:szCs w:val="24"/>
        </w:rPr>
        <w:t xml:space="preserve">begun a transformation programme in this changing environment. </w:t>
      </w:r>
    </w:p>
    <w:p w:rsidR="00881461" w:rsidRPr="0096326E" w:rsidRDefault="00881461" w:rsidP="00881461">
      <w:pPr>
        <w:jc w:val="left"/>
        <w:rPr>
          <w:rFonts w:ascii="Arial" w:hAnsi="Arial" w:cs="Arial"/>
          <w:sz w:val="24"/>
          <w:szCs w:val="24"/>
        </w:rPr>
      </w:pPr>
    </w:p>
    <w:p w:rsidR="00881461" w:rsidRDefault="00881461" w:rsidP="00881461">
      <w:pPr>
        <w:jc w:val="left"/>
        <w:rPr>
          <w:rFonts w:ascii="Arial" w:hAnsi="Arial" w:cs="Arial"/>
          <w:sz w:val="24"/>
          <w:szCs w:val="24"/>
        </w:rPr>
      </w:pPr>
      <w:r w:rsidRPr="0096326E">
        <w:rPr>
          <w:rFonts w:ascii="Arial" w:hAnsi="Arial" w:cs="Arial"/>
          <w:sz w:val="24"/>
          <w:szCs w:val="24"/>
        </w:rPr>
        <w:t>In October 2013</w:t>
      </w:r>
      <w:r>
        <w:rPr>
          <w:rFonts w:ascii="Arial" w:hAnsi="Arial" w:cs="Arial"/>
          <w:sz w:val="24"/>
          <w:szCs w:val="24"/>
        </w:rPr>
        <w:t>,</w:t>
      </w:r>
      <w:r w:rsidRPr="0096326E">
        <w:rPr>
          <w:rFonts w:ascii="Arial" w:hAnsi="Arial" w:cs="Arial"/>
          <w:sz w:val="24"/>
          <w:szCs w:val="24"/>
        </w:rPr>
        <w:t xml:space="preserve"> Kevin O’Byrne, an executive director of Kingfisher plc, assumed direct leadership of B&amp;Q UK &amp; Ireland. He </w:t>
      </w:r>
      <w:r w:rsidR="002A6BD6">
        <w:rPr>
          <w:rFonts w:ascii="Arial" w:hAnsi="Arial" w:cs="Arial"/>
          <w:sz w:val="24"/>
          <w:szCs w:val="24"/>
        </w:rPr>
        <w:t xml:space="preserve">has </w:t>
      </w:r>
      <w:r w:rsidRPr="0096326E">
        <w:rPr>
          <w:rFonts w:ascii="Arial" w:hAnsi="Arial" w:cs="Arial"/>
          <w:sz w:val="24"/>
          <w:szCs w:val="24"/>
        </w:rPr>
        <w:t xml:space="preserve">strengthened the B&amp;Q </w:t>
      </w:r>
      <w:r>
        <w:rPr>
          <w:rFonts w:ascii="Arial" w:hAnsi="Arial" w:cs="Arial"/>
          <w:sz w:val="24"/>
          <w:szCs w:val="24"/>
        </w:rPr>
        <w:t xml:space="preserve">UK &amp; Ireland </w:t>
      </w:r>
      <w:r w:rsidRPr="0096326E">
        <w:rPr>
          <w:rFonts w:ascii="Arial" w:hAnsi="Arial" w:cs="Arial"/>
          <w:sz w:val="24"/>
          <w:szCs w:val="24"/>
        </w:rPr>
        <w:t>board with the appointment of three executives from the successful Screwfix business</w:t>
      </w:r>
      <w:r w:rsidR="00106895">
        <w:rPr>
          <w:rFonts w:ascii="Arial" w:hAnsi="Arial" w:cs="Arial"/>
          <w:sz w:val="24"/>
          <w:szCs w:val="24"/>
        </w:rPr>
        <w:t xml:space="preserve"> and</w:t>
      </w:r>
      <w:r w:rsidRPr="0096326E">
        <w:rPr>
          <w:rFonts w:ascii="Arial" w:hAnsi="Arial" w:cs="Arial"/>
          <w:sz w:val="24"/>
          <w:szCs w:val="24"/>
        </w:rPr>
        <w:t xml:space="preserve"> two </w:t>
      </w:r>
      <w:r>
        <w:rPr>
          <w:rFonts w:ascii="Arial" w:hAnsi="Arial" w:cs="Arial"/>
          <w:sz w:val="24"/>
          <w:szCs w:val="24"/>
        </w:rPr>
        <w:t>senior</w:t>
      </w:r>
      <w:r w:rsidRPr="0096326E">
        <w:rPr>
          <w:rFonts w:ascii="Arial" w:hAnsi="Arial" w:cs="Arial"/>
          <w:sz w:val="24"/>
          <w:szCs w:val="24"/>
        </w:rPr>
        <w:t xml:space="preserve"> executives from outside Kingfisher</w:t>
      </w:r>
      <w:r>
        <w:rPr>
          <w:rFonts w:ascii="Arial" w:hAnsi="Arial" w:cs="Arial"/>
          <w:sz w:val="24"/>
          <w:szCs w:val="24"/>
        </w:rPr>
        <w:t xml:space="preserve">. </w:t>
      </w:r>
      <w:r w:rsidR="00106895" w:rsidRPr="00DC31EF">
        <w:rPr>
          <w:rFonts w:ascii="Arial" w:hAnsi="Arial" w:cs="Arial"/>
          <w:sz w:val="24"/>
          <w:szCs w:val="24"/>
        </w:rPr>
        <w:t xml:space="preserve">From </w:t>
      </w:r>
      <w:r w:rsidR="007B34AD" w:rsidRPr="00DC31EF">
        <w:rPr>
          <w:rFonts w:ascii="Arial" w:hAnsi="Arial" w:cs="Arial"/>
          <w:sz w:val="24"/>
          <w:szCs w:val="24"/>
        </w:rPr>
        <w:t>Autum</w:t>
      </w:r>
      <w:r w:rsidR="00CF5C09" w:rsidRPr="00DC31EF">
        <w:rPr>
          <w:rFonts w:ascii="Arial" w:hAnsi="Arial" w:cs="Arial"/>
          <w:sz w:val="24"/>
          <w:szCs w:val="24"/>
        </w:rPr>
        <w:t>n</w:t>
      </w:r>
      <w:r w:rsidR="007B34AD">
        <w:rPr>
          <w:rFonts w:ascii="Arial" w:hAnsi="Arial" w:cs="Arial"/>
          <w:sz w:val="24"/>
          <w:szCs w:val="24"/>
        </w:rPr>
        <w:t xml:space="preserve"> 2014</w:t>
      </w:r>
      <w:r w:rsidR="00106895">
        <w:rPr>
          <w:rFonts w:ascii="Arial" w:hAnsi="Arial" w:cs="Arial"/>
          <w:sz w:val="24"/>
          <w:szCs w:val="24"/>
        </w:rPr>
        <w:t>, the</w:t>
      </w:r>
      <w:r w:rsidR="007B34AD">
        <w:rPr>
          <w:rFonts w:ascii="Arial" w:hAnsi="Arial" w:cs="Arial"/>
          <w:sz w:val="24"/>
          <w:szCs w:val="24"/>
        </w:rPr>
        <w:t xml:space="preserve"> board</w:t>
      </w:r>
      <w:r>
        <w:rPr>
          <w:rFonts w:ascii="Arial" w:hAnsi="Arial" w:cs="Arial"/>
          <w:sz w:val="24"/>
          <w:szCs w:val="24"/>
        </w:rPr>
        <w:t xml:space="preserve"> will be complete following the appointment of Grahame Smith as </w:t>
      </w:r>
      <w:r w:rsidR="00106895">
        <w:rPr>
          <w:rFonts w:ascii="Arial" w:hAnsi="Arial" w:cs="Arial"/>
          <w:sz w:val="24"/>
          <w:szCs w:val="24"/>
        </w:rPr>
        <w:t xml:space="preserve">B&amp;Q UK &amp; Ireland </w:t>
      </w:r>
      <w:r>
        <w:rPr>
          <w:rFonts w:ascii="Arial" w:hAnsi="Arial" w:cs="Arial"/>
          <w:sz w:val="24"/>
          <w:szCs w:val="24"/>
        </w:rPr>
        <w:t xml:space="preserve">Property Director, </w:t>
      </w:r>
      <w:r w:rsidR="00433E0D">
        <w:rPr>
          <w:rFonts w:ascii="Arial" w:hAnsi="Arial" w:cs="Arial"/>
          <w:sz w:val="24"/>
          <w:szCs w:val="24"/>
        </w:rPr>
        <w:t xml:space="preserve">who </w:t>
      </w:r>
      <w:r>
        <w:rPr>
          <w:rFonts w:ascii="Arial" w:hAnsi="Arial" w:cs="Arial"/>
          <w:sz w:val="24"/>
          <w:szCs w:val="24"/>
        </w:rPr>
        <w:t xml:space="preserve">formerly </w:t>
      </w:r>
      <w:r w:rsidR="00433E0D">
        <w:rPr>
          <w:rFonts w:ascii="Arial" w:hAnsi="Arial" w:cs="Arial"/>
          <w:sz w:val="24"/>
          <w:szCs w:val="24"/>
        </w:rPr>
        <w:t>held</w:t>
      </w:r>
      <w:r w:rsidR="00583882">
        <w:rPr>
          <w:rFonts w:ascii="Arial" w:hAnsi="Arial" w:cs="Arial"/>
          <w:sz w:val="24"/>
          <w:szCs w:val="24"/>
        </w:rPr>
        <w:t xml:space="preserve"> </w:t>
      </w:r>
      <w:r w:rsidR="00DC31EF">
        <w:rPr>
          <w:rFonts w:ascii="Arial" w:hAnsi="Arial" w:cs="Arial"/>
          <w:sz w:val="24"/>
          <w:szCs w:val="24"/>
        </w:rPr>
        <w:t>senior property roles at</w:t>
      </w:r>
      <w:r w:rsidR="00210CD5">
        <w:rPr>
          <w:rFonts w:ascii="Arial" w:hAnsi="Arial" w:cs="Arial"/>
          <w:sz w:val="24"/>
          <w:szCs w:val="24"/>
        </w:rPr>
        <w:t xml:space="preserve"> </w:t>
      </w:r>
      <w:r>
        <w:rPr>
          <w:rFonts w:ascii="Arial" w:hAnsi="Arial" w:cs="Arial"/>
          <w:sz w:val="24"/>
          <w:szCs w:val="24"/>
        </w:rPr>
        <w:t>Carphone Warehouse, Mothercare and Arcadia</w:t>
      </w:r>
      <w:r w:rsidRPr="00DC31EF">
        <w:rPr>
          <w:rFonts w:ascii="Arial" w:hAnsi="Arial" w:cs="Arial"/>
          <w:sz w:val="24"/>
          <w:szCs w:val="24"/>
        </w:rPr>
        <w:t xml:space="preserve">. </w:t>
      </w:r>
    </w:p>
    <w:p w:rsidR="00881461" w:rsidRPr="0096326E" w:rsidRDefault="00881461" w:rsidP="00881461">
      <w:pPr>
        <w:jc w:val="left"/>
        <w:rPr>
          <w:rFonts w:ascii="Arial" w:hAnsi="Arial" w:cs="Arial"/>
          <w:sz w:val="24"/>
          <w:szCs w:val="24"/>
        </w:rPr>
      </w:pPr>
    </w:p>
    <w:p w:rsidR="00881461" w:rsidRDefault="00881461" w:rsidP="005A5910">
      <w:pPr>
        <w:jc w:val="left"/>
        <w:rPr>
          <w:rFonts w:ascii="Arial" w:hAnsi="Arial" w:cs="Arial"/>
          <w:sz w:val="24"/>
          <w:szCs w:val="24"/>
        </w:rPr>
      </w:pPr>
      <w:r w:rsidRPr="0096326E">
        <w:rPr>
          <w:rFonts w:ascii="Arial" w:hAnsi="Arial" w:cs="Arial"/>
          <w:sz w:val="24"/>
          <w:szCs w:val="24"/>
        </w:rPr>
        <w:t>Th</w:t>
      </w:r>
      <w:r w:rsidR="00534D45">
        <w:rPr>
          <w:rFonts w:ascii="Arial" w:hAnsi="Arial" w:cs="Arial"/>
          <w:sz w:val="24"/>
          <w:szCs w:val="24"/>
        </w:rPr>
        <w:t>e</w:t>
      </w:r>
      <w:r w:rsidRPr="0096326E">
        <w:rPr>
          <w:rFonts w:ascii="Arial" w:hAnsi="Arial" w:cs="Arial"/>
          <w:sz w:val="24"/>
          <w:szCs w:val="24"/>
        </w:rPr>
        <w:t xml:space="preserve"> </w:t>
      </w:r>
      <w:r>
        <w:rPr>
          <w:rFonts w:ascii="Arial" w:hAnsi="Arial" w:cs="Arial"/>
          <w:sz w:val="24"/>
          <w:szCs w:val="24"/>
        </w:rPr>
        <w:t>strengthened</w:t>
      </w:r>
      <w:r w:rsidRPr="0096326E">
        <w:rPr>
          <w:rFonts w:ascii="Arial" w:hAnsi="Arial" w:cs="Arial"/>
          <w:sz w:val="24"/>
          <w:szCs w:val="24"/>
        </w:rPr>
        <w:t xml:space="preserve"> management team ha</w:t>
      </w:r>
      <w:r>
        <w:rPr>
          <w:rFonts w:ascii="Arial" w:hAnsi="Arial" w:cs="Arial"/>
          <w:sz w:val="24"/>
          <w:szCs w:val="24"/>
        </w:rPr>
        <w:t>s</w:t>
      </w:r>
      <w:r w:rsidRPr="0096326E">
        <w:rPr>
          <w:rFonts w:ascii="Arial" w:hAnsi="Arial" w:cs="Arial"/>
          <w:sz w:val="24"/>
          <w:szCs w:val="24"/>
        </w:rPr>
        <w:t xml:space="preserve"> made a </w:t>
      </w:r>
      <w:r w:rsidR="002A6BD6">
        <w:rPr>
          <w:rFonts w:ascii="Arial" w:hAnsi="Arial" w:cs="Arial"/>
          <w:sz w:val="24"/>
          <w:szCs w:val="24"/>
        </w:rPr>
        <w:t xml:space="preserve">good </w:t>
      </w:r>
      <w:r w:rsidRPr="0096326E">
        <w:rPr>
          <w:rFonts w:ascii="Arial" w:hAnsi="Arial" w:cs="Arial"/>
          <w:sz w:val="24"/>
          <w:szCs w:val="24"/>
        </w:rPr>
        <w:t xml:space="preserve">early start, </w:t>
      </w:r>
      <w:r w:rsidR="006C22D9">
        <w:rPr>
          <w:rFonts w:ascii="Arial" w:hAnsi="Arial" w:cs="Arial"/>
          <w:sz w:val="24"/>
          <w:szCs w:val="24"/>
        </w:rPr>
        <w:t>initially focussed on re-energising the business.</w:t>
      </w:r>
      <w:r w:rsidRPr="0096326E">
        <w:rPr>
          <w:rFonts w:ascii="Arial" w:hAnsi="Arial" w:cs="Arial"/>
          <w:sz w:val="24"/>
          <w:szCs w:val="24"/>
        </w:rPr>
        <w:t xml:space="preserve"> </w:t>
      </w:r>
      <w:r w:rsidRPr="005A5910">
        <w:rPr>
          <w:rFonts w:ascii="Arial" w:hAnsi="Arial" w:cs="Arial"/>
          <w:sz w:val="24"/>
          <w:szCs w:val="24"/>
        </w:rPr>
        <w:t>Examples of initiatives have included simplifying in-store pric</w:t>
      </w:r>
      <w:r w:rsidR="004B23B6">
        <w:rPr>
          <w:rFonts w:ascii="Arial" w:hAnsi="Arial" w:cs="Arial"/>
          <w:sz w:val="24"/>
          <w:szCs w:val="24"/>
        </w:rPr>
        <w:t>e</w:t>
      </w:r>
      <w:r w:rsidRPr="005A5910">
        <w:rPr>
          <w:rFonts w:ascii="Arial" w:hAnsi="Arial" w:cs="Arial"/>
          <w:sz w:val="24"/>
          <w:szCs w:val="24"/>
        </w:rPr>
        <w:t xml:space="preserve"> messaging, lowering prices to customers and driving </w:t>
      </w:r>
      <w:r w:rsidR="000B2DAA">
        <w:rPr>
          <w:rFonts w:ascii="Arial" w:hAnsi="Arial" w:cs="Arial"/>
          <w:sz w:val="24"/>
          <w:szCs w:val="24"/>
        </w:rPr>
        <w:t>customer transactions</w:t>
      </w:r>
      <w:r w:rsidRPr="005A5910">
        <w:rPr>
          <w:rFonts w:ascii="Arial" w:hAnsi="Arial" w:cs="Arial"/>
          <w:sz w:val="24"/>
          <w:szCs w:val="24"/>
        </w:rPr>
        <w:t xml:space="preserve"> with better targeted marketing. The results have been encouraging</w:t>
      </w:r>
      <w:r w:rsidR="005C1F02">
        <w:rPr>
          <w:rFonts w:ascii="Arial" w:hAnsi="Arial" w:cs="Arial"/>
          <w:sz w:val="24"/>
          <w:szCs w:val="24"/>
        </w:rPr>
        <w:t>,</w:t>
      </w:r>
      <w:r w:rsidRPr="005A5910">
        <w:rPr>
          <w:rFonts w:ascii="Arial" w:hAnsi="Arial" w:cs="Arial"/>
          <w:sz w:val="24"/>
          <w:szCs w:val="24"/>
        </w:rPr>
        <w:t xml:space="preserve"> </w:t>
      </w:r>
      <w:r w:rsidR="006C22D9" w:rsidRPr="005A5910">
        <w:rPr>
          <w:rFonts w:ascii="Arial" w:hAnsi="Arial" w:cs="Arial"/>
          <w:sz w:val="24"/>
          <w:szCs w:val="24"/>
        </w:rPr>
        <w:t xml:space="preserve">helping </w:t>
      </w:r>
      <w:r w:rsidR="005C1F02">
        <w:rPr>
          <w:rFonts w:ascii="Arial" w:hAnsi="Arial" w:cs="Arial"/>
          <w:sz w:val="24"/>
          <w:szCs w:val="24"/>
        </w:rPr>
        <w:t xml:space="preserve">to </w:t>
      </w:r>
      <w:r w:rsidR="006C22D9" w:rsidRPr="005A5910">
        <w:rPr>
          <w:rFonts w:ascii="Arial" w:hAnsi="Arial" w:cs="Arial"/>
          <w:sz w:val="24"/>
          <w:szCs w:val="24"/>
        </w:rPr>
        <w:t>drive sales</w:t>
      </w:r>
      <w:r w:rsidR="002A6BD6">
        <w:rPr>
          <w:rFonts w:ascii="Arial" w:hAnsi="Arial" w:cs="Arial"/>
          <w:sz w:val="24"/>
          <w:szCs w:val="24"/>
        </w:rPr>
        <w:t xml:space="preserve"> and deliver double digit</w:t>
      </w:r>
      <w:r w:rsidR="00DC31EF">
        <w:rPr>
          <w:rFonts w:ascii="Arial" w:hAnsi="Arial" w:cs="Arial"/>
          <w:sz w:val="24"/>
          <w:szCs w:val="24"/>
        </w:rPr>
        <w:t xml:space="preserve"> </w:t>
      </w:r>
      <w:r w:rsidR="002A6BD6">
        <w:rPr>
          <w:rFonts w:ascii="Arial" w:hAnsi="Arial" w:cs="Arial"/>
          <w:sz w:val="24"/>
          <w:szCs w:val="24"/>
        </w:rPr>
        <w:t>prof</w:t>
      </w:r>
      <w:r w:rsidR="006C22D9" w:rsidRPr="005A5910">
        <w:rPr>
          <w:rFonts w:ascii="Arial" w:hAnsi="Arial" w:cs="Arial"/>
          <w:sz w:val="24"/>
          <w:szCs w:val="24"/>
        </w:rPr>
        <w:t xml:space="preserve">it growth </w:t>
      </w:r>
      <w:r w:rsidRPr="005A5910">
        <w:rPr>
          <w:rFonts w:ascii="Arial" w:hAnsi="Arial" w:cs="Arial"/>
          <w:sz w:val="24"/>
          <w:szCs w:val="24"/>
        </w:rPr>
        <w:t xml:space="preserve">in H1, </w:t>
      </w:r>
      <w:r w:rsidR="002A6BD6">
        <w:rPr>
          <w:rFonts w:ascii="Arial" w:hAnsi="Arial" w:cs="Arial"/>
          <w:sz w:val="24"/>
          <w:szCs w:val="24"/>
        </w:rPr>
        <w:t xml:space="preserve">while </w:t>
      </w:r>
      <w:r w:rsidR="006C22D9" w:rsidRPr="005A5910">
        <w:rPr>
          <w:rFonts w:ascii="Arial" w:hAnsi="Arial" w:cs="Arial"/>
          <w:sz w:val="24"/>
          <w:szCs w:val="24"/>
        </w:rPr>
        <w:t xml:space="preserve">improving </w:t>
      </w:r>
      <w:r w:rsidR="00534D45">
        <w:rPr>
          <w:rFonts w:ascii="Arial" w:hAnsi="Arial" w:cs="Arial"/>
          <w:sz w:val="24"/>
          <w:szCs w:val="24"/>
        </w:rPr>
        <w:t>value</w:t>
      </w:r>
      <w:r w:rsidRPr="005A5910">
        <w:rPr>
          <w:rFonts w:ascii="Arial" w:hAnsi="Arial" w:cs="Arial"/>
          <w:sz w:val="24"/>
          <w:szCs w:val="24"/>
        </w:rPr>
        <w:t xml:space="preserve"> perception </w:t>
      </w:r>
      <w:r w:rsidR="006C22D9" w:rsidRPr="005A5910">
        <w:rPr>
          <w:rFonts w:ascii="Arial" w:hAnsi="Arial" w:cs="Arial"/>
          <w:sz w:val="24"/>
          <w:szCs w:val="24"/>
        </w:rPr>
        <w:t xml:space="preserve">and marketing awareness. </w:t>
      </w:r>
      <w:r w:rsidRPr="005A5910">
        <w:rPr>
          <w:rFonts w:ascii="Arial" w:hAnsi="Arial" w:cs="Arial"/>
          <w:sz w:val="24"/>
          <w:szCs w:val="24"/>
        </w:rPr>
        <w:t xml:space="preserve"> </w:t>
      </w:r>
    </w:p>
    <w:p w:rsidR="006C22D9" w:rsidRDefault="006C22D9" w:rsidP="005A5910">
      <w:pPr>
        <w:jc w:val="left"/>
        <w:rPr>
          <w:rFonts w:ascii="Arial" w:hAnsi="Arial" w:cs="Arial"/>
          <w:sz w:val="24"/>
          <w:szCs w:val="24"/>
        </w:rPr>
      </w:pPr>
    </w:p>
    <w:p w:rsidR="00B51416" w:rsidRDefault="006C22D9" w:rsidP="005A5910">
      <w:pPr>
        <w:jc w:val="left"/>
        <w:rPr>
          <w:rFonts w:ascii="Arial" w:hAnsi="Arial" w:cs="Arial"/>
          <w:sz w:val="24"/>
          <w:szCs w:val="24"/>
        </w:rPr>
      </w:pPr>
      <w:r>
        <w:rPr>
          <w:rFonts w:ascii="Arial" w:hAnsi="Arial" w:cs="Arial"/>
          <w:sz w:val="24"/>
          <w:szCs w:val="24"/>
        </w:rPr>
        <w:t>Moving forward, B&amp;Q’s</w:t>
      </w:r>
      <w:r w:rsidR="00935956">
        <w:rPr>
          <w:rFonts w:ascii="Arial" w:hAnsi="Arial" w:cs="Arial"/>
          <w:sz w:val="24"/>
          <w:szCs w:val="24"/>
        </w:rPr>
        <w:t xml:space="preserve"> ambition is</w:t>
      </w:r>
      <w:r w:rsidR="002A6BD6">
        <w:rPr>
          <w:rFonts w:ascii="Arial" w:hAnsi="Arial" w:cs="Arial"/>
          <w:sz w:val="24"/>
          <w:szCs w:val="24"/>
        </w:rPr>
        <w:t xml:space="preserve"> </w:t>
      </w:r>
      <w:r>
        <w:rPr>
          <w:rFonts w:ascii="Arial" w:hAnsi="Arial" w:cs="Arial"/>
          <w:sz w:val="24"/>
          <w:szCs w:val="24"/>
        </w:rPr>
        <w:t xml:space="preserve">to </w:t>
      </w:r>
      <w:r w:rsidR="004E29A5">
        <w:rPr>
          <w:rFonts w:ascii="Arial" w:hAnsi="Arial" w:cs="Arial"/>
          <w:sz w:val="24"/>
          <w:szCs w:val="24"/>
        </w:rPr>
        <w:t xml:space="preserve">rejuvenate home improvement retailing for the digital </w:t>
      </w:r>
      <w:r w:rsidR="00971F9D">
        <w:rPr>
          <w:rFonts w:ascii="Arial" w:hAnsi="Arial" w:cs="Arial"/>
          <w:sz w:val="24"/>
          <w:szCs w:val="24"/>
        </w:rPr>
        <w:t>age</w:t>
      </w:r>
      <w:r w:rsidR="004E29A5">
        <w:rPr>
          <w:rFonts w:ascii="Arial" w:hAnsi="Arial" w:cs="Arial"/>
          <w:sz w:val="24"/>
          <w:szCs w:val="24"/>
        </w:rPr>
        <w:t xml:space="preserve"> </w:t>
      </w:r>
      <w:r w:rsidRPr="00CF5C09">
        <w:rPr>
          <w:rFonts w:ascii="Arial" w:hAnsi="Arial" w:cs="Arial"/>
          <w:sz w:val="24"/>
          <w:szCs w:val="24"/>
        </w:rPr>
        <w:t xml:space="preserve">in the </w:t>
      </w:r>
      <w:r w:rsidR="00B51416" w:rsidRPr="00CF5C09">
        <w:rPr>
          <w:rFonts w:ascii="Arial" w:hAnsi="Arial" w:cs="Arial"/>
          <w:sz w:val="24"/>
          <w:szCs w:val="24"/>
        </w:rPr>
        <w:t>UK and Ireland as it evolves f</w:t>
      </w:r>
      <w:r w:rsidRPr="00CF5C09">
        <w:rPr>
          <w:rFonts w:ascii="Arial" w:hAnsi="Arial" w:cs="Arial"/>
          <w:sz w:val="24"/>
          <w:szCs w:val="24"/>
        </w:rPr>
        <w:t xml:space="preserve">rom </w:t>
      </w:r>
      <w:r w:rsidR="00B43EA0" w:rsidRPr="00CF5C09">
        <w:rPr>
          <w:rFonts w:ascii="Arial" w:hAnsi="Arial" w:cs="Arial"/>
          <w:sz w:val="24"/>
          <w:szCs w:val="24"/>
        </w:rPr>
        <w:t xml:space="preserve">the </w:t>
      </w:r>
      <w:r w:rsidRPr="00CF5C09">
        <w:rPr>
          <w:rFonts w:ascii="Arial" w:hAnsi="Arial" w:cs="Arial"/>
          <w:sz w:val="24"/>
          <w:szCs w:val="24"/>
        </w:rPr>
        <w:t xml:space="preserve">‘old retail’ </w:t>
      </w:r>
      <w:r w:rsidR="00B51416" w:rsidRPr="00CF5C09">
        <w:rPr>
          <w:rFonts w:ascii="Arial" w:hAnsi="Arial" w:cs="Arial"/>
          <w:sz w:val="24"/>
          <w:szCs w:val="24"/>
        </w:rPr>
        <w:t>world</w:t>
      </w:r>
      <w:r w:rsidR="00B43EA0" w:rsidRPr="00CF5C09">
        <w:rPr>
          <w:rFonts w:ascii="Arial" w:hAnsi="Arial" w:cs="Arial"/>
          <w:sz w:val="24"/>
          <w:szCs w:val="24"/>
        </w:rPr>
        <w:t xml:space="preserve"> </w:t>
      </w:r>
      <w:r w:rsidRPr="00CF5C09">
        <w:rPr>
          <w:rFonts w:ascii="Arial" w:hAnsi="Arial" w:cs="Arial"/>
          <w:sz w:val="24"/>
          <w:szCs w:val="24"/>
        </w:rPr>
        <w:t xml:space="preserve">to </w:t>
      </w:r>
      <w:r w:rsidR="00B51416" w:rsidRPr="00CF5C09">
        <w:rPr>
          <w:rFonts w:ascii="Arial" w:hAnsi="Arial" w:cs="Arial"/>
          <w:sz w:val="24"/>
          <w:szCs w:val="24"/>
        </w:rPr>
        <w:t xml:space="preserve">the </w:t>
      </w:r>
      <w:r w:rsidRPr="00CF5C09">
        <w:rPr>
          <w:rFonts w:ascii="Arial" w:hAnsi="Arial" w:cs="Arial"/>
          <w:sz w:val="24"/>
          <w:szCs w:val="24"/>
        </w:rPr>
        <w:t xml:space="preserve">‘new retail’ </w:t>
      </w:r>
      <w:r w:rsidR="00B51416" w:rsidRPr="00CF5C09">
        <w:rPr>
          <w:rFonts w:ascii="Arial" w:hAnsi="Arial" w:cs="Arial"/>
          <w:sz w:val="24"/>
          <w:szCs w:val="24"/>
        </w:rPr>
        <w:t>world</w:t>
      </w:r>
      <w:r w:rsidR="00BD040E">
        <w:rPr>
          <w:rFonts w:ascii="Arial" w:hAnsi="Arial" w:cs="Arial"/>
          <w:sz w:val="24"/>
          <w:szCs w:val="24"/>
        </w:rPr>
        <w:t>, combining the best of stores and digital</w:t>
      </w:r>
      <w:r w:rsidR="00935956">
        <w:rPr>
          <w:rFonts w:ascii="Arial" w:hAnsi="Arial" w:cs="Arial"/>
          <w:sz w:val="24"/>
          <w:szCs w:val="24"/>
        </w:rPr>
        <w:t>. The programme has</w:t>
      </w:r>
      <w:r w:rsidRPr="00CF5C09">
        <w:rPr>
          <w:rFonts w:ascii="Arial" w:hAnsi="Arial" w:cs="Arial"/>
          <w:sz w:val="24"/>
          <w:szCs w:val="24"/>
        </w:rPr>
        <w:t xml:space="preserve"> three</w:t>
      </w:r>
      <w:r>
        <w:rPr>
          <w:rFonts w:ascii="Arial" w:hAnsi="Arial" w:cs="Arial"/>
          <w:sz w:val="24"/>
          <w:szCs w:val="24"/>
        </w:rPr>
        <w:t xml:space="preserve"> major work streams </w:t>
      </w:r>
      <w:r w:rsidR="008A600D">
        <w:rPr>
          <w:rFonts w:ascii="Arial" w:hAnsi="Arial" w:cs="Arial"/>
          <w:sz w:val="24"/>
          <w:szCs w:val="24"/>
        </w:rPr>
        <w:t>which will</w:t>
      </w:r>
      <w:r w:rsidR="00CC7CFE">
        <w:rPr>
          <w:rFonts w:ascii="Arial" w:hAnsi="Arial" w:cs="Arial"/>
          <w:sz w:val="24"/>
          <w:szCs w:val="24"/>
        </w:rPr>
        <w:t xml:space="preserve"> take a number of years to implement due to th</w:t>
      </w:r>
      <w:r w:rsidR="008A600D">
        <w:rPr>
          <w:rFonts w:ascii="Arial" w:hAnsi="Arial" w:cs="Arial"/>
          <w:sz w:val="24"/>
          <w:szCs w:val="24"/>
        </w:rPr>
        <w:t>e scale of the store portfolio. These are detailed below together with milestones:</w:t>
      </w:r>
    </w:p>
    <w:p w:rsidR="00CC7CFE" w:rsidRDefault="00CC7CFE" w:rsidP="005A5910">
      <w:pPr>
        <w:jc w:val="left"/>
        <w:rPr>
          <w:rFonts w:ascii="Arial" w:hAnsi="Arial" w:cs="Arial"/>
          <w:sz w:val="24"/>
          <w:szCs w:val="24"/>
        </w:rPr>
      </w:pPr>
    </w:p>
    <w:p w:rsidR="00B51416" w:rsidRDefault="00B51416" w:rsidP="008A600D">
      <w:pPr>
        <w:pStyle w:val="ListParagraph"/>
        <w:numPr>
          <w:ilvl w:val="0"/>
          <w:numId w:val="31"/>
        </w:numPr>
        <w:jc w:val="left"/>
        <w:rPr>
          <w:rFonts w:ascii="Arial" w:hAnsi="Arial" w:cs="Arial"/>
          <w:sz w:val="24"/>
          <w:szCs w:val="24"/>
        </w:rPr>
      </w:pPr>
      <w:r w:rsidRPr="008A600D">
        <w:rPr>
          <w:rFonts w:ascii="Arial" w:hAnsi="Arial" w:cs="Arial"/>
          <w:sz w:val="24"/>
          <w:szCs w:val="24"/>
        </w:rPr>
        <w:t xml:space="preserve">Productivity – B&amp;Q </w:t>
      </w:r>
      <w:r w:rsidR="00B43EA0" w:rsidRPr="008A600D">
        <w:rPr>
          <w:rFonts w:ascii="Arial" w:hAnsi="Arial" w:cs="Arial"/>
          <w:sz w:val="24"/>
          <w:szCs w:val="24"/>
        </w:rPr>
        <w:t xml:space="preserve">aims to be </w:t>
      </w:r>
      <w:r w:rsidRPr="008A600D">
        <w:rPr>
          <w:rFonts w:ascii="Arial" w:hAnsi="Arial" w:cs="Arial"/>
          <w:sz w:val="24"/>
          <w:szCs w:val="24"/>
        </w:rPr>
        <w:t>a simpler</w:t>
      </w:r>
      <w:r w:rsidR="00B6381C" w:rsidRPr="008A600D">
        <w:rPr>
          <w:rFonts w:ascii="Arial" w:hAnsi="Arial" w:cs="Arial"/>
          <w:sz w:val="24"/>
          <w:szCs w:val="24"/>
        </w:rPr>
        <w:t>,</w:t>
      </w:r>
      <w:r w:rsidRPr="008A600D">
        <w:rPr>
          <w:rFonts w:ascii="Arial" w:hAnsi="Arial" w:cs="Arial"/>
          <w:sz w:val="24"/>
          <w:szCs w:val="24"/>
        </w:rPr>
        <w:t xml:space="preserve"> more efficient business with a lower cost operating model</w:t>
      </w:r>
      <w:r w:rsidR="00EA7EA6">
        <w:rPr>
          <w:rFonts w:ascii="Arial" w:hAnsi="Arial" w:cs="Arial"/>
          <w:sz w:val="24"/>
          <w:szCs w:val="24"/>
        </w:rPr>
        <w:t xml:space="preserve"> and with stores that are easier for customers to shop</w:t>
      </w:r>
      <w:r w:rsidRPr="008A600D">
        <w:rPr>
          <w:rFonts w:ascii="Arial" w:hAnsi="Arial" w:cs="Arial"/>
          <w:sz w:val="24"/>
          <w:szCs w:val="24"/>
        </w:rPr>
        <w:t xml:space="preserve">. </w:t>
      </w:r>
      <w:r w:rsidR="00B43EA0" w:rsidRPr="00B86161">
        <w:rPr>
          <w:rFonts w:ascii="Arial" w:hAnsi="Arial" w:cs="Arial"/>
          <w:sz w:val="24"/>
          <w:szCs w:val="24"/>
        </w:rPr>
        <w:t xml:space="preserve">This will </w:t>
      </w:r>
      <w:r w:rsidR="00B6381C" w:rsidRPr="00B86161">
        <w:rPr>
          <w:rFonts w:ascii="Arial" w:hAnsi="Arial" w:cs="Arial"/>
          <w:sz w:val="24"/>
          <w:szCs w:val="24"/>
        </w:rPr>
        <w:t>enhance its p</w:t>
      </w:r>
      <w:r w:rsidR="00B43EA0" w:rsidRPr="00B86161">
        <w:rPr>
          <w:rFonts w:ascii="Arial" w:hAnsi="Arial" w:cs="Arial"/>
          <w:sz w:val="24"/>
          <w:szCs w:val="24"/>
        </w:rPr>
        <w:t xml:space="preserve">ricing power to drive sales volumes </w:t>
      </w:r>
      <w:r w:rsidR="00B6381C" w:rsidRPr="00B86161">
        <w:rPr>
          <w:rFonts w:ascii="Arial" w:hAnsi="Arial" w:cs="Arial"/>
          <w:sz w:val="24"/>
          <w:szCs w:val="24"/>
        </w:rPr>
        <w:t xml:space="preserve">which in turn drives further efficiency and higher cash profit. </w:t>
      </w:r>
      <w:r w:rsidR="00366AD8" w:rsidRPr="00B86161">
        <w:rPr>
          <w:rFonts w:ascii="Arial" w:hAnsi="Arial" w:cs="Arial"/>
          <w:sz w:val="24"/>
          <w:szCs w:val="24"/>
        </w:rPr>
        <w:t>Various i</w:t>
      </w:r>
      <w:r w:rsidRPr="00B86161">
        <w:rPr>
          <w:rFonts w:ascii="Arial" w:hAnsi="Arial" w:cs="Arial"/>
          <w:sz w:val="24"/>
          <w:szCs w:val="24"/>
        </w:rPr>
        <w:t xml:space="preserve">nitiatives </w:t>
      </w:r>
      <w:r w:rsidR="00366AD8" w:rsidRPr="00B86161">
        <w:rPr>
          <w:rFonts w:ascii="Arial" w:hAnsi="Arial" w:cs="Arial"/>
          <w:sz w:val="24"/>
          <w:szCs w:val="24"/>
        </w:rPr>
        <w:t xml:space="preserve">will be </w:t>
      </w:r>
      <w:r w:rsidRPr="00B86161">
        <w:rPr>
          <w:rFonts w:ascii="Arial" w:hAnsi="Arial" w:cs="Arial"/>
          <w:sz w:val="24"/>
          <w:szCs w:val="24"/>
        </w:rPr>
        <w:t>introduced includ</w:t>
      </w:r>
      <w:r w:rsidR="00366AD8" w:rsidRPr="00B86161">
        <w:rPr>
          <w:rFonts w:ascii="Arial" w:hAnsi="Arial" w:cs="Arial"/>
          <w:sz w:val="24"/>
          <w:szCs w:val="24"/>
        </w:rPr>
        <w:t>ing ‘</w:t>
      </w:r>
      <w:r w:rsidRPr="00B86161">
        <w:rPr>
          <w:rFonts w:ascii="Arial" w:hAnsi="Arial" w:cs="Arial"/>
          <w:sz w:val="24"/>
          <w:szCs w:val="24"/>
        </w:rPr>
        <w:t>store friendly deliveries</w:t>
      </w:r>
      <w:r w:rsidR="00366AD8" w:rsidRPr="00B86161">
        <w:rPr>
          <w:rFonts w:ascii="Arial" w:hAnsi="Arial" w:cs="Arial"/>
          <w:sz w:val="24"/>
          <w:szCs w:val="24"/>
        </w:rPr>
        <w:t>’</w:t>
      </w:r>
      <w:r w:rsidRPr="00B86161">
        <w:rPr>
          <w:rFonts w:ascii="Arial" w:hAnsi="Arial" w:cs="Arial"/>
          <w:sz w:val="24"/>
          <w:szCs w:val="24"/>
        </w:rPr>
        <w:t xml:space="preserve"> </w:t>
      </w:r>
      <w:r w:rsidR="00F218E3">
        <w:rPr>
          <w:rFonts w:ascii="Arial" w:hAnsi="Arial" w:cs="Arial"/>
          <w:sz w:val="24"/>
          <w:szCs w:val="24"/>
        </w:rPr>
        <w:t xml:space="preserve">(making it quicker and easier for store staff to replenish) </w:t>
      </w:r>
      <w:r w:rsidRPr="00B86161">
        <w:rPr>
          <w:rFonts w:ascii="Arial" w:hAnsi="Arial" w:cs="Arial"/>
          <w:sz w:val="24"/>
          <w:szCs w:val="24"/>
        </w:rPr>
        <w:t xml:space="preserve">and </w:t>
      </w:r>
      <w:r w:rsidR="00F218E3">
        <w:rPr>
          <w:rFonts w:ascii="Arial" w:hAnsi="Arial" w:cs="Arial"/>
          <w:sz w:val="24"/>
          <w:szCs w:val="24"/>
        </w:rPr>
        <w:t>‘better</w:t>
      </w:r>
      <w:r w:rsidR="00203D6B">
        <w:rPr>
          <w:rFonts w:ascii="Arial" w:hAnsi="Arial" w:cs="Arial"/>
          <w:sz w:val="24"/>
          <w:szCs w:val="24"/>
        </w:rPr>
        <w:t xml:space="preserve"> labour scheduling’ (</w:t>
      </w:r>
      <w:r w:rsidR="00366AD8" w:rsidRPr="00B86161">
        <w:rPr>
          <w:rFonts w:ascii="Arial" w:hAnsi="Arial" w:cs="Arial"/>
          <w:sz w:val="24"/>
          <w:szCs w:val="24"/>
        </w:rPr>
        <w:t xml:space="preserve">in-store </w:t>
      </w:r>
      <w:r w:rsidRPr="00B86161">
        <w:rPr>
          <w:rFonts w:ascii="Arial" w:hAnsi="Arial" w:cs="Arial"/>
          <w:sz w:val="24"/>
          <w:szCs w:val="24"/>
        </w:rPr>
        <w:t xml:space="preserve">labour </w:t>
      </w:r>
      <w:r w:rsidR="00203D6B">
        <w:rPr>
          <w:rFonts w:ascii="Arial" w:hAnsi="Arial" w:cs="Arial"/>
          <w:sz w:val="24"/>
          <w:szCs w:val="24"/>
        </w:rPr>
        <w:t>hours better match</w:t>
      </w:r>
      <w:r w:rsidR="00534D45">
        <w:rPr>
          <w:rFonts w:ascii="Arial" w:hAnsi="Arial" w:cs="Arial"/>
          <w:sz w:val="24"/>
          <w:szCs w:val="24"/>
        </w:rPr>
        <w:t>ed to</w:t>
      </w:r>
      <w:r w:rsidR="00203D6B">
        <w:rPr>
          <w:rFonts w:ascii="Arial" w:hAnsi="Arial" w:cs="Arial"/>
          <w:sz w:val="24"/>
          <w:szCs w:val="24"/>
        </w:rPr>
        <w:t xml:space="preserve"> customer demand and delivery times)</w:t>
      </w:r>
      <w:r w:rsidRPr="00B86161">
        <w:rPr>
          <w:rFonts w:ascii="Arial" w:hAnsi="Arial" w:cs="Arial"/>
          <w:sz w:val="24"/>
          <w:szCs w:val="24"/>
        </w:rPr>
        <w:t xml:space="preserve">. </w:t>
      </w:r>
      <w:r w:rsidR="00366AD8" w:rsidRPr="00B86161">
        <w:rPr>
          <w:rFonts w:ascii="Arial" w:hAnsi="Arial" w:cs="Arial"/>
          <w:sz w:val="24"/>
          <w:szCs w:val="24"/>
        </w:rPr>
        <w:t>T</w:t>
      </w:r>
      <w:r w:rsidRPr="00B86161">
        <w:rPr>
          <w:rFonts w:ascii="Arial" w:hAnsi="Arial" w:cs="Arial"/>
          <w:sz w:val="24"/>
          <w:szCs w:val="24"/>
        </w:rPr>
        <w:t>rial</w:t>
      </w:r>
      <w:r w:rsidR="00366AD8" w:rsidRPr="00B86161">
        <w:rPr>
          <w:rFonts w:ascii="Arial" w:hAnsi="Arial" w:cs="Arial"/>
          <w:sz w:val="24"/>
          <w:szCs w:val="24"/>
        </w:rPr>
        <w:t xml:space="preserve">s start </w:t>
      </w:r>
      <w:r w:rsidRPr="00B86161">
        <w:rPr>
          <w:rFonts w:ascii="Arial" w:hAnsi="Arial" w:cs="Arial"/>
          <w:sz w:val="24"/>
          <w:szCs w:val="24"/>
        </w:rPr>
        <w:t>in H2 2014/15</w:t>
      </w:r>
      <w:r w:rsidR="000B2FB9">
        <w:rPr>
          <w:rFonts w:ascii="Arial" w:hAnsi="Arial" w:cs="Arial"/>
          <w:sz w:val="24"/>
          <w:szCs w:val="24"/>
        </w:rPr>
        <w:t>.</w:t>
      </w:r>
    </w:p>
    <w:p w:rsidR="00FB3294" w:rsidRPr="00B86161" w:rsidRDefault="00FB3294" w:rsidP="00D11391">
      <w:pPr>
        <w:pStyle w:val="ListParagraph"/>
        <w:jc w:val="left"/>
        <w:rPr>
          <w:rFonts w:ascii="Arial" w:hAnsi="Arial" w:cs="Arial"/>
          <w:sz w:val="24"/>
          <w:szCs w:val="24"/>
        </w:rPr>
      </w:pPr>
    </w:p>
    <w:p w:rsidR="00B51416" w:rsidRDefault="00B51416" w:rsidP="000B2FB9">
      <w:pPr>
        <w:pStyle w:val="ListParagraph"/>
        <w:numPr>
          <w:ilvl w:val="0"/>
          <w:numId w:val="31"/>
        </w:numPr>
        <w:jc w:val="left"/>
        <w:rPr>
          <w:rFonts w:ascii="Arial" w:hAnsi="Arial" w:cs="Arial"/>
          <w:sz w:val="24"/>
          <w:szCs w:val="24"/>
        </w:rPr>
      </w:pPr>
      <w:r w:rsidRPr="00B51416">
        <w:rPr>
          <w:rFonts w:ascii="Arial" w:hAnsi="Arial" w:cs="Arial"/>
          <w:sz w:val="24"/>
          <w:szCs w:val="24"/>
        </w:rPr>
        <w:t>Offer – B&amp;Q</w:t>
      </w:r>
      <w:r w:rsidR="00CC7CFE">
        <w:rPr>
          <w:rFonts w:ascii="Arial" w:hAnsi="Arial" w:cs="Arial"/>
          <w:sz w:val="24"/>
          <w:szCs w:val="24"/>
        </w:rPr>
        <w:t xml:space="preserve"> wants to offer customers great value, </w:t>
      </w:r>
      <w:r w:rsidR="00C33FE2">
        <w:rPr>
          <w:rFonts w:ascii="Arial" w:hAnsi="Arial" w:cs="Arial"/>
          <w:sz w:val="24"/>
          <w:szCs w:val="24"/>
        </w:rPr>
        <w:t>a tighter range</w:t>
      </w:r>
      <w:r w:rsidR="008A600D">
        <w:rPr>
          <w:rFonts w:ascii="Arial" w:hAnsi="Arial" w:cs="Arial"/>
          <w:sz w:val="24"/>
          <w:szCs w:val="24"/>
        </w:rPr>
        <w:t xml:space="preserve"> in store with greate</w:t>
      </w:r>
      <w:r w:rsidR="00CC7CFE">
        <w:rPr>
          <w:rFonts w:ascii="Arial" w:hAnsi="Arial" w:cs="Arial"/>
          <w:sz w:val="24"/>
          <w:szCs w:val="24"/>
        </w:rPr>
        <w:t>r project availability, and broader compl</w:t>
      </w:r>
      <w:r w:rsidR="008A600D">
        <w:rPr>
          <w:rFonts w:ascii="Arial" w:hAnsi="Arial" w:cs="Arial"/>
          <w:sz w:val="24"/>
          <w:szCs w:val="24"/>
        </w:rPr>
        <w:t>ementary</w:t>
      </w:r>
      <w:r w:rsidR="00CC7CFE">
        <w:rPr>
          <w:rFonts w:ascii="Arial" w:hAnsi="Arial" w:cs="Arial"/>
          <w:sz w:val="24"/>
          <w:szCs w:val="24"/>
        </w:rPr>
        <w:t xml:space="preserve"> ranges avail</w:t>
      </w:r>
      <w:r w:rsidR="008A600D">
        <w:rPr>
          <w:rFonts w:ascii="Arial" w:hAnsi="Arial" w:cs="Arial"/>
          <w:sz w:val="24"/>
          <w:szCs w:val="24"/>
        </w:rPr>
        <w:t>able</w:t>
      </w:r>
      <w:r w:rsidR="00CC7CFE">
        <w:rPr>
          <w:rFonts w:ascii="Arial" w:hAnsi="Arial" w:cs="Arial"/>
          <w:sz w:val="24"/>
          <w:szCs w:val="24"/>
        </w:rPr>
        <w:t xml:space="preserve"> on line. This wi</w:t>
      </w:r>
      <w:r w:rsidR="008A600D">
        <w:rPr>
          <w:rFonts w:ascii="Arial" w:hAnsi="Arial" w:cs="Arial"/>
          <w:sz w:val="24"/>
          <w:szCs w:val="24"/>
        </w:rPr>
        <w:t xml:space="preserve">ll be supported by </w:t>
      </w:r>
      <w:r w:rsidR="00C33FE2">
        <w:rPr>
          <w:rFonts w:ascii="Arial" w:hAnsi="Arial" w:cs="Arial"/>
          <w:sz w:val="24"/>
          <w:szCs w:val="24"/>
        </w:rPr>
        <w:t xml:space="preserve">better online content, </w:t>
      </w:r>
      <w:r w:rsidR="008A600D">
        <w:rPr>
          <w:rFonts w:ascii="Arial" w:hAnsi="Arial" w:cs="Arial"/>
          <w:sz w:val="24"/>
          <w:szCs w:val="24"/>
        </w:rPr>
        <w:t xml:space="preserve">best in class </w:t>
      </w:r>
      <w:r w:rsidR="00E057E9" w:rsidRPr="00E12754">
        <w:rPr>
          <w:rFonts w:ascii="Arial" w:hAnsi="Arial" w:cs="Arial"/>
          <w:sz w:val="24"/>
          <w:szCs w:val="24"/>
        </w:rPr>
        <w:t>‘</w:t>
      </w:r>
      <w:r w:rsidR="00E057E9" w:rsidRPr="00834B30">
        <w:rPr>
          <w:rFonts w:ascii="Arial" w:hAnsi="Arial" w:cs="Arial"/>
          <w:sz w:val="24"/>
          <w:szCs w:val="24"/>
        </w:rPr>
        <w:t>Click</w:t>
      </w:r>
      <w:r w:rsidR="00E057E9">
        <w:rPr>
          <w:rFonts w:ascii="Arial" w:hAnsi="Arial" w:cs="Arial"/>
          <w:sz w:val="24"/>
          <w:szCs w:val="24"/>
        </w:rPr>
        <w:t xml:space="preserve">, Pay &amp; Collect’ </w:t>
      </w:r>
      <w:r w:rsidR="008A600D">
        <w:rPr>
          <w:rFonts w:ascii="Arial" w:hAnsi="Arial" w:cs="Arial"/>
          <w:sz w:val="24"/>
          <w:szCs w:val="24"/>
        </w:rPr>
        <w:t>and home delivery.</w:t>
      </w:r>
      <w:r w:rsidR="00CC7CFE">
        <w:rPr>
          <w:rFonts w:ascii="Arial" w:hAnsi="Arial" w:cs="Arial"/>
          <w:sz w:val="24"/>
          <w:szCs w:val="24"/>
        </w:rPr>
        <w:t xml:space="preserve"> </w:t>
      </w:r>
      <w:r w:rsidR="00583882">
        <w:rPr>
          <w:rFonts w:ascii="Arial" w:hAnsi="Arial" w:cs="Arial"/>
          <w:sz w:val="24"/>
          <w:szCs w:val="24"/>
        </w:rPr>
        <w:t>Comprehensive t</w:t>
      </w:r>
      <w:r w:rsidR="000B2FB9">
        <w:rPr>
          <w:rFonts w:ascii="Arial" w:hAnsi="Arial" w:cs="Arial"/>
          <w:sz w:val="24"/>
          <w:szCs w:val="24"/>
        </w:rPr>
        <w:t xml:space="preserve">rials for 5 of our 19 categories will start in H2 2014/15 and will involve stock reduction. </w:t>
      </w:r>
      <w:r w:rsidR="00B43EA0" w:rsidRPr="00B86161">
        <w:rPr>
          <w:rFonts w:ascii="Arial" w:hAnsi="Arial" w:cs="Arial"/>
          <w:sz w:val="24"/>
          <w:szCs w:val="24"/>
        </w:rPr>
        <w:t xml:space="preserve">Of particular focus is the kitchen category where an improved </w:t>
      </w:r>
      <w:r w:rsidR="00C33FE2">
        <w:rPr>
          <w:rFonts w:ascii="Arial" w:hAnsi="Arial" w:cs="Arial"/>
          <w:sz w:val="24"/>
          <w:szCs w:val="24"/>
        </w:rPr>
        <w:t>‘Every Day Great Value’</w:t>
      </w:r>
      <w:r w:rsidR="00B43EA0" w:rsidRPr="00B86161">
        <w:rPr>
          <w:rFonts w:ascii="Arial" w:hAnsi="Arial" w:cs="Arial"/>
          <w:sz w:val="24"/>
          <w:szCs w:val="24"/>
        </w:rPr>
        <w:t xml:space="preserve"> message,</w:t>
      </w:r>
      <w:r w:rsidR="00C33FE2">
        <w:rPr>
          <w:rFonts w:ascii="Arial" w:hAnsi="Arial" w:cs="Arial"/>
          <w:sz w:val="24"/>
          <w:szCs w:val="24"/>
        </w:rPr>
        <w:t xml:space="preserve"> a</w:t>
      </w:r>
      <w:r w:rsidR="00B43EA0" w:rsidRPr="00B86161">
        <w:rPr>
          <w:rFonts w:ascii="Arial" w:hAnsi="Arial" w:cs="Arial"/>
          <w:sz w:val="24"/>
          <w:szCs w:val="24"/>
        </w:rPr>
        <w:t xml:space="preserve"> </w:t>
      </w:r>
      <w:r w:rsidR="00C33FE2">
        <w:rPr>
          <w:rFonts w:ascii="Arial" w:hAnsi="Arial" w:cs="Arial"/>
          <w:sz w:val="24"/>
          <w:szCs w:val="24"/>
        </w:rPr>
        <w:t>quicker</w:t>
      </w:r>
      <w:r w:rsidR="006B6F9D">
        <w:rPr>
          <w:rFonts w:ascii="Arial" w:hAnsi="Arial" w:cs="Arial"/>
          <w:sz w:val="24"/>
          <w:szCs w:val="24"/>
        </w:rPr>
        <w:t xml:space="preserve"> and easier</w:t>
      </w:r>
      <w:r w:rsidR="00B43EA0" w:rsidRPr="00B86161">
        <w:rPr>
          <w:rFonts w:ascii="Arial" w:hAnsi="Arial" w:cs="Arial"/>
          <w:sz w:val="24"/>
          <w:szCs w:val="24"/>
        </w:rPr>
        <w:t xml:space="preserve"> web based design tool</w:t>
      </w:r>
      <w:r w:rsidR="006B6F9D">
        <w:rPr>
          <w:rFonts w:ascii="Arial" w:hAnsi="Arial" w:cs="Arial"/>
          <w:sz w:val="24"/>
          <w:szCs w:val="24"/>
        </w:rPr>
        <w:t xml:space="preserve"> and </w:t>
      </w:r>
      <w:r w:rsidR="00B43EA0" w:rsidRPr="00B86161">
        <w:rPr>
          <w:rFonts w:ascii="Arial" w:hAnsi="Arial" w:cs="Arial"/>
          <w:sz w:val="24"/>
          <w:szCs w:val="24"/>
        </w:rPr>
        <w:t>a</w:t>
      </w:r>
      <w:r w:rsidR="006B6F9D">
        <w:rPr>
          <w:rFonts w:ascii="Arial" w:hAnsi="Arial" w:cs="Arial"/>
          <w:sz w:val="24"/>
          <w:szCs w:val="24"/>
        </w:rPr>
        <w:t xml:space="preserve"> significantly reduced</w:t>
      </w:r>
      <w:r w:rsidR="00B43EA0" w:rsidRPr="00B86161">
        <w:rPr>
          <w:rFonts w:ascii="Arial" w:hAnsi="Arial" w:cs="Arial"/>
          <w:sz w:val="24"/>
          <w:szCs w:val="24"/>
        </w:rPr>
        <w:t xml:space="preserve"> range </w:t>
      </w:r>
      <w:r w:rsidR="004E29A5">
        <w:rPr>
          <w:rFonts w:ascii="Arial" w:hAnsi="Arial" w:cs="Arial"/>
          <w:sz w:val="24"/>
          <w:szCs w:val="24"/>
        </w:rPr>
        <w:t xml:space="preserve">together with new choice </w:t>
      </w:r>
      <w:r w:rsidR="006B6F9D" w:rsidRPr="00B86161">
        <w:rPr>
          <w:rFonts w:ascii="Arial" w:hAnsi="Arial" w:cs="Arial"/>
          <w:sz w:val="24"/>
          <w:szCs w:val="24"/>
        </w:rPr>
        <w:t>is to be introduced</w:t>
      </w:r>
      <w:r w:rsidR="006B6F9D">
        <w:rPr>
          <w:rFonts w:ascii="Arial" w:hAnsi="Arial" w:cs="Arial"/>
          <w:sz w:val="24"/>
          <w:szCs w:val="24"/>
        </w:rPr>
        <w:t>.</w:t>
      </w:r>
    </w:p>
    <w:p w:rsidR="00FB3294" w:rsidRPr="00D11391" w:rsidRDefault="00FB3294" w:rsidP="00D11391">
      <w:pPr>
        <w:jc w:val="left"/>
        <w:rPr>
          <w:rFonts w:ascii="Arial" w:hAnsi="Arial" w:cs="Arial"/>
          <w:sz w:val="24"/>
          <w:szCs w:val="24"/>
        </w:rPr>
      </w:pPr>
    </w:p>
    <w:p w:rsidR="0086754F" w:rsidRPr="00F94705" w:rsidRDefault="00B6381C" w:rsidP="001F3AEA">
      <w:pPr>
        <w:pStyle w:val="ListParagraph"/>
        <w:numPr>
          <w:ilvl w:val="0"/>
          <w:numId w:val="31"/>
        </w:numPr>
        <w:jc w:val="left"/>
      </w:pPr>
      <w:r>
        <w:rPr>
          <w:rFonts w:ascii="Arial" w:hAnsi="Arial" w:cs="Arial"/>
          <w:sz w:val="24"/>
          <w:szCs w:val="24"/>
        </w:rPr>
        <w:t xml:space="preserve">Property </w:t>
      </w:r>
      <w:r w:rsidR="00D0733A">
        <w:rPr>
          <w:rFonts w:ascii="Arial" w:hAnsi="Arial" w:cs="Arial"/>
          <w:sz w:val="24"/>
          <w:szCs w:val="24"/>
        </w:rPr>
        <w:t>–</w:t>
      </w:r>
      <w:r>
        <w:rPr>
          <w:rFonts w:ascii="Arial" w:hAnsi="Arial" w:cs="Arial"/>
          <w:sz w:val="24"/>
          <w:szCs w:val="24"/>
        </w:rPr>
        <w:t xml:space="preserve"> </w:t>
      </w:r>
      <w:r w:rsidR="00D0733A">
        <w:rPr>
          <w:rFonts w:ascii="Arial" w:hAnsi="Arial" w:cs="Arial"/>
          <w:sz w:val="24"/>
          <w:szCs w:val="24"/>
        </w:rPr>
        <w:t xml:space="preserve">a detailed </w:t>
      </w:r>
      <w:r w:rsidRPr="00CF2D20">
        <w:rPr>
          <w:rFonts w:ascii="Arial" w:hAnsi="Arial" w:cs="Arial"/>
          <w:sz w:val="24"/>
          <w:szCs w:val="24"/>
        </w:rPr>
        <w:t>catchment</w:t>
      </w:r>
      <w:r w:rsidR="00D0733A">
        <w:rPr>
          <w:rFonts w:ascii="Arial" w:hAnsi="Arial" w:cs="Arial"/>
          <w:sz w:val="24"/>
          <w:szCs w:val="24"/>
        </w:rPr>
        <w:t xml:space="preserve"> review has confirmed th</w:t>
      </w:r>
      <w:r w:rsidR="00F719FC">
        <w:rPr>
          <w:rFonts w:ascii="Arial" w:hAnsi="Arial" w:cs="Arial"/>
          <w:sz w:val="24"/>
          <w:szCs w:val="24"/>
        </w:rPr>
        <w:t xml:space="preserve">at B&amp;Q can adequately meet local customer needs from </w:t>
      </w:r>
      <w:r w:rsidRPr="00CF2D20">
        <w:rPr>
          <w:rFonts w:ascii="Arial" w:hAnsi="Arial" w:cs="Arial"/>
          <w:sz w:val="24"/>
          <w:szCs w:val="24"/>
        </w:rPr>
        <w:t xml:space="preserve">fewer stores and </w:t>
      </w:r>
      <w:r w:rsidR="00D0733A">
        <w:rPr>
          <w:rFonts w:ascii="Arial" w:hAnsi="Arial" w:cs="Arial"/>
          <w:sz w:val="24"/>
          <w:szCs w:val="24"/>
        </w:rPr>
        <w:t>that some of stores</w:t>
      </w:r>
      <w:r w:rsidR="00F719FC">
        <w:rPr>
          <w:rFonts w:ascii="Arial" w:hAnsi="Arial" w:cs="Arial"/>
          <w:sz w:val="24"/>
          <w:szCs w:val="24"/>
        </w:rPr>
        <w:t xml:space="preserve"> </w:t>
      </w:r>
      <w:r w:rsidR="00D0733A">
        <w:rPr>
          <w:rFonts w:ascii="Arial" w:hAnsi="Arial" w:cs="Arial"/>
          <w:sz w:val="24"/>
          <w:szCs w:val="24"/>
        </w:rPr>
        <w:t xml:space="preserve">could </w:t>
      </w:r>
      <w:r w:rsidR="00F719FC">
        <w:rPr>
          <w:rFonts w:ascii="Arial" w:hAnsi="Arial" w:cs="Arial"/>
          <w:sz w:val="24"/>
          <w:szCs w:val="24"/>
        </w:rPr>
        <w:t xml:space="preserve">be </w:t>
      </w:r>
      <w:r w:rsidR="00D0733A">
        <w:rPr>
          <w:rFonts w:ascii="Arial" w:hAnsi="Arial" w:cs="Arial"/>
          <w:sz w:val="24"/>
          <w:szCs w:val="24"/>
        </w:rPr>
        <w:t xml:space="preserve">smaller. </w:t>
      </w:r>
      <w:r w:rsidR="00DC7F4E">
        <w:rPr>
          <w:rFonts w:ascii="Arial" w:hAnsi="Arial" w:cs="Arial"/>
          <w:sz w:val="24"/>
          <w:szCs w:val="24"/>
        </w:rPr>
        <w:t xml:space="preserve">The shape of the store portfolio is changing but this does </w:t>
      </w:r>
      <w:r w:rsidR="00D0733A">
        <w:rPr>
          <w:rFonts w:ascii="Arial" w:hAnsi="Arial" w:cs="Arial"/>
          <w:sz w:val="24"/>
          <w:szCs w:val="24"/>
        </w:rPr>
        <w:t xml:space="preserve">take time as </w:t>
      </w:r>
      <w:r w:rsidR="00F719FC">
        <w:rPr>
          <w:rFonts w:ascii="Arial" w:hAnsi="Arial" w:cs="Arial"/>
          <w:sz w:val="24"/>
          <w:szCs w:val="24"/>
        </w:rPr>
        <w:t xml:space="preserve">around </w:t>
      </w:r>
      <w:r w:rsidRPr="00C0194C">
        <w:rPr>
          <w:rFonts w:ascii="Arial" w:hAnsi="Arial" w:cs="Arial"/>
          <w:sz w:val="24"/>
          <w:szCs w:val="24"/>
        </w:rPr>
        <w:t>90% of our stores are on long</w:t>
      </w:r>
      <w:r w:rsidR="00EA7EA6">
        <w:rPr>
          <w:rFonts w:ascii="Arial" w:hAnsi="Arial" w:cs="Arial"/>
          <w:sz w:val="24"/>
          <w:szCs w:val="24"/>
        </w:rPr>
        <w:t xml:space="preserve"> </w:t>
      </w:r>
      <w:r w:rsidRPr="00C0194C">
        <w:rPr>
          <w:rFonts w:ascii="Arial" w:hAnsi="Arial" w:cs="Arial"/>
          <w:sz w:val="24"/>
          <w:szCs w:val="24"/>
        </w:rPr>
        <w:t xml:space="preserve">term institutional leases with average lease </w:t>
      </w:r>
      <w:r w:rsidRPr="00C0194C">
        <w:rPr>
          <w:rFonts w:ascii="Arial" w:hAnsi="Arial" w:cs="Arial"/>
          <w:sz w:val="24"/>
          <w:szCs w:val="24"/>
        </w:rPr>
        <w:lastRenderedPageBreak/>
        <w:t>lengths remaining of around 8 years</w:t>
      </w:r>
      <w:r>
        <w:rPr>
          <w:rFonts w:ascii="Arial" w:hAnsi="Arial" w:cs="Arial"/>
          <w:sz w:val="24"/>
          <w:szCs w:val="24"/>
        </w:rPr>
        <w:t xml:space="preserve">. </w:t>
      </w:r>
      <w:r w:rsidRPr="00C0194C">
        <w:rPr>
          <w:rFonts w:ascii="Arial" w:hAnsi="Arial" w:cs="Arial"/>
          <w:sz w:val="24"/>
          <w:szCs w:val="24"/>
        </w:rPr>
        <w:t xml:space="preserve">The </w:t>
      </w:r>
      <w:r w:rsidR="00F719FC">
        <w:rPr>
          <w:rFonts w:ascii="Arial" w:hAnsi="Arial" w:cs="Arial"/>
          <w:sz w:val="24"/>
          <w:szCs w:val="24"/>
        </w:rPr>
        <w:t xml:space="preserve">property </w:t>
      </w:r>
      <w:r w:rsidRPr="00C0194C">
        <w:rPr>
          <w:rFonts w:ascii="Arial" w:hAnsi="Arial" w:cs="Arial"/>
          <w:sz w:val="24"/>
          <w:szCs w:val="24"/>
        </w:rPr>
        <w:t>work stream involves two phases:</w:t>
      </w:r>
    </w:p>
    <w:p w:rsidR="00633192" w:rsidRDefault="00F94705" w:rsidP="00A00E8B">
      <w:pPr>
        <w:ind w:left="1440"/>
        <w:jc w:val="left"/>
        <w:rPr>
          <w:rFonts w:ascii="Arial" w:hAnsi="Arial" w:cs="Arial"/>
          <w:sz w:val="24"/>
          <w:szCs w:val="24"/>
        </w:rPr>
      </w:pPr>
      <w:r w:rsidRPr="00C0194C">
        <w:rPr>
          <w:rFonts w:ascii="Arial" w:hAnsi="Arial" w:cs="Arial"/>
          <w:i/>
          <w:sz w:val="24"/>
          <w:szCs w:val="24"/>
        </w:rPr>
        <w:t>Phase 1 Right Size Right Place</w:t>
      </w:r>
      <w:r w:rsidR="00633192" w:rsidRPr="00C0194C">
        <w:rPr>
          <w:rFonts w:ascii="Arial" w:hAnsi="Arial" w:cs="Arial"/>
          <w:sz w:val="24"/>
          <w:szCs w:val="24"/>
        </w:rPr>
        <w:t xml:space="preserve"> – </w:t>
      </w:r>
      <w:r w:rsidR="007B34AD">
        <w:rPr>
          <w:rFonts w:ascii="Arial" w:hAnsi="Arial" w:cs="Arial"/>
          <w:sz w:val="24"/>
          <w:szCs w:val="24"/>
        </w:rPr>
        <w:t>th</w:t>
      </w:r>
      <w:r w:rsidR="00D0733A">
        <w:rPr>
          <w:rFonts w:ascii="Arial" w:hAnsi="Arial" w:cs="Arial"/>
          <w:sz w:val="24"/>
          <w:szCs w:val="24"/>
        </w:rPr>
        <w:t xml:space="preserve">is phase started last year and the first </w:t>
      </w:r>
      <w:r w:rsidR="006402FE">
        <w:rPr>
          <w:rFonts w:ascii="Arial" w:hAnsi="Arial" w:cs="Arial"/>
          <w:sz w:val="24"/>
          <w:szCs w:val="24"/>
        </w:rPr>
        <w:t>right</w:t>
      </w:r>
      <w:r w:rsidR="00DC7F4E">
        <w:rPr>
          <w:rFonts w:ascii="Arial" w:hAnsi="Arial" w:cs="Arial"/>
          <w:sz w:val="24"/>
          <w:szCs w:val="24"/>
        </w:rPr>
        <w:t>size</w:t>
      </w:r>
      <w:r w:rsidR="00D0733A">
        <w:rPr>
          <w:rFonts w:ascii="Arial" w:hAnsi="Arial" w:cs="Arial"/>
          <w:sz w:val="24"/>
          <w:szCs w:val="24"/>
        </w:rPr>
        <w:t xml:space="preserve"> was a success. The s</w:t>
      </w:r>
      <w:r w:rsidR="00633192">
        <w:rPr>
          <w:rFonts w:ascii="Arial" w:hAnsi="Arial" w:cs="Arial"/>
          <w:sz w:val="24"/>
          <w:szCs w:val="24"/>
        </w:rPr>
        <w:t xml:space="preserve">tore </w:t>
      </w:r>
      <w:r w:rsidR="00D0733A">
        <w:rPr>
          <w:rFonts w:ascii="Arial" w:hAnsi="Arial" w:cs="Arial"/>
          <w:sz w:val="24"/>
          <w:szCs w:val="24"/>
        </w:rPr>
        <w:t xml:space="preserve">was </w:t>
      </w:r>
      <w:r w:rsidR="00633192">
        <w:rPr>
          <w:rFonts w:ascii="Arial" w:hAnsi="Arial" w:cs="Arial"/>
          <w:sz w:val="24"/>
          <w:szCs w:val="24"/>
        </w:rPr>
        <w:t>reduced in size by 50%</w:t>
      </w:r>
      <w:r w:rsidR="00D0733A">
        <w:rPr>
          <w:rFonts w:ascii="Arial" w:hAnsi="Arial" w:cs="Arial"/>
          <w:sz w:val="24"/>
          <w:szCs w:val="24"/>
        </w:rPr>
        <w:t xml:space="preserve"> and </w:t>
      </w:r>
      <w:r w:rsidR="00633192">
        <w:rPr>
          <w:rFonts w:ascii="Arial" w:hAnsi="Arial" w:cs="Arial"/>
          <w:sz w:val="24"/>
          <w:szCs w:val="24"/>
        </w:rPr>
        <w:t>sales densit</w:t>
      </w:r>
      <w:r w:rsidR="00D0733A">
        <w:rPr>
          <w:rFonts w:ascii="Arial" w:hAnsi="Arial" w:cs="Arial"/>
          <w:sz w:val="24"/>
          <w:szCs w:val="24"/>
        </w:rPr>
        <w:t xml:space="preserve">ies </w:t>
      </w:r>
      <w:r w:rsidR="00633192">
        <w:rPr>
          <w:rFonts w:ascii="Arial" w:hAnsi="Arial" w:cs="Arial"/>
          <w:sz w:val="24"/>
          <w:szCs w:val="24"/>
        </w:rPr>
        <w:t>improve</w:t>
      </w:r>
      <w:r w:rsidR="00D0733A">
        <w:rPr>
          <w:rFonts w:ascii="Arial" w:hAnsi="Arial" w:cs="Arial"/>
          <w:sz w:val="24"/>
          <w:szCs w:val="24"/>
        </w:rPr>
        <w:t xml:space="preserve">d by </w:t>
      </w:r>
      <w:r w:rsidR="00633192">
        <w:rPr>
          <w:rFonts w:ascii="Arial" w:hAnsi="Arial" w:cs="Arial"/>
          <w:sz w:val="24"/>
          <w:szCs w:val="24"/>
        </w:rPr>
        <w:t>70%</w:t>
      </w:r>
      <w:r w:rsidR="00D0733A">
        <w:rPr>
          <w:rFonts w:ascii="Arial" w:hAnsi="Arial" w:cs="Arial"/>
          <w:sz w:val="24"/>
          <w:szCs w:val="24"/>
        </w:rPr>
        <w:t>. A further</w:t>
      </w:r>
      <w:r w:rsidR="00096A54">
        <w:rPr>
          <w:rFonts w:ascii="Arial" w:hAnsi="Arial" w:cs="Arial"/>
          <w:sz w:val="24"/>
          <w:szCs w:val="24"/>
        </w:rPr>
        <w:t xml:space="preserve"> 17 large stores were earmarked for rightsizing and </w:t>
      </w:r>
      <w:r w:rsidR="00583882">
        <w:rPr>
          <w:rFonts w:ascii="Arial" w:hAnsi="Arial" w:cs="Arial"/>
          <w:sz w:val="24"/>
          <w:szCs w:val="24"/>
        </w:rPr>
        <w:t xml:space="preserve">required planning permission. </w:t>
      </w:r>
      <w:r w:rsidR="00096A54">
        <w:rPr>
          <w:rFonts w:ascii="Arial" w:hAnsi="Arial" w:cs="Arial"/>
          <w:sz w:val="24"/>
          <w:szCs w:val="24"/>
        </w:rPr>
        <w:t>So far two have been granted permission and two have been denied. We now anticipate that of the original batch of 18 store</w:t>
      </w:r>
      <w:r w:rsidR="000B2FB9">
        <w:rPr>
          <w:rFonts w:ascii="Arial" w:hAnsi="Arial" w:cs="Arial"/>
          <w:sz w:val="24"/>
          <w:szCs w:val="24"/>
        </w:rPr>
        <w:t>s</w:t>
      </w:r>
      <w:r w:rsidR="00096A54">
        <w:rPr>
          <w:rFonts w:ascii="Arial" w:hAnsi="Arial" w:cs="Arial"/>
          <w:sz w:val="24"/>
          <w:szCs w:val="24"/>
        </w:rPr>
        <w:t xml:space="preserve"> around 8 will complete</w:t>
      </w:r>
      <w:r w:rsidR="00A43DA9">
        <w:rPr>
          <w:rFonts w:ascii="Arial" w:hAnsi="Arial" w:cs="Arial"/>
          <w:sz w:val="24"/>
          <w:szCs w:val="24"/>
        </w:rPr>
        <w:t xml:space="preserve">, </w:t>
      </w:r>
      <w:r w:rsidR="00A43DA9" w:rsidRPr="00FB61DA">
        <w:rPr>
          <w:rFonts w:ascii="Arial" w:hAnsi="Arial" w:cs="Arial"/>
          <w:sz w:val="24"/>
          <w:szCs w:val="24"/>
        </w:rPr>
        <w:t>largely due to planning issues leading to lapse</w:t>
      </w:r>
      <w:r w:rsidR="00A43DA9">
        <w:rPr>
          <w:rFonts w:ascii="Arial" w:hAnsi="Arial" w:cs="Arial"/>
          <w:sz w:val="24"/>
          <w:szCs w:val="24"/>
        </w:rPr>
        <w:t>.</w:t>
      </w:r>
      <w:r w:rsidR="00096A54">
        <w:rPr>
          <w:rFonts w:ascii="Arial" w:hAnsi="Arial" w:cs="Arial"/>
          <w:sz w:val="24"/>
          <w:szCs w:val="24"/>
        </w:rPr>
        <w:t xml:space="preserve"> These 8 will </w:t>
      </w:r>
      <w:r w:rsidR="00633192">
        <w:rPr>
          <w:rFonts w:ascii="Arial" w:hAnsi="Arial" w:cs="Arial"/>
          <w:sz w:val="24"/>
          <w:szCs w:val="24"/>
        </w:rPr>
        <w:t xml:space="preserve">represent </w:t>
      </w:r>
      <w:r w:rsidR="00096A54">
        <w:rPr>
          <w:rFonts w:ascii="Arial" w:hAnsi="Arial" w:cs="Arial"/>
          <w:sz w:val="24"/>
          <w:szCs w:val="24"/>
        </w:rPr>
        <w:t xml:space="preserve">a reduction in B&amp;Q’s total space of </w:t>
      </w:r>
      <w:r w:rsidR="00633192">
        <w:rPr>
          <w:rFonts w:ascii="Arial" w:hAnsi="Arial" w:cs="Arial"/>
          <w:sz w:val="24"/>
          <w:szCs w:val="24"/>
        </w:rPr>
        <w:t xml:space="preserve">2% </w:t>
      </w:r>
      <w:r w:rsidR="00096A54">
        <w:rPr>
          <w:rFonts w:ascii="Arial" w:hAnsi="Arial" w:cs="Arial"/>
          <w:sz w:val="24"/>
          <w:szCs w:val="24"/>
        </w:rPr>
        <w:t xml:space="preserve">and a </w:t>
      </w:r>
      <w:r w:rsidR="00633192">
        <w:rPr>
          <w:rFonts w:ascii="Arial" w:hAnsi="Arial" w:cs="Arial"/>
          <w:sz w:val="24"/>
          <w:szCs w:val="24"/>
        </w:rPr>
        <w:t>reduction of around £50 million to lease adjusted debt</w:t>
      </w:r>
      <w:r w:rsidR="00096A54">
        <w:rPr>
          <w:rFonts w:ascii="Arial" w:hAnsi="Arial" w:cs="Arial"/>
          <w:sz w:val="24"/>
          <w:szCs w:val="24"/>
        </w:rPr>
        <w:t>.</w:t>
      </w:r>
    </w:p>
    <w:p w:rsidR="00096A54" w:rsidRDefault="00096A54" w:rsidP="00A00E8B">
      <w:pPr>
        <w:jc w:val="left"/>
        <w:rPr>
          <w:rFonts w:ascii="Arial" w:hAnsi="Arial" w:cs="Arial"/>
          <w:sz w:val="24"/>
          <w:szCs w:val="24"/>
        </w:rPr>
      </w:pPr>
    </w:p>
    <w:p w:rsidR="00B23E5F" w:rsidRDefault="00633192" w:rsidP="00A00E8B">
      <w:pPr>
        <w:ind w:left="1440"/>
        <w:jc w:val="left"/>
        <w:rPr>
          <w:rFonts w:ascii="Arial" w:hAnsi="Arial" w:cs="Arial"/>
          <w:sz w:val="24"/>
          <w:szCs w:val="24"/>
        </w:rPr>
      </w:pPr>
      <w:r w:rsidRPr="00C0194C">
        <w:rPr>
          <w:rFonts w:ascii="Arial" w:hAnsi="Arial" w:cs="Arial"/>
          <w:i/>
          <w:sz w:val="24"/>
          <w:szCs w:val="24"/>
        </w:rPr>
        <w:t>Phase 2 Catchment Analysis</w:t>
      </w:r>
      <w:r w:rsidR="00096A54">
        <w:rPr>
          <w:rFonts w:ascii="Arial" w:hAnsi="Arial" w:cs="Arial"/>
          <w:i/>
          <w:sz w:val="24"/>
          <w:szCs w:val="24"/>
        </w:rPr>
        <w:t xml:space="preserve"> - </w:t>
      </w:r>
      <w:r>
        <w:rPr>
          <w:rFonts w:ascii="Arial" w:hAnsi="Arial" w:cs="Arial"/>
          <w:sz w:val="24"/>
          <w:szCs w:val="24"/>
        </w:rPr>
        <w:t xml:space="preserve">a mixture of </w:t>
      </w:r>
      <w:r w:rsidR="00096A54">
        <w:rPr>
          <w:rFonts w:ascii="Arial" w:hAnsi="Arial" w:cs="Arial"/>
          <w:sz w:val="24"/>
          <w:szCs w:val="24"/>
        </w:rPr>
        <w:t xml:space="preserve">store </w:t>
      </w:r>
      <w:r>
        <w:rPr>
          <w:rFonts w:ascii="Arial" w:hAnsi="Arial" w:cs="Arial"/>
          <w:sz w:val="24"/>
          <w:szCs w:val="24"/>
        </w:rPr>
        <w:t>closures, further rightsizes</w:t>
      </w:r>
      <w:r w:rsidR="00096A54">
        <w:rPr>
          <w:rFonts w:ascii="Arial" w:hAnsi="Arial" w:cs="Arial"/>
          <w:sz w:val="24"/>
          <w:szCs w:val="24"/>
        </w:rPr>
        <w:t xml:space="preserve"> and targeted reinvestment. Trials will commence next year</w:t>
      </w:r>
      <w:r w:rsidR="00F719FC">
        <w:rPr>
          <w:rFonts w:ascii="Arial" w:hAnsi="Arial" w:cs="Arial"/>
          <w:sz w:val="24"/>
          <w:szCs w:val="24"/>
        </w:rPr>
        <w:t>.</w:t>
      </w:r>
    </w:p>
    <w:p w:rsidR="00B23E5F" w:rsidRDefault="00B23E5F" w:rsidP="00C0194C">
      <w:pPr>
        <w:rPr>
          <w:rFonts w:ascii="Arial" w:hAnsi="Arial" w:cs="Arial"/>
          <w:sz w:val="24"/>
          <w:szCs w:val="24"/>
        </w:rPr>
      </w:pPr>
    </w:p>
    <w:p w:rsidR="004162BB" w:rsidRDefault="00A43DA9" w:rsidP="00C0194C">
      <w:pPr>
        <w:jc w:val="left"/>
        <w:rPr>
          <w:rFonts w:ascii="Arial" w:hAnsi="Arial" w:cs="Arial"/>
          <w:b/>
          <w:sz w:val="24"/>
          <w:szCs w:val="24"/>
        </w:rPr>
      </w:pPr>
      <w:r>
        <w:rPr>
          <w:rFonts w:ascii="Arial" w:hAnsi="Arial" w:cs="Arial"/>
          <w:b/>
          <w:sz w:val="24"/>
          <w:szCs w:val="24"/>
        </w:rPr>
        <w:t>B&amp;Q e</w:t>
      </w:r>
      <w:r w:rsidR="004D3D5C" w:rsidRPr="00C0194C">
        <w:rPr>
          <w:rFonts w:ascii="Arial" w:hAnsi="Arial" w:cs="Arial"/>
          <w:b/>
          <w:sz w:val="24"/>
          <w:szCs w:val="24"/>
        </w:rPr>
        <w:t>xceptional charges</w:t>
      </w:r>
      <w:r w:rsidR="004162BB" w:rsidRPr="00C0194C">
        <w:rPr>
          <w:rFonts w:ascii="Arial" w:hAnsi="Arial" w:cs="Arial"/>
          <w:b/>
          <w:sz w:val="24"/>
          <w:szCs w:val="24"/>
        </w:rPr>
        <w:t xml:space="preserve"> and benefits </w:t>
      </w:r>
    </w:p>
    <w:p w:rsidR="007B34AD" w:rsidRPr="00C0194C" w:rsidRDefault="007B34AD" w:rsidP="00C0194C">
      <w:pPr>
        <w:jc w:val="left"/>
        <w:rPr>
          <w:rFonts w:ascii="Arial" w:hAnsi="Arial" w:cs="Arial"/>
          <w:b/>
          <w:sz w:val="24"/>
          <w:szCs w:val="24"/>
        </w:rPr>
      </w:pPr>
    </w:p>
    <w:p w:rsidR="004328E3" w:rsidRDefault="004328E3" w:rsidP="004328E3">
      <w:pPr>
        <w:jc w:val="left"/>
        <w:rPr>
          <w:rFonts w:ascii="Arial" w:hAnsi="Arial" w:cs="Arial"/>
          <w:sz w:val="24"/>
          <w:szCs w:val="24"/>
        </w:rPr>
      </w:pPr>
      <w:r>
        <w:rPr>
          <w:rFonts w:ascii="Arial" w:hAnsi="Arial" w:cs="Arial"/>
          <w:sz w:val="24"/>
          <w:szCs w:val="24"/>
        </w:rPr>
        <w:t>Productivity and Property Phase 1 work streams</w:t>
      </w:r>
      <w:r w:rsidR="002C22BB">
        <w:rPr>
          <w:rFonts w:ascii="Arial" w:hAnsi="Arial" w:cs="Arial"/>
          <w:sz w:val="24"/>
          <w:szCs w:val="24"/>
        </w:rPr>
        <w:t>, as detailed above,</w:t>
      </w:r>
      <w:r>
        <w:rPr>
          <w:rFonts w:ascii="Arial" w:hAnsi="Arial" w:cs="Arial"/>
          <w:sz w:val="24"/>
          <w:szCs w:val="24"/>
        </w:rPr>
        <w:t xml:space="preserve"> </w:t>
      </w:r>
      <w:r w:rsidR="002C22BB">
        <w:rPr>
          <w:rFonts w:ascii="Arial" w:hAnsi="Arial" w:cs="Arial"/>
          <w:sz w:val="24"/>
          <w:szCs w:val="24"/>
        </w:rPr>
        <w:t xml:space="preserve">give rise to exceptional charges </w:t>
      </w:r>
      <w:r w:rsidR="007B34AD">
        <w:rPr>
          <w:rFonts w:ascii="Arial" w:hAnsi="Arial" w:cs="Arial"/>
          <w:sz w:val="24"/>
          <w:szCs w:val="24"/>
        </w:rPr>
        <w:t>for the</w:t>
      </w:r>
      <w:r>
        <w:rPr>
          <w:rFonts w:ascii="Arial" w:hAnsi="Arial" w:cs="Arial"/>
          <w:sz w:val="24"/>
          <w:szCs w:val="24"/>
        </w:rPr>
        <w:t xml:space="preserve"> first two years</w:t>
      </w:r>
      <w:r w:rsidR="002C22BB">
        <w:rPr>
          <w:rFonts w:ascii="Arial" w:hAnsi="Arial" w:cs="Arial"/>
          <w:sz w:val="24"/>
          <w:szCs w:val="24"/>
        </w:rPr>
        <w:t xml:space="preserve"> as follows</w:t>
      </w:r>
      <w:r>
        <w:rPr>
          <w:rFonts w:ascii="Arial" w:hAnsi="Arial" w:cs="Arial"/>
          <w:sz w:val="24"/>
          <w:szCs w:val="24"/>
        </w:rPr>
        <w:t>:</w:t>
      </w:r>
    </w:p>
    <w:p w:rsidR="002C22BB" w:rsidRDefault="002C22BB" w:rsidP="004328E3">
      <w:pPr>
        <w:jc w:val="left"/>
        <w:rPr>
          <w:rFonts w:ascii="Arial" w:hAnsi="Arial" w:cs="Arial"/>
          <w:sz w:val="24"/>
          <w:szCs w:val="24"/>
        </w:rPr>
      </w:pPr>
    </w:p>
    <w:p w:rsidR="004328E3" w:rsidRDefault="004328E3" w:rsidP="00C0194C">
      <w:pPr>
        <w:pStyle w:val="ListParagraph"/>
        <w:numPr>
          <w:ilvl w:val="0"/>
          <w:numId w:val="25"/>
        </w:numPr>
        <w:ind w:left="1491" w:hanging="357"/>
        <w:jc w:val="left"/>
        <w:rPr>
          <w:rFonts w:ascii="Arial" w:hAnsi="Arial" w:cs="Arial"/>
          <w:sz w:val="24"/>
          <w:szCs w:val="24"/>
        </w:rPr>
      </w:pPr>
      <w:r>
        <w:rPr>
          <w:rFonts w:ascii="Arial" w:hAnsi="Arial" w:cs="Arial"/>
          <w:sz w:val="24"/>
          <w:szCs w:val="24"/>
        </w:rPr>
        <w:t>FY 2014/15: t</w:t>
      </w:r>
      <w:r w:rsidR="00B23E5F">
        <w:rPr>
          <w:rFonts w:ascii="Arial" w:hAnsi="Arial" w:cs="Arial"/>
          <w:sz w:val="24"/>
          <w:szCs w:val="24"/>
        </w:rPr>
        <w:t xml:space="preserve">he </w:t>
      </w:r>
      <w:r w:rsidR="007B34AD">
        <w:rPr>
          <w:rFonts w:ascii="Arial" w:hAnsi="Arial" w:cs="Arial"/>
          <w:sz w:val="24"/>
          <w:szCs w:val="24"/>
        </w:rPr>
        <w:t xml:space="preserve">net exceptional charge is expected to be around </w:t>
      </w:r>
      <w:r w:rsidR="004162BB">
        <w:rPr>
          <w:rFonts w:ascii="Arial" w:hAnsi="Arial" w:cs="Arial"/>
          <w:sz w:val="24"/>
          <w:szCs w:val="24"/>
        </w:rPr>
        <w:t>£1 million</w:t>
      </w:r>
      <w:r w:rsidR="002C22BB">
        <w:rPr>
          <w:rFonts w:ascii="Arial" w:hAnsi="Arial" w:cs="Arial"/>
          <w:sz w:val="24"/>
          <w:szCs w:val="24"/>
        </w:rPr>
        <w:t xml:space="preserve"> after the</w:t>
      </w:r>
      <w:r w:rsidR="006E5CD9">
        <w:rPr>
          <w:rFonts w:ascii="Arial" w:hAnsi="Arial" w:cs="Arial"/>
          <w:sz w:val="24"/>
          <w:szCs w:val="24"/>
        </w:rPr>
        <w:t xml:space="preserve"> £16 million profit on</w:t>
      </w:r>
      <w:r w:rsidR="002C22BB">
        <w:rPr>
          <w:rFonts w:ascii="Arial" w:hAnsi="Arial" w:cs="Arial"/>
          <w:sz w:val="24"/>
          <w:szCs w:val="24"/>
        </w:rPr>
        <w:t xml:space="preserve"> disposal of the first store (Belvedere) as part of the Property Phase 1 work stream</w:t>
      </w:r>
      <w:r w:rsidR="004162BB">
        <w:rPr>
          <w:rFonts w:ascii="Arial" w:hAnsi="Arial" w:cs="Arial"/>
          <w:sz w:val="24"/>
          <w:szCs w:val="24"/>
        </w:rPr>
        <w:t xml:space="preserve">. </w:t>
      </w:r>
    </w:p>
    <w:p w:rsidR="004328E3" w:rsidRDefault="004328E3" w:rsidP="00C0194C">
      <w:pPr>
        <w:jc w:val="left"/>
        <w:rPr>
          <w:rFonts w:ascii="Arial" w:hAnsi="Arial" w:cs="Arial"/>
          <w:sz w:val="24"/>
          <w:szCs w:val="24"/>
        </w:rPr>
      </w:pPr>
    </w:p>
    <w:p w:rsidR="004328E3" w:rsidRDefault="004328E3" w:rsidP="00C0194C">
      <w:pPr>
        <w:pStyle w:val="ListParagraph"/>
        <w:numPr>
          <w:ilvl w:val="0"/>
          <w:numId w:val="25"/>
        </w:numPr>
        <w:ind w:left="1491" w:hanging="357"/>
        <w:jc w:val="left"/>
        <w:rPr>
          <w:rFonts w:ascii="Arial" w:hAnsi="Arial" w:cs="Arial"/>
          <w:sz w:val="24"/>
          <w:szCs w:val="24"/>
        </w:rPr>
      </w:pPr>
      <w:r>
        <w:rPr>
          <w:rFonts w:ascii="Arial" w:hAnsi="Arial" w:cs="Arial"/>
          <w:sz w:val="24"/>
          <w:szCs w:val="24"/>
        </w:rPr>
        <w:t>FY</w:t>
      </w:r>
      <w:r w:rsidR="00472079">
        <w:rPr>
          <w:rFonts w:ascii="Arial" w:hAnsi="Arial" w:cs="Arial"/>
          <w:sz w:val="24"/>
          <w:szCs w:val="24"/>
        </w:rPr>
        <w:t xml:space="preserve"> </w:t>
      </w:r>
      <w:r>
        <w:rPr>
          <w:rFonts w:ascii="Arial" w:hAnsi="Arial" w:cs="Arial"/>
          <w:sz w:val="24"/>
          <w:szCs w:val="24"/>
        </w:rPr>
        <w:t>2015/16: t</w:t>
      </w:r>
      <w:r w:rsidR="004162BB">
        <w:rPr>
          <w:rFonts w:ascii="Arial" w:hAnsi="Arial" w:cs="Arial"/>
          <w:sz w:val="24"/>
          <w:szCs w:val="24"/>
        </w:rPr>
        <w:t xml:space="preserve">he </w:t>
      </w:r>
      <w:r w:rsidR="007B34AD">
        <w:rPr>
          <w:rFonts w:ascii="Arial" w:hAnsi="Arial" w:cs="Arial"/>
          <w:sz w:val="24"/>
          <w:szCs w:val="24"/>
        </w:rPr>
        <w:t xml:space="preserve">net </w:t>
      </w:r>
      <w:r w:rsidR="004162BB">
        <w:rPr>
          <w:rFonts w:ascii="Arial" w:hAnsi="Arial" w:cs="Arial"/>
          <w:sz w:val="24"/>
          <w:szCs w:val="24"/>
        </w:rPr>
        <w:t>ex</w:t>
      </w:r>
      <w:r w:rsidR="007B34AD">
        <w:rPr>
          <w:rFonts w:ascii="Arial" w:hAnsi="Arial" w:cs="Arial"/>
          <w:sz w:val="24"/>
          <w:szCs w:val="24"/>
        </w:rPr>
        <w:t xml:space="preserve">ceptional charge </w:t>
      </w:r>
      <w:r w:rsidR="004162BB">
        <w:rPr>
          <w:rFonts w:ascii="Arial" w:hAnsi="Arial" w:cs="Arial"/>
          <w:sz w:val="24"/>
          <w:szCs w:val="24"/>
        </w:rPr>
        <w:t>is exp</w:t>
      </w:r>
      <w:r>
        <w:rPr>
          <w:rFonts w:ascii="Arial" w:hAnsi="Arial" w:cs="Arial"/>
          <w:sz w:val="24"/>
          <w:szCs w:val="24"/>
        </w:rPr>
        <w:t>ected to be around £14 million</w:t>
      </w:r>
      <w:r w:rsidR="00AC7A95">
        <w:rPr>
          <w:rFonts w:ascii="Arial" w:hAnsi="Arial" w:cs="Arial"/>
          <w:sz w:val="24"/>
          <w:szCs w:val="24"/>
        </w:rPr>
        <w:t>.</w:t>
      </w:r>
    </w:p>
    <w:p w:rsidR="007B34AD" w:rsidRPr="00C0194C" w:rsidRDefault="007B34AD" w:rsidP="00C0194C">
      <w:pPr>
        <w:jc w:val="left"/>
        <w:rPr>
          <w:rFonts w:ascii="Arial" w:hAnsi="Arial" w:cs="Arial"/>
          <w:sz w:val="24"/>
          <w:szCs w:val="24"/>
        </w:rPr>
      </w:pPr>
    </w:p>
    <w:p w:rsidR="002C22BB" w:rsidRDefault="00AC7A95" w:rsidP="002C22BB">
      <w:pPr>
        <w:jc w:val="left"/>
        <w:rPr>
          <w:rFonts w:ascii="Arial" w:hAnsi="Arial" w:cs="Arial"/>
          <w:sz w:val="24"/>
          <w:szCs w:val="24"/>
        </w:rPr>
      </w:pPr>
      <w:r>
        <w:rPr>
          <w:rFonts w:ascii="Arial" w:hAnsi="Arial" w:cs="Arial"/>
          <w:sz w:val="24"/>
          <w:szCs w:val="24"/>
        </w:rPr>
        <w:t xml:space="preserve">The projects are expected to deliver discounted paybacks of less than 18 months. </w:t>
      </w:r>
      <w:r w:rsidR="002C22BB">
        <w:rPr>
          <w:rFonts w:ascii="Arial" w:hAnsi="Arial" w:cs="Arial"/>
          <w:sz w:val="24"/>
          <w:szCs w:val="24"/>
        </w:rPr>
        <w:t xml:space="preserve">The benefits will be invested back in the business, largely into the ‘Offer’ work stream. From a cash perspective, the plans over the next two years are expected to be broadly self-funding. </w:t>
      </w:r>
    </w:p>
    <w:p w:rsidR="002C22BB" w:rsidRDefault="002C22BB" w:rsidP="002C22BB">
      <w:pPr>
        <w:jc w:val="left"/>
        <w:rPr>
          <w:rFonts w:ascii="Arial" w:hAnsi="Arial" w:cs="Arial"/>
          <w:sz w:val="24"/>
          <w:szCs w:val="24"/>
        </w:rPr>
      </w:pPr>
    </w:p>
    <w:p w:rsidR="002C22BB" w:rsidRDefault="002C22BB" w:rsidP="00C0194C">
      <w:pPr>
        <w:jc w:val="left"/>
        <w:rPr>
          <w:rFonts w:ascii="Arial" w:hAnsi="Arial" w:cs="Arial"/>
          <w:sz w:val="24"/>
          <w:szCs w:val="24"/>
        </w:rPr>
      </w:pPr>
      <w:r>
        <w:rPr>
          <w:rFonts w:ascii="Arial" w:hAnsi="Arial" w:cs="Arial"/>
          <w:sz w:val="24"/>
          <w:szCs w:val="24"/>
        </w:rPr>
        <w:t>These exceptional charges and benefits do not include the Offer and Property Phase 2 work streams, further details of which will be provided</w:t>
      </w:r>
      <w:r w:rsidR="00AC7A95">
        <w:rPr>
          <w:rFonts w:ascii="Arial" w:hAnsi="Arial" w:cs="Arial"/>
          <w:sz w:val="24"/>
          <w:szCs w:val="24"/>
        </w:rPr>
        <w:t>.</w:t>
      </w:r>
      <w:r>
        <w:rPr>
          <w:rFonts w:ascii="Arial" w:hAnsi="Arial" w:cs="Arial"/>
          <w:sz w:val="24"/>
          <w:szCs w:val="24"/>
        </w:rPr>
        <w:t xml:space="preserve"> </w:t>
      </w:r>
    </w:p>
    <w:p w:rsidR="002C22BB" w:rsidRDefault="002C22BB" w:rsidP="00C0194C">
      <w:pPr>
        <w:jc w:val="left"/>
        <w:rPr>
          <w:rFonts w:ascii="Arial" w:hAnsi="Arial" w:cs="Arial"/>
          <w:sz w:val="24"/>
          <w:szCs w:val="24"/>
        </w:rPr>
      </w:pPr>
    </w:p>
    <w:p w:rsidR="00DC31EF" w:rsidRPr="00B86161" w:rsidRDefault="00DC31EF" w:rsidP="00C0194C">
      <w:pPr>
        <w:jc w:val="left"/>
        <w:rPr>
          <w:rFonts w:ascii="Arial" w:hAnsi="Arial" w:cs="Arial"/>
          <w:i/>
          <w:sz w:val="24"/>
          <w:szCs w:val="24"/>
        </w:rPr>
      </w:pPr>
    </w:p>
    <w:p w:rsidR="00DC31EF" w:rsidRPr="00B86161" w:rsidRDefault="00DC31EF" w:rsidP="00B86161">
      <w:pPr>
        <w:pStyle w:val="ListParagraph"/>
        <w:numPr>
          <w:ilvl w:val="0"/>
          <w:numId w:val="32"/>
        </w:numPr>
        <w:jc w:val="left"/>
        <w:rPr>
          <w:rFonts w:ascii="Arial" w:hAnsi="Arial" w:cs="Arial"/>
          <w:sz w:val="18"/>
          <w:szCs w:val="18"/>
        </w:rPr>
      </w:pPr>
      <w:r w:rsidRPr="00B86161">
        <w:rPr>
          <w:rFonts w:ascii="Arial" w:hAnsi="Arial" w:cs="Arial"/>
          <w:i/>
          <w:sz w:val="18"/>
          <w:szCs w:val="18"/>
        </w:rPr>
        <w:t>As per Kingfisher estimates – BCG commissioned report</w:t>
      </w:r>
    </w:p>
    <w:p w:rsidR="00B23E5F" w:rsidRPr="00C0194C" w:rsidRDefault="00B23E5F" w:rsidP="00C0194C">
      <w:pPr>
        <w:ind w:left="1134"/>
        <w:jc w:val="left"/>
        <w:rPr>
          <w:rFonts w:ascii="Arial" w:hAnsi="Arial" w:cs="Arial"/>
          <w:sz w:val="24"/>
          <w:szCs w:val="24"/>
        </w:rPr>
      </w:pPr>
    </w:p>
    <w:p w:rsidR="00775EC2" w:rsidRDefault="00775EC2">
      <w:pPr>
        <w:jc w:val="left"/>
        <w:rPr>
          <w:rFonts w:ascii="Arial" w:hAnsi="Arial" w:cs="Arial"/>
          <w:b/>
          <w:bCs/>
          <w:sz w:val="24"/>
          <w:szCs w:val="24"/>
        </w:rPr>
      </w:pPr>
      <w:r>
        <w:rPr>
          <w:rFonts w:ascii="Arial" w:hAnsi="Arial" w:cs="Arial"/>
          <w:b/>
          <w:bCs/>
          <w:sz w:val="24"/>
          <w:szCs w:val="24"/>
        </w:rPr>
        <w:br w:type="page"/>
      </w:r>
    </w:p>
    <w:p w:rsidR="001B3B55" w:rsidRPr="00EB1DC5" w:rsidRDefault="001B3B55" w:rsidP="001B3B55">
      <w:pPr>
        <w:jc w:val="left"/>
        <w:rPr>
          <w:rFonts w:ascii="Arial" w:hAnsi="Arial" w:cs="Arial"/>
          <w:b/>
          <w:bCs/>
          <w:sz w:val="24"/>
          <w:szCs w:val="24"/>
          <w:highlight w:val="magenta"/>
        </w:rPr>
      </w:pPr>
      <w:r w:rsidRPr="00EB1DC5">
        <w:rPr>
          <w:rFonts w:ascii="Arial" w:hAnsi="Arial" w:cs="Arial"/>
          <w:b/>
          <w:bCs/>
          <w:sz w:val="24"/>
          <w:szCs w:val="24"/>
        </w:rPr>
        <w:lastRenderedPageBreak/>
        <w:t>OTHER INTERNATIONAL</w:t>
      </w:r>
      <w:r w:rsidR="00E652D5">
        <w:rPr>
          <w:rFonts w:ascii="Arial" w:hAnsi="Arial" w:cs="Arial"/>
          <w:b/>
          <w:bCs/>
          <w:sz w:val="24"/>
          <w:szCs w:val="24"/>
        </w:rPr>
        <w:t>*</w:t>
      </w:r>
    </w:p>
    <w:p w:rsidR="00E74FC5" w:rsidRPr="00620EAB" w:rsidRDefault="00E74FC5" w:rsidP="00E74FC5">
      <w:pPr>
        <w:rPr>
          <w:rFonts w:ascii="Arial" w:hAnsi="Arial" w:cs="Arial"/>
          <w:b/>
          <w:bCs/>
          <w:sz w:val="24"/>
          <w:szCs w:val="24"/>
          <w:highlight w:val="magenta"/>
        </w:rPr>
      </w:pPr>
    </w:p>
    <w:p w:rsidR="00DE4AA8" w:rsidRDefault="00DE4AA8">
      <w:pPr>
        <w:jc w:val="left"/>
        <w:rPr>
          <w:rFonts w:ascii="Arial" w:hAnsi="Arial" w:cs="Arial"/>
          <w:i/>
          <w:iCs/>
          <w:sz w:val="18"/>
          <w:szCs w:val="18"/>
        </w:rPr>
      </w:pPr>
    </w:p>
    <w:tbl>
      <w:tblPr>
        <w:tblW w:w="4839" w:type="pct"/>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86"/>
        <w:gridCol w:w="1230"/>
        <w:gridCol w:w="1407"/>
        <w:gridCol w:w="1585"/>
        <w:gridCol w:w="1583"/>
        <w:gridCol w:w="1230"/>
      </w:tblGrid>
      <w:tr w:rsidR="00DE4AA8" w:rsidRPr="00620EAB" w:rsidTr="0084730E">
        <w:trPr>
          <w:trHeight w:val="134"/>
        </w:trPr>
        <w:tc>
          <w:tcPr>
            <w:tcW w:w="1226" w:type="pct"/>
            <w:tcBorders>
              <w:top w:val="single" w:sz="4" w:space="0" w:color="auto"/>
            </w:tcBorders>
          </w:tcPr>
          <w:p w:rsidR="00DE4AA8" w:rsidRPr="00620EAB" w:rsidRDefault="00DE4AA8" w:rsidP="0084730E">
            <w:pPr>
              <w:rPr>
                <w:rFonts w:ascii="Arial" w:hAnsi="Arial" w:cs="Arial"/>
                <w:b/>
                <w:bCs/>
                <w:sz w:val="24"/>
                <w:szCs w:val="24"/>
              </w:rPr>
            </w:pPr>
            <w:r w:rsidRPr="00620EAB">
              <w:rPr>
                <w:rFonts w:ascii="Arial" w:hAnsi="Arial" w:cs="Arial"/>
                <w:b/>
                <w:bCs/>
                <w:sz w:val="24"/>
                <w:szCs w:val="24"/>
              </w:rPr>
              <w:t>Sales £m</w:t>
            </w:r>
          </w:p>
        </w:tc>
        <w:tc>
          <w:tcPr>
            <w:tcW w:w="660" w:type="pct"/>
            <w:tcBorders>
              <w:top w:val="single" w:sz="4" w:space="0" w:color="auto"/>
            </w:tcBorders>
          </w:tcPr>
          <w:p w:rsidR="00DE4AA8" w:rsidRPr="00620EAB" w:rsidRDefault="00DE4AA8" w:rsidP="0084730E">
            <w:pPr>
              <w:jc w:val="right"/>
              <w:rPr>
                <w:rFonts w:ascii="Arial" w:hAnsi="Arial" w:cs="Arial"/>
                <w:b/>
                <w:bCs/>
                <w:sz w:val="24"/>
                <w:szCs w:val="24"/>
              </w:rPr>
            </w:pPr>
            <w:r>
              <w:rPr>
                <w:rFonts w:ascii="Arial" w:hAnsi="Arial" w:cs="Arial"/>
                <w:b/>
                <w:bCs/>
                <w:sz w:val="24"/>
                <w:szCs w:val="24"/>
              </w:rPr>
              <w:t>2014/15</w:t>
            </w:r>
          </w:p>
        </w:tc>
        <w:tc>
          <w:tcPr>
            <w:tcW w:w="755" w:type="pct"/>
            <w:tcBorders>
              <w:top w:val="single" w:sz="4" w:space="0" w:color="auto"/>
            </w:tcBorders>
          </w:tcPr>
          <w:p w:rsidR="00DE4AA8" w:rsidRPr="00620EAB" w:rsidRDefault="00DE4AA8" w:rsidP="0084730E">
            <w:pPr>
              <w:jc w:val="right"/>
              <w:rPr>
                <w:rFonts w:ascii="Arial" w:hAnsi="Arial" w:cs="Arial"/>
                <w:b/>
                <w:bCs/>
                <w:sz w:val="24"/>
                <w:szCs w:val="24"/>
              </w:rPr>
            </w:pPr>
            <w:r w:rsidRPr="00620EAB">
              <w:rPr>
                <w:rFonts w:ascii="Arial" w:hAnsi="Arial" w:cs="Arial"/>
                <w:b/>
                <w:bCs/>
                <w:sz w:val="24"/>
                <w:szCs w:val="24"/>
              </w:rPr>
              <w:t>2013/14</w:t>
            </w:r>
          </w:p>
        </w:tc>
        <w:tc>
          <w:tcPr>
            <w:tcW w:w="850" w:type="pct"/>
            <w:tcBorders>
              <w:top w:val="single" w:sz="4" w:space="0" w:color="auto"/>
            </w:tcBorders>
          </w:tcPr>
          <w:p w:rsidR="00DE4AA8" w:rsidRDefault="00DE4AA8" w:rsidP="0084730E">
            <w:pPr>
              <w:jc w:val="right"/>
              <w:rPr>
                <w:rFonts w:ascii="Arial" w:hAnsi="Arial" w:cs="Arial"/>
                <w:b/>
                <w:bCs/>
                <w:sz w:val="24"/>
                <w:szCs w:val="24"/>
              </w:rPr>
            </w:pPr>
            <w:r w:rsidRPr="00620EAB">
              <w:rPr>
                <w:rFonts w:ascii="Arial" w:hAnsi="Arial" w:cs="Arial"/>
                <w:b/>
                <w:bCs/>
                <w:sz w:val="24"/>
                <w:szCs w:val="24"/>
              </w:rPr>
              <w:t xml:space="preserve">% </w:t>
            </w:r>
            <w:r>
              <w:rPr>
                <w:rFonts w:ascii="Arial" w:hAnsi="Arial" w:cs="Arial"/>
                <w:b/>
                <w:bCs/>
                <w:sz w:val="24"/>
                <w:szCs w:val="24"/>
              </w:rPr>
              <w:t xml:space="preserve">Total Change </w:t>
            </w:r>
            <w:r w:rsidRPr="00620EAB">
              <w:rPr>
                <w:rFonts w:ascii="Arial" w:hAnsi="Arial" w:cs="Arial"/>
                <w:b/>
                <w:bCs/>
                <w:sz w:val="24"/>
                <w:szCs w:val="24"/>
              </w:rPr>
              <w:t>Reported</w:t>
            </w:r>
          </w:p>
          <w:p w:rsidR="00DE4AA8" w:rsidRPr="00620EAB" w:rsidRDefault="00DE4AA8" w:rsidP="0084730E">
            <w:pPr>
              <w:jc w:val="right"/>
              <w:rPr>
                <w:rFonts w:ascii="Arial" w:hAnsi="Arial" w:cs="Arial"/>
                <w:b/>
                <w:bCs/>
                <w:sz w:val="24"/>
                <w:szCs w:val="24"/>
              </w:rPr>
            </w:pPr>
          </w:p>
        </w:tc>
        <w:tc>
          <w:tcPr>
            <w:tcW w:w="849" w:type="pct"/>
            <w:tcBorders>
              <w:top w:val="single" w:sz="4" w:space="0" w:color="auto"/>
            </w:tcBorders>
          </w:tcPr>
          <w:p w:rsidR="00DE4AA8" w:rsidRDefault="00DE4AA8" w:rsidP="0084730E">
            <w:pPr>
              <w:jc w:val="right"/>
              <w:rPr>
                <w:rFonts w:ascii="Arial" w:hAnsi="Arial" w:cs="Arial"/>
                <w:b/>
                <w:bCs/>
                <w:sz w:val="24"/>
                <w:szCs w:val="24"/>
              </w:rPr>
            </w:pPr>
            <w:r w:rsidRPr="00620EAB">
              <w:rPr>
                <w:rFonts w:ascii="Arial" w:hAnsi="Arial" w:cs="Arial"/>
                <w:b/>
                <w:bCs/>
                <w:sz w:val="24"/>
                <w:szCs w:val="24"/>
              </w:rPr>
              <w:t xml:space="preserve">% </w:t>
            </w:r>
            <w:r>
              <w:rPr>
                <w:rFonts w:ascii="Arial" w:hAnsi="Arial" w:cs="Arial"/>
                <w:b/>
                <w:bCs/>
                <w:sz w:val="24"/>
                <w:szCs w:val="24"/>
              </w:rPr>
              <w:t>Total Change Currency</w:t>
            </w:r>
          </w:p>
          <w:p w:rsidR="00DE4AA8" w:rsidRPr="00620EAB" w:rsidRDefault="00DE4AA8" w:rsidP="0084730E">
            <w:pPr>
              <w:jc w:val="right"/>
              <w:rPr>
                <w:rFonts w:ascii="Arial" w:hAnsi="Arial" w:cs="Arial"/>
                <w:b/>
                <w:bCs/>
                <w:sz w:val="24"/>
                <w:szCs w:val="24"/>
              </w:rPr>
            </w:pPr>
            <w:r>
              <w:rPr>
                <w:rFonts w:ascii="Arial" w:hAnsi="Arial" w:cs="Arial"/>
                <w:b/>
                <w:bCs/>
                <w:sz w:val="24"/>
                <w:szCs w:val="24"/>
              </w:rPr>
              <w:t>C</w:t>
            </w:r>
            <w:r w:rsidRPr="00620EAB">
              <w:rPr>
                <w:rFonts w:ascii="Arial" w:hAnsi="Arial" w:cs="Arial"/>
                <w:b/>
                <w:bCs/>
                <w:sz w:val="24"/>
                <w:szCs w:val="24"/>
              </w:rPr>
              <w:t xml:space="preserve">onstant </w:t>
            </w:r>
          </w:p>
        </w:tc>
        <w:tc>
          <w:tcPr>
            <w:tcW w:w="660" w:type="pct"/>
            <w:tcBorders>
              <w:top w:val="single" w:sz="4" w:space="0" w:color="auto"/>
            </w:tcBorders>
          </w:tcPr>
          <w:p w:rsidR="00DE4AA8" w:rsidRPr="00620EAB" w:rsidRDefault="00DE4AA8" w:rsidP="0084730E">
            <w:pPr>
              <w:jc w:val="right"/>
              <w:rPr>
                <w:rFonts w:ascii="Arial" w:hAnsi="Arial" w:cs="Arial"/>
                <w:b/>
                <w:bCs/>
                <w:sz w:val="24"/>
                <w:szCs w:val="24"/>
              </w:rPr>
            </w:pPr>
            <w:r w:rsidRPr="00620EAB">
              <w:rPr>
                <w:rFonts w:ascii="Arial" w:hAnsi="Arial" w:cs="Arial"/>
                <w:b/>
                <w:bCs/>
                <w:sz w:val="24"/>
                <w:szCs w:val="24"/>
              </w:rPr>
              <w:t>% LFL</w:t>
            </w:r>
          </w:p>
          <w:p w:rsidR="00DE4AA8" w:rsidRPr="00620EAB" w:rsidRDefault="00DE4AA8" w:rsidP="0084730E">
            <w:pPr>
              <w:jc w:val="right"/>
              <w:rPr>
                <w:rFonts w:ascii="Arial" w:hAnsi="Arial" w:cs="Arial"/>
                <w:b/>
                <w:bCs/>
                <w:sz w:val="24"/>
                <w:szCs w:val="24"/>
              </w:rPr>
            </w:pPr>
            <w:r w:rsidRPr="00620EAB">
              <w:rPr>
                <w:rFonts w:ascii="Arial" w:hAnsi="Arial" w:cs="Arial"/>
                <w:b/>
                <w:bCs/>
                <w:sz w:val="24"/>
                <w:szCs w:val="24"/>
              </w:rPr>
              <w:t>Change</w:t>
            </w:r>
          </w:p>
        </w:tc>
      </w:tr>
      <w:tr w:rsidR="00DE4AA8" w:rsidRPr="00620EAB" w:rsidTr="0084730E">
        <w:trPr>
          <w:trHeight w:val="134"/>
        </w:trPr>
        <w:tc>
          <w:tcPr>
            <w:tcW w:w="1226" w:type="pct"/>
            <w:tcBorders>
              <w:bottom w:val="single" w:sz="4" w:space="0" w:color="auto"/>
            </w:tcBorders>
          </w:tcPr>
          <w:p w:rsidR="00DE4AA8" w:rsidRPr="00620EAB" w:rsidRDefault="00DE4AA8" w:rsidP="0084730E">
            <w:pPr>
              <w:rPr>
                <w:rFonts w:ascii="Arial" w:hAnsi="Arial" w:cs="Arial"/>
                <w:sz w:val="24"/>
                <w:szCs w:val="24"/>
              </w:rPr>
            </w:pPr>
            <w:r w:rsidRPr="00620EAB">
              <w:rPr>
                <w:rFonts w:ascii="Arial" w:hAnsi="Arial" w:cs="Arial"/>
                <w:sz w:val="24"/>
                <w:szCs w:val="24"/>
              </w:rPr>
              <w:t>Other International</w:t>
            </w:r>
          </w:p>
        </w:tc>
        <w:tc>
          <w:tcPr>
            <w:tcW w:w="660" w:type="pct"/>
            <w:tcBorders>
              <w:bottom w:val="single" w:sz="4" w:space="0" w:color="auto"/>
            </w:tcBorders>
          </w:tcPr>
          <w:p w:rsidR="00DE4AA8" w:rsidRPr="00620EAB" w:rsidRDefault="00DE4AA8" w:rsidP="0084730E">
            <w:pPr>
              <w:jc w:val="right"/>
              <w:rPr>
                <w:rFonts w:ascii="Arial" w:hAnsi="Arial" w:cs="Arial"/>
                <w:sz w:val="24"/>
                <w:szCs w:val="24"/>
              </w:rPr>
            </w:pPr>
            <w:r>
              <w:rPr>
                <w:rFonts w:ascii="Arial" w:hAnsi="Arial" w:cs="Arial"/>
                <w:sz w:val="24"/>
                <w:szCs w:val="24"/>
              </w:rPr>
              <w:t>1,144</w:t>
            </w:r>
          </w:p>
        </w:tc>
        <w:tc>
          <w:tcPr>
            <w:tcW w:w="755" w:type="pct"/>
            <w:tcBorders>
              <w:bottom w:val="single" w:sz="4" w:space="0" w:color="auto"/>
            </w:tcBorders>
          </w:tcPr>
          <w:p w:rsidR="00DE4AA8" w:rsidRPr="00620EAB" w:rsidRDefault="00DE4AA8" w:rsidP="0084730E">
            <w:pPr>
              <w:jc w:val="right"/>
              <w:rPr>
                <w:rFonts w:ascii="Arial" w:hAnsi="Arial" w:cs="Arial"/>
                <w:sz w:val="24"/>
                <w:szCs w:val="24"/>
              </w:rPr>
            </w:pPr>
            <w:r w:rsidRPr="00620EAB">
              <w:rPr>
                <w:rFonts w:ascii="Arial" w:hAnsi="Arial" w:cs="Arial"/>
                <w:sz w:val="24"/>
                <w:szCs w:val="24"/>
              </w:rPr>
              <w:t>1,140</w:t>
            </w:r>
          </w:p>
        </w:tc>
        <w:tc>
          <w:tcPr>
            <w:tcW w:w="850" w:type="pct"/>
            <w:tcBorders>
              <w:bottom w:val="single" w:sz="4" w:space="0" w:color="auto"/>
            </w:tcBorders>
          </w:tcPr>
          <w:p w:rsidR="00DE4AA8" w:rsidRPr="00620EAB" w:rsidRDefault="00DE4AA8" w:rsidP="0084730E">
            <w:pPr>
              <w:jc w:val="right"/>
              <w:rPr>
                <w:rFonts w:ascii="Arial" w:hAnsi="Arial" w:cs="Arial"/>
                <w:sz w:val="24"/>
                <w:szCs w:val="24"/>
              </w:rPr>
            </w:pPr>
            <w:r>
              <w:rPr>
                <w:rFonts w:ascii="Arial" w:hAnsi="Arial" w:cs="Arial"/>
                <w:sz w:val="24"/>
                <w:szCs w:val="24"/>
              </w:rPr>
              <w:t>+0.3%</w:t>
            </w:r>
          </w:p>
        </w:tc>
        <w:tc>
          <w:tcPr>
            <w:tcW w:w="849" w:type="pct"/>
            <w:tcBorders>
              <w:bottom w:val="single" w:sz="4" w:space="0" w:color="auto"/>
            </w:tcBorders>
          </w:tcPr>
          <w:p w:rsidR="00DE4AA8" w:rsidRPr="00620EAB" w:rsidRDefault="00DE4AA8" w:rsidP="0084730E">
            <w:pPr>
              <w:jc w:val="right"/>
              <w:rPr>
                <w:rFonts w:ascii="Arial" w:hAnsi="Arial" w:cs="Arial"/>
                <w:sz w:val="24"/>
                <w:szCs w:val="24"/>
              </w:rPr>
            </w:pPr>
            <w:r>
              <w:rPr>
                <w:rFonts w:ascii="Arial" w:hAnsi="Arial" w:cs="Arial"/>
                <w:sz w:val="24"/>
                <w:szCs w:val="24"/>
              </w:rPr>
              <w:t>+8.8%</w:t>
            </w:r>
          </w:p>
        </w:tc>
        <w:tc>
          <w:tcPr>
            <w:tcW w:w="660" w:type="pct"/>
            <w:tcBorders>
              <w:bottom w:val="single" w:sz="4" w:space="0" w:color="auto"/>
            </w:tcBorders>
          </w:tcPr>
          <w:p w:rsidR="00DE4AA8" w:rsidRPr="00620EAB" w:rsidRDefault="00DE4AA8" w:rsidP="0084730E">
            <w:pPr>
              <w:jc w:val="right"/>
              <w:rPr>
                <w:rFonts w:ascii="Arial" w:hAnsi="Arial" w:cs="Arial"/>
                <w:sz w:val="24"/>
                <w:szCs w:val="24"/>
              </w:rPr>
            </w:pPr>
            <w:r>
              <w:rPr>
                <w:rFonts w:ascii="Arial" w:hAnsi="Arial" w:cs="Arial"/>
                <w:sz w:val="24"/>
                <w:szCs w:val="24"/>
              </w:rPr>
              <w:t>+1.6%</w:t>
            </w:r>
          </w:p>
        </w:tc>
      </w:tr>
    </w:tbl>
    <w:p w:rsidR="00DE4AA8" w:rsidRPr="00620EAB" w:rsidRDefault="00DE4AA8" w:rsidP="00DE4AA8">
      <w:pPr>
        <w:rPr>
          <w:rFonts w:ascii="Arial" w:hAnsi="Arial" w:cs="Arial"/>
          <w:sz w:val="24"/>
          <w:szCs w:val="24"/>
          <w:highlight w:val="magenta"/>
        </w:rPr>
      </w:pPr>
    </w:p>
    <w:tbl>
      <w:tblPr>
        <w:tblW w:w="42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1192"/>
        <w:gridCol w:w="1446"/>
        <w:gridCol w:w="1555"/>
        <w:gridCol w:w="1607"/>
      </w:tblGrid>
      <w:tr w:rsidR="00DE4AA8" w:rsidRPr="00620EAB" w:rsidTr="0084730E">
        <w:trPr>
          <w:trHeight w:val="134"/>
        </w:trPr>
        <w:tc>
          <w:tcPr>
            <w:tcW w:w="1415" w:type="pct"/>
          </w:tcPr>
          <w:p w:rsidR="00DE4AA8" w:rsidRPr="00620EAB" w:rsidRDefault="00DE4AA8" w:rsidP="0084730E">
            <w:pPr>
              <w:rPr>
                <w:rFonts w:ascii="Arial" w:hAnsi="Arial" w:cs="Arial"/>
                <w:b/>
                <w:bCs/>
                <w:sz w:val="24"/>
                <w:szCs w:val="24"/>
              </w:rPr>
            </w:pPr>
            <w:r w:rsidRPr="00620EAB">
              <w:rPr>
                <w:rFonts w:ascii="Arial" w:hAnsi="Arial" w:cs="Arial"/>
                <w:b/>
                <w:bCs/>
                <w:sz w:val="24"/>
                <w:szCs w:val="24"/>
              </w:rPr>
              <w:t>Retail profit £m</w:t>
            </w:r>
          </w:p>
        </w:tc>
        <w:tc>
          <w:tcPr>
            <w:tcW w:w="737" w:type="pct"/>
          </w:tcPr>
          <w:p w:rsidR="00DE4AA8" w:rsidRPr="00620EAB" w:rsidRDefault="00DE4AA8" w:rsidP="0084730E">
            <w:pPr>
              <w:jc w:val="right"/>
              <w:rPr>
                <w:rFonts w:ascii="Arial" w:hAnsi="Arial" w:cs="Arial"/>
                <w:b/>
                <w:bCs/>
                <w:sz w:val="24"/>
                <w:szCs w:val="24"/>
              </w:rPr>
            </w:pPr>
            <w:r>
              <w:rPr>
                <w:rFonts w:ascii="Arial" w:hAnsi="Arial" w:cs="Arial"/>
                <w:b/>
                <w:bCs/>
                <w:sz w:val="24"/>
                <w:szCs w:val="24"/>
              </w:rPr>
              <w:t>2014/15</w:t>
            </w:r>
          </w:p>
        </w:tc>
        <w:tc>
          <w:tcPr>
            <w:tcW w:w="894" w:type="pct"/>
          </w:tcPr>
          <w:p w:rsidR="00DE4AA8" w:rsidRPr="00620EAB" w:rsidRDefault="00DE4AA8" w:rsidP="0084730E">
            <w:pPr>
              <w:jc w:val="right"/>
              <w:rPr>
                <w:rFonts w:ascii="Arial" w:hAnsi="Arial" w:cs="Arial"/>
                <w:b/>
                <w:bCs/>
                <w:sz w:val="24"/>
                <w:szCs w:val="24"/>
              </w:rPr>
            </w:pPr>
            <w:r w:rsidRPr="00620EAB">
              <w:rPr>
                <w:rFonts w:ascii="Arial" w:hAnsi="Arial" w:cs="Arial"/>
                <w:b/>
                <w:bCs/>
                <w:sz w:val="24"/>
                <w:szCs w:val="24"/>
              </w:rPr>
              <w:t>2013/14</w:t>
            </w:r>
          </w:p>
        </w:tc>
        <w:tc>
          <w:tcPr>
            <w:tcW w:w="961" w:type="pct"/>
          </w:tcPr>
          <w:p w:rsidR="00DE4AA8" w:rsidRPr="00620EAB" w:rsidRDefault="00DE4AA8" w:rsidP="0084730E">
            <w:pPr>
              <w:jc w:val="right"/>
              <w:rPr>
                <w:rFonts w:ascii="Arial" w:hAnsi="Arial" w:cs="Arial"/>
                <w:b/>
                <w:bCs/>
                <w:sz w:val="24"/>
                <w:szCs w:val="24"/>
              </w:rPr>
            </w:pPr>
            <w:r w:rsidRPr="00620EAB">
              <w:rPr>
                <w:rFonts w:ascii="Arial" w:hAnsi="Arial" w:cs="Arial"/>
                <w:b/>
                <w:bCs/>
                <w:sz w:val="24"/>
                <w:szCs w:val="24"/>
              </w:rPr>
              <w:t xml:space="preserve">% </w:t>
            </w:r>
            <w:r>
              <w:rPr>
                <w:rFonts w:ascii="Arial" w:hAnsi="Arial" w:cs="Arial"/>
                <w:b/>
                <w:bCs/>
                <w:sz w:val="24"/>
                <w:szCs w:val="24"/>
              </w:rPr>
              <w:t xml:space="preserve">Change </w:t>
            </w:r>
            <w:r w:rsidRPr="00620EAB">
              <w:rPr>
                <w:rFonts w:ascii="Arial" w:hAnsi="Arial" w:cs="Arial"/>
                <w:b/>
                <w:bCs/>
                <w:sz w:val="24"/>
                <w:szCs w:val="24"/>
              </w:rPr>
              <w:t xml:space="preserve">Reported </w:t>
            </w:r>
          </w:p>
        </w:tc>
        <w:tc>
          <w:tcPr>
            <w:tcW w:w="994" w:type="pct"/>
          </w:tcPr>
          <w:p w:rsidR="00DE4AA8" w:rsidRDefault="00DE4AA8" w:rsidP="0084730E">
            <w:pPr>
              <w:jc w:val="right"/>
              <w:rPr>
                <w:rFonts w:ascii="Arial" w:hAnsi="Arial" w:cs="Arial"/>
                <w:b/>
                <w:bCs/>
                <w:sz w:val="24"/>
                <w:szCs w:val="24"/>
              </w:rPr>
            </w:pPr>
            <w:r w:rsidRPr="00620EAB">
              <w:rPr>
                <w:rFonts w:ascii="Arial" w:hAnsi="Arial" w:cs="Arial"/>
                <w:b/>
                <w:bCs/>
                <w:sz w:val="24"/>
                <w:szCs w:val="24"/>
              </w:rPr>
              <w:t xml:space="preserve">% </w:t>
            </w:r>
            <w:r>
              <w:rPr>
                <w:rFonts w:ascii="Arial" w:hAnsi="Arial" w:cs="Arial"/>
                <w:b/>
                <w:bCs/>
                <w:sz w:val="24"/>
                <w:szCs w:val="24"/>
              </w:rPr>
              <w:t xml:space="preserve">Change </w:t>
            </w:r>
            <w:r w:rsidRPr="00620EAB">
              <w:rPr>
                <w:rFonts w:ascii="Arial" w:hAnsi="Arial" w:cs="Arial"/>
                <w:b/>
                <w:bCs/>
                <w:sz w:val="24"/>
                <w:szCs w:val="24"/>
              </w:rPr>
              <w:t>Constant</w:t>
            </w:r>
          </w:p>
          <w:p w:rsidR="00DE4AA8" w:rsidRPr="00620EAB" w:rsidRDefault="00DE4AA8" w:rsidP="0084730E">
            <w:pPr>
              <w:jc w:val="right"/>
              <w:rPr>
                <w:rFonts w:ascii="Arial" w:hAnsi="Arial" w:cs="Arial"/>
                <w:b/>
                <w:bCs/>
                <w:sz w:val="24"/>
                <w:szCs w:val="24"/>
              </w:rPr>
            </w:pPr>
            <w:r>
              <w:rPr>
                <w:rFonts w:ascii="Arial" w:hAnsi="Arial" w:cs="Arial"/>
                <w:b/>
                <w:bCs/>
                <w:sz w:val="24"/>
                <w:szCs w:val="24"/>
              </w:rPr>
              <w:t>Currency</w:t>
            </w:r>
            <w:r w:rsidRPr="00620EAB">
              <w:rPr>
                <w:rFonts w:ascii="Arial" w:hAnsi="Arial" w:cs="Arial"/>
                <w:b/>
                <w:bCs/>
                <w:sz w:val="24"/>
                <w:szCs w:val="24"/>
              </w:rPr>
              <w:t xml:space="preserve"> </w:t>
            </w:r>
          </w:p>
        </w:tc>
      </w:tr>
      <w:tr w:rsidR="00DE4AA8" w:rsidRPr="00620EAB" w:rsidTr="0084730E">
        <w:trPr>
          <w:trHeight w:val="134"/>
        </w:trPr>
        <w:tc>
          <w:tcPr>
            <w:tcW w:w="1415" w:type="pct"/>
          </w:tcPr>
          <w:p w:rsidR="00DE4AA8" w:rsidRPr="00620EAB" w:rsidRDefault="00DE4AA8" w:rsidP="003D6BAF">
            <w:pPr>
              <w:jc w:val="left"/>
              <w:rPr>
                <w:rFonts w:ascii="Arial" w:hAnsi="Arial" w:cs="Arial"/>
                <w:sz w:val="24"/>
                <w:szCs w:val="24"/>
              </w:rPr>
            </w:pPr>
            <w:r w:rsidRPr="00620EAB">
              <w:rPr>
                <w:rFonts w:ascii="Arial" w:hAnsi="Arial" w:cs="Arial"/>
                <w:sz w:val="24"/>
                <w:szCs w:val="24"/>
              </w:rPr>
              <w:t>Other International</w:t>
            </w:r>
            <w:r w:rsidR="00106895">
              <w:rPr>
                <w:rFonts w:ascii="Arial" w:hAnsi="Arial" w:cs="Arial"/>
                <w:sz w:val="24"/>
                <w:szCs w:val="24"/>
              </w:rPr>
              <w:t xml:space="preserve"> (existing)</w:t>
            </w:r>
          </w:p>
        </w:tc>
        <w:tc>
          <w:tcPr>
            <w:tcW w:w="737" w:type="pct"/>
          </w:tcPr>
          <w:p w:rsidR="00DE4AA8" w:rsidRPr="00620EAB" w:rsidRDefault="00106895" w:rsidP="0084730E">
            <w:pPr>
              <w:jc w:val="right"/>
              <w:rPr>
                <w:rFonts w:ascii="Arial" w:hAnsi="Arial" w:cs="Arial"/>
                <w:sz w:val="24"/>
                <w:szCs w:val="24"/>
              </w:rPr>
            </w:pPr>
            <w:r>
              <w:rPr>
                <w:rFonts w:ascii="Arial" w:hAnsi="Arial" w:cs="Arial"/>
                <w:sz w:val="24"/>
                <w:szCs w:val="24"/>
              </w:rPr>
              <w:t>5</w:t>
            </w:r>
            <w:r w:rsidR="0058269A">
              <w:rPr>
                <w:rFonts w:ascii="Arial" w:hAnsi="Arial" w:cs="Arial"/>
                <w:sz w:val="24"/>
                <w:szCs w:val="24"/>
              </w:rPr>
              <w:t>3</w:t>
            </w:r>
          </w:p>
        </w:tc>
        <w:tc>
          <w:tcPr>
            <w:tcW w:w="894" w:type="pct"/>
          </w:tcPr>
          <w:p w:rsidR="00DE4AA8" w:rsidRPr="00620EAB" w:rsidRDefault="00527C9A" w:rsidP="0084730E">
            <w:pPr>
              <w:jc w:val="right"/>
              <w:rPr>
                <w:rFonts w:ascii="Arial" w:hAnsi="Arial" w:cs="Arial"/>
                <w:sz w:val="24"/>
                <w:szCs w:val="24"/>
              </w:rPr>
            </w:pPr>
            <w:r>
              <w:rPr>
                <w:rFonts w:ascii="Arial" w:hAnsi="Arial" w:cs="Arial"/>
                <w:sz w:val="24"/>
                <w:szCs w:val="24"/>
              </w:rPr>
              <w:t>58</w:t>
            </w:r>
          </w:p>
        </w:tc>
        <w:tc>
          <w:tcPr>
            <w:tcW w:w="961" w:type="pct"/>
          </w:tcPr>
          <w:p w:rsidR="00DE4AA8" w:rsidRPr="00620EAB" w:rsidRDefault="00DE4AA8" w:rsidP="0084730E">
            <w:pPr>
              <w:jc w:val="right"/>
              <w:rPr>
                <w:rFonts w:ascii="Arial" w:hAnsi="Arial" w:cs="Arial"/>
                <w:sz w:val="24"/>
                <w:szCs w:val="24"/>
              </w:rPr>
            </w:pPr>
            <w:r>
              <w:rPr>
                <w:rFonts w:ascii="Arial" w:hAnsi="Arial" w:cs="Arial"/>
                <w:sz w:val="24"/>
                <w:szCs w:val="24"/>
              </w:rPr>
              <w:t>(</w:t>
            </w:r>
            <w:r w:rsidR="0058269A">
              <w:rPr>
                <w:rFonts w:ascii="Arial" w:hAnsi="Arial" w:cs="Arial"/>
                <w:sz w:val="24"/>
                <w:szCs w:val="24"/>
              </w:rPr>
              <w:t>9.5</w:t>
            </w:r>
            <w:r>
              <w:rPr>
                <w:rFonts w:ascii="Arial" w:hAnsi="Arial" w:cs="Arial"/>
                <w:sz w:val="24"/>
                <w:szCs w:val="24"/>
              </w:rPr>
              <w:t>)%</w:t>
            </w:r>
          </w:p>
        </w:tc>
        <w:tc>
          <w:tcPr>
            <w:tcW w:w="994" w:type="pct"/>
          </w:tcPr>
          <w:p w:rsidR="00DE4AA8" w:rsidRPr="00620EAB" w:rsidRDefault="00DE4AA8" w:rsidP="0084730E">
            <w:pPr>
              <w:jc w:val="right"/>
              <w:rPr>
                <w:rFonts w:ascii="Arial" w:hAnsi="Arial" w:cs="Arial"/>
                <w:sz w:val="24"/>
                <w:szCs w:val="24"/>
              </w:rPr>
            </w:pPr>
            <w:r>
              <w:rPr>
                <w:rFonts w:ascii="Arial" w:hAnsi="Arial" w:cs="Arial"/>
                <w:sz w:val="24"/>
                <w:szCs w:val="24"/>
              </w:rPr>
              <w:t>(</w:t>
            </w:r>
            <w:r w:rsidR="0058269A">
              <w:rPr>
                <w:rFonts w:ascii="Arial" w:hAnsi="Arial" w:cs="Arial"/>
                <w:sz w:val="24"/>
                <w:szCs w:val="24"/>
              </w:rPr>
              <w:t>3</w:t>
            </w:r>
            <w:r w:rsidR="007B2539">
              <w:rPr>
                <w:rFonts w:ascii="Arial" w:hAnsi="Arial" w:cs="Arial"/>
                <w:sz w:val="24"/>
                <w:szCs w:val="24"/>
              </w:rPr>
              <w:t>.</w:t>
            </w:r>
            <w:r w:rsidR="0058269A">
              <w:rPr>
                <w:rFonts w:ascii="Arial" w:hAnsi="Arial" w:cs="Arial"/>
                <w:sz w:val="24"/>
                <w:szCs w:val="24"/>
              </w:rPr>
              <w:t>7</w:t>
            </w:r>
            <w:r>
              <w:rPr>
                <w:rFonts w:ascii="Arial" w:hAnsi="Arial" w:cs="Arial"/>
                <w:sz w:val="24"/>
                <w:szCs w:val="24"/>
              </w:rPr>
              <w:t>)%</w:t>
            </w:r>
          </w:p>
        </w:tc>
      </w:tr>
      <w:tr w:rsidR="00106895" w:rsidRPr="00620EAB" w:rsidTr="0084730E">
        <w:trPr>
          <w:trHeight w:val="134"/>
        </w:trPr>
        <w:tc>
          <w:tcPr>
            <w:tcW w:w="1415" w:type="pct"/>
          </w:tcPr>
          <w:p w:rsidR="00106895" w:rsidRPr="00620EAB" w:rsidRDefault="00106895" w:rsidP="003D6BAF">
            <w:pPr>
              <w:jc w:val="left"/>
              <w:rPr>
                <w:rFonts w:ascii="Arial" w:hAnsi="Arial" w:cs="Arial"/>
                <w:sz w:val="24"/>
                <w:szCs w:val="24"/>
              </w:rPr>
            </w:pPr>
            <w:r>
              <w:rPr>
                <w:rFonts w:ascii="Arial" w:hAnsi="Arial" w:cs="Arial"/>
                <w:sz w:val="24"/>
                <w:szCs w:val="24"/>
              </w:rPr>
              <w:t>New country development*</w:t>
            </w:r>
          </w:p>
        </w:tc>
        <w:tc>
          <w:tcPr>
            <w:tcW w:w="737" w:type="pct"/>
          </w:tcPr>
          <w:p w:rsidR="00106895" w:rsidRDefault="00106895" w:rsidP="0084730E">
            <w:pPr>
              <w:jc w:val="right"/>
              <w:rPr>
                <w:rFonts w:ascii="Arial" w:hAnsi="Arial" w:cs="Arial"/>
                <w:sz w:val="24"/>
                <w:szCs w:val="24"/>
              </w:rPr>
            </w:pPr>
            <w:r>
              <w:rPr>
                <w:rFonts w:ascii="Arial" w:hAnsi="Arial" w:cs="Arial"/>
                <w:sz w:val="24"/>
                <w:szCs w:val="24"/>
              </w:rPr>
              <w:t>(11)</w:t>
            </w:r>
          </w:p>
        </w:tc>
        <w:tc>
          <w:tcPr>
            <w:tcW w:w="894" w:type="pct"/>
          </w:tcPr>
          <w:p w:rsidR="00106895" w:rsidRDefault="00106895" w:rsidP="0084730E">
            <w:pPr>
              <w:jc w:val="right"/>
              <w:rPr>
                <w:rFonts w:ascii="Arial" w:hAnsi="Arial" w:cs="Arial"/>
                <w:sz w:val="24"/>
                <w:szCs w:val="24"/>
              </w:rPr>
            </w:pPr>
            <w:r>
              <w:rPr>
                <w:rFonts w:ascii="Arial" w:hAnsi="Arial" w:cs="Arial"/>
                <w:sz w:val="24"/>
                <w:szCs w:val="24"/>
              </w:rPr>
              <w:t>-</w:t>
            </w:r>
          </w:p>
        </w:tc>
        <w:tc>
          <w:tcPr>
            <w:tcW w:w="961" w:type="pct"/>
          </w:tcPr>
          <w:p w:rsidR="00106895" w:rsidRDefault="007B2539" w:rsidP="0084730E">
            <w:pPr>
              <w:jc w:val="right"/>
              <w:rPr>
                <w:rFonts w:ascii="Arial" w:hAnsi="Arial" w:cs="Arial"/>
                <w:sz w:val="24"/>
                <w:szCs w:val="24"/>
              </w:rPr>
            </w:pPr>
            <w:r>
              <w:rPr>
                <w:rFonts w:ascii="Arial" w:hAnsi="Arial" w:cs="Arial"/>
                <w:sz w:val="24"/>
                <w:szCs w:val="24"/>
              </w:rPr>
              <w:t>n/a</w:t>
            </w:r>
          </w:p>
        </w:tc>
        <w:tc>
          <w:tcPr>
            <w:tcW w:w="994" w:type="pct"/>
          </w:tcPr>
          <w:p w:rsidR="00106895" w:rsidRDefault="007B2539" w:rsidP="0084730E">
            <w:pPr>
              <w:jc w:val="right"/>
              <w:rPr>
                <w:rFonts w:ascii="Arial" w:hAnsi="Arial" w:cs="Arial"/>
                <w:sz w:val="24"/>
                <w:szCs w:val="24"/>
              </w:rPr>
            </w:pPr>
            <w:r>
              <w:rPr>
                <w:rFonts w:ascii="Arial" w:hAnsi="Arial" w:cs="Arial"/>
                <w:sz w:val="24"/>
                <w:szCs w:val="24"/>
              </w:rPr>
              <w:t>n/a</w:t>
            </w:r>
          </w:p>
        </w:tc>
      </w:tr>
      <w:tr w:rsidR="00106895" w:rsidRPr="00620EAB" w:rsidTr="0084730E">
        <w:trPr>
          <w:trHeight w:val="134"/>
        </w:trPr>
        <w:tc>
          <w:tcPr>
            <w:tcW w:w="1415" w:type="pct"/>
          </w:tcPr>
          <w:p w:rsidR="00106895" w:rsidRPr="00620EAB" w:rsidRDefault="00106895" w:rsidP="0084730E">
            <w:pPr>
              <w:rPr>
                <w:rFonts w:ascii="Arial" w:hAnsi="Arial" w:cs="Arial"/>
                <w:sz w:val="24"/>
                <w:szCs w:val="24"/>
              </w:rPr>
            </w:pPr>
            <w:r>
              <w:rPr>
                <w:rFonts w:ascii="Arial" w:hAnsi="Arial" w:cs="Arial"/>
                <w:sz w:val="24"/>
                <w:szCs w:val="24"/>
              </w:rPr>
              <w:t>Total</w:t>
            </w:r>
          </w:p>
        </w:tc>
        <w:tc>
          <w:tcPr>
            <w:tcW w:w="737" w:type="pct"/>
          </w:tcPr>
          <w:p w:rsidR="00106895" w:rsidRDefault="00106895" w:rsidP="0084730E">
            <w:pPr>
              <w:jc w:val="right"/>
              <w:rPr>
                <w:rFonts w:ascii="Arial" w:hAnsi="Arial" w:cs="Arial"/>
                <w:sz w:val="24"/>
                <w:szCs w:val="24"/>
              </w:rPr>
            </w:pPr>
            <w:r>
              <w:rPr>
                <w:rFonts w:ascii="Arial" w:hAnsi="Arial" w:cs="Arial"/>
                <w:sz w:val="24"/>
                <w:szCs w:val="24"/>
              </w:rPr>
              <w:t>4</w:t>
            </w:r>
            <w:r w:rsidR="0058269A">
              <w:rPr>
                <w:rFonts w:ascii="Arial" w:hAnsi="Arial" w:cs="Arial"/>
                <w:sz w:val="24"/>
                <w:szCs w:val="24"/>
              </w:rPr>
              <w:t>2</w:t>
            </w:r>
          </w:p>
        </w:tc>
        <w:tc>
          <w:tcPr>
            <w:tcW w:w="894" w:type="pct"/>
          </w:tcPr>
          <w:p w:rsidR="00106895" w:rsidRDefault="00106895" w:rsidP="0084730E">
            <w:pPr>
              <w:jc w:val="right"/>
              <w:rPr>
                <w:rFonts w:ascii="Arial" w:hAnsi="Arial" w:cs="Arial"/>
                <w:sz w:val="24"/>
                <w:szCs w:val="24"/>
              </w:rPr>
            </w:pPr>
            <w:r>
              <w:rPr>
                <w:rFonts w:ascii="Arial" w:hAnsi="Arial" w:cs="Arial"/>
                <w:sz w:val="24"/>
                <w:szCs w:val="24"/>
              </w:rPr>
              <w:t>58</w:t>
            </w:r>
          </w:p>
        </w:tc>
        <w:tc>
          <w:tcPr>
            <w:tcW w:w="961" w:type="pct"/>
          </w:tcPr>
          <w:p w:rsidR="00106895" w:rsidRDefault="00106895" w:rsidP="0084730E">
            <w:pPr>
              <w:jc w:val="right"/>
              <w:rPr>
                <w:rFonts w:ascii="Arial" w:hAnsi="Arial" w:cs="Arial"/>
                <w:sz w:val="24"/>
                <w:szCs w:val="24"/>
              </w:rPr>
            </w:pPr>
            <w:r>
              <w:rPr>
                <w:rFonts w:ascii="Arial" w:hAnsi="Arial" w:cs="Arial"/>
                <w:sz w:val="24"/>
                <w:szCs w:val="24"/>
              </w:rPr>
              <w:t>(2</w:t>
            </w:r>
            <w:r w:rsidR="0058269A">
              <w:rPr>
                <w:rFonts w:ascii="Arial" w:hAnsi="Arial" w:cs="Arial"/>
                <w:sz w:val="24"/>
                <w:szCs w:val="24"/>
              </w:rPr>
              <w:t>7</w:t>
            </w:r>
            <w:r>
              <w:rPr>
                <w:rFonts w:ascii="Arial" w:hAnsi="Arial" w:cs="Arial"/>
                <w:sz w:val="24"/>
                <w:szCs w:val="24"/>
              </w:rPr>
              <w:t>.6)%</w:t>
            </w:r>
          </w:p>
        </w:tc>
        <w:tc>
          <w:tcPr>
            <w:tcW w:w="994" w:type="pct"/>
          </w:tcPr>
          <w:p w:rsidR="00106895" w:rsidRDefault="00106895" w:rsidP="0084730E">
            <w:pPr>
              <w:jc w:val="right"/>
              <w:rPr>
                <w:rFonts w:ascii="Arial" w:hAnsi="Arial" w:cs="Arial"/>
                <w:sz w:val="24"/>
                <w:szCs w:val="24"/>
              </w:rPr>
            </w:pPr>
            <w:r>
              <w:rPr>
                <w:rFonts w:ascii="Arial" w:hAnsi="Arial" w:cs="Arial"/>
                <w:sz w:val="24"/>
                <w:szCs w:val="24"/>
              </w:rPr>
              <w:t>(2</w:t>
            </w:r>
            <w:r w:rsidR="0058269A">
              <w:rPr>
                <w:rFonts w:ascii="Arial" w:hAnsi="Arial" w:cs="Arial"/>
                <w:sz w:val="24"/>
                <w:szCs w:val="24"/>
              </w:rPr>
              <w:t>3.0</w:t>
            </w:r>
            <w:r>
              <w:rPr>
                <w:rFonts w:ascii="Arial" w:hAnsi="Arial" w:cs="Arial"/>
                <w:sz w:val="24"/>
                <w:szCs w:val="24"/>
              </w:rPr>
              <w:t>)%</w:t>
            </w:r>
          </w:p>
        </w:tc>
      </w:tr>
    </w:tbl>
    <w:p w:rsidR="00DE4AA8" w:rsidRDefault="00DE4AA8" w:rsidP="00DE4AA8">
      <w:pPr>
        <w:jc w:val="left"/>
        <w:rPr>
          <w:rFonts w:ascii="Arial" w:hAnsi="Arial" w:cs="Arial"/>
          <w:b/>
          <w:bCs/>
          <w:i/>
          <w:iCs/>
          <w:sz w:val="18"/>
          <w:szCs w:val="18"/>
        </w:rPr>
      </w:pPr>
    </w:p>
    <w:p w:rsidR="00DE4AA8" w:rsidRPr="00EB1DC5" w:rsidRDefault="00DE4AA8" w:rsidP="00DE4AA8">
      <w:pPr>
        <w:jc w:val="left"/>
        <w:rPr>
          <w:rFonts w:ascii="Arial" w:hAnsi="Arial" w:cs="Arial"/>
          <w:b/>
          <w:bCs/>
          <w:i/>
          <w:iCs/>
          <w:sz w:val="18"/>
          <w:szCs w:val="18"/>
        </w:rPr>
      </w:pPr>
      <w:r w:rsidRPr="00EB1DC5">
        <w:rPr>
          <w:rFonts w:ascii="Arial" w:hAnsi="Arial" w:cs="Arial"/>
          <w:b/>
          <w:bCs/>
          <w:i/>
          <w:iCs/>
          <w:sz w:val="18"/>
          <w:szCs w:val="18"/>
        </w:rPr>
        <w:t>All trading commentary below is in constant currencies</w:t>
      </w:r>
      <w:r w:rsidR="00527C9A">
        <w:rPr>
          <w:rFonts w:ascii="Arial" w:hAnsi="Arial" w:cs="Arial"/>
          <w:b/>
          <w:bCs/>
          <w:i/>
          <w:iCs/>
          <w:sz w:val="18"/>
          <w:szCs w:val="18"/>
        </w:rPr>
        <w:t xml:space="preserve"> and 2013/14 comparatives restated to reflect disposal of Hornbach. </w:t>
      </w:r>
    </w:p>
    <w:p w:rsidR="00DE4AA8" w:rsidRPr="00C05BAA" w:rsidRDefault="00DE4AA8" w:rsidP="00DE4AA8">
      <w:pPr>
        <w:jc w:val="left"/>
        <w:rPr>
          <w:rFonts w:ascii="Arial" w:hAnsi="Arial" w:cs="Arial"/>
          <w:sz w:val="24"/>
          <w:szCs w:val="24"/>
        </w:rPr>
      </w:pPr>
    </w:p>
    <w:p w:rsidR="00DE4AA8" w:rsidRDefault="00DE4AA8" w:rsidP="00DE4AA8">
      <w:pPr>
        <w:jc w:val="left"/>
        <w:rPr>
          <w:rFonts w:ascii="Arial" w:hAnsi="Arial" w:cs="Arial"/>
          <w:sz w:val="24"/>
          <w:szCs w:val="24"/>
        </w:rPr>
      </w:pPr>
      <w:r w:rsidRPr="00C05BAA">
        <w:rPr>
          <w:rFonts w:ascii="Arial" w:hAnsi="Arial" w:cs="Arial"/>
          <w:b/>
          <w:bCs/>
          <w:sz w:val="24"/>
          <w:szCs w:val="24"/>
        </w:rPr>
        <w:t>Other International</w:t>
      </w:r>
      <w:r w:rsidRPr="00C05BAA">
        <w:rPr>
          <w:rFonts w:ascii="Arial" w:hAnsi="Arial" w:cs="Arial"/>
          <w:sz w:val="24"/>
          <w:szCs w:val="24"/>
        </w:rPr>
        <w:t xml:space="preserve"> total sales increased</w:t>
      </w:r>
      <w:r>
        <w:rPr>
          <w:rFonts w:ascii="Arial" w:hAnsi="Arial" w:cs="Arial"/>
          <w:sz w:val="24"/>
          <w:szCs w:val="24"/>
        </w:rPr>
        <w:t xml:space="preserve"> by 8.8% (+1.6</w:t>
      </w:r>
      <w:r w:rsidRPr="00C05BAA">
        <w:rPr>
          <w:rFonts w:ascii="Arial" w:hAnsi="Arial" w:cs="Arial"/>
          <w:sz w:val="24"/>
          <w:szCs w:val="24"/>
        </w:rPr>
        <w:t>% LFL) to</w:t>
      </w:r>
      <w:r>
        <w:rPr>
          <w:rFonts w:ascii="Arial" w:hAnsi="Arial" w:cs="Arial"/>
          <w:sz w:val="24"/>
          <w:szCs w:val="24"/>
        </w:rPr>
        <w:t xml:space="preserve"> £1,144 million driven by LFL growth in Russia and Poland. </w:t>
      </w:r>
      <w:r w:rsidRPr="00EB0755">
        <w:rPr>
          <w:rFonts w:ascii="Arial" w:hAnsi="Arial" w:cs="Arial"/>
          <w:sz w:val="24"/>
          <w:szCs w:val="24"/>
        </w:rPr>
        <w:t>Retail profit</w:t>
      </w:r>
      <w:r>
        <w:rPr>
          <w:rFonts w:ascii="Arial" w:hAnsi="Arial" w:cs="Arial"/>
          <w:sz w:val="24"/>
          <w:szCs w:val="24"/>
        </w:rPr>
        <w:t xml:space="preserve"> decreased by 2</w:t>
      </w:r>
      <w:r w:rsidR="0058269A">
        <w:rPr>
          <w:rFonts w:ascii="Arial" w:hAnsi="Arial" w:cs="Arial"/>
          <w:sz w:val="24"/>
          <w:szCs w:val="24"/>
        </w:rPr>
        <w:t>3.0</w:t>
      </w:r>
      <w:r>
        <w:rPr>
          <w:rFonts w:ascii="Arial" w:hAnsi="Arial" w:cs="Arial"/>
          <w:sz w:val="24"/>
          <w:szCs w:val="24"/>
        </w:rPr>
        <w:t>% to £4</w:t>
      </w:r>
      <w:r w:rsidR="0058269A">
        <w:rPr>
          <w:rFonts w:ascii="Arial" w:hAnsi="Arial" w:cs="Arial"/>
          <w:sz w:val="24"/>
          <w:szCs w:val="24"/>
        </w:rPr>
        <w:t>2</w:t>
      </w:r>
      <w:r>
        <w:rPr>
          <w:rFonts w:ascii="Arial" w:hAnsi="Arial" w:cs="Arial"/>
          <w:sz w:val="24"/>
          <w:szCs w:val="24"/>
        </w:rPr>
        <w:t xml:space="preserve"> million with retail profit growth in Poland</w:t>
      </w:r>
      <w:r w:rsidR="00B23F1E">
        <w:rPr>
          <w:rFonts w:ascii="Arial" w:hAnsi="Arial" w:cs="Arial"/>
          <w:sz w:val="24"/>
          <w:szCs w:val="24"/>
        </w:rPr>
        <w:t>, Turkey &amp; Spain</w:t>
      </w:r>
      <w:r>
        <w:rPr>
          <w:rFonts w:ascii="Arial" w:hAnsi="Arial" w:cs="Arial"/>
          <w:sz w:val="24"/>
          <w:szCs w:val="24"/>
        </w:rPr>
        <w:t xml:space="preserve"> offset by higher losses in China and </w:t>
      </w:r>
      <w:r w:rsidR="00B23F1E">
        <w:rPr>
          <w:rFonts w:ascii="Arial" w:hAnsi="Arial" w:cs="Arial"/>
          <w:sz w:val="24"/>
          <w:szCs w:val="24"/>
        </w:rPr>
        <w:t xml:space="preserve">new country </w:t>
      </w:r>
      <w:r>
        <w:rPr>
          <w:rFonts w:ascii="Arial" w:hAnsi="Arial" w:cs="Arial"/>
          <w:sz w:val="24"/>
          <w:szCs w:val="24"/>
        </w:rPr>
        <w:t xml:space="preserve">development costs. </w:t>
      </w:r>
    </w:p>
    <w:p w:rsidR="00DE4AA8" w:rsidRPr="00EB0755" w:rsidRDefault="00DE4AA8" w:rsidP="00DE4AA8">
      <w:pPr>
        <w:jc w:val="left"/>
        <w:rPr>
          <w:rFonts w:ascii="Arial" w:hAnsi="Arial" w:cs="Arial"/>
          <w:sz w:val="24"/>
          <w:szCs w:val="24"/>
          <w:highlight w:val="yellow"/>
        </w:rPr>
      </w:pPr>
    </w:p>
    <w:p w:rsidR="00DE4AA8" w:rsidRDefault="00DE4AA8" w:rsidP="00DE4AA8">
      <w:pPr>
        <w:jc w:val="left"/>
        <w:rPr>
          <w:rFonts w:ascii="Arial" w:hAnsi="Arial" w:cs="Arial"/>
          <w:sz w:val="24"/>
          <w:szCs w:val="24"/>
        </w:rPr>
      </w:pPr>
      <w:r w:rsidRPr="00EB0755">
        <w:rPr>
          <w:rFonts w:ascii="Arial" w:hAnsi="Arial" w:cs="Arial"/>
          <w:sz w:val="24"/>
          <w:szCs w:val="24"/>
        </w:rPr>
        <w:t xml:space="preserve">During </w:t>
      </w:r>
      <w:r>
        <w:rPr>
          <w:rFonts w:ascii="Arial" w:hAnsi="Arial" w:cs="Arial"/>
          <w:sz w:val="24"/>
          <w:szCs w:val="24"/>
        </w:rPr>
        <w:t xml:space="preserve">H1 eight net </w:t>
      </w:r>
      <w:r w:rsidRPr="00EB0755">
        <w:rPr>
          <w:rFonts w:ascii="Arial" w:hAnsi="Arial" w:cs="Arial"/>
          <w:sz w:val="24"/>
          <w:szCs w:val="24"/>
        </w:rPr>
        <w:t>new stores were op</w:t>
      </w:r>
      <w:r>
        <w:rPr>
          <w:rFonts w:ascii="Arial" w:hAnsi="Arial" w:cs="Arial"/>
          <w:sz w:val="24"/>
          <w:szCs w:val="24"/>
        </w:rPr>
        <w:t xml:space="preserve">ened, four in Spain, one in Portugal and three in Turkey adding around 5% net new </w:t>
      </w:r>
      <w:r w:rsidRPr="00C05BAA">
        <w:rPr>
          <w:rFonts w:ascii="Arial" w:hAnsi="Arial" w:cs="Arial"/>
          <w:sz w:val="24"/>
          <w:szCs w:val="24"/>
        </w:rPr>
        <w:t>space</w:t>
      </w:r>
      <w:r>
        <w:rPr>
          <w:rFonts w:ascii="Arial" w:hAnsi="Arial" w:cs="Arial"/>
          <w:sz w:val="24"/>
          <w:szCs w:val="24"/>
        </w:rPr>
        <w:t xml:space="preserve"> compared to H1 last year.</w:t>
      </w:r>
    </w:p>
    <w:p w:rsidR="00DE4AA8" w:rsidRPr="00EB0755" w:rsidRDefault="00DE4AA8" w:rsidP="00DE4AA8">
      <w:pPr>
        <w:jc w:val="left"/>
        <w:rPr>
          <w:rFonts w:ascii="Arial" w:hAnsi="Arial" w:cs="Arial"/>
          <w:sz w:val="24"/>
          <w:szCs w:val="24"/>
        </w:rPr>
      </w:pPr>
    </w:p>
    <w:p w:rsidR="00DE4AA8" w:rsidRDefault="00DE4AA8" w:rsidP="00DE4AA8">
      <w:pPr>
        <w:jc w:val="left"/>
        <w:rPr>
          <w:rFonts w:ascii="Arial" w:hAnsi="Arial" w:cs="Arial"/>
          <w:sz w:val="24"/>
          <w:szCs w:val="24"/>
        </w:rPr>
      </w:pPr>
      <w:r w:rsidRPr="00EB0755">
        <w:rPr>
          <w:rFonts w:ascii="Arial" w:hAnsi="Arial" w:cs="Arial"/>
          <w:sz w:val="24"/>
          <w:szCs w:val="24"/>
        </w:rPr>
        <w:t xml:space="preserve">Sales in </w:t>
      </w:r>
      <w:r w:rsidRPr="00EB0755">
        <w:rPr>
          <w:rFonts w:ascii="Arial" w:hAnsi="Arial" w:cs="Arial"/>
          <w:b/>
          <w:sz w:val="24"/>
          <w:szCs w:val="24"/>
        </w:rPr>
        <w:t>Poland</w:t>
      </w:r>
      <w:r w:rsidRPr="00EB0755">
        <w:rPr>
          <w:rFonts w:ascii="Arial" w:hAnsi="Arial" w:cs="Arial"/>
          <w:sz w:val="24"/>
          <w:szCs w:val="24"/>
        </w:rPr>
        <w:t xml:space="preserve"> were up</w:t>
      </w:r>
      <w:r>
        <w:rPr>
          <w:rFonts w:ascii="Arial" w:hAnsi="Arial" w:cs="Arial"/>
          <w:sz w:val="24"/>
          <w:szCs w:val="24"/>
        </w:rPr>
        <w:t xml:space="preserve"> 3.6</w:t>
      </w:r>
      <w:r w:rsidRPr="00EB0755">
        <w:rPr>
          <w:rFonts w:ascii="Arial" w:hAnsi="Arial" w:cs="Arial"/>
          <w:sz w:val="24"/>
          <w:szCs w:val="24"/>
        </w:rPr>
        <w:t>% (</w:t>
      </w:r>
      <w:r>
        <w:rPr>
          <w:rFonts w:ascii="Arial" w:hAnsi="Arial" w:cs="Arial"/>
          <w:sz w:val="24"/>
          <w:szCs w:val="24"/>
        </w:rPr>
        <w:t xml:space="preserve">+3.1% LFL) to £554 million. Sales of seasonal products were up 7% across H1 benefiting from better weather patterns, representing around 15% of sales. After an encouraging start to the year, sales of indoor products for February to May were up </w:t>
      </w:r>
      <w:r w:rsidR="005359E9">
        <w:rPr>
          <w:rFonts w:ascii="Arial" w:hAnsi="Arial" w:cs="Arial"/>
          <w:sz w:val="24"/>
          <w:szCs w:val="24"/>
        </w:rPr>
        <w:t>around 7</w:t>
      </w:r>
      <w:r>
        <w:rPr>
          <w:rFonts w:ascii="Arial" w:hAnsi="Arial" w:cs="Arial"/>
          <w:sz w:val="24"/>
          <w:szCs w:val="24"/>
        </w:rPr>
        <w:t xml:space="preserve">%, turning down sharply in June and July with sales down </w:t>
      </w:r>
      <w:r w:rsidR="005359E9">
        <w:rPr>
          <w:rFonts w:ascii="Arial" w:hAnsi="Arial" w:cs="Arial"/>
          <w:sz w:val="24"/>
          <w:szCs w:val="24"/>
        </w:rPr>
        <w:t>around 4</w:t>
      </w:r>
      <w:r>
        <w:rPr>
          <w:rFonts w:ascii="Arial" w:hAnsi="Arial" w:cs="Arial"/>
          <w:sz w:val="24"/>
          <w:szCs w:val="24"/>
        </w:rPr>
        <w:t>%. Gross margins were up 60 basis points benefiting from ongoing self-help initiatives and weak comparatives (down 60 basis points in H1 last year). Retail profit grew by 5.2% to £54 million supported by the sales growth and higher gross margins</w:t>
      </w:r>
      <w:r w:rsidR="002917A3">
        <w:rPr>
          <w:rFonts w:ascii="Arial" w:hAnsi="Arial" w:cs="Arial"/>
          <w:sz w:val="24"/>
          <w:szCs w:val="24"/>
        </w:rPr>
        <w:t>,</w:t>
      </w:r>
      <w:r>
        <w:rPr>
          <w:rFonts w:ascii="Arial" w:hAnsi="Arial" w:cs="Arial"/>
          <w:sz w:val="24"/>
          <w:szCs w:val="24"/>
        </w:rPr>
        <w:t xml:space="preserve"> offset by higher levels of variable pay and range review costs.</w:t>
      </w:r>
    </w:p>
    <w:p w:rsidR="00DE4AA8" w:rsidRDefault="00DE4AA8" w:rsidP="00DE4AA8">
      <w:pPr>
        <w:jc w:val="left"/>
        <w:rPr>
          <w:rFonts w:ascii="Arial" w:hAnsi="Arial" w:cs="Arial"/>
          <w:sz w:val="24"/>
          <w:szCs w:val="24"/>
        </w:rPr>
      </w:pPr>
    </w:p>
    <w:p w:rsidR="00DE4AA8" w:rsidRDefault="00DE4AA8" w:rsidP="00DE4AA8">
      <w:pPr>
        <w:jc w:val="left"/>
        <w:rPr>
          <w:rFonts w:ascii="Arial" w:hAnsi="Arial" w:cs="Arial"/>
          <w:sz w:val="24"/>
          <w:szCs w:val="24"/>
        </w:rPr>
      </w:pPr>
      <w:r w:rsidRPr="00EB0755">
        <w:rPr>
          <w:rFonts w:ascii="Arial" w:hAnsi="Arial" w:cs="Arial"/>
          <w:sz w:val="24"/>
          <w:szCs w:val="24"/>
        </w:rPr>
        <w:t xml:space="preserve">In </w:t>
      </w:r>
      <w:r w:rsidRPr="00EB0755">
        <w:rPr>
          <w:rFonts w:ascii="Arial" w:hAnsi="Arial" w:cs="Arial"/>
          <w:b/>
          <w:sz w:val="24"/>
          <w:szCs w:val="24"/>
        </w:rPr>
        <w:t>Russia</w:t>
      </w:r>
      <w:r w:rsidRPr="004A1069">
        <w:rPr>
          <w:rFonts w:ascii="Arial" w:hAnsi="Arial" w:cs="Arial"/>
          <w:sz w:val="24"/>
          <w:szCs w:val="24"/>
        </w:rPr>
        <w:t>,</w:t>
      </w:r>
      <w:r w:rsidRPr="00EB0755">
        <w:rPr>
          <w:rFonts w:ascii="Arial" w:hAnsi="Arial" w:cs="Arial"/>
          <w:b/>
          <w:sz w:val="24"/>
          <w:szCs w:val="24"/>
        </w:rPr>
        <w:t xml:space="preserve"> </w:t>
      </w:r>
      <w:r w:rsidRPr="00EB0755">
        <w:rPr>
          <w:rFonts w:ascii="Arial" w:hAnsi="Arial" w:cs="Arial"/>
          <w:sz w:val="24"/>
          <w:szCs w:val="24"/>
        </w:rPr>
        <w:t xml:space="preserve">sales </w:t>
      </w:r>
      <w:r>
        <w:rPr>
          <w:rFonts w:ascii="Arial" w:hAnsi="Arial" w:cs="Arial"/>
          <w:sz w:val="24"/>
          <w:szCs w:val="24"/>
        </w:rPr>
        <w:t>grew by 15.2</w:t>
      </w:r>
      <w:r w:rsidRPr="00F27C71">
        <w:rPr>
          <w:rFonts w:ascii="Arial" w:hAnsi="Arial" w:cs="Arial"/>
          <w:sz w:val="24"/>
          <w:szCs w:val="24"/>
        </w:rPr>
        <w:t>% (</w:t>
      </w:r>
      <w:r>
        <w:rPr>
          <w:rFonts w:ascii="Arial" w:hAnsi="Arial" w:cs="Arial"/>
          <w:sz w:val="24"/>
          <w:szCs w:val="24"/>
        </w:rPr>
        <w:t>+11.6</w:t>
      </w:r>
      <w:r w:rsidRPr="00F27C71">
        <w:rPr>
          <w:rFonts w:ascii="Arial" w:hAnsi="Arial" w:cs="Arial"/>
          <w:sz w:val="24"/>
          <w:szCs w:val="24"/>
        </w:rPr>
        <w:t>% LFL) to £</w:t>
      </w:r>
      <w:r>
        <w:rPr>
          <w:rFonts w:ascii="Arial" w:hAnsi="Arial" w:cs="Arial"/>
          <w:sz w:val="24"/>
          <w:szCs w:val="24"/>
        </w:rPr>
        <w:t>212</w:t>
      </w:r>
      <w:r w:rsidRPr="00F27C71">
        <w:rPr>
          <w:rFonts w:ascii="Arial" w:hAnsi="Arial" w:cs="Arial"/>
          <w:sz w:val="24"/>
          <w:szCs w:val="24"/>
        </w:rPr>
        <w:t xml:space="preserve"> million benefiting from </w:t>
      </w:r>
      <w:r>
        <w:rPr>
          <w:rFonts w:ascii="Arial" w:hAnsi="Arial" w:cs="Arial"/>
          <w:sz w:val="24"/>
          <w:szCs w:val="24"/>
        </w:rPr>
        <w:t xml:space="preserve">a strong market. Retail profit was £3 million (2013/14: £3 million </w:t>
      </w:r>
      <w:r w:rsidRPr="0026648B">
        <w:rPr>
          <w:rFonts w:ascii="Arial" w:hAnsi="Arial" w:cs="Arial"/>
          <w:sz w:val="24"/>
          <w:szCs w:val="24"/>
        </w:rPr>
        <w:t>reported</w:t>
      </w:r>
      <w:r>
        <w:rPr>
          <w:rFonts w:ascii="Arial" w:hAnsi="Arial" w:cs="Arial"/>
          <w:sz w:val="24"/>
          <w:szCs w:val="24"/>
        </w:rPr>
        <w:t xml:space="preserve"> retail profit)</w:t>
      </w:r>
      <w:r w:rsidR="00563D52">
        <w:rPr>
          <w:rFonts w:ascii="Arial" w:hAnsi="Arial" w:cs="Arial"/>
          <w:sz w:val="24"/>
          <w:szCs w:val="24"/>
        </w:rPr>
        <w:t xml:space="preserve"> </w:t>
      </w:r>
      <w:r w:rsidR="002F0B30">
        <w:rPr>
          <w:rFonts w:ascii="Arial" w:hAnsi="Arial" w:cs="Arial"/>
          <w:sz w:val="24"/>
          <w:szCs w:val="24"/>
        </w:rPr>
        <w:t xml:space="preserve">reflecting </w:t>
      </w:r>
      <w:r w:rsidR="00563D52">
        <w:rPr>
          <w:rFonts w:ascii="Arial" w:hAnsi="Arial" w:cs="Arial"/>
          <w:sz w:val="24"/>
          <w:szCs w:val="24"/>
        </w:rPr>
        <w:t>adverse foreign currency</w:t>
      </w:r>
      <w:r w:rsidR="002F0B30">
        <w:rPr>
          <w:rFonts w:ascii="Arial" w:hAnsi="Arial" w:cs="Arial"/>
          <w:sz w:val="24"/>
          <w:szCs w:val="24"/>
        </w:rPr>
        <w:t xml:space="preserve"> exchange movements and higher advertising costs compared to H1 last year. </w:t>
      </w:r>
      <w:r w:rsidRPr="00F27C71">
        <w:rPr>
          <w:rFonts w:ascii="Arial" w:hAnsi="Arial" w:cs="Arial"/>
          <w:sz w:val="24"/>
          <w:szCs w:val="24"/>
        </w:rPr>
        <w:t xml:space="preserve">In </w:t>
      </w:r>
      <w:r w:rsidRPr="00F27C71">
        <w:rPr>
          <w:rFonts w:ascii="Arial" w:hAnsi="Arial" w:cs="Arial"/>
          <w:b/>
          <w:sz w:val="24"/>
          <w:szCs w:val="24"/>
        </w:rPr>
        <w:t xml:space="preserve">Turkey, </w:t>
      </w:r>
      <w:r w:rsidRPr="00F27C71">
        <w:rPr>
          <w:rFonts w:ascii="Arial" w:hAnsi="Arial" w:cs="Arial"/>
          <w:sz w:val="24"/>
          <w:szCs w:val="24"/>
        </w:rPr>
        <w:t>Kingfisher’s</w:t>
      </w:r>
      <w:r w:rsidRPr="0026648B">
        <w:rPr>
          <w:rFonts w:ascii="Arial" w:hAnsi="Arial" w:cs="Arial"/>
          <w:sz w:val="24"/>
          <w:szCs w:val="24"/>
        </w:rPr>
        <w:t xml:space="preserve"> 50% JV, </w:t>
      </w:r>
      <w:r>
        <w:rPr>
          <w:rFonts w:ascii="Arial" w:hAnsi="Arial" w:cs="Arial"/>
          <w:bCs/>
          <w:sz w:val="24"/>
          <w:szCs w:val="24"/>
        </w:rPr>
        <w:t>Koçtaş,</w:t>
      </w:r>
      <w:r w:rsidRPr="0026648B">
        <w:rPr>
          <w:rFonts w:ascii="Arial" w:hAnsi="Arial" w:cs="Arial"/>
          <w:bCs/>
          <w:sz w:val="24"/>
          <w:szCs w:val="24"/>
        </w:rPr>
        <w:t xml:space="preserve"> </w:t>
      </w:r>
      <w:r>
        <w:rPr>
          <w:rFonts w:ascii="Arial" w:hAnsi="Arial" w:cs="Arial"/>
          <w:bCs/>
          <w:sz w:val="24"/>
          <w:szCs w:val="24"/>
        </w:rPr>
        <w:t>grew sales by</w:t>
      </w:r>
      <w:r>
        <w:rPr>
          <w:rFonts w:ascii="Arial" w:hAnsi="Arial" w:cs="Arial"/>
          <w:sz w:val="24"/>
          <w:szCs w:val="24"/>
        </w:rPr>
        <w:t xml:space="preserve"> 10.8</w:t>
      </w:r>
      <w:r w:rsidRPr="0026648B">
        <w:rPr>
          <w:rFonts w:ascii="Arial" w:hAnsi="Arial" w:cs="Arial"/>
          <w:sz w:val="24"/>
          <w:szCs w:val="24"/>
        </w:rPr>
        <w:t>% (</w:t>
      </w:r>
      <w:r>
        <w:rPr>
          <w:rFonts w:ascii="Arial" w:hAnsi="Arial" w:cs="Arial"/>
          <w:sz w:val="24"/>
          <w:szCs w:val="24"/>
        </w:rPr>
        <w:t>+1.9</w:t>
      </w:r>
      <w:r w:rsidRPr="0026648B">
        <w:rPr>
          <w:rFonts w:ascii="Arial" w:hAnsi="Arial" w:cs="Arial"/>
          <w:sz w:val="24"/>
          <w:szCs w:val="24"/>
        </w:rPr>
        <w:t>% LFL)</w:t>
      </w:r>
      <w:r>
        <w:rPr>
          <w:rFonts w:ascii="Arial" w:hAnsi="Arial" w:cs="Arial"/>
          <w:sz w:val="24"/>
          <w:szCs w:val="24"/>
        </w:rPr>
        <w:t xml:space="preserve"> to £149 million</w:t>
      </w:r>
      <w:r w:rsidRPr="0026648B">
        <w:rPr>
          <w:rFonts w:ascii="Arial" w:hAnsi="Arial" w:cs="Arial"/>
          <w:sz w:val="24"/>
          <w:szCs w:val="24"/>
        </w:rPr>
        <w:t xml:space="preserve"> </w:t>
      </w:r>
      <w:r>
        <w:rPr>
          <w:rFonts w:ascii="Arial" w:hAnsi="Arial" w:cs="Arial"/>
          <w:sz w:val="24"/>
          <w:szCs w:val="24"/>
        </w:rPr>
        <w:t>benefiting from</w:t>
      </w:r>
      <w:r w:rsidRPr="0026648B">
        <w:rPr>
          <w:rFonts w:ascii="Arial" w:hAnsi="Arial" w:cs="Arial"/>
          <w:sz w:val="24"/>
          <w:szCs w:val="24"/>
        </w:rPr>
        <w:t xml:space="preserve"> </w:t>
      </w:r>
      <w:r>
        <w:rPr>
          <w:rFonts w:ascii="Arial" w:hAnsi="Arial" w:cs="Arial"/>
          <w:sz w:val="24"/>
          <w:szCs w:val="24"/>
        </w:rPr>
        <w:t xml:space="preserve">new store openings. </w:t>
      </w:r>
      <w:r w:rsidRPr="0026648B">
        <w:rPr>
          <w:rFonts w:ascii="Arial" w:hAnsi="Arial" w:cs="Arial"/>
          <w:sz w:val="24"/>
          <w:szCs w:val="24"/>
        </w:rPr>
        <w:t>R</w:t>
      </w:r>
      <w:r>
        <w:rPr>
          <w:rFonts w:ascii="Arial" w:hAnsi="Arial" w:cs="Arial"/>
          <w:sz w:val="24"/>
          <w:szCs w:val="24"/>
        </w:rPr>
        <w:t>etail profit contribution was up 7.2% to £</w:t>
      </w:r>
      <w:r w:rsidR="0058269A">
        <w:rPr>
          <w:rFonts w:ascii="Arial" w:hAnsi="Arial" w:cs="Arial"/>
          <w:sz w:val="24"/>
          <w:szCs w:val="24"/>
        </w:rPr>
        <w:t>4</w:t>
      </w:r>
      <w:r w:rsidRPr="0026648B">
        <w:rPr>
          <w:rFonts w:ascii="Arial" w:hAnsi="Arial" w:cs="Arial"/>
          <w:sz w:val="24"/>
          <w:szCs w:val="24"/>
        </w:rPr>
        <w:t xml:space="preserve"> million</w:t>
      </w:r>
      <w:r>
        <w:rPr>
          <w:rFonts w:ascii="Arial" w:hAnsi="Arial" w:cs="Arial"/>
          <w:sz w:val="24"/>
          <w:szCs w:val="24"/>
        </w:rPr>
        <w:t xml:space="preserve">. In </w:t>
      </w:r>
      <w:r w:rsidRPr="004A1069">
        <w:rPr>
          <w:rFonts w:ascii="Arial" w:hAnsi="Arial" w:cs="Arial"/>
          <w:b/>
          <w:sz w:val="24"/>
          <w:szCs w:val="24"/>
        </w:rPr>
        <w:t>Spain</w:t>
      </w:r>
      <w:r>
        <w:rPr>
          <w:rFonts w:ascii="Arial" w:hAnsi="Arial" w:cs="Arial"/>
          <w:sz w:val="24"/>
          <w:szCs w:val="24"/>
        </w:rPr>
        <w:t>, sales grew by 16.6%</w:t>
      </w:r>
      <w:r w:rsidRPr="00EB0755">
        <w:rPr>
          <w:rFonts w:ascii="Arial" w:hAnsi="Arial" w:cs="Arial"/>
          <w:sz w:val="24"/>
          <w:szCs w:val="24"/>
        </w:rPr>
        <w:t xml:space="preserve"> (</w:t>
      </w:r>
      <w:r>
        <w:rPr>
          <w:rFonts w:ascii="Arial" w:hAnsi="Arial" w:cs="Arial"/>
          <w:sz w:val="24"/>
          <w:szCs w:val="24"/>
        </w:rPr>
        <w:t xml:space="preserve">-6.0% LFL) to £170 million reflecting new store openings offset by a difficult </w:t>
      </w:r>
      <w:r w:rsidR="00F44736">
        <w:rPr>
          <w:rFonts w:ascii="Arial" w:hAnsi="Arial" w:cs="Arial"/>
          <w:sz w:val="24"/>
          <w:szCs w:val="24"/>
        </w:rPr>
        <w:t>environment</w:t>
      </w:r>
      <w:r>
        <w:rPr>
          <w:rFonts w:ascii="Arial" w:hAnsi="Arial" w:cs="Arial"/>
          <w:sz w:val="24"/>
          <w:szCs w:val="24"/>
        </w:rPr>
        <w:t>. Retail profit was up 7.3% to £3</w:t>
      </w:r>
      <w:r w:rsidRPr="00EB0755">
        <w:rPr>
          <w:rFonts w:ascii="Arial" w:hAnsi="Arial" w:cs="Arial"/>
          <w:sz w:val="24"/>
          <w:szCs w:val="24"/>
        </w:rPr>
        <w:t xml:space="preserve"> million</w:t>
      </w:r>
      <w:r>
        <w:rPr>
          <w:rFonts w:ascii="Arial" w:hAnsi="Arial" w:cs="Arial"/>
          <w:sz w:val="24"/>
          <w:szCs w:val="24"/>
        </w:rPr>
        <w:t xml:space="preserve">. </w:t>
      </w:r>
    </w:p>
    <w:p w:rsidR="00DE4AA8" w:rsidRDefault="00DE4AA8" w:rsidP="00DE4AA8">
      <w:pPr>
        <w:jc w:val="left"/>
        <w:rPr>
          <w:rFonts w:ascii="Arial" w:hAnsi="Arial" w:cs="Arial"/>
          <w:sz w:val="24"/>
          <w:szCs w:val="24"/>
        </w:rPr>
      </w:pPr>
    </w:p>
    <w:p w:rsidR="00DE4AA8" w:rsidRDefault="00DE4AA8" w:rsidP="00DE4AA8">
      <w:pPr>
        <w:jc w:val="left"/>
        <w:rPr>
          <w:rFonts w:ascii="Arial" w:hAnsi="Arial" w:cs="Arial"/>
          <w:sz w:val="24"/>
          <w:szCs w:val="24"/>
        </w:rPr>
      </w:pPr>
      <w:r w:rsidRPr="0026648B">
        <w:rPr>
          <w:rFonts w:ascii="Arial" w:hAnsi="Arial" w:cs="Arial"/>
          <w:sz w:val="24"/>
          <w:szCs w:val="24"/>
        </w:rPr>
        <w:t xml:space="preserve">B&amp;Q </w:t>
      </w:r>
      <w:r w:rsidRPr="0026648B">
        <w:rPr>
          <w:rFonts w:ascii="Arial" w:hAnsi="Arial" w:cs="Arial"/>
          <w:b/>
          <w:sz w:val="24"/>
          <w:szCs w:val="24"/>
        </w:rPr>
        <w:t>China</w:t>
      </w:r>
      <w:r w:rsidRPr="0026648B">
        <w:rPr>
          <w:rFonts w:ascii="Arial" w:hAnsi="Arial" w:cs="Arial"/>
          <w:sz w:val="24"/>
          <w:szCs w:val="24"/>
        </w:rPr>
        <w:t xml:space="preserve"> sales </w:t>
      </w:r>
      <w:r>
        <w:rPr>
          <w:rFonts w:ascii="Arial" w:hAnsi="Arial" w:cs="Arial"/>
          <w:sz w:val="24"/>
          <w:szCs w:val="24"/>
        </w:rPr>
        <w:t>decreased by 7.6</w:t>
      </w:r>
      <w:r w:rsidRPr="0026648B">
        <w:rPr>
          <w:rFonts w:ascii="Arial" w:hAnsi="Arial" w:cs="Arial"/>
          <w:sz w:val="24"/>
          <w:szCs w:val="24"/>
        </w:rPr>
        <w:t>% (</w:t>
      </w:r>
      <w:r>
        <w:rPr>
          <w:rFonts w:ascii="Arial" w:hAnsi="Arial" w:cs="Arial"/>
          <w:sz w:val="24"/>
          <w:szCs w:val="24"/>
        </w:rPr>
        <w:t xml:space="preserve">-7.3% LFL) to £163 million impacted by a slowing Chinese property market* which was down around </w:t>
      </w:r>
      <w:r w:rsidR="00D719C0">
        <w:rPr>
          <w:rFonts w:ascii="Arial" w:hAnsi="Arial" w:cs="Arial"/>
          <w:sz w:val="24"/>
          <w:szCs w:val="24"/>
        </w:rPr>
        <w:t>1</w:t>
      </w:r>
      <w:r>
        <w:rPr>
          <w:rFonts w:ascii="Arial" w:hAnsi="Arial" w:cs="Arial"/>
          <w:sz w:val="24"/>
          <w:szCs w:val="24"/>
        </w:rPr>
        <w:t>8%. The r</w:t>
      </w:r>
      <w:r w:rsidRPr="0026648B">
        <w:rPr>
          <w:rFonts w:ascii="Arial" w:hAnsi="Arial" w:cs="Arial"/>
          <w:sz w:val="24"/>
          <w:szCs w:val="24"/>
        </w:rPr>
        <w:t>etail loss</w:t>
      </w:r>
      <w:r>
        <w:rPr>
          <w:rFonts w:ascii="Arial" w:hAnsi="Arial" w:cs="Arial"/>
          <w:sz w:val="24"/>
          <w:szCs w:val="24"/>
        </w:rPr>
        <w:t xml:space="preserve"> w</w:t>
      </w:r>
      <w:r w:rsidRPr="0026648B">
        <w:rPr>
          <w:rFonts w:ascii="Arial" w:hAnsi="Arial" w:cs="Arial"/>
          <w:sz w:val="24"/>
          <w:szCs w:val="24"/>
        </w:rPr>
        <w:t xml:space="preserve">as </w:t>
      </w:r>
      <w:r>
        <w:rPr>
          <w:rFonts w:ascii="Arial" w:hAnsi="Arial" w:cs="Arial"/>
          <w:sz w:val="24"/>
          <w:szCs w:val="24"/>
        </w:rPr>
        <w:t>£11</w:t>
      </w:r>
      <w:r w:rsidRPr="0026648B">
        <w:rPr>
          <w:rFonts w:ascii="Arial" w:hAnsi="Arial" w:cs="Arial"/>
          <w:sz w:val="24"/>
          <w:szCs w:val="24"/>
        </w:rPr>
        <w:t xml:space="preserve"> million </w:t>
      </w:r>
      <w:r>
        <w:rPr>
          <w:rFonts w:ascii="Arial" w:hAnsi="Arial" w:cs="Arial"/>
          <w:sz w:val="24"/>
          <w:szCs w:val="24"/>
        </w:rPr>
        <w:t>(2013/14</w:t>
      </w:r>
      <w:r w:rsidRPr="0026648B">
        <w:rPr>
          <w:rFonts w:ascii="Arial" w:hAnsi="Arial" w:cs="Arial"/>
          <w:sz w:val="24"/>
          <w:szCs w:val="24"/>
        </w:rPr>
        <w:t xml:space="preserve">: </w:t>
      </w:r>
      <w:r>
        <w:rPr>
          <w:rFonts w:ascii="Arial" w:hAnsi="Arial" w:cs="Arial"/>
          <w:sz w:val="24"/>
          <w:szCs w:val="24"/>
        </w:rPr>
        <w:t>£7</w:t>
      </w:r>
      <w:r w:rsidRPr="0026648B">
        <w:rPr>
          <w:rFonts w:ascii="Arial" w:hAnsi="Arial" w:cs="Arial"/>
          <w:sz w:val="24"/>
          <w:szCs w:val="24"/>
        </w:rPr>
        <w:t xml:space="preserve"> million reported loss)</w:t>
      </w:r>
      <w:r>
        <w:rPr>
          <w:rFonts w:ascii="Arial" w:hAnsi="Arial" w:cs="Arial"/>
          <w:sz w:val="24"/>
          <w:szCs w:val="24"/>
        </w:rPr>
        <w:t xml:space="preserve"> including around £</w:t>
      </w:r>
      <w:r w:rsidRPr="00A31BD4">
        <w:rPr>
          <w:rFonts w:ascii="Arial" w:hAnsi="Arial" w:cs="Arial"/>
          <w:sz w:val="24"/>
          <w:szCs w:val="24"/>
        </w:rPr>
        <w:t>2</w:t>
      </w:r>
      <w:r>
        <w:rPr>
          <w:rFonts w:ascii="Arial" w:hAnsi="Arial" w:cs="Arial"/>
          <w:sz w:val="24"/>
          <w:szCs w:val="24"/>
        </w:rPr>
        <w:t xml:space="preserve"> million of costs relating to the new format trial.</w:t>
      </w:r>
      <w:r w:rsidR="00563D52">
        <w:rPr>
          <w:rFonts w:ascii="Arial" w:hAnsi="Arial" w:cs="Arial"/>
          <w:sz w:val="24"/>
          <w:szCs w:val="24"/>
        </w:rPr>
        <w:t xml:space="preserve"> </w:t>
      </w:r>
    </w:p>
    <w:p w:rsidR="0042715D" w:rsidRDefault="006D455C" w:rsidP="00DE4AA8">
      <w:pPr>
        <w:jc w:val="left"/>
        <w:rPr>
          <w:rFonts w:ascii="Arial" w:hAnsi="Arial" w:cs="Arial"/>
          <w:sz w:val="24"/>
          <w:szCs w:val="24"/>
        </w:rPr>
      </w:pPr>
      <w:r>
        <w:rPr>
          <w:rFonts w:ascii="Arial" w:hAnsi="Arial" w:cs="Arial"/>
          <w:sz w:val="24"/>
          <w:szCs w:val="24"/>
        </w:rPr>
        <w:br w:type="page"/>
      </w:r>
    </w:p>
    <w:p w:rsidR="00DE4AA8" w:rsidRDefault="00B23F1E" w:rsidP="00DE4AA8">
      <w:pPr>
        <w:jc w:val="left"/>
        <w:rPr>
          <w:rFonts w:ascii="Arial" w:hAnsi="Arial" w:cs="Arial"/>
          <w:b/>
          <w:sz w:val="24"/>
          <w:szCs w:val="24"/>
        </w:rPr>
      </w:pPr>
      <w:r>
        <w:rPr>
          <w:rFonts w:ascii="Arial" w:hAnsi="Arial" w:cs="Arial"/>
          <w:b/>
          <w:sz w:val="24"/>
          <w:szCs w:val="24"/>
        </w:rPr>
        <w:lastRenderedPageBreak/>
        <w:t>New country d</w:t>
      </w:r>
      <w:r w:rsidR="00DE4AA8" w:rsidRPr="004A1069">
        <w:rPr>
          <w:rFonts w:ascii="Arial" w:hAnsi="Arial" w:cs="Arial"/>
          <w:b/>
          <w:sz w:val="24"/>
          <w:szCs w:val="24"/>
        </w:rPr>
        <w:t>evelopment activity</w:t>
      </w:r>
    </w:p>
    <w:p w:rsidR="00927442" w:rsidRPr="004A1069" w:rsidRDefault="00927442" w:rsidP="00DE4AA8">
      <w:pPr>
        <w:jc w:val="left"/>
        <w:rPr>
          <w:rFonts w:ascii="Arial" w:hAnsi="Arial" w:cs="Arial"/>
          <w:b/>
          <w:sz w:val="24"/>
          <w:szCs w:val="24"/>
        </w:rPr>
      </w:pPr>
    </w:p>
    <w:p w:rsidR="00DE4AA8" w:rsidRDefault="00DE4AA8" w:rsidP="00DE4AA8">
      <w:pPr>
        <w:jc w:val="left"/>
        <w:rPr>
          <w:rFonts w:ascii="Arial" w:hAnsi="Arial" w:cs="Arial"/>
          <w:sz w:val="24"/>
          <w:szCs w:val="24"/>
        </w:rPr>
      </w:pPr>
      <w:r>
        <w:rPr>
          <w:rFonts w:ascii="Arial" w:hAnsi="Arial" w:cs="Arial"/>
          <w:sz w:val="24"/>
          <w:szCs w:val="24"/>
        </w:rPr>
        <w:t xml:space="preserve">Bricostore </w:t>
      </w:r>
      <w:r w:rsidRPr="00587CA4">
        <w:rPr>
          <w:rFonts w:ascii="Arial" w:hAnsi="Arial" w:cs="Arial"/>
          <w:b/>
          <w:sz w:val="24"/>
          <w:szCs w:val="24"/>
        </w:rPr>
        <w:t>Romania</w:t>
      </w:r>
      <w:r>
        <w:rPr>
          <w:rFonts w:ascii="Arial" w:hAnsi="Arial" w:cs="Arial"/>
          <w:sz w:val="24"/>
          <w:szCs w:val="24"/>
        </w:rPr>
        <w:t>, acquired in Q2 2013/14, contributed sales of £42 million</w:t>
      </w:r>
      <w:r w:rsidR="009226A4">
        <w:rPr>
          <w:rFonts w:ascii="Arial" w:hAnsi="Arial" w:cs="Arial"/>
          <w:sz w:val="24"/>
          <w:szCs w:val="24"/>
        </w:rPr>
        <w:t>. The r</w:t>
      </w:r>
      <w:r>
        <w:rPr>
          <w:rFonts w:ascii="Arial" w:hAnsi="Arial" w:cs="Arial"/>
          <w:sz w:val="24"/>
          <w:szCs w:val="24"/>
        </w:rPr>
        <w:t xml:space="preserve">etail loss of £6 </w:t>
      </w:r>
      <w:r w:rsidRPr="002613DC">
        <w:rPr>
          <w:rFonts w:ascii="Arial" w:hAnsi="Arial" w:cs="Arial"/>
          <w:sz w:val="24"/>
          <w:szCs w:val="24"/>
        </w:rPr>
        <w:t>million</w:t>
      </w:r>
      <w:r>
        <w:rPr>
          <w:rFonts w:ascii="Arial" w:hAnsi="Arial" w:cs="Arial"/>
          <w:sz w:val="24"/>
          <w:szCs w:val="24"/>
        </w:rPr>
        <w:t xml:space="preserve"> includ</w:t>
      </w:r>
      <w:r w:rsidR="009226A4">
        <w:rPr>
          <w:rFonts w:ascii="Arial" w:hAnsi="Arial" w:cs="Arial"/>
          <w:sz w:val="24"/>
          <w:szCs w:val="24"/>
        </w:rPr>
        <w:t>es</w:t>
      </w:r>
      <w:r>
        <w:rPr>
          <w:rFonts w:ascii="Arial" w:hAnsi="Arial" w:cs="Arial"/>
          <w:sz w:val="24"/>
          <w:szCs w:val="24"/>
        </w:rPr>
        <w:t xml:space="preserve"> costs relating to the conversion of stores to the Brico Dépôt format</w:t>
      </w:r>
      <w:r w:rsidR="009226A4">
        <w:rPr>
          <w:rFonts w:ascii="Arial" w:hAnsi="Arial" w:cs="Arial"/>
          <w:sz w:val="24"/>
          <w:szCs w:val="24"/>
        </w:rPr>
        <w:t xml:space="preserve">, which are outperforming the previous format. </w:t>
      </w:r>
      <w:r>
        <w:rPr>
          <w:rFonts w:ascii="Arial" w:hAnsi="Arial" w:cs="Arial"/>
          <w:sz w:val="24"/>
          <w:szCs w:val="24"/>
        </w:rPr>
        <w:t xml:space="preserve">Costs relating to the previously announced country entry into </w:t>
      </w:r>
      <w:r w:rsidRPr="00E022B9">
        <w:rPr>
          <w:rFonts w:ascii="Arial" w:hAnsi="Arial" w:cs="Arial"/>
          <w:b/>
          <w:sz w:val="24"/>
          <w:szCs w:val="24"/>
        </w:rPr>
        <w:t>Germany</w:t>
      </w:r>
      <w:r>
        <w:rPr>
          <w:rFonts w:ascii="Arial" w:hAnsi="Arial" w:cs="Arial"/>
          <w:sz w:val="24"/>
          <w:szCs w:val="24"/>
        </w:rPr>
        <w:t xml:space="preserve"> with Screwfix and </w:t>
      </w:r>
      <w:r w:rsidRPr="00E022B9">
        <w:rPr>
          <w:rFonts w:ascii="Arial" w:hAnsi="Arial" w:cs="Arial"/>
          <w:b/>
          <w:sz w:val="24"/>
          <w:szCs w:val="24"/>
        </w:rPr>
        <w:t>Portugal</w:t>
      </w:r>
      <w:r>
        <w:rPr>
          <w:rFonts w:ascii="Arial" w:hAnsi="Arial" w:cs="Arial"/>
          <w:b/>
          <w:sz w:val="24"/>
          <w:szCs w:val="24"/>
        </w:rPr>
        <w:t xml:space="preserve"> </w:t>
      </w:r>
      <w:r>
        <w:rPr>
          <w:rFonts w:ascii="Arial" w:hAnsi="Arial" w:cs="Arial"/>
          <w:sz w:val="24"/>
          <w:szCs w:val="24"/>
        </w:rPr>
        <w:t xml:space="preserve">Brico Dépôt amounted to £5 million. </w:t>
      </w:r>
    </w:p>
    <w:p w:rsidR="00527C9A" w:rsidRDefault="00527C9A" w:rsidP="00DE4AA8">
      <w:pPr>
        <w:jc w:val="left"/>
        <w:rPr>
          <w:rFonts w:ascii="Arial" w:hAnsi="Arial" w:cs="Arial"/>
          <w:sz w:val="24"/>
          <w:szCs w:val="24"/>
        </w:rPr>
      </w:pPr>
    </w:p>
    <w:p w:rsidR="007B2539" w:rsidRDefault="007B2539">
      <w:pPr>
        <w:jc w:val="left"/>
        <w:rPr>
          <w:rFonts w:ascii="Arial" w:hAnsi="Arial" w:cs="Arial"/>
          <w:b/>
          <w:bCs/>
          <w:sz w:val="24"/>
          <w:szCs w:val="24"/>
        </w:rPr>
      </w:pPr>
      <w:r>
        <w:rPr>
          <w:rFonts w:ascii="Arial" w:hAnsi="Arial" w:cs="Arial"/>
          <w:b/>
          <w:bCs/>
          <w:sz w:val="24"/>
          <w:szCs w:val="24"/>
        </w:rPr>
        <w:br w:type="page"/>
      </w:r>
    </w:p>
    <w:p w:rsidR="00616A26" w:rsidRPr="0026648B" w:rsidRDefault="00616A26" w:rsidP="00616A26">
      <w:pPr>
        <w:jc w:val="left"/>
        <w:rPr>
          <w:rFonts w:ascii="Arial" w:hAnsi="Arial" w:cs="Arial"/>
          <w:b/>
          <w:bCs/>
          <w:sz w:val="24"/>
          <w:szCs w:val="24"/>
        </w:rPr>
      </w:pPr>
      <w:r w:rsidRPr="0026648B">
        <w:rPr>
          <w:rFonts w:ascii="Arial" w:hAnsi="Arial" w:cs="Arial"/>
          <w:b/>
          <w:bCs/>
          <w:sz w:val="24"/>
          <w:szCs w:val="24"/>
        </w:rPr>
        <w:lastRenderedPageBreak/>
        <w:t>Section 3</w:t>
      </w:r>
      <w:r w:rsidR="00376255">
        <w:rPr>
          <w:rFonts w:ascii="Arial" w:hAnsi="Arial" w:cs="Arial"/>
          <w:b/>
          <w:bCs/>
          <w:sz w:val="24"/>
          <w:szCs w:val="24"/>
        </w:rPr>
        <w:t xml:space="preserve">: </w:t>
      </w:r>
      <w:r w:rsidR="0026648B">
        <w:rPr>
          <w:rFonts w:ascii="Arial" w:hAnsi="Arial" w:cs="Arial"/>
          <w:b/>
          <w:bCs/>
          <w:sz w:val="24"/>
          <w:szCs w:val="24"/>
        </w:rPr>
        <w:t xml:space="preserve">SUMMARY </w:t>
      </w:r>
      <w:r w:rsidRPr="0026648B">
        <w:rPr>
          <w:rFonts w:ascii="Arial" w:hAnsi="Arial" w:cs="Arial"/>
          <w:b/>
          <w:bCs/>
          <w:sz w:val="24"/>
          <w:szCs w:val="24"/>
        </w:rPr>
        <w:t>DATA BY GEOGRAPHY</w:t>
      </w:r>
    </w:p>
    <w:p w:rsidR="00616A26" w:rsidRPr="0026648B" w:rsidRDefault="00616A26" w:rsidP="00616A26">
      <w:pPr>
        <w:jc w:val="left"/>
        <w:rPr>
          <w:rFonts w:ascii="Arial" w:hAnsi="Arial" w:cs="Arial"/>
          <w:sz w:val="24"/>
          <w:szCs w:val="24"/>
          <w:highlight w:val="magenta"/>
        </w:rPr>
      </w:pPr>
    </w:p>
    <w:tbl>
      <w:tblPr>
        <w:tblW w:w="4296" w:type="pct"/>
        <w:tblInd w:w="2" w:type="dxa"/>
        <w:tblLayout w:type="fixed"/>
        <w:tblLook w:val="01E0" w:firstRow="1" w:lastRow="1" w:firstColumn="1" w:lastColumn="1" w:noHBand="0" w:noVBand="0"/>
      </w:tblPr>
      <w:tblGrid>
        <w:gridCol w:w="2738"/>
        <w:gridCol w:w="2083"/>
        <w:gridCol w:w="1665"/>
        <w:gridCol w:w="1798"/>
      </w:tblGrid>
      <w:tr w:rsidR="006E1122" w:rsidRPr="00271E01" w:rsidTr="006E1122">
        <w:trPr>
          <w:trHeight w:val="739"/>
        </w:trPr>
        <w:tc>
          <w:tcPr>
            <w:tcW w:w="1653" w:type="pct"/>
            <w:tcBorders>
              <w:bottom w:val="single" w:sz="4" w:space="0" w:color="auto"/>
            </w:tcBorders>
          </w:tcPr>
          <w:p w:rsidR="006E1122" w:rsidRPr="00271E01" w:rsidRDefault="006E1122" w:rsidP="00650C67">
            <w:pPr>
              <w:ind w:left="110" w:hanging="110"/>
              <w:jc w:val="left"/>
              <w:rPr>
                <w:rFonts w:ascii="Arial" w:hAnsi="Arial" w:cs="Arial"/>
                <w:b/>
                <w:bCs/>
              </w:rPr>
            </w:pPr>
            <w:r>
              <w:rPr>
                <w:rFonts w:ascii="Arial" w:hAnsi="Arial" w:cs="Arial"/>
              </w:rPr>
              <w:t xml:space="preserve">As at </w:t>
            </w:r>
            <w:r w:rsidR="00ED3ED6">
              <w:rPr>
                <w:rFonts w:ascii="Arial" w:hAnsi="Arial" w:cs="Arial"/>
              </w:rPr>
              <w:t>2</w:t>
            </w:r>
            <w:r w:rsidR="00FB4505">
              <w:rPr>
                <w:rFonts w:ascii="Arial" w:hAnsi="Arial" w:cs="Arial"/>
              </w:rPr>
              <w:t xml:space="preserve"> </w:t>
            </w:r>
            <w:r w:rsidR="00650C67">
              <w:rPr>
                <w:rFonts w:ascii="Arial" w:hAnsi="Arial" w:cs="Arial"/>
              </w:rPr>
              <w:t>August</w:t>
            </w:r>
            <w:r>
              <w:rPr>
                <w:rFonts w:ascii="Arial" w:hAnsi="Arial" w:cs="Arial"/>
              </w:rPr>
              <w:t xml:space="preserve"> 2014</w:t>
            </w:r>
          </w:p>
        </w:tc>
        <w:tc>
          <w:tcPr>
            <w:tcW w:w="1257" w:type="pct"/>
            <w:tcBorders>
              <w:bottom w:val="single" w:sz="4" w:space="0" w:color="auto"/>
            </w:tcBorders>
          </w:tcPr>
          <w:p w:rsidR="006E1122" w:rsidRDefault="006E1122" w:rsidP="006E1122">
            <w:pPr>
              <w:ind w:left="110" w:hanging="110"/>
              <w:jc w:val="right"/>
              <w:rPr>
                <w:rFonts w:ascii="Arial" w:hAnsi="Arial" w:cs="Arial"/>
                <w:b/>
                <w:bCs/>
              </w:rPr>
            </w:pPr>
            <w:r w:rsidRPr="00271E01">
              <w:rPr>
                <w:rFonts w:ascii="Arial" w:hAnsi="Arial" w:cs="Arial"/>
                <w:b/>
                <w:bCs/>
              </w:rPr>
              <w:t xml:space="preserve">Store </w:t>
            </w:r>
          </w:p>
          <w:p w:rsidR="006E1122" w:rsidRPr="00271E01" w:rsidRDefault="006E1122" w:rsidP="006E1122">
            <w:pPr>
              <w:ind w:left="110" w:hanging="110"/>
              <w:jc w:val="right"/>
              <w:rPr>
                <w:rFonts w:ascii="Arial" w:hAnsi="Arial" w:cs="Arial"/>
                <w:b/>
                <w:bCs/>
                <w:highlight w:val="magenta"/>
              </w:rPr>
            </w:pPr>
            <w:r w:rsidRPr="00271E01">
              <w:rPr>
                <w:rFonts w:ascii="Arial" w:hAnsi="Arial" w:cs="Arial"/>
                <w:b/>
                <w:bCs/>
              </w:rPr>
              <w:t>numbers</w:t>
            </w:r>
          </w:p>
        </w:tc>
        <w:tc>
          <w:tcPr>
            <w:tcW w:w="1005" w:type="pct"/>
            <w:tcBorders>
              <w:bottom w:val="single" w:sz="4" w:space="0" w:color="auto"/>
            </w:tcBorders>
          </w:tcPr>
          <w:p w:rsidR="006E1122" w:rsidRPr="002E35F8" w:rsidRDefault="006E1122" w:rsidP="006E1122">
            <w:pPr>
              <w:ind w:left="110" w:hanging="110"/>
              <w:jc w:val="right"/>
              <w:rPr>
                <w:rFonts w:ascii="Arial" w:hAnsi="Arial" w:cs="Arial"/>
                <w:b/>
                <w:bCs/>
              </w:rPr>
            </w:pPr>
            <w:r w:rsidRPr="002E35F8">
              <w:rPr>
                <w:rFonts w:ascii="Arial" w:hAnsi="Arial" w:cs="Arial"/>
                <w:b/>
                <w:bCs/>
              </w:rPr>
              <w:t>Selling space</w:t>
            </w:r>
          </w:p>
          <w:p w:rsidR="006E1122" w:rsidRPr="009618C2" w:rsidRDefault="006E1122" w:rsidP="006E1122">
            <w:pPr>
              <w:ind w:left="110" w:hanging="110"/>
              <w:jc w:val="right"/>
              <w:rPr>
                <w:rFonts w:ascii="Arial" w:hAnsi="Arial" w:cs="Arial"/>
                <w:b/>
                <w:bCs/>
              </w:rPr>
            </w:pPr>
            <w:r w:rsidRPr="009618C2">
              <w:rPr>
                <w:rFonts w:ascii="Arial" w:hAnsi="Arial" w:cs="Arial"/>
                <w:b/>
                <w:bCs/>
              </w:rPr>
              <w:t>(000s</w:t>
            </w:r>
            <w:r>
              <w:rPr>
                <w:rFonts w:ascii="Arial" w:hAnsi="Arial" w:cs="Arial"/>
                <w:b/>
                <w:bCs/>
              </w:rPr>
              <w:t xml:space="preserve"> </w:t>
            </w:r>
            <w:r w:rsidRPr="009618C2">
              <w:rPr>
                <w:rFonts w:ascii="Arial" w:hAnsi="Arial" w:cs="Arial"/>
                <w:b/>
                <w:bCs/>
              </w:rPr>
              <w:t>m</w:t>
            </w:r>
            <w:r w:rsidRPr="00CB5842">
              <w:rPr>
                <w:rFonts w:ascii="Arial" w:hAnsi="Arial" w:cs="Arial"/>
                <w:b/>
                <w:bCs/>
                <w:vertAlign w:val="superscript"/>
              </w:rPr>
              <w:t>2</w:t>
            </w:r>
            <w:r w:rsidRPr="009618C2">
              <w:rPr>
                <w:rFonts w:ascii="Arial" w:hAnsi="Arial" w:cs="Arial"/>
                <w:b/>
                <w:bCs/>
              </w:rPr>
              <w:t>)</w:t>
            </w:r>
          </w:p>
        </w:tc>
        <w:tc>
          <w:tcPr>
            <w:tcW w:w="1085" w:type="pct"/>
            <w:tcBorders>
              <w:bottom w:val="single" w:sz="4" w:space="0" w:color="auto"/>
            </w:tcBorders>
          </w:tcPr>
          <w:p w:rsidR="006E1122" w:rsidRPr="002E35F8" w:rsidRDefault="006E1122" w:rsidP="006E1122">
            <w:pPr>
              <w:ind w:left="110" w:hanging="110"/>
              <w:jc w:val="right"/>
              <w:rPr>
                <w:rFonts w:ascii="Arial" w:hAnsi="Arial" w:cs="Arial"/>
                <w:b/>
                <w:bCs/>
              </w:rPr>
            </w:pPr>
            <w:r w:rsidRPr="002E35F8">
              <w:rPr>
                <w:rFonts w:ascii="Arial" w:hAnsi="Arial" w:cs="Arial"/>
                <w:b/>
                <w:bCs/>
              </w:rPr>
              <w:t>Employees</w:t>
            </w:r>
          </w:p>
          <w:p w:rsidR="006E1122" w:rsidRPr="009618C2" w:rsidRDefault="006E1122" w:rsidP="006E1122">
            <w:pPr>
              <w:ind w:left="110" w:hanging="110"/>
              <w:jc w:val="right"/>
              <w:rPr>
                <w:rFonts w:ascii="Arial" w:hAnsi="Arial" w:cs="Arial"/>
                <w:b/>
                <w:bCs/>
              </w:rPr>
            </w:pPr>
            <w:r w:rsidRPr="009618C2">
              <w:rPr>
                <w:rFonts w:ascii="Arial" w:hAnsi="Arial" w:cs="Arial"/>
                <w:b/>
                <w:bCs/>
              </w:rPr>
              <w:t>(FTE)</w:t>
            </w:r>
          </w:p>
        </w:tc>
      </w:tr>
      <w:tr w:rsidR="006E1122" w:rsidRPr="00271E01" w:rsidTr="006E1122">
        <w:tc>
          <w:tcPr>
            <w:tcW w:w="1653" w:type="pct"/>
            <w:tcBorders>
              <w:top w:val="single" w:sz="4" w:space="0" w:color="auto"/>
            </w:tcBorders>
          </w:tcPr>
          <w:p w:rsidR="006E1122" w:rsidRPr="00271E01" w:rsidRDefault="006E1122" w:rsidP="006E1122">
            <w:pPr>
              <w:ind w:left="110" w:hanging="110"/>
              <w:jc w:val="left"/>
              <w:rPr>
                <w:rFonts w:ascii="Arial" w:hAnsi="Arial" w:cs="Arial"/>
              </w:rPr>
            </w:pPr>
            <w:r w:rsidRPr="00271E01">
              <w:rPr>
                <w:rFonts w:ascii="Arial" w:hAnsi="Arial" w:cs="Arial"/>
              </w:rPr>
              <w:t>Castorama</w:t>
            </w:r>
            <w:r w:rsidRPr="00271E01" w:rsidDel="00CC3AB5">
              <w:rPr>
                <w:rFonts w:ascii="Arial" w:hAnsi="Arial" w:cs="Arial"/>
              </w:rPr>
              <w:t xml:space="preserve"> </w:t>
            </w:r>
          </w:p>
        </w:tc>
        <w:tc>
          <w:tcPr>
            <w:tcW w:w="1257" w:type="pct"/>
            <w:tcBorders>
              <w:top w:val="single" w:sz="4" w:space="0" w:color="auto"/>
            </w:tcBorders>
          </w:tcPr>
          <w:p w:rsidR="006E1122" w:rsidRPr="00271E01" w:rsidRDefault="00D302CB" w:rsidP="006E1122">
            <w:pPr>
              <w:ind w:left="110" w:hanging="110"/>
              <w:jc w:val="right"/>
              <w:rPr>
                <w:rFonts w:ascii="Arial" w:hAnsi="Arial" w:cs="Arial"/>
              </w:rPr>
            </w:pPr>
            <w:r>
              <w:rPr>
                <w:rFonts w:ascii="Arial" w:hAnsi="Arial" w:cs="Arial"/>
              </w:rPr>
              <w:t>103</w:t>
            </w:r>
          </w:p>
        </w:tc>
        <w:tc>
          <w:tcPr>
            <w:tcW w:w="1005" w:type="pct"/>
            <w:tcBorders>
              <w:top w:val="single" w:sz="4" w:space="0" w:color="auto"/>
            </w:tcBorders>
          </w:tcPr>
          <w:p w:rsidR="006E1122" w:rsidRPr="00271E01" w:rsidRDefault="00D302CB" w:rsidP="006E1122">
            <w:pPr>
              <w:ind w:left="110" w:hanging="110"/>
              <w:jc w:val="right"/>
              <w:rPr>
                <w:rFonts w:ascii="Arial" w:hAnsi="Arial" w:cs="Arial"/>
              </w:rPr>
            </w:pPr>
            <w:r>
              <w:rPr>
                <w:rFonts w:ascii="Arial" w:hAnsi="Arial" w:cs="Arial"/>
              </w:rPr>
              <w:t>1,117</w:t>
            </w:r>
          </w:p>
        </w:tc>
        <w:tc>
          <w:tcPr>
            <w:tcW w:w="1085" w:type="pct"/>
            <w:tcBorders>
              <w:top w:val="single" w:sz="4" w:space="0" w:color="auto"/>
            </w:tcBorders>
          </w:tcPr>
          <w:p w:rsidR="006E1122" w:rsidRPr="00271E01" w:rsidRDefault="00D302CB" w:rsidP="006E1122">
            <w:pPr>
              <w:ind w:left="110" w:hanging="110"/>
              <w:jc w:val="right"/>
              <w:rPr>
                <w:rFonts w:ascii="Arial" w:hAnsi="Arial" w:cs="Arial"/>
              </w:rPr>
            </w:pPr>
            <w:r>
              <w:rPr>
                <w:rFonts w:ascii="Arial" w:hAnsi="Arial" w:cs="Arial"/>
              </w:rPr>
              <w:t>12,392</w:t>
            </w:r>
          </w:p>
        </w:tc>
      </w:tr>
      <w:tr w:rsidR="006E1122" w:rsidRPr="00271E01" w:rsidTr="006E1122">
        <w:tc>
          <w:tcPr>
            <w:tcW w:w="1653" w:type="pct"/>
            <w:tcBorders>
              <w:bottom w:val="single" w:sz="4" w:space="0" w:color="auto"/>
            </w:tcBorders>
          </w:tcPr>
          <w:p w:rsidR="006E1122" w:rsidRPr="00271E01" w:rsidRDefault="006E1122" w:rsidP="006E1122">
            <w:pPr>
              <w:ind w:left="110" w:hanging="110"/>
              <w:jc w:val="left"/>
              <w:rPr>
                <w:rFonts w:ascii="Arial" w:hAnsi="Arial" w:cs="Arial"/>
              </w:rPr>
            </w:pPr>
            <w:r w:rsidRPr="00271E01">
              <w:rPr>
                <w:rFonts w:ascii="Arial" w:hAnsi="Arial" w:cs="Arial"/>
              </w:rPr>
              <w:t>Brico Dépôt</w:t>
            </w:r>
          </w:p>
        </w:tc>
        <w:tc>
          <w:tcPr>
            <w:tcW w:w="1257" w:type="pct"/>
            <w:tcBorders>
              <w:bottom w:val="single" w:sz="4" w:space="0" w:color="auto"/>
            </w:tcBorders>
          </w:tcPr>
          <w:p w:rsidR="006E1122" w:rsidRPr="00271E01" w:rsidRDefault="00D302CB" w:rsidP="006E1122">
            <w:pPr>
              <w:ind w:left="110" w:hanging="110"/>
              <w:jc w:val="right"/>
              <w:rPr>
                <w:rFonts w:ascii="Arial" w:hAnsi="Arial" w:cs="Arial"/>
              </w:rPr>
            </w:pPr>
            <w:r>
              <w:rPr>
                <w:rFonts w:ascii="Arial" w:hAnsi="Arial" w:cs="Arial"/>
              </w:rPr>
              <w:t>112</w:t>
            </w:r>
          </w:p>
        </w:tc>
        <w:tc>
          <w:tcPr>
            <w:tcW w:w="1005" w:type="pct"/>
            <w:tcBorders>
              <w:bottom w:val="single" w:sz="4" w:space="0" w:color="auto"/>
            </w:tcBorders>
          </w:tcPr>
          <w:p w:rsidR="006E1122" w:rsidRPr="00271E01" w:rsidRDefault="00D302CB" w:rsidP="006E1122">
            <w:pPr>
              <w:ind w:left="110" w:hanging="110"/>
              <w:jc w:val="right"/>
              <w:rPr>
                <w:rFonts w:ascii="Arial" w:hAnsi="Arial" w:cs="Arial"/>
              </w:rPr>
            </w:pPr>
            <w:r>
              <w:rPr>
                <w:rFonts w:ascii="Arial" w:hAnsi="Arial" w:cs="Arial"/>
              </w:rPr>
              <w:t>625</w:t>
            </w:r>
          </w:p>
        </w:tc>
        <w:tc>
          <w:tcPr>
            <w:tcW w:w="1085" w:type="pct"/>
            <w:tcBorders>
              <w:bottom w:val="single" w:sz="4" w:space="0" w:color="auto"/>
            </w:tcBorders>
          </w:tcPr>
          <w:p w:rsidR="006E1122" w:rsidRPr="00271E01" w:rsidRDefault="00D302CB" w:rsidP="006E1122">
            <w:pPr>
              <w:ind w:left="110" w:hanging="110"/>
              <w:jc w:val="right"/>
              <w:rPr>
                <w:rFonts w:ascii="Arial" w:hAnsi="Arial" w:cs="Arial"/>
              </w:rPr>
            </w:pPr>
            <w:r>
              <w:rPr>
                <w:rFonts w:ascii="Arial" w:hAnsi="Arial" w:cs="Arial"/>
              </w:rPr>
              <w:t>6,893</w:t>
            </w:r>
          </w:p>
        </w:tc>
      </w:tr>
      <w:tr w:rsidR="006E1122" w:rsidRPr="00271E01" w:rsidTr="00CB5842">
        <w:tc>
          <w:tcPr>
            <w:tcW w:w="1653" w:type="pct"/>
            <w:tcBorders>
              <w:top w:val="single" w:sz="4" w:space="0" w:color="auto"/>
              <w:bottom w:val="single" w:sz="4" w:space="0" w:color="auto"/>
            </w:tcBorders>
          </w:tcPr>
          <w:p w:rsidR="006E1122" w:rsidRPr="00271E01" w:rsidRDefault="006E1122" w:rsidP="006E1122">
            <w:pPr>
              <w:ind w:left="110" w:hanging="110"/>
              <w:jc w:val="left"/>
              <w:rPr>
                <w:rFonts w:ascii="Arial" w:hAnsi="Arial" w:cs="Arial"/>
                <w:b/>
                <w:bCs/>
              </w:rPr>
            </w:pPr>
            <w:r w:rsidRPr="00271E01">
              <w:rPr>
                <w:rFonts w:ascii="Arial" w:hAnsi="Arial" w:cs="Arial"/>
                <w:b/>
                <w:bCs/>
              </w:rPr>
              <w:t>France</w:t>
            </w:r>
          </w:p>
        </w:tc>
        <w:tc>
          <w:tcPr>
            <w:tcW w:w="1257" w:type="pct"/>
            <w:tcBorders>
              <w:top w:val="single" w:sz="4" w:space="0" w:color="auto"/>
              <w:bottom w:val="single" w:sz="4" w:space="0" w:color="auto"/>
            </w:tcBorders>
          </w:tcPr>
          <w:p w:rsidR="006E1122" w:rsidRPr="00271E01" w:rsidRDefault="00D302CB" w:rsidP="006E1122">
            <w:pPr>
              <w:ind w:left="110" w:hanging="110"/>
              <w:jc w:val="right"/>
              <w:rPr>
                <w:rFonts w:ascii="Arial" w:hAnsi="Arial" w:cs="Arial"/>
                <w:b/>
                <w:bCs/>
              </w:rPr>
            </w:pPr>
            <w:r>
              <w:rPr>
                <w:rFonts w:ascii="Arial" w:hAnsi="Arial" w:cs="Arial"/>
                <w:b/>
                <w:bCs/>
              </w:rPr>
              <w:t>215</w:t>
            </w:r>
          </w:p>
        </w:tc>
        <w:tc>
          <w:tcPr>
            <w:tcW w:w="1005" w:type="pct"/>
            <w:tcBorders>
              <w:top w:val="single" w:sz="4" w:space="0" w:color="auto"/>
              <w:bottom w:val="single" w:sz="4" w:space="0" w:color="auto"/>
            </w:tcBorders>
          </w:tcPr>
          <w:p w:rsidR="006E1122" w:rsidRPr="00271E01" w:rsidRDefault="00D302CB" w:rsidP="006E1122">
            <w:pPr>
              <w:ind w:left="110" w:hanging="110"/>
              <w:jc w:val="right"/>
              <w:rPr>
                <w:rFonts w:ascii="Arial" w:hAnsi="Arial" w:cs="Arial"/>
                <w:b/>
                <w:bCs/>
              </w:rPr>
            </w:pPr>
            <w:r>
              <w:rPr>
                <w:rFonts w:ascii="Arial" w:hAnsi="Arial" w:cs="Arial"/>
                <w:b/>
                <w:bCs/>
              </w:rPr>
              <w:t>1,742</w:t>
            </w:r>
          </w:p>
        </w:tc>
        <w:tc>
          <w:tcPr>
            <w:tcW w:w="1085" w:type="pct"/>
            <w:tcBorders>
              <w:top w:val="single" w:sz="4" w:space="0" w:color="auto"/>
              <w:bottom w:val="single" w:sz="4" w:space="0" w:color="auto"/>
            </w:tcBorders>
          </w:tcPr>
          <w:p w:rsidR="006E1122" w:rsidRPr="00271E01" w:rsidRDefault="00D302CB" w:rsidP="006E1122">
            <w:pPr>
              <w:ind w:left="110" w:hanging="110"/>
              <w:jc w:val="right"/>
              <w:rPr>
                <w:rFonts w:ascii="Arial" w:hAnsi="Arial" w:cs="Arial"/>
                <w:b/>
                <w:bCs/>
              </w:rPr>
            </w:pPr>
            <w:r>
              <w:rPr>
                <w:rFonts w:ascii="Arial" w:hAnsi="Arial" w:cs="Arial"/>
                <w:b/>
                <w:bCs/>
              </w:rPr>
              <w:t>19,285</w:t>
            </w:r>
          </w:p>
        </w:tc>
      </w:tr>
      <w:tr w:rsidR="006E1122" w:rsidRPr="00271E01" w:rsidTr="00CB5842">
        <w:trPr>
          <w:trHeight w:val="191"/>
        </w:trPr>
        <w:tc>
          <w:tcPr>
            <w:tcW w:w="1653" w:type="pct"/>
            <w:tcBorders>
              <w:top w:val="single" w:sz="4" w:space="0" w:color="auto"/>
            </w:tcBorders>
          </w:tcPr>
          <w:p w:rsidR="006E1122" w:rsidRPr="00271E01" w:rsidRDefault="006E1122" w:rsidP="006E1122">
            <w:pPr>
              <w:spacing w:before="60"/>
              <w:jc w:val="left"/>
              <w:rPr>
                <w:rFonts w:ascii="Arial" w:hAnsi="Arial" w:cs="Arial"/>
              </w:rPr>
            </w:pPr>
            <w:r w:rsidRPr="00271E01">
              <w:rPr>
                <w:rFonts w:ascii="Arial" w:hAnsi="Arial" w:cs="Arial"/>
              </w:rPr>
              <w:t>B&amp;Q UK &amp; Ireland</w:t>
            </w:r>
          </w:p>
        </w:tc>
        <w:tc>
          <w:tcPr>
            <w:tcW w:w="1257" w:type="pct"/>
            <w:tcBorders>
              <w:top w:val="single" w:sz="4" w:space="0" w:color="auto"/>
            </w:tcBorders>
          </w:tcPr>
          <w:p w:rsidR="006E1122" w:rsidRPr="00271E01" w:rsidRDefault="00D302CB" w:rsidP="006E1122">
            <w:pPr>
              <w:spacing w:before="60"/>
              <w:ind w:left="110" w:hanging="110"/>
              <w:jc w:val="right"/>
              <w:rPr>
                <w:rFonts w:ascii="Arial" w:hAnsi="Arial" w:cs="Arial"/>
              </w:rPr>
            </w:pPr>
            <w:r>
              <w:rPr>
                <w:rFonts w:ascii="Arial" w:hAnsi="Arial" w:cs="Arial"/>
              </w:rPr>
              <w:t>360</w:t>
            </w:r>
          </w:p>
        </w:tc>
        <w:tc>
          <w:tcPr>
            <w:tcW w:w="1005" w:type="pct"/>
            <w:tcBorders>
              <w:top w:val="single" w:sz="4" w:space="0" w:color="auto"/>
            </w:tcBorders>
          </w:tcPr>
          <w:p w:rsidR="006E1122" w:rsidRPr="00271E01" w:rsidRDefault="00D302CB" w:rsidP="006E1122">
            <w:pPr>
              <w:spacing w:before="60"/>
              <w:ind w:left="110" w:hanging="110"/>
              <w:jc w:val="right"/>
              <w:rPr>
                <w:rFonts w:ascii="Arial" w:hAnsi="Arial" w:cs="Arial"/>
              </w:rPr>
            </w:pPr>
            <w:r>
              <w:rPr>
                <w:rFonts w:ascii="Arial" w:hAnsi="Arial" w:cs="Arial"/>
              </w:rPr>
              <w:t>2,575</w:t>
            </w:r>
          </w:p>
        </w:tc>
        <w:tc>
          <w:tcPr>
            <w:tcW w:w="1085" w:type="pct"/>
            <w:tcBorders>
              <w:top w:val="single" w:sz="4" w:space="0" w:color="auto"/>
            </w:tcBorders>
          </w:tcPr>
          <w:p w:rsidR="006E1122" w:rsidRPr="00271E01" w:rsidRDefault="00D302CB" w:rsidP="006E1122">
            <w:pPr>
              <w:spacing w:before="60"/>
              <w:ind w:left="110" w:hanging="110"/>
              <w:jc w:val="right"/>
              <w:rPr>
                <w:rFonts w:ascii="Arial" w:hAnsi="Arial" w:cs="Arial"/>
              </w:rPr>
            </w:pPr>
            <w:r>
              <w:rPr>
                <w:rFonts w:ascii="Arial" w:hAnsi="Arial" w:cs="Arial"/>
              </w:rPr>
              <w:t>20,596</w:t>
            </w:r>
          </w:p>
        </w:tc>
      </w:tr>
      <w:tr w:rsidR="006E1122" w:rsidRPr="00271E01" w:rsidTr="00CB5842">
        <w:tc>
          <w:tcPr>
            <w:tcW w:w="1653" w:type="pct"/>
            <w:tcBorders>
              <w:bottom w:val="single" w:sz="4" w:space="0" w:color="auto"/>
            </w:tcBorders>
          </w:tcPr>
          <w:p w:rsidR="006E1122" w:rsidRPr="00271E01" w:rsidRDefault="006E1122" w:rsidP="006E1122">
            <w:pPr>
              <w:ind w:left="110" w:hanging="110"/>
              <w:jc w:val="left"/>
              <w:rPr>
                <w:rFonts w:ascii="Arial" w:hAnsi="Arial" w:cs="Arial"/>
              </w:rPr>
            </w:pPr>
            <w:r w:rsidRPr="00271E01">
              <w:rPr>
                <w:rFonts w:ascii="Arial" w:hAnsi="Arial" w:cs="Arial"/>
              </w:rPr>
              <w:t xml:space="preserve">Screwfix </w:t>
            </w:r>
          </w:p>
        </w:tc>
        <w:tc>
          <w:tcPr>
            <w:tcW w:w="1257" w:type="pct"/>
            <w:tcBorders>
              <w:bottom w:val="single" w:sz="4" w:space="0" w:color="auto"/>
            </w:tcBorders>
          </w:tcPr>
          <w:p w:rsidR="006E1122" w:rsidRPr="00271E01" w:rsidRDefault="00D302CB" w:rsidP="006E1122">
            <w:pPr>
              <w:ind w:left="110" w:hanging="110"/>
              <w:jc w:val="right"/>
              <w:rPr>
                <w:rFonts w:ascii="Arial" w:hAnsi="Arial" w:cs="Arial"/>
              </w:rPr>
            </w:pPr>
            <w:r>
              <w:rPr>
                <w:rFonts w:ascii="Arial" w:hAnsi="Arial" w:cs="Arial"/>
              </w:rPr>
              <w:t>359</w:t>
            </w:r>
          </w:p>
        </w:tc>
        <w:tc>
          <w:tcPr>
            <w:tcW w:w="1005" w:type="pct"/>
            <w:tcBorders>
              <w:bottom w:val="single" w:sz="4" w:space="0" w:color="auto"/>
            </w:tcBorders>
            <w:shd w:val="clear" w:color="auto" w:fill="auto"/>
          </w:tcPr>
          <w:p w:rsidR="006E1122" w:rsidRPr="00271E01" w:rsidRDefault="00D302CB" w:rsidP="006E1122">
            <w:pPr>
              <w:ind w:left="110" w:hanging="110"/>
              <w:jc w:val="right"/>
              <w:rPr>
                <w:rFonts w:ascii="Arial" w:hAnsi="Arial" w:cs="Arial"/>
              </w:rPr>
            </w:pPr>
            <w:r>
              <w:rPr>
                <w:rFonts w:ascii="Arial" w:hAnsi="Arial" w:cs="Arial"/>
              </w:rPr>
              <w:t>24</w:t>
            </w:r>
          </w:p>
        </w:tc>
        <w:tc>
          <w:tcPr>
            <w:tcW w:w="1085" w:type="pct"/>
            <w:tcBorders>
              <w:bottom w:val="single" w:sz="4" w:space="0" w:color="auto"/>
            </w:tcBorders>
          </w:tcPr>
          <w:p w:rsidR="006E1122" w:rsidRPr="00271E01" w:rsidRDefault="00D302CB" w:rsidP="006E1122">
            <w:pPr>
              <w:ind w:left="110" w:hanging="110"/>
              <w:jc w:val="right"/>
              <w:rPr>
                <w:rFonts w:ascii="Arial" w:hAnsi="Arial" w:cs="Arial"/>
              </w:rPr>
            </w:pPr>
            <w:r>
              <w:rPr>
                <w:rFonts w:ascii="Arial" w:hAnsi="Arial" w:cs="Arial"/>
              </w:rPr>
              <w:t>4,683</w:t>
            </w:r>
          </w:p>
        </w:tc>
      </w:tr>
      <w:tr w:rsidR="006E1122" w:rsidRPr="00271E01" w:rsidTr="00CB5842">
        <w:tc>
          <w:tcPr>
            <w:tcW w:w="1653" w:type="pct"/>
            <w:tcBorders>
              <w:top w:val="single" w:sz="4" w:space="0" w:color="auto"/>
              <w:bottom w:val="single" w:sz="4" w:space="0" w:color="auto"/>
            </w:tcBorders>
          </w:tcPr>
          <w:p w:rsidR="006E1122" w:rsidRPr="00271E01" w:rsidRDefault="006E1122" w:rsidP="006E1122">
            <w:pPr>
              <w:ind w:left="110" w:hanging="110"/>
              <w:jc w:val="left"/>
              <w:rPr>
                <w:rFonts w:ascii="Arial" w:hAnsi="Arial" w:cs="Arial"/>
                <w:b/>
                <w:bCs/>
              </w:rPr>
            </w:pPr>
            <w:r w:rsidRPr="00271E01">
              <w:rPr>
                <w:rFonts w:ascii="Arial" w:hAnsi="Arial" w:cs="Arial"/>
                <w:b/>
                <w:bCs/>
              </w:rPr>
              <w:t>UK &amp; Ireland</w:t>
            </w:r>
          </w:p>
        </w:tc>
        <w:tc>
          <w:tcPr>
            <w:tcW w:w="1257" w:type="pct"/>
            <w:tcBorders>
              <w:top w:val="single" w:sz="4" w:space="0" w:color="auto"/>
              <w:bottom w:val="single" w:sz="4" w:space="0" w:color="auto"/>
            </w:tcBorders>
          </w:tcPr>
          <w:p w:rsidR="006E1122" w:rsidRPr="00271E01" w:rsidRDefault="00D302CB" w:rsidP="006E1122">
            <w:pPr>
              <w:ind w:left="110" w:hanging="110"/>
              <w:jc w:val="right"/>
              <w:rPr>
                <w:rFonts w:ascii="Arial" w:hAnsi="Arial" w:cs="Arial"/>
                <w:b/>
                <w:bCs/>
              </w:rPr>
            </w:pPr>
            <w:r>
              <w:rPr>
                <w:rFonts w:ascii="Arial" w:hAnsi="Arial" w:cs="Arial"/>
                <w:b/>
                <w:bCs/>
              </w:rPr>
              <w:t>719</w:t>
            </w:r>
          </w:p>
        </w:tc>
        <w:tc>
          <w:tcPr>
            <w:tcW w:w="1005" w:type="pct"/>
            <w:tcBorders>
              <w:top w:val="single" w:sz="4" w:space="0" w:color="auto"/>
              <w:bottom w:val="single" w:sz="4" w:space="0" w:color="auto"/>
            </w:tcBorders>
          </w:tcPr>
          <w:p w:rsidR="006E1122" w:rsidRPr="00271E01" w:rsidRDefault="00D302CB" w:rsidP="006E1122">
            <w:pPr>
              <w:ind w:left="110" w:hanging="110"/>
              <w:jc w:val="right"/>
              <w:rPr>
                <w:rFonts w:ascii="Arial" w:hAnsi="Arial" w:cs="Arial"/>
                <w:b/>
                <w:bCs/>
              </w:rPr>
            </w:pPr>
            <w:r>
              <w:rPr>
                <w:rFonts w:ascii="Arial" w:hAnsi="Arial" w:cs="Arial"/>
                <w:b/>
                <w:bCs/>
              </w:rPr>
              <w:t>2,599</w:t>
            </w:r>
          </w:p>
        </w:tc>
        <w:tc>
          <w:tcPr>
            <w:tcW w:w="1085" w:type="pct"/>
            <w:tcBorders>
              <w:top w:val="single" w:sz="4" w:space="0" w:color="auto"/>
              <w:bottom w:val="single" w:sz="4" w:space="0" w:color="auto"/>
            </w:tcBorders>
          </w:tcPr>
          <w:p w:rsidR="006E1122" w:rsidRPr="00271E01" w:rsidRDefault="00D302CB" w:rsidP="006E1122">
            <w:pPr>
              <w:ind w:left="110" w:hanging="110"/>
              <w:jc w:val="right"/>
              <w:rPr>
                <w:rFonts w:ascii="Arial" w:hAnsi="Arial" w:cs="Arial"/>
                <w:b/>
                <w:bCs/>
              </w:rPr>
            </w:pPr>
            <w:r>
              <w:rPr>
                <w:rFonts w:ascii="Arial" w:hAnsi="Arial" w:cs="Arial"/>
                <w:b/>
                <w:bCs/>
              </w:rPr>
              <w:t>25,279</w:t>
            </w:r>
          </w:p>
        </w:tc>
      </w:tr>
      <w:tr w:rsidR="006E1122" w:rsidRPr="00271E01" w:rsidTr="00CB5842">
        <w:tc>
          <w:tcPr>
            <w:tcW w:w="1653" w:type="pct"/>
            <w:tcBorders>
              <w:top w:val="single" w:sz="4" w:space="0" w:color="auto"/>
            </w:tcBorders>
          </w:tcPr>
          <w:p w:rsidR="006E1122" w:rsidRPr="00271E01" w:rsidRDefault="006E1122" w:rsidP="006E1122">
            <w:pPr>
              <w:spacing w:before="60"/>
              <w:ind w:left="110" w:hanging="110"/>
              <w:jc w:val="left"/>
              <w:rPr>
                <w:rFonts w:ascii="Arial" w:hAnsi="Arial" w:cs="Arial"/>
              </w:rPr>
            </w:pPr>
            <w:r w:rsidRPr="00271E01">
              <w:rPr>
                <w:rFonts w:ascii="Arial" w:hAnsi="Arial" w:cs="Arial"/>
              </w:rPr>
              <w:t>Poland</w:t>
            </w:r>
          </w:p>
        </w:tc>
        <w:tc>
          <w:tcPr>
            <w:tcW w:w="1257" w:type="pct"/>
            <w:tcBorders>
              <w:top w:val="single" w:sz="4" w:space="0" w:color="auto"/>
            </w:tcBorders>
          </w:tcPr>
          <w:p w:rsidR="006E1122" w:rsidRPr="00271E01" w:rsidRDefault="00D302CB" w:rsidP="006E1122">
            <w:pPr>
              <w:spacing w:before="60"/>
              <w:ind w:left="110" w:hanging="110"/>
              <w:jc w:val="right"/>
              <w:rPr>
                <w:rFonts w:ascii="Arial" w:hAnsi="Arial" w:cs="Arial"/>
              </w:rPr>
            </w:pPr>
            <w:r>
              <w:rPr>
                <w:rFonts w:ascii="Arial" w:hAnsi="Arial" w:cs="Arial"/>
              </w:rPr>
              <w:t>72</w:t>
            </w:r>
          </w:p>
        </w:tc>
        <w:tc>
          <w:tcPr>
            <w:tcW w:w="1005" w:type="pct"/>
            <w:tcBorders>
              <w:top w:val="single" w:sz="4" w:space="0" w:color="auto"/>
            </w:tcBorders>
          </w:tcPr>
          <w:p w:rsidR="006E1122" w:rsidRPr="00271E01" w:rsidRDefault="00D302CB" w:rsidP="006E1122">
            <w:pPr>
              <w:spacing w:before="60"/>
              <w:ind w:left="110" w:hanging="110"/>
              <w:jc w:val="right"/>
              <w:rPr>
                <w:rFonts w:ascii="Arial" w:hAnsi="Arial" w:cs="Arial"/>
              </w:rPr>
            </w:pPr>
            <w:r>
              <w:rPr>
                <w:rFonts w:ascii="Arial" w:hAnsi="Arial" w:cs="Arial"/>
              </w:rPr>
              <w:t>529</w:t>
            </w:r>
          </w:p>
        </w:tc>
        <w:tc>
          <w:tcPr>
            <w:tcW w:w="1085" w:type="pct"/>
            <w:tcBorders>
              <w:top w:val="single" w:sz="4" w:space="0" w:color="auto"/>
            </w:tcBorders>
          </w:tcPr>
          <w:p w:rsidR="006E1122" w:rsidRPr="00271E01" w:rsidRDefault="00D302CB" w:rsidP="006E1122">
            <w:pPr>
              <w:spacing w:before="60"/>
              <w:ind w:left="110" w:hanging="110"/>
              <w:jc w:val="right"/>
              <w:rPr>
                <w:rFonts w:ascii="Arial" w:hAnsi="Arial" w:cs="Arial"/>
              </w:rPr>
            </w:pPr>
            <w:r>
              <w:rPr>
                <w:rFonts w:ascii="Arial" w:hAnsi="Arial" w:cs="Arial"/>
              </w:rPr>
              <w:t>10,357</w:t>
            </w:r>
          </w:p>
        </w:tc>
      </w:tr>
      <w:tr w:rsidR="006E1122" w:rsidRPr="00271E01" w:rsidTr="006E1122">
        <w:tc>
          <w:tcPr>
            <w:tcW w:w="1653" w:type="pct"/>
          </w:tcPr>
          <w:p w:rsidR="006E1122" w:rsidRPr="00271E01" w:rsidRDefault="006E1122" w:rsidP="006E1122">
            <w:pPr>
              <w:ind w:left="110" w:hanging="110"/>
              <w:jc w:val="left"/>
              <w:rPr>
                <w:rFonts w:ascii="Arial" w:hAnsi="Arial" w:cs="Arial"/>
                <w:lang w:val="it-IT"/>
              </w:rPr>
            </w:pPr>
            <w:r w:rsidRPr="00271E01">
              <w:rPr>
                <w:rFonts w:ascii="Arial" w:hAnsi="Arial" w:cs="Arial"/>
                <w:lang w:val="it-IT"/>
              </w:rPr>
              <w:t>China</w:t>
            </w:r>
          </w:p>
        </w:tc>
        <w:tc>
          <w:tcPr>
            <w:tcW w:w="1257" w:type="pct"/>
          </w:tcPr>
          <w:p w:rsidR="006E1122" w:rsidRPr="00271E01" w:rsidRDefault="00D302CB" w:rsidP="006E1122">
            <w:pPr>
              <w:ind w:left="110" w:hanging="110"/>
              <w:jc w:val="right"/>
              <w:rPr>
                <w:rFonts w:ascii="Arial" w:hAnsi="Arial" w:cs="Arial"/>
              </w:rPr>
            </w:pPr>
            <w:r>
              <w:rPr>
                <w:rFonts w:ascii="Arial" w:hAnsi="Arial" w:cs="Arial"/>
              </w:rPr>
              <w:t>39</w:t>
            </w:r>
          </w:p>
        </w:tc>
        <w:tc>
          <w:tcPr>
            <w:tcW w:w="1005" w:type="pct"/>
          </w:tcPr>
          <w:p w:rsidR="006E1122" w:rsidRPr="00271E01" w:rsidRDefault="00D302CB" w:rsidP="006E1122">
            <w:pPr>
              <w:ind w:left="110" w:hanging="110"/>
              <w:jc w:val="right"/>
              <w:rPr>
                <w:rFonts w:ascii="Arial" w:hAnsi="Arial" w:cs="Arial"/>
              </w:rPr>
            </w:pPr>
            <w:r>
              <w:rPr>
                <w:rFonts w:ascii="Arial" w:hAnsi="Arial" w:cs="Arial"/>
              </w:rPr>
              <w:t>318</w:t>
            </w:r>
          </w:p>
        </w:tc>
        <w:tc>
          <w:tcPr>
            <w:tcW w:w="1085" w:type="pct"/>
          </w:tcPr>
          <w:p w:rsidR="006E1122" w:rsidRPr="00271E01" w:rsidRDefault="00D302CB" w:rsidP="006E1122">
            <w:pPr>
              <w:ind w:left="110" w:hanging="110"/>
              <w:jc w:val="right"/>
              <w:rPr>
                <w:rFonts w:ascii="Arial" w:hAnsi="Arial" w:cs="Arial"/>
              </w:rPr>
            </w:pPr>
            <w:r>
              <w:rPr>
                <w:rFonts w:ascii="Arial" w:hAnsi="Arial" w:cs="Arial"/>
              </w:rPr>
              <w:t>3,695</w:t>
            </w:r>
          </w:p>
        </w:tc>
      </w:tr>
      <w:tr w:rsidR="000C6E63" w:rsidRPr="00271E01" w:rsidTr="006E1122">
        <w:tc>
          <w:tcPr>
            <w:tcW w:w="1653" w:type="pct"/>
          </w:tcPr>
          <w:p w:rsidR="000C6E63" w:rsidRDefault="000C6E63" w:rsidP="006E1122">
            <w:pPr>
              <w:ind w:left="110" w:hanging="110"/>
              <w:jc w:val="left"/>
              <w:rPr>
                <w:rFonts w:ascii="Arial" w:hAnsi="Arial" w:cs="Arial"/>
                <w:lang w:val="it-IT"/>
              </w:rPr>
            </w:pPr>
            <w:r>
              <w:rPr>
                <w:rFonts w:ascii="Arial" w:hAnsi="Arial" w:cs="Arial"/>
                <w:lang w:val="it-IT"/>
              </w:rPr>
              <w:t>Portugal</w:t>
            </w:r>
          </w:p>
        </w:tc>
        <w:tc>
          <w:tcPr>
            <w:tcW w:w="1257" w:type="pct"/>
          </w:tcPr>
          <w:p w:rsidR="000C6E63" w:rsidRDefault="000C6E63" w:rsidP="006E1122">
            <w:pPr>
              <w:ind w:left="110" w:hanging="110"/>
              <w:jc w:val="right"/>
              <w:rPr>
                <w:rFonts w:ascii="Arial" w:hAnsi="Arial" w:cs="Arial"/>
              </w:rPr>
            </w:pPr>
            <w:r>
              <w:rPr>
                <w:rFonts w:ascii="Arial" w:hAnsi="Arial" w:cs="Arial"/>
              </w:rPr>
              <w:t>1</w:t>
            </w:r>
          </w:p>
        </w:tc>
        <w:tc>
          <w:tcPr>
            <w:tcW w:w="1005" w:type="pct"/>
          </w:tcPr>
          <w:p w:rsidR="000C6E63" w:rsidRDefault="000C6E63" w:rsidP="006E1122">
            <w:pPr>
              <w:ind w:left="110" w:hanging="110"/>
              <w:jc w:val="right"/>
              <w:rPr>
                <w:rFonts w:ascii="Arial" w:hAnsi="Arial" w:cs="Arial"/>
              </w:rPr>
            </w:pPr>
            <w:r>
              <w:rPr>
                <w:rFonts w:ascii="Arial" w:hAnsi="Arial" w:cs="Arial"/>
              </w:rPr>
              <w:t>6</w:t>
            </w:r>
          </w:p>
        </w:tc>
        <w:tc>
          <w:tcPr>
            <w:tcW w:w="1085" w:type="pct"/>
          </w:tcPr>
          <w:p w:rsidR="000C6E63" w:rsidRDefault="000C6E63" w:rsidP="006E1122">
            <w:pPr>
              <w:ind w:left="110" w:hanging="110"/>
              <w:jc w:val="right"/>
              <w:rPr>
                <w:rFonts w:ascii="Arial" w:hAnsi="Arial" w:cs="Arial"/>
              </w:rPr>
            </w:pPr>
            <w:r>
              <w:rPr>
                <w:rFonts w:ascii="Arial" w:hAnsi="Arial" w:cs="Arial"/>
              </w:rPr>
              <w:t>128</w:t>
            </w:r>
          </w:p>
        </w:tc>
      </w:tr>
      <w:tr w:rsidR="006E1122" w:rsidRPr="00271E01" w:rsidTr="006E1122">
        <w:tc>
          <w:tcPr>
            <w:tcW w:w="1653" w:type="pct"/>
          </w:tcPr>
          <w:p w:rsidR="006E1122" w:rsidRDefault="006E1122" w:rsidP="006E1122">
            <w:pPr>
              <w:ind w:left="110" w:hanging="110"/>
              <w:jc w:val="left"/>
              <w:rPr>
                <w:rFonts w:ascii="Arial" w:hAnsi="Arial" w:cs="Arial"/>
                <w:lang w:val="it-IT"/>
              </w:rPr>
            </w:pPr>
            <w:r>
              <w:rPr>
                <w:rFonts w:ascii="Arial" w:hAnsi="Arial" w:cs="Arial"/>
                <w:lang w:val="it-IT"/>
              </w:rPr>
              <w:t>Romania</w:t>
            </w:r>
          </w:p>
        </w:tc>
        <w:tc>
          <w:tcPr>
            <w:tcW w:w="1257" w:type="pct"/>
          </w:tcPr>
          <w:p w:rsidR="006E1122" w:rsidRDefault="00D302CB" w:rsidP="006E1122">
            <w:pPr>
              <w:ind w:left="110" w:hanging="110"/>
              <w:jc w:val="right"/>
              <w:rPr>
                <w:rFonts w:ascii="Arial" w:hAnsi="Arial" w:cs="Arial"/>
              </w:rPr>
            </w:pPr>
            <w:r>
              <w:rPr>
                <w:rFonts w:ascii="Arial" w:hAnsi="Arial" w:cs="Arial"/>
              </w:rPr>
              <w:t>15</w:t>
            </w:r>
          </w:p>
        </w:tc>
        <w:tc>
          <w:tcPr>
            <w:tcW w:w="1005" w:type="pct"/>
          </w:tcPr>
          <w:p w:rsidR="006E1122" w:rsidRDefault="00D302CB" w:rsidP="006E1122">
            <w:pPr>
              <w:ind w:left="110" w:hanging="110"/>
              <w:jc w:val="right"/>
              <w:rPr>
                <w:rFonts w:ascii="Arial" w:hAnsi="Arial" w:cs="Arial"/>
              </w:rPr>
            </w:pPr>
            <w:r>
              <w:rPr>
                <w:rFonts w:ascii="Arial" w:hAnsi="Arial" w:cs="Arial"/>
              </w:rPr>
              <w:t>156</w:t>
            </w:r>
          </w:p>
        </w:tc>
        <w:tc>
          <w:tcPr>
            <w:tcW w:w="1085" w:type="pct"/>
          </w:tcPr>
          <w:p w:rsidR="006E1122" w:rsidRDefault="0084730E" w:rsidP="006E1122">
            <w:pPr>
              <w:ind w:left="110" w:hanging="110"/>
              <w:jc w:val="right"/>
              <w:rPr>
                <w:rFonts w:ascii="Arial" w:hAnsi="Arial" w:cs="Arial"/>
              </w:rPr>
            </w:pPr>
            <w:r>
              <w:rPr>
                <w:rFonts w:ascii="Arial" w:hAnsi="Arial" w:cs="Arial"/>
              </w:rPr>
              <w:t>1,112</w:t>
            </w:r>
          </w:p>
        </w:tc>
      </w:tr>
      <w:tr w:rsidR="006E1122" w:rsidRPr="00271E01" w:rsidTr="006E1122">
        <w:tc>
          <w:tcPr>
            <w:tcW w:w="1653" w:type="pct"/>
          </w:tcPr>
          <w:p w:rsidR="006E1122" w:rsidRDefault="006E1122" w:rsidP="006E1122">
            <w:pPr>
              <w:jc w:val="left"/>
              <w:rPr>
                <w:rFonts w:ascii="Arial" w:hAnsi="Arial" w:cs="Arial"/>
                <w:lang w:val="it-IT"/>
              </w:rPr>
            </w:pPr>
            <w:r>
              <w:rPr>
                <w:rFonts w:ascii="Arial" w:hAnsi="Arial" w:cs="Arial"/>
                <w:lang w:val="it-IT"/>
              </w:rPr>
              <w:t>Russia</w:t>
            </w:r>
          </w:p>
        </w:tc>
        <w:tc>
          <w:tcPr>
            <w:tcW w:w="1257" w:type="pct"/>
          </w:tcPr>
          <w:p w:rsidR="006E1122" w:rsidRDefault="00D302CB" w:rsidP="006E1122">
            <w:pPr>
              <w:ind w:left="110" w:hanging="110"/>
              <w:jc w:val="right"/>
              <w:rPr>
                <w:rFonts w:ascii="Arial" w:hAnsi="Arial" w:cs="Arial"/>
                <w:lang w:val="it-IT"/>
              </w:rPr>
            </w:pPr>
            <w:r>
              <w:rPr>
                <w:rFonts w:ascii="Arial" w:hAnsi="Arial" w:cs="Arial"/>
                <w:lang w:val="it-IT"/>
              </w:rPr>
              <w:t>20</w:t>
            </w:r>
          </w:p>
        </w:tc>
        <w:tc>
          <w:tcPr>
            <w:tcW w:w="1005" w:type="pct"/>
          </w:tcPr>
          <w:p w:rsidR="006E1122" w:rsidRDefault="00D302CB" w:rsidP="006E1122">
            <w:pPr>
              <w:ind w:left="110" w:hanging="110"/>
              <w:jc w:val="right"/>
              <w:rPr>
                <w:rFonts w:ascii="Arial" w:hAnsi="Arial" w:cs="Arial"/>
                <w:lang w:val="it-IT"/>
              </w:rPr>
            </w:pPr>
            <w:r>
              <w:rPr>
                <w:rFonts w:ascii="Arial" w:hAnsi="Arial" w:cs="Arial"/>
                <w:lang w:val="it-IT"/>
              </w:rPr>
              <w:t>185</w:t>
            </w:r>
          </w:p>
        </w:tc>
        <w:tc>
          <w:tcPr>
            <w:tcW w:w="1085" w:type="pct"/>
          </w:tcPr>
          <w:p w:rsidR="006E1122" w:rsidRDefault="00D302CB" w:rsidP="006E1122">
            <w:pPr>
              <w:ind w:left="110" w:hanging="110"/>
              <w:jc w:val="right"/>
              <w:rPr>
                <w:rFonts w:ascii="Arial" w:hAnsi="Arial" w:cs="Arial"/>
                <w:lang w:val="it-IT"/>
              </w:rPr>
            </w:pPr>
            <w:r>
              <w:rPr>
                <w:rFonts w:ascii="Arial" w:hAnsi="Arial" w:cs="Arial"/>
                <w:lang w:val="it-IT"/>
              </w:rPr>
              <w:t>2,712</w:t>
            </w:r>
          </w:p>
        </w:tc>
      </w:tr>
      <w:tr w:rsidR="006E1122" w:rsidRPr="00271E01" w:rsidTr="006E1122">
        <w:tc>
          <w:tcPr>
            <w:tcW w:w="1653" w:type="pct"/>
          </w:tcPr>
          <w:p w:rsidR="006E1122" w:rsidRDefault="006E1122" w:rsidP="006E1122">
            <w:pPr>
              <w:jc w:val="left"/>
              <w:rPr>
                <w:rFonts w:ascii="Arial" w:hAnsi="Arial" w:cs="Arial"/>
                <w:lang w:val="it-IT"/>
              </w:rPr>
            </w:pPr>
            <w:r>
              <w:rPr>
                <w:rFonts w:ascii="Arial" w:hAnsi="Arial" w:cs="Arial"/>
                <w:lang w:val="it-IT"/>
              </w:rPr>
              <w:t>Spain</w:t>
            </w:r>
          </w:p>
        </w:tc>
        <w:tc>
          <w:tcPr>
            <w:tcW w:w="1257" w:type="pct"/>
          </w:tcPr>
          <w:p w:rsidR="006E1122" w:rsidRDefault="00D302CB" w:rsidP="006E1122">
            <w:pPr>
              <w:ind w:left="110" w:hanging="110"/>
              <w:jc w:val="right"/>
              <w:rPr>
                <w:rFonts w:ascii="Arial" w:hAnsi="Arial" w:cs="Arial"/>
                <w:lang w:val="it-IT"/>
              </w:rPr>
            </w:pPr>
            <w:r>
              <w:rPr>
                <w:rFonts w:ascii="Arial" w:hAnsi="Arial" w:cs="Arial"/>
                <w:lang w:val="it-IT"/>
              </w:rPr>
              <w:t>28</w:t>
            </w:r>
          </w:p>
        </w:tc>
        <w:tc>
          <w:tcPr>
            <w:tcW w:w="1005" w:type="pct"/>
          </w:tcPr>
          <w:p w:rsidR="006E1122" w:rsidRDefault="00D302CB" w:rsidP="006E1122">
            <w:pPr>
              <w:ind w:left="110" w:hanging="110"/>
              <w:jc w:val="right"/>
              <w:rPr>
                <w:rFonts w:ascii="Arial" w:hAnsi="Arial" w:cs="Arial"/>
                <w:lang w:val="it-IT"/>
              </w:rPr>
            </w:pPr>
            <w:r>
              <w:rPr>
                <w:rFonts w:ascii="Arial" w:hAnsi="Arial" w:cs="Arial"/>
                <w:lang w:val="it-IT"/>
              </w:rPr>
              <w:t>168</w:t>
            </w:r>
          </w:p>
        </w:tc>
        <w:tc>
          <w:tcPr>
            <w:tcW w:w="1085" w:type="pct"/>
          </w:tcPr>
          <w:p w:rsidR="006E1122" w:rsidRDefault="00D302CB" w:rsidP="006E1122">
            <w:pPr>
              <w:ind w:left="110" w:hanging="110"/>
              <w:jc w:val="right"/>
              <w:rPr>
                <w:rFonts w:ascii="Arial" w:hAnsi="Arial" w:cs="Arial"/>
                <w:lang w:val="it-IT"/>
              </w:rPr>
            </w:pPr>
            <w:r>
              <w:rPr>
                <w:rFonts w:ascii="Arial" w:hAnsi="Arial" w:cs="Arial"/>
                <w:lang w:val="it-IT"/>
              </w:rPr>
              <w:t>1,518</w:t>
            </w:r>
          </w:p>
        </w:tc>
      </w:tr>
      <w:tr w:rsidR="006E1122" w:rsidRPr="00271E01" w:rsidTr="006E1122">
        <w:tc>
          <w:tcPr>
            <w:tcW w:w="1653" w:type="pct"/>
            <w:tcBorders>
              <w:bottom w:val="single" w:sz="4" w:space="0" w:color="auto"/>
            </w:tcBorders>
          </w:tcPr>
          <w:p w:rsidR="006E1122" w:rsidRPr="00271E01" w:rsidRDefault="006E1122" w:rsidP="006E1122">
            <w:pPr>
              <w:jc w:val="left"/>
              <w:rPr>
                <w:rFonts w:ascii="Arial" w:hAnsi="Arial" w:cs="Arial"/>
                <w:lang w:val="it-IT"/>
              </w:rPr>
            </w:pPr>
            <w:r w:rsidRPr="00271E01">
              <w:rPr>
                <w:rFonts w:ascii="Arial" w:hAnsi="Arial" w:cs="Arial"/>
                <w:lang w:val="it-IT"/>
              </w:rPr>
              <w:t>Turkey JV</w:t>
            </w:r>
          </w:p>
        </w:tc>
        <w:tc>
          <w:tcPr>
            <w:tcW w:w="1257" w:type="pct"/>
            <w:tcBorders>
              <w:bottom w:val="single" w:sz="4" w:space="0" w:color="auto"/>
            </w:tcBorders>
          </w:tcPr>
          <w:p w:rsidR="006E1122" w:rsidRPr="00271E01" w:rsidRDefault="00D302CB" w:rsidP="006E1122">
            <w:pPr>
              <w:ind w:left="110" w:hanging="110"/>
              <w:jc w:val="right"/>
              <w:rPr>
                <w:rFonts w:ascii="Arial" w:hAnsi="Arial" w:cs="Arial"/>
                <w:lang w:val="it-IT"/>
              </w:rPr>
            </w:pPr>
            <w:r>
              <w:rPr>
                <w:rFonts w:ascii="Arial" w:hAnsi="Arial" w:cs="Arial"/>
                <w:lang w:val="it-IT"/>
              </w:rPr>
              <w:t>48</w:t>
            </w:r>
          </w:p>
        </w:tc>
        <w:tc>
          <w:tcPr>
            <w:tcW w:w="1005" w:type="pct"/>
            <w:tcBorders>
              <w:bottom w:val="single" w:sz="4" w:space="0" w:color="auto"/>
            </w:tcBorders>
          </w:tcPr>
          <w:p w:rsidR="006E1122" w:rsidRPr="00271E01" w:rsidRDefault="00D302CB" w:rsidP="006E1122">
            <w:pPr>
              <w:ind w:left="110" w:hanging="110"/>
              <w:jc w:val="right"/>
              <w:rPr>
                <w:rFonts w:ascii="Arial" w:hAnsi="Arial" w:cs="Arial"/>
                <w:lang w:val="it-IT"/>
              </w:rPr>
            </w:pPr>
            <w:r>
              <w:rPr>
                <w:rFonts w:ascii="Arial" w:hAnsi="Arial" w:cs="Arial"/>
                <w:lang w:val="it-IT"/>
              </w:rPr>
              <w:t>232</w:t>
            </w:r>
          </w:p>
        </w:tc>
        <w:tc>
          <w:tcPr>
            <w:tcW w:w="1085" w:type="pct"/>
            <w:tcBorders>
              <w:bottom w:val="single" w:sz="4" w:space="0" w:color="auto"/>
            </w:tcBorders>
          </w:tcPr>
          <w:p w:rsidR="006E1122" w:rsidRPr="00271E01" w:rsidRDefault="00D302CB" w:rsidP="006E1122">
            <w:pPr>
              <w:ind w:left="110" w:hanging="110"/>
              <w:jc w:val="right"/>
              <w:rPr>
                <w:rFonts w:ascii="Arial" w:hAnsi="Arial" w:cs="Arial"/>
                <w:lang w:val="it-IT"/>
              </w:rPr>
            </w:pPr>
            <w:r>
              <w:rPr>
                <w:rFonts w:ascii="Arial" w:hAnsi="Arial" w:cs="Arial"/>
                <w:lang w:val="it-IT"/>
              </w:rPr>
              <w:t>3,555</w:t>
            </w:r>
          </w:p>
        </w:tc>
      </w:tr>
      <w:tr w:rsidR="006E1122" w:rsidRPr="00271E01" w:rsidTr="006E1122">
        <w:tc>
          <w:tcPr>
            <w:tcW w:w="1653" w:type="pct"/>
            <w:tcBorders>
              <w:top w:val="single" w:sz="4" w:space="0" w:color="auto"/>
              <w:bottom w:val="single" w:sz="4" w:space="0" w:color="auto"/>
            </w:tcBorders>
          </w:tcPr>
          <w:p w:rsidR="006E1122" w:rsidRPr="00271E01" w:rsidRDefault="006E1122" w:rsidP="006E1122">
            <w:pPr>
              <w:jc w:val="left"/>
              <w:rPr>
                <w:rFonts w:ascii="Arial" w:hAnsi="Arial" w:cs="Arial"/>
                <w:b/>
                <w:bCs/>
              </w:rPr>
            </w:pPr>
            <w:r>
              <w:rPr>
                <w:rFonts w:ascii="Arial" w:hAnsi="Arial" w:cs="Arial"/>
                <w:b/>
                <w:bCs/>
              </w:rPr>
              <w:t xml:space="preserve">Other </w:t>
            </w:r>
            <w:r w:rsidRPr="00271E01">
              <w:rPr>
                <w:rFonts w:ascii="Arial" w:hAnsi="Arial" w:cs="Arial"/>
                <w:b/>
                <w:bCs/>
              </w:rPr>
              <w:t>International</w:t>
            </w:r>
          </w:p>
        </w:tc>
        <w:tc>
          <w:tcPr>
            <w:tcW w:w="1257" w:type="pct"/>
            <w:tcBorders>
              <w:top w:val="single" w:sz="4" w:space="0" w:color="auto"/>
              <w:bottom w:val="single" w:sz="4" w:space="0" w:color="auto"/>
            </w:tcBorders>
          </w:tcPr>
          <w:p w:rsidR="006E1122" w:rsidRPr="00271E01" w:rsidRDefault="00D302CB" w:rsidP="006E1122">
            <w:pPr>
              <w:ind w:left="110" w:hanging="110"/>
              <w:jc w:val="right"/>
              <w:rPr>
                <w:rFonts w:ascii="Arial" w:hAnsi="Arial" w:cs="Arial"/>
                <w:b/>
                <w:bCs/>
              </w:rPr>
            </w:pPr>
            <w:r>
              <w:rPr>
                <w:rFonts w:ascii="Arial" w:hAnsi="Arial" w:cs="Arial"/>
                <w:b/>
                <w:bCs/>
              </w:rPr>
              <w:t>223</w:t>
            </w:r>
          </w:p>
        </w:tc>
        <w:tc>
          <w:tcPr>
            <w:tcW w:w="1005" w:type="pct"/>
            <w:tcBorders>
              <w:top w:val="single" w:sz="4" w:space="0" w:color="auto"/>
              <w:bottom w:val="single" w:sz="4" w:space="0" w:color="auto"/>
            </w:tcBorders>
          </w:tcPr>
          <w:p w:rsidR="006E1122" w:rsidRPr="00271E01" w:rsidRDefault="00D302CB" w:rsidP="006E1122">
            <w:pPr>
              <w:ind w:left="110" w:hanging="110"/>
              <w:jc w:val="right"/>
              <w:rPr>
                <w:rFonts w:ascii="Arial" w:hAnsi="Arial" w:cs="Arial"/>
                <w:b/>
                <w:bCs/>
              </w:rPr>
            </w:pPr>
            <w:r>
              <w:rPr>
                <w:rFonts w:ascii="Arial" w:hAnsi="Arial" w:cs="Arial"/>
                <w:b/>
                <w:bCs/>
              </w:rPr>
              <w:t>1,594</w:t>
            </w:r>
          </w:p>
        </w:tc>
        <w:tc>
          <w:tcPr>
            <w:tcW w:w="1085" w:type="pct"/>
            <w:tcBorders>
              <w:top w:val="single" w:sz="4" w:space="0" w:color="auto"/>
              <w:bottom w:val="single" w:sz="4" w:space="0" w:color="auto"/>
            </w:tcBorders>
          </w:tcPr>
          <w:p w:rsidR="006E1122" w:rsidRPr="00271E01" w:rsidRDefault="00D302CB" w:rsidP="006E1122">
            <w:pPr>
              <w:ind w:left="110" w:hanging="110"/>
              <w:jc w:val="right"/>
              <w:rPr>
                <w:rFonts w:ascii="Arial" w:hAnsi="Arial" w:cs="Arial"/>
                <w:b/>
                <w:bCs/>
              </w:rPr>
            </w:pPr>
            <w:r>
              <w:rPr>
                <w:rFonts w:ascii="Arial" w:hAnsi="Arial" w:cs="Arial"/>
                <w:b/>
                <w:bCs/>
              </w:rPr>
              <w:t>2</w:t>
            </w:r>
            <w:r w:rsidR="0084730E">
              <w:rPr>
                <w:rFonts w:ascii="Arial" w:hAnsi="Arial" w:cs="Arial"/>
                <w:b/>
                <w:bCs/>
              </w:rPr>
              <w:t>3</w:t>
            </w:r>
            <w:r>
              <w:rPr>
                <w:rFonts w:ascii="Arial" w:hAnsi="Arial" w:cs="Arial"/>
                <w:b/>
                <w:bCs/>
              </w:rPr>
              <w:t>,</w:t>
            </w:r>
            <w:r w:rsidR="0084730E">
              <w:rPr>
                <w:rFonts w:ascii="Arial" w:hAnsi="Arial" w:cs="Arial"/>
                <w:b/>
                <w:bCs/>
              </w:rPr>
              <w:t>077</w:t>
            </w:r>
          </w:p>
        </w:tc>
      </w:tr>
      <w:tr w:rsidR="006E1122" w:rsidRPr="00271E01" w:rsidTr="00CB5842">
        <w:tc>
          <w:tcPr>
            <w:tcW w:w="1653" w:type="pct"/>
            <w:tcBorders>
              <w:top w:val="single" w:sz="4" w:space="0" w:color="auto"/>
              <w:bottom w:val="single" w:sz="4" w:space="0" w:color="auto"/>
            </w:tcBorders>
          </w:tcPr>
          <w:p w:rsidR="006E1122" w:rsidRPr="00271E01" w:rsidRDefault="006E1122" w:rsidP="006E1122">
            <w:pPr>
              <w:spacing w:before="100"/>
              <w:ind w:left="108" w:hanging="108"/>
              <w:jc w:val="left"/>
              <w:rPr>
                <w:rFonts w:ascii="Arial" w:hAnsi="Arial" w:cs="Arial"/>
                <w:b/>
                <w:bCs/>
              </w:rPr>
            </w:pPr>
            <w:r>
              <w:rPr>
                <w:rFonts w:ascii="Arial" w:hAnsi="Arial" w:cs="Arial"/>
                <w:b/>
                <w:bCs/>
              </w:rPr>
              <w:t>Total Group</w:t>
            </w:r>
          </w:p>
        </w:tc>
        <w:tc>
          <w:tcPr>
            <w:tcW w:w="1257" w:type="pct"/>
            <w:tcBorders>
              <w:top w:val="single" w:sz="4" w:space="0" w:color="auto"/>
              <w:bottom w:val="single" w:sz="4" w:space="0" w:color="auto"/>
            </w:tcBorders>
          </w:tcPr>
          <w:p w:rsidR="006E1122" w:rsidRPr="00271E01" w:rsidRDefault="00D302CB" w:rsidP="006E1122">
            <w:pPr>
              <w:spacing w:before="100"/>
              <w:ind w:left="108" w:hanging="108"/>
              <w:jc w:val="right"/>
              <w:rPr>
                <w:rFonts w:ascii="Arial" w:hAnsi="Arial" w:cs="Arial"/>
                <w:b/>
                <w:bCs/>
              </w:rPr>
            </w:pPr>
            <w:r>
              <w:rPr>
                <w:rFonts w:ascii="Arial" w:hAnsi="Arial" w:cs="Arial"/>
                <w:b/>
                <w:bCs/>
              </w:rPr>
              <w:t>1,157</w:t>
            </w:r>
          </w:p>
        </w:tc>
        <w:tc>
          <w:tcPr>
            <w:tcW w:w="1005" w:type="pct"/>
            <w:tcBorders>
              <w:top w:val="single" w:sz="4" w:space="0" w:color="auto"/>
              <w:bottom w:val="single" w:sz="4" w:space="0" w:color="auto"/>
            </w:tcBorders>
          </w:tcPr>
          <w:p w:rsidR="006E1122" w:rsidRPr="00271E01" w:rsidRDefault="00D302CB" w:rsidP="006E1122">
            <w:pPr>
              <w:spacing w:before="100"/>
              <w:ind w:left="108" w:hanging="108"/>
              <w:jc w:val="right"/>
              <w:rPr>
                <w:rFonts w:ascii="Arial" w:hAnsi="Arial" w:cs="Arial"/>
                <w:b/>
                <w:bCs/>
              </w:rPr>
            </w:pPr>
            <w:r>
              <w:rPr>
                <w:rFonts w:ascii="Arial" w:hAnsi="Arial" w:cs="Arial"/>
                <w:b/>
                <w:bCs/>
              </w:rPr>
              <w:t>5,935</w:t>
            </w:r>
          </w:p>
        </w:tc>
        <w:tc>
          <w:tcPr>
            <w:tcW w:w="1085" w:type="pct"/>
            <w:tcBorders>
              <w:top w:val="single" w:sz="4" w:space="0" w:color="auto"/>
              <w:bottom w:val="single" w:sz="4" w:space="0" w:color="auto"/>
            </w:tcBorders>
          </w:tcPr>
          <w:p w:rsidR="006E1122" w:rsidRPr="00271E01" w:rsidRDefault="00D302CB" w:rsidP="006E1122">
            <w:pPr>
              <w:spacing w:before="100"/>
              <w:ind w:left="108" w:hanging="108"/>
              <w:jc w:val="right"/>
              <w:rPr>
                <w:rFonts w:ascii="Arial" w:hAnsi="Arial" w:cs="Arial"/>
                <w:b/>
                <w:bCs/>
              </w:rPr>
            </w:pPr>
            <w:r>
              <w:rPr>
                <w:rFonts w:ascii="Arial" w:hAnsi="Arial" w:cs="Arial"/>
                <w:b/>
                <w:bCs/>
              </w:rPr>
              <w:t>67,</w:t>
            </w:r>
            <w:r w:rsidR="0084730E">
              <w:rPr>
                <w:rFonts w:ascii="Arial" w:hAnsi="Arial" w:cs="Arial"/>
                <w:b/>
                <w:bCs/>
              </w:rPr>
              <w:t>641</w:t>
            </w:r>
          </w:p>
        </w:tc>
      </w:tr>
      <w:tr w:rsidR="006E1122" w:rsidRPr="00271E01" w:rsidTr="006E1122">
        <w:tc>
          <w:tcPr>
            <w:tcW w:w="1653" w:type="pct"/>
            <w:tcBorders>
              <w:top w:val="single" w:sz="4" w:space="0" w:color="auto"/>
            </w:tcBorders>
          </w:tcPr>
          <w:p w:rsidR="006E1122" w:rsidRDefault="006E1122" w:rsidP="006E1122">
            <w:pPr>
              <w:spacing w:before="100"/>
              <w:ind w:left="108" w:hanging="108"/>
              <w:jc w:val="left"/>
              <w:rPr>
                <w:rFonts w:ascii="Arial" w:hAnsi="Arial" w:cs="Arial"/>
                <w:b/>
                <w:bCs/>
              </w:rPr>
            </w:pPr>
          </w:p>
        </w:tc>
        <w:tc>
          <w:tcPr>
            <w:tcW w:w="1257" w:type="pct"/>
            <w:tcBorders>
              <w:top w:val="single" w:sz="4" w:space="0" w:color="auto"/>
            </w:tcBorders>
          </w:tcPr>
          <w:p w:rsidR="006E1122" w:rsidRPr="00271E01" w:rsidRDefault="006E1122" w:rsidP="006E1122">
            <w:pPr>
              <w:spacing w:before="100"/>
              <w:ind w:left="108" w:hanging="108"/>
              <w:jc w:val="right"/>
              <w:rPr>
                <w:rFonts w:ascii="Arial" w:hAnsi="Arial" w:cs="Arial"/>
                <w:b/>
                <w:bCs/>
              </w:rPr>
            </w:pPr>
          </w:p>
        </w:tc>
        <w:tc>
          <w:tcPr>
            <w:tcW w:w="1005" w:type="pct"/>
            <w:tcBorders>
              <w:top w:val="single" w:sz="4" w:space="0" w:color="auto"/>
            </w:tcBorders>
          </w:tcPr>
          <w:p w:rsidR="006E1122" w:rsidRPr="00271E01" w:rsidRDefault="006E1122" w:rsidP="006E1122">
            <w:pPr>
              <w:spacing w:before="100"/>
              <w:ind w:left="108" w:hanging="108"/>
              <w:jc w:val="right"/>
              <w:rPr>
                <w:rFonts w:ascii="Arial" w:hAnsi="Arial" w:cs="Arial"/>
                <w:b/>
                <w:bCs/>
              </w:rPr>
            </w:pPr>
          </w:p>
        </w:tc>
        <w:tc>
          <w:tcPr>
            <w:tcW w:w="1085" w:type="pct"/>
            <w:tcBorders>
              <w:top w:val="single" w:sz="4" w:space="0" w:color="auto"/>
            </w:tcBorders>
          </w:tcPr>
          <w:p w:rsidR="006E1122" w:rsidRPr="00271E01" w:rsidRDefault="006E1122" w:rsidP="006E1122">
            <w:pPr>
              <w:spacing w:before="100"/>
              <w:ind w:left="108" w:hanging="108"/>
              <w:jc w:val="right"/>
              <w:rPr>
                <w:rFonts w:ascii="Arial" w:hAnsi="Arial" w:cs="Arial"/>
                <w:b/>
                <w:bCs/>
              </w:rPr>
            </w:pPr>
          </w:p>
        </w:tc>
      </w:tr>
    </w:tbl>
    <w:p w:rsidR="00616A26" w:rsidRPr="0026648B" w:rsidRDefault="00616A26" w:rsidP="00616A26">
      <w:pPr>
        <w:jc w:val="left"/>
        <w:rPr>
          <w:rFonts w:ascii="Arial" w:hAnsi="Arial" w:cs="Arial"/>
          <w:b/>
          <w:bCs/>
        </w:rPr>
      </w:pPr>
    </w:p>
    <w:tbl>
      <w:tblPr>
        <w:tblW w:w="8472" w:type="dxa"/>
        <w:tblLayout w:type="fixed"/>
        <w:tblLook w:val="01E0" w:firstRow="1" w:lastRow="1" w:firstColumn="1" w:lastColumn="1" w:noHBand="0" w:noVBand="0"/>
      </w:tblPr>
      <w:tblGrid>
        <w:gridCol w:w="2376"/>
        <w:gridCol w:w="1276"/>
        <w:gridCol w:w="1276"/>
        <w:gridCol w:w="1701"/>
        <w:gridCol w:w="1843"/>
      </w:tblGrid>
      <w:tr w:rsidR="006A2252" w:rsidRPr="0026648B" w:rsidTr="009618C2">
        <w:trPr>
          <w:trHeight w:val="567"/>
        </w:trPr>
        <w:tc>
          <w:tcPr>
            <w:tcW w:w="2376" w:type="dxa"/>
            <w:tcBorders>
              <w:bottom w:val="single" w:sz="4" w:space="0" w:color="auto"/>
            </w:tcBorders>
          </w:tcPr>
          <w:p w:rsidR="00616A26" w:rsidRPr="00FB4505" w:rsidRDefault="00650C67" w:rsidP="00C659A8">
            <w:pPr>
              <w:jc w:val="left"/>
              <w:rPr>
                <w:rFonts w:ascii="Arial" w:hAnsi="Arial" w:cs="Arial"/>
              </w:rPr>
            </w:pPr>
            <w:r>
              <w:rPr>
                <w:rFonts w:ascii="Arial" w:hAnsi="Arial" w:cs="Arial"/>
              </w:rPr>
              <w:t>Half year 2014/15</w:t>
            </w:r>
          </w:p>
        </w:tc>
        <w:tc>
          <w:tcPr>
            <w:tcW w:w="1276" w:type="dxa"/>
            <w:tcBorders>
              <w:bottom w:val="single" w:sz="4" w:space="0" w:color="auto"/>
            </w:tcBorders>
          </w:tcPr>
          <w:p w:rsidR="00616A26" w:rsidRPr="0026648B" w:rsidRDefault="00616A26" w:rsidP="00C659A8">
            <w:pPr>
              <w:jc w:val="right"/>
              <w:rPr>
                <w:rFonts w:ascii="Arial" w:hAnsi="Arial" w:cs="Arial"/>
                <w:b/>
              </w:rPr>
            </w:pPr>
            <w:r w:rsidRPr="0026648B">
              <w:rPr>
                <w:rFonts w:ascii="Arial" w:hAnsi="Arial" w:cs="Arial"/>
                <w:b/>
              </w:rPr>
              <w:t xml:space="preserve">Sales </w:t>
            </w:r>
          </w:p>
        </w:tc>
        <w:tc>
          <w:tcPr>
            <w:tcW w:w="1276" w:type="dxa"/>
            <w:tcBorders>
              <w:bottom w:val="single" w:sz="4" w:space="0" w:color="auto"/>
            </w:tcBorders>
          </w:tcPr>
          <w:p w:rsidR="00616A26" w:rsidRPr="0026648B" w:rsidRDefault="00616A26" w:rsidP="00C659A8">
            <w:pPr>
              <w:jc w:val="right"/>
              <w:rPr>
                <w:rFonts w:ascii="Arial" w:hAnsi="Arial" w:cs="Arial"/>
                <w:b/>
              </w:rPr>
            </w:pPr>
            <w:r w:rsidRPr="0026648B">
              <w:rPr>
                <w:rFonts w:ascii="Arial" w:hAnsi="Arial" w:cs="Arial"/>
                <w:b/>
              </w:rPr>
              <w:t>% Total</w:t>
            </w:r>
          </w:p>
          <w:p w:rsidR="00616A26" w:rsidRPr="0026648B" w:rsidRDefault="00616A26" w:rsidP="00C659A8">
            <w:pPr>
              <w:jc w:val="right"/>
              <w:rPr>
                <w:rFonts w:ascii="Arial" w:hAnsi="Arial" w:cs="Arial"/>
                <w:b/>
              </w:rPr>
            </w:pPr>
            <w:r w:rsidRPr="0026648B">
              <w:rPr>
                <w:rFonts w:ascii="Arial" w:hAnsi="Arial" w:cs="Arial"/>
                <w:b/>
              </w:rPr>
              <w:t>Change</w:t>
            </w:r>
          </w:p>
        </w:tc>
        <w:tc>
          <w:tcPr>
            <w:tcW w:w="1701" w:type="dxa"/>
            <w:tcBorders>
              <w:bottom w:val="single" w:sz="4" w:space="0" w:color="auto"/>
            </w:tcBorders>
          </w:tcPr>
          <w:p w:rsidR="00616A26" w:rsidRPr="0026648B" w:rsidRDefault="00616A26" w:rsidP="00C659A8">
            <w:pPr>
              <w:jc w:val="right"/>
              <w:rPr>
                <w:rFonts w:ascii="Arial" w:hAnsi="Arial" w:cs="Arial"/>
                <w:b/>
              </w:rPr>
            </w:pPr>
            <w:r w:rsidRPr="0026648B">
              <w:rPr>
                <w:rFonts w:ascii="Arial" w:hAnsi="Arial" w:cs="Arial"/>
                <w:b/>
              </w:rPr>
              <w:t>% Total Change</w:t>
            </w:r>
          </w:p>
        </w:tc>
        <w:tc>
          <w:tcPr>
            <w:tcW w:w="1843" w:type="dxa"/>
            <w:tcBorders>
              <w:bottom w:val="single" w:sz="4" w:space="0" w:color="auto"/>
            </w:tcBorders>
          </w:tcPr>
          <w:p w:rsidR="00616A26" w:rsidRPr="0026648B" w:rsidRDefault="00616A26" w:rsidP="00C659A8">
            <w:pPr>
              <w:jc w:val="right"/>
              <w:rPr>
                <w:rFonts w:ascii="Arial" w:hAnsi="Arial" w:cs="Arial"/>
                <w:b/>
              </w:rPr>
            </w:pPr>
            <w:r w:rsidRPr="0026648B">
              <w:rPr>
                <w:rFonts w:ascii="Arial" w:hAnsi="Arial" w:cs="Arial"/>
                <w:b/>
              </w:rPr>
              <w:t>% LFL Change</w:t>
            </w:r>
          </w:p>
        </w:tc>
      </w:tr>
      <w:tr w:rsidR="006A2252" w:rsidRPr="0026648B" w:rsidTr="009618C2">
        <w:trPr>
          <w:trHeight w:val="567"/>
        </w:trPr>
        <w:tc>
          <w:tcPr>
            <w:tcW w:w="2376" w:type="dxa"/>
            <w:tcBorders>
              <w:top w:val="single" w:sz="4" w:space="0" w:color="auto"/>
              <w:bottom w:val="single" w:sz="4" w:space="0" w:color="auto"/>
            </w:tcBorders>
          </w:tcPr>
          <w:p w:rsidR="00616A26" w:rsidRPr="0026648B" w:rsidRDefault="00616A26" w:rsidP="00C659A8">
            <w:pPr>
              <w:jc w:val="right"/>
              <w:rPr>
                <w:rFonts w:ascii="Arial" w:hAnsi="Arial" w:cs="Arial"/>
              </w:rPr>
            </w:pPr>
          </w:p>
        </w:tc>
        <w:tc>
          <w:tcPr>
            <w:tcW w:w="1276" w:type="dxa"/>
            <w:tcBorders>
              <w:top w:val="single" w:sz="4" w:space="0" w:color="auto"/>
              <w:bottom w:val="single" w:sz="4" w:space="0" w:color="auto"/>
            </w:tcBorders>
          </w:tcPr>
          <w:p w:rsidR="00616A26" w:rsidRPr="0026648B" w:rsidRDefault="00616A26" w:rsidP="00C659A8">
            <w:pPr>
              <w:jc w:val="right"/>
              <w:rPr>
                <w:rFonts w:ascii="Arial" w:hAnsi="Arial" w:cs="Arial"/>
                <w:b/>
              </w:rPr>
            </w:pPr>
            <w:r w:rsidRPr="0026648B">
              <w:rPr>
                <w:rFonts w:ascii="Arial" w:hAnsi="Arial" w:cs="Arial"/>
                <w:b/>
              </w:rPr>
              <w:t>£m</w:t>
            </w:r>
          </w:p>
          <w:p w:rsidR="00616A26" w:rsidRPr="0026648B" w:rsidRDefault="00616A26">
            <w:pPr>
              <w:jc w:val="right"/>
              <w:rPr>
                <w:rFonts w:ascii="Arial" w:hAnsi="Arial" w:cs="Arial"/>
                <w:b/>
              </w:rPr>
            </w:pPr>
          </w:p>
        </w:tc>
        <w:tc>
          <w:tcPr>
            <w:tcW w:w="1276" w:type="dxa"/>
            <w:tcBorders>
              <w:top w:val="single" w:sz="4" w:space="0" w:color="auto"/>
              <w:bottom w:val="single" w:sz="4" w:space="0" w:color="auto"/>
            </w:tcBorders>
          </w:tcPr>
          <w:p w:rsidR="00616A26" w:rsidRPr="0026648B" w:rsidRDefault="00616A26" w:rsidP="00C659A8">
            <w:pPr>
              <w:jc w:val="right"/>
              <w:rPr>
                <w:rFonts w:ascii="Arial" w:hAnsi="Arial" w:cs="Arial"/>
              </w:rPr>
            </w:pPr>
            <w:r w:rsidRPr="0026648B">
              <w:rPr>
                <w:rFonts w:ascii="Arial" w:hAnsi="Arial" w:cs="Arial"/>
                <w:b/>
              </w:rPr>
              <w:t>Reported</w:t>
            </w:r>
          </w:p>
        </w:tc>
        <w:tc>
          <w:tcPr>
            <w:tcW w:w="1701" w:type="dxa"/>
            <w:tcBorders>
              <w:top w:val="single" w:sz="4" w:space="0" w:color="auto"/>
              <w:bottom w:val="single" w:sz="4" w:space="0" w:color="auto"/>
            </w:tcBorders>
          </w:tcPr>
          <w:p w:rsidR="00616A26" w:rsidRPr="0026648B" w:rsidRDefault="000045F9" w:rsidP="00650C67">
            <w:pPr>
              <w:jc w:val="right"/>
              <w:rPr>
                <w:rFonts w:ascii="Arial" w:hAnsi="Arial" w:cs="Arial"/>
                <w:b/>
                <w:vertAlign w:val="superscript"/>
              </w:rPr>
            </w:pPr>
            <w:r>
              <w:rPr>
                <w:rFonts w:ascii="Arial" w:hAnsi="Arial" w:cs="Arial"/>
                <w:b/>
              </w:rPr>
              <w:t>Constant c</w:t>
            </w:r>
            <w:r w:rsidR="0026648B" w:rsidRPr="0026648B">
              <w:rPr>
                <w:rFonts w:ascii="Arial" w:hAnsi="Arial" w:cs="Arial"/>
                <w:b/>
              </w:rPr>
              <w:t>urrency</w:t>
            </w:r>
            <w:r w:rsidR="00D2245A">
              <w:rPr>
                <w:rFonts w:ascii="Arial" w:hAnsi="Arial" w:cs="Arial"/>
                <w:b/>
              </w:rPr>
              <w:t xml:space="preserve"> </w:t>
            </w:r>
          </w:p>
        </w:tc>
        <w:tc>
          <w:tcPr>
            <w:tcW w:w="1843" w:type="dxa"/>
            <w:tcBorders>
              <w:top w:val="single" w:sz="4" w:space="0" w:color="auto"/>
              <w:bottom w:val="single" w:sz="4" w:space="0" w:color="auto"/>
            </w:tcBorders>
          </w:tcPr>
          <w:p w:rsidR="00616A26" w:rsidRPr="0026648B" w:rsidRDefault="0026648B" w:rsidP="000045F9">
            <w:pPr>
              <w:jc w:val="right"/>
              <w:rPr>
                <w:rFonts w:ascii="Arial" w:hAnsi="Arial" w:cs="Arial"/>
                <w:b/>
              </w:rPr>
            </w:pPr>
            <w:r w:rsidRPr="0026648B">
              <w:rPr>
                <w:rFonts w:ascii="Arial" w:hAnsi="Arial" w:cs="Arial"/>
                <w:b/>
              </w:rPr>
              <w:t>C</w:t>
            </w:r>
            <w:r w:rsidR="000045F9">
              <w:rPr>
                <w:rFonts w:ascii="Arial" w:hAnsi="Arial" w:cs="Arial"/>
                <w:b/>
              </w:rPr>
              <w:t>onstant c</w:t>
            </w:r>
            <w:r w:rsidR="00616A26" w:rsidRPr="0026648B">
              <w:rPr>
                <w:rFonts w:ascii="Arial" w:hAnsi="Arial" w:cs="Arial"/>
                <w:b/>
              </w:rPr>
              <w:t>urrency</w:t>
            </w:r>
          </w:p>
        </w:tc>
      </w:tr>
      <w:tr w:rsidR="006A2252" w:rsidRPr="0026648B" w:rsidTr="00CB5842">
        <w:tc>
          <w:tcPr>
            <w:tcW w:w="2376" w:type="dxa"/>
            <w:tcBorders>
              <w:top w:val="single" w:sz="4" w:space="0" w:color="auto"/>
            </w:tcBorders>
          </w:tcPr>
          <w:p w:rsidR="00616A26" w:rsidRPr="0026648B" w:rsidRDefault="00616A26" w:rsidP="00C659A8">
            <w:pPr>
              <w:rPr>
                <w:rFonts w:ascii="Arial" w:hAnsi="Arial" w:cs="Arial"/>
              </w:rPr>
            </w:pPr>
            <w:r w:rsidRPr="0026648B">
              <w:rPr>
                <w:rFonts w:ascii="Arial" w:hAnsi="Arial" w:cs="Arial"/>
              </w:rPr>
              <w:t>Castorama</w:t>
            </w:r>
          </w:p>
        </w:tc>
        <w:tc>
          <w:tcPr>
            <w:tcW w:w="1276" w:type="dxa"/>
            <w:tcBorders>
              <w:top w:val="single" w:sz="4" w:space="0" w:color="auto"/>
            </w:tcBorders>
          </w:tcPr>
          <w:p w:rsidR="00616A26" w:rsidRPr="0026648B" w:rsidRDefault="000C6E63" w:rsidP="00C659A8">
            <w:pPr>
              <w:jc w:val="right"/>
              <w:rPr>
                <w:rFonts w:ascii="Arial" w:hAnsi="Arial" w:cs="Arial"/>
              </w:rPr>
            </w:pPr>
            <w:r>
              <w:rPr>
                <w:rFonts w:ascii="Arial" w:hAnsi="Arial" w:cs="Arial"/>
              </w:rPr>
              <w:t>1,234</w:t>
            </w:r>
          </w:p>
        </w:tc>
        <w:tc>
          <w:tcPr>
            <w:tcW w:w="1276" w:type="dxa"/>
            <w:tcBorders>
              <w:top w:val="single" w:sz="4" w:space="0" w:color="auto"/>
            </w:tcBorders>
          </w:tcPr>
          <w:p w:rsidR="00616A26" w:rsidRPr="0026648B" w:rsidRDefault="00E02354" w:rsidP="00C659A8">
            <w:pPr>
              <w:jc w:val="right"/>
              <w:rPr>
                <w:rFonts w:ascii="Arial" w:hAnsi="Arial" w:cs="Arial"/>
              </w:rPr>
            </w:pPr>
            <w:r>
              <w:rPr>
                <w:rFonts w:ascii="Arial" w:hAnsi="Arial" w:cs="Arial"/>
              </w:rPr>
              <w:t>(4.7)%</w:t>
            </w:r>
          </w:p>
        </w:tc>
        <w:tc>
          <w:tcPr>
            <w:tcW w:w="1701" w:type="dxa"/>
            <w:tcBorders>
              <w:top w:val="single" w:sz="4" w:space="0" w:color="auto"/>
            </w:tcBorders>
          </w:tcPr>
          <w:p w:rsidR="00616A26" w:rsidRPr="0026648B" w:rsidRDefault="00327BDD" w:rsidP="00C659A8">
            <w:pPr>
              <w:jc w:val="right"/>
              <w:rPr>
                <w:rFonts w:ascii="Arial" w:hAnsi="Arial" w:cs="Arial"/>
              </w:rPr>
            </w:pPr>
            <w:r>
              <w:rPr>
                <w:rFonts w:ascii="Arial" w:hAnsi="Arial" w:cs="Arial"/>
              </w:rPr>
              <w:t>+0.1%</w:t>
            </w:r>
          </w:p>
        </w:tc>
        <w:tc>
          <w:tcPr>
            <w:tcW w:w="1843" w:type="dxa"/>
            <w:tcBorders>
              <w:top w:val="single" w:sz="4" w:space="0" w:color="auto"/>
            </w:tcBorders>
          </w:tcPr>
          <w:p w:rsidR="00616A26" w:rsidRPr="0026648B" w:rsidRDefault="00327BDD" w:rsidP="00C659A8">
            <w:pPr>
              <w:jc w:val="right"/>
              <w:rPr>
                <w:rFonts w:ascii="Arial" w:hAnsi="Arial" w:cs="Arial"/>
              </w:rPr>
            </w:pPr>
            <w:r>
              <w:rPr>
                <w:rFonts w:ascii="Arial" w:hAnsi="Arial" w:cs="Arial"/>
              </w:rPr>
              <w:t>+0.1%</w:t>
            </w:r>
          </w:p>
        </w:tc>
      </w:tr>
      <w:tr w:rsidR="006A2252" w:rsidRPr="0026648B" w:rsidTr="00CB5842">
        <w:tc>
          <w:tcPr>
            <w:tcW w:w="2376" w:type="dxa"/>
            <w:tcBorders>
              <w:bottom w:val="single" w:sz="4" w:space="0" w:color="auto"/>
            </w:tcBorders>
          </w:tcPr>
          <w:p w:rsidR="00616A26" w:rsidRPr="0026648B" w:rsidRDefault="00616A26" w:rsidP="00C659A8">
            <w:pPr>
              <w:rPr>
                <w:rFonts w:ascii="Arial" w:hAnsi="Arial" w:cs="Arial"/>
              </w:rPr>
            </w:pPr>
            <w:r w:rsidRPr="0026648B">
              <w:rPr>
                <w:rFonts w:ascii="Arial" w:hAnsi="Arial" w:cs="Arial"/>
              </w:rPr>
              <w:t>Brico Dépôt</w:t>
            </w:r>
          </w:p>
        </w:tc>
        <w:tc>
          <w:tcPr>
            <w:tcW w:w="1276" w:type="dxa"/>
            <w:tcBorders>
              <w:bottom w:val="single" w:sz="4" w:space="0" w:color="auto"/>
            </w:tcBorders>
          </w:tcPr>
          <w:p w:rsidR="00616A26" w:rsidRPr="0026648B" w:rsidRDefault="000C6E63" w:rsidP="00C659A8">
            <w:pPr>
              <w:jc w:val="right"/>
              <w:rPr>
                <w:rFonts w:ascii="Arial" w:hAnsi="Arial" w:cs="Arial"/>
              </w:rPr>
            </w:pPr>
            <w:r>
              <w:rPr>
                <w:rFonts w:ascii="Arial" w:hAnsi="Arial" w:cs="Arial"/>
              </w:rPr>
              <w:t>971</w:t>
            </w:r>
          </w:p>
        </w:tc>
        <w:tc>
          <w:tcPr>
            <w:tcW w:w="1276" w:type="dxa"/>
            <w:tcBorders>
              <w:bottom w:val="single" w:sz="4" w:space="0" w:color="auto"/>
            </w:tcBorders>
          </w:tcPr>
          <w:p w:rsidR="00616A26" w:rsidRPr="0026648B" w:rsidRDefault="00E02354" w:rsidP="00C659A8">
            <w:pPr>
              <w:jc w:val="right"/>
              <w:rPr>
                <w:rFonts w:ascii="Arial" w:hAnsi="Arial" w:cs="Arial"/>
              </w:rPr>
            </w:pPr>
            <w:r>
              <w:rPr>
                <w:rFonts w:ascii="Arial" w:hAnsi="Arial" w:cs="Arial"/>
              </w:rPr>
              <w:t>(4.0)%</w:t>
            </w:r>
          </w:p>
        </w:tc>
        <w:tc>
          <w:tcPr>
            <w:tcW w:w="1701" w:type="dxa"/>
            <w:tcBorders>
              <w:bottom w:val="single" w:sz="4" w:space="0" w:color="auto"/>
            </w:tcBorders>
          </w:tcPr>
          <w:p w:rsidR="00616A26" w:rsidRPr="0026648B" w:rsidRDefault="00327BDD" w:rsidP="00C659A8">
            <w:pPr>
              <w:jc w:val="right"/>
              <w:rPr>
                <w:rFonts w:ascii="Arial" w:hAnsi="Arial" w:cs="Arial"/>
              </w:rPr>
            </w:pPr>
            <w:r>
              <w:rPr>
                <w:rFonts w:ascii="Arial" w:hAnsi="Arial" w:cs="Arial"/>
              </w:rPr>
              <w:t>+0.8%</w:t>
            </w:r>
          </w:p>
        </w:tc>
        <w:tc>
          <w:tcPr>
            <w:tcW w:w="1843" w:type="dxa"/>
            <w:tcBorders>
              <w:bottom w:val="single" w:sz="4" w:space="0" w:color="auto"/>
            </w:tcBorders>
          </w:tcPr>
          <w:p w:rsidR="00616A26" w:rsidRPr="0026648B" w:rsidRDefault="00327BDD" w:rsidP="00C659A8">
            <w:pPr>
              <w:jc w:val="right"/>
              <w:rPr>
                <w:rFonts w:ascii="Arial" w:hAnsi="Arial" w:cs="Arial"/>
              </w:rPr>
            </w:pPr>
            <w:r>
              <w:rPr>
                <w:rFonts w:ascii="Arial" w:hAnsi="Arial" w:cs="Arial"/>
              </w:rPr>
              <w:t>(1.9)%</w:t>
            </w:r>
          </w:p>
        </w:tc>
      </w:tr>
      <w:tr w:rsidR="006A2252" w:rsidRPr="0026648B" w:rsidTr="00CB5842">
        <w:tc>
          <w:tcPr>
            <w:tcW w:w="2376" w:type="dxa"/>
            <w:tcBorders>
              <w:top w:val="single" w:sz="4" w:space="0" w:color="auto"/>
              <w:bottom w:val="single" w:sz="4" w:space="0" w:color="auto"/>
            </w:tcBorders>
          </w:tcPr>
          <w:p w:rsidR="00616A26" w:rsidRPr="0026648B" w:rsidRDefault="00616A26" w:rsidP="00C659A8">
            <w:pPr>
              <w:rPr>
                <w:rFonts w:ascii="Arial" w:hAnsi="Arial" w:cs="Arial"/>
                <w:b/>
              </w:rPr>
            </w:pPr>
            <w:r w:rsidRPr="0026648B">
              <w:rPr>
                <w:rFonts w:ascii="Arial" w:hAnsi="Arial" w:cs="Arial"/>
                <w:b/>
              </w:rPr>
              <w:t>France</w:t>
            </w:r>
          </w:p>
        </w:tc>
        <w:tc>
          <w:tcPr>
            <w:tcW w:w="1276" w:type="dxa"/>
            <w:tcBorders>
              <w:top w:val="single" w:sz="4" w:space="0" w:color="auto"/>
              <w:bottom w:val="single" w:sz="4" w:space="0" w:color="auto"/>
            </w:tcBorders>
          </w:tcPr>
          <w:p w:rsidR="00616A26" w:rsidRPr="0026648B" w:rsidRDefault="000C6E63" w:rsidP="00C659A8">
            <w:pPr>
              <w:jc w:val="right"/>
              <w:rPr>
                <w:rFonts w:ascii="Arial" w:hAnsi="Arial" w:cs="Arial"/>
                <w:b/>
              </w:rPr>
            </w:pPr>
            <w:r>
              <w:rPr>
                <w:rFonts w:ascii="Arial" w:hAnsi="Arial" w:cs="Arial"/>
                <w:b/>
              </w:rPr>
              <w:t>2,205</w:t>
            </w:r>
          </w:p>
        </w:tc>
        <w:tc>
          <w:tcPr>
            <w:tcW w:w="1276" w:type="dxa"/>
            <w:tcBorders>
              <w:top w:val="single" w:sz="4" w:space="0" w:color="auto"/>
              <w:bottom w:val="single" w:sz="4" w:space="0" w:color="auto"/>
            </w:tcBorders>
          </w:tcPr>
          <w:p w:rsidR="00616A26" w:rsidRPr="0026648B" w:rsidRDefault="00E02354" w:rsidP="00C659A8">
            <w:pPr>
              <w:jc w:val="right"/>
              <w:rPr>
                <w:rFonts w:ascii="Arial" w:hAnsi="Arial" w:cs="Arial"/>
                <w:b/>
              </w:rPr>
            </w:pPr>
            <w:r>
              <w:rPr>
                <w:rFonts w:ascii="Arial" w:hAnsi="Arial" w:cs="Arial"/>
                <w:b/>
              </w:rPr>
              <w:t>(4.4)%</w:t>
            </w:r>
          </w:p>
        </w:tc>
        <w:tc>
          <w:tcPr>
            <w:tcW w:w="1701" w:type="dxa"/>
            <w:tcBorders>
              <w:top w:val="single" w:sz="4" w:space="0" w:color="auto"/>
              <w:bottom w:val="single" w:sz="4" w:space="0" w:color="auto"/>
            </w:tcBorders>
          </w:tcPr>
          <w:p w:rsidR="00616A26" w:rsidRPr="0026648B" w:rsidRDefault="00327BDD" w:rsidP="00C659A8">
            <w:pPr>
              <w:jc w:val="right"/>
              <w:rPr>
                <w:rFonts w:ascii="Arial" w:hAnsi="Arial" w:cs="Arial"/>
                <w:b/>
              </w:rPr>
            </w:pPr>
            <w:r>
              <w:rPr>
                <w:rFonts w:ascii="Arial" w:hAnsi="Arial" w:cs="Arial"/>
                <w:b/>
              </w:rPr>
              <w:t>+0.4%</w:t>
            </w:r>
          </w:p>
        </w:tc>
        <w:tc>
          <w:tcPr>
            <w:tcW w:w="1843" w:type="dxa"/>
            <w:tcBorders>
              <w:top w:val="single" w:sz="4" w:space="0" w:color="auto"/>
              <w:bottom w:val="single" w:sz="4" w:space="0" w:color="auto"/>
            </w:tcBorders>
          </w:tcPr>
          <w:p w:rsidR="00616A26" w:rsidRPr="0026648B" w:rsidRDefault="00327BDD" w:rsidP="00C659A8">
            <w:pPr>
              <w:jc w:val="right"/>
              <w:rPr>
                <w:rFonts w:ascii="Arial" w:hAnsi="Arial" w:cs="Arial"/>
                <w:b/>
              </w:rPr>
            </w:pPr>
            <w:r>
              <w:rPr>
                <w:rFonts w:ascii="Arial" w:hAnsi="Arial" w:cs="Arial"/>
                <w:b/>
              </w:rPr>
              <w:t>(0.8)%</w:t>
            </w:r>
          </w:p>
        </w:tc>
      </w:tr>
      <w:tr w:rsidR="006A2252" w:rsidRPr="0026648B" w:rsidTr="00CB5842">
        <w:tc>
          <w:tcPr>
            <w:tcW w:w="2376" w:type="dxa"/>
            <w:tcBorders>
              <w:top w:val="single" w:sz="4" w:space="0" w:color="auto"/>
            </w:tcBorders>
          </w:tcPr>
          <w:p w:rsidR="00616A26" w:rsidRPr="0026648B" w:rsidRDefault="00616A26" w:rsidP="00C659A8">
            <w:pPr>
              <w:jc w:val="left"/>
              <w:rPr>
                <w:rFonts w:ascii="Arial" w:hAnsi="Arial" w:cs="Arial"/>
              </w:rPr>
            </w:pPr>
            <w:r w:rsidRPr="0026648B">
              <w:rPr>
                <w:rFonts w:ascii="Arial" w:hAnsi="Arial" w:cs="Arial"/>
              </w:rPr>
              <w:t>B&amp;Q UK &amp; Ireland</w:t>
            </w:r>
            <w:r w:rsidRPr="0026648B">
              <w:rPr>
                <w:rFonts w:ascii="Arial" w:hAnsi="Arial" w:cs="Arial"/>
                <w:vertAlign w:val="superscript"/>
              </w:rPr>
              <w:t xml:space="preserve"> </w:t>
            </w:r>
          </w:p>
        </w:tc>
        <w:tc>
          <w:tcPr>
            <w:tcW w:w="1276" w:type="dxa"/>
            <w:tcBorders>
              <w:top w:val="single" w:sz="4" w:space="0" w:color="auto"/>
            </w:tcBorders>
          </w:tcPr>
          <w:p w:rsidR="00616A26" w:rsidRPr="0026648B" w:rsidRDefault="000C6E63">
            <w:pPr>
              <w:jc w:val="right"/>
              <w:rPr>
                <w:rFonts w:ascii="Arial" w:hAnsi="Arial" w:cs="Arial"/>
              </w:rPr>
            </w:pPr>
            <w:r>
              <w:rPr>
                <w:rFonts w:ascii="Arial" w:hAnsi="Arial" w:cs="Arial"/>
              </w:rPr>
              <w:t>2,033</w:t>
            </w:r>
          </w:p>
        </w:tc>
        <w:tc>
          <w:tcPr>
            <w:tcW w:w="1276" w:type="dxa"/>
            <w:tcBorders>
              <w:top w:val="single" w:sz="4" w:space="0" w:color="auto"/>
            </w:tcBorders>
          </w:tcPr>
          <w:p w:rsidR="00616A26" w:rsidRPr="0026648B" w:rsidRDefault="00E02354">
            <w:pPr>
              <w:jc w:val="right"/>
              <w:rPr>
                <w:rFonts w:ascii="Arial" w:hAnsi="Arial" w:cs="Arial"/>
              </w:rPr>
            </w:pPr>
            <w:r>
              <w:rPr>
                <w:rFonts w:ascii="Arial" w:hAnsi="Arial" w:cs="Arial"/>
              </w:rPr>
              <w:t>+3.9%</w:t>
            </w:r>
          </w:p>
        </w:tc>
        <w:tc>
          <w:tcPr>
            <w:tcW w:w="1701" w:type="dxa"/>
            <w:tcBorders>
              <w:top w:val="single" w:sz="4" w:space="0" w:color="auto"/>
            </w:tcBorders>
          </w:tcPr>
          <w:p w:rsidR="00616A26" w:rsidRPr="0026648B" w:rsidRDefault="00327BDD" w:rsidP="00C659A8">
            <w:pPr>
              <w:jc w:val="right"/>
              <w:rPr>
                <w:rFonts w:ascii="Arial" w:hAnsi="Arial" w:cs="Arial"/>
              </w:rPr>
            </w:pPr>
            <w:r>
              <w:rPr>
                <w:rFonts w:ascii="Arial" w:hAnsi="Arial" w:cs="Arial"/>
              </w:rPr>
              <w:t>+4.0%</w:t>
            </w:r>
          </w:p>
        </w:tc>
        <w:tc>
          <w:tcPr>
            <w:tcW w:w="1843" w:type="dxa"/>
            <w:tcBorders>
              <w:top w:val="single" w:sz="4" w:space="0" w:color="auto"/>
            </w:tcBorders>
          </w:tcPr>
          <w:p w:rsidR="00616A26" w:rsidRPr="0026648B" w:rsidRDefault="00327BDD" w:rsidP="00C659A8">
            <w:pPr>
              <w:jc w:val="right"/>
              <w:rPr>
                <w:rFonts w:ascii="Arial" w:hAnsi="Arial" w:cs="Arial"/>
              </w:rPr>
            </w:pPr>
            <w:r>
              <w:rPr>
                <w:rFonts w:ascii="Arial" w:hAnsi="Arial" w:cs="Arial"/>
              </w:rPr>
              <w:t>+3.2%</w:t>
            </w:r>
          </w:p>
        </w:tc>
      </w:tr>
      <w:tr w:rsidR="006A2252" w:rsidRPr="0026648B" w:rsidTr="00CB5842">
        <w:tc>
          <w:tcPr>
            <w:tcW w:w="2376" w:type="dxa"/>
            <w:tcBorders>
              <w:bottom w:val="single" w:sz="4" w:space="0" w:color="auto"/>
            </w:tcBorders>
          </w:tcPr>
          <w:p w:rsidR="00616A26" w:rsidRPr="0026648B" w:rsidRDefault="00616A26" w:rsidP="00C659A8">
            <w:pPr>
              <w:jc w:val="left"/>
              <w:rPr>
                <w:rFonts w:ascii="Arial" w:hAnsi="Arial" w:cs="Arial"/>
              </w:rPr>
            </w:pPr>
            <w:r w:rsidRPr="0026648B">
              <w:rPr>
                <w:rFonts w:ascii="Arial" w:hAnsi="Arial" w:cs="Arial"/>
              </w:rPr>
              <w:t>Screwfix</w:t>
            </w:r>
          </w:p>
        </w:tc>
        <w:tc>
          <w:tcPr>
            <w:tcW w:w="1276" w:type="dxa"/>
            <w:tcBorders>
              <w:bottom w:val="single" w:sz="4" w:space="0" w:color="auto"/>
            </w:tcBorders>
          </w:tcPr>
          <w:p w:rsidR="00616A26" w:rsidRPr="0026648B" w:rsidRDefault="000C6E63" w:rsidP="00C659A8">
            <w:pPr>
              <w:jc w:val="right"/>
              <w:rPr>
                <w:rFonts w:ascii="Arial" w:hAnsi="Arial" w:cs="Arial"/>
              </w:rPr>
            </w:pPr>
            <w:r>
              <w:rPr>
                <w:rFonts w:ascii="Arial" w:hAnsi="Arial" w:cs="Arial"/>
              </w:rPr>
              <w:t>386</w:t>
            </w:r>
          </w:p>
        </w:tc>
        <w:tc>
          <w:tcPr>
            <w:tcW w:w="1276" w:type="dxa"/>
            <w:tcBorders>
              <w:bottom w:val="single" w:sz="4" w:space="0" w:color="auto"/>
            </w:tcBorders>
          </w:tcPr>
          <w:p w:rsidR="00616A26" w:rsidRPr="0026648B" w:rsidRDefault="00E02354" w:rsidP="00C659A8">
            <w:pPr>
              <w:jc w:val="right"/>
              <w:rPr>
                <w:rFonts w:ascii="Arial" w:hAnsi="Arial" w:cs="Arial"/>
              </w:rPr>
            </w:pPr>
            <w:r>
              <w:rPr>
                <w:rFonts w:ascii="Arial" w:hAnsi="Arial" w:cs="Arial"/>
              </w:rPr>
              <w:t>+23.3%</w:t>
            </w:r>
          </w:p>
        </w:tc>
        <w:tc>
          <w:tcPr>
            <w:tcW w:w="1701" w:type="dxa"/>
            <w:tcBorders>
              <w:bottom w:val="single" w:sz="4" w:space="0" w:color="auto"/>
            </w:tcBorders>
          </w:tcPr>
          <w:p w:rsidR="00616A26" w:rsidRPr="0026648B" w:rsidRDefault="00327BDD" w:rsidP="00C659A8">
            <w:pPr>
              <w:jc w:val="right"/>
              <w:rPr>
                <w:rFonts w:ascii="Arial" w:hAnsi="Arial" w:cs="Arial"/>
              </w:rPr>
            </w:pPr>
            <w:r>
              <w:rPr>
                <w:rFonts w:ascii="Arial" w:hAnsi="Arial" w:cs="Arial"/>
              </w:rPr>
              <w:t>+23.3%</w:t>
            </w:r>
          </w:p>
        </w:tc>
        <w:tc>
          <w:tcPr>
            <w:tcW w:w="1843" w:type="dxa"/>
            <w:tcBorders>
              <w:bottom w:val="single" w:sz="4" w:space="0" w:color="auto"/>
            </w:tcBorders>
          </w:tcPr>
          <w:p w:rsidR="00616A26" w:rsidRPr="0026648B" w:rsidRDefault="00273D2D" w:rsidP="00C659A8">
            <w:pPr>
              <w:jc w:val="right"/>
              <w:rPr>
                <w:rFonts w:ascii="Arial" w:hAnsi="Arial" w:cs="Arial"/>
              </w:rPr>
            </w:pPr>
            <w:r>
              <w:rPr>
                <w:rFonts w:ascii="Arial" w:hAnsi="Arial" w:cs="Arial"/>
              </w:rPr>
              <w:t>+11.9</w:t>
            </w:r>
            <w:r w:rsidR="00327BDD">
              <w:rPr>
                <w:rFonts w:ascii="Arial" w:hAnsi="Arial" w:cs="Arial"/>
              </w:rPr>
              <w:t>%</w:t>
            </w:r>
          </w:p>
        </w:tc>
      </w:tr>
      <w:tr w:rsidR="006A2252" w:rsidRPr="0026648B" w:rsidTr="00CB5842">
        <w:tc>
          <w:tcPr>
            <w:tcW w:w="2376" w:type="dxa"/>
            <w:tcBorders>
              <w:top w:val="single" w:sz="4" w:space="0" w:color="auto"/>
              <w:bottom w:val="single" w:sz="4" w:space="0" w:color="auto"/>
            </w:tcBorders>
          </w:tcPr>
          <w:p w:rsidR="00616A26" w:rsidRPr="0026648B" w:rsidRDefault="00616A26" w:rsidP="00C659A8">
            <w:pPr>
              <w:jc w:val="left"/>
              <w:rPr>
                <w:rFonts w:ascii="Arial" w:hAnsi="Arial" w:cs="Arial"/>
                <w:b/>
                <w:vertAlign w:val="superscript"/>
              </w:rPr>
            </w:pPr>
            <w:r w:rsidRPr="0026648B">
              <w:rPr>
                <w:rFonts w:ascii="Arial" w:hAnsi="Arial" w:cs="Arial"/>
                <w:b/>
              </w:rPr>
              <w:t>UK &amp; Ireland</w:t>
            </w:r>
          </w:p>
        </w:tc>
        <w:tc>
          <w:tcPr>
            <w:tcW w:w="1276" w:type="dxa"/>
            <w:tcBorders>
              <w:top w:val="single" w:sz="4" w:space="0" w:color="auto"/>
              <w:bottom w:val="single" w:sz="4" w:space="0" w:color="auto"/>
            </w:tcBorders>
          </w:tcPr>
          <w:p w:rsidR="00616A26" w:rsidRPr="0026648B" w:rsidRDefault="000C6E63">
            <w:pPr>
              <w:jc w:val="right"/>
              <w:rPr>
                <w:rFonts w:ascii="Arial" w:hAnsi="Arial" w:cs="Arial"/>
                <w:b/>
              </w:rPr>
            </w:pPr>
            <w:r>
              <w:rPr>
                <w:rFonts w:ascii="Arial" w:hAnsi="Arial" w:cs="Arial"/>
                <w:b/>
              </w:rPr>
              <w:t>2,419</w:t>
            </w:r>
          </w:p>
        </w:tc>
        <w:tc>
          <w:tcPr>
            <w:tcW w:w="1276" w:type="dxa"/>
            <w:tcBorders>
              <w:top w:val="single" w:sz="4" w:space="0" w:color="auto"/>
              <w:bottom w:val="single" w:sz="4" w:space="0" w:color="auto"/>
            </w:tcBorders>
          </w:tcPr>
          <w:p w:rsidR="00616A26" w:rsidRPr="0026648B" w:rsidRDefault="00E02354" w:rsidP="00C659A8">
            <w:pPr>
              <w:jc w:val="right"/>
              <w:rPr>
                <w:rFonts w:ascii="Arial" w:hAnsi="Arial" w:cs="Arial"/>
                <w:b/>
              </w:rPr>
            </w:pPr>
            <w:r>
              <w:rPr>
                <w:rFonts w:ascii="Arial" w:hAnsi="Arial" w:cs="Arial"/>
                <w:b/>
              </w:rPr>
              <w:t>+6.5%</w:t>
            </w:r>
          </w:p>
        </w:tc>
        <w:tc>
          <w:tcPr>
            <w:tcW w:w="1701" w:type="dxa"/>
            <w:tcBorders>
              <w:top w:val="single" w:sz="4" w:space="0" w:color="auto"/>
              <w:bottom w:val="single" w:sz="4" w:space="0" w:color="auto"/>
            </w:tcBorders>
          </w:tcPr>
          <w:p w:rsidR="00616A26" w:rsidRPr="0026648B" w:rsidRDefault="00327BDD" w:rsidP="00C659A8">
            <w:pPr>
              <w:jc w:val="right"/>
              <w:rPr>
                <w:rFonts w:ascii="Arial" w:hAnsi="Arial" w:cs="Arial"/>
                <w:b/>
              </w:rPr>
            </w:pPr>
            <w:r>
              <w:rPr>
                <w:rFonts w:ascii="Arial" w:hAnsi="Arial" w:cs="Arial"/>
                <w:b/>
              </w:rPr>
              <w:t>+6.6%</w:t>
            </w:r>
          </w:p>
        </w:tc>
        <w:tc>
          <w:tcPr>
            <w:tcW w:w="1843" w:type="dxa"/>
            <w:tcBorders>
              <w:top w:val="single" w:sz="4" w:space="0" w:color="auto"/>
              <w:bottom w:val="single" w:sz="4" w:space="0" w:color="auto"/>
            </w:tcBorders>
          </w:tcPr>
          <w:p w:rsidR="00616A26" w:rsidRPr="0026648B" w:rsidRDefault="00327BDD" w:rsidP="00C659A8">
            <w:pPr>
              <w:jc w:val="right"/>
              <w:rPr>
                <w:rFonts w:ascii="Arial" w:hAnsi="Arial" w:cs="Arial"/>
                <w:b/>
              </w:rPr>
            </w:pPr>
            <w:r>
              <w:rPr>
                <w:rFonts w:ascii="Arial" w:hAnsi="Arial" w:cs="Arial"/>
                <w:b/>
              </w:rPr>
              <w:t>+4.4%</w:t>
            </w:r>
          </w:p>
        </w:tc>
      </w:tr>
      <w:tr w:rsidR="006A2252" w:rsidRPr="0026648B" w:rsidTr="00CB5842">
        <w:trPr>
          <w:trHeight w:val="20"/>
        </w:trPr>
        <w:tc>
          <w:tcPr>
            <w:tcW w:w="2376" w:type="dxa"/>
            <w:tcBorders>
              <w:top w:val="single" w:sz="4" w:space="0" w:color="auto"/>
            </w:tcBorders>
          </w:tcPr>
          <w:p w:rsidR="00616A26" w:rsidRPr="0026648B" w:rsidRDefault="00616A26" w:rsidP="00C659A8">
            <w:pPr>
              <w:jc w:val="left"/>
              <w:rPr>
                <w:rFonts w:ascii="Arial" w:hAnsi="Arial" w:cs="Arial"/>
              </w:rPr>
            </w:pPr>
            <w:r w:rsidRPr="0026648B">
              <w:rPr>
                <w:rFonts w:ascii="Arial" w:hAnsi="Arial" w:cs="Arial"/>
              </w:rPr>
              <w:t>Poland</w:t>
            </w:r>
          </w:p>
        </w:tc>
        <w:tc>
          <w:tcPr>
            <w:tcW w:w="1276" w:type="dxa"/>
            <w:tcBorders>
              <w:top w:val="single" w:sz="4" w:space="0" w:color="auto"/>
            </w:tcBorders>
          </w:tcPr>
          <w:p w:rsidR="00616A26" w:rsidRPr="0026648B" w:rsidRDefault="000C6E63" w:rsidP="00C659A8">
            <w:pPr>
              <w:jc w:val="right"/>
              <w:rPr>
                <w:rFonts w:ascii="Arial" w:hAnsi="Arial" w:cs="Arial"/>
              </w:rPr>
            </w:pPr>
            <w:r>
              <w:rPr>
                <w:rFonts w:ascii="Arial" w:hAnsi="Arial" w:cs="Arial"/>
              </w:rPr>
              <w:t>554</w:t>
            </w:r>
          </w:p>
        </w:tc>
        <w:tc>
          <w:tcPr>
            <w:tcW w:w="1276" w:type="dxa"/>
            <w:tcBorders>
              <w:top w:val="single" w:sz="4" w:space="0" w:color="auto"/>
            </w:tcBorders>
          </w:tcPr>
          <w:p w:rsidR="00616A26" w:rsidRPr="0026648B" w:rsidRDefault="00E02354" w:rsidP="00C659A8">
            <w:pPr>
              <w:jc w:val="right"/>
              <w:rPr>
                <w:rFonts w:ascii="Arial" w:hAnsi="Arial" w:cs="Arial"/>
              </w:rPr>
            </w:pPr>
            <w:r>
              <w:rPr>
                <w:rFonts w:ascii="Arial" w:hAnsi="Arial" w:cs="Arial"/>
              </w:rPr>
              <w:t>(0.6)%</w:t>
            </w:r>
          </w:p>
        </w:tc>
        <w:tc>
          <w:tcPr>
            <w:tcW w:w="1701" w:type="dxa"/>
            <w:tcBorders>
              <w:top w:val="single" w:sz="4" w:space="0" w:color="auto"/>
            </w:tcBorders>
          </w:tcPr>
          <w:p w:rsidR="00616A26" w:rsidRPr="0026648B" w:rsidRDefault="00327BDD" w:rsidP="00C659A8">
            <w:pPr>
              <w:jc w:val="right"/>
              <w:rPr>
                <w:rFonts w:ascii="Arial" w:hAnsi="Arial" w:cs="Arial"/>
              </w:rPr>
            </w:pPr>
            <w:r>
              <w:rPr>
                <w:rFonts w:ascii="Arial" w:hAnsi="Arial" w:cs="Arial"/>
              </w:rPr>
              <w:t>+3.6%</w:t>
            </w:r>
          </w:p>
        </w:tc>
        <w:tc>
          <w:tcPr>
            <w:tcW w:w="1843" w:type="dxa"/>
            <w:tcBorders>
              <w:top w:val="single" w:sz="4" w:space="0" w:color="auto"/>
            </w:tcBorders>
          </w:tcPr>
          <w:p w:rsidR="00616A26" w:rsidRPr="0026648B" w:rsidRDefault="00327BDD" w:rsidP="00C659A8">
            <w:pPr>
              <w:jc w:val="right"/>
              <w:rPr>
                <w:rFonts w:ascii="Arial" w:hAnsi="Arial" w:cs="Arial"/>
              </w:rPr>
            </w:pPr>
            <w:r>
              <w:rPr>
                <w:rFonts w:ascii="Arial" w:hAnsi="Arial" w:cs="Arial"/>
              </w:rPr>
              <w:t>+3.1%</w:t>
            </w:r>
          </w:p>
        </w:tc>
      </w:tr>
      <w:tr w:rsidR="006A2252" w:rsidRPr="0026648B" w:rsidTr="00CB5842">
        <w:tc>
          <w:tcPr>
            <w:tcW w:w="2376" w:type="dxa"/>
          </w:tcPr>
          <w:p w:rsidR="00616A26" w:rsidRPr="0026648B" w:rsidRDefault="00616A26" w:rsidP="00C659A8">
            <w:pPr>
              <w:jc w:val="left"/>
              <w:rPr>
                <w:rFonts w:ascii="Arial" w:hAnsi="Arial" w:cs="Arial"/>
              </w:rPr>
            </w:pPr>
            <w:r w:rsidRPr="0026648B">
              <w:rPr>
                <w:rFonts w:ascii="Arial" w:hAnsi="Arial" w:cs="Arial"/>
              </w:rPr>
              <w:t>China</w:t>
            </w:r>
          </w:p>
        </w:tc>
        <w:tc>
          <w:tcPr>
            <w:tcW w:w="1276" w:type="dxa"/>
          </w:tcPr>
          <w:p w:rsidR="00616A26" w:rsidRPr="0026648B" w:rsidRDefault="000C6E63" w:rsidP="00C659A8">
            <w:pPr>
              <w:jc w:val="right"/>
              <w:rPr>
                <w:rFonts w:ascii="Arial" w:hAnsi="Arial" w:cs="Arial"/>
              </w:rPr>
            </w:pPr>
            <w:r>
              <w:rPr>
                <w:rFonts w:ascii="Arial" w:hAnsi="Arial" w:cs="Arial"/>
              </w:rPr>
              <w:t>163</w:t>
            </w:r>
          </w:p>
        </w:tc>
        <w:tc>
          <w:tcPr>
            <w:tcW w:w="1276" w:type="dxa"/>
          </w:tcPr>
          <w:p w:rsidR="00616A26" w:rsidRPr="0026648B" w:rsidRDefault="00E02354" w:rsidP="00C659A8">
            <w:pPr>
              <w:jc w:val="right"/>
              <w:rPr>
                <w:rFonts w:ascii="Arial" w:hAnsi="Arial" w:cs="Arial"/>
              </w:rPr>
            </w:pPr>
            <w:r>
              <w:rPr>
                <w:rFonts w:ascii="Arial" w:hAnsi="Arial" w:cs="Arial"/>
              </w:rPr>
              <w:t>(16.1)%</w:t>
            </w:r>
          </w:p>
        </w:tc>
        <w:tc>
          <w:tcPr>
            <w:tcW w:w="1701" w:type="dxa"/>
          </w:tcPr>
          <w:p w:rsidR="00616A26" w:rsidRPr="0026648B" w:rsidRDefault="00327BDD" w:rsidP="00C659A8">
            <w:pPr>
              <w:jc w:val="right"/>
              <w:rPr>
                <w:rFonts w:ascii="Arial" w:hAnsi="Arial" w:cs="Arial"/>
              </w:rPr>
            </w:pPr>
            <w:r>
              <w:rPr>
                <w:rFonts w:ascii="Arial" w:hAnsi="Arial" w:cs="Arial"/>
              </w:rPr>
              <w:t>(7.6)%</w:t>
            </w:r>
          </w:p>
        </w:tc>
        <w:tc>
          <w:tcPr>
            <w:tcW w:w="1843" w:type="dxa"/>
          </w:tcPr>
          <w:p w:rsidR="00616A26" w:rsidRPr="0026648B" w:rsidRDefault="00327BDD" w:rsidP="00C659A8">
            <w:pPr>
              <w:jc w:val="right"/>
              <w:rPr>
                <w:rFonts w:ascii="Arial" w:hAnsi="Arial" w:cs="Arial"/>
              </w:rPr>
            </w:pPr>
            <w:r>
              <w:rPr>
                <w:rFonts w:ascii="Arial" w:hAnsi="Arial" w:cs="Arial"/>
              </w:rPr>
              <w:t>(7.3)%</w:t>
            </w:r>
          </w:p>
        </w:tc>
      </w:tr>
      <w:tr w:rsidR="000C6E63" w:rsidRPr="0026648B" w:rsidTr="00CB5842">
        <w:tc>
          <w:tcPr>
            <w:tcW w:w="2376" w:type="dxa"/>
          </w:tcPr>
          <w:p w:rsidR="000C6E63" w:rsidRPr="0026648B" w:rsidRDefault="000C6E63">
            <w:pPr>
              <w:jc w:val="left"/>
              <w:rPr>
                <w:rFonts w:ascii="Arial" w:hAnsi="Arial" w:cs="Arial"/>
              </w:rPr>
            </w:pPr>
            <w:r>
              <w:rPr>
                <w:rFonts w:ascii="Arial" w:hAnsi="Arial" w:cs="Arial"/>
              </w:rPr>
              <w:t>Portugal</w:t>
            </w:r>
          </w:p>
        </w:tc>
        <w:tc>
          <w:tcPr>
            <w:tcW w:w="1276" w:type="dxa"/>
          </w:tcPr>
          <w:p w:rsidR="000C6E63" w:rsidRDefault="00E02354">
            <w:pPr>
              <w:jc w:val="right"/>
              <w:rPr>
                <w:rFonts w:ascii="Arial" w:hAnsi="Arial" w:cs="Arial"/>
              </w:rPr>
            </w:pPr>
            <w:r>
              <w:rPr>
                <w:rFonts w:ascii="Arial" w:hAnsi="Arial" w:cs="Arial"/>
              </w:rPr>
              <w:t>3</w:t>
            </w:r>
          </w:p>
        </w:tc>
        <w:tc>
          <w:tcPr>
            <w:tcW w:w="1276" w:type="dxa"/>
          </w:tcPr>
          <w:p w:rsidR="000C6E63" w:rsidRPr="0026648B" w:rsidRDefault="007350C1">
            <w:pPr>
              <w:jc w:val="right"/>
              <w:rPr>
                <w:rFonts w:ascii="Arial" w:hAnsi="Arial" w:cs="Arial"/>
              </w:rPr>
            </w:pPr>
            <w:r>
              <w:rPr>
                <w:rFonts w:ascii="Arial" w:hAnsi="Arial" w:cs="Arial"/>
              </w:rPr>
              <w:t>n/a</w:t>
            </w:r>
            <w:r w:rsidRPr="00CB5842">
              <w:rPr>
                <w:rFonts w:ascii="Arial" w:hAnsi="Arial" w:cs="Arial"/>
                <w:i/>
                <w:vertAlign w:val="superscript"/>
              </w:rPr>
              <w:t>(1)</w:t>
            </w:r>
          </w:p>
        </w:tc>
        <w:tc>
          <w:tcPr>
            <w:tcW w:w="1701" w:type="dxa"/>
          </w:tcPr>
          <w:p w:rsidR="000C6E63" w:rsidRPr="0026648B" w:rsidRDefault="007350C1">
            <w:pPr>
              <w:jc w:val="right"/>
              <w:rPr>
                <w:rFonts w:ascii="Arial" w:hAnsi="Arial" w:cs="Arial"/>
              </w:rPr>
            </w:pPr>
            <w:r>
              <w:rPr>
                <w:rFonts w:ascii="Arial" w:hAnsi="Arial" w:cs="Arial"/>
              </w:rPr>
              <w:t>n/a</w:t>
            </w:r>
            <w:r w:rsidRPr="003E18CA">
              <w:rPr>
                <w:rFonts w:ascii="Arial" w:hAnsi="Arial" w:cs="Arial"/>
                <w:i/>
                <w:vertAlign w:val="superscript"/>
              </w:rPr>
              <w:t>(1)</w:t>
            </w:r>
          </w:p>
        </w:tc>
        <w:tc>
          <w:tcPr>
            <w:tcW w:w="1843" w:type="dxa"/>
          </w:tcPr>
          <w:p w:rsidR="000C6E63" w:rsidRPr="0026648B" w:rsidRDefault="007350C1">
            <w:pPr>
              <w:jc w:val="right"/>
              <w:rPr>
                <w:rFonts w:ascii="Arial" w:hAnsi="Arial" w:cs="Arial"/>
              </w:rPr>
            </w:pPr>
            <w:r>
              <w:rPr>
                <w:rFonts w:ascii="Arial" w:hAnsi="Arial" w:cs="Arial"/>
              </w:rPr>
              <w:t>n/a</w:t>
            </w:r>
            <w:r w:rsidRPr="003E18CA">
              <w:rPr>
                <w:rFonts w:ascii="Arial" w:hAnsi="Arial" w:cs="Arial"/>
                <w:i/>
                <w:vertAlign w:val="superscript"/>
              </w:rPr>
              <w:t>(1)</w:t>
            </w:r>
          </w:p>
        </w:tc>
      </w:tr>
      <w:tr w:rsidR="006A2252" w:rsidRPr="0026648B" w:rsidTr="00CB5842">
        <w:tc>
          <w:tcPr>
            <w:tcW w:w="2376" w:type="dxa"/>
          </w:tcPr>
          <w:p w:rsidR="00616A26" w:rsidRPr="0026648B" w:rsidRDefault="002F1ABE">
            <w:pPr>
              <w:jc w:val="left"/>
              <w:rPr>
                <w:rFonts w:ascii="Arial" w:hAnsi="Arial" w:cs="Arial"/>
              </w:rPr>
            </w:pPr>
            <w:r w:rsidRPr="0026648B">
              <w:rPr>
                <w:rFonts w:ascii="Arial" w:hAnsi="Arial" w:cs="Arial"/>
              </w:rPr>
              <w:t>R</w:t>
            </w:r>
            <w:r w:rsidR="000C6E63">
              <w:rPr>
                <w:rFonts w:ascii="Arial" w:hAnsi="Arial" w:cs="Arial"/>
              </w:rPr>
              <w:t>omania</w:t>
            </w:r>
          </w:p>
        </w:tc>
        <w:tc>
          <w:tcPr>
            <w:tcW w:w="1276" w:type="dxa"/>
          </w:tcPr>
          <w:p w:rsidR="00616A26" w:rsidRPr="0026648B" w:rsidRDefault="00E02354">
            <w:pPr>
              <w:jc w:val="right"/>
              <w:rPr>
                <w:rFonts w:ascii="Arial" w:hAnsi="Arial" w:cs="Arial"/>
              </w:rPr>
            </w:pPr>
            <w:r>
              <w:rPr>
                <w:rFonts w:ascii="Arial" w:hAnsi="Arial" w:cs="Arial"/>
              </w:rPr>
              <w:t>42</w:t>
            </w:r>
          </w:p>
        </w:tc>
        <w:tc>
          <w:tcPr>
            <w:tcW w:w="1276" w:type="dxa"/>
          </w:tcPr>
          <w:p w:rsidR="00616A26" w:rsidRPr="0026648B" w:rsidRDefault="00ED3ED6">
            <w:pPr>
              <w:jc w:val="right"/>
              <w:rPr>
                <w:rFonts w:ascii="Arial" w:hAnsi="Arial" w:cs="Arial"/>
              </w:rPr>
            </w:pPr>
            <w:r>
              <w:rPr>
                <w:rFonts w:ascii="Arial" w:hAnsi="Arial" w:cs="Arial"/>
              </w:rPr>
              <w:t>n/a</w:t>
            </w:r>
            <w:r>
              <w:rPr>
                <w:rFonts w:ascii="Arial" w:hAnsi="Arial" w:cs="Arial"/>
                <w:i/>
                <w:vertAlign w:val="superscript"/>
              </w:rPr>
              <w:t>(2</w:t>
            </w:r>
            <w:r w:rsidRPr="003E18CA">
              <w:rPr>
                <w:rFonts w:ascii="Arial" w:hAnsi="Arial" w:cs="Arial"/>
                <w:i/>
                <w:vertAlign w:val="superscript"/>
              </w:rPr>
              <w:t>)</w:t>
            </w:r>
          </w:p>
        </w:tc>
        <w:tc>
          <w:tcPr>
            <w:tcW w:w="1701" w:type="dxa"/>
          </w:tcPr>
          <w:p w:rsidR="00616A26" w:rsidRPr="0026648B" w:rsidRDefault="00ED3ED6">
            <w:pPr>
              <w:jc w:val="right"/>
              <w:rPr>
                <w:rFonts w:ascii="Arial" w:hAnsi="Arial" w:cs="Arial"/>
              </w:rPr>
            </w:pPr>
            <w:r>
              <w:rPr>
                <w:rFonts w:ascii="Arial" w:hAnsi="Arial" w:cs="Arial"/>
              </w:rPr>
              <w:t>n/a</w:t>
            </w:r>
            <w:r>
              <w:rPr>
                <w:rFonts w:ascii="Arial" w:hAnsi="Arial" w:cs="Arial"/>
                <w:i/>
                <w:vertAlign w:val="superscript"/>
              </w:rPr>
              <w:t>(2</w:t>
            </w:r>
            <w:r w:rsidRPr="003E18CA">
              <w:rPr>
                <w:rFonts w:ascii="Arial" w:hAnsi="Arial" w:cs="Arial"/>
                <w:i/>
                <w:vertAlign w:val="superscript"/>
              </w:rPr>
              <w:t>)</w:t>
            </w:r>
          </w:p>
        </w:tc>
        <w:tc>
          <w:tcPr>
            <w:tcW w:w="1843" w:type="dxa"/>
          </w:tcPr>
          <w:p w:rsidR="00616A26" w:rsidRPr="0026648B" w:rsidRDefault="007350C1">
            <w:pPr>
              <w:jc w:val="right"/>
              <w:rPr>
                <w:rFonts w:ascii="Arial" w:hAnsi="Arial" w:cs="Arial"/>
              </w:rPr>
            </w:pPr>
            <w:r>
              <w:rPr>
                <w:rFonts w:ascii="Arial" w:hAnsi="Arial" w:cs="Arial"/>
              </w:rPr>
              <w:t>n/a</w:t>
            </w:r>
            <w:r>
              <w:rPr>
                <w:rFonts w:ascii="Arial" w:hAnsi="Arial" w:cs="Arial"/>
                <w:i/>
                <w:vertAlign w:val="superscript"/>
              </w:rPr>
              <w:t>(2</w:t>
            </w:r>
            <w:r w:rsidRPr="003E18CA">
              <w:rPr>
                <w:rFonts w:ascii="Arial" w:hAnsi="Arial" w:cs="Arial"/>
                <w:i/>
                <w:vertAlign w:val="superscript"/>
              </w:rPr>
              <w:t>)</w:t>
            </w:r>
          </w:p>
        </w:tc>
      </w:tr>
      <w:tr w:rsidR="0026648B" w:rsidRPr="0026648B" w:rsidTr="00CB5842">
        <w:tc>
          <w:tcPr>
            <w:tcW w:w="2376" w:type="dxa"/>
          </w:tcPr>
          <w:p w:rsidR="0026648B" w:rsidRPr="0026648B" w:rsidRDefault="0026648B">
            <w:pPr>
              <w:jc w:val="left"/>
              <w:rPr>
                <w:rFonts w:ascii="Arial" w:hAnsi="Arial" w:cs="Arial"/>
              </w:rPr>
            </w:pPr>
            <w:r>
              <w:rPr>
                <w:rFonts w:ascii="Arial" w:hAnsi="Arial" w:cs="Arial"/>
              </w:rPr>
              <w:t>R</w:t>
            </w:r>
            <w:r w:rsidR="000C6E63">
              <w:rPr>
                <w:rFonts w:ascii="Arial" w:hAnsi="Arial" w:cs="Arial"/>
              </w:rPr>
              <w:t>ussia</w:t>
            </w:r>
          </w:p>
        </w:tc>
        <w:tc>
          <w:tcPr>
            <w:tcW w:w="1276" w:type="dxa"/>
          </w:tcPr>
          <w:p w:rsidR="0026648B" w:rsidRPr="0026648B" w:rsidRDefault="00E02354">
            <w:pPr>
              <w:jc w:val="right"/>
              <w:rPr>
                <w:rFonts w:ascii="Arial" w:hAnsi="Arial" w:cs="Arial"/>
              </w:rPr>
            </w:pPr>
            <w:r>
              <w:rPr>
                <w:rFonts w:ascii="Arial" w:hAnsi="Arial" w:cs="Arial"/>
              </w:rPr>
              <w:t>212</w:t>
            </w:r>
          </w:p>
        </w:tc>
        <w:tc>
          <w:tcPr>
            <w:tcW w:w="1276" w:type="dxa"/>
          </w:tcPr>
          <w:p w:rsidR="00D2245A" w:rsidRPr="00DC3905" w:rsidRDefault="00DC3905" w:rsidP="00D2245A">
            <w:pPr>
              <w:jc w:val="right"/>
              <w:rPr>
                <w:rFonts w:ascii="Arial" w:hAnsi="Arial" w:cs="Arial"/>
              </w:rPr>
            </w:pPr>
            <w:r w:rsidRPr="00CB5842">
              <w:rPr>
                <w:rFonts w:ascii="Arial" w:hAnsi="Arial" w:cs="Arial"/>
              </w:rPr>
              <w:t>(5.9)%</w:t>
            </w:r>
          </w:p>
        </w:tc>
        <w:tc>
          <w:tcPr>
            <w:tcW w:w="1701" w:type="dxa"/>
          </w:tcPr>
          <w:p w:rsidR="0026648B" w:rsidRPr="00DC3905" w:rsidRDefault="00327BDD">
            <w:pPr>
              <w:jc w:val="right"/>
              <w:rPr>
                <w:rFonts w:ascii="Arial" w:hAnsi="Arial" w:cs="Arial"/>
              </w:rPr>
            </w:pPr>
            <w:r>
              <w:rPr>
                <w:rFonts w:ascii="Arial" w:hAnsi="Arial" w:cs="Arial"/>
              </w:rPr>
              <w:t>+15.2%</w:t>
            </w:r>
          </w:p>
        </w:tc>
        <w:tc>
          <w:tcPr>
            <w:tcW w:w="1843" w:type="dxa"/>
          </w:tcPr>
          <w:p w:rsidR="0026648B" w:rsidRPr="00DC3905" w:rsidRDefault="00327BDD">
            <w:pPr>
              <w:jc w:val="right"/>
              <w:rPr>
                <w:rFonts w:ascii="Arial" w:hAnsi="Arial" w:cs="Arial"/>
              </w:rPr>
            </w:pPr>
            <w:r>
              <w:rPr>
                <w:rFonts w:ascii="Arial" w:hAnsi="Arial" w:cs="Arial"/>
              </w:rPr>
              <w:t>+11.6%</w:t>
            </w:r>
          </w:p>
        </w:tc>
      </w:tr>
      <w:tr w:rsidR="006A2252" w:rsidRPr="0026648B" w:rsidTr="00CB5842">
        <w:tc>
          <w:tcPr>
            <w:tcW w:w="2376" w:type="dxa"/>
          </w:tcPr>
          <w:p w:rsidR="00616A26" w:rsidRPr="0026648B" w:rsidRDefault="00616A26" w:rsidP="00C659A8">
            <w:pPr>
              <w:jc w:val="left"/>
              <w:rPr>
                <w:rFonts w:ascii="Arial" w:hAnsi="Arial" w:cs="Arial"/>
              </w:rPr>
            </w:pPr>
            <w:r w:rsidRPr="0026648B">
              <w:rPr>
                <w:rFonts w:ascii="Arial" w:hAnsi="Arial" w:cs="Arial"/>
              </w:rPr>
              <w:t xml:space="preserve">Spain </w:t>
            </w:r>
          </w:p>
        </w:tc>
        <w:tc>
          <w:tcPr>
            <w:tcW w:w="1276" w:type="dxa"/>
          </w:tcPr>
          <w:p w:rsidR="00616A26" w:rsidRPr="0026648B" w:rsidRDefault="000C6E63" w:rsidP="00C659A8">
            <w:pPr>
              <w:jc w:val="right"/>
              <w:rPr>
                <w:rFonts w:ascii="Arial" w:hAnsi="Arial" w:cs="Arial"/>
              </w:rPr>
            </w:pPr>
            <w:r>
              <w:rPr>
                <w:rFonts w:ascii="Arial" w:hAnsi="Arial" w:cs="Arial"/>
              </w:rPr>
              <w:t>170</w:t>
            </w:r>
          </w:p>
        </w:tc>
        <w:tc>
          <w:tcPr>
            <w:tcW w:w="1276" w:type="dxa"/>
          </w:tcPr>
          <w:p w:rsidR="00616A26" w:rsidRPr="0026648B" w:rsidRDefault="00DC3905" w:rsidP="00C659A8">
            <w:pPr>
              <w:jc w:val="right"/>
              <w:rPr>
                <w:rFonts w:ascii="Arial" w:hAnsi="Arial" w:cs="Arial"/>
              </w:rPr>
            </w:pPr>
            <w:r>
              <w:rPr>
                <w:rFonts w:ascii="Arial" w:hAnsi="Arial" w:cs="Arial"/>
              </w:rPr>
              <w:t>+11.1%</w:t>
            </w:r>
          </w:p>
        </w:tc>
        <w:tc>
          <w:tcPr>
            <w:tcW w:w="1701" w:type="dxa"/>
          </w:tcPr>
          <w:p w:rsidR="00616A26" w:rsidRPr="0026648B" w:rsidRDefault="00327BDD" w:rsidP="00C659A8">
            <w:pPr>
              <w:jc w:val="right"/>
              <w:rPr>
                <w:rFonts w:ascii="Arial" w:hAnsi="Arial" w:cs="Arial"/>
              </w:rPr>
            </w:pPr>
            <w:r>
              <w:rPr>
                <w:rFonts w:ascii="Arial" w:hAnsi="Arial" w:cs="Arial"/>
              </w:rPr>
              <w:t>+16.6%</w:t>
            </w:r>
          </w:p>
        </w:tc>
        <w:tc>
          <w:tcPr>
            <w:tcW w:w="1843" w:type="dxa"/>
          </w:tcPr>
          <w:p w:rsidR="00616A26" w:rsidRPr="0026648B" w:rsidRDefault="00327BDD" w:rsidP="00C659A8">
            <w:pPr>
              <w:jc w:val="right"/>
              <w:rPr>
                <w:rFonts w:ascii="Arial" w:hAnsi="Arial" w:cs="Arial"/>
              </w:rPr>
            </w:pPr>
            <w:r>
              <w:rPr>
                <w:rFonts w:ascii="Arial" w:hAnsi="Arial" w:cs="Arial"/>
              </w:rPr>
              <w:t>(6.0)%</w:t>
            </w:r>
          </w:p>
        </w:tc>
      </w:tr>
      <w:tr w:rsidR="006A2252" w:rsidRPr="0026648B" w:rsidTr="00CB5842">
        <w:tc>
          <w:tcPr>
            <w:tcW w:w="2376" w:type="dxa"/>
            <w:tcBorders>
              <w:top w:val="single" w:sz="4" w:space="0" w:color="auto"/>
              <w:bottom w:val="single" w:sz="4" w:space="0" w:color="auto"/>
            </w:tcBorders>
          </w:tcPr>
          <w:p w:rsidR="00616A26" w:rsidRPr="0026648B" w:rsidRDefault="00616A26" w:rsidP="00C659A8">
            <w:pPr>
              <w:jc w:val="left"/>
              <w:rPr>
                <w:rFonts w:ascii="Arial" w:hAnsi="Arial" w:cs="Arial"/>
                <w:b/>
              </w:rPr>
            </w:pPr>
            <w:r w:rsidRPr="0026648B">
              <w:rPr>
                <w:rFonts w:ascii="Arial" w:hAnsi="Arial" w:cs="Arial"/>
                <w:b/>
              </w:rPr>
              <w:t>Other International</w:t>
            </w:r>
          </w:p>
        </w:tc>
        <w:tc>
          <w:tcPr>
            <w:tcW w:w="1276" w:type="dxa"/>
            <w:tcBorders>
              <w:top w:val="single" w:sz="4" w:space="0" w:color="auto"/>
              <w:bottom w:val="single" w:sz="4" w:space="0" w:color="auto"/>
            </w:tcBorders>
          </w:tcPr>
          <w:p w:rsidR="00616A26" w:rsidRPr="0026648B" w:rsidRDefault="00E02354" w:rsidP="0068050C">
            <w:pPr>
              <w:jc w:val="right"/>
              <w:rPr>
                <w:rFonts w:ascii="Arial" w:hAnsi="Arial" w:cs="Arial"/>
                <w:b/>
              </w:rPr>
            </w:pPr>
            <w:r>
              <w:rPr>
                <w:rFonts w:ascii="Arial" w:hAnsi="Arial" w:cs="Arial"/>
                <w:b/>
              </w:rPr>
              <w:t>1,144</w:t>
            </w:r>
          </w:p>
        </w:tc>
        <w:tc>
          <w:tcPr>
            <w:tcW w:w="1276" w:type="dxa"/>
            <w:tcBorders>
              <w:top w:val="single" w:sz="4" w:space="0" w:color="auto"/>
              <w:bottom w:val="single" w:sz="4" w:space="0" w:color="auto"/>
            </w:tcBorders>
          </w:tcPr>
          <w:p w:rsidR="00616A26" w:rsidRPr="0026648B" w:rsidRDefault="00DC3905" w:rsidP="0068050C">
            <w:pPr>
              <w:jc w:val="right"/>
              <w:rPr>
                <w:rFonts w:ascii="Arial" w:hAnsi="Arial" w:cs="Arial"/>
                <w:b/>
              </w:rPr>
            </w:pPr>
            <w:r>
              <w:rPr>
                <w:rFonts w:ascii="Arial" w:hAnsi="Arial" w:cs="Arial"/>
                <w:b/>
              </w:rPr>
              <w:t>+0.3%</w:t>
            </w:r>
          </w:p>
        </w:tc>
        <w:tc>
          <w:tcPr>
            <w:tcW w:w="1701" w:type="dxa"/>
            <w:tcBorders>
              <w:top w:val="single" w:sz="4" w:space="0" w:color="auto"/>
              <w:bottom w:val="single" w:sz="4" w:space="0" w:color="auto"/>
            </w:tcBorders>
          </w:tcPr>
          <w:p w:rsidR="00616A26" w:rsidRPr="0026648B" w:rsidRDefault="00327BDD" w:rsidP="0068050C">
            <w:pPr>
              <w:jc w:val="right"/>
              <w:rPr>
                <w:rFonts w:ascii="Arial" w:hAnsi="Arial" w:cs="Arial"/>
                <w:b/>
              </w:rPr>
            </w:pPr>
            <w:r>
              <w:rPr>
                <w:rFonts w:ascii="Arial" w:hAnsi="Arial" w:cs="Arial"/>
                <w:b/>
              </w:rPr>
              <w:t>+8.8%</w:t>
            </w:r>
          </w:p>
        </w:tc>
        <w:tc>
          <w:tcPr>
            <w:tcW w:w="1843" w:type="dxa"/>
            <w:tcBorders>
              <w:top w:val="single" w:sz="4" w:space="0" w:color="auto"/>
              <w:bottom w:val="single" w:sz="4" w:space="0" w:color="auto"/>
            </w:tcBorders>
          </w:tcPr>
          <w:p w:rsidR="00616A26" w:rsidRPr="0026648B" w:rsidRDefault="00327BDD" w:rsidP="0068050C">
            <w:pPr>
              <w:jc w:val="right"/>
              <w:rPr>
                <w:rFonts w:ascii="Arial" w:hAnsi="Arial" w:cs="Arial"/>
                <w:b/>
              </w:rPr>
            </w:pPr>
            <w:r>
              <w:rPr>
                <w:rFonts w:ascii="Arial" w:hAnsi="Arial" w:cs="Arial"/>
                <w:b/>
              </w:rPr>
              <w:t>+1.6%</w:t>
            </w:r>
          </w:p>
        </w:tc>
      </w:tr>
      <w:tr w:rsidR="00616A26" w:rsidRPr="0026648B" w:rsidTr="00CB5842">
        <w:tc>
          <w:tcPr>
            <w:tcW w:w="2376" w:type="dxa"/>
            <w:tcBorders>
              <w:top w:val="single" w:sz="4" w:space="0" w:color="auto"/>
              <w:bottom w:val="single" w:sz="4" w:space="0" w:color="auto"/>
            </w:tcBorders>
          </w:tcPr>
          <w:p w:rsidR="00616A26" w:rsidRPr="0026648B" w:rsidRDefault="00616A26" w:rsidP="00C659A8">
            <w:pPr>
              <w:spacing w:before="60"/>
              <w:rPr>
                <w:rFonts w:ascii="Arial" w:hAnsi="Arial" w:cs="Arial"/>
                <w:b/>
              </w:rPr>
            </w:pPr>
            <w:r w:rsidRPr="0026648B">
              <w:rPr>
                <w:rFonts w:ascii="Arial" w:hAnsi="Arial" w:cs="Arial"/>
                <w:b/>
              </w:rPr>
              <w:t>Total Group</w:t>
            </w:r>
          </w:p>
        </w:tc>
        <w:tc>
          <w:tcPr>
            <w:tcW w:w="1276" w:type="dxa"/>
            <w:tcBorders>
              <w:top w:val="single" w:sz="4" w:space="0" w:color="auto"/>
              <w:bottom w:val="single" w:sz="4" w:space="0" w:color="auto"/>
            </w:tcBorders>
          </w:tcPr>
          <w:p w:rsidR="00616A26" w:rsidRPr="0026648B" w:rsidRDefault="00E02354">
            <w:pPr>
              <w:spacing w:before="60"/>
              <w:jc w:val="right"/>
              <w:rPr>
                <w:rFonts w:ascii="Arial" w:hAnsi="Arial" w:cs="Arial"/>
                <w:b/>
              </w:rPr>
            </w:pPr>
            <w:r>
              <w:rPr>
                <w:rFonts w:ascii="Arial" w:hAnsi="Arial" w:cs="Arial"/>
                <w:b/>
              </w:rPr>
              <w:t>5,768</w:t>
            </w:r>
          </w:p>
        </w:tc>
        <w:tc>
          <w:tcPr>
            <w:tcW w:w="1276" w:type="dxa"/>
            <w:tcBorders>
              <w:top w:val="single" w:sz="4" w:space="0" w:color="auto"/>
              <w:bottom w:val="single" w:sz="4" w:space="0" w:color="auto"/>
            </w:tcBorders>
          </w:tcPr>
          <w:p w:rsidR="00616A26" w:rsidRPr="0026648B" w:rsidRDefault="00DC3905" w:rsidP="00C659A8">
            <w:pPr>
              <w:spacing w:before="60"/>
              <w:jc w:val="right"/>
              <w:rPr>
                <w:rFonts w:ascii="Arial" w:hAnsi="Arial" w:cs="Arial"/>
                <w:b/>
              </w:rPr>
            </w:pPr>
            <w:r>
              <w:rPr>
                <w:rFonts w:ascii="Arial" w:hAnsi="Arial" w:cs="Arial"/>
                <w:b/>
              </w:rPr>
              <w:t>+0.9%</w:t>
            </w:r>
          </w:p>
        </w:tc>
        <w:tc>
          <w:tcPr>
            <w:tcW w:w="1701" w:type="dxa"/>
            <w:tcBorders>
              <w:top w:val="single" w:sz="4" w:space="0" w:color="auto"/>
              <w:bottom w:val="single" w:sz="4" w:space="0" w:color="auto"/>
            </w:tcBorders>
          </w:tcPr>
          <w:p w:rsidR="00616A26" w:rsidRPr="0026648B" w:rsidRDefault="00327BDD" w:rsidP="00C659A8">
            <w:pPr>
              <w:spacing w:before="60"/>
              <w:jc w:val="right"/>
              <w:rPr>
                <w:rFonts w:ascii="Arial" w:hAnsi="Arial" w:cs="Arial"/>
                <w:b/>
              </w:rPr>
            </w:pPr>
            <w:r>
              <w:rPr>
                <w:rFonts w:ascii="Arial" w:hAnsi="Arial" w:cs="Arial"/>
                <w:b/>
              </w:rPr>
              <w:t>+4.6%</w:t>
            </w:r>
          </w:p>
        </w:tc>
        <w:tc>
          <w:tcPr>
            <w:tcW w:w="1843" w:type="dxa"/>
            <w:tcBorders>
              <w:top w:val="single" w:sz="4" w:space="0" w:color="auto"/>
              <w:bottom w:val="single" w:sz="4" w:space="0" w:color="auto"/>
            </w:tcBorders>
          </w:tcPr>
          <w:p w:rsidR="00616A26" w:rsidRPr="0026648B" w:rsidRDefault="00327BDD" w:rsidP="00C659A8">
            <w:pPr>
              <w:spacing w:before="60"/>
              <w:jc w:val="right"/>
              <w:rPr>
                <w:rFonts w:ascii="Arial" w:hAnsi="Arial" w:cs="Arial"/>
                <w:b/>
              </w:rPr>
            </w:pPr>
            <w:r>
              <w:rPr>
                <w:rFonts w:ascii="Arial" w:hAnsi="Arial" w:cs="Arial"/>
                <w:b/>
              </w:rPr>
              <w:t>+1.8%</w:t>
            </w:r>
          </w:p>
        </w:tc>
      </w:tr>
    </w:tbl>
    <w:p w:rsidR="00544A19" w:rsidRPr="0026648B" w:rsidRDefault="00544A19" w:rsidP="00842F7C">
      <w:pPr>
        <w:tabs>
          <w:tab w:val="left" w:pos="357"/>
        </w:tabs>
        <w:ind w:right="-282"/>
        <w:jc w:val="left"/>
        <w:rPr>
          <w:rFonts w:ascii="Arial" w:hAnsi="Arial" w:cs="Arial"/>
          <w:i/>
          <w:iCs/>
          <w:sz w:val="18"/>
          <w:szCs w:val="18"/>
        </w:rPr>
      </w:pPr>
    </w:p>
    <w:p w:rsidR="007350C1" w:rsidRDefault="007350C1">
      <w:pPr>
        <w:jc w:val="left"/>
        <w:rPr>
          <w:rFonts w:ascii="Arial" w:hAnsi="Arial" w:cs="Arial"/>
          <w:i/>
          <w:iCs/>
          <w:sz w:val="18"/>
          <w:szCs w:val="18"/>
        </w:rPr>
      </w:pPr>
      <w:r w:rsidRPr="00CB5842">
        <w:rPr>
          <w:rFonts w:ascii="Arial" w:hAnsi="Arial" w:cs="Arial"/>
          <w:i/>
          <w:iCs/>
          <w:sz w:val="18"/>
          <w:szCs w:val="18"/>
          <w:vertAlign w:val="superscript"/>
        </w:rPr>
        <w:t>(1)</w:t>
      </w:r>
      <w:r>
        <w:rPr>
          <w:rFonts w:ascii="Arial" w:hAnsi="Arial" w:cs="Arial"/>
          <w:i/>
          <w:iCs/>
          <w:sz w:val="18"/>
          <w:szCs w:val="18"/>
        </w:rPr>
        <w:t xml:space="preserve"> First store opened during Q2 2014/15 therefore not applicable</w:t>
      </w:r>
    </w:p>
    <w:p w:rsidR="007350C1" w:rsidRPr="007350C1" w:rsidRDefault="007350C1" w:rsidP="00616A26">
      <w:pPr>
        <w:tabs>
          <w:tab w:val="left" w:pos="357"/>
        </w:tabs>
        <w:ind w:right="-282"/>
        <w:jc w:val="left"/>
        <w:rPr>
          <w:rFonts w:ascii="Arial" w:hAnsi="Arial" w:cs="Arial"/>
          <w:i/>
          <w:iCs/>
          <w:sz w:val="18"/>
          <w:szCs w:val="18"/>
        </w:rPr>
      </w:pPr>
      <w:r>
        <w:rPr>
          <w:rFonts w:ascii="Arial" w:hAnsi="Arial" w:cs="Arial"/>
          <w:i/>
          <w:iCs/>
          <w:sz w:val="18"/>
          <w:szCs w:val="18"/>
          <w:vertAlign w:val="superscript"/>
        </w:rPr>
        <w:t>(2</w:t>
      </w:r>
      <w:r w:rsidRPr="003E18CA">
        <w:rPr>
          <w:rFonts w:ascii="Arial" w:hAnsi="Arial" w:cs="Arial"/>
          <w:i/>
          <w:iCs/>
          <w:sz w:val="18"/>
          <w:szCs w:val="18"/>
          <w:vertAlign w:val="superscript"/>
        </w:rPr>
        <w:t>)</w:t>
      </w:r>
      <w:r>
        <w:rPr>
          <w:rFonts w:ascii="Arial" w:hAnsi="Arial" w:cs="Arial"/>
          <w:i/>
          <w:iCs/>
          <w:sz w:val="18"/>
          <w:szCs w:val="18"/>
        </w:rPr>
        <w:t xml:space="preserve"> Acquisition of 15 stores in Romania completed during Q2 2013/14 therefore </w:t>
      </w:r>
      <w:r w:rsidR="00E10261">
        <w:rPr>
          <w:rFonts w:ascii="Arial" w:hAnsi="Arial" w:cs="Arial"/>
          <w:i/>
          <w:iCs/>
          <w:sz w:val="18"/>
          <w:szCs w:val="18"/>
        </w:rPr>
        <w:t xml:space="preserve">not applicable </w:t>
      </w:r>
    </w:p>
    <w:p w:rsidR="006D455C" w:rsidRDefault="006D455C">
      <w:pPr>
        <w:jc w:val="left"/>
        <w:rPr>
          <w:rFonts w:ascii="Arial" w:hAnsi="Arial" w:cs="Arial"/>
          <w:i/>
          <w:iCs/>
          <w:sz w:val="18"/>
          <w:szCs w:val="18"/>
        </w:rPr>
      </w:pPr>
      <w:r>
        <w:rPr>
          <w:rFonts w:ascii="Arial" w:hAnsi="Arial" w:cs="Arial"/>
          <w:i/>
          <w:iCs/>
          <w:sz w:val="18"/>
          <w:szCs w:val="18"/>
        </w:rPr>
        <w:br w:type="page"/>
      </w:r>
    </w:p>
    <w:p w:rsidR="007350C1" w:rsidRDefault="007350C1">
      <w:pPr>
        <w:jc w:val="left"/>
        <w:rPr>
          <w:rFonts w:ascii="Arial" w:hAnsi="Arial" w:cs="Arial"/>
          <w:i/>
          <w:iCs/>
          <w:sz w:val="18"/>
          <w:szCs w:val="18"/>
        </w:rPr>
      </w:pPr>
    </w:p>
    <w:tbl>
      <w:tblPr>
        <w:tblW w:w="8931" w:type="dxa"/>
        <w:tblLayout w:type="fixed"/>
        <w:tblLook w:val="01E0" w:firstRow="1" w:lastRow="1" w:firstColumn="1" w:lastColumn="1" w:noHBand="0" w:noVBand="0"/>
      </w:tblPr>
      <w:tblGrid>
        <w:gridCol w:w="2376"/>
        <w:gridCol w:w="1276"/>
        <w:gridCol w:w="1276"/>
        <w:gridCol w:w="1309"/>
        <w:gridCol w:w="1418"/>
        <w:gridCol w:w="1276"/>
      </w:tblGrid>
      <w:tr w:rsidR="006C6B93" w:rsidRPr="0026648B" w:rsidTr="00CB5842">
        <w:trPr>
          <w:trHeight w:val="567"/>
        </w:trPr>
        <w:tc>
          <w:tcPr>
            <w:tcW w:w="2376" w:type="dxa"/>
            <w:tcBorders>
              <w:bottom w:val="single" w:sz="4" w:space="0" w:color="auto"/>
            </w:tcBorders>
          </w:tcPr>
          <w:p w:rsidR="006C6B93" w:rsidRPr="00FB4505" w:rsidRDefault="006C6B93" w:rsidP="006E265F">
            <w:pPr>
              <w:jc w:val="left"/>
              <w:rPr>
                <w:rFonts w:ascii="Arial" w:hAnsi="Arial" w:cs="Arial"/>
              </w:rPr>
            </w:pPr>
            <w:r>
              <w:rPr>
                <w:rFonts w:ascii="Arial" w:hAnsi="Arial" w:cs="Arial"/>
              </w:rPr>
              <w:t>Half year 2014/15</w:t>
            </w:r>
          </w:p>
        </w:tc>
        <w:tc>
          <w:tcPr>
            <w:tcW w:w="1276" w:type="dxa"/>
            <w:tcBorders>
              <w:bottom w:val="single" w:sz="4" w:space="0" w:color="auto"/>
            </w:tcBorders>
          </w:tcPr>
          <w:p w:rsidR="006C6B93" w:rsidRPr="0026648B" w:rsidRDefault="006C6B93" w:rsidP="006E265F">
            <w:pPr>
              <w:jc w:val="right"/>
              <w:rPr>
                <w:rFonts w:ascii="Arial" w:hAnsi="Arial" w:cs="Arial"/>
                <w:b/>
              </w:rPr>
            </w:pPr>
            <w:r>
              <w:rPr>
                <w:rFonts w:ascii="Arial" w:hAnsi="Arial" w:cs="Arial"/>
                <w:b/>
              </w:rPr>
              <w:t>Retail Profit</w:t>
            </w:r>
            <w:r w:rsidRPr="0026648B">
              <w:rPr>
                <w:rFonts w:ascii="Arial" w:hAnsi="Arial" w:cs="Arial"/>
                <w:b/>
              </w:rPr>
              <w:t xml:space="preserve"> </w:t>
            </w:r>
          </w:p>
        </w:tc>
        <w:tc>
          <w:tcPr>
            <w:tcW w:w="1276" w:type="dxa"/>
            <w:tcBorders>
              <w:bottom w:val="single" w:sz="4" w:space="0" w:color="auto"/>
            </w:tcBorders>
          </w:tcPr>
          <w:p w:rsidR="006C6B93" w:rsidRPr="0026648B" w:rsidRDefault="006C6B93" w:rsidP="006E265F">
            <w:pPr>
              <w:jc w:val="right"/>
              <w:rPr>
                <w:rFonts w:ascii="Arial" w:hAnsi="Arial" w:cs="Arial"/>
                <w:b/>
              </w:rPr>
            </w:pPr>
            <w:r w:rsidRPr="0026648B">
              <w:rPr>
                <w:rFonts w:ascii="Arial" w:hAnsi="Arial" w:cs="Arial"/>
                <w:b/>
              </w:rPr>
              <w:t>% Total</w:t>
            </w:r>
          </w:p>
          <w:p w:rsidR="006C6B93" w:rsidRPr="0026648B" w:rsidRDefault="006C6B93" w:rsidP="006E265F">
            <w:pPr>
              <w:jc w:val="right"/>
              <w:rPr>
                <w:rFonts w:ascii="Arial" w:hAnsi="Arial" w:cs="Arial"/>
                <w:b/>
              </w:rPr>
            </w:pPr>
            <w:r w:rsidRPr="0026648B">
              <w:rPr>
                <w:rFonts w:ascii="Arial" w:hAnsi="Arial" w:cs="Arial"/>
                <w:b/>
              </w:rPr>
              <w:t>Change</w:t>
            </w:r>
          </w:p>
        </w:tc>
        <w:tc>
          <w:tcPr>
            <w:tcW w:w="1309" w:type="dxa"/>
            <w:tcBorders>
              <w:bottom w:val="single" w:sz="4" w:space="0" w:color="auto"/>
            </w:tcBorders>
          </w:tcPr>
          <w:p w:rsidR="006C6B93" w:rsidRPr="0026648B" w:rsidRDefault="006C6B93" w:rsidP="006E265F">
            <w:pPr>
              <w:jc w:val="right"/>
              <w:rPr>
                <w:rFonts w:ascii="Arial" w:hAnsi="Arial" w:cs="Arial"/>
                <w:b/>
              </w:rPr>
            </w:pPr>
            <w:r w:rsidRPr="0026648B">
              <w:rPr>
                <w:rFonts w:ascii="Arial" w:hAnsi="Arial" w:cs="Arial"/>
                <w:b/>
              </w:rPr>
              <w:t>% Total Change</w:t>
            </w:r>
          </w:p>
        </w:tc>
        <w:tc>
          <w:tcPr>
            <w:tcW w:w="1418" w:type="dxa"/>
            <w:tcBorders>
              <w:bottom w:val="single" w:sz="4" w:space="0" w:color="auto"/>
            </w:tcBorders>
          </w:tcPr>
          <w:p w:rsidR="006C6B93" w:rsidRPr="0026648B" w:rsidRDefault="006C6B93" w:rsidP="006E265F">
            <w:pPr>
              <w:jc w:val="right"/>
              <w:rPr>
                <w:rFonts w:ascii="Arial" w:hAnsi="Arial" w:cs="Arial"/>
                <w:b/>
              </w:rPr>
            </w:pPr>
            <w:r>
              <w:rPr>
                <w:rFonts w:ascii="Arial" w:hAnsi="Arial" w:cs="Arial"/>
                <w:b/>
              </w:rPr>
              <w:t>Operating Margin %</w:t>
            </w:r>
          </w:p>
        </w:tc>
        <w:tc>
          <w:tcPr>
            <w:tcW w:w="1276" w:type="dxa"/>
            <w:tcBorders>
              <w:bottom w:val="single" w:sz="4" w:space="0" w:color="auto"/>
            </w:tcBorders>
          </w:tcPr>
          <w:p w:rsidR="006C6B93" w:rsidRDefault="006C6B93" w:rsidP="006E265F">
            <w:pPr>
              <w:jc w:val="right"/>
              <w:rPr>
                <w:rFonts w:ascii="Arial" w:hAnsi="Arial" w:cs="Arial"/>
                <w:b/>
              </w:rPr>
            </w:pPr>
            <w:r>
              <w:rPr>
                <w:rFonts w:ascii="Arial" w:hAnsi="Arial" w:cs="Arial"/>
                <w:b/>
              </w:rPr>
              <w:t>Operating Margin %</w:t>
            </w:r>
          </w:p>
        </w:tc>
      </w:tr>
      <w:tr w:rsidR="006C6B93" w:rsidRPr="0026648B" w:rsidTr="00CB5842">
        <w:trPr>
          <w:trHeight w:val="567"/>
        </w:trPr>
        <w:tc>
          <w:tcPr>
            <w:tcW w:w="2376" w:type="dxa"/>
            <w:tcBorders>
              <w:top w:val="single" w:sz="4" w:space="0" w:color="auto"/>
              <w:bottom w:val="single" w:sz="4" w:space="0" w:color="auto"/>
            </w:tcBorders>
          </w:tcPr>
          <w:p w:rsidR="006C6B93" w:rsidRPr="0026648B" w:rsidRDefault="006C6B93" w:rsidP="006E265F">
            <w:pPr>
              <w:jc w:val="right"/>
              <w:rPr>
                <w:rFonts w:ascii="Arial" w:hAnsi="Arial" w:cs="Arial"/>
              </w:rPr>
            </w:pPr>
          </w:p>
        </w:tc>
        <w:tc>
          <w:tcPr>
            <w:tcW w:w="1276" w:type="dxa"/>
            <w:tcBorders>
              <w:top w:val="single" w:sz="4" w:space="0" w:color="auto"/>
              <w:bottom w:val="single" w:sz="4" w:space="0" w:color="auto"/>
            </w:tcBorders>
          </w:tcPr>
          <w:p w:rsidR="006C6B93" w:rsidRPr="0026648B" w:rsidRDefault="006C6B93" w:rsidP="006E265F">
            <w:pPr>
              <w:jc w:val="right"/>
              <w:rPr>
                <w:rFonts w:ascii="Arial" w:hAnsi="Arial" w:cs="Arial"/>
                <w:b/>
              </w:rPr>
            </w:pPr>
            <w:r w:rsidRPr="0026648B">
              <w:rPr>
                <w:rFonts w:ascii="Arial" w:hAnsi="Arial" w:cs="Arial"/>
                <w:b/>
              </w:rPr>
              <w:t>£m</w:t>
            </w:r>
          </w:p>
          <w:p w:rsidR="006C6B93" w:rsidRPr="0026648B" w:rsidRDefault="006C6B93" w:rsidP="006E265F">
            <w:pPr>
              <w:jc w:val="right"/>
              <w:rPr>
                <w:rFonts w:ascii="Arial" w:hAnsi="Arial" w:cs="Arial"/>
                <w:b/>
              </w:rPr>
            </w:pPr>
          </w:p>
        </w:tc>
        <w:tc>
          <w:tcPr>
            <w:tcW w:w="1276" w:type="dxa"/>
            <w:tcBorders>
              <w:top w:val="single" w:sz="4" w:space="0" w:color="auto"/>
              <w:bottom w:val="single" w:sz="4" w:space="0" w:color="auto"/>
            </w:tcBorders>
          </w:tcPr>
          <w:p w:rsidR="006C6B93" w:rsidRPr="0026648B" w:rsidRDefault="006C6B93" w:rsidP="006E265F">
            <w:pPr>
              <w:jc w:val="right"/>
              <w:rPr>
                <w:rFonts w:ascii="Arial" w:hAnsi="Arial" w:cs="Arial"/>
              </w:rPr>
            </w:pPr>
            <w:r w:rsidRPr="0026648B">
              <w:rPr>
                <w:rFonts w:ascii="Arial" w:hAnsi="Arial" w:cs="Arial"/>
                <w:b/>
              </w:rPr>
              <w:t>Reported</w:t>
            </w:r>
          </w:p>
        </w:tc>
        <w:tc>
          <w:tcPr>
            <w:tcW w:w="1309" w:type="dxa"/>
            <w:tcBorders>
              <w:top w:val="single" w:sz="4" w:space="0" w:color="auto"/>
              <w:bottom w:val="single" w:sz="4" w:space="0" w:color="auto"/>
            </w:tcBorders>
          </w:tcPr>
          <w:p w:rsidR="006C6B93" w:rsidRPr="0026648B" w:rsidRDefault="006C6B93" w:rsidP="006E265F">
            <w:pPr>
              <w:jc w:val="right"/>
              <w:rPr>
                <w:rFonts w:ascii="Arial" w:hAnsi="Arial" w:cs="Arial"/>
                <w:b/>
                <w:vertAlign w:val="superscript"/>
              </w:rPr>
            </w:pPr>
            <w:r>
              <w:rPr>
                <w:rFonts w:ascii="Arial" w:hAnsi="Arial" w:cs="Arial"/>
                <w:b/>
              </w:rPr>
              <w:t>Constant c</w:t>
            </w:r>
            <w:r w:rsidRPr="0026648B">
              <w:rPr>
                <w:rFonts w:ascii="Arial" w:hAnsi="Arial" w:cs="Arial"/>
                <w:b/>
              </w:rPr>
              <w:t>urrency</w:t>
            </w:r>
            <w:r>
              <w:rPr>
                <w:rFonts w:ascii="Arial" w:hAnsi="Arial" w:cs="Arial"/>
                <w:b/>
              </w:rPr>
              <w:t xml:space="preserve"> </w:t>
            </w:r>
          </w:p>
        </w:tc>
        <w:tc>
          <w:tcPr>
            <w:tcW w:w="1418" w:type="dxa"/>
            <w:tcBorders>
              <w:top w:val="single" w:sz="4" w:space="0" w:color="auto"/>
              <w:bottom w:val="single" w:sz="4" w:space="0" w:color="auto"/>
            </w:tcBorders>
          </w:tcPr>
          <w:p w:rsidR="006C6B93" w:rsidRPr="0026648B" w:rsidRDefault="006C6B93" w:rsidP="006E265F">
            <w:pPr>
              <w:jc w:val="right"/>
              <w:rPr>
                <w:rFonts w:ascii="Arial" w:hAnsi="Arial" w:cs="Arial"/>
                <w:b/>
              </w:rPr>
            </w:pPr>
            <w:r>
              <w:rPr>
                <w:rFonts w:ascii="Arial" w:hAnsi="Arial" w:cs="Arial"/>
                <w:b/>
              </w:rPr>
              <w:t>2014/15</w:t>
            </w:r>
          </w:p>
        </w:tc>
        <w:tc>
          <w:tcPr>
            <w:tcW w:w="1276" w:type="dxa"/>
            <w:tcBorders>
              <w:top w:val="single" w:sz="4" w:space="0" w:color="auto"/>
              <w:bottom w:val="single" w:sz="4" w:space="0" w:color="auto"/>
            </w:tcBorders>
          </w:tcPr>
          <w:p w:rsidR="006C6B93" w:rsidRDefault="006C6B93" w:rsidP="006E265F">
            <w:pPr>
              <w:jc w:val="right"/>
              <w:rPr>
                <w:rFonts w:ascii="Arial" w:hAnsi="Arial" w:cs="Arial"/>
                <w:b/>
              </w:rPr>
            </w:pPr>
            <w:r>
              <w:rPr>
                <w:rFonts w:ascii="Arial" w:hAnsi="Arial" w:cs="Arial"/>
                <w:b/>
              </w:rPr>
              <w:t>2013/14</w:t>
            </w:r>
          </w:p>
        </w:tc>
      </w:tr>
      <w:tr w:rsidR="006C6B93" w:rsidRPr="0026648B" w:rsidTr="00CB5842">
        <w:tc>
          <w:tcPr>
            <w:tcW w:w="2376" w:type="dxa"/>
            <w:tcBorders>
              <w:top w:val="single" w:sz="4" w:space="0" w:color="auto"/>
              <w:bottom w:val="single" w:sz="4" w:space="0" w:color="auto"/>
            </w:tcBorders>
          </w:tcPr>
          <w:p w:rsidR="006C6B93" w:rsidRPr="0026648B" w:rsidRDefault="006C6B93" w:rsidP="006E265F">
            <w:pPr>
              <w:rPr>
                <w:rFonts w:ascii="Arial" w:hAnsi="Arial" w:cs="Arial"/>
                <w:b/>
              </w:rPr>
            </w:pPr>
            <w:r w:rsidRPr="0026648B">
              <w:rPr>
                <w:rFonts w:ascii="Arial" w:hAnsi="Arial" w:cs="Arial"/>
                <w:b/>
              </w:rPr>
              <w:t>France</w:t>
            </w:r>
          </w:p>
        </w:tc>
        <w:tc>
          <w:tcPr>
            <w:tcW w:w="1276" w:type="dxa"/>
            <w:tcBorders>
              <w:top w:val="single" w:sz="4" w:space="0" w:color="auto"/>
              <w:bottom w:val="single" w:sz="4" w:space="0" w:color="auto"/>
            </w:tcBorders>
          </w:tcPr>
          <w:p w:rsidR="006C6B93" w:rsidRPr="0026648B" w:rsidRDefault="001E5B9D" w:rsidP="006E265F">
            <w:pPr>
              <w:jc w:val="right"/>
              <w:rPr>
                <w:rFonts w:ascii="Arial" w:hAnsi="Arial" w:cs="Arial"/>
                <w:b/>
              </w:rPr>
            </w:pPr>
            <w:r>
              <w:rPr>
                <w:rFonts w:ascii="Arial" w:hAnsi="Arial" w:cs="Arial"/>
                <w:b/>
              </w:rPr>
              <w:t>18</w:t>
            </w:r>
            <w:r w:rsidR="00E10261">
              <w:rPr>
                <w:rFonts w:ascii="Arial" w:hAnsi="Arial" w:cs="Arial"/>
                <w:b/>
              </w:rPr>
              <w:t>2</w:t>
            </w:r>
          </w:p>
        </w:tc>
        <w:tc>
          <w:tcPr>
            <w:tcW w:w="1276" w:type="dxa"/>
            <w:tcBorders>
              <w:top w:val="single" w:sz="4" w:space="0" w:color="auto"/>
              <w:bottom w:val="single" w:sz="4" w:space="0" w:color="auto"/>
            </w:tcBorders>
          </w:tcPr>
          <w:p w:rsidR="006C6B93" w:rsidRPr="0026648B" w:rsidRDefault="001E5B9D" w:rsidP="006E265F">
            <w:pPr>
              <w:jc w:val="right"/>
              <w:rPr>
                <w:rFonts w:ascii="Arial" w:hAnsi="Arial" w:cs="Arial"/>
                <w:b/>
              </w:rPr>
            </w:pPr>
            <w:r>
              <w:rPr>
                <w:rFonts w:ascii="Arial" w:hAnsi="Arial" w:cs="Arial"/>
                <w:b/>
              </w:rPr>
              <w:t>(</w:t>
            </w:r>
            <w:r w:rsidR="00E10261">
              <w:rPr>
                <w:rFonts w:ascii="Arial" w:hAnsi="Arial" w:cs="Arial"/>
                <w:b/>
              </w:rPr>
              <w:t>4.8</w:t>
            </w:r>
            <w:r w:rsidR="00E97077">
              <w:rPr>
                <w:rFonts w:ascii="Arial" w:hAnsi="Arial" w:cs="Arial"/>
                <w:b/>
              </w:rPr>
              <w:t>)%</w:t>
            </w:r>
          </w:p>
        </w:tc>
        <w:tc>
          <w:tcPr>
            <w:tcW w:w="1309" w:type="dxa"/>
            <w:tcBorders>
              <w:top w:val="single" w:sz="4" w:space="0" w:color="auto"/>
              <w:bottom w:val="single" w:sz="4" w:space="0" w:color="auto"/>
            </w:tcBorders>
          </w:tcPr>
          <w:p w:rsidR="006C6B93" w:rsidRPr="0026648B" w:rsidRDefault="00E10261" w:rsidP="006E265F">
            <w:pPr>
              <w:jc w:val="right"/>
              <w:rPr>
                <w:rFonts w:ascii="Arial" w:hAnsi="Arial" w:cs="Arial"/>
                <w:b/>
              </w:rPr>
            </w:pPr>
            <w:r>
              <w:rPr>
                <w:rFonts w:ascii="Arial" w:hAnsi="Arial" w:cs="Arial"/>
                <w:b/>
              </w:rPr>
              <w:t>Flat</w:t>
            </w:r>
          </w:p>
        </w:tc>
        <w:tc>
          <w:tcPr>
            <w:tcW w:w="1418" w:type="dxa"/>
            <w:tcBorders>
              <w:top w:val="single" w:sz="4" w:space="0" w:color="auto"/>
              <w:bottom w:val="single" w:sz="4" w:space="0" w:color="auto"/>
            </w:tcBorders>
          </w:tcPr>
          <w:p w:rsidR="006C6B93" w:rsidRPr="0026648B" w:rsidRDefault="00B7289A" w:rsidP="006E265F">
            <w:pPr>
              <w:jc w:val="right"/>
              <w:rPr>
                <w:rFonts w:ascii="Arial" w:hAnsi="Arial" w:cs="Arial"/>
                <w:b/>
              </w:rPr>
            </w:pPr>
            <w:r>
              <w:rPr>
                <w:rFonts w:ascii="Arial" w:hAnsi="Arial" w:cs="Arial"/>
                <w:b/>
              </w:rPr>
              <w:t>+8.2%</w:t>
            </w:r>
          </w:p>
        </w:tc>
        <w:tc>
          <w:tcPr>
            <w:tcW w:w="1276" w:type="dxa"/>
            <w:tcBorders>
              <w:top w:val="single" w:sz="4" w:space="0" w:color="auto"/>
              <w:bottom w:val="single" w:sz="4" w:space="0" w:color="auto"/>
            </w:tcBorders>
          </w:tcPr>
          <w:p w:rsidR="006C6B93" w:rsidRPr="0026648B" w:rsidRDefault="006C6B93" w:rsidP="006E265F">
            <w:pPr>
              <w:jc w:val="right"/>
              <w:rPr>
                <w:rFonts w:ascii="Arial" w:hAnsi="Arial" w:cs="Arial"/>
                <w:b/>
              </w:rPr>
            </w:pPr>
            <w:r>
              <w:rPr>
                <w:rFonts w:ascii="Arial" w:hAnsi="Arial" w:cs="Arial"/>
                <w:b/>
              </w:rPr>
              <w:t>+8.3%</w:t>
            </w:r>
          </w:p>
        </w:tc>
      </w:tr>
      <w:tr w:rsidR="006C6B93" w:rsidRPr="0026648B" w:rsidTr="00CB5842">
        <w:tc>
          <w:tcPr>
            <w:tcW w:w="2376" w:type="dxa"/>
            <w:tcBorders>
              <w:top w:val="single" w:sz="4" w:space="0" w:color="auto"/>
              <w:bottom w:val="single" w:sz="4" w:space="0" w:color="auto"/>
            </w:tcBorders>
          </w:tcPr>
          <w:p w:rsidR="006C6B93" w:rsidRPr="0026648B" w:rsidRDefault="006C6B93" w:rsidP="006E265F">
            <w:pPr>
              <w:jc w:val="left"/>
              <w:rPr>
                <w:rFonts w:ascii="Arial" w:hAnsi="Arial" w:cs="Arial"/>
                <w:b/>
                <w:vertAlign w:val="superscript"/>
              </w:rPr>
            </w:pPr>
            <w:r w:rsidRPr="0026648B">
              <w:rPr>
                <w:rFonts w:ascii="Arial" w:hAnsi="Arial" w:cs="Arial"/>
                <w:b/>
              </w:rPr>
              <w:t>UK &amp; Ireland</w:t>
            </w:r>
          </w:p>
        </w:tc>
        <w:tc>
          <w:tcPr>
            <w:tcW w:w="1276" w:type="dxa"/>
            <w:tcBorders>
              <w:top w:val="single" w:sz="4" w:space="0" w:color="auto"/>
              <w:bottom w:val="single" w:sz="4" w:space="0" w:color="auto"/>
            </w:tcBorders>
          </w:tcPr>
          <w:p w:rsidR="006C6B93" w:rsidRPr="0026648B" w:rsidRDefault="00E97077" w:rsidP="006E265F">
            <w:pPr>
              <w:jc w:val="right"/>
              <w:rPr>
                <w:rFonts w:ascii="Arial" w:hAnsi="Arial" w:cs="Arial"/>
                <w:b/>
              </w:rPr>
            </w:pPr>
            <w:r>
              <w:rPr>
                <w:rFonts w:ascii="Arial" w:hAnsi="Arial" w:cs="Arial"/>
                <w:b/>
              </w:rPr>
              <w:t>166</w:t>
            </w:r>
          </w:p>
        </w:tc>
        <w:tc>
          <w:tcPr>
            <w:tcW w:w="1276" w:type="dxa"/>
            <w:tcBorders>
              <w:top w:val="single" w:sz="4" w:space="0" w:color="auto"/>
              <w:bottom w:val="single" w:sz="4" w:space="0" w:color="auto"/>
            </w:tcBorders>
          </w:tcPr>
          <w:p w:rsidR="006C6B93" w:rsidRPr="0026648B" w:rsidRDefault="00E97077" w:rsidP="006E265F">
            <w:pPr>
              <w:jc w:val="right"/>
              <w:rPr>
                <w:rFonts w:ascii="Arial" w:hAnsi="Arial" w:cs="Arial"/>
                <w:b/>
              </w:rPr>
            </w:pPr>
            <w:r>
              <w:rPr>
                <w:rFonts w:ascii="Arial" w:hAnsi="Arial" w:cs="Arial"/>
                <w:b/>
              </w:rPr>
              <w:t>+17.7%</w:t>
            </w:r>
          </w:p>
        </w:tc>
        <w:tc>
          <w:tcPr>
            <w:tcW w:w="1309" w:type="dxa"/>
            <w:tcBorders>
              <w:top w:val="single" w:sz="4" w:space="0" w:color="auto"/>
              <w:bottom w:val="single" w:sz="4" w:space="0" w:color="auto"/>
            </w:tcBorders>
          </w:tcPr>
          <w:p w:rsidR="006C6B93" w:rsidRPr="0026648B" w:rsidRDefault="00E97077" w:rsidP="006E265F">
            <w:pPr>
              <w:jc w:val="right"/>
              <w:rPr>
                <w:rFonts w:ascii="Arial" w:hAnsi="Arial" w:cs="Arial"/>
                <w:b/>
              </w:rPr>
            </w:pPr>
            <w:r>
              <w:rPr>
                <w:rFonts w:ascii="Arial" w:hAnsi="Arial" w:cs="Arial"/>
                <w:b/>
              </w:rPr>
              <w:t>+17.7%</w:t>
            </w:r>
          </w:p>
        </w:tc>
        <w:tc>
          <w:tcPr>
            <w:tcW w:w="1418" w:type="dxa"/>
            <w:tcBorders>
              <w:top w:val="single" w:sz="4" w:space="0" w:color="auto"/>
              <w:bottom w:val="single" w:sz="4" w:space="0" w:color="auto"/>
            </w:tcBorders>
          </w:tcPr>
          <w:p w:rsidR="006C6B93" w:rsidRPr="0026648B" w:rsidRDefault="00B7289A" w:rsidP="006E265F">
            <w:pPr>
              <w:jc w:val="right"/>
              <w:rPr>
                <w:rFonts w:ascii="Arial" w:hAnsi="Arial" w:cs="Arial"/>
                <w:b/>
              </w:rPr>
            </w:pPr>
            <w:r>
              <w:rPr>
                <w:rFonts w:ascii="Arial" w:hAnsi="Arial" w:cs="Arial"/>
                <w:b/>
              </w:rPr>
              <w:t>+6.9%</w:t>
            </w:r>
          </w:p>
        </w:tc>
        <w:tc>
          <w:tcPr>
            <w:tcW w:w="1276" w:type="dxa"/>
            <w:tcBorders>
              <w:top w:val="single" w:sz="4" w:space="0" w:color="auto"/>
              <w:bottom w:val="single" w:sz="4" w:space="0" w:color="auto"/>
            </w:tcBorders>
          </w:tcPr>
          <w:p w:rsidR="006C6B93" w:rsidRPr="0026648B" w:rsidRDefault="006C6B93" w:rsidP="006E265F">
            <w:pPr>
              <w:jc w:val="right"/>
              <w:rPr>
                <w:rFonts w:ascii="Arial" w:hAnsi="Arial" w:cs="Arial"/>
                <w:b/>
              </w:rPr>
            </w:pPr>
            <w:r>
              <w:rPr>
                <w:rFonts w:ascii="Arial" w:hAnsi="Arial" w:cs="Arial"/>
                <w:b/>
              </w:rPr>
              <w:t>+6.2%</w:t>
            </w:r>
          </w:p>
        </w:tc>
      </w:tr>
      <w:tr w:rsidR="006C6B93" w:rsidRPr="0026648B" w:rsidTr="00CB5842">
        <w:trPr>
          <w:trHeight w:val="20"/>
        </w:trPr>
        <w:tc>
          <w:tcPr>
            <w:tcW w:w="2376" w:type="dxa"/>
            <w:tcBorders>
              <w:top w:val="single" w:sz="4" w:space="0" w:color="auto"/>
            </w:tcBorders>
          </w:tcPr>
          <w:p w:rsidR="006C6B93" w:rsidRPr="0026648B" w:rsidRDefault="006C6B93" w:rsidP="006E265F">
            <w:pPr>
              <w:jc w:val="left"/>
              <w:rPr>
                <w:rFonts w:ascii="Arial" w:hAnsi="Arial" w:cs="Arial"/>
              </w:rPr>
            </w:pPr>
            <w:r w:rsidRPr="0026648B">
              <w:rPr>
                <w:rFonts w:ascii="Arial" w:hAnsi="Arial" w:cs="Arial"/>
              </w:rPr>
              <w:t>Poland</w:t>
            </w:r>
          </w:p>
        </w:tc>
        <w:tc>
          <w:tcPr>
            <w:tcW w:w="1276" w:type="dxa"/>
            <w:tcBorders>
              <w:top w:val="single" w:sz="4" w:space="0" w:color="auto"/>
            </w:tcBorders>
          </w:tcPr>
          <w:p w:rsidR="006C6B93" w:rsidRPr="0026648B" w:rsidRDefault="00E97077" w:rsidP="006E265F">
            <w:pPr>
              <w:jc w:val="right"/>
              <w:rPr>
                <w:rFonts w:ascii="Arial" w:hAnsi="Arial" w:cs="Arial"/>
              </w:rPr>
            </w:pPr>
            <w:r>
              <w:rPr>
                <w:rFonts w:ascii="Arial" w:hAnsi="Arial" w:cs="Arial"/>
              </w:rPr>
              <w:t>54</w:t>
            </w:r>
          </w:p>
        </w:tc>
        <w:tc>
          <w:tcPr>
            <w:tcW w:w="1276" w:type="dxa"/>
            <w:tcBorders>
              <w:top w:val="single" w:sz="4" w:space="0" w:color="auto"/>
            </w:tcBorders>
          </w:tcPr>
          <w:p w:rsidR="006C6B93" w:rsidRPr="0026648B" w:rsidRDefault="00E97077" w:rsidP="006E265F">
            <w:pPr>
              <w:jc w:val="right"/>
              <w:rPr>
                <w:rFonts w:ascii="Arial" w:hAnsi="Arial" w:cs="Arial"/>
              </w:rPr>
            </w:pPr>
            <w:r>
              <w:rPr>
                <w:rFonts w:ascii="Arial" w:hAnsi="Arial" w:cs="Arial"/>
              </w:rPr>
              <w:t>+0.9%</w:t>
            </w:r>
          </w:p>
        </w:tc>
        <w:tc>
          <w:tcPr>
            <w:tcW w:w="1309" w:type="dxa"/>
            <w:tcBorders>
              <w:top w:val="single" w:sz="4" w:space="0" w:color="auto"/>
            </w:tcBorders>
          </w:tcPr>
          <w:p w:rsidR="006C6B93" w:rsidRPr="0026648B" w:rsidRDefault="00E97077" w:rsidP="006E265F">
            <w:pPr>
              <w:jc w:val="right"/>
              <w:rPr>
                <w:rFonts w:ascii="Arial" w:hAnsi="Arial" w:cs="Arial"/>
              </w:rPr>
            </w:pPr>
            <w:r>
              <w:rPr>
                <w:rFonts w:ascii="Arial" w:hAnsi="Arial" w:cs="Arial"/>
              </w:rPr>
              <w:t>+5.2%</w:t>
            </w:r>
          </w:p>
        </w:tc>
        <w:tc>
          <w:tcPr>
            <w:tcW w:w="1418" w:type="dxa"/>
            <w:tcBorders>
              <w:top w:val="single" w:sz="4" w:space="0" w:color="auto"/>
            </w:tcBorders>
          </w:tcPr>
          <w:p w:rsidR="006C6B93" w:rsidRPr="0026648B" w:rsidRDefault="00B7289A" w:rsidP="006E265F">
            <w:pPr>
              <w:jc w:val="right"/>
              <w:rPr>
                <w:rFonts w:ascii="Arial" w:hAnsi="Arial" w:cs="Arial"/>
              </w:rPr>
            </w:pPr>
            <w:r>
              <w:rPr>
                <w:rFonts w:ascii="Arial" w:hAnsi="Arial" w:cs="Arial"/>
              </w:rPr>
              <w:t>+9.9%</w:t>
            </w:r>
          </w:p>
        </w:tc>
        <w:tc>
          <w:tcPr>
            <w:tcW w:w="1276" w:type="dxa"/>
            <w:tcBorders>
              <w:top w:val="single" w:sz="4" w:space="0" w:color="auto"/>
            </w:tcBorders>
          </w:tcPr>
          <w:p w:rsidR="006C6B93" w:rsidRPr="0026648B" w:rsidRDefault="006C6B93" w:rsidP="006E265F">
            <w:pPr>
              <w:jc w:val="right"/>
              <w:rPr>
                <w:rFonts w:ascii="Arial" w:hAnsi="Arial" w:cs="Arial"/>
              </w:rPr>
            </w:pPr>
            <w:r>
              <w:rPr>
                <w:rFonts w:ascii="Arial" w:hAnsi="Arial" w:cs="Arial"/>
              </w:rPr>
              <w:t>+9.7%</w:t>
            </w:r>
          </w:p>
        </w:tc>
      </w:tr>
      <w:tr w:rsidR="006C6B93" w:rsidRPr="0026648B" w:rsidTr="00CB5842">
        <w:tc>
          <w:tcPr>
            <w:tcW w:w="2376" w:type="dxa"/>
          </w:tcPr>
          <w:p w:rsidR="006C6B93" w:rsidRPr="0026648B" w:rsidRDefault="006C6B93" w:rsidP="006E265F">
            <w:pPr>
              <w:jc w:val="left"/>
              <w:rPr>
                <w:rFonts w:ascii="Arial" w:hAnsi="Arial" w:cs="Arial"/>
              </w:rPr>
            </w:pPr>
            <w:r w:rsidRPr="0026648B">
              <w:rPr>
                <w:rFonts w:ascii="Arial" w:hAnsi="Arial" w:cs="Arial"/>
              </w:rPr>
              <w:t>China</w:t>
            </w:r>
          </w:p>
        </w:tc>
        <w:tc>
          <w:tcPr>
            <w:tcW w:w="1276" w:type="dxa"/>
          </w:tcPr>
          <w:p w:rsidR="006C6B93" w:rsidRPr="0026648B" w:rsidRDefault="00E97077" w:rsidP="006E265F">
            <w:pPr>
              <w:jc w:val="right"/>
              <w:rPr>
                <w:rFonts w:ascii="Arial" w:hAnsi="Arial" w:cs="Arial"/>
              </w:rPr>
            </w:pPr>
            <w:r>
              <w:rPr>
                <w:rFonts w:ascii="Arial" w:hAnsi="Arial" w:cs="Arial"/>
              </w:rPr>
              <w:t>(11)</w:t>
            </w:r>
          </w:p>
        </w:tc>
        <w:tc>
          <w:tcPr>
            <w:tcW w:w="1276" w:type="dxa"/>
          </w:tcPr>
          <w:p w:rsidR="006C6B93" w:rsidRPr="0026648B" w:rsidRDefault="00E97077" w:rsidP="006E265F">
            <w:pPr>
              <w:jc w:val="right"/>
              <w:rPr>
                <w:rFonts w:ascii="Arial" w:hAnsi="Arial" w:cs="Arial"/>
              </w:rPr>
            </w:pPr>
            <w:r>
              <w:rPr>
                <w:rFonts w:ascii="Arial" w:hAnsi="Arial" w:cs="Arial"/>
              </w:rPr>
              <w:t>(63.1)%</w:t>
            </w:r>
          </w:p>
        </w:tc>
        <w:tc>
          <w:tcPr>
            <w:tcW w:w="1309" w:type="dxa"/>
          </w:tcPr>
          <w:p w:rsidR="006C6B93" w:rsidRPr="0026648B" w:rsidRDefault="00E97077" w:rsidP="006E265F">
            <w:pPr>
              <w:jc w:val="right"/>
              <w:rPr>
                <w:rFonts w:ascii="Arial" w:hAnsi="Arial" w:cs="Arial"/>
              </w:rPr>
            </w:pPr>
            <w:r>
              <w:rPr>
                <w:rFonts w:ascii="Arial" w:hAnsi="Arial" w:cs="Arial"/>
              </w:rPr>
              <w:t>(79.6)%</w:t>
            </w:r>
          </w:p>
        </w:tc>
        <w:tc>
          <w:tcPr>
            <w:tcW w:w="1418" w:type="dxa"/>
          </w:tcPr>
          <w:p w:rsidR="006C6B93" w:rsidRPr="0026648B" w:rsidRDefault="00B7289A" w:rsidP="006E265F">
            <w:pPr>
              <w:jc w:val="right"/>
              <w:rPr>
                <w:rFonts w:ascii="Arial" w:hAnsi="Arial" w:cs="Arial"/>
              </w:rPr>
            </w:pPr>
            <w:r>
              <w:rPr>
                <w:rFonts w:ascii="Arial" w:hAnsi="Arial" w:cs="Arial"/>
              </w:rPr>
              <w:t>(6.9)%</w:t>
            </w:r>
          </w:p>
        </w:tc>
        <w:tc>
          <w:tcPr>
            <w:tcW w:w="1276" w:type="dxa"/>
          </w:tcPr>
          <w:p w:rsidR="006C6B93" w:rsidRPr="0026648B" w:rsidRDefault="006C6B93" w:rsidP="006E265F">
            <w:pPr>
              <w:jc w:val="right"/>
              <w:rPr>
                <w:rFonts w:ascii="Arial" w:hAnsi="Arial" w:cs="Arial"/>
              </w:rPr>
            </w:pPr>
            <w:r>
              <w:rPr>
                <w:rFonts w:ascii="Arial" w:hAnsi="Arial" w:cs="Arial"/>
              </w:rPr>
              <w:t>(3.6)%</w:t>
            </w:r>
          </w:p>
        </w:tc>
      </w:tr>
      <w:tr w:rsidR="009351FE" w:rsidRPr="0026648B" w:rsidTr="00CB5842">
        <w:tc>
          <w:tcPr>
            <w:tcW w:w="2376" w:type="dxa"/>
          </w:tcPr>
          <w:p w:rsidR="009351FE" w:rsidRPr="0026648B" w:rsidRDefault="009351FE" w:rsidP="009351FE">
            <w:pPr>
              <w:jc w:val="left"/>
              <w:rPr>
                <w:rFonts w:ascii="Arial" w:hAnsi="Arial" w:cs="Arial"/>
              </w:rPr>
            </w:pPr>
            <w:r>
              <w:rPr>
                <w:rFonts w:ascii="Arial" w:hAnsi="Arial" w:cs="Arial"/>
              </w:rPr>
              <w:t>Portugal &amp; Germany</w:t>
            </w:r>
          </w:p>
        </w:tc>
        <w:tc>
          <w:tcPr>
            <w:tcW w:w="1276" w:type="dxa"/>
          </w:tcPr>
          <w:p w:rsidR="009351FE" w:rsidRDefault="00E97077" w:rsidP="009351FE">
            <w:pPr>
              <w:jc w:val="right"/>
              <w:rPr>
                <w:rFonts w:ascii="Arial" w:hAnsi="Arial" w:cs="Arial"/>
              </w:rPr>
            </w:pPr>
            <w:r>
              <w:rPr>
                <w:rFonts w:ascii="Arial" w:hAnsi="Arial" w:cs="Arial"/>
              </w:rPr>
              <w:t>(5)</w:t>
            </w:r>
          </w:p>
        </w:tc>
        <w:tc>
          <w:tcPr>
            <w:tcW w:w="1276" w:type="dxa"/>
          </w:tcPr>
          <w:p w:rsidR="009351FE" w:rsidRPr="0026648B" w:rsidRDefault="00E97077" w:rsidP="009351FE">
            <w:pPr>
              <w:jc w:val="right"/>
              <w:rPr>
                <w:rFonts w:ascii="Arial" w:hAnsi="Arial" w:cs="Arial"/>
              </w:rPr>
            </w:pPr>
            <w:r>
              <w:rPr>
                <w:rFonts w:ascii="Arial" w:hAnsi="Arial" w:cs="Arial"/>
              </w:rPr>
              <w:t>n/a</w:t>
            </w:r>
            <w:r w:rsidRPr="003E18CA">
              <w:rPr>
                <w:rFonts w:ascii="Arial" w:hAnsi="Arial" w:cs="Arial"/>
                <w:i/>
                <w:vertAlign w:val="superscript"/>
              </w:rPr>
              <w:t>(1)</w:t>
            </w:r>
          </w:p>
        </w:tc>
        <w:tc>
          <w:tcPr>
            <w:tcW w:w="1309" w:type="dxa"/>
          </w:tcPr>
          <w:p w:rsidR="009351FE" w:rsidRPr="0026648B" w:rsidRDefault="00E97077" w:rsidP="009351FE">
            <w:pPr>
              <w:jc w:val="right"/>
              <w:rPr>
                <w:rFonts w:ascii="Arial" w:hAnsi="Arial" w:cs="Arial"/>
              </w:rPr>
            </w:pPr>
            <w:r>
              <w:rPr>
                <w:rFonts w:ascii="Arial" w:hAnsi="Arial" w:cs="Arial"/>
              </w:rPr>
              <w:t>n/a</w:t>
            </w:r>
            <w:r w:rsidRPr="003E18CA">
              <w:rPr>
                <w:rFonts w:ascii="Arial" w:hAnsi="Arial" w:cs="Arial"/>
                <w:i/>
                <w:vertAlign w:val="superscript"/>
              </w:rPr>
              <w:t>(1)</w:t>
            </w:r>
          </w:p>
        </w:tc>
        <w:tc>
          <w:tcPr>
            <w:tcW w:w="1418" w:type="dxa"/>
          </w:tcPr>
          <w:p w:rsidR="009351FE" w:rsidRPr="0026648B" w:rsidRDefault="00E97077" w:rsidP="009351FE">
            <w:pPr>
              <w:jc w:val="right"/>
              <w:rPr>
                <w:rFonts w:ascii="Arial" w:hAnsi="Arial" w:cs="Arial"/>
              </w:rPr>
            </w:pPr>
            <w:r>
              <w:rPr>
                <w:rFonts w:ascii="Arial" w:hAnsi="Arial" w:cs="Arial"/>
              </w:rPr>
              <w:t>n/a</w:t>
            </w:r>
            <w:r w:rsidRPr="003E18CA">
              <w:rPr>
                <w:rFonts w:ascii="Arial" w:hAnsi="Arial" w:cs="Arial"/>
                <w:i/>
                <w:vertAlign w:val="superscript"/>
              </w:rPr>
              <w:t>(1)</w:t>
            </w:r>
          </w:p>
        </w:tc>
        <w:tc>
          <w:tcPr>
            <w:tcW w:w="1276" w:type="dxa"/>
          </w:tcPr>
          <w:p w:rsidR="009351FE" w:rsidRPr="0026648B" w:rsidRDefault="009351FE" w:rsidP="009351FE">
            <w:pPr>
              <w:jc w:val="right"/>
              <w:rPr>
                <w:rFonts w:ascii="Arial" w:hAnsi="Arial" w:cs="Arial"/>
              </w:rPr>
            </w:pPr>
            <w:r>
              <w:rPr>
                <w:rFonts w:ascii="Arial" w:hAnsi="Arial" w:cs="Arial"/>
              </w:rPr>
              <w:t>n/a</w:t>
            </w:r>
            <w:r w:rsidRPr="003E18CA">
              <w:rPr>
                <w:rFonts w:ascii="Arial" w:hAnsi="Arial" w:cs="Arial"/>
                <w:i/>
                <w:vertAlign w:val="superscript"/>
              </w:rPr>
              <w:t>(1)</w:t>
            </w:r>
          </w:p>
        </w:tc>
      </w:tr>
      <w:tr w:rsidR="009351FE" w:rsidRPr="0026648B" w:rsidTr="00CB5842">
        <w:tc>
          <w:tcPr>
            <w:tcW w:w="2376" w:type="dxa"/>
          </w:tcPr>
          <w:p w:rsidR="009351FE" w:rsidRPr="0026648B" w:rsidRDefault="009351FE" w:rsidP="009351FE">
            <w:pPr>
              <w:jc w:val="left"/>
              <w:rPr>
                <w:rFonts w:ascii="Arial" w:hAnsi="Arial" w:cs="Arial"/>
              </w:rPr>
            </w:pPr>
            <w:r w:rsidRPr="0026648B">
              <w:rPr>
                <w:rFonts w:ascii="Arial" w:hAnsi="Arial" w:cs="Arial"/>
              </w:rPr>
              <w:t>R</w:t>
            </w:r>
            <w:r>
              <w:rPr>
                <w:rFonts w:ascii="Arial" w:hAnsi="Arial" w:cs="Arial"/>
              </w:rPr>
              <w:t>omania</w:t>
            </w:r>
          </w:p>
        </w:tc>
        <w:tc>
          <w:tcPr>
            <w:tcW w:w="1276" w:type="dxa"/>
          </w:tcPr>
          <w:p w:rsidR="009351FE" w:rsidRPr="0026648B" w:rsidRDefault="00E97077" w:rsidP="009351FE">
            <w:pPr>
              <w:jc w:val="right"/>
              <w:rPr>
                <w:rFonts w:ascii="Arial" w:hAnsi="Arial" w:cs="Arial"/>
              </w:rPr>
            </w:pPr>
            <w:r>
              <w:rPr>
                <w:rFonts w:ascii="Arial" w:hAnsi="Arial" w:cs="Arial"/>
              </w:rPr>
              <w:t>(6)</w:t>
            </w:r>
          </w:p>
        </w:tc>
        <w:tc>
          <w:tcPr>
            <w:tcW w:w="1276" w:type="dxa"/>
          </w:tcPr>
          <w:p w:rsidR="009351FE" w:rsidRPr="0026648B" w:rsidRDefault="00E10261" w:rsidP="009351FE">
            <w:pPr>
              <w:jc w:val="right"/>
              <w:rPr>
                <w:rFonts w:ascii="Arial" w:hAnsi="Arial" w:cs="Arial"/>
              </w:rPr>
            </w:pPr>
            <w:r>
              <w:rPr>
                <w:rFonts w:ascii="Arial" w:hAnsi="Arial" w:cs="Arial"/>
              </w:rPr>
              <w:t>n/a</w:t>
            </w:r>
            <w:r>
              <w:rPr>
                <w:rFonts w:ascii="Arial" w:hAnsi="Arial" w:cs="Arial"/>
                <w:i/>
                <w:vertAlign w:val="superscript"/>
              </w:rPr>
              <w:t>(2</w:t>
            </w:r>
            <w:r w:rsidRPr="003E18CA">
              <w:rPr>
                <w:rFonts w:ascii="Arial" w:hAnsi="Arial" w:cs="Arial"/>
                <w:i/>
                <w:vertAlign w:val="superscript"/>
              </w:rPr>
              <w:t>)</w:t>
            </w:r>
          </w:p>
        </w:tc>
        <w:tc>
          <w:tcPr>
            <w:tcW w:w="1309" w:type="dxa"/>
          </w:tcPr>
          <w:p w:rsidR="009351FE" w:rsidRPr="0026648B" w:rsidRDefault="00E10261" w:rsidP="009351FE">
            <w:pPr>
              <w:jc w:val="right"/>
              <w:rPr>
                <w:rFonts w:ascii="Arial" w:hAnsi="Arial" w:cs="Arial"/>
              </w:rPr>
            </w:pPr>
            <w:r>
              <w:rPr>
                <w:rFonts w:ascii="Arial" w:hAnsi="Arial" w:cs="Arial"/>
              </w:rPr>
              <w:t>n/a</w:t>
            </w:r>
            <w:r>
              <w:rPr>
                <w:rFonts w:ascii="Arial" w:hAnsi="Arial" w:cs="Arial"/>
                <w:i/>
                <w:vertAlign w:val="superscript"/>
              </w:rPr>
              <w:t>(2</w:t>
            </w:r>
            <w:r w:rsidRPr="003E18CA">
              <w:rPr>
                <w:rFonts w:ascii="Arial" w:hAnsi="Arial" w:cs="Arial"/>
                <w:i/>
                <w:vertAlign w:val="superscript"/>
              </w:rPr>
              <w:t>)</w:t>
            </w:r>
          </w:p>
        </w:tc>
        <w:tc>
          <w:tcPr>
            <w:tcW w:w="1418" w:type="dxa"/>
          </w:tcPr>
          <w:p w:rsidR="009351FE" w:rsidRPr="0026648B" w:rsidRDefault="00B7289A" w:rsidP="009351FE">
            <w:pPr>
              <w:jc w:val="right"/>
              <w:rPr>
                <w:rFonts w:ascii="Arial" w:hAnsi="Arial" w:cs="Arial"/>
              </w:rPr>
            </w:pPr>
            <w:r>
              <w:rPr>
                <w:rFonts w:ascii="Arial" w:hAnsi="Arial" w:cs="Arial"/>
              </w:rPr>
              <w:t>(15.2)%</w:t>
            </w:r>
          </w:p>
        </w:tc>
        <w:tc>
          <w:tcPr>
            <w:tcW w:w="1276" w:type="dxa"/>
          </w:tcPr>
          <w:p w:rsidR="009351FE" w:rsidRPr="0026648B" w:rsidRDefault="00447B03" w:rsidP="009351FE">
            <w:pPr>
              <w:jc w:val="right"/>
              <w:rPr>
                <w:rFonts w:ascii="Arial" w:hAnsi="Arial" w:cs="Arial"/>
              </w:rPr>
            </w:pPr>
            <w:r>
              <w:rPr>
                <w:rFonts w:ascii="Arial" w:hAnsi="Arial" w:cs="Arial"/>
              </w:rPr>
              <w:t>n/a</w:t>
            </w:r>
            <w:r>
              <w:rPr>
                <w:rFonts w:ascii="Arial" w:hAnsi="Arial" w:cs="Arial"/>
                <w:i/>
                <w:vertAlign w:val="superscript"/>
              </w:rPr>
              <w:t>(2</w:t>
            </w:r>
            <w:r w:rsidRPr="003E18CA">
              <w:rPr>
                <w:rFonts w:ascii="Arial" w:hAnsi="Arial" w:cs="Arial"/>
                <w:i/>
                <w:vertAlign w:val="superscript"/>
              </w:rPr>
              <w:t>)</w:t>
            </w:r>
          </w:p>
        </w:tc>
      </w:tr>
      <w:tr w:rsidR="009351FE" w:rsidRPr="0026648B" w:rsidTr="00CB5842">
        <w:tc>
          <w:tcPr>
            <w:tcW w:w="2376" w:type="dxa"/>
          </w:tcPr>
          <w:p w:rsidR="009351FE" w:rsidRPr="0026648B" w:rsidRDefault="009351FE" w:rsidP="009351FE">
            <w:pPr>
              <w:jc w:val="left"/>
              <w:rPr>
                <w:rFonts w:ascii="Arial" w:hAnsi="Arial" w:cs="Arial"/>
              </w:rPr>
            </w:pPr>
            <w:r>
              <w:rPr>
                <w:rFonts w:ascii="Arial" w:hAnsi="Arial" w:cs="Arial"/>
              </w:rPr>
              <w:t>Russia</w:t>
            </w:r>
          </w:p>
        </w:tc>
        <w:tc>
          <w:tcPr>
            <w:tcW w:w="1276" w:type="dxa"/>
          </w:tcPr>
          <w:p w:rsidR="009351FE" w:rsidRPr="0026648B" w:rsidRDefault="00E97077" w:rsidP="009351FE">
            <w:pPr>
              <w:jc w:val="right"/>
              <w:rPr>
                <w:rFonts w:ascii="Arial" w:hAnsi="Arial" w:cs="Arial"/>
              </w:rPr>
            </w:pPr>
            <w:r>
              <w:rPr>
                <w:rFonts w:ascii="Arial" w:hAnsi="Arial" w:cs="Arial"/>
              </w:rPr>
              <w:t>3</w:t>
            </w:r>
          </w:p>
        </w:tc>
        <w:tc>
          <w:tcPr>
            <w:tcW w:w="1276" w:type="dxa"/>
          </w:tcPr>
          <w:p w:rsidR="009351FE" w:rsidRPr="003E18CA" w:rsidRDefault="00E97077" w:rsidP="009351FE">
            <w:pPr>
              <w:jc w:val="right"/>
              <w:rPr>
                <w:rFonts w:ascii="Arial" w:hAnsi="Arial" w:cs="Arial"/>
              </w:rPr>
            </w:pPr>
            <w:r>
              <w:rPr>
                <w:rFonts w:ascii="Arial" w:hAnsi="Arial" w:cs="Arial"/>
              </w:rPr>
              <w:t>(24.7)%</w:t>
            </w:r>
          </w:p>
        </w:tc>
        <w:tc>
          <w:tcPr>
            <w:tcW w:w="1309" w:type="dxa"/>
          </w:tcPr>
          <w:p w:rsidR="009351FE" w:rsidRPr="003E18CA" w:rsidRDefault="00E97077" w:rsidP="009351FE">
            <w:pPr>
              <w:jc w:val="right"/>
              <w:rPr>
                <w:rFonts w:ascii="Arial" w:hAnsi="Arial" w:cs="Arial"/>
              </w:rPr>
            </w:pPr>
            <w:r>
              <w:rPr>
                <w:rFonts w:ascii="Arial" w:hAnsi="Arial" w:cs="Arial"/>
              </w:rPr>
              <w:t>(7.8)%</w:t>
            </w:r>
          </w:p>
        </w:tc>
        <w:tc>
          <w:tcPr>
            <w:tcW w:w="1418" w:type="dxa"/>
          </w:tcPr>
          <w:p w:rsidR="009351FE" w:rsidRPr="003E18CA" w:rsidRDefault="00447B03" w:rsidP="009351FE">
            <w:pPr>
              <w:jc w:val="right"/>
              <w:rPr>
                <w:rFonts w:ascii="Arial" w:hAnsi="Arial" w:cs="Arial"/>
              </w:rPr>
            </w:pPr>
            <w:r>
              <w:rPr>
                <w:rFonts w:ascii="Arial" w:hAnsi="Arial" w:cs="Arial"/>
              </w:rPr>
              <w:t>+1.2%</w:t>
            </w:r>
          </w:p>
        </w:tc>
        <w:tc>
          <w:tcPr>
            <w:tcW w:w="1276" w:type="dxa"/>
          </w:tcPr>
          <w:p w:rsidR="009351FE" w:rsidRPr="003E18CA" w:rsidRDefault="009351FE" w:rsidP="009351FE">
            <w:pPr>
              <w:jc w:val="right"/>
              <w:rPr>
                <w:rFonts w:ascii="Arial" w:hAnsi="Arial" w:cs="Arial"/>
              </w:rPr>
            </w:pPr>
            <w:r>
              <w:rPr>
                <w:rFonts w:ascii="Arial" w:hAnsi="Arial" w:cs="Arial"/>
              </w:rPr>
              <w:t>+1.3%</w:t>
            </w:r>
          </w:p>
        </w:tc>
      </w:tr>
      <w:tr w:rsidR="009351FE" w:rsidRPr="0026648B" w:rsidTr="00CB5842">
        <w:tc>
          <w:tcPr>
            <w:tcW w:w="2376" w:type="dxa"/>
          </w:tcPr>
          <w:p w:rsidR="009351FE" w:rsidRPr="0026648B" w:rsidRDefault="009351FE" w:rsidP="009351FE">
            <w:pPr>
              <w:jc w:val="left"/>
              <w:rPr>
                <w:rFonts w:ascii="Arial" w:hAnsi="Arial" w:cs="Arial"/>
              </w:rPr>
            </w:pPr>
            <w:r w:rsidRPr="0026648B">
              <w:rPr>
                <w:rFonts w:ascii="Arial" w:hAnsi="Arial" w:cs="Arial"/>
              </w:rPr>
              <w:t xml:space="preserve">Spain </w:t>
            </w:r>
          </w:p>
        </w:tc>
        <w:tc>
          <w:tcPr>
            <w:tcW w:w="1276" w:type="dxa"/>
          </w:tcPr>
          <w:p w:rsidR="009351FE" w:rsidRPr="0026648B" w:rsidRDefault="00E97077" w:rsidP="009351FE">
            <w:pPr>
              <w:jc w:val="right"/>
              <w:rPr>
                <w:rFonts w:ascii="Arial" w:hAnsi="Arial" w:cs="Arial"/>
              </w:rPr>
            </w:pPr>
            <w:r>
              <w:rPr>
                <w:rFonts w:ascii="Arial" w:hAnsi="Arial" w:cs="Arial"/>
              </w:rPr>
              <w:t>3</w:t>
            </w:r>
          </w:p>
        </w:tc>
        <w:tc>
          <w:tcPr>
            <w:tcW w:w="1276" w:type="dxa"/>
          </w:tcPr>
          <w:p w:rsidR="009351FE" w:rsidRPr="0026648B" w:rsidRDefault="00E97077" w:rsidP="009351FE">
            <w:pPr>
              <w:jc w:val="right"/>
              <w:rPr>
                <w:rFonts w:ascii="Arial" w:hAnsi="Arial" w:cs="Arial"/>
              </w:rPr>
            </w:pPr>
            <w:r>
              <w:rPr>
                <w:rFonts w:ascii="Arial" w:hAnsi="Arial" w:cs="Arial"/>
              </w:rPr>
              <w:t>+2.2%</w:t>
            </w:r>
          </w:p>
        </w:tc>
        <w:tc>
          <w:tcPr>
            <w:tcW w:w="1309" w:type="dxa"/>
          </w:tcPr>
          <w:p w:rsidR="009351FE" w:rsidRPr="0026648B" w:rsidRDefault="00E97077" w:rsidP="009351FE">
            <w:pPr>
              <w:jc w:val="right"/>
              <w:rPr>
                <w:rFonts w:ascii="Arial" w:hAnsi="Arial" w:cs="Arial"/>
              </w:rPr>
            </w:pPr>
            <w:r>
              <w:rPr>
                <w:rFonts w:ascii="Arial" w:hAnsi="Arial" w:cs="Arial"/>
              </w:rPr>
              <w:t>+7.3%</w:t>
            </w:r>
          </w:p>
        </w:tc>
        <w:tc>
          <w:tcPr>
            <w:tcW w:w="1418" w:type="dxa"/>
          </w:tcPr>
          <w:p w:rsidR="009351FE" w:rsidRPr="0026648B" w:rsidRDefault="00447B03" w:rsidP="009351FE">
            <w:pPr>
              <w:jc w:val="right"/>
              <w:rPr>
                <w:rFonts w:ascii="Arial" w:hAnsi="Arial" w:cs="Arial"/>
              </w:rPr>
            </w:pPr>
            <w:r>
              <w:rPr>
                <w:rFonts w:ascii="Arial" w:hAnsi="Arial" w:cs="Arial"/>
              </w:rPr>
              <w:t>+1.5%</w:t>
            </w:r>
          </w:p>
        </w:tc>
        <w:tc>
          <w:tcPr>
            <w:tcW w:w="1276" w:type="dxa"/>
          </w:tcPr>
          <w:p w:rsidR="009351FE" w:rsidRPr="0026648B" w:rsidRDefault="009351FE" w:rsidP="009351FE">
            <w:pPr>
              <w:jc w:val="right"/>
              <w:rPr>
                <w:rFonts w:ascii="Arial" w:hAnsi="Arial" w:cs="Arial"/>
              </w:rPr>
            </w:pPr>
            <w:r>
              <w:rPr>
                <w:rFonts w:ascii="Arial" w:hAnsi="Arial" w:cs="Arial"/>
              </w:rPr>
              <w:t>+2.0%</w:t>
            </w:r>
          </w:p>
        </w:tc>
      </w:tr>
      <w:tr w:rsidR="009351FE" w:rsidRPr="0026648B" w:rsidTr="006C6B93">
        <w:tc>
          <w:tcPr>
            <w:tcW w:w="2376" w:type="dxa"/>
          </w:tcPr>
          <w:p w:rsidR="009351FE" w:rsidRPr="0026648B" w:rsidRDefault="009351FE" w:rsidP="009351FE">
            <w:pPr>
              <w:jc w:val="left"/>
              <w:rPr>
                <w:rFonts w:ascii="Arial" w:hAnsi="Arial" w:cs="Arial"/>
              </w:rPr>
            </w:pPr>
            <w:r>
              <w:rPr>
                <w:rFonts w:ascii="Arial" w:hAnsi="Arial" w:cs="Arial"/>
              </w:rPr>
              <w:t>Turkey JV</w:t>
            </w:r>
          </w:p>
        </w:tc>
        <w:tc>
          <w:tcPr>
            <w:tcW w:w="1276" w:type="dxa"/>
          </w:tcPr>
          <w:p w:rsidR="009351FE" w:rsidRPr="0026648B" w:rsidRDefault="00C81677" w:rsidP="009351FE">
            <w:pPr>
              <w:jc w:val="right"/>
              <w:rPr>
                <w:rFonts w:ascii="Arial" w:hAnsi="Arial" w:cs="Arial"/>
              </w:rPr>
            </w:pPr>
            <w:r>
              <w:rPr>
                <w:rFonts w:ascii="Arial" w:hAnsi="Arial" w:cs="Arial"/>
              </w:rPr>
              <w:t>4</w:t>
            </w:r>
          </w:p>
        </w:tc>
        <w:tc>
          <w:tcPr>
            <w:tcW w:w="1276" w:type="dxa"/>
          </w:tcPr>
          <w:p w:rsidR="009351FE" w:rsidRPr="00CB5842" w:rsidRDefault="001E5B9D" w:rsidP="009351FE">
            <w:pPr>
              <w:jc w:val="right"/>
              <w:rPr>
                <w:rFonts w:ascii="Arial" w:hAnsi="Arial" w:cs="Arial"/>
              </w:rPr>
            </w:pPr>
            <w:r w:rsidRPr="00CB5842">
              <w:rPr>
                <w:rFonts w:ascii="Arial" w:hAnsi="Arial" w:cs="Arial"/>
              </w:rPr>
              <w:t>(16.1)%</w:t>
            </w:r>
          </w:p>
        </w:tc>
        <w:tc>
          <w:tcPr>
            <w:tcW w:w="1309" w:type="dxa"/>
          </w:tcPr>
          <w:p w:rsidR="009351FE" w:rsidRPr="00CB5842" w:rsidRDefault="001E5B9D" w:rsidP="009351FE">
            <w:pPr>
              <w:jc w:val="right"/>
              <w:rPr>
                <w:rFonts w:ascii="Arial" w:hAnsi="Arial" w:cs="Arial"/>
              </w:rPr>
            </w:pPr>
            <w:r w:rsidRPr="00CB5842">
              <w:rPr>
                <w:rFonts w:ascii="Arial" w:hAnsi="Arial" w:cs="Arial"/>
              </w:rPr>
              <w:t>+7.2%</w:t>
            </w:r>
          </w:p>
        </w:tc>
        <w:tc>
          <w:tcPr>
            <w:tcW w:w="1418" w:type="dxa"/>
          </w:tcPr>
          <w:p w:rsidR="009351FE" w:rsidRPr="0026648B" w:rsidRDefault="00447B03" w:rsidP="009351FE">
            <w:pPr>
              <w:jc w:val="right"/>
              <w:rPr>
                <w:rFonts w:ascii="Arial" w:hAnsi="Arial" w:cs="Arial"/>
              </w:rPr>
            </w:pPr>
            <w:r>
              <w:rPr>
                <w:rFonts w:ascii="Arial" w:hAnsi="Arial" w:cs="Arial"/>
              </w:rPr>
              <w:t>n/a</w:t>
            </w:r>
            <w:r>
              <w:rPr>
                <w:rFonts w:ascii="Arial" w:hAnsi="Arial" w:cs="Arial"/>
                <w:i/>
                <w:vertAlign w:val="superscript"/>
              </w:rPr>
              <w:t>(3</w:t>
            </w:r>
            <w:r w:rsidRPr="003E18CA">
              <w:rPr>
                <w:rFonts w:ascii="Arial" w:hAnsi="Arial" w:cs="Arial"/>
                <w:i/>
                <w:vertAlign w:val="superscript"/>
              </w:rPr>
              <w:t>)</w:t>
            </w:r>
          </w:p>
        </w:tc>
        <w:tc>
          <w:tcPr>
            <w:tcW w:w="1276" w:type="dxa"/>
          </w:tcPr>
          <w:p w:rsidR="009351FE" w:rsidRDefault="009351FE" w:rsidP="009351FE">
            <w:pPr>
              <w:jc w:val="right"/>
              <w:rPr>
                <w:rFonts w:ascii="Arial" w:hAnsi="Arial" w:cs="Arial"/>
              </w:rPr>
            </w:pPr>
            <w:r>
              <w:rPr>
                <w:rFonts w:ascii="Arial" w:hAnsi="Arial" w:cs="Arial"/>
              </w:rPr>
              <w:t>n/a</w:t>
            </w:r>
            <w:r w:rsidR="00447B03">
              <w:rPr>
                <w:rFonts w:ascii="Arial" w:hAnsi="Arial" w:cs="Arial"/>
                <w:i/>
                <w:vertAlign w:val="superscript"/>
              </w:rPr>
              <w:t>(3</w:t>
            </w:r>
            <w:r w:rsidRPr="003E18CA">
              <w:rPr>
                <w:rFonts w:ascii="Arial" w:hAnsi="Arial" w:cs="Arial"/>
                <w:i/>
                <w:vertAlign w:val="superscript"/>
              </w:rPr>
              <w:t>)</w:t>
            </w:r>
          </w:p>
        </w:tc>
      </w:tr>
      <w:tr w:rsidR="009351FE" w:rsidRPr="0026648B" w:rsidTr="00CB5842">
        <w:tc>
          <w:tcPr>
            <w:tcW w:w="2376" w:type="dxa"/>
            <w:tcBorders>
              <w:top w:val="single" w:sz="4" w:space="0" w:color="auto"/>
              <w:bottom w:val="single" w:sz="4" w:space="0" w:color="auto"/>
            </w:tcBorders>
          </w:tcPr>
          <w:p w:rsidR="009351FE" w:rsidRPr="0026648B" w:rsidRDefault="009351FE" w:rsidP="009351FE">
            <w:pPr>
              <w:jc w:val="left"/>
              <w:rPr>
                <w:rFonts w:ascii="Arial" w:hAnsi="Arial" w:cs="Arial"/>
                <w:b/>
              </w:rPr>
            </w:pPr>
            <w:r w:rsidRPr="0026648B">
              <w:rPr>
                <w:rFonts w:ascii="Arial" w:hAnsi="Arial" w:cs="Arial"/>
                <w:b/>
              </w:rPr>
              <w:t>Other International</w:t>
            </w:r>
          </w:p>
        </w:tc>
        <w:tc>
          <w:tcPr>
            <w:tcW w:w="1276" w:type="dxa"/>
            <w:tcBorders>
              <w:top w:val="single" w:sz="4" w:space="0" w:color="auto"/>
              <w:bottom w:val="single" w:sz="4" w:space="0" w:color="auto"/>
            </w:tcBorders>
          </w:tcPr>
          <w:p w:rsidR="009351FE" w:rsidRPr="0026648B" w:rsidRDefault="001E5B9D" w:rsidP="009351FE">
            <w:pPr>
              <w:jc w:val="right"/>
              <w:rPr>
                <w:rFonts w:ascii="Arial" w:hAnsi="Arial" w:cs="Arial"/>
                <w:b/>
              </w:rPr>
            </w:pPr>
            <w:r>
              <w:rPr>
                <w:rFonts w:ascii="Arial" w:hAnsi="Arial" w:cs="Arial"/>
                <w:b/>
              </w:rPr>
              <w:t>4</w:t>
            </w:r>
            <w:r w:rsidR="00C81677">
              <w:rPr>
                <w:rFonts w:ascii="Arial" w:hAnsi="Arial" w:cs="Arial"/>
                <w:b/>
              </w:rPr>
              <w:t>2</w:t>
            </w:r>
          </w:p>
        </w:tc>
        <w:tc>
          <w:tcPr>
            <w:tcW w:w="1276" w:type="dxa"/>
            <w:tcBorders>
              <w:top w:val="single" w:sz="4" w:space="0" w:color="auto"/>
              <w:bottom w:val="single" w:sz="4" w:space="0" w:color="auto"/>
            </w:tcBorders>
          </w:tcPr>
          <w:p w:rsidR="009351FE" w:rsidRPr="0026648B" w:rsidRDefault="001E5B9D" w:rsidP="009351FE">
            <w:pPr>
              <w:jc w:val="right"/>
              <w:rPr>
                <w:rFonts w:ascii="Arial" w:hAnsi="Arial" w:cs="Arial"/>
                <w:b/>
              </w:rPr>
            </w:pPr>
            <w:r>
              <w:rPr>
                <w:rFonts w:ascii="Arial" w:hAnsi="Arial" w:cs="Arial"/>
                <w:b/>
              </w:rPr>
              <w:t>(2</w:t>
            </w:r>
            <w:r w:rsidR="00C81677">
              <w:rPr>
                <w:rFonts w:ascii="Arial" w:hAnsi="Arial" w:cs="Arial"/>
                <w:b/>
              </w:rPr>
              <w:t>7.6</w:t>
            </w:r>
            <w:r w:rsidR="00E97077">
              <w:rPr>
                <w:rFonts w:ascii="Arial" w:hAnsi="Arial" w:cs="Arial"/>
                <w:b/>
              </w:rPr>
              <w:t>)%</w:t>
            </w:r>
          </w:p>
        </w:tc>
        <w:tc>
          <w:tcPr>
            <w:tcW w:w="1309" w:type="dxa"/>
            <w:tcBorders>
              <w:top w:val="single" w:sz="4" w:space="0" w:color="auto"/>
              <w:bottom w:val="single" w:sz="4" w:space="0" w:color="auto"/>
            </w:tcBorders>
          </w:tcPr>
          <w:p w:rsidR="009351FE" w:rsidRPr="0026648B" w:rsidRDefault="001E5B9D" w:rsidP="009351FE">
            <w:pPr>
              <w:jc w:val="right"/>
              <w:rPr>
                <w:rFonts w:ascii="Arial" w:hAnsi="Arial" w:cs="Arial"/>
                <w:b/>
              </w:rPr>
            </w:pPr>
            <w:r>
              <w:rPr>
                <w:rFonts w:ascii="Arial" w:hAnsi="Arial" w:cs="Arial"/>
                <w:b/>
              </w:rPr>
              <w:t>(</w:t>
            </w:r>
            <w:r w:rsidR="00C81677">
              <w:rPr>
                <w:rFonts w:ascii="Arial" w:hAnsi="Arial" w:cs="Arial"/>
                <w:b/>
              </w:rPr>
              <w:t>23.0</w:t>
            </w:r>
            <w:r w:rsidR="00E97077">
              <w:rPr>
                <w:rFonts w:ascii="Arial" w:hAnsi="Arial" w:cs="Arial"/>
                <w:b/>
              </w:rPr>
              <w:t>)%</w:t>
            </w:r>
          </w:p>
        </w:tc>
        <w:tc>
          <w:tcPr>
            <w:tcW w:w="1418" w:type="dxa"/>
            <w:tcBorders>
              <w:top w:val="single" w:sz="4" w:space="0" w:color="auto"/>
              <w:bottom w:val="single" w:sz="4" w:space="0" w:color="auto"/>
            </w:tcBorders>
          </w:tcPr>
          <w:p w:rsidR="009351FE" w:rsidRPr="0026648B" w:rsidRDefault="00447B03" w:rsidP="009351FE">
            <w:pPr>
              <w:jc w:val="right"/>
              <w:rPr>
                <w:rFonts w:ascii="Arial" w:hAnsi="Arial" w:cs="Arial"/>
                <w:b/>
              </w:rPr>
            </w:pPr>
            <w:r>
              <w:rPr>
                <w:rFonts w:ascii="Arial" w:hAnsi="Arial" w:cs="Arial"/>
                <w:b/>
              </w:rPr>
              <w:t>+3.7%</w:t>
            </w:r>
          </w:p>
        </w:tc>
        <w:tc>
          <w:tcPr>
            <w:tcW w:w="1276" w:type="dxa"/>
            <w:tcBorders>
              <w:top w:val="single" w:sz="4" w:space="0" w:color="auto"/>
              <w:bottom w:val="single" w:sz="4" w:space="0" w:color="auto"/>
            </w:tcBorders>
          </w:tcPr>
          <w:p w:rsidR="009351FE" w:rsidRPr="0026648B" w:rsidRDefault="00E97077" w:rsidP="009351FE">
            <w:pPr>
              <w:jc w:val="right"/>
              <w:rPr>
                <w:rFonts w:ascii="Arial" w:hAnsi="Arial" w:cs="Arial"/>
                <w:b/>
              </w:rPr>
            </w:pPr>
            <w:r>
              <w:rPr>
                <w:rFonts w:ascii="Arial" w:hAnsi="Arial" w:cs="Arial"/>
                <w:b/>
              </w:rPr>
              <w:t>+5.4%</w:t>
            </w:r>
          </w:p>
        </w:tc>
      </w:tr>
      <w:tr w:rsidR="009351FE" w:rsidRPr="0026648B" w:rsidTr="00CB5842">
        <w:tc>
          <w:tcPr>
            <w:tcW w:w="2376" w:type="dxa"/>
            <w:tcBorders>
              <w:top w:val="single" w:sz="4" w:space="0" w:color="auto"/>
              <w:bottom w:val="single" w:sz="4" w:space="0" w:color="auto"/>
            </w:tcBorders>
          </w:tcPr>
          <w:p w:rsidR="009351FE" w:rsidRPr="0026648B" w:rsidRDefault="009351FE" w:rsidP="009351FE">
            <w:pPr>
              <w:spacing w:before="60"/>
              <w:rPr>
                <w:rFonts w:ascii="Arial" w:hAnsi="Arial" w:cs="Arial"/>
                <w:b/>
              </w:rPr>
            </w:pPr>
            <w:r w:rsidRPr="0026648B">
              <w:rPr>
                <w:rFonts w:ascii="Arial" w:hAnsi="Arial" w:cs="Arial"/>
                <w:b/>
              </w:rPr>
              <w:t>Total Group</w:t>
            </w:r>
          </w:p>
        </w:tc>
        <w:tc>
          <w:tcPr>
            <w:tcW w:w="1276" w:type="dxa"/>
            <w:tcBorders>
              <w:top w:val="single" w:sz="4" w:space="0" w:color="auto"/>
              <w:bottom w:val="single" w:sz="4" w:space="0" w:color="auto"/>
            </w:tcBorders>
          </w:tcPr>
          <w:p w:rsidR="009351FE" w:rsidRPr="0026648B" w:rsidRDefault="001E5B9D" w:rsidP="009351FE">
            <w:pPr>
              <w:spacing w:before="60"/>
              <w:jc w:val="right"/>
              <w:rPr>
                <w:rFonts w:ascii="Arial" w:hAnsi="Arial" w:cs="Arial"/>
                <w:b/>
              </w:rPr>
            </w:pPr>
            <w:r>
              <w:rPr>
                <w:rFonts w:ascii="Arial" w:hAnsi="Arial" w:cs="Arial"/>
                <w:b/>
              </w:rPr>
              <w:t>390</w:t>
            </w:r>
          </w:p>
        </w:tc>
        <w:tc>
          <w:tcPr>
            <w:tcW w:w="1276" w:type="dxa"/>
            <w:tcBorders>
              <w:top w:val="single" w:sz="4" w:space="0" w:color="auto"/>
              <w:bottom w:val="single" w:sz="4" w:space="0" w:color="auto"/>
            </w:tcBorders>
          </w:tcPr>
          <w:p w:rsidR="009351FE" w:rsidRPr="0026648B" w:rsidRDefault="001E5B9D" w:rsidP="009351FE">
            <w:pPr>
              <w:spacing w:before="60"/>
              <w:jc w:val="right"/>
              <w:rPr>
                <w:rFonts w:ascii="Arial" w:hAnsi="Arial" w:cs="Arial"/>
                <w:b/>
              </w:rPr>
            </w:pPr>
            <w:r>
              <w:rPr>
                <w:rFonts w:ascii="Arial" w:hAnsi="Arial" w:cs="Arial"/>
                <w:b/>
              </w:rPr>
              <w:t>Flat</w:t>
            </w:r>
          </w:p>
        </w:tc>
        <w:tc>
          <w:tcPr>
            <w:tcW w:w="1309" w:type="dxa"/>
            <w:tcBorders>
              <w:top w:val="single" w:sz="4" w:space="0" w:color="auto"/>
              <w:bottom w:val="single" w:sz="4" w:space="0" w:color="auto"/>
            </w:tcBorders>
          </w:tcPr>
          <w:p w:rsidR="009351FE" w:rsidRPr="0026648B" w:rsidRDefault="001E5B9D" w:rsidP="009351FE">
            <w:pPr>
              <w:spacing w:before="60"/>
              <w:jc w:val="right"/>
              <w:rPr>
                <w:rFonts w:ascii="Arial" w:hAnsi="Arial" w:cs="Arial"/>
                <w:b/>
              </w:rPr>
            </w:pPr>
            <w:r>
              <w:rPr>
                <w:rFonts w:ascii="Arial" w:hAnsi="Arial" w:cs="Arial"/>
                <w:b/>
              </w:rPr>
              <w:t>+3.3</w:t>
            </w:r>
            <w:r w:rsidR="00E97077">
              <w:rPr>
                <w:rFonts w:ascii="Arial" w:hAnsi="Arial" w:cs="Arial"/>
                <w:b/>
              </w:rPr>
              <w:t>%</w:t>
            </w:r>
          </w:p>
        </w:tc>
        <w:tc>
          <w:tcPr>
            <w:tcW w:w="1418" w:type="dxa"/>
            <w:tcBorders>
              <w:top w:val="single" w:sz="4" w:space="0" w:color="auto"/>
              <w:bottom w:val="single" w:sz="4" w:space="0" w:color="auto"/>
            </w:tcBorders>
          </w:tcPr>
          <w:p w:rsidR="009351FE" w:rsidRPr="0026648B" w:rsidRDefault="001E5B9D" w:rsidP="009351FE">
            <w:pPr>
              <w:spacing w:before="60"/>
              <w:jc w:val="right"/>
              <w:rPr>
                <w:rFonts w:ascii="Arial" w:hAnsi="Arial" w:cs="Arial"/>
                <w:b/>
              </w:rPr>
            </w:pPr>
            <w:r>
              <w:rPr>
                <w:rFonts w:ascii="Arial" w:hAnsi="Arial" w:cs="Arial"/>
                <w:b/>
              </w:rPr>
              <w:t>+6.8</w:t>
            </w:r>
            <w:r w:rsidR="00447B03">
              <w:rPr>
                <w:rFonts w:ascii="Arial" w:hAnsi="Arial" w:cs="Arial"/>
                <w:b/>
              </w:rPr>
              <w:t>%</w:t>
            </w:r>
          </w:p>
        </w:tc>
        <w:tc>
          <w:tcPr>
            <w:tcW w:w="1276" w:type="dxa"/>
            <w:tcBorders>
              <w:top w:val="single" w:sz="4" w:space="0" w:color="auto"/>
              <w:bottom w:val="single" w:sz="4" w:space="0" w:color="auto"/>
            </w:tcBorders>
          </w:tcPr>
          <w:p w:rsidR="009351FE" w:rsidRPr="0026648B" w:rsidRDefault="001E5B9D" w:rsidP="009351FE">
            <w:pPr>
              <w:spacing w:before="60"/>
              <w:jc w:val="right"/>
              <w:rPr>
                <w:rFonts w:ascii="Arial" w:hAnsi="Arial" w:cs="Arial"/>
                <w:b/>
              </w:rPr>
            </w:pPr>
            <w:r>
              <w:rPr>
                <w:rFonts w:ascii="Arial" w:hAnsi="Arial" w:cs="Arial"/>
                <w:b/>
              </w:rPr>
              <w:t>+6.9</w:t>
            </w:r>
            <w:r w:rsidR="00E97077">
              <w:rPr>
                <w:rFonts w:ascii="Arial" w:hAnsi="Arial" w:cs="Arial"/>
                <w:b/>
              </w:rPr>
              <w:t>%</w:t>
            </w:r>
          </w:p>
        </w:tc>
      </w:tr>
    </w:tbl>
    <w:p w:rsidR="006C6B93" w:rsidRDefault="006C6B93">
      <w:pPr>
        <w:jc w:val="left"/>
        <w:rPr>
          <w:rFonts w:ascii="Arial" w:hAnsi="Arial" w:cs="Arial"/>
          <w:i/>
          <w:iCs/>
          <w:sz w:val="18"/>
          <w:szCs w:val="18"/>
        </w:rPr>
      </w:pPr>
    </w:p>
    <w:p w:rsidR="006C6B93" w:rsidRDefault="009351FE">
      <w:pPr>
        <w:jc w:val="left"/>
        <w:rPr>
          <w:rFonts w:ascii="Arial" w:hAnsi="Arial" w:cs="Arial"/>
          <w:i/>
          <w:iCs/>
          <w:sz w:val="18"/>
          <w:szCs w:val="18"/>
        </w:rPr>
      </w:pPr>
      <w:r w:rsidRPr="003E18CA">
        <w:rPr>
          <w:rFonts w:ascii="Arial" w:hAnsi="Arial" w:cs="Arial"/>
          <w:i/>
          <w:iCs/>
          <w:sz w:val="18"/>
          <w:szCs w:val="18"/>
          <w:vertAlign w:val="superscript"/>
        </w:rPr>
        <w:t>(1)</w:t>
      </w:r>
      <w:r>
        <w:rPr>
          <w:rFonts w:ascii="Arial" w:hAnsi="Arial" w:cs="Arial"/>
          <w:i/>
          <w:iCs/>
          <w:sz w:val="18"/>
          <w:szCs w:val="18"/>
        </w:rPr>
        <w:t xml:space="preserve"> First Portugal store opened during Q2 2014/15 and Screwfix Germany opened post half year 2014/15 therefore not applicable</w:t>
      </w:r>
    </w:p>
    <w:p w:rsidR="00447B03" w:rsidRDefault="00447B03" w:rsidP="00CB5842">
      <w:pPr>
        <w:tabs>
          <w:tab w:val="left" w:pos="357"/>
        </w:tabs>
        <w:ind w:right="-282"/>
        <w:jc w:val="left"/>
        <w:rPr>
          <w:rFonts w:ascii="Arial" w:hAnsi="Arial" w:cs="Arial"/>
          <w:i/>
          <w:iCs/>
          <w:sz w:val="18"/>
          <w:szCs w:val="18"/>
        </w:rPr>
      </w:pPr>
      <w:r>
        <w:rPr>
          <w:rFonts w:ascii="Arial" w:hAnsi="Arial" w:cs="Arial"/>
          <w:i/>
          <w:iCs/>
          <w:sz w:val="18"/>
          <w:szCs w:val="18"/>
          <w:vertAlign w:val="superscript"/>
        </w:rPr>
        <w:t>(2</w:t>
      </w:r>
      <w:r w:rsidRPr="0026648B">
        <w:rPr>
          <w:rFonts w:ascii="Arial" w:hAnsi="Arial" w:cs="Arial"/>
          <w:i/>
          <w:iCs/>
          <w:sz w:val="18"/>
          <w:szCs w:val="18"/>
          <w:vertAlign w:val="superscript"/>
        </w:rPr>
        <w:t>)</w:t>
      </w:r>
      <w:r w:rsidRPr="00447B03">
        <w:rPr>
          <w:rFonts w:ascii="Arial" w:hAnsi="Arial" w:cs="Arial"/>
          <w:i/>
          <w:iCs/>
          <w:sz w:val="18"/>
          <w:szCs w:val="18"/>
        </w:rPr>
        <w:t xml:space="preserve"> </w:t>
      </w:r>
      <w:r>
        <w:rPr>
          <w:rFonts w:ascii="Arial" w:hAnsi="Arial" w:cs="Arial"/>
          <w:i/>
          <w:iCs/>
          <w:sz w:val="18"/>
          <w:szCs w:val="18"/>
        </w:rPr>
        <w:t>Acquisition of 15 stores in Romania completed during Q2 2013/14 therefore not applicable</w:t>
      </w:r>
    </w:p>
    <w:p w:rsidR="00AA4425" w:rsidRDefault="006E1122" w:rsidP="00AA4425">
      <w:pPr>
        <w:tabs>
          <w:tab w:val="left" w:pos="357"/>
        </w:tabs>
        <w:ind w:right="-282"/>
        <w:jc w:val="left"/>
        <w:rPr>
          <w:rFonts w:ascii="Arial" w:hAnsi="Arial" w:cs="Arial"/>
          <w:i/>
          <w:iCs/>
          <w:sz w:val="18"/>
          <w:szCs w:val="18"/>
        </w:rPr>
      </w:pPr>
      <w:r>
        <w:rPr>
          <w:rFonts w:ascii="Arial" w:hAnsi="Arial" w:cs="Arial"/>
          <w:i/>
          <w:iCs/>
          <w:sz w:val="18"/>
          <w:szCs w:val="18"/>
          <w:vertAlign w:val="superscript"/>
        </w:rPr>
        <w:t>(</w:t>
      </w:r>
      <w:r w:rsidR="00447B03">
        <w:rPr>
          <w:rFonts w:ascii="Arial" w:hAnsi="Arial" w:cs="Arial"/>
          <w:i/>
          <w:iCs/>
          <w:sz w:val="18"/>
          <w:szCs w:val="18"/>
          <w:vertAlign w:val="superscript"/>
        </w:rPr>
        <w:t>3</w:t>
      </w:r>
      <w:r w:rsidR="00AA4425" w:rsidRPr="0026648B">
        <w:rPr>
          <w:rFonts w:ascii="Arial" w:hAnsi="Arial" w:cs="Arial"/>
          <w:i/>
          <w:iCs/>
          <w:sz w:val="18"/>
          <w:szCs w:val="18"/>
          <w:vertAlign w:val="superscript"/>
        </w:rPr>
        <w:t>)</w:t>
      </w:r>
      <w:r w:rsidR="00D23E19" w:rsidRPr="0026648B">
        <w:rPr>
          <w:rFonts w:ascii="Arial" w:hAnsi="Arial" w:cs="Arial"/>
          <w:i/>
          <w:iCs/>
          <w:sz w:val="18"/>
          <w:szCs w:val="18"/>
        </w:rPr>
        <w:t>Joint Venture (Koçtaş JV) sales are not consolidate</w:t>
      </w:r>
      <w:r w:rsidR="008A41F7" w:rsidRPr="0026648B">
        <w:rPr>
          <w:rFonts w:ascii="Arial" w:hAnsi="Arial" w:cs="Arial"/>
          <w:i/>
          <w:iCs/>
          <w:sz w:val="18"/>
          <w:szCs w:val="18"/>
        </w:rPr>
        <w:t>d</w:t>
      </w:r>
      <w:r w:rsidR="00D23E19" w:rsidRPr="0026648B">
        <w:rPr>
          <w:rFonts w:ascii="Arial" w:hAnsi="Arial" w:cs="Arial"/>
          <w:i/>
          <w:iCs/>
          <w:sz w:val="18"/>
          <w:szCs w:val="18"/>
        </w:rPr>
        <w:t xml:space="preserve"> therefore not applicable </w:t>
      </w:r>
    </w:p>
    <w:p w:rsidR="00AA4425" w:rsidRPr="0026648B" w:rsidRDefault="00AA4425" w:rsidP="00616A26">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418"/>
        <w:gridCol w:w="1417"/>
      </w:tblGrid>
      <w:tr w:rsidR="0026648B" w:rsidRPr="0026648B" w:rsidTr="00C82F88">
        <w:trPr>
          <w:trHeight w:val="317"/>
        </w:trPr>
        <w:tc>
          <w:tcPr>
            <w:tcW w:w="8613" w:type="dxa"/>
            <w:gridSpan w:val="3"/>
            <w:tcBorders>
              <w:bottom w:val="single" w:sz="4" w:space="0" w:color="auto"/>
            </w:tcBorders>
          </w:tcPr>
          <w:p w:rsidR="00616A26" w:rsidRPr="00052140" w:rsidRDefault="00277ECC" w:rsidP="00C659A8">
            <w:pPr>
              <w:spacing w:before="40"/>
              <w:jc w:val="left"/>
              <w:rPr>
                <w:rFonts w:ascii="Arial" w:hAnsi="Arial" w:cs="Arial"/>
                <w:b/>
                <w:sz w:val="24"/>
                <w:szCs w:val="24"/>
              </w:rPr>
            </w:pPr>
            <w:r w:rsidRPr="00052140">
              <w:rPr>
                <w:rFonts w:ascii="Arial" w:hAnsi="Arial" w:cs="Arial"/>
                <w:b/>
                <w:sz w:val="24"/>
                <w:szCs w:val="24"/>
              </w:rPr>
              <w:t>Year to date</w:t>
            </w:r>
            <w:r w:rsidR="00616A26" w:rsidRPr="00052140">
              <w:rPr>
                <w:rFonts w:ascii="Arial" w:hAnsi="Arial" w:cs="Arial"/>
                <w:b/>
                <w:sz w:val="24"/>
                <w:szCs w:val="24"/>
              </w:rPr>
              <w:t xml:space="preserve"> average FX rates vs </w:t>
            </w:r>
            <w:r w:rsidR="00E90F78" w:rsidRPr="00052140">
              <w:rPr>
                <w:rFonts w:ascii="Arial" w:hAnsi="Arial" w:cs="Arial"/>
                <w:b/>
                <w:sz w:val="24"/>
                <w:szCs w:val="24"/>
              </w:rPr>
              <w:t>£</w:t>
            </w:r>
            <w:r w:rsidR="00616A26" w:rsidRPr="00052140">
              <w:rPr>
                <w:rFonts w:ascii="Arial" w:hAnsi="Arial" w:cs="Arial"/>
                <w:b/>
                <w:sz w:val="24"/>
                <w:szCs w:val="24"/>
              </w:rPr>
              <w:t xml:space="preserve"> Sterling</w:t>
            </w:r>
          </w:p>
        </w:tc>
      </w:tr>
      <w:tr w:rsidR="0026648B" w:rsidRPr="00CB5842" w:rsidTr="00C82F88">
        <w:trPr>
          <w:trHeight w:val="317"/>
        </w:trPr>
        <w:tc>
          <w:tcPr>
            <w:tcW w:w="5778" w:type="dxa"/>
            <w:tcBorders>
              <w:top w:val="single" w:sz="4" w:space="0" w:color="auto"/>
              <w:bottom w:val="single" w:sz="4" w:space="0" w:color="auto"/>
            </w:tcBorders>
          </w:tcPr>
          <w:p w:rsidR="00616A26" w:rsidRPr="0026648B" w:rsidRDefault="00616A26" w:rsidP="00C659A8">
            <w:pPr>
              <w:spacing w:before="60"/>
              <w:rPr>
                <w:rFonts w:ascii="Arial" w:hAnsi="Arial" w:cs="Arial"/>
                <w:b/>
              </w:rPr>
            </w:pPr>
          </w:p>
        </w:tc>
        <w:tc>
          <w:tcPr>
            <w:tcW w:w="1418" w:type="dxa"/>
            <w:tcBorders>
              <w:top w:val="single" w:sz="4" w:space="0" w:color="auto"/>
              <w:bottom w:val="single" w:sz="4" w:space="0" w:color="auto"/>
            </w:tcBorders>
          </w:tcPr>
          <w:p w:rsidR="00616A26" w:rsidRPr="00CB5842" w:rsidRDefault="00AF13D5" w:rsidP="00C659A8">
            <w:pPr>
              <w:spacing w:before="60"/>
              <w:jc w:val="right"/>
              <w:rPr>
                <w:rFonts w:ascii="Arial" w:hAnsi="Arial" w:cs="Arial"/>
                <w:b/>
                <w:sz w:val="22"/>
                <w:szCs w:val="22"/>
              </w:rPr>
            </w:pPr>
            <w:r w:rsidRPr="00CB5842">
              <w:rPr>
                <w:rFonts w:ascii="Arial" w:hAnsi="Arial" w:cs="Arial"/>
                <w:b/>
                <w:sz w:val="22"/>
                <w:szCs w:val="22"/>
              </w:rPr>
              <w:t>201</w:t>
            </w:r>
            <w:r w:rsidR="00447B03" w:rsidRPr="00CB5842">
              <w:rPr>
                <w:rFonts w:ascii="Arial" w:hAnsi="Arial" w:cs="Arial"/>
                <w:b/>
                <w:sz w:val="22"/>
                <w:szCs w:val="22"/>
              </w:rPr>
              <w:t>4</w:t>
            </w:r>
            <w:r w:rsidRPr="00CB5842">
              <w:rPr>
                <w:rFonts w:ascii="Arial" w:hAnsi="Arial" w:cs="Arial"/>
                <w:b/>
                <w:sz w:val="22"/>
                <w:szCs w:val="22"/>
              </w:rPr>
              <w:t>/1</w:t>
            </w:r>
            <w:r w:rsidR="00447B03" w:rsidRPr="00CB5842">
              <w:rPr>
                <w:rFonts w:ascii="Arial" w:hAnsi="Arial" w:cs="Arial"/>
                <w:b/>
                <w:sz w:val="22"/>
                <w:szCs w:val="22"/>
              </w:rPr>
              <w:t>5</w:t>
            </w:r>
          </w:p>
        </w:tc>
        <w:tc>
          <w:tcPr>
            <w:tcW w:w="1417" w:type="dxa"/>
            <w:tcBorders>
              <w:top w:val="single" w:sz="4" w:space="0" w:color="auto"/>
              <w:bottom w:val="single" w:sz="4" w:space="0" w:color="auto"/>
            </w:tcBorders>
          </w:tcPr>
          <w:p w:rsidR="00616A26" w:rsidRPr="00CB5842" w:rsidRDefault="006B072D" w:rsidP="00C659A8">
            <w:pPr>
              <w:spacing w:before="60"/>
              <w:jc w:val="right"/>
              <w:rPr>
                <w:rFonts w:ascii="Arial" w:hAnsi="Arial" w:cs="Arial"/>
                <w:b/>
                <w:sz w:val="22"/>
                <w:szCs w:val="22"/>
              </w:rPr>
            </w:pPr>
            <w:r w:rsidRPr="00CB5842">
              <w:rPr>
                <w:rFonts w:ascii="Arial" w:hAnsi="Arial" w:cs="Arial"/>
                <w:b/>
                <w:sz w:val="22"/>
                <w:szCs w:val="22"/>
              </w:rPr>
              <w:t>2013/14</w:t>
            </w:r>
          </w:p>
        </w:tc>
      </w:tr>
      <w:tr w:rsidR="0026648B" w:rsidRPr="00447B03" w:rsidTr="00C82F88">
        <w:tc>
          <w:tcPr>
            <w:tcW w:w="5778" w:type="dxa"/>
            <w:tcBorders>
              <w:top w:val="single" w:sz="4" w:space="0" w:color="auto"/>
            </w:tcBorders>
          </w:tcPr>
          <w:p w:rsidR="0026648B" w:rsidRPr="00CB5842" w:rsidRDefault="0026648B" w:rsidP="00C659A8">
            <w:pPr>
              <w:spacing w:before="60"/>
              <w:rPr>
                <w:rFonts w:ascii="Arial" w:hAnsi="Arial" w:cs="Arial"/>
                <w:sz w:val="22"/>
                <w:szCs w:val="22"/>
              </w:rPr>
            </w:pPr>
            <w:r w:rsidRPr="00CB5842">
              <w:rPr>
                <w:rFonts w:ascii="Arial" w:hAnsi="Arial" w:cs="Arial"/>
                <w:sz w:val="22"/>
                <w:szCs w:val="22"/>
              </w:rPr>
              <w:t>Euro</w:t>
            </w:r>
          </w:p>
        </w:tc>
        <w:tc>
          <w:tcPr>
            <w:tcW w:w="1418" w:type="dxa"/>
            <w:tcBorders>
              <w:top w:val="single" w:sz="4" w:space="0" w:color="auto"/>
            </w:tcBorders>
          </w:tcPr>
          <w:p w:rsidR="0026648B" w:rsidRPr="00CB5842" w:rsidRDefault="00C81677" w:rsidP="00C659A8">
            <w:pPr>
              <w:spacing w:before="60"/>
              <w:jc w:val="right"/>
              <w:rPr>
                <w:rFonts w:ascii="Arial" w:hAnsi="Arial" w:cs="Arial"/>
                <w:sz w:val="22"/>
                <w:szCs w:val="22"/>
              </w:rPr>
            </w:pPr>
            <w:r>
              <w:rPr>
                <w:rFonts w:ascii="Arial" w:hAnsi="Arial" w:cs="Arial"/>
                <w:sz w:val="22"/>
                <w:szCs w:val="22"/>
              </w:rPr>
              <w:t>1.23</w:t>
            </w:r>
          </w:p>
        </w:tc>
        <w:tc>
          <w:tcPr>
            <w:tcW w:w="1417" w:type="dxa"/>
            <w:tcBorders>
              <w:top w:val="single" w:sz="4" w:space="0" w:color="auto"/>
            </w:tcBorders>
          </w:tcPr>
          <w:p w:rsidR="0026648B" w:rsidRPr="00CB5842" w:rsidRDefault="006B072D" w:rsidP="0026648B">
            <w:pPr>
              <w:spacing w:before="60"/>
              <w:jc w:val="right"/>
              <w:rPr>
                <w:rFonts w:ascii="Arial" w:hAnsi="Arial" w:cs="Arial"/>
                <w:sz w:val="22"/>
                <w:szCs w:val="22"/>
              </w:rPr>
            </w:pPr>
            <w:r w:rsidRPr="00CB5842">
              <w:rPr>
                <w:rFonts w:ascii="Arial" w:hAnsi="Arial" w:cs="Arial"/>
                <w:sz w:val="22"/>
                <w:szCs w:val="22"/>
              </w:rPr>
              <w:t>1.17</w:t>
            </w:r>
          </w:p>
        </w:tc>
      </w:tr>
      <w:tr w:rsidR="0026648B" w:rsidRPr="00447B03" w:rsidTr="00C82F88">
        <w:tc>
          <w:tcPr>
            <w:tcW w:w="5778" w:type="dxa"/>
          </w:tcPr>
          <w:p w:rsidR="0026648B" w:rsidRPr="00CB5842" w:rsidRDefault="0026648B" w:rsidP="00C659A8">
            <w:pPr>
              <w:rPr>
                <w:rFonts w:ascii="Arial" w:hAnsi="Arial" w:cs="Arial"/>
                <w:sz w:val="22"/>
                <w:szCs w:val="22"/>
              </w:rPr>
            </w:pPr>
            <w:r w:rsidRPr="00CB5842">
              <w:rPr>
                <w:rFonts w:ascii="Arial" w:hAnsi="Arial" w:cs="Arial"/>
                <w:sz w:val="22"/>
                <w:szCs w:val="22"/>
              </w:rPr>
              <w:t>Polish Zloty</w:t>
            </w:r>
          </w:p>
        </w:tc>
        <w:tc>
          <w:tcPr>
            <w:tcW w:w="1418" w:type="dxa"/>
          </w:tcPr>
          <w:p w:rsidR="0026648B" w:rsidRPr="00CB5842" w:rsidRDefault="00C81677" w:rsidP="00C659A8">
            <w:pPr>
              <w:jc w:val="right"/>
              <w:rPr>
                <w:rFonts w:ascii="Arial" w:hAnsi="Arial" w:cs="Arial"/>
                <w:sz w:val="22"/>
                <w:szCs w:val="22"/>
              </w:rPr>
            </w:pPr>
            <w:r>
              <w:rPr>
                <w:rFonts w:ascii="Arial" w:hAnsi="Arial" w:cs="Arial"/>
                <w:sz w:val="22"/>
                <w:szCs w:val="22"/>
              </w:rPr>
              <w:t>5.11</w:t>
            </w:r>
          </w:p>
        </w:tc>
        <w:tc>
          <w:tcPr>
            <w:tcW w:w="1417" w:type="dxa"/>
          </w:tcPr>
          <w:p w:rsidR="0026648B" w:rsidRPr="00CB5842" w:rsidRDefault="006B072D" w:rsidP="0026648B">
            <w:pPr>
              <w:jc w:val="right"/>
              <w:rPr>
                <w:rFonts w:ascii="Arial" w:hAnsi="Arial" w:cs="Arial"/>
                <w:sz w:val="22"/>
                <w:szCs w:val="22"/>
              </w:rPr>
            </w:pPr>
            <w:r w:rsidRPr="00CB5842">
              <w:rPr>
                <w:rFonts w:ascii="Arial" w:hAnsi="Arial" w:cs="Arial"/>
                <w:sz w:val="22"/>
                <w:szCs w:val="22"/>
              </w:rPr>
              <w:t>4.91</w:t>
            </w:r>
          </w:p>
        </w:tc>
      </w:tr>
      <w:tr w:rsidR="0026648B" w:rsidRPr="00447B03" w:rsidTr="00C82F88">
        <w:tc>
          <w:tcPr>
            <w:tcW w:w="5778" w:type="dxa"/>
          </w:tcPr>
          <w:p w:rsidR="0026648B" w:rsidRPr="00CB5842" w:rsidRDefault="0026648B" w:rsidP="00C659A8">
            <w:pPr>
              <w:rPr>
                <w:rFonts w:ascii="Arial" w:hAnsi="Arial" w:cs="Arial"/>
                <w:sz w:val="22"/>
                <w:szCs w:val="22"/>
              </w:rPr>
            </w:pPr>
            <w:r w:rsidRPr="00CB5842">
              <w:rPr>
                <w:rFonts w:ascii="Arial" w:hAnsi="Arial" w:cs="Arial"/>
                <w:sz w:val="22"/>
                <w:szCs w:val="22"/>
              </w:rPr>
              <w:t xml:space="preserve">Chinese Renminbi </w:t>
            </w:r>
          </w:p>
        </w:tc>
        <w:tc>
          <w:tcPr>
            <w:tcW w:w="1418" w:type="dxa"/>
          </w:tcPr>
          <w:p w:rsidR="0026648B" w:rsidRPr="00CB5842" w:rsidRDefault="00C81677" w:rsidP="00C659A8">
            <w:pPr>
              <w:jc w:val="right"/>
              <w:rPr>
                <w:rFonts w:ascii="Arial" w:hAnsi="Arial" w:cs="Arial"/>
                <w:sz w:val="22"/>
                <w:szCs w:val="22"/>
              </w:rPr>
            </w:pPr>
            <w:r>
              <w:rPr>
                <w:rFonts w:ascii="Arial" w:hAnsi="Arial" w:cs="Arial"/>
                <w:sz w:val="22"/>
                <w:szCs w:val="22"/>
              </w:rPr>
              <w:t>10.40</w:t>
            </w:r>
          </w:p>
        </w:tc>
        <w:tc>
          <w:tcPr>
            <w:tcW w:w="1417" w:type="dxa"/>
          </w:tcPr>
          <w:p w:rsidR="0026648B" w:rsidRPr="00CB5842" w:rsidRDefault="006B072D" w:rsidP="0026648B">
            <w:pPr>
              <w:jc w:val="right"/>
              <w:rPr>
                <w:rFonts w:ascii="Arial" w:hAnsi="Arial" w:cs="Arial"/>
                <w:sz w:val="22"/>
                <w:szCs w:val="22"/>
              </w:rPr>
            </w:pPr>
            <w:r w:rsidRPr="00CB5842">
              <w:rPr>
                <w:rFonts w:ascii="Arial" w:hAnsi="Arial" w:cs="Arial"/>
                <w:sz w:val="22"/>
                <w:szCs w:val="22"/>
              </w:rPr>
              <w:t>9.44</w:t>
            </w:r>
          </w:p>
        </w:tc>
      </w:tr>
      <w:tr w:rsidR="00AA62A7" w:rsidRPr="00447B03" w:rsidTr="00C82F88">
        <w:tc>
          <w:tcPr>
            <w:tcW w:w="5778" w:type="dxa"/>
          </w:tcPr>
          <w:p w:rsidR="00AA62A7" w:rsidRPr="00CB5842" w:rsidRDefault="00AA62A7" w:rsidP="00C659A8">
            <w:pPr>
              <w:rPr>
                <w:rFonts w:ascii="Arial" w:hAnsi="Arial" w:cs="Arial"/>
                <w:sz w:val="22"/>
                <w:szCs w:val="22"/>
              </w:rPr>
            </w:pPr>
            <w:r w:rsidRPr="00CB5842">
              <w:rPr>
                <w:rFonts w:ascii="Arial" w:hAnsi="Arial" w:cs="Arial"/>
                <w:sz w:val="22"/>
                <w:szCs w:val="22"/>
              </w:rPr>
              <w:t>Romanian Leu</w:t>
            </w:r>
          </w:p>
        </w:tc>
        <w:tc>
          <w:tcPr>
            <w:tcW w:w="1418" w:type="dxa"/>
          </w:tcPr>
          <w:p w:rsidR="00AA62A7" w:rsidRPr="00CB5842" w:rsidRDefault="00C81677" w:rsidP="00C659A8">
            <w:pPr>
              <w:jc w:val="right"/>
              <w:rPr>
                <w:rFonts w:ascii="Arial" w:hAnsi="Arial" w:cs="Arial"/>
                <w:sz w:val="22"/>
                <w:szCs w:val="22"/>
              </w:rPr>
            </w:pPr>
            <w:r>
              <w:rPr>
                <w:rFonts w:ascii="Arial" w:hAnsi="Arial" w:cs="Arial"/>
                <w:sz w:val="22"/>
                <w:szCs w:val="22"/>
              </w:rPr>
              <w:t>5.45</w:t>
            </w:r>
          </w:p>
        </w:tc>
        <w:tc>
          <w:tcPr>
            <w:tcW w:w="1417" w:type="dxa"/>
          </w:tcPr>
          <w:p w:rsidR="00AA62A7" w:rsidRPr="00CB5842" w:rsidRDefault="006B072D" w:rsidP="0026648B">
            <w:pPr>
              <w:jc w:val="right"/>
              <w:rPr>
                <w:rFonts w:ascii="Arial" w:hAnsi="Arial" w:cs="Arial"/>
                <w:sz w:val="22"/>
                <w:szCs w:val="22"/>
              </w:rPr>
            </w:pPr>
            <w:r w:rsidRPr="00CB5842">
              <w:rPr>
                <w:rFonts w:ascii="Arial" w:hAnsi="Arial" w:cs="Arial"/>
                <w:sz w:val="22"/>
                <w:szCs w:val="22"/>
              </w:rPr>
              <w:t>5.18</w:t>
            </w:r>
          </w:p>
        </w:tc>
      </w:tr>
      <w:tr w:rsidR="0026648B" w:rsidRPr="00447B03" w:rsidTr="00CB5842">
        <w:tc>
          <w:tcPr>
            <w:tcW w:w="5778" w:type="dxa"/>
          </w:tcPr>
          <w:p w:rsidR="0026648B" w:rsidRPr="00CB5842" w:rsidRDefault="0026648B" w:rsidP="00C659A8">
            <w:pPr>
              <w:spacing w:after="20"/>
              <w:rPr>
                <w:rFonts w:ascii="Arial" w:hAnsi="Arial" w:cs="Arial"/>
                <w:sz w:val="22"/>
                <w:szCs w:val="22"/>
              </w:rPr>
            </w:pPr>
            <w:r w:rsidRPr="00CB5842">
              <w:rPr>
                <w:rFonts w:ascii="Arial" w:hAnsi="Arial" w:cs="Arial"/>
                <w:sz w:val="22"/>
                <w:szCs w:val="22"/>
              </w:rPr>
              <w:t xml:space="preserve">Russian Rouble </w:t>
            </w:r>
          </w:p>
        </w:tc>
        <w:tc>
          <w:tcPr>
            <w:tcW w:w="1418" w:type="dxa"/>
          </w:tcPr>
          <w:p w:rsidR="0026648B" w:rsidRPr="00CB5842" w:rsidRDefault="00C81677" w:rsidP="00C659A8">
            <w:pPr>
              <w:spacing w:after="20"/>
              <w:jc w:val="right"/>
              <w:rPr>
                <w:rFonts w:ascii="Arial" w:hAnsi="Arial" w:cs="Arial"/>
                <w:sz w:val="22"/>
                <w:szCs w:val="22"/>
              </w:rPr>
            </w:pPr>
            <w:r>
              <w:rPr>
                <w:rFonts w:ascii="Arial" w:hAnsi="Arial" w:cs="Arial"/>
                <w:sz w:val="22"/>
                <w:szCs w:val="22"/>
              </w:rPr>
              <w:t>59.05</w:t>
            </w:r>
          </w:p>
        </w:tc>
        <w:tc>
          <w:tcPr>
            <w:tcW w:w="1417" w:type="dxa"/>
          </w:tcPr>
          <w:p w:rsidR="0026648B" w:rsidRPr="00CB5842" w:rsidRDefault="006B072D" w:rsidP="0026648B">
            <w:pPr>
              <w:spacing w:after="20"/>
              <w:jc w:val="right"/>
              <w:rPr>
                <w:rFonts w:ascii="Arial" w:hAnsi="Arial" w:cs="Arial"/>
                <w:sz w:val="22"/>
                <w:szCs w:val="22"/>
              </w:rPr>
            </w:pPr>
            <w:r w:rsidRPr="00CB5842">
              <w:rPr>
                <w:rFonts w:ascii="Arial" w:hAnsi="Arial" w:cs="Arial"/>
                <w:sz w:val="22"/>
                <w:szCs w:val="22"/>
              </w:rPr>
              <w:t>48.22</w:t>
            </w:r>
          </w:p>
        </w:tc>
      </w:tr>
      <w:tr w:rsidR="0026648B" w:rsidRPr="00447B03" w:rsidTr="00C82F88">
        <w:trPr>
          <w:trHeight w:val="80"/>
        </w:trPr>
        <w:tc>
          <w:tcPr>
            <w:tcW w:w="5778" w:type="dxa"/>
            <w:tcBorders>
              <w:bottom w:val="single" w:sz="4" w:space="0" w:color="auto"/>
            </w:tcBorders>
          </w:tcPr>
          <w:p w:rsidR="0026648B" w:rsidRPr="00CB5842" w:rsidRDefault="0026648B" w:rsidP="00EC1FEB">
            <w:pPr>
              <w:rPr>
                <w:rFonts w:ascii="Arial" w:hAnsi="Arial" w:cs="Arial"/>
                <w:sz w:val="22"/>
                <w:szCs w:val="22"/>
              </w:rPr>
            </w:pPr>
            <w:r w:rsidRPr="00CB5842">
              <w:rPr>
                <w:rFonts w:ascii="Arial" w:hAnsi="Arial" w:cs="Arial"/>
                <w:sz w:val="22"/>
                <w:szCs w:val="22"/>
              </w:rPr>
              <w:t>Turkish Lira</w:t>
            </w:r>
          </w:p>
        </w:tc>
        <w:tc>
          <w:tcPr>
            <w:tcW w:w="1418" w:type="dxa"/>
            <w:tcBorders>
              <w:bottom w:val="single" w:sz="4" w:space="0" w:color="auto"/>
            </w:tcBorders>
          </w:tcPr>
          <w:p w:rsidR="0026648B" w:rsidRPr="00CB5842" w:rsidRDefault="00C81677" w:rsidP="00EC1FEB">
            <w:pPr>
              <w:jc w:val="right"/>
              <w:rPr>
                <w:rFonts w:ascii="Arial" w:hAnsi="Arial" w:cs="Arial"/>
                <w:sz w:val="22"/>
                <w:szCs w:val="22"/>
              </w:rPr>
            </w:pPr>
            <w:r>
              <w:rPr>
                <w:rFonts w:ascii="Arial" w:hAnsi="Arial" w:cs="Arial"/>
                <w:sz w:val="22"/>
                <w:szCs w:val="22"/>
              </w:rPr>
              <w:t>3.60</w:t>
            </w:r>
          </w:p>
        </w:tc>
        <w:tc>
          <w:tcPr>
            <w:tcW w:w="1417" w:type="dxa"/>
            <w:tcBorders>
              <w:bottom w:val="single" w:sz="4" w:space="0" w:color="auto"/>
            </w:tcBorders>
          </w:tcPr>
          <w:p w:rsidR="0026648B" w:rsidRPr="00CB5842" w:rsidRDefault="006B072D" w:rsidP="0026648B">
            <w:pPr>
              <w:jc w:val="right"/>
              <w:rPr>
                <w:rFonts w:ascii="Arial" w:hAnsi="Arial" w:cs="Arial"/>
                <w:sz w:val="22"/>
                <w:szCs w:val="22"/>
              </w:rPr>
            </w:pPr>
            <w:r w:rsidRPr="00CB5842">
              <w:rPr>
                <w:rFonts w:ascii="Arial" w:hAnsi="Arial" w:cs="Arial"/>
                <w:sz w:val="22"/>
                <w:szCs w:val="22"/>
              </w:rPr>
              <w:t>2.82</w:t>
            </w:r>
          </w:p>
        </w:tc>
      </w:tr>
    </w:tbl>
    <w:p w:rsidR="00CB7720" w:rsidRPr="00447B03" w:rsidRDefault="00CB7720" w:rsidP="00CF0A43">
      <w:pPr>
        <w:jc w:val="left"/>
        <w:rPr>
          <w:rFonts w:ascii="Arial" w:hAnsi="Arial" w:cs="Arial"/>
          <w:b/>
          <w:bCs/>
        </w:rPr>
      </w:pPr>
    </w:p>
    <w:p w:rsidR="00375E3F" w:rsidRDefault="00375E3F" w:rsidP="00CF0A43">
      <w:pPr>
        <w:jc w:val="left"/>
        <w:rPr>
          <w:rFonts w:ascii="Arial" w:hAnsi="Arial" w:cs="Arial"/>
          <w:b/>
          <w:bCs/>
        </w:rPr>
      </w:pPr>
    </w:p>
    <w:p w:rsidR="00375E3F" w:rsidRPr="00052140" w:rsidRDefault="00F51A65" w:rsidP="00375E3F">
      <w:pPr>
        <w:jc w:val="left"/>
        <w:rPr>
          <w:rFonts w:ascii="Arial" w:hAnsi="Arial" w:cs="Arial"/>
          <w:sz w:val="24"/>
          <w:szCs w:val="24"/>
        </w:rPr>
      </w:pPr>
      <w:r>
        <w:rPr>
          <w:rFonts w:ascii="Arial" w:hAnsi="Arial" w:cs="Arial"/>
          <w:b/>
          <w:sz w:val="24"/>
          <w:szCs w:val="24"/>
        </w:rPr>
        <w:t>Q2 by major geography</w:t>
      </w:r>
      <w:r w:rsidR="00375E3F" w:rsidRPr="00791B66">
        <w:rPr>
          <w:rFonts w:ascii="Arial" w:hAnsi="Arial" w:cs="Arial"/>
          <w:b/>
          <w:sz w:val="24"/>
          <w:szCs w:val="24"/>
        </w:rPr>
        <w:t xml:space="preserve"> </w:t>
      </w:r>
      <w:r w:rsidR="006E5CD9">
        <w:rPr>
          <w:rFonts w:ascii="Arial" w:hAnsi="Arial" w:cs="Arial"/>
          <w:b/>
          <w:sz w:val="24"/>
          <w:szCs w:val="24"/>
        </w:rPr>
        <w:t>(compared to Q2 last year)</w:t>
      </w:r>
    </w:p>
    <w:tbl>
      <w:tblPr>
        <w:tblW w:w="9857" w:type="dxa"/>
        <w:tblLayout w:type="fixed"/>
        <w:tblLook w:val="01E0" w:firstRow="1" w:lastRow="1" w:firstColumn="1" w:lastColumn="1" w:noHBand="0" w:noVBand="0"/>
      </w:tblPr>
      <w:tblGrid>
        <w:gridCol w:w="1424"/>
        <w:gridCol w:w="939"/>
        <w:gridCol w:w="1228"/>
        <w:gridCol w:w="1337"/>
        <w:gridCol w:w="1337"/>
        <w:gridCol w:w="983"/>
        <w:gridCol w:w="1272"/>
        <w:gridCol w:w="1337"/>
      </w:tblGrid>
      <w:tr w:rsidR="00375E3F" w:rsidRPr="001E29CA" w:rsidTr="00F51A65">
        <w:trPr>
          <w:trHeight w:val="567"/>
        </w:trPr>
        <w:tc>
          <w:tcPr>
            <w:tcW w:w="1424" w:type="dxa"/>
            <w:tcBorders>
              <w:bottom w:val="single" w:sz="4" w:space="0" w:color="auto"/>
            </w:tcBorders>
          </w:tcPr>
          <w:p w:rsidR="00375E3F" w:rsidRDefault="00375E3F" w:rsidP="00C767BD">
            <w:pPr>
              <w:jc w:val="left"/>
              <w:rPr>
                <w:rFonts w:ascii="Arial" w:hAnsi="Arial" w:cs="Arial"/>
                <w:b/>
                <w:sz w:val="20"/>
                <w:u w:val="single"/>
              </w:rPr>
            </w:pPr>
          </w:p>
          <w:p w:rsidR="00F51A65" w:rsidRPr="00CB5842" w:rsidRDefault="00F51A65" w:rsidP="00C767BD">
            <w:pPr>
              <w:jc w:val="left"/>
              <w:rPr>
                <w:rFonts w:ascii="Arial" w:hAnsi="Arial" w:cs="Arial"/>
                <w:sz w:val="20"/>
              </w:rPr>
            </w:pPr>
            <w:r w:rsidRPr="00CB5842">
              <w:rPr>
                <w:rFonts w:ascii="Arial" w:hAnsi="Arial" w:cs="Arial"/>
                <w:sz w:val="20"/>
              </w:rPr>
              <w:t>13 weeks ended 2 August 2014</w:t>
            </w:r>
          </w:p>
        </w:tc>
        <w:tc>
          <w:tcPr>
            <w:tcW w:w="939" w:type="dxa"/>
            <w:tcBorders>
              <w:bottom w:val="single" w:sz="4" w:space="0" w:color="auto"/>
            </w:tcBorders>
          </w:tcPr>
          <w:p w:rsidR="00375E3F" w:rsidRDefault="00375E3F" w:rsidP="00C767BD">
            <w:pPr>
              <w:jc w:val="right"/>
              <w:rPr>
                <w:rFonts w:ascii="Arial" w:hAnsi="Arial" w:cs="Arial"/>
                <w:b/>
                <w:sz w:val="20"/>
              </w:rPr>
            </w:pPr>
          </w:p>
          <w:p w:rsidR="00375E3F" w:rsidRPr="001E29CA" w:rsidRDefault="00375E3F" w:rsidP="000045F9">
            <w:pPr>
              <w:jc w:val="right"/>
              <w:rPr>
                <w:rFonts w:ascii="Arial" w:hAnsi="Arial" w:cs="Arial"/>
                <w:b/>
                <w:sz w:val="20"/>
              </w:rPr>
            </w:pPr>
            <w:r>
              <w:rPr>
                <w:rFonts w:ascii="Arial" w:hAnsi="Arial" w:cs="Arial"/>
                <w:b/>
                <w:sz w:val="20"/>
              </w:rPr>
              <w:t xml:space="preserve">Sales </w:t>
            </w:r>
          </w:p>
        </w:tc>
        <w:tc>
          <w:tcPr>
            <w:tcW w:w="1228" w:type="dxa"/>
            <w:tcBorders>
              <w:bottom w:val="single" w:sz="4" w:space="0" w:color="auto"/>
            </w:tcBorders>
          </w:tcPr>
          <w:p w:rsidR="00375E3F" w:rsidRDefault="00375E3F" w:rsidP="00C767BD">
            <w:pPr>
              <w:jc w:val="right"/>
              <w:rPr>
                <w:rFonts w:ascii="Arial" w:hAnsi="Arial" w:cs="Arial"/>
                <w:b/>
                <w:sz w:val="20"/>
              </w:rPr>
            </w:pPr>
          </w:p>
          <w:p w:rsidR="00375E3F" w:rsidRPr="001E29CA" w:rsidRDefault="00375E3F" w:rsidP="00C767BD">
            <w:pPr>
              <w:jc w:val="right"/>
              <w:rPr>
                <w:rFonts w:ascii="Arial" w:hAnsi="Arial" w:cs="Arial"/>
                <w:b/>
                <w:sz w:val="20"/>
              </w:rPr>
            </w:pPr>
            <w:r w:rsidRPr="001E29CA">
              <w:rPr>
                <w:rFonts w:ascii="Arial" w:hAnsi="Arial" w:cs="Arial"/>
                <w:b/>
                <w:sz w:val="20"/>
              </w:rPr>
              <w:t>% Total</w:t>
            </w:r>
            <w:r w:rsidR="008822E1">
              <w:rPr>
                <w:rFonts w:ascii="Arial" w:hAnsi="Arial" w:cs="Arial"/>
                <w:b/>
                <w:sz w:val="20"/>
              </w:rPr>
              <w:t xml:space="preserve"> Change</w:t>
            </w:r>
          </w:p>
        </w:tc>
        <w:tc>
          <w:tcPr>
            <w:tcW w:w="1337" w:type="dxa"/>
            <w:tcBorders>
              <w:bottom w:val="single" w:sz="4" w:space="0" w:color="auto"/>
            </w:tcBorders>
          </w:tcPr>
          <w:p w:rsidR="00375E3F" w:rsidRDefault="00375E3F" w:rsidP="00C767BD">
            <w:pPr>
              <w:jc w:val="right"/>
              <w:rPr>
                <w:rFonts w:ascii="Arial" w:hAnsi="Arial" w:cs="Arial"/>
                <w:b/>
                <w:sz w:val="20"/>
              </w:rPr>
            </w:pPr>
          </w:p>
          <w:p w:rsidR="00375E3F" w:rsidRPr="001E29CA" w:rsidRDefault="00375E3F" w:rsidP="00C767BD">
            <w:pPr>
              <w:jc w:val="right"/>
              <w:rPr>
                <w:rFonts w:ascii="Arial" w:hAnsi="Arial" w:cs="Arial"/>
                <w:b/>
                <w:sz w:val="20"/>
              </w:rPr>
            </w:pPr>
            <w:r w:rsidRPr="001E29CA">
              <w:rPr>
                <w:rFonts w:ascii="Arial" w:hAnsi="Arial" w:cs="Arial"/>
                <w:b/>
                <w:sz w:val="20"/>
              </w:rPr>
              <w:t>% Total</w:t>
            </w:r>
            <w:r w:rsidR="008822E1">
              <w:rPr>
                <w:rFonts w:ascii="Arial" w:hAnsi="Arial" w:cs="Arial"/>
                <w:b/>
                <w:sz w:val="20"/>
              </w:rPr>
              <w:t xml:space="preserve"> Change</w:t>
            </w:r>
          </w:p>
        </w:tc>
        <w:tc>
          <w:tcPr>
            <w:tcW w:w="1337" w:type="dxa"/>
            <w:tcBorders>
              <w:bottom w:val="single" w:sz="4" w:space="0" w:color="auto"/>
            </w:tcBorders>
          </w:tcPr>
          <w:p w:rsidR="00375E3F" w:rsidRDefault="00375E3F" w:rsidP="00C767BD">
            <w:pPr>
              <w:jc w:val="right"/>
              <w:rPr>
                <w:rFonts w:ascii="Arial" w:hAnsi="Arial" w:cs="Arial"/>
                <w:b/>
                <w:sz w:val="20"/>
              </w:rPr>
            </w:pPr>
          </w:p>
          <w:p w:rsidR="00375E3F" w:rsidRPr="001E29CA" w:rsidRDefault="00375E3F" w:rsidP="00C767BD">
            <w:pPr>
              <w:jc w:val="right"/>
              <w:rPr>
                <w:rFonts w:ascii="Arial" w:hAnsi="Arial" w:cs="Arial"/>
                <w:b/>
                <w:sz w:val="20"/>
              </w:rPr>
            </w:pPr>
            <w:r w:rsidRPr="001E29CA">
              <w:rPr>
                <w:rFonts w:ascii="Arial" w:hAnsi="Arial" w:cs="Arial"/>
                <w:b/>
                <w:sz w:val="20"/>
              </w:rPr>
              <w:t>% LFL</w:t>
            </w:r>
            <w:r w:rsidR="008822E1">
              <w:rPr>
                <w:rFonts w:ascii="Arial" w:hAnsi="Arial" w:cs="Arial"/>
                <w:b/>
                <w:sz w:val="20"/>
              </w:rPr>
              <w:t xml:space="preserve"> Change</w:t>
            </w:r>
          </w:p>
        </w:tc>
        <w:tc>
          <w:tcPr>
            <w:tcW w:w="983" w:type="dxa"/>
            <w:tcBorders>
              <w:bottom w:val="single" w:sz="4" w:space="0" w:color="auto"/>
            </w:tcBorders>
          </w:tcPr>
          <w:p w:rsidR="008822E1" w:rsidRDefault="008822E1" w:rsidP="00C767BD">
            <w:pPr>
              <w:tabs>
                <w:tab w:val="left" w:pos="300"/>
              </w:tabs>
              <w:ind w:right="-170"/>
              <w:jc w:val="center"/>
              <w:rPr>
                <w:rFonts w:ascii="Arial" w:hAnsi="Arial" w:cs="Arial"/>
                <w:b/>
                <w:sz w:val="20"/>
              </w:rPr>
            </w:pPr>
          </w:p>
          <w:p w:rsidR="00375E3F" w:rsidRDefault="00375E3F" w:rsidP="00C767BD">
            <w:pPr>
              <w:tabs>
                <w:tab w:val="left" w:pos="300"/>
              </w:tabs>
              <w:ind w:right="-170"/>
              <w:jc w:val="center"/>
              <w:rPr>
                <w:rFonts w:ascii="Arial" w:hAnsi="Arial" w:cs="Arial"/>
                <w:b/>
                <w:sz w:val="20"/>
              </w:rPr>
            </w:pPr>
            <w:r>
              <w:rPr>
                <w:rFonts w:ascii="Arial" w:hAnsi="Arial" w:cs="Arial"/>
                <w:b/>
                <w:sz w:val="20"/>
              </w:rPr>
              <w:t xml:space="preserve">Retail Profit </w:t>
            </w:r>
          </w:p>
        </w:tc>
        <w:tc>
          <w:tcPr>
            <w:tcW w:w="1272" w:type="dxa"/>
            <w:tcBorders>
              <w:bottom w:val="single" w:sz="4" w:space="0" w:color="auto"/>
            </w:tcBorders>
          </w:tcPr>
          <w:p w:rsidR="00375E3F" w:rsidRDefault="00375E3F" w:rsidP="00C767BD">
            <w:pPr>
              <w:jc w:val="right"/>
              <w:rPr>
                <w:rFonts w:ascii="Arial" w:hAnsi="Arial" w:cs="Arial"/>
                <w:b/>
                <w:sz w:val="20"/>
              </w:rPr>
            </w:pPr>
          </w:p>
          <w:p w:rsidR="00375E3F" w:rsidRPr="001E29CA" w:rsidRDefault="00375E3F" w:rsidP="00C767BD">
            <w:pPr>
              <w:tabs>
                <w:tab w:val="left" w:pos="300"/>
              </w:tabs>
              <w:ind w:hanging="108"/>
              <w:jc w:val="right"/>
              <w:rPr>
                <w:rFonts w:ascii="Arial" w:hAnsi="Arial" w:cs="Arial"/>
                <w:b/>
                <w:sz w:val="20"/>
              </w:rPr>
            </w:pPr>
            <w:r>
              <w:rPr>
                <w:rFonts w:ascii="Arial" w:hAnsi="Arial" w:cs="Arial"/>
                <w:b/>
                <w:sz w:val="20"/>
              </w:rPr>
              <w:t>% Total</w:t>
            </w:r>
            <w:r w:rsidR="008822E1">
              <w:rPr>
                <w:rFonts w:ascii="Arial" w:hAnsi="Arial" w:cs="Arial"/>
                <w:b/>
                <w:sz w:val="20"/>
              </w:rPr>
              <w:t xml:space="preserve"> Change</w:t>
            </w:r>
          </w:p>
        </w:tc>
        <w:tc>
          <w:tcPr>
            <w:tcW w:w="1337" w:type="dxa"/>
            <w:tcBorders>
              <w:bottom w:val="single" w:sz="4" w:space="0" w:color="auto"/>
            </w:tcBorders>
          </w:tcPr>
          <w:p w:rsidR="00375E3F" w:rsidRDefault="00375E3F" w:rsidP="00C767BD">
            <w:pPr>
              <w:jc w:val="right"/>
              <w:rPr>
                <w:rFonts w:ascii="Arial" w:hAnsi="Arial" w:cs="Arial"/>
                <w:b/>
                <w:sz w:val="20"/>
              </w:rPr>
            </w:pPr>
          </w:p>
          <w:p w:rsidR="00375E3F" w:rsidRPr="001E29CA" w:rsidRDefault="00375E3F" w:rsidP="00C767BD">
            <w:pPr>
              <w:jc w:val="right"/>
              <w:rPr>
                <w:rFonts w:ascii="Arial" w:hAnsi="Arial" w:cs="Arial"/>
                <w:b/>
                <w:sz w:val="20"/>
              </w:rPr>
            </w:pPr>
            <w:r w:rsidRPr="001E29CA">
              <w:rPr>
                <w:rFonts w:ascii="Arial" w:hAnsi="Arial" w:cs="Arial"/>
                <w:b/>
                <w:sz w:val="20"/>
              </w:rPr>
              <w:t>% Total</w:t>
            </w:r>
            <w:r w:rsidR="008822E1">
              <w:rPr>
                <w:rFonts w:ascii="Arial" w:hAnsi="Arial" w:cs="Arial"/>
                <w:b/>
                <w:sz w:val="20"/>
              </w:rPr>
              <w:t xml:space="preserve"> Change</w:t>
            </w:r>
          </w:p>
        </w:tc>
      </w:tr>
      <w:tr w:rsidR="00375E3F" w:rsidRPr="001E29CA" w:rsidTr="00F51A65">
        <w:trPr>
          <w:trHeight w:val="567"/>
        </w:trPr>
        <w:tc>
          <w:tcPr>
            <w:tcW w:w="1424" w:type="dxa"/>
            <w:tcBorders>
              <w:top w:val="single" w:sz="4" w:space="0" w:color="auto"/>
              <w:bottom w:val="single" w:sz="4" w:space="0" w:color="auto"/>
            </w:tcBorders>
          </w:tcPr>
          <w:p w:rsidR="00375E3F" w:rsidRPr="001E29CA" w:rsidRDefault="00375E3F" w:rsidP="00C767BD">
            <w:pPr>
              <w:rPr>
                <w:rFonts w:ascii="Arial" w:hAnsi="Arial" w:cs="Arial"/>
                <w:sz w:val="20"/>
              </w:rPr>
            </w:pPr>
          </w:p>
        </w:tc>
        <w:tc>
          <w:tcPr>
            <w:tcW w:w="939" w:type="dxa"/>
            <w:tcBorders>
              <w:top w:val="single" w:sz="4" w:space="0" w:color="auto"/>
              <w:bottom w:val="single" w:sz="4" w:space="0" w:color="auto"/>
            </w:tcBorders>
          </w:tcPr>
          <w:p w:rsidR="00375E3F" w:rsidRDefault="00375E3F" w:rsidP="00C767BD">
            <w:pPr>
              <w:jc w:val="right"/>
              <w:rPr>
                <w:rFonts w:ascii="Arial" w:hAnsi="Arial" w:cs="Arial"/>
                <w:b/>
                <w:sz w:val="20"/>
              </w:rPr>
            </w:pPr>
            <w:r w:rsidRPr="001E29CA">
              <w:rPr>
                <w:rFonts w:ascii="Arial" w:hAnsi="Arial" w:cs="Arial"/>
                <w:b/>
                <w:sz w:val="20"/>
              </w:rPr>
              <w:t>20</w:t>
            </w:r>
            <w:r w:rsidR="006B072D">
              <w:rPr>
                <w:rFonts w:ascii="Arial" w:hAnsi="Arial" w:cs="Arial"/>
                <w:b/>
                <w:sz w:val="20"/>
              </w:rPr>
              <w:t>14</w:t>
            </w:r>
            <w:r w:rsidRPr="001E29CA">
              <w:rPr>
                <w:rFonts w:ascii="Arial" w:hAnsi="Arial" w:cs="Arial"/>
                <w:b/>
                <w:sz w:val="20"/>
              </w:rPr>
              <w:t>/</w:t>
            </w:r>
            <w:r w:rsidR="006B072D">
              <w:rPr>
                <w:rFonts w:ascii="Arial" w:hAnsi="Arial" w:cs="Arial"/>
                <w:b/>
                <w:sz w:val="20"/>
              </w:rPr>
              <w:t>15</w:t>
            </w:r>
          </w:p>
          <w:p w:rsidR="00375E3F" w:rsidRPr="001E29CA" w:rsidRDefault="00375E3F" w:rsidP="00C767BD">
            <w:pPr>
              <w:jc w:val="right"/>
              <w:rPr>
                <w:rFonts w:ascii="Arial" w:hAnsi="Arial" w:cs="Arial"/>
                <w:b/>
                <w:sz w:val="20"/>
              </w:rPr>
            </w:pPr>
            <w:r>
              <w:rPr>
                <w:rFonts w:ascii="Arial" w:hAnsi="Arial" w:cs="Arial"/>
                <w:b/>
                <w:sz w:val="20"/>
              </w:rPr>
              <w:t>£m</w:t>
            </w:r>
          </w:p>
        </w:tc>
        <w:tc>
          <w:tcPr>
            <w:tcW w:w="1228" w:type="dxa"/>
            <w:tcBorders>
              <w:top w:val="single" w:sz="4" w:space="0" w:color="auto"/>
              <w:bottom w:val="single" w:sz="4" w:space="0" w:color="auto"/>
            </w:tcBorders>
          </w:tcPr>
          <w:p w:rsidR="00375E3F" w:rsidRPr="001E29CA" w:rsidRDefault="008822E1" w:rsidP="008822E1">
            <w:pPr>
              <w:jc w:val="right"/>
              <w:rPr>
                <w:rFonts w:ascii="Arial" w:hAnsi="Arial" w:cs="Arial"/>
                <w:sz w:val="20"/>
              </w:rPr>
            </w:pPr>
            <w:r>
              <w:rPr>
                <w:rFonts w:ascii="Arial" w:hAnsi="Arial" w:cs="Arial"/>
                <w:b/>
                <w:sz w:val="20"/>
              </w:rPr>
              <w:t>Reported</w:t>
            </w:r>
          </w:p>
        </w:tc>
        <w:tc>
          <w:tcPr>
            <w:tcW w:w="1337" w:type="dxa"/>
            <w:tcBorders>
              <w:top w:val="single" w:sz="4" w:space="0" w:color="auto"/>
              <w:bottom w:val="single" w:sz="4" w:space="0" w:color="auto"/>
            </w:tcBorders>
          </w:tcPr>
          <w:p w:rsidR="00375E3F" w:rsidRPr="001E29CA" w:rsidRDefault="00375E3F" w:rsidP="00C767BD">
            <w:pPr>
              <w:jc w:val="right"/>
              <w:rPr>
                <w:rFonts w:ascii="Arial" w:hAnsi="Arial" w:cs="Arial"/>
                <w:b/>
                <w:sz w:val="20"/>
              </w:rPr>
            </w:pPr>
            <w:r>
              <w:rPr>
                <w:rFonts w:ascii="Arial" w:hAnsi="Arial" w:cs="Arial"/>
                <w:b/>
                <w:sz w:val="20"/>
              </w:rPr>
              <w:t>Constant currency</w:t>
            </w:r>
          </w:p>
        </w:tc>
        <w:tc>
          <w:tcPr>
            <w:tcW w:w="1337" w:type="dxa"/>
            <w:tcBorders>
              <w:top w:val="single" w:sz="4" w:space="0" w:color="auto"/>
              <w:bottom w:val="single" w:sz="4" w:space="0" w:color="auto"/>
            </w:tcBorders>
          </w:tcPr>
          <w:p w:rsidR="00375E3F" w:rsidRPr="001E29CA" w:rsidRDefault="008822E1" w:rsidP="00C767BD">
            <w:pPr>
              <w:jc w:val="right"/>
              <w:rPr>
                <w:rFonts w:ascii="Arial" w:hAnsi="Arial" w:cs="Arial"/>
                <w:b/>
                <w:sz w:val="20"/>
              </w:rPr>
            </w:pPr>
            <w:r>
              <w:rPr>
                <w:rFonts w:ascii="Arial" w:hAnsi="Arial" w:cs="Arial"/>
                <w:b/>
                <w:sz w:val="20"/>
              </w:rPr>
              <w:t>Constant currency</w:t>
            </w:r>
          </w:p>
        </w:tc>
        <w:tc>
          <w:tcPr>
            <w:tcW w:w="983" w:type="dxa"/>
            <w:tcBorders>
              <w:top w:val="single" w:sz="4" w:space="0" w:color="auto"/>
              <w:bottom w:val="single" w:sz="4" w:space="0" w:color="auto"/>
            </w:tcBorders>
          </w:tcPr>
          <w:p w:rsidR="00375E3F" w:rsidRPr="00343C2C" w:rsidRDefault="00375E3F" w:rsidP="00C767BD">
            <w:pPr>
              <w:jc w:val="right"/>
              <w:rPr>
                <w:rFonts w:ascii="Arial" w:hAnsi="Arial" w:cs="Arial"/>
                <w:b/>
                <w:sz w:val="20"/>
              </w:rPr>
            </w:pPr>
            <w:r w:rsidRPr="00343C2C">
              <w:rPr>
                <w:rFonts w:ascii="Arial" w:hAnsi="Arial" w:cs="Arial"/>
                <w:b/>
                <w:sz w:val="20"/>
              </w:rPr>
              <w:t>20</w:t>
            </w:r>
            <w:r w:rsidR="006B072D">
              <w:rPr>
                <w:rFonts w:ascii="Arial" w:hAnsi="Arial" w:cs="Arial"/>
                <w:b/>
                <w:sz w:val="20"/>
              </w:rPr>
              <w:t>14</w:t>
            </w:r>
            <w:r w:rsidRPr="00343C2C">
              <w:rPr>
                <w:rFonts w:ascii="Arial" w:hAnsi="Arial" w:cs="Arial"/>
                <w:b/>
                <w:sz w:val="20"/>
              </w:rPr>
              <w:t>/</w:t>
            </w:r>
            <w:r w:rsidR="006B072D">
              <w:rPr>
                <w:rFonts w:ascii="Arial" w:hAnsi="Arial" w:cs="Arial"/>
                <w:b/>
                <w:sz w:val="20"/>
              </w:rPr>
              <w:t>15</w:t>
            </w:r>
          </w:p>
          <w:p w:rsidR="00375E3F" w:rsidRPr="00343C2C" w:rsidRDefault="00375E3F" w:rsidP="00C767BD">
            <w:pPr>
              <w:jc w:val="right"/>
              <w:rPr>
                <w:rFonts w:ascii="Arial" w:hAnsi="Arial" w:cs="Arial"/>
                <w:b/>
                <w:sz w:val="20"/>
              </w:rPr>
            </w:pPr>
            <w:r>
              <w:rPr>
                <w:rFonts w:ascii="Arial" w:hAnsi="Arial" w:cs="Arial"/>
                <w:b/>
                <w:sz w:val="20"/>
              </w:rPr>
              <w:t xml:space="preserve">  </w:t>
            </w:r>
            <w:r w:rsidRPr="00343C2C">
              <w:rPr>
                <w:rFonts w:ascii="Arial" w:hAnsi="Arial" w:cs="Arial"/>
                <w:b/>
                <w:sz w:val="20"/>
              </w:rPr>
              <w:t>£m</w:t>
            </w:r>
          </w:p>
        </w:tc>
        <w:tc>
          <w:tcPr>
            <w:tcW w:w="1272" w:type="dxa"/>
            <w:tcBorders>
              <w:top w:val="single" w:sz="4" w:space="0" w:color="auto"/>
              <w:bottom w:val="single" w:sz="4" w:space="0" w:color="auto"/>
            </w:tcBorders>
          </w:tcPr>
          <w:p w:rsidR="00375E3F" w:rsidRPr="00343C2C" w:rsidRDefault="008822E1" w:rsidP="00C767BD">
            <w:pPr>
              <w:tabs>
                <w:tab w:val="left" w:pos="300"/>
              </w:tabs>
              <w:ind w:hanging="108"/>
              <w:jc w:val="right"/>
              <w:rPr>
                <w:rFonts w:ascii="Arial" w:hAnsi="Arial" w:cs="Arial"/>
                <w:b/>
                <w:sz w:val="20"/>
              </w:rPr>
            </w:pPr>
            <w:r>
              <w:rPr>
                <w:rFonts w:ascii="Arial" w:hAnsi="Arial" w:cs="Arial"/>
                <w:b/>
                <w:sz w:val="20"/>
              </w:rPr>
              <w:t xml:space="preserve"> Reported</w:t>
            </w:r>
          </w:p>
        </w:tc>
        <w:tc>
          <w:tcPr>
            <w:tcW w:w="1337" w:type="dxa"/>
            <w:tcBorders>
              <w:top w:val="single" w:sz="4" w:space="0" w:color="auto"/>
              <w:bottom w:val="single" w:sz="4" w:space="0" w:color="auto"/>
            </w:tcBorders>
          </w:tcPr>
          <w:p w:rsidR="00375E3F" w:rsidRPr="001E29CA" w:rsidRDefault="00375E3F" w:rsidP="00C767BD">
            <w:pPr>
              <w:jc w:val="right"/>
              <w:rPr>
                <w:rFonts w:ascii="Arial" w:hAnsi="Arial" w:cs="Arial"/>
                <w:b/>
                <w:sz w:val="20"/>
              </w:rPr>
            </w:pPr>
            <w:r>
              <w:rPr>
                <w:rFonts w:ascii="Arial" w:hAnsi="Arial" w:cs="Arial"/>
                <w:b/>
                <w:sz w:val="20"/>
              </w:rPr>
              <w:t>Constant currency</w:t>
            </w:r>
          </w:p>
        </w:tc>
      </w:tr>
      <w:tr w:rsidR="00F51A65" w:rsidRPr="00A33CE9" w:rsidTr="00CB5842">
        <w:trPr>
          <w:trHeight w:hRule="exact" w:val="312"/>
        </w:trPr>
        <w:tc>
          <w:tcPr>
            <w:tcW w:w="1424" w:type="dxa"/>
            <w:tcBorders>
              <w:top w:val="single" w:sz="4" w:space="0" w:color="auto"/>
            </w:tcBorders>
          </w:tcPr>
          <w:p w:rsidR="00F51A65" w:rsidRPr="00B36322" w:rsidRDefault="00F51A65" w:rsidP="00F51A65">
            <w:pPr>
              <w:rPr>
                <w:rFonts w:ascii="Arial" w:hAnsi="Arial" w:cs="Arial"/>
                <w:sz w:val="20"/>
              </w:rPr>
            </w:pPr>
            <w:r w:rsidRPr="00B36322">
              <w:rPr>
                <w:rFonts w:ascii="Arial" w:hAnsi="Arial" w:cs="Arial"/>
                <w:sz w:val="20"/>
              </w:rPr>
              <w:t xml:space="preserve">France </w:t>
            </w:r>
          </w:p>
        </w:tc>
        <w:tc>
          <w:tcPr>
            <w:tcW w:w="939" w:type="dxa"/>
            <w:tcBorders>
              <w:top w:val="single" w:sz="4" w:space="0" w:color="auto"/>
            </w:tcBorders>
          </w:tcPr>
          <w:p w:rsidR="00F51A65" w:rsidRPr="00B36322" w:rsidRDefault="00F51A65" w:rsidP="00F51A65">
            <w:pPr>
              <w:jc w:val="right"/>
              <w:rPr>
                <w:rFonts w:ascii="Arial" w:hAnsi="Arial" w:cs="Arial"/>
                <w:sz w:val="20"/>
              </w:rPr>
            </w:pPr>
            <w:r>
              <w:rPr>
                <w:rFonts w:ascii="Arial" w:hAnsi="Arial" w:cs="Arial"/>
                <w:sz w:val="20"/>
              </w:rPr>
              <w:t>1,128</w:t>
            </w:r>
          </w:p>
        </w:tc>
        <w:tc>
          <w:tcPr>
            <w:tcW w:w="1228" w:type="dxa"/>
            <w:tcBorders>
              <w:top w:val="single" w:sz="4" w:space="0" w:color="auto"/>
            </w:tcBorders>
          </w:tcPr>
          <w:p w:rsidR="00F51A65" w:rsidRPr="00B36322" w:rsidRDefault="00F51A65" w:rsidP="00F51A65">
            <w:pPr>
              <w:jc w:val="right"/>
              <w:rPr>
                <w:rFonts w:ascii="Arial" w:hAnsi="Arial" w:cs="Arial"/>
                <w:sz w:val="20"/>
              </w:rPr>
            </w:pPr>
            <w:r>
              <w:rPr>
                <w:rFonts w:ascii="Arial" w:hAnsi="Arial" w:cs="Arial"/>
                <w:sz w:val="20"/>
              </w:rPr>
              <w:t>(8.0)%</w:t>
            </w:r>
          </w:p>
        </w:tc>
        <w:tc>
          <w:tcPr>
            <w:tcW w:w="1337" w:type="dxa"/>
            <w:tcBorders>
              <w:top w:val="single" w:sz="4" w:space="0" w:color="auto"/>
            </w:tcBorders>
          </w:tcPr>
          <w:p w:rsidR="00F51A65" w:rsidRPr="00B36322" w:rsidRDefault="00F51A65" w:rsidP="00F51A65">
            <w:pPr>
              <w:jc w:val="right"/>
              <w:rPr>
                <w:rFonts w:ascii="Arial" w:hAnsi="Arial" w:cs="Arial"/>
                <w:sz w:val="20"/>
              </w:rPr>
            </w:pPr>
            <w:r>
              <w:rPr>
                <w:rFonts w:ascii="Arial" w:hAnsi="Arial" w:cs="Arial"/>
                <w:sz w:val="20"/>
              </w:rPr>
              <w:t>(2.2)%</w:t>
            </w:r>
          </w:p>
        </w:tc>
        <w:tc>
          <w:tcPr>
            <w:tcW w:w="1337" w:type="dxa"/>
            <w:tcBorders>
              <w:top w:val="single" w:sz="4" w:space="0" w:color="auto"/>
            </w:tcBorders>
          </w:tcPr>
          <w:p w:rsidR="00F51A65" w:rsidRPr="00B36322" w:rsidRDefault="00F51A65" w:rsidP="00F51A65">
            <w:pPr>
              <w:jc w:val="right"/>
              <w:rPr>
                <w:rFonts w:ascii="Arial" w:hAnsi="Arial" w:cs="Arial"/>
                <w:sz w:val="20"/>
              </w:rPr>
            </w:pPr>
            <w:r>
              <w:rPr>
                <w:rFonts w:ascii="Arial" w:hAnsi="Arial" w:cs="Arial"/>
                <w:sz w:val="20"/>
              </w:rPr>
              <w:t>(3.0)%</w:t>
            </w:r>
          </w:p>
        </w:tc>
        <w:tc>
          <w:tcPr>
            <w:tcW w:w="983" w:type="dxa"/>
            <w:tcBorders>
              <w:top w:val="single" w:sz="4" w:space="0" w:color="auto"/>
            </w:tcBorders>
          </w:tcPr>
          <w:p w:rsidR="00F51A65" w:rsidRPr="00B36322" w:rsidRDefault="00F51A65" w:rsidP="00F51A65">
            <w:pPr>
              <w:jc w:val="right"/>
              <w:rPr>
                <w:rFonts w:ascii="Arial" w:hAnsi="Arial" w:cs="Arial"/>
                <w:sz w:val="20"/>
              </w:rPr>
            </w:pPr>
            <w:r>
              <w:rPr>
                <w:rFonts w:ascii="Arial" w:hAnsi="Arial" w:cs="Arial"/>
                <w:sz w:val="20"/>
              </w:rPr>
              <w:t>11</w:t>
            </w:r>
            <w:r w:rsidR="003803F8">
              <w:rPr>
                <w:rFonts w:ascii="Arial" w:hAnsi="Arial" w:cs="Arial"/>
                <w:sz w:val="20"/>
              </w:rPr>
              <w:t>2</w:t>
            </w:r>
          </w:p>
        </w:tc>
        <w:tc>
          <w:tcPr>
            <w:tcW w:w="1272" w:type="dxa"/>
            <w:tcBorders>
              <w:top w:val="single" w:sz="4" w:space="0" w:color="auto"/>
            </w:tcBorders>
            <w:shd w:val="clear" w:color="auto" w:fill="auto"/>
          </w:tcPr>
          <w:p w:rsidR="00F51A65" w:rsidRPr="00B36322" w:rsidRDefault="001E5B9D" w:rsidP="00F51A65">
            <w:pPr>
              <w:jc w:val="right"/>
              <w:rPr>
                <w:rFonts w:ascii="Arial" w:hAnsi="Arial" w:cs="Arial"/>
                <w:sz w:val="20"/>
              </w:rPr>
            </w:pPr>
            <w:r>
              <w:rPr>
                <w:rFonts w:ascii="Arial" w:hAnsi="Arial" w:cs="Arial"/>
                <w:sz w:val="20"/>
              </w:rPr>
              <w:t>(1</w:t>
            </w:r>
            <w:r w:rsidR="003803F8">
              <w:rPr>
                <w:rFonts w:ascii="Arial" w:hAnsi="Arial" w:cs="Arial"/>
                <w:sz w:val="20"/>
              </w:rPr>
              <w:t>0.6</w:t>
            </w:r>
            <w:r w:rsidR="00F51A65">
              <w:rPr>
                <w:rFonts w:ascii="Arial" w:hAnsi="Arial" w:cs="Arial"/>
                <w:sz w:val="20"/>
              </w:rPr>
              <w:t>)%</w:t>
            </w:r>
          </w:p>
        </w:tc>
        <w:tc>
          <w:tcPr>
            <w:tcW w:w="1337" w:type="dxa"/>
            <w:tcBorders>
              <w:top w:val="single" w:sz="4" w:space="0" w:color="auto"/>
            </w:tcBorders>
          </w:tcPr>
          <w:p w:rsidR="00F51A65" w:rsidRPr="00B36322" w:rsidRDefault="001E5B9D" w:rsidP="00F51A65">
            <w:pPr>
              <w:jc w:val="right"/>
              <w:rPr>
                <w:rFonts w:ascii="Arial" w:hAnsi="Arial" w:cs="Arial"/>
                <w:sz w:val="20"/>
              </w:rPr>
            </w:pPr>
            <w:r>
              <w:rPr>
                <w:rFonts w:ascii="Arial" w:hAnsi="Arial" w:cs="Arial"/>
                <w:sz w:val="20"/>
              </w:rPr>
              <w:t>(5.</w:t>
            </w:r>
            <w:r w:rsidR="003803F8">
              <w:rPr>
                <w:rFonts w:ascii="Arial" w:hAnsi="Arial" w:cs="Arial"/>
                <w:sz w:val="20"/>
              </w:rPr>
              <w:t>3</w:t>
            </w:r>
            <w:r w:rsidR="00F51A65">
              <w:rPr>
                <w:rFonts w:ascii="Arial" w:hAnsi="Arial" w:cs="Arial"/>
                <w:sz w:val="20"/>
              </w:rPr>
              <w:t>)%</w:t>
            </w:r>
          </w:p>
        </w:tc>
      </w:tr>
      <w:tr w:rsidR="00F51A65" w:rsidRPr="001E29CA" w:rsidTr="00F51A65">
        <w:trPr>
          <w:trHeight w:hRule="exact" w:val="312"/>
        </w:trPr>
        <w:tc>
          <w:tcPr>
            <w:tcW w:w="1424" w:type="dxa"/>
          </w:tcPr>
          <w:p w:rsidR="00F51A65" w:rsidRPr="00B36322" w:rsidRDefault="00F51A65" w:rsidP="00F51A65">
            <w:pPr>
              <w:jc w:val="left"/>
              <w:rPr>
                <w:rFonts w:ascii="Arial" w:hAnsi="Arial" w:cs="Arial"/>
                <w:sz w:val="20"/>
              </w:rPr>
            </w:pPr>
            <w:r w:rsidRPr="00B36322">
              <w:rPr>
                <w:rFonts w:ascii="Arial" w:hAnsi="Arial" w:cs="Arial"/>
                <w:sz w:val="20"/>
              </w:rPr>
              <w:t>UK &amp; Ireland</w:t>
            </w:r>
          </w:p>
        </w:tc>
        <w:tc>
          <w:tcPr>
            <w:tcW w:w="939" w:type="dxa"/>
          </w:tcPr>
          <w:p w:rsidR="00F51A65" w:rsidRPr="00B36322" w:rsidRDefault="00F51A65" w:rsidP="00F51A65">
            <w:pPr>
              <w:jc w:val="right"/>
              <w:rPr>
                <w:rFonts w:ascii="Arial" w:hAnsi="Arial" w:cs="Arial"/>
                <w:sz w:val="20"/>
              </w:rPr>
            </w:pPr>
            <w:r>
              <w:rPr>
                <w:rFonts w:ascii="Arial" w:hAnsi="Arial" w:cs="Arial"/>
                <w:sz w:val="20"/>
              </w:rPr>
              <w:t>1,219</w:t>
            </w:r>
          </w:p>
        </w:tc>
        <w:tc>
          <w:tcPr>
            <w:tcW w:w="1228" w:type="dxa"/>
          </w:tcPr>
          <w:p w:rsidR="00F51A65" w:rsidRPr="00B36322" w:rsidRDefault="00F51A65" w:rsidP="00F51A65">
            <w:pPr>
              <w:jc w:val="right"/>
              <w:rPr>
                <w:rFonts w:ascii="Arial" w:hAnsi="Arial" w:cs="Arial"/>
                <w:sz w:val="20"/>
              </w:rPr>
            </w:pPr>
            <w:r>
              <w:rPr>
                <w:rFonts w:ascii="Arial" w:hAnsi="Arial" w:cs="Arial"/>
                <w:sz w:val="20"/>
              </w:rPr>
              <w:t>+1.4%</w:t>
            </w:r>
          </w:p>
        </w:tc>
        <w:tc>
          <w:tcPr>
            <w:tcW w:w="1337" w:type="dxa"/>
          </w:tcPr>
          <w:p w:rsidR="00F51A65" w:rsidRPr="00B36322" w:rsidRDefault="00F51A65" w:rsidP="00F51A65">
            <w:pPr>
              <w:jc w:val="right"/>
              <w:rPr>
                <w:rFonts w:ascii="Arial" w:hAnsi="Arial" w:cs="Arial"/>
                <w:sz w:val="20"/>
              </w:rPr>
            </w:pPr>
            <w:r>
              <w:rPr>
                <w:rFonts w:ascii="Arial" w:hAnsi="Arial" w:cs="Arial"/>
                <w:sz w:val="20"/>
              </w:rPr>
              <w:t>+1.5%</w:t>
            </w:r>
          </w:p>
        </w:tc>
        <w:tc>
          <w:tcPr>
            <w:tcW w:w="1337" w:type="dxa"/>
          </w:tcPr>
          <w:p w:rsidR="00F51A65" w:rsidRPr="00B36322" w:rsidRDefault="00F51A65" w:rsidP="00F51A65">
            <w:pPr>
              <w:jc w:val="right"/>
              <w:rPr>
                <w:rFonts w:ascii="Arial" w:hAnsi="Arial" w:cs="Arial"/>
                <w:sz w:val="20"/>
              </w:rPr>
            </w:pPr>
            <w:r>
              <w:rPr>
                <w:rFonts w:ascii="Arial" w:hAnsi="Arial" w:cs="Arial"/>
                <w:sz w:val="20"/>
              </w:rPr>
              <w:t>(0.6)%</w:t>
            </w:r>
          </w:p>
        </w:tc>
        <w:tc>
          <w:tcPr>
            <w:tcW w:w="983" w:type="dxa"/>
          </w:tcPr>
          <w:p w:rsidR="00F51A65" w:rsidRPr="00B36322" w:rsidRDefault="00F51A65" w:rsidP="00F51A65">
            <w:pPr>
              <w:jc w:val="right"/>
              <w:rPr>
                <w:rFonts w:ascii="Arial" w:hAnsi="Arial" w:cs="Arial"/>
                <w:sz w:val="20"/>
              </w:rPr>
            </w:pPr>
            <w:r>
              <w:rPr>
                <w:rFonts w:ascii="Arial" w:hAnsi="Arial" w:cs="Arial"/>
                <w:sz w:val="20"/>
              </w:rPr>
              <w:t>98</w:t>
            </w:r>
          </w:p>
        </w:tc>
        <w:tc>
          <w:tcPr>
            <w:tcW w:w="1272" w:type="dxa"/>
          </w:tcPr>
          <w:p w:rsidR="00F51A65" w:rsidRPr="00B36322" w:rsidRDefault="00F51A65" w:rsidP="00F51A65">
            <w:pPr>
              <w:jc w:val="right"/>
              <w:rPr>
                <w:rFonts w:ascii="Arial" w:hAnsi="Arial" w:cs="Arial"/>
                <w:sz w:val="20"/>
              </w:rPr>
            </w:pPr>
            <w:r>
              <w:rPr>
                <w:rFonts w:ascii="Arial" w:hAnsi="Arial" w:cs="Arial"/>
                <w:sz w:val="20"/>
              </w:rPr>
              <w:t>+8.1%</w:t>
            </w:r>
          </w:p>
        </w:tc>
        <w:tc>
          <w:tcPr>
            <w:tcW w:w="1337" w:type="dxa"/>
          </w:tcPr>
          <w:p w:rsidR="00F51A65" w:rsidRPr="00B36322" w:rsidRDefault="00F51A65" w:rsidP="00F51A65">
            <w:pPr>
              <w:jc w:val="right"/>
              <w:rPr>
                <w:rFonts w:ascii="Arial" w:hAnsi="Arial" w:cs="Arial"/>
                <w:sz w:val="20"/>
              </w:rPr>
            </w:pPr>
            <w:r>
              <w:rPr>
                <w:rFonts w:ascii="Arial" w:hAnsi="Arial" w:cs="Arial"/>
                <w:sz w:val="20"/>
              </w:rPr>
              <w:t>+8.1%</w:t>
            </w:r>
          </w:p>
        </w:tc>
      </w:tr>
      <w:tr w:rsidR="00F51A65" w:rsidRPr="00196BEF" w:rsidTr="00F51A65">
        <w:trPr>
          <w:trHeight w:hRule="exact" w:val="544"/>
        </w:trPr>
        <w:tc>
          <w:tcPr>
            <w:tcW w:w="1424" w:type="dxa"/>
            <w:tcBorders>
              <w:bottom w:val="single" w:sz="4" w:space="0" w:color="auto"/>
            </w:tcBorders>
          </w:tcPr>
          <w:p w:rsidR="00F51A65" w:rsidRPr="00B36322" w:rsidRDefault="00F51A65" w:rsidP="00F51A65">
            <w:pPr>
              <w:jc w:val="left"/>
              <w:rPr>
                <w:rFonts w:ascii="Arial" w:hAnsi="Arial" w:cs="Arial"/>
                <w:sz w:val="20"/>
              </w:rPr>
            </w:pPr>
            <w:r w:rsidRPr="00B36322">
              <w:rPr>
                <w:rFonts w:ascii="Arial" w:hAnsi="Arial" w:cs="Arial"/>
                <w:sz w:val="20"/>
              </w:rPr>
              <w:t xml:space="preserve">Other International </w:t>
            </w:r>
          </w:p>
        </w:tc>
        <w:tc>
          <w:tcPr>
            <w:tcW w:w="939" w:type="dxa"/>
            <w:tcBorders>
              <w:bottom w:val="single" w:sz="4" w:space="0" w:color="auto"/>
            </w:tcBorders>
            <w:vAlign w:val="center"/>
          </w:tcPr>
          <w:p w:rsidR="00F51A65" w:rsidRPr="00B36322" w:rsidRDefault="00F51A65" w:rsidP="00F51A65">
            <w:pPr>
              <w:jc w:val="right"/>
              <w:rPr>
                <w:rFonts w:ascii="Arial" w:hAnsi="Arial" w:cs="Arial"/>
                <w:sz w:val="20"/>
              </w:rPr>
            </w:pPr>
            <w:r>
              <w:rPr>
                <w:rFonts w:ascii="Arial" w:hAnsi="Arial" w:cs="Arial"/>
                <w:sz w:val="20"/>
              </w:rPr>
              <w:t>638</w:t>
            </w:r>
          </w:p>
        </w:tc>
        <w:tc>
          <w:tcPr>
            <w:tcW w:w="1228" w:type="dxa"/>
            <w:tcBorders>
              <w:bottom w:val="single" w:sz="4" w:space="0" w:color="auto"/>
            </w:tcBorders>
            <w:vAlign w:val="center"/>
          </w:tcPr>
          <w:p w:rsidR="00F51A65" w:rsidRPr="00B36322" w:rsidRDefault="00F51A65" w:rsidP="00F51A65">
            <w:pPr>
              <w:jc w:val="right"/>
              <w:rPr>
                <w:rFonts w:ascii="Arial" w:hAnsi="Arial" w:cs="Arial"/>
                <w:sz w:val="20"/>
              </w:rPr>
            </w:pPr>
            <w:r>
              <w:rPr>
                <w:rFonts w:ascii="Arial" w:hAnsi="Arial" w:cs="Arial"/>
                <w:sz w:val="20"/>
              </w:rPr>
              <w:t>(4.1)%</w:t>
            </w:r>
          </w:p>
        </w:tc>
        <w:tc>
          <w:tcPr>
            <w:tcW w:w="1337" w:type="dxa"/>
            <w:tcBorders>
              <w:bottom w:val="single" w:sz="4" w:space="0" w:color="auto"/>
            </w:tcBorders>
            <w:vAlign w:val="center"/>
          </w:tcPr>
          <w:p w:rsidR="00F51A65" w:rsidRPr="00B36322" w:rsidRDefault="00F51A65" w:rsidP="00F51A65">
            <w:pPr>
              <w:jc w:val="right"/>
              <w:rPr>
                <w:rFonts w:ascii="Arial" w:hAnsi="Arial" w:cs="Arial"/>
                <w:sz w:val="20"/>
              </w:rPr>
            </w:pPr>
            <w:r>
              <w:rPr>
                <w:rFonts w:ascii="Arial" w:hAnsi="Arial" w:cs="Arial"/>
                <w:sz w:val="20"/>
              </w:rPr>
              <w:t>+4.2%</w:t>
            </w:r>
          </w:p>
        </w:tc>
        <w:tc>
          <w:tcPr>
            <w:tcW w:w="1337" w:type="dxa"/>
            <w:tcBorders>
              <w:bottom w:val="single" w:sz="4" w:space="0" w:color="auto"/>
            </w:tcBorders>
            <w:vAlign w:val="center"/>
          </w:tcPr>
          <w:p w:rsidR="00F51A65" w:rsidRPr="00B36322" w:rsidRDefault="00F51A65" w:rsidP="00F51A65">
            <w:pPr>
              <w:jc w:val="right"/>
              <w:rPr>
                <w:rFonts w:ascii="Arial" w:hAnsi="Arial" w:cs="Arial"/>
                <w:sz w:val="20"/>
              </w:rPr>
            </w:pPr>
            <w:r>
              <w:rPr>
                <w:rFonts w:ascii="Arial" w:hAnsi="Arial" w:cs="Arial"/>
                <w:sz w:val="20"/>
              </w:rPr>
              <w:t>(2.2)%</w:t>
            </w:r>
          </w:p>
        </w:tc>
        <w:tc>
          <w:tcPr>
            <w:tcW w:w="983" w:type="dxa"/>
            <w:tcBorders>
              <w:bottom w:val="single" w:sz="4" w:space="0" w:color="auto"/>
            </w:tcBorders>
            <w:vAlign w:val="center"/>
          </w:tcPr>
          <w:p w:rsidR="00F51A65" w:rsidRPr="00B36322" w:rsidRDefault="00F51A65" w:rsidP="00F51A65">
            <w:pPr>
              <w:jc w:val="right"/>
              <w:rPr>
                <w:rFonts w:ascii="Arial" w:hAnsi="Arial" w:cs="Arial"/>
                <w:sz w:val="20"/>
              </w:rPr>
            </w:pPr>
            <w:r>
              <w:rPr>
                <w:rFonts w:ascii="Arial" w:hAnsi="Arial" w:cs="Arial"/>
                <w:sz w:val="20"/>
              </w:rPr>
              <w:t>3</w:t>
            </w:r>
            <w:r w:rsidR="003803F8">
              <w:rPr>
                <w:rFonts w:ascii="Arial" w:hAnsi="Arial" w:cs="Arial"/>
                <w:sz w:val="20"/>
              </w:rPr>
              <w:t>8</w:t>
            </w:r>
          </w:p>
        </w:tc>
        <w:tc>
          <w:tcPr>
            <w:tcW w:w="1272" w:type="dxa"/>
            <w:tcBorders>
              <w:bottom w:val="single" w:sz="4" w:space="0" w:color="auto"/>
            </w:tcBorders>
            <w:vAlign w:val="center"/>
          </w:tcPr>
          <w:p w:rsidR="00F51A65" w:rsidRPr="00B36322" w:rsidRDefault="001E5B9D" w:rsidP="00CB5842">
            <w:pPr>
              <w:jc w:val="right"/>
              <w:rPr>
                <w:rFonts w:ascii="Arial" w:hAnsi="Arial" w:cs="Arial"/>
                <w:sz w:val="20"/>
              </w:rPr>
            </w:pPr>
            <w:r>
              <w:rPr>
                <w:rFonts w:ascii="Arial" w:hAnsi="Arial" w:cs="Arial"/>
                <w:sz w:val="20"/>
              </w:rPr>
              <w:t>(</w:t>
            </w:r>
            <w:r w:rsidR="003803F8">
              <w:rPr>
                <w:rFonts w:ascii="Arial" w:hAnsi="Arial" w:cs="Arial"/>
                <w:sz w:val="20"/>
              </w:rPr>
              <w:t>30.4</w:t>
            </w:r>
            <w:r w:rsidR="00F51A65">
              <w:rPr>
                <w:rFonts w:ascii="Arial" w:hAnsi="Arial" w:cs="Arial"/>
                <w:sz w:val="20"/>
              </w:rPr>
              <w:t>)%</w:t>
            </w:r>
          </w:p>
        </w:tc>
        <w:tc>
          <w:tcPr>
            <w:tcW w:w="1337" w:type="dxa"/>
            <w:tcBorders>
              <w:bottom w:val="single" w:sz="4" w:space="0" w:color="auto"/>
            </w:tcBorders>
            <w:vAlign w:val="center"/>
          </w:tcPr>
          <w:p w:rsidR="00F51A65" w:rsidRPr="00B36322" w:rsidRDefault="00F51A65" w:rsidP="00F51A65">
            <w:pPr>
              <w:jc w:val="right"/>
              <w:rPr>
                <w:rFonts w:ascii="Arial" w:hAnsi="Arial" w:cs="Arial"/>
                <w:sz w:val="20"/>
              </w:rPr>
            </w:pPr>
            <w:r>
              <w:rPr>
                <w:rFonts w:ascii="Arial" w:hAnsi="Arial" w:cs="Arial"/>
                <w:sz w:val="20"/>
              </w:rPr>
              <w:t>(</w:t>
            </w:r>
            <w:r w:rsidR="001E5B9D">
              <w:rPr>
                <w:rFonts w:ascii="Arial" w:hAnsi="Arial" w:cs="Arial"/>
                <w:sz w:val="20"/>
              </w:rPr>
              <w:t>2</w:t>
            </w:r>
            <w:r w:rsidR="003803F8">
              <w:rPr>
                <w:rFonts w:ascii="Arial" w:hAnsi="Arial" w:cs="Arial"/>
                <w:sz w:val="20"/>
              </w:rPr>
              <w:t>4.6</w:t>
            </w:r>
            <w:r>
              <w:rPr>
                <w:rFonts w:ascii="Arial" w:hAnsi="Arial" w:cs="Arial"/>
                <w:sz w:val="20"/>
              </w:rPr>
              <w:t>)%</w:t>
            </w:r>
          </w:p>
        </w:tc>
      </w:tr>
      <w:tr w:rsidR="00F51A65" w:rsidRPr="001E29CA" w:rsidTr="00F51A65">
        <w:trPr>
          <w:trHeight w:hRule="exact" w:val="312"/>
        </w:trPr>
        <w:tc>
          <w:tcPr>
            <w:tcW w:w="1424" w:type="dxa"/>
            <w:tcBorders>
              <w:top w:val="single" w:sz="4" w:space="0" w:color="auto"/>
              <w:bottom w:val="single" w:sz="4" w:space="0" w:color="auto"/>
            </w:tcBorders>
          </w:tcPr>
          <w:p w:rsidR="00F51A65" w:rsidRPr="00B36322" w:rsidRDefault="00F51A65" w:rsidP="00F51A65">
            <w:pPr>
              <w:rPr>
                <w:rFonts w:ascii="Arial" w:hAnsi="Arial" w:cs="Arial"/>
                <w:b/>
                <w:sz w:val="20"/>
              </w:rPr>
            </w:pPr>
            <w:r w:rsidRPr="00B36322">
              <w:rPr>
                <w:rFonts w:ascii="Arial" w:hAnsi="Arial" w:cs="Arial"/>
                <w:b/>
                <w:sz w:val="20"/>
              </w:rPr>
              <w:t>Total Group</w:t>
            </w:r>
          </w:p>
        </w:tc>
        <w:tc>
          <w:tcPr>
            <w:tcW w:w="939" w:type="dxa"/>
            <w:tcBorders>
              <w:top w:val="single" w:sz="4" w:space="0" w:color="auto"/>
              <w:bottom w:val="single" w:sz="4" w:space="0" w:color="auto"/>
            </w:tcBorders>
          </w:tcPr>
          <w:p w:rsidR="00F51A65" w:rsidRPr="00B36322" w:rsidRDefault="00F51A65" w:rsidP="00F51A65">
            <w:pPr>
              <w:jc w:val="right"/>
              <w:rPr>
                <w:rFonts w:ascii="Arial" w:hAnsi="Arial" w:cs="Arial"/>
                <w:b/>
                <w:sz w:val="20"/>
              </w:rPr>
            </w:pPr>
            <w:r>
              <w:rPr>
                <w:rFonts w:ascii="Arial" w:hAnsi="Arial" w:cs="Arial"/>
                <w:b/>
                <w:sz w:val="20"/>
              </w:rPr>
              <w:t>2,985</w:t>
            </w:r>
          </w:p>
        </w:tc>
        <w:tc>
          <w:tcPr>
            <w:tcW w:w="1228" w:type="dxa"/>
            <w:tcBorders>
              <w:top w:val="single" w:sz="4" w:space="0" w:color="auto"/>
              <w:bottom w:val="single" w:sz="4" w:space="0" w:color="auto"/>
            </w:tcBorders>
          </w:tcPr>
          <w:p w:rsidR="00F51A65" w:rsidRPr="00B36322" w:rsidRDefault="00F51A65" w:rsidP="00F51A65">
            <w:pPr>
              <w:jc w:val="right"/>
              <w:rPr>
                <w:rFonts w:ascii="Arial" w:hAnsi="Arial" w:cs="Arial"/>
                <w:b/>
                <w:sz w:val="20"/>
              </w:rPr>
            </w:pPr>
            <w:r>
              <w:rPr>
                <w:rFonts w:ascii="Arial" w:hAnsi="Arial" w:cs="Arial"/>
                <w:b/>
                <w:sz w:val="20"/>
              </w:rPr>
              <w:t>(3.5)%</w:t>
            </w:r>
          </w:p>
        </w:tc>
        <w:tc>
          <w:tcPr>
            <w:tcW w:w="1337" w:type="dxa"/>
            <w:tcBorders>
              <w:top w:val="single" w:sz="4" w:space="0" w:color="auto"/>
              <w:bottom w:val="single" w:sz="4" w:space="0" w:color="auto"/>
            </w:tcBorders>
          </w:tcPr>
          <w:p w:rsidR="00F51A65" w:rsidRPr="00B36322" w:rsidRDefault="00F51A65" w:rsidP="00F51A65">
            <w:pPr>
              <w:jc w:val="right"/>
              <w:rPr>
                <w:rFonts w:ascii="Arial" w:hAnsi="Arial" w:cs="Arial"/>
                <w:b/>
                <w:sz w:val="20"/>
              </w:rPr>
            </w:pPr>
            <w:r>
              <w:rPr>
                <w:rFonts w:ascii="Arial" w:hAnsi="Arial" w:cs="Arial"/>
                <w:b/>
                <w:sz w:val="20"/>
              </w:rPr>
              <w:t>+0.6%</w:t>
            </w:r>
          </w:p>
        </w:tc>
        <w:tc>
          <w:tcPr>
            <w:tcW w:w="1337" w:type="dxa"/>
            <w:tcBorders>
              <w:top w:val="single" w:sz="4" w:space="0" w:color="auto"/>
              <w:bottom w:val="single" w:sz="4" w:space="0" w:color="auto"/>
            </w:tcBorders>
          </w:tcPr>
          <w:p w:rsidR="00F51A65" w:rsidRPr="00B36322" w:rsidRDefault="001E5B9D" w:rsidP="00F51A65">
            <w:pPr>
              <w:jc w:val="right"/>
              <w:rPr>
                <w:rFonts w:ascii="Arial" w:hAnsi="Arial" w:cs="Arial"/>
                <w:b/>
                <w:sz w:val="20"/>
              </w:rPr>
            </w:pPr>
            <w:r>
              <w:rPr>
                <w:rFonts w:ascii="Arial" w:hAnsi="Arial" w:cs="Arial"/>
                <w:b/>
                <w:sz w:val="20"/>
              </w:rPr>
              <w:t>(1.8</w:t>
            </w:r>
            <w:r w:rsidR="00F51A65">
              <w:rPr>
                <w:rFonts w:ascii="Arial" w:hAnsi="Arial" w:cs="Arial"/>
                <w:b/>
                <w:sz w:val="20"/>
              </w:rPr>
              <w:t>)%</w:t>
            </w:r>
          </w:p>
        </w:tc>
        <w:tc>
          <w:tcPr>
            <w:tcW w:w="983" w:type="dxa"/>
            <w:tcBorders>
              <w:top w:val="single" w:sz="4" w:space="0" w:color="auto"/>
              <w:bottom w:val="single" w:sz="4" w:space="0" w:color="auto"/>
            </w:tcBorders>
          </w:tcPr>
          <w:p w:rsidR="00F51A65" w:rsidRPr="00B36322" w:rsidRDefault="00F51A65" w:rsidP="00F51A65">
            <w:pPr>
              <w:jc w:val="right"/>
              <w:rPr>
                <w:rFonts w:ascii="Arial" w:hAnsi="Arial" w:cs="Arial"/>
                <w:b/>
                <w:sz w:val="20"/>
              </w:rPr>
            </w:pPr>
            <w:r>
              <w:rPr>
                <w:rFonts w:ascii="Arial" w:hAnsi="Arial" w:cs="Arial"/>
                <w:b/>
                <w:sz w:val="20"/>
              </w:rPr>
              <w:t>24</w:t>
            </w:r>
            <w:r w:rsidR="001E5B9D">
              <w:rPr>
                <w:rFonts w:ascii="Arial" w:hAnsi="Arial" w:cs="Arial"/>
                <w:b/>
                <w:sz w:val="20"/>
              </w:rPr>
              <w:t>8</w:t>
            </w:r>
          </w:p>
        </w:tc>
        <w:tc>
          <w:tcPr>
            <w:tcW w:w="1272" w:type="dxa"/>
            <w:tcBorders>
              <w:top w:val="single" w:sz="4" w:space="0" w:color="auto"/>
              <w:bottom w:val="single" w:sz="4" w:space="0" w:color="auto"/>
            </w:tcBorders>
          </w:tcPr>
          <w:p w:rsidR="00F51A65" w:rsidRPr="00B36322" w:rsidRDefault="001E5B9D" w:rsidP="00F51A65">
            <w:pPr>
              <w:jc w:val="right"/>
              <w:rPr>
                <w:rFonts w:ascii="Arial" w:hAnsi="Arial" w:cs="Arial"/>
                <w:b/>
                <w:sz w:val="20"/>
              </w:rPr>
            </w:pPr>
            <w:r>
              <w:rPr>
                <w:rFonts w:ascii="Arial" w:hAnsi="Arial" w:cs="Arial"/>
                <w:b/>
                <w:sz w:val="20"/>
              </w:rPr>
              <w:t>(8.</w:t>
            </w:r>
            <w:r w:rsidR="009B1ADF">
              <w:rPr>
                <w:rFonts w:ascii="Arial" w:hAnsi="Arial" w:cs="Arial"/>
                <w:b/>
                <w:sz w:val="20"/>
              </w:rPr>
              <w:t>3</w:t>
            </w:r>
            <w:r w:rsidR="00F51A65">
              <w:rPr>
                <w:rFonts w:ascii="Arial" w:hAnsi="Arial" w:cs="Arial"/>
                <w:b/>
                <w:sz w:val="20"/>
              </w:rPr>
              <w:t>)%</w:t>
            </w:r>
          </w:p>
        </w:tc>
        <w:tc>
          <w:tcPr>
            <w:tcW w:w="1337" w:type="dxa"/>
            <w:tcBorders>
              <w:top w:val="single" w:sz="4" w:space="0" w:color="auto"/>
              <w:bottom w:val="single" w:sz="4" w:space="0" w:color="auto"/>
            </w:tcBorders>
          </w:tcPr>
          <w:p w:rsidR="00F51A65" w:rsidRPr="00B36322" w:rsidRDefault="001E5B9D" w:rsidP="00F51A65">
            <w:pPr>
              <w:jc w:val="right"/>
              <w:rPr>
                <w:rFonts w:ascii="Arial" w:hAnsi="Arial" w:cs="Arial"/>
                <w:b/>
                <w:sz w:val="20"/>
              </w:rPr>
            </w:pPr>
            <w:r>
              <w:rPr>
                <w:rFonts w:ascii="Arial" w:hAnsi="Arial" w:cs="Arial"/>
                <w:b/>
                <w:sz w:val="20"/>
              </w:rPr>
              <w:t>(4.4</w:t>
            </w:r>
            <w:r w:rsidR="00F51A65">
              <w:rPr>
                <w:rFonts w:ascii="Arial" w:hAnsi="Arial" w:cs="Arial"/>
                <w:b/>
                <w:sz w:val="20"/>
              </w:rPr>
              <w:t>)%</w:t>
            </w:r>
          </w:p>
        </w:tc>
      </w:tr>
    </w:tbl>
    <w:p w:rsidR="00375E3F" w:rsidRDefault="00375E3F" w:rsidP="00375E3F">
      <w:pPr>
        <w:jc w:val="left"/>
        <w:rPr>
          <w:rFonts w:ascii="Arial" w:hAnsi="Arial" w:cs="Arial"/>
          <w:b/>
          <w:bCs/>
          <w:sz w:val="24"/>
          <w:szCs w:val="24"/>
        </w:rPr>
      </w:pPr>
    </w:p>
    <w:p w:rsidR="008822E1" w:rsidRPr="00052140" w:rsidRDefault="008822E1" w:rsidP="008822E1">
      <w:pPr>
        <w:tabs>
          <w:tab w:val="left" w:pos="357"/>
        </w:tabs>
        <w:ind w:right="-282"/>
        <w:jc w:val="left"/>
        <w:rPr>
          <w:rFonts w:ascii="Arial" w:hAnsi="Arial" w:cs="Arial"/>
          <w:iCs/>
          <w:sz w:val="24"/>
          <w:szCs w:val="24"/>
        </w:rPr>
      </w:pPr>
      <w:r w:rsidRPr="00052140">
        <w:rPr>
          <w:rFonts w:ascii="Arial" w:hAnsi="Arial" w:cs="Arial"/>
          <w:iCs/>
          <w:sz w:val="24"/>
          <w:szCs w:val="24"/>
        </w:rPr>
        <w:t>Data tables for</w:t>
      </w:r>
      <w:r w:rsidR="00234FFB">
        <w:rPr>
          <w:rFonts w:ascii="Arial" w:hAnsi="Arial" w:cs="Arial"/>
          <w:iCs/>
          <w:sz w:val="24"/>
          <w:szCs w:val="24"/>
        </w:rPr>
        <w:t xml:space="preserve"> </w:t>
      </w:r>
      <w:r w:rsidR="00F51A65">
        <w:rPr>
          <w:rFonts w:ascii="Arial" w:hAnsi="Arial" w:cs="Arial"/>
          <w:iCs/>
          <w:sz w:val="24"/>
          <w:szCs w:val="24"/>
        </w:rPr>
        <w:t xml:space="preserve">Q1, Q2 and half year </w:t>
      </w:r>
      <w:r w:rsidRPr="00052140">
        <w:rPr>
          <w:rFonts w:ascii="Arial" w:hAnsi="Arial" w:cs="Arial"/>
          <w:iCs/>
          <w:sz w:val="24"/>
          <w:szCs w:val="24"/>
        </w:rPr>
        <w:t xml:space="preserve">are available for download in excel format at </w:t>
      </w:r>
      <w:hyperlink r:id="rId9" w:history="1">
        <w:r w:rsidRPr="00052140">
          <w:rPr>
            <w:rStyle w:val="Hyperlink"/>
            <w:rFonts w:ascii="Arial" w:hAnsi="Arial" w:cs="Arial"/>
            <w:iCs/>
            <w:sz w:val="24"/>
            <w:szCs w:val="24"/>
          </w:rPr>
          <w:t>http://www.kingfisher.com/index.asp?pageide=59</w:t>
        </w:r>
      </w:hyperlink>
      <w:r w:rsidRPr="00052140">
        <w:rPr>
          <w:rFonts w:ascii="Arial" w:hAnsi="Arial" w:cs="Arial"/>
          <w:iCs/>
          <w:sz w:val="24"/>
          <w:szCs w:val="24"/>
        </w:rPr>
        <w:t xml:space="preserve">. </w:t>
      </w:r>
    </w:p>
    <w:p w:rsidR="001B3B55" w:rsidRDefault="00B940B7" w:rsidP="001B3B55">
      <w:pPr>
        <w:jc w:val="left"/>
        <w:rPr>
          <w:rFonts w:ascii="Arial" w:hAnsi="Arial" w:cs="Arial"/>
          <w:b/>
          <w:bCs/>
          <w:sz w:val="24"/>
          <w:szCs w:val="24"/>
        </w:rPr>
      </w:pPr>
      <w:r w:rsidRPr="006A2252">
        <w:rPr>
          <w:rFonts w:ascii="Arial" w:hAnsi="Arial" w:cs="Arial"/>
          <w:b/>
          <w:bCs/>
          <w:color w:val="FF0000"/>
          <w:sz w:val="24"/>
          <w:szCs w:val="24"/>
        </w:rPr>
        <w:br w:type="page"/>
      </w:r>
      <w:r w:rsidR="00FC3ECC" w:rsidRPr="0026648B">
        <w:rPr>
          <w:rFonts w:ascii="Arial" w:hAnsi="Arial" w:cs="Arial"/>
          <w:b/>
          <w:bCs/>
          <w:sz w:val="24"/>
          <w:szCs w:val="24"/>
        </w:rPr>
        <w:lastRenderedPageBreak/>
        <w:t xml:space="preserve">Section </w:t>
      </w:r>
      <w:r w:rsidR="00995BF9" w:rsidRPr="0026648B">
        <w:rPr>
          <w:rFonts w:ascii="Arial" w:hAnsi="Arial" w:cs="Arial"/>
          <w:b/>
          <w:bCs/>
          <w:sz w:val="24"/>
          <w:szCs w:val="24"/>
        </w:rPr>
        <w:t>4</w:t>
      </w:r>
      <w:r w:rsidR="00376255">
        <w:rPr>
          <w:rFonts w:ascii="Arial" w:hAnsi="Arial" w:cs="Arial"/>
          <w:b/>
          <w:bCs/>
          <w:sz w:val="24"/>
          <w:szCs w:val="24"/>
        </w:rPr>
        <w:t xml:space="preserve">: </w:t>
      </w:r>
      <w:r w:rsidR="00FC3ECC" w:rsidRPr="0026648B">
        <w:rPr>
          <w:rFonts w:ascii="Arial" w:hAnsi="Arial" w:cs="Arial"/>
          <w:b/>
          <w:bCs/>
          <w:sz w:val="24"/>
          <w:szCs w:val="24"/>
        </w:rPr>
        <w:t>FINANCIAL REVIEW</w:t>
      </w:r>
    </w:p>
    <w:p w:rsidR="00F51A65" w:rsidRDefault="00F51A65" w:rsidP="001B3B55">
      <w:pPr>
        <w:jc w:val="left"/>
        <w:rPr>
          <w:rFonts w:ascii="Arial" w:hAnsi="Arial" w:cs="Arial"/>
          <w:b/>
          <w:bCs/>
          <w:sz w:val="24"/>
          <w:szCs w:val="24"/>
        </w:rPr>
      </w:pPr>
    </w:p>
    <w:p w:rsidR="003F0A73" w:rsidRPr="00C0194C" w:rsidRDefault="003F0A73" w:rsidP="003F0A73">
      <w:pPr>
        <w:jc w:val="left"/>
        <w:rPr>
          <w:rFonts w:ascii="Arial" w:hAnsi="Arial" w:cs="Arial"/>
          <w:sz w:val="24"/>
          <w:szCs w:val="24"/>
        </w:rPr>
      </w:pPr>
      <w:r>
        <w:rPr>
          <w:rFonts w:ascii="Arial" w:hAnsi="Arial" w:cs="Arial"/>
          <w:sz w:val="24"/>
          <w:szCs w:val="24"/>
        </w:rPr>
        <w:t>A summary of the reported financial results for the six months ended 2 August 2014 is set out below:</w:t>
      </w:r>
    </w:p>
    <w:tbl>
      <w:tblPr>
        <w:tblW w:w="4999" w:type="pct"/>
        <w:tblLook w:val="01E0" w:firstRow="1" w:lastRow="1" w:firstColumn="1" w:lastColumn="1" w:noHBand="0" w:noVBand="0"/>
      </w:tblPr>
      <w:tblGrid>
        <w:gridCol w:w="5722"/>
        <w:gridCol w:w="1226"/>
        <w:gridCol w:w="1199"/>
        <w:gridCol w:w="1492"/>
      </w:tblGrid>
      <w:tr w:rsidR="003F0A73" w:rsidTr="003F0A73">
        <w:tc>
          <w:tcPr>
            <w:tcW w:w="2968" w:type="pct"/>
            <w:tcBorders>
              <w:top w:val="nil"/>
              <w:left w:val="nil"/>
              <w:bottom w:val="single" w:sz="4" w:space="0" w:color="auto"/>
              <w:right w:val="nil"/>
            </w:tcBorders>
          </w:tcPr>
          <w:p w:rsidR="003F0A73" w:rsidRDefault="003F0A73">
            <w:pPr>
              <w:jc w:val="right"/>
              <w:rPr>
                <w:rFonts w:ascii="Arial" w:hAnsi="Arial" w:cs="Arial"/>
                <w:sz w:val="24"/>
                <w:szCs w:val="24"/>
              </w:rPr>
            </w:pPr>
          </w:p>
        </w:tc>
        <w:tc>
          <w:tcPr>
            <w:tcW w:w="636" w:type="pct"/>
            <w:tcBorders>
              <w:top w:val="nil"/>
              <w:left w:val="nil"/>
              <w:bottom w:val="single" w:sz="4" w:space="0" w:color="auto"/>
              <w:right w:val="nil"/>
            </w:tcBorders>
          </w:tcPr>
          <w:p w:rsidR="003F0A73" w:rsidRDefault="003F0A73">
            <w:pPr>
              <w:jc w:val="right"/>
              <w:rPr>
                <w:rFonts w:ascii="Arial" w:hAnsi="Arial" w:cs="Arial"/>
                <w:b/>
                <w:sz w:val="24"/>
                <w:szCs w:val="24"/>
              </w:rPr>
            </w:pPr>
            <w:r>
              <w:rPr>
                <w:rFonts w:ascii="Arial" w:hAnsi="Arial" w:cs="Arial"/>
                <w:b/>
                <w:sz w:val="24"/>
                <w:szCs w:val="24"/>
              </w:rPr>
              <w:t>2014/15</w:t>
            </w:r>
          </w:p>
          <w:p w:rsidR="003F0A73" w:rsidRDefault="003F0A73">
            <w:pPr>
              <w:jc w:val="right"/>
              <w:rPr>
                <w:rFonts w:ascii="Arial" w:hAnsi="Arial" w:cs="Arial"/>
                <w:b/>
                <w:sz w:val="24"/>
                <w:szCs w:val="24"/>
              </w:rPr>
            </w:pPr>
          </w:p>
        </w:tc>
        <w:tc>
          <w:tcPr>
            <w:tcW w:w="622" w:type="pct"/>
            <w:tcBorders>
              <w:top w:val="nil"/>
              <w:left w:val="nil"/>
              <w:bottom w:val="single" w:sz="4" w:space="0" w:color="auto"/>
              <w:right w:val="nil"/>
            </w:tcBorders>
          </w:tcPr>
          <w:p w:rsidR="003F0A73" w:rsidRDefault="003F0A73">
            <w:pPr>
              <w:jc w:val="right"/>
              <w:rPr>
                <w:rFonts w:ascii="Arial" w:hAnsi="Arial" w:cs="Arial"/>
                <w:sz w:val="24"/>
                <w:szCs w:val="24"/>
              </w:rPr>
            </w:pPr>
            <w:r>
              <w:rPr>
                <w:rFonts w:ascii="Arial" w:hAnsi="Arial" w:cs="Arial"/>
                <w:sz w:val="24"/>
                <w:szCs w:val="24"/>
              </w:rPr>
              <w:t>2013/14</w:t>
            </w:r>
          </w:p>
          <w:p w:rsidR="003F0A73" w:rsidRDefault="003F0A73">
            <w:pPr>
              <w:tabs>
                <w:tab w:val="center" w:pos="434"/>
                <w:tab w:val="right" w:pos="869"/>
              </w:tabs>
              <w:jc w:val="right"/>
              <w:rPr>
                <w:rFonts w:ascii="Arial" w:hAnsi="Arial" w:cs="Arial"/>
                <w:sz w:val="24"/>
                <w:szCs w:val="24"/>
              </w:rPr>
            </w:pPr>
          </w:p>
        </w:tc>
        <w:tc>
          <w:tcPr>
            <w:tcW w:w="774" w:type="pct"/>
            <w:tcBorders>
              <w:top w:val="nil"/>
              <w:left w:val="nil"/>
              <w:bottom w:val="single" w:sz="4" w:space="0" w:color="auto"/>
              <w:right w:val="nil"/>
            </w:tcBorders>
            <w:hideMark/>
          </w:tcPr>
          <w:p w:rsidR="003F0A73" w:rsidRDefault="003F0A73">
            <w:pPr>
              <w:jc w:val="right"/>
              <w:rPr>
                <w:rFonts w:ascii="Arial" w:hAnsi="Arial" w:cs="Arial"/>
                <w:sz w:val="24"/>
                <w:szCs w:val="24"/>
              </w:rPr>
            </w:pPr>
            <w:r>
              <w:rPr>
                <w:rFonts w:ascii="Arial" w:hAnsi="Arial" w:cs="Arial"/>
                <w:sz w:val="24"/>
                <w:szCs w:val="24"/>
              </w:rPr>
              <w:t>Increase/</w:t>
            </w:r>
          </w:p>
          <w:p w:rsidR="003F0A73" w:rsidRDefault="003F0A73">
            <w:pPr>
              <w:jc w:val="right"/>
              <w:rPr>
                <w:rFonts w:ascii="Arial" w:hAnsi="Arial" w:cs="Arial"/>
                <w:sz w:val="24"/>
                <w:szCs w:val="24"/>
                <w:highlight w:val="yellow"/>
              </w:rPr>
            </w:pPr>
            <w:r>
              <w:rPr>
                <w:rFonts w:ascii="Arial" w:hAnsi="Arial" w:cs="Arial"/>
                <w:sz w:val="24"/>
                <w:szCs w:val="24"/>
              </w:rPr>
              <w:t>(decrease)</w:t>
            </w:r>
          </w:p>
        </w:tc>
      </w:tr>
      <w:tr w:rsidR="003F0A73" w:rsidTr="003F0A73">
        <w:trPr>
          <w:trHeight w:val="80"/>
        </w:trPr>
        <w:tc>
          <w:tcPr>
            <w:tcW w:w="2968" w:type="pct"/>
            <w:tcBorders>
              <w:top w:val="single" w:sz="4" w:space="0" w:color="auto"/>
              <w:left w:val="nil"/>
              <w:bottom w:val="nil"/>
              <w:right w:val="nil"/>
            </w:tcBorders>
          </w:tcPr>
          <w:p w:rsidR="003F0A73" w:rsidRDefault="003F0A73">
            <w:pPr>
              <w:rPr>
                <w:rFonts w:ascii="Arial" w:hAnsi="Arial" w:cs="Arial"/>
                <w:sz w:val="2"/>
                <w:szCs w:val="2"/>
              </w:rPr>
            </w:pPr>
          </w:p>
        </w:tc>
        <w:tc>
          <w:tcPr>
            <w:tcW w:w="636" w:type="pct"/>
            <w:tcBorders>
              <w:top w:val="single" w:sz="4" w:space="0" w:color="auto"/>
              <w:left w:val="nil"/>
              <w:bottom w:val="nil"/>
              <w:right w:val="nil"/>
            </w:tcBorders>
          </w:tcPr>
          <w:p w:rsidR="003F0A73" w:rsidRDefault="003F0A73">
            <w:pPr>
              <w:jc w:val="right"/>
              <w:rPr>
                <w:rFonts w:ascii="Arial" w:hAnsi="Arial" w:cs="Arial"/>
                <w:b/>
                <w:sz w:val="2"/>
                <w:szCs w:val="2"/>
              </w:rPr>
            </w:pPr>
          </w:p>
        </w:tc>
        <w:tc>
          <w:tcPr>
            <w:tcW w:w="622" w:type="pct"/>
            <w:tcBorders>
              <w:top w:val="single" w:sz="4" w:space="0" w:color="auto"/>
              <w:left w:val="nil"/>
              <w:bottom w:val="nil"/>
              <w:right w:val="nil"/>
            </w:tcBorders>
          </w:tcPr>
          <w:p w:rsidR="003F0A73" w:rsidRDefault="003F0A73">
            <w:pPr>
              <w:jc w:val="right"/>
              <w:rPr>
                <w:rFonts w:ascii="Arial" w:hAnsi="Arial" w:cs="Arial"/>
                <w:sz w:val="2"/>
                <w:szCs w:val="2"/>
              </w:rPr>
            </w:pPr>
          </w:p>
        </w:tc>
        <w:tc>
          <w:tcPr>
            <w:tcW w:w="774" w:type="pct"/>
            <w:tcBorders>
              <w:top w:val="single" w:sz="4" w:space="0" w:color="auto"/>
              <w:left w:val="nil"/>
              <w:bottom w:val="nil"/>
              <w:right w:val="nil"/>
            </w:tcBorders>
          </w:tcPr>
          <w:p w:rsidR="003F0A73" w:rsidRDefault="003F0A73">
            <w:pPr>
              <w:jc w:val="right"/>
              <w:rPr>
                <w:rFonts w:ascii="Arial" w:hAnsi="Arial" w:cs="Arial"/>
                <w:sz w:val="2"/>
                <w:szCs w:val="2"/>
                <w:highlight w:val="yellow"/>
              </w:rPr>
            </w:pPr>
          </w:p>
        </w:tc>
      </w:tr>
      <w:tr w:rsidR="003F0A73" w:rsidTr="003F0A73">
        <w:tc>
          <w:tcPr>
            <w:tcW w:w="2968" w:type="pct"/>
            <w:hideMark/>
          </w:tcPr>
          <w:p w:rsidR="003F0A73" w:rsidRDefault="003F0A73">
            <w:pPr>
              <w:rPr>
                <w:rFonts w:ascii="Arial" w:hAnsi="Arial" w:cs="Arial"/>
                <w:sz w:val="24"/>
                <w:szCs w:val="24"/>
              </w:rPr>
            </w:pPr>
            <w:r>
              <w:rPr>
                <w:rFonts w:ascii="Arial" w:hAnsi="Arial" w:cs="Arial"/>
                <w:sz w:val="24"/>
                <w:szCs w:val="24"/>
              </w:rPr>
              <w:t>Sales</w:t>
            </w:r>
          </w:p>
        </w:tc>
        <w:tc>
          <w:tcPr>
            <w:tcW w:w="636" w:type="pct"/>
            <w:hideMark/>
          </w:tcPr>
          <w:p w:rsidR="003F0A73" w:rsidRDefault="003F0A73">
            <w:pPr>
              <w:jc w:val="right"/>
              <w:rPr>
                <w:rFonts w:ascii="Arial" w:hAnsi="Arial" w:cs="Arial"/>
                <w:b/>
                <w:sz w:val="24"/>
                <w:szCs w:val="24"/>
              </w:rPr>
            </w:pPr>
            <w:r>
              <w:rPr>
                <w:rFonts w:ascii="Arial" w:hAnsi="Arial" w:cs="Arial"/>
                <w:b/>
                <w:sz w:val="24"/>
                <w:szCs w:val="24"/>
              </w:rPr>
              <w:t>£5,768m</w:t>
            </w:r>
          </w:p>
        </w:tc>
        <w:tc>
          <w:tcPr>
            <w:tcW w:w="622" w:type="pct"/>
            <w:hideMark/>
          </w:tcPr>
          <w:p w:rsidR="003F0A73" w:rsidRDefault="003F0A73">
            <w:pPr>
              <w:jc w:val="right"/>
              <w:rPr>
                <w:rFonts w:ascii="Arial" w:hAnsi="Arial" w:cs="Arial"/>
                <w:sz w:val="24"/>
                <w:szCs w:val="24"/>
              </w:rPr>
            </w:pPr>
            <w:r>
              <w:rPr>
                <w:rFonts w:ascii="Arial" w:hAnsi="Arial" w:cs="Arial"/>
                <w:sz w:val="24"/>
                <w:szCs w:val="24"/>
              </w:rPr>
              <w:t>£5,716m</w:t>
            </w:r>
          </w:p>
        </w:tc>
        <w:tc>
          <w:tcPr>
            <w:tcW w:w="774" w:type="pct"/>
            <w:hideMark/>
          </w:tcPr>
          <w:p w:rsidR="003F0A73" w:rsidRDefault="003F0A73">
            <w:pPr>
              <w:jc w:val="right"/>
              <w:rPr>
                <w:rFonts w:ascii="Arial" w:hAnsi="Arial" w:cs="Arial"/>
                <w:sz w:val="24"/>
                <w:szCs w:val="24"/>
              </w:rPr>
            </w:pPr>
            <w:r>
              <w:rPr>
                <w:rFonts w:ascii="Arial" w:hAnsi="Arial" w:cs="Arial"/>
                <w:sz w:val="24"/>
                <w:szCs w:val="24"/>
              </w:rPr>
              <w:t>+0.9%</w:t>
            </w:r>
          </w:p>
        </w:tc>
      </w:tr>
      <w:tr w:rsidR="003F0A73" w:rsidTr="003F0A73">
        <w:trPr>
          <w:trHeight w:hRule="exact" w:val="85"/>
        </w:trPr>
        <w:tc>
          <w:tcPr>
            <w:tcW w:w="2968" w:type="pct"/>
          </w:tcPr>
          <w:p w:rsidR="003F0A73" w:rsidRDefault="003F0A73">
            <w:pPr>
              <w:rPr>
                <w:rFonts w:ascii="Arial" w:hAnsi="Arial" w:cs="Arial"/>
                <w:sz w:val="24"/>
                <w:szCs w:val="24"/>
              </w:rPr>
            </w:pPr>
          </w:p>
        </w:tc>
        <w:tc>
          <w:tcPr>
            <w:tcW w:w="636" w:type="pct"/>
          </w:tcPr>
          <w:p w:rsidR="003F0A73" w:rsidRDefault="003F0A73">
            <w:pPr>
              <w:jc w:val="right"/>
              <w:rPr>
                <w:rFonts w:ascii="Arial" w:hAnsi="Arial" w:cs="Arial"/>
                <w:b/>
                <w:sz w:val="24"/>
                <w:szCs w:val="24"/>
              </w:rPr>
            </w:pPr>
          </w:p>
        </w:tc>
        <w:tc>
          <w:tcPr>
            <w:tcW w:w="622" w:type="pct"/>
          </w:tcPr>
          <w:p w:rsidR="003F0A73" w:rsidRDefault="003F0A73">
            <w:pPr>
              <w:jc w:val="right"/>
              <w:rPr>
                <w:rFonts w:ascii="Arial" w:hAnsi="Arial" w:cs="Arial"/>
                <w:sz w:val="24"/>
                <w:szCs w:val="24"/>
              </w:rPr>
            </w:pPr>
          </w:p>
        </w:tc>
        <w:tc>
          <w:tcPr>
            <w:tcW w:w="774" w:type="pct"/>
          </w:tcPr>
          <w:p w:rsidR="003F0A73" w:rsidRDefault="003F0A73">
            <w:pPr>
              <w:jc w:val="right"/>
              <w:rPr>
                <w:rFonts w:ascii="Arial" w:hAnsi="Arial" w:cs="Arial"/>
                <w:sz w:val="24"/>
                <w:szCs w:val="24"/>
              </w:rPr>
            </w:pPr>
          </w:p>
        </w:tc>
      </w:tr>
      <w:tr w:rsidR="003F0A73" w:rsidTr="003F0A73">
        <w:tc>
          <w:tcPr>
            <w:tcW w:w="2968" w:type="pct"/>
            <w:hideMark/>
          </w:tcPr>
          <w:p w:rsidR="003F0A73" w:rsidRDefault="003F0A73">
            <w:pPr>
              <w:rPr>
                <w:rFonts w:ascii="Arial" w:hAnsi="Arial" w:cs="Arial"/>
                <w:sz w:val="24"/>
                <w:szCs w:val="24"/>
              </w:rPr>
            </w:pPr>
            <w:r>
              <w:rPr>
                <w:rFonts w:ascii="Arial" w:hAnsi="Arial" w:cs="Arial"/>
                <w:sz w:val="24"/>
                <w:szCs w:val="24"/>
              </w:rPr>
              <w:t xml:space="preserve">Adjusted pre-tax profit </w:t>
            </w:r>
          </w:p>
        </w:tc>
        <w:tc>
          <w:tcPr>
            <w:tcW w:w="636" w:type="pct"/>
            <w:hideMark/>
          </w:tcPr>
          <w:p w:rsidR="003F0A73" w:rsidRDefault="003F0A73">
            <w:pPr>
              <w:jc w:val="right"/>
              <w:rPr>
                <w:rFonts w:ascii="Arial" w:hAnsi="Arial" w:cs="Arial"/>
                <w:b/>
                <w:sz w:val="24"/>
                <w:szCs w:val="24"/>
              </w:rPr>
            </w:pPr>
            <w:r>
              <w:rPr>
                <w:rFonts w:ascii="Arial" w:hAnsi="Arial" w:cs="Arial"/>
                <w:b/>
                <w:sz w:val="24"/>
                <w:szCs w:val="24"/>
              </w:rPr>
              <w:t>£364m</w:t>
            </w:r>
          </w:p>
        </w:tc>
        <w:tc>
          <w:tcPr>
            <w:tcW w:w="622" w:type="pct"/>
            <w:hideMark/>
          </w:tcPr>
          <w:p w:rsidR="003F0A73" w:rsidRDefault="003F0A73">
            <w:pPr>
              <w:jc w:val="right"/>
              <w:rPr>
                <w:rFonts w:ascii="Arial" w:hAnsi="Arial" w:cs="Arial"/>
                <w:sz w:val="24"/>
                <w:szCs w:val="24"/>
              </w:rPr>
            </w:pPr>
            <w:r>
              <w:rPr>
                <w:rFonts w:ascii="Arial" w:hAnsi="Arial" w:cs="Arial"/>
                <w:sz w:val="24"/>
                <w:szCs w:val="24"/>
              </w:rPr>
              <w:t>£364m</w:t>
            </w:r>
          </w:p>
        </w:tc>
        <w:tc>
          <w:tcPr>
            <w:tcW w:w="774" w:type="pct"/>
            <w:hideMark/>
          </w:tcPr>
          <w:p w:rsidR="003F0A73" w:rsidRDefault="003F0A73">
            <w:pPr>
              <w:jc w:val="right"/>
              <w:rPr>
                <w:rFonts w:ascii="Arial" w:hAnsi="Arial" w:cs="Arial"/>
                <w:sz w:val="24"/>
                <w:szCs w:val="24"/>
              </w:rPr>
            </w:pPr>
            <w:r>
              <w:rPr>
                <w:rFonts w:ascii="Arial" w:hAnsi="Arial" w:cs="Arial"/>
                <w:sz w:val="24"/>
                <w:szCs w:val="24"/>
              </w:rPr>
              <w:t>Flat</w:t>
            </w:r>
          </w:p>
        </w:tc>
      </w:tr>
      <w:tr w:rsidR="003F0A73" w:rsidTr="003F0A73">
        <w:trPr>
          <w:trHeight w:hRule="exact" w:val="85"/>
        </w:trPr>
        <w:tc>
          <w:tcPr>
            <w:tcW w:w="2968" w:type="pct"/>
          </w:tcPr>
          <w:p w:rsidR="003F0A73" w:rsidRDefault="003F0A73">
            <w:pPr>
              <w:rPr>
                <w:rFonts w:ascii="Arial" w:hAnsi="Arial" w:cs="Arial"/>
                <w:sz w:val="24"/>
                <w:szCs w:val="24"/>
              </w:rPr>
            </w:pPr>
          </w:p>
        </w:tc>
        <w:tc>
          <w:tcPr>
            <w:tcW w:w="636" w:type="pct"/>
          </w:tcPr>
          <w:p w:rsidR="003F0A73" w:rsidRDefault="003F0A73">
            <w:pPr>
              <w:jc w:val="right"/>
              <w:rPr>
                <w:rFonts w:ascii="Arial" w:hAnsi="Arial" w:cs="Arial"/>
                <w:b/>
                <w:sz w:val="24"/>
                <w:szCs w:val="24"/>
              </w:rPr>
            </w:pPr>
          </w:p>
        </w:tc>
        <w:tc>
          <w:tcPr>
            <w:tcW w:w="622" w:type="pct"/>
          </w:tcPr>
          <w:p w:rsidR="003F0A73" w:rsidRDefault="003F0A73">
            <w:pPr>
              <w:jc w:val="right"/>
              <w:rPr>
                <w:rFonts w:ascii="Arial" w:hAnsi="Arial" w:cs="Arial"/>
                <w:sz w:val="24"/>
                <w:szCs w:val="24"/>
              </w:rPr>
            </w:pPr>
          </w:p>
        </w:tc>
        <w:tc>
          <w:tcPr>
            <w:tcW w:w="774" w:type="pct"/>
          </w:tcPr>
          <w:p w:rsidR="003F0A73" w:rsidRDefault="003F0A73">
            <w:pPr>
              <w:jc w:val="right"/>
              <w:rPr>
                <w:rFonts w:ascii="Arial" w:hAnsi="Arial" w:cs="Arial"/>
                <w:sz w:val="24"/>
                <w:szCs w:val="24"/>
              </w:rPr>
            </w:pPr>
          </w:p>
        </w:tc>
      </w:tr>
      <w:tr w:rsidR="003F0A73" w:rsidTr="003F0A73">
        <w:tc>
          <w:tcPr>
            <w:tcW w:w="2968" w:type="pct"/>
            <w:hideMark/>
          </w:tcPr>
          <w:p w:rsidR="003F0A73" w:rsidRDefault="003F0A73">
            <w:pPr>
              <w:rPr>
                <w:rFonts w:ascii="Arial" w:hAnsi="Arial" w:cs="Arial"/>
                <w:sz w:val="24"/>
                <w:szCs w:val="24"/>
              </w:rPr>
            </w:pPr>
            <w:r>
              <w:rPr>
                <w:rFonts w:ascii="Arial" w:hAnsi="Arial" w:cs="Arial"/>
                <w:sz w:val="24"/>
                <w:szCs w:val="24"/>
              </w:rPr>
              <w:t>Profit before taxation after exceptional items</w:t>
            </w:r>
          </w:p>
        </w:tc>
        <w:tc>
          <w:tcPr>
            <w:tcW w:w="636" w:type="pct"/>
            <w:hideMark/>
          </w:tcPr>
          <w:p w:rsidR="003F0A73" w:rsidRDefault="003F0A73">
            <w:pPr>
              <w:jc w:val="right"/>
              <w:rPr>
                <w:rFonts w:ascii="Arial" w:hAnsi="Arial" w:cs="Arial"/>
                <w:b/>
                <w:sz w:val="24"/>
                <w:szCs w:val="24"/>
              </w:rPr>
            </w:pPr>
            <w:r>
              <w:rPr>
                <w:rFonts w:ascii="Arial" w:hAnsi="Arial" w:cs="Arial"/>
                <w:b/>
                <w:sz w:val="24"/>
                <w:szCs w:val="24"/>
              </w:rPr>
              <w:t>£375m</w:t>
            </w:r>
          </w:p>
        </w:tc>
        <w:tc>
          <w:tcPr>
            <w:tcW w:w="622" w:type="pct"/>
            <w:hideMark/>
          </w:tcPr>
          <w:p w:rsidR="003F0A73" w:rsidRDefault="003F0A73">
            <w:pPr>
              <w:jc w:val="right"/>
              <w:rPr>
                <w:rFonts w:ascii="Arial" w:hAnsi="Arial" w:cs="Arial"/>
                <w:sz w:val="24"/>
                <w:szCs w:val="24"/>
              </w:rPr>
            </w:pPr>
            <w:r>
              <w:rPr>
                <w:rFonts w:ascii="Arial" w:hAnsi="Arial" w:cs="Arial"/>
                <w:sz w:val="24"/>
                <w:szCs w:val="24"/>
              </w:rPr>
              <w:t>£401m</w:t>
            </w:r>
          </w:p>
        </w:tc>
        <w:tc>
          <w:tcPr>
            <w:tcW w:w="774" w:type="pct"/>
            <w:hideMark/>
          </w:tcPr>
          <w:p w:rsidR="003F0A73" w:rsidRDefault="003F0A73">
            <w:pPr>
              <w:jc w:val="right"/>
              <w:rPr>
                <w:rFonts w:ascii="Arial" w:hAnsi="Arial" w:cs="Arial"/>
                <w:sz w:val="24"/>
                <w:szCs w:val="24"/>
              </w:rPr>
            </w:pPr>
            <w:r>
              <w:rPr>
                <w:rFonts w:ascii="Arial" w:hAnsi="Arial" w:cs="Arial"/>
                <w:sz w:val="24"/>
                <w:szCs w:val="24"/>
              </w:rPr>
              <w:t>(6.5)%</w:t>
            </w:r>
          </w:p>
        </w:tc>
      </w:tr>
      <w:tr w:rsidR="003F0A73" w:rsidTr="003F0A73">
        <w:trPr>
          <w:trHeight w:hRule="exact" w:val="85"/>
        </w:trPr>
        <w:tc>
          <w:tcPr>
            <w:tcW w:w="2968" w:type="pct"/>
          </w:tcPr>
          <w:p w:rsidR="003F0A73" w:rsidRDefault="003F0A73">
            <w:pPr>
              <w:rPr>
                <w:rFonts w:ascii="Arial" w:hAnsi="Arial" w:cs="Arial"/>
                <w:sz w:val="24"/>
                <w:szCs w:val="24"/>
              </w:rPr>
            </w:pPr>
          </w:p>
        </w:tc>
        <w:tc>
          <w:tcPr>
            <w:tcW w:w="636" w:type="pct"/>
          </w:tcPr>
          <w:p w:rsidR="003F0A73" w:rsidRDefault="003F0A73">
            <w:pPr>
              <w:jc w:val="right"/>
              <w:rPr>
                <w:rFonts w:ascii="Arial" w:hAnsi="Arial" w:cs="Arial"/>
                <w:b/>
                <w:sz w:val="24"/>
                <w:szCs w:val="24"/>
              </w:rPr>
            </w:pPr>
          </w:p>
        </w:tc>
        <w:tc>
          <w:tcPr>
            <w:tcW w:w="622" w:type="pct"/>
          </w:tcPr>
          <w:p w:rsidR="003F0A73" w:rsidRDefault="003F0A73">
            <w:pPr>
              <w:jc w:val="right"/>
              <w:rPr>
                <w:rFonts w:ascii="Arial" w:hAnsi="Arial" w:cs="Arial"/>
                <w:sz w:val="24"/>
                <w:szCs w:val="24"/>
              </w:rPr>
            </w:pPr>
          </w:p>
        </w:tc>
        <w:tc>
          <w:tcPr>
            <w:tcW w:w="774" w:type="pct"/>
          </w:tcPr>
          <w:p w:rsidR="003F0A73" w:rsidRDefault="003F0A73">
            <w:pPr>
              <w:jc w:val="right"/>
              <w:rPr>
                <w:rFonts w:ascii="Arial" w:hAnsi="Arial" w:cs="Arial"/>
                <w:sz w:val="24"/>
                <w:szCs w:val="24"/>
              </w:rPr>
            </w:pPr>
          </w:p>
        </w:tc>
      </w:tr>
      <w:tr w:rsidR="003F0A73" w:rsidTr="003F0A73">
        <w:tc>
          <w:tcPr>
            <w:tcW w:w="2968" w:type="pct"/>
            <w:hideMark/>
          </w:tcPr>
          <w:p w:rsidR="003F0A73" w:rsidRDefault="003F0A73">
            <w:pPr>
              <w:rPr>
                <w:rFonts w:ascii="Arial" w:hAnsi="Arial" w:cs="Arial"/>
                <w:sz w:val="24"/>
                <w:szCs w:val="24"/>
              </w:rPr>
            </w:pPr>
            <w:r>
              <w:rPr>
                <w:rFonts w:ascii="Arial" w:hAnsi="Arial" w:cs="Arial"/>
                <w:sz w:val="24"/>
                <w:szCs w:val="24"/>
              </w:rPr>
              <w:t>Exceptional items (post-tax)</w:t>
            </w:r>
          </w:p>
        </w:tc>
        <w:tc>
          <w:tcPr>
            <w:tcW w:w="636" w:type="pct"/>
            <w:hideMark/>
          </w:tcPr>
          <w:p w:rsidR="003F0A73" w:rsidRDefault="003F0A73">
            <w:pPr>
              <w:jc w:val="right"/>
              <w:rPr>
                <w:rFonts w:ascii="Arial" w:hAnsi="Arial" w:cs="Arial"/>
                <w:b/>
                <w:sz w:val="24"/>
                <w:szCs w:val="24"/>
              </w:rPr>
            </w:pPr>
            <w:r>
              <w:rPr>
                <w:rFonts w:ascii="Arial" w:hAnsi="Arial" w:cs="Arial"/>
                <w:b/>
                <w:sz w:val="24"/>
                <w:szCs w:val="24"/>
              </w:rPr>
              <w:t>£11m</w:t>
            </w:r>
          </w:p>
        </w:tc>
        <w:tc>
          <w:tcPr>
            <w:tcW w:w="622" w:type="pct"/>
            <w:hideMark/>
          </w:tcPr>
          <w:p w:rsidR="003F0A73" w:rsidRDefault="003F0A73">
            <w:pPr>
              <w:jc w:val="right"/>
              <w:rPr>
                <w:rFonts w:ascii="Arial" w:hAnsi="Arial" w:cs="Arial"/>
                <w:sz w:val="24"/>
                <w:szCs w:val="24"/>
              </w:rPr>
            </w:pPr>
            <w:r>
              <w:rPr>
                <w:rFonts w:ascii="Arial" w:hAnsi="Arial" w:cs="Arial"/>
                <w:sz w:val="24"/>
                <w:szCs w:val="24"/>
              </w:rPr>
              <w:t>£153m</w:t>
            </w:r>
          </w:p>
        </w:tc>
        <w:tc>
          <w:tcPr>
            <w:tcW w:w="774" w:type="pct"/>
          </w:tcPr>
          <w:p w:rsidR="003F0A73" w:rsidRDefault="00927442">
            <w:pPr>
              <w:jc w:val="right"/>
              <w:rPr>
                <w:rFonts w:ascii="Arial" w:hAnsi="Arial" w:cs="Arial"/>
                <w:sz w:val="24"/>
                <w:szCs w:val="24"/>
              </w:rPr>
            </w:pPr>
            <w:r>
              <w:rPr>
                <w:rFonts w:ascii="Arial" w:hAnsi="Arial" w:cs="Arial"/>
                <w:sz w:val="24"/>
                <w:szCs w:val="24"/>
              </w:rPr>
              <w:t>n/a</w:t>
            </w:r>
          </w:p>
        </w:tc>
      </w:tr>
      <w:tr w:rsidR="003F0A73" w:rsidTr="003F0A73">
        <w:trPr>
          <w:trHeight w:hRule="exact" w:val="85"/>
        </w:trPr>
        <w:tc>
          <w:tcPr>
            <w:tcW w:w="2968" w:type="pct"/>
          </w:tcPr>
          <w:p w:rsidR="003F0A73" w:rsidRDefault="003F0A73">
            <w:pPr>
              <w:rPr>
                <w:rFonts w:ascii="Arial" w:hAnsi="Arial" w:cs="Arial"/>
                <w:sz w:val="24"/>
                <w:szCs w:val="24"/>
              </w:rPr>
            </w:pPr>
          </w:p>
        </w:tc>
        <w:tc>
          <w:tcPr>
            <w:tcW w:w="636" w:type="pct"/>
          </w:tcPr>
          <w:p w:rsidR="003F0A73" w:rsidRDefault="003F0A73">
            <w:pPr>
              <w:jc w:val="right"/>
              <w:rPr>
                <w:rFonts w:ascii="Arial" w:hAnsi="Arial" w:cs="Arial"/>
                <w:b/>
                <w:sz w:val="24"/>
                <w:szCs w:val="24"/>
              </w:rPr>
            </w:pPr>
          </w:p>
        </w:tc>
        <w:tc>
          <w:tcPr>
            <w:tcW w:w="622" w:type="pct"/>
          </w:tcPr>
          <w:p w:rsidR="003F0A73" w:rsidRDefault="003F0A73">
            <w:pPr>
              <w:jc w:val="right"/>
              <w:rPr>
                <w:rFonts w:ascii="Arial" w:hAnsi="Arial" w:cs="Arial"/>
                <w:sz w:val="24"/>
                <w:szCs w:val="24"/>
              </w:rPr>
            </w:pPr>
          </w:p>
        </w:tc>
        <w:tc>
          <w:tcPr>
            <w:tcW w:w="774" w:type="pct"/>
          </w:tcPr>
          <w:p w:rsidR="003F0A73" w:rsidRDefault="003F0A73">
            <w:pPr>
              <w:jc w:val="right"/>
              <w:rPr>
                <w:rFonts w:ascii="Arial" w:hAnsi="Arial" w:cs="Arial"/>
                <w:sz w:val="24"/>
                <w:szCs w:val="24"/>
              </w:rPr>
            </w:pPr>
          </w:p>
        </w:tc>
      </w:tr>
      <w:tr w:rsidR="003F0A73" w:rsidTr="003F0A73">
        <w:tc>
          <w:tcPr>
            <w:tcW w:w="2968" w:type="pct"/>
            <w:hideMark/>
          </w:tcPr>
          <w:p w:rsidR="003F0A73" w:rsidRDefault="003F0A73">
            <w:pPr>
              <w:rPr>
                <w:rFonts w:ascii="Arial" w:hAnsi="Arial" w:cs="Arial"/>
                <w:sz w:val="24"/>
                <w:szCs w:val="24"/>
              </w:rPr>
            </w:pPr>
            <w:r>
              <w:rPr>
                <w:rFonts w:ascii="Arial" w:hAnsi="Arial" w:cs="Arial"/>
                <w:sz w:val="24"/>
                <w:szCs w:val="24"/>
              </w:rPr>
              <w:t xml:space="preserve">Adjusted basic earnings per share </w:t>
            </w:r>
          </w:p>
        </w:tc>
        <w:tc>
          <w:tcPr>
            <w:tcW w:w="636" w:type="pct"/>
            <w:hideMark/>
          </w:tcPr>
          <w:p w:rsidR="003F0A73" w:rsidRDefault="003F0A73">
            <w:pPr>
              <w:jc w:val="right"/>
              <w:rPr>
                <w:rFonts w:ascii="Arial" w:hAnsi="Arial" w:cs="Arial"/>
                <w:b/>
                <w:sz w:val="24"/>
                <w:szCs w:val="24"/>
              </w:rPr>
            </w:pPr>
            <w:r>
              <w:rPr>
                <w:rFonts w:ascii="Arial" w:hAnsi="Arial" w:cs="Arial"/>
                <w:b/>
                <w:sz w:val="24"/>
                <w:szCs w:val="24"/>
              </w:rPr>
              <w:t>11.3p</w:t>
            </w:r>
          </w:p>
        </w:tc>
        <w:tc>
          <w:tcPr>
            <w:tcW w:w="622" w:type="pct"/>
            <w:hideMark/>
          </w:tcPr>
          <w:p w:rsidR="003F0A73" w:rsidRDefault="003F0A73">
            <w:pPr>
              <w:jc w:val="right"/>
              <w:rPr>
                <w:rFonts w:ascii="Arial" w:hAnsi="Arial" w:cs="Arial"/>
                <w:sz w:val="24"/>
                <w:szCs w:val="24"/>
              </w:rPr>
            </w:pPr>
            <w:r>
              <w:rPr>
                <w:rFonts w:ascii="Arial" w:hAnsi="Arial" w:cs="Arial"/>
                <w:sz w:val="24"/>
                <w:szCs w:val="24"/>
              </w:rPr>
              <w:t>11.3p</w:t>
            </w:r>
          </w:p>
        </w:tc>
        <w:tc>
          <w:tcPr>
            <w:tcW w:w="774" w:type="pct"/>
            <w:hideMark/>
          </w:tcPr>
          <w:p w:rsidR="003F0A73" w:rsidRDefault="003F0A73">
            <w:pPr>
              <w:jc w:val="right"/>
              <w:rPr>
                <w:rFonts w:ascii="Arial" w:hAnsi="Arial" w:cs="Arial"/>
                <w:sz w:val="24"/>
                <w:szCs w:val="24"/>
              </w:rPr>
            </w:pPr>
            <w:r>
              <w:rPr>
                <w:rFonts w:ascii="Arial" w:hAnsi="Arial" w:cs="Arial"/>
                <w:sz w:val="24"/>
                <w:szCs w:val="24"/>
              </w:rPr>
              <w:t>Flat</w:t>
            </w:r>
          </w:p>
        </w:tc>
      </w:tr>
      <w:tr w:rsidR="003F0A73" w:rsidTr="003F0A73">
        <w:trPr>
          <w:trHeight w:hRule="exact" w:val="85"/>
        </w:trPr>
        <w:tc>
          <w:tcPr>
            <w:tcW w:w="2968" w:type="pct"/>
          </w:tcPr>
          <w:p w:rsidR="003F0A73" w:rsidRDefault="003F0A73">
            <w:pPr>
              <w:rPr>
                <w:rFonts w:ascii="Arial" w:hAnsi="Arial" w:cs="Arial"/>
                <w:sz w:val="24"/>
                <w:szCs w:val="24"/>
              </w:rPr>
            </w:pPr>
          </w:p>
        </w:tc>
        <w:tc>
          <w:tcPr>
            <w:tcW w:w="636" w:type="pct"/>
          </w:tcPr>
          <w:p w:rsidR="003F0A73" w:rsidRDefault="003F0A73">
            <w:pPr>
              <w:jc w:val="right"/>
              <w:rPr>
                <w:rFonts w:ascii="Arial" w:hAnsi="Arial" w:cs="Arial"/>
                <w:b/>
                <w:sz w:val="24"/>
                <w:szCs w:val="24"/>
              </w:rPr>
            </w:pPr>
          </w:p>
        </w:tc>
        <w:tc>
          <w:tcPr>
            <w:tcW w:w="622" w:type="pct"/>
          </w:tcPr>
          <w:p w:rsidR="003F0A73" w:rsidRDefault="003F0A73">
            <w:pPr>
              <w:jc w:val="right"/>
              <w:rPr>
                <w:rFonts w:ascii="Arial" w:hAnsi="Arial" w:cs="Arial"/>
                <w:sz w:val="24"/>
                <w:szCs w:val="24"/>
              </w:rPr>
            </w:pPr>
          </w:p>
        </w:tc>
        <w:tc>
          <w:tcPr>
            <w:tcW w:w="774" w:type="pct"/>
          </w:tcPr>
          <w:p w:rsidR="003F0A73" w:rsidRDefault="003F0A73">
            <w:pPr>
              <w:jc w:val="right"/>
              <w:rPr>
                <w:rFonts w:ascii="Arial" w:hAnsi="Arial" w:cs="Arial"/>
                <w:sz w:val="24"/>
                <w:szCs w:val="24"/>
              </w:rPr>
            </w:pPr>
          </w:p>
        </w:tc>
      </w:tr>
      <w:tr w:rsidR="003F0A73" w:rsidTr="003F0A73">
        <w:tc>
          <w:tcPr>
            <w:tcW w:w="2968" w:type="pct"/>
            <w:hideMark/>
          </w:tcPr>
          <w:p w:rsidR="003F0A73" w:rsidRDefault="003F0A73">
            <w:pPr>
              <w:rPr>
                <w:rFonts w:ascii="Arial" w:hAnsi="Arial" w:cs="Arial"/>
                <w:sz w:val="24"/>
                <w:szCs w:val="24"/>
              </w:rPr>
            </w:pPr>
            <w:r>
              <w:rPr>
                <w:rFonts w:ascii="Arial" w:hAnsi="Arial" w:cs="Arial"/>
                <w:sz w:val="24"/>
                <w:szCs w:val="24"/>
              </w:rPr>
              <w:t xml:space="preserve">Dividends – </w:t>
            </w:r>
            <w:r w:rsidR="002917A3">
              <w:rPr>
                <w:rFonts w:ascii="Arial" w:hAnsi="Arial" w:cs="Arial"/>
                <w:sz w:val="24"/>
                <w:szCs w:val="24"/>
              </w:rPr>
              <w:t>interim</w:t>
            </w:r>
          </w:p>
        </w:tc>
        <w:tc>
          <w:tcPr>
            <w:tcW w:w="636" w:type="pct"/>
            <w:hideMark/>
          </w:tcPr>
          <w:p w:rsidR="003F0A73" w:rsidRDefault="003F0A73">
            <w:pPr>
              <w:jc w:val="right"/>
              <w:rPr>
                <w:rFonts w:ascii="Arial" w:hAnsi="Arial" w:cs="Arial"/>
                <w:b/>
                <w:sz w:val="24"/>
                <w:szCs w:val="24"/>
              </w:rPr>
            </w:pPr>
            <w:r>
              <w:rPr>
                <w:rFonts w:ascii="Arial" w:hAnsi="Arial" w:cs="Arial"/>
                <w:b/>
                <w:sz w:val="24"/>
                <w:szCs w:val="24"/>
              </w:rPr>
              <w:t>3.15p</w:t>
            </w:r>
          </w:p>
        </w:tc>
        <w:tc>
          <w:tcPr>
            <w:tcW w:w="622" w:type="pct"/>
            <w:hideMark/>
          </w:tcPr>
          <w:p w:rsidR="003F0A73" w:rsidRDefault="003F0A73">
            <w:pPr>
              <w:jc w:val="right"/>
              <w:rPr>
                <w:rFonts w:ascii="Arial" w:hAnsi="Arial" w:cs="Arial"/>
                <w:sz w:val="24"/>
                <w:szCs w:val="24"/>
              </w:rPr>
            </w:pPr>
            <w:r>
              <w:rPr>
                <w:rFonts w:ascii="Arial" w:hAnsi="Arial" w:cs="Arial"/>
                <w:sz w:val="24"/>
                <w:szCs w:val="24"/>
              </w:rPr>
              <w:t>3.12p</w:t>
            </w:r>
          </w:p>
        </w:tc>
        <w:tc>
          <w:tcPr>
            <w:tcW w:w="774" w:type="pct"/>
            <w:hideMark/>
          </w:tcPr>
          <w:p w:rsidR="003F0A73" w:rsidRDefault="003F0A73">
            <w:pPr>
              <w:jc w:val="right"/>
              <w:rPr>
                <w:rFonts w:ascii="Arial" w:hAnsi="Arial" w:cs="Arial"/>
                <w:sz w:val="24"/>
                <w:szCs w:val="24"/>
              </w:rPr>
            </w:pPr>
            <w:r>
              <w:rPr>
                <w:rFonts w:ascii="Arial" w:hAnsi="Arial" w:cs="Arial"/>
                <w:sz w:val="24"/>
                <w:szCs w:val="24"/>
              </w:rPr>
              <w:t>+1.0%</w:t>
            </w:r>
          </w:p>
        </w:tc>
      </w:tr>
      <w:tr w:rsidR="003F0A73" w:rsidTr="003F0A73">
        <w:tc>
          <w:tcPr>
            <w:tcW w:w="2968" w:type="pct"/>
            <w:tcBorders>
              <w:top w:val="nil"/>
              <w:left w:val="nil"/>
              <w:bottom w:val="single" w:sz="4" w:space="0" w:color="auto"/>
              <w:right w:val="nil"/>
            </w:tcBorders>
            <w:hideMark/>
          </w:tcPr>
          <w:p w:rsidR="003F0A73" w:rsidRDefault="003F0A73">
            <w:pPr>
              <w:rPr>
                <w:rFonts w:ascii="Arial" w:hAnsi="Arial" w:cs="Arial"/>
                <w:sz w:val="24"/>
                <w:szCs w:val="24"/>
              </w:rPr>
            </w:pPr>
            <w:r>
              <w:rPr>
                <w:rFonts w:ascii="Arial" w:hAnsi="Arial" w:cs="Arial"/>
                <w:sz w:val="24"/>
                <w:szCs w:val="24"/>
              </w:rPr>
              <w:t xml:space="preserve">                 – special</w:t>
            </w:r>
          </w:p>
        </w:tc>
        <w:tc>
          <w:tcPr>
            <w:tcW w:w="636" w:type="pct"/>
            <w:tcBorders>
              <w:top w:val="nil"/>
              <w:left w:val="nil"/>
              <w:bottom w:val="single" w:sz="4" w:space="0" w:color="auto"/>
              <w:right w:val="nil"/>
            </w:tcBorders>
            <w:hideMark/>
          </w:tcPr>
          <w:p w:rsidR="003F0A73" w:rsidRDefault="003F0A73">
            <w:pPr>
              <w:jc w:val="right"/>
              <w:rPr>
                <w:rFonts w:ascii="Arial" w:hAnsi="Arial" w:cs="Arial"/>
                <w:b/>
                <w:sz w:val="24"/>
                <w:szCs w:val="24"/>
              </w:rPr>
            </w:pPr>
            <w:r>
              <w:rPr>
                <w:rFonts w:ascii="Arial" w:hAnsi="Arial" w:cs="Arial"/>
                <w:b/>
                <w:sz w:val="24"/>
                <w:szCs w:val="24"/>
              </w:rPr>
              <w:t>4.20p</w:t>
            </w:r>
          </w:p>
        </w:tc>
        <w:tc>
          <w:tcPr>
            <w:tcW w:w="622" w:type="pct"/>
            <w:tcBorders>
              <w:top w:val="nil"/>
              <w:left w:val="nil"/>
              <w:bottom w:val="single" w:sz="4" w:space="0" w:color="auto"/>
              <w:right w:val="nil"/>
            </w:tcBorders>
            <w:hideMark/>
          </w:tcPr>
          <w:p w:rsidR="003F0A73" w:rsidRDefault="003F0A73">
            <w:pPr>
              <w:jc w:val="right"/>
              <w:rPr>
                <w:rFonts w:ascii="Arial" w:hAnsi="Arial" w:cs="Arial"/>
                <w:sz w:val="24"/>
                <w:szCs w:val="24"/>
              </w:rPr>
            </w:pPr>
            <w:r>
              <w:rPr>
                <w:rFonts w:ascii="Arial" w:hAnsi="Arial" w:cs="Arial"/>
                <w:sz w:val="24"/>
                <w:szCs w:val="24"/>
              </w:rPr>
              <w:t>-</w:t>
            </w:r>
          </w:p>
        </w:tc>
        <w:tc>
          <w:tcPr>
            <w:tcW w:w="774" w:type="pct"/>
            <w:tcBorders>
              <w:top w:val="nil"/>
              <w:left w:val="nil"/>
              <w:bottom w:val="single" w:sz="4" w:space="0" w:color="auto"/>
              <w:right w:val="nil"/>
            </w:tcBorders>
          </w:tcPr>
          <w:p w:rsidR="003F0A73" w:rsidRDefault="00927442">
            <w:pPr>
              <w:jc w:val="right"/>
              <w:rPr>
                <w:rFonts w:ascii="Arial" w:hAnsi="Arial" w:cs="Arial"/>
                <w:sz w:val="24"/>
                <w:szCs w:val="24"/>
              </w:rPr>
            </w:pPr>
            <w:r>
              <w:rPr>
                <w:rFonts w:ascii="Arial" w:hAnsi="Arial" w:cs="Arial"/>
                <w:sz w:val="24"/>
                <w:szCs w:val="24"/>
              </w:rPr>
              <w:t>n/a</w:t>
            </w:r>
          </w:p>
        </w:tc>
      </w:tr>
    </w:tbl>
    <w:p w:rsidR="003F0A73" w:rsidRDefault="003F0A73" w:rsidP="003F0A73">
      <w:pPr>
        <w:jc w:val="left"/>
        <w:rPr>
          <w:rFonts w:ascii="Arial" w:eastAsia="Times New Roman" w:hAnsi="Arial" w:cs="Arial"/>
          <w:sz w:val="24"/>
          <w:szCs w:val="24"/>
        </w:rPr>
      </w:pPr>
    </w:p>
    <w:p w:rsidR="003F0A73" w:rsidRDefault="003F0A73" w:rsidP="003F0A73">
      <w:pPr>
        <w:jc w:val="left"/>
        <w:rPr>
          <w:rFonts w:ascii="Arial" w:hAnsi="Arial" w:cs="Arial"/>
          <w:sz w:val="24"/>
          <w:szCs w:val="24"/>
        </w:rPr>
      </w:pPr>
      <w:r>
        <w:rPr>
          <w:rFonts w:ascii="Arial" w:hAnsi="Arial" w:cs="Arial"/>
          <w:sz w:val="24"/>
          <w:szCs w:val="24"/>
        </w:rPr>
        <w:t>The statutory results for the prior half year benefited significantly from exceptional items which added £35 million to profit before tax, £153 million to profit after tax and 6.5p to basic earnings per share</w:t>
      </w:r>
      <w:r w:rsidR="001258B5">
        <w:rPr>
          <w:rFonts w:ascii="Arial" w:hAnsi="Arial" w:cs="Arial"/>
          <w:sz w:val="24"/>
          <w:szCs w:val="24"/>
        </w:rPr>
        <w:t xml:space="preserve"> (EPS)</w:t>
      </w:r>
      <w:r>
        <w:rPr>
          <w:rFonts w:ascii="Arial" w:hAnsi="Arial" w:cs="Arial"/>
          <w:sz w:val="24"/>
          <w:szCs w:val="24"/>
        </w:rPr>
        <w:t>. For comparative purposes adjusted measures are therefore presented. The current and prior period exceptional items are detailed further below.</w:t>
      </w:r>
    </w:p>
    <w:p w:rsidR="003F0A73" w:rsidRDefault="003F0A73" w:rsidP="003F0A73">
      <w:pPr>
        <w:jc w:val="left"/>
        <w:rPr>
          <w:rFonts w:ascii="Arial" w:hAnsi="Arial" w:cs="Arial"/>
          <w:sz w:val="24"/>
          <w:szCs w:val="24"/>
        </w:rPr>
      </w:pPr>
    </w:p>
    <w:p w:rsidR="003F0A73" w:rsidRDefault="003F0A73" w:rsidP="003F0A73">
      <w:pPr>
        <w:jc w:val="left"/>
        <w:rPr>
          <w:rFonts w:ascii="Arial" w:hAnsi="Arial" w:cs="Arial"/>
          <w:sz w:val="24"/>
          <w:szCs w:val="24"/>
        </w:rPr>
      </w:pPr>
      <w:r>
        <w:rPr>
          <w:rFonts w:ascii="Arial" w:hAnsi="Arial" w:cs="Arial"/>
          <w:sz w:val="24"/>
          <w:szCs w:val="24"/>
        </w:rPr>
        <w:t xml:space="preserve">Prior period adjusted measures have also been restated to exclude the contribution of Hornbach, following its disposal in the current period. For </w:t>
      </w:r>
      <w:r w:rsidR="001258B5">
        <w:rPr>
          <w:rFonts w:ascii="Arial" w:hAnsi="Arial" w:cs="Arial"/>
          <w:sz w:val="24"/>
          <w:szCs w:val="24"/>
        </w:rPr>
        <w:t>H1 2013/14</w:t>
      </w:r>
      <w:r>
        <w:rPr>
          <w:rFonts w:ascii="Arial" w:hAnsi="Arial" w:cs="Arial"/>
          <w:sz w:val="24"/>
          <w:szCs w:val="24"/>
        </w:rPr>
        <w:t>, this has reduced retail profit by £4</w:t>
      </w:r>
      <w:r w:rsidR="008717AF">
        <w:rPr>
          <w:rFonts w:ascii="Arial" w:hAnsi="Arial" w:cs="Arial"/>
          <w:sz w:val="24"/>
          <w:szCs w:val="24"/>
        </w:rPr>
        <w:t xml:space="preserve"> </w:t>
      </w:r>
      <w:r>
        <w:rPr>
          <w:rFonts w:ascii="Arial" w:hAnsi="Arial" w:cs="Arial"/>
          <w:sz w:val="24"/>
          <w:szCs w:val="24"/>
        </w:rPr>
        <w:t>m</w:t>
      </w:r>
      <w:r w:rsidR="008717AF">
        <w:rPr>
          <w:rFonts w:ascii="Arial" w:hAnsi="Arial" w:cs="Arial"/>
          <w:sz w:val="24"/>
          <w:szCs w:val="24"/>
        </w:rPr>
        <w:t>illion</w:t>
      </w:r>
      <w:r>
        <w:rPr>
          <w:rFonts w:ascii="Arial" w:hAnsi="Arial" w:cs="Arial"/>
          <w:sz w:val="24"/>
          <w:szCs w:val="24"/>
        </w:rPr>
        <w:t>, adjusted pre-tax profit and adjusted earnings by £1</w:t>
      </w:r>
      <w:r w:rsidR="001258B5">
        <w:rPr>
          <w:rFonts w:ascii="Arial" w:hAnsi="Arial" w:cs="Arial"/>
          <w:sz w:val="24"/>
          <w:szCs w:val="24"/>
        </w:rPr>
        <w:t xml:space="preserve"> </w:t>
      </w:r>
      <w:r>
        <w:rPr>
          <w:rFonts w:ascii="Arial" w:hAnsi="Arial" w:cs="Arial"/>
          <w:sz w:val="24"/>
          <w:szCs w:val="24"/>
        </w:rPr>
        <w:t>m</w:t>
      </w:r>
      <w:r w:rsidR="001258B5">
        <w:rPr>
          <w:rFonts w:ascii="Arial" w:hAnsi="Arial" w:cs="Arial"/>
          <w:sz w:val="24"/>
          <w:szCs w:val="24"/>
        </w:rPr>
        <w:t>illion</w:t>
      </w:r>
      <w:r>
        <w:rPr>
          <w:rFonts w:ascii="Arial" w:hAnsi="Arial" w:cs="Arial"/>
          <w:sz w:val="24"/>
          <w:szCs w:val="24"/>
        </w:rPr>
        <w:t>, and with no material impact on adjusted earnings per share.</w:t>
      </w:r>
    </w:p>
    <w:p w:rsidR="003F0A73" w:rsidRDefault="003F0A73" w:rsidP="003F0A73">
      <w:pPr>
        <w:jc w:val="left"/>
        <w:rPr>
          <w:rFonts w:ascii="Arial" w:hAnsi="Arial" w:cs="Arial"/>
          <w:sz w:val="24"/>
          <w:szCs w:val="24"/>
          <w:highlight w:val="yellow"/>
        </w:rPr>
      </w:pPr>
    </w:p>
    <w:p w:rsidR="003F0A73" w:rsidRDefault="003F0A73" w:rsidP="003F0A73">
      <w:pPr>
        <w:jc w:val="left"/>
        <w:rPr>
          <w:rFonts w:ascii="Arial" w:hAnsi="Arial" w:cs="Arial"/>
          <w:sz w:val="24"/>
          <w:szCs w:val="24"/>
        </w:rPr>
      </w:pPr>
      <w:r>
        <w:rPr>
          <w:rFonts w:ascii="Arial" w:hAnsi="Arial" w:cs="Arial"/>
          <w:sz w:val="24"/>
          <w:szCs w:val="24"/>
        </w:rPr>
        <w:t>A reconciliation of statutory profit to adjusted profit is set out below:</w:t>
      </w:r>
    </w:p>
    <w:p w:rsidR="003F0A73" w:rsidRDefault="003F0A73" w:rsidP="003F0A73">
      <w:pPr>
        <w:rPr>
          <w:rFonts w:ascii="Arial" w:hAnsi="Arial" w:cs="Arial"/>
          <w:sz w:val="24"/>
          <w:szCs w:val="24"/>
          <w:highlight w:val="yellow"/>
        </w:rPr>
      </w:pPr>
    </w:p>
    <w:tbl>
      <w:tblPr>
        <w:tblW w:w="5000" w:type="pct"/>
        <w:tblLook w:val="01E0" w:firstRow="1" w:lastRow="1" w:firstColumn="1" w:lastColumn="1" w:noHBand="0" w:noVBand="0"/>
      </w:tblPr>
      <w:tblGrid>
        <w:gridCol w:w="5722"/>
        <w:gridCol w:w="1222"/>
        <w:gridCol w:w="1205"/>
        <w:gridCol w:w="1492"/>
      </w:tblGrid>
      <w:tr w:rsidR="003F0A73" w:rsidTr="003F0A73">
        <w:tc>
          <w:tcPr>
            <w:tcW w:w="2967" w:type="pct"/>
            <w:tcBorders>
              <w:top w:val="nil"/>
              <w:left w:val="nil"/>
              <w:bottom w:val="single" w:sz="4" w:space="0" w:color="auto"/>
              <w:right w:val="nil"/>
            </w:tcBorders>
          </w:tcPr>
          <w:p w:rsidR="003F0A73" w:rsidRDefault="003F0A73">
            <w:pPr>
              <w:jc w:val="right"/>
              <w:rPr>
                <w:rFonts w:ascii="Arial" w:hAnsi="Arial" w:cs="Arial"/>
                <w:sz w:val="24"/>
                <w:szCs w:val="24"/>
              </w:rPr>
            </w:pPr>
          </w:p>
        </w:tc>
        <w:tc>
          <w:tcPr>
            <w:tcW w:w="634" w:type="pct"/>
            <w:tcBorders>
              <w:top w:val="nil"/>
              <w:left w:val="nil"/>
              <w:bottom w:val="single" w:sz="4" w:space="0" w:color="auto"/>
              <w:right w:val="nil"/>
            </w:tcBorders>
            <w:hideMark/>
          </w:tcPr>
          <w:p w:rsidR="003F0A73" w:rsidRDefault="003F0A73">
            <w:pPr>
              <w:jc w:val="right"/>
              <w:rPr>
                <w:rFonts w:ascii="Arial" w:hAnsi="Arial" w:cs="Arial"/>
                <w:b/>
                <w:sz w:val="24"/>
                <w:szCs w:val="24"/>
              </w:rPr>
            </w:pPr>
            <w:r>
              <w:rPr>
                <w:rFonts w:ascii="Arial" w:hAnsi="Arial" w:cs="Arial"/>
                <w:b/>
                <w:sz w:val="24"/>
                <w:szCs w:val="24"/>
              </w:rPr>
              <w:t>2014/15</w:t>
            </w:r>
          </w:p>
          <w:p w:rsidR="003F0A73" w:rsidRDefault="003F0A73">
            <w:pPr>
              <w:jc w:val="right"/>
              <w:rPr>
                <w:rFonts w:ascii="Arial" w:hAnsi="Arial" w:cs="Arial"/>
                <w:b/>
                <w:sz w:val="24"/>
                <w:szCs w:val="24"/>
              </w:rPr>
            </w:pPr>
            <w:r>
              <w:rPr>
                <w:rFonts w:ascii="Arial" w:hAnsi="Arial" w:cs="Arial"/>
                <w:b/>
                <w:sz w:val="24"/>
                <w:szCs w:val="24"/>
              </w:rPr>
              <w:t>£m</w:t>
            </w:r>
          </w:p>
        </w:tc>
        <w:tc>
          <w:tcPr>
            <w:tcW w:w="625" w:type="pct"/>
            <w:tcBorders>
              <w:top w:val="nil"/>
              <w:left w:val="nil"/>
              <w:bottom w:val="single" w:sz="4" w:space="0" w:color="auto"/>
              <w:right w:val="nil"/>
            </w:tcBorders>
            <w:hideMark/>
          </w:tcPr>
          <w:p w:rsidR="003F0A73" w:rsidRDefault="003F0A73">
            <w:pPr>
              <w:ind w:right="75"/>
              <w:jc w:val="right"/>
              <w:rPr>
                <w:rFonts w:ascii="Arial" w:hAnsi="Arial" w:cs="Arial"/>
                <w:sz w:val="24"/>
                <w:szCs w:val="24"/>
              </w:rPr>
            </w:pPr>
            <w:r>
              <w:rPr>
                <w:rFonts w:ascii="Arial" w:hAnsi="Arial" w:cs="Arial"/>
                <w:sz w:val="24"/>
                <w:szCs w:val="24"/>
              </w:rPr>
              <w:t>2013/14</w:t>
            </w:r>
          </w:p>
          <w:p w:rsidR="003F0A73" w:rsidRDefault="003F0A73">
            <w:pPr>
              <w:ind w:right="75"/>
              <w:jc w:val="right"/>
              <w:rPr>
                <w:rFonts w:ascii="Arial" w:hAnsi="Arial" w:cs="Arial"/>
                <w:sz w:val="24"/>
                <w:szCs w:val="24"/>
              </w:rPr>
            </w:pPr>
            <w:r>
              <w:rPr>
                <w:rFonts w:ascii="Arial" w:hAnsi="Arial" w:cs="Arial"/>
                <w:sz w:val="24"/>
                <w:szCs w:val="24"/>
              </w:rPr>
              <w:t>£m</w:t>
            </w:r>
          </w:p>
        </w:tc>
        <w:tc>
          <w:tcPr>
            <w:tcW w:w="774" w:type="pct"/>
            <w:tcBorders>
              <w:top w:val="nil"/>
              <w:left w:val="nil"/>
              <w:bottom w:val="single" w:sz="4" w:space="0" w:color="auto"/>
              <w:right w:val="nil"/>
            </w:tcBorders>
            <w:hideMark/>
          </w:tcPr>
          <w:p w:rsidR="003F0A73" w:rsidRDefault="003F0A73">
            <w:pPr>
              <w:jc w:val="right"/>
              <w:rPr>
                <w:rFonts w:ascii="Arial" w:hAnsi="Arial" w:cs="Arial"/>
                <w:sz w:val="24"/>
                <w:szCs w:val="24"/>
              </w:rPr>
            </w:pPr>
            <w:r>
              <w:rPr>
                <w:rFonts w:ascii="Arial" w:hAnsi="Arial" w:cs="Arial"/>
                <w:sz w:val="24"/>
                <w:szCs w:val="24"/>
              </w:rPr>
              <w:t>Increase/</w:t>
            </w:r>
          </w:p>
          <w:p w:rsidR="003F0A73" w:rsidRDefault="003F0A73">
            <w:pPr>
              <w:jc w:val="right"/>
              <w:rPr>
                <w:rFonts w:ascii="Arial" w:hAnsi="Arial" w:cs="Arial"/>
                <w:sz w:val="24"/>
                <w:szCs w:val="24"/>
              </w:rPr>
            </w:pPr>
            <w:r>
              <w:rPr>
                <w:rFonts w:ascii="Arial" w:hAnsi="Arial" w:cs="Arial"/>
                <w:sz w:val="24"/>
                <w:szCs w:val="24"/>
              </w:rPr>
              <w:t>(decrease)</w:t>
            </w:r>
          </w:p>
        </w:tc>
      </w:tr>
      <w:tr w:rsidR="003F0A73" w:rsidTr="003F0A73">
        <w:trPr>
          <w:trHeight w:hRule="exact" w:val="113"/>
        </w:trPr>
        <w:tc>
          <w:tcPr>
            <w:tcW w:w="2967" w:type="pct"/>
            <w:tcBorders>
              <w:top w:val="single" w:sz="4" w:space="0" w:color="auto"/>
              <w:left w:val="nil"/>
              <w:bottom w:val="nil"/>
              <w:right w:val="nil"/>
            </w:tcBorders>
          </w:tcPr>
          <w:p w:rsidR="003F0A73" w:rsidRDefault="003F0A73">
            <w:pPr>
              <w:rPr>
                <w:rFonts w:ascii="Arial" w:hAnsi="Arial" w:cs="Arial"/>
                <w:sz w:val="24"/>
                <w:szCs w:val="24"/>
              </w:rPr>
            </w:pPr>
          </w:p>
        </w:tc>
        <w:tc>
          <w:tcPr>
            <w:tcW w:w="634" w:type="pct"/>
            <w:tcBorders>
              <w:top w:val="single" w:sz="4" w:space="0" w:color="auto"/>
              <w:left w:val="nil"/>
              <w:bottom w:val="nil"/>
              <w:right w:val="nil"/>
            </w:tcBorders>
          </w:tcPr>
          <w:p w:rsidR="003F0A73" w:rsidRDefault="003F0A73">
            <w:pPr>
              <w:jc w:val="right"/>
              <w:rPr>
                <w:rFonts w:ascii="Arial" w:hAnsi="Arial" w:cs="Arial"/>
                <w:b/>
                <w:sz w:val="24"/>
                <w:szCs w:val="24"/>
              </w:rPr>
            </w:pPr>
          </w:p>
        </w:tc>
        <w:tc>
          <w:tcPr>
            <w:tcW w:w="625" w:type="pct"/>
            <w:tcBorders>
              <w:top w:val="single" w:sz="4" w:space="0" w:color="auto"/>
              <w:left w:val="nil"/>
              <w:bottom w:val="nil"/>
              <w:right w:val="nil"/>
            </w:tcBorders>
          </w:tcPr>
          <w:p w:rsidR="003F0A73" w:rsidRDefault="003F0A73">
            <w:pPr>
              <w:ind w:right="75"/>
              <w:jc w:val="right"/>
              <w:rPr>
                <w:rFonts w:ascii="Arial" w:hAnsi="Arial" w:cs="Arial"/>
                <w:sz w:val="24"/>
                <w:szCs w:val="24"/>
              </w:rPr>
            </w:pPr>
          </w:p>
        </w:tc>
        <w:tc>
          <w:tcPr>
            <w:tcW w:w="774" w:type="pct"/>
            <w:tcBorders>
              <w:top w:val="single" w:sz="4" w:space="0" w:color="auto"/>
              <w:left w:val="nil"/>
              <w:bottom w:val="nil"/>
              <w:right w:val="nil"/>
            </w:tcBorders>
          </w:tcPr>
          <w:p w:rsidR="003F0A73" w:rsidRDefault="003F0A73">
            <w:pPr>
              <w:jc w:val="right"/>
              <w:rPr>
                <w:rFonts w:ascii="Arial" w:hAnsi="Arial" w:cs="Arial"/>
                <w:sz w:val="24"/>
                <w:szCs w:val="24"/>
              </w:rPr>
            </w:pPr>
          </w:p>
        </w:tc>
      </w:tr>
      <w:tr w:rsidR="003F0A73" w:rsidTr="003F0A73">
        <w:tc>
          <w:tcPr>
            <w:tcW w:w="2967" w:type="pct"/>
            <w:hideMark/>
          </w:tcPr>
          <w:p w:rsidR="003F0A73" w:rsidRDefault="003F0A73">
            <w:pPr>
              <w:rPr>
                <w:rFonts w:ascii="Arial" w:hAnsi="Arial" w:cs="Arial"/>
                <w:b/>
                <w:sz w:val="24"/>
                <w:szCs w:val="24"/>
              </w:rPr>
            </w:pPr>
            <w:r>
              <w:rPr>
                <w:rFonts w:ascii="Arial" w:hAnsi="Arial" w:cs="Arial"/>
                <w:b/>
                <w:sz w:val="24"/>
                <w:szCs w:val="24"/>
              </w:rPr>
              <w:t>Profit before taxation</w:t>
            </w:r>
          </w:p>
        </w:tc>
        <w:tc>
          <w:tcPr>
            <w:tcW w:w="634" w:type="pct"/>
            <w:hideMark/>
          </w:tcPr>
          <w:p w:rsidR="003F0A73" w:rsidRDefault="003F0A73">
            <w:pPr>
              <w:jc w:val="right"/>
              <w:rPr>
                <w:rFonts w:ascii="Arial" w:hAnsi="Arial" w:cs="Arial"/>
                <w:b/>
                <w:sz w:val="24"/>
                <w:szCs w:val="24"/>
              </w:rPr>
            </w:pPr>
            <w:r>
              <w:rPr>
                <w:rFonts w:ascii="Arial" w:hAnsi="Arial" w:cs="Arial"/>
                <w:b/>
                <w:sz w:val="24"/>
                <w:szCs w:val="24"/>
              </w:rPr>
              <w:t>375</w:t>
            </w:r>
          </w:p>
        </w:tc>
        <w:tc>
          <w:tcPr>
            <w:tcW w:w="625" w:type="pct"/>
            <w:hideMark/>
          </w:tcPr>
          <w:p w:rsidR="003F0A73" w:rsidRDefault="003F0A73">
            <w:pPr>
              <w:jc w:val="right"/>
              <w:rPr>
                <w:rFonts w:ascii="Arial" w:hAnsi="Arial" w:cs="Arial"/>
                <w:sz w:val="24"/>
                <w:szCs w:val="24"/>
              </w:rPr>
            </w:pPr>
            <w:r>
              <w:rPr>
                <w:rFonts w:ascii="Arial" w:hAnsi="Arial" w:cs="Arial"/>
                <w:sz w:val="24"/>
                <w:szCs w:val="24"/>
              </w:rPr>
              <w:t>401</w:t>
            </w:r>
          </w:p>
        </w:tc>
        <w:tc>
          <w:tcPr>
            <w:tcW w:w="774" w:type="pct"/>
            <w:vAlign w:val="bottom"/>
            <w:hideMark/>
          </w:tcPr>
          <w:p w:rsidR="003F0A73" w:rsidRDefault="003F0A73">
            <w:pPr>
              <w:jc w:val="right"/>
              <w:rPr>
                <w:rFonts w:ascii="Arial" w:hAnsi="Arial" w:cs="Arial"/>
                <w:sz w:val="24"/>
                <w:szCs w:val="24"/>
              </w:rPr>
            </w:pPr>
            <w:r>
              <w:rPr>
                <w:rFonts w:ascii="Arial" w:hAnsi="Arial" w:cs="Arial"/>
                <w:sz w:val="24"/>
                <w:szCs w:val="24"/>
              </w:rPr>
              <w:t>(6.5)%</w:t>
            </w:r>
          </w:p>
        </w:tc>
      </w:tr>
      <w:tr w:rsidR="003F0A73" w:rsidTr="003F0A73">
        <w:tc>
          <w:tcPr>
            <w:tcW w:w="2967" w:type="pct"/>
            <w:tcBorders>
              <w:top w:val="nil"/>
              <w:left w:val="nil"/>
              <w:bottom w:val="single" w:sz="4" w:space="0" w:color="auto"/>
              <w:right w:val="nil"/>
            </w:tcBorders>
            <w:hideMark/>
          </w:tcPr>
          <w:p w:rsidR="003F0A73" w:rsidRDefault="003F0A73">
            <w:pPr>
              <w:rPr>
                <w:rFonts w:ascii="Arial" w:hAnsi="Arial" w:cs="Arial"/>
                <w:sz w:val="24"/>
                <w:szCs w:val="24"/>
              </w:rPr>
            </w:pPr>
            <w:r>
              <w:rPr>
                <w:rFonts w:ascii="Arial" w:hAnsi="Arial" w:cs="Arial"/>
                <w:sz w:val="24"/>
                <w:szCs w:val="24"/>
              </w:rPr>
              <w:t>Exceptional items (pre-tax)</w:t>
            </w:r>
          </w:p>
        </w:tc>
        <w:tc>
          <w:tcPr>
            <w:tcW w:w="634" w:type="pct"/>
            <w:tcBorders>
              <w:top w:val="nil"/>
              <w:left w:val="nil"/>
              <w:bottom w:val="single" w:sz="4" w:space="0" w:color="auto"/>
              <w:right w:val="nil"/>
            </w:tcBorders>
            <w:hideMark/>
          </w:tcPr>
          <w:p w:rsidR="003F0A73" w:rsidRDefault="003F0A73">
            <w:pPr>
              <w:jc w:val="right"/>
              <w:rPr>
                <w:rFonts w:ascii="Arial" w:hAnsi="Arial" w:cs="Arial"/>
                <w:b/>
                <w:sz w:val="24"/>
                <w:szCs w:val="24"/>
              </w:rPr>
            </w:pPr>
            <w:r>
              <w:rPr>
                <w:rFonts w:ascii="Arial" w:hAnsi="Arial" w:cs="Arial"/>
                <w:b/>
                <w:sz w:val="24"/>
                <w:szCs w:val="24"/>
              </w:rPr>
              <w:t>(10)</w:t>
            </w:r>
          </w:p>
        </w:tc>
        <w:tc>
          <w:tcPr>
            <w:tcW w:w="625" w:type="pct"/>
            <w:tcBorders>
              <w:top w:val="nil"/>
              <w:left w:val="nil"/>
              <w:bottom w:val="single" w:sz="4" w:space="0" w:color="auto"/>
              <w:right w:val="nil"/>
            </w:tcBorders>
            <w:hideMark/>
          </w:tcPr>
          <w:p w:rsidR="003F0A73" w:rsidRDefault="003F0A73">
            <w:pPr>
              <w:jc w:val="right"/>
              <w:rPr>
                <w:rFonts w:ascii="Arial" w:hAnsi="Arial" w:cs="Arial"/>
                <w:sz w:val="24"/>
                <w:szCs w:val="24"/>
              </w:rPr>
            </w:pPr>
            <w:r>
              <w:rPr>
                <w:rFonts w:ascii="Arial" w:hAnsi="Arial" w:cs="Arial"/>
                <w:sz w:val="24"/>
                <w:szCs w:val="24"/>
              </w:rPr>
              <w:t>(35)</w:t>
            </w:r>
          </w:p>
        </w:tc>
        <w:tc>
          <w:tcPr>
            <w:tcW w:w="774" w:type="pct"/>
            <w:tcBorders>
              <w:top w:val="nil"/>
              <w:left w:val="nil"/>
              <w:bottom w:val="single" w:sz="4" w:space="0" w:color="auto"/>
              <w:right w:val="nil"/>
            </w:tcBorders>
            <w:vAlign w:val="bottom"/>
          </w:tcPr>
          <w:p w:rsidR="003F0A73" w:rsidRDefault="003F0A73">
            <w:pPr>
              <w:jc w:val="right"/>
              <w:rPr>
                <w:rFonts w:ascii="Arial" w:hAnsi="Arial" w:cs="Arial"/>
                <w:sz w:val="24"/>
                <w:szCs w:val="24"/>
              </w:rPr>
            </w:pPr>
          </w:p>
        </w:tc>
      </w:tr>
      <w:tr w:rsidR="003F0A73" w:rsidTr="003F0A73">
        <w:tc>
          <w:tcPr>
            <w:tcW w:w="2967" w:type="pct"/>
            <w:tcBorders>
              <w:top w:val="single" w:sz="4" w:space="0" w:color="auto"/>
              <w:left w:val="nil"/>
              <w:bottom w:val="nil"/>
              <w:right w:val="nil"/>
            </w:tcBorders>
            <w:hideMark/>
          </w:tcPr>
          <w:p w:rsidR="003F0A73" w:rsidRDefault="003F0A73">
            <w:pPr>
              <w:rPr>
                <w:rFonts w:ascii="Arial" w:hAnsi="Arial" w:cs="Arial"/>
                <w:sz w:val="24"/>
                <w:szCs w:val="24"/>
              </w:rPr>
            </w:pPr>
            <w:r>
              <w:rPr>
                <w:rFonts w:ascii="Arial" w:hAnsi="Arial" w:cs="Arial"/>
                <w:sz w:val="24"/>
                <w:szCs w:val="24"/>
              </w:rPr>
              <w:t xml:space="preserve">Profit before exceptional items and taxation </w:t>
            </w:r>
          </w:p>
        </w:tc>
        <w:tc>
          <w:tcPr>
            <w:tcW w:w="634" w:type="pct"/>
            <w:tcBorders>
              <w:top w:val="single" w:sz="4" w:space="0" w:color="auto"/>
              <w:left w:val="nil"/>
              <w:bottom w:val="nil"/>
              <w:right w:val="nil"/>
            </w:tcBorders>
            <w:hideMark/>
          </w:tcPr>
          <w:p w:rsidR="003F0A73" w:rsidRDefault="003F0A73">
            <w:pPr>
              <w:jc w:val="right"/>
              <w:rPr>
                <w:rFonts w:ascii="Arial" w:hAnsi="Arial" w:cs="Arial"/>
                <w:b/>
                <w:sz w:val="24"/>
                <w:szCs w:val="24"/>
              </w:rPr>
            </w:pPr>
            <w:r>
              <w:rPr>
                <w:rFonts w:ascii="Arial" w:hAnsi="Arial" w:cs="Arial"/>
                <w:b/>
                <w:sz w:val="24"/>
                <w:szCs w:val="24"/>
              </w:rPr>
              <w:t>365</w:t>
            </w:r>
          </w:p>
        </w:tc>
        <w:tc>
          <w:tcPr>
            <w:tcW w:w="625" w:type="pct"/>
            <w:tcBorders>
              <w:top w:val="single" w:sz="4" w:space="0" w:color="auto"/>
              <w:left w:val="nil"/>
              <w:bottom w:val="nil"/>
              <w:right w:val="nil"/>
            </w:tcBorders>
            <w:hideMark/>
          </w:tcPr>
          <w:p w:rsidR="003F0A73" w:rsidRDefault="003F0A73">
            <w:pPr>
              <w:jc w:val="right"/>
              <w:rPr>
                <w:rFonts w:ascii="Arial" w:hAnsi="Arial" w:cs="Arial"/>
                <w:sz w:val="24"/>
                <w:szCs w:val="24"/>
              </w:rPr>
            </w:pPr>
            <w:r>
              <w:rPr>
                <w:rFonts w:ascii="Arial" w:hAnsi="Arial" w:cs="Arial"/>
                <w:sz w:val="24"/>
                <w:szCs w:val="24"/>
              </w:rPr>
              <w:t>366</w:t>
            </w:r>
          </w:p>
        </w:tc>
        <w:tc>
          <w:tcPr>
            <w:tcW w:w="774" w:type="pct"/>
            <w:tcBorders>
              <w:top w:val="single" w:sz="4" w:space="0" w:color="auto"/>
              <w:left w:val="nil"/>
              <w:bottom w:val="nil"/>
              <w:right w:val="nil"/>
            </w:tcBorders>
            <w:vAlign w:val="bottom"/>
            <w:hideMark/>
          </w:tcPr>
          <w:p w:rsidR="003F0A73" w:rsidRDefault="003F0A73">
            <w:pPr>
              <w:jc w:val="right"/>
              <w:rPr>
                <w:rFonts w:ascii="Arial" w:hAnsi="Arial" w:cs="Arial"/>
                <w:sz w:val="24"/>
                <w:szCs w:val="24"/>
              </w:rPr>
            </w:pPr>
            <w:r>
              <w:rPr>
                <w:rFonts w:ascii="Arial" w:hAnsi="Arial" w:cs="Arial"/>
                <w:sz w:val="24"/>
                <w:szCs w:val="24"/>
              </w:rPr>
              <w:t>(0.3)%</w:t>
            </w:r>
          </w:p>
        </w:tc>
      </w:tr>
      <w:tr w:rsidR="003F0A73" w:rsidTr="003F0A73">
        <w:tc>
          <w:tcPr>
            <w:tcW w:w="2967" w:type="pct"/>
            <w:hideMark/>
          </w:tcPr>
          <w:p w:rsidR="003F0A73" w:rsidRDefault="003F0A73">
            <w:pPr>
              <w:rPr>
                <w:rFonts w:ascii="Arial" w:hAnsi="Arial" w:cs="Arial"/>
                <w:sz w:val="24"/>
                <w:szCs w:val="24"/>
              </w:rPr>
            </w:pPr>
            <w:r>
              <w:rPr>
                <w:rFonts w:ascii="Arial" w:hAnsi="Arial" w:cs="Arial"/>
                <w:sz w:val="24"/>
                <w:szCs w:val="24"/>
              </w:rPr>
              <w:t>Share of Hornbach post-tax results</w:t>
            </w:r>
          </w:p>
        </w:tc>
        <w:tc>
          <w:tcPr>
            <w:tcW w:w="634" w:type="pct"/>
            <w:hideMark/>
          </w:tcPr>
          <w:p w:rsidR="003F0A73" w:rsidRDefault="003F0A73">
            <w:pPr>
              <w:jc w:val="right"/>
              <w:rPr>
                <w:rFonts w:ascii="Arial" w:hAnsi="Arial" w:cs="Arial"/>
                <w:b/>
                <w:sz w:val="24"/>
                <w:szCs w:val="24"/>
              </w:rPr>
            </w:pPr>
            <w:r>
              <w:rPr>
                <w:rFonts w:ascii="Arial" w:hAnsi="Arial" w:cs="Arial"/>
                <w:b/>
                <w:sz w:val="24"/>
                <w:szCs w:val="24"/>
              </w:rPr>
              <w:t>-</w:t>
            </w:r>
          </w:p>
        </w:tc>
        <w:tc>
          <w:tcPr>
            <w:tcW w:w="625" w:type="pct"/>
            <w:hideMark/>
          </w:tcPr>
          <w:p w:rsidR="003F0A73" w:rsidRDefault="003F0A73">
            <w:pPr>
              <w:jc w:val="right"/>
              <w:rPr>
                <w:rFonts w:ascii="Arial" w:hAnsi="Arial" w:cs="Arial"/>
                <w:sz w:val="24"/>
                <w:szCs w:val="24"/>
              </w:rPr>
            </w:pPr>
            <w:r>
              <w:rPr>
                <w:rFonts w:ascii="Arial" w:hAnsi="Arial" w:cs="Arial"/>
                <w:sz w:val="24"/>
                <w:szCs w:val="24"/>
              </w:rPr>
              <w:t>(1)</w:t>
            </w:r>
          </w:p>
        </w:tc>
        <w:tc>
          <w:tcPr>
            <w:tcW w:w="774" w:type="pct"/>
            <w:vAlign w:val="bottom"/>
          </w:tcPr>
          <w:p w:rsidR="003F0A73" w:rsidRDefault="003F0A73">
            <w:pPr>
              <w:jc w:val="right"/>
              <w:rPr>
                <w:rFonts w:ascii="Arial" w:hAnsi="Arial" w:cs="Arial"/>
                <w:sz w:val="24"/>
                <w:szCs w:val="24"/>
              </w:rPr>
            </w:pPr>
          </w:p>
        </w:tc>
      </w:tr>
      <w:tr w:rsidR="003F0A73" w:rsidTr="003F0A73">
        <w:tc>
          <w:tcPr>
            <w:tcW w:w="2967" w:type="pct"/>
            <w:tcBorders>
              <w:top w:val="nil"/>
              <w:left w:val="nil"/>
              <w:bottom w:val="single" w:sz="4" w:space="0" w:color="auto"/>
              <w:right w:val="nil"/>
            </w:tcBorders>
            <w:hideMark/>
          </w:tcPr>
          <w:p w:rsidR="003F0A73" w:rsidRDefault="003F0A73">
            <w:pPr>
              <w:rPr>
                <w:rFonts w:ascii="Arial" w:hAnsi="Arial" w:cs="Arial"/>
                <w:sz w:val="24"/>
                <w:szCs w:val="24"/>
              </w:rPr>
            </w:pPr>
            <w:r>
              <w:rPr>
                <w:rFonts w:ascii="Arial" w:hAnsi="Arial" w:cs="Arial"/>
                <w:sz w:val="24"/>
                <w:szCs w:val="24"/>
              </w:rPr>
              <w:t>Financing fair value remeasurements (FFVR</w:t>
            </w:r>
            <w:r w:rsidR="001258B5">
              <w:rPr>
                <w:rFonts w:ascii="Arial" w:hAnsi="Arial" w:cs="Arial"/>
                <w:sz w:val="24"/>
                <w:szCs w:val="24"/>
              </w:rPr>
              <w:t>*</w:t>
            </w:r>
            <w:r>
              <w:rPr>
                <w:rFonts w:ascii="Arial" w:hAnsi="Arial" w:cs="Arial"/>
                <w:sz w:val="24"/>
                <w:szCs w:val="24"/>
              </w:rPr>
              <w:t>)</w:t>
            </w:r>
          </w:p>
        </w:tc>
        <w:tc>
          <w:tcPr>
            <w:tcW w:w="634" w:type="pct"/>
            <w:tcBorders>
              <w:top w:val="nil"/>
              <w:left w:val="nil"/>
              <w:bottom w:val="single" w:sz="4" w:space="0" w:color="auto"/>
              <w:right w:val="nil"/>
            </w:tcBorders>
            <w:hideMark/>
          </w:tcPr>
          <w:p w:rsidR="003F0A73" w:rsidRDefault="003F0A73">
            <w:pPr>
              <w:jc w:val="right"/>
              <w:rPr>
                <w:rFonts w:ascii="Arial" w:hAnsi="Arial" w:cs="Arial"/>
                <w:b/>
                <w:sz w:val="24"/>
                <w:szCs w:val="24"/>
              </w:rPr>
            </w:pPr>
            <w:r>
              <w:rPr>
                <w:rFonts w:ascii="Arial" w:hAnsi="Arial" w:cs="Arial"/>
                <w:b/>
                <w:sz w:val="24"/>
                <w:szCs w:val="24"/>
              </w:rPr>
              <w:t>(1)</w:t>
            </w:r>
          </w:p>
        </w:tc>
        <w:tc>
          <w:tcPr>
            <w:tcW w:w="625" w:type="pct"/>
            <w:tcBorders>
              <w:top w:val="nil"/>
              <w:left w:val="nil"/>
              <w:bottom w:val="single" w:sz="4" w:space="0" w:color="auto"/>
              <w:right w:val="nil"/>
            </w:tcBorders>
            <w:hideMark/>
          </w:tcPr>
          <w:p w:rsidR="003F0A73" w:rsidRDefault="003F0A73">
            <w:pPr>
              <w:jc w:val="right"/>
              <w:rPr>
                <w:rFonts w:ascii="Arial" w:hAnsi="Arial" w:cs="Arial"/>
                <w:sz w:val="24"/>
                <w:szCs w:val="24"/>
              </w:rPr>
            </w:pPr>
            <w:r>
              <w:rPr>
                <w:rFonts w:ascii="Arial" w:hAnsi="Arial" w:cs="Arial"/>
                <w:sz w:val="24"/>
                <w:szCs w:val="24"/>
              </w:rPr>
              <w:t>(1)</w:t>
            </w:r>
          </w:p>
        </w:tc>
        <w:tc>
          <w:tcPr>
            <w:tcW w:w="774" w:type="pct"/>
            <w:tcBorders>
              <w:top w:val="nil"/>
              <w:left w:val="nil"/>
              <w:bottom w:val="single" w:sz="4" w:space="0" w:color="auto"/>
              <w:right w:val="nil"/>
            </w:tcBorders>
            <w:vAlign w:val="bottom"/>
          </w:tcPr>
          <w:p w:rsidR="003F0A73" w:rsidRDefault="003F0A73">
            <w:pPr>
              <w:jc w:val="right"/>
              <w:rPr>
                <w:rFonts w:ascii="Arial" w:hAnsi="Arial" w:cs="Arial"/>
                <w:sz w:val="24"/>
                <w:szCs w:val="24"/>
              </w:rPr>
            </w:pPr>
          </w:p>
        </w:tc>
      </w:tr>
      <w:tr w:rsidR="003F0A73" w:rsidTr="003F0A73">
        <w:tc>
          <w:tcPr>
            <w:tcW w:w="2967" w:type="pct"/>
            <w:tcBorders>
              <w:top w:val="single" w:sz="4" w:space="0" w:color="auto"/>
              <w:left w:val="nil"/>
              <w:bottom w:val="single" w:sz="4" w:space="0" w:color="auto"/>
              <w:right w:val="nil"/>
            </w:tcBorders>
            <w:hideMark/>
          </w:tcPr>
          <w:p w:rsidR="003F0A73" w:rsidRDefault="003F0A73">
            <w:pPr>
              <w:rPr>
                <w:rFonts w:ascii="Arial" w:hAnsi="Arial" w:cs="Arial"/>
                <w:b/>
                <w:sz w:val="24"/>
                <w:szCs w:val="24"/>
              </w:rPr>
            </w:pPr>
            <w:r>
              <w:rPr>
                <w:rFonts w:ascii="Arial" w:hAnsi="Arial" w:cs="Arial"/>
                <w:b/>
                <w:sz w:val="24"/>
                <w:szCs w:val="24"/>
              </w:rPr>
              <w:t>Adjusted pre-tax profit</w:t>
            </w:r>
          </w:p>
        </w:tc>
        <w:tc>
          <w:tcPr>
            <w:tcW w:w="634" w:type="pct"/>
            <w:tcBorders>
              <w:top w:val="single" w:sz="4" w:space="0" w:color="auto"/>
              <w:left w:val="nil"/>
              <w:bottom w:val="single" w:sz="4" w:space="0" w:color="auto"/>
              <w:right w:val="nil"/>
            </w:tcBorders>
            <w:hideMark/>
          </w:tcPr>
          <w:p w:rsidR="003F0A73" w:rsidRDefault="003F0A73">
            <w:pPr>
              <w:jc w:val="right"/>
              <w:rPr>
                <w:rFonts w:ascii="Arial" w:hAnsi="Arial" w:cs="Arial"/>
                <w:b/>
                <w:sz w:val="24"/>
                <w:szCs w:val="24"/>
              </w:rPr>
            </w:pPr>
            <w:r>
              <w:rPr>
                <w:rFonts w:ascii="Arial" w:hAnsi="Arial" w:cs="Arial"/>
                <w:b/>
                <w:sz w:val="24"/>
                <w:szCs w:val="24"/>
              </w:rPr>
              <w:t>364</w:t>
            </w:r>
          </w:p>
        </w:tc>
        <w:tc>
          <w:tcPr>
            <w:tcW w:w="625" w:type="pct"/>
            <w:tcBorders>
              <w:top w:val="single" w:sz="4" w:space="0" w:color="auto"/>
              <w:left w:val="nil"/>
              <w:bottom w:val="single" w:sz="4" w:space="0" w:color="auto"/>
              <w:right w:val="nil"/>
            </w:tcBorders>
            <w:hideMark/>
          </w:tcPr>
          <w:p w:rsidR="003F0A73" w:rsidRDefault="003F0A73">
            <w:pPr>
              <w:jc w:val="right"/>
              <w:rPr>
                <w:rFonts w:ascii="Arial" w:hAnsi="Arial" w:cs="Arial"/>
                <w:sz w:val="24"/>
                <w:szCs w:val="24"/>
              </w:rPr>
            </w:pPr>
            <w:r>
              <w:rPr>
                <w:rFonts w:ascii="Arial" w:hAnsi="Arial" w:cs="Arial"/>
                <w:sz w:val="24"/>
                <w:szCs w:val="24"/>
              </w:rPr>
              <w:t>364</w:t>
            </w:r>
          </w:p>
        </w:tc>
        <w:tc>
          <w:tcPr>
            <w:tcW w:w="774" w:type="pct"/>
            <w:tcBorders>
              <w:top w:val="single" w:sz="4" w:space="0" w:color="auto"/>
              <w:left w:val="nil"/>
              <w:bottom w:val="single" w:sz="4" w:space="0" w:color="auto"/>
              <w:right w:val="nil"/>
            </w:tcBorders>
            <w:vAlign w:val="bottom"/>
            <w:hideMark/>
          </w:tcPr>
          <w:p w:rsidR="003F0A73" w:rsidRDefault="003F0A73">
            <w:pPr>
              <w:jc w:val="right"/>
              <w:rPr>
                <w:rFonts w:ascii="Arial" w:hAnsi="Arial" w:cs="Arial"/>
                <w:sz w:val="24"/>
                <w:szCs w:val="24"/>
              </w:rPr>
            </w:pPr>
            <w:r>
              <w:rPr>
                <w:rFonts w:ascii="Arial" w:hAnsi="Arial" w:cs="Arial"/>
                <w:sz w:val="24"/>
                <w:szCs w:val="24"/>
              </w:rPr>
              <w:t>Flat</w:t>
            </w:r>
          </w:p>
        </w:tc>
      </w:tr>
    </w:tbl>
    <w:p w:rsidR="003F0A73" w:rsidRDefault="003F0A73" w:rsidP="003F0A73">
      <w:pPr>
        <w:rPr>
          <w:rFonts w:ascii="Arial" w:eastAsia="Times New Roman" w:hAnsi="Arial" w:cs="Arial"/>
          <w:sz w:val="24"/>
          <w:szCs w:val="24"/>
          <w:highlight w:val="yellow"/>
        </w:rPr>
      </w:pPr>
    </w:p>
    <w:p w:rsidR="003F0A73" w:rsidRDefault="003F0A73" w:rsidP="003F0A73">
      <w:pPr>
        <w:jc w:val="left"/>
        <w:rPr>
          <w:rFonts w:ascii="Arial" w:hAnsi="Arial" w:cs="Arial"/>
          <w:sz w:val="24"/>
          <w:szCs w:val="24"/>
        </w:rPr>
      </w:pPr>
      <w:r>
        <w:rPr>
          <w:rFonts w:ascii="Arial" w:hAnsi="Arial" w:cs="Arial"/>
          <w:sz w:val="24"/>
          <w:szCs w:val="24"/>
        </w:rPr>
        <w:t>Profit and EPS including all exceptional items for the six months ended 2 August 2014 are set out below:</w:t>
      </w:r>
    </w:p>
    <w:tbl>
      <w:tblPr>
        <w:tblW w:w="5001" w:type="pct"/>
        <w:tblLook w:val="01E0" w:firstRow="1" w:lastRow="1" w:firstColumn="1" w:lastColumn="1" w:noHBand="0" w:noVBand="0"/>
      </w:tblPr>
      <w:tblGrid>
        <w:gridCol w:w="5682"/>
        <w:gridCol w:w="1194"/>
        <w:gridCol w:w="1311"/>
        <w:gridCol w:w="1456"/>
      </w:tblGrid>
      <w:tr w:rsidR="003F0A73" w:rsidTr="003F0A73">
        <w:tc>
          <w:tcPr>
            <w:tcW w:w="2946" w:type="pct"/>
            <w:tcBorders>
              <w:top w:val="nil"/>
              <w:left w:val="nil"/>
              <w:bottom w:val="single" w:sz="4" w:space="0" w:color="auto"/>
              <w:right w:val="nil"/>
            </w:tcBorders>
          </w:tcPr>
          <w:p w:rsidR="003F0A73" w:rsidRDefault="003F0A73">
            <w:pPr>
              <w:jc w:val="right"/>
              <w:rPr>
                <w:rFonts w:ascii="Arial" w:hAnsi="Arial" w:cs="Arial"/>
                <w:sz w:val="24"/>
                <w:szCs w:val="24"/>
              </w:rPr>
            </w:pPr>
          </w:p>
        </w:tc>
        <w:tc>
          <w:tcPr>
            <w:tcW w:w="619" w:type="pct"/>
            <w:tcBorders>
              <w:top w:val="nil"/>
              <w:left w:val="nil"/>
              <w:bottom w:val="single" w:sz="4" w:space="0" w:color="auto"/>
              <w:right w:val="nil"/>
            </w:tcBorders>
            <w:hideMark/>
          </w:tcPr>
          <w:p w:rsidR="003F0A73" w:rsidRDefault="003F0A73">
            <w:pPr>
              <w:jc w:val="right"/>
              <w:rPr>
                <w:rFonts w:ascii="Arial" w:hAnsi="Arial" w:cs="Arial"/>
                <w:b/>
                <w:sz w:val="24"/>
                <w:szCs w:val="24"/>
              </w:rPr>
            </w:pPr>
            <w:r>
              <w:rPr>
                <w:rFonts w:ascii="Arial" w:hAnsi="Arial" w:cs="Arial"/>
                <w:b/>
                <w:sz w:val="24"/>
                <w:szCs w:val="24"/>
              </w:rPr>
              <w:t>2014/15</w:t>
            </w:r>
          </w:p>
        </w:tc>
        <w:tc>
          <w:tcPr>
            <w:tcW w:w="680" w:type="pct"/>
            <w:tcBorders>
              <w:top w:val="nil"/>
              <w:left w:val="nil"/>
              <w:bottom w:val="single" w:sz="4" w:space="0" w:color="auto"/>
              <w:right w:val="nil"/>
            </w:tcBorders>
            <w:hideMark/>
          </w:tcPr>
          <w:p w:rsidR="003F0A73" w:rsidRDefault="003F0A73">
            <w:pPr>
              <w:jc w:val="right"/>
              <w:rPr>
                <w:rFonts w:ascii="Arial" w:hAnsi="Arial" w:cs="Arial"/>
                <w:sz w:val="24"/>
                <w:szCs w:val="24"/>
              </w:rPr>
            </w:pPr>
            <w:r>
              <w:rPr>
                <w:rFonts w:ascii="Arial" w:hAnsi="Arial" w:cs="Arial"/>
                <w:sz w:val="24"/>
                <w:szCs w:val="24"/>
              </w:rPr>
              <w:t>2013/14</w:t>
            </w:r>
          </w:p>
        </w:tc>
        <w:tc>
          <w:tcPr>
            <w:tcW w:w="755" w:type="pct"/>
            <w:tcBorders>
              <w:top w:val="nil"/>
              <w:left w:val="nil"/>
              <w:bottom w:val="single" w:sz="4" w:space="0" w:color="auto"/>
              <w:right w:val="nil"/>
            </w:tcBorders>
            <w:hideMark/>
          </w:tcPr>
          <w:p w:rsidR="003F0A73" w:rsidRDefault="003F0A73">
            <w:pPr>
              <w:jc w:val="right"/>
              <w:rPr>
                <w:rFonts w:ascii="Arial" w:hAnsi="Arial" w:cs="Arial"/>
                <w:sz w:val="24"/>
                <w:szCs w:val="24"/>
              </w:rPr>
            </w:pPr>
            <w:r>
              <w:rPr>
                <w:rFonts w:ascii="Arial" w:hAnsi="Arial" w:cs="Arial"/>
                <w:sz w:val="24"/>
                <w:szCs w:val="24"/>
              </w:rPr>
              <w:t>Increase/</w:t>
            </w:r>
          </w:p>
          <w:p w:rsidR="003F0A73" w:rsidRDefault="003F0A73">
            <w:pPr>
              <w:jc w:val="right"/>
              <w:rPr>
                <w:rFonts w:ascii="Arial" w:hAnsi="Arial" w:cs="Arial"/>
                <w:sz w:val="24"/>
                <w:szCs w:val="24"/>
              </w:rPr>
            </w:pPr>
            <w:r>
              <w:rPr>
                <w:rFonts w:ascii="Arial" w:hAnsi="Arial" w:cs="Arial"/>
                <w:sz w:val="24"/>
                <w:szCs w:val="24"/>
              </w:rPr>
              <w:t>(decrease)</w:t>
            </w:r>
          </w:p>
        </w:tc>
      </w:tr>
      <w:tr w:rsidR="003F0A73" w:rsidTr="003F0A73">
        <w:trPr>
          <w:trHeight w:val="80"/>
        </w:trPr>
        <w:tc>
          <w:tcPr>
            <w:tcW w:w="2946" w:type="pct"/>
            <w:tcBorders>
              <w:top w:val="single" w:sz="4" w:space="0" w:color="auto"/>
              <w:left w:val="nil"/>
              <w:bottom w:val="nil"/>
              <w:right w:val="nil"/>
            </w:tcBorders>
          </w:tcPr>
          <w:p w:rsidR="003F0A73" w:rsidRDefault="003F0A73">
            <w:pPr>
              <w:rPr>
                <w:rFonts w:ascii="Arial" w:hAnsi="Arial" w:cs="Arial"/>
                <w:sz w:val="2"/>
                <w:szCs w:val="2"/>
              </w:rPr>
            </w:pPr>
          </w:p>
        </w:tc>
        <w:tc>
          <w:tcPr>
            <w:tcW w:w="619" w:type="pct"/>
            <w:tcBorders>
              <w:top w:val="single" w:sz="4" w:space="0" w:color="auto"/>
              <w:left w:val="nil"/>
              <w:bottom w:val="nil"/>
              <w:right w:val="nil"/>
            </w:tcBorders>
          </w:tcPr>
          <w:p w:rsidR="003F0A73" w:rsidRDefault="003F0A73">
            <w:pPr>
              <w:jc w:val="right"/>
              <w:rPr>
                <w:rFonts w:ascii="Arial" w:hAnsi="Arial" w:cs="Arial"/>
                <w:b/>
                <w:sz w:val="2"/>
                <w:szCs w:val="2"/>
              </w:rPr>
            </w:pPr>
          </w:p>
        </w:tc>
        <w:tc>
          <w:tcPr>
            <w:tcW w:w="680" w:type="pct"/>
            <w:tcBorders>
              <w:top w:val="single" w:sz="4" w:space="0" w:color="auto"/>
              <w:left w:val="nil"/>
              <w:bottom w:val="nil"/>
              <w:right w:val="nil"/>
            </w:tcBorders>
          </w:tcPr>
          <w:p w:rsidR="003F0A73" w:rsidRDefault="003F0A73">
            <w:pPr>
              <w:jc w:val="right"/>
              <w:rPr>
                <w:rFonts w:ascii="Arial" w:hAnsi="Arial" w:cs="Arial"/>
                <w:sz w:val="2"/>
                <w:szCs w:val="2"/>
              </w:rPr>
            </w:pPr>
          </w:p>
        </w:tc>
        <w:tc>
          <w:tcPr>
            <w:tcW w:w="755" w:type="pct"/>
            <w:tcBorders>
              <w:top w:val="single" w:sz="4" w:space="0" w:color="auto"/>
              <w:left w:val="nil"/>
              <w:bottom w:val="nil"/>
              <w:right w:val="nil"/>
            </w:tcBorders>
          </w:tcPr>
          <w:p w:rsidR="003F0A73" w:rsidRDefault="003F0A73">
            <w:pPr>
              <w:jc w:val="right"/>
              <w:rPr>
                <w:rFonts w:ascii="Arial" w:hAnsi="Arial" w:cs="Arial"/>
                <w:sz w:val="2"/>
                <w:szCs w:val="2"/>
              </w:rPr>
            </w:pPr>
          </w:p>
        </w:tc>
      </w:tr>
      <w:tr w:rsidR="003F0A73" w:rsidTr="003F0A73">
        <w:tc>
          <w:tcPr>
            <w:tcW w:w="2946" w:type="pct"/>
            <w:hideMark/>
          </w:tcPr>
          <w:p w:rsidR="003F0A73" w:rsidRDefault="003F0A73">
            <w:pPr>
              <w:rPr>
                <w:rFonts w:ascii="Arial" w:hAnsi="Arial" w:cs="Arial"/>
                <w:sz w:val="24"/>
                <w:szCs w:val="24"/>
              </w:rPr>
            </w:pPr>
            <w:r>
              <w:rPr>
                <w:rFonts w:ascii="Arial" w:hAnsi="Arial" w:cs="Arial"/>
                <w:sz w:val="24"/>
                <w:szCs w:val="24"/>
              </w:rPr>
              <w:t>Profit after tax</w:t>
            </w:r>
          </w:p>
        </w:tc>
        <w:tc>
          <w:tcPr>
            <w:tcW w:w="619" w:type="pct"/>
            <w:hideMark/>
          </w:tcPr>
          <w:p w:rsidR="003F0A73" w:rsidRDefault="003F0A73">
            <w:pPr>
              <w:jc w:val="right"/>
              <w:rPr>
                <w:rFonts w:ascii="Arial" w:hAnsi="Arial" w:cs="Arial"/>
                <w:b/>
                <w:sz w:val="24"/>
                <w:szCs w:val="24"/>
              </w:rPr>
            </w:pPr>
            <w:r>
              <w:rPr>
                <w:rFonts w:ascii="Arial" w:hAnsi="Arial" w:cs="Arial"/>
                <w:b/>
                <w:sz w:val="24"/>
                <w:szCs w:val="24"/>
              </w:rPr>
              <w:t>£277m</w:t>
            </w:r>
          </w:p>
        </w:tc>
        <w:tc>
          <w:tcPr>
            <w:tcW w:w="680" w:type="pct"/>
            <w:hideMark/>
          </w:tcPr>
          <w:p w:rsidR="003F0A73" w:rsidRDefault="003F0A73">
            <w:pPr>
              <w:jc w:val="right"/>
              <w:rPr>
                <w:rFonts w:ascii="Arial" w:hAnsi="Arial" w:cs="Arial"/>
                <w:sz w:val="24"/>
                <w:szCs w:val="24"/>
              </w:rPr>
            </w:pPr>
            <w:r>
              <w:rPr>
                <w:rFonts w:ascii="Arial" w:hAnsi="Arial" w:cs="Arial"/>
                <w:sz w:val="24"/>
                <w:szCs w:val="24"/>
              </w:rPr>
              <w:t>£440m</w:t>
            </w:r>
          </w:p>
        </w:tc>
        <w:tc>
          <w:tcPr>
            <w:tcW w:w="755" w:type="pct"/>
            <w:hideMark/>
          </w:tcPr>
          <w:p w:rsidR="003F0A73" w:rsidRDefault="003F0A73">
            <w:pPr>
              <w:jc w:val="right"/>
              <w:rPr>
                <w:rFonts w:ascii="Arial" w:hAnsi="Arial" w:cs="Arial"/>
                <w:sz w:val="24"/>
                <w:szCs w:val="24"/>
              </w:rPr>
            </w:pPr>
            <w:r>
              <w:rPr>
                <w:rFonts w:ascii="Arial" w:hAnsi="Arial" w:cs="Arial"/>
                <w:sz w:val="24"/>
                <w:szCs w:val="24"/>
              </w:rPr>
              <w:t>(37.0)%</w:t>
            </w:r>
          </w:p>
        </w:tc>
      </w:tr>
      <w:tr w:rsidR="003F0A73" w:rsidTr="003F0A73">
        <w:trPr>
          <w:trHeight w:hRule="exact" w:val="85"/>
        </w:trPr>
        <w:tc>
          <w:tcPr>
            <w:tcW w:w="2946" w:type="pct"/>
          </w:tcPr>
          <w:p w:rsidR="003F0A73" w:rsidRDefault="003F0A73">
            <w:pPr>
              <w:rPr>
                <w:rFonts w:ascii="Arial" w:hAnsi="Arial" w:cs="Arial"/>
                <w:sz w:val="24"/>
                <w:szCs w:val="24"/>
              </w:rPr>
            </w:pPr>
          </w:p>
        </w:tc>
        <w:tc>
          <w:tcPr>
            <w:tcW w:w="619" w:type="pct"/>
          </w:tcPr>
          <w:p w:rsidR="003F0A73" w:rsidRDefault="003F0A73">
            <w:pPr>
              <w:jc w:val="center"/>
              <w:rPr>
                <w:rFonts w:ascii="Arial" w:hAnsi="Arial" w:cs="Arial"/>
                <w:b/>
                <w:sz w:val="24"/>
                <w:szCs w:val="24"/>
              </w:rPr>
            </w:pPr>
          </w:p>
        </w:tc>
        <w:tc>
          <w:tcPr>
            <w:tcW w:w="680" w:type="pct"/>
          </w:tcPr>
          <w:p w:rsidR="003F0A73" w:rsidRDefault="003F0A73">
            <w:pPr>
              <w:jc w:val="center"/>
              <w:rPr>
                <w:rFonts w:ascii="Arial" w:hAnsi="Arial" w:cs="Arial"/>
                <w:sz w:val="24"/>
                <w:szCs w:val="24"/>
              </w:rPr>
            </w:pPr>
          </w:p>
        </w:tc>
        <w:tc>
          <w:tcPr>
            <w:tcW w:w="755" w:type="pct"/>
          </w:tcPr>
          <w:p w:rsidR="003F0A73" w:rsidRDefault="003F0A73">
            <w:pPr>
              <w:jc w:val="right"/>
              <w:rPr>
                <w:rFonts w:ascii="Arial" w:hAnsi="Arial" w:cs="Arial"/>
                <w:sz w:val="24"/>
                <w:szCs w:val="24"/>
              </w:rPr>
            </w:pPr>
          </w:p>
        </w:tc>
      </w:tr>
      <w:tr w:rsidR="003F0A73" w:rsidTr="003F0A73">
        <w:tc>
          <w:tcPr>
            <w:tcW w:w="2946" w:type="pct"/>
            <w:tcBorders>
              <w:top w:val="nil"/>
              <w:left w:val="nil"/>
              <w:bottom w:val="single" w:sz="4" w:space="0" w:color="auto"/>
              <w:right w:val="nil"/>
            </w:tcBorders>
            <w:hideMark/>
          </w:tcPr>
          <w:p w:rsidR="003F0A73" w:rsidRDefault="003F0A73">
            <w:pPr>
              <w:rPr>
                <w:rFonts w:ascii="Arial" w:hAnsi="Arial" w:cs="Arial"/>
                <w:sz w:val="24"/>
                <w:szCs w:val="24"/>
              </w:rPr>
            </w:pPr>
            <w:r>
              <w:rPr>
                <w:rFonts w:ascii="Arial" w:hAnsi="Arial" w:cs="Arial"/>
                <w:sz w:val="24"/>
                <w:szCs w:val="24"/>
              </w:rPr>
              <w:t xml:space="preserve">Basic EPS </w:t>
            </w:r>
          </w:p>
        </w:tc>
        <w:tc>
          <w:tcPr>
            <w:tcW w:w="619" w:type="pct"/>
            <w:tcBorders>
              <w:top w:val="nil"/>
              <w:left w:val="nil"/>
              <w:bottom w:val="single" w:sz="4" w:space="0" w:color="auto"/>
              <w:right w:val="nil"/>
            </w:tcBorders>
            <w:hideMark/>
          </w:tcPr>
          <w:p w:rsidR="003F0A73" w:rsidRDefault="003F0A73">
            <w:pPr>
              <w:jc w:val="right"/>
              <w:rPr>
                <w:rFonts w:ascii="Arial" w:hAnsi="Arial" w:cs="Arial"/>
                <w:b/>
                <w:sz w:val="24"/>
                <w:szCs w:val="24"/>
              </w:rPr>
            </w:pPr>
            <w:r>
              <w:rPr>
                <w:rFonts w:ascii="Arial" w:hAnsi="Arial" w:cs="Arial"/>
                <w:b/>
                <w:sz w:val="24"/>
                <w:szCs w:val="24"/>
              </w:rPr>
              <w:t>11.8p</w:t>
            </w:r>
          </w:p>
        </w:tc>
        <w:tc>
          <w:tcPr>
            <w:tcW w:w="680" w:type="pct"/>
            <w:tcBorders>
              <w:top w:val="nil"/>
              <w:left w:val="nil"/>
              <w:bottom w:val="single" w:sz="4" w:space="0" w:color="auto"/>
              <w:right w:val="nil"/>
            </w:tcBorders>
            <w:hideMark/>
          </w:tcPr>
          <w:p w:rsidR="003F0A73" w:rsidRDefault="003F0A73">
            <w:pPr>
              <w:jc w:val="right"/>
              <w:rPr>
                <w:rFonts w:ascii="Arial" w:hAnsi="Arial" w:cs="Arial"/>
                <w:sz w:val="24"/>
                <w:szCs w:val="24"/>
              </w:rPr>
            </w:pPr>
            <w:r>
              <w:rPr>
                <w:rFonts w:ascii="Arial" w:hAnsi="Arial" w:cs="Arial"/>
                <w:sz w:val="24"/>
                <w:szCs w:val="24"/>
              </w:rPr>
              <w:t>18.7p</w:t>
            </w:r>
          </w:p>
        </w:tc>
        <w:tc>
          <w:tcPr>
            <w:tcW w:w="755" w:type="pct"/>
            <w:tcBorders>
              <w:top w:val="nil"/>
              <w:left w:val="nil"/>
              <w:bottom w:val="single" w:sz="4" w:space="0" w:color="auto"/>
              <w:right w:val="nil"/>
            </w:tcBorders>
            <w:hideMark/>
          </w:tcPr>
          <w:p w:rsidR="003F0A73" w:rsidRDefault="003F0A73">
            <w:pPr>
              <w:jc w:val="right"/>
              <w:rPr>
                <w:rFonts w:ascii="Arial" w:hAnsi="Arial" w:cs="Arial"/>
                <w:sz w:val="24"/>
                <w:szCs w:val="24"/>
              </w:rPr>
            </w:pPr>
            <w:r>
              <w:rPr>
                <w:rFonts w:ascii="Arial" w:hAnsi="Arial" w:cs="Arial"/>
                <w:sz w:val="24"/>
                <w:szCs w:val="24"/>
              </w:rPr>
              <w:t>(36.9)%</w:t>
            </w:r>
          </w:p>
        </w:tc>
      </w:tr>
    </w:tbl>
    <w:p w:rsidR="00927442" w:rsidRDefault="00927442" w:rsidP="003F0A73">
      <w:pPr>
        <w:jc w:val="left"/>
        <w:rPr>
          <w:rFonts w:ascii="Arial" w:hAnsi="Arial" w:cs="Arial"/>
          <w:b/>
          <w:sz w:val="24"/>
          <w:szCs w:val="24"/>
        </w:rPr>
      </w:pPr>
    </w:p>
    <w:p w:rsidR="006D455C" w:rsidRDefault="006D455C">
      <w:pPr>
        <w:jc w:val="left"/>
        <w:rPr>
          <w:rFonts w:ascii="Arial" w:hAnsi="Arial" w:cs="Arial"/>
          <w:b/>
          <w:sz w:val="24"/>
          <w:szCs w:val="24"/>
        </w:rPr>
      </w:pPr>
      <w:r>
        <w:rPr>
          <w:rFonts w:ascii="Arial" w:hAnsi="Arial" w:cs="Arial"/>
          <w:b/>
          <w:sz w:val="24"/>
          <w:szCs w:val="24"/>
        </w:rPr>
        <w:br w:type="page"/>
      </w:r>
    </w:p>
    <w:p w:rsidR="003F0A73" w:rsidRDefault="003F0A73" w:rsidP="003F0A73">
      <w:pPr>
        <w:jc w:val="left"/>
        <w:rPr>
          <w:rFonts w:ascii="Arial" w:hAnsi="Arial" w:cs="Arial"/>
          <w:b/>
          <w:sz w:val="24"/>
          <w:szCs w:val="24"/>
        </w:rPr>
      </w:pPr>
      <w:r>
        <w:rPr>
          <w:rFonts w:ascii="Arial" w:hAnsi="Arial" w:cs="Arial"/>
          <w:b/>
          <w:sz w:val="24"/>
          <w:szCs w:val="24"/>
        </w:rPr>
        <w:lastRenderedPageBreak/>
        <w:t xml:space="preserve">Overview </w:t>
      </w:r>
    </w:p>
    <w:p w:rsidR="003F0A73" w:rsidRDefault="003F0A73" w:rsidP="003F0A73">
      <w:pPr>
        <w:jc w:val="left"/>
        <w:rPr>
          <w:rFonts w:ascii="Arial" w:hAnsi="Arial" w:cs="Arial"/>
          <w:b/>
          <w:sz w:val="24"/>
          <w:szCs w:val="24"/>
          <w:highlight w:val="yellow"/>
        </w:rPr>
      </w:pPr>
    </w:p>
    <w:p w:rsidR="003F0A73" w:rsidRDefault="003F0A73" w:rsidP="003F0A73">
      <w:pPr>
        <w:ind w:right="-368"/>
        <w:jc w:val="left"/>
        <w:rPr>
          <w:rFonts w:ascii="Arial" w:hAnsi="Arial" w:cs="Arial"/>
          <w:sz w:val="24"/>
          <w:szCs w:val="24"/>
        </w:rPr>
      </w:pPr>
      <w:r>
        <w:rPr>
          <w:rFonts w:ascii="Arial" w:hAnsi="Arial" w:cs="Arial"/>
          <w:sz w:val="24"/>
          <w:szCs w:val="24"/>
        </w:rPr>
        <w:t>Total</w:t>
      </w:r>
      <w:r>
        <w:rPr>
          <w:rFonts w:ascii="Arial" w:hAnsi="Arial" w:cs="Arial"/>
          <w:b/>
          <w:sz w:val="24"/>
          <w:szCs w:val="24"/>
        </w:rPr>
        <w:t xml:space="preserve"> sales</w:t>
      </w:r>
      <w:r>
        <w:rPr>
          <w:rFonts w:ascii="Arial" w:hAnsi="Arial" w:cs="Arial"/>
          <w:sz w:val="24"/>
          <w:szCs w:val="24"/>
        </w:rPr>
        <w:t xml:space="preserve"> grew by 4.6% on a constant currency basis and grew by 0.9% to £5.8 billion (2013/14: £5.7 billion) on a reported rate basis.  On a like-for-like basis, Group sales were up 1.8% (2013/14: down 0.8%). During the period, a net additional 3</w:t>
      </w:r>
      <w:r w:rsidR="00EA3362">
        <w:rPr>
          <w:rFonts w:ascii="Arial" w:hAnsi="Arial" w:cs="Arial"/>
          <w:sz w:val="24"/>
          <w:szCs w:val="24"/>
        </w:rPr>
        <w:t>0</w:t>
      </w:r>
      <w:r>
        <w:rPr>
          <w:rFonts w:ascii="Arial" w:hAnsi="Arial" w:cs="Arial"/>
          <w:sz w:val="24"/>
          <w:szCs w:val="24"/>
        </w:rPr>
        <w:t xml:space="preserve"> new stores were opened, including 24 Screwfix trade cou</w:t>
      </w:r>
      <w:r w:rsidR="001258B5">
        <w:rPr>
          <w:rFonts w:ascii="Arial" w:hAnsi="Arial" w:cs="Arial"/>
          <w:sz w:val="24"/>
          <w:szCs w:val="24"/>
        </w:rPr>
        <w:t xml:space="preserve">nters and the first Brico Dépôt </w:t>
      </w:r>
      <w:r>
        <w:rPr>
          <w:rFonts w:ascii="Arial" w:hAnsi="Arial" w:cs="Arial"/>
          <w:sz w:val="24"/>
          <w:szCs w:val="24"/>
        </w:rPr>
        <w:t>store in Portugal, taking the store network to 1,</w:t>
      </w:r>
      <w:r w:rsidR="0065261B">
        <w:rPr>
          <w:rFonts w:ascii="Arial" w:hAnsi="Arial" w:cs="Arial"/>
          <w:sz w:val="24"/>
          <w:szCs w:val="24"/>
        </w:rPr>
        <w:t xml:space="preserve">109 </w:t>
      </w:r>
      <w:r>
        <w:rPr>
          <w:rFonts w:ascii="Arial" w:hAnsi="Arial" w:cs="Arial"/>
          <w:sz w:val="24"/>
          <w:szCs w:val="24"/>
        </w:rPr>
        <w:t>stores (excluding 48 Turkey JV stores).</w:t>
      </w:r>
    </w:p>
    <w:p w:rsidR="003F0A73" w:rsidRDefault="003F0A73" w:rsidP="003F0A73">
      <w:pPr>
        <w:ind w:right="-368"/>
        <w:jc w:val="left"/>
        <w:rPr>
          <w:rFonts w:ascii="Arial" w:hAnsi="Arial" w:cs="Arial"/>
          <w:sz w:val="24"/>
          <w:szCs w:val="24"/>
        </w:rPr>
      </w:pPr>
    </w:p>
    <w:p w:rsidR="003F0A73" w:rsidRDefault="003F0A73" w:rsidP="003F0A73">
      <w:pPr>
        <w:ind w:right="-368"/>
        <w:jc w:val="left"/>
        <w:rPr>
          <w:rFonts w:ascii="Arial" w:hAnsi="Arial" w:cs="Arial"/>
          <w:sz w:val="24"/>
          <w:szCs w:val="24"/>
        </w:rPr>
      </w:pPr>
      <w:r>
        <w:rPr>
          <w:rFonts w:ascii="Arial" w:hAnsi="Arial" w:cs="Arial"/>
          <w:b/>
          <w:sz w:val="24"/>
          <w:szCs w:val="24"/>
        </w:rPr>
        <w:t>Retail profit</w:t>
      </w:r>
      <w:r>
        <w:rPr>
          <w:rFonts w:ascii="Arial" w:hAnsi="Arial" w:cs="Arial"/>
          <w:sz w:val="24"/>
          <w:szCs w:val="24"/>
        </w:rPr>
        <w:t xml:space="preserve"> before exceptional items remained flat at £390 million (2013/14: £390 million restated), including a £12 million adverse foreign exchange movement representing a 3.3% increase on a constant currency basis. During the period significant work was performed on expansion including opening our first store in Portugal, preparing for the opening of the first four trade counters of Screwfix Germany and developing the newly acquired business in Romania. In total this resulted in a £11 million charge in the period.</w:t>
      </w:r>
    </w:p>
    <w:p w:rsidR="003F0A73" w:rsidRDefault="003F0A73" w:rsidP="003F0A73">
      <w:pPr>
        <w:ind w:right="-368"/>
        <w:jc w:val="left"/>
        <w:rPr>
          <w:rFonts w:ascii="Arial" w:hAnsi="Arial" w:cs="Arial"/>
          <w:sz w:val="24"/>
          <w:szCs w:val="24"/>
          <w:highlight w:val="yellow"/>
        </w:rPr>
      </w:pPr>
    </w:p>
    <w:p w:rsidR="003F0A73" w:rsidRPr="00C0194C" w:rsidRDefault="003F0A73" w:rsidP="003F0A73">
      <w:pPr>
        <w:jc w:val="left"/>
        <w:rPr>
          <w:rFonts w:ascii="Arial" w:hAnsi="Arial" w:cs="Arial"/>
          <w:sz w:val="24"/>
          <w:szCs w:val="24"/>
        </w:rPr>
      </w:pPr>
      <w:r>
        <w:rPr>
          <w:rFonts w:ascii="Arial" w:hAnsi="Arial" w:cs="Arial"/>
          <w:sz w:val="24"/>
          <w:szCs w:val="24"/>
        </w:rPr>
        <w:t xml:space="preserve">The net </w:t>
      </w:r>
      <w:r>
        <w:rPr>
          <w:rFonts w:ascii="Arial" w:hAnsi="Arial" w:cs="Arial"/>
          <w:b/>
          <w:sz w:val="24"/>
          <w:szCs w:val="24"/>
        </w:rPr>
        <w:t>interest</w:t>
      </w:r>
      <w:r>
        <w:rPr>
          <w:rFonts w:ascii="Arial" w:hAnsi="Arial" w:cs="Arial"/>
          <w:sz w:val="24"/>
          <w:szCs w:val="24"/>
        </w:rPr>
        <w:t xml:space="preserve"> charge for the six months was £3 million, compared with a prior period income of £25 million. A breakdown of this is shown below:</w:t>
      </w:r>
    </w:p>
    <w:tbl>
      <w:tblPr>
        <w:tblW w:w="5001" w:type="pct"/>
        <w:tblLook w:val="04A0" w:firstRow="1" w:lastRow="0" w:firstColumn="1" w:lastColumn="0" w:noHBand="0" w:noVBand="1"/>
      </w:tblPr>
      <w:tblGrid>
        <w:gridCol w:w="6796"/>
        <w:gridCol w:w="1323"/>
        <w:gridCol w:w="1524"/>
      </w:tblGrid>
      <w:tr w:rsidR="003F0A73" w:rsidTr="003F0A73">
        <w:trPr>
          <w:trHeight w:val="525"/>
        </w:trPr>
        <w:tc>
          <w:tcPr>
            <w:tcW w:w="3524" w:type="pct"/>
            <w:tcBorders>
              <w:top w:val="nil"/>
              <w:left w:val="nil"/>
              <w:bottom w:val="single" w:sz="4" w:space="0" w:color="auto"/>
              <w:right w:val="nil"/>
            </w:tcBorders>
            <w:vAlign w:val="bottom"/>
          </w:tcPr>
          <w:p w:rsidR="003F0A73" w:rsidRDefault="003F0A73">
            <w:pPr>
              <w:jc w:val="left"/>
              <w:rPr>
                <w:rFonts w:ascii="Arial" w:hAnsi="Arial" w:cs="Arial"/>
                <w:bCs/>
                <w:sz w:val="24"/>
                <w:szCs w:val="24"/>
              </w:rPr>
            </w:pPr>
          </w:p>
        </w:tc>
        <w:tc>
          <w:tcPr>
            <w:tcW w:w="686" w:type="pct"/>
            <w:tcBorders>
              <w:top w:val="nil"/>
              <w:left w:val="nil"/>
              <w:bottom w:val="single" w:sz="4" w:space="0" w:color="auto"/>
              <w:right w:val="nil"/>
            </w:tcBorders>
            <w:vAlign w:val="bottom"/>
            <w:hideMark/>
          </w:tcPr>
          <w:p w:rsidR="003F0A73" w:rsidRDefault="003F0A73">
            <w:pPr>
              <w:jc w:val="right"/>
              <w:rPr>
                <w:rFonts w:ascii="Arial" w:hAnsi="Arial" w:cs="Arial"/>
                <w:b/>
                <w:bCs/>
                <w:sz w:val="24"/>
                <w:szCs w:val="24"/>
              </w:rPr>
            </w:pPr>
            <w:r>
              <w:rPr>
                <w:rFonts w:ascii="Arial" w:hAnsi="Arial" w:cs="Arial"/>
                <w:b/>
                <w:bCs/>
                <w:sz w:val="24"/>
                <w:szCs w:val="24"/>
              </w:rPr>
              <w:t>2014/15</w:t>
            </w:r>
          </w:p>
          <w:p w:rsidR="003F0A73" w:rsidRDefault="003F0A73">
            <w:pPr>
              <w:jc w:val="right"/>
              <w:rPr>
                <w:rFonts w:ascii="Arial" w:hAnsi="Arial" w:cs="Arial"/>
                <w:b/>
                <w:bCs/>
                <w:sz w:val="24"/>
                <w:szCs w:val="24"/>
              </w:rPr>
            </w:pPr>
            <w:r>
              <w:rPr>
                <w:rFonts w:ascii="Arial" w:hAnsi="Arial" w:cs="Arial"/>
                <w:b/>
                <w:bCs/>
                <w:sz w:val="24"/>
                <w:szCs w:val="24"/>
              </w:rPr>
              <w:t>£m</w:t>
            </w:r>
          </w:p>
        </w:tc>
        <w:tc>
          <w:tcPr>
            <w:tcW w:w="790" w:type="pct"/>
            <w:tcBorders>
              <w:top w:val="nil"/>
              <w:left w:val="nil"/>
              <w:bottom w:val="single" w:sz="4" w:space="0" w:color="auto"/>
              <w:right w:val="nil"/>
            </w:tcBorders>
            <w:vAlign w:val="bottom"/>
            <w:hideMark/>
          </w:tcPr>
          <w:p w:rsidR="003F0A73" w:rsidRDefault="003F0A73">
            <w:pPr>
              <w:jc w:val="right"/>
              <w:rPr>
                <w:rFonts w:ascii="Arial" w:hAnsi="Arial" w:cs="Arial"/>
                <w:bCs/>
                <w:sz w:val="24"/>
                <w:szCs w:val="24"/>
              </w:rPr>
            </w:pPr>
            <w:r>
              <w:rPr>
                <w:rFonts w:ascii="Arial" w:hAnsi="Arial" w:cs="Arial"/>
                <w:bCs/>
                <w:sz w:val="24"/>
                <w:szCs w:val="24"/>
              </w:rPr>
              <w:t>2013/14</w:t>
            </w:r>
          </w:p>
          <w:p w:rsidR="003F0A73" w:rsidRDefault="003F0A73">
            <w:pPr>
              <w:jc w:val="right"/>
              <w:rPr>
                <w:rFonts w:ascii="Arial" w:hAnsi="Arial" w:cs="Arial"/>
                <w:bCs/>
                <w:sz w:val="24"/>
                <w:szCs w:val="24"/>
              </w:rPr>
            </w:pPr>
            <w:r>
              <w:rPr>
                <w:rFonts w:ascii="Arial" w:hAnsi="Arial" w:cs="Arial"/>
                <w:bCs/>
                <w:sz w:val="24"/>
                <w:szCs w:val="24"/>
              </w:rPr>
              <w:t>£m</w:t>
            </w:r>
          </w:p>
        </w:tc>
      </w:tr>
      <w:tr w:rsidR="003F0A73" w:rsidTr="003F0A73">
        <w:trPr>
          <w:trHeight w:val="254"/>
        </w:trPr>
        <w:tc>
          <w:tcPr>
            <w:tcW w:w="3524" w:type="pct"/>
            <w:tcBorders>
              <w:top w:val="single" w:sz="4" w:space="0" w:color="auto"/>
              <w:left w:val="nil"/>
              <w:bottom w:val="nil"/>
              <w:right w:val="nil"/>
            </w:tcBorders>
            <w:vAlign w:val="bottom"/>
            <w:hideMark/>
          </w:tcPr>
          <w:p w:rsidR="003F0A73" w:rsidRDefault="00D74D2E">
            <w:pPr>
              <w:rPr>
                <w:rFonts w:ascii="Arial" w:hAnsi="Arial" w:cs="Arial"/>
                <w:sz w:val="24"/>
                <w:szCs w:val="24"/>
              </w:rPr>
            </w:pPr>
            <w:r>
              <w:rPr>
                <w:rFonts w:ascii="Arial" w:hAnsi="Arial" w:cs="Arial"/>
                <w:sz w:val="24"/>
                <w:szCs w:val="24"/>
              </w:rPr>
              <w:t>Interest on net cash/debt</w:t>
            </w:r>
          </w:p>
        </w:tc>
        <w:tc>
          <w:tcPr>
            <w:tcW w:w="686" w:type="pct"/>
            <w:tcBorders>
              <w:top w:val="single" w:sz="4" w:space="0" w:color="auto"/>
              <w:left w:val="nil"/>
              <w:bottom w:val="nil"/>
              <w:right w:val="nil"/>
            </w:tcBorders>
            <w:vAlign w:val="bottom"/>
            <w:hideMark/>
          </w:tcPr>
          <w:p w:rsidR="003F0A73" w:rsidRDefault="003F0A73">
            <w:pPr>
              <w:jc w:val="right"/>
              <w:rPr>
                <w:rFonts w:ascii="Arial" w:hAnsi="Arial" w:cs="Arial"/>
                <w:b/>
                <w:sz w:val="24"/>
                <w:szCs w:val="24"/>
              </w:rPr>
            </w:pPr>
            <w:r>
              <w:rPr>
                <w:rFonts w:ascii="Arial" w:hAnsi="Arial" w:cs="Arial"/>
                <w:b/>
                <w:sz w:val="24"/>
                <w:szCs w:val="24"/>
              </w:rPr>
              <w:t>(</w:t>
            </w:r>
            <w:r w:rsidR="00D74D2E">
              <w:rPr>
                <w:rFonts w:ascii="Arial" w:hAnsi="Arial" w:cs="Arial"/>
                <w:b/>
                <w:sz w:val="24"/>
                <w:szCs w:val="24"/>
              </w:rPr>
              <w:t>3</w:t>
            </w:r>
            <w:r>
              <w:rPr>
                <w:rFonts w:ascii="Arial" w:hAnsi="Arial" w:cs="Arial"/>
                <w:b/>
                <w:sz w:val="24"/>
                <w:szCs w:val="24"/>
              </w:rPr>
              <w:t>)</w:t>
            </w:r>
          </w:p>
        </w:tc>
        <w:tc>
          <w:tcPr>
            <w:tcW w:w="790" w:type="pct"/>
            <w:tcBorders>
              <w:top w:val="single" w:sz="4" w:space="0" w:color="auto"/>
              <w:left w:val="nil"/>
              <w:bottom w:val="nil"/>
              <w:right w:val="nil"/>
            </w:tcBorders>
            <w:vAlign w:val="bottom"/>
            <w:hideMark/>
          </w:tcPr>
          <w:p w:rsidR="003F0A73" w:rsidRDefault="003F0A73">
            <w:pPr>
              <w:jc w:val="right"/>
              <w:rPr>
                <w:rFonts w:ascii="Arial" w:hAnsi="Arial" w:cs="Arial"/>
                <w:sz w:val="24"/>
                <w:szCs w:val="24"/>
              </w:rPr>
            </w:pPr>
            <w:r>
              <w:rPr>
                <w:rFonts w:ascii="Arial" w:hAnsi="Arial" w:cs="Arial"/>
                <w:sz w:val="24"/>
                <w:szCs w:val="24"/>
              </w:rPr>
              <w:t>(</w:t>
            </w:r>
            <w:r w:rsidR="00D74D2E">
              <w:rPr>
                <w:rFonts w:ascii="Arial" w:hAnsi="Arial" w:cs="Arial"/>
                <w:sz w:val="24"/>
                <w:szCs w:val="24"/>
              </w:rPr>
              <w:t>4</w:t>
            </w:r>
            <w:r>
              <w:rPr>
                <w:rFonts w:ascii="Arial" w:hAnsi="Arial" w:cs="Arial"/>
                <w:sz w:val="24"/>
                <w:szCs w:val="24"/>
              </w:rPr>
              <w:t>)</w:t>
            </w:r>
          </w:p>
        </w:tc>
      </w:tr>
      <w:tr w:rsidR="00D74D2E" w:rsidTr="001F3AEA">
        <w:trPr>
          <w:trHeight w:val="254"/>
        </w:trPr>
        <w:tc>
          <w:tcPr>
            <w:tcW w:w="3524" w:type="pct"/>
            <w:tcBorders>
              <w:bottom w:val="single" w:sz="4" w:space="0" w:color="auto"/>
            </w:tcBorders>
            <w:vAlign w:val="bottom"/>
          </w:tcPr>
          <w:p w:rsidR="00D74D2E" w:rsidRDefault="00D74D2E">
            <w:pPr>
              <w:rPr>
                <w:rFonts w:ascii="Arial" w:hAnsi="Arial" w:cs="Arial"/>
                <w:sz w:val="24"/>
                <w:szCs w:val="24"/>
              </w:rPr>
            </w:pPr>
            <w:r>
              <w:rPr>
                <w:rFonts w:ascii="Arial" w:hAnsi="Arial" w:cs="Arial"/>
                <w:sz w:val="24"/>
                <w:szCs w:val="24"/>
              </w:rPr>
              <w:t>Pensions interest</w:t>
            </w:r>
          </w:p>
        </w:tc>
        <w:tc>
          <w:tcPr>
            <w:tcW w:w="686" w:type="pct"/>
            <w:tcBorders>
              <w:bottom w:val="single" w:sz="4" w:space="0" w:color="auto"/>
            </w:tcBorders>
            <w:vAlign w:val="bottom"/>
          </w:tcPr>
          <w:p w:rsidR="00D74D2E" w:rsidRDefault="00D74D2E">
            <w:pPr>
              <w:jc w:val="right"/>
              <w:rPr>
                <w:rFonts w:ascii="Arial" w:hAnsi="Arial" w:cs="Arial"/>
                <w:b/>
                <w:sz w:val="24"/>
                <w:szCs w:val="24"/>
              </w:rPr>
            </w:pPr>
            <w:r>
              <w:rPr>
                <w:rFonts w:ascii="Arial" w:hAnsi="Arial" w:cs="Arial"/>
                <w:b/>
                <w:sz w:val="24"/>
                <w:szCs w:val="24"/>
              </w:rPr>
              <w:t>(1)</w:t>
            </w:r>
          </w:p>
        </w:tc>
        <w:tc>
          <w:tcPr>
            <w:tcW w:w="790" w:type="pct"/>
            <w:tcBorders>
              <w:bottom w:val="single" w:sz="4" w:space="0" w:color="auto"/>
            </w:tcBorders>
            <w:vAlign w:val="bottom"/>
          </w:tcPr>
          <w:p w:rsidR="00D74D2E" w:rsidRDefault="00D74D2E">
            <w:pPr>
              <w:jc w:val="right"/>
              <w:rPr>
                <w:rFonts w:ascii="Arial" w:hAnsi="Arial" w:cs="Arial"/>
                <w:sz w:val="24"/>
                <w:szCs w:val="24"/>
              </w:rPr>
            </w:pPr>
            <w:r>
              <w:rPr>
                <w:rFonts w:ascii="Arial" w:hAnsi="Arial" w:cs="Arial"/>
                <w:sz w:val="24"/>
                <w:szCs w:val="24"/>
              </w:rPr>
              <w:t>1</w:t>
            </w:r>
          </w:p>
        </w:tc>
      </w:tr>
      <w:tr w:rsidR="00D74D2E" w:rsidTr="001F3AEA">
        <w:trPr>
          <w:trHeight w:val="254"/>
        </w:trPr>
        <w:tc>
          <w:tcPr>
            <w:tcW w:w="3524" w:type="pct"/>
            <w:tcBorders>
              <w:top w:val="single" w:sz="4" w:space="0" w:color="auto"/>
            </w:tcBorders>
            <w:vAlign w:val="bottom"/>
          </w:tcPr>
          <w:p w:rsidR="00D74D2E" w:rsidRPr="001F3AEA" w:rsidRDefault="00D74D2E">
            <w:pPr>
              <w:rPr>
                <w:rFonts w:ascii="Arial" w:hAnsi="Arial" w:cs="Arial"/>
                <w:b/>
                <w:sz w:val="24"/>
                <w:szCs w:val="24"/>
              </w:rPr>
            </w:pPr>
            <w:r w:rsidRPr="001F3AEA">
              <w:rPr>
                <w:rFonts w:ascii="Arial" w:hAnsi="Arial" w:cs="Arial"/>
                <w:b/>
                <w:sz w:val="24"/>
                <w:szCs w:val="24"/>
              </w:rPr>
              <w:t>Underlying net interest</w:t>
            </w:r>
          </w:p>
        </w:tc>
        <w:tc>
          <w:tcPr>
            <w:tcW w:w="686" w:type="pct"/>
            <w:tcBorders>
              <w:top w:val="single" w:sz="4" w:space="0" w:color="auto"/>
            </w:tcBorders>
            <w:vAlign w:val="bottom"/>
          </w:tcPr>
          <w:p w:rsidR="00D74D2E" w:rsidRDefault="00D74D2E">
            <w:pPr>
              <w:jc w:val="right"/>
              <w:rPr>
                <w:rFonts w:ascii="Arial" w:hAnsi="Arial" w:cs="Arial"/>
                <w:b/>
                <w:sz w:val="24"/>
                <w:szCs w:val="24"/>
              </w:rPr>
            </w:pPr>
            <w:r>
              <w:rPr>
                <w:rFonts w:ascii="Arial" w:hAnsi="Arial" w:cs="Arial"/>
                <w:b/>
                <w:sz w:val="24"/>
                <w:szCs w:val="24"/>
              </w:rPr>
              <w:t>(4)</w:t>
            </w:r>
          </w:p>
        </w:tc>
        <w:tc>
          <w:tcPr>
            <w:tcW w:w="790" w:type="pct"/>
            <w:tcBorders>
              <w:top w:val="single" w:sz="4" w:space="0" w:color="auto"/>
            </w:tcBorders>
            <w:vAlign w:val="bottom"/>
          </w:tcPr>
          <w:p w:rsidR="00D74D2E" w:rsidRDefault="00D74D2E">
            <w:pPr>
              <w:jc w:val="right"/>
              <w:rPr>
                <w:rFonts w:ascii="Arial" w:hAnsi="Arial" w:cs="Arial"/>
                <w:sz w:val="24"/>
                <w:szCs w:val="24"/>
              </w:rPr>
            </w:pPr>
            <w:r>
              <w:rPr>
                <w:rFonts w:ascii="Arial" w:hAnsi="Arial" w:cs="Arial"/>
                <w:sz w:val="24"/>
                <w:szCs w:val="24"/>
              </w:rPr>
              <w:t>(3)</w:t>
            </w:r>
          </w:p>
        </w:tc>
      </w:tr>
      <w:tr w:rsidR="003F0A73" w:rsidTr="003F0A73">
        <w:trPr>
          <w:trHeight w:val="254"/>
        </w:trPr>
        <w:tc>
          <w:tcPr>
            <w:tcW w:w="3524" w:type="pct"/>
            <w:vAlign w:val="bottom"/>
            <w:hideMark/>
          </w:tcPr>
          <w:p w:rsidR="003F0A73" w:rsidRDefault="003F0A73">
            <w:pPr>
              <w:rPr>
                <w:rFonts w:ascii="Arial" w:hAnsi="Arial" w:cs="Arial"/>
                <w:sz w:val="24"/>
                <w:szCs w:val="24"/>
              </w:rPr>
            </w:pPr>
            <w:r>
              <w:rPr>
                <w:rFonts w:ascii="Arial" w:hAnsi="Arial" w:cs="Arial"/>
                <w:sz w:val="24"/>
                <w:szCs w:val="24"/>
              </w:rPr>
              <w:t>FFVR</w:t>
            </w:r>
          </w:p>
        </w:tc>
        <w:tc>
          <w:tcPr>
            <w:tcW w:w="686" w:type="pct"/>
            <w:vAlign w:val="bottom"/>
            <w:hideMark/>
          </w:tcPr>
          <w:p w:rsidR="003F0A73" w:rsidRDefault="003F0A73">
            <w:pPr>
              <w:jc w:val="right"/>
              <w:rPr>
                <w:rFonts w:ascii="Arial" w:hAnsi="Arial" w:cs="Arial"/>
                <w:b/>
                <w:sz w:val="24"/>
                <w:szCs w:val="24"/>
              </w:rPr>
            </w:pPr>
            <w:r>
              <w:rPr>
                <w:rFonts w:ascii="Arial" w:hAnsi="Arial" w:cs="Arial"/>
                <w:b/>
                <w:sz w:val="24"/>
                <w:szCs w:val="24"/>
              </w:rPr>
              <w:t>1</w:t>
            </w:r>
          </w:p>
        </w:tc>
        <w:tc>
          <w:tcPr>
            <w:tcW w:w="790" w:type="pct"/>
            <w:vAlign w:val="bottom"/>
            <w:hideMark/>
          </w:tcPr>
          <w:p w:rsidR="003F0A73" w:rsidRDefault="003F0A73">
            <w:pPr>
              <w:jc w:val="right"/>
              <w:rPr>
                <w:rFonts w:ascii="Arial" w:hAnsi="Arial" w:cs="Arial"/>
                <w:sz w:val="24"/>
                <w:szCs w:val="24"/>
              </w:rPr>
            </w:pPr>
            <w:r>
              <w:rPr>
                <w:rFonts w:ascii="Arial" w:hAnsi="Arial" w:cs="Arial"/>
                <w:sz w:val="24"/>
                <w:szCs w:val="24"/>
              </w:rPr>
              <w:t>1</w:t>
            </w:r>
          </w:p>
        </w:tc>
      </w:tr>
      <w:tr w:rsidR="003F0A73" w:rsidTr="003F0A73">
        <w:trPr>
          <w:trHeight w:val="308"/>
        </w:trPr>
        <w:tc>
          <w:tcPr>
            <w:tcW w:w="3524" w:type="pct"/>
            <w:tcBorders>
              <w:top w:val="nil"/>
              <w:left w:val="nil"/>
              <w:bottom w:val="single" w:sz="4" w:space="0" w:color="auto"/>
              <w:right w:val="nil"/>
            </w:tcBorders>
            <w:vAlign w:val="bottom"/>
            <w:hideMark/>
          </w:tcPr>
          <w:p w:rsidR="003F0A73" w:rsidRDefault="003F0A73">
            <w:pPr>
              <w:jc w:val="left"/>
              <w:rPr>
                <w:rFonts w:ascii="Arial" w:hAnsi="Arial" w:cs="Arial"/>
                <w:sz w:val="24"/>
                <w:szCs w:val="24"/>
              </w:rPr>
            </w:pPr>
            <w:r>
              <w:rPr>
                <w:rFonts w:ascii="Arial" w:hAnsi="Arial" w:cs="Arial"/>
                <w:sz w:val="24"/>
                <w:szCs w:val="24"/>
              </w:rPr>
              <w:t>Exceptional items</w:t>
            </w:r>
          </w:p>
        </w:tc>
        <w:tc>
          <w:tcPr>
            <w:tcW w:w="686" w:type="pct"/>
            <w:tcBorders>
              <w:top w:val="nil"/>
              <w:left w:val="nil"/>
              <w:bottom w:val="single" w:sz="4" w:space="0" w:color="auto"/>
              <w:right w:val="nil"/>
            </w:tcBorders>
            <w:vAlign w:val="bottom"/>
            <w:hideMark/>
          </w:tcPr>
          <w:p w:rsidR="003F0A73" w:rsidRDefault="003F0A73">
            <w:pPr>
              <w:jc w:val="right"/>
              <w:rPr>
                <w:rFonts w:ascii="Arial" w:hAnsi="Arial" w:cs="Arial"/>
                <w:b/>
                <w:sz w:val="24"/>
                <w:szCs w:val="24"/>
              </w:rPr>
            </w:pPr>
            <w:r>
              <w:rPr>
                <w:rFonts w:ascii="Arial" w:hAnsi="Arial" w:cs="Arial"/>
                <w:b/>
                <w:sz w:val="24"/>
                <w:szCs w:val="24"/>
              </w:rPr>
              <w:t>-</w:t>
            </w:r>
          </w:p>
        </w:tc>
        <w:tc>
          <w:tcPr>
            <w:tcW w:w="790" w:type="pct"/>
            <w:tcBorders>
              <w:top w:val="nil"/>
              <w:left w:val="nil"/>
              <w:bottom w:val="single" w:sz="4" w:space="0" w:color="auto"/>
              <w:right w:val="nil"/>
            </w:tcBorders>
            <w:vAlign w:val="bottom"/>
            <w:hideMark/>
          </w:tcPr>
          <w:p w:rsidR="003F0A73" w:rsidRDefault="003F0A73">
            <w:pPr>
              <w:jc w:val="right"/>
              <w:rPr>
                <w:rFonts w:ascii="Arial" w:hAnsi="Arial" w:cs="Arial"/>
                <w:sz w:val="24"/>
                <w:szCs w:val="24"/>
              </w:rPr>
            </w:pPr>
            <w:r>
              <w:rPr>
                <w:rFonts w:ascii="Arial" w:hAnsi="Arial" w:cs="Arial"/>
                <w:sz w:val="24"/>
                <w:szCs w:val="24"/>
              </w:rPr>
              <w:t>27</w:t>
            </w:r>
          </w:p>
        </w:tc>
      </w:tr>
      <w:tr w:rsidR="003F0A73" w:rsidTr="003F0A73">
        <w:trPr>
          <w:trHeight w:val="308"/>
        </w:trPr>
        <w:tc>
          <w:tcPr>
            <w:tcW w:w="3524" w:type="pct"/>
            <w:tcBorders>
              <w:top w:val="single" w:sz="4" w:space="0" w:color="auto"/>
              <w:left w:val="nil"/>
              <w:bottom w:val="single" w:sz="4" w:space="0" w:color="auto"/>
              <w:right w:val="nil"/>
            </w:tcBorders>
            <w:vAlign w:val="bottom"/>
            <w:hideMark/>
          </w:tcPr>
          <w:p w:rsidR="003F0A73" w:rsidRDefault="003F0A73">
            <w:pPr>
              <w:jc w:val="left"/>
              <w:rPr>
                <w:rFonts w:ascii="Arial" w:hAnsi="Arial" w:cs="Arial"/>
                <w:b/>
                <w:sz w:val="24"/>
                <w:szCs w:val="24"/>
              </w:rPr>
            </w:pPr>
            <w:r>
              <w:rPr>
                <w:rFonts w:ascii="Arial" w:hAnsi="Arial" w:cs="Arial"/>
                <w:b/>
                <w:sz w:val="24"/>
                <w:szCs w:val="24"/>
              </w:rPr>
              <w:t xml:space="preserve">Statutory net interest </w:t>
            </w:r>
          </w:p>
        </w:tc>
        <w:tc>
          <w:tcPr>
            <w:tcW w:w="686" w:type="pct"/>
            <w:tcBorders>
              <w:top w:val="single" w:sz="4" w:space="0" w:color="auto"/>
              <w:left w:val="nil"/>
              <w:bottom w:val="single" w:sz="4" w:space="0" w:color="auto"/>
              <w:right w:val="nil"/>
            </w:tcBorders>
            <w:vAlign w:val="bottom"/>
            <w:hideMark/>
          </w:tcPr>
          <w:p w:rsidR="003F0A73" w:rsidRDefault="003F0A73">
            <w:pPr>
              <w:jc w:val="right"/>
              <w:rPr>
                <w:rFonts w:ascii="Arial" w:hAnsi="Arial" w:cs="Arial"/>
                <w:b/>
                <w:sz w:val="24"/>
                <w:szCs w:val="24"/>
              </w:rPr>
            </w:pPr>
            <w:r>
              <w:rPr>
                <w:rFonts w:ascii="Arial" w:hAnsi="Arial" w:cs="Arial"/>
                <w:b/>
                <w:sz w:val="24"/>
                <w:szCs w:val="24"/>
              </w:rPr>
              <w:t>(3)</w:t>
            </w:r>
          </w:p>
        </w:tc>
        <w:tc>
          <w:tcPr>
            <w:tcW w:w="790" w:type="pct"/>
            <w:tcBorders>
              <w:top w:val="single" w:sz="4" w:space="0" w:color="auto"/>
              <w:left w:val="nil"/>
              <w:bottom w:val="single" w:sz="4" w:space="0" w:color="auto"/>
              <w:right w:val="nil"/>
            </w:tcBorders>
            <w:vAlign w:val="bottom"/>
            <w:hideMark/>
          </w:tcPr>
          <w:p w:rsidR="003F0A73" w:rsidRDefault="003F0A73">
            <w:pPr>
              <w:jc w:val="right"/>
              <w:rPr>
                <w:rFonts w:ascii="Arial" w:hAnsi="Arial" w:cs="Arial"/>
                <w:sz w:val="24"/>
                <w:szCs w:val="24"/>
              </w:rPr>
            </w:pPr>
            <w:r>
              <w:rPr>
                <w:rFonts w:ascii="Arial" w:hAnsi="Arial" w:cs="Arial"/>
                <w:sz w:val="24"/>
                <w:szCs w:val="24"/>
              </w:rPr>
              <w:t>25</w:t>
            </w:r>
          </w:p>
        </w:tc>
      </w:tr>
    </w:tbl>
    <w:p w:rsidR="003F0A73" w:rsidRDefault="003F0A73">
      <w:pPr>
        <w:ind w:right="-368"/>
        <w:jc w:val="left"/>
        <w:rPr>
          <w:rFonts w:ascii="Arial" w:eastAsia="Times New Roman" w:hAnsi="Arial" w:cs="Arial"/>
          <w:sz w:val="24"/>
          <w:szCs w:val="24"/>
        </w:rPr>
      </w:pPr>
    </w:p>
    <w:p w:rsidR="00336D33" w:rsidRPr="008152E6" w:rsidRDefault="003F0A73" w:rsidP="008152E6">
      <w:pPr>
        <w:jc w:val="left"/>
        <w:rPr>
          <w:rFonts w:ascii="Arial" w:hAnsi="Arial" w:cs="Arial"/>
          <w:sz w:val="24"/>
          <w:szCs w:val="24"/>
        </w:rPr>
      </w:pPr>
      <w:r>
        <w:rPr>
          <w:rFonts w:ascii="Arial" w:hAnsi="Arial" w:cs="Arial"/>
          <w:sz w:val="24"/>
          <w:szCs w:val="24"/>
        </w:rPr>
        <w:t>The principal movement in net interest is driven by the prior period release of a £27 million exceptional repayment supplement provision on the Kesa demerger French tax case (see exceptional items below).</w:t>
      </w:r>
      <w:r w:rsidR="00336D33">
        <w:rPr>
          <w:rFonts w:ascii="Arial" w:hAnsi="Arial" w:cs="Arial"/>
          <w:sz w:val="24"/>
          <w:szCs w:val="24"/>
        </w:rPr>
        <w:t xml:space="preserve"> </w:t>
      </w:r>
      <w:r w:rsidR="00336D33" w:rsidRPr="008152E6">
        <w:rPr>
          <w:rFonts w:ascii="Arial" w:hAnsi="Arial" w:cs="Arial"/>
          <w:sz w:val="24"/>
          <w:szCs w:val="24"/>
        </w:rPr>
        <w:t>Underlying net interest of £4</w:t>
      </w:r>
      <w:r w:rsidR="00336D33">
        <w:rPr>
          <w:rFonts w:ascii="Arial" w:hAnsi="Arial" w:cs="Arial"/>
          <w:sz w:val="24"/>
          <w:szCs w:val="24"/>
        </w:rPr>
        <w:t xml:space="preserve"> </w:t>
      </w:r>
      <w:r w:rsidR="00336D33" w:rsidRPr="008152E6">
        <w:rPr>
          <w:rFonts w:ascii="Arial" w:hAnsi="Arial" w:cs="Arial"/>
          <w:sz w:val="24"/>
          <w:szCs w:val="24"/>
        </w:rPr>
        <w:t>m</w:t>
      </w:r>
      <w:r w:rsidR="00336D33">
        <w:rPr>
          <w:rFonts w:ascii="Arial" w:hAnsi="Arial" w:cs="Arial"/>
          <w:sz w:val="24"/>
          <w:szCs w:val="24"/>
        </w:rPr>
        <w:t>illion</w:t>
      </w:r>
      <w:r w:rsidR="00336D33" w:rsidRPr="008152E6">
        <w:rPr>
          <w:rFonts w:ascii="Arial" w:hAnsi="Arial" w:cs="Arial"/>
          <w:sz w:val="24"/>
          <w:szCs w:val="24"/>
        </w:rPr>
        <w:t xml:space="preserve"> was slightly higher than last year, due principally to a net interest return on our defined benefit pensions last year becoming a net interest charge this year</w:t>
      </w:r>
      <w:r w:rsidR="002917A3">
        <w:rPr>
          <w:rFonts w:ascii="Arial" w:hAnsi="Arial" w:cs="Arial"/>
          <w:sz w:val="24"/>
          <w:szCs w:val="24"/>
        </w:rPr>
        <w:t xml:space="preserve">, reflecting the increase in deficit compared with the prior half year. </w:t>
      </w:r>
    </w:p>
    <w:p w:rsidR="003F0A73" w:rsidRDefault="003F0A73" w:rsidP="003F0A73">
      <w:pPr>
        <w:jc w:val="left"/>
        <w:rPr>
          <w:rFonts w:ascii="Arial" w:hAnsi="Arial" w:cs="Arial"/>
          <w:sz w:val="24"/>
          <w:szCs w:val="24"/>
          <w:highlight w:val="yellow"/>
        </w:rPr>
      </w:pPr>
    </w:p>
    <w:p w:rsidR="003F0A73" w:rsidRDefault="003F0A73" w:rsidP="003F0A73">
      <w:pPr>
        <w:ind w:right="-368"/>
        <w:jc w:val="left"/>
        <w:rPr>
          <w:rFonts w:ascii="Arial" w:hAnsi="Arial" w:cs="Arial"/>
          <w:b/>
          <w:sz w:val="24"/>
          <w:szCs w:val="24"/>
        </w:rPr>
      </w:pPr>
      <w:r>
        <w:rPr>
          <w:rFonts w:ascii="Arial" w:hAnsi="Arial" w:cs="Arial"/>
          <w:b/>
          <w:sz w:val="24"/>
          <w:szCs w:val="24"/>
        </w:rPr>
        <w:t xml:space="preserve">Profit before tax </w:t>
      </w:r>
      <w:r>
        <w:rPr>
          <w:rFonts w:ascii="Arial" w:hAnsi="Arial" w:cs="Arial"/>
          <w:sz w:val="24"/>
          <w:szCs w:val="24"/>
        </w:rPr>
        <w:t xml:space="preserve">decreased by 6.5% to £375 million. On an adjusted basis </w:t>
      </w:r>
      <w:r>
        <w:rPr>
          <w:rFonts w:ascii="Arial" w:hAnsi="Arial" w:cs="Arial"/>
          <w:b/>
          <w:sz w:val="24"/>
          <w:szCs w:val="24"/>
        </w:rPr>
        <w:t>pre-tax profit</w:t>
      </w:r>
      <w:r>
        <w:rPr>
          <w:rFonts w:ascii="Arial" w:hAnsi="Arial" w:cs="Arial"/>
          <w:sz w:val="24"/>
          <w:szCs w:val="24"/>
        </w:rPr>
        <w:t xml:space="preserve"> remained flat at £364 million. </w:t>
      </w:r>
      <w:r>
        <w:rPr>
          <w:rFonts w:ascii="Arial" w:hAnsi="Arial" w:cs="Arial"/>
          <w:b/>
          <w:sz w:val="24"/>
          <w:szCs w:val="24"/>
        </w:rPr>
        <w:t xml:space="preserve">Profit after tax </w:t>
      </w:r>
      <w:r>
        <w:rPr>
          <w:rFonts w:ascii="Arial" w:hAnsi="Arial" w:cs="Arial"/>
          <w:sz w:val="24"/>
          <w:szCs w:val="24"/>
        </w:rPr>
        <w:t>for the period was £277</w:t>
      </w:r>
      <w:r w:rsidR="00EA3362">
        <w:rPr>
          <w:rFonts w:ascii="Arial" w:hAnsi="Arial" w:cs="Arial"/>
          <w:sz w:val="24"/>
          <w:szCs w:val="24"/>
        </w:rPr>
        <w:t xml:space="preserve"> </w:t>
      </w:r>
      <w:r>
        <w:rPr>
          <w:rFonts w:ascii="Arial" w:hAnsi="Arial" w:cs="Arial"/>
          <w:sz w:val="24"/>
          <w:szCs w:val="24"/>
        </w:rPr>
        <w:t>m</w:t>
      </w:r>
      <w:r w:rsidR="00EA3362">
        <w:rPr>
          <w:rFonts w:ascii="Arial" w:hAnsi="Arial" w:cs="Arial"/>
          <w:sz w:val="24"/>
          <w:szCs w:val="24"/>
        </w:rPr>
        <w:t>illion</w:t>
      </w:r>
      <w:r>
        <w:rPr>
          <w:rFonts w:ascii="Arial" w:hAnsi="Arial" w:cs="Arial"/>
          <w:sz w:val="24"/>
          <w:szCs w:val="24"/>
        </w:rPr>
        <w:t xml:space="preserve"> (2013/14: £440 million). This resulted in the Group recording a </w:t>
      </w:r>
      <w:r>
        <w:rPr>
          <w:rFonts w:ascii="Arial" w:hAnsi="Arial" w:cs="Arial"/>
          <w:b/>
          <w:sz w:val="24"/>
          <w:szCs w:val="24"/>
        </w:rPr>
        <w:t>basic EPS</w:t>
      </w:r>
      <w:r>
        <w:rPr>
          <w:rFonts w:ascii="Arial" w:hAnsi="Arial" w:cs="Arial"/>
          <w:sz w:val="24"/>
          <w:szCs w:val="24"/>
        </w:rPr>
        <w:t xml:space="preserve"> of 11.8p in the period (2013/14: 18.7p).</w:t>
      </w:r>
    </w:p>
    <w:p w:rsidR="003F0A73" w:rsidRDefault="003F0A73" w:rsidP="003F0A73">
      <w:pPr>
        <w:rPr>
          <w:rFonts w:ascii="Arial" w:hAnsi="Arial" w:cs="Arial"/>
          <w:sz w:val="24"/>
          <w:szCs w:val="24"/>
          <w:highlight w:val="yellow"/>
        </w:rPr>
      </w:pPr>
    </w:p>
    <w:p w:rsidR="003F0A73" w:rsidRDefault="003F0A73" w:rsidP="003F0A73">
      <w:pPr>
        <w:jc w:val="left"/>
        <w:rPr>
          <w:rFonts w:ascii="Arial" w:hAnsi="Arial" w:cs="Arial"/>
          <w:b/>
          <w:sz w:val="24"/>
          <w:szCs w:val="24"/>
        </w:rPr>
      </w:pPr>
      <w:r>
        <w:rPr>
          <w:rFonts w:ascii="Arial" w:hAnsi="Arial" w:cs="Arial"/>
          <w:b/>
          <w:sz w:val="24"/>
          <w:szCs w:val="24"/>
        </w:rPr>
        <w:t>Taxation</w:t>
      </w:r>
    </w:p>
    <w:p w:rsidR="003F0A73" w:rsidRDefault="003F0A73" w:rsidP="003F0A73">
      <w:pPr>
        <w:jc w:val="left"/>
        <w:rPr>
          <w:rFonts w:ascii="Arial" w:hAnsi="Arial" w:cs="Arial"/>
          <w:b/>
          <w:sz w:val="24"/>
          <w:szCs w:val="24"/>
        </w:rPr>
      </w:pPr>
    </w:p>
    <w:p w:rsidR="003F0A73" w:rsidRDefault="003F0A73" w:rsidP="003F0A73">
      <w:pPr>
        <w:autoSpaceDE w:val="0"/>
        <w:autoSpaceDN w:val="0"/>
        <w:adjustRightInd w:val="0"/>
        <w:rPr>
          <w:rFonts w:ascii="Arial" w:hAnsi="Arial" w:cs="Arial"/>
          <w:sz w:val="24"/>
          <w:szCs w:val="24"/>
        </w:rPr>
      </w:pPr>
      <w:r>
        <w:rPr>
          <w:rFonts w:ascii="Arial" w:hAnsi="Arial" w:cs="Arial"/>
          <w:sz w:val="24"/>
          <w:szCs w:val="24"/>
        </w:rPr>
        <w:t>The effective rate of corporation tax, calculated on profit before exceptional items and prior year tax adjustments is 27% (2013/14: 27%).</w:t>
      </w:r>
    </w:p>
    <w:p w:rsidR="003F0A73" w:rsidRDefault="003F0A73" w:rsidP="003F0A73">
      <w:pPr>
        <w:rPr>
          <w:rFonts w:ascii="Arial" w:hAnsi="Arial" w:cs="Arial"/>
          <w:sz w:val="24"/>
          <w:szCs w:val="24"/>
        </w:rPr>
      </w:pPr>
    </w:p>
    <w:tbl>
      <w:tblPr>
        <w:tblW w:w="5000" w:type="pct"/>
        <w:tblLook w:val="01E0" w:firstRow="1" w:lastRow="1" w:firstColumn="1" w:lastColumn="1" w:noHBand="0" w:noVBand="0"/>
      </w:tblPr>
      <w:tblGrid>
        <w:gridCol w:w="4652"/>
        <w:gridCol w:w="1247"/>
        <w:gridCol w:w="1248"/>
        <w:gridCol w:w="1248"/>
        <w:gridCol w:w="1246"/>
      </w:tblGrid>
      <w:tr w:rsidR="003F0A73" w:rsidTr="003F0A73">
        <w:trPr>
          <w:trHeight w:val="516"/>
        </w:trPr>
        <w:tc>
          <w:tcPr>
            <w:tcW w:w="2413" w:type="pct"/>
            <w:tcBorders>
              <w:top w:val="nil"/>
              <w:left w:val="nil"/>
              <w:bottom w:val="single" w:sz="4" w:space="0" w:color="auto"/>
              <w:right w:val="nil"/>
            </w:tcBorders>
            <w:hideMark/>
          </w:tcPr>
          <w:p w:rsidR="003F0A73" w:rsidRDefault="003F0A73">
            <w:pPr>
              <w:rPr>
                <w:rFonts w:ascii="Arial" w:hAnsi="Arial" w:cs="Arial"/>
                <w:b/>
                <w:sz w:val="24"/>
                <w:szCs w:val="24"/>
              </w:rPr>
            </w:pPr>
            <w:r>
              <w:rPr>
                <w:rFonts w:ascii="Arial" w:hAnsi="Arial" w:cs="Arial"/>
                <w:b/>
                <w:sz w:val="24"/>
                <w:szCs w:val="24"/>
              </w:rPr>
              <w:t>Effective tax rate calculation</w:t>
            </w:r>
          </w:p>
        </w:tc>
        <w:tc>
          <w:tcPr>
            <w:tcW w:w="647" w:type="pct"/>
            <w:tcBorders>
              <w:top w:val="nil"/>
              <w:left w:val="nil"/>
              <w:bottom w:val="single" w:sz="4" w:space="0" w:color="auto"/>
              <w:right w:val="nil"/>
            </w:tcBorders>
            <w:hideMark/>
          </w:tcPr>
          <w:p w:rsidR="003F0A73" w:rsidRDefault="003F0A73">
            <w:pPr>
              <w:jc w:val="right"/>
              <w:rPr>
                <w:rFonts w:ascii="Arial" w:hAnsi="Arial" w:cs="Arial"/>
                <w:b/>
                <w:sz w:val="24"/>
                <w:szCs w:val="24"/>
              </w:rPr>
            </w:pPr>
            <w:r>
              <w:rPr>
                <w:rFonts w:ascii="Arial" w:hAnsi="Arial" w:cs="Arial"/>
                <w:b/>
                <w:sz w:val="24"/>
                <w:szCs w:val="24"/>
              </w:rPr>
              <w:t>Profit</w:t>
            </w:r>
          </w:p>
          <w:p w:rsidR="003F0A73" w:rsidRDefault="003F0A73">
            <w:pPr>
              <w:jc w:val="right"/>
              <w:rPr>
                <w:rFonts w:ascii="Arial" w:hAnsi="Arial" w:cs="Arial"/>
                <w:b/>
                <w:sz w:val="24"/>
                <w:szCs w:val="24"/>
              </w:rPr>
            </w:pPr>
            <w:r>
              <w:rPr>
                <w:rFonts w:ascii="Arial" w:hAnsi="Arial" w:cs="Arial"/>
                <w:b/>
                <w:sz w:val="24"/>
                <w:szCs w:val="24"/>
              </w:rPr>
              <w:t>£m</w:t>
            </w:r>
          </w:p>
        </w:tc>
        <w:tc>
          <w:tcPr>
            <w:tcW w:w="647" w:type="pct"/>
            <w:tcBorders>
              <w:top w:val="nil"/>
              <w:left w:val="nil"/>
              <w:bottom w:val="single" w:sz="4" w:space="0" w:color="auto"/>
              <w:right w:val="nil"/>
            </w:tcBorders>
            <w:hideMark/>
          </w:tcPr>
          <w:p w:rsidR="003F0A73" w:rsidRDefault="003F0A73">
            <w:pPr>
              <w:jc w:val="right"/>
              <w:rPr>
                <w:rFonts w:ascii="Arial" w:hAnsi="Arial" w:cs="Arial"/>
                <w:b/>
                <w:sz w:val="24"/>
                <w:szCs w:val="24"/>
              </w:rPr>
            </w:pPr>
            <w:r>
              <w:rPr>
                <w:rFonts w:ascii="Arial" w:hAnsi="Arial" w:cs="Arial"/>
                <w:b/>
                <w:sz w:val="24"/>
                <w:szCs w:val="24"/>
              </w:rPr>
              <w:t xml:space="preserve">Tax </w:t>
            </w:r>
          </w:p>
          <w:p w:rsidR="003F0A73" w:rsidRDefault="003F0A73">
            <w:pPr>
              <w:jc w:val="right"/>
              <w:rPr>
                <w:rFonts w:ascii="Arial" w:hAnsi="Arial" w:cs="Arial"/>
                <w:b/>
                <w:sz w:val="24"/>
                <w:szCs w:val="24"/>
              </w:rPr>
            </w:pPr>
            <w:r>
              <w:rPr>
                <w:rFonts w:ascii="Arial" w:hAnsi="Arial" w:cs="Arial"/>
                <w:b/>
                <w:sz w:val="24"/>
                <w:szCs w:val="24"/>
              </w:rPr>
              <w:t>£m</w:t>
            </w:r>
          </w:p>
        </w:tc>
        <w:tc>
          <w:tcPr>
            <w:tcW w:w="647" w:type="pct"/>
            <w:tcBorders>
              <w:top w:val="nil"/>
              <w:left w:val="nil"/>
              <w:bottom w:val="single" w:sz="4" w:space="0" w:color="auto"/>
              <w:right w:val="nil"/>
            </w:tcBorders>
            <w:hideMark/>
          </w:tcPr>
          <w:p w:rsidR="003F0A73" w:rsidRDefault="003F0A73">
            <w:pPr>
              <w:jc w:val="right"/>
              <w:rPr>
                <w:rFonts w:ascii="Arial" w:hAnsi="Arial" w:cs="Arial"/>
                <w:b/>
                <w:sz w:val="24"/>
                <w:szCs w:val="24"/>
              </w:rPr>
            </w:pPr>
            <w:r>
              <w:rPr>
                <w:rFonts w:ascii="Arial" w:hAnsi="Arial" w:cs="Arial"/>
                <w:b/>
                <w:sz w:val="24"/>
                <w:szCs w:val="24"/>
              </w:rPr>
              <w:t>2014/15 %</w:t>
            </w:r>
          </w:p>
        </w:tc>
        <w:tc>
          <w:tcPr>
            <w:tcW w:w="647" w:type="pct"/>
            <w:tcBorders>
              <w:top w:val="nil"/>
              <w:left w:val="nil"/>
              <w:bottom w:val="single" w:sz="4" w:space="0" w:color="auto"/>
              <w:right w:val="nil"/>
            </w:tcBorders>
            <w:hideMark/>
          </w:tcPr>
          <w:p w:rsidR="003F0A73" w:rsidRDefault="003F0A73">
            <w:pPr>
              <w:jc w:val="right"/>
              <w:rPr>
                <w:rFonts w:ascii="Arial" w:hAnsi="Arial" w:cs="Arial"/>
                <w:sz w:val="24"/>
                <w:szCs w:val="24"/>
              </w:rPr>
            </w:pPr>
            <w:r>
              <w:rPr>
                <w:rFonts w:ascii="Arial" w:hAnsi="Arial" w:cs="Arial"/>
                <w:sz w:val="24"/>
                <w:szCs w:val="24"/>
              </w:rPr>
              <w:t>2013/14 %</w:t>
            </w:r>
          </w:p>
        </w:tc>
      </w:tr>
      <w:tr w:rsidR="003F0A73" w:rsidTr="003F0A73">
        <w:tc>
          <w:tcPr>
            <w:tcW w:w="2413" w:type="pct"/>
            <w:tcBorders>
              <w:top w:val="single" w:sz="4" w:space="0" w:color="auto"/>
              <w:left w:val="nil"/>
              <w:bottom w:val="nil"/>
              <w:right w:val="nil"/>
            </w:tcBorders>
            <w:hideMark/>
          </w:tcPr>
          <w:p w:rsidR="003F0A73" w:rsidRDefault="003F0A73">
            <w:pPr>
              <w:rPr>
                <w:rFonts w:ascii="Arial" w:hAnsi="Arial" w:cs="Arial"/>
                <w:sz w:val="24"/>
                <w:szCs w:val="24"/>
              </w:rPr>
            </w:pPr>
            <w:r>
              <w:rPr>
                <w:rFonts w:ascii="Arial" w:hAnsi="Arial" w:cs="Arial"/>
                <w:sz w:val="24"/>
                <w:szCs w:val="24"/>
              </w:rPr>
              <w:t>Profit before tax and tax thereon</w:t>
            </w:r>
          </w:p>
        </w:tc>
        <w:tc>
          <w:tcPr>
            <w:tcW w:w="647" w:type="pct"/>
            <w:tcBorders>
              <w:top w:val="single" w:sz="4" w:space="0" w:color="auto"/>
              <w:left w:val="nil"/>
              <w:bottom w:val="nil"/>
              <w:right w:val="nil"/>
            </w:tcBorders>
            <w:hideMark/>
          </w:tcPr>
          <w:p w:rsidR="003F0A73" w:rsidRDefault="003F0A73">
            <w:pPr>
              <w:jc w:val="right"/>
              <w:rPr>
                <w:rFonts w:ascii="Arial" w:hAnsi="Arial" w:cs="Arial"/>
                <w:b/>
                <w:sz w:val="24"/>
                <w:szCs w:val="24"/>
              </w:rPr>
            </w:pPr>
            <w:r>
              <w:rPr>
                <w:rFonts w:ascii="Arial" w:hAnsi="Arial" w:cs="Arial"/>
                <w:b/>
                <w:sz w:val="24"/>
                <w:szCs w:val="24"/>
              </w:rPr>
              <w:t>375</w:t>
            </w:r>
          </w:p>
        </w:tc>
        <w:tc>
          <w:tcPr>
            <w:tcW w:w="647" w:type="pct"/>
            <w:tcBorders>
              <w:top w:val="single" w:sz="4" w:space="0" w:color="auto"/>
              <w:left w:val="nil"/>
              <w:bottom w:val="nil"/>
              <w:right w:val="nil"/>
            </w:tcBorders>
            <w:hideMark/>
          </w:tcPr>
          <w:p w:rsidR="003F0A73" w:rsidRDefault="003F0A73">
            <w:pPr>
              <w:jc w:val="right"/>
              <w:rPr>
                <w:rFonts w:ascii="Arial" w:hAnsi="Arial" w:cs="Arial"/>
                <w:b/>
                <w:sz w:val="24"/>
                <w:szCs w:val="24"/>
              </w:rPr>
            </w:pPr>
            <w:r>
              <w:rPr>
                <w:rFonts w:ascii="Arial" w:hAnsi="Arial" w:cs="Arial"/>
                <w:b/>
                <w:sz w:val="24"/>
                <w:szCs w:val="24"/>
              </w:rPr>
              <w:t>(98)</w:t>
            </w:r>
          </w:p>
        </w:tc>
        <w:tc>
          <w:tcPr>
            <w:tcW w:w="647" w:type="pct"/>
            <w:tcBorders>
              <w:top w:val="single" w:sz="4" w:space="0" w:color="auto"/>
              <w:left w:val="nil"/>
              <w:bottom w:val="nil"/>
              <w:right w:val="nil"/>
            </w:tcBorders>
            <w:hideMark/>
          </w:tcPr>
          <w:p w:rsidR="003F0A73" w:rsidRDefault="003F0A73">
            <w:pPr>
              <w:jc w:val="right"/>
              <w:rPr>
                <w:rFonts w:ascii="Arial" w:hAnsi="Arial" w:cs="Arial"/>
                <w:b/>
                <w:sz w:val="24"/>
                <w:szCs w:val="24"/>
              </w:rPr>
            </w:pPr>
            <w:r>
              <w:rPr>
                <w:rFonts w:ascii="Arial" w:hAnsi="Arial" w:cs="Arial"/>
                <w:b/>
                <w:sz w:val="24"/>
                <w:szCs w:val="24"/>
              </w:rPr>
              <w:t>26%</w:t>
            </w:r>
          </w:p>
        </w:tc>
        <w:tc>
          <w:tcPr>
            <w:tcW w:w="647" w:type="pct"/>
            <w:tcBorders>
              <w:top w:val="single" w:sz="4" w:space="0" w:color="auto"/>
              <w:left w:val="nil"/>
              <w:bottom w:val="nil"/>
              <w:right w:val="nil"/>
            </w:tcBorders>
            <w:hideMark/>
          </w:tcPr>
          <w:p w:rsidR="003F0A73" w:rsidRDefault="003F0A73">
            <w:pPr>
              <w:jc w:val="right"/>
              <w:rPr>
                <w:rFonts w:ascii="Arial" w:hAnsi="Arial" w:cs="Arial"/>
                <w:sz w:val="24"/>
                <w:szCs w:val="24"/>
              </w:rPr>
            </w:pPr>
            <w:r>
              <w:rPr>
                <w:rFonts w:ascii="Arial" w:hAnsi="Arial" w:cs="Arial"/>
                <w:sz w:val="24"/>
                <w:szCs w:val="24"/>
              </w:rPr>
              <w:t>(10)%</w:t>
            </w:r>
          </w:p>
        </w:tc>
      </w:tr>
      <w:tr w:rsidR="003F0A73" w:rsidTr="003F0A73">
        <w:tc>
          <w:tcPr>
            <w:tcW w:w="2413" w:type="pct"/>
            <w:hideMark/>
          </w:tcPr>
          <w:p w:rsidR="003F0A73" w:rsidRDefault="003F0A73">
            <w:pPr>
              <w:rPr>
                <w:rFonts w:ascii="Arial" w:hAnsi="Arial" w:cs="Arial"/>
                <w:sz w:val="24"/>
                <w:szCs w:val="24"/>
              </w:rPr>
            </w:pPr>
            <w:r>
              <w:rPr>
                <w:rFonts w:ascii="Arial" w:hAnsi="Arial" w:cs="Arial"/>
                <w:sz w:val="24"/>
                <w:szCs w:val="24"/>
              </w:rPr>
              <w:t>Exceptional items</w:t>
            </w:r>
          </w:p>
        </w:tc>
        <w:tc>
          <w:tcPr>
            <w:tcW w:w="647" w:type="pct"/>
            <w:hideMark/>
          </w:tcPr>
          <w:p w:rsidR="003F0A73" w:rsidRDefault="003F0A73">
            <w:pPr>
              <w:jc w:val="right"/>
              <w:rPr>
                <w:rFonts w:ascii="Arial" w:hAnsi="Arial" w:cs="Arial"/>
                <w:b/>
                <w:sz w:val="24"/>
                <w:szCs w:val="24"/>
              </w:rPr>
            </w:pPr>
            <w:r>
              <w:rPr>
                <w:rFonts w:ascii="Arial" w:hAnsi="Arial" w:cs="Arial"/>
                <w:b/>
                <w:sz w:val="24"/>
                <w:szCs w:val="24"/>
              </w:rPr>
              <w:t>(10)</w:t>
            </w:r>
          </w:p>
        </w:tc>
        <w:tc>
          <w:tcPr>
            <w:tcW w:w="647" w:type="pct"/>
            <w:hideMark/>
          </w:tcPr>
          <w:p w:rsidR="003F0A73" w:rsidRDefault="003F0A73">
            <w:pPr>
              <w:jc w:val="right"/>
              <w:rPr>
                <w:rFonts w:ascii="Arial" w:hAnsi="Arial" w:cs="Arial"/>
                <w:b/>
                <w:sz w:val="24"/>
                <w:szCs w:val="24"/>
              </w:rPr>
            </w:pPr>
            <w:r>
              <w:rPr>
                <w:rFonts w:ascii="Arial" w:hAnsi="Arial" w:cs="Arial"/>
                <w:b/>
                <w:sz w:val="24"/>
                <w:szCs w:val="24"/>
              </w:rPr>
              <w:t>(1)</w:t>
            </w:r>
          </w:p>
        </w:tc>
        <w:tc>
          <w:tcPr>
            <w:tcW w:w="647" w:type="pct"/>
          </w:tcPr>
          <w:p w:rsidR="003F0A73" w:rsidRDefault="003F0A73">
            <w:pPr>
              <w:jc w:val="right"/>
              <w:rPr>
                <w:rFonts w:ascii="Arial" w:hAnsi="Arial" w:cs="Arial"/>
                <w:b/>
                <w:sz w:val="24"/>
                <w:szCs w:val="24"/>
              </w:rPr>
            </w:pPr>
          </w:p>
        </w:tc>
        <w:tc>
          <w:tcPr>
            <w:tcW w:w="647" w:type="pct"/>
          </w:tcPr>
          <w:p w:rsidR="003F0A73" w:rsidRDefault="003F0A73">
            <w:pPr>
              <w:jc w:val="right"/>
              <w:rPr>
                <w:rFonts w:ascii="Arial" w:hAnsi="Arial" w:cs="Arial"/>
                <w:sz w:val="24"/>
                <w:szCs w:val="24"/>
              </w:rPr>
            </w:pPr>
          </w:p>
        </w:tc>
      </w:tr>
      <w:tr w:rsidR="003F0A73" w:rsidTr="003F0A73">
        <w:tc>
          <w:tcPr>
            <w:tcW w:w="2413" w:type="pct"/>
            <w:tcBorders>
              <w:top w:val="nil"/>
              <w:left w:val="nil"/>
              <w:bottom w:val="single" w:sz="4" w:space="0" w:color="auto"/>
              <w:right w:val="nil"/>
            </w:tcBorders>
            <w:hideMark/>
          </w:tcPr>
          <w:p w:rsidR="003F0A73" w:rsidRDefault="003F0A73">
            <w:pPr>
              <w:rPr>
                <w:rFonts w:ascii="Arial" w:hAnsi="Arial" w:cs="Arial"/>
                <w:sz w:val="24"/>
                <w:szCs w:val="24"/>
              </w:rPr>
            </w:pPr>
            <w:r>
              <w:rPr>
                <w:rFonts w:ascii="Arial" w:hAnsi="Arial" w:cs="Arial"/>
                <w:sz w:val="24"/>
                <w:szCs w:val="24"/>
              </w:rPr>
              <w:t>Prior year items and rate changes</w:t>
            </w:r>
          </w:p>
        </w:tc>
        <w:tc>
          <w:tcPr>
            <w:tcW w:w="647" w:type="pct"/>
            <w:tcBorders>
              <w:top w:val="nil"/>
              <w:left w:val="nil"/>
              <w:bottom w:val="single" w:sz="4" w:space="0" w:color="auto"/>
              <w:right w:val="nil"/>
            </w:tcBorders>
          </w:tcPr>
          <w:p w:rsidR="003F0A73" w:rsidRDefault="003F0A73">
            <w:pPr>
              <w:jc w:val="right"/>
              <w:rPr>
                <w:rFonts w:ascii="Arial" w:hAnsi="Arial" w:cs="Arial"/>
                <w:b/>
                <w:sz w:val="24"/>
                <w:szCs w:val="24"/>
              </w:rPr>
            </w:pPr>
          </w:p>
        </w:tc>
        <w:tc>
          <w:tcPr>
            <w:tcW w:w="647" w:type="pct"/>
            <w:tcBorders>
              <w:top w:val="nil"/>
              <w:left w:val="nil"/>
              <w:bottom w:val="single" w:sz="4" w:space="0" w:color="auto"/>
              <w:right w:val="nil"/>
            </w:tcBorders>
            <w:hideMark/>
          </w:tcPr>
          <w:p w:rsidR="003F0A73" w:rsidRDefault="003F0A73">
            <w:pPr>
              <w:jc w:val="right"/>
              <w:rPr>
                <w:rFonts w:ascii="Arial" w:hAnsi="Arial" w:cs="Arial"/>
                <w:b/>
                <w:sz w:val="24"/>
                <w:szCs w:val="24"/>
              </w:rPr>
            </w:pPr>
            <w:r>
              <w:rPr>
                <w:rFonts w:ascii="Arial" w:hAnsi="Arial" w:cs="Arial"/>
                <w:b/>
                <w:sz w:val="24"/>
                <w:szCs w:val="24"/>
              </w:rPr>
              <w:t>1</w:t>
            </w:r>
          </w:p>
        </w:tc>
        <w:tc>
          <w:tcPr>
            <w:tcW w:w="647" w:type="pct"/>
            <w:tcBorders>
              <w:top w:val="nil"/>
              <w:left w:val="nil"/>
              <w:bottom w:val="single" w:sz="4" w:space="0" w:color="auto"/>
              <w:right w:val="nil"/>
            </w:tcBorders>
          </w:tcPr>
          <w:p w:rsidR="003F0A73" w:rsidRDefault="003F0A73">
            <w:pPr>
              <w:jc w:val="right"/>
              <w:rPr>
                <w:rFonts w:ascii="Arial" w:hAnsi="Arial" w:cs="Arial"/>
                <w:b/>
                <w:sz w:val="24"/>
                <w:szCs w:val="24"/>
              </w:rPr>
            </w:pPr>
          </w:p>
        </w:tc>
        <w:tc>
          <w:tcPr>
            <w:tcW w:w="647" w:type="pct"/>
            <w:tcBorders>
              <w:top w:val="nil"/>
              <w:left w:val="nil"/>
              <w:bottom w:val="single" w:sz="4" w:space="0" w:color="auto"/>
              <w:right w:val="nil"/>
            </w:tcBorders>
          </w:tcPr>
          <w:p w:rsidR="003F0A73" w:rsidRDefault="003F0A73">
            <w:pPr>
              <w:jc w:val="right"/>
              <w:rPr>
                <w:rFonts w:ascii="Arial" w:hAnsi="Arial" w:cs="Arial"/>
                <w:sz w:val="24"/>
                <w:szCs w:val="24"/>
              </w:rPr>
            </w:pPr>
          </w:p>
        </w:tc>
      </w:tr>
      <w:tr w:rsidR="003F0A73" w:rsidTr="003F0A73">
        <w:tc>
          <w:tcPr>
            <w:tcW w:w="2413" w:type="pct"/>
            <w:tcBorders>
              <w:top w:val="single" w:sz="4" w:space="0" w:color="auto"/>
              <w:left w:val="nil"/>
              <w:bottom w:val="single" w:sz="4" w:space="0" w:color="auto"/>
              <w:right w:val="nil"/>
            </w:tcBorders>
            <w:hideMark/>
          </w:tcPr>
          <w:p w:rsidR="003F0A73" w:rsidRDefault="003F0A73">
            <w:pPr>
              <w:rPr>
                <w:rFonts w:ascii="Arial" w:hAnsi="Arial" w:cs="Arial"/>
                <w:b/>
                <w:sz w:val="24"/>
                <w:szCs w:val="24"/>
              </w:rPr>
            </w:pPr>
            <w:r>
              <w:rPr>
                <w:rFonts w:ascii="Arial" w:hAnsi="Arial" w:cs="Arial"/>
                <w:b/>
                <w:sz w:val="24"/>
                <w:szCs w:val="24"/>
              </w:rPr>
              <w:t>Total - effective</w:t>
            </w:r>
          </w:p>
        </w:tc>
        <w:tc>
          <w:tcPr>
            <w:tcW w:w="647" w:type="pct"/>
            <w:tcBorders>
              <w:top w:val="single" w:sz="4" w:space="0" w:color="auto"/>
              <w:left w:val="nil"/>
              <w:bottom w:val="single" w:sz="4" w:space="0" w:color="auto"/>
              <w:right w:val="nil"/>
            </w:tcBorders>
            <w:hideMark/>
          </w:tcPr>
          <w:p w:rsidR="003F0A73" w:rsidRDefault="003F0A73">
            <w:pPr>
              <w:jc w:val="right"/>
              <w:rPr>
                <w:rFonts w:ascii="Arial" w:hAnsi="Arial" w:cs="Arial"/>
                <w:b/>
                <w:sz w:val="24"/>
                <w:szCs w:val="24"/>
              </w:rPr>
            </w:pPr>
            <w:r>
              <w:rPr>
                <w:rFonts w:ascii="Arial" w:hAnsi="Arial" w:cs="Arial"/>
                <w:b/>
                <w:sz w:val="24"/>
                <w:szCs w:val="24"/>
              </w:rPr>
              <w:t>365</w:t>
            </w:r>
          </w:p>
        </w:tc>
        <w:tc>
          <w:tcPr>
            <w:tcW w:w="647" w:type="pct"/>
            <w:tcBorders>
              <w:top w:val="single" w:sz="4" w:space="0" w:color="auto"/>
              <w:left w:val="nil"/>
              <w:bottom w:val="single" w:sz="4" w:space="0" w:color="auto"/>
              <w:right w:val="nil"/>
            </w:tcBorders>
            <w:hideMark/>
          </w:tcPr>
          <w:p w:rsidR="003F0A73" w:rsidRDefault="003F0A73">
            <w:pPr>
              <w:jc w:val="right"/>
              <w:rPr>
                <w:rFonts w:ascii="Arial" w:hAnsi="Arial" w:cs="Arial"/>
                <w:b/>
                <w:sz w:val="24"/>
                <w:szCs w:val="24"/>
              </w:rPr>
            </w:pPr>
            <w:r>
              <w:rPr>
                <w:rFonts w:ascii="Arial" w:hAnsi="Arial" w:cs="Arial"/>
                <w:b/>
                <w:sz w:val="24"/>
                <w:szCs w:val="24"/>
              </w:rPr>
              <w:t>(98)</w:t>
            </w:r>
          </w:p>
        </w:tc>
        <w:tc>
          <w:tcPr>
            <w:tcW w:w="647" w:type="pct"/>
            <w:tcBorders>
              <w:top w:val="single" w:sz="4" w:space="0" w:color="auto"/>
              <w:left w:val="nil"/>
              <w:bottom w:val="single" w:sz="4" w:space="0" w:color="auto"/>
              <w:right w:val="nil"/>
            </w:tcBorders>
            <w:hideMark/>
          </w:tcPr>
          <w:p w:rsidR="003F0A73" w:rsidRDefault="003F0A73">
            <w:pPr>
              <w:jc w:val="right"/>
              <w:rPr>
                <w:rFonts w:ascii="Arial" w:hAnsi="Arial" w:cs="Arial"/>
                <w:b/>
                <w:sz w:val="24"/>
                <w:szCs w:val="24"/>
              </w:rPr>
            </w:pPr>
            <w:r>
              <w:rPr>
                <w:rFonts w:ascii="Arial" w:hAnsi="Arial" w:cs="Arial"/>
                <w:b/>
                <w:sz w:val="24"/>
                <w:szCs w:val="24"/>
              </w:rPr>
              <w:t>27%</w:t>
            </w:r>
          </w:p>
        </w:tc>
        <w:tc>
          <w:tcPr>
            <w:tcW w:w="647" w:type="pct"/>
            <w:tcBorders>
              <w:top w:val="single" w:sz="4" w:space="0" w:color="auto"/>
              <w:left w:val="nil"/>
              <w:bottom w:val="single" w:sz="4" w:space="0" w:color="auto"/>
              <w:right w:val="nil"/>
            </w:tcBorders>
            <w:hideMark/>
          </w:tcPr>
          <w:p w:rsidR="003F0A73" w:rsidRDefault="003F0A73">
            <w:pPr>
              <w:jc w:val="right"/>
              <w:rPr>
                <w:rFonts w:ascii="Arial" w:hAnsi="Arial" w:cs="Arial"/>
                <w:sz w:val="24"/>
                <w:szCs w:val="24"/>
              </w:rPr>
            </w:pPr>
            <w:r>
              <w:rPr>
                <w:rFonts w:ascii="Arial" w:hAnsi="Arial" w:cs="Arial"/>
                <w:sz w:val="24"/>
                <w:szCs w:val="24"/>
              </w:rPr>
              <w:t>27%</w:t>
            </w:r>
          </w:p>
        </w:tc>
      </w:tr>
    </w:tbl>
    <w:p w:rsidR="003F0A73" w:rsidRDefault="003F0A73" w:rsidP="003F0A73">
      <w:pPr>
        <w:ind w:right="-368"/>
        <w:jc w:val="left"/>
        <w:rPr>
          <w:rFonts w:ascii="Arial" w:eastAsia="Times New Roman" w:hAnsi="Arial" w:cs="Arial"/>
          <w:b/>
          <w:sz w:val="24"/>
          <w:szCs w:val="24"/>
        </w:rPr>
      </w:pPr>
    </w:p>
    <w:p w:rsidR="003F0A73" w:rsidRDefault="003F0A73" w:rsidP="00C0194C">
      <w:pPr>
        <w:autoSpaceDE w:val="0"/>
        <w:autoSpaceDN w:val="0"/>
        <w:adjustRightInd w:val="0"/>
        <w:jc w:val="left"/>
        <w:rPr>
          <w:rFonts w:ascii="Arial" w:hAnsi="Arial" w:cs="Arial"/>
          <w:sz w:val="24"/>
          <w:szCs w:val="24"/>
        </w:rPr>
      </w:pPr>
      <w:r>
        <w:rPr>
          <w:rFonts w:ascii="Arial" w:hAnsi="Arial" w:cs="Arial"/>
          <w:sz w:val="24"/>
          <w:szCs w:val="24"/>
        </w:rPr>
        <w:lastRenderedPageBreak/>
        <w:t>The overall rate of tax includes the impact of exceptional items and prior year tax adjustments. The impact of such items in the period results in a rate of 26%. In the prior period</w:t>
      </w:r>
      <w:r w:rsidR="001258B5">
        <w:rPr>
          <w:rFonts w:ascii="Arial" w:hAnsi="Arial" w:cs="Arial"/>
          <w:sz w:val="24"/>
          <w:szCs w:val="24"/>
        </w:rPr>
        <w:t>,</w:t>
      </w:r>
      <w:r>
        <w:rPr>
          <w:rFonts w:ascii="Arial" w:hAnsi="Arial" w:cs="Arial"/>
          <w:sz w:val="24"/>
          <w:szCs w:val="24"/>
        </w:rPr>
        <w:t xml:space="preserve"> the overall rate was </w:t>
      </w:r>
      <w:r w:rsidR="006D75B7">
        <w:rPr>
          <w:rFonts w:ascii="Arial" w:hAnsi="Arial" w:cs="Arial"/>
          <w:sz w:val="24"/>
          <w:szCs w:val="24"/>
        </w:rPr>
        <w:t>-</w:t>
      </w:r>
      <w:r>
        <w:rPr>
          <w:rFonts w:ascii="Arial" w:hAnsi="Arial" w:cs="Arial"/>
          <w:sz w:val="24"/>
          <w:szCs w:val="24"/>
        </w:rPr>
        <w:t>10% as a result of a £118</w:t>
      </w:r>
      <w:r w:rsidR="001258B5">
        <w:rPr>
          <w:rFonts w:ascii="Arial" w:hAnsi="Arial" w:cs="Arial"/>
          <w:sz w:val="24"/>
          <w:szCs w:val="24"/>
        </w:rPr>
        <w:t xml:space="preserve"> </w:t>
      </w:r>
      <w:r>
        <w:rPr>
          <w:rFonts w:ascii="Arial" w:hAnsi="Arial" w:cs="Arial"/>
          <w:sz w:val="24"/>
          <w:szCs w:val="24"/>
        </w:rPr>
        <w:t>m</w:t>
      </w:r>
      <w:r w:rsidR="001258B5">
        <w:rPr>
          <w:rFonts w:ascii="Arial" w:hAnsi="Arial" w:cs="Arial"/>
          <w:sz w:val="24"/>
          <w:szCs w:val="24"/>
        </w:rPr>
        <w:t>illion</w:t>
      </w:r>
      <w:r>
        <w:rPr>
          <w:rFonts w:ascii="Arial" w:hAnsi="Arial" w:cs="Arial"/>
          <w:sz w:val="24"/>
          <w:szCs w:val="24"/>
        </w:rPr>
        <w:t xml:space="preserve"> exceptional tax provision release on the successful resolution of the KESA demerger French tax case.  </w:t>
      </w:r>
    </w:p>
    <w:p w:rsidR="003F0A73" w:rsidRDefault="003F0A73" w:rsidP="003F0A73">
      <w:pPr>
        <w:autoSpaceDE w:val="0"/>
        <w:autoSpaceDN w:val="0"/>
        <w:adjustRightInd w:val="0"/>
        <w:rPr>
          <w:rFonts w:ascii="Arial" w:hAnsi="Arial" w:cs="Arial"/>
          <w:sz w:val="24"/>
          <w:szCs w:val="24"/>
        </w:rPr>
      </w:pPr>
    </w:p>
    <w:p w:rsidR="003F0A73" w:rsidRDefault="003F0A73" w:rsidP="00C0194C">
      <w:pPr>
        <w:autoSpaceDE w:val="0"/>
        <w:autoSpaceDN w:val="0"/>
        <w:adjustRightInd w:val="0"/>
        <w:jc w:val="left"/>
        <w:rPr>
          <w:rFonts w:ascii="Arial" w:hAnsi="Arial" w:cs="Arial"/>
          <w:sz w:val="24"/>
          <w:szCs w:val="24"/>
        </w:rPr>
      </w:pPr>
      <w:r>
        <w:rPr>
          <w:rFonts w:ascii="Arial" w:hAnsi="Arial" w:cs="Arial"/>
          <w:sz w:val="24"/>
          <w:szCs w:val="24"/>
        </w:rPr>
        <w:t>The statutory rates for the Group’s main operating companies during 2014/15 are:</w:t>
      </w:r>
    </w:p>
    <w:p w:rsidR="003F0A73" w:rsidRDefault="003F0A73" w:rsidP="003F0A73">
      <w:pPr>
        <w:jc w:val="left"/>
        <w:rPr>
          <w:rFonts w:ascii="Arial" w:hAnsi="Arial" w:cs="Arial"/>
          <w:sz w:val="24"/>
          <w:szCs w:val="24"/>
          <w:lang w:eastAsia="en-US"/>
        </w:rPr>
      </w:pPr>
    </w:p>
    <w:p w:rsidR="003F0A73" w:rsidRDefault="003F0A73" w:rsidP="003F0A73">
      <w:pPr>
        <w:numPr>
          <w:ilvl w:val="0"/>
          <w:numId w:val="28"/>
        </w:numPr>
        <w:jc w:val="left"/>
        <w:rPr>
          <w:rFonts w:ascii="Arial" w:hAnsi="Arial" w:cs="Arial"/>
          <w:sz w:val="24"/>
          <w:szCs w:val="24"/>
          <w:lang w:eastAsia="en-US"/>
        </w:rPr>
      </w:pPr>
      <w:r>
        <w:rPr>
          <w:rFonts w:ascii="Arial" w:hAnsi="Arial" w:cs="Arial"/>
          <w:sz w:val="24"/>
          <w:szCs w:val="24"/>
          <w:lang w:eastAsia="en-US"/>
        </w:rPr>
        <w:t>UK 21%</w:t>
      </w:r>
    </w:p>
    <w:p w:rsidR="003F0A73" w:rsidRDefault="003F0A73" w:rsidP="003F0A73">
      <w:pPr>
        <w:numPr>
          <w:ilvl w:val="0"/>
          <w:numId w:val="28"/>
        </w:numPr>
        <w:jc w:val="left"/>
        <w:rPr>
          <w:rFonts w:ascii="Arial" w:hAnsi="Arial" w:cs="Arial"/>
          <w:sz w:val="24"/>
          <w:szCs w:val="24"/>
          <w:lang w:eastAsia="en-US"/>
        </w:rPr>
      </w:pPr>
      <w:r>
        <w:rPr>
          <w:rFonts w:ascii="Arial" w:hAnsi="Arial" w:cs="Arial"/>
          <w:sz w:val="24"/>
          <w:szCs w:val="24"/>
          <w:lang w:eastAsia="en-US"/>
        </w:rPr>
        <w:t>France 38%</w:t>
      </w:r>
    </w:p>
    <w:p w:rsidR="003F0A73" w:rsidRDefault="003F0A73" w:rsidP="003F0A73">
      <w:pPr>
        <w:numPr>
          <w:ilvl w:val="0"/>
          <w:numId w:val="28"/>
        </w:numPr>
        <w:jc w:val="left"/>
        <w:rPr>
          <w:rFonts w:ascii="Arial" w:hAnsi="Arial" w:cs="Arial"/>
          <w:sz w:val="24"/>
          <w:szCs w:val="24"/>
          <w:lang w:eastAsia="en-US"/>
        </w:rPr>
      </w:pPr>
      <w:r>
        <w:rPr>
          <w:rFonts w:ascii="Arial" w:hAnsi="Arial" w:cs="Arial"/>
          <w:sz w:val="24"/>
          <w:szCs w:val="24"/>
          <w:lang w:eastAsia="en-US"/>
        </w:rPr>
        <w:t>Poland 19%</w:t>
      </w:r>
    </w:p>
    <w:p w:rsidR="003F0A73" w:rsidRDefault="003F0A73" w:rsidP="003F0A73">
      <w:pPr>
        <w:autoSpaceDE w:val="0"/>
        <w:autoSpaceDN w:val="0"/>
        <w:adjustRightInd w:val="0"/>
        <w:rPr>
          <w:rFonts w:ascii="Arial" w:hAnsi="Arial" w:cs="Arial"/>
          <w:sz w:val="24"/>
          <w:szCs w:val="24"/>
        </w:rPr>
      </w:pPr>
    </w:p>
    <w:p w:rsidR="003F0A73" w:rsidRDefault="003F0A73" w:rsidP="00C0194C">
      <w:pPr>
        <w:autoSpaceDE w:val="0"/>
        <w:autoSpaceDN w:val="0"/>
        <w:adjustRightInd w:val="0"/>
        <w:jc w:val="left"/>
        <w:rPr>
          <w:rFonts w:ascii="Arial" w:hAnsi="Arial" w:cs="Arial"/>
          <w:sz w:val="24"/>
          <w:szCs w:val="24"/>
        </w:rPr>
      </w:pPr>
      <w:r>
        <w:rPr>
          <w:rFonts w:ascii="Arial" w:hAnsi="Arial" w:cs="Arial"/>
          <w:sz w:val="24"/>
          <w:szCs w:val="24"/>
        </w:rPr>
        <w:t>The Group’s effective tax rate is sensitive to the blend of tax rates and profits in the Group’s various jurisdictions. The effective rate of tax is higher than the UK statutory rate because of the amount of Group profit that is earned in higher tax jurisdictions and because no future benefit is assumed for losses incurred in overseas jurisdictions such as China.</w:t>
      </w:r>
    </w:p>
    <w:p w:rsidR="003F0A73" w:rsidRDefault="003F0A73" w:rsidP="003F0A73">
      <w:pPr>
        <w:ind w:right="-368"/>
        <w:jc w:val="left"/>
        <w:rPr>
          <w:rFonts w:ascii="Arial" w:hAnsi="Arial" w:cs="Arial"/>
          <w:b/>
          <w:sz w:val="24"/>
          <w:szCs w:val="24"/>
          <w:highlight w:val="yellow"/>
        </w:rPr>
      </w:pPr>
    </w:p>
    <w:p w:rsidR="003F0A73" w:rsidRDefault="003F0A73" w:rsidP="003F0A73">
      <w:pPr>
        <w:jc w:val="left"/>
        <w:rPr>
          <w:rFonts w:ascii="Arial" w:hAnsi="Arial" w:cs="Arial"/>
          <w:sz w:val="24"/>
          <w:szCs w:val="24"/>
        </w:rPr>
      </w:pPr>
      <w:r>
        <w:rPr>
          <w:rFonts w:ascii="Arial" w:hAnsi="Arial" w:cs="Arial"/>
          <w:b/>
          <w:sz w:val="24"/>
          <w:szCs w:val="24"/>
        </w:rPr>
        <w:t>Exceptional items</w:t>
      </w:r>
      <w:r>
        <w:rPr>
          <w:rFonts w:ascii="Arial" w:hAnsi="Arial" w:cs="Arial"/>
          <w:sz w:val="24"/>
          <w:szCs w:val="24"/>
        </w:rPr>
        <w:t xml:space="preserve"> </w:t>
      </w:r>
    </w:p>
    <w:tbl>
      <w:tblPr>
        <w:tblW w:w="5001" w:type="pct"/>
        <w:tblLook w:val="04A0" w:firstRow="1" w:lastRow="0" w:firstColumn="1" w:lastColumn="0" w:noHBand="0" w:noVBand="1"/>
      </w:tblPr>
      <w:tblGrid>
        <w:gridCol w:w="6048"/>
        <w:gridCol w:w="1838"/>
        <w:gridCol w:w="1757"/>
      </w:tblGrid>
      <w:tr w:rsidR="003F0A73" w:rsidTr="003F0A73">
        <w:trPr>
          <w:trHeight w:val="525"/>
        </w:trPr>
        <w:tc>
          <w:tcPr>
            <w:tcW w:w="3136" w:type="pct"/>
            <w:tcBorders>
              <w:top w:val="nil"/>
              <w:left w:val="nil"/>
              <w:bottom w:val="single" w:sz="4" w:space="0" w:color="auto"/>
              <w:right w:val="nil"/>
            </w:tcBorders>
            <w:vAlign w:val="bottom"/>
          </w:tcPr>
          <w:p w:rsidR="003F0A73" w:rsidRDefault="003F0A73">
            <w:pPr>
              <w:jc w:val="left"/>
              <w:rPr>
                <w:rFonts w:ascii="Arial" w:hAnsi="Arial" w:cs="Arial"/>
                <w:bCs/>
                <w:sz w:val="24"/>
                <w:szCs w:val="24"/>
              </w:rPr>
            </w:pPr>
          </w:p>
        </w:tc>
        <w:tc>
          <w:tcPr>
            <w:tcW w:w="953" w:type="pct"/>
            <w:tcBorders>
              <w:top w:val="nil"/>
              <w:left w:val="nil"/>
              <w:bottom w:val="single" w:sz="4" w:space="0" w:color="auto"/>
              <w:right w:val="nil"/>
            </w:tcBorders>
            <w:vAlign w:val="bottom"/>
            <w:hideMark/>
          </w:tcPr>
          <w:p w:rsidR="003F0A73" w:rsidRDefault="003F0A73">
            <w:pPr>
              <w:jc w:val="right"/>
              <w:rPr>
                <w:rFonts w:ascii="Arial" w:hAnsi="Arial" w:cs="Arial"/>
                <w:b/>
                <w:bCs/>
                <w:sz w:val="24"/>
                <w:szCs w:val="24"/>
              </w:rPr>
            </w:pPr>
            <w:r>
              <w:rPr>
                <w:rFonts w:ascii="Arial" w:hAnsi="Arial" w:cs="Arial"/>
                <w:b/>
                <w:bCs/>
                <w:sz w:val="24"/>
                <w:szCs w:val="24"/>
              </w:rPr>
              <w:t>2014/15</w:t>
            </w:r>
          </w:p>
          <w:p w:rsidR="003F0A73" w:rsidRDefault="003F0A73">
            <w:pPr>
              <w:jc w:val="right"/>
              <w:rPr>
                <w:rFonts w:ascii="Arial" w:hAnsi="Arial" w:cs="Arial"/>
                <w:b/>
                <w:bCs/>
                <w:sz w:val="24"/>
                <w:szCs w:val="24"/>
              </w:rPr>
            </w:pPr>
            <w:r>
              <w:rPr>
                <w:rFonts w:ascii="Arial" w:hAnsi="Arial" w:cs="Arial"/>
                <w:b/>
                <w:bCs/>
                <w:sz w:val="24"/>
                <w:szCs w:val="24"/>
              </w:rPr>
              <w:t>£m</w:t>
            </w:r>
          </w:p>
          <w:p w:rsidR="003F0A73" w:rsidRDefault="003F0A73">
            <w:pPr>
              <w:jc w:val="right"/>
              <w:rPr>
                <w:rFonts w:ascii="Arial" w:hAnsi="Arial" w:cs="Arial"/>
                <w:b/>
                <w:bCs/>
                <w:sz w:val="24"/>
                <w:szCs w:val="24"/>
              </w:rPr>
            </w:pPr>
            <w:r>
              <w:rPr>
                <w:rFonts w:ascii="Arial" w:hAnsi="Arial" w:cs="Arial"/>
                <w:b/>
                <w:bCs/>
                <w:sz w:val="24"/>
                <w:szCs w:val="24"/>
              </w:rPr>
              <w:t>Gain/(charge)</w:t>
            </w:r>
          </w:p>
        </w:tc>
        <w:tc>
          <w:tcPr>
            <w:tcW w:w="911" w:type="pct"/>
            <w:tcBorders>
              <w:top w:val="nil"/>
              <w:left w:val="nil"/>
              <w:bottom w:val="single" w:sz="4" w:space="0" w:color="auto"/>
              <w:right w:val="nil"/>
            </w:tcBorders>
            <w:vAlign w:val="bottom"/>
            <w:hideMark/>
          </w:tcPr>
          <w:p w:rsidR="003F0A73" w:rsidRDefault="003F0A73">
            <w:pPr>
              <w:jc w:val="right"/>
              <w:rPr>
                <w:rFonts w:ascii="Arial" w:hAnsi="Arial" w:cs="Arial"/>
                <w:bCs/>
                <w:sz w:val="24"/>
                <w:szCs w:val="24"/>
              </w:rPr>
            </w:pPr>
            <w:r>
              <w:rPr>
                <w:rFonts w:ascii="Arial" w:hAnsi="Arial" w:cs="Arial"/>
                <w:bCs/>
                <w:sz w:val="24"/>
                <w:szCs w:val="24"/>
              </w:rPr>
              <w:t xml:space="preserve">2013/14 </w:t>
            </w:r>
          </w:p>
          <w:p w:rsidR="003F0A73" w:rsidRDefault="003F0A73">
            <w:pPr>
              <w:jc w:val="right"/>
              <w:rPr>
                <w:rFonts w:ascii="Arial" w:hAnsi="Arial" w:cs="Arial"/>
                <w:bCs/>
                <w:sz w:val="24"/>
                <w:szCs w:val="24"/>
              </w:rPr>
            </w:pPr>
            <w:r>
              <w:rPr>
                <w:rFonts w:ascii="Arial" w:hAnsi="Arial" w:cs="Arial"/>
                <w:bCs/>
                <w:sz w:val="24"/>
                <w:szCs w:val="24"/>
              </w:rPr>
              <w:t>£m</w:t>
            </w:r>
          </w:p>
          <w:p w:rsidR="003F0A73" w:rsidRDefault="001258B5">
            <w:pPr>
              <w:jc w:val="right"/>
              <w:rPr>
                <w:rFonts w:ascii="Arial" w:hAnsi="Arial" w:cs="Arial"/>
                <w:bCs/>
                <w:sz w:val="24"/>
                <w:szCs w:val="24"/>
              </w:rPr>
            </w:pPr>
            <w:r>
              <w:rPr>
                <w:rFonts w:ascii="Arial" w:hAnsi="Arial" w:cs="Arial"/>
                <w:bCs/>
                <w:sz w:val="24"/>
                <w:szCs w:val="24"/>
              </w:rPr>
              <w:t>Gain</w:t>
            </w:r>
          </w:p>
        </w:tc>
      </w:tr>
      <w:tr w:rsidR="003F0A73" w:rsidTr="003F0A73">
        <w:trPr>
          <w:trHeight w:val="254"/>
        </w:trPr>
        <w:tc>
          <w:tcPr>
            <w:tcW w:w="3136" w:type="pct"/>
            <w:vAlign w:val="bottom"/>
            <w:hideMark/>
          </w:tcPr>
          <w:p w:rsidR="003F0A73" w:rsidRDefault="003F0A73">
            <w:pPr>
              <w:rPr>
                <w:rFonts w:ascii="Arial" w:hAnsi="Arial" w:cs="Arial"/>
                <w:sz w:val="24"/>
                <w:szCs w:val="24"/>
              </w:rPr>
            </w:pPr>
            <w:r>
              <w:rPr>
                <w:rFonts w:ascii="Arial" w:hAnsi="Arial" w:cs="Arial"/>
                <w:sz w:val="24"/>
                <w:szCs w:val="24"/>
              </w:rPr>
              <w:t>Profit on disposal of properties</w:t>
            </w:r>
            <w:r w:rsidR="00700CBA">
              <w:rPr>
                <w:rFonts w:ascii="Arial" w:hAnsi="Arial" w:cs="Arial"/>
                <w:sz w:val="24"/>
                <w:szCs w:val="24"/>
              </w:rPr>
              <w:t xml:space="preserve"> - UK</w:t>
            </w:r>
          </w:p>
        </w:tc>
        <w:tc>
          <w:tcPr>
            <w:tcW w:w="953" w:type="pct"/>
            <w:vAlign w:val="bottom"/>
            <w:hideMark/>
          </w:tcPr>
          <w:p w:rsidR="003F0A73" w:rsidRDefault="00700CBA">
            <w:pPr>
              <w:jc w:val="right"/>
              <w:rPr>
                <w:rFonts w:ascii="Arial" w:hAnsi="Arial" w:cs="Arial"/>
                <w:b/>
                <w:sz w:val="24"/>
                <w:szCs w:val="24"/>
              </w:rPr>
            </w:pPr>
            <w:r>
              <w:rPr>
                <w:rFonts w:ascii="Arial" w:hAnsi="Arial" w:cs="Arial"/>
                <w:b/>
                <w:sz w:val="24"/>
                <w:szCs w:val="24"/>
              </w:rPr>
              <w:t>16</w:t>
            </w:r>
          </w:p>
        </w:tc>
        <w:tc>
          <w:tcPr>
            <w:tcW w:w="911" w:type="pct"/>
            <w:vAlign w:val="bottom"/>
            <w:hideMark/>
          </w:tcPr>
          <w:p w:rsidR="003F0A73" w:rsidRDefault="00EA3362">
            <w:pPr>
              <w:jc w:val="right"/>
              <w:rPr>
                <w:rFonts w:ascii="Arial" w:hAnsi="Arial" w:cs="Arial"/>
                <w:sz w:val="24"/>
                <w:szCs w:val="24"/>
              </w:rPr>
            </w:pPr>
            <w:r>
              <w:rPr>
                <w:rFonts w:ascii="Arial" w:hAnsi="Arial" w:cs="Arial"/>
                <w:sz w:val="24"/>
                <w:szCs w:val="24"/>
              </w:rPr>
              <w:t>-</w:t>
            </w:r>
          </w:p>
        </w:tc>
      </w:tr>
      <w:tr w:rsidR="003F0A73" w:rsidTr="001F3AEA">
        <w:trPr>
          <w:trHeight w:val="254"/>
        </w:trPr>
        <w:tc>
          <w:tcPr>
            <w:tcW w:w="3136" w:type="pct"/>
            <w:tcBorders>
              <w:bottom w:val="single" w:sz="4" w:space="0" w:color="auto"/>
            </w:tcBorders>
            <w:vAlign w:val="bottom"/>
            <w:hideMark/>
          </w:tcPr>
          <w:p w:rsidR="003F0A73" w:rsidRDefault="003F0A73">
            <w:pPr>
              <w:rPr>
                <w:rFonts w:ascii="Arial" w:hAnsi="Arial" w:cs="Arial"/>
                <w:sz w:val="24"/>
                <w:szCs w:val="24"/>
              </w:rPr>
            </w:pPr>
            <w:r>
              <w:rPr>
                <w:rFonts w:ascii="Arial" w:hAnsi="Arial" w:cs="Arial"/>
                <w:sz w:val="24"/>
                <w:szCs w:val="24"/>
              </w:rPr>
              <w:t>UK restructuring</w:t>
            </w:r>
          </w:p>
        </w:tc>
        <w:tc>
          <w:tcPr>
            <w:tcW w:w="953" w:type="pct"/>
            <w:tcBorders>
              <w:bottom w:val="single" w:sz="4" w:space="0" w:color="auto"/>
            </w:tcBorders>
            <w:vAlign w:val="bottom"/>
            <w:hideMark/>
          </w:tcPr>
          <w:p w:rsidR="003F0A73" w:rsidRDefault="003F0A73">
            <w:pPr>
              <w:jc w:val="right"/>
              <w:rPr>
                <w:rFonts w:ascii="Arial" w:hAnsi="Arial" w:cs="Arial"/>
                <w:b/>
                <w:sz w:val="24"/>
                <w:szCs w:val="24"/>
              </w:rPr>
            </w:pPr>
            <w:r>
              <w:rPr>
                <w:rFonts w:ascii="Arial" w:hAnsi="Arial" w:cs="Arial"/>
                <w:b/>
                <w:sz w:val="24"/>
                <w:szCs w:val="24"/>
              </w:rPr>
              <w:t>(6)</w:t>
            </w:r>
          </w:p>
        </w:tc>
        <w:tc>
          <w:tcPr>
            <w:tcW w:w="911" w:type="pct"/>
            <w:tcBorders>
              <w:bottom w:val="single" w:sz="4" w:space="0" w:color="auto"/>
            </w:tcBorders>
            <w:vAlign w:val="bottom"/>
            <w:hideMark/>
          </w:tcPr>
          <w:p w:rsidR="003F0A73" w:rsidRDefault="003F0A73">
            <w:pPr>
              <w:jc w:val="right"/>
              <w:rPr>
                <w:rFonts w:ascii="Arial" w:hAnsi="Arial" w:cs="Arial"/>
                <w:sz w:val="24"/>
                <w:szCs w:val="24"/>
              </w:rPr>
            </w:pPr>
            <w:r>
              <w:rPr>
                <w:rFonts w:ascii="Arial" w:hAnsi="Arial" w:cs="Arial"/>
                <w:sz w:val="24"/>
                <w:szCs w:val="24"/>
              </w:rPr>
              <w:t>-</w:t>
            </w:r>
          </w:p>
        </w:tc>
      </w:tr>
      <w:tr w:rsidR="00700CBA" w:rsidTr="001F3AEA">
        <w:trPr>
          <w:trHeight w:val="254"/>
        </w:trPr>
        <w:tc>
          <w:tcPr>
            <w:tcW w:w="3136" w:type="pct"/>
            <w:tcBorders>
              <w:top w:val="single" w:sz="4" w:space="0" w:color="auto"/>
            </w:tcBorders>
            <w:vAlign w:val="bottom"/>
          </w:tcPr>
          <w:p w:rsidR="00700CBA" w:rsidRDefault="00700CBA">
            <w:pPr>
              <w:rPr>
                <w:rFonts w:ascii="Arial" w:hAnsi="Arial" w:cs="Arial"/>
                <w:sz w:val="24"/>
                <w:szCs w:val="24"/>
              </w:rPr>
            </w:pPr>
            <w:r>
              <w:rPr>
                <w:rFonts w:ascii="Arial" w:hAnsi="Arial" w:cs="Arial"/>
                <w:sz w:val="24"/>
                <w:szCs w:val="24"/>
              </w:rPr>
              <w:t>Total UK</w:t>
            </w:r>
          </w:p>
        </w:tc>
        <w:tc>
          <w:tcPr>
            <w:tcW w:w="953" w:type="pct"/>
            <w:tcBorders>
              <w:top w:val="single" w:sz="4" w:space="0" w:color="auto"/>
            </w:tcBorders>
            <w:vAlign w:val="bottom"/>
          </w:tcPr>
          <w:p w:rsidR="00700CBA" w:rsidRDefault="00700CBA">
            <w:pPr>
              <w:jc w:val="right"/>
              <w:rPr>
                <w:rFonts w:ascii="Arial" w:hAnsi="Arial" w:cs="Arial"/>
                <w:b/>
                <w:sz w:val="24"/>
                <w:szCs w:val="24"/>
              </w:rPr>
            </w:pPr>
            <w:r>
              <w:rPr>
                <w:rFonts w:ascii="Arial" w:hAnsi="Arial" w:cs="Arial"/>
                <w:b/>
                <w:sz w:val="24"/>
                <w:szCs w:val="24"/>
              </w:rPr>
              <w:t>10</w:t>
            </w:r>
          </w:p>
        </w:tc>
        <w:tc>
          <w:tcPr>
            <w:tcW w:w="911" w:type="pct"/>
            <w:tcBorders>
              <w:top w:val="single" w:sz="4" w:space="0" w:color="auto"/>
            </w:tcBorders>
            <w:vAlign w:val="bottom"/>
          </w:tcPr>
          <w:p w:rsidR="00700CBA" w:rsidRDefault="00EA3362">
            <w:pPr>
              <w:jc w:val="right"/>
              <w:rPr>
                <w:rFonts w:ascii="Arial" w:hAnsi="Arial" w:cs="Arial"/>
                <w:sz w:val="24"/>
                <w:szCs w:val="24"/>
              </w:rPr>
            </w:pPr>
            <w:r>
              <w:rPr>
                <w:rFonts w:ascii="Arial" w:hAnsi="Arial" w:cs="Arial"/>
                <w:sz w:val="24"/>
                <w:szCs w:val="24"/>
              </w:rPr>
              <w:t>-</w:t>
            </w:r>
          </w:p>
        </w:tc>
      </w:tr>
      <w:tr w:rsidR="00700CBA" w:rsidTr="003F0A73">
        <w:trPr>
          <w:trHeight w:val="254"/>
        </w:trPr>
        <w:tc>
          <w:tcPr>
            <w:tcW w:w="3136" w:type="pct"/>
            <w:vAlign w:val="bottom"/>
          </w:tcPr>
          <w:p w:rsidR="00700CBA" w:rsidRDefault="00700CBA">
            <w:pPr>
              <w:rPr>
                <w:rFonts w:ascii="Arial" w:hAnsi="Arial" w:cs="Arial"/>
                <w:sz w:val="24"/>
                <w:szCs w:val="24"/>
              </w:rPr>
            </w:pPr>
            <w:r>
              <w:rPr>
                <w:rFonts w:ascii="Arial" w:hAnsi="Arial" w:cs="Arial"/>
                <w:sz w:val="24"/>
                <w:szCs w:val="24"/>
              </w:rPr>
              <w:t>Profit on disposal of properties - France</w:t>
            </w:r>
          </w:p>
        </w:tc>
        <w:tc>
          <w:tcPr>
            <w:tcW w:w="953" w:type="pct"/>
            <w:vAlign w:val="bottom"/>
          </w:tcPr>
          <w:p w:rsidR="00700CBA" w:rsidRDefault="00700CBA">
            <w:pPr>
              <w:jc w:val="right"/>
              <w:rPr>
                <w:rFonts w:ascii="Arial" w:hAnsi="Arial" w:cs="Arial"/>
                <w:b/>
                <w:sz w:val="24"/>
                <w:szCs w:val="24"/>
              </w:rPr>
            </w:pPr>
            <w:r>
              <w:rPr>
                <w:rFonts w:ascii="Arial" w:hAnsi="Arial" w:cs="Arial"/>
                <w:b/>
                <w:sz w:val="24"/>
                <w:szCs w:val="24"/>
              </w:rPr>
              <w:t>5</w:t>
            </w:r>
          </w:p>
        </w:tc>
        <w:tc>
          <w:tcPr>
            <w:tcW w:w="911" w:type="pct"/>
            <w:vAlign w:val="bottom"/>
          </w:tcPr>
          <w:p w:rsidR="00700CBA" w:rsidRDefault="00700CBA">
            <w:pPr>
              <w:jc w:val="right"/>
              <w:rPr>
                <w:rFonts w:ascii="Arial" w:hAnsi="Arial" w:cs="Arial"/>
                <w:sz w:val="24"/>
                <w:szCs w:val="24"/>
              </w:rPr>
            </w:pPr>
            <w:r>
              <w:rPr>
                <w:rFonts w:ascii="Arial" w:hAnsi="Arial" w:cs="Arial"/>
                <w:sz w:val="24"/>
                <w:szCs w:val="24"/>
              </w:rPr>
              <w:t>1</w:t>
            </w:r>
          </w:p>
        </w:tc>
      </w:tr>
      <w:tr w:rsidR="003F0A73" w:rsidTr="003F0A73">
        <w:trPr>
          <w:trHeight w:val="254"/>
        </w:trPr>
        <w:tc>
          <w:tcPr>
            <w:tcW w:w="3136" w:type="pct"/>
            <w:vAlign w:val="bottom"/>
            <w:hideMark/>
          </w:tcPr>
          <w:p w:rsidR="003F0A73" w:rsidRDefault="003F0A73">
            <w:pPr>
              <w:rPr>
                <w:rFonts w:ascii="Arial" w:hAnsi="Arial" w:cs="Arial"/>
                <w:sz w:val="24"/>
                <w:szCs w:val="24"/>
              </w:rPr>
            </w:pPr>
            <w:r>
              <w:rPr>
                <w:rFonts w:ascii="Arial" w:hAnsi="Arial" w:cs="Arial"/>
                <w:sz w:val="24"/>
                <w:szCs w:val="24"/>
              </w:rPr>
              <w:t>Acquisition and integration costs</w:t>
            </w:r>
          </w:p>
        </w:tc>
        <w:tc>
          <w:tcPr>
            <w:tcW w:w="953" w:type="pct"/>
            <w:vAlign w:val="bottom"/>
            <w:hideMark/>
          </w:tcPr>
          <w:p w:rsidR="003F0A73" w:rsidRDefault="003F0A73">
            <w:pPr>
              <w:jc w:val="right"/>
              <w:rPr>
                <w:rFonts w:ascii="Arial" w:hAnsi="Arial" w:cs="Arial"/>
                <w:b/>
                <w:sz w:val="24"/>
                <w:szCs w:val="24"/>
              </w:rPr>
            </w:pPr>
            <w:r>
              <w:rPr>
                <w:rFonts w:ascii="Arial" w:hAnsi="Arial" w:cs="Arial"/>
                <w:b/>
                <w:sz w:val="24"/>
                <w:szCs w:val="24"/>
              </w:rPr>
              <w:t>(5)</w:t>
            </w:r>
          </w:p>
        </w:tc>
        <w:tc>
          <w:tcPr>
            <w:tcW w:w="911" w:type="pct"/>
            <w:vAlign w:val="bottom"/>
            <w:hideMark/>
          </w:tcPr>
          <w:p w:rsidR="003F0A73" w:rsidRDefault="003F0A73">
            <w:pPr>
              <w:jc w:val="right"/>
              <w:rPr>
                <w:rFonts w:ascii="Arial" w:hAnsi="Arial" w:cs="Arial"/>
                <w:sz w:val="24"/>
                <w:szCs w:val="24"/>
              </w:rPr>
            </w:pPr>
            <w:r>
              <w:rPr>
                <w:rFonts w:ascii="Arial" w:hAnsi="Arial" w:cs="Arial"/>
                <w:sz w:val="24"/>
                <w:szCs w:val="24"/>
              </w:rPr>
              <w:t>-</w:t>
            </w:r>
          </w:p>
        </w:tc>
      </w:tr>
      <w:tr w:rsidR="003F0A73" w:rsidTr="003F0A73">
        <w:trPr>
          <w:trHeight w:val="254"/>
        </w:trPr>
        <w:tc>
          <w:tcPr>
            <w:tcW w:w="3136" w:type="pct"/>
            <w:vAlign w:val="bottom"/>
            <w:hideMark/>
          </w:tcPr>
          <w:p w:rsidR="003F0A73" w:rsidRDefault="003F0A73" w:rsidP="00C0194C">
            <w:pPr>
              <w:jc w:val="left"/>
              <w:rPr>
                <w:rFonts w:ascii="Arial" w:hAnsi="Arial" w:cs="Arial"/>
                <w:sz w:val="24"/>
                <w:szCs w:val="24"/>
              </w:rPr>
            </w:pPr>
            <w:r>
              <w:rPr>
                <w:rFonts w:ascii="Arial" w:hAnsi="Arial" w:cs="Arial"/>
                <w:sz w:val="24"/>
                <w:szCs w:val="24"/>
              </w:rPr>
              <w:t>Kesa demerger French tax case – repayment supplement</w:t>
            </w:r>
          </w:p>
        </w:tc>
        <w:tc>
          <w:tcPr>
            <w:tcW w:w="953" w:type="pct"/>
            <w:vAlign w:val="bottom"/>
            <w:hideMark/>
          </w:tcPr>
          <w:p w:rsidR="003F0A73" w:rsidRDefault="003F0A73">
            <w:pPr>
              <w:jc w:val="right"/>
              <w:rPr>
                <w:rFonts w:ascii="Arial" w:hAnsi="Arial" w:cs="Arial"/>
                <w:b/>
                <w:sz w:val="24"/>
                <w:szCs w:val="24"/>
              </w:rPr>
            </w:pPr>
            <w:r>
              <w:rPr>
                <w:rFonts w:ascii="Arial" w:hAnsi="Arial" w:cs="Arial"/>
                <w:b/>
                <w:sz w:val="24"/>
                <w:szCs w:val="24"/>
              </w:rPr>
              <w:t>-</w:t>
            </w:r>
          </w:p>
        </w:tc>
        <w:tc>
          <w:tcPr>
            <w:tcW w:w="911" w:type="pct"/>
            <w:vAlign w:val="bottom"/>
            <w:hideMark/>
          </w:tcPr>
          <w:p w:rsidR="003F0A73" w:rsidRDefault="003F0A73">
            <w:pPr>
              <w:jc w:val="right"/>
              <w:rPr>
                <w:rFonts w:ascii="Arial" w:hAnsi="Arial" w:cs="Arial"/>
                <w:sz w:val="24"/>
                <w:szCs w:val="24"/>
              </w:rPr>
            </w:pPr>
            <w:r>
              <w:rPr>
                <w:rFonts w:ascii="Arial" w:hAnsi="Arial" w:cs="Arial"/>
                <w:sz w:val="24"/>
                <w:szCs w:val="24"/>
              </w:rPr>
              <w:t>27</w:t>
            </w:r>
          </w:p>
        </w:tc>
      </w:tr>
      <w:tr w:rsidR="003F0A73" w:rsidTr="00C0194C">
        <w:trPr>
          <w:trHeight w:val="308"/>
        </w:trPr>
        <w:tc>
          <w:tcPr>
            <w:tcW w:w="3136" w:type="pct"/>
            <w:vAlign w:val="bottom"/>
            <w:hideMark/>
          </w:tcPr>
          <w:p w:rsidR="003F0A73" w:rsidRDefault="003F0A73">
            <w:pPr>
              <w:jc w:val="left"/>
              <w:rPr>
                <w:rFonts w:ascii="Arial" w:hAnsi="Arial" w:cs="Arial"/>
                <w:sz w:val="24"/>
                <w:szCs w:val="24"/>
              </w:rPr>
            </w:pPr>
            <w:r>
              <w:rPr>
                <w:rFonts w:ascii="Arial" w:hAnsi="Arial" w:cs="Arial"/>
                <w:sz w:val="24"/>
                <w:szCs w:val="24"/>
              </w:rPr>
              <w:t>Ireland restructuring</w:t>
            </w:r>
          </w:p>
        </w:tc>
        <w:tc>
          <w:tcPr>
            <w:tcW w:w="953" w:type="pct"/>
            <w:vAlign w:val="bottom"/>
            <w:hideMark/>
          </w:tcPr>
          <w:p w:rsidR="003F0A73" w:rsidRDefault="003F0A73">
            <w:pPr>
              <w:jc w:val="right"/>
              <w:rPr>
                <w:rFonts w:ascii="Arial" w:hAnsi="Arial" w:cs="Arial"/>
                <w:b/>
                <w:sz w:val="24"/>
                <w:szCs w:val="24"/>
              </w:rPr>
            </w:pPr>
            <w:r>
              <w:rPr>
                <w:rFonts w:ascii="Arial" w:hAnsi="Arial" w:cs="Arial"/>
                <w:b/>
                <w:sz w:val="24"/>
                <w:szCs w:val="24"/>
              </w:rPr>
              <w:t>-</w:t>
            </w:r>
          </w:p>
        </w:tc>
        <w:tc>
          <w:tcPr>
            <w:tcW w:w="911" w:type="pct"/>
            <w:vAlign w:val="bottom"/>
            <w:hideMark/>
          </w:tcPr>
          <w:p w:rsidR="003F0A73" w:rsidRDefault="003F0A73">
            <w:pPr>
              <w:jc w:val="right"/>
              <w:rPr>
                <w:rFonts w:ascii="Arial" w:hAnsi="Arial" w:cs="Arial"/>
                <w:sz w:val="24"/>
                <w:szCs w:val="24"/>
              </w:rPr>
            </w:pPr>
            <w:r>
              <w:rPr>
                <w:rFonts w:ascii="Arial" w:hAnsi="Arial" w:cs="Arial"/>
                <w:sz w:val="24"/>
                <w:szCs w:val="24"/>
              </w:rPr>
              <w:t>7</w:t>
            </w:r>
          </w:p>
        </w:tc>
      </w:tr>
      <w:tr w:rsidR="003F0A73" w:rsidTr="00C0194C">
        <w:trPr>
          <w:trHeight w:val="308"/>
        </w:trPr>
        <w:tc>
          <w:tcPr>
            <w:tcW w:w="3136" w:type="pct"/>
            <w:tcBorders>
              <w:top w:val="single" w:sz="4" w:space="0" w:color="auto"/>
              <w:left w:val="nil"/>
              <w:bottom w:val="nil"/>
              <w:right w:val="nil"/>
            </w:tcBorders>
            <w:vAlign w:val="bottom"/>
            <w:hideMark/>
          </w:tcPr>
          <w:p w:rsidR="003F0A73" w:rsidRDefault="003F0A73">
            <w:pPr>
              <w:jc w:val="left"/>
              <w:rPr>
                <w:rFonts w:ascii="Arial" w:hAnsi="Arial" w:cs="Arial"/>
                <w:b/>
                <w:sz w:val="24"/>
                <w:szCs w:val="24"/>
              </w:rPr>
            </w:pPr>
            <w:r>
              <w:rPr>
                <w:rFonts w:ascii="Arial" w:hAnsi="Arial" w:cs="Arial"/>
                <w:b/>
                <w:sz w:val="24"/>
                <w:szCs w:val="24"/>
              </w:rPr>
              <w:t>Exceptional items before tax</w:t>
            </w:r>
          </w:p>
        </w:tc>
        <w:tc>
          <w:tcPr>
            <w:tcW w:w="953" w:type="pct"/>
            <w:tcBorders>
              <w:top w:val="single" w:sz="4" w:space="0" w:color="auto"/>
              <w:left w:val="nil"/>
              <w:bottom w:val="nil"/>
              <w:right w:val="nil"/>
            </w:tcBorders>
            <w:vAlign w:val="bottom"/>
            <w:hideMark/>
          </w:tcPr>
          <w:p w:rsidR="003F0A73" w:rsidRDefault="003F0A73">
            <w:pPr>
              <w:jc w:val="right"/>
              <w:rPr>
                <w:rFonts w:ascii="Arial" w:hAnsi="Arial" w:cs="Arial"/>
                <w:b/>
                <w:sz w:val="24"/>
                <w:szCs w:val="24"/>
              </w:rPr>
            </w:pPr>
            <w:r>
              <w:rPr>
                <w:rFonts w:ascii="Arial" w:hAnsi="Arial" w:cs="Arial"/>
                <w:b/>
                <w:sz w:val="24"/>
                <w:szCs w:val="24"/>
              </w:rPr>
              <w:t>10</w:t>
            </w:r>
          </w:p>
        </w:tc>
        <w:tc>
          <w:tcPr>
            <w:tcW w:w="911" w:type="pct"/>
            <w:tcBorders>
              <w:top w:val="single" w:sz="4" w:space="0" w:color="auto"/>
              <w:left w:val="nil"/>
              <w:bottom w:val="nil"/>
              <w:right w:val="nil"/>
            </w:tcBorders>
            <w:vAlign w:val="bottom"/>
            <w:hideMark/>
          </w:tcPr>
          <w:p w:rsidR="003F0A73" w:rsidRDefault="003F0A73">
            <w:pPr>
              <w:jc w:val="right"/>
              <w:rPr>
                <w:rFonts w:ascii="Arial" w:hAnsi="Arial" w:cs="Arial"/>
                <w:sz w:val="24"/>
                <w:szCs w:val="24"/>
              </w:rPr>
            </w:pPr>
            <w:r>
              <w:rPr>
                <w:rFonts w:ascii="Arial" w:hAnsi="Arial" w:cs="Arial"/>
                <w:sz w:val="24"/>
                <w:szCs w:val="24"/>
              </w:rPr>
              <w:t>35</w:t>
            </w:r>
          </w:p>
        </w:tc>
      </w:tr>
      <w:tr w:rsidR="003F0A73" w:rsidTr="00C0194C">
        <w:trPr>
          <w:trHeight w:val="308"/>
        </w:trPr>
        <w:tc>
          <w:tcPr>
            <w:tcW w:w="3136" w:type="pct"/>
            <w:vAlign w:val="bottom"/>
            <w:hideMark/>
          </w:tcPr>
          <w:p w:rsidR="003F0A73" w:rsidRDefault="003F0A73">
            <w:pPr>
              <w:jc w:val="left"/>
              <w:rPr>
                <w:rFonts w:ascii="Arial" w:hAnsi="Arial" w:cs="Arial"/>
                <w:sz w:val="24"/>
                <w:szCs w:val="24"/>
              </w:rPr>
            </w:pPr>
            <w:r>
              <w:rPr>
                <w:rFonts w:ascii="Arial" w:hAnsi="Arial" w:cs="Arial"/>
                <w:sz w:val="24"/>
                <w:szCs w:val="24"/>
              </w:rPr>
              <w:t>Tax on exceptional items</w:t>
            </w:r>
          </w:p>
        </w:tc>
        <w:tc>
          <w:tcPr>
            <w:tcW w:w="953" w:type="pct"/>
            <w:vAlign w:val="bottom"/>
            <w:hideMark/>
          </w:tcPr>
          <w:p w:rsidR="003F0A73" w:rsidRDefault="003F0A73">
            <w:pPr>
              <w:jc w:val="right"/>
              <w:rPr>
                <w:rFonts w:ascii="Arial" w:hAnsi="Arial" w:cs="Arial"/>
                <w:b/>
                <w:sz w:val="24"/>
                <w:szCs w:val="24"/>
              </w:rPr>
            </w:pPr>
            <w:r>
              <w:rPr>
                <w:rFonts w:ascii="Arial" w:hAnsi="Arial" w:cs="Arial"/>
                <w:b/>
                <w:sz w:val="24"/>
                <w:szCs w:val="24"/>
              </w:rPr>
              <w:t>1</w:t>
            </w:r>
          </w:p>
        </w:tc>
        <w:tc>
          <w:tcPr>
            <w:tcW w:w="911" w:type="pct"/>
            <w:vAlign w:val="bottom"/>
            <w:hideMark/>
          </w:tcPr>
          <w:p w:rsidR="003F0A73" w:rsidRDefault="003F0A73">
            <w:pPr>
              <w:jc w:val="right"/>
              <w:rPr>
                <w:rFonts w:ascii="Arial" w:hAnsi="Arial" w:cs="Arial"/>
                <w:sz w:val="24"/>
                <w:szCs w:val="24"/>
              </w:rPr>
            </w:pPr>
            <w:r>
              <w:rPr>
                <w:rFonts w:ascii="Arial" w:hAnsi="Arial" w:cs="Arial"/>
                <w:sz w:val="24"/>
                <w:szCs w:val="24"/>
              </w:rPr>
              <w:t>-</w:t>
            </w:r>
          </w:p>
        </w:tc>
      </w:tr>
      <w:tr w:rsidR="003F0A73" w:rsidTr="00C0194C">
        <w:trPr>
          <w:trHeight w:val="308"/>
        </w:trPr>
        <w:tc>
          <w:tcPr>
            <w:tcW w:w="3136" w:type="pct"/>
            <w:tcBorders>
              <w:top w:val="nil"/>
              <w:left w:val="nil"/>
              <w:bottom w:val="single" w:sz="4" w:space="0" w:color="auto"/>
              <w:right w:val="nil"/>
            </w:tcBorders>
            <w:vAlign w:val="bottom"/>
            <w:hideMark/>
          </w:tcPr>
          <w:p w:rsidR="003F0A73" w:rsidRDefault="003F0A73">
            <w:pPr>
              <w:jc w:val="left"/>
              <w:rPr>
                <w:rFonts w:ascii="Arial" w:hAnsi="Arial" w:cs="Arial"/>
                <w:sz w:val="24"/>
                <w:szCs w:val="24"/>
              </w:rPr>
            </w:pPr>
            <w:r>
              <w:rPr>
                <w:rFonts w:ascii="Arial" w:hAnsi="Arial" w:cs="Arial"/>
                <w:sz w:val="24"/>
                <w:szCs w:val="24"/>
              </w:rPr>
              <w:t>Kesa demerger French tax case</w:t>
            </w:r>
          </w:p>
        </w:tc>
        <w:tc>
          <w:tcPr>
            <w:tcW w:w="953" w:type="pct"/>
            <w:tcBorders>
              <w:top w:val="nil"/>
              <w:left w:val="nil"/>
              <w:bottom w:val="single" w:sz="4" w:space="0" w:color="auto"/>
              <w:right w:val="nil"/>
            </w:tcBorders>
            <w:vAlign w:val="bottom"/>
            <w:hideMark/>
          </w:tcPr>
          <w:p w:rsidR="003F0A73" w:rsidRDefault="003F0A73">
            <w:pPr>
              <w:jc w:val="right"/>
              <w:rPr>
                <w:rFonts w:ascii="Arial" w:hAnsi="Arial" w:cs="Arial"/>
                <w:b/>
                <w:sz w:val="24"/>
                <w:szCs w:val="24"/>
              </w:rPr>
            </w:pPr>
            <w:r>
              <w:rPr>
                <w:rFonts w:ascii="Arial" w:hAnsi="Arial" w:cs="Arial"/>
                <w:b/>
                <w:sz w:val="24"/>
                <w:szCs w:val="24"/>
              </w:rPr>
              <w:t>-</w:t>
            </w:r>
          </w:p>
        </w:tc>
        <w:tc>
          <w:tcPr>
            <w:tcW w:w="911" w:type="pct"/>
            <w:tcBorders>
              <w:top w:val="nil"/>
              <w:left w:val="nil"/>
              <w:bottom w:val="single" w:sz="4" w:space="0" w:color="auto"/>
              <w:right w:val="nil"/>
            </w:tcBorders>
            <w:vAlign w:val="bottom"/>
            <w:hideMark/>
          </w:tcPr>
          <w:p w:rsidR="003F0A73" w:rsidRDefault="003F0A73">
            <w:pPr>
              <w:jc w:val="right"/>
              <w:rPr>
                <w:rFonts w:ascii="Arial" w:hAnsi="Arial" w:cs="Arial"/>
                <w:sz w:val="24"/>
                <w:szCs w:val="24"/>
              </w:rPr>
            </w:pPr>
            <w:r>
              <w:rPr>
                <w:rFonts w:ascii="Arial" w:hAnsi="Arial" w:cs="Arial"/>
                <w:sz w:val="24"/>
                <w:szCs w:val="24"/>
              </w:rPr>
              <w:t>118</w:t>
            </w:r>
          </w:p>
        </w:tc>
      </w:tr>
      <w:tr w:rsidR="003F0A73" w:rsidTr="00C0194C">
        <w:trPr>
          <w:trHeight w:val="308"/>
        </w:trPr>
        <w:tc>
          <w:tcPr>
            <w:tcW w:w="3136" w:type="pct"/>
            <w:tcBorders>
              <w:top w:val="single" w:sz="4" w:space="0" w:color="auto"/>
              <w:left w:val="nil"/>
              <w:bottom w:val="single" w:sz="4" w:space="0" w:color="auto"/>
              <w:right w:val="nil"/>
            </w:tcBorders>
            <w:vAlign w:val="bottom"/>
            <w:hideMark/>
          </w:tcPr>
          <w:p w:rsidR="003F0A73" w:rsidRDefault="003F0A73">
            <w:pPr>
              <w:jc w:val="left"/>
              <w:rPr>
                <w:rFonts w:ascii="Arial" w:hAnsi="Arial" w:cs="Arial"/>
                <w:b/>
                <w:sz w:val="24"/>
                <w:szCs w:val="24"/>
              </w:rPr>
            </w:pPr>
            <w:r>
              <w:rPr>
                <w:rFonts w:ascii="Arial" w:hAnsi="Arial" w:cs="Arial"/>
                <w:b/>
                <w:sz w:val="24"/>
                <w:szCs w:val="24"/>
              </w:rPr>
              <w:t>Net exceptional items</w:t>
            </w:r>
          </w:p>
        </w:tc>
        <w:tc>
          <w:tcPr>
            <w:tcW w:w="953" w:type="pct"/>
            <w:tcBorders>
              <w:top w:val="single" w:sz="4" w:space="0" w:color="auto"/>
              <w:left w:val="nil"/>
              <w:bottom w:val="single" w:sz="4" w:space="0" w:color="auto"/>
              <w:right w:val="nil"/>
            </w:tcBorders>
            <w:vAlign w:val="bottom"/>
            <w:hideMark/>
          </w:tcPr>
          <w:p w:rsidR="003F0A73" w:rsidRDefault="003F0A73">
            <w:pPr>
              <w:jc w:val="right"/>
              <w:rPr>
                <w:rFonts w:ascii="Arial" w:hAnsi="Arial" w:cs="Arial"/>
                <w:b/>
                <w:sz w:val="24"/>
                <w:szCs w:val="24"/>
              </w:rPr>
            </w:pPr>
            <w:r>
              <w:rPr>
                <w:rFonts w:ascii="Arial" w:hAnsi="Arial" w:cs="Arial"/>
                <w:b/>
                <w:sz w:val="24"/>
                <w:szCs w:val="24"/>
              </w:rPr>
              <w:t>11</w:t>
            </w:r>
          </w:p>
        </w:tc>
        <w:tc>
          <w:tcPr>
            <w:tcW w:w="911" w:type="pct"/>
            <w:tcBorders>
              <w:top w:val="single" w:sz="4" w:space="0" w:color="auto"/>
              <w:left w:val="nil"/>
              <w:bottom w:val="single" w:sz="4" w:space="0" w:color="auto"/>
              <w:right w:val="nil"/>
            </w:tcBorders>
            <w:vAlign w:val="bottom"/>
            <w:hideMark/>
          </w:tcPr>
          <w:p w:rsidR="003F0A73" w:rsidRDefault="003F0A73">
            <w:pPr>
              <w:jc w:val="right"/>
              <w:rPr>
                <w:rFonts w:ascii="Arial" w:hAnsi="Arial" w:cs="Arial"/>
                <w:sz w:val="24"/>
                <w:szCs w:val="24"/>
              </w:rPr>
            </w:pPr>
            <w:r>
              <w:rPr>
                <w:rFonts w:ascii="Arial" w:hAnsi="Arial" w:cs="Arial"/>
                <w:sz w:val="24"/>
                <w:szCs w:val="24"/>
              </w:rPr>
              <w:t>153</w:t>
            </w:r>
          </w:p>
        </w:tc>
      </w:tr>
    </w:tbl>
    <w:p w:rsidR="003F0A73" w:rsidRDefault="003F0A73" w:rsidP="003F0A73">
      <w:pPr>
        <w:rPr>
          <w:rFonts w:ascii="Arial" w:eastAsia="Times New Roman" w:hAnsi="Arial" w:cs="Arial"/>
          <w:sz w:val="24"/>
          <w:szCs w:val="24"/>
          <w:highlight w:val="yellow"/>
        </w:rPr>
      </w:pPr>
    </w:p>
    <w:p w:rsidR="00700CBA" w:rsidRDefault="00700CBA" w:rsidP="001F3AEA">
      <w:pPr>
        <w:jc w:val="left"/>
        <w:rPr>
          <w:rFonts w:ascii="Arial" w:hAnsi="Arial" w:cs="Arial"/>
          <w:sz w:val="24"/>
          <w:szCs w:val="24"/>
        </w:rPr>
      </w:pPr>
      <w:r>
        <w:rPr>
          <w:rFonts w:ascii="Arial" w:hAnsi="Arial" w:cs="Arial"/>
          <w:sz w:val="24"/>
          <w:szCs w:val="24"/>
        </w:rPr>
        <w:t>In the UK a profit of £16 million on disposal of part of the Belvedere store was offset by a £6 million restructuring charge relating to the transformation of B&amp;Q, driven by productivity initiatives aimed at delivering a simpler, more efficient business with a lower cost operating model.</w:t>
      </w:r>
    </w:p>
    <w:p w:rsidR="00700CBA" w:rsidRDefault="00700CBA" w:rsidP="001F3AEA">
      <w:pPr>
        <w:jc w:val="left"/>
        <w:rPr>
          <w:rFonts w:ascii="Arial" w:hAnsi="Arial" w:cs="Arial"/>
          <w:sz w:val="24"/>
          <w:szCs w:val="24"/>
        </w:rPr>
      </w:pPr>
    </w:p>
    <w:p w:rsidR="00700CBA" w:rsidRDefault="00700CBA" w:rsidP="001F3AEA">
      <w:pPr>
        <w:jc w:val="left"/>
        <w:rPr>
          <w:rFonts w:ascii="Arial" w:hAnsi="Arial" w:cs="Arial"/>
          <w:sz w:val="24"/>
          <w:szCs w:val="24"/>
        </w:rPr>
      </w:pPr>
      <w:r>
        <w:rPr>
          <w:rFonts w:ascii="Arial" w:hAnsi="Arial" w:cs="Arial"/>
          <w:sz w:val="24"/>
          <w:szCs w:val="24"/>
        </w:rPr>
        <w:t>A further £5 million profit on disposal of properties was realised in France.</w:t>
      </w:r>
    </w:p>
    <w:p w:rsidR="00700CBA" w:rsidRDefault="00700CBA" w:rsidP="001F3AEA">
      <w:pPr>
        <w:jc w:val="left"/>
        <w:rPr>
          <w:rFonts w:ascii="Arial" w:hAnsi="Arial" w:cs="Arial"/>
          <w:sz w:val="24"/>
          <w:szCs w:val="24"/>
        </w:rPr>
      </w:pPr>
    </w:p>
    <w:p w:rsidR="00700CBA" w:rsidRDefault="00700CBA" w:rsidP="001F3AEA">
      <w:pPr>
        <w:jc w:val="left"/>
        <w:rPr>
          <w:rFonts w:ascii="Arial" w:hAnsi="Arial" w:cs="Arial"/>
          <w:sz w:val="24"/>
          <w:szCs w:val="24"/>
        </w:rPr>
      </w:pPr>
      <w:r>
        <w:rPr>
          <w:rFonts w:ascii="Arial" w:hAnsi="Arial" w:cs="Arial"/>
          <w:sz w:val="24"/>
          <w:szCs w:val="24"/>
        </w:rPr>
        <w:t>Current period acquisition and integration costs of £5 million have been incurred, including fees relating to the acquisition of Mr Bricolage.</w:t>
      </w:r>
    </w:p>
    <w:p w:rsidR="00700CBA" w:rsidRDefault="00700CBA" w:rsidP="001F3AEA">
      <w:pPr>
        <w:jc w:val="left"/>
        <w:rPr>
          <w:rFonts w:ascii="Arial" w:hAnsi="Arial" w:cs="Arial"/>
          <w:sz w:val="24"/>
          <w:szCs w:val="24"/>
        </w:rPr>
      </w:pPr>
    </w:p>
    <w:p w:rsidR="00700CBA" w:rsidRDefault="00700CBA" w:rsidP="001F3AEA">
      <w:pPr>
        <w:jc w:val="left"/>
        <w:rPr>
          <w:rFonts w:ascii="Arial" w:hAnsi="Arial" w:cs="Arial"/>
          <w:sz w:val="24"/>
          <w:szCs w:val="24"/>
        </w:rPr>
      </w:pPr>
      <w:r>
        <w:rPr>
          <w:rFonts w:ascii="Arial" w:hAnsi="Arial" w:cs="Arial"/>
          <w:sz w:val="24"/>
          <w:szCs w:val="24"/>
        </w:rPr>
        <w:t>In July 2013 the Conseil d’Etat, France’s ultimate court, found in favour of Kingfisher regarding the Kesa demerger tax case, which concluded the matter. Whilst a refund was received from the French tax authorities following the first positive decision in 2009, the Group continued to provide against the risk while litigation was ongoing. A £27 million repayment supplement provision and £118 million taxation provision related to the case were subsequently released and treated as exceptional.</w:t>
      </w:r>
    </w:p>
    <w:p w:rsidR="003F0A73" w:rsidRDefault="003F0A73" w:rsidP="003F0A73">
      <w:pPr>
        <w:jc w:val="left"/>
        <w:rPr>
          <w:rFonts w:ascii="Arial" w:hAnsi="Arial" w:cs="Arial"/>
          <w:b/>
          <w:sz w:val="24"/>
          <w:szCs w:val="24"/>
        </w:rPr>
      </w:pPr>
      <w:r>
        <w:rPr>
          <w:rFonts w:ascii="Arial" w:hAnsi="Arial" w:cs="Arial"/>
          <w:b/>
          <w:sz w:val="24"/>
          <w:szCs w:val="24"/>
        </w:rPr>
        <w:lastRenderedPageBreak/>
        <w:t>Earnings per share</w:t>
      </w:r>
    </w:p>
    <w:p w:rsidR="003F0A73" w:rsidRDefault="003F0A73" w:rsidP="003F0A73">
      <w:pPr>
        <w:jc w:val="left"/>
        <w:rPr>
          <w:rFonts w:ascii="Arial" w:hAnsi="Arial" w:cs="Arial"/>
          <w:b/>
          <w:sz w:val="24"/>
          <w:szCs w:val="24"/>
          <w:highlight w:val="yellow"/>
        </w:rPr>
      </w:pPr>
    </w:p>
    <w:p w:rsidR="003F0A73" w:rsidRDefault="001258B5" w:rsidP="003F0A73">
      <w:pPr>
        <w:jc w:val="left"/>
        <w:rPr>
          <w:rFonts w:ascii="Arial" w:hAnsi="Arial" w:cs="Arial"/>
          <w:sz w:val="24"/>
          <w:szCs w:val="24"/>
          <w:highlight w:val="yellow"/>
        </w:rPr>
      </w:pPr>
      <w:r>
        <w:rPr>
          <w:rFonts w:ascii="Arial" w:hAnsi="Arial" w:cs="Arial"/>
          <w:sz w:val="24"/>
          <w:szCs w:val="24"/>
        </w:rPr>
        <w:t>Basic EPS</w:t>
      </w:r>
      <w:r w:rsidR="003F0A73">
        <w:rPr>
          <w:rFonts w:ascii="Arial" w:hAnsi="Arial" w:cs="Arial"/>
          <w:sz w:val="24"/>
          <w:szCs w:val="24"/>
        </w:rPr>
        <w:t xml:space="preserve"> have decreased by 36.9% to 11.8p (2013/14: 18.7p). On a more comparable basis, removing the impact of exceptional items, the share of Hornbach results, fair value remeasurements and the effect of prior year tax adjustments, adjusted basic earnings per share have remained flat at 11.3p (2013/14: 11.3p).</w:t>
      </w:r>
    </w:p>
    <w:p w:rsidR="003F0A73" w:rsidRDefault="003F0A73" w:rsidP="003F0A73">
      <w:pPr>
        <w:jc w:val="left"/>
        <w:rPr>
          <w:rFonts w:ascii="Arial" w:hAnsi="Arial" w:cs="Arial"/>
          <w:b/>
          <w:sz w:val="24"/>
          <w:szCs w:val="24"/>
        </w:rPr>
      </w:pPr>
    </w:p>
    <w:tbl>
      <w:tblPr>
        <w:tblW w:w="5000" w:type="pct"/>
        <w:tblLook w:val="01E0" w:firstRow="1" w:lastRow="1" w:firstColumn="1" w:lastColumn="1" w:noHBand="0" w:noVBand="0"/>
      </w:tblPr>
      <w:tblGrid>
        <w:gridCol w:w="4420"/>
        <w:gridCol w:w="1362"/>
        <w:gridCol w:w="1361"/>
        <w:gridCol w:w="1249"/>
        <w:gridCol w:w="1249"/>
      </w:tblGrid>
      <w:tr w:rsidR="003F0A73" w:rsidTr="003F0A73">
        <w:tc>
          <w:tcPr>
            <w:tcW w:w="2292" w:type="pct"/>
            <w:tcBorders>
              <w:top w:val="nil"/>
              <w:left w:val="nil"/>
              <w:bottom w:val="single" w:sz="4" w:space="0" w:color="auto"/>
              <w:right w:val="nil"/>
            </w:tcBorders>
          </w:tcPr>
          <w:p w:rsidR="003F0A73" w:rsidRDefault="003F0A73">
            <w:pPr>
              <w:rPr>
                <w:rFonts w:ascii="Arial" w:hAnsi="Arial" w:cs="Arial"/>
                <w:sz w:val="24"/>
                <w:szCs w:val="24"/>
              </w:rPr>
            </w:pPr>
          </w:p>
        </w:tc>
        <w:tc>
          <w:tcPr>
            <w:tcW w:w="706" w:type="pct"/>
            <w:tcBorders>
              <w:top w:val="nil"/>
              <w:left w:val="nil"/>
              <w:bottom w:val="single" w:sz="4" w:space="0" w:color="auto"/>
              <w:right w:val="nil"/>
            </w:tcBorders>
          </w:tcPr>
          <w:p w:rsidR="003F0A73" w:rsidRDefault="003F0A73">
            <w:pPr>
              <w:jc w:val="right"/>
              <w:rPr>
                <w:rFonts w:ascii="Arial" w:hAnsi="Arial" w:cs="Arial"/>
                <w:b/>
                <w:sz w:val="24"/>
                <w:szCs w:val="24"/>
              </w:rPr>
            </w:pPr>
          </w:p>
          <w:p w:rsidR="003F0A73" w:rsidRDefault="003F0A73">
            <w:pPr>
              <w:jc w:val="right"/>
              <w:rPr>
                <w:rFonts w:ascii="Arial" w:hAnsi="Arial" w:cs="Arial"/>
                <w:b/>
                <w:sz w:val="24"/>
                <w:szCs w:val="24"/>
              </w:rPr>
            </w:pPr>
            <w:r>
              <w:rPr>
                <w:rFonts w:ascii="Arial" w:hAnsi="Arial" w:cs="Arial"/>
                <w:b/>
                <w:sz w:val="24"/>
                <w:szCs w:val="24"/>
              </w:rPr>
              <w:t>Earnings</w:t>
            </w:r>
          </w:p>
          <w:p w:rsidR="003F0A73" w:rsidRDefault="003F0A73">
            <w:pPr>
              <w:jc w:val="right"/>
              <w:rPr>
                <w:rFonts w:ascii="Arial" w:hAnsi="Arial" w:cs="Arial"/>
                <w:b/>
                <w:sz w:val="24"/>
                <w:szCs w:val="24"/>
              </w:rPr>
            </w:pPr>
            <w:r>
              <w:rPr>
                <w:rFonts w:ascii="Arial" w:hAnsi="Arial" w:cs="Arial"/>
                <w:b/>
                <w:sz w:val="24"/>
                <w:szCs w:val="24"/>
              </w:rPr>
              <w:t>£m</w:t>
            </w:r>
          </w:p>
        </w:tc>
        <w:tc>
          <w:tcPr>
            <w:tcW w:w="706" w:type="pct"/>
            <w:tcBorders>
              <w:top w:val="nil"/>
              <w:left w:val="nil"/>
              <w:bottom w:val="single" w:sz="4" w:space="0" w:color="auto"/>
              <w:right w:val="nil"/>
            </w:tcBorders>
            <w:hideMark/>
          </w:tcPr>
          <w:p w:rsidR="003F0A73" w:rsidRDefault="003F0A73">
            <w:pPr>
              <w:jc w:val="right"/>
              <w:rPr>
                <w:rFonts w:ascii="Arial" w:hAnsi="Arial" w:cs="Arial"/>
                <w:b/>
                <w:sz w:val="24"/>
                <w:szCs w:val="24"/>
              </w:rPr>
            </w:pPr>
            <w:r>
              <w:rPr>
                <w:rFonts w:ascii="Arial" w:hAnsi="Arial" w:cs="Arial"/>
                <w:b/>
                <w:sz w:val="24"/>
                <w:szCs w:val="24"/>
              </w:rPr>
              <w:t>2014/15</w:t>
            </w:r>
          </w:p>
          <w:p w:rsidR="003F0A73" w:rsidRDefault="003F0A73">
            <w:pPr>
              <w:jc w:val="right"/>
              <w:rPr>
                <w:rFonts w:ascii="Arial" w:hAnsi="Arial" w:cs="Arial"/>
                <w:b/>
                <w:sz w:val="24"/>
                <w:szCs w:val="24"/>
              </w:rPr>
            </w:pPr>
            <w:r>
              <w:rPr>
                <w:rFonts w:ascii="Arial" w:hAnsi="Arial" w:cs="Arial"/>
                <w:b/>
                <w:sz w:val="24"/>
                <w:szCs w:val="24"/>
              </w:rPr>
              <w:t>EPS</w:t>
            </w:r>
          </w:p>
          <w:p w:rsidR="003F0A73" w:rsidRDefault="003F0A73">
            <w:pPr>
              <w:jc w:val="right"/>
              <w:rPr>
                <w:rFonts w:ascii="Arial" w:hAnsi="Arial" w:cs="Arial"/>
                <w:b/>
                <w:sz w:val="24"/>
                <w:szCs w:val="24"/>
              </w:rPr>
            </w:pPr>
            <w:r>
              <w:rPr>
                <w:rFonts w:ascii="Arial" w:hAnsi="Arial" w:cs="Arial"/>
                <w:b/>
                <w:sz w:val="24"/>
                <w:szCs w:val="24"/>
              </w:rPr>
              <w:t>pence</w:t>
            </w:r>
          </w:p>
        </w:tc>
        <w:tc>
          <w:tcPr>
            <w:tcW w:w="648" w:type="pct"/>
            <w:tcBorders>
              <w:top w:val="nil"/>
              <w:left w:val="nil"/>
              <w:bottom w:val="single" w:sz="4" w:space="0" w:color="auto"/>
              <w:right w:val="nil"/>
            </w:tcBorders>
          </w:tcPr>
          <w:p w:rsidR="003F0A73" w:rsidRDefault="003F0A73">
            <w:pPr>
              <w:jc w:val="right"/>
              <w:rPr>
                <w:rFonts w:ascii="Arial" w:hAnsi="Arial" w:cs="Arial"/>
                <w:sz w:val="24"/>
                <w:szCs w:val="24"/>
              </w:rPr>
            </w:pPr>
          </w:p>
          <w:p w:rsidR="003F0A73" w:rsidRDefault="003F0A73">
            <w:pPr>
              <w:jc w:val="right"/>
              <w:rPr>
                <w:rFonts w:ascii="Arial" w:hAnsi="Arial" w:cs="Arial"/>
                <w:sz w:val="24"/>
                <w:szCs w:val="24"/>
              </w:rPr>
            </w:pPr>
            <w:r>
              <w:rPr>
                <w:rFonts w:ascii="Arial" w:hAnsi="Arial" w:cs="Arial"/>
                <w:sz w:val="24"/>
                <w:szCs w:val="24"/>
              </w:rPr>
              <w:t>Earnings</w:t>
            </w:r>
          </w:p>
          <w:p w:rsidR="003F0A73" w:rsidRDefault="003F0A73">
            <w:pPr>
              <w:jc w:val="right"/>
              <w:rPr>
                <w:rFonts w:ascii="Arial" w:hAnsi="Arial" w:cs="Arial"/>
                <w:sz w:val="24"/>
                <w:szCs w:val="24"/>
              </w:rPr>
            </w:pPr>
            <w:r>
              <w:rPr>
                <w:rFonts w:ascii="Arial" w:hAnsi="Arial" w:cs="Arial"/>
                <w:sz w:val="24"/>
                <w:szCs w:val="24"/>
              </w:rPr>
              <w:t>£m</w:t>
            </w:r>
          </w:p>
        </w:tc>
        <w:tc>
          <w:tcPr>
            <w:tcW w:w="648" w:type="pct"/>
            <w:tcBorders>
              <w:top w:val="nil"/>
              <w:left w:val="nil"/>
              <w:bottom w:val="single" w:sz="4" w:space="0" w:color="auto"/>
              <w:right w:val="nil"/>
            </w:tcBorders>
            <w:hideMark/>
          </w:tcPr>
          <w:p w:rsidR="003F0A73" w:rsidRDefault="003F0A73">
            <w:pPr>
              <w:jc w:val="right"/>
              <w:rPr>
                <w:rFonts w:ascii="Arial" w:hAnsi="Arial" w:cs="Arial"/>
                <w:sz w:val="24"/>
                <w:szCs w:val="24"/>
              </w:rPr>
            </w:pPr>
            <w:r>
              <w:rPr>
                <w:rFonts w:ascii="Arial" w:hAnsi="Arial" w:cs="Arial"/>
                <w:sz w:val="24"/>
                <w:szCs w:val="24"/>
              </w:rPr>
              <w:t>2013/14</w:t>
            </w:r>
          </w:p>
          <w:p w:rsidR="003F0A73" w:rsidRDefault="003F0A73">
            <w:pPr>
              <w:jc w:val="right"/>
              <w:rPr>
                <w:rFonts w:ascii="Arial" w:hAnsi="Arial" w:cs="Arial"/>
                <w:sz w:val="24"/>
                <w:szCs w:val="24"/>
              </w:rPr>
            </w:pPr>
            <w:r>
              <w:rPr>
                <w:rFonts w:ascii="Arial" w:hAnsi="Arial" w:cs="Arial"/>
                <w:sz w:val="24"/>
                <w:szCs w:val="24"/>
              </w:rPr>
              <w:t>EPS</w:t>
            </w:r>
          </w:p>
          <w:p w:rsidR="003F0A73" w:rsidRDefault="003F0A73">
            <w:pPr>
              <w:jc w:val="right"/>
              <w:rPr>
                <w:rFonts w:ascii="Arial" w:hAnsi="Arial" w:cs="Arial"/>
                <w:sz w:val="24"/>
                <w:szCs w:val="24"/>
              </w:rPr>
            </w:pPr>
            <w:r>
              <w:rPr>
                <w:rFonts w:ascii="Arial" w:hAnsi="Arial" w:cs="Arial"/>
                <w:sz w:val="24"/>
                <w:szCs w:val="24"/>
              </w:rPr>
              <w:t>pence</w:t>
            </w:r>
          </w:p>
        </w:tc>
      </w:tr>
      <w:tr w:rsidR="003F0A73" w:rsidTr="003F0A73">
        <w:tc>
          <w:tcPr>
            <w:tcW w:w="2292" w:type="pct"/>
            <w:tcBorders>
              <w:top w:val="single" w:sz="4" w:space="0" w:color="auto"/>
              <w:left w:val="nil"/>
              <w:bottom w:val="nil"/>
              <w:right w:val="nil"/>
            </w:tcBorders>
            <w:hideMark/>
          </w:tcPr>
          <w:p w:rsidR="003F0A73" w:rsidRDefault="003F0A73">
            <w:pPr>
              <w:rPr>
                <w:rFonts w:ascii="Arial" w:hAnsi="Arial" w:cs="Arial"/>
                <w:sz w:val="24"/>
                <w:szCs w:val="24"/>
              </w:rPr>
            </w:pPr>
            <w:r>
              <w:rPr>
                <w:rFonts w:ascii="Arial" w:hAnsi="Arial" w:cs="Arial"/>
                <w:sz w:val="24"/>
                <w:szCs w:val="24"/>
              </w:rPr>
              <w:t>Basic earnings per share</w:t>
            </w:r>
          </w:p>
        </w:tc>
        <w:tc>
          <w:tcPr>
            <w:tcW w:w="706" w:type="pct"/>
            <w:tcBorders>
              <w:top w:val="single" w:sz="4" w:space="0" w:color="auto"/>
              <w:left w:val="nil"/>
              <w:bottom w:val="nil"/>
              <w:right w:val="nil"/>
            </w:tcBorders>
            <w:hideMark/>
          </w:tcPr>
          <w:p w:rsidR="003F0A73" w:rsidRDefault="003F0A73">
            <w:pPr>
              <w:jc w:val="right"/>
              <w:rPr>
                <w:rFonts w:ascii="Arial" w:hAnsi="Arial" w:cs="Arial"/>
                <w:b/>
                <w:sz w:val="24"/>
                <w:szCs w:val="24"/>
              </w:rPr>
            </w:pPr>
            <w:r>
              <w:rPr>
                <w:rFonts w:ascii="Arial" w:hAnsi="Arial" w:cs="Arial"/>
                <w:b/>
                <w:sz w:val="24"/>
                <w:szCs w:val="24"/>
              </w:rPr>
              <w:t>278</w:t>
            </w:r>
          </w:p>
        </w:tc>
        <w:tc>
          <w:tcPr>
            <w:tcW w:w="706" w:type="pct"/>
            <w:tcBorders>
              <w:top w:val="single" w:sz="4" w:space="0" w:color="auto"/>
              <w:left w:val="nil"/>
              <w:bottom w:val="nil"/>
              <w:right w:val="nil"/>
            </w:tcBorders>
            <w:hideMark/>
          </w:tcPr>
          <w:p w:rsidR="003F0A73" w:rsidRDefault="003F0A73">
            <w:pPr>
              <w:jc w:val="right"/>
              <w:rPr>
                <w:rFonts w:ascii="Arial" w:hAnsi="Arial" w:cs="Arial"/>
                <w:b/>
                <w:sz w:val="24"/>
                <w:szCs w:val="24"/>
              </w:rPr>
            </w:pPr>
            <w:r>
              <w:rPr>
                <w:rFonts w:ascii="Arial" w:hAnsi="Arial" w:cs="Arial"/>
                <w:b/>
                <w:sz w:val="24"/>
                <w:szCs w:val="24"/>
              </w:rPr>
              <w:t>11.8</w:t>
            </w:r>
          </w:p>
        </w:tc>
        <w:tc>
          <w:tcPr>
            <w:tcW w:w="648" w:type="pct"/>
            <w:tcBorders>
              <w:top w:val="single" w:sz="4" w:space="0" w:color="auto"/>
              <w:left w:val="nil"/>
              <w:bottom w:val="nil"/>
              <w:right w:val="nil"/>
            </w:tcBorders>
            <w:hideMark/>
          </w:tcPr>
          <w:p w:rsidR="003F0A73" w:rsidRDefault="003F0A73">
            <w:pPr>
              <w:jc w:val="right"/>
              <w:rPr>
                <w:rFonts w:ascii="Arial" w:hAnsi="Arial" w:cs="Arial"/>
                <w:sz w:val="24"/>
                <w:szCs w:val="24"/>
              </w:rPr>
            </w:pPr>
            <w:r>
              <w:rPr>
                <w:rFonts w:ascii="Arial" w:hAnsi="Arial" w:cs="Arial"/>
                <w:sz w:val="24"/>
                <w:szCs w:val="24"/>
              </w:rPr>
              <w:t>440</w:t>
            </w:r>
          </w:p>
        </w:tc>
        <w:tc>
          <w:tcPr>
            <w:tcW w:w="648" w:type="pct"/>
            <w:tcBorders>
              <w:top w:val="single" w:sz="4" w:space="0" w:color="auto"/>
              <w:left w:val="nil"/>
              <w:bottom w:val="nil"/>
              <w:right w:val="nil"/>
            </w:tcBorders>
            <w:hideMark/>
          </w:tcPr>
          <w:p w:rsidR="003F0A73" w:rsidRDefault="003F0A73">
            <w:pPr>
              <w:jc w:val="right"/>
              <w:rPr>
                <w:rFonts w:ascii="Arial" w:hAnsi="Arial" w:cs="Arial"/>
                <w:sz w:val="24"/>
                <w:szCs w:val="24"/>
              </w:rPr>
            </w:pPr>
            <w:r>
              <w:rPr>
                <w:rFonts w:ascii="Arial" w:hAnsi="Arial" w:cs="Arial"/>
                <w:sz w:val="24"/>
                <w:szCs w:val="24"/>
              </w:rPr>
              <w:t>18.7</w:t>
            </w:r>
          </w:p>
        </w:tc>
      </w:tr>
      <w:tr w:rsidR="003F0A73" w:rsidTr="003F0A73">
        <w:tc>
          <w:tcPr>
            <w:tcW w:w="2292" w:type="pct"/>
            <w:hideMark/>
          </w:tcPr>
          <w:p w:rsidR="003F0A73" w:rsidRDefault="003F0A73">
            <w:pPr>
              <w:rPr>
                <w:rFonts w:ascii="Arial" w:hAnsi="Arial" w:cs="Arial"/>
                <w:sz w:val="24"/>
                <w:szCs w:val="24"/>
              </w:rPr>
            </w:pPr>
            <w:r>
              <w:rPr>
                <w:rFonts w:ascii="Arial" w:hAnsi="Arial" w:cs="Arial"/>
                <w:sz w:val="24"/>
                <w:szCs w:val="24"/>
              </w:rPr>
              <w:t>Share of Hornbach post-tax results</w:t>
            </w:r>
          </w:p>
        </w:tc>
        <w:tc>
          <w:tcPr>
            <w:tcW w:w="706" w:type="pct"/>
            <w:hideMark/>
          </w:tcPr>
          <w:p w:rsidR="003F0A73" w:rsidRDefault="003F0A73">
            <w:pPr>
              <w:jc w:val="right"/>
              <w:rPr>
                <w:rFonts w:ascii="Arial" w:hAnsi="Arial" w:cs="Arial"/>
                <w:b/>
                <w:sz w:val="24"/>
                <w:szCs w:val="24"/>
              </w:rPr>
            </w:pPr>
            <w:r>
              <w:rPr>
                <w:rFonts w:ascii="Arial" w:hAnsi="Arial" w:cs="Arial"/>
                <w:b/>
                <w:sz w:val="24"/>
                <w:szCs w:val="24"/>
              </w:rPr>
              <w:t>-</w:t>
            </w:r>
          </w:p>
        </w:tc>
        <w:tc>
          <w:tcPr>
            <w:tcW w:w="706" w:type="pct"/>
            <w:hideMark/>
          </w:tcPr>
          <w:p w:rsidR="003F0A73" w:rsidRDefault="003F0A73">
            <w:pPr>
              <w:jc w:val="right"/>
              <w:rPr>
                <w:rFonts w:ascii="Arial" w:hAnsi="Arial" w:cs="Arial"/>
                <w:b/>
                <w:sz w:val="24"/>
                <w:szCs w:val="24"/>
              </w:rPr>
            </w:pPr>
            <w:r>
              <w:rPr>
                <w:rFonts w:ascii="Arial" w:hAnsi="Arial" w:cs="Arial"/>
                <w:b/>
                <w:sz w:val="24"/>
                <w:szCs w:val="24"/>
              </w:rPr>
              <w:t>-</w:t>
            </w:r>
          </w:p>
        </w:tc>
        <w:tc>
          <w:tcPr>
            <w:tcW w:w="648" w:type="pct"/>
            <w:hideMark/>
          </w:tcPr>
          <w:p w:rsidR="003F0A73" w:rsidRDefault="003F0A73">
            <w:pPr>
              <w:jc w:val="right"/>
              <w:rPr>
                <w:rFonts w:ascii="Arial" w:hAnsi="Arial" w:cs="Arial"/>
                <w:sz w:val="24"/>
                <w:szCs w:val="24"/>
              </w:rPr>
            </w:pPr>
            <w:r>
              <w:rPr>
                <w:rFonts w:ascii="Arial" w:hAnsi="Arial" w:cs="Arial"/>
                <w:sz w:val="24"/>
                <w:szCs w:val="24"/>
              </w:rPr>
              <w:t>(1)</w:t>
            </w:r>
          </w:p>
        </w:tc>
        <w:tc>
          <w:tcPr>
            <w:tcW w:w="648" w:type="pct"/>
            <w:hideMark/>
          </w:tcPr>
          <w:p w:rsidR="003F0A73" w:rsidRDefault="003F0A73">
            <w:pPr>
              <w:jc w:val="right"/>
              <w:rPr>
                <w:rFonts w:ascii="Arial" w:hAnsi="Arial" w:cs="Arial"/>
                <w:sz w:val="24"/>
                <w:szCs w:val="24"/>
              </w:rPr>
            </w:pPr>
            <w:r>
              <w:rPr>
                <w:rFonts w:ascii="Arial" w:hAnsi="Arial" w:cs="Arial"/>
                <w:sz w:val="24"/>
                <w:szCs w:val="24"/>
              </w:rPr>
              <w:t>-</w:t>
            </w:r>
          </w:p>
        </w:tc>
      </w:tr>
      <w:tr w:rsidR="003F0A73" w:rsidTr="003F0A73">
        <w:tc>
          <w:tcPr>
            <w:tcW w:w="2292" w:type="pct"/>
            <w:hideMark/>
          </w:tcPr>
          <w:p w:rsidR="003F0A73" w:rsidRDefault="003F0A73">
            <w:pPr>
              <w:rPr>
                <w:rFonts w:ascii="Arial" w:hAnsi="Arial" w:cs="Arial"/>
                <w:sz w:val="24"/>
                <w:szCs w:val="24"/>
              </w:rPr>
            </w:pPr>
            <w:r>
              <w:rPr>
                <w:rFonts w:ascii="Arial" w:hAnsi="Arial" w:cs="Arial"/>
                <w:sz w:val="24"/>
                <w:szCs w:val="24"/>
              </w:rPr>
              <w:t>Exceptional items (net of tax)</w:t>
            </w:r>
          </w:p>
        </w:tc>
        <w:tc>
          <w:tcPr>
            <w:tcW w:w="706" w:type="pct"/>
            <w:hideMark/>
          </w:tcPr>
          <w:p w:rsidR="003F0A73" w:rsidRDefault="003F0A73">
            <w:pPr>
              <w:jc w:val="right"/>
              <w:rPr>
                <w:rFonts w:ascii="Arial" w:hAnsi="Arial" w:cs="Arial"/>
                <w:b/>
                <w:sz w:val="24"/>
                <w:szCs w:val="24"/>
              </w:rPr>
            </w:pPr>
            <w:r>
              <w:rPr>
                <w:rFonts w:ascii="Arial" w:hAnsi="Arial" w:cs="Arial"/>
                <w:b/>
                <w:sz w:val="24"/>
                <w:szCs w:val="24"/>
              </w:rPr>
              <w:t>(11)</w:t>
            </w:r>
          </w:p>
        </w:tc>
        <w:tc>
          <w:tcPr>
            <w:tcW w:w="706" w:type="pct"/>
            <w:hideMark/>
          </w:tcPr>
          <w:p w:rsidR="003F0A73" w:rsidRDefault="003F0A73">
            <w:pPr>
              <w:jc w:val="right"/>
              <w:rPr>
                <w:rFonts w:ascii="Arial" w:hAnsi="Arial" w:cs="Arial"/>
                <w:b/>
                <w:sz w:val="24"/>
                <w:szCs w:val="24"/>
              </w:rPr>
            </w:pPr>
            <w:r>
              <w:rPr>
                <w:rFonts w:ascii="Arial" w:hAnsi="Arial" w:cs="Arial"/>
                <w:b/>
                <w:sz w:val="24"/>
                <w:szCs w:val="24"/>
              </w:rPr>
              <w:t>(0.5)</w:t>
            </w:r>
          </w:p>
        </w:tc>
        <w:tc>
          <w:tcPr>
            <w:tcW w:w="648" w:type="pct"/>
            <w:hideMark/>
          </w:tcPr>
          <w:p w:rsidR="003F0A73" w:rsidRDefault="003F0A73">
            <w:pPr>
              <w:jc w:val="right"/>
              <w:rPr>
                <w:rFonts w:ascii="Arial" w:hAnsi="Arial" w:cs="Arial"/>
                <w:sz w:val="24"/>
                <w:szCs w:val="24"/>
              </w:rPr>
            </w:pPr>
            <w:r>
              <w:rPr>
                <w:rFonts w:ascii="Arial" w:hAnsi="Arial" w:cs="Arial"/>
                <w:sz w:val="24"/>
                <w:szCs w:val="24"/>
              </w:rPr>
              <w:t>(153)</w:t>
            </w:r>
          </w:p>
        </w:tc>
        <w:tc>
          <w:tcPr>
            <w:tcW w:w="648" w:type="pct"/>
            <w:hideMark/>
          </w:tcPr>
          <w:p w:rsidR="003F0A73" w:rsidRDefault="003F0A73">
            <w:pPr>
              <w:jc w:val="right"/>
              <w:rPr>
                <w:rFonts w:ascii="Arial" w:hAnsi="Arial" w:cs="Arial"/>
                <w:sz w:val="24"/>
                <w:szCs w:val="24"/>
              </w:rPr>
            </w:pPr>
            <w:r>
              <w:rPr>
                <w:rFonts w:ascii="Arial" w:hAnsi="Arial" w:cs="Arial"/>
                <w:sz w:val="24"/>
                <w:szCs w:val="24"/>
              </w:rPr>
              <w:t>(6.5)</w:t>
            </w:r>
          </w:p>
        </w:tc>
      </w:tr>
      <w:tr w:rsidR="003F0A73" w:rsidTr="003F0A73">
        <w:tc>
          <w:tcPr>
            <w:tcW w:w="2292" w:type="pct"/>
            <w:vAlign w:val="bottom"/>
            <w:hideMark/>
          </w:tcPr>
          <w:p w:rsidR="003F0A73" w:rsidRDefault="003F0A73">
            <w:pPr>
              <w:jc w:val="left"/>
              <w:rPr>
                <w:rFonts w:ascii="Arial" w:hAnsi="Arial" w:cs="Arial"/>
                <w:sz w:val="24"/>
                <w:szCs w:val="24"/>
              </w:rPr>
            </w:pPr>
            <w:r>
              <w:rPr>
                <w:rFonts w:ascii="Arial" w:hAnsi="Arial" w:cs="Arial"/>
                <w:sz w:val="24"/>
                <w:szCs w:val="24"/>
              </w:rPr>
              <w:t>Prior year tax items and rate changes</w:t>
            </w:r>
          </w:p>
        </w:tc>
        <w:tc>
          <w:tcPr>
            <w:tcW w:w="706" w:type="pct"/>
            <w:hideMark/>
          </w:tcPr>
          <w:p w:rsidR="003F0A73" w:rsidRDefault="003F0A73">
            <w:pPr>
              <w:jc w:val="right"/>
              <w:rPr>
                <w:rFonts w:ascii="Arial" w:hAnsi="Arial" w:cs="Arial"/>
                <w:b/>
                <w:sz w:val="24"/>
                <w:szCs w:val="24"/>
              </w:rPr>
            </w:pPr>
            <w:r>
              <w:rPr>
                <w:rFonts w:ascii="Arial" w:hAnsi="Arial" w:cs="Arial"/>
                <w:b/>
                <w:sz w:val="24"/>
                <w:szCs w:val="24"/>
              </w:rPr>
              <w:t>1</w:t>
            </w:r>
          </w:p>
        </w:tc>
        <w:tc>
          <w:tcPr>
            <w:tcW w:w="706" w:type="pct"/>
            <w:vAlign w:val="bottom"/>
            <w:hideMark/>
          </w:tcPr>
          <w:p w:rsidR="003F0A73" w:rsidRDefault="003F0A73">
            <w:pPr>
              <w:jc w:val="right"/>
              <w:rPr>
                <w:rFonts w:ascii="Arial" w:hAnsi="Arial" w:cs="Arial"/>
                <w:b/>
                <w:sz w:val="24"/>
                <w:szCs w:val="24"/>
              </w:rPr>
            </w:pPr>
            <w:r>
              <w:rPr>
                <w:rFonts w:ascii="Arial" w:hAnsi="Arial" w:cs="Arial"/>
                <w:b/>
                <w:sz w:val="24"/>
                <w:szCs w:val="24"/>
              </w:rPr>
              <w:t>0.1</w:t>
            </w:r>
          </w:p>
        </w:tc>
        <w:tc>
          <w:tcPr>
            <w:tcW w:w="648" w:type="pct"/>
            <w:hideMark/>
          </w:tcPr>
          <w:p w:rsidR="003F0A73" w:rsidRDefault="003F0A73">
            <w:pPr>
              <w:jc w:val="right"/>
              <w:rPr>
                <w:rFonts w:ascii="Arial" w:hAnsi="Arial" w:cs="Arial"/>
                <w:sz w:val="24"/>
                <w:szCs w:val="24"/>
              </w:rPr>
            </w:pPr>
            <w:r>
              <w:rPr>
                <w:rFonts w:ascii="Arial" w:hAnsi="Arial" w:cs="Arial"/>
                <w:sz w:val="24"/>
                <w:szCs w:val="24"/>
              </w:rPr>
              <w:t>(20)</w:t>
            </w:r>
          </w:p>
        </w:tc>
        <w:tc>
          <w:tcPr>
            <w:tcW w:w="648" w:type="pct"/>
            <w:vAlign w:val="bottom"/>
            <w:hideMark/>
          </w:tcPr>
          <w:p w:rsidR="003F0A73" w:rsidRDefault="003F0A73">
            <w:pPr>
              <w:jc w:val="right"/>
              <w:rPr>
                <w:rFonts w:ascii="Arial" w:hAnsi="Arial" w:cs="Arial"/>
                <w:sz w:val="24"/>
                <w:szCs w:val="24"/>
              </w:rPr>
            </w:pPr>
            <w:r>
              <w:rPr>
                <w:rFonts w:ascii="Arial" w:hAnsi="Arial" w:cs="Arial"/>
                <w:sz w:val="24"/>
                <w:szCs w:val="24"/>
              </w:rPr>
              <w:t>(0.9)</w:t>
            </w:r>
          </w:p>
        </w:tc>
      </w:tr>
      <w:tr w:rsidR="003F0A73" w:rsidTr="003F0A73">
        <w:tc>
          <w:tcPr>
            <w:tcW w:w="2292" w:type="pct"/>
            <w:vAlign w:val="bottom"/>
            <w:hideMark/>
          </w:tcPr>
          <w:p w:rsidR="003F0A73" w:rsidRDefault="003F0A73">
            <w:pPr>
              <w:jc w:val="left"/>
              <w:rPr>
                <w:rFonts w:ascii="Arial" w:hAnsi="Arial" w:cs="Arial"/>
                <w:sz w:val="24"/>
                <w:szCs w:val="24"/>
              </w:rPr>
            </w:pPr>
            <w:r>
              <w:rPr>
                <w:rFonts w:ascii="Arial" w:hAnsi="Arial" w:cs="Arial"/>
                <w:sz w:val="24"/>
                <w:szCs w:val="24"/>
              </w:rPr>
              <w:t>FFVR (net of tax)</w:t>
            </w:r>
          </w:p>
        </w:tc>
        <w:tc>
          <w:tcPr>
            <w:tcW w:w="706" w:type="pct"/>
            <w:hideMark/>
          </w:tcPr>
          <w:p w:rsidR="003F0A73" w:rsidRDefault="003F0A73">
            <w:pPr>
              <w:jc w:val="right"/>
              <w:rPr>
                <w:rFonts w:ascii="Arial" w:hAnsi="Arial" w:cs="Arial"/>
                <w:b/>
                <w:sz w:val="24"/>
                <w:szCs w:val="24"/>
              </w:rPr>
            </w:pPr>
            <w:r>
              <w:rPr>
                <w:rFonts w:ascii="Arial" w:hAnsi="Arial" w:cs="Arial"/>
                <w:b/>
                <w:sz w:val="24"/>
                <w:szCs w:val="24"/>
              </w:rPr>
              <w:t>(1)</w:t>
            </w:r>
          </w:p>
        </w:tc>
        <w:tc>
          <w:tcPr>
            <w:tcW w:w="706" w:type="pct"/>
            <w:vAlign w:val="bottom"/>
            <w:hideMark/>
          </w:tcPr>
          <w:p w:rsidR="003F0A73" w:rsidRDefault="003F0A73">
            <w:pPr>
              <w:jc w:val="right"/>
              <w:rPr>
                <w:rFonts w:ascii="Arial" w:hAnsi="Arial" w:cs="Arial"/>
                <w:b/>
                <w:sz w:val="24"/>
                <w:szCs w:val="24"/>
              </w:rPr>
            </w:pPr>
            <w:r>
              <w:rPr>
                <w:rFonts w:ascii="Arial" w:hAnsi="Arial" w:cs="Arial"/>
                <w:b/>
                <w:sz w:val="24"/>
                <w:szCs w:val="24"/>
              </w:rPr>
              <w:t>(0.1)</w:t>
            </w:r>
          </w:p>
        </w:tc>
        <w:tc>
          <w:tcPr>
            <w:tcW w:w="648" w:type="pct"/>
            <w:hideMark/>
          </w:tcPr>
          <w:p w:rsidR="003F0A73" w:rsidRDefault="003F0A73">
            <w:pPr>
              <w:jc w:val="right"/>
              <w:rPr>
                <w:rFonts w:ascii="Arial" w:hAnsi="Arial" w:cs="Arial"/>
                <w:sz w:val="24"/>
                <w:szCs w:val="24"/>
              </w:rPr>
            </w:pPr>
            <w:r>
              <w:rPr>
                <w:rFonts w:ascii="Arial" w:hAnsi="Arial" w:cs="Arial"/>
                <w:sz w:val="24"/>
                <w:szCs w:val="24"/>
              </w:rPr>
              <w:t>(1)</w:t>
            </w:r>
          </w:p>
        </w:tc>
        <w:tc>
          <w:tcPr>
            <w:tcW w:w="648" w:type="pct"/>
            <w:vAlign w:val="bottom"/>
            <w:hideMark/>
          </w:tcPr>
          <w:p w:rsidR="003F0A73" w:rsidRDefault="003F0A73">
            <w:pPr>
              <w:jc w:val="right"/>
              <w:rPr>
                <w:rFonts w:ascii="Arial" w:hAnsi="Arial" w:cs="Arial"/>
                <w:sz w:val="24"/>
                <w:szCs w:val="24"/>
              </w:rPr>
            </w:pPr>
            <w:r>
              <w:rPr>
                <w:rFonts w:ascii="Arial" w:hAnsi="Arial" w:cs="Arial"/>
                <w:sz w:val="24"/>
                <w:szCs w:val="24"/>
              </w:rPr>
              <w:t>-</w:t>
            </w:r>
          </w:p>
        </w:tc>
      </w:tr>
      <w:tr w:rsidR="003F0A73" w:rsidTr="003F0A73">
        <w:trPr>
          <w:trHeight w:val="70"/>
        </w:trPr>
        <w:tc>
          <w:tcPr>
            <w:tcW w:w="2292" w:type="pct"/>
            <w:tcBorders>
              <w:top w:val="single" w:sz="4" w:space="0" w:color="auto"/>
              <w:left w:val="nil"/>
              <w:bottom w:val="single" w:sz="4" w:space="0" w:color="auto"/>
              <w:right w:val="nil"/>
            </w:tcBorders>
            <w:hideMark/>
          </w:tcPr>
          <w:p w:rsidR="003F0A73" w:rsidRDefault="003F0A73">
            <w:pPr>
              <w:rPr>
                <w:rFonts w:ascii="Arial" w:hAnsi="Arial" w:cs="Arial"/>
                <w:b/>
                <w:sz w:val="24"/>
                <w:szCs w:val="24"/>
              </w:rPr>
            </w:pPr>
            <w:r>
              <w:rPr>
                <w:rFonts w:ascii="Arial" w:hAnsi="Arial" w:cs="Arial"/>
                <w:b/>
                <w:sz w:val="24"/>
                <w:szCs w:val="24"/>
              </w:rPr>
              <w:t>Adjusted basic earnings per share</w:t>
            </w:r>
          </w:p>
        </w:tc>
        <w:tc>
          <w:tcPr>
            <w:tcW w:w="706" w:type="pct"/>
            <w:tcBorders>
              <w:top w:val="single" w:sz="4" w:space="0" w:color="auto"/>
              <w:left w:val="nil"/>
              <w:bottom w:val="single" w:sz="4" w:space="0" w:color="auto"/>
              <w:right w:val="nil"/>
            </w:tcBorders>
            <w:hideMark/>
          </w:tcPr>
          <w:p w:rsidR="003F0A73" w:rsidRDefault="003F0A73">
            <w:pPr>
              <w:jc w:val="right"/>
              <w:rPr>
                <w:rFonts w:ascii="Arial" w:hAnsi="Arial" w:cs="Arial"/>
                <w:b/>
                <w:sz w:val="24"/>
                <w:szCs w:val="24"/>
              </w:rPr>
            </w:pPr>
            <w:r>
              <w:rPr>
                <w:rFonts w:ascii="Arial" w:hAnsi="Arial" w:cs="Arial"/>
                <w:b/>
                <w:sz w:val="24"/>
                <w:szCs w:val="24"/>
              </w:rPr>
              <w:t>267</w:t>
            </w:r>
          </w:p>
        </w:tc>
        <w:tc>
          <w:tcPr>
            <w:tcW w:w="706" w:type="pct"/>
            <w:tcBorders>
              <w:top w:val="single" w:sz="4" w:space="0" w:color="auto"/>
              <w:left w:val="nil"/>
              <w:bottom w:val="single" w:sz="4" w:space="0" w:color="auto"/>
              <w:right w:val="nil"/>
            </w:tcBorders>
            <w:hideMark/>
          </w:tcPr>
          <w:p w:rsidR="003F0A73" w:rsidRDefault="003F0A73">
            <w:pPr>
              <w:jc w:val="right"/>
              <w:rPr>
                <w:rFonts w:ascii="Arial" w:hAnsi="Arial" w:cs="Arial"/>
                <w:b/>
                <w:sz w:val="24"/>
                <w:szCs w:val="24"/>
              </w:rPr>
            </w:pPr>
            <w:r>
              <w:rPr>
                <w:rFonts w:ascii="Arial" w:hAnsi="Arial" w:cs="Arial"/>
                <w:b/>
                <w:sz w:val="24"/>
                <w:szCs w:val="24"/>
              </w:rPr>
              <w:t>11.3</w:t>
            </w:r>
          </w:p>
        </w:tc>
        <w:tc>
          <w:tcPr>
            <w:tcW w:w="648" w:type="pct"/>
            <w:tcBorders>
              <w:top w:val="single" w:sz="4" w:space="0" w:color="auto"/>
              <w:left w:val="nil"/>
              <w:bottom w:val="single" w:sz="4" w:space="0" w:color="auto"/>
              <w:right w:val="nil"/>
            </w:tcBorders>
            <w:hideMark/>
          </w:tcPr>
          <w:p w:rsidR="003F0A73" w:rsidRDefault="003F0A73">
            <w:pPr>
              <w:jc w:val="right"/>
              <w:rPr>
                <w:rFonts w:ascii="Arial" w:hAnsi="Arial" w:cs="Arial"/>
                <w:sz w:val="24"/>
                <w:szCs w:val="24"/>
              </w:rPr>
            </w:pPr>
            <w:r>
              <w:rPr>
                <w:rFonts w:ascii="Arial" w:hAnsi="Arial" w:cs="Arial"/>
                <w:sz w:val="24"/>
                <w:szCs w:val="24"/>
              </w:rPr>
              <w:t>265</w:t>
            </w:r>
          </w:p>
        </w:tc>
        <w:tc>
          <w:tcPr>
            <w:tcW w:w="648" w:type="pct"/>
            <w:tcBorders>
              <w:top w:val="single" w:sz="4" w:space="0" w:color="auto"/>
              <w:left w:val="nil"/>
              <w:bottom w:val="single" w:sz="4" w:space="0" w:color="auto"/>
              <w:right w:val="nil"/>
            </w:tcBorders>
            <w:hideMark/>
          </w:tcPr>
          <w:p w:rsidR="003F0A73" w:rsidRDefault="003F0A73">
            <w:pPr>
              <w:jc w:val="right"/>
              <w:rPr>
                <w:rFonts w:ascii="Arial" w:hAnsi="Arial" w:cs="Arial"/>
                <w:sz w:val="24"/>
                <w:szCs w:val="24"/>
              </w:rPr>
            </w:pPr>
            <w:r>
              <w:rPr>
                <w:rFonts w:ascii="Arial" w:hAnsi="Arial" w:cs="Arial"/>
                <w:sz w:val="24"/>
                <w:szCs w:val="24"/>
              </w:rPr>
              <w:t>11.3</w:t>
            </w:r>
          </w:p>
        </w:tc>
      </w:tr>
    </w:tbl>
    <w:p w:rsidR="003F0A73" w:rsidRDefault="003F0A73" w:rsidP="003F0A73">
      <w:pPr>
        <w:ind w:right="-368"/>
        <w:jc w:val="left"/>
        <w:rPr>
          <w:rFonts w:ascii="Arial" w:eastAsia="Times New Roman" w:hAnsi="Arial" w:cs="Arial"/>
          <w:b/>
          <w:sz w:val="24"/>
          <w:szCs w:val="24"/>
          <w:highlight w:val="yellow"/>
        </w:rPr>
      </w:pPr>
    </w:p>
    <w:p w:rsidR="003F0A73" w:rsidRDefault="003F0A73" w:rsidP="003F0A73">
      <w:pPr>
        <w:ind w:right="-368"/>
        <w:jc w:val="left"/>
        <w:rPr>
          <w:rFonts w:ascii="Arial" w:hAnsi="Arial" w:cs="Arial"/>
          <w:b/>
          <w:sz w:val="24"/>
          <w:szCs w:val="24"/>
        </w:rPr>
      </w:pPr>
      <w:r>
        <w:rPr>
          <w:rFonts w:ascii="Arial" w:hAnsi="Arial" w:cs="Arial"/>
          <w:b/>
          <w:sz w:val="24"/>
          <w:szCs w:val="24"/>
        </w:rPr>
        <w:t>Dividends and capital returns</w:t>
      </w:r>
    </w:p>
    <w:p w:rsidR="003F0A73" w:rsidRDefault="003F0A73" w:rsidP="003F0A73">
      <w:pPr>
        <w:ind w:right="-368"/>
        <w:jc w:val="left"/>
        <w:rPr>
          <w:rFonts w:ascii="Arial" w:hAnsi="Arial" w:cs="Arial"/>
          <w:b/>
          <w:sz w:val="24"/>
          <w:szCs w:val="24"/>
        </w:rPr>
      </w:pPr>
    </w:p>
    <w:p w:rsidR="003F0A73" w:rsidRDefault="003F0A73" w:rsidP="003F0A73">
      <w:pPr>
        <w:ind w:right="-368"/>
        <w:jc w:val="left"/>
        <w:rPr>
          <w:rFonts w:ascii="Arial" w:hAnsi="Arial" w:cs="Arial"/>
          <w:sz w:val="24"/>
          <w:szCs w:val="24"/>
          <w:highlight w:val="yellow"/>
        </w:rPr>
      </w:pPr>
      <w:r>
        <w:rPr>
          <w:rFonts w:ascii="Arial" w:hAnsi="Arial" w:cs="Arial"/>
          <w:sz w:val="24"/>
          <w:szCs w:val="24"/>
        </w:rPr>
        <w:t xml:space="preserve">The interim ordinary dividend is </w:t>
      </w:r>
      <w:r w:rsidRPr="00AC7A95">
        <w:rPr>
          <w:rFonts w:ascii="Arial" w:hAnsi="Arial" w:cs="Arial"/>
          <w:sz w:val="24"/>
          <w:szCs w:val="24"/>
        </w:rPr>
        <w:t xml:space="preserve">proposed at </w:t>
      </w:r>
      <w:r w:rsidRPr="008152E6">
        <w:rPr>
          <w:rFonts w:ascii="Arial" w:hAnsi="Arial" w:cs="Arial"/>
          <w:sz w:val="24"/>
          <w:szCs w:val="24"/>
        </w:rPr>
        <w:t>3.15p</w:t>
      </w:r>
      <w:r w:rsidRPr="00AC7A95">
        <w:rPr>
          <w:rFonts w:ascii="Arial" w:hAnsi="Arial" w:cs="Arial"/>
          <w:sz w:val="24"/>
          <w:szCs w:val="24"/>
        </w:rPr>
        <w:t xml:space="preserve"> per</w:t>
      </w:r>
      <w:r>
        <w:rPr>
          <w:rFonts w:ascii="Arial" w:hAnsi="Arial" w:cs="Arial"/>
          <w:sz w:val="24"/>
          <w:szCs w:val="24"/>
        </w:rPr>
        <w:t xml:space="preserve"> share (2013/14: 3.12p per share). </w:t>
      </w:r>
    </w:p>
    <w:p w:rsidR="003F0A73" w:rsidRDefault="003F0A73" w:rsidP="003F0A73">
      <w:pPr>
        <w:ind w:right="-368"/>
        <w:jc w:val="left"/>
        <w:rPr>
          <w:rFonts w:ascii="Arial" w:hAnsi="Arial" w:cs="Arial"/>
          <w:sz w:val="24"/>
          <w:szCs w:val="24"/>
          <w:highlight w:val="yellow"/>
        </w:rPr>
      </w:pPr>
    </w:p>
    <w:p w:rsidR="003F0A73" w:rsidRDefault="003F0A73">
      <w:pPr>
        <w:ind w:right="-368"/>
        <w:jc w:val="left"/>
        <w:rPr>
          <w:rFonts w:ascii="Arial" w:hAnsi="Arial" w:cs="Arial"/>
          <w:sz w:val="24"/>
          <w:szCs w:val="24"/>
        </w:rPr>
      </w:pPr>
      <w:r>
        <w:rPr>
          <w:rFonts w:ascii="Arial" w:hAnsi="Arial" w:cs="Arial"/>
          <w:sz w:val="24"/>
          <w:szCs w:val="24"/>
        </w:rPr>
        <w:t>The Group continues to aim to move towards a medium term annual ordinary dividend cover of around 2.5 times. At this level, the Board believes the ordinary dividend will continue to be prudently covered by earnings and free cash flow and remain consistent with the capital needs of the business.</w:t>
      </w:r>
    </w:p>
    <w:p w:rsidR="003F0A73" w:rsidRDefault="003F0A73">
      <w:pPr>
        <w:ind w:right="-368"/>
        <w:jc w:val="left"/>
        <w:rPr>
          <w:rFonts w:ascii="Arial" w:hAnsi="Arial" w:cs="Arial"/>
          <w:sz w:val="24"/>
          <w:szCs w:val="24"/>
        </w:rPr>
      </w:pPr>
    </w:p>
    <w:p w:rsidR="003F0A73" w:rsidRDefault="003F0A73">
      <w:pPr>
        <w:ind w:right="-368"/>
        <w:jc w:val="left"/>
        <w:rPr>
          <w:rFonts w:ascii="Arial" w:hAnsi="Arial" w:cs="Arial"/>
          <w:sz w:val="24"/>
          <w:szCs w:val="24"/>
          <w:highlight w:val="yellow"/>
        </w:rPr>
      </w:pPr>
      <w:r>
        <w:rPr>
          <w:rFonts w:ascii="Arial" w:hAnsi="Arial" w:cs="Arial"/>
          <w:sz w:val="24"/>
          <w:szCs w:val="24"/>
        </w:rPr>
        <w:t>The interim ordinary dividend will be paid on 14 November 2014 to shareholders on the register at close of business on 10 October 2014. A dividend reinvestment plan (DRIP) is available to shareholders who would prefer to invest their dividends in the shares of the Company. The shares will go ex-dividend on 9 October 2014. For those shareholders electing to receive the DRIP the last date for receipt of electing is 24 October 2014.</w:t>
      </w:r>
    </w:p>
    <w:p w:rsidR="003F0A73" w:rsidRDefault="003F0A73">
      <w:pPr>
        <w:ind w:right="-368"/>
        <w:jc w:val="left"/>
        <w:rPr>
          <w:rFonts w:ascii="Arial" w:hAnsi="Arial" w:cs="Arial"/>
          <w:sz w:val="24"/>
          <w:szCs w:val="24"/>
          <w:highlight w:val="yellow"/>
        </w:rPr>
      </w:pPr>
    </w:p>
    <w:p w:rsidR="003F0A73" w:rsidRDefault="003F0A73">
      <w:pPr>
        <w:ind w:right="-368"/>
        <w:jc w:val="left"/>
        <w:rPr>
          <w:rFonts w:ascii="Arial" w:hAnsi="Arial" w:cs="Arial"/>
          <w:sz w:val="24"/>
          <w:szCs w:val="24"/>
        </w:rPr>
      </w:pPr>
      <w:r>
        <w:rPr>
          <w:rFonts w:ascii="Arial" w:hAnsi="Arial" w:cs="Arial"/>
          <w:sz w:val="24"/>
          <w:szCs w:val="24"/>
        </w:rPr>
        <w:t>Of the £200 million due to be returned in FY 2014/15, £100 million has been returned via a special dividend of 4.2p per share paid on 25 July 2014 and £35 million via a share buyback (8.5 million shares).</w:t>
      </w:r>
      <w:r w:rsidR="00C21786">
        <w:rPr>
          <w:rFonts w:ascii="Arial" w:hAnsi="Arial" w:cs="Arial"/>
          <w:sz w:val="24"/>
          <w:szCs w:val="24"/>
        </w:rPr>
        <w:t xml:space="preserve"> The </w:t>
      </w:r>
      <w:r w:rsidR="00AC7A95">
        <w:rPr>
          <w:rFonts w:ascii="Arial" w:hAnsi="Arial" w:cs="Arial"/>
          <w:sz w:val="24"/>
          <w:szCs w:val="24"/>
        </w:rPr>
        <w:t>remainder</w:t>
      </w:r>
      <w:r w:rsidR="00C21786">
        <w:rPr>
          <w:rFonts w:ascii="Arial" w:hAnsi="Arial" w:cs="Arial"/>
          <w:sz w:val="24"/>
          <w:szCs w:val="24"/>
        </w:rPr>
        <w:t xml:space="preserve"> of our capital return programme will </w:t>
      </w:r>
      <w:r w:rsidR="00AC7A95">
        <w:rPr>
          <w:rFonts w:ascii="Arial" w:hAnsi="Arial" w:cs="Arial"/>
          <w:sz w:val="24"/>
          <w:szCs w:val="24"/>
        </w:rPr>
        <w:t>resume</w:t>
      </w:r>
      <w:r w:rsidR="00C21786">
        <w:rPr>
          <w:rFonts w:ascii="Arial" w:hAnsi="Arial" w:cs="Arial"/>
          <w:sz w:val="24"/>
          <w:szCs w:val="24"/>
        </w:rPr>
        <w:t xml:space="preserve"> as a share buyback. </w:t>
      </w:r>
    </w:p>
    <w:p w:rsidR="00AC7A95" w:rsidRDefault="00AC7A95">
      <w:pPr>
        <w:ind w:right="-368"/>
        <w:jc w:val="left"/>
        <w:rPr>
          <w:rFonts w:ascii="Arial" w:hAnsi="Arial" w:cs="Arial"/>
          <w:sz w:val="24"/>
          <w:szCs w:val="24"/>
        </w:rPr>
      </w:pPr>
    </w:p>
    <w:p w:rsidR="00AC7A95" w:rsidRDefault="00AC7A95">
      <w:pPr>
        <w:ind w:right="-368"/>
        <w:jc w:val="left"/>
        <w:rPr>
          <w:rFonts w:ascii="Arial" w:hAnsi="Arial" w:cs="Arial"/>
          <w:sz w:val="24"/>
          <w:szCs w:val="24"/>
        </w:rPr>
      </w:pPr>
    </w:p>
    <w:p w:rsidR="003F0A73" w:rsidRDefault="003F0A73" w:rsidP="003F0A73">
      <w:pPr>
        <w:ind w:right="-368"/>
        <w:jc w:val="left"/>
        <w:rPr>
          <w:rFonts w:ascii="Arial" w:hAnsi="Arial" w:cs="Arial"/>
          <w:sz w:val="24"/>
          <w:szCs w:val="24"/>
          <w:highlight w:val="yellow"/>
        </w:rPr>
      </w:pPr>
    </w:p>
    <w:p w:rsidR="003F0A73" w:rsidRDefault="003F0A73" w:rsidP="003F0A73">
      <w:pPr>
        <w:ind w:right="-368"/>
        <w:jc w:val="left"/>
        <w:rPr>
          <w:rFonts w:ascii="Arial" w:hAnsi="Arial" w:cs="Arial"/>
          <w:b/>
          <w:sz w:val="24"/>
          <w:szCs w:val="24"/>
        </w:rPr>
      </w:pPr>
      <w:r>
        <w:rPr>
          <w:rFonts w:ascii="Arial" w:hAnsi="Arial" w:cs="Arial"/>
          <w:b/>
          <w:sz w:val="24"/>
          <w:szCs w:val="24"/>
        </w:rPr>
        <w:br w:type="page"/>
      </w:r>
      <w:r>
        <w:rPr>
          <w:rFonts w:ascii="Arial" w:hAnsi="Arial" w:cs="Arial"/>
          <w:b/>
          <w:sz w:val="24"/>
          <w:szCs w:val="24"/>
        </w:rPr>
        <w:lastRenderedPageBreak/>
        <w:t>Free cash flow</w:t>
      </w:r>
      <w:r w:rsidR="00A5442E">
        <w:rPr>
          <w:rFonts w:ascii="Arial" w:hAnsi="Arial" w:cs="Arial"/>
          <w:b/>
          <w:sz w:val="24"/>
          <w:szCs w:val="24"/>
        </w:rPr>
        <w:t>*</w:t>
      </w:r>
    </w:p>
    <w:p w:rsidR="003F0A73" w:rsidRDefault="003F0A73" w:rsidP="003F0A73">
      <w:pPr>
        <w:ind w:right="-368"/>
        <w:jc w:val="left"/>
        <w:rPr>
          <w:rFonts w:ascii="Arial" w:hAnsi="Arial" w:cs="Arial"/>
          <w:b/>
          <w:sz w:val="24"/>
          <w:szCs w:val="24"/>
          <w:highlight w:val="yellow"/>
        </w:rPr>
      </w:pPr>
    </w:p>
    <w:p w:rsidR="003F0A73" w:rsidRDefault="003F0A73" w:rsidP="003F0A73">
      <w:pPr>
        <w:ind w:right="-368"/>
        <w:jc w:val="left"/>
        <w:rPr>
          <w:rFonts w:ascii="Arial" w:hAnsi="Arial" w:cs="Arial"/>
          <w:color w:val="FF0000"/>
          <w:sz w:val="24"/>
          <w:szCs w:val="24"/>
        </w:rPr>
      </w:pPr>
      <w:r>
        <w:rPr>
          <w:rFonts w:ascii="Arial" w:hAnsi="Arial" w:cs="Arial"/>
          <w:sz w:val="24"/>
          <w:szCs w:val="24"/>
        </w:rPr>
        <w:t>A reconciliation of free cash flow is set out below:</w:t>
      </w:r>
    </w:p>
    <w:tbl>
      <w:tblPr>
        <w:tblW w:w="8832" w:type="dxa"/>
        <w:tblInd w:w="98" w:type="dxa"/>
        <w:tblLayout w:type="fixed"/>
        <w:tblLook w:val="04A0" w:firstRow="1" w:lastRow="0" w:firstColumn="1" w:lastColumn="0" w:noHBand="0" w:noVBand="1"/>
      </w:tblPr>
      <w:tblGrid>
        <w:gridCol w:w="6312"/>
        <w:gridCol w:w="1260"/>
        <w:gridCol w:w="1260"/>
      </w:tblGrid>
      <w:tr w:rsidR="003F0A73" w:rsidTr="003F0A73">
        <w:trPr>
          <w:trHeight w:val="555"/>
        </w:trPr>
        <w:tc>
          <w:tcPr>
            <w:tcW w:w="6310" w:type="dxa"/>
            <w:vAlign w:val="bottom"/>
          </w:tcPr>
          <w:p w:rsidR="003F0A73" w:rsidRDefault="003F0A73">
            <w:pPr>
              <w:jc w:val="left"/>
              <w:rPr>
                <w:rFonts w:ascii="Arial" w:hAnsi="Arial" w:cs="Arial"/>
                <w:bCs/>
                <w:sz w:val="24"/>
                <w:szCs w:val="24"/>
                <w:highlight w:val="yellow"/>
              </w:rPr>
            </w:pPr>
          </w:p>
        </w:tc>
        <w:tc>
          <w:tcPr>
            <w:tcW w:w="1260" w:type="dxa"/>
            <w:hideMark/>
          </w:tcPr>
          <w:p w:rsidR="003F0A73" w:rsidRDefault="003F0A73">
            <w:pPr>
              <w:jc w:val="right"/>
              <w:rPr>
                <w:rFonts w:ascii="Arial" w:hAnsi="Arial" w:cs="Arial"/>
                <w:b/>
                <w:bCs/>
                <w:sz w:val="24"/>
                <w:szCs w:val="24"/>
              </w:rPr>
            </w:pPr>
            <w:r>
              <w:rPr>
                <w:rFonts w:ascii="Arial" w:hAnsi="Arial" w:cs="Arial"/>
                <w:b/>
                <w:bCs/>
                <w:sz w:val="24"/>
                <w:szCs w:val="24"/>
              </w:rPr>
              <w:t>2014/15</w:t>
            </w:r>
          </w:p>
          <w:p w:rsidR="003F0A73" w:rsidRDefault="003F0A73">
            <w:pPr>
              <w:jc w:val="right"/>
              <w:rPr>
                <w:rFonts w:ascii="Arial" w:hAnsi="Arial" w:cs="Arial"/>
                <w:b/>
                <w:bCs/>
                <w:sz w:val="24"/>
                <w:szCs w:val="24"/>
              </w:rPr>
            </w:pPr>
            <w:r>
              <w:rPr>
                <w:rFonts w:ascii="Arial" w:hAnsi="Arial" w:cs="Arial"/>
                <w:b/>
                <w:bCs/>
                <w:sz w:val="24"/>
                <w:szCs w:val="24"/>
              </w:rPr>
              <w:t>£m</w:t>
            </w:r>
          </w:p>
        </w:tc>
        <w:tc>
          <w:tcPr>
            <w:tcW w:w="1260" w:type="dxa"/>
            <w:vAlign w:val="bottom"/>
            <w:hideMark/>
          </w:tcPr>
          <w:p w:rsidR="003F0A73" w:rsidRDefault="003F0A73">
            <w:pPr>
              <w:jc w:val="right"/>
              <w:rPr>
                <w:rFonts w:ascii="Arial" w:hAnsi="Arial" w:cs="Arial"/>
                <w:bCs/>
                <w:sz w:val="24"/>
                <w:szCs w:val="24"/>
              </w:rPr>
            </w:pPr>
            <w:r>
              <w:rPr>
                <w:rFonts w:ascii="Arial" w:hAnsi="Arial" w:cs="Arial"/>
                <w:bCs/>
                <w:sz w:val="24"/>
                <w:szCs w:val="24"/>
              </w:rPr>
              <w:t>2013/14</w:t>
            </w:r>
          </w:p>
          <w:p w:rsidR="003F0A73" w:rsidRDefault="003F0A73">
            <w:pPr>
              <w:jc w:val="right"/>
              <w:rPr>
                <w:rFonts w:ascii="Arial" w:hAnsi="Arial" w:cs="Arial"/>
                <w:bCs/>
                <w:sz w:val="24"/>
                <w:szCs w:val="24"/>
              </w:rPr>
            </w:pPr>
            <w:r>
              <w:rPr>
                <w:rFonts w:ascii="Arial" w:hAnsi="Arial" w:cs="Arial"/>
                <w:bCs/>
                <w:sz w:val="24"/>
                <w:szCs w:val="24"/>
              </w:rPr>
              <w:t>£m</w:t>
            </w:r>
          </w:p>
        </w:tc>
      </w:tr>
      <w:tr w:rsidR="003F0A73" w:rsidTr="003F0A73">
        <w:trPr>
          <w:trHeight w:val="255"/>
        </w:trPr>
        <w:tc>
          <w:tcPr>
            <w:tcW w:w="6310" w:type="dxa"/>
            <w:tcBorders>
              <w:top w:val="single" w:sz="4" w:space="0" w:color="auto"/>
              <w:left w:val="nil"/>
              <w:bottom w:val="nil"/>
              <w:right w:val="nil"/>
            </w:tcBorders>
            <w:vAlign w:val="bottom"/>
            <w:hideMark/>
          </w:tcPr>
          <w:p w:rsidR="003F0A73" w:rsidRDefault="003F0A73">
            <w:pPr>
              <w:rPr>
                <w:rFonts w:ascii="Arial" w:hAnsi="Arial" w:cs="Arial"/>
                <w:b/>
                <w:sz w:val="24"/>
                <w:szCs w:val="24"/>
              </w:rPr>
            </w:pPr>
            <w:r>
              <w:rPr>
                <w:rFonts w:ascii="Arial" w:hAnsi="Arial" w:cs="Arial"/>
                <w:b/>
                <w:sz w:val="24"/>
                <w:szCs w:val="24"/>
              </w:rPr>
              <w:t>Operating profit (before exceptional items)</w:t>
            </w:r>
          </w:p>
        </w:tc>
        <w:tc>
          <w:tcPr>
            <w:tcW w:w="1260" w:type="dxa"/>
            <w:tcBorders>
              <w:top w:val="single" w:sz="4" w:space="0" w:color="auto"/>
              <w:left w:val="nil"/>
              <w:bottom w:val="nil"/>
              <w:right w:val="nil"/>
            </w:tcBorders>
            <w:hideMark/>
          </w:tcPr>
          <w:p w:rsidR="003F0A73" w:rsidRDefault="003F0A73">
            <w:pPr>
              <w:jc w:val="right"/>
              <w:rPr>
                <w:rFonts w:ascii="Arial" w:hAnsi="Arial" w:cs="Arial"/>
                <w:b/>
                <w:sz w:val="24"/>
                <w:szCs w:val="24"/>
              </w:rPr>
            </w:pPr>
            <w:r>
              <w:rPr>
                <w:rFonts w:ascii="Arial" w:hAnsi="Arial" w:cs="Arial"/>
                <w:b/>
                <w:sz w:val="24"/>
                <w:szCs w:val="24"/>
              </w:rPr>
              <w:t>368</w:t>
            </w:r>
          </w:p>
        </w:tc>
        <w:tc>
          <w:tcPr>
            <w:tcW w:w="1260" w:type="dxa"/>
            <w:tcBorders>
              <w:top w:val="single" w:sz="4" w:space="0" w:color="auto"/>
              <w:left w:val="nil"/>
              <w:bottom w:val="nil"/>
              <w:right w:val="nil"/>
            </w:tcBorders>
            <w:hideMark/>
          </w:tcPr>
          <w:p w:rsidR="003F0A73" w:rsidRDefault="003F0A73">
            <w:pPr>
              <w:jc w:val="right"/>
              <w:rPr>
                <w:rFonts w:ascii="Arial" w:hAnsi="Arial" w:cs="Arial"/>
                <w:sz w:val="24"/>
                <w:szCs w:val="24"/>
              </w:rPr>
            </w:pPr>
            <w:r>
              <w:rPr>
                <w:rFonts w:ascii="Arial" w:hAnsi="Arial" w:cs="Arial"/>
                <w:sz w:val="24"/>
                <w:szCs w:val="24"/>
              </w:rPr>
              <w:t>368</w:t>
            </w:r>
          </w:p>
        </w:tc>
      </w:tr>
      <w:tr w:rsidR="003F0A73" w:rsidTr="003F0A73">
        <w:trPr>
          <w:trHeight w:val="270"/>
        </w:trPr>
        <w:tc>
          <w:tcPr>
            <w:tcW w:w="6310" w:type="dxa"/>
            <w:vAlign w:val="bottom"/>
            <w:hideMark/>
          </w:tcPr>
          <w:p w:rsidR="003F0A73" w:rsidRDefault="003F0A73">
            <w:pPr>
              <w:rPr>
                <w:rFonts w:ascii="Arial" w:hAnsi="Arial" w:cs="Arial"/>
                <w:sz w:val="24"/>
                <w:szCs w:val="24"/>
              </w:rPr>
            </w:pPr>
            <w:r>
              <w:rPr>
                <w:rFonts w:ascii="Arial" w:hAnsi="Arial" w:cs="Arial"/>
                <w:sz w:val="24"/>
                <w:szCs w:val="24"/>
              </w:rPr>
              <w:t>Other non-cash items</w:t>
            </w:r>
            <w:r w:rsidR="00A5442E" w:rsidRPr="00C0194C">
              <w:rPr>
                <w:rFonts w:ascii="Arial" w:hAnsi="Arial" w:cs="Arial"/>
                <w:i/>
                <w:sz w:val="24"/>
                <w:szCs w:val="24"/>
                <w:vertAlign w:val="superscript"/>
              </w:rPr>
              <w:t>(</w:t>
            </w:r>
            <w:r w:rsidRPr="00C0194C">
              <w:rPr>
                <w:rFonts w:ascii="Arial" w:hAnsi="Arial" w:cs="Arial"/>
                <w:i/>
                <w:sz w:val="24"/>
                <w:szCs w:val="24"/>
                <w:vertAlign w:val="superscript"/>
              </w:rPr>
              <w:t>1</w:t>
            </w:r>
            <w:r w:rsidR="00A5442E" w:rsidRPr="00C0194C">
              <w:rPr>
                <w:rFonts w:ascii="Arial" w:hAnsi="Arial" w:cs="Arial"/>
                <w:i/>
                <w:sz w:val="24"/>
                <w:szCs w:val="24"/>
                <w:vertAlign w:val="superscript"/>
              </w:rPr>
              <w:t>)</w:t>
            </w:r>
          </w:p>
        </w:tc>
        <w:tc>
          <w:tcPr>
            <w:tcW w:w="1260" w:type="dxa"/>
            <w:hideMark/>
          </w:tcPr>
          <w:p w:rsidR="003F0A73" w:rsidRDefault="003F0A73">
            <w:pPr>
              <w:jc w:val="right"/>
              <w:rPr>
                <w:rFonts w:ascii="Arial" w:hAnsi="Arial" w:cs="Arial"/>
                <w:b/>
                <w:sz w:val="24"/>
                <w:szCs w:val="24"/>
              </w:rPr>
            </w:pPr>
            <w:r>
              <w:rPr>
                <w:rFonts w:ascii="Arial" w:hAnsi="Arial" w:cs="Arial"/>
                <w:b/>
                <w:sz w:val="24"/>
                <w:szCs w:val="24"/>
              </w:rPr>
              <w:t>142</w:t>
            </w:r>
          </w:p>
        </w:tc>
        <w:tc>
          <w:tcPr>
            <w:tcW w:w="1260" w:type="dxa"/>
            <w:hideMark/>
          </w:tcPr>
          <w:p w:rsidR="003F0A73" w:rsidRDefault="003F0A73">
            <w:pPr>
              <w:jc w:val="right"/>
              <w:rPr>
                <w:rFonts w:ascii="Arial" w:hAnsi="Arial" w:cs="Arial"/>
                <w:sz w:val="24"/>
                <w:szCs w:val="24"/>
              </w:rPr>
            </w:pPr>
            <w:r>
              <w:rPr>
                <w:rFonts w:ascii="Arial" w:hAnsi="Arial" w:cs="Arial"/>
                <w:sz w:val="24"/>
                <w:szCs w:val="24"/>
              </w:rPr>
              <w:t>141</w:t>
            </w:r>
          </w:p>
        </w:tc>
      </w:tr>
      <w:tr w:rsidR="003F0A73" w:rsidTr="003F0A73">
        <w:trPr>
          <w:trHeight w:val="247"/>
        </w:trPr>
        <w:tc>
          <w:tcPr>
            <w:tcW w:w="6310" w:type="dxa"/>
            <w:vAlign w:val="bottom"/>
            <w:hideMark/>
          </w:tcPr>
          <w:p w:rsidR="003F0A73" w:rsidRDefault="003F0A73">
            <w:pPr>
              <w:rPr>
                <w:rFonts w:ascii="Arial" w:hAnsi="Arial" w:cs="Arial"/>
                <w:sz w:val="24"/>
                <w:szCs w:val="24"/>
              </w:rPr>
            </w:pPr>
            <w:r>
              <w:rPr>
                <w:rFonts w:ascii="Arial" w:hAnsi="Arial" w:cs="Arial"/>
                <w:sz w:val="24"/>
                <w:szCs w:val="24"/>
              </w:rPr>
              <w:t>Change in working capital</w:t>
            </w:r>
          </w:p>
        </w:tc>
        <w:tc>
          <w:tcPr>
            <w:tcW w:w="1260" w:type="dxa"/>
            <w:hideMark/>
          </w:tcPr>
          <w:p w:rsidR="003F0A73" w:rsidRDefault="003F0A73">
            <w:pPr>
              <w:jc w:val="right"/>
              <w:rPr>
                <w:rFonts w:ascii="Arial" w:hAnsi="Arial" w:cs="Arial"/>
                <w:b/>
                <w:sz w:val="24"/>
                <w:szCs w:val="24"/>
              </w:rPr>
            </w:pPr>
            <w:r>
              <w:rPr>
                <w:rFonts w:ascii="Arial" w:hAnsi="Arial" w:cs="Arial"/>
                <w:b/>
                <w:sz w:val="24"/>
                <w:szCs w:val="24"/>
              </w:rPr>
              <w:t>33</w:t>
            </w:r>
          </w:p>
        </w:tc>
        <w:tc>
          <w:tcPr>
            <w:tcW w:w="1260" w:type="dxa"/>
            <w:hideMark/>
          </w:tcPr>
          <w:p w:rsidR="003F0A73" w:rsidRDefault="003F0A73">
            <w:pPr>
              <w:jc w:val="right"/>
              <w:rPr>
                <w:rFonts w:ascii="Arial" w:hAnsi="Arial" w:cs="Arial"/>
                <w:sz w:val="24"/>
                <w:szCs w:val="24"/>
              </w:rPr>
            </w:pPr>
            <w:r>
              <w:rPr>
                <w:rFonts w:ascii="Arial" w:hAnsi="Arial" w:cs="Arial"/>
                <w:sz w:val="24"/>
                <w:szCs w:val="24"/>
              </w:rPr>
              <w:t>125</w:t>
            </w:r>
          </w:p>
        </w:tc>
      </w:tr>
      <w:tr w:rsidR="003F0A73" w:rsidTr="003F0A73">
        <w:trPr>
          <w:trHeight w:val="255"/>
        </w:trPr>
        <w:tc>
          <w:tcPr>
            <w:tcW w:w="6310" w:type="dxa"/>
            <w:tcBorders>
              <w:top w:val="nil"/>
              <w:left w:val="nil"/>
              <w:bottom w:val="single" w:sz="4" w:space="0" w:color="auto"/>
              <w:right w:val="nil"/>
            </w:tcBorders>
            <w:vAlign w:val="bottom"/>
            <w:hideMark/>
          </w:tcPr>
          <w:p w:rsidR="003F0A73" w:rsidRDefault="003F0A73">
            <w:pPr>
              <w:rPr>
                <w:rFonts w:ascii="Arial" w:hAnsi="Arial" w:cs="Arial"/>
                <w:sz w:val="24"/>
                <w:szCs w:val="24"/>
              </w:rPr>
            </w:pPr>
            <w:r>
              <w:rPr>
                <w:rFonts w:ascii="Arial" w:hAnsi="Arial" w:cs="Arial"/>
                <w:sz w:val="24"/>
                <w:szCs w:val="24"/>
              </w:rPr>
              <w:t>Pensions and provisions (before exceptional items)</w:t>
            </w:r>
          </w:p>
        </w:tc>
        <w:tc>
          <w:tcPr>
            <w:tcW w:w="1260" w:type="dxa"/>
            <w:tcBorders>
              <w:top w:val="nil"/>
              <w:left w:val="nil"/>
              <w:bottom w:val="single" w:sz="4" w:space="0" w:color="auto"/>
              <w:right w:val="nil"/>
            </w:tcBorders>
            <w:hideMark/>
          </w:tcPr>
          <w:p w:rsidR="003F0A73" w:rsidRDefault="003F0A73">
            <w:pPr>
              <w:jc w:val="right"/>
              <w:rPr>
                <w:rFonts w:ascii="Arial" w:hAnsi="Arial" w:cs="Arial"/>
                <w:b/>
                <w:sz w:val="24"/>
                <w:szCs w:val="24"/>
              </w:rPr>
            </w:pPr>
            <w:r>
              <w:rPr>
                <w:rFonts w:ascii="Arial" w:hAnsi="Arial" w:cs="Arial"/>
                <w:b/>
                <w:sz w:val="24"/>
                <w:szCs w:val="24"/>
              </w:rPr>
              <w:t>(20)</w:t>
            </w:r>
          </w:p>
        </w:tc>
        <w:tc>
          <w:tcPr>
            <w:tcW w:w="1260" w:type="dxa"/>
            <w:tcBorders>
              <w:top w:val="nil"/>
              <w:left w:val="nil"/>
              <w:bottom w:val="single" w:sz="4" w:space="0" w:color="auto"/>
              <w:right w:val="nil"/>
            </w:tcBorders>
            <w:hideMark/>
          </w:tcPr>
          <w:p w:rsidR="003F0A73" w:rsidRDefault="003F0A73">
            <w:pPr>
              <w:jc w:val="right"/>
              <w:rPr>
                <w:rFonts w:ascii="Arial" w:hAnsi="Arial" w:cs="Arial"/>
                <w:sz w:val="24"/>
                <w:szCs w:val="24"/>
              </w:rPr>
            </w:pPr>
            <w:r>
              <w:rPr>
                <w:rFonts w:ascii="Arial" w:hAnsi="Arial" w:cs="Arial"/>
                <w:sz w:val="24"/>
                <w:szCs w:val="24"/>
              </w:rPr>
              <w:t>(18)</w:t>
            </w:r>
          </w:p>
        </w:tc>
      </w:tr>
      <w:tr w:rsidR="003F0A73" w:rsidTr="003F0A73">
        <w:trPr>
          <w:trHeight w:val="255"/>
        </w:trPr>
        <w:tc>
          <w:tcPr>
            <w:tcW w:w="6310" w:type="dxa"/>
            <w:tcBorders>
              <w:top w:val="single" w:sz="4" w:space="0" w:color="auto"/>
              <w:left w:val="nil"/>
              <w:bottom w:val="nil"/>
              <w:right w:val="nil"/>
            </w:tcBorders>
            <w:vAlign w:val="bottom"/>
            <w:hideMark/>
          </w:tcPr>
          <w:p w:rsidR="003F0A73" w:rsidRDefault="003F0A73">
            <w:pPr>
              <w:rPr>
                <w:rFonts w:ascii="Arial" w:hAnsi="Arial" w:cs="Arial"/>
                <w:sz w:val="24"/>
                <w:szCs w:val="24"/>
              </w:rPr>
            </w:pPr>
            <w:r>
              <w:rPr>
                <w:rFonts w:ascii="Arial" w:hAnsi="Arial" w:cs="Arial"/>
                <w:sz w:val="24"/>
                <w:szCs w:val="24"/>
              </w:rPr>
              <w:t>Operating cash flow</w:t>
            </w:r>
          </w:p>
        </w:tc>
        <w:tc>
          <w:tcPr>
            <w:tcW w:w="1260" w:type="dxa"/>
            <w:tcBorders>
              <w:top w:val="single" w:sz="4" w:space="0" w:color="auto"/>
              <w:left w:val="nil"/>
              <w:bottom w:val="nil"/>
              <w:right w:val="nil"/>
            </w:tcBorders>
            <w:hideMark/>
          </w:tcPr>
          <w:p w:rsidR="003F0A73" w:rsidRDefault="003F0A73">
            <w:pPr>
              <w:jc w:val="right"/>
              <w:rPr>
                <w:rFonts w:ascii="Arial" w:hAnsi="Arial" w:cs="Arial"/>
                <w:b/>
                <w:sz w:val="24"/>
                <w:szCs w:val="24"/>
              </w:rPr>
            </w:pPr>
            <w:r>
              <w:rPr>
                <w:rFonts w:ascii="Arial" w:hAnsi="Arial" w:cs="Arial"/>
                <w:b/>
                <w:sz w:val="24"/>
                <w:szCs w:val="24"/>
              </w:rPr>
              <w:t>523</w:t>
            </w:r>
          </w:p>
        </w:tc>
        <w:tc>
          <w:tcPr>
            <w:tcW w:w="1260" w:type="dxa"/>
            <w:tcBorders>
              <w:top w:val="single" w:sz="4" w:space="0" w:color="auto"/>
              <w:left w:val="nil"/>
              <w:bottom w:val="nil"/>
              <w:right w:val="nil"/>
            </w:tcBorders>
            <w:hideMark/>
          </w:tcPr>
          <w:p w:rsidR="003F0A73" w:rsidRDefault="003F0A73">
            <w:pPr>
              <w:jc w:val="right"/>
              <w:rPr>
                <w:rFonts w:ascii="Arial" w:hAnsi="Arial" w:cs="Arial"/>
                <w:sz w:val="24"/>
                <w:szCs w:val="24"/>
              </w:rPr>
            </w:pPr>
            <w:r>
              <w:rPr>
                <w:rFonts w:ascii="Arial" w:hAnsi="Arial" w:cs="Arial"/>
                <w:sz w:val="24"/>
                <w:szCs w:val="24"/>
              </w:rPr>
              <w:t>616</w:t>
            </w:r>
          </w:p>
        </w:tc>
      </w:tr>
      <w:tr w:rsidR="003F0A73" w:rsidTr="003F0A73">
        <w:trPr>
          <w:trHeight w:val="311"/>
        </w:trPr>
        <w:tc>
          <w:tcPr>
            <w:tcW w:w="6310" w:type="dxa"/>
            <w:vAlign w:val="bottom"/>
            <w:hideMark/>
          </w:tcPr>
          <w:p w:rsidR="003F0A73" w:rsidRDefault="003F0A73">
            <w:pPr>
              <w:rPr>
                <w:rFonts w:ascii="Arial" w:hAnsi="Arial" w:cs="Arial"/>
                <w:sz w:val="24"/>
                <w:szCs w:val="24"/>
              </w:rPr>
            </w:pPr>
            <w:r>
              <w:rPr>
                <w:rFonts w:ascii="Arial" w:hAnsi="Arial" w:cs="Arial"/>
                <w:sz w:val="24"/>
                <w:szCs w:val="24"/>
              </w:rPr>
              <w:t>Net interest paid</w:t>
            </w:r>
          </w:p>
        </w:tc>
        <w:tc>
          <w:tcPr>
            <w:tcW w:w="1260" w:type="dxa"/>
            <w:hideMark/>
          </w:tcPr>
          <w:p w:rsidR="003F0A73" w:rsidRDefault="003F0A73">
            <w:pPr>
              <w:jc w:val="right"/>
              <w:rPr>
                <w:rFonts w:ascii="Arial" w:hAnsi="Arial" w:cs="Arial"/>
                <w:b/>
                <w:sz w:val="24"/>
                <w:szCs w:val="24"/>
              </w:rPr>
            </w:pPr>
            <w:r>
              <w:rPr>
                <w:rFonts w:ascii="Arial" w:hAnsi="Arial" w:cs="Arial"/>
                <w:b/>
                <w:sz w:val="24"/>
                <w:szCs w:val="24"/>
              </w:rPr>
              <w:t>(3)</w:t>
            </w:r>
          </w:p>
        </w:tc>
        <w:tc>
          <w:tcPr>
            <w:tcW w:w="1260" w:type="dxa"/>
            <w:hideMark/>
          </w:tcPr>
          <w:p w:rsidR="003F0A73" w:rsidRDefault="003F0A73">
            <w:pPr>
              <w:jc w:val="right"/>
              <w:rPr>
                <w:rFonts w:ascii="Arial" w:hAnsi="Arial" w:cs="Arial"/>
                <w:sz w:val="24"/>
                <w:szCs w:val="24"/>
              </w:rPr>
            </w:pPr>
            <w:r>
              <w:rPr>
                <w:rFonts w:ascii="Arial" w:hAnsi="Arial" w:cs="Arial"/>
                <w:sz w:val="24"/>
                <w:szCs w:val="24"/>
              </w:rPr>
              <w:t>(5)</w:t>
            </w:r>
          </w:p>
        </w:tc>
      </w:tr>
      <w:tr w:rsidR="003F0A73" w:rsidTr="003F0A73">
        <w:trPr>
          <w:trHeight w:val="270"/>
        </w:trPr>
        <w:tc>
          <w:tcPr>
            <w:tcW w:w="6310" w:type="dxa"/>
            <w:vAlign w:val="bottom"/>
            <w:hideMark/>
          </w:tcPr>
          <w:p w:rsidR="003F0A73" w:rsidRDefault="003F0A73">
            <w:pPr>
              <w:rPr>
                <w:rFonts w:ascii="Arial" w:hAnsi="Arial" w:cs="Arial"/>
                <w:sz w:val="24"/>
                <w:szCs w:val="24"/>
              </w:rPr>
            </w:pPr>
            <w:r>
              <w:rPr>
                <w:rFonts w:ascii="Arial" w:hAnsi="Arial" w:cs="Arial"/>
                <w:sz w:val="24"/>
                <w:szCs w:val="24"/>
              </w:rPr>
              <w:t>Tax paid</w:t>
            </w:r>
          </w:p>
        </w:tc>
        <w:tc>
          <w:tcPr>
            <w:tcW w:w="1260" w:type="dxa"/>
            <w:hideMark/>
          </w:tcPr>
          <w:p w:rsidR="003F0A73" w:rsidRDefault="003F0A73">
            <w:pPr>
              <w:jc w:val="right"/>
              <w:rPr>
                <w:rFonts w:ascii="Arial" w:hAnsi="Arial" w:cs="Arial"/>
                <w:b/>
                <w:sz w:val="24"/>
                <w:szCs w:val="24"/>
              </w:rPr>
            </w:pPr>
            <w:r>
              <w:rPr>
                <w:rFonts w:ascii="Arial" w:hAnsi="Arial" w:cs="Arial"/>
                <w:b/>
                <w:sz w:val="24"/>
                <w:szCs w:val="24"/>
              </w:rPr>
              <w:t>(65)</w:t>
            </w:r>
          </w:p>
        </w:tc>
        <w:tc>
          <w:tcPr>
            <w:tcW w:w="1260" w:type="dxa"/>
            <w:hideMark/>
          </w:tcPr>
          <w:p w:rsidR="003F0A73" w:rsidRDefault="003F0A73">
            <w:pPr>
              <w:jc w:val="right"/>
              <w:rPr>
                <w:rFonts w:ascii="Arial" w:hAnsi="Arial" w:cs="Arial"/>
                <w:sz w:val="24"/>
                <w:szCs w:val="24"/>
              </w:rPr>
            </w:pPr>
            <w:r>
              <w:rPr>
                <w:rFonts w:ascii="Arial" w:hAnsi="Arial" w:cs="Arial"/>
                <w:sz w:val="24"/>
                <w:szCs w:val="24"/>
              </w:rPr>
              <w:t>(39)</w:t>
            </w:r>
          </w:p>
        </w:tc>
      </w:tr>
      <w:tr w:rsidR="003F0A73" w:rsidTr="003F0A73">
        <w:trPr>
          <w:trHeight w:val="270"/>
        </w:trPr>
        <w:tc>
          <w:tcPr>
            <w:tcW w:w="6310" w:type="dxa"/>
            <w:vAlign w:val="bottom"/>
            <w:hideMark/>
          </w:tcPr>
          <w:p w:rsidR="003F0A73" w:rsidRDefault="003F0A73">
            <w:pPr>
              <w:rPr>
                <w:rFonts w:ascii="Arial" w:hAnsi="Arial" w:cs="Arial"/>
                <w:sz w:val="24"/>
                <w:szCs w:val="24"/>
              </w:rPr>
            </w:pPr>
            <w:r>
              <w:rPr>
                <w:rFonts w:ascii="Arial" w:hAnsi="Arial" w:cs="Arial"/>
                <w:sz w:val="24"/>
                <w:szCs w:val="24"/>
              </w:rPr>
              <w:t>Gross capital expenditure</w:t>
            </w:r>
          </w:p>
        </w:tc>
        <w:tc>
          <w:tcPr>
            <w:tcW w:w="1260" w:type="dxa"/>
            <w:hideMark/>
          </w:tcPr>
          <w:p w:rsidR="003F0A73" w:rsidRDefault="003F0A73">
            <w:pPr>
              <w:jc w:val="right"/>
              <w:rPr>
                <w:rFonts w:ascii="Arial" w:hAnsi="Arial" w:cs="Arial"/>
                <w:b/>
                <w:sz w:val="24"/>
                <w:szCs w:val="24"/>
              </w:rPr>
            </w:pPr>
            <w:r>
              <w:rPr>
                <w:rFonts w:ascii="Arial" w:hAnsi="Arial" w:cs="Arial"/>
                <w:b/>
                <w:sz w:val="24"/>
                <w:szCs w:val="24"/>
              </w:rPr>
              <w:t>(119)</w:t>
            </w:r>
          </w:p>
        </w:tc>
        <w:tc>
          <w:tcPr>
            <w:tcW w:w="1260" w:type="dxa"/>
            <w:hideMark/>
          </w:tcPr>
          <w:p w:rsidR="003F0A73" w:rsidRDefault="003F0A73">
            <w:pPr>
              <w:jc w:val="right"/>
              <w:rPr>
                <w:rFonts w:ascii="Arial" w:hAnsi="Arial" w:cs="Arial"/>
                <w:sz w:val="24"/>
                <w:szCs w:val="24"/>
              </w:rPr>
            </w:pPr>
            <w:r>
              <w:rPr>
                <w:rFonts w:ascii="Arial" w:hAnsi="Arial" w:cs="Arial"/>
                <w:sz w:val="24"/>
                <w:szCs w:val="24"/>
              </w:rPr>
              <w:t>(147)</w:t>
            </w:r>
          </w:p>
        </w:tc>
      </w:tr>
      <w:tr w:rsidR="003F0A73" w:rsidTr="003F0A73">
        <w:trPr>
          <w:trHeight w:val="270"/>
        </w:trPr>
        <w:tc>
          <w:tcPr>
            <w:tcW w:w="6310" w:type="dxa"/>
            <w:tcBorders>
              <w:top w:val="nil"/>
              <w:left w:val="nil"/>
              <w:bottom w:val="single" w:sz="4" w:space="0" w:color="auto"/>
              <w:right w:val="nil"/>
            </w:tcBorders>
            <w:vAlign w:val="bottom"/>
            <w:hideMark/>
          </w:tcPr>
          <w:p w:rsidR="003F0A73" w:rsidRDefault="003F0A73">
            <w:pPr>
              <w:rPr>
                <w:rFonts w:ascii="Arial" w:hAnsi="Arial" w:cs="Arial"/>
                <w:sz w:val="24"/>
                <w:szCs w:val="24"/>
              </w:rPr>
            </w:pPr>
            <w:r>
              <w:rPr>
                <w:rFonts w:ascii="Arial" w:hAnsi="Arial" w:cs="Arial"/>
                <w:sz w:val="24"/>
                <w:szCs w:val="24"/>
              </w:rPr>
              <w:t>Disposal of assets</w:t>
            </w:r>
          </w:p>
        </w:tc>
        <w:tc>
          <w:tcPr>
            <w:tcW w:w="1260" w:type="dxa"/>
            <w:tcBorders>
              <w:top w:val="nil"/>
              <w:left w:val="nil"/>
              <w:bottom w:val="single" w:sz="4" w:space="0" w:color="auto"/>
              <w:right w:val="nil"/>
            </w:tcBorders>
            <w:hideMark/>
          </w:tcPr>
          <w:p w:rsidR="003F0A73" w:rsidRDefault="003F0A73">
            <w:pPr>
              <w:jc w:val="right"/>
              <w:rPr>
                <w:rFonts w:ascii="Arial" w:hAnsi="Arial" w:cs="Arial"/>
                <w:b/>
                <w:sz w:val="24"/>
                <w:szCs w:val="24"/>
              </w:rPr>
            </w:pPr>
            <w:r>
              <w:rPr>
                <w:rFonts w:ascii="Arial" w:hAnsi="Arial" w:cs="Arial"/>
                <w:b/>
                <w:sz w:val="24"/>
                <w:szCs w:val="24"/>
              </w:rPr>
              <w:t>47</w:t>
            </w:r>
          </w:p>
        </w:tc>
        <w:tc>
          <w:tcPr>
            <w:tcW w:w="1260" w:type="dxa"/>
            <w:tcBorders>
              <w:top w:val="nil"/>
              <w:left w:val="nil"/>
              <w:bottom w:val="single" w:sz="4" w:space="0" w:color="auto"/>
              <w:right w:val="nil"/>
            </w:tcBorders>
            <w:hideMark/>
          </w:tcPr>
          <w:p w:rsidR="003F0A73" w:rsidRDefault="003F0A73">
            <w:pPr>
              <w:jc w:val="right"/>
              <w:rPr>
                <w:rFonts w:ascii="Arial" w:hAnsi="Arial" w:cs="Arial"/>
                <w:sz w:val="24"/>
                <w:szCs w:val="24"/>
              </w:rPr>
            </w:pPr>
            <w:r>
              <w:rPr>
                <w:rFonts w:ascii="Arial" w:hAnsi="Arial" w:cs="Arial"/>
                <w:sz w:val="24"/>
                <w:szCs w:val="24"/>
              </w:rPr>
              <w:t>10</w:t>
            </w:r>
          </w:p>
        </w:tc>
      </w:tr>
      <w:tr w:rsidR="003F0A73" w:rsidTr="003F0A73">
        <w:trPr>
          <w:trHeight w:val="270"/>
        </w:trPr>
        <w:tc>
          <w:tcPr>
            <w:tcW w:w="6310" w:type="dxa"/>
            <w:tcBorders>
              <w:top w:val="single" w:sz="4" w:space="0" w:color="auto"/>
              <w:left w:val="nil"/>
              <w:bottom w:val="nil"/>
              <w:right w:val="nil"/>
            </w:tcBorders>
            <w:vAlign w:val="bottom"/>
            <w:hideMark/>
          </w:tcPr>
          <w:p w:rsidR="003F0A73" w:rsidRDefault="003F0A73">
            <w:pPr>
              <w:rPr>
                <w:rFonts w:ascii="Arial" w:hAnsi="Arial" w:cs="Arial"/>
                <w:b/>
                <w:sz w:val="24"/>
                <w:szCs w:val="24"/>
              </w:rPr>
            </w:pPr>
            <w:r>
              <w:rPr>
                <w:rFonts w:ascii="Arial" w:hAnsi="Arial" w:cs="Arial"/>
                <w:b/>
                <w:sz w:val="24"/>
                <w:szCs w:val="24"/>
              </w:rPr>
              <w:t>Free cash flow</w:t>
            </w:r>
          </w:p>
        </w:tc>
        <w:tc>
          <w:tcPr>
            <w:tcW w:w="1260" w:type="dxa"/>
            <w:tcBorders>
              <w:top w:val="single" w:sz="4" w:space="0" w:color="auto"/>
              <w:left w:val="nil"/>
              <w:bottom w:val="nil"/>
              <w:right w:val="nil"/>
            </w:tcBorders>
            <w:hideMark/>
          </w:tcPr>
          <w:p w:rsidR="003F0A73" w:rsidRDefault="003F0A73">
            <w:pPr>
              <w:jc w:val="right"/>
              <w:rPr>
                <w:rFonts w:ascii="Arial" w:hAnsi="Arial" w:cs="Arial"/>
                <w:b/>
                <w:sz w:val="24"/>
                <w:szCs w:val="24"/>
              </w:rPr>
            </w:pPr>
            <w:r>
              <w:rPr>
                <w:rFonts w:ascii="Arial" w:hAnsi="Arial" w:cs="Arial"/>
                <w:b/>
                <w:sz w:val="24"/>
                <w:szCs w:val="24"/>
              </w:rPr>
              <w:t>383</w:t>
            </w:r>
          </w:p>
        </w:tc>
        <w:tc>
          <w:tcPr>
            <w:tcW w:w="1260" w:type="dxa"/>
            <w:tcBorders>
              <w:top w:val="single" w:sz="4" w:space="0" w:color="auto"/>
              <w:left w:val="nil"/>
              <w:bottom w:val="nil"/>
              <w:right w:val="nil"/>
            </w:tcBorders>
            <w:hideMark/>
          </w:tcPr>
          <w:p w:rsidR="003F0A73" w:rsidRDefault="003F0A73">
            <w:pPr>
              <w:jc w:val="right"/>
              <w:rPr>
                <w:rFonts w:ascii="Arial" w:hAnsi="Arial" w:cs="Arial"/>
                <w:sz w:val="24"/>
                <w:szCs w:val="24"/>
              </w:rPr>
            </w:pPr>
            <w:r>
              <w:rPr>
                <w:rFonts w:ascii="Arial" w:hAnsi="Arial" w:cs="Arial"/>
                <w:sz w:val="24"/>
                <w:szCs w:val="24"/>
              </w:rPr>
              <w:t>435</w:t>
            </w:r>
          </w:p>
        </w:tc>
      </w:tr>
      <w:tr w:rsidR="003F0A73" w:rsidTr="003F0A73">
        <w:trPr>
          <w:trHeight w:val="270"/>
        </w:trPr>
        <w:tc>
          <w:tcPr>
            <w:tcW w:w="6310" w:type="dxa"/>
            <w:vAlign w:val="bottom"/>
            <w:hideMark/>
          </w:tcPr>
          <w:p w:rsidR="003F0A73" w:rsidRDefault="003F0A73">
            <w:pPr>
              <w:rPr>
                <w:rFonts w:ascii="Arial" w:hAnsi="Arial" w:cs="Arial"/>
                <w:sz w:val="24"/>
                <w:szCs w:val="24"/>
              </w:rPr>
            </w:pPr>
            <w:r>
              <w:rPr>
                <w:rFonts w:ascii="Arial" w:hAnsi="Arial" w:cs="Arial"/>
                <w:sz w:val="24"/>
                <w:szCs w:val="24"/>
              </w:rPr>
              <w:t>Ordinary dividends paid</w:t>
            </w:r>
          </w:p>
        </w:tc>
        <w:tc>
          <w:tcPr>
            <w:tcW w:w="1260" w:type="dxa"/>
            <w:hideMark/>
          </w:tcPr>
          <w:p w:rsidR="003F0A73" w:rsidRDefault="003F0A73">
            <w:pPr>
              <w:jc w:val="right"/>
              <w:rPr>
                <w:rFonts w:ascii="Arial" w:hAnsi="Arial" w:cs="Arial"/>
                <w:b/>
                <w:sz w:val="24"/>
                <w:szCs w:val="24"/>
              </w:rPr>
            </w:pPr>
            <w:r>
              <w:rPr>
                <w:rFonts w:ascii="Arial" w:hAnsi="Arial" w:cs="Arial"/>
                <w:b/>
                <w:sz w:val="24"/>
                <w:szCs w:val="24"/>
              </w:rPr>
              <w:t>(159)</w:t>
            </w:r>
          </w:p>
        </w:tc>
        <w:tc>
          <w:tcPr>
            <w:tcW w:w="1260" w:type="dxa"/>
            <w:hideMark/>
          </w:tcPr>
          <w:p w:rsidR="003F0A73" w:rsidRDefault="003F0A73">
            <w:pPr>
              <w:jc w:val="right"/>
              <w:rPr>
                <w:rFonts w:ascii="Arial" w:hAnsi="Arial" w:cs="Arial"/>
                <w:sz w:val="24"/>
                <w:szCs w:val="24"/>
              </w:rPr>
            </w:pPr>
            <w:r>
              <w:rPr>
                <w:rFonts w:ascii="Arial" w:hAnsi="Arial" w:cs="Arial"/>
                <w:sz w:val="24"/>
                <w:szCs w:val="24"/>
              </w:rPr>
              <w:t>(150)</w:t>
            </w:r>
          </w:p>
        </w:tc>
      </w:tr>
      <w:tr w:rsidR="003F0A73" w:rsidTr="003F0A73">
        <w:trPr>
          <w:trHeight w:val="270"/>
        </w:trPr>
        <w:tc>
          <w:tcPr>
            <w:tcW w:w="6310" w:type="dxa"/>
            <w:vAlign w:val="bottom"/>
            <w:hideMark/>
          </w:tcPr>
          <w:p w:rsidR="003F0A73" w:rsidRDefault="003F0A73">
            <w:pPr>
              <w:rPr>
                <w:rFonts w:ascii="Arial" w:hAnsi="Arial" w:cs="Arial"/>
                <w:sz w:val="24"/>
                <w:szCs w:val="24"/>
              </w:rPr>
            </w:pPr>
            <w:r>
              <w:rPr>
                <w:rFonts w:ascii="Arial" w:hAnsi="Arial" w:cs="Arial"/>
                <w:sz w:val="24"/>
                <w:szCs w:val="24"/>
              </w:rPr>
              <w:t>Special dividend paid</w:t>
            </w:r>
          </w:p>
        </w:tc>
        <w:tc>
          <w:tcPr>
            <w:tcW w:w="1260" w:type="dxa"/>
            <w:hideMark/>
          </w:tcPr>
          <w:p w:rsidR="003F0A73" w:rsidRDefault="003F0A73">
            <w:pPr>
              <w:jc w:val="right"/>
              <w:rPr>
                <w:rFonts w:ascii="Arial" w:hAnsi="Arial" w:cs="Arial"/>
                <w:b/>
                <w:sz w:val="24"/>
                <w:szCs w:val="24"/>
              </w:rPr>
            </w:pPr>
            <w:r>
              <w:rPr>
                <w:rFonts w:ascii="Arial" w:hAnsi="Arial" w:cs="Arial"/>
                <w:b/>
                <w:sz w:val="24"/>
                <w:szCs w:val="24"/>
              </w:rPr>
              <w:t>(100)</w:t>
            </w:r>
          </w:p>
        </w:tc>
        <w:tc>
          <w:tcPr>
            <w:tcW w:w="1260" w:type="dxa"/>
            <w:hideMark/>
          </w:tcPr>
          <w:p w:rsidR="003F0A73" w:rsidRDefault="003F0A73">
            <w:pPr>
              <w:jc w:val="right"/>
              <w:rPr>
                <w:rFonts w:ascii="Arial" w:hAnsi="Arial" w:cs="Arial"/>
                <w:sz w:val="24"/>
                <w:szCs w:val="24"/>
              </w:rPr>
            </w:pPr>
            <w:r>
              <w:rPr>
                <w:rFonts w:ascii="Arial" w:hAnsi="Arial" w:cs="Arial"/>
                <w:sz w:val="24"/>
                <w:szCs w:val="24"/>
              </w:rPr>
              <w:t>-</w:t>
            </w:r>
          </w:p>
        </w:tc>
      </w:tr>
      <w:tr w:rsidR="003F0A73" w:rsidTr="003F0A73">
        <w:trPr>
          <w:trHeight w:val="270"/>
        </w:trPr>
        <w:tc>
          <w:tcPr>
            <w:tcW w:w="6310" w:type="dxa"/>
            <w:vAlign w:val="bottom"/>
            <w:hideMark/>
          </w:tcPr>
          <w:p w:rsidR="003F0A73" w:rsidRDefault="003F0A73">
            <w:pPr>
              <w:rPr>
                <w:rFonts w:ascii="Arial" w:hAnsi="Arial" w:cs="Arial"/>
                <w:sz w:val="24"/>
                <w:szCs w:val="24"/>
              </w:rPr>
            </w:pPr>
            <w:r>
              <w:rPr>
                <w:rFonts w:ascii="Arial" w:hAnsi="Arial" w:cs="Arial"/>
                <w:sz w:val="24"/>
                <w:szCs w:val="24"/>
              </w:rPr>
              <w:t>Share buyback</w:t>
            </w:r>
          </w:p>
        </w:tc>
        <w:tc>
          <w:tcPr>
            <w:tcW w:w="1260" w:type="dxa"/>
            <w:hideMark/>
          </w:tcPr>
          <w:p w:rsidR="003F0A73" w:rsidRDefault="003F0A73">
            <w:pPr>
              <w:jc w:val="right"/>
              <w:rPr>
                <w:rFonts w:ascii="Arial" w:hAnsi="Arial" w:cs="Arial"/>
                <w:b/>
                <w:sz w:val="24"/>
                <w:szCs w:val="24"/>
              </w:rPr>
            </w:pPr>
            <w:r>
              <w:rPr>
                <w:rFonts w:ascii="Arial" w:hAnsi="Arial" w:cs="Arial"/>
                <w:b/>
                <w:sz w:val="24"/>
                <w:szCs w:val="24"/>
              </w:rPr>
              <w:t>(35)</w:t>
            </w:r>
          </w:p>
        </w:tc>
        <w:tc>
          <w:tcPr>
            <w:tcW w:w="1260" w:type="dxa"/>
            <w:hideMark/>
          </w:tcPr>
          <w:p w:rsidR="003F0A73" w:rsidRDefault="003F0A73">
            <w:pPr>
              <w:jc w:val="right"/>
              <w:rPr>
                <w:rFonts w:ascii="Arial" w:hAnsi="Arial" w:cs="Arial"/>
                <w:sz w:val="24"/>
                <w:szCs w:val="24"/>
              </w:rPr>
            </w:pPr>
            <w:r>
              <w:rPr>
                <w:rFonts w:ascii="Arial" w:hAnsi="Arial" w:cs="Arial"/>
                <w:sz w:val="24"/>
                <w:szCs w:val="24"/>
              </w:rPr>
              <w:t>-</w:t>
            </w:r>
          </w:p>
        </w:tc>
      </w:tr>
      <w:tr w:rsidR="003F0A73" w:rsidTr="003F0A73">
        <w:trPr>
          <w:trHeight w:val="270"/>
        </w:trPr>
        <w:tc>
          <w:tcPr>
            <w:tcW w:w="6310" w:type="dxa"/>
            <w:vAlign w:val="bottom"/>
            <w:hideMark/>
          </w:tcPr>
          <w:p w:rsidR="003F0A73" w:rsidRDefault="003F0A73">
            <w:pPr>
              <w:rPr>
                <w:rFonts w:ascii="Arial" w:hAnsi="Arial" w:cs="Arial"/>
                <w:sz w:val="24"/>
                <w:szCs w:val="24"/>
              </w:rPr>
            </w:pPr>
            <w:r>
              <w:rPr>
                <w:rFonts w:ascii="Arial" w:hAnsi="Arial" w:cs="Arial"/>
                <w:sz w:val="24"/>
                <w:szCs w:val="24"/>
              </w:rPr>
              <w:t>Disposal of Hornbach</w:t>
            </w:r>
          </w:p>
        </w:tc>
        <w:tc>
          <w:tcPr>
            <w:tcW w:w="1260" w:type="dxa"/>
            <w:hideMark/>
          </w:tcPr>
          <w:p w:rsidR="003F0A73" w:rsidRDefault="00A5442E">
            <w:pPr>
              <w:jc w:val="right"/>
              <w:rPr>
                <w:rFonts w:ascii="Arial" w:hAnsi="Arial" w:cs="Arial"/>
                <w:b/>
                <w:sz w:val="24"/>
                <w:szCs w:val="24"/>
              </w:rPr>
            </w:pPr>
            <w:r>
              <w:rPr>
                <w:rFonts w:ascii="Arial" w:hAnsi="Arial" w:cs="Arial"/>
                <w:b/>
                <w:sz w:val="24"/>
                <w:szCs w:val="24"/>
              </w:rPr>
              <w:t>198</w:t>
            </w:r>
          </w:p>
        </w:tc>
        <w:tc>
          <w:tcPr>
            <w:tcW w:w="1260" w:type="dxa"/>
            <w:hideMark/>
          </w:tcPr>
          <w:p w:rsidR="003F0A73" w:rsidRDefault="003F0A73">
            <w:pPr>
              <w:jc w:val="right"/>
              <w:rPr>
                <w:rFonts w:ascii="Arial" w:hAnsi="Arial" w:cs="Arial"/>
                <w:sz w:val="24"/>
                <w:szCs w:val="24"/>
              </w:rPr>
            </w:pPr>
            <w:r>
              <w:rPr>
                <w:rFonts w:ascii="Arial" w:hAnsi="Arial" w:cs="Arial"/>
                <w:sz w:val="24"/>
                <w:szCs w:val="24"/>
              </w:rPr>
              <w:t>-</w:t>
            </w:r>
          </w:p>
        </w:tc>
      </w:tr>
      <w:tr w:rsidR="003F0A73" w:rsidTr="003F0A73">
        <w:trPr>
          <w:trHeight w:val="270"/>
        </w:trPr>
        <w:tc>
          <w:tcPr>
            <w:tcW w:w="6310" w:type="dxa"/>
            <w:vAlign w:val="bottom"/>
            <w:hideMark/>
          </w:tcPr>
          <w:p w:rsidR="003F0A73" w:rsidRDefault="003F0A73">
            <w:pPr>
              <w:rPr>
                <w:rFonts w:ascii="Arial" w:hAnsi="Arial" w:cs="Arial"/>
                <w:sz w:val="24"/>
                <w:szCs w:val="24"/>
              </w:rPr>
            </w:pPr>
            <w:r>
              <w:rPr>
                <w:rFonts w:ascii="Arial" w:hAnsi="Arial" w:cs="Arial"/>
                <w:sz w:val="24"/>
                <w:szCs w:val="24"/>
              </w:rPr>
              <w:t>Acquisition of Bricostore Romania (including debt)</w:t>
            </w:r>
          </w:p>
        </w:tc>
        <w:tc>
          <w:tcPr>
            <w:tcW w:w="1260" w:type="dxa"/>
            <w:hideMark/>
          </w:tcPr>
          <w:p w:rsidR="003F0A73" w:rsidRDefault="003F0A73">
            <w:pPr>
              <w:jc w:val="right"/>
              <w:rPr>
                <w:rFonts w:ascii="Arial" w:hAnsi="Arial" w:cs="Arial"/>
                <w:b/>
                <w:sz w:val="24"/>
                <w:szCs w:val="24"/>
              </w:rPr>
            </w:pPr>
            <w:r>
              <w:rPr>
                <w:rFonts w:ascii="Arial" w:hAnsi="Arial" w:cs="Arial"/>
                <w:b/>
                <w:sz w:val="24"/>
                <w:szCs w:val="24"/>
              </w:rPr>
              <w:t>-</w:t>
            </w:r>
          </w:p>
        </w:tc>
        <w:tc>
          <w:tcPr>
            <w:tcW w:w="1260" w:type="dxa"/>
            <w:hideMark/>
          </w:tcPr>
          <w:p w:rsidR="003F0A73" w:rsidRDefault="003F0A73">
            <w:pPr>
              <w:jc w:val="right"/>
              <w:rPr>
                <w:rFonts w:ascii="Arial" w:hAnsi="Arial" w:cs="Arial"/>
                <w:sz w:val="24"/>
                <w:szCs w:val="24"/>
              </w:rPr>
            </w:pPr>
            <w:r>
              <w:rPr>
                <w:rFonts w:ascii="Arial" w:hAnsi="Arial" w:cs="Arial"/>
                <w:sz w:val="24"/>
                <w:szCs w:val="24"/>
              </w:rPr>
              <w:t>(63)</w:t>
            </w:r>
          </w:p>
        </w:tc>
      </w:tr>
      <w:tr w:rsidR="003F0A73" w:rsidTr="003F0A73">
        <w:trPr>
          <w:trHeight w:val="270"/>
        </w:trPr>
        <w:tc>
          <w:tcPr>
            <w:tcW w:w="6310" w:type="dxa"/>
            <w:tcBorders>
              <w:top w:val="nil"/>
              <w:left w:val="nil"/>
              <w:bottom w:val="single" w:sz="4" w:space="0" w:color="auto"/>
              <w:right w:val="nil"/>
            </w:tcBorders>
            <w:vAlign w:val="bottom"/>
            <w:hideMark/>
          </w:tcPr>
          <w:p w:rsidR="003F0A73" w:rsidRDefault="003F0A73">
            <w:pPr>
              <w:rPr>
                <w:rFonts w:ascii="Arial" w:hAnsi="Arial" w:cs="Arial"/>
                <w:sz w:val="24"/>
                <w:szCs w:val="24"/>
              </w:rPr>
            </w:pPr>
            <w:r>
              <w:rPr>
                <w:rFonts w:ascii="Arial" w:hAnsi="Arial" w:cs="Arial"/>
                <w:sz w:val="24"/>
                <w:szCs w:val="24"/>
              </w:rPr>
              <w:t>Other</w:t>
            </w:r>
            <w:r w:rsidR="00A5442E" w:rsidRPr="00C0194C">
              <w:rPr>
                <w:rFonts w:ascii="Arial" w:hAnsi="Arial" w:cs="Arial"/>
                <w:i/>
                <w:sz w:val="24"/>
                <w:szCs w:val="24"/>
                <w:vertAlign w:val="superscript"/>
              </w:rPr>
              <w:t>(</w:t>
            </w:r>
            <w:r w:rsidRPr="00C0194C">
              <w:rPr>
                <w:rFonts w:ascii="Arial" w:hAnsi="Arial" w:cs="Arial"/>
                <w:i/>
                <w:sz w:val="24"/>
                <w:szCs w:val="24"/>
                <w:vertAlign w:val="superscript"/>
              </w:rPr>
              <w:t>2</w:t>
            </w:r>
            <w:r w:rsidR="00A5442E" w:rsidRPr="00C0194C">
              <w:rPr>
                <w:rFonts w:ascii="Arial" w:hAnsi="Arial" w:cs="Arial"/>
                <w:i/>
                <w:sz w:val="24"/>
                <w:szCs w:val="24"/>
                <w:vertAlign w:val="superscript"/>
              </w:rPr>
              <w:t>)</w:t>
            </w:r>
          </w:p>
        </w:tc>
        <w:tc>
          <w:tcPr>
            <w:tcW w:w="1260" w:type="dxa"/>
            <w:tcBorders>
              <w:top w:val="nil"/>
              <w:left w:val="nil"/>
              <w:bottom w:val="single" w:sz="4" w:space="0" w:color="auto"/>
              <w:right w:val="nil"/>
            </w:tcBorders>
            <w:hideMark/>
          </w:tcPr>
          <w:p w:rsidR="003F0A73" w:rsidRDefault="00A5442E">
            <w:pPr>
              <w:jc w:val="right"/>
              <w:rPr>
                <w:rFonts w:ascii="Arial" w:hAnsi="Arial" w:cs="Arial"/>
                <w:b/>
                <w:sz w:val="24"/>
                <w:szCs w:val="24"/>
              </w:rPr>
            </w:pPr>
            <w:r>
              <w:rPr>
                <w:rFonts w:ascii="Arial" w:hAnsi="Arial" w:cs="Arial"/>
                <w:b/>
                <w:sz w:val="24"/>
                <w:szCs w:val="24"/>
              </w:rPr>
              <w:t>(2</w:t>
            </w:r>
            <w:r w:rsidR="003F0A73">
              <w:rPr>
                <w:rFonts w:ascii="Arial" w:hAnsi="Arial" w:cs="Arial"/>
                <w:b/>
                <w:sz w:val="24"/>
                <w:szCs w:val="24"/>
              </w:rPr>
              <w:t>)</w:t>
            </w:r>
          </w:p>
        </w:tc>
        <w:tc>
          <w:tcPr>
            <w:tcW w:w="1260" w:type="dxa"/>
            <w:tcBorders>
              <w:top w:val="nil"/>
              <w:left w:val="nil"/>
              <w:bottom w:val="single" w:sz="4" w:space="0" w:color="auto"/>
              <w:right w:val="nil"/>
            </w:tcBorders>
            <w:hideMark/>
          </w:tcPr>
          <w:p w:rsidR="003F0A73" w:rsidRDefault="003F0A73">
            <w:pPr>
              <w:jc w:val="right"/>
              <w:rPr>
                <w:rFonts w:ascii="Arial" w:hAnsi="Arial" w:cs="Arial"/>
                <w:sz w:val="24"/>
                <w:szCs w:val="24"/>
              </w:rPr>
            </w:pPr>
            <w:r>
              <w:rPr>
                <w:rFonts w:ascii="Arial" w:hAnsi="Arial" w:cs="Arial"/>
                <w:sz w:val="24"/>
                <w:szCs w:val="24"/>
              </w:rPr>
              <w:t>2</w:t>
            </w:r>
          </w:p>
        </w:tc>
      </w:tr>
      <w:tr w:rsidR="003F0A73" w:rsidTr="003F0A73">
        <w:trPr>
          <w:trHeight w:val="270"/>
        </w:trPr>
        <w:tc>
          <w:tcPr>
            <w:tcW w:w="6310" w:type="dxa"/>
            <w:tcBorders>
              <w:top w:val="single" w:sz="4" w:space="0" w:color="auto"/>
              <w:left w:val="nil"/>
              <w:bottom w:val="nil"/>
              <w:right w:val="nil"/>
            </w:tcBorders>
            <w:vAlign w:val="bottom"/>
            <w:hideMark/>
          </w:tcPr>
          <w:p w:rsidR="003F0A73" w:rsidRDefault="003F0A73">
            <w:pPr>
              <w:rPr>
                <w:rFonts w:ascii="Arial" w:hAnsi="Arial" w:cs="Arial"/>
                <w:b/>
                <w:sz w:val="24"/>
                <w:szCs w:val="24"/>
              </w:rPr>
            </w:pPr>
            <w:r>
              <w:rPr>
                <w:rFonts w:ascii="Arial" w:hAnsi="Arial" w:cs="Arial"/>
                <w:b/>
                <w:sz w:val="24"/>
                <w:szCs w:val="24"/>
              </w:rPr>
              <w:t>Net cash flow</w:t>
            </w:r>
          </w:p>
        </w:tc>
        <w:tc>
          <w:tcPr>
            <w:tcW w:w="1260" w:type="dxa"/>
            <w:tcBorders>
              <w:top w:val="single" w:sz="4" w:space="0" w:color="auto"/>
              <w:left w:val="nil"/>
              <w:bottom w:val="nil"/>
              <w:right w:val="nil"/>
            </w:tcBorders>
            <w:hideMark/>
          </w:tcPr>
          <w:p w:rsidR="003F0A73" w:rsidRDefault="003F0A73">
            <w:pPr>
              <w:jc w:val="right"/>
              <w:rPr>
                <w:rFonts w:ascii="Arial" w:hAnsi="Arial" w:cs="Arial"/>
                <w:b/>
                <w:sz w:val="24"/>
                <w:szCs w:val="24"/>
              </w:rPr>
            </w:pPr>
            <w:r>
              <w:rPr>
                <w:rFonts w:ascii="Arial" w:hAnsi="Arial" w:cs="Arial"/>
                <w:b/>
                <w:sz w:val="24"/>
                <w:szCs w:val="24"/>
              </w:rPr>
              <w:t>285</w:t>
            </w:r>
          </w:p>
        </w:tc>
        <w:tc>
          <w:tcPr>
            <w:tcW w:w="1260" w:type="dxa"/>
            <w:tcBorders>
              <w:top w:val="single" w:sz="4" w:space="0" w:color="auto"/>
              <w:left w:val="nil"/>
              <w:bottom w:val="nil"/>
              <w:right w:val="nil"/>
            </w:tcBorders>
            <w:hideMark/>
          </w:tcPr>
          <w:p w:rsidR="003F0A73" w:rsidRDefault="003F0A73">
            <w:pPr>
              <w:jc w:val="right"/>
              <w:rPr>
                <w:rFonts w:ascii="Arial" w:hAnsi="Arial" w:cs="Arial"/>
                <w:sz w:val="24"/>
                <w:szCs w:val="24"/>
              </w:rPr>
            </w:pPr>
            <w:r>
              <w:rPr>
                <w:rFonts w:ascii="Arial" w:hAnsi="Arial" w:cs="Arial"/>
                <w:sz w:val="24"/>
                <w:szCs w:val="24"/>
              </w:rPr>
              <w:t>224</w:t>
            </w:r>
          </w:p>
        </w:tc>
      </w:tr>
      <w:tr w:rsidR="003F0A73" w:rsidTr="003F0A73">
        <w:trPr>
          <w:trHeight w:val="270"/>
        </w:trPr>
        <w:tc>
          <w:tcPr>
            <w:tcW w:w="6310" w:type="dxa"/>
            <w:vAlign w:val="bottom"/>
            <w:hideMark/>
          </w:tcPr>
          <w:p w:rsidR="003F0A73" w:rsidRDefault="003F0A73">
            <w:pPr>
              <w:rPr>
                <w:rFonts w:ascii="Arial" w:hAnsi="Arial" w:cs="Arial"/>
                <w:sz w:val="24"/>
                <w:szCs w:val="24"/>
              </w:rPr>
            </w:pPr>
            <w:r>
              <w:rPr>
                <w:rFonts w:ascii="Arial" w:hAnsi="Arial" w:cs="Arial"/>
                <w:sz w:val="24"/>
                <w:szCs w:val="24"/>
              </w:rPr>
              <w:t>Opening net cash</w:t>
            </w:r>
          </w:p>
        </w:tc>
        <w:tc>
          <w:tcPr>
            <w:tcW w:w="1260" w:type="dxa"/>
            <w:hideMark/>
          </w:tcPr>
          <w:p w:rsidR="003F0A73" w:rsidRDefault="003F0A73">
            <w:pPr>
              <w:jc w:val="right"/>
              <w:rPr>
                <w:rFonts w:ascii="Arial" w:hAnsi="Arial" w:cs="Arial"/>
                <w:b/>
                <w:sz w:val="24"/>
                <w:szCs w:val="24"/>
              </w:rPr>
            </w:pPr>
            <w:r>
              <w:rPr>
                <w:rFonts w:ascii="Arial" w:hAnsi="Arial" w:cs="Arial"/>
                <w:b/>
                <w:sz w:val="24"/>
                <w:szCs w:val="24"/>
              </w:rPr>
              <w:t>238</w:t>
            </w:r>
          </w:p>
        </w:tc>
        <w:tc>
          <w:tcPr>
            <w:tcW w:w="1260" w:type="dxa"/>
            <w:hideMark/>
          </w:tcPr>
          <w:p w:rsidR="003F0A73" w:rsidRDefault="003F0A73">
            <w:pPr>
              <w:jc w:val="right"/>
              <w:rPr>
                <w:rFonts w:ascii="Arial" w:hAnsi="Arial" w:cs="Arial"/>
                <w:sz w:val="24"/>
                <w:szCs w:val="24"/>
              </w:rPr>
            </w:pPr>
            <w:r>
              <w:rPr>
                <w:rFonts w:ascii="Arial" w:hAnsi="Arial" w:cs="Arial"/>
                <w:sz w:val="24"/>
                <w:szCs w:val="24"/>
              </w:rPr>
              <w:t>38</w:t>
            </w:r>
          </w:p>
        </w:tc>
      </w:tr>
      <w:tr w:rsidR="003F0A73" w:rsidTr="003F0A73">
        <w:trPr>
          <w:trHeight w:val="270"/>
        </w:trPr>
        <w:tc>
          <w:tcPr>
            <w:tcW w:w="6310" w:type="dxa"/>
            <w:tcBorders>
              <w:top w:val="nil"/>
              <w:left w:val="nil"/>
              <w:bottom w:val="single" w:sz="4" w:space="0" w:color="auto"/>
              <w:right w:val="nil"/>
            </w:tcBorders>
            <w:vAlign w:val="bottom"/>
            <w:hideMark/>
          </w:tcPr>
          <w:p w:rsidR="003F0A73" w:rsidRDefault="003F0A73">
            <w:pPr>
              <w:rPr>
                <w:rFonts w:ascii="Arial" w:hAnsi="Arial" w:cs="Arial"/>
                <w:sz w:val="24"/>
                <w:szCs w:val="24"/>
              </w:rPr>
            </w:pPr>
            <w:r>
              <w:rPr>
                <w:rFonts w:ascii="Arial" w:hAnsi="Arial" w:cs="Arial"/>
                <w:sz w:val="24"/>
                <w:szCs w:val="24"/>
              </w:rPr>
              <w:t>Other movement including foreign exchange</w:t>
            </w:r>
          </w:p>
        </w:tc>
        <w:tc>
          <w:tcPr>
            <w:tcW w:w="1260" w:type="dxa"/>
            <w:tcBorders>
              <w:top w:val="nil"/>
              <w:left w:val="nil"/>
              <w:bottom w:val="single" w:sz="4" w:space="0" w:color="auto"/>
              <w:right w:val="nil"/>
            </w:tcBorders>
            <w:hideMark/>
          </w:tcPr>
          <w:p w:rsidR="003F0A73" w:rsidRDefault="003F0A73">
            <w:pPr>
              <w:jc w:val="right"/>
              <w:rPr>
                <w:rFonts w:ascii="Arial" w:hAnsi="Arial" w:cs="Arial"/>
                <w:b/>
                <w:sz w:val="24"/>
                <w:szCs w:val="24"/>
              </w:rPr>
            </w:pPr>
            <w:r>
              <w:rPr>
                <w:rFonts w:ascii="Arial" w:hAnsi="Arial" w:cs="Arial"/>
                <w:b/>
                <w:sz w:val="24"/>
                <w:szCs w:val="24"/>
              </w:rPr>
              <w:t>(27)</w:t>
            </w:r>
          </w:p>
        </w:tc>
        <w:tc>
          <w:tcPr>
            <w:tcW w:w="1260" w:type="dxa"/>
            <w:tcBorders>
              <w:top w:val="nil"/>
              <w:left w:val="nil"/>
              <w:bottom w:val="single" w:sz="4" w:space="0" w:color="auto"/>
              <w:right w:val="nil"/>
            </w:tcBorders>
            <w:hideMark/>
          </w:tcPr>
          <w:p w:rsidR="003F0A73" w:rsidRDefault="003F0A73">
            <w:pPr>
              <w:jc w:val="right"/>
              <w:rPr>
                <w:rFonts w:ascii="Arial" w:hAnsi="Arial" w:cs="Arial"/>
                <w:sz w:val="24"/>
                <w:szCs w:val="24"/>
              </w:rPr>
            </w:pPr>
            <w:r>
              <w:rPr>
                <w:rFonts w:ascii="Arial" w:hAnsi="Arial" w:cs="Arial"/>
                <w:sz w:val="24"/>
                <w:szCs w:val="24"/>
              </w:rPr>
              <w:t>(3)</w:t>
            </w:r>
          </w:p>
        </w:tc>
      </w:tr>
      <w:tr w:rsidR="003F0A73" w:rsidTr="003F0A73">
        <w:trPr>
          <w:trHeight w:val="270"/>
        </w:trPr>
        <w:tc>
          <w:tcPr>
            <w:tcW w:w="6310" w:type="dxa"/>
            <w:tcBorders>
              <w:top w:val="single" w:sz="4" w:space="0" w:color="auto"/>
              <w:left w:val="nil"/>
              <w:bottom w:val="single" w:sz="4" w:space="0" w:color="auto"/>
              <w:right w:val="nil"/>
            </w:tcBorders>
            <w:vAlign w:val="bottom"/>
            <w:hideMark/>
          </w:tcPr>
          <w:p w:rsidR="003F0A73" w:rsidRDefault="003F0A73">
            <w:pPr>
              <w:rPr>
                <w:rFonts w:ascii="Arial" w:hAnsi="Arial" w:cs="Arial"/>
                <w:b/>
                <w:sz w:val="24"/>
                <w:szCs w:val="24"/>
              </w:rPr>
            </w:pPr>
            <w:r>
              <w:rPr>
                <w:rFonts w:ascii="Arial" w:hAnsi="Arial" w:cs="Arial"/>
                <w:b/>
                <w:sz w:val="24"/>
                <w:szCs w:val="24"/>
              </w:rPr>
              <w:t>Closing net cash</w:t>
            </w:r>
          </w:p>
        </w:tc>
        <w:tc>
          <w:tcPr>
            <w:tcW w:w="1260" w:type="dxa"/>
            <w:tcBorders>
              <w:top w:val="single" w:sz="4" w:space="0" w:color="auto"/>
              <w:left w:val="nil"/>
              <w:bottom w:val="single" w:sz="4" w:space="0" w:color="auto"/>
              <w:right w:val="nil"/>
            </w:tcBorders>
            <w:hideMark/>
          </w:tcPr>
          <w:p w:rsidR="003F0A73" w:rsidRDefault="003F0A73">
            <w:pPr>
              <w:jc w:val="right"/>
              <w:rPr>
                <w:rFonts w:ascii="Arial" w:hAnsi="Arial" w:cs="Arial"/>
                <w:b/>
                <w:sz w:val="24"/>
                <w:szCs w:val="24"/>
              </w:rPr>
            </w:pPr>
            <w:r>
              <w:rPr>
                <w:rFonts w:ascii="Arial" w:hAnsi="Arial" w:cs="Arial"/>
                <w:b/>
                <w:sz w:val="24"/>
                <w:szCs w:val="24"/>
              </w:rPr>
              <w:t>496</w:t>
            </w:r>
          </w:p>
        </w:tc>
        <w:tc>
          <w:tcPr>
            <w:tcW w:w="1260" w:type="dxa"/>
            <w:tcBorders>
              <w:top w:val="single" w:sz="4" w:space="0" w:color="auto"/>
              <w:left w:val="nil"/>
              <w:bottom w:val="single" w:sz="4" w:space="0" w:color="auto"/>
              <w:right w:val="nil"/>
            </w:tcBorders>
            <w:hideMark/>
          </w:tcPr>
          <w:p w:rsidR="003F0A73" w:rsidRDefault="003F0A73">
            <w:pPr>
              <w:jc w:val="right"/>
              <w:rPr>
                <w:rFonts w:ascii="Arial" w:hAnsi="Arial" w:cs="Arial"/>
                <w:sz w:val="24"/>
                <w:szCs w:val="24"/>
              </w:rPr>
            </w:pPr>
            <w:r>
              <w:rPr>
                <w:rFonts w:ascii="Arial" w:hAnsi="Arial" w:cs="Arial"/>
                <w:sz w:val="24"/>
                <w:szCs w:val="24"/>
              </w:rPr>
              <w:t>259</w:t>
            </w:r>
          </w:p>
        </w:tc>
      </w:tr>
    </w:tbl>
    <w:p w:rsidR="003F0A73" w:rsidRDefault="003F0A73" w:rsidP="003F0A73">
      <w:pPr>
        <w:ind w:right="-368"/>
        <w:jc w:val="left"/>
        <w:rPr>
          <w:rFonts w:ascii="Arial" w:eastAsia="Times New Roman" w:hAnsi="Arial" w:cs="Arial"/>
          <w:sz w:val="24"/>
          <w:szCs w:val="24"/>
          <w:highlight w:val="yellow"/>
        </w:rPr>
      </w:pPr>
    </w:p>
    <w:p w:rsidR="003F0A73" w:rsidRDefault="003F0A73" w:rsidP="003F0A73">
      <w:pPr>
        <w:ind w:right="-368"/>
        <w:jc w:val="left"/>
        <w:rPr>
          <w:rFonts w:ascii="Arial" w:hAnsi="Arial" w:cs="Arial"/>
          <w:i/>
          <w:sz w:val="18"/>
          <w:szCs w:val="18"/>
        </w:rPr>
      </w:pPr>
      <w:r>
        <w:rPr>
          <w:rFonts w:ascii="Arial" w:hAnsi="Arial" w:cs="Arial"/>
          <w:i/>
          <w:sz w:val="18"/>
          <w:szCs w:val="18"/>
        </w:rPr>
        <w:t xml:space="preserve"> </w:t>
      </w:r>
      <w:r w:rsidR="00A5442E" w:rsidRPr="003E18CA">
        <w:rPr>
          <w:rFonts w:ascii="Arial" w:hAnsi="Arial" w:cs="Arial"/>
          <w:i/>
          <w:iCs/>
          <w:sz w:val="18"/>
          <w:szCs w:val="18"/>
          <w:vertAlign w:val="superscript"/>
        </w:rPr>
        <w:t>(1)</w:t>
      </w:r>
      <w:r w:rsidR="00A5442E">
        <w:rPr>
          <w:rFonts w:ascii="Arial" w:hAnsi="Arial" w:cs="Arial"/>
          <w:i/>
          <w:iCs/>
          <w:sz w:val="18"/>
          <w:szCs w:val="18"/>
        </w:rPr>
        <w:t xml:space="preserve"> </w:t>
      </w:r>
      <w:r>
        <w:rPr>
          <w:rFonts w:ascii="Arial" w:hAnsi="Arial" w:cs="Arial"/>
          <w:i/>
          <w:sz w:val="18"/>
          <w:szCs w:val="18"/>
        </w:rPr>
        <w:t>Includes depreciation and amortisation, share-based compensation charge, pre-exceptional non cash movement in pensions and provisions, share of post-tax results of JVs and associates and profit/loss on retail disposals.</w:t>
      </w:r>
    </w:p>
    <w:p w:rsidR="003F0A73" w:rsidRDefault="00A5442E" w:rsidP="003F0A73">
      <w:pPr>
        <w:ind w:right="-368"/>
        <w:jc w:val="left"/>
        <w:rPr>
          <w:rFonts w:ascii="Arial" w:hAnsi="Arial" w:cs="Arial"/>
          <w:i/>
          <w:sz w:val="18"/>
          <w:szCs w:val="18"/>
        </w:rPr>
      </w:pPr>
      <w:r>
        <w:rPr>
          <w:rFonts w:ascii="Arial" w:hAnsi="Arial" w:cs="Arial"/>
          <w:i/>
          <w:iCs/>
          <w:sz w:val="18"/>
          <w:szCs w:val="18"/>
          <w:vertAlign w:val="superscript"/>
        </w:rPr>
        <w:t>(2)</w:t>
      </w:r>
      <w:r w:rsidR="003F0A73">
        <w:rPr>
          <w:rFonts w:ascii="Arial" w:hAnsi="Arial" w:cs="Arial"/>
          <w:i/>
          <w:sz w:val="18"/>
          <w:szCs w:val="18"/>
        </w:rPr>
        <w:t xml:space="preserve"> Includes dividends received from JVs and associates, issue of shares and exceptional items (</w:t>
      </w:r>
      <w:r>
        <w:rPr>
          <w:rFonts w:ascii="Arial" w:hAnsi="Arial" w:cs="Arial"/>
          <w:i/>
          <w:sz w:val="18"/>
          <w:szCs w:val="18"/>
        </w:rPr>
        <w:t xml:space="preserve">excluding property disposals). </w:t>
      </w:r>
    </w:p>
    <w:p w:rsidR="00A5442E" w:rsidRPr="00C0194C" w:rsidRDefault="00A5442E" w:rsidP="003F0A73">
      <w:pPr>
        <w:ind w:right="-368"/>
        <w:jc w:val="left"/>
        <w:rPr>
          <w:rFonts w:ascii="Arial" w:hAnsi="Arial" w:cs="Arial"/>
          <w:i/>
          <w:sz w:val="18"/>
          <w:szCs w:val="18"/>
        </w:rPr>
      </w:pPr>
    </w:p>
    <w:p w:rsidR="003F0A73" w:rsidRDefault="003F0A73" w:rsidP="00C0194C">
      <w:pPr>
        <w:jc w:val="left"/>
        <w:rPr>
          <w:rFonts w:ascii="Arial" w:hAnsi="Arial" w:cs="Arial"/>
          <w:b/>
          <w:sz w:val="24"/>
          <w:szCs w:val="24"/>
        </w:rPr>
      </w:pPr>
      <w:r>
        <w:rPr>
          <w:rFonts w:ascii="Arial" w:hAnsi="Arial" w:cs="Arial"/>
          <w:b/>
          <w:sz w:val="24"/>
          <w:szCs w:val="24"/>
        </w:rPr>
        <w:t xml:space="preserve">Net cash </w:t>
      </w:r>
      <w:r>
        <w:rPr>
          <w:rFonts w:ascii="Arial" w:hAnsi="Arial" w:cs="Arial"/>
          <w:sz w:val="24"/>
          <w:szCs w:val="24"/>
        </w:rPr>
        <w:t>at the end of the period was £496 million (1 February 2014: £238 million; 3 August 2013: £259 million).</w:t>
      </w:r>
      <w:r w:rsidR="002917A3">
        <w:rPr>
          <w:rFonts w:ascii="Arial" w:hAnsi="Arial" w:cs="Arial"/>
          <w:sz w:val="24"/>
          <w:szCs w:val="24"/>
        </w:rPr>
        <w:t xml:space="preserve"> This balance includes funds set aside for the acquisition of Mr Bricolage. As previously announced the overall enterprise value is around €275 million. </w:t>
      </w:r>
    </w:p>
    <w:p w:rsidR="003F0A73" w:rsidRDefault="003F0A73" w:rsidP="00C0194C">
      <w:pPr>
        <w:jc w:val="left"/>
        <w:rPr>
          <w:rFonts w:ascii="Arial" w:hAnsi="Arial" w:cs="Arial"/>
          <w:b/>
          <w:sz w:val="24"/>
          <w:szCs w:val="24"/>
        </w:rPr>
      </w:pPr>
    </w:p>
    <w:p w:rsidR="003F0A73" w:rsidRDefault="003F0A73" w:rsidP="00C0194C">
      <w:pPr>
        <w:jc w:val="left"/>
        <w:rPr>
          <w:rFonts w:ascii="Arial" w:hAnsi="Arial" w:cs="Arial"/>
          <w:sz w:val="24"/>
          <w:szCs w:val="24"/>
        </w:rPr>
      </w:pPr>
      <w:r>
        <w:rPr>
          <w:rFonts w:ascii="Arial" w:hAnsi="Arial" w:cs="Arial"/>
          <w:b/>
          <w:sz w:val="24"/>
          <w:szCs w:val="24"/>
        </w:rPr>
        <w:t>Free cash flow</w:t>
      </w:r>
      <w:r>
        <w:rPr>
          <w:rFonts w:ascii="Arial" w:hAnsi="Arial" w:cs="Arial"/>
          <w:sz w:val="24"/>
          <w:szCs w:val="24"/>
        </w:rPr>
        <w:t xml:space="preserve"> of £383 million was generated in the period, a decrease of £52 million against the prior period due primarily to a lower reduction in working capital, which was partially offset by lower cap</w:t>
      </w:r>
      <w:r w:rsidR="00A5442E">
        <w:rPr>
          <w:rFonts w:ascii="Arial" w:hAnsi="Arial" w:cs="Arial"/>
          <w:sz w:val="24"/>
          <w:szCs w:val="24"/>
        </w:rPr>
        <w:t xml:space="preserve">ital </w:t>
      </w:r>
      <w:r>
        <w:rPr>
          <w:rFonts w:ascii="Arial" w:hAnsi="Arial" w:cs="Arial"/>
          <w:sz w:val="24"/>
          <w:szCs w:val="24"/>
        </w:rPr>
        <w:t>ex</w:t>
      </w:r>
      <w:r w:rsidR="00A5442E">
        <w:rPr>
          <w:rFonts w:ascii="Arial" w:hAnsi="Arial" w:cs="Arial"/>
          <w:sz w:val="24"/>
          <w:szCs w:val="24"/>
        </w:rPr>
        <w:t>penditure</w:t>
      </w:r>
      <w:r>
        <w:rPr>
          <w:rFonts w:ascii="Arial" w:hAnsi="Arial" w:cs="Arial"/>
          <w:sz w:val="24"/>
          <w:szCs w:val="24"/>
        </w:rPr>
        <w:t xml:space="preserve"> and higher receipts from the disposal of assets. The working capital movement was as a result of higher levels of stock at the period end due </w:t>
      </w:r>
      <w:r w:rsidR="00977CA2">
        <w:rPr>
          <w:rFonts w:ascii="Arial" w:hAnsi="Arial" w:cs="Arial"/>
          <w:sz w:val="24"/>
          <w:szCs w:val="24"/>
        </w:rPr>
        <w:t xml:space="preserve">principally </w:t>
      </w:r>
      <w:r>
        <w:rPr>
          <w:rFonts w:ascii="Arial" w:hAnsi="Arial" w:cs="Arial"/>
          <w:sz w:val="24"/>
          <w:szCs w:val="24"/>
        </w:rPr>
        <w:t>to different volumes of trading year on year around the period end.</w:t>
      </w:r>
      <w:r w:rsidR="00F44736">
        <w:rPr>
          <w:rFonts w:ascii="Arial" w:hAnsi="Arial" w:cs="Arial"/>
          <w:sz w:val="24"/>
          <w:szCs w:val="24"/>
        </w:rPr>
        <w:t xml:space="preserve"> This stock relates to current ranges and is therefore expected to sell through by the year end.</w:t>
      </w:r>
    </w:p>
    <w:p w:rsidR="003F0A73" w:rsidRDefault="003F0A73" w:rsidP="00C0194C">
      <w:pPr>
        <w:jc w:val="left"/>
        <w:rPr>
          <w:rFonts w:ascii="Arial" w:hAnsi="Arial" w:cs="Arial"/>
          <w:sz w:val="24"/>
          <w:szCs w:val="24"/>
        </w:rPr>
      </w:pPr>
    </w:p>
    <w:p w:rsidR="003F0A73" w:rsidRDefault="003F0A73" w:rsidP="00C0194C">
      <w:pPr>
        <w:jc w:val="left"/>
        <w:rPr>
          <w:rFonts w:ascii="Arial" w:hAnsi="Arial" w:cs="Arial"/>
          <w:sz w:val="24"/>
          <w:szCs w:val="24"/>
          <w:highlight w:val="yellow"/>
        </w:rPr>
      </w:pPr>
      <w:r>
        <w:rPr>
          <w:rFonts w:ascii="Arial" w:hAnsi="Arial" w:cs="Arial"/>
          <w:sz w:val="24"/>
          <w:szCs w:val="24"/>
        </w:rPr>
        <w:t xml:space="preserve">During the period free cash flow generated was </w:t>
      </w:r>
      <w:r w:rsidR="002917A3">
        <w:rPr>
          <w:rFonts w:ascii="Arial" w:hAnsi="Arial" w:cs="Arial"/>
          <w:sz w:val="24"/>
          <w:szCs w:val="24"/>
        </w:rPr>
        <w:t xml:space="preserve">partially </w:t>
      </w:r>
      <w:r>
        <w:rPr>
          <w:rFonts w:ascii="Arial" w:hAnsi="Arial" w:cs="Arial"/>
          <w:sz w:val="24"/>
          <w:szCs w:val="24"/>
        </w:rPr>
        <w:t>utilised by the ordinary and special dividend payments and share buybacks. The proceeds from the disposal of the Group’s shareholding in Hornbach AG have offset these additional outflows.</w:t>
      </w:r>
    </w:p>
    <w:p w:rsidR="003F0A73" w:rsidRDefault="003F0A73" w:rsidP="003F0A73">
      <w:pPr>
        <w:rPr>
          <w:rFonts w:ascii="Arial" w:hAnsi="Arial" w:cs="Arial"/>
          <w:sz w:val="24"/>
          <w:szCs w:val="24"/>
        </w:rPr>
      </w:pPr>
    </w:p>
    <w:p w:rsidR="006D455C" w:rsidRDefault="006D455C">
      <w:pPr>
        <w:jc w:val="left"/>
        <w:rPr>
          <w:rFonts w:ascii="Arial" w:hAnsi="Arial" w:cs="Arial"/>
          <w:b/>
          <w:sz w:val="24"/>
          <w:szCs w:val="24"/>
        </w:rPr>
      </w:pPr>
      <w:r>
        <w:rPr>
          <w:rFonts w:ascii="Arial" w:hAnsi="Arial" w:cs="Arial"/>
          <w:b/>
          <w:sz w:val="24"/>
          <w:szCs w:val="24"/>
        </w:rPr>
        <w:br w:type="page"/>
      </w:r>
    </w:p>
    <w:p w:rsidR="003F0A73" w:rsidRDefault="003F0A73" w:rsidP="003F0A73">
      <w:pPr>
        <w:rPr>
          <w:rFonts w:ascii="Arial" w:hAnsi="Arial" w:cs="Arial"/>
          <w:b/>
          <w:sz w:val="24"/>
          <w:szCs w:val="24"/>
        </w:rPr>
      </w:pPr>
      <w:r>
        <w:rPr>
          <w:rFonts w:ascii="Arial" w:hAnsi="Arial" w:cs="Arial"/>
          <w:b/>
          <w:sz w:val="24"/>
          <w:szCs w:val="24"/>
        </w:rPr>
        <w:lastRenderedPageBreak/>
        <w:t>Management of balance sheet and liquidity risk and financing</w:t>
      </w:r>
    </w:p>
    <w:p w:rsidR="003F0A73" w:rsidRDefault="003F0A73" w:rsidP="003F0A73">
      <w:pPr>
        <w:rPr>
          <w:rFonts w:ascii="Arial" w:hAnsi="Arial" w:cs="Arial"/>
          <w:sz w:val="24"/>
          <w:szCs w:val="24"/>
        </w:rPr>
      </w:pPr>
    </w:p>
    <w:p w:rsidR="003F0A73" w:rsidRDefault="003F0A73" w:rsidP="003F0A73">
      <w:pPr>
        <w:ind w:right="-368"/>
        <w:jc w:val="left"/>
        <w:rPr>
          <w:rFonts w:ascii="Arial" w:hAnsi="Arial" w:cs="Arial"/>
          <w:sz w:val="24"/>
          <w:szCs w:val="24"/>
        </w:rPr>
      </w:pPr>
      <w:r>
        <w:rPr>
          <w:rFonts w:ascii="Arial" w:hAnsi="Arial" w:cs="Arial"/>
          <w:sz w:val="24"/>
          <w:szCs w:val="24"/>
        </w:rPr>
        <w:t>The Group finished the period with £496 million of net cash on the balance sheet. However the Group’s overall leverage is more significant when including capitalised lease debt that in accordance with accounting standards does no</w:t>
      </w:r>
      <w:r w:rsidR="00A5442E">
        <w:rPr>
          <w:rFonts w:ascii="Arial" w:hAnsi="Arial" w:cs="Arial"/>
          <w:sz w:val="24"/>
          <w:szCs w:val="24"/>
        </w:rPr>
        <w:t xml:space="preserve">t appear on the balance sheet. </w:t>
      </w:r>
      <w:r>
        <w:rPr>
          <w:rFonts w:ascii="Arial" w:hAnsi="Arial" w:cs="Arial"/>
          <w:sz w:val="24"/>
          <w:szCs w:val="24"/>
        </w:rPr>
        <w:t>The ratio of the Group’s lease adjusted net debt (capitalising leases at 8 times annual rent) to EBITDAR</w:t>
      </w:r>
      <w:r w:rsidR="00EA3362">
        <w:rPr>
          <w:rFonts w:ascii="Arial" w:hAnsi="Arial" w:cs="Arial"/>
          <w:sz w:val="24"/>
          <w:szCs w:val="24"/>
        </w:rPr>
        <w:t>*</w:t>
      </w:r>
      <w:r>
        <w:rPr>
          <w:rFonts w:ascii="Arial" w:hAnsi="Arial" w:cs="Arial"/>
          <w:sz w:val="24"/>
          <w:szCs w:val="24"/>
        </w:rPr>
        <w:t xml:space="preserve"> on a moving annual total basis is 2.1 times as at 2 August 2014. At this level the Group has financial flexibility whilst retaining an efficient cost of capital.</w:t>
      </w:r>
    </w:p>
    <w:p w:rsidR="003F0A73" w:rsidRDefault="003F0A73" w:rsidP="003F0A73">
      <w:pPr>
        <w:ind w:right="-368"/>
        <w:jc w:val="left"/>
        <w:rPr>
          <w:rFonts w:ascii="Arial" w:hAnsi="Arial" w:cs="Arial"/>
          <w:sz w:val="24"/>
          <w:szCs w:val="24"/>
          <w:highlight w:val="yellow"/>
        </w:rPr>
      </w:pPr>
    </w:p>
    <w:p w:rsidR="003F0A73" w:rsidRDefault="003F0A73" w:rsidP="003F0A73">
      <w:pPr>
        <w:ind w:right="-368"/>
        <w:jc w:val="left"/>
        <w:rPr>
          <w:rFonts w:ascii="Arial" w:hAnsi="Arial" w:cs="Arial"/>
          <w:sz w:val="24"/>
          <w:szCs w:val="24"/>
        </w:rPr>
      </w:pPr>
      <w:r>
        <w:rPr>
          <w:rFonts w:ascii="Arial" w:hAnsi="Arial" w:cs="Arial"/>
          <w:sz w:val="24"/>
          <w:szCs w:val="24"/>
        </w:rPr>
        <w:t>A reconciliation of lease adjusted net debt to EBITDAR is set out below:</w:t>
      </w:r>
    </w:p>
    <w:p w:rsidR="003F0A73" w:rsidRDefault="003F0A73" w:rsidP="003F0A73">
      <w:pPr>
        <w:ind w:right="-368"/>
        <w:jc w:val="left"/>
        <w:rPr>
          <w:rFonts w:ascii="Arial" w:hAnsi="Arial" w:cs="Arial"/>
          <w:sz w:val="24"/>
          <w:szCs w:val="24"/>
          <w:highlight w:val="yellow"/>
        </w:rPr>
      </w:pPr>
    </w:p>
    <w:tbl>
      <w:tblPr>
        <w:tblW w:w="8832" w:type="dxa"/>
        <w:tblInd w:w="98" w:type="dxa"/>
        <w:tblLayout w:type="fixed"/>
        <w:tblLook w:val="04A0" w:firstRow="1" w:lastRow="0" w:firstColumn="1" w:lastColumn="0" w:noHBand="0" w:noVBand="1"/>
      </w:tblPr>
      <w:tblGrid>
        <w:gridCol w:w="4722"/>
        <w:gridCol w:w="2551"/>
        <w:gridCol w:w="1559"/>
      </w:tblGrid>
      <w:tr w:rsidR="003F0A73" w:rsidTr="00C0194C">
        <w:trPr>
          <w:trHeight w:val="555"/>
        </w:trPr>
        <w:tc>
          <w:tcPr>
            <w:tcW w:w="4722" w:type="dxa"/>
            <w:vAlign w:val="bottom"/>
          </w:tcPr>
          <w:p w:rsidR="003F0A73" w:rsidRDefault="003F0A73">
            <w:pPr>
              <w:jc w:val="left"/>
              <w:rPr>
                <w:rFonts w:ascii="Arial" w:hAnsi="Arial" w:cs="Arial"/>
                <w:bCs/>
                <w:sz w:val="24"/>
                <w:szCs w:val="24"/>
                <w:highlight w:val="yellow"/>
              </w:rPr>
            </w:pPr>
          </w:p>
        </w:tc>
        <w:tc>
          <w:tcPr>
            <w:tcW w:w="2551" w:type="dxa"/>
            <w:vAlign w:val="bottom"/>
            <w:hideMark/>
          </w:tcPr>
          <w:p w:rsidR="003F0A73" w:rsidRDefault="003F0A73">
            <w:pPr>
              <w:jc w:val="right"/>
              <w:rPr>
                <w:rFonts w:ascii="Arial" w:hAnsi="Arial" w:cs="Arial"/>
                <w:b/>
                <w:bCs/>
                <w:sz w:val="24"/>
                <w:szCs w:val="24"/>
              </w:rPr>
            </w:pPr>
            <w:r>
              <w:rPr>
                <w:rFonts w:ascii="Arial" w:hAnsi="Arial" w:cs="Arial"/>
                <w:b/>
                <w:bCs/>
                <w:sz w:val="24"/>
                <w:szCs w:val="24"/>
              </w:rPr>
              <w:t>2014/15</w:t>
            </w:r>
          </w:p>
          <w:p w:rsidR="001E3C55" w:rsidRDefault="001E3C55">
            <w:pPr>
              <w:jc w:val="right"/>
              <w:rPr>
                <w:rFonts w:ascii="Arial" w:hAnsi="Arial" w:cs="Arial"/>
                <w:b/>
                <w:bCs/>
                <w:sz w:val="24"/>
                <w:szCs w:val="24"/>
              </w:rPr>
            </w:pPr>
            <w:r>
              <w:rPr>
                <w:rFonts w:ascii="Arial" w:hAnsi="Arial" w:cs="Arial"/>
                <w:b/>
                <w:bCs/>
                <w:sz w:val="24"/>
                <w:szCs w:val="24"/>
              </w:rPr>
              <w:t>Moving annual total</w:t>
            </w:r>
          </w:p>
          <w:p w:rsidR="003F0A73" w:rsidRDefault="003F0A73">
            <w:pPr>
              <w:jc w:val="right"/>
              <w:rPr>
                <w:rFonts w:ascii="Arial" w:hAnsi="Arial" w:cs="Arial"/>
                <w:b/>
                <w:bCs/>
                <w:sz w:val="24"/>
                <w:szCs w:val="24"/>
                <w:highlight w:val="yellow"/>
              </w:rPr>
            </w:pPr>
            <w:r>
              <w:rPr>
                <w:rFonts w:ascii="Arial" w:hAnsi="Arial" w:cs="Arial"/>
                <w:b/>
                <w:bCs/>
                <w:sz w:val="24"/>
                <w:szCs w:val="24"/>
              </w:rPr>
              <w:t>£m</w:t>
            </w:r>
          </w:p>
        </w:tc>
        <w:tc>
          <w:tcPr>
            <w:tcW w:w="1559" w:type="dxa"/>
            <w:vAlign w:val="bottom"/>
            <w:hideMark/>
          </w:tcPr>
          <w:p w:rsidR="003F0A73" w:rsidRDefault="001E3C55">
            <w:pPr>
              <w:jc w:val="right"/>
              <w:rPr>
                <w:rFonts w:ascii="Arial" w:hAnsi="Arial" w:cs="Arial"/>
                <w:bCs/>
                <w:sz w:val="24"/>
                <w:szCs w:val="24"/>
              </w:rPr>
            </w:pPr>
            <w:r>
              <w:rPr>
                <w:rFonts w:ascii="Arial" w:hAnsi="Arial" w:cs="Arial"/>
                <w:bCs/>
                <w:sz w:val="24"/>
                <w:szCs w:val="24"/>
              </w:rPr>
              <w:t>2</w:t>
            </w:r>
            <w:r w:rsidR="003F0A73">
              <w:rPr>
                <w:rFonts w:ascii="Arial" w:hAnsi="Arial" w:cs="Arial"/>
                <w:bCs/>
                <w:sz w:val="24"/>
                <w:szCs w:val="24"/>
              </w:rPr>
              <w:t>013/14</w:t>
            </w:r>
            <w:r>
              <w:rPr>
                <w:rFonts w:ascii="Arial" w:hAnsi="Arial" w:cs="Arial"/>
                <w:bCs/>
                <w:sz w:val="24"/>
                <w:szCs w:val="24"/>
              </w:rPr>
              <w:t xml:space="preserve"> Year end</w:t>
            </w:r>
            <w:r w:rsidRPr="00C0194C">
              <w:rPr>
                <w:rFonts w:ascii="Arial" w:hAnsi="Arial" w:cs="Arial"/>
                <w:bCs/>
                <w:i/>
                <w:sz w:val="24"/>
                <w:szCs w:val="24"/>
                <w:vertAlign w:val="superscript"/>
              </w:rPr>
              <w:t>(1)</w:t>
            </w:r>
          </w:p>
          <w:p w:rsidR="003F0A73" w:rsidRDefault="003F0A73">
            <w:pPr>
              <w:jc w:val="right"/>
              <w:rPr>
                <w:rFonts w:ascii="Arial" w:hAnsi="Arial" w:cs="Arial"/>
                <w:bCs/>
                <w:sz w:val="24"/>
                <w:szCs w:val="24"/>
                <w:highlight w:val="yellow"/>
              </w:rPr>
            </w:pPr>
            <w:r>
              <w:rPr>
                <w:rFonts w:ascii="Arial" w:hAnsi="Arial" w:cs="Arial"/>
                <w:bCs/>
                <w:sz w:val="24"/>
                <w:szCs w:val="24"/>
              </w:rPr>
              <w:t>£m</w:t>
            </w:r>
          </w:p>
        </w:tc>
      </w:tr>
      <w:tr w:rsidR="003F0A73" w:rsidTr="00C0194C">
        <w:trPr>
          <w:trHeight w:val="255"/>
        </w:trPr>
        <w:tc>
          <w:tcPr>
            <w:tcW w:w="4722" w:type="dxa"/>
            <w:tcBorders>
              <w:top w:val="single" w:sz="4" w:space="0" w:color="auto"/>
              <w:left w:val="nil"/>
              <w:bottom w:val="nil"/>
              <w:right w:val="nil"/>
            </w:tcBorders>
            <w:vAlign w:val="bottom"/>
            <w:hideMark/>
          </w:tcPr>
          <w:p w:rsidR="003F0A73" w:rsidRDefault="00A5442E">
            <w:pPr>
              <w:rPr>
                <w:rFonts w:ascii="Arial" w:hAnsi="Arial" w:cs="Arial"/>
                <w:sz w:val="24"/>
                <w:szCs w:val="24"/>
              </w:rPr>
            </w:pPr>
            <w:r>
              <w:rPr>
                <w:rFonts w:ascii="Arial" w:hAnsi="Arial" w:cs="Arial"/>
                <w:sz w:val="24"/>
                <w:szCs w:val="24"/>
              </w:rPr>
              <w:t>EBITDA*</w:t>
            </w:r>
          </w:p>
        </w:tc>
        <w:tc>
          <w:tcPr>
            <w:tcW w:w="2551" w:type="dxa"/>
            <w:tcBorders>
              <w:top w:val="single" w:sz="4" w:space="0" w:color="auto"/>
              <w:left w:val="nil"/>
              <w:bottom w:val="nil"/>
              <w:right w:val="nil"/>
            </w:tcBorders>
            <w:hideMark/>
          </w:tcPr>
          <w:p w:rsidR="003F0A73" w:rsidRDefault="003F0A73">
            <w:pPr>
              <w:jc w:val="right"/>
              <w:rPr>
                <w:rFonts w:ascii="Arial" w:hAnsi="Arial" w:cs="Arial"/>
                <w:sz w:val="24"/>
                <w:szCs w:val="24"/>
                <w:highlight w:val="yellow"/>
              </w:rPr>
            </w:pPr>
            <w:r>
              <w:rPr>
                <w:rFonts w:ascii="Arial" w:hAnsi="Arial" w:cs="Arial"/>
                <w:b/>
                <w:sz w:val="24"/>
                <w:szCs w:val="24"/>
              </w:rPr>
              <w:t>1,001</w:t>
            </w:r>
          </w:p>
        </w:tc>
        <w:tc>
          <w:tcPr>
            <w:tcW w:w="1559" w:type="dxa"/>
            <w:tcBorders>
              <w:top w:val="single" w:sz="4" w:space="0" w:color="auto"/>
              <w:left w:val="nil"/>
              <w:bottom w:val="nil"/>
              <w:right w:val="nil"/>
            </w:tcBorders>
            <w:hideMark/>
          </w:tcPr>
          <w:p w:rsidR="003F0A73" w:rsidRDefault="001E3C55">
            <w:pPr>
              <w:jc w:val="right"/>
              <w:rPr>
                <w:rFonts w:ascii="Arial" w:hAnsi="Arial" w:cs="Arial"/>
                <w:sz w:val="24"/>
                <w:szCs w:val="24"/>
              </w:rPr>
            </w:pPr>
            <w:r>
              <w:rPr>
                <w:rFonts w:ascii="Arial" w:hAnsi="Arial" w:cs="Arial"/>
                <w:sz w:val="24"/>
                <w:szCs w:val="24"/>
              </w:rPr>
              <w:t>99</w:t>
            </w:r>
            <w:r w:rsidR="003F0A73">
              <w:rPr>
                <w:rFonts w:ascii="Arial" w:hAnsi="Arial" w:cs="Arial"/>
                <w:sz w:val="24"/>
                <w:szCs w:val="24"/>
              </w:rPr>
              <w:t>8</w:t>
            </w:r>
          </w:p>
        </w:tc>
      </w:tr>
      <w:tr w:rsidR="003F0A73" w:rsidTr="00C0194C">
        <w:trPr>
          <w:trHeight w:val="255"/>
        </w:trPr>
        <w:tc>
          <w:tcPr>
            <w:tcW w:w="4722" w:type="dxa"/>
            <w:tcBorders>
              <w:top w:val="nil"/>
              <w:left w:val="nil"/>
              <w:bottom w:val="single" w:sz="4" w:space="0" w:color="auto"/>
              <w:right w:val="nil"/>
            </w:tcBorders>
            <w:vAlign w:val="bottom"/>
            <w:hideMark/>
          </w:tcPr>
          <w:p w:rsidR="003F0A73" w:rsidRDefault="003F0A73">
            <w:pPr>
              <w:rPr>
                <w:rFonts w:ascii="Arial" w:hAnsi="Arial" w:cs="Arial"/>
                <w:sz w:val="24"/>
                <w:szCs w:val="24"/>
              </w:rPr>
            </w:pPr>
            <w:r>
              <w:rPr>
                <w:rFonts w:ascii="Arial" w:hAnsi="Arial" w:cs="Arial"/>
                <w:sz w:val="24"/>
                <w:szCs w:val="24"/>
              </w:rPr>
              <w:t>Property operating lease rentals</w:t>
            </w:r>
          </w:p>
        </w:tc>
        <w:tc>
          <w:tcPr>
            <w:tcW w:w="2551" w:type="dxa"/>
            <w:tcBorders>
              <w:top w:val="nil"/>
              <w:left w:val="nil"/>
              <w:bottom w:val="single" w:sz="4" w:space="0" w:color="auto"/>
              <w:right w:val="nil"/>
            </w:tcBorders>
            <w:hideMark/>
          </w:tcPr>
          <w:p w:rsidR="003F0A73" w:rsidRDefault="003F0A73">
            <w:pPr>
              <w:jc w:val="right"/>
              <w:rPr>
                <w:rFonts w:ascii="Arial" w:hAnsi="Arial" w:cs="Arial"/>
                <w:b/>
                <w:sz w:val="24"/>
                <w:szCs w:val="24"/>
                <w:highlight w:val="yellow"/>
              </w:rPr>
            </w:pPr>
            <w:r>
              <w:rPr>
                <w:rFonts w:ascii="Arial" w:hAnsi="Arial" w:cs="Arial"/>
                <w:b/>
                <w:sz w:val="24"/>
                <w:szCs w:val="24"/>
              </w:rPr>
              <w:t>441</w:t>
            </w:r>
          </w:p>
        </w:tc>
        <w:tc>
          <w:tcPr>
            <w:tcW w:w="1559" w:type="dxa"/>
            <w:tcBorders>
              <w:top w:val="nil"/>
              <w:left w:val="nil"/>
              <w:bottom w:val="single" w:sz="4" w:space="0" w:color="auto"/>
              <w:right w:val="nil"/>
            </w:tcBorders>
            <w:hideMark/>
          </w:tcPr>
          <w:p w:rsidR="003F0A73" w:rsidRDefault="001E3C55">
            <w:pPr>
              <w:jc w:val="right"/>
              <w:rPr>
                <w:rFonts w:ascii="Arial" w:hAnsi="Arial" w:cs="Arial"/>
                <w:sz w:val="24"/>
                <w:szCs w:val="24"/>
              </w:rPr>
            </w:pPr>
            <w:r>
              <w:rPr>
                <w:rFonts w:ascii="Arial" w:hAnsi="Arial" w:cs="Arial"/>
                <w:sz w:val="24"/>
                <w:szCs w:val="24"/>
              </w:rPr>
              <w:t>440</w:t>
            </w:r>
          </w:p>
        </w:tc>
      </w:tr>
      <w:tr w:rsidR="003F0A73" w:rsidTr="00C0194C">
        <w:trPr>
          <w:trHeight w:val="255"/>
        </w:trPr>
        <w:tc>
          <w:tcPr>
            <w:tcW w:w="4722" w:type="dxa"/>
            <w:tcBorders>
              <w:top w:val="single" w:sz="4" w:space="0" w:color="auto"/>
              <w:left w:val="nil"/>
              <w:bottom w:val="single" w:sz="4" w:space="0" w:color="auto"/>
              <w:right w:val="nil"/>
            </w:tcBorders>
            <w:vAlign w:val="bottom"/>
            <w:hideMark/>
          </w:tcPr>
          <w:p w:rsidR="003F0A73" w:rsidRDefault="001E3C55">
            <w:pPr>
              <w:rPr>
                <w:rFonts w:ascii="Arial" w:hAnsi="Arial" w:cs="Arial"/>
                <w:b/>
                <w:sz w:val="24"/>
                <w:szCs w:val="24"/>
              </w:rPr>
            </w:pPr>
            <w:r>
              <w:rPr>
                <w:rFonts w:ascii="Arial" w:hAnsi="Arial" w:cs="Arial"/>
                <w:b/>
                <w:sz w:val="24"/>
                <w:szCs w:val="24"/>
              </w:rPr>
              <w:t>EBITDAR</w:t>
            </w:r>
          </w:p>
        </w:tc>
        <w:tc>
          <w:tcPr>
            <w:tcW w:w="2551" w:type="dxa"/>
            <w:tcBorders>
              <w:top w:val="single" w:sz="4" w:space="0" w:color="auto"/>
              <w:left w:val="nil"/>
              <w:bottom w:val="single" w:sz="4" w:space="0" w:color="auto"/>
              <w:right w:val="nil"/>
            </w:tcBorders>
            <w:hideMark/>
          </w:tcPr>
          <w:p w:rsidR="003F0A73" w:rsidRDefault="003F0A73">
            <w:pPr>
              <w:jc w:val="right"/>
              <w:rPr>
                <w:rFonts w:ascii="Arial" w:hAnsi="Arial" w:cs="Arial"/>
                <w:b/>
                <w:sz w:val="24"/>
                <w:szCs w:val="24"/>
                <w:highlight w:val="yellow"/>
              </w:rPr>
            </w:pPr>
            <w:r>
              <w:rPr>
                <w:rFonts w:ascii="Arial" w:hAnsi="Arial" w:cs="Arial"/>
                <w:b/>
                <w:sz w:val="24"/>
                <w:szCs w:val="24"/>
              </w:rPr>
              <w:t>1,442</w:t>
            </w:r>
          </w:p>
        </w:tc>
        <w:tc>
          <w:tcPr>
            <w:tcW w:w="1559" w:type="dxa"/>
            <w:tcBorders>
              <w:top w:val="single" w:sz="4" w:space="0" w:color="auto"/>
              <w:left w:val="nil"/>
              <w:bottom w:val="single" w:sz="4" w:space="0" w:color="auto"/>
              <w:right w:val="nil"/>
            </w:tcBorders>
            <w:hideMark/>
          </w:tcPr>
          <w:p w:rsidR="003F0A73" w:rsidRDefault="001E3C55">
            <w:pPr>
              <w:jc w:val="right"/>
              <w:rPr>
                <w:rFonts w:ascii="Arial" w:hAnsi="Arial" w:cs="Arial"/>
                <w:sz w:val="24"/>
                <w:szCs w:val="24"/>
              </w:rPr>
            </w:pPr>
            <w:r>
              <w:rPr>
                <w:rFonts w:ascii="Arial" w:hAnsi="Arial" w:cs="Arial"/>
                <w:sz w:val="24"/>
                <w:szCs w:val="24"/>
              </w:rPr>
              <w:t>1,438</w:t>
            </w:r>
          </w:p>
        </w:tc>
      </w:tr>
      <w:tr w:rsidR="003F0A73" w:rsidTr="00C0194C">
        <w:trPr>
          <w:trHeight w:val="311"/>
        </w:trPr>
        <w:tc>
          <w:tcPr>
            <w:tcW w:w="4722" w:type="dxa"/>
            <w:tcBorders>
              <w:top w:val="single" w:sz="4" w:space="0" w:color="auto"/>
              <w:left w:val="nil"/>
              <w:bottom w:val="nil"/>
              <w:right w:val="nil"/>
            </w:tcBorders>
            <w:vAlign w:val="bottom"/>
            <w:hideMark/>
          </w:tcPr>
          <w:p w:rsidR="003F0A73" w:rsidRDefault="001E3C55">
            <w:pPr>
              <w:rPr>
                <w:rFonts w:ascii="Arial" w:hAnsi="Arial" w:cs="Arial"/>
                <w:sz w:val="24"/>
                <w:szCs w:val="24"/>
              </w:rPr>
            </w:pPr>
            <w:r>
              <w:rPr>
                <w:rFonts w:ascii="Arial" w:hAnsi="Arial" w:cs="Arial"/>
                <w:sz w:val="24"/>
                <w:szCs w:val="24"/>
              </w:rPr>
              <w:t>Financial net cash</w:t>
            </w:r>
          </w:p>
        </w:tc>
        <w:tc>
          <w:tcPr>
            <w:tcW w:w="2551" w:type="dxa"/>
            <w:tcBorders>
              <w:top w:val="single" w:sz="4" w:space="0" w:color="auto"/>
              <w:left w:val="nil"/>
              <w:bottom w:val="nil"/>
              <w:right w:val="nil"/>
            </w:tcBorders>
            <w:hideMark/>
          </w:tcPr>
          <w:p w:rsidR="003F0A73" w:rsidRDefault="003F0A73">
            <w:pPr>
              <w:jc w:val="right"/>
              <w:rPr>
                <w:rFonts w:ascii="Arial" w:hAnsi="Arial" w:cs="Arial"/>
                <w:b/>
                <w:sz w:val="24"/>
                <w:szCs w:val="24"/>
                <w:highlight w:val="yellow"/>
              </w:rPr>
            </w:pPr>
            <w:r>
              <w:rPr>
                <w:rFonts w:ascii="Arial" w:hAnsi="Arial" w:cs="Arial"/>
                <w:b/>
                <w:sz w:val="24"/>
                <w:szCs w:val="24"/>
              </w:rPr>
              <w:t>(496)</w:t>
            </w:r>
          </w:p>
        </w:tc>
        <w:tc>
          <w:tcPr>
            <w:tcW w:w="1559" w:type="dxa"/>
            <w:tcBorders>
              <w:top w:val="single" w:sz="4" w:space="0" w:color="auto"/>
              <w:left w:val="nil"/>
              <w:bottom w:val="nil"/>
              <w:right w:val="nil"/>
            </w:tcBorders>
            <w:hideMark/>
          </w:tcPr>
          <w:p w:rsidR="003F0A73" w:rsidRDefault="001E3C55">
            <w:pPr>
              <w:jc w:val="right"/>
              <w:rPr>
                <w:rFonts w:ascii="Arial" w:hAnsi="Arial" w:cs="Arial"/>
                <w:sz w:val="24"/>
                <w:szCs w:val="24"/>
              </w:rPr>
            </w:pPr>
            <w:r>
              <w:rPr>
                <w:rFonts w:ascii="Arial" w:hAnsi="Arial" w:cs="Arial"/>
                <w:sz w:val="24"/>
                <w:szCs w:val="24"/>
              </w:rPr>
              <w:t>(238</w:t>
            </w:r>
            <w:r w:rsidR="003F0A73">
              <w:rPr>
                <w:rFonts w:ascii="Arial" w:hAnsi="Arial" w:cs="Arial"/>
                <w:sz w:val="24"/>
                <w:szCs w:val="24"/>
              </w:rPr>
              <w:t>)</w:t>
            </w:r>
          </w:p>
        </w:tc>
      </w:tr>
      <w:tr w:rsidR="003F0A73" w:rsidTr="00C0194C">
        <w:trPr>
          <w:trHeight w:val="270"/>
        </w:trPr>
        <w:tc>
          <w:tcPr>
            <w:tcW w:w="4722" w:type="dxa"/>
            <w:vAlign w:val="bottom"/>
            <w:hideMark/>
          </w:tcPr>
          <w:p w:rsidR="003F0A73" w:rsidRDefault="003F0A73">
            <w:pPr>
              <w:rPr>
                <w:rFonts w:ascii="Arial" w:hAnsi="Arial" w:cs="Arial"/>
                <w:sz w:val="24"/>
                <w:szCs w:val="24"/>
              </w:rPr>
            </w:pPr>
            <w:r>
              <w:rPr>
                <w:rFonts w:ascii="Arial" w:hAnsi="Arial" w:cs="Arial"/>
                <w:sz w:val="24"/>
                <w:szCs w:val="24"/>
              </w:rPr>
              <w:t xml:space="preserve">Pension </w:t>
            </w:r>
            <w:r w:rsidR="000C5A3B">
              <w:rPr>
                <w:rFonts w:ascii="Arial" w:hAnsi="Arial" w:cs="Arial"/>
                <w:sz w:val="24"/>
                <w:szCs w:val="24"/>
              </w:rPr>
              <w:t>deficit</w:t>
            </w:r>
          </w:p>
        </w:tc>
        <w:tc>
          <w:tcPr>
            <w:tcW w:w="2551" w:type="dxa"/>
            <w:hideMark/>
          </w:tcPr>
          <w:p w:rsidR="003F0A73" w:rsidRDefault="003F0A73">
            <w:pPr>
              <w:jc w:val="right"/>
              <w:rPr>
                <w:rFonts w:ascii="Arial" w:hAnsi="Arial" w:cs="Arial"/>
                <w:b/>
                <w:sz w:val="24"/>
                <w:szCs w:val="24"/>
                <w:highlight w:val="yellow"/>
              </w:rPr>
            </w:pPr>
            <w:r>
              <w:rPr>
                <w:rFonts w:ascii="Arial" w:hAnsi="Arial" w:cs="Arial"/>
                <w:b/>
                <w:sz w:val="24"/>
                <w:szCs w:val="24"/>
              </w:rPr>
              <w:t>46</w:t>
            </w:r>
          </w:p>
        </w:tc>
        <w:tc>
          <w:tcPr>
            <w:tcW w:w="1559" w:type="dxa"/>
            <w:hideMark/>
          </w:tcPr>
          <w:p w:rsidR="003F0A73" w:rsidRDefault="001E3C55">
            <w:pPr>
              <w:jc w:val="right"/>
              <w:rPr>
                <w:rFonts w:ascii="Arial" w:hAnsi="Arial" w:cs="Arial"/>
                <w:sz w:val="24"/>
                <w:szCs w:val="24"/>
              </w:rPr>
            </w:pPr>
            <w:r>
              <w:rPr>
                <w:rFonts w:ascii="Arial" w:hAnsi="Arial" w:cs="Arial"/>
                <w:sz w:val="24"/>
                <w:szCs w:val="24"/>
              </w:rPr>
              <w:t>100</w:t>
            </w:r>
          </w:p>
        </w:tc>
      </w:tr>
      <w:tr w:rsidR="003F0A73" w:rsidTr="00C0194C">
        <w:trPr>
          <w:trHeight w:val="270"/>
        </w:trPr>
        <w:tc>
          <w:tcPr>
            <w:tcW w:w="4722" w:type="dxa"/>
            <w:tcBorders>
              <w:top w:val="nil"/>
              <w:left w:val="nil"/>
              <w:bottom w:val="single" w:sz="4" w:space="0" w:color="auto"/>
              <w:right w:val="nil"/>
            </w:tcBorders>
            <w:vAlign w:val="bottom"/>
            <w:hideMark/>
          </w:tcPr>
          <w:p w:rsidR="003F0A73" w:rsidRDefault="003F0A73">
            <w:pPr>
              <w:rPr>
                <w:rFonts w:ascii="Arial" w:hAnsi="Arial" w:cs="Arial"/>
                <w:sz w:val="24"/>
                <w:szCs w:val="24"/>
              </w:rPr>
            </w:pPr>
            <w:r>
              <w:rPr>
                <w:rFonts w:ascii="Arial" w:hAnsi="Arial" w:cs="Arial"/>
                <w:sz w:val="24"/>
                <w:szCs w:val="24"/>
              </w:rPr>
              <w:t>Property operating lease rentals (8x)</w:t>
            </w:r>
            <w:r w:rsidR="00A5442E" w:rsidRPr="00C0194C">
              <w:rPr>
                <w:rFonts w:ascii="Arial" w:hAnsi="Arial" w:cs="Arial"/>
                <w:i/>
                <w:sz w:val="24"/>
                <w:szCs w:val="24"/>
                <w:vertAlign w:val="superscript"/>
              </w:rPr>
              <w:t>(</w:t>
            </w:r>
            <w:r w:rsidR="001E3C55">
              <w:rPr>
                <w:rFonts w:ascii="Arial" w:hAnsi="Arial" w:cs="Arial"/>
                <w:i/>
                <w:sz w:val="24"/>
                <w:szCs w:val="24"/>
                <w:vertAlign w:val="superscript"/>
              </w:rPr>
              <w:t>2</w:t>
            </w:r>
            <w:r w:rsidR="00A5442E" w:rsidRPr="00C0194C">
              <w:rPr>
                <w:rFonts w:ascii="Arial" w:hAnsi="Arial" w:cs="Arial"/>
                <w:i/>
                <w:sz w:val="24"/>
                <w:szCs w:val="24"/>
                <w:vertAlign w:val="superscript"/>
              </w:rPr>
              <w:t>)</w:t>
            </w:r>
          </w:p>
        </w:tc>
        <w:tc>
          <w:tcPr>
            <w:tcW w:w="2551" w:type="dxa"/>
            <w:tcBorders>
              <w:top w:val="nil"/>
              <w:left w:val="nil"/>
              <w:bottom w:val="single" w:sz="4" w:space="0" w:color="auto"/>
              <w:right w:val="nil"/>
            </w:tcBorders>
            <w:hideMark/>
          </w:tcPr>
          <w:p w:rsidR="003F0A73" w:rsidRDefault="003F0A73">
            <w:pPr>
              <w:jc w:val="right"/>
              <w:rPr>
                <w:rFonts w:ascii="Arial" w:hAnsi="Arial" w:cs="Arial"/>
                <w:b/>
                <w:sz w:val="24"/>
                <w:szCs w:val="24"/>
                <w:highlight w:val="yellow"/>
              </w:rPr>
            </w:pPr>
            <w:r>
              <w:rPr>
                <w:rFonts w:ascii="Arial" w:hAnsi="Arial" w:cs="Arial"/>
                <w:b/>
                <w:sz w:val="24"/>
                <w:szCs w:val="24"/>
              </w:rPr>
              <w:t>3,528</w:t>
            </w:r>
          </w:p>
        </w:tc>
        <w:tc>
          <w:tcPr>
            <w:tcW w:w="1559" w:type="dxa"/>
            <w:tcBorders>
              <w:top w:val="nil"/>
              <w:left w:val="nil"/>
              <w:bottom w:val="single" w:sz="4" w:space="0" w:color="auto"/>
              <w:right w:val="nil"/>
            </w:tcBorders>
            <w:hideMark/>
          </w:tcPr>
          <w:p w:rsidR="003F0A73" w:rsidRDefault="001E3C55">
            <w:pPr>
              <w:jc w:val="right"/>
              <w:rPr>
                <w:rFonts w:ascii="Arial" w:hAnsi="Arial" w:cs="Arial"/>
                <w:sz w:val="24"/>
                <w:szCs w:val="24"/>
              </w:rPr>
            </w:pPr>
            <w:r>
              <w:rPr>
                <w:rFonts w:ascii="Arial" w:hAnsi="Arial" w:cs="Arial"/>
                <w:sz w:val="24"/>
                <w:szCs w:val="24"/>
              </w:rPr>
              <w:t>3,520</w:t>
            </w:r>
          </w:p>
        </w:tc>
      </w:tr>
      <w:tr w:rsidR="003F0A73" w:rsidTr="00C0194C">
        <w:trPr>
          <w:trHeight w:val="270"/>
        </w:trPr>
        <w:tc>
          <w:tcPr>
            <w:tcW w:w="4722" w:type="dxa"/>
            <w:tcBorders>
              <w:top w:val="single" w:sz="4" w:space="0" w:color="auto"/>
              <w:left w:val="nil"/>
              <w:bottom w:val="single" w:sz="4" w:space="0" w:color="auto"/>
              <w:right w:val="nil"/>
            </w:tcBorders>
            <w:vAlign w:val="bottom"/>
            <w:hideMark/>
          </w:tcPr>
          <w:p w:rsidR="003F0A73" w:rsidRDefault="003F0A73">
            <w:pPr>
              <w:rPr>
                <w:rFonts w:ascii="Arial" w:hAnsi="Arial" w:cs="Arial"/>
                <w:b/>
                <w:sz w:val="24"/>
                <w:szCs w:val="24"/>
              </w:rPr>
            </w:pPr>
            <w:r>
              <w:rPr>
                <w:rFonts w:ascii="Arial" w:hAnsi="Arial" w:cs="Arial"/>
                <w:b/>
                <w:sz w:val="24"/>
                <w:szCs w:val="24"/>
              </w:rPr>
              <w:t>Lease adjusted net debt</w:t>
            </w:r>
          </w:p>
        </w:tc>
        <w:tc>
          <w:tcPr>
            <w:tcW w:w="2551" w:type="dxa"/>
            <w:tcBorders>
              <w:top w:val="single" w:sz="4" w:space="0" w:color="auto"/>
              <w:left w:val="nil"/>
              <w:bottom w:val="single" w:sz="4" w:space="0" w:color="auto"/>
              <w:right w:val="nil"/>
            </w:tcBorders>
            <w:hideMark/>
          </w:tcPr>
          <w:p w:rsidR="003F0A73" w:rsidRDefault="003F0A73">
            <w:pPr>
              <w:jc w:val="right"/>
              <w:rPr>
                <w:rFonts w:ascii="Arial" w:hAnsi="Arial" w:cs="Arial"/>
                <w:b/>
                <w:sz w:val="24"/>
                <w:szCs w:val="24"/>
                <w:highlight w:val="yellow"/>
              </w:rPr>
            </w:pPr>
            <w:r>
              <w:rPr>
                <w:rFonts w:ascii="Arial" w:hAnsi="Arial" w:cs="Arial"/>
                <w:b/>
                <w:sz w:val="24"/>
                <w:szCs w:val="24"/>
              </w:rPr>
              <w:t>3,078</w:t>
            </w:r>
          </w:p>
        </w:tc>
        <w:tc>
          <w:tcPr>
            <w:tcW w:w="1559" w:type="dxa"/>
            <w:tcBorders>
              <w:top w:val="single" w:sz="4" w:space="0" w:color="auto"/>
              <w:left w:val="nil"/>
              <w:bottom w:val="single" w:sz="4" w:space="0" w:color="auto"/>
              <w:right w:val="nil"/>
            </w:tcBorders>
            <w:hideMark/>
          </w:tcPr>
          <w:p w:rsidR="003F0A73" w:rsidRDefault="001E3C55">
            <w:pPr>
              <w:jc w:val="right"/>
              <w:rPr>
                <w:rFonts w:ascii="Arial" w:hAnsi="Arial" w:cs="Arial"/>
                <w:sz w:val="24"/>
                <w:szCs w:val="24"/>
              </w:rPr>
            </w:pPr>
            <w:r>
              <w:rPr>
                <w:rFonts w:ascii="Arial" w:hAnsi="Arial" w:cs="Arial"/>
                <w:sz w:val="24"/>
                <w:szCs w:val="24"/>
              </w:rPr>
              <w:t>3,382</w:t>
            </w:r>
          </w:p>
        </w:tc>
      </w:tr>
      <w:tr w:rsidR="003F0A73" w:rsidTr="00C0194C">
        <w:trPr>
          <w:trHeight w:val="270"/>
        </w:trPr>
        <w:tc>
          <w:tcPr>
            <w:tcW w:w="4722" w:type="dxa"/>
            <w:tcBorders>
              <w:top w:val="single" w:sz="4" w:space="0" w:color="auto"/>
              <w:left w:val="nil"/>
              <w:bottom w:val="single" w:sz="4" w:space="0" w:color="auto"/>
              <w:right w:val="nil"/>
            </w:tcBorders>
            <w:vAlign w:val="bottom"/>
            <w:hideMark/>
          </w:tcPr>
          <w:p w:rsidR="003F0A73" w:rsidRDefault="003F0A73">
            <w:pPr>
              <w:rPr>
                <w:rFonts w:ascii="Arial" w:hAnsi="Arial" w:cs="Arial"/>
                <w:b/>
                <w:sz w:val="24"/>
                <w:szCs w:val="24"/>
              </w:rPr>
            </w:pPr>
            <w:r>
              <w:rPr>
                <w:rFonts w:ascii="Arial" w:hAnsi="Arial" w:cs="Arial"/>
                <w:b/>
                <w:sz w:val="24"/>
                <w:szCs w:val="24"/>
              </w:rPr>
              <w:t>Lease adjusted net debt to EBITDAR</w:t>
            </w:r>
          </w:p>
        </w:tc>
        <w:tc>
          <w:tcPr>
            <w:tcW w:w="2551" w:type="dxa"/>
            <w:tcBorders>
              <w:top w:val="single" w:sz="4" w:space="0" w:color="auto"/>
              <w:left w:val="nil"/>
              <w:bottom w:val="single" w:sz="4" w:space="0" w:color="auto"/>
              <w:right w:val="nil"/>
            </w:tcBorders>
            <w:hideMark/>
          </w:tcPr>
          <w:p w:rsidR="003F0A73" w:rsidRDefault="003F0A73">
            <w:pPr>
              <w:jc w:val="right"/>
              <w:rPr>
                <w:rFonts w:ascii="Arial" w:hAnsi="Arial" w:cs="Arial"/>
                <w:b/>
                <w:sz w:val="24"/>
                <w:szCs w:val="24"/>
                <w:highlight w:val="yellow"/>
              </w:rPr>
            </w:pPr>
            <w:r>
              <w:rPr>
                <w:rFonts w:ascii="Arial" w:hAnsi="Arial" w:cs="Arial"/>
                <w:b/>
                <w:sz w:val="24"/>
                <w:szCs w:val="24"/>
              </w:rPr>
              <w:t>2.1x</w:t>
            </w:r>
          </w:p>
        </w:tc>
        <w:tc>
          <w:tcPr>
            <w:tcW w:w="1559" w:type="dxa"/>
            <w:tcBorders>
              <w:top w:val="single" w:sz="4" w:space="0" w:color="auto"/>
              <w:left w:val="nil"/>
              <w:bottom w:val="single" w:sz="4" w:space="0" w:color="auto"/>
              <w:right w:val="nil"/>
            </w:tcBorders>
            <w:hideMark/>
          </w:tcPr>
          <w:p w:rsidR="003F0A73" w:rsidRDefault="001E3C55">
            <w:pPr>
              <w:jc w:val="right"/>
              <w:rPr>
                <w:rFonts w:ascii="Arial" w:hAnsi="Arial" w:cs="Arial"/>
                <w:sz w:val="24"/>
                <w:szCs w:val="24"/>
              </w:rPr>
            </w:pPr>
            <w:r>
              <w:rPr>
                <w:rFonts w:ascii="Arial" w:hAnsi="Arial" w:cs="Arial"/>
                <w:sz w:val="24"/>
                <w:szCs w:val="24"/>
              </w:rPr>
              <w:t>2.4</w:t>
            </w:r>
            <w:r w:rsidR="003F0A73">
              <w:rPr>
                <w:rFonts w:ascii="Arial" w:hAnsi="Arial" w:cs="Arial"/>
                <w:sz w:val="24"/>
                <w:szCs w:val="24"/>
              </w:rPr>
              <w:t>x</w:t>
            </w:r>
          </w:p>
        </w:tc>
      </w:tr>
    </w:tbl>
    <w:p w:rsidR="001E3C55" w:rsidRDefault="001E3C55" w:rsidP="003F0A73">
      <w:pPr>
        <w:ind w:right="-368"/>
        <w:jc w:val="left"/>
        <w:rPr>
          <w:rFonts w:ascii="Arial" w:eastAsia="Times New Roman" w:hAnsi="Arial" w:cs="Arial"/>
          <w:sz w:val="24"/>
          <w:szCs w:val="24"/>
          <w:highlight w:val="yellow"/>
        </w:rPr>
      </w:pPr>
    </w:p>
    <w:p w:rsidR="001E3C55" w:rsidRDefault="001E3C55" w:rsidP="003F0A73">
      <w:pPr>
        <w:ind w:right="-368"/>
        <w:jc w:val="left"/>
        <w:rPr>
          <w:rFonts w:ascii="Arial" w:hAnsi="Arial" w:cs="Arial"/>
          <w:i/>
          <w:sz w:val="18"/>
          <w:szCs w:val="18"/>
        </w:rPr>
      </w:pPr>
      <w:r w:rsidRPr="003E18CA">
        <w:rPr>
          <w:rFonts w:ascii="Arial" w:hAnsi="Arial" w:cs="Arial"/>
          <w:i/>
          <w:iCs/>
          <w:sz w:val="18"/>
          <w:szCs w:val="18"/>
          <w:vertAlign w:val="superscript"/>
        </w:rPr>
        <w:t>(</w:t>
      </w:r>
      <w:r>
        <w:rPr>
          <w:rFonts w:ascii="Arial" w:hAnsi="Arial" w:cs="Arial"/>
          <w:i/>
          <w:iCs/>
          <w:sz w:val="18"/>
          <w:szCs w:val="18"/>
          <w:vertAlign w:val="superscript"/>
        </w:rPr>
        <w:t>1</w:t>
      </w:r>
      <w:r w:rsidRPr="003E18CA">
        <w:rPr>
          <w:rFonts w:ascii="Arial" w:hAnsi="Arial" w:cs="Arial"/>
          <w:i/>
          <w:iCs/>
          <w:sz w:val="18"/>
          <w:szCs w:val="18"/>
          <w:vertAlign w:val="superscript"/>
        </w:rPr>
        <w:t>)</w:t>
      </w:r>
      <w:r>
        <w:rPr>
          <w:rFonts w:ascii="Arial" w:hAnsi="Arial" w:cs="Arial"/>
          <w:i/>
          <w:iCs/>
          <w:sz w:val="18"/>
          <w:szCs w:val="18"/>
        </w:rPr>
        <w:t xml:space="preserve"> </w:t>
      </w:r>
      <w:r>
        <w:rPr>
          <w:rFonts w:ascii="Arial" w:hAnsi="Arial" w:cs="Arial"/>
          <w:i/>
          <w:sz w:val="18"/>
          <w:szCs w:val="18"/>
        </w:rPr>
        <w:t>Comparatives restated to reflect disposal of Hornbach.</w:t>
      </w:r>
    </w:p>
    <w:p w:rsidR="003F0A73" w:rsidRDefault="00A5442E" w:rsidP="003F0A73">
      <w:pPr>
        <w:ind w:right="-368"/>
        <w:jc w:val="left"/>
        <w:rPr>
          <w:rFonts w:ascii="Arial" w:hAnsi="Arial" w:cs="Arial"/>
          <w:i/>
          <w:sz w:val="18"/>
          <w:szCs w:val="18"/>
        </w:rPr>
      </w:pPr>
      <w:r w:rsidRPr="003E18CA">
        <w:rPr>
          <w:rFonts w:ascii="Arial" w:hAnsi="Arial" w:cs="Arial"/>
          <w:i/>
          <w:iCs/>
          <w:sz w:val="18"/>
          <w:szCs w:val="18"/>
          <w:vertAlign w:val="superscript"/>
        </w:rPr>
        <w:t>(</w:t>
      </w:r>
      <w:r w:rsidR="001E3C55">
        <w:rPr>
          <w:rFonts w:ascii="Arial" w:hAnsi="Arial" w:cs="Arial"/>
          <w:i/>
          <w:iCs/>
          <w:sz w:val="18"/>
          <w:szCs w:val="18"/>
          <w:vertAlign w:val="superscript"/>
        </w:rPr>
        <w:t>2</w:t>
      </w:r>
      <w:r w:rsidRPr="003E18CA">
        <w:rPr>
          <w:rFonts w:ascii="Arial" w:hAnsi="Arial" w:cs="Arial"/>
          <w:i/>
          <w:iCs/>
          <w:sz w:val="18"/>
          <w:szCs w:val="18"/>
          <w:vertAlign w:val="superscript"/>
        </w:rPr>
        <w:t>)</w:t>
      </w:r>
      <w:r>
        <w:rPr>
          <w:rFonts w:ascii="Arial" w:hAnsi="Arial" w:cs="Arial"/>
          <w:i/>
          <w:iCs/>
          <w:sz w:val="18"/>
          <w:szCs w:val="18"/>
        </w:rPr>
        <w:t xml:space="preserve"> </w:t>
      </w:r>
      <w:r w:rsidR="003F0A73">
        <w:rPr>
          <w:rFonts w:ascii="Arial" w:hAnsi="Arial" w:cs="Arial"/>
          <w:i/>
          <w:sz w:val="18"/>
          <w:szCs w:val="18"/>
        </w:rPr>
        <w:t>Kingfisher believes 8x is a reasonable industry standard for estimating the economic value of its leased assets.</w:t>
      </w:r>
    </w:p>
    <w:p w:rsidR="003F0A73" w:rsidRDefault="003F0A73" w:rsidP="003F0A73">
      <w:pPr>
        <w:ind w:right="-368"/>
        <w:jc w:val="left"/>
        <w:rPr>
          <w:rFonts w:ascii="Arial" w:hAnsi="Arial" w:cs="Arial"/>
          <w:sz w:val="24"/>
          <w:szCs w:val="24"/>
          <w:highlight w:val="yellow"/>
        </w:rPr>
      </w:pPr>
    </w:p>
    <w:p w:rsidR="00266016" w:rsidRDefault="00266016" w:rsidP="00266016">
      <w:pPr>
        <w:ind w:right="-368"/>
        <w:jc w:val="left"/>
        <w:rPr>
          <w:rFonts w:ascii="Arial" w:hAnsi="Arial" w:cs="Arial"/>
          <w:sz w:val="24"/>
          <w:szCs w:val="24"/>
        </w:rPr>
      </w:pPr>
      <w:r>
        <w:rPr>
          <w:rFonts w:ascii="Arial" w:hAnsi="Arial" w:cs="Arial"/>
          <w:sz w:val="24"/>
          <w:szCs w:val="24"/>
        </w:rPr>
        <w:t xml:space="preserve">The Group has a £200 million committed facility that expires in 2016 and was undrawn at 2 August 2014. The next significant debt maturity is in December 2014 when the Group is required to repay MTNs with a notional value of £73 million. </w:t>
      </w:r>
    </w:p>
    <w:p w:rsidR="00266016" w:rsidRDefault="00266016" w:rsidP="00266016">
      <w:pPr>
        <w:ind w:right="-368"/>
        <w:jc w:val="left"/>
        <w:rPr>
          <w:rFonts w:ascii="Arial" w:hAnsi="Arial" w:cs="Arial"/>
          <w:b/>
          <w:sz w:val="24"/>
          <w:szCs w:val="24"/>
          <w:highlight w:val="yellow"/>
        </w:rPr>
      </w:pPr>
      <w:r>
        <w:rPr>
          <w:rFonts w:ascii="Arial" w:hAnsi="Arial" w:cs="Arial"/>
          <w:color w:val="FF0000"/>
          <w:sz w:val="24"/>
          <w:szCs w:val="24"/>
          <w:highlight w:val="yellow"/>
        </w:rPr>
        <w:t xml:space="preserve">  </w:t>
      </w:r>
    </w:p>
    <w:p w:rsidR="00266016" w:rsidRDefault="00266016" w:rsidP="00266016">
      <w:pPr>
        <w:ind w:right="-368"/>
        <w:jc w:val="left"/>
        <w:rPr>
          <w:rStyle w:val="Hyperlink"/>
          <w:rFonts w:ascii="Arial" w:hAnsi="Arial" w:cs="Arial"/>
          <w:sz w:val="24"/>
          <w:szCs w:val="24"/>
        </w:rPr>
      </w:pPr>
      <w:r>
        <w:rPr>
          <w:rFonts w:ascii="Arial" w:hAnsi="Arial" w:cs="Arial"/>
          <w:sz w:val="24"/>
          <w:szCs w:val="24"/>
        </w:rPr>
        <w:t xml:space="preserve">The maturity profile of Kingfisher’s debt is illustrated at: </w:t>
      </w:r>
      <w:hyperlink r:id="rId10" w:history="1">
        <w:r>
          <w:rPr>
            <w:rStyle w:val="Hyperlink"/>
            <w:rFonts w:ascii="Arial" w:hAnsi="Arial" w:cs="Arial"/>
            <w:sz w:val="24"/>
            <w:szCs w:val="24"/>
          </w:rPr>
          <w:t>www.kingfisher.com/index.asp?pageid=76</w:t>
        </w:r>
      </w:hyperlink>
    </w:p>
    <w:p w:rsidR="00266016" w:rsidRDefault="00266016" w:rsidP="00266016">
      <w:pPr>
        <w:ind w:right="-368"/>
        <w:jc w:val="left"/>
        <w:rPr>
          <w:rFonts w:ascii="Arial" w:hAnsi="Arial" w:cs="Arial"/>
          <w:sz w:val="24"/>
          <w:szCs w:val="24"/>
          <w:u w:val="single"/>
        </w:rPr>
      </w:pPr>
    </w:p>
    <w:p w:rsidR="00266016" w:rsidRDefault="00266016" w:rsidP="00266016">
      <w:pPr>
        <w:ind w:right="-368"/>
        <w:jc w:val="left"/>
        <w:rPr>
          <w:rFonts w:ascii="Arial" w:hAnsi="Arial" w:cs="Arial"/>
          <w:sz w:val="24"/>
          <w:szCs w:val="24"/>
        </w:rPr>
      </w:pPr>
      <w:r>
        <w:rPr>
          <w:rFonts w:ascii="Arial" w:hAnsi="Arial" w:cs="Arial"/>
          <w:sz w:val="24"/>
          <w:szCs w:val="24"/>
        </w:rPr>
        <w:t>Kingfisher currently holds a BBB</w:t>
      </w:r>
      <w:r w:rsidR="004E29A5">
        <w:rPr>
          <w:rFonts w:ascii="Arial" w:hAnsi="Arial" w:cs="Arial"/>
          <w:sz w:val="24"/>
          <w:szCs w:val="24"/>
        </w:rPr>
        <w:t xml:space="preserve"> </w:t>
      </w:r>
      <w:r>
        <w:rPr>
          <w:rFonts w:ascii="Arial" w:hAnsi="Arial" w:cs="Arial"/>
          <w:sz w:val="24"/>
          <w:szCs w:val="24"/>
        </w:rPr>
        <w:t>credit rating with two of the three rating agencies. The third agency remains at BBB- with outlook upgraded to positive. Kingfisher aims to maintain its solid investment grade credit rating whilst investing in the business where economic returns are attractive and paying a healthy annual dividend to shareholders. After satisfying these key aims and taking into account the economic and trading outlook any surplus capital is returned to shareholders.</w:t>
      </w:r>
    </w:p>
    <w:p w:rsidR="003F0A73" w:rsidRDefault="003F0A73" w:rsidP="003F0A73">
      <w:pPr>
        <w:ind w:right="-368"/>
        <w:jc w:val="left"/>
        <w:rPr>
          <w:rFonts w:ascii="Arial" w:hAnsi="Arial" w:cs="Arial"/>
          <w:sz w:val="24"/>
          <w:szCs w:val="24"/>
          <w:highlight w:val="yellow"/>
          <w:u w:val="single"/>
        </w:rPr>
      </w:pPr>
    </w:p>
    <w:p w:rsidR="006D455C" w:rsidRDefault="006D455C">
      <w:pPr>
        <w:jc w:val="left"/>
        <w:rPr>
          <w:rFonts w:ascii="Arial" w:hAnsi="Arial" w:cs="Arial"/>
          <w:b/>
          <w:sz w:val="24"/>
          <w:szCs w:val="24"/>
        </w:rPr>
      </w:pPr>
      <w:r>
        <w:rPr>
          <w:rFonts w:ascii="Arial" w:hAnsi="Arial" w:cs="Arial"/>
          <w:b/>
          <w:sz w:val="24"/>
          <w:szCs w:val="24"/>
        </w:rPr>
        <w:br w:type="page"/>
      </w:r>
    </w:p>
    <w:p w:rsidR="003F0A73" w:rsidRDefault="003F0A73" w:rsidP="003F0A73">
      <w:pPr>
        <w:ind w:right="-368"/>
        <w:jc w:val="left"/>
        <w:rPr>
          <w:rFonts w:ascii="Arial" w:hAnsi="Arial" w:cs="Arial"/>
          <w:b/>
          <w:sz w:val="24"/>
          <w:szCs w:val="24"/>
        </w:rPr>
      </w:pPr>
      <w:r>
        <w:rPr>
          <w:rFonts w:ascii="Arial" w:hAnsi="Arial" w:cs="Arial"/>
          <w:b/>
          <w:sz w:val="24"/>
          <w:szCs w:val="24"/>
        </w:rPr>
        <w:lastRenderedPageBreak/>
        <w:t>Acquisitions and disposals</w:t>
      </w:r>
    </w:p>
    <w:p w:rsidR="00336D33" w:rsidRDefault="00336D33" w:rsidP="00C0194C">
      <w:pPr>
        <w:jc w:val="left"/>
        <w:rPr>
          <w:rFonts w:ascii="Arial" w:hAnsi="Arial" w:cs="Arial"/>
          <w:sz w:val="24"/>
          <w:szCs w:val="24"/>
        </w:rPr>
      </w:pPr>
    </w:p>
    <w:p w:rsidR="003F0A73" w:rsidRDefault="003F0A73" w:rsidP="00C0194C">
      <w:pPr>
        <w:jc w:val="left"/>
        <w:rPr>
          <w:rFonts w:ascii="Arial" w:hAnsi="Arial" w:cs="Arial"/>
          <w:sz w:val="24"/>
          <w:szCs w:val="24"/>
        </w:rPr>
      </w:pPr>
      <w:r>
        <w:rPr>
          <w:rFonts w:ascii="Arial" w:hAnsi="Arial" w:cs="Arial"/>
          <w:sz w:val="24"/>
          <w:szCs w:val="24"/>
        </w:rPr>
        <w:t xml:space="preserve">On 3 April 2014, Kingfisher announced it had entered into exclusive negotiations with the principal shareholders of Mr Bricolage, the </w:t>
      </w:r>
      <w:r w:rsidR="00336D33">
        <w:rPr>
          <w:rFonts w:ascii="Arial" w:hAnsi="Arial" w:cs="Arial"/>
          <w:sz w:val="24"/>
          <w:szCs w:val="24"/>
        </w:rPr>
        <w:t xml:space="preserve">French </w:t>
      </w:r>
      <w:r>
        <w:rPr>
          <w:rFonts w:ascii="Arial" w:hAnsi="Arial" w:cs="Arial"/>
          <w:sz w:val="24"/>
          <w:szCs w:val="24"/>
        </w:rPr>
        <w:t xml:space="preserve">home improvement retailer, to acquire their shareholding. </w:t>
      </w:r>
    </w:p>
    <w:p w:rsidR="003F0A73" w:rsidRDefault="003F0A73" w:rsidP="003F0A73">
      <w:pPr>
        <w:rPr>
          <w:rFonts w:ascii="Arial" w:hAnsi="Arial" w:cs="Arial"/>
          <w:sz w:val="24"/>
          <w:szCs w:val="24"/>
        </w:rPr>
      </w:pPr>
    </w:p>
    <w:p w:rsidR="003F0A73" w:rsidRDefault="00AC7A95">
      <w:pPr>
        <w:jc w:val="left"/>
        <w:rPr>
          <w:rFonts w:ascii="Arial" w:hAnsi="Arial" w:cs="Arial"/>
          <w:sz w:val="24"/>
          <w:szCs w:val="24"/>
        </w:rPr>
      </w:pPr>
      <w:r>
        <w:rPr>
          <w:rFonts w:ascii="Arial" w:hAnsi="Arial" w:cs="Arial"/>
          <w:sz w:val="24"/>
          <w:szCs w:val="24"/>
        </w:rPr>
        <w:t>A</w:t>
      </w:r>
      <w:r w:rsidR="003F0A73">
        <w:rPr>
          <w:rFonts w:ascii="Arial" w:hAnsi="Arial" w:cs="Arial"/>
          <w:sz w:val="24"/>
          <w:szCs w:val="24"/>
        </w:rPr>
        <w:t xml:space="preserve"> non-binding memorandum of understanding was entered into, marking the start of exclusive negotiations during which the operating businesses of Mr Bricolage and of Kingfisher in France (Castorama and Brico Dépôt) would meet with their respective works councils and would propose improved commercial terms to the franchisees of Mr Bricolage. The outcome of these negotiations has been successful and accordingly, a binding agreement was entered into on 23 July 2014. </w:t>
      </w:r>
    </w:p>
    <w:p w:rsidR="003F0A73" w:rsidRDefault="003F0A73" w:rsidP="003F0A73">
      <w:pPr>
        <w:jc w:val="left"/>
        <w:rPr>
          <w:rFonts w:ascii="Arial" w:hAnsi="Arial" w:cs="Arial"/>
          <w:sz w:val="24"/>
          <w:szCs w:val="24"/>
        </w:rPr>
      </w:pPr>
    </w:p>
    <w:p w:rsidR="003F0A73" w:rsidRDefault="003F0A73" w:rsidP="003F0A73">
      <w:pPr>
        <w:jc w:val="left"/>
        <w:rPr>
          <w:rFonts w:ascii="Arial" w:hAnsi="Arial" w:cs="Arial"/>
          <w:sz w:val="24"/>
          <w:szCs w:val="24"/>
        </w:rPr>
      </w:pPr>
      <w:r>
        <w:rPr>
          <w:rFonts w:ascii="Arial" w:hAnsi="Arial" w:cs="Arial"/>
          <w:sz w:val="24"/>
          <w:szCs w:val="24"/>
        </w:rPr>
        <w:t xml:space="preserve">The acquisition by Kingfisher of </w:t>
      </w:r>
      <w:r w:rsidR="00336D33">
        <w:rPr>
          <w:rFonts w:ascii="Arial" w:hAnsi="Arial" w:cs="Arial"/>
          <w:sz w:val="24"/>
          <w:szCs w:val="24"/>
        </w:rPr>
        <w:t xml:space="preserve">the shares of the principal shareholders of </w:t>
      </w:r>
      <w:r>
        <w:rPr>
          <w:rFonts w:ascii="Arial" w:hAnsi="Arial" w:cs="Arial"/>
          <w:sz w:val="24"/>
          <w:szCs w:val="24"/>
        </w:rPr>
        <w:t xml:space="preserve">Mr Bricolage will now proceed subject to </w:t>
      </w:r>
      <w:r w:rsidR="00336D33">
        <w:rPr>
          <w:rFonts w:ascii="Arial" w:hAnsi="Arial" w:cs="Arial"/>
          <w:sz w:val="24"/>
          <w:szCs w:val="24"/>
        </w:rPr>
        <w:t xml:space="preserve">French </w:t>
      </w:r>
      <w:r>
        <w:rPr>
          <w:rFonts w:ascii="Arial" w:hAnsi="Arial" w:cs="Arial"/>
          <w:sz w:val="24"/>
          <w:szCs w:val="24"/>
        </w:rPr>
        <w:t xml:space="preserve">anti-trust clearance. Subsequently, a mandatory offer will be made to acquire the shares held by the minority shareholders at the agreed price per share of €15, in accordance with applicable law. The </w:t>
      </w:r>
      <w:r w:rsidR="00336D33">
        <w:rPr>
          <w:rFonts w:ascii="Arial" w:hAnsi="Arial" w:cs="Arial"/>
          <w:sz w:val="24"/>
          <w:szCs w:val="24"/>
        </w:rPr>
        <w:t xml:space="preserve">closure of the acquisition of the shareholding of the principal shareholders </w:t>
      </w:r>
      <w:r>
        <w:rPr>
          <w:rFonts w:ascii="Arial" w:hAnsi="Arial" w:cs="Arial"/>
          <w:sz w:val="24"/>
          <w:szCs w:val="24"/>
        </w:rPr>
        <w:t xml:space="preserve">is expected to be completed around the end of Kingfisher’s 2014/15 financial year. </w:t>
      </w:r>
    </w:p>
    <w:p w:rsidR="003F0A73" w:rsidRDefault="003F0A73" w:rsidP="003F0A73">
      <w:pPr>
        <w:rPr>
          <w:rFonts w:ascii="Arial" w:hAnsi="Arial" w:cs="Arial"/>
          <w:sz w:val="24"/>
          <w:szCs w:val="24"/>
        </w:rPr>
      </w:pPr>
    </w:p>
    <w:p w:rsidR="003F0A73" w:rsidRDefault="003F0A73" w:rsidP="00C0194C">
      <w:pPr>
        <w:jc w:val="left"/>
        <w:rPr>
          <w:rFonts w:ascii="Arial" w:hAnsi="Arial" w:cs="Arial"/>
          <w:sz w:val="24"/>
          <w:szCs w:val="24"/>
        </w:rPr>
      </w:pPr>
      <w:r>
        <w:rPr>
          <w:rFonts w:ascii="Arial" w:hAnsi="Arial" w:cs="Arial"/>
          <w:sz w:val="24"/>
          <w:szCs w:val="24"/>
        </w:rPr>
        <w:t>The Group receive</w:t>
      </w:r>
      <w:r w:rsidR="00766191">
        <w:rPr>
          <w:rFonts w:ascii="Arial" w:hAnsi="Arial" w:cs="Arial"/>
          <w:sz w:val="24"/>
          <w:szCs w:val="24"/>
        </w:rPr>
        <w:t>d proceeds of €236 million (£198</w:t>
      </w:r>
      <w:r>
        <w:rPr>
          <w:rFonts w:ascii="Arial" w:hAnsi="Arial" w:cs="Arial"/>
          <w:sz w:val="24"/>
          <w:szCs w:val="24"/>
        </w:rPr>
        <w:t xml:space="preserve"> million) following the disposal of its 21% </w:t>
      </w:r>
      <w:r w:rsidR="00766191">
        <w:rPr>
          <w:rFonts w:ascii="Arial" w:hAnsi="Arial" w:cs="Arial"/>
          <w:sz w:val="24"/>
          <w:szCs w:val="24"/>
        </w:rPr>
        <w:t>stake in Hornbach in March 2014 and i</w:t>
      </w:r>
      <w:r>
        <w:rPr>
          <w:rFonts w:ascii="Arial" w:hAnsi="Arial" w:cs="Arial"/>
          <w:sz w:val="24"/>
          <w:szCs w:val="24"/>
        </w:rPr>
        <w:t xml:space="preserve">n the prior period, the Group acquired 100% of Bricostore Romania for £63 million (including debt). </w:t>
      </w:r>
    </w:p>
    <w:p w:rsidR="003F0A73" w:rsidRDefault="003F0A73" w:rsidP="003F0A73">
      <w:pPr>
        <w:ind w:right="-368"/>
        <w:jc w:val="left"/>
        <w:rPr>
          <w:rFonts w:ascii="Arial" w:hAnsi="Arial" w:cs="Arial"/>
          <w:sz w:val="24"/>
          <w:szCs w:val="24"/>
          <w:highlight w:val="yellow"/>
          <w:u w:val="single"/>
        </w:rPr>
      </w:pPr>
    </w:p>
    <w:p w:rsidR="003F0A73" w:rsidRDefault="003F0A73" w:rsidP="003F0A73">
      <w:pPr>
        <w:ind w:right="-368"/>
        <w:jc w:val="left"/>
        <w:rPr>
          <w:rFonts w:ascii="Arial" w:hAnsi="Arial" w:cs="Arial"/>
          <w:b/>
          <w:sz w:val="24"/>
          <w:szCs w:val="24"/>
        </w:rPr>
      </w:pPr>
      <w:r>
        <w:rPr>
          <w:rFonts w:ascii="Arial" w:hAnsi="Arial" w:cs="Arial"/>
          <w:b/>
          <w:sz w:val="24"/>
          <w:szCs w:val="24"/>
        </w:rPr>
        <w:t>Pensions</w:t>
      </w:r>
    </w:p>
    <w:p w:rsidR="003F0A73" w:rsidRDefault="003F0A73" w:rsidP="003F0A73">
      <w:pPr>
        <w:ind w:right="-368"/>
        <w:jc w:val="left"/>
        <w:rPr>
          <w:rFonts w:ascii="Arial" w:hAnsi="Arial" w:cs="Arial"/>
          <w:b/>
          <w:sz w:val="24"/>
          <w:szCs w:val="24"/>
        </w:rPr>
      </w:pPr>
    </w:p>
    <w:p w:rsidR="003F0A73" w:rsidRDefault="003F0A73" w:rsidP="00C0194C">
      <w:pPr>
        <w:jc w:val="left"/>
        <w:rPr>
          <w:rFonts w:ascii="Arial" w:hAnsi="Arial" w:cs="Arial"/>
          <w:sz w:val="24"/>
          <w:szCs w:val="24"/>
          <w:highlight w:val="yellow"/>
        </w:rPr>
      </w:pPr>
      <w:r>
        <w:rPr>
          <w:rFonts w:ascii="Arial" w:hAnsi="Arial" w:cs="Arial"/>
          <w:sz w:val="24"/>
          <w:szCs w:val="24"/>
        </w:rPr>
        <w:t>At the half year, the Group had a net deficit of £46 million in relation to defined benefit pension arrangements, compared with a net deficit of £100 million at 1 February 2014. The favourable movement is driven by</w:t>
      </w:r>
      <w:r w:rsidR="004E29A5">
        <w:rPr>
          <w:rFonts w:ascii="Arial" w:hAnsi="Arial" w:cs="Arial"/>
          <w:sz w:val="24"/>
          <w:szCs w:val="24"/>
        </w:rPr>
        <w:t xml:space="preserve"> Kingfisher’s contributions and</w:t>
      </w:r>
      <w:r>
        <w:rPr>
          <w:rFonts w:ascii="Arial" w:hAnsi="Arial" w:cs="Arial"/>
          <w:sz w:val="24"/>
          <w:szCs w:val="24"/>
        </w:rPr>
        <w:t xml:space="preserve"> strong asset returns, more than offsetting the interest cost and actuarial losses on the liabilities. This accounting valuation is sensitive to a number of assumptions and market rates which are likely to fluctuate in the future.</w:t>
      </w:r>
    </w:p>
    <w:p w:rsidR="003F0A73" w:rsidRDefault="003F0A73" w:rsidP="003F0A73">
      <w:pPr>
        <w:jc w:val="left"/>
        <w:rPr>
          <w:rFonts w:ascii="Arial" w:hAnsi="Arial" w:cs="Arial"/>
          <w:sz w:val="24"/>
          <w:szCs w:val="24"/>
        </w:rPr>
      </w:pPr>
    </w:p>
    <w:p w:rsidR="006D455C" w:rsidRDefault="006D455C">
      <w:pPr>
        <w:jc w:val="left"/>
        <w:rPr>
          <w:rFonts w:ascii="Arial" w:hAnsi="Arial" w:cs="Arial"/>
          <w:b/>
          <w:sz w:val="24"/>
          <w:szCs w:val="24"/>
        </w:rPr>
      </w:pPr>
      <w:r>
        <w:rPr>
          <w:rFonts w:ascii="Arial" w:hAnsi="Arial" w:cs="Arial"/>
          <w:b/>
          <w:sz w:val="24"/>
          <w:szCs w:val="24"/>
        </w:rPr>
        <w:br w:type="page"/>
      </w:r>
    </w:p>
    <w:p w:rsidR="003F0A73" w:rsidRDefault="003F0A73" w:rsidP="003F0A73">
      <w:pPr>
        <w:rPr>
          <w:rFonts w:ascii="Arial" w:hAnsi="Arial" w:cs="Arial"/>
          <w:b/>
          <w:sz w:val="24"/>
          <w:szCs w:val="24"/>
        </w:rPr>
      </w:pPr>
      <w:r>
        <w:rPr>
          <w:rFonts w:ascii="Arial" w:hAnsi="Arial" w:cs="Arial"/>
          <w:b/>
          <w:sz w:val="24"/>
          <w:szCs w:val="24"/>
        </w:rPr>
        <w:lastRenderedPageBreak/>
        <w:t>Risks</w:t>
      </w:r>
    </w:p>
    <w:p w:rsidR="003F0A73" w:rsidRDefault="003F0A73" w:rsidP="003F0A73">
      <w:pPr>
        <w:rPr>
          <w:rFonts w:ascii="Arial" w:hAnsi="Arial" w:cs="Arial"/>
          <w:b/>
          <w:sz w:val="24"/>
          <w:szCs w:val="24"/>
        </w:rPr>
      </w:pPr>
    </w:p>
    <w:p w:rsidR="003F0A73" w:rsidRDefault="003F0A73" w:rsidP="00C0194C">
      <w:pPr>
        <w:jc w:val="left"/>
        <w:rPr>
          <w:rFonts w:ascii="Arial" w:hAnsi="Arial" w:cs="Arial"/>
          <w:sz w:val="24"/>
          <w:szCs w:val="24"/>
        </w:rPr>
      </w:pPr>
      <w:r>
        <w:rPr>
          <w:rFonts w:ascii="Arial" w:hAnsi="Arial" w:cs="Arial"/>
          <w:sz w:val="24"/>
          <w:szCs w:val="24"/>
        </w:rPr>
        <w:t>The Board considers risk assessment, identification of mitigating actions and internal control to be fundamental to achieving Kingfisher’s strategic objectives. The Board considers that the principal risks to achieving its objectives, which remain principally unchanged from those set out in the 2013/14 Annual Report and Accounts, are summarised below:</w:t>
      </w:r>
    </w:p>
    <w:p w:rsidR="003F0A73" w:rsidRDefault="003F0A73" w:rsidP="003F0A73">
      <w:pPr>
        <w:rPr>
          <w:rFonts w:ascii="Arial" w:hAnsi="Arial" w:cs="Arial"/>
          <w:sz w:val="24"/>
          <w:szCs w:val="24"/>
        </w:rPr>
      </w:pPr>
    </w:p>
    <w:p w:rsidR="003F0A73" w:rsidRDefault="003F0A73" w:rsidP="00FB61DA">
      <w:pPr>
        <w:numPr>
          <w:ilvl w:val="0"/>
          <w:numId w:val="29"/>
        </w:numPr>
        <w:jc w:val="left"/>
        <w:rPr>
          <w:rFonts w:ascii="Arial" w:hAnsi="Arial" w:cs="Times New Roman"/>
          <w:sz w:val="24"/>
          <w:szCs w:val="24"/>
        </w:rPr>
      </w:pPr>
      <w:r>
        <w:rPr>
          <w:rFonts w:ascii="Arial" w:hAnsi="Arial"/>
          <w:sz w:val="24"/>
          <w:szCs w:val="24"/>
        </w:rPr>
        <w:t>Our ‘Easier’ initiatives fail to deliver demand and value</w:t>
      </w:r>
      <w:r w:rsidR="00E65310">
        <w:rPr>
          <w:rFonts w:ascii="Arial" w:hAnsi="Arial"/>
          <w:sz w:val="24"/>
          <w:szCs w:val="24"/>
        </w:rPr>
        <w:t xml:space="preserve"> due to a lack of capabilities and resources to manage the volume of change underway</w:t>
      </w:r>
    </w:p>
    <w:p w:rsidR="003F0A73" w:rsidRDefault="003F0A73" w:rsidP="00FB61DA">
      <w:pPr>
        <w:numPr>
          <w:ilvl w:val="0"/>
          <w:numId w:val="29"/>
        </w:numPr>
        <w:jc w:val="left"/>
        <w:rPr>
          <w:rFonts w:ascii="Arial" w:hAnsi="Arial"/>
          <w:sz w:val="24"/>
          <w:szCs w:val="24"/>
        </w:rPr>
      </w:pPr>
      <w:r>
        <w:rPr>
          <w:rFonts w:ascii="Arial" w:hAnsi="Arial"/>
          <w:sz w:val="24"/>
          <w:szCs w:val="24"/>
        </w:rPr>
        <w:t>Our investment in systems and supply chain platforms fails to deliver the anticipated benefits</w:t>
      </w:r>
    </w:p>
    <w:p w:rsidR="003F0A73" w:rsidRDefault="003F0A73" w:rsidP="00FB61DA">
      <w:pPr>
        <w:numPr>
          <w:ilvl w:val="0"/>
          <w:numId w:val="29"/>
        </w:numPr>
        <w:jc w:val="left"/>
        <w:rPr>
          <w:rFonts w:ascii="Arial" w:hAnsi="Arial"/>
          <w:sz w:val="24"/>
          <w:szCs w:val="24"/>
        </w:rPr>
      </w:pPr>
      <w:r>
        <w:rPr>
          <w:rFonts w:ascii="Arial" w:hAnsi="Arial"/>
          <w:sz w:val="24"/>
          <w:szCs w:val="24"/>
        </w:rPr>
        <w:t>As customers change the way they shop we fail to adapt our business model</w:t>
      </w:r>
      <w:r w:rsidR="004E29A5">
        <w:rPr>
          <w:rFonts w:ascii="Arial" w:hAnsi="Arial"/>
          <w:sz w:val="24"/>
          <w:szCs w:val="24"/>
        </w:rPr>
        <w:t xml:space="preserve"> </w:t>
      </w:r>
      <w:r w:rsidR="00E33EE8">
        <w:rPr>
          <w:rFonts w:ascii="Arial" w:hAnsi="Arial"/>
          <w:sz w:val="24"/>
          <w:szCs w:val="24"/>
        </w:rPr>
        <w:t xml:space="preserve">quickly enough </w:t>
      </w:r>
      <w:r w:rsidR="004E29A5">
        <w:rPr>
          <w:rFonts w:ascii="Arial" w:hAnsi="Arial"/>
          <w:sz w:val="24"/>
          <w:szCs w:val="24"/>
        </w:rPr>
        <w:t>to these changes</w:t>
      </w:r>
    </w:p>
    <w:p w:rsidR="003F0A73" w:rsidRDefault="003F0A73" w:rsidP="00FB61DA">
      <w:pPr>
        <w:numPr>
          <w:ilvl w:val="0"/>
          <w:numId w:val="29"/>
        </w:numPr>
        <w:jc w:val="left"/>
        <w:rPr>
          <w:rFonts w:ascii="Arial" w:hAnsi="Arial"/>
          <w:sz w:val="24"/>
          <w:szCs w:val="24"/>
        </w:rPr>
      </w:pPr>
      <w:r>
        <w:rPr>
          <w:rFonts w:ascii="Arial" w:hAnsi="Arial"/>
          <w:sz w:val="24"/>
          <w:szCs w:val="24"/>
        </w:rPr>
        <w:t>We fail to unlock the potential to generate further shareholder value through the optimisation of combined purchasing and commercial synergies</w:t>
      </w:r>
      <w:r w:rsidR="00E65310">
        <w:rPr>
          <w:rFonts w:ascii="Arial" w:hAnsi="Arial"/>
          <w:sz w:val="24"/>
          <w:szCs w:val="24"/>
        </w:rPr>
        <w:t>, while retaining accountability at the Operating Companies</w:t>
      </w:r>
    </w:p>
    <w:p w:rsidR="003F0A73" w:rsidRDefault="003F0A73" w:rsidP="00FB61DA">
      <w:pPr>
        <w:numPr>
          <w:ilvl w:val="0"/>
          <w:numId w:val="29"/>
        </w:numPr>
        <w:jc w:val="left"/>
        <w:rPr>
          <w:rFonts w:ascii="Arial" w:hAnsi="Arial"/>
          <w:sz w:val="24"/>
          <w:szCs w:val="24"/>
        </w:rPr>
      </w:pPr>
      <w:r>
        <w:rPr>
          <w:rFonts w:ascii="Arial" w:hAnsi="Arial"/>
          <w:sz w:val="24"/>
          <w:szCs w:val="24"/>
        </w:rPr>
        <w:t>We fail to create enough innovation opportunities to sufficiently differentiate our product offer.</w:t>
      </w:r>
    </w:p>
    <w:p w:rsidR="00E65310" w:rsidRDefault="00E65310" w:rsidP="00FB61DA">
      <w:pPr>
        <w:numPr>
          <w:ilvl w:val="0"/>
          <w:numId w:val="29"/>
        </w:numPr>
        <w:jc w:val="left"/>
        <w:rPr>
          <w:rFonts w:ascii="Arial" w:hAnsi="Arial"/>
          <w:sz w:val="24"/>
          <w:szCs w:val="24"/>
        </w:rPr>
      </w:pPr>
      <w:r>
        <w:rPr>
          <w:rFonts w:ascii="Arial" w:hAnsi="Arial"/>
          <w:sz w:val="24"/>
          <w:szCs w:val="24"/>
        </w:rPr>
        <w:t>We fail to identify and maximise potential cost reductions and efficiency savings</w:t>
      </w:r>
    </w:p>
    <w:p w:rsidR="003F0A73" w:rsidRDefault="003F0A73" w:rsidP="00FB61DA">
      <w:pPr>
        <w:numPr>
          <w:ilvl w:val="0"/>
          <w:numId w:val="29"/>
        </w:numPr>
        <w:jc w:val="left"/>
        <w:rPr>
          <w:rFonts w:ascii="Arial" w:hAnsi="Arial"/>
          <w:sz w:val="24"/>
          <w:szCs w:val="24"/>
        </w:rPr>
      </w:pPr>
      <w:r>
        <w:rPr>
          <w:rFonts w:ascii="Arial" w:hAnsi="Arial"/>
          <w:sz w:val="24"/>
          <w:szCs w:val="24"/>
        </w:rPr>
        <w:t>Our investment in new store formats, customer markets</w:t>
      </w:r>
      <w:r w:rsidR="00E33EE8">
        <w:rPr>
          <w:rFonts w:ascii="Arial" w:hAnsi="Arial"/>
          <w:sz w:val="24"/>
          <w:szCs w:val="24"/>
        </w:rPr>
        <w:t xml:space="preserve"> and</w:t>
      </w:r>
      <w:r w:rsidR="00E65310">
        <w:rPr>
          <w:rFonts w:ascii="Arial" w:hAnsi="Arial"/>
          <w:sz w:val="24"/>
          <w:szCs w:val="24"/>
        </w:rPr>
        <w:t xml:space="preserve"> </w:t>
      </w:r>
      <w:r>
        <w:rPr>
          <w:rFonts w:ascii="Arial" w:hAnsi="Arial"/>
          <w:sz w:val="24"/>
          <w:szCs w:val="24"/>
        </w:rPr>
        <w:t>customer proposition strategies</w:t>
      </w:r>
      <w:r w:rsidR="00E65310">
        <w:rPr>
          <w:rFonts w:ascii="Arial" w:hAnsi="Arial"/>
          <w:sz w:val="24"/>
          <w:szCs w:val="24"/>
        </w:rPr>
        <w:t>, particularly our omnichannel development plans</w:t>
      </w:r>
      <w:r>
        <w:rPr>
          <w:rFonts w:ascii="Arial" w:hAnsi="Arial"/>
          <w:sz w:val="24"/>
          <w:szCs w:val="24"/>
        </w:rPr>
        <w:t xml:space="preserve"> fail to stimulate increas</w:t>
      </w:r>
      <w:r w:rsidR="00E65310">
        <w:rPr>
          <w:rFonts w:ascii="Arial" w:hAnsi="Arial"/>
          <w:sz w:val="24"/>
          <w:szCs w:val="24"/>
        </w:rPr>
        <w:t>ed</w:t>
      </w:r>
      <w:r>
        <w:rPr>
          <w:rFonts w:ascii="Arial" w:hAnsi="Arial"/>
          <w:sz w:val="24"/>
          <w:szCs w:val="24"/>
        </w:rPr>
        <w:t xml:space="preserve"> consumer spend</w:t>
      </w:r>
      <w:r w:rsidR="00E65310">
        <w:rPr>
          <w:rFonts w:ascii="Arial" w:hAnsi="Arial"/>
          <w:sz w:val="24"/>
          <w:szCs w:val="24"/>
        </w:rPr>
        <w:t xml:space="preserve"> and do not deliver the desired return to top line like-for-like growth in our mature markets</w:t>
      </w:r>
    </w:p>
    <w:p w:rsidR="003F0A73" w:rsidRDefault="003F0A73" w:rsidP="00FB61DA">
      <w:pPr>
        <w:numPr>
          <w:ilvl w:val="0"/>
          <w:numId w:val="29"/>
        </w:numPr>
        <w:jc w:val="left"/>
        <w:rPr>
          <w:rFonts w:ascii="Arial" w:hAnsi="Arial"/>
          <w:sz w:val="24"/>
          <w:szCs w:val="24"/>
        </w:rPr>
      </w:pPr>
      <w:r>
        <w:rPr>
          <w:rFonts w:ascii="Arial" w:hAnsi="Arial"/>
          <w:sz w:val="24"/>
          <w:szCs w:val="24"/>
        </w:rPr>
        <w:t xml:space="preserve">Uncertainty surrounding the resilience of the global economy </w:t>
      </w:r>
      <w:r w:rsidR="00E65310">
        <w:rPr>
          <w:rFonts w:ascii="Arial" w:hAnsi="Arial"/>
          <w:sz w:val="24"/>
          <w:szCs w:val="24"/>
        </w:rPr>
        <w:t>and increased political volatility may</w:t>
      </w:r>
      <w:r>
        <w:rPr>
          <w:rFonts w:ascii="Arial" w:hAnsi="Arial"/>
          <w:sz w:val="24"/>
          <w:szCs w:val="24"/>
        </w:rPr>
        <w:t xml:space="preserve"> impact both consumer confidence and the long</w:t>
      </w:r>
      <w:r w:rsidR="00E65310">
        <w:rPr>
          <w:rFonts w:ascii="Arial" w:hAnsi="Arial"/>
          <w:sz w:val="24"/>
          <w:szCs w:val="24"/>
        </w:rPr>
        <w:t xml:space="preserve"> </w:t>
      </w:r>
      <w:r>
        <w:rPr>
          <w:rFonts w:ascii="Arial" w:hAnsi="Arial"/>
          <w:sz w:val="24"/>
          <w:szCs w:val="24"/>
        </w:rPr>
        <w:t>term sustainability and capabilities of our supplier base</w:t>
      </w:r>
    </w:p>
    <w:p w:rsidR="003F0A73" w:rsidRDefault="003F0A73" w:rsidP="00FB61DA">
      <w:pPr>
        <w:numPr>
          <w:ilvl w:val="0"/>
          <w:numId w:val="29"/>
        </w:numPr>
        <w:jc w:val="left"/>
        <w:rPr>
          <w:rFonts w:ascii="Arial" w:hAnsi="Arial"/>
          <w:sz w:val="24"/>
          <w:szCs w:val="24"/>
        </w:rPr>
      </w:pPr>
      <w:r>
        <w:rPr>
          <w:rFonts w:ascii="Arial" w:hAnsi="Arial"/>
          <w:sz w:val="24"/>
          <w:szCs w:val="24"/>
        </w:rPr>
        <w:t xml:space="preserve">Our investments in overseas expansion fail to deliver </w:t>
      </w:r>
      <w:r w:rsidR="00E65310">
        <w:rPr>
          <w:rFonts w:ascii="Arial" w:hAnsi="Arial"/>
          <w:sz w:val="24"/>
          <w:szCs w:val="24"/>
        </w:rPr>
        <w:t>value (synergies and cost savings)</w:t>
      </w:r>
    </w:p>
    <w:p w:rsidR="003F0A73" w:rsidRDefault="003F0A73" w:rsidP="00FB61DA">
      <w:pPr>
        <w:numPr>
          <w:ilvl w:val="0"/>
          <w:numId w:val="29"/>
        </w:numPr>
        <w:jc w:val="left"/>
        <w:rPr>
          <w:rFonts w:ascii="Arial" w:hAnsi="Arial"/>
          <w:sz w:val="24"/>
          <w:szCs w:val="24"/>
        </w:rPr>
      </w:pPr>
      <w:r>
        <w:rPr>
          <w:rFonts w:ascii="Arial" w:hAnsi="Arial"/>
          <w:sz w:val="24"/>
          <w:szCs w:val="24"/>
        </w:rPr>
        <w:t>We do not make the necessary investment in our people to ensure that we have the appropriate calibre of staff, skills and experience</w:t>
      </w:r>
    </w:p>
    <w:p w:rsidR="00E33EE8" w:rsidRDefault="003F0A73" w:rsidP="00FB61DA">
      <w:pPr>
        <w:numPr>
          <w:ilvl w:val="0"/>
          <w:numId w:val="29"/>
        </w:numPr>
        <w:jc w:val="left"/>
        <w:rPr>
          <w:rFonts w:ascii="Arial" w:hAnsi="Arial"/>
          <w:sz w:val="24"/>
          <w:szCs w:val="24"/>
        </w:rPr>
      </w:pPr>
      <w:r>
        <w:rPr>
          <w:rFonts w:ascii="Arial" w:hAnsi="Arial"/>
          <w:sz w:val="24"/>
          <w:szCs w:val="24"/>
        </w:rPr>
        <w:t>We fail to deliver our sustainability targets due to not integrating our sustainability plan into the day to day operations of the business</w:t>
      </w:r>
    </w:p>
    <w:p w:rsidR="003F0A73" w:rsidRPr="001F3AEA" w:rsidRDefault="00E33EE8" w:rsidP="001F3AEA">
      <w:pPr>
        <w:numPr>
          <w:ilvl w:val="0"/>
          <w:numId w:val="29"/>
        </w:numPr>
        <w:jc w:val="left"/>
        <w:rPr>
          <w:rFonts w:ascii="Arial" w:hAnsi="Arial"/>
          <w:sz w:val="24"/>
          <w:szCs w:val="24"/>
        </w:rPr>
      </w:pPr>
      <w:r w:rsidRPr="001F3AEA">
        <w:rPr>
          <w:rFonts w:ascii="Arial" w:hAnsi="Arial"/>
          <w:sz w:val="24"/>
          <w:szCs w:val="24"/>
        </w:rPr>
        <w:t>A lack of perceived price competitiveness, particularly, when compared to more discount based or online competitors, would affect our ability to maintain or grow market share</w:t>
      </w:r>
    </w:p>
    <w:p w:rsidR="003F0A73" w:rsidRDefault="003F0A73" w:rsidP="00FB61DA">
      <w:pPr>
        <w:numPr>
          <w:ilvl w:val="0"/>
          <w:numId w:val="29"/>
        </w:numPr>
        <w:jc w:val="left"/>
        <w:rPr>
          <w:rFonts w:ascii="Arial" w:hAnsi="Arial"/>
          <w:sz w:val="24"/>
          <w:szCs w:val="24"/>
        </w:rPr>
      </w:pPr>
      <w:r>
        <w:rPr>
          <w:rFonts w:ascii="Arial" w:hAnsi="Arial"/>
          <w:sz w:val="24"/>
          <w:szCs w:val="24"/>
        </w:rPr>
        <w:t>Key product suppliers lack the necessary resilience or disaster recovery capabilities to manage the impact of ongoing global economic volatility or the increasing impacts of extreme weather cycles and patterns</w:t>
      </w:r>
      <w:r w:rsidR="00E65310">
        <w:rPr>
          <w:rFonts w:ascii="Arial" w:hAnsi="Arial"/>
          <w:sz w:val="24"/>
          <w:szCs w:val="24"/>
        </w:rPr>
        <w:t xml:space="preserve"> on their operations and extended supply chains</w:t>
      </w:r>
    </w:p>
    <w:p w:rsidR="003F0A73" w:rsidRPr="00FB61DA" w:rsidRDefault="003F0A73" w:rsidP="00FB61DA">
      <w:pPr>
        <w:numPr>
          <w:ilvl w:val="0"/>
          <w:numId w:val="29"/>
        </w:numPr>
        <w:jc w:val="left"/>
        <w:rPr>
          <w:rFonts w:ascii="Arial" w:hAnsi="Arial"/>
          <w:sz w:val="24"/>
          <w:szCs w:val="24"/>
        </w:rPr>
      </w:pPr>
      <w:r>
        <w:rPr>
          <w:rFonts w:ascii="Arial" w:hAnsi="Arial"/>
          <w:sz w:val="24"/>
          <w:szCs w:val="24"/>
        </w:rPr>
        <w:t>We fail to maintain a safe environment for our customers and store colleagues</w:t>
      </w:r>
      <w:r w:rsidR="00E65310">
        <w:rPr>
          <w:rFonts w:ascii="Arial" w:hAnsi="Arial"/>
          <w:sz w:val="24"/>
          <w:szCs w:val="24"/>
        </w:rPr>
        <w:t xml:space="preserve"> </w:t>
      </w:r>
      <w:r w:rsidR="00E65310" w:rsidRPr="00FB61DA">
        <w:rPr>
          <w:rFonts w:ascii="Arial" w:hAnsi="Arial"/>
          <w:sz w:val="24"/>
          <w:szCs w:val="24"/>
        </w:rPr>
        <w:t>which results in a major incident or fatality that is directly attributable to a failure in our Health and Safety management systems</w:t>
      </w:r>
    </w:p>
    <w:p w:rsidR="003F0A73" w:rsidRDefault="003F0A73" w:rsidP="00FB61DA">
      <w:pPr>
        <w:numPr>
          <w:ilvl w:val="0"/>
          <w:numId w:val="29"/>
        </w:numPr>
        <w:jc w:val="left"/>
        <w:rPr>
          <w:rFonts w:ascii="Arial" w:hAnsi="Arial"/>
          <w:sz w:val="24"/>
          <w:szCs w:val="24"/>
        </w:rPr>
      </w:pPr>
      <w:r>
        <w:rPr>
          <w:rFonts w:ascii="Arial" w:hAnsi="Arial"/>
          <w:sz w:val="24"/>
          <w:szCs w:val="24"/>
        </w:rPr>
        <w:t>Kingfisher’s reputation and brand are affected by a major environmental or ethical failure, a significant corporate fraud or material non-compliance with legislative or regulatory requirements</w:t>
      </w:r>
      <w:r w:rsidR="00E65310">
        <w:rPr>
          <w:rFonts w:ascii="Arial" w:hAnsi="Arial"/>
          <w:sz w:val="24"/>
          <w:szCs w:val="24"/>
        </w:rPr>
        <w:t xml:space="preserve"> resulting in punitive or custodial procedures</w:t>
      </w:r>
    </w:p>
    <w:p w:rsidR="003F0A73" w:rsidRDefault="003F0A73" w:rsidP="003F0A73">
      <w:pPr>
        <w:rPr>
          <w:rFonts w:ascii="Arial" w:hAnsi="Arial"/>
          <w:sz w:val="24"/>
          <w:szCs w:val="24"/>
        </w:rPr>
      </w:pPr>
    </w:p>
    <w:p w:rsidR="003F0A73" w:rsidRDefault="003F0A73" w:rsidP="003F0A73">
      <w:pPr>
        <w:rPr>
          <w:rFonts w:ascii="Arial" w:hAnsi="Arial"/>
          <w:sz w:val="24"/>
          <w:szCs w:val="24"/>
        </w:rPr>
      </w:pPr>
      <w:r>
        <w:rPr>
          <w:rFonts w:ascii="Arial" w:hAnsi="Arial"/>
          <w:sz w:val="24"/>
          <w:szCs w:val="24"/>
        </w:rPr>
        <w:t>Further details of the Group risks and risk management process can be found on pages 28 to 31 of the 2013/14 Annual Report and Accounts.</w:t>
      </w:r>
    </w:p>
    <w:p w:rsidR="00E65310" w:rsidRDefault="00E65310">
      <w:pPr>
        <w:jc w:val="left"/>
        <w:rPr>
          <w:rFonts w:ascii="Arial" w:hAnsi="Arial" w:cs="Arial"/>
          <w:b/>
          <w:bCs/>
          <w:sz w:val="24"/>
          <w:szCs w:val="24"/>
        </w:rPr>
      </w:pPr>
      <w:r>
        <w:rPr>
          <w:rFonts w:ascii="Arial" w:hAnsi="Arial" w:cs="Arial"/>
          <w:b/>
          <w:bCs/>
          <w:sz w:val="24"/>
          <w:szCs w:val="24"/>
        </w:rPr>
        <w:br w:type="page"/>
      </w:r>
    </w:p>
    <w:p w:rsidR="00421ED6" w:rsidRDefault="00766191" w:rsidP="00A64D40">
      <w:pPr>
        <w:jc w:val="left"/>
        <w:rPr>
          <w:rFonts w:ascii="Arial" w:hAnsi="Arial" w:cs="Arial"/>
          <w:b/>
          <w:bCs/>
          <w:sz w:val="24"/>
          <w:szCs w:val="24"/>
        </w:rPr>
      </w:pPr>
      <w:r>
        <w:rPr>
          <w:rFonts w:ascii="Arial" w:hAnsi="Arial" w:cs="Arial"/>
          <w:b/>
          <w:bCs/>
          <w:sz w:val="24"/>
          <w:szCs w:val="24"/>
        </w:rPr>
        <w:lastRenderedPageBreak/>
        <w:t>S</w:t>
      </w:r>
      <w:r w:rsidR="00376255">
        <w:rPr>
          <w:rFonts w:ascii="Arial" w:hAnsi="Arial" w:cs="Arial"/>
          <w:b/>
          <w:bCs/>
          <w:sz w:val="24"/>
          <w:szCs w:val="24"/>
        </w:rPr>
        <w:t xml:space="preserve">ection 5: </w:t>
      </w:r>
      <w:r w:rsidR="00421ED6">
        <w:rPr>
          <w:rFonts w:ascii="Arial" w:hAnsi="Arial" w:cs="Arial"/>
          <w:b/>
          <w:bCs/>
          <w:sz w:val="24"/>
          <w:szCs w:val="24"/>
        </w:rPr>
        <w:t>GLOSSARY</w:t>
      </w:r>
      <w:r w:rsidR="00F92C7C">
        <w:rPr>
          <w:rFonts w:ascii="Arial" w:hAnsi="Arial" w:cs="Arial"/>
          <w:b/>
          <w:bCs/>
          <w:sz w:val="24"/>
          <w:szCs w:val="24"/>
        </w:rPr>
        <w:t xml:space="preserve"> (terms are listed in alphabetical order)</w:t>
      </w:r>
    </w:p>
    <w:p w:rsidR="00421ED6" w:rsidRDefault="00421ED6" w:rsidP="00421ED6">
      <w:pPr>
        <w:rPr>
          <w:rFonts w:ascii="Arial" w:hAnsi="Arial" w:cs="Arial"/>
          <w:b/>
          <w:sz w:val="20"/>
          <w:szCs w:val="20"/>
        </w:rPr>
      </w:pPr>
    </w:p>
    <w:p w:rsidR="00421ED6" w:rsidRPr="00CB5842" w:rsidRDefault="00421ED6" w:rsidP="00930C11">
      <w:pPr>
        <w:jc w:val="left"/>
        <w:rPr>
          <w:rFonts w:ascii="Arial" w:hAnsi="Arial" w:cs="Arial"/>
          <w:iCs/>
          <w:sz w:val="24"/>
          <w:szCs w:val="24"/>
        </w:rPr>
      </w:pPr>
      <w:r w:rsidRPr="00CB5842">
        <w:rPr>
          <w:rFonts w:ascii="Arial" w:hAnsi="Arial" w:cs="Arial"/>
          <w:b/>
          <w:sz w:val="24"/>
          <w:szCs w:val="24"/>
        </w:rPr>
        <w:t>Adjusted</w:t>
      </w:r>
      <w:r w:rsidRPr="00CB5842">
        <w:rPr>
          <w:rFonts w:ascii="Arial" w:hAnsi="Arial" w:cs="Arial"/>
          <w:iCs/>
          <w:sz w:val="24"/>
          <w:szCs w:val="24"/>
        </w:rPr>
        <w:t xml:space="preserve"> measures are before</w:t>
      </w:r>
      <w:r w:rsidR="00D01ADE">
        <w:rPr>
          <w:rFonts w:ascii="Arial" w:hAnsi="Arial" w:cs="Arial"/>
          <w:iCs/>
          <w:sz w:val="24"/>
          <w:szCs w:val="24"/>
        </w:rPr>
        <w:t xml:space="preserve"> </w:t>
      </w:r>
      <w:r w:rsidRPr="00CB5842">
        <w:rPr>
          <w:rFonts w:ascii="Arial" w:hAnsi="Arial" w:cs="Arial"/>
          <w:iCs/>
          <w:sz w:val="24"/>
          <w:szCs w:val="24"/>
        </w:rPr>
        <w:t>exceptional items, financing fair value remeasurements, amortisation of acquisition intangibles, related tax items and tax on prior year items</w:t>
      </w:r>
      <w:r w:rsidR="00DA44CF" w:rsidRPr="00CB5842">
        <w:rPr>
          <w:rFonts w:ascii="Arial" w:hAnsi="Arial" w:cs="Arial"/>
          <w:iCs/>
          <w:sz w:val="24"/>
          <w:szCs w:val="24"/>
        </w:rPr>
        <w:t xml:space="preserve"> including the impact of rate changes on deferred tax</w:t>
      </w:r>
      <w:r w:rsidRPr="00CB5842">
        <w:rPr>
          <w:rFonts w:ascii="Arial" w:hAnsi="Arial" w:cs="Arial"/>
          <w:iCs/>
          <w:sz w:val="24"/>
          <w:szCs w:val="24"/>
        </w:rPr>
        <w:t xml:space="preserve">. </w:t>
      </w:r>
      <w:r w:rsidR="002D69B5">
        <w:rPr>
          <w:rFonts w:ascii="Arial" w:hAnsi="Arial" w:cs="Arial"/>
          <w:iCs/>
          <w:sz w:val="24"/>
          <w:szCs w:val="24"/>
        </w:rPr>
        <w:t xml:space="preserve">2013/14 comparatives have been restated to exclude the share of Hornbach results. </w:t>
      </w:r>
      <w:r w:rsidRPr="00CB5842">
        <w:rPr>
          <w:rFonts w:ascii="Arial" w:hAnsi="Arial" w:cs="Arial"/>
          <w:iCs/>
          <w:sz w:val="24"/>
          <w:szCs w:val="24"/>
        </w:rPr>
        <w:t>A reconciliation to statutory amounts is set out in the Financial Review (Section 4).</w:t>
      </w:r>
    </w:p>
    <w:p w:rsidR="00421ED6" w:rsidRPr="00CB5842" w:rsidRDefault="00421ED6" w:rsidP="00421ED6">
      <w:pPr>
        <w:rPr>
          <w:rFonts w:ascii="Arial" w:hAnsi="Arial" w:cs="Arial"/>
          <w:iCs/>
          <w:sz w:val="20"/>
          <w:szCs w:val="20"/>
          <w:highlight w:val="yellow"/>
        </w:rPr>
      </w:pPr>
    </w:p>
    <w:p w:rsidR="00421ED6" w:rsidRDefault="00421ED6" w:rsidP="00687DBD">
      <w:pPr>
        <w:jc w:val="left"/>
        <w:rPr>
          <w:rFonts w:ascii="Arial" w:hAnsi="Arial" w:cs="Arial"/>
          <w:iCs/>
          <w:sz w:val="24"/>
          <w:szCs w:val="24"/>
        </w:rPr>
      </w:pPr>
      <w:r w:rsidRPr="00614E39">
        <w:rPr>
          <w:rFonts w:ascii="Arial" w:hAnsi="Arial" w:cs="Arial"/>
          <w:b/>
          <w:iCs/>
          <w:sz w:val="24"/>
          <w:szCs w:val="24"/>
        </w:rPr>
        <w:t xml:space="preserve">Banque de France </w:t>
      </w:r>
      <w:r w:rsidR="00D71302" w:rsidRPr="00614E39">
        <w:rPr>
          <w:rFonts w:ascii="Arial" w:hAnsi="Arial" w:cs="Arial"/>
          <w:iCs/>
          <w:sz w:val="24"/>
          <w:szCs w:val="24"/>
        </w:rPr>
        <w:t>d</w:t>
      </w:r>
      <w:r w:rsidRPr="00614E39">
        <w:rPr>
          <w:rFonts w:ascii="Arial" w:hAnsi="Arial" w:cs="Arial"/>
          <w:iCs/>
          <w:sz w:val="24"/>
          <w:szCs w:val="24"/>
        </w:rPr>
        <w:t>ata includes relocated and extended stores</w:t>
      </w:r>
      <w:r w:rsidR="008A7B91" w:rsidRPr="00614E39">
        <w:rPr>
          <w:rFonts w:ascii="Arial" w:hAnsi="Arial" w:cs="Arial"/>
          <w:iCs/>
          <w:sz w:val="24"/>
          <w:szCs w:val="24"/>
        </w:rPr>
        <w:t>.</w:t>
      </w:r>
      <w:r w:rsidR="00F76A35">
        <w:rPr>
          <w:rFonts w:ascii="Arial" w:hAnsi="Arial" w:cs="Arial"/>
          <w:iCs/>
          <w:sz w:val="24"/>
          <w:szCs w:val="24"/>
        </w:rPr>
        <w:t xml:space="preserve"> July 2014 data is provisional. </w:t>
      </w:r>
    </w:p>
    <w:p w:rsidR="0037416A" w:rsidRPr="008152E6" w:rsidRDefault="0042027F" w:rsidP="008152E6">
      <w:pPr>
        <w:jc w:val="left"/>
        <w:rPr>
          <w:rFonts w:ascii="Arial" w:hAnsi="Arial" w:cs="Arial"/>
          <w:iCs/>
          <w:sz w:val="24"/>
          <w:szCs w:val="24"/>
        </w:rPr>
      </w:pPr>
      <w:hyperlink r:id="rId11" w:history="1">
        <w:r w:rsidR="0037416A" w:rsidRPr="008152E6">
          <w:rPr>
            <w:rStyle w:val="Hyperlink"/>
            <w:rFonts w:ascii="Arial" w:hAnsi="Arial" w:cs="Arial"/>
            <w:iCs/>
            <w:sz w:val="24"/>
            <w:szCs w:val="24"/>
          </w:rPr>
          <w:t>http://webstat.banque-france.fr/en/browse.do?node=5384326</w:t>
        </w:r>
      </w:hyperlink>
      <w:r w:rsidR="0037416A">
        <w:rPr>
          <w:rFonts w:ascii="Arial" w:hAnsi="Arial" w:cs="Arial"/>
          <w:iCs/>
          <w:sz w:val="24"/>
          <w:szCs w:val="24"/>
        </w:rPr>
        <w:t xml:space="preserve"> </w:t>
      </w:r>
      <w:r w:rsidR="0037416A" w:rsidRPr="008152E6" w:rsidDel="0037416A">
        <w:rPr>
          <w:rFonts w:ascii="Arial" w:hAnsi="Arial" w:cs="Arial"/>
          <w:iCs/>
          <w:sz w:val="24"/>
          <w:szCs w:val="24"/>
        </w:rPr>
        <w:t xml:space="preserve"> </w:t>
      </w:r>
    </w:p>
    <w:p w:rsidR="0084730E" w:rsidRPr="00614E39" w:rsidRDefault="0084730E" w:rsidP="00421ED6">
      <w:pPr>
        <w:rPr>
          <w:rFonts w:ascii="Arial" w:hAnsi="Arial" w:cs="Arial"/>
          <w:iCs/>
          <w:sz w:val="24"/>
          <w:szCs w:val="24"/>
        </w:rPr>
      </w:pPr>
    </w:p>
    <w:p w:rsidR="0084730E" w:rsidRPr="00614E39" w:rsidRDefault="0084730E" w:rsidP="001F3AEA">
      <w:pPr>
        <w:jc w:val="left"/>
        <w:rPr>
          <w:rFonts w:ascii="Arial" w:hAnsi="Arial" w:cs="Arial"/>
          <w:iCs/>
          <w:sz w:val="24"/>
          <w:szCs w:val="24"/>
        </w:rPr>
      </w:pPr>
      <w:r w:rsidRPr="00614E39">
        <w:rPr>
          <w:rFonts w:ascii="Arial" w:hAnsi="Arial" w:cs="Arial"/>
          <w:b/>
          <w:iCs/>
          <w:sz w:val="24"/>
          <w:szCs w:val="24"/>
        </w:rPr>
        <w:t>Chinese property market</w:t>
      </w:r>
      <w:r w:rsidRPr="00614E39">
        <w:rPr>
          <w:rFonts w:ascii="Arial" w:hAnsi="Arial" w:cs="Arial"/>
          <w:iCs/>
          <w:sz w:val="24"/>
          <w:szCs w:val="24"/>
        </w:rPr>
        <w:t xml:space="preserve"> – new property market transactions sales down </w:t>
      </w:r>
      <w:r w:rsidR="004120DC">
        <w:rPr>
          <w:rFonts w:ascii="Arial" w:hAnsi="Arial" w:cs="Arial"/>
          <w:iCs/>
          <w:sz w:val="24"/>
          <w:szCs w:val="24"/>
        </w:rPr>
        <w:t>1</w:t>
      </w:r>
      <w:r w:rsidRPr="00614E39">
        <w:rPr>
          <w:rFonts w:ascii="Arial" w:hAnsi="Arial" w:cs="Arial"/>
          <w:iCs/>
          <w:sz w:val="24"/>
          <w:szCs w:val="24"/>
        </w:rPr>
        <w:t xml:space="preserve">8% </w:t>
      </w:r>
      <w:r w:rsidR="00B23F1E">
        <w:rPr>
          <w:rFonts w:ascii="Arial" w:hAnsi="Arial" w:cs="Arial"/>
          <w:iCs/>
          <w:sz w:val="24"/>
          <w:szCs w:val="24"/>
        </w:rPr>
        <w:t xml:space="preserve">for the six months to June 2014 for 17 cities in which B&amp;Q </w:t>
      </w:r>
      <w:r w:rsidR="004E29A5">
        <w:rPr>
          <w:rFonts w:ascii="Arial" w:hAnsi="Arial" w:cs="Arial"/>
          <w:iCs/>
          <w:sz w:val="24"/>
          <w:szCs w:val="24"/>
        </w:rPr>
        <w:t>C</w:t>
      </w:r>
      <w:r w:rsidR="00B23F1E">
        <w:rPr>
          <w:rFonts w:ascii="Arial" w:hAnsi="Arial" w:cs="Arial"/>
          <w:iCs/>
          <w:sz w:val="24"/>
          <w:szCs w:val="24"/>
        </w:rPr>
        <w:t>hina operat</w:t>
      </w:r>
      <w:r w:rsidR="004E29A5">
        <w:rPr>
          <w:rFonts w:ascii="Arial" w:hAnsi="Arial" w:cs="Arial"/>
          <w:iCs/>
          <w:sz w:val="24"/>
          <w:szCs w:val="24"/>
        </w:rPr>
        <w:t>es</w:t>
      </w:r>
      <w:r w:rsidR="00B23F1E">
        <w:rPr>
          <w:rFonts w:ascii="Arial" w:hAnsi="Arial" w:cs="Arial"/>
          <w:iCs/>
          <w:sz w:val="24"/>
          <w:szCs w:val="24"/>
        </w:rPr>
        <w:t xml:space="preserve">, according to the China Real Estate Exchange. </w:t>
      </w:r>
    </w:p>
    <w:p w:rsidR="00D21FEC" w:rsidRPr="00CB5842" w:rsidRDefault="00D21FEC" w:rsidP="00614E39">
      <w:pPr>
        <w:rPr>
          <w:highlight w:val="yellow"/>
        </w:rPr>
      </w:pPr>
    </w:p>
    <w:p w:rsidR="00D21FEC" w:rsidRPr="00B812E2" w:rsidRDefault="00D21FEC" w:rsidP="007678AD">
      <w:pPr>
        <w:jc w:val="left"/>
        <w:rPr>
          <w:rFonts w:ascii="Arial" w:hAnsi="Arial" w:cs="Arial"/>
          <w:iCs/>
          <w:sz w:val="24"/>
          <w:szCs w:val="24"/>
        </w:rPr>
      </w:pPr>
      <w:r w:rsidRPr="00B812E2">
        <w:rPr>
          <w:rFonts w:ascii="Arial" w:hAnsi="Arial" w:cs="Arial"/>
          <w:b/>
          <w:iCs/>
          <w:sz w:val="24"/>
          <w:szCs w:val="24"/>
        </w:rPr>
        <w:t>Common</w:t>
      </w:r>
      <w:r w:rsidRPr="00B812E2">
        <w:rPr>
          <w:rFonts w:ascii="Arial" w:hAnsi="Arial" w:cs="Arial"/>
          <w:iCs/>
          <w:sz w:val="24"/>
          <w:szCs w:val="24"/>
        </w:rPr>
        <w:t xml:space="preserve"> means two or more operating companies selling the same product</w:t>
      </w:r>
      <w:r w:rsidR="00D222F8">
        <w:rPr>
          <w:rFonts w:ascii="Arial" w:hAnsi="Arial" w:cs="Arial"/>
          <w:iCs/>
          <w:sz w:val="24"/>
          <w:szCs w:val="24"/>
        </w:rPr>
        <w:t>,</w:t>
      </w:r>
      <w:r w:rsidRPr="00B812E2">
        <w:rPr>
          <w:rFonts w:ascii="Arial" w:hAnsi="Arial" w:cs="Arial"/>
          <w:iCs/>
          <w:sz w:val="24"/>
          <w:szCs w:val="24"/>
        </w:rPr>
        <w:t xml:space="preserve"> or a similar product but from the same supplier where the same product is not possible due to market / legal reasons (e.g. electrical extension cable which is </w:t>
      </w:r>
      <w:r w:rsidR="007B34C0">
        <w:rPr>
          <w:rFonts w:ascii="Arial" w:hAnsi="Arial" w:cs="Arial"/>
          <w:iCs/>
          <w:sz w:val="24"/>
          <w:szCs w:val="24"/>
        </w:rPr>
        <w:t xml:space="preserve">from </w:t>
      </w:r>
      <w:r w:rsidRPr="00B812E2">
        <w:rPr>
          <w:rFonts w:ascii="Arial" w:hAnsi="Arial" w:cs="Arial"/>
          <w:iCs/>
          <w:sz w:val="24"/>
          <w:szCs w:val="24"/>
        </w:rPr>
        <w:t>the same supplier but with different electrical sockets).</w:t>
      </w:r>
    </w:p>
    <w:p w:rsidR="00E652D5" w:rsidRPr="00CB5842" w:rsidRDefault="00E652D5" w:rsidP="00421ED6">
      <w:pPr>
        <w:rPr>
          <w:rFonts w:ascii="Arial" w:hAnsi="Arial" w:cs="Arial"/>
          <w:iCs/>
          <w:sz w:val="24"/>
          <w:szCs w:val="24"/>
          <w:highlight w:val="yellow"/>
        </w:rPr>
      </w:pPr>
    </w:p>
    <w:p w:rsidR="00A5442E" w:rsidRPr="00C0194C" w:rsidRDefault="00E80A1D" w:rsidP="00E80A1D">
      <w:pPr>
        <w:jc w:val="left"/>
        <w:rPr>
          <w:rFonts w:ascii="Arial" w:hAnsi="Arial" w:cs="Arial"/>
          <w:iCs/>
          <w:sz w:val="24"/>
          <w:szCs w:val="24"/>
        </w:rPr>
      </w:pPr>
      <w:r w:rsidRPr="00C0194C">
        <w:rPr>
          <w:rFonts w:ascii="Arial" w:hAnsi="Arial" w:cs="Arial"/>
          <w:b/>
          <w:iCs/>
          <w:sz w:val="24"/>
          <w:szCs w:val="24"/>
        </w:rPr>
        <w:t>EBITDA</w:t>
      </w:r>
      <w:r w:rsidRPr="00C0194C">
        <w:rPr>
          <w:rFonts w:ascii="Arial" w:hAnsi="Arial" w:cs="Arial"/>
          <w:iCs/>
          <w:sz w:val="24"/>
          <w:szCs w:val="24"/>
        </w:rPr>
        <w:t xml:space="preserve"> </w:t>
      </w:r>
      <w:r w:rsidR="009051DE" w:rsidRPr="00C0194C">
        <w:rPr>
          <w:rFonts w:ascii="Arial" w:hAnsi="Arial" w:cs="Arial"/>
          <w:iCs/>
          <w:sz w:val="24"/>
          <w:szCs w:val="24"/>
        </w:rPr>
        <w:t xml:space="preserve">(earnings before interest, tax, depreciation and amortisation) which is </w:t>
      </w:r>
      <w:r w:rsidRPr="00C0194C">
        <w:rPr>
          <w:rFonts w:ascii="Arial" w:hAnsi="Arial" w:cs="Arial"/>
          <w:iCs/>
          <w:sz w:val="24"/>
          <w:szCs w:val="24"/>
        </w:rPr>
        <w:t xml:space="preserve">calculated as </w:t>
      </w:r>
      <w:r w:rsidR="00A5442E">
        <w:rPr>
          <w:rFonts w:ascii="Arial" w:hAnsi="Arial" w:cs="Arial"/>
          <w:iCs/>
          <w:sz w:val="24"/>
          <w:szCs w:val="24"/>
        </w:rPr>
        <w:t>r</w:t>
      </w:r>
      <w:r w:rsidRPr="00C0194C">
        <w:rPr>
          <w:rFonts w:ascii="Arial" w:hAnsi="Arial" w:cs="Arial"/>
          <w:iCs/>
          <w:sz w:val="24"/>
          <w:szCs w:val="24"/>
        </w:rPr>
        <w:t>etail profit less central costs and before depreciation and amortisation.</w:t>
      </w:r>
    </w:p>
    <w:p w:rsidR="00F60788" w:rsidRPr="00C0194C" w:rsidRDefault="00F60788" w:rsidP="00E80A1D">
      <w:pPr>
        <w:jc w:val="left"/>
        <w:rPr>
          <w:rFonts w:ascii="Arial" w:hAnsi="Arial" w:cs="Arial"/>
          <w:iCs/>
          <w:sz w:val="24"/>
          <w:szCs w:val="24"/>
        </w:rPr>
      </w:pPr>
    </w:p>
    <w:p w:rsidR="00F60788" w:rsidRPr="00C0194C" w:rsidRDefault="00F60788" w:rsidP="00E80A1D">
      <w:pPr>
        <w:jc w:val="left"/>
        <w:rPr>
          <w:rFonts w:ascii="Arial" w:hAnsi="Arial" w:cs="Arial"/>
          <w:i/>
          <w:sz w:val="18"/>
          <w:szCs w:val="18"/>
        </w:rPr>
      </w:pPr>
      <w:r w:rsidRPr="00C0194C">
        <w:rPr>
          <w:rFonts w:ascii="Arial" w:hAnsi="Arial" w:cs="Arial"/>
          <w:b/>
          <w:iCs/>
          <w:sz w:val="24"/>
          <w:szCs w:val="24"/>
        </w:rPr>
        <w:t>EBITDAR</w:t>
      </w:r>
      <w:r w:rsidRPr="00C0194C">
        <w:rPr>
          <w:rFonts w:ascii="Arial" w:hAnsi="Arial" w:cs="Arial"/>
          <w:iCs/>
          <w:sz w:val="24"/>
          <w:szCs w:val="24"/>
        </w:rPr>
        <w:t xml:space="preserve"> (earnings before interest, tax, depreciation, amortisation and property operating lease rentals) which is c</w:t>
      </w:r>
      <w:r w:rsidR="005C6367" w:rsidRPr="00C0194C">
        <w:rPr>
          <w:rFonts w:ascii="Arial" w:hAnsi="Arial" w:cs="Arial"/>
          <w:iCs/>
          <w:sz w:val="24"/>
          <w:szCs w:val="24"/>
        </w:rPr>
        <w:t xml:space="preserve">alculated as </w:t>
      </w:r>
      <w:r w:rsidR="004E29A5">
        <w:rPr>
          <w:rFonts w:ascii="Arial" w:hAnsi="Arial" w:cs="Arial"/>
          <w:iCs/>
          <w:sz w:val="24"/>
          <w:szCs w:val="24"/>
        </w:rPr>
        <w:t>r</w:t>
      </w:r>
      <w:r w:rsidRPr="00C0194C">
        <w:rPr>
          <w:rFonts w:ascii="Arial" w:hAnsi="Arial" w:cs="Arial"/>
          <w:iCs/>
          <w:sz w:val="24"/>
          <w:szCs w:val="24"/>
        </w:rPr>
        <w:t xml:space="preserve">etail profit less central costs, before depreciation and amortisation and property operating lease rentals. </w:t>
      </w:r>
    </w:p>
    <w:p w:rsidR="00E80A1D" w:rsidRPr="00CB5842" w:rsidRDefault="00E80A1D" w:rsidP="00E652D5">
      <w:pPr>
        <w:jc w:val="left"/>
        <w:rPr>
          <w:rFonts w:ascii="Arial" w:hAnsi="Arial" w:cs="Arial"/>
          <w:b/>
          <w:iCs/>
          <w:sz w:val="24"/>
          <w:szCs w:val="24"/>
          <w:highlight w:val="yellow"/>
        </w:rPr>
      </w:pPr>
    </w:p>
    <w:p w:rsidR="00E652D5" w:rsidRPr="00614E39" w:rsidRDefault="00E652D5" w:rsidP="00E652D5">
      <w:pPr>
        <w:jc w:val="left"/>
        <w:rPr>
          <w:rFonts w:ascii="Arial" w:hAnsi="Arial" w:cs="Arial"/>
          <w:iCs/>
          <w:sz w:val="24"/>
          <w:szCs w:val="24"/>
        </w:rPr>
      </w:pPr>
      <w:r w:rsidRPr="00614E39">
        <w:rPr>
          <w:rFonts w:ascii="Arial" w:hAnsi="Arial" w:cs="Arial"/>
          <w:b/>
          <w:iCs/>
          <w:sz w:val="24"/>
          <w:szCs w:val="24"/>
        </w:rPr>
        <w:t>France</w:t>
      </w:r>
      <w:r w:rsidRPr="00614E39">
        <w:rPr>
          <w:rFonts w:ascii="Arial" w:hAnsi="Arial" w:cs="Arial"/>
          <w:iCs/>
          <w:sz w:val="24"/>
          <w:szCs w:val="24"/>
        </w:rPr>
        <w:t xml:space="preserve"> </w:t>
      </w:r>
      <w:r w:rsidR="00D71302" w:rsidRPr="00614E39">
        <w:rPr>
          <w:rFonts w:ascii="Arial" w:hAnsi="Arial" w:cs="Arial"/>
          <w:iCs/>
          <w:sz w:val="24"/>
          <w:szCs w:val="24"/>
        </w:rPr>
        <w:t>consists of</w:t>
      </w:r>
      <w:r w:rsidRPr="00614E39">
        <w:rPr>
          <w:rFonts w:ascii="Arial" w:hAnsi="Arial" w:cs="Arial"/>
          <w:iCs/>
          <w:sz w:val="24"/>
          <w:szCs w:val="24"/>
        </w:rPr>
        <w:t xml:space="preserve"> Castorama</w:t>
      </w:r>
      <w:r w:rsidR="00684C33" w:rsidRPr="00614E39">
        <w:rPr>
          <w:rFonts w:ascii="Arial" w:hAnsi="Arial" w:cs="Arial"/>
          <w:iCs/>
          <w:sz w:val="24"/>
          <w:szCs w:val="24"/>
        </w:rPr>
        <w:t xml:space="preserve"> France </w:t>
      </w:r>
      <w:r w:rsidRPr="00614E39">
        <w:rPr>
          <w:rFonts w:ascii="Arial" w:hAnsi="Arial" w:cs="Arial"/>
          <w:iCs/>
          <w:sz w:val="24"/>
          <w:szCs w:val="24"/>
        </w:rPr>
        <w:t>and Brico Dépôt</w:t>
      </w:r>
      <w:r w:rsidR="00684C33" w:rsidRPr="00614E39">
        <w:rPr>
          <w:rFonts w:ascii="Arial" w:hAnsi="Arial" w:cs="Arial"/>
          <w:iCs/>
          <w:sz w:val="24"/>
          <w:szCs w:val="24"/>
        </w:rPr>
        <w:t xml:space="preserve"> France</w:t>
      </w:r>
      <w:r w:rsidR="000045F9" w:rsidRPr="00614E39">
        <w:rPr>
          <w:rFonts w:ascii="Arial" w:hAnsi="Arial" w:cs="Arial"/>
          <w:iCs/>
          <w:sz w:val="24"/>
          <w:szCs w:val="24"/>
        </w:rPr>
        <w:t>.</w:t>
      </w:r>
    </w:p>
    <w:p w:rsidR="00E832E5" w:rsidRPr="00CB5842" w:rsidRDefault="00E832E5" w:rsidP="00E652D5">
      <w:pPr>
        <w:jc w:val="left"/>
        <w:rPr>
          <w:rFonts w:ascii="Arial" w:hAnsi="Arial" w:cs="Arial"/>
          <w:iCs/>
          <w:sz w:val="24"/>
          <w:szCs w:val="24"/>
          <w:highlight w:val="yellow"/>
        </w:rPr>
      </w:pPr>
    </w:p>
    <w:p w:rsidR="00E832E5" w:rsidRPr="00C0194C" w:rsidRDefault="00E832E5" w:rsidP="00E832E5">
      <w:pPr>
        <w:jc w:val="left"/>
        <w:rPr>
          <w:rFonts w:ascii="Arial" w:hAnsi="Arial" w:cs="Arial"/>
          <w:iCs/>
          <w:sz w:val="24"/>
          <w:szCs w:val="24"/>
        </w:rPr>
      </w:pPr>
      <w:r w:rsidRPr="00C0194C">
        <w:rPr>
          <w:rFonts w:ascii="Arial" w:hAnsi="Arial" w:cs="Arial"/>
          <w:b/>
          <w:iCs/>
          <w:sz w:val="24"/>
          <w:szCs w:val="24"/>
        </w:rPr>
        <w:t xml:space="preserve">Free cash flow </w:t>
      </w:r>
      <w:r w:rsidRPr="00C0194C">
        <w:rPr>
          <w:rFonts w:ascii="Arial" w:hAnsi="Arial" w:cs="Arial"/>
          <w:iCs/>
          <w:sz w:val="24"/>
          <w:szCs w:val="24"/>
        </w:rPr>
        <w:t xml:space="preserve">represents cash generated from operations less the amount spent on tax, interest and </w:t>
      </w:r>
      <w:r w:rsidR="00CF5C09">
        <w:rPr>
          <w:rFonts w:ascii="Arial" w:hAnsi="Arial" w:cs="Arial"/>
          <w:iCs/>
          <w:sz w:val="24"/>
          <w:szCs w:val="24"/>
        </w:rPr>
        <w:t xml:space="preserve">net </w:t>
      </w:r>
      <w:r w:rsidRPr="00C0194C">
        <w:rPr>
          <w:rFonts w:ascii="Arial" w:hAnsi="Arial" w:cs="Arial"/>
          <w:iCs/>
          <w:sz w:val="24"/>
          <w:szCs w:val="24"/>
        </w:rPr>
        <w:t xml:space="preserve">capital expenditure during the year (excluding </w:t>
      </w:r>
      <w:r w:rsidR="00CF5C09">
        <w:rPr>
          <w:rFonts w:ascii="Arial" w:hAnsi="Arial" w:cs="Arial"/>
          <w:iCs/>
          <w:sz w:val="24"/>
          <w:szCs w:val="24"/>
        </w:rPr>
        <w:t xml:space="preserve">business </w:t>
      </w:r>
      <w:r w:rsidRPr="00C0194C">
        <w:rPr>
          <w:rFonts w:ascii="Arial" w:hAnsi="Arial" w:cs="Arial"/>
          <w:iCs/>
          <w:sz w:val="24"/>
          <w:szCs w:val="24"/>
        </w:rPr>
        <w:t>acquisitions</w:t>
      </w:r>
      <w:r w:rsidR="00CF5C09">
        <w:rPr>
          <w:rFonts w:ascii="Arial" w:hAnsi="Arial" w:cs="Arial"/>
          <w:iCs/>
          <w:sz w:val="24"/>
          <w:szCs w:val="24"/>
        </w:rPr>
        <w:t xml:space="preserve"> and disposals</w:t>
      </w:r>
      <w:r w:rsidRPr="00C0194C">
        <w:rPr>
          <w:rFonts w:ascii="Arial" w:hAnsi="Arial" w:cs="Arial"/>
          <w:iCs/>
          <w:sz w:val="24"/>
          <w:szCs w:val="24"/>
        </w:rPr>
        <w:t>).</w:t>
      </w:r>
      <w:r w:rsidR="007F02C0" w:rsidRPr="00C0194C">
        <w:rPr>
          <w:rFonts w:ascii="Arial" w:hAnsi="Arial" w:cs="Arial"/>
          <w:iCs/>
          <w:sz w:val="24"/>
          <w:szCs w:val="24"/>
        </w:rPr>
        <w:t xml:space="preserve"> A reconciliation from operating profit (before exceptional items) is set out in the Financial Review (Section 4). </w:t>
      </w:r>
    </w:p>
    <w:p w:rsidR="00234FFB" w:rsidRDefault="00234FFB" w:rsidP="00E652D5">
      <w:pPr>
        <w:jc w:val="left"/>
        <w:rPr>
          <w:rFonts w:ascii="Arial" w:hAnsi="Arial" w:cs="Arial"/>
          <w:iCs/>
          <w:sz w:val="24"/>
          <w:szCs w:val="24"/>
          <w:highlight w:val="yellow"/>
        </w:rPr>
      </w:pPr>
    </w:p>
    <w:p w:rsidR="0084730E" w:rsidRPr="00614E39" w:rsidRDefault="0084730E" w:rsidP="00E652D5">
      <w:pPr>
        <w:jc w:val="left"/>
        <w:rPr>
          <w:rFonts w:ascii="Arial" w:hAnsi="Arial" w:cs="Arial"/>
          <w:b/>
          <w:iCs/>
          <w:sz w:val="24"/>
          <w:szCs w:val="24"/>
        </w:rPr>
      </w:pPr>
      <w:r w:rsidRPr="00614E39">
        <w:rPr>
          <w:rFonts w:ascii="Arial" w:hAnsi="Arial" w:cs="Arial"/>
          <w:b/>
          <w:iCs/>
          <w:sz w:val="24"/>
          <w:szCs w:val="24"/>
        </w:rPr>
        <w:t>French property market</w:t>
      </w:r>
    </w:p>
    <w:p w:rsidR="0084730E" w:rsidRPr="00614E39" w:rsidRDefault="0084730E" w:rsidP="00E652D5">
      <w:pPr>
        <w:jc w:val="left"/>
        <w:rPr>
          <w:rFonts w:ascii="Arial" w:hAnsi="Arial" w:cs="Arial"/>
          <w:iCs/>
          <w:sz w:val="24"/>
          <w:szCs w:val="24"/>
        </w:rPr>
      </w:pPr>
      <w:r w:rsidRPr="00614E39">
        <w:rPr>
          <w:rFonts w:ascii="Arial" w:hAnsi="Arial" w:cs="Arial"/>
          <w:iCs/>
          <w:sz w:val="24"/>
          <w:szCs w:val="24"/>
        </w:rPr>
        <w:t>New housing starts and planning consent data for the six months to July 2014 according to the Ministry of Housing.</w:t>
      </w:r>
    </w:p>
    <w:p w:rsidR="0084730E" w:rsidRDefault="0042027F" w:rsidP="00E652D5">
      <w:pPr>
        <w:jc w:val="left"/>
        <w:rPr>
          <w:rFonts w:ascii="Arial" w:hAnsi="Arial" w:cs="Arial"/>
          <w:iCs/>
          <w:sz w:val="24"/>
          <w:szCs w:val="24"/>
        </w:rPr>
      </w:pPr>
      <w:hyperlink r:id="rId12" w:history="1">
        <w:r w:rsidR="0084730E" w:rsidRPr="001A7CAF">
          <w:rPr>
            <w:rStyle w:val="Hyperlink"/>
            <w:rFonts w:ascii="Arial" w:hAnsi="Arial" w:cs="Arial"/>
            <w:iCs/>
            <w:sz w:val="24"/>
            <w:szCs w:val="24"/>
          </w:rPr>
          <w:t>http://www.statistiques.developpement-durable.gouv.fr/publications/p/2099/756/construction-logements-resultat-fin-juin-2014-france.html</w:t>
        </w:r>
      </w:hyperlink>
    </w:p>
    <w:p w:rsidR="0084730E" w:rsidRPr="00CB5842" w:rsidRDefault="0084730E" w:rsidP="00E652D5">
      <w:pPr>
        <w:jc w:val="left"/>
        <w:rPr>
          <w:rFonts w:ascii="Arial" w:hAnsi="Arial" w:cs="Arial"/>
          <w:iCs/>
          <w:sz w:val="24"/>
          <w:szCs w:val="24"/>
          <w:highlight w:val="yellow"/>
        </w:rPr>
      </w:pPr>
    </w:p>
    <w:p w:rsidR="00A7352B" w:rsidRPr="00C0194C" w:rsidRDefault="00234FFB" w:rsidP="00E652D5">
      <w:pPr>
        <w:jc w:val="left"/>
        <w:rPr>
          <w:rFonts w:ascii="Arial" w:hAnsi="Arial" w:cs="Arial"/>
          <w:iCs/>
          <w:sz w:val="24"/>
          <w:szCs w:val="24"/>
        </w:rPr>
      </w:pPr>
      <w:r w:rsidRPr="00C0194C">
        <w:rPr>
          <w:rFonts w:ascii="Arial" w:hAnsi="Arial" w:cs="Arial"/>
          <w:b/>
          <w:iCs/>
          <w:sz w:val="24"/>
          <w:szCs w:val="24"/>
        </w:rPr>
        <w:t xml:space="preserve">FFVR </w:t>
      </w:r>
      <w:r w:rsidR="009051DE" w:rsidRPr="00C0194C">
        <w:rPr>
          <w:rFonts w:ascii="Arial" w:hAnsi="Arial" w:cs="Arial"/>
          <w:iCs/>
          <w:sz w:val="24"/>
          <w:szCs w:val="24"/>
        </w:rPr>
        <w:t>(financing fair value remeasurements)</w:t>
      </w:r>
      <w:r w:rsidR="009051DE" w:rsidRPr="00C0194C">
        <w:rPr>
          <w:rFonts w:ascii="Arial" w:hAnsi="Arial" w:cs="Arial"/>
          <w:b/>
          <w:iCs/>
          <w:sz w:val="24"/>
          <w:szCs w:val="24"/>
        </w:rPr>
        <w:t xml:space="preserve"> </w:t>
      </w:r>
      <w:r w:rsidR="00D2625F" w:rsidRPr="00C0194C">
        <w:rPr>
          <w:rFonts w:ascii="Arial" w:hAnsi="Arial" w:cs="Arial"/>
          <w:iCs/>
          <w:sz w:val="24"/>
          <w:szCs w:val="24"/>
        </w:rPr>
        <w:t>r</w:t>
      </w:r>
      <w:r w:rsidR="00F44D08" w:rsidRPr="00C0194C">
        <w:rPr>
          <w:rFonts w:ascii="Arial" w:hAnsi="Arial" w:cs="Arial"/>
          <w:iCs/>
          <w:sz w:val="24"/>
          <w:szCs w:val="24"/>
        </w:rPr>
        <w:t>epresents changes in the fair value of financing derivatives, excluding interest accruals, offset by fair value adjustments to the carrying value of borrowings and other hedged items under fair value hedge relationships.</w:t>
      </w:r>
    </w:p>
    <w:p w:rsidR="0001147F" w:rsidRDefault="0001147F" w:rsidP="00E652D5">
      <w:pPr>
        <w:jc w:val="left"/>
        <w:rPr>
          <w:rFonts w:ascii="Arial" w:hAnsi="Arial" w:cs="Arial"/>
          <w:b/>
          <w:iCs/>
          <w:sz w:val="24"/>
          <w:szCs w:val="24"/>
        </w:rPr>
      </w:pPr>
    </w:p>
    <w:p w:rsidR="006B072D" w:rsidRPr="00CB5842" w:rsidRDefault="00A7352B" w:rsidP="00E652D5">
      <w:pPr>
        <w:jc w:val="left"/>
        <w:rPr>
          <w:rFonts w:ascii="Arial" w:hAnsi="Arial" w:cs="Arial"/>
          <w:iCs/>
          <w:sz w:val="24"/>
          <w:szCs w:val="24"/>
          <w:highlight w:val="yellow"/>
        </w:rPr>
      </w:pPr>
      <w:r w:rsidRPr="00B812E2">
        <w:rPr>
          <w:rFonts w:ascii="Arial" w:hAnsi="Arial" w:cs="Arial"/>
          <w:b/>
          <w:iCs/>
          <w:sz w:val="24"/>
          <w:szCs w:val="24"/>
        </w:rPr>
        <w:t>LFL</w:t>
      </w:r>
      <w:r w:rsidRPr="00B812E2">
        <w:rPr>
          <w:rFonts w:ascii="Arial" w:hAnsi="Arial" w:cs="Arial"/>
          <w:iCs/>
          <w:sz w:val="24"/>
          <w:szCs w:val="24"/>
        </w:rPr>
        <w:t xml:space="preserve"> </w:t>
      </w:r>
      <w:r w:rsidR="00D2625F" w:rsidRPr="00B812E2">
        <w:rPr>
          <w:rFonts w:ascii="Arial" w:hAnsi="Arial" w:cs="Arial"/>
          <w:iCs/>
          <w:sz w:val="24"/>
          <w:szCs w:val="24"/>
        </w:rPr>
        <w:t>stands for l</w:t>
      </w:r>
      <w:r w:rsidRPr="00B812E2">
        <w:rPr>
          <w:rFonts w:ascii="Arial" w:hAnsi="Arial" w:cs="Arial"/>
          <w:iCs/>
          <w:sz w:val="24"/>
          <w:szCs w:val="24"/>
        </w:rPr>
        <w:t xml:space="preserve">ike-for-like sales growth </w:t>
      </w:r>
      <w:r w:rsidR="002530C8" w:rsidRPr="00B812E2">
        <w:rPr>
          <w:rFonts w:ascii="Arial" w:hAnsi="Arial" w:cs="Arial"/>
          <w:iCs/>
          <w:sz w:val="24"/>
          <w:szCs w:val="24"/>
        </w:rPr>
        <w:t xml:space="preserve">which </w:t>
      </w:r>
      <w:r w:rsidRPr="00B812E2">
        <w:rPr>
          <w:rFonts w:ascii="Arial" w:hAnsi="Arial" w:cs="Arial"/>
          <w:iCs/>
          <w:sz w:val="24"/>
          <w:szCs w:val="24"/>
        </w:rPr>
        <w:t>represents the constant currency, year-on-year sales growth for stores t</w:t>
      </w:r>
      <w:bookmarkStart w:id="4" w:name="_GoBack"/>
      <w:bookmarkEnd w:id="4"/>
      <w:r w:rsidRPr="00B812E2">
        <w:rPr>
          <w:rFonts w:ascii="Arial" w:hAnsi="Arial" w:cs="Arial"/>
          <w:iCs/>
          <w:sz w:val="24"/>
          <w:szCs w:val="24"/>
        </w:rPr>
        <w:t>hat have been open for more than a year.</w:t>
      </w:r>
      <w:r w:rsidR="00AF1EC3">
        <w:rPr>
          <w:rFonts w:ascii="Arial" w:hAnsi="Arial" w:cs="Arial"/>
          <w:iCs/>
          <w:sz w:val="24"/>
          <w:szCs w:val="24"/>
        </w:rPr>
        <w:t xml:space="preserve"> This growth rate is compounded when calculating a cumulative 2 year LFL.</w:t>
      </w:r>
    </w:p>
    <w:p w:rsidR="00E652D5" w:rsidRPr="00CB5842" w:rsidRDefault="00E652D5" w:rsidP="00421ED6">
      <w:pPr>
        <w:rPr>
          <w:rFonts w:ascii="Arial" w:hAnsi="Arial" w:cs="Arial"/>
          <w:iCs/>
          <w:sz w:val="24"/>
          <w:szCs w:val="24"/>
          <w:highlight w:val="yellow"/>
        </w:rPr>
      </w:pPr>
    </w:p>
    <w:p w:rsidR="007F02C0" w:rsidRPr="00CB5842" w:rsidRDefault="007F02C0" w:rsidP="00E652D5">
      <w:pPr>
        <w:jc w:val="left"/>
        <w:rPr>
          <w:rFonts w:ascii="Arial" w:hAnsi="Arial" w:cs="Arial"/>
          <w:iCs/>
          <w:sz w:val="24"/>
          <w:szCs w:val="24"/>
        </w:rPr>
      </w:pPr>
      <w:r w:rsidRPr="00CB5842">
        <w:rPr>
          <w:rFonts w:ascii="Arial" w:hAnsi="Arial" w:cs="Arial"/>
          <w:b/>
          <w:iCs/>
          <w:sz w:val="24"/>
          <w:szCs w:val="24"/>
        </w:rPr>
        <w:lastRenderedPageBreak/>
        <w:t xml:space="preserve">Net cash </w:t>
      </w:r>
      <w:r w:rsidRPr="00CB5842">
        <w:rPr>
          <w:rFonts w:ascii="Arial" w:hAnsi="Arial" w:cs="Arial"/>
          <w:iCs/>
          <w:sz w:val="24"/>
          <w:szCs w:val="24"/>
        </w:rPr>
        <w:t xml:space="preserve">comprises borrowings and financing derivatives (excluding accrued interest), less cash and cash equivalents and current other investments. </w:t>
      </w:r>
    </w:p>
    <w:p w:rsidR="007F02C0" w:rsidRPr="00CB5842" w:rsidRDefault="007F02C0" w:rsidP="00E652D5">
      <w:pPr>
        <w:jc w:val="left"/>
        <w:rPr>
          <w:rFonts w:ascii="Arial" w:hAnsi="Arial" w:cs="Arial"/>
          <w:iCs/>
          <w:sz w:val="24"/>
          <w:szCs w:val="24"/>
          <w:highlight w:val="yellow"/>
        </w:rPr>
      </w:pPr>
    </w:p>
    <w:p w:rsidR="00106895" w:rsidRPr="003D6BAF" w:rsidRDefault="00106895" w:rsidP="00E652D5">
      <w:pPr>
        <w:jc w:val="left"/>
        <w:rPr>
          <w:rFonts w:ascii="Arial" w:hAnsi="Arial" w:cs="Arial"/>
          <w:iCs/>
          <w:sz w:val="24"/>
          <w:szCs w:val="24"/>
        </w:rPr>
      </w:pPr>
      <w:r>
        <w:rPr>
          <w:rFonts w:ascii="Arial" w:hAnsi="Arial" w:cs="Arial"/>
          <w:b/>
          <w:iCs/>
          <w:sz w:val="24"/>
          <w:szCs w:val="24"/>
        </w:rPr>
        <w:t xml:space="preserve">New country development </w:t>
      </w:r>
      <w:r>
        <w:rPr>
          <w:rFonts w:ascii="Arial" w:hAnsi="Arial" w:cs="Arial"/>
          <w:iCs/>
          <w:sz w:val="24"/>
          <w:szCs w:val="24"/>
        </w:rPr>
        <w:t xml:space="preserve">consists of Portugal, Romania and Germany.  </w:t>
      </w:r>
    </w:p>
    <w:p w:rsidR="00106895" w:rsidRPr="003D6BAF" w:rsidRDefault="00106895" w:rsidP="00E652D5">
      <w:pPr>
        <w:jc w:val="left"/>
        <w:rPr>
          <w:rFonts w:ascii="Arial" w:hAnsi="Arial" w:cs="Arial"/>
          <w:iCs/>
          <w:sz w:val="24"/>
          <w:szCs w:val="24"/>
        </w:rPr>
      </w:pPr>
    </w:p>
    <w:p w:rsidR="00A83A46" w:rsidRPr="00B812E2" w:rsidRDefault="00A83A46" w:rsidP="00E652D5">
      <w:pPr>
        <w:jc w:val="left"/>
        <w:rPr>
          <w:rFonts w:ascii="Arial" w:hAnsi="Arial" w:cs="Arial"/>
          <w:b/>
          <w:iCs/>
          <w:sz w:val="24"/>
          <w:szCs w:val="24"/>
        </w:rPr>
      </w:pPr>
      <w:r w:rsidRPr="00B812E2">
        <w:rPr>
          <w:rFonts w:ascii="Arial" w:hAnsi="Arial" w:cs="Arial"/>
          <w:b/>
          <w:iCs/>
          <w:sz w:val="24"/>
          <w:szCs w:val="24"/>
        </w:rPr>
        <w:t xml:space="preserve">Omnichannel </w:t>
      </w:r>
      <w:r w:rsidRPr="00B812E2">
        <w:rPr>
          <w:rFonts w:ascii="Arial" w:hAnsi="Arial" w:cs="Arial"/>
          <w:iCs/>
          <w:sz w:val="24"/>
          <w:szCs w:val="24"/>
        </w:rPr>
        <w:t>- allowing customers to shop with us in any way they prefer (via shops, the internet or catalogues)</w:t>
      </w:r>
      <w:r w:rsidR="00795AA8" w:rsidRPr="00B812E2">
        <w:rPr>
          <w:rFonts w:ascii="Arial" w:hAnsi="Arial" w:cs="Arial"/>
          <w:iCs/>
          <w:sz w:val="24"/>
          <w:szCs w:val="24"/>
        </w:rPr>
        <w:t>.</w:t>
      </w:r>
    </w:p>
    <w:p w:rsidR="00A83A46" w:rsidRPr="00CB5842" w:rsidRDefault="00A83A46" w:rsidP="00E652D5">
      <w:pPr>
        <w:jc w:val="left"/>
        <w:rPr>
          <w:rFonts w:ascii="Arial" w:hAnsi="Arial" w:cs="Arial"/>
          <w:b/>
          <w:iCs/>
          <w:sz w:val="24"/>
          <w:szCs w:val="24"/>
          <w:highlight w:val="yellow"/>
        </w:rPr>
      </w:pPr>
    </w:p>
    <w:p w:rsidR="008A7B91" w:rsidRPr="00B812E2" w:rsidRDefault="00E652D5" w:rsidP="00E652D5">
      <w:pPr>
        <w:jc w:val="left"/>
        <w:rPr>
          <w:rFonts w:ascii="Arial" w:hAnsi="Arial" w:cs="Arial"/>
          <w:iCs/>
          <w:sz w:val="24"/>
          <w:szCs w:val="24"/>
        </w:rPr>
      </w:pPr>
      <w:r w:rsidRPr="00B812E2">
        <w:rPr>
          <w:rFonts w:ascii="Arial" w:hAnsi="Arial" w:cs="Arial"/>
          <w:b/>
          <w:iCs/>
          <w:sz w:val="24"/>
          <w:szCs w:val="24"/>
        </w:rPr>
        <w:t>Other International</w:t>
      </w:r>
      <w:r w:rsidRPr="00B812E2">
        <w:rPr>
          <w:rFonts w:ascii="Arial" w:hAnsi="Arial" w:cs="Arial"/>
          <w:iCs/>
          <w:sz w:val="24"/>
          <w:szCs w:val="24"/>
        </w:rPr>
        <w:t xml:space="preserve"> </w:t>
      </w:r>
      <w:r w:rsidR="00F00FB3" w:rsidRPr="00B812E2">
        <w:rPr>
          <w:rFonts w:ascii="Arial" w:hAnsi="Arial" w:cs="Arial"/>
          <w:iCs/>
          <w:sz w:val="24"/>
          <w:szCs w:val="24"/>
        </w:rPr>
        <w:t>consists of</w:t>
      </w:r>
      <w:r w:rsidRPr="00B812E2">
        <w:rPr>
          <w:rFonts w:ascii="Arial" w:hAnsi="Arial" w:cs="Arial"/>
          <w:iCs/>
          <w:sz w:val="24"/>
          <w:szCs w:val="24"/>
        </w:rPr>
        <w:t xml:space="preserve"> China, Poland, </w:t>
      </w:r>
      <w:r w:rsidR="00CB5842" w:rsidRPr="00B812E2">
        <w:rPr>
          <w:rFonts w:ascii="Arial" w:hAnsi="Arial" w:cs="Arial"/>
          <w:iCs/>
          <w:sz w:val="24"/>
          <w:szCs w:val="24"/>
        </w:rPr>
        <w:t xml:space="preserve">Portugal, </w:t>
      </w:r>
      <w:r w:rsidRPr="00B812E2">
        <w:rPr>
          <w:rFonts w:ascii="Arial" w:hAnsi="Arial" w:cs="Arial"/>
          <w:iCs/>
          <w:sz w:val="24"/>
          <w:szCs w:val="24"/>
        </w:rPr>
        <w:t>Romania, Russia,</w:t>
      </w:r>
      <w:r w:rsidR="00E26ABC" w:rsidRPr="00B812E2">
        <w:rPr>
          <w:rFonts w:ascii="Arial" w:hAnsi="Arial" w:cs="Arial"/>
          <w:iCs/>
          <w:sz w:val="24"/>
          <w:szCs w:val="24"/>
        </w:rPr>
        <w:t xml:space="preserve"> Germany, </w:t>
      </w:r>
      <w:r w:rsidRPr="00B812E2">
        <w:rPr>
          <w:rFonts w:ascii="Arial" w:hAnsi="Arial" w:cs="Arial"/>
          <w:iCs/>
          <w:sz w:val="24"/>
          <w:szCs w:val="24"/>
        </w:rPr>
        <w:t>Spain</w:t>
      </w:r>
      <w:r w:rsidR="00E26ABC" w:rsidRPr="00B812E2">
        <w:rPr>
          <w:rFonts w:ascii="Arial" w:hAnsi="Arial" w:cs="Arial"/>
          <w:iCs/>
          <w:sz w:val="24"/>
          <w:szCs w:val="24"/>
        </w:rPr>
        <w:t xml:space="preserve"> and</w:t>
      </w:r>
      <w:r w:rsidRPr="00B812E2">
        <w:rPr>
          <w:rFonts w:ascii="Arial" w:hAnsi="Arial" w:cs="Arial"/>
          <w:iCs/>
          <w:sz w:val="24"/>
          <w:szCs w:val="24"/>
        </w:rPr>
        <w:t xml:space="preserve"> Turkey</w:t>
      </w:r>
      <w:r w:rsidR="00F00FB3" w:rsidRPr="00B812E2">
        <w:rPr>
          <w:rFonts w:ascii="Arial" w:hAnsi="Arial" w:cs="Arial"/>
          <w:iCs/>
          <w:sz w:val="24"/>
          <w:szCs w:val="24"/>
        </w:rPr>
        <w:t xml:space="preserve"> (Koçtaş</w:t>
      </w:r>
      <w:r w:rsidRPr="00B812E2">
        <w:rPr>
          <w:rFonts w:ascii="Arial" w:hAnsi="Arial" w:cs="Arial"/>
          <w:iCs/>
          <w:sz w:val="24"/>
          <w:szCs w:val="24"/>
        </w:rPr>
        <w:t xml:space="preserve"> JV</w:t>
      </w:r>
      <w:r w:rsidR="00F00FB3" w:rsidRPr="00B812E2">
        <w:rPr>
          <w:rFonts w:ascii="Arial" w:hAnsi="Arial" w:cs="Arial"/>
          <w:iCs/>
          <w:sz w:val="24"/>
          <w:szCs w:val="24"/>
        </w:rPr>
        <w:t>)</w:t>
      </w:r>
      <w:r w:rsidR="00E26ABC" w:rsidRPr="00B812E2">
        <w:rPr>
          <w:rFonts w:ascii="Arial" w:hAnsi="Arial" w:cs="Arial"/>
          <w:iCs/>
          <w:sz w:val="24"/>
          <w:szCs w:val="24"/>
        </w:rPr>
        <w:t>.</w:t>
      </w:r>
      <w:r w:rsidRPr="00B812E2">
        <w:rPr>
          <w:rFonts w:ascii="Arial" w:hAnsi="Arial" w:cs="Arial"/>
          <w:iCs/>
          <w:sz w:val="24"/>
          <w:szCs w:val="24"/>
        </w:rPr>
        <w:t xml:space="preserve"> </w:t>
      </w:r>
    </w:p>
    <w:p w:rsidR="00BF0801" w:rsidRPr="00CB5842" w:rsidRDefault="00BF0801" w:rsidP="00E652D5">
      <w:pPr>
        <w:jc w:val="left"/>
        <w:rPr>
          <w:rFonts w:ascii="Arial" w:hAnsi="Arial" w:cs="Arial"/>
          <w:iCs/>
          <w:sz w:val="24"/>
          <w:szCs w:val="24"/>
          <w:highlight w:val="yellow"/>
        </w:rPr>
      </w:pPr>
    </w:p>
    <w:p w:rsidR="00421ED6" w:rsidRPr="00CB5842" w:rsidRDefault="00421ED6" w:rsidP="00EA6927">
      <w:pPr>
        <w:jc w:val="left"/>
        <w:rPr>
          <w:rFonts w:ascii="Arial" w:hAnsi="Arial" w:cs="Arial"/>
          <w:iCs/>
          <w:sz w:val="24"/>
          <w:szCs w:val="24"/>
        </w:rPr>
      </w:pPr>
      <w:r w:rsidRPr="00CB5842">
        <w:rPr>
          <w:rFonts w:ascii="Arial" w:hAnsi="Arial" w:cs="Arial"/>
          <w:b/>
          <w:iCs/>
          <w:sz w:val="24"/>
          <w:szCs w:val="24"/>
        </w:rPr>
        <w:t>Retail profit</w:t>
      </w:r>
      <w:r w:rsidRPr="00CB5842">
        <w:rPr>
          <w:rFonts w:ascii="Arial" w:hAnsi="Arial" w:cs="Arial"/>
          <w:iCs/>
          <w:sz w:val="24"/>
          <w:szCs w:val="24"/>
        </w:rPr>
        <w:t xml:space="preserve"> is operating profit stated before</w:t>
      </w:r>
      <w:r w:rsidR="00D01ADE">
        <w:rPr>
          <w:rFonts w:ascii="Arial" w:hAnsi="Arial" w:cs="Arial"/>
          <w:iCs/>
          <w:sz w:val="24"/>
          <w:szCs w:val="24"/>
        </w:rPr>
        <w:t xml:space="preserve"> </w:t>
      </w:r>
      <w:r w:rsidRPr="00CB5842">
        <w:rPr>
          <w:rFonts w:ascii="Arial" w:hAnsi="Arial" w:cs="Arial"/>
          <w:iCs/>
          <w:sz w:val="24"/>
          <w:szCs w:val="24"/>
        </w:rPr>
        <w:t xml:space="preserve">central costs, exceptional items, amortisation of acquisition intangibles and the Group’s share of interest and tax of JVs and associates. </w:t>
      </w:r>
      <w:r w:rsidR="002D69B5">
        <w:rPr>
          <w:rFonts w:ascii="Arial" w:hAnsi="Arial" w:cs="Arial"/>
          <w:iCs/>
          <w:sz w:val="24"/>
          <w:szCs w:val="24"/>
        </w:rPr>
        <w:t xml:space="preserve">2013/14 comparatives have been restated to exclude the share of Hornbach operating profit. </w:t>
      </w:r>
    </w:p>
    <w:p w:rsidR="00421ED6" w:rsidRPr="00CB5842" w:rsidRDefault="00421ED6" w:rsidP="00421ED6">
      <w:pPr>
        <w:tabs>
          <w:tab w:val="left" w:pos="357"/>
        </w:tabs>
        <w:ind w:right="-282"/>
        <w:jc w:val="left"/>
        <w:rPr>
          <w:rFonts w:ascii="Arial" w:hAnsi="Arial" w:cs="Arial"/>
          <w:b/>
          <w:sz w:val="24"/>
          <w:szCs w:val="24"/>
          <w:highlight w:val="yellow"/>
        </w:rPr>
      </w:pPr>
    </w:p>
    <w:p w:rsidR="008A7B91" w:rsidRPr="00CB5842" w:rsidRDefault="00421ED6" w:rsidP="00421ED6">
      <w:pPr>
        <w:tabs>
          <w:tab w:val="left" w:pos="357"/>
        </w:tabs>
        <w:ind w:right="-282"/>
        <w:jc w:val="left"/>
        <w:rPr>
          <w:rFonts w:ascii="Arial" w:hAnsi="Arial" w:cs="Arial"/>
          <w:iCs/>
          <w:sz w:val="24"/>
          <w:szCs w:val="24"/>
        </w:rPr>
      </w:pPr>
      <w:r w:rsidRPr="00CB5842">
        <w:rPr>
          <w:rFonts w:ascii="Arial" w:hAnsi="Arial" w:cs="Arial"/>
          <w:b/>
          <w:sz w:val="24"/>
          <w:szCs w:val="24"/>
        </w:rPr>
        <w:t>Sales</w:t>
      </w:r>
      <w:r w:rsidRPr="00CB5842">
        <w:rPr>
          <w:rFonts w:ascii="Arial" w:hAnsi="Arial" w:cs="Arial"/>
          <w:iCs/>
          <w:sz w:val="24"/>
          <w:szCs w:val="24"/>
        </w:rPr>
        <w:t xml:space="preserve"> </w:t>
      </w:r>
    </w:p>
    <w:p w:rsidR="00B23F1E" w:rsidRDefault="00B23F1E" w:rsidP="00421ED6">
      <w:pPr>
        <w:tabs>
          <w:tab w:val="left" w:pos="357"/>
        </w:tabs>
        <w:ind w:right="-282"/>
        <w:jc w:val="left"/>
        <w:rPr>
          <w:rFonts w:ascii="Arial" w:hAnsi="Arial" w:cs="Arial"/>
          <w:iCs/>
          <w:sz w:val="24"/>
          <w:szCs w:val="24"/>
        </w:rPr>
      </w:pPr>
      <w:r>
        <w:rPr>
          <w:rFonts w:ascii="Arial" w:hAnsi="Arial" w:cs="Arial"/>
          <w:iCs/>
          <w:sz w:val="24"/>
          <w:szCs w:val="24"/>
        </w:rPr>
        <w:t xml:space="preserve">Group sales exclude </w:t>
      </w:r>
      <w:r w:rsidR="00421ED6" w:rsidRPr="00CB5842">
        <w:rPr>
          <w:rFonts w:ascii="Arial" w:hAnsi="Arial" w:cs="Arial"/>
          <w:iCs/>
          <w:sz w:val="24"/>
          <w:szCs w:val="24"/>
        </w:rPr>
        <w:t xml:space="preserve">Joint Venture (Koçtaş JV) </w:t>
      </w:r>
      <w:r>
        <w:rPr>
          <w:rFonts w:ascii="Arial" w:hAnsi="Arial" w:cs="Arial"/>
          <w:iCs/>
          <w:sz w:val="24"/>
          <w:szCs w:val="24"/>
        </w:rPr>
        <w:t xml:space="preserve">sales. </w:t>
      </w:r>
    </w:p>
    <w:p w:rsidR="00234FFB" w:rsidRPr="00CB5842" w:rsidRDefault="00234FFB" w:rsidP="00EA6927">
      <w:pPr>
        <w:jc w:val="left"/>
        <w:rPr>
          <w:rFonts w:ascii="Arial" w:hAnsi="Arial" w:cs="Arial"/>
          <w:b/>
          <w:iCs/>
          <w:sz w:val="24"/>
          <w:szCs w:val="24"/>
          <w:highlight w:val="yellow"/>
        </w:rPr>
      </w:pPr>
      <w:bookmarkStart w:id="5" w:name="OLE_LINK9"/>
      <w:bookmarkStart w:id="6" w:name="OLE_LINK10"/>
    </w:p>
    <w:p w:rsidR="008A7B91" w:rsidRPr="00CB5842" w:rsidRDefault="00310C83" w:rsidP="00EA6927">
      <w:pPr>
        <w:jc w:val="left"/>
        <w:rPr>
          <w:rFonts w:ascii="Arial" w:hAnsi="Arial" w:cs="Arial"/>
          <w:b/>
          <w:iCs/>
          <w:sz w:val="24"/>
          <w:szCs w:val="24"/>
        </w:rPr>
      </w:pPr>
      <w:r w:rsidRPr="00CB5842">
        <w:rPr>
          <w:rFonts w:ascii="Arial" w:hAnsi="Arial" w:cs="Arial"/>
          <w:b/>
          <w:iCs/>
          <w:sz w:val="24"/>
          <w:szCs w:val="24"/>
        </w:rPr>
        <w:t>Smaller tradesman market</w:t>
      </w:r>
      <w:r w:rsidR="000045F9" w:rsidRPr="00CB5842">
        <w:rPr>
          <w:rFonts w:ascii="Arial" w:hAnsi="Arial" w:cs="Arial"/>
          <w:b/>
          <w:iCs/>
          <w:sz w:val="24"/>
          <w:szCs w:val="24"/>
        </w:rPr>
        <w:t xml:space="preserve"> </w:t>
      </w:r>
    </w:p>
    <w:p w:rsidR="00310C83" w:rsidRPr="00CB5842" w:rsidRDefault="00310C83" w:rsidP="00EA6927">
      <w:pPr>
        <w:jc w:val="left"/>
        <w:rPr>
          <w:rFonts w:ascii="Arial" w:hAnsi="Arial" w:cs="Arial"/>
          <w:iCs/>
          <w:sz w:val="24"/>
          <w:szCs w:val="24"/>
        </w:rPr>
      </w:pPr>
      <w:r w:rsidRPr="00CB5842">
        <w:rPr>
          <w:rFonts w:ascii="Arial" w:hAnsi="Arial" w:cs="Arial"/>
          <w:iCs/>
          <w:sz w:val="24"/>
          <w:szCs w:val="24"/>
        </w:rPr>
        <w:t xml:space="preserve">Kingfisher estimate </w:t>
      </w:r>
      <w:r w:rsidR="000045F9" w:rsidRPr="00CB5842">
        <w:rPr>
          <w:rFonts w:ascii="Arial" w:hAnsi="Arial" w:cs="Arial"/>
          <w:iCs/>
          <w:sz w:val="24"/>
          <w:szCs w:val="24"/>
        </w:rPr>
        <w:t>for the UK smaller tradesman market i</w:t>
      </w:r>
      <w:r w:rsidR="000E3241" w:rsidRPr="00CB5842">
        <w:rPr>
          <w:rFonts w:ascii="Arial" w:hAnsi="Arial" w:cs="Arial"/>
          <w:iCs/>
          <w:sz w:val="24"/>
          <w:szCs w:val="24"/>
        </w:rPr>
        <w:t>s</w:t>
      </w:r>
      <w:r w:rsidR="00632B1C">
        <w:rPr>
          <w:rFonts w:ascii="Arial" w:hAnsi="Arial" w:cs="Arial"/>
          <w:iCs/>
          <w:sz w:val="24"/>
          <w:szCs w:val="24"/>
        </w:rPr>
        <w:t xml:space="preserve"> year on year movement of</w:t>
      </w:r>
      <w:r w:rsidR="000E3241" w:rsidRPr="00CB5842">
        <w:rPr>
          <w:rFonts w:ascii="Arial" w:hAnsi="Arial" w:cs="Arial"/>
          <w:iCs/>
          <w:sz w:val="24"/>
          <w:szCs w:val="24"/>
        </w:rPr>
        <w:t xml:space="preserve"> a weighted</w:t>
      </w:r>
      <w:r w:rsidRPr="00CB5842">
        <w:rPr>
          <w:rFonts w:ascii="Arial" w:hAnsi="Arial" w:cs="Arial"/>
          <w:iCs/>
          <w:sz w:val="24"/>
          <w:szCs w:val="24"/>
        </w:rPr>
        <w:t xml:space="preserve"> average </w:t>
      </w:r>
      <w:r w:rsidR="000E3241" w:rsidRPr="00CB5842">
        <w:rPr>
          <w:rFonts w:ascii="Arial" w:hAnsi="Arial" w:cs="Arial"/>
          <w:iCs/>
          <w:sz w:val="24"/>
          <w:szCs w:val="24"/>
        </w:rPr>
        <w:t xml:space="preserve">incorporating 70% trade (using the most recent public data available for the big trade merchants as a proxy) and 30% DIY (using the </w:t>
      </w:r>
      <w:r w:rsidRPr="00CB5842">
        <w:rPr>
          <w:rFonts w:ascii="Arial" w:hAnsi="Arial" w:cs="Arial"/>
          <w:iCs/>
          <w:sz w:val="24"/>
          <w:szCs w:val="24"/>
        </w:rPr>
        <w:t>UK RMI</w:t>
      </w:r>
      <w:r w:rsidR="000E3241" w:rsidRPr="00CB5842">
        <w:rPr>
          <w:rFonts w:ascii="Arial" w:hAnsi="Arial" w:cs="Arial"/>
          <w:iCs/>
          <w:sz w:val="24"/>
          <w:szCs w:val="24"/>
        </w:rPr>
        <w:t xml:space="preserve"> (Repairs, Maintenance &amp; Improvement) GfK large chain (shed) data).</w:t>
      </w:r>
      <w:r w:rsidR="000045F9" w:rsidRPr="00CB5842">
        <w:rPr>
          <w:rFonts w:ascii="Arial" w:hAnsi="Arial" w:cs="Arial"/>
          <w:iCs/>
          <w:sz w:val="24"/>
          <w:szCs w:val="24"/>
        </w:rPr>
        <w:t xml:space="preserve"> </w:t>
      </w:r>
    </w:p>
    <w:bookmarkEnd w:id="5"/>
    <w:bookmarkEnd w:id="6"/>
    <w:p w:rsidR="00A83A46" w:rsidRPr="00CB5842" w:rsidRDefault="00A83A46" w:rsidP="00421ED6">
      <w:pPr>
        <w:rPr>
          <w:rFonts w:ascii="Arial" w:hAnsi="Arial" w:cs="Arial"/>
          <w:b/>
          <w:iCs/>
          <w:sz w:val="24"/>
          <w:szCs w:val="24"/>
          <w:highlight w:val="yellow"/>
        </w:rPr>
      </w:pPr>
    </w:p>
    <w:p w:rsidR="007B34C0" w:rsidRPr="00CB5842" w:rsidRDefault="007B34C0" w:rsidP="007B34C0">
      <w:pPr>
        <w:jc w:val="left"/>
        <w:rPr>
          <w:rFonts w:ascii="Arial" w:hAnsi="Arial" w:cs="Arial"/>
          <w:b/>
          <w:iCs/>
          <w:sz w:val="24"/>
          <w:szCs w:val="24"/>
        </w:rPr>
      </w:pPr>
      <w:r>
        <w:rPr>
          <w:rFonts w:ascii="Arial" w:hAnsi="Arial" w:cs="Arial"/>
          <w:b/>
          <w:iCs/>
          <w:sz w:val="24"/>
          <w:szCs w:val="24"/>
        </w:rPr>
        <w:t xml:space="preserve">UK </w:t>
      </w:r>
      <w:r w:rsidRPr="00CB5842">
        <w:rPr>
          <w:rFonts w:ascii="Arial" w:hAnsi="Arial" w:cs="Arial"/>
          <w:b/>
          <w:iCs/>
          <w:sz w:val="24"/>
          <w:szCs w:val="24"/>
        </w:rPr>
        <w:t xml:space="preserve">home improvement </w:t>
      </w:r>
      <w:r w:rsidRPr="001F3AEA">
        <w:rPr>
          <w:rFonts w:ascii="Arial" w:hAnsi="Arial" w:cs="Arial"/>
          <w:b/>
          <w:iCs/>
          <w:sz w:val="24"/>
          <w:szCs w:val="24"/>
        </w:rPr>
        <w:t>leader market</w:t>
      </w:r>
    </w:p>
    <w:p w:rsidR="007B34C0" w:rsidRPr="00CB5842" w:rsidRDefault="007B34C0" w:rsidP="007B34C0">
      <w:pPr>
        <w:jc w:val="left"/>
        <w:rPr>
          <w:rFonts w:ascii="Arial" w:hAnsi="Arial" w:cs="Arial"/>
          <w:iCs/>
          <w:sz w:val="24"/>
          <w:szCs w:val="24"/>
        </w:rPr>
      </w:pPr>
      <w:r w:rsidRPr="00CB5842">
        <w:rPr>
          <w:rFonts w:ascii="Arial" w:hAnsi="Arial" w:cs="Arial"/>
          <w:iCs/>
          <w:sz w:val="24"/>
          <w:szCs w:val="24"/>
        </w:rPr>
        <w:t xml:space="preserve">Kingfisher estimate for the UK RMI (Repairs, Maintenance &amp; Improvement) market incorporates GfK data, which includes new space but which excludes B&amp;Q Ireland and private retailers e.g. IKEA and other smaller independents. </w:t>
      </w:r>
      <w:r w:rsidR="002A0B60">
        <w:rPr>
          <w:rFonts w:ascii="Arial" w:hAnsi="Arial" w:cs="Arial"/>
          <w:iCs/>
          <w:sz w:val="24"/>
          <w:szCs w:val="24"/>
        </w:rPr>
        <w:t>Kingfisher data is submitted</w:t>
      </w:r>
      <w:r w:rsidRPr="00CB5842">
        <w:rPr>
          <w:rFonts w:ascii="Arial" w:hAnsi="Arial" w:cs="Arial"/>
          <w:iCs/>
          <w:sz w:val="24"/>
          <w:szCs w:val="24"/>
        </w:rPr>
        <w:t xml:space="preserve"> on a cash sales basis and is adjusted for discounts.</w:t>
      </w:r>
      <w:r>
        <w:rPr>
          <w:rFonts w:ascii="Arial" w:hAnsi="Arial" w:cs="Arial"/>
          <w:iCs/>
          <w:sz w:val="24"/>
          <w:szCs w:val="24"/>
        </w:rPr>
        <w:t xml:space="preserve"> </w:t>
      </w:r>
    </w:p>
    <w:p w:rsidR="007B34C0" w:rsidRDefault="007B34C0" w:rsidP="00E652D5">
      <w:pPr>
        <w:jc w:val="left"/>
        <w:rPr>
          <w:rFonts w:ascii="Arial" w:hAnsi="Arial" w:cs="Arial"/>
          <w:b/>
          <w:iCs/>
          <w:sz w:val="24"/>
          <w:szCs w:val="24"/>
        </w:rPr>
      </w:pPr>
    </w:p>
    <w:p w:rsidR="00E652D5" w:rsidRDefault="00E652D5" w:rsidP="00E652D5">
      <w:pPr>
        <w:jc w:val="left"/>
        <w:rPr>
          <w:rFonts w:ascii="Arial" w:hAnsi="Arial" w:cs="Arial"/>
          <w:iCs/>
          <w:sz w:val="24"/>
          <w:szCs w:val="24"/>
        </w:rPr>
      </w:pPr>
      <w:r w:rsidRPr="00CB5842">
        <w:rPr>
          <w:rFonts w:ascii="Arial" w:hAnsi="Arial" w:cs="Arial"/>
          <w:b/>
          <w:iCs/>
          <w:sz w:val="24"/>
          <w:szCs w:val="24"/>
        </w:rPr>
        <w:t>UK &amp; Ireland</w:t>
      </w:r>
      <w:r w:rsidRPr="00CB5842">
        <w:rPr>
          <w:rFonts w:ascii="Arial" w:hAnsi="Arial" w:cs="Arial"/>
          <w:iCs/>
          <w:sz w:val="24"/>
          <w:szCs w:val="24"/>
        </w:rPr>
        <w:t xml:space="preserve"> </w:t>
      </w:r>
      <w:r w:rsidR="00D71302" w:rsidRPr="00CB5842">
        <w:rPr>
          <w:rFonts w:ascii="Arial" w:hAnsi="Arial" w:cs="Arial"/>
          <w:iCs/>
          <w:sz w:val="24"/>
          <w:szCs w:val="24"/>
        </w:rPr>
        <w:t>consists of</w:t>
      </w:r>
      <w:r w:rsidRPr="00CB5842">
        <w:rPr>
          <w:rFonts w:ascii="Arial" w:hAnsi="Arial" w:cs="Arial"/>
          <w:iCs/>
          <w:sz w:val="24"/>
          <w:szCs w:val="24"/>
        </w:rPr>
        <w:t xml:space="preserve"> B&amp;Q UK &amp; Ireland and Screwfix</w:t>
      </w:r>
      <w:r w:rsidR="007B34C0">
        <w:rPr>
          <w:rFonts w:ascii="Arial" w:hAnsi="Arial" w:cs="Arial"/>
          <w:iCs/>
          <w:sz w:val="24"/>
          <w:szCs w:val="24"/>
        </w:rPr>
        <w:t xml:space="preserve"> UK.</w:t>
      </w:r>
    </w:p>
    <w:p w:rsidR="00633192" w:rsidRPr="000045F9" w:rsidRDefault="00633192" w:rsidP="00E652D5">
      <w:pPr>
        <w:jc w:val="left"/>
        <w:rPr>
          <w:rFonts w:ascii="Arial" w:hAnsi="Arial" w:cs="Arial"/>
          <w:iCs/>
          <w:sz w:val="24"/>
          <w:szCs w:val="24"/>
        </w:rPr>
      </w:pPr>
    </w:p>
    <w:p w:rsidR="00E652D5" w:rsidRPr="000045F9" w:rsidRDefault="00E652D5" w:rsidP="00421ED6">
      <w:pPr>
        <w:rPr>
          <w:rFonts w:ascii="Arial" w:hAnsi="Arial" w:cs="Arial"/>
          <w:b/>
          <w:iCs/>
          <w:sz w:val="24"/>
          <w:szCs w:val="24"/>
        </w:rPr>
      </w:pPr>
    </w:p>
    <w:p w:rsidR="00181E03" w:rsidRPr="0026648B" w:rsidRDefault="00421ED6" w:rsidP="00824608">
      <w:pPr>
        <w:jc w:val="left"/>
        <w:rPr>
          <w:rFonts w:ascii="Arial" w:hAnsi="Arial" w:cs="Arial"/>
          <w:b/>
          <w:bCs/>
          <w:sz w:val="24"/>
          <w:szCs w:val="24"/>
        </w:rPr>
      </w:pPr>
      <w:r>
        <w:rPr>
          <w:rFonts w:ascii="Arial" w:hAnsi="Arial" w:cs="Arial"/>
          <w:b/>
          <w:bCs/>
          <w:sz w:val="24"/>
          <w:szCs w:val="24"/>
        </w:rPr>
        <w:br w:type="page"/>
      </w:r>
      <w:r w:rsidR="00181E03" w:rsidRPr="0026648B">
        <w:rPr>
          <w:rFonts w:ascii="Arial" w:hAnsi="Arial" w:cs="Arial"/>
          <w:b/>
          <w:bCs/>
          <w:sz w:val="24"/>
          <w:szCs w:val="24"/>
        </w:rPr>
        <w:lastRenderedPageBreak/>
        <w:t>Forward-looking statements</w:t>
      </w:r>
    </w:p>
    <w:p w:rsidR="00181E03" w:rsidRPr="0026648B" w:rsidRDefault="00181E03" w:rsidP="006E52BD">
      <w:pPr>
        <w:jc w:val="left"/>
        <w:rPr>
          <w:rFonts w:ascii="Arial" w:hAnsi="Arial" w:cs="Arial"/>
          <w:sz w:val="24"/>
          <w:szCs w:val="24"/>
        </w:rPr>
      </w:pPr>
    </w:p>
    <w:p w:rsidR="0026648B" w:rsidRPr="000F03E3" w:rsidRDefault="0026648B" w:rsidP="0026648B">
      <w:pPr>
        <w:jc w:val="left"/>
        <w:rPr>
          <w:rFonts w:ascii="Arial" w:hAnsi="Arial" w:cs="Arial"/>
        </w:rPr>
      </w:pPr>
      <w:r w:rsidRPr="000F03E3">
        <w:rPr>
          <w:rFonts w:ascii="Arial" w:hAnsi="Arial" w:cs="Arial"/>
          <w:sz w:val="24"/>
          <w:szCs w:val="24"/>
        </w:rPr>
        <w:t xml:space="preserve">This </w:t>
      </w:r>
      <w:r>
        <w:rPr>
          <w:rFonts w:ascii="Arial" w:hAnsi="Arial" w:cs="Arial"/>
          <w:sz w:val="24"/>
          <w:szCs w:val="24"/>
        </w:rPr>
        <w:t>announcement</w:t>
      </w:r>
      <w:r w:rsidRPr="000F03E3">
        <w:rPr>
          <w:rFonts w:ascii="Arial" w:hAnsi="Arial" w:cs="Arial"/>
          <w:sz w:val="24"/>
          <w:szCs w:val="24"/>
        </w:rPr>
        <w:t xml:space="preserve"> contains certain statements that are forward-looking and </w:t>
      </w:r>
      <w:r>
        <w:rPr>
          <w:rFonts w:ascii="Arial" w:hAnsi="Arial" w:cs="Arial"/>
          <w:sz w:val="24"/>
          <w:szCs w:val="24"/>
        </w:rPr>
        <w:t xml:space="preserve">which should be considered, amongst other statutory provisions, in light of the safe harbour provisions of the United States Private Securities Litigation Reform Act of 1995. All statements other than statements of historical facts may be forward-looking statements.  Such statements </w:t>
      </w:r>
      <w:r w:rsidRPr="000F03E3">
        <w:rPr>
          <w:rFonts w:ascii="Arial" w:hAnsi="Arial" w:cs="Arial"/>
          <w:sz w:val="24"/>
          <w:szCs w:val="24"/>
        </w:rPr>
        <w:t>are</w:t>
      </w:r>
      <w:r>
        <w:rPr>
          <w:rFonts w:ascii="Arial" w:hAnsi="Arial" w:cs="Arial"/>
          <w:sz w:val="24"/>
          <w:szCs w:val="24"/>
        </w:rPr>
        <w:t xml:space="preserve">, </w:t>
      </w:r>
      <w:r w:rsidRPr="000F03E3">
        <w:rPr>
          <w:rFonts w:ascii="Arial" w:hAnsi="Arial" w:cs="Arial"/>
          <w:sz w:val="24"/>
          <w:szCs w:val="24"/>
        </w:rPr>
        <w:t>therefore</w:t>
      </w:r>
      <w:r>
        <w:rPr>
          <w:rFonts w:ascii="Arial" w:hAnsi="Arial" w:cs="Arial"/>
          <w:sz w:val="24"/>
          <w:szCs w:val="24"/>
        </w:rPr>
        <w:t>,</w:t>
      </w:r>
      <w:r w:rsidRPr="000F03E3">
        <w:rPr>
          <w:rFonts w:ascii="Arial" w:hAnsi="Arial" w:cs="Arial"/>
          <w:sz w:val="24"/>
          <w:szCs w:val="24"/>
        </w:rPr>
        <w:t xml:space="preserve"> subject to risks, assumptions and uncertainties that could cause actual results to differ materially from those expressed or implied because they relate to future events. These forward-looking statements include, but are not limited to, statements </w:t>
      </w:r>
      <w:bookmarkStart w:id="7" w:name="OLE_LINK7"/>
      <w:bookmarkStart w:id="8" w:name="OLE_LINK8"/>
      <w:r w:rsidRPr="000F03E3">
        <w:rPr>
          <w:rFonts w:ascii="Arial" w:hAnsi="Arial" w:cs="Arial"/>
          <w:sz w:val="24"/>
          <w:szCs w:val="24"/>
        </w:rPr>
        <w:t xml:space="preserve">relating to the Company’s expectations around the </w:t>
      </w:r>
      <w:r>
        <w:rPr>
          <w:rFonts w:ascii="Arial" w:hAnsi="Arial" w:cs="Arial"/>
          <w:sz w:val="24"/>
          <w:szCs w:val="24"/>
        </w:rPr>
        <w:t>C</w:t>
      </w:r>
      <w:r w:rsidRPr="000F03E3">
        <w:rPr>
          <w:rFonts w:ascii="Arial" w:hAnsi="Arial" w:cs="Arial"/>
          <w:sz w:val="24"/>
          <w:szCs w:val="24"/>
        </w:rPr>
        <w:t xml:space="preserve">ompany’s </w:t>
      </w:r>
      <w:r>
        <w:rPr>
          <w:rFonts w:ascii="Arial" w:hAnsi="Arial" w:cs="Arial"/>
          <w:sz w:val="24"/>
          <w:szCs w:val="24"/>
        </w:rPr>
        <w:t>programme</w:t>
      </w:r>
      <w:r w:rsidRPr="000F03E3">
        <w:rPr>
          <w:rFonts w:ascii="Arial" w:hAnsi="Arial" w:cs="Arial"/>
          <w:sz w:val="24"/>
          <w:szCs w:val="24"/>
        </w:rPr>
        <w:t xml:space="preserve"> known as ‘Creating the Leader’ and its associated eight steps.</w:t>
      </w:r>
      <w:r w:rsidRPr="000F03E3">
        <w:rPr>
          <w:rFonts w:ascii="Arial" w:hAnsi="Arial" w:cs="Arial"/>
        </w:rPr>
        <w:t xml:space="preserve"> </w:t>
      </w:r>
      <w:bookmarkEnd w:id="7"/>
      <w:bookmarkEnd w:id="8"/>
    </w:p>
    <w:p w:rsidR="0026648B" w:rsidRPr="000F03E3" w:rsidRDefault="0026648B" w:rsidP="0026648B">
      <w:pPr>
        <w:jc w:val="left"/>
        <w:rPr>
          <w:rFonts w:ascii="Arial" w:hAnsi="Arial" w:cs="Arial"/>
          <w:sz w:val="24"/>
          <w:szCs w:val="24"/>
        </w:rPr>
      </w:pPr>
    </w:p>
    <w:p w:rsidR="0026648B" w:rsidRPr="00D05830" w:rsidRDefault="0026648B" w:rsidP="0026648B">
      <w:pPr>
        <w:jc w:val="left"/>
        <w:rPr>
          <w:rFonts w:ascii="Arial" w:hAnsi="Arial" w:cs="Arial"/>
          <w:sz w:val="24"/>
          <w:szCs w:val="24"/>
        </w:rPr>
      </w:pPr>
      <w:r w:rsidRPr="000F03E3">
        <w:rPr>
          <w:rFonts w:ascii="Arial" w:hAnsi="Arial" w:cs="Arial"/>
          <w:sz w:val="24"/>
          <w:szCs w:val="24"/>
        </w:rPr>
        <w:t>Forward-looking statements can be identified by the use of relevant terminology including the words: “believes”, “estimates”, “anticipates”, “expects”, “intends”, “plans”, “goal”, “target”, “aim”, “may”, “will”, “would”, “could” or “should” or, in each case, their negative or other variations or comparable terminology and include all matters that are not historical facts</w:t>
      </w:r>
      <w:r w:rsidRPr="00D05830">
        <w:rPr>
          <w:rFonts w:ascii="Arial" w:hAnsi="Arial" w:cs="Arial"/>
          <w:sz w:val="24"/>
          <w:szCs w:val="24"/>
        </w:rPr>
        <w:t>. They appear in a number of places throughout this press release and include statements regarding our intentions, beliefs or current expectations and those of our officers, directors and employees concerning, amongst other things, our results of operations, financial condition, changes in tax rates, liquidity, prospects, growth, strategies and the businesses we operate.</w:t>
      </w:r>
    </w:p>
    <w:p w:rsidR="0026648B" w:rsidRPr="000F03E3" w:rsidRDefault="0026648B" w:rsidP="0026648B">
      <w:pPr>
        <w:jc w:val="left"/>
        <w:rPr>
          <w:rFonts w:ascii="Arial" w:hAnsi="Arial" w:cs="Arial"/>
          <w:sz w:val="24"/>
          <w:szCs w:val="24"/>
        </w:rPr>
      </w:pPr>
    </w:p>
    <w:p w:rsidR="0026648B" w:rsidRPr="000F03E3" w:rsidRDefault="0026648B" w:rsidP="0026648B">
      <w:pPr>
        <w:jc w:val="left"/>
        <w:rPr>
          <w:rFonts w:ascii="Arial" w:hAnsi="Arial" w:cs="Arial"/>
          <w:sz w:val="24"/>
          <w:szCs w:val="24"/>
        </w:rPr>
      </w:pPr>
      <w:r w:rsidRPr="000F03E3">
        <w:rPr>
          <w:rFonts w:ascii="Arial" w:hAnsi="Arial" w:cs="Arial"/>
          <w:sz w:val="24"/>
          <w:szCs w:val="24"/>
        </w:rPr>
        <w:t>Other factors that could cause actual results to differ materially from those estimated by the forward-looking statements include, but are not limited to, global economic business conditions, monetary and interest rate policies, foreign currency exchange rates, equity and property prices, the impact of competition, inflation and deflation, changes to regulations, taxes and legislation, changes to consumer saving and spending habits; and our success in managing these factors.</w:t>
      </w:r>
    </w:p>
    <w:p w:rsidR="0026648B" w:rsidRPr="000F03E3" w:rsidRDefault="0026648B" w:rsidP="0026648B">
      <w:pPr>
        <w:jc w:val="left"/>
        <w:rPr>
          <w:rFonts w:ascii="Arial" w:hAnsi="Arial" w:cs="Arial"/>
          <w:sz w:val="24"/>
          <w:szCs w:val="24"/>
        </w:rPr>
      </w:pPr>
    </w:p>
    <w:p w:rsidR="0026648B" w:rsidRPr="000F03E3" w:rsidRDefault="0026648B" w:rsidP="0026648B">
      <w:pPr>
        <w:jc w:val="left"/>
        <w:rPr>
          <w:rFonts w:ascii="Arial" w:hAnsi="Arial" w:cs="Arial"/>
          <w:sz w:val="24"/>
          <w:szCs w:val="24"/>
        </w:rPr>
      </w:pPr>
      <w:r w:rsidRPr="000F03E3">
        <w:rPr>
          <w:rFonts w:ascii="Arial" w:hAnsi="Arial" w:cs="Arial"/>
          <w:sz w:val="24"/>
          <w:szCs w:val="24"/>
        </w:rPr>
        <w:t>Consequently, our actual future financial condition, performance and results could differ materially from the plans, goals and expectations set out in our forward-looking statements</w:t>
      </w:r>
      <w:r>
        <w:rPr>
          <w:rFonts w:ascii="Arial" w:hAnsi="Arial" w:cs="Arial"/>
          <w:sz w:val="24"/>
          <w:szCs w:val="24"/>
        </w:rPr>
        <w:t>. We urge you to read our annual report and other company reports, including the risk factors contained therein, for a more detailed discussion of the factors that could affect our future performance and the industry in which we operate. R</w:t>
      </w:r>
      <w:r w:rsidRPr="000F03E3">
        <w:rPr>
          <w:rFonts w:ascii="Arial" w:hAnsi="Arial" w:cs="Arial"/>
          <w:sz w:val="24"/>
          <w:szCs w:val="24"/>
        </w:rPr>
        <w:t>eliance should not be placed on any forward</w:t>
      </w:r>
      <w:r>
        <w:rPr>
          <w:rFonts w:ascii="Arial" w:hAnsi="Arial" w:cs="Arial"/>
          <w:sz w:val="24"/>
          <w:szCs w:val="24"/>
        </w:rPr>
        <w:t>-</w:t>
      </w:r>
      <w:r w:rsidRPr="000F03E3">
        <w:rPr>
          <w:rFonts w:ascii="Arial" w:hAnsi="Arial" w:cs="Arial"/>
          <w:sz w:val="24"/>
          <w:szCs w:val="24"/>
        </w:rPr>
        <w:t xml:space="preserve">looking statement. </w:t>
      </w:r>
      <w:r>
        <w:rPr>
          <w:rFonts w:ascii="Arial" w:hAnsi="Arial" w:cs="Arial"/>
          <w:sz w:val="24"/>
          <w:szCs w:val="24"/>
        </w:rPr>
        <w:t>Our forward looking statements speak only as of the date of this press release and t</w:t>
      </w:r>
      <w:r w:rsidRPr="000F03E3">
        <w:rPr>
          <w:rFonts w:ascii="Arial" w:hAnsi="Arial" w:cs="Arial"/>
          <w:sz w:val="24"/>
          <w:szCs w:val="24"/>
        </w:rPr>
        <w:t xml:space="preserve">he Company undertakes no obligation to publicly update any forward-looking statement, whether as a result of new information, future events or otherwise. Nothing in this press release should be construed as a profit forecast. </w:t>
      </w:r>
    </w:p>
    <w:p w:rsidR="00181E03" w:rsidRPr="0026648B" w:rsidRDefault="00181E03" w:rsidP="0026648B">
      <w:pPr>
        <w:jc w:val="left"/>
        <w:rPr>
          <w:rFonts w:cs="Times New Roman"/>
        </w:rPr>
      </w:pPr>
    </w:p>
    <w:sectPr w:rsidR="00181E03" w:rsidRPr="0026648B" w:rsidSect="00E057E9">
      <w:headerReference w:type="default" r:id="rId13"/>
      <w:footerReference w:type="default" r:id="rId14"/>
      <w:type w:val="continuous"/>
      <w:pgSz w:w="11909" w:h="16834" w:code="9"/>
      <w:pgMar w:top="1077" w:right="1134" w:bottom="720" w:left="1134" w:header="113"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FE2" w:rsidRDefault="00C33FE2">
      <w:pPr>
        <w:rPr>
          <w:rFonts w:cs="Times New Roman"/>
        </w:rPr>
      </w:pPr>
      <w:r>
        <w:rPr>
          <w:rFonts w:cs="Times New Roman"/>
        </w:rPr>
        <w:separator/>
      </w:r>
    </w:p>
  </w:endnote>
  <w:endnote w:type="continuationSeparator" w:id="0">
    <w:p w:rsidR="00C33FE2" w:rsidRDefault="00C33FE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Univers">
    <w:altName w:val="Arial"/>
    <w:panose1 w:val="00000000000000000000"/>
    <w:charset w:val="00"/>
    <w:family w:val="swiss"/>
    <w:notTrueType/>
    <w:pitch w:val="variable"/>
    <w:sig w:usb0="00000003" w:usb1="00000000" w:usb2="00000000" w:usb3="00000000" w:csb0="00000001" w:csb1="00000000"/>
  </w:font>
  <w:font w:name="ZapfCalligr BT">
    <w:altName w:val="Palatino Linotyp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35">
    <w:altName w:val="Avenir 35"/>
    <w:panose1 w:val="00000000000000000000"/>
    <w:charset w:val="00"/>
    <w:family w:val="swiss"/>
    <w:notTrueType/>
    <w:pitch w:val="default"/>
    <w:sig w:usb0="00000003" w:usb1="00000000" w:usb2="00000000" w:usb3="00000000" w:csb0="00000001" w:csb1="00000000"/>
  </w:font>
  <w:font w:name="Trade Gothic LT Std Light">
    <w:panose1 w:val="00000000000000000000"/>
    <w:charset w:val="00"/>
    <w:family w:val="modern"/>
    <w:notTrueType/>
    <w:pitch w:val="variable"/>
    <w:sig w:usb0="800000AF" w:usb1="4000204A" w:usb2="00000000" w:usb3="00000000" w:csb0="00000001" w:csb1="00000000"/>
  </w:font>
  <w:font w:name="Trade Gothic LT Std Bold">
    <w:panose1 w:val="00000000000000000000"/>
    <w:charset w:val="00"/>
    <w:family w:val="modern"/>
    <w:notTrueType/>
    <w:pitch w:val="variable"/>
    <w:sig w:usb0="800000AF" w:usb1="4000204A"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157898"/>
      <w:docPartObj>
        <w:docPartGallery w:val="Page Numbers (Bottom of Page)"/>
        <w:docPartUnique/>
      </w:docPartObj>
    </w:sdtPr>
    <w:sdtEndPr>
      <w:rPr>
        <w:rFonts w:ascii="Arial" w:hAnsi="Arial" w:cs="Arial"/>
        <w:noProof/>
      </w:rPr>
    </w:sdtEndPr>
    <w:sdtContent>
      <w:p w:rsidR="00C33FE2" w:rsidRPr="008152E6" w:rsidRDefault="00C33FE2">
        <w:pPr>
          <w:pStyle w:val="Footer"/>
          <w:jc w:val="right"/>
          <w:rPr>
            <w:rFonts w:ascii="Arial" w:hAnsi="Arial" w:cs="Arial"/>
          </w:rPr>
        </w:pPr>
        <w:r w:rsidRPr="008152E6">
          <w:rPr>
            <w:rFonts w:ascii="Arial" w:hAnsi="Arial" w:cs="Arial"/>
          </w:rPr>
          <w:fldChar w:fldCharType="begin"/>
        </w:r>
        <w:r w:rsidRPr="008152E6">
          <w:rPr>
            <w:rFonts w:ascii="Arial" w:hAnsi="Arial" w:cs="Arial"/>
          </w:rPr>
          <w:instrText xml:space="preserve"> PAGE   \* MERGEFORMAT </w:instrText>
        </w:r>
        <w:r w:rsidRPr="008152E6">
          <w:rPr>
            <w:rFonts w:ascii="Arial" w:hAnsi="Arial" w:cs="Arial"/>
          </w:rPr>
          <w:fldChar w:fldCharType="separate"/>
        </w:r>
        <w:r w:rsidR="0042027F">
          <w:rPr>
            <w:rFonts w:ascii="Arial" w:hAnsi="Arial" w:cs="Arial"/>
            <w:noProof/>
          </w:rPr>
          <w:t>23</w:t>
        </w:r>
        <w:r w:rsidRPr="008152E6">
          <w:rPr>
            <w:rFonts w:ascii="Arial" w:hAnsi="Arial" w:cs="Arial"/>
            <w:noProof/>
          </w:rPr>
          <w:fldChar w:fldCharType="end"/>
        </w:r>
      </w:p>
    </w:sdtContent>
  </w:sdt>
  <w:p w:rsidR="00C33FE2" w:rsidRPr="00930C11" w:rsidRDefault="00C33FE2" w:rsidP="00965768">
    <w:pPr>
      <w:pStyle w:val="Footer"/>
      <w:ind w:right="360"/>
      <w:rPr>
        <w:rFonts w:ascii="Arial" w:hAnsi="Arial" w:cs="Arial"/>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FE2" w:rsidRDefault="00C33FE2">
      <w:pPr>
        <w:rPr>
          <w:rFonts w:cs="Times New Roman"/>
        </w:rPr>
      </w:pPr>
      <w:r>
        <w:rPr>
          <w:rFonts w:cs="Times New Roman"/>
        </w:rPr>
        <w:separator/>
      </w:r>
    </w:p>
  </w:footnote>
  <w:footnote w:type="continuationSeparator" w:id="0">
    <w:p w:rsidR="00C33FE2" w:rsidRDefault="00C33FE2">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FE2" w:rsidRDefault="00C33FE2" w:rsidP="006C7217">
    <w:pPr>
      <w:jc w:val="center"/>
      <w:rPr>
        <w:rFonts w:ascii="Arial" w:hAnsi="Arial" w:cs="Arial"/>
        <w:bCs/>
        <w:sz w:val="24"/>
        <w:szCs w:val="24"/>
      </w:rPr>
    </w:pPr>
    <w:r w:rsidRPr="006C7217">
      <w:rPr>
        <w:rFonts w:ascii="Arial" w:hAnsi="Arial" w:cs="Arial"/>
        <w:bCs/>
        <w:sz w:val="24"/>
        <w:szCs w:val="24"/>
      </w:rPr>
      <w:t xml:space="preserve"> </w:t>
    </w:r>
  </w:p>
  <w:p w:rsidR="00C33FE2" w:rsidRPr="00CB5842" w:rsidRDefault="00C33FE2" w:rsidP="00CB5842">
    <w:pPr>
      <w:jc w:val="center"/>
      <w:rPr>
        <w:rFonts w:ascii="Arial" w:hAnsi="Arial" w:cs="Arial"/>
        <w:bCs/>
        <w:sz w:val="24"/>
        <w:szCs w:val="24"/>
      </w:rPr>
    </w:pPr>
    <w:r w:rsidRPr="00CB5842">
      <w:rPr>
        <w:rFonts w:ascii="Arial" w:hAnsi="Arial" w:cs="Arial"/>
        <w:bCs/>
        <w:sz w:val="20"/>
        <w:szCs w:val="20"/>
      </w:rPr>
      <w:t>EMBARGOED UNTIL 0700 HOURS – Wednesday 10 September 2014</w:t>
    </w:r>
  </w:p>
  <w:p w:rsidR="00C33FE2" w:rsidRPr="00341E1C" w:rsidRDefault="00C33FE2">
    <w:pPr>
      <w:pStyle w:val="Header"/>
      <w:jc w:val="center"/>
    </w:pPr>
    <w:r>
      <w:rPr>
        <w:noProof/>
      </w:rPr>
      <w:drawing>
        <wp:inline distT="0" distB="0" distL="0" distR="0" wp14:anchorId="7ED39FAC" wp14:editId="17A19321">
          <wp:extent cx="2067461" cy="640080"/>
          <wp:effectExtent l="0" t="0" r="9525" b="762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2078362" cy="6434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3A9C0444"/>
    <w:lvl w:ilvl="0">
      <w:start w:val="1"/>
      <w:numFmt w:val="bullet"/>
      <w:pStyle w:val="ListBullet4"/>
      <w:lvlText w:val=""/>
      <w:lvlJc w:val="left"/>
      <w:pPr>
        <w:tabs>
          <w:tab w:val="num" w:pos="1440"/>
        </w:tabs>
        <w:ind w:left="1440" w:hanging="360"/>
      </w:pPr>
      <w:rPr>
        <w:rFonts w:ascii="Symbol" w:hAnsi="Symbol" w:hint="default"/>
        <w:lang w:val="en-GB"/>
      </w:rPr>
    </w:lvl>
  </w:abstractNum>
  <w:abstractNum w:abstractNumId="1">
    <w:nsid w:val="09ED7FE0"/>
    <w:multiLevelType w:val="hybridMultilevel"/>
    <w:tmpl w:val="1346C13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0B942FF"/>
    <w:multiLevelType w:val="hybridMultilevel"/>
    <w:tmpl w:val="D7047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8A4B3A"/>
    <w:multiLevelType w:val="hybridMultilevel"/>
    <w:tmpl w:val="67883BC4"/>
    <w:lvl w:ilvl="0" w:tplc="613E1F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F00DA6"/>
    <w:multiLevelType w:val="hybridMultilevel"/>
    <w:tmpl w:val="719A8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690888"/>
    <w:multiLevelType w:val="hybridMultilevel"/>
    <w:tmpl w:val="063A29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3012799"/>
    <w:multiLevelType w:val="hybridMultilevel"/>
    <w:tmpl w:val="8A0C4EAA"/>
    <w:lvl w:ilvl="0" w:tplc="A0125B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66312E"/>
    <w:multiLevelType w:val="hybridMultilevel"/>
    <w:tmpl w:val="7BE81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8F5D74"/>
    <w:multiLevelType w:val="hybridMultilevel"/>
    <w:tmpl w:val="2AB0F004"/>
    <w:lvl w:ilvl="0" w:tplc="4FD05FAC">
      <w:start w:val="1"/>
      <w:numFmt w:val="bullet"/>
      <w:pStyle w:val="Bullets"/>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6A12B55"/>
    <w:multiLevelType w:val="hybridMultilevel"/>
    <w:tmpl w:val="30DE1C3A"/>
    <w:lvl w:ilvl="0" w:tplc="619E6162">
      <w:start w:val="1"/>
      <w:numFmt w:val="bullet"/>
      <w:lvlText w:val=""/>
      <w:lvlJc w:val="left"/>
      <w:pPr>
        <w:ind w:left="720" w:hanging="360"/>
      </w:pPr>
      <w:rPr>
        <w:rFonts w:ascii="Wingdings" w:hAnsi="Wingdings" w:hint="default"/>
        <w:color w:val="auto"/>
        <w:sz w:val="15"/>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F1338AE"/>
    <w:multiLevelType w:val="hybridMultilevel"/>
    <w:tmpl w:val="B7CED212"/>
    <w:lvl w:ilvl="0" w:tplc="08090001">
      <w:start w:val="1"/>
      <w:numFmt w:val="bullet"/>
      <w:lvlText w:val=""/>
      <w:lvlJc w:val="left"/>
      <w:pPr>
        <w:ind w:left="1800" w:hanging="360"/>
      </w:pPr>
      <w:rPr>
        <w:rFonts w:ascii="Symbol" w:hAnsi="Symbol" w:hint="default"/>
      </w:rPr>
    </w:lvl>
    <w:lvl w:ilvl="1" w:tplc="B9F0DF66">
      <w:numFmt w:val="bullet"/>
      <w:lvlText w:val="-"/>
      <w:lvlJc w:val="left"/>
      <w:pPr>
        <w:ind w:left="2520" w:hanging="360"/>
      </w:pPr>
      <w:rPr>
        <w:rFonts w:ascii="Arial" w:eastAsia="Batang" w:hAnsi="Arial"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FFB7A8A"/>
    <w:multiLevelType w:val="hybridMultilevel"/>
    <w:tmpl w:val="915E33B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nsid w:val="3D8D14F0"/>
    <w:multiLevelType w:val="hybridMultilevel"/>
    <w:tmpl w:val="1DE4FC1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nsid w:val="404B386C"/>
    <w:multiLevelType w:val="hybridMultilevel"/>
    <w:tmpl w:val="8A0C4EAA"/>
    <w:lvl w:ilvl="0" w:tplc="A0125B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AA1552"/>
    <w:multiLevelType w:val="hybridMultilevel"/>
    <w:tmpl w:val="25FA6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DB83F01"/>
    <w:multiLevelType w:val="hybridMultilevel"/>
    <w:tmpl w:val="9DE4DB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569D1FB7"/>
    <w:multiLevelType w:val="hybridMultilevel"/>
    <w:tmpl w:val="E7961D54"/>
    <w:lvl w:ilvl="0" w:tplc="20909F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72739BF"/>
    <w:multiLevelType w:val="hybridMultilevel"/>
    <w:tmpl w:val="3C481F76"/>
    <w:lvl w:ilvl="0" w:tplc="651C7084">
      <w:start w:val="1"/>
      <w:numFmt w:val="decimal"/>
      <w:lvlText w:val="%1)"/>
      <w:lvlJc w:val="left"/>
      <w:pPr>
        <w:ind w:left="720" w:hanging="360"/>
      </w:pPr>
      <w:rPr>
        <w:rFonts w:hint="default"/>
        <w:b w:val="0"/>
        <w:sz w:val="24"/>
        <w:szCs w:val="24"/>
      </w:rPr>
    </w:lvl>
    <w:lvl w:ilvl="1" w:tplc="738402EC">
      <w:start w:val="1"/>
      <w:numFmt w:val="bullet"/>
      <w:lvlText w:val="-"/>
      <w:lvlJc w:val="left"/>
      <w:pPr>
        <w:ind w:left="1440" w:hanging="360"/>
      </w:pPr>
      <w:rPr>
        <w:rFonts w:ascii="Univers" w:hAnsi="Univers"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nsid w:val="576636A1"/>
    <w:multiLevelType w:val="hybridMultilevel"/>
    <w:tmpl w:val="051C76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8643212"/>
    <w:multiLevelType w:val="hybridMultilevel"/>
    <w:tmpl w:val="416ACE6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0">
    <w:nsid w:val="60C35867"/>
    <w:multiLevelType w:val="hybridMultilevel"/>
    <w:tmpl w:val="5BDEC5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nsid w:val="650C4401"/>
    <w:multiLevelType w:val="hybridMultilevel"/>
    <w:tmpl w:val="14DEEA4A"/>
    <w:lvl w:ilvl="0" w:tplc="AA04DBD2">
      <w:start w:val="1"/>
      <w:numFmt w:val="decimal"/>
      <w:lvlText w:val="(%1)"/>
      <w:lvlJc w:val="left"/>
      <w:pPr>
        <w:ind w:left="720" w:hanging="360"/>
      </w:pPr>
      <w:rPr>
        <w:rFonts w:ascii="Arial" w:hAnsi="Arial" w:cs="Arial" w:hint="default"/>
        <w:i/>
        <w:sz w:val="18"/>
        <w:szCs w:val="18"/>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9DB5388"/>
    <w:multiLevelType w:val="hybridMultilevel"/>
    <w:tmpl w:val="E7961D54"/>
    <w:lvl w:ilvl="0" w:tplc="20909F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AD9599F"/>
    <w:multiLevelType w:val="hybridMultilevel"/>
    <w:tmpl w:val="021662E6"/>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nsid w:val="6C012E65"/>
    <w:multiLevelType w:val="hybridMultilevel"/>
    <w:tmpl w:val="27CC092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6D3A24BB"/>
    <w:multiLevelType w:val="hybridMultilevel"/>
    <w:tmpl w:val="B7A232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6FA279C8"/>
    <w:multiLevelType w:val="hybridMultilevel"/>
    <w:tmpl w:val="1382CA08"/>
    <w:lvl w:ilvl="0" w:tplc="A1EC7C18">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FB37768"/>
    <w:multiLevelType w:val="hybridMultilevel"/>
    <w:tmpl w:val="E7EE264C"/>
    <w:lvl w:ilvl="0" w:tplc="A0125B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0D90350"/>
    <w:multiLevelType w:val="hybridMultilevel"/>
    <w:tmpl w:val="86E0D4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76090E85"/>
    <w:multiLevelType w:val="multilevel"/>
    <w:tmpl w:val="500EC1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7A155716"/>
    <w:multiLevelType w:val="hybridMultilevel"/>
    <w:tmpl w:val="5D307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24"/>
  </w:num>
  <w:num w:numId="4">
    <w:abstractNumId w:val="23"/>
  </w:num>
  <w:num w:numId="5">
    <w:abstractNumId w:val="10"/>
  </w:num>
  <w:num w:numId="6">
    <w:abstractNumId w:val="25"/>
  </w:num>
  <w:num w:numId="7">
    <w:abstractNumId w:val="28"/>
  </w:num>
  <w:num w:numId="8">
    <w:abstractNumId w:val="8"/>
  </w:num>
  <w:num w:numId="9">
    <w:abstractNumId w:val="6"/>
  </w:num>
  <w:num w:numId="10">
    <w:abstractNumId w:val="16"/>
  </w:num>
  <w:num w:numId="11">
    <w:abstractNumId w:val="18"/>
  </w:num>
  <w:num w:numId="12">
    <w:abstractNumId w:val="1"/>
  </w:num>
  <w:num w:numId="13">
    <w:abstractNumId w:val="7"/>
  </w:num>
  <w:num w:numId="14">
    <w:abstractNumId w:val="0"/>
  </w:num>
  <w:num w:numId="15">
    <w:abstractNumId w:val="2"/>
  </w:num>
  <w:num w:numId="16">
    <w:abstractNumId w:val="29"/>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3"/>
  </w:num>
  <w:num w:numId="21">
    <w:abstractNumId w:val="27"/>
  </w:num>
  <w:num w:numId="22">
    <w:abstractNumId w:val="3"/>
  </w:num>
  <w:num w:numId="23">
    <w:abstractNumId w:val="4"/>
  </w:num>
  <w:num w:numId="24">
    <w:abstractNumId w:val="14"/>
  </w:num>
  <w:num w:numId="25">
    <w:abstractNumId w:val="5"/>
  </w:num>
  <w:num w:numId="26">
    <w:abstractNumId w:val="20"/>
  </w:num>
  <w:num w:numId="27">
    <w:abstractNumId w:val="15"/>
  </w:num>
  <w:num w:numId="28">
    <w:abstractNumId w:val="19"/>
  </w:num>
  <w:num w:numId="29">
    <w:abstractNumId w:val="11"/>
  </w:num>
  <w:num w:numId="30">
    <w:abstractNumId w:val="26"/>
  </w:num>
  <w:num w:numId="31">
    <w:abstractNumId w:val="30"/>
  </w:num>
  <w:num w:numId="32">
    <w:abstractNumId w:val="21"/>
  </w:num>
  <w:num w:numId="33">
    <w:abstractNumId w:val="18"/>
  </w:num>
  <w:num w:numId="34">
    <w:abstractNumId w:val="18"/>
  </w:num>
  <w:num w:numId="35">
    <w:abstractNumId w:val="18"/>
  </w:num>
  <w:num w:numId="36">
    <w:abstractNumId w:val="9"/>
  </w:num>
  <w:num w:numId="37">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revisionView w:markup="0"/>
  <w:trackRevisions/>
  <w:defaultTabStop w:val="720"/>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69"/>
    <w:rsid w:val="0000047F"/>
    <w:rsid w:val="000006D2"/>
    <w:rsid w:val="00000FE7"/>
    <w:rsid w:val="000012DD"/>
    <w:rsid w:val="0000154D"/>
    <w:rsid w:val="000015BF"/>
    <w:rsid w:val="000026D0"/>
    <w:rsid w:val="00002DFA"/>
    <w:rsid w:val="00002F27"/>
    <w:rsid w:val="0000303B"/>
    <w:rsid w:val="000034A6"/>
    <w:rsid w:val="00003A9F"/>
    <w:rsid w:val="00003FF5"/>
    <w:rsid w:val="0000423D"/>
    <w:rsid w:val="000045F9"/>
    <w:rsid w:val="000047E4"/>
    <w:rsid w:val="00005607"/>
    <w:rsid w:val="00006863"/>
    <w:rsid w:val="00006B3B"/>
    <w:rsid w:val="00006C01"/>
    <w:rsid w:val="00006F66"/>
    <w:rsid w:val="00007058"/>
    <w:rsid w:val="000077C7"/>
    <w:rsid w:val="00007BD0"/>
    <w:rsid w:val="0001042A"/>
    <w:rsid w:val="00010672"/>
    <w:rsid w:val="000109D7"/>
    <w:rsid w:val="00010EC9"/>
    <w:rsid w:val="0001147F"/>
    <w:rsid w:val="00011491"/>
    <w:rsid w:val="000119D5"/>
    <w:rsid w:val="00012085"/>
    <w:rsid w:val="000125AC"/>
    <w:rsid w:val="00012C17"/>
    <w:rsid w:val="00012FF2"/>
    <w:rsid w:val="00013174"/>
    <w:rsid w:val="000134F7"/>
    <w:rsid w:val="000138C0"/>
    <w:rsid w:val="00013A12"/>
    <w:rsid w:val="00013AD9"/>
    <w:rsid w:val="00013BFF"/>
    <w:rsid w:val="00014458"/>
    <w:rsid w:val="00014608"/>
    <w:rsid w:val="000147F4"/>
    <w:rsid w:val="00014AB9"/>
    <w:rsid w:val="00014C8E"/>
    <w:rsid w:val="00014F94"/>
    <w:rsid w:val="00015283"/>
    <w:rsid w:val="000156C2"/>
    <w:rsid w:val="00015B14"/>
    <w:rsid w:val="00016C9C"/>
    <w:rsid w:val="00016E58"/>
    <w:rsid w:val="0001743F"/>
    <w:rsid w:val="00020047"/>
    <w:rsid w:val="000206F6"/>
    <w:rsid w:val="00020713"/>
    <w:rsid w:val="00020B7F"/>
    <w:rsid w:val="00020DCF"/>
    <w:rsid w:val="0002185E"/>
    <w:rsid w:val="00021E77"/>
    <w:rsid w:val="00021FC5"/>
    <w:rsid w:val="00021FCA"/>
    <w:rsid w:val="00022100"/>
    <w:rsid w:val="000221CC"/>
    <w:rsid w:val="00022456"/>
    <w:rsid w:val="00023169"/>
    <w:rsid w:val="000232E9"/>
    <w:rsid w:val="000234FE"/>
    <w:rsid w:val="00023E6F"/>
    <w:rsid w:val="00024CBC"/>
    <w:rsid w:val="00025399"/>
    <w:rsid w:val="00025774"/>
    <w:rsid w:val="000261CC"/>
    <w:rsid w:val="00026714"/>
    <w:rsid w:val="00026977"/>
    <w:rsid w:val="00027085"/>
    <w:rsid w:val="00027B8D"/>
    <w:rsid w:val="00027E09"/>
    <w:rsid w:val="000300B8"/>
    <w:rsid w:val="0003078B"/>
    <w:rsid w:val="00030D76"/>
    <w:rsid w:val="00030DEB"/>
    <w:rsid w:val="00030F90"/>
    <w:rsid w:val="00031334"/>
    <w:rsid w:val="00031453"/>
    <w:rsid w:val="000317BC"/>
    <w:rsid w:val="000317F9"/>
    <w:rsid w:val="000318DF"/>
    <w:rsid w:val="00031C7B"/>
    <w:rsid w:val="00031D82"/>
    <w:rsid w:val="0003213B"/>
    <w:rsid w:val="00032390"/>
    <w:rsid w:val="00032C17"/>
    <w:rsid w:val="00033259"/>
    <w:rsid w:val="00033342"/>
    <w:rsid w:val="00033A74"/>
    <w:rsid w:val="00033D2D"/>
    <w:rsid w:val="00033D3C"/>
    <w:rsid w:val="00033D68"/>
    <w:rsid w:val="000341AB"/>
    <w:rsid w:val="000344B3"/>
    <w:rsid w:val="000349E8"/>
    <w:rsid w:val="00034CC9"/>
    <w:rsid w:val="00034DDC"/>
    <w:rsid w:val="000359DA"/>
    <w:rsid w:val="00035B51"/>
    <w:rsid w:val="00035FDA"/>
    <w:rsid w:val="00036114"/>
    <w:rsid w:val="00036C2F"/>
    <w:rsid w:val="00037404"/>
    <w:rsid w:val="0003744D"/>
    <w:rsid w:val="00037997"/>
    <w:rsid w:val="00037AEB"/>
    <w:rsid w:val="00040085"/>
    <w:rsid w:val="00040303"/>
    <w:rsid w:val="0004034D"/>
    <w:rsid w:val="000407D5"/>
    <w:rsid w:val="0004096F"/>
    <w:rsid w:val="00040C08"/>
    <w:rsid w:val="000413C4"/>
    <w:rsid w:val="00041831"/>
    <w:rsid w:val="00041D18"/>
    <w:rsid w:val="0004258A"/>
    <w:rsid w:val="00042926"/>
    <w:rsid w:val="00043BA4"/>
    <w:rsid w:val="00043CDA"/>
    <w:rsid w:val="00044165"/>
    <w:rsid w:val="0004430A"/>
    <w:rsid w:val="00044627"/>
    <w:rsid w:val="000446E4"/>
    <w:rsid w:val="000448DF"/>
    <w:rsid w:val="00044C1B"/>
    <w:rsid w:val="00044F13"/>
    <w:rsid w:val="000457B5"/>
    <w:rsid w:val="00045E54"/>
    <w:rsid w:val="00046120"/>
    <w:rsid w:val="00046B2D"/>
    <w:rsid w:val="00046BDE"/>
    <w:rsid w:val="0004773B"/>
    <w:rsid w:val="0004782C"/>
    <w:rsid w:val="000478E9"/>
    <w:rsid w:val="00050BDB"/>
    <w:rsid w:val="00050CE5"/>
    <w:rsid w:val="00051573"/>
    <w:rsid w:val="00051EBF"/>
    <w:rsid w:val="00052140"/>
    <w:rsid w:val="0005238F"/>
    <w:rsid w:val="000523F7"/>
    <w:rsid w:val="000526A4"/>
    <w:rsid w:val="0005276B"/>
    <w:rsid w:val="00052A6C"/>
    <w:rsid w:val="000537E2"/>
    <w:rsid w:val="00053D8E"/>
    <w:rsid w:val="00053DE2"/>
    <w:rsid w:val="00054194"/>
    <w:rsid w:val="00054A32"/>
    <w:rsid w:val="00054D9E"/>
    <w:rsid w:val="00054DE9"/>
    <w:rsid w:val="00054FD6"/>
    <w:rsid w:val="00055787"/>
    <w:rsid w:val="000561C7"/>
    <w:rsid w:val="00056513"/>
    <w:rsid w:val="000568B5"/>
    <w:rsid w:val="00056F7A"/>
    <w:rsid w:val="0005739A"/>
    <w:rsid w:val="0005796C"/>
    <w:rsid w:val="00060482"/>
    <w:rsid w:val="000604E7"/>
    <w:rsid w:val="00060679"/>
    <w:rsid w:val="00060680"/>
    <w:rsid w:val="00060E8F"/>
    <w:rsid w:val="000622E7"/>
    <w:rsid w:val="000629AB"/>
    <w:rsid w:val="00062AB6"/>
    <w:rsid w:val="0006315F"/>
    <w:rsid w:val="000634B6"/>
    <w:rsid w:val="00063EB2"/>
    <w:rsid w:val="00064E7C"/>
    <w:rsid w:val="00065824"/>
    <w:rsid w:val="0006589E"/>
    <w:rsid w:val="0006596C"/>
    <w:rsid w:val="00065A51"/>
    <w:rsid w:val="00065AA7"/>
    <w:rsid w:val="00065E95"/>
    <w:rsid w:val="00065F74"/>
    <w:rsid w:val="0006601F"/>
    <w:rsid w:val="000660F6"/>
    <w:rsid w:val="00066649"/>
    <w:rsid w:val="0006717E"/>
    <w:rsid w:val="0006778C"/>
    <w:rsid w:val="00067B95"/>
    <w:rsid w:val="00070120"/>
    <w:rsid w:val="00070A63"/>
    <w:rsid w:val="00070D5F"/>
    <w:rsid w:val="00070F3E"/>
    <w:rsid w:val="00071152"/>
    <w:rsid w:val="00071858"/>
    <w:rsid w:val="00071F89"/>
    <w:rsid w:val="00072063"/>
    <w:rsid w:val="000723A4"/>
    <w:rsid w:val="00072489"/>
    <w:rsid w:val="000734F4"/>
    <w:rsid w:val="000735D9"/>
    <w:rsid w:val="00073851"/>
    <w:rsid w:val="00073EFC"/>
    <w:rsid w:val="00074103"/>
    <w:rsid w:val="00074233"/>
    <w:rsid w:val="00074443"/>
    <w:rsid w:val="0007470C"/>
    <w:rsid w:val="00074BF9"/>
    <w:rsid w:val="00074C6A"/>
    <w:rsid w:val="000754CF"/>
    <w:rsid w:val="00075A92"/>
    <w:rsid w:val="000761DC"/>
    <w:rsid w:val="00076513"/>
    <w:rsid w:val="00076649"/>
    <w:rsid w:val="000770D6"/>
    <w:rsid w:val="0007726C"/>
    <w:rsid w:val="000773CF"/>
    <w:rsid w:val="00077704"/>
    <w:rsid w:val="00080F1A"/>
    <w:rsid w:val="0008111F"/>
    <w:rsid w:val="00081216"/>
    <w:rsid w:val="00081230"/>
    <w:rsid w:val="0008136D"/>
    <w:rsid w:val="00081417"/>
    <w:rsid w:val="000819DF"/>
    <w:rsid w:val="00081CC8"/>
    <w:rsid w:val="0008252C"/>
    <w:rsid w:val="00082B7C"/>
    <w:rsid w:val="00083039"/>
    <w:rsid w:val="000840E2"/>
    <w:rsid w:val="000848B5"/>
    <w:rsid w:val="00084CB8"/>
    <w:rsid w:val="00084E72"/>
    <w:rsid w:val="00085179"/>
    <w:rsid w:val="000861D8"/>
    <w:rsid w:val="00086349"/>
    <w:rsid w:val="00087C26"/>
    <w:rsid w:val="00087D55"/>
    <w:rsid w:val="00087E41"/>
    <w:rsid w:val="0009025C"/>
    <w:rsid w:val="00090A60"/>
    <w:rsid w:val="00090AE2"/>
    <w:rsid w:val="00090B70"/>
    <w:rsid w:val="00090FE2"/>
    <w:rsid w:val="000913CA"/>
    <w:rsid w:val="000918E1"/>
    <w:rsid w:val="00091FD4"/>
    <w:rsid w:val="00092194"/>
    <w:rsid w:val="000923E0"/>
    <w:rsid w:val="000924F7"/>
    <w:rsid w:val="00092DF5"/>
    <w:rsid w:val="00093029"/>
    <w:rsid w:val="00093517"/>
    <w:rsid w:val="000937B3"/>
    <w:rsid w:val="00093F7F"/>
    <w:rsid w:val="000959E8"/>
    <w:rsid w:val="0009690B"/>
    <w:rsid w:val="00096A54"/>
    <w:rsid w:val="000975F7"/>
    <w:rsid w:val="00097D37"/>
    <w:rsid w:val="00097DD9"/>
    <w:rsid w:val="000A0129"/>
    <w:rsid w:val="000A0209"/>
    <w:rsid w:val="000A02C6"/>
    <w:rsid w:val="000A02EF"/>
    <w:rsid w:val="000A0CAC"/>
    <w:rsid w:val="000A0EFF"/>
    <w:rsid w:val="000A107E"/>
    <w:rsid w:val="000A1234"/>
    <w:rsid w:val="000A13BE"/>
    <w:rsid w:val="000A23C5"/>
    <w:rsid w:val="000A25C5"/>
    <w:rsid w:val="000A2852"/>
    <w:rsid w:val="000A2C95"/>
    <w:rsid w:val="000A2E03"/>
    <w:rsid w:val="000A3006"/>
    <w:rsid w:val="000A3330"/>
    <w:rsid w:val="000A35D3"/>
    <w:rsid w:val="000A37A0"/>
    <w:rsid w:val="000A3A1C"/>
    <w:rsid w:val="000A3AC5"/>
    <w:rsid w:val="000A4351"/>
    <w:rsid w:val="000A45C8"/>
    <w:rsid w:val="000A4B7D"/>
    <w:rsid w:val="000A4D5A"/>
    <w:rsid w:val="000A51C2"/>
    <w:rsid w:val="000A55A8"/>
    <w:rsid w:val="000A5F39"/>
    <w:rsid w:val="000A60E5"/>
    <w:rsid w:val="000A6215"/>
    <w:rsid w:val="000A66C7"/>
    <w:rsid w:val="000A761B"/>
    <w:rsid w:val="000A7AD5"/>
    <w:rsid w:val="000A7C3E"/>
    <w:rsid w:val="000B0535"/>
    <w:rsid w:val="000B09FC"/>
    <w:rsid w:val="000B0B47"/>
    <w:rsid w:val="000B0F79"/>
    <w:rsid w:val="000B1C32"/>
    <w:rsid w:val="000B25D8"/>
    <w:rsid w:val="000B2C8D"/>
    <w:rsid w:val="000B2DAA"/>
    <w:rsid w:val="000B2FB9"/>
    <w:rsid w:val="000B32F7"/>
    <w:rsid w:val="000B3DB1"/>
    <w:rsid w:val="000B3FD3"/>
    <w:rsid w:val="000B430F"/>
    <w:rsid w:val="000B4EFA"/>
    <w:rsid w:val="000B53D0"/>
    <w:rsid w:val="000B5C0B"/>
    <w:rsid w:val="000B61C5"/>
    <w:rsid w:val="000B641C"/>
    <w:rsid w:val="000B67C0"/>
    <w:rsid w:val="000B6AD0"/>
    <w:rsid w:val="000B71EB"/>
    <w:rsid w:val="000B76FF"/>
    <w:rsid w:val="000B7CF2"/>
    <w:rsid w:val="000C0248"/>
    <w:rsid w:val="000C05C9"/>
    <w:rsid w:val="000C0AFD"/>
    <w:rsid w:val="000C1266"/>
    <w:rsid w:val="000C30BC"/>
    <w:rsid w:val="000C347E"/>
    <w:rsid w:val="000C382A"/>
    <w:rsid w:val="000C3C41"/>
    <w:rsid w:val="000C3DF2"/>
    <w:rsid w:val="000C47B3"/>
    <w:rsid w:val="000C4AAD"/>
    <w:rsid w:val="000C4C21"/>
    <w:rsid w:val="000C574B"/>
    <w:rsid w:val="000C57DF"/>
    <w:rsid w:val="000C59E4"/>
    <w:rsid w:val="000C5A3B"/>
    <w:rsid w:val="000C5C21"/>
    <w:rsid w:val="000C5D0A"/>
    <w:rsid w:val="000C5D1B"/>
    <w:rsid w:val="000C5F79"/>
    <w:rsid w:val="000C67CC"/>
    <w:rsid w:val="000C69C8"/>
    <w:rsid w:val="000C6C27"/>
    <w:rsid w:val="000C6E63"/>
    <w:rsid w:val="000C7426"/>
    <w:rsid w:val="000C7A93"/>
    <w:rsid w:val="000D0336"/>
    <w:rsid w:val="000D07E5"/>
    <w:rsid w:val="000D0A03"/>
    <w:rsid w:val="000D0DCD"/>
    <w:rsid w:val="000D16B8"/>
    <w:rsid w:val="000D21AF"/>
    <w:rsid w:val="000D2867"/>
    <w:rsid w:val="000D2B97"/>
    <w:rsid w:val="000D2F02"/>
    <w:rsid w:val="000D30A7"/>
    <w:rsid w:val="000D381E"/>
    <w:rsid w:val="000D3AE7"/>
    <w:rsid w:val="000D432E"/>
    <w:rsid w:val="000D49CD"/>
    <w:rsid w:val="000D4BE1"/>
    <w:rsid w:val="000D4DD5"/>
    <w:rsid w:val="000D569F"/>
    <w:rsid w:val="000D5F1B"/>
    <w:rsid w:val="000D645B"/>
    <w:rsid w:val="000D67DC"/>
    <w:rsid w:val="000D6E86"/>
    <w:rsid w:val="000D78BC"/>
    <w:rsid w:val="000D7D54"/>
    <w:rsid w:val="000E0314"/>
    <w:rsid w:val="000E0BFB"/>
    <w:rsid w:val="000E0D80"/>
    <w:rsid w:val="000E0EB7"/>
    <w:rsid w:val="000E1109"/>
    <w:rsid w:val="000E155B"/>
    <w:rsid w:val="000E1C7B"/>
    <w:rsid w:val="000E1D6E"/>
    <w:rsid w:val="000E1F6A"/>
    <w:rsid w:val="000E2220"/>
    <w:rsid w:val="000E22DF"/>
    <w:rsid w:val="000E2675"/>
    <w:rsid w:val="000E3241"/>
    <w:rsid w:val="000E329D"/>
    <w:rsid w:val="000E330A"/>
    <w:rsid w:val="000E3683"/>
    <w:rsid w:val="000E37CA"/>
    <w:rsid w:val="000E3AA8"/>
    <w:rsid w:val="000E3BC6"/>
    <w:rsid w:val="000E43AB"/>
    <w:rsid w:val="000E4433"/>
    <w:rsid w:val="000E4D3A"/>
    <w:rsid w:val="000E4ED4"/>
    <w:rsid w:val="000E4F1D"/>
    <w:rsid w:val="000E50AD"/>
    <w:rsid w:val="000E566A"/>
    <w:rsid w:val="000E5899"/>
    <w:rsid w:val="000E58F3"/>
    <w:rsid w:val="000E66AC"/>
    <w:rsid w:val="000E6720"/>
    <w:rsid w:val="000E693E"/>
    <w:rsid w:val="000E695E"/>
    <w:rsid w:val="000E6AA6"/>
    <w:rsid w:val="000E6BB6"/>
    <w:rsid w:val="000E6DE6"/>
    <w:rsid w:val="000E74CA"/>
    <w:rsid w:val="000E7CBF"/>
    <w:rsid w:val="000E7DA1"/>
    <w:rsid w:val="000E7DD2"/>
    <w:rsid w:val="000F00F9"/>
    <w:rsid w:val="000F03E3"/>
    <w:rsid w:val="000F06B1"/>
    <w:rsid w:val="000F0B6D"/>
    <w:rsid w:val="000F0D37"/>
    <w:rsid w:val="000F105E"/>
    <w:rsid w:val="000F10A7"/>
    <w:rsid w:val="000F1261"/>
    <w:rsid w:val="000F14C3"/>
    <w:rsid w:val="000F14C6"/>
    <w:rsid w:val="000F14D4"/>
    <w:rsid w:val="000F1B86"/>
    <w:rsid w:val="000F2115"/>
    <w:rsid w:val="000F2179"/>
    <w:rsid w:val="000F2265"/>
    <w:rsid w:val="000F2813"/>
    <w:rsid w:val="000F322B"/>
    <w:rsid w:val="000F3278"/>
    <w:rsid w:val="000F36CC"/>
    <w:rsid w:val="000F3B5F"/>
    <w:rsid w:val="000F3BA7"/>
    <w:rsid w:val="000F4496"/>
    <w:rsid w:val="000F45CE"/>
    <w:rsid w:val="000F480A"/>
    <w:rsid w:val="000F4BB3"/>
    <w:rsid w:val="000F4E80"/>
    <w:rsid w:val="000F5397"/>
    <w:rsid w:val="000F547C"/>
    <w:rsid w:val="000F593D"/>
    <w:rsid w:val="000F5D2A"/>
    <w:rsid w:val="000F6A44"/>
    <w:rsid w:val="000F6F92"/>
    <w:rsid w:val="000F7781"/>
    <w:rsid w:val="000F7E4C"/>
    <w:rsid w:val="000F7FC4"/>
    <w:rsid w:val="0010042D"/>
    <w:rsid w:val="0010057A"/>
    <w:rsid w:val="0010133E"/>
    <w:rsid w:val="00101D68"/>
    <w:rsid w:val="0010261D"/>
    <w:rsid w:val="00102A51"/>
    <w:rsid w:val="00102D39"/>
    <w:rsid w:val="0010341A"/>
    <w:rsid w:val="00103485"/>
    <w:rsid w:val="00103C76"/>
    <w:rsid w:val="00103E5A"/>
    <w:rsid w:val="00103FAD"/>
    <w:rsid w:val="00103FCE"/>
    <w:rsid w:val="00104057"/>
    <w:rsid w:val="00104159"/>
    <w:rsid w:val="00104E76"/>
    <w:rsid w:val="0010539C"/>
    <w:rsid w:val="00105632"/>
    <w:rsid w:val="00105890"/>
    <w:rsid w:val="00105DCF"/>
    <w:rsid w:val="00105DD3"/>
    <w:rsid w:val="00105FC9"/>
    <w:rsid w:val="00106539"/>
    <w:rsid w:val="00106815"/>
    <w:rsid w:val="00106895"/>
    <w:rsid w:val="00106E6B"/>
    <w:rsid w:val="001075FB"/>
    <w:rsid w:val="00107924"/>
    <w:rsid w:val="00107DC8"/>
    <w:rsid w:val="00110FD8"/>
    <w:rsid w:val="00112117"/>
    <w:rsid w:val="001123D6"/>
    <w:rsid w:val="0011248C"/>
    <w:rsid w:val="001125A1"/>
    <w:rsid w:val="00112D48"/>
    <w:rsid w:val="001132B5"/>
    <w:rsid w:val="00113FDA"/>
    <w:rsid w:val="00114781"/>
    <w:rsid w:val="00114869"/>
    <w:rsid w:val="00114B83"/>
    <w:rsid w:val="0011509F"/>
    <w:rsid w:val="00115399"/>
    <w:rsid w:val="00115731"/>
    <w:rsid w:val="0011658F"/>
    <w:rsid w:val="001172A6"/>
    <w:rsid w:val="001174B7"/>
    <w:rsid w:val="001176F2"/>
    <w:rsid w:val="001177E6"/>
    <w:rsid w:val="001179F4"/>
    <w:rsid w:val="00117BBF"/>
    <w:rsid w:val="0012027D"/>
    <w:rsid w:val="00120567"/>
    <w:rsid w:val="00121339"/>
    <w:rsid w:val="001214EC"/>
    <w:rsid w:val="00121D1E"/>
    <w:rsid w:val="00121EB0"/>
    <w:rsid w:val="00122311"/>
    <w:rsid w:val="00122998"/>
    <w:rsid w:val="0012310C"/>
    <w:rsid w:val="001238A3"/>
    <w:rsid w:val="00123FB3"/>
    <w:rsid w:val="001241B9"/>
    <w:rsid w:val="001248E5"/>
    <w:rsid w:val="00125011"/>
    <w:rsid w:val="00125156"/>
    <w:rsid w:val="001254D4"/>
    <w:rsid w:val="001255A5"/>
    <w:rsid w:val="00125621"/>
    <w:rsid w:val="001258AE"/>
    <w:rsid w:val="001258B5"/>
    <w:rsid w:val="00125FF5"/>
    <w:rsid w:val="00126394"/>
    <w:rsid w:val="0012667F"/>
    <w:rsid w:val="001267F5"/>
    <w:rsid w:val="00126C3C"/>
    <w:rsid w:val="00126DDD"/>
    <w:rsid w:val="0012761F"/>
    <w:rsid w:val="00127849"/>
    <w:rsid w:val="00127950"/>
    <w:rsid w:val="001279C4"/>
    <w:rsid w:val="00127D81"/>
    <w:rsid w:val="001306D8"/>
    <w:rsid w:val="0013193D"/>
    <w:rsid w:val="00132109"/>
    <w:rsid w:val="001323D4"/>
    <w:rsid w:val="00132841"/>
    <w:rsid w:val="00132C25"/>
    <w:rsid w:val="00132DA1"/>
    <w:rsid w:val="00132E7F"/>
    <w:rsid w:val="0013374D"/>
    <w:rsid w:val="00133ED6"/>
    <w:rsid w:val="00134488"/>
    <w:rsid w:val="001346F4"/>
    <w:rsid w:val="00134C67"/>
    <w:rsid w:val="001367DD"/>
    <w:rsid w:val="00136898"/>
    <w:rsid w:val="00136BEE"/>
    <w:rsid w:val="00136C20"/>
    <w:rsid w:val="00137504"/>
    <w:rsid w:val="00137696"/>
    <w:rsid w:val="00137A9B"/>
    <w:rsid w:val="00137D76"/>
    <w:rsid w:val="00137F69"/>
    <w:rsid w:val="001406FE"/>
    <w:rsid w:val="00140960"/>
    <w:rsid w:val="00140B2F"/>
    <w:rsid w:val="00140DDA"/>
    <w:rsid w:val="001414FB"/>
    <w:rsid w:val="00141725"/>
    <w:rsid w:val="001419E6"/>
    <w:rsid w:val="00141F58"/>
    <w:rsid w:val="00142342"/>
    <w:rsid w:val="00143087"/>
    <w:rsid w:val="001430D1"/>
    <w:rsid w:val="00143169"/>
    <w:rsid w:val="00143242"/>
    <w:rsid w:val="00143717"/>
    <w:rsid w:val="001437C2"/>
    <w:rsid w:val="001440B0"/>
    <w:rsid w:val="00144266"/>
    <w:rsid w:val="00144881"/>
    <w:rsid w:val="00144892"/>
    <w:rsid w:val="00144DF2"/>
    <w:rsid w:val="00145253"/>
    <w:rsid w:val="001459A8"/>
    <w:rsid w:val="00146976"/>
    <w:rsid w:val="00147033"/>
    <w:rsid w:val="00147242"/>
    <w:rsid w:val="00147529"/>
    <w:rsid w:val="00147B4B"/>
    <w:rsid w:val="00147D09"/>
    <w:rsid w:val="00147E0E"/>
    <w:rsid w:val="001500FF"/>
    <w:rsid w:val="00151CB3"/>
    <w:rsid w:val="00151DE3"/>
    <w:rsid w:val="00152321"/>
    <w:rsid w:val="00152970"/>
    <w:rsid w:val="001530C9"/>
    <w:rsid w:val="00153546"/>
    <w:rsid w:val="001535DD"/>
    <w:rsid w:val="00154498"/>
    <w:rsid w:val="00154569"/>
    <w:rsid w:val="00154BD5"/>
    <w:rsid w:val="00155091"/>
    <w:rsid w:val="001550F0"/>
    <w:rsid w:val="0015554A"/>
    <w:rsid w:val="00155560"/>
    <w:rsid w:val="001559A1"/>
    <w:rsid w:val="00155BA5"/>
    <w:rsid w:val="00155BF2"/>
    <w:rsid w:val="001561D8"/>
    <w:rsid w:val="0015666B"/>
    <w:rsid w:val="00156680"/>
    <w:rsid w:val="00156BCF"/>
    <w:rsid w:val="001570EC"/>
    <w:rsid w:val="00157321"/>
    <w:rsid w:val="0015740A"/>
    <w:rsid w:val="00157AF0"/>
    <w:rsid w:val="00157D7C"/>
    <w:rsid w:val="00160179"/>
    <w:rsid w:val="00160253"/>
    <w:rsid w:val="001603A4"/>
    <w:rsid w:val="001618DA"/>
    <w:rsid w:val="00161BD1"/>
    <w:rsid w:val="00161FB0"/>
    <w:rsid w:val="00162253"/>
    <w:rsid w:val="00162348"/>
    <w:rsid w:val="0016260A"/>
    <w:rsid w:val="0016285F"/>
    <w:rsid w:val="00162CED"/>
    <w:rsid w:val="00162ED2"/>
    <w:rsid w:val="00162F7E"/>
    <w:rsid w:val="00163576"/>
    <w:rsid w:val="00163F65"/>
    <w:rsid w:val="001642CA"/>
    <w:rsid w:val="001645BA"/>
    <w:rsid w:val="00164E76"/>
    <w:rsid w:val="001657B6"/>
    <w:rsid w:val="00165942"/>
    <w:rsid w:val="00165F09"/>
    <w:rsid w:val="001663A2"/>
    <w:rsid w:val="00166698"/>
    <w:rsid w:val="001668C9"/>
    <w:rsid w:val="00166D70"/>
    <w:rsid w:val="00167400"/>
    <w:rsid w:val="00167502"/>
    <w:rsid w:val="00167897"/>
    <w:rsid w:val="00167E65"/>
    <w:rsid w:val="001702A2"/>
    <w:rsid w:val="00170B1B"/>
    <w:rsid w:val="00170F08"/>
    <w:rsid w:val="0017169D"/>
    <w:rsid w:val="001717DD"/>
    <w:rsid w:val="00171828"/>
    <w:rsid w:val="0017212B"/>
    <w:rsid w:val="001728D4"/>
    <w:rsid w:val="00172D06"/>
    <w:rsid w:val="00172F2D"/>
    <w:rsid w:val="00173093"/>
    <w:rsid w:val="00173180"/>
    <w:rsid w:val="0017367D"/>
    <w:rsid w:val="0017384D"/>
    <w:rsid w:val="001740EC"/>
    <w:rsid w:val="001744CB"/>
    <w:rsid w:val="00174B61"/>
    <w:rsid w:val="00175763"/>
    <w:rsid w:val="001759EF"/>
    <w:rsid w:val="001760E8"/>
    <w:rsid w:val="00176254"/>
    <w:rsid w:val="00177B0B"/>
    <w:rsid w:val="00180355"/>
    <w:rsid w:val="00180729"/>
    <w:rsid w:val="00180AAA"/>
    <w:rsid w:val="0018100A"/>
    <w:rsid w:val="001819B5"/>
    <w:rsid w:val="00181D91"/>
    <w:rsid w:val="00181E03"/>
    <w:rsid w:val="00182416"/>
    <w:rsid w:val="0018289C"/>
    <w:rsid w:val="00182A58"/>
    <w:rsid w:val="00182DC2"/>
    <w:rsid w:val="001832FA"/>
    <w:rsid w:val="001833EF"/>
    <w:rsid w:val="001834B9"/>
    <w:rsid w:val="0018372E"/>
    <w:rsid w:val="0018398E"/>
    <w:rsid w:val="001844E0"/>
    <w:rsid w:val="00184811"/>
    <w:rsid w:val="001848CB"/>
    <w:rsid w:val="00185741"/>
    <w:rsid w:val="00185D09"/>
    <w:rsid w:val="00185D0E"/>
    <w:rsid w:val="00185E72"/>
    <w:rsid w:val="001863A8"/>
    <w:rsid w:val="0018667C"/>
    <w:rsid w:val="00186CF0"/>
    <w:rsid w:val="001903E1"/>
    <w:rsid w:val="00190730"/>
    <w:rsid w:val="001907D6"/>
    <w:rsid w:val="00190E69"/>
    <w:rsid w:val="00191239"/>
    <w:rsid w:val="001920B5"/>
    <w:rsid w:val="0019224E"/>
    <w:rsid w:val="00192DE9"/>
    <w:rsid w:val="00193BD3"/>
    <w:rsid w:val="00193ED2"/>
    <w:rsid w:val="00193EF4"/>
    <w:rsid w:val="0019409B"/>
    <w:rsid w:val="001941E7"/>
    <w:rsid w:val="001949E2"/>
    <w:rsid w:val="00195B4C"/>
    <w:rsid w:val="00196317"/>
    <w:rsid w:val="001963AA"/>
    <w:rsid w:val="00196439"/>
    <w:rsid w:val="00197495"/>
    <w:rsid w:val="00197611"/>
    <w:rsid w:val="001A00C5"/>
    <w:rsid w:val="001A096E"/>
    <w:rsid w:val="001A1C02"/>
    <w:rsid w:val="001A208F"/>
    <w:rsid w:val="001A24CD"/>
    <w:rsid w:val="001A262A"/>
    <w:rsid w:val="001A2711"/>
    <w:rsid w:val="001A2812"/>
    <w:rsid w:val="001A2A64"/>
    <w:rsid w:val="001A2AE7"/>
    <w:rsid w:val="001A2CFD"/>
    <w:rsid w:val="001A2E65"/>
    <w:rsid w:val="001A31DE"/>
    <w:rsid w:val="001A32E2"/>
    <w:rsid w:val="001A3654"/>
    <w:rsid w:val="001A3734"/>
    <w:rsid w:val="001A38A9"/>
    <w:rsid w:val="001A3D04"/>
    <w:rsid w:val="001A454D"/>
    <w:rsid w:val="001A46A3"/>
    <w:rsid w:val="001A4EB0"/>
    <w:rsid w:val="001A5124"/>
    <w:rsid w:val="001A5347"/>
    <w:rsid w:val="001A5A94"/>
    <w:rsid w:val="001A5DAF"/>
    <w:rsid w:val="001A6658"/>
    <w:rsid w:val="001A666F"/>
    <w:rsid w:val="001A6B97"/>
    <w:rsid w:val="001A7079"/>
    <w:rsid w:val="001A7725"/>
    <w:rsid w:val="001A786D"/>
    <w:rsid w:val="001A7C96"/>
    <w:rsid w:val="001B0660"/>
    <w:rsid w:val="001B0DE1"/>
    <w:rsid w:val="001B10B5"/>
    <w:rsid w:val="001B157F"/>
    <w:rsid w:val="001B2A81"/>
    <w:rsid w:val="001B2D85"/>
    <w:rsid w:val="001B30B2"/>
    <w:rsid w:val="001B32DB"/>
    <w:rsid w:val="001B36A0"/>
    <w:rsid w:val="001B3B55"/>
    <w:rsid w:val="001B3CC2"/>
    <w:rsid w:val="001B40F9"/>
    <w:rsid w:val="001B4529"/>
    <w:rsid w:val="001B4B71"/>
    <w:rsid w:val="001B4B8A"/>
    <w:rsid w:val="001B5062"/>
    <w:rsid w:val="001B5D4F"/>
    <w:rsid w:val="001B616C"/>
    <w:rsid w:val="001B61AE"/>
    <w:rsid w:val="001B63A5"/>
    <w:rsid w:val="001C0410"/>
    <w:rsid w:val="001C0C20"/>
    <w:rsid w:val="001C1AD9"/>
    <w:rsid w:val="001C1B4B"/>
    <w:rsid w:val="001C1FD6"/>
    <w:rsid w:val="001C236D"/>
    <w:rsid w:val="001C3A3B"/>
    <w:rsid w:val="001C3FF6"/>
    <w:rsid w:val="001C43BC"/>
    <w:rsid w:val="001C576D"/>
    <w:rsid w:val="001C5B77"/>
    <w:rsid w:val="001C61AF"/>
    <w:rsid w:val="001C6248"/>
    <w:rsid w:val="001C644B"/>
    <w:rsid w:val="001C68F7"/>
    <w:rsid w:val="001C6B19"/>
    <w:rsid w:val="001C74EC"/>
    <w:rsid w:val="001C7824"/>
    <w:rsid w:val="001C7B9C"/>
    <w:rsid w:val="001D0858"/>
    <w:rsid w:val="001D0C2E"/>
    <w:rsid w:val="001D0F76"/>
    <w:rsid w:val="001D10B9"/>
    <w:rsid w:val="001D19CC"/>
    <w:rsid w:val="001D209D"/>
    <w:rsid w:val="001D3D6A"/>
    <w:rsid w:val="001D3FF2"/>
    <w:rsid w:val="001D40C4"/>
    <w:rsid w:val="001D4CA3"/>
    <w:rsid w:val="001D4F4F"/>
    <w:rsid w:val="001D6E75"/>
    <w:rsid w:val="001D750C"/>
    <w:rsid w:val="001D7D5D"/>
    <w:rsid w:val="001D7F11"/>
    <w:rsid w:val="001E0B77"/>
    <w:rsid w:val="001E0CF3"/>
    <w:rsid w:val="001E0FB3"/>
    <w:rsid w:val="001E167F"/>
    <w:rsid w:val="001E1B55"/>
    <w:rsid w:val="001E22FD"/>
    <w:rsid w:val="001E23D7"/>
    <w:rsid w:val="001E25DC"/>
    <w:rsid w:val="001E26A5"/>
    <w:rsid w:val="001E3374"/>
    <w:rsid w:val="001E35B4"/>
    <w:rsid w:val="001E3970"/>
    <w:rsid w:val="001E3C55"/>
    <w:rsid w:val="001E3CA0"/>
    <w:rsid w:val="001E3E62"/>
    <w:rsid w:val="001E49DC"/>
    <w:rsid w:val="001E4AA8"/>
    <w:rsid w:val="001E4B6A"/>
    <w:rsid w:val="001E4B8F"/>
    <w:rsid w:val="001E4FF1"/>
    <w:rsid w:val="001E51D1"/>
    <w:rsid w:val="001E5224"/>
    <w:rsid w:val="001E5B9D"/>
    <w:rsid w:val="001E5FE6"/>
    <w:rsid w:val="001E608A"/>
    <w:rsid w:val="001E612D"/>
    <w:rsid w:val="001E69BA"/>
    <w:rsid w:val="001E6AFC"/>
    <w:rsid w:val="001E7DAF"/>
    <w:rsid w:val="001E7E51"/>
    <w:rsid w:val="001F02E4"/>
    <w:rsid w:val="001F052B"/>
    <w:rsid w:val="001F058F"/>
    <w:rsid w:val="001F141B"/>
    <w:rsid w:val="001F151F"/>
    <w:rsid w:val="001F155F"/>
    <w:rsid w:val="001F197F"/>
    <w:rsid w:val="001F1F9A"/>
    <w:rsid w:val="001F240F"/>
    <w:rsid w:val="001F25DD"/>
    <w:rsid w:val="001F2637"/>
    <w:rsid w:val="001F3047"/>
    <w:rsid w:val="001F3122"/>
    <w:rsid w:val="001F31B0"/>
    <w:rsid w:val="001F33BF"/>
    <w:rsid w:val="001F344B"/>
    <w:rsid w:val="001F3480"/>
    <w:rsid w:val="001F3AEA"/>
    <w:rsid w:val="001F4090"/>
    <w:rsid w:val="001F449D"/>
    <w:rsid w:val="001F46A7"/>
    <w:rsid w:val="001F4B82"/>
    <w:rsid w:val="001F4FD9"/>
    <w:rsid w:val="001F5390"/>
    <w:rsid w:val="001F6476"/>
    <w:rsid w:val="001F64C9"/>
    <w:rsid w:val="001F678F"/>
    <w:rsid w:val="001F68BC"/>
    <w:rsid w:val="001F6CD3"/>
    <w:rsid w:val="001F73BC"/>
    <w:rsid w:val="001F73F4"/>
    <w:rsid w:val="001F74E8"/>
    <w:rsid w:val="001F7725"/>
    <w:rsid w:val="002000C7"/>
    <w:rsid w:val="002004B5"/>
    <w:rsid w:val="00200789"/>
    <w:rsid w:val="002009E5"/>
    <w:rsid w:val="00201148"/>
    <w:rsid w:val="00201642"/>
    <w:rsid w:val="00201908"/>
    <w:rsid w:val="00201A93"/>
    <w:rsid w:val="00202469"/>
    <w:rsid w:val="00202558"/>
    <w:rsid w:val="002025ED"/>
    <w:rsid w:val="00202B2B"/>
    <w:rsid w:val="00203083"/>
    <w:rsid w:val="00203D6B"/>
    <w:rsid w:val="00204CC6"/>
    <w:rsid w:val="00205885"/>
    <w:rsid w:val="00205974"/>
    <w:rsid w:val="00205DE3"/>
    <w:rsid w:val="0020685A"/>
    <w:rsid w:val="00206EA1"/>
    <w:rsid w:val="0020716C"/>
    <w:rsid w:val="0020782F"/>
    <w:rsid w:val="0020786D"/>
    <w:rsid w:val="00207A9C"/>
    <w:rsid w:val="00210466"/>
    <w:rsid w:val="00210A4F"/>
    <w:rsid w:val="00210C30"/>
    <w:rsid w:val="00210CD5"/>
    <w:rsid w:val="00211928"/>
    <w:rsid w:val="00211A24"/>
    <w:rsid w:val="00211C22"/>
    <w:rsid w:val="002120B5"/>
    <w:rsid w:val="002125F7"/>
    <w:rsid w:val="00212750"/>
    <w:rsid w:val="00212BEF"/>
    <w:rsid w:val="00212DA7"/>
    <w:rsid w:val="00212E20"/>
    <w:rsid w:val="00213517"/>
    <w:rsid w:val="0021353B"/>
    <w:rsid w:val="00213633"/>
    <w:rsid w:val="0021373C"/>
    <w:rsid w:val="0021398F"/>
    <w:rsid w:val="00213A90"/>
    <w:rsid w:val="00213B91"/>
    <w:rsid w:val="002143ED"/>
    <w:rsid w:val="00215200"/>
    <w:rsid w:val="00215AB1"/>
    <w:rsid w:val="00216069"/>
    <w:rsid w:val="00216902"/>
    <w:rsid w:val="00216B3D"/>
    <w:rsid w:val="002174C6"/>
    <w:rsid w:val="00217643"/>
    <w:rsid w:val="00217AE1"/>
    <w:rsid w:val="00217BA0"/>
    <w:rsid w:val="00217BC0"/>
    <w:rsid w:val="00217F26"/>
    <w:rsid w:val="00220117"/>
    <w:rsid w:val="00220559"/>
    <w:rsid w:val="00220E0D"/>
    <w:rsid w:val="002214BA"/>
    <w:rsid w:val="0022150B"/>
    <w:rsid w:val="00221DAD"/>
    <w:rsid w:val="00221F1D"/>
    <w:rsid w:val="002224B8"/>
    <w:rsid w:val="00222677"/>
    <w:rsid w:val="00222794"/>
    <w:rsid w:val="002236FA"/>
    <w:rsid w:val="00223745"/>
    <w:rsid w:val="00224235"/>
    <w:rsid w:val="0022459D"/>
    <w:rsid w:val="00224FE9"/>
    <w:rsid w:val="00225554"/>
    <w:rsid w:val="00225A73"/>
    <w:rsid w:val="00225C77"/>
    <w:rsid w:val="00226281"/>
    <w:rsid w:val="002268B8"/>
    <w:rsid w:val="00226B44"/>
    <w:rsid w:val="0022714E"/>
    <w:rsid w:val="002272F0"/>
    <w:rsid w:val="0022756D"/>
    <w:rsid w:val="00227A42"/>
    <w:rsid w:val="002305B6"/>
    <w:rsid w:val="002307EA"/>
    <w:rsid w:val="00230F47"/>
    <w:rsid w:val="00230F98"/>
    <w:rsid w:val="0023123C"/>
    <w:rsid w:val="002316B2"/>
    <w:rsid w:val="00231DE7"/>
    <w:rsid w:val="0023201E"/>
    <w:rsid w:val="00232125"/>
    <w:rsid w:val="00232433"/>
    <w:rsid w:val="00232566"/>
    <w:rsid w:val="00232DF6"/>
    <w:rsid w:val="00233E21"/>
    <w:rsid w:val="00234ACC"/>
    <w:rsid w:val="00234B68"/>
    <w:rsid w:val="00234FFB"/>
    <w:rsid w:val="00235259"/>
    <w:rsid w:val="00235459"/>
    <w:rsid w:val="002356B1"/>
    <w:rsid w:val="00236551"/>
    <w:rsid w:val="00236BC0"/>
    <w:rsid w:val="00236C76"/>
    <w:rsid w:val="002372D8"/>
    <w:rsid w:val="002374FC"/>
    <w:rsid w:val="0023760C"/>
    <w:rsid w:val="00237B8A"/>
    <w:rsid w:val="00240184"/>
    <w:rsid w:val="002408D1"/>
    <w:rsid w:val="00240A37"/>
    <w:rsid w:val="00240E0C"/>
    <w:rsid w:val="0024124E"/>
    <w:rsid w:val="00241592"/>
    <w:rsid w:val="00241F07"/>
    <w:rsid w:val="002426BF"/>
    <w:rsid w:val="002427BB"/>
    <w:rsid w:val="00242856"/>
    <w:rsid w:val="002428ED"/>
    <w:rsid w:val="00242EEA"/>
    <w:rsid w:val="00243A8E"/>
    <w:rsid w:val="00244016"/>
    <w:rsid w:val="00244E28"/>
    <w:rsid w:val="00244F3A"/>
    <w:rsid w:val="00244FA0"/>
    <w:rsid w:val="002461B0"/>
    <w:rsid w:val="002462B5"/>
    <w:rsid w:val="00246F58"/>
    <w:rsid w:val="00247602"/>
    <w:rsid w:val="00247C2C"/>
    <w:rsid w:val="00247DF8"/>
    <w:rsid w:val="00250000"/>
    <w:rsid w:val="00250A7A"/>
    <w:rsid w:val="00250AB1"/>
    <w:rsid w:val="00250E3C"/>
    <w:rsid w:val="00251EB0"/>
    <w:rsid w:val="00252063"/>
    <w:rsid w:val="002520A3"/>
    <w:rsid w:val="00252245"/>
    <w:rsid w:val="0025268D"/>
    <w:rsid w:val="00252BA1"/>
    <w:rsid w:val="002530C8"/>
    <w:rsid w:val="00253707"/>
    <w:rsid w:val="0025382B"/>
    <w:rsid w:val="0025390B"/>
    <w:rsid w:val="00253A2D"/>
    <w:rsid w:val="0025400C"/>
    <w:rsid w:val="0025420C"/>
    <w:rsid w:val="002545D0"/>
    <w:rsid w:val="002552C7"/>
    <w:rsid w:val="002559A5"/>
    <w:rsid w:val="002559B4"/>
    <w:rsid w:val="0025641A"/>
    <w:rsid w:val="00256589"/>
    <w:rsid w:val="0025676F"/>
    <w:rsid w:val="00256A04"/>
    <w:rsid w:val="00257085"/>
    <w:rsid w:val="00257167"/>
    <w:rsid w:val="00257330"/>
    <w:rsid w:val="00257ABF"/>
    <w:rsid w:val="00257BE5"/>
    <w:rsid w:val="0026099B"/>
    <w:rsid w:val="00260A45"/>
    <w:rsid w:val="00260B50"/>
    <w:rsid w:val="00260E7F"/>
    <w:rsid w:val="0026182A"/>
    <w:rsid w:val="00261C09"/>
    <w:rsid w:val="002620BE"/>
    <w:rsid w:val="0026281D"/>
    <w:rsid w:val="00262B01"/>
    <w:rsid w:val="00262E5E"/>
    <w:rsid w:val="0026331C"/>
    <w:rsid w:val="00263422"/>
    <w:rsid w:val="00263A9D"/>
    <w:rsid w:val="00263B3A"/>
    <w:rsid w:val="00264215"/>
    <w:rsid w:val="00264277"/>
    <w:rsid w:val="0026532B"/>
    <w:rsid w:val="0026543C"/>
    <w:rsid w:val="00265513"/>
    <w:rsid w:val="0026599C"/>
    <w:rsid w:val="00266016"/>
    <w:rsid w:val="002662A2"/>
    <w:rsid w:val="0026633C"/>
    <w:rsid w:val="0026648B"/>
    <w:rsid w:val="00266730"/>
    <w:rsid w:val="00267128"/>
    <w:rsid w:val="00267361"/>
    <w:rsid w:val="002678E4"/>
    <w:rsid w:val="00267DE7"/>
    <w:rsid w:val="00267F41"/>
    <w:rsid w:val="00270132"/>
    <w:rsid w:val="00270DC3"/>
    <w:rsid w:val="00270F04"/>
    <w:rsid w:val="002712F3"/>
    <w:rsid w:val="00271502"/>
    <w:rsid w:val="002715F0"/>
    <w:rsid w:val="00271C02"/>
    <w:rsid w:val="00271CF2"/>
    <w:rsid w:val="00271DBF"/>
    <w:rsid w:val="00272183"/>
    <w:rsid w:val="0027277E"/>
    <w:rsid w:val="00272937"/>
    <w:rsid w:val="00272C73"/>
    <w:rsid w:val="00273005"/>
    <w:rsid w:val="0027300D"/>
    <w:rsid w:val="00273314"/>
    <w:rsid w:val="00273D2D"/>
    <w:rsid w:val="00274209"/>
    <w:rsid w:val="00274313"/>
    <w:rsid w:val="002749FB"/>
    <w:rsid w:val="00274E3C"/>
    <w:rsid w:val="00274F2B"/>
    <w:rsid w:val="00275065"/>
    <w:rsid w:val="00276B89"/>
    <w:rsid w:val="00276D77"/>
    <w:rsid w:val="0027721D"/>
    <w:rsid w:val="00277ECC"/>
    <w:rsid w:val="00280042"/>
    <w:rsid w:val="00280659"/>
    <w:rsid w:val="0028139B"/>
    <w:rsid w:val="00281C9C"/>
    <w:rsid w:val="00282067"/>
    <w:rsid w:val="00282130"/>
    <w:rsid w:val="00282177"/>
    <w:rsid w:val="00282800"/>
    <w:rsid w:val="00284592"/>
    <w:rsid w:val="0028461B"/>
    <w:rsid w:val="00284889"/>
    <w:rsid w:val="00284D28"/>
    <w:rsid w:val="0028512B"/>
    <w:rsid w:val="00285D1A"/>
    <w:rsid w:val="00285F60"/>
    <w:rsid w:val="002864DA"/>
    <w:rsid w:val="002873DC"/>
    <w:rsid w:val="00287449"/>
    <w:rsid w:val="00287B80"/>
    <w:rsid w:val="00287F41"/>
    <w:rsid w:val="00290146"/>
    <w:rsid w:val="00290517"/>
    <w:rsid w:val="002908E9"/>
    <w:rsid w:val="00291095"/>
    <w:rsid w:val="0029137E"/>
    <w:rsid w:val="002914DE"/>
    <w:rsid w:val="002917A3"/>
    <w:rsid w:val="0029193E"/>
    <w:rsid w:val="00291E13"/>
    <w:rsid w:val="0029216A"/>
    <w:rsid w:val="002929E2"/>
    <w:rsid w:val="00292A9C"/>
    <w:rsid w:val="002938BD"/>
    <w:rsid w:val="00293C10"/>
    <w:rsid w:val="00293E4D"/>
    <w:rsid w:val="00294032"/>
    <w:rsid w:val="00294126"/>
    <w:rsid w:val="002945DC"/>
    <w:rsid w:val="00294947"/>
    <w:rsid w:val="00294A44"/>
    <w:rsid w:val="00294A6C"/>
    <w:rsid w:val="00294D87"/>
    <w:rsid w:val="002952BA"/>
    <w:rsid w:val="00295945"/>
    <w:rsid w:val="002959B8"/>
    <w:rsid w:val="00295D85"/>
    <w:rsid w:val="00296819"/>
    <w:rsid w:val="0029725A"/>
    <w:rsid w:val="00297530"/>
    <w:rsid w:val="002978F8"/>
    <w:rsid w:val="00297B4B"/>
    <w:rsid w:val="002A009D"/>
    <w:rsid w:val="002A0831"/>
    <w:rsid w:val="002A094A"/>
    <w:rsid w:val="002A0A6C"/>
    <w:rsid w:val="002A0B60"/>
    <w:rsid w:val="002A254E"/>
    <w:rsid w:val="002A2BF6"/>
    <w:rsid w:val="002A2FCD"/>
    <w:rsid w:val="002A3337"/>
    <w:rsid w:val="002A414F"/>
    <w:rsid w:val="002A42D4"/>
    <w:rsid w:val="002A431F"/>
    <w:rsid w:val="002A447C"/>
    <w:rsid w:val="002A482E"/>
    <w:rsid w:val="002A4B25"/>
    <w:rsid w:val="002A4C6F"/>
    <w:rsid w:val="002A4F73"/>
    <w:rsid w:val="002A4FF0"/>
    <w:rsid w:val="002A5005"/>
    <w:rsid w:val="002A58A9"/>
    <w:rsid w:val="002A5DD1"/>
    <w:rsid w:val="002A60B3"/>
    <w:rsid w:val="002A6143"/>
    <w:rsid w:val="002A6209"/>
    <w:rsid w:val="002A67F5"/>
    <w:rsid w:val="002A6899"/>
    <w:rsid w:val="002A68AA"/>
    <w:rsid w:val="002A6BD6"/>
    <w:rsid w:val="002A6CB7"/>
    <w:rsid w:val="002A79FF"/>
    <w:rsid w:val="002A7FB8"/>
    <w:rsid w:val="002B0726"/>
    <w:rsid w:val="002B078D"/>
    <w:rsid w:val="002B08ED"/>
    <w:rsid w:val="002B0937"/>
    <w:rsid w:val="002B1626"/>
    <w:rsid w:val="002B17E5"/>
    <w:rsid w:val="002B18CF"/>
    <w:rsid w:val="002B1A71"/>
    <w:rsid w:val="002B2071"/>
    <w:rsid w:val="002B26AC"/>
    <w:rsid w:val="002B2E9B"/>
    <w:rsid w:val="002B30CD"/>
    <w:rsid w:val="002B310B"/>
    <w:rsid w:val="002B3284"/>
    <w:rsid w:val="002B3EBF"/>
    <w:rsid w:val="002B3FF3"/>
    <w:rsid w:val="002B42FC"/>
    <w:rsid w:val="002B46B6"/>
    <w:rsid w:val="002B48A6"/>
    <w:rsid w:val="002B5199"/>
    <w:rsid w:val="002B5358"/>
    <w:rsid w:val="002B5AF4"/>
    <w:rsid w:val="002B5FB2"/>
    <w:rsid w:val="002B6637"/>
    <w:rsid w:val="002B6725"/>
    <w:rsid w:val="002B69AA"/>
    <w:rsid w:val="002B6BB5"/>
    <w:rsid w:val="002B6BD1"/>
    <w:rsid w:val="002B7140"/>
    <w:rsid w:val="002B72A6"/>
    <w:rsid w:val="002B7495"/>
    <w:rsid w:val="002B7600"/>
    <w:rsid w:val="002B7721"/>
    <w:rsid w:val="002B78B6"/>
    <w:rsid w:val="002B7A7E"/>
    <w:rsid w:val="002B7D6B"/>
    <w:rsid w:val="002B7DBE"/>
    <w:rsid w:val="002C0288"/>
    <w:rsid w:val="002C02F2"/>
    <w:rsid w:val="002C0ADD"/>
    <w:rsid w:val="002C1177"/>
    <w:rsid w:val="002C1697"/>
    <w:rsid w:val="002C1874"/>
    <w:rsid w:val="002C18B3"/>
    <w:rsid w:val="002C22BB"/>
    <w:rsid w:val="002C26CF"/>
    <w:rsid w:val="002C2876"/>
    <w:rsid w:val="002C36EF"/>
    <w:rsid w:val="002C3A51"/>
    <w:rsid w:val="002C408D"/>
    <w:rsid w:val="002C4729"/>
    <w:rsid w:val="002C4A8A"/>
    <w:rsid w:val="002C4B2A"/>
    <w:rsid w:val="002C5038"/>
    <w:rsid w:val="002C5CD5"/>
    <w:rsid w:val="002C5E09"/>
    <w:rsid w:val="002C5F40"/>
    <w:rsid w:val="002C6749"/>
    <w:rsid w:val="002C7040"/>
    <w:rsid w:val="002C7078"/>
    <w:rsid w:val="002C721A"/>
    <w:rsid w:val="002C7AC8"/>
    <w:rsid w:val="002C7C60"/>
    <w:rsid w:val="002D0337"/>
    <w:rsid w:val="002D0B4C"/>
    <w:rsid w:val="002D0C07"/>
    <w:rsid w:val="002D1012"/>
    <w:rsid w:val="002D1185"/>
    <w:rsid w:val="002D1709"/>
    <w:rsid w:val="002D180D"/>
    <w:rsid w:val="002D18EA"/>
    <w:rsid w:val="002D2375"/>
    <w:rsid w:val="002D24D5"/>
    <w:rsid w:val="002D2823"/>
    <w:rsid w:val="002D2CC0"/>
    <w:rsid w:val="002D4402"/>
    <w:rsid w:val="002D4A60"/>
    <w:rsid w:val="002D4E61"/>
    <w:rsid w:val="002D5207"/>
    <w:rsid w:val="002D6187"/>
    <w:rsid w:val="002D69B5"/>
    <w:rsid w:val="002D7583"/>
    <w:rsid w:val="002D7796"/>
    <w:rsid w:val="002D7815"/>
    <w:rsid w:val="002D7BCB"/>
    <w:rsid w:val="002E0088"/>
    <w:rsid w:val="002E03CF"/>
    <w:rsid w:val="002E04A3"/>
    <w:rsid w:val="002E05B3"/>
    <w:rsid w:val="002E12A5"/>
    <w:rsid w:val="002E159F"/>
    <w:rsid w:val="002E15C4"/>
    <w:rsid w:val="002E1699"/>
    <w:rsid w:val="002E1BA5"/>
    <w:rsid w:val="002E1C49"/>
    <w:rsid w:val="002E24BE"/>
    <w:rsid w:val="002E261F"/>
    <w:rsid w:val="002E32B2"/>
    <w:rsid w:val="002E35F8"/>
    <w:rsid w:val="002E4648"/>
    <w:rsid w:val="002E46EB"/>
    <w:rsid w:val="002E4AA6"/>
    <w:rsid w:val="002E5203"/>
    <w:rsid w:val="002E560A"/>
    <w:rsid w:val="002E669A"/>
    <w:rsid w:val="002E7046"/>
    <w:rsid w:val="002E707A"/>
    <w:rsid w:val="002F01C0"/>
    <w:rsid w:val="002F0B30"/>
    <w:rsid w:val="002F1560"/>
    <w:rsid w:val="002F16C7"/>
    <w:rsid w:val="002F1ABE"/>
    <w:rsid w:val="002F1F0F"/>
    <w:rsid w:val="002F2502"/>
    <w:rsid w:val="002F2F2E"/>
    <w:rsid w:val="002F2FAB"/>
    <w:rsid w:val="002F3169"/>
    <w:rsid w:val="002F3483"/>
    <w:rsid w:val="002F34AA"/>
    <w:rsid w:val="002F3897"/>
    <w:rsid w:val="002F3946"/>
    <w:rsid w:val="002F4045"/>
    <w:rsid w:val="002F421C"/>
    <w:rsid w:val="002F4384"/>
    <w:rsid w:val="002F4662"/>
    <w:rsid w:val="002F532B"/>
    <w:rsid w:val="002F5C9B"/>
    <w:rsid w:val="002F5D64"/>
    <w:rsid w:val="002F6E24"/>
    <w:rsid w:val="002F75B6"/>
    <w:rsid w:val="002F7C45"/>
    <w:rsid w:val="0030015E"/>
    <w:rsid w:val="003004E6"/>
    <w:rsid w:val="00300D1C"/>
    <w:rsid w:val="00301624"/>
    <w:rsid w:val="0030180A"/>
    <w:rsid w:val="00301851"/>
    <w:rsid w:val="0030198A"/>
    <w:rsid w:val="003022D1"/>
    <w:rsid w:val="00302318"/>
    <w:rsid w:val="003024F1"/>
    <w:rsid w:val="00302ADC"/>
    <w:rsid w:val="00303155"/>
    <w:rsid w:val="00303364"/>
    <w:rsid w:val="0030381D"/>
    <w:rsid w:val="00303BD0"/>
    <w:rsid w:val="003049FA"/>
    <w:rsid w:val="00304A8F"/>
    <w:rsid w:val="00304ADD"/>
    <w:rsid w:val="00304C3E"/>
    <w:rsid w:val="00304EF1"/>
    <w:rsid w:val="0030517B"/>
    <w:rsid w:val="003056F3"/>
    <w:rsid w:val="003072F6"/>
    <w:rsid w:val="00307402"/>
    <w:rsid w:val="00307617"/>
    <w:rsid w:val="00307E4B"/>
    <w:rsid w:val="0031026D"/>
    <w:rsid w:val="0031044C"/>
    <w:rsid w:val="00310C83"/>
    <w:rsid w:val="00310DFA"/>
    <w:rsid w:val="003111A9"/>
    <w:rsid w:val="00311566"/>
    <w:rsid w:val="00311A91"/>
    <w:rsid w:val="00312A17"/>
    <w:rsid w:val="00312A5D"/>
    <w:rsid w:val="00312DC6"/>
    <w:rsid w:val="003130EE"/>
    <w:rsid w:val="00313306"/>
    <w:rsid w:val="00313324"/>
    <w:rsid w:val="003146E2"/>
    <w:rsid w:val="003152E6"/>
    <w:rsid w:val="00315B25"/>
    <w:rsid w:val="003160EE"/>
    <w:rsid w:val="0031622A"/>
    <w:rsid w:val="0031695E"/>
    <w:rsid w:val="0031747B"/>
    <w:rsid w:val="00317708"/>
    <w:rsid w:val="00317918"/>
    <w:rsid w:val="00317C77"/>
    <w:rsid w:val="00317EDE"/>
    <w:rsid w:val="003204FB"/>
    <w:rsid w:val="0032067A"/>
    <w:rsid w:val="00320B71"/>
    <w:rsid w:val="00321260"/>
    <w:rsid w:val="00321A64"/>
    <w:rsid w:val="00321E6E"/>
    <w:rsid w:val="0032210D"/>
    <w:rsid w:val="00322B58"/>
    <w:rsid w:val="00323224"/>
    <w:rsid w:val="00323314"/>
    <w:rsid w:val="003240B1"/>
    <w:rsid w:val="0032411D"/>
    <w:rsid w:val="003248EF"/>
    <w:rsid w:val="00324C0C"/>
    <w:rsid w:val="003254BC"/>
    <w:rsid w:val="003255F5"/>
    <w:rsid w:val="00325BF5"/>
    <w:rsid w:val="003261A1"/>
    <w:rsid w:val="00326CDE"/>
    <w:rsid w:val="00327804"/>
    <w:rsid w:val="00327BDD"/>
    <w:rsid w:val="0033015D"/>
    <w:rsid w:val="003303A6"/>
    <w:rsid w:val="003305F3"/>
    <w:rsid w:val="003307BC"/>
    <w:rsid w:val="0033091A"/>
    <w:rsid w:val="00330AA1"/>
    <w:rsid w:val="00330D2D"/>
    <w:rsid w:val="00331159"/>
    <w:rsid w:val="00331D37"/>
    <w:rsid w:val="00331E8F"/>
    <w:rsid w:val="00332AA3"/>
    <w:rsid w:val="00332F21"/>
    <w:rsid w:val="00332FD3"/>
    <w:rsid w:val="00333F06"/>
    <w:rsid w:val="003344AC"/>
    <w:rsid w:val="00334E78"/>
    <w:rsid w:val="00335273"/>
    <w:rsid w:val="00335566"/>
    <w:rsid w:val="00335B20"/>
    <w:rsid w:val="00335B8C"/>
    <w:rsid w:val="00336822"/>
    <w:rsid w:val="00336D33"/>
    <w:rsid w:val="00336E31"/>
    <w:rsid w:val="0033734C"/>
    <w:rsid w:val="003375B0"/>
    <w:rsid w:val="003375B9"/>
    <w:rsid w:val="003379E0"/>
    <w:rsid w:val="00337F91"/>
    <w:rsid w:val="00337FBB"/>
    <w:rsid w:val="00340291"/>
    <w:rsid w:val="00340B57"/>
    <w:rsid w:val="00340F94"/>
    <w:rsid w:val="003410A8"/>
    <w:rsid w:val="0034180B"/>
    <w:rsid w:val="00341E1C"/>
    <w:rsid w:val="00342F25"/>
    <w:rsid w:val="00343147"/>
    <w:rsid w:val="003431EE"/>
    <w:rsid w:val="003437E5"/>
    <w:rsid w:val="003438D6"/>
    <w:rsid w:val="0034489E"/>
    <w:rsid w:val="0034492B"/>
    <w:rsid w:val="00344CBB"/>
    <w:rsid w:val="00345676"/>
    <w:rsid w:val="00345954"/>
    <w:rsid w:val="00345C19"/>
    <w:rsid w:val="00345CAF"/>
    <w:rsid w:val="00345CB5"/>
    <w:rsid w:val="00345E38"/>
    <w:rsid w:val="003464E8"/>
    <w:rsid w:val="003465BA"/>
    <w:rsid w:val="00346779"/>
    <w:rsid w:val="00346CD5"/>
    <w:rsid w:val="00346DB7"/>
    <w:rsid w:val="00346F79"/>
    <w:rsid w:val="00346F7D"/>
    <w:rsid w:val="00347018"/>
    <w:rsid w:val="00347DB1"/>
    <w:rsid w:val="0035035B"/>
    <w:rsid w:val="00350623"/>
    <w:rsid w:val="003509E5"/>
    <w:rsid w:val="0035187F"/>
    <w:rsid w:val="00351935"/>
    <w:rsid w:val="00351970"/>
    <w:rsid w:val="00351BD6"/>
    <w:rsid w:val="0035230C"/>
    <w:rsid w:val="003525D9"/>
    <w:rsid w:val="00352BDA"/>
    <w:rsid w:val="003531AA"/>
    <w:rsid w:val="003536BB"/>
    <w:rsid w:val="003536D4"/>
    <w:rsid w:val="003537BD"/>
    <w:rsid w:val="003539C5"/>
    <w:rsid w:val="00353AC0"/>
    <w:rsid w:val="00354CD5"/>
    <w:rsid w:val="003550B1"/>
    <w:rsid w:val="00355753"/>
    <w:rsid w:val="00355C45"/>
    <w:rsid w:val="00356010"/>
    <w:rsid w:val="003562A6"/>
    <w:rsid w:val="003570FA"/>
    <w:rsid w:val="003572CA"/>
    <w:rsid w:val="003577E0"/>
    <w:rsid w:val="0036007D"/>
    <w:rsid w:val="00360995"/>
    <w:rsid w:val="00361345"/>
    <w:rsid w:val="00361718"/>
    <w:rsid w:val="003622F2"/>
    <w:rsid w:val="003632E0"/>
    <w:rsid w:val="003639D6"/>
    <w:rsid w:val="00364734"/>
    <w:rsid w:val="00364D8E"/>
    <w:rsid w:val="00364E33"/>
    <w:rsid w:val="0036518A"/>
    <w:rsid w:val="0036570B"/>
    <w:rsid w:val="00365752"/>
    <w:rsid w:val="0036583C"/>
    <w:rsid w:val="00365E32"/>
    <w:rsid w:val="00365F16"/>
    <w:rsid w:val="003664BB"/>
    <w:rsid w:val="003665CB"/>
    <w:rsid w:val="003666D3"/>
    <w:rsid w:val="00366833"/>
    <w:rsid w:val="00366AD8"/>
    <w:rsid w:val="00366E97"/>
    <w:rsid w:val="00367006"/>
    <w:rsid w:val="0036719C"/>
    <w:rsid w:val="0036777F"/>
    <w:rsid w:val="003677DE"/>
    <w:rsid w:val="0036794A"/>
    <w:rsid w:val="003702A2"/>
    <w:rsid w:val="00370C48"/>
    <w:rsid w:val="00371E6A"/>
    <w:rsid w:val="00372217"/>
    <w:rsid w:val="00372302"/>
    <w:rsid w:val="00372FA8"/>
    <w:rsid w:val="003739AB"/>
    <w:rsid w:val="003739DE"/>
    <w:rsid w:val="00373C86"/>
    <w:rsid w:val="00373E56"/>
    <w:rsid w:val="0037416A"/>
    <w:rsid w:val="00375646"/>
    <w:rsid w:val="00375A4F"/>
    <w:rsid w:val="00375E3F"/>
    <w:rsid w:val="0037612E"/>
    <w:rsid w:val="00376203"/>
    <w:rsid w:val="00376255"/>
    <w:rsid w:val="00376788"/>
    <w:rsid w:val="00376A7D"/>
    <w:rsid w:val="00376E50"/>
    <w:rsid w:val="00377045"/>
    <w:rsid w:val="003773F9"/>
    <w:rsid w:val="00377708"/>
    <w:rsid w:val="00377934"/>
    <w:rsid w:val="00377B17"/>
    <w:rsid w:val="00377CEE"/>
    <w:rsid w:val="00377F1B"/>
    <w:rsid w:val="003801C7"/>
    <w:rsid w:val="003803A5"/>
    <w:rsid w:val="003803F8"/>
    <w:rsid w:val="0038053F"/>
    <w:rsid w:val="0038068E"/>
    <w:rsid w:val="0038093C"/>
    <w:rsid w:val="003814F5"/>
    <w:rsid w:val="00381719"/>
    <w:rsid w:val="00381760"/>
    <w:rsid w:val="003817A7"/>
    <w:rsid w:val="00381F34"/>
    <w:rsid w:val="00382355"/>
    <w:rsid w:val="00382473"/>
    <w:rsid w:val="0038260D"/>
    <w:rsid w:val="00382EA5"/>
    <w:rsid w:val="00382F1B"/>
    <w:rsid w:val="00383676"/>
    <w:rsid w:val="00383F78"/>
    <w:rsid w:val="00384060"/>
    <w:rsid w:val="00384C21"/>
    <w:rsid w:val="00384DD9"/>
    <w:rsid w:val="00384FC0"/>
    <w:rsid w:val="0038502C"/>
    <w:rsid w:val="003850DC"/>
    <w:rsid w:val="00386651"/>
    <w:rsid w:val="00386E10"/>
    <w:rsid w:val="003871E2"/>
    <w:rsid w:val="00387496"/>
    <w:rsid w:val="00390866"/>
    <w:rsid w:val="00390E01"/>
    <w:rsid w:val="00390F42"/>
    <w:rsid w:val="00392367"/>
    <w:rsid w:val="00392595"/>
    <w:rsid w:val="00392C3A"/>
    <w:rsid w:val="00392F37"/>
    <w:rsid w:val="00393E7C"/>
    <w:rsid w:val="00393FBA"/>
    <w:rsid w:val="00394079"/>
    <w:rsid w:val="003943C8"/>
    <w:rsid w:val="00394A23"/>
    <w:rsid w:val="00394D4C"/>
    <w:rsid w:val="00394EE4"/>
    <w:rsid w:val="003954A4"/>
    <w:rsid w:val="003954FA"/>
    <w:rsid w:val="003956CC"/>
    <w:rsid w:val="003960EA"/>
    <w:rsid w:val="0039678E"/>
    <w:rsid w:val="003976B3"/>
    <w:rsid w:val="003A0D23"/>
    <w:rsid w:val="003A137B"/>
    <w:rsid w:val="003A179E"/>
    <w:rsid w:val="003A1DC8"/>
    <w:rsid w:val="003A23E0"/>
    <w:rsid w:val="003A32C1"/>
    <w:rsid w:val="003A34BD"/>
    <w:rsid w:val="003A43B1"/>
    <w:rsid w:val="003A4BAB"/>
    <w:rsid w:val="003A4D48"/>
    <w:rsid w:val="003A4E1C"/>
    <w:rsid w:val="003A588B"/>
    <w:rsid w:val="003A5EC5"/>
    <w:rsid w:val="003A6656"/>
    <w:rsid w:val="003A6689"/>
    <w:rsid w:val="003A6965"/>
    <w:rsid w:val="003A6C6A"/>
    <w:rsid w:val="003A748E"/>
    <w:rsid w:val="003A7885"/>
    <w:rsid w:val="003A7B31"/>
    <w:rsid w:val="003A7D7C"/>
    <w:rsid w:val="003B04B8"/>
    <w:rsid w:val="003B0512"/>
    <w:rsid w:val="003B0C14"/>
    <w:rsid w:val="003B0D78"/>
    <w:rsid w:val="003B1F01"/>
    <w:rsid w:val="003B2736"/>
    <w:rsid w:val="003B2E71"/>
    <w:rsid w:val="003B3335"/>
    <w:rsid w:val="003B41A5"/>
    <w:rsid w:val="003B456F"/>
    <w:rsid w:val="003B4647"/>
    <w:rsid w:val="003B570F"/>
    <w:rsid w:val="003B5713"/>
    <w:rsid w:val="003B5A2D"/>
    <w:rsid w:val="003B64D6"/>
    <w:rsid w:val="003B65DD"/>
    <w:rsid w:val="003B6F0E"/>
    <w:rsid w:val="003B72BB"/>
    <w:rsid w:val="003B736B"/>
    <w:rsid w:val="003B7467"/>
    <w:rsid w:val="003B7625"/>
    <w:rsid w:val="003C00F7"/>
    <w:rsid w:val="003C0742"/>
    <w:rsid w:val="003C0B1C"/>
    <w:rsid w:val="003C1551"/>
    <w:rsid w:val="003C15B9"/>
    <w:rsid w:val="003C1F8C"/>
    <w:rsid w:val="003C278C"/>
    <w:rsid w:val="003C3085"/>
    <w:rsid w:val="003C3DEA"/>
    <w:rsid w:val="003C3E6A"/>
    <w:rsid w:val="003C41D6"/>
    <w:rsid w:val="003C424F"/>
    <w:rsid w:val="003C4989"/>
    <w:rsid w:val="003C4C6F"/>
    <w:rsid w:val="003C6173"/>
    <w:rsid w:val="003C6D67"/>
    <w:rsid w:val="003C6DEA"/>
    <w:rsid w:val="003C7210"/>
    <w:rsid w:val="003C759A"/>
    <w:rsid w:val="003C75BF"/>
    <w:rsid w:val="003C7887"/>
    <w:rsid w:val="003D0311"/>
    <w:rsid w:val="003D095E"/>
    <w:rsid w:val="003D0DF2"/>
    <w:rsid w:val="003D132C"/>
    <w:rsid w:val="003D1572"/>
    <w:rsid w:val="003D16A4"/>
    <w:rsid w:val="003D1DC2"/>
    <w:rsid w:val="003D21AF"/>
    <w:rsid w:val="003D235F"/>
    <w:rsid w:val="003D3821"/>
    <w:rsid w:val="003D39B7"/>
    <w:rsid w:val="003D3A55"/>
    <w:rsid w:val="003D4EB0"/>
    <w:rsid w:val="003D5005"/>
    <w:rsid w:val="003D560B"/>
    <w:rsid w:val="003D5AB1"/>
    <w:rsid w:val="003D5D63"/>
    <w:rsid w:val="003D642E"/>
    <w:rsid w:val="003D644B"/>
    <w:rsid w:val="003D6732"/>
    <w:rsid w:val="003D6BAF"/>
    <w:rsid w:val="003D79DC"/>
    <w:rsid w:val="003D7EA8"/>
    <w:rsid w:val="003D7F0E"/>
    <w:rsid w:val="003D7F3E"/>
    <w:rsid w:val="003D7FFA"/>
    <w:rsid w:val="003E0858"/>
    <w:rsid w:val="003E148F"/>
    <w:rsid w:val="003E1A6B"/>
    <w:rsid w:val="003E26CF"/>
    <w:rsid w:val="003E26ED"/>
    <w:rsid w:val="003E2B26"/>
    <w:rsid w:val="003E2E6B"/>
    <w:rsid w:val="003E30AD"/>
    <w:rsid w:val="003E3617"/>
    <w:rsid w:val="003E37B2"/>
    <w:rsid w:val="003E3FEF"/>
    <w:rsid w:val="003E47D2"/>
    <w:rsid w:val="003E4860"/>
    <w:rsid w:val="003E4933"/>
    <w:rsid w:val="003E4A7C"/>
    <w:rsid w:val="003E4D08"/>
    <w:rsid w:val="003E4D57"/>
    <w:rsid w:val="003E60BC"/>
    <w:rsid w:val="003E6298"/>
    <w:rsid w:val="003E6906"/>
    <w:rsid w:val="003E6D82"/>
    <w:rsid w:val="003F08D3"/>
    <w:rsid w:val="003F08E8"/>
    <w:rsid w:val="003F09F3"/>
    <w:rsid w:val="003F0A73"/>
    <w:rsid w:val="003F0AF7"/>
    <w:rsid w:val="003F1B69"/>
    <w:rsid w:val="003F20FA"/>
    <w:rsid w:val="003F22D7"/>
    <w:rsid w:val="003F2725"/>
    <w:rsid w:val="003F2937"/>
    <w:rsid w:val="003F2D13"/>
    <w:rsid w:val="003F359B"/>
    <w:rsid w:val="003F4319"/>
    <w:rsid w:val="003F45F2"/>
    <w:rsid w:val="003F4664"/>
    <w:rsid w:val="003F5673"/>
    <w:rsid w:val="003F6658"/>
    <w:rsid w:val="003F6B1B"/>
    <w:rsid w:val="003F6DDB"/>
    <w:rsid w:val="003F78C3"/>
    <w:rsid w:val="003F7B37"/>
    <w:rsid w:val="003F7CFC"/>
    <w:rsid w:val="004002B1"/>
    <w:rsid w:val="00400731"/>
    <w:rsid w:val="00400799"/>
    <w:rsid w:val="00401614"/>
    <w:rsid w:val="00401BE3"/>
    <w:rsid w:val="00401C3D"/>
    <w:rsid w:val="00401CD8"/>
    <w:rsid w:val="00401D29"/>
    <w:rsid w:val="00401D56"/>
    <w:rsid w:val="00401EEE"/>
    <w:rsid w:val="004029C5"/>
    <w:rsid w:val="0040320E"/>
    <w:rsid w:val="004035AE"/>
    <w:rsid w:val="00403C33"/>
    <w:rsid w:val="004048A7"/>
    <w:rsid w:val="00404927"/>
    <w:rsid w:val="0040525C"/>
    <w:rsid w:val="00405270"/>
    <w:rsid w:val="0040576B"/>
    <w:rsid w:val="00405C0A"/>
    <w:rsid w:val="00405E64"/>
    <w:rsid w:val="004061F9"/>
    <w:rsid w:val="004066FC"/>
    <w:rsid w:val="0040679D"/>
    <w:rsid w:val="00406B79"/>
    <w:rsid w:val="00407079"/>
    <w:rsid w:val="00407204"/>
    <w:rsid w:val="004072E4"/>
    <w:rsid w:val="00407551"/>
    <w:rsid w:val="0040768B"/>
    <w:rsid w:val="00407B0F"/>
    <w:rsid w:val="00407B52"/>
    <w:rsid w:val="00407BDF"/>
    <w:rsid w:val="0041028C"/>
    <w:rsid w:val="00410307"/>
    <w:rsid w:val="0041163C"/>
    <w:rsid w:val="004117C3"/>
    <w:rsid w:val="004119B4"/>
    <w:rsid w:val="004120DC"/>
    <w:rsid w:val="004123DC"/>
    <w:rsid w:val="00412AF0"/>
    <w:rsid w:val="0041325F"/>
    <w:rsid w:val="00413495"/>
    <w:rsid w:val="00413B28"/>
    <w:rsid w:val="00413BE0"/>
    <w:rsid w:val="0041417B"/>
    <w:rsid w:val="00414645"/>
    <w:rsid w:val="00414C67"/>
    <w:rsid w:val="00414E7A"/>
    <w:rsid w:val="00415174"/>
    <w:rsid w:val="004153FD"/>
    <w:rsid w:val="00415458"/>
    <w:rsid w:val="00415889"/>
    <w:rsid w:val="00415A1C"/>
    <w:rsid w:val="00415C38"/>
    <w:rsid w:val="004162BB"/>
    <w:rsid w:val="004164DD"/>
    <w:rsid w:val="0041657F"/>
    <w:rsid w:val="00416AE8"/>
    <w:rsid w:val="00417245"/>
    <w:rsid w:val="00417A9B"/>
    <w:rsid w:val="0042027F"/>
    <w:rsid w:val="00420465"/>
    <w:rsid w:val="004204D7"/>
    <w:rsid w:val="00420754"/>
    <w:rsid w:val="004208A3"/>
    <w:rsid w:val="00420946"/>
    <w:rsid w:val="00420F18"/>
    <w:rsid w:val="0042140A"/>
    <w:rsid w:val="004215E6"/>
    <w:rsid w:val="00421716"/>
    <w:rsid w:val="0042190E"/>
    <w:rsid w:val="00421C36"/>
    <w:rsid w:val="00421ED6"/>
    <w:rsid w:val="00421FDF"/>
    <w:rsid w:val="00422269"/>
    <w:rsid w:val="004229D5"/>
    <w:rsid w:val="00422A38"/>
    <w:rsid w:val="00423669"/>
    <w:rsid w:val="00423701"/>
    <w:rsid w:val="00423B1E"/>
    <w:rsid w:val="0042420D"/>
    <w:rsid w:val="004247D7"/>
    <w:rsid w:val="004257B4"/>
    <w:rsid w:val="00426054"/>
    <w:rsid w:val="0042715D"/>
    <w:rsid w:val="004271AE"/>
    <w:rsid w:val="00427370"/>
    <w:rsid w:val="00427A74"/>
    <w:rsid w:val="00427EF3"/>
    <w:rsid w:val="00427F95"/>
    <w:rsid w:val="00430224"/>
    <w:rsid w:val="004302BC"/>
    <w:rsid w:val="0043060F"/>
    <w:rsid w:val="004310C2"/>
    <w:rsid w:val="00432463"/>
    <w:rsid w:val="004328E3"/>
    <w:rsid w:val="00432A3A"/>
    <w:rsid w:val="00432AFC"/>
    <w:rsid w:val="00432B79"/>
    <w:rsid w:val="004335BA"/>
    <w:rsid w:val="00433E0D"/>
    <w:rsid w:val="00435274"/>
    <w:rsid w:val="004359B3"/>
    <w:rsid w:val="00435D19"/>
    <w:rsid w:val="00435EB5"/>
    <w:rsid w:val="00435F18"/>
    <w:rsid w:val="004361C7"/>
    <w:rsid w:val="0043628C"/>
    <w:rsid w:val="00436BB2"/>
    <w:rsid w:val="00436D37"/>
    <w:rsid w:val="00436EB4"/>
    <w:rsid w:val="00437070"/>
    <w:rsid w:val="0043744F"/>
    <w:rsid w:val="004374E8"/>
    <w:rsid w:val="0043753C"/>
    <w:rsid w:val="00437A6E"/>
    <w:rsid w:val="00437C7D"/>
    <w:rsid w:val="00437EED"/>
    <w:rsid w:val="0044060E"/>
    <w:rsid w:val="00440EA5"/>
    <w:rsid w:val="0044113D"/>
    <w:rsid w:val="00441B42"/>
    <w:rsid w:val="00441E17"/>
    <w:rsid w:val="00442956"/>
    <w:rsid w:val="00442D67"/>
    <w:rsid w:val="00442ED1"/>
    <w:rsid w:val="00442F0E"/>
    <w:rsid w:val="004430B4"/>
    <w:rsid w:val="00443A2D"/>
    <w:rsid w:val="00443D9D"/>
    <w:rsid w:val="00443F45"/>
    <w:rsid w:val="0044410A"/>
    <w:rsid w:val="00444919"/>
    <w:rsid w:val="00444ADE"/>
    <w:rsid w:val="00444C30"/>
    <w:rsid w:val="0044545A"/>
    <w:rsid w:val="00445748"/>
    <w:rsid w:val="00445793"/>
    <w:rsid w:val="00445875"/>
    <w:rsid w:val="00446BC6"/>
    <w:rsid w:val="00446CB8"/>
    <w:rsid w:val="004474B4"/>
    <w:rsid w:val="00447B03"/>
    <w:rsid w:val="004504A1"/>
    <w:rsid w:val="00450624"/>
    <w:rsid w:val="004506E7"/>
    <w:rsid w:val="004509FF"/>
    <w:rsid w:val="00450BDF"/>
    <w:rsid w:val="0045126A"/>
    <w:rsid w:val="00451994"/>
    <w:rsid w:val="00451C40"/>
    <w:rsid w:val="0045216E"/>
    <w:rsid w:val="0045217B"/>
    <w:rsid w:val="004521D1"/>
    <w:rsid w:val="004530A8"/>
    <w:rsid w:val="00453172"/>
    <w:rsid w:val="004533CA"/>
    <w:rsid w:val="00453F2E"/>
    <w:rsid w:val="00454158"/>
    <w:rsid w:val="00454FEB"/>
    <w:rsid w:val="004554DD"/>
    <w:rsid w:val="00455ACD"/>
    <w:rsid w:val="00455C11"/>
    <w:rsid w:val="00455F1A"/>
    <w:rsid w:val="0045623A"/>
    <w:rsid w:val="00456A0C"/>
    <w:rsid w:val="00456E39"/>
    <w:rsid w:val="004576DA"/>
    <w:rsid w:val="00457EA9"/>
    <w:rsid w:val="00460AE5"/>
    <w:rsid w:val="00461AEC"/>
    <w:rsid w:val="00461BB5"/>
    <w:rsid w:val="0046218A"/>
    <w:rsid w:val="0046251F"/>
    <w:rsid w:val="00462573"/>
    <w:rsid w:val="00462793"/>
    <w:rsid w:val="00462859"/>
    <w:rsid w:val="004629C2"/>
    <w:rsid w:val="00462CCF"/>
    <w:rsid w:val="00462D69"/>
    <w:rsid w:val="00462F04"/>
    <w:rsid w:val="004634EA"/>
    <w:rsid w:val="0046357C"/>
    <w:rsid w:val="00463E25"/>
    <w:rsid w:val="00464745"/>
    <w:rsid w:val="0046477E"/>
    <w:rsid w:val="00464AC3"/>
    <w:rsid w:val="00465174"/>
    <w:rsid w:val="0046573D"/>
    <w:rsid w:val="00465E70"/>
    <w:rsid w:val="00465E88"/>
    <w:rsid w:val="00466B4B"/>
    <w:rsid w:val="00466F1B"/>
    <w:rsid w:val="00467059"/>
    <w:rsid w:val="0046712E"/>
    <w:rsid w:val="00467201"/>
    <w:rsid w:val="00467621"/>
    <w:rsid w:val="00467AE8"/>
    <w:rsid w:val="00467C4F"/>
    <w:rsid w:val="00467E08"/>
    <w:rsid w:val="00467F21"/>
    <w:rsid w:val="00470066"/>
    <w:rsid w:val="0047012D"/>
    <w:rsid w:val="0047032F"/>
    <w:rsid w:val="004708C3"/>
    <w:rsid w:val="00471146"/>
    <w:rsid w:val="004718E8"/>
    <w:rsid w:val="0047191C"/>
    <w:rsid w:val="00471F27"/>
    <w:rsid w:val="00472079"/>
    <w:rsid w:val="00472543"/>
    <w:rsid w:val="00472783"/>
    <w:rsid w:val="00472924"/>
    <w:rsid w:val="00472BA8"/>
    <w:rsid w:val="00473B7E"/>
    <w:rsid w:val="00473E1F"/>
    <w:rsid w:val="004741A0"/>
    <w:rsid w:val="0047568E"/>
    <w:rsid w:val="004763E6"/>
    <w:rsid w:val="00476680"/>
    <w:rsid w:val="00476AC0"/>
    <w:rsid w:val="00476D0D"/>
    <w:rsid w:val="0047785F"/>
    <w:rsid w:val="00477894"/>
    <w:rsid w:val="004779B2"/>
    <w:rsid w:val="00477A93"/>
    <w:rsid w:val="00477C36"/>
    <w:rsid w:val="00477C5D"/>
    <w:rsid w:val="00477CCF"/>
    <w:rsid w:val="00477D6E"/>
    <w:rsid w:val="00477DC9"/>
    <w:rsid w:val="00480359"/>
    <w:rsid w:val="0048052F"/>
    <w:rsid w:val="00480BFA"/>
    <w:rsid w:val="00480EE4"/>
    <w:rsid w:val="004810CD"/>
    <w:rsid w:val="00481BBF"/>
    <w:rsid w:val="00481E51"/>
    <w:rsid w:val="00482382"/>
    <w:rsid w:val="004824BB"/>
    <w:rsid w:val="00482E98"/>
    <w:rsid w:val="00484232"/>
    <w:rsid w:val="004842DA"/>
    <w:rsid w:val="004846B3"/>
    <w:rsid w:val="004855DE"/>
    <w:rsid w:val="00485BA6"/>
    <w:rsid w:val="00485BF4"/>
    <w:rsid w:val="00485C87"/>
    <w:rsid w:val="00486384"/>
    <w:rsid w:val="00486553"/>
    <w:rsid w:val="00486D58"/>
    <w:rsid w:val="00486E06"/>
    <w:rsid w:val="00487150"/>
    <w:rsid w:val="004874A3"/>
    <w:rsid w:val="004874D8"/>
    <w:rsid w:val="00487D43"/>
    <w:rsid w:val="00490349"/>
    <w:rsid w:val="00490421"/>
    <w:rsid w:val="0049057B"/>
    <w:rsid w:val="00490A55"/>
    <w:rsid w:val="00490B59"/>
    <w:rsid w:val="00490D00"/>
    <w:rsid w:val="00490D5F"/>
    <w:rsid w:val="00490D64"/>
    <w:rsid w:val="00490F9A"/>
    <w:rsid w:val="0049118E"/>
    <w:rsid w:val="004913BE"/>
    <w:rsid w:val="004916C9"/>
    <w:rsid w:val="00491EEB"/>
    <w:rsid w:val="00491F12"/>
    <w:rsid w:val="00491F89"/>
    <w:rsid w:val="004920CC"/>
    <w:rsid w:val="004924BD"/>
    <w:rsid w:val="0049363D"/>
    <w:rsid w:val="00493C9E"/>
    <w:rsid w:val="00493F3B"/>
    <w:rsid w:val="0049482E"/>
    <w:rsid w:val="004948B3"/>
    <w:rsid w:val="00494A20"/>
    <w:rsid w:val="00495418"/>
    <w:rsid w:val="004959BC"/>
    <w:rsid w:val="00495FD9"/>
    <w:rsid w:val="004965B3"/>
    <w:rsid w:val="004966C1"/>
    <w:rsid w:val="00496DB7"/>
    <w:rsid w:val="00497669"/>
    <w:rsid w:val="004978EE"/>
    <w:rsid w:val="00497920"/>
    <w:rsid w:val="004A07AC"/>
    <w:rsid w:val="004A0E96"/>
    <w:rsid w:val="004A22F4"/>
    <w:rsid w:val="004A273E"/>
    <w:rsid w:val="004A2E68"/>
    <w:rsid w:val="004A2E69"/>
    <w:rsid w:val="004A30A1"/>
    <w:rsid w:val="004A33AC"/>
    <w:rsid w:val="004A3689"/>
    <w:rsid w:val="004A49D1"/>
    <w:rsid w:val="004A5017"/>
    <w:rsid w:val="004A5124"/>
    <w:rsid w:val="004A515B"/>
    <w:rsid w:val="004A517F"/>
    <w:rsid w:val="004A5482"/>
    <w:rsid w:val="004A574C"/>
    <w:rsid w:val="004A5909"/>
    <w:rsid w:val="004A5E10"/>
    <w:rsid w:val="004A5EE7"/>
    <w:rsid w:val="004A6706"/>
    <w:rsid w:val="004A6B29"/>
    <w:rsid w:val="004A6E1D"/>
    <w:rsid w:val="004A7148"/>
    <w:rsid w:val="004A75E4"/>
    <w:rsid w:val="004B07DC"/>
    <w:rsid w:val="004B0B09"/>
    <w:rsid w:val="004B0B20"/>
    <w:rsid w:val="004B0DCF"/>
    <w:rsid w:val="004B12F0"/>
    <w:rsid w:val="004B1697"/>
    <w:rsid w:val="004B16E3"/>
    <w:rsid w:val="004B1D16"/>
    <w:rsid w:val="004B2265"/>
    <w:rsid w:val="004B22DD"/>
    <w:rsid w:val="004B23B6"/>
    <w:rsid w:val="004B287F"/>
    <w:rsid w:val="004B32F1"/>
    <w:rsid w:val="004B344B"/>
    <w:rsid w:val="004B3D63"/>
    <w:rsid w:val="004B463A"/>
    <w:rsid w:val="004B52E1"/>
    <w:rsid w:val="004B5F8E"/>
    <w:rsid w:val="004B5FEE"/>
    <w:rsid w:val="004B6415"/>
    <w:rsid w:val="004B6A42"/>
    <w:rsid w:val="004B6C74"/>
    <w:rsid w:val="004B7717"/>
    <w:rsid w:val="004B77ED"/>
    <w:rsid w:val="004B7872"/>
    <w:rsid w:val="004B7CE8"/>
    <w:rsid w:val="004C0A97"/>
    <w:rsid w:val="004C0CC8"/>
    <w:rsid w:val="004C1194"/>
    <w:rsid w:val="004C155C"/>
    <w:rsid w:val="004C17A6"/>
    <w:rsid w:val="004C1C35"/>
    <w:rsid w:val="004C257F"/>
    <w:rsid w:val="004C27BD"/>
    <w:rsid w:val="004C2DD2"/>
    <w:rsid w:val="004C317C"/>
    <w:rsid w:val="004C349F"/>
    <w:rsid w:val="004C36D6"/>
    <w:rsid w:val="004C3EC9"/>
    <w:rsid w:val="004C4075"/>
    <w:rsid w:val="004C4415"/>
    <w:rsid w:val="004C4609"/>
    <w:rsid w:val="004C4933"/>
    <w:rsid w:val="004C52FE"/>
    <w:rsid w:val="004C5B2B"/>
    <w:rsid w:val="004C60BD"/>
    <w:rsid w:val="004C6280"/>
    <w:rsid w:val="004C705A"/>
    <w:rsid w:val="004C74A4"/>
    <w:rsid w:val="004C7820"/>
    <w:rsid w:val="004C7CE2"/>
    <w:rsid w:val="004D0044"/>
    <w:rsid w:val="004D01A5"/>
    <w:rsid w:val="004D0363"/>
    <w:rsid w:val="004D08F4"/>
    <w:rsid w:val="004D0AA7"/>
    <w:rsid w:val="004D0F20"/>
    <w:rsid w:val="004D13B5"/>
    <w:rsid w:val="004D1BD9"/>
    <w:rsid w:val="004D1BE9"/>
    <w:rsid w:val="004D20BA"/>
    <w:rsid w:val="004D215C"/>
    <w:rsid w:val="004D27EA"/>
    <w:rsid w:val="004D38A3"/>
    <w:rsid w:val="004D3D5C"/>
    <w:rsid w:val="004D4A74"/>
    <w:rsid w:val="004D4AD8"/>
    <w:rsid w:val="004D4ADD"/>
    <w:rsid w:val="004D4E0A"/>
    <w:rsid w:val="004D4F17"/>
    <w:rsid w:val="004D5A88"/>
    <w:rsid w:val="004D5CF0"/>
    <w:rsid w:val="004D607D"/>
    <w:rsid w:val="004D62F2"/>
    <w:rsid w:val="004D686A"/>
    <w:rsid w:val="004D7565"/>
    <w:rsid w:val="004D7805"/>
    <w:rsid w:val="004D7A23"/>
    <w:rsid w:val="004E06A0"/>
    <w:rsid w:val="004E0A90"/>
    <w:rsid w:val="004E11F4"/>
    <w:rsid w:val="004E1464"/>
    <w:rsid w:val="004E1B62"/>
    <w:rsid w:val="004E205D"/>
    <w:rsid w:val="004E20B2"/>
    <w:rsid w:val="004E29A5"/>
    <w:rsid w:val="004E2E1C"/>
    <w:rsid w:val="004E30C2"/>
    <w:rsid w:val="004E3575"/>
    <w:rsid w:val="004E4167"/>
    <w:rsid w:val="004E42CA"/>
    <w:rsid w:val="004E525D"/>
    <w:rsid w:val="004E53F7"/>
    <w:rsid w:val="004E58F2"/>
    <w:rsid w:val="004E59EE"/>
    <w:rsid w:val="004E5EAE"/>
    <w:rsid w:val="004E6B08"/>
    <w:rsid w:val="004E6CFA"/>
    <w:rsid w:val="004E6E3F"/>
    <w:rsid w:val="004E6E8A"/>
    <w:rsid w:val="004E72C2"/>
    <w:rsid w:val="004E7337"/>
    <w:rsid w:val="004E7768"/>
    <w:rsid w:val="004E77CE"/>
    <w:rsid w:val="004E7F5A"/>
    <w:rsid w:val="004F01BF"/>
    <w:rsid w:val="004F099A"/>
    <w:rsid w:val="004F09B3"/>
    <w:rsid w:val="004F103F"/>
    <w:rsid w:val="004F19D2"/>
    <w:rsid w:val="004F1A97"/>
    <w:rsid w:val="004F1D61"/>
    <w:rsid w:val="004F1E21"/>
    <w:rsid w:val="004F1ED6"/>
    <w:rsid w:val="004F1F7B"/>
    <w:rsid w:val="004F2147"/>
    <w:rsid w:val="004F228A"/>
    <w:rsid w:val="004F22E9"/>
    <w:rsid w:val="004F24B0"/>
    <w:rsid w:val="004F2739"/>
    <w:rsid w:val="004F28E7"/>
    <w:rsid w:val="004F2DCA"/>
    <w:rsid w:val="004F32A6"/>
    <w:rsid w:val="004F3D20"/>
    <w:rsid w:val="004F4426"/>
    <w:rsid w:val="004F4461"/>
    <w:rsid w:val="004F460E"/>
    <w:rsid w:val="004F4692"/>
    <w:rsid w:val="004F4BCA"/>
    <w:rsid w:val="004F5601"/>
    <w:rsid w:val="004F5D22"/>
    <w:rsid w:val="004F63B9"/>
    <w:rsid w:val="004F6F2C"/>
    <w:rsid w:val="004F7506"/>
    <w:rsid w:val="004F762E"/>
    <w:rsid w:val="004F7785"/>
    <w:rsid w:val="004F7E8C"/>
    <w:rsid w:val="00500015"/>
    <w:rsid w:val="005004BC"/>
    <w:rsid w:val="00500731"/>
    <w:rsid w:val="00500AA8"/>
    <w:rsid w:val="0050100A"/>
    <w:rsid w:val="0050111B"/>
    <w:rsid w:val="0050147E"/>
    <w:rsid w:val="005020CB"/>
    <w:rsid w:val="00502A55"/>
    <w:rsid w:val="00502CFF"/>
    <w:rsid w:val="00503717"/>
    <w:rsid w:val="005038DB"/>
    <w:rsid w:val="00503BD4"/>
    <w:rsid w:val="00504431"/>
    <w:rsid w:val="00505034"/>
    <w:rsid w:val="00505676"/>
    <w:rsid w:val="005056EA"/>
    <w:rsid w:val="0050574E"/>
    <w:rsid w:val="00507C25"/>
    <w:rsid w:val="00507FA9"/>
    <w:rsid w:val="00510126"/>
    <w:rsid w:val="0051060F"/>
    <w:rsid w:val="0051064D"/>
    <w:rsid w:val="0051093E"/>
    <w:rsid w:val="00510ABD"/>
    <w:rsid w:val="00510D12"/>
    <w:rsid w:val="005113D0"/>
    <w:rsid w:val="00511A39"/>
    <w:rsid w:val="00511BAD"/>
    <w:rsid w:val="00511D9E"/>
    <w:rsid w:val="00511E3B"/>
    <w:rsid w:val="00512862"/>
    <w:rsid w:val="00512BF0"/>
    <w:rsid w:val="00512F23"/>
    <w:rsid w:val="005132E4"/>
    <w:rsid w:val="005140E8"/>
    <w:rsid w:val="005142CF"/>
    <w:rsid w:val="005145A9"/>
    <w:rsid w:val="005147A0"/>
    <w:rsid w:val="0051543B"/>
    <w:rsid w:val="0051676F"/>
    <w:rsid w:val="00516E41"/>
    <w:rsid w:val="00517090"/>
    <w:rsid w:val="00517A78"/>
    <w:rsid w:val="005201F1"/>
    <w:rsid w:val="0052035E"/>
    <w:rsid w:val="00522480"/>
    <w:rsid w:val="005228AC"/>
    <w:rsid w:val="00522A41"/>
    <w:rsid w:val="00522EA4"/>
    <w:rsid w:val="00523F9C"/>
    <w:rsid w:val="005244D9"/>
    <w:rsid w:val="005245DF"/>
    <w:rsid w:val="005255F3"/>
    <w:rsid w:val="0052562F"/>
    <w:rsid w:val="00525B67"/>
    <w:rsid w:val="00526292"/>
    <w:rsid w:val="005263DF"/>
    <w:rsid w:val="00527249"/>
    <w:rsid w:val="00527B73"/>
    <w:rsid w:val="00527C9A"/>
    <w:rsid w:val="00527CA8"/>
    <w:rsid w:val="00530E0B"/>
    <w:rsid w:val="005312F9"/>
    <w:rsid w:val="0053135F"/>
    <w:rsid w:val="005315F9"/>
    <w:rsid w:val="00532936"/>
    <w:rsid w:val="00532B5C"/>
    <w:rsid w:val="00532D7A"/>
    <w:rsid w:val="00532FB1"/>
    <w:rsid w:val="00533348"/>
    <w:rsid w:val="00533922"/>
    <w:rsid w:val="005341EE"/>
    <w:rsid w:val="005342FB"/>
    <w:rsid w:val="005343DB"/>
    <w:rsid w:val="005346A4"/>
    <w:rsid w:val="00534893"/>
    <w:rsid w:val="00534A26"/>
    <w:rsid w:val="00534D45"/>
    <w:rsid w:val="00534D4F"/>
    <w:rsid w:val="00534E59"/>
    <w:rsid w:val="00535362"/>
    <w:rsid w:val="005359E9"/>
    <w:rsid w:val="00536382"/>
    <w:rsid w:val="00536E44"/>
    <w:rsid w:val="00536E81"/>
    <w:rsid w:val="00536EAF"/>
    <w:rsid w:val="00536EC3"/>
    <w:rsid w:val="00540129"/>
    <w:rsid w:val="00540515"/>
    <w:rsid w:val="00540522"/>
    <w:rsid w:val="0054080A"/>
    <w:rsid w:val="00540987"/>
    <w:rsid w:val="00540A1F"/>
    <w:rsid w:val="00541199"/>
    <w:rsid w:val="00541913"/>
    <w:rsid w:val="00541A01"/>
    <w:rsid w:val="00541C7E"/>
    <w:rsid w:val="005423E8"/>
    <w:rsid w:val="00542A98"/>
    <w:rsid w:val="00543473"/>
    <w:rsid w:val="00543ACD"/>
    <w:rsid w:val="00543CFA"/>
    <w:rsid w:val="00543FB9"/>
    <w:rsid w:val="0054418D"/>
    <w:rsid w:val="00544A05"/>
    <w:rsid w:val="00544A19"/>
    <w:rsid w:val="00544CB7"/>
    <w:rsid w:val="0054503F"/>
    <w:rsid w:val="0054509B"/>
    <w:rsid w:val="0054517F"/>
    <w:rsid w:val="00545581"/>
    <w:rsid w:val="00545CC4"/>
    <w:rsid w:val="00545D72"/>
    <w:rsid w:val="00545E4C"/>
    <w:rsid w:val="0054671A"/>
    <w:rsid w:val="00546A62"/>
    <w:rsid w:val="00546BAE"/>
    <w:rsid w:val="00546D54"/>
    <w:rsid w:val="0054731D"/>
    <w:rsid w:val="005474B5"/>
    <w:rsid w:val="00547899"/>
    <w:rsid w:val="00547DF8"/>
    <w:rsid w:val="00550163"/>
    <w:rsid w:val="005508C6"/>
    <w:rsid w:val="00550CA7"/>
    <w:rsid w:val="00550FCE"/>
    <w:rsid w:val="005516C9"/>
    <w:rsid w:val="00551952"/>
    <w:rsid w:val="00551A04"/>
    <w:rsid w:val="00551FE5"/>
    <w:rsid w:val="00552EEB"/>
    <w:rsid w:val="00553810"/>
    <w:rsid w:val="00553829"/>
    <w:rsid w:val="005538FA"/>
    <w:rsid w:val="00553A7E"/>
    <w:rsid w:val="00553FBE"/>
    <w:rsid w:val="0055496E"/>
    <w:rsid w:val="00554B2F"/>
    <w:rsid w:val="00555203"/>
    <w:rsid w:val="0055548D"/>
    <w:rsid w:val="00555542"/>
    <w:rsid w:val="00555C48"/>
    <w:rsid w:val="00555D6D"/>
    <w:rsid w:val="005561BD"/>
    <w:rsid w:val="005567B9"/>
    <w:rsid w:val="005568D0"/>
    <w:rsid w:val="00556E1F"/>
    <w:rsid w:val="005571ED"/>
    <w:rsid w:val="0055730A"/>
    <w:rsid w:val="005573CA"/>
    <w:rsid w:val="00557B0E"/>
    <w:rsid w:val="005604B8"/>
    <w:rsid w:val="005604E8"/>
    <w:rsid w:val="00560CC1"/>
    <w:rsid w:val="0056126C"/>
    <w:rsid w:val="0056127A"/>
    <w:rsid w:val="005614C1"/>
    <w:rsid w:val="005623CE"/>
    <w:rsid w:val="00562C09"/>
    <w:rsid w:val="005631E0"/>
    <w:rsid w:val="00563230"/>
    <w:rsid w:val="00563267"/>
    <w:rsid w:val="005635F1"/>
    <w:rsid w:val="00563644"/>
    <w:rsid w:val="00563D52"/>
    <w:rsid w:val="005646D1"/>
    <w:rsid w:val="00564CED"/>
    <w:rsid w:val="005650B9"/>
    <w:rsid w:val="00565EBC"/>
    <w:rsid w:val="005662F4"/>
    <w:rsid w:val="00566E90"/>
    <w:rsid w:val="00566FAF"/>
    <w:rsid w:val="005670E2"/>
    <w:rsid w:val="0056739B"/>
    <w:rsid w:val="0056783F"/>
    <w:rsid w:val="005704AB"/>
    <w:rsid w:val="0057078F"/>
    <w:rsid w:val="00570D58"/>
    <w:rsid w:val="00571193"/>
    <w:rsid w:val="0057124B"/>
    <w:rsid w:val="00571632"/>
    <w:rsid w:val="00571C19"/>
    <w:rsid w:val="0057327E"/>
    <w:rsid w:val="00573B96"/>
    <w:rsid w:val="00574242"/>
    <w:rsid w:val="00574353"/>
    <w:rsid w:val="005744F1"/>
    <w:rsid w:val="005746A2"/>
    <w:rsid w:val="005753E5"/>
    <w:rsid w:val="0057592F"/>
    <w:rsid w:val="00576132"/>
    <w:rsid w:val="00576557"/>
    <w:rsid w:val="00577024"/>
    <w:rsid w:val="00577A8E"/>
    <w:rsid w:val="005807BA"/>
    <w:rsid w:val="00580CE9"/>
    <w:rsid w:val="0058124A"/>
    <w:rsid w:val="0058132D"/>
    <w:rsid w:val="00581772"/>
    <w:rsid w:val="0058269A"/>
    <w:rsid w:val="0058269E"/>
    <w:rsid w:val="005830DE"/>
    <w:rsid w:val="00583234"/>
    <w:rsid w:val="00583882"/>
    <w:rsid w:val="00583DA8"/>
    <w:rsid w:val="005845FD"/>
    <w:rsid w:val="00584CDC"/>
    <w:rsid w:val="00585D6D"/>
    <w:rsid w:val="00585F9F"/>
    <w:rsid w:val="005863E9"/>
    <w:rsid w:val="005867D6"/>
    <w:rsid w:val="005874FB"/>
    <w:rsid w:val="0058765E"/>
    <w:rsid w:val="00587CA4"/>
    <w:rsid w:val="00587E09"/>
    <w:rsid w:val="0059007C"/>
    <w:rsid w:val="005901D4"/>
    <w:rsid w:val="00590201"/>
    <w:rsid w:val="00590707"/>
    <w:rsid w:val="00590A2E"/>
    <w:rsid w:val="00590C5D"/>
    <w:rsid w:val="005911A1"/>
    <w:rsid w:val="005917A8"/>
    <w:rsid w:val="0059232C"/>
    <w:rsid w:val="00592628"/>
    <w:rsid w:val="00592D01"/>
    <w:rsid w:val="005930BC"/>
    <w:rsid w:val="005932E5"/>
    <w:rsid w:val="00593350"/>
    <w:rsid w:val="00593C81"/>
    <w:rsid w:val="00593DE5"/>
    <w:rsid w:val="00593F42"/>
    <w:rsid w:val="00594118"/>
    <w:rsid w:val="00594857"/>
    <w:rsid w:val="005958A8"/>
    <w:rsid w:val="00596399"/>
    <w:rsid w:val="00596718"/>
    <w:rsid w:val="00596826"/>
    <w:rsid w:val="00596A60"/>
    <w:rsid w:val="00596BD3"/>
    <w:rsid w:val="005970DE"/>
    <w:rsid w:val="00597A2D"/>
    <w:rsid w:val="005A08FE"/>
    <w:rsid w:val="005A0B0D"/>
    <w:rsid w:val="005A1540"/>
    <w:rsid w:val="005A1911"/>
    <w:rsid w:val="005A1A8A"/>
    <w:rsid w:val="005A21EB"/>
    <w:rsid w:val="005A2354"/>
    <w:rsid w:val="005A267E"/>
    <w:rsid w:val="005A296C"/>
    <w:rsid w:val="005A3063"/>
    <w:rsid w:val="005A392D"/>
    <w:rsid w:val="005A3B55"/>
    <w:rsid w:val="005A3B72"/>
    <w:rsid w:val="005A41F0"/>
    <w:rsid w:val="005A4202"/>
    <w:rsid w:val="005A42ED"/>
    <w:rsid w:val="005A491A"/>
    <w:rsid w:val="005A5798"/>
    <w:rsid w:val="005A5910"/>
    <w:rsid w:val="005A5940"/>
    <w:rsid w:val="005A598C"/>
    <w:rsid w:val="005A5998"/>
    <w:rsid w:val="005A5F32"/>
    <w:rsid w:val="005A6356"/>
    <w:rsid w:val="005A64D4"/>
    <w:rsid w:val="005A6B13"/>
    <w:rsid w:val="005A6D9C"/>
    <w:rsid w:val="005A7722"/>
    <w:rsid w:val="005A7A82"/>
    <w:rsid w:val="005A7F59"/>
    <w:rsid w:val="005B012E"/>
    <w:rsid w:val="005B01DD"/>
    <w:rsid w:val="005B0506"/>
    <w:rsid w:val="005B0DC7"/>
    <w:rsid w:val="005B0FE8"/>
    <w:rsid w:val="005B11DD"/>
    <w:rsid w:val="005B19F2"/>
    <w:rsid w:val="005B1C58"/>
    <w:rsid w:val="005B250F"/>
    <w:rsid w:val="005B2678"/>
    <w:rsid w:val="005B26A9"/>
    <w:rsid w:val="005B2C78"/>
    <w:rsid w:val="005B36DB"/>
    <w:rsid w:val="005B3792"/>
    <w:rsid w:val="005B37E4"/>
    <w:rsid w:val="005B3F58"/>
    <w:rsid w:val="005B414A"/>
    <w:rsid w:val="005B4153"/>
    <w:rsid w:val="005B4303"/>
    <w:rsid w:val="005B4611"/>
    <w:rsid w:val="005B4D0C"/>
    <w:rsid w:val="005B5483"/>
    <w:rsid w:val="005B5904"/>
    <w:rsid w:val="005B5AA3"/>
    <w:rsid w:val="005B5B54"/>
    <w:rsid w:val="005B5D55"/>
    <w:rsid w:val="005B6B0F"/>
    <w:rsid w:val="005B6EE0"/>
    <w:rsid w:val="005B73C1"/>
    <w:rsid w:val="005B752C"/>
    <w:rsid w:val="005C014C"/>
    <w:rsid w:val="005C04B5"/>
    <w:rsid w:val="005C065C"/>
    <w:rsid w:val="005C0CFF"/>
    <w:rsid w:val="005C0ECE"/>
    <w:rsid w:val="005C1258"/>
    <w:rsid w:val="005C1694"/>
    <w:rsid w:val="005C1859"/>
    <w:rsid w:val="005C189F"/>
    <w:rsid w:val="005C19AF"/>
    <w:rsid w:val="005C1C2E"/>
    <w:rsid w:val="005C1F02"/>
    <w:rsid w:val="005C240B"/>
    <w:rsid w:val="005C2775"/>
    <w:rsid w:val="005C2CB3"/>
    <w:rsid w:val="005C35A3"/>
    <w:rsid w:val="005C35CF"/>
    <w:rsid w:val="005C39C0"/>
    <w:rsid w:val="005C3F62"/>
    <w:rsid w:val="005C3F79"/>
    <w:rsid w:val="005C417E"/>
    <w:rsid w:val="005C4200"/>
    <w:rsid w:val="005C42A5"/>
    <w:rsid w:val="005C4C76"/>
    <w:rsid w:val="005C4CBD"/>
    <w:rsid w:val="005C4DA4"/>
    <w:rsid w:val="005C4FED"/>
    <w:rsid w:val="005C5663"/>
    <w:rsid w:val="005C5799"/>
    <w:rsid w:val="005C59BA"/>
    <w:rsid w:val="005C6160"/>
    <w:rsid w:val="005C6367"/>
    <w:rsid w:val="005C6924"/>
    <w:rsid w:val="005C6BAB"/>
    <w:rsid w:val="005C7670"/>
    <w:rsid w:val="005C7D50"/>
    <w:rsid w:val="005C7E11"/>
    <w:rsid w:val="005C7F78"/>
    <w:rsid w:val="005D00C0"/>
    <w:rsid w:val="005D086C"/>
    <w:rsid w:val="005D0A3C"/>
    <w:rsid w:val="005D0B7D"/>
    <w:rsid w:val="005D0B9F"/>
    <w:rsid w:val="005D13BE"/>
    <w:rsid w:val="005D1724"/>
    <w:rsid w:val="005D1B64"/>
    <w:rsid w:val="005D1C86"/>
    <w:rsid w:val="005D1C9D"/>
    <w:rsid w:val="005D1E53"/>
    <w:rsid w:val="005D3F65"/>
    <w:rsid w:val="005D40DC"/>
    <w:rsid w:val="005D49A4"/>
    <w:rsid w:val="005D50BB"/>
    <w:rsid w:val="005D5187"/>
    <w:rsid w:val="005D518B"/>
    <w:rsid w:val="005D57A4"/>
    <w:rsid w:val="005D5A63"/>
    <w:rsid w:val="005D5C2D"/>
    <w:rsid w:val="005D5EAE"/>
    <w:rsid w:val="005D664C"/>
    <w:rsid w:val="005D694F"/>
    <w:rsid w:val="005D696F"/>
    <w:rsid w:val="005D704B"/>
    <w:rsid w:val="005D7B06"/>
    <w:rsid w:val="005E0480"/>
    <w:rsid w:val="005E05CB"/>
    <w:rsid w:val="005E0A90"/>
    <w:rsid w:val="005E0EDB"/>
    <w:rsid w:val="005E13C5"/>
    <w:rsid w:val="005E17CE"/>
    <w:rsid w:val="005E188F"/>
    <w:rsid w:val="005E1B4E"/>
    <w:rsid w:val="005E2BEA"/>
    <w:rsid w:val="005E2EFA"/>
    <w:rsid w:val="005E3508"/>
    <w:rsid w:val="005E3680"/>
    <w:rsid w:val="005E3930"/>
    <w:rsid w:val="005E3A16"/>
    <w:rsid w:val="005E4144"/>
    <w:rsid w:val="005E438F"/>
    <w:rsid w:val="005E454F"/>
    <w:rsid w:val="005E4866"/>
    <w:rsid w:val="005E5118"/>
    <w:rsid w:val="005E5149"/>
    <w:rsid w:val="005E5192"/>
    <w:rsid w:val="005E62DF"/>
    <w:rsid w:val="005E6A21"/>
    <w:rsid w:val="005E6C6D"/>
    <w:rsid w:val="005E6DAD"/>
    <w:rsid w:val="005E732F"/>
    <w:rsid w:val="005E74D7"/>
    <w:rsid w:val="005E758C"/>
    <w:rsid w:val="005E79C6"/>
    <w:rsid w:val="005F0031"/>
    <w:rsid w:val="005F0454"/>
    <w:rsid w:val="005F0693"/>
    <w:rsid w:val="005F0A5B"/>
    <w:rsid w:val="005F0C2C"/>
    <w:rsid w:val="005F0D3B"/>
    <w:rsid w:val="005F1237"/>
    <w:rsid w:val="005F1A8E"/>
    <w:rsid w:val="005F2E64"/>
    <w:rsid w:val="005F2EF7"/>
    <w:rsid w:val="005F309B"/>
    <w:rsid w:val="005F34A8"/>
    <w:rsid w:val="005F39FE"/>
    <w:rsid w:val="005F3A0E"/>
    <w:rsid w:val="005F3BA5"/>
    <w:rsid w:val="005F3CDC"/>
    <w:rsid w:val="005F4497"/>
    <w:rsid w:val="005F453B"/>
    <w:rsid w:val="005F4A72"/>
    <w:rsid w:val="005F4CBF"/>
    <w:rsid w:val="005F505A"/>
    <w:rsid w:val="005F572A"/>
    <w:rsid w:val="005F5F24"/>
    <w:rsid w:val="005F63F2"/>
    <w:rsid w:val="005F641C"/>
    <w:rsid w:val="005F6436"/>
    <w:rsid w:val="005F6568"/>
    <w:rsid w:val="005F6BEF"/>
    <w:rsid w:val="005F6C43"/>
    <w:rsid w:val="005F6E1A"/>
    <w:rsid w:val="005F711B"/>
    <w:rsid w:val="005F720D"/>
    <w:rsid w:val="005F7AF1"/>
    <w:rsid w:val="005F7F62"/>
    <w:rsid w:val="00600604"/>
    <w:rsid w:val="00600993"/>
    <w:rsid w:val="00600E12"/>
    <w:rsid w:val="00601311"/>
    <w:rsid w:val="0060177C"/>
    <w:rsid w:val="006017F9"/>
    <w:rsid w:val="00601BCE"/>
    <w:rsid w:val="00602570"/>
    <w:rsid w:val="006030FD"/>
    <w:rsid w:val="00603116"/>
    <w:rsid w:val="00603278"/>
    <w:rsid w:val="0060380C"/>
    <w:rsid w:val="006040A0"/>
    <w:rsid w:val="00604442"/>
    <w:rsid w:val="00604B5E"/>
    <w:rsid w:val="00604C65"/>
    <w:rsid w:val="00604D3F"/>
    <w:rsid w:val="00605107"/>
    <w:rsid w:val="00605953"/>
    <w:rsid w:val="00605B19"/>
    <w:rsid w:val="00605B9F"/>
    <w:rsid w:val="00605EF3"/>
    <w:rsid w:val="00606309"/>
    <w:rsid w:val="0060671F"/>
    <w:rsid w:val="006069DA"/>
    <w:rsid w:val="00606BEC"/>
    <w:rsid w:val="00606D2D"/>
    <w:rsid w:val="0060787B"/>
    <w:rsid w:val="006100DA"/>
    <w:rsid w:val="006105D3"/>
    <w:rsid w:val="006105D6"/>
    <w:rsid w:val="00610C3B"/>
    <w:rsid w:val="00610F5E"/>
    <w:rsid w:val="006117E3"/>
    <w:rsid w:val="0061190D"/>
    <w:rsid w:val="0061279E"/>
    <w:rsid w:val="00612825"/>
    <w:rsid w:val="00612978"/>
    <w:rsid w:val="00612FC2"/>
    <w:rsid w:val="00613210"/>
    <w:rsid w:val="006133A7"/>
    <w:rsid w:val="0061357D"/>
    <w:rsid w:val="006137AC"/>
    <w:rsid w:val="00613D84"/>
    <w:rsid w:val="006149BB"/>
    <w:rsid w:val="00614AE1"/>
    <w:rsid w:val="00614E39"/>
    <w:rsid w:val="00615255"/>
    <w:rsid w:val="00615796"/>
    <w:rsid w:val="006158A7"/>
    <w:rsid w:val="0061590B"/>
    <w:rsid w:val="00615D1B"/>
    <w:rsid w:val="006160C7"/>
    <w:rsid w:val="006163AC"/>
    <w:rsid w:val="00616A26"/>
    <w:rsid w:val="00616B9B"/>
    <w:rsid w:val="00616C00"/>
    <w:rsid w:val="00616DB8"/>
    <w:rsid w:val="00616E46"/>
    <w:rsid w:val="00616E83"/>
    <w:rsid w:val="00617BDF"/>
    <w:rsid w:val="00620C5E"/>
    <w:rsid w:val="00620E13"/>
    <w:rsid w:val="006212BA"/>
    <w:rsid w:val="006214E2"/>
    <w:rsid w:val="00621C61"/>
    <w:rsid w:val="00621ED0"/>
    <w:rsid w:val="00622159"/>
    <w:rsid w:val="0062221F"/>
    <w:rsid w:val="0062254F"/>
    <w:rsid w:val="0062268A"/>
    <w:rsid w:val="00623357"/>
    <w:rsid w:val="006233D0"/>
    <w:rsid w:val="00623681"/>
    <w:rsid w:val="00624144"/>
    <w:rsid w:val="00624B42"/>
    <w:rsid w:val="00624CA6"/>
    <w:rsid w:val="00625C1A"/>
    <w:rsid w:val="00625E6C"/>
    <w:rsid w:val="006261D0"/>
    <w:rsid w:val="006264D8"/>
    <w:rsid w:val="00627633"/>
    <w:rsid w:val="0062792E"/>
    <w:rsid w:val="00627AEF"/>
    <w:rsid w:val="00630434"/>
    <w:rsid w:val="0063079D"/>
    <w:rsid w:val="00630C6B"/>
    <w:rsid w:val="00630CA6"/>
    <w:rsid w:val="00630EE8"/>
    <w:rsid w:val="0063107F"/>
    <w:rsid w:val="00631823"/>
    <w:rsid w:val="00632211"/>
    <w:rsid w:val="00632538"/>
    <w:rsid w:val="0063270F"/>
    <w:rsid w:val="006329B5"/>
    <w:rsid w:val="00632B1C"/>
    <w:rsid w:val="00633192"/>
    <w:rsid w:val="00633648"/>
    <w:rsid w:val="00633D90"/>
    <w:rsid w:val="006352E8"/>
    <w:rsid w:val="006356E5"/>
    <w:rsid w:val="00635B94"/>
    <w:rsid w:val="00635B98"/>
    <w:rsid w:val="00635F71"/>
    <w:rsid w:val="00636498"/>
    <w:rsid w:val="00637054"/>
    <w:rsid w:val="00637280"/>
    <w:rsid w:val="006374FD"/>
    <w:rsid w:val="00637505"/>
    <w:rsid w:val="0063753C"/>
    <w:rsid w:val="00637B1E"/>
    <w:rsid w:val="00637B9B"/>
    <w:rsid w:val="00637FAE"/>
    <w:rsid w:val="006400DB"/>
    <w:rsid w:val="006402FE"/>
    <w:rsid w:val="00640422"/>
    <w:rsid w:val="006413F4"/>
    <w:rsid w:val="00641B70"/>
    <w:rsid w:val="00641D29"/>
    <w:rsid w:val="006427DC"/>
    <w:rsid w:val="00642921"/>
    <w:rsid w:val="00642B1D"/>
    <w:rsid w:val="00642EE2"/>
    <w:rsid w:val="00643017"/>
    <w:rsid w:val="00643558"/>
    <w:rsid w:val="00643624"/>
    <w:rsid w:val="00643847"/>
    <w:rsid w:val="00643994"/>
    <w:rsid w:val="00643F33"/>
    <w:rsid w:val="006448BB"/>
    <w:rsid w:val="00644CA0"/>
    <w:rsid w:val="0064505B"/>
    <w:rsid w:val="006450E0"/>
    <w:rsid w:val="00645284"/>
    <w:rsid w:val="0064567A"/>
    <w:rsid w:val="006466D3"/>
    <w:rsid w:val="00646C2D"/>
    <w:rsid w:val="00647350"/>
    <w:rsid w:val="00647960"/>
    <w:rsid w:val="00647EB6"/>
    <w:rsid w:val="00650857"/>
    <w:rsid w:val="00650B75"/>
    <w:rsid w:val="00650C67"/>
    <w:rsid w:val="00651705"/>
    <w:rsid w:val="00652585"/>
    <w:rsid w:val="0065261B"/>
    <w:rsid w:val="00652651"/>
    <w:rsid w:val="006530B2"/>
    <w:rsid w:val="00653C89"/>
    <w:rsid w:val="0065418A"/>
    <w:rsid w:val="0065486A"/>
    <w:rsid w:val="00654A04"/>
    <w:rsid w:val="00654AA7"/>
    <w:rsid w:val="00655168"/>
    <w:rsid w:val="006556B4"/>
    <w:rsid w:val="006557A9"/>
    <w:rsid w:val="00656532"/>
    <w:rsid w:val="00657208"/>
    <w:rsid w:val="006578C8"/>
    <w:rsid w:val="006579DD"/>
    <w:rsid w:val="00660151"/>
    <w:rsid w:val="00660AC8"/>
    <w:rsid w:val="00660E70"/>
    <w:rsid w:val="006611C8"/>
    <w:rsid w:val="00661868"/>
    <w:rsid w:val="00662A7A"/>
    <w:rsid w:val="00662CF1"/>
    <w:rsid w:val="006637DF"/>
    <w:rsid w:val="0066381D"/>
    <w:rsid w:val="00664020"/>
    <w:rsid w:val="0066460E"/>
    <w:rsid w:val="00665141"/>
    <w:rsid w:val="00665A97"/>
    <w:rsid w:val="00665E84"/>
    <w:rsid w:val="0066611C"/>
    <w:rsid w:val="0066634E"/>
    <w:rsid w:val="00666D74"/>
    <w:rsid w:val="00667A28"/>
    <w:rsid w:val="00667AB6"/>
    <w:rsid w:val="006708DB"/>
    <w:rsid w:val="00670A41"/>
    <w:rsid w:val="00670B06"/>
    <w:rsid w:val="00670EFD"/>
    <w:rsid w:val="00670F37"/>
    <w:rsid w:val="00671021"/>
    <w:rsid w:val="006710C3"/>
    <w:rsid w:val="00671CB9"/>
    <w:rsid w:val="00671EC3"/>
    <w:rsid w:val="0067206B"/>
    <w:rsid w:val="00672718"/>
    <w:rsid w:val="0067283A"/>
    <w:rsid w:val="00672D2C"/>
    <w:rsid w:val="00673662"/>
    <w:rsid w:val="006737FD"/>
    <w:rsid w:val="0067394E"/>
    <w:rsid w:val="00673A48"/>
    <w:rsid w:val="00674632"/>
    <w:rsid w:val="0067468D"/>
    <w:rsid w:val="00674B56"/>
    <w:rsid w:val="00674C99"/>
    <w:rsid w:val="00674F6D"/>
    <w:rsid w:val="00675469"/>
    <w:rsid w:val="006756B0"/>
    <w:rsid w:val="006758B5"/>
    <w:rsid w:val="00675C6D"/>
    <w:rsid w:val="00675C7E"/>
    <w:rsid w:val="00675C80"/>
    <w:rsid w:val="00676379"/>
    <w:rsid w:val="006763F5"/>
    <w:rsid w:val="00676A4C"/>
    <w:rsid w:val="00676ABB"/>
    <w:rsid w:val="00676D35"/>
    <w:rsid w:val="006770F7"/>
    <w:rsid w:val="006774E2"/>
    <w:rsid w:val="00677A8B"/>
    <w:rsid w:val="00677BF1"/>
    <w:rsid w:val="00677F0E"/>
    <w:rsid w:val="0068050C"/>
    <w:rsid w:val="0068072B"/>
    <w:rsid w:val="00680882"/>
    <w:rsid w:val="00680D0E"/>
    <w:rsid w:val="00681086"/>
    <w:rsid w:val="00681A94"/>
    <w:rsid w:val="00681D2B"/>
    <w:rsid w:val="00681E98"/>
    <w:rsid w:val="00682647"/>
    <w:rsid w:val="00682687"/>
    <w:rsid w:val="006828DE"/>
    <w:rsid w:val="006833C2"/>
    <w:rsid w:val="00683719"/>
    <w:rsid w:val="006839FD"/>
    <w:rsid w:val="00683AB1"/>
    <w:rsid w:val="00683B13"/>
    <w:rsid w:val="006847CC"/>
    <w:rsid w:val="00684A1A"/>
    <w:rsid w:val="00684C33"/>
    <w:rsid w:val="00685114"/>
    <w:rsid w:val="006851BD"/>
    <w:rsid w:val="0068583C"/>
    <w:rsid w:val="00685D32"/>
    <w:rsid w:val="006862B3"/>
    <w:rsid w:val="006862CD"/>
    <w:rsid w:val="006864A4"/>
    <w:rsid w:val="0068651F"/>
    <w:rsid w:val="00686614"/>
    <w:rsid w:val="00686C56"/>
    <w:rsid w:val="00687BA0"/>
    <w:rsid w:val="00687DBD"/>
    <w:rsid w:val="00687F81"/>
    <w:rsid w:val="00687FD4"/>
    <w:rsid w:val="0069079C"/>
    <w:rsid w:val="00691388"/>
    <w:rsid w:val="006913CD"/>
    <w:rsid w:val="00691444"/>
    <w:rsid w:val="006916A9"/>
    <w:rsid w:val="00691D3A"/>
    <w:rsid w:val="0069260C"/>
    <w:rsid w:val="00692831"/>
    <w:rsid w:val="0069427F"/>
    <w:rsid w:val="0069464D"/>
    <w:rsid w:val="00694B5D"/>
    <w:rsid w:val="00695777"/>
    <w:rsid w:val="00695A27"/>
    <w:rsid w:val="00695BC8"/>
    <w:rsid w:val="00695E47"/>
    <w:rsid w:val="0069600C"/>
    <w:rsid w:val="00696214"/>
    <w:rsid w:val="00696494"/>
    <w:rsid w:val="00697093"/>
    <w:rsid w:val="00697269"/>
    <w:rsid w:val="0069756A"/>
    <w:rsid w:val="0069770E"/>
    <w:rsid w:val="00697FEB"/>
    <w:rsid w:val="006A0121"/>
    <w:rsid w:val="006A04C7"/>
    <w:rsid w:val="006A0810"/>
    <w:rsid w:val="006A0ED4"/>
    <w:rsid w:val="006A14F3"/>
    <w:rsid w:val="006A2252"/>
    <w:rsid w:val="006A22F2"/>
    <w:rsid w:val="006A23DF"/>
    <w:rsid w:val="006A27F9"/>
    <w:rsid w:val="006A2C70"/>
    <w:rsid w:val="006A3659"/>
    <w:rsid w:val="006A3A22"/>
    <w:rsid w:val="006A42CA"/>
    <w:rsid w:val="006A48CD"/>
    <w:rsid w:val="006A4A3B"/>
    <w:rsid w:val="006A5BAF"/>
    <w:rsid w:val="006A671A"/>
    <w:rsid w:val="006A69E2"/>
    <w:rsid w:val="006A6BD2"/>
    <w:rsid w:val="006A6D86"/>
    <w:rsid w:val="006A75C8"/>
    <w:rsid w:val="006A7718"/>
    <w:rsid w:val="006A788A"/>
    <w:rsid w:val="006A7978"/>
    <w:rsid w:val="006A7D66"/>
    <w:rsid w:val="006A7E73"/>
    <w:rsid w:val="006B072D"/>
    <w:rsid w:val="006B0ECA"/>
    <w:rsid w:val="006B1626"/>
    <w:rsid w:val="006B2B14"/>
    <w:rsid w:val="006B319B"/>
    <w:rsid w:val="006B35C9"/>
    <w:rsid w:val="006B36D3"/>
    <w:rsid w:val="006B3B48"/>
    <w:rsid w:val="006B3E63"/>
    <w:rsid w:val="006B4564"/>
    <w:rsid w:val="006B4A10"/>
    <w:rsid w:val="006B5002"/>
    <w:rsid w:val="006B580B"/>
    <w:rsid w:val="006B5B62"/>
    <w:rsid w:val="006B6138"/>
    <w:rsid w:val="006B6641"/>
    <w:rsid w:val="006B67FF"/>
    <w:rsid w:val="006B6CBD"/>
    <w:rsid w:val="006B6D18"/>
    <w:rsid w:val="006B6DCB"/>
    <w:rsid w:val="006B6F9D"/>
    <w:rsid w:val="006B7548"/>
    <w:rsid w:val="006B77EA"/>
    <w:rsid w:val="006B789C"/>
    <w:rsid w:val="006B7CBA"/>
    <w:rsid w:val="006B7D52"/>
    <w:rsid w:val="006C0679"/>
    <w:rsid w:val="006C06C6"/>
    <w:rsid w:val="006C0BDB"/>
    <w:rsid w:val="006C0F30"/>
    <w:rsid w:val="006C1919"/>
    <w:rsid w:val="006C1D1B"/>
    <w:rsid w:val="006C1E5A"/>
    <w:rsid w:val="006C1EE5"/>
    <w:rsid w:val="006C213C"/>
    <w:rsid w:val="006C22D9"/>
    <w:rsid w:val="006C22E8"/>
    <w:rsid w:val="006C2ED5"/>
    <w:rsid w:val="006C30B8"/>
    <w:rsid w:val="006C30C7"/>
    <w:rsid w:val="006C3379"/>
    <w:rsid w:val="006C3892"/>
    <w:rsid w:val="006C3CCD"/>
    <w:rsid w:val="006C46DD"/>
    <w:rsid w:val="006C4A18"/>
    <w:rsid w:val="006C4F4D"/>
    <w:rsid w:val="006C5770"/>
    <w:rsid w:val="006C586F"/>
    <w:rsid w:val="006C5D6B"/>
    <w:rsid w:val="006C5F03"/>
    <w:rsid w:val="006C6B93"/>
    <w:rsid w:val="006C6D23"/>
    <w:rsid w:val="006C7217"/>
    <w:rsid w:val="006C7ADC"/>
    <w:rsid w:val="006C7B32"/>
    <w:rsid w:val="006C7D9E"/>
    <w:rsid w:val="006D0116"/>
    <w:rsid w:val="006D016E"/>
    <w:rsid w:val="006D0698"/>
    <w:rsid w:val="006D0C7B"/>
    <w:rsid w:val="006D1237"/>
    <w:rsid w:val="006D14FE"/>
    <w:rsid w:val="006D1BEC"/>
    <w:rsid w:val="006D1D26"/>
    <w:rsid w:val="006D1DE5"/>
    <w:rsid w:val="006D201B"/>
    <w:rsid w:val="006D2062"/>
    <w:rsid w:val="006D213C"/>
    <w:rsid w:val="006D235A"/>
    <w:rsid w:val="006D2FE5"/>
    <w:rsid w:val="006D3205"/>
    <w:rsid w:val="006D3C22"/>
    <w:rsid w:val="006D455C"/>
    <w:rsid w:val="006D4638"/>
    <w:rsid w:val="006D46E2"/>
    <w:rsid w:val="006D4B63"/>
    <w:rsid w:val="006D513D"/>
    <w:rsid w:val="006D517E"/>
    <w:rsid w:val="006D51FC"/>
    <w:rsid w:val="006D5386"/>
    <w:rsid w:val="006D53B8"/>
    <w:rsid w:val="006D56BC"/>
    <w:rsid w:val="006D57E5"/>
    <w:rsid w:val="006D5B46"/>
    <w:rsid w:val="006D5E4B"/>
    <w:rsid w:val="006D5F51"/>
    <w:rsid w:val="006D60FF"/>
    <w:rsid w:val="006D6235"/>
    <w:rsid w:val="006D65E6"/>
    <w:rsid w:val="006D6EA2"/>
    <w:rsid w:val="006D75B7"/>
    <w:rsid w:val="006D7624"/>
    <w:rsid w:val="006D7993"/>
    <w:rsid w:val="006D7E0D"/>
    <w:rsid w:val="006E0D80"/>
    <w:rsid w:val="006E1122"/>
    <w:rsid w:val="006E121F"/>
    <w:rsid w:val="006E162F"/>
    <w:rsid w:val="006E1690"/>
    <w:rsid w:val="006E17EC"/>
    <w:rsid w:val="006E1AC2"/>
    <w:rsid w:val="006E265F"/>
    <w:rsid w:val="006E278A"/>
    <w:rsid w:val="006E2847"/>
    <w:rsid w:val="006E2A49"/>
    <w:rsid w:val="006E2F6F"/>
    <w:rsid w:val="006E3131"/>
    <w:rsid w:val="006E396B"/>
    <w:rsid w:val="006E3A7F"/>
    <w:rsid w:val="006E3B27"/>
    <w:rsid w:val="006E3BFA"/>
    <w:rsid w:val="006E44A7"/>
    <w:rsid w:val="006E4ECA"/>
    <w:rsid w:val="006E52BD"/>
    <w:rsid w:val="006E5CD9"/>
    <w:rsid w:val="006E60BD"/>
    <w:rsid w:val="006E66B7"/>
    <w:rsid w:val="006E6BF2"/>
    <w:rsid w:val="006F0C68"/>
    <w:rsid w:val="006F1141"/>
    <w:rsid w:val="006F1304"/>
    <w:rsid w:val="006F1BFD"/>
    <w:rsid w:val="006F2581"/>
    <w:rsid w:val="006F2AC1"/>
    <w:rsid w:val="006F2CAB"/>
    <w:rsid w:val="006F32C3"/>
    <w:rsid w:val="006F33BE"/>
    <w:rsid w:val="006F353B"/>
    <w:rsid w:val="006F37DA"/>
    <w:rsid w:val="006F3BAC"/>
    <w:rsid w:val="006F3BE2"/>
    <w:rsid w:val="006F3E77"/>
    <w:rsid w:val="006F3FC6"/>
    <w:rsid w:val="006F47B9"/>
    <w:rsid w:val="006F4AAE"/>
    <w:rsid w:val="006F4B5F"/>
    <w:rsid w:val="006F56CE"/>
    <w:rsid w:val="006F5F97"/>
    <w:rsid w:val="006F6857"/>
    <w:rsid w:val="006F6A12"/>
    <w:rsid w:val="006F6DF7"/>
    <w:rsid w:val="006F6FFB"/>
    <w:rsid w:val="006F7BCC"/>
    <w:rsid w:val="0070058A"/>
    <w:rsid w:val="00700CBA"/>
    <w:rsid w:val="00700E2D"/>
    <w:rsid w:val="00700E8E"/>
    <w:rsid w:val="00700F23"/>
    <w:rsid w:val="00701506"/>
    <w:rsid w:val="00701810"/>
    <w:rsid w:val="0070183B"/>
    <w:rsid w:val="007018F4"/>
    <w:rsid w:val="0070190E"/>
    <w:rsid w:val="00701C34"/>
    <w:rsid w:val="00701EEA"/>
    <w:rsid w:val="007029F5"/>
    <w:rsid w:val="00702A86"/>
    <w:rsid w:val="00702F20"/>
    <w:rsid w:val="00702FE2"/>
    <w:rsid w:val="007031A9"/>
    <w:rsid w:val="0070423F"/>
    <w:rsid w:val="00704347"/>
    <w:rsid w:val="0070448F"/>
    <w:rsid w:val="007046BE"/>
    <w:rsid w:val="007046F2"/>
    <w:rsid w:val="00705011"/>
    <w:rsid w:val="0070504B"/>
    <w:rsid w:val="00706487"/>
    <w:rsid w:val="00706827"/>
    <w:rsid w:val="007068C9"/>
    <w:rsid w:val="007073DB"/>
    <w:rsid w:val="00707CA4"/>
    <w:rsid w:val="0071021C"/>
    <w:rsid w:val="0071048B"/>
    <w:rsid w:val="007104BC"/>
    <w:rsid w:val="007105CB"/>
    <w:rsid w:val="00710661"/>
    <w:rsid w:val="00710770"/>
    <w:rsid w:val="00710FFF"/>
    <w:rsid w:val="007110AC"/>
    <w:rsid w:val="007112E5"/>
    <w:rsid w:val="00711845"/>
    <w:rsid w:val="007119DD"/>
    <w:rsid w:val="00711A36"/>
    <w:rsid w:val="00711AD2"/>
    <w:rsid w:val="00712137"/>
    <w:rsid w:val="00712B76"/>
    <w:rsid w:val="00712C24"/>
    <w:rsid w:val="0071308E"/>
    <w:rsid w:val="007133B6"/>
    <w:rsid w:val="0071489C"/>
    <w:rsid w:val="00714C34"/>
    <w:rsid w:val="007157EF"/>
    <w:rsid w:val="00715BDB"/>
    <w:rsid w:val="00715D23"/>
    <w:rsid w:val="00715E07"/>
    <w:rsid w:val="00716338"/>
    <w:rsid w:val="0071640E"/>
    <w:rsid w:val="00716520"/>
    <w:rsid w:val="00716D4C"/>
    <w:rsid w:val="00717158"/>
    <w:rsid w:val="00717237"/>
    <w:rsid w:val="007173BD"/>
    <w:rsid w:val="00717432"/>
    <w:rsid w:val="0071760B"/>
    <w:rsid w:val="00717704"/>
    <w:rsid w:val="007177AE"/>
    <w:rsid w:val="0071795A"/>
    <w:rsid w:val="007208DA"/>
    <w:rsid w:val="007209B6"/>
    <w:rsid w:val="00720C57"/>
    <w:rsid w:val="00720C74"/>
    <w:rsid w:val="00720D56"/>
    <w:rsid w:val="00721C9B"/>
    <w:rsid w:val="00721F8F"/>
    <w:rsid w:val="00722239"/>
    <w:rsid w:val="007222F5"/>
    <w:rsid w:val="00722562"/>
    <w:rsid w:val="00722DBE"/>
    <w:rsid w:val="007238BE"/>
    <w:rsid w:val="00723C21"/>
    <w:rsid w:val="00724007"/>
    <w:rsid w:val="007244F5"/>
    <w:rsid w:val="00724877"/>
    <w:rsid w:val="007255B2"/>
    <w:rsid w:val="00725805"/>
    <w:rsid w:val="00725E2D"/>
    <w:rsid w:val="00726532"/>
    <w:rsid w:val="00726652"/>
    <w:rsid w:val="00726B79"/>
    <w:rsid w:val="0072710D"/>
    <w:rsid w:val="007271E5"/>
    <w:rsid w:val="00727404"/>
    <w:rsid w:val="007308C3"/>
    <w:rsid w:val="0073096D"/>
    <w:rsid w:val="00730C55"/>
    <w:rsid w:val="00731247"/>
    <w:rsid w:val="00731352"/>
    <w:rsid w:val="007313B6"/>
    <w:rsid w:val="007314FB"/>
    <w:rsid w:val="00731A16"/>
    <w:rsid w:val="00731E9A"/>
    <w:rsid w:val="00732DBA"/>
    <w:rsid w:val="00733153"/>
    <w:rsid w:val="007332D3"/>
    <w:rsid w:val="00733580"/>
    <w:rsid w:val="00733642"/>
    <w:rsid w:val="007337BA"/>
    <w:rsid w:val="00734210"/>
    <w:rsid w:val="007347F0"/>
    <w:rsid w:val="0073504B"/>
    <w:rsid w:val="007350C1"/>
    <w:rsid w:val="0073539E"/>
    <w:rsid w:val="00735A89"/>
    <w:rsid w:val="00735AC7"/>
    <w:rsid w:val="00736679"/>
    <w:rsid w:val="007367AB"/>
    <w:rsid w:val="00736E5E"/>
    <w:rsid w:val="00737812"/>
    <w:rsid w:val="00737F83"/>
    <w:rsid w:val="007403BB"/>
    <w:rsid w:val="00740D12"/>
    <w:rsid w:val="00740D1D"/>
    <w:rsid w:val="00740D99"/>
    <w:rsid w:val="00741CA8"/>
    <w:rsid w:val="00742660"/>
    <w:rsid w:val="0074278D"/>
    <w:rsid w:val="00742872"/>
    <w:rsid w:val="00742F4C"/>
    <w:rsid w:val="007433A8"/>
    <w:rsid w:val="00743BA0"/>
    <w:rsid w:val="00743D7E"/>
    <w:rsid w:val="007440B2"/>
    <w:rsid w:val="00744BF8"/>
    <w:rsid w:val="00744C1A"/>
    <w:rsid w:val="00744FCF"/>
    <w:rsid w:val="00745354"/>
    <w:rsid w:val="00745727"/>
    <w:rsid w:val="00745844"/>
    <w:rsid w:val="00745C19"/>
    <w:rsid w:val="00746705"/>
    <w:rsid w:val="00746E22"/>
    <w:rsid w:val="00747EEC"/>
    <w:rsid w:val="00750502"/>
    <w:rsid w:val="0075059C"/>
    <w:rsid w:val="007508D2"/>
    <w:rsid w:val="00750FA5"/>
    <w:rsid w:val="007512D0"/>
    <w:rsid w:val="007514A8"/>
    <w:rsid w:val="00751F30"/>
    <w:rsid w:val="0075238A"/>
    <w:rsid w:val="00752899"/>
    <w:rsid w:val="007528A9"/>
    <w:rsid w:val="00752D54"/>
    <w:rsid w:val="00752D98"/>
    <w:rsid w:val="00752F1E"/>
    <w:rsid w:val="00753255"/>
    <w:rsid w:val="007533F8"/>
    <w:rsid w:val="007537C3"/>
    <w:rsid w:val="00753A3D"/>
    <w:rsid w:val="00754581"/>
    <w:rsid w:val="007547D0"/>
    <w:rsid w:val="00754A07"/>
    <w:rsid w:val="00754BAF"/>
    <w:rsid w:val="00754F37"/>
    <w:rsid w:val="00755290"/>
    <w:rsid w:val="00755ACA"/>
    <w:rsid w:val="00755E60"/>
    <w:rsid w:val="0075630B"/>
    <w:rsid w:val="0075639F"/>
    <w:rsid w:val="00756497"/>
    <w:rsid w:val="0075689E"/>
    <w:rsid w:val="007568A1"/>
    <w:rsid w:val="00756CA9"/>
    <w:rsid w:val="00757024"/>
    <w:rsid w:val="00757055"/>
    <w:rsid w:val="007574B1"/>
    <w:rsid w:val="00760285"/>
    <w:rsid w:val="00760655"/>
    <w:rsid w:val="00760678"/>
    <w:rsid w:val="00760A5C"/>
    <w:rsid w:val="0076169B"/>
    <w:rsid w:val="00761BF7"/>
    <w:rsid w:val="00761CC8"/>
    <w:rsid w:val="00761D0A"/>
    <w:rsid w:val="00762974"/>
    <w:rsid w:val="0076334B"/>
    <w:rsid w:val="0076359F"/>
    <w:rsid w:val="00765675"/>
    <w:rsid w:val="0076582C"/>
    <w:rsid w:val="007658EF"/>
    <w:rsid w:val="00765F87"/>
    <w:rsid w:val="0076611E"/>
    <w:rsid w:val="00766191"/>
    <w:rsid w:val="007666AE"/>
    <w:rsid w:val="00766881"/>
    <w:rsid w:val="00766891"/>
    <w:rsid w:val="00766B91"/>
    <w:rsid w:val="0076772C"/>
    <w:rsid w:val="007678AD"/>
    <w:rsid w:val="00767958"/>
    <w:rsid w:val="00767BEE"/>
    <w:rsid w:val="00770176"/>
    <w:rsid w:val="007701C0"/>
    <w:rsid w:val="00770853"/>
    <w:rsid w:val="00770969"/>
    <w:rsid w:val="00770E79"/>
    <w:rsid w:val="00771258"/>
    <w:rsid w:val="0077161B"/>
    <w:rsid w:val="00771AC1"/>
    <w:rsid w:val="00771EF7"/>
    <w:rsid w:val="00771F2B"/>
    <w:rsid w:val="007726D3"/>
    <w:rsid w:val="00772E9C"/>
    <w:rsid w:val="007732D4"/>
    <w:rsid w:val="00773483"/>
    <w:rsid w:val="00773548"/>
    <w:rsid w:val="00773832"/>
    <w:rsid w:val="0077385F"/>
    <w:rsid w:val="00774F4C"/>
    <w:rsid w:val="00774F8E"/>
    <w:rsid w:val="00775307"/>
    <w:rsid w:val="00775AC6"/>
    <w:rsid w:val="00775B9D"/>
    <w:rsid w:val="00775EC2"/>
    <w:rsid w:val="00776B79"/>
    <w:rsid w:val="00776C41"/>
    <w:rsid w:val="00776E3A"/>
    <w:rsid w:val="007774C9"/>
    <w:rsid w:val="007777B8"/>
    <w:rsid w:val="00777B03"/>
    <w:rsid w:val="00780107"/>
    <w:rsid w:val="00780159"/>
    <w:rsid w:val="007803D3"/>
    <w:rsid w:val="0078041A"/>
    <w:rsid w:val="0078071C"/>
    <w:rsid w:val="00781544"/>
    <w:rsid w:val="00782840"/>
    <w:rsid w:val="00782A32"/>
    <w:rsid w:val="00782E22"/>
    <w:rsid w:val="00782F98"/>
    <w:rsid w:val="0078333C"/>
    <w:rsid w:val="00784BE3"/>
    <w:rsid w:val="007853A6"/>
    <w:rsid w:val="00785548"/>
    <w:rsid w:val="007861AB"/>
    <w:rsid w:val="00786767"/>
    <w:rsid w:val="0078687B"/>
    <w:rsid w:val="00786E1D"/>
    <w:rsid w:val="00786FDF"/>
    <w:rsid w:val="0078764E"/>
    <w:rsid w:val="00787D59"/>
    <w:rsid w:val="00787E7F"/>
    <w:rsid w:val="00787F56"/>
    <w:rsid w:val="00790034"/>
    <w:rsid w:val="00790367"/>
    <w:rsid w:val="00790902"/>
    <w:rsid w:val="00790E5A"/>
    <w:rsid w:val="00791255"/>
    <w:rsid w:val="00791383"/>
    <w:rsid w:val="007914CC"/>
    <w:rsid w:val="00791559"/>
    <w:rsid w:val="00791B66"/>
    <w:rsid w:val="00791C7A"/>
    <w:rsid w:val="00791F3C"/>
    <w:rsid w:val="00792754"/>
    <w:rsid w:val="0079291C"/>
    <w:rsid w:val="00792DC9"/>
    <w:rsid w:val="007933D8"/>
    <w:rsid w:val="00793CF3"/>
    <w:rsid w:val="00793F84"/>
    <w:rsid w:val="0079497E"/>
    <w:rsid w:val="00794E16"/>
    <w:rsid w:val="00795AA8"/>
    <w:rsid w:val="00797E7C"/>
    <w:rsid w:val="007A013D"/>
    <w:rsid w:val="007A077E"/>
    <w:rsid w:val="007A08EE"/>
    <w:rsid w:val="007A09D0"/>
    <w:rsid w:val="007A16DC"/>
    <w:rsid w:val="007A1897"/>
    <w:rsid w:val="007A20AB"/>
    <w:rsid w:val="007A22E5"/>
    <w:rsid w:val="007A263B"/>
    <w:rsid w:val="007A26E6"/>
    <w:rsid w:val="007A28FE"/>
    <w:rsid w:val="007A2989"/>
    <w:rsid w:val="007A3FBB"/>
    <w:rsid w:val="007A44D8"/>
    <w:rsid w:val="007A45DB"/>
    <w:rsid w:val="007A61E5"/>
    <w:rsid w:val="007A79DF"/>
    <w:rsid w:val="007A7AE1"/>
    <w:rsid w:val="007A7BCA"/>
    <w:rsid w:val="007B0131"/>
    <w:rsid w:val="007B015F"/>
    <w:rsid w:val="007B035F"/>
    <w:rsid w:val="007B03FE"/>
    <w:rsid w:val="007B0583"/>
    <w:rsid w:val="007B09D2"/>
    <w:rsid w:val="007B0CE6"/>
    <w:rsid w:val="007B0DA7"/>
    <w:rsid w:val="007B131A"/>
    <w:rsid w:val="007B1B20"/>
    <w:rsid w:val="007B1D8D"/>
    <w:rsid w:val="007B24D9"/>
    <w:rsid w:val="007B2539"/>
    <w:rsid w:val="007B25CB"/>
    <w:rsid w:val="007B29A2"/>
    <w:rsid w:val="007B34AD"/>
    <w:rsid w:val="007B34C0"/>
    <w:rsid w:val="007B355D"/>
    <w:rsid w:val="007B3AFC"/>
    <w:rsid w:val="007B5110"/>
    <w:rsid w:val="007B53A3"/>
    <w:rsid w:val="007B596F"/>
    <w:rsid w:val="007B5EF3"/>
    <w:rsid w:val="007B5FF2"/>
    <w:rsid w:val="007B6133"/>
    <w:rsid w:val="007B629A"/>
    <w:rsid w:val="007B6452"/>
    <w:rsid w:val="007B6B76"/>
    <w:rsid w:val="007B6CD5"/>
    <w:rsid w:val="007B7168"/>
    <w:rsid w:val="007C00FC"/>
    <w:rsid w:val="007C03E4"/>
    <w:rsid w:val="007C051A"/>
    <w:rsid w:val="007C0B82"/>
    <w:rsid w:val="007C0CF7"/>
    <w:rsid w:val="007C17D6"/>
    <w:rsid w:val="007C1B6B"/>
    <w:rsid w:val="007C228C"/>
    <w:rsid w:val="007C23F3"/>
    <w:rsid w:val="007C27CF"/>
    <w:rsid w:val="007C3506"/>
    <w:rsid w:val="007C378A"/>
    <w:rsid w:val="007C39DA"/>
    <w:rsid w:val="007C3F02"/>
    <w:rsid w:val="007C4328"/>
    <w:rsid w:val="007C4A12"/>
    <w:rsid w:val="007C4E55"/>
    <w:rsid w:val="007C5DFE"/>
    <w:rsid w:val="007C63B2"/>
    <w:rsid w:val="007C7074"/>
    <w:rsid w:val="007C742B"/>
    <w:rsid w:val="007D0045"/>
    <w:rsid w:val="007D03F7"/>
    <w:rsid w:val="007D052A"/>
    <w:rsid w:val="007D0A1E"/>
    <w:rsid w:val="007D13AD"/>
    <w:rsid w:val="007D15FF"/>
    <w:rsid w:val="007D220F"/>
    <w:rsid w:val="007D297B"/>
    <w:rsid w:val="007D2AFC"/>
    <w:rsid w:val="007D2C20"/>
    <w:rsid w:val="007D308D"/>
    <w:rsid w:val="007D30E7"/>
    <w:rsid w:val="007D4620"/>
    <w:rsid w:val="007D468F"/>
    <w:rsid w:val="007D4867"/>
    <w:rsid w:val="007D4BA6"/>
    <w:rsid w:val="007D500C"/>
    <w:rsid w:val="007D567F"/>
    <w:rsid w:val="007D5B3B"/>
    <w:rsid w:val="007D68AF"/>
    <w:rsid w:val="007D7E6A"/>
    <w:rsid w:val="007D7F3E"/>
    <w:rsid w:val="007E025C"/>
    <w:rsid w:val="007E038D"/>
    <w:rsid w:val="007E1441"/>
    <w:rsid w:val="007E1D4F"/>
    <w:rsid w:val="007E353A"/>
    <w:rsid w:val="007E39BE"/>
    <w:rsid w:val="007E43E0"/>
    <w:rsid w:val="007E4D8F"/>
    <w:rsid w:val="007E5323"/>
    <w:rsid w:val="007E532F"/>
    <w:rsid w:val="007E5414"/>
    <w:rsid w:val="007E5B46"/>
    <w:rsid w:val="007E5D23"/>
    <w:rsid w:val="007E5D69"/>
    <w:rsid w:val="007E62C5"/>
    <w:rsid w:val="007E659A"/>
    <w:rsid w:val="007E69FD"/>
    <w:rsid w:val="007E6E27"/>
    <w:rsid w:val="007E7360"/>
    <w:rsid w:val="007F009A"/>
    <w:rsid w:val="007F00EC"/>
    <w:rsid w:val="007F0130"/>
    <w:rsid w:val="007F02C0"/>
    <w:rsid w:val="007F02FC"/>
    <w:rsid w:val="007F0396"/>
    <w:rsid w:val="007F075E"/>
    <w:rsid w:val="007F1CD4"/>
    <w:rsid w:val="007F21E6"/>
    <w:rsid w:val="007F2C8D"/>
    <w:rsid w:val="007F2CDE"/>
    <w:rsid w:val="007F2E5C"/>
    <w:rsid w:val="007F33B3"/>
    <w:rsid w:val="007F3C3D"/>
    <w:rsid w:val="007F3C5D"/>
    <w:rsid w:val="007F469F"/>
    <w:rsid w:val="007F4AD6"/>
    <w:rsid w:val="007F51E1"/>
    <w:rsid w:val="007F5863"/>
    <w:rsid w:val="007F5EEA"/>
    <w:rsid w:val="007F65BF"/>
    <w:rsid w:val="007F6C57"/>
    <w:rsid w:val="007F6F88"/>
    <w:rsid w:val="007F75AB"/>
    <w:rsid w:val="007F7895"/>
    <w:rsid w:val="007F7AC9"/>
    <w:rsid w:val="007F7FFA"/>
    <w:rsid w:val="008013F4"/>
    <w:rsid w:val="00801879"/>
    <w:rsid w:val="00801E74"/>
    <w:rsid w:val="00801EF1"/>
    <w:rsid w:val="008020CC"/>
    <w:rsid w:val="0080256C"/>
    <w:rsid w:val="008026EF"/>
    <w:rsid w:val="00803284"/>
    <w:rsid w:val="0080349D"/>
    <w:rsid w:val="008038FF"/>
    <w:rsid w:val="00803989"/>
    <w:rsid w:val="008039A6"/>
    <w:rsid w:val="00803C43"/>
    <w:rsid w:val="0080417F"/>
    <w:rsid w:val="00804E0D"/>
    <w:rsid w:val="00804E59"/>
    <w:rsid w:val="00805371"/>
    <w:rsid w:val="008066A9"/>
    <w:rsid w:val="00806A5C"/>
    <w:rsid w:val="0080708F"/>
    <w:rsid w:val="008070C0"/>
    <w:rsid w:val="008070FD"/>
    <w:rsid w:val="008072BC"/>
    <w:rsid w:val="00807B62"/>
    <w:rsid w:val="00810693"/>
    <w:rsid w:val="00811A2B"/>
    <w:rsid w:val="00811D3A"/>
    <w:rsid w:val="00811F1C"/>
    <w:rsid w:val="00812A23"/>
    <w:rsid w:val="00812A37"/>
    <w:rsid w:val="00812B24"/>
    <w:rsid w:val="00813399"/>
    <w:rsid w:val="00813C60"/>
    <w:rsid w:val="00813D84"/>
    <w:rsid w:val="00813F48"/>
    <w:rsid w:val="00814252"/>
    <w:rsid w:val="00814950"/>
    <w:rsid w:val="00814EC4"/>
    <w:rsid w:val="008152E6"/>
    <w:rsid w:val="00815D2D"/>
    <w:rsid w:val="00815EEB"/>
    <w:rsid w:val="00815F18"/>
    <w:rsid w:val="008161BB"/>
    <w:rsid w:val="008165F7"/>
    <w:rsid w:val="008168CF"/>
    <w:rsid w:val="008178A9"/>
    <w:rsid w:val="00817BCE"/>
    <w:rsid w:val="0082076D"/>
    <w:rsid w:val="008207D6"/>
    <w:rsid w:val="00820B95"/>
    <w:rsid w:val="00821727"/>
    <w:rsid w:val="008218C0"/>
    <w:rsid w:val="00822054"/>
    <w:rsid w:val="0082268B"/>
    <w:rsid w:val="00823DBE"/>
    <w:rsid w:val="00823F78"/>
    <w:rsid w:val="0082418E"/>
    <w:rsid w:val="00824608"/>
    <w:rsid w:val="00824728"/>
    <w:rsid w:val="00824959"/>
    <w:rsid w:val="00824F2F"/>
    <w:rsid w:val="00825029"/>
    <w:rsid w:val="008250A9"/>
    <w:rsid w:val="008251CE"/>
    <w:rsid w:val="0082568D"/>
    <w:rsid w:val="008259CB"/>
    <w:rsid w:val="00827733"/>
    <w:rsid w:val="00827911"/>
    <w:rsid w:val="00827B0A"/>
    <w:rsid w:val="008303E2"/>
    <w:rsid w:val="00830EB6"/>
    <w:rsid w:val="00831433"/>
    <w:rsid w:val="00831473"/>
    <w:rsid w:val="00831AA0"/>
    <w:rsid w:val="00831CFC"/>
    <w:rsid w:val="0083209F"/>
    <w:rsid w:val="00832483"/>
    <w:rsid w:val="0083285B"/>
    <w:rsid w:val="00833094"/>
    <w:rsid w:val="008332E9"/>
    <w:rsid w:val="0083379C"/>
    <w:rsid w:val="00833D09"/>
    <w:rsid w:val="0083450A"/>
    <w:rsid w:val="0083475E"/>
    <w:rsid w:val="00834B30"/>
    <w:rsid w:val="00835160"/>
    <w:rsid w:val="008352E2"/>
    <w:rsid w:val="00835521"/>
    <w:rsid w:val="0083638A"/>
    <w:rsid w:val="0083656F"/>
    <w:rsid w:val="008366D7"/>
    <w:rsid w:val="008370FD"/>
    <w:rsid w:val="00840071"/>
    <w:rsid w:val="008407D7"/>
    <w:rsid w:val="0084080C"/>
    <w:rsid w:val="00840BD2"/>
    <w:rsid w:val="00840C6F"/>
    <w:rsid w:val="00840D3A"/>
    <w:rsid w:val="00840EBE"/>
    <w:rsid w:val="008414A2"/>
    <w:rsid w:val="008414CF"/>
    <w:rsid w:val="00841D63"/>
    <w:rsid w:val="0084263F"/>
    <w:rsid w:val="0084279A"/>
    <w:rsid w:val="00842931"/>
    <w:rsid w:val="00842F7C"/>
    <w:rsid w:val="0084320D"/>
    <w:rsid w:val="00843257"/>
    <w:rsid w:val="008433B9"/>
    <w:rsid w:val="00843553"/>
    <w:rsid w:val="00843D12"/>
    <w:rsid w:val="00844677"/>
    <w:rsid w:val="00844963"/>
    <w:rsid w:val="00844A91"/>
    <w:rsid w:val="00844C2C"/>
    <w:rsid w:val="00844D3F"/>
    <w:rsid w:val="00845268"/>
    <w:rsid w:val="008454CD"/>
    <w:rsid w:val="0084648F"/>
    <w:rsid w:val="00846666"/>
    <w:rsid w:val="00846777"/>
    <w:rsid w:val="008468A8"/>
    <w:rsid w:val="00846F6C"/>
    <w:rsid w:val="0084730E"/>
    <w:rsid w:val="008473EB"/>
    <w:rsid w:val="0084740E"/>
    <w:rsid w:val="00847743"/>
    <w:rsid w:val="00847B2F"/>
    <w:rsid w:val="00847BE7"/>
    <w:rsid w:val="00847DA6"/>
    <w:rsid w:val="00850001"/>
    <w:rsid w:val="00850217"/>
    <w:rsid w:val="008502F9"/>
    <w:rsid w:val="008506A2"/>
    <w:rsid w:val="008515A1"/>
    <w:rsid w:val="008517D6"/>
    <w:rsid w:val="00851BD4"/>
    <w:rsid w:val="00851DA8"/>
    <w:rsid w:val="00852083"/>
    <w:rsid w:val="00853289"/>
    <w:rsid w:val="00853E80"/>
    <w:rsid w:val="00853FEC"/>
    <w:rsid w:val="00854249"/>
    <w:rsid w:val="00854512"/>
    <w:rsid w:val="0085455D"/>
    <w:rsid w:val="008546EB"/>
    <w:rsid w:val="00854F50"/>
    <w:rsid w:val="00855760"/>
    <w:rsid w:val="00855A6A"/>
    <w:rsid w:val="00856099"/>
    <w:rsid w:val="008560AB"/>
    <w:rsid w:val="008562FF"/>
    <w:rsid w:val="008566FB"/>
    <w:rsid w:val="00856806"/>
    <w:rsid w:val="0085730C"/>
    <w:rsid w:val="008601EC"/>
    <w:rsid w:val="008606E9"/>
    <w:rsid w:val="00861CB3"/>
    <w:rsid w:val="008622BC"/>
    <w:rsid w:val="008624C0"/>
    <w:rsid w:val="00862CC5"/>
    <w:rsid w:val="00862DBC"/>
    <w:rsid w:val="008635BD"/>
    <w:rsid w:val="00863BF2"/>
    <w:rsid w:val="00863D1C"/>
    <w:rsid w:val="00863E24"/>
    <w:rsid w:val="008640DB"/>
    <w:rsid w:val="00864737"/>
    <w:rsid w:val="00864B00"/>
    <w:rsid w:val="00864C85"/>
    <w:rsid w:val="0086508C"/>
    <w:rsid w:val="00865EFF"/>
    <w:rsid w:val="008661D5"/>
    <w:rsid w:val="00866751"/>
    <w:rsid w:val="00866A4E"/>
    <w:rsid w:val="00866ADF"/>
    <w:rsid w:val="00866B13"/>
    <w:rsid w:val="008670F0"/>
    <w:rsid w:val="00867544"/>
    <w:rsid w:val="0086754F"/>
    <w:rsid w:val="0086796B"/>
    <w:rsid w:val="00867EA2"/>
    <w:rsid w:val="008707A1"/>
    <w:rsid w:val="0087116E"/>
    <w:rsid w:val="00871650"/>
    <w:rsid w:val="008717AF"/>
    <w:rsid w:val="008718FD"/>
    <w:rsid w:val="00871D4C"/>
    <w:rsid w:val="00871E23"/>
    <w:rsid w:val="00872525"/>
    <w:rsid w:val="00872A10"/>
    <w:rsid w:val="008738E9"/>
    <w:rsid w:val="00873C76"/>
    <w:rsid w:val="0087434D"/>
    <w:rsid w:val="008748A4"/>
    <w:rsid w:val="00874E7C"/>
    <w:rsid w:val="00874EC8"/>
    <w:rsid w:val="008757E1"/>
    <w:rsid w:val="008759E3"/>
    <w:rsid w:val="00875A76"/>
    <w:rsid w:val="00875B59"/>
    <w:rsid w:val="0087667E"/>
    <w:rsid w:val="008767E5"/>
    <w:rsid w:val="00876837"/>
    <w:rsid w:val="00876926"/>
    <w:rsid w:val="008771D2"/>
    <w:rsid w:val="0087773C"/>
    <w:rsid w:val="008778C9"/>
    <w:rsid w:val="00877A96"/>
    <w:rsid w:val="00877D8C"/>
    <w:rsid w:val="00877E09"/>
    <w:rsid w:val="0088017A"/>
    <w:rsid w:val="0088089A"/>
    <w:rsid w:val="00880D9A"/>
    <w:rsid w:val="00881461"/>
    <w:rsid w:val="0088151D"/>
    <w:rsid w:val="00881ACE"/>
    <w:rsid w:val="00881F41"/>
    <w:rsid w:val="00881F59"/>
    <w:rsid w:val="008822E1"/>
    <w:rsid w:val="008829B0"/>
    <w:rsid w:val="00882AE3"/>
    <w:rsid w:val="0088355F"/>
    <w:rsid w:val="008837F1"/>
    <w:rsid w:val="00883B46"/>
    <w:rsid w:val="00883C7C"/>
    <w:rsid w:val="00884702"/>
    <w:rsid w:val="00884A21"/>
    <w:rsid w:val="00884C50"/>
    <w:rsid w:val="00885179"/>
    <w:rsid w:val="0088534A"/>
    <w:rsid w:val="00885924"/>
    <w:rsid w:val="00885AA8"/>
    <w:rsid w:val="00885AF7"/>
    <w:rsid w:val="00886E5C"/>
    <w:rsid w:val="00887193"/>
    <w:rsid w:val="008875FE"/>
    <w:rsid w:val="00887894"/>
    <w:rsid w:val="0088795C"/>
    <w:rsid w:val="00887A3C"/>
    <w:rsid w:val="008901DE"/>
    <w:rsid w:val="00890ABA"/>
    <w:rsid w:val="00890BD6"/>
    <w:rsid w:val="00891762"/>
    <w:rsid w:val="00891CFE"/>
    <w:rsid w:val="008921F8"/>
    <w:rsid w:val="008932B1"/>
    <w:rsid w:val="008934F3"/>
    <w:rsid w:val="00894178"/>
    <w:rsid w:val="00894229"/>
    <w:rsid w:val="00894FB8"/>
    <w:rsid w:val="008953A2"/>
    <w:rsid w:val="0089577A"/>
    <w:rsid w:val="00895A8A"/>
    <w:rsid w:val="00895AD8"/>
    <w:rsid w:val="00896453"/>
    <w:rsid w:val="0089693D"/>
    <w:rsid w:val="008969DE"/>
    <w:rsid w:val="00896E7B"/>
    <w:rsid w:val="00896F2B"/>
    <w:rsid w:val="008970A2"/>
    <w:rsid w:val="00897144"/>
    <w:rsid w:val="008977D8"/>
    <w:rsid w:val="008A0067"/>
    <w:rsid w:val="008A022D"/>
    <w:rsid w:val="008A09C1"/>
    <w:rsid w:val="008A100A"/>
    <w:rsid w:val="008A132F"/>
    <w:rsid w:val="008A1CE3"/>
    <w:rsid w:val="008A1F35"/>
    <w:rsid w:val="008A2104"/>
    <w:rsid w:val="008A2248"/>
    <w:rsid w:val="008A241D"/>
    <w:rsid w:val="008A3630"/>
    <w:rsid w:val="008A39DB"/>
    <w:rsid w:val="008A41F7"/>
    <w:rsid w:val="008A42AB"/>
    <w:rsid w:val="008A4358"/>
    <w:rsid w:val="008A488A"/>
    <w:rsid w:val="008A4D64"/>
    <w:rsid w:val="008A59EA"/>
    <w:rsid w:val="008A5F80"/>
    <w:rsid w:val="008A600D"/>
    <w:rsid w:val="008A61A7"/>
    <w:rsid w:val="008A7562"/>
    <w:rsid w:val="008A7A70"/>
    <w:rsid w:val="008A7B91"/>
    <w:rsid w:val="008B015B"/>
    <w:rsid w:val="008B07B6"/>
    <w:rsid w:val="008B0B4E"/>
    <w:rsid w:val="008B0CA6"/>
    <w:rsid w:val="008B11A3"/>
    <w:rsid w:val="008B15BE"/>
    <w:rsid w:val="008B162E"/>
    <w:rsid w:val="008B2804"/>
    <w:rsid w:val="008B31B8"/>
    <w:rsid w:val="008B3278"/>
    <w:rsid w:val="008B352B"/>
    <w:rsid w:val="008B3909"/>
    <w:rsid w:val="008B3EBE"/>
    <w:rsid w:val="008B48C2"/>
    <w:rsid w:val="008B4EEC"/>
    <w:rsid w:val="008B5528"/>
    <w:rsid w:val="008B5995"/>
    <w:rsid w:val="008B5C1E"/>
    <w:rsid w:val="008B5F22"/>
    <w:rsid w:val="008B5FA5"/>
    <w:rsid w:val="008B78EA"/>
    <w:rsid w:val="008B7BC1"/>
    <w:rsid w:val="008B7F6D"/>
    <w:rsid w:val="008C05A8"/>
    <w:rsid w:val="008C0632"/>
    <w:rsid w:val="008C0BC2"/>
    <w:rsid w:val="008C0EEE"/>
    <w:rsid w:val="008C13D2"/>
    <w:rsid w:val="008C16B2"/>
    <w:rsid w:val="008C1A68"/>
    <w:rsid w:val="008C1C7C"/>
    <w:rsid w:val="008C1D57"/>
    <w:rsid w:val="008C1FAB"/>
    <w:rsid w:val="008C20C1"/>
    <w:rsid w:val="008C2C5C"/>
    <w:rsid w:val="008C2D4F"/>
    <w:rsid w:val="008C305E"/>
    <w:rsid w:val="008C3202"/>
    <w:rsid w:val="008C4089"/>
    <w:rsid w:val="008C420A"/>
    <w:rsid w:val="008C4404"/>
    <w:rsid w:val="008C45D2"/>
    <w:rsid w:val="008C4935"/>
    <w:rsid w:val="008C499C"/>
    <w:rsid w:val="008C4BB5"/>
    <w:rsid w:val="008C4D03"/>
    <w:rsid w:val="008C5007"/>
    <w:rsid w:val="008C53F0"/>
    <w:rsid w:val="008C5746"/>
    <w:rsid w:val="008C5C4B"/>
    <w:rsid w:val="008C5F02"/>
    <w:rsid w:val="008C69EC"/>
    <w:rsid w:val="008C6ACD"/>
    <w:rsid w:val="008C788B"/>
    <w:rsid w:val="008C7949"/>
    <w:rsid w:val="008D1193"/>
    <w:rsid w:val="008D1333"/>
    <w:rsid w:val="008D1C17"/>
    <w:rsid w:val="008D22AF"/>
    <w:rsid w:val="008D23F7"/>
    <w:rsid w:val="008D2913"/>
    <w:rsid w:val="008D351C"/>
    <w:rsid w:val="008D3785"/>
    <w:rsid w:val="008D379B"/>
    <w:rsid w:val="008D399A"/>
    <w:rsid w:val="008D4535"/>
    <w:rsid w:val="008D4847"/>
    <w:rsid w:val="008D5C58"/>
    <w:rsid w:val="008D5DA1"/>
    <w:rsid w:val="008D6182"/>
    <w:rsid w:val="008D63AA"/>
    <w:rsid w:val="008D6E70"/>
    <w:rsid w:val="008D79CB"/>
    <w:rsid w:val="008D7A41"/>
    <w:rsid w:val="008D7AE5"/>
    <w:rsid w:val="008D7E66"/>
    <w:rsid w:val="008D7F95"/>
    <w:rsid w:val="008E0059"/>
    <w:rsid w:val="008E022A"/>
    <w:rsid w:val="008E0CF5"/>
    <w:rsid w:val="008E17B0"/>
    <w:rsid w:val="008E18C8"/>
    <w:rsid w:val="008E3324"/>
    <w:rsid w:val="008E40C6"/>
    <w:rsid w:val="008E44D1"/>
    <w:rsid w:val="008E49A9"/>
    <w:rsid w:val="008E4B0E"/>
    <w:rsid w:val="008E4B5A"/>
    <w:rsid w:val="008E5180"/>
    <w:rsid w:val="008E5501"/>
    <w:rsid w:val="008E5638"/>
    <w:rsid w:val="008E5ACD"/>
    <w:rsid w:val="008E5D33"/>
    <w:rsid w:val="008E5F0D"/>
    <w:rsid w:val="008E5F62"/>
    <w:rsid w:val="008E65C2"/>
    <w:rsid w:val="008E6BB0"/>
    <w:rsid w:val="008E6C24"/>
    <w:rsid w:val="008E6E22"/>
    <w:rsid w:val="008E6FA5"/>
    <w:rsid w:val="008E7383"/>
    <w:rsid w:val="008E76D5"/>
    <w:rsid w:val="008E79AE"/>
    <w:rsid w:val="008F0061"/>
    <w:rsid w:val="008F0DCF"/>
    <w:rsid w:val="008F1877"/>
    <w:rsid w:val="008F18DA"/>
    <w:rsid w:val="008F1929"/>
    <w:rsid w:val="008F1AC8"/>
    <w:rsid w:val="008F2539"/>
    <w:rsid w:val="008F2A01"/>
    <w:rsid w:val="008F2DFF"/>
    <w:rsid w:val="008F2ED6"/>
    <w:rsid w:val="008F2F64"/>
    <w:rsid w:val="008F32E1"/>
    <w:rsid w:val="008F367A"/>
    <w:rsid w:val="008F3747"/>
    <w:rsid w:val="008F37F4"/>
    <w:rsid w:val="008F4043"/>
    <w:rsid w:val="008F4A53"/>
    <w:rsid w:val="008F4ADF"/>
    <w:rsid w:val="008F55C5"/>
    <w:rsid w:val="008F58CF"/>
    <w:rsid w:val="008F5AA6"/>
    <w:rsid w:val="008F60FF"/>
    <w:rsid w:val="008F61AB"/>
    <w:rsid w:val="008F6565"/>
    <w:rsid w:val="008F66CE"/>
    <w:rsid w:val="008F6A01"/>
    <w:rsid w:val="008F7363"/>
    <w:rsid w:val="008F7675"/>
    <w:rsid w:val="008F7AC8"/>
    <w:rsid w:val="008F7FD2"/>
    <w:rsid w:val="00900880"/>
    <w:rsid w:val="00902CE0"/>
    <w:rsid w:val="00903140"/>
    <w:rsid w:val="0090381E"/>
    <w:rsid w:val="00904C62"/>
    <w:rsid w:val="0090500F"/>
    <w:rsid w:val="009051DE"/>
    <w:rsid w:val="0090564C"/>
    <w:rsid w:val="00905689"/>
    <w:rsid w:val="00906486"/>
    <w:rsid w:val="0090675F"/>
    <w:rsid w:val="009067DE"/>
    <w:rsid w:val="00906BBD"/>
    <w:rsid w:val="00906D92"/>
    <w:rsid w:val="00907647"/>
    <w:rsid w:val="009100C3"/>
    <w:rsid w:val="009111C2"/>
    <w:rsid w:val="009112E4"/>
    <w:rsid w:val="009112ED"/>
    <w:rsid w:val="00911553"/>
    <w:rsid w:val="00911695"/>
    <w:rsid w:val="00911DC1"/>
    <w:rsid w:val="00911DCE"/>
    <w:rsid w:val="00911EA9"/>
    <w:rsid w:val="009120C2"/>
    <w:rsid w:val="0091243D"/>
    <w:rsid w:val="0091293D"/>
    <w:rsid w:val="00912D47"/>
    <w:rsid w:val="00913271"/>
    <w:rsid w:val="00913601"/>
    <w:rsid w:val="00914052"/>
    <w:rsid w:val="00914B18"/>
    <w:rsid w:val="00914B26"/>
    <w:rsid w:val="00914C00"/>
    <w:rsid w:val="009155CE"/>
    <w:rsid w:val="009159A9"/>
    <w:rsid w:val="009163CE"/>
    <w:rsid w:val="00916626"/>
    <w:rsid w:val="00916A29"/>
    <w:rsid w:val="0091738D"/>
    <w:rsid w:val="00917D39"/>
    <w:rsid w:val="00920127"/>
    <w:rsid w:val="009201B3"/>
    <w:rsid w:val="009206C8"/>
    <w:rsid w:val="009209D7"/>
    <w:rsid w:val="00920DE1"/>
    <w:rsid w:val="009216CE"/>
    <w:rsid w:val="009226A4"/>
    <w:rsid w:val="009229FA"/>
    <w:rsid w:val="00922D32"/>
    <w:rsid w:val="009230A5"/>
    <w:rsid w:val="009234D7"/>
    <w:rsid w:val="009242CC"/>
    <w:rsid w:val="00924627"/>
    <w:rsid w:val="00924D44"/>
    <w:rsid w:val="00925259"/>
    <w:rsid w:val="00925574"/>
    <w:rsid w:val="00925970"/>
    <w:rsid w:val="00925A30"/>
    <w:rsid w:val="00925D05"/>
    <w:rsid w:val="00925E57"/>
    <w:rsid w:val="00925F5D"/>
    <w:rsid w:val="00925F64"/>
    <w:rsid w:val="00926216"/>
    <w:rsid w:val="0092647E"/>
    <w:rsid w:val="00926AC4"/>
    <w:rsid w:val="00926D0D"/>
    <w:rsid w:val="00926ED0"/>
    <w:rsid w:val="00926FC5"/>
    <w:rsid w:val="00927350"/>
    <w:rsid w:val="00927442"/>
    <w:rsid w:val="00927AFF"/>
    <w:rsid w:val="009301CD"/>
    <w:rsid w:val="0093044B"/>
    <w:rsid w:val="00930457"/>
    <w:rsid w:val="009307A2"/>
    <w:rsid w:val="00930C11"/>
    <w:rsid w:val="00930D94"/>
    <w:rsid w:val="009311CE"/>
    <w:rsid w:val="00931942"/>
    <w:rsid w:val="009321A8"/>
    <w:rsid w:val="00933687"/>
    <w:rsid w:val="0093487C"/>
    <w:rsid w:val="00934BF1"/>
    <w:rsid w:val="00934F59"/>
    <w:rsid w:val="00934FA0"/>
    <w:rsid w:val="009351FE"/>
    <w:rsid w:val="00935956"/>
    <w:rsid w:val="00936186"/>
    <w:rsid w:val="00936610"/>
    <w:rsid w:val="009367A8"/>
    <w:rsid w:val="00936D94"/>
    <w:rsid w:val="00936F31"/>
    <w:rsid w:val="009371B0"/>
    <w:rsid w:val="0093767E"/>
    <w:rsid w:val="00937688"/>
    <w:rsid w:val="00937B07"/>
    <w:rsid w:val="00937B31"/>
    <w:rsid w:val="00940386"/>
    <w:rsid w:val="009403D6"/>
    <w:rsid w:val="009404F6"/>
    <w:rsid w:val="00940EA3"/>
    <w:rsid w:val="009411BC"/>
    <w:rsid w:val="009414DB"/>
    <w:rsid w:val="00941678"/>
    <w:rsid w:val="0094242A"/>
    <w:rsid w:val="00943148"/>
    <w:rsid w:val="009437D1"/>
    <w:rsid w:val="00945344"/>
    <w:rsid w:val="00945768"/>
    <w:rsid w:val="009457C0"/>
    <w:rsid w:val="00945B54"/>
    <w:rsid w:val="00945F53"/>
    <w:rsid w:val="009462CA"/>
    <w:rsid w:val="0094659E"/>
    <w:rsid w:val="0094776D"/>
    <w:rsid w:val="009477CA"/>
    <w:rsid w:val="00947887"/>
    <w:rsid w:val="00947D66"/>
    <w:rsid w:val="00950094"/>
    <w:rsid w:val="009516AD"/>
    <w:rsid w:val="009517D4"/>
    <w:rsid w:val="00951DAE"/>
    <w:rsid w:val="0095239A"/>
    <w:rsid w:val="0095263C"/>
    <w:rsid w:val="0095270B"/>
    <w:rsid w:val="00952845"/>
    <w:rsid w:val="00953666"/>
    <w:rsid w:val="0095371D"/>
    <w:rsid w:val="00954D40"/>
    <w:rsid w:val="009550DC"/>
    <w:rsid w:val="0095518B"/>
    <w:rsid w:val="009551F9"/>
    <w:rsid w:val="00955581"/>
    <w:rsid w:val="00955AD4"/>
    <w:rsid w:val="00955B83"/>
    <w:rsid w:val="00955F74"/>
    <w:rsid w:val="009561DB"/>
    <w:rsid w:val="009569BE"/>
    <w:rsid w:val="009569EE"/>
    <w:rsid w:val="00957196"/>
    <w:rsid w:val="00957560"/>
    <w:rsid w:val="00957F28"/>
    <w:rsid w:val="00957FD7"/>
    <w:rsid w:val="009605EE"/>
    <w:rsid w:val="0096122B"/>
    <w:rsid w:val="0096151E"/>
    <w:rsid w:val="0096164C"/>
    <w:rsid w:val="009617E3"/>
    <w:rsid w:val="009618C2"/>
    <w:rsid w:val="00961D53"/>
    <w:rsid w:val="0096216A"/>
    <w:rsid w:val="00962170"/>
    <w:rsid w:val="009622A0"/>
    <w:rsid w:val="00962545"/>
    <w:rsid w:val="0096275F"/>
    <w:rsid w:val="0096316A"/>
    <w:rsid w:val="00963768"/>
    <w:rsid w:val="00963DA6"/>
    <w:rsid w:val="00963DAD"/>
    <w:rsid w:val="00964046"/>
    <w:rsid w:val="0096467A"/>
    <w:rsid w:val="00964A3C"/>
    <w:rsid w:val="00964DC6"/>
    <w:rsid w:val="00964E12"/>
    <w:rsid w:val="00965232"/>
    <w:rsid w:val="00965293"/>
    <w:rsid w:val="00965341"/>
    <w:rsid w:val="00965768"/>
    <w:rsid w:val="0096662B"/>
    <w:rsid w:val="00966B7E"/>
    <w:rsid w:val="00966C8D"/>
    <w:rsid w:val="0096715D"/>
    <w:rsid w:val="00967583"/>
    <w:rsid w:val="00967D82"/>
    <w:rsid w:val="00970B72"/>
    <w:rsid w:val="00970BF4"/>
    <w:rsid w:val="00970E5C"/>
    <w:rsid w:val="00971952"/>
    <w:rsid w:val="00971F9D"/>
    <w:rsid w:val="00971FAD"/>
    <w:rsid w:val="009722F9"/>
    <w:rsid w:val="009723D0"/>
    <w:rsid w:val="00972688"/>
    <w:rsid w:val="009726BE"/>
    <w:rsid w:val="00972D30"/>
    <w:rsid w:val="00973C3A"/>
    <w:rsid w:val="00973D65"/>
    <w:rsid w:val="00974015"/>
    <w:rsid w:val="00974046"/>
    <w:rsid w:val="0097410D"/>
    <w:rsid w:val="009749C2"/>
    <w:rsid w:val="00975862"/>
    <w:rsid w:val="009758DE"/>
    <w:rsid w:val="00975B6A"/>
    <w:rsid w:val="00975D6F"/>
    <w:rsid w:val="009761A4"/>
    <w:rsid w:val="009762BD"/>
    <w:rsid w:val="00976BDB"/>
    <w:rsid w:val="00976DB2"/>
    <w:rsid w:val="00977300"/>
    <w:rsid w:val="00977CA2"/>
    <w:rsid w:val="00980200"/>
    <w:rsid w:val="00980B29"/>
    <w:rsid w:val="00981341"/>
    <w:rsid w:val="0098151E"/>
    <w:rsid w:val="00981D76"/>
    <w:rsid w:val="00981D79"/>
    <w:rsid w:val="00981EF5"/>
    <w:rsid w:val="00981F56"/>
    <w:rsid w:val="00982D62"/>
    <w:rsid w:val="00982F91"/>
    <w:rsid w:val="00983269"/>
    <w:rsid w:val="00983DBB"/>
    <w:rsid w:val="00983EC1"/>
    <w:rsid w:val="009841A4"/>
    <w:rsid w:val="00986BF7"/>
    <w:rsid w:val="00987B60"/>
    <w:rsid w:val="00987FCD"/>
    <w:rsid w:val="0099021C"/>
    <w:rsid w:val="00990226"/>
    <w:rsid w:val="009903D7"/>
    <w:rsid w:val="0099040C"/>
    <w:rsid w:val="009905AB"/>
    <w:rsid w:val="009911D2"/>
    <w:rsid w:val="009914E4"/>
    <w:rsid w:val="00991792"/>
    <w:rsid w:val="009917AB"/>
    <w:rsid w:val="00991B6C"/>
    <w:rsid w:val="00991C6B"/>
    <w:rsid w:val="00992B44"/>
    <w:rsid w:val="00992D40"/>
    <w:rsid w:val="00993A76"/>
    <w:rsid w:val="00994030"/>
    <w:rsid w:val="00994186"/>
    <w:rsid w:val="0099469B"/>
    <w:rsid w:val="009946EF"/>
    <w:rsid w:val="00994BD6"/>
    <w:rsid w:val="00994FF8"/>
    <w:rsid w:val="00995156"/>
    <w:rsid w:val="00995BF9"/>
    <w:rsid w:val="00995E5E"/>
    <w:rsid w:val="00995E90"/>
    <w:rsid w:val="00995ECD"/>
    <w:rsid w:val="00996075"/>
    <w:rsid w:val="0099648B"/>
    <w:rsid w:val="00996711"/>
    <w:rsid w:val="00997013"/>
    <w:rsid w:val="00997917"/>
    <w:rsid w:val="00997B0A"/>
    <w:rsid w:val="00997EBE"/>
    <w:rsid w:val="009A06BE"/>
    <w:rsid w:val="009A0B1C"/>
    <w:rsid w:val="009A0DEA"/>
    <w:rsid w:val="009A18CD"/>
    <w:rsid w:val="009A1F29"/>
    <w:rsid w:val="009A200E"/>
    <w:rsid w:val="009A20B2"/>
    <w:rsid w:val="009A3A69"/>
    <w:rsid w:val="009A3F58"/>
    <w:rsid w:val="009A4329"/>
    <w:rsid w:val="009A468D"/>
    <w:rsid w:val="009A4D67"/>
    <w:rsid w:val="009A5A54"/>
    <w:rsid w:val="009A5B4F"/>
    <w:rsid w:val="009A5F21"/>
    <w:rsid w:val="009A6F26"/>
    <w:rsid w:val="009A76D6"/>
    <w:rsid w:val="009A799A"/>
    <w:rsid w:val="009A79E7"/>
    <w:rsid w:val="009A7C7F"/>
    <w:rsid w:val="009B09C5"/>
    <w:rsid w:val="009B0A8D"/>
    <w:rsid w:val="009B16BE"/>
    <w:rsid w:val="009B179C"/>
    <w:rsid w:val="009B18DC"/>
    <w:rsid w:val="009B19A6"/>
    <w:rsid w:val="009B1ADF"/>
    <w:rsid w:val="009B1BA9"/>
    <w:rsid w:val="009B1FD5"/>
    <w:rsid w:val="009B2588"/>
    <w:rsid w:val="009B298E"/>
    <w:rsid w:val="009B393E"/>
    <w:rsid w:val="009B3B32"/>
    <w:rsid w:val="009B3BC2"/>
    <w:rsid w:val="009B3E30"/>
    <w:rsid w:val="009B4023"/>
    <w:rsid w:val="009B4C36"/>
    <w:rsid w:val="009B4DB4"/>
    <w:rsid w:val="009B537F"/>
    <w:rsid w:val="009B55E2"/>
    <w:rsid w:val="009B5C02"/>
    <w:rsid w:val="009B6367"/>
    <w:rsid w:val="009B65F3"/>
    <w:rsid w:val="009B6718"/>
    <w:rsid w:val="009B6844"/>
    <w:rsid w:val="009B6896"/>
    <w:rsid w:val="009C0441"/>
    <w:rsid w:val="009C0A91"/>
    <w:rsid w:val="009C0B5A"/>
    <w:rsid w:val="009C1092"/>
    <w:rsid w:val="009C11FF"/>
    <w:rsid w:val="009C13DB"/>
    <w:rsid w:val="009C18B1"/>
    <w:rsid w:val="009C1A55"/>
    <w:rsid w:val="009C24EB"/>
    <w:rsid w:val="009C2EFA"/>
    <w:rsid w:val="009C3211"/>
    <w:rsid w:val="009C321D"/>
    <w:rsid w:val="009C35D2"/>
    <w:rsid w:val="009C38F3"/>
    <w:rsid w:val="009C3E45"/>
    <w:rsid w:val="009C426F"/>
    <w:rsid w:val="009C457F"/>
    <w:rsid w:val="009C4904"/>
    <w:rsid w:val="009C4BB8"/>
    <w:rsid w:val="009C4C53"/>
    <w:rsid w:val="009C4D9A"/>
    <w:rsid w:val="009C4DCB"/>
    <w:rsid w:val="009C5050"/>
    <w:rsid w:val="009C56F2"/>
    <w:rsid w:val="009C5C6E"/>
    <w:rsid w:val="009C62A4"/>
    <w:rsid w:val="009C6546"/>
    <w:rsid w:val="009C65D6"/>
    <w:rsid w:val="009C6FA5"/>
    <w:rsid w:val="009C7858"/>
    <w:rsid w:val="009C78B1"/>
    <w:rsid w:val="009C78BD"/>
    <w:rsid w:val="009C79BE"/>
    <w:rsid w:val="009C7AA7"/>
    <w:rsid w:val="009C7C98"/>
    <w:rsid w:val="009C7E3B"/>
    <w:rsid w:val="009D02AE"/>
    <w:rsid w:val="009D07FE"/>
    <w:rsid w:val="009D0A47"/>
    <w:rsid w:val="009D0C70"/>
    <w:rsid w:val="009D1060"/>
    <w:rsid w:val="009D2302"/>
    <w:rsid w:val="009D2D7F"/>
    <w:rsid w:val="009D31E0"/>
    <w:rsid w:val="009D5483"/>
    <w:rsid w:val="009D5555"/>
    <w:rsid w:val="009D5AB3"/>
    <w:rsid w:val="009D612C"/>
    <w:rsid w:val="009D638E"/>
    <w:rsid w:val="009D673A"/>
    <w:rsid w:val="009D6CA6"/>
    <w:rsid w:val="009E0259"/>
    <w:rsid w:val="009E0347"/>
    <w:rsid w:val="009E0561"/>
    <w:rsid w:val="009E057F"/>
    <w:rsid w:val="009E062A"/>
    <w:rsid w:val="009E0C81"/>
    <w:rsid w:val="009E0EEF"/>
    <w:rsid w:val="009E1A69"/>
    <w:rsid w:val="009E1D6F"/>
    <w:rsid w:val="009E1DB0"/>
    <w:rsid w:val="009E2269"/>
    <w:rsid w:val="009E22B9"/>
    <w:rsid w:val="009E2CE2"/>
    <w:rsid w:val="009E3E79"/>
    <w:rsid w:val="009E484E"/>
    <w:rsid w:val="009E4CA5"/>
    <w:rsid w:val="009E4CBE"/>
    <w:rsid w:val="009E4E5E"/>
    <w:rsid w:val="009E5220"/>
    <w:rsid w:val="009E5538"/>
    <w:rsid w:val="009E579F"/>
    <w:rsid w:val="009E589A"/>
    <w:rsid w:val="009E5D4D"/>
    <w:rsid w:val="009E5D7C"/>
    <w:rsid w:val="009E71B8"/>
    <w:rsid w:val="009E7543"/>
    <w:rsid w:val="009E7733"/>
    <w:rsid w:val="009E78DE"/>
    <w:rsid w:val="009E7999"/>
    <w:rsid w:val="009E79F9"/>
    <w:rsid w:val="009E7D20"/>
    <w:rsid w:val="009E7D48"/>
    <w:rsid w:val="009E7E37"/>
    <w:rsid w:val="009F052D"/>
    <w:rsid w:val="009F0602"/>
    <w:rsid w:val="009F0B65"/>
    <w:rsid w:val="009F0D42"/>
    <w:rsid w:val="009F1279"/>
    <w:rsid w:val="009F1475"/>
    <w:rsid w:val="009F1BFE"/>
    <w:rsid w:val="009F1CB7"/>
    <w:rsid w:val="009F21D3"/>
    <w:rsid w:val="009F2916"/>
    <w:rsid w:val="009F4745"/>
    <w:rsid w:val="009F48CA"/>
    <w:rsid w:val="009F4F0A"/>
    <w:rsid w:val="009F4FC3"/>
    <w:rsid w:val="009F54BC"/>
    <w:rsid w:val="009F55A9"/>
    <w:rsid w:val="009F585A"/>
    <w:rsid w:val="009F5B4D"/>
    <w:rsid w:val="009F6759"/>
    <w:rsid w:val="009F6778"/>
    <w:rsid w:val="009F6BCC"/>
    <w:rsid w:val="009F6C7F"/>
    <w:rsid w:val="009F764B"/>
    <w:rsid w:val="00A000BB"/>
    <w:rsid w:val="00A00214"/>
    <w:rsid w:val="00A002D4"/>
    <w:rsid w:val="00A003A8"/>
    <w:rsid w:val="00A00E8B"/>
    <w:rsid w:val="00A01C06"/>
    <w:rsid w:val="00A01C2E"/>
    <w:rsid w:val="00A01F89"/>
    <w:rsid w:val="00A0203D"/>
    <w:rsid w:val="00A022BF"/>
    <w:rsid w:val="00A023D1"/>
    <w:rsid w:val="00A02A1B"/>
    <w:rsid w:val="00A02C2D"/>
    <w:rsid w:val="00A02DDB"/>
    <w:rsid w:val="00A02ECD"/>
    <w:rsid w:val="00A02FD8"/>
    <w:rsid w:val="00A0370C"/>
    <w:rsid w:val="00A03A2A"/>
    <w:rsid w:val="00A04186"/>
    <w:rsid w:val="00A0425F"/>
    <w:rsid w:val="00A04F15"/>
    <w:rsid w:val="00A0510D"/>
    <w:rsid w:val="00A05583"/>
    <w:rsid w:val="00A05953"/>
    <w:rsid w:val="00A060B1"/>
    <w:rsid w:val="00A06696"/>
    <w:rsid w:val="00A067E0"/>
    <w:rsid w:val="00A06B54"/>
    <w:rsid w:val="00A06C66"/>
    <w:rsid w:val="00A06DC2"/>
    <w:rsid w:val="00A074CF"/>
    <w:rsid w:val="00A075A0"/>
    <w:rsid w:val="00A0768A"/>
    <w:rsid w:val="00A07E1F"/>
    <w:rsid w:val="00A107A1"/>
    <w:rsid w:val="00A10F13"/>
    <w:rsid w:val="00A1105F"/>
    <w:rsid w:val="00A1138B"/>
    <w:rsid w:val="00A11419"/>
    <w:rsid w:val="00A115E5"/>
    <w:rsid w:val="00A11BB7"/>
    <w:rsid w:val="00A121E0"/>
    <w:rsid w:val="00A124D0"/>
    <w:rsid w:val="00A125B6"/>
    <w:rsid w:val="00A12D04"/>
    <w:rsid w:val="00A12DAC"/>
    <w:rsid w:val="00A1370E"/>
    <w:rsid w:val="00A13E04"/>
    <w:rsid w:val="00A141EB"/>
    <w:rsid w:val="00A1426F"/>
    <w:rsid w:val="00A1436B"/>
    <w:rsid w:val="00A1444B"/>
    <w:rsid w:val="00A1555D"/>
    <w:rsid w:val="00A16192"/>
    <w:rsid w:val="00A16595"/>
    <w:rsid w:val="00A166A8"/>
    <w:rsid w:val="00A16A45"/>
    <w:rsid w:val="00A16B43"/>
    <w:rsid w:val="00A171AD"/>
    <w:rsid w:val="00A172C0"/>
    <w:rsid w:val="00A17397"/>
    <w:rsid w:val="00A176DE"/>
    <w:rsid w:val="00A17CC8"/>
    <w:rsid w:val="00A20D90"/>
    <w:rsid w:val="00A20DBD"/>
    <w:rsid w:val="00A216B5"/>
    <w:rsid w:val="00A22391"/>
    <w:rsid w:val="00A22743"/>
    <w:rsid w:val="00A22C7A"/>
    <w:rsid w:val="00A23074"/>
    <w:rsid w:val="00A237BA"/>
    <w:rsid w:val="00A2388B"/>
    <w:rsid w:val="00A24194"/>
    <w:rsid w:val="00A24520"/>
    <w:rsid w:val="00A249C9"/>
    <w:rsid w:val="00A24D06"/>
    <w:rsid w:val="00A252DA"/>
    <w:rsid w:val="00A254DD"/>
    <w:rsid w:val="00A25585"/>
    <w:rsid w:val="00A2661C"/>
    <w:rsid w:val="00A2695B"/>
    <w:rsid w:val="00A269C8"/>
    <w:rsid w:val="00A26B16"/>
    <w:rsid w:val="00A2712B"/>
    <w:rsid w:val="00A274A2"/>
    <w:rsid w:val="00A27605"/>
    <w:rsid w:val="00A27650"/>
    <w:rsid w:val="00A27D35"/>
    <w:rsid w:val="00A30652"/>
    <w:rsid w:val="00A3069F"/>
    <w:rsid w:val="00A30991"/>
    <w:rsid w:val="00A30AB8"/>
    <w:rsid w:val="00A30ABB"/>
    <w:rsid w:val="00A30BFC"/>
    <w:rsid w:val="00A317A2"/>
    <w:rsid w:val="00A323D3"/>
    <w:rsid w:val="00A325DB"/>
    <w:rsid w:val="00A327A0"/>
    <w:rsid w:val="00A32E99"/>
    <w:rsid w:val="00A33956"/>
    <w:rsid w:val="00A33F74"/>
    <w:rsid w:val="00A34A6C"/>
    <w:rsid w:val="00A34FAC"/>
    <w:rsid w:val="00A350EB"/>
    <w:rsid w:val="00A3514D"/>
    <w:rsid w:val="00A35E7C"/>
    <w:rsid w:val="00A364FB"/>
    <w:rsid w:val="00A366AF"/>
    <w:rsid w:val="00A36758"/>
    <w:rsid w:val="00A36CEA"/>
    <w:rsid w:val="00A37251"/>
    <w:rsid w:val="00A375B4"/>
    <w:rsid w:val="00A377D3"/>
    <w:rsid w:val="00A40546"/>
    <w:rsid w:val="00A40B40"/>
    <w:rsid w:val="00A41B1B"/>
    <w:rsid w:val="00A41C31"/>
    <w:rsid w:val="00A41C51"/>
    <w:rsid w:val="00A42162"/>
    <w:rsid w:val="00A424BD"/>
    <w:rsid w:val="00A42C6B"/>
    <w:rsid w:val="00A42D02"/>
    <w:rsid w:val="00A42FBF"/>
    <w:rsid w:val="00A439A9"/>
    <w:rsid w:val="00A43CF5"/>
    <w:rsid w:val="00A43DA9"/>
    <w:rsid w:val="00A44120"/>
    <w:rsid w:val="00A4558B"/>
    <w:rsid w:val="00A455A7"/>
    <w:rsid w:val="00A459DB"/>
    <w:rsid w:val="00A45F1D"/>
    <w:rsid w:val="00A472AD"/>
    <w:rsid w:val="00A47384"/>
    <w:rsid w:val="00A47CA0"/>
    <w:rsid w:val="00A5052D"/>
    <w:rsid w:val="00A50F81"/>
    <w:rsid w:val="00A5115F"/>
    <w:rsid w:val="00A51FB7"/>
    <w:rsid w:val="00A521C1"/>
    <w:rsid w:val="00A528B5"/>
    <w:rsid w:val="00A52BBE"/>
    <w:rsid w:val="00A5304E"/>
    <w:rsid w:val="00A53668"/>
    <w:rsid w:val="00A53BB2"/>
    <w:rsid w:val="00A53D23"/>
    <w:rsid w:val="00A53D25"/>
    <w:rsid w:val="00A5442E"/>
    <w:rsid w:val="00A54957"/>
    <w:rsid w:val="00A54FD5"/>
    <w:rsid w:val="00A554A5"/>
    <w:rsid w:val="00A55A3C"/>
    <w:rsid w:val="00A55A89"/>
    <w:rsid w:val="00A55B5D"/>
    <w:rsid w:val="00A55B77"/>
    <w:rsid w:val="00A55C2A"/>
    <w:rsid w:val="00A55C5D"/>
    <w:rsid w:val="00A56255"/>
    <w:rsid w:val="00A56614"/>
    <w:rsid w:val="00A56F17"/>
    <w:rsid w:val="00A579FF"/>
    <w:rsid w:val="00A57BB5"/>
    <w:rsid w:val="00A604B0"/>
    <w:rsid w:val="00A607B1"/>
    <w:rsid w:val="00A60976"/>
    <w:rsid w:val="00A60C76"/>
    <w:rsid w:val="00A60FE8"/>
    <w:rsid w:val="00A619F0"/>
    <w:rsid w:val="00A61D9E"/>
    <w:rsid w:val="00A623EC"/>
    <w:rsid w:val="00A625AD"/>
    <w:rsid w:val="00A625BC"/>
    <w:rsid w:val="00A62F24"/>
    <w:rsid w:val="00A63258"/>
    <w:rsid w:val="00A63FD2"/>
    <w:rsid w:val="00A647E9"/>
    <w:rsid w:val="00A64865"/>
    <w:rsid w:val="00A64D40"/>
    <w:rsid w:val="00A6519A"/>
    <w:rsid w:val="00A651B6"/>
    <w:rsid w:val="00A659C8"/>
    <w:rsid w:val="00A65A03"/>
    <w:rsid w:val="00A66135"/>
    <w:rsid w:val="00A666A2"/>
    <w:rsid w:val="00A6702C"/>
    <w:rsid w:val="00A6717D"/>
    <w:rsid w:val="00A677F3"/>
    <w:rsid w:val="00A67A8B"/>
    <w:rsid w:val="00A67C49"/>
    <w:rsid w:val="00A71101"/>
    <w:rsid w:val="00A7113E"/>
    <w:rsid w:val="00A714E6"/>
    <w:rsid w:val="00A71948"/>
    <w:rsid w:val="00A71977"/>
    <w:rsid w:val="00A71C1F"/>
    <w:rsid w:val="00A71E23"/>
    <w:rsid w:val="00A72AF0"/>
    <w:rsid w:val="00A7352B"/>
    <w:rsid w:val="00A73586"/>
    <w:rsid w:val="00A736FF"/>
    <w:rsid w:val="00A73C42"/>
    <w:rsid w:val="00A73F44"/>
    <w:rsid w:val="00A749C1"/>
    <w:rsid w:val="00A749C4"/>
    <w:rsid w:val="00A74F77"/>
    <w:rsid w:val="00A75614"/>
    <w:rsid w:val="00A75655"/>
    <w:rsid w:val="00A75916"/>
    <w:rsid w:val="00A75CAB"/>
    <w:rsid w:val="00A75EB2"/>
    <w:rsid w:val="00A76730"/>
    <w:rsid w:val="00A76D2D"/>
    <w:rsid w:val="00A76DC2"/>
    <w:rsid w:val="00A76FDC"/>
    <w:rsid w:val="00A7711C"/>
    <w:rsid w:val="00A771E6"/>
    <w:rsid w:val="00A77248"/>
    <w:rsid w:val="00A773B5"/>
    <w:rsid w:val="00A774E3"/>
    <w:rsid w:val="00A77802"/>
    <w:rsid w:val="00A77AD9"/>
    <w:rsid w:val="00A77E8F"/>
    <w:rsid w:val="00A800DF"/>
    <w:rsid w:val="00A800EF"/>
    <w:rsid w:val="00A808A4"/>
    <w:rsid w:val="00A8268E"/>
    <w:rsid w:val="00A835D3"/>
    <w:rsid w:val="00A83692"/>
    <w:rsid w:val="00A837CF"/>
    <w:rsid w:val="00A83846"/>
    <w:rsid w:val="00A83A46"/>
    <w:rsid w:val="00A83AB1"/>
    <w:rsid w:val="00A845C6"/>
    <w:rsid w:val="00A8491B"/>
    <w:rsid w:val="00A84B6A"/>
    <w:rsid w:val="00A84D71"/>
    <w:rsid w:val="00A84F75"/>
    <w:rsid w:val="00A85C09"/>
    <w:rsid w:val="00A86604"/>
    <w:rsid w:val="00A86E5D"/>
    <w:rsid w:val="00A86EA2"/>
    <w:rsid w:val="00A87073"/>
    <w:rsid w:val="00A87409"/>
    <w:rsid w:val="00A8740A"/>
    <w:rsid w:val="00A8756C"/>
    <w:rsid w:val="00A875DE"/>
    <w:rsid w:val="00A87D00"/>
    <w:rsid w:val="00A87FC0"/>
    <w:rsid w:val="00A906C2"/>
    <w:rsid w:val="00A9079F"/>
    <w:rsid w:val="00A9081A"/>
    <w:rsid w:val="00A90A8A"/>
    <w:rsid w:val="00A90C9F"/>
    <w:rsid w:val="00A90F81"/>
    <w:rsid w:val="00A9110E"/>
    <w:rsid w:val="00A91CA6"/>
    <w:rsid w:val="00A91D72"/>
    <w:rsid w:val="00A9228B"/>
    <w:rsid w:val="00A92965"/>
    <w:rsid w:val="00A92CA0"/>
    <w:rsid w:val="00A93953"/>
    <w:rsid w:val="00A93E15"/>
    <w:rsid w:val="00A9568C"/>
    <w:rsid w:val="00A95A0B"/>
    <w:rsid w:val="00A95B30"/>
    <w:rsid w:val="00A95E14"/>
    <w:rsid w:val="00A95FC4"/>
    <w:rsid w:val="00A962D8"/>
    <w:rsid w:val="00A963E4"/>
    <w:rsid w:val="00A96E14"/>
    <w:rsid w:val="00A96E94"/>
    <w:rsid w:val="00A96FF3"/>
    <w:rsid w:val="00A97F3D"/>
    <w:rsid w:val="00A97F8B"/>
    <w:rsid w:val="00AA0109"/>
    <w:rsid w:val="00AA054C"/>
    <w:rsid w:val="00AA0586"/>
    <w:rsid w:val="00AA1106"/>
    <w:rsid w:val="00AA1626"/>
    <w:rsid w:val="00AA1924"/>
    <w:rsid w:val="00AA1928"/>
    <w:rsid w:val="00AA1B3E"/>
    <w:rsid w:val="00AA23A3"/>
    <w:rsid w:val="00AA253D"/>
    <w:rsid w:val="00AA3130"/>
    <w:rsid w:val="00AA34D0"/>
    <w:rsid w:val="00AA3A4C"/>
    <w:rsid w:val="00AA3B99"/>
    <w:rsid w:val="00AA3FAF"/>
    <w:rsid w:val="00AA4425"/>
    <w:rsid w:val="00AA470F"/>
    <w:rsid w:val="00AA4BD1"/>
    <w:rsid w:val="00AA59C0"/>
    <w:rsid w:val="00AA5A3F"/>
    <w:rsid w:val="00AA5F33"/>
    <w:rsid w:val="00AA6133"/>
    <w:rsid w:val="00AA61BF"/>
    <w:rsid w:val="00AA62A7"/>
    <w:rsid w:val="00AA64B2"/>
    <w:rsid w:val="00AA6B61"/>
    <w:rsid w:val="00AA74EC"/>
    <w:rsid w:val="00AA7761"/>
    <w:rsid w:val="00AA7834"/>
    <w:rsid w:val="00AA788C"/>
    <w:rsid w:val="00AA7C8B"/>
    <w:rsid w:val="00AA7EFB"/>
    <w:rsid w:val="00AB042A"/>
    <w:rsid w:val="00AB0F54"/>
    <w:rsid w:val="00AB0FF0"/>
    <w:rsid w:val="00AB19C4"/>
    <w:rsid w:val="00AB1A5F"/>
    <w:rsid w:val="00AB1B9D"/>
    <w:rsid w:val="00AB2F9E"/>
    <w:rsid w:val="00AB395B"/>
    <w:rsid w:val="00AB3A3F"/>
    <w:rsid w:val="00AB3F07"/>
    <w:rsid w:val="00AB40AD"/>
    <w:rsid w:val="00AB43C5"/>
    <w:rsid w:val="00AB46DE"/>
    <w:rsid w:val="00AB4792"/>
    <w:rsid w:val="00AB4D48"/>
    <w:rsid w:val="00AB4EA9"/>
    <w:rsid w:val="00AB5638"/>
    <w:rsid w:val="00AB5786"/>
    <w:rsid w:val="00AB57D0"/>
    <w:rsid w:val="00AB5E55"/>
    <w:rsid w:val="00AB6451"/>
    <w:rsid w:val="00AB6AFC"/>
    <w:rsid w:val="00AB6EC0"/>
    <w:rsid w:val="00AB766A"/>
    <w:rsid w:val="00AB7F4A"/>
    <w:rsid w:val="00AC02E8"/>
    <w:rsid w:val="00AC03AC"/>
    <w:rsid w:val="00AC0426"/>
    <w:rsid w:val="00AC04D1"/>
    <w:rsid w:val="00AC0D6F"/>
    <w:rsid w:val="00AC0E2A"/>
    <w:rsid w:val="00AC12BF"/>
    <w:rsid w:val="00AC163F"/>
    <w:rsid w:val="00AC19B7"/>
    <w:rsid w:val="00AC1C63"/>
    <w:rsid w:val="00AC2022"/>
    <w:rsid w:val="00AC213C"/>
    <w:rsid w:val="00AC2362"/>
    <w:rsid w:val="00AC2A46"/>
    <w:rsid w:val="00AC2D47"/>
    <w:rsid w:val="00AC3486"/>
    <w:rsid w:val="00AC3D2C"/>
    <w:rsid w:val="00AC430B"/>
    <w:rsid w:val="00AC454C"/>
    <w:rsid w:val="00AC4823"/>
    <w:rsid w:val="00AC5413"/>
    <w:rsid w:val="00AC5547"/>
    <w:rsid w:val="00AC5745"/>
    <w:rsid w:val="00AC5AFF"/>
    <w:rsid w:val="00AC5C62"/>
    <w:rsid w:val="00AC624B"/>
    <w:rsid w:val="00AC64C7"/>
    <w:rsid w:val="00AC6BF6"/>
    <w:rsid w:val="00AC7046"/>
    <w:rsid w:val="00AC7675"/>
    <w:rsid w:val="00AC77FB"/>
    <w:rsid w:val="00AC79CA"/>
    <w:rsid w:val="00AC7A95"/>
    <w:rsid w:val="00AC7C25"/>
    <w:rsid w:val="00AC7F78"/>
    <w:rsid w:val="00AD09D5"/>
    <w:rsid w:val="00AD09FB"/>
    <w:rsid w:val="00AD0D65"/>
    <w:rsid w:val="00AD1269"/>
    <w:rsid w:val="00AD1366"/>
    <w:rsid w:val="00AD22F3"/>
    <w:rsid w:val="00AD2A4D"/>
    <w:rsid w:val="00AD39A0"/>
    <w:rsid w:val="00AD3BB6"/>
    <w:rsid w:val="00AD3C97"/>
    <w:rsid w:val="00AD3ED4"/>
    <w:rsid w:val="00AD47A4"/>
    <w:rsid w:val="00AD4E6B"/>
    <w:rsid w:val="00AD4E98"/>
    <w:rsid w:val="00AD519B"/>
    <w:rsid w:val="00AD545E"/>
    <w:rsid w:val="00AD5657"/>
    <w:rsid w:val="00AD5BF9"/>
    <w:rsid w:val="00AD5D61"/>
    <w:rsid w:val="00AD5DF8"/>
    <w:rsid w:val="00AD5EDA"/>
    <w:rsid w:val="00AD66B0"/>
    <w:rsid w:val="00AD7536"/>
    <w:rsid w:val="00AD7996"/>
    <w:rsid w:val="00AD7FEA"/>
    <w:rsid w:val="00AE0A09"/>
    <w:rsid w:val="00AE0E6C"/>
    <w:rsid w:val="00AE1692"/>
    <w:rsid w:val="00AE19F0"/>
    <w:rsid w:val="00AE30FC"/>
    <w:rsid w:val="00AE3145"/>
    <w:rsid w:val="00AE3AAB"/>
    <w:rsid w:val="00AE3BA9"/>
    <w:rsid w:val="00AE3C64"/>
    <w:rsid w:val="00AE488A"/>
    <w:rsid w:val="00AE4BC2"/>
    <w:rsid w:val="00AE532F"/>
    <w:rsid w:val="00AE5394"/>
    <w:rsid w:val="00AE557D"/>
    <w:rsid w:val="00AE55B7"/>
    <w:rsid w:val="00AE56F1"/>
    <w:rsid w:val="00AE5A41"/>
    <w:rsid w:val="00AE5BC3"/>
    <w:rsid w:val="00AE601D"/>
    <w:rsid w:val="00AE60F7"/>
    <w:rsid w:val="00AE6498"/>
    <w:rsid w:val="00AE6BB4"/>
    <w:rsid w:val="00AE758A"/>
    <w:rsid w:val="00AE7937"/>
    <w:rsid w:val="00AE7B5C"/>
    <w:rsid w:val="00AF11F7"/>
    <w:rsid w:val="00AF13D5"/>
    <w:rsid w:val="00AF1DA5"/>
    <w:rsid w:val="00AF1E22"/>
    <w:rsid w:val="00AF1EC3"/>
    <w:rsid w:val="00AF2D07"/>
    <w:rsid w:val="00AF3171"/>
    <w:rsid w:val="00AF3AD0"/>
    <w:rsid w:val="00AF417D"/>
    <w:rsid w:val="00AF4366"/>
    <w:rsid w:val="00AF43FA"/>
    <w:rsid w:val="00AF4DDB"/>
    <w:rsid w:val="00AF55C7"/>
    <w:rsid w:val="00AF5CF3"/>
    <w:rsid w:val="00AF6A5B"/>
    <w:rsid w:val="00AF725C"/>
    <w:rsid w:val="00AF7550"/>
    <w:rsid w:val="00AF7C82"/>
    <w:rsid w:val="00AF7E1A"/>
    <w:rsid w:val="00AF7F5F"/>
    <w:rsid w:val="00B00270"/>
    <w:rsid w:val="00B019A1"/>
    <w:rsid w:val="00B01F70"/>
    <w:rsid w:val="00B02230"/>
    <w:rsid w:val="00B023FD"/>
    <w:rsid w:val="00B02528"/>
    <w:rsid w:val="00B0295F"/>
    <w:rsid w:val="00B02F4C"/>
    <w:rsid w:val="00B03066"/>
    <w:rsid w:val="00B03C69"/>
    <w:rsid w:val="00B03FA5"/>
    <w:rsid w:val="00B04019"/>
    <w:rsid w:val="00B047D7"/>
    <w:rsid w:val="00B04E1A"/>
    <w:rsid w:val="00B057B4"/>
    <w:rsid w:val="00B05E25"/>
    <w:rsid w:val="00B05FBD"/>
    <w:rsid w:val="00B060B1"/>
    <w:rsid w:val="00B062DD"/>
    <w:rsid w:val="00B063B4"/>
    <w:rsid w:val="00B06851"/>
    <w:rsid w:val="00B068D7"/>
    <w:rsid w:val="00B06EC0"/>
    <w:rsid w:val="00B0713C"/>
    <w:rsid w:val="00B0767E"/>
    <w:rsid w:val="00B076F0"/>
    <w:rsid w:val="00B07C2E"/>
    <w:rsid w:val="00B10772"/>
    <w:rsid w:val="00B110CA"/>
    <w:rsid w:val="00B11212"/>
    <w:rsid w:val="00B11B25"/>
    <w:rsid w:val="00B11BBF"/>
    <w:rsid w:val="00B11D2D"/>
    <w:rsid w:val="00B1203A"/>
    <w:rsid w:val="00B12286"/>
    <w:rsid w:val="00B12307"/>
    <w:rsid w:val="00B1250E"/>
    <w:rsid w:val="00B129B4"/>
    <w:rsid w:val="00B12F69"/>
    <w:rsid w:val="00B12F7F"/>
    <w:rsid w:val="00B12FB1"/>
    <w:rsid w:val="00B13234"/>
    <w:rsid w:val="00B13A5A"/>
    <w:rsid w:val="00B13D1C"/>
    <w:rsid w:val="00B13D56"/>
    <w:rsid w:val="00B1437B"/>
    <w:rsid w:val="00B14826"/>
    <w:rsid w:val="00B14AF3"/>
    <w:rsid w:val="00B14C86"/>
    <w:rsid w:val="00B14DA0"/>
    <w:rsid w:val="00B152DA"/>
    <w:rsid w:val="00B156B4"/>
    <w:rsid w:val="00B16204"/>
    <w:rsid w:val="00B1664F"/>
    <w:rsid w:val="00B16666"/>
    <w:rsid w:val="00B17011"/>
    <w:rsid w:val="00B173A5"/>
    <w:rsid w:val="00B17C3C"/>
    <w:rsid w:val="00B205ED"/>
    <w:rsid w:val="00B208D1"/>
    <w:rsid w:val="00B20F4A"/>
    <w:rsid w:val="00B21279"/>
    <w:rsid w:val="00B21524"/>
    <w:rsid w:val="00B217D7"/>
    <w:rsid w:val="00B22087"/>
    <w:rsid w:val="00B2258B"/>
    <w:rsid w:val="00B2260E"/>
    <w:rsid w:val="00B229D9"/>
    <w:rsid w:val="00B22B35"/>
    <w:rsid w:val="00B22C36"/>
    <w:rsid w:val="00B23AEE"/>
    <w:rsid w:val="00B23CF4"/>
    <w:rsid w:val="00B23E0B"/>
    <w:rsid w:val="00B23E5F"/>
    <w:rsid w:val="00B23F1E"/>
    <w:rsid w:val="00B24372"/>
    <w:rsid w:val="00B2474C"/>
    <w:rsid w:val="00B2480B"/>
    <w:rsid w:val="00B24BC2"/>
    <w:rsid w:val="00B24CC0"/>
    <w:rsid w:val="00B24FB6"/>
    <w:rsid w:val="00B259F5"/>
    <w:rsid w:val="00B26206"/>
    <w:rsid w:val="00B262AA"/>
    <w:rsid w:val="00B263E1"/>
    <w:rsid w:val="00B2667D"/>
    <w:rsid w:val="00B26BA1"/>
    <w:rsid w:val="00B27E55"/>
    <w:rsid w:val="00B30561"/>
    <w:rsid w:val="00B3067D"/>
    <w:rsid w:val="00B30A6F"/>
    <w:rsid w:val="00B30C68"/>
    <w:rsid w:val="00B312FA"/>
    <w:rsid w:val="00B31C38"/>
    <w:rsid w:val="00B320ED"/>
    <w:rsid w:val="00B32380"/>
    <w:rsid w:val="00B32448"/>
    <w:rsid w:val="00B3292E"/>
    <w:rsid w:val="00B32BAA"/>
    <w:rsid w:val="00B32EB0"/>
    <w:rsid w:val="00B331A6"/>
    <w:rsid w:val="00B335D7"/>
    <w:rsid w:val="00B33C08"/>
    <w:rsid w:val="00B33CBA"/>
    <w:rsid w:val="00B34EEA"/>
    <w:rsid w:val="00B35073"/>
    <w:rsid w:val="00B35520"/>
    <w:rsid w:val="00B35BC2"/>
    <w:rsid w:val="00B361B3"/>
    <w:rsid w:val="00B36669"/>
    <w:rsid w:val="00B370D3"/>
    <w:rsid w:val="00B3743E"/>
    <w:rsid w:val="00B37F85"/>
    <w:rsid w:val="00B400D2"/>
    <w:rsid w:val="00B400E8"/>
    <w:rsid w:val="00B40255"/>
    <w:rsid w:val="00B4066D"/>
    <w:rsid w:val="00B4184A"/>
    <w:rsid w:val="00B41B89"/>
    <w:rsid w:val="00B41F3E"/>
    <w:rsid w:val="00B431F3"/>
    <w:rsid w:val="00B433EB"/>
    <w:rsid w:val="00B43CD0"/>
    <w:rsid w:val="00B43D0D"/>
    <w:rsid w:val="00B43EA0"/>
    <w:rsid w:val="00B445BC"/>
    <w:rsid w:val="00B45C3C"/>
    <w:rsid w:val="00B45FA1"/>
    <w:rsid w:val="00B4610E"/>
    <w:rsid w:val="00B461D8"/>
    <w:rsid w:val="00B4624C"/>
    <w:rsid w:val="00B4718A"/>
    <w:rsid w:val="00B47431"/>
    <w:rsid w:val="00B47727"/>
    <w:rsid w:val="00B47968"/>
    <w:rsid w:val="00B479E3"/>
    <w:rsid w:val="00B47BF6"/>
    <w:rsid w:val="00B47ED7"/>
    <w:rsid w:val="00B502D8"/>
    <w:rsid w:val="00B50605"/>
    <w:rsid w:val="00B5078B"/>
    <w:rsid w:val="00B50D6D"/>
    <w:rsid w:val="00B51416"/>
    <w:rsid w:val="00B514CE"/>
    <w:rsid w:val="00B5186A"/>
    <w:rsid w:val="00B5229B"/>
    <w:rsid w:val="00B527CA"/>
    <w:rsid w:val="00B52A57"/>
    <w:rsid w:val="00B52DAF"/>
    <w:rsid w:val="00B52DE0"/>
    <w:rsid w:val="00B5338A"/>
    <w:rsid w:val="00B539DB"/>
    <w:rsid w:val="00B53AE9"/>
    <w:rsid w:val="00B53CE5"/>
    <w:rsid w:val="00B53F01"/>
    <w:rsid w:val="00B54073"/>
    <w:rsid w:val="00B540EC"/>
    <w:rsid w:val="00B5425E"/>
    <w:rsid w:val="00B545E6"/>
    <w:rsid w:val="00B5471E"/>
    <w:rsid w:val="00B549EA"/>
    <w:rsid w:val="00B54C09"/>
    <w:rsid w:val="00B553E3"/>
    <w:rsid w:val="00B55AC3"/>
    <w:rsid w:val="00B55C1A"/>
    <w:rsid w:val="00B56DD7"/>
    <w:rsid w:val="00B57298"/>
    <w:rsid w:val="00B576F7"/>
    <w:rsid w:val="00B57702"/>
    <w:rsid w:val="00B577E3"/>
    <w:rsid w:val="00B602D9"/>
    <w:rsid w:val="00B60EDE"/>
    <w:rsid w:val="00B611C2"/>
    <w:rsid w:val="00B6207B"/>
    <w:rsid w:val="00B62445"/>
    <w:rsid w:val="00B62807"/>
    <w:rsid w:val="00B6381C"/>
    <w:rsid w:val="00B63941"/>
    <w:rsid w:val="00B63F20"/>
    <w:rsid w:val="00B643D2"/>
    <w:rsid w:val="00B6470F"/>
    <w:rsid w:val="00B64B0D"/>
    <w:rsid w:val="00B650B1"/>
    <w:rsid w:val="00B65391"/>
    <w:rsid w:val="00B65A57"/>
    <w:rsid w:val="00B6606D"/>
    <w:rsid w:val="00B66273"/>
    <w:rsid w:val="00B663CC"/>
    <w:rsid w:val="00B66BE1"/>
    <w:rsid w:val="00B67189"/>
    <w:rsid w:val="00B70BF4"/>
    <w:rsid w:val="00B717C0"/>
    <w:rsid w:val="00B71950"/>
    <w:rsid w:val="00B71E65"/>
    <w:rsid w:val="00B71E90"/>
    <w:rsid w:val="00B7252B"/>
    <w:rsid w:val="00B7289A"/>
    <w:rsid w:val="00B73197"/>
    <w:rsid w:val="00B733ED"/>
    <w:rsid w:val="00B735E8"/>
    <w:rsid w:val="00B73CFD"/>
    <w:rsid w:val="00B73EF4"/>
    <w:rsid w:val="00B74EFF"/>
    <w:rsid w:val="00B752DD"/>
    <w:rsid w:val="00B7625A"/>
    <w:rsid w:val="00B76549"/>
    <w:rsid w:val="00B766CB"/>
    <w:rsid w:val="00B76BCE"/>
    <w:rsid w:val="00B76F8A"/>
    <w:rsid w:val="00B77449"/>
    <w:rsid w:val="00B77B0C"/>
    <w:rsid w:val="00B77C0D"/>
    <w:rsid w:val="00B77C4D"/>
    <w:rsid w:val="00B77F41"/>
    <w:rsid w:val="00B807D7"/>
    <w:rsid w:val="00B8118E"/>
    <w:rsid w:val="00B812E2"/>
    <w:rsid w:val="00B81551"/>
    <w:rsid w:val="00B81C7F"/>
    <w:rsid w:val="00B81E79"/>
    <w:rsid w:val="00B81F8D"/>
    <w:rsid w:val="00B8207A"/>
    <w:rsid w:val="00B82080"/>
    <w:rsid w:val="00B827AE"/>
    <w:rsid w:val="00B82B09"/>
    <w:rsid w:val="00B82BA9"/>
    <w:rsid w:val="00B82DCB"/>
    <w:rsid w:val="00B835BF"/>
    <w:rsid w:val="00B836A6"/>
    <w:rsid w:val="00B840D5"/>
    <w:rsid w:val="00B8430A"/>
    <w:rsid w:val="00B84988"/>
    <w:rsid w:val="00B84A2E"/>
    <w:rsid w:val="00B84AA0"/>
    <w:rsid w:val="00B84C8D"/>
    <w:rsid w:val="00B84EE9"/>
    <w:rsid w:val="00B85274"/>
    <w:rsid w:val="00B85740"/>
    <w:rsid w:val="00B857C7"/>
    <w:rsid w:val="00B86056"/>
    <w:rsid w:val="00B86161"/>
    <w:rsid w:val="00B87BB5"/>
    <w:rsid w:val="00B903FE"/>
    <w:rsid w:val="00B908BA"/>
    <w:rsid w:val="00B90BC9"/>
    <w:rsid w:val="00B90D1B"/>
    <w:rsid w:val="00B91688"/>
    <w:rsid w:val="00B91765"/>
    <w:rsid w:val="00B917BE"/>
    <w:rsid w:val="00B91BAB"/>
    <w:rsid w:val="00B91BD5"/>
    <w:rsid w:val="00B91DFC"/>
    <w:rsid w:val="00B923CF"/>
    <w:rsid w:val="00B924C0"/>
    <w:rsid w:val="00B940B7"/>
    <w:rsid w:val="00B940BD"/>
    <w:rsid w:val="00B9420D"/>
    <w:rsid w:val="00B94A1E"/>
    <w:rsid w:val="00B95822"/>
    <w:rsid w:val="00B95EC5"/>
    <w:rsid w:val="00B95ED9"/>
    <w:rsid w:val="00B96291"/>
    <w:rsid w:val="00B96DD5"/>
    <w:rsid w:val="00B96E18"/>
    <w:rsid w:val="00B972F1"/>
    <w:rsid w:val="00B974B6"/>
    <w:rsid w:val="00B977EE"/>
    <w:rsid w:val="00B979B3"/>
    <w:rsid w:val="00B97D53"/>
    <w:rsid w:val="00BA121A"/>
    <w:rsid w:val="00BA126D"/>
    <w:rsid w:val="00BA174F"/>
    <w:rsid w:val="00BA1AA0"/>
    <w:rsid w:val="00BA23C7"/>
    <w:rsid w:val="00BA26A4"/>
    <w:rsid w:val="00BA322E"/>
    <w:rsid w:val="00BA3B8C"/>
    <w:rsid w:val="00BA3DDC"/>
    <w:rsid w:val="00BA3E49"/>
    <w:rsid w:val="00BA4383"/>
    <w:rsid w:val="00BA4708"/>
    <w:rsid w:val="00BA4A58"/>
    <w:rsid w:val="00BA4C96"/>
    <w:rsid w:val="00BA51DA"/>
    <w:rsid w:val="00BA5390"/>
    <w:rsid w:val="00BA59B2"/>
    <w:rsid w:val="00BA5CDF"/>
    <w:rsid w:val="00BA64CA"/>
    <w:rsid w:val="00BA6703"/>
    <w:rsid w:val="00BA672A"/>
    <w:rsid w:val="00BA6823"/>
    <w:rsid w:val="00BA6848"/>
    <w:rsid w:val="00BA69CB"/>
    <w:rsid w:val="00BA6BD9"/>
    <w:rsid w:val="00BA7919"/>
    <w:rsid w:val="00BA7FCD"/>
    <w:rsid w:val="00BB0151"/>
    <w:rsid w:val="00BB1DA5"/>
    <w:rsid w:val="00BB1E82"/>
    <w:rsid w:val="00BB1F2E"/>
    <w:rsid w:val="00BB2611"/>
    <w:rsid w:val="00BB2BB6"/>
    <w:rsid w:val="00BB2C0D"/>
    <w:rsid w:val="00BB2E28"/>
    <w:rsid w:val="00BB3458"/>
    <w:rsid w:val="00BB38E0"/>
    <w:rsid w:val="00BB3D68"/>
    <w:rsid w:val="00BB4AB2"/>
    <w:rsid w:val="00BB4C9F"/>
    <w:rsid w:val="00BB55C9"/>
    <w:rsid w:val="00BB564C"/>
    <w:rsid w:val="00BB57FB"/>
    <w:rsid w:val="00BB5B31"/>
    <w:rsid w:val="00BB68E9"/>
    <w:rsid w:val="00BB7281"/>
    <w:rsid w:val="00BB7B10"/>
    <w:rsid w:val="00BB7C53"/>
    <w:rsid w:val="00BB7FDF"/>
    <w:rsid w:val="00BC059C"/>
    <w:rsid w:val="00BC06FE"/>
    <w:rsid w:val="00BC0F8D"/>
    <w:rsid w:val="00BC216E"/>
    <w:rsid w:val="00BC3A58"/>
    <w:rsid w:val="00BC3B0B"/>
    <w:rsid w:val="00BC3BE1"/>
    <w:rsid w:val="00BC3D69"/>
    <w:rsid w:val="00BC3F2B"/>
    <w:rsid w:val="00BC4447"/>
    <w:rsid w:val="00BC4B10"/>
    <w:rsid w:val="00BC5418"/>
    <w:rsid w:val="00BC5848"/>
    <w:rsid w:val="00BC61A6"/>
    <w:rsid w:val="00BC6D76"/>
    <w:rsid w:val="00BC70DD"/>
    <w:rsid w:val="00BC7334"/>
    <w:rsid w:val="00BC740D"/>
    <w:rsid w:val="00BC74E2"/>
    <w:rsid w:val="00BC770E"/>
    <w:rsid w:val="00BC7D0A"/>
    <w:rsid w:val="00BD036D"/>
    <w:rsid w:val="00BD040E"/>
    <w:rsid w:val="00BD06A9"/>
    <w:rsid w:val="00BD110A"/>
    <w:rsid w:val="00BD1276"/>
    <w:rsid w:val="00BD12C2"/>
    <w:rsid w:val="00BD13F0"/>
    <w:rsid w:val="00BD1444"/>
    <w:rsid w:val="00BD1956"/>
    <w:rsid w:val="00BD1E87"/>
    <w:rsid w:val="00BD216A"/>
    <w:rsid w:val="00BD2580"/>
    <w:rsid w:val="00BD2DF8"/>
    <w:rsid w:val="00BD35EC"/>
    <w:rsid w:val="00BD36C6"/>
    <w:rsid w:val="00BD4182"/>
    <w:rsid w:val="00BD4248"/>
    <w:rsid w:val="00BD426D"/>
    <w:rsid w:val="00BD46D1"/>
    <w:rsid w:val="00BD490B"/>
    <w:rsid w:val="00BD4B3D"/>
    <w:rsid w:val="00BD51E9"/>
    <w:rsid w:val="00BD5DDD"/>
    <w:rsid w:val="00BD6048"/>
    <w:rsid w:val="00BD6184"/>
    <w:rsid w:val="00BD67DB"/>
    <w:rsid w:val="00BD69AD"/>
    <w:rsid w:val="00BD6AE3"/>
    <w:rsid w:val="00BD6BD5"/>
    <w:rsid w:val="00BD7368"/>
    <w:rsid w:val="00BD770A"/>
    <w:rsid w:val="00BD7B8E"/>
    <w:rsid w:val="00BE0633"/>
    <w:rsid w:val="00BE07B8"/>
    <w:rsid w:val="00BE08F9"/>
    <w:rsid w:val="00BE0AD6"/>
    <w:rsid w:val="00BE0F87"/>
    <w:rsid w:val="00BE11FA"/>
    <w:rsid w:val="00BE14E7"/>
    <w:rsid w:val="00BE16A5"/>
    <w:rsid w:val="00BE1799"/>
    <w:rsid w:val="00BE1F37"/>
    <w:rsid w:val="00BE20E7"/>
    <w:rsid w:val="00BE21BC"/>
    <w:rsid w:val="00BE23CA"/>
    <w:rsid w:val="00BE314C"/>
    <w:rsid w:val="00BE3A8B"/>
    <w:rsid w:val="00BE3AEC"/>
    <w:rsid w:val="00BE49AE"/>
    <w:rsid w:val="00BE4B0B"/>
    <w:rsid w:val="00BE4DEA"/>
    <w:rsid w:val="00BE4F86"/>
    <w:rsid w:val="00BE4FDE"/>
    <w:rsid w:val="00BE587C"/>
    <w:rsid w:val="00BE59DD"/>
    <w:rsid w:val="00BE5E4B"/>
    <w:rsid w:val="00BE6394"/>
    <w:rsid w:val="00BE6890"/>
    <w:rsid w:val="00BE68AF"/>
    <w:rsid w:val="00BE7560"/>
    <w:rsid w:val="00BE77F1"/>
    <w:rsid w:val="00BE7C0D"/>
    <w:rsid w:val="00BE7D2C"/>
    <w:rsid w:val="00BF0232"/>
    <w:rsid w:val="00BF03A6"/>
    <w:rsid w:val="00BF0801"/>
    <w:rsid w:val="00BF092B"/>
    <w:rsid w:val="00BF0A10"/>
    <w:rsid w:val="00BF0AFF"/>
    <w:rsid w:val="00BF19B6"/>
    <w:rsid w:val="00BF1B89"/>
    <w:rsid w:val="00BF2050"/>
    <w:rsid w:val="00BF213E"/>
    <w:rsid w:val="00BF251D"/>
    <w:rsid w:val="00BF3123"/>
    <w:rsid w:val="00BF31AA"/>
    <w:rsid w:val="00BF32B2"/>
    <w:rsid w:val="00BF3335"/>
    <w:rsid w:val="00BF33FD"/>
    <w:rsid w:val="00BF3611"/>
    <w:rsid w:val="00BF388B"/>
    <w:rsid w:val="00BF3DAD"/>
    <w:rsid w:val="00BF47E7"/>
    <w:rsid w:val="00BF4F11"/>
    <w:rsid w:val="00BF5A5B"/>
    <w:rsid w:val="00BF5ECA"/>
    <w:rsid w:val="00BF63D0"/>
    <w:rsid w:val="00BF63E1"/>
    <w:rsid w:val="00BF661B"/>
    <w:rsid w:val="00BF68CF"/>
    <w:rsid w:val="00BF6B56"/>
    <w:rsid w:val="00BF6F4C"/>
    <w:rsid w:val="00BF7104"/>
    <w:rsid w:val="00BF7CFA"/>
    <w:rsid w:val="00C000FC"/>
    <w:rsid w:val="00C00597"/>
    <w:rsid w:val="00C0194C"/>
    <w:rsid w:val="00C01C56"/>
    <w:rsid w:val="00C01D9A"/>
    <w:rsid w:val="00C0236B"/>
    <w:rsid w:val="00C02D5D"/>
    <w:rsid w:val="00C02E76"/>
    <w:rsid w:val="00C02FEB"/>
    <w:rsid w:val="00C030F1"/>
    <w:rsid w:val="00C031EA"/>
    <w:rsid w:val="00C0353A"/>
    <w:rsid w:val="00C03ADC"/>
    <w:rsid w:val="00C0407B"/>
    <w:rsid w:val="00C04483"/>
    <w:rsid w:val="00C04975"/>
    <w:rsid w:val="00C050BA"/>
    <w:rsid w:val="00C051C0"/>
    <w:rsid w:val="00C0527F"/>
    <w:rsid w:val="00C05454"/>
    <w:rsid w:val="00C05956"/>
    <w:rsid w:val="00C05BAA"/>
    <w:rsid w:val="00C06326"/>
    <w:rsid w:val="00C0665A"/>
    <w:rsid w:val="00C06CD1"/>
    <w:rsid w:val="00C06D12"/>
    <w:rsid w:val="00C06E9F"/>
    <w:rsid w:val="00C07737"/>
    <w:rsid w:val="00C07AAF"/>
    <w:rsid w:val="00C11B6A"/>
    <w:rsid w:val="00C1256C"/>
    <w:rsid w:val="00C13149"/>
    <w:rsid w:val="00C137D0"/>
    <w:rsid w:val="00C139E0"/>
    <w:rsid w:val="00C13C01"/>
    <w:rsid w:val="00C142B2"/>
    <w:rsid w:val="00C14ADD"/>
    <w:rsid w:val="00C1560F"/>
    <w:rsid w:val="00C1578B"/>
    <w:rsid w:val="00C15FBD"/>
    <w:rsid w:val="00C16565"/>
    <w:rsid w:val="00C16692"/>
    <w:rsid w:val="00C16ED3"/>
    <w:rsid w:val="00C170B0"/>
    <w:rsid w:val="00C173E9"/>
    <w:rsid w:val="00C176E2"/>
    <w:rsid w:val="00C17B45"/>
    <w:rsid w:val="00C17B89"/>
    <w:rsid w:val="00C2005B"/>
    <w:rsid w:val="00C20122"/>
    <w:rsid w:val="00C201DF"/>
    <w:rsid w:val="00C2035A"/>
    <w:rsid w:val="00C206FD"/>
    <w:rsid w:val="00C209BF"/>
    <w:rsid w:val="00C215DC"/>
    <w:rsid w:val="00C21786"/>
    <w:rsid w:val="00C2181D"/>
    <w:rsid w:val="00C21C9C"/>
    <w:rsid w:val="00C21D6E"/>
    <w:rsid w:val="00C22107"/>
    <w:rsid w:val="00C221FE"/>
    <w:rsid w:val="00C23196"/>
    <w:rsid w:val="00C234C7"/>
    <w:rsid w:val="00C240DA"/>
    <w:rsid w:val="00C2445E"/>
    <w:rsid w:val="00C24D6A"/>
    <w:rsid w:val="00C24DDF"/>
    <w:rsid w:val="00C25003"/>
    <w:rsid w:val="00C25191"/>
    <w:rsid w:val="00C25381"/>
    <w:rsid w:val="00C25B7B"/>
    <w:rsid w:val="00C26188"/>
    <w:rsid w:val="00C268FB"/>
    <w:rsid w:val="00C26CF9"/>
    <w:rsid w:val="00C27123"/>
    <w:rsid w:val="00C2727C"/>
    <w:rsid w:val="00C30B98"/>
    <w:rsid w:val="00C3113C"/>
    <w:rsid w:val="00C31562"/>
    <w:rsid w:val="00C320E1"/>
    <w:rsid w:val="00C32282"/>
    <w:rsid w:val="00C3236E"/>
    <w:rsid w:val="00C3263C"/>
    <w:rsid w:val="00C32CEF"/>
    <w:rsid w:val="00C330B4"/>
    <w:rsid w:val="00C3315A"/>
    <w:rsid w:val="00C3333C"/>
    <w:rsid w:val="00C33540"/>
    <w:rsid w:val="00C33556"/>
    <w:rsid w:val="00C3384C"/>
    <w:rsid w:val="00C3386D"/>
    <w:rsid w:val="00C339C0"/>
    <w:rsid w:val="00C33A0F"/>
    <w:rsid w:val="00C33B3F"/>
    <w:rsid w:val="00C33FE2"/>
    <w:rsid w:val="00C345A8"/>
    <w:rsid w:val="00C346FB"/>
    <w:rsid w:val="00C34874"/>
    <w:rsid w:val="00C34F2D"/>
    <w:rsid w:val="00C35373"/>
    <w:rsid w:val="00C35DD2"/>
    <w:rsid w:val="00C369BF"/>
    <w:rsid w:val="00C37AE7"/>
    <w:rsid w:val="00C37F72"/>
    <w:rsid w:val="00C40CA0"/>
    <w:rsid w:val="00C40E8D"/>
    <w:rsid w:val="00C412D9"/>
    <w:rsid w:val="00C41C1F"/>
    <w:rsid w:val="00C425DF"/>
    <w:rsid w:val="00C42C19"/>
    <w:rsid w:val="00C42DF6"/>
    <w:rsid w:val="00C43846"/>
    <w:rsid w:val="00C440EB"/>
    <w:rsid w:val="00C4480C"/>
    <w:rsid w:val="00C4481A"/>
    <w:rsid w:val="00C44BED"/>
    <w:rsid w:val="00C44EC2"/>
    <w:rsid w:val="00C4527D"/>
    <w:rsid w:val="00C45303"/>
    <w:rsid w:val="00C45636"/>
    <w:rsid w:val="00C463D6"/>
    <w:rsid w:val="00C46744"/>
    <w:rsid w:val="00C469FC"/>
    <w:rsid w:val="00C46B0B"/>
    <w:rsid w:val="00C4706F"/>
    <w:rsid w:val="00C470C7"/>
    <w:rsid w:val="00C474AE"/>
    <w:rsid w:val="00C4760F"/>
    <w:rsid w:val="00C47C5D"/>
    <w:rsid w:val="00C47DD4"/>
    <w:rsid w:val="00C502E1"/>
    <w:rsid w:val="00C50D1C"/>
    <w:rsid w:val="00C50E28"/>
    <w:rsid w:val="00C51D91"/>
    <w:rsid w:val="00C51ED1"/>
    <w:rsid w:val="00C529EA"/>
    <w:rsid w:val="00C52F33"/>
    <w:rsid w:val="00C53550"/>
    <w:rsid w:val="00C5359B"/>
    <w:rsid w:val="00C536EA"/>
    <w:rsid w:val="00C53BA1"/>
    <w:rsid w:val="00C540E5"/>
    <w:rsid w:val="00C545DA"/>
    <w:rsid w:val="00C5525B"/>
    <w:rsid w:val="00C5592A"/>
    <w:rsid w:val="00C55F90"/>
    <w:rsid w:val="00C55FEE"/>
    <w:rsid w:val="00C56137"/>
    <w:rsid w:val="00C5615B"/>
    <w:rsid w:val="00C563C1"/>
    <w:rsid w:val="00C56C07"/>
    <w:rsid w:val="00C57073"/>
    <w:rsid w:val="00C618F9"/>
    <w:rsid w:val="00C61BAA"/>
    <w:rsid w:val="00C6230B"/>
    <w:rsid w:val="00C6300D"/>
    <w:rsid w:val="00C630CA"/>
    <w:rsid w:val="00C6368A"/>
    <w:rsid w:val="00C63AD6"/>
    <w:rsid w:val="00C64370"/>
    <w:rsid w:val="00C646EB"/>
    <w:rsid w:val="00C64B0F"/>
    <w:rsid w:val="00C6505D"/>
    <w:rsid w:val="00C659A8"/>
    <w:rsid w:val="00C65C02"/>
    <w:rsid w:val="00C65D05"/>
    <w:rsid w:val="00C661D7"/>
    <w:rsid w:val="00C662F0"/>
    <w:rsid w:val="00C663F0"/>
    <w:rsid w:val="00C66B59"/>
    <w:rsid w:val="00C675C6"/>
    <w:rsid w:val="00C67632"/>
    <w:rsid w:val="00C67D27"/>
    <w:rsid w:val="00C67FB0"/>
    <w:rsid w:val="00C70B4E"/>
    <w:rsid w:val="00C70D22"/>
    <w:rsid w:val="00C70F74"/>
    <w:rsid w:val="00C70FE8"/>
    <w:rsid w:val="00C71412"/>
    <w:rsid w:val="00C71A51"/>
    <w:rsid w:val="00C71C7F"/>
    <w:rsid w:val="00C71FC3"/>
    <w:rsid w:val="00C7212A"/>
    <w:rsid w:val="00C72405"/>
    <w:rsid w:val="00C73332"/>
    <w:rsid w:val="00C73A78"/>
    <w:rsid w:val="00C73A89"/>
    <w:rsid w:val="00C73E43"/>
    <w:rsid w:val="00C744B4"/>
    <w:rsid w:val="00C74A95"/>
    <w:rsid w:val="00C75338"/>
    <w:rsid w:val="00C758C8"/>
    <w:rsid w:val="00C75A92"/>
    <w:rsid w:val="00C75DFC"/>
    <w:rsid w:val="00C767BD"/>
    <w:rsid w:val="00C76CE5"/>
    <w:rsid w:val="00C7713E"/>
    <w:rsid w:val="00C774BF"/>
    <w:rsid w:val="00C774FB"/>
    <w:rsid w:val="00C779EC"/>
    <w:rsid w:val="00C802E0"/>
    <w:rsid w:val="00C807EE"/>
    <w:rsid w:val="00C808D3"/>
    <w:rsid w:val="00C80BFD"/>
    <w:rsid w:val="00C81441"/>
    <w:rsid w:val="00C814F9"/>
    <w:rsid w:val="00C81677"/>
    <w:rsid w:val="00C819C5"/>
    <w:rsid w:val="00C82BFF"/>
    <w:rsid w:val="00C82E98"/>
    <w:rsid w:val="00C82F88"/>
    <w:rsid w:val="00C8375A"/>
    <w:rsid w:val="00C83B57"/>
    <w:rsid w:val="00C8402F"/>
    <w:rsid w:val="00C8483D"/>
    <w:rsid w:val="00C8534C"/>
    <w:rsid w:val="00C85637"/>
    <w:rsid w:val="00C85CC6"/>
    <w:rsid w:val="00C85CF9"/>
    <w:rsid w:val="00C85E85"/>
    <w:rsid w:val="00C8613B"/>
    <w:rsid w:val="00C86A42"/>
    <w:rsid w:val="00C86E11"/>
    <w:rsid w:val="00C8719D"/>
    <w:rsid w:val="00C871FB"/>
    <w:rsid w:val="00C87303"/>
    <w:rsid w:val="00C877FA"/>
    <w:rsid w:val="00C879C6"/>
    <w:rsid w:val="00C87C7F"/>
    <w:rsid w:val="00C87D04"/>
    <w:rsid w:val="00C90F20"/>
    <w:rsid w:val="00C913DE"/>
    <w:rsid w:val="00C91449"/>
    <w:rsid w:val="00C914D6"/>
    <w:rsid w:val="00C91C55"/>
    <w:rsid w:val="00C928AA"/>
    <w:rsid w:val="00C93635"/>
    <w:rsid w:val="00C93D34"/>
    <w:rsid w:val="00C940C9"/>
    <w:rsid w:val="00C941B7"/>
    <w:rsid w:val="00C942D9"/>
    <w:rsid w:val="00C94876"/>
    <w:rsid w:val="00C94E20"/>
    <w:rsid w:val="00C951A5"/>
    <w:rsid w:val="00C95486"/>
    <w:rsid w:val="00C95686"/>
    <w:rsid w:val="00C95BF8"/>
    <w:rsid w:val="00C960C7"/>
    <w:rsid w:val="00C971C9"/>
    <w:rsid w:val="00C972A1"/>
    <w:rsid w:val="00C9732A"/>
    <w:rsid w:val="00C9768F"/>
    <w:rsid w:val="00C97C1C"/>
    <w:rsid w:val="00CA00FB"/>
    <w:rsid w:val="00CA025C"/>
    <w:rsid w:val="00CA06A7"/>
    <w:rsid w:val="00CA0D49"/>
    <w:rsid w:val="00CA0F5E"/>
    <w:rsid w:val="00CA1884"/>
    <w:rsid w:val="00CA19D3"/>
    <w:rsid w:val="00CA20D7"/>
    <w:rsid w:val="00CA268F"/>
    <w:rsid w:val="00CA2EA9"/>
    <w:rsid w:val="00CA31DE"/>
    <w:rsid w:val="00CA4320"/>
    <w:rsid w:val="00CA4512"/>
    <w:rsid w:val="00CA45E0"/>
    <w:rsid w:val="00CA4CAD"/>
    <w:rsid w:val="00CA4E63"/>
    <w:rsid w:val="00CA5164"/>
    <w:rsid w:val="00CA51D5"/>
    <w:rsid w:val="00CA5396"/>
    <w:rsid w:val="00CA5421"/>
    <w:rsid w:val="00CA542E"/>
    <w:rsid w:val="00CA5C15"/>
    <w:rsid w:val="00CA60E0"/>
    <w:rsid w:val="00CA661C"/>
    <w:rsid w:val="00CA68C2"/>
    <w:rsid w:val="00CA6E9C"/>
    <w:rsid w:val="00CA6F36"/>
    <w:rsid w:val="00CA7142"/>
    <w:rsid w:val="00CA74C7"/>
    <w:rsid w:val="00CA75E4"/>
    <w:rsid w:val="00CA7709"/>
    <w:rsid w:val="00CA7880"/>
    <w:rsid w:val="00CA7BBD"/>
    <w:rsid w:val="00CA7C72"/>
    <w:rsid w:val="00CB0273"/>
    <w:rsid w:val="00CB05F5"/>
    <w:rsid w:val="00CB0A48"/>
    <w:rsid w:val="00CB0B84"/>
    <w:rsid w:val="00CB10F9"/>
    <w:rsid w:val="00CB1694"/>
    <w:rsid w:val="00CB1793"/>
    <w:rsid w:val="00CB1B2F"/>
    <w:rsid w:val="00CB1C17"/>
    <w:rsid w:val="00CB2FE9"/>
    <w:rsid w:val="00CB33CA"/>
    <w:rsid w:val="00CB39B4"/>
    <w:rsid w:val="00CB407B"/>
    <w:rsid w:val="00CB44B7"/>
    <w:rsid w:val="00CB450F"/>
    <w:rsid w:val="00CB5842"/>
    <w:rsid w:val="00CB605A"/>
    <w:rsid w:val="00CB62D0"/>
    <w:rsid w:val="00CB6704"/>
    <w:rsid w:val="00CB6EF0"/>
    <w:rsid w:val="00CB6F76"/>
    <w:rsid w:val="00CB747C"/>
    <w:rsid w:val="00CB7720"/>
    <w:rsid w:val="00CB7A54"/>
    <w:rsid w:val="00CB7D31"/>
    <w:rsid w:val="00CC0A9C"/>
    <w:rsid w:val="00CC134F"/>
    <w:rsid w:val="00CC1645"/>
    <w:rsid w:val="00CC1A77"/>
    <w:rsid w:val="00CC1C13"/>
    <w:rsid w:val="00CC1F96"/>
    <w:rsid w:val="00CC258D"/>
    <w:rsid w:val="00CC278B"/>
    <w:rsid w:val="00CC28E8"/>
    <w:rsid w:val="00CC2EB6"/>
    <w:rsid w:val="00CC2FE1"/>
    <w:rsid w:val="00CC317E"/>
    <w:rsid w:val="00CC3AB5"/>
    <w:rsid w:val="00CC413C"/>
    <w:rsid w:val="00CC415B"/>
    <w:rsid w:val="00CC480D"/>
    <w:rsid w:val="00CC4B43"/>
    <w:rsid w:val="00CC5773"/>
    <w:rsid w:val="00CC58EB"/>
    <w:rsid w:val="00CC59CF"/>
    <w:rsid w:val="00CC5D6F"/>
    <w:rsid w:val="00CC6619"/>
    <w:rsid w:val="00CC6DF1"/>
    <w:rsid w:val="00CC7CB8"/>
    <w:rsid w:val="00CC7CFE"/>
    <w:rsid w:val="00CC7DA8"/>
    <w:rsid w:val="00CC7DE7"/>
    <w:rsid w:val="00CD01B3"/>
    <w:rsid w:val="00CD08A9"/>
    <w:rsid w:val="00CD0C8B"/>
    <w:rsid w:val="00CD0FEA"/>
    <w:rsid w:val="00CD16EA"/>
    <w:rsid w:val="00CD19E4"/>
    <w:rsid w:val="00CD1E5C"/>
    <w:rsid w:val="00CD2027"/>
    <w:rsid w:val="00CD2831"/>
    <w:rsid w:val="00CD2A65"/>
    <w:rsid w:val="00CD2DA6"/>
    <w:rsid w:val="00CD33A1"/>
    <w:rsid w:val="00CD36B5"/>
    <w:rsid w:val="00CD38BB"/>
    <w:rsid w:val="00CD4228"/>
    <w:rsid w:val="00CD4488"/>
    <w:rsid w:val="00CD519A"/>
    <w:rsid w:val="00CD566E"/>
    <w:rsid w:val="00CD5830"/>
    <w:rsid w:val="00CD586B"/>
    <w:rsid w:val="00CD5AE8"/>
    <w:rsid w:val="00CD5F72"/>
    <w:rsid w:val="00CD63A4"/>
    <w:rsid w:val="00CD6A34"/>
    <w:rsid w:val="00CD6F41"/>
    <w:rsid w:val="00CD793A"/>
    <w:rsid w:val="00CE026E"/>
    <w:rsid w:val="00CE08D0"/>
    <w:rsid w:val="00CE0C3E"/>
    <w:rsid w:val="00CE120F"/>
    <w:rsid w:val="00CE1211"/>
    <w:rsid w:val="00CE14B3"/>
    <w:rsid w:val="00CE17D2"/>
    <w:rsid w:val="00CE226E"/>
    <w:rsid w:val="00CE3176"/>
    <w:rsid w:val="00CE3E44"/>
    <w:rsid w:val="00CE3F0E"/>
    <w:rsid w:val="00CE40BE"/>
    <w:rsid w:val="00CE40EF"/>
    <w:rsid w:val="00CE458D"/>
    <w:rsid w:val="00CE473E"/>
    <w:rsid w:val="00CE4D2D"/>
    <w:rsid w:val="00CE4E50"/>
    <w:rsid w:val="00CE5428"/>
    <w:rsid w:val="00CE5BFF"/>
    <w:rsid w:val="00CE5F42"/>
    <w:rsid w:val="00CE6286"/>
    <w:rsid w:val="00CE6881"/>
    <w:rsid w:val="00CE6E1D"/>
    <w:rsid w:val="00CE6F08"/>
    <w:rsid w:val="00CE6F37"/>
    <w:rsid w:val="00CE76EB"/>
    <w:rsid w:val="00CF0033"/>
    <w:rsid w:val="00CF08A9"/>
    <w:rsid w:val="00CF09C3"/>
    <w:rsid w:val="00CF0A43"/>
    <w:rsid w:val="00CF0C61"/>
    <w:rsid w:val="00CF0E99"/>
    <w:rsid w:val="00CF0F3C"/>
    <w:rsid w:val="00CF2329"/>
    <w:rsid w:val="00CF253E"/>
    <w:rsid w:val="00CF257B"/>
    <w:rsid w:val="00CF2620"/>
    <w:rsid w:val="00CF2A40"/>
    <w:rsid w:val="00CF2A4A"/>
    <w:rsid w:val="00CF2D20"/>
    <w:rsid w:val="00CF2DB0"/>
    <w:rsid w:val="00CF2E43"/>
    <w:rsid w:val="00CF3A4C"/>
    <w:rsid w:val="00CF4377"/>
    <w:rsid w:val="00CF465E"/>
    <w:rsid w:val="00CF4694"/>
    <w:rsid w:val="00CF470A"/>
    <w:rsid w:val="00CF4B98"/>
    <w:rsid w:val="00CF4E83"/>
    <w:rsid w:val="00CF5442"/>
    <w:rsid w:val="00CF5491"/>
    <w:rsid w:val="00CF58F6"/>
    <w:rsid w:val="00CF5C09"/>
    <w:rsid w:val="00CF5F91"/>
    <w:rsid w:val="00CF61ED"/>
    <w:rsid w:val="00CF6467"/>
    <w:rsid w:val="00CF68BB"/>
    <w:rsid w:val="00CF6CFB"/>
    <w:rsid w:val="00CF6ED9"/>
    <w:rsid w:val="00CF760D"/>
    <w:rsid w:val="00CF7BE1"/>
    <w:rsid w:val="00CF7E30"/>
    <w:rsid w:val="00CF7EE5"/>
    <w:rsid w:val="00D00293"/>
    <w:rsid w:val="00D005D9"/>
    <w:rsid w:val="00D00860"/>
    <w:rsid w:val="00D008C5"/>
    <w:rsid w:val="00D01ADE"/>
    <w:rsid w:val="00D01DDE"/>
    <w:rsid w:val="00D020B8"/>
    <w:rsid w:val="00D023A6"/>
    <w:rsid w:val="00D02650"/>
    <w:rsid w:val="00D026D2"/>
    <w:rsid w:val="00D027BE"/>
    <w:rsid w:val="00D0293E"/>
    <w:rsid w:val="00D0293F"/>
    <w:rsid w:val="00D0328D"/>
    <w:rsid w:val="00D033B4"/>
    <w:rsid w:val="00D0341D"/>
    <w:rsid w:val="00D03FCC"/>
    <w:rsid w:val="00D03FE0"/>
    <w:rsid w:val="00D03FEE"/>
    <w:rsid w:val="00D0427E"/>
    <w:rsid w:val="00D042C2"/>
    <w:rsid w:val="00D042E8"/>
    <w:rsid w:val="00D04617"/>
    <w:rsid w:val="00D047D7"/>
    <w:rsid w:val="00D04809"/>
    <w:rsid w:val="00D04A1B"/>
    <w:rsid w:val="00D04B2B"/>
    <w:rsid w:val="00D04FDA"/>
    <w:rsid w:val="00D052D2"/>
    <w:rsid w:val="00D0566F"/>
    <w:rsid w:val="00D05830"/>
    <w:rsid w:val="00D05AAD"/>
    <w:rsid w:val="00D06368"/>
    <w:rsid w:val="00D06601"/>
    <w:rsid w:val="00D06BF9"/>
    <w:rsid w:val="00D06CB9"/>
    <w:rsid w:val="00D0708D"/>
    <w:rsid w:val="00D0733A"/>
    <w:rsid w:val="00D077D9"/>
    <w:rsid w:val="00D079A9"/>
    <w:rsid w:val="00D1065D"/>
    <w:rsid w:val="00D106C6"/>
    <w:rsid w:val="00D10EE4"/>
    <w:rsid w:val="00D10FDA"/>
    <w:rsid w:val="00D11391"/>
    <w:rsid w:val="00D11EBE"/>
    <w:rsid w:val="00D12133"/>
    <w:rsid w:val="00D12753"/>
    <w:rsid w:val="00D12E3E"/>
    <w:rsid w:val="00D13422"/>
    <w:rsid w:val="00D138DA"/>
    <w:rsid w:val="00D139B2"/>
    <w:rsid w:val="00D13AC1"/>
    <w:rsid w:val="00D14263"/>
    <w:rsid w:val="00D15035"/>
    <w:rsid w:val="00D160AA"/>
    <w:rsid w:val="00D169D5"/>
    <w:rsid w:val="00D175BD"/>
    <w:rsid w:val="00D17D56"/>
    <w:rsid w:val="00D17ED0"/>
    <w:rsid w:val="00D203FE"/>
    <w:rsid w:val="00D2064B"/>
    <w:rsid w:val="00D20AAB"/>
    <w:rsid w:val="00D214C3"/>
    <w:rsid w:val="00D21736"/>
    <w:rsid w:val="00D2179F"/>
    <w:rsid w:val="00D21914"/>
    <w:rsid w:val="00D21D6D"/>
    <w:rsid w:val="00D21F15"/>
    <w:rsid w:val="00D21FEC"/>
    <w:rsid w:val="00D222F8"/>
    <w:rsid w:val="00D2245A"/>
    <w:rsid w:val="00D23149"/>
    <w:rsid w:val="00D23E19"/>
    <w:rsid w:val="00D24141"/>
    <w:rsid w:val="00D2556D"/>
    <w:rsid w:val="00D2625F"/>
    <w:rsid w:val="00D26AE2"/>
    <w:rsid w:val="00D26B80"/>
    <w:rsid w:val="00D26ED6"/>
    <w:rsid w:val="00D275F3"/>
    <w:rsid w:val="00D278A4"/>
    <w:rsid w:val="00D30291"/>
    <w:rsid w:val="00D302CB"/>
    <w:rsid w:val="00D30327"/>
    <w:rsid w:val="00D30BB1"/>
    <w:rsid w:val="00D30F2A"/>
    <w:rsid w:val="00D31048"/>
    <w:rsid w:val="00D3171F"/>
    <w:rsid w:val="00D31981"/>
    <w:rsid w:val="00D31D9E"/>
    <w:rsid w:val="00D32135"/>
    <w:rsid w:val="00D32911"/>
    <w:rsid w:val="00D32BE6"/>
    <w:rsid w:val="00D33503"/>
    <w:rsid w:val="00D336EE"/>
    <w:rsid w:val="00D337DC"/>
    <w:rsid w:val="00D33C9F"/>
    <w:rsid w:val="00D34380"/>
    <w:rsid w:val="00D348AA"/>
    <w:rsid w:val="00D34AD7"/>
    <w:rsid w:val="00D34FF2"/>
    <w:rsid w:val="00D35135"/>
    <w:rsid w:val="00D35E0D"/>
    <w:rsid w:val="00D3645C"/>
    <w:rsid w:val="00D36B68"/>
    <w:rsid w:val="00D36E4F"/>
    <w:rsid w:val="00D371D5"/>
    <w:rsid w:val="00D37680"/>
    <w:rsid w:val="00D37F89"/>
    <w:rsid w:val="00D400C9"/>
    <w:rsid w:val="00D40267"/>
    <w:rsid w:val="00D4054C"/>
    <w:rsid w:val="00D40DC3"/>
    <w:rsid w:val="00D40E52"/>
    <w:rsid w:val="00D41143"/>
    <w:rsid w:val="00D4133D"/>
    <w:rsid w:val="00D41C90"/>
    <w:rsid w:val="00D420B2"/>
    <w:rsid w:val="00D42145"/>
    <w:rsid w:val="00D42689"/>
    <w:rsid w:val="00D42E11"/>
    <w:rsid w:val="00D432A5"/>
    <w:rsid w:val="00D43564"/>
    <w:rsid w:val="00D4371B"/>
    <w:rsid w:val="00D43996"/>
    <w:rsid w:val="00D439E8"/>
    <w:rsid w:val="00D43B9B"/>
    <w:rsid w:val="00D43E18"/>
    <w:rsid w:val="00D443FA"/>
    <w:rsid w:val="00D44473"/>
    <w:rsid w:val="00D44E83"/>
    <w:rsid w:val="00D456CD"/>
    <w:rsid w:val="00D45CF4"/>
    <w:rsid w:val="00D45D16"/>
    <w:rsid w:val="00D45E05"/>
    <w:rsid w:val="00D46D04"/>
    <w:rsid w:val="00D46E64"/>
    <w:rsid w:val="00D472A3"/>
    <w:rsid w:val="00D50371"/>
    <w:rsid w:val="00D50CF1"/>
    <w:rsid w:val="00D51305"/>
    <w:rsid w:val="00D5134B"/>
    <w:rsid w:val="00D51571"/>
    <w:rsid w:val="00D519E9"/>
    <w:rsid w:val="00D5275F"/>
    <w:rsid w:val="00D53068"/>
    <w:rsid w:val="00D533B1"/>
    <w:rsid w:val="00D53569"/>
    <w:rsid w:val="00D54525"/>
    <w:rsid w:val="00D556C6"/>
    <w:rsid w:val="00D55925"/>
    <w:rsid w:val="00D5621B"/>
    <w:rsid w:val="00D5634F"/>
    <w:rsid w:val="00D563FD"/>
    <w:rsid w:val="00D56BEB"/>
    <w:rsid w:val="00D56E13"/>
    <w:rsid w:val="00D56F1A"/>
    <w:rsid w:val="00D56F98"/>
    <w:rsid w:val="00D573FA"/>
    <w:rsid w:val="00D57789"/>
    <w:rsid w:val="00D57D50"/>
    <w:rsid w:val="00D60104"/>
    <w:rsid w:val="00D605BD"/>
    <w:rsid w:val="00D607A6"/>
    <w:rsid w:val="00D609F0"/>
    <w:rsid w:val="00D60BCC"/>
    <w:rsid w:val="00D61120"/>
    <w:rsid w:val="00D61603"/>
    <w:rsid w:val="00D61723"/>
    <w:rsid w:val="00D62771"/>
    <w:rsid w:val="00D629D1"/>
    <w:rsid w:val="00D62CD1"/>
    <w:rsid w:val="00D62D85"/>
    <w:rsid w:val="00D63171"/>
    <w:rsid w:val="00D63355"/>
    <w:rsid w:val="00D63C0E"/>
    <w:rsid w:val="00D63D8D"/>
    <w:rsid w:val="00D63DC9"/>
    <w:rsid w:val="00D648A1"/>
    <w:rsid w:val="00D64971"/>
    <w:rsid w:val="00D64ADC"/>
    <w:rsid w:val="00D65351"/>
    <w:rsid w:val="00D654A1"/>
    <w:rsid w:val="00D65AB9"/>
    <w:rsid w:val="00D66827"/>
    <w:rsid w:val="00D66EDA"/>
    <w:rsid w:val="00D67372"/>
    <w:rsid w:val="00D6747E"/>
    <w:rsid w:val="00D67CFF"/>
    <w:rsid w:val="00D67D7A"/>
    <w:rsid w:val="00D67E8C"/>
    <w:rsid w:val="00D67EFF"/>
    <w:rsid w:val="00D7101E"/>
    <w:rsid w:val="00D711A5"/>
    <w:rsid w:val="00D711FE"/>
    <w:rsid w:val="00D712EF"/>
    <w:rsid w:val="00D71302"/>
    <w:rsid w:val="00D71803"/>
    <w:rsid w:val="00D719C0"/>
    <w:rsid w:val="00D71F53"/>
    <w:rsid w:val="00D728DF"/>
    <w:rsid w:val="00D72D6C"/>
    <w:rsid w:val="00D72E13"/>
    <w:rsid w:val="00D73753"/>
    <w:rsid w:val="00D73B6C"/>
    <w:rsid w:val="00D74BBF"/>
    <w:rsid w:val="00D74BFF"/>
    <w:rsid w:val="00D74D2E"/>
    <w:rsid w:val="00D74E8F"/>
    <w:rsid w:val="00D74E9A"/>
    <w:rsid w:val="00D75756"/>
    <w:rsid w:val="00D76A30"/>
    <w:rsid w:val="00D76D71"/>
    <w:rsid w:val="00D770DD"/>
    <w:rsid w:val="00D77320"/>
    <w:rsid w:val="00D801DF"/>
    <w:rsid w:val="00D80545"/>
    <w:rsid w:val="00D80AB4"/>
    <w:rsid w:val="00D80DC5"/>
    <w:rsid w:val="00D81579"/>
    <w:rsid w:val="00D81D0E"/>
    <w:rsid w:val="00D829FB"/>
    <w:rsid w:val="00D82C13"/>
    <w:rsid w:val="00D82C6B"/>
    <w:rsid w:val="00D82CD9"/>
    <w:rsid w:val="00D8315F"/>
    <w:rsid w:val="00D845A2"/>
    <w:rsid w:val="00D84662"/>
    <w:rsid w:val="00D856C0"/>
    <w:rsid w:val="00D85F37"/>
    <w:rsid w:val="00D85F67"/>
    <w:rsid w:val="00D86455"/>
    <w:rsid w:val="00D86881"/>
    <w:rsid w:val="00D86AC1"/>
    <w:rsid w:val="00D87251"/>
    <w:rsid w:val="00D8751F"/>
    <w:rsid w:val="00D8758A"/>
    <w:rsid w:val="00D87B09"/>
    <w:rsid w:val="00D87F66"/>
    <w:rsid w:val="00D87FD6"/>
    <w:rsid w:val="00D87FE4"/>
    <w:rsid w:val="00D90ADB"/>
    <w:rsid w:val="00D90C50"/>
    <w:rsid w:val="00D912DC"/>
    <w:rsid w:val="00D91460"/>
    <w:rsid w:val="00D914DB"/>
    <w:rsid w:val="00D919C8"/>
    <w:rsid w:val="00D91C14"/>
    <w:rsid w:val="00D91C41"/>
    <w:rsid w:val="00D9267C"/>
    <w:rsid w:val="00D9324C"/>
    <w:rsid w:val="00D93375"/>
    <w:rsid w:val="00D93880"/>
    <w:rsid w:val="00D93D59"/>
    <w:rsid w:val="00D93EFF"/>
    <w:rsid w:val="00D93F72"/>
    <w:rsid w:val="00D9460D"/>
    <w:rsid w:val="00D94E9E"/>
    <w:rsid w:val="00D956EF"/>
    <w:rsid w:val="00D96313"/>
    <w:rsid w:val="00D9676F"/>
    <w:rsid w:val="00D96A0F"/>
    <w:rsid w:val="00D96CB4"/>
    <w:rsid w:val="00DA0019"/>
    <w:rsid w:val="00DA0552"/>
    <w:rsid w:val="00DA0B8A"/>
    <w:rsid w:val="00DA11B2"/>
    <w:rsid w:val="00DA1AD0"/>
    <w:rsid w:val="00DA1BA7"/>
    <w:rsid w:val="00DA20B5"/>
    <w:rsid w:val="00DA22DA"/>
    <w:rsid w:val="00DA23DD"/>
    <w:rsid w:val="00DA2423"/>
    <w:rsid w:val="00DA287B"/>
    <w:rsid w:val="00DA2A96"/>
    <w:rsid w:val="00DA3080"/>
    <w:rsid w:val="00DA30A2"/>
    <w:rsid w:val="00DA390D"/>
    <w:rsid w:val="00DA3961"/>
    <w:rsid w:val="00DA436C"/>
    <w:rsid w:val="00DA44CF"/>
    <w:rsid w:val="00DA5D0B"/>
    <w:rsid w:val="00DA5F76"/>
    <w:rsid w:val="00DA60A5"/>
    <w:rsid w:val="00DA60F5"/>
    <w:rsid w:val="00DA76EE"/>
    <w:rsid w:val="00DB01EA"/>
    <w:rsid w:val="00DB03AE"/>
    <w:rsid w:val="00DB03F6"/>
    <w:rsid w:val="00DB08CB"/>
    <w:rsid w:val="00DB0963"/>
    <w:rsid w:val="00DB0B52"/>
    <w:rsid w:val="00DB0FA3"/>
    <w:rsid w:val="00DB16C1"/>
    <w:rsid w:val="00DB1D88"/>
    <w:rsid w:val="00DB2595"/>
    <w:rsid w:val="00DB303F"/>
    <w:rsid w:val="00DB3635"/>
    <w:rsid w:val="00DB4006"/>
    <w:rsid w:val="00DB42EF"/>
    <w:rsid w:val="00DB462A"/>
    <w:rsid w:val="00DB4B61"/>
    <w:rsid w:val="00DB55CE"/>
    <w:rsid w:val="00DB5FD5"/>
    <w:rsid w:val="00DB64F5"/>
    <w:rsid w:val="00DB6CAF"/>
    <w:rsid w:val="00DB7164"/>
    <w:rsid w:val="00DB729B"/>
    <w:rsid w:val="00DB72CE"/>
    <w:rsid w:val="00DB7400"/>
    <w:rsid w:val="00DB7EB1"/>
    <w:rsid w:val="00DC02FC"/>
    <w:rsid w:val="00DC0347"/>
    <w:rsid w:val="00DC0ADA"/>
    <w:rsid w:val="00DC0FE9"/>
    <w:rsid w:val="00DC13C3"/>
    <w:rsid w:val="00DC1C03"/>
    <w:rsid w:val="00DC2212"/>
    <w:rsid w:val="00DC252D"/>
    <w:rsid w:val="00DC2595"/>
    <w:rsid w:val="00DC2823"/>
    <w:rsid w:val="00DC2DF4"/>
    <w:rsid w:val="00DC30E1"/>
    <w:rsid w:val="00DC31EF"/>
    <w:rsid w:val="00DC31F2"/>
    <w:rsid w:val="00DC35F6"/>
    <w:rsid w:val="00DC3898"/>
    <w:rsid w:val="00DC3905"/>
    <w:rsid w:val="00DC4083"/>
    <w:rsid w:val="00DC48DF"/>
    <w:rsid w:val="00DC5D8A"/>
    <w:rsid w:val="00DC6572"/>
    <w:rsid w:val="00DC6E4A"/>
    <w:rsid w:val="00DC789A"/>
    <w:rsid w:val="00DC7912"/>
    <w:rsid w:val="00DC7AEF"/>
    <w:rsid w:val="00DC7F4E"/>
    <w:rsid w:val="00DD0D38"/>
    <w:rsid w:val="00DD0D67"/>
    <w:rsid w:val="00DD0D77"/>
    <w:rsid w:val="00DD15E7"/>
    <w:rsid w:val="00DD16E2"/>
    <w:rsid w:val="00DD1A0F"/>
    <w:rsid w:val="00DD1C3A"/>
    <w:rsid w:val="00DD2514"/>
    <w:rsid w:val="00DD25D6"/>
    <w:rsid w:val="00DD3364"/>
    <w:rsid w:val="00DD3CA2"/>
    <w:rsid w:val="00DD4038"/>
    <w:rsid w:val="00DD40B6"/>
    <w:rsid w:val="00DD46E2"/>
    <w:rsid w:val="00DD485A"/>
    <w:rsid w:val="00DD51F6"/>
    <w:rsid w:val="00DD595A"/>
    <w:rsid w:val="00DD5BB8"/>
    <w:rsid w:val="00DD685B"/>
    <w:rsid w:val="00DD6A64"/>
    <w:rsid w:val="00DD6C94"/>
    <w:rsid w:val="00DD711F"/>
    <w:rsid w:val="00DD7703"/>
    <w:rsid w:val="00DE1838"/>
    <w:rsid w:val="00DE1CB1"/>
    <w:rsid w:val="00DE339D"/>
    <w:rsid w:val="00DE3621"/>
    <w:rsid w:val="00DE3788"/>
    <w:rsid w:val="00DE3F28"/>
    <w:rsid w:val="00DE44B4"/>
    <w:rsid w:val="00DE4AA8"/>
    <w:rsid w:val="00DE588F"/>
    <w:rsid w:val="00DE5AEC"/>
    <w:rsid w:val="00DE5E98"/>
    <w:rsid w:val="00DE63D0"/>
    <w:rsid w:val="00DE67D6"/>
    <w:rsid w:val="00DE67EC"/>
    <w:rsid w:val="00DE69D3"/>
    <w:rsid w:val="00DE6A43"/>
    <w:rsid w:val="00DE6DF3"/>
    <w:rsid w:val="00DE7542"/>
    <w:rsid w:val="00DE77A1"/>
    <w:rsid w:val="00DE77C6"/>
    <w:rsid w:val="00DE7F41"/>
    <w:rsid w:val="00DF0140"/>
    <w:rsid w:val="00DF04D2"/>
    <w:rsid w:val="00DF0775"/>
    <w:rsid w:val="00DF083E"/>
    <w:rsid w:val="00DF0AD2"/>
    <w:rsid w:val="00DF11E3"/>
    <w:rsid w:val="00DF13B9"/>
    <w:rsid w:val="00DF192E"/>
    <w:rsid w:val="00DF1FD5"/>
    <w:rsid w:val="00DF22CE"/>
    <w:rsid w:val="00DF29F8"/>
    <w:rsid w:val="00DF34FD"/>
    <w:rsid w:val="00DF3641"/>
    <w:rsid w:val="00DF366D"/>
    <w:rsid w:val="00DF37D4"/>
    <w:rsid w:val="00DF38AD"/>
    <w:rsid w:val="00DF3917"/>
    <w:rsid w:val="00DF3D97"/>
    <w:rsid w:val="00DF3F0D"/>
    <w:rsid w:val="00DF4271"/>
    <w:rsid w:val="00DF4521"/>
    <w:rsid w:val="00DF45B7"/>
    <w:rsid w:val="00DF4C0F"/>
    <w:rsid w:val="00DF5008"/>
    <w:rsid w:val="00DF60B0"/>
    <w:rsid w:val="00DF61F5"/>
    <w:rsid w:val="00DF66C8"/>
    <w:rsid w:val="00DF6C17"/>
    <w:rsid w:val="00DF75EA"/>
    <w:rsid w:val="00DF785E"/>
    <w:rsid w:val="00DF7966"/>
    <w:rsid w:val="00DF7B53"/>
    <w:rsid w:val="00DF7F08"/>
    <w:rsid w:val="00E002A8"/>
    <w:rsid w:val="00E005E1"/>
    <w:rsid w:val="00E00F89"/>
    <w:rsid w:val="00E015E4"/>
    <w:rsid w:val="00E01F35"/>
    <w:rsid w:val="00E022E5"/>
    <w:rsid w:val="00E02354"/>
    <w:rsid w:val="00E026D3"/>
    <w:rsid w:val="00E02A18"/>
    <w:rsid w:val="00E02E9C"/>
    <w:rsid w:val="00E02FD4"/>
    <w:rsid w:val="00E03BC7"/>
    <w:rsid w:val="00E04230"/>
    <w:rsid w:val="00E04D1A"/>
    <w:rsid w:val="00E051E0"/>
    <w:rsid w:val="00E05662"/>
    <w:rsid w:val="00E0571C"/>
    <w:rsid w:val="00E057E9"/>
    <w:rsid w:val="00E05CA7"/>
    <w:rsid w:val="00E062CB"/>
    <w:rsid w:val="00E063FD"/>
    <w:rsid w:val="00E065B4"/>
    <w:rsid w:val="00E0674D"/>
    <w:rsid w:val="00E07183"/>
    <w:rsid w:val="00E071DA"/>
    <w:rsid w:val="00E076FE"/>
    <w:rsid w:val="00E07776"/>
    <w:rsid w:val="00E10261"/>
    <w:rsid w:val="00E1026F"/>
    <w:rsid w:val="00E1047C"/>
    <w:rsid w:val="00E10812"/>
    <w:rsid w:val="00E11FFD"/>
    <w:rsid w:val="00E1228F"/>
    <w:rsid w:val="00E12754"/>
    <w:rsid w:val="00E12A15"/>
    <w:rsid w:val="00E135D6"/>
    <w:rsid w:val="00E1369C"/>
    <w:rsid w:val="00E13807"/>
    <w:rsid w:val="00E13B1D"/>
    <w:rsid w:val="00E13D11"/>
    <w:rsid w:val="00E14011"/>
    <w:rsid w:val="00E14176"/>
    <w:rsid w:val="00E144AC"/>
    <w:rsid w:val="00E1539A"/>
    <w:rsid w:val="00E1592F"/>
    <w:rsid w:val="00E15C72"/>
    <w:rsid w:val="00E1606C"/>
    <w:rsid w:val="00E16ABA"/>
    <w:rsid w:val="00E16E41"/>
    <w:rsid w:val="00E20246"/>
    <w:rsid w:val="00E20B38"/>
    <w:rsid w:val="00E20C45"/>
    <w:rsid w:val="00E2103F"/>
    <w:rsid w:val="00E2132A"/>
    <w:rsid w:val="00E21C0D"/>
    <w:rsid w:val="00E22175"/>
    <w:rsid w:val="00E223F5"/>
    <w:rsid w:val="00E224BF"/>
    <w:rsid w:val="00E22708"/>
    <w:rsid w:val="00E22D70"/>
    <w:rsid w:val="00E23C85"/>
    <w:rsid w:val="00E23D60"/>
    <w:rsid w:val="00E23E5D"/>
    <w:rsid w:val="00E24D8A"/>
    <w:rsid w:val="00E24F54"/>
    <w:rsid w:val="00E2516F"/>
    <w:rsid w:val="00E25B4D"/>
    <w:rsid w:val="00E25BB7"/>
    <w:rsid w:val="00E261B9"/>
    <w:rsid w:val="00E263E0"/>
    <w:rsid w:val="00E26ABB"/>
    <w:rsid w:val="00E26ABC"/>
    <w:rsid w:val="00E26CC1"/>
    <w:rsid w:val="00E27589"/>
    <w:rsid w:val="00E27F3C"/>
    <w:rsid w:val="00E30084"/>
    <w:rsid w:val="00E30488"/>
    <w:rsid w:val="00E3049E"/>
    <w:rsid w:val="00E30B31"/>
    <w:rsid w:val="00E320D0"/>
    <w:rsid w:val="00E3241F"/>
    <w:rsid w:val="00E32A87"/>
    <w:rsid w:val="00E3369A"/>
    <w:rsid w:val="00E338C8"/>
    <w:rsid w:val="00E33EE8"/>
    <w:rsid w:val="00E349A4"/>
    <w:rsid w:val="00E3565C"/>
    <w:rsid w:val="00E3565D"/>
    <w:rsid w:val="00E35B26"/>
    <w:rsid w:val="00E35B99"/>
    <w:rsid w:val="00E35F79"/>
    <w:rsid w:val="00E36F91"/>
    <w:rsid w:val="00E37058"/>
    <w:rsid w:val="00E3706C"/>
    <w:rsid w:val="00E37635"/>
    <w:rsid w:val="00E3789B"/>
    <w:rsid w:val="00E37E6C"/>
    <w:rsid w:val="00E37E6F"/>
    <w:rsid w:val="00E4049E"/>
    <w:rsid w:val="00E407DD"/>
    <w:rsid w:val="00E408E3"/>
    <w:rsid w:val="00E40B5B"/>
    <w:rsid w:val="00E4141D"/>
    <w:rsid w:val="00E41574"/>
    <w:rsid w:val="00E419AE"/>
    <w:rsid w:val="00E41B74"/>
    <w:rsid w:val="00E41E7E"/>
    <w:rsid w:val="00E4268B"/>
    <w:rsid w:val="00E426DF"/>
    <w:rsid w:val="00E42B80"/>
    <w:rsid w:val="00E434DF"/>
    <w:rsid w:val="00E437C3"/>
    <w:rsid w:val="00E439D0"/>
    <w:rsid w:val="00E43AB5"/>
    <w:rsid w:val="00E44055"/>
    <w:rsid w:val="00E449C2"/>
    <w:rsid w:val="00E44BE3"/>
    <w:rsid w:val="00E44ED4"/>
    <w:rsid w:val="00E45058"/>
    <w:rsid w:val="00E4511B"/>
    <w:rsid w:val="00E45D71"/>
    <w:rsid w:val="00E45E18"/>
    <w:rsid w:val="00E463DA"/>
    <w:rsid w:val="00E46DC7"/>
    <w:rsid w:val="00E47164"/>
    <w:rsid w:val="00E4733A"/>
    <w:rsid w:val="00E47789"/>
    <w:rsid w:val="00E47B32"/>
    <w:rsid w:val="00E509B9"/>
    <w:rsid w:val="00E5153C"/>
    <w:rsid w:val="00E5187E"/>
    <w:rsid w:val="00E5191C"/>
    <w:rsid w:val="00E51D90"/>
    <w:rsid w:val="00E52A6D"/>
    <w:rsid w:val="00E52BAA"/>
    <w:rsid w:val="00E530B3"/>
    <w:rsid w:val="00E531F6"/>
    <w:rsid w:val="00E53746"/>
    <w:rsid w:val="00E53836"/>
    <w:rsid w:val="00E53B79"/>
    <w:rsid w:val="00E55B2B"/>
    <w:rsid w:val="00E55DFF"/>
    <w:rsid w:val="00E560B2"/>
    <w:rsid w:val="00E56AC0"/>
    <w:rsid w:val="00E56B77"/>
    <w:rsid w:val="00E57273"/>
    <w:rsid w:val="00E6064A"/>
    <w:rsid w:val="00E607E0"/>
    <w:rsid w:val="00E608DA"/>
    <w:rsid w:val="00E6094E"/>
    <w:rsid w:val="00E60CD8"/>
    <w:rsid w:val="00E60D1A"/>
    <w:rsid w:val="00E60EA0"/>
    <w:rsid w:val="00E6149B"/>
    <w:rsid w:val="00E61515"/>
    <w:rsid w:val="00E617F8"/>
    <w:rsid w:val="00E619A3"/>
    <w:rsid w:val="00E622A8"/>
    <w:rsid w:val="00E62927"/>
    <w:rsid w:val="00E62DC6"/>
    <w:rsid w:val="00E637B9"/>
    <w:rsid w:val="00E638B3"/>
    <w:rsid w:val="00E6484D"/>
    <w:rsid w:val="00E6509F"/>
    <w:rsid w:val="00E652D5"/>
    <w:rsid w:val="00E65310"/>
    <w:rsid w:val="00E659DE"/>
    <w:rsid w:val="00E66062"/>
    <w:rsid w:val="00E6619D"/>
    <w:rsid w:val="00E662A0"/>
    <w:rsid w:val="00E666A6"/>
    <w:rsid w:val="00E6684C"/>
    <w:rsid w:val="00E668C9"/>
    <w:rsid w:val="00E67841"/>
    <w:rsid w:val="00E67FD8"/>
    <w:rsid w:val="00E7067A"/>
    <w:rsid w:val="00E7069F"/>
    <w:rsid w:val="00E70EF9"/>
    <w:rsid w:val="00E71CE6"/>
    <w:rsid w:val="00E72BFE"/>
    <w:rsid w:val="00E7413E"/>
    <w:rsid w:val="00E74797"/>
    <w:rsid w:val="00E74812"/>
    <w:rsid w:val="00E74B4E"/>
    <w:rsid w:val="00E74E4C"/>
    <w:rsid w:val="00E74F22"/>
    <w:rsid w:val="00E74F9D"/>
    <w:rsid w:val="00E74FC5"/>
    <w:rsid w:val="00E75009"/>
    <w:rsid w:val="00E76D59"/>
    <w:rsid w:val="00E76DC9"/>
    <w:rsid w:val="00E771C7"/>
    <w:rsid w:val="00E775CE"/>
    <w:rsid w:val="00E77BB8"/>
    <w:rsid w:val="00E77D3B"/>
    <w:rsid w:val="00E803E8"/>
    <w:rsid w:val="00E80A1D"/>
    <w:rsid w:val="00E80A39"/>
    <w:rsid w:val="00E80C56"/>
    <w:rsid w:val="00E81AE7"/>
    <w:rsid w:val="00E81C52"/>
    <w:rsid w:val="00E82574"/>
    <w:rsid w:val="00E82DA4"/>
    <w:rsid w:val="00E832E5"/>
    <w:rsid w:val="00E83961"/>
    <w:rsid w:val="00E839B4"/>
    <w:rsid w:val="00E83C11"/>
    <w:rsid w:val="00E850CB"/>
    <w:rsid w:val="00E857B8"/>
    <w:rsid w:val="00E857CA"/>
    <w:rsid w:val="00E85E41"/>
    <w:rsid w:val="00E86143"/>
    <w:rsid w:val="00E8628F"/>
    <w:rsid w:val="00E867B0"/>
    <w:rsid w:val="00E86810"/>
    <w:rsid w:val="00E86BE8"/>
    <w:rsid w:val="00E8711A"/>
    <w:rsid w:val="00E8736B"/>
    <w:rsid w:val="00E874DA"/>
    <w:rsid w:val="00E87723"/>
    <w:rsid w:val="00E87731"/>
    <w:rsid w:val="00E903B8"/>
    <w:rsid w:val="00E904FD"/>
    <w:rsid w:val="00E90B67"/>
    <w:rsid w:val="00E90F78"/>
    <w:rsid w:val="00E913B9"/>
    <w:rsid w:val="00E914AE"/>
    <w:rsid w:val="00E92A47"/>
    <w:rsid w:val="00E92ABD"/>
    <w:rsid w:val="00E92C6C"/>
    <w:rsid w:val="00E9374F"/>
    <w:rsid w:val="00E9376F"/>
    <w:rsid w:val="00E938A4"/>
    <w:rsid w:val="00E93982"/>
    <w:rsid w:val="00E93F0E"/>
    <w:rsid w:val="00E940C7"/>
    <w:rsid w:val="00E94809"/>
    <w:rsid w:val="00E95001"/>
    <w:rsid w:val="00E95549"/>
    <w:rsid w:val="00E95C8E"/>
    <w:rsid w:val="00E95D30"/>
    <w:rsid w:val="00E95FB3"/>
    <w:rsid w:val="00E95FDF"/>
    <w:rsid w:val="00E9626E"/>
    <w:rsid w:val="00E964E7"/>
    <w:rsid w:val="00E96825"/>
    <w:rsid w:val="00E969FB"/>
    <w:rsid w:val="00E96A96"/>
    <w:rsid w:val="00E96B9E"/>
    <w:rsid w:val="00E97077"/>
    <w:rsid w:val="00E977BC"/>
    <w:rsid w:val="00E978C5"/>
    <w:rsid w:val="00E9799F"/>
    <w:rsid w:val="00E97AF9"/>
    <w:rsid w:val="00E97E73"/>
    <w:rsid w:val="00EA066A"/>
    <w:rsid w:val="00EA0C7F"/>
    <w:rsid w:val="00EA0DAD"/>
    <w:rsid w:val="00EA1680"/>
    <w:rsid w:val="00EA183B"/>
    <w:rsid w:val="00EA2393"/>
    <w:rsid w:val="00EA2EEA"/>
    <w:rsid w:val="00EA2F66"/>
    <w:rsid w:val="00EA3362"/>
    <w:rsid w:val="00EA434B"/>
    <w:rsid w:val="00EA481C"/>
    <w:rsid w:val="00EA4941"/>
    <w:rsid w:val="00EA4D30"/>
    <w:rsid w:val="00EA500C"/>
    <w:rsid w:val="00EA58FA"/>
    <w:rsid w:val="00EA5EF9"/>
    <w:rsid w:val="00EA6927"/>
    <w:rsid w:val="00EA69BF"/>
    <w:rsid w:val="00EA6C58"/>
    <w:rsid w:val="00EA7048"/>
    <w:rsid w:val="00EA7395"/>
    <w:rsid w:val="00EA7A42"/>
    <w:rsid w:val="00EA7B4E"/>
    <w:rsid w:val="00EA7EA6"/>
    <w:rsid w:val="00EB00B9"/>
    <w:rsid w:val="00EB04DA"/>
    <w:rsid w:val="00EB0755"/>
    <w:rsid w:val="00EB0885"/>
    <w:rsid w:val="00EB09E6"/>
    <w:rsid w:val="00EB0AC1"/>
    <w:rsid w:val="00EB14CF"/>
    <w:rsid w:val="00EB1DC5"/>
    <w:rsid w:val="00EB229C"/>
    <w:rsid w:val="00EB2481"/>
    <w:rsid w:val="00EB271B"/>
    <w:rsid w:val="00EB2832"/>
    <w:rsid w:val="00EB29E1"/>
    <w:rsid w:val="00EB37D4"/>
    <w:rsid w:val="00EB4ACF"/>
    <w:rsid w:val="00EB614B"/>
    <w:rsid w:val="00EB614D"/>
    <w:rsid w:val="00EB625F"/>
    <w:rsid w:val="00EB6482"/>
    <w:rsid w:val="00EB6614"/>
    <w:rsid w:val="00EB72DF"/>
    <w:rsid w:val="00EB7794"/>
    <w:rsid w:val="00EB7E0B"/>
    <w:rsid w:val="00EB7E6D"/>
    <w:rsid w:val="00EC015F"/>
    <w:rsid w:val="00EC0184"/>
    <w:rsid w:val="00EC0243"/>
    <w:rsid w:val="00EC0D5D"/>
    <w:rsid w:val="00EC1506"/>
    <w:rsid w:val="00EC170B"/>
    <w:rsid w:val="00EC1C2C"/>
    <w:rsid w:val="00EC1E41"/>
    <w:rsid w:val="00EC1FEB"/>
    <w:rsid w:val="00EC2F83"/>
    <w:rsid w:val="00EC3215"/>
    <w:rsid w:val="00EC323A"/>
    <w:rsid w:val="00EC3438"/>
    <w:rsid w:val="00EC34F3"/>
    <w:rsid w:val="00EC43FB"/>
    <w:rsid w:val="00EC6760"/>
    <w:rsid w:val="00EC686B"/>
    <w:rsid w:val="00EC699C"/>
    <w:rsid w:val="00EC6CB8"/>
    <w:rsid w:val="00EC6EDD"/>
    <w:rsid w:val="00EC706B"/>
    <w:rsid w:val="00EC712E"/>
    <w:rsid w:val="00EC7384"/>
    <w:rsid w:val="00EC7473"/>
    <w:rsid w:val="00EC754B"/>
    <w:rsid w:val="00ED0702"/>
    <w:rsid w:val="00ED0998"/>
    <w:rsid w:val="00ED0A64"/>
    <w:rsid w:val="00ED0E87"/>
    <w:rsid w:val="00ED1382"/>
    <w:rsid w:val="00ED1CD0"/>
    <w:rsid w:val="00ED1D38"/>
    <w:rsid w:val="00ED2504"/>
    <w:rsid w:val="00ED294F"/>
    <w:rsid w:val="00ED2A18"/>
    <w:rsid w:val="00ED311E"/>
    <w:rsid w:val="00ED3561"/>
    <w:rsid w:val="00ED3BA3"/>
    <w:rsid w:val="00ED3ED6"/>
    <w:rsid w:val="00ED5091"/>
    <w:rsid w:val="00ED51C6"/>
    <w:rsid w:val="00ED51E1"/>
    <w:rsid w:val="00ED550D"/>
    <w:rsid w:val="00ED5DDE"/>
    <w:rsid w:val="00ED62E3"/>
    <w:rsid w:val="00ED631F"/>
    <w:rsid w:val="00ED6839"/>
    <w:rsid w:val="00ED6A84"/>
    <w:rsid w:val="00ED6BF7"/>
    <w:rsid w:val="00ED724E"/>
    <w:rsid w:val="00ED7299"/>
    <w:rsid w:val="00EE0161"/>
    <w:rsid w:val="00EE1028"/>
    <w:rsid w:val="00EE1AB2"/>
    <w:rsid w:val="00EE1D2F"/>
    <w:rsid w:val="00EE1E29"/>
    <w:rsid w:val="00EE1F6F"/>
    <w:rsid w:val="00EE202C"/>
    <w:rsid w:val="00EE21ED"/>
    <w:rsid w:val="00EE2260"/>
    <w:rsid w:val="00EE25F8"/>
    <w:rsid w:val="00EE2CD7"/>
    <w:rsid w:val="00EE3257"/>
    <w:rsid w:val="00EE3966"/>
    <w:rsid w:val="00EE3C33"/>
    <w:rsid w:val="00EE3E73"/>
    <w:rsid w:val="00EE404E"/>
    <w:rsid w:val="00EE47B1"/>
    <w:rsid w:val="00EE4AD9"/>
    <w:rsid w:val="00EE4F4E"/>
    <w:rsid w:val="00EE54A6"/>
    <w:rsid w:val="00EE5A5B"/>
    <w:rsid w:val="00EE5FB3"/>
    <w:rsid w:val="00EE613D"/>
    <w:rsid w:val="00EE61F7"/>
    <w:rsid w:val="00EE6240"/>
    <w:rsid w:val="00EE694F"/>
    <w:rsid w:val="00EE7881"/>
    <w:rsid w:val="00EE78D6"/>
    <w:rsid w:val="00EE7967"/>
    <w:rsid w:val="00EE7D68"/>
    <w:rsid w:val="00EF013D"/>
    <w:rsid w:val="00EF0E51"/>
    <w:rsid w:val="00EF0E5D"/>
    <w:rsid w:val="00EF1608"/>
    <w:rsid w:val="00EF1A22"/>
    <w:rsid w:val="00EF1C38"/>
    <w:rsid w:val="00EF3CC3"/>
    <w:rsid w:val="00EF3F84"/>
    <w:rsid w:val="00EF4219"/>
    <w:rsid w:val="00EF47D9"/>
    <w:rsid w:val="00EF4C13"/>
    <w:rsid w:val="00EF5EBC"/>
    <w:rsid w:val="00EF634B"/>
    <w:rsid w:val="00EF6EE0"/>
    <w:rsid w:val="00EF75EA"/>
    <w:rsid w:val="00EF7BCF"/>
    <w:rsid w:val="00EF7E31"/>
    <w:rsid w:val="00F0009E"/>
    <w:rsid w:val="00F00771"/>
    <w:rsid w:val="00F00FB3"/>
    <w:rsid w:val="00F010F1"/>
    <w:rsid w:val="00F01340"/>
    <w:rsid w:val="00F0179F"/>
    <w:rsid w:val="00F019E5"/>
    <w:rsid w:val="00F01A09"/>
    <w:rsid w:val="00F02504"/>
    <w:rsid w:val="00F02872"/>
    <w:rsid w:val="00F03044"/>
    <w:rsid w:val="00F03393"/>
    <w:rsid w:val="00F03FDA"/>
    <w:rsid w:val="00F04AC3"/>
    <w:rsid w:val="00F04BDE"/>
    <w:rsid w:val="00F05B4C"/>
    <w:rsid w:val="00F05D30"/>
    <w:rsid w:val="00F06266"/>
    <w:rsid w:val="00F0672B"/>
    <w:rsid w:val="00F074E2"/>
    <w:rsid w:val="00F0768C"/>
    <w:rsid w:val="00F102B2"/>
    <w:rsid w:val="00F10896"/>
    <w:rsid w:val="00F109F5"/>
    <w:rsid w:val="00F10F3F"/>
    <w:rsid w:val="00F11EEA"/>
    <w:rsid w:val="00F1254A"/>
    <w:rsid w:val="00F12D5D"/>
    <w:rsid w:val="00F13545"/>
    <w:rsid w:val="00F13F6D"/>
    <w:rsid w:val="00F14F2A"/>
    <w:rsid w:val="00F15167"/>
    <w:rsid w:val="00F158C0"/>
    <w:rsid w:val="00F161FA"/>
    <w:rsid w:val="00F1654F"/>
    <w:rsid w:val="00F167BF"/>
    <w:rsid w:val="00F16C8E"/>
    <w:rsid w:val="00F16EF9"/>
    <w:rsid w:val="00F16F07"/>
    <w:rsid w:val="00F1719A"/>
    <w:rsid w:val="00F179C7"/>
    <w:rsid w:val="00F17DAA"/>
    <w:rsid w:val="00F2038B"/>
    <w:rsid w:val="00F2064B"/>
    <w:rsid w:val="00F209AB"/>
    <w:rsid w:val="00F20DB6"/>
    <w:rsid w:val="00F20F65"/>
    <w:rsid w:val="00F20FC5"/>
    <w:rsid w:val="00F21343"/>
    <w:rsid w:val="00F2172B"/>
    <w:rsid w:val="00F218E3"/>
    <w:rsid w:val="00F21C86"/>
    <w:rsid w:val="00F21CF9"/>
    <w:rsid w:val="00F21DD0"/>
    <w:rsid w:val="00F22393"/>
    <w:rsid w:val="00F223EE"/>
    <w:rsid w:val="00F22AF2"/>
    <w:rsid w:val="00F22D51"/>
    <w:rsid w:val="00F2306B"/>
    <w:rsid w:val="00F2338B"/>
    <w:rsid w:val="00F2362D"/>
    <w:rsid w:val="00F23ACF"/>
    <w:rsid w:val="00F23EB0"/>
    <w:rsid w:val="00F24808"/>
    <w:rsid w:val="00F24EAE"/>
    <w:rsid w:val="00F2543C"/>
    <w:rsid w:val="00F25B8B"/>
    <w:rsid w:val="00F25EA9"/>
    <w:rsid w:val="00F27094"/>
    <w:rsid w:val="00F27299"/>
    <w:rsid w:val="00F2756F"/>
    <w:rsid w:val="00F275DF"/>
    <w:rsid w:val="00F276AE"/>
    <w:rsid w:val="00F278E3"/>
    <w:rsid w:val="00F27A6B"/>
    <w:rsid w:val="00F27C71"/>
    <w:rsid w:val="00F27D67"/>
    <w:rsid w:val="00F3065F"/>
    <w:rsid w:val="00F30699"/>
    <w:rsid w:val="00F30902"/>
    <w:rsid w:val="00F3092B"/>
    <w:rsid w:val="00F312BB"/>
    <w:rsid w:val="00F318F0"/>
    <w:rsid w:val="00F31ACE"/>
    <w:rsid w:val="00F31B62"/>
    <w:rsid w:val="00F31FA6"/>
    <w:rsid w:val="00F32BE4"/>
    <w:rsid w:val="00F32C7E"/>
    <w:rsid w:val="00F32E03"/>
    <w:rsid w:val="00F331EE"/>
    <w:rsid w:val="00F33698"/>
    <w:rsid w:val="00F339D9"/>
    <w:rsid w:val="00F33B83"/>
    <w:rsid w:val="00F33CCB"/>
    <w:rsid w:val="00F33CFD"/>
    <w:rsid w:val="00F33F31"/>
    <w:rsid w:val="00F33FD6"/>
    <w:rsid w:val="00F3400E"/>
    <w:rsid w:val="00F349C9"/>
    <w:rsid w:val="00F34EFF"/>
    <w:rsid w:val="00F35DCC"/>
    <w:rsid w:val="00F362DF"/>
    <w:rsid w:val="00F36A74"/>
    <w:rsid w:val="00F36BC0"/>
    <w:rsid w:val="00F37053"/>
    <w:rsid w:val="00F372E2"/>
    <w:rsid w:val="00F3776E"/>
    <w:rsid w:val="00F37782"/>
    <w:rsid w:val="00F37947"/>
    <w:rsid w:val="00F37A3D"/>
    <w:rsid w:val="00F37F6D"/>
    <w:rsid w:val="00F402FE"/>
    <w:rsid w:val="00F4055C"/>
    <w:rsid w:val="00F40754"/>
    <w:rsid w:val="00F40A86"/>
    <w:rsid w:val="00F40D46"/>
    <w:rsid w:val="00F40ED6"/>
    <w:rsid w:val="00F40FF8"/>
    <w:rsid w:val="00F4114A"/>
    <w:rsid w:val="00F411CD"/>
    <w:rsid w:val="00F413DD"/>
    <w:rsid w:val="00F417EF"/>
    <w:rsid w:val="00F4188F"/>
    <w:rsid w:val="00F41CE4"/>
    <w:rsid w:val="00F41E1C"/>
    <w:rsid w:val="00F41E95"/>
    <w:rsid w:val="00F41ECF"/>
    <w:rsid w:val="00F4212D"/>
    <w:rsid w:val="00F4226F"/>
    <w:rsid w:val="00F42337"/>
    <w:rsid w:val="00F426E2"/>
    <w:rsid w:val="00F428C0"/>
    <w:rsid w:val="00F42A57"/>
    <w:rsid w:val="00F42FB7"/>
    <w:rsid w:val="00F43244"/>
    <w:rsid w:val="00F43634"/>
    <w:rsid w:val="00F439EF"/>
    <w:rsid w:val="00F44151"/>
    <w:rsid w:val="00F443CA"/>
    <w:rsid w:val="00F44736"/>
    <w:rsid w:val="00F4478C"/>
    <w:rsid w:val="00F447C8"/>
    <w:rsid w:val="00F44D08"/>
    <w:rsid w:val="00F44E6B"/>
    <w:rsid w:val="00F453ED"/>
    <w:rsid w:val="00F45807"/>
    <w:rsid w:val="00F45ABF"/>
    <w:rsid w:val="00F45B05"/>
    <w:rsid w:val="00F45FAA"/>
    <w:rsid w:val="00F46332"/>
    <w:rsid w:val="00F463EE"/>
    <w:rsid w:val="00F46AD9"/>
    <w:rsid w:val="00F47072"/>
    <w:rsid w:val="00F477B9"/>
    <w:rsid w:val="00F50283"/>
    <w:rsid w:val="00F50318"/>
    <w:rsid w:val="00F50637"/>
    <w:rsid w:val="00F506B3"/>
    <w:rsid w:val="00F50738"/>
    <w:rsid w:val="00F509C3"/>
    <w:rsid w:val="00F50E1A"/>
    <w:rsid w:val="00F51486"/>
    <w:rsid w:val="00F51531"/>
    <w:rsid w:val="00F51632"/>
    <w:rsid w:val="00F51A65"/>
    <w:rsid w:val="00F521FD"/>
    <w:rsid w:val="00F52558"/>
    <w:rsid w:val="00F52691"/>
    <w:rsid w:val="00F52E30"/>
    <w:rsid w:val="00F53135"/>
    <w:rsid w:val="00F535CC"/>
    <w:rsid w:val="00F53EBA"/>
    <w:rsid w:val="00F53F2D"/>
    <w:rsid w:val="00F54156"/>
    <w:rsid w:val="00F542C1"/>
    <w:rsid w:val="00F54D6D"/>
    <w:rsid w:val="00F555F0"/>
    <w:rsid w:val="00F5565E"/>
    <w:rsid w:val="00F56279"/>
    <w:rsid w:val="00F56336"/>
    <w:rsid w:val="00F563D6"/>
    <w:rsid w:val="00F5677D"/>
    <w:rsid w:val="00F56B85"/>
    <w:rsid w:val="00F56E0B"/>
    <w:rsid w:val="00F57717"/>
    <w:rsid w:val="00F60788"/>
    <w:rsid w:val="00F608B9"/>
    <w:rsid w:val="00F60A2D"/>
    <w:rsid w:val="00F60E13"/>
    <w:rsid w:val="00F60EB2"/>
    <w:rsid w:val="00F610AD"/>
    <w:rsid w:val="00F615DC"/>
    <w:rsid w:val="00F6193C"/>
    <w:rsid w:val="00F61A8C"/>
    <w:rsid w:val="00F61BBA"/>
    <w:rsid w:val="00F62099"/>
    <w:rsid w:val="00F6214C"/>
    <w:rsid w:val="00F62477"/>
    <w:rsid w:val="00F625EC"/>
    <w:rsid w:val="00F6291C"/>
    <w:rsid w:val="00F6345A"/>
    <w:rsid w:val="00F63464"/>
    <w:rsid w:val="00F637BB"/>
    <w:rsid w:val="00F6497B"/>
    <w:rsid w:val="00F64B34"/>
    <w:rsid w:val="00F64C09"/>
    <w:rsid w:val="00F6507E"/>
    <w:rsid w:val="00F650A5"/>
    <w:rsid w:val="00F651EC"/>
    <w:rsid w:val="00F65620"/>
    <w:rsid w:val="00F656DB"/>
    <w:rsid w:val="00F658CC"/>
    <w:rsid w:val="00F6615B"/>
    <w:rsid w:val="00F66CB0"/>
    <w:rsid w:val="00F67775"/>
    <w:rsid w:val="00F679F2"/>
    <w:rsid w:val="00F67B0E"/>
    <w:rsid w:val="00F67CAF"/>
    <w:rsid w:val="00F67E49"/>
    <w:rsid w:val="00F7088E"/>
    <w:rsid w:val="00F719FC"/>
    <w:rsid w:val="00F722A3"/>
    <w:rsid w:val="00F72EAA"/>
    <w:rsid w:val="00F7301E"/>
    <w:rsid w:val="00F7367E"/>
    <w:rsid w:val="00F73F12"/>
    <w:rsid w:val="00F741A7"/>
    <w:rsid w:val="00F742F8"/>
    <w:rsid w:val="00F748EA"/>
    <w:rsid w:val="00F74F7D"/>
    <w:rsid w:val="00F75095"/>
    <w:rsid w:val="00F75737"/>
    <w:rsid w:val="00F757AF"/>
    <w:rsid w:val="00F76408"/>
    <w:rsid w:val="00F76A35"/>
    <w:rsid w:val="00F7716E"/>
    <w:rsid w:val="00F7741E"/>
    <w:rsid w:val="00F77932"/>
    <w:rsid w:val="00F77ED9"/>
    <w:rsid w:val="00F806A0"/>
    <w:rsid w:val="00F80AEA"/>
    <w:rsid w:val="00F811DB"/>
    <w:rsid w:val="00F813BD"/>
    <w:rsid w:val="00F81D31"/>
    <w:rsid w:val="00F82763"/>
    <w:rsid w:val="00F82F24"/>
    <w:rsid w:val="00F8314A"/>
    <w:rsid w:val="00F8406A"/>
    <w:rsid w:val="00F84103"/>
    <w:rsid w:val="00F845C6"/>
    <w:rsid w:val="00F84A0B"/>
    <w:rsid w:val="00F84E22"/>
    <w:rsid w:val="00F84FCB"/>
    <w:rsid w:val="00F8563D"/>
    <w:rsid w:val="00F85F25"/>
    <w:rsid w:val="00F87CFF"/>
    <w:rsid w:val="00F903BE"/>
    <w:rsid w:val="00F907A8"/>
    <w:rsid w:val="00F907E5"/>
    <w:rsid w:val="00F90CF2"/>
    <w:rsid w:val="00F910D2"/>
    <w:rsid w:val="00F91775"/>
    <w:rsid w:val="00F91F0C"/>
    <w:rsid w:val="00F92250"/>
    <w:rsid w:val="00F928A8"/>
    <w:rsid w:val="00F92ADD"/>
    <w:rsid w:val="00F92C05"/>
    <w:rsid w:val="00F92C7C"/>
    <w:rsid w:val="00F93010"/>
    <w:rsid w:val="00F934FD"/>
    <w:rsid w:val="00F93CDA"/>
    <w:rsid w:val="00F941F2"/>
    <w:rsid w:val="00F94534"/>
    <w:rsid w:val="00F94705"/>
    <w:rsid w:val="00F94744"/>
    <w:rsid w:val="00F94CE4"/>
    <w:rsid w:val="00F94DD3"/>
    <w:rsid w:val="00F951A9"/>
    <w:rsid w:val="00F952E3"/>
    <w:rsid w:val="00F9554F"/>
    <w:rsid w:val="00F95E69"/>
    <w:rsid w:val="00F9680E"/>
    <w:rsid w:val="00F96D0D"/>
    <w:rsid w:val="00F96ECE"/>
    <w:rsid w:val="00F972E0"/>
    <w:rsid w:val="00F9757F"/>
    <w:rsid w:val="00F979C4"/>
    <w:rsid w:val="00FA028E"/>
    <w:rsid w:val="00FA0D03"/>
    <w:rsid w:val="00FA0F28"/>
    <w:rsid w:val="00FA1250"/>
    <w:rsid w:val="00FA166F"/>
    <w:rsid w:val="00FA1898"/>
    <w:rsid w:val="00FA1FDE"/>
    <w:rsid w:val="00FA246F"/>
    <w:rsid w:val="00FA26D3"/>
    <w:rsid w:val="00FA2779"/>
    <w:rsid w:val="00FA2866"/>
    <w:rsid w:val="00FA2B05"/>
    <w:rsid w:val="00FA3BCB"/>
    <w:rsid w:val="00FA3DAE"/>
    <w:rsid w:val="00FA4124"/>
    <w:rsid w:val="00FA45D6"/>
    <w:rsid w:val="00FA4D9A"/>
    <w:rsid w:val="00FA5B63"/>
    <w:rsid w:val="00FA5C13"/>
    <w:rsid w:val="00FA6518"/>
    <w:rsid w:val="00FA699D"/>
    <w:rsid w:val="00FA718D"/>
    <w:rsid w:val="00FA71CF"/>
    <w:rsid w:val="00FB064C"/>
    <w:rsid w:val="00FB0999"/>
    <w:rsid w:val="00FB11D0"/>
    <w:rsid w:val="00FB278F"/>
    <w:rsid w:val="00FB3294"/>
    <w:rsid w:val="00FB3860"/>
    <w:rsid w:val="00FB4505"/>
    <w:rsid w:val="00FB458E"/>
    <w:rsid w:val="00FB4E26"/>
    <w:rsid w:val="00FB4F97"/>
    <w:rsid w:val="00FB5520"/>
    <w:rsid w:val="00FB581D"/>
    <w:rsid w:val="00FB5FA6"/>
    <w:rsid w:val="00FB61DA"/>
    <w:rsid w:val="00FB6278"/>
    <w:rsid w:val="00FB6606"/>
    <w:rsid w:val="00FB691E"/>
    <w:rsid w:val="00FB6C43"/>
    <w:rsid w:val="00FB7491"/>
    <w:rsid w:val="00FB74EE"/>
    <w:rsid w:val="00FB7AE4"/>
    <w:rsid w:val="00FC0422"/>
    <w:rsid w:val="00FC10AB"/>
    <w:rsid w:val="00FC1204"/>
    <w:rsid w:val="00FC1857"/>
    <w:rsid w:val="00FC1C68"/>
    <w:rsid w:val="00FC1EC4"/>
    <w:rsid w:val="00FC1ECF"/>
    <w:rsid w:val="00FC2237"/>
    <w:rsid w:val="00FC2C44"/>
    <w:rsid w:val="00FC2CAA"/>
    <w:rsid w:val="00FC2D3D"/>
    <w:rsid w:val="00FC2F33"/>
    <w:rsid w:val="00FC3717"/>
    <w:rsid w:val="00FC39AA"/>
    <w:rsid w:val="00FC3ECC"/>
    <w:rsid w:val="00FC416F"/>
    <w:rsid w:val="00FC4480"/>
    <w:rsid w:val="00FC48E4"/>
    <w:rsid w:val="00FC51D0"/>
    <w:rsid w:val="00FC521F"/>
    <w:rsid w:val="00FC5490"/>
    <w:rsid w:val="00FC6FC5"/>
    <w:rsid w:val="00FC7830"/>
    <w:rsid w:val="00FC794E"/>
    <w:rsid w:val="00FD0472"/>
    <w:rsid w:val="00FD065E"/>
    <w:rsid w:val="00FD07C3"/>
    <w:rsid w:val="00FD08ED"/>
    <w:rsid w:val="00FD0989"/>
    <w:rsid w:val="00FD0A83"/>
    <w:rsid w:val="00FD0AE7"/>
    <w:rsid w:val="00FD0CDD"/>
    <w:rsid w:val="00FD0D3E"/>
    <w:rsid w:val="00FD133A"/>
    <w:rsid w:val="00FD1691"/>
    <w:rsid w:val="00FD2648"/>
    <w:rsid w:val="00FD26E5"/>
    <w:rsid w:val="00FD2792"/>
    <w:rsid w:val="00FD336B"/>
    <w:rsid w:val="00FD4095"/>
    <w:rsid w:val="00FD43E0"/>
    <w:rsid w:val="00FD468D"/>
    <w:rsid w:val="00FD48E7"/>
    <w:rsid w:val="00FD4BE0"/>
    <w:rsid w:val="00FD4EC5"/>
    <w:rsid w:val="00FD5303"/>
    <w:rsid w:val="00FD59A1"/>
    <w:rsid w:val="00FD628F"/>
    <w:rsid w:val="00FD64E1"/>
    <w:rsid w:val="00FD66FF"/>
    <w:rsid w:val="00FD6A9B"/>
    <w:rsid w:val="00FD70C3"/>
    <w:rsid w:val="00FD7353"/>
    <w:rsid w:val="00FE0772"/>
    <w:rsid w:val="00FE07BB"/>
    <w:rsid w:val="00FE0A69"/>
    <w:rsid w:val="00FE1BD8"/>
    <w:rsid w:val="00FE21CE"/>
    <w:rsid w:val="00FE2660"/>
    <w:rsid w:val="00FE2E29"/>
    <w:rsid w:val="00FE3921"/>
    <w:rsid w:val="00FE3954"/>
    <w:rsid w:val="00FE3A51"/>
    <w:rsid w:val="00FE3C08"/>
    <w:rsid w:val="00FE3E6A"/>
    <w:rsid w:val="00FE4165"/>
    <w:rsid w:val="00FE4299"/>
    <w:rsid w:val="00FE4F49"/>
    <w:rsid w:val="00FE5068"/>
    <w:rsid w:val="00FE57F9"/>
    <w:rsid w:val="00FE60C9"/>
    <w:rsid w:val="00FE6A9C"/>
    <w:rsid w:val="00FE7079"/>
    <w:rsid w:val="00FE723F"/>
    <w:rsid w:val="00FE7374"/>
    <w:rsid w:val="00FE795F"/>
    <w:rsid w:val="00FE7A65"/>
    <w:rsid w:val="00FF0245"/>
    <w:rsid w:val="00FF046F"/>
    <w:rsid w:val="00FF0899"/>
    <w:rsid w:val="00FF1A6D"/>
    <w:rsid w:val="00FF20B9"/>
    <w:rsid w:val="00FF2851"/>
    <w:rsid w:val="00FF36AF"/>
    <w:rsid w:val="00FF3898"/>
    <w:rsid w:val="00FF3A16"/>
    <w:rsid w:val="00FF3E53"/>
    <w:rsid w:val="00FF407A"/>
    <w:rsid w:val="00FF4E65"/>
    <w:rsid w:val="00FF5D58"/>
    <w:rsid w:val="00FF6B01"/>
    <w:rsid w:val="00FF6C35"/>
    <w:rsid w:val="00FF6D58"/>
    <w:rsid w:val="00FF703B"/>
    <w:rsid w:val="00FF7085"/>
    <w:rsid w:val="00FF7444"/>
    <w:rsid w:val="00FF7630"/>
    <w:rsid w:val="00FF7646"/>
    <w:rsid w:val="00FF77E1"/>
    <w:rsid w:val="00FF7A90"/>
    <w:rsid w:val="00FF7BB0"/>
    <w:rsid w:val="00FF7CDC"/>
    <w:rsid w:val="00FF7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145D5FB5-0AB9-433F-B607-4D99AA08D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998"/>
    <w:pPr>
      <w:jc w:val="both"/>
    </w:pPr>
    <w:rPr>
      <w:rFonts w:ascii="ZapfCalligr BT" w:hAnsi="ZapfCalligr BT" w:cs="ZapfCalligr BT"/>
    </w:rPr>
  </w:style>
  <w:style w:type="paragraph" w:styleId="Heading1">
    <w:name w:val="heading 1"/>
    <w:basedOn w:val="Normal"/>
    <w:next w:val="Normal"/>
    <w:link w:val="Heading1Char"/>
    <w:uiPriority w:val="99"/>
    <w:qFormat/>
    <w:rsid w:val="00866ADF"/>
    <w:pPr>
      <w:keepNext/>
      <w:shd w:val="clear" w:color="auto" w:fill="3366FF"/>
      <w:outlineLvl w:val="0"/>
    </w:pPr>
    <w:rPr>
      <w:rFonts w:ascii="Arial" w:hAnsi="Arial" w:cs="Arial"/>
      <w:b/>
      <w:bCs/>
      <w:color w:val="FFCC00"/>
      <w:sz w:val="28"/>
      <w:szCs w:val="28"/>
      <w:lang w:eastAsia="en-US"/>
    </w:rPr>
  </w:style>
  <w:style w:type="paragraph" w:styleId="Heading2">
    <w:name w:val="heading 2"/>
    <w:basedOn w:val="Normal"/>
    <w:next w:val="Normal"/>
    <w:link w:val="Heading2Char"/>
    <w:uiPriority w:val="99"/>
    <w:qFormat/>
    <w:rsid w:val="00866ADF"/>
    <w:pPr>
      <w:keepNext/>
      <w:shd w:val="clear" w:color="auto" w:fill="99CCFF"/>
      <w:outlineLvl w:val="1"/>
    </w:pPr>
    <w:rPr>
      <w:rFonts w:ascii="Arial" w:hAnsi="Arial" w:cs="Arial"/>
      <w:b/>
      <w:bCs/>
      <w:sz w:val="24"/>
      <w:szCs w:val="24"/>
      <w:lang w:eastAsia="en-US"/>
    </w:rPr>
  </w:style>
  <w:style w:type="paragraph" w:styleId="Heading3">
    <w:name w:val="heading 3"/>
    <w:basedOn w:val="Normal"/>
    <w:next w:val="Normal"/>
    <w:link w:val="Heading3Char"/>
    <w:uiPriority w:val="99"/>
    <w:qFormat/>
    <w:rsid w:val="00866ADF"/>
    <w:pPr>
      <w:keepNext/>
      <w:tabs>
        <w:tab w:val="left" w:pos="1560"/>
        <w:tab w:val="left" w:pos="2410"/>
        <w:tab w:val="decimal" w:leader="dot" w:pos="8732"/>
      </w:tabs>
      <w:jc w:val="center"/>
      <w:outlineLvl w:val="2"/>
    </w:pPr>
    <w:rPr>
      <w:b/>
      <w:bCs/>
      <w:sz w:val="28"/>
      <w:szCs w:val="28"/>
      <w:u w:val="single"/>
      <w:lang w:eastAsia="en-US"/>
    </w:rPr>
  </w:style>
  <w:style w:type="paragraph" w:styleId="Heading4">
    <w:name w:val="heading 4"/>
    <w:basedOn w:val="Normal"/>
    <w:next w:val="Normal"/>
    <w:link w:val="Heading4Char"/>
    <w:uiPriority w:val="99"/>
    <w:qFormat/>
    <w:rsid w:val="00866ADF"/>
    <w:pPr>
      <w:keepNext/>
      <w:tabs>
        <w:tab w:val="left" w:pos="1560"/>
        <w:tab w:val="left" w:pos="2410"/>
        <w:tab w:val="decimal" w:leader="dot" w:pos="8732"/>
      </w:tabs>
      <w:jc w:val="center"/>
      <w:outlineLvl w:val="3"/>
    </w:pPr>
    <w:rPr>
      <w:b/>
      <w:bCs/>
      <w:sz w:val="26"/>
      <w:szCs w:val="26"/>
      <w:u w:val="single"/>
      <w:lang w:eastAsia="en-US"/>
    </w:rPr>
  </w:style>
  <w:style w:type="paragraph" w:styleId="Heading5">
    <w:name w:val="heading 5"/>
    <w:basedOn w:val="Normal"/>
    <w:next w:val="Normal"/>
    <w:link w:val="Heading5Char"/>
    <w:uiPriority w:val="99"/>
    <w:qFormat/>
    <w:rsid w:val="00866ADF"/>
    <w:pPr>
      <w:keepNext/>
      <w:tabs>
        <w:tab w:val="left" w:pos="1560"/>
        <w:tab w:val="left" w:pos="2410"/>
        <w:tab w:val="decimal" w:leader="dot" w:pos="8732"/>
      </w:tabs>
      <w:outlineLvl w:val="4"/>
    </w:pPr>
    <w:rPr>
      <w:b/>
      <w:bCs/>
      <w:sz w:val="28"/>
      <w:szCs w:val="28"/>
      <w:u w:val="single"/>
      <w:lang w:eastAsia="en-US"/>
    </w:rPr>
  </w:style>
  <w:style w:type="paragraph" w:styleId="Heading6">
    <w:name w:val="heading 6"/>
    <w:basedOn w:val="Normal"/>
    <w:next w:val="Normal"/>
    <w:link w:val="Heading6Char"/>
    <w:uiPriority w:val="99"/>
    <w:qFormat/>
    <w:rsid w:val="00866ADF"/>
    <w:pPr>
      <w:spacing w:before="240" w:after="60"/>
      <w:outlineLvl w:val="5"/>
    </w:pPr>
    <w:rPr>
      <w:rFonts w:ascii="Arial" w:hAnsi="Arial" w:cs="Arial"/>
      <w:b/>
      <w:bCs/>
    </w:rPr>
  </w:style>
  <w:style w:type="paragraph" w:styleId="Heading7">
    <w:name w:val="heading 7"/>
    <w:basedOn w:val="Normal"/>
    <w:next w:val="Normal"/>
    <w:link w:val="Heading7Char"/>
    <w:uiPriority w:val="99"/>
    <w:qFormat/>
    <w:rsid w:val="00866ADF"/>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uiPriority w:val="99"/>
    <w:qFormat/>
    <w:rsid w:val="00866ADF"/>
    <w:pPr>
      <w:keepNext/>
      <w:outlineLvl w:val="7"/>
    </w:pPr>
    <w:rPr>
      <w:sz w:val="26"/>
      <w:szCs w:val="26"/>
      <w:u w:val="single"/>
      <w:lang w:eastAsia="en-US"/>
    </w:rPr>
  </w:style>
  <w:style w:type="paragraph" w:styleId="Heading9">
    <w:name w:val="heading 9"/>
    <w:basedOn w:val="Normal"/>
    <w:next w:val="Normal"/>
    <w:link w:val="Heading9Char"/>
    <w:uiPriority w:val="99"/>
    <w:qFormat/>
    <w:rsid w:val="00866ADF"/>
    <w:pPr>
      <w:keepNext/>
      <w:outlineLvl w:val="8"/>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2A1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12A1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E12A15"/>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E12A15"/>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E12A15"/>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E12A15"/>
    <w:rPr>
      <w:rFonts w:ascii="Calibri" w:hAnsi="Calibri" w:cs="Calibri"/>
      <w:b/>
      <w:bCs/>
    </w:rPr>
  </w:style>
  <w:style w:type="character" w:customStyle="1" w:styleId="Heading7Char">
    <w:name w:val="Heading 7 Char"/>
    <w:basedOn w:val="DefaultParagraphFont"/>
    <w:link w:val="Heading7"/>
    <w:uiPriority w:val="99"/>
    <w:semiHidden/>
    <w:locked/>
    <w:rsid w:val="00E12A15"/>
    <w:rPr>
      <w:rFonts w:ascii="Calibri" w:hAnsi="Calibri" w:cs="Calibri"/>
      <w:sz w:val="24"/>
      <w:szCs w:val="24"/>
    </w:rPr>
  </w:style>
  <w:style w:type="character" w:customStyle="1" w:styleId="Heading8Char">
    <w:name w:val="Heading 8 Char"/>
    <w:basedOn w:val="DefaultParagraphFont"/>
    <w:link w:val="Heading8"/>
    <w:uiPriority w:val="99"/>
    <w:semiHidden/>
    <w:locked/>
    <w:rsid w:val="00E12A15"/>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E12A15"/>
    <w:rPr>
      <w:rFonts w:ascii="Cambria" w:hAnsi="Cambria" w:cs="Cambria"/>
    </w:rPr>
  </w:style>
  <w:style w:type="table" w:styleId="TableGrid">
    <w:name w:val="Table Grid"/>
    <w:basedOn w:val="TableNormal"/>
    <w:uiPriority w:val="59"/>
    <w:rsid w:val="00ED0998"/>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D0998"/>
    <w:rPr>
      <w:rFonts w:cs="Times New Roman"/>
      <w:color w:val="0000FF"/>
      <w:u w:val="single"/>
    </w:rPr>
  </w:style>
  <w:style w:type="paragraph" w:styleId="Footer">
    <w:name w:val="footer"/>
    <w:basedOn w:val="Normal"/>
    <w:link w:val="FooterChar"/>
    <w:uiPriority w:val="99"/>
    <w:rsid w:val="00ED0998"/>
    <w:pPr>
      <w:tabs>
        <w:tab w:val="center" w:pos="4153"/>
        <w:tab w:val="right" w:pos="8306"/>
      </w:tabs>
    </w:pPr>
  </w:style>
  <w:style w:type="character" w:customStyle="1" w:styleId="FooterChar">
    <w:name w:val="Footer Char"/>
    <w:basedOn w:val="DefaultParagraphFont"/>
    <w:link w:val="Footer"/>
    <w:uiPriority w:val="99"/>
    <w:locked/>
    <w:rsid w:val="00E12A15"/>
    <w:rPr>
      <w:rFonts w:ascii="ZapfCalligr BT" w:hAnsi="ZapfCalligr BT" w:cs="ZapfCalligr BT"/>
      <w:sz w:val="20"/>
      <w:szCs w:val="20"/>
    </w:rPr>
  </w:style>
  <w:style w:type="character" w:styleId="PageNumber">
    <w:name w:val="page number"/>
    <w:basedOn w:val="DefaultParagraphFont"/>
    <w:uiPriority w:val="99"/>
    <w:rsid w:val="00ED0998"/>
    <w:rPr>
      <w:rFonts w:cs="Times New Roman"/>
    </w:rPr>
  </w:style>
  <w:style w:type="paragraph" w:styleId="Header">
    <w:name w:val="header"/>
    <w:basedOn w:val="Normal"/>
    <w:link w:val="HeaderChar"/>
    <w:uiPriority w:val="99"/>
    <w:rsid w:val="00ED0998"/>
    <w:pPr>
      <w:tabs>
        <w:tab w:val="center" w:pos="4153"/>
        <w:tab w:val="right" w:pos="8306"/>
      </w:tabs>
    </w:pPr>
  </w:style>
  <w:style w:type="character" w:customStyle="1" w:styleId="HeaderChar">
    <w:name w:val="Header Char"/>
    <w:basedOn w:val="DefaultParagraphFont"/>
    <w:link w:val="Header"/>
    <w:uiPriority w:val="99"/>
    <w:locked/>
    <w:rsid w:val="00E12A15"/>
    <w:rPr>
      <w:rFonts w:ascii="ZapfCalligr BT" w:hAnsi="ZapfCalligr BT" w:cs="ZapfCalligr BT"/>
      <w:sz w:val="20"/>
      <w:szCs w:val="20"/>
    </w:rPr>
  </w:style>
  <w:style w:type="paragraph" w:styleId="BalloonText">
    <w:name w:val="Balloon Text"/>
    <w:basedOn w:val="Normal"/>
    <w:link w:val="BalloonTextChar"/>
    <w:uiPriority w:val="99"/>
    <w:semiHidden/>
    <w:rsid w:val="00672D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A15"/>
    <w:rPr>
      <w:rFonts w:cs="Times New Roman"/>
      <w:sz w:val="2"/>
      <w:szCs w:val="2"/>
    </w:rPr>
  </w:style>
  <w:style w:type="paragraph" w:styleId="BodyText">
    <w:name w:val="Body Text"/>
    <w:basedOn w:val="Normal"/>
    <w:link w:val="BodyTextChar"/>
    <w:uiPriority w:val="99"/>
    <w:rsid w:val="00866ADF"/>
    <w:rPr>
      <w:sz w:val="28"/>
      <w:szCs w:val="28"/>
      <w:lang w:eastAsia="en-US"/>
    </w:rPr>
  </w:style>
  <w:style w:type="character" w:customStyle="1" w:styleId="BodyTextChar">
    <w:name w:val="Body Text Char"/>
    <w:basedOn w:val="DefaultParagraphFont"/>
    <w:link w:val="BodyText"/>
    <w:uiPriority w:val="99"/>
    <w:semiHidden/>
    <w:locked/>
    <w:rsid w:val="00E12A15"/>
    <w:rPr>
      <w:rFonts w:ascii="ZapfCalligr BT" w:hAnsi="ZapfCalligr BT" w:cs="ZapfCalligr BT"/>
      <w:sz w:val="20"/>
      <w:szCs w:val="20"/>
    </w:rPr>
  </w:style>
  <w:style w:type="paragraph" w:styleId="BodyTextIndent2">
    <w:name w:val="Body Text Indent 2"/>
    <w:basedOn w:val="Normal"/>
    <w:link w:val="BodyTextIndent2Char"/>
    <w:uiPriority w:val="99"/>
    <w:rsid w:val="00866ADF"/>
    <w:pPr>
      <w:spacing w:after="120" w:line="480" w:lineRule="auto"/>
      <w:ind w:left="283"/>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E12A15"/>
    <w:rPr>
      <w:rFonts w:ascii="ZapfCalligr BT" w:hAnsi="ZapfCalligr BT" w:cs="ZapfCalligr BT"/>
      <w:sz w:val="20"/>
      <w:szCs w:val="20"/>
    </w:rPr>
  </w:style>
  <w:style w:type="paragraph" w:styleId="BodyText2">
    <w:name w:val="Body Text 2"/>
    <w:basedOn w:val="Normal"/>
    <w:link w:val="BodyText2Char"/>
    <w:uiPriority w:val="99"/>
    <w:rsid w:val="00866ADF"/>
    <w:pPr>
      <w:spacing w:after="120" w:line="480" w:lineRule="auto"/>
    </w:pPr>
    <w:rPr>
      <w:rFonts w:ascii="Arial" w:hAnsi="Arial" w:cs="Arial"/>
      <w:sz w:val="24"/>
      <w:szCs w:val="24"/>
    </w:rPr>
  </w:style>
  <w:style w:type="character" w:customStyle="1" w:styleId="BodyText2Char">
    <w:name w:val="Body Text 2 Char"/>
    <w:basedOn w:val="DefaultParagraphFont"/>
    <w:link w:val="BodyText2"/>
    <w:uiPriority w:val="99"/>
    <w:semiHidden/>
    <w:locked/>
    <w:rsid w:val="00E12A15"/>
    <w:rPr>
      <w:rFonts w:ascii="ZapfCalligr BT" w:hAnsi="ZapfCalligr BT" w:cs="ZapfCalligr BT"/>
      <w:sz w:val="20"/>
      <w:szCs w:val="20"/>
    </w:rPr>
  </w:style>
  <w:style w:type="paragraph" w:styleId="BodyText3">
    <w:name w:val="Body Text 3"/>
    <w:basedOn w:val="Normal"/>
    <w:link w:val="BodyText3Char"/>
    <w:uiPriority w:val="99"/>
    <w:rsid w:val="00866ADF"/>
    <w:pPr>
      <w:spacing w:after="120"/>
    </w:pPr>
    <w:rPr>
      <w:rFonts w:ascii="Arial" w:hAnsi="Arial" w:cs="Arial"/>
      <w:sz w:val="16"/>
      <w:szCs w:val="16"/>
    </w:rPr>
  </w:style>
  <w:style w:type="character" w:customStyle="1" w:styleId="BodyText3Char">
    <w:name w:val="Body Text 3 Char"/>
    <w:basedOn w:val="DefaultParagraphFont"/>
    <w:link w:val="BodyText3"/>
    <w:uiPriority w:val="99"/>
    <w:semiHidden/>
    <w:locked/>
    <w:rsid w:val="00E12A15"/>
    <w:rPr>
      <w:rFonts w:ascii="ZapfCalligr BT" w:hAnsi="ZapfCalligr BT" w:cs="ZapfCalligr BT"/>
      <w:sz w:val="16"/>
      <w:szCs w:val="16"/>
    </w:rPr>
  </w:style>
  <w:style w:type="character" w:styleId="FollowedHyperlink">
    <w:name w:val="FollowedHyperlink"/>
    <w:basedOn w:val="DefaultParagraphFont"/>
    <w:uiPriority w:val="99"/>
    <w:rsid w:val="00866ADF"/>
    <w:rPr>
      <w:rFonts w:cs="Times New Roman"/>
      <w:color w:val="800080"/>
      <w:u w:val="single"/>
    </w:rPr>
  </w:style>
  <w:style w:type="paragraph" w:styleId="BodyTextIndent">
    <w:name w:val="Body Text Indent"/>
    <w:basedOn w:val="Normal"/>
    <w:link w:val="BodyTextIndentChar"/>
    <w:uiPriority w:val="99"/>
    <w:rsid w:val="00866ADF"/>
    <w:pPr>
      <w:tabs>
        <w:tab w:val="left" w:pos="567"/>
        <w:tab w:val="decimal" w:pos="4537"/>
        <w:tab w:val="left" w:pos="5245"/>
        <w:tab w:val="left" w:pos="6804"/>
      </w:tabs>
      <w:ind w:left="540" w:hanging="540"/>
    </w:pPr>
    <w:rPr>
      <w:sz w:val="24"/>
      <w:szCs w:val="24"/>
      <w:lang w:eastAsia="en-US"/>
    </w:rPr>
  </w:style>
  <w:style w:type="character" w:customStyle="1" w:styleId="BodyTextIndentChar">
    <w:name w:val="Body Text Indent Char"/>
    <w:basedOn w:val="DefaultParagraphFont"/>
    <w:link w:val="BodyTextIndent"/>
    <w:uiPriority w:val="99"/>
    <w:semiHidden/>
    <w:locked/>
    <w:rsid w:val="00E12A15"/>
    <w:rPr>
      <w:rFonts w:ascii="ZapfCalligr BT" w:hAnsi="ZapfCalligr BT" w:cs="ZapfCalligr BT"/>
      <w:sz w:val="20"/>
      <w:szCs w:val="20"/>
    </w:rPr>
  </w:style>
  <w:style w:type="paragraph" w:styleId="BodyTextIndent3">
    <w:name w:val="Body Text Indent 3"/>
    <w:basedOn w:val="Normal"/>
    <w:link w:val="BodyTextIndent3Char"/>
    <w:uiPriority w:val="99"/>
    <w:rsid w:val="00866ADF"/>
    <w:pPr>
      <w:ind w:left="180" w:hanging="180"/>
    </w:pPr>
    <w:rPr>
      <w:sz w:val="26"/>
      <w:szCs w:val="26"/>
      <w:lang w:eastAsia="en-US"/>
    </w:rPr>
  </w:style>
  <w:style w:type="character" w:customStyle="1" w:styleId="BodyTextIndent3Char">
    <w:name w:val="Body Text Indent 3 Char"/>
    <w:basedOn w:val="DefaultParagraphFont"/>
    <w:link w:val="BodyTextIndent3"/>
    <w:uiPriority w:val="99"/>
    <w:semiHidden/>
    <w:locked/>
    <w:rsid w:val="00E12A15"/>
    <w:rPr>
      <w:rFonts w:ascii="ZapfCalligr BT" w:hAnsi="ZapfCalligr BT" w:cs="ZapfCalligr BT"/>
      <w:sz w:val="16"/>
      <w:szCs w:val="16"/>
    </w:rPr>
  </w:style>
  <w:style w:type="paragraph" w:styleId="NoSpacing">
    <w:name w:val="No Spacing"/>
    <w:uiPriority w:val="99"/>
    <w:qFormat/>
    <w:rsid w:val="008A2104"/>
    <w:rPr>
      <w:rFonts w:ascii="Calibri" w:hAnsi="Calibri" w:cs="Calibri"/>
      <w:lang w:eastAsia="en-US"/>
    </w:rPr>
  </w:style>
  <w:style w:type="paragraph" w:styleId="PlainText">
    <w:name w:val="Plain Text"/>
    <w:basedOn w:val="Normal"/>
    <w:link w:val="PlainTextChar"/>
    <w:uiPriority w:val="99"/>
    <w:rsid w:val="00647960"/>
    <w:pPr>
      <w:jc w:val="left"/>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E12A15"/>
    <w:rPr>
      <w:rFonts w:ascii="Courier New" w:hAnsi="Courier New" w:cs="Courier New"/>
      <w:sz w:val="20"/>
      <w:szCs w:val="20"/>
    </w:rPr>
  </w:style>
  <w:style w:type="character" w:customStyle="1" w:styleId="n66611listyle">
    <w:name w:val="n66611 listyle"/>
    <w:basedOn w:val="DefaultParagraphFont"/>
    <w:uiPriority w:val="99"/>
    <w:rsid w:val="00523F9C"/>
    <w:rPr>
      <w:rFonts w:cs="Times New Roman"/>
    </w:rPr>
  </w:style>
  <w:style w:type="paragraph" w:styleId="NormalWeb">
    <w:name w:val="Normal (Web)"/>
    <w:basedOn w:val="Normal"/>
    <w:uiPriority w:val="99"/>
    <w:rsid w:val="008C0BC2"/>
    <w:pPr>
      <w:spacing w:before="100" w:beforeAutospacing="1" w:after="100" w:afterAutospacing="1"/>
      <w:jc w:val="left"/>
    </w:pPr>
    <w:rPr>
      <w:rFonts w:ascii="Times New Roman" w:hAnsi="Times New Roman" w:cs="Times New Roman"/>
      <w:sz w:val="24"/>
      <w:szCs w:val="24"/>
    </w:rPr>
  </w:style>
  <w:style w:type="paragraph" w:customStyle="1" w:styleId="Default">
    <w:name w:val="Default"/>
    <w:uiPriority w:val="99"/>
    <w:rsid w:val="00E92C6C"/>
    <w:pPr>
      <w:autoSpaceDE w:val="0"/>
      <w:autoSpaceDN w:val="0"/>
      <w:adjustRightInd w:val="0"/>
    </w:pPr>
    <w:rPr>
      <w:rFonts w:ascii="Avenir 35" w:hAnsi="Avenir 35" w:cs="Avenir 35"/>
      <w:color w:val="000000"/>
      <w:sz w:val="24"/>
      <w:szCs w:val="24"/>
    </w:rPr>
  </w:style>
  <w:style w:type="character" w:customStyle="1" w:styleId="EmailStyle52">
    <w:name w:val="EmailStyle52"/>
    <w:basedOn w:val="DefaultParagraphFont"/>
    <w:uiPriority w:val="99"/>
    <w:semiHidden/>
    <w:rsid w:val="000D21AF"/>
    <w:rPr>
      <w:rFonts w:ascii="Arial" w:hAnsi="Arial" w:cs="Arial"/>
      <w:color w:val="auto"/>
      <w:sz w:val="20"/>
      <w:szCs w:val="20"/>
    </w:rPr>
  </w:style>
  <w:style w:type="paragraph" w:styleId="Revision">
    <w:name w:val="Revision"/>
    <w:hidden/>
    <w:uiPriority w:val="99"/>
    <w:semiHidden/>
    <w:rsid w:val="003B0D78"/>
    <w:rPr>
      <w:rFonts w:ascii="ZapfCalligr BT" w:hAnsi="ZapfCalligr BT" w:cs="ZapfCalligr BT"/>
    </w:rPr>
  </w:style>
  <w:style w:type="paragraph" w:customStyle="1" w:styleId="smalltext">
    <w:name w:val="smalltext"/>
    <w:basedOn w:val="Normal"/>
    <w:uiPriority w:val="99"/>
    <w:rsid w:val="008D399A"/>
    <w:pPr>
      <w:spacing w:before="100" w:beforeAutospacing="1" w:after="100" w:afterAutospacing="1"/>
      <w:jc w:val="left"/>
    </w:pPr>
    <w:rPr>
      <w:rFonts w:ascii="Times New Roman" w:hAnsi="Times New Roman" w:cs="Times New Roman"/>
      <w:sz w:val="24"/>
      <w:szCs w:val="24"/>
    </w:rPr>
  </w:style>
  <w:style w:type="character" w:styleId="Emphasis">
    <w:name w:val="Emphasis"/>
    <w:basedOn w:val="DefaultParagraphFont"/>
    <w:uiPriority w:val="99"/>
    <w:qFormat/>
    <w:rsid w:val="008D399A"/>
    <w:rPr>
      <w:rFonts w:cs="Times New Roman"/>
      <w:i/>
      <w:iCs/>
    </w:rPr>
  </w:style>
  <w:style w:type="paragraph" w:styleId="ListParagraph">
    <w:name w:val="List Paragraph"/>
    <w:basedOn w:val="Normal"/>
    <w:uiPriority w:val="34"/>
    <w:qFormat/>
    <w:rsid w:val="00D027BE"/>
    <w:pPr>
      <w:ind w:left="720"/>
    </w:pPr>
  </w:style>
  <w:style w:type="character" w:styleId="SubtleEmphasis">
    <w:name w:val="Subtle Emphasis"/>
    <w:basedOn w:val="DefaultParagraphFont"/>
    <w:uiPriority w:val="19"/>
    <w:qFormat/>
    <w:rsid w:val="00BC7D0A"/>
    <w:rPr>
      <w:i/>
      <w:iCs/>
      <w:color w:val="808080" w:themeColor="text1" w:themeTint="7F"/>
    </w:rPr>
  </w:style>
  <w:style w:type="character" w:customStyle="1" w:styleId="gerrans">
    <w:name w:val="gerrans"/>
    <w:basedOn w:val="DefaultParagraphFont"/>
    <w:semiHidden/>
    <w:rsid w:val="000D30A7"/>
    <w:rPr>
      <w:rFonts w:ascii="Arial" w:hAnsi="Arial" w:cs="Arial"/>
      <w:color w:val="auto"/>
      <w:sz w:val="20"/>
      <w:szCs w:val="20"/>
    </w:rPr>
  </w:style>
  <w:style w:type="character" w:styleId="CommentReference">
    <w:name w:val="annotation reference"/>
    <w:basedOn w:val="DefaultParagraphFont"/>
    <w:semiHidden/>
    <w:locked/>
    <w:rsid w:val="000D30A7"/>
    <w:rPr>
      <w:sz w:val="16"/>
      <w:szCs w:val="16"/>
    </w:rPr>
  </w:style>
  <w:style w:type="paragraph" w:styleId="CommentText">
    <w:name w:val="annotation text"/>
    <w:basedOn w:val="Normal"/>
    <w:link w:val="CommentTextChar"/>
    <w:semiHidden/>
    <w:locked/>
    <w:rsid w:val="000D30A7"/>
    <w:rPr>
      <w:rFonts w:eastAsia="Times New Roman" w:cs="Times New Roman"/>
      <w:sz w:val="20"/>
      <w:szCs w:val="20"/>
    </w:rPr>
  </w:style>
  <w:style w:type="character" w:customStyle="1" w:styleId="CommentTextChar">
    <w:name w:val="Comment Text Char"/>
    <w:basedOn w:val="DefaultParagraphFont"/>
    <w:link w:val="CommentText"/>
    <w:semiHidden/>
    <w:rsid w:val="000D30A7"/>
    <w:rPr>
      <w:rFonts w:ascii="ZapfCalligr BT" w:eastAsia="Times New Roman" w:hAnsi="ZapfCalligr BT"/>
      <w:sz w:val="20"/>
      <w:szCs w:val="20"/>
    </w:rPr>
  </w:style>
  <w:style w:type="table" w:styleId="LightShading">
    <w:name w:val="Light Shading"/>
    <w:basedOn w:val="TableNormal"/>
    <w:uiPriority w:val="60"/>
    <w:rsid w:val="00CA6F3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A6F3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F5148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textAfterTables">
    <w:name w:val="Bodytext AfterTables"/>
    <w:basedOn w:val="Normal"/>
    <w:rsid w:val="00C050BA"/>
    <w:pPr>
      <w:spacing w:before="120" w:after="105" w:line="210" w:lineRule="exact"/>
      <w:jc w:val="left"/>
    </w:pPr>
    <w:rPr>
      <w:rFonts w:ascii="Trade Gothic LT Std Light" w:eastAsia="Times New Roman" w:hAnsi="Trade Gothic LT Std Light" w:cs="Times New Roman"/>
      <w:spacing w:val="-3"/>
      <w:sz w:val="18"/>
      <w:szCs w:val="24"/>
    </w:rPr>
  </w:style>
  <w:style w:type="paragraph" w:customStyle="1" w:styleId="Tabletext">
    <w:name w:val="Tabletext"/>
    <w:basedOn w:val="Normal"/>
    <w:rsid w:val="00C050BA"/>
    <w:pPr>
      <w:tabs>
        <w:tab w:val="left" w:pos="284"/>
      </w:tabs>
      <w:spacing w:before="20" w:after="20" w:line="180" w:lineRule="exact"/>
      <w:jc w:val="left"/>
    </w:pPr>
    <w:rPr>
      <w:rFonts w:ascii="Trade Gothic LT Std Light" w:eastAsia="Times New Roman" w:hAnsi="Trade Gothic LT Std Light" w:cs="Times New Roman"/>
      <w:spacing w:val="-3"/>
      <w:sz w:val="16"/>
      <w:szCs w:val="20"/>
    </w:rPr>
  </w:style>
  <w:style w:type="paragraph" w:customStyle="1" w:styleId="TableColHeads">
    <w:name w:val="TableColHeads"/>
    <w:basedOn w:val="Tabletext"/>
    <w:rsid w:val="00C050BA"/>
    <w:pPr>
      <w:spacing w:before="40" w:after="40" w:line="160" w:lineRule="exact"/>
      <w:ind w:right="57"/>
      <w:jc w:val="right"/>
    </w:pPr>
    <w:rPr>
      <w:sz w:val="14"/>
    </w:rPr>
  </w:style>
  <w:style w:type="paragraph" w:customStyle="1" w:styleId="TableFigures">
    <w:name w:val="TableFigures"/>
    <w:basedOn w:val="Tabletext"/>
    <w:rsid w:val="00C050BA"/>
    <w:pPr>
      <w:ind w:right="57"/>
      <w:jc w:val="right"/>
    </w:pPr>
  </w:style>
  <w:style w:type="paragraph" w:customStyle="1" w:styleId="TableFiguresBold">
    <w:name w:val="TableFigures Bold"/>
    <w:basedOn w:val="TableFigures"/>
    <w:rsid w:val="00C050BA"/>
    <w:rPr>
      <w:rFonts w:ascii="Trade Gothic LT Std Bold" w:hAnsi="Trade Gothic LT Std Bold"/>
      <w:bCs/>
    </w:rPr>
  </w:style>
  <w:style w:type="paragraph" w:customStyle="1" w:styleId="Footnotes">
    <w:name w:val="Footnotes"/>
    <w:basedOn w:val="Normal"/>
    <w:rsid w:val="00EE1AB2"/>
    <w:pPr>
      <w:spacing w:before="85" w:line="170" w:lineRule="exact"/>
      <w:ind w:left="170" w:hanging="170"/>
      <w:jc w:val="left"/>
    </w:pPr>
    <w:rPr>
      <w:rFonts w:ascii="Trade Gothic LT Std Light" w:eastAsia="Times New Roman" w:hAnsi="Trade Gothic LT Std Light" w:cs="Times New Roman"/>
      <w:spacing w:val="-3"/>
      <w:sz w:val="15"/>
      <w:szCs w:val="24"/>
    </w:rPr>
  </w:style>
  <w:style w:type="paragraph" w:customStyle="1" w:styleId="TableColHeadsLeft">
    <w:name w:val="TableColHeads Left"/>
    <w:basedOn w:val="TableColHeads"/>
    <w:rsid w:val="00793F84"/>
    <w:pPr>
      <w:jc w:val="left"/>
    </w:pPr>
  </w:style>
  <w:style w:type="paragraph" w:customStyle="1" w:styleId="TableFiguresBrackets">
    <w:name w:val="TableFigures Brackets"/>
    <w:basedOn w:val="TableFigures"/>
    <w:rsid w:val="005F309B"/>
    <w:pPr>
      <w:ind w:right="17"/>
    </w:pPr>
  </w:style>
  <w:style w:type="paragraph" w:customStyle="1" w:styleId="Bullets">
    <w:name w:val="Bullets"/>
    <w:basedOn w:val="Normal"/>
    <w:rsid w:val="00C659A8"/>
    <w:pPr>
      <w:numPr>
        <w:numId w:val="8"/>
      </w:numPr>
      <w:spacing w:after="105" w:line="210" w:lineRule="exact"/>
      <w:jc w:val="left"/>
    </w:pPr>
    <w:rPr>
      <w:rFonts w:ascii="Trade Gothic LT Std Light" w:eastAsia="Times New Roman" w:hAnsi="Trade Gothic LT Std Light" w:cs="Times New Roman"/>
      <w:spacing w:val="-3"/>
      <w:sz w:val="18"/>
      <w:szCs w:val="24"/>
    </w:rPr>
  </w:style>
  <w:style w:type="paragraph" w:styleId="ListBullet4">
    <w:name w:val="List Bullet 4"/>
    <w:basedOn w:val="Normal"/>
    <w:uiPriority w:val="99"/>
    <w:semiHidden/>
    <w:unhideWhenUsed/>
    <w:locked/>
    <w:rsid w:val="000A761B"/>
    <w:pPr>
      <w:numPr>
        <w:numId w:val="14"/>
      </w:numPr>
      <w:spacing w:after="80" w:line="210" w:lineRule="exact"/>
      <w:jc w:val="left"/>
    </w:pPr>
    <w:rPr>
      <w:rFonts w:ascii="Trade Gothic LT Std Light" w:eastAsiaTheme="minorHAnsi" w:hAnsi="Trade Gothic LT Std Light" w:cs="Times New Roman"/>
      <w:spacing w:val="-4"/>
      <w:sz w:val="18"/>
      <w:szCs w:val="18"/>
    </w:rPr>
  </w:style>
  <w:style w:type="paragraph" w:styleId="CommentSubject">
    <w:name w:val="annotation subject"/>
    <w:basedOn w:val="CommentText"/>
    <w:next w:val="CommentText"/>
    <w:link w:val="CommentSubjectChar"/>
    <w:uiPriority w:val="99"/>
    <w:semiHidden/>
    <w:unhideWhenUsed/>
    <w:locked/>
    <w:rsid w:val="00A7352B"/>
    <w:rPr>
      <w:rFonts w:eastAsia="Batang" w:cs="ZapfCalligr BT"/>
      <w:b/>
      <w:bCs/>
    </w:rPr>
  </w:style>
  <w:style w:type="character" w:customStyle="1" w:styleId="CommentSubjectChar">
    <w:name w:val="Comment Subject Char"/>
    <w:basedOn w:val="CommentTextChar"/>
    <w:link w:val="CommentSubject"/>
    <w:uiPriority w:val="99"/>
    <w:semiHidden/>
    <w:rsid w:val="00A7352B"/>
    <w:rPr>
      <w:rFonts w:ascii="ZapfCalligr BT" w:eastAsia="Times New Roman" w:hAnsi="ZapfCalligr BT" w:cs="ZapfCalligr B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77696">
      <w:bodyDiv w:val="1"/>
      <w:marLeft w:val="0"/>
      <w:marRight w:val="0"/>
      <w:marTop w:val="0"/>
      <w:marBottom w:val="0"/>
      <w:divBdr>
        <w:top w:val="none" w:sz="0" w:space="0" w:color="auto"/>
        <w:left w:val="none" w:sz="0" w:space="0" w:color="auto"/>
        <w:bottom w:val="none" w:sz="0" w:space="0" w:color="auto"/>
        <w:right w:val="none" w:sz="0" w:space="0" w:color="auto"/>
      </w:divBdr>
    </w:div>
    <w:div w:id="66151328">
      <w:bodyDiv w:val="1"/>
      <w:marLeft w:val="0"/>
      <w:marRight w:val="0"/>
      <w:marTop w:val="0"/>
      <w:marBottom w:val="0"/>
      <w:divBdr>
        <w:top w:val="none" w:sz="0" w:space="0" w:color="auto"/>
        <w:left w:val="none" w:sz="0" w:space="0" w:color="auto"/>
        <w:bottom w:val="none" w:sz="0" w:space="0" w:color="auto"/>
        <w:right w:val="none" w:sz="0" w:space="0" w:color="auto"/>
      </w:divBdr>
      <w:divsChild>
        <w:div w:id="1093934589">
          <w:marLeft w:val="547"/>
          <w:marRight w:val="0"/>
          <w:marTop w:val="0"/>
          <w:marBottom w:val="0"/>
          <w:divBdr>
            <w:top w:val="none" w:sz="0" w:space="0" w:color="auto"/>
            <w:left w:val="none" w:sz="0" w:space="0" w:color="auto"/>
            <w:bottom w:val="none" w:sz="0" w:space="0" w:color="auto"/>
            <w:right w:val="none" w:sz="0" w:space="0" w:color="auto"/>
          </w:divBdr>
        </w:div>
      </w:divsChild>
    </w:div>
    <w:div w:id="67116346">
      <w:bodyDiv w:val="1"/>
      <w:marLeft w:val="0"/>
      <w:marRight w:val="0"/>
      <w:marTop w:val="0"/>
      <w:marBottom w:val="0"/>
      <w:divBdr>
        <w:top w:val="none" w:sz="0" w:space="0" w:color="auto"/>
        <w:left w:val="none" w:sz="0" w:space="0" w:color="auto"/>
        <w:bottom w:val="none" w:sz="0" w:space="0" w:color="auto"/>
        <w:right w:val="none" w:sz="0" w:space="0" w:color="auto"/>
      </w:divBdr>
      <w:divsChild>
        <w:div w:id="29301691">
          <w:marLeft w:val="562"/>
          <w:marRight w:val="0"/>
          <w:marTop w:val="67"/>
          <w:marBottom w:val="0"/>
          <w:divBdr>
            <w:top w:val="none" w:sz="0" w:space="0" w:color="auto"/>
            <w:left w:val="none" w:sz="0" w:space="0" w:color="auto"/>
            <w:bottom w:val="none" w:sz="0" w:space="0" w:color="auto"/>
            <w:right w:val="none" w:sz="0" w:space="0" w:color="auto"/>
          </w:divBdr>
        </w:div>
        <w:div w:id="159661310">
          <w:marLeft w:val="562"/>
          <w:marRight w:val="0"/>
          <w:marTop w:val="67"/>
          <w:marBottom w:val="0"/>
          <w:divBdr>
            <w:top w:val="none" w:sz="0" w:space="0" w:color="auto"/>
            <w:left w:val="none" w:sz="0" w:space="0" w:color="auto"/>
            <w:bottom w:val="none" w:sz="0" w:space="0" w:color="auto"/>
            <w:right w:val="none" w:sz="0" w:space="0" w:color="auto"/>
          </w:divBdr>
        </w:div>
        <w:div w:id="397900498">
          <w:marLeft w:val="274"/>
          <w:marRight w:val="0"/>
          <w:marTop w:val="120"/>
          <w:marBottom w:val="0"/>
          <w:divBdr>
            <w:top w:val="none" w:sz="0" w:space="0" w:color="auto"/>
            <w:left w:val="none" w:sz="0" w:space="0" w:color="auto"/>
            <w:bottom w:val="none" w:sz="0" w:space="0" w:color="auto"/>
            <w:right w:val="none" w:sz="0" w:space="0" w:color="auto"/>
          </w:divBdr>
        </w:div>
        <w:div w:id="1118914631">
          <w:marLeft w:val="562"/>
          <w:marRight w:val="0"/>
          <w:marTop w:val="67"/>
          <w:marBottom w:val="0"/>
          <w:divBdr>
            <w:top w:val="none" w:sz="0" w:space="0" w:color="auto"/>
            <w:left w:val="none" w:sz="0" w:space="0" w:color="auto"/>
            <w:bottom w:val="none" w:sz="0" w:space="0" w:color="auto"/>
            <w:right w:val="none" w:sz="0" w:space="0" w:color="auto"/>
          </w:divBdr>
        </w:div>
        <w:div w:id="1152479381">
          <w:marLeft w:val="274"/>
          <w:marRight w:val="0"/>
          <w:marTop w:val="120"/>
          <w:marBottom w:val="0"/>
          <w:divBdr>
            <w:top w:val="none" w:sz="0" w:space="0" w:color="auto"/>
            <w:left w:val="none" w:sz="0" w:space="0" w:color="auto"/>
            <w:bottom w:val="none" w:sz="0" w:space="0" w:color="auto"/>
            <w:right w:val="none" w:sz="0" w:space="0" w:color="auto"/>
          </w:divBdr>
        </w:div>
        <w:div w:id="1446121874">
          <w:marLeft w:val="274"/>
          <w:marRight w:val="0"/>
          <w:marTop w:val="120"/>
          <w:marBottom w:val="0"/>
          <w:divBdr>
            <w:top w:val="none" w:sz="0" w:space="0" w:color="auto"/>
            <w:left w:val="none" w:sz="0" w:space="0" w:color="auto"/>
            <w:bottom w:val="none" w:sz="0" w:space="0" w:color="auto"/>
            <w:right w:val="none" w:sz="0" w:space="0" w:color="auto"/>
          </w:divBdr>
        </w:div>
      </w:divsChild>
    </w:div>
    <w:div w:id="87311789">
      <w:bodyDiv w:val="1"/>
      <w:marLeft w:val="0"/>
      <w:marRight w:val="0"/>
      <w:marTop w:val="0"/>
      <w:marBottom w:val="0"/>
      <w:divBdr>
        <w:top w:val="none" w:sz="0" w:space="0" w:color="auto"/>
        <w:left w:val="none" w:sz="0" w:space="0" w:color="auto"/>
        <w:bottom w:val="none" w:sz="0" w:space="0" w:color="auto"/>
        <w:right w:val="none" w:sz="0" w:space="0" w:color="auto"/>
      </w:divBdr>
    </w:div>
    <w:div w:id="93670323">
      <w:bodyDiv w:val="1"/>
      <w:marLeft w:val="0"/>
      <w:marRight w:val="0"/>
      <w:marTop w:val="0"/>
      <w:marBottom w:val="0"/>
      <w:divBdr>
        <w:top w:val="none" w:sz="0" w:space="0" w:color="auto"/>
        <w:left w:val="none" w:sz="0" w:space="0" w:color="auto"/>
        <w:bottom w:val="none" w:sz="0" w:space="0" w:color="auto"/>
        <w:right w:val="none" w:sz="0" w:space="0" w:color="auto"/>
      </w:divBdr>
    </w:div>
    <w:div w:id="109907516">
      <w:bodyDiv w:val="1"/>
      <w:marLeft w:val="0"/>
      <w:marRight w:val="0"/>
      <w:marTop w:val="0"/>
      <w:marBottom w:val="0"/>
      <w:divBdr>
        <w:top w:val="none" w:sz="0" w:space="0" w:color="auto"/>
        <w:left w:val="none" w:sz="0" w:space="0" w:color="auto"/>
        <w:bottom w:val="none" w:sz="0" w:space="0" w:color="auto"/>
        <w:right w:val="none" w:sz="0" w:space="0" w:color="auto"/>
      </w:divBdr>
    </w:div>
    <w:div w:id="116067384">
      <w:bodyDiv w:val="1"/>
      <w:marLeft w:val="0"/>
      <w:marRight w:val="0"/>
      <w:marTop w:val="0"/>
      <w:marBottom w:val="0"/>
      <w:divBdr>
        <w:top w:val="none" w:sz="0" w:space="0" w:color="auto"/>
        <w:left w:val="none" w:sz="0" w:space="0" w:color="auto"/>
        <w:bottom w:val="none" w:sz="0" w:space="0" w:color="auto"/>
        <w:right w:val="none" w:sz="0" w:space="0" w:color="auto"/>
      </w:divBdr>
    </w:div>
    <w:div w:id="116529282">
      <w:bodyDiv w:val="1"/>
      <w:marLeft w:val="0"/>
      <w:marRight w:val="0"/>
      <w:marTop w:val="0"/>
      <w:marBottom w:val="0"/>
      <w:divBdr>
        <w:top w:val="none" w:sz="0" w:space="0" w:color="auto"/>
        <w:left w:val="none" w:sz="0" w:space="0" w:color="auto"/>
        <w:bottom w:val="none" w:sz="0" w:space="0" w:color="auto"/>
        <w:right w:val="none" w:sz="0" w:space="0" w:color="auto"/>
      </w:divBdr>
    </w:div>
    <w:div w:id="141505133">
      <w:bodyDiv w:val="1"/>
      <w:marLeft w:val="0"/>
      <w:marRight w:val="0"/>
      <w:marTop w:val="0"/>
      <w:marBottom w:val="0"/>
      <w:divBdr>
        <w:top w:val="none" w:sz="0" w:space="0" w:color="auto"/>
        <w:left w:val="none" w:sz="0" w:space="0" w:color="auto"/>
        <w:bottom w:val="none" w:sz="0" w:space="0" w:color="auto"/>
        <w:right w:val="none" w:sz="0" w:space="0" w:color="auto"/>
      </w:divBdr>
    </w:div>
    <w:div w:id="150146212">
      <w:bodyDiv w:val="1"/>
      <w:marLeft w:val="0"/>
      <w:marRight w:val="0"/>
      <w:marTop w:val="0"/>
      <w:marBottom w:val="0"/>
      <w:divBdr>
        <w:top w:val="none" w:sz="0" w:space="0" w:color="auto"/>
        <w:left w:val="none" w:sz="0" w:space="0" w:color="auto"/>
        <w:bottom w:val="none" w:sz="0" w:space="0" w:color="auto"/>
        <w:right w:val="none" w:sz="0" w:space="0" w:color="auto"/>
      </w:divBdr>
    </w:div>
    <w:div w:id="214003881">
      <w:bodyDiv w:val="1"/>
      <w:marLeft w:val="0"/>
      <w:marRight w:val="0"/>
      <w:marTop w:val="0"/>
      <w:marBottom w:val="0"/>
      <w:divBdr>
        <w:top w:val="none" w:sz="0" w:space="0" w:color="auto"/>
        <w:left w:val="none" w:sz="0" w:space="0" w:color="auto"/>
        <w:bottom w:val="none" w:sz="0" w:space="0" w:color="auto"/>
        <w:right w:val="none" w:sz="0" w:space="0" w:color="auto"/>
      </w:divBdr>
    </w:div>
    <w:div w:id="222567162">
      <w:bodyDiv w:val="1"/>
      <w:marLeft w:val="0"/>
      <w:marRight w:val="0"/>
      <w:marTop w:val="0"/>
      <w:marBottom w:val="0"/>
      <w:divBdr>
        <w:top w:val="none" w:sz="0" w:space="0" w:color="auto"/>
        <w:left w:val="none" w:sz="0" w:space="0" w:color="auto"/>
        <w:bottom w:val="none" w:sz="0" w:space="0" w:color="auto"/>
        <w:right w:val="none" w:sz="0" w:space="0" w:color="auto"/>
      </w:divBdr>
      <w:divsChild>
        <w:div w:id="1934627304">
          <w:marLeft w:val="547"/>
          <w:marRight w:val="0"/>
          <w:marTop w:val="0"/>
          <w:marBottom w:val="0"/>
          <w:divBdr>
            <w:top w:val="none" w:sz="0" w:space="0" w:color="auto"/>
            <w:left w:val="none" w:sz="0" w:space="0" w:color="auto"/>
            <w:bottom w:val="none" w:sz="0" w:space="0" w:color="auto"/>
            <w:right w:val="none" w:sz="0" w:space="0" w:color="auto"/>
          </w:divBdr>
        </w:div>
      </w:divsChild>
    </w:div>
    <w:div w:id="255134714">
      <w:bodyDiv w:val="1"/>
      <w:marLeft w:val="0"/>
      <w:marRight w:val="0"/>
      <w:marTop w:val="0"/>
      <w:marBottom w:val="0"/>
      <w:divBdr>
        <w:top w:val="none" w:sz="0" w:space="0" w:color="auto"/>
        <w:left w:val="none" w:sz="0" w:space="0" w:color="auto"/>
        <w:bottom w:val="none" w:sz="0" w:space="0" w:color="auto"/>
        <w:right w:val="none" w:sz="0" w:space="0" w:color="auto"/>
      </w:divBdr>
    </w:div>
    <w:div w:id="321088581">
      <w:bodyDiv w:val="1"/>
      <w:marLeft w:val="0"/>
      <w:marRight w:val="0"/>
      <w:marTop w:val="0"/>
      <w:marBottom w:val="0"/>
      <w:divBdr>
        <w:top w:val="none" w:sz="0" w:space="0" w:color="auto"/>
        <w:left w:val="none" w:sz="0" w:space="0" w:color="auto"/>
        <w:bottom w:val="none" w:sz="0" w:space="0" w:color="auto"/>
        <w:right w:val="none" w:sz="0" w:space="0" w:color="auto"/>
      </w:divBdr>
    </w:div>
    <w:div w:id="323168312">
      <w:bodyDiv w:val="1"/>
      <w:marLeft w:val="0"/>
      <w:marRight w:val="0"/>
      <w:marTop w:val="0"/>
      <w:marBottom w:val="0"/>
      <w:divBdr>
        <w:top w:val="none" w:sz="0" w:space="0" w:color="auto"/>
        <w:left w:val="none" w:sz="0" w:space="0" w:color="auto"/>
        <w:bottom w:val="none" w:sz="0" w:space="0" w:color="auto"/>
        <w:right w:val="none" w:sz="0" w:space="0" w:color="auto"/>
      </w:divBdr>
      <w:divsChild>
        <w:div w:id="323438993">
          <w:marLeft w:val="274"/>
          <w:marRight w:val="0"/>
          <w:marTop w:val="120"/>
          <w:marBottom w:val="0"/>
          <w:divBdr>
            <w:top w:val="none" w:sz="0" w:space="0" w:color="auto"/>
            <w:left w:val="none" w:sz="0" w:space="0" w:color="auto"/>
            <w:bottom w:val="none" w:sz="0" w:space="0" w:color="auto"/>
            <w:right w:val="none" w:sz="0" w:space="0" w:color="auto"/>
          </w:divBdr>
        </w:div>
        <w:div w:id="605891898">
          <w:marLeft w:val="274"/>
          <w:marRight w:val="0"/>
          <w:marTop w:val="120"/>
          <w:marBottom w:val="0"/>
          <w:divBdr>
            <w:top w:val="none" w:sz="0" w:space="0" w:color="auto"/>
            <w:left w:val="none" w:sz="0" w:space="0" w:color="auto"/>
            <w:bottom w:val="none" w:sz="0" w:space="0" w:color="auto"/>
            <w:right w:val="none" w:sz="0" w:space="0" w:color="auto"/>
          </w:divBdr>
        </w:div>
        <w:div w:id="642319462">
          <w:marLeft w:val="562"/>
          <w:marRight w:val="0"/>
          <w:marTop w:val="67"/>
          <w:marBottom w:val="0"/>
          <w:divBdr>
            <w:top w:val="none" w:sz="0" w:space="0" w:color="auto"/>
            <w:left w:val="none" w:sz="0" w:space="0" w:color="auto"/>
            <w:bottom w:val="none" w:sz="0" w:space="0" w:color="auto"/>
            <w:right w:val="none" w:sz="0" w:space="0" w:color="auto"/>
          </w:divBdr>
        </w:div>
        <w:div w:id="1587494853">
          <w:marLeft w:val="274"/>
          <w:marRight w:val="0"/>
          <w:marTop w:val="120"/>
          <w:marBottom w:val="0"/>
          <w:divBdr>
            <w:top w:val="none" w:sz="0" w:space="0" w:color="auto"/>
            <w:left w:val="none" w:sz="0" w:space="0" w:color="auto"/>
            <w:bottom w:val="none" w:sz="0" w:space="0" w:color="auto"/>
            <w:right w:val="none" w:sz="0" w:space="0" w:color="auto"/>
          </w:divBdr>
        </w:div>
      </w:divsChild>
    </w:div>
    <w:div w:id="414211730">
      <w:bodyDiv w:val="1"/>
      <w:marLeft w:val="0"/>
      <w:marRight w:val="0"/>
      <w:marTop w:val="0"/>
      <w:marBottom w:val="0"/>
      <w:divBdr>
        <w:top w:val="none" w:sz="0" w:space="0" w:color="auto"/>
        <w:left w:val="none" w:sz="0" w:space="0" w:color="auto"/>
        <w:bottom w:val="none" w:sz="0" w:space="0" w:color="auto"/>
        <w:right w:val="none" w:sz="0" w:space="0" w:color="auto"/>
      </w:divBdr>
    </w:div>
    <w:div w:id="461965951">
      <w:bodyDiv w:val="1"/>
      <w:marLeft w:val="0"/>
      <w:marRight w:val="0"/>
      <w:marTop w:val="0"/>
      <w:marBottom w:val="0"/>
      <w:divBdr>
        <w:top w:val="none" w:sz="0" w:space="0" w:color="auto"/>
        <w:left w:val="none" w:sz="0" w:space="0" w:color="auto"/>
        <w:bottom w:val="none" w:sz="0" w:space="0" w:color="auto"/>
        <w:right w:val="none" w:sz="0" w:space="0" w:color="auto"/>
      </w:divBdr>
    </w:div>
    <w:div w:id="562063763">
      <w:bodyDiv w:val="1"/>
      <w:marLeft w:val="0"/>
      <w:marRight w:val="0"/>
      <w:marTop w:val="0"/>
      <w:marBottom w:val="0"/>
      <w:divBdr>
        <w:top w:val="none" w:sz="0" w:space="0" w:color="auto"/>
        <w:left w:val="none" w:sz="0" w:space="0" w:color="auto"/>
        <w:bottom w:val="none" w:sz="0" w:space="0" w:color="auto"/>
        <w:right w:val="none" w:sz="0" w:space="0" w:color="auto"/>
      </w:divBdr>
    </w:div>
    <w:div w:id="569198612">
      <w:bodyDiv w:val="1"/>
      <w:marLeft w:val="0"/>
      <w:marRight w:val="0"/>
      <w:marTop w:val="0"/>
      <w:marBottom w:val="0"/>
      <w:divBdr>
        <w:top w:val="none" w:sz="0" w:space="0" w:color="auto"/>
        <w:left w:val="none" w:sz="0" w:space="0" w:color="auto"/>
        <w:bottom w:val="none" w:sz="0" w:space="0" w:color="auto"/>
        <w:right w:val="none" w:sz="0" w:space="0" w:color="auto"/>
      </w:divBdr>
    </w:div>
    <w:div w:id="589629252">
      <w:bodyDiv w:val="1"/>
      <w:marLeft w:val="0"/>
      <w:marRight w:val="0"/>
      <w:marTop w:val="0"/>
      <w:marBottom w:val="0"/>
      <w:divBdr>
        <w:top w:val="none" w:sz="0" w:space="0" w:color="auto"/>
        <w:left w:val="none" w:sz="0" w:space="0" w:color="auto"/>
        <w:bottom w:val="none" w:sz="0" w:space="0" w:color="auto"/>
        <w:right w:val="none" w:sz="0" w:space="0" w:color="auto"/>
      </w:divBdr>
    </w:div>
    <w:div w:id="633877837">
      <w:bodyDiv w:val="1"/>
      <w:marLeft w:val="0"/>
      <w:marRight w:val="0"/>
      <w:marTop w:val="0"/>
      <w:marBottom w:val="0"/>
      <w:divBdr>
        <w:top w:val="none" w:sz="0" w:space="0" w:color="auto"/>
        <w:left w:val="none" w:sz="0" w:space="0" w:color="auto"/>
        <w:bottom w:val="none" w:sz="0" w:space="0" w:color="auto"/>
        <w:right w:val="none" w:sz="0" w:space="0" w:color="auto"/>
      </w:divBdr>
    </w:div>
    <w:div w:id="656686122">
      <w:bodyDiv w:val="1"/>
      <w:marLeft w:val="0"/>
      <w:marRight w:val="0"/>
      <w:marTop w:val="0"/>
      <w:marBottom w:val="0"/>
      <w:divBdr>
        <w:top w:val="none" w:sz="0" w:space="0" w:color="auto"/>
        <w:left w:val="none" w:sz="0" w:space="0" w:color="auto"/>
        <w:bottom w:val="none" w:sz="0" w:space="0" w:color="auto"/>
        <w:right w:val="none" w:sz="0" w:space="0" w:color="auto"/>
      </w:divBdr>
    </w:div>
    <w:div w:id="662243667">
      <w:bodyDiv w:val="1"/>
      <w:marLeft w:val="0"/>
      <w:marRight w:val="0"/>
      <w:marTop w:val="0"/>
      <w:marBottom w:val="0"/>
      <w:divBdr>
        <w:top w:val="none" w:sz="0" w:space="0" w:color="auto"/>
        <w:left w:val="none" w:sz="0" w:space="0" w:color="auto"/>
        <w:bottom w:val="none" w:sz="0" w:space="0" w:color="auto"/>
        <w:right w:val="none" w:sz="0" w:space="0" w:color="auto"/>
      </w:divBdr>
      <w:divsChild>
        <w:div w:id="549420305">
          <w:marLeft w:val="547"/>
          <w:marRight w:val="0"/>
          <w:marTop w:val="0"/>
          <w:marBottom w:val="0"/>
          <w:divBdr>
            <w:top w:val="none" w:sz="0" w:space="0" w:color="auto"/>
            <w:left w:val="none" w:sz="0" w:space="0" w:color="auto"/>
            <w:bottom w:val="none" w:sz="0" w:space="0" w:color="auto"/>
            <w:right w:val="none" w:sz="0" w:space="0" w:color="auto"/>
          </w:divBdr>
        </w:div>
      </w:divsChild>
    </w:div>
    <w:div w:id="665861141">
      <w:bodyDiv w:val="1"/>
      <w:marLeft w:val="0"/>
      <w:marRight w:val="0"/>
      <w:marTop w:val="0"/>
      <w:marBottom w:val="0"/>
      <w:divBdr>
        <w:top w:val="none" w:sz="0" w:space="0" w:color="auto"/>
        <w:left w:val="none" w:sz="0" w:space="0" w:color="auto"/>
        <w:bottom w:val="none" w:sz="0" w:space="0" w:color="auto"/>
        <w:right w:val="none" w:sz="0" w:space="0" w:color="auto"/>
      </w:divBdr>
      <w:divsChild>
        <w:div w:id="278996889">
          <w:marLeft w:val="274"/>
          <w:marRight w:val="0"/>
          <w:marTop w:val="120"/>
          <w:marBottom w:val="0"/>
          <w:divBdr>
            <w:top w:val="none" w:sz="0" w:space="0" w:color="auto"/>
            <w:left w:val="none" w:sz="0" w:space="0" w:color="auto"/>
            <w:bottom w:val="none" w:sz="0" w:space="0" w:color="auto"/>
            <w:right w:val="none" w:sz="0" w:space="0" w:color="auto"/>
          </w:divBdr>
        </w:div>
        <w:div w:id="302740203">
          <w:marLeft w:val="274"/>
          <w:marRight w:val="0"/>
          <w:marTop w:val="120"/>
          <w:marBottom w:val="0"/>
          <w:divBdr>
            <w:top w:val="none" w:sz="0" w:space="0" w:color="auto"/>
            <w:left w:val="none" w:sz="0" w:space="0" w:color="auto"/>
            <w:bottom w:val="none" w:sz="0" w:space="0" w:color="auto"/>
            <w:right w:val="none" w:sz="0" w:space="0" w:color="auto"/>
          </w:divBdr>
        </w:div>
        <w:div w:id="356857712">
          <w:marLeft w:val="274"/>
          <w:marRight w:val="0"/>
          <w:marTop w:val="120"/>
          <w:marBottom w:val="0"/>
          <w:divBdr>
            <w:top w:val="none" w:sz="0" w:space="0" w:color="auto"/>
            <w:left w:val="none" w:sz="0" w:space="0" w:color="auto"/>
            <w:bottom w:val="none" w:sz="0" w:space="0" w:color="auto"/>
            <w:right w:val="none" w:sz="0" w:space="0" w:color="auto"/>
          </w:divBdr>
        </w:div>
        <w:div w:id="757946871">
          <w:marLeft w:val="562"/>
          <w:marRight w:val="0"/>
          <w:marTop w:val="67"/>
          <w:marBottom w:val="0"/>
          <w:divBdr>
            <w:top w:val="none" w:sz="0" w:space="0" w:color="auto"/>
            <w:left w:val="none" w:sz="0" w:space="0" w:color="auto"/>
            <w:bottom w:val="none" w:sz="0" w:space="0" w:color="auto"/>
            <w:right w:val="none" w:sz="0" w:space="0" w:color="auto"/>
          </w:divBdr>
        </w:div>
        <w:div w:id="800150805">
          <w:marLeft w:val="562"/>
          <w:marRight w:val="0"/>
          <w:marTop w:val="67"/>
          <w:marBottom w:val="0"/>
          <w:divBdr>
            <w:top w:val="none" w:sz="0" w:space="0" w:color="auto"/>
            <w:left w:val="none" w:sz="0" w:space="0" w:color="auto"/>
            <w:bottom w:val="none" w:sz="0" w:space="0" w:color="auto"/>
            <w:right w:val="none" w:sz="0" w:space="0" w:color="auto"/>
          </w:divBdr>
        </w:div>
        <w:div w:id="1099982681">
          <w:marLeft w:val="562"/>
          <w:marRight w:val="0"/>
          <w:marTop w:val="67"/>
          <w:marBottom w:val="0"/>
          <w:divBdr>
            <w:top w:val="none" w:sz="0" w:space="0" w:color="auto"/>
            <w:left w:val="none" w:sz="0" w:space="0" w:color="auto"/>
            <w:bottom w:val="none" w:sz="0" w:space="0" w:color="auto"/>
            <w:right w:val="none" w:sz="0" w:space="0" w:color="auto"/>
          </w:divBdr>
        </w:div>
        <w:div w:id="1689796635">
          <w:marLeft w:val="274"/>
          <w:marRight w:val="0"/>
          <w:marTop w:val="120"/>
          <w:marBottom w:val="0"/>
          <w:divBdr>
            <w:top w:val="none" w:sz="0" w:space="0" w:color="auto"/>
            <w:left w:val="none" w:sz="0" w:space="0" w:color="auto"/>
            <w:bottom w:val="none" w:sz="0" w:space="0" w:color="auto"/>
            <w:right w:val="none" w:sz="0" w:space="0" w:color="auto"/>
          </w:divBdr>
        </w:div>
        <w:div w:id="1814180657">
          <w:marLeft w:val="274"/>
          <w:marRight w:val="0"/>
          <w:marTop w:val="120"/>
          <w:marBottom w:val="0"/>
          <w:divBdr>
            <w:top w:val="none" w:sz="0" w:space="0" w:color="auto"/>
            <w:left w:val="none" w:sz="0" w:space="0" w:color="auto"/>
            <w:bottom w:val="none" w:sz="0" w:space="0" w:color="auto"/>
            <w:right w:val="none" w:sz="0" w:space="0" w:color="auto"/>
          </w:divBdr>
        </w:div>
        <w:div w:id="1912424526">
          <w:marLeft w:val="562"/>
          <w:marRight w:val="0"/>
          <w:marTop w:val="67"/>
          <w:marBottom w:val="0"/>
          <w:divBdr>
            <w:top w:val="none" w:sz="0" w:space="0" w:color="auto"/>
            <w:left w:val="none" w:sz="0" w:space="0" w:color="auto"/>
            <w:bottom w:val="none" w:sz="0" w:space="0" w:color="auto"/>
            <w:right w:val="none" w:sz="0" w:space="0" w:color="auto"/>
          </w:divBdr>
        </w:div>
      </w:divsChild>
    </w:div>
    <w:div w:id="686911115">
      <w:bodyDiv w:val="1"/>
      <w:marLeft w:val="0"/>
      <w:marRight w:val="0"/>
      <w:marTop w:val="0"/>
      <w:marBottom w:val="0"/>
      <w:divBdr>
        <w:top w:val="none" w:sz="0" w:space="0" w:color="auto"/>
        <w:left w:val="none" w:sz="0" w:space="0" w:color="auto"/>
        <w:bottom w:val="none" w:sz="0" w:space="0" w:color="auto"/>
        <w:right w:val="none" w:sz="0" w:space="0" w:color="auto"/>
      </w:divBdr>
    </w:div>
    <w:div w:id="708384256">
      <w:bodyDiv w:val="1"/>
      <w:marLeft w:val="0"/>
      <w:marRight w:val="0"/>
      <w:marTop w:val="0"/>
      <w:marBottom w:val="0"/>
      <w:divBdr>
        <w:top w:val="none" w:sz="0" w:space="0" w:color="auto"/>
        <w:left w:val="none" w:sz="0" w:space="0" w:color="auto"/>
        <w:bottom w:val="none" w:sz="0" w:space="0" w:color="auto"/>
        <w:right w:val="none" w:sz="0" w:space="0" w:color="auto"/>
      </w:divBdr>
      <w:divsChild>
        <w:div w:id="254361108">
          <w:marLeft w:val="547"/>
          <w:marRight w:val="0"/>
          <w:marTop w:val="0"/>
          <w:marBottom w:val="0"/>
          <w:divBdr>
            <w:top w:val="none" w:sz="0" w:space="0" w:color="auto"/>
            <w:left w:val="none" w:sz="0" w:space="0" w:color="auto"/>
            <w:bottom w:val="none" w:sz="0" w:space="0" w:color="auto"/>
            <w:right w:val="none" w:sz="0" w:space="0" w:color="auto"/>
          </w:divBdr>
        </w:div>
      </w:divsChild>
    </w:div>
    <w:div w:id="712270947">
      <w:bodyDiv w:val="1"/>
      <w:marLeft w:val="0"/>
      <w:marRight w:val="0"/>
      <w:marTop w:val="0"/>
      <w:marBottom w:val="0"/>
      <w:divBdr>
        <w:top w:val="none" w:sz="0" w:space="0" w:color="auto"/>
        <w:left w:val="none" w:sz="0" w:space="0" w:color="auto"/>
        <w:bottom w:val="none" w:sz="0" w:space="0" w:color="auto"/>
        <w:right w:val="none" w:sz="0" w:space="0" w:color="auto"/>
      </w:divBdr>
      <w:divsChild>
        <w:div w:id="1642929222">
          <w:marLeft w:val="1166"/>
          <w:marRight w:val="0"/>
          <w:marTop w:val="0"/>
          <w:marBottom w:val="0"/>
          <w:divBdr>
            <w:top w:val="none" w:sz="0" w:space="0" w:color="auto"/>
            <w:left w:val="none" w:sz="0" w:space="0" w:color="auto"/>
            <w:bottom w:val="none" w:sz="0" w:space="0" w:color="auto"/>
            <w:right w:val="none" w:sz="0" w:space="0" w:color="auto"/>
          </w:divBdr>
        </w:div>
      </w:divsChild>
    </w:div>
    <w:div w:id="746197572">
      <w:bodyDiv w:val="1"/>
      <w:marLeft w:val="0"/>
      <w:marRight w:val="0"/>
      <w:marTop w:val="0"/>
      <w:marBottom w:val="0"/>
      <w:divBdr>
        <w:top w:val="none" w:sz="0" w:space="0" w:color="auto"/>
        <w:left w:val="none" w:sz="0" w:space="0" w:color="auto"/>
        <w:bottom w:val="none" w:sz="0" w:space="0" w:color="auto"/>
        <w:right w:val="none" w:sz="0" w:space="0" w:color="auto"/>
      </w:divBdr>
      <w:divsChild>
        <w:div w:id="408842576">
          <w:marLeft w:val="274"/>
          <w:marRight w:val="0"/>
          <w:marTop w:val="120"/>
          <w:marBottom w:val="0"/>
          <w:divBdr>
            <w:top w:val="none" w:sz="0" w:space="0" w:color="auto"/>
            <w:left w:val="none" w:sz="0" w:space="0" w:color="auto"/>
            <w:bottom w:val="none" w:sz="0" w:space="0" w:color="auto"/>
            <w:right w:val="none" w:sz="0" w:space="0" w:color="auto"/>
          </w:divBdr>
        </w:div>
        <w:div w:id="528875964">
          <w:marLeft w:val="274"/>
          <w:marRight w:val="0"/>
          <w:marTop w:val="120"/>
          <w:marBottom w:val="0"/>
          <w:divBdr>
            <w:top w:val="none" w:sz="0" w:space="0" w:color="auto"/>
            <w:left w:val="none" w:sz="0" w:space="0" w:color="auto"/>
            <w:bottom w:val="none" w:sz="0" w:space="0" w:color="auto"/>
            <w:right w:val="none" w:sz="0" w:space="0" w:color="auto"/>
          </w:divBdr>
        </w:div>
        <w:div w:id="1909222634">
          <w:marLeft w:val="274"/>
          <w:marRight w:val="0"/>
          <w:marTop w:val="120"/>
          <w:marBottom w:val="0"/>
          <w:divBdr>
            <w:top w:val="none" w:sz="0" w:space="0" w:color="auto"/>
            <w:left w:val="none" w:sz="0" w:space="0" w:color="auto"/>
            <w:bottom w:val="none" w:sz="0" w:space="0" w:color="auto"/>
            <w:right w:val="none" w:sz="0" w:space="0" w:color="auto"/>
          </w:divBdr>
        </w:div>
      </w:divsChild>
    </w:div>
    <w:div w:id="750128101">
      <w:marLeft w:val="0"/>
      <w:marRight w:val="0"/>
      <w:marTop w:val="0"/>
      <w:marBottom w:val="0"/>
      <w:divBdr>
        <w:top w:val="none" w:sz="0" w:space="0" w:color="auto"/>
        <w:left w:val="none" w:sz="0" w:space="0" w:color="auto"/>
        <w:bottom w:val="none" w:sz="0" w:space="0" w:color="auto"/>
        <w:right w:val="none" w:sz="0" w:space="0" w:color="auto"/>
      </w:divBdr>
    </w:div>
    <w:div w:id="750128102">
      <w:marLeft w:val="0"/>
      <w:marRight w:val="0"/>
      <w:marTop w:val="0"/>
      <w:marBottom w:val="0"/>
      <w:divBdr>
        <w:top w:val="none" w:sz="0" w:space="0" w:color="auto"/>
        <w:left w:val="none" w:sz="0" w:space="0" w:color="auto"/>
        <w:bottom w:val="none" w:sz="0" w:space="0" w:color="auto"/>
        <w:right w:val="none" w:sz="0" w:space="0" w:color="auto"/>
      </w:divBdr>
    </w:div>
    <w:div w:id="750128103">
      <w:marLeft w:val="0"/>
      <w:marRight w:val="0"/>
      <w:marTop w:val="0"/>
      <w:marBottom w:val="0"/>
      <w:divBdr>
        <w:top w:val="none" w:sz="0" w:space="0" w:color="auto"/>
        <w:left w:val="none" w:sz="0" w:space="0" w:color="auto"/>
        <w:bottom w:val="none" w:sz="0" w:space="0" w:color="auto"/>
        <w:right w:val="none" w:sz="0" w:space="0" w:color="auto"/>
      </w:divBdr>
    </w:div>
    <w:div w:id="750128106">
      <w:marLeft w:val="0"/>
      <w:marRight w:val="0"/>
      <w:marTop w:val="0"/>
      <w:marBottom w:val="0"/>
      <w:divBdr>
        <w:top w:val="none" w:sz="0" w:space="0" w:color="auto"/>
        <w:left w:val="none" w:sz="0" w:space="0" w:color="auto"/>
        <w:bottom w:val="none" w:sz="0" w:space="0" w:color="auto"/>
        <w:right w:val="none" w:sz="0" w:space="0" w:color="auto"/>
      </w:divBdr>
    </w:div>
    <w:div w:id="750128107">
      <w:marLeft w:val="0"/>
      <w:marRight w:val="0"/>
      <w:marTop w:val="0"/>
      <w:marBottom w:val="0"/>
      <w:divBdr>
        <w:top w:val="none" w:sz="0" w:space="0" w:color="auto"/>
        <w:left w:val="none" w:sz="0" w:space="0" w:color="auto"/>
        <w:bottom w:val="none" w:sz="0" w:space="0" w:color="auto"/>
        <w:right w:val="none" w:sz="0" w:space="0" w:color="auto"/>
      </w:divBdr>
    </w:div>
    <w:div w:id="750128108">
      <w:marLeft w:val="0"/>
      <w:marRight w:val="0"/>
      <w:marTop w:val="0"/>
      <w:marBottom w:val="0"/>
      <w:divBdr>
        <w:top w:val="none" w:sz="0" w:space="0" w:color="auto"/>
        <w:left w:val="none" w:sz="0" w:space="0" w:color="auto"/>
        <w:bottom w:val="none" w:sz="0" w:space="0" w:color="auto"/>
        <w:right w:val="none" w:sz="0" w:space="0" w:color="auto"/>
      </w:divBdr>
    </w:div>
    <w:div w:id="750128109">
      <w:marLeft w:val="0"/>
      <w:marRight w:val="0"/>
      <w:marTop w:val="0"/>
      <w:marBottom w:val="0"/>
      <w:divBdr>
        <w:top w:val="none" w:sz="0" w:space="0" w:color="auto"/>
        <w:left w:val="none" w:sz="0" w:space="0" w:color="auto"/>
        <w:bottom w:val="none" w:sz="0" w:space="0" w:color="auto"/>
        <w:right w:val="none" w:sz="0" w:space="0" w:color="auto"/>
      </w:divBdr>
    </w:div>
    <w:div w:id="750128112">
      <w:marLeft w:val="0"/>
      <w:marRight w:val="0"/>
      <w:marTop w:val="0"/>
      <w:marBottom w:val="0"/>
      <w:divBdr>
        <w:top w:val="none" w:sz="0" w:space="0" w:color="auto"/>
        <w:left w:val="none" w:sz="0" w:space="0" w:color="auto"/>
        <w:bottom w:val="none" w:sz="0" w:space="0" w:color="auto"/>
        <w:right w:val="none" w:sz="0" w:space="0" w:color="auto"/>
      </w:divBdr>
    </w:div>
    <w:div w:id="750128113">
      <w:marLeft w:val="0"/>
      <w:marRight w:val="0"/>
      <w:marTop w:val="0"/>
      <w:marBottom w:val="0"/>
      <w:divBdr>
        <w:top w:val="none" w:sz="0" w:space="0" w:color="auto"/>
        <w:left w:val="none" w:sz="0" w:space="0" w:color="auto"/>
        <w:bottom w:val="none" w:sz="0" w:space="0" w:color="auto"/>
        <w:right w:val="none" w:sz="0" w:space="0" w:color="auto"/>
      </w:divBdr>
    </w:div>
    <w:div w:id="750128114">
      <w:marLeft w:val="0"/>
      <w:marRight w:val="0"/>
      <w:marTop w:val="0"/>
      <w:marBottom w:val="0"/>
      <w:divBdr>
        <w:top w:val="none" w:sz="0" w:space="0" w:color="auto"/>
        <w:left w:val="none" w:sz="0" w:space="0" w:color="auto"/>
        <w:bottom w:val="none" w:sz="0" w:space="0" w:color="auto"/>
        <w:right w:val="none" w:sz="0" w:space="0" w:color="auto"/>
      </w:divBdr>
    </w:div>
    <w:div w:id="750128116">
      <w:marLeft w:val="0"/>
      <w:marRight w:val="0"/>
      <w:marTop w:val="0"/>
      <w:marBottom w:val="0"/>
      <w:divBdr>
        <w:top w:val="none" w:sz="0" w:space="0" w:color="auto"/>
        <w:left w:val="none" w:sz="0" w:space="0" w:color="auto"/>
        <w:bottom w:val="none" w:sz="0" w:space="0" w:color="auto"/>
        <w:right w:val="none" w:sz="0" w:space="0" w:color="auto"/>
      </w:divBdr>
    </w:div>
    <w:div w:id="750128118">
      <w:marLeft w:val="0"/>
      <w:marRight w:val="0"/>
      <w:marTop w:val="0"/>
      <w:marBottom w:val="0"/>
      <w:divBdr>
        <w:top w:val="none" w:sz="0" w:space="0" w:color="auto"/>
        <w:left w:val="none" w:sz="0" w:space="0" w:color="auto"/>
        <w:bottom w:val="none" w:sz="0" w:space="0" w:color="auto"/>
        <w:right w:val="none" w:sz="0" w:space="0" w:color="auto"/>
      </w:divBdr>
      <w:divsChild>
        <w:div w:id="750128105">
          <w:marLeft w:val="547"/>
          <w:marRight w:val="0"/>
          <w:marTop w:val="0"/>
          <w:marBottom w:val="0"/>
          <w:divBdr>
            <w:top w:val="none" w:sz="0" w:space="0" w:color="auto"/>
            <w:left w:val="none" w:sz="0" w:space="0" w:color="auto"/>
            <w:bottom w:val="none" w:sz="0" w:space="0" w:color="auto"/>
            <w:right w:val="none" w:sz="0" w:space="0" w:color="auto"/>
          </w:divBdr>
        </w:div>
      </w:divsChild>
    </w:div>
    <w:div w:id="750128119">
      <w:marLeft w:val="0"/>
      <w:marRight w:val="0"/>
      <w:marTop w:val="0"/>
      <w:marBottom w:val="0"/>
      <w:divBdr>
        <w:top w:val="none" w:sz="0" w:space="0" w:color="auto"/>
        <w:left w:val="none" w:sz="0" w:space="0" w:color="auto"/>
        <w:bottom w:val="none" w:sz="0" w:space="0" w:color="auto"/>
        <w:right w:val="none" w:sz="0" w:space="0" w:color="auto"/>
      </w:divBdr>
    </w:div>
    <w:div w:id="750128120">
      <w:marLeft w:val="0"/>
      <w:marRight w:val="0"/>
      <w:marTop w:val="0"/>
      <w:marBottom w:val="0"/>
      <w:divBdr>
        <w:top w:val="none" w:sz="0" w:space="0" w:color="auto"/>
        <w:left w:val="none" w:sz="0" w:space="0" w:color="auto"/>
        <w:bottom w:val="none" w:sz="0" w:space="0" w:color="auto"/>
        <w:right w:val="none" w:sz="0" w:space="0" w:color="auto"/>
      </w:divBdr>
    </w:div>
    <w:div w:id="750128121">
      <w:marLeft w:val="0"/>
      <w:marRight w:val="0"/>
      <w:marTop w:val="0"/>
      <w:marBottom w:val="0"/>
      <w:divBdr>
        <w:top w:val="none" w:sz="0" w:space="0" w:color="auto"/>
        <w:left w:val="none" w:sz="0" w:space="0" w:color="auto"/>
        <w:bottom w:val="none" w:sz="0" w:space="0" w:color="auto"/>
        <w:right w:val="none" w:sz="0" w:space="0" w:color="auto"/>
      </w:divBdr>
    </w:div>
    <w:div w:id="750128123">
      <w:marLeft w:val="0"/>
      <w:marRight w:val="0"/>
      <w:marTop w:val="0"/>
      <w:marBottom w:val="0"/>
      <w:divBdr>
        <w:top w:val="none" w:sz="0" w:space="0" w:color="auto"/>
        <w:left w:val="none" w:sz="0" w:space="0" w:color="auto"/>
        <w:bottom w:val="none" w:sz="0" w:space="0" w:color="auto"/>
        <w:right w:val="none" w:sz="0" w:space="0" w:color="auto"/>
      </w:divBdr>
      <w:divsChild>
        <w:div w:id="750128131">
          <w:marLeft w:val="547"/>
          <w:marRight w:val="0"/>
          <w:marTop w:val="0"/>
          <w:marBottom w:val="0"/>
          <w:divBdr>
            <w:top w:val="none" w:sz="0" w:space="0" w:color="auto"/>
            <w:left w:val="none" w:sz="0" w:space="0" w:color="auto"/>
            <w:bottom w:val="none" w:sz="0" w:space="0" w:color="auto"/>
            <w:right w:val="none" w:sz="0" w:space="0" w:color="auto"/>
          </w:divBdr>
        </w:div>
      </w:divsChild>
    </w:div>
    <w:div w:id="750128125">
      <w:marLeft w:val="0"/>
      <w:marRight w:val="0"/>
      <w:marTop w:val="0"/>
      <w:marBottom w:val="0"/>
      <w:divBdr>
        <w:top w:val="none" w:sz="0" w:space="0" w:color="auto"/>
        <w:left w:val="none" w:sz="0" w:space="0" w:color="auto"/>
        <w:bottom w:val="none" w:sz="0" w:space="0" w:color="auto"/>
        <w:right w:val="none" w:sz="0" w:space="0" w:color="auto"/>
      </w:divBdr>
      <w:divsChild>
        <w:div w:id="750128111">
          <w:marLeft w:val="0"/>
          <w:marRight w:val="0"/>
          <w:marTop w:val="0"/>
          <w:marBottom w:val="0"/>
          <w:divBdr>
            <w:top w:val="none" w:sz="0" w:space="0" w:color="auto"/>
            <w:left w:val="none" w:sz="0" w:space="0" w:color="auto"/>
            <w:bottom w:val="none" w:sz="0" w:space="0" w:color="auto"/>
            <w:right w:val="none" w:sz="0" w:space="0" w:color="auto"/>
          </w:divBdr>
          <w:divsChild>
            <w:div w:id="750128122">
              <w:marLeft w:val="0"/>
              <w:marRight w:val="0"/>
              <w:marTop w:val="0"/>
              <w:marBottom w:val="0"/>
              <w:divBdr>
                <w:top w:val="none" w:sz="0" w:space="0" w:color="auto"/>
                <w:left w:val="none" w:sz="0" w:space="0" w:color="auto"/>
                <w:bottom w:val="none" w:sz="0" w:space="0" w:color="auto"/>
                <w:right w:val="none" w:sz="0" w:space="0" w:color="auto"/>
              </w:divBdr>
              <w:divsChild>
                <w:div w:id="750128117">
                  <w:marLeft w:val="0"/>
                  <w:marRight w:val="0"/>
                  <w:marTop w:val="0"/>
                  <w:marBottom w:val="0"/>
                  <w:divBdr>
                    <w:top w:val="none" w:sz="0" w:space="0" w:color="auto"/>
                    <w:left w:val="none" w:sz="0" w:space="0" w:color="auto"/>
                    <w:bottom w:val="none" w:sz="0" w:space="0" w:color="auto"/>
                    <w:right w:val="none" w:sz="0" w:space="0" w:color="auto"/>
                  </w:divBdr>
                  <w:divsChild>
                    <w:div w:id="750128110">
                      <w:marLeft w:val="0"/>
                      <w:marRight w:val="0"/>
                      <w:marTop w:val="0"/>
                      <w:marBottom w:val="0"/>
                      <w:divBdr>
                        <w:top w:val="none" w:sz="0" w:space="0" w:color="auto"/>
                        <w:left w:val="none" w:sz="0" w:space="0" w:color="auto"/>
                        <w:bottom w:val="none" w:sz="0" w:space="0" w:color="auto"/>
                        <w:right w:val="none" w:sz="0" w:space="0" w:color="auto"/>
                      </w:divBdr>
                      <w:divsChild>
                        <w:div w:id="750128124">
                          <w:marLeft w:val="0"/>
                          <w:marRight w:val="0"/>
                          <w:marTop w:val="0"/>
                          <w:marBottom w:val="0"/>
                          <w:divBdr>
                            <w:top w:val="none" w:sz="0" w:space="0" w:color="auto"/>
                            <w:left w:val="none" w:sz="0" w:space="0" w:color="auto"/>
                            <w:bottom w:val="none" w:sz="0" w:space="0" w:color="auto"/>
                            <w:right w:val="none" w:sz="0" w:space="0" w:color="auto"/>
                          </w:divBdr>
                          <w:divsChild>
                            <w:div w:id="7501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128126">
      <w:marLeft w:val="0"/>
      <w:marRight w:val="0"/>
      <w:marTop w:val="0"/>
      <w:marBottom w:val="0"/>
      <w:divBdr>
        <w:top w:val="none" w:sz="0" w:space="0" w:color="auto"/>
        <w:left w:val="none" w:sz="0" w:space="0" w:color="auto"/>
        <w:bottom w:val="none" w:sz="0" w:space="0" w:color="auto"/>
        <w:right w:val="none" w:sz="0" w:space="0" w:color="auto"/>
      </w:divBdr>
    </w:div>
    <w:div w:id="750128127">
      <w:marLeft w:val="0"/>
      <w:marRight w:val="0"/>
      <w:marTop w:val="0"/>
      <w:marBottom w:val="0"/>
      <w:divBdr>
        <w:top w:val="none" w:sz="0" w:space="0" w:color="auto"/>
        <w:left w:val="none" w:sz="0" w:space="0" w:color="auto"/>
        <w:bottom w:val="none" w:sz="0" w:space="0" w:color="auto"/>
        <w:right w:val="none" w:sz="0" w:space="0" w:color="auto"/>
      </w:divBdr>
    </w:div>
    <w:div w:id="750128128">
      <w:marLeft w:val="0"/>
      <w:marRight w:val="0"/>
      <w:marTop w:val="0"/>
      <w:marBottom w:val="0"/>
      <w:divBdr>
        <w:top w:val="none" w:sz="0" w:space="0" w:color="auto"/>
        <w:left w:val="none" w:sz="0" w:space="0" w:color="auto"/>
        <w:bottom w:val="none" w:sz="0" w:space="0" w:color="auto"/>
        <w:right w:val="none" w:sz="0" w:space="0" w:color="auto"/>
      </w:divBdr>
    </w:div>
    <w:div w:id="750128129">
      <w:marLeft w:val="0"/>
      <w:marRight w:val="0"/>
      <w:marTop w:val="0"/>
      <w:marBottom w:val="0"/>
      <w:divBdr>
        <w:top w:val="none" w:sz="0" w:space="0" w:color="auto"/>
        <w:left w:val="none" w:sz="0" w:space="0" w:color="auto"/>
        <w:bottom w:val="none" w:sz="0" w:space="0" w:color="auto"/>
        <w:right w:val="none" w:sz="0" w:space="0" w:color="auto"/>
      </w:divBdr>
    </w:div>
    <w:div w:id="750128132">
      <w:marLeft w:val="0"/>
      <w:marRight w:val="0"/>
      <w:marTop w:val="0"/>
      <w:marBottom w:val="0"/>
      <w:divBdr>
        <w:top w:val="none" w:sz="0" w:space="0" w:color="auto"/>
        <w:left w:val="none" w:sz="0" w:space="0" w:color="auto"/>
        <w:bottom w:val="none" w:sz="0" w:space="0" w:color="auto"/>
        <w:right w:val="none" w:sz="0" w:space="0" w:color="auto"/>
      </w:divBdr>
      <w:divsChild>
        <w:div w:id="750128104">
          <w:marLeft w:val="547"/>
          <w:marRight w:val="0"/>
          <w:marTop w:val="0"/>
          <w:marBottom w:val="0"/>
          <w:divBdr>
            <w:top w:val="none" w:sz="0" w:space="0" w:color="auto"/>
            <w:left w:val="none" w:sz="0" w:space="0" w:color="auto"/>
            <w:bottom w:val="none" w:sz="0" w:space="0" w:color="auto"/>
            <w:right w:val="none" w:sz="0" w:space="0" w:color="auto"/>
          </w:divBdr>
        </w:div>
      </w:divsChild>
    </w:div>
    <w:div w:id="750128133">
      <w:marLeft w:val="0"/>
      <w:marRight w:val="0"/>
      <w:marTop w:val="0"/>
      <w:marBottom w:val="0"/>
      <w:divBdr>
        <w:top w:val="none" w:sz="0" w:space="0" w:color="auto"/>
        <w:left w:val="none" w:sz="0" w:space="0" w:color="auto"/>
        <w:bottom w:val="none" w:sz="0" w:space="0" w:color="auto"/>
        <w:right w:val="none" w:sz="0" w:space="0" w:color="auto"/>
      </w:divBdr>
      <w:divsChild>
        <w:div w:id="750128130">
          <w:marLeft w:val="0"/>
          <w:marRight w:val="0"/>
          <w:marTop w:val="0"/>
          <w:marBottom w:val="0"/>
          <w:divBdr>
            <w:top w:val="none" w:sz="0" w:space="0" w:color="auto"/>
            <w:left w:val="none" w:sz="0" w:space="0" w:color="auto"/>
            <w:bottom w:val="none" w:sz="0" w:space="0" w:color="auto"/>
            <w:right w:val="none" w:sz="0" w:space="0" w:color="auto"/>
          </w:divBdr>
        </w:div>
      </w:divsChild>
    </w:div>
    <w:div w:id="750128134">
      <w:marLeft w:val="0"/>
      <w:marRight w:val="0"/>
      <w:marTop w:val="0"/>
      <w:marBottom w:val="0"/>
      <w:divBdr>
        <w:top w:val="none" w:sz="0" w:space="0" w:color="auto"/>
        <w:left w:val="none" w:sz="0" w:space="0" w:color="auto"/>
        <w:bottom w:val="none" w:sz="0" w:space="0" w:color="auto"/>
        <w:right w:val="none" w:sz="0" w:space="0" w:color="auto"/>
      </w:divBdr>
    </w:div>
    <w:div w:id="750128135">
      <w:marLeft w:val="0"/>
      <w:marRight w:val="0"/>
      <w:marTop w:val="0"/>
      <w:marBottom w:val="0"/>
      <w:divBdr>
        <w:top w:val="none" w:sz="0" w:space="0" w:color="auto"/>
        <w:left w:val="none" w:sz="0" w:space="0" w:color="auto"/>
        <w:bottom w:val="none" w:sz="0" w:space="0" w:color="auto"/>
        <w:right w:val="none" w:sz="0" w:space="0" w:color="auto"/>
      </w:divBdr>
    </w:div>
    <w:div w:id="750128136">
      <w:marLeft w:val="0"/>
      <w:marRight w:val="0"/>
      <w:marTop w:val="0"/>
      <w:marBottom w:val="0"/>
      <w:divBdr>
        <w:top w:val="none" w:sz="0" w:space="0" w:color="auto"/>
        <w:left w:val="none" w:sz="0" w:space="0" w:color="auto"/>
        <w:bottom w:val="none" w:sz="0" w:space="0" w:color="auto"/>
        <w:right w:val="none" w:sz="0" w:space="0" w:color="auto"/>
      </w:divBdr>
    </w:div>
    <w:div w:id="750128137">
      <w:marLeft w:val="0"/>
      <w:marRight w:val="0"/>
      <w:marTop w:val="0"/>
      <w:marBottom w:val="0"/>
      <w:divBdr>
        <w:top w:val="none" w:sz="0" w:space="0" w:color="auto"/>
        <w:left w:val="none" w:sz="0" w:space="0" w:color="auto"/>
        <w:bottom w:val="none" w:sz="0" w:space="0" w:color="auto"/>
        <w:right w:val="none" w:sz="0" w:space="0" w:color="auto"/>
      </w:divBdr>
    </w:div>
    <w:div w:id="783383080">
      <w:bodyDiv w:val="1"/>
      <w:marLeft w:val="0"/>
      <w:marRight w:val="0"/>
      <w:marTop w:val="0"/>
      <w:marBottom w:val="0"/>
      <w:divBdr>
        <w:top w:val="none" w:sz="0" w:space="0" w:color="auto"/>
        <w:left w:val="none" w:sz="0" w:space="0" w:color="auto"/>
        <w:bottom w:val="none" w:sz="0" w:space="0" w:color="auto"/>
        <w:right w:val="none" w:sz="0" w:space="0" w:color="auto"/>
      </w:divBdr>
      <w:divsChild>
        <w:div w:id="1420100543">
          <w:marLeft w:val="547"/>
          <w:marRight w:val="0"/>
          <w:marTop w:val="120"/>
          <w:marBottom w:val="0"/>
          <w:divBdr>
            <w:top w:val="none" w:sz="0" w:space="0" w:color="auto"/>
            <w:left w:val="none" w:sz="0" w:space="0" w:color="auto"/>
            <w:bottom w:val="none" w:sz="0" w:space="0" w:color="auto"/>
            <w:right w:val="none" w:sz="0" w:space="0" w:color="auto"/>
          </w:divBdr>
        </w:div>
      </w:divsChild>
    </w:div>
    <w:div w:id="806092819">
      <w:bodyDiv w:val="1"/>
      <w:marLeft w:val="0"/>
      <w:marRight w:val="0"/>
      <w:marTop w:val="0"/>
      <w:marBottom w:val="0"/>
      <w:divBdr>
        <w:top w:val="none" w:sz="0" w:space="0" w:color="auto"/>
        <w:left w:val="none" w:sz="0" w:space="0" w:color="auto"/>
        <w:bottom w:val="none" w:sz="0" w:space="0" w:color="auto"/>
        <w:right w:val="none" w:sz="0" w:space="0" w:color="auto"/>
      </w:divBdr>
    </w:div>
    <w:div w:id="841772173">
      <w:bodyDiv w:val="1"/>
      <w:marLeft w:val="0"/>
      <w:marRight w:val="0"/>
      <w:marTop w:val="0"/>
      <w:marBottom w:val="0"/>
      <w:divBdr>
        <w:top w:val="none" w:sz="0" w:space="0" w:color="auto"/>
        <w:left w:val="none" w:sz="0" w:space="0" w:color="auto"/>
        <w:bottom w:val="none" w:sz="0" w:space="0" w:color="auto"/>
        <w:right w:val="none" w:sz="0" w:space="0" w:color="auto"/>
      </w:divBdr>
    </w:div>
    <w:div w:id="891577134">
      <w:bodyDiv w:val="1"/>
      <w:marLeft w:val="0"/>
      <w:marRight w:val="0"/>
      <w:marTop w:val="0"/>
      <w:marBottom w:val="0"/>
      <w:divBdr>
        <w:top w:val="none" w:sz="0" w:space="0" w:color="auto"/>
        <w:left w:val="none" w:sz="0" w:space="0" w:color="auto"/>
        <w:bottom w:val="none" w:sz="0" w:space="0" w:color="auto"/>
        <w:right w:val="none" w:sz="0" w:space="0" w:color="auto"/>
      </w:divBdr>
      <w:divsChild>
        <w:div w:id="692997687">
          <w:marLeft w:val="547"/>
          <w:marRight w:val="0"/>
          <w:marTop w:val="0"/>
          <w:marBottom w:val="0"/>
          <w:divBdr>
            <w:top w:val="none" w:sz="0" w:space="0" w:color="auto"/>
            <w:left w:val="none" w:sz="0" w:space="0" w:color="auto"/>
            <w:bottom w:val="none" w:sz="0" w:space="0" w:color="auto"/>
            <w:right w:val="none" w:sz="0" w:space="0" w:color="auto"/>
          </w:divBdr>
        </w:div>
      </w:divsChild>
    </w:div>
    <w:div w:id="911936543">
      <w:bodyDiv w:val="1"/>
      <w:marLeft w:val="0"/>
      <w:marRight w:val="0"/>
      <w:marTop w:val="0"/>
      <w:marBottom w:val="0"/>
      <w:divBdr>
        <w:top w:val="none" w:sz="0" w:space="0" w:color="auto"/>
        <w:left w:val="none" w:sz="0" w:space="0" w:color="auto"/>
        <w:bottom w:val="none" w:sz="0" w:space="0" w:color="auto"/>
        <w:right w:val="none" w:sz="0" w:space="0" w:color="auto"/>
      </w:divBdr>
    </w:div>
    <w:div w:id="939917759">
      <w:bodyDiv w:val="1"/>
      <w:marLeft w:val="0"/>
      <w:marRight w:val="0"/>
      <w:marTop w:val="0"/>
      <w:marBottom w:val="0"/>
      <w:divBdr>
        <w:top w:val="none" w:sz="0" w:space="0" w:color="auto"/>
        <w:left w:val="none" w:sz="0" w:space="0" w:color="auto"/>
        <w:bottom w:val="none" w:sz="0" w:space="0" w:color="auto"/>
        <w:right w:val="none" w:sz="0" w:space="0" w:color="auto"/>
      </w:divBdr>
    </w:div>
    <w:div w:id="948127406">
      <w:bodyDiv w:val="1"/>
      <w:marLeft w:val="0"/>
      <w:marRight w:val="0"/>
      <w:marTop w:val="0"/>
      <w:marBottom w:val="0"/>
      <w:divBdr>
        <w:top w:val="none" w:sz="0" w:space="0" w:color="auto"/>
        <w:left w:val="none" w:sz="0" w:space="0" w:color="auto"/>
        <w:bottom w:val="none" w:sz="0" w:space="0" w:color="auto"/>
        <w:right w:val="none" w:sz="0" w:space="0" w:color="auto"/>
      </w:divBdr>
      <w:divsChild>
        <w:div w:id="697777538">
          <w:marLeft w:val="547"/>
          <w:marRight w:val="0"/>
          <w:marTop w:val="0"/>
          <w:marBottom w:val="0"/>
          <w:divBdr>
            <w:top w:val="none" w:sz="0" w:space="0" w:color="auto"/>
            <w:left w:val="none" w:sz="0" w:space="0" w:color="auto"/>
            <w:bottom w:val="none" w:sz="0" w:space="0" w:color="auto"/>
            <w:right w:val="none" w:sz="0" w:space="0" w:color="auto"/>
          </w:divBdr>
        </w:div>
      </w:divsChild>
    </w:div>
    <w:div w:id="951665855">
      <w:bodyDiv w:val="1"/>
      <w:marLeft w:val="0"/>
      <w:marRight w:val="0"/>
      <w:marTop w:val="0"/>
      <w:marBottom w:val="0"/>
      <w:divBdr>
        <w:top w:val="none" w:sz="0" w:space="0" w:color="auto"/>
        <w:left w:val="none" w:sz="0" w:space="0" w:color="auto"/>
        <w:bottom w:val="none" w:sz="0" w:space="0" w:color="auto"/>
        <w:right w:val="none" w:sz="0" w:space="0" w:color="auto"/>
      </w:divBdr>
    </w:div>
    <w:div w:id="969867830">
      <w:bodyDiv w:val="1"/>
      <w:marLeft w:val="0"/>
      <w:marRight w:val="0"/>
      <w:marTop w:val="0"/>
      <w:marBottom w:val="0"/>
      <w:divBdr>
        <w:top w:val="none" w:sz="0" w:space="0" w:color="auto"/>
        <w:left w:val="none" w:sz="0" w:space="0" w:color="auto"/>
        <w:bottom w:val="none" w:sz="0" w:space="0" w:color="auto"/>
        <w:right w:val="none" w:sz="0" w:space="0" w:color="auto"/>
      </w:divBdr>
      <w:divsChild>
        <w:div w:id="451435440">
          <w:marLeft w:val="562"/>
          <w:marRight w:val="0"/>
          <w:marTop w:val="67"/>
          <w:marBottom w:val="0"/>
          <w:divBdr>
            <w:top w:val="none" w:sz="0" w:space="0" w:color="auto"/>
            <w:left w:val="none" w:sz="0" w:space="0" w:color="auto"/>
            <w:bottom w:val="none" w:sz="0" w:space="0" w:color="auto"/>
            <w:right w:val="none" w:sz="0" w:space="0" w:color="auto"/>
          </w:divBdr>
        </w:div>
        <w:div w:id="534199665">
          <w:marLeft w:val="562"/>
          <w:marRight w:val="0"/>
          <w:marTop w:val="67"/>
          <w:marBottom w:val="0"/>
          <w:divBdr>
            <w:top w:val="none" w:sz="0" w:space="0" w:color="auto"/>
            <w:left w:val="none" w:sz="0" w:space="0" w:color="auto"/>
            <w:bottom w:val="none" w:sz="0" w:space="0" w:color="auto"/>
            <w:right w:val="none" w:sz="0" w:space="0" w:color="auto"/>
          </w:divBdr>
        </w:div>
        <w:div w:id="554852944">
          <w:marLeft w:val="274"/>
          <w:marRight w:val="0"/>
          <w:marTop w:val="120"/>
          <w:marBottom w:val="0"/>
          <w:divBdr>
            <w:top w:val="none" w:sz="0" w:space="0" w:color="auto"/>
            <w:left w:val="none" w:sz="0" w:space="0" w:color="auto"/>
            <w:bottom w:val="none" w:sz="0" w:space="0" w:color="auto"/>
            <w:right w:val="none" w:sz="0" w:space="0" w:color="auto"/>
          </w:divBdr>
        </w:div>
        <w:div w:id="563027415">
          <w:marLeft w:val="274"/>
          <w:marRight w:val="0"/>
          <w:marTop w:val="120"/>
          <w:marBottom w:val="0"/>
          <w:divBdr>
            <w:top w:val="none" w:sz="0" w:space="0" w:color="auto"/>
            <w:left w:val="none" w:sz="0" w:space="0" w:color="auto"/>
            <w:bottom w:val="none" w:sz="0" w:space="0" w:color="auto"/>
            <w:right w:val="none" w:sz="0" w:space="0" w:color="auto"/>
          </w:divBdr>
        </w:div>
        <w:div w:id="1800029786">
          <w:marLeft w:val="274"/>
          <w:marRight w:val="0"/>
          <w:marTop w:val="120"/>
          <w:marBottom w:val="0"/>
          <w:divBdr>
            <w:top w:val="none" w:sz="0" w:space="0" w:color="auto"/>
            <w:left w:val="none" w:sz="0" w:space="0" w:color="auto"/>
            <w:bottom w:val="none" w:sz="0" w:space="0" w:color="auto"/>
            <w:right w:val="none" w:sz="0" w:space="0" w:color="auto"/>
          </w:divBdr>
        </w:div>
        <w:div w:id="1905874692">
          <w:marLeft w:val="274"/>
          <w:marRight w:val="0"/>
          <w:marTop w:val="120"/>
          <w:marBottom w:val="0"/>
          <w:divBdr>
            <w:top w:val="none" w:sz="0" w:space="0" w:color="auto"/>
            <w:left w:val="none" w:sz="0" w:space="0" w:color="auto"/>
            <w:bottom w:val="none" w:sz="0" w:space="0" w:color="auto"/>
            <w:right w:val="none" w:sz="0" w:space="0" w:color="auto"/>
          </w:divBdr>
        </w:div>
      </w:divsChild>
    </w:div>
    <w:div w:id="1017661185">
      <w:bodyDiv w:val="1"/>
      <w:marLeft w:val="0"/>
      <w:marRight w:val="0"/>
      <w:marTop w:val="0"/>
      <w:marBottom w:val="0"/>
      <w:divBdr>
        <w:top w:val="none" w:sz="0" w:space="0" w:color="auto"/>
        <w:left w:val="none" w:sz="0" w:space="0" w:color="auto"/>
        <w:bottom w:val="none" w:sz="0" w:space="0" w:color="auto"/>
        <w:right w:val="none" w:sz="0" w:space="0" w:color="auto"/>
      </w:divBdr>
      <w:divsChild>
        <w:div w:id="159321453">
          <w:marLeft w:val="562"/>
          <w:marRight w:val="0"/>
          <w:marTop w:val="67"/>
          <w:marBottom w:val="0"/>
          <w:divBdr>
            <w:top w:val="none" w:sz="0" w:space="0" w:color="auto"/>
            <w:left w:val="none" w:sz="0" w:space="0" w:color="auto"/>
            <w:bottom w:val="none" w:sz="0" w:space="0" w:color="auto"/>
            <w:right w:val="none" w:sz="0" w:space="0" w:color="auto"/>
          </w:divBdr>
        </w:div>
        <w:div w:id="978875989">
          <w:marLeft w:val="274"/>
          <w:marRight w:val="0"/>
          <w:marTop w:val="120"/>
          <w:marBottom w:val="0"/>
          <w:divBdr>
            <w:top w:val="none" w:sz="0" w:space="0" w:color="auto"/>
            <w:left w:val="none" w:sz="0" w:space="0" w:color="auto"/>
            <w:bottom w:val="none" w:sz="0" w:space="0" w:color="auto"/>
            <w:right w:val="none" w:sz="0" w:space="0" w:color="auto"/>
          </w:divBdr>
        </w:div>
        <w:div w:id="1165239638">
          <w:marLeft w:val="562"/>
          <w:marRight w:val="0"/>
          <w:marTop w:val="67"/>
          <w:marBottom w:val="0"/>
          <w:divBdr>
            <w:top w:val="none" w:sz="0" w:space="0" w:color="auto"/>
            <w:left w:val="none" w:sz="0" w:space="0" w:color="auto"/>
            <w:bottom w:val="none" w:sz="0" w:space="0" w:color="auto"/>
            <w:right w:val="none" w:sz="0" w:space="0" w:color="auto"/>
          </w:divBdr>
        </w:div>
        <w:div w:id="1258904004">
          <w:marLeft w:val="562"/>
          <w:marRight w:val="0"/>
          <w:marTop w:val="67"/>
          <w:marBottom w:val="0"/>
          <w:divBdr>
            <w:top w:val="none" w:sz="0" w:space="0" w:color="auto"/>
            <w:left w:val="none" w:sz="0" w:space="0" w:color="auto"/>
            <w:bottom w:val="none" w:sz="0" w:space="0" w:color="auto"/>
            <w:right w:val="none" w:sz="0" w:space="0" w:color="auto"/>
          </w:divBdr>
        </w:div>
        <w:div w:id="1752191546">
          <w:marLeft w:val="274"/>
          <w:marRight w:val="0"/>
          <w:marTop w:val="120"/>
          <w:marBottom w:val="0"/>
          <w:divBdr>
            <w:top w:val="none" w:sz="0" w:space="0" w:color="auto"/>
            <w:left w:val="none" w:sz="0" w:space="0" w:color="auto"/>
            <w:bottom w:val="none" w:sz="0" w:space="0" w:color="auto"/>
            <w:right w:val="none" w:sz="0" w:space="0" w:color="auto"/>
          </w:divBdr>
        </w:div>
        <w:div w:id="1878152686">
          <w:marLeft w:val="274"/>
          <w:marRight w:val="0"/>
          <w:marTop w:val="120"/>
          <w:marBottom w:val="0"/>
          <w:divBdr>
            <w:top w:val="none" w:sz="0" w:space="0" w:color="auto"/>
            <w:left w:val="none" w:sz="0" w:space="0" w:color="auto"/>
            <w:bottom w:val="none" w:sz="0" w:space="0" w:color="auto"/>
            <w:right w:val="none" w:sz="0" w:space="0" w:color="auto"/>
          </w:divBdr>
        </w:div>
        <w:div w:id="1952592060">
          <w:marLeft w:val="562"/>
          <w:marRight w:val="0"/>
          <w:marTop w:val="67"/>
          <w:marBottom w:val="0"/>
          <w:divBdr>
            <w:top w:val="none" w:sz="0" w:space="0" w:color="auto"/>
            <w:left w:val="none" w:sz="0" w:space="0" w:color="auto"/>
            <w:bottom w:val="none" w:sz="0" w:space="0" w:color="auto"/>
            <w:right w:val="none" w:sz="0" w:space="0" w:color="auto"/>
          </w:divBdr>
        </w:div>
        <w:div w:id="2095737491">
          <w:marLeft w:val="562"/>
          <w:marRight w:val="0"/>
          <w:marTop w:val="67"/>
          <w:marBottom w:val="0"/>
          <w:divBdr>
            <w:top w:val="none" w:sz="0" w:space="0" w:color="auto"/>
            <w:left w:val="none" w:sz="0" w:space="0" w:color="auto"/>
            <w:bottom w:val="none" w:sz="0" w:space="0" w:color="auto"/>
            <w:right w:val="none" w:sz="0" w:space="0" w:color="auto"/>
          </w:divBdr>
        </w:div>
      </w:divsChild>
    </w:div>
    <w:div w:id="1019939486">
      <w:bodyDiv w:val="1"/>
      <w:marLeft w:val="0"/>
      <w:marRight w:val="0"/>
      <w:marTop w:val="0"/>
      <w:marBottom w:val="0"/>
      <w:divBdr>
        <w:top w:val="none" w:sz="0" w:space="0" w:color="auto"/>
        <w:left w:val="none" w:sz="0" w:space="0" w:color="auto"/>
        <w:bottom w:val="none" w:sz="0" w:space="0" w:color="auto"/>
        <w:right w:val="none" w:sz="0" w:space="0" w:color="auto"/>
      </w:divBdr>
    </w:div>
    <w:div w:id="1049065526">
      <w:bodyDiv w:val="1"/>
      <w:marLeft w:val="0"/>
      <w:marRight w:val="0"/>
      <w:marTop w:val="0"/>
      <w:marBottom w:val="0"/>
      <w:divBdr>
        <w:top w:val="none" w:sz="0" w:space="0" w:color="auto"/>
        <w:left w:val="none" w:sz="0" w:space="0" w:color="auto"/>
        <w:bottom w:val="none" w:sz="0" w:space="0" w:color="auto"/>
        <w:right w:val="none" w:sz="0" w:space="0" w:color="auto"/>
      </w:divBdr>
    </w:div>
    <w:div w:id="1168790090">
      <w:bodyDiv w:val="1"/>
      <w:marLeft w:val="0"/>
      <w:marRight w:val="0"/>
      <w:marTop w:val="0"/>
      <w:marBottom w:val="0"/>
      <w:divBdr>
        <w:top w:val="none" w:sz="0" w:space="0" w:color="auto"/>
        <w:left w:val="none" w:sz="0" w:space="0" w:color="auto"/>
        <w:bottom w:val="none" w:sz="0" w:space="0" w:color="auto"/>
        <w:right w:val="none" w:sz="0" w:space="0" w:color="auto"/>
      </w:divBdr>
      <w:divsChild>
        <w:div w:id="1814561697">
          <w:marLeft w:val="547"/>
          <w:marRight w:val="0"/>
          <w:marTop w:val="0"/>
          <w:marBottom w:val="0"/>
          <w:divBdr>
            <w:top w:val="none" w:sz="0" w:space="0" w:color="auto"/>
            <w:left w:val="none" w:sz="0" w:space="0" w:color="auto"/>
            <w:bottom w:val="none" w:sz="0" w:space="0" w:color="auto"/>
            <w:right w:val="none" w:sz="0" w:space="0" w:color="auto"/>
          </w:divBdr>
        </w:div>
      </w:divsChild>
    </w:div>
    <w:div w:id="1176765374">
      <w:bodyDiv w:val="1"/>
      <w:marLeft w:val="0"/>
      <w:marRight w:val="0"/>
      <w:marTop w:val="0"/>
      <w:marBottom w:val="0"/>
      <w:divBdr>
        <w:top w:val="none" w:sz="0" w:space="0" w:color="auto"/>
        <w:left w:val="none" w:sz="0" w:space="0" w:color="auto"/>
        <w:bottom w:val="none" w:sz="0" w:space="0" w:color="auto"/>
        <w:right w:val="none" w:sz="0" w:space="0" w:color="auto"/>
      </w:divBdr>
    </w:div>
    <w:div w:id="1199007545">
      <w:bodyDiv w:val="1"/>
      <w:marLeft w:val="0"/>
      <w:marRight w:val="0"/>
      <w:marTop w:val="0"/>
      <w:marBottom w:val="0"/>
      <w:divBdr>
        <w:top w:val="none" w:sz="0" w:space="0" w:color="auto"/>
        <w:left w:val="none" w:sz="0" w:space="0" w:color="auto"/>
        <w:bottom w:val="none" w:sz="0" w:space="0" w:color="auto"/>
        <w:right w:val="none" w:sz="0" w:space="0" w:color="auto"/>
      </w:divBdr>
      <w:divsChild>
        <w:div w:id="122232103">
          <w:marLeft w:val="547"/>
          <w:marRight w:val="0"/>
          <w:marTop w:val="0"/>
          <w:marBottom w:val="0"/>
          <w:divBdr>
            <w:top w:val="none" w:sz="0" w:space="0" w:color="auto"/>
            <w:left w:val="none" w:sz="0" w:space="0" w:color="auto"/>
            <w:bottom w:val="none" w:sz="0" w:space="0" w:color="auto"/>
            <w:right w:val="none" w:sz="0" w:space="0" w:color="auto"/>
          </w:divBdr>
        </w:div>
        <w:div w:id="794911556">
          <w:marLeft w:val="547"/>
          <w:marRight w:val="0"/>
          <w:marTop w:val="0"/>
          <w:marBottom w:val="0"/>
          <w:divBdr>
            <w:top w:val="none" w:sz="0" w:space="0" w:color="auto"/>
            <w:left w:val="none" w:sz="0" w:space="0" w:color="auto"/>
            <w:bottom w:val="none" w:sz="0" w:space="0" w:color="auto"/>
            <w:right w:val="none" w:sz="0" w:space="0" w:color="auto"/>
          </w:divBdr>
        </w:div>
      </w:divsChild>
    </w:div>
    <w:div w:id="1201238023">
      <w:bodyDiv w:val="1"/>
      <w:marLeft w:val="0"/>
      <w:marRight w:val="0"/>
      <w:marTop w:val="0"/>
      <w:marBottom w:val="0"/>
      <w:divBdr>
        <w:top w:val="none" w:sz="0" w:space="0" w:color="auto"/>
        <w:left w:val="none" w:sz="0" w:space="0" w:color="auto"/>
        <w:bottom w:val="none" w:sz="0" w:space="0" w:color="auto"/>
        <w:right w:val="none" w:sz="0" w:space="0" w:color="auto"/>
      </w:divBdr>
    </w:div>
    <w:div w:id="1225876953">
      <w:bodyDiv w:val="1"/>
      <w:marLeft w:val="0"/>
      <w:marRight w:val="0"/>
      <w:marTop w:val="0"/>
      <w:marBottom w:val="0"/>
      <w:divBdr>
        <w:top w:val="none" w:sz="0" w:space="0" w:color="auto"/>
        <w:left w:val="none" w:sz="0" w:space="0" w:color="auto"/>
        <w:bottom w:val="none" w:sz="0" w:space="0" w:color="auto"/>
        <w:right w:val="none" w:sz="0" w:space="0" w:color="auto"/>
      </w:divBdr>
    </w:div>
    <w:div w:id="1290360354">
      <w:bodyDiv w:val="1"/>
      <w:marLeft w:val="0"/>
      <w:marRight w:val="0"/>
      <w:marTop w:val="0"/>
      <w:marBottom w:val="0"/>
      <w:divBdr>
        <w:top w:val="none" w:sz="0" w:space="0" w:color="auto"/>
        <w:left w:val="none" w:sz="0" w:space="0" w:color="auto"/>
        <w:bottom w:val="none" w:sz="0" w:space="0" w:color="auto"/>
        <w:right w:val="none" w:sz="0" w:space="0" w:color="auto"/>
      </w:divBdr>
      <w:divsChild>
        <w:div w:id="1205101624">
          <w:marLeft w:val="547"/>
          <w:marRight w:val="0"/>
          <w:marTop w:val="0"/>
          <w:marBottom w:val="0"/>
          <w:divBdr>
            <w:top w:val="none" w:sz="0" w:space="0" w:color="auto"/>
            <w:left w:val="none" w:sz="0" w:space="0" w:color="auto"/>
            <w:bottom w:val="none" w:sz="0" w:space="0" w:color="auto"/>
            <w:right w:val="none" w:sz="0" w:space="0" w:color="auto"/>
          </w:divBdr>
        </w:div>
      </w:divsChild>
    </w:div>
    <w:div w:id="1373647447">
      <w:bodyDiv w:val="1"/>
      <w:marLeft w:val="0"/>
      <w:marRight w:val="0"/>
      <w:marTop w:val="0"/>
      <w:marBottom w:val="0"/>
      <w:divBdr>
        <w:top w:val="none" w:sz="0" w:space="0" w:color="auto"/>
        <w:left w:val="none" w:sz="0" w:space="0" w:color="auto"/>
        <w:bottom w:val="none" w:sz="0" w:space="0" w:color="auto"/>
        <w:right w:val="none" w:sz="0" w:space="0" w:color="auto"/>
      </w:divBdr>
      <w:divsChild>
        <w:div w:id="1198204736">
          <w:marLeft w:val="547"/>
          <w:marRight w:val="0"/>
          <w:marTop w:val="120"/>
          <w:marBottom w:val="0"/>
          <w:divBdr>
            <w:top w:val="none" w:sz="0" w:space="0" w:color="auto"/>
            <w:left w:val="none" w:sz="0" w:space="0" w:color="auto"/>
            <w:bottom w:val="none" w:sz="0" w:space="0" w:color="auto"/>
            <w:right w:val="none" w:sz="0" w:space="0" w:color="auto"/>
          </w:divBdr>
        </w:div>
      </w:divsChild>
    </w:div>
    <w:div w:id="1463116162">
      <w:bodyDiv w:val="1"/>
      <w:marLeft w:val="0"/>
      <w:marRight w:val="0"/>
      <w:marTop w:val="0"/>
      <w:marBottom w:val="0"/>
      <w:divBdr>
        <w:top w:val="none" w:sz="0" w:space="0" w:color="auto"/>
        <w:left w:val="none" w:sz="0" w:space="0" w:color="auto"/>
        <w:bottom w:val="none" w:sz="0" w:space="0" w:color="auto"/>
        <w:right w:val="none" w:sz="0" w:space="0" w:color="auto"/>
      </w:divBdr>
    </w:div>
    <w:div w:id="1484154835">
      <w:bodyDiv w:val="1"/>
      <w:marLeft w:val="0"/>
      <w:marRight w:val="0"/>
      <w:marTop w:val="0"/>
      <w:marBottom w:val="0"/>
      <w:divBdr>
        <w:top w:val="none" w:sz="0" w:space="0" w:color="auto"/>
        <w:left w:val="none" w:sz="0" w:space="0" w:color="auto"/>
        <w:bottom w:val="none" w:sz="0" w:space="0" w:color="auto"/>
        <w:right w:val="none" w:sz="0" w:space="0" w:color="auto"/>
      </w:divBdr>
    </w:div>
    <w:div w:id="1529563212">
      <w:bodyDiv w:val="1"/>
      <w:marLeft w:val="0"/>
      <w:marRight w:val="0"/>
      <w:marTop w:val="0"/>
      <w:marBottom w:val="0"/>
      <w:divBdr>
        <w:top w:val="none" w:sz="0" w:space="0" w:color="auto"/>
        <w:left w:val="none" w:sz="0" w:space="0" w:color="auto"/>
        <w:bottom w:val="none" w:sz="0" w:space="0" w:color="auto"/>
        <w:right w:val="none" w:sz="0" w:space="0" w:color="auto"/>
      </w:divBdr>
    </w:div>
    <w:div w:id="1543253290">
      <w:bodyDiv w:val="1"/>
      <w:marLeft w:val="0"/>
      <w:marRight w:val="0"/>
      <w:marTop w:val="0"/>
      <w:marBottom w:val="0"/>
      <w:divBdr>
        <w:top w:val="none" w:sz="0" w:space="0" w:color="auto"/>
        <w:left w:val="none" w:sz="0" w:space="0" w:color="auto"/>
        <w:bottom w:val="none" w:sz="0" w:space="0" w:color="auto"/>
        <w:right w:val="none" w:sz="0" w:space="0" w:color="auto"/>
      </w:divBdr>
    </w:div>
    <w:div w:id="1567765237">
      <w:bodyDiv w:val="1"/>
      <w:marLeft w:val="0"/>
      <w:marRight w:val="0"/>
      <w:marTop w:val="0"/>
      <w:marBottom w:val="0"/>
      <w:divBdr>
        <w:top w:val="none" w:sz="0" w:space="0" w:color="auto"/>
        <w:left w:val="none" w:sz="0" w:space="0" w:color="auto"/>
        <w:bottom w:val="none" w:sz="0" w:space="0" w:color="auto"/>
        <w:right w:val="none" w:sz="0" w:space="0" w:color="auto"/>
      </w:divBdr>
    </w:div>
    <w:div w:id="1592351313">
      <w:bodyDiv w:val="1"/>
      <w:marLeft w:val="0"/>
      <w:marRight w:val="0"/>
      <w:marTop w:val="0"/>
      <w:marBottom w:val="0"/>
      <w:divBdr>
        <w:top w:val="none" w:sz="0" w:space="0" w:color="auto"/>
        <w:left w:val="none" w:sz="0" w:space="0" w:color="auto"/>
        <w:bottom w:val="none" w:sz="0" w:space="0" w:color="auto"/>
        <w:right w:val="none" w:sz="0" w:space="0" w:color="auto"/>
      </w:divBdr>
      <w:divsChild>
        <w:div w:id="1698581331">
          <w:marLeft w:val="1166"/>
          <w:marRight w:val="0"/>
          <w:marTop w:val="0"/>
          <w:marBottom w:val="0"/>
          <w:divBdr>
            <w:top w:val="none" w:sz="0" w:space="0" w:color="auto"/>
            <w:left w:val="none" w:sz="0" w:space="0" w:color="auto"/>
            <w:bottom w:val="none" w:sz="0" w:space="0" w:color="auto"/>
            <w:right w:val="none" w:sz="0" w:space="0" w:color="auto"/>
          </w:divBdr>
        </w:div>
      </w:divsChild>
    </w:div>
    <w:div w:id="1632709434">
      <w:bodyDiv w:val="1"/>
      <w:marLeft w:val="0"/>
      <w:marRight w:val="0"/>
      <w:marTop w:val="0"/>
      <w:marBottom w:val="0"/>
      <w:divBdr>
        <w:top w:val="none" w:sz="0" w:space="0" w:color="auto"/>
        <w:left w:val="none" w:sz="0" w:space="0" w:color="auto"/>
        <w:bottom w:val="none" w:sz="0" w:space="0" w:color="auto"/>
        <w:right w:val="none" w:sz="0" w:space="0" w:color="auto"/>
      </w:divBdr>
    </w:div>
    <w:div w:id="1644852131">
      <w:bodyDiv w:val="1"/>
      <w:marLeft w:val="0"/>
      <w:marRight w:val="0"/>
      <w:marTop w:val="0"/>
      <w:marBottom w:val="0"/>
      <w:divBdr>
        <w:top w:val="none" w:sz="0" w:space="0" w:color="auto"/>
        <w:left w:val="none" w:sz="0" w:space="0" w:color="auto"/>
        <w:bottom w:val="none" w:sz="0" w:space="0" w:color="auto"/>
        <w:right w:val="none" w:sz="0" w:space="0" w:color="auto"/>
      </w:divBdr>
    </w:div>
    <w:div w:id="1660039225">
      <w:bodyDiv w:val="1"/>
      <w:marLeft w:val="0"/>
      <w:marRight w:val="0"/>
      <w:marTop w:val="0"/>
      <w:marBottom w:val="0"/>
      <w:divBdr>
        <w:top w:val="none" w:sz="0" w:space="0" w:color="auto"/>
        <w:left w:val="none" w:sz="0" w:space="0" w:color="auto"/>
        <w:bottom w:val="none" w:sz="0" w:space="0" w:color="auto"/>
        <w:right w:val="none" w:sz="0" w:space="0" w:color="auto"/>
      </w:divBdr>
    </w:div>
    <w:div w:id="1677995033">
      <w:bodyDiv w:val="1"/>
      <w:marLeft w:val="0"/>
      <w:marRight w:val="0"/>
      <w:marTop w:val="0"/>
      <w:marBottom w:val="0"/>
      <w:divBdr>
        <w:top w:val="none" w:sz="0" w:space="0" w:color="auto"/>
        <w:left w:val="none" w:sz="0" w:space="0" w:color="auto"/>
        <w:bottom w:val="none" w:sz="0" w:space="0" w:color="auto"/>
        <w:right w:val="none" w:sz="0" w:space="0" w:color="auto"/>
      </w:divBdr>
    </w:div>
    <w:div w:id="1681542986">
      <w:bodyDiv w:val="1"/>
      <w:marLeft w:val="0"/>
      <w:marRight w:val="0"/>
      <w:marTop w:val="0"/>
      <w:marBottom w:val="0"/>
      <w:divBdr>
        <w:top w:val="none" w:sz="0" w:space="0" w:color="auto"/>
        <w:left w:val="none" w:sz="0" w:space="0" w:color="auto"/>
        <w:bottom w:val="none" w:sz="0" w:space="0" w:color="auto"/>
        <w:right w:val="none" w:sz="0" w:space="0" w:color="auto"/>
      </w:divBdr>
    </w:div>
    <w:div w:id="1689788822">
      <w:bodyDiv w:val="1"/>
      <w:marLeft w:val="0"/>
      <w:marRight w:val="0"/>
      <w:marTop w:val="0"/>
      <w:marBottom w:val="0"/>
      <w:divBdr>
        <w:top w:val="none" w:sz="0" w:space="0" w:color="auto"/>
        <w:left w:val="none" w:sz="0" w:space="0" w:color="auto"/>
        <w:bottom w:val="none" w:sz="0" w:space="0" w:color="auto"/>
        <w:right w:val="none" w:sz="0" w:space="0" w:color="auto"/>
      </w:divBdr>
      <w:divsChild>
        <w:div w:id="42995481">
          <w:marLeft w:val="562"/>
          <w:marRight w:val="0"/>
          <w:marTop w:val="67"/>
          <w:marBottom w:val="0"/>
          <w:divBdr>
            <w:top w:val="none" w:sz="0" w:space="0" w:color="auto"/>
            <w:left w:val="none" w:sz="0" w:space="0" w:color="auto"/>
            <w:bottom w:val="none" w:sz="0" w:space="0" w:color="auto"/>
            <w:right w:val="none" w:sz="0" w:space="0" w:color="auto"/>
          </w:divBdr>
        </w:div>
        <w:div w:id="80105300">
          <w:marLeft w:val="562"/>
          <w:marRight w:val="0"/>
          <w:marTop w:val="67"/>
          <w:marBottom w:val="0"/>
          <w:divBdr>
            <w:top w:val="none" w:sz="0" w:space="0" w:color="auto"/>
            <w:left w:val="none" w:sz="0" w:space="0" w:color="auto"/>
            <w:bottom w:val="none" w:sz="0" w:space="0" w:color="auto"/>
            <w:right w:val="none" w:sz="0" w:space="0" w:color="auto"/>
          </w:divBdr>
        </w:div>
        <w:div w:id="147282843">
          <w:marLeft w:val="562"/>
          <w:marRight w:val="0"/>
          <w:marTop w:val="67"/>
          <w:marBottom w:val="0"/>
          <w:divBdr>
            <w:top w:val="none" w:sz="0" w:space="0" w:color="auto"/>
            <w:left w:val="none" w:sz="0" w:space="0" w:color="auto"/>
            <w:bottom w:val="none" w:sz="0" w:space="0" w:color="auto"/>
            <w:right w:val="none" w:sz="0" w:space="0" w:color="auto"/>
          </w:divBdr>
        </w:div>
        <w:div w:id="356779572">
          <w:marLeft w:val="274"/>
          <w:marRight w:val="0"/>
          <w:marTop w:val="120"/>
          <w:marBottom w:val="0"/>
          <w:divBdr>
            <w:top w:val="none" w:sz="0" w:space="0" w:color="auto"/>
            <w:left w:val="none" w:sz="0" w:space="0" w:color="auto"/>
            <w:bottom w:val="none" w:sz="0" w:space="0" w:color="auto"/>
            <w:right w:val="none" w:sz="0" w:space="0" w:color="auto"/>
          </w:divBdr>
        </w:div>
        <w:div w:id="1057511614">
          <w:marLeft w:val="562"/>
          <w:marRight w:val="0"/>
          <w:marTop w:val="67"/>
          <w:marBottom w:val="0"/>
          <w:divBdr>
            <w:top w:val="none" w:sz="0" w:space="0" w:color="auto"/>
            <w:left w:val="none" w:sz="0" w:space="0" w:color="auto"/>
            <w:bottom w:val="none" w:sz="0" w:space="0" w:color="auto"/>
            <w:right w:val="none" w:sz="0" w:space="0" w:color="auto"/>
          </w:divBdr>
        </w:div>
        <w:div w:id="1137337726">
          <w:marLeft w:val="274"/>
          <w:marRight w:val="0"/>
          <w:marTop w:val="120"/>
          <w:marBottom w:val="0"/>
          <w:divBdr>
            <w:top w:val="none" w:sz="0" w:space="0" w:color="auto"/>
            <w:left w:val="none" w:sz="0" w:space="0" w:color="auto"/>
            <w:bottom w:val="none" w:sz="0" w:space="0" w:color="auto"/>
            <w:right w:val="none" w:sz="0" w:space="0" w:color="auto"/>
          </w:divBdr>
        </w:div>
        <w:div w:id="1387101363">
          <w:marLeft w:val="274"/>
          <w:marRight w:val="0"/>
          <w:marTop w:val="120"/>
          <w:marBottom w:val="0"/>
          <w:divBdr>
            <w:top w:val="none" w:sz="0" w:space="0" w:color="auto"/>
            <w:left w:val="none" w:sz="0" w:space="0" w:color="auto"/>
            <w:bottom w:val="none" w:sz="0" w:space="0" w:color="auto"/>
            <w:right w:val="none" w:sz="0" w:space="0" w:color="auto"/>
          </w:divBdr>
        </w:div>
        <w:div w:id="1629631112">
          <w:marLeft w:val="562"/>
          <w:marRight w:val="0"/>
          <w:marTop w:val="67"/>
          <w:marBottom w:val="0"/>
          <w:divBdr>
            <w:top w:val="none" w:sz="0" w:space="0" w:color="auto"/>
            <w:left w:val="none" w:sz="0" w:space="0" w:color="auto"/>
            <w:bottom w:val="none" w:sz="0" w:space="0" w:color="auto"/>
            <w:right w:val="none" w:sz="0" w:space="0" w:color="auto"/>
          </w:divBdr>
        </w:div>
        <w:div w:id="1741365153">
          <w:marLeft w:val="274"/>
          <w:marRight w:val="0"/>
          <w:marTop w:val="120"/>
          <w:marBottom w:val="0"/>
          <w:divBdr>
            <w:top w:val="none" w:sz="0" w:space="0" w:color="auto"/>
            <w:left w:val="none" w:sz="0" w:space="0" w:color="auto"/>
            <w:bottom w:val="none" w:sz="0" w:space="0" w:color="auto"/>
            <w:right w:val="none" w:sz="0" w:space="0" w:color="auto"/>
          </w:divBdr>
        </w:div>
      </w:divsChild>
    </w:div>
    <w:div w:id="1694182219">
      <w:bodyDiv w:val="1"/>
      <w:marLeft w:val="0"/>
      <w:marRight w:val="0"/>
      <w:marTop w:val="0"/>
      <w:marBottom w:val="0"/>
      <w:divBdr>
        <w:top w:val="none" w:sz="0" w:space="0" w:color="auto"/>
        <w:left w:val="none" w:sz="0" w:space="0" w:color="auto"/>
        <w:bottom w:val="none" w:sz="0" w:space="0" w:color="auto"/>
        <w:right w:val="none" w:sz="0" w:space="0" w:color="auto"/>
      </w:divBdr>
      <w:divsChild>
        <w:div w:id="654770512">
          <w:marLeft w:val="547"/>
          <w:marRight w:val="0"/>
          <w:marTop w:val="0"/>
          <w:marBottom w:val="0"/>
          <w:divBdr>
            <w:top w:val="none" w:sz="0" w:space="0" w:color="auto"/>
            <w:left w:val="none" w:sz="0" w:space="0" w:color="auto"/>
            <w:bottom w:val="none" w:sz="0" w:space="0" w:color="auto"/>
            <w:right w:val="none" w:sz="0" w:space="0" w:color="auto"/>
          </w:divBdr>
        </w:div>
      </w:divsChild>
    </w:div>
    <w:div w:id="1776054207">
      <w:bodyDiv w:val="1"/>
      <w:marLeft w:val="0"/>
      <w:marRight w:val="0"/>
      <w:marTop w:val="0"/>
      <w:marBottom w:val="0"/>
      <w:divBdr>
        <w:top w:val="none" w:sz="0" w:space="0" w:color="auto"/>
        <w:left w:val="none" w:sz="0" w:space="0" w:color="auto"/>
        <w:bottom w:val="none" w:sz="0" w:space="0" w:color="auto"/>
        <w:right w:val="none" w:sz="0" w:space="0" w:color="auto"/>
      </w:divBdr>
    </w:div>
    <w:div w:id="1812819484">
      <w:bodyDiv w:val="1"/>
      <w:marLeft w:val="0"/>
      <w:marRight w:val="0"/>
      <w:marTop w:val="0"/>
      <w:marBottom w:val="0"/>
      <w:divBdr>
        <w:top w:val="none" w:sz="0" w:space="0" w:color="auto"/>
        <w:left w:val="none" w:sz="0" w:space="0" w:color="auto"/>
        <w:bottom w:val="none" w:sz="0" w:space="0" w:color="auto"/>
        <w:right w:val="none" w:sz="0" w:space="0" w:color="auto"/>
      </w:divBdr>
    </w:div>
    <w:div w:id="1849754883">
      <w:bodyDiv w:val="1"/>
      <w:marLeft w:val="0"/>
      <w:marRight w:val="0"/>
      <w:marTop w:val="0"/>
      <w:marBottom w:val="0"/>
      <w:divBdr>
        <w:top w:val="none" w:sz="0" w:space="0" w:color="auto"/>
        <w:left w:val="none" w:sz="0" w:space="0" w:color="auto"/>
        <w:bottom w:val="none" w:sz="0" w:space="0" w:color="auto"/>
        <w:right w:val="none" w:sz="0" w:space="0" w:color="auto"/>
      </w:divBdr>
    </w:div>
    <w:div w:id="1852453361">
      <w:bodyDiv w:val="1"/>
      <w:marLeft w:val="0"/>
      <w:marRight w:val="0"/>
      <w:marTop w:val="0"/>
      <w:marBottom w:val="0"/>
      <w:divBdr>
        <w:top w:val="none" w:sz="0" w:space="0" w:color="auto"/>
        <w:left w:val="none" w:sz="0" w:space="0" w:color="auto"/>
        <w:bottom w:val="none" w:sz="0" w:space="0" w:color="auto"/>
        <w:right w:val="none" w:sz="0" w:space="0" w:color="auto"/>
      </w:divBdr>
      <w:divsChild>
        <w:div w:id="2098205643">
          <w:marLeft w:val="547"/>
          <w:marRight w:val="0"/>
          <w:marTop w:val="0"/>
          <w:marBottom w:val="0"/>
          <w:divBdr>
            <w:top w:val="none" w:sz="0" w:space="0" w:color="auto"/>
            <w:left w:val="none" w:sz="0" w:space="0" w:color="auto"/>
            <w:bottom w:val="none" w:sz="0" w:space="0" w:color="auto"/>
            <w:right w:val="none" w:sz="0" w:space="0" w:color="auto"/>
          </w:divBdr>
        </w:div>
      </w:divsChild>
    </w:div>
    <w:div w:id="2076707411">
      <w:bodyDiv w:val="1"/>
      <w:marLeft w:val="0"/>
      <w:marRight w:val="0"/>
      <w:marTop w:val="0"/>
      <w:marBottom w:val="0"/>
      <w:divBdr>
        <w:top w:val="none" w:sz="0" w:space="0" w:color="auto"/>
        <w:left w:val="none" w:sz="0" w:space="0" w:color="auto"/>
        <w:bottom w:val="none" w:sz="0" w:space="0" w:color="auto"/>
        <w:right w:val="none" w:sz="0" w:space="0" w:color="auto"/>
      </w:divBdr>
      <w:divsChild>
        <w:div w:id="823547716">
          <w:marLeft w:val="547"/>
          <w:marRight w:val="0"/>
          <w:marTop w:val="0"/>
          <w:marBottom w:val="0"/>
          <w:divBdr>
            <w:top w:val="none" w:sz="0" w:space="0" w:color="auto"/>
            <w:left w:val="none" w:sz="0" w:space="0" w:color="auto"/>
            <w:bottom w:val="none" w:sz="0" w:space="0" w:color="auto"/>
            <w:right w:val="none" w:sz="0" w:space="0" w:color="auto"/>
          </w:divBdr>
        </w:div>
      </w:divsChild>
    </w:div>
    <w:div w:id="214318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fishe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tistiques.developpement-durable.gouv.fr/publications/p/2099/756/construction-logements-resultat-fin-juin-2014-franc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stat.banque-france.fr/en/browse.do?node=538432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ingfisher.com/index.asp?pageid=76" TargetMode="External"/><Relationship Id="rId4" Type="http://schemas.openxmlformats.org/officeDocument/2006/relationships/settings" Target="settings.xml"/><Relationship Id="rId9" Type="http://schemas.openxmlformats.org/officeDocument/2006/relationships/hyperlink" Target="http://www.kingfisher.com/index.asp?pageide=59"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246DE-4637-4215-B9C8-40FBF8CFD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7883</Words>
  <Characters>43388</Characters>
  <Application>Microsoft Office Word</Application>
  <DocSecurity>0</DocSecurity>
  <Lines>361</Lines>
  <Paragraphs>102</Paragraphs>
  <ScaleCrop>false</ScaleCrop>
  <HeadingPairs>
    <vt:vector size="2" baseType="variant">
      <vt:variant>
        <vt:lpstr>Title</vt:lpstr>
      </vt:variant>
      <vt:variant>
        <vt:i4>1</vt:i4>
      </vt:variant>
    </vt:vector>
  </HeadingPairs>
  <TitlesOfParts>
    <vt:vector size="1" baseType="lpstr">
      <vt:lpstr>EMBARGOED UNTIL 0700 HOURS</vt:lpstr>
    </vt:vector>
  </TitlesOfParts>
  <Company>Grizli777</Company>
  <LinksUpToDate>false</LinksUpToDate>
  <CharactersWithSpaces>51169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EMBARGOED UNTIL 0700 HOURS</dc:title>
  <dc:subject/>
  <dc:creator>woodward</dc:creator>
  <cp:keywords/>
  <dc:description/>
  <cp:lastModifiedBy>Levy, Sarah</cp:lastModifiedBy>
  <cp:revision>2</cp:revision>
  <cp:lastPrinted>2014-09-03T15:17:00Z</cp:lastPrinted>
  <dcterms:created xsi:type="dcterms:W3CDTF">2014-09-09T18:45:00Z</dcterms:created>
  <dcterms:modified xsi:type="dcterms:W3CDTF">2014-09-09T18:45:00Z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507887978</vt:i4>
  </property>
</Properties>
</file>