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D9" w:rsidRDefault="002832E3" w:rsidP="002832E3">
      <w:pPr>
        <w:jc w:val="center"/>
        <w:rPr>
          <w:rFonts w:ascii="Arial" w:hAnsi="Arial" w:cs="Arial"/>
          <w:b/>
          <w:sz w:val="24"/>
          <w:szCs w:val="24"/>
        </w:rPr>
      </w:pPr>
      <w:r w:rsidRPr="00A52E59">
        <w:rPr>
          <w:rFonts w:ascii="Arial" w:hAnsi="Arial" w:cs="Arial"/>
          <w:b/>
          <w:sz w:val="24"/>
          <w:szCs w:val="24"/>
        </w:rPr>
        <w:t>Kingfisher</w:t>
      </w:r>
      <w:r w:rsidR="00FD57E1" w:rsidRPr="00A52E59">
        <w:rPr>
          <w:rFonts w:ascii="Arial" w:hAnsi="Arial" w:cs="Arial"/>
          <w:b/>
          <w:sz w:val="24"/>
          <w:szCs w:val="24"/>
        </w:rPr>
        <w:t xml:space="preserve"> </w:t>
      </w:r>
      <w:r w:rsidR="001E0742" w:rsidRPr="00A52E59">
        <w:rPr>
          <w:rFonts w:ascii="Arial" w:hAnsi="Arial" w:cs="Arial"/>
          <w:b/>
          <w:sz w:val="24"/>
          <w:szCs w:val="24"/>
        </w:rPr>
        <w:t xml:space="preserve">reports </w:t>
      </w:r>
      <w:r w:rsidR="00FD57E1" w:rsidRPr="00A52E59">
        <w:rPr>
          <w:rFonts w:ascii="Arial" w:hAnsi="Arial" w:cs="Arial"/>
          <w:b/>
          <w:sz w:val="24"/>
          <w:szCs w:val="24"/>
        </w:rPr>
        <w:t>Q</w:t>
      </w:r>
      <w:r w:rsidR="00CD3E02" w:rsidRPr="00A52E59">
        <w:rPr>
          <w:rFonts w:ascii="Arial" w:hAnsi="Arial" w:cs="Arial"/>
          <w:b/>
          <w:sz w:val="24"/>
          <w:szCs w:val="24"/>
        </w:rPr>
        <w:t>1</w:t>
      </w:r>
      <w:r w:rsidR="00AB37CD" w:rsidRPr="00A52E59">
        <w:rPr>
          <w:rFonts w:ascii="Arial" w:hAnsi="Arial" w:cs="Arial"/>
          <w:b/>
          <w:sz w:val="24"/>
          <w:szCs w:val="24"/>
        </w:rPr>
        <w:t xml:space="preserve"> </w:t>
      </w:r>
      <w:r w:rsidR="00CD3E02" w:rsidRPr="00A52E59">
        <w:rPr>
          <w:rFonts w:ascii="Arial" w:hAnsi="Arial" w:cs="Arial"/>
          <w:b/>
          <w:sz w:val="24"/>
          <w:szCs w:val="24"/>
        </w:rPr>
        <w:t xml:space="preserve">total sales </w:t>
      </w:r>
      <w:r w:rsidR="00A545F8" w:rsidRPr="00A52E59">
        <w:rPr>
          <w:rFonts w:ascii="Arial" w:hAnsi="Arial" w:cs="Arial"/>
          <w:b/>
          <w:sz w:val="24"/>
          <w:szCs w:val="24"/>
        </w:rPr>
        <w:t>up</w:t>
      </w:r>
      <w:r w:rsidR="00CD3E02" w:rsidRPr="00A52E59">
        <w:rPr>
          <w:rFonts w:ascii="Arial" w:hAnsi="Arial" w:cs="Arial"/>
          <w:b/>
          <w:sz w:val="24"/>
          <w:szCs w:val="24"/>
        </w:rPr>
        <w:t xml:space="preserve"> </w:t>
      </w:r>
      <w:r w:rsidR="00D87FA0">
        <w:rPr>
          <w:rFonts w:ascii="Arial" w:hAnsi="Arial" w:cs="Arial"/>
          <w:b/>
          <w:sz w:val="24"/>
          <w:szCs w:val="24"/>
        </w:rPr>
        <w:t>6.1</w:t>
      </w:r>
      <w:r w:rsidR="00CD3E02" w:rsidRPr="00A52E59">
        <w:rPr>
          <w:rFonts w:ascii="Arial" w:hAnsi="Arial" w:cs="Arial"/>
          <w:b/>
          <w:sz w:val="24"/>
          <w:szCs w:val="24"/>
        </w:rPr>
        <w:t>%</w:t>
      </w:r>
      <w:r w:rsidR="00A52E59" w:rsidRPr="00A52E59">
        <w:rPr>
          <w:rFonts w:ascii="Arial" w:hAnsi="Arial" w:cs="Arial"/>
          <w:b/>
          <w:sz w:val="24"/>
          <w:szCs w:val="24"/>
        </w:rPr>
        <w:t xml:space="preserve"> (+6.1</w:t>
      </w:r>
      <w:r w:rsidR="0048521F" w:rsidRPr="00A52E59">
        <w:rPr>
          <w:rFonts w:ascii="Arial" w:hAnsi="Arial" w:cs="Arial"/>
          <w:b/>
          <w:sz w:val="24"/>
          <w:szCs w:val="24"/>
        </w:rPr>
        <w:t>% LFL)</w:t>
      </w:r>
      <w:r w:rsidR="004312F8">
        <w:rPr>
          <w:rFonts w:ascii="Arial" w:hAnsi="Arial" w:cs="Arial"/>
          <w:b/>
          <w:sz w:val="24"/>
          <w:szCs w:val="24"/>
        </w:rPr>
        <w:t xml:space="preserve"> </w:t>
      </w:r>
      <w:r w:rsidR="00CD3E02" w:rsidRPr="00A52E59">
        <w:rPr>
          <w:rFonts w:ascii="Arial" w:hAnsi="Arial" w:cs="Arial"/>
          <w:b/>
          <w:sz w:val="24"/>
          <w:szCs w:val="24"/>
        </w:rPr>
        <w:t xml:space="preserve">and </w:t>
      </w:r>
      <w:r w:rsidR="0048521F" w:rsidRPr="00A52E59">
        <w:rPr>
          <w:rFonts w:ascii="Arial" w:hAnsi="Arial" w:cs="Arial"/>
          <w:b/>
          <w:sz w:val="24"/>
          <w:szCs w:val="24"/>
        </w:rPr>
        <w:t>r</w:t>
      </w:r>
      <w:r w:rsidR="00AB37CD" w:rsidRPr="00A52E59">
        <w:rPr>
          <w:rFonts w:ascii="Arial" w:hAnsi="Arial" w:cs="Arial"/>
          <w:b/>
          <w:sz w:val="24"/>
          <w:szCs w:val="24"/>
        </w:rPr>
        <w:t>etail profit</w:t>
      </w:r>
      <w:r w:rsidR="004312F8">
        <w:rPr>
          <w:rFonts w:ascii="Arial" w:hAnsi="Arial" w:cs="Arial"/>
          <w:b/>
          <w:sz w:val="24"/>
          <w:szCs w:val="24"/>
        </w:rPr>
        <w:t xml:space="preserve"> up 20.3% to</w:t>
      </w:r>
      <w:r w:rsidR="0048521F" w:rsidRPr="00A52E59">
        <w:rPr>
          <w:rFonts w:ascii="Arial" w:hAnsi="Arial" w:cs="Arial"/>
          <w:b/>
          <w:sz w:val="24"/>
          <w:szCs w:val="24"/>
        </w:rPr>
        <w:t xml:space="preserve"> £</w:t>
      </w:r>
      <w:r w:rsidR="00A52E59" w:rsidRPr="00A52E59">
        <w:rPr>
          <w:rFonts w:ascii="Arial" w:hAnsi="Arial" w:cs="Arial"/>
          <w:b/>
          <w:sz w:val="24"/>
          <w:szCs w:val="24"/>
        </w:rPr>
        <w:t>142</w:t>
      </w:r>
      <w:r w:rsidR="0048521F" w:rsidRPr="00A52E59">
        <w:rPr>
          <w:rFonts w:ascii="Arial" w:hAnsi="Arial" w:cs="Arial"/>
          <w:b/>
          <w:sz w:val="24"/>
          <w:szCs w:val="24"/>
        </w:rPr>
        <w:t xml:space="preserve"> million</w:t>
      </w:r>
      <w:r w:rsidR="0015013F">
        <w:rPr>
          <w:rFonts w:ascii="Arial" w:hAnsi="Arial" w:cs="Arial"/>
          <w:b/>
          <w:sz w:val="24"/>
          <w:szCs w:val="24"/>
        </w:rPr>
        <w:t xml:space="preserve">. </w:t>
      </w:r>
      <w:r w:rsidR="0015013F" w:rsidRPr="009F1615">
        <w:rPr>
          <w:rFonts w:ascii="Arial" w:hAnsi="Arial" w:cs="Arial"/>
          <w:b/>
          <w:sz w:val="24"/>
          <w:szCs w:val="24"/>
        </w:rPr>
        <w:t xml:space="preserve">Also announcing </w:t>
      </w:r>
      <w:r w:rsidR="009161A7" w:rsidRPr="009F1615">
        <w:rPr>
          <w:rFonts w:ascii="Arial" w:hAnsi="Arial" w:cs="Arial"/>
          <w:b/>
          <w:sz w:val="24"/>
          <w:szCs w:val="24"/>
        </w:rPr>
        <w:t xml:space="preserve">special dividend of </w:t>
      </w:r>
      <w:r w:rsidR="00F65ED9" w:rsidRPr="009F1615">
        <w:rPr>
          <w:rFonts w:ascii="Arial" w:hAnsi="Arial" w:cs="Arial"/>
          <w:b/>
          <w:sz w:val="24"/>
          <w:szCs w:val="24"/>
        </w:rPr>
        <w:t>4.2</w:t>
      </w:r>
      <w:r w:rsidR="009161A7" w:rsidRPr="009F1615">
        <w:rPr>
          <w:rFonts w:ascii="Arial" w:hAnsi="Arial" w:cs="Arial"/>
          <w:b/>
          <w:sz w:val="24"/>
          <w:szCs w:val="24"/>
        </w:rPr>
        <w:t>p per share</w:t>
      </w:r>
      <w:r w:rsidR="00017010">
        <w:rPr>
          <w:rFonts w:ascii="Arial" w:hAnsi="Arial" w:cs="Arial"/>
          <w:b/>
          <w:sz w:val="24"/>
          <w:szCs w:val="24"/>
        </w:rPr>
        <w:t xml:space="preserve"> as part of the continuing capital returns programme</w:t>
      </w:r>
    </w:p>
    <w:p w:rsidR="001920A3" w:rsidRPr="00FD57E1" w:rsidRDefault="0015013F" w:rsidP="001109F3">
      <w:pPr>
        <w:jc w:val="center"/>
        <w:rPr>
          <w:color w:val="FF0000"/>
        </w:rPr>
      </w:pPr>
      <w:r w:rsidRPr="009F1615">
        <w:rPr>
          <w:rFonts w:ascii="Arial" w:hAnsi="Arial" w:cs="Arial"/>
          <w:b/>
          <w:sz w:val="24"/>
          <w:szCs w:val="24"/>
        </w:rPr>
        <w:t xml:space="preserve"> </w:t>
      </w:r>
      <w:r>
        <w:rPr>
          <w:rFonts w:ascii="Arial" w:hAnsi="Arial" w:cs="Arial"/>
          <w:b/>
          <w:sz w:val="24"/>
          <w:szCs w:val="24"/>
        </w:rPr>
        <w:t xml:space="preserve"> </w:t>
      </w:r>
    </w:p>
    <w:p w:rsidR="00B96DC6" w:rsidRPr="00F304F7" w:rsidRDefault="001920A3" w:rsidP="00ED2C57">
      <w:pPr>
        <w:jc w:val="left"/>
        <w:rPr>
          <w:rFonts w:ascii="Arial" w:hAnsi="Arial" w:cs="Arial"/>
          <w:b/>
          <w:sz w:val="24"/>
          <w:szCs w:val="24"/>
          <w:u w:val="single"/>
        </w:rPr>
      </w:pPr>
      <w:r w:rsidRPr="00FD57E1">
        <w:rPr>
          <w:rFonts w:ascii="Arial" w:hAnsi="Arial" w:cs="Arial"/>
          <w:b/>
          <w:sz w:val="24"/>
          <w:szCs w:val="24"/>
          <w:u w:val="single"/>
        </w:rPr>
        <w:t xml:space="preserve">Group Financial Summary (13 weeks ended </w:t>
      </w:r>
      <w:r w:rsidR="00A545F8">
        <w:rPr>
          <w:rFonts w:ascii="Arial" w:hAnsi="Arial" w:cs="Arial"/>
          <w:b/>
          <w:sz w:val="24"/>
          <w:szCs w:val="24"/>
          <w:u w:val="single"/>
        </w:rPr>
        <w:t>3</w:t>
      </w:r>
      <w:r w:rsidR="00FD57E1" w:rsidRPr="00FD57E1">
        <w:rPr>
          <w:rFonts w:ascii="Arial" w:hAnsi="Arial" w:cs="Arial"/>
          <w:b/>
          <w:sz w:val="24"/>
          <w:szCs w:val="24"/>
          <w:u w:val="single"/>
        </w:rPr>
        <w:t xml:space="preserve"> </w:t>
      </w:r>
      <w:r w:rsidR="00CD3E02">
        <w:rPr>
          <w:rFonts w:ascii="Arial" w:hAnsi="Arial" w:cs="Arial"/>
          <w:b/>
          <w:sz w:val="24"/>
          <w:szCs w:val="24"/>
          <w:u w:val="single"/>
        </w:rPr>
        <w:t xml:space="preserve">May </w:t>
      </w:r>
      <w:r w:rsidRPr="00FD57E1">
        <w:rPr>
          <w:rFonts w:ascii="Arial" w:hAnsi="Arial" w:cs="Arial"/>
          <w:b/>
          <w:sz w:val="24"/>
          <w:szCs w:val="24"/>
          <w:u w:val="single"/>
        </w:rPr>
        <w:t>201</w:t>
      </w:r>
      <w:r w:rsidR="00A545F8">
        <w:rPr>
          <w:rFonts w:ascii="Arial" w:hAnsi="Arial" w:cs="Arial"/>
          <w:b/>
          <w:sz w:val="24"/>
          <w:szCs w:val="24"/>
          <w:u w:val="single"/>
        </w:rPr>
        <w:t>4</w:t>
      </w:r>
      <w:r w:rsidRPr="00FD57E1">
        <w:rPr>
          <w:rFonts w:ascii="Arial" w:hAnsi="Arial" w:cs="Arial"/>
          <w:b/>
          <w:sz w:val="24"/>
          <w:szCs w:val="24"/>
          <w:u w:val="single"/>
        </w:rPr>
        <w:t>)</w:t>
      </w:r>
    </w:p>
    <w:tbl>
      <w:tblPr>
        <w:tblW w:w="5000" w:type="pct"/>
        <w:tblLayout w:type="fixed"/>
        <w:tblLook w:val="01E0" w:firstRow="1" w:lastRow="1" w:firstColumn="1" w:lastColumn="1" w:noHBand="0" w:noVBand="0"/>
      </w:tblPr>
      <w:tblGrid>
        <w:gridCol w:w="1632"/>
        <w:gridCol w:w="971"/>
        <w:gridCol w:w="1248"/>
        <w:gridCol w:w="1248"/>
        <w:gridCol w:w="1197"/>
        <w:gridCol w:w="1021"/>
        <w:gridCol w:w="1232"/>
        <w:gridCol w:w="1230"/>
      </w:tblGrid>
      <w:tr w:rsidR="00FD57E1" w:rsidRPr="00FD57E1" w:rsidTr="009F1615">
        <w:trPr>
          <w:trHeight w:val="543"/>
        </w:trPr>
        <w:tc>
          <w:tcPr>
            <w:tcW w:w="834" w:type="pct"/>
            <w:tcBorders>
              <w:bottom w:val="single" w:sz="4" w:space="0" w:color="auto"/>
            </w:tcBorders>
          </w:tcPr>
          <w:p w:rsidR="001920A3" w:rsidRPr="00FD57E1" w:rsidRDefault="001920A3" w:rsidP="008766BD">
            <w:pPr>
              <w:jc w:val="left"/>
              <w:rPr>
                <w:rFonts w:ascii="Arial" w:hAnsi="Arial" w:cs="Arial"/>
                <w:b/>
                <w:color w:val="FF0000"/>
                <w:sz w:val="20"/>
                <w:u w:val="single"/>
              </w:rPr>
            </w:pPr>
          </w:p>
        </w:tc>
        <w:tc>
          <w:tcPr>
            <w:tcW w:w="496" w:type="pct"/>
            <w:tcBorders>
              <w:bottom w:val="single" w:sz="4" w:space="0" w:color="auto"/>
            </w:tcBorders>
          </w:tcPr>
          <w:p w:rsidR="001920A3" w:rsidRPr="001A35EE" w:rsidRDefault="001920A3" w:rsidP="009F1615">
            <w:pPr>
              <w:rPr>
                <w:rFonts w:ascii="Arial" w:hAnsi="Arial" w:cs="Arial"/>
                <w:b/>
                <w:sz w:val="20"/>
              </w:rPr>
            </w:pPr>
          </w:p>
          <w:p w:rsidR="001920A3" w:rsidRPr="001A35EE" w:rsidRDefault="001920A3" w:rsidP="00343C2C">
            <w:pPr>
              <w:jc w:val="right"/>
              <w:rPr>
                <w:rFonts w:ascii="Arial" w:hAnsi="Arial" w:cs="Arial"/>
                <w:b/>
                <w:sz w:val="20"/>
              </w:rPr>
            </w:pPr>
            <w:r w:rsidRPr="001A35EE">
              <w:rPr>
                <w:rFonts w:ascii="Arial" w:hAnsi="Arial" w:cs="Arial"/>
                <w:b/>
                <w:sz w:val="20"/>
              </w:rPr>
              <w:t>Sales</w:t>
            </w:r>
            <w:r w:rsidR="00A04F66">
              <w:rPr>
                <w:rFonts w:ascii="Arial" w:hAnsi="Arial" w:cs="Arial"/>
                <w:b/>
                <w:sz w:val="20"/>
              </w:rPr>
              <w:t>*</w:t>
            </w:r>
            <w:r w:rsidRPr="001A35EE">
              <w:rPr>
                <w:rFonts w:ascii="Arial" w:hAnsi="Arial" w:cs="Arial"/>
                <w:b/>
                <w:sz w:val="20"/>
              </w:rPr>
              <w:t xml:space="preserve"> </w:t>
            </w:r>
          </w:p>
        </w:tc>
        <w:tc>
          <w:tcPr>
            <w:tcW w:w="638" w:type="pct"/>
            <w:tcBorders>
              <w:bottom w:val="single" w:sz="4" w:space="0" w:color="auto"/>
            </w:tcBorders>
          </w:tcPr>
          <w:p w:rsidR="001920A3" w:rsidRPr="001A35EE" w:rsidRDefault="001920A3" w:rsidP="003B19B0">
            <w:pPr>
              <w:jc w:val="right"/>
              <w:rPr>
                <w:rFonts w:ascii="Arial" w:hAnsi="Arial" w:cs="Arial"/>
                <w:b/>
                <w:sz w:val="20"/>
              </w:rPr>
            </w:pPr>
          </w:p>
          <w:p w:rsidR="001920A3" w:rsidRDefault="001920A3" w:rsidP="003C1DD2">
            <w:pPr>
              <w:jc w:val="right"/>
              <w:rPr>
                <w:rFonts w:ascii="Arial" w:hAnsi="Arial" w:cs="Arial"/>
                <w:b/>
                <w:sz w:val="20"/>
              </w:rPr>
            </w:pPr>
            <w:r w:rsidRPr="001A35EE">
              <w:rPr>
                <w:rFonts w:ascii="Arial" w:hAnsi="Arial" w:cs="Arial"/>
                <w:b/>
                <w:sz w:val="20"/>
              </w:rPr>
              <w:t>% Total</w:t>
            </w:r>
          </w:p>
          <w:p w:rsidR="00A04F66" w:rsidRPr="001A35EE" w:rsidRDefault="00A04F66" w:rsidP="003C1DD2">
            <w:pPr>
              <w:jc w:val="right"/>
              <w:rPr>
                <w:rFonts w:ascii="Arial" w:hAnsi="Arial" w:cs="Arial"/>
                <w:b/>
                <w:sz w:val="20"/>
              </w:rPr>
            </w:pPr>
            <w:r>
              <w:rPr>
                <w:rFonts w:ascii="Arial" w:hAnsi="Arial" w:cs="Arial"/>
                <w:b/>
                <w:sz w:val="20"/>
              </w:rPr>
              <w:t>Change</w:t>
            </w:r>
          </w:p>
        </w:tc>
        <w:tc>
          <w:tcPr>
            <w:tcW w:w="638" w:type="pct"/>
            <w:tcBorders>
              <w:bottom w:val="single" w:sz="4" w:space="0" w:color="auto"/>
            </w:tcBorders>
          </w:tcPr>
          <w:p w:rsidR="001920A3" w:rsidRPr="001A35EE" w:rsidRDefault="001920A3" w:rsidP="003B19B0">
            <w:pPr>
              <w:jc w:val="right"/>
              <w:rPr>
                <w:rFonts w:ascii="Arial" w:hAnsi="Arial" w:cs="Arial"/>
                <w:b/>
                <w:sz w:val="20"/>
              </w:rPr>
            </w:pPr>
          </w:p>
          <w:p w:rsidR="001920A3" w:rsidRDefault="001920A3" w:rsidP="00486116">
            <w:pPr>
              <w:jc w:val="right"/>
              <w:rPr>
                <w:rFonts w:ascii="Arial" w:hAnsi="Arial" w:cs="Arial"/>
                <w:b/>
                <w:sz w:val="20"/>
              </w:rPr>
            </w:pPr>
            <w:r w:rsidRPr="001A35EE">
              <w:rPr>
                <w:rFonts w:ascii="Arial" w:hAnsi="Arial" w:cs="Arial"/>
                <w:b/>
                <w:sz w:val="20"/>
              </w:rPr>
              <w:t>% Total</w:t>
            </w:r>
          </w:p>
          <w:p w:rsidR="00A04F66" w:rsidRPr="001A35EE" w:rsidRDefault="00A04F66" w:rsidP="00486116">
            <w:pPr>
              <w:jc w:val="right"/>
              <w:rPr>
                <w:rFonts w:ascii="Arial" w:hAnsi="Arial" w:cs="Arial"/>
                <w:b/>
                <w:sz w:val="20"/>
              </w:rPr>
            </w:pPr>
            <w:r>
              <w:rPr>
                <w:rFonts w:ascii="Arial" w:hAnsi="Arial" w:cs="Arial"/>
                <w:b/>
                <w:sz w:val="20"/>
              </w:rPr>
              <w:t>Change</w:t>
            </w:r>
          </w:p>
        </w:tc>
        <w:tc>
          <w:tcPr>
            <w:tcW w:w="612" w:type="pct"/>
            <w:tcBorders>
              <w:bottom w:val="single" w:sz="4" w:space="0" w:color="auto"/>
            </w:tcBorders>
          </w:tcPr>
          <w:p w:rsidR="00A04F66" w:rsidRDefault="00A04F66" w:rsidP="00E002C6">
            <w:pPr>
              <w:jc w:val="right"/>
              <w:rPr>
                <w:rFonts w:ascii="Arial" w:hAnsi="Arial" w:cs="Arial"/>
                <w:b/>
                <w:sz w:val="20"/>
              </w:rPr>
            </w:pPr>
          </w:p>
          <w:p w:rsidR="001920A3" w:rsidRDefault="001920A3" w:rsidP="00A04F66">
            <w:pPr>
              <w:jc w:val="right"/>
              <w:rPr>
                <w:rFonts w:ascii="Arial" w:hAnsi="Arial" w:cs="Arial"/>
                <w:b/>
                <w:sz w:val="20"/>
              </w:rPr>
            </w:pPr>
            <w:r w:rsidRPr="001A35EE">
              <w:rPr>
                <w:rFonts w:ascii="Arial" w:hAnsi="Arial" w:cs="Arial"/>
                <w:b/>
                <w:sz w:val="20"/>
              </w:rPr>
              <w:t>% L</w:t>
            </w:r>
            <w:r w:rsidR="00A04F66">
              <w:rPr>
                <w:rFonts w:ascii="Arial" w:hAnsi="Arial" w:cs="Arial"/>
                <w:b/>
                <w:sz w:val="20"/>
              </w:rPr>
              <w:t>FL*</w:t>
            </w:r>
          </w:p>
          <w:p w:rsidR="00A04F66" w:rsidRPr="001A35EE" w:rsidRDefault="00A04F66" w:rsidP="00A04F66">
            <w:pPr>
              <w:jc w:val="right"/>
              <w:rPr>
                <w:rFonts w:ascii="Arial" w:hAnsi="Arial" w:cs="Arial"/>
                <w:b/>
                <w:sz w:val="20"/>
              </w:rPr>
            </w:pPr>
            <w:r>
              <w:rPr>
                <w:rFonts w:ascii="Arial" w:hAnsi="Arial" w:cs="Arial"/>
                <w:b/>
                <w:sz w:val="20"/>
              </w:rPr>
              <w:t>Change</w:t>
            </w:r>
          </w:p>
        </w:tc>
        <w:tc>
          <w:tcPr>
            <w:tcW w:w="522" w:type="pct"/>
            <w:tcBorders>
              <w:bottom w:val="single" w:sz="4" w:space="0" w:color="auto"/>
            </w:tcBorders>
          </w:tcPr>
          <w:p w:rsidR="00A04F66" w:rsidRDefault="00A04F66" w:rsidP="009F155C">
            <w:pPr>
              <w:tabs>
                <w:tab w:val="left" w:pos="300"/>
              </w:tabs>
              <w:ind w:right="-170"/>
              <w:jc w:val="center"/>
              <w:rPr>
                <w:rFonts w:ascii="Arial" w:hAnsi="Arial" w:cs="Arial"/>
                <w:b/>
                <w:sz w:val="20"/>
              </w:rPr>
            </w:pPr>
          </w:p>
          <w:p w:rsidR="001920A3" w:rsidRPr="001A35EE" w:rsidRDefault="001920A3" w:rsidP="009F155C">
            <w:pPr>
              <w:tabs>
                <w:tab w:val="left" w:pos="300"/>
              </w:tabs>
              <w:ind w:right="-170"/>
              <w:jc w:val="center"/>
              <w:rPr>
                <w:rFonts w:ascii="Arial" w:hAnsi="Arial" w:cs="Arial"/>
                <w:b/>
                <w:sz w:val="20"/>
              </w:rPr>
            </w:pPr>
            <w:r w:rsidRPr="001A35EE">
              <w:rPr>
                <w:rFonts w:ascii="Arial" w:hAnsi="Arial" w:cs="Arial"/>
                <w:b/>
                <w:sz w:val="20"/>
              </w:rPr>
              <w:t>Retail Profit</w:t>
            </w:r>
            <w:r w:rsidR="00A04F66">
              <w:rPr>
                <w:rFonts w:ascii="Arial" w:hAnsi="Arial" w:cs="Arial"/>
                <w:b/>
                <w:sz w:val="20"/>
              </w:rPr>
              <w:t>*</w:t>
            </w:r>
            <w:r w:rsidRPr="001A35EE">
              <w:rPr>
                <w:rFonts w:ascii="Arial" w:hAnsi="Arial" w:cs="Arial"/>
                <w:b/>
                <w:sz w:val="20"/>
              </w:rPr>
              <w:t xml:space="preserve"> </w:t>
            </w:r>
          </w:p>
        </w:tc>
        <w:tc>
          <w:tcPr>
            <w:tcW w:w="630" w:type="pct"/>
            <w:tcBorders>
              <w:bottom w:val="single" w:sz="4" w:space="0" w:color="auto"/>
            </w:tcBorders>
          </w:tcPr>
          <w:p w:rsidR="001920A3" w:rsidRPr="001A35EE" w:rsidRDefault="001920A3" w:rsidP="003B19B0">
            <w:pPr>
              <w:jc w:val="right"/>
              <w:rPr>
                <w:rFonts w:ascii="Arial" w:hAnsi="Arial" w:cs="Arial"/>
                <w:b/>
                <w:sz w:val="20"/>
              </w:rPr>
            </w:pPr>
          </w:p>
          <w:p w:rsidR="001920A3" w:rsidRDefault="001920A3" w:rsidP="005B0E5D">
            <w:pPr>
              <w:tabs>
                <w:tab w:val="left" w:pos="300"/>
              </w:tabs>
              <w:ind w:hanging="108"/>
              <w:jc w:val="right"/>
              <w:rPr>
                <w:rFonts w:ascii="Arial" w:hAnsi="Arial" w:cs="Arial"/>
                <w:b/>
                <w:sz w:val="20"/>
              </w:rPr>
            </w:pPr>
            <w:r w:rsidRPr="001A35EE">
              <w:rPr>
                <w:rFonts w:ascii="Arial" w:hAnsi="Arial" w:cs="Arial"/>
                <w:b/>
                <w:sz w:val="20"/>
              </w:rPr>
              <w:t>% Total</w:t>
            </w:r>
          </w:p>
          <w:p w:rsidR="00A04F66" w:rsidRPr="001A35EE" w:rsidRDefault="00A04F66" w:rsidP="005B0E5D">
            <w:pPr>
              <w:tabs>
                <w:tab w:val="left" w:pos="300"/>
              </w:tabs>
              <w:ind w:hanging="108"/>
              <w:jc w:val="right"/>
              <w:rPr>
                <w:rFonts w:ascii="Arial" w:hAnsi="Arial" w:cs="Arial"/>
                <w:b/>
                <w:sz w:val="20"/>
              </w:rPr>
            </w:pPr>
            <w:r>
              <w:rPr>
                <w:rFonts w:ascii="Arial" w:hAnsi="Arial" w:cs="Arial"/>
                <w:b/>
                <w:sz w:val="20"/>
              </w:rPr>
              <w:t xml:space="preserve"> Change</w:t>
            </w:r>
          </w:p>
        </w:tc>
        <w:tc>
          <w:tcPr>
            <w:tcW w:w="629" w:type="pct"/>
            <w:tcBorders>
              <w:bottom w:val="single" w:sz="4" w:space="0" w:color="auto"/>
            </w:tcBorders>
          </w:tcPr>
          <w:p w:rsidR="001920A3" w:rsidRPr="001A35EE" w:rsidRDefault="001920A3" w:rsidP="003B19B0">
            <w:pPr>
              <w:jc w:val="right"/>
              <w:rPr>
                <w:rFonts w:ascii="Arial" w:hAnsi="Arial" w:cs="Arial"/>
                <w:b/>
                <w:sz w:val="20"/>
              </w:rPr>
            </w:pPr>
          </w:p>
          <w:p w:rsidR="001920A3" w:rsidRDefault="001920A3" w:rsidP="00486116">
            <w:pPr>
              <w:jc w:val="right"/>
              <w:rPr>
                <w:rFonts w:ascii="Arial" w:hAnsi="Arial" w:cs="Arial"/>
                <w:b/>
                <w:sz w:val="20"/>
              </w:rPr>
            </w:pPr>
            <w:r w:rsidRPr="001A35EE">
              <w:rPr>
                <w:rFonts w:ascii="Arial" w:hAnsi="Arial" w:cs="Arial"/>
                <w:b/>
                <w:sz w:val="20"/>
              </w:rPr>
              <w:t>% Total</w:t>
            </w:r>
            <w:r w:rsidR="00A04F66">
              <w:rPr>
                <w:rFonts w:ascii="Arial" w:hAnsi="Arial" w:cs="Arial"/>
                <w:b/>
                <w:sz w:val="20"/>
              </w:rPr>
              <w:t xml:space="preserve"> </w:t>
            </w:r>
          </w:p>
          <w:p w:rsidR="00A04F66" w:rsidRPr="001A35EE" w:rsidRDefault="00A04F66" w:rsidP="00486116">
            <w:pPr>
              <w:jc w:val="right"/>
              <w:rPr>
                <w:rFonts w:ascii="Arial" w:hAnsi="Arial" w:cs="Arial"/>
                <w:b/>
                <w:sz w:val="20"/>
              </w:rPr>
            </w:pPr>
            <w:r>
              <w:rPr>
                <w:rFonts w:ascii="Arial" w:hAnsi="Arial" w:cs="Arial"/>
                <w:b/>
                <w:sz w:val="20"/>
              </w:rPr>
              <w:t>Change</w:t>
            </w:r>
          </w:p>
        </w:tc>
      </w:tr>
      <w:tr w:rsidR="00FD57E1" w:rsidRPr="00FD57E1" w:rsidTr="00226B46">
        <w:trPr>
          <w:trHeight w:val="567"/>
        </w:trPr>
        <w:tc>
          <w:tcPr>
            <w:tcW w:w="834" w:type="pct"/>
            <w:tcBorders>
              <w:top w:val="single" w:sz="4" w:space="0" w:color="auto"/>
              <w:bottom w:val="single" w:sz="4" w:space="0" w:color="auto"/>
            </w:tcBorders>
          </w:tcPr>
          <w:p w:rsidR="001920A3" w:rsidRPr="00FD57E1" w:rsidRDefault="001920A3" w:rsidP="00DA546C">
            <w:pPr>
              <w:rPr>
                <w:rFonts w:ascii="Arial" w:hAnsi="Arial" w:cs="Arial"/>
                <w:color w:val="FF0000"/>
                <w:sz w:val="20"/>
              </w:rPr>
            </w:pPr>
          </w:p>
        </w:tc>
        <w:tc>
          <w:tcPr>
            <w:tcW w:w="496" w:type="pct"/>
            <w:tcBorders>
              <w:top w:val="single" w:sz="4" w:space="0" w:color="auto"/>
              <w:bottom w:val="single" w:sz="4" w:space="0" w:color="auto"/>
            </w:tcBorders>
          </w:tcPr>
          <w:p w:rsidR="00A04F66" w:rsidRDefault="00A04F66" w:rsidP="00343C2C">
            <w:pPr>
              <w:jc w:val="right"/>
              <w:rPr>
                <w:rFonts w:ascii="Arial" w:hAnsi="Arial" w:cs="Arial"/>
                <w:b/>
                <w:sz w:val="20"/>
              </w:rPr>
            </w:pPr>
          </w:p>
          <w:p w:rsidR="001920A3" w:rsidRPr="001A35EE" w:rsidRDefault="001920A3" w:rsidP="00343C2C">
            <w:pPr>
              <w:jc w:val="right"/>
              <w:rPr>
                <w:rFonts w:ascii="Arial" w:hAnsi="Arial" w:cs="Arial"/>
                <w:b/>
                <w:sz w:val="20"/>
              </w:rPr>
            </w:pPr>
            <w:r w:rsidRPr="001A35EE">
              <w:rPr>
                <w:rFonts w:ascii="Arial" w:hAnsi="Arial" w:cs="Arial"/>
                <w:b/>
                <w:sz w:val="20"/>
              </w:rPr>
              <w:t>201</w:t>
            </w:r>
            <w:r w:rsidR="00FF733A">
              <w:rPr>
                <w:rFonts w:ascii="Arial" w:hAnsi="Arial" w:cs="Arial"/>
                <w:b/>
                <w:sz w:val="20"/>
              </w:rPr>
              <w:t>4</w:t>
            </w:r>
            <w:r w:rsidRPr="001A35EE">
              <w:rPr>
                <w:rFonts w:ascii="Arial" w:hAnsi="Arial" w:cs="Arial"/>
                <w:b/>
                <w:sz w:val="20"/>
              </w:rPr>
              <w:t>/1</w:t>
            </w:r>
            <w:r w:rsidR="00FF733A">
              <w:rPr>
                <w:rFonts w:ascii="Arial" w:hAnsi="Arial" w:cs="Arial"/>
                <w:b/>
                <w:sz w:val="20"/>
              </w:rPr>
              <w:t>5</w:t>
            </w:r>
          </w:p>
          <w:p w:rsidR="001920A3" w:rsidRPr="001A35EE" w:rsidRDefault="001920A3" w:rsidP="00343C2C">
            <w:pPr>
              <w:jc w:val="right"/>
              <w:rPr>
                <w:rFonts w:ascii="Arial" w:hAnsi="Arial" w:cs="Arial"/>
                <w:b/>
                <w:sz w:val="20"/>
              </w:rPr>
            </w:pPr>
            <w:r w:rsidRPr="001A35EE">
              <w:rPr>
                <w:rFonts w:ascii="Arial" w:hAnsi="Arial" w:cs="Arial"/>
                <w:b/>
                <w:sz w:val="20"/>
              </w:rPr>
              <w:t>£m</w:t>
            </w:r>
          </w:p>
        </w:tc>
        <w:tc>
          <w:tcPr>
            <w:tcW w:w="638" w:type="pct"/>
            <w:tcBorders>
              <w:top w:val="single" w:sz="4" w:space="0" w:color="auto"/>
              <w:bottom w:val="single" w:sz="4" w:space="0" w:color="auto"/>
            </w:tcBorders>
          </w:tcPr>
          <w:p w:rsidR="001920A3" w:rsidRPr="001A35EE" w:rsidRDefault="001920A3" w:rsidP="003C1DD2">
            <w:pPr>
              <w:jc w:val="right"/>
              <w:rPr>
                <w:rFonts w:ascii="Arial" w:hAnsi="Arial" w:cs="Arial"/>
                <w:b/>
                <w:sz w:val="20"/>
              </w:rPr>
            </w:pPr>
          </w:p>
          <w:p w:rsidR="001920A3" w:rsidRPr="001A35EE" w:rsidRDefault="001920A3" w:rsidP="00343C2C">
            <w:pPr>
              <w:jc w:val="right"/>
              <w:rPr>
                <w:rFonts w:ascii="Arial" w:hAnsi="Arial" w:cs="Arial"/>
                <w:sz w:val="20"/>
              </w:rPr>
            </w:pPr>
            <w:r w:rsidRPr="001A35EE">
              <w:rPr>
                <w:rFonts w:ascii="Arial" w:hAnsi="Arial" w:cs="Arial"/>
                <w:b/>
                <w:sz w:val="20"/>
              </w:rPr>
              <w:t>Reported</w:t>
            </w:r>
          </w:p>
        </w:tc>
        <w:tc>
          <w:tcPr>
            <w:tcW w:w="638" w:type="pct"/>
            <w:tcBorders>
              <w:top w:val="single" w:sz="4" w:space="0" w:color="auto"/>
              <w:bottom w:val="single" w:sz="4" w:space="0" w:color="auto"/>
            </w:tcBorders>
          </w:tcPr>
          <w:p w:rsidR="001920A3" w:rsidRPr="001A35EE" w:rsidRDefault="001920A3" w:rsidP="00486116">
            <w:pPr>
              <w:jc w:val="right"/>
              <w:rPr>
                <w:rFonts w:ascii="Arial" w:hAnsi="Arial" w:cs="Arial"/>
                <w:b/>
                <w:sz w:val="20"/>
              </w:rPr>
            </w:pPr>
          </w:p>
          <w:p w:rsidR="001920A3" w:rsidRPr="001A35EE" w:rsidRDefault="00A04F66" w:rsidP="00E002C6">
            <w:pPr>
              <w:jc w:val="right"/>
              <w:rPr>
                <w:rFonts w:ascii="Arial" w:hAnsi="Arial" w:cs="Arial"/>
                <w:b/>
                <w:sz w:val="20"/>
              </w:rPr>
            </w:pPr>
            <w:r>
              <w:rPr>
                <w:rFonts w:ascii="Arial" w:hAnsi="Arial" w:cs="Arial"/>
                <w:b/>
                <w:sz w:val="20"/>
              </w:rPr>
              <w:t>Constant currency</w:t>
            </w:r>
          </w:p>
        </w:tc>
        <w:tc>
          <w:tcPr>
            <w:tcW w:w="612" w:type="pct"/>
            <w:tcBorders>
              <w:top w:val="single" w:sz="4" w:space="0" w:color="auto"/>
              <w:bottom w:val="single" w:sz="4" w:space="0" w:color="auto"/>
            </w:tcBorders>
          </w:tcPr>
          <w:p w:rsidR="001920A3" w:rsidRPr="001A35EE" w:rsidRDefault="001920A3" w:rsidP="00E002C6">
            <w:pPr>
              <w:jc w:val="right"/>
              <w:rPr>
                <w:rFonts w:ascii="Arial" w:hAnsi="Arial" w:cs="Arial"/>
                <w:b/>
                <w:sz w:val="20"/>
              </w:rPr>
            </w:pPr>
          </w:p>
          <w:p w:rsidR="001920A3" w:rsidRPr="001A35EE" w:rsidRDefault="00A04F66" w:rsidP="00E002C6">
            <w:pPr>
              <w:jc w:val="right"/>
              <w:rPr>
                <w:rFonts w:ascii="Arial" w:hAnsi="Arial" w:cs="Arial"/>
                <w:b/>
                <w:sz w:val="20"/>
              </w:rPr>
            </w:pPr>
            <w:r>
              <w:rPr>
                <w:rFonts w:ascii="Arial" w:hAnsi="Arial" w:cs="Arial"/>
                <w:b/>
                <w:sz w:val="20"/>
              </w:rPr>
              <w:t>Constant currency</w:t>
            </w:r>
          </w:p>
        </w:tc>
        <w:tc>
          <w:tcPr>
            <w:tcW w:w="522" w:type="pct"/>
            <w:tcBorders>
              <w:top w:val="single" w:sz="4" w:space="0" w:color="auto"/>
              <w:bottom w:val="single" w:sz="4" w:space="0" w:color="auto"/>
            </w:tcBorders>
          </w:tcPr>
          <w:p w:rsidR="00A04F66" w:rsidRDefault="00A04F66" w:rsidP="00FA718B">
            <w:pPr>
              <w:jc w:val="right"/>
              <w:rPr>
                <w:rFonts w:ascii="Arial" w:hAnsi="Arial" w:cs="Arial"/>
                <w:b/>
                <w:sz w:val="20"/>
              </w:rPr>
            </w:pPr>
          </w:p>
          <w:p w:rsidR="001920A3" w:rsidRPr="001A35EE" w:rsidRDefault="001920A3" w:rsidP="00FA718B">
            <w:pPr>
              <w:jc w:val="right"/>
              <w:rPr>
                <w:rFonts w:ascii="Arial" w:hAnsi="Arial" w:cs="Arial"/>
                <w:b/>
                <w:sz w:val="20"/>
              </w:rPr>
            </w:pPr>
            <w:r w:rsidRPr="001A35EE">
              <w:rPr>
                <w:rFonts w:ascii="Arial" w:hAnsi="Arial" w:cs="Arial"/>
                <w:b/>
                <w:sz w:val="20"/>
              </w:rPr>
              <w:t>201</w:t>
            </w:r>
            <w:r w:rsidR="00FF733A">
              <w:rPr>
                <w:rFonts w:ascii="Arial" w:hAnsi="Arial" w:cs="Arial"/>
                <w:b/>
                <w:sz w:val="20"/>
              </w:rPr>
              <w:t>4</w:t>
            </w:r>
            <w:r w:rsidRPr="001A35EE">
              <w:rPr>
                <w:rFonts w:ascii="Arial" w:hAnsi="Arial" w:cs="Arial"/>
                <w:b/>
                <w:sz w:val="20"/>
              </w:rPr>
              <w:t>/1</w:t>
            </w:r>
            <w:r w:rsidR="00FF733A">
              <w:rPr>
                <w:rFonts w:ascii="Arial" w:hAnsi="Arial" w:cs="Arial"/>
                <w:b/>
                <w:sz w:val="20"/>
              </w:rPr>
              <w:t>5</w:t>
            </w:r>
          </w:p>
          <w:p w:rsidR="001920A3" w:rsidRPr="001A35EE" w:rsidRDefault="001920A3" w:rsidP="00FA718B">
            <w:pPr>
              <w:jc w:val="right"/>
              <w:rPr>
                <w:rFonts w:ascii="Arial" w:hAnsi="Arial" w:cs="Arial"/>
                <w:b/>
                <w:sz w:val="20"/>
              </w:rPr>
            </w:pPr>
            <w:r w:rsidRPr="001A35EE">
              <w:rPr>
                <w:rFonts w:ascii="Arial" w:hAnsi="Arial" w:cs="Arial"/>
                <w:b/>
                <w:sz w:val="20"/>
              </w:rPr>
              <w:t xml:space="preserve">  £m</w:t>
            </w:r>
            <w:bookmarkStart w:id="0" w:name="_GoBack"/>
            <w:bookmarkEnd w:id="0"/>
          </w:p>
        </w:tc>
        <w:tc>
          <w:tcPr>
            <w:tcW w:w="630" w:type="pct"/>
            <w:tcBorders>
              <w:top w:val="single" w:sz="4" w:space="0" w:color="auto"/>
              <w:bottom w:val="single" w:sz="4" w:space="0" w:color="auto"/>
            </w:tcBorders>
          </w:tcPr>
          <w:p w:rsidR="00A04F66" w:rsidRDefault="00A04F66" w:rsidP="005B0E5D">
            <w:pPr>
              <w:tabs>
                <w:tab w:val="left" w:pos="300"/>
              </w:tabs>
              <w:ind w:hanging="108"/>
              <w:jc w:val="right"/>
              <w:rPr>
                <w:rFonts w:ascii="Arial" w:hAnsi="Arial" w:cs="Arial"/>
                <w:b/>
                <w:sz w:val="20"/>
              </w:rPr>
            </w:pPr>
            <w:r>
              <w:rPr>
                <w:rFonts w:ascii="Arial" w:hAnsi="Arial" w:cs="Arial"/>
                <w:b/>
                <w:sz w:val="20"/>
              </w:rPr>
              <w:t xml:space="preserve"> </w:t>
            </w:r>
          </w:p>
          <w:p w:rsidR="001920A3" w:rsidRPr="001A35EE" w:rsidRDefault="00A04F66" w:rsidP="005B0E5D">
            <w:pPr>
              <w:tabs>
                <w:tab w:val="left" w:pos="300"/>
              </w:tabs>
              <w:ind w:hanging="108"/>
              <w:jc w:val="right"/>
              <w:rPr>
                <w:rFonts w:ascii="Arial" w:hAnsi="Arial" w:cs="Arial"/>
                <w:b/>
                <w:sz w:val="20"/>
              </w:rPr>
            </w:pPr>
            <w:r>
              <w:rPr>
                <w:rFonts w:ascii="Arial" w:hAnsi="Arial" w:cs="Arial"/>
                <w:b/>
                <w:sz w:val="20"/>
              </w:rPr>
              <w:t>Reported</w:t>
            </w:r>
          </w:p>
        </w:tc>
        <w:tc>
          <w:tcPr>
            <w:tcW w:w="629" w:type="pct"/>
            <w:tcBorders>
              <w:top w:val="single" w:sz="4" w:space="0" w:color="auto"/>
              <w:bottom w:val="single" w:sz="4" w:space="0" w:color="auto"/>
            </w:tcBorders>
          </w:tcPr>
          <w:p w:rsidR="001920A3" w:rsidRPr="001A35EE" w:rsidRDefault="001920A3" w:rsidP="00486116">
            <w:pPr>
              <w:jc w:val="right"/>
              <w:rPr>
                <w:rFonts w:ascii="Arial" w:hAnsi="Arial" w:cs="Arial"/>
                <w:b/>
                <w:sz w:val="20"/>
              </w:rPr>
            </w:pPr>
          </w:p>
          <w:p w:rsidR="001920A3" w:rsidRPr="001A35EE" w:rsidRDefault="00A04F66" w:rsidP="00486116">
            <w:pPr>
              <w:jc w:val="right"/>
              <w:rPr>
                <w:rFonts w:ascii="Arial" w:hAnsi="Arial" w:cs="Arial"/>
                <w:b/>
                <w:sz w:val="20"/>
              </w:rPr>
            </w:pPr>
            <w:r>
              <w:rPr>
                <w:rFonts w:ascii="Arial" w:hAnsi="Arial" w:cs="Arial"/>
                <w:b/>
                <w:sz w:val="20"/>
              </w:rPr>
              <w:t>Constant currency</w:t>
            </w:r>
          </w:p>
        </w:tc>
      </w:tr>
      <w:tr w:rsidR="00FD57E1" w:rsidRPr="00132113" w:rsidTr="00226B46">
        <w:trPr>
          <w:trHeight w:hRule="exact" w:val="312"/>
        </w:trPr>
        <w:tc>
          <w:tcPr>
            <w:tcW w:w="834" w:type="pct"/>
            <w:tcBorders>
              <w:top w:val="single" w:sz="4" w:space="0" w:color="auto"/>
            </w:tcBorders>
            <w:vAlign w:val="center"/>
          </w:tcPr>
          <w:p w:rsidR="001920A3" w:rsidRPr="001A35EE" w:rsidRDefault="009534C2" w:rsidP="009C656B">
            <w:pPr>
              <w:rPr>
                <w:rFonts w:ascii="Arial" w:hAnsi="Arial" w:cs="Arial"/>
                <w:sz w:val="20"/>
              </w:rPr>
            </w:pPr>
            <w:r>
              <w:rPr>
                <w:rFonts w:ascii="Arial" w:hAnsi="Arial" w:cs="Arial"/>
                <w:sz w:val="20"/>
              </w:rPr>
              <w:t>France*</w:t>
            </w:r>
          </w:p>
        </w:tc>
        <w:tc>
          <w:tcPr>
            <w:tcW w:w="496" w:type="pct"/>
            <w:tcBorders>
              <w:top w:val="single" w:sz="4" w:space="0" w:color="auto"/>
            </w:tcBorders>
            <w:vAlign w:val="center"/>
          </w:tcPr>
          <w:p w:rsidR="001920A3" w:rsidRPr="00384905" w:rsidRDefault="00A52E59" w:rsidP="007461DD">
            <w:pPr>
              <w:jc w:val="right"/>
              <w:rPr>
                <w:rFonts w:ascii="Arial" w:hAnsi="Arial" w:cs="Arial"/>
                <w:sz w:val="20"/>
              </w:rPr>
            </w:pPr>
            <w:r>
              <w:rPr>
                <w:rFonts w:ascii="Arial" w:hAnsi="Arial" w:cs="Arial"/>
                <w:sz w:val="20"/>
              </w:rPr>
              <w:t>1,077</w:t>
            </w:r>
          </w:p>
        </w:tc>
        <w:tc>
          <w:tcPr>
            <w:tcW w:w="638" w:type="pct"/>
            <w:tcBorders>
              <w:top w:val="single" w:sz="4" w:space="0" w:color="auto"/>
            </w:tcBorders>
            <w:vAlign w:val="center"/>
          </w:tcPr>
          <w:p w:rsidR="001920A3" w:rsidRPr="00384905" w:rsidRDefault="00A52E59" w:rsidP="00486116">
            <w:pPr>
              <w:jc w:val="right"/>
              <w:rPr>
                <w:rFonts w:ascii="Arial" w:hAnsi="Arial" w:cs="Arial"/>
                <w:sz w:val="20"/>
              </w:rPr>
            </w:pPr>
            <w:r>
              <w:rPr>
                <w:rFonts w:ascii="Arial" w:hAnsi="Arial" w:cs="Arial"/>
                <w:sz w:val="20"/>
              </w:rPr>
              <w:t>(0.2)</w:t>
            </w:r>
            <w:r w:rsidR="00465C74">
              <w:rPr>
                <w:rFonts w:ascii="Arial" w:hAnsi="Arial" w:cs="Arial"/>
                <w:sz w:val="20"/>
              </w:rPr>
              <w:t>%</w:t>
            </w:r>
          </w:p>
        </w:tc>
        <w:tc>
          <w:tcPr>
            <w:tcW w:w="638" w:type="pct"/>
            <w:tcBorders>
              <w:top w:val="single" w:sz="4" w:space="0" w:color="auto"/>
            </w:tcBorders>
            <w:vAlign w:val="center"/>
          </w:tcPr>
          <w:p w:rsidR="001920A3" w:rsidRPr="00384905" w:rsidRDefault="008D0F88" w:rsidP="007461DD">
            <w:pPr>
              <w:jc w:val="right"/>
              <w:rPr>
                <w:rFonts w:ascii="Arial" w:hAnsi="Arial" w:cs="Arial"/>
                <w:sz w:val="20"/>
              </w:rPr>
            </w:pPr>
            <w:r>
              <w:rPr>
                <w:rFonts w:ascii="Arial" w:hAnsi="Arial" w:cs="Arial"/>
                <w:sz w:val="20"/>
              </w:rPr>
              <w:t>+</w:t>
            </w:r>
            <w:r w:rsidR="00A52E59">
              <w:rPr>
                <w:rFonts w:ascii="Arial" w:hAnsi="Arial" w:cs="Arial"/>
                <w:sz w:val="20"/>
              </w:rPr>
              <w:t>3.3</w:t>
            </w:r>
            <w:r w:rsidR="00702B9A">
              <w:rPr>
                <w:rFonts w:ascii="Arial" w:hAnsi="Arial" w:cs="Arial"/>
                <w:sz w:val="20"/>
              </w:rPr>
              <w:t>%</w:t>
            </w:r>
          </w:p>
        </w:tc>
        <w:tc>
          <w:tcPr>
            <w:tcW w:w="612" w:type="pct"/>
            <w:tcBorders>
              <w:top w:val="single" w:sz="4" w:space="0" w:color="auto"/>
            </w:tcBorders>
            <w:vAlign w:val="center"/>
          </w:tcPr>
          <w:p w:rsidR="001920A3" w:rsidRPr="00384905" w:rsidRDefault="008D0F88" w:rsidP="007461DD">
            <w:pPr>
              <w:jc w:val="right"/>
              <w:rPr>
                <w:rFonts w:ascii="Arial" w:hAnsi="Arial" w:cs="Arial"/>
                <w:sz w:val="20"/>
              </w:rPr>
            </w:pPr>
            <w:r>
              <w:rPr>
                <w:rFonts w:ascii="Arial" w:hAnsi="Arial" w:cs="Arial"/>
                <w:sz w:val="20"/>
              </w:rPr>
              <w:t>+</w:t>
            </w:r>
            <w:r w:rsidR="00A52E59">
              <w:rPr>
                <w:rFonts w:ascii="Arial" w:hAnsi="Arial" w:cs="Arial"/>
                <w:sz w:val="20"/>
              </w:rPr>
              <w:t>1.6</w:t>
            </w:r>
            <w:r w:rsidR="00702B9A">
              <w:rPr>
                <w:rFonts w:ascii="Arial" w:hAnsi="Arial" w:cs="Arial"/>
                <w:sz w:val="20"/>
              </w:rPr>
              <w:t>%</w:t>
            </w:r>
          </w:p>
        </w:tc>
        <w:tc>
          <w:tcPr>
            <w:tcW w:w="522" w:type="pct"/>
            <w:tcBorders>
              <w:top w:val="single" w:sz="4" w:space="0" w:color="auto"/>
            </w:tcBorders>
            <w:vAlign w:val="center"/>
          </w:tcPr>
          <w:p w:rsidR="001920A3" w:rsidRPr="00384905" w:rsidRDefault="0098095F" w:rsidP="007461DD">
            <w:pPr>
              <w:jc w:val="right"/>
              <w:rPr>
                <w:rFonts w:ascii="Arial" w:hAnsi="Arial" w:cs="Arial"/>
                <w:sz w:val="20"/>
              </w:rPr>
            </w:pPr>
            <w:r>
              <w:rPr>
                <w:rFonts w:ascii="Arial" w:hAnsi="Arial" w:cs="Arial"/>
                <w:sz w:val="20"/>
              </w:rPr>
              <w:t>70</w:t>
            </w:r>
          </w:p>
        </w:tc>
        <w:tc>
          <w:tcPr>
            <w:tcW w:w="630" w:type="pct"/>
            <w:tcBorders>
              <w:top w:val="single" w:sz="4" w:space="0" w:color="auto"/>
            </w:tcBorders>
            <w:vAlign w:val="center"/>
          </w:tcPr>
          <w:p w:rsidR="001920A3" w:rsidRPr="00384905" w:rsidRDefault="008D0F88" w:rsidP="009D5B19">
            <w:pPr>
              <w:jc w:val="right"/>
              <w:rPr>
                <w:rFonts w:ascii="Arial" w:hAnsi="Arial" w:cs="Arial"/>
                <w:sz w:val="20"/>
              </w:rPr>
            </w:pPr>
            <w:r>
              <w:rPr>
                <w:rFonts w:ascii="Arial" w:hAnsi="Arial" w:cs="Arial"/>
                <w:sz w:val="20"/>
              </w:rPr>
              <w:t>+</w:t>
            </w:r>
            <w:r w:rsidR="0098095F">
              <w:rPr>
                <w:rFonts w:ascii="Arial" w:hAnsi="Arial" w:cs="Arial"/>
                <w:sz w:val="20"/>
              </w:rPr>
              <w:t>6</w:t>
            </w:r>
            <w:r w:rsidR="00A52E59">
              <w:rPr>
                <w:rFonts w:ascii="Arial" w:hAnsi="Arial" w:cs="Arial"/>
                <w:sz w:val="20"/>
              </w:rPr>
              <w:t>.0</w:t>
            </w:r>
            <w:r w:rsidR="00702B9A">
              <w:rPr>
                <w:rFonts w:ascii="Arial" w:hAnsi="Arial" w:cs="Arial"/>
                <w:sz w:val="20"/>
              </w:rPr>
              <w:t>%</w:t>
            </w:r>
          </w:p>
        </w:tc>
        <w:tc>
          <w:tcPr>
            <w:tcW w:w="629" w:type="pct"/>
            <w:tcBorders>
              <w:top w:val="single" w:sz="4" w:space="0" w:color="auto"/>
            </w:tcBorders>
            <w:vAlign w:val="center"/>
          </w:tcPr>
          <w:p w:rsidR="001920A3" w:rsidRPr="00132113" w:rsidRDefault="008D0F88" w:rsidP="007461DD">
            <w:pPr>
              <w:jc w:val="right"/>
              <w:rPr>
                <w:rFonts w:ascii="Arial" w:hAnsi="Arial" w:cs="Arial"/>
                <w:sz w:val="20"/>
              </w:rPr>
            </w:pPr>
            <w:r>
              <w:rPr>
                <w:rFonts w:ascii="Arial" w:hAnsi="Arial" w:cs="Arial"/>
                <w:sz w:val="20"/>
              </w:rPr>
              <w:t>+</w:t>
            </w:r>
            <w:r w:rsidR="00A52E59">
              <w:rPr>
                <w:rFonts w:ascii="Arial" w:hAnsi="Arial" w:cs="Arial"/>
                <w:sz w:val="20"/>
              </w:rPr>
              <w:t>9.8</w:t>
            </w:r>
            <w:r w:rsidR="00783B87">
              <w:rPr>
                <w:rFonts w:ascii="Arial" w:hAnsi="Arial" w:cs="Arial"/>
                <w:sz w:val="20"/>
              </w:rPr>
              <w:t>%</w:t>
            </w:r>
          </w:p>
        </w:tc>
      </w:tr>
      <w:tr w:rsidR="00FD57E1" w:rsidRPr="00FD57E1" w:rsidTr="00226B46">
        <w:trPr>
          <w:trHeight w:hRule="exact" w:val="312"/>
        </w:trPr>
        <w:tc>
          <w:tcPr>
            <w:tcW w:w="834" w:type="pct"/>
            <w:vAlign w:val="center"/>
          </w:tcPr>
          <w:p w:rsidR="001920A3" w:rsidRPr="001A35EE" w:rsidRDefault="001920A3" w:rsidP="00A33CE9">
            <w:pPr>
              <w:jc w:val="left"/>
              <w:rPr>
                <w:rFonts w:ascii="Arial" w:hAnsi="Arial" w:cs="Arial"/>
                <w:sz w:val="20"/>
              </w:rPr>
            </w:pPr>
            <w:r w:rsidRPr="001A35EE">
              <w:rPr>
                <w:rFonts w:ascii="Arial" w:hAnsi="Arial" w:cs="Arial"/>
                <w:sz w:val="20"/>
              </w:rPr>
              <w:t>UK &amp; Ireland</w:t>
            </w:r>
            <w:r w:rsidR="009534C2">
              <w:rPr>
                <w:rFonts w:ascii="Arial" w:hAnsi="Arial" w:cs="Arial"/>
                <w:sz w:val="20"/>
              </w:rPr>
              <w:t>*</w:t>
            </w:r>
          </w:p>
        </w:tc>
        <w:tc>
          <w:tcPr>
            <w:tcW w:w="496" w:type="pct"/>
            <w:vAlign w:val="center"/>
          </w:tcPr>
          <w:p w:rsidR="001920A3" w:rsidRPr="00384905" w:rsidRDefault="00A52E59" w:rsidP="00A33CE9">
            <w:pPr>
              <w:jc w:val="right"/>
              <w:rPr>
                <w:rFonts w:ascii="Arial" w:hAnsi="Arial" w:cs="Arial"/>
                <w:sz w:val="20"/>
              </w:rPr>
            </w:pPr>
            <w:r>
              <w:rPr>
                <w:rFonts w:ascii="Arial" w:hAnsi="Arial" w:cs="Arial"/>
                <w:sz w:val="20"/>
              </w:rPr>
              <w:t>1,200</w:t>
            </w:r>
          </w:p>
        </w:tc>
        <w:tc>
          <w:tcPr>
            <w:tcW w:w="638" w:type="pct"/>
            <w:vAlign w:val="center"/>
          </w:tcPr>
          <w:p w:rsidR="001920A3" w:rsidRPr="00384905" w:rsidRDefault="008D0F88" w:rsidP="008A3A24">
            <w:pPr>
              <w:jc w:val="right"/>
              <w:rPr>
                <w:rFonts w:ascii="Arial" w:hAnsi="Arial" w:cs="Arial"/>
                <w:sz w:val="20"/>
              </w:rPr>
            </w:pPr>
            <w:r>
              <w:rPr>
                <w:rFonts w:ascii="Arial" w:hAnsi="Arial" w:cs="Arial"/>
                <w:sz w:val="20"/>
              </w:rPr>
              <w:t>+</w:t>
            </w:r>
            <w:r w:rsidR="00A52E59">
              <w:rPr>
                <w:rFonts w:ascii="Arial" w:hAnsi="Arial" w:cs="Arial"/>
                <w:sz w:val="20"/>
              </w:rPr>
              <w:t>12.4</w:t>
            </w:r>
            <w:r w:rsidR="00465C74">
              <w:rPr>
                <w:rFonts w:ascii="Arial" w:hAnsi="Arial" w:cs="Arial"/>
                <w:sz w:val="20"/>
              </w:rPr>
              <w:t>%</w:t>
            </w:r>
          </w:p>
        </w:tc>
        <w:tc>
          <w:tcPr>
            <w:tcW w:w="638" w:type="pct"/>
            <w:vAlign w:val="center"/>
          </w:tcPr>
          <w:p w:rsidR="001920A3" w:rsidRPr="00384905" w:rsidRDefault="008D0F88" w:rsidP="00A33CE9">
            <w:pPr>
              <w:jc w:val="right"/>
              <w:rPr>
                <w:rFonts w:ascii="Arial" w:hAnsi="Arial" w:cs="Arial"/>
                <w:sz w:val="20"/>
              </w:rPr>
            </w:pPr>
            <w:r>
              <w:rPr>
                <w:rFonts w:ascii="Arial" w:hAnsi="Arial" w:cs="Arial"/>
                <w:sz w:val="20"/>
              </w:rPr>
              <w:t>+</w:t>
            </w:r>
            <w:r w:rsidR="00A52E59">
              <w:rPr>
                <w:rFonts w:ascii="Arial" w:hAnsi="Arial" w:cs="Arial"/>
                <w:sz w:val="20"/>
              </w:rPr>
              <w:t>12.5</w:t>
            </w:r>
            <w:r w:rsidR="00702B9A">
              <w:rPr>
                <w:rFonts w:ascii="Arial" w:hAnsi="Arial" w:cs="Arial"/>
                <w:sz w:val="20"/>
              </w:rPr>
              <w:t>%</w:t>
            </w:r>
          </w:p>
        </w:tc>
        <w:tc>
          <w:tcPr>
            <w:tcW w:w="612" w:type="pct"/>
            <w:vAlign w:val="center"/>
          </w:tcPr>
          <w:p w:rsidR="001920A3" w:rsidRPr="00384905" w:rsidRDefault="008D0F88" w:rsidP="00A33CE9">
            <w:pPr>
              <w:jc w:val="right"/>
              <w:rPr>
                <w:rFonts w:ascii="Arial" w:hAnsi="Arial" w:cs="Arial"/>
                <w:sz w:val="20"/>
              </w:rPr>
            </w:pPr>
            <w:r>
              <w:rPr>
                <w:rFonts w:ascii="Arial" w:hAnsi="Arial" w:cs="Arial"/>
                <w:sz w:val="20"/>
              </w:rPr>
              <w:t>+</w:t>
            </w:r>
            <w:r w:rsidR="00A52E59">
              <w:rPr>
                <w:rFonts w:ascii="Arial" w:hAnsi="Arial" w:cs="Arial"/>
                <w:sz w:val="20"/>
              </w:rPr>
              <w:t>10.</w:t>
            </w:r>
            <w:r w:rsidR="00F63602">
              <w:rPr>
                <w:rFonts w:ascii="Arial" w:hAnsi="Arial" w:cs="Arial"/>
                <w:sz w:val="20"/>
              </w:rPr>
              <w:t>1</w:t>
            </w:r>
            <w:r w:rsidR="00702B9A">
              <w:rPr>
                <w:rFonts w:ascii="Arial" w:hAnsi="Arial" w:cs="Arial"/>
                <w:sz w:val="20"/>
              </w:rPr>
              <w:t>%</w:t>
            </w:r>
          </w:p>
        </w:tc>
        <w:tc>
          <w:tcPr>
            <w:tcW w:w="522" w:type="pct"/>
            <w:vAlign w:val="center"/>
          </w:tcPr>
          <w:p w:rsidR="001920A3" w:rsidRPr="00384905" w:rsidRDefault="0098095F" w:rsidP="00A33CE9">
            <w:pPr>
              <w:jc w:val="right"/>
              <w:rPr>
                <w:rFonts w:ascii="Arial" w:hAnsi="Arial" w:cs="Arial"/>
                <w:sz w:val="20"/>
              </w:rPr>
            </w:pPr>
            <w:r>
              <w:rPr>
                <w:rFonts w:ascii="Arial" w:hAnsi="Arial" w:cs="Arial"/>
                <w:sz w:val="20"/>
              </w:rPr>
              <w:t>6</w:t>
            </w:r>
            <w:r w:rsidR="00AB4F2A">
              <w:rPr>
                <w:rFonts w:ascii="Arial" w:hAnsi="Arial" w:cs="Arial"/>
                <w:sz w:val="20"/>
              </w:rPr>
              <w:t>8</w:t>
            </w:r>
          </w:p>
        </w:tc>
        <w:tc>
          <w:tcPr>
            <w:tcW w:w="630" w:type="pct"/>
            <w:vAlign w:val="center"/>
          </w:tcPr>
          <w:p w:rsidR="001920A3" w:rsidRPr="00384905" w:rsidRDefault="008D0F88" w:rsidP="00A33CE9">
            <w:pPr>
              <w:jc w:val="right"/>
              <w:rPr>
                <w:rFonts w:ascii="Arial" w:hAnsi="Arial" w:cs="Arial"/>
                <w:sz w:val="20"/>
              </w:rPr>
            </w:pPr>
            <w:r>
              <w:rPr>
                <w:rFonts w:ascii="Arial" w:hAnsi="Arial" w:cs="Arial"/>
                <w:sz w:val="20"/>
              </w:rPr>
              <w:t>+</w:t>
            </w:r>
            <w:r w:rsidR="0098095F">
              <w:rPr>
                <w:rFonts w:ascii="Arial" w:hAnsi="Arial" w:cs="Arial"/>
                <w:sz w:val="20"/>
              </w:rPr>
              <w:t>3</w:t>
            </w:r>
            <w:r w:rsidR="00AB4F2A">
              <w:rPr>
                <w:rFonts w:ascii="Arial" w:hAnsi="Arial" w:cs="Arial"/>
                <w:sz w:val="20"/>
              </w:rPr>
              <w:t>5</w:t>
            </w:r>
            <w:r w:rsidR="0098095F">
              <w:rPr>
                <w:rFonts w:ascii="Arial" w:hAnsi="Arial" w:cs="Arial"/>
                <w:sz w:val="20"/>
              </w:rPr>
              <w:t>.4</w:t>
            </w:r>
            <w:r w:rsidR="00702B9A">
              <w:rPr>
                <w:rFonts w:ascii="Arial" w:hAnsi="Arial" w:cs="Arial"/>
                <w:sz w:val="20"/>
              </w:rPr>
              <w:t>%</w:t>
            </w:r>
          </w:p>
        </w:tc>
        <w:tc>
          <w:tcPr>
            <w:tcW w:w="629" w:type="pct"/>
            <w:vAlign w:val="center"/>
          </w:tcPr>
          <w:p w:rsidR="001920A3" w:rsidRPr="00384905" w:rsidRDefault="008D0F88" w:rsidP="00A33CE9">
            <w:pPr>
              <w:jc w:val="right"/>
              <w:rPr>
                <w:rFonts w:ascii="Arial" w:hAnsi="Arial" w:cs="Arial"/>
                <w:sz w:val="20"/>
              </w:rPr>
            </w:pPr>
            <w:r>
              <w:rPr>
                <w:rFonts w:ascii="Arial" w:hAnsi="Arial" w:cs="Arial"/>
                <w:sz w:val="20"/>
              </w:rPr>
              <w:t>+</w:t>
            </w:r>
            <w:r w:rsidR="00A52E59">
              <w:rPr>
                <w:rFonts w:ascii="Arial" w:hAnsi="Arial" w:cs="Arial"/>
                <w:sz w:val="20"/>
              </w:rPr>
              <w:t>3</w:t>
            </w:r>
            <w:r w:rsidR="00AB4F2A">
              <w:rPr>
                <w:rFonts w:ascii="Arial" w:hAnsi="Arial" w:cs="Arial"/>
                <w:sz w:val="20"/>
              </w:rPr>
              <w:t>5</w:t>
            </w:r>
            <w:r w:rsidR="00A52E59">
              <w:rPr>
                <w:rFonts w:ascii="Arial" w:hAnsi="Arial" w:cs="Arial"/>
                <w:sz w:val="20"/>
              </w:rPr>
              <w:t>.2</w:t>
            </w:r>
            <w:r w:rsidR="00783B87">
              <w:rPr>
                <w:rFonts w:ascii="Arial" w:hAnsi="Arial" w:cs="Arial"/>
                <w:sz w:val="20"/>
              </w:rPr>
              <w:t>%</w:t>
            </w:r>
          </w:p>
        </w:tc>
      </w:tr>
      <w:tr w:rsidR="00FD57E1" w:rsidRPr="00FD57E1" w:rsidTr="00226B46">
        <w:trPr>
          <w:trHeight w:hRule="exact" w:val="544"/>
        </w:trPr>
        <w:tc>
          <w:tcPr>
            <w:tcW w:w="834" w:type="pct"/>
            <w:tcBorders>
              <w:bottom w:val="single" w:sz="4" w:space="0" w:color="auto"/>
            </w:tcBorders>
            <w:vAlign w:val="center"/>
          </w:tcPr>
          <w:p w:rsidR="001920A3" w:rsidRPr="001A35EE" w:rsidRDefault="009534C2" w:rsidP="00A33CE9">
            <w:pPr>
              <w:jc w:val="left"/>
              <w:rPr>
                <w:rFonts w:ascii="Arial" w:hAnsi="Arial" w:cs="Arial"/>
                <w:sz w:val="20"/>
              </w:rPr>
            </w:pPr>
            <w:r>
              <w:rPr>
                <w:rFonts w:ascii="Arial" w:hAnsi="Arial" w:cs="Arial"/>
                <w:sz w:val="20"/>
              </w:rPr>
              <w:t>Other International*</w:t>
            </w:r>
          </w:p>
        </w:tc>
        <w:tc>
          <w:tcPr>
            <w:tcW w:w="496" w:type="pct"/>
            <w:tcBorders>
              <w:bottom w:val="single" w:sz="4" w:space="0" w:color="auto"/>
            </w:tcBorders>
            <w:vAlign w:val="center"/>
          </w:tcPr>
          <w:p w:rsidR="001920A3" w:rsidRPr="00384905" w:rsidRDefault="00A52E59" w:rsidP="007461DD">
            <w:pPr>
              <w:jc w:val="right"/>
              <w:rPr>
                <w:rFonts w:ascii="Arial" w:hAnsi="Arial" w:cs="Arial"/>
                <w:sz w:val="20"/>
              </w:rPr>
            </w:pPr>
            <w:r>
              <w:rPr>
                <w:rFonts w:ascii="Arial" w:hAnsi="Arial" w:cs="Arial"/>
                <w:sz w:val="20"/>
              </w:rPr>
              <w:t>506</w:t>
            </w:r>
          </w:p>
        </w:tc>
        <w:tc>
          <w:tcPr>
            <w:tcW w:w="638" w:type="pct"/>
            <w:tcBorders>
              <w:bottom w:val="single" w:sz="4" w:space="0" w:color="auto"/>
            </w:tcBorders>
            <w:vAlign w:val="center"/>
          </w:tcPr>
          <w:p w:rsidR="001920A3" w:rsidRPr="00384905" w:rsidRDefault="008D0F88" w:rsidP="007461DD">
            <w:pPr>
              <w:jc w:val="right"/>
              <w:rPr>
                <w:rFonts w:ascii="Arial" w:hAnsi="Arial" w:cs="Arial"/>
                <w:sz w:val="20"/>
              </w:rPr>
            </w:pPr>
            <w:r>
              <w:rPr>
                <w:rFonts w:ascii="Arial" w:hAnsi="Arial" w:cs="Arial"/>
                <w:sz w:val="20"/>
              </w:rPr>
              <w:t>+</w:t>
            </w:r>
            <w:r w:rsidR="00A52E59">
              <w:rPr>
                <w:rFonts w:ascii="Arial" w:hAnsi="Arial" w:cs="Arial"/>
                <w:sz w:val="20"/>
              </w:rPr>
              <w:t>6.4</w:t>
            </w:r>
            <w:r w:rsidR="00702B9A">
              <w:rPr>
                <w:rFonts w:ascii="Arial" w:hAnsi="Arial" w:cs="Arial"/>
                <w:sz w:val="20"/>
              </w:rPr>
              <w:t>%</w:t>
            </w:r>
          </w:p>
        </w:tc>
        <w:tc>
          <w:tcPr>
            <w:tcW w:w="638" w:type="pct"/>
            <w:tcBorders>
              <w:bottom w:val="single" w:sz="4" w:space="0" w:color="auto"/>
            </w:tcBorders>
            <w:vAlign w:val="center"/>
          </w:tcPr>
          <w:p w:rsidR="001920A3" w:rsidRPr="00384905" w:rsidRDefault="008D0F88" w:rsidP="007461DD">
            <w:pPr>
              <w:jc w:val="right"/>
              <w:rPr>
                <w:rFonts w:ascii="Arial" w:hAnsi="Arial" w:cs="Arial"/>
                <w:sz w:val="20"/>
              </w:rPr>
            </w:pPr>
            <w:r>
              <w:rPr>
                <w:rFonts w:ascii="Arial" w:hAnsi="Arial" w:cs="Arial"/>
                <w:sz w:val="20"/>
              </w:rPr>
              <w:t>+</w:t>
            </w:r>
            <w:r w:rsidR="00A52E59">
              <w:rPr>
                <w:rFonts w:ascii="Arial" w:hAnsi="Arial" w:cs="Arial"/>
                <w:sz w:val="20"/>
              </w:rPr>
              <w:t>15.4</w:t>
            </w:r>
            <w:r w:rsidR="00702B9A">
              <w:rPr>
                <w:rFonts w:ascii="Arial" w:hAnsi="Arial" w:cs="Arial"/>
                <w:sz w:val="20"/>
              </w:rPr>
              <w:t>%</w:t>
            </w:r>
          </w:p>
        </w:tc>
        <w:tc>
          <w:tcPr>
            <w:tcW w:w="612" w:type="pct"/>
            <w:tcBorders>
              <w:bottom w:val="single" w:sz="4" w:space="0" w:color="auto"/>
            </w:tcBorders>
            <w:vAlign w:val="center"/>
          </w:tcPr>
          <w:p w:rsidR="001920A3" w:rsidRPr="00384905" w:rsidRDefault="008D0F88" w:rsidP="007461DD">
            <w:pPr>
              <w:jc w:val="right"/>
              <w:rPr>
                <w:rFonts w:ascii="Arial" w:hAnsi="Arial" w:cs="Arial"/>
                <w:sz w:val="20"/>
              </w:rPr>
            </w:pPr>
            <w:r>
              <w:rPr>
                <w:rFonts w:ascii="Arial" w:hAnsi="Arial" w:cs="Arial"/>
                <w:sz w:val="20"/>
              </w:rPr>
              <w:t>+</w:t>
            </w:r>
            <w:r w:rsidR="00A52E59">
              <w:rPr>
                <w:rFonts w:ascii="Arial" w:hAnsi="Arial" w:cs="Arial"/>
                <w:sz w:val="20"/>
              </w:rPr>
              <w:t>6.8</w:t>
            </w:r>
            <w:r w:rsidR="00702B9A">
              <w:rPr>
                <w:rFonts w:ascii="Arial" w:hAnsi="Arial" w:cs="Arial"/>
                <w:sz w:val="20"/>
              </w:rPr>
              <w:t>%</w:t>
            </w:r>
          </w:p>
        </w:tc>
        <w:tc>
          <w:tcPr>
            <w:tcW w:w="522" w:type="pct"/>
            <w:tcBorders>
              <w:bottom w:val="single" w:sz="4" w:space="0" w:color="auto"/>
            </w:tcBorders>
            <w:vAlign w:val="center"/>
          </w:tcPr>
          <w:p w:rsidR="001920A3" w:rsidRPr="00384905" w:rsidRDefault="00AB4F2A" w:rsidP="007461DD">
            <w:pPr>
              <w:jc w:val="right"/>
              <w:rPr>
                <w:rFonts w:ascii="Arial" w:hAnsi="Arial" w:cs="Arial"/>
                <w:sz w:val="20"/>
              </w:rPr>
            </w:pPr>
            <w:r>
              <w:rPr>
                <w:rFonts w:ascii="Arial" w:hAnsi="Arial" w:cs="Arial"/>
                <w:sz w:val="20"/>
              </w:rPr>
              <w:t>4</w:t>
            </w:r>
          </w:p>
        </w:tc>
        <w:tc>
          <w:tcPr>
            <w:tcW w:w="630" w:type="pct"/>
            <w:tcBorders>
              <w:bottom w:val="single" w:sz="4" w:space="0" w:color="auto"/>
            </w:tcBorders>
            <w:vAlign w:val="center"/>
          </w:tcPr>
          <w:p w:rsidR="00702B9A" w:rsidRPr="00384905" w:rsidRDefault="008D0F88">
            <w:pPr>
              <w:jc w:val="right"/>
              <w:rPr>
                <w:rFonts w:ascii="Arial" w:hAnsi="Arial" w:cs="Arial"/>
                <w:sz w:val="20"/>
              </w:rPr>
            </w:pPr>
            <w:r>
              <w:rPr>
                <w:rFonts w:ascii="Arial" w:hAnsi="Arial" w:cs="Arial"/>
                <w:sz w:val="20"/>
              </w:rPr>
              <w:t>+</w:t>
            </w:r>
            <w:r w:rsidR="00AB4F2A">
              <w:rPr>
                <w:rFonts w:ascii="Arial" w:hAnsi="Arial" w:cs="Arial"/>
                <w:sz w:val="20"/>
              </w:rPr>
              <w:t>25.5</w:t>
            </w:r>
            <w:r w:rsidR="00A52E59">
              <w:rPr>
                <w:rFonts w:ascii="Arial" w:hAnsi="Arial" w:cs="Arial"/>
                <w:sz w:val="20"/>
              </w:rPr>
              <w:t>%</w:t>
            </w:r>
          </w:p>
        </w:tc>
        <w:tc>
          <w:tcPr>
            <w:tcW w:w="629" w:type="pct"/>
            <w:tcBorders>
              <w:bottom w:val="single" w:sz="4" w:space="0" w:color="auto"/>
            </w:tcBorders>
            <w:vAlign w:val="center"/>
          </w:tcPr>
          <w:p w:rsidR="00783B87" w:rsidRPr="00384905" w:rsidRDefault="00257F52">
            <w:pPr>
              <w:jc w:val="right"/>
              <w:rPr>
                <w:rFonts w:ascii="Arial" w:hAnsi="Arial" w:cs="Arial"/>
                <w:sz w:val="20"/>
              </w:rPr>
            </w:pPr>
            <w:r>
              <w:rPr>
                <w:rFonts w:ascii="Arial" w:hAnsi="Arial" w:cs="Arial"/>
                <w:sz w:val="20"/>
              </w:rPr>
              <w:t>Flat</w:t>
            </w:r>
          </w:p>
        </w:tc>
      </w:tr>
      <w:tr w:rsidR="001920A3" w:rsidRPr="00132113" w:rsidTr="00226B46">
        <w:trPr>
          <w:trHeight w:hRule="exact" w:val="312"/>
        </w:trPr>
        <w:tc>
          <w:tcPr>
            <w:tcW w:w="834" w:type="pct"/>
            <w:tcBorders>
              <w:top w:val="single" w:sz="4" w:space="0" w:color="auto"/>
              <w:bottom w:val="single" w:sz="4" w:space="0" w:color="auto"/>
            </w:tcBorders>
            <w:vAlign w:val="center"/>
          </w:tcPr>
          <w:p w:rsidR="001920A3" w:rsidRPr="001A35EE" w:rsidRDefault="001920A3" w:rsidP="009C656B">
            <w:pPr>
              <w:rPr>
                <w:rFonts w:ascii="Arial" w:hAnsi="Arial" w:cs="Arial"/>
                <w:b/>
                <w:sz w:val="20"/>
              </w:rPr>
            </w:pPr>
            <w:r w:rsidRPr="001A35EE">
              <w:rPr>
                <w:rFonts w:ascii="Arial" w:hAnsi="Arial" w:cs="Arial"/>
                <w:b/>
                <w:sz w:val="20"/>
              </w:rPr>
              <w:t>Total Group</w:t>
            </w:r>
          </w:p>
        </w:tc>
        <w:tc>
          <w:tcPr>
            <w:tcW w:w="496" w:type="pct"/>
            <w:tcBorders>
              <w:top w:val="single" w:sz="4" w:space="0" w:color="auto"/>
              <w:bottom w:val="single" w:sz="4" w:space="0" w:color="auto"/>
            </w:tcBorders>
            <w:vAlign w:val="center"/>
          </w:tcPr>
          <w:p w:rsidR="001920A3" w:rsidRPr="00384905" w:rsidRDefault="00A52E59" w:rsidP="007461DD">
            <w:pPr>
              <w:jc w:val="right"/>
              <w:rPr>
                <w:rFonts w:ascii="Arial" w:hAnsi="Arial" w:cs="Arial"/>
                <w:b/>
                <w:sz w:val="20"/>
              </w:rPr>
            </w:pPr>
            <w:r>
              <w:rPr>
                <w:rFonts w:ascii="Arial" w:hAnsi="Arial" w:cs="Arial"/>
                <w:b/>
                <w:sz w:val="20"/>
              </w:rPr>
              <w:t>2,783</w:t>
            </w:r>
          </w:p>
        </w:tc>
        <w:tc>
          <w:tcPr>
            <w:tcW w:w="638" w:type="pct"/>
            <w:tcBorders>
              <w:top w:val="single" w:sz="4" w:space="0" w:color="auto"/>
              <w:bottom w:val="single" w:sz="4" w:space="0" w:color="auto"/>
            </w:tcBorders>
            <w:vAlign w:val="center"/>
          </w:tcPr>
          <w:p w:rsidR="001920A3" w:rsidRPr="00384905" w:rsidRDefault="008D0F88" w:rsidP="007461DD">
            <w:pPr>
              <w:jc w:val="right"/>
              <w:rPr>
                <w:rFonts w:ascii="Arial" w:hAnsi="Arial" w:cs="Arial"/>
                <w:b/>
                <w:sz w:val="20"/>
              </w:rPr>
            </w:pPr>
            <w:r>
              <w:rPr>
                <w:rFonts w:ascii="Arial" w:hAnsi="Arial" w:cs="Arial"/>
                <w:b/>
                <w:sz w:val="20"/>
              </w:rPr>
              <w:t>+</w:t>
            </w:r>
            <w:r w:rsidR="00A52E59">
              <w:rPr>
                <w:rFonts w:ascii="Arial" w:hAnsi="Arial" w:cs="Arial"/>
                <w:b/>
                <w:sz w:val="20"/>
              </w:rPr>
              <w:t>6.1</w:t>
            </w:r>
            <w:r w:rsidR="00702B9A">
              <w:rPr>
                <w:rFonts w:ascii="Arial" w:hAnsi="Arial" w:cs="Arial"/>
                <w:b/>
                <w:sz w:val="20"/>
              </w:rPr>
              <w:t>%</w:t>
            </w:r>
          </w:p>
        </w:tc>
        <w:tc>
          <w:tcPr>
            <w:tcW w:w="638" w:type="pct"/>
            <w:tcBorders>
              <w:top w:val="single" w:sz="4" w:space="0" w:color="auto"/>
              <w:bottom w:val="single" w:sz="4" w:space="0" w:color="auto"/>
            </w:tcBorders>
            <w:vAlign w:val="center"/>
          </w:tcPr>
          <w:p w:rsidR="001920A3" w:rsidRPr="00384905" w:rsidRDefault="008D0F88" w:rsidP="007461DD">
            <w:pPr>
              <w:jc w:val="right"/>
              <w:rPr>
                <w:rFonts w:ascii="Arial" w:hAnsi="Arial" w:cs="Arial"/>
                <w:b/>
                <w:sz w:val="20"/>
              </w:rPr>
            </w:pPr>
            <w:r>
              <w:rPr>
                <w:rFonts w:ascii="Arial" w:hAnsi="Arial" w:cs="Arial"/>
                <w:b/>
                <w:sz w:val="20"/>
              </w:rPr>
              <w:t>+</w:t>
            </w:r>
            <w:r w:rsidR="00A52E59">
              <w:rPr>
                <w:rFonts w:ascii="Arial" w:hAnsi="Arial" w:cs="Arial"/>
                <w:b/>
                <w:sz w:val="20"/>
              </w:rPr>
              <w:t>9.2</w:t>
            </w:r>
            <w:r w:rsidR="00702B9A">
              <w:rPr>
                <w:rFonts w:ascii="Arial" w:hAnsi="Arial" w:cs="Arial"/>
                <w:b/>
                <w:sz w:val="20"/>
              </w:rPr>
              <w:t>%</w:t>
            </w:r>
          </w:p>
        </w:tc>
        <w:tc>
          <w:tcPr>
            <w:tcW w:w="612" w:type="pct"/>
            <w:tcBorders>
              <w:top w:val="single" w:sz="4" w:space="0" w:color="auto"/>
              <w:bottom w:val="single" w:sz="4" w:space="0" w:color="auto"/>
            </w:tcBorders>
            <w:vAlign w:val="center"/>
          </w:tcPr>
          <w:p w:rsidR="001920A3" w:rsidRPr="00384905" w:rsidRDefault="008D0F88" w:rsidP="007461DD">
            <w:pPr>
              <w:jc w:val="right"/>
              <w:rPr>
                <w:rFonts w:ascii="Arial" w:hAnsi="Arial" w:cs="Arial"/>
                <w:b/>
                <w:sz w:val="20"/>
              </w:rPr>
            </w:pPr>
            <w:r>
              <w:rPr>
                <w:rFonts w:ascii="Arial" w:hAnsi="Arial" w:cs="Arial"/>
                <w:b/>
                <w:sz w:val="20"/>
              </w:rPr>
              <w:t>+</w:t>
            </w:r>
            <w:r w:rsidR="00A52E59">
              <w:rPr>
                <w:rFonts w:ascii="Arial" w:hAnsi="Arial" w:cs="Arial"/>
                <w:b/>
                <w:sz w:val="20"/>
              </w:rPr>
              <w:t>6.1</w:t>
            </w:r>
            <w:r w:rsidR="00702B9A">
              <w:rPr>
                <w:rFonts w:ascii="Arial" w:hAnsi="Arial" w:cs="Arial"/>
                <w:b/>
                <w:sz w:val="20"/>
              </w:rPr>
              <w:t>%</w:t>
            </w:r>
          </w:p>
        </w:tc>
        <w:tc>
          <w:tcPr>
            <w:tcW w:w="522" w:type="pct"/>
            <w:tcBorders>
              <w:top w:val="single" w:sz="4" w:space="0" w:color="auto"/>
              <w:bottom w:val="single" w:sz="4" w:space="0" w:color="auto"/>
            </w:tcBorders>
            <w:vAlign w:val="center"/>
          </w:tcPr>
          <w:p w:rsidR="001920A3" w:rsidRPr="00384905" w:rsidRDefault="0098095F" w:rsidP="007461DD">
            <w:pPr>
              <w:jc w:val="right"/>
              <w:rPr>
                <w:rFonts w:ascii="Arial" w:hAnsi="Arial" w:cs="Arial"/>
                <w:b/>
                <w:sz w:val="20"/>
              </w:rPr>
            </w:pPr>
            <w:r>
              <w:rPr>
                <w:rFonts w:ascii="Arial" w:hAnsi="Arial" w:cs="Arial"/>
                <w:b/>
                <w:sz w:val="20"/>
              </w:rPr>
              <w:t>142</w:t>
            </w:r>
          </w:p>
        </w:tc>
        <w:tc>
          <w:tcPr>
            <w:tcW w:w="630" w:type="pct"/>
            <w:tcBorders>
              <w:top w:val="single" w:sz="4" w:space="0" w:color="auto"/>
              <w:bottom w:val="single" w:sz="4" w:space="0" w:color="auto"/>
            </w:tcBorders>
            <w:vAlign w:val="center"/>
          </w:tcPr>
          <w:p w:rsidR="001920A3" w:rsidRPr="00384905" w:rsidRDefault="008D0F88" w:rsidP="007461DD">
            <w:pPr>
              <w:jc w:val="right"/>
              <w:rPr>
                <w:rFonts w:ascii="Arial" w:hAnsi="Arial" w:cs="Arial"/>
                <w:b/>
                <w:sz w:val="20"/>
              </w:rPr>
            </w:pPr>
            <w:r>
              <w:rPr>
                <w:rFonts w:ascii="Arial" w:hAnsi="Arial" w:cs="Arial"/>
                <w:b/>
                <w:sz w:val="20"/>
              </w:rPr>
              <w:t>+</w:t>
            </w:r>
            <w:r w:rsidR="00A52E59">
              <w:rPr>
                <w:rFonts w:ascii="Arial" w:hAnsi="Arial" w:cs="Arial"/>
                <w:b/>
                <w:sz w:val="20"/>
              </w:rPr>
              <w:t>18.8</w:t>
            </w:r>
            <w:r w:rsidR="00702B9A">
              <w:rPr>
                <w:rFonts w:ascii="Arial" w:hAnsi="Arial" w:cs="Arial"/>
                <w:b/>
                <w:sz w:val="20"/>
              </w:rPr>
              <w:t>%</w:t>
            </w:r>
          </w:p>
        </w:tc>
        <w:tc>
          <w:tcPr>
            <w:tcW w:w="629" w:type="pct"/>
            <w:tcBorders>
              <w:top w:val="single" w:sz="4" w:space="0" w:color="auto"/>
              <w:bottom w:val="single" w:sz="4" w:space="0" w:color="auto"/>
            </w:tcBorders>
            <w:vAlign w:val="center"/>
          </w:tcPr>
          <w:p w:rsidR="001920A3" w:rsidRPr="00132113" w:rsidRDefault="008D0F88" w:rsidP="007461DD">
            <w:pPr>
              <w:jc w:val="right"/>
              <w:rPr>
                <w:rFonts w:ascii="Arial" w:hAnsi="Arial" w:cs="Arial"/>
                <w:b/>
                <w:sz w:val="20"/>
              </w:rPr>
            </w:pPr>
            <w:r>
              <w:rPr>
                <w:rFonts w:ascii="Arial" w:hAnsi="Arial" w:cs="Arial"/>
                <w:b/>
                <w:sz w:val="20"/>
              </w:rPr>
              <w:t>+</w:t>
            </w:r>
            <w:r w:rsidR="00A52E59">
              <w:rPr>
                <w:rFonts w:ascii="Arial" w:hAnsi="Arial" w:cs="Arial"/>
                <w:b/>
                <w:sz w:val="20"/>
              </w:rPr>
              <w:t>20.3</w:t>
            </w:r>
            <w:r w:rsidR="00783B87">
              <w:rPr>
                <w:rFonts w:ascii="Arial" w:hAnsi="Arial" w:cs="Arial"/>
                <w:b/>
                <w:sz w:val="20"/>
              </w:rPr>
              <w:t>%</w:t>
            </w:r>
          </w:p>
        </w:tc>
      </w:tr>
    </w:tbl>
    <w:p w:rsidR="00A545F8" w:rsidRPr="009F1615" w:rsidRDefault="00A545F8" w:rsidP="00A545F8">
      <w:pPr>
        <w:jc w:val="left"/>
        <w:rPr>
          <w:rFonts w:ascii="Arial" w:hAnsi="Arial" w:cs="Arial"/>
          <w:i/>
          <w:sz w:val="18"/>
          <w:szCs w:val="18"/>
        </w:rPr>
      </w:pPr>
      <w:r w:rsidRPr="009F1615">
        <w:rPr>
          <w:rFonts w:ascii="Arial" w:hAnsi="Arial" w:cs="Arial"/>
          <w:i/>
          <w:sz w:val="18"/>
          <w:szCs w:val="18"/>
        </w:rPr>
        <w:t>*Throughout this release ‘*’ indicates first instance of a term defin</w:t>
      </w:r>
      <w:r w:rsidR="00F70C22" w:rsidRPr="009F1615">
        <w:rPr>
          <w:rFonts w:ascii="Arial" w:hAnsi="Arial" w:cs="Arial"/>
          <w:i/>
          <w:sz w:val="18"/>
          <w:szCs w:val="18"/>
        </w:rPr>
        <w:t xml:space="preserve">ed or explained in the glossary towards the end </w:t>
      </w:r>
      <w:r w:rsidRPr="009F1615">
        <w:rPr>
          <w:rFonts w:ascii="Arial" w:hAnsi="Arial" w:cs="Arial"/>
          <w:i/>
          <w:sz w:val="18"/>
          <w:szCs w:val="18"/>
        </w:rPr>
        <w:t>of this release.</w:t>
      </w:r>
    </w:p>
    <w:p w:rsidR="001920A3" w:rsidRDefault="001920A3" w:rsidP="0020773A">
      <w:pPr>
        <w:jc w:val="left"/>
        <w:rPr>
          <w:rFonts w:ascii="Arial" w:hAnsi="Arial" w:cs="Arial"/>
          <w:i/>
          <w:color w:val="FF0000"/>
          <w:sz w:val="18"/>
          <w:szCs w:val="18"/>
        </w:rPr>
      </w:pPr>
    </w:p>
    <w:p w:rsidR="004312F8" w:rsidRPr="00384905" w:rsidRDefault="001920A3" w:rsidP="00525D5E">
      <w:pPr>
        <w:jc w:val="left"/>
        <w:rPr>
          <w:rFonts w:ascii="Arial" w:hAnsi="Arial" w:cs="Arial"/>
          <w:b/>
          <w:sz w:val="24"/>
          <w:szCs w:val="24"/>
          <w:u w:val="single"/>
        </w:rPr>
      </w:pPr>
      <w:r w:rsidRPr="00384905">
        <w:rPr>
          <w:rFonts w:ascii="Arial" w:hAnsi="Arial" w:cs="Arial"/>
          <w:b/>
          <w:sz w:val="24"/>
          <w:szCs w:val="24"/>
          <w:u w:val="single"/>
        </w:rPr>
        <w:t>Highlights in constant currencies:</w:t>
      </w:r>
    </w:p>
    <w:p w:rsidR="00A545F8" w:rsidRPr="004312F8" w:rsidRDefault="00E4654B" w:rsidP="00A545F8">
      <w:pPr>
        <w:numPr>
          <w:ilvl w:val="0"/>
          <w:numId w:val="9"/>
        </w:numPr>
        <w:tabs>
          <w:tab w:val="clear" w:pos="1080"/>
          <w:tab w:val="num" w:pos="0"/>
          <w:tab w:val="left" w:pos="284"/>
        </w:tabs>
        <w:ind w:left="0" w:firstLine="0"/>
        <w:jc w:val="left"/>
        <w:rPr>
          <w:rFonts w:ascii="Arial" w:hAnsi="Arial" w:cs="Arial"/>
          <w:sz w:val="24"/>
          <w:szCs w:val="24"/>
        </w:rPr>
      </w:pPr>
      <w:r w:rsidRPr="004312F8">
        <w:rPr>
          <w:rFonts w:ascii="Arial" w:hAnsi="Arial" w:cs="Arial"/>
          <w:iCs/>
          <w:sz w:val="24"/>
          <w:szCs w:val="24"/>
        </w:rPr>
        <w:t>Sal</w:t>
      </w:r>
      <w:r w:rsidR="004312F8">
        <w:rPr>
          <w:rFonts w:ascii="Arial" w:hAnsi="Arial" w:cs="Arial"/>
          <w:iCs/>
          <w:sz w:val="24"/>
          <w:szCs w:val="24"/>
        </w:rPr>
        <w:t>es and profit growth driven by</w:t>
      </w:r>
      <w:r w:rsidR="000E057E">
        <w:rPr>
          <w:rFonts w:ascii="Arial" w:hAnsi="Arial" w:cs="Arial"/>
          <w:iCs/>
          <w:sz w:val="24"/>
          <w:szCs w:val="24"/>
        </w:rPr>
        <w:t>:</w:t>
      </w:r>
    </w:p>
    <w:p w:rsidR="004312F8" w:rsidRPr="004312F8" w:rsidRDefault="004312F8" w:rsidP="001C29A6">
      <w:pPr>
        <w:numPr>
          <w:ilvl w:val="1"/>
          <w:numId w:val="9"/>
        </w:numPr>
        <w:tabs>
          <w:tab w:val="left" w:pos="284"/>
        </w:tabs>
        <w:ind w:left="1208" w:hanging="357"/>
        <w:jc w:val="left"/>
        <w:rPr>
          <w:rFonts w:ascii="Arial" w:hAnsi="Arial" w:cs="Arial"/>
          <w:sz w:val="24"/>
          <w:szCs w:val="24"/>
        </w:rPr>
      </w:pPr>
      <w:r>
        <w:rPr>
          <w:rFonts w:ascii="Arial" w:hAnsi="Arial" w:cs="Arial"/>
          <w:sz w:val="24"/>
          <w:szCs w:val="24"/>
        </w:rPr>
        <w:t>Favourable weather patterns compared to Q1 last year</w:t>
      </w:r>
    </w:p>
    <w:p w:rsidR="004312F8" w:rsidRDefault="004312F8" w:rsidP="001C29A6">
      <w:pPr>
        <w:numPr>
          <w:ilvl w:val="1"/>
          <w:numId w:val="9"/>
        </w:numPr>
        <w:tabs>
          <w:tab w:val="left" w:pos="284"/>
        </w:tabs>
        <w:ind w:left="1208" w:hanging="357"/>
        <w:jc w:val="left"/>
        <w:rPr>
          <w:rFonts w:ascii="Arial" w:hAnsi="Arial" w:cs="Arial"/>
          <w:sz w:val="24"/>
          <w:szCs w:val="24"/>
        </w:rPr>
      </w:pPr>
      <w:r>
        <w:rPr>
          <w:rFonts w:ascii="Arial" w:hAnsi="Arial" w:cs="Arial"/>
          <w:sz w:val="24"/>
          <w:szCs w:val="24"/>
        </w:rPr>
        <w:t xml:space="preserve">Encouraging </w:t>
      </w:r>
      <w:r w:rsidR="007C73DD">
        <w:rPr>
          <w:rFonts w:ascii="Arial" w:hAnsi="Arial" w:cs="Arial"/>
          <w:sz w:val="24"/>
          <w:szCs w:val="24"/>
        </w:rPr>
        <w:t xml:space="preserve">underlying </w:t>
      </w:r>
      <w:r>
        <w:rPr>
          <w:rFonts w:ascii="Arial" w:hAnsi="Arial" w:cs="Arial"/>
          <w:sz w:val="24"/>
          <w:szCs w:val="24"/>
        </w:rPr>
        <w:t>signs in the UK &amp; Poland offset by ongoing weak consumer confidence in France</w:t>
      </w:r>
    </w:p>
    <w:p w:rsidR="0015013F" w:rsidRDefault="0015013F" w:rsidP="00906EED">
      <w:pPr>
        <w:numPr>
          <w:ilvl w:val="0"/>
          <w:numId w:val="9"/>
        </w:numPr>
        <w:tabs>
          <w:tab w:val="clear" w:pos="1080"/>
          <w:tab w:val="num" w:pos="0"/>
          <w:tab w:val="left" w:pos="284"/>
        </w:tabs>
        <w:ind w:left="0" w:firstLine="0"/>
        <w:jc w:val="left"/>
        <w:rPr>
          <w:rFonts w:ascii="Arial" w:hAnsi="Arial" w:cs="Arial"/>
          <w:sz w:val="24"/>
          <w:szCs w:val="24"/>
        </w:rPr>
      </w:pPr>
      <w:r>
        <w:rPr>
          <w:rFonts w:ascii="Arial" w:hAnsi="Arial" w:cs="Arial"/>
          <w:sz w:val="24"/>
          <w:szCs w:val="24"/>
        </w:rPr>
        <w:t xml:space="preserve">Commenced </w:t>
      </w:r>
      <w:r w:rsidR="004342E2">
        <w:rPr>
          <w:rFonts w:ascii="Arial" w:hAnsi="Arial" w:cs="Arial"/>
          <w:sz w:val="24"/>
          <w:szCs w:val="24"/>
        </w:rPr>
        <w:t xml:space="preserve">previously announced multi-year </w:t>
      </w:r>
      <w:r>
        <w:rPr>
          <w:rFonts w:ascii="Arial" w:hAnsi="Arial" w:cs="Arial"/>
          <w:sz w:val="24"/>
          <w:szCs w:val="24"/>
        </w:rPr>
        <w:t xml:space="preserve">capital returns </w:t>
      </w:r>
      <w:r w:rsidR="004342E2">
        <w:rPr>
          <w:rFonts w:ascii="Arial" w:hAnsi="Arial" w:cs="Arial"/>
          <w:sz w:val="24"/>
          <w:szCs w:val="24"/>
        </w:rPr>
        <w:t xml:space="preserve">programme to shareholders. Of the £200 million due to be returned in </w:t>
      </w:r>
      <w:r w:rsidR="00874228">
        <w:rPr>
          <w:rFonts w:ascii="Arial" w:hAnsi="Arial" w:cs="Arial"/>
          <w:sz w:val="24"/>
          <w:szCs w:val="24"/>
        </w:rPr>
        <w:t xml:space="preserve">FY </w:t>
      </w:r>
      <w:r w:rsidR="004342E2">
        <w:rPr>
          <w:rFonts w:ascii="Arial" w:hAnsi="Arial" w:cs="Arial"/>
          <w:sz w:val="24"/>
          <w:szCs w:val="24"/>
        </w:rPr>
        <w:t>2014/15:</w:t>
      </w:r>
    </w:p>
    <w:p w:rsidR="0015013F" w:rsidRDefault="00874228" w:rsidP="0015013F">
      <w:pPr>
        <w:numPr>
          <w:ilvl w:val="1"/>
          <w:numId w:val="9"/>
        </w:numPr>
        <w:tabs>
          <w:tab w:val="left" w:pos="284"/>
        </w:tabs>
        <w:ind w:left="1208" w:hanging="357"/>
        <w:jc w:val="left"/>
        <w:rPr>
          <w:rFonts w:ascii="Arial" w:hAnsi="Arial" w:cs="Arial"/>
          <w:sz w:val="24"/>
          <w:szCs w:val="24"/>
        </w:rPr>
      </w:pPr>
      <w:r>
        <w:rPr>
          <w:rFonts w:ascii="Arial" w:hAnsi="Arial" w:cs="Arial"/>
          <w:sz w:val="24"/>
          <w:szCs w:val="24"/>
        </w:rPr>
        <w:t>Around £35 million has been r</w:t>
      </w:r>
      <w:r w:rsidR="004342E2">
        <w:rPr>
          <w:rFonts w:ascii="Arial" w:hAnsi="Arial" w:cs="Arial"/>
          <w:sz w:val="24"/>
          <w:szCs w:val="24"/>
        </w:rPr>
        <w:t>e</w:t>
      </w:r>
      <w:r>
        <w:rPr>
          <w:rFonts w:ascii="Arial" w:hAnsi="Arial" w:cs="Arial"/>
          <w:sz w:val="24"/>
          <w:szCs w:val="24"/>
        </w:rPr>
        <w:t>turned via a share buy back</w:t>
      </w:r>
      <w:r w:rsidR="004342E2">
        <w:rPr>
          <w:rFonts w:ascii="Arial" w:hAnsi="Arial" w:cs="Arial"/>
          <w:sz w:val="24"/>
          <w:szCs w:val="24"/>
        </w:rPr>
        <w:t xml:space="preserve"> </w:t>
      </w:r>
      <w:r>
        <w:rPr>
          <w:rFonts w:ascii="Arial" w:hAnsi="Arial" w:cs="Arial"/>
          <w:sz w:val="24"/>
          <w:szCs w:val="24"/>
        </w:rPr>
        <w:t>(</w:t>
      </w:r>
      <w:r w:rsidR="0015013F">
        <w:rPr>
          <w:rFonts w:ascii="Arial" w:hAnsi="Arial" w:cs="Arial"/>
          <w:sz w:val="24"/>
          <w:szCs w:val="24"/>
        </w:rPr>
        <w:t>8.5 million</w:t>
      </w:r>
      <w:r w:rsidR="0015013F" w:rsidRPr="00AB1F67">
        <w:rPr>
          <w:rFonts w:ascii="Arial" w:hAnsi="Arial" w:cs="Arial"/>
          <w:sz w:val="24"/>
          <w:szCs w:val="24"/>
        </w:rPr>
        <w:t xml:space="preserve"> shares</w:t>
      </w:r>
      <w:r>
        <w:rPr>
          <w:rFonts w:ascii="Arial" w:hAnsi="Arial" w:cs="Arial"/>
          <w:sz w:val="24"/>
          <w:szCs w:val="24"/>
        </w:rPr>
        <w:t>)</w:t>
      </w:r>
      <w:r w:rsidR="0015013F" w:rsidRPr="00AB1F67">
        <w:rPr>
          <w:rFonts w:ascii="Arial" w:hAnsi="Arial" w:cs="Arial"/>
          <w:sz w:val="24"/>
          <w:szCs w:val="24"/>
        </w:rPr>
        <w:t xml:space="preserve"> </w:t>
      </w:r>
      <w:r w:rsidR="0015013F" w:rsidRPr="00071164">
        <w:rPr>
          <w:rFonts w:ascii="Arial" w:hAnsi="Arial" w:cs="Arial"/>
          <w:sz w:val="24"/>
          <w:szCs w:val="24"/>
        </w:rPr>
        <w:t xml:space="preserve"> </w:t>
      </w:r>
    </w:p>
    <w:p w:rsidR="0015013F" w:rsidRPr="00F65ED9" w:rsidRDefault="0015013F" w:rsidP="00586E7A">
      <w:pPr>
        <w:numPr>
          <w:ilvl w:val="1"/>
          <w:numId w:val="9"/>
        </w:numPr>
        <w:tabs>
          <w:tab w:val="left" w:pos="284"/>
        </w:tabs>
        <w:ind w:left="1208" w:hanging="357"/>
        <w:jc w:val="left"/>
        <w:rPr>
          <w:rFonts w:ascii="Arial" w:hAnsi="Arial" w:cs="Arial"/>
          <w:sz w:val="24"/>
          <w:szCs w:val="24"/>
        </w:rPr>
      </w:pPr>
      <w:r w:rsidRPr="009F1615">
        <w:rPr>
          <w:rFonts w:ascii="Arial" w:hAnsi="Arial" w:cs="Arial"/>
          <w:sz w:val="24"/>
          <w:szCs w:val="24"/>
        </w:rPr>
        <w:t>A</w:t>
      </w:r>
      <w:r w:rsidR="00874228">
        <w:rPr>
          <w:rFonts w:ascii="Arial" w:hAnsi="Arial" w:cs="Arial"/>
          <w:sz w:val="24"/>
          <w:szCs w:val="24"/>
        </w:rPr>
        <w:t>round £100 million to be returned via a special dividend announced today (</w:t>
      </w:r>
      <w:r w:rsidR="00F65ED9">
        <w:rPr>
          <w:rFonts w:ascii="Arial" w:hAnsi="Arial" w:cs="Arial"/>
          <w:sz w:val="24"/>
          <w:szCs w:val="24"/>
        </w:rPr>
        <w:t>4.2</w:t>
      </w:r>
      <w:r w:rsidR="009161A7" w:rsidRPr="009F1615">
        <w:rPr>
          <w:rFonts w:ascii="Arial" w:hAnsi="Arial" w:cs="Arial"/>
          <w:sz w:val="24"/>
          <w:szCs w:val="24"/>
        </w:rPr>
        <w:t>p per share</w:t>
      </w:r>
      <w:r w:rsidR="00874228">
        <w:rPr>
          <w:rFonts w:ascii="Arial" w:hAnsi="Arial" w:cs="Arial"/>
          <w:sz w:val="24"/>
          <w:szCs w:val="24"/>
        </w:rPr>
        <w:t>)</w:t>
      </w:r>
      <w:r w:rsidR="004342E2">
        <w:rPr>
          <w:rFonts w:ascii="Arial" w:hAnsi="Arial" w:cs="Arial"/>
          <w:sz w:val="24"/>
          <w:szCs w:val="24"/>
        </w:rPr>
        <w:t xml:space="preserve"> - </w:t>
      </w:r>
      <w:r w:rsidR="00065087" w:rsidRPr="009F1615">
        <w:rPr>
          <w:rFonts w:ascii="Arial" w:hAnsi="Arial" w:cs="Arial"/>
          <w:i/>
          <w:sz w:val="24"/>
          <w:szCs w:val="24"/>
        </w:rPr>
        <w:t>see note on page 7</w:t>
      </w:r>
    </w:p>
    <w:p w:rsidR="00C7222B" w:rsidRPr="005C70F0" w:rsidRDefault="00C7222B" w:rsidP="00906EED">
      <w:pPr>
        <w:numPr>
          <w:ilvl w:val="0"/>
          <w:numId w:val="9"/>
        </w:numPr>
        <w:tabs>
          <w:tab w:val="clear" w:pos="1080"/>
          <w:tab w:val="num" w:pos="0"/>
          <w:tab w:val="left" w:pos="284"/>
        </w:tabs>
        <w:ind w:left="0" w:firstLine="0"/>
        <w:jc w:val="left"/>
        <w:rPr>
          <w:rFonts w:ascii="Arial" w:hAnsi="Arial" w:cs="Arial"/>
          <w:sz w:val="24"/>
          <w:szCs w:val="24"/>
        </w:rPr>
      </w:pPr>
      <w:r w:rsidRPr="005C70F0">
        <w:rPr>
          <w:rFonts w:ascii="Arial" w:hAnsi="Arial" w:cs="Arial"/>
          <w:iCs/>
          <w:sz w:val="24"/>
          <w:szCs w:val="24"/>
        </w:rPr>
        <w:t>Progress continued with our ‘Creating the Leader’ programme of self-help initiatives</w:t>
      </w:r>
      <w:r w:rsidR="000E057E">
        <w:rPr>
          <w:rFonts w:ascii="Arial" w:hAnsi="Arial" w:cs="Arial"/>
          <w:iCs/>
          <w:sz w:val="24"/>
          <w:szCs w:val="24"/>
        </w:rPr>
        <w:t>:</w:t>
      </w:r>
    </w:p>
    <w:p w:rsidR="00C7222B" w:rsidRPr="005C70F0" w:rsidRDefault="00C7222B" w:rsidP="001C29A6">
      <w:pPr>
        <w:numPr>
          <w:ilvl w:val="1"/>
          <w:numId w:val="9"/>
        </w:numPr>
        <w:tabs>
          <w:tab w:val="left" w:pos="284"/>
        </w:tabs>
        <w:ind w:left="1208" w:hanging="357"/>
        <w:jc w:val="left"/>
        <w:rPr>
          <w:rFonts w:ascii="Arial" w:hAnsi="Arial" w:cs="Arial"/>
          <w:sz w:val="24"/>
          <w:szCs w:val="24"/>
        </w:rPr>
      </w:pPr>
      <w:r w:rsidRPr="005C70F0">
        <w:rPr>
          <w:rFonts w:ascii="Arial" w:hAnsi="Arial" w:cs="Arial"/>
          <w:iCs/>
          <w:sz w:val="24"/>
          <w:szCs w:val="24"/>
        </w:rPr>
        <w:t xml:space="preserve">Received </w:t>
      </w:r>
      <w:r w:rsidRPr="005D1C90">
        <w:rPr>
          <w:rFonts w:ascii="Arial" w:hAnsi="Arial" w:cs="Arial"/>
          <w:iCs/>
          <w:sz w:val="24"/>
          <w:szCs w:val="24"/>
        </w:rPr>
        <w:t>proceeds of</w:t>
      </w:r>
      <w:r w:rsidR="00DD38F8" w:rsidRPr="005D1C90">
        <w:rPr>
          <w:rFonts w:ascii="Arial" w:hAnsi="Arial" w:cs="Arial"/>
          <w:iCs/>
          <w:sz w:val="24"/>
          <w:szCs w:val="24"/>
        </w:rPr>
        <w:t xml:space="preserve"> </w:t>
      </w:r>
      <w:r w:rsidR="006D4F90" w:rsidRPr="005D1C90">
        <w:rPr>
          <w:rFonts w:ascii="Arial" w:hAnsi="Arial" w:cs="Arial"/>
          <w:iCs/>
          <w:sz w:val="24"/>
          <w:szCs w:val="24"/>
        </w:rPr>
        <w:t>€236</w:t>
      </w:r>
      <w:r w:rsidRPr="005D1C90">
        <w:rPr>
          <w:rFonts w:ascii="Arial" w:hAnsi="Arial" w:cs="Arial"/>
          <w:iCs/>
          <w:sz w:val="24"/>
          <w:szCs w:val="24"/>
        </w:rPr>
        <w:t xml:space="preserve"> million following the disposal of the Group’s 21% stake in Hornbach in March 2014</w:t>
      </w:r>
    </w:p>
    <w:p w:rsidR="005C70F0" w:rsidRPr="005C70F0" w:rsidRDefault="004312F8" w:rsidP="001C29A6">
      <w:pPr>
        <w:numPr>
          <w:ilvl w:val="1"/>
          <w:numId w:val="9"/>
        </w:numPr>
        <w:tabs>
          <w:tab w:val="left" w:pos="284"/>
        </w:tabs>
        <w:ind w:left="1208" w:hanging="357"/>
        <w:jc w:val="left"/>
        <w:rPr>
          <w:rFonts w:ascii="Arial" w:hAnsi="Arial" w:cs="Arial"/>
          <w:sz w:val="24"/>
          <w:szCs w:val="24"/>
        </w:rPr>
      </w:pPr>
      <w:r>
        <w:rPr>
          <w:rFonts w:ascii="Arial" w:hAnsi="Arial" w:cs="Arial"/>
          <w:iCs/>
          <w:sz w:val="24"/>
          <w:szCs w:val="24"/>
        </w:rPr>
        <w:t>Continued e</w:t>
      </w:r>
      <w:r w:rsidR="005C70F0" w:rsidRPr="005C70F0">
        <w:rPr>
          <w:rFonts w:ascii="Arial" w:hAnsi="Arial" w:cs="Arial"/>
          <w:iCs/>
          <w:sz w:val="24"/>
          <w:szCs w:val="24"/>
        </w:rPr>
        <w:t xml:space="preserve">xclusive negotiations </w:t>
      </w:r>
      <w:r w:rsidR="00D73C8B">
        <w:rPr>
          <w:rFonts w:ascii="Arial" w:hAnsi="Arial" w:cs="Arial"/>
          <w:iCs/>
          <w:sz w:val="24"/>
          <w:szCs w:val="24"/>
        </w:rPr>
        <w:t xml:space="preserve">to acquire </w:t>
      </w:r>
      <w:r>
        <w:rPr>
          <w:rFonts w:ascii="Arial" w:hAnsi="Arial" w:cs="Arial"/>
          <w:iCs/>
          <w:sz w:val="24"/>
          <w:szCs w:val="24"/>
        </w:rPr>
        <w:t>Mr Bricolage</w:t>
      </w:r>
      <w:r w:rsidR="00D73C8B">
        <w:rPr>
          <w:rFonts w:ascii="Arial" w:hAnsi="Arial" w:cs="Arial"/>
          <w:iCs/>
          <w:sz w:val="24"/>
          <w:szCs w:val="24"/>
        </w:rPr>
        <w:t xml:space="preserve"> in France</w:t>
      </w:r>
      <w:r>
        <w:rPr>
          <w:rFonts w:ascii="Arial" w:hAnsi="Arial" w:cs="Arial"/>
          <w:iCs/>
          <w:sz w:val="24"/>
          <w:szCs w:val="24"/>
        </w:rPr>
        <w:t xml:space="preserve"> </w:t>
      </w:r>
    </w:p>
    <w:p w:rsidR="00F65ED9" w:rsidRPr="00F65ED9" w:rsidRDefault="00800E1F">
      <w:pPr>
        <w:numPr>
          <w:ilvl w:val="1"/>
          <w:numId w:val="9"/>
        </w:numPr>
        <w:tabs>
          <w:tab w:val="left" w:pos="284"/>
        </w:tabs>
        <w:ind w:left="1208" w:hanging="357"/>
        <w:jc w:val="left"/>
        <w:rPr>
          <w:rFonts w:ascii="Arial" w:hAnsi="Arial" w:cs="Arial"/>
          <w:sz w:val="24"/>
          <w:szCs w:val="24"/>
        </w:rPr>
      </w:pPr>
      <w:r>
        <w:rPr>
          <w:rFonts w:ascii="Arial" w:hAnsi="Arial" w:cs="Arial"/>
          <w:iCs/>
          <w:sz w:val="24"/>
          <w:szCs w:val="24"/>
        </w:rPr>
        <w:t>F</w:t>
      </w:r>
      <w:r w:rsidR="005C70F0" w:rsidRPr="005C70F0">
        <w:rPr>
          <w:rFonts w:ascii="Arial" w:hAnsi="Arial" w:cs="Arial"/>
          <w:iCs/>
          <w:sz w:val="24"/>
          <w:szCs w:val="24"/>
        </w:rPr>
        <w:t>irst Brico Dépôt store</w:t>
      </w:r>
      <w:r w:rsidR="004312F8">
        <w:rPr>
          <w:rFonts w:ascii="Arial" w:hAnsi="Arial" w:cs="Arial"/>
          <w:iCs/>
          <w:sz w:val="24"/>
          <w:szCs w:val="24"/>
        </w:rPr>
        <w:t xml:space="preserve"> in Portugal</w:t>
      </w:r>
      <w:r>
        <w:rPr>
          <w:rFonts w:ascii="Arial" w:hAnsi="Arial" w:cs="Arial"/>
          <w:iCs/>
          <w:sz w:val="24"/>
          <w:szCs w:val="24"/>
        </w:rPr>
        <w:t xml:space="preserve"> now open</w:t>
      </w:r>
    </w:p>
    <w:p w:rsidR="007C73DD" w:rsidRPr="009F1615" w:rsidRDefault="007C73DD" w:rsidP="009F1615">
      <w:pPr>
        <w:jc w:val="left"/>
        <w:rPr>
          <w:rFonts w:ascii="Arial" w:hAnsi="Arial" w:cs="Arial"/>
          <w:sz w:val="18"/>
          <w:szCs w:val="18"/>
        </w:rPr>
      </w:pPr>
    </w:p>
    <w:p w:rsidR="00F65ED9" w:rsidRPr="009F1615" w:rsidRDefault="00F65ED9" w:rsidP="009F1615">
      <w:pPr>
        <w:jc w:val="left"/>
        <w:rPr>
          <w:rFonts w:ascii="Arial" w:hAnsi="Arial" w:cs="Arial"/>
          <w:i/>
          <w:sz w:val="24"/>
          <w:szCs w:val="24"/>
        </w:rPr>
      </w:pPr>
    </w:p>
    <w:p w:rsidR="004D7983" w:rsidRDefault="004D7983" w:rsidP="009F1615">
      <w:pPr>
        <w:jc w:val="left"/>
      </w:pPr>
      <w:r>
        <w:rPr>
          <w:rFonts w:ascii="Arial" w:hAnsi="Arial" w:cs="Arial"/>
          <w:b/>
          <w:sz w:val="24"/>
          <w:szCs w:val="24"/>
        </w:rPr>
        <w:t xml:space="preserve">Sir </w:t>
      </w:r>
      <w:r w:rsidR="001920A3" w:rsidRPr="00B67FD7">
        <w:rPr>
          <w:rFonts w:ascii="Arial" w:hAnsi="Arial" w:cs="Arial"/>
          <w:b/>
          <w:sz w:val="24"/>
          <w:szCs w:val="24"/>
        </w:rPr>
        <w:t>Ian Cheshire, Group Chief Executive, said:</w:t>
      </w:r>
    </w:p>
    <w:p w:rsidR="004D7983" w:rsidRDefault="004D7983" w:rsidP="001C29A6">
      <w:pPr>
        <w:autoSpaceDE w:val="0"/>
        <w:autoSpaceDN w:val="0"/>
        <w:jc w:val="left"/>
        <w:rPr>
          <w:rFonts w:ascii="Arial" w:hAnsi="Arial" w:cs="Arial"/>
          <w:sz w:val="24"/>
          <w:szCs w:val="24"/>
        </w:rPr>
      </w:pPr>
      <w:r>
        <w:rPr>
          <w:rFonts w:ascii="Arial" w:hAnsi="Arial" w:cs="Arial"/>
          <w:sz w:val="24"/>
          <w:szCs w:val="24"/>
        </w:rPr>
        <w:t xml:space="preserve">“We have made a strong start to the year, capitalising on more favourable weather conditions right across Europe to achieve sales and profit growth in </w:t>
      </w:r>
      <w:r w:rsidR="00823217">
        <w:rPr>
          <w:rFonts w:ascii="Arial" w:hAnsi="Arial" w:cs="Arial"/>
          <w:sz w:val="24"/>
          <w:szCs w:val="24"/>
        </w:rPr>
        <w:t xml:space="preserve">France, the UK &amp; Poland, our </w:t>
      </w:r>
      <w:r>
        <w:rPr>
          <w:rFonts w:ascii="Arial" w:hAnsi="Arial" w:cs="Arial"/>
          <w:sz w:val="24"/>
          <w:szCs w:val="24"/>
        </w:rPr>
        <w:t xml:space="preserve">three </w:t>
      </w:r>
      <w:r w:rsidR="00823217">
        <w:rPr>
          <w:rFonts w:ascii="Arial" w:hAnsi="Arial" w:cs="Arial"/>
          <w:sz w:val="24"/>
          <w:szCs w:val="24"/>
        </w:rPr>
        <w:t xml:space="preserve">largest </w:t>
      </w:r>
      <w:r w:rsidR="00631501">
        <w:rPr>
          <w:rFonts w:ascii="Arial" w:hAnsi="Arial" w:cs="Arial"/>
          <w:sz w:val="24"/>
          <w:szCs w:val="24"/>
        </w:rPr>
        <w:t>markets</w:t>
      </w:r>
      <w:r>
        <w:rPr>
          <w:rFonts w:ascii="Arial" w:hAnsi="Arial" w:cs="Arial"/>
          <w:sz w:val="24"/>
          <w:szCs w:val="24"/>
        </w:rPr>
        <w:t>. Whilst this is encouraging</w:t>
      </w:r>
      <w:r w:rsidR="00AC3E8D">
        <w:rPr>
          <w:rFonts w:ascii="Arial" w:hAnsi="Arial" w:cs="Arial"/>
          <w:sz w:val="24"/>
          <w:szCs w:val="24"/>
        </w:rPr>
        <w:t xml:space="preserve">, </w:t>
      </w:r>
      <w:r>
        <w:rPr>
          <w:rFonts w:ascii="Arial" w:hAnsi="Arial" w:cs="Arial"/>
          <w:sz w:val="24"/>
          <w:szCs w:val="24"/>
        </w:rPr>
        <w:t>the first quarter is one of our smallest and the growth achieved largely reflects</w:t>
      </w:r>
      <w:r w:rsidR="00D73C8B">
        <w:rPr>
          <w:rFonts w:ascii="Arial" w:hAnsi="Arial" w:cs="Arial"/>
          <w:sz w:val="24"/>
          <w:szCs w:val="24"/>
        </w:rPr>
        <w:t xml:space="preserve"> comparisons with the very difficult start t</w:t>
      </w:r>
      <w:r w:rsidR="00AC3E8D">
        <w:rPr>
          <w:rFonts w:ascii="Arial" w:hAnsi="Arial" w:cs="Arial"/>
          <w:sz w:val="24"/>
          <w:szCs w:val="24"/>
        </w:rPr>
        <w:t xml:space="preserve">o </w:t>
      </w:r>
      <w:r w:rsidR="00D73C8B">
        <w:rPr>
          <w:rFonts w:ascii="Arial" w:hAnsi="Arial" w:cs="Arial"/>
          <w:sz w:val="24"/>
          <w:szCs w:val="24"/>
        </w:rPr>
        <w:t>last year</w:t>
      </w:r>
      <w:r>
        <w:rPr>
          <w:rFonts w:ascii="Arial" w:hAnsi="Arial" w:cs="Arial"/>
          <w:sz w:val="24"/>
          <w:szCs w:val="24"/>
        </w:rPr>
        <w:t xml:space="preserve">. We will annualise stronger figures in our second quarter and so, as ever, we will look at the whole of the first half results to properly assess our underlying performance. </w:t>
      </w:r>
    </w:p>
    <w:p w:rsidR="004D7983" w:rsidRDefault="004D7983" w:rsidP="004D7983">
      <w:pPr>
        <w:autoSpaceDE w:val="0"/>
        <w:autoSpaceDN w:val="0"/>
        <w:rPr>
          <w:rFonts w:ascii="Arial" w:hAnsi="Arial" w:cs="Arial"/>
          <w:sz w:val="24"/>
          <w:szCs w:val="24"/>
        </w:rPr>
      </w:pPr>
    </w:p>
    <w:p w:rsidR="00065087" w:rsidRPr="009F1615" w:rsidRDefault="004D7983" w:rsidP="00586E7A">
      <w:pPr>
        <w:autoSpaceDE w:val="0"/>
        <w:autoSpaceDN w:val="0"/>
        <w:jc w:val="left"/>
        <w:rPr>
          <w:rFonts w:ascii="Arial" w:hAnsi="Arial" w:cs="Arial"/>
          <w:sz w:val="24"/>
          <w:szCs w:val="24"/>
        </w:rPr>
      </w:pPr>
      <w:r>
        <w:rPr>
          <w:rFonts w:ascii="Arial" w:hAnsi="Arial" w:cs="Arial"/>
          <w:sz w:val="24"/>
          <w:szCs w:val="24"/>
        </w:rPr>
        <w:t>“</w:t>
      </w:r>
      <w:r w:rsidR="00D03E4F">
        <w:rPr>
          <w:rFonts w:ascii="Arial" w:hAnsi="Arial" w:cs="Arial"/>
          <w:sz w:val="24"/>
          <w:szCs w:val="24"/>
        </w:rPr>
        <w:t xml:space="preserve">Our ‘Creating the Leader’ programme continues to progress well. </w:t>
      </w:r>
      <w:r>
        <w:rPr>
          <w:rFonts w:ascii="Arial" w:hAnsi="Arial" w:cs="Arial"/>
          <w:sz w:val="24"/>
          <w:szCs w:val="24"/>
        </w:rPr>
        <w:t xml:space="preserve">We have also made a good start with our </w:t>
      </w:r>
      <w:r w:rsidR="00D73C8B">
        <w:rPr>
          <w:rFonts w:ascii="Arial" w:hAnsi="Arial" w:cs="Arial"/>
          <w:sz w:val="24"/>
          <w:szCs w:val="24"/>
        </w:rPr>
        <w:t xml:space="preserve">key </w:t>
      </w:r>
      <w:r>
        <w:rPr>
          <w:rFonts w:ascii="Arial" w:hAnsi="Arial" w:cs="Arial"/>
          <w:sz w:val="24"/>
          <w:szCs w:val="24"/>
        </w:rPr>
        <w:t>corporate priorities this year having completed the sale of our stake in Hornbach, entered exclusive negotiations to acquire Mr Bricolage in France, opened our first store in Portugal and started to return surplus capital to shareholders. Furthermore, our self-help initiatives continue to underpin our results and as we enter the key summer trading period our focus remains on driving cash margin</w:t>
      </w:r>
      <w:r w:rsidR="00E85D08">
        <w:rPr>
          <w:rFonts w:ascii="Arial" w:hAnsi="Arial" w:cs="Arial"/>
          <w:sz w:val="24"/>
          <w:szCs w:val="24"/>
        </w:rPr>
        <w:t>*</w:t>
      </w:r>
      <w:r>
        <w:rPr>
          <w:rFonts w:ascii="Arial" w:hAnsi="Arial" w:cs="Arial"/>
          <w:sz w:val="24"/>
          <w:szCs w:val="24"/>
        </w:rPr>
        <w:t xml:space="preserve">, managing costs tightly and </w:t>
      </w:r>
      <w:r w:rsidR="006D4F90">
        <w:rPr>
          <w:rFonts w:ascii="Arial" w:hAnsi="Arial" w:cs="Arial"/>
          <w:sz w:val="24"/>
          <w:szCs w:val="24"/>
        </w:rPr>
        <w:t xml:space="preserve">delivering </w:t>
      </w:r>
      <w:r>
        <w:rPr>
          <w:rFonts w:ascii="Arial" w:hAnsi="Arial" w:cs="Arial"/>
          <w:sz w:val="24"/>
          <w:szCs w:val="24"/>
        </w:rPr>
        <w:t xml:space="preserve"> shareholder returns.”</w:t>
      </w:r>
    </w:p>
    <w:p w:rsidR="00574113" w:rsidRPr="00F50885" w:rsidRDefault="00FD57E1" w:rsidP="00226B46">
      <w:pPr>
        <w:jc w:val="left"/>
        <w:rPr>
          <w:rFonts w:ascii="Arial" w:hAnsi="Arial" w:cs="Arial"/>
          <w:b/>
          <w:sz w:val="24"/>
          <w:szCs w:val="24"/>
        </w:rPr>
      </w:pPr>
      <w:r w:rsidRPr="00F50885">
        <w:rPr>
          <w:rFonts w:ascii="Arial" w:hAnsi="Arial" w:cs="Arial"/>
          <w:b/>
          <w:sz w:val="24"/>
          <w:szCs w:val="24"/>
        </w:rPr>
        <w:lastRenderedPageBreak/>
        <w:t>Q</w:t>
      </w:r>
      <w:r w:rsidR="00601F78">
        <w:rPr>
          <w:rFonts w:ascii="Arial" w:hAnsi="Arial" w:cs="Arial"/>
          <w:b/>
          <w:sz w:val="24"/>
          <w:szCs w:val="24"/>
        </w:rPr>
        <w:t>1</w:t>
      </w:r>
      <w:r w:rsidR="001920A3" w:rsidRPr="00F50885">
        <w:rPr>
          <w:rFonts w:ascii="Arial" w:hAnsi="Arial" w:cs="Arial"/>
          <w:b/>
          <w:sz w:val="24"/>
          <w:szCs w:val="24"/>
        </w:rPr>
        <w:t xml:space="preserve"> </w:t>
      </w:r>
      <w:r w:rsidR="0028321F">
        <w:rPr>
          <w:rFonts w:ascii="Arial" w:hAnsi="Arial" w:cs="Arial"/>
          <w:b/>
          <w:sz w:val="24"/>
          <w:szCs w:val="24"/>
        </w:rPr>
        <w:t>TRADING REVIEW BY MAJOR GEOGRAPHY</w:t>
      </w:r>
    </w:p>
    <w:p w:rsidR="00574113" w:rsidRPr="00FD57E1" w:rsidRDefault="00574113" w:rsidP="00417DF1">
      <w:pPr>
        <w:autoSpaceDE w:val="0"/>
        <w:autoSpaceDN w:val="0"/>
        <w:adjustRightInd w:val="0"/>
        <w:jc w:val="left"/>
        <w:rPr>
          <w:rFonts w:ascii="Arial" w:hAnsi="Arial" w:cs="Arial"/>
          <w:b/>
          <w:color w:val="FF0000"/>
          <w:sz w:val="24"/>
          <w:szCs w:val="24"/>
        </w:rPr>
      </w:pPr>
    </w:p>
    <w:p w:rsidR="001920A3" w:rsidRPr="001A35EE" w:rsidRDefault="009534C2" w:rsidP="00417DF1">
      <w:pPr>
        <w:autoSpaceDE w:val="0"/>
        <w:autoSpaceDN w:val="0"/>
        <w:adjustRightInd w:val="0"/>
        <w:jc w:val="left"/>
        <w:rPr>
          <w:rFonts w:ascii="Arial" w:hAnsi="Arial" w:cs="Arial"/>
          <w:sz w:val="24"/>
          <w:szCs w:val="24"/>
        </w:rPr>
      </w:pPr>
      <w:r>
        <w:rPr>
          <w:rFonts w:ascii="Arial" w:hAnsi="Arial" w:cs="Arial"/>
          <w:b/>
          <w:sz w:val="24"/>
          <w:szCs w:val="24"/>
        </w:rPr>
        <w:t>FRANCE</w:t>
      </w:r>
    </w:p>
    <w:p w:rsidR="001920A3" w:rsidRPr="00FD57E1" w:rsidRDefault="001920A3" w:rsidP="000861DC">
      <w:pPr>
        <w:jc w:val="left"/>
        <w:rPr>
          <w:rFonts w:ascii="Arial" w:hAnsi="Arial" w:cs="Arial"/>
          <w:color w:val="FF0000"/>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294"/>
        <w:gridCol w:w="1273"/>
        <w:gridCol w:w="1697"/>
        <w:gridCol w:w="1844"/>
        <w:gridCol w:w="1134"/>
      </w:tblGrid>
      <w:tr w:rsidR="007F3348" w:rsidRPr="00FD57E1" w:rsidTr="00E41292">
        <w:tc>
          <w:tcPr>
            <w:tcW w:w="1296" w:type="pct"/>
            <w:tcBorders>
              <w:bottom w:val="nil"/>
            </w:tcBorders>
          </w:tcPr>
          <w:p w:rsidR="001920A3" w:rsidRPr="001A35EE" w:rsidRDefault="001920A3" w:rsidP="00FE458E">
            <w:pPr>
              <w:rPr>
                <w:rFonts w:ascii="Arial" w:hAnsi="Arial" w:cs="Arial"/>
                <w:sz w:val="24"/>
                <w:szCs w:val="24"/>
              </w:rPr>
            </w:pPr>
            <w:r w:rsidRPr="001A35EE">
              <w:rPr>
                <w:rFonts w:ascii="Arial" w:hAnsi="Arial" w:cs="Arial"/>
                <w:b/>
                <w:sz w:val="24"/>
                <w:szCs w:val="24"/>
              </w:rPr>
              <w:t>Sales £m</w:t>
            </w:r>
          </w:p>
        </w:tc>
        <w:tc>
          <w:tcPr>
            <w:tcW w:w="662" w:type="pct"/>
            <w:tcBorders>
              <w:bottom w:val="nil"/>
            </w:tcBorders>
          </w:tcPr>
          <w:p w:rsidR="001920A3" w:rsidRPr="00FD57E1" w:rsidRDefault="001920A3" w:rsidP="00FE458E">
            <w:pPr>
              <w:jc w:val="right"/>
              <w:rPr>
                <w:rFonts w:ascii="Arial" w:hAnsi="Arial" w:cs="Arial"/>
                <w:b/>
                <w:color w:val="FF0000"/>
                <w:sz w:val="24"/>
                <w:szCs w:val="24"/>
              </w:rPr>
            </w:pPr>
            <w:r w:rsidRPr="001A35EE">
              <w:rPr>
                <w:rFonts w:ascii="Arial" w:hAnsi="Arial" w:cs="Arial"/>
                <w:b/>
                <w:sz w:val="24"/>
                <w:szCs w:val="24"/>
              </w:rPr>
              <w:t>201</w:t>
            </w:r>
            <w:r w:rsidR="00FF733A">
              <w:rPr>
                <w:rFonts w:ascii="Arial" w:hAnsi="Arial" w:cs="Arial"/>
                <w:b/>
                <w:sz w:val="24"/>
                <w:szCs w:val="24"/>
              </w:rPr>
              <w:t>4</w:t>
            </w:r>
            <w:r w:rsidRPr="001A35EE">
              <w:rPr>
                <w:rFonts w:ascii="Arial" w:hAnsi="Arial" w:cs="Arial"/>
                <w:b/>
                <w:sz w:val="24"/>
                <w:szCs w:val="24"/>
              </w:rPr>
              <w:t>/1</w:t>
            </w:r>
            <w:r w:rsidR="00FF733A">
              <w:rPr>
                <w:rFonts w:ascii="Arial" w:hAnsi="Arial" w:cs="Arial"/>
                <w:b/>
                <w:sz w:val="24"/>
                <w:szCs w:val="24"/>
              </w:rPr>
              <w:t>5</w:t>
            </w:r>
          </w:p>
        </w:tc>
        <w:tc>
          <w:tcPr>
            <w:tcW w:w="651" w:type="pct"/>
            <w:tcBorders>
              <w:bottom w:val="nil"/>
            </w:tcBorders>
          </w:tcPr>
          <w:p w:rsidR="001920A3" w:rsidRPr="00FD57E1" w:rsidRDefault="00FF733A" w:rsidP="00FE458E">
            <w:pPr>
              <w:jc w:val="right"/>
              <w:rPr>
                <w:rFonts w:ascii="Arial" w:hAnsi="Arial" w:cs="Arial"/>
                <w:b/>
                <w:color w:val="FF0000"/>
                <w:sz w:val="24"/>
                <w:szCs w:val="24"/>
              </w:rPr>
            </w:pPr>
            <w:r w:rsidRPr="001A35EE">
              <w:rPr>
                <w:rFonts w:ascii="Arial" w:hAnsi="Arial" w:cs="Arial"/>
                <w:b/>
                <w:sz w:val="24"/>
                <w:szCs w:val="24"/>
              </w:rPr>
              <w:t>201</w:t>
            </w:r>
            <w:r>
              <w:rPr>
                <w:rFonts w:ascii="Arial" w:hAnsi="Arial" w:cs="Arial"/>
                <w:b/>
                <w:sz w:val="24"/>
                <w:szCs w:val="24"/>
              </w:rPr>
              <w:t>3</w:t>
            </w:r>
            <w:r w:rsidRPr="001A35EE">
              <w:rPr>
                <w:rFonts w:ascii="Arial" w:hAnsi="Arial" w:cs="Arial"/>
                <w:b/>
                <w:sz w:val="24"/>
                <w:szCs w:val="24"/>
              </w:rPr>
              <w:t>/1</w:t>
            </w:r>
            <w:r>
              <w:rPr>
                <w:rFonts w:ascii="Arial" w:hAnsi="Arial" w:cs="Arial"/>
                <w:b/>
                <w:sz w:val="24"/>
                <w:szCs w:val="24"/>
              </w:rPr>
              <w:t>4</w:t>
            </w:r>
          </w:p>
        </w:tc>
        <w:tc>
          <w:tcPr>
            <w:tcW w:w="868" w:type="pct"/>
            <w:tcBorders>
              <w:bottom w:val="nil"/>
            </w:tcBorders>
          </w:tcPr>
          <w:p w:rsidR="001920A3" w:rsidRPr="001A35EE" w:rsidRDefault="001920A3" w:rsidP="007F3348">
            <w:pPr>
              <w:jc w:val="right"/>
              <w:rPr>
                <w:rFonts w:ascii="Arial" w:hAnsi="Arial" w:cs="Arial"/>
                <w:b/>
                <w:sz w:val="24"/>
                <w:szCs w:val="24"/>
              </w:rPr>
            </w:pPr>
            <w:r w:rsidRPr="001A35EE">
              <w:rPr>
                <w:rFonts w:ascii="Arial" w:hAnsi="Arial" w:cs="Arial"/>
                <w:b/>
                <w:sz w:val="24"/>
                <w:szCs w:val="24"/>
              </w:rPr>
              <w:t xml:space="preserve">% </w:t>
            </w:r>
            <w:r w:rsidR="007F3348">
              <w:rPr>
                <w:rFonts w:ascii="Arial" w:hAnsi="Arial" w:cs="Arial"/>
                <w:b/>
                <w:sz w:val="24"/>
                <w:szCs w:val="24"/>
              </w:rPr>
              <w:t>Total Change Reported</w:t>
            </w:r>
            <w:r w:rsidRPr="001A35EE">
              <w:rPr>
                <w:rFonts w:ascii="Arial" w:hAnsi="Arial" w:cs="Arial"/>
                <w:b/>
                <w:sz w:val="24"/>
                <w:szCs w:val="24"/>
              </w:rPr>
              <w:t xml:space="preserve"> </w:t>
            </w:r>
          </w:p>
        </w:tc>
        <w:tc>
          <w:tcPr>
            <w:tcW w:w="943" w:type="pct"/>
            <w:tcBorders>
              <w:bottom w:val="nil"/>
            </w:tcBorders>
          </w:tcPr>
          <w:p w:rsidR="001920A3" w:rsidRPr="001A35EE" w:rsidRDefault="001920A3" w:rsidP="00FE458E">
            <w:pPr>
              <w:jc w:val="right"/>
              <w:rPr>
                <w:rFonts w:ascii="Arial" w:hAnsi="Arial" w:cs="Arial"/>
                <w:b/>
                <w:sz w:val="24"/>
                <w:szCs w:val="24"/>
              </w:rPr>
            </w:pPr>
            <w:r w:rsidRPr="001A35EE">
              <w:rPr>
                <w:rFonts w:ascii="Arial" w:hAnsi="Arial" w:cs="Arial"/>
                <w:b/>
                <w:sz w:val="24"/>
                <w:szCs w:val="24"/>
              </w:rPr>
              <w:t xml:space="preserve">% </w:t>
            </w:r>
            <w:r w:rsidR="007F3348">
              <w:rPr>
                <w:rFonts w:ascii="Arial" w:hAnsi="Arial" w:cs="Arial"/>
                <w:b/>
                <w:sz w:val="24"/>
                <w:szCs w:val="24"/>
              </w:rPr>
              <w:t>Total Change Constant currency</w:t>
            </w:r>
          </w:p>
        </w:tc>
        <w:tc>
          <w:tcPr>
            <w:tcW w:w="580" w:type="pct"/>
            <w:tcBorders>
              <w:bottom w:val="nil"/>
            </w:tcBorders>
          </w:tcPr>
          <w:p w:rsidR="001920A3" w:rsidRDefault="001920A3" w:rsidP="00FE458E">
            <w:pPr>
              <w:ind w:hanging="108"/>
              <w:jc w:val="right"/>
              <w:rPr>
                <w:rFonts w:ascii="Arial" w:hAnsi="Arial" w:cs="Arial"/>
                <w:b/>
                <w:sz w:val="24"/>
                <w:szCs w:val="24"/>
              </w:rPr>
            </w:pPr>
            <w:r w:rsidRPr="001A35EE">
              <w:rPr>
                <w:rFonts w:ascii="Arial" w:hAnsi="Arial" w:cs="Arial"/>
                <w:b/>
                <w:sz w:val="24"/>
                <w:szCs w:val="24"/>
              </w:rPr>
              <w:t>% LFL</w:t>
            </w:r>
          </w:p>
          <w:p w:rsidR="007F3348" w:rsidRPr="001A35EE" w:rsidRDefault="007F3348" w:rsidP="00FE458E">
            <w:pPr>
              <w:ind w:hanging="108"/>
              <w:jc w:val="right"/>
              <w:rPr>
                <w:rFonts w:ascii="Arial" w:hAnsi="Arial" w:cs="Arial"/>
                <w:b/>
                <w:sz w:val="24"/>
                <w:szCs w:val="24"/>
              </w:rPr>
            </w:pPr>
            <w:r>
              <w:rPr>
                <w:rFonts w:ascii="Arial" w:hAnsi="Arial" w:cs="Arial"/>
                <w:b/>
                <w:sz w:val="24"/>
                <w:szCs w:val="24"/>
              </w:rPr>
              <w:t>Change</w:t>
            </w:r>
          </w:p>
        </w:tc>
      </w:tr>
      <w:tr w:rsidR="007F3348" w:rsidRPr="00FD57E1" w:rsidTr="00E41292">
        <w:trPr>
          <w:trHeight w:val="158"/>
        </w:trPr>
        <w:tc>
          <w:tcPr>
            <w:tcW w:w="1296" w:type="pct"/>
            <w:tcBorders>
              <w:top w:val="nil"/>
            </w:tcBorders>
          </w:tcPr>
          <w:p w:rsidR="001920A3" w:rsidRPr="001A35EE" w:rsidRDefault="001920A3" w:rsidP="00FE458E">
            <w:pPr>
              <w:rPr>
                <w:rFonts w:ascii="Arial" w:hAnsi="Arial" w:cs="Arial"/>
                <w:sz w:val="24"/>
                <w:szCs w:val="24"/>
              </w:rPr>
            </w:pPr>
          </w:p>
        </w:tc>
        <w:tc>
          <w:tcPr>
            <w:tcW w:w="662" w:type="pct"/>
            <w:tcBorders>
              <w:top w:val="nil"/>
            </w:tcBorders>
          </w:tcPr>
          <w:p w:rsidR="001920A3" w:rsidRPr="00FD57E1" w:rsidRDefault="001920A3" w:rsidP="007F3348">
            <w:pPr>
              <w:rPr>
                <w:rFonts w:ascii="Arial" w:hAnsi="Arial" w:cs="Arial"/>
                <w:b/>
                <w:color w:val="FF0000"/>
                <w:sz w:val="24"/>
                <w:szCs w:val="24"/>
              </w:rPr>
            </w:pPr>
          </w:p>
        </w:tc>
        <w:tc>
          <w:tcPr>
            <w:tcW w:w="651" w:type="pct"/>
            <w:tcBorders>
              <w:top w:val="nil"/>
            </w:tcBorders>
          </w:tcPr>
          <w:p w:rsidR="001920A3" w:rsidRPr="00FD57E1" w:rsidRDefault="001920A3" w:rsidP="007F3348">
            <w:pPr>
              <w:rPr>
                <w:rFonts w:ascii="Arial" w:hAnsi="Arial" w:cs="Arial"/>
                <w:b/>
                <w:color w:val="FF0000"/>
                <w:sz w:val="24"/>
                <w:szCs w:val="24"/>
              </w:rPr>
            </w:pPr>
          </w:p>
        </w:tc>
        <w:tc>
          <w:tcPr>
            <w:tcW w:w="868" w:type="pct"/>
            <w:tcBorders>
              <w:top w:val="nil"/>
            </w:tcBorders>
          </w:tcPr>
          <w:p w:rsidR="001920A3" w:rsidRPr="001A35EE" w:rsidRDefault="001920A3" w:rsidP="007F3348">
            <w:pPr>
              <w:rPr>
                <w:rFonts w:ascii="Arial" w:hAnsi="Arial" w:cs="Arial"/>
                <w:b/>
                <w:sz w:val="24"/>
                <w:szCs w:val="24"/>
              </w:rPr>
            </w:pPr>
          </w:p>
        </w:tc>
        <w:tc>
          <w:tcPr>
            <w:tcW w:w="943" w:type="pct"/>
            <w:tcBorders>
              <w:top w:val="nil"/>
            </w:tcBorders>
          </w:tcPr>
          <w:p w:rsidR="001920A3" w:rsidRPr="001A35EE" w:rsidRDefault="001920A3" w:rsidP="007F3348">
            <w:pPr>
              <w:rPr>
                <w:rFonts w:ascii="Arial" w:hAnsi="Arial" w:cs="Arial"/>
                <w:b/>
                <w:sz w:val="24"/>
                <w:szCs w:val="24"/>
              </w:rPr>
            </w:pPr>
          </w:p>
        </w:tc>
        <w:tc>
          <w:tcPr>
            <w:tcW w:w="580" w:type="pct"/>
            <w:tcBorders>
              <w:top w:val="nil"/>
            </w:tcBorders>
          </w:tcPr>
          <w:p w:rsidR="001920A3" w:rsidRPr="001A35EE" w:rsidRDefault="001920A3" w:rsidP="007F3348">
            <w:pPr>
              <w:rPr>
                <w:rFonts w:ascii="Arial" w:hAnsi="Arial" w:cs="Arial"/>
                <w:b/>
                <w:sz w:val="24"/>
                <w:szCs w:val="24"/>
              </w:rPr>
            </w:pPr>
          </w:p>
        </w:tc>
      </w:tr>
      <w:tr w:rsidR="007F3348" w:rsidRPr="008F6781" w:rsidTr="00E41292">
        <w:trPr>
          <w:trHeight w:val="147"/>
        </w:trPr>
        <w:tc>
          <w:tcPr>
            <w:tcW w:w="1296" w:type="pct"/>
          </w:tcPr>
          <w:p w:rsidR="00783B87" w:rsidRPr="008F6781" w:rsidRDefault="00783B87" w:rsidP="00FE458E">
            <w:pPr>
              <w:rPr>
                <w:rFonts w:ascii="Arial" w:hAnsi="Arial" w:cs="Arial"/>
                <w:sz w:val="24"/>
                <w:szCs w:val="24"/>
              </w:rPr>
            </w:pPr>
            <w:r w:rsidRPr="008F6781">
              <w:rPr>
                <w:rFonts w:ascii="Arial" w:hAnsi="Arial" w:cs="Arial"/>
                <w:sz w:val="24"/>
                <w:szCs w:val="24"/>
              </w:rPr>
              <w:t>France</w:t>
            </w:r>
          </w:p>
        </w:tc>
        <w:tc>
          <w:tcPr>
            <w:tcW w:w="662" w:type="pct"/>
            <w:vAlign w:val="center"/>
          </w:tcPr>
          <w:p w:rsidR="00783B87" w:rsidRPr="007376E7" w:rsidRDefault="00D87FA0" w:rsidP="006A0C08">
            <w:pPr>
              <w:jc w:val="right"/>
              <w:rPr>
                <w:rFonts w:ascii="Arial" w:hAnsi="Arial" w:cs="Arial"/>
                <w:sz w:val="24"/>
                <w:szCs w:val="24"/>
              </w:rPr>
            </w:pPr>
            <w:r>
              <w:rPr>
                <w:rFonts w:ascii="Arial" w:hAnsi="Arial" w:cs="Arial"/>
                <w:sz w:val="24"/>
                <w:szCs w:val="24"/>
              </w:rPr>
              <w:t>1,077</w:t>
            </w:r>
          </w:p>
        </w:tc>
        <w:tc>
          <w:tcPr>
            <w:tcW w:w="651" w:type="pct"/>
            <w:vAlign w:val="center"/>
          </w:tcPr>
          <w:p w:rsidR="00783B87" w:rsidRPr="000E43A4" w:rsidRDefault="00D87FA0" w:rsidP="00FE458E">
            <w:pPr>
              <w:jc w:val="right"/>
              <w:rPr>
                <w:rFonts w:ascii="Arial" w:hAnsi="Arial" w:cs="Arial"/>
                <w:sz w:val="24"/>
                <w:szCs w:val="24"/>
              </w:rPr>
            </w:pPr>
            <w:r>
              <w:rPr>
                <w:rFonts w:ascii="Arial" w:hAnsi="Arial" w:cs="Arial"/>
                <w:sz w:val="24"/>
                <w:szCs w:val="24"/>
              </w:rPr>
              <w:t>1,079</w:t>
            </w:r>
          </w:p>
        </w:tc>
        <w:tc>
          <w:tcPr>
            <w:tcW w:w="868" w:type="pct"/>
            <w:vAlign w:val="center"/>
          </w:tcPr>
          <w:p w:rsidR="00783B87" w:rsidRPr="007376E7" w:rsidRDefault="00D87FA0" w:rsidP="00FE458E">
            <w:pPr>
              <w:jc w:val="right"/>
              <w:rPr>
                <w:rFonts w:ascii="Arial" w:hAnsi="Arial" w:cs="Arial"/>
                <w:sz w:val="24"/>
                <w:szCs w:val="24"/>
              </w:rPr>
            </w:pPr>
            <w:r>
              <w:rPr>
                <w:rFonts w:ascii="Arial" w:hAnsi="Arial" w:cs="Arial"/>
                <w:sz w:val="24"/>
                <w:szCs w:val="24"/>
              </w:rPr>
              <w:t>(0.2)</w:t>
            </w:r>
            <w:r w:rsidR="00783B87" w:rsidRPr="00226B46">
              <w:rPr>
                <w:rFonts w:ascii="Arial" w:hAnsi="Arial" w:cs="Arial"/>
                <w:sz w:val="24"/>
                <w:szCs w:val="24"/>
              </w:rPr>
              <w:t>%</w:t>
            </w:r>
          </w:p>
        </w:tc>
        <w:tc>
          <w:tcPr>
            <w:tcW w:w="943" w:type="pct"/>
            <w:vAlign w:val="center"/>
          </w:tcPr>
          <w:p w:rsidR="00783B87" w:rsidRPr="007376E7" w:rsidRDefault="009534C2"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3.3</w:t>
            </w:r>
            <w:r w:rsidR="00783B87" w:rsidRPr="00226B46">
              <w:rPr>
                <w:rFonts w:ascii="Arial" w:hAnsi="Arial" w:cs="Arial"/>
                <w:sz w:val="24"/>
                <w:szCs w:val="24"/>
              </w:rPr>
              <w:t>%</w:t>
            </w:r>
          </w:p>
        </w:tc>
        <w:tc>
          <w:tcPr>
            <w:tcW w:w="580" w:type="pct"/>
            <w:vAlign w:val="center"/>
          </w:tcPr>
          <w:p w:rsidR="00783B87" w:rsidRPr="007376E7" w:rsidRDefault="009534C2"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1.6</w:t>
            </w:r>
            <w:r w:rsidR="00783B87" w:rsidRPr="00226B46">
              <w:rPr>
                <w:rFonts w:ascii="Arial" w:hAnsi="Arial" w:cs="Arial"/>
                <w:sz w:val="24"/>
                <w:szCs w:val="24"/>
              </w:rPr>
              <w:t>%</w:t>
            </w:r>
          </w:p>
        </w:tc>
      </w:tr>
    </w:tbl>
    <w:p w:rsidR="001920A3" w:rsidRPr="008F6781" w:rsidRDefault="001920A3" w:rsidP="000861DC">
      <w:pPr>
        <w:jc w:val="left"/>
        <w:rPr>
          <w:rFonts w:ascii="Arial" w:hAnsi="Arial" w:cs="Arial"/>
          <w:sz w:val="24"/>
          <w:szCs w:val="24"/>
        </w:rPr>
      </w:pPr>
    </w:p>
    <w:tbl>
      <w:tblPr>
        <w:tblW w:w="5001" w:type="pct"/>
        <w:tblLook w:val="01E0" w:firstRow="1" w:lastRow="1" w:firstColumn="1" w:lastColumn="1" w:noHBand="0" w:noVBand="0"/>
      </w:tblPr>
      <w:tblGrid>
        <w:gridCol w:w="2530"/>
        <w:gridCol w:w="1292"/>
        <w:gridCol w:w="1277"/>
        <w:gridCol w:w="1699"/>
        <w:gridCol w:w="1844"/>
        <w:gridCol w:w="1134"/>
      </w:tblGrid>
      <w:tr w:rsidR="007F3348" w:rsidRPr="008F6781" w:rsidTr="00E41292">
        <w:tc>
          <w:tcPr>
            <w:tcW w:w="1294" w:type="pct"/>
            <w:tcBorders>
              <w:top w:val="single" w:sz="4" w:space="0" w:color="auto"/>
              <w:left w:val="single" w:sz="4" w:space="0" w:color="auto"/>
              <w:right w:val="single" w:sz="4" w:space="0" w:color="auto"/>
            </w:tcBorders>
          </w:tcPr>
          <w:p w:rsidR="001920A3" w:rsidRPr="00E41292" w:rsidRDefault="001920A3" w:rsidP="00E41292">
            <w:pPr>
              <w:tabs>
                <w:tab w:val="right" w:pos="2314"/>
              </w:tabs>
              <w:rPr>
                <w:rFonts w:ascii="Arial" w:hAnsi="Arial" w:cs="Arial"/>
                <w:sz w:val="24"/>
                <w:szCs w:val="24"/>
              </w:rPr>
            </w:pPr>
            <w:r w:rsidRPr="008F6781">
              <w:rPr>
                <w:rFonts w:ascii="Arial" w:hAnsi="Arial" w:cs="Arial"/>
                <w:b/>
                <w:sz w:val="24"/>
                <w:szCs w:val="24"/>
              </w:rPr>
              <w:t>Retail profit £m</w:t>
            </w:r>
          </w:p>
        </w:tc>
        <w:tc>
          <w:tcPr>
            <w:tcW w:w="661" w:type="pct"/>
            <w:tcBorders>
              <w:top w:val="single" w:sz="4" w:space="0" w:color="auto"/>
              <w:left w:val="single" w:sz="4" w:space="0" w:color="auto"/>
              <w:right w:val="single" w:sz="4" w:space="0" w:color="auto"/>
            </w:tcBorders>
          </w:tcPr>
          <w:p w:rsidR="001920A3" w:rsidRPr="00E41292" w:rsidRDefault="001920A3" w:rsidP="00E41292">
            <w:pPr>
              <w:jc w:val="right"/>
              <w:rPr>
                <w:rFonts w:ascii="Arial" w:hAnsi="Arial" w:cs="Arial"/>
                <w:b/>
                <w:sz w:val="24"/>
                <w:szCs w:val="24"/>
              </w:rPr>
            </w:pPr>
            <w:r w:rsidRPr="008F6781">
              <w:rPr>
                <w:rFonts w:ascii="Arial" w:hAnsi="Arial" w:cs="Arial"/>
                <w:b/>
                <w:sz w:val="24"/>
                <w:szCs w:val="24"/>
              </w:rPr>
              <w:t>201</w:t>
            </w:r>
            <w:r w:rsidR="00FF733A">
              <w:rPr>
                <w:rFonts w:ascii="Arial" w:hAnsi="Arial" w:cs="Arial"/>
                <w:b/>
                <w:sz w:val="24"/>
                <w:szCs w:val="24"/>
              </w:rPr>
              <w:t>4</w:t>
            </w:r>
            <w:r w:rsidRPr="008F6781">
              <w:rPr>
                <w:rFonts w:ascii="Arial" w:hAnsi="Arial" w:cs="Arial"/>
                <w:b/>
                <w:sz w:val="24"/>
                <w:szCs w:val="24"/>
              </w:rPr>
              <w:t>/1</w:t>
            </w:r>
            <w:r w:rsidR="00FF733A">
              <w:rPr>
                <w:rFonts w:ascii="Arial" w:hAnsi="Arial" w:cs="Arial"/>
                <w:b/>
                <w:sz w:val="24"/>
                <w:szCs w:val="24"/>
              </w:rPr>
              <w:t>5</w:t>
            </w:r>
          </w:p>
        </w:tc>
        <w:tc>
          <w:tcPr>
            <w:tcW w:w="653" w:type="pct"/>
            <w:tcBorders>
              <w:top w:val="single" w:sz="4" w:space="0" w:color="auto"/>
              <w:left w:val="single" w:sz="4" w:space="0" w:color="auto"/>
              <w:right w:val="single" w:sz="4" w:space="0" w:color="auto"/>
            </w:tcBorders>
          </w:tcPr>
          <w:p w:rsidR="001920A3" w:rsidRPr="00E41292" w:rsidRDefault="00FF733A" w:rsidP="00E41292">
            <w:pPr>
              <w:jc w:val="right"/>
              <w:rPr>
                <w:rFonts w:ascii="Arial" w:hAnsi="Arial" w:cs="Arial"/>
                <w:b/>
                <w:sz w:val="24"/>
                <w:szCs w:val="24"/>
              </w:rPr>
            </w:pPr>
            <w:r w:rsidRPr="008F6781">
              <w:rPr>
                <w:rFonts w:ascii="Arial" w:hAnsi="Arial" w:cs="Arial"/>
                <w:b/>
                <w:sz w:val="24"/>
                <w:szCs w:val="24"/>
              </w:rPr>
              <w:t>201</w:t>
            </w:r>
            <w:r>
              <w:rPr>
                <w:rFonts w:ascii="Arial" w:hAnsi="Arial" w:cs="Arial"/>
                <w:b/>
                <w:sz w:val="24"/>
                <w:szCs w:val="24"/>
              </w:rPr>
              <w:t>3</w:t>
            </w:r>
            <w:r w:rsidRPr="008F6781">
              <w:rPr>
                <w:rFonts w:ascii="Arial" w:hAnsi="Arial" w:cs="Arial"/>
                <w:b/>
                <w:sz w:val="24"/>
                <w:szCs w:val="24"/>
              </w:rPr>
              <w:t>/1</w:t>
            </w:r>
            <w:r>
              <w:rPr>
                <w:rFonts w:ascii="Arial" w:hAnsi="Arial" w:cs="Arial"/>
                <w:b/>
                <w:sz w:val="24"/>
                <w:szCs w:val="24"/>
              </w:rPr>
              <w:t>4</w:t>
            </w:r>
          </w:p>
        </w:tc>
        <w:tc>
          <w:tcPr>
            <w:tcW w:w="869" w:type="pct"/>
            <w:tcBorders>
              <w:top w:val="single" w:sz="4" w:space="0" w:color="auto"/>
              <w:left w:val="single" w:sz="4" w:space="0" w:color="auto"/>
              <w:right w:val="single" w:sz="4" w:space="0" w:color="auto"/>
            </w:tcBorders>
          </w:tcPr>
          <w:p w:rsidR="001920A3" w:rsidRPr="008F6781" w:rsidRDefault="001920A3" w:rsidP="00094FAB">
            <w:pPr>
              <w:jc w:val="right"/>
              <w:rPr>
                <w:rFonts w:ascii="Arial" w:hAnsi="Arial" w:cs="Arial"/>
                <w:b/>
                <w:sz w:val="24"/>
                <w:szCs w:val="24"/>
              </w:rPr>
            </w:pPr>
            <w:r w:rsidRPr="008F6781">
              <w:rPr>
                <w:rFonts w:ascii="Arial" w:hAnsi="Arial" w:cs="Arial"/>
                <w:b/>
                <w:sz w:val="24"/>
                <w:szCs w:val="24"/>
              </w:rPr>
              <w:t>%</w:t>
            </w:r>
            <w:r w:rsidR="007F3348">
              <w:rPr>
                <w:rFonts w:ascii="Arial" w:hAnsi="Arial" w:cs="Arial"/>
                <w:b/>
                <w:sz w:val="24"/>
                <w:szCs w:val="24"/>
              </w:rPr>
              <w:t xml:space="preserve"> Change Reported</w:t>
            </w:r>
          </w:p>
        </w:tc>
        <w:tc>
          <w:tcPr>
            <w:tcW w:w="943" w:type="pct"/>
            <w:tcBorders>
              <w:top w:val="single" w:sz="4" w:space="0" w:color="auto"/>
              <w:left w:val="single" w:sz="4" w:space="0" w:color="auto"/>
              <w:right w:val="single" w:sz="4" w:space="0" w:color="auto"/>
            </w:tcBorders>
          </w:tcPr>
          <w:p w:rsidR="001920A3" w:rsidRPr="008F6781" w:rsidRDefault="001920A3" w:rsidP="00094FAB">
            <w:pPr>
              <w:jc w:val="right"/>
              <w:rPr>
                <w:rFonts w:ascii="Arial" w:hAnsi="Arial" w:cs="Arial"/>
                <w:b/>
                <w:sz w:val="24"/>
                <w:szCs w:val="24"/>
              </w:rPr>
            </w:pPr>
            <w:r w:rsidRPr="008F6781">
              <w:rPr>
                <w:rFonts w:ascii="Arial" w:hAnsi="Arial" w:cs="Arial"/>
                <w:b/>
                <w:sz w:val="24"/>
                <w:szCs w:val="24"/>
              </w:rPr>
              <w:t xml:space="preserve">% </w:t>
            </w:r>
            <w:r w:rsidR="007F3348">
              <w:rPr>
                <w:rFonts w:ascii="Arial" w:hAnsi="Arial" w:cs="Arial"/>
                <w:b/>
                <w:sz w:val="24"/>
                <w:szCs w:val="24"/>
              </w:rPr>
              <w:t>Change Constant c</w:t>
            </w:r>
            <w:r w:rsidR="00094FAB">
              <w:rPr>
                <w:rFonts w:ascii="Arial" w:hAnsi="Arial" w:cs="Arial"/>
                <w:b/>
                <w:sz w:val="24"/>
                <w:szCs w:val="24"/>
              </w:rPr>
              <w:t>urrency</w:t>
            </w:r>
          </w:p>
        </w:tc>
        <w:tc>
          <w:tcPr>
            <w:tcW w:w="580" w:type="pct"/>
            <w:tcBorders>
              <w:left w:val="single" w:sz="4" w:space="0" w:color="auto"/>
            </w:tcBorders>
          </w:tcPr>
          <w:p w:rsidR="001920A3" w:rsidRPr="008F6781" w:rsidRDefault="001920A3" w:rsidP="00FE458E">
            <w:pPr>
              <w:ind w:hanging="108"/>
              <w:jc w:val="right"/>
              <w:rPr>
                <w:rFonts w:ascii="Arial" w:hAnsi="Arial" w:cs="Arial"/>
                <w:b/>
                <w:sz w:val="24"/>
                <w:szCs w:val="24"/>
              </w:rPr>
            </w:pPr>
          </w:p>
        </w:tc>
      </w:tr>
      <w:tr w:rsidR="007F3348" w:rsidRPr="008F6781" w:rsidTr="00E219AD">
        <w:trPr>
          <w:trHeight w:val="64"/>
        </w:trPr>
        <w:tc>
          <w:tcPr>
            <w:tcW w:w="1294" w:type="pct"/>
            <w:tcBorders>
              <w:left w:val="single" w:sz="4" w:space="0" w:color="auto"/>
              <w:bottom w:val="single" w:sz="4" w:space="0" w:color="auto"/>
              <w:right w:val="single" w:sz="4" w:space="0" w:color="auto"/>
            </w:tcBorders>
          </w:tcPr>
          <w:p w:rsidR="001920A3" w:rsidRPr="008F6781" w:rsidRDefault="001920A3" w:rsidP="00FE458E">
            <w:pPr>
              <w:rPr>
                <w:rFonts w:ascii="Arial" w:hAnsi="Arial" w:cs="Arial"/>
                <w:sz w:val="24"/>
                <w:szCs w:val="24"/>
              </w:rPr>
            </w:pPr>
          </w:p>
        </w:tc>
        <w:tc>
          <w:tcPr>
            <w:tcW w:w="661" w:type="pct"/>
            <w:tcBorders>
              <w:left w:val="single" w:sz="4" w:space="0" w:color="auto"/>
              <w:bottom w:val="single" w:sz="4" w:space="0" w:color="auto"/>
              <w:right w:val="single" w:sz="4" w:space="0" w:color="auto"/>
            </w:tcBorders>
          </w:tcPr>
          <w:p w:rsidR="001920A3" w:rsidRPr="008F6781" w:rsidRDefault="001920A3" w:rsidP="007F3348">
            <w:pPr>
              <w:rPr>
                <w:rFonts w:ascii="Arial" w:hAnsi="Arial" w:cs="Arial"/>
                <w:b/>
                <w:sz w:val="24"/>
                <w:szCs w:val="24"/>
              </w:rPr>
            </w:pPr>
          </w:p>
        </w:tc>
        <w:tc>
          <w:tcPr>
            <w:tcW w:w="653" w:type="pct"/>
            <w:tcBorders>
              <w:left w:val="single" w:sz="4" w:space="0" w:color="auto"/>
              <w:bottom w:val="single" w:sz="4" w:space="0" w:color="auto"/>
              <w:right w:val="single" w:sz="4" w:space="0" w:color="auto"/>
            </w:tcBorders>
          </w:tcPr>
          <w:p w:rsidR="001920A3" w:rsidRPr="008F6781" w:rsidRDefault="001920A3" w:rsidP="007F3348">
            <w:pPr>
              <w:rPr>
                <w:rFonts w:ascii="Arial" w:hAnsi="Arial" w:cs="Arial"/>
                <w:b/>
                <w:sz w:val="24"/>
                <w:szCs w:val="24"/>
              </w:rPr>
            </w:pPr>
          </w:p>
        </w:tc>
        <w:tc>
          <w:tcPr>
            <w:tcW w:w="869" w:type="pct"/>
            <w:tcBorders>
              <w:left w:val="single" w:sz="4" w:space="0" w:color="auto"/>
              <w:bottom w:val="single" w:sz="4" w:space="0" w:color="auto"/>
              <w:right w:val="single" w:sz="4" w:space="0" w:color="auto"/>
            </w:tcBorders>
          </w:tcPr>
          <w:p w:rsidR="001920A3" w:rsidRPr="008F6781" w:rsidRDefault="001920A3" w:rsidP="007F3348">
            <w:pPr>
              <w:rPr>
                <w:rFonts w:ascii="Arial" w:hAnsi="Arial" w:cs="Arial"/>
                <w:b/>
                <w:sz w:val="24"/>
                <w:szCs w:val="24"/>
              </w:rPr>
            </w:pPr>
          </w:p>
        </w:tc>
        <w:tc>
          <w:tcPr>
            <w:tcW w:w="943" w:type="pct"/>
            <w:tcBorders>
              <w:left w:val="single" w:sz="4" w:space="0" w:color="auto"/>
              <w:bottom w:val="single" w:sz="4" w:space="0" w:color="auto"/>
              <w:right w:val="single" w:sz="4" w:space="0" w:color="auto"/>
            </w:tcBorders>
          </w:tcPr>
          <w:p w:rsidR="001920A3" w:rsidRPr="008F6781" w:rsidRDefault="001920A3" w:rsidP="00094FAB">
            <w:pPr>
              <w:rPr>
                <w:rFonts w:ascii="Arial" w:hAnsi="Arial" w:cs="Arial"/>
                <w:b/>
                <w:sz w:val="24"/>
                <w:szCs w:val="24"/>
              </w:rPr>
            </w:pPr>
          </w:p>
        </w:tc>
        <w:tc>
          <w:tcPr>
            <w:tcW w:w="580" w:type="pct"/>
            <w:tcBorders>
              <w:left w:val="single" w:sz="4" w:space="0" w:color="auto"/>
            </w:tcBorders>
          </w:tcPr>
          <w:p w:rsidR="001920A3" w:rsidRPr="008F6781" w:rsidRDefault="001920A3" w:rsidP="00FE458E">
            <w:pPr>
              <w:ind w:hanging="108"/>
              <w:jc w:val="right"/>
              <w:rPr>
                <w:rFonts w:ascii="Arial" w:hAnsi="Arial" w:cs="Arial"/>
                <w:b/>
                <w:sz w:val="24"/>
                <w:szCs w:val="24"/>
              </w:rPr>
            </w:pPr>
          </w:p>
        </w:tc>
      </w:tr>
      <w:tr w:rsidR="007F3348" w:rsidRPr="008F6781" w:rsidTr="00E41292">
        <w:trPr>
          <w:trHeight w:val="147"/>
        </w:trPr>
        <w:tc>
          <w:tcPr>
            <w:tcW w:w="1294" w:type="pct"/>
            <w:tcBorders>
              <w:top w:val="single" w:sz="4" w:space="0" w:color="auto"/>
              <w:left w:val="single" w:sz="4" w:space="0" w:color="auto"/>
              <w:bottom w:val="single" w:sz="4" w:space="0" w:color="auto"/>
              <w:right w:val="single" w:sz="4" w:space="0" w:color="auto"/>
            </w:tcBorders>
            <w:vAlign w:val="center"/>
          </w:tcPr>
          <w:p w:rsidR="00783B87" w:rsidRPr="008F6781" w:rsidRDefault="00783B87" w:rsidP="00FE458E">
            <w:pPr>
              <w:rPr>
                <w:rFonts w:ascii="Arial" w:hAnsi="Arial" w:cs="Arial"/>
                <w:sz w:val="24"/>
                <w:szCs w:val="24"/>
              </w:rPr>
            </w:pPr>
            <w:r w:rsidRPr="008F6781">
              <w:rPr>
                <w:rFonts w:ascii="Arial" w:hAnsi="Arial" w:cs="Arial"/>
                <w:sz w:val="24"/>
                <w:szCs w:val="24"/>
              </w:rPr>
              <w:t>France</w:t>
            </w:r>
          </w:p>
        </w:tc>
        <w:tc>
          <w:tcPr>
            <w:tcW w:w="661" w:type="pct"/>
            <w:tcBorders>
              <w:top w:val="single" w:sz="4" w:space="0" w:color="auto"/>
              <w:left w:val="single" w:sz="4" w:space="0" w:color="auto"/>
              <w:bottom w:val="single" w:sz="4" w:space="0" w:color="auto"/>
              <w:right w:val="single" w:sz="4" w:space="0" w:color="auto"/>
            </w:tcBorders>
            <w:vAlign w:val="center"/>
          </w:tcPr>
          <w:p w:rsidR="00783B87" w:rsidRPr="007376E7" w:rsidRDefault="00D87FA0" w:rsidP="00FE458E">
            <w:pPr>
              <w:jc w:val="right"/>
              <w:rPr>
                <w:rFonts w:ascii="Arial" w:hAnsi="Arial" w:cs="Arial"/>
                <w:sz w:val="24"/>
                <w:szCs w:val="24"/>
              </w:rPr>
            </w:pPr>
            <w:r>
              <w:rPr>
                <w:rFonts w:ascii="Arial" w:hAnsi="Arial" w:cs="Arial"/>
                <w:sz w:val="24"/>
                <w:szCs w:val="24"/>
              </w:rPr>
              <w:t>70</w:t>
            </w:r>
          </w:p>
        </w:tc>
        <w:tc>
          <w:tcPr>
            <w:tcW w:w="653" w:type="pct"/>
            <w:tcBorders>
              <w:top w:val="single" w:sz="4" w:space="0" w:color="auto"/>
              <w:left w:val="single" w:sz="4" w:space="0" w:color="auto"/>
              <w:bottom w:val="single" w:sz="4" w:space="0" w:color="auto"/>
              <w:right w:val="single" w:sz="4" w:space="0" w:color="auto"/>
            </w:tcBorders>
            <w:vAlign w:val="center"/>
          </w:tcPr>
          <w:p w:rsidR="00783B87" w:rsidRPr="000E43A4" w:rsidRDefault="00D87FA0" w:rsidP="00FE458E">
            <w:pPr>
              <w:jc w:val="right"/>
              <w:rPr>
                <w:rFonts w:ascii="Arial" w:hAnsi="Arial" w:cs="Arial"/>
                <w:sz w:val="24"/>
                <w:szCs w:val="24"/>
              </w:rPr>
            </w:pPr>
            <w:r>
              <w:rPr>
                <w:rFonts w:ascii="Arial" w:hAnsi="Arial" w:cs="Arial"/>
                <w:sz w:val="24"/>
                <w:szCs w:val="24"/>
              </w:rPr>
              <w:t>66</w:t>
            </w:r>
          </w:p>
        </w:tc>
        <w:tc>
          <w:tcPr>
            <w:tcW w:w="869" w:type="pct"/>
            <w:tcBorders>
              <w:top w:val="single" w:sz="4" w:space="0" w:color="auto"/>
              <w:left w:val="single" w:sz="4" w:space="0" w:color="auto"/>
              <w:bottom w:val="single" w:sz="4" w:space="0" w:color="auto"/>
              <w:right w:val="single" w:sz="4" w:space="0" w:color="auto"/>
            </w:tcBorders>
            <w:vAlign w:val="center"/>
          </w:tcPr>
          <w:p w:rsidR="00783B87" w:rsidRPr="007376E7" w:rsidRDefault="009534C2"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6.0</w:t>
            </w:r>
            <w:r w:rsidR="00783B87" w:rsidRPr="00226B46">
              <w:rPr>
                <w:rFonts w:ascii="Arial" w:hAnsi="Arial" w:cs="Arial"/>
                <w:sz w:val="24"/>
                <w:szCs w:val="24"/>
              </w:rPr>
              <w:t>%</w:t>
            </w:r>
          </w:p>
        </w:tc>
        <w:tc>
          <w:tcPr>
            <w:tcW w:w="943" w:type="pct"/>
            <w:tcBorders>
              <w:top w:val="single" w:sz="4" w:space="0" w:color="auto"/>
              <w:left w:val="single" w:sz="4" w:space="0" w:color="auto"/>
              <w:bottom w:val="single" w:sz="4" w:space="0" w:color="auto"/>
              <w:right w:val="single" w:sz="4" w:space="0" w:color="auto"/>
            </w:tcBorders>
            <w:vAlign w:val="center"/>
          </w:tcPr>
          <w:p w:rsidR="00783B87" w:rsidRPr="007376E7" w:rsidRDefault="009534C2"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9.8</w:t>
            </w:r>
            <w:r w:rsidR="00783B87" w:rsidRPr="00226B46">
              <w:rPr>
                <w:rFonts w:ascii="Arial" w:hAnsi="Arial" w:cs="Arial"/>
                <w:sz w:val="24"/>
                <w:szCs w:val="24"/>
              </w:rPr>
              <w:t>%</w:t>
            </w:r>
          </w:p>
        </w:tc>
        <w:tc>
          <w:tcPr>
            <w:tcW w:w="580" w:type="pct"/>
            <w:tcBorders>
              <w:left w:val="single" w:sz="4" w:space="0" w:color="auto"/>
            </w:tcBorders>
            <w:vAlign w:val="center"/>
          </w:tcPr>
          <w:p w:rsidR="00783B87" w:rsidRPr="008F6781" w:rsidRDefault="00783B87" w:rsidP="00FE458E">
            <w:pPr>
              <w:jc w:val="right"/>
              <w:rPr>
                <w:rFonts w:ascii="Arial" w:hAnsi="Arial" w:cs="Arial"/>
                <w:sz w:val="24"/>
                <w:szCs w:val="24"/>
              </w:rPr>
            </w:pPr>
          </w:p>
        </w:tc>
      </w:tr>
    </w:tbl>
    <w:p w:rsidR="001920A3" w:rsidRPr="00F50885" w:rsidRDefault="001920A3" w:rsidP="00CD63CC">
      <w:pPr>
        <w:jc w:val="left"/>
        <w:rPr>
          <w:rFonts w:ascii="Arial" w:hAnsi="Arial" w:cs="Arial"/>
          <w:i/>
          <w:sz w:val="18"/>
          <w:szCs w:val="18"/>
        </w:rPr>
      </w:pPr>
    </w:p>
    <w:p w:rsidR="001920A3" w:rsidRPr="00F50885" w:rsidRDefault="001920A3" w:rsidP="000861DC">
      <w:pPr>
        <w:rPr>
          <w:rFonts w:ascii="Arial" w:hAnsi="Arial" w:cs="Arial"/>
          <w:b/>
          <w:sz w:val="24"/>
          <w:szCs w:val="24"/>
        </w:rPr>
      </w:pPr>
      <w:r w:rsidRPr="00F50885">
        <w:rPr>
          <w:rFonts w:ascii="Arial" w:hAnsi="Arial" w:cs="Arial"/>
          <w:b/>
          <w:i/>
          <w:sz w:val="18"/>
          <w:szCs w:val="18"/>
        </w:rPr>
        <w:t>All trading commentary below is in constant currencies</w:t>
      </w:r>
    </w:p>
    <w:p w:rsidR="001920A3" w:rsidRPr="00FD57E1" w:rsidRDefault="001920A3" w:rsidP="000861DC">
      <w:pPr>
        <w:jc w:val="left"/>
        <w:rPr>
          <w:rFonts w:ascii="Arial" w:hAnsi="Arial" w:cs="Arial"/>
          <w:color w:val="FF0000"/>
          <w:sz w:val="24"/>
          <w:szCs w:val="24"/>
        </w:rPr>
      </w:pPr>
    </w:p>
    <w:p w:rsidR="001920A3" w:rsidRDefault="001920A3" w:rsidP="000861DC">
      <w:pPr>
        <w:autoSpaceDE w:val="0"/>
        <w:autoSpaceDN w:val="0"/>
        <w:adjustRightInd w:val="0"/>
        <w:jc w:val="left"/>
        <w:rPr>
          <w:rFonts w:ascii="Arial" w:hAnsi="Arial" w:cs="Arial"/>
          <w:b/>
          <w:bCs/>
          <w:sz w:val="24"/>
          <w:szCs w:val="24"/>
        </w:rPr>
      </w:pPr>
      <w:r w:rsidRPr="008F6781">
        <w:rPr>
          <w:rFonts w:ascii="Arial" w:hAnsi="Arial" w:cs="Arial"/>
          <w:b/>
          <w:bCs/>
          <w:sz w:val="24"/>
          <w:szCs w:val="24"/>
        </w:rPr>
        <w:t>Kingfisher</w:t>
      </w:r>
      <w:r w:rsidRPr="008F6781">
        <w:rPr>
          <w:rFonts w:ascii="Arial" w:hAnsi="Arial" w:cs="Arial"/>
          <w:sz w:val="24"/>
          <w:szCs w:val="24"/>
        </w:rPr>
        <w:t xml:space="preserve"> </w:t>
      </w:r>
      <w:r w:rsidRPr="008F6781">
        <w:rPr>
          <w:rFonts w:ascii="Arial" w:hAnsi="Arial" w:cs="Arial"/>
          <w:b/>
          <w:bCs/>
          <w:sz w:val="24"/>
          <w:szCs w:val="24"/>
        </w:rPr>
        <w:t>France</w:t>
      </w:r>
    </w:p>
    <w:p w:rsidR="001C33FD" w:rsidRPr="008F6781" w:rsidRDefault="001C33FD" w:rsidP="000861DC">
      <w:pPr>
        <w:autoSpaceDE w:val="0"/>
        <w:autoSpaceDN w:val="0"/>
        <w:adjustRightInd w:val="0"/>
        <w:jc w:val="left"/>
        <w:rPr>
          <w:rFonts w:ascii="Arial" w:hAnsi="Arial" w:cs="Arial"/>
          <w:sz w:val="24"/>
          <w:szCs w:val="24"/>
        </w:rPr>
      </w:pPr>
    </w:p>
    <w:p w:rsidR="00234F48" w:rsidRDefault="00234F48" w:rsidP="00234F48">
      <w:pPr>
        <w:autoSpaceDE w:val="0"/>
        <w:autoSpaceDN w:val="0"/>
        <w:adjustRightInd w:val="0"/>
        <w:jc w:val="left"/>
        <w:rPr>
          <w:rFonts w:ascii="Arial" w:hAnsi="Arial" w:cs="Arial"/>
          <w:sz w:val="24"/>
          <w:szCs w:val="24"/>
        </w:rPr>
      </w:pPr>
      <w:r w:rsidRPr="00650B53">
        <w:rPr>
          <w:rFonts w:ascii="Arial" w:hAnsi="Arial" w:cs="Arial"/>
          <w:sz w:val="24"/>
          <w:szCs w:val="24"/>
        </w:rPr>
        <w:t>Kingfisher France sales grew by 3.3% to £1,077 million (+1.6</w:t>
      </w:r>
      <w:r w:rsidR="00283AEC">
        <w:rPr>
          <w:rFonts w:ascii="Arial" w:hAnsi="Arial" w:cs="Arial"/>
          <w:sz w:val="24"/>
          <w:szCs w:val="24"/>
        </w:rPr>
        <w:t>% LFL; -</w:t>
      </w:r>
      <w:r w:rsidR="006D4F90">
        <w:rPr>
          <w:rFonts w:ascii="Arial" w:hAnsi="Arial" w:cs="Arial"/>
          <w:sz w:val="24"/>
          <w:szCs w:val="24"/>
        </w:rPr>
        <w:t>4.1</w:t>
      </w:r>
      <w:r>
        <w:rPr>
          <w:rFonts w:ascii="Arial" w:hAnsi="Arial" w:cs="Arial"/>
          <w:sz w:val="24"/>
          <w:szCs w:val="24"/>
        </w:rPr>
        <w:t xml:space="preserve">% </w:t>
      </w:r>
      <w:r w:rsidR="007419A7">
        <w:rPr>
          <w:rFonts w:ascii="Arial" w:hAnsi="Arial" w:cs="Arial"/>
          <w:sz w:val="24"/>
          <w:szCs w:val="24"/>
        </w:rPr>
        <w:t xml:space="preserve">2 year </w:t>
      </w:r>
      <w:r>
        <w:rPr>
          <w:rFonts w:ascii="Arial" w:hAnsi="Arial" w:cs="Arial"/>
          <w:sz w:val="24"/>
          <w:szCs w:val="24"/>
        </w:rPr>
        <w:t xml:space="preserve">LFL) driven by better weather patterns compared to Q1 last year, whilst underlying markets remained soft. </w:t>
      </w:r>
      <w:r w:rsidR="00195AB2">
        <w:rPr>
          <w:rFonts w:ascii="Arial" w:hAnsi="Arial" w:cs="Arial"/>
          <w:sz w:val="24"/>
          <w:szCs w:val="24"/>
        </w:rPr>
        <w:t xml:space="preserve">Across the two businesses, 2% net new space was added </w:t>
      </w:r>
      <w:r w:rsidR="00800E1F">
        <w:rPr>
          <w:rFonts w:ascii="Arial" w:hAnsi="Arial" w:cs="Arial"/>
          <w:sz w:val="24"/>
          <w:szCs w:val="24"/>
        </w:rPr>
        <w:t>compared to Q1 last year.</w:t>
      </w:r>
      <w:r w:rsidR="00195AB2">
        <w:rPr>
          <w:rFonts w:ascii="Arial" w:hAnsi="Arial" w:cs="Arial"/>
          <w:sz w:val="24"/>
          <w:szCs w:val="24"/>
        </w:rPr>
        <w:t xml:space="preserve"> Two stores were revamped and two Castorama stores were closed ahead of conversion to Brico Dépôt by the summer. </w:t>
      </w:r>
    </w:p>
    <w:p w:rsidR="00234F48" w:rsidRPr="002504DD" w:rsidRDefault="00234F48" w:rsidP="00234F48">
      <w:pPr>
        <w:jc w:val="left"/>
        <w:rPr>
          <w:rFonts w:ascii="Arial" w:hAnsi="Arial" w:cs="Arial"/>
          <w:color w:val="FF0000"/>
          <w:sz w:val="24"/>
          <w:szCs w:val="24"/>
          <w:highlight w:val="yellow"/>
        </w:rPr>
      </w:pPr>
    </w:p>
    <w:p w:rsidR="00195AB2" w:rsidRDefault="00234F48" w:rsidP="00234F48">
      <w:pPr>
        <w:autoSpaceDE w:val="0"/>
        <w:autoSpaceDN w:val="0"/>
        <w:adjustRightInd w:val="0"/>
        <w:jc w:val="left"/>
        <w:rPr>
          <w:rFonts w:ascii="Arial" w:hAnsi="Arial" w:cs="Arial"/>
          <w:sz w:val="24"/>
          <w:szCs w:val="24"/>
        </w:rPr>
      </w:pPr>
      <w:r w:rsidRPr="008826E1">
        <w:rPr>
          <w:rFonts w:ascii="Arial" w:hAnsi="Arial" w:cs="Arial"/>
          <w:sz w:val="24"/>
          <w:szCs w:val="24"/>
        </w:rPr>
        <w:t xml:space="preserve">Gross margins were up 60 basis </w:t>
      </w:r>
      <w:r w:rsidRPr="008D6CFC">
        <w:rPr>
          <w:rFonts w:ascii="Arial" w:hAnsi="Arial" w:cs="Arial"/>
          <w:sz w:val="24"/>
          <w:szCs w:val="24"/>
        </w:rPr>
        <w:t>points</w:t>
      </w:r>
      <w:r w:rsidR="00652919">
        <w:rPr>
          <w:rFonts w:ascii="Arial" w:hAnsi="Arial" w:cs="Arial"/>
          <w:sz w:val="24"/>
          <w:szCs w:val="24"/>
        </w:rPr>
        <w:t xml:space="preserve"> benefit</w:t>
      </w:r>
      <w:r>
        <w:rPr>
          <w:rFonts w:ascii="Arial" w:hAnsi="Arial" w:cs="Arial"/>
          <w:sz w:val="24"/>
          <w:szCs w:val="24"/>
        </w:rPr>
        <w:t>ing from ongoing self-help initiatives</w:t>
      </w:r>
      <w:r w:rsidR="00195AB2">
        <w:rPr>
          <w:rFonts w:ascii="Arial" w:hAnsi="Arial" w:cs="Arial"/>
          <w:sz w:val="24"/>
          <w:szCs w:val="24"/>
        </w:rPr>
        <w:t xml:space="preserve"> and less promotional activity compared to Q1 last year</w:t>
      </w:r>
      <w:r>
        <w:rPr>
          <w:rFonts w:ascii="Arial" w:hAnsi="Arial" w:cs="Arial"/>
          <w:sz w:val="24"/>
          <w:szCs w:val="24"/>
        </w:rPr>
        <w:t xml:space="preserve">. </w:t>
      </w:r>
      <w:r w:rsidR="00195AB2">
        <w:rPr>
          <w:rFonts w:ascii="Arial" w:hAnsi="Arial" w:cs="Arial"/>
          <w:sz w:val="24"/>
          <w:szCs w:val="24"/>
        </w:rPr>
        <w:t>Cash gross profit</w:t>
      </w:r>
      <w:r w:rsidR="00D376C2">
        <w:rPr>
          <w:rFonts w:ascii="Arial" w:hAnsi="Arial" w:cs="Arial"/>
          <w:sz w:val="24"/>
          <w:szCs w:val="24"/>
        </w:rPr>
        <w:t>*</w:t>
      </w:r>
      <w:r w:rsidR="00195AB2">
        <w:rPr>
          <w:rFonts w:ascii="Arial" w:hAnsi="Arial" w:cs="Arial"/>
          <w:sz w:val="24"/>
          <w:szCs w:val="24"/>
        </w:rPr>
        <w:t xml:space="preserve"> was ahead of last year. </w:t>
      </w:r>
      <w:r>
        <w:rPr>
          <w:rFonts w:ascii="Arial" w:hAnsi="Arial" w:cs="Arial"/>
          <w:sz w:val="24"/>
          <w:szCs w:val="24"/>
        </w:rPr>
        <w:t xml:space="preserve">Retail profit </w:t>
      </w:r>
      <w:r w:rsidR="00D376C2">
        <w:rPr>
          <w:rFonts w:ascii="Arial" w:hAnsi="Arial" w:cs="Arial"/>
          <w:sz w:val="24"/>
          <w:szCs w:val="24"/>
        </w:rPr>
        <w:t xml:space="preserve">grew by 9.8% to £70 million driven by the sales growth and higher gross margins offset by higher levels of variable pay. </w:t>
      </w:r>
    </w:p>
    <w:p w:rsidR="001920A3" w:rsidRPr="00D376C2" w:rsidRDefault="001920A3" w:rsidP="00D376C2">
      <w:pPr>
        <w:autoSpaceDE w:val="0"/>
        <w:autoSpaceDN w:val="0"/>
        <w:adjustRightInd w:val="0"/>
        <w:jc w:val="left"/>
        <w:rPr>
          <w:rFonts w:ascii="Arial" w:hAnsi="Arial" w:cs="Arial"/>
          <w:sz w:val="24"/>
          <w:szCs w:val="24"/>
        </w:rPr>
      </w:pPr>
    </w:p>
    <w:p w:rsidR="00D376C2" w:rsidRDefault="00D376C2" w:rsidP="00D95AC6">
      <w:pPr>
        <w:jc w:val="left"/>
        <w:rPr>
          <w:rFonts w:ascii="Arial" w:hAnsi="Arial" w:cs="Arial"/>
          <w:sz w:val="24"/>
          <w:szCs w:val="24"/>
        </w:rPr>
      </w:pPr>
      <w:r w:rsidRPr="00DF79C4">
        <w:rPr>
          <w:rFonts w:ascii="Arial" w:hAnsi="Arial" w:cs="Arial"/>
          <w:b/>
          <w:bCs/>
          <w:sz w:val="24"/>
          <w:szCs w:val="24"/>
        </w:rPr>
        <w:t xml:space="preserve">Castorama </w:t>
      </w:r>
      <w:r w:rsidRPr="00DF79C4">
        <w:rPr>
          <w:rFonts w:ascii="Arial" w:hAnsi="Arial" w:cs="Arial"/>
          <w:sz w:val="24"/>
          <w:szCs w:val="24"/>
        </w:rPr>
        <w:t>total sales grew by 2.8% to £593 million (+2.0% LFL</w:t>
      </w:r>
      <w:r w:rsidR="00FB5FDC">
        <w:rPr>
          <w:rFonts w:ascii="Arial" w:hAnsi="Arial" w:cs="Arial"/>
          <w:sz w:val="24"/>
          <w:szCs w:val="24"/>
        </w:rPr>
        <w:t>;</w:t>
      </w:r>
      <w:r w:rsidR="00283AEC">
        <w:rPr>
          <w:rFonts w:ascii="Arial" w:hAnsi="Arial" w:cs="Arial"/>
          <w:sz w:val="24"/>
          <w:szCs w:val="24"/>
        </w:rPr>
        <w:t xml:space="preserve"> -</w:t>
      </w:r>
      <w:r>
        <w:rPr>
          <w:rFonts w:ascii="Arial" w:hAnsi="Arial" w:cs="Arial"/>
          <w:sz w:val="24"/>
          <w:szCs w:val="24"/>
        </w:rPr>
        <w:t>2.</w:t>
      </w:r>
      <w:r w:rsidR="006D4F90">
        <w:rPr>
          <w:rFonts w:ascii="Arial" w:hAnsi="Arial" w:cs="Arial"/>
          <w:sz w:val="24"/>
          <w:szCs w:val="24"/>
        </w:rPr>
        <w:t>2</w:t>
      </w:r>
      <w:r w:rsidR="007419A7">
        <w:rPr>
          <w:rFonts w:ascii="Arial" w:hAnsi="Arial" w:cs="Arial"/>
          <w:sz w:val="24"/>
          <w:szCs w:val="24"/>
        </w:rPr>
        <w:t>% 2 year LFL</w:t>
      </w:r>
      <w:r w:rsidRPr="00DF79C4">
        <w:rPr>
          <w:rFonts w:ascii="Arial" w:hAnsi="Arial" w:cs="Arial"/>
          <w:sz w:val="24"/>
          <w:szCs w:val="24"/>
        </w:rPr>
        <w:t>)</w:t>
      </w:r>
      <w:r>
        <w:rPr>
          <w:rFonts w:ascii="Arial" w:hAnsi="Arial" w:cs="Arial"/>
          <w:sz w:val="24"/>
          <w:szCs w:val="24"/>
        </w:rPr>
        <w:t xml:space="preserve"> benefitting from better weather </w:t>
      </w:r>
      <w:r w:rsidRPr="00C83689">
        <w:rPr>
          <w:rFonts w:ascii="Arial" w:hAnsi="Arial" w:cs="Arial"/>
          <w:sz w:val="24"/>
          <w:szCs w:val="24"/>
        </w:rPr>
        <w:t>and its innovative ‘Do-it-Smart’ approach aimed at making home improvement projects easier for customers.</w:t>
      </w:r>
      <w:r>
        <w:rPr>
          <w:rFonts w:ascii="Arial" w:hAnsi="Arial" w:cs="Arial"/>
          <w:sz w:val="24"/>
          <w:szCs w:val="24"/>
        </w:rPr>
        <w:t xml:space="preserve"> S</w:t>
      </w:r>
      <w:r w:rsidRPr="008B38D4">
        <w:rPr>
          <w:rFonts w:ascii="Arial" w:hAnsi="Arial" w:cs="Arial"/>
          <w:sz w:val="24"/>
          <w:szCs w:val="24"/>
        </w:rPr>
        <w:t>ales of ou</w:t>
      </w:r>
      <w:r w:rsidR="00652919">
        <w:rPr>
          <w:rFonts w:ascii="Arial" w:hAnsi="Arial" w:cs="Arial"/>
          <w:sz w:val="24"/>
          <w:szCs w:val="24"/>
        </w:rPr>
        <w:t>tdoor products were up around 17% whereas</w:t>
      </w:r>
      <w:r w:rsidRPr="008B38D4">
        <w:rPr>
          <w:rFonts w:ascii="Arial" w:hAnsi="Arial" w:cs="Arial"/>
          <w:sz w:val="24"/>
          <w:szCs w:val="24"/>
        </w:rPr>
        <w:t xml:space="preserve"> </w:t>
      </w:r>
      <w:r>
        <w:rPr>
          <w:rFonts w:ascii="Arial" w:hAnsi="Arial" w:cs="Arial"/>
          <w:sz w:val="24"/>
          <w:szCs w:val="24"/>
        </w:rPr>
        <w:t xml:space="preserve">sales of </w:t>
      </w:r>
      <w:r w:rsidRPr="008B38D4">
        <w:rPr>
          <w:rFonts w:ascii="Arial" w:hAnsi="Arial" w:cs="Arial"/>
          <w:sz w:val="24"/>
          <w:szCs w:val="24"/>
        </w:rPr>
        <w:t>indoor</w:t>
      </w:r>
      <w:r w:rsidR="00652919">
        <w:rPr>
          <w:rFonts w:ascii="Arial" w:hAnsi="Arial" w:cs="Arial"/>
          <w:sz w:val="24"/>
          <w:szCs w:val="24"/>
        </w:rPr>
        <w:t xml:space="preserve"> products</w:t>
      </w:r>
      <w:r w:rsidRPr="008B38D4">
        <w:rPr>
          <w:rFonts w:ascii="Arial" w:hAnsi="Arial" w:cs="Arial"/>
          <w:sz w:val="24"/>
          <w:szCs w:val="24"/>
        </w:rPr>
        <w:t xml:space="preserve"> </w:t>
      </w:r>
      <w:r>
        <w:rPr>
          <w:rFonts w:ascii="Arial" w:hAnsi="Arial" w:cs="Arial"/>
          <w:sz w:val="24"/>
          <w:szCs w:val="24"/>
        </w:rPr>
        <w:t xml:space="preserve">were </w:t>
      </w:r>
      <w:r w:rsidR="00652919">
        <w:rPr>
          <w:rFonts w:ascii="Arial" w:hAnsi="Arial" w:cs="Arial"/>
          <w:sz w:val="24"/>
          <w:szCs w:val="24"/>
        </w:rPr>
        <w:t>broadly flat.</w:t>
      </w:r>
      <w:r>
        <w:rPr>
          <w:rFonts w:ascii="Arial" w:hAnsi="Arial" w:cs="Arial"/>
          <w:sz w:val="24"/>
          <w:szCs w:val="24"/>
        </w:rPr>
        <w:t xml:space="preserve">  </w:t>
      </w:r>
    </w:p>
    <w:p w:rsidR="004312F8" w:rsidRDefault="004312F8" w:rsidP="00D95AC6">
      <w:pPr>
        <w:jc w:val="left"/>
        <w:rPr>
          <w:rFonts w:ascii="Arial" w:hAnsi="Arial" w:cs="Arial"/>
          <w:sz w:val="24"/>
          <w:szCs w:val="24"/>
        </w:rPr>
      </w:pPr>
    </w:p>
    <w:p w:rsidR="00D376C2" w:rsidRPr="00D376C2" w:rsidRDefault="00D376C2" w:rsidP="00D95AC6">
      <w:pPr>
        <w:jc w:val="left"/>
        <w:rPr>
          <w:rFonts w:ascii="Arial" w:hAnsi="Arial" w:cs="Arial"/>
          <w:sz w:val="24"/>
          <w:szCs w:val="24"/>
          <w:highlight w:val="yellow"/>
        </w:rPr>
      </w:pPr>
      <w:r>
        <w:rPr>
          <w:rFonts w:ascii="Arial" w:hAnsi="Arial" w:cs="Arial"/>
          <w:sz w:val="24"/>
          <w:szCs w:val="24"/>
        </w:rPr>
        <w:t>According to provisional Banque de France</w:t>
      </w:r>
      <w:r w:rsidR="00631501">
        <w:rPr>
          <w:rFonts w:ascii="Arial" w:hAnsi="Arial" w:cs="Arial"/>
          <w:sz w:val="24"/>
          <w:szCs w:val="24"/>
        </w:rPr>
        <w:t>*</w:t>
      </w:r>
      <w:r>
        <w:rPr>
          <w:rFonts w:ascii="Arial" w:hAnsi="Arial" w:cs="Arial"/>
          <w:sz w:val="24"/>
          <w:szCs w:val="24"/>
        </w:rPr>
        <w:t xml:space="preserve"> data, sales for the home improvement market </w:t>
      </w:r>
      <w:r w:rsidR="00652919">
        <w:rPr>
          <w:rFonts w:ascii="Arial" w:hAnsi="Arial" w:cs="Arial"/>
          <w:sz w:val="24"/>
          <w:szCs w:val="24"/>
        </w:rPr>
        <w:t xml:space="preserve">were </w:t>
      </w:r>
      <w:r>
        <w:rPr>
          <w:rFonts w:ascii="Arial" w:hAnsi="Arial" w:cs="Arial"/>
          <w:sz w:val="24"/>
          <w:szCs w:val="24"/>
        </w:rPr>
        <w:t xml:space="preserve">up </w:t>
      </w:r>
      <w:r w:rsidR="00652919">
        <w:rPr>
          <w:rFonts w:ascii="Arial" w:hAnsi="Arial" w:cs="Arial"/>
          <w:sz w:val="24"/>
          <w:szCs w:val="24"/>
        </w:rPr>
        <w:t>around 3%, down around 4</w:t>
      </w:r>
      <w:r>
        <w:rPr>
          <w:rFonts w:ascii="Arial" w:hAnsi="Arial" w:cs="Arial"/>
          <w:sz w:val="24"/>
          <w:szCs w:val="24"/>
        </w:rPr>
        <w:t xml:space="preserve">% on a two year basis. </w:t>
      </w:r>
    </w:p>
    <w:p w:rsidR="00652919" w:rsidRDefault="00652919" w:rsidP="00652919">
      <w:pPr>
        <w:spacing w:before="240"/>
        <w:jc w:val="left"/>
        <w:rPr>
          <w:rFonts w:ascii="Arial" w:hAnsi="Arial" w:cs="Arial"/>
          <w:sz w:val="24"/>
          <w:szCs w:val="24"/>
        </w:rPr>
      </w:pPr>
      <w:r>
        <w:rPr>
          <w:rFonts w:ascii="Arial" w:hAnsi="Arial" w:cs="Arial"/>
          <w:b/>
          <w:sz w:val="24"/>
          <w:szCs w:val="24"/>
        </w:rPr>
        <w:t>Brico Dépôt</w:t>
      </w:r>
      <w:r w:rsidR="00C24B08">
        <w:rPr>
          <w:rFonts w:ascii="Arial" w:hAnsi="Arial" w:cs="Arial"/>
          <w:sz w:val="24"/>
          <w:szCs w:val="24"/>
        </w:rPr>
        <w:t xml:space="preserve">, which </w:t>
      </w:r>
      <w:r w:rsidR="00C24B08" w:rsidRPr="00C83689">
        <w:rPr>
          <w:rFonts w:ascii="Arial" w:hAnsi="Arial" w:cs="Arial"/>
          <w:sz w:val="24"/>
          <w:szCs w:val="24"/>
        </w:rPr>
        <w:t>more specifically targets trade professionals and heavy DIYers</w:t>
      </w:r>
      <w:r w:rsidR="00C24B08">
        <w:rPr>
          <w:rFonts w:ascii="Arial" w:hAnsi="Arial" w:cs="Arial"/>
          <w:sz w:val="24"/>
          <w:szCs w:val="24"/>
        </w:rPr>
        <w:t xml:space="preserve">, grew </w:t>
      </w:r>
      <w:r>
        <w:rPr>
          <w:rFonts w:ascii="Arial" w:hAnsi="Arial" w:cs="Arial"/>
          <w:sz w:val="24"/>
          <w:szCs w:val="24"/>
        </w:rPr>
        <w:t>t</w:t>
      </w:r>
      <w:r w:rsidR="00A04F66">
        <w:rPr>
          <w:rFonts w:ascii="Arial" w:hAnsi="Arial" w:cs="Arial"/>
          <w:sz w:val="24"/>
          <w:szCs w:val="24"/>
        </w:rPr>
        <w:t xml:space="preserve">otal sales </w:t>
      </w:r>
      <w:r w:rsidRPr="00C83689">
        <w:rPr>
          <w:rFonts w:ascii="Arial" w:hAnsi="Arial" w:cs="Arial"/>
          <w:sz w:val="24"/>
          <w:szCs w:val="24"/>
        </w:rPr>
        <w:t>by 4.0% to £484 million (+1.2% LFL</w:t>
      </w:r>
      <w:r w:rsidR="00FB5FDC">
        <w:rPr>
          <w:rFonts w:ascii="Arial" w:hAnsi="Arial" w:cs="Arial"/>
          <w:sz w:val="24"/>
          <w:szCs w:val="24"/>
        </w:rPr>
        <w:t>;</w:t>
      </w:r>
      <w:r w:rsidR="00283AEC">
        <w:rPr>
          <w:rFonts w:ascii="Arial" w:hAnsi="Arial" w:cs="Arial"/>
          <w:sz w:val="24"/>
          <w:szCs w:val="24"/>
        </w:rPr>
        <w:t xml:space="preserve"> -</w:t>
      </w:r>
      <w:r>
        <w:rPr>
          <w:rFonts w:ascii="Arial" w:hAnsi="Arial" w:cs="Arial"/>
          <w:sz w:val="24"/>
          <w:szCs w:val="24"/>
        </w:rPr>
        <w:t>6.</w:t>
      </w:r>
      <w:r w:rsidR="006D4F90">
        <w:rPr>
          <w:rFonts w:ascii="Arial" w:hAnsi="Arial" w:cs="Arial"/>
          <w:sz w:val="24"/>
          <w:szCs w:val="24"/>
        </w:rPr>
        <w:t>3</w:t>
      </w:r>
      <w:r>
        <w:rPr>
          <w:rFonts w:ascii="Arial" w:hAnsi="Arial" w:cs="Arial"/>
          <w:sz w:val="24"/>
          <w:szCs w:val="24"/>
        </w:rPr>
        <w:t xml:space="preserve">% </w:t>
      </w:r>
      <w:r w:rsidR="007419A7">
        <w:rPr>
          <w:rFonts w:ascii="Arial" w:hAnsi="Arial" w:cs="Arial"/>
          <w:sz w:val="24"/>
          <w:szCs w:val="24"/>
        </w:rPr>
        <w:t>2 year LFL</w:t>
      </w:r>
      <w:r w:rsidRPr="00C83689">
        <w:rPr>
          <w:rFonts w:ascii="Arial" w:hAnsi="Arial" w:cs="Arial"/>
          <w:sz w:val="24"/>
          <w:szCs w:val="24"/>
        </w:rPr>
        <w:t>)</w:t>
      </w:r>
      <w:r w:rsidR="00A04F66">
        <w:rPr>
          <w:rFonts w:ascii="Arial" w:hAnsi="Arial" w:cs="Arial"/>
          <w:sz w:val="24"/>
          <w:szCs w:val="24"/>
        </w:rPr>
        <w:t xml:space="preserve"> driven by new store openings. In an ongoing soft trade market </w:t>
      </w:r>
      <w:r>
        <w:rPr>
          <w:rFonts w:ascii="Arial" w:hAnsi="Arial" w:cs="Arial"/>
          <w:sz w:val="24"/>
          <w:szCs w:val="24"/>
        </w:rPr>
        <w:t>Brico Dépôt benefited from self-help initiatives which continued to progress well. Thes</w:t>
      </w:r>
      <w:r w:rsidR="00A04F66">
        <w:rPr>
          <w:rFonts w:ascii="Arial" w:hAnsi="Arial" w:cs="Arial"/>
          <w:sz w:val="24"/>
          <w:szCs w:val="24"/>
        </w:rPr>
        <w:t>e</w:t>
      </w:r>
      <w:r>
        <w:rPr>
          <w:rFonts w:ascii="Arial" w:hAnsi="Arial" w:cs="Arial"/>
          <w:sz w:val="24"/>
          <w:szCs w:val="24"/>
        </w:rPr>
        <w:t xml:space="preserve"> included new ranges introduced last year </w:t>
      </w:r>
      <w:r w:rsidRPr="00C83689">
        <w:rPr>
          <w:rFonts w:ascii="Arial" w:hAnsi="Arial" w:cs="Arial"/>
          <w:sz w:val="24"/>
          <w:szCs w:val="24"/>
        </w:rPr>
        <w:t xml:space="preserve">(e.g. </w:t>
      </w:r>
      <w:r>
        <w:rPr>
          <w:rFonts w:ascii="Arial" w:hAnsi="Arial" w:cs="Arial"/>
          <w:sz w:val="24"/>
          <w:szCs w:val="24"/>
        </w:rPr>
        <w:t xml:space="preserve">kitchens and outdoor tiling and joinery ranges) and </w:t>
      </w:r>
      <w:r w:rsidRPr="00C83689">
        <w:rPr>
          <w:rFonts w:ascii="Arial" w:hAnsi="Arial" w:cs="Arial"/>
          <w:sz w:val="24"/>
          <w:szCs w:val="24"/>
        </w:rPr>
        <w:t>‘arrivages’ (rolling prog</w:t>
      </w:r>
      <w:r>
        <w:rPr>
          <w:rFonts w:ascii="Arial" w:hAnsi="Arial" w:cs="Arial"/>
          <w:sz w:val="24"/>
          <w:szCs w:val="24"/>
        </w:rPr>
        <w:t xml:space="preserve">rammes of one-off special buys) </w:t>
      </w:r>
      <w:r w:rsidRPr="00C83689">
        <w:rPr>
          <w:rFonts w:ascii="Arial" w:hAnsi="Arial" w:cs="Arial"/>
          <w:sz w:val="24"/>
          <w:szCs w:val="24"/>
        </w:rPr>
        <w:t>reinforcing Brico Dépôt’s value credentials.</w:t>
      </w:r>
      <w:r>
        <w:rPr>
          <w:rFonts w:ascii="Arial" w:hAnsi="Arial" w:cs="Arial"/>
          <w:sz w:val="24"/>
          <w:szCs w:val="24"/>
        </w:rPr>
        <w:t xml:space="preserve">  </w:t>
      </w:r>
      <w:r w:rsidRPr="007A5CE1">
        <w:rPr>
          <w:rFonts w:ascii="Arial" w:hAnsi="Arial" w:cs="Arial"/>
          <w:sz w:val="24"/>
          <w:szCs w:val="24"/>
        </w:rPr>
        <w:t xml:space="preserve"> </w:t>
      </w:r>
    </w:p>
    <w:p w:rsidR="001920A3" w:rsidRPr="001A35EE" w:rsidRDefault="00D81C7D" w:rsidP="00FE1D95">
      <w:pPr>
        <w:jc w:val="left"/>
        <w:rPr>
          <w:rFonts w:ascii="Arial" w:hAnsi="Arial" w:cs="Arial"/>
          <w:sz w:val="24"/>
          <w:szCs w:val="24"/>
        </w:rPr>
      </w:pPr>
      <w:r w:rsidRPr="007B349B">
        <w:rPr>
          <w:rFonts w:ascii="Arial" w:hAnsi="Arial" w:cs="Arial"/>
          <w:b/>
          <w:color w:val="FF0000"/>
          <w:sz w:val="24"/>
          <w:szCs w:val="24"/>
        </w:rPr>
        <w:br w:type="page"/>
      </w:r>
      <w:r w:rsidR="001920A3" w:rsidRPr="001A35EE">
        <w:rPr>
          <w:rFonts w:ascii="Arial" w:hAnsi="Arial" w:cs="Arial"/>
          <w:b/>
          <w:sz w:val="24"/>
          <w:szCs w:val="24"/>
        </w:rPr>
        <w:lastRenderedPageBreak/>
        <w:t>UK &amp; IRELAND</w:t>
      </w:r>
    </w:p>
    <w:p w:rsidR="001920A3" w:rsidRPr="00FD57E1" w:rsidRDefault="001920A3" w:rsidP="000861DC">
      <w:pPr>
        <w:rPr>
          <w:rFonts w:ascii="Arial" w:hAnsi="Arial" w:cs="Arial"/>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612"/>
        <w:gridCol w:w="1336"/>
        <w:gridCol w:w="1530"/>
        <w:gridCol w:w="1499"/>
        <w:gridCol w:w="1262"/>
      </w:tblGrid>
      <w:tr w:rsidR="00FD57E1" w:rsidRPr="00FD57E1" w:rsidTr="00C91C70">
        <w:tc>
          <w:tcPr>
            <w:tcW w:w="1295" w:type="pct"/>
            <w:tcBorders>
              <w:bottom w:val="nil"/>
            </w:tcBorders>
          </w:tcPr>
          <w:p w:rsidR="001920A3" w:rsidRPr="001A35EE" w:rsidRDefault="001920A3" w:rsidP="0064444D">
            <w:pPr>
              <w:rPr>
                <w:rFonts w:ascii="Arial" w:hAnsi="Arial" w:cs="Arial"/>
                <w:sz w:val="24"/>
                <w:szCs w:val="24"/>
              </w:rPr>
            </w:pPr>
            <w:r w:rsidRPr="001A35EE">
              <w:rPr>
                <w:rFonts w:ascii="Arial" w:hAnsi="Arial" w:cs="Arial"/>
                <w:b/>
                <w:sz w:val="24"/>
                <w:szCs w:val="24"/>
              </w:rPr>
              <w:t>Sales £m</w:t>
            </w:r>
          </w:p>
        </w:tc>
        <w:tc>
          <w:tcPr>
            <w:tcW w:w="825" w:type="pct"/>
            <w:tcBorders>
              <w:bottom w:val="nil"/>
            </w:tcBorders>
          </w:tcPr>
          <w:p w:rsidR="001920A3" w:rsidRPr="00FD57E1" w:rsidRDefault="001920A3" w:rsidP="0064444D">
            <w:pPr>
              <w:jc w:val="right"/>
              <w:rPr>
                <w:rFonts w:ascii="Arial" w:hAnsi="Arial" w:cs="Arial"/>
                <w:b/>
                <w:color w:val="FF0000"/>
                <w:sz w:val="24"/>
                <w:szCs w:val="24"/>
              </w:rPr>
            </w:pPr>
            <w:r w:rsidRPr="001A35EE">
              <w:rPr>
                <w:rFonts w:ascii="Arial" w:hAnsi="Arial" w:cs="Arial"/>
                <w:b/>
                <w:sz w:val="24"/>
                <w:szCs w:val="24"/>
              </w:rPr>
              <w:t>201</w:t>
            </w:r>
            <w:r w:rsidR="00FF733A">
              <w:rPr>
                <w:rFonts w:ascii="Arial" w:hAnsi="Arial" w:cs="Arial"/>
                <w:b/>
                <w:sz w:val="24"/>
                <w:szCs w:val="24"/>
              </w:rPr>
              <w:t>4</w:t>
            </w:r>
            <w:r w:rsidRPr="001A35EE">
              <w:rPr>
                <w:rFonts w:ascii="Arial" w:hAnsi="Arial" w:cs="Arial"/>
                <w:b/>
                <w:sz w:val="24"/>
                <w:szCs w:val="24"/>
              </w:rPr>
              <w:t>/1</w:t>
            </w:r>
            <w:r w:rsidR="00FF733A">
              <w:rPr>
                <w:rFonts w:ascii="Arial" w:hAnsi="Arial" w:cs="Arial"/>
                <w:b/>
                <w:sz w:val="24"/>
                <w:szCs w:val="24"/>
              </w:rPr>
              <w:t>5</w:t>
            </w:r>
          </w:p>
        </w:tc>
        <w:tc>
          <w:tcPr>
            <w:tcW w:w="684" w:type="pct"/>
            <w:tcBorders>
              <w:bottom w:val="nil"/>
            </w:tcBorders>
          </w:tcPr>
          <w:p w:rsidR="001920A3" w:rsidRPr="00FD57E1" w:rsidRDefault="00FF733A" w:rsidP="0064444D">
            <w:pPr>
              <w:jc w:val="right"/>
              <w:rPr>
                <w:rFonts w:ascii="Arial" w:hAnsi="Arial" w:cs="Arial"/>
                <w:b/>
                <w:color w:val="FF0000"/>
                <w:sz w:val="24"/>
                <w:szCs w:val="24"/>
              </w:rPr>
            </w:pPr>
            <w:r w:rsidRPr="001A35EE">
              <w:rPr>
                <w:rFonts w:ascii="Arial" w:hAnsi="Arial" w:cs="Arial"/>
                <w:b/>
                <w:sz w:val="24"/>
                <w:szCs w:val="24"/>
              </w:rPr>
              <w:t>201</w:t>
            </w:r>
            <w:r>
              <w:rPr>
                <w:rFonts w:ascii="Arial" w:hAnsi="Arial" w:cs="Arial"/>
                <w:b/>
                <w:sz w:val="24"/>
                <w:szCs w:val="24"/>
              </w:rPr>
              <w:t>3</w:t>
            </w:r>
            <w:r w:rsidRPr="001A35EE">
              <w:rPr>
                <w:rFonts w:ascii="Arial" w:hAnsi="Arial" w:cs="Arial"/>
                <w:b/>
                <w:sz w:val="24"/>
                <w:szCs w:val="24"/>
              </w:rPr>
              <w:t>/1</w:t>
            </w:r>
            <w:r>
              <w:rPr>
                <w:rFonts w:ascii="Arial" w:hAnsi="Arial" w:cs="Arial"/>
                <w:b/>
                <w:sz w:val="24"/>
                <w:szCs w:val="24"/>
              </w:rPr>
              <w:t>4</w:t>
            </w:r>
          </w:p>
        </w:tc>
        <w:tc>
          <w:tcPr>
            <w:tcW w:w="783" w:type="pct"/>
            <w:tcBorders>
              <w:bottom w:val="nil"/>
            </w:tcBorders>
          </w:tcPr>
          <w:p w:rsidR="001920A3" w:rsidRPr="001A35EE" w:rsidRDefault="001920A3" w:rsidP="00E41292">
            <w:pPr>
              <w:jc w:val="right"/>
              <w:rPr>
                <w:rFonts w:ascii="Arial" w:hAnsi="Arial" w:cs="Arial"/>
                <w:b/>
                <w:sz w:val="24"/>
                <w:szCs w:val="24"/>
              </w:rPr>
            </w:pPr>
            <w:r w:rsidRPr="001A35EE">
              <w:rPr>
                <w:rFonts w:ascii="Arial" w:hAnsi="Arial" w:cs="Arial"/>
                <w:b/>
                <w:sz w:val="24"/>
                <w:szCs w:val="24"/>
              </w:rPr>
              <w:t xml:space="preserve">% </w:t>
            </w:r>
            <w:r w:rsidR="00E41292">
              <w:rPr>
                <w:rFonts w:ascii="Arial" w:hAnsi="Arial" w:cs="Arial"/>
                <w:b/>
                <w:sz w:val="24"/>
                <w:szCs w:val="24"/>
              </w:rPr>
              <w:t xml:space="preserve">Total </w:t>
            </w:r>
            <w:r w:rsidRPr="001A35EE">
              <w:rPr>
                <w:rFonts w:ascii="Arial" w:hAnsi="Arial" w:cs="Arial"/>
                <w:b/>
                <w:sz w:val="24"/>
                <w:szCs w:val="24"/>
              </w:rPr>
              <w:t>Change</w:t>
            </w:r>
            <w:r w:rsidR="00E41292">
              <w:rPr>
                <w:rFonts w:ascii="Arial" w:hAnsi="Arial" w:cs="Arial"/>
                <w:b/>
                <w:sz w:val="24"/>
                <w:szCs w:val="24"/>
              </w:rPr>
              <w:t xml:space="preserve"> Reported</w:t>
            </w:r>
          </w:p>
        </w:tc>
        <w:tc>
          <w:tcPr>
            <w:tcW w:w="767" w:type="pct"/>
            <w:tcBorders>
              <w:bottom w:val="nil"/>
            </w:tcBorders>
          </w:tcPr>
          <w:p w:rsidR="001920A3" w:rsidRDefault="001920A3" w:rsidP="0064444D">
            <w:pPr>
              <w:jc w:val="right"/>
              <w:rPr>
                <w:rFonts w:ascii="Arial" w:hAnsi="Arial" w:cs="Arial"/>
                <w:b/>
                <w:sz w:val="24"/>
                <w:szCs w:val="24"/>
              </w:rPr>
            </w:pPr>
            <w:r w:rsidRPr="001A35EE">
              <w:rPr>
                <w:rFonts w:ascii="Arial" w:hAnsi="Arial" w:cs="Arial"/>
                <w:b/>
                <w:sz w:val="24"/>
                <w:szCs w:val="24"/>
              </w:rPr>
              <w:t xml:space="preserve">% </w:t>
            </w:r>
            <w:r w:rsidR="00E41292">
              <w:rPr>
                <w:rFonts w:ascii="Arial" w:hAnsi="Arial" w:cs="Arial"/>
                <w:b/>
                <w:sz w:val="24"/>
                <w:szCs w:val="24"/>
              </w:rPr>
              <w:t xml:space="preserve">Total </w:t>
            </w:r>
            <w:r w:rsidRPr="001A35EE">
              <w:rPr>
                <w:rFonts w:ascii="Arial" w:hAnsi="Arial" w:cs="Arial"/>
                <w:b/>
                <w:sz w:val="24"/>
                <w:szCs w:val="24"/>
              </w:rPr>
              <w:t>Change</w:t>
            </w:r>
          </w:p>
          <w:p w:rsidR="00E41292" w:rsidRDefault="00E41292" w:rsidP="0064444D">
            <w:pPr>
              <w:jc w:val="right"/>
              <w:rPr>
                <w:rFonts w:ascii="Arial" w:hAnsi="Arial" w:cs="Arial"/>
                <w:b/>
                <w:sz w:val="24"/>
                <w:szCs w:val="24"/>
              </w:rPr>
            </w:pPr>
            <w:r>
              <w:rPr>
                <w:rFonts w:ascii="Arial" w:hAnsi="Arial" w:cs="Arial"/>
                <w:b/>
                <w:sz w:val="24"/>
                <w:szCs w:val="24"/>
              </w:rPr>
              <w:t xml:space="preserve">Constant </w:t>
            </w:r>
          </w:p>
          <w:p w:rsidR="00E41292" w:rsidRPr="001A35EE" w:rsidRDefault="00E41292" w:rsidP="0064444D">
            <w:pPr>
              <w:jc w:val="right"/>
              <w:rPr>
                <w:rFonts w:ascii="Arial" w:hAnsi="Arial" w:cs="Arial"/>
                <w:b/>
                <w:sz w:val="24"/>
                <w:szCs w:val="24"/>
              </w:rPr>
            </w:pPr>
            <w:r>
              <w:rPr>
                <w:rFonts w:ascii="Arial" w:hAnsi="Arial" w:cs="Arial"/>
                <w:b/>
                <w:sz w:val="24"/>
                <w:szCs w:val="24"/>
              </w:rPr>
              <w:t>currency</w:t>
            </w:r>
          </w:p>
        </w:tc>
        <w:tc>
          <w:tcPr>
            <w:tcW w:w="646" w:type="pct"/>
            <w:tcBorders>
              <w:bottom w:val="nil"/>
            </w:tcBorders>
          </w:tcPr>
          <w:p w:rsidR="001920A3" w:rsidRPr="001A35EE" w:rsidRDefault="001920A3" w:rsidP="0064444D">
            <w:pPr>
              <w:ind w:hanging="108"/>
              <w:jc w:val="right"/>
              <w:rPr>
                <w:rFonts w:ascii="Arial" w:hAnsi="Arial" w:cs="Arial"/>
                <w:b/>
                <w:sz w:val="24"/>
                <w:szCs w:val="24"/>
              </w:rPr>
            </w:pPr>
            <w:r w:rsidRPr="001A35EE">
              <w:rPr>
                <w:rFonts w:ascii="Arial" w:hAnsi="Arial" w:cs="Arial"/>
                <w:b/>
                <w:sz w:val="24"/>
                <w:szCs w:val="24"/>
              </w:rPr>
              <w:t>% LFL</w:t>
            </w:r>
            <w:r w:rsidR="00E41292">
              <w:rPr>
                <w:rFonts w:ascii="Arial" w:hAnsi="Arial" w:cs="Arial"/>
                <w:b/>
                <w:sz w:val="24"/>
                <w:szCs w:val="24"/>
              </w:rPr>
              <w:t xml:space="preserve"> Change</w:t>
            </w:r>
          </w:p>
        </w:tc>
      </w:tr>
      <w:tr w:rsidR="00FD57E1" w:rsidRPr="00FD57E1" w:rsidTr="00C91C70">
        <w:tc>
          <w:tcPr>
            <w:tcW w:w="1295" w:type="pct"/>
            <w:tcBorders>
              <w:top w:val="nil"/>
            </w:tcBorders>
          </w:tcPr>
          <w:p w:rsidR="001920A3" w:rsidRPr="001A35EE" w:rsidRDefault="001920A3" w:rsidP="0064444D">
            <w:pPr>
              <w:rPr>
                <w:rFonts w:ascii="Arial" w:hAnsi="Arial" w:cs="Arial"/>
                <w:sz w:val="24"/>
                <w:szCs w:val="24"/>
              </w:rPr>
            </w:pPr>
          </w:p>
        </w:tc>
        <w:tc>
          <w:tcPr>
            <w:tcW w:w="825" w:type="pct"/>
            <w:tcBorders>
              <w:top w:val="nil"/>
            </w:tcBorders>
          </w:tcPr>
          <w:p w:rsidR="001920A3" w:rsidRPr="00FD57E1" w:rsidRDefault="001920A3" w:rsidP="00E41292">
            <w:pPr>
              <w:rPr>
                <w:rFonts w:ascii="Arial" w:hAnsi="Arial" w:cs="Arial"/>
                <w:b/>
                <w:color w:val="FF0000"/>
                <w:sz w:val="24"/>
                <w:szCs w:val="24"/>
              </w:rPr>
            </w:pPr>
          </w:p>
        </w:tc>
        <w:tc>
          <w:tcPr>
            <w:tcW w:w="684" w:type="pct"/>
            <w:tcBorders>
              <w:top w:val="nil"/>
            </w:tcBorders>
          </w:tcPr>
          <w:p w:rsidR="001920A3" w:rsidRPr="00FD57E1" w:rsidRDefault="001920A3" w:rsidP="00E41292">
            <w:pPr>
              <w:rPr>
                <w:rFonts w:ascii="Arial" w:hAnsi="Arial" w:cs="Arial"/>
                <w:b/>
                <w:color w:val="FF0000"/>
                <w:sz w:val="24"/>
                <w:szCs w:val="24"/>
              </w:rPr>
            </w:pPr>
          </w:p>
        </w:tc>
        <w:tc>
          <w:tcPr>
            <w:tcW w:w="783" w:type="pct"/>
            <w:tcBorders>
              <w:top w:val="nil"/>
            </w:tcBorders>
          </w:tcPr>
          <w:p w:rsidR="001920A3" w:rsidRPr="001A35EE" w:rsidRDefault="001920A3" w:rsidP="00E41292">
            <w:pPr>
              <w:rPr>
                <w:rFonts w:ascii="Arial" w:hAnsi="Arial" w:cs="Arial"/>
                <w:b/>
                <w:sz w:val="24"/>
                <w:szCs w:val="24"/>
              </w:rPr>
            </w:pPr>
          </w:p>
        </w:tc>
        <w:tc>
          <w:tcPr>
            <w:tcW w:w="767" w:type="pct"/>
            <w:tcBorders>
              <w:top w:val="nil"/>
            </w:tcBorders>
          </w:tcPr>
          <w:p w:rsidR="001920A3" w:rsidRPr="001A35EE" w:rsidRDefault="001920A3" w:rsidP="00E41292">
            <w:pPr>
              <w:rPr>
                <w:rFonts w:ascii="Arial" w:hAnsi="Arial" w:cs="Arial"/>
                <w:b/>
                <w:sz w:val="24"/>
                <w:szCs w:val="24"/>
              </w:rPr>
            </w:pPr>
          </w:p>
        </w:tc>
        <w:tc>
          <w:tcPr>
            <w:tcW w:w="646" w:type="pct"/>
            <w:tcBorders>
              <w:top w:val="nil"/>
            </w:tcBorders>
          </w:tcPr>
          <w:p w:rsidR="001920A3" w:rsidRPr="001A35EE" w:rsidRDefault="001920A3" w:rsidP="00E41292">
            <w:pPr>
              <w:rPr>
                <w:rFonts w:ascii="Arial" w:hAnsi="Arial" w:cs="Arial"/>
                <w:b/>
                <w:sz w:val="24"/>
                <w:szCs w:val="24"/>
              </w:rPr>
            </w:pPr>
          </w:p>
        </w:tc>
      </w:tr>
      <w:tr w:rsidR="001920A3" w:rsidRPr="00A5010F" w:rsidTr="0064444D">
        <w:trPr>
          <w:trHeight w:val="147"/>
        </w:trPr>
        <w:tc>
          <w:tcPr>
            <w:tcW w:w="1295" w:type="pct"/>
          </w:tcPr>
          <w:p w:rsidR="001920A3" w:rsidRPr="00A5010F" w:rsidRDefault="001920A3" w:rsidP="0064444D">
            <w:pPr>
              <w:rPr>
                <w:rFonts w:ascii="Arial" w:hAnsi="Arial" w:cs="Arial"/>
                <w:sz w:val="24"/>
                <w:szCs w:val="24"/>
              </w:rPr>
            </w:pPr>
            <w:r w:rsidRPr="00A5010F">
              <w:rPr>
                <w:rFonts w:ascii="Arial" w:hAnsi="Arial" w:cs="Arial"/>
                <w:sz w:val="24"/>
                <w:szCs w:val="24"/>
              </w:rPr>
              <w:t>UK &amp; Ireland</w:t>
            </w:r>
          </w:p>
        </w:tc>
        <w:tc>
          <w:tcPr>
            <w:tcW w:w="825" w:type="pct"/>
          </w:tcPr>
          <w:p w:rsidR="001920A3" w:rsidRPr="00A5010F" w:rsidRDefault="00D87FA0" w:rsidP="0064444D">
            <w:pPr>
              <w:jc w:val="right"/>
              <w:rPr>
                <w:rFonts w:ascii="Arial" w:hAnsi="Arial" w:cs="Arial"/>
                <w:sz w:val="24"/>
                <w:szCs w:val="24"/>
              </w:rPr>
            </w:pPr>
            <w:r>
              <w:rPr>
                <w:rFonts w:ascii="Arial" w:hAnsi="Arial" w:cs="Arial"/>
                <w:sz w:val="24"/>
                <w:szCs w:val="24"/>
              </w:rPr>
              <w:t>1,200</w:t>
            </w:r>
          </w:p>
        </w:tc>
        <w:tc>
          <w:tcPr>
            <w:tcW w:w="684" w:type="pct"/>
          </w:tcPr>
          <w:p w:rsidR="001920A3" w:rsidRPr="00A5010F" w:rsidRDefault="00D87FA0" w:rsidP="0064444D">
            <w:pPr>
              <w:jc w:val="right"/>
              <w:rPr>
                <w:rFonts w:ascii="Arial" w:hAnsi="Arial" w:cs="Arial"/>
                <w:sz w:val="24"/>
                <w:szCs w:val="24"/>
              </w:rPr>
            </w:pPr>
            <w:r>
              <w:rPr>
                <w:rFonts w:ascii="Arial" w:hAnsi="Arial" w:cs="Arial"/>
                <w:sz w:val="24"/>
                <w:szCs w:val="24"/>
              </w:rPr>
              <w:t>1,068</w:t>
            </w:r>
          </w:p>
        </w:tc>
        <w:tc>
          <w:tcPr>
            <w:tcW w:w="783" w:type="pct"/>
          </w:tcPr>
          <w:p w:rsidR="001920A3" w:rsidRPr="00A5010F" w:rsidRDefault="005253F8" w:rsidP="0064444D">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12.4</w:t>
            </w:r>
            <w:r w:rsidR="00DC306D">
              <w:rPr>
                <w:rFonts w:ascii="Arial" w:hAnsi="Arial" w:cs="Arial"/>
                <w:sz w:val="24"/>
                <w:szCs w:val="24"/>
              </w:rPr>
              <w:t>%</w:t>
            </w:r>
          </w:p>
        </w:tc>
        <w:tc>
          <w:tcPr>
            <w:tcW w:w="767" w:type="pct"/>
          </w:tcPr>
          <w:p w:rsidR="001920A3" w:rsidRPr="00A5010F" w:rsidRDefault="005253F8" w:rsidP="0064444D">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12.5</w:t>
            </w:r>
            <w:r w:rsidR="00DC306D">
              <w:rPr>
                <w:rFonts w:ascii="Arial" w:hAnsi="Arial" w:cs="Arial"/>
                <w:sz w:val="24"/>
                <w:szCs w:val="24"/>
              </w:rPr>
              <w:t>%</w:t>
            </w:r>
          </w:p>
        </w:tc>
        <w:tc>
          <w:tcPr>
            <w:tcW w:w="646" w:type="pct"/>
          </w:tcPr>
          <w:p w:rsidR="001920A3" w:rsidRPr="00A5010F" w:rsidRDefault="005253F8" w:rsidP="0064444D">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10.</w:t>
            </w:r>
            <w:r w:rsidR="00F63602">
              <w:rPr>
                <w:rFonts w:ascii="Arial" w:hAnsi="Arial" w:cs="Arial"/>
                <w:sz w:val="24"/>
                <w:szCs w:val="24"/>
              </w:rPr>
              <w:t>1</w:t>
            </w:r>
            <w:r w:rsidR="00DC306D">
              <w:rPr>
                <w:rFonts w:ascii="Arial" w:hAnsi="Arial" w:cs="Arial"/>
                <w:sz w:val="24"/>
                <w:szCs w:val="24"/>
              </w:rPr>
              <w:t>%</w:t>
            </w:r>
          </w:p>
        </w:tc>
      </w:tr>
    </w:tbl>
    <w:p w:rsidR="001920A3" w:rsidRPr="00A5010F" w:rsidRDefault="001920A3" w:rsidP="00FE1D95">
      <w:pPr>
        <w:jc w:val="left"/>
        <w:rPr>
          <w:rFonts w:ascii="Arial" w:hAnsi="Arial" w:cs="Arial"/>
          <w:sz w:val="24"/>
          <w:szCs w:val="24"/>
        </w:rPr>
      </w:pPr>
    </w:p>
    <w:tbl>
      <w:tblPr>
        <w:tblW w:w="5000" w:type="pct"/>
        <w:tblLook w:val="01E0" w:firstRow="1" w:lastRow="1" w:firstColumn="1" w:lastColumn="1" w:noHBand="0" w:noVBand="0"/>
      </w:tblPr>
      <w:tblGrid>
        <w:gridCol w:w="2531"/>
        <w:gridCol w:w="1613"/>
        <w:gridCol w:w="1337"/>
        <w:gridCol w:w="1531"/>
        <w:gridCol w:w="1499"/>
        <w:gridCol w:w="1263"/>
      </w:tblGrid>
      <w:tr w:rsidR="00FD57E1" w:rsidRPr="00A5010F" w:rsidTr="00C91C70">
        <w:tc>
          <w:tcPr>
            <w:tcW w:w="1295" w:type="pct"/>
            <w:tcBorders>
              <w:top w:val="single" w:sz="4" w:space="0" w:color="auto"/>
              <w:left w:val="single" w:sz="4" w:space="0" w:color="auto"/>
              <w:right w:val="single" w:sz="4" w:space="0" w:color="auto"/>
            </w:tcBorders>
          </w:tcPr>
          <w:p w:rsidR="001920A3" w:rsidRPr="00A5010F" w:rsidRDefault="001920A3" w:rsidP="0064444D">
            <w:pPr>
              <w:rPr>
                <w:rFonts w:ascii="Arial" w:hAnsi="Arial" w:cs="Arial"/>
                <w:sz w:val="24"/>
                <w:szCs w:val="24"/>
              </w:rPr>
            </w:pPr>
            <w:r w:rsidRPr="00A5010F">
              <w:rPr>
                <w:rFonts w:ascii="Arial" w:hAnsi="Arial" w:cs="Arial"/>
                <w:b/>
                <w:sz w:val="24"/>
                <w:szCs w:val="24"/>
              </w:rPr>
              <w:t>Retail profit £m</w:t>
            </w:r>
          </w:p>
        </w:tc>
        <w:tc>
          <w:tcPr>
            <w:tcW w:w="825" w:type="pct"/>
            <w:tcBorders>
              <w:top w:val="single" w:sz="4" w:space="0" w:color="auto"/>
              <w:left w:val="single" w:sz="4" w:space="0" w:color="auto"/>
              <w:right w:val="single" w:sz="4" w:space="0" w:color="auto"/>
            </w:tcBorders>
          </w:tcPr>
          <w:p w:rsidR="001920A3" w:rsidRPr="00A5010F" w:rsidRDefault="001920A3" w:rsidP="0064444D">
            <w:pPr>
              <w:jc w:val="right"/>
              <w:rPr>
                <w:rFonts w:ascii="Arial" w:hAnsi="Arial" w:cs="Arial"/>
                <w:b/>
                <w:sz w:val="24"/>
                <w:szCs w:val="24"/>
              </w:rPr>
            </w:pPr>
            <w:r w:rsidRPr="00A5010F">
              <w:rPr>
                <w:rFonts w:ascii="Arial" w:hAnsi="Arial" w:cs="Arial"/>
                <w:b/>
                <w:sz w:val="24"/>
                <w:szCs w:val="24"/>
              </w:rPr>
              <w:t>201</w:t>
            </w:r>
            <w:r w:rsidR="00FF733A">
              <w:rPr>
                <w:rFonts w:ascii="Arial" w:hAnsi="Arial" w:cs="Arial"/>
                <w:b/>
                <w:sz w:val="24"/>
                <w:szCs w:val="24"/>
              </w:rPr>
              <w:t>4</w:t>
            </w:r>
            <w:r w:rsidRPr="00A5010F">
              <w:rPr>
                <w:rFonts w:ascii="Arial" w:hAnsi="Arial" w:cs="Arial"/>
                <w:b/>
                <w:sz w:val="24"/>
                <w:szCs w:val="24"/>
              </w:rPr>
              <w:t>/1</w:t>
            </w:r>
            <w:r w:rsidR="00FF733A">
              <w:rPr>
                <w:rFonts w:ascii="Arial" w:hAnsi="Arial" w:cs="Arial"/>
                <w:b/>
                <w:sz w:val="24"/>
                <w:szCs w:val="24"/>
              </w:rPr>
              <w:t>5</w:t>
            </w:r>
          </w:p>
        </w:tc>
        <w:tc>
          <w:tcPr>
            <w:tcW w:w="684" w:type="pct"/>
            <w:tcBorders>
              <w:top w:val="single" w:sz="4" w:space="0" w:color="auto"/>
              <w:left w:val="single" w:sz="4" w:space="0" w:color="auto"/>
              <w:right w:val="single" w:sz="4" w:space="0" w:color="auto"/>
            </w:tcBorders>
          </w:tcPr>
          <w:p w:rsidR="001920A3" w:rsidRPr="00A5010F" w:rsidRDefault="00FF733A" w:rsidP="0064444D">
            <w:pPr>
              <w:jc w:val="right"/>
              <w:rPr>
                <w:rFonts w:ascii="Arial" w:hAnsi="Arial" w:cs="Arial"/>
                <w:b/>
                <w:sz w:val="24"/>
                <w:szCs w:val="24"/>
              </w:rPr>
            </w:pPr>
            <w:r w:rsidRPr="00A5010F">
              <w:rPr>
                <w:rFonts w:ascii="Arial" w:hAnsi="Arial" w:cs="Arial"/>
                <w:b/>
                <w:sz w:val="24"/>
                <w:szCs w:val="24"/>
              </w:rPr>
              <w:t>201</w:t>
            </w:r>
            <w:r>
              <w:rPr>
                <w:rFonts w:ascii="Arial" w:hAnsi="Arial" w:cs="Arial"/>
                <w:b/>
                <w:sz w:val="24"/>
                <w:szCs w:val="24"/>
              </w:rPr>
              <w:t>3</w:t>
            </w:r>
            <w:r w:rsidRPr="00A5010F">
              <w:rPr>
                <w:rFonts w:ascii="Arial" w:hAnsi="Arial" w:cs="Arial"/>
                <w:b/>
                <w:sz w:val="24"/>
                <w:szCs w:val="24"/>
              </w:rPr>
              <w:t>/1</w:t>
            </w:r>
            <w:r>
              <w:rPr>
                <w:rFonts w:ascii="Arial" w:hAnsi="Arial" w:cs="Arial"/>
                <w:b/>
                <w:sz w:val="24"/>
                <w:szCs w:val="24"/>
              </w:rPr>
              <w:t>4</w:t>
            </w:r>
          </w:p>
        </w:tc>
        <w:tc>
          <w:tcPr>
            <w:tcW w:w="783" w:type="pct"/>
            <w:tcBorders>
              <w:top w:val="single" w:sz="4" w:space="0" w:color="auto"/>
              <w:left w:val="single" w:sz="4" w:space="0" w:color="auto"/>
              <w:right w:val="single" w:sz="4" w:space="0" w:color="auto"/>
            </w:tcBorders>
          </w:tcPr>
          <w:p w:rsidR="00E41292" w:rsidRDefault="001920A3" w:rsidP="0064444D">
            <w:pPr>
              <w:jc w:val="right"/>
              <w:rPr>
                <w:rFonts w:ascii="Arial" w:hAnsi="Arial" w:cs="Arial"/>
                <w:b/>
                <w:sz w:val="24"/>
                <w:szCs w:val="24"/>
              </w:rPr>
            </w:pPr>
            <w:r w:rsidRPr="00A5010F">
              <w:rPr>
                <w:rFonts w:ascii="Arial" w:hAnsi="Arial" w:cs="Arial"/>
                <w:b/>
                <w:sz w:val="24"/>
                <w:szCs w:val="24"/>
              </w:rPr>
              <w:t>% Change</w:t>
            </w:r>
          </w:p>
          <w:p w:rsidR="001920A3" w:rsidRPr="00A5010F" w:rsidRDefault="00E41292" w:rsidP="0064444D">
            <w:pPr>
              <w:jc w:val="right"/>
              <w:rPr>
                <w:rFonts w:ascii="Arial" w:hAnsi="Arial" w:cs="Arial"/>
                <w:b/>
                <w:sz w:val="24"/>
                <w:szCs w:val="24"/>
              </w:rPr>
            </w:pPr>
            <w:r>
              <w:rPr>
                <w:rFonts w:ascii="Arial" w:hAnsi="Arial" w:cs="Arial"/>
                <w:b/>
                <w:sz w:val="24"/>
                <w:szCs w:val="24"/>
              </w:rPr>
              <w:t>Reported</w:t>
            </w:r>
            <w:r w:rsidR="001920A3" w:rsidRPr="00A5010F">
              <w:rPr>
                <w:rFonts w:ascii="Arial" w:hAnsi="Arial" w:cs="Arial"/>
                <w:b/>
                <w:sz w:val="24"/>
                <w:szCs w:val="24"/>
              </w:rPr>
              <w:t xml:space="preserve"> </w:t>
            </w:r>
          </w:p>
        </w:tc>
        <w:tc>
          <w:tcPr>
            <w:tcW w:w="767" w:type="pct"/>
            <w:tcBorders>
              <w:top w:val="single" w:sz="4" w:space="0" w:color="auto"/>
              <w:left w:val="single" w:sz="4" w:space="0" w:color="auto"/>
              <w:right w:val="single" w:sz="4" w:space="0" w:color="auto"/>
            </w:tcBorders>
          </w:tcPr>
          <w:p w:rsidR="001920A3" w:rsidRPr="00A5010F" w:rsidRDefault="001920A3" w:rsidP="0064444D">
            <w:pPr>
              <w:jc w:val="right"/>
              <w:rPr>
                <w:rFonts w:ascii="Arial" w:hAnsi="Arial" w:cs="Arial"/>
                <w:b/>
                <w:sz w:val="24"/>
                <w:szCs w:val="24"/>
              </w:rPr>
            </w:pPr>
            <w:r w:rsidRPr="00A5010F">
              <w:rPr>
                <w:rFonts w:ascii="Arial" w:hAnsi="Arial" w:cs="Arial"/>
                <w:b/>
                <w:sz w:val="24"/>
                <w:szCs w:val="24"/>
              </w:rPr>
              <w:t>% Change</w:t>
            </w:r>
            <w:r w:rsidR="00E41292">
              <w:rPr>
                <w:rFonts w:ascii="Arial" w:hAnsi="Arial" w:cs="Arial"/>
                <w:b/>
                <w:sz w:val="24"/>
                <w:szCs w:val="24"/>
              </w:rPr>
              <w:t xml:space="preserve"> Constant currency</w:t>
            </w:r>
          </w:p>
        </w:tc>
        <w:tc>
          <w:tcPr>
            <w:tcW w:w="646" w:type="pct"/>
            <w:tcBorders>
              <w:left w:val="single" w:sz="4" w:space="0" w:color="auto"/>
            </w:tcBorders>
          </w:tcPr>
          <w:p w:rsidR="001920A3" w:rsidRPr="00A5010F" w:rsidRDefault="001920A3" w:rsidP="0064444D">
            <w:pPr>
              <w:ind w:hanging="108"/>
              <w:jc w:val="right"/>
              <w:rPr>
                <w:rFonts w:ascii="Arial" w:hAnsi="Arial" w:cs="Arial"/>
                <w:b/>
                <w:sz w:val="24"/>
                <w:szCs w:val="24"/>
              </w:rPr>
            </w:pPr>
          </w:p>
        </w:tc>
      </w:tr>
      <w:tr w:rsidR="00FD57E1" w:rsidRPr="00A5010F" w:rsidTr="00C91C70">
        <w:tc>
          <w:tcPr>
            <w:tcW w:w="1295" w:type="pct"/>
            <w:tcBorders>
              <w:left w:val="single" w:sz="4" w:space="0" w:color="auto"/>
              <w:bottom w:val="single" w:sz="4" w:space="0" w:color="auto"/>
              <w:right w:val="single" w:sz="4" w:space="0" w:color="auto"/>
            </w:tcBorders>
          </w:tcPr>
          <w:p w:rsidR="001920A3" w:rsidRPr="00A5010F" w:rsidRDefault="001920A3" w:rsidP="0064444D">
            <w:pPr>
              <w:rPr>
                <w:rFonts w:ascii="Arial" w:hAnsi="Arial" w:cs="Arial"/>
                <w:sz w:val="24"/>
                <w:szCs w:val="24"/>
              </w:rPr>
            </w:pPr>
          </w:p>
        </w:tc>
        <w:tc>
          <w:tcPr>
            <w:tcW w:w="825" w:type="pct"/>
            <w:tcBorders>
              <w:left w:val="single" w:sz="4" w:space="0" w:color="auto"/>
              <w:bottom w:val="single" w:sz="4" w:space="0" w:color="auto"/>
              <w:right w:val="single" w:sz="4" w:space="0" w:color="auto"/>
            </w:tcBorders>
          </w:tcPr>
          <w:p w:rsidR="001920A3" w:rsidRPr="00A5010F" w:rsidRDefault="001920A3" w:rsidP="0064444D">
            <w:pPr>
              <w:jc w:val="right"/>
              <w:rPr>
                <w:rFonts w:ascii="Arial" w:hAnsi="Arial" w:cs="Arial"/>
                <w:b/>
                <w:sz w:val="24"/>
                <w:szCs w:val="24"/>
              </w:rPr>
            </w:pPr>
          </w:p>
        </w:tc>
        <w:tc>
          <w:tcPr>
            <w:tcW w:w="684" w:type="pct"/>
            <w:tcBorders>
              <w:left w:val="single" w:sz="4" w:space="0" w:color="auto"/>
              <w:bottom w:val="single" w:sz="4" w:space="0" w:color="auto"/>
              <w:right w:val="single" w:sz="4" w:space="0" w:color="auto"/>
            </w:tcBorders>
          </w:tcPr>
          <w:p w:rsidR="001920A3" w:rsidRPr="00A5010F" w:rsidRDefault="001920A3" w:rsidP="0064444D">
            <w:pPr>
              <w:jc w:val="right"/>
              <w:rPr>
                <w:rFonts w:ascii="Arial" w:hAnsi="Arial" w:cs="Arial"/>
                <w:b/>
                <w:sz w:val="24"/>
                <w:szCs w:val="24"/>
              </w:rPr>
            </w:pPr>
          </w:p>
        </w:tc>
        <w:tc>
          <w:tcPr>
            <w:tcW w:w="783" w:type="pct"/>
            <w:tcBorders>
              <w:left w:val="single" w:sz="4" w:space="0" w:color="auto"/>
              <w:bottom w:val="single" w:sz="4" w:space="0" w:color="auto"/>
              <w:right w:val="single" w:sz="4" w:space="0" w:color="auto"/>
            </w:tcBorders>
          </w:tcPr>
          <w:p w:rsidR="001920A3" w:rsidRPr="00A5010F" w:rsidRDefault="001920A3" w:rsidP="00E41292">
            <w:pPr>
              <w:jc w:val="center"/>
              <w:rPr>
                <w:rFonts w:ascii="Arial" w:hAnsi="Arial" w:cs="Arial"/>
                <w:b/>
                <w:sz w:val="24"/>
                <w:szCs w:val="24"/>
              </w:rPr>
            </w:pPr>
          </w:p>
        </w:tc>
        <w:tc>
          <w:tcPr>
            <w:tcW w:w="767" w:type="pct"/>
            <w:tcBorders>
              <w:left w:val="single" w:sz="4" w:space="0" w:color="auto"/>
              <w:bottom w:val="single" w:sz="4" w:space="0" w:color="auto"/>
              <w:right w:val="single" w:sz="4" w:space="0" w:color="auto"/>
            </w:tcBorders>
          </w:tcPr>
          <w:p w:rsidR="001920A3" w:rsidRPr="00A5010F" w:rsidRDefault="001920A3" w:rsidP="00E41292">
            <w:pPr>
              <w:rPr>
                <w:rFonts w:ascii="Arial" w:hAnsi="Arial" w:cs="Arial"/>
                <w:b/>
                <w:sz w:val="24"/>
                <w:szCs w:val="24"/>
              </w:rPr>
            </w:pPr>
          </w:p>
        </w:tc>
        <w:tc>
          <w:tcPr>
            <w:tcW w:w="646" w:type="pct"/>
            <w:tcBorders>
              <w:left w:val="single" w:sz="4" w:space="0" w:color="auto"/>
            </w:tcBorders>
          </w:tcPr>
          <w:p w:rsidR="001920A3" w:rsidRPr="00A5010F" w:rsidRDefault="001920A3" w:rsidP="0064444D">
            <w:pPr>
              <w:ind w:hanging="108"/>
              <w:jc w:val="right"/>
              <w:rPr>
                <w:rFonts w:ascii="Arial" w:hAnsi="Arial" w:cs="Arial"/>
                <w:b/>
                <w:sz w:val="24"/>
                <w:szCs w:val="24"/>
              </w:rPr>
            </w:pPr>
          </w:p>
        </w:tc>
      </w:tr>
      <w:tr w:rsidR="00FD57E1" w:rsidRPr="00A5010F" w:rsidTr="0064444D">
        <w:trPr>
          <w:trHeight w:val="147"/>
        </w:trPr>
        <w:tc>
          <w:tcPr>
            <w:tcW w:w="1295" w:type="pct"/>
            <w:tcBorders>
              <w:top w:val="single" w:sz="4" w:space="0" w:color="auto"/>
              <w:left w:val="single" w:sz="4" w:space="0" w:color="auto"/>
              <w:bottom w:val="single" w:sz="4" w:space="0" w:color="auto"/>
              <w:right w:val="single" w:sz="4" w:space="0" w:color="auto"/>
            </w:tcBorders>
          </w:tcPr>
          <w:p w:rsidR="001920A3" w:rsidRPr="00A5010F" w:rsidRDefault="001920A3" w:rsidP="0064444D">
            <w:pPr>
              <w:rPr>
                <w:rFonts w:ascii="Arial" w:hAnsi="Arial" w:cs="Arial"/>
                <w:sz w:val="24"/>
                <w:szCs w:val="24"/>
              </w:rPr>
            </w:pPr>
            <w:r w:rsidRPr="00A5010F">
              <w:rPr>
                <w:rFonts w:ascii="Arial" w:hAnsi="Arial" w:cs="Arial"/>
                <w:sz w:val="24"/>
                <w:szCs w:val="24"/>
              </w:rPr>
              <w:t>UK &amp; Ireland</w:t>
            </w:r>
          </w:p>
        </w:tc>
        <w:tc>
          <w:tcPr>
            <w:tcW w:w="825" w:type="pct"/>
            <w:tcBorders>
              <w:top w:val="single" w:sz="4" w:space="0" w:color="auto"/>
              <w:left w:val="single" w:sz="4" w:space="0" w:color="auto"/>
              <w:bottom w:val="single" w:sz="4" w:space="0" w:color="auto"/>
              <w:right w:val="single" w:sz="4" w:space="0" w:color="auto"/>
            </w:tcBorders>
          </w:tcPr>
          <w:p w:rsidR="001920A3" w:rsidRPr="00A5010F" w:rsidRDefault="00D87FA0" w:rsidP="0064444D">
            <w:pPr>
              <w:jc w:val="right"/>
              <w:rPr>
                <w:rFonts w:ascii="Arial" w:hAnsi="Arial" w:cs="Arial"/>
                <w:sz w:val="24"/>
                <w:szCs w:val="24"/>
              </w:rPr>
            </w:pPr>
            <w:r>
              <w:rPr>
                <w:rFonts w:ascii="Arial" w:hAnsi="Arial" w:cs="Arial"/>
                <w:sz w:val="24"/>
                <w:szCs w:val="24"/>
              </w:rPr>
              <w:t>6</w:t>
            </w:r>
            <w:r w:rsidR="00806713">
              <w:rPr>
                <w:rFonts w:ascii="Arial" w:hAnsi="Arial" w:cs="Arial"/>
                <w:sz w:val="24"/>
                <w:szCs w:val="24"/>
              </w:rPr>
              <w:t>8</w:t>
            </w:r>
          </w:p>
        </w:tc>
        <w:tc>
          <w:tcPr>
            <w:tcW w:w="684" w:type="pct"/>
            <w:tcBorders>
              <w:top w:val="single" w:sz="4" w:space="0" w:color="auto"/>
              <w:left w:val="single" w:sz="4" w:space="0" w:color="auto"/>
              <w:bottom w:val="single" w:sz="4" w:space="0" w:color="auto"/>
              <w:right w:val="single" w:sz="4" w:space="0" w:color="auto"/>
            </w:tcBorders>
          </w:tcPr>
          <w:p w:rsidR="001920A3" w:rsidRPr="00A5010F" w:rsidRDefault="00D87FA0" w:rsidP="0064444D">
            <w:pPr>
              <w:jc w:val="right"/>
              <w:rPr>
                <w:rFonts w:ascii="Arial" w:hAnsi="Arial" w:cs="Arial"/>
                <w:sz w:val="24"/>
                <w:szCs w:val="24"/>
              </w:rPr>
            </w:pPr>
            <w:r>
              <w:rPr>
                <w:rFonts w:ascii="Arial" w:hAnsi="Arial" w:cs="Arial"/>
                <w:sz w:val="24"/>
                <w:szCs w:val="24"/>
              </w:rPr>
              <w:t>50</w:t>
            </w:r>
          </w:p>
        </w:tc>
        <w:tc>
          <w:tcPr>
            <w:tcW w:w="783" w:type="pct"/>
            <w:tcBorders>
              <w:top w:val="single" w:sz="4" w:space="0" w:color="auto"/>
              <w:left w:val="single" w:sz="4" w:space="0" w:color="auto"/>
              <w:bottom w:val="single" w:sz="4" w:space="0" w:color="auto"/>
              <w:right w:val="single" w:sz="4" w:space="0" w:color="auto"/>
            </w:tcBorders>
          </w:tcPr>
          <w:p w:rsidR="001920A3" w:rsidRPr="00A5010F" w:rsidRDefault="005253F8" w:rsidP="0064444D">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3</w:t>
            </w:r>
            <w:r w:rsidR="00806713">
              <w:rPr>
                <w:rFonts w:ascii="Arial" w:hAnsi="Arial" w:cs="Arial"/>
                <w:sz w:val="24"/>
                <w:szCs w:val="24"/>
              </w:rPr>
              <w:t>5</w:t>
            </w:r>
            <w:r w:rsidR="00D87FA0">
              <w:rPr>
                <w:rFonts w:ascii="Arial" w:hAnsi="Arial" w:cs="Arial"/>
                <w:sz w:val="24"/>
                <w:szCs w:val="24"/>
              </w:rPr>
              <w:t>.4</w:t>
            </w:r>
            <w:r w:rsidR="00DC306D">
              <w:rPr>
                <w:rFonts w:ascii="Arial" w:hAnsi="Arial" w:cs="Arial"/>
                <w:sz w:val="24"/>
                <w:szCs w:val="24"/>
              </w:rPr>
              <w:t>%</w:t>
            </w:r>
          </w:p>
        </w:tc>
        <w:tc>
          <w:tcPr>
            <w:tcW w:w="767" w:type="pct"/>
            <w:tcBorders>
              <w:top w:val="single" w:sz="4" w:space="0" w:color="auto"/>
              <w:left w:val="single" w:sz="4" w:space="0" w:color="auto"/>
              <w:bottom w:val="single" w:sz="4" w:space="0" w:color="auto"/>
              <w:right w:val="single" w:sz="4" w:space="0" w:color="auto"/>
            </w:tcBorders>
          </w:tcPr>
          <w:p w:rsidR="001920A3" w:rsidRPr="00A5010F" w:rsidRDefault="005253F8" w:rsidP="0064444D">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3</w:t>
            </w:r>
            <w:r w:rsidR="00806713">
              <w:rPr>
                <w:rFonts w:ascii="Arial" w:hAnsi="Arial" w:cs="Arial"/>
                <w:sz w:val="24"/>
                <w:szCs w:val="24"/>
              </w:rPr>
              <w:t>5</w:t>
            </w:r>
            <w:r w:rsidR="00D87FA0">
              <w:rPr>
                <w:rFonts w:ascii="Arial" w:hAnsi="Arial" w:cs="Arial"/>
                <w:sz w:val="24"/>
                <w:szCs w:val="24"/>
              </w:rPr>
              <w:t>.2</w:t>
            </w:r>
            <w:r w:rsidR="00DC306D">
              <w:rPr>
                <w:rFonts w:ascii="Arial" w:hAnsi="Arial" w:cs="Arial"/>
                <w:sz w:val="24"/>
                <w:szCs w:val="24"/>
              </w:rPr>
              <w:t>%</w:t>
            </w:r>
          </w:p>
        </w:tc>
        <w:tc>
          <w:tcPr>
            <w:tcW w:w="646" w:type="pct"/>
            <w:tcBorders>
              <w:left w:val="single" w:sz="4" w:space="0" w:color="auto"/>
            </w:tcBorders>
          </w:tcPr>
          <w:p w:rsidR="001920A3" w:rsidRPr="00A5010F" w:rsidRDefault="001920A3" w:rsidP="0064444D">
            <w:pPr>
              <w:jc w:val="right"/>
              <w:rPr>
                <w:rFonts w:ascii="Arial" w:hAnsi="Arial" w:cs="Arial"/>
                <w:sz w:val="24"/>
                <w:szCs w:val="24"/>
              </w:rPr>
            </w:pPr>
          </w:p>
        </w:tc>
      </w:tr>
    </w:tbl>
    <w:p w:rsidR="00B21FD9" w:rsidRDefault="00B21FD9" w:rsidP="000861DC">
      <w:pPr>
        <w:jc w:val="left"/>
        <w:rPr>
          <w:rFonts w:ascii="Arial" w:hAnsi="Arial" w:cs="Arial"/>
          <w:i/>
          <w:sz w:val="18"/>
          <w:szCs w:val="18"/>
        </w:rPr>
      </w:pPr>
    </w:p>
    <w:p w:rsidR="0028321F" w:rsidRDefault="0028321F" w:rsidP="00BE02B5">
      <w:pPr>
        <w:rPr>
          <w:rFonts w:ascii="Arial" w:hAnsi="Arial" w:cs="Arial"/>
          <w:b/>
          <w:i/>
          <w:sz w:val="18"/>
          <w:szCs w:val="18"/>
        </w:rPr>
      </w:pPr>
    </w:p>
    <w:p w:rsidR="001920A3" w:rsidRPr="00F50885" w:rsidRDefault="001920A3" w:rsidP="00BE02B5">
      <w:pPr>
        <w:rPr>
          <w:rFonts w:ascii="Arial" w:hAnsi="Arial" w:cs="Arial"/>
          <w:i/>
          <w:sz w:val="18"/>
          <w:szCs w:val="18"/>
        </w:rPr>
      </w:pPr>
      <w:r w:rsidRPr="00F50885">
        <w:rPr>
          <w:rFonts w:ascii="Arial" w:hAnsi="Arial" w:cs="Arial"/>
          <w:b/>
          <w:i/>
          <w:sz w:val="18"/>
          <w:szCs w:val="18"/>
        </w:rPr>
        <w:t>All trading commentary below is in constant currencies</w:t>
      </w:r>
    </w:p>
    <w:p w:rsidR="001920A3" w:rsidRPr="00FD57E1" w:rsidRDefault="001920A3" w:rsidP="000861DC">
      <w:pPr>
        <w:jc w:val="left"/>
        <w:rPr>
          <w:rFonts w:ascii="Arial" w:hAnsi="Arial" w:cs="Arial"/>
          <w:b/>
          <w:bCs/>
          <w:color w:val="FF0000"/>
          <w:sz w:val="24"/>
          <w:szCs w:val="24"/>
        </w:rPr>
      </w:pPr>
    </w:p>
    <w:p w:rsidR="001920A3" w:rsidRDefault="001920A3" w:rsidP="000861DC">
      <w:pPr>
        <w:jc w:val="left"/>
        <w:rPr>
          <w:rFonts w:ascii="Arial" w:hAnsi="Arial" w:cs="Arial"/>
          <w:b/>
          <w:bCs/>
          <w:sz w:val="24"/>
          <w:szCs w:val="24"/>
        </w:rPr>
      </w:pPr>
      <w:r w:rsidRPr="00446561">
        <w:rPr>
          <w:rFonts w:ascii="Arial" w:hAnsi="Arial" w:cs="Arial"/>
          <w:b/>
          <w:bCs/>
          <w:sz w:val="24"/>
          <w:szCs w:val="24"/>
        </w:rPr>
        <w:t>Kingfisher UK &amp; Ireland</w:t>
      </w:r>
    </w:p>
    <w:p w:rsidR="0072679D" w:rsidRPr="00446561" w:rsidRDefault="0072679D" w:rsidP="000861DC">
      <w:pPr>
        <w:jc w:val="left"/>
        <w:rPr>
          <w:rFonts w:ascii="Arial" w:hAnsi="Arial" w:cs="Arial"/>
          <w:b/>
          <w:bCs/>
          <w:sz w:val="24"/>
          <w:szCs w:val="24"/>
        </w:rPr>
      </w:pPr>
    </w:p>
    <w:p w:rsidR="001A7723" w:rsidRPr="00446561" w:rsidRDefault="001920A3" w:rsidP="000861DC">
      <w:pPr>
        <w:jc w:val="left"/>
        <w:rPr>
          <w:rFonts w:ascii="Arial" w:hAnsi="Arial" w:cs="Arial"/>
          <w:sz w:val="24"/>
          <w:szCs w:val="24"/>
        </w:rPr>
      </w:pPr>
      <w:r w:rsidRPr="00446561">
        <w:rPr>
          <w:rFonts w:ascii="Arial" w:hAnsi="Arial" w:cs="Arial"/>
          <w:sz w:val="24"/>
          <w:szCs w:val="24"/>
        </w:rPr>
        <w:t xml:space="preserve">Total sales </w:t>
      </w:r>
      <w:r w:rsidR="0078231E" w:rsidRPr="00446561">
        <w:rPr>
          <w:rFonts w:ascii="Arial" w:hAnsi="Arial" w:cs="Arial"/>
          <w:sz w:val="24"/>
          <w:szCs w:val="24"/>
        </w:rPr>
        <w:t xml:space="preserve">increased </w:t>
      </w:r>
      <w:r w:rsidR="00917282" w:rsidRPr="00446561">
        <w:rPr>
          <w:rFonts w:ascii="Arial" w:hAnsi="Arial" w:cs="Arial"/>
          <w:sz w:val="24"/>
          <w:szCs w:val="24"/>
        </w:rPr>
        <w:t>by</w:t>
      </w:r>
      <w:r w:rsidRPr="00446561">
        <w:rPr>
          <w:rFonts w:ascii="Arial" w:hAnsi="Arial" w:cs="Arial"/>
          <w:sz w:val="24"/>
          <w:szCs w:val="24"/>
        </w:rPr>
        <w:t xml:space="preserve"> </w:t>
      </w:r>
      <w:r w:rsidR="00446561" w:rsidRPr="00446561">
        <w:rPr>
          <w:rFonts w:ascii="Arial" w:hAnsi="Arial" w:cs="Arial"/>
          <w:sz w:val="24"/>
          <w:szCs w:val="24"/>
        </w:rPr>
        <w:t>12.5</w:t>
      </w:r>
      <w:r w:rsidR="00107EBF" w:rsidRPr="00446561">
        <w:rPr>
          <w:rFonts w:ascii="Arial" w:hAnsi="Arial" w:cs="Arial"/>
          <w:sz w:val="24"/>
          <w:szCs w:val="24"/>
        </w:rPr>
        <w:t>% to £</w:t>
      </w:r>
      <w:r w:rsidR="00446561" w:rsidRPr="00446561">
        <w:rPr>
          <w:rFonts w:ascii="Arial" w:hAnsi="Arial" w:cs="Arial"/>
          <w:sz w:val="24"/>
          <w:szCs w:val="24"/>
        </w:rPr>
        <w:t>1,200</w:t>
      </w:r>
      <w:r w:rsidRPr="00446561">
        <w:rPr>
          <w:rFonts w:ascii="Arial" w:hAnsi="Arial" w:cs="Arial"/>
          <w:sz w:val="24"/>
          <w:szCs w:val="24"/>
        </w:rPr>
        <w:t xml:space="preserve"> million (</w:t>
      </w:r>
      <w:r w:rsidR="00446561" w:rsidRPr="00446561">
        <w:rPr>
          <w:rFonts w:ascii="Arial" w:hAnsi="Arial" w:cs="Arial"/>
          <w:sz w:val="24"/>
          <w:szCs w:val="24"/>
        </w:rPr>
        <w:t>+10.</w:t>
      </w:r>
      <w:r w:rsidR="000356DF">
        <w:rPr>
          <w:rFonts w:ascii="Arial" w:hAnsi="Arial" w:cs="Arial"/>
          <w:sz w:val="24"/>
          <w:szCs w:val="24"/>
        </w:rPr>
        <w:t>1</w:t>
      </w:r>
      <w:r w:rsidRPr="00446561">
        <w:rPr>
          <w:rFonts w:ascii="Arial" w:hAnsi="Arial" w:cs="Arial"/>
          <w:sz w:val="24"/>
          <w:szCs w:val="24"/>
        </w:rPr>
        <w:t>% LFL</w:t>
      </w:r>
      <w:r w:rsidR="004312F8">
        <w:rPr>
          <w:rFonts w:ascii="Arial" w:hAnsi="Arial" w:cs="Arial"/>
          <w:sz w:val="24"/>
          <w:szCs w:val="24"/>
        </w:rPr>
        <w:t>; +</w:t>
      </w:r>
      <w:r w:rsidR="006D4F90">
        <w:rPr>
          <w:rFonts w:ascii="Arial" w:hAnsi="Arial" w:cs="Arial"/>
          <w:sz w:val="24"/>
          <w:szCs w:val="24"/>
        </w:rPr>
        <w:t>4.9</w:t>
      </w:r>
      <w:r w:rsidR="004312F8">
        <w:rPr>
          <w:rFonts w:ascii="Arial" w:hAnsi="Arial" w:cs="Arial"/>
          <w:sz w:val="24"/>
          <w:szCs w:val="24"/>
        </w:rPr>
        <w:t>% 2 year LFL</w:t>
      </w:r>
      <w:r w:rsidRPr="00446561">
        <w:rPr>
          <w:rFonts w:ascii="Arial" w:hAnsi="Arial" w:cs="Arial"/>
          <w:sz w:val="24"/>
          <w:szCs w:val="24"/>
        </w:rPr>
        <w:t>)</w:t>
      </w:r>
      <w:r w:rsidR="00CF6CE7" w:rsidRPr="00446561">
        <w:rPr>
          <w:rFonts w:ascii="Arial" w:hAnsi="Arial" w:cs="Arial"/>
          <w:sz w:val="24"/>
          <w:szCs w:val="24"/>
        </w:rPr>
        <w:t xml:space="preserve"> </w:t>
      </w:r>
      <w:r w:rsidR="00413843">
        <w:rPr>
          <w:rFonts w:ascii="Arial" w:hAnsi="Arial" w:cs="Arial"/>
          <w:sz w:val="24"/>
          <w:szCs w:val="24"/>
        </w:rPr>
        <w:t>driven by</w:t>
      </w:r>
      <w:r w:rsidR="0078231E" w:rsidRPr="00446561">
        <w:rPr>
          <w:rFonts w:ascii="Arial" w:hAnsi="Arial" w:cs="Arial"/>
          <w:sz w:val="24"/>
          <w:szCs w:val="24"/>
        </w:rPr>
        <w:t xml:space="preserve"> a late</w:t>
      </w:r>
      <w:r w:rsidR="00413843">
        <w:rPr>
          <w:rFonts w:ascii="Arial" w:hAnsi="Arial" w:cs="Arial"/>
          <w:sz w:val="24"/>
          <w:szCs w:val="24"/>
        </w:rPr>
        <w:t>r</w:t>
      </w:r>
      <w:r w:rsidR="0065001B" w:rsidRPr="00446561">
        <w:rPr>
          <w:rFonts w:ascii="Arial" w:hAnsi="Arial" w:cs="Arial"/>
          <w:sz w:val="24"/>
          <w:szCs w:val="24"/>
        </w:rPr>
        <w:t xml:space="preserve"> Easter</w:t>
      </w:r>
      <w:r w:rsidR="007419A7">
        <w:rPr>
          <w:rFonts w:ascii="Arial" w:hAnsi="Arial" w:cs="Arial"/>
          <w:sz w:val="24"/>
          <w:szCs w:val="24"/>
        </w:rPr>
        <w:t>,</w:t>
      </w:r>
      <w:r w:rsidR="00413843">
        <w:rPr>
          <w:rFonts w:ascii="Arial" w:hAnsi="Arial" w:cs="Arial"/>
          <w:sz w:val="24"/>
          <w:szCs w:val="24"/>
        </w:rPr>
        <w:t xml:space="preserve"> </w:t>
      </w:r>
      <w:r w:rsidR="00466C3F">
        <w:rPr>
          <w:rFonts w:ascii="Arial" w:hAnsi="Arial" w:cs="Arial"/>
          <w:sz w:val="24"/>
          <w:szCs w:val="24"/>
        </w:rPr>
        <w:t>much better</w:t>
      </w:r>
      <w:r w:rsidR="00413843">
        <w:rPr>
          <w:rFonts w:ascii="Arial" w:hAnsi="Arial" w:cs="Arial"/>
          <w:sz w:val="24"/>
          <w:szCs w:val="24"/>
        </w:rPr>
        <w:t xml:space="preserve"> weather compared to Q1 last year</w:t>
      </w:r>
      <w:r w:rsidR="004312F8">
        <w:rPr>
          <w:rFonts w:ascii="Arial" w:hAnsi="Arial" w:cs="Arial"/>
          <w:sz w:val="24"/>
          <w:szCs w:val="24"/>
        </w:rPr>
        <w:t xml:space="preserve"> and </w:t>
      </w:r>
      <w:r w:rsidR="00466C3F">
        <w:rPr>
          <w:rFonts w:ascii="Arial" w:hAnsi="Arial" w:cs="Arial"/>
          <w:sz w:val="24"/>
          <w:szCs w:val="24"/>
        </w:rPr>
        <w:t xml:space="preserve">some </w:t>
      </w:r>
      <w:r w:rsidR="004312F8">
        <w:rPr>
          <w:rFonts w:ascii="Arial" w:hAnsi="Arial" w:cs="Arial"/>
          <w:sz w:val="24"/>
          <w:szCs w:val="24"/>
        </w:rPr>
        <w:t xml:space="preserve">encouraging </w:t>
      </w:r>
      <w:r w:rsidR="007419A7">
        <w:rPr>
          <w:rFonts w:ascii="Arial" w:hAnsi="Arial" w:cs="Arial"/>
          <w:sz w:val="24"/>
          <w:szCs w:val="24"/>
        </w:rPr>
        <w:t xml:space="preserve">signs in </w:t>
      </w:r>
      <w:r w:rsidR="004312F8">
        <w:rPr>
          <w:rFonts w:ascii="Arial" w:hAnsi="Arial" w:cs="Arial"/>
          <w:sz w:val="24"/>
          <w:szCs w:val="24"/>
        </w:rPr>
        <w:t xml:space="preserve">both </w:t>
      </w:r>
      <w:r w:rsidR="007419A7">
        <w:rPr>
          <w:rFonts w:ascii="Arial" w:hAnsi="Arial" w:cs="Arial"/>
          <w:sz w:val="24"/>
          <w:szCs w:val="24"/>
        </w:rPr>
        <w:t xml:space="preserve">the underlying </w:t>
      </w:r>
      <w:r w:rsidR="004312F8">
        <w:rPr>
          <w:rFonts w:ascii="Arial" w:hAnsi="Arial" w:cs="Arial"/>
          <w:sz w:val="24"/>
          <w:szCs w:val="24"/>
        </w:rPr>
        <w:t xml:space="preserve">retail and smaller tradesman </w:t>
      </w:r>
      <w:r w:rsidR="007419A7">
        <w:rPr>
          <w:rFonts w:ascii="Arial" w:hAnsi="Arial" w:cs="Arial"/>
          <w:sz w:val="24"/>
          <w:szCs w:val="24"/>
        </w:rPr>
        <w:t>market</w:t>
      </w:r>
      <w:r w:rsidR="00413843">
        <w:rPr>
          <w:rFonts w:ascii="Arial" w:hAnsi="Arial" w:cs="Arial"/>
          <w:sz w:val="24"/>
          <w:szCs w:val="24"/>
        </w:rPr>
        <w:t xml:space="preserve">. </w:t>
      </w:r>
    </w:p>
    <w:p w:rsidR="001A7723" w:rsidRPr="00446561" w:rsidRDefault="001A7723" w:rsidP="000861DC">
      <w:pPr>
        <w:jc w:val="left"/>
        <w:rPr>
          <w:rFonts w:ascii="Arial" w:hAnsi="Arial" w:cs="Arial"/>
          <w:sz w:val="24"/>
          <w:szCs w:val="24"/>
        </w:rPr>
      </w:pPr>
    </w:p>
    <w:p w:rsidR="00B715C1" w:rsidRDefault="0065001B" w:rsidP="001A7723">
      <w:pPr>
        <w:jc w:val="left"/>
        <w:rPr>
          <w:rFonts w:ascii="Arial" w:hAnsi="Arial" w:cs="Arial"/>
          <w:sz w:val="24"/>
          <w:szCs w:val="24"/>
        </w:rPr>
      </w:pPr>
      <w:bookmarkStart w:id="1" w:name="OLE_LINK7"/>
      <w:bookmarkStart w:id="2" w:name="OLE_LINK8"/>
      <w:r w:rsidRPr="00446561">
        <w:rPr>
          <w:rFonts w:ascii="Arial" w:hAnsi="Arial" w:cs="Arial"/>
          <w:sz w:val="24"/>
          <w:szCs w:val="24"/>
        </w:rPr>
        <w:t xml:space="preserve">Kingfisher UK &amp; Ireland reported </w:t>
      </w:r>
      <w:r w:rsidR="001A7723" w:rsidRPr="00446561">
        <w:rPr>
          <w:rFonts w:ascii="Arial" w:hAnsi="Arial" w:cs="Arial"/>
          <w:sz w:val="24"/>
          <w:szCs w:val="24"/>
        </w:rPr>
        <w:t>retail profit</w:t>
      </w:r>
      <w:r w:rsidR="005253F8">
        <w:rPr>
          <w:rFonts w:ascii="Arial" w:hAnsi="Arial" w:cs="Arial"/>
          <w:sz w:val="24"/>
          <w:szCs w:val="24"/>
        </w:rPr>
        <w:t xml:space="preserve"> up 3</w:t>
      </w:r>
      <w:r w:rsidR="00806713">
        <w:rPr>
          <w:rFonts w:ascii="Arial" w:hAnsi="Arial" w:cs="Arial"/>
          <w:sz w:val="24"/>
          <w:szCs w:val="24"/>
        </w:rPr>
        <w:t>5</w:t>
      </w:r>
      <w:r w:rsidR="005253F8">
        <w:rPr>
          <w:rFonts w:ascii="Arial" w:hAnsi="Arial" w:cs="Arial"/>
          <w:sz w:val="24"/>
          <w:szCs w:val="24"/>
        </w:rPr>
        <w:t>.2% to</w:t>
      </w:r>
      <w:r w:rsidR="001A7723" w:rsidRPr="00446561">
        <w:rPr>
          <w:rFonts w:ascii="Arial" w:hAnsi="Arial" w:cs="Arial"/>
          <w:sz w:val="24"/>
          <w:szCs w:val="24"/>
        </w:rPr>
        <w:t xml:space="preserve"> £</w:t>
      </w:r>
      <w:r w:rsidR="00446561" w:rsidRPr="00446561">
        <w:rPr>
          <w:rFonts w:ascii="Arial" w:hAnsi="Arial" w:cs="Arial"/>
          <w:sz w:val="24"/>
          <w:szCs w:val="24"/>
        </w:rPr>
        <w:t>6</w:t>
      </w:r>
      <w:r w:rsidR="00806713">
        <w:rPr>
          <w:rFonts w:ascii="Arial" w:hAnsi="Arial" w:cs="Arial"/>
          <w:sz w:val="24"/>
          <w:szCs w:val="24"/>
        </w:rPr>
        <w:t>8</w:t>
      </w:r>
      <w:r w:rsidR="001A7723" w:rsidRPr="00446561">
        <w:rPr>
          <w:rFonts w:ascii="Arial" w:hAnsi="Arial" w:cs="Arial"/>
          <w:sz w:val="24"/>
          <w:szCs w:val="24"/>
        </w:rPr>
        <w:t xml:space="preserve"> million</w:t>
      </w:r>
      <w:bookmarkEnd w:id="1"/>
      <w:bookmarkEnd w:id="2"/>
      <w:r w:rsidR="0078231E" w:rsidRPr="00446561">
        <w:rPr>
          <w:rFonts w:ascii="Arial" w:hAnsi="Arial" w:cs="Arial"/>
          <w:sz w:val="24"/>
          <w:szCs w:val="24"/>
        </w:rPr>
        <w:t xml:space="preserve">. </w:t>
      </w:r>
      <w:r w:rsidR="00920AFD" w:rsidRPr="00446561">
        <w:rPr>
          <w:rFonts w:ascii="Arial" w:hAnsi="Arial" w:cs="Arial"/>
          <w:sz w:val="24"/>
          <w:szCs w:val="24"/>
        </w:rPr>
        <w:t xml:space="preserve">Gross margins were </w:t>
      </w:r>
      <w:r w:rsidR="00446561" w:rsidRPr="00446561">
        <w:rPr>
          <w:rFonts w:ascii="Arial" w:hAnsi="Arial" w:cs="Arial"/>
          <w:sz w:val="24"/>
          <w:szCs w:val="24"/>
        </w:rPr>
        <w:t>down</w:t>
      </w:r>
      <w:r w:rsidR="005253F8">
        <w:rPr>
          <w:rFonts w:ascii="Arial" w:hAnsi="Arial" w:cs="Arial"/>
          <w:sz w:val="24"/>
          <w:szCs w:val="24"/>
        </w:rPr>
        <w:t xml:space="preserve"> around 200 basis points</w:t>
      </w:r>
      <w:r w:rsidR="00B715C1">
        <w:rPr>
          <w:rFonts w:ascii="Arial" w:hAnsi="Arial" w:cs="Arial"/>
          <w:sz w:val="24"/>
          <w:szCs w:val="24"/>
        </w:rPr>
        <w:t xml:space="preserve"> </w:t>
      </w:r>
      <w:r w:rsidR="005253F8">
        <w:rPr>
          <w:rFonts w:ascii="Arial" w:hAnsi="Arial" w:cs="Arial"/>
          <w:sz w:val="24"/>
          <w:szCs w:val="24"/>
        </w:rPr>
        <w:t>reflecting higher sales of lower margin outdoor seasonal and building products</w:t>
      </w:r>
      <w:r w:rsidR="00B715C1">
        <w:rPr>
          <w:rFonts w:ascii="Arial" w:hAnsi="Arial" w:cs="Arial"/>
          <w:sz w:val="24"/>
          <w:szCs w:val="24"/>
        </w:rPr>
        <w:t>,</w:t>
      </w:r>
      <w:r w:rsidR="005253F8">
        <w:rPr>
          <w:rFonts w:ascii="Arial" w:hAnsi="Arial" w:cs="Arial"/>
          <w:sz w:val="24"/>
          <w:szCs w:val="24"/>
        </w:rPr>
        <w:t xml:space="preserve"> </w:t>
      </w:r>
      <w:r w:rsidR="00466C3F">
        <w:rPr>
          <w:rFonts w:ascii="Arial" w:hAnsi="Arial" w:cs="Arial"/>
          <w:sz w:val="24"/>
          <w:szCs w:val="24"/>
        </w:rPr>
        <w:t xml:space="preserve">the recognition of </w:t>
      </w:r>
      <w:r w:rsidR="00E6171E">
        <w:rPr>
          <w:rFonts w:ascii="Arial" w:hAnsi="Arial" w:cs="Arial"/>
          <w:sz w:val="24"/>
          <w:szCs w:val="24"/>
        </w:rPr>
        <w:t xml:space="preserve">more </w:t>
      </w:r>
      <w:r w:rsidR="00E6171E" w:rsidRPr="00071164">
        <w:rPr>
          <w:rFonts w:ascii="Arial" w:hAnsi="Arial" w:cs="Arial"/>
          <w:sz w:val="24"/>
          <w:szCs w:val="24"/>
        </w:rPr>
        <w:t>promotional</w:t>
      </w:r>
      <w:r w:rsidR="00E15315" w:rsidRPr="00071164">
        <w:rPr>
          <w:rFonts w:ascii="Arial" w:hAnsi="Arial" w:cs="Arial"/>
          <w:sz w:val="24"/>
          <w:szCs w:val="24"/>
        </w:rPr>
        <w:t>ly-led</w:t>
      </w:r>
      <w:r w:rsidR="00E6171E" w:rsidRPr="00071164">
        <w:rPr>
          <w:rFonts w:ascii="Arial" w:hAnsi="Arial" w:cs="Arial"/>
          <w:sz w:val="24"/>
          <w:szCs w:val="24"/>
        </w:rPr>
        <w:t xml:space="preserve"> </w:t>
      </w:r>
      <w:r w:rsidR="00466C3F" w:rsidRPr="00505F62">
        <w:rPr>
          <w:rFonts w:ascii="Arial" w:hAnsi="Arial" w:cs="Arial"/>
          <w:sz w:val="24"/>
          <w:szCs w:val="24"/>
        </w:rPr>
        <w:t>showroom sales (kitchens</w:t>
      </w:r>
      <w:r w:rsidR="00E6171E" w:rsidRPr="00071164">
        <w:rPr>
          <w:rFonts w:ascii="Arial" w:hAnsi="Arial" w:cs="Arial"/>
          <w:sz w:val="24"/>
          <w:szCs w:val="24"/>
        </w:rPr>
        <w:t>, bathrooms</w:t>
      </w:r>
      <w:r w:rsidR="00466C3F" w:rsidRPr="00071164">
        <w:rPr>
          <w:rFonts w:ascii="Arial" w:hAnsi="Arial" w:cs="Arial"/>
          <w:sz w:val="24"/>
          <w:szCs w:val="24"/>
        </w:rPr>
        <w:t xml:space="preserve"> and b</w:t>
      </w:r>
      <w:r w:rsidR="00E6171E" w:rsidRPr="00071164">
        <w:rPr>
          <w:rFonts w:ascii="Arial" w:hAnsi="Arial" w:cs="Arial"/>
          <w:sz w:val="24"/>
          <w:szCs w:val="24"/>
        </w:rPr>
        <w:t xml:space="preserve">edrooms) </w:t>
      </w:r>
      <w:r w:rsidR="00E15315" w:rsidRPr="00071164">
        <w:rPr>
          <w:rFonts w:ascii="Arial" w:hAnsi="Arial" w:cs="Arial"/>
          <w:sz w:val="24"/>
          <w:szCs w:val="24"/>
        </w:rPr>
        <w:t>from</w:t>
      </w:r>
      <w:r w:rsidR="00E6171E" w:rsidRPr="00071164">
        <w:rPr>
          <w:rFonts w:ascii="Arial" w:hAnsi="Arial" w:cs="Arial"/>
          <w:sz w:val="24"/>
          <w:szCs w:val="24"/>
        </w:rPr>
        <w:t xml:space="preserve"> </w:t>
      </w:r>
      <w:r w:rsidR="00071164" w:rsidRPr="00071164">
        <w:rPr>
          <w:rFonts w:ascii="Arial" w:hAnsi="Arial" w:cs="Arial"/>
          <w:sz w:val="24"/>
          <w:szCs w:val="24"/>
        </w:rPr>
        <w:t>Q4 last</w:t>
      </w:r>
      <w:r w:rsidR="00E6171E" w:rsidRPr="00071164">
        <w:rPr>
          <w:rFonts w:ascii="Arial" w:hAnsi="Arial" w:cs="Arial"/>
          <w:sz w:val="24"/>
          <w:szCs w:val="24"/>
        </w:rPr>
        <w:t xml:space="preserve"> year</w:t>
      </w:r>
      <w:r w:rsidR="00B715C1" w:rsidRPr="00071164">
        <w:rPr>
          <w:rFonts w:ascii="Arial" w:hAnsi="Arial" w:cs="Arial"/>
          <w:sz w:val="24"/>
          <w:szCs w:val="24"/>
        </w:rPr>
        <w:t xml:space="preserve"> and </w:t>
      </w:r>
      <w:r w:rsidR="00071164" w:rsidRPr="00AB1F67">
        <w:rPr>
          <w:rFonts w:ascii="Arial" w:hAnsi="Arial" w:cs="Arial"/>
          <w:sz w:val="24"/>
          <w:szCs w:val="24"/>
        </w:rPr>
        <w:t>increased home delivery costs.</w:t>
      </w:r>
      <w:r w:rsidR="00E6171E" w:rsidRPr="00071164">
        <w:rPr>
          <w:rFonts w:ascii="Arial" w:hAnsi="Arial" w:cs="Arial"/>
          <w:sz w:val="24"/>
          <w:szCs w:val="24"/>
        </w:rPr>
        <w:t xml:space="preserve"> </w:t>
      </w:r>
      <w:r w:rsidR="00071164" w:rsidRPr="00071164">
        <w:rPr>
          <w:rFonts w:ascii="Arial" w:hAnsi="Arial" w:cs="Arial"/>
          <w:sz w:val="24"/>
          <w:szCs w:val="24"/>
        </w:rPr>
        <w:t xml:space="preserve">Total UK </w:t>
      </w:r>
      <w:r w:rsidR="00917BAD">
        <w:rPr>
          <w:rFonts w:ascii="Arial" w:hAnsi="Arial" w:cs="Arial"/>
          <w:sz w:val="24"/>
          <w:szCs w:val="24"/>
        </w:rPr>
        <w:t xml:space="preserve">&amp; Ireland </w:t>
      </w:r>
      <w:r w:rsidR="00071164" w:rsidRPr="00071164">
        <w:rPr>
          <w:rFonts w:ascii="Arial" w:hAnsi="Arial" w:cs="Arial"/>
          <w:sz w:val="24"/>
          <w:szCs w:val="24"/>
        </w:rPr>
        <w:t>c</w:t>
      </w:r>
      <w:r w:rsidR="00413843" w:rsidRPr="00071164">
        <w:rPr>
          <w:rFonts w:ascii="Arial" w:hAnsi="Arial" w:cs="Arial"/>
          <w:sz w:val="24"/>
          <w:szCs w:val="24"/>
        </w:rPr>
        <w:t>ash gross profit grew by 7% over the quarter.</w:t>
      </w:r>
      <w:r w:rsidR="00920AFD" w:rsidRPr="00071164">
        <w:rPr>
          <w:rFonts w:ascii="Arial" w:hAnsi="Arial" w:cs="Arial"/>
          <w:sz w:val="24"/>
          <w:szCs w:val="24"/>
        </w:rPr>
        <w:t xml:space="preserve"> </w:t>
      </w:r>
      <w:r w:rsidR="00B715C1" w:rsidRPr="00AB1F67">
        <w:rPr>
          <w:rFonts w:ascii="Arial" w:hAnsi="Arial" w:cs="Arial"/>
          <w:sz w:val="24"/>
          <w:szCs w:val="24"/>
        </w:rPr>
        <w:t xml:space="preserve">Tight cost control </w:t>
      </w:r>
      <w:r w:rsidR="00A1226C" w:rsidRPr="00AB1F67">
        <w:rPr>
          <w:rFonts w:ascii="Arial" w:hAnsi="Arial" w:cs="Arial"/>
          <w:sz w:val="24"/>
          <w:szCs w:val="24"/>
        </w:rPr>
        <w:t>continued, despite higher levels of variable pay, together with some favourable cost phasing which will reverse later in the year.</w:t>
      </w:r>
      <w:r w:rsidR="00A1226C">
        <w:rPr>
          <w:rFonts w:ascii="Arial" w:hAnsi="Arial" w:cs="Arial"/>
          <w:sz w:val="24"/>
          <w:szCs w:val="24"/>
        </w:rPr>
        <w:t xml:space="preserve"> </w:t>
      </w:r>
    </w:p>
    <w:p w:rsidR="00601F78" w:rsidRPr="00FF733A" w:rsidRDefault="00601F78" w:rsidP="00F07AC8">
      <w:pPr>
        <w:pStyle w:val="PlainText"/>
        <w:rPr>
          <w:color w:val="FF0000"/>
          <w:highlight w:val="yellow"/>
        </w:rPr>
      </w:pPr>
      <w:bookmarkStart w:id="3" w:name="OLE_LINK3"/>
      <w:bookmarkStart w:id="4" w:name="OLE_LINK4"/>
    </w:p>
    <w:p w:rsidR="00834699" w:rsidRDefault="00F07AC8">
      <w:pPr>
        <w:jc w:val="left"/>
        <w:rPr>
          <w:rFonts w:ascii="Arial" w:hAnsi="Arial" w:cs="Arial"/>
          <w:sz w:val="24"/>
          <w:szCs w:val="24"/>
        </w:rPr>
      </w:pPr>
      <w:r w:rsidRPr="00446561">
        <w:rPr>
          <w:rFonts w:ascii="Arial" w:hAnsi="Arial" w:cs="Arial"/>
          <w:b/>
          <w:sz w:val="24"/>
          <w:szCs w:val="24"/>
        </w:rPr>
        <w:t>B&amp;Q UK &amp; Ireland’s</w:t>
      </w:r>
      <w:r w:rsidR="00AD3B19" w:rsidRPr="00446561">
        <w:rPr>
          <w:rFonts w:ascii="Arial" w:hAnsi="Arial" w:cs="Arial"/>
          <w:sz w:val="24"/>
          <w:szCs w:val="24"/>
        </w:rPr>
        <w:t xml:space="preserve"> total sales </w:t>
      </w:r>
      <w:r w:rsidR="0078231E" w:rsidRPr="00446561">
        <w:rPr>
          <w:rFonts w:ascii="Arial" w:hAnsi="Arial" w:cs="Arial"/>
          <w:sz w:val="24"/>
          <w:szCs w:val="24"/>
        </w:rPr>
        <w:t>grew by</w:t>
      </w:r>
      <w:r w:rsidR="00AD3B19" w:rsidRPr="00446561">
        <w:rPr>
          <w:rFonts w:ascii="Arial" w:hAnsi="Arial" w:cs="Arial"/>
          <w:sz w:val="24"/>
          <w:szCs w:val="24"/>
        </w:rPr>
        <w:t xml:space="preserve"> </w:t>
      </w:r>
      <w:r w:rsidR="00446561" w:rsidRPr="00446561">
        <w:rPr>
          <w:rFonts w:ascii="Arial" w:hAnsi="Arial" w:cs="Arial"/>
          <w:sz w:val="24"/>
          <w:szCs w:val="24"/>
        </w:rPr>
        <w:t>10.</w:t>
      </w:r>
      <w:r w:rsidR="00800E1F">
        <w:rPr>
          <w:rFonts w:ascii="Arial" w:hAnsi="Arial" w:cs="Arial"/>
          <w:sz w:val="24"/>
          <w:szCs w:val="24"/>
        </w:rPr>
        <w:t>5</w:t>
      </w:r>
      <w:r w:rsidR="00AD3B19" w:rsidRPr="00446561">
        <w:rPr>
          <w:rFonts w:ascii="Arial" w:hAnsi="Arial" w:cs="Arial"/>
          <w:sz w:val="24"/>
          <w:szCs w:val="24"/>
        </w:rPr>
        <w:t>% to £</w:t>
      </w:r>
      <w:r w:rsidR="00446561" w:rsidRPr="00446561">
        <w:rPr>
          <w:rFonts w:ascii="Arial" w:hAnsi="Arial" w:cs="Arial"/>
          <w:sz w:val="24"/>
          <w:szCs w:val="24"/>
        </w:rPr>
        <w:t>1,008</w:t>
      </w:r>
      <w:r w:rsidR="00AD3B19" w:rsidRPr="00446561">
        <w:rPr>
          <w:rFonts w:ascii="Arial" w:hAnsi="Arial" w:cs="Arial"/>
          <w:sz w:val="24"/>
          <w:szCs w:val="24"/>
        </w:rPr>
        <w:t xml:space="preserve"> </w:t>
      </w:r>
      <w:r w:rsidR="00446561" w:rsidRPr="00446561">
        <w:rPr>
          <w:rFonts w:ascii="Arial" w:hAnsi="Arial" w:cs="Arial"/>
          <w:sz w:val="24"/>
          <w:szCs w:val="24"/>
        </w:rPr>
        <w:t>million (+9.7</w:t>
      </w:r>
      <w:r w:rsidRPr="00446561">
        <w:rPr>
          <w:rFonts w:ascii="Arial" w:hAnsi="Arial" w:cs="Arial"/>
          <w:sz w:val="24"/>
          <w:szCs w:val="24"/>
        </w:rPr>
        <w:t>% LFL</w:t>
      </w:r>
      <w:r w:rsidR="00981C70">
        <w:rPr>
          <w:rFonts w:ascii="Arial" w:hAnsi="Arial" w:cs="Arial"/>
          <w:sz w:val="24"/>
          <w:szCs w:val="24"/>
        </w:rPr>
        <w:t>; +</w:t>
      </w:r>
      <w:r w:rsidR="006D4F90">
        <w:rPr>
          <w:rFonts w:ascii="Arial" w:hAnsi="Arial" w:cs="Arial"/>
          <w:sz w:val="24"/>
          <w:szCs w:val="24"/>
        </w:rPr>
        <w:t>3.5</w:t>
      </w:r>
      <w:r w:rsidR="00981C70">
        <w:rPr>
          <w:rFonts w:ascii="Arial" w:hAnsi="Arial" w:cs="Arial"/>
          <w:sz w:val="24"/>
          <w:szCs w:val="24"/>
        </w:rPr>
        <w:t>% 2 year LFL</w:t>
      </w:r>
      <w:r w:rsidRPr="00446561">
        <w:rPr>
          <w:rFonts w:ascii="Arial" w:hAnsi="Arial" w:cs="Arial"/>
          <w:sz w:val="24"/>
          <w:szCs w:val="24"/>
        </w:rPr>
        <w:t>)</w:t>
      </w:r>
      <w:r w:rsidR="0078231E" w:rsidRPr="00446561">
        <w:rPr>
          <w:rFonts w:ascii="Arial" w:hAnsi="Arial" w:cs="Arial"/>
          <w:sz w:val="24"/>
          <w:szCs w:val="24"/>
        </w:rPr>
        <w:t xml:space="preserve">. </w:t>
      </w:r>
      <w:r w:rsidR="0032146C" w:rsidRPr="00446561">
        <w:rPr>
          <w:rFonts w:ascii="Arial" w:hAnsi="Arial" w:cs="Arial"/>
          <w:sz w:val="24"/>
          <w:szCs w:val="24"/>
        </w:rPr>
        <w:t>Sale</w:t>
      </w:r>
      <w:r w:rsidR="00285AD7">
        <w:rPr>
          <w:rFonts w:ascii="Arial" w:hAnsi="Arial" w:cs="Arial"/>
          <w:sz w:val="24"/>
          <w:szCs w:val="24"/>
        </w:rPr>
        <w:t xml:space="preserve">s of outdoor seasonal </w:t>
      </w:r>
      <w:r w:rsidR="00F35DD8">
        <w:rPr>
          <w:rFonts w:ascii="Arial" w:hAnsi="Arial" w:cs="Arial"/>
          <w:sz w:val="24"/>
          <w:szCs w:val="24"/>
        </w:rPr>
        <w:t xml:space="preserve">and building </w:t>
      </w:r>
      <w:r w:rsidR="00285AD7">
        <w:rPr>
          <w:rFonts w:ascii="Arial" w:hAnsi="Arial" w:cs="Arial"/>
          <w:sz w:val="24"/>
          <w:szCs w:val="24"/>
        </w:rPr>
        <w:t>products</w:t>
      </w:r>
      <w:r w:rsidR="00F35DD8">
        <w:rPr>
          <w:rFonts w:ascii="Arial" w:hAnsi="Arial" w:cs="Arial"/>
          <w:sz w:val="24"/>
          <w:szCs w:val="24"/>
        </w:rPr>
        <w:t>, which can represent up to 30% of total Q1 sales,</w:t>
      </w:r>
      <w:r w:rsidR="00285AD7">
        <w:rPr>
          <w:rFonts w:ascii="Arial" w:hAnsi="Arial" w:cs="Arial"/>
          <w:sz w:val="24"/>
          <w:szCs w:val="24"/>
        </w:rPr>
        <w:t xml:space="preserve"> </w:t>
      </w:r>
      <w:r w:rsidR="0032146C" w:rsidRPr="00446561">
        <w:rPr>
          <w:rFonts w:ascii="Arial" w:hAnsi="Arial" w:cs="Arial"/>
          <w:sz w:val="24"/>
          <w:szCs w:val="24"/>
        </w:rPr>
        <w:t xml:space="preserve">were </w:t>
      </w:r>
      <w:r w:rsidR="0078231E" w:rsidRPr="00446561">
        <w:rPr>
          <w:rFonts w:ascii="Arial" w:hAnsi="Arial" w:cs="Arial"/>
          <w:sz w:val="24"/>
          <w:szCs w:val="24"/>
        </w:rPr>
        <w:t>up</w:t>
      </w:r>
      <w:r w:rsidR="0032146C" w:rsidRPr="00446561">
        <w:rPr>
          <w:rFonts w:ascii="Arial" w:hAnsi="Arial" w:cs="Arial"/>
          <w:sz w:val="24"/>
          <w:szCs w:val="24"/>
        </w:rPr>
        <w:t xml:space="preserve"> </w:t>
      </w:r>
      <w:r w:rsidR="00F35DD8">
        <w:rPr>
          <w:rFonts w:ascii="Arial" w:hAnsi="Arial" w:cs="Arial"/>
          <w:sz w:val="24"/>
          <w:szCs w:val="24"/>
        </w:rPr>
        <w:t>around 30% benefiting</w:t>
      </w:r>
      <w:r w:rsidR="00285AD7">
        <w:rPr>
          <w:rFonts w:ascii="Arial" w:hAnsi="Arial" w:cs="Arial"/>
          <w:sz w:val="24"/>
          <w:szCs w:val="24"/>
        </w:rPr>
        <w:t xml:space="preserve"> from </w:t>
      </w:r>
      <w:r w:rsidR="00F35DD8">
        <w:rPr>
          <w:rFonts w:ascii="Arial" w:hAnsi="Arial" w:cs="Arial"/>
          <w:sz w:val="24"/>
          <w:szCs w:val="24"/>
        </w:rPr>
        <w:t xml:space="preserve">the better weather and later Easter. Sales of indoor products were up around </w:t>
      </w:r>
      <w:r w:rsidR="009104F0">
        <w:rPr>
          <w:rFonts w:ascii="Arial" w:hAnsi="Arial" w:cs="Arial"/>
          <w:sz w:val="24"/>
          <w:szCs w:val="24"/>
        </w:rPr>
        <w:t>3</w:t>
      </w:r>
      <w:r w:rsidR="00F35DD8">
        <w:rPr>
          <w:rFonts w:ascii="Arial" w:hAnsi="Arial" w:cs="Arial"/>
          <w:sz w:val="24"/>
          <w:szCs w:val="24"/>
        </w:rPr>
        <w:t xml:space="preserve">%. Tradepoint* continues to progress with sales up around 3% compared to last year. </w:t>
      </w:r>
    </w:p>
    <w:p w:rsidR="00944049" w:rsidRPr="00FF733A" w:rsidRDefault="00944049">
      <w:pPr>
        <w:jc w:val="left"/>
        <w:rPr>
          <w:rFonts w:ascii="Arial" w:hAnsi="Arial" w:cs="Arial"/>
          <w:sz w:val="24"/>
          <w:szCs w:val="24"/>
          <w:highlight w:val="yellow"/>
        </w:rPr>
      </w:pPr>
    </w:p>
    <w:bookmarkEnd w:id="3"/>
    <w:bookmarkEnd w:id="4"/>
    <w:p w:rsidR="009B22BE" w:rsidRPr="00C828B1" w:rsidRDefault="001920A3" w:rsidP="006567A2">
      <w:pPr>
        <w:jc w:val="left"/>
        <w:rPr>
          <w:rFonts w:ascii="Arial" w:hAnsi="Arial" w:cs="Arial"/>
          <w:sz w:val="24"/>
          <w:szCs w:val="24"/>
        </w:rPr>
      </w:pPr>
      <w:r w:rsidRPr="00446561">
        <w:rPr>
          <w:rFonts w:ascii="Arial" w:hAnsi="Arial" w:cs="Arial"/>
          <w:b/>
          <w:sz w:val="24"/>
          <w:szCs w:val="24"/>
        </w:rPr>
        <w:t xml:space="preserve">Screwfix </w:t>
      </w:r>
      <w:r w:rsidRPr="00446561">
        <w:rPr>
          <w:rFonts w:ascii="Arial" w:hAnsi="Arial" w:cs="Arial"/>
          <w:sz w:val="24"/>
          <w:szCs w:val="24"/>
        </w:rPr>
        <w:t xml:space="preserve">grew </w:t>
      </w:r>
      <w:r w:rsidR="00570F4C" w:rsidRPr="00446561">
        <w:rPr>
          <w:rFonts w:ascii="Arial" w:hAnsi="Arial" w:cs="Arial"/>
          <w:sz w:val="24"/>
          <w:szCs w:val="24"/>
        </w:rPr>
        <w:t xml:space="preserve">total sales by </w:t>
      </w:r>
      <w:r w:rsidR="00446561" w:rsidRPr="00446561">
        <w:rPr>
          <w:rFonts w:ascii="Arial" w:hAnsi="Arial" w:cs="Arial"/>
          <w:sz w:val="24"/>
          <w:szCs w:val="24"/>
        </w:rPr>
        <w:t>24.2</w:t>
      </w:r>
      <w:r w:rsidR="00570F4C" w:rsidRPr="00446561">
        <w:rPr>
          <w:rFonts w:ascii="Arial" w:hAnsi="Arial" w:cs="Arial"/>
          <w:sz w:val="24"/>
          <w:szCs w:val="24"/>
        </w:rPr>
        <w:t xml:space="preserve">% </w:t>
      </w:r>
      <w:r w:rsidR="00446561" w:rsidRPr="00446561">
        <w:rPr>
          <w:rFonts w:ascii="Arial" w:hAnsi="Arial" w:cs="Arial"/>
          <w:sz w:val="24"/>
          <w:szCs w:val="24"/>
        </w:rPr>
        <w:t>(+1</w:t>
      </w:r>
      <w:r w:rsidR="00F63602">
        <w:rPr>
          <w:rFonts w:ascii="Arial" w:hAnsi="Arial" w:cs="Arial"/>
          <w:sz w:val="24"/>
          <w:szCs w:val="24"/>
        </w:rPr>
        <w:t>2.0</w:t>
      </w:r>
      <w:r w:rsidR="00E83F0B" w:rsidRPr="00446561">
        <w:rPr>
          <w:rFonts w:ascii="Arial" w:hAnsi="Arial" w:cs="Arial"/>
          <w:sz w:val="24"/>
          <w:szCs w:val="24"/>
        </w:rPr>
        <w:t xml:space="preserve">% LFL) </w:t>
      </w:r>
      <w:r w:rsidR="00570F4C" w:rsidRPr="00446561">
        <w:rPr>
          <w:rFonts w:ascii="Arial" w:hAnsi="Arial" w:cs="Arial"/>
          <w:sz w:val="24"/>
          <w:szCs w:val="24"/>
        </w:rPr>
        <w:t>to £</w:t>
      </w:r>
      <w:r w:rsidR="00446561" w:rsidRPr="00446561">
        <w:rPr>
          <w:rFonts w:ascii="Arial" w:hAnsi="Arial" w:cs="Arial"/>
          <w:sz w:val="24"/>
          <w:szCs w:val="24"/>
        </w:rPr>
        <w:t>192</w:t>
      </w:r>
      <w:r w:rsidRPr="00446561">
        <w:rPr>
          <w:rFonts w:ascii="Arial" w:hAnsi="Arial" w:cs="Arial"/>
          <w:sz w:val="24"/>
          <w:szCs w:val="24"/>
        </w:rPr>
        <w:t xml:space="preserve"> million</w:t>
      </w:r>
      <w:r w:rsidR="00570F4C" w:rsidRPr="00446561">
        <w:rPr>
          <w:rFonts w:ascii="Arial" w:hAnsi="Arial" w:cs="Arial"/>
          <w:sz w:val="24"/>
          <w:szCs w:val="24"/>
        </w:rPr>
        <w:t>,</w:t>
      </w:r>
      <w:r w:rsidR="005E3800">
        <w:rPr>
          <w:rFonts w:ascii="Arial" w:hAnsi="Arial" w:cs="Arial"/>
          <w:sz w:val="24"/>
          <w:szCs w:val="24"/>
        </w:rPr>
        <w:t xml:space="preserve"> </w:t>
      </w:r>
      <w:r w:rsidR="00C828B1">
        <w:rPr>
          <w:rFonts w:ascii="Arial" w:hAnsi="Arial" w:cs="Arial"/>
          <w:sz w:val="24"/>
          <w:szCs w:val="24"/>
        </w:rPr>
        <w:t xml:space="preserve">benefiting from </w:t>
      </w:r>
      <w:r w:rsidR="00DD38F8">
        <w:rPr>
          <w:rFonts w:ascii="Arial" w:hAnsi="Arial" w:cs="Arial"/>
          <w:sz w:val="24"/>
          <w:szCs w:val="24"/>
        </w:rPr>
        <w:t>a strong promotional programme,</w:t>
      </w:r>
      <w:r w:rsidR="00C828B1">
        <w:rPr>
          <w:rFonts w:ascii="Arial" w:hAnsi="Arial" w:cs="Arial"/>
          <w:sz w:val="24"/>
          <w:szCs w:val="24"/>
        </w:rPr>
        <w:t xml:space="preserve"> the continued roll out of new outlets and the continued success of the mobile ‘click, pay &amp; collect’ offer. </w:t>
      </w:r>
      <w:r w:rsidR="001B7C80">
        <w:rPr>
          <w:rFonts w:ascii="Arial" w:hAnsi="Arial" w:cs="Arial"/>
          <w:sz w:val="24"/>
          <w:szCs w:val="24"/>
        </w:rPr>
        <w:t>Nine</w:t>
      </w:r>
      <w:r w:rsidR="0044454E" w:rsidRPr="00446561">
        <w:rPr>
          <w:rFonts w:ascii="Arial" w:hAnsi="Arial" w:cs="Arial"/>
          <w:sz w:val="24"/>
          <w:szCs w:val="24"/>
        </w:rPr>
        <w:t xml:space="preserve"> </w:t>
      </w:r>
      <w:r w:rsidR="00917BAD">
        <w:rPr>
          <w:rFonts w:ascii="Arial" w:hAnsi="Arial" w:cs="Arial"/>
          <w:sz w:val="24"/>
          <w:szCs w:val="24"/>
        </w:rPr>
        <w:t xml:space="preserve">net new </w:t>
      </w:r>
      <w:r w:rsidRPr="00446561">
        <w:rPr>
          <w:rFonts w:ascii="Arial" w:hAnsi="Arial" w:cs="Arial"/>
          <w:sz w:val="24"/>
          <w:szCs w:val="24"/>
        </w:rPr>
        <w:t>out</w:t>
      </w:r>
      <w:r w:rsidR="00AA1513" w:rsidRPr="00446561">
        <w:rPr>
          <w:rFonts w:ascii="Arial" w:hAnsi="Arial" w:cs="Arial"/>
          <w:sz w:val="24"/>
          <w:szCs w:val="24"/>
        </w:rPr>
        <w:t>lets were opened during Q</w:t>
      </w:r>
      <w:r w:rsidR="009B22BE" w:rsidRPr="00446561">
        <w:rPr>
          <w:rFonts w:ascii="Arial" w:hAnsi="Arial" w:cs="Arial"/>
          <w:sz w:val="24"/>
          <w:szCs w:val="24"/>
        </w:rPr>
        <w:t>1</w:t>
      </w:r>
      <w:r w:rsidRPr="00446561">
        <w:rPr>
          <w:rFonts w:ascii="Arial" w:hAnsi="Arial" w:cs="Arial"/>
          <w:sz w:val="24"/>
          <w:szCs w:val="24"/>
        </w:rPr>
        <w:t xml:space="preserve">, taking the total to </w:t>
      </w:r>
      <w:r w:rsidR="00446561" w:rsidRPr="00446561">
        <w:rPr>
          <w:rFonts w:ascii="Arial" w:hAnsi="Arial" w:cs="Arial"/>
          <w:sz w:val="24"/>
          <w:szCs w:val="24"/>
        </w:rPr>
        <w:t>34</w:t>
      </w:r>
      <w:r w:rsidR="001B7C80">
        <w:rPr>
          <w:rFonts w:ascii="Arial" w:hAnsi="Arial" w:cs="Arial"/>
          <w:sz w:val="24"/>
          <w:szCs w:val="24"/>
        </w:rPr>
        <w:t>4</w:t>
      </w:r>
      <w:r w:rsidR="004069F6" w:rsidRPr="00446561">
        <w:rPr>
          <w:rFonts w:ascii="Arial" w:hAnsi="Arial" w:cs="Arial"/>
          <w:sz w:val="24"/>
          <w:szCs w:val="24"/>
        </w:rPr>
        <w:t xml:space="preserve">. </w:t>
      </w:r>
    </w:p>
    <w:p w:rsidR="001920A3" w:rsidRPr="00FF733A" w:rsidRDefault="001920A3" w:rsidP="006567A2">
      <w:pPr>
        <w:jc w:val="left"/>
        <w:rPr>
          <w:rFonts w:ascii="Arial" w:hAnsi="Arial" w:cs="Arial"/>
          <w:sz w:val="24"/>
          <w:szCs w:val="24"/>
          <w:highlight w:val="yellow"/>
        </w:rPr>
      </w:pPr>
    </w:p>
    <w:p w:rsidR="007A594B" w:rsidRPr="00FF733A" w:rsidRDefault="007A594B" w:rsidP="00FD66C6">
      <w:pPr>
        <w:rPr>
          <w:rFonts w:ascii="Arial" w:hAnsi="Arial" w:cs="Arial"/>
          <w:i/>
          <w:sz w:val="18"/>
          <w:szCs w:val="18"/>
          <w:highlight w:val="yellow"/>
        </w:rPr>
      </w:pPr>
    </w:p>
    <w:p w:rsidR="00751BD3" w:rsidRDefault="00751BD3">
      <w:pPr>
        <w:jc w:val="left"/>
        <w:rPr>
          <w:rFonts w:ascii="Arial" w:hAnsi="Arial" w:cs="Arial"/>
          <w:b/>
          <w:sz w:val="24"/>
          <w:szCs w:val="24"/>
        </w:rPr>
      </w:pPr>
      <w:r>
        <w:rPr>
          <w:rFonts w:ascii="Arial" w:hAnsi="Arial" w:cs="Arial"/>
          <w:b/>
          <w:sz w:val="24"/>
          <w:szCs w:val="24"/>
        </w:rPr>
        <w:br w:type="page"/>
      </w:r>
    </w:p>
    <w:p w:rsidR="001920A3" w:rsidRPr="00B21FD9" w:rsidRDefault="001920A3" w:rsidP="000861DC">
      <w:pPr>
        <w:jc w:val="left"/>
        <w:rPr>
          <w:rFonts w:ascii="Arial" w:hAnsi="Arial" w:cs="Arial"/>
          <w:b/>
          <w:sz w:val="24"/>
          <w:szCs w:val="24"/>
        </w:rPr>
      </w:pPr>
      <w:r w:rsidRPr="00B21FD9">
        <w:rPr>
          <w:rFonts w:ascii="Arial" w:hAnsi="Arial" w:cs="Arial"/>
          <w:b/>
          <w:sz w:val="24"/>
          <w:szCs w:val="24"/>
        </w:rPr>
        <w:lastRenderedPageBreak/>
        <w:t>OTHER INTERNATIONAL</w:t>
      </w:r>
      <w:r w:rsidRPr="00B21FD9">
        <w:rPr>
          <w:rFonts w:ascii="Arial" w:hAnsi="Arial" w:cs="Arial"/>
          <w:b/>
          <w:sz w:val="24"/>
          <w:szCs w:val="24"/>
        </w:rPr>
        <w:tab/>
      </w:r>
    </w:p>
    <w:p w:rsidR="001920A3" w:rsidRPr="00226B46" w:rsidRDefault="001920A3" w:rsidP="000861DC">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301"/>
        <w:gridCol w:w="1348"/>
        <w:gridCol w:w="1663"/>
        <w:gridCol w:w="1629"/>
        <w:gridCol w:w="1211"/>
      </w:tblGrid>
      <w:tr w:rsidR="00FD57E1" w:rsidRPr="00DC306D" w:rsidTr="000F36A5">
        <w:trPr>
          <w:trHeight w:val="134"/>
        </w:trPr>
        <w:tc>
          <w:tcPr>
            <w:tcW w:w="1339" w:type="pct"/>
            <w:tcBorders>
              <w:bottom w:val="nil"/>
            </w:tcBorders>
          </w:tcPr>
          <w:p w:rsidR="001920A3" w:rsidRPr="00226B46" w:rsidRDefault="001920A3" w:rsidP="00FE458E">
            <w:pPr>
              <w:rPr>
                <w:rFonts w:ascii="Arial" w:hAnsi="Arial" w:cs="Arial"/>
                <w:b/>
                <w:sz w:val="24"/>
                <w:szCs w:val="24"/>
              </w:rPr>
            </w:pPr>
            <w:r w:rsidRPr="00DC306D">
              <w:rPr>
                <w:rFonts w:ascii="Arial" w:hAnsi="Arial" w:cs="Arial"/>
                <w:b/>
                <w:sz w:val="24"/>
                <w:szCs w:val="24"/>
              </w:rPr>
              <w:t>Sales £m</w:t>
            </w:r>
          </w:p>
        </w:tc>
        <w:tc>
          <w:tcPr>
            <w:tcW w:w="666" w:type="pct"/>
            <w:tcBorders>
              <w:bottom w:val="nil"/>
            </w:tcBorders>
          </w:tcPr>
          <w:p w:rsidR="001920A3" w:rsidRPr="00226B46" w:rsidRDefault="001920A3" w:rsidP="00FE458E">
            <w:pPr>
              <w:jc w:val="right"/>
              <w:rPr>
                <w:rFonts w:ascii="Arial" w:hAnsi="Arial" w:cs="Arial"/>
                <w:b/>
                <w:sz w:val="24"/>
                <w:szCs w:val="24"/>
              </w:rPr>
            </w:pPr>
            <w:r w:rsidRPr="00DC306D">
              <w:rPr>
                <w:rFonts w:ascii="Arial" w:hAnsi="Arial" w:cs="Arial"/>
                <w:b/>
                <w:sz w:val="24"/>
                <w:szCs w:val="24"/>
              </w:rPr>
              <w:t>201</w:t>
            </w:r>
            <w:r w:rsidR="00FF733A">
              <w:rPr>
                <w:rFonts w:ascii="Arial" w:hAnsi="Arial" w:cs="Arial"/>
                <w:b/>
                <w:sz w:val="24"/>
                <w:szCs w:val="24"/>
              </w:rPr>
              <w:t>4</w:t>
            </w:r>
            <w:r w:rsidRPr="00DC306D">
              <w:rPr>
                <w:rFonts w:ascii="Arial" w:hAnsi="Arial" w:cs="Arial"/>
                <w:b/>
                <w:sz w:val="24"/>
                <w:szCs w:val="24"/>
              </w:rPr>
              <w:t>/1</w:t>
            </w:r>
            <w:r w:rsidR="00FF733A">
              <w:rPr>
                <w:rFonts w:ascii="Arial" w:hAnsi="Arial" w:cs="Arial"/>
                <w:b/>
                <w:sz w:val="24"/>
                <w:szCs w:val="24"/>
              </w:rPr>
              <w:t>5</w:t>
            </w:r>
          </w:p>
        </w:tc>
        <w:tc>
          <w:tcPr>
            <w:tcW w:w="690" w:type="pct"/>
            <w:tcBorders>
              <w:bottom w:val="nil"/>
            </w:tcBorders>
          </w:tcPr>
          <w:p w:rsidR="001920A3" w:rsidRPr="00DC306D" w:rsidRDefault="00FF733A" w:rsidP="00FE458E">
            <w:pPr>
              <w:jc w:val="right"/>
              <w:rPr>
                <w:rFonts w:ascii="Arial" w:hAnsi="Arial" w:cs="Arial"/>
                <w:b/>
                <w:sz w:val="24"/>
                <w:szCs w:val="24"/>
              </w:rPr>
            </w:pPr>
            <w:r w:rsidRPr="00DC306D">
              <w:rPr>
                <w:rFonts w:ascii="Arial" w:hAnsi="Arial" w:cs="Arial"/>
                <w:b/>
                <w:sz w:val="24"/>
                <w:szCs w:val="24"/>
              </w:rPr>
              <w:t>2013/14</w:t>
            </w:r>
          </w:p>
        </w:tc>
        <w:tc>
          <w:tcPr>
            <w:tcW w:w="851" w:type="pct"/>
            <w:tcBorders>
              <w:bottom w:val="nil"/>
            </w:tcBorders>
          </w:tcPr>
          <w:p w:rsidR="001920A3" w:rsidRDefault="001920A3" w:rsidP="00FE458E">
            <w:pPr>
              <w:jc w:val="right"/>
              <w:rPr>
                <w:rFonts w:ascii="Arial" w:hAnsi="Arial" w:cs="Arial"/>
                <w:b/>
                <w:sz w:val="24"/>
                <w:szCs w:val="24"/>
              </w:rPr>
            </w:pPr>
            <w:r w:rsidRPr="00DC306D">
              <w:rPr>
                <w:rFonts w:ascii="Arial" w:hAnsi="Arial" w:cs="Arial"/>
                <w:b/>
                <w:sz w:val="24"/>
                <w:szCs w:val="24"/>
              </w:rPr>
              <w:t xml:space="preserve">% </w:t>
            </w:r>
            <w:r w:rsidR="00E41292">
              <w:rPr>
                <w:rFonts w:ascii="Arial" w:hAnsi="Arial" w:cs="Arial"/>
                <w:b/>
                <w:sz w:val="24"/>
                <w:szCs w:val="24"/>
              </w:rPr>
              <w:t xml:space="preserve">Total </w:t>
            </w:r>
            <w:r w:rsidRPr="00DC306D">
              <w:rPr>
                <w:rFonts w:ascii="Arial" w:hAnsi="Arial" w:cs="Arial"/>
                <w:b/>
                <w:sz w:val="24"/>
                <w:szCs w:val="24"/>
              </w:rPr>
              <w:t>Change</w:t>
            </w:r>
            <w:r w:rsidR="00E41292">
              <w:rPr>
                <w:rFonts w:ascii="Arial" w:hAnsi="Arial" w:cs="Arial"/>
                <w:b/>
                <w:sz w:val="24"/>
                <w:szCs w:val="24"/>
              </w:rPr>
              <w:t xml:space="preserve"> </w:t>
            </w:r>
          </w:p>
          <w:p w:rsidR="00E41292" w:rsidRPr="00DC306D" w:rsidRDefault="00E41292" w:rsidP="00FE458E">
            <w:pPr>
              <w:jc w:val="right"/>
              <w:rPr>
                <w:rFonts w:ascii="Arial" w:hAnsi="Arial" w:cs="Arial"/>
                <w:b/>
                <w:sz w:val="24"/>
                <w:szCs w:val="24"/>
              </w:rPr>
            </w:pPr>
            <w:r>
              <w:rPr>
                <w:rFonts w:ascii="Arial" w:hAnsi="Arial" w:cs="Arial"/>
                <w:b/>
                <w:sz w:val="24"/>
                <w:szCs w:val="24"/>
              </w:rPr>
              <w:t>Reported</w:t>
            </w:r>
          </w:p>
        </w:tc>
        <w:tc>
          <w:tcPr>
            <w:tcW w:w="834" w:type="pct"/>
            <w:tcBorders>
              <w:bottom w:val="nil"/>
            </w:tcBorders>
          </w:tcPr>
          <w:p w:rsidR="001920A3" w:rsidRDefault="001920A3" w:rsidP="00FE458E">
            <w:pPr>
              <w:jc w:val="right"/>
              <w:rPr>
                <w:rFonts w:ascii="Arial" w:hAnsi="Arial" w:cs="Arial"/>
                <w:b/>
                <w:sz w:val="24"/>
                <w:szCs w:val="24"/>
              </w:rPr>
            </w:pPr>
            <w:r w:rsidRPr="00DC306D">
              <w:rPr>
                <w:rFonts w:ascii="Arial" w:hAnsi="Arial" w:cs="Arial"/>
                <w:b/>
                <w:sz w:val="24"/>
                <w:szCs w:val="24"/>
              </w:rPr>
              <w:t xml:space="preserve">% </w:t>
            </w:r>
            <w:r w:rsidR="00E41292">
              <w:rPr>
                <w:rFonts w:ascii="Arial" w:hAnsi="Arial" w:cs="Arial"/>
                <w:b/>
                <w:sz w:val="24"/>
                <w:szCs w:val="24"/>
              </w:rPr>
              <w:t xml:space="preserve">Total </w:t>
            </w:r>
            <w:r w:rsidRPr="00DC306D">
              <w:rPr>
                <w:rFonts w:ascii="Arial" w:hAnsi="Arial" w:cs="Arial"/>
                <w:b/>
                <w:sz w:val="24"/>
                <w:szCs w:val="24"/>
              </w:rPr>
              <w:t>Change</w:t>
            </w:r>
          </w:p>
          <w:p w:rsidR="00E41292" w:rsidRDefault="00E41292" w:rsidP="00FE458E">
            <w:pPr>
              <w:jc w:val="right"/>
              <w:rPr>
                <w:rFonts w:ascii="Arial" w:hAnsi="Arial" w:cs="Arial"/>
                <w:b/>
                <w:sz w:val="24"/>
                <w:szCs w:val="24"/>
              </w:rPr>
            </w:pPr>
            <w:r>
              <w:rPr>
                <w:rFonts w:ascii="Arial" w:hAnsi="Arial" w:cs="Arial"/>
                <w:b/>
                <w:sz w:val="24"/>
                <w:szCs w:val="24"/>
              </w:rPr>
              <w:t>Constant</w:t>
            </w:r>
          </w:p>
          <w:p w:rsidR="00E41292" w:rsidRPr="00DC306D" w:rsidRDefault="00E41292" w:rsidP="00FE458E">
            <w:pPr>
              <w:jc w:val="right"/>
              <w:rPr>
                <w:rFonts w:ascii="Arial" w:hAnsi="Arial" w:cs="Arial"/>
                <w:b/>
                <w:sz w:val="24"/>
                <w:szCs w:val="24"/>
              </w:rPr>
            </w:pPr>
            <w:r>
              <w:rPr>
                <w:rFonts w:ascii="Arial" w:hAnsi="Arial" w:cs="Arial"/>
                <w:b/>
                <w:sz w:val="24"/>
                <w:szCs w:val="24"/>
              </w:rPr>
              <w:t>currency</w:t>
            </w:r>
          </w:p>
        </w:tc>
        <w:tc>
          <w:tcPr>
            <w:tcW w:w="620" w:type="pct"/>
            <w:tcBorders>
              <w:bottom w:val="nil"/>
            </w:tcBorders>
          </w:tcPr>
          <w:p w:rsidR="001920A3" w:rsidRDefault="001920A3" w:rsidP="00FE458E">
            <w:pPr>
              <w:jc w:val="right"/>
              <w:rPr>
                <w:rFonts w:ascii="Arial" w:hAnsi="Arial" w:cs="Arial"/>
                <w:b/>
                <w:sz w:val="24"/>
                <w:szCs w:val="24"/>
              </w:rPr>
            </w:pPr>
            <w:r w:rsidRPr="00DC306D">
              <w:rPr>
                <w:rFonts w:ascii="Arial" w:hAnsi="Arial" w:cs="Arial"/>
                <w:b/>
                <w:sz w:val="24"/>
                <w:szCs w:val="24"/>
              </w:rPr>
              <w:t>% LFL</w:t>
            </w:r>
            <w:r w:rsidR="00E41292">
              <w:rPr>
                <w:rFonts w:ascii="Arial" w:hAnsi="Arial" w:cs="Arial"/>
                <w:b/>
                <w:sz w:val="24"/>
                <w:szCs w:val="24"/>
              </w:rPr>
              <w:t xml:space="preserve"> </w:t>
            </w:r>
          </w:p>
          <w:p w:rsidR="00E41292" w:rsidRPr="00DC306D" w:rsidRDefault="00E41292" w:rsidP="00FE458E">
            <w:pPr>
              <w:jc w:val="right"/>
              <w:rPr>
                <w:rFonts w:ascii="Arial" w:hAnsi="Arial" w:cs="Arial"/>
                <w:b/>
                <w:sz w:val="24"/>
                <w:szCs w:val="24"/>
              </w:rPr>
            </w:pPr>
            <w:r>
              <w:rPr>
                <w:rFonts w:ascii="Arial" w:hAnsi="Arial" w:cs="Arial"/>
                <w:b/>
                <w:sz w:val="24"/>
                <w:szCs w:val="24"/>
              </w:rPr>
              <w:t>Change</w:t>
            </w:r>
          </w:p>
        </w:tc>
      </w:tr>
      <w:tr w:rsidR="00FD57E1" w:rsidRPr="00DC306D" w:rsidTr="000F36A5">
        <w:trPr>
          <w:trHeight w:val="134"/>
        </w:trPr>
        <w:tc>
          <w:tcPr>
            <w:tcW w:w="1339" w:type="pct"/>
            <w:tcBorders>
              <w:top w:val="nil"/>
            </w:tcBorders>
          </w:tcPr>
          <w:p w:rsidR="001920A3" w:rsidRPr="00226B46" w:rsidRDefault="001920A3" w:rsidP="00FE458E">
            <w:pPr>
              <w:rPr>
                <w:rFonts w:ascii="Arial" w:hAnsi="Arial" w:cs="Arial"/>
                <w:sz w:val="24"/>
                <w:szCs w:val="24"/>
              </w:rPr>
            </w:pPr>
          </w:p>
        </w:tc>
        <w:tc>
          <w:tcPr>
            <w:tcW w:w="666" w:type="pct"/>
            <w:tcBorders>
              <w:top w:val="nil"/>
            </w:tcBorders>
          </w:tcPr>
          <w:p w:rsidR="001920A3" w:rsidRPr="00226B46" w:rsidRDefault="001920A3" w:rsidP="00FE458E">
            <w:pPr>
              <w:jc w:val="right"/>
              <w:rPr>
                <w:rFonts w:ascii="Arial" w:hAnsi="Arial" w:cs="Arial"/>
                <w:b/>
                <w:sz w:val="24"/>
                <w:szCs w:val="24"/>
              </w:rPr>
            </w:pPr>
          </w:p>
        </w:tc>
        <w:tc>
          <w:tcPr>
            <w:tcW w:w="690" w:type="pct"/>
            <w:tcBorders>
              <w:top w:val="nil"/>
            </w:tcBorders>
          </w:tcPr>
          <w:p w:rsidR="001920A3" w:rsidRPr="00DC306D" w:rsidRDefault="001920A3" w:rsidP="00FE458E">
            <w:pPr>
              <w:jc w:val="right"/>
              <w:rPr>
                <w:rFonts w:ascii="Arial" w:hAnsi="Arial" w:cs="Arial"/>
                <w:b/>
                <w:sz w:val="24"/>
                <w:szCs w:val="24"/>
              </w:rPr>
            </w:pPr>
          </w:p>
        </w:tc>
        <w:tc>
          <w:tcPr>
            <w:tcW w:w="851" w:type="pct"/>
            <w:tcBorders>
              <w:top w:val="nil"/>
            </w:tcBorders>
          </w:tcPr>
          <w:p w:rsidR="001920A3" w:rsidRPr="00DC306D" w:rsidRDefault="001920A3" w:rsidP="00E41292">
            <w:pPr>
              <w:jc w:val="center"/>
              <w:rPr>
                <w:rFonts w:ascii="Arial" w:hAnsi="Arial" w:cs="Arial"/>
                <w:b/>
                <w:sz w:val="24"/>
                <w:szCs w:val="24"/>
              </w:rPr>
            </w:pPr>
          </w:p>
        </w:tc>
        <w:tc>
          <w:tcPr>
            <w:tcW w:w="834" w:type="pct"/>
            <w:tcBorders>
              <w:top w:val="nil"/>
            </w:tcBorders>
          </w:tcPr>
          <w:p w:rsidR="001920A3" w:rsidRPr="00DC306D" w:rsidRDefault="001920A3" w:rsidP="00E41292">
            <w:pPr>
              <w:jc w:val="center"/>
              <w:rPr>
                <w:rFonts w:ascii="Arial" w:hAnsi="Arial" w:cs="Arial"/>
                <w:b/>
                <w:sz w:val="24"/>
                <w:szCs w:val="24"/>
              </w:rPr>
            </w:pPr>
          </w:p>
        </w:tc>
        <w:tc>
          <w:tcPr>
            <w:tcW w:w="620" w:type="pct"/>
            <w:tcBorders>
              <w:top w:val="nil"/>
            </w:tcBorders>
          </w:tcPr>
          <w:p w:rsidR="001920A3" w:rsidRPr="00DC306D" w:rsidRDefault="001920A3" w:rsidP="00E41292">
            <w:pPr>
              <w:jc w:val="center"/>
              <w:rPr>
                <w:rFonts w:ascii="Arial" w:hAnsi="Arial" w:cs="Arial"/>
                <w:b/>
                <w:sz w:val="24"/>
                <w:szCs w:val="24"/>
              </w:rPr>
            </w:pPr>
          </w:p>
        </w:tc>
      </w:tr>
      <w:tr w:rsidR="001920A3" w:rsidRPr="00DC306D">
        <w:trPr>
          <w:trHeight w:val="134"/>
        </w:trPr>
        <w:tc>
          <w:tcPr>
            <w:tcW w:w="1339" w:type="pct"/>
          </w:tcPr>
          <w:p w:rsidR="001920A3" w:rsidRPr="00226B46" w:rsidRDefault="001920A3" w:rsidP="00FE458E">
            <w:pPr>
              <w:rPr>
                <w:rFonts w:ascii="Arial" w:hAnsi="Arial" w:cs="Arial"/>
                <w:sz w:val="24"/>
                <w:szCs w:val="24"/>
              </w:rPr>
            </w:pPr>
            <w:r w:rsidRPr="00DC306D">
              <w:rPr>
                <w:rFonts w:ascii="Arial" w:hAnsi="Arial" w:cs="Arial"/>
                <w:sz w:val="24"/>
                <w:szCs w:val="24"/>
              </w:rPr>
              <w:t>Other International</w:t>
            </w:r>
          </w:p>
        </w:tc>
        <w:tc>
          <w:tcPr>
            <w:tcW w:w="666" w:type="pct"/>
          </w:tcPr>
          <w:p w:rsidR="001920A3" w:rsidRPr="00226B46" w:rsidRDefault="00D87FA0">
            <w:pPr>
              <w:jc w:val="right"/>
              <w:rPr>
                <w:rFonts w:ascii="Arial" w:hAnsi="Arial" w:cs="Arial"/>
                <w:sz w:val="24"/>
                <w:szCs w:val="24"/>
              </w:rPr>
            </w:pPr>
            <w:r>
              <w:rPr>
                <w:rFonts w:ascii="Arial" w:hAnsi="Arial" w:cs="Arial"/>
                <w:sz w:val="24"/>
                <w:szCs w:val="24"/>
              </w:rPr>
              <w:t>506</w:t>
            </w:r>
          </w:p>
        </w:tc>
        <w:tc>
          <w:tcPr>
            <w:tcW w:w="690" w:type="pct"/>
          </w:tcPr>
          <w:p w:rsidR="001920A3" w:rsidRPr="00DC306D" w:rsidRDefault="00D87FA0" w:rsidP="00FE458E">
            <w:pPr>
              <w:jc w:val="right"/>
              <w:rPr>
                <w:rFonts w:ascii="Arial" w:hAnsi="Arial" w:cs="Arial"/>
                <w:sz w:val="24"/>
                <w:szCs w:val="24"/>
              </w:rPr>
            </w:pPr>
            <w:r>
              <w:rPr>
                <w:rFonts w:ascii="Arial" w:hAnsi="Arial" w:cs="Arial"/>
                <w:sz w:val="24"/>
                <w:szCs w:val="24"/>
              </w:rPr>
              <w:t>476</w:t>
            </w:r>
          </w:p>
        </w:tc>
        <w:tc>
          <w:tcPr>
            <w:tcW w:w="851" w:type="pct"/>
          </w:tcPr>
          <w:p w:rsidR="001920A3" w:rsidRPr="00DC306D" w:rsidRDefault="000F36A5"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6.4</w:t>
            </w:r>
            <w:r w:rsidR="00DC306D" w:rsidRPr="00DC306D">
              <w:rPr>
                <w:rFonts w:ascii="Arial" w:hAnsi="Arial" w:cs="Arial"/>
                <w:sz w:val="24"/>
                <w:szCs w:val="24"/>
              </w:rPr>
              <w:t>%</w:t>
            </w:r>
          </w:p>
        </w:tc>
        <w:tc>
          <w:tcPr>
            <w:tcW w:w="834" w:type="pct"/>
          </w:tcPr>
          <w:p w:rsidR="001920A3" w:rsidRPr="00DC306D" w:rsidRDefault="000F36A5"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15.4</w:t>
            </w:r>
            <w:r w:rsidR="00DC306D" w:rsidRPr="00DC306D">
              <w:rPr>
                <w:rFonts w:ascii="Arial" w:hAnsi="Arial" w:cs="Arial"/>
                <w:sz w:val="24"/>
                <w:szCs w:val="24"/>
              </w:rPr>
              <w:t>%</w:t>
            </w:r>
          </w:p>
        </w:tc>
        <w:tc>
          <w:tcPr>
            <w:tcW w:w="620" w:type="pct"/>
          </w:tcPr>
          <w:p w:rsidR="001920A3" w:rsidRPr="00DC306D" w:rsidRDefault="000F36A5" w:rsidP="00FE458E">
            <w:pPr>
              <w:jc w:val="right"/>
              <w:rPr>
                <w:rFonts w:ascii="Arial" w:hAnsi="Arial" w:cs="Arial"/>
                <w:sz w:val="24"/>
                <w:szCs w:val="24"/>
              </w:rPr>
            </w:pPr>
            <w:r>
              <w:rPr>
                <w:rFonts w:ascii="Arial" w:hAnsi="Arial" w:cs="Arial"/>
                <w:sz w:val="24"/>
                <w:szCs w:val="24"/>
              </w:rPr>
              <w:t>+</w:t>
            </w:r>
            <w:r w:rsidR="00D87FA0">
              <w:rPr>
                <w:rFonts w:ascii="Arial" w:hAnsi="Arial" w:cs="Arial"/>
                <w:sz w:val="24"/>
                <w:szCs w:val="24"/>
              </w:rPr>
              <w:t>6.8</w:t>
            </w:r>
            <w:r w:rsidR="00DC306D" w:rsidRPr="00DC306D">
              <w:rPr>
                <w:rFonts w:ascii="Arial" w:hAnsi="Arial" w:cs="Arial"/>
                <w:sz w:val="24"/>
                <w:szCs w:val="24"/>
              </w:rPr>
              <w:t>%</w:t>
            </w:r>
          </w:p>
        </w:tc>
      </w:tr>
    </w:tbl>
    <w:p w:rsidR="001920A3" w:rsidRPr="00FD57E1" w:rsidRDefault="001920A3" w:rsidP="000861DC">
      <w:pPr>
        <w:rPr>
          <w:rFonts w:ascii="Arial" w:hAnsi="Arial" w:cs="Arial"/>
          <w:color w:val="FF0000"/>
          <w:sz w:val="24"/>
          <w:szCs w:val="24"/>
        </w:rPr>
      </w:pPr>
    </w:p>
    <w:tbl>
      <w:tblPr>
        <w:tblW w:w="5000" w:type="pct"/>
        <w:tblLook w:val="01E0" w:firstRow="1" w:lastRow="1" w:firstColumn="1" w:lastColumn="1" w:noHBand="0" w:noVBand="0"/>
      </w:tblPr>
      <w:tblGrid>
        <w:gridCol w:w="2617"/>
        <w:gridCol w:w="1302"/>
        <w:gridCol w:w="1349"/>
        <w:gridCol w:w="1664"/>
        <w:gridCol w:w="1630"/>
        <w:gridCol w:w="1212"/>
      </w:tblGrid>
      <w:tr w:rsidR="00FD57E1" w:rsidRPr="00FD57E1" w:rsidTr="000F36A5">
        <w:trPr>
          <w:trHeight w:val="134"/>
        </w:trPr>
        <w:tc>
          <w:tcPr>
            <w:tcW w:w="1339" w:type="pct"/>
            <w:tcBorders>
              <w:top w:val="single" w:sz="4" w:space="0" w:color="auto"/>
              <w:left w:val="single" w:sz="4" w:space="0" w:color="auto"/>
              <w:right w:val="single" w:sz="4" w:space="0" w:color="auto"/>
            </w:tcBorders>
          </w:tcPr>
          <w:p w:rsidR="001920A3" w:rsidRPr="00B21FD9" w:rsidRDefault="001920A3" w:rsidP="00FE458E">
            <w:pPr>
              <w:rPr>
                <w:rFonts w:ascii="Arial" w:hAnsi="Arial" w:cs="Arial"/>
                <w:b/>
                <w:sz w:val="24"/>
                <w:szCs w:val="24"/>
              </w:rPr>
            </w:pPr>
            <w:r w:rsidRPr="00B21FD9">
              <w:rPr>
                <w:rFonts w:ascii="Arial" w:hAnsi="Arial" w:cs="Arial"/>
                <w:b/>
                <w:sz w:val="24"/>
                <w:szCs w:val="24"/>
              </w:rPr>
              <w:t>Retail profit £m</w:t>
            </w:r>
          </w:p>
        </w:tc>
        <w:tc>
          <w:tcPr>
            <w:tcW w:w="666" w:type="pct"/>
            <w:tcBorders>
              <w:top w:val="single" w:sz="4" w:space="0" w:color="auto"/>
              <w:left w:val="single" w:sz="4" w:space="0" w:color="auto"/>
              <w:right w:val="single" w:sz="4" w:space="0" w:color="auto"/>
            </w:tcBorders>
          </w:tcPr>
          <w:p w:rsidR="001920A3" w:rsidRPr="00FD57E1" w:rsidRDefault="001920A3" w:rsidP="00FE458E">
            <w:pPr>
              <w:jc w:val="right"/>
              <w:rPr>
                <w:rFonts w:ascii="Arial" w:hAnsi="Arial" w:cs="Arial"/>
                <w:b/>
                <w:color w:val="FF0000"/>
                <w:sz w:val="24"/>
                <w:szCs w:val="24"/>
              </w:rPr>
            </w:pPr>
            <w:r w:rsidRPr="00B21FD9">
              <w:rPr>
                <w:rFonts w:ascii="Arial" w:hAnsi="Arial" w:cs="Arial"/>
                <w:b/>
                <w:sz w:val="24"/>
                <w:szCs w:val="24"/>
              </w:rPr>
              <w:t>201</w:t>
            </w:r>
            <w:r w:rsidR="00FF733A">
              <w:rPr>
                <w:rFonts w:ascii="Arial" w:hAnsi="Arial" w:cs="Arial"/>
                <w:b/>
                <w:sz w:val="24"/>
                <w:szCs w:val="24"/>
              </w:rPr>
              <w:t>4</w:t>
            </w:r>
            <w:r w:rsidRPr="00B21FD9">
              <w:rPr>
                <w:rFonts w:ascii="Arial" w:hAnsi="Arial" w:cs="Arial"/>
                <w:b/>
                <w:sz w:val="24"/>
                <w:szCs w:val="24"/>
              </w:rPr>
              <w:t>/1</w:t>
            </w:r>
            <w:r w:rsidR="00FF733A">
              <w:rPr>
                <w:rFonts w:ascii="Arial" w:hAnsi="Arial" w:cs="Arial"/>
                <w:b/>
                <w:sz w:val="24"/>
                <w:szCs w:val="24"/>
              </w:rPr>
              <w:t>5</w:t>
            </w:r>
          </w:p>
        </w:tc>
        <w:tc>
          <w:tcPr>
            <w:tcW w:w="690" w:type="pct"/>
            <w:tcBorders>
              <w:top w:val="single" w:sz="4" w:space="0" w:color="auto"/>
              <w:left w:val="single" w:sz="4" w:space="0" w:color="auto"/>
              <w:right w:val="single" w:sz="4" w:space="0" w:color="auto"/>
            </w:tcBorders>
          </w:tcPr>
          <w:p w:rsidR="001920A3" w:rsidRPr="00ED24E1" w:rsidRDefault="00FF733A" w:rsidP="00FE458E">
            <w:pPr>
              <w:jc w:val="right"/>
              <w:rPr>
                <w:rFonts w:ascii="Arial" w:hAnsi="Arial" w:cs="Arial"/>
                <w:b/>
                <w:sz w:val="24"/>
                <w:szCs w:val="24"/>
              </w:rPr>
            </w:pPr>
            <w:r w:rsidRPr="00DC306D">
              <w:rPr>
                <w:rFonts w:ascii="Arial" w:hAnsi="Arial" w:cs="Arial"/>
                <w:b/>
                <w:sz w:val="24"/>
                <w:szCs w:val="24"/>
              </w:rPr>
              <w:t>2013/14</w:t>
            </w:r>
          </w:p>
        </w:tc>
        <w:tc>
          <w:tcPr>
            <w:tcW w:w="851" w:type="pct"/>
            <w:tcBorders>
              <w:top w:val="single" w:sz="4" w:space="0" w:color="auto"/>
              <w:left w:val="single" w:sz="4" w:space="0" w:color="auto"/>
              <w:right w:val="single" w:sz="4" w:space="0" w:color="auto"/>
            </w:tcBorders>
          </w:tcPr>
          <w:p w:rsidR="001920A3" w:rsidRDefault="001920A3" w:rsidP="00FE458E">
            <w:pPr>
              <w:jc w:val="right"/>
              <w:rPr>
                <w:rFonts w:ascii="Arial" w:hAnsi="Arial" w:cs="Arial"/>
                <w:b/>
                <w:sz w:val="24"/>
                <w:szCs w:val="24"/>
              </w:rPr>
            </w:pPr>
            <w:r w:rsidRPr="00B21FD9">
              <w:rPr>
                <w:rFonts w:ascii="Arial" w:hAnsi="Arial" w:cs="Arial"/>
                <w:b/>
                <w:sz w:val="24"/>
                <w:szCs w:val="24"/>
              </w:rPr>
              <w:t>% Change</w:t>
            </w:r>
          </w:p>
          <w:p w:rsidR="0067178C" w:rsidRPr="00B21FD9" w:rsidRDefault="0067178C" w:rsidP="00FE458E">
            <w:pPr>
              <w:jc w:val="right"/>
              <w:rPr>
                <w:rFonts w:ascii="Arial" w:hAnsi="Arial" w:cs="Arial"/>
                <w:b/>
                <w:sz w:val="24"/>
                <w:szCs w:val="24"/>
              </w:rPr>
            </w:pPr>
            <w:r>
              <w:rPr>
                <w:rFonts w:ascii="Arial" w:hAnsi="Arial" w:cs="Arial"/>
                <w:b/>
                <w:sz w:val="24"/>
                <w:szCs w:val="24"/>
              </w:rPr>
              <w:t>Reported</w:t>
            </w:r>
          </w:p>
        </w:tc>
        <w:tc>
          <w:tcPr>
            <w:tcW w:w="834" w:type="pct"/>
            <w:tcBorders>
              <w:top w:val="single" w:sz="4" w:space="0" w:color="auto"/>
              <w:left w:val="single" w:sz="4" w:space="0" w:color="auto"/>
              <w:right w:val="single" w:sz="4" w:space="0" w:color="auto"/>
            </w:tcBorders>
          </w:tcPr>
          <w:p w:rsidR="001920A3" w:rsidRDefault="001920A3" w:rsidP="00FE458E">
            <w:pPr>
              <w:jc w:val="right"/>
              <w:rPr>
                <w:rFonts w:ascii="Arial" w:hAnsi="Arial" w:cs="Arial"/>
                <w:b/>
                <w:sz w:val="24"/>
                <w:szCs w:val="24"/>
              </w:rPr>
            </w:pPr>
            <w:r w:rsidRPr="00B21FD9">
              <w:rPr>
                <w:rFonts w:ascii="Arial" w:hAnsi="Arial" w:cs="Arial"/>
                <w:b/>
                <w:sz w:val="24"/>
                <w:szCs w:val="24"/>
              </w:rPr>
              <w:t>% Change</w:t>
            </w:r>
          </w:p>
          <w:p w:rsidR="0067178C" w:rsidRDefault="0067178C" w:rsidP="00FE458E">
            <w:pPr>
              <w:jc w:val="right"/>
              <w:rPr>
                <w:rFonts w:ascii="Arial" w:hAnsi="Arial" w:cs="Arial"/>
                <w:b/>
                <w:sz w:val="24"/>
                <w:szCs w:val="24"/>
              </w:rPr>
            </w:pPr>
            <w:r>
              <w:rPr>
                <w:rFonts w:ascii="Arial" w:hAnsi="Arial" w:cs="Arial"/>
                <w:b/>
                <w:sz w:val="24"/>
                <w:szCs w:val="24"/>
              </w:rPr>
              <w:t>Constant</w:t>
            </w:r>
          </w:p>
          <w:p w:rsidR="0067178C" w:rsidRPr="00B21FD9" w:rsidRDefault="0067178C" w:rsidP="00FE458E">
            <w:pPr>
              <w:jc w:val="right"/>
              <w:rPr>
                <w:rFonts w:ascii="Arial" w:hAnsi="Arial" w:cs="Arial"/>
                <w:b/>
                <w:sz w:val="24"/>
                <w:szCs w:val="24"/>
              </w:rPr>
            </w:pPr>
            <w:r>
              <w:rPr>
                <w:rFonts w:ascii="Arial" w:hAnsi="Arial" w:cs="Arial"/>
                <w:b/>
                <w:sz w:val="24"/>
                <w:szCs w:val="24"/>
              </w:rPr>
              <w:t>Currency</w:t>
            </w:r>
          </w:p>
        </w:tc>
        <w:tc>
          <w:tcPr>
            <w:tcW w:w="620" w:type="pct"/>
            <w:tcBorders>
              <w:left w:val="single" w:sz="4" w:space="0" w:color="auto"/>
            </w:tcBorders>
          </w:tcPr>
          <w:p w:rsidR="001920A3" w:rsidRPr="00FD57E1" w:rsidRDefault="001920A3" w:rsidP="00FE458E">
            <w:pPr>
              <w:jc w:val="right"/>
              <w:rPr>
                <w:rFonts w:ascii="Arial" w:hAnsi="Arial" w:cs="Arial"/>
                <w:b/>
                <w:color w:val="FF0000"/>
                <w:sz w:val="24"/>
                <w:szCs w:val="24"/>
              </w:rPr>
            </w:pPr>
          </w:p>
        </w:tc>
      </w:tr>
      <w:tr w:rsidR="00FD57E1" w:rsidRPr="00FD57E1" w:rsidTr="000F36A5">
        <w:trPr>
          <w:trHeight w:val="134"/>
        </w:trPr>
        <w:tc>
          <w:tcPr>
            <w:tcW w:w="1339" w:type="pct"/>
            <w:tcBorders>
              <w:left w:val="single" w:sz="4" w:space="0" w:color="auto"/>
              <w:bottom w:val="single" w:sz="4" w:space="0" w:color="auto"/>
              <w:right w:val="single" w:sz="4" w:space="0" w:color="auto"/>
            </w:tcBorders>
          </w:tcPr>
          <w:p w:rsidR="001920A3" w:rsidRPr="00B21FD9" w:rsidRDefault="001920A3" w:rsidP="00FE458E">
            <w:pPr>
              <w:rPr>
                <w:rFonts w:ascii="Arial" w:hAnsi="Arial" w:cs="Arial"/>
                <w:sz w:val="24"/>
                <w:szCs w:val="24"/>
              </w:rPr>
            </w:pPr>
          </w:p>
        </w:tc>
        <w:tc>
          <w:tcPr>
            <w:tcW w:w="666" w:type="pct"/>
            <w:tcBorders>
              <w:left w:val="single" w:sz="4" w:space="0" w:color="auto"/>
              <w:bottom w:val="single" w:sz="4" w:space="0" w:color="auto"/>
              <w:right w:val="single" w:sz="4" w:space="0" w:color="auto"/>
            </w:tcBorders>
          </w:tcPr>
          <w:p w:rsidR="001920A3" w:rsidRPr="00FD57E1" w:rsidRDefault="001920A3" w:rsidP="00FE458E">
            <w:pPr>
              <w:jc w:val="right"/>
              <w:rPr>
                <w:rFonts w:ascii="Arial" w:hAnsi="Arial" w:cs="Arial"/>
                <w:b/>
                <w:color w:val="FF0000"/>
                <w:sz w:val="24"/>
                <w:szCs w:val="24"/>
              </w:rPr>
            </w:pPr>
          </w:p>
        </w:tc>
        <w:tc>
          <w:tcPr>
            <w:tcW w:w="690" w:type="pct"/>
            <w:tcBorders>
              <w:left w:val="single" w:sz="4" w:space="0" w:color="auto"/>
              <w:bottom w:val="single" w:sz="4" w:space="0" w:color="auto"/>
              <w:right w:val="single" w:sz="4" w:space="0" w:color="auto"/>
            </w:tcBorders>
          </w:tcPr>
          <w:p w:rsidR="001920A3" w:rsidRPr="00ED24E1" w:rsidRDefault="001920A3" w:rsidP="00FE458E">
            <w:pPr>
              <w:jc w:val="right"/>
              <w:rPr>
                <w:rFonts w:ascii="Arial" w:hAnsi="Arial" w:cs="Arial"/>
                <w:b/>
                <w:sz w:val="24"/>
                <w:szCs w:val="24"/>
              </w:rPr>
            </w:pPr>
          </w:p>
        </w:tc>
        <w:tc>
          <w:tcPr>
            <w:tcW w:w="851" w:type="pct"/>
            <w:tcBorders>
              <w:left w:val="single" w:sz="4" w:space="0" w:color="auto"/>
              <w:bottom w:val="single" w:sz="4" w:space="0" w:color="auto"/>
              <w:right w:val="single" w:sz="4" w:space="0" w:color="auto"/>
            </w:tcBorders>
          </w:tcPr>
          <w:p w:rsidR="001920A3" w:rsidRPr="00B21FD9" w:rsidRDefault="001920A3" w:rsidP="00FE458E">
            <w:pPr>
              <w:jc w:val="right"/>
              <w:rPr>
                <w:rFonts w:ascii="Arial" w:hAnsi="Arial" w:cs="Arial"/>
                <w:b/>
                <w:sz w:val="24"/>
                <w:szCs w:val="24"/>
              </w:rPr>
            </w:pPr>
          </w:p>
        </w:tc>
        <w:tc>
          <w:tcPr>
            <w:tcW w:w="834" w:type="pct"/>
            <w:tcBorders>
              <w:left w:val="single" w:sz="4" w:space="0" w:color="auto"/>
              <w:bottom w:val="single" w:sz="4" w:space="0" w:color="auto"/>
              <w:right w:val="single" w:sz="4" w:space="0" w:color="auto"/>
            </w:tcBorders>
          </w:tcPr>
          <w:p w:rsidR="001920A3" w:rsidRPr="00B21FD9" w:rsidRDefault="001920A3" w:rsidP="00FE458E">
            <w:pPr>
              <w:jc w:val="right"/>
              <w:rPr>
                <w:rFonts w:ascii="Arial" w:hAnsi="Arial" w:cs="Arial"/>
                <w:b/>
                <w:sz w:val="24"/>
                <w:szCs w:val="24"/>
              </w:rPr>
            </w:pPr>
          </w:p>
        </w:tc>
        <w:tc>
          <w:tcPr>
            <w:tcW w:w="620" w:type="pct"/>
            <w:tcBorders>
              <w:left w:val="single" w:sz="4" w:space="0" w:color="auto"/>
            </w:tcBorders>
          </w:tcPr>
          <w:p w:rsidR="001920A3" w:rsidRPr="00FD57E1" w:rsidRDefault="001920A3" w:rsidP="00FE458E">
            <w:pPr>
              <w:jc w:val="right"/>
              <w:rPr>
                <w:rFonts w:ascii="Arial" w:hAnsi="Arial" w:cs="Arial"/>
                <w:b/>
                <w:color w:val="FF0000"/>
                <w:sz w:val="24"/>
                <w:szCs w:val="24"/>
              </w:rPr>
            </w:pPr>
          </w:p>
        </w:tc>
      </w:tr>
      <w:tr w:rsidR="00FD57E1" w:rsidRPr="00B82D50">
        <w:trPr>
          <w:trHeight w:val="134"/>
        </w:trPr>
        <w:tc>
          <w:tcPr>
            <w:tcW w:w="1339" w:type="pct"/>
            <w:tcBorders>
              <w:top w:val="single" w:sz="4" w:space="0" w:color="auto"/>
              <w:left w:val="single" w:sz="4" w:space="0" w:color="auto"/>
              <w:bottom w:val="single" w:sz="4" w:space="0" w:color="auto"/>
              <w:right w:val="single" w:sz="4" w:space="0" w:color="auto"/>
            </w:tcBorders>
          </w:tcPr>
          <w:p w:rsidR="001920A3" w:rsidRPr="00B82D50" w:rsidRDefault="001920A3" w:rsidP="00FE458E">
            <w:pPr>
              <w:rPr>
                <w:rFonts w:ascii="Arial" w:hAnsi="Arial" w:cs="Arial"/>
                <w:sz w:val="24"/>
                <w:szCs w:val="24"/>
              </w:rPr>
            </w:pPr>
            <w:r w:rsidRPr="00B82D50">
              <w:rPr>
                <w:rFonts w:ascii="Arial" w:hAnsi="Arial" w:cs="Arial"/>
                <w:sz w:val="24"/>
                <w:szCs w:val="24"/>
              </w:rPr>
              <w:t>Other International</w:t>
            </w:r>
          </w:p>
        </w:tc>
        <w:tc>
          <w:tcPr>
            <w:tcW w:w="666" w:type="pct"/>
            <w:tcBorders>
              <w:top w:val="single" w:sz="4" w:space="0" w:color="auto"/>
              <w:left w:val="single" w:sz="4" w:space="0" w:color="auto"/>
              <w:bottom w:val="single" w:sz="4" w:space="0" w:color="auto"/>
              <w:right w:val="single" w:sz="4" w:space="0" w:color="auto"/>
            </w:tcBorders>
          </w:tcPr>
          <w:p w:rsidR="001920A3" w:rsidRPr="00226B46" w:rsidRDefault="00806713" w:rsidP="00FE458E">
            <w:pPr>
              <w:jc w:val="right"/>
              <w:rPr>
                <w:rFonts w:ascii="Arial" w:hAnsi="Arial" w:cs="Arial"/>
                <w:sz w:val="24"/>
                <w:szCs w:val="24"/>
              </w:rPr>
            </w:pPr>
            <w:r>
              <w:rPr>
                <w:rFonts w:ascii="Arial" w:hAnsi="Arial" w:cs="Arial"/>
                <w:sz w:val="24"/>
                <w:szCs w:val="24"/>
              </w:rPr>
              <w:t>4</w:t>
            </w:r>
          </w:p>
        </w:tc>
        <w:tc>
          <w:tcPr>
            <w:tcW w:w="690" w:type="pct"/>
            <w:tcBorders>
              <w:top w:val="single" w:sz="4" w:space="0" w:color="auto"/>
              <w:left w:val="single" w:sz="4" w:space="0" w:color="auto"/>
              <w:bottom w:val="single" w:sz="4" w:space="0" w:color="auto"/>
              <w:right w:val="single" w:sz="4" w:space="0" w:color="auto"/>
            </w:tcBorders>
          </w:tcPr>
          <w:p w:rsidR="001920A3" w:rsidRPr="00DA4777" w:rsidRDefault="00DA4777" w:rsidP="00FE458E">
            <w:pPr>
              <w:jc w:val="right"/>
              <w:rPr>
                <w:rFonts w:ascii="Arial" w:hAnsi="Arial" w:cs="Arial"/>
                <w:sz w:val="24"/>
                <w:szCs w:val="24"/>
              </w:rPr>
            </w:pPr>
            <w:r w:rsidRPr="00DA4777">
              <w:rPr>
                <w:rFonts w:ascii="Arial" w:hAnsi="Arial" w:cs="Arial"/>
                <w:sz w:val="24"/>
                <w:szCs w:val="24"/>
              </w:rPr>
              <w:t>3</w:t>
            </w:r>
          </w:p>
        </w:tc>
        <w:tc>
          <w:tcPr>
            <w:tcW w:w="851" w:type="pct"/>
            <w:tcBorders>
              <w:top w:val="single" w:sz="4" w:space="0" w:color="auto"/>
              <w:left w:val="single" w:sz="4" w:space="0" w:color="auto"/>
              <w:bottom w:val="single" w:sz="4" w:space="0" w:color="auto"/>
              <w:right w:val="single" w:sz="4" w:space="0" w:color="auto"/>
            </w:tcBorders>
          </w:tcPr>
          <w:p w:rsidR="001920A3" w:rsidRPr="00DA4777" w:rsidRDefault="000F36A5" w:rsidP="00FE458E">
            <w:pPr>
              <w:jc w:val="right"/>
              <w:rPr>
                <w:rFonts w:ascii="Arial" w:hAnsi="Arial" w:cs="Arial"/>
                <w:sz w:val="24"/>
                <w:szCs w:val="24"/>
              </w:rPr>
            </w:pPr>
            <w:r w:rsidRPr="00DA4777">
              <w:rPr>
                <w:rFonts w:ascii="Arial" w:hAnsi="Arial" w:cs="Arial"/>
                <w:sz w:val="24"/>
                <w:szCs w:val="24"/>
              </w:rPr>
              <w:t>+</w:t>
            </w:r>
            <w:r w:rsidR="00806713">
              <w:rPr>
                <w:rFonts w:ascii="Arial" w:hAnsi="Arial" w:cs="Arial"/>
                <w:sz w:val="24"/>
                <w:szCs w:val="24"/>
              </w:rPr>
              <w:t>25.5</w:t>
            </w:r>
            <w:r w:rsidR="00D87FA0" w:rsidRPr="00DA4777">
              <w:rPr>
                <w:rFonts w:ascii="Arial" w:hAnsi="Arial" w:cs="Arial"/>
                <w:sz w:val="24"/>
                <w:szCs w:val="24"/>
              </w:rPr>
              <w:t>%</w:t>
            </w:r>
          </w:p>
        </w:tc>
        <w:tc>
          <w:tcPr>
            <w:tcW w:w="834" w:type="pct"/>
            <w:tcBorders>
              <w:top w:val="single" w:sz="4" w:space="0" w:color="auto"/>
              <w:left w:val="single" w:sz="4" w:space="0" w:color="auto"/>
              <w:bottom w:val="single" w:sz="4" w:space="0" w:color="auto"/>
              <w:right w:val="single" w:sz="4" w:space="0" w:color="auto"/>
            </w:tcBorders>
          </w:tcPr>
          <w:p w:rsidR="001920A3" w:rsidRPr="00B82D50" w:rsidRDefault="00257F52">
            <w:pPr>
              <w:jc w:val="right"/>
              <w:rPr>
                <w:rFonts w:ascii="Arial" w:hAnsi="Arial" w:cs="Arial"/>
                <w:sz w:val="24"/>
                <w:szCs w:val="24"/>
              </w:rPr>
            </w:pPr>
            <w:r>
              <w:rPr>
                <w:rFonts w:ascii="Arial" w:hAnsi="Arial" w:cs="Arial"/>
                <w:sz w:val="24"/>
                <w:szCs w:val="24"/>
              </w:rPr>
              <w:t>Flat</w:t>
            </w:r>
          </w:p>
        </w:tc>
        <w:tc>
          <w:tcPr>
            <w:tcW w:w="620" w:type="pct"/>
            <w:tcBorders>
              <w:left w:val="single" w:sz="4" w:space="0" w:color="auto"/>
            </w:tcBorders>
          </w:tcPr>
          <w:p w:rsidR="001920A3" w:rsidRPr="00226B46" w:rsidRDefault="001920A3" w:rsidP="00FE458E">
            <w:pPr>
              <w:jc w:val="right"/>
              <w:rPr>
                <w:rFonts w:ascii="Arial" w:hAnsi="Arial" w:cs="Arial"/>
                <w:sz w:val="24"/>
                <w:szCs w:val="24"/>
              </w:rPr>
            </w:pPr>
          </w:p>
        </w:tc>
      </w:tr>
    </w:tbl>
    <w:p w:rsidR="00B41718" w:rsidRPr="00F50885" w:rsidRDefault="00B41718" w:rsidP="00CD63CC">
      <w:pPr>
        <w:jc w:val="left"/>
        <w:rPr>
          <w:rFonts w:ascii="Arial" w:hAnsi="Arial" w:cs="Arial"/>
          <w:i/>
          <w:sz w:val="18"/>
          <w:szCs w:val="18"/>
        </w:rPr>
      </w:pPr>
    </w:p>
    <w:p w:rsidR="001920A3" w:rsidRPr="00F50885" w:rsidRDefault="001920A3" w:rsidP="000861DC">
      <w:pPr>
        <w:rPr>
          <w:rFonts w:ascii="Arial" w:hAnsi="Arial" w:cs="Arial"/>
          <w:b/>
          <w:i/>
          <w:sz w:val="18"/>
          <w:szCs w:val="18"/>
        </w:rPr>
      </w:pPr>
      <w:r w:rsidRPr="00F50885">
        <w:rPr>
          <w:rFonts w:ascii="Arial" w:hAnsi="Arial" w:cs="Arial"/>
          <w:b/>
          <w:i/>
          <w:sz w:val="18"/>
          <w:szCs w:val="18"/>
        </w:rPr>
        <w:t>All trading commentary below is in constant currencies</w:t>
      </w:r>
    </w:p>
    <w:p w:rsidR="001920A3" w:rsidRPr="00DE14AA" w:rsidRDefault="001920A3" w:rsidP="000861DC">
      <w:pPr>
        <w:rPr>
          <w:rFonts w:ascii="Arial" w:hAnsi="Arial" w:cs="Arial"/>
          <w:sz w:val="24"/>
          <w:szCs w:val="24"/>
        </w:rPr>
      </w:pPr>
    </w:p>
    <w:p w:rsidR="00DA4777" w:rsidRPr="00DA4777" w:rsidRDefault="001920A3" w:rsidP="000861DC">
      <w:pPr>
        <w:jc w:val="left"/>
        <w:rPr>
          <w:rFonts w:ascii="Arial" w:hAnsi="Arial" w:cs="Arial"/>
          <w:color w:val="FF0000"/>
          <w:sz w:val="24"/>
          <w:szCs w:val="24"/>
        </w:rPr>
      </w:pPr>
      <w:r w:rsidRPr="00446561">
        <w:rPr>
          <w:rFonts w:ascii="Arial" w:hAnsi="Arial" w:cs="Arial"/>
          <w:b/>
          <w:bCs/>
          <w:sz w:val="24"/>
          <w:szCs w:val="24"/>
        </w:rPr>
        <w:t>Other International</w:t>
      </w:r>
      <w:r w:rsidRPr="00446561">
        <w:rPr>
          <w:rFonts w:ascii="Arial" w:hAnsi="Arial" w:cs="Arial"/>
          <w:sz w:val="24"/>
          <w:szCs w:val="24"/>
        </w:rPr>
        <w:t xml:space="preserve"> total sales increased by </w:t>
      </w:r>
      <w:r w:rsidR="00446561" w:rsidRPr="00446561">
        <w:rPr>
          <w:rFonts w:ascii="Arial" w:hAnsi="Arial" w:cs="Arial"/>
          <w:sz w:val="24"/>
          <w:szCs w:val="24"/>
        </w:rPr>
        <w:t>15.4% to £506</w:t>
      </w:r>
      <w:r w:rsidRPr="00446561">
        <w:rPr>
          <w:rFonts w:ascii="Arial" w:hAnsi="Arial" w:cs="Arial"/>
          <w:sz w:val="24"/>
          <w:szCs w:val="24"/>
        </w:rPr>
        <w:t xml:space="preserve"> million </w:t>
      </w:r>
      <w:r w:rsidR="00C831AA" w:rsidRPr="00446561">
        <w:rPr>
          <w:rFonts w:ascii="Arial" w:hAnsi="Arial" w:cs="Arial"/>
          <w:sz w:val="24"/>
          <w:szCs w:val="24"/>
        </w:rPr>
        <w:t>(</w:t>
      </w:r>
      <w:r w:rsidR="00420650" w:rsidRPr="00446561">
        <w:rPr>
          <w:rFonts w:ascii="Arial" w:hAnsi="Arial" w:cs="Arial"/>
          <w:sz w:val="24"/>
          <w:szCs w:val="24"/>
        </w:rPr>
        <w:t>+</w:t>
      </w:r>
      <w:r w:rsidR="00446561" w:rsidRPr="00446561">
        <w:rPr>
          <w:rFonts w:ascii="Arial" w:hAnsi="Arial" w:cs="Arial"/>
          <w:sz w:val="24"/>
          <w:szCs w:val="24"/>
        </w:rPr>
        <w:t>6.8</w:t>
      </w:r>
      <w:r w:rsidRPr="00446561">
        <w:rPr>
          <w:rFonts w:ascii="Arial" w:hAnsi="Arial" w:cs="Arial"/>
          <w:sz w:val="24"/>
          <w:szCs w:val="24"/>
        </w:rPr>
        <w:t>% LFL)</w:t>
      </w:r>
      <w:r w:rsidR="00BE07D5" w:rsidRPr="00446561">
        <w:rPr>
          <w:rFonts w:ascii="Arial" w:hAnsi="Arial" w:cs="Arial"/>
          <w:sz w:val="24"/>
          <w:szCs w:val="24"/>
        </w:rPr>
        <w:t xml:space="preserve"> </w:t>
      </w:r>
      <w:r w:rsidR="00143A0F" w:rsidRPr="00BC33F9">
        <w:rPr>
          <w:rFonts w:ascii="Arial" w:hAnsi="Arial" w:cs="Arial"/>
          <w:sz w:val="24"/>
          <w:szCs w:val="24"/>
        </w:rPr>
        <w:t xml:space="preserve">driven </w:t>
      </w:r>
      <w:r w:rsidR="00BE07D5" w:rsidRPr="00BC33F9">
        <w:rPr>
          <w:rFonts w:ascii="Arial" w:hAnsi="Arial" w:cs="Arial"/>
          <w:sz w:val="24"/>
          <w:szCs w:val="24"/>
        </w:rPr>
        <w:t xml:space="preserve">by </w:t>
      </w:r>
      <w:r w:rsidR="000C5630" w:rsidRPr="00BC33F9">
        <w:rPr>
          <w:rFonts w:ascii="Arial" w:hAnsi="Arial" w:cs="Arial"/>
          <w:sz w:val="24"/>
          <w:szCs w:val="24"/>
        </w:rPr>
        <w:t xml:space="preserve">LFL growth in </w:t>
      </w:r>
      <w:r w:rsidR="00BC33F9" w:rsidRPr="00BC33F9">
        <w:rPr>
          <w:rFonts w:ascii="Arial" w:hAnsi="Arial" w:cs="Arial"/>
          <w:sz w:val="24"/>
          <w:szCs w:val="24"/>
        </w:rPr>
        <w:t xml:space="preserve">Poland and </w:t>
      </w:r>
      <w:r w:rsidR="000C5630" w:rsidRPr="00BC33F9">
        <w:rPr>
          <w:rFonts w:ascii="Arial" w:hAnsi="Arial" w:cs="Arial"/>
          <w:sz w:val="24"/>
          <w:szCs w:val="24"/>
        </w:rPr>
        <w:t>Russia</w:t>
      </w:r>
      <w:r w:rsidR="00BC33F9" w:rsidRPr="00BC33F9">
        <w:rPr>
          <w:rFonts w:ascii="Arial" w:hAnsi="Arial" w:cs="Arial"/>
          <w:sz w:val="24"/>
          <w:szCs w:val="24"/>
        </w:rPr>
        <w:t>.</w:t>
      </w:r>
      <w:r w:rsidR="00BE07D5" w:rsidRPr="00BC33F9">
        <w:rPr>
          <w:rFonts w:ascii="Arial" w:hAnsi="Arial" w:cs="Arial"/>
          <w:sz w:val="24"/>
          <w:szCs w:val="24"/>
        </w:rPr>
        <w:t xml:space="preserve"> </w:t>
      </w:r>
      <w:r w:rsidR="00DA4777">
        <w:rPr>
          <w:rFonts w:ascii="Arial" w:hAnsi="Arial" w:cs="Arial"/>
          <w:sz w:val="24"/>
          <w:szCs w:val="24"/>
        </w:rPr>
        <w:t>R</w:t>
      </w:r>
      <w:r w:rsidR="00DA4777" w:rsidRPr="00EA02FA">
        <w:rPr>
          <w:rFonts w:ascii="Arial" w:hAnsi="Arial" w:cs="Arial"/>
          <w:sz w:val="24"/>
          <w:szCs w:val="24"/>
        </w:rPr>
        <w:t xml:space="preserve">etail profit </w:t>
      </w:r>
      <w:r w:rsidR="00DA4777">
        <w:rPr>
          <w:rFonts w:ascii="Arial" w:hAnsi="Arial" w:cs="Arial"/>
          <w:sz w:val="24"/>
          <w:szCs w:val="24"/>
        </w:rPr>
        <w:t>for the division was £</w:t>
      </w:r>
      <w:r w:rsidR="00806713">
        <w:rPr>
          <w:rFonts w:ascii="Arial" w:hAnsi="Arial" w:cs="Arial"/>
          <w:sz w:val="24"/>
          <w:szCs w:val="24"/>
        </w:rPr>
        <w:t xml:space="preserve">4 </w:t>
      </w:r>
      <w:r w:rsidR="00DA4777">
        <w:rPr>
          <w:rFonts w:ascii="Arial" w:hAnsi="Arial" w:cs="Arial"/>
          <w:sz w:val="24"/>
          <w:szCs w:val="24"/>
        </w:rPr>
        <w:t>million</w:t>
      </w:r>
      <w:r w:rsidR="00806713">
        <w:rPr>
          <w:rFonts w:ascii="Arial" w:hAnsi="Arial" w:cs="Arial"/>
          <w:sz w:val="24"/>
          <w:szCs w:val="24"/>
        </w:rPr>
        <w:t xml:space="preserve">, </w:t>
      </w:r>
      <w:r w:rsidR="00806713" w:rsidRPr="00665D43">
        <w:rPr>
          <w:rFonts w:ascii="Arial" w:hAnsi="Arial" w:cs="Arial"/>
          <w:sz w:val="24"/>
          <w:szCs w:val="24"/>
        </w:rPr>
        <w:t>flat year on year</w:t>
      </w:r>
      <w:r w:rsidR="00257F52">
        <w:rPr>
          <w:rFonts w:ascii="Arial" w:hAnsi="Arial" w:cs="Arial"/>
          <w:sz w:val="24"/>
          <w:szCs w:val="24"/>
        </w:rPr>
        <w:t>.</w:t>
      </w:r>
    </w:p>
    <w:p w:rsidR="00DA4777" w:rsidRDefault="00DA4777" w:rsidP="000861DC">
      <w:pPr>
        <w:jc w:val="left"/>
        <w:rPr>
          <w:rFonts w:ascii="Arial" w:hAnsi="Arial" w:cs="Arial"/>
          <w:sz w:val="24"/>
          <w:szCs w:val="24"/>
        </w:rPr>
      </w:pPr>
    </w:p>
    <w:p w:rsidR="00DA4777" w:rsidRDefault="00BC33F9" w:rsidP="000861DC">
      <w:pPr>
        <w:jc w:val="left"/>
        <w:rPr>
          <w:rFonts w:ascii="Arial" w:hAnsi="Arial" w:cs="Arial"/>
          <w:sz w:val="24"/>
          <w:szCs w:val="24"/>
        </w:rPr>
      </w:pPr>
      <w:r w:rsidRPr="00EA02FA">
        <w:rPr>
          <w:rFonts w:ascii="Arial" w:hAnsi="Arial" w:cs="Arial"/>
          <w:sz w:val="24"/>
          <w:szCs w:val="24"/>
        </w:rPr>
        <w:t>Four</w:t>
      </w:r>
      <w:r w:rsidR="000C5630" w:rsidRPr="00EA02FA">
        <w:rPr>
          <w:rFonts w:ascii="Arial" w:hAnsi="Arial" w:cs="Arial"/>
          <w:sz w:val="24"/>
          <w:szCs w:val="24"/>
        </w:rPr>
        <w:t xml:space="preserve"> net new stores opened</w:t>
      </w:r>
      <w:r w:rsidR="00DA4777">
        <w:rPr>
          <w:rFonts w:ascii="Arial" w:hAnsi="Arial" w:cs="Arial"/>
          <w:sz w:val="24"/>
          <w:szCs w:val="24"/>
        </w:rPr>
        <w:t xml:space="preserve"> in Q1</w:t>
      </w:r>
      <w:r w:rsidRPr="00EA02FA">
        <w:rPr>
          <w:rFonts w:ascii="Arial" w:hAnsi="Arial" w:cs="Arial"/>
          <w:sz w:val="24"/>
          <w:szCs w:val="24"/>
        </w:rPr>
        <w:t xml:space="preserve">, three in Spain and </w:t>
      </w:r>
      <w:r w:rsidR="000C5630" w:rsidRPr="00EA02FA">
        <w:rPr>
          <w:rFonts w:ascii="Arial" w:hAnsi="Arial" w:cs="Arial"/>
          <w:sz w:val="24"/>
          <w:szCs w:val="24"/>
        </w:rPr>
        <w:t xml:space="preserve">one in </w:t>
      </w:r>
      <w:r w:rsidRPr="00EA02FA">
        <w:rPr>
          <w:rFonts w:ascii="Arial" w:hAnsi="Arial" w:cs="Arial"/>
          <w:sz w:val="24"/>
          <w:szCs w:val="24"/>
        </w:rPr>
        <w:t>Turkey</w:t>
      </w:r>
      <w:r w:rsidR="00DA4777">
        <w:rPr>
          <w:rFonts w:ascii="Arial" w:hAnsi="Arial" w:cs="Arial"/>
          <w:sz w:val="24"/>
          <w:szCs w:val="24"/>
        </w:rPr>
        <w:t xml:space="preserve">. Including the acquisition of 15 additional stores in Romania in Q2 2013/14, 18% net new </w:t>
      </w:r>
      <w:r w:rsidR="00DA4777" w:rsidRPr="00C05BAA">
        <w:rPr>
          <w:rFonts w:ascii="Arial" w:hAnsi="Arial" w:cs="Arial"/>
          <w:sz w:val="24"/>
          <w:szCs w:val="24"/>
        </w:rPr>
        <w:t>space was added compared to last year.</w:t>
      </w:r>
    </w:p>
    <w:p w:rsidR="001920A3" w:rsidRPr="00B163B3" w:rsidRDefault="001920A3" w:rsidP="000861DC">
      <w:pPr>
        <w:jc w:val="left"/>
        <w:rPr>
          <w:rFonts w:ascii="Arial" w:hAnsi="Arial" w:cs="Arial"/>
          <w:color w:val="FF0000"/>
          <w:sz w:val="24"/>
          <w:szCs w:val="24"/>
          <w:highlight w:val="yellow"/>
        </w:rPr>
      </w:pPr>
    </w:p>
    <w:p w:rsidR="006739D8" w:rsidRDefault="001920A3" w:rsidP="000861DC">
      <w:pPr>
        <w:tabs>
          <w:tab w:val="left" w:pos="5940"/>
        </w:tabs>
        <w:jc w:val="left"/>
        <w:rPr>
          <w:rFonts w:ascii="Arial" w:hAnsi="Arial" w:cs="Arial"/>
          <w:sz w:val="24"/>
          <w:szCs w:val="24"/>
        </w:rPr>
      </w:pPr>
      <w:r w:rsidRPr="00833C38">
        <w:rPr>
          <w:rFonts w:ascii="Arial" w:hAnsi="Arial" w:cs="Arial"/>
          <w:bCs/>
          <w:sz w:val="24"/>
          <w:szCs w:val="24"/>
        </w:rPr>
        <w:t>Sales in</w:t>
      </w:r>
      <w:r w:rsidRPr="00833C38">
        <w:rPr>
          <w:rFonts w:ascii="Arial" w:hAnsi="Arial" w:cs="Arial"/>
          <w:sz w:val="24"/>
          <w:szCs w:val="24"/>
        </w:rPr>
        <w:t xml:space="preserve"> </w:t>
      </w:r>
      <w:r w:rsidRPr="00833C38">
        <w:rPr>
          <w:rFonts w:ascii="Arial" w:hAnsi="Arial" w:cs="Arial"/>
          <w:b/>
          <w:sz w:val="24"/>
          <w:szCs w:val="24"/>
        </w:rPr>
        <w:t>Poland</w:t>
      </w:r>
      <w:r w:rsidR="002A1E4F" w:rsidRPr="00833C38">
        <w:rPr>
          <w:rFonts w:ascii="Arial" w:hAnsi="Arial" w:cs="Arial"/>
          <w:sz w:val="24"/>
          <w:szCs w:val="24"/>
        </w:rPr>
        <w:t xml:space="preserve"> were </w:t>
      </w:r>
      <w:r w:rsidR="00833C38" w:rsidRPr="00833C38">
        <w:rPr>
          <w:rFonts w:ascii="Arial" w:hAnsi="Arial" w:cs="Arial"/>
          <w:sz w:val="24"/>
          <w:szCs w:val="24"/>
        </w:rPr>
        <w:t>up 12.9</w:t>
      </w:r>
      <w:r w:rsidR="002A1E4F" w:rsidRPr="00833C38">
        <w:rPr>
          <w:rFonts w:ascii="Arial" w:hAnsi="Arial" w:cs="Arial"/>
          <w:sz w:val="24"/>
          <w:szCs w:val="24"/>
        </w:rPr>
        <w:t>% to £</w:t>
      </w:r>
      <w:r w:rsidR="00833C38" w:rsidRPr="00833C38">
        <w:rPr>
          <w:rFonts w:ascii="Arial" w:hAnsi="Arial" w:cs="Arial"/>
          <w:sz w:val="24"/>
          <w:szCs w:val="24"/>
        </w:rPr>
        <w:t>260</w:t>
      </w:r>
      <w:r w:rsidRPr="00833C38">
        <w:rPr>
          <w:rFonts w:ascii="Arial" w:hAnsi="Arial" w:cs="Arial"/>
          <w:sz w:val="24"/>
          <w:szCs w:val="24"/>
        </w:rPr>
        <w:t xml:space="preserve"> million</w:t>
      </w:r>
      <w:r w:rsidR="00DC47EE" w:rsidRPr="00833C38">
        <w:rPr>
          <w:rFonts w:ascii="Arial" w:hAnsi="Arial" w:cs="Arial"/>
          <w:sz w:val="24"/>
          <w:szCs w:val="24"/>
        </w:rPr>
        <w:t xml:space="preserve"> </w:t>
      </w:r>
      <w:r w:rsidR="00834699" w:rsidRPr="00833C38">
        <w:rPr>
          <w:rFonts w:ascii="Arial" w:hAnsi="Arial" w:cs="Arial"/>
          <w:sz w:val="24"/>
          <w:szCs w:val="24"/>
        </w:rPr>
        <w:t>(+11.9% LFL</w:t>
      </w:r>
      <w:r w:rsidR="00834699">
        <w:rPr>
          <w:rFonts w:ascii="Arial" w:hAnsi="Arial" w:cs="Arial"/>
          <w:sz w:val="24"/>
          <w:szCs w:val="24"/>
        </w:rPr>
        <w:t>; +7.</w:t>
      </w:r>
      <w:r w:rsidR="006D4F90">
        <w:rPr>
          <w:rFonts w:ascii="Arial" w:hAnsi="Arial" w:cs="Arial"/>
          <w:sz w:val="24"/>
          <w:szCs w:val="24"/>
        </w:rPr>
        <w:t>2</w:t>
      </w:r>
      <w:r w:rsidR="00834699">
        <w:rPr>
          <w:rFonts w:ascii="Arial" w:hAnsi="Arial" w:cs="Arial"/>
          <w:sz w:val="24"/>
          <w:szCs w:val="24"/>
        </w:rPr>
        <w:t>% 2 year LFL</w:t>
      </w:r>
      <w:r w:rsidR="00834699" w:rsidRPr="00833C38">
        <w:rPr>
          <w:rFonts w:ascii="Arial" w:hAnsi="Arial" w:cs="Arial"/>
          <w:sz w:val="24"/>
          <w:szCs w:val="24"/>
        </w:rPr>
        <w:t xml:space="preserve">) </w:t>
      </w:r>
      <w:r w:rsidR="005E6156" w:rsidRPr="00833C38">
        <w:rPr>
          <w:rFonts w:ascii="Arial" w:hAnsi="Arial" w:cs="Arial"/>
          <w:sz w:val="24"/>
          <w:szCs w:val="24"/>
        </w:rPr>
        <w:t>benefiting from</w:t>
      </w:r>
      <w:r w:rsidR="00F02993" w:rsidRPr="00833C38">
        <w:rPr>
          <w:rFonts w:ascii="Arial" w:hAnsi="Arial" w:cs="Arial"/>
          <w:sz w:val="24"/>
          <w:szCs w:val="24"/>
        </w:rPr>
        <w:t xml:space="preserve"> </w:t>
      </w:r>
      <w:r w:rsidR="00833C38">
        <w:rPr>
          <w:rFonts w:ascii="Arial" w:hAnsi="Arial" w:cs="Arial"/>
          <w:sz w:val="24"/>
          <w:szCs w:val="24"/>
        </w:rPr>
        <w:t xml:space="preserve">more favourable weather </w:t>
      </w:r>
      <w:r w:rsidR="001A0E37">
        <w:rPr>
          <w:rFonts w:ascii="Arial" w:hAnsi="Arial" w:cs="Arial"/>
          <w:sz w:val="24"/>
          <w:szCs w:val="24"/>
        </w:rPr>
        <w:t xml:space="preserve">and new ranges </w:t>
      </w:r>
      <w:r w:rsidR="0090724C">
        <w:rPr>
          <w:rFonts w:ascii="Arial" w:hAnsi="Arial" w:cs="Arial"/>
          <w:sz w:val="24"/>
          <w:szCs w:val="24"/>
        </w:rPr>
        <w:t xml:space="preserve">(e.g. </w:t>
      </w:r>
      <w:r w:rsidR="006739D8">
        <w:rPr>
          <w:rFonts w:ascii="Arial" w:hAnsi="Arial" w:cs="Arial"/>
          <w:sz w:val="24"/>
          <w:szCs w:val="24"/>
        </w:rPr>
        <w:t>tiling and power tools)</w:t>
      </w:r>
      <w:r w:rsidR="001A0E37">
        <w:rPr>
          <w:rFonts w:ascii="Arial" w:hAnsi="Arial" w:cs="Arial"/>
          <w:sz w:val="24"/>
          <w:szCs w:val="24"/>
        </w:rPr>
        <w:t>.</w:t>
      </w:r>
      <w:r w:rsidR="00833C38" w:rsidRPr="00833C38">
        <w:rPr>
          <w:rFonts w:ascii="Arial" w:hAnsi="Arial" w:cs="Arial"/>
          <w:sz w:val="24"/>
          <w:szCs w:val="24"/>
        </w:rPr>
        <w:t xml:space="preserve"> </w:t>
      </w:r>
      <w:r w:rsidR="004553AA" w:rsidRPr="00833C38">
        <w:rPr>
          <w:rFonts w:ascii="Arial" w:hAnsi="Arial" w:cs="Arial"/>
          <w:sz w:val="24"/>
          <w:szCs w:val="24"/>
        </w:rPr>
        <w:t>Gross margin</w:t>
      </w:r>
      <w:r w:rsidR="005047AE" w:rsidRPr="00833C38">
        <w:rPr>
          <w:rFonts w:ascii="Arial" w:hAnsi="Arial" w:cs="Arial"/>
          <w:sz w:val="24"/>
          <w:szCs w:val="24"/>
        </w:rPr>
        <w:t>s</w:t>
      </w:r>
      <w:r w:rsidR="00337E5E" w:rsidRPr="00833C38">
        <w:rPr>
          <w:rFonts w:ascii="Arial" w:hAnsi="Arial" w:cs="Arial"/>
          <w:sz w:val="24"/>
          <w:szCs w:val="24"/>
        </w:rPr>
        <w:t xml:space="preserve"> </w:t>
      </w:r>
      <w:r w:rsidR="00B163B3" w:rsidRPr="00833C38">
        <w:rPr>
          <w:rFonts w:ascii="Arial" w:hAnsi="Arial" w:cs="Arial"/>
          <w:sz w:val="24"/>
          <w:szCs w:val="24"/>
        </w:rPr>
        <w:t>were up</w:t>
      </w:r>
      <w:r w:rsidR="005E0431" w:rsidRPr="00833C38">
        <w:rPr>
          <w:rFonts w:ascii="Arial" w:hAnsi="Arial" w:cs="Arial"/>
          <w:sz w:val="24"/>
          <w:szCs w:val="24"/>
        </w:rPr>
        <w:t xml:space="preserve"> </w:t>
      </w:r>
      <w:r w:rsidR="00833C38" w:rsidRPr="00833C38">
        <w:rPr>
          <w:rFonts w:ascii="Arial" w:hAnsi="Arial" w:cs="Arial"/>
          <w:sz w:val="24"/>
          <w:szCs w:val="24"/>
        </w:rPr>
        <w:t>70</w:t>
      </w:r>
      <w:r w:rsidR="006C6DEC" w:rsidRPr="00833C38">
        <w:rPr>
          <w:rFonts w:ascii="Arial" w:hAnsi="Arial" w:cs="Arial"/>
          <w:sz w:val="24"/>
          <w:szCs w:val="24"/>
        </w:rPr>
        <w:t xml:space="preserve"> </w:t>
      </w:r>
      <w:r w:rsidR="00B163B3" w:rsidRPr="00833C38">
        <w:rPr>
          <w:rFonts w:ascii="Arial" w:hAnsi="Arial" w:cs="Arial"/>
          <w:sz w:val="24"/>
          <w:szCs w:val="24"/>
        </w:rPr>
        <w:t xml:space="preserve">basis points </w:t>
      </w:r>
      <w:r w:rsidR="006739D8">
        <w:rPr>
          <w:rFonts w:ascii="Arial" w:hAnsi="Arial" w:cs="Arial"/>
          <w:sz w:val="24"/>
          <w:szCs w:val="24"/>
        </w:rPr>
        <w:t xml:space="preserve">benefiting from ongoing </w:t>
      </w:r>
      <w:r w:rsidR="00B163B3" w:rsidRPr="00833C38">
        <w:rPr>
          <w:rFonts w:ascii="Arial" w:hAnsi="Arial" w:cs="Arial"/>
          <w:sz w:val="24"/>
          <w:szCs w:val="24"/>
        </w:rPr>
        <w:t>self-help i</w:t>
      </w:r>
      <w:r w:rsidR="00B163B3" w:rsidRPr="00802CA7">
        <w:rPr>
          <w:rFonts w:ascii="Arial" w:hAnsi="Arial" w:cs="Arial"/>
          <w:sz w:val="24"/>
          <w:szCs w:val="24"/>
        </w:rPr>
        <w:t>nitiatives</w:t>
      </w:r>
      <w:r w:rsidR="006739D8">
        <w:rPr>
          <w:rFonts w:ascii="Arial" w:hAnsi="Arial" w:cs="Arial"/>
          <w:sz w:val="24"/>
          <w:szCs w:val="24"/>
        </w:rPr>
        <w:t xml:space="preserve"> and </w:t>
      </w:r>
      <w:r w:rsidR="00D73C8B">
        <w:rPr>
          <w:rFonts w:ascii="Arial" w:hAnsi="Arial" w:cs="Arial"/>
          <w:sz w:val="24"/>
          <w:szCs w:val="24"/>
        </w:rPr>
        <w:t>weak</w:t>
      </w:r>
      <w:r w:rsidR="006739D8">
        <w:rPr>
          <w:rFonts w:ascii="Arial" w:hAnsi="Arial" w:cs="Arial"/>
          <w:sz w:val="24"/>
          <w:szCs w:val="24"/>
        </w:rPr>
        <w:t xml:space="preserve"> comparatives (down 170 basis points in Q1 last year)</w:t>
      </w:r>
      <w:r w:rsidR="00B163B3" w:rsidRPr="00802CA7">
        <w:rPr>
          <w:rFonts w:ascii="Arial" w:hAnsi="Arial" w:cs="Arial"/>
          <w:sz w:val="24"/>
          <w:szCs w:val="24"/>
        </w:rPr>
        <w:t>.</w:t>
      </w:r>
      <w:r w:rsidR="006739D8">
        <w:rPr>
          <w:rFonts w:ascii="Arial" w:hAnsi="Arial" w:cs="Arial"/>
          <w:sz w:val="24"/>
          <w:szCs w:val="24"/>
        </w:rPr>
        <w:t xml:space="preserve"> R</w:t>
      </w:r>
      <w:r w:rsidR="006739D8" w:rsidRPr="00802CA7">
        <w:rPr>
          <w:rFonts w:ascii="Arial" w:hAnsi="Arial" w:cs="Arial"/>
          <w:sz w:val="24"/>
          <w:szCs w:val="24"/>
        </w:rPr>
        <w:t xml:space="preserve">etail profit </w:t>
      </w:r>
      <w:r w:rsidR="006739D8">
        <w:rPr>
          <w:rFonts w:ascii="Arial" w:hAnsi="Arial" w:cs="Arial"/>
          <w:sz w:val="24"/>
          <w:szCs w:val="24"/>
        </w:rPr>
        <w:t xml:space="preserve">grew by </w:t>
      </w:r>
      <w:r w:rsidR="006739D8" w:rsidRPr="00802CA7">
        <w:rPr>
          <w:rFonts w:ascii="Arial" w:hAnsi="Arial" w:cs="Arial"/>
          <w:sz w:val="24"/>
          <w:szCs w:val="24"/>
        </w:rPr>
        <w:t>38.0%</w:t>
      </w:r>
      <w:r w:rsidR="006739D8">
        <w:rPr>
          <w:rFonts w:ascii="Arial" w:hAnsi="Arial" w:cs="Arial"/>
          <w:sz w:val="24"/>
          <w:szCs w:val="24"/>
        </w:rPr>
        <w:t xml:space="preserve"> </w:t>
      </w:r>
      <w:r w:rsidR="006739D8" w:rsidRPr="00802CA7">
        <w:rPr>
          <w:rFonts w:ascii="Arial" w:hAnsi="Arial" w:cs="Arial"/>
          <w:sz w:val="24"/>
          <w:szCs w:val="24"/>
        </w:rPr>
        <w:t>to £19</w:t>
      </w:r>
      <w:r w:rsidR="006739D8">
        <w:rPr>
          <w:rFonts w:ascii="Arial" w:hAnsi="Arial" w:cs="Arial"/>
          <w:sz w:val="24"/>
          <w:szCs w:val="24"/>
        </w:rPr>
        <w:t xml:space="preserve"> million</w:t>
      </w:r>
      <w:r w:rsidR="006739D8" w:rsidRPr="00802CA7">
        <w:rPr>
          <w:rFonts w:ascii="Arial" w:hAnsi="Arial" w:cs="Arial"/>
          <w:sz w:val="24"/>
          <w:szCs w:val="24"/>
        </w:rPr>
        <w:t xml:space="preserve"> </w:t>
      </w:r>
      <w:r w:rsidR="006739D8" w:rsidRPr="006739D8">
        <w:rPr>
          <w:rFonts w:ascii="Arial" w:hAnsi="Arial" w:cs="Arial"/>
          <w:sz w:val="24"/>
          <w:szCs w:val="24"/>
        </w:rPr>
        <w:t>driven by the sales growth and higher gross margins offset by higher levels of variable pay and range review costs.</w:t>
      </w:r>
    </w:p>
    <w:p w:rsidR="00492444" w:rsidRPr="00B163B3" w:rsidRDefault="00492444" w:rsidP="000861DC">
      <w:pPr>
        <w:tabs>
          <w:tab w:val="left" w:pos="5940"/>
        </w:tabs>
        <w:jc w:val="left"/>
        <w:rPr>
          <w:rFonts w:ascii="Arial" w:hAnsi="Arial" w:cs="Arial"/>
          <w:color w:val="FF0000"/>
          <w:sz w:val="24"/>
          <w:szCs w:val="24"/>
          <w:highlight w:val="yellow"/>
        </w:rPr>
      </w:pPr>
    </w:p>
    <w:p w:rsidR="001E4F65" w:rsidRDefault="00D76B98" w:rsidP="000861DC">
      <w:pPr>
        <w:tabs>
          <w:tab w:val="left" w:pos="5940"/>
        </w:tabs>
        <w:jc w:val="left"/>
        <w:rPr>
          <w:rFonts w:ascii="Arial" w:hAnsi="Arial" w:cs="Arial"/>
          <w:sz w:val="24"/>
          <w:szCs w:val="24"/>
        </w:rPr>
      </w:pPr>
      <w:r w:rsidRPr="00AD18C6">
        <w:rPr>
          <w:rFonts w:ascii="Arial" w:hAnsi="Arial" w:cs="Arial"/>
          <w:sz w:val="24"/>
          <w:szCs w:val="24"/>
        </w:rPr>
        <w:t xml:space="preserve">In </w:t>
      </w:r>
      <w:r w:rsidR="001920A3" w:rsidRPr="00AD18C6">
        <w:rPr>
          <w:rFonts w:ascii="Arial" w:hAnsi="Arial" w:cs="Arial"/>
          <w:b/>
          <w:sz w:val="24"/>
          <w:szCs w:val="24"/>
        </w:rPr>
        <w:t>Russi</w:t>
      </w:r>
      <w:r w:rsidRPr="00AD18C6">
        <w:rPr>
          <w:rFonts w:ascii="Arial" w:hAnsi="Arial" w:cs="Arial"/>
          <w:b/>
          <w:sz w:val="24"/>
          <w:szCs w:val="24"/>
        </w:rPr>
        <w:t>a</w:t>
      </w:r>
      <w:r w:rsidR="00743933" w:rsidRPr="00AD18C6">
        <w:rPr>
          <w:rFonts w:ascii="Arial" w:hAnsi="Arial" w:cs="Arial"/>
          <w:b/>
          <w:sz w:val="24"/>
          <w:szCs w:val="24"/>
        </w:rPr>
        <w:t>,</w:t>
      </w:r>
      <w:r w:rsidRPr="00AD18C6">
        <w:rPr>
          <w:rFonts w:ascii="Arial" w:hAnsi="Arial" w:cs="Arial"/>
          <w:b/>
          <w:sz w:val="24"/>
          <w:szCs w:val="24"/>
        </w:rPr>
        <w:t xml:space="preserve"> </w:t>
      </w:r>
      <w:r w:rsidR="001920A3" w:rsidRPr="00AD18C6">
        <w:rPr>
          <w:rFonts w:ascii="Arial" w:hAnsi="Arial" w:cs="Arial"/>
          <w:sz w:val="24"/>
          <w:szCs w:val="24"/>
        </w:rPr>
        <w:t xml:space="preserve">sales </w:t>
      </w:r>
      <w:r w:rsidR="00F145F5" w:rsidRPr="00AD18C6">
        <w:rPr>
          <w:rFonts w:ascii="Arial" w:hAnsi="Arial" w:cs="Arial"/>
          <w:sz w:val="24"/>
          <w:szCs w:val="24"/>
        </w:rPr>
        <w:t>grew by</w:t>
      </w:r>
      <w:r w:rsidR="00F32DF8" w:rsidRPr="00AD18C6">
        <w:rPr>
          <w:rFonts w:ascii="Arial" w:hAnsi="Arial" w:cs="Arial"/>
          <w:sz w:val="24"/>
          <w:szCs w:val="24"/>
        </w:rPr>
        <w:t xml:space="preserve"> </w:t>
      </w:r>
      <w:r w:rsidR="00BA4389" w:rsidRPr="00AD18C6">
        <w:rPr>
          <w:rFonts w:ascii="Arial" w:hAnsi="Arial" w:cs="Arial"/>
          <w:sz w:val="24"/>
          <w:szCs w:val="24"/>
        </w:rPr>
        <w:t>14.5</w:t>
      </w:r>
      <w:r w:rsidR="001920A3" w:rsidRPr="00AD18C6">
        <w:rPr>
          <w:rFonts w:ascii="Arial" w:hAnsi="Arial" w:cs="Arial"/>
          <w:sz w:val="24"/>
          <w:szCs w:val="24"/>
        </w:rPr>
        <w:t>% to £</w:t>
      </w:r>
      <w:r w:rsidR="00BA4389" w:rsidRPr="00AD18C6">
        <w:rPr>
          <w:rFonts w:ascii="Arial" w:hAnsi="Arial" w:cs="Arial"/>
          <w:sz w:val="24"/>
          <w:szCs w:val="24"/>
        </w:rPr>
        <w:t>82</w:t>
      </w:r>
      <w:r w:rsidR="001920A3" w:rsidRPr="00AD18C6">
        <w:rPr>
          <w:rFonts w:ascii="Arial" w:hAnsi="Arial" w:cs="Arial"/>
          <w:sz w:val="24"/>
          <w:szCs w:val="24"/>
        </w:rPr>
        <w:t xml:space="preserve"> million</w:t>
      </w:r>
      <w:r w:rsidR="00F32DF8" w:rsidRPr="00AD18C6">
        <w:rPr>
          <w:rFonts w:ascii="Arial" w:hAnsi="Arial" w:cs="Arial"/>
          <w:sz w:val="24"/>
          <w:szCs w:val="24"/>
        </w:rPr>
        <w:t xml:space="preserve"> (</w:t>
      </w:r>
      <w:r w:rsidR="00743933" w:rsidRPr="00AD18C6">
        <w:rPr>
          <w:rFonts w:ascii="Arial" w:hAnsi="Arial" w:cs="Arial"/>
          <w:sz w:val="24"/>
          <w:szCs w:val="24"/>
        </w:rPr>
        <w:t>+</w:t>
      </w:r>
      <w:r w:rsidR="00BA4389" w:rsidRPr="00AD18C6">
        <w:rPr>
          <w:rFonts w:ascii="Arial" w:hAnsi="Arial" w:cs="Arial"/>
          <w:sz w:val="24"/>
          <w:szCs w:val="24"/>
        </w:rPr>
        <w:t>11.0</w:t>
      </w:r>
      <w:r w:rsidR="00F32DF8" w:rsidRPr="00AD18C6">
        <w:rPr>
          <w:rFonts w:ascii="Arial" w:hAnsi="Arial" w:cs="Arial"/>
          <w:sz w:val="24"/>
          <w:szCs w:val="24"/>
        </w:rPr>
        <w:t>% LFL)</w:t>
      </w:r>
      <w:r w:rsidR="00F145F5" w:rsidRPr="00AD18C6">
        <w:rPr>
          <w:rFonts w:ascii="Arial" w:hAnsi="Arial" w:cs="Arial"/>
          <w:sz w:val="24"/>
          <w:szCs w:val="24"/>
        </w:rPr>
        <w:t xml:space="preserve"> benefiting from </w:t>
      </w:r>
      <w:r w:rsidR="00AD18C6">
        <w:rPr>
          <w:rFonts w:ascii="Arial" w:hAnsi="Arial" w:cs="Arial"/>
          <w:sz w:val="24"/>
          <w:szCs w:val="24"/>
        </w:rPr>
        <w:t xml:space="preserve">a strong </w:t>
      </w:r>
      <w:r w:rsidR="00AD18C6" w:rsidRPr="00AE7738">
        <w:rPr>
          <w:rFonts w:ascii="Arial" w:hAnsi="Arial" w:cs="Arial"/>
          <w:sz w:val="24"/>
          <w:szCs w:val="24"/>
        </w:rPr>
        <w:t xml:space="preserve">market. </w:t>
      </w:r>
      <w:r w:rsidR="004B32AB" w:rsidRPr="00AE7738">
        <w:rPr>
          <w:rFonts w:ascii="Arial" w:hAnsi="Arial" w:cs="Arial"/>
          <w:sz w:val="24"/>
          <w:szCs w:val="24"/>
        </w:rPr>
        <w:t>R</w:t>
      </w:r>
      <w:r w:rsidR="00F145F5" w:rsidRPr="00AE7738">
        <w:rPr>
          <w:rFonts w:ascii="Arial" w:hAnsi="Arial" w:cs="Arial"/>
          <w:sz w:val="24"/>
          <w:szCs w:val="24"/>
        </w:rPr>
        <w:t>e</w:t>
      </w:r>
      <w:r w:rsidR="00956D69" w:rsidRPr="00AE7738">
        <w:rPr>
          <w:rFonts w:ascii="Arial" w:hAnsi="Arial" w:cs="Arial"/>
          <w:sz w:val="24"/>
          <w:szCs w:val="24"/>
        </w:rPr>
        <w:t xml:space="preserve">tail loss </w:t>
      </w:r>
      <w:r w:rsidR="004B32AB" w:rsidRPr="00AE7738">
        <w:rPr>
          <w:rFonts w:ascii="Arial" w:hAnsi="Arial" w:cs="Arial"/>
          <w:sz w:val="24"/>
          <w:szCs w:val="24"/>
        </w:rPr>
        <w:t>was</w:t>
      </w:r>
      <w:r w:rsidR="00AD18C6" w:rsidRPr="00AE7738">
        <w:rPr>
          <w:rFonts w:ascii="Arial" w:hAnsi="Arial" w:cs="Arial"/>
          <w:sz w:val="24"/>
          <w:szCs w:val="24"/>
        </w:rPr>
        <w:t xml:space="preserve"> £3</w:t>
      </w:r>
      <w:r w:rsidR="00F145F5" w:rsidRPr="00AE7738">
        <w:rPr>
          <w:rFonts w:ascii="Arial" w:hAnsi="Arial" w:cs="Arial"/>
          <w:sz w:val="24"/>
          <w:szCs w:val="24"/>
        </w:rPr>
        <w:t xml:space="preserve"> million</w:t>
      </w:r>
      <w:r w:rsidR="00B163B3" w:rsidRPr="00AE7738">
        <w:rPr>
          <w:rFonts w:ascii="Arial" w:hAnsi="Arial" w:cs="Arial"/>
          <w:sz w:val="24"/>
          <w:szCs w:val="24"/>
        </w:rPr>
        <w:t xml:space="preserve"> (2013/14: £4</w:t>
      </w:r>
      <w:r w:rsidR="00956D69" w:rsidRPr="00AE7738">
        <w:rPr>
          <w:rFonts w:ascii="Arial" w:hAnsi="Arial" w:cs="Arial"/>
          <w:sz w:val="24"/>
          <w:szCs w:val="24"/>
        </w:rPr>
        <w:t xml:space="preserve"> million reported loss)</w:t>
      </w:r>
      <w:r w:rsidR="00665D43">
        <w:rPr>
          <w:rFonts w:ascii="Arial" w:hAnsi="Arial" w:cs="Arial"/>
          <w:sz w:val="24"/>
          <w:szCs w:val="24"/>
        </w:rPr>
        <w:t>.</w:t>
      </w:r>
      <w:r w:rsidR="00F145F5" w:rsidRPr="00AE7738">
        <w:rPr>
          <w:rFonts w:ascii="Arial" w:hAnsi="Arial" w:cs="Arial"/>
          <w:sz w:val="24"/>
          <w:szCs w:val="24"/>
        </w:rPr>
        <w:t xml:space="preserve"> </w:t>
      </w:r>
      <w:r w:rsidR="001920A3" w:rsidRPr="00AE7738">
        <w:rPr>
          <w:rFonts w:ascii="Arial" w:hAnsi="Arial" w:cs="Arial"/>
          <w:sz w:val="24"/>
          <w:szCs w:val="24"/>
        </w:rPr>
        <w:t xml:space="preserve">In </w:t>
      </w:r>
      <w:r w:rsidR="001920A3" w:rsidRPr="00AE7738">
        <w:rPr>
          <w:rFonts w:ascii="Arial" w:hAnsi="Arial" w:cs="Arial"/>
          <w:b/>
          <w:sz w:val="24"/>
          <w:szCs w:val="24"/>
        </w:rPr>
        <w:t>Turkey</w:t>
      </w:r>
      <w:r w:rsidR="001920A3" w:rsidRPr="00AE7738">
        <w:rPr>
          <w:rFonts w:ascii="Arial" w:hAnsi="Arial" w:cs="Arial"/>
          <w:sz w:val="24"/>
          <w:szCs w:val="24"/>
        </w:rPr>
        <w:t>,</w:t>
      </w:r>
      <w:r w:rsidR="00290D4D" w:rsidRPr="00AE7738">
        <w:rPr>
          <w:rFonts w:ascii="Arial" w:hAnsi="Arial" w:cs="Arial"/>
          <w:sz w:val="24"/>
          <w:szCs w:val="24"/>
        </w:rPr>
        <w:t xml:space="preserve"> </w:t>
      </w:r>
      <w:r w:rsidR="001920A3" w:rsidRPr="00AE7738">
        <w:rPr>
          <w:rFonts w:ascii="Arial" w:hAnsi="Arial" w:cs="Arial"/>
          <w:sz w:val="24"/>
          <w:szCs w:val="24"/>
        </w:rPr>
        <w:t xml:space="preserve">Kingfisher’s 50% JV, </w:t>
      </w:r>
      <w:bookmarkStart w:id="5" w:name="OLE_LINK1"/>
      <w:bookmarkStart w:id="6" w:name="OLE_LINK2"/>
      <w:r w:rsidR="001920A3" w:rsidRPr="00AE7738">
        <w:rPr>
          <w:rFonts w:ascii="Arial" w:hAnsi="Arial" w:cs="Arial"/>
          <w:bCs/>
          <w:sz w:val="24"/>
          <w:szCs w:val="24"/>
        </w:rPr>
        <w:t>Koçtaş,</w:t>
      </w:r>
      <w:r w:rsidR="00AE5DDD" w:rsidRPr="00AE7738">
        <w:rPr>
          <w:rFonts w:ascii="Arial" w:hAnsi="Arial" w:cs="Arial"/>
          <w:bCs/>
          <w:sz w:val="24"/>
          <w:szCs w:val="24"/>
        </w:rPr>
        <w:t xml:space="preserve"> </w:t>
      </w:r>
      <w:r w:rsidR="00F3693A" w:rsidRPr="00665D43">
        <w:rPr>
          <w:rFonts w:ascii="Arial" w:hAnsi="Arial" w:cs="Arial"/>
          <w:bCs/>
          <w:sz w:val="24"/>
          <w:szCs w:val="24"/>
        </w:rPr>
        <w:t>delivered</w:t>
      </w:r>
      <w:r w:rsidR="00AE7738" w:rsidRPr="00665D43">
        <w:rPr>
          <w:rFonts w:ascii="Arial" w:hAnsi="Arial" w:cs="Arial"/>
          <w:bCs/>
          <w:sz w:val="24"/>
          <w:szCs w:val="24"/>
        </w:rPr>
        <w:t xml:space="preserve"> </w:t>
      </w:r>
      <w:r w:rsidR="00F3693A" w:rsidRPr="00665D43">
        <w:rPr>
          <w:rFonts w:ascii="Arial" w:hAnsi="Arial" w:cs="Arial"/>
          <w:bCs/>
          <w:sz w:val="24"/>
          <w:szCs w:val="24"/>
        </w:rPr>
        <w:t>a breakeven result</w:t>
      </w:r>
      <w:r w:rsidR="004B32AB" w:rsidRPr="00665D43">
        <w:rPr>
          <w:rFonts w:ascii="Arial" w:hAnsi="Arial" w:cs="Arial"/>
          <w:bCs/>
          <w:sz w:val="24"/>
          <w:szCs w:val="24"/>
        </w:rPr>
        <w:t>, flat</w:t>
      </w:r>
      <w:r w:rsidR="004B32AB" w:rsidRPr="00AE7738">
        <w:rPr>
          <w:rFonts w:ascii="Arial" w:hAnsi="Arial" w:cs="Arial"/>
          <w:bCs/>
          <w:sz w:val="24"/>
          <w:szCs w:val="24"/>
        </w:rPr>
        <w:t xml:space="preserve"> year </w:t>
      </w:r>
      <w:r w:rsidR="004872EE" w:rsidRPr="00AE7738">
        <w:rPr>
          <w:rFonts w:ascii="Arial" w:hAnsi="Arial" w:cs="Arial"/>
          <w:bCs/>
          <w:sz w:val="24"/>
          <w:szCs w:val="24"/>
        </w:rPr>
        <w:t>on year</w:t>
      </w:r>
      <w:r w:rsidR="004B32AB" w:rsidRPr="00AE7738">
        <w:rPr>
          <w:rFonts w:ascii="Arial" w:hAnsi="Arial" w:cs="Arial"/>
          <w:bCs/>
          <w:sz w:val="24"/>
          <w:szCs w:val="24"/>
        </w:rPr>
        <w:t>,</w:t>
      </w:r>
      <w:r w:rsidR="00F3693A" w:rsidRPr="00AE7738">
        <w:rPr>
          <w:rFonts w:ascii="Arial" w:hAnsi="Arial" w:cs="Arial"/>
          <w:bCs/>
          <w:sz w:val="24"/>
          <w:szCs w:val="24"/>
        </w:rPr>
        <w:t xml:space="preserve"> with sales up </w:t>
      </w:r>
      <w:bookmarkEnd w:id="5"/>
      <w:bookmarkEnd w:id="6"/>
      <w:r w:rsidR="00AD18C6" w:rsidRPr="00AE7738">
        <w:rPr>
          <w:rFonts w:ascii="Arial" w:hAnsi="Arial" w:cs="Arial"/>
          <w:bCs/>
          <w:sz w:val="24"/>
          <w:szCs w:val="24"/>
        </w:rPr>
        <w:t>12.1</w:t>
      </w:r>
      <w:r w:rsidR="00743933" w:rsidRPr="00AE7738">
        <w:rPr>
          <w:rFonts w:ascii="Arial" w:hAnsi="Arial" w:cs="Arial"/>
          <w:bCs/>
          <w:sz w:val="24"/>
          <w:szCs w:val="24"/>
        </w:rPr>
        <w:t>% (</w:t>
      </w:r>
      <w:r w:rsidR="00F145F5" w:rsidRPr="00AE7738">
        <w:rPr>
          <w:rFonts w:ascii="Arial" w:hAnsi="Arial" w:cs="Arial"/>
          <w:bCs/>
          <w:sz w:val="24"/>
          <w:szCs w:val="24"/>
        </w:rPr>
        <w:t>+</w:t>
      </w:r>
      <w:r w:rsidR="00AD18C6" w:rsidRPr="00AE7738">
        <w:rPr>
          <w:rFonts w:ascii="Arial" w:hAnsi="Arial" w:cs="Arial"/>
          <w:bCs/>
          <w:sz w:val="24"/>
          <w:szCs w:val="24"/>
        </w:rPr>
        <w:t>2.4</w:t>
      </w:r>
      <w:r w:rsidR="00743933" w:rsidRPr="00AE7738">
        <w:rPr>
          <w:rFonts w:ascii="Arial" w:hAnsi="Arial" w:cs="Arial"/>
          <w:bCs/>
          <w:sz w:val="24"/>
          <w:szCs w:val="24"/>
        </w:rPr>
        <w:t>% LFL)</w:t>
      </w:r>
      <w:r w:rsidR="00F3693A" w:rsidRPr="00AE7738">
        <w:rPr>
          <w:rFonts w:ascii="Arial" w:hAnsi="Arial" w:cs="Arial"/>
          <w:bCs/>
          <w:sz w:val="24"/>
          <w:szCs w:val="24"/>
        </w:rPr>
        <w:t>.</w:t>
      </w:r>
      <w:r w:rsidR="009D5D26" w:rsidRPr="00AE7738">
        <w:rPr>
          <w:rFonts w:ascii="Arial" w:hAnsi="Arial" w:cs="Arial"/>
          <w:bCs/>
          <w:sz w:val="24"/>
          <w:szCs w:val="24"/>
        </w:rPr>
        <w:t xml:space="preserve"> </w:t>
      </w:r>
      <w:r w:rsidR="00F3693A" w:rsidRPr="00AE7738">
        <w:rPr>
          <w:rFonts w:ascii="Arial" w:hAnsi="Arial" w:cs="Arial"/>
          <w:bCs/>
          <w:sz w:val="24"/>
          <w:szCs w:val="24"/>
        </w:rPr>
        <w:t xml:space="preserve">Sales in </w:t>
      </w:r>
      <w:r w:rsidR="001920A3" w:rsidRPr="00AE7738">
        <w:rPr>
          <w:rFonts w:ascii="Arial" w:hAnsi="Arial" w:cs="Arial"/>
          <w:b/>
          <w:sz w:val="24"/>
          <w:szCs w:val="24"/>
        </w:rPr>
        <w:t>Spain</w:t>
      </w:r>
      <w:r w:rsidR="00E20033" w:rsidRPr="00AE7738">
        <w:rPr>
          <w:rFonts w:ascii="Arial" w:hAnsi="Arial" w:cs="Arial"/>
          <w:b/>
          <w:sz w:val="24"/>
          <w:szCs w:val="24"/>
        </w:rPr>
        <w:t xml:space="preserve"> </w:t>
      </w:r>
      <w:r w:rsidR="00F3693A" w:rsidRPr="00AE7738">
        <w:rPr>
          <w:rFonts w:ascii="Arial" w:hAnsi="Arial" w:cs="Arial"/>
          <w:sz w:val="24"/>
          <w:szCs w:val="24"/>
        </w:rPr>
        <w:t>gre</w:t>
      </w:r>
      <w:r w:rsidR="00665D43">
        <w:rPr>
          <w:rFonts w:ascii="Arial" w:hAnsi="Arial" w:cs="Arial"/>
          <w:sz w:val="24"/>
          <w:szCs w:val="24"/>
        </w:rPr>
        <w:t xml:space="preserve">w by 22.4% </w:t>
      </w:r>
      <w:r w:rsidR="00665D43" w:rsidRPr="00AE7738">
        <w:rPr>
          <w:rFonts w:ascii="Arial" w:hAnsi="Arial" w:cs="Arial"/>
          <w:sz w:val="24"/>
          <w:szCs w:val="24"/>
        </w:rPr>
        <w:t xml:space="preserve">to £80 million </w:t>
      </w:r>
      <w:r w:rsidR="00665D43">
        <w:rPr>
          <w:rFonts w:ascii="Arial" w:hAnsi="Arial" w:cs="Arial"/>
          <w:sz w:val="24"/>
          <w:szCs w:val="24"/>
        </w:rPr>
        <w:t>(-</w:t>
      </w:r>
      <w:r w:rsidR="00AE7738" w:rsidRPr="00AE7738">
        <w:rPr>
          <w:rFonts w:ascii="Arial" w:hAnsi="Arial" w:cs="Arial"/>
          <w:sz w:val="24"/>
          <w:szCs w:val="24"/>
        </w:rPr>
        <w:t>3.7</w:t>
      </w:r>
      <w:r w:rsidR="00F3693A" w:rsidRPr="00AE7738">
        <w:rPr>
          <w:rFonts w:ascii="Arial" w:hAnsi="Arial" w:cs="Arial"/>
          <w:sz w:val="24"/>
          <w:szCs w:val="24"/>
        </w:rPr>
        <w:t>% LFL</w:t>
      </w:r>
      <w:r w:rsidR="00AE7738" w:rsidRPr="00AE7738">
        <w:rPr>
          <w:rFonts w:ascii="Arial" w:hAnsi="Arial" w:cs="Arial"/>
          <w:sz w:val="24"/>
          <w:szCs w:val="24"/>
        </w:rPr>
        <w:t xml:space="preserve">) </w:t>
      </w:r>
      <w:r w:rsidR="00F3693A" w:rsidRPr="00AE7738">
        <w:rPr>
          <w:rFonts w:ascii="Arial" w:hAnsi="Arial" w:cs="Arial"/>
          <w:sz w:val="24"/>
          <w:szCs w:val="24"/>
        </w:rPr>
        <w:t>reflecting new store openings offset by a difficult mark</w:t>
      </w:r>
      <w:r w:rsidR="00F3693A" w:rsidRPr="00665D43">
        <w:rPr>
          <w:rFonts w:ascii="Arial" w:hAnsi="Arial" w:cs="Arial"/>
          <w:sz w:val="24"/>
          <w:szCs w:val="24"/>
        </w:rPr>
        <w:t>et</w:t>
      </w:r>
      <w:r w:rsidR="00285C27" w:rsidRPr="00665D43">
        <w:rPr>
          <w:rFonts w:ascii="Arial" w:hAnsi="Arial" w:cs="Arial"/>
          <w:sz w:val="24"/>
          <w:szCs w:val="24"/>
        </w:rPr>
        <w:t>. A breakeven result was</w:t>
      </w:r>
      <w:r w:rsidR="00F3693A" w:rsidRPr="00665D43">
        <w:rPr>
          <w:rFonts w:ascii="Arial" w:hAnsi="Arial" w:cs="Arial"/>
          <w:sz w:val="24"/>
          <w:szCs w:val="24"/>
        </w:rPr>
        <w:t xml:space="preserve"> </w:t>
      </w:r>
      <w:r w:rsidR="00285C27" w:rsidRPr="00665D43">
        <w:rPr>
          <w:rFonts w:ascii="Arial" w:hAnsi="Arial" w:cs="Arial"/>
          <w:sz w:val="24"/>
          <w:szCs w:val="24"/>
        </w:rPr>
        <w:t>delivered, flat year on year.</w:t>
      </w:r>
      <w:r w:rsidR="00AE7738">
        <w:rPr>
          <w:rFonts w:ascii="Arial" w:hAnsi="Arial" w:cs="Arial"/>
          <w:sz w:val="24"/>
          <w:szCs w:val="24"/>
        </w:rPr>
        <w:t xml:space="preserve"> </w:t>
      </w:r>
    </w:p>
    <w:p w:rsidR="001E4F65" w:rsidRDefault="001E4F65" w:rsidP="000861DC">
      <w:pPr>
        <w:tabs>
          <w:tab w:val="left" w:pos="5940"/>
        </w:tabs>
        <w:jc w:val="left"/>
        <w:rPr>
          <w:rFonts w:ascii="Arial" w:hAnsi="Arial" w:cs="Arial"/>
          <w:sz w:val="24"/>
          <w:szCs w:val="24"/>
        </w:rPr>
      </w:pPr>
    </w:p>
    <w:p w:rsidR="001E4F65" w:rsidRPr="00084524" w:rsidRDefault="00AE7738" w:rsidP="001E4F65">
      <w:pPr>
        <w:tabs>
          <w:tab w:val="left" w:pos="5940"/>
        </w:tabs>
        <w:jc w:val="left"/>
        <w:rPr>
          <w:rFonts w:ascii="Arial" w:hAnsi="Arial" w:cs="Arial"/>
          <w:bCs/>
          <w:sz w:val="24"/>
          <w:szCs w:val="24"/>
        </w:rPr>
      </w:pPr>
      <w:r>
        <w:rPr>
          <w:rFonts w:ascii="Arial" w:hAnsi="Arial" w:cs="Arial"/>
          <w:sz w:val="24"/>
          <w:szCs w:val="24"/>
        </w:rPr>
        <w:t>Br</w:t>
      </w:r>
      <w:r w:rsidR="00FF738D">
        <w:rPr>
          <w:rFonts w:ascii="Arial" w:hAnsi="Arial" w:cs="Arial"/>
          <w:sz w:val="24"/>
          <w:szCs w:val="24"/>
        </w:rPr>
        <w:t xml:space="preserve">icostore </w:t>
      </w:r>
      <w:r w:rsidR="002B5745" w:rsidRPr="00AE7738">
        <w:rPr>
          <w:rFonts w:ascii="Arial" w:hAnsi="Arial" w:cs="Arial"/>
          <w:b/>
          <w:sz w:val="24"/>
          <w:szCs w:val="24"/>
        </w:rPr>
        <w:t>Romani</w:t>
      </w:r>
      <w:r>
        <w:rPr>
          <w:rFonts w:ascii="Arial" w:hAnsi="Arial" w:cs="Arial"/>
          <w:b/>
          <w:sz w:val="24"/>
          <w:szCs w:val="24"/>
        </w:rPr>
        <w:t>a</w:t>
      </w:r>
      <w:r>
        <w:rPr>
          <w:rFonts w:ascii="Arial" w:hAnsi="Arial" w:cs="Arial"/>
          <w:sz w:val="24"/>
          <w:szCs w:val="24"/>
        </w:rPr>
        <w:t>, acquired in Q2</w:t>
      </w:r>
      <w:r w:rsidR="00556880">
        <w:rPr>
          <w:rFonts w:ascii="Arial" w:hAnsi="Arial" w:cs="Arial"/>
          <w:sz w:val="24"/>
          <w:szCs w:val="24"/>
        </w:rPr>
        <w:t xml:space="preserve"> 2013/14</w:t>
      </w:r>
      <w:r w:rsidR="004D7983">
        <w:rPr>
          <w:rFonts w:ascii="Arial" w:hAnsi="Arial" w:cs="Arial"/>
          <w:sz w:val="24"/>
          <w:szCs w:val="24"/>
        </w:rPr>
        <w:t>,</w:t>
      </w:r>
      <w:r w:rsidR="00556880">
        <w:rPr>
          <w:rFonts w:ascii="Arial" w:hAnsi="Arial" w:cs="Arial"/>
          <w:sz w:val="24"/>
          <w:szCs w:val="24"/>
        </w:rPr>
        <w:t xml:space="preserve"> contributed sales of </w:t>
      </w:r>
      <w:r>
        <w:rPr>
          <w:rFonts w:ascii="Arial" w:hAnsi="Arial" w:cs="Arial"/>
          <w:sz w:val="24"/>
          <w:szCs w:val="24"/>
        </w:rPr>
        <w:t>£16 million a</w:t>
      </w:r>
      <w:r w:rsidR="00285C27">
        <w:rPr>
          <w:rFonts w:ascii="Arial" w:hAnsi="Arial" w:cs="Arial"/>
          <w:sz w:val="24"/>
          <w:szCs w:val="24"/>
        </w:rPr>
        <w:t xml:space="preserve">nd retail loss of £4 million </w:t>
      </w:r>
      <w:r w:rsidR="0033543A">
        <w:rPr>
          <w:rFonts w:ascii="Arial" w:hAnsi="Arial" w:cs="Arial"/>
          <w:sz w:val="24"/>
          <w:szCs w:val="24"/>
        </w:rPr>
        <w:t>including the</w:t>
      </w:r>
      <w:r w:rsidR="00285C27">
        <w:rPr>
          <w:rFonts w:ascii="Arial" w:hAnsi="Arial" w:cs="Arial"/>
          <w:sz w:val="24"/>
          <w:szCs w:val="24"/>
        </w:rPr>
        <w:t xml:space="preserve"> costs relating to the conversion of the first two stores to the</w:t>
      </w:r>
      <w:r w:rsidR="0089543A">
        <w:rPr>
          <w:rFonts w:ascii="Arial" w:hAnsi="Arial" w:cs="Arial"/>
          <w:sz w:val="24"/>
          <w:szCs w:val="24"/>
        </w:rPr>
        <w:t xml:space="preserve"> Brico Dépô</w:t>
      </w:r>
      <w:r w:rsidR="00285C27">
        <w:rPr>
          <w:rFonts w:ascii="Arial" w:hAnsi="Arial" w:cs="Arial"/>
          <w:sz w:val="24"/>
          <w:szCs w:val="24"/>
        </w:rPr>
        <w:t>t format</w:t>
      </w:r>
      <w:r w:rsidR="00665D43">
        <w:rPr>
          <w:rFonts w:ascii="Arial" w:hAnsi="Arial" w:cs="Arial"/>
          <w:sz w:val="24"/>
          <w:szCs w:val="24"/>
        </w:rPr>
        <w:t>,</w:t>
      </w:r>
      <w:r w:rsidR="00285C27">
        <w:rPr>
          <w:rFonts w:ascii="Arial" w:hAnsi="Arial" w:cs="Arial"/>
          <w:sz w:val="24"/>
          <w:szCs w:val="24"/>
        </w:rPr>
        <w:t xml:space="preserve"> which both opened in March this year. </w:t>
      </w:r>
      <w:r w:rsidR="001E4F65" w:rsidRPr="00084524">
        <w:rPr>
          <w:rFonts w:ascii="Arial" w:hAnsi="Arial" w:cs="Arial"/>
          <w:bCs/>
          <w:sz w:val="24"/>
          <w:szCs w:val="24"/>
        </w:rPr>
        <w:t>Development costs</w:t>
      </w:r>
      <w:r w:rsidR="00257F52">
        <w:rPr>
          <w:rFonts w:ascii="Arial" w:hAnsi="Arial" w:cs="Arial"/>
          <w:bCs/>
          <w:sz w:val="24"/>
          <w:szCs w:val="24"/>
        </w:rPr>
        <w:t>*</w:t>
      </w:r>
      <w:r w:rsidR="001E4F65" w:rsidRPr="00084524">
        <w:rPr>
          <w:rFonts w:ascii="Arial" w:hAnsi="Arial" w:cs="Arial"/>
          <w:bCs/>
          <w:sz w:val="24"/>
          <w:szCs w:val="24"/>
        </w:rPr>
        <w:t xml:space="preserve"> relating to the previously announced entry into</w:t>
      </w:r>
      <w:r w:rsidR="001E4F65" w:rsidRPr="00084524">
        <w:rPr>
          <w:rFonts w:ascii="Arial" w:hAnsi="Arial" w:cs="Arial"/>
          <w:b/>
          <w:bCs/>
          <w:sz w:val="24"/>
          <w:szCs w:val="24"/>
        </w:rPr>
        <w:t xml:space="preserve"> Germany</w:t>
      </w:r>
      <w:r w:rsidR="001E4F65" w:rsidRPr="00084524">
        <w:rPr>
          <w:rFonts w:ascii="Arial" w:hAnsi="Arial" w:cs="Arial"/>
          <w:bCs/>
          <w:sz w:val="24"/>
          <w:szCs w:val="24"/>
        </w:rPr>
        <w:t xml:space="preserve"> with Screwfix and </w:t>
      </w:r>
      <w:r w:rsidR="001E4F65">
        <w:rPr>
          <w:rFonts w:ascii="Arial" w:hAnsi="Arial" w:cs="Arial"/>
          <w:bCs/>
          <w:sz w:val="24"/>
          <w:szCs w:val="24"/>
        </w:rPr>
        <w:t xml:space="preserve">into </w:t>
      </w:r>
      <w:r w:rsidR="001E4F65" w:rsidRPr="00084524">
        <w:rPr>
          <w:rFonts w:ascii="Arial" w:hAnsi="Arial" w:cs="Arial"/>
          <w:b/>
          <w:bCs/>
          <w:sz w:val="24"/>
          <w:szCs w:val="24"/>
        </w:rPr>
        <w:t>Portugal</w:t>
      </w:r>
      <w:r w:rsidR="001E4F65">
        <w:rPr>
          <w:rFonts w:ascii="Arial" w:hAnsi="Arial" w:cs="Arial"/>
          <w:bCs/>
          <w:sz w:val="24"/>
          <w:szCs w:val="24"/>
        </w:rPr>
        <w:t xml:space="preserve"> with Brico Dépôt amounted to around £1 million. </w:t>
      </w:r>
    </w:p>
    <w:p w:rsidR="001920A3" w:rsidRPr="00D30978" w:rsidRDefault="001920A3" w:rsidP="005D1C90">
      <w:pPr>
        <w:tabs>
          <w:tab w:val="left" w:pos="5940"/>
        </w:tabs>
        <w:jc w:val="left"/>
        <w:rPr>
          <w:rFonts w:ascii="Arial" w:hAnsi="Arial" w:cs="Arial"/>
          <w:color w:val="FF0000"/>
          <w:sz w:val="24"/>
          <w:szCs w:val="24"/>
        </w:rPr>
      </w:pPr>
    </w:p>
    <w:p w:rsidR="00665D43" w:rsidRDefault="001920A3" w:rsidP="00861A09">
      <w:pPr>
        <w:autoSpaceDE w:val="0"/>
        <w:autoSpaceDN w:val="0"/>
        <w:adjustRightInd w:val="0"/>
        <w:jc w:val="left"/>
        <w:rPr>
          <w:rFonts w:ascii="Arial" w:hAnsi="Arial" w:cs="Arial"/>
          <w:sz w:val="24"/>
          <w:szCs w:val="24"/>
          <w:highlight w:val="yellow"/>
        </w:rPr>
      </w:pPr>
      <w:r w:rsidRPr="00D30978">
        <w:rPr>
          <w:rFonts w:ascii="Arial" w:hAnsi="Arial" w:cs="Arial"/>
          <w:b/>
          <w:bCs/>
          <w:sz w:val="24"/>
          <w:szCs w:val="24"/>
        </w:rPr>
        <w:t>B&amp;Q</w:t>
      </w:r>
      <w:r w:rsidRPr="00D30978">
        <w:rPr>
          <w:rFonts w:ascii="Arial" w:hAnsi="Arial" w:cs="Arial"/>
          <w:b/>
          <w:sz w:val="24"/>
          <w:szCs w:val="24"/>
        </w:rPr>
        <w:t xml:space="preserve"> </w:t>
      </w:r>
      <w:r w:rsidRPr="00665D43">
        <w:rPr>
          <w:rFonts w:ascii="Arial" w:hAnsi="Arial" w:cs="Arial"/>
          <w:b/>
          <w:sz w:val="24"/>
          <w:szCs w:val="24"/>
        </w:rPr>
        <w:t>China</w:t>
      </w:r>
      <w:r w:rsidR="009814FF" w:rsidRPr="00665D43">
        <w:rPr>
          <w:rFonts w:ascii="Arial" w:hAnsi="Arial" w:cs="Arial"/>
          <w:sz w:val="24"/>
          <w:szCs w:val="24"/>
        </w:rPr>
        <w:t xml:space="preserve"> sales </w:t>
      </w:r>
      <w:r w:rsidR="0089543A" w:rsidRPr="00665D43">
        <w:rPr>
          <w:rFonts w:ascii="Arial" w:hAnsi="Arial" w:cs="Arial"/>
          <w:sz w:val="24"/>
          <w:szCs w:val="24"/>
        </w:rPr>
        <w:t>were down 5.0</w:t>
      </w:r>
      <w:r w:rsidR="009814FF" w:rsidRPr="00665D43">
        <w:rPr>
          <w:rFonts w:ascii="Arial" w:hAnsi="Arial" w:cs="Arial"/>
          <w:sz w:val="24"/>
          <w:szCs w:val="24"/>
        </w:rPr>
        <w:t>% to £</w:t>
      </w:r>
      <w:r w:rsidR="0089543A" w:rsidRPr="00665D43">
        <w:rPr>
          <w:rFonts w:ascii="Arial" w:hAnsi="Arial" w:cs="Arial"/>
          <w:sz w:val="24"/>
          <w:szCs w:val="24"/>
        </w:rPr>
        <w:t>68</w:t>
      </w:r>
      <w:r w:rsidR="009814FF" w:rsidRPr="00665D43">
        <w:rPr>
          <w:rFonts w:ascii="Arial" w:hAnsi="Arial" w:cs="Arial"/>
          <w:sz w:val="24"/>
          <w:szCs w:val="24"/>
        </w:rPr>
        <w:t xml:space="preserve"> million (</w:t>
      </w:r>
      <w:r w:rsidR="00665D43" w:rsidRPr="00665D43">
        <w:rPr>
          <w:rFonts w:ascii="Arial" w:hAnsi="Arial" w:cs="Arial"/>
          <w:sz w:val="24"/>
          <w:szCs w:val="24"/>
        </w:rPr>
        <w:t>-</w:t>
      </w:r>
      <w:r w:rsidR="0089543A" w:rsidRPr="00665D43">
        <w:rPr>
          <w:rFonts w:ascii="Arial" w:hAnsi="Arial" w:cs="Arial"/>
          <w:sz w:val="24"/>
          <w:szCs w:val="24"/>
        </w:rPr>
        <w:t>4.4</w:t>
      </w:r>
      <w:r w:rsidRPr="00665D43">
        <w:rPr>
          <w:rFonts w:ascii="Arial" w:hAnsi="Arial" w:cs="Arial"/>
          <w:sz w:val="24"/>
          <w:szCs w:val="24"/>
        </w:rPr>
        <w:t>% LFL)</w:t>
      </w:r>
      <w:r w:rsidR="000A613F" w:rsidRPr="00665D43">
        <w:rPr>
          <w:rFonts w:ascii="Arial" w:hAnsi="Arial" w:cs="Arial"/>
          <w:sz w:val="24"/>
          <w:szCs w:val="24"/>
        </w:rPr>
        <w:t xml:space="preserve"> </w:t>
      </w:r>
      <w:r w:rsidR="00C01956" w:rsidRPr="00665D43">
        <w:rPr>
          <w:rFonts w:ascii="Arial" w:hAnsi="Arial" w:cs="Arial"/>
          <w:sz w:val="24"/>
          <w:szCs w:val="24"/>
        </w:rPr>
        <w:t>impacted by a slowing Chinese property market*.</w:t>
      </w:r>
      <w:r w:rsidR="00532FEF">
        <w:rPr>
          <w:rFonts w:ascii="Arial" w:hAnsi="Arial" w:cs="Arial"/>
          <w:sz w:val="24"/>
          <w:szCs w:val="24"/>
        </w:rPr>
        <w:t xml:space="preserve"> </w:t>
      </w:r>
      <w:r w:rsidR="00665D43" w:rsidRPr="00665D43">
        <w:rPr>
          <w:rFonts w:ascii="Arial" w:hAnsi="Arial" w:cs="Arial"/>
          <w:sz w:val="24"/>
          <w:szCs w:val="24"/>
        </w:rPr>
        <w:t>Retail loss</w:t>
      </w:r>
      <w:r w:rsidR="00800E1F">
        <w:rPr>
          <w:rFonts w:ascii="Arial" w:hAnsi="Arial" w:cs="Arial"/>
          <w:sz w:val="24"/>
          <w:szCs w:val="24"/>
        </w:rPr>
        <w:t>es of</w:t>
      </w:r>
      <w:r w:rsidR="00665D43" w:rsidRPr="00556880">
        <w:rPr>
          <w:rFonts w:ascii="Arial" w:hAnsi="Arial" w:cs="Arial"/>
          <w:sz w:val="24"/>
          <w:szCs w:val="24"/>
        </w:rPr>
        <w:t xml:space="preserve"> £7 million</w:t>
      </w:r>
      <w:r w:rsidR="00665D43">
        <w:rPr>
          <w:rFonts w:ascii="Arial" w:hAnsi="Arial" w:cs="Arial"/>
          <w:sz w:val="24"/>
          <w:szCs w:val="24"/>
        </w:rPr>
        <w:t>,</w:t>
      </w:r>
      <w:r w:rsidR="00800E1F">
        <w:rPr>
          <w:rFonts w:ascii="Arial" w:hAnsi="Arial" w:cs="Arial"/>
          <w:sz w:val="24"/>
          <w:szCs w:val="24"/>
        </w:rPr>
        <w:t xml:space="preserve"> in what is traditionally the weakest trading quarter of the year (impacted by Chinese New Year), were</w:t>
      </w:r>
      <w:r w:rsidR="00665D43">
        <w:rPr>
          <w:rFonts w:ascii="Arial" w:hAnsi="Arial" w:cs="Arial"/>
          <w:sz w:val="24"/>
          <w:szCs w:val="24"/>
        </w:rPr>
        <w:t xml:space="preserve"> broadly flat year on year</w:t>
      </w:r>
      <w:r w:rsidR="00532FEF">
        <w:rPr>
          <w:rFonts w:ascii="Arial" w:hAnsi="Arial" w:cs="Arial"/>
          <w:sz w:val="24"/>
          <w:szCs w:val="24"/>
        </w:rPr>
        <w:t>, including</w:t>
      </w:r>
      <w:r w:rsidR="00631501">
        <w:rPr>
          <w:rFonts w:ascii="Arial" w:hAnsi="Arial" w:cs="Arial"/>
          <w:sz w:val="24"/>
          <w:szCs w:val="24"/>
        </w:rPr>
        <w:t xml:space="preserve"> </w:t>
      </w:r>
      <w:r w:rsidR="00800E1F">
        <w:rPr>
          <w:rFonts w:ascii="Arial" w:hAnsi="Arial" w:cs="Arial"/>
          <w:sz w:val="24"/>
          <w:szCs w:val="24"/>
        </w:rPr>
        <w:t>costs</w:t>
      </w:r>
      <w:r w:rsidR="00631501">
        <w:rPr>
          <w:rFonts w:ascii="Arial" w:hAnsi="Arial" w:cs="Arial"/>
          <w:sz w:val="24"/>
          <w:szCs w:val="24"/>
        </w:rPr>
        <w:t xml:space="preserve"> developing the new format trial of</w:t>
      </w:r>
      <w:r w:rsidR="00532FEF">
        <w:rPr>
          <w:rFonts w:ascii="Arial" w:hAnsi="Arial" w:cs="Arial"/>
          <w:sz w:val="24"/>
          <w:szCs w:val="24"/>
        </w:rPr>
        <w:t xml:space="preserve"> around £1 million</w:t>
      </w:r>
      <w:r w:rsidR="00800E1F">
        <w:rPr>
          <w:rFonts w:ascii="Arial" w:hAnsi="Arial" w:cs="Arial"/>
          <w:sz w:val="24"/>
          <w:szCs w:val="24"/>
        </w:rPr>
        <w:t xml:space="preserve">. </w:t>
      </w:r>
      <w:r w:rsidR="00084524">
        <w:rPr>
          <w:rFonts w:ascii="Arial" w:hAnsi="Arial" w:cs="Arial"/>
          <w:sz w:val="24"/>
          <w:szCs w:val="24"/>
        </w:rPr>
        <w:t xml:space="preserve"> </w:t>
      </w:r>
    </w:p>
    <w:p w:rsidR="0028321F" w:rsidRDefault="00CE7728" w:rsidP="00ED6C55">
      <w:pPr>
        <w:jc w:val="left"/>
        <w:rPr>
          <w:rFonts w:ascii="Arial" w:hAnsi="Arial" w:cs="Arial"/>
          <w:b/>
          <w:sz w:val="24"/>
          <w:szCs w:val="24"/>
        </w:rPr>
      </w:pPr>
      <w:r>
        <w:rPr>
          <w:rFonts w:ascii="Arial" w:hAnsi="Arial" w:cs="Arial"/>
          <w:b/>
          <w:sz w:val="24"/>
          <w:szCs w:val="24"/>
        </w:rPr>
        <w:br w:type="page"/>
      </w:r>
      <w:r w:rsidR="00B163B3">
        <w:rPr>
          <w:rFonts w:ascii="Arial" w:hAnsi="Arial" w:cs="Arial"/>
          <w:b/>
          <w:sz w:val="24"/>
          <w:szCs w:val="24"/>
        </w:rPr>
        <w:t>SUMMARY Q1 2014/15</w:t>
      </w:r>
      <w:r w:rsidR="00B41718">
        <w:rPr>
          <w:rFonts w:ascii="Arial" w:hAnsi="Arial" w:cs="Arial"/>
          <w:b/>
          <w:sz w:val="24"/>
          <w:szCs w:val="24"/>
        </w:rPr>
        <w:t xml:space="preserve"> DATA BY GEOGRAPHY</w:t>
      </w:r>
    </w:p>
    <w:p w:rsidR="00B41718" w:rsidRDefault="00B41718" w:rsidP="00ED6C55">
      <w:pPr>
        <w:jc w:val="left"/>
        <w:rPr>
          <w:rFonts w:ascii="Arial" w:hAnsi="Arial" w:cs="Arial"/>
          <w:b/>
          <w:sz w:val="24"/>
          <w:szCs w:val="24"/>
        </w:rPr>
      </w:pPr>
    </w:p>
    <w:tbl>
      <w:tblPr>
        <w:tblW w:w="4296" w:type="pct"/>
        <w:tblInd w:w="2" w:type="dxa"/>
        <w:tblLayout w:type="fixed"/>
        <w:tblLook w:val="01E0" w:firstRow="1" w:lastRow="1" w:firstColumn="1" w:lastColumn="1" w:noHBand="0" w:noVBand="0"/>
      </w:tblPr>
      <w:tblGrid>
        <w:gridCol w:w="2778"/>
        <w:gridCol w:w="2179"/>
        <w:gridCol w:w="1665"/>
        <w:gridCol w:w="1780"/>
      </w:tblGrid>
      <w:tr w:rsidR="00B41718" w:rsidRPr="00271E01" w:rsidTr="00B155FE">
        <w:trPr>
          <w:trHeight w:val="739"/>
        </w:trPr>
        <w:tc>
          <w:tcPr>
            <w:tcW w:w="1653" w:type="pct"/>
            <w:tcBorders>
              <w:bottom w:val="single" w:sz="4" w:space="0" w:color="auto"/>
            </w:tcBorders>
          </w:tcPr>
          <w:p w:rsidR="00B41718" w:rsidRPr="00271E01" w:rsidRDefault="00B163B3" w:rsidP="00B155FE">
            <w:pPr>
              <w:ind w:left="110" w:hanging="110"/>
              <w:jc w:val="left"/>
              <w:rPr>
                <w:rFonts w:ascii="Arial" w:hAnsi="Arial" w:cs="Arial"/>
                <w:b/>
                <w:bCs/>
              </w:rPr>
            </w:pPr>
            <w:r>
              <w:rPr>
                <w:rFonts w:ascii="Arial" w:hAnsi="Arial" w:cs="Arial"/>
              </w:rPr>
              <w:t>As at 3</w:t>
            </w:r>
            <w:r w:rsidR="00B41718">
              <w:rPr>
                <w:rFonts w:ascii="Arial" w:hAnsi="Arial" w:cs="Arial"/>
              </w:rPr>
              <w:t xml:space="preserve"> May </w:t>
            </w:r>
            <w:r w:rsidR="00B41718" w:rsidRPr="005C3DA9">
              <w:rPr>
                <w:rFonts w:ascii="Arial" w:hAnsi="Arial" w:cs="Arial"/>
              </w:rPr>
              <w:t>201</w:t>
            </w:r>
            <w:r>
              <w:rPr>
                <w:rFonts w:ascii="Arial" w:hAnsi="Arial" w:cs="Arial"/>
              </w:rPr>
              <w:t>4</w:t>
            </w:r>
          </w:p>
        </w:tc>
        <w:tc>
          <w:tcPr>
            <w:tcW w:w="1297" w:type="pct"/>
            <w:tcBorders>
              <w:bottom w:val="single" w:sz="4" w:space="0" w:color="auto"/>
            </w:tcBorders>
          </w:tcPr>
          <w:p w:rsidR="00B41718" w:rsidRDefault="00B41718" w:rsidP="001A7723">
            <w:pPr>
              <w:ind w:left="110" w:hanging="110"/>
              <w:jc w:val="right"/>
              <w:rPr>
                <w:rFonts w:ascii="Arial" w:hAnsi="Arial" w:cs="Arial"/>
                <w:b/>
                <w:bCs/>
              </w:rPr>
            </w:pPr>
            <w:r w:rsidRPr="00271E01">
              <w:rPr>
                <w:rFonts w:ascii="Arial" w:hAnsi="Arial" w:cs="Arial"/>
                <w:b/>
                <w:bCs/>
              </w:rPr>
              <w:t xml:space="preserve">Store </w:t>
            </w:r>
          </w:p>
          <w:p w:rsidR="00B41718" w:rsidRPr="00271E01" w:rsidRDefault="00B41718" w:rsidP="001A7723">
            <w:pPr>
              <w:ind w:left="110" w:hanging="110"/>
              <w:jc w:val="right"/>
              <w:rPr>
                <w:rFonts w:ascii="Arial" w:hAnsi="Arial" w:cs="Arial"/>
                <w:b/>
                <w:bCs/>
                <w:highlight w:val="magenta"/>
              </w:rPr>
            </w:pPr>
            <w:r w:rsidRPr="00271E01">
              <w:rPr>
                <w:rFonts w:ascii="Arial" w:hAnsi="Arial" w:cs="Arial"/>
                <w:b/>
                <w:bCs/>
              </w:rPr>
              <w:t>numbers</w:t>
            </w:r>
          </w:p>
        </w:tc>
        <w:tc>
          <w:tcPr>
            <w:tcW w:w="991" w:type="pct"/>
            <w:tcBorders>
              <w:bottom w:val="single" w:sz="4" w:space="0" w:color="auto"/>
            </w:tcBorders>
          </w:tcPr>
          <w:p w:rsidR="00B41718" w:rsidRPr="002E35F8" w:rsidRDefault="00B41718" w:rsidP="001A7723">
            <w:pPr>
              <w:ind w:left="110" w:hanging="110"/>
              <w:jc w:val="right"/>
              <w:rPr>
                <w:rFonts w:ascii="Arial" w:hAnsi="Arial" w:cs="Arial"/>
                <w:b/>
                <w:bCs/>
              </w:rPr>
            </w:pPr>
            <w:r w:rsidRPr="002E35F8">
              <w:rPr>
                <w:rFonts w:ascii="Arial" w:hAnsi="Arial" w:cs="Arial"/>
                <w:b/>
                <w:bCs/>
              </w:rPr>
              <w:t>Selling space</w:t>
            </w:r>
          </w:p>
          <w:p w:rsidR="00B41718" w:rsidRPr="009618C2" w:rsidRDefault="00B41718" w:rsidP="001A7723">
            <w:pPr>
              <w:ind w:left="110" w:hanging="110"/>
              <w:jc w:val="right"/>
              <w:rPr>
                <w:rFonts w:ascii="Arial" w:hAnsi="Arial" w:cs="Arial"/>
                <w:b/>
                <w:bCs/>
              </w:rPr>
            </w:pPr>
            <w:r w:rsidRPr="009618C2">
              <w:rPr>
                <w:rFonts w:ascii="Arial" w:hAnsi="Arial" w:cs="Arial"/>
                <w:b/>
                <w:bCs/>
              </w:rPr>
              <w:t>(000s</w:t>
            </w:r>
            <w:r>
              <w:rPr>
                <w:rFonts w:ascii="Arial" w:hAnsi="Arial" w:cs="Arial"/>
                <w:b/>
                <w:bCs/>
              </w:rPr>
              <w:t xml:space="preserve"> </w:t>
            </w:r>
            <w:r w:rsidRPr="009618C2">
              <w:rPr>
                <w:rFonts w:ascii="Arial" w:hAnsi="Arial" w:cs="Arial"/>
                <w:b/>
                <w:bCs/>
              </w:rPr>
              <w:t>m</w:t>
            </w:r>
            <w:r w:rsidRPr="002B5745">
              <w:rPr>
                <w:rFonts w:ascii="Arial" w:hAnsi="Arial" w:cs="Arial"/>
                <w:b/>
                <w:bCs/>
                <w:vertAlign w:val="superscript"/>
              </w:rPr>
              <w:t>2</w:t>
            </w:r>
            <w:r w:rsidRPr="009618C2">
              <w:rPr>
                <w:rFonts w:ascii="Arial" w:hAnsi="Arial" w:cs="Arial"/>
                <w:b/>
                <w:bCs/>
              </w:rPr>
              <w:t>)</w:t>
            </w:r>
          </w:p>
        </w:tc>
        <w:tc>
          <w:tcPr>
            <w:tcW w:w="1059" w:type="pct"/>
            <w:tcBorders>
              <w:bottom w:val="single" w:sz="4" w:space="0" w:color="auto"/>
            </w:tcBorders>
          </w:tcPr>
          <w:p w:rsidR="00B41718" w:rsidRPr="002E35F8" w:rsidRDefault="00B41718" w:rsidP="001A7723">
            <w:pPr>
              <w:ind w:left="110" w:hanging="110"/>
              <w:jc w:val="right"/>
              <w:rPr>
                <w:rFonts w:ascii="Arial" w:hAnsi="Arial" w:cs="Arial"/>
                <w:b/>
                <w:bCs/>
              </w:rPr>
            </w:pPr>
            <w:r w:rsidRPr="002E35F8">
              <w:rPr>
                <w:rFonts w:ascii="Arial" w:hAnsi="Arial" w:cs="Arial"/>
                <w:b/>
                <w:bCs/>
              </w:rPr>
              <w:t>Employees</w:t>
            </w:r>
          </w:p>
          <w:p w:rsidR="00B41718" w:rsidRPr="009618C2" w:rsidRDefault="00B41718" w:rsidP="001A7723">
            <w:pPr>
              <w:ind w:left="110" w:hanging="110"/>
              <w:jc w:val="right"/>
              <w:rPr>
                <w:rFonts w:ascii="Arial" w:hAnsi="Arial" w:cs="Arial"/>
                <w:b/>
                <w:bCs/>
              </w:rPr>
            </w:pPr>
            <w:r w:rsidRPr="009618C2">
              <w:rPr>
                <w:rFonts w:ascii="Arial" w:hAnsi="Arial" w:cs="Arial"/>
                <w:b/>
                <w:bCs/>
              </w:rPr>
              <w:t>(FTE)</w:t>
            </w:r>
          </w:p>
        </w:tc>
      </w:tr>
      <w:tr w:rsidR="00B41718" w:rsidRPr="00271E01" w:rsidTr="00B155FE">
        <w:tc>
          <w:tcPr>
            <w:tcW w:w="1653" w:type="pct"/>
            <w:tcBorders>
              <w:top w:val="single" w:sz="4" w:space="0" w:color="auto"/>
            </w:tcBorders>
          </w:tcPr>
          <w:p w:rsidR="00B41718" w:rsidRPr="00271E01" w:rsidRDefault="00B41718" w:rsidP="001A7723">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1297" w:type="pct"/>
            <w:tcBorders>
              <w:top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103</w:t>
            </w:r>
          </w:p>
        </w:tc>
        <w:tc>
          <w:tcPr>
            <w:tcW w:w="991" w:type="pct"/>
            <w:tcBorders>
              <w:top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1,114</w:t>
            </w:r>
          </w:p>
        </w:tc>
        <w:tc>
          <w:tcPr>
            <w:tcW w:w="1059" w:type="pct"/>
            <w:tcBorders>
              <w:top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12,170</w:t>
            </w:r>
          </w:p>
        </w:tc>
      </w:tr>
      <w:tr w:rsidR="00B41718" w:rsidRPr="00271E01" w:rsidTr="00B155FE">
        <w:tc>
          <w:tcPr>
            <w:tcW w:w="1653" w:type="pct"/>
            <w:tcBorders>
              <w:bottom w:val="single" w:sz="4" w:space="0" w:color="auto"/>
            </w:tcBorders>
          </w:tcPr>
          <w:p w:rsidR="00B41718" w:rsidRPr="00271E01" w:rsidRDefault="00B41718" w:rsidP="001A7723">
            <w:pPr>
              <w:ind w:left="110" w:hanging="110"/>
              <w:jc w:val="left"/>
              <w:rPr>
                <w:rFonts w:ascii="Arial" w:hAnsi="Arial" w:cs="Arial"/>
              </w:rPr>
            </w:pPr>
            <w:r w:rsidRPr="00271E01">
              <w:rPr>
                <w:rFonts w:ascii="Arial" w:hAnsi="Arial" w:cs="Arial"/>
              </w:rPr>
              <w:t>Brico Dépôt</w:t>
            </w:r>
          </w:p>
        </w:tc>
        <w:tc>
          <w:tcPr>
            <w:tcW w:w="1297" w:type="pct"/>
            <w:tcBorders>
              <w:bottom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109</w:t>
            </w:r>
          </w:p>
        </w:tc>
        <w:tc>
          <w:tcPr>
            <w:tcW w:w="991" w:type="pct"/>
            <w:tcBorders>
              <w:bottom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608</w:t>
            </w:r>
          </w:p>
        </w:tc>
        <w:tc>
          <w:tcPr>
            <w:tcW w:w="1059" w:type="pct"/>
            <w:tcBorders>
              <w:bottom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6,909</w:t>
            </w:r>
          </w:p>
        </w:tc>
      </w:tr>
      <w:tr w:rsidR="00B41718" w:rsidRPr="00271E01" w:rsidTr="00B155FE">
        <w:tc>
          <w:tcPr>
            <w:tcW w:w="1653" w:type="pct"/>
            <w:tcBorders>
              <w:top w:val="single" w:sz="4" w:space="0" w:color="auto"/>
            </w:tcBorders>
          </w:tcPr>
          <w:p w:rsidR="00B41718" w:rsidRPr="00271E01" w:rsidRDefault="00B41718" w:rsidP="001A7723">
            <w:pPr>
              <w:ind w:left="110" w:hanging="110"/>
              <w:jc w:val="left"/>
              <w:rPr>
                <w:rFonts w:ascii="Arial" w:hAnsi="Arial" w:cs="Arial"/>
                <w:b/>
                <w:bCs/>
              </w:rPr>
            </w:pPr>
            <w:r w:rsidRPr="00271E01">
              <w:rPr>
                <w:rFonts w:ascii="Arial" w:hAnsi="Arial" w:cs="Arial"/>
                <w:b/>
                <w:bCs/>
              </w:rPr>
              <w:t>France</w:t>
            </w:r>
          </w:p>
        </w:tc>
        <w:tc>
          <w:tcPr>
            <w:tcW w:w="1297" w:type="pct"/>
            <w:tcBorders>
              <w:top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212</w:t>
            </w:r>
          </w:p>
        </w:tc>
        <w:tc>
          <w:tcPr>
            <w:tcW w:w="991" w:type="pct"/>
            <w:tcBorders>
              <w:top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1,722</w:t>
            </w:r>
          </w:p>
        </w:tc>
        <w:tc>
          <w:tcPr>
            <w:tcW w:w="1059" w:type="pct"/>
            <w:tcBorders>
              <w:top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19,079</w:t>
            </w:r>
          </w:p>
        </w:tc>
      </w:tr>
      <w:tr w:rsidR="00B41718" w:rsidRPr="00271E01" w:rsidTr="00B155FE">
        <w:tc>
          <w:tcPr>
            <w:tcW w:w="1653" w:type="pct"/>
          </w:tcPr>
          <w:p w:rsidR="00B41718" w:rsidRPr="00B155FE" w:rsidRDefault="00B41718" w:rsidP="00B155FE">
            <w:pPr>
              <w:ind w:left="110" w:hanging="110"/>
              <w:jc w:val="left"/>
              <w:rPr>
                <w:rFonts w:ascii="Arial" w:hAnsi="Arial" w:cs="Arial"/>
                <w:lang w:val="it-IT"/>
              </w:rPr>
            </w:pPr>
            <w:r w:rsidRPr="00B155FE">
              <w:rPr>
                <w:rFonts w:ascii="Arial" w:hAnsi="Arial" w:cs="Arial"/>
                <w:lang w:val="it-IT"/>
              </w:rPr>
              <w:t>B&amp;Q UK &amp; Ireland</w:t>
            </w:r>
          </w:p>
        </w:tc>
        <w:tc>
          <w:tcPr>
            <w:tcW w:w="1297" w:type="pct"/>
          </w:tcPr>
          <w:p w:rsidR="00B41718" w:rsidRPr="00B155FE" w:rsidRDefault="00D4652C" w:rsidP="00B155FE">
            <w:pPr>
              <w:ind w:left="110" w:hanging="110"/>
              <w:jc w:val="right"/>
              <w:rPr>
                <w:rFonts w:ascii="Arial" w:hAnsi="Arial" w:cs="Arial"/>
                <w:lang w:val="it-IT"/>
              </w:rPr>
            </w:pPr>
            <w:r>
              <w:rPr>
                <w:rFonts w:ascii="Arial" w:hAnsi="Arial" w:cs="Arial"/>
                <w:lang w:val="it-IT"/>
              </w:rPr>
              <w:t>359</w:t>
            </w:r>
          </w:p>
        </w:tc>
        <w:tc>
          <w:tcPr>
            <w:tcW w:w="991" w:type="pct"/>
          </w:tcPr>
          <w:p w:rsidR="00B41718" w:rsidRPr="00B155FE" w:rsidRDefault="00D4652C" w:rsidP="00B155FE">
            <w:pPr>
              <w:ind w:left="110" w:hanging="110"/>
              <w:jc w:val="right"/>
              <w:rPr>
                <w:rFonts w:ascii="Arial" w:hAnsi="Arial" w:cs="Arial"/>
                <w:lang w:val="it-IT"/>
              </w:rPr>
            </w:pPr>
            <w:r>
              <w:rPr>
                <w:rFonts w:ascii="Arial" w:hAnsi="Arial" w:cs="Arial"/>
                <w:lang w:val="it-IT"/>
              </w:rPr>
              <w:t>2,568</w:t>
            </w:r>
          </w:p>
        </w:tc>
        <w:tc>
          <w:tcPr>
            <w:tcW w:w="1059" w:type="pct"/>
          </w:tcPr>
          <w:p w:rsidR="00B41718" w:rsidRPr="00B155FE" w:rsidRDefault="00D4652C" w:rsidP="00B155FE">
            <w:pPr>
              <w:ind w:left="110" w:hanging="110"/>
              <w:jc w:val="right"/>
              <w:rPr>
                <w:rFonts w:ascii="Arial" w:hAnsi="Arial" w:cs="Arial"/>
                <w:lang w:val="it-IT"/>
              </w:rPr>
            </w:pPr>
            <w:r>
              <w:rPr>
                <w:rFonts w:ascii="Arial" w:hAnsi="Arial" w:cs="Arial"/>
                <w:lang w:val="it-IT"/>
              </w:rPr>
              <w:t>21,030</w:t>
            </w:r>
          </w:p>
        </w:tc>
      </w:tr>
      <w:tr w:rsidR="00B41718" w:rsidRPr="00271E01" w:rsidTr="00B155FE">
        <w:tc>
          <w:tcPr>
            <w:tcW w:w="1653" w:type="pct"/>
            <w:tcBorders>
              <w:bottom w:val="single" w:sz="4" w:space="0" w:color="auto"/>
            </w:tcBorders>
          </w:tcPr>
          <w:p w:rsidR="00B41718" w:rsidRPr="00271E01" w:rsidRDefault="00B41718" w:rsidP="001A7723">
            <w:pPr>
              <w:ind w:left="110" w:hanging="110"/>
              <w:jc w:val="left"/>
              <w:rPr>
                <w:rFonts w:ascii="Arial" w:hAnsi="Arial" w:cs="Arial"/>
              </w:rPr>
            </w:pPr>
            <w:r w:rsidRPr="00271E01">
              <w:rPr>
                <w:rFonts w:ascii="Arial" w:hAnsi="Arial" w:cs="Arial"/>
              </w:rPr>
              <w:t xml:space="preserve">Screwfix </w:t>
            </w:r>
          </w:p>
        </w:tc>
        <w:tc>
          <w:tcPr>
            <w:tcW w:w="1297" w:type="pct"/>
            <w:tcBorders>
              <w:bottom w:val="single" w:sz="4" w:space="0" w:color="auto"/>
            </w:tcBorders>
          </w:tcPr>
          <w:p w:rsidR="00B41718" w:rsidRPr="00271E01" w:rsidRDefault="00D4652C" w:rsidP="001A7723">
            <w:pPr>
              <w:ind w:left="110" w:hanging="110"/>
              <w:jc w:val="right"/>
              <w:rPr>
                <w:rFonts w:ascii="Arial" w:hAnsi="Arial" w:cs="Arial"/>
              </w:rPr>
            </w:pPr>
            <w:r>
              <w:rPr>
                <w:rFonts w:ascii="Arial" w:hAnsi="Arial" w:cs="Arial"/>
              </w:rPr>
              <w:t>34</w:t>
            </w:r>
            <w:r w:rsidR="001B7C80">
              <w:rPr>
                <w:rFonts w:ascii="Arial" w:hAnsi="Arial" w:cs="Arial"/>
              </w:rPr>
              <w:t>4</w:t>
            </w:r>
          </w:p>
        </w:tc>
        <w:tc>
          <w:tcPr>
            <w:tcW w:w="991" w:type="pct"/>
            <w:tcBorders>
              <w:bottom w:val="single" w:sz="4" w:space="0" w:color="auto"/>
            </w:tcBorders>
            <w:shd w:val="clear" w:color="auto" w:fill="auto"/>
          </w:tcPr>
          <w:p w:rsidR="00B41718" w:rsidRPr="00271E01" w:rsidRDefault="00D4652C" w:rsidP="001A7723">
            <w:pPr>
              <w:ind w:left="110" w:hanging="110"/>
              <w:jc w:val="right"/>
              <w:rPr>
                <w:rFonts w:ascii="Arial" w:hAnsi="Arial" w:cs="Arial"/>
              </w:rPr>
            </w:pPr>
            <w:r>
              <w:rPr>
                <w:rFonts w:ascii="Arial" w:hAnsi="Arial" w:cs="Arial"/>
              </w:rPr>
              <w:t>23</w:t>
            </w:r>
          </w:p>
        </w:tc>
        <w:tc>
          <w:tcPr>
            <w:tcW w:w="1059" w:type="pct"/>
            <w:tcBorders>
              <w:bottom w:val="single" w:sz="4" w:space="0" w:color="auto"/>
            </w:tcBorders>
          </w:tcPr>
          <w:p w:rsidR="00B41718" w:rsidRPr="00271E01" w:rsidRDefault="00A72A2E" w:rsidP="001A7723">
            <w:pPr>
              <w:ind w:left="110" w:hanging="110"/>
              <w:jc w:val="right"/>
              <w:rPr>
                <w:rFonts w:ascii="Arial" w:hAnsi="Arial" w:cs="Arial"/>
              </w:rPr>
            </w:pPr>
            <w:r>
              <w:rPr>
                <w:rFonts w:ascii="Arial" w:hAnsi="Arial" w:cs="Arial"/>
              </w:rPr>
              <w:t>4,482</w:t>
            </w:r>
          </w:p>
        </w:tc>
      </w:tr>
      <w:tr w:rsidR="00B41718" w:rsidRPr="00271E01" w:rsidTr="00226B46">
        <w:trPr>
          <w:trHeight w:val="113"/>
        </w:trPr>
        <w:tc>
          <w:tcPr>
            <w:tcW w:w="1653" w:type="pct"/>
            <w:tcBorders>
              <w:top w:val="single" w:sz="4" w:space="0" w:color="auto"/>
            </w:tcBorders>
          </w:tcPr>
          <w:p w:rsidR="00B41718" w:rsidRPr="00271E01" w:rsidRDefault="00B41718" w:rsidP="001A7723">
            <w:pPr>
              <w:ind w:left="110" w:hanging="110"/>
              <w:jc w:val="left"/>
              <w:rPr>
                <w:rFonts w:ascii="Arial" w:hAnsi="Arial" w:cs="Arial"/>
                <w:b/>
                <w:bCs/>
              </w:rPr>
            </w:pPr>
            <w:r w:rsidRPr="00271E01">
              <w:rPr>
                <w:rFonts w:ascii="Arial" w:hAnsi="Arial" w:cs="Arial"/>
                <w:b/>
                <w:bCs/>
              </w:rPr>
              <w:t>UK &amp; Ireland</w:t>
            </w:r>
          </w:p>
        </w:tc>
        <w:tc>
          <w:tcPr>
            <w:tcW w:w="1297" w:type="pct"/>
            <w:tcBorders>
              <w:top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70</w:t>
            </w:r>
            <w:r w:rsidR="001B7C80">
              <w:rPr>
                <w:rFonts w:ascii="Arial" w:hAnsi="Arial" w:cs="Arial"/>
                <w:b/>
                <w:bCs/>
              </w:rPr>
              <w:t>3</w:t>
            </w:r>
          </w:p>
        </w:tc>
        <w:tc>
          <w:tcPr>
            <w:tcW w:w="991" w:type="pct"/>
            <w:tcBorders>
              <w:top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2,591</w:t>
            </w:r>
          </w:p>
        </w:tc>
        <w:tc>
          <w:tcPr>
            <w:tcW w:w="1059" w:type="pct"/>
            <w:tcBorders>
              <w:top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25,512</w:t>
            </w:r>
          </w:p>
        </w:tc>
      </w:tr>
      <w:tr w:rsidR="00B41718" w:rsidRPr="00271E01" w:rsidTr="00B155FE">
        <w:trPr>
          <w:trHeight w:val="228"/>
        </w:trPr>
        <w:tc>
          <w:tcPr>
            <w:tcW w:w="1653" w:type="pct"/>
          </w:tcPr>
          <w:p w:rsidR="00B41718" w:rsidRPr="00B155FE" w:rsidRDefault="00B41718" w:rsidP="00B155FE">
            <w:pPr>
              <w:ind w:left="110" w:hanging="110"/>
              <w:jc w:val="left"/>
              <w:rPr>
                <w:rFonts w:ascii="Arial" w:hAnsi="Arial" w:cs="Arial"/>
                <w:lang w:val="it-IT"/>
              </w:rPr>
            </w:pPr>
            <w:r w:rsidRPr="00B155FE">
              <w:rPr>
                <w:rFonts w:ascii="Arial" w:hAnsi="Arial" w:cs="Arial"/>
                <w:lang w:val="it-IT"/>
              </w:rPr>
              <w:t>Poland</w:t>
            </w:r>
          </w:p>
        </w:tc>
        <w:tc>
          <w:tcPr>
            <w:tcW w:w="1297" w:type="pct"/>
          </w:tcPr>
          <w:p w:rsidR="00B41718" w:rsidRPr="00B155FE" w:rsidRDefault="00D4652C" w:rsidP="00B155FE">
            <w:pPr>
              <w:ind w:left="110" w:hanging="110"/>
              <w:jc w:val="right"/>
              <w:rPr>
                <w:rFonts w:ascii="Arial" w:hAnsi="Arial" w:cs="Arial"/>
                <w:lang w:val="it-IT"/>
              </w:rPr>
            </w:pPr>
            <w:r>
              <w:rPr>
                <w:rFonts w:ascii="Arial" w:hAnsi="Arial" w:cs="Arial"/>
                <w:lang w:val="it-IT"/>
              </w:rPr>
              <w:t>72</w:t>
            </w:r>
          </w:p>
        </w:tc>
        <w:tc>
          <w:tcPr>
            <w:tcW w:w="991" w:type="pct"/>
          </w:tcPr>
          <w:p w:rsidR="00B41718" w:rsidRPr="00B155FE" w:rsidRDefault="00D4652C" w:rsidP="00B155FE">
            <w:pPr>
              <w:ind w:left="110" w:hanging="110"/>
              <w:jc w:val="right"/>
              <w:rPr>
                <w:rFonts w:ascii="Arial" w:hAnsi="Arial" w:cs="Arial"/>
                <w:lang w:val="it-IT"/>
              </w:rPr>
            </w:pPr>
            <w:r>
              <w:rPr>
                <w:rFonts w:ascii="Arial" w:hAnsi="Arial" w:cs="Arial"/>
                <w:lang w:val="it-IT"/>
              </w:rPr>
              <w:t>530</w:t>
            </w:r>
          </w:p>
        </w:tc>
        <w:tc>
          <w:tcPr>
            <w:tcW w:w="1059" w:type="pct"/>
          </w:tcPr>
          <w:p w:rsidR="00B41718" w:rsidRPr="00B155FE" w:rsidRDefault="00D4652C" w:rsidP="00B155FE">
            <w:pPr>
              <w:ind w:left="110" w:hanging="110"/>
              <w:jc w:val="right"/>
              <w:rPr>
                <w:rFonts w:ascii="Arial" w:hAnsi="Arial" w:cs="Arial"/>
                <w:lang w:val="it-IT"/>
              </w:rPr>
            </w:pPr>
            <w:r>
              <w:rPr>
                <w:rFonts w:ascii="Arial" w:hAnsi="Arial" w:cs="Arial"/>
                <w:lang w:val="it-IT"/>
              </w:rPr>
              <w:t>10,380</w:t>
            </w:r>
          </w:p>
        </w:tc>
      </w:tr>
      <w:tr w:rsidR="00B41718" w:rsidRPr="00271E01" w:rsidTr="00B155FE">
        <w:tc>
          <w:tcPr>
            <w:tcW w:w="1653" w:type="pct"/>
          </w:tcPr>
          <w:p w:rsidR="00B41718" w:rsidRPr="00271E01" w:rsidRDefault="00B41718" w:rsidP="001A7723">
            <w:pPr>
              <w:ind w:left="110" w:hanging="110"/>
              <w:jc w:val="left"/>
              <w:rPr>
                <w:rFonts w:ascii="Arial" w:hAnsi="Arial" w:cs="Arial"/>
                <w:lang w:val="it-IT"/>
              </w:rPr>
            </w:pPr>
            <w:r w:rsidRPr="00271E01">
              <w:rPr>
                <w:rFonts w:ascii="Arial" w:hAnsi="Arial" w:cs="Arial"/>
                <w:lang w:val="it-IT"/>
              </w:rPr>
              <w:t>China</w:t>
            </w:r>
          </w:p>
        </w:tc>
        <w:tc>
          <w:tcPr>
            <w:tcW w:w="1297" w:type="pct"/>
          </w:tcPr>
          <w:p w:rsidR="00B41718" w:rsidRPr="00271E01" w:rsidRDefault="00D4652C" w:rsidP="001A7723">
            <w:pPr>
              <w:ind w:left="110" w:hanging="110"/>
              <w:jc w:val="right"/>
              <w:rPr>
                <w:rFonts w:ascii="Arial" w:hAnsi="Arial" w:cs="Arial"/>
              </w:rPr>
            </w:pPr>
            <w:r>
              <w:rPr>
                <w:rFonts w:ascii="Arial" w:hAnsi="Arial" w:cs="Arial"/>
              </w:rPr>
              <w:t>39</w:t>
            </w:r>
          </w:p>
        </w:tc>
        <w:tc>
          <w:tcPr>
            <w:tcW w:w="991" w:type="pct"/>
          </w:tcPr>
          <w:p w:rsidR="00B41718" w:rsidRPr="00271E01" w:rsidRDefault="00D4652C" w:rsidP="001A7723">
            <w:pPr>
              <w:ind w:left="110" w:hanging="110"/>
              <w:jc w:val="right"/>
              <w:rPr>
                <w:rFonts w:ascii="Arial" w:hAnsi="Arial" w:cs="Arial"/>
              </w:rPr>
            </w:pPr>
            <w:r>
              <w:rPr>
                <w:rFonts w:ascii="Arial" w:hAnsi="Arial" w:cs="Arial"/>
              </w:rPr>
              <w:t>319</w:t>
            </w:r>
          </w:p>
        </w:tc>
        <w:tc>
          <w:tcPr>
            <w:tcW w:w="1059" w:type="pct"/>
          </w:tcPr>
          <w:p w:rsidR="00B41718" w:rsidRPr="00271E01" w:rsidRDefault="00D4652C" w:rsidP="001A7723">
            <w:pPr>
              <w:ind w:left="110" w:hanging="110"/>
              <w:jc w:val="right"/>
              <w:rPr>
                <w:rFonts w:ascii="Arial" w:hAnsi="Arial" w:cs="Arial"/>
              </w:rPr>
            </w:pPr>
            <w:r>
              <w:rPr>
                <w:rFonts w:ascii="Arial" w:hAnsi="Arial" w:cs="Arial"/>
              </w:rPr>
              <w:t>3,778</w:t>
            </w:r>
          </w:p>
        </w:tc>
      </w:tr>
      <w:tr w:rsidR="002B5745" w:rsidRPr="00271E01" w:rsidTr="00B155FE">
        <w:tc>
          <w:tcPr>
            <w:tcW w:w="1653" w:type="pct"/>
          </w:tcPr>
          <w:p w:rsidR="002B5745" w:rsidRPr="00271E01" w:rsidRDefault="00B0325F" w:rsidP="001A7723">
            <w:pPr>
              <w:ind w:left="110" w:hanging="110"/>
              <w:jc w:val="left"/>
              <w:rPr>
                <w:rFonts w:ascii="Arial" w:hAnsi="Arial" w:cs="Arial"/>
                <w:lang w:val="it-IT"/>
              </w:rPr>
            </w:pPr>
            <w:r>
              <w:rPr>
                <w:rFonts w:ascii="Arial" w:hAnsi="Arial" w:cs="Arial"/>
                <w:lang w:val="it-IT"/>
              </w:rPr>
              <w:t>Russia</w:t>
            </w:r>
          </w:p>
        </w:tc>
        <w:tc>
          <w:tcPr>
            <w:tcW w:w="1297" w:type="pct"/>
          </w:tcPr>
          <w:p w:rsidR="002B5745" w:rsidRPr="00271E01" w:rsidRDefault="00D4652C" w:rsidP="001A7723">
            <w:pPr>
              <w:ind w:left="110" w:hanging="110"/>
              <w:jc w:val="right"/>
              <w:rPr>
                <w:rFonts w:ascii="Arial" w:hAnsi="Arial" w:cs="Arial"/>
              </w:rPr>
            </w:pPr>
            <w:r>
              <w:rPr>
                <w:rFonts w:ascii="Arial" w:hAnsi="Arial" w:cs="Arial"/>
              </w:rPr>
              <w:t>20</w:t>
            </w:r>
          </w:p>
        </w:tc>
        <w:tc>
          <w:tcPr>
            <w:tcW w:w="991" w:type="pct"/>
          </w:tcPr>
          <w:p w:rsidR="002B5745" w:rsidRPr="00271E01" w:rsidRDefault="00D4652C" w:rsidP="001A7723">
            <w:pPr>
              <w:ind w:left="110" w:hanging="110"/>
              <w:jc w:val="right"/>
              <w:rPr>
                <w:rFonts w:ascii="Arial" w:hAnsi="Arial" w:cs="Arial"/>
              </w:rPr>
            </w:pPr>
            <w:r>
              <w:rPr>
                <w:rFonts w:ascii="Arial" w:hAnsi="Arial" w:cs="Arial"/>
              </w:rPr>
              <w:t>185</w:t>
            </w:r>
          </w:p>
        </w:tc>
        <w:tc>
          <w:tcPr>
            <w:tcW w:w="1059" w:type="pct"/>
          </w:tcPr>
          <w:p w:rsidR="002B5745" w:rsidRPr="00271E01" w:rsidRDefault="00D4652C" w:rsidP="001A7723">
            <w:pPr>
              <w:ind w:left="110" w:hanging="110"/>
              <w:jc w:val="right"/>
              <w:rPr>
                <w:rFonts w:ascii="Arial" w:hAnsi="Arial" w:cs="Arial"/>
              </w:rPr>
            </w:pPr>
            <w:r>
              <w:rPr>
                <w:rFonts w:ascii="Arial" w:hAnsi="Arial" w:cs="Arial"/>
              </w:rPr>
              <w:t>2,630</w:t>
            </w:r>
          </w:p>
        </w:tc>
      </w:tr>
      <w:tr w:rsidR="00B41718" w:rsidRPr="00271E01" w:rsidTr="00B155FE">
        <w:tc>
          <w:tcPr>
            <w:tcW w:w="1653" w:type="pct"/>
          </w:tcPr>
          <w:p w:rsidR="00B41718" w:rsidRPr="00271E01" w:rsidRDefault="00B0325F" w:rsidP="001A7723">
            <w:pPr>
              <w:ind w:left="110" w:hanging="110"/>
              <w:jc w:val="left"/>
              <w:rPr>
                <w:rFonts w:ascii="Arial" w:hAnsi="Arial" w:cs="Arial"/>
                <w:lang w:val="it-IT"/>
              </w:rPr>
            </w:pPr>
            <w:r>
              <w:rPr>
                <w:rFonts w:ascii="Arial" w:hAnsi="Arial" w:cs="Arial"/>
                <w:lang w:val="it-IT"/>
              </w:rPr>
              <w:t>Romania</w:t>
            </w:r>
          </w:p>
        </w:tc>
        <w:tc>
          <w:tcPr>
            <w:tcW w:w="1297" w:type="pct"/>
          </w:tcPr>
          <w:p w:rsidR="00B41718" w:rsidRPr="00271E01" w:rsidRDefault="00D4652C" w:rsidP="001A7723">
            <w:pPr>
              <w:ind w:left="110" w:hanging="110"/>
              <w:jc w:val="right"/>
              <w:rPr>
                <w:rFonts w:ascii="Arial" w:hAnsi="Arial" w:cs="Arial"/>
              </w:rPr>
            </w:pPr>
            <w:r>
              <w:rPr>
                <w:rFonts w:ascii="Arial" w:hAnsi="Arial" w:cs="Arial"/>
              </w:rPr>
              <w:t>15</w:t>
            </w:r>
          </w:p>
        </w:tc>
        <w:tc>
          <w:tcPr>
            <w:tcW w:w="991" w:type="pct"/>
          </w:tcPr>
          <w:p w:rsidR="00B41718" w:rsidRPr="00271E01" w:rsidRDefault="00D4652C" w:rsidP="001A7723">
            <w:pPr>
              <w:ind w:left="110" w:hanging="110"/>
              <w:jc w:val="right"/>
              <w:rPr>
                <w:rFonts w:ascii="Arial" w:hAnsi="Arial" w:cs="Arial"/>
              </w:rPr>
            </w:pPr>
            <w:r>
              <w:rPr>
                <w:rFonts w:ascii="Arial" w:hAnsi="Arial" w:cs="Arial"/>
              </w:rPr>
              <w:t>156</w:t>
            </w:r>
          </w:p>
        </w:tc>
        <w:tc>
          <w:tcPr>
            <w:tcW w:w="1059" w:type="pct"/>
          </w:tcPr>
          <w:p w:rsidR="00B41718" w:rsidRDefault="00D4652C" w:rsidP="001A7723">
            <w:pPr>
              <w:ind w:left="110" w:hanging="110"/>
              <w:jc w:val="right"/>
              <w:rPr>
                <w:rFonts w:ascii="Arial" w:hAnsi="Arial" w:cs="Arial"/>
              </w:rPr>
            </w:pPr>
            <w:r>
              <w:rPr>
                <w:rFonts w:ascii="Arial" w:hAnsi="Arial" w:cs="Arial"/>
              </w:rPr>
              <w:t>970</w:t>
            </w:r>
          </w:p>
        </w:tc>
      </w:tr>
      <w:tr w:rsidR="00B41718" w:rsidRPr="00271E01" w:rsidTr="00B155FE">
        <w:tc>
          <w:tcPr>
            <w:tcW w:w="1653" w:type="pct"/>
          </w:tcPr>
          <w:p w:rsidR="00B41718" w:rsidRDefault="002B5745" w:rsidP="001A7723">
            <w:pPr>
              <w:ind w:left="110" w:hanging="110"/>
              <w:jc w:val="left"/>
              <w:rPr>
                <w:rFonts w:ascii="Arial" w:hAnsi="Arial" w:cs="Arial"/>
                <w:lang w:val="it-IT"/>
              </w:rPr>
            </w:pPr>
            <w:r>
              <w:rPr>
                <w:rFonts w:ascii="Arial" w:hAnsi="Arial" w:cs="Arial"/>
                <w:lang w:val="it-IT"/>
              </w:rPr>
              <w:t>Spain</w:t>
            </w:r>
          </w:p>
        </w:tc>
        <w:tc>
          <w:tcPr>
            <w:tcW w:w="1297" w:type="pct"/>
          </w:tcPr>
          <w:p w:rsidR="00B41718" w:rsidRDefault="00D4652C" w:rsidP="001A7723">
            <w:pPr>
              <w:ind w:left="110" w:hanging="110"/>
              <w:jc w:val="right"/>
              <w:rPr>
                <w:rFonts w:ascii="Arial" w:hAnsi="Arial" w:cs="Arial"/>
              </w:rPr>
            </w:pPr>
            <w:r>
              <w:rPr>
                <w:rFonts w:ascii="Arial" w:hAnsi="Arial" w:cs="Arial"/>
              </w:rPr>
              <w:t>27</w:t>
            </w:r>
          </w:p>
        </w:tc>
        <w:tc>
          <w:tcPr>
            <w:tcW w:w="991" w:type="pct"/>
          </w:tcPr>
          <w:p w:rsidR="00B41718" w:rsidRDefault="00D4652C" w:rsidP="001A7723">
            <w:pPr>
              <w:ind w:left="110" w:hanging="110"/>
              <w:jc w:val="right"/>
              <w:rPr>
                <w:rFonts w:ascii="Arial" w:hAnsi="Arial" w:cs="Arial"/>
              </w:rPr>
            </w:pPr>
            <w:r>
              <w:rPr>
                <w:rFonts w:ascii="Arial" w:hAnsi="Arial" w:cs="Arial"/>
              </w:rPr>
              <w:t>162</w:t>
            </w:r>
          </w:p>
        </w:tc>
        <w:tc>
          <w:tcPr>
            <w:tcW w:w="1059" w:type="pct"/>
          </w:tcPr>
          <w:p w:rsidR="00B41718" w:rsidRDefault="00D4652C" w:rsidP="001A7723">
            <w:pPr>
              <w:ind w:left="110" w:hanging="110"/>
              <w:jc w:val="right"/>
              <w:rPr>
                <w:rFonts w:ascii="Arial" w:hAnsi="Arial" w:cs="Arial"/>
              </w:rPr>
            </w:pPr>
            <w:r>
              <w:rPr>
                <w:rFonts w:ascii="Arial" w:hAnsi="Arial" w:cs="Arial"/>
              </w:rPr>
              <w:t>1,488</w:t>
            </w:r>
          </w:p>
        </w:tc>
      </w:tr>
      <w:tr w:rsidR="00B41718" w:rsidRPr="00271E01" w:rsidTr="00B155FE">
        <w:tc>
          <w:tcPr>
            <w:tcW w:w="1653" w:type="pct"/>
            <w:tcBorders>
              <w:bottom w:val="single" w:sz="4" w:space="0" w:color="auto"/>
            </w:tcBorders>
          </w:tcPr>
          <w:p w:rsidR="00B41718" w:rsidRPr="00271E01" w:rsidRDefault="00B41718" w:rsidP="001A7723">
            <w:pPr>
              <w:jc w:val="left"/>
              <w:rPr>
                <w:rFonts w:ascii="Arial" w:hAnsi="Arial" w:cs="Arial"/>
                <w:lang w:val="it-IT"/>
              </w:rPr>
            </w:pPr>
            <w:r w:rsidRPr="00271E01">
              <w:rPr>
                <w:rFonts w:ascii="Arial" w:hAnsi="Arial" w:cs="Arial"/>
                <w:lang w:val="it-IT"/>
              </w:rPr>
              <w:t>Turkey JV</w:t>
            </w:r>
          </w:p>
        </w:tc>
        <w:tc>
          <w:tcPr>
            <w:tcW w:w="1297" w:type="pct"/>
            <w:tcBorders>
              <w:bottom w:val="single" w:sz="4" w:space="0" w:color="auto"/>
            </w:tcBorders>
          </w:tcPr>
          <w:p w:rsidR="00B41718" w:rsidRPr="00271E01" w:rsidRDefault="00D4652C" w:rsidP="001A7723">
            <w:pPr>
              <w:ind w:left="110" w:hanging="110"/>
              <w:jc w:val="right"/>
              <w:rPr>
                <w:rFonts w:ascii="Arial" w:hAnsi="Arial" w:cs="Arial"/>
                <w:lang w:val="it-IT"/>
              </w:rPr>
            </w:pPr>
            <w:r>
              <w:rPr>
                <w:rFonts w:ascii="Arial" w:hAnsi="Arial" w:cs="Arial"/>
                <w:lang w:val="it-IT"/>
              </w:rPr>
              <w:t>46</w:t>
            </w:r>
          </w:p>
        </w:tc>
        <w:tc>
          <w:tcPr>
            <w:tcW w:w="991" w:type="pct"/>
            <w:tcBorders>
              <w:bottom w:val="single" w:sz="4" w:space="0" w:color="auto"/>
            </w:tcBorders>
          </w:tcPr>
          <w:p w:rsidR="00B41718" w:rsidRPr="00271E01" w:rsidRDefault="00D4652C" w:rsidP="001A7723">
            <w:pPr>
              <w:ind w:left="110" w:hanging="110"/>
              <w:jc w:val="right"/>
              <w:rPr>
                <w:rFonts w:ascii="Arial" w:hAnsi="Arial" w:cs="Arial"/>
                <w:lang w:val="it-IT"/>
              </w:rPr>
            </w:pPr>
            <w:r>
              <w:rPr>
                <w:rFonts w:ascii="Arial" w:hAnsi="Arial" w:cs="Arial"/>
                <w:lang w:val="it-IT"/>
              </w:rPr>
              <w:t>223</w:t>
            </w:r>
          </w:p>
        </w:tc>
        <w:tc>
          <w:tcPr>
            <w:tcW w:w="1059" w:type="pct"/>
            <w:tcBorders>
              <w:bottom w:val="single" w:sz="4" w:space="0" w:color="auto"/>
            </w:tcBorders>
          </w:tcPr>
          <w:p w:rsidR="00B41718" w:rsidRPr="00271E01" w:rsidRDefault="00D4652C" w:rsidP="001A7723">
            <w:pPr>
              <w:ind w:left="110" w:hanging="110"/>
              <w:jc w:val="right"/>
              <w:rPr>
                <w:rFonts w:ascii="Arial" w:hAnsi="Arial" w:cs="Arial"/>
                <w:lang w:val="it-IT"/>
              </w:rPr>
            </w:pPr>
            <w:r>
              <w:rPr>
                <w:rFonts w:ascii="Arial" w:hAnsi="Arial" w:cs="Arial"/>
                <w:lang w:val="it-IT"/>
              </w:rPr>
              <w:t>3,454</w:t>
            </w:r>
          </w:p>
        </w:tc>
      </w:tr>
      <w:tr w:rsidR="00B41718" w:rsidRPr="00271E01" w:rsidTr="00B155FE">
        <w:tc>
          <w:tcPr>
            <w:tcW w:w="1653" w:type="pct"/>
            <w:tcBorders>
              <w:top w:val="single" w:sz="4" w:space="0" w:color="auto"/>
              <w:bottom w:val="single" w:sz="4" w:space="0" w:color="auto"/>
            </w:tcBorders>
          </w:tcPr>
          <w:p w:rsidR="00B41718" w:rsidRPr="00271E01" w:rsidRDefault="00B41718" w:rsidP="001A7723">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1297" w:type="pct"/>
            <w:tcBorders>
              <w:top w:val="single" w:sz="4" w:space="0" w:color="auto"/>
              <w:bottom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219</w:t>
            </w:r>
          </w:p>
        </w:tc>
        <w:tc>
          <w:tcPr>
            <w:tcW w:w="991" w:type="pct"/>
            <w:tcBorders>
              <w:top w:val="single" w:sz="4" w:space="0" w:color="auto"/>
              <w:bottom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1,575</w:t>
            </w:r>
          </w:p>
        </w:tc>
        <w:tc>
          <w:tcPr>
            <w:tcW w:w="1059" w:type="pct"/>
            <w:tcBorders>
              <w:top w:val="single" w:sz="4" w:space="0" w:color="auto"/>
              <w:bottom w:val="single" w:sz="4" w:space="0" w:color="auto"/>
            </w:tcBorders>
          </w:tcPr>
          <w:p w:rsidR="00B41718" w:rsidRPr="00271E01" w:rsidRDefault="00D4652C" w:rsidP="001A7723">
            <w:pPr>
              <w:ind w:left="110" w:hanging="110"/>
              <w:jc w:val="right"/>
              <w:rPr>
                <w:rFonts w:ascii="Arial" w:hAnsi="Arial" w:cs="Arial"/>
                <w:b/>
                <w:bCs/>
              </w:rPr>
            </w:pPr>
            <w:r>
              <w:rPr>
                <w:rFonts w:ascii="Arial" w:hAnsi="Arial" w:cs="Arial"/>
                <w:b/>
                <w:bCs/>
              </w:rPr>
              <w:t>22,700</w:t>
            </w:r>
          </w:p>
        </w:tc>
      </w:tr>
      <w:tr w:rsidR="00B41718" w:rsidRPr="00271E01" w:rsidTr="00B155FE">
        <w:trPr>
          <w:trHeight w:val="154"/>
        </w:trPr>
        <w:tc>
          <w:tcPr>
            <w:tcW w:w="1653" w:type="pct"/>
            <w:tcBorders>
              <w:top w:val="single" w:sz="4" w:space="0" w:color="auto"/>
              <w:bottom w:val="single" w:sz="4" w:space="0" w:color="auto"/>
            </w:tcBorders>
          </w:tcPr>
          <w:p w:rsidR="00B41718" w:rsidRPr="00271E01" w:rsidRDefault="00B41718" w:rsidP="001A7723">
            <w:pPr>
              <w:spacing w:before="100"/>
              <w:ind w:left="108" w:hanging="108"/>
              <w:jc w:val="left"/>
              <w:rPr>
                <w:rFonts w:ascii="Arial" w:hAnsi="Arial" w:cs="Arial"/>
                <w:b/>
                <w:bCs/>
              </w:rPr>
            </w:pPr>
            <w:r>
              <w:rPr>
                <w:rFonts w:ascii="Arial" w:hAnsi="Arial" w:cs="Arial"/>
                <w:b/>
                <w:bCs/>
              </w:rPr>
              <w:t>Total Group</w:t>
            </w:r>
          </w:p>
        </w:tc>
        <w:tc>
          <w:tcPr>
            <w:tcW w:w="1297" w:type="pct"/>
            <w:tcBorders>
              <w:top w:val="single" w:sz="4" w:space="0" w:color="auto"/>
              <w:bottom w:val="single" w:sz="4" w:space="0" w:color="auto"/>
            </w:tcBorders>
          </w:tcPr>
          <w:p w:rsidR="00B41718" w:rsidRPr="00271E01" w:rsidRDefault="00D4652C" w:rsidP="001A7723">
            <w:pPr>
              <w:spacing w:before="100"/>
              <w:ind w:left="108" w:hanging="108"/>
              <w:jc w:val="right"/>
              <w:rPr>
                <w:rFonts w:ascii="Arial" w:hAnsi="Arial" w:cs="Arial"/>
                <w:b/>
                <w:bCs/>
              </w:rPr>
            </w:pPr>
            <w:r>
              <w:rPr>
                <w:rFonts w:ascii="Arial" w:hAnsi="Arial" w:cs="Arial"/>
                <w:b/>
                <w:bCs/>
              </w:rPr>
              <w:t>1,13</w:t>
            </w:r>
            <w:r w:rsidR="001B7C80">
              <w:rPr>
                <w:rFonts w:ascii="Arial" w:hAnsi="Arial" w:cs="Arial"/>
                <w:b/>
                <w:bCs/>
              </w:rPr>
              <w:t>4</w:t>
            </w:r>
          </w:p>
        </w:tc>
        <w:tc>
          <w:tcPr>
            <w:tcW w:w="991" w:type="pct"/>
            <w:tcBorders>
              <w:top w:val="single" w:sz="4" w:space="0" w:color="auto"/>
              <w:bottom w:val="single" w:sz="4" w:space="0" w:color="auto"/>
            </w:tcBorders>
          </w:tcPr>
          <w:p w:rsidR="00B41718" w:rsidRPr="00271E01" w:rsidRDefault="00D4652C" w:rsidP="001A7723">
            <w:pPr>
              <w:spacing w:before="100"/>
              <w:ind w:left="108" w:hanging="108"/>
              <w:jc w:val="right"/>
              <w:rPr>
                <w:rFonts w:ascii="Arial" w:hAnsi="Arial" w:cs="Arial"/>
                <w:b/>
                <w:bCs/>
              </w:rPr>
            </w:pPr>
            <w:r>
              <w:rPr>
                <w:rFonts w:ascii="Arial" w:hAnsi="Arial" w:cs="Arial"/>
                <w:b/>
                <w:bCs/>
              </w:rPr>
              <w:t>5,888</w:t>
            </w:r>
          </w:p>
        </w:tc>
        <w:tc>
          <w:tcPr>
            <w:tcW w:w="1059" w:type="pct"/>
            <w:tcBorders>
              <w:top w:val="single" w:sz="4" w:space="0" w:color="auto"/>
              <w:bottom w:val="single" w:sz="4" w:space="0" w:color="auto"/>
            </w:tcBorders>
          </w:tcPr>
          <w:p w:rsidR="00B41718" w:rsidRPr="00271E01" w:rsidRDefault="00D4652C" w:rsidP="001A7723">
            <w:pPr>
              <w:spacing w:before="100"/>
              <w:ind w:left="108" w:hanging="108"/>
              <w:jc w:val="right"/>
              <w:rPr>
                <w:rFonts w:ascii="Arial" w:hAnsi="Arial" w:cs="Arial"/>
                <w:b/>
                <w:bCs/>
              </w:rPr>
            </w:pPr>
            <w:r>
              <w:rPr>
                <w:rFonts w:ascii="Arial" w:hAnsi="Arial" w:cs="Arial"/>
                <w:b/>
                <w:bCs/>
              </w:rPr>
              <w:t>67,291</w:t>
            </w:r>
          </w:p>
        </w:tc>
      </w:tr>
    </w:tbl>
    <w:p w:rsidR="00B41718" w:rsidRDefault="00B41718" w:rsidP="00B41718">
      <w:pPr>
        <w:jc w:val="left"/>
        <w:rPr>
          <w:rFonts w:ascii="Arial" w:hAnsi="Arial" w:cs="Arial"/>
          <w:b/>
          <w:bCs/>
        </w:rPr>
      </w:pPr>
    </w:p>
    <w:p w:rsidR="00F87DB3" w:rsidRDefault="00F87DB3" w:rsidP="00B41718">
      <w:pPr>
        <w:jc w:val="left"/>
        <w:rPr>
          <w:rFonts w:ascii="Arial" w:hAnsi="Arial" w:cs="Arial"/>
          <w:b/>
          <w:bCs/>
        </w:rPr>
      </w:pPr>
    </w:p>
    <w:tbl>
      <w:tblPr>
        <w:tblW w:w="8613" w:type="dxa"/>
        <w:tblLayout w:type="fixed"/>
        <w:tblLook w:val="01E0" w:firstRow="1" w:lastRow="1" w:firstColumn="1" w:lastColumn="1" w:noHBand="0" w:noVBand="0"/>
      </w:tblPr>
      <w:tblGrid>
        <w:gridCol w:w="2376"/>
        <w:gridCol w:w="1276"/>
        <w:gridCol w:w="1418"/>
        <w:gridCol w:w="1701"/>
        <w:gridCol w:w="1842"/>
      </w:tblGrid>
      <w:tr w:rsidR="00B41718" w:rsidRPr="00271E01" w:rsidTr="00283AEC">
        <w:trPr>
          <w:trHeight w:val="567"/>
        </w:trPr>
        <w:tc>
          <w:tcPr>
            <w:tcW w:w="2376" w:type="dxa"/>
            <w:tcBorders>
              <w:bottom w:val="single" w:sz="4" w:space="0" w:color="auto"/>
            </w:tcBorders>
          </w:tcPr>
          <w:p w:rsidR="00B41718" w:rsidRPr="00B0325F" w:rsidRDefault="00B0325F" w:rsidP="001A7723">
            <w:pPr>
              <w:jc w:val="left"/>
              <w:rPr>
                <w:rFonts w:ascii="Arial" w:hAnsi="Arial" w:cs="Arial"/>
              </w:rPr>
            </w:pPr>
            <w:r w:rsidRPr="00B0325F">
              <w:rPr>
                <w:rFonts w:ascii="Arial" w:hAnsi="Arial" w:cs="Arial"/>
              </w:rPr>
              <w:t xml:space="preserve">13 weeks </w:t>
            </w:r>
            <w:r>
              <w:rPr>
                <w:rFonts w:ascii="Arial" w:hAnsi="Arial" w:cs="Arial"/>
              </w:rPr>
              <w:t>ended</w:t>
            </w:r>
            <w:r w:rsidRPr="00B0325F">
              <w:rPr>
                <w:rFonts w:ascii="Arial" w:hAnsi="Arial" w:cs="Arial"/>
              </w:rPr>
              <w:t xml:space="preserve"> 3 May 2014</w:t>
            </w:r>
          </w:p>
        </w:tc>
        <w:tc>
          <w:tcPr>
            <w:tcW w:w="1276" w:type="dxa"/>
            <w:tcBorders>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 xml:space="preserve">Sales </w:t>
            </w:r>
          </w:p>
        </w:tc>
        <w:tc>
          <w:tcPr>
            <w:tcW w:w="1418" w:type="dxa"/>
            <w:tcBorders>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 Total</w:t>
            </w:r>
          </w:p>
          <w:p w:rsidR="00B41718" w:rsidRPr="00271E01" w:rsidRDefault="00B41718" w:rsidP="001A7723">
            <w:pPr>
              <w:jc w:val="right"/>
              <w:rPr>
                <w:rFonts w:ascii="Arial" w:hAnsi="Arial" w:cs="Arial"/>
                <w:b/>
              </w:rPr>
            </w:pPr>
            <w:r w:rsidRPr="00271E01">
              <w:rPr>
                <w:rFonts w:ascii="Arial" w:hAnsi="Arial" w:cs="Arial"/>
                <w:b/>
              </w:rPr>
              <w:t>Change</w:t>
            </w:r>
          </w:p>
        </w:tc>
        <w:tc>
          <w:tcPr>
            <w:tcW w:w="1701" w:type="dxa"/>
            <w:tcBorders>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 Total Change</w:t>
            </w:r>
          </w:p>
        </w:tc>
        <w:tc>
          <w:tcPr>
            <w:tcW w:w="1842" w:type="dxa"/>
            <w:tcBorders>
              <w:bottom w:val="single" w:sz="4" w:space="0" w:color="auto"/>
            </w:tcBorders>
          </w:tcPr>
          <w:p w:rsidR="00283AEC" w:rsidRDefault="00B41718" w:rsidP="001A7723">
            <w:pPr>
              <w:jc w:val="right"/>
              <w:rPr>
                <w:rFonts w:ascii="Arial" w:hAnsi="Arial" w:cs="Arial"/>
                <w:b/>
              </w:rPr>
            </w:pPr>
            <w:r w:rsidRPr="00271E01">
              <w:rPr>
                <w:rFonts w:ascii="Arial" w:hAnsi="Arial" w:cs="Arial"/>
                <w:b/>
              </w:rPr>
              <w:t xml:space="preserve">% LFL </w:t>
            </w:r>
          </w:p>
          <w:p w:rsidR="00B41718" w:rsidRPr="00271E01" w:rsidRDefault="00B41718" w:rsidP="001A7723">
            <w:pPr>
              <w:jc w:val="right"/>
              <w:rPr>
                <w:rFonts w:ascii="Arial" w:hAnsi="Arial" w:cs="Arial"/>
                <w:b/>
              </w:rPr>
            </w:pPr>
            <w:r w:rsidRPr="00271E01">
              <w:rPr>
                <w:rFonts w:ascii="Arial" w:hAnsi="Arial" w:cs="Arial"/>
                <w:b/>
              </w:rPr>
              <w:t>Change</w:t>
            </w:r>
          </w:p>
        </w:tc>
      </w:tr>
      <w:tr w:rsidR="00B41718" w:rsidRPr="00271E01" w:rsidTr="00283AEC">
        <w:trPr>
          <w:trHeight w:val="567"/>
        </w:trPr>
        <w:tc>
          <w:tcPr>
            <w:tcW w:w="2376" w:type="dxa"/>
            <w:tcBorders>
              <w:top w:val="single" w:sz="4" w:space="0" w:color="auto"/>
              <w:bottom w:val="single" w:sz="4" w:space="0" w:color="auto"/>
            </w:tcBorders>
          </w:tcPr>
          <w:p w:rsidR="00B41718" w:rsidRPr="00271E01" w:rsidRDefault="00B41718" w:rsidP="001A7723">
            <w:pPr>
              <w:jc w:val="right"/>
              <w:rPr>
                <w:rFonts w:ascii="Arial" w:hAnsi="Arial" w:cs="Arial"/>
              </w:rPr>
            </w:pPr>
          </w:p>
        </w:tc>
        <w:tc>
          <w:tcPr>
            <w:tcW w:w="1276" w:type="dxa"/>
            <w:tcBorders>
              <w:top w:val="single" w:sz="4" w:space="0" w:color="auto"/>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£m</w:t>
            </w:r>
          </w:p>
          <w:p w:rsidR="00B41718" w:rsidRPr="00271E01" w:rsidRDefault="00B163B3" w:rsidP="00B155FE">
            <w:pPr>
              <w:jc w:val="right"/>
              <w:rPr>
                <w:rFonts w:ascii="Arial" w:hAnsi="Arial" w:cs="Arial"/>
                <w:b/>
              </w:rPr>
            </w:pPr>
            <w:r>
              <w:rPr>
                <w:rFonts w:ascii="Arial" w:hAnsi="Arial" w:cs="Arial"/>
                <w:b/>
              </w:rPr>
              <w:t>2014</w:t>
            </w:r>
            <w:r w:rsidR="00B41718" w:rsidRPr="00271E01">
              <w:rPr>
                <w:rFonts w:ascii="Arial" w:hAnsi="Arial" w:cs="Arial"/>
                <w:b/>
              </w:rPr>
              <w:t>/1</w:t>
            </w:r>
            <w:r>
              <w:rPr>
                <w:rFonts w:ascii="Arial" w:hAnsi="Arial" w:cs="Arial"/>
                <w:b/>
              </w:rPr>
              <w:t>5</w:t>
            </w:r>
          </w:p>
        </w:tc>
        <w:tc>
          <w:tcPr>
            <w:tcW w:w="1418" w:type="dxa"/>
            <w:tcBorders>
              <w:top w:val="single" w:sz="4" w:space="0" w:color="auto"/>
              <w:bottom w:val="single" w:sz="4" w:space="0" w:color="auto"/>
            </w:tcBorders>
          </w:tcPr>
          <w:p w:rsidR="00B41718" w:rsidRPr="00271E01" w:rsidRDefault="00B41718" w:rsidP="001A7723">
            <w:pPr>
              <w:jc w:val="right"/>
              <w:rPr>
                <w:rFonts w:ascii="Arial" w:hAnsi="Arial" w:cs="Arial"/>
              </w:rPr>
            </w:pPr>
            <w:r w:rsidRPr="00271E01">
              <w:rPr>
                <w:rFonts w:ascii="Arial" w:hAnsi="Arial" w:cs="Arial"/>
                <w:b/>
              </w:rPr>
              <w:t>Reported</w:t>
            </w:r>
          </w:p>
        </w:tc>
        <w:tc>
          <w:tcPr>
            <w:tcW w:w="1701" w:type="dxa"/>
            <w:tcBorders>
              <w:top w:val="single" w:sz="4" w:space="0" w:color="auto"/>
              <w:bottom w:val="single" w:sz="4" w:space="0" w:color="auto"/>
            </w:tcBorders>
          </w:tcPr>
          <w:p w:rsidR="00B41718" w:rsidRPr="00271E01" w:rsidRDefault="00B41718" w:rsidP="001A7723">
            <w:pPr>
              <w:jc w:val="right"/>
              <w:rPr>
                <w:rFonts w:ascii="Arial" w:hAnsi="Arial" w:cs="Arial"/>
                <w:b/>
                <w:vertAlign w:val="superscript"/>
              </w:rPr>
            </w:pPr>
            <w:r w:rsidRPr="00271E01">
              <w:rPr>
                <w:rFonts w:ascii="Arial" w:hAnsi="Arial" w:cs="Arial"/>
                <w:b/>
              </w:rPr>
              <w:t>Constant currenc</w:t>
            </w:r>
            <w:r>
              <w:rPr>
                <w:rFonts w:ascii="Arial" w:hAnsi="Arial" w:cs="Arial"/>
                <w:b/>
              </w:rPr>
              <w:t>y</w:t>
            </w:r>
          </w:p>
        </w:tc>
        <w:tc>
          <w:tcPr>
            <w:tcW w:w="1842" w:type="dxa"/>
            <w:tcBorders>
              <w:top w:val="single" w:sz="4" w:space="0" w:color="auto"/>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Constant currency</w:t>
            </w:r>
          </w:p>
        </w:tc>
      </w:tr>
      <w:tr w:rsidR="00416962" w:rsidRPr="00271E01" w:rsidTr="00D46204">
        <w:trPr>
          <w:trHeight w:hRule="exact" w:val="257"/>
        </w:trPr>
        <w:tc>
          <w:tcPr>
            <w:tcW w:w="2376" w:type="dxa"/>
            <w:tcBorders>
              <w:top w:val="single" w:sz="4" w:space="0" w:color="auto"/>
            </w:tcBorders>
          </w:tcPr>
          <w:p w:rsidR="00416962" w:rsidRPr="00271E01" w:rsidRDefault="00416962" w:rsidP="00416962">
            <w:pPr>
              <w:rPr>
                <w:rFonts w:ascii="Arial" w:hAnsi="Arial" w:cs="Arial"/>
              </w:rPr>
            </w:pPr>
            <w:r w:rsidRPr="00B155FE">
              <w:rPr>
                <w:rFonts w:ascii="Arial" w:hAnsi="Arial" w:cs="Arial"/>
                <w:lang w:val="it-IT"/>
              </w:rPr>
              <w:t>Castorama</w:t>
            </w:r>
          </w:p>
        </w:tc>
        <w:tc>
          <w:tcPr>
            <w:tcW w:w="1276" w:type="dxa"/>
            <w:tcBorders>
              <w:top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593</w:t>
            </w:r>
          </w:p>
        </w:tc>
        <w:tc>
          <w:tcPr>
            <w:tcW w:w="1418" w:type="dxa"/>
            <w:tcBorders>
              <w:top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(0.7)%</w:t>
            </w:r>
          </w:p>
        </w:tc>
        <w:tc>
          <w:tcPr>
            <w:tcW w:w="1701" w:type="dxa"/>
            <w:tcBorders>
              <w:top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2.8%</w:t>
            </w:r>
          </w:p>
        </w:tc>
        <w:tc>
          <w:tcPr>
            <w:tcW w:w="1842" w:type="dxa"/>
            <w:tcBorders>
              <w:top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2.0%</w:t>
            </w:r>
          </w:p>
        </w:tc>
      </w:tr>
      <w:tr w:rsidR="00416962" w:rsidRPr="00271E01" w:rsidTr="00D46204">
        <w:trPr>
          <w:trHeight w:hRule="exact" w:val="257"/>
        </w:trPr>
        <w:tc>
          <w:tcPr>
            <w:tcW w:w="2376" w:type="dxa"/>
            <w:tcBorders>
              <w:bottom w:val="single" w:sz="4" w:space="0" w:color="auto"/>
            </w:tcBorders>
          </w:tcPr>
          <w:p w:rsidR="00416962" w:rsidRPr="00271E01" w:rsidRDefault="00416962" w:rsidP="00416962">
            <w:pPr>
              <w:rPr>
                <w:rFonts w:ascii="Arial" w:hAnsi="Arial" w:cs="Arial"/>
              </w:rPr>
            </w:pPr>
            <w:r w:rsidRPr="00271E01">
              <w:rPr>
                <w:rFonts w:ascii="Arial" w:hAnsi="Arial" w:cs="Arial"/>
              </w:rPr>
              <w:t>Brico Dépôt</w:t>
            </w:r>
          </w:p>
        </w:tc>
        <w:tc>
          <w:tcPr>
            <w:tcW w:w="1276"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484</w:t>
            </w:r>
          </w:p>
        </w:tc>
        <w:tc>
          <w:tcPr>
            <w:tcW w:w="1418"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0.4%</w:t>
            </w:r>
          </w:p>
        </w:tc>
        <w:tc>
          <w:tcPr>
            <w:tcW w:w="1701"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4.0%</w:t>
            </w:r>
          </w:p>
        </w:tc>
        <w:tc>
          <w:tcPr>
            <w:tcW w:w="1842"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1.2%</w:t>
            </w:r>
          </w:p>
        </w:tc>
      </w:tr>
      <w:tr w:rsidR="00416962" w:rsidRPr="00C24B32" w:rsidTr="00D46204">
        <w:tc>
          <w:tcPr>
            <w:tcW w:w="2376" w:type="dxa"/>
            <w:tcBorders>
              <w:top w:val="single" w:sz="4" w:space="0" w:color="auto"/>
            </w:tcBorders>
          </w:tcPr>
          <w:p w:rsidR="00416962" w:rsidRPr="00C24B32" w:rsidRDefault="00416962" w:rsidP="00416962">
            <w:pPr>
              <w:rPr>
                <w:rFonts w:ascii="Arial" w:hAnsi="Arial" w:cs="Arial"/>
                <w:b/>
              </w:rPr>
            </w:pPr>
            <w:r w:rsidRPr="00C24B32">
              <w:rPr>
                <w:rFonts w:ascii="Arial" w:hAnsi="Arial" w:cs="Arial"/>
                <w:b/>
              </w:rPr>
              <w:t xml:space="preserve">France </w:t>
            </w:r>
          </w:p>
        </w:tc>
        <w:tc>
          <w:tcPr>
            <w:tcW w:w="1276" w:type="dxa"/>
            <w:tcBorders>
              <w:top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1,077</w:t>
            </w:r>
          </w:p>
        </w:tc>
        <w:tc>
          <w:tcPr>
            <w:tcW w:w="1418" w:type="dxa"/>
            <w:tcBorders>
              <w:top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(0.2)%</w:t>
            </w:r>
          </w:p>
        </w:tc>
        <w:tc>
          <w:tcPr>
            <w:tcW w:w="1701" w:type="dxa"/>
            <w:tcBorders>
              <w:top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3.3%</w:t>
            </w:r>
          </w:p>
        </w:tc>
        <w:tc>
          <w:tcPr>
            <w:tcW w:w="1842" w:type="dxa"/>
            <w:tcBorders>
              <w:top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1.6%</w:t>
            </w:r>
          </w:p>
        </w:tc>
      </w:tr>
      <w:tr w:rsidR="00416962" w:rsidRPr="00271E01" w:rsidTr="00D46204">
        <w:tc>
          <w:tcPr>
            <w:tcW w:w="2376" w:type="dxa"/>
          </w:tcPr>
          <w:p w:rsidR="00416962" w:rsidRPr="00B155FE" w:rsidRDefault="00416962" w:rsidP="00416962">
            <w:pPr>
              <w:ind w:left="110" w:hanging="110"/>
              <w:jc w:val="left"/>
              <w:rPr>
                <w:rFonts w:ascii="Arial" w:hAnsi="Arial" w:cs="Arial"/>
                <w:lang w:val="it-IT"/>
              </w:rPr>
            </w:pPr>
            <w:r w:rsidRPr="00B155FE">
              <w:rPr>
                <w:rFonts w:ascii="Arial" w:hAnsi="Arial" w:cs="Arial"/>
                <w:lang w:val="it-IT"/>
              </w:rPr>
              <w:t xml:space="preserve">B&amp;Q UK &amp; Ireland </w:t>
            </w:r>
          </w:p>
        </w:tc>
        <w:tc>
          <w:tcPr>
            <w:tcW w:w="1276"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1,008</w:t>
            </w:r>
          </w:p>
        </w:tc>
        <w:tc>
          <w:tcPr>
            <w:tcW w:w="1418"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10.4%</w:t>
            </w:r>
          </w:p>
        </w:tc>
        <w:tc>
          <w:tcPr>
            <w:tcW w:w="1701"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10.5%</w:t>
            </w:r>
          </w:p>
        </w:tc>
        <w:tc>
          <w:tcPr>
            <w:tcW w:w="1842"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9.7%</w:t>
            </w:r>
          </w:p>
        </w:tc>
      </w:tr>
      <w:tr w:rsidR="00416962" w:rsidRPr="00271E01" w:rsidTr="00D46204">
        <w:tc>
          <w:tcPr>
            <w:tcW w:w="2376" w:type="dxa"/>
            <w:tcBorders>
              <w:bottom w:val="single" w:sz="4" w:space="0" w:color="auto"/>
            </w:tcBorders>
          </w:tcPr>
          <w:p w:rsidR="00416962" w:rsidRPr="00B155FE" w:rsidRDefault="00416962" w:rsidP="00416962">
            <w:pPr>
              <w:ind w:left="110" w:hanging="110"/>
              <w:jc w:val="left"/>
              <w:rPr>
                <w:rFonts w:ascii="Arial" w:hAnsi="Arial" w:cs="Arial"/>
                <w:lang w:val="it-IT"/>
              </w:rPr>
            </w:pPr>
            <w:r w:rsidRPr="00B155FE">
              <w:rPr>
                <w:rFonts w:ascii="Arial" w:hAnsi="Arial" w:cs="Arial"/>
                <w:lang w:val="it-IT"/>
              </w:rPr>
              <w:t>Screwfix</w:t>
            </w:r>
          </w:p>
        </w:tc>
        <w:tc>
          <w:tcPr>
            <w:tcW w:w="1276"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192</w:t>
            </w:r>
          </w:p>
        </w:tc>
        <w:tc>
          <w:tcPr>
            <w:tcW w:w="1418"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24.2%</w:t>
            </w:r>
          </w:p>
        </w:tc>
        <w:tc>
          <w:tcPr>
            <w:tcW w:w="1701"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24.2%</w:t>
            </w:r>
          </w:p>
        </w:tc>
        <w:tc>
          <w:tcPr>
            <w:tcW w:w="1842" w:type="dxa"/>
            <w:tcBorders>
              <w:bottom w:val="single" w:sz="4" w:space="0" w:color="auto"/>
            </w:tcBorders>
            <w:vAlign w:val="center"/>
          </w:tcPr>
          <w:p w:rsidR="00416962" w:rsidRPr="00416962" w:rsidRDefault="00416962" w:rsidP="00416962">
            <w:pPr>
              <w:ind w:left="110" w:hanging="110"/>
              <w:jc w:val="right"/>
              <w:rPr>
                <w:rFonts w:ascii="Arial" w:hAnsi="Arial" w:cs="Arial"/>
              </w:rPr>
            </w:pPr>
            <w:r w:rsidRPr="00416962">
              <w:rPr>
                <w:rFonts w:ascii="Arial" w:hAnsi="Arial" w:cs="Arial"/>
              </w:rPr>
              <w:t>1</w:t>
            </w:r>
            <w:r w:rsidR="00F63602">
              <w:rPr>
                <w:rFonts w:ascii="Arial" w:hAnsi="Arial" w:cs="Arial"/>
              </w:rPr>
              <w:t>2.0</w:t>
            </w:r>
            <w:r w:rsidRPr="00416962">
              <w:rPr>
                <w:rFonts w:ascii="Arial" w:hAnsi="Arial" w:cs="Arial"/>
              </w:rPr>
              <w:t>%</w:t>
            </w:r>
          </w:p>
        </w:tc>
      </w:tr>
      <w:tr w:rsidR="00416962" w:rsidRPr="00C24B32" w:rsidTr="00D46204">
        <w:tc>
          <w:tcPr>
            <w:tcW w:w="2376" w:type="dxa"/>
            <w:tcBorders>
              <w:top w:val="single" w:sz="4" w:space="0" w:color="auto"/>
            </w:tcBorders>
          </w:tcPr>
          <w:p w:rsidR="00416962" w:rsidRPr="00C24B32" w:rsidRDefault="00416962" w:rsidP="00416962">
            <w:pPr>
              <w:jc w:val="left"/>
              <w:rPr>
                <w:rFonts w:ascii="Arial" w:hAnsi="Arial" w:cs="Arial"/>
                <w:b/>
                <w:vertAlign w:val="superscript"/>
              </w:rPr>
            </w:pPr>
            <w:r w:rsidRPr="00C24B32">
              <w:rPr>
                <w:rFonts w:ascii="Arial" w:hAnsi="Arial" w:cs="Arial"/>
                <w:b/>
              </w:rPr>
              <w:t xml:space="preserve">UK &amp; Ireland </w:t>
            </w:r>
          </w:p>
        </w:tc>
        <w:tc>
          <w:tcPr>
            <w:tcW w:w="1276" w:type="dxa"/>
            <w:tcBorders>
              <w:top w:val="single" w:sz="4" w:space="0" w:color="auto"/>
            </w:tcBorders>
            <w:vAlign w:val="bottom"/>
          </w:tcPr>
          <w:p w:rsidR="00416962" w:rsidRPr="00416962" w:rsidRDefault="00416962" w:rsidP="00416962">
            <w:pPr>
              <w:ind w:left="110" w:hanging="110"/>
              <w:jc w:val="right"/>
              <w:rPr>
                <w:rFonts w:ascii="Arial" w:hAnsi="Arial" w:cs="Arial"/>
                <w:b/>
              </w:rPr>
            </w:pPr>
            <w:r w:rsidRPr="00416962">
              <w:rPr>
                <w:rFonts w:ascii="Arial" w:hAnsi="Arial" w:cs="Arial"/>
                <w:b/>
              </w:rPr>
              <w:t>1,200</w:t>
            </w:r>
          </w:p>
        </w:tc>
        <w:tc>
          <w:tcPr>
            <w:tcW w:w="1418" w:type="dxa"/>
            <w:tcBorders>
              <w:top w:val="single" w:sz="4" w:space="0" w:color="auto"/>
            </w:tcBorders>
            <w:vAlign w:val="bottom"/>
          </w:tcPr>
          <w:p w:rsidR="00416962" w:rsidRPr="00416962" w:rsidRDefault="00416962" w:rsidP="00416962">
            <w:pPr>
              <w:ind w:left="110" w:hanging="110"/>
              <w:jc w:val="right"/>
              <w:rPr>
                <w:rFonts w:ascii="Arial" w:hAnsi="Arial" w:cs="Arial"/>
                <w:b/>
              </w:rPr>
            </w:pPr>
            <w:r w:rsidRPr="00416962">
              <w:rPr>
                <w:rFonts w:ascii="Arial" w:hAnsi="Arial" w:cs="Arial"/>
                <w:b/>
              </w:rPr>
              <w:t>12.4%</w:t>
            </w:r>
          </w:p>
        </w:tc>
        <w:tc>
          <w:tcPr>
            <w:tcW w:w="1701" w:type="dxa"/>
            <w:tcBorders>
              <w:top w:val="single" w:sz="4" w:space="0" w:color="auto"/>
            </w:tcBorders>
            <w:vAlign w:val="bottom"/>
          </w:tcPr>
          <w:p w:rsidR="00416962" w:rsidRPr="00416962" w:rsidRDefault="00416962" w:rsidP="00416962">
            <w:pPr>
              <w:ind w:left="110" w:hanging="110"/>
              <w:jc w:val="right"/>
              <w:rPr>
                <w:rFonts w:ascii="Arial" w:hAnsi="Arial" w:cs="Arial"/>
                <w:b/>
              </w:rPr>
            </w:pPr>
            <w:r w:rsidRPr="00416962">
              <w:rPr>
                <w:rFonts w:ascii="Arial" w:hAnsi="Arial" w:cs="Arial"/>
                <w:b/>
              </w:rPr>
              <w:t>12.5%</w:t>
            </w:r>
          </w:p>
        </w:tc>
        <w:tc>
          <w:tcPr>
            <w:tcW w:w="1842" w:type="dxa"/>
            <w:tcBorders>
              <w:top w:val="single" w:sz="4" w:space="0" w:color="auto"/>
            </w:tcBorders>
            <w:vAlign w:val="bottom"/>
          </w:tcPr>
          <w:p w:rsidR="00416962" w:rsidRPr="00416962" w:rsidRDefault="00416962" w:rsidP="00416962">
            <w:pPr>
              <w:ind w:left="110" w:hanging="110"/>
              <w:jc w:val="right"/>
              <w:rPr>
                <w:rFonts w:ascii="Arial" w:hAnsi="Arial" w:cs="Arial"/>
                <w:b/>
              </w:rPr>
            </w:pPr>
            <w:r w:rsidRPr="00416962">
              <w:rPr>
                <w:rFonts w:ascii="Arial" w:hAnsi="Arial" w:cs="Arial"/>
                <w:b/>
              </w:rPr>
              <w:t>10.</w:t>
            </w:r>
            <w:r w:rsidR="00F63602">
              <w:rPr>
                <w:rFonts w:ascii="Arial" w:hAnsi="Arial" w:cs="Arial"/>
                <w:b/>
              </w:rPr>
              <w:t>1</w:t>
            </w:r>
            <w:r w:rsidRPr="00416962">
              <w:rPr>
                <w:rFonts w:ascii="Arial" w:hAnsi="Arial" w:cs="Arial"/>
                <w:b/>
              </w:rPr>
              <w:t>%</w:t>
            </w:r>
          </w:p>
        </w:tc>
      </w:tr>
      <w:tr w:rsidR="00416962" w:rsidRPr="00271E01" w:rsidTr="00D46204">
        <w:tc>
          <w:tcPr>
            <w:tcW w:w="2376" w:type="dxa"/>
          </w:tcPr>
          <w:p w:rsidR="00416962" w:rsidRPr="00271E01" w:rsidRDefault="00416962" w:rsidP="00416962">
            <w:pPr>
              <w:jc w:val="left"/>
              <w:rPr>
                <w:rFonts w:ascii="Arial" w:hAnsi="Arial" w:cs="Arial"/>
              </w:rPr>
            </w:pPr>
            <w:r w:rsidRPr="00271E01">
              <w:rPr>
                <w:rFonts w:ascii="Arial" w:hAnsi="Arial" w:cs="Arial"/>
              </w:rPr>
              <w:t>Poland</w:t>
            </w:r>
          </w:p>
        </w:tc>
        <w:tc>
          <w:tcPr>
            <w:tcW w:w="1276"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260</w:t>
            </w:r>
          </w:p>
        </w:tc>
        <w:tc>
          <w:tcPr>
            <w:tcW w:w="1418"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8.1%</w:t>
            </w:r>
          </w:p>
        </w:tc>
        <w:tc>
          <w:tcPr>
            <w:tcW w:w="1701"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12.9%</w:t>
            </w:r>
          </w:p>
        </w:tc>
        <w:tc>
          <w:tcPr>
            <w:tcW w:w="1842"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11.9%</w:t>
            </w:r>
          </w:p>
        </w:tc>
      </w:tr>
      <w:tr w:rsidR="00416962" w:rsidRPr="00271E01" w:rsidTr="00D46204">
        <w:tc>
          <w:tcPr>
            <w:tcW w:w="2376" w:type="dxa"/>
          </w:tcPr>
          <w:p w:rsidR="00416962" w:rsidRPr="00271E01" w:rsidRDefault="00416962" w:rsidP="00416962">
            <w:pPr>
              <w:jc w:val="left"/>
              <w:rPr>
                <w:rFonts w:ascii="Arial" w:hAnsi="Arial" w:cs="Arial"/>
              </w:rPr>
            </w:pPr>
            <w:r w:rsidRPr="00271E01">
              <w:rPr>
                <w:rFonts w:ascii="Arial" w:hAnsi="Arial" w:cs="Arial"/>
              </w:rPr>
              <w:t>China</w:t>
            </w:r>
          </w:p>
        </w:tc>
        <w:tc>
          <w:tcPr>
            <w:tcW w:w="1276"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68</w:t>
            </w:r>
          </w:p>
        </w:tc>
        <w:tc>
          <w:tcPr>
            <w:tcW w:w="1418"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(12.0)%</w:t>
            </w:r>
          </w:p>
        </w:tc>
        <w:tc>
          <w:tcPr>
            <w:tcW w:w="1701"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(5.0)%</w:t>
            </w:r>
          </w:p>
        </w:tc>
        <w:tc>
          <w:tcPr>
            <w:tcW w:w="1842"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(4.4)%</w:t>
            </w:r>
          </w:p>
        </w:tc>
      </w:tr>
      <w:tr w:rsidR="00416962" w:rsidRPr="00271E01" w:rsidTr="00D46204">
        <w:tc>
          <w:tcPr>
            <w:tcW w:w="2376" w:type="dxa"/>
          </w:tcPr>
          <w:p w:rsidR="00416962" w:rsidRPr="00271E01" w:rsidRDefault="00416962" w:rsidP="00416962">
            <w:pPr>
              <w:jc w:val="left"/>
              <w:rPr>
                <w:rFonts w:ascii="Arial" w:hAnsi="Arial" w:cs="Arial"/>
              </w:rPr>
            </w:pPr>
            <w:r>
              <w:rPr>
                <w:rFonts w:ascii="Arial" w:hAnsi="Arial" w:cs="Arial"/>
              </w:rPr>
              <w:t>Russia</w:t>
            </w:r>
            <w:r w:rsidRPr="00271E01">
              <w:rPr>
                <w:rFonts w:ascii="Arial" w:hAnsi="Arial" w:cs="Arial"/>
              </w:rPr>
              <w:t xml:space="preserve"> </w:t>
            </w:r>
          </w:p>
        </w:tc>
        <w:tc>
          <w:tcPr>
            <w:tcW w:w="1276"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82</w:t>
            </w:r>
          </w:p>
        </w:tc>
        <w:tc>
          <w:tcPr>
            <w:tcW w:w="1418"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(9.1)%</w:t>
            </w:r>
          </w:p>
        </w:tc>
        <w:tc>
          <w:tcPr>
            <w:tcW w:w="1701"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14.5%</w:t>
            </w:r>
          </w:p>
        </w:tc>
        <w:tc>
          <w:tcPr>
            <w:tcW w:w="1842"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11.0%</w:t>
            </w:r>
          </w:p>
        </w:tc>
      </w:tr>
      <w:tr w:rsidR="00416962" w:rsidRPr="00271E01" w:rsidTr="00D46204">
        <w:tc>
          <w:tcPr>
            <w:tcW w:w="2376" w:type="dxa"/>
          </w:tcPr>
          <w:p w:rsidR="00416962" w:rsidRPr="00271E01" w:rsidRDefault="00416962" w:rsidP="00416962">
            <w:pPr>
              <w:jc w:val="left"/>
              <w:rPr>
                <w:rFonts w:ascii="Arial" w:hAnsi="Arial" w:cs="Arial"/>
              </w:rPr>
            </w:pPr>
            <w:r>
              <w:rPr>
                <w:rFonts w:ascii="Arial" w:hAnsi="Arial" w:cs="Arial"/>
              </w:rPr>
              <w:t>Romania</w:t>
            </w:r>
          </w:p>
        </w:tc>
        <w:tc>
          <w:tcPr>
            <w:tcW w:w="1276"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16</w:t>
            </w:r>
          </w:p>
        </w:tc>
        <w:tc>
          <w:tcPr>
            <w:tcW w:w="1418"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n/a</w:t>
            </w:r>
            <w:r w:rsidRPr="00416962">
              <w:rPr>
                <w:rFonts w:ascii="Arial" w:hAnsi="Arial" w:cs="Arial"/>
                <w:i/>
                <w:vertAlign w:val="superscript"/>
              </w:rPr>
              <w:t>(</w:t>
            </w:r>
            <w:r w:rsidR="00135E15">
              <w:rPr>
                <w:rFonts w:ascii="Arial" w:hAnsi="Arial" w:cs="Arial"/>
                <w:i/>
                <w:vertAlign w:val="superscript"/>
              </w:rPr>
              <w:t>1</w:t>
            </w:r>
            <w:r w:rsidRPr="00416962">
              <w:rPr>
                <w:rFonts w:ascii="Arial" w:hAnsi="Arial" w:cs="Arial"/>
                <w:i/>
                <w:vertAlign w:val="superscript"/>
              </w:rPr>
              <w:t>)</w:t>
            </w:r>
          </w:p>
        </w:tc>
        <w:tc>
          <w:tcPr>
            <w:tcW w:w="1701"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n/a</w:t>
            </w:r>
            <w:r w:rsidRPr="005C1078">
              <w:rPr>
                <w:rFonts w:ascii="Arial" w:hAnsi="Arial" w:cs="Arial"/>
                <w:i/>
                <w:vertAlign w:val="superscript"/>
              </w:rPr>
              <w:t>(</w:t>
            </w:r>
            <w:r w:rsidR="00135E15">
              <w:rPr>
                <w:rFonts w:ascii="Arial" w:hAnsi="Arial" w:cs="Arial"/>
                <w:i/>
                <w:vertAlign w:val="superscript"/>
              </w:rPr>
              <w:t>1</w:t>
            </w:r>
            <w:r w:rsidRPr="005C1078">
              <w:rPr>
                <w:rFonts w:ascii="Arial" w:hAnsi="Arial" w:cs="Arial"/>
                <w:i/>
                <w:vertAlign w:val="superscript"/>
              </w:rPr>
              <w:t>)</w:t>
            </w:r>
          </w:p>
        </w:tc>
        <w:tc>
          <w:tcPr>
            <w:tcW w:w="1842"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n/a</w:t>
            </w:r>
            <w:r w:rsidRPr="005C1078">
              <w:rPr>
                <w:rFonts w:ascii="Arial" w:hAnsi="Arial" w:cs="Arial"/>
                <w:i/>
                <w:vertAlign w:val="superscript"/>
              </w:rPr>
              <w:t>(</w:t>
            </w:r>
            <w:r w:rsidR="00135E15">
              <w:rPr>
                <w:rFonts w:ascii="Arial" w:hAnsi="Arial" w:cs="Arial"/>
                <w:i/>
                <w:vertAlign w:val="superscript"/>
              </w:rPr>
              <w:t>1</w:t>
            </w:r>
            <w:r w:rsidRPr="005C1078">
              <w:rPr>
                <w:rFonts w:ascii="Arial" w:hAnsi="Arial" w:cs="Arial"/>
                <w:i/>
                <w:vertAlign w:val="superscript"/>
              </w:rPr>
              <w:t>)</w:t>
            </w:r>
          </w:p>
        </w:tc>
      </w:tr>
      <w:tr w:rsidR="00416962" w:rsidRPr="00271E01" w:rsidTr="00D46204">
        <w:tc>
          <w:tcPr>
            <w:tcW w:w="2376" w:type="dxa"/>
          </w:tcPr>
          <w:p w:rsidR="00416962" w:rsidRPr="00271E01" w:rsidRDefault="00416962" w:rsidP="00416962">
            <w:pPr>
              <w:jc w:val="left"/>
              <w:rPr>
                <w:rFonts w:ascii="Arial" w:hAnsi="Arial" w:cs="Arial"/>
              </w:rPr>
            </w:pPr>
            <w:r w:rsidRPr="00271E01">
              <w:rPr>
                <w:rFonts w:ascii="Arial" w:hAnsi="Arial" w:cs="Arial"/>
              </w:rPr>
              <w:t>Spain</w:t>
            </w:r>
          </w:p>
        </w:tc>
        <w:tc>
          <w:tcPr>
            <w:tcW w:w="1276"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80</w:t>
            </w:r>
          </w:p>
        </w:tc>
        <w:tc>
          <w:tcPr>
            <w:tcW w:w="1418"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18.2%</w:t>
            </w:r>
          </w:p>
        </w:tc>
        <w:tc>
          <w:tcPr>
            <w:tcW w:w="1701"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22.4%</w:t>
            </w:r>
          </w:p>
        </w:tc>
        <w:tc>
          <w:tcPr>
            <w:tcW w:w="1842" w:type="dxa"/>
            <w:vAlign w:val="center"/>
          </w:tcPr>
          <w:p w:rsidR="00416962" w:rsidRPr="00416962" w:rsidRDefault="00416962" w:rsidP="00416962">
            <w:pPr>
              <w:ind w:left="110" w:hanging="110"/>
              <w:jc w:val="right"/>
              <w:rPr>
                <w:rFonts w:ascii="Arial" w:hAnsi="Arial" w:cs="Arial"/>
              </w:rPr>
            </w:pPr>
            <w:r w:rsidRPr="00416962">
              <w:rPr>
                <w:rFonts w:ascii="Arial" w:hAnsi="Arial" w:cs="Arial"/>
              </w:rPr>
              <w:t>(3.7)%</w:t>
            </w:r>
          </w:p>
        </w:tc>
      </w:tr>
      <w:tr w:rsidR="00416962" w:rsidRPr="00C24B32" w:rsidTr="00B155FE">
        <w:tc>
          <w:tcPr>
            <w:tcW w:w="2376" w:type="dxa"/>
            <w:tcBorders>
              <w:top w:val="single" w:sz="4" w:space="0" w:color="auto"/>
              <w:bottom w:val="single" w:sz="4" w:space="0" w:color="auto"/>
            </w:tcBorders>
          </w:tcPr>
          <w:p w:rsidR="00416962" w:rsidRPr="00C24B32" w:rsidRDefault="00416962" w:rsidP="00416962">
            <w:pPr>
              <w:jc w:val="left"/>
              <w:rPr>
                <w:rFonts w:ascii="Arial" w:hAnsi="Arial" w:cs="Arial"/>
                <w:b/>
              </w:rPr>
            </w:pPr>
            <w:r w:rsidRPr="00C24B32">
              <w:rPr>
                <w:rFonts w:ascii="Arial" w:hAnsi="Arial" w:cs="Arial"/>
                <w:b/>
              </w:rPr>
              <w:t>Other International</w:t>
            </w:r>
            <w:r w:rsidRPr="00C24B32">
              <w:rPr>
                <w:rFonts w:ascii="Arial" w:hAnsi="Arial" w:cs="Arial"/>
                <w:b/>
                <w:vertAlign w:val="superscript"/>
              </w:rPr>
              <w:t xml:space="preserve"> </w:t>
            </w:r>
          </w:p>
        </w:tc>
        <w:tc>
          <w:tcPr>
            <w:tcW w:w="1276"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506</w:t>
            </w:r>
          </w:p>
        </w:tc>
        <w:tc>
          <w:tcPr>
            <w:tcW w:w="1418"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6.4%</w:t>
            </w:r>
          </w:p>
        </w:tc>
        <w:tc>
          <w:tcPr>
            <w:tcW w:w="1701"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15.4%</w:t>
            </w:r>
          </w:p>
        </w:tc>
        <w:tc>
          <w:tcPr>
            <w:tcW w:w="1842"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6.8%</w:t>
            </w:r>
          </w:p>
        </w:tc>
      </w:tr>
      <w:tr w:rsidR="00416962" w:rsidRPr="00271E01" w:rsidTr="00D46204">
        <w:tc>
          <w:tcPr>
            <w:tcW w:w="2376" w:type="dxa"/>
            <w:tcBorders>
              <w:top w:val="single" w:sz="4" w:space="0" w:color="auto"/>
              <w:bottom w:val="single" w:sz="4" w:space="0" w:color="auto"/>
            </w:tcBorders>
          </w:tcPr>
          <w:p w:rsidR="00416962" w:rsidRPr="00271E01" w:rsidRDefault="00416962" w:rsidP="00416962">
            <w:pPr>
              <w:spacing w:before="60"/>
              <w:rPr>
                <w:rFonts w:ascii="Arial" w:hAnsi="Arial" w:cs="Arial"/>
                <w:b/>
              </w:rPr>
            </w:pPr>
            <w:r w:rsidRPr="00271E01">
              <w:rPr>
                <w:rFonts w:ascii="Arial" w:hAnsi="Arial" w:cs="Arial"/>
                <w:b/>
              </w:rPr>
              <w:t>Total Group</w:t>
            </w:r>
          </w:p>
        </w:tc>
        <w:tc>
          <w:tcPr>
            <w:tcW w:w="1276"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2,783</w:t>
            </w:r>
          </w:p>
        </w:tc>
        <w:tc>
          <w:tcPr>
            <w:tcW w:w="1418"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6.1%</w:t>
            </w:r>
          </w:p>
        </w:tc>
        <w:tc>
          <w:tcPr>
            <w:tcW w:w="1701"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9.2%</w:t>
            </w:r>
          </w:p>
        </w:tc>
        <w:tc>
          <w:tcPr>
            <w:tcW w:w="1842" w:type="dxa"/>
            <w:tcBorders>
              <w:top w:val="single" w:sz="4" w:space="0" w:color="auto"/>
              <w:bottom w:val="single" w:sz="4" w:space="0" w:color="auto"/>
            </w:tcBorders>
            <w:vAlign w:val="center"/>
          </w:tcPr>
          <w:p w:rsidR="00416962" w:rsidRPr="00416962" w:rsidRDefault="00416962" w:rsidP="00416962">
            <w:pPr>
              <w:ind w:left="110" w:hanging="110"/>
              <w:jc w:val="right"/>
              <w:rPr>
                <w:rFonts w:ascii="Arial" w:hAnsi="Arial" w:cs="Arial"/>
                <w:b/>
              </w:rPr>
            </w:pPr>
            <w:r w:rsidRPr="00416962">
              <w:rPr>
                <w:rFonts w:ascii="Arial" w:hAnsi="Arial" w:cs="Arial"/>
                <w:b/>
              </w:rPr>
              <w:t>6.1%</w:t>
            </w:r>
          </w:p>
        </w:tc>
      </w:tr>
    </w:tbl>
    <w:p w:rsidR="00B41718" w:rsidRDefault="00B41718" w:rsidP="00B41718">
      <w:pPr>
        <w:tabs>
          <w:tab w:val="left" w:pos="357"/>
        </w:tabs>
        <w:ind w:right="-282"/>
        <w:jc w:val="left"/>
        <w:rPr>
          <w:rFonts w:ascii="Arial" w:hAnsi="Arial" w:cs="Arial"/>
          <w:i/>
          <w:iCs/>
          <w:sz w:val="18"/>
          <w:szCs w:val="18"/>
          <w:vertAlign w:val="superscript"/>
        </w:rPr>
      </w:pPr>
    </w:p>
    <w:p w:rsidR="00135E15" w:rsidRDefault="00135E15" w:rsidP="00135E15">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D97E00">
        <w:rPr>
          <w:rFonts w:ascii="Arial" w:hAnsi="Arial" w:cs="Arial"/>
          <w:i/>
          <w:iCs/>
          <w:sz w:val="18"/>
          <w:szCs w:val="18"/>
          <w:vertAlign w:val="superscript"/>
        </w:rPr>
        <w:t>)</w:t>
      </w:r>
      <w:r w:rsidRPr="001D39F7">
        <w:rPr>
          <w:rFonts w:ascii="Arial" w:hAnsi="Arial" w:cs="Arial"/>
          <w:i/>
          <w:iCs/>
          <w:sz w:val="18"/>
          <w:szCs w:val="18"/>
        </w:rPr>
        <w:t>Acquisition of 15 stores in Romania completed during Q2 2013/14 therefore not applicable.</w:t>
      </w: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Pr="00DB7164" w:rsidRDefault="00002AFB" w:rsidP="00B41718">
      <w:pPr>
        <w:tabs>
          <w:tab w:val="left" w:pos="357"/>
        </w:tabs>
        <w:ind w:right="-282"/>
        <w:jc w:val="left"/>
        <w:rPr>
          <w:rFonts w:ascii="Arial" w:hAnsi="Arial" w:cs="Arial"/>
          <w:i/>
          <w:iCs/>
          <w:sz w:val="18"/>
          <w:szCs w:val="18"/>
        </w:rPr>
      </w:pPr>
    </w:p>
    <w:p w:rsidR="00B41718" w:rsidRDefault="00B41718"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p w:rsidR="00002AFB" w:rsidRDefault="00002AFB" w:rsidP="00B41718">
      <w:pPr>
        <w:tabs>
          <w:tab w:val="left" w:pos="357"/>
        </w:tabs>
        <w:ind w:right="-282"/>
        <w:jc w:val="left"/>
        <w:rPr>
          <w:rFonts w:ascii="Arial" w:hAnsi="Arial" w:cs="Arial"/>
          <w:i/>
          <w:iCs/>
          <w:sz w:val="18"/>
          <w:szCs w:val="18"/>
        </w:rPr>
      </w:pPr>
    </w:p>
    <w:tbl>
      <w:tblPr>
        <w:tblW w:w="8612" w:type="dxa"/>
        <w:tblLayout w:type="fixed"/>
        <w:tblLook w:val="01E0" w:firstRow="1" w:lastRow="1" w:firstColumn="1" w:lastColumn="1" w:noHBand="0" w:noVBand="0"/>
      </w:tblPr>
      <w:tblGrid>
        <w:gridCol w:w="2376"/>
        <w:gridCol w:w="1134"/>
        <w:gridCol w:w="1276"/>
        <w:gridCol w:w="1276"/>
        <w:gridCol w:w="1276"/>
        <w:gridCol w:w="1274"/>
      </w:tblGrid>
      <w:tr w:rsidR="00B41718" w:rsidRPr="00271E01" w:rsidTr="00226B46">
        <w:trPr>
          <w:trHeight w:val="567"/>
        </w:trPr>
        <w:tc>
          <w:tcPr>
            <w:tcW w:w="2376" w:type="dxa"/>
          </w:tcPr>
          <w:p w:rsidR="00B41718" w:rsidRPr="00D97E00" w:rsidRDefault="00751BD3" w:rsidP="001A7723">
            <w:pPr>
              <w:jc w:val="left"/>
              <w:rPr>
                <w:rFonts w:ascii="Arial" w:hAnsi="Arial" w:cs="Arial"/>
                <w:u w:val="single"/>
              </w:rPr>
            </w:pPr>
            <w:r>
              <w:br w:type="page"/>
            </w:r>
            <w:r w:rsidR="00C93A38" w:rsidRPr="00C93A38">
              <w:rPr>
                <w:rFonts w:ascii="Arial" w:hAnsi="Arial" w:cs="Arial"/>
              </w:rPr>
              <w:t>13 weeks ended 3 May 2014</w:t>
            </w:r>
          </w:p>
        </w:tc>
        <w:tc>
          <w:tcPr>
            <w:tcW w:w="1134" w:type="dxa"/>
          </w:tcPr>
          <w:p w:rsidR="00B41718" w:rsidRPr="00271E01" w:rsidRDefault="00B41718" w:rsidP="001A7723">
            <w:pPr>
              <w:tabs>
                <w:tab w:val="left" w:pos="300"/>
              </w:tabs>
              <w:jc w:val="right"/>
              <w:rPr>
                <w:rFonts w:ascii="Arial" w:hAnsi="Arial" w:cs="Arial"/>
                <w:b/>
              </w:rPr>
            </w:pPr>
            <w:r w:rsidRPr="00025346">
              <w:rPr>
                <w:rFonts w:ascii="Arial" w:hAnsi="Arial" w:cs="Arial"/>
                <w:b/>
              </w:rPr>
              <w:t>Retail Profit</w:t>
            </w:r>
          </w:p>
        </w:tc>
        <w:tc>
          <w:tcPr>
            <w:tcW w:w="1276" w:type="dxa"/>
          </w:tcPr>
          <w:p w:rsidR="00B41718" w:rsidRPr="00271E01" w:rsidRDefault="00B41718" w:rsidP="001A7723">
            <w:pPr>
              <w:tabs>
                <w:tab w:val="left" w:pos="300"/>
              </w:tabs>
              <w:ind w:hanging="108"/>
              <w:jc w:val="right"/>
              <w:rPr>
                <w:rFonts w:ascii="Arial" w:hAnsi="Arial" w:cs="Arial"/>
                <w:b/>
              </w:rPr>
            </w:pPr>
            <w:r w:rsidRPr="00271E01">
              <w:rPr>
                <w:rFonts w:ascii="Arial" w:hAnsi="Arial" w:cs="Arial"/>
                <w:b/>
              </w:rPr>
              <w:t>% Total</w:t>
            </w:r>
          </w:p>
          <w:p w:rsidR="00B41718" w:rsidRPr="00271E01" w:rsidRDefault="00B41718" w:rsidP="001A7723">
            <w:pPr>
              <w:tabs>
                <w:tab w:val="left" w:pos="300"/>
              </w:tabs>
              <w:ind w:hanging="108"/>
              <w:jc w:val="right"/>
              <w:rPr>
                <w:rFonts w:ascii="Arial" w:hAnsi="Arial" w:cs="Arial"/>
                <w:b/>
              </w:rPr>
            </w:pPr>
            <w:r w:rsidRPr="00271E01">
              <w:rPr>
                <w:rFonts w:ascii="Arial" w:hAnsi="Arial" w:cs="Arial"/>
                <w:b/>
              </w:rPr>
              <w:t>Change</w:t>
            </w:r>
          </w:p>
        </w:tc>
        <w:tc>
          <w:tcPr>
            <w:tcW w:w="1276" w:type="dxa"/>
          </w:tcPr>
          <w:p w:rsidR="00B41718" w:rsidRPr="00271E01" w:rsidRDefault="00B41718" w:rsidP="001A7723">
            <w:pPr>
              <w:jc w:val="right"/>
              <w:rPr>
                <w:rFonts w:ascii="Arial" w:hAnsi="Arial" w:cs="Arial"/>
                <w:b/>
              </w:rPr>
            </w:pPr>
            <w:r w:rsidRPr="00271E01">
              <w:rPr>
                <w:rFonts w:ascii="Arial" w:hAnsi="Arial" w:cs="Arial"/>
                <w:b/>
              </w:rPr>
              <w:t>% Total Change</w:t>
            </w:r>
          </w:p>
        </w:tc>
        <w:tc>
          <w:tcPr>
            <w:tcW w:w="1276" w:type="dxa"/>
          </w:tcPr>
          <w:p w:rsidR="00B41718" w:rsidRPr="00271E01" w:rsidRDefault="00B41718" w:rsidP="001A7723">
            <w:pPr>
              <w:jc w:val="right"/>
              <w:rPr>
                <w:rFonts w:ascii="Arial" w:hAnsi="Arial" w:cs="Arial"/>
                <w:b/>
              </w:rPr>
            </w:pPr>
            <w:r w:rsidRPr="00271E01">
              <w:rPr>
                <w:rFonts w:ascii="Arial" w:hAnsi="Arial" w:cs="Arial"/>
                <w:b/>
              </w:rPr>
              <w:t>Operating Margin</w:t>
            </w:r>
          </w:p>
          <w:p w:rsidR="00B41718" w:rsidRPr="00271E01" w:rsidRDefault="00F70C22" w:rsidP="001A7723">
            <w:pPr>
              <w:jc w:val="right"/>
              <w:rPr>
                <w:rFonts w:ascii="Arial" w:hAnsi="Arial" w:cs="Arial"/>
                <w:b/>
              </w:rPr>
            </w:pPr>
            <w:r>
              <w:rPr>
                <w:rFonts w:ascii="Arial" w:hAnsi="Arial" w:cs="Arial"/>
                <w:b/>
              </w:rPr>
              <w:t xml:space="preserve">% </w:t>
            </w:r>
          </w:p>
        </w:tc>
        <w:tc>
          <w:tcPr>
            <w:tcW w:w="1274" w:type="dxa"/>
          </w:tcPr>
          <w:p w:rsidR="00B41718" w:rsidRPr="00271E01" w:rsidRDefault="00B41718" w:rsidP="001A7723">
            <w:pPr>
              <w:jc w:val="right"/>
              <w:rPr>
                <w:rFonts w:ascii="Arial" w:hAnsi="Arial" w:cs="Arial"/>
                <w:b/>
              </w:rPr>
            </w:pPr>
            <w:r w:rsidRPr="00271E01">
              <w:rPr>
                <w:rFonts w:ascii="Arial" w:hAnsi="Arial" w:cs="Arial"/>
                <w:b/>
              </w:rPr>
              <w:t>Operating Margin</w:t>
            </w:r>
          </w:p>
          <w:p w:rsidR="00283AEC" w:rsidRPr="00271E01" w:rsidRDefault="00F70C22" w:rsidP="00283AEC">
            <w:pPr>
              <w:jc w:val="right"/>
              <w:rPr>
                <w:rFonts w:ascii="Arial" w:hAnsi="Arial" w:cs="Arial"/>
                <w:b/>
              </w:rPr>
            </w:pPr>
            <w:r>
              <w:rPr>
                <w:rFonts w:ascii="Arial" w:hAnsi="Arial" w:cs="Arial"/>
                <w:b/>
              </w:rPr>
              <w:t>%</w:t>
            </w:r>
            <w:r w:rsidR="00283AEC">
              <w:rPr>
                <w:rFonts w:ascii="Arial" w:hAnsi="Arial" w:cs="Arial"/>
                <w:b/>
              </w:rPr>
              <w:t xml:space="preserve"> </w:t>
            </w:r>
          </w:p>
        </w:tc>
      </w:tr>
      <w:tr w:rsidR="00B41718" w:rsidRPr="00271E01" w:rsidTr="00226B46">
        <w:trPr>
          <w:trHeight w:val="531"/>
        </w:trPr>
        <w:tc>
          <w:tcPr>
            <w:tcW w:w="2376" w:type="dxa"/>
            <w:tcBorders>
              <w:bottom w:val="single" w:sz="4" w:space="0" w:color="auto"/>
            </w:tcBorders>
          </w:tcPr>
          <w:p w:rsidR="00B41718" w:rsidRPr="00271E01" w:rsidRDefault="00B41718" w:rsidP="001A7723">
            <w:pPr>
              <w:rPr>
                <w:rFonts w:ascii="Arial" w:hAnsi="Arial" w:cs="Arial"/>
              </w:rPr>
            </w:pPr>
          </w:p>
        </w:tc>
        <w:tc>
          <w:tcPr>
            <w:tcW w:w="1134" w:type="dxa"/>
            <w:tcBorders>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£m</w:t>
            </w:r>
          </w:p>
          <w:p w:rsidR="00B41718" w:rsidRPr="00271E01" w:rsidRDefault="005066DC" w:rsidP="001A7723">
            <w:pPr>
              <w:jc w:val="right"/>
              <w:rPr>
                <w:rFonts w:ascii="Arial" w:hAnsi="Arial" w:cs="Arial"/>
                <w:b/>
              </w:rPr>
            </w:pPr>
            <w:r>
              <w:rPr>
                <w:rFonts w:ascii="Arial" w:hAnsi="Arial" w:cs="Arial"/>
                <w:b/>
              </w:rPr>
              <w:t>2014</w:t>
            </w:r>
            <w:r w:rsidR="00B41718" w:rsidRPr="00271E01">
              <w:rPr>
                <w:rFonts w:ascii="Arial" w:hAnsi="Arial" w:cs="Arial"/>
                <w:b/>
              </w:rPr>
              <w:t>/1</w:t>
            </w:r>
            <w:r>
              <w:rPr>
                <w:rFonts w:ascii="Arial" w:hAnsi="Arial" w:cs="Arial"/>
                <w:b/>
              </w:rPr>
              <w:t>5</w:t>
            </w:r>
          </w:p>
        </w:tc>
        <w:tc>
          <w:tcPr>
            <w:tcW w:w="1276" w:type="dxa"/>
            <w:tcBorders>
              <w:bottom w:val="single" w:sz="4" w:space="0" w:color="auto"/>
            </w:tcBorders>
          </w:tcPr>
          <w:p w:rsidR="00B41718" w:rsidRPr="00271E01" w:rsidRDefault="00B41718" w:rsidP="001A7723">
            <w:pPr>
              <w:tabs>
                <w:tab w:val="left" w:pos="300"/>
              </w:tabs>
              <w:ind w:hanging="108"/>
              <w:jc w:val="right"/>
              <w:rPr>
                <w:rFonts w:ascii="Arial" w:hAnsi="Arial" w:cs="Arial"/>
                <w:b/>
              </w:rPr>
            </w:pPr>
            <w:r w:rsidRPr="00271E01">
              <w:rPr>
                <w:rFonts w:ascii="Arial" w:hAnsi="Arial" w:cs="Arial"/>
                <w:b/>
              </w:rPr>
              <w:t xml:space="preserve"> Reported</w:t>
            </w:r>
          </w:p>
        </w:tc>
        <w:tc>
          <w:tcPr>
            <w:tcW w:w="1276" w:type="dxa"/>
            <w:tcBorders>
              <w:bottom w:val="single" w:sz="4" w:space="0" w:color="auto"/>
            </w:tcBorders>
          </w:tcPr>
          <w:p w:rsidR="00B41718" w:rsidRPr="00271E01" w:rsidRDefault="00B41718" w:rsidP="001A7723">
            <w:pPr>
              <w:jc w:val="right"/>
              <w:rPr>
                <w:rFonts w:ascii="Arial" w:hAnsi="Arial" w:cs="Arial"/>
                <w:b/>
              </w:rPr>
            </w:pPr>
            <w:r w:rsidRPr="00271E01">
              <w:rPr>
                <w:rFonts w:ascii="Arial" w:hAnsi="Arial" w:cs="Arial"/>
                <w:b/>
              </w:rPr>
              <w:t>Constant currency</w:t>
            </w:r>
          </w:p>
        </w:tc>
        <w:tc>
          <w:tcPr>
            <w:tcW w:w="1276" w:type="dxa"/>
            <w:tcBorders>
              <w:bottom w:val="single" w:sz="4" w:space="0" w:color="auto"/>
            </w:tcBorders>
          </w:tcPr>
          <w:p w:rsidR="00B41718" w:rsidRDefault="00B41718" w:rsidP="001A7723">
            <w:pPr>
              <w:jc w:val="right"/>
              <w:rPr>
                <w:rFonts w:ascii="Arial" w:hAnsi="Arial" w:cs="Arial"/>
                <w:b/>
              </w:rPr>
            </w:pPr>
          </w:p>
          <w:p w:rsidR="00283AEC" w:rsidRPr="00271E01" w:rsidRDefault="00283AEC" w:rsidP="001A7723">
            <w:pPr>
              <w:jc w:val="right"/>
              <w:rPr>
                <w:rFonts w:ascii="Arial" w:hAnsi="Arial" w:cs="Arial"/>
                <w:b/>
              </w:rPr>
            </w:pPr>
            <w:r>
              <w:rPr>
                <w:rFonts w:ascii="Arial" w:hAnsi="Arial" w:cs="Arial"/>
                <w:b/>
              </w:rPr>
              <w:t>2014/15</w:t>
            </w:r>
          </w:p>
        </w:tc>
        <w:tc>
          <w:tcPr>
            <w:tcW w:w="1274" w:type="dxa"/>
            <w:tcBorders>
              <w:bottom w:val="single" w:sz="4" w:space="0" w:color="auto"/>
            </w:tcBorders>
          </w:tcPr>
          <w:p w:rsidR="00B41718" w:rsidRDefault="00B41718" w:rsidP="001A7723">
            <w:pPr>
              <w:jc w:val="right"/>
              <w:rPr>
                <w:rFonts w:ascii="Arial" w:hAnsi="Arial" w:cs="Arial"/>
                <w:b/>
              </w:rPr>
            </w:pPr>
          </w:p>
          <w:p w:rsidR="00283AEC" w:rsidRPr="00271E01" w:rsidRDefault="00283AEC" w:rsidP="001A7723">
            <w:pPr>
              <w:jc w:val="right"/>
              <w:rPr>
                <w:rFonts w:ascii="Arial" w:hAnsi="Arial" w:cs="Arial"/>
                <w:b/>
              </w:rPr>
            </w:pPr>
            <w:r>
              <w:rPr>
                <w:rFonts w:ascii="Arial" w:hAnsi="Arial" w:cs="Arial"/>
                <w:b/>
              </w:rPr>
              <w:t>2013/14</w:t>
            </w:r>
          </w:p>
        </w:tc>
      </w:tr>
      <w:tr w:rsidR="001D39F7" w:rsidRPr="00C24B32" w:rsidTr="00D46204">
        <w:tc>
          <w:tcPr>
            <w:tcW w:w="2376" w:type="dxa"/>
            <w:tcBorders>
              <w:top w:val="single" w:sz="4" w:space="0" w:color="auto"/>
            </w:tcBorders>
          </w:tcPr>
          <w:p w:rsidR="001D39F7" w:rsidRPr="00C24B32" w:rsidRDefault="001D39F7" w:rsidP="001D39F7">
            <w:pPr>
              <w:spacing w:before="40"/>
              <w:rPr>
                <w:rFonts w:ascii="Arial" w:hAnsi="Arial" w:cs="Arial"/>
                <w:b/>
              </w:rPr>
            </w:pPr>
            <w:r w:rsidRPr="00C24B32">
              <w:rPr>
                <w:rFonts w:ascii="Arial" w:hAnsi="Arial" w:cs="Arial"/>
                <w:b/>
              </w:rPr>
              <w:t>France</w:t>
            </w:r>
          </w:p>
        </w:tc>
        <w:tc>
          <w:tcPr>
            <w:tcW w:w="1134" w:type="dxa"/>
            <w:tcBorders>
              <w:top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70</w:t>
            </w:r>
          </w:p>
        </w:tc>
        <w:tc>
          <w:tcPr>
            <w:tcW w:w="1276" w:type="dxa"/>
            <w:tcBorders>
              <w:top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6.0%</w:t>
            </w:r>
          </w:p>
        </w:tc>
        <w:tc>
          <w:tcPr>
            <w:tcW w:w="1276" w:type="dxa"/>
            <w:tcBorders>
              <w:top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9.8%</w:t>
            </w:r>
          </w:p>
        </w:tc>
        <w:tc>
          <w:tcPr>
            <w:tcW w:w="1276" w:type="dxa"/>
            <w:tcBorders>
              <w:top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6.5%</w:t>
            </w:r>
          </w:p>
        </w:tc>
        <w:tc>
          <w:tcPr>
            <w:tcW w:w="1274" w:type="dxa"/>
            <w:tcBorders>
              <w:top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6.1%</w:t>
            </w:r>
          </w:p>
        </w:tc>
      </w:tr>
      <w:tr w:rsidR="001D39F7" w:rsidRPr="00271E01" w:rsidTr="00D46204">
        <w:tc>
          <w:tcPr>
            <w:tcW w:w="2376" w:type="dxa"/>
            <w:tcBorders>
              <w:top w:val="single" w:sz="4" w:space="0" w:color="auto"/>
              <w:bottom w:val="single" w:sz="4" w:space="0" w:color="auto"/>
            </w:tcBorders>
          </w:tcPr>
          <w:p w:rsidR="001D39F7" w:rsidRPr="00271E01" w:rsidRDefault="001D39F7" w:rsidP="001D39F7">
            <w:pPr>
              <w:spacing w:before="40"/>
              <w:jc w:val="left"/>
              <w:rPr>
                <w:rFonts w:ascii="Arial" w:hAnsi="Arial" w:cs="Arial"/>
                <w:b/>
                <w:vertAlign w:val="superscript"/>
              </w:rPr>
            </w:pPr>
            <w:r w:rsidRPr="00271E01">
              <w:rPr>
                <w:rFonts w:ascii="Arial" w:hAnsi="Arial" w:cs="Arial"/>
                <w:b/>
              </w:rPr>
              <w:t>UK &amp; Ireland</w:t>
            </w:r>
          </w:p>
        </w:tc>
        <w:tc>
          <w:tcPr>
            <w:tcW w:w="1134" w:type="dxa"/>
            <w:tcBorders>
              <w:top w:val="single" w:sz="4" w:space="0" w:color="auto"/>
              <w:bottom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6</w:t>
            </w:r>
            <w:r w:rsidR="00774326">
              <w:rPr>
                <w:rFonts w:ascii="Arial" w:hAnsi="Arial" w:cs="Arial"/>
                <w:b/>
                <w:bCs/>
                <w:szCs w:val="22"/>
              </w:rPr>
              <w:t>8</w:t>
            </w:r>
          </w:p>
        </w:tc>
        <w:tc>
          <w:tcPr>
            <w:tcW w:w="1276" w:type="dxa"/>
            <w:tcBorders>
              <w:top w:val="single" w:sz="4" w:space="0" w:color="auto"/>
              <w:bottom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3</w:t>
            </w:r>
            <w:r w:rsidR="00774326">
              <w:rPr>
                <w:rFonts w:ascii="Arial" w:hAnsi="Arial" w:cs="Arial"/>
                <w:b/>
                <w:bCs/>
                <w:szCs w:val="22"/>
              </w:rPr>
              <w:t>5</w:t>
            </w:r>
            <w:r>
              <w:rPr>
                <w:rFonts w:ascii="Arial" w:hAnsi="Arial" w:cs="Arial"/>
                <w:b/>
                <w:bCs/>
                <w:szCs w:val="22"/>
              </w:rPr>
              <w:t>.4%</w:t>
            </w:r>
          </w:p>
        </w:tc>
        <w:tc>
          <w:tcPr>
            <w:tcW w:w="1276" w:type="dxa"/>
            <w:tcBorders>
              <w:top w:val="single" w:sz="4" w:space="0" w:color="auto"/>
              <w:bottom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3</w:t>
            </w:r>
            <w:r w:rsidR="00774326">
              <w:rPr>
                <w:rFonts w:ascii="Arial" w:hAnsi="Arial" w:cs="Arial"/>
                <w:b/>
                <w:bCs/>
                <w:szCs w:val="22"/>
              </w:rPr>
              <w:t>5</w:t>
            </w:r>
            <w:r>
              <w:rPr>
                <w:rFonts w:ascii="Arial" w:hAnsi="Arial" w:cs="Arial"/>
                <w:b/>
                <w:bCs/>
                <w:szCs w:val="22"/>
              </w:rPr>
              <w:t>.2%</w:t>
            </w:r>
          </w:p>
        </w:tc>
        <w:tc>
          <w:tcPr>
            <w:tcW w:w="1276" w:type="dxa"/>
            <w:tcBorders>
              <w:top w:val="single" w:sz="4" w:space="0" w:color="auto"/>
              <w:bottom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5.6%</w:t>
            </w:r>
          </w:p>
        </w:tc>
        <w:tc>
          <w:tcPr>
            <w:tcW w:w="1274" w:type="dxa"/>
            <w:tcBorders>
              <w:top w:val="single" w:sz="4" w:space="0" w:color="auto"/>
              <w:bottom w:val="single" w:sz="4" w:space="0" w:color="auto"/>
            </w:tcBorders>
            <w:vAlign w:val="center"/>
          </w:tcPr>
          <w:p w:rsidR="001D39F7" w:rsidRDefault="001D39F7" w:rsidP="001D39F7">
            <w:pPr>
              <w:jc w:val="right"/>
              <w:rPr>
                <w:rFonts w:ascii="Arial" w:hAnsi="Arial" w:cs="Arial"/>
                <w:b/>
                <w:bCs/>
                <w:szCs w:val="22"/>
              </w:rPr>
            </w:pPr>
            <w:r>
              <w:rPr>
                <w:rFonts w:ascii="Arial" w:hAnsi="Arial" w:cs="Arial"/>
                <w:b/>
                <w:bCs/>
                <w:szCs w:val="22"/>
              </w:rPr>
              <w:t>4.7%</w:t>
            </w:r>
          </w:p>
        </w:tc>
      </w:tr>
      <w:tr w:rsidR="001D39F7" w:rsidRPr="00271E01" w:rsidTr="00D46204">
        <w:tc>
          <w:tcPr>
            <w:tcW w:w="2376" w:type="dxa"/>
            <w:tcBorders>
              <w:top w:val="single" w:sz="4" w:space="0" w:color="auto"/>
            </w:tcBorders>
          </w:tcPr>
          <w:p w:rsidR="001D39F7" w:rsidRPr="00271E01" w:rsidRDefault="001D39F7" w:rsidP="001D39F7">
            <w:pPr>
              <w:jc w:val="left"/>
              <w:rPr>
                <w:rFonts w:ascii="Arial" w:hAnsi="Arial" w:cs="Arial"/>
              </w:rPr>
            </w:pPr>
            <w:r w:rsidRPr="00271E01">
              <w:rPr>
                <w:rFonts w:ascii="Arial" w:hAnsi="Arial" w:cs="Arial"/>
              </w:rPr>
              <w:t>Poland</w:t>
            </w:r>
          </w:p>
        </w:tc>
        <w:tc>
          <w:tcPr>
            <w:tcW w:w="1134" w:type="dxa"/>
            <w:tcBorders>
              <w:top w:val="single" w:sz="4" w:space="0" w:color="auto"/>
            </w:tcBorders>
            <w:vAlign w:val="center"/>
          </w:tcPr>
          <w:p w:rsidR="001D39F7" w:rsidRDefault="001D39F7" w:rsidP="001D39F7">
            <w:pPr>
              <w:jc w:val="right"/>
              <w:rPr>
                <w:rFonts w:ascii="Arial" w:hAnsi="Arial" w:cs="Arial"/>
                <w:szCs w:val="22"/>
              </w:rPr>
            </w:pPr>
            <w:r>
              <w:rPr>
                <w:rFonts w:ascii="Arial" w:hAnsi="Arial" w:cs="Arial"/>
                <w:szCs w:val="22"/>
              </w:rPr>
              <w:t>19</w:t>
            </w:r>
          </w:p>
        </w:tc>
        <w:tc>
          <w:tcPr>
            <w:tcW w:w="1276" w:type="dxa"/>
            <w:tcBorders>
              <w:top w:val="single" w:sz="4" w:space="0" w:color="auto"/>
            </w:tcBorders>
            <w:vAlign w:val="center"/>
          </w:tcPr>
          <w:p w:rsidR="001D39F7" w:rsidRDefault="001D39F7" w:rsidP="001D39F7">
            <w:pPr>
              <w:jc w:val="right"/>
              <w:rPr>
                <w:rFonts w:ascii="Arial" w:hAnsi="Arial" w:cs="Arial"/>
                <w:szCs w:val="22"/>
              </w:rPr>
            </w:pPr>
            <w:r>
              <w:rPr>
                <w:rFonts w:ascii="Arial" w:hAnsi="Arial" w:cs="Arial"/>
                <w:szCs w:val="22"/>
              </w:rPr>
              <w:t>32.1%</w:t>
            </w:r>
          </w:p>
        </w:tc>
        <w:tc>
          <w:tcPr>
            <w:tcW w:w="1276" w:type="dxa"/>
            <w:tcBorders>
              <w:top w:val="single" w:sz="4" w:space="0" w:color="auto"/>
            </w:tcBorders>
            <w:vAlign w:val="center"/>
          </w:tcPr>
          <w:p w:rsidR="001D39F7" w:rsidRDefault="001D39F7" w:rsidP="001D39F7">
            <w:pPr>
              <w:jc w:val="right"/>
              <w:rPr>
                <w:rFonts w:ascii="Arial" w:hAnsi="Arial" w:cs="Arial"/>
                <w:szCs w:val="22"/>
              </w:rPr>
            </w:pPr>
            <w:r>
              <w:rPr>
                <w:rFonts w:ascii="Arial" w:hAnsi="Arial" w:cs="Arial"/>
                <w:szCs w:val="22"/>
              </w:rPr>
              <w:t>38.0%</w:t>
            </w:r>
          </w:p>
        </w:tc>
        <w:tc>
          <w:tcPr>
            <w:tcW w:w="1276" w:type="dxa"/>
            <w:tcBorders>
              <w:top w:val="single" w:sz="4" w:space="0" w:color="auto"/>
            </w:tcBorders>
            <w:vAlign w:val="center"/>
          </w:tcPr>
          <w:p w:rsidR="001D39F7" w:rsidRDefault="001D39F7" w:rsidP="001D39F7">
            <w:pPr>
              <w:jc w:val="right"/>
              <w:rPr>
                <w:rFonts w:ascii="Arial" w:hAnsi="Arial" w:cs="Arial"/>
                <w:szCs w:val="22"/>
              </w:rPr>
            </w:pPr>
            <w:r>
              <w:rPr>
                <w:rFonts w:ascii="Arial" w:hAnsi="Arial" w:cs="Arial"/>
                <w:szCs w:val="22"/>
              </w:rPr>
              <w:t>7.1%</w:t>
            </w:r>
          </w:p>
        </w:tc>
        <w:tc>
          <w:tcPr>
            <w:tcW w:w="1274" w:type="dxa"/>
            <w:tcBorders>
              <w:top w:val="single" w:sz="4" w:space="0" w:color="auto"/>
            </w:tcBorders>
            <w:vAlign w:val="center"/>
          </w:tcPr>
          <w:p w:rsidR="001D39F7" w:rsidRDefault="001D39F7" w:rsidP="001D39F7">
            <w:pPr>
              <w:jc w:val="right"/>
              <w:rPr>
                <w:rFonts w:ascii="Arial" w:hAnsi="Arial" w:cs="Arial"/>
                <w:szCs w:val="22"/>
              </w:rPr>
            </w:pPr>
            <w:r>
              <w:rPr>
                <w:rFonts w:ascii="Arial" w:hAnsi="Arial" w:cs="Arial"/>
                <w:szCs w:val="22"/>
              </w:rPr>
              <w:t>5.8%</w:t>
            </w:r>
          </w:p>
        </w:tc>
      </w:tr>
      <w:tr w:rsidR="001D39F7" w:rsidRPr="00271E01" w:rsidTr="00D46204">
        <w:tc>
          <w:tcPr>
            <w:tcW w:w="2376" w:type="dxa"/>
          </w:tcPr>
          <w:p w:rsidR="001D39F7" w:rsidRPr="00271E01" w:rsidRDefault="001D39F7" w:rsidP="001D39F7">
            <w:pPr>
              <w:jc w:val="left"/>
              <w:rPr>
                <w:rFonts w:ascii="Arial" w:hAnsi="Arial" w:cs="Arial"/>
              </w:rPr>
            </w:pPr>
            <w:r w:rsidRPr="00271E01">
              <w:rPr>
                <w:rFonts w:ascii="Arial" w:hAnsi="Arial" w:cs="Arial"/>
              </w:rPr>
              <w:t>China</w:t>
            </w:r>
          </w:p>
        </w:tc>
        <w:tc>
          <w:tcPr>
            <w:tcW w:w="113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(7)</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7.0%</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(0.4)%</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(10.5)%</w:t>
            </w:r>
          </w:p>
        </w:tc>
        <w:tc>
          <w:tcPr>
            <w:tcW w:w="127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(9.1)%</w:t>
            </w:r>
          </w:p>
        </w:tc>
      </w:tr>
      <w:tr w:rsidR="001D39F7" w:rsidRPr="00271E01" w:rsidTr="00D46204">
        <w:tc>
          <w:tcPr>
            <w:tcW w:w="2376" w:type="dxa"/>
          </w:tcPr>
          <w:p w:rsidR="001D39F7" w:rsidRPr="00271E01" w:rsidRDefault="001D39F7" w:rsidP="001D39F7">
            <w:pPr>
              <w:jc w:val="left"/>
              <w:rPr>
                <w:rFonts w:ascii="Arial" w:hAnsi="Arial" w:cs="Arial"/>
              </w:rPr>
            </w:pPr>
            <w:r w:rsidRPr="00271E01">
              <w:rPr>
                <w:rFonts w:ascii="Arial" w:hAnsi="Arial" w:cs="Arial"/>
              </w:rPr>
              <w:t>Russia</w:t>
            </w:r>
          </w:p>
        </w:tc>
        <w:tc>
          <w:tcPr>
            <w:tcW w:w="113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(3)</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11.6%</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(11.4)%</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(3.9)%</w:t>
            </w:r>
          </w:p>
        </w:tc>
        <w:tc>
          <w:tcPr>
            <w:tcW w:w="127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(4.4)%</w:t>
            </w:r>
          </w:p>
        </w:tc>
      </w:tr>
      <w:tr w:rsidR="001D39F7" w:rsidRPr="00271E01" w:rsidTr="00D46204">
        <w:tc>
          <w:tcPr>
            <w:tcW w:w="2376" w:type="dxa"/>
          </w:tcPr>
          <w:p w:rsidR="001D39F7" w:rsidRPr="00271E01" w:rsidRDefault="001D39F7" w:rsidP="001D39F7">
            <w:pPr>
              <w:jc w:val="left"/>
              <w:rPr>
                <w:rFonts w:ascii="Arial" w:hAnsi="Arial" w:cs="Arial"/>
              </w:rPr>
            </w:pPr>
            <w:r>
              <w:rPr>
                <w:rFonts w:ascii="Arial" w:hAnsi="Arial" w:cs="Arial"/>
              </w:rPr>
              <w:t>Romania</w:t>
            </w:r>
          </w:p>
        </w:tc>
        <w:tc>
          <w:tcPr>
            <w:tcW w:w="113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(4)</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n/a</w:t>
            </w:r>
            <w:r w:rsidRPr="001D39F7">
              <w:rPr>
                <w:rFonts w:ascii="Arial" w:hAnsi="Arial" w:cs="Arial"/>
                <w:i/>
                <w:iCs/>
                <w:szCs w:val="22"/>
                <w:vertAlign w:val="superscript"/>
              </w:rPr>
              <w:t>(1)</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n/a</w:t>
            </w:r>
            <w:r w:rsidRPr="001D39F7">
              <w:rPr>
                <w:rFonts w:ascii="Arial" w:hAnsi="Arial" w:cs="Arial"/>
                <w:i/>
                <w:iCs/>
                <w:szCs w:val="22"/>
                <w:vertAlign w:val="superscript"/>
              </w:rPr>
              <w:t>(1)</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(26.4)%</w:t>
            </w:r>
          </w:p>
        </w:tc>
        <w:tc>
          <w:tcPr>
            <w:tcW w:w="127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n/a</w:t>
            </w:r>
            <w:r w:rsidRPr="001D39F7">
              <w:rPr>
                <w:rFonts w:ascii="Arial" w:hAnsi="Arial" w:cs="Arial"/>
                <w:i/>
                <w:iCs/>
                <w:szCs w:val="22"/>
                <w:vertAlign w:val="superscript"/>
              </w:rPr>
              <w:t>(1)</w:t>
            </w:r>
          </w:p>
        </w:tc>
      </w:tr>
      <w:tr w:rsidR="001D39F7" w:rsidRPr="00C514EC" w:rsidTr="00D46204">
        <w:tc>
          <w:tcPr>
            <w:tcW w:w="2376" w:type="dxa"/>
          </w:tcPr>
          <w:p w:rsidR="001D39F7" w:rsidRPr="00271E01" w:rsidRDefault="001D39F7" w:rsidP="001D39F7">
            <w:pPr>
              <w:jc w:val="left"/>
              <w:rPr>
                <w:rFonts w:ascii="Arial" w:hAnsi="Arial" w:cs="Arial"/>
              </w:rPr>
            </w:pPr>
            <w:r w:rsidRPr="00271E01">
              <w:rPr>
                <w:rFonts w:ascii="Arial" w:hAnsi="Arial" w:cs="Arial"/>
              </w:rPr>
              <w:t xml:space="preserve">Spain </w:t>
            </w:r>
          </w:p>
        </w:tc>
        <w:tc>
          <w:tcPr>
            <w:tcW w:w="113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w:t>
            </w:r>
          </w:p>
        </w:tc>
        <w:tc>
          <w:tcPr>
            <w:tcW w:w="1276" w:type="dxa"/>
            <w:vAlign w:val="center"/>
          </w:tcPr>
          <w:p w:rsidR="001D39F7" w:rsidRPr="001D39F7" w:rsidRDefault="00631501" w:rsidP="001D39F7">
            <w:pPr>
              <w:jc w:val="right"/>
              <w:rPr>
                <w:rFonts w:ascii="Arial" w:hAnsi="Arial" w:cs="Arial"/>
                <w:szCs w:val="22"/>
              </w:rPr>
            </w:pPr>
            <w:r>
              <w:rPr>
                <w:rFonts w:ascii="Arial" w:hAnsi="Arial" w:cs="Arial"/>
                <w:szCs w:val="22"/>
              </w:rPr>
              <w:t>n/a</w:t>
            </w:r>
          </w:p>
        </w:tc>
        <w:tc>
          <w:tcPr>
            <w:tcW w:w="1276" w:type="dxa"/>
            <w:vAlign w:val="center"/>
          </w:tcPr>
          <w:p w:rsidR="001D39F7" w:rsidRPr="001D39F7" w:rsidRDefault="00631501" w:rsidP="001D39F7">
            <w:pPr>
              <w:jc w:val="right"/>
              <w:rPr>
                <w:rFonts w:ascii="Arial" w:hAnsi="Arial" w:cs="Arial"/>
                <w:szCs w:val="22"/>
              </w:rPr>
            </w:pPr>
            <w:r>
              <w:rPr>
                <w:rFonts w:ascii="Arial" w:hAnsi="Arial" w:cs="Arial"/>
                <w:szCs w:val="22"/>
              </w:rPr>
              <w:t>n/a</w:t>
            </w:r>
          </w:p>
        </w:tc>
        <w:tc>
          <w:tcPr>
            <w:tcW w:w="1276"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0.1%</w:t>
            </w:r>
          </w:p>
        </w:tc>
        <w:tc>
          <w:tcPr>
            <w:tcW w:w="1274" w:type="dxa"/>
            <w:vAlign w:val="center"/>
          </w:tcPr>
          <w:p w:rsidR="001D39F7" w:rsidRPr="001D39F7" w:rsidRDefault="001D39F7" w:rsidP="001D39F7">
            <w:pPr>
              <w:jc w:val="right"/>
              <w:rPr>
                <w:rFonts w:ascii="Arial" w:hAnsi="Arial" w:cs="Arial"/>
                <w:szCs w:val="22"/>
              </w:rPr>
            </w:pPr>
            <w:r w:rsidRPr="001D39F7">
              <w:rPr>
                <w:rFonts w:ascii="Arial" w:hAnsi="Arial" w:cs="Arial"/>
                <w:szCs w:val="22"/>
              </w:rPr>
              <w:t>-</w:t>
            </w:r>
          </w:p>
        </w:tc>
      </w:tr>
      <w:tr w:rsidR="00B74EFF" w:rsidRPr="00B74EFF" w:rsidTr="00B155FE">
        <w:tc>
          <w:tcPr>
            <w:tcW w:w="2376" w:type="dxa"/>
          </w:tcPr>
          <w:p w:rsidR="00B74EFF" w:rsidRPr="00271E01" w:rsidRDefault="00B74EFF" w:rsidP="00B74EFF">
            <w:pPr>
              <w:jc w:val="left"/>
              <w:rPr>
                <w:rFonts w:ascii="Arial" w:hAnsi="Arial" w:cs="Arial"/>
              </w:rPr>
            </w:pPr>
            <w:r>
              <w:rPr>
                <w:rFonts w:ascii="Arial" w:hAnsi="Arial" w:cs="Arial"/>
              </w:rPr>
              <w:t>Turkey JV</w:t>
            </w:r>
          </w:p>
        </w:tc>
        <w:tc>
          <w:tcPr>
            <w:tcW w:w="1134" w:type="dxa"/>
          </w:tcPr>
          <w:p w:rsidR="00B74EFF" w:rsidRPr="00C514EC" w:rsidRDefault="001D39F7" w:rsidP="00B74EFF">
            <w:pPr>
              <w:jc w:val="right"/>
              <w:rPr>
                <w:rFonts w:ascii="Arial" w:hAnsi="Arial" w:cs="Arial"/>
              </w:rPr>
            </w:pPr>
            <w:r w:rsidRPr="001D39F7">
              <w:rPr>
                <w:rFonts w:ascii="Arial" w:hAnsi="Arial" w:cs="Arial"/>
                <w:szCs w:val="22"/>
              </w:rPr>
              <w:t>-</w:t>
            </w:r>
          </w:p>
        </w:tc>
        <w:tc>
          <w:tcPr>
            <w:tcW w:w="1276" w:type="dxa"/>
          </w:tcPr>
          <w:p w:rsidR="00B74EFF" w:rsidRPr="00B74EFF" w:rsidRDefault="00B74EFF" w:rsidP="00B74EFF">
            <w:pPr>
              <w:jc w:val="right"/>
              <w:rPr>
                <w:rFonts w:ascii="Arial" w:hAnsi="Arial" w:cs="Arial"/>
              </w:rPr>
            </w:pPr>
            <w:r w:rsidRPr="00B74EFF">
              <w:rPr>
                <w:rFonts w:ascii="Arial" w:hAnsi="Arial" w:cs="Arial"/>
              </w:rPr>
              <w:t>n/a</w:t>
            </w:r>
          </w:p>
        </w:tc>
        <w:tc>
          <w:tcPr>
            <w:tcW w:w="1276" w:type="dxa"/>
          </w:tcPr>
          <w:p w:rsidR="00B74EFF" w:rsidRPr="00B74EFF" w:rsidRDefault="00B74EFF" w:rsidP="00B74EFF">
            <w:pPr>
              <w:jc w:val="right"/>
              <w:rPr>
                <w:rFonts w:ascii="Arial" w:hAnsi="Arial" w:cs="Arial"/>
              </w:rPr>
            </w:pPr>
            <w:r w:rsidRPr="00B74EFF">
              <w:rPr>
                <w:rFonts w:ascii="Arial" w:hAnsi="Arial" w:cs="Arial"/>
              </w:rPr>
              <w:t>n/a</w:t>
            </w:r>
          </w:p>
        </w:tc>
        <w:tc>
          <w:tcPr>
            <w:tcW w:w="1276" w:type="dxa"/>
          </w:tcPr>
          <w:p w:rsidR="00B74EFF" w:rsidRPr="00B74EFF" w:rsidRDefault="00B74EFF" w:rsidP="00B74EFF">
            <w:pPr>
              <w:jc w:val="right"/>
              <w:rPr>
                <w:rFonts w:ascii="Arial" w:hAnsi="Arial" w:cs="Arial"/>
              </w:rPr>
            </w:pPr>
            <w:r w:rsidRPr="00B74EFF">
              <w:rPr>
                <w:rFonts w:ascii="Arial" w:hAnsi="Arial" w:cs="Arial"/>
              </w:rPr>
              <w:t>n/a</w:t>
            </w:r>
            <w:r w:rsidRPr="00B74EFF">
              <w:rPr>
                <w:rFonts w:ascii="Arial" w:hAnsi="Arial" w:cs="Arial"/>
                <w:i/>
                <w:vertAlign w:val="superscript"/>
              </w:rPr>
              <w:t>(2)</w:t>
            </w:r>
          </w:p>
        </w:tc>
        <w:tc>
          <w:tcPr>
            <w:tcW w:w="1274" w:type="dxa"/>
          </w:tcPr>
          <w:p w:rsidR="00B74EFF" w:rsidRPr="00B74EFF" w:rsidRDefault="00B74EFF" w:rsidP="00B74EFF">
            <w:pPr>
              <w:jc w:val="right"/>
              <w:rPr>
                <w:rFonts w:ascii="Arial" w:hAnsi="Arial" w:cs="Arial"/>
              </w:rPr>
            </w:pPr>
            <w:r w:rsidRPr="00B74EFF">
              <w:rPr>
                <w:rFonts w:ascii="Arial" w:hAnsi="Arial" w:cs="Arial"/>
              </w:rPr>
              <w:t>n/a</w:t>
            </w:r>
            <w:r w:rsidRPr="00B74EFF">
              <w:rPr>
                <w:rFonts w:ascii="Arial" w:hAnsi="Arial" w:cs="Arial"/>
                <w:i/>
                <w:vertAlign w:val="superscript"/>
              </w:rPr>
              <w:t>(2)</w:t>
            </w:r>
          </w:p>
        </w:tc>
      </w:tr>
      <w:tr w:rsidR="00774326" w:rsidRPr="00B74EFF" w:rsidTr="00B155FE">
        <w:tc>
          <w:tcPr>
            <w:tcW w:w="2376" w:type="dxa"/>
          </w:tcPr>
          <w:p w:rsidR="00774326" w:rsidRDefault="00774326">
            <w:pPr>
              <w:jc w:val="left"/>
              <w:rPr>
                <w:rFonts w:ascii="Arial" w:hAnsi="Arial" w:cs="Arial"/>
              </w:rPr>
            </w:pPr>
            <w:r>
              <w:rPr>
                <w:rFonts w:ascii="Arial" w:hAnsi="Arial" w:cs="Arial"/>
              </w:rPr>
              <w:t>Development costs</w:t>
            </w:r>
          </w:p>
        </w:tc>
        <w:tc>
          <w:tcPr>
            <w:tcW w:w="1134" w:type="dxa"/>
          </w:tcPr>
          <w:p w:rsidR="00774326" w:rsidRPr="001D39F7" w:rsidRDefault="00774326" w:rsidP="00B74EFF">
            <w:pPr>
              <w:jc w:val="right"/>
              <w:rPr>
                <w:rFonts w:ascii="Arial" w:hAnsi="Arial" w:cs="Arial"/>
                <w:szCs w:val="22"/>
              </w:rPr>
            </w:pPr>
            <w:r>
              <w:rPr>
                <w:rFonts w:ascii="Arial" w:hAnsi="Arial" w:cs="Arial"/>
                <w:szCs w:val="22"/>
              </w:rPr>
              <w:t>(1)</w:t>
            </w:r>
          </w:p>
        </w:tc>
        <w:tc>
          <w:tcPr>
            <w:tcW w:w="1276" w:type="dxa"/>
          </w:tcPr>
          <w:p w:rsidR="00774326" w:rsidRPr="00B74EFF" w:rsidRDefault="00774326" w:rsidP="00B74EFF">
            <w:pPr>
              <w:jc w:val="right"/>
              <w:rPr>
                <w:rFonts w:ascii="Arial" w:hAnsi="Arial" w:cs="Arial"/>
              </w:rPr>
            </w:pPr>
            <w:r w:rsidRPr="00B74EFF">
              <w:rPr>
                <w:rFonts w:ascii="Arial" w:hAnsi="Arial" w:cs="Arial"/>
              </w:rPr>
              <w:t>n/a</w:t>
            </w:r>
          </w:p>
        </w:tc>
        <w:tc>
          <w:tcPr>
            <w:tcW w:w="1276" w:type="dxa"/>
          </w:tcPr>
          <w:p w:rsidR="00774326" w:rsidRPr="00B74EFF" w:rsidRDefault="00774326" w:rsidP="00B74EFF">
            <w:pPr>
              <w:jc w:val="right"/>
              <w:rPr>
                <w:rFonts w:ascii="Arial" w:hAnsi="Arial" w:cs="Arial"/>
              </w:rPr>
            </w:pPr>
            <w:r w:rsidRPr="00B74EFF">
              <w:rPr>
                <w:rFonts w:ascii="Arial" w:hAnsi="Arial" w:cs="Arial"/>
              </w:rPr>
              <w:t>n/a</w:t>
            </w:r>
          </w:p>
        </w:tc>
        <w:tc>
          <w:tcPr>
            <w:tcW w:w="1276" w:type="dxa"/>
          </w:tcPr>
          <w:p w:rsidR="00774326" w:rsidRPr="00B74EFF" w:rsidRDefault="00774326" w:rsidP="00B74EFF">
            <w:pPr>
              <w:jc w:val="right"/>
              <w:rPr>
                <w:rFonts w:ascii="Arial" w:hAnsi="Arial" w:cs="Arial"/>
              </w:rPr>
            </w:pPr>
            <w:r w:rsidRPr="00B74EFF">
              <w:rPr>
                <w:rFonts w:ascii="Arial" w:hAnsi="Arial" w:cs="Arial"/>
              </w:rPr>
              <w:t>n/a</w:t>
            </w:r>
          </w:p>
        </w:tc>
        <w:tc>
          <w:tcPr>
            <w:tcW w:w="1274" w:type="dxa"/>
          </w:tcPr>
          <w:p w:rsidR="00774326" w:rsidRPr="00B74EFF" w:rsidRDefault="00774326" w:rsidP="00B74EFF">
            <w:pPr>
              <w:jc w:val="right"/>
              <w:rPr>
                <w:rFonts w:ascii="Arial" w:hAnsi="Arial" w:cs="Arial"/>
              </w:rPr>
            </w:pPr>
            <w:r w:rsidRPr="00B74EFF">
              <w:rPr>
                <w:rFonts w:ascii="Arial" w:hAnsi="Arial" w:cs="Arial"/>
              </w:rPr>
              <w:t>n/a</w:t>
            </w:r>
          </w:p>
        </w:tc>
      </w:tr>
      <w:tr w:rsidR="005C1078" w:rsidRPr="00CB19B9" w:rsidTr="00D46204">
        <w:tc>
          <w:tcPr>
            <w:tcW w:w="2376" w:type="dxa"/>
            <w:tcBorders>
              <w:top w:val="single" w:sz="4" w:space="0" w:color="auto"/>
              <w:bottom w:val="single" w:sz="4" w:space="0" w:color="auto"/>
            </w:tcBorders>
          </w:tcPr>
          <w:p w:rsidR="005C1078" w:rsidRPr="00CB19B9" w:rsidRDefault="005C1078" w:rsidP="005C1078">
            <w:pPr>
              <w:spacing w:before="40"/>
              <w:rPr>
                <w:rFonts w:ascii="Arial" w:hAnsi="Arial" w:cs="Arial"/>
                <w:b/>
              </w:rPr>
            </w:pPr>
            <w:r>
              <w:rPr>
                <w:rFonts w:ascii="Arial" w:hAnsi="Arial" w:cs="Arial"/>
                <w:b/>
              </w:rPr>
              <w:t>Other International</w:t>
            </w:r>
            <w:r>
              <w:rPr>
                <w:rFonts w:ascii="Arial" w:hAnsi="Arial" w:cs="Arial"/>
                <w:i/>
                <w:iCs/>
                <w:szCs w:val="22"/>
                <w:vertAlign w:val="superscript"/>
              </w:rPr>
              <w:t>(3</w:t>
            </w:r>
            <w:r w:rsidRPr="001D39F7">
              <w:rPr>
                <w:rFonts w:ascii="Arial" w:hAnsi="Arial" w:cs="Arial"/>
                <w:i/>
                <w:iCs/>
                <w:szCs w:val="22"/>
                <w:vertAlign w:val="superscript"/>
              </w:rPr>
              <w:t>)</w:t>
            </w:r>
          </w:p>
        </w:tc>
        <w:tc>
          <w:tcPr>
            <w:tcW w:w="1134" w:type="dxa"/>
            <w:tcBorders>
              <w:top w:val="single" w:sz="4" w:space="0" w:color="auto"/>
              <w:bottom w:val="single" w:sz="4" w:space="0" w:color="auto"/>
            </w:tcBorders>
            <w:vAlign w:val="center"/>
          </w:tcPr>
          <w:p w:rsidR="005C1078" w:rsidRDefault="00774326" w:rsidP="005C1078">
            <w:pPr>
              <w:jc w:val="right"/>
              <w:rPr>
                <w:rFonts w:ascii="Arial" w:hAnsi="Arial" w:cs="Arial"/>
                <w:b/>
                <w:bCs/>
                <w:szCs w:val="22"/>
              </w:rPr>
            </w:pPr>
            <w:r>
              <w:rPr>
                <w:rFonts w:ascii="Arial" w:hAnsi="Arial" w:cs="Arial"/>
                <w:b/>
                <w:bCs/>
                <w:szCs w:val="22"/>
              </w:rPr>
              <w:t>4</w:t>
            </w:r>
          </w:p>
        </w:tc>
        <w:tc>
          <w:tcPr>
            <w:tcW w:w="1276" w:type="dxa"/>
            <w:tcBorders>
              <w:top w:val="single" w:sz="4" w:space="0" w:color="auto"/>
              <w:bottom w:val="single" w:sz="4" w:space="0" w:color="auto"/>
            </w:tcBorders>
            <w:vAlign w:val="center"/>
          </w:tcPr>
          <w:p w:rsidR="005C1078" w:rsidRDefault="00677F41" w:rsidP="005C1078">
            <w:pPr>
              <w:jc w:val="right"/>
              <w:rPr>
                <w:rFonts w:ascii="Arial" w:hAnsi="Arial" w:cs="Arial"/>
                <w:b/>
                <w:bCs/>
                <w:szCs w:val="22"/>
              </w:rPr>
            </w:pPr>
            <w:r>
              <w:rPr>
                <w:rFonts w:ascii="Arial" w:hAnsi="Arial" w:cs="Arial"/>
                <w:b/>
                <w:bCs/>
                <w:szCs w:val="22"/>
              </w:rPr>
              <w:t>25.5</w:t>
            </w:r>
            <w:r w:rsidR="005C1078">
              <w:rPr>
                <w:rFonts w:ascii="Arial" w:hAnsi="Arial" w:cs="Arial"/>
                <w:b/>
                <w:bCs/>
                <w:szCs w:val="22"/>
              </w:rPr>
              <w:t>%</w:t>
            </w:r>
          </w:p>
        </w:tc>
        <w:tc>
          <w:tcPr>
            <w:tcW w:w="1276" w:type="dxa"/>
            <w:tcBorders>
              <w:top w:val="single" w:sz="4" w:space="0" w:color="auto"/>
              <w:bottom w:val="single" w:sz="4" w:space="0" w:color="auto"/>
            </w:tcBorders>
            <w:vAlign w:val="center"/>
          </w:tcPr>
          <w:p w:rsidR="005C1078" w:rsidRDefault="00677F41" w:rsidP="005C1078">
            <w:pPr>
              <w:jc w:val="right"/>
              <w:rPr>
                <w:rFonts w:ascii="Arial" w:hAnsi="Arial" w:cs="Arial"/>
                <w:b/>
                <w:bCs/>
                <w:szCs w:val="22"/>
              </w:rPr>
            </w:pPr>
            <w:r>
              <w:rPr>
                <w:rFonts w:ascii="Arial" w:hAnsi="Arial" w:cs="Arial"/>
                <w:b/>
                <w:bCs/>
                <w:szCs w:val="22"/>
              </w:rPr>
              <w:t>Flat</w:t>
            </w:r>
          </w:p>
        </w:tc>
        <w:tc>
          <w:tcPr>
            <w:tcW w:w="1276"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0.</w:t>
            </w:r>
            <w:r w:rsidR="00677F41">
              <w:rPr>
                <w:rFonts w:ascii="Arial" w:hAnsi="Arial" w:cs="Arial"/>
                <w:b/>
                <w:bCs/>
                <w:szCs w:val="22"/>
              </w:rPr>
              <w:t>7</w:t>
            </w:r>
            <w:r>
              <w:rPr>
                <w:rFonts w:ascii="Arial" w:hAnsi="Arial" w:cs="Arial"/>
                <w:b/>
                <w:bCs/>
                <w:szCs w:val="22"/>
              </w:rPr>
              <w:t>%</w:t>
            </w:r>
          </w:p>
        </w:tc>
        <w:tc>
          <w:tcPr>
            <w:tcW w:w="1274"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0.6%</w:t>
            </w:r>
          </w:p>
        </w:tc>
      </w:tr>
      <w:tr w:rsidR="005C1078" w:rsidRPr="00C514EC" w:rsidTr="00D46204">
        <w:tc>
          <w:tcPr>
            <w:tcW w:w="2376" w:type="dxa"/>
            <w:tcBorders>
              <w:top w:val="single" w:sz="4" w:space="0" w:color="auto"/>
              <w:bottom w:val="single" w:sz="4" w:space="0" w:color="auto"/>
            </w:tcBorders>
          </w:tcPr>
          <w:p w:rsidR="005C1078" w:rsidRPr="00C24B32" w:rsidRDefault="005C1078" w:rsidP="005C1078">
            <w:pPr>
              <w:spacing w:before="100"/>
              <w:rPr>
                <w:rFonts w:ascii="Arial" w:hAnsi="Arial" w:cs="Arial"/>
                <w:b/>
              </w:rPr>
            </w:pPr>
            <w:r w:rsidRPr="00C24B32">
              <w:rPr>
                <w:rFonts w:ascii="Arial" w:hAnsi="Arial" w:cs="Arial"/>
                <w:b/>
              </w:rPr>
              <w:t>Total Group</w:t>
            </w:r>
            <w:r>
              <w:rPr>
                <w:rFonts w:ascii="Arial" w:hAnsi="Arial" w:cs="Arial"/>
                <w:i/>
                <w:iCs/>
                <w:szCs w:val="22"/>
                <w:vertAlign w:val="superscript"/>
              </w:rPr>
              <w:t>(3</w:t>
            </w:r>
            <w:r w:rsidRPr="001D39F7">
              <w:rPr>
                <w:rFonts w:ascii="Arial" w:hAnsi="Arial" w:cs="Arial"/>
                <w:i/>
                <w:iCs/>
                <w:szCs w:val="22"/>
                <w:vertAlign w:val="superscript"/>
              </w:rPr>
              <w:t>)</w:t>
            </w:r>
          </w:p>
        </w:tc>
        <w:tc>
          <w:tcPr>
            <w:tcW w:w="1134"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142</w:t>
            </w:r>
          </w:p>
        </w:tc>
        <w:tc>
          <w:tcPr>
            <w:tcW w:w="1276"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18.8%</w:t>
            </w:r>
          </w:p>
        </w:tc>
        <w:tc>
          <w:tcPr>
            <w:tcW w:w="1276"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20.3%</w:t>
            </w:r>
          </w:p>
        </w:tc>
        <w:tc>
          <w:tcPr>
            <w:tcW w:w="1276"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5.1%</w:t>
            </w:r>
          </w:p>
        </w:tc>
        <w:tc>
          <w:tcPr>
            <w:tcW w:w="1274" w:type="dxa"/>
            <w:tcBorders>
              <w:top w:val="single" w:sz="4" w:space="0" w:color="auto"/>
              <w:bottom w:val="single" w:sz="4" w:space="0" w:color="auto"/>
            </w:tcBorders>
            <w:vAlign w:val="center"/>
          </w:tcPr>
          <w:p w:rsidR="005C1078" w:rsidRDefault="005C1078" w:rsidP="005C1078">
            <w:pPr>
              <w:jc w:val="right"/>
              <w:rPr>
                <w:rFonts w:ascii="Arial" w:hAnsi="Arial" w:cs="Arial"/>
                <w:b/>
                <w:bCs/>
                <w:szCs w:val="22"/>
              </w:rPr>
            </w:pPr>
            <w:r>
              <w:rPr>
                <w:rFonts w:ascii="Arial" w:hAnsi="Arial" w:cs="Arial"/>
                <w:b/>
                <w:bCs/>
                <w:szCs w:val="22"/>
              </w:rPr>
              <w:t>4.5%</w:t>
            </w:r>
          </w:p>
        </w:tc>
      </w:tr>
    </w:tbl>
    <w:p w:rsidR="001D39F7" w:rsidRDefault="001D39F7" w:rsidP="00B41718">
      <w:pPr>
        <w:tabs>
          <w:tab w:val="left" w:pos="357"/>
        </w:tabs>
        <w:ind w:right="-282"/>
        <w:jc w:val="left"/>
        <w:rPr>
          <w:rFonts w:ascii="Arial" w:hAnsi="Arial" w:cs="Arial"/>
          <w:i/>
          <w:iCs/>
          <w:sz w:val="18"/>
          <w:szCs w:val="18"/>
        </w:rPr>
      </w:pPr>
      <w:r>
        <w:rPr>
          <w:rFonts w:ascii="Arial" w:hAnsi="Arial" w:cs="Arial"/>
          <w:i/>
          <w:iCs/>
          <w:sz w:val="18"/>
          <w:szCs w:val="18"/>
          <w:vertAlign w:val="superscript"/>
        </w:rPr>
        <w:t xml:space="preserve"> (</w:t>
      </w:r>
      <w:r w:rsidR="00B74EFF">
        <w:rPr>
          <w:rFonts w:ascii="Arial" w:hAnsi="Arial" w:cs="Arial"/>
          <w:i/>
          <w:iCs/>
          <w:sz w:val="18"/>
          <w:szCs w:val="18"/>
          <w:vertAlign w:val="superscript"/>
        </w:rPr>
        <w:t>1</w:t>
      </w:r>
      <w:r w:rsidR="00B74EFF" w:rsidRPr="00D97E00">
        <w:rPr>
          <w:rFonts w:ascii="Arial" w:hAnsi="Arial" w:cs="Arial"/>
          <w:i/>
          <w:iCs/>
          <w:sz w:val="18"/>
          <w:szCs w:val="18"/>
          <w:vertAlign w:val="superscript"/>
        </w:rPr>
        <w:t>)</w:t>
      </w:r>
      <w:r w:rsidRPr="001D39F7">
        <w:rPr>
          <w:rFonts w:ascii="Arial" w:hAnsi="Arial" w:cs="Arial"/>
          <w:i/>
          <w:iCs/>
          <w:sz w:val="18"/>
          <w:szCs w:val="18"/>
        </w:rPr>
        <w:t>Acquisition of 15 stores in Romania completed during Q2 2013/14 therefore not applicable.</w:t>
      </w:r>
    </w:p>
    <w:p w:rsidR="009E7E43" w:rsidRDefault="005066DC" w:rsidP="00B41718">
      <w:pPr>
        <w:tabs>
          <w:tab w:val="left" w:pos="357"/>
        </w:tabs>
        <w:ind w:right="-282"/>
        <w:jc w:val="left"/>
        <w:rPr>
          <w:rFonts w:ascii="Arial" w:hAnsi="Arial" w:cs="Arial"/>
          <w:i/>
          <w:iCs/>
          <w:sz w:val="18"/>
          <w:szCs w:val="18"/>
        </w:rPr>
      </w:pPr>
      <w:r>
        <w:rPr>
          <w:rFonts w:ascii="Arial" w:hAnsi="Arial" w:cs="Arial"/>
          <w:i/>
          <w:iCs/>
          <w:sz w:val="18"/>
          <w:szCs w:val="18"/>
          <w:vertAlign w:val="superscript"/>
        </w:rPr>
        <w:t xml:space="preserve"> </w:t>
      </w:r>
      <w:r w:rsidR="00B41718">
        <w:rPr>
          <w:rFonts w:ascii="Arial" w:hAnsi="Arial" w:cs="Arial"/>
          <w:i/>
          <w:iCs/>
          <w:sz w:val="18"/>
          <w:szCs w:val="18"/>
          <w:vertAlign w:val="superscript"/>
        </w:rPr>
        <w:t>(</w:t>
      </w:r>
      <w:r w:rsidR="00B74EFF">
        <w:rPr>
          <w:rFonts w:ascii="Arial" w:hAnsi="Arial" w:cs="Arial"/>
          <w:i/>
          <w:iCs/>
          <w:sz w:val="18"/>
          <w:szCs w:val="18"/>
          <w:vertAlign w:val="superscript"/>
        </w:rPr>
        <w:t>2</w:t>
      </w:r>
      <w:r w:rsidR="00B41718" w:rsidRPr="00D97E00">
        <w:rPr>
          <w:rFonts w:ascii="Arial" w:hAnsi="Arial" w:cs="Arial"/>
          <w:i/>
          <w:iCs/>
          <w:sz w:val="18"/>
          <w:szCs w:val="18"/>
          <w:vertAlign w:val="superscript"/>
        </w:rPr>
        <w:t>)</w:t>
      </w:r>
      <w:r w:rsidR="00B41718" w:rsidRPr="00D23E19">
        <w:rPr>
          <w:rFonts w:ascii="Arial" w:hAnsi="Arial" w:cs="Arial"/>
          <w:i/>
          <w:iCs/>
          <w:sz w:val="18"/>
          <w:szCs w:val="18"/>
        </w:rPr>
        <w:t xml:space="preserve"> </w:t>
      </w:r>
      <w:r w:rsidR="00B41718" w:rsidRPr="00DB7164">
        <w:rPr>
          <w:rFonts w:ascii="Arial" w:hAnsi="Arial" w:cs="Arial"/>
          <w:i/>
          <w:iCs/>
          <w:sz w:val="18"/>
          <w:szCs w:val="18"/>
        </w:rPr>
        <w:t xml:space="preserve">Joint Venture (Koçtaş JV) </w:t>
      </w:r>
      <w:r w:rsidR="00B41718">
        <w:rPr>
          <w:rFonts w:ascii="Arial" w:hAnsi="Arial" w:cs="Arial"/>
          <w:i/>
          <w:iCs/>
          <w:sz w:val="18"/>
          <w:szCs w:val="18"/>
        </w:rPr>
        <w:t>sales are not consolidated therefore not applicable</w:t>
      </w:r>
      <w:r w:rsidR="001D39F7">
        <w:rPr>
          <w:rFonts w:ascii="Arial" w:hAnsi="Arial" w:cs="Arial"/>
          <w:i/>
          <w:iCs/>
          <w:sz w:val="18"/>
          <w:szCs w:val="18"/>
        </w:rPr>
        <w:t>.</w:t>
      </w:r>
    </w:p>
    <w:p w:rsidR="001D39F7" w:rsidRDefault="001D39F7" w:rsidP="001D39F7">
      <w:pPr>
        <w:tabs>
          <w:tab w:val="left" w:pos="357"/>
        </w:tabs>
        <w:ind w:right="-282"/>
        <w:jc w:val="left"/>
        <w:rPr>
          <w:rFonts w:ascii="Arial" w:hAnsi="Arial" w:cs="Arial"/>
          <w:i/>
          <w:iCs/>
          <w:sz w:val="18"/>
          <w:szCs w:val="18"/>
        </w:rPr>
      </w:pPr>
      <w:r>
        <w:rPr>
          <w:rFonts w:ascii="Arial" w:hAnsi="Arial" w:cs="Arial"/>
          <w:i/>
          <w:iCs/>
          <w:sz w:val="18"/>
          <w:szCs w:val="18"/>
          <w:vertAlign w:val="superscript"/>
        </w:rPr>
        <w:t>(3)</w:t>
      </w:r>
      <w:r w:rsidRPr="00D23E19">
        <w:rPr>
          <w:rFonts w:ascii="Arial" w:hAnsi="Arial" w:cs="Arial"/>
          <w:i/>
          <w:iCs/>
          <w:sz w:val="18"/>
          <w:szCs w:val="18"/>
        </w:rPr>
        <w:t xml:space="preserve"> </w:t>
      </w:r>
      <w:r w:rsidRPr="001D39F7">
        <w:rPr>
          <w:rFonts w:ascii="Arial" w:hAnsi="Arial" w:cs="Arial"/>
          <w:i/>
          <w:iCs/>
          <w:sz w:val="18"/>
          <w:szCs w:val="18"/>
        </w:rPr>
        <w:t>Excludes Hornbach contribution to retail profit</w:t>
      </w:r>
      <w:r w:rsidR="00135E15">
        <w:rPr>
          <w:rFonts w:ascii="Arial" w:hAnsi="Arial" w:cs="Arial"/>
          <w:i/>
          <w:iCs/>
          <w:sz w:val="18"/>
          <w:szCs w:val="18"/>
        </w:rPr>
        <w:t xml:space="preserve">, in both the current and prior years, </w:t>
      </w:r>
      <w:r w:rsidRPr="001D39F7">
        <w:rPr>
          <w:rFonts w:ascii="Arial" w:hAnsi="Arial" w:cs="Arial"/>
          <w:i/>
          <w:iCs/>
          <w:sz w:val="18"/>
          <w:szCs w:val="18"/>
        </w:rPr>
        <w:t>following its disposal in March 2014.</w:t>
      </w:r>
    </w:p>
    <w:p w:rsidR="00774326" w:rsidRDefault="00774326" w:rsidP="001D39F7">
      <w:pPr>
        <w:tabs>
          <w:tab w:val="left" w:pos="357"/>
        </w:tabs>
        <w:ind w:right="-282"/>
        <w:jc w:val="left"/>
        <w:rPr>
          <w:rFonts w:ascii="Arial" w:hAnsi="Arial" w:cs="Arial"/>
          <w:i/>
          <w:iCs/>
          <w:sz w:val="18"/>
          <w:szCs w:val="18"/>
        </w:rPr>
      </w:pPr>
    </w:p>
    <w:p w:rsidR="001D39F7" w:rsidRDefault="001D39F7" w:rsidP="00B41718">
      <w:pPr>
        <w:tabs>
          <w:tab w:val="left" w:pos="357"/>
        </w:tabs>
        <w:ind w:right="-282"/>
        <w:jc w:val="left"/>
        <w:rPr>
          <w:rFonts w:ascii="Arial" w:hAnsi="Arial" w:cs="Arial"/>
          <w:i/>
          <w:iCs/>
          <w:sz w:val="18"/>
          <w:szCs w:val="18"/>
        </w:rPr>
      </w:pPr>
    </w:p>
    <w:p w:rsidR="001D39F7" w:rsidRDefault="001D39F7" w:rsidP="00B41718">
      <w:pPr>
        <w:tabs>
          <w:tab w:val="left" w:pos="357"/>
        </w:tabs>
        <w:ind w:right="-282"/>
        <w:jc w:val="left"/>
        <w:rPr>
          <w:rFonts w:ascii="Arial" w:hAnsi="Arial" w:cs="Arial"/>
          <w:i/>
          <w:iCs/>
          <w:sz w:val="18"/>
          <w:szCs w:val="18"/>
        </w:rPr>
      </w:pPr>
    </w:p>
    <w:p w:rsidR="00B41718" w:rsidRPr="00FF400E" w:rsidRDefault="00B41718" w:rsidP="00094372">
      <w:pPr>
        <w:tabs>
          <w:tab w:val="left" w:pos="357"/>
        </w:tabs>
        <w:ind w:right="-282"/>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17"/>
      </w:tblGrid>
      <w:tr w:rsidR="00B41718" w:rsidRPr="00616A26" w:rsidTr="001A7723">
        <w:trPr>
          <w:trHeight w:val="317"/>
        </w:trPr>
        <w:tc>
          <w:tcPr>
            <w:tcW w:w="8613" w:type="dxa"/>
            <w:gridSpan w:val="3"/>
            <w:tcBorders>
              <w:bottom w:val="single" w:sz="4" w:space="0" w:color="auto"/>
            </w:tcBorders>
          </w:tcPr>
          <w:p w:rsidR="00B41718" w:rsidRPr="00C82F88" w:rsidRDefault="00AD6613" w:rsidP="001A7723">
            <w:pPr>
              <w:spacing w:before="40"/>
              <w:jc w:val="left"/>
              <w:rPr>
                <w:rFonts w:ascii="Arial" w:hAnsi="Arial" w:cs="Arial"/>
                <w:b/>
                <w:sz w:val="22"/>
                <w:szCs w:val="22"/>
              </w:rPr>
            </w:pPr>
            <w:r>
              <w:rPr>
                <w:rFonts w:ascii="Arial" w:hAnsi="Arial" w:cs="Arial"/>
                <w:b/>
                <w:sz w:val="22"/>
                <w:szCs w:val="22"/>
              </w:rPr>
              <w:t>A</w:t>
            </w:r>
            <w:r w:rsidR="00B41718" w:rsidRPr="00C82F88">
              <w:rPr>
                <w:rFonts w:ascii="Arial" w:hAnsi="Arial" w:cs="Arial"/>
                <w:b/>
                <w:sz w:val="22"/>
                <w:szCs w:val="22"/>
              </w:rPr>
              <w:t>verage FX rates vs £ Sterling</w:t>
            </w:r>
          </w:p>
        </w:tc>
      </w:tr>
      <w:tr w:rsidR="005066DC" w:rsidRPr="00616A26" w:rsidTr="001A7723">
        <w:trPr>
          <w:trHeight w:val="317"/>
        </w:trPr>
        <w:tc>
          <w:tcPr>
            <w:tcW w:w="5778" w:type="dxa"/>
            <w:tcBorders>
              <w:top w:val="single" w:sz="4" w:space="0" w:color="auto"/>
              <w:bottom w:val="single" w:sz="4" w:space="0" w:color="auto"/>
            </w:tcBorders>
          </w:tcPr>
          <w:p w:rsidR="005066DC" w:rsidRPr="00C82F88" w:rsidRDefault="005066DC" w:rsidP="005066DC">
            <w:pPr>
              <w:spacing w:before="60"/>
              <w:rPr>
                <w:rFonts w:ascii="Arial" w:hAnsi="Arial" w:cs="Arial"/>
                <w:b/>
                <w:sz w:val="22"/>
                <w:szCs w:val="22"/>
              </w:rPr>
            </w:pPr>
          </w:p>
        </w:tc>
        <w:tc>
          <w:tcPr>
            <w:tcW w:w="1418" w:type="dxa"/>
            <w:tcBorders>
              <w:top w:val="single" w:sz="4" w:space="0" w:color="auto"/>
              <w:bottom w:val="single" w:sz="4" w:space="0" w:color="auto"/>
            </w:tcBorders>
          </w:tcPr>
          <w:p w:rsidR="005066DC" w:rsidRPr="00585D18" w:rsidRDefault="005066DC" w:rsidP="005066DC">
            <w:pPr>
              <w:spacing w:before="60"/>
              <w:jc w:val="right"/>
              <w:rPr>
                <w:rFonts w:ascii="Arial" w:hAnsi="Arial" w:cs="Arial"/>
                <w:b/>
                <w:sz w:val="22"/>
                <w:szCs w:val="22"/>
              </w:rPr>
            </w:pPr>
            <w:r w:rsidRPr="00585D18">
              <w:rPr>
                <w:rFonts w:ascii="Arial" w:hAnsi="Arial" w:cs="Arial"/>
                <w:b/>
                <w:sz w:val="22"/>
                <w:szCs w:val="22"/>
              </w:rPr>
              <w:t>2014/15</w:t>
            </w:r>
          </w:p>
        </w:tc>
        <w:tc>
          <w:tcPr>
            <w:tcW w:w="1417" w:type="dxa"/>
            <w:tcBorders>
              <w:top w:val="single" w:sz="4" w:space="0" w:color="auto"/>
              <w:bottom w:val="single" w:sz="4" w:space="0" w:color="auto"/>
            </w:tcBorders>
          </w:tcPr>
          <w:p w:rsidR="005066DC" w:rsidRPr="00585D18" w:rsidRDefault="005066DC" w:rsidP="005066DC">
            <w:pPr>
              <w:spacing w:before="60"/>
              <w:jc w:val="right"/>
              <w:rPr>
                <w:rFonts w:ascii="Arial" w:hAnsi="Arial" w:cs="Arial"/>
                <w:b/>
                <w:sz w:val="22"/>
                <w:szCs w:val="22"/>
              </w:rPr>
            </w:pPr>
            <w:r w:rsidRPr="00585D18">
              <w:rPr>
                <w:rFonts w:ascii="Arial" w:hAnsi="Arial" w:cs="Arial"/>
                <w:b/>
                <w:sz w:val="22"/>
                <w:szCs w:val="22"/>
              </w:rPr>
              <w:t>2013/14</w:t>
            </w:r>
          </w:p>
        </w:tc>
      </w:tr>
      <w:tr w:rsidR="005066DC" w:rsidRPr="00616A26" w:rsidTr="00B155FE">
        <w:trPr>
          <w:trHeight w:val="306"/>
        </w:trPr>
        <w:tc>
          <w:tcPr>
            <w:tcW w:w="5778" w:type="dxa"/>
            <w:tcBorders>
              <w:top w:val="single" w:sz="4" w:space="0" w:color="auto"/>
            </w:tcBorders>
          </w:tcPr>
          <w:p w:rsidR="005066DC" w:rsidRPr="00C82F88" w:rsidRDefault="005066DC" w:rsidP="005066DC">
            <w:pPr>
              <w:spacing w:before="60"/>
              <w:rPr>
                <w:rFonts w:ascii="Arial" w:hAnsi="Arial" w:cs="Arial"/>
                <w:sz w:val="22"/>
                <w:szCs w:val="22"/>
              </w:rPr>
            </w:pPr>
            <w:r w:rsidRPr="00C82F88">
              <w:rPr>
                <w:rFonts w:ascii="Arial" w:hAnsi="Arial" w:cs="Arial"/>
                <w:sz w:val="22"/>
                <w:szCs w:val="22"/>
              </w:rPr>
              <w:t>Euro</w:t>
            </w:r>
          </w:p>
        </w:tc>
        <w:tc>
          <w:tcPr>
            <w:tcW w:w="1418" w:type="dxa"/>
            <w:tcBorders>
              <w:top w:val="single" w:sz="4" w:space="0" w:color="auto"/>
            </w:tcBorders>
          </w:tcPr>
          <w:p w:rsidR="005066DC" w:rsidRPr="00585D18" w:rsidRDefault="00585D18" w:rsidP="005066DC">
            <w:pPr>
              <w:spacing w:before="60"/>
              <w:jc w:val="right"/>
              <w:rPr>
                <w:rFonts w:ascii="Arial" w:hAnsi="Arial" w:cs="Arial"/>
                <w:sz w:val="22"/>
                <w:szCs w:val="22"/>
              </w:rPr>
            </w:pPr>
            <w:r w:rsidRPr="00585D18">
              <w:rPr>
                <w:rFonts w:ascii="Arial" w:hAnsi="Arial" w:cs="Arial"/>
                <w:sz w:val="22"/>
                <w:szCs w:val="22"/>
              </w:rPr>
              <w:t>1.21</w:t>
            </w:r>
          </w:p>
        </w:tc>
        <w:tc>
          <w:tcPr>
            <w:tcW w:w="1417" w:type="dxa"/>
            <w:tcBorders>
              <w:top w:val="single" w:sz="4" w:space="0" w:color="auto"/>
            </w:tcBorders>
          </w:tcPr>
          <w:p w:rsidR="005066DC" w:rsidRPr="00C82F88" w:rsidRDefault="005066DC" w:rsidP="005066DC">
            <w:pPr>
              <w:spacing w:before="60"/>
              <w:jc w:val="right"/>
              <w:rPr>
                <w:rFonts w:ascii="Arial" w:hAnsi="Arial" w:cs="Arial"/>
                <w:sz w:val="22"/>
                <w:szCs w:val="22"/>
              </w:rPr>
            </w:pPr>
            <w:r>
              <w:rPr>
                <w:rFonts w:ascii="Arial" w:hAnsi="Arial" w:cs="Arial"/>
                <w:sz w:val="22"/>
                <w:szCs w:val="22"/>
              </w:rPr>
              <w:t>1.17</w:t>
            </w:r>
          </w:p>
        </w:tc>
      </w:tr>
      <w:tr w:rsidR="005066DC" w:rsidRPr="00616A26" w:rsidTr="00B155FE">
        <w:tc>
          <w:tcPr>
            <w:tcW w:w="5778" w:type="dxa"/>
          </w:tcPr>
          <w:p w:rsidR="005066DC" w:rsidRPr="00C82F88" w:rsidRDefault="005066DC" w:rsidP="005066DC">
            <w:pPr>
              <w:rPr>
                <w:rFonts w:ascii="Arial" w:hAnsi="Arial" w:cs="Arial"/>
                <w:sz w:val="22"/>
                <w:szCs w:val="22"/>
              </w:rPr>
            </w:pPr>
            <w:r w:rsidRPr="00C82F88">
              <w:rPr>
                <w:rFonts w:ascii="Arial" w:hAnsi="Arial" w:cs="Arial"/>
                <w:sz w:val="22"/>
                <w:szCs w:val="22"/>
              </w:rPr>
              <w:t>Polish Zloty</w:t>
            </w:r>
          </w:p>
        </w:tc>
        <w:tc>
          <w:tcPr>
            <w:tcW w:w="1418" w:type="dxa"/>
          </w:tcPr>
          <w:p w:rsidR="005066DC" w:rsidRPr="00585D18" w:rsidRDefault="00585D18" w:rsidP="005066DC">
            <w:pPr>
              <w:jc w:val="right"/>
              <w:rPr>
                <w:rFonts w:ascii="Arial" w:hAnsi="Arial" w:cs="Arial"/>
                <w:sz w:val="22"/>
                <w:szCs w:val="22"/>
              </w:rPr>
            </w:pPr>
            <w:r>
              <w:rPr>
                <w:rFonts w:ascii="Arial" w:hAnsi="Arial" w:cs="Arial"/>
                <w:sz w:val="22"/>
                <w:szCs w:val="22"/>
              </w:rPr>
              <w:t>5.06</w:t>
            </w:r>
          </w:p>
        </w:tc>
        <w:tc>
          <w:tcPr>
            <w:tcW w:w="1417" w:type="dxa"/>
          </w:tcPr>
          <w:p w:rsidR="005066DC" w:rsidRPr="00C82F88" w:rsidRDefault="005066DC" w:rsidP="005066DC">
            <w:pPr>
              <w:jc w:val="right"/>
              <w:rPr>
                <w:rFonts w:ascii="Arial" w:hAnsi="Arial" w:cs="Arial"/>
                <w:sz w:val="22"/>
                <w:szCs w:val="22"/>
              </w:rPr>
            </w:pPr>
            <w:r>
              <w:rPr>
                <w:rFonts w:ascii="Arial" w:hAnsi="Arial" w:cs="Arial"/>
                <w:sz w:val="22"/>
                <w:szCs w:val="22"/>
              </w:rPr>
              <w:t>4.85</w:t>
            </w:r>
          </w:p>
        </w:tc>
      </w:tr>
      <w:tr w:rsidR="005066DC" w:rsidRPr="00616A26" w:rsidTr="00B155FE">
        <w:tc>
          <w:tcPr>
            <w:tcW w:w="5778" w:type="dxa"/>
          </w:tcPr>
          <w:p w:rsidR="005066DC" w:rsidRPr="00C82F88" w:rsidRDefault="005066DC" w:rsidP="005066DC">
            <w:pPr>
              <w:rPr>
                <w:rFonts w:ascii="Arial" w:hAnsi="Arial" w:cs="Arial"/>
                <w:sz w:val="22"/>
                <w:szCs w:val="22"/>
              </w:rPr>
            </w:pPr>
            <w:r w:rsidRPr="00C82F88">
              <w:rPr>
                <w:rFonts w:ascii="Arial" w:hAnsi="Arial" w:cs="Arial"/>
                <w:sz w:val="22"/>
                <w:szCs w:val="22"/>
              </w:rPr>
              <w:t xml:space="preserve">Chinese Renminbi </w:t>
            </w:r>
          </w:p>
        </w:tc>
        <w:tc>
          <w:tcPr>
            <w:tcW w:w="1418" w:type="dxa"/>
          </w:tcPr>
          <w:p w:rsidR="005066DC" w:rsidRPr="00585D18" w:rsidRDefault="00585D18" w:rsidP="005066DC">
            <w:pPr>
              <w:jc w:val="right"/>
              <w:rPr>
                <w:rFonts w:ascii="Arial" w:hAnsi="Arial" w:cs="Arial"/>
                <w:sz w:val="22"/>
                <w:szCs w:val="22"/>
              </w:rPr>
            </w:pPr>
            <w:r>
              <w:rPr>
                <w:rFonts w:ascii="Arial" w:hAnsi="Arial" w:cs="Arial"/>
                <w:sz w:val="22"/>
                <w:szCs w:val="22"/>
              </w:rPr>
              <w:t>10.26</w:t>
            </w:r>
          </w:p>
        </w:tc>
        <w:tc>
          <w:tcPr>
            <w:tcW w:w="1417" w:type="dxa"/>
          </w:tcPr>
          <w:p w:rsidR="005066DC" w:rsidRPr="00C82F88" w:rsidRDefault="005066DC" w:rsidP="005066DC">
            <w:pPr>
              <w:jc w:val="right"/>
              <w:rPr>
                <w:rFonts w:ascii="Arial" w:hAnsi="Arial" w:cs="Arial"/>
                <w:sz w:val="22"/>
                <w:szCs w:val="22"/>
              </w:rPr>
            </w:pPr>
            <w:r>
              <w:rPr>
                <w:rFonts w:ascii="Arial" w:hAnsi="Arial" w:cs="Arial"/>
                <w:sz w:val="22"/>
                <w:szCs w:val="22"/>
              </w:rPr>
              <w:t>9.50</w:t>
            </w:r>
          </w:p>
        </w:tc>
      </w:tr>
      <w:tr w:rsidR="00E85D08" w:rsidRPr="00616A26" w:rsidTr="00A81F4E">
        <w:tc>
          <w:tcPr>
            <w:tcW w:w="5778" w:type="dxa"/>
          </w:tcPr>
          <w:p w:rsidR="00E85D08" w:rsidRPr="00C82F88" w:rsidRDefault="00E85D08" w:rsidP="00A81F4E">
            <w:pPr>
              <w:spacing w:after="20"/>
              <w:rPr>
                <w:rFonts w:ascii="Arial" w:hAnsi="Arial" w:cs="Arial"/>
                <w:sz w:val="22"/>
                <w:szCs w:val="22"/>
              </w:rPr>
            </w:pPr>
            <w:r w:rsidRPr="00C82F88">
              <w:rPr>
                <w:rFonts w:ascii="Arial" w:hAnsi="Arial" w:cs="Arial"/>
                <w:sz w:val="22"/>
                <w:szCs w:val="22"/>
              </w:rPr>
              <w:t xml:space="preserve">Russian Rouble </w:t>
            </w:r>
          </w:p>
        </w:tc>
        <w:tc>
          <w:tcPr>
            <w:tcW w:w="1418" w:type="dxa"/>
          </w:tcPr>
          <w:p w:rsidR="00E85D08" w:rsidRPr="00585D18" w:rsidRDefault="00E85D08" w:rsidP="00A81F4E">
            <w:pPr>
              <w:spacing w:after="20"/>
              <w:jc w:val="right"/>
              <w:rPr>
                <w:rFonts w:ascii="Arial" w:hAnsi="Arial" w:cs="Arial"/>
                <w:sz w:val="22"/>
                <w:szCs w:val="22"/>
              </w:rPr>
            </w:pPr>
            <w:r>
              <w:rPr>
                <w:rFonts w:ascii="Arial" w:hAnsi="Arial" w:cs="Arial"/>
                <w:sz w:val="22"/>
                <w:szCs w:val="22"/>
              </w:rPr>
              <w:t>59.43</w:t>
            </w:r>
          </w:p>
        </w:tc>
        <w:tc>
          <w:tcPr>
            <w:tcW w:w="1417" w:type="dxa"/>
          </w:tcPr>
          <w:p w:rsidR="00E85D08" w:rsidRPr="00C82F88" w:rsidRDefault="00E85D08" w:rsidP="00A81F4E">
            <w:pPr>
              <w:spacing w:after="20"/>
              <w:jc w:val="right"/>
              <w:rPr>
                <w:rFonts w:ascii="Arial" w:hAnsi="Arial" w:cs="Arial"/>
                <w:sz w:val="22"/>
                <w:szCs w:val="22"/>
              </w:rPr>
            </w:pPr>
            <w:r>
              <w:rPr>
                <w:rFonts w:ascii="Arial" w:hAnsi="Arial" w:cs="Arial"/>
                <w:sz w:val="22"/>
                <w:szCs w:val="22"/>
              </w:rPr>
              <w:t>47.14</w:t>
            </w:r>
          </w:p>
        </w:tc>
      </w:tr>
      <w:tr w:rsidR="00A66631" w:rsidRPr="00616A26" w:rsidTr="00B155FE">
        <w:tc>
          <w:tcPr>
            <w:tcW w:w="5778" w:type="dxa"/>
          </w:tcPr>
          <w:p w:rsidR="00A66631" w:rsidRPr="00C82F88" w:rsidRDefault="00A66631" w:rsidP="005066DC">
            <w:pPr>
              <w:spacing w:after="20"/>
              <w:rPr>
                <w:rFonts w:ascii="Arial" w:hAnsi="Arial" w:cs="Arial"/>
                <w:szCs w:val="22"/>
              </w:rPr>
            </w:pPr>
            <w:r w:rsidRPr="00B74EFF">
              <w:rPr>
                <w:rFonts w:ascii="Arial" w:hAnsi="Arial" w:cs="Arial"/>
                <w:sz w:val="22"/>
                <w:szCs w:val="22"/>
              </w:rPr>
              <w:t>Romania</w:t>
            </w:r>
            <w:r>
              <w:rPr>
                <w:rFonts w:ascii="Arial" w:hAnsi="Arial" w:cs="Arial"/>
                <w:sz w:val="22"/>
                <w:szCs w:val="22"/>
              </w:rPr>
              <w:t>n</w:t>
            </w:r>
            <w:r w:rsidRPr="00B74EFF">
              <w:rPr>
                <w:rFonts w:ascii="Arial" w:hAnsi="Arial" w:cs="Arial"/>
                <w:sz w:val="22"/>
                <w:szCs w:val="22"/>
              </w:rPr>
              <w:t xml:space="preserve"> Leu</w:t>
            </w:r>
          </w:p>
        </w:tc>
        <w:tc>
          <w:tcPr>
            <w:tcW w:w="1418" w:type="dxa"/>
          </w:tcPr>
          <w:p w:rsidR="00A66631" w:rsidRPr="00A66631" w:rsidRDefault="00A66631" w:rsidP="005066DC">
            <w:pPr>
              <w:spacing w:after="20"/>
              <w:jc w:val="right"/>
              <w:rPr>
                <w:rFonts w:ascii="Arial" w:hAnsi="Arial" w:cs="Arial"/>
                <w:sz w:val="22"/>
                <w:szCs w:val="22"/>
              </w:rPr>
            </w:pPr>
            <w:r w:rsidRPr="00A66631">
              <w:rPr>
                <w:rFonts w:ascii="Arial" w:hAnsi="Arial" w:cs="Arial"/>
                <w:sz w:val="22"/>
                <w:szCs w:val="22"/>
              </w:rPr>
              <w:t>5.41</w:t>
            </w:r>
          </w:p>
        </w:tc>
        <w:tc>
          <w:tcPr>
            <w:tcW w:w="1417" w:type="dxa"/>
          </w:tcPr>
          <w:p w:rsidR="00A66631" w:rsidRPr="00A66631" w:rsidRDefault="00E85D08" w:rsidP="005066DC">
            <w:pPr>
              <w:spacing w:after="20"/>
              <w:jc w:val="right"/>
              <w:rPr>
                <w:rFonts w:ascii="Arial" w:hAnsi="Arial" w:cs="Arial"/>
                <w:sz w:val="22"/>
                <w:szCs w:val="22"/>
              </w:rPr>
            </w:pPr>
            <w:r w:rsidRPr="00B74EFF">
              <w:rPr>
                <w:rFonts w:ascii="Arial" w:hAnsi="Arial" w:cs="Arial"/>
              </w:rPr>
              <w:t>n/a</w:t>
            </w:r>
            <w:r>
              <w:rPr>
                <w:rFonts w:ascii="Arial" w:hAnsi="Arial" w:cs="Arial"/>
                <w:i/>
                <w:vertAlign w:val="superscript"/>
              </w:rPr>
              <w:t>(1</w:t>
            </w:r>
            <w:r w:rsidRPr="00B74EFF">
              <w:rPr>
                <w:rFonts w:ascii="Arial" w:hAnsi="Arial" w:cs="Arial"/>
                <w:i/>
                <w:vertAlign w:val="superscript"/>
              </w:rPr>
              <w:t>)</w:t>
            </w:r>
          </w:p>
        </w:tc>
      </w:tr>
      <w:tr w:rsidR="005066DC" w:rsidRPr="00616A26" w:rsidTr="00A66631">
        <w:tc>
          <w:tcPr>
            <w:tcW w:w="5778" w:type="dxa"/>
            <w:tcBorders>
              <w:bottom w:val="single" w:sz="4" w:space="0" w:color="auto"/>
            </w:tcBorders>
          </w:tcPr>
          <w:p w:rsidR="005066DC" w:rsidRPr="00EC1FEB" w:rsidRDefault="005066DC" w:rsidP="005066DC">
            <w:pPr>
              <w:rPr>
                <w:rFonts w:ascii="Arial" w:hAnsi="Arial" w:cs="Arial"/>
                <w:sz w:val="22"/>
                <w:szCs w:val="22"/>
              </w:rPr>
            </w:pPr>
            <w:r w:rsidRPr="00EC1FEB">
              <w:rPr>
                <w:rFonts w:ascii="Arial" w:hAnsi="Arial" w:cs="Arial"/>
                <w:sz w:val="22"/>
                <w:szCs w:val="22"/>
              </w:rPr>
              <w:t>Turkish Lira</w:t>
            </w:r>
          </w:p>
        </w:tc>
        <w:tc>
          <w:tcPr>
            <w:tcW w:w="1418" w:type="dxa"/>
            <w:tcBorders>
              <w:bottom w:val="single" w:sz="4" w:space="0" w:color="auto"/>
            </w:tcBorders>
          </w:tcPr>
          <w:p w:rsidR="005066DC" w:rsidRPr="00585D18" w:rsidRDefault="00A66631" w:rsidP="005066DC">
            <w:pPr>
              <w:jc w:val="right"/>
              <w:rPr>
                <w:rFonts w:ascii="Arial" w:hAnsi="Arial" w:cs="Arial"/>
                <w:sz w:val="22"/>
                <w:szCs w:val="22"/>
              </w:rPr>
            </w:pPr>
            <w:r>
              <w:rPr>
                <w:rFonts w:ascii="Arial" w:hAnsi="Arial" w:cs="Arial"/>
                <w:sz w:val="22"/>
                <w:szCs w:val="22"/>
              </w:rPr>
              <w:t>3.63</w:t>
            </w:r>
          </w:p>
        </w:tc>
        <w:tc>
          <w:tcPr>
            <w:tcW w:w="1417" w:type="dxa"/>
            <w:tcBorders>
              <w:bottom w:val="single" w:sz="4" w:space="0" w:color="auto"/>
            </w:tcBorders>
          </w:tcPr>
          <w:p w:rsidR="005066DC" w:rsidRPr="00EC1FEB" w:rsidRDefault="005066DC" w:rsidP="005066DC">
            <w:pPr>
              <w:jc w:val="right"/>
              <w:rPr>
                <w:rFonts w:ascii="Arial" w:hAnsi="Arial" w:cs="Arial"/>
                <w:sz w:val="22"/>
                <w:szCs w:val="22"/>
              </w:rPr>
            </w:pPr>
            <w:r>
              <w:rPr>
                <w:rFonts w:ascii="Arial" w:hAnsi="Arial" w:cs="Arial"/>
                <w:sz w:val="22"/>
                <w:szCs w:val="22"/>
              </w:rPr>
              <w:t>2.75</w:t>
            </w:r>
          </w:p>
        </w:tc>
      </w:tr>
    </w:tbl>
    <w:p w:rsidR="00E85D08" w:rsidRDefault="00E85D08" w:rsidP="00E85D08">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D97E00">
        <w:rPr>
          <w:rFonts w:ascii="Arial" w:hAnsi="Arial" w:cs="Arial"/>
          <w:i/>
          <w:iCs/>
          <w:sz w:val="18"/>
          <w:szCs w:val="18"/>
          <w:vertAlign w:val="superscript"/>
        </w:rPr>
        <w:t>)</w:t>
      </w:r>
      <w:r w:rsidRPr="001D39F7">
        <w:rPr>
          <w:rFonts w:ascii="Arial" w:hAnsi="Arial" w:cs="Arial"/>
          <w:i/>
          <w:iCs/>
          <w:sz w:val="18"/>
          <w:szCs w:val="18"/>
        </w:rPr>
        <w:t>Acquisition of 15 stores in Romania completed during Q2 2013/14 therefore not applicable.</w:t>
      </w:r>
    </w:p>
    <w:p w:rsidR="00751BD3" w:rsidRDefault="00751BD3" w:rsidP="00ED6C55">
      <w:pPr>
        <w:autoSpaceDE w:val="0"/>
        <w:autoSpaceDN w:val="0"/>
        <w:adjustRightInd w:val="0"/>
        <w:jc w:val="left"/>
        <w:rPr>
          <w:rFonts w:ascii="Arial" w:hAnsi="Arial" w:cs="Arial"/>
          <w:b/>
          <w:sz w:val="24"/>
          <w:szCs w:val="24"/>
        </w:rPr>
      </w:pPr>
    </w:p>
    <w:p w:rsidR="008E673A" w:rsidRPr="00052140" w:rsidRDefault="008E673A" w:rsidP="008E673A">
      <w:pPr>
        <w:tabs>
          <w:tab w:val="left" w:pos="357"/>
        </w:tabs>
        <w:ind w:right="-282"/>
        <w:jc w:val="left"/>
        <w:rPr>
          <w:rFonts w:ascii="Arial" w:hAnsi="Arial" w:cs="Arial"/>
          <w:iCs/>
          <w:sz w:val="24"/>
          <w:szCs w:val="24"/>
        </w:rPr>
      </w:pPr>
      <w:r w:rsidRPr="00052140">
        <w:rPr>
          <w:rFonts w:ascii="Arial" w:hAnsi="Arial" w:cs="Arial"/>
          <w:iCs/>
          <w:sz w:val="24"/>
          <w:szCs w:val="24"/>
        </w:rPr>
        <w:t>Data tables for</w:t>
      </w:r>
      <w:r w:rsidR="00D6321E">
        <w:rPr>
          <w:rFonts w:ascii="Arial" w:hAnsi="Arial" w:cs="Arial"/>
          <w:iCs/>
          <w:sz w:val="24"/>
          <w:szCs w:val="24"/>
        </w:rPr>
        <w:t xml:space="preserve"> Q1</w:t>
      </w:r>
      <w:r w:rsidRPr="00052140">
        <w:rPr>
          <w:rFonts w:ascii="Arial" w:hAnsi="Arial" w:cs="Arial"/>
          <w:iCs/>
          <w:sz w:val="24"/>
          <w:szCs w:val="24"/>
        </w:rPr>
        <w:t xml:space="preserve"> are available for download in excel format at </w:t>
      </w:r>
      <w:hyperlink r:id="rId8" w:history="1">
        <w:r w:rsidR="003A1AD2" w:rsidRPr="003A1AD2">
          <w:rPr>
            <w:rStyle w:val="Hyperlink"/>
            <w:rFonts w:ascii="Arial" w:hAnsi="Arial" w:cs="Arial"/>
            <w:iCs/>
            <w:sz w:val="24"/>
            <w:szCs w:val="24"/>
          </w:rPr>
          <w:t>http://www.kingfisher.com/index.asp?pageid</w:t>
        </w:r>
        <w:r w:rsidR="003A1AD2" w:rsidRPr="005028B6">
          <w:rPr>
            <w:rStyle w:val="Hyperlink"/>
            <w:rFonts w:ascii="Arial" w:hAnsi="Arial" w:cs="Arial"/>
            <w:iCs/>
            <w:sz w:val="24"/>
            <w:szCs w:val="24"/>
          </w:rPr>
          <w:t>=59</w:t>
        </w:r>
      </w:hyperlink>
      <w:r w:rsidR="000B69C3">
        <w:rPr>
          <w:rFonts w:ascii="Arial" w:hAnsi="Arial" w:cs="Arial"/>
          <w:iCs/>
          <w:sz w:val="24"/>
          <w:szCs w:val="24"/>
        </w:rPr>
        <w:t>.</w:t>
      </w:r>
    </w:p>
    <w:p w:rsidR="008E673A" w:rsidRDefault="008E673A" w:rsidP="00ED6C55">
      <w:pPr>
        <w:autoSpaceDE w:val="0"/>
        <w:autoSpaceDN w:val="0"/>
        <w:adjustRightInd w:val="0"/>
        <w:jc w:val="left"/>
        <w:rPr>
          <w:rFonts w:ascii="Arial" w:hAnsi="Arial" w:cs="Arial"/>
          <w:b/>
          <w:sz w:val="24"/>
          <w:szCs w:val="24"/>
        </w:rPr>
      </w:pPr>
    </w:p>
    <w:p w:rsidR="008E673A" w:rsidRDefault="008E673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F363AA" w:rsidRDefault="00F363AA" w:rsidP="00ED6C55">
      <w:pPr>
        <w:autoSpaceDE w:val="0"/>
        <w:autoSpaceDN w:val="0"/>
        <w:adjustRightInd w:val="0"/>
        <w:jc w:val="left"/>
        <w:rPr>
          <w:rFonts w:ascii="Arial" w:hAnsi="Arial" w:cs="Arial"/>
          <w:b/>
          <w:sz w:val="24"/>
          <w:szCs w:val="24"/>
        </w:rPr>
      </w:pPr>
    </w:p>
    <w:p w:rsidR="00ED6C55" w:rsidRPr="00FD57E1" w:rsidRDefault="0028321F" w:rsidP="00ED6C55">
      <w:pPr>
        <w:autoSpaceDE w:val="0"/>
        <w:autoSpaceDN w:val="0"/>
        <w:adjustRightInd w:val="0"/>
        <w:jc w:val="left"/>
        <w:rPr>
          <w:rFonts w:ascii="Arial" w:hAnsi="Arial" w:cs="Arial"/>
          <w:b/>
          <w:sz w:val="24"/>
          <w:szCs w:val="24"/>
        </w:rPr>
      </w:pPr>
      <w:r>
        <w:rPr>
          <w:rFonts w:ascii="Arial" w:hAnsi="Arial" w:cs="Arial"/>
          <w:b/>
          <w:sz w:val="24"/>
          <w:szCs w:val="24"/>
        </w:rPr>
        <w:t>CREATING THE LEADER</w:t>
      </w:r>
    </w:p>
    <w:p w:rsidR="00ED6C55" w:rsidRPr="00FD57E1" w:rsidRDefault="00ED6C55" w:rsidP="00ED6C55">
      <w:pPr>
        <w:autoSpaceDE w:val="0"/>
        <w:autoSpaceDN w:val="0"/>
        <w:adjustRightInd w:val="0"/>
        <w:jc w:val="left"/>
        <w:rPr>
          <w:rFonts w:ascii="Arial" w:hAnsi="Arial" w:cs="Arial"/>
          <w:sz w:val="24"/>
          <w:szCs w:val="24"/>
        </w:rPr>
      </w:pPr>
    </w:p>
    <w:p w:rsidR="00ED6C55" w:rsidRPr="00FD57E1" w:rsidRDefault="00ED6C55" w:rsidP="00ED662A">
      <w:pPr>
        <w:tabs>
          <w:tab w:val="left" w:pos="5940"/>
        </w:tabs>
        <w:jc w:val="left"/>
        <w:rPr>
          <w:rFonts w:ascii="Arial" w:hAnsi="Arial" w:cs="Arial"/>
          <w:sz w:val="24"/>
          <w:szCs w:val="24"/>
        </w:rPr>
      </w:pPr>
      <w:r w:rsidRPr="00FD57E1">
        <w:rPr>
          <w:rFonts w:ascii="Arial" w:hAnsi="Arial" w:cs="Arial"/>
          <w:sz w:val="24"/>
          <w:szCs w:val="24"/>
        </w:rPr>
        <w:t xml:space="preserve">Progress continued with the next </w:t>
      </w:r>
      <w:r w:rsidR="007B6FE4" w:rsidRPr="00FD57E1">
        <w:rPr>
          <w:rFonts w:ascii="Arial" w:hAnsi="Arial" w:cs="Arial"/>
          <w:sz w:val="24"/>
          <w:szCs w:val="24"/>
        </w:rPr>
        <w:t xml:space="preserve">phase </w:t>
      </w:r>
      <w:r w:rsidRPr="00FD57E1">
        <w:rPr>
          <w:rFonts w:ascii="Arial" w:hAnsi="Arial" w:cs="Arial"/>
          <w:sz w:val="24"/>
          <w:szCs w:val="24"/>
        </w:rPr>
        <w:t>of our medium term development</w:t>
      </w:r>
      <w:r w:rsidR="007B6FE4" w:rsidRPr="00FD57E1">
        <w:rPr>
          <w:rFonts w:ascii="Arial" w:hAnsi="Arial" w:cs="Arial"/>
          <w:sz w:val="24"/>
          <w:szCs w:val="24"/>
        </w:rPr>
        <w:t xml:space="preserve"> under the following eight</w:t>
      </w:r>
      <w:r w:rsidRPr="00FD57E1">
        <w:rPr>
          <w:rFonts w:ascii="Arial" w:hAnsi="Arial" w:cs="Arial"/>
          <w:sz w:val="24"/>
          <w:szCs w:val="24"/>
        </w:rPr>
        <w:t xml:space="preserve"> steps:</w:t>
      </w:r>
      <w:r w:rsidRPr="00FD57E1">
        <w:rPr>
          <w:rFonts w:ascii="Arial" w:hAnsi="Arial" w:cs="Arial"/>
          <w:sz w:val="24"/>
          <w:szCs w:val="24"/>
        </w:rPr>
        <w:tab/>
      </w:r>
    </w:p>
    <w:p w:rsidR="00ED6C55" w:rsidRPr="00FD57E1" w:rsidRDefault="00ED6C55" w:rsidP="00ED6C55">
      <w:pPr>
        <w:tabs>
          <w:tab w:val="left" w:pos="5940"/>
        </w:tabs>
        <w:rPr>
          <w:rFonts w:ascii="Arial" w:hAnsi="Arial" w:cs="Arial"/>
          <w:sz w:val="24"/>
          <w:szCs w:val="24"/>
        </w:rPr>
      </w:pPr>
    </w:p>
    <w:p w:rsidR="00ED6C55" w:rsidRPr="00FD57E1" w:rsidRDefault="00ED6C55" w:rsidP="00ED662A">
      <w:pPr>
        <w:ind w:left="720"/>
        <w:jc w:val="left"/>
        <w:rPr>
          <w:rFonts w:ascii="Arial" w:hAnsi="Arial" w:cs="Arial"/>
          <w:sz w:val="24"/>
          <w:szCs w:val="24"/>
        </w:rPr>
      </w:pPr>
      <w:r w:rsidRPr="00FD57E1">
        <w:rPr>
          <w:rFonts w:ascii="Arial" w:hAnsi="Arial" w:cs="Arial"/>
          <w:b/>
          <w:sz w:val="24"/>
          <w:szCs w:val="24"/>
        </w:rPr>
        <w:t xml:space="preserve">EASIER </w:t>
      </w:r>
    </w:p>
    <w:p w:rsidR="00ED6C55" w:rsidRPr="00FD57E1" w:rsidRDefault="00ED6C55" w:rsidP="00ED6C55">
      <w:pPr>
        <w:numPr>
          <w:ilvl w:val="0"/>
          <w:numId w:val="23"/>
        </w:numPr>
        <w:jc w:val="left"/>
        <w:rPr>
          <w:rFonts w:ascii="Arial" w:hAnsi="Arial" w:cs="Arial"/>
          <w:sz w:val="24"/>
          <w:szCs w:val="24"/>
        </w:rPr>
      </w:pPr>
      <w:r w:rsidRPr="00FD57E1">
        <w:rPr>
          <w:rFonts w:ascii="Arial" w:hAnsi="Arial" w:cs="Arial"/>
          <w:sz w:val="24"/>
          <w:szCs w:val="24"/>
        </w:rPr>
        <w:t>Making it easier for our customers to improve their home</w:t>
      </w:r>
    </w:p>
    <w:p w:rsidR="00ED6C55" w:rsidRPr="00FD57E1" w:rsidRDefault="00ED6C55"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Giving our customers more ways to shop</w:t>
      </w:r>
    </w:p>
    <w:p w:rsidR="00ED6C55" w:rsidRPr="00FD57E1" w:rsidRDefault="00ED6C55" w:rsidP="00ED6C55">
      <w:pPr>
        <w:ind w:left="720"/>
        <w:jc w:val="left"/>
        <w:rPr>
          <w:rFonts w:ascii="Arial" w:hAnsi="Arial" w:cs="Arial"/>
          <w:b/>
          <w:sz w:val="24"/>
          <w:szCs w:val="24"/>
        </w:rPr>
      </w:pPr>
    </w:p>
    <w:p w:rsidR="00ED6C55" w:rsidRPr="00FD57E1" w:rsidRDefault="00ED6C55" w:rsidP="00ED662A">
      <w:pPr>
        <w:ind w:left="720"/>
        <w:jc w:val="left"/>
        <w:rPr>
          <w:rFonts w:ascii="Arial" w:hAnsi="Arial" w:cs="Arial"/>
          <w:sz w:val="24"/>
          <w:szCs w:val="24"/>
        </w:rPr>
      </w:pPr>
      <w:r w:rsidRPr="00FD57E1">
        <w:rPr>
          <w:rFonts w:ascii="Arial" w:hAnsi="Arial" w:cs="Arial"/>
          <w:b/>
          <w:sz w:val="24"/>
          <w:szCs w:val="24"/>
        </w:rPr>
        <w:t xml:space="preserve">COMMON </w:t>
      </w:r>
    </w:p>
    <w:p w:rsidR="00ED6C55" w:rsidRPr="00FD57E1" w:rsidRDefault="00ED6C55"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Building innovative common brands</w:t>
      </w:r>
    </w:p>
    <w:p w:rsidR="00ED6C55" w:rsidRPr="00FD57E1" w:rsidRDefault="00ED6C55"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Driving efficiency and effectiveness everywhere</w:t>
      </w:r>
    </w:p>
    <w:p w:rsidR="00ED6C55" w:rsidRPr="00FD57E1" w:rsidRDefault="00ED6C55" w:rsidP="00ED6C55">
      <w:pPr>
        <w:ind w:left="720"/>
        <w:jc w:val="left"/>
        <w:rPr>
          <w:rFonts w:ascii="Arial" w:hAnsi="Arial" w:cs="Arial"/>
          <w:b/>
          <w:sz w:val="24"/>
          <w:szCs w:val="24"/>
        </w:rPr>
      </w:pPr>
    </w:p>
    <w:p w:rsidR="00ED6C55" w:rsidRPr="00FD57E1" w:rsidRDefault="00ED6C55" w:rsidP="00ED662A">
      <w:pPr>
        <w:ind w:left="720"/>
        <w:jc w:val="left"/>
        <w:rPr>
          <w:rFonts w:ascii="Arial" w:hAnsi="Arial" w:cs="Arial"/>
          <w:sz w:val="24"/>
          <w:szCs w:val="24"/>
        </w:rPr>
      </w:pPr>
      <w:r w:rsidRPr="00FD57E1">
        <w:rPr>
          <w:rFonts w:ascii="Arial" w:hAnsi="Arial" w:cs="Arial"/>
          <w:b/>
          <w:sz w:val="24"/>
          <w:szCs w:val="24"/>
        </w:rPr>
        <w:t xml:space="preserve">EXPAND </w:t>
      </w:r>
    </w:p>
    <w:p w:rsidR="00ED6C55" w:rsidRPr="00FD57E1" w:rsidRDefault="00ED6C55"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Growing our presence in existing markets</w:t>
      </w:r>
    </w:p>
    <w:p w:rsidR="00ED6C55" w:rsidRPr="00FD57E1" w:rsidRDefault="00ED6C55"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 xml:space="preserve">Expanding in new and developing markets </w:t>
      </w:r>
    </w:p>
    <w:p w:rsidR="00ED6C55" w:rsidRPr="00FD57E1" w:rsidRDefault="00ED6C55" w:rsidP="00ED6C55">
      <w:pPr>
        <w:ind w:left="720"/>
        <w:jc w:val="left"/>
        <w:rPr>
          <w:rFonts w:ascii="Arial" w:hAnsi="Arial" w:cs="Arial"/>
          <w:b/>
          <w:sz w:val="24"/>
          <w:szCs w:val="24"/>
        </w:rPr>
      </w:pPr>
    </w:p>
    <w:p w:rsidR="00ED6C55" w:rsidRPr="00FD57E1" w:rsidRDefault="00ED6C55" w:rsidP="00ED662A">
      <w:pPr>
        <w:ind w:left="720"/>
        <w:jc w:val="left"/>
        <w:rPr>
          <w:rFonts w:ascii="Arial" w:hAnsi="Arial" w:cs="Arial"/>
          <w:sz w:val="24"/>
          <w:szCs w:val="24"/>
        </w:rPr>
      </w:pPr>
      <w:r w:rsidRPr="00FD57E1">
        <w:rPr>
          <w:rFonts w:ascii="Arial" w:hAnsi="Arial" w:cs="Arial"/>
          <w:b/>
          <w:sz w:val="24"/>
          <w:szCs w:val="24"/>
        </w:rPr>
        <w:t xml:space="preserve">ONE TEAM </w:t>
      </w:r>
    </w:p>
    <w:p w:rsidR="00ED6C55" w:rsidRPr="00FD57E1" w:rsidRDefault="00ED6C55" w:rsidP="00ED6C55">
      <w:pPr>
        <w:pStyle w:val="ListParagraph"/>
        <w:numPr>
          <w:ilvl w:val="0"/>
          <w:numId w:val="23"/>
        </w:numPr>
        <w:contextualSpacing/>
        <w:rPr>
          <w:rFonts w:ascii="Arial" w:hAnsi="Arial" w:cs="Arial"/>
          <w:sz w:val="24"/>
          <w:szCs w:val="24"/>
        </w:rPr>
      </w:pPr>
      <w:r w:rsidRPr="00FD57E1">
        <w:rPr>
          <w:rFonts w:ascii="Arial" w:hAnsi="Arial" w:cs="Arial"/>
          <w:sz w:val="24"/>
          <w:szCs w:val="24"/>
        </w:rPr>
        <w:t>Developing leaders and connecting people</w:t>
      </w:r>
    </w:p>
    <w:p w:rsidR="00ED6C55" w:rsidRPr="00FD57E1" w:rsidRDefault="00ED6C55"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Sustainability: becoming ‘Net Positive’</w:t>
      </w:r>
    </w:p>
    <w:p w:rsidR="00ED6C55" w:rsidRPr="00FD57E1" w:rsidRDefault="00ED6C55" w:rsidP="00ED6C55">
      <w:pPr>
        <w:contextualSpacing/>
        <w:jc w:val="left"/>
        <w:rPr>
          <w:rFonts w:ascii="Arial" w:hAnsi="Arial" w:cs="Arial"/>
          <w:color w:val="FF0000"/>
          <w:sz w:val="24"/>
          <w:szCs w:val="24"/>
        </w:rPr>
      </w:pPr>
    </w:p>
    <w:p w:rsidR="00751BD3" w:rsidRDefault="00ED6C55" w:rsidP="008810B4">
      <w:pPr>
        <w:jc w:val="left"/>
        <w:rPr>
          <w:rFonts w:ascii="Arial" w:hAnsi="Arial" w:cs="Arial"/>
          <w:b/>
          <w:sz w:val="24"/>
          <w:szCs w:val="24"/>
        </w:rPr>
      </w:pPr>
      <w:r w:rsidRPr="006A0C08">
        <w:rPr>
          <w:rFonts w:ascii="Arial" w:hAnsi="Arial" w:cs="Arial"/>
          <w:sz w:val="24"/>
          <w:szCs w:val="24"/>
        </w:rPr>
        <w:t>Further details on progres</w:t>
      </w:r>
      <w:r w:rsidR="00FD57E1" w:rsidRPr="006A0C08">
        <w:rPr>
          <w:rFonts w:ascii="Arial" w:hAnsi="Arial" w:cs="Arial"/>
          <w:sz w:val="24"/>
          <w:szCs w:val="24"/>
        </w:rPr>
        <w:t xml:space="preserve">s will be given with the </w:t>
      </w:r>
      <w:r w:rsidR="00F10AB3">
        <w:rPr>
          <w:rFonts w:ascii="Arial" w:hAnsi="Arial" w:cs="Arial"/>
          <w:sz w:val="24"/>
          <w:szCs w:val="24"/>
        </w:rPr>
        <w:t>interim</w:t>
      </w:r>
      <w:r w:rsidR="006A0C08" w:rsidRPr="006A0C08">
        <w:rPr>
          <w:rFonts w:ascii="Arial" w:hAnsi="Arial" w:cs="Arial"/>
          <w:sz w:val="24"/>
          <w:szCs w:val="24"/>
        </w:rPr>
        <w:t xml:space="preserve"> results for the </w:t>
      </w:r>
      <w:r w:rsidR="00F10AB3">
        <w:rPr>
          <w:rFonts w:ascii="Arial" w:hAnsi="Arial" w:cs="Arial"/>
          <w:sz w:val="24"/>
          <w:szCs w:val="24"/>
        </w:rPr>
        <w:t xml:space="preserve">half </w:t>
      </w:r>
      <w:r w:rsidR="006A0C08" w:rsidRPr="006A0C08">
        <w:rPr>
          <w:rFonts w:ascii="Arial" w:hAnsi="Arial" w:cs="Arial"/>
          <w:sz w:val="24"/>
          <w:szCs w:val="24"/>
        </w:rPr>
        <w:t xml:space="preserve">year ended </w:t>
      </w:r>
      <w:r w:rsidR="005066DC">
        <w:rPr>
          <w:rFonts w:ascii="Arial" w:hAnsi="Arial" w:cs="Arial"/>
          <w:sz w:val="24"/>
          <w:szCs w:val="24"/>
        </w:rPr>
        <w:t>2</w:t>
      </w:r>
      <w:r w:rsidR="006A0C08" w:rsidRPr="006A0C08">
        <w:rPr>
          <w:rFonts w:ascii="Arial" w:hAnsi="Arial" w:cs="Arial"/>
          <w:sz w:val="24"/>
          <w:szCs w:val="24"/>
        </w:rPr>
        <w:t xml:space="preserve"> </w:t>
      </w:r>
      <w:r w:rsidR="00F10AB3">
        <w:rPr>
          <w:rFonts w:ascii="Arial" w:hAnsi="Arial" w:cs="Arial"/>
          <w:sz w:val="24"/>
          <w:szCs w:val="24"/>
        </w:rPr>
        <w:t>August</w:t>
      </w:r>
      <w:r w:rsidR="005066DC">
        <w:rPr>
          <w:rFonts w:ascii="Arial" w:hAnsi="Arial" w:cs="Arial"/>
          <w:sz w:val="24"/>
          <w:szCs w:val="24"/>
        </w:rPr>
        <w:t xml:space="preserve"> 2014</w:t>
      </w:r>
      <w:r w:rsidRPr="006A0C08">
        <w:rPr>
          <w:rFonts w:ascii="Arial" w:hAnsi="Arial" w:cs="Arial"/>
          <w:sz w:val="24"/>
          <w:szCs w:val="24"/>
        </w:rPr>
        <w:t>.</w:t>
      </w:r>
    </w:p>
    <w:p w:rsidR="005066DC" w:rsidRDefault="005066DC" w:rsidP="008810B4">
      <w:pPr>
        <w:jc w:val="left"/>
        <w:rPr>
          <w:rFonts w:ascii="Arial" w:hAnsi="Arial" w:cs="Arial"/>
          <w:b/>
          <w:sz w:val="24"/>
          <w:szCs w:val="24"/>
        </w:rPr>
      </w:pPr>
    </w:p>
    <w:p w:rsidR="00065087" w:rsidRDefault="00065087" w:rsidP="008810B4">
      <w:pPr>
        <w:jc w:val="left"/>
        <w:rPr>
          <w:rFonts w:ascii="Arial" w:hAnsi="Arial" w:cs="Arial"/>
          <w:b/>
          <w:sz w:val="24"/>
          <w:szCs w:val="24"/>
        </w:rPr>
      </w:pPr>
      <w:r>
        <w:rPr>
          <w:rFonts w:ascii="Arial" w:hAnsi="Arial" w:cs="Arial"/>
          <w:b/>
          <w:sz w:val="24"/>
          <w:szCs w:val="24"/>
        </w:rPr>
        <w:t>SPECIAL DIVIDEND</w:t>
      </w:r>
    </w:p>
    <w:p w:rsidR="00065087" w:rsidRDefault="00065087" w:rsidP="008810B4">
      <w:pPr>
        <w:jc w:val="left"/>
        <w:rPr>
          <w:rFonts w:ascii="Arial" w:hAnsi="Arial" w:cs="Arial"/>
          <w:b/>
          <w:sz w:val="24"/>
          <w:szCs w:val="24"/>
        </w:rPr>
      </w:pPr>
    </w:p>
    <w:p w:rsidR="00065087" w:rsidRPr="009F1615" w:rsidRDefault="00065087" w:rsidP="008810B4">
      <w:pPr>
        <w:jc w:val="left"/>
        <w:rPr>
          <w:rFonts w:ascii="Arial" w:hAnsi="Arial" w:cs="Arial"/>
          <w:sz w:val="24"/>
          <w:szCs w:val="24"/>
        </w:rPr>
      </w:pPr>
      <w:r>
        <w:rPr>
          <w:rFonts w:ascii="Arial" w:hAnsi="Arial" w:cs="Arial"/>
          <w:sz w:val="24"/>
          <w:szCs w:val="24"/>
        </w:rPr>
        <w:t xml:space="preserve">The special dividend of 4.2p per share will be </w:t>
      </w:r>
      <w:r w:rsidR="00312A6F">
        <w:rPr>
          <w:rFonts w:ascii="Arial" w:hAnsi="Arial" w:cs="Arial"/>
          <w:sz w:val="24"/>
          <w:szCs w:val="24"/>
        </w:rPr>
        <w:t>paid on 25</w:t>
      </w:r>
      <w:r w:rsidRPr="00D95EAA">
        <w:rPr>
          <w:rFonts w:ascii="Arial" w:hAnsi="Arial" w:cs="Arial"/>
          <w:sz w:val="24"/>
          <w:szCs w:val="24"/>
        </w:rPr>
        <w:t xml:space="preserve"> July 2014 to shareholders on the reg</w:t>
      </w:r>
      <w:r w:rsidR="00312A6F">
        <w:rPr>
          <w:rFonts w:ascii="Arial" w:hAnsi="Arial" w:cs="Arial"/>
          <w:sz w:val="24"/>
          <w:szCs w:val="24"/>
        </w:rPr>
        <w:t>ister at close of business on 27</w:t>
      </w:r>
      <w:r w:rsidRPr="00D95EAA">
        <w:rPr>
          <w:rFonts w:ascii="Arial" w:hAnsi="Arial" w:cs="Arial"/>
          <w:sz w:val="24"/>
          <w:szCs w:val="24"/>
        </w:rPr>
        <w:t xml:space="preserve"> June 2014</w:t>
      </w:r>
      <w:r>
        <w:rPr>
          <w:rFonts w:ascii="Arial" w:hAnsi="Arial" w:cs="Arial"/>
          <w:sz w:val="24"/>
          <w:szCs w:val="24"/>
        </w:rPr>
        <w:t xml:space="preserve">. </w:t>
      </w:r>
      <w:r w:rsidRPr="009F1615">
        <w:rPr>
          <w:rFonts w:ascii="Arial" w:hAnsi="Arial" w:cs="Arial"/>
          <w:sz w:val="24"/>
          <w:szCs w:val="24"/>
        </w:rPr>
        <w:t>A dividend reinvestment plan (DRIP) is available to shareholders who would prefer to invest their dividends in the shares of the Company. The shares will go ex-dividend on 25 June 2014. For those shareholders electing to receive the DRIP the last date for receipt of electing is 4 July 2014.</w:t>
      </w:r>
    </w:p>
    <w:p w:rsidR="00065087" w:rsidRDefault="00065087" w:rsidP="008810B4">
      <w:pPr>
        <w:jc w:val="left"/>
        <w:rPr>
          <w:rFonts w:ascii="Arial" w:hAnsi="Arial" w:cs="Arial"/>
          <w:b/>
          <w:sz w:val="24"/>
          <w:szCs w:val="24"/>
        </w:rPr>
      </w:pPr>
    </w:p>
    <w:p w:rsidR="000E057E" w:rsidRDefault="0028321F" w:rsidP="008810B4">
      <w:pPr>
        <w:jc w:val="left"/>
        <w:rPr>
          <w:rFonts w:ascii="Arial" w:hAnsi="Arial" w:cs="Arial"/>
          <w:b/>
          <w:sz w:val="24"/>
          <w:szCs w:val="24"/>
        </w:rPr>
      </w:pPr>
      <w:r>
        <w:rPr>
          <w:rFonts w:ascii="Arial" w:hAnsi="Arial" w:cs="Arial"/>
          <w:b/>
          <w:sz w:val="24"/>
          <w:szCs w:val="24"/>
        </w:rPr>
        <w:t>FINANCIAL POSITION</w:t>
      </w:r>
    </w:p>
    <w:p w:rsidR="008810B4" w:rsidRDefault="008810B4" w:rsidP="008810B4">
      <w:pPr>
        <w:jc w:val="left"/>
        <w:rPr>
          <w:rFonts w:ascii="Arial" w:hAnsi="Arial" w:cs="Arial"/>
          <w:sz w:val="24"/>
          <w:szCs w:val="24"/>
        </w:rPr>
      </w:pPr>
      <w:r w:rsidRPr="006A0C08">
        <w:rPr>
          <w:rFonts w:ascii="Arial" w:hAnsi="Arial" w:cs="Arial"/>
          <w:sz w:val="17"/>
          <w:szCs w:val="17"/>
        </w:rPr>
        <w:br/>
      </w:r>
      <w:r w:rsidRPr="006A0C08">
        <w:rPr>
          <w:rFonts w:ascii="Arial" w:hAnsi="Arial" w:cs="Arial"/>
          <w:sz w:val="24"/>
          <w:szCs w:val="24"/>
        </w:rPr>
        <w:t xml:space="preserve">No material events or transactions impacting the Group’s strong financial position have taken place since the previously announced </w:t>
      </w:r>
      <w:r w:rsidR="00B8109B">
        <w:rPr>
          <w:rFonts w:ascii="Arial" w:hAnsi="Arial" w:cs="Arial"/>
          <w:sz w:val="24"/>
          <w:szCs w:val="24"/>
        </w:rPr>
        <w:t xml:space="preserve">audited balance sheet as at </w:t>
      </w:r>
      <w:r w:rsidR="005066DC">
        <w:rPr>
          <w:rFonts w:ascii="Arial" w:hAnsi="Arial" w:cs="Arial"/>
          <w:sz w:val="24"/>
          <w:szCs w:val="24"/>
        </w:rPr>
        <w:t>1</w:t>
      </w:r>
      <w:r w:rsidR="00F10AB3">
        <w:rPr>
          <w:rFonts w:ascii="Arial" w:hAnsi="Arial" w:cs="Arial"/>
          <w:sz w:val="24"/>
          <w:szCs w:val="24"/>
        </w:rPr>
        <w:t xml:space="preserve"> February</w:t>
      </w:r>
      <w:r w:rsidR="00B8109B">
        <w:rPr>
          <w:rFonts w:ascii="Arial" w:hAnsi="Arial" w:cs="Arial"/>
          <w:sz w:val="24"/>
          <w:szCs w:val="24"/>
        </w:rPr>
        <w:t xml:space="preserve"> </w:t>
      </w:r>
      <w:r w:rsidRPr="006A0C08">
        <w:rPr>
          <w:rFonts w:ascii="Arial" w:hAnsi="Arial" w:cs="Arial"/>
          <w:sz w:val="24"/>
          <w:szCs w:val="24"/>
        </w:rPr>
        <w:t>201</w:t>
      </w:r>
      <w:r w:rsidR="005066DC">
        <w:rPr>
          <w:rFonts w:ascii="Arial" w:hAnsi="Arial" w:cs="Arial"/>
          <w:sz w:val="24"/>
          <w:szCs w:val="24"/>
        </w:rPr>
        <w:t>4</w:t>
      </w:r>
      <w:r w:rsidRPr="006A0C08">
        <w:rPr>
          <w:rFonts w:ascii="Arial" w:hAnsi="Arial" w:cs="Arial"/>
          <w:sz w:val="24"/>
          <w:szCs w:val="24"/>
        </w:rPr>
        <w:t>.</w:t>
      </w:r>
    </w:p>
    <w:p w:rsidR="004D7983" w:rsidRDefault="004D7983" w:rsidP="008810B4">
      <w:pPr>
        <w:jc w:val="left"/>
        <w:rPr>
          <w:rFonts w:ascii="Arial" w:hAnsi="Arial" w:cs="Arial"/>
          <w:sz w:val="24"/>
          <w:szCs w:val="24"/>
        </w:rPr>
      </w:pPr>
    </w:p>
    <w:p w:rsidR="004D7983" w:rsidRPr="00334ED3" w:rsidRDefault="004D7983" w:rsidP="004D7983">
      <w:pPr>
        <w:jc w:val="left"/>
        <w:rPr>
          <w:rFonts w:ascii="Arial" w:hAnsi="Arial" w:cs="Arial"/>
          <w:caps/>
          <w:sz w:val="24"/>
          <w:szCs w:val="24"/>
        </w:rPr>
      </w:pPr>
      <w:r w:rsidRPr="00334ED3">
        <w:rPr>
          <w:rFonts w:ascii="Arial" w:hAnsi="Arial" w:cs="Arial"/>
          <w:b/>
          <w:bCs/>
          <w:caps/>
          <w:sz w:val="24"/>
          <w:szCs w:val="24"/>
        </w:rPr>
        <w:t>Company Profile</w:t>
      </w:r>
    </w:p>
    <w:p w:rsidR="004D7983" w:rsidRPr="00791B66" w:rsidRDefault="004D7983" w:rsidP="004D7983">
      <w:pPr>
        <w:jc w:val="left"/>
        <w:rPr>
          <w:rFonts w:ascii="Arial" w:hAnsi="Arial" w:cs="Arial"/>
          <w:sz w:val="24"/>
          <w:szCs w:val="24"/>
        </w:rPr>
      </w:pPr>
    </w:p>
    <w:p w:rsidR="004D7983" w:rsidRPr="00A1426F" w:rsidRDefault="004D7983" w:rsidP="004D7983">
      <w:pPr>
        <w:autoSpaceDE w:val="0"/>
        <w:autoSpaceDN w:val="0"/>
        <w:adjustRightInd w:val="0"/>
        <w:jc w:val="left"/>
        <w:rPr>
          <w:rFonts w:ascii="Arial" w:hAnsi="Arial" w:cs="Arial"/>
          <w:sz w:val="24"/>
          <w:szCs w:val="24"/>
        </w:rPr>
      </w:pPr>
      <w:r w:rsidRPr="00A1426F">
        <w:rPr>
          <w:rFonts w:ascii="Arial" w:hAnsi="Arial" w:cs="Arial"/>
          <w:b/>
          <w:bCs/>
          <w:sz w:val="24"/>
          <w:szCs w:val="24"/>
        </w:rPr>
        <w:t xml:space="preserve">Kingfisher plc </w:t>
      </w:r>
      <w:r w:rsidRPr="00A1426F">
        <w:rPr>
          <w:rFonts w:ascii="Arial" w:hAnsi="Arial" w:cs="Arial"/>
          <w:sz w:val="24"/>
          <w:szCs w:val="24"/>
        </w:rPr>
        <w:t>is Europe’s leading home improvement retail group and the third largest in</w:t>
      </w:r>
    </w:p>
    <w:p w:rsidR="004D7983" w:rsidRDefault="004D7983" w:rsidP="004D7983">
      <w:pPr>
        <w:autoSpaceDE w:val="0"/>
        <w:autoSpaceDN w:val="0"/>
        <w:adjustRightInd w:val="0"/>
        <w:jc w:val="left"/>
        <w:rPr>
          <w:rFonts w:ascii="Arial" w:hAnsi="Arial" w:cs="Arial"/>
          <w:b/>
          <w:sz w:val="24"/>
          <w:szCs w:val="24"/>
        </w:rPr>
      </w:pPr>
      <w:r w:rsidRPr="00A1426F">
        <w:rPr>
          <w:rFonts w:ascii="Arial" w:hAnsi="Arial" w:cs="Arial"/>
          <w:sz w:val="24"/>
          <w:szCs w:val="24"/>
        </w:rPr>
        <w:t>the world</w:t>
      </w:r>
      <w:r w:rsidRPr="00F0537C">
        <w:rPr>
          <w:rFonts w:ascii="Arial" w:hAnsi="Arial" w:cs="Arial"/>
          <w:sz w:val="24"/>
          <w:szCs w:val="24"/>
        </w:rPr>
        <w:t>, with 1,13</w:t>
      </w:r>
      <w:r w:rsidR="001B7C80">
        <w:rPr>
          <w:rFonts w:ascii="Arial" w:hAnsi="Arial" w:cs="Arial"/>
          <w:sz w:val="24"/>
          <w:szCs w:val="24"/>
        </w:rPr>
        <w:t>4</w:t>
      </w:r>
      <w:r w:rsidRPr="00F0537C">
        <w:rPr>
          <w:rFonts w:ascii="Arial" w:hAnsi="Arial" w:cs="Arial"/>
          <w:sz w:val="24"/>
          <w:szCs w:val="24"/>
        </w:rPr>
        <w:t xml:space="preserve"> stores</w:t>
      </w:r>
      <w:r w:rsidRPr="00A1426F">
        <w:rPr>
          <w:rFonts w:ascii="Arial" w:hAnsi="Arial" w:cs="Arial"/>
          <w:sz w:val="24"/>
          <w:szCs w:val="24"/>
        </w:rPr>
        <w:t xml:space="preserve"> in nine countries in Europe and Asia. Its main retail brands are</w:t>
      </w:r>
      <w:r>
        <w:rPr>
          <w:rFonts w:ascii="Arial" w:hAnsi="Arial" w:cs="Arial"/>
          <w:sz w:val="24"/>
          <w:szCs w:val="24"/>
        </w:rPr>
        <w:t xml:space="preserve"> </w:t>
      </w:r>
      <w:r w:rsidRPr="00A1426F">
        <w:rPr>
          <w:rFonts w:ascii="Arial" w:hAnsi="Arial" w:cs="Arial"/>
          <w:sz w:val="24"/>
          <w:szCs w:val="24"/>
        </w:rPr>
        <w:t>B&amp;Q, Castorama, Brico Dépôt and Screwfix. Kingfisher also operates the Koçtaş brand, a</w:t>
      </w:r>
      <w:r>
        <w:rPr>
          <w:rFonts w:ascii="Arial" w:hAnsi="Arial" w:cs="Arial"/>
          <w:sz w:val="24"/>
          <w:szCs w:val="24"/>
        </w:rPr>
        <w:t xml:space="preserve"> </w:t>
      </w:r>
      <w:r w:rsidRPr="00A1426F">
        <w:rPr>
          <w:rFonts w:ascii="Arial" w:hAnsi="Arial" w:cs="Arial"/>
          <w:sz w:val="24"/>
          <w:szCs w:val="24"/>
        </w:rPr>
        <w:t>50% joint venture in Turkey with the Koç Group.</w:t>
      </w:r>
      <w:r>
        <w:rPr>
          <w:rFonts w:ascii="Arial" w:hAnsi="Arial" w:cs="Arial"/>
          <w:sz w:val="24"/>
          <w:szCs w:val="24"/>
        </w:rPr>
        <w:t xml:space="preserve"> </w:t>
      </w:r>
    </w:p>
    <w:p w:rsidR="0028321F" w:rsidRDefault="0028321F" w:rsidP="00D63AB4">
      <w:pPr>
        <w:jc w:val="left"/>
        <w:rPr>
          <w:rFonts w:ascii="Arial" w:hAnsi="Arial" w:cs="Arial"/>
          <w:b/>
          <w:color w:val="FF0000"/>
          <w:sz w:val="24"/>
          <w:szCs w:val="24"/>
        </w:rPr>
      </w:pPr>
    </w:p>
    <w:p w:rsidR="00065087" w:rsidRDefault="00065087" w:rsidP="00D63AB4">
      <w:pPr>
        <w:jc w:val="left"/>
        <w:rPr>
          <w:rFonts w:ascii="Arial" w:hAnsi="Arial" w:cs="Arial"/>
          <w:b/>
          <w:sz w:val="24"/>
          <w:szCs w:val="24"/>
        </w:rPr>
      </w:pPr>
    </w:p>
    <w:p w:rsidR="00065087" w:rsidRDefault="00065087" w:rsidP="00D63AB4">
      <w:pPr>
        <w:jc w:val="left"/>
        <w:rPr>
          <w:rFonts w:ascii="Arial" w:hAnsi="Arial" w:cs="Arial"/>
          <w:b/>
          <w:sz w:val="24"/>
          <w:szCs w:val="24"/>
        </w:rPr>
      </w:pPr>
    </w:p>
    <w:p w:rsidR="00065087" w:rsidRDefault="00065087" w:rsidP="00D63AB4">
      <w:pPr>
        <w:jc w:val="left"/>
        <w:rPr>
          <w:rFonts w:ascii="Arial" w:hAnsi="Arial" w:cs="Arial"/>
          <w:b/>
          <w:sz w:val="24"/>
          <w:szCs w:val="24"/>
        </w:rPr>
      </w:pPr>
    </w:p>
    <w:p w:rsidR="00065087" w:rsidRDefault="00065087" w:rsidP="00D63AB4">
      <w:pPr>
        <w:jc w:val="left"/>
        <w:rPr>
          <w:rFonts w:ascii="Arial" w:hAnsi="Arial" w:cs="Arial"/>
          <w:b/>
          <w:sz w:val="24"/>
          <w:szCs w:val="24"/>
        </w:rPr>
      </w:pPr>
    </w:p>
    <w:p w:rsidR="00065087" w:rsidRDefault="00065087" w:rsidP="00D63AB4">
      <w:pPr>
        <w:jc w:val="left"/>
        <w:rPr>
          <w:rFonts w:ascii="Arial" w:hAnsi="Arial" w:cs="Arial"/>
          <w:b/>
          <w:sz w:val="24"/>
          <w:szCs w:val="24"/>
        </w:rPr>
      </w:pPr>
    </w:p>
    <w:p w:rsidR="00065087" w:rsidRDefault="00065087" w:rsidP="00D63AB4">
      <w:pPr>
        <w:jc w:val="left"/>
        <w:rPr>
          <w:rFonts w:ascii="Arial" w:hAnsi="Arial" w:cs="Arial"/>
          <w:b/>
          <w:sz w:val="24"/>
          <w:szCs w:val="24"/>
        </w:rPr>
      </w:pPr>
    </w:p>
    <w:p w:rsidR="00065087" w:rsidRDefault="00065087" w:rsidP="00D63AB4">
      <w:pPr>
        <w:jc w:val="left"/>
        <w:rPr>
          <w:rFonts w:ascii="Arial" w:hAnsi="Arial" w:cs="Arial"/>
          <w:b/>
          <w:sz w:val="24"/>
          <w:szCs w:val="24"/>
        </w:rPr>
      </w:pPr>
    </w:p>
    <w:p w:rsidR="00D63AB4" w:rsidRPr="00FD57E1" w:rsidRDefault="0028321F" w:rsidP="00D63AB4">
      <w:pPr>
        <w:jc w:val="left"/>
        <w:rPr>
          <w:rFonts w:ascii="Arial" w:hAnsi="Arial" w:cs="Arial"/>
          <w:b/>
          <w:sz w:val="24"/>
          <w:szCs w:val="24"/>
        </w:rPr>
      </w:pPr>
      <w:r>
        <w:rPr>
          <w:rFonts w:ascii="Arial" w:hAnsi="Arial" w:cs="Arial"/>
          <w:b/>
          <w:sz w:val="24"/>
          <w:szCs w:val="24"/>
        </w:rPr>
        <w:t>ENQUIRIES:</w:t>
      </w:r>
    </w:p>
    <w:p w:rsidR="00D63AB4" w:rsidRPr="00FD57E1" w:rsidRDefault="00D63AB4" w:rsidP="00D63AB4">
      <w:pPr>
        <w:jc w:val="left"/>
        <w:rPr>
          <w:rFonts w:ascii="Arial" w:hAnsi="Arial" w:cs="Arial"/>
          <w:sz w:val="24"/>
          <w:szCs w:val="24"/>
        </w:rPr>
      </w:pPr>
    </w:p>
    <w:tbl>
      <w:tblPr>
        <w:tblW w:w="4839"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801"/>
        <w:gridCol w:w="2653"/>
      </w:tblGrid>
      <w:tr w:rsidR="00FD57E1" w:rsidRPr="00FD57E1" w:rsidTr="00D63AB4">
        <w:tc>
          <w:tcPr>
            <w:tcW w:w="3597" w:type="pct"/>
            <w:tcBorders>
              <w:top w:val="single" w:sz="4" w:space="0" w:color="auto"/>
            </w:tcBorders>
          </w:tcPr>
          <w:p w:rsidR="00D63AB4" w:rsidRPr="00FD57E1" w:rsidRDefault="00D63AB4" w:rsidP="00D63AB4">
            <w:pPr>
              <w:jc w:val="left"/>
              <w:rPr>
                <w:rFonts w:ascii="Arial" w:hAnsi="Arial" w:cs="Arial"/>
                <w:sz w:val="24"/>
                <w:szCs w:val="24"/>
              </w:rPr>
            </w:pPr>
            <w:r w:rsidRPr="00FD57E1">
              <w:rPr>
                <w:rFonts w:ascii="Arial" w:hAnsi="Arial" w:cs="Arial"/>
                <w:sz w:val="24"/>
                <w:szCs w:val="24"/>
              </w:rPr>
              <w:t>Ian Harding, Group Communications Director</w:t>
            </w:r>
          </w:p>
        </w:tc>
        <w:tc>
          <w:tcPr>
            <w:tcW w:w="1403" w:type="pct"/>
            <w:tcBorders>
              <w:top w:val="single" w:sz="4" w:space="0" w:color="auto"/>
            </w:tcBorders>
          </w:tcPr>
          <w:p w:rsidR="00D63AB4" w:rsidRPr="00FD57E1" w:rsidRDefault="00D63AB4" w:rsidP="00D63AB4">
            <w:pPr>
              <w:jc w:val="right"/>
              <w:rPr>
                <w:rFonts w:ascii="Arial" w:hAnsi="Arial" w:cs="Arial"/>
                <w:sz w:val="24"/>
                <w:szCs w:val="24"/>
              </w:rPr>
            </w:pPr>
            <w:r w:rsidRPr="00FD57E1">
              <w:rPr>
                <w:rFonts w:ascii="Arial" w:hAnsi="Arial" w:cs="Arial"/>
                <w:sz w:val="24"/>
                <w:szCs w:val="24"/>
              </w:rPr>
              <w:t>020 7644 1029</w:t>
            </w:r>
          </w:p>
        </w:tc>
      </w:tr>
      <w:tr w:rsidR="00FD57E1" w:rsidRPr="00FD57E1" w:rsidTr="00D63AB4">
        <w:trPr>
          <w:trHeight w:val="70"/>
        </w:trPr>
        <w:tc>
          <w:tcPr>
            <w:tcW w:w="3597" w:type="pct"/>
          </w:tcPr>
          <w:p w:rsidR="00D63AB4" w:rsidRPr="00FD57E1" w:rsidRDefault="00D63AB4" w:rsidP="00D63AB4">
            <w:pPr>
              <w:jc w:val="left"/>
              <w:rPr>
                <w:rFonts w:ascii="Arial" w:hAnsi="Arial" w:cs="Arial"/>
                <w:sz w:val="24"/>
                <w:szCs w:val="24"/>
              </w:rPr>
            </w:pPr>
          </w:p>
        </w:tc>
        <w:tc>
          <w:tcPr>
            <w:tcW w:w="1403" w:type="pct"/>
          </w:tcPr>
          <w:p w:rsidR="00D63AB4" w:rsidRPr="00FD57E1" w:rsidRDefault="00D63AB4" w:rsidP="00D63AB4">
            <w:pPr>
              <w:jc w:val="right"/>
              <w:rPr>
                <w:rFonts w:ascii="Arial" w:hAnsi="Arial" w:cs="Arial"/>
                <w:sz w:val="24"/>
                <w:szCs w:val="24"/>
              </w:rPr>
            </w:pPr>
          </w:p>
        </w:tc>
      </w:tr>
      <w:tr w:rsidR="00FD57E1" w:rsidRPr="00FD57E1" w:rsidTr="00D63AB4">
        <w:tc>
          <w:tcPr>
            <w:tcW w:w="3597" w:type="pct"/>
          </w:tcPr>
          <w:p w:rsidR="00D63AB4" w:rsidRPr="00FD57E1" w:rsidRDefault="00D63AB4" w:rsidP="005066DC">
            <w:pPr>
              <w:jc w:val="left"/>
              <w:rPr>
                <w:rFonts w:ascii="Arial" w:hAnsi="Arial" w:cs="Arial"/>
                <w:sz w:val="24"/>
                <w:szCs w:val="24"/>
              </w:rPr>
            </w:pPr>
            <w:r w:rsidRPr="00FD57E1">
              <w:rPr>
                <w:rFonts w:ascii="Arial" w:hAnsi="Arial" w:cs="Arial"/>
                <w:sz w:val="24"/>
                <w:szCs w:val="24"/>
              </w:rPr>
              <w:t xml:space="preserve">Sarah </w:t>
            </w:r>
            <w:r w:rsidR="0005286F" w:rsidRPr="00FD57E1">
              <w:rPr>
                <w:rFonts w:ascii="Arial" w:hAnsi="Arial" w:cs="Arial"/>
                <w:sz w:val="24"/>
                <w:szCs w:val="24"/>
              </w:rPr>
              <w:t>Levy</w:t>
            </w:r>
            <w:r w:rsidRPr="00FD57E1">
              <w:rPr>
                <w:rFonts w:ascii="Arial" w:hAnsi="Arial" w:cs="Arial"/>
                <w:sz w:val="24"/>
                <w:szCs w:val="24"/>
              </w:rPr>
              <w:t xml:space="preserve">, </w:t>
            </w:r>
            <w:r w:rsidR="005066DC">
              <w:rPr>
                <w:rFonts w:ascii="Arial" w:hAnsi="Arial" w:cs="Arial"/>
                <w:sz w:val="24"/>
                <w:szCs w:val="24"/>
              </w:rPr>
              <w:t>Director</w:t>
            </w:r>
            <w:r w:rsidRPr="00FD57E1">
              <w:rPr>
                <w:rFonts w:ascii="Arial" w:hAnsi="Arial" w:cs="Arial"/>
                <w:sz w:val="24"/>
                <w:szCs w:val="24"/>
              </w:rPr>
              <w:t xml:space="preserve"> of Investor Relations</w:t>
            </w:r>
          </w:p>
        </w:tc>
        <w:tc>
          <w:tcPr>
            <w:tcW w:w="1403" w:type="pct"/>
          </w:tcPr>
          <w:p w:rsidR="00D63AB4" w:rsidRPr="00FD57E1" w:rsidRDefault="00D63AB4" w:rsidP="00D63AB4">
            <w:pPr>
              <w:jc w:val="right"/>
              <w:rPr>
                <w:rFonts w:ascii="Arial" w:hAnsi="Arial" w:cs="Arial"/>
                <w:sz w:val="24"/>
                <w:szCs w:val="24"/>
              </w:rPr>
            </w:pPr>
            <w:r w:rsidRPr="00FD57E1">
              <w:rPr>
                <w:rFonts w:ascii="Arial" w:hAnsi="Arial" w:cs="Arial"/>
                <w:sz w:val="24"/>
                <w:szCs w:val="24"/>
              </w:rPr>
              <w:t>020 7644 1032</w:t>
            </w:r>
          </w:p>
        </w:tc>
      </w:tr>
      <w:tr w:rsidR="00FD57E1" w:rsidRPr="00FD57E1" w:rsidTr="00D63AB4">
        <w:tc>
          <w:tcPr>
            <w:tcW w:w="3597" w:type="pct"/>
          </w:tcPr>
          <w:p w:rsidR="00D63AB4" w:rsidRPr="00FD57E1" w:rsidRDefault="00D63AB4" w:rsidP="00D63AB4">
            <w:pPr>
              <w:jc w:val="left"/>
              <w:rPr>
                <w:rFonts w:ascii="Arial" w:hAnsi="Arial" w:cs="Arial"/>
                <w:sz w:val="24"/>
                <w:szCs w:val="24"/>
              </w:rPr>
            </w:pPr>
          </w:p>
        </w:tc>
        <w:tc>
          <w:tcPr>
            <w:tcW w:w="1403" w:type="pct"/>
          </w:tcPr>
          <w:p w:rsidR="00D63AB4" w:rsidRPr="00FD57E1" w:rsidRDefault="00D63AB4" w:rsidP="00D63AB4">
            <w:pPr>
              <w:jc w:val="right"/>
              <w:rPr>
                <w:rFonts w:ascii="Arial" w:hAnsi="Arial" w:cs="Arial"/>
                <w:sz w:val="24"/>
                <w:szCs w:val="24"/>
              </w:rPr>
            </w:pPr>
          </w:p>
        </w:tc>
      </w:tr>
      <w:tr w:rsidR="00FD57E1" w:rsidRPr="00FD57E1" w:rsidTr="00D63AB4">
        <w:tc>
          <w:tcPr>
            <w:tcW w:w="3597" w:type="pct"/>
          </w:tcPr>
          <w:p w:rsidR="00D63AB4" w:rsidRPr="00FD57E1" w:rsidRDefault="00D63AB4" w:rsidP="00D63AB4">
            <w:pPr>
              <w:jc w:val="left"/>
              <w:rPr>
                <w:rFonts w:ascii="Arial" w:hAnsi="Arial" w:cs="Arial"/>
                <w:sz w:val="24"/>
                <w:szCs w:val="24"/>
              </w:rPr>
            </w:pPr>
            <w:r w:rsidRPr="00FD57E1">
              <w:rPr>
                <w:rFonts w:ascii="Arial" w:hAnsi="Arial" w:cs="Arial"/>
                <w:sz w:val="24"/>
                <w:szCs w:val="24"/>
              </w:rPr>
              <w:t>Nigel Cope, Head of Media Relations</w:t>
            </w:r>
          </w:p>
        </w:tc>
        <w:tc>
          <w:tcPr>
            <w:tcW w:w="1403" w:type="pct"/>
          </w:tcPr>
          <w:p w:rsidR="00D63AB4" w:rsidRPr="00FD57E1" w:rsidRDefault="00D63AB4" w:rsidP="00D63AB4">
            <w:pPr>
              <w:jc w:val="right"/>
              <w:rPr>
                <w:rFonts w:ascii="Arial" w:hAnsi="Arial" w:cs="Arial"/>
                <w:sz w:val="24"/>
                <w:szCs w:val="24"/>
              </w:rPr>
            </w:pPr>
            <w:r w:rsidRPr="00FD57E1">
              <w:rPr>
                <w:rFonts w:ascii="Arial" w:hAnsi="Arial" w:cs="Arial"/>
                <w:sz w:val="24"/>
                <w:szCs w:val="24"/>
              </w:rPr>
              <w:t>020 7644 1030</w:t>
            </w:r>
          </w:p>
        </w:tc>
      </w:tr>
      <w:tr w:rsidR="00FD57E1" w:rsidRPr="00FD57E1" w:rsidTr="00D63AB4">
        <w:tc>
          <w:tcPr>
            <w:tcW w:w="3597" w:type="pct"/>
          </w:tcPr>
          <w:p w:rsidR="00D63AB4" w:rsidRPr="00FD57E1" w:rsidRDefault="00D63AB4" w:rsidP="00D63AB4">
            <w:pPr>
              <w:jc w:val="left"/>
              <w:rPr>
                <w:rFonts w:ascii="Arial" w:hAnsi="Arial" w:cs="Arial"/>
                <w:sz w:val="24"/>
                <w:szCs w:val="24"/>
              </w:rPr>
            </w:pPr>
          </w:p>
        </w:tc>
        <w:tc>
          <w:tcPr>
            <w:tcW w:w="1403" w:type="pct"/>
          </w:tcPr>
          <w:p w:rsidR="00D63AB4" w:rsidRPr="00FD57E1" w:rsidRDefault="00D63AB4" w:rsidP="00D63AB4">
            <w:pPr>
              <w:jc w:val="right"/>
              <w:rPr>
                <w:rFonts w:ascii="Arial" w:hAnsi="Arial" w:cs="Arial"/>
                <w:sz w:val="24"/>
                <w:szCs w:val="24"/>
              </w:rPr>
            </w:pPr>
          </w:p>
        </w:tc>
      </w:tr>
      <w:tr w:rsidR="00FD57E1" w:rsidRPr="00FD57E1" w:rsidTr="00D63AB4">
        <w:tc>
          <w:tcPr>
            <w:tcW w:w="3597" w:type="pct"/>
          </w:tcPr>
          <w:p w:rsidR="00D63AB4" w:rsidRPr="00FD57E1" w:rsidRDefault="00D63AB4" w:rsidP="00D63AB4">
            <w:pPr>
              <w:tabs>
                <w:tab w:val="left" w:pos="4455"/>
              </w:tabs>
              <w:jc w:val="left"/>
              <w:rPr>
                <w:rFonts w:ascii="Arial" w:hAnsi="Arial" w:cs="Arial"/>
                <w:sz w:val="24"/>
                <w:szCs w:val="24"/>
              </w:rPr>
            </w:pPr>
            <w:r w:rsidRPr="00FD57E1">
              <w:rPr>
                <w:rFonts w:ascii="Arial" w:hAnsi="Arial" w:cs="Arial"/>
                <w:sz w:val="24"/>
                <w:szCs w:val="24"/>
              </w:rPr>
              <w:t>Matt Duffy, Investor Relations Manager</w:t>
            </w:r>
          </w:p>
        </w:tc>
        <w:tc>
          <w:tcPr>
            <w:tcW w:w="1403" w:type="pct"/>
          </w:tcPr>
          <w:p w:rsidR="00D63AB4" w:rsidRPr="00FD57E1" w:rsidRDefault="00D63AB4" w:rsidP="00D63AB4">
            <w:pPr>
              <w:jc w:val="right"/>
              <w:rPr>
                <w:rFonts w:ascii="Arial" w:hAnsi="Arial" w:cs="Arial"/>
                <w:sz w:val="24"/>
                <w:szCs w:val="24"/>
              </w:rPr>
            </w:pPr>
            <w:r w:rsidRPr="00FD57E1">
              <w:rPr>
                <w:rFonts w:ascii="Arial" w:hAnsi="Arial" w:cs="Arial"/>
                <w:sz w:val="24"/>
                <w:szCs w:val="24"/>
              </w:rPr>
              <w:t>020 7644 1082</w:t>
            </w:r>
          </w:p>
        </w:tc>
      </w:tr>
      <w:tr w:rsidR="00FD57E1" w:rsidRPr="00FD57E1" w:rsidTr="00D63AB4">
        <w:tc>
          <w:tcPr>
            <w:tcW w:w="3597" w:type="pct"/>
          </w:tcPr>
          <w:p w:rsidR="00D63AB4" w:rsidRPr="00FD57E1" w:rsidRDefault="00D63AB4" w:rsidP="00D63AB4">
            <w:pPr>
              <w:tabs>
                <w:tab w:val="left" w:pos="4455"/>
              </w:tabs>
              <w:jc w:val="left"/>
              <w:rPr>
                <w:rFonts w:ascii="Arial" w:hAnsi="Arial" w:cs="Arial"/>
                <w:sz w:val="24"/>
                <w:szCs w:val="24"/>
              </w:rPr>
            </w:pPr>
          </w:p>
        </w:tc>
        <w:tc>
          <w:tcPr>
            <w:tcW w:w="1403" w:type="pct"/>
          </w:tcPr>
          <w:p w:rsidR="00D63AB4" w:rsidRPr="00FD57E1" w:rsidRDefault="00D63AB4" w:rsidP="00D63AB4">
            <w:pPr>
              <w:jc w:val="right"/>
              <w:rPr>
                <w:rFonts w:ascii="Arial" w:hAnsi="Arial" w:cs="Arial"/>
                <w:sz w:val="24"/>
                <w:szCs w:val="24"/>
              </w:rPr>
            </w:pPr>
          </w:p>
        </w:tc>
      </w:tr>
      <w:tr w:rsidR="00FD57E1" w:rsidRPr="00FD57E1" w:rsidTr="00D63AB4">
        <w:tc>
          <w:tcPr>
            <w:tcW w:w="3597" w:type="pct"/>
          </w:tcPr>
          <w:p w:rsidR="00D63AB4" w:rsidRPr="00FD57E1" w:rsidRDefault="007E6180" w:rsidP="00D63AB4">
            <w:pPr>
              <w:tabs>
                <w:tab w:val="left" w:pos="4455"/>
              </w:tabs>
              <w:jc w:val="left"/>
              <w:rPr>
                <w:rFonts w:ascii="Arial" w:hAnsi="Arial" w:cs="Arial"/>
                <w:sz w:val="24"/>
                <w:szCs w:val="24"/>
              </w:rPr>
            </w:pPr>
            <w:r>
              <w:rPr>
                <w:rFonts w:ascii="Arial" w:hAnsi="Arial" w:cs="Arial"/>
                <w:sz w:val="24"/>
                <w:szCs w:val="24"/>
              </w:rPr>
              <w:t>Clare Feast</w:t>
            </w:r>
            <w:r w:rsidR="00D63AB4" w:rsidRPr="00FD57E1">
              <w:rPr>
                <w:rFonts w:ascii="Arial" w:hAnsi="Arial" w:cs="Arial"/>
                <w:sz w:val="24"/>
                <w:szCs w:val="24"/>
              </w:rPr>
              <w:t xml:space="preserve">, Media Relations </w:t>
            </w:r>
            <w:r w:rsidR="00F10AB3">
              <w:rPr>
                <w:rFonts w:ascii="Arial" w:hAnsi="Arial" w:cs="Arial"/>
                <w:sz w:val="24"/>
                <w:szCs w:val="24"/>
              </w:rPr>
              <w:t>Manager</w:t>
            </w:r>
          </w:p>
        </w:tc>
        <w:tc>
          <w:tcPr>
            <w:tcW w:w="1403" w:type="pct"/>
          </w:tcPr>
          <w:p w:rsidR="00D63AB4" w:rsidRPr="00FD57E1" w:rsidRDefault="00D63AB4" w:rsidP="00D63AB4">
            <w:pPr>
              <w:jc w:val="right"/>
              <w:rPr>
                <w:rFonts w:ascii="Arial" w:hAnsi="Arial" w:cs="Arial"/>
                <w:sz w:val="24"/>
                <w:szCs w:val="24"/>
              </w:rPr>
            </w:pPr>
            <w:r w:rsidRPr="00FD57E1">
              <w:rPr>
                <w:rFonts w:ascii="Arial" w:hAnsi="Arial" w:cs="Arial"/>
                <w:sz w:val="24"/>
                <w:szCs w:val="24"/>
              </w:rPr>
              <w:t>020 7644 1286</w:t>
            </w:r>
          </w:p>
        </w:tc>
      </w:tr>
      <w:tr w:rsidR="00FD57E1" w:rsidRPr="00FD57E1" w:rsidTr="00D63AB4">
        <w:tc>
          <w:tcPr>
            <w:tcW w:w="3597" w:type="pct"/>
          </w:tcPr>
          <w:p w:rsidR="00D63AB4" w:rsidRPr="00FD57E1" w:rsidRDefault="00D63AB4" w:rsidP="00D63AB4">
            <w:pPr>
              <w:jc w:val="left"/>
              <w:rPr>
                <w:rFonts w:ascii="Arial" w:hAnsi="Arial" w:cs="Arial"/>
                <w:sz w:val="24"/>
                <w:szCs w:val="24"/>
              </w:rPr>
            </w:pPr>
          </w:p>
        </w:tc>
        <w:tc>
          <w:tcPr>
            <w:tcW w:w="1403" w:type="pct"/>
          </w:tcPr>
          <w:p w:rsidR="00D63AB4" w:rsidRPr="00FD57E1" w:rsidRDefault="00D63AB4" w:rsidP="00D63AB4">
            <w:pPr>
              <w:jc w:val="right"/>
              <w:rPr>
                <w:rFonts w:ascii="Arial" w:hAnsi="Arial" w:cs="Arial"/>
                <w:sz w:val="24"/>
                <w:szCs w:val="24"/>
              </w:rPr>
            </w:pPr>
          </w:p>
        </w:tc>
      </w:tr>
      <w:tr w:rsidR="00FD57E1" w:rsidRPr="00FD57E1" w:rsidTr="00D63AB4">
        <w:tc>
          <w:tcPr>
            <w:tcW w:w="3597" w:type="pct"/>
            <w:tcBorders>
              <w:bottom w:val="single" w:sz="4" w:space="0" w:color="auto"/>
            </w:tcBorders>
          </w:tcPr>
          <w:p w:rsidR="00D63AB4" w:rsidRPr="00FD57E1" w:rsidRDefault="00D63AB4" w:rsidP="00D63AB4">
            <w:pPr>
              <w:jc w:val="left"/>
              <w:rPr>
                <w:rFonts w:ascii="Arial" w:hAnsi="Arial" w:cs="Arial"/>
                <w:sz w:val="24"/>
                <w:szCs w:val="24"/>
              </w:rPr>
            </w:pPr>
            <w:r w:rsidRPr="00FD57E1">
              <w:rPr>
                <w:rFonts w:ascii="Arial" w:hAnsi="Arial" w:cs="Arial"/>
                <w:sz w:val="24"/>
                <w:szCs w:val="24"/>
              </w:rPr>
              <w:t>Brunswick</w:t>
            </w:r>
          </w:p>
        </w:tc>
        <w:tc>
          <w:tcPr>
            <w:tcW w:w="1403" w:type="pct"/>
            <w:tcBorders>
              <w:bottom w:val="single" w:sz="4" w:space="0" w:color="auto"/>
            </w:tcBorders>
          </w:tcPr>
          <w:p w:rsidR="00D63AB4" w:rsidRPr="00FD57E1" w:rsidRDefault="00D63AB4" w:rsidP="00D63AB4">
            <w:pPr>
              <w:jc w:val="right"/>
              <w:rPr>
                <w:rFonts w:ascii="Arial" w:hAnsi="Arial" w:cs="Arial"/>
                <w:sz w:val="24"/>
                <w:szCs w:val="24"/>
              </w:rPr>
            </w:pPr>
            <w:r w:rsidRPr="00FD57E1">
              <w:rPr>
                <w:rFonts w:ascii="Arial" w:hAnsi="Arial" w:cs="Arial"/>
                <w:sz w:val="24"/>
                <w:szCs w:val="24"/>
              </w:rPr>
              <w:t>020 7404 5959</w:t>
            </w:r>
          </w:p>
        </w:tc>
      </w:tr>
    </w:tbl>
    <w:p w:rsidR="00533CAC" w:rsidRPr="00FD57E1" w:rsidRDefault="00533CAC" w:rsidP="00D63AB4">
      <w:pPr>
        <w:jc w:val="left"/>
        <w:rPr>
          <w:rFonts w:ascii="Arial" w:hAnsi="Arial" w:cs="Arial"/>
          <w:sz w:val="24"/>
          <w:szCs w:val="24"/>
        </w:rPr>
      </w:pPr>
    </w:p>
    <w:p w:rsidR="00D63AB4" w:rsidRPr="00FD57E1" w:rsidRDefault="00D63AB4" w:rsidP="00D63AB4">
      <w:pPr>
        <w:jc w:val="left"/>
        <w:rPr>
          <w:rFonts w:ascii="Arial" w:hAnsi="Arial" w:cs="Arial"/>
          <w:sz w:val="24"/>
          <w:szCs w:val="24"/>
        </w:rPr>
      </w:pPr>
      <w:r w:rsidRPr="00FD57E1">
        <w:rPr>
          <w:rFonts w:ascii="Arial" w:hAnsi="Arial" w:cs="Arial"/>
          <w:sz w:val="24"/>
          <w:szCs w:val="24"/>
        </w:rPr>
        <w:t xml:space="preserve">Further copies of this announcement can be downloaded from </w:t>
      </w:r>
      <w:hyperlink r:id="rId9" w:history="1">
        <w:r w:rsidRPr="00FD57E1">
          <w:rPr>
            <w:rStyle w:val="Hyperlink"/>
            <w:rFonts w:ascii="Arial" w:hAnsi="Arial" w:cs="Arial"/>
            <w:color w:val="auto"/>
            <w:sz w:val="24"/>
            <w:szCs w:val="24"/>
          </w:rPr>
          <w:t>www.kingfisher.com</w:t>
        </w:r>
      </w:hyperlink>
      <w:r w:rsidRPr="00FD57E1">
        <w:rPr>
          <w:rFonts w:ascii="Arial" w:hAnsi="Arial" w:cs="Arial"/>
          <w:sz w:val="24"/>
          <w:szCs w:val="24"/>
        </w:rPr>
        <w:t xml:space="preserve"> or viewed on the Kingfisher IR iPad App available for free at the Apple App store. </w:t>
      </w:r>
    </w:p>
    <w:p w:rsidR="009104F0" w:rsidRPr="00586E7A" w:rsidRDefault="009104F0" w:rsidP="009104F0">
      <w:pPr>
        <w:rPr>
          <w:rFonts w:ascii="Arial" w:hAnsi="Arial" w:cs="Arial"/>
          <w:sz w:val="24"/>
          <w:szCs w:val="24"/>
        </w:rPr>
      </w:pPr>
      <w:r>
        <w:rPr>
          <w:rFonts w:ascii="Arial" w:hAnsi="Arial" w:cs="Arial"/>
          <w:sz w:val="24"/>
          <w:szCs w:val="24"/>
        </w:rPr>
        <w:t xml:space="preserve">We can also be followed on twitter @kingfisherplc </w:t>
      </w:r>
      <w:r>
        <w:rPr>
          <w:rFonts w:ascii="Arial" w:hAnsi="Arial" w:cs="Arial"/>
          <w:sz w:val="24"/>
          <w:szCs w:val="24"/>
          <w:u w:val="single"/>
        </w:rPr>
        <w:t>with the Q1 results tag #KGFQ1</w:t>
      </w:r>
      <w:r>
        <w:rPr>
          <w:rFonts w:ascii="Arial" w:hAnsi="Arial" w:cs="Arial"/>
          <w:sz w:val="24"/>
          <w:szCs w:val="24"/>
        </w:rPr>
        <w:t>.</w:t>
      </w:r>
    </w:p>
    <w:p w:rsidR="005D2DC9" w:rsidRDefault="005D2DC9" w:rsidP="00A626C0">
      <w:pPr>
        <w:autoSpaceDE w:val="0"/>
        <w:autoSpaceDN w:val="0"/>
        <w:adjustRightInd w:val="0"/>
        <w:jc w:val="left"/>
        <w:rPr>
          <w:rFonts w:ascii="Arial" w:hAnsi="Arial" w:cs="Arial"/>
          <w:b/>
          <w:caps/>
          <w:sz w:val="24"/>
          <w:szCs w:val="24"/>
        </w:rPr>
      </w:pPr>
    </w:p>
    <w:p w:rsidR="005066DC" w:rsidRPr="00A1426F" w:rsidRDefault="005066DC" w:rsidP="005066DC">
      <w:pPr>
        <w:autoSpaceDE w:val="0"/>
        <w:autoSpaceDN w:val="0"/>
        <w:adjustRightInd w:val="0"/>
        <w:jc w:val="left"/>
        <w:rPr>
          <w:rFonts w:ascii="Arial" w:hAnsi="Arial" w:cs="Arial"/>
          <w:sz w:val="24"/>
          <w:szCs w:val="24"/>
        </w:rPr>
      </w:pPr>
      <w:r w:rsidRPr="00A1426F">
        <w:rPr>
          <w:rFonts w:ascii="Arial" w:hAnsi="Arial" w:cs="Arial"/>
          <w:sz w:val="24"/>
          <w:szCs w:val="24"/>
        </w:rPr>
        <w:t>Kingfisher American Depository Receipts are traded in the US on the OTCQX platform:</w:t>
      </w:r>
    </w:p>
    <w:p w:rsidR="005066DC" w:rsidRPr="00A1426F" w:rsidRDefault="005066DC" w:rsidP="005066DC">
      <w:pPr>
        <w:autoSpaceDE w:val="0"/>
        <w:autoSpaceDN w:val="0"/>
        <w:adjustRightInd w:val="0"/>
        <w:jc w:val="left"/>
        <w:rPr>
          <w:rFonts w:ascii="Arial" w:hAnsi="Arial" w:cs="Arial"/>
          <w:sz w:val="24"/>
          <w:szCs w:val="24"/>
        </w:rPr>
      </w:pPr>
      <w:r w:rsidRPr="00A1426F">
        <w:rPr>
          <w:rFonts w:ascii="Arial" w:hAnsi="Arial" w:cs="Arial"/>
          <w:sz w:val="24"/>
          <w:szCs w:val="24"/>
        </w:rPr>
        <w:t>(OTCQX: KGFHY)</w:t>
      </w:r>
    </w:p>
    <w:p w:rsidR="005066DC" w:rsidRPr="00637B9B" w:rsidRDefault="005066DC" w:rsidP="005066DC">
      <w:pPr>
        <w:jc w:val="left"/>
        <w:rPr>
          <w:rFonts w:ascii="Arial" w:hAnsi="Arial" w:cs="Arial"/>
          <w:sz w:val="24"/>
          <w:szCs w:val="24"/>
          <w:highlight w:val="yellow"/>
        </w:rPr>
      </w:pPr>
      <w:r w:rsidRPr="00A1426F">
        <w:rPr>
          <w:rFonts w:ascii="Arial" w:hAnsi="Arial" w:cs="Arial"/>
          <w:sz w:val="24"/>
          <w:szCs w:val="24"/>
        </w:rPr>
        <w:t>http://www.otcmarkets.com/stock/KGFHY/quote</w:t>
      </w:r>
    </w:p>
    <w:p w:rsidR="001C29A6" w:rsidRDefault="001C29A6" w:rsidP="005B007D">
      <w:pPr>
        <w:jc w:val="left"/>
        <w:rPr>
          <w:rFonts w:ascii="Arial" w:hAnsi="Arial" w:cs="Arial"/>
          <w:b/>
          <w:bCs/>
          <w:sz w:val="24"/>
          <w:szCs w:val="24"/>
        </w:rPr>
      </w:pPr>
    </w:p>
    <w:p w:rsidR="001C29A6" w:rsidRDefault="001C29A6" w:rsidP="005B007D">
      <w:pPr>
        <w:jc w:val="left"/>
        <w:rPr>
          <w:rFonts w:ascii="Arial" w:hAnsi="Arial" w:cs="Arial"/>
          <w:b/>
          <w:bCs/>
          <w:sz w:val="24"/>
          <w:szCs w:val="24"/>
        </w:rPr>
      </w:pPr>
    </w:p>
    <w:p w:rsidR="00065087" w:rsidRDefault="00065087">
      <w:pPr>
        <w:jc w:val="left"/>
        <w:rPr>
          <w:rFonts w:ascii="Arial" w:hAnsi="Arial" w:cs="Arial"/>
          <w:b/>
          <w:bCs/>
          <w:sz w:val="24"/>
          <w:szCs w:val="24"/>
        </w:rPr>
      </w:pPr>
      <w:r>
        <w:rPr>
          <w:rFonts w:ascii="Arial" w:hAnsi="Arial" w:cs="Arial"/>
          <w:b/>
          <w:bCs/>
          <w:sz w:val="24"/>
          <w:szCs w:val="24"/>
        </w:rPr>
        <w:br w:type="page"/>
      </w:r>
    </w:p>
    <w:p w:rsidR="005B007D" w:rsidRPr="00421ED6" w:rsidRDefault="005B007D" w:rsidP="005B007D">
      <w:pPr>
        <w:jc w:val="left"/>
        <w:rPr>
          <w:rFonts w:ascii="Arial" w:hAnsi="Arial" w:cs="Arial"/>
          <w:sz w:val="24"/>
          <w:szCs w:val="24"/>
        </w:rPr>
      </w:pPr>
      <w:r w:rsidRPr="00A04F66">
        <w:rPr>
          <w:rFonts w:ascii="Arial" w:hAnsi="Arial" w:cs="Arial"/>
          <w:b/>
          <w:bCs/>
          <w:sz w:val="24"/>
          <w:szCs w:val="24"/>
        </w:rPr>
        <w:t>GLOSSARY (terms are listed in alphabetical order)</w:t>
      </w:r>
    </w:p>
    <w:p w:rsidR="005B007D" w:rsidRPr="005638CF" w:rsidRDefault="005B007D" w:rsidP="005D1C90">
      <w:pPr>
        <w:jc w:val="left"/>
        <w:rPr>
          <w:rFonts w:ascii="Arial" w:hAnsi="Arial" w:cs="Arial"/>
          <w:iCs/>
          <w:sz w:val="20"/>
          <w:highlight w:val="yellow"/>
        </w:rPr>
      </w:pPr>
    </w:p>
    <w:p w:rsidR="005B007D" w:rsidRPr="00DF79C4" w:rsidRDefault="005B007D" w:rsidP="005D1C90">
      <w:pPr>
        <w:jc w:val="left"/>
        <w:rPr>
          <w:rFonts w:ascii="Arial" w:hAnsi="Arial" w:cs="Arial"/>
          <w:iCs/>
          <w:sz w:val="24"/>
          <w:szCs w:val="24"/>
        </w:rPr>
      </w:pPr>
      <w:r w:rsidRPr="00DF79C4">
        <w:rPr>
          <w:rFonts w:ascii="Arial" w:hAnsi="Arial" w:cs="Arial"/>
          <w:b/>
          <w:iCs/>
          <w:sz w:val="24"/>
          <w:szCs w:val="24"/>
        </w:rPr>
        <w:t xml:space="preserve">Banque de France </w:t>
      </w:r>
      <w:r w:rsidRPr="00DF79C4">
        <w:rPr>
          <w:rFonts w:ascii="Arial" w:hAnsi="Arial" w:cs="Arial"/>
          <w:iCs/>
          <w:sz w:val="24"/>
          <w:szCs w:val="24"/>
        </w:rPr>
        <w:t xml:space="preserve">data </w:t>
      </w:r>
      <w:r w:rsidR="00F0537C">
        <w:rPr>
          <w:rFonts w:ascii="Arial" w:hAnsi="Arial" w:cs="Arial"/>
          <w:iCs/>
          <w:sz w:val="24"/>
          <w:szCs w:val="24"/>
        </w:rPr>
        <w:t xml:space="preserve">for the </w:t>
      </w:r>
      <w:r w:rsidR="00E85D08">
        <w:rPr>
          <w:rFonts w:ascii="Arial" w:hAnsi="Arial" w:cs="Arial"/>
          <w:iCs/>
          <w:sz w:val="24"/>
          <w:szCs w:val="24"/>
        </w:rPr>
        <w:t>three months to April 2014 was</w:t>
      </w:r>
      <w:r w:rsidR="00F0537C">
        <w:rPr>
          <w:rFonts w:ascii="Arial" w:hAnsi="Arial" w:cs="Arial"/>
          <w:iCs/>
          <w:sz w:val="24"/>
          <w:szCs w:val="24"/>
        </w:rPr>
        <w:t xml:space="preserve"> </w:t>
      </w:r>
      <w:r w:rsidR="00917BAD">
        <w:rPr>
          <w:rFonts w:ascii="Arial" w:hAnsi="Arial" w:cs="Arial"/>
          <w:iCs/>
          <w:sz w:val="24"/>
          <w:szCs w:val="24"/>
        </w:rPr>
        <w:t xml:space="preserve">around </w:t>
      </w:r>
      <w:r w:rsidR="00F0537C">
        <w:rPr>
          <w:rFonts w:ascii="Arial" w:hAnsi="Arial" w:cs="Arial"/>
          <w:iCs/>
          <w:sz w:val="24"/>
          <w:szCs w:val="24"/>
        </w:rPr>
        <w:t>+</w:t>
      </w:r>
      <w:r w:rsidR="00572D33">
        <w:rPr>
          <w:rFonts w:ascii="Arial" w:hAnsi="Arial" w:cs="Arial"/>
          <w:iCs/>
          <w:sz w:val="24"/>
          <w:szCs w:val="24"/>
        </w:rPr>
        <w:t>3.0</w:t>
      </w:r>
      <w:r w:rsidR="00F0537C">
        <w:rPr>
          <w:rFonts w:ascii="Arial" w:hAnsi="Arial" w:cs="Arial"/>
          <w:iCs/>
          <w:sz w:val="24"/>
          <w:szCs w:val="24"/>
        </w:rPr>
        <w:t xml:space="preserve">% and </w:t>
      </w:r>
      <w:r w:rsidRPr="00DF79C4">
        <w:rPr>
          <w:rFonts w:ascii="Arial" w:hAnsi="Arial" w:cs="Arial"/>
          <w:iCs/>
          <w:sz w:val="24"/>
          <w:szCs w:val="24"/>
        </w:rPr>
        <w:t>includes relocated and extended stores.</w:t>
      </w:r>
      <w:r w:rsidR="00DF79C4">
        <w:rPr>
          <w:rFonts w:ascii="Arial" w:hAnsi="Arial" w:cs="Arial"/>
          <w:iCs/>
          <w:sz w:val="24"/>
          <w:szCs w:val="24"/>
        </w:rPr>
        <w:t xml:space="preserve"> </w:t>
      </w:r>
    </w:p>
    <w:p w:rsidR="005C1078" w:rsidRDefault="005C1078" w:rsidP="005B007D">
      <w:pPr>
        <w:jc w:val="left"/>
        <w:rPr>
          <w:rFonts w:ascii="Arial" w:hAnsi="Arial" w:cs="Arial"/>
          <w:b/>
          <w:sz w:val="24"/>
          <w:szCs w:val="24"/>
        </w:rPr>
      </w:pPr>
    </w:p>
    <w:p w:rsidR="00207D0C" w:rsidRPr="00207D0C" w:rsidRDefault="00207D0C" w:rsidP="005B007D">
      <w:pPr>
        <w:jc w:val="left"/>
        <w:rPr>
          <w:rFonts w:ascii="Arial" w:hAnsi="Arial" w:cs="Arial"/>
          <w:sz w:val="24"/>
          <w:szCs w:val="24"/>
        </w:rPr>
      </w:pPr>
      <w:r>
        <w:rPr>
          <w:rFonts w:ascii="Arial" w:hAnsi="Arial" w:cs="Arial"/>
          <w:b/>
          <w:sz w:val="24"/>
          <w:szCs w:val="24"/>
        </w:rPr>
        <w:t>Cash gross profit</w:t>
      </w:r>
      <w:r w:rsidR="00E85D08">
        <w:rPr>
          <w:rFonts w:ascii="Arial" w:hAnsi="Arial" w:cs="Arial"/>
          <w:b/>
          <w:sz w:val="24"/>
          <w:szCs w:val="24"/>
        </w:rPr>
        <w:t>/cash margin</w:t>
      </w:r>
      <w:r>
        <w:rPr>
          <w:rFonts w:ascii="Arial" w:hAnsi="Arial" w:cs="Arial"/>
          <w:sz w:val="24"/>
          <w:szCs w:val="24"/>
        </w:rPr>
        <w:t xml:space="preserve"> equates to sales multiplied by the gross margin % rate. </w:t>
      </w:r>
    </w:p>
    <w:p w:rsidR="00207D0C" w:rsidRDefault="00207D0C" w:rsidP="005B007D">
      <w:pPr>
        <w:jc w:val="left"/>
        <w:rPr>
          <w:rFonts w:ascii="Arial" w:hAnsi="Arial" w:cs="Arial"/>
          <w:b/>
          <w:sz w:val="24"/>
          <w:szCs w:val="24"/>
        </w:rPr>
      </w:pPr>
    </w:p>
    <w:p w:rsidR="00C01956" w:rsidRDefault="00C01956" w:rsidP="005B007D">
      <w:pPr>
        <w:jc w:val="left"/>
        <w:rPr>
          <w:rFonts w:ascii="Arial" w:hAnsi="Arial" w:cs="Arial"/>
          <w:sz w:val="24"/>
          <w:szCs w:val="24"/>
        </w:rPr>
      </w:pPr>
      <w:r w:rsidRPr="008D588B">
        <w:rPr>
          <w:rFonts w:ascii="Arial" w:hAnsi="Arial" w:cs="Arial"/>
          <w:b/>
          <w:sz w:val="24"/>
          <w:szCs w:val="24"/>
        </w:rPr>
        <w:t xml:space="preserve">Chinese property market </w:t>
      </w:r>
    </w:p>
    <w:p w:rsidR="00C01956" w:rsidRPr="00A04F66" w:rsidRDefault="008D588B" w:rsidP="005B007D">
      <w:pPr>
        <w:jc w:val="left"/>
        <w:rPr>
          <w:rFonts w:ascii="Arial" w:hAnsi="Arial" w:cs="Arial"/>
          <w:sz w:val="24"/>
          <w:szCs w:val="24"/>
        </w:rPr>
      </w:pPr>
      <w:r>
        <w:rPr>
          <w:rFonts w:ascii="Arial" w:hAnsi="Arial" w:cs="Arial"/>
          <w:sz w:val="24"/>
          <w:szCs w:val="24"/>
        </w:rPr>
        <w:t xml:space="preserve">New property transaction sales </w:t>
      </w:r>
      <w:r w:rsidR="0072679D">
        <w:rPr>
          <w:rFonts w:ascii="Arial" w:hAnsi="Arial" w:cs="Arial"/>
          <w:sz w:val="24"/>
          <w:szCs w:val="24"/>
        </w:rPr>
        <w:t xml:space="preserve">down </w:t>
      </w:r>
      <w:r w:rsidR="004A4257">
        <w:rPr>
          <w:rFonts w:ascii="Arial" w:hAnsi="Arial" w:cs="Arial"/>
          <w:sz w:val="24"/>
          <w:szCs w:val="24"/>
        </w:rPr>
        <w:t>19</w:t>
      </w:r>
      <w:r w:rsidR="0072679D">
        <w:rPr>
          <w:rFonts w:ascii="Arial" w:hAnsi="Arial" w:cs="Arial"/>
          <w:sz w:val="24"/>
          <w:szCs w:val="24"/>
        </w:rPr>
        <w:t xml:space="preserve">% for the </w:t>
      </w:r>
      <w:r w:rsidR="006044AE">
        <w:rPr>
          <w:rFonts w:ascii="Arial" w:hAnsi="Arial" w:cs="Arial"/>
          <w:sz w:val="24"/>
          <w:szCs w:val="24"/>
        </w:rPr>
        <w:t>3</w:t>
      </w:r>
      <w:r w:rsidR="00C01956" w:rsidRPr="00C01956">
        <w:rPr>
          <w:rFonts w:ascii="Arial" w:hAnsi="Arial" w:cs="Arial"/>
          <w:sz w:val="24"/>
          <w:szCs w:val="24"/>
        </w:rPr>
        <w:t xml:space="preserve"> months to </w:t>
      </w:r>
      <w:r w:rsidR="004A4257">
        <w:rPr>
          <w:rFonts w:ascii="Arial" w:hAnsi="Arial" w:cs="Arial"/>
          <w:sz w:val="24"/>
          <w:szCs w:val="24"/>
        </w:rPr>
        <w:t xml:space="preserve">April </w:t>
      </w:r>
      <w:r>
        <w:rPr>
          <w:rFonts w:ascii="Arial" w:hAnsi="Arial" w:cs="Arial"/>
          <w:sz w:val="24"/>
          <w:szCs w:val="24"/>
        </w:rPr>
        <w:t xml:space="preserve">2014 </w:t>
      </w:r>
      <w:r w:rsidR="0072679D">
        <w:rPr>
          <w:rFonts w:ascii="Arial" w:hAnsi="Arial" w:cs="Arial"/>
          <w:sz w:val="24"/>
          <w:szCs w:val="24"/>
        </w:rPr>
        <w:t xml:space="preserve">compared to the same period last year </w:t>
      </w:r>
      <w:r w:rsidR="00C01956" w:rsidRPr="00C01956">
        <w:rPr>
          <w:rFonts w:ascii="Arial" w:hAnsi="Arial" w:cs="Arial"/>
          <w:sz w:val="24"/>
          <w:szCs w:val="24"/>
        </w:rPr>
        <w:t xml:space="preserve">for 17 cities in which </w:t>
      </w:r>
      <w:r w:rsidR="00C01956" w:rsidRPr="00A04F66">
        <w:rPr>
          <w:rFonts w:ascii="Arial" w:hAnsi="Arial" w:cs="Arial"/>
          <w:sz w:val="24"/>
          <w:szCs w:val="24"/>
        </w:rPr>
        <w:t>B&amp;Q China operates</w:t>
      </w:r>
      <w:r w:rsidR="0072679D">
        <w:rPr>
          <w:rFonts w:ascii="Arial" w:hAnsi="Arial" w:cs="Arial"/>
          <w:sz w:val="24"/>
          <w:szCs w:val="24"/>
        </w:rPr>
        <w:t>,</w:t>
      </w:r>
      <w:r w:rsidR="00C01956" w:rsidRPr="00A04F66">
        <w:rPr>
          <w:rFonts w:ascii="Arial" w:hAnsi="Arial" w:cs="Arial"/>
          <w:sz w:val="24"/>
          <w:szCs w:val="24"/>
        </w:rPr>
        <w:t xml:space="preserve"> according to the China Real Estate Exchange</w:t>
      </w:r>
      <w:r w:rsidRPr="00A04F66">
        <w:rPr>
          <w:rFonts w:ascii="Arial" w:hAnsi="Arial" w:cs="Arial"/>
          <w:sz w:val="24"/>
          <w:szCs w:val="24"/>
        </w:rPr>
        <w:t>.</w:t>
      </w:r>
    </w:p>
    <w:p w:rsidR="005B007D" w:rsidRDefault="005B007D" w:rsidP="005B007D">
      <w:pPr>
        <w:jc w:val="left"/>
        <w:rPr>
          <w:rFonts w:ascii="Arial" w:hAnsi="Arial" w:cs="Arial"/>
          <w:b/>
          <w:iCs/>
          <w:sz w:val="24"/>
          <w:szCs w:val="24"/>
        </w:rPr>
      </w:pPr>
    </w:p>
    <w:p w:rsidR="00257F52" w:rsidRPr="005D1C90" w:rsidRDefault="00257F52" w:rsidP="005B007D">
      <w:pPr>
        <w:jc w:val="left"/>
        <w:rPr>
          <w:rFonts w:ascii="Arial" w:hAnsi="Arial" w:cs="Arial"/>
          <w:iCs/>
          <w:sz w:val="24"/>
          <w:szCs w:val="24"/>
        </w:rPr>
      </w:pPr>
      <w:r>
        <w:rPr>
          <w:rFonts w:ascii="Arial" w:hAnsi="Arial" w:cs="Arial"/>
          <w:b/>
          <w:iCs/>
          <w:sz w:val="24"/>
          <w:szCs w:val="24"/>
        </w:rPr>
        <w:t xml:space="preserve">Development costs </w:t>
      </w:r>
      <w:r w:rsidRPr="005D1C90">
        <w:rPr>
          <w:rFonts w:ascii="Arial" w:hAnsi="Arial" w:cs="Arial"/>
          <w:iCs/>
          <w:sz w:val="24"/>
          <w:szCs w:val="24"/>
        </w:rPr>
        <w:t>of new country entries into Germany with Scr</w:t>
      </w:r>
      <w:r>
        <w:rPr>
          <w:rFonts w:ascii="Arial" w:hAnsi="Arial" w:cs="Arial"/>
          <w:iCs/>
          <w:sz w:val="24"/>
          <w:szCs w:val="24"/>
        </w:rPr>
        <w:t>ewfix and Portugal with Brico Dépô</w:t>
      </w:r>
      <w:r w:rsidRPr="005D1C90">
        <w:rPr>
          <w:rFonts w:ascii="Arial" w:hAnsi="Arial" w:cs="Arial"/>
          <w:iCs/>
          <w:sz w:val="24"/>
          <w:szCs w:val="24"/>
        </w:rPr>
        <w:t>t.</w:t>
      </w:r>
    </w:p>
    <w:p w:rsidR="00257F52" w:rsidRPr="00A04F66" w:rsidRDefault="00257F52" w:rsidP="005B007D">
      <w:pPr>
        <w:jc w:val="left"/>
        <w:rPr>
          <w:rFonts w:ascii="Arial" w:hAnsi="Arial" w:cs="Arial"/>
          <w:b/>
          <w:iCs/>
          <w:sz w:val="24"/>
          <w:szCs w:val="24"/>
        </w:rPr>
      </w:pPr>
    </w:p>
    <w:p w:rsidR="005B007D" w:rsidRPr="00A04F66" w:rsidRDefault="005B007D" w:rsidP="005B007D">
      <w:pPr>
        <w:jc w:val="left"/>
        <w:rPr>
          <w:rFonts w:ascii="Arial" w:hAnsi="Arial" w:cs="Arial"/>
          <w:iCs/>
          <w:sz w:val="24"/>
          <w:szCs w:val="24"/>
        </w:rPr>
      </w:pPr>
      <w:r w:rsidRPr="00A04F66">
        <w:rPr>
          <w:rFonts w:ascii="Arial" w:hAnsi="Arial" w:cs="Arial"/>
          <w:b/>
          <w:iCs/>
          <w:sz w:val="24"/>
          <w:szCs w:val="24"/>
        </w:rPr>
        <w:t>France</w:t>
      </w:r>
      <w:r w:rsidRPr="00A04F66">
        <w:rPr>
          <w:rFonts w:ascii="Arial" w:hAnsi="Arial" w:cs="Arial"/>
          <w:iCs/>
          <w:sz w:val="24"/>
          <w:szCs w:val="24"/>
        </w:rPr>
        <w:t xml:space="preserve"> consists of Castorama France and Brico Dépôt France.</w:t>
      </w:r>
    </w:p>
    <w:p w:rsidR="005B007D" w:rsidRPr="00A04F66" w:rsidRDefault="005B007D" w:rsidP="005B007D">
      <w:pPr>
        <w:jc w:val="left"/>
        <w:rPr>
          <w:rFonts w:ascii="Arial" w:hAnsi="Arial" w:cs="Arial"/>
          <w:b/>
          <w:iCs/>
          <w:sz w:val="24"/>
          <w:szCs w:val="24"/>
        </w:rPr>
      </w:pPr>
    </w:p>
    <w:p w:rsidR="00F77362" w:rsidRPr="00A04F66" w:rsidRDefault="005B007D" w:rsidP="005B007D">
      <w:pPr>
        <w:jc w:val="left"/>
        <w:rPr>
          <w:rFonts w:ascii="Arial" w:hAnsi="Arial" w:cs="Arial"/>
          <w:iCs/>
          <w:sz w:val="24"/>
          <w:szCs w:val="24"/>
        </w:rPr>
      </w:pPr>
      <w:r w:rsidRPr="00A04F66">
        <w:rPr>
          <w:rFonts w:ascii="Arial" w:hAnsi="Arial" w:cs="Arial"/>
          <w:b/>
          <w:iCs/>
          <w:sz w:val="24"/>
          <w:szCs w:val="24"/>
        </w:rPr>
        <w:t>LFL</w:t>
      </w:r>
      <w:r w:rsidRPr="00A04F66">
        <w:rPr>
          <w:rFonts w:ascii="Arial" w:hAnsi="Arial" w:cs="Arial"/>
          <w:iCs/>
          <w:sz w:val="24"/>
          <w:szCs w:val="24"/>
        </w:rPr>
        <w:t xml:space="preserve"> stands for like-for-like sales growth which represents the constant currency, year-on-year sales growth for stores that have been open for more than a year.</w:t>
      </w:r>
      <w:r w:rsidR="00837F43">
        <w:rPr>
          <w:rFonts w:ascii="Arial" w:hAnsi="Arial" w:cs="Arial"/>
          <w:iCs/>
          <w:sz w:val="24"/>
          <w:szCs w:val="24"/>
        </w:rPr>
        <w:t xml:space="preserve"> </w:t>
      </w:r>
      <w:r w:rsidR="00837F43" w:rsidRPr="00AB1F67">
        <w:rPr>
          <w:rFonts w:ascii="Arial" w:hAnsi="Arial" w:cs="Arial"/>
          <w:sz w:val="24"/>
          <w:szCs w:val="24"/>
        </w:rPr>
        <w:t>This growth rate is compounded when calculating a cumulative 2 year LFL.</w:t>
      </w:r>
    </w:p>
    <w:p w:rsidR="005B007D" w:rsidRPr="005638CF" w:rsidRDefault="005B007D" w:rsidP="005B007D">
      <w:pPr>
        <w:jc w:val="left"/>
        <w:rPr>
          <w:rFonts w:ascii="Arial" w:hAnsi="Arial" w:cs="Arial"/>
          <w:b/>
          <w:iCs/>
          <w:sz w:val="24"/>
          <w:szCs w:val="24"/>
          <w:highlight w:val="yellow"/>
        </w:rPr>
      </w:pPr>
    </w:p>
    <w:p w:rsidR="005B007D" w:rsidRDefault="005B007D" w:rsidP="005B007D">
      <w:pPr>
        <w:jc w:val="left"/>
        <w:rPr>
          <w:rFonts w:ascii="Arial" w:hAnsi="Arial" w:cs="Arial"/>
          <w:iCs/>
          <w:sz w:val="24"/>
          <w:szCs w:val="24"/>
        </w:rPr>
      </w:pPr>
      <w:r w:rsidRPr="00A04F66">
        <w:rPr>
          <w:rFonts w:ascii="Arial" w:hAnsi="Arial" w:cs="Arial"/>
          <w:b/>
          <w:iCs/>
          <w:sz w:val="24"/>
          <w:szCs w:val="24"/>
        </w:rPr>
        <w:t>Other International</w:t>
      </w:r>
      <w:r w:rsidRPr="00A04F66">
        <w:rPr>
          <w:rFonts w:ascii="Arial" w:hAnsi="Arial" w:cs="Arial"/>
          <w:iCs/>
          <w:sz w:val="24"/>
          <w:szCs w:val="24"/>
        </w:rPr>
        <w:t xml:space="preserve"> consists of China, </w:t>
      </w:r>
      <w:r w:rsidR="005066DC" w:rsidRPr="00A04F66">
        <w:rPr>
          <w:rFonts w:ascii="Arial" w:hAnsi="Arial" w:cs="Arial"/>
          <w:iCs/>
          <w:sz w:val="24"/>
          <w:szCs w:val="24"/>
        </w:rPr>
        <w:t>Poland, Romania, Russia, Spain</w:t>
      </w:r>
      <w:r w:rsidR="00572D33">
        <w:rPr>
          <w:rFonts w:ascii="Arial" w:hAnsi="Arial" w:cs="Arial"/>
          <w:iCs/>
          <w:sz w:val="24"/>
          <w:szCs w:val="24"/>
        </w:rPr>
        <w:t>, Portugal, Germany</w:t>
      </w:r>
      <w:r w:rsidR="005066DC" w:rsidRPr="00A04F66">
        <w:rPr>
          <w:rFonts w:ascii="Arial" w:hAnsi="Arial" w:cs="Arial"/>
          <w:iCs/>
          <w:sz w:val="24"/>
          <w:szCs w:val="24"/>
        </w:rPr>
        <w:t xml:space="preserve"> and </w:t>
      </w:r>
      <w:r w:rsidRPr="00A04F66">
        <w:rPr>
          <w:rFonts w:ascii="Arial" w:hAnsi="Arial" w:cs="Arial"/>
          <w:iCs/>
          <w:sz w:val="24"/>
          <w:szCs w:val="24"/>
        </w:rPr>
        <w:t>Turkey (Koçtaş JV)</w:t>
      </w:r>
      <w:r w:rsidR="005066DC" w:rsidRPr="00A04F66">
        <w:rPr>
          <w:rFonts w:ascii="Arial" w:hAnsi="Arial" w:cs="Arial"/>
          <w:iCs/>
          <w:sz w:val="24"/>
          <w:szCs w:val="24"/>
        </w:rPr>
        <w:t>.</w:t>
      </w:r>
      <w:r w:rsidR="00283AEC">
        <w:rPr>
          <w:rFonts w:ascii="Arial" w:hAnsi="Arial" w:cs="Arial"/>
          <w:iCs/>
          <w:sz w:val="24"/>
          <w:szCs w:val="24"/>
        </w:rPr>
        <w:t xml:space="preserve"> </w:t>
      </w:r>
    </w:p>
    <w:p w:rsidR="005B007D" w:rsidRDefault="005B007D" w:rsidP="005B007D">
      <w:pPr>
        <w:jc w:val="left"/>
        <w:rPr>
          <w:rFonts w:ascii="Arial" w:hAnsi="Arial" w:cs="Arial"/>
          <w:iCs/>
          <w:sz w:val="24"/>
          <w:szCs w:val="24"/>
        </w:rPr>
      </w:pPr>
    </w:p>
    <w:p w:rsidR="00FA3263" w:rsidRPr="00A04F66" w:rsidRDefault="005B007D" w:rsidP="005B007D">
      <w:pPr>
        <w:jc w:val="left"/>
        <w:rPr>
          <w:rFonts w:ascii="Arial" w:hAnsi="Arial" w:cs="Arial"/>
          <w:iCs/>
          <w:sz w:val="24"/>
          <w:szCs w:val="24"/>
        </w:rPr>
      </w:pPr>
      <w:r w:rsidRPr="00A04F66">
        <w:rPr>
          <w:rFonts w:ascii="Arial" w:hAnsi="Arial" w:cs="Arial"/>
          <w:b/>
          <w:iCs/>
          <w:sz w:val="24"/>
          <w:szCs w:val="24"/>
        </w:rPr>
        <w:t>Retail profit</w:t>
      </w:r>
      <w:r w:rsidRPr="00A04F66">
        <w:rPr>
          <w:rFonts w:ascii="Arial" w:hAnsi="Arial" w:cs="Arial"/>
          <w:iCs/>
          <w:sz w:val="24"/>
          <w:szCs w:val="24"/>
        </w:rPr>
        <w:t xml:space="preserve"> is operating profit stated before central costs, exceptional items, amortisation of acquisition intangibles and the Group’s share of interest and tax of JVs and associates. </w:t>
      </w:r>
      <w:r w:rsidR="00283AEC">
        <w:rPr>
          <w:rFonts w:ascii="Arial" w:hAnsi="Arial" w:cs="Arial"/>
          <w:iCs/>
          <w:sz w:val="24"/>
          <w:szCs w:val="24"/>
        </w:rPr>
        <w:t>2013/14 Group and Other International</w:t>
      </w:r>
      <w:r w:rsidRPr="00A04F66">
        <w:rPr>
          <w:rFonts w:ascii="Arial" w:hAnsi="Arial" w:cs="Arial"/>
          <w:iCs/>
          <w:sz w:val="24"/>
          <w:szCs w:val="24"/>
        </w:rPr>
        <w:t xml:space="preserve"> retail profit comparatives restated</w:t>
      </w:r>
      <w:r w:rsidR="00E85D08">
        <w:rPr>
          <w:rFonts w:ascii="Arial" w:hAnsi="Arial" w:cs="Arial"/>
          <w:iCs/>
          <w:sz w:val="24"/>
          <w:szCs w:val="24"/>
        </w:rPr>
        <w:t xml:space="preserve"> to exclude the </w:t>
      </w:r>
      <w:r w:rsidR="00FA3263">
        <w:rPr>
          <w:rFonts w:ascii="Arial" w:hAnsi="Arial" w:cs="Arial"/>
          <w:iCs/>
          <w:sz w:val="24"/>
          <w:szCs w:val="24"/>
        </w:rPr>
        <w:t xml:space="preserve">Hornbach </w:t>
      </w:r>
      <w:r w:rsidR="00631501">
        <w:rPr>
          <w:rFonts w:ascii="Arial" w:hAnsi="Arial" w:cs="Arial"/>
          <w:iCs/>
          <w:sz w:val="24"/>
          <w:szCs w:val="24"/>
        </w:rPr>
        <w:t>contribution to retail profit</w:t>
      </w:r>
      <w:r w:rsidR="00E85D08">
        <w:rPr>
          <w:rFonts w:ascii="Arial" w:hAnsi="Arial" w:cs="Arial"/>
          <w:iCs/>
          <w:sz w:val="24"/>
          <w:szCs w:val="24"/>
        </w:rPr>
        <w:t xml:space="preserve"> </w:t>
      </w:r>
      <w:r w:rsidR="00631501">
        <w:rPr>
          <w:rFonts w:ascii="Arial" w:hAnsi="Arial" w:cs="Arial"/>
          <w:iCs/>
          <w:sz w:val="24"/>
          <w:szCs w:val="24"/>
        </w:rPr>
        <w:t>(</w:t>
      </w:r>
      <w:r w:rsidR="00FA3263">
        <w:rPr>
          <w:rFonts w:ascii="Arial" w:hAnsi="Arial" w:cs="Arial"/>
          <w:iCs/>
          <w:sz w:val="24"/>
          <w:szCs w:val="24"/>
        </w:rPr>
        <w:t xml:space="preserve">Q1 </w:t>
      </w:r>
      <w:r w:rsidR="00631501">
        <w:rPr>
          <w:rFonts w:ascii="Arial" w:hAnsi="Arial" w:cs="Arial"/>
          <w:iCs/>
          <w:sz w:val="24"/>
          <w:szCs w:val="24"/>
        </w:rPr>
        <w:t xml:space="preserve">2013/14: </w:t>
      </w:r>
      <w:r w:rsidR="00FA3263">
        <w:rPr>
          <w:rFonts w:ascii="Arial" w:hAnsi="Arial" w:cs="Arial"/>
          <w:iCs/>
          <w:sz w:val="24"/>
          <w:szCs w:val="24"/>
        </w:rPr>
        <w:t xml:space="preserve">£5 million </w:t>
      </w:r>
      <w:r w:rsidR="00E85D08">
        <w:rPr>
          <w:rFonts w:ascii="Arial" w:hAnsi="Arial" w:cs="Arial"/>
          <w:iCs/>
          <w:sz w:val="24"/>
          <w:szCs w:val="24"/>
        </w:rPr>
        <w:t>loss</w:t>
      </w:r>
      <w:r w:rsidR="00FA3263">
        <w:rPr>
          <w:rFonts w:ascii="Arial" w:hAnsi="Arial" w:cs="Arial"/>
          <w:iCs/>
          <w:sz w:val="24"/>
          <w:szCs w:val="24"/>
        </w:rPr>
        <w:t>)</w:t>
      </w:r>
      <w:r w:rsidR="00E85D08">
        <w:rPr>
          <w:rFonts w:ascii="Arial" w:hAnsi="Arial" w:cs="Arial"/>
          <w:iCs/>
          <w:sz w:val="24"/>
          <w:szCs w:val="24"/>
        </w:rPr>
        <w:t>,</w:t>
      </w:r>
      <w:r w:rsidRPr="00A04F66">
        <w:rPr>
          <w:rFonts w:ascii="Arial" w:hAnsi="Arial" w:cs="Arial"/>
          <w:iCs/>
          <w:sz w:val="24"/>
          <w:szCs w:val="24"/>
        </w:rPr>
        <w:t xml:space="preserve"> </w:t>
      </w:r>
      <w:r w:rsidR="00FA3263">
        <w:rPr>
          <w:rFonts w:ascii="Arial" w:hAnsi="Arial" w:cs="Arial"/>
          <w:iCs/>
          <w:sz w:val="24"/>
          <w:szCs w:val="24"/>
        </w:rPr>
        <w:t>following</w:t>
      </w:r>
      <w:r w:rsidR="00283AEC">
        <w:rPr>
          <w:rFonts w:ascii="Arial" w:hAnsi="Arial" w:cs="Arial"/>
          <w:iCs/>
          <w:sz w:val="24"/>
          <w:szCs w:val="24"/>
        </w:rPr>
        <w:t xml:space="preserve"> the disposal of the Group’s 21% interest in Hornbach</w:t>
      </w:r>
      <w:r w:rsidR="00FA3263">
        <w:rPr>
          <w:rFonts w:ascii="Arial" w:hAnsi="Arial" w:cs="Arial"/>
          <w:iCs/>
          <w:sz w:val="24"/>
          <w:szCs w:val="24"/>
        </w:rPr>
        <w:t xml:space="preserve"> in March 2014. </w:t>
      </w:r>
    </w:p>
    <w:p w:rsidR="005B007D" w:rsidRPr="005C1078" w:rsidRDefault="005B007D" w:rsidP="005B007D">
      <w:pPr>
        <w:tabs>
          <w:tab w:val="left" w:pos="357"/>
        </w:tabs>
        <w:ind w:right="-282"/>
        <w:jc w:val="left"/>
        <w:rPr>
          <w:rFonts w:ascii="Arial" w:hAnsi="Arial" w:cs="Arial"/>
          <w:b/>
          <w:sz w:val="24"/>
          <w:szCs w:val="24"/>
          <w:highlight w:val="yellow"/>
        </w:rPr>
      </w:pPr>
    </w:p>
    <w:p w:rsidR="005B007D" w:rsidRPr="00044915" w:rsidRDefault="005B007D" w:rsidP="005B007D">
      <w:pPr>
        <w:tabs>
          <w:tab w:val="left" w:pos="357"/>
        </w:tabs>
        <w:ind w:right="-282"/>
        <w:jc w:val="left"/>
        <w:rPr>
          <w:rFonts w:ascii="Arial" w:hAnsi="Arial" w:cs="Arial"/>
          <w:iCs/>
          <w:sz w:val="24"/>
          <w:szCs w:val="24"/>
        </w:rPr>
      </w:pPr>
      <w:r w:rsidRPr="00044915">
        <w:rPr>
          <w:rFonts w:ascii="Arial" w:hAnsi="Arial" w:cs="Arial"/>
          <w:b/>
          <w:sz w:val="24"/>
          <w:szCs w:val="24"/>
        </w:rPr>
        <w:t>Sales</w:t>
      </w:r>
      <w:r w:rsidRPr="00044915">
        <w:rPr>
          <w:rFonts w:ascii="Arial" w:hAnsi="Arial" w:cs="Arial"/>
          <w:iCs/>
          <w:sz w:val="24"/>
          <w:szCs w:val="24"/>
        </w:rPr>
        <w:t xml:space="preserve"> </w:t>
      </w:r>
    </w:p>
    <w:p w:rsidR="005B007D" w:rsidRPr="00044915" w:rsidRDefault="00631501" w:rsidP="005B007D">
      <w:pPr>
        <w:tabs>
          <w:tab w:val="left" w:pos="357"/>
        </w:tabs>
        <w:ind w:right="-282"/>
        <w:jc w:val="left"/>
        <w:rPr>
          <w:rFonts w:ascii="Arial" w:hAnsi="Arial" w:cs="Arial"/>
          <w:iCs/>
          <w:sz w:val="24"/>
          <w:szCs w:val="24"/>
        </w:rPr>
      </w:pPr>
      <w:r>
        <w:rPr>
          <w:rFonts w:ascii="Arial" w:hAnsi="Arial" w:cs="Arial"/>
          <w:iCs/>
          <w:sz w:val="24"/>
          <w:szCs w:val="24"/>
        </w:rPr>
        <w:t xml:space="preserve">Group sales excluding </w:t>
      </w:r>
      <w:r w:rsidR="005B007D" w:rsidRPr="00044915">
        <w:rPr>
          <w:rFonts w:ascii="Arial" w:hAnsi="Arial" w:cs="Arial"/>
          <w:iCs/>
          <w:sz w:val="24"/>
          <w:szCs w:val="24"/>
        </w:rPr>
        <w:t>Joint Venture (Koçtaş JV) sales</w:t>
      </w:r>
      <w:r>
        <w:rPr>
          <w:rFonts w:ascii="Arial" w:hAnsi="Arial" w:cs="Arial"/>
          <w:iCs/>
          <w:sz w:val="24"/>
          <w:szCs w:val="24"/>
        </w:rPr>
        <w:t>.</w:t>
      </w:r>
      <w:r w:rsidR="005B007D" w:rsidRPr="00044915">
        <w:rPr>
          <w:rFonts w:ascii="Arial" w:hAnsi="Arial" w:cs="Arial"/>
          <w:iCs/>
          <w:sz w:val="24"/>
          <w:szCs w:val="24"/>
        </w:rPr>
        <w:t xml:space="preserve"> </w:t>
      </w:r>
    </w:p>
    <w:p w:rsidR="005B007D" w:rsidRPr="005C1078" w:rsidRDefault="005B007D" w:rsidP="005B007D">
      <w:pPr>
        <w:jc w:val="left"/>
        <w:rPr>
          <w:rFonts w:ascii="Arial" w:hAnsi="Arial" w:cs="Arial"/>
          <w:iCs/>
          <w:sz w:val="24"/>
          <w:szCs w:val="24"/>
          <w:highlight w:val="yellow"/>
        </w:rPr>
      </w:pPr>
      <w:bookmarkStart w:id="7" w:name="OLE_LINK9"/>
      <w:bookmarkStart w:id="8" w:name="OLE_LINK10"/>
    </w:p>
    <w:p w:rsidR="005B007D" w:rsidRPr="00044915" w:rsidRDefault="005B007D" w:rsidP="005B007D">
      <w:pPr>
        <w:jc w:val="left"/>
        <w:rPr>
          <w:rFonts w:ascii="Arial" w:hAnsi="Arial" w:cs="Arial"/>
          <w:b/>
          <w:iCs/>
          <w:sz w:val="24"/>
          <w:szCs w:val="24"/>
        </w:rPr>
      </w:pPr>
      <w:r w:rsidRPr="00044915">
        <w:rPr>
          <w:rFonts w:ascii="Arial" w:hAnsi="Arial" w:cs="Arial"/>
          <w:b/>
          <w:iCs/>
          <w:sz w:val="24"/>
          <w:szCs w:val="24"/>
        </w:rPr>
        <w:t>TradePoint</w:t>
      </w:r>
    </w:p>
    <w:bookmarkEnd w:id="7"/>
    <w:bookmarkEnd w:id="8"/>
    <w:p w:rsidR="005B007D" w:rsidRPr="00044915" w:rsidRDefault="005B007D" w:rsidP="005B007D">
      <w:pPr>
        <w:jc w:val="left"/>
        <w:rPr>
          <w:rFonts w:ascii="Arial" w:hAnsi="Arial" w:cs="Arial"/>
          <w:iCs/>
          <w:sz w:val="24"/>
          <w:szCs w:val="24"/>
        </w:rPr>
      </w:pPr>
      <w:r w:rsidRPr="00044915">
        <w:rPr>
          <w:rFonts w:ascii="Arial" w:hAnsi="Arial" w:cs="Arial"/>
          <w:iCs/>
          <w:sz w:val="24"/>
          <w:szCs w:val="24"/>
        </w:rPr>
        <w:t>B&amp;Q UK &amp; Ireland’s ‘trade-only’ offer.</w:t>
      </w:r>
    </w:p>
    <w:p w:rsidR="005B007D" w:rsidRPr="005C1078" w:rsidRDefault="005B007D" w:rsidP="005B007D">
      <w:pPr>
        <w:rPr>
          <w:rFonts w:ascii="Arial" w:hAnsi="Arial" w:cs="Arial"/>
          <w:b/>
          <w:iCs/>
          <w:sz w:val="24"/>
          <w:szCs w:val="24"/>
          <w:highlight w:val="yellow"/>
        </w:rPr>
      </w:pPr>
    </w:p>
    <w:p w:rsidR="005B007D" w:rsidRDefault="005B007D" w:rsidP="005B007D">
      <w:pPr>
        <w:jc w:val="left"/>
        <w:rPr>
          <w:rFonts w:ascii="Arial" w:hAnsi="Arial" w:cs="Arial"/>
          <w:iCs/>
          <w:sz w:val="24"/>
          <w:szCs w:val="24"/>
        </w:rPr>
      </w:pPr>
      <w:r w:rsidRPr="00044915">
        <w:rPr>
          <w:rFonts w:ascii="Arial" w:hAnsi="Arial" w:cs="Arial"/>
          <w:b/>
          <w:iCs/>
          <w:sz w:val="24"/>
          <w:szCs w:val="24"/>
        </w:rPr>
        <w:t>UK &amp; Ireland</w:t>
      </w:r>
      <w:r w:rsidRPr="00044915">
        <w:rPr>
          <w:rFonts w:ascii="Arial" w:hAnsi="Arial" w:cs="Arial"/>
          <w:iCs/>
          <w:sz w:val="24"/>
          <w:szCs w:val="24"/>
        </w:rPr>
        <w:t xml:space="preserve"> consists of B&amp;Q in the UK &amp; Ireland and Screwfix</w:t>
      </w:r>
      <w:r w:rsidR="00FF738D">
        <w:rPr>
          <w:rFonts w:ascii="Arial" w:hAnsi="Arial" w:cs="Arial"/>
          <w:iCs/>
          <w:sz w:val="24"/>
          <w:szCs w:val="24"/>
        </w:rPr>
        <w:t xml:space="preserve"> in the UK</w:t>
      </w:r>
      <w:r w:rsidRPr="00044915">
        <w:rPr>
          <w:rFonts w:ascii="Arial" w:hAnsi="Arial" w:cs="Arial"/>
          <w:iCs/>
          <w:sz w:val="24"/>
          <w:szCs w:val="24"/>
        </w:rPr>
        <w:t>.</w:t>
      </w:r>
    </w:p>
    <w:p w:rsidR="00F77362" w:rsidRDefault="00F77362" w:rsidP="005B007D">
      <w:pPr>
        <w:jc w:val="left"/>
        <w:rPr>
          <w:rFonts w:ascii="Arial" w:hAnsi="Arial" w:cs="Arial"/>
          <w:iCs/>
          <w:sz w:val="24"/>
          <w:szCs w:val="24"/>
        </w:rPr>
      </w:pPr>
    </w:p>
    <w:p w:rsidR="005B007D" w:rsidRDefault="005B007D" w:rsidP="00A626C0">
      <w:pPr>
        <w:autoSpaceDE w:val="0"/>
        <w:autoSpaceDN w:val="0"/>
        <w:adjustRightInd w:val="0"/>
        <w:jc w:val="left"/>
        <w:rPr>
          <w:rFonts w:ascii="Arial" w:hAnsi="Arial" w:cs="Arial"/>
          <w:b/>
          <w:caps/>
          <w:sz w:val="24"/>
          <w:szCs w:val="24"/>
        </w:rPr>
      </w:pPr>
    </w:p>
    <w:p w:rsidR="005D2DC9" w:rsidRDefault="005D2DC9" w:rsidP="00A626C0">
      <w:pPr>
        <w:autoSpaceDE w:val="0"/>
        <w:autoSpaceDN w:val="0"/>
        <w:adjustRightInd w:val="0"/>
        <w:jc w:val="left"/>
        <w:rPr>
          <w:rFonts w:ascii="Arial" w:hAnsi="Arial" w:cs="Arial"/>
          <w:b/>
          <w:caps/>
          <w:sz w:val="24"/>
          <w:szCs w:val="24"/>
        </w:rPr>
      </w:pPr>
    </w:p>
    <w:p w:rsidR="00F363AA" w:rsidRDefault="00F363AA" w:rsidP="005B007D">
      <w:pPr>
        <w:pStyle w:val="Default"/>
        <w:rPr>
          <w:b/>
          <w:bCs/>
          <w:sz w:val="23"/>
          <w:szCs w:val="23"/>
        </w:rPr>
      </w:pPr>
    </w:p>
    <w:p w:rsidR="00F363AA" w:rsidRDefault="00F363AA" w:rsidP="005B007D">
      <w:pPr>
        <w:pStyle w:val="Default"/>
        <w:rPr>
          <w:b/>
          <w:bCs/>
          <w:sz w:val="23"/>
          <w:szCs w:val="23"/>
        </w:rPr>
      </w:pPr>
    </w:p>
    <w:p w:rsidR="00065087" w:rsidRDefault="00065087">
      <w:pPr>
        <w:jc w:val="left"/>
        <w:rPr>
          <w:rFonts w:ascii="Arial" w:hAnsi="Arial" w:cs="Arial"/>
          <w:b/>
          <w:bCs/>
          <w:color w:val="000000"/>
          <w:sz w:val="23"/>
          <w:szCs w:val="23"/>
        </w:rPr>
      </w:pPr>
      <w:r>
        <w:rPr>
          <w:b/>
          <w:bCs/>
          <w:sz w:val="23"/>
          <w:szCs w:val="23"/>
        </w:rPr>
        <w:br w:type="page"/>
      </w:r>
    </w:p>
    <w:p w:rsidR="005B007D" w:rsidRDefault="005B007D" w:rsidP="005B007D">
      <w:pPr>
        <w:pStyle w:val="Default"/>
        <w:rPr>
          <w:b/>
          <w:bCs/>
          <w:sz w:val="23"/>
          <w:szCs w:val="23"/>
        </w:rPr>
      </w:pPr>
      <w:r>
        <w:rPr>
          <w:b/>
          <w:bCs/>
          <w:sz w:val="23"/>
          <w:szCs w:val="23"/>
        </w:rPr>
        <w:t>F</w:t>
      </w:r>
      <w:r w:rsidR="001C29A6">
        <w:rPr>
          <w:b/>
          <w:bCs/>
          <w:sz w:val="23"/>
          <w:szCs w:val="23"/>
        </w:rPr>
        <w:t>ORWARD</w:t>
      </w:r>
      <w:r>
        <w:rPr>
          <w:b/>
          <w:bCs/>
          <w:sz w:val="23"/>
          <w:szCs w:val="23"/>
        </w:rPr>
        <w:t>-</w:t>
      </w:r>
      <w:r w:rsidR="001C29A6">
        <w:rPr>
          <w:b/>
          <w:bCs/>
          <w:sz w:val="23"/>
          <w:szCs w:val="23"/>
        </w:rPr>
        <w:t>LOOKING STATEMENTS</w:t>
      </w:r>
      <w:r>
        <w:rPr>
          <w:b/>
          <w:bCs/>
          <w:sz w:val="23"/>
          <w:szCs w:val="23"/>
        </w:rPr>
        <w:t xml:space="preserve"> </w:t>
      </w:r>
    </w:p>
    <w:p w:rsidR="001C29A6" w:rsidRDefault="001C29A6" w:rsidP="005B007D">
      <w:pPr>
        <w:pStyle w:val="Default"/>
        <w:rPr>
          <w:sz w:val="23"/>
          <w:szCs w:val="23"/>
        </w:rPr>
      </w:pPr>
    </w:p>
    <w:p w:rsidR="00F803E6" w:rsidRPr="00FD57E1" w:rsidRDefault="005B007D" w:rsidP="005B007D">
      <w:pPr>
        <w:jc w:val="left"/>
        <w:rPr>
          <w:rFonts w:ascii="Arial" w:hAnsi="Arial" w:cs="Arial"/>
          <w:sz w:val="24"/>
          <w:szCs w:val="24"/>
        </w:rPr>
      </w:pPr>
      <w:r w:rsidRPr="005B007D">
        <w:rPr>
          <w:rFonts w:ascii="Arial" w:hAnsi="Arial" w:cs="Arial"/>
          <w:sz w:val="24"/>
          <w:szCs w:val="24"/>
        </w:rPr>
        <w:t>This announcement contains certain statements that are forward-looking and which should be considered, amongst other statutory provisions, in light of the safe harbour provisions of the United States Private Securities Litigation Reform Act of 1995. All statements other than statements of historical facts may be forward-looking statements. Such statements are, therefore, subject to risks, assumptions and uncertainties that could cause actual results to differ materially from those expressed or implied because they relate to future events. These forward-looking statements include, but are not limited to, statements relating to the Company’s expectations around the Company’s programme known as ‘Creating the Leader’ and its associated eight steps. 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 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 Consequently, our actual future financial condition, performance and results could differ materially from the plans, goals and expectations set out in our forward-looking statements. We urge you to read our annual report and other company reports, including the risk factors contained therein, for a more detailed discussion of the factors that could affect our future performance and the industry in which we operate. Reliance should not be placed on any forward-looking statement. Our forward looking statements speak only as of the date of this press release and the Company undertakes no obligation to publicly update any forward-looking statement, whether as a result of new information, future events or otherwise. Nothing in this press release should be construed as a profit forecast.</w:t>
      </w:r>
    </w:p>
    <w:p w:rsidR="00F803E6" w:rsidRDefault="00F803E6" w:rsidP="006D30E6">
      <w:pPr>
        <w:jc w:val="left"/>
        <w:rPr>
          <w:color w:val="FF0000"/>
          <w:sz w:val="18"/>
          <w:szCs w:val="18"/>
        </w:rPr>
      </w:pPr>
    </w:p>
    <w:p w:rsidR="004D7983" w:rsidRDefault="004D7983" w:rsidP="006D30E6">
      <w:pPr>
        <w:jc w:val="left"/>
        <w:rPr>
          <w:color w:val="FF0000"/>
          <w:sz w:val="18"/>
          <w:szCs w:val="18"/>
        </w:rPr>
      </w:pPr>
    </w:p>
    <w:p w:rsidR="004D7983" w:rsidRPr="00FD57E1" w:rsidRDefault="004D7983" w:rsidP="006D30E6">
      <w:pPr>
        <w:jc w:val="left"/>
        <w:rPr>
          <w:color w:val="FF0000"/>
          <w:sz w:val="18"/>
          <w:szCs w:val="18"/>
        </w:rPr>
      </w:pPr>
    </w:p>
    <w:sectPr w:rsidR="004D7983" w:rsidRPr="00FD57E1" w:rsidSect="005D1C90">
      <w:headerReference w:type="default" r:id="rId10"/>
      <w:footerReference w:type="even" r:id="rId11"/>
      <w:footerReference w:type="default" r:id="rId12"/>
      <w:pgSz w:w="11907" w:h="16839" w:code="9"/>
      <w:pgMar w:top="519" w:right="994" w:bottom="720" w:left="1134" w:header="397" w:footer="7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E2" w:rsidRDefault="004342E2">
      <w:r>
        <w:separator/>
      </w:r>
    </w:p>
  </w:endnote>
  <w:endnote w:type="continuationSeparator" w:id="0">
    <w:p w:rsidR="004342E2" w:rsidRDefault="0043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E2" w:rsidRDefault="004342E2"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342E2" w:rsidRDefault="004342E2" w:rsidP="0086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5676"/>
      <w:docPartObj>
        <w:docPartGallery w:val="Page Numbers (Bottom of Page)"/>
        <w:docPartUnique/>
      </w:docPartObj>
    </w:sdtPr>
    <w:sdtEndPr>
      <w:rPr>
        <w:noProof/>
      </w:rPr>
    </w:sdtEndPr>
    <w:sdtContent>
      <w:p w:rsidR="004342E2" w:rsidRDefault="004342E2">
        <w:pPr>
          <w:pStyle w:val="Footer"/>
          <w:jc w:val="right"/>
        </w:pPr>
        <w:r>
          <w:fldChar w:fldCharType="begin"/>
        </w:r>
        <w:r>
          <w:instrText xml:space="preserve"> PAGE   \* MERGEFORMAT </w:instrText>
        </w:r>
        <w:r>
          <w:fldChar w:fldCharType="separate"/>
        </w:r>
        <w:r w:rsidR="006E3C3C">
          <w:rPr>
            <w:noProof/>
          </w:rPr>
          <w:t>- 1 -</w:t>
        </w:r>
        <w:r>
          <w:rPr>
            <w:noProof/>
          </w:rPr>
          <w:fldChar w:fldCharType="end"/>
        </w:r>
      </w:p>
    </w:sdtContent>
  </w:sdt>
  <w:p w:rsidR="004342E2" w:rsidRDefault="0043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E2" w:rsidRDefault="004342E2">
      <w:r>
        <w:separator/>
      </w:r>
    </w:p>
  </w:footnote>
  <w:footnote w:type="continuationSeparator" w:id="0">
    <w:p w:rsidR="004342E2" w:rsidRDefault="0043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E2" w:rsidRDefault="004342E2" w:rsidP="002E3B3A">
    <w:pPr>
      <w:pStyle w:val="Default"/>
      <w:jc w:val="center"/>
    </w:pPr>
    <w:r>
      <w:rPr>
        <w:noProof/>
      </w:rPr>
      <w:drawing>
        <wp:inline distT="0" distB="0" distL="0" distR="0" wp14:anchorId="0FEC761A" wp14:editId="7D7B8754">
          <wp:extent cx="1221105" cy="377825"/>
          <wp:effectExtent l="0" t="0" r="0" b="317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377825"/>
                  </a:xfrm>
                  <a:prstGeom prst="rect">
                    <a:avLst/>
                  </a:prstGeom>
                  <a:noFill/>
                  <a:ln>
                    <a:noFill/>
                  </a:ln>
                </pic:spPr>
              </pic:pic>
            </a:graphicData>
          </a:graphic>
        </wp:inline>
      </w:drawing>
    </w:r>
  </w:p>
  <w:p w:rsidR="004342E2" w:rsidRPr="002E3B3A" w:rsidRDefault="004342E2" w:rsidP="002E3B3A">
    <w:pPr>
      <w:pStyle w:val="Header"/>
      <w:jc w:val="center"/>
      <w:rPr>
        <w:rFonts w:ascii="Arial" w:hAnsi="Arial" w:cs="Arial"/>
        <w:szCs w:val="22"/>
      </w:rPr>
    </w:pPr>
    <w:r w:rsidRPr="002E3B3A">
      <w:rPr>
        <w:rFonts w:ascii="Arial" w:hAnsi="Arial" w:cs="Arial"/>
        <w:szCs w:val="22"/>
      </w:rPr>
      <w:t>EMBARGOED UNTIL 0700 HOURS – Thursday 29 May 2014</w:t>
    </w:r>
  </w:p>
  <w:p w:rsidR="004342E2" w:rsidRDefault="004342E2" w:rsidP="00866A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9E7"/>
    <w:multiLevelType w:val="hybridMultilevel"/>
    <w:tmpl w:val="334077AC"/>
    <w:lvl w:ilvl="0" w:tplc="8794D58C">
      <w:start w:val="1"/>
      <w:numFmt w:val="decimal"/>
      <w:lvlText w:val="%1."/>
      <w:lvlJc w:val="left"/>
      <w:pPr>
        <w:tabs>
          <w:tab w:val="num" w:pos="1080"/>
        </w:tabs>
        <w:ind w:left="1080" w:hanging="360"/>
      </w:pPr>
    </w:lvl>
    <w:lvl w:ilvl="1" w:tplc="EEEEB79A">
      <w:start w:val="1"/>
      <w:numFmt w:val="decimal"/>
      <w:lvlText w:val="%2."/>
      <w:lvlJc w:val="left"/>
      <w:pPr>
        <w:tabs>
          <w:tab w:val="num" w:pos="1800"/>
        </w:tabs>
        <w:ind w:left="1800" w:hanging="360"/>
      </w:pPr>
    </w:lvl>
    <w:lvl w:ilvl="2" w:tplc="21F65834" w:tentative="1">
      <w:start w:val="1"/>
      <w:numFmt w:val="decimal"/>
      <w:lvlText w:val="%3."/>
      <w:lvlJc w:val="left"/>
      <w:pPr>
        <w:tabs>
          <w:tab w:val="num" w:pos="2520"/>
        </w:tabs>
        <w:ind w:left="2520" w:hanging="360"/>
      </w:pPr>
    </w:lvl>
    <w:lvl w:ilvl="3" w:tplc="57E089F0" w:tentative="1">
      <w:start w:val="1"/>
      <w:numFmt w:val="decimal"/>
      <w:lvlText w:val="%4."/>
      <w:lvlJc w:val="left"/>
      <w:pPr>
        <w:tabs>
          <w:tab w:val="num" w:pos="3240"/>
        </w:tabs>
        <w:ind w:left="3240" w:hanging="360"/>
      </w:pPr>
    </w:lvl>
    <w:lvl w:ilvl="4" w:tplc="2CBE04EC" w:tentative="1">
      <w:start w:val="1"/>
      <w:numFmt w:val="decimal"/>
      <w:lvlText w:val="%5."/>
      <w:lvlJc w:val="left"/>
      <w:pPr>
        <w:tabs>
          <w:tab w:val="num" w:pos="3960"/>
        </w:tabs>
        <w:ind w:left="3960" w:hanging="360"/>
      </w:pPr>
    </w:lvl>
    <w:lvl w:ilvl="5" w:tplc="3D38E5B6" w:tentative="1">
      <w:start w:val="1"/>
      <w:numFmt w:val="decimal"/>
      <w:lvlText w:val="%6."/>
      <w:lvlJc w:val="left"/>
      <w:pPr>
        <w:tabs>
          <w:tab w:val="num" w:pos="4680"/>
        </w:tabs>
        <w:ind w:left="4680" w:hanging="360"/>
      </w:pPr>
    </w:lvl>
    <w:lvl w:ilvl="6" w:tplc="3C5E4980" w:tentative="1">
      <w:start w:val="1"/>
      <w:numFmt w:val="decimal"/>
      <w:lvlText w:val="%7."/>
      <w:lvlJc w:val="left"/>
      <w:pPr>
        <w:tabs>
          <w:tab w:val="num" w:pos="5400"/>
        </w:tabs>
        <w:ind w:left="5400" w:hanging="360"/>
      </w:pPr>
    </w:lvl>
    <w:lvl w:ilvl="7" w:tplc="4710A70A" w:tentative="1">
      <w:start w:val="1"/>
      <w:numFmt w:val="decimal"/>
      <w:lvlText w:val="%8."/>
      <w:lvlJc w:val="left"/>
      <w:pPr>
        <w:tabs>
          <w:tab w:val="num" w:pos="6120"/>
        </w:tabs>
        <w:ind w:left="6120" w:hanging="360"/>
      </w:pPr>
    </w:lvl>
    <w:lvl w:ilvl="8" w:tplc="9774CC68" w:tentative="1">
      <w:start w:val="1"/>
      <w:numFmt w:val="decimal"/>
      <w:lvlText w:val="%9."/>
      <w:lvlJc w:val="left"/>
      <w:pPr>
        <w:tabs>
          <w:tab w:val="num" w:pos="6840"/>
        </w:tabs>
        <w:ind w:left="6840" w:hanging="360"/>
      </w:pPr>
    </w:lvl>
  </w:abstractNum>
  <w:abstractNum w:abstractNumId="1">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2">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C160F9"/>
    <w:multiLevelType w:val="hybridMultilevel"/>
    <w:tmpl w:val="B04E181C"/>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5CF40D4"/>
    <w:multiLevelType w:val="hybridMultilevel"/>
    <w:tmpl w:val="A37C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7"/>
  </w:num>
  <w:num w:numId="3">
    <w:abstractNumId w:val="5"/>
  </w:num>
  <w:num w:numId="4">
    <w:abstractNumId w:val="19"/>
  </w:num>
  <w:num w:numId="5">
    <w:abstractNumId w:val="4"/>
  </w:num>
  <w:num w:numId="6">
    <w:abstractNumId w:val="8"/>
  </w:num>
  <w:num w:numId="7">
    <w:abstractNumId w:val="20"/>
  </w:num>
  <w:num w:numId="8">
    <w:abstractNumId w:val="12"/>
  </w:num>
  <w:num w:numId="9">
    <w:abstractNumId w:val="13"/>
  </w:num>
  <w:num w:numId="10">
    <w:abstractNumId w:val="21"/>
  </w:num>
  <w:num w:numId="11">
    <w:abstractNumId w:val="15"/>
  </w:num>
  <w:num w:numId="12">
    <w:abstractNumId w:val="10"/>
  </w:num>
  <w:num w:numId="13">
    <w:abstractNumId w:val="22"/>
  </w:num>
  <w:num w:numId="14">
    <w:abstractNumId w:val="1"/>
  </w:num>
  <w:num w:numId="15">
    <w:abstractNumId w:val="18"/>
  </w:num>
  <w:num w:numId="16">
    <w:abstractNumId w:val="2"/>
  </w:num>
  <w:num w:numId="17">
    <w:abstractNumId w:val="14"/>
  </w:num>
  <w:num w:numId="18">
    <w:abstractNumId w:val="11"/>
  </w:num>
  <w:num w:numId="19">
    <w:abstractNumId w:val="7"/>
  </w:num>
  <w:num w:numId="20">
    <w:abstractNumId w:val="9"/>
  </w:num>
  <w:num w:numId="21">
    <w:abstractNumId w:val="3"/>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19F"/>
    <w:rsid w:val="00002253"/>
    <w:rsid w:val="00002AFB"/>
    <w:rsid w:val="00002B9D"/>
    <w:rsid w:val="00002C3D"/>
    <w:rsid w:val="00002EB1"/>
    <w:rsid w:val="000049B2"/>
    <w:rsid w:val="00005E76"/>
    <w:rsid w:val="000077C7"/>
    <w:rsid w:val="000077CA"/>
    <w:rsid w:val="00007D63"/>
    <w:rsid w:val="00007E6E"/>
    <w:rsid w:val="000105D4"/>
    <w:rsid w:val="00010672"/>
    <w:rsid w:val="00010EC9"/>
    <w:rsid w:val="00011491"/>
    <w:rsid w:val="00012228"/>
    <w:rsid w:val="00012F5B"/>
    <w:rsid w:val="00013173"/>
    <w:rsid w:val="00013341"/>
    <w:rsid w:val="00014846"/>
    <w:rsid w:val="00015EE9"/>
    <w:rsid w:val="00016E74"/>
    <w:rsid w:val="00017010"/>
    <w:rsid w:val="00017349"/>
    <w:rsid w:val="00020F7B"/>
    <w:rsid w:val="000215EE"/>
    <w:rsid w:val="00022BF5"/>
    <w:rsid w:val="00023276"/>
    <w:rsid w:val="0002350C"/>
    <w:rsid w:val="0002377F"/>
    <w:rsid w:val="00023A77"/>
    <w:rsid w:val="00023E6F"/>
    <w:rsid w:val="00024C55"/>
    <w:rsid w:val="0002503E"/>
    <w:rsid w:val="000261A8"/>
    <w:rsid w:val="00026845"/>
    <w:rsid w:val="00027D1A"/>
    <w:rsid w:val="00027E09"/>
    <w:rsid w:val="00031334"/>
    <w:rsid w:val="000318DF"/>
    <w:rsid w:val="00031D3D"/>
    <w:rsid w:val="000329A5"/>
    <w:rsid w:val="00033DB4"/>
    <w:rsid w:val="0003429F"/>
    <w:rsid w:val="00034397"/>
    <w:rsid w:val="000345F0"/>
    <w:rsid w:val="00034DDC"/>
    <w:rsid w:val="00035587"/>
    <w:rsid w:val="0003560B"/>
    <w:rsid w:val="000356DF"/>
    <w:rsid w:val="00035BE5"/>
    <w:rsid w:val="00036409"/>
    <w:rsid w:val="000367FC"/>
    <w:rsid w:val="00036A8B"/>
    <w:rsid w:val="00036C5B"/>
    <w:rsid w:val="00036CA9"/>
    <w:rsid w:val="00036EDB"/>
    <w:rsid w:val="00037404"/>
    <w:rsid w:val="0003750C"/>
    <w:rsid w:val="00040260"/>
    <w:rsid w:val="00040F16"/>
    <w:rsid w:val="000411FD"/>
    <w:rsid w:val="000413C4"/>
    <w:rsid w:val="00042416"/>
    <w:rsid w:val="0004294B"/>
    <w:rsid w:val="00043EC9"/>
    <w:rsid w:val="000441FF"/>
    <w:rsid w:val="00044499"/>
    <w:rsid w:val="000445CD"/>
    <w:rsid w:val="00044915"/>
    <w:rsid w:val="00046FBC"/>
    <w:rsid w:val="0005124F"/>
    <w:rsid w:val="00051E57"/>
    <w:rsid w:val="00051EBF"/>
    <w:rsid w:val="0005286F"/>
    <w:rsid w:val="00052F32"/>
    <w:rsid w:val="00053663"/>
    <w:rsid w:val="00053C95"/>
    <w:rsid w:val="00054589"/>
    <w:rsid w:val="000547E1"/>
    <w:rsid w:val="00054B20"/>
    <w:rsid w:val="000554FE"/>
    <w:rsid w:val="00055B2F"/>
    <w:rsid w:val="00055F02"/>
    <w:rsid w:val="00056113"/>
    <w:rsid w:val="00060049"/>
    <w:rsid w:val="0006005E"/>
    <w:rsid w:val="00060E97"/>
    <w:rsid w:val="000622E7"/>
    <w:rsid w:val="00062AB6"/>
    <w:rsid w:val="000631FE"/>
    <w:rsid w:val="0006468D"/>
    <w:rsid w:val="00064E7C"/>
    <w:rsid w:val="00065087"/>
    <w:rsid w:val="00065175"/>
    <w:rsid w:val="000652E0"/>
    <w:rsid w:val="000655AC"/>
    <w:rsid w:val="00065798"/>
    <w:rsid w:val="00066E8B"/>
    <w:rsid w:val="0006792C"/>
    <w:rsid w:val="00067CB7"/>
    <w:rsid w:val="00070120"/>
    <w:rsid w:val="00071164"/>
    <w:rsid w:val="00071E4C"/>
    <w:rsid w:val="00072489"/>
    <w:rsid w:val="000725D3"/>
    <w:rsid w:val="0007350D"/>
    <w:rsid w:val="00073D3F"/>
    <w:rsid w:val="00073ED8"/>
    <w:rsid w:val="00074303"/>
    <w:rsid w:val="000755C1"/>
    <w:rsid w:val="00075FE2"/>
    <w:rsid w:val="00076722"/>
    <w:rsid w:val="00076BC8"/>
    <w:rsid w:val="0007772B"/>
    <w:rsid w:val="00077909"/>
    <w:rsid w:val="00077A28"/>
    <w:rsid w:val="00077EC0"/>
    <w:rsid w:val="00081200"/>
    <w:rsid w:val="0008137A"/>
    <w:rsid w:val="000819DF"/>
    <w:rsid w:val="00082610"/>
    <w:rsid w:val="000831A4"/>
    <w:rsid w:val="000837D3"/>
    <w:rsid w:val="00083FDC"/>
    <w:rsid w:val="00084524"/>
    <w:rsid w:val="0008592C"/>
    <w:rsid w:val="000860E9"/>
    <w:rsid w:val="000861DC"/>
    <w:rsid w:val="00090C1C"/>
    <w:rsid w:val="00090E38"/>
    <w:rsid w:val="00091C3E"/>
    <w:rsid w:val="00091FD4"/>
    <w:rsid w:val="00092033"/>
    <w:rsid w:val="0009277F"/>
    <w:rsid w:val="00092957"/>
    <w:rsid w:val="00093529"/>
    <w:rsid w:val="00094372"/>
    <w:rsid w:val="000945DE"/>
    <w:rsid w:val="000947A3"/>
    <w:rsid w:val="00094F72"/>
    <w:rsid w:val="00094FAB"/>
    <w:rsid w:val="00095D0D"/>
    <w:rsid w:val="0009675E"/>
    <w:rsid w:val="00097384"/>
    <w:rsid w:val="00097717"/>
    <w:rsid w:val="000A0E0D"/>
    <w:rsid w:val="000A25C5"/>
    <w:rsid w:val="000A37AC"/>
    <w:rsid w:val="000A613F"/>
    <w:rsid w:val="000A61ED"/>
    <w:rsid w:val="000A7696"/>
    <w:rsid w:val="000A7B7A"/>
    <w:rsid w:val="000B09E7"/>
    <w:rsid w:val="000B0C32"/>
    <w:rsid w:val="000B0E06"/>
    <w:rsid w:val="000B1AD8"/>
    <w:rsid w:val="000B2288"/>
    <w:rsid w:val="000B268C"/>
    <w:rsid w:val="000B340F"/>
    <w:rsid w:val="000B35B5"/>
    <w:rsid w:val="000B3FD3"/>
    <w:rsid w:val="000B47B3"/>
    <w:rsid w:val="000B4C5A"/>
    <w:rsid w:val="000B4F01"/>
    <w:rsid w:val="000B5221"/>
    <w:rsid w:val="000B5337"/>
    <w:rsid w:val="000B55ED"/>
    <w:rsid w:val="000B5C63"/>
    <w:rsid w:val="000B6101"/>
    <w:rsid w:val="000B69C3"/>
    <w:rsid w:val="000B6CC5"/>
    <w:rsid w:val="000B7AC7"/>
    <w:rsid w:val="000B7F58"/>
    <w:rsid w:val="000C03E2"/>
    <w:rsid w:val="000C0BAC"/>
    <w:rsid w:val="000C11ED"/>
    <w:rsid w:val="000C198B"/>
    <w:rsid w:val="000C1BB9"/>
    <w:rsid w:val="000C305D"/>
    <w:rsid w:val="000C3AAF"/>
    <w:rsid w:val="000C422A"/>
    <w:rsid w:val="000C4AD3"/>
    <w:rsid w:val="000C55B6"/>
    <w:rsid w:val="000C5630"/>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7304"/>
    <w:rsid w:val="000E020C"/>
    <w:rsid w:val="000E057E"/>
    <w:rsid w:val="000E0DFE"/>
    <w:rsid w:val="000E10EC"/>
    <w:rsid w:val="000E1C1F"/>
    <w:rsid w:val="000E34E0"/>
    <w:rsid w:val="000E3843"/>
    <w:rsid w:val="000E3EE2"/>
    <w:rsid w:val="000E43A4"/>
    <w:rsid w:val="000E47BD"/>
    <w:rsid w:val="000E509A"/>
    <w:rsid w:val="000E566A"/>
    <w:rsid w:val="000E5899"/>
    <w:rsid w:val="000E5CE5"/>
    <w:rsid w:val="000E661D"/>
    <w:rsid w:val="000E7022"/>
    <w:rsid w:val="000E76D6"/>
    <w:rsid w:val="000E7AEA"/>
    <w:rsid w:val="000E7BB9"/>
    <w:rsid w:val="000E7DA1"/>
    <w:rsid w:val="000F107F"/>
    <w:rsid w:val="000F1D9A"/>
    <w:rsid w:val="000F2D72"/>
    <w:rsid w:val="000F36A5"/>
    <w:rsid w:val="000F3AB9"/>
    <w:rsid w:val="000F3FD0"/>
    <w:rsid w:val="000F50F6"/>
    <w:rsid w:val="000F5E58"/>
    <w:rsid w:val="000F622D"/>
    <w:rsid w:val="000F724F"/>
    <w:rsid w:val="000F7CF2"/>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09F3"/>
    <w:rsid w:val="0011186D"/>
    <w:rsid w:val="00111CBC"/>
    <w:rsid w:val="001122A5"/>
    <w:rsid w:val="001123EF"/>
    <w:rsid w:val="00113064"/>
    <w:rsid w:val="00113454"/>
    <w:rsid w:val="00113FDA"/>
    <w:rsid w:val="00114B6C"/>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BFA"/>
    <w:rsid w:val="001256AE"/>
    <w:rsid w:val="00126BBB"/>
    <w:rsid w:val="00126C3C"/>
    <w:rsid w:val="00127336"/>
    <w:rsid w:val="00127F5B"/>
    <w:rsid w:val="0013029E"/>
    <w:rsid w:val="0013039E"/>
    <w:rsid w:val="00130A55"/>
    <w:rsid w:val="00131244"/>
    <w:rsid w:val="001318C8"/>
    <w:rsid w:val="00131F52"/>
    <w:rsid w:val="00132113"/>
    <w:rsid w:val="001323D4"/>
    <w:rsid w:val="00132C4D"/>
    <w:rsid w:val="00132DA1"/>
    <w:rsid w:val="0013539F"/>
    <w:rsid w:val="00135E15"/>
    <w:rsid w:val="001360A6"/>
    <w:rsid w:val="00136320"/>
    <w:rsid w:val="001374B9"/>
    <w:rsid w:val="00137D76"/>
    <w:rsid w:val="00140EC5"/>
    <w:rsid w:val="00141147"/>
    <w:rsid w:val="00141725"/>
    <w:rsid w:val="00141D11"/>
    <w:rsid w:val="00142342"/>
    <w:rsid w:val="001426C8"/>
    <w:rsid w:val="0014315F"/>
    <w:rsid w:val="001436E6"/>
    <w:rsid w:val="001437A6"/>
    <w:rsid w:val="001438D7"/>
    <w:rsid w:val="00143A0F"/>
    <w:rsid w:val="00143F5D"/>
    <w:rsid w:val="00144250"/>
    <w:rsid w:val="0014441A"/>
    <w:rsid w:val="00145A34"/>
    <w:rsid w:val="00145C66"/>
    <w:rsid w:val="00146266"/>
    <w:rsid w:val="00146A70"/>
    <w:rsid w:val="00146F81"/>
    <w:rsid w:val="001473FE"/>
    <w:rsid w:val="0015013F"/>
    <w:rsid w:val="00150EB3"/>
    <w:rsid w:val="00152B9E"/>
    <w:rsid w:val="00152BED"/>
    <w:rsid w:val="00153DB4"/>
    <w:rsid w:val="00154DEB"/>
    <w:rsid w:val="001555CF"/>
    <w:rsid w:val="00155C84"/>
    <w:rsid w:val="00156FEA"/>
    <w:rsid w:val="00160125"/>
    <w:rsid w:val="0016060F"/>
    <w:rsid w:val="00160AF1"/>
    <w:rsid w:val="00160AFF"/>
    <w:rsid w:val="00161FB0"/>
    <w:rsid w:val="001625C1"/>
    <w:rsid w:val="00162ED2"/>
    <w:rsid w:val="001630A6"/>
    <w:rsid w:val="00163420"/>
    <w:rsid w:val="0016378D"/>
    <w:rsid w:val="001637B3"/>
    <w:rsid w:val="00165773"/>
    <w:rsid w:val="00166DF9"/>
    <w:rsid w:val="001671D8"/>
    <w:rsid w:val="00167B7F"/>
    <w:rsid w:val="00171651"/>
    <w:rsid w:val="00171942"/>
    <w:rsid w:val="00171D80"/>
    <w:rsid w:val="00172333"/>
    <w:rsid w:val="00172F4C"/>
    <w:rsid w:val="0017310F"/>
    <w:rsid w:val="0017311B"/>
    <w:rsid w:val="0017376F"/>
    <w:rsid w:val="001738C2"/>
    <w:rsid w:val="001739CD"/>
    <w:rsid w:val="00174BAE"/>
    <w:rsid w:val="001760CB"/>
    <w:rsid w:val="00176254"/>
    <w:rsid w:val="001763AC"/>
    <w:rsid w:val="00176576"/>
    <w:rsid w:val="00176593"/>
    <w:rsid w:val="001765AE"/>
    <w:rsid w:val="001770F5"/>
    <w:rsid w:val="00177CA8"/>
    <w:rsid w:val="00180C4E"/>
    <w:rsid w:val="0018137E"/>
    <w:rsid w:val="001816B7"/>
    <w:rsid w:val="00181D91"/>
    <w:rsid w:val="001820E7"/>
    <w:rsid w:val="0018319D"/>
    <w:rsid w:val="001840A0"/>
    <w:rsid w:val="00184390"/>
    <w:rsid w:val="001854D3"/>
    <w:rsid w:val="00185741"/>
    <w:rsid w:val="0018656E"/>
    <w:rsid w:val="00187888"/>
    <w:rsid w:val="0018796F"/>
    <w:rsid w:val="001907B5"/>
    <w:rsid w:val="00191DC0"/>
    <w:rsid w:val="001920A3"/>
    <w:rsid w:val="00194390"/>
    <w:rsid w:val="0019505E"/>
    <w:rsid w:val="001956EB"/>
    <w:rsid w:val="00195AB2"/>
    <w:rsid w:val="00195FB6"/>
    <w:rsid w:val="00195FFF"/>
    <w:rsid w:val="001961E6"/>
    <w:rsid w:val="00196601"/>
    <w:rsid w:val="00196BEF"/>
    <w:rsid w:val="001974C1"/>
    <w:rsid w:val="0019757A"/>
    <w:rsid w:val="001A0398"/>
    <w:rsid w:val="001A0886"/>
    <w:rsid w:val="001A09C1"/>
    <w:rsid w:val="001A0E37"/>
    <w:rsid w:val="001A2823"/>
    <w:rsid w:val="001A2E65"/>
    <w:rsid w:val="001A3181"/>
    <w:rsid w:val="001A333A"/>
    <w:rsid w:val="001A35EE"/>
    <w:rsid w:val="001A35FE"/>
    <w:rsid w:val="001A3734"/>
    <w:rsid w:val="001A5AEC"/>
    <w:rsid w:val="001A6A19"/>
    <w:rsid w:val="001A6B97"/>
    <w:rsid w:val="001A6BC4"/>
    <w:rsid w:val="001A7723"/>
    <w:rsid w:val="001B0ECD"/>
    <w:rsid w:val="001B1A92"/>
    <w:rsid w:val="001B1DB2"/>
    <w:rsid w:val="001B2B14"/>
    <w:rsid w:val="001B2BD6"/>
    <w:rsid w:val="001B3331"/>
    <w:rsid w:val="001B3F01"/>
    <w:rsid w:val="001B4529"/>
    <w:rsid w:val="001B45E1"/>
    <w:rsid w:val="001B4777"/>
    <w:rsid w:val="001B588A"/>
    <w:rsid w:val="001B662C"/>
    <w:rsid w:val="001B6A06"/>
    <w:rsid w:val="001B7C80"/>
    <w:rsid w:val="001C08C7"/>
    <w:rsid w:val="001C256E"/>
    <w:rsid w:val="001C2928"/>
    <w:rsid w:val="001C29A6"/>
    <w:rsid w:val="001C2A11"/>
    <w:rsid w:val="001C3044"/>
    <w:rsid w:val="001C33FD"/>
    <w:rsid w:val="001C3717"/>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3667"/>
    <w:rsid w:val="001D39F7"/>
    <w:rsid w:val="001D3AF5"/>
    <w:rsid w:val="001D4AFC"/>
    <w:rsid w:val="001D4BC4"/>
    <w:rsid w:val="001D59F5"/>
    <w:rsid w:val="001D5ED2"/>
    <w:rsid w:val="001D5F26"/>
    <w:rsid w:val="001D6653"/>
    <w:rsid w:val="001D6C52"/>
    <w:rsid w:val="001D70DE"/>
    <w:rsid w:val="001E0742"/>
    <w:rsid w:val="001E0A5D"/>
    <w:rsid w:val="001E0ADF"/>
    <w:rsid w:val="001E11E6"/>
    <w:rsid w:val="001E26A5"/>
    <w:rsid w:val="001E29CA"/>
    <w:rsid w:val="001E2D1A"/>
    <w:rsid w:val="001E2E2D"/>
    <w:rsid w:val="001E37B5"/>
    <w:rsid w:val="001E385E"/>
    <w:rsid w:val="001E40C2"/>
    <w:rsid w:val="001E4423"/>
    <w:rsid w:val="001E4F65"/>
    <w:rsid w:val="001E6656"/>
    <w:rsid w:val="001E693B"/>
    <w:rsid w:val="001E7744"/>
    <w:rsid w:val="001E7C85"/>
    <w:rsid w:val="001F00E1"/>
    <w:rsid w:val="001F151F"/>
    <w:rsid w:val="001F1BF6"/>
    <w:rsid w:val="001F240F"/>
    <w:rsid w:val="001F2DF6"/>
    <w:rsid w:val="001F4090"/>
    <w:rsid w:val="001F4F63"/>
    <w:rsid w:val="001F5C94"/>
    <w:rsid w:val="001F64C9"/>
    <w:rsid w:val="001F692A"/>
    <w:rsid w:val="00200001"/>
    <w:rsid w:val="00201064"/>
    <w:rsid w:val="00202D9D"/>
    <w:rsid w:val="00203083"/>
    <w:rsid w:val="002038F7"/>
    <w:rsid w:val="00203C7F"/>
    <w:rsid w:val="0020569F"/>
    <w:rsid w:val="00205925"/>
    <w:rsid w:val="00206109"/>
    <w:rsid w:val="002069B9"/>
    <w:rsid w:val="00206DB2"/>
    <w:rsid w:val="0020773A"/>
    <w:rsid w:val="00207D0C"/>
    <w:rsid w:val="00207FF0"/>
    <w:rsid w:val="00211574"/>
    <w:rsid w:val="00212BEF"/>
    <w:rsid w:val="00213517"/>
    <w:rsid w:val="0021427C"/>
    <w:rsid w:val="00214917"/>
    <w:rsid w:val="00214993"/>
    <w:rsid w:val="00215109"/>
    <w:rsid w:val="00215200"/>
    <w:rsid w:val="00215FA4"/>
    <w:rsid w:val="00216069"/>
    <w:rsid w:val="002166EF"/>
    <w:rsid w:val="0021692F"/>
    <w:rsid w:val="00216B3D"/>
    <w:rsid w:val="002238C3"/>
    <w:rsid w:val="00223E09"/>
    <w:rsid w:val="002243B8"/>
    <w:rsid w:val="00224FEB"/>
    <w:rsid w:val="00225235"/>
    <w:rsid w:val="002255C3"/>
    <w:rsid w:val="0022601A"/>
    <w:rsid w:val="00226B46"/>
    <w:rsid w:val="00227531"/>
    <w:rsid w:val="002275E9"/>
    <w:rsid w:val="002275FC"/>
    <w:rsid w:val="002300BD"/>
    <w:rsid w:val="00230372"/>
    <w:rsid w:val="002308A0"/>
    <w:rsid w:val="00230902"/>
    <w:rsid w:val="002314C1"/>
    <w:rsid w:val="002329F4"/>
    <w:rsid w:val="002333E9"/>
    <w:rsid w:val="002342A2"/>
    <w:rsid w:val="00234C9C"/>
    <w:rsid w:val="00234F48"/>
    <w:rsid w:val="00234FF0"/>
    <w:rsid w:val="00235189"/>
    <w:rsid w:val="00235551"/>
    <w:rsid w:val="002372D8"/>
    <w:rsid w:val="002403F5"/>
    <w:rsid w:val="002412C2"/>
    <w:rsid w:val="002412C3"/>
    <w:rsid w:val="00241779"/>
    <w:rsid w:val="00242856"/>
    <w:rsid w:val="00242C5F"/>
    <w:rsid w:val="00243A8E"/>
    <w:rsid w:val="00243B9E"/>
    <w:rsid w:val="00244A79"/>
    <w:rsid w:val="00245446"/>
    <w:rsid w:val="002460FE"/>
    <w:rsid w:val="00246754"/>
    <w:rsid w:val="00246D8E"/>
    <w:rsid w:val="002504DD"/>
    <w:rsid w:val="002507AE"/>
    <w:rsid w:val="002508EA"/>
    <w:rsid w:val="0025121F"/>
    <w:rsid w:val="002516D9"/>
    <w:rsid w:val="00251764"/>
    <w:rsid w:val="002517A9"/>
    <w:rsid w:val="0025247E"/>
    <w:rsid w:val="00252497"/>
    <w:rsid w:val="002532AE"/>
    <w:rsid w:val="0025400C"/>
    <w:rsid w:val="002551F2"/>
    <w:rsid w:val="002552C7"/>
    <w:rsid w:val="0025641A"/>
    <w:rsid w:val="00257C2E"/>
    <w:rsid w:val="00257F52"/>
    <w:rsid w:val="00260036"/>
    <w:rsid w:val="002608E5"/>
    <w:rsid w:val="00260964"/>
    <w:rsid w:val="0026099E"/>
    <w:rsid w:val="002609E7"/>
    <w:rsid w:val="00261F43"/>
    <w:rsid w:val="00262B01"/>
    <w:rsid w:val="00263074"/>
    <w:rsid w:val="002634A9"/>
    <w:rsid w:val="002639E3"/>
    <w:rsid w:val="0026532B"/>
    <w:rsid w:val="00265C03"/>
    <w:rsid w:val="00267340"/>
    <w:rsid w:val="00267397"/>
    <w:rsid w:val="00267E43"/>
    <w:rsid w:val="00270491"/>
    <w:rsid w:val="002704FC"/>
    <w:rsid w:val="00270D3D"/>
    <w:rsid w:val="00270E05"/>
    <w:rsid w:val="00271BBB"/>
    <w:rsid w:val="00272814"/>
    <w:rsid w:val="00272C73"/>
    <w:rsid w:val="00273A46"/>
    <w:rsid w:val="002749FB"/>
    <w:rsid w:val="00275065"/>
    <w:rsid w:val="00276AA6"/>
    <w:rsid w:val="00276C5C"/>
    <w:rsid w:val="002775F1"/>
    <w:rsid w:val="0028019D"/>
    <w:rsid w:val="0028027F"/>
    <w:rsid w:val="00281EFF"/>
    <w:rsid w:val="00282EBE"/>
    <w:rsid w:val="00282FD7"/>
    <w:rsid w:val="0028321F"/>
    <w:rsid w:val="00283232"/>
    <w:rsid w:val="002832E3"/>
    <w:rsid w:val="00283A5A"/>
    <w:rsid w:val="00283AEC"/>
    <w:rsid w:val="002856DB"/>
    <w:rsid w:val="00285AD7"/>
    <w:rsid w:val="00285C27"/>
    <w:rsid w:val="00285D1A"/>
    <w:rsid w:val="002861CD"/>
    <w:rsid w:val="00286C7F"/>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60A"/>
    <w:rsid w:val="002A47E5"/>
    <w:rsid w:val="002A4C6F"/>
    <w:rsid w:val="002A5858"/>
    <w:rsid w:val="002A648C"/>
    <w:rsid w:val="002A66E4"/>
    <w:rsid w:val="002A672B"/>
    <w:rsid w:val="002A68DD"/>
    <w:rsid w:val="002A6AFF"/>
    <w:rsid w:val="002A6BD5"/>
    <w:rsid w:val="002A6D20"/>
    <w:rsid w:val="002A7585"/>
    <w:rsid w:val="002B014D"/>
    <w:rsid w:val="002B0A5E"/>
    <w:rsid w:val="002B0FF7"/>
    <w:rsid w:val="002B1626"/>
    <w:rsid w:val="002B2101"/>
    <w:rsid w:val="002B5745"/>
    <w:rsid w:val="002B6725"/>
    <w:rsid w:val="002B69F6"/>
    <w:rsid w:val="002B6F8E"/>
    <w:rsid w:val="002B7892"/>
    <w:rsid w:val="002C103C"/>
    <w:rsid w:val="002C12E9"/>
    <w:rsid w:val="002C197E"/>
    <w:rsid w:val="002C1B83"/>
    <w:rsid w:val="002C24A0"/>
    <w:rsid w:val="002C26CF"/>
    <w:rsid w:val="002C35DA"/>
    <w:rsid w:val="002C5280"/>
    <w:rsid w:val="002C52E3"/>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1A38"/>
    <w:rsid w:val="002D248D"/>
    <w:rsid w:val="002D2823"/>
    <w:rsid w:val="002D29CD"/>
    <w:rsid w:val="002D2C27"/>
    <w:rsid w:val="002D352E"/>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1DCC"/>
    <w:rsid w:val="002E1ED1"/>
    <w:rsid w:val="002E2E15"/>
    <w:rsid w:val="002E34D5"/>
    <w:rsid w:val="002E3AC6"/>
    <w:rsid w:val="002E3B3A"/>
    <w:rsid w:val="002E48E8"/>
    <w:rsid w:val="002E4B34"/>
    <w:rsid w:val="002E51DA"/>
    <w:rsid w:val="002E59BB"/>
    <w:rsid w:val="002E787D"/>
    <w:rsid w:val="002F01B5"/>
    <w:rsid w:val="002F07C1"/>
    <w:rsid w:val="002F0BC7"/>
    <w:rsid w:val="002F2642"/>
    <w:rsid w:val="002F3432"/>
    <w:rsid w:val="002F385A"/>
    <w:rsid w:val="002F3EE3"/>
    <w:rsid w:val="002F4045"/>
    <w:rsid w:val="002F4C41"/>
    <w:rsid w:val="002F53CF"/>
    <w:rsid w:val="0030015E"/>
    <w:rsid w:val="003001FD"/>
    <w:rsid w:val="00300767"/>
    <w:rsid w:val="003014B9"/>
    <w:rsid w:val="0030180A"/>
    <w:rsid w:val="00301E50"/>
    <w:rsid w:val="00303273"/>
    <w:rsid w:val="003036C4"/>
    <w:rsid w:val="0030454B"/>
    <w:rsid w:val="00305044"/>
    <w:rsid w:val="0030590A"/>
    <w:rsid w:val="00305F1D"/>
    <w:rsid w:val="003062C4"/>
    <w:rsid w:val="00306335"/>
    <w:rsid w:val="0031024F"/>
    <w:rsid w:val="003102FF"/>
    <w:rsid w:val="00311AB5"/>
    <w:rsid w:val="003123B2"/>
    <w:rsid w:val="0031293C"/>
    <w:rsid w:val="00312A5D"/>
    <w:rsid w:val="00312A6F"/>
    <w:rsid w:val="003130EE"/>
    <w:rsid w:val="00313507"/>
    <w:rsid w:val="0031400F"/>
    <w:rsid w:val="003146E2"/>
    <w:rsid w:val="00314A9D"/>
    <w:rsid w:val="0031747B"/>
    <w:rsid w:val="00317AE6"/>
    <w:rsid w:val="00317EDE"/>
    <w:rsid w:val="00320377"/>
    <w:rsid w:val="00320EA0"/>
    <w:rsid w:val="003211C9"/>
    <w:rsid w:val="0032146C"/>
    <w:rsid w:val="0032218D"/>
    <w:rsid w:val="00322B58"/>
    <w:rsid w:val="00323CC7"/>
    <w:rsid w:val="00324D40"/>
    <w:rsid w:val="0032709A"/>
    <w:rsid w:val="00330567"/>
    <w:rsid w:val="00331CB8"/>
    <w:rsid w:val="0033239D"/>
    <w:rsid w:val="003325C3"/>
    <w:rsid w:val="003329AF"/>
    <w:rsid w:val="0033302F"/>
    <w:rsid w:val="00333172"/>
    <w:rsid w:val="00333859"/>
    <w:rsid w:val="00333DD8"/>
    <w:rsid w:val="00334ED3"/>
    <w:rsid w:val="0033543A"/>
    <w:rsid w:val="00335D4D"/>
    <w:rsid w:val="00336309"/>
    <w:rsid w:val="003364FD"/>
    <w:rsid w:val="00337E5E"/>
    <w:rsid w:val="00337EF6"/>
    <w:rsid w:val="00337F3C"/>
    <w:rsid w:val="00340E54"/>
    <w:rsid w:val="00340F5A"/>
    <w:rsid w:val="00340F6A"/>
    <w:rsid w:val="0034153E"/>
    <w:rsid w:val="003429D4"/>
    <w:rsid w:val="003431CE"/>
    <w:rsid w:val="003437E5"/>
    <w:rsid w:val="003438D6"/>
    <w:rsid w:val="00343C2C"/>
    <w:rsid w:val="00344271"/>
    <w:rsid w:val="0034489E"/>
    <w:rsid w:val="003453BF"/>
    <w:rsid w:val="00346A57"/>
    <w:rsid w:val="003473FD"/>
    <w:rsid w:val="00347B3B"/>
    <w:rsid w:val="00347F1D"/>
    <w:rsid w:val="00350257"/>
    <w:rsid w:val="0035036F"/>
    <w:rsid w:val="00351478"/>
    <w:rsid w:val="00351C1D"/>
    <w:rsid w:val="00352DAD"/>
    <w:rsid w:val="003530A2"/>
    <w:rsid w:val="003537B8"/>
    <w:rsid w:val="00353ECF"/>
    <w:rsid w:val="0035459E"/>
    <w:rsid w:val="00354CD5"/>
    <w:rsid w:val="003550E8"/>
    <w:rsid w:val="0035524F"/>
    <w:rsid w:val="00356A19"/>
    <w:rsid w:val="003575F9"/>
    <w:rsid w:val="00357CF8"/>
    <w:rsid w:val="00357EB6"/>
    <w:rsid w:val="00360651"/>
    <w:rsid w:val="00360995"/>
    <w:rsid w:val="00360D0D"/>
    <w:rsid w:val="00360DDB"/>
    <w:rsid w:val="003612BD"/>
    <w:rsid w:val="003617BB"/>
    <w:rsid w:val="00362748"/>
    <w:rsid w:val="00362B82"/>
    <w:rsid w:val="003634A6"/>
    <w:rsid w:val="00363FBA"/>
    <w:rsid w:val="00364E33"/>
    <w:rsid w:val="00365421"/>
    <w:rsid w:val="0036583C"/>
    <w:rsid w:val="0036601D"/>
    <w:rsid w:val="0036664B"/>
    <w:rsid w:val="00366908"/>
    <w:rsid w:val="003670F3"/>
    <w:rsid w:val="00367735"/>
    <w:rsid w:val="0036799E"/>
    <w:rsid w:val="003702A2"/>
    <w:rsid w:val="00370436"/>
    <w:rsid w:val="00370D04"/>
    <w:rsid w:val="003714C8"/>
    <w:rsid w:val="00372FF5"/>
    <w:rsid w:val="0037380C"/>
    <w:rsid w:val="0037475A"/>
    <w:rsid w:val="00374D4A"/>
    <w:rsid w:val="00375646"/>
    <w:rsid w:val="003761FF"/>
    <w:rsid w:val="00376FA8"/>
    <w:rsid w:val="00377119"/>
    <w:rsid w:val="00377577"/>
    <w:rsid w:val="00377C9E"/>
    <w:rsid w:val="0038053F"/>
    <w:rsid w:val="00380852"/>
    <w:rsid w:val="00381008"/>
    <w:rsid w:val="00382473"/>
    <w:rsid w:val="00383478"/>
    <w:rsid w:val="00384905"/>
    <w:rsid w:val="0038502C"/>
    <w:rsid w:val="0038510F"/>
    <w:rsid w:val="0038594B"/>
    <w:rsid w:val="003863AD"/>
    <w:rsid w:val="0038707C"/>
    <w:rsid w:val="00387239"/>
    <w:rsid w:val="0039059F"/>
    <w:rsid w:val="0039243F"/>
    <w:rsid w:val="00393FBA"/>
    <w:rsid w:val="00394D99"/>
    <w:rsid w:val="003959B3"/>
    <w:rsid w:val="00396571"/>
    <w:rsid w:val="00396E4A"/>
    <w:rsid w:val="00397EE5"/>
    <w:rsid w:val="00397FC3"/>
    <w:rsid w:val="003A0A4F"/>
    <w:rsid w:val="003A0B61"/>
    <w:rsid w:val="003A118F"/>
    <w:rsid w:val="003A1710"/>
    <w:rsid w:val="003A1AA5"/>
    <w:rsid w:val="003A1AD2"/>
    <w:rsid w:val="003A1DC8"/>
    <w:rsid w:val="003A2A58"/>
    <w:rsid w:val="003A2C19"/>
    <w:rsid w:val="003A2C6D"/>
    <w:rsid w:val="003A2E70"/>
    <w:rsid w:val="003A331F"/>
    <w:rsid w:val="003A34BA"/>
    <w:rsid w:val="003A3526"/>
    <w:rsid w:val="003A3948"/>
    <w:rsid w:val="003A45D9"/>
    <w:rsid w:val="003A4D48"/>
    <w:rsid w:val="003A5059"/>
    <w:rsid w:val="003A52D0"/>
    <w:rsid w:val="003A5578"/>
    <w:rsid w:val="003A55EF"/>
    <w:rsid w:val="003A5D78"/>
    <w:rsid w:val="003A64AA"/>
    <w:rsid w:val="003A77D8"/>
    <w:rsid w:val="003B09E7"/>
    <w:rsid w:val="003B0E8F"/>
    <w:rsid w:val="003B19B0"/>
    <w:rsid w:val="003B1F01"/>
    <w:rsid w:val="003B307C"/>
    <w:rsid w:val="003B429D"/>
    <w:rsid w:val="003B4DD3"/>
    <w:rsid w:val="003B5509"/>
    <w:rsid w:val="003B5D01"/>
    <w:rsid w:val="003B6486"/>
    <w:rsid w:val="003B65A6"/>
    <w:rsid w:val="003B7439"/>
    <w:rsid w:val="003C0078"/>
    <w:rsid w:val="003C081C"/>
    <w:rsid w:val="003C0D04"/>
    <w:rsid w:val="003C0F4C"/>
    <w:rsid w:val="003C1372"/>
    <w:rsid w:val="003C14D5"/>
    <w:rsid w:val="003C1DD2"/>
    <w:rsid w:val="003C1F40"/>
    <w:rsid w:val="003C240A"/>
    <w:rsid w:val="003C377B"/>
    <w:rsid w:val="003C3DFF"/>
    <w:rsid w:val="003C3EAE"/>
    <w:rsid w:val="003C4EA9"/>
    <w:rsid w:val="003C5ACB"/>
    <w:rsid w:val="003C72F6"/>
    <w:rsid w:val="003C7986"/>
    <w:rsid w:val="003C7D15"/>
    <w:rsid w:val="003D0478"/>
    <w:rsid w:val="003D0958"/>
    <w:rsid w:val="003D0E20"/>
    <w:rsid w:val="003D132C"/>
    <w:rsid w:val="003D17B5"/>
    <w:rsid w:val="003D1C0B"/>
    <w:rsid w:val="003D2535"/>
    <w:rsid w:val="003D26D4"/>
    <w:rsid w:val="003D39BA"/>
    <w:rsid w:val="003D3B18"/>
    <w:rsid w:val="003D4317"/>
    <w:rsid w:val="003D497F"/>
    <w:rsid w:val="003D560B"/>
    <w:rsid w:val="003D60C2"/>
    <w:rsid w:val="003D75E5"/>
    <w:rsid w:val="003D768A"/>
    <w:rsid w:val="003E3225"/>
    <w:rsid w:val="003E32C2"/>
    <w:rsid w:val="003E3975"/>
    <w:rsid w:val="003E3EF5"/>
    <w:rsid w:val="003E484B"/>
    <w:rsid w:val="003E4D08"/>
    <w:rsid w:val="003E54D2"/>
    <w:rsid w:val="003E6116"/>
    <w:rsid w:val="003E6298"/>
    <w:rsid w:val="003E7420"/>
    <w:rsid w:val="003E7BB6"/>
    <w:rsid w:val="003F0FF3"/>
    <w:rsid w:val="003F119E"/>
    <w:rsid w:val="003F18DB"/>
    <w:rsid w:val="003F2149"/>
    <w:rsid w:val="003F231B"/>
    <w:rsid w:val="003F2A5D"/>
    <w:rsid w:val="003F30D9"/>
    <w:rsid w:val="003F3C19"/>
    <w:rsid w:val="003F4055"/>
    <w:rsid w:val="003F46E7"/>
    <w:rsid w:val="003F5856"/>
    <w:rsid w:val="003F6609"/>
    <w:rsid w:val="003F6658"/>
    <w:rsid w:val="003F6990"/>
    <w:rsid w:val="003F7959"/>
    <w:rsid w:val="0040017F"/>
    <w:rsid w:val="0040033B"/>
    <w:rsid w:val="00400799"/>
    <w:rsid w:val="004018E0"/>
    <w:rsid w:val="00403575"/>
    <w:rsid w:val="004042FA"/>
    <w:rsid w:val="0040483E"/>
    <w:rsid w:val="00405CCB"/>
    <w:rsid w:val="004060A9"/>
    <w:rsid w:val="004066AA"/>
    <w:rsid w:val="004069F6"/>
    <w:rsid w:val="00406D9E"/>
    <w:rsid w:val="00407079"/>
    <w:rsid w:val="0041026B"/>
    <w:rsid w:val="004109AF"/>
    <w:rsid w:val="00410AC4"/>
    <w:rsid w:val="004117C3"/>
    <w:rsid w:val="00412F10"/>
    <w:rsid w:val="00413843"/>
    <w:rsid w:val="00413B3F"/>
    <w:rsid w:val="00413EF3"/>
    <w:rsid w:val="00414645"/>
    <w:rsid w:val="00414961"/>
    <w:rsid w:val="00414B06"/>
    <w:rsid w:val="004153FD"/>
    <w:rsid w:val="00415458"/>
    <w:rsid w:val="00416962"/>
    <w:rsid w:val="00417116"/>
    <w:rsid w:val="00417AAD"/>
    <w:rsid w:val="00417DF1"/>
    <w:rsid w:val="00420465"/>
    <w:rsid w:val="00420650"/>
    <w:rsid w:val="00420737"/>
    <w:rsid w:val="00421469"/>
    <w:rsid w:val="004218D5"/>
    <w:rsid w:val="00422B99"/>
    <w:rsid w:val="00424259"/>
    <w:rsid w:val="004247A1"/>
    <w:rsid w:val="004247D7"/>
    <w:rsid w:val="00425A0F"/>
    <w:rsid w:val="004263AD"/>
    <w:rsid w:val="00426891"/>
    <w:rsid w:val="00426FF5"/>
    <w:rsid w:val="004272DB"/>
    <w:rsid w:val="0042751E"/>
    <w:rsid w:val="00427C0B"/>
    <w:rsid w:val="00427CBB"/>
    <w:rsid w:val="0043052B"/>
    <w:rsid w:val="004312F8"/>
    <w:rsid w:val="00431DEC"/>
    <w:rsid w:val="004335BA"/>
    <w:rsid w:val="004342E2"/>
    <w:rsid w:val="00434885"/>
    <w:rsid w:val="00434A18"/>
    <w:rsid w:val="00434F89"/>
    <w:rsid w:val="00435BBA"/>
    <w:rsid w:val="00435F18"/>
    <w:rsid w:val="004362C1"/>
    <w:rsid w:val="0043675C"/>
    <w:rsid w:val="00436F51"/>
    <w:rsid w:val="00437195"/>
    <w:rsid w:val="00444016"/>
    <w:rsid w:val="0044454E"/>
    <w:rsid w:val="00444ADE"/>
    <w:rsid w:val="00445818"/>
    <w:rsid w:val="0044597E"/>
    <w:rsid w:val="00445F1F"/>
    <w:rsid w:val="00446518"/>
    <w:rsid w:val="00446561"/>
    <w:rsid w:val="00446A87"/>
    <w:rsid w:val="00446DAA"/>
    <w:rsid w:val="0044703C"/>
    <w:rsid w:val="004478A7"/>
    <w:rsid w:val="0045108E"/>
    <w:rsid w:val="0045168C"/>
    <w:rsid w:val="0045208D"/>
    <w:rsid w:val="004530A8"/>
    <w:rsid w:val="004534ED"/>
    <w:rsid w:val="0045494E"/>
    <w:rsid w:val="004553AA"/>
    <w:rsid w:val="00455447"/>
    <w:rsid w:val="0045584E"/>
    <w:rsid w:val="0045590D"/>
    <w:rsid w:val="00456A0C"/>
    <w:rsid w:val="0045786F"/>
    <w:rsid w:val="00457B0D"/>
    <w:rsid w:val="004601EE"/>
    <w:rsid w:val="00460E2E"/>
    <w:rsid w:val="00461327"/>
    <w:rsid w:val="00461DE1"/>
    <w:rsid w:val="00461F2D"/>
    <w:rsid w:val="0046218A"/>
    <w:rsid w:val="00464C82"/>
    <w:rsid w:val="0046500E"/>
    <w:rsid w:val="004650C8"/>
    <w:rsid w:val="004656CE"/>
    <w:rsid w:val="00465C74"/>
    <w:rsid w:val="00466666"/>
    <w:rsid w:val="00466711"/>
    <w:rsid w:val="0046698E"/>
    <w:rsid w:val="00466C3F"/>
    <w:rsid w:val="00467CAC"/>
    <w:rsid w:val="00470074"/>
    <w:rsid w:val="0047074E"/>
    <w:rsid w:val="00470919"/>
    <w:rsid w:val="00470DA0"/>
    <w:rsid w:val="004712DA"/>
    <w:rsid w:val="0047145F"/>
    <w:rsid w:val="00471B06"/>
    <w:rsid w:val="0047250A"/>
    <w:rsid w:val="00472860"/>
    <w:rsid w:val="00472BA8"/>
    <w:rsid w:val="00473360"/>
    <w:rsid w:val="004737D9"/>
    <w:rsid w:val="00473B7E"/>
    <w:rsid w:val="0047528C"/>
    <w:rsid w:val="004754A7"/>
    <w:rsid w:val="0047568E"/>
    <w:rsid w:val="00477096"/>
    <w:rsid w:val="0047719F"/>
    <w:rsid w:val="00477B80"/>
    <w:rsid w:val="0048005C"/>
    <w:rsid w:val="00480788"/>
    <w:rsid w:val="00480E80"/>
    <w:rsid w:val="00482915"/>
    <w:rsid w:val="00482992"/>
    <w:rsid w:val="00482E64"/>
    <w:rsid w:val="004843D8"/>
    <w:rsid w:val="004849CC"/>
    <w:rsid w:val="00484C10"/>
    <w:rsid w:val="00485155"/>
    <w:rsid w:val="0048521F"/>
    <w:rsid w:val="00486116"/>
    <w:rsid w:val="00486D58"/>
    <w:rsid w:val="004872EE"/>
    <w:rsid w:val="004874D8"/>
    <w:rsid w:val="00487C8F"/>
    <w:rsid w:val="00487DAE"/>
    <w:rsid w:val="00490435"/>
    <w:rsid w:val="00490922"/>
    <w:rsid w:val="00490D64"/>
    <w:rsid w:val="00490F9A"/>
    <w:rsid w:val="004915C1"/>
    <w:rsid w:val="00491616"/>
    <w:rsid w:val="00491BA6"/>
    <w:rsid w:val="00492444"/>
    <w:rsid w:val="0049327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48E"/>
    <w:rsid w:val="004A276F"/>
    <w:rsid w:val="004A30DC"/>
    <w:rsid w:val="004A3887"/>
    <w:rsid w:val="004A4257"/>
    <w:rsid w:val="004A42CD"/>
    <w:rsid w:val="004A4379"/>
    <w:rsid w:val="004A49D1"/>
    <w:rsid w:val="004A4A2F"/>
    <w:rsid w:val="004A5CD5"/>
    <w:rsid w:val="004A71A9"/>
    <w:rsid w:val="004A723E"/>
    <w:rsid w:val="004A75E4"/>
    <w:rsid w:val="004A78D1"/>
    <w:rsid w:val="004B00AF"/>
    <w:rsid w:val="004B0AA8"/>
    <w:rsid w:val="004B0AEC"/>
    <w:rsid w:val="004B1458"/>
    <w:rsid w:val="004B1BB2"/>
    <w:rsid w:val="004B2349"/>
    <w:rsid w:val="004B32AB"/>
    <w:rsid w:val="004B3C13"/>
    <w:rsid w:val="004B3D33"/>
    <w:rsid w:val="004B5D5A"/>
    <w:rsid w:val="004B7872"/>
    <w:rsid w:val="004C1E72"/>
    <w:rsid w:val="004C209E"/>
    <w:rsid w:val="004C27BD"/>
    <w:rsid w:val="004C2DD2"/>
    <w:rsid w:val="004C317C"/>
    <w:rsid w:val="004C3259"/>
    <w:rsid w:val="004C371A"/>
    <w:rsid w:val="004C490D"/>
    <w:rsid w:val="004C4BFE"/>
    <w:rsid w:val="004C52FE"/>
    <w:rsid w:val="004C5D94"/>
    <w:rsid w:val="004C6280"/>
    <w:rsid w:val="004C66D3"/>
    <w:rsid w:val="004C7BB6"/>
    <w:rsid w:val="004D0095"/>
    <w:rsid w:val="004D01A5"/>
    <w:rsid w:val="004D0299"/>
    <w:rsid w:val="004D0E42"/>
    <w:rsid w:val="004D19B5"/>
    <w:rsid w:val="004D29C4"/>
    <w:rsid w:val="004D36D3"/>
    <w:rsid w:val="004D4844"/>
    <w:rsid w:val="004D4FF0"/>
    <w:rsid w:val="004D5A9D"/>
    <w:rsid w:val="004D66CD"/>
    <w:rsid w:val="004D693C"/>
    <w:rsid w:val="004D7983"/>
    <w:rsid w:val="004E1023"/>
    <w:rsid w:val="004E1B62"/>
    <w:rsid w:val="004E1E61"/>
    <w:rsid w:val="004E21F2"/>
    <w:rsid w:val="004E222D"/>
    <w:rsid w:val="004E2523"/>
    <w:rsid w:val="004E3575"/>
    <w:rsid w:val="004E386B"/>
    <w:rsid w:val="004E432D"/>
    <w:rsid w:val="004E46FE"/>
    <w:rsid w:val="004E5ACE"/>
    <w:rsid w:val="004E6632"/>
    <w:rsid w:val="004E69A0"/>
    <w:rsid w:val="004E7E33"/>
    <w:rsid w:val="004F0665"/>
    <w:rsid w:val="004F06DB"/>
    <w:rsid w:val="004F15C6"/>
    <w:rsid w:val="004F2DCA"/>
    <w:rsid w:val="004F3750"/>
    <w:rsid w:val="004F396C"/>
    <w:rsid w:val="004F447C"/>
    <w:rsid w:val="004F4989"/>
    <w:rsid w:val="004F4E08"/>
    <w:rsid w:val="004F5A64"/>
    <w:rsid w:val="004F5E66"/>
    <w:rsid w:val="004F6218"/>
    <w:rsid w:val="004F63B9"/>
    <w:rsid w:val="004F7906"/>
    <w:rsid w:val="0050025E"/>
    <w:rsid w:val="00500731"/>
    <w:rsid w:val="00500DE4"/>
    <w:rsid w:val="00502906"/>
    <w:rsid w:val="0050371C"/>
    <w:rsid w:val="00503B6F"/>
    <w:rsid w:val="00503F78"/>
    <w:rsid w:val="0050455D"/>
    <w:rsid w:val="005047AE"/>
    <w:rsid w:val="00504EAE"/>
    <w:rsid w:val="005054CC"/>
    <w:rsid w:val="005056EA"/>
    <w:rsid w:val="00505863"/>
    <w:rsid w:val="00505886"/>
    <w:rsid w:val="00505887"/>
    <w:rsid w:val="0050594C"/>
    <w:rsid w:val="005059AC"/>
    <w:rsid w:val="00505F62"/>
    <w:rsid w:val="005066DC"/>
    <w:rsid w:val="00506E12"/>
    <w:rsid w:val="005076B1"/>
    <w:rsid w:val="00514394"/>
    <w:rsid w:val="00514F1C"/>
    <w:rsid w:val="00515032"/>
    <w:rsid w:val="0051543B"/>
    <w:rsid w:val="0051629C"/>
    <w:rsid w:val="0051635F"/>
    <w:rsid w:val="005168BD"/>
    <w:rsid w:val="0051691F"/>
    <w:rsid w:val="00517028"/>
    <w:rsid w:val="0052035E"/>
    <w:rsid w:val="00520428"/>
    <w:rsid w:val="0052102A"/>
    <w:rsid w:val="005212A6"/>
    <w:rsid w:val="00521684"/>
    <w:rsid w:val="00522288"/>
    <w:rsid w:val="005222AA"/>
    <w:rsid w:val="00522878"/>
    <w:rsid w:val="005228AC"/>
    <w:rsid w:val="00522E2B"/>
    <w:rsid w:val="00523A48"/>
    <w:rsid w:val="005248DF"/>
    <w:rsid w:val="00524E8E"/>
    <w:rsid w:val="005253F8"/>
    <w:rsid w:val="00525726"/>
    <w:rsid w:val="00525D5E"/>
    <w:rsid w:val="005261BE"/>
    <w:rsid w:val="00527B73"/>
    <w:rsid w:val="00527CA8"/>
    <w:rsid w:val="00530A12"/>
    <w:rsid w:val="0053135F"/>
    <w:rsid w:val="00531B17"/>
    <w:rsid w:val="00531C15"/>
    <w:rsid w:val="00532519"/>
    <w:rsid w:val="00532B5C"/>
    <w:rsid w:val="00532F42"/>
    <w:rsid w:val="00532FEF"/>
    <w:rsid w:val="00533BC8"/>
    <w:rsid w:val="00533CAC"/>
    <w:rsid w:val="005342D0"/>
    <w:rsid w:val="00534F35"/>
    <w:rsid w:val="00537426"/>
    <w:rsid w:val="00537FDD"/>
    <w:rsid w:val="00540107"/>
    <w:rsid w:val="00540129"/>
    <w:rsid w:val="005404F9"/>
    <w:rsid w:val="005405E0"/>
    <w:rsid w:val="00540A37"/>
    <w:rsid w:val="00540BC0"/>
    <w:rsid w:val="00541C59"/>
    <w:rsid w:val="00541C70"/>
    <w:rsid w:val="00541CAC"/>
    <w:rsid w:val="00542151"/>
    <w:rsid w:val="00542A98"/>
    <w:rsid w:val="0054324F"/>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A0A"/>
    <w:rsid w:val="005567B3"/>
    <w:rsid w:val="00556880"/>
    <w:rsid w:val="00556B63"/>
    <w:rsid w:val="005574A1"/>
    <w:rsid w:val="00557535"/>
    <w:rsid w:val="005602B1"/>
    <w:rsid w:val="005604E8"/>
    <w:rsid w:val="0056050B"/>
    <w:rsid w:val="0056096F"/>
    <w:rsid w:val="00560A2A"/>
    <w:rsid w:val="005610F4"/>
    <w:rsid w:val="005610FB"/>
    <w:rsid w:val="005614FF"/>
    <w:rsid w:val="00561AF9"/>
    <w:rsid w:val="005638CF"/>
    <w:rsid w:val="00564B4B"/>
    <w:rsid w:val="00564CCE"/>
    <w:rsid w:val="00564D12"/>
    <w:rsid w:val="00564DB6"/>
    <w:rsid w:val="00566BF3"/>
    <w:rsid w:val="00570A9F"/>
    <w:rsid w:val="00570F4C"/>
    <w:rsid w:val="005712FF"/>
    <w:rsid w:val="005714EB"/>
    <w:rsid w:val="00571C19"/>
    <w:rsid w:val="0057214A"/>
    <w:rsid w:val="0057231F"/>
    <w:rsid w:val="00572D33"/>
    <w:rsid w:val="005731E0"/>
    <w:rsid w:val="0057327E"/>
    <w:rsid w:val="00573CA1"/>
    <w:rsid w:val="00573E3D"/>
    <w:rsid w:val="00574113"/>
    <w:rsid w:val="005747D4"/>
    <w:rsid w:val="00574EBB"/>
    <w:rsid w:val="005755BD"/>
    <w:rsid w:val="00575CB2"/>
    <w:rsid w:val="0057653F"/>
    <w:rsid w:val="00576A7F"/>
    <w:rsid w:val="00581520"/>
    <w:rsid w:val="00581E30"/>
    <w:rsid w:val="005824D0"/>
    <w:rsid w:val="005829B5"/>
    <w:rsid w:val="00582C51"/>
    <w:rsid w:val="0058469A"/>
    <w:rsid w:val="00584BC4"/>
    <w:rsid w:val="00585D18"/>
    <w:rsid w:val="00585D20"/>
    <w:rsid w:val="00586E7A"/>
    <w:rsid w:val="00587323"/>
    <w:rsid w:val="00587663"/>
    <w:rsid w:val="00587789"/>
    <w:rsid w:val="00587A64"/>
    <w:rsid w:val="00590D15"/>
    <w:rsid w:val="005911A0"/>
    <w:rsid w:val="00591B65"/>
    <w:rsid w:val="00592371"/>
    <w:rsid w:val="00593E23"/>
    <w:rsid w:val="0059413B"/>
    <w:rsid w:val="00595BCC"/>
    <w:rsid w:val="005962BC"/>
    <w:rsid w:val="005965AE"/>
    <w:rsid w:val="005968C7"/>
    <w:rsid w:val="00597747"/>
    <w:rsid w:val="005A02F9"/>
    <w:rsid w:val="005A250A"/>
    <w:rsid w:val="005A2999"/>
    <w:rsid w:val="005A30CA"/>
    <w:rsid w:val="005A3C93"/>
    <w:rsid w:val="005A5637"/>
    <w:rsid w:val="005A5A5F"/>
    <w:rsid w:val="005A62A8"/>
    <w:rsid w:val="005A6D75"/>
    <w:rsid w:val="005A7722"/>
    <w:rsid w:val="005A7A82"/>
    <w:rsid w:val="005B007D"/>
    <w:rsid w:val="005B02D8"/>
    <w:rsid w:val="005B0E5D"/>
    <w:rsid w:val="005B1693"/>
    <w:rsid w:val="005B1801"/>
    <w:rsid w:val="005B205F"/>
    <w:rsid w:val="005B224B"/>
    <w:rsid w:val="005B42B6"/>
    <w:rsid w:val="005B4611"/>
    <w:rsid w:val="005B47E1"/>
    <w:rsid w:val="005B5483"/>
    <w:rsid w:val="005B5CF0"/>
    <w:rsid w:val="005B6EE0"/>
    <w:rsid w:val="005B736E"/>
    <w:rsid w:val="005B798C"/>
    <w:rsid w:val="005C029C"/>
    <w:rsid w:val="005C036F"/>
    <w:rsid w:val="005C04B5"/>
    <w:rsid w:val="005C05EE"/>
    <w:rsid w:val="005C0648"/>
    <w:rsid w:val="005C0D3A"/>
    <w:rsid w:val="005C1078"/>
    <w:rsid w:val="005C17BE"/>
    <w:rsid w:val="005C19AF"/>
    <w:rsid w:val="005C35A3"/>
    <w:rsid w:val="005C41BC"/>
    <w:rsid w:val="005C425D"/>
    <w:rsid w:val="005C43AF"/>
    <w:rsid w:val="005C4474"/>
    <w:rsid w:val="005C4D4E"/>
    <w:rsid w:val="005C4DA4"/>
    <w:rsid w:val="005C6160"/>
    <w:rsid w:val="005C673F"/>
    <w:rsid w:val="005C70F0"/>
    <w:rsid w:val="005C76D8"/>
    <w:rsid w:val="005C79BB"/>
    <w:rsid w:val="005C7F24"/>
    <w:rsid w:val="005D0206"/>
    <w:rsid w:val="005D1261"/>
    <w:rsid w:val="005D1C90"/>
    <w:rsid w:val="005D25A2"/>
    <w:rsid w:val="005D2A11"/>
    <w:rsid w:val="005D2DC9"/>
    <w:rsid w:val="005D50E8"/>
    <w:rsid w:val="005D5187"/>
    <w:rsid w:val="005D537C"/>
    <w:rsid w:val="005D5ED6"/>
    <w:rsid w:val="005D6A72"/>
    <w:rsid w:val="005D7524"/>
    <w:rsid w:val="005E0431"/>
    <w:rsid w:val="005E12AB"/>
    <w:rsid w:val="005E1624"/>
    <w:rsid w:val="005E2152"/>
    <w:rsid w:val="005E2EFA"/>
    <w:rsid w:val="005E3800"/>
    <w:rsid w:val="005E3F5A"/>
    <w:rsid w:val="005E45E8"/>
    <w:rsid w:val="005E4B9E"/>
    <w:rsid w:val="005E4FDE"/>
    <w:rsid w:val="005E5229"/>
    <w:rsid w:val="005E5407"/>
    <w:rsid w:val="005E5670"/>
    <w:rsid w:val="005E6156"/>
    <w:rsid w:val="005E7BE8"/>
    <w:rsid w:val="005F012B"/>
    <w:rsid w:val="005F05AD"/>
    <w:rsid w:val="005F0889"/>
    <w:rsid w:val="005F0A5B"/>
    <w:rsid w:val="005F13F7"/>
    <w:rsid w:val="005F4CB0"/>
    <w:rsid w:val="005F529A"/>
    <w:rsid w:val="005F58AE"/>
    <w:rsid w:val="005F6838"/>
    <w:rsid w:val="005F6945"/>
    <w:rsid w:val="005F711B"/>
    <w:rsid w:val="005F7D6B"/>
    <w:rsid w:val="00600C1F"/>
    <w:rsid w:val="00600CC3"/>
    <w:rsid w:val="00600DC1"/>
    <w:rsid w:val="00601311"/>
    <w:rsid w:val="006015C8"/>
    <w:rsid w:val="006016C1"/>
    <w:rsid w:val="00601F78"/>
    <w:rsid w:val="0060245E"/>
    <w:rsid w:val="006031C1"/>
    <w:rsid w:val="00603385"/>
    <w:rsid w:val="006039E8"/>
    <w:rsid w:val="006040A0"/>
    <w:rsid w:val="006044AE"/>
    <w:rsid w:val="00604A54"/>
    <w:rsid w:val="006050FE"/>
    <w:rsid w:val="00605233"/>
    <w:rsid w:val="00605414"/>
    <w:rsid w:val="00605CB4"/>
    <w:rsid w:val="00605EF3"/>
    <w:rsid w:val="00605F0B"/>
    <w:rsid w:val="00606309"/>
    <w:rsid w:val="006073D7"/>
    <w:rsid w:val="006100DA"/>
    <w:rsid w:val="006117F6"/>
    <w:rsid w:val="006119B1"/>
    <w:rsid w:val="0061245C"/>
    <w:rsid w:val="00613A2B"/>
    <w:rsid w:val="00613D30"/>
    <w:rsid w:val="0061413F"/>
    <w:rsid w:val="006143A6"/>
    <w:rsid w:val="0061514A"/>
    <w:rsid w:val="006157A1"/>
    <w:rsid w:val="00615D0F"/>
    <w:rsid w:val="006162AF"/>
    <w:rsid w:val="00616A43"/>
    <w:rsid w:val="00616C84"/>
    <w:rsid w:val="00616E46"/>
    <w:rsid w:val="0061700E"/>
    <w:rsid w:val="006170D9"/>
    <w:rsid w:val="00617941"/>
    <w:rsid w:val="00620156"/>
    <w:rsid w:val="00620261"/>
    <w:rsid w:val="00620850"/>
    <w:rsid w:val="00620D4C"/>
    <w:rsid w:val="006212B9"/>
    <w:rsid w:val="0062217E"/>
    <w:rsid w:val="00623681"/>
    <w:rsid w:val="006247FB"/>
    <w:rsid w:val="00624E3F"/>
    <w:rsid w:val="00625E6C"/>
    <w:rsid w:val="00627FAD"/>
    <w:rsid w:val="00630E81"/>
    <w:rsid w:val="00630F89"/>
    <w:rsid w:val="00631501"/>
    <w:rsid w:val="00631C71"/>
    <w:rsid w:val="00632538"/>
    <w:rsid w:val="00633D90"/>
    <w:rsid w:val="006343B8"/>
    <w:rsid w:val="00635438"/>
    <w:rsid w:val="006367F7"/>
    <w:rsid w:val="00636817"/>
    <w:rsid w:val="00636E2F"/>
    <w:rsid w:val="0063706E"/>
    <w:rsid w:val="0063724A"/>
    <w:rsid w:val="0063730A"/>
    <w:rsid w:val="00637B1E"/>
    <w:rsid w:val="00637FE1"/>
    <w:rsid w:val="00640072"/>
    <w:rsid w:val="00640422"/>
    <w:rsid w:val="00641B70"/>
    <w:rsid w:val="00642176"/>
    <w:rsid w:val="00642979"/>
    <w:rsid w:val="00643274"/>
    <w:rsid w:val="006435DE"/>
    <w:rsid w:val="00643CD5"/>
    <w:rsid w:val="0064444D"/>
    <w:rsid w:val="00644590"/>
    <w:rsid w:val="00646870"/>
    <w:rsid w:val="00647A2D"/>
    <w:rsid w:val="0065001B"/>
    <w:rsid w:val="00650B53"/>
    <w:rsid w:val="00650B75"/>
    <w:rsid w:val="0065118A"/>
    <w:rsid w:val="00651940"/>
    <w:rsid w:val="00652585"/>
    <w:rsid w:val="00652919"/>
    <w:rsid w:val="0065323A"/>
    <w:rsid w:val="006539CD"/>
    <w:rsid w:val="00653C89"/>
    <w:rsid w:val="00655369"/>
    <w:rsid w:val="0065627A"/>
    <w:rsid w:val="006567A2"/>
    <w:rsid w:val="00656C7F"/>
    <w:rsid w:val="006579B2"/>
    <w:rsid w:val="00660AC8"/>
    <w:rsid w:val="006611F4"/>
    <w:rsid w:val="00662179"/>
    <w:rsid w:val="00663138"/>
    <w:rsid w:val="00663B39"/>
    <w:rsid w:val="00663D7A"/>
    <w:rsid w:val="00664150"/>
    <w:rsid w:val="00664360"/>
    <w:rsid w:val="006647A4"/>
    <w:rsid w:val="00664FAC"/>
    <w:rsid w:val="00665203"/>
    <w:rsid w:val="00665D43"/>
    <w:rsid w:val="00666059"/>
    <w:rsid w:val="00666A01"/>
    <w:rsid w:val="0066756D"/>
    <w:rsid w:val="006677DD"/>
    <w:rsid w:val="00667AC2"/>
    <w:rsid w:val="006707D5"/>
    <w:rsid w:val="006710C3"/>
    <w:rsid w:val="006710C4"/>
    <w:rsid w:val="0067178C"/>
    <w:rsid w:val="00672392"/>
    <w:rsid w:val="00672D2C"/>
    <w:rsid w:val="006739D8"/>
    <w:rsid w:val="00674AA4"/>
    <w:rsid w:val="00674C99"/>
    <w:rsid w:val="00675C6D"/>
    <w:rsid w:val="0067647F"/>
    <w:rsid w:val="00676499"/>
    <w:rsid w:val="00676511"/>
    <w:rsid w:val="006775D3"/>
    <w:rsid w:val="00677F41"/>
    <w:rsid w:val="00680010"/>
    <w:rsid w:val="00680C4C"/>
    <w:rsid w:val="00681D2B"/>
    <w:rsid w:val="00681EB7"/>
    <w:rsid w:val="00682273"/>
    <w:rsid w:val="00683002"/>
    <w:rsid w:val="00683D88"/>
    <w:rsid w:val="00684942"/>
    <w:rsid w:val="00685074"/>
    <w:rsid w:val="00685114"/>
    <w:rsid w:val="00685D32"/>
    <w:rsid w:val="00685DDE"/>
    <w:rsid w:val="00686460"/>
    <w:rsid w:val="00687144"/>
    <w:rsid w:val="0068738C"/>
    <w:rsid w:val="006909D0"/>
    <w:rsid w:val="006912B1"/>
    <w:rsid w:val="00692869"/>
    <w:rsid w:val="00694E35"/>
    <w:rsid w:val="00695D1F"/>
    <w:rsid w:val="0069613C"/>
    <w:rsid w:val="00696334"/>
    <w:rsid w:val="00696886"/>
    <w:rsid w:val="006969AA"/>
    <w:rsid w:val="006A03B6"/>
    <w:rsid w:val="006A05A6"/>
    <w:rsid w:val="006A0C08"/>
    <w:rsid w:val="006A0F77"/>
    <w:rsid w:val="006A1B2A"/>
    <w:rsid w:val="006A1E9E"/>
    <w:rsid w:val="006A28F6"/>
    <w:rsid w:val="006A40D0"/>
    <w:rsid w:val="006A4512"/>
    <w:rsid w:val="006A4C5B"/>
    <w:rsid w:val="006A4FC6"/>
    <w:rsid w:val="006A5334"/>
    <w:rsid w:val="006A5F66"/>
    <w:rsid w:val="006A685A"/>
    <w:rsid w:val="006A6BD2"/>
    <w:rsid w:val="006A6D34"/>
    <w:rsid w:val="006A6F9A"/>
    <w:rsid w:val="006A70DD"/>
    <w:rsid w:val="006A7978"/>
    <w:rsid w:val="006A7D0B"/>
    <w:rsid w:val="006B0455"/>
    <w:rsid w:val="006B0C65"/>
    <w:rsid w:val="006B110C"/>
    <w:rsid w:val="006B129A"/>
    <w:rsid w:val="006B12B9"/>
    <w:rsid w:val="006B1542"/>
    <w:rsid w:val="006B2614"/>
    <w:rsid w:val="006B3891"/>
    <w:rsid w:val="006B4485"/>
    <w:rsid w:val="006B55E0"/>
    <w:rsid w:val="006B55FC"/>
    <w:rsid w:val="006B5A2D"/>
    <w:rsid w:val="006B5CDA"/>
    <w:rsid w:val="006B623D"/>
    <w:rsid w:val="006B6E73"/>
    <w:rsid w:val="006C073C"/>
    <w:rsid w:val="006C1AF0"/>
    <w:rsid w:val="006C231D"/>
    <w:rsid w:val="006C2944"/>
    <w:rsid w:val="006C4099"/>
    <w:rsid w:val="006C57C1"/>
    <w:rsid w:val="006C5853"/>
    <w:rsid w:val="006C5AD6"/>
    <w:rsid w:val="006C5D44"/>
    <w:rsid w:val="006C5E62"/>
    <w:rsid w:val="006C6DEC"/>
    <w:rsid w:val="006C721B"/>
    <w:rsid w:val="006C7ADC"/>
    <w:rsid w:val="006C7B0D"/>
    <w:rsid w:val="006D003A"/>
    <w:rsid w:val="006D0F7D"/>
    <w:rsid w:val="006D1223"/>
    <w:rsid w:val="006D201B"/>
    <w:rsid w:val="006D2608"/>
    <w:rsid w:val="006D30E6"/>
    <w:rsid w:val="006D406A"/>
    <w:rsid w:val="006D4A03"/>
    <w:rsid w:val="006D4F90"/>
    <w:rsid w:val="006D513D"/>
    <w:rsid w:val="006D51FC"/>
    <w:rsid w:val="006D549D"/>
    <w:rsid w:val="006D58C5"/>
    <w:rsid w:val="006D5A60"/>
    <w:rsid w:val="006D6D16"/>
    <w:rsid w:val="006D77D7"/>
    <w:rsid w:val="006D7889"/>
    <w:rsid w:val="006D7993"/>
    <w:rsid w:val="006D7DA3"/>
    <w:rsid w:val="006E100A"/>
    <w:rsid w:val="006E1495"/>
    <w:rsid w:val="006E182A"/>
    <w:rsid w:val="006E18D1"/>
    <w:rsid w:val="006E1C65"/>
    <w:rsid w:val="006E274A"/>
    <w:rsid w:val="006E2917"/>
    <w:rsid w:val="006E33DB"/>
    <w:rsid w:val="006E365F"/>
    <w:rsid w:val="006E3A04"/>
    <w:rsid w:val="006E3C3C"/>
    <w:rsid w:val="006E3D39"/>
    <w:rsid w:val="006E4D4D"/>
    <w:rsid w:val="006E4F99"/>
    <w:rsid w:val="006E510A"/>
    <w:rsid w:val="006E52BD"/>
    <w:rsid w:val="006E536A"/>
    <w:rsid w:val="006E5499"/>
    <w:rsid w:val="006E55E5"/>
    <w:rsid w:val="006E647B"/>
    <w:rsid w:val="006E7E6B"/>
    <w:rsid w:val="006E7F4A"/>
    <w:rsid w:val="006F0CCB"/>
    <w:rsid w:val="006F1141"/>
    <w:rsid w:val="006F2238"/>
    <w:rsid w:val="006F2306"/>
    <w:rsid w:val="006F2581"/>
    <w:rsid w:val="006F26DD"/>
    <w:rsid w:val="006F32C3"/>
    <w:rsid w:val="006F3AF5"/>
    <w:rsid w:val="006F3E27"/>
    <w:rsid w:val="006F4B6D"/>
    <w:rsid w:val="006F6BBB"/>
    <w:rsid w:val="006F76E8"/>
    <w:rsid w:val="007002E5"/>
    <w:rsid w:val="0070076C"/>
    <w:rsid w:val="007008AE"/>
    <w:rsid w:val="00701D3A"/>
    <w:rsid w:val="00702B9A"/>
    <w:rsid w:val="007030CD"/>
    <w:rsid w:val="00703183"/>
    <w:rsid w:val="00703766"/>
    <w:rsid w:val="00703981"/>
    <w:rsid w:val="0070448F"/>
    <w:rsid w:val="007069D9"/>
    <w:rsid w:val="00706E78"/>
    <w:rsid w:val="007073A3"/>
    <w:rsid w:val="00707D08"/>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7704"/>
    <w:rsid w:val="00721BA2"/>
    <w:rsid w:val="00721C3D"/>
    <w:rsid w:val="00721F8F"/>
    <w:rsid w:val="007222FB"/>
    <w:rsid w:val="007225D7"/>
    <w:rsid w:val="007236AA"/>
    <w:rsid w:val="00724313"/>
    <w:rsid w:val="00725508"/>
    <w:rsid w:val="0072679D"/>
    <w:rsid w:val="0072710D"/>
    <w:rsid w:val="00727315"/>
    <w:rsid w:val="0072775B"/>
    <w:rsid w:val="00727FC8"/>
    <w:rsid w:val="007300FB"/>
    <w:rsid w:val="0073026D"/>
    <w:rsid w:val="0073091E"/>
    <w:rsid w:val="00730C3B"/>
    <w:rsid w:val="00731D01"/>
    <w:rsid w:val="00732080"/>
    <w:rsid w:val="007322B8"/>
    <w:rsid w:val="00732DBA"/>
    <w:rsid w:val="00733F7D"/>
    <w:rsid w:val="00734294"/>
    <w:rsid w:val="00734991"/>
    <w:rsid w:val="00734E12"/>
    <w:rsid w:val="007350EE"/>
    <w:rsid w:val="00735A89"/>
    <w:rsid w:val="0073630E"/>
    <w:rsid w:val="0073635F"/>
    <w:rsid w:val="00736666"/>
    <w:rsid w:val="007370EA"/>
    <w:rsid w:val="00737142"/>
    <w:rsid w:val="00737238"/>
    <w:rsid w:val="0073754A"/>
    <w:rsid w:val="007376E7"/>
    <w:rsid w:val="007376F9"/>
    <w:rsid w:val="00737C70"/>
    <w:rsid w:val="00737E12"/>
    <w:rsid w:val="0074021F"/>
    <w:rsid w:val="0074023C"/>
    <w:rsid w:val="007403BB"/>
    <w:rsid w:val="007404D2"/>
    <w:rsid w:val="0074057E"/>
    <w:rsid w:val="00740997"/>
    <w:rsid w:val="00740A78"/>
    <w:rsid w:val="00740A99"/>
    <w:rsid w:val="00740D99"/>
    <w:rsid w:val="00740EF5"/>
    <w:rsid w:val="00741422"/>
    <w:rsid w:val="007419A7"/>
    <w:rsid w:val="00741E7C"/>
    <w:rsid w:val="00742377"/>
    <w:rsid w:val="00742660"/>
    <w:rsid w:val="00743933"/>
    <w:rsid w:val="0074491E"/>
    <w:rsid w:val="0074598B"/>
    <w:rsid w:val="00745AFB"/>
    <w:rsid w:val="00745C19"/>
    <w:rsid w:val="007461DD"/>
    <w:rsid w:val="00747007"/>
    <w:rsid w:val="00747DEA"/>
    <w:rsid w:val="00747EB1"/>
    <w:rsid w:val="00750C15"/>
    <w:rsid w:val="00751A4A"/>
    <w:rsid w:val="00751B2D"/>
    <w:rsid w:val="00751BD3"/>
    <w:rsid w:val="00753404"/>
    <w:rsid w:val="00754810"/>
    <w:rsid w:val="00754BAF"/>
    <w:rsid w:val="00754F37"/>
    <w:rsid w:val="007551DB"/>
    <w:rsid w:val="00755439"/>
    <w:rsid w:val="0075689E"/>
    <w:rsid w:val="00756969"/>
    <w:rsid w:val="007570B2"/>
    <w:rsid w:val="007600B8"/>
    <w:rsid w:val="00760678"/>
    <w:rsid w:val="007606FE"/>
    <w:rsid w:val="00760703"/>
    <w:rsid w:val="00760DEE"/>
    <w:rsid w:val="00761F8E"/>
    <w:rsid w:val="0076257D"/>
    <w:rsid w:val="0076336C"/>
    <w:rsid w:val="0076423A"/>
    <w:rsid w:val="00764620"/>
    <w:rsid w:val="007646D4"/>
    <w:rsid w:val="00764AFB"/>
    <w:rsid w:val="00764DFF"/>
    <w:rsid w:val="007652EE"/>
    <w:rsid w:val="00765675"/>
    <w:rsid w:val="007658EF"/>
    <w:rsid w:val="00767237"/>
    <w:rsid w:val="00770D4B"/>
    <w:rsid w:val="00771258"/>
    <w:rsid w:val="00772719"/>
    <w:rsid w:val="007727BA"/>
    <w:rsid w:val="00774326"/>
    <w:rsid w:val="007751DF"/>
    <w:rsid w:val="007760FA"/>
    <w:rsid w:val="007800AC"/>
    <w:rsid w:val="007801CC"/>
    <w:rsid w:val="0078044E"/>
    <w:rsid w:val="00781E9A"/>
    <w:rsid w:val="0078231E"/>
    <w:rsid w:val="00782840"/>
    <w:rsid w:val="00782C60"/>
    <w:rsid w:val="00782CBF"/>
    <w:rsid w:val="00782E22"/>
    <w:rsid w:val="00782F98"/>
    <w:rsid w:val="00783B87"/>
    <w:rsid w:val="00784032"/>
    <w:rsid w:val="00784A58"/>
    <w:rsid w:val="00785034"/>
    <w:rsid w:val="0078670F"/>
    <w:rsid w:val="00787F4B"/>
    <w:rsid w:val="00790012"/>
    <w:rsid w:val="007906B9"/>
    <w:rsid w:val="0079123D"/>
    <w:rsid w:val="00791B66"/>
    <w:rsid w:val="00791F8F"/>
    <w:rsid w:val="00792064"/>
    <w:rsid w:val="007921FC"/>
    <w:rsid w:val="0079326C"/>
    <w:rsid w:val="007936B9"/>
    <w:rsid w:val="0079399B"/>
    <w:rsid w:val="00796DE2"/>
    <w:rsid w:val="0079701C"/>
    <w:rsid w:val="007A03A8"/>
    <w:rsid w:val="007A1E70"/>
    <w:rsid w:val="007A22D4"/>
    <w:rsid w:val="007A2EAF"/>
    <w:rsid w:val="007A3442"/>
    <w:rsid w:val="007A3E51"/>
    <w:rsid w:val="007A436C"/>
    <w:rsid w:val="007A5230"/>
    <w:rsid w:val="007A594B"/>
    <w:rsid w:val="007A62E0"/>
    <w:rsid w:val="007A68EE"/>
    <w:rsid w:val="007A6D63"/>
    <w:rsid w:val="007B095C"/>
    <w:rsid w:val="007B124B"/>
    <w:rsid w:val="007B1423"/>
    <w:rsid w:val="007B1995"/>
    <w:rsid w:val="007B25CB"/>
    <w:rsid w:val="007B27A1"/>
    <w:rsid w:val="007B349B"/>
    <w:rsid w:val="007B3E50"/>
    <w:rsid w:val="007B5424"/>
    <w:rsid w:val="007B596F"/>
    <w:rsid w:val="007B5DAC"/>
    <w:rsid w:val="007B68A9"/>
    <w:rsid w:val="007B6FE4"/>
    <w:rsid w:val="007B794C"/>
    <w:rsid w:val="007C07B0"/>
    <w:rsid w:val="007C2CEE"/>
    <w:rsid w:val="007C33D5"/>
    <w:rsid w:val="007C3B39"/>
    <w:rsid w:val="007C3D38"/>
    <w:rsid w:val="007C4280"/>
    <w:rsid w:val="007C42B6"/>
    <w:rsid w:val="007C473D"/>
    <w:rsid w:val="007C582F"/>
    <w:rsid w:val="007C62C7"/>
    <w:rsid w:val="007C6CF7"/>
    <w:rsid w:val="007C6DD2"/>
    <w:rsid w:val="007C72F8"/>
    <w:rsid w:val="007C73DD"/>
    <w:rsid w:val="007C742B"/>
    <w:rsid w:val="007C777F"/>
    <w:rsid w:val="007D02D8"/>
    <w:rsid w:val="007D039D"/>
    <w:rsid w:val="007D0707"/>
    <w:rsid w:val="007D0D69"/>
    <w:rsid w:val="007D0DBC"/>
    <w:rsid w:val="007D0E5E"/>
    <w:rsid w:val="007D232F"/>
    <w:rsid w:val="007D2B98"/>
    <w:rsid w:val="007D2C68"/>
    <w:rsid w:val="007D4CDA"/>
    <w:rsid w:val="007D500C"/>
    <w:rsid w:val="007D50DE"/>
    <w:rsid w:val="007D54B5"/>
    <w:rsid w:val="007D5B2C"/>
    <w:rsid w:val="007D6571"/>
    <w:rsid w:val="007D6D55"/>
    <w:rsid w:val="007D77DB"/>
    <w:rsid w:val="007D788B"/>
    <w:rsid w:val="007E0159"/>
    <w:rsid w:val="007E11D2"/>
    <w:rsid w:val="007E1441"/>
    <w:rsid w:val="007E15CD"/>
    <w:rsid w:val="007E1FAB"/>
    <w:rsid w:val="007E2E9F"/>
    <w:rsid w:val="007E33AA"/>
    <w:rsid w:val="007E4D4C"/>
    <w:rsid w:val="007E52E1"/>
    <w:rsid w:val="007E5D7D"/>
    <w:rsid w:val="007E5F0B"/>
    <w:rsid w:val="007E6180"/>
    <w:rsid w:val="007E7185"/>
    <w:rsid w:val="007E735F"/>
    <w:rsid w:val="007E7D06"/>
    <w:rsid w:val="007E7F59"/>
    <w:rsid w:val="007F06FF"/>
    <w:rsid w:val="007F1495"/>
    <w:rsid w:val="007F1694"/>
    <w:rsid w:val="007F2B01"/>
    <w:rsid w:val="007F2C6F"/>
    <w:rsid w:val="007F2C8D"/>
    <w:rsid w:val="007F2CDE"/>
    <w:rsid w:val="007F3348"/>
    <w:rsid w:val="007F467C"/>
    <w:rsid w:val="007F4727"/>
    <w:rsid w:val="007F5104"/>
    <w:rsid w:val="007F586A"/>
    <w:rsid w:val="007F587B"/>
    <w:rsid w:val="007F5927"/>
    <w:rsid w:val="007F6872"/>
    <w:rsid w:val="007F7B8C"/>
    <w:rsid w:val="007F7E05"/>
    <w:rsid w:val="00800E1F"/>
    <w:rsid w:val="008013F4"/>
    <w:rsid w:val="00801A5B"/>
    <w:rsid w:val="00801CC6"/>
    <w:rsid w:val="00802CA7"/>
    <w:rsid w:val="00803E71"/>
    <w:rsid w:val="0080448D"/>
    <w:rsid w:val="00804B7F"/>
    <w:rsid w:val="00804E37"/>
    <w:rsid w:val="00806235"/>
    <w:rsid w:val="00806713"/>
    <w:rsid w:val="00806D82"/>
    <w:rsid w:val="00806F44"/>
    <w:rsid w:val="0080708F"/>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138"/>
    <w:rsid w:val="00816D13"/>
    <w:rsid w:val="00820663"/>
    <w:rsid w:val="008207E8"/>
    <w:rsid w:val="00822429"/>
    <w:rsid w:val="0082268B"/>
    <w:rsid w:val="00823217"/>
    <w:rsid w:val="00824608"/>
    <w:rsid w:val="00824992"/>
    <w:rsid w:val="008255BB"/>
    <w:rsid w:val="008255D6"/>
    <w:rsid w:val="008273C8"/>
    <w:rsid w:val="00831C8D"/>
    <w:rsid w:val="00831E28"/>
    <w:rsid w:val="00831F51"/>
    <w:rsid w:val="00831FF2"/>
    <w:rsid w:val="00832418"/>
    <w:rsid w:val="008325B9"/>
    <w:rsid w:val="008332E9"/>
    <w:rsid w:val="008335DB"/>
    <w:rsid w:val="0083379C"/>
    <w:rsid w:val="00833B7E"/>
    <w:rsid w:val="00833C38"/>
    <w:rsid w:val="00833D09"/>
    <w:rsid w:val="00833FA4"/>
    <w:rsid w:val="00834699"/>
    <w:rsid w:val="00835569"/>
    <w:rsid w:val="00835D84"/>
    <w:rsid w:val="00835EF5"/>
    <w:rsid w:val="00836227"/>
    <w:rsid w:val="0083638A"/>
    <w:rsid w:val="008370FD"/>
    <w:rsid w:val="008379AC"/>
    <w:rsid w:val="00837F43"/>
    <w:rsid w:val="008407D7"/>
    <w:rsid w:val="00840B22"/>
    <w:rsid w:val="00841578"/>
    <w:rsid w:val="00841AC7"/>
    <w:rsid w:val="00841ED1"/>
    <w:rsid w:val="00842907"/>
    <w:rsid w:val="00842931"/>
    <w:rsid w:val="008434EA"/>
    <w:rsid w:val="008442F2"/>
    <w:rsid w:val="00844F62"/>
    <w:rsid w:val="0084555B"/>
    <w:rsid w:val="008457C6"/>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3FC8"/>
    <w:rsid w:val="008642CD"/>
    <w:rsid w:val="008646ED"/>
    <w:rsid w:val="00864E3A"/>
    <w:rsid w:val="00865600"/>
    <w:rsid w:val="00866867"/>
    <w:rsid w:val="00866A20"/>
    <w:rsid w:val="00866ADF"/>
    <w:rsid w:val="00867388"/>
    <w:rsid w:val="008674BE"/>
    <w:rsid w:val="008676A1"/>
    <w:rsid w:val="0087034F"/>
    <w:rsid w:val="008704AB"/>
    <w:rsid w:val="00870B42"/>
    <w:rsid w:val="00871269"/>
    <w:rsid w:val="00871E23"/>
    <w:rsid w:val="0087314D"/>
    <w:rsid w:val="008740F6"/>
    <w:rsid w:val="00874228"/>
    <w:rsid w:val="00874DEB"/>
    <w:rsid w:val="00875372"/>
    <w:rsid w:val="008753CD"/>
    <w:rsid w:val="0087667E"/>
    <w:rsid w:val="008766BD"/>
    <w:rsid w:val="00876D99"/>
    <w:rsid w:val="008778C9"/>
    <w:rsid w:val="008810B4"/>
    <w:rsid w:val="00881DEB"/>
    <w:rsid w:val="00882218"/>
    <w:rsid w:val="008826E1"/>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D55"/>
    <w:rsid w:val="00887E88"/>
    <w:rsid w:val="008900D6"/>
    <w:rsid w:val="00890A58"/>
    <w:rsid w:val="00890BD6"/>
    <w:rsid w:val="00891337"/>
    <w:rsid w:val="00891B31"/>
    <w:rsid w:val="00891C10"/>
    <w:rsid w:val="00892147"/>
    <w:rsid w:val="00893E4F"/>
    <w:rsid w:val="00894178"/>
    <w:rsid w:val="0089442E"/>
    <w:rsid w:val="008949F6"/>
    <w:rsid w:val="00894E5E"/>
    <w:rsid w:val="0089543A"/>
    <w:rsid w:val="008A132F"/>
    <w:rsid w:val="008A1C38"/>
    <w:rsid w:val="008A3A24"/>
    <w:rsid w:val="008A3F12"/>
    <w:rsid w:val="008A4974"/>
    <w:rsid w:val="008A4E0D"/>
    <w:rsid w:val="008A52DD"/>
    <w:rsid w:val="008A53D2"/>
    <w:rsid w:val="008A6F12"/>
    <w:rsid w:val="008A7143"/>
    <w:rsid w:val="008A724D"/>
    <w:rsid w:val="008A7B93"/>
    <w:rsid w:val="008B0279"/>
    <w:rsid w:val="008B0DED"/>
    <w:rsid w:val="008B1FD9"/>
    <w:rsid w:val="008B39F4"/>
    <w:rsid w:val="008B5C3D"/>
    <w:rsid w:val="008B5E9F"/>
    <w:rsid w:val="008B5FA5"/>
    <w:rsid w:val="008B61B2"/>
    <w:rsid w:val="008B6464"/>
    <w:rsid w:val="008B6E54"/>
    <w:rsid w:val="008B7BC1"/>
    <w:rsid w:val="008C054F"/>
    <w:rsid w:val="008C05FF"/>
    <w:rsid w:val="008C13D2"/>
    <w:rsid w:val="008C2086"/>
    <w:rsid w:val="008C2096"/>
    <w:rsid w:val="008C2DBC"/>
    <w:rsid w:val="008C4024"/>
    <w:rsid w:val="008C48EB"/>
    <w:rsid w:val="008C50C2"/>
    <w:rsid w:val="008C5443"/>
    <w:rsid w:val="008C54ED"/>
    <w:rsid w:val="008C5ECC"/>
    <w:rsid w:val="008C788B"/>
    <w:rsid w:val="008C7C9D"/>
    <w:rsid w:val="008D0F88"/>
    <w:rsid w:val="008D110A"/>
    <w:rsid w:val="008D1580"/>
    <w:rsid w:val="008D26C5"/>
    <w:rsid w:val="008D3301"/>
    <w:rsid w:val="008D4F2F"/>
    <w:rsid w:val="008D5050"/>
    <w:rsid w:val="008D5685"/>
    <w:rsid w:val="008D588B"/>
    <w:rsid w:val="008D65D3"/>
    <w:rsid w:val="008D6CFC"/>
    <w:rsid w:val="008D7F14"/>
    <w:rsid w:val="008E0BA5"/>
    <w:rsid w:val="008E116C"/>
    <w:rsid w:val="008E25A1"/>
    <w:rsid w:val="008E26ED"/>
    <w:rsid w:val="008E2BDF"/>
    <w:rsid w:val="008E302A"/>
    <w:rsid w:val="008E318F"/>
    <w:rsid w:val="008E42EF"/>
    <w:rsid w:val="008E43D4"/>
    <w:rsid w:val="008E49A9"/>
    <w:rsid w:val="008E4F00"/>
    <w:rsid w:val="008E50FB"/>
    <w:rsid w:val="008E570E"/>
    <w:rsid w:val="008E5F31"/>
    <w:rsid w:val="008E673A"/>
    <w:rsid w:val="008F0467"/>
    <w:rsid w:val="008F1A21"/>
    <w:rsid w:val="008F1AC4"/>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2319"/>
    <w:rsid w:val="00902387"/>
    <w:rsid w:val="00902BF6"/>
    <w:rsid w:val="00902EBC"/>
    <w:rsid w:val="0090404F"/>
    <w:rsid w:val="00904F5D"/>
    <w:rsid w:val="00905246"/>
    <w:rsid w:val="00905DB2"/>
    <w:rsid w:val="00905FBB"/>
    <w:rsid w:val="009065FA"/>
    <w:rsid w:val="00906EED"/>
    <w:rsid w:val="0090724C"/>
    <w:rsid w:val="009073B2"/>
    <w:rsid w:val="00907C54"/>
    <w:rsid w:val="00907CDC"/>
    <w:rsid w:val="00907E06"/>
    <w:rsid w:val="00907EBC"/>
    <w:rsid w:val="009104F0"/>
    <w:rsid w:val="00910E9A"/>
    <w:rsid w:val="00911553"/>
    <w:rsid w:val="0091243D"/>
    <w:rsid w:val="00912612"/>
    <w:rsid w:val="00914B18"/>
    <w:rsid w:val="00915261"/>
    <w:rsid w:val="00915273"/>
    <w:rsid w:val="009161A7"/>
    <w:rsid w:val="00916626"/>
    <w:rsid w:val="00916A29"/>
    <w:rsid w:val="00916D46"/>
    <w:rsid w:val="00916F4E"/>
    <w:rsid w:val="00917282"/>
    <w:rsid w:val="00917BAD"/>
    <w:rsid w:val="009206DC"/>
    <w:rsid w:val="009209D7"/>
    <w:rsid w:val="00920AFD"/>
    <w:rsid w:val="00921676"/>
    <w:rsid w:val="009216CE"/>
    <w:rsid w:val="009217DA"/>
    <w:rsid w:val="00921A22"/>
    <w:rsid w:val="00921E34"/>
    <w:rsid w:val="009225E6"/>
    <w:rsid w:val="00923642"/>
    <w:rsid w:val="00923A2B"/>
    <w:rsid w:val="0092417F"/>
    <w:rsid w:val="009264DE"/>
    <w:rsid w:val="00926D6C"/>
    <w:rsid w:val="00926E7F"/>
    <w:rsid w:val="00926ED0"/>
    <w:rsid w:val="00926FC5"/>
    <w:rsid w:val="00930575"/>
    <w:rsid w:val="0093078A"/>
    <w:rsid w:val="00930AA1"/>
    <w:rsid w:val="0093201D"/>
    <w:rsid w:val="00932B53"/>
    <w:rsid w:val="00932D56"/>
    <w:rsid w:val="009333A5"/>
    <w:rsid w:val="00933929"/>
    <w:rsid w:val="009360AA"/>
    <w:rsid w:val="009369D4"/>
    <w:rsid w:val="0093703A"/>
    <w:rsid w:val="0093786E"/>
    <w:rsid w:val="009413B5"/>
    <w:rsid w:val="009414DB"/>
    <w:rsid w:val="00942D99"/>
    <w:rsid w:val="009432D8"/>
    <w:rsid w:val="009438E3"/>
    <w:rsid w:val="00943B6F"/>
    <w:rsid w:val="00943D7B"/>
    <w:rsid w:val="00943E00"/>
    <w:rsid w:val="00943EAA"/>
    <w:rsid w:val="00944049"/>
    <w:rsid w:val="00944B9B"/>
    <w:rsid w:val="00944FB4"/>
    <w:rsid w:val="0094535A"/>
    <w:rsid w:val="009456F4"/>
    <w:rsid w:val="00945741"/>
    <w:rsid w:val="0094596C"/>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4C2"/>
    <w:rsid w:val="00953914"/>
    <w:rsid w:val="009539FF"/>
    <w:rsid w:val="00954097"/>
    <w:rsid w:val="009542B4"/>
    <w:rsid w:val="00954E8C"/>
    <w:rsid w:val="00955229"/>
    <w:rsid w:val="00955F74"/>
    <w:rsid w:val="009562FA"/>
    <w:rsid w:val="00956C1E"/>
    <w:rsid w:val="00956D69"/>
    <w:rsid w:val="00957196"/>
    <w:rsid w:val="0095719B"/>
    <w:rsid w:val="00957225"/>
    <w:rsid w:val="00957385"/>
    <w:rsid w:val="00960266"/>
    <w:rsid w:val="009605A5"/>
    <w:rsid w:val="00961832"/>
    <w:rsid w:val="00963B2B"/>
    <w:rsid w:val="00964046"/>
    <w:rsid w:val="0096420E"/>
    <w:rsid w:val="0096510C"/>
    <w:rsid w:val="00965341"/>
    <w:rsid w:val="00965469"/>
    <w:rsid w:val="00966637"/>
    <w:rsid w:val="00966F04"/>
    <w:rsid w:val="0096715D"/>
    <w:rsid w:val="009677F3"/>
    <w:rsid w:val="00970C40"/>
    <w:rsid w:val="00970EDB"/>
    <w:rsid w:val="00972D30"/>
    <w:rsid w:val="0097328D"/>
    <w:rsid w:val="00973C3A"/>
    <w:rsid w:val="00973E68"/>
    <w:rsid w:val="0097448B"/>
    <w:rsid w:val="00974A0F"/>
    <w:rsid w:val="00974E40"/>
    <w:rsid w:val="0097501D"/>
    <w:rsid w:val="009757BF"/>
    <w:rsid w:val="00975B6A"/>
    <w:rsid w:val="0097669C"/>
    <w:rsid w:val="00976F17"/>
    <w:rsid w:val="009770BC"/>
    <w:rsid w:val="009773AA"/>
    <w:rsid w:val="0098095F"/>
    <w:rsid w:val="009814FF"/>
    <w:rsid w:val="00981834"/>
    <w:rsid w:val="00981B73"/>
    <w:rsid w:val="00981C70"/>
    <w:rsid w:val="00982580"/>
    <w:rsid w:val="00982DE0"/>
    <w:rsid w:val="00982E3D"/>
    <w:rsid w:val="00985858"/>
    <w:rsid w:val="00986A80"/>
    <w:rsid w:val="0099084B"/>
    <w:rsid w:val="009909C3"/>
    <w:rsid w:val="00990F21"/>
    <w:rsid w:val="00992C8B"/>
    <w:rsid w:val="009930EF"/>
    <w:rsid w:val="00994092"/>
    <w:rsid w:val="009940F9"/>
    <w:rsid w:val="009945B9"/>
    <w:rsid w:val="0099469B"/>
    <w:rsid w:val="00994C88"/>
    <w:rsid w:val="00994F49"/>
    <w:rsid w:val="009952AB"/>
    <w:rsid w:val="009954CF"/>
    <w:rsid w:val="00995513"/>
    <w:rsid w:val="00995BA5"/>
    <w:rsid w:val="00995EB0"/>
    <w:rsid w:val="0099609C"/>
    <w:rsid w:val="009974AE"/>
    <w:rsid w:val="009A0160"/>
    <w:rsid w:val="009A1131"/>
    <w:rsid w:val="009A1A16"/>
    <w:rsid w:val="009A1B99"/>
    <w:rsid w:val="009A2816"/>
    <w:rsid w:val="009A468D"/>
    <w:rsid w:val="009A4D67"/>
    <w:rsid w:val="009A4EA0"/>
    <w:rsid w:val="009A69C5"/>
    <w:rsid w:val="009A6C1D"/>
    <w:rsid w:val="009A7377"/>
    <w:rsid w:val="009B0A8D"/>
    <w:rsid w:val="009B0FEA"/>
    <w:rsid w:val="009B22BE"/>
    <w:rsid w:val="009B2703"/>
    <w:rsid w:val="009B3F84"/>
    <w:rsid w:val="009B41C1"/>
    <w:rsid w:val="009B65AA"/>
    <w:rsid w:val="009B6A50"/>
    <w:rsid w:val="009B7B4B"/>
    <w:rsid w:val="009C0DE5"/>
    <w:rsid w:val="009C1050"/>
    <w:rsid w:val="009C12E7"/>
    <w:rsid w:val="009C134B"/>
    <w:rsid w:val="009C1907"/>
    <w:rsid w:val="009C41C0"/>
    <w:rsid w:val="009C4C36"/>
    <w:rsid w:val="009C55A6"/>
    <w:rsid w:val="009C5CEA"/>
    <w:rsid w:val="009C656B"/>
    <w:rsid w:val="009C684B"/>
    <w:rsid w:val="009C6C0E"/>
    <w:rsid w:val="009C6F9A"/>
    <w:rsid w:val="009C758B"/>
    <w:rsid w:val="009D0B24"/>
    <w:rsid w:val="009D17DB"/>
    <w:rsid w:val="009D18C5"/>
    <w:rsid w:val="009D2E5D"/>
    <w:rsid w:val="009D38F3"/>
    <w:rsid w:val="009D3AAB"/>
    <w:rsid w:val="009D4447"/>
    <w:rsid w:val="009D487D"/>
    <w:rsid w:val="009D48BF"/>
    <w:rsid w:val="009D5555"/>
    <w:rsid w:val="009D5B19"/>
    <w:rsid w:val="009D5D26"/>
    <w:rsid w:val="009D6A71"/>
    <w:rsid w:val="009D6F77"/>
    <w:rsid w:val="009D6FB8"/>
    <w:rsid w:val="009D7067"/>
    <w:rsid w:val="009E0039"/>
    <w:rsid w:val="009E161E"/>
    <w:rsid w:val="009E22D2"/>
    <w:rsid w:val="009E298E"/>
    <w:rsid w:val="009E4088"/>
    <w:rsid w:val="009E4CBE"/>
    <w:rsid w:val="009E5000"/>
    <w:rsid w:val="009E525F"/>
    <w:rsid w:val="009E6541"/>
    <w:rsid w:val="009E6BAA"/>
    <w:rsid w:val="009E6E42"/>
    <w:rsid w:val="009E7999"/>
    <w:rsid w:val="009E7E43"/>
    <w:rsid w:val="009E7F98"/>
    <w:rsid w:val="009F0937"/>
    <w:rsid w:val="009F0D42"/>
    <w:rsid w:val="009F1475"/>
    <w:rsid w:val="009F155C"/>
    <w:rsid w:val="009F1615"/>
    <w:rsid w:val="009F1E88"/>
    <w:rsid w:val="009F1EF2"/>
    <w:rsid w:val="009F373C"/>
    <w:rsid w:val="009F449B"/>
    <w:rsid w:val="009F4A9D"/>
    <w:rsid w:val="009F6FC6"/>
    <w:rsid w:val="00A003A8"/>
    <w:rsid w:val="00A01515"/>
    <w:rsid w:val="00A0435D"/>
    <w:rsid w:val="00A04766"/>
    <w:rsid w:val="00A04851"/>
    <w:rsid w:val="00A04F66"/>
    <w:rsid w:val="00A05C9B"/>
    <w:rsid w:val="00A067E0"/>
    <w:rsid w:val="00A11A2B"/>
    <w:rsid w:val="00A11CDE"/>
    <w:rsid w:val="00A1226C"/>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1362"/>
    <w:rsid w:val="00A22316"/>
    <w:rsid w:val="00A227FA"/>
    <w:rsid w:val="00A2312A"/>
    <w:rsid w:val="00A249C9"/>
    <w:rsid w:val="00A24DBD"/>
    <w:rsid w:val="00A2574B"/>
    <w:rsid w:val="00A25C5B"/>
    <w:rsid w:val="00A2624A"/>
    <w:rsid w:val="00A26702"/>
    <w:rsid w:val="00A268B7"/>
    <w:rsid w:val="00A271D8"/>
    <w:rsid w:val="00A274AD"/>
    <w:rsid w:val="00A300B2"/>
    <w:rsid w:val="00A3037D"/>
    <w:rsid w:val="00A30F16"/>
    <w:rsid w:val="00A31C2D"/>
    <w:rsid w:val="00A32E99"/>
    <w:rsid w:val="00A33956"/>
    <w:rsid w:val="00A33CE9"/>
    <w:rsid w:val="00A33ECE"/>
    <w:rsid w:val="00A34178"/>
    <w:rsid w:val="00A3514D"/>
    <w:rsid w:val="00A3573E"/>
    <w:rsid w:val="00A358C0"/>
    <w:rsid w:val="00A361FE"/>
    <w:rsid w:val="00A36758"/>
    <w:rsid w:val="00A36D3F"/>
    <w:rsid w:val="00A444AA"/>
    <w:rsid w:val="00A47DD1"/>
    <w:rsid w:val="00A5010F"/>
    <w:rsid w:val="00A5041A"/>
    <w:rsid w:val="00A5115F"/>
    <w:rsid w:val="00A521F0"/>
    <w:rsid w:val="00A52E59"/>
    <w:rsid w:val="00A545F8"/>
    <w:rsid w:val="00A55326"/>
    <w:rsid w:val="00A55B3B"/>
    <w:rsid w:val="00A5709F"/>
    <w:rsid w:val="00A60650"/>
    <w:rsid w:val="00A60849"/>
    <w:rsid w:val="00A60C7B"/>
    <w:rsid w:val="00A60E6A"/>
    <w:rsid w:val="00A6118B"/>
    <w:rsid w:val="00A626C0"/>
    <w:rsid w:val="00A62B5B"/>
    <w:rsid w:val="00A63FD2"/>
    <w:rsid w:val="00A64FE9"/>
    <w:rsid w:val="00A65264"/>
    <w:rsid w:val="00A657B5"/>
    <w:rsid w:val="00A659C8"/>
    <w:rsid w:val="00A65A41"/>
    <w:rsid w:val="00A66015"/>
    <w:rsid w:val="00A6652A"/>
    <w:rsid w:val="00A66631"/>
    <w:rsid w:val="00A66837"/>
    <w:rsid w:val="00A66B2C"/>
    <w:rsid w:val="00A66D23"/>
    <w:rsid w:val="00A6702C"/>
    <w:rsid w:val="00A676A0"/>
    <w:rsid w:val="00A67C49"/>
    <w:rsid w:val="00A67CA3"/>
    <w:rsid w:val="00A7096D"/>
    <w:rsid w:val="00A721A7"/>
    <w:rsid w:val="00A72A2E"/>
    <w:rsid w:val="00A73120"/>
    <w:rsid w:val="00A73648"/>
    <w:rsid w:val="00A75C04"/>
    <w:rsid w:val="00A75D52"/>
    <w:rsid w:val="00A7630D"/>
    <w:rsid w:val="00A76687"/>
    <w:rsid w:val="00A7711C"/>
    <w:rsid w:val="00A772BE"/>
    <w:rsid w:val="00A779A3"/>
    <w:rsid w:val="00A80608"/>
    <w:rsid w:val="00A81E3A"/>
    <w:rsid w:val="00A81F4E"/>
    <w:rsid w:val="00A82ABA"/>
    <w:rsid w:val="00A82C87"/>
    <w:rsid w:val="00A83846"/>
    <w:rsid w:val="00A84CD7"/>
    <w:rsid w:val="00A84D71"/>
    <w:rsid w:val="00A84F42"/>
    <w:rsid w:val="00A858D5"/>
    <w:rsid w:val="00A86B01"/>
    <w:rsid w:val="00A8709D"/>
    <w:rsid w:val="00A8754D"/>
    <w:rsid w:val="00A877F1"/>
    <w:rsid w:val="00A903BA"/>
    <w:rsid w:val="00A91AD3"/>
    <w:rsid w:val="00A91F7C"/>
    <w:rsid w:val="00A92C8E"/>
    <w:rsid w:val="00A93A94"/>
    <w:rsid w:val="00A94C47"/>
    <w:rsid w:val="00A9568C"/>
    <w:rsid w:val="00A95C8B"/>
    <w:rsid w:val="00AA1513"/>
    <w:rsid w:val="00AA23A3"/>
    <w:rsid w:val="00AA2521"/>
    <w:rsid w:val="00AA2F8F"/>
    <w:rsid w:val="00AA3429"/>
    <w:rsid w:val="00AA34D0"/>
    <w:rsid w:val="00AA3607"/>
    <w:rsid w:val="00AA3BD3"/>
    <w:rsid w:val="00AA4BD1"/>
    <w:rsid w:val="00AA4D6D"/>
    <w:rsid w:val="00AA5D7B"/>
    <w:rsid w:val="00AA5F33"/>
    <w:rsid w:val="00AA61BF"/>
    <w:rsid w:val="00AA6985"/>
    <w:rsid w:val="00AA7834"/>
    <w:rsid w:val="00AB0E9C"/>
    <w:rsid w:val="00AB111C"/>
    <w:rsid w:val="00AB15E0"/>
    <w:rsid w:val="00AB15F2"/>
    <w:rsid w:val="00AB18C2"/>
    <w:rsid w:val="00AB1F67"/>
    <w:rsid w:val="00AB2010"/>
    <w:rsid w:val="00AB37CD"/>
    <w:rsid w:val="00AB38E6"/>
    <w:rsid w:val="00AB3F86"/>
    <w:rsid w:val="00AB446A"/>
    <w:rsid w:val="00AB4753"/>
    <w:rsid w:val="00AB4D48"/>
    <w:rsid w:val="00AB4F2A"/>
    <w:rsid w:val="00AB54A4"/>
    <w:rsid w:val="00AB5FD9"/>
    <w:rsid w:val="00AB67CE"/>
    <w:rsid w:val="00AB7EF6"/>
    <w:rsid w:val="00AC01FA"/>
    <w:rsid w:val="00AC1423"/>
    <w:rsid w:val="00AC1C70"/>
    <w:rsid w:val="00AC232E"/>
    <w:rsid w:val="00AC3E8D"/>
    <w:rsid w:val="00AC4483"/>
    <w:rsid w:val="00AC4A20"/>
    <w:rsid w:val="00AC50CA"/>
    <w:rsid w:val="00AD02FE"/>
    <w:rsid w:val="00AD03D1"/>
    <w:rsid w:val="00AD1138"/>
    <w:rsid w:val="00AD18C6"/>
    <w:rsid w:val="00AD1D78"/>
    <w:rsid w:val="00AD2240"/>
    <w:rsid w:val="00AD2402"/>
    <w:rsid w:val="00AD253D"/>
    <w:rsid w:val="00AD2920"/>
    <w:rsid w:val="00AD3B19"/>
    <w:rsid w:val="00AD4519"/>
    <w:rsid w:val="00AD4C5E"/>
    <w:rsid w:val="00AD4E1C"/>
    <w:rsid w:val="00AD6613"/>
    <w:rsid w:val="00AD7411"/>
    <w:rsid w:val="00AE2569"/>
    <w:rsid w:val="00AE3F50"/>
    <w:rsid w:val="00AE4832"/>
    <w:rsid w:val="00AE5DDD"/>
    <w:rsid w:val="00AE5F44"/>
    <w:rsid w:val="00AE6BB4"/>
    <w:rsid w:val="00AE726A"/>
    <w:rsid w:val="00AE76A7"/>
    <w:rsid w:val="00AE7738"/>
    <w:rsid w:val="00AE78BD"/>
    <w:rsid w:val="00AE7C36"/>
    <w:rsid w:val="00AE7DBA"/>
    <w:rsid w:val="00AE7FC4"/>
    <w:rsid w:val="00AF1F73"/>
    <w:rsid w:val="00AF2253"/>
    <w:rsid w:val="00AF28BF"/>
    <w:rsid w:val="00AF2F15"/>
    <w:rsid w:val="00AF3CBE"/>
    <w:rsid w:val="00AF49D6"/>
    <w:rsid w:val="00AF4B1A"/>
    <w:rsid w:val="00AF66A8"/>
    <w:rsid w:val="00AF7F5F"/>
    <w:rsid w:val="00B01C8A"/>
    <w:rsid w:val="00B02F4C"/>
    <w:rsid w:val="00B0325F"/>
    <w:rsid w:val="00B03594"/>
    <w:rsid w:val="00B04973"/>
    <w:rsid w:val="00B05424"/>
    <w:rsid w:val="00B05955"/>
    <w:rsid w:val="00B1001E"/>
    <w:rsid w:val="00B10320"/>
    <w:rsid w:val="00B10ADD"/>
    <w:rsid w:val="00B10CAC"/>
    <w:rsid w:val="00B11868"/>
    <w:rsid w:val="00B1271C"/>
    <w:rsid w:val="00B12B2C"/>
    <w:rsid w:val="00B12F69"/>
    <w:rsid w:val="00B13BC5"/>
    <w:rsid w:val="00B13EEE"/>
    <w:rsid w:val="00B14314"/>
    <w:rsid w:val="00B1498E"/>
    <w:rsid w:val="00B1547A"/>
    <w:rsid w:val="00B155FE"/>
    <w:rsid w:val="00B156C3"/>
    <w:rsid w:val="00B161C2"/>
    <w:rsid w:val="00B163B3"/>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442"/>
    <w:rsid w:val="00B23533"/>
    <w:rsid w:val="00B24BC2"/>
    <w:rsid w:val="00B25663"/>
    <w:rsid w:val="00B25734"/>
    <w:rsid w:val="00B25BF0"/>
    <w:rsid w:val="00B26206"/>
    <w:rsid w:val="00B26244"/>
    <w:rsid w:val="00B309F9"/>
    <w:rsid w:val="00B30A6F"/>
    <w:rsid w:val="00B31076"/>
    <w:rsid w:val="00B31514"/>
    <w:rsid w:val="00B32CB6"/>
    <w:rsid w:val="00B33FD2"/>
    <w:rsid w:val="00B3426A"/>
    <w:rsid w:val="00B34BB3"/>
    <w:rsid w:val="00B35520"/>
    <w:rsid w:val="00B361B3"/>
    <w:rsid w:val="00B36284"/>
    <w:rsid w:val="00B3646A"/>
    <w:rsid w:val="00B37F42"/>
    <w:rsid w:val="00B4106C"/>
    <w:rsid w:val="00B41718"/>
    <w:rsid w:val="00B41B89"/>
    <w:rsid w:val="00B4319A"/>
    <w:rsid w:val="00B43B10"/>
    <w:rsid w:val="00B43CCC"/>
    <w:rsid w:val="00B43FEA"/>
    <w:rsid w:val="00B44B37"/>
    <w:rsid w:val="00B45362"/>
    <w:rsid w:val="00B4538A"/>
    <w:rsid w:val="00B45A36"/>
    <w:rsid w:val="00B45C52"/>
    <w:rsid w:val="00B461D8"/>
    <w:rsid w:val="00B46D77"/>
    <w:rsid w:val="00B473C4"/>
    <w:rsid w:val="00B5016B"/>
    <w:rsid w:val="00B506BB"/>
    <w:rsid w:val="00B50EE2"/>
    <w:rsid w:val="00B51176"/>
    <w:rsid w:val="00B51793"/>
    <w:rsid w:val="00B520B6"/>
    <w:rsid w:val="00B527CA"/>
    <w:rsid w:val="00B5287B"/>
    <w:rsid w:val="00B52DE0"/>
    <w:rsid w:val="00B53608"/>
    <w:rsid w:val="00B539DB"/>
    <w:rsid w:val="00B53AE8"/>
    <w:rsid w:val="00B5468A"/>
    <w:rsid w:val="00B555C1"/>
    <w:rsid w:val="00B55FBB"/>
    <w:rsid w:val="00B56320"/>
    <w:rsid w:val="00B5675D"/>
    <w:rsid w:val="00B57298"/>
    <w:rsid w:val="00B601E9"/>
    <w:rsid w:val="00B608E8"/>
    <w:rsid w:val="00B60B03"/>
    <w:rsid w:val="00B60FA2"/>
    <w:rsid w:val="00B60FEB"/>
    <w:rsid w:val="00B612CF"/>
    <w:rsid w:val="00B615DC"/>
    <w:rsid w:val="00B62EC3"/>
    <w:rsid w:val="00B65911"/>
    <w:rsid w:val="00B67172"/>
    <w:rsid w:val="00B67FD7"/>
    <w:rsid w:val="00B706C7"/>
    <w:rsid w:val="00B71280"/>
    <w:rsid w:val="00B715C1"/>
    <w:rsid w:val="00B719F2"/>
    <w:rsid w:val="00B72469"/>
    <w:rsid w:val="00B7252B"/>
    <w:rsid w:val="00B725B1"/>
    <w:rsid w:val="00B72708"/>
    <w:rsid w:val="00B74EFF"/>
    <w:rsid w:val="00B75893"/>
    <w:rsid w:val="00B75DC3"/>
    <w:rsid w:val="00B75F29"/>
    <w:rsid w:val="00B76549"/>
    <w:rsid w:val="00B7729D"/>
    <w:rsid w:val="00B778E9"/>
    <w:rsid w:val="00B8011E"/>
    <w:rsid w:val="00B8047E"/>
    <w:rsid w:val="00B80607"/>
    <w:rsid w:val="00B8109B"/>
    <w:rsid w:val="00B810D2"/>
    <w:rsid w:val="00B81377"/>
    <w:rsid w:val="00B81A41"/>
    <w:rsid w:val="00B81E79"/>
    <w:rsid w:val="00B82D50"/>
    <w:rsid w:val="00B82D98"/>
    <w:rsid w:val="00B83858"/>
    <w:rsid w:val="00B840D5"/>
    <w:rsid w:val="00B8430A"/>
    <w:rsid w:val="00B84C8D"/>
    <w:rsid w:val="00B853F9"/>
    <w:rsid w:val="00B85ECA"/>
    <w:rsid w:val="00B864C8"/>
    <w:rsid w:val="00B86F35"/>
    <w:rsid w:val="00B87077"/>
    <w:rsid w:val="00B87124"/>
    <w:rsid w:val="00B8740D"/>
    <w:rsid w:val="00B875A2"/>
    <w:rsid w:val="00B90415"/>
    <w:rsid w:val="00B9053F"/>
    <w:rsid w:val="00B90983"/>
    <w:rsid w:val="00B9168A"/>
    <w:rsid w:val="00B91EB1"/>
    <w:rsid w:val="00B92CF1"/>
    <w:rsid w:val="00B936C4"/>
    <w:rsid w:val="00B940BD"/>
    <w:rsid w:val="00B949C4"/>
    <w:rsid w:val="00B95554"/>
    <w:rsid w:val="00B96731"/>
    <w:rsid w:val="00B9673A"/>
    <w:rsid w:val="00B96DC6"/>
    <w:rsid w:val="00B972F1"/>
    <w:rsid w:val="00B979B3"/>
    <w:rsid w:val="00BA0DC9"/>
    <w:rsid w:val="00BA12E6"/>
    <w:rsid w:val="00BA174F"/>
    <w:rsid w:val="00BA2066"/>
    <w:rsid w:val="00BA2947"/>
    <w:rsid w:val="00BA3E79"/>
    <w:rsid w:val="00BA4389"/>
    <w:rsid w:val="00BA46C7"/>
    <w:rsid w:val="00BA6505"/>
    <w:rsid w:val="00BA6BD9"/>
    <w:rsid w:val="00BA6E68"/>
    <w:rsid w:val="00BA7743"/>
    <w:rsid w:val="00BA7919"/>
    <w:rsid w:val="00BA7D29"/>
    <w:rsid w:val="00BB038D"/>
    <w:rsid w:val="00BB28D1"/>
    <w:rsid w:val="00BB2A6F"/>
    <w:rsid w:val="00BB2B2A"/>
    <w:rsid w:val="00BB32A4"/>
    <w:rsid w:val="00BC1E50"/>
    <w:rsid w:val="00BC1EF9"/>
    <w:rsid w:val="00BC2A67"/>
    <w:rsid w:val="00BC2CB1"/>
    <w:rsid w:val="00BC33F9"/>
    <w:rsid w:val="00BC3503"/>
    <w:rsid w:val="00BC3D6C"/>
    <w:rsid w:val="00BC3F2B"/>
    <w:rsid w:val="00BC4C6C"/>
    <w:rsid w:val="00BC5644"/>
    <w:rsid w:val="00BC5848"/>
    <w:rsid w:val="00BC5F46"/>
    <w:rsid w:val="00BC7235"/>
    <w:rsid w:val="00BC79BC"/>
    <w:rsid w:val="00BD0CA5"/>
    <w:rsid w:val="00BD112C"/>
    <w:rsid w:val="00BD11F1"/>
    <w:rsid w:val="00BD15D1"/>
    <w:rsid w:val="00BD19EC"/>
    <w:rsid w:val="00BD1BF3"/>
    <w:rsid w:val="00BD21B6"/>
    <w:rsid w:val="00BD2583"/>
    <w:rsid w:val="00BD3584"/>
    <w:rsid w:val="00BD40B3"/>
    <w:rsid w:val="00BD540A"/>
    <w:rsid w:val="00BD6919"/>
    <w:rsid w:val="00BD7C92"/>
    <w:rsid w:val="00BE02A0"/>
    <w:rsid w:val="00BE02B5"/>
    <w:rsid w:val="00BE07D5"/>
    <w:rsid w:val="00BE0B26"/>
    <w:rsid w:val="00BE0F76"/>
    <w:rsid w:val="00BE1AD3"/>
    <w:rsid w:val="00BE23FF"/>
    <w:rsid w:val="00BE2421"/>
    <w:rsid w:val="00BE24C3"/>
    <w:rsid w:val="00BE2522"/>
    <w:rsid w:val="00BE31A3"/>
    <w:rsid w:val="00BE4296"/>
    <w:rsid w:val="00BE42A1"/>
    <w:rsid w:val="00BE48D5"/>
    <w:rsid w:val="00BE4B16"/>
    <w:rsid w:val="00BE5A30"/>
    <w:rsid w:val="00BE65DA"/>
    <w:rsid w:val="00BE6A63"/>
    <w:rsid w:val="00BE71A0"/>
    <w:rsid w:val="00BF017E"/>
    <w:rsid w:val="00BF0723"/>
    <w:rsid w:val="00BF0BF9"/>
    <w:rsid w:val="00BF12AF"/>
    <w:rsid w:val="00BF17E2"/>
    <w:rsid w:val="00BF19A3"/>
    <w:rsid w:val="00BF2050"/>
    <w:rsid w:val="00BF2163"/>
    <w:rsid w:val="00BF24C1"/>
    <w:rsid w:val="00BF2BB2"/>
    <w:rsid w:val="00BF2F1E"/>
    <w:rsid w:val="00BF388B"/>
    <w:rsid w:val="00BF3FC3"/>
    <w:rsid w:val="00BF47F4"/>
    <w:rsid w:val="00BF63DC"/>
    <w:rsid w:val="00BF661B"/>
    <w:rsid w:val="00BF6C9E"/>
    <w:rsid w:val="00BF6F4C"/>
    <w:rsid w:val="00BF6F7A"/>
    <w:rsid w:val="00C001F1"/>
    <w:rsid w:val="00C002B5"/>
    <w:rsid w:val="00C005D1"/>
    <w:rsid w:val="00C018B5"/>
    <w:rsid w:val="00C01956"/>
    <w:rsid w:val="00C0225F"/>
    <w:rsid w:val="00C02AFB"/>
    <w:rsid w:val="00C02D5D"/>
    <w:rsid w:val="00C02FEB"/>
    <w:rsid w:val="00C03F11"/>
    <w:rsid w:val="00C046C4"/>
    <w:rsid w:val="00C046D2"/>
    <w:rsid w:val="00C05739"/>
    <w:rsid w:val="00C05AA2"/>
    <w:rsid w:val="00C06263"/>
    <w:rsid w:val="00C06536"/>
    <w:rsid w:val="00C0734F"/>
    <w:rsid w:val="00C1292F"/>
    <w:rsid w:val="00C129EE"/>
    <w:rsid w:val="00C14158"/>
    <w:rsid w:val="00C142C3"/>
    <w:rsid w:val="00C16ED3"/>
    <w:rsid w:val="00C16EE8"/>
    <w:rsid w:val="00C170B0"/>
    <w:rsid w:val="00C171F4"/>
    <w:rsid w:val="00C176E2"/>
    <w:rsid w:val="00C206FD"/>
    <w:rsid w:val="00C24B08"/>
    <w:rsid w:val="00C24B32"/>
    <w:rsid w:val="00C24BE1"/>
    <w:rsid w:val="00C24ECD"/>
    <w:rsid w:val="00C24F18"/>
    <w:rsid w:val="00C263DB"/>
    <w:rsid w:val="00C26C8E"/>
    <w:rsid w:val="00C274D1"/>
    <w:rsid w:val="00C27D43"/>
    <w:rsid w:val="00C27DFF"/>
    <w:rsid w:val="00C3053C"/>
    <w:rsid w:val="00C31349"/>
    <w:rsid w:val="00C31825"/>
    <w:rsid w:val="00C31F75"/>
    <w:rsid w:val="00C3285B"/>
    <w:rsid w:val="00C3315A"/>
    <w:rsid w:val="00C337FC"/>
    <w:rsid w:val="00C346FB"/>
    <w:rsid w:val="00C34B47"/>
    <w:rsid w:val="00C3506B"/>
    <w:rsid w:val="00C3541D"/>
    <w:rsid w:val="00C35BD5"/>
    <w:rsid w:val="00C37D59"/>
    <w:rsid w:val="00C413AC"/>
    <w:rsid w:val="00C4196D"/>
    <w:rsid w:val="00C419DA"/>
    <w:rsid w:val="00C4244B"/>
    <w:rsid w:val="00C43252"/>
    <w:rsid w:val="00C43846"/>
    <w:rsid w:val="00C43F49"/>
    <w:rsid w:val="00C44BE2"/>
    <w:rsid w:val="00C44C91"/>
    <w:rsid w:val="00C44DEE"/>
    <w:rsid w:val="00C45AF5"/>
    <w:rsid w:val="00C474AE"/>
    <w:rsid w:val="00C47895"/>
    <w:rsid w:val="00C47CA6"/>
    <w:rsid w:val="00C514EC"/>
    <w:rsid w:val="00C51556"/>
    <w:rsid w:val="00C52215"/>
    <w:rsid w:val="00C525EA"/>
    <w:rsid w:val="00C5354D"/>
    <w:rsid w:val="00C5360A"/>
    <w:rsid w:val="00C53D24"/>
    <w:rsid w:val="00C54FD0"/>
    <w:rsid w:val="00C5592A"/>
    <w:rsid w:val="00C564FC"/>
    <w:rsid w:val="00C5732D"/>
    <w:rsid w:val="00C577F0"/>
    <w:rsid w:val="00C5791E"/>
    <w:rsid w:val="00C602DB"/>
    <w:rsid w:val="00C61543"/>
    <w:rsid w:val="00C615F8"/>
    <w:rsid w:val="00C618F3"/>
    <w:rsid w:val="00C61A19"/>
    <w:rsid w:val="00C61EF5"/>
    <w:rsid w:val="00C62651"/>
    <w:rsid w:val="00C6276E"/>
    <w:rsid w:val="00C62B23"/>
    <w:rsid w:val="00C62DE1"/>
    <w:rsid w:val="00C642A0"/>
    <w:rsid w:val="00C6573A"/>
    <w:rsid w:val="00C663F0"/>
    <w:rsid w:val="00C6674B"/>
    <w:rsid w:val="00C66B91"/>
    <w:rsid w:val="00C66D43"/>
    <w:rsid w:val="00C70324"/>
    <w:rsid w:val="00C7060E"/>
    <w:rsid w:val="00C70FF6"/>
    <w:rsid w:val="00C71FC3"/>
    <w:rsid w:val="00C7212A"/>
    <w:rsid w:val="00C7222B"/>
    <w:rsid w:val="00C74087"/>
    <w:rsid w:val="00C744B4"/>
    <w:rsid w:val="00C74E78"/>
    <w:rsid w:val="00C7586A"/>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8B1"/>
    <w:rsid w:val="00C82D0E"/>
    <w:rsid w:val="00C830C8"/>
    <w:rsid w:val="00C831AA"/>
    <w:rsid w:val="00C83689"/>
    <w:rsid w:val="00C84262"/>
    <w:rsid w:val="00C84DE1"/>
    <w:rsid w:val="00C84EAA"/>
    <w:rsid w:val="00C84EF2"/>
    <w:rsid w:val="00C85379"/>
    <w:rsid w:val="00C853D0"/>
    <w:rsid w:val="00C86945"/>
    <w:rsid w:val="00C86E1A"/>
    <w:rsid w:val="00C871E1"/>
    <w:rsid w:val="00C871FB"/>
    <w:rsid w:val="00C872C2"/>
    <w:rsid w:val="00C87680"/>
    <w:rsid w:val="00C87DB3"/>
    <w:rsid w:val="00C91C70"/>
    <w:rsid w:val="00C9224B"/>
    <w:rsid w:val="00C9367C"/>
    <w:rsid w:val="00C937EC"/>
    <w:rsid w:val="00C93A38"/>
    <w:rsid w:val="00C93D34"/>
    <w:rsid w:val="00C955FD"/>
    <w:rsid w:val="00C95686"/>
    <w:rsid w:val="00C9591E"/>
    <w:rsid w:val="00C96095"/>
    <w:rsid w:val="00C965ED"/>
    <w:rsid w:val="00C966D2"/>
    <w:rsid w:val="00C9690C"/>
    <w:rsid w:val="00C96FD2"/>
    <w:rsid w:val="00C978E2"/>
    <w:rsid w:val="00CA0003"/>
    <w:rsid w:val="00CA0255"/>
    <w:rsid w:val="00CA025C"/>
    <w:rsid w:val="00CA0348"/>
    <w:rsid w:val="00CA134F"/>
    <w:rsid w:val="00CA1DF0"/>
    <w:rsid w:val="00CA37DF"/>
    <w:rsid w:val="00CA391C"/>
    <w:rsid w:val="00CA43A5"/>
    <w:rsid w:val="00CA4F40"/>
    <w:rsid w:val="00CA5396"/>
    <w:rsid w:val="00CA5A86"/>
    <w:rsid w:val="00CA5B1E"/>
    <w:rsid w:val="00CA5C15"/>
    <w:rsid w:val="00CA70B7"/>
    <w:rsid w:val="00CA7106"/>
    <w:rsid w:val="00CA7E67"/>
    <w:rsid w:val="00CB0273"/>
    <w:rsid w:val="00CB15A5"/>
    <w:rsid w:val="00CB15B4"/>
    <w:rsid w:val="00CB188D"/>
    <w:rsid w:val="00CB1B2F"/>
    <w:rsid w:val="00CB290C"/>
    <w:rsid w:val="00CB2A06"/>
    <w:rsid w:val="00CB2FE9"/>
    <w:rsid w:val="00CB309C"/>
    <w:rsid w:val="00CB33FE"/>
    <w:rsid w:val="00CB450F"/>
    <w:rsid w:val="00CB4BB7"/>
    <w:rsid w:val="00CB4DF8"/>
    <w:rsid w:val="00CB5711"/>
    <w:rsid w:val="00CB6E9E"/>
    <w:rsid w:val="00CB6F76"/>
    <w:rsid w:val="00CB7269"/>
    <w:rsid w:val="00CB7BA4"/>
    <w:rsid w:val="00CC0856"/>
    <w:rsid w:val="00CC0A9C"/>
    <w:rsid w:val="00CC152C"/>
    <w:rsid w:val="00CC25DB"/>
    <w:rsid w:val="00CC2C63"/>
    <w:rsid w:val="00CC3F43"/>
    <w:rsid w:val="00CC5ADB"/>
    <w:rsid w:val="00CC5C2A"/>
    <w:rsid w:val="00CC60A0"/>
    <w:rsid w:val="00CC677D"/>
    <w:rsid w:val="00CC7657"/>
    <w:rsid w:val="00CC772F"/>
    <w:rsid w:val="00CC7DA8"/>
    <w:rsid w:val="00CD01B3"/>
    <w:rsid w:val="00CD01F5"/>
    <w:rsid w:val="00CD16B8"/>
    <w:rsid w:val="00CD1C56"/>
    <w:rsid w:val="00CD33AE"/>
    <w:rsid w:val="00CD38FD"/>
    <w:rsid w:val="00CD3E02"/>
    <w:rsid w:val="00CD44A0"/>
    <w:rsid w:val="00CD4C15"/>
    <w:rsid w:val="00CD5C57"/>
    <w:rsid w:val="00CD627B"/>
    <w:rsid w:val="00CD63CC"/>
    <w:rsid w:val="00CD686F"/>
    <w:rsid w:val="00CD72DA"/>
    <w:rsid w:val="00CE0DFE"/>
    <w:rsid w:val="00CE1C06"/>
    <w:rsid w:val="00CE1E70"/>
    <w:rsid w:val="00CE3605"/>
    <w:rsid w:val="00CE36F1"/>
    <w:rsid w:val="00CE3940"/>
    <w:rsid w:val="00CE3FDD"/>
    <w:rsid w:val="00CE4015"/>
    <w:rsid w:val="00CE41FF"/>
    <w:rsid w:val="00CE50E3"/>
    <w:rsid w:val="00CE5365"/>
    <w:rsid w:val="00CE5499"/>
    <w:rsid w:val="00CE5ED7"/>
    <w:rsid w:val="00CE6F08"/>
    <w:rsid w:val="00CE76F0"/>
    <w:rsid w:val="00CE7728"/>
    <w:rsid w:val="00CE7967"/>
    <w:rsid w:val="00CE79EF"/>
    <w:rsid w:val="00CF05C7"/>
    <w:rsid w:val="00CF08DE"/>
    <w:rsid w:val="00CF175E"/>
    <w:rsid w:val="00CF1EDF"/>
    <w:rsid w:val="00CF49A9"/>
    <w:rsid w:val="00CF60F9"/>
    <w:rsid w:val="00CF6407"/>
    <w:rsid w:val="00CF655C"/>
    <w:rsid w:val="00CF66C2"/>
    <w:rsid w:val="00CF6CE7"/>
    <w:rsid w:val="00CF6ED9"/>
    <w:rsid w:val="00CF7401"/>
    <w:rsid w:val="00CF7577"/>
    <w:rsid w:val="00D001F9"/>
    <w:rsid w:val="00D01C46"/>
    <w:rsid w:val="00D026D2"/>
    <w:rsid w:val="00D02F43"/>
    <w:rsid w:val="00D03014"/>
    <w:rsid w:val="00D030EE"/>
    <w:rsid w:val="00D03A73"/>
    <w:rsid w:val="00D03E4F"/>
    <w:rsid w:val="00D03FEE"/>
    <w:rsid w:val="00D0407D"/>
    <w:rsid w:val="00D04A1B"/>
    <w:rsid w:val="00D053A3"/>
    <w:rsid w:val="00D05583"/>
    <w:rsid w:val="00D05C56"/>
    <w:rsid w:val="00D06449"/>
    <w:rsid w:val="00D06CF7"/>
    <w:rsid w:val="00D101F8"/>
    <w:rsid w:val="00D11DED"/>
    <w:rsid w:val="00D13263"/>
    <w:rsid w:val="00D13469"/>
    <w:rsid w:val="00D14A20"/>
    <w:rsid w:val="00D1538C"/>
    <w:rsid w:val="00D15A7E"/>
    <w:rsid w:val="00D164E5"/>
    <w:rsid w:val="00D16989"/>
    <w:rsid w:val="00D17D25"/>
    <w:rsid w:val="00D17EBF"/>
    <w:rsid w:val="00D202A4"/>
    <w:rsid w:val="00D21736"/>
    <w:rsid w:val="00D2222B"/>
    <w:rsid w:val="00D23908"/>
    <w:rsid w:val="00D244D0"/>
    <w:rsid w:val="00D2648C"/>
    <w:rsid w:val="00D26969"/>
    <w:rsid w:val="00D27434"/>
    <w:rsid w:val="00D27755"/>
    <w:rsid w:val="00D30102"/>
    <w:rsid w:val="00D305ED"/>
    <w:rsid w:val="00D30978"/>
    <w:rsid w:val="00D30C94"/>
    <w:rsid w:val="00D30CFD"/>
    <w:rsid w:val="00D3488A"/>
    <w:rsid w:val="00D34D77"/>
    <w:rsid w:val="00D34D88"/>
    <w:rsid w:val="00D34FF2"/>
    <w:rsid w:val="00D350A2"/>
    <w:rsid w:val="00D35941"/>
    <w:rsid w:val="00D36E4F"/>
    <w:rsid w:val="00D3720C"/>
    <w:rsid w:val="00D376C2"/>
    <w:rsid w:val="00D37963"/>
    <w:rsid w:val="00D4041C"/>
    <w:rsid w:val="00D41C90"/>
    <w:rsid w:val="00D426C2"/>
    <w:rsid w:val="00D42A00"/>
    <w:rsid w:val="00D43605"/>
    <w:rsid w:val="00D443AA"/>
    <w:rsid w:val="00D44721"/>
    <w:rsid w:val="00D456CD"/>
    <w:rsid w:val="00D46204"/>
    <w:rsid w:val="00D4652C"/>
    <w:rsid w:val="00D46ABD"/>
    <w:rsid w:val="00D46F6B"/>
    <w:rsid w:val="00D470CF"/>
    <w:rsid w:val="00D47ACE"/>
    <w:rsid w:val="00D47D03"/>
    <w:rsid w:val="00D47F15"/>
    <w:rsid w:val="00D514A7"/>
    <w:rsid w:val="00D51BB0"/>
    <w:rsid w:val="00D51F24"/>
    <w:rsid w:val="00D53276"/>
    <w:rsid w:val="00D53B1C"/>
    <w:rsid w:val="00D53C4F"/>
    <w:rsid w:val="00D546EC"/>
    <w:rsid w:val="00D556CA"/>
    <w:rsid w:val="00D5634F"/>
    <w:rsid w:val="00D56380"/>
    <w:rsid w:val="00D563FD"/>
    <w:rsid w:val="00D56536"/>
    <w:rsid w:val="00D56ECD"/>
    <w:rsid w:val="00D57365"/>
    <w:rsid w:val="00D57D4E"/>
    <w:rsid w:val="00D602A8"/>
    <w:rsid w:val="00D605BD"/>
    <w:rsid w:val="00D608A3"/>
    <w:rsid w:val="00D60904"/>
    <w:rsid w:val="00D609F0"/>
    <w:rsid w:val="00D60D4F"/>
    <w:rsid w:val="00D60F43"/>
    <w:rsid w:val="00D61514"/>
    <w:rsid w:val="00D617EA"/>
    <w:rsid w:val="00D62FC0"/>
    <w:rsid w:val="00D6316E"/>
    <w:rsid w:val="00D6321E"/>
    <w:rsid w:val="00D63AB4"/>
    <w:rsid w:val="00D63C0E"/>
    <w:rsid w:val="00D64095"/>
    <w:rsid w:val="00D647B3"/>
    <w:rsid w:val="00D65351"/>
    <w:rsid w:val="00D65C1F"/>
    <w:rsid w:val="00D66784"/>
    <w:rsid w:val="00D67CFF"/>
    <w:rsid w:val="00D705DB"/>
    <w:rsid w:val="00D71062"/>
    <w:rsid w:val="00D7290A"/>
    <w:rsid w:val="00D72A60"/>
    <w:rsid w:val="00D72FDE"/>
    <w:rsid w:val="00D73C8B"/>
    <w:rsid w:val="00D73D54"/>
    <w:rsid w:val="00D742C7"/>
    <w:rsid w:val="00D744AE"/>
    <w:rsid w:val="00D746FF"/>
    <w:rsid w:val="00D74E8F"/>
    <w:rsid w:val="00D75187"/>
    <w:rsid w:val="00D759B0"/>
    <w:rsid w:val="00D75E29"/>
    <w:rsid w:val="00D766E8"/>
    <w:rsid w:val="00D76807"/>
    <w:rsid w:val="00D76B98"/>
    <w:rsid w:val="00D76D78"/>
    <w:rsid w:val="00D770FC"/>
    <w:rsid w:val="00D77A3B"/>
    <w:rsid w:val="00D77DEB"/>
    <w:rsid w:val="00D77E01"/>
    <w:rsid w:val="00D81C7D"/>
    <w:rsid w:val="00D82E22"/>
    <w:rsid w:val="00D83369"/>
    <w:rsid w:val="00D83BD5"/>
    <w:rsid w:val="00D84F78"/>
    <w:rsid w:val="00D8514F"/>
    <w:rsid w:val="00D86727"/>
    <w:rsid w:val="00D869E5"/>
    <w:rsid w:val="00D8711B"/>
    <w:rsid w:val="00D87FA0"/>
    <w:rsid w:val="00D90ADB"/>
    <w:rsid w:val="00D913FA"/>
    <w:rsid w:val="00D9206D"/>
    <w:rsid w:val="00D93445"/>
    <w:rsid w:val="00D93643"/>
    <w:rsid w:val="00D94528"/>
    <w:rsid w:val="00D951C6"/>
    <w:rsid w:val="00D956EB"/>
    <w:rsid w:val="00D959C2"/>
    <w:rsid w:val="00D95AC6"/>
    <w:rsid w:val="00D95DD9"/>
    <w:rsid w:val="00D95E34"/>
    <w:rsid w:val="00D97400"/>
    <w:rsid w:val="00DA0D5C"/>
    <w:rsid w:val="00DA0E03"/>
    <w:rsid w:val="00DA3BDA"/>
    <w:rsid w:val="00DA3DBE"/>
    <w:rsid w:val="00DA4777"/>
    <w:rsid w:val="00DA546C"/>
    <w:rsid w:val="00DA5A5C"/>
    <w:rsid w:val="00DA7954"/>
    <w:rsid w:val="00DB3FD9"/>
    <w:rsid w:val="00DB48FF"/>
    <w:rsid w:val="00DB4991"/>
    <w:rsid w:val="00DB4C11"/>
    <w:rsid w:val="00DB5105"/>
    <w:rsid w:val="00DB51AA"/>
    <w:rsid w:val="00DB55CE"/>
    <w:rsid w:val="00DB55D6"/>
    <w:rsid w:val="00DB5F4E"/>
    <w:rsid w:val="00DB670E"/>
    <w:rsid w:val="00DB6CA1"/>
    <w:rsid w:val="00DB700D"/>
    <w:rsid w:val="00DB7E5C"/>
    <w:rsid w:val="00DC1168"/>
    <w:rsid w:val="00DC2060"/>
    <w:rsid w:val="00DC20A6"/>
    <w:rsid w:val="00DC2A51"/>
    <w:rsid w:val="00DC2C64"/>
    <w:rsid w:val="00DC306D"/>
    <w:rsid w:val="00DC3915"/>
    <w:rsid w:val="00DC3A0C"/>
    <w:rsid w:val="00DC47EE"/>
    <w:rsid w:val="00DC532E"/>
    <w:rsid w:val="00DC62B1"/>
    <w:rsid w:val="00DC6544"/>
    <w:rsid w:val="00DC6ED6"/>
    <w:rsid w:val="00DD0513"/>
    <w:rsid w:val="00DD0D38"/>
    <w:rsid w:val="00DD0D67"/>
    <w:rsid w:val="00DD1196"/>
    <w:rsid w:val="00DD16E2"/>
    <w:rsid w:val="00DD38F8"/>
    <w:rsid w:val="00DD4ECA"/>
    <w:rsid w:val="00DD51F6"/>
    <w:rsid w:val="00DD612C"/>
    <w:rsid w:val="00DD6505"/>
    <w:rsid w:val="00DD666E"/>
    <w:rsid w:val="00DD69A2"/>
    <w:rsid w:val="00DE03F1"/>
    <w:rsid w:val="00DE0E44"/>
    <w:rsid w:val="00DE14AA"/>
    <w:rsid w:val="00DE2F73"/>
    <w:rsid w:val="00DE31CB"/>
    <w:rsid w:val="00DE3D09"/>
    <w:rsid w:val="00DE4124"/>
    <w:rsid w:val="00DE4264"/>
    <w:rsid w:val="00DE44D2"/>
    <w:rsid w:val="00DE45EC"/>
    <w:rsid w:val="00DE4981"/>
    <w:rsid w:val="00DE5E98"/>
    <w:rsid w:val="00DE6D1D"/>
    <w:rsid w:val="00DF0775"/>
    <w:rsid w:val="00DF19E2"/>
    <w:rsid w:val="00DF19E6"/>
    <w:rsid w:val="00DF2965"/>
    <w:rsid w:val="00DF2F5D"/>
    <w:rsid w:val="00DF312F"/>
    <w:rsid w:val="00DF3D97"/>
    <w:rsid w:val="00DF4271"/>
    <w:rsid w:val="00DF4E3C"/>
    <w:rsid w:val="00DF52F9"/>
    <w:rsid w:val="00DF61F5"/>
    <w:rsid w:val="00DF6440"/>
    <w:rsid w:val="00DF64DE"/>
    <w:rsid w:val="00DF6DDC"/>
    <w:rsid w:val="00DF785E"/>
    <w:rsid w:val="00DF7966"/>
    <w:rsid w:val="00DF79C4"/>
    <w:rsid w:val="00E002C6"/>
    <w:rsid w:val="00E00556"/>
    <w:rsid w:val="00E00C1D"/>
    <w:rsid w:val="00E013EB"/>
    <w:rsid w:val="00E015E4"/>
    <w:rsid w:val="00E02A18"/>
    <w:rsid w:val="00E02B45"/>
    <w:rsid w:val="00E02F68"/>
    <w:rsid w:val="00E03A56"/>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315"/>
    <w:rsid w:val="00E155FC"/>
    <w:rsid w:val="00E17DEA"/>
    <w:rsid w:val="00E20033"/>
    <w:rsid w:val="00E20C45"/>
    <w:rsid w:val="00E219AD"/>
    <w:rsid w:val="00E223F5"/>
    <w:rsid w:val="00E228C3"/>
    <w:rsid w:val="00E22F18"/>
    <w:rsid w:val="00E230A3"/>
    <w:rsid w:val="00E23253"/>
    <w:rsid w:val="00E2369E"/>
    <w:rsid w:val="00E24E1C"/>
    <w:rsid w:val="00E25BB7"/>
    <w:rsid w:val="00E2617C"/>
    <w:rsid w:val="00E26501"/>
    <w:rsid w:val="00E27550"/>
    <w:rsid w:val="00E30EBC"/>
    <w:rsid w:val="00E30EDE"/>
    <w:rsid w:val="00E31891"/>
    <w:rsid w:val="00E32442"/>
    <w:rsid w:val="00E32A4F"/>
    <w:rsid w:val="00E32A99"/>
    <w:rsid w:val="00E349A3"/>
    <w:rsid w:val="00E352C2"/>
    <w:rsid w:val="00E3536F"/>
    <w:rsid w:val="00E35DAE"/>
    <w:rsid w:val="00E365BD"/>
    <w:rsid w:val="00E37AE1"/>
    <w:rsid w:val="00E37EF1"/>
    <w:rsid w:val="00E41292"/>
    <w:rsid w:val="00E419AE"/>
    <w:rsid w:val="00E42221"/>
    <w:rsid w:val="00E4268B"/>
    <w:rsid w:val="00E43119"/>
    <w:rsid w:val="00E439D0"/>
    <w:rsid w:val="00E443AB"/>
    <w:rsid w:val="00E4450F"/>
    <w:rsid w:val="00E4501A"/>
    <w:rsid w:val="00E4511B"/>
    <w:rsid w:val="00E454D1"/>
    <w:rsid w:val="00E46206"/>
    <w:rsid w:val="00E4654B"/>
    <w:rsid w:val="00E46DC7"/>
    <w:rsid w:val="00E46EAD"/>
    <w:rsid w:val="00E47164"/>
    <w:rsid w:val="00E47570"/>
    <w:rsid w:val="00E516C1"/>
    <w:rsid w:val="00E5195C"/>
    <w:rsid w:val="00E52032"/>
    <w:rsid w:val="00E531F6"/>
    <w:rsid w:val="00E53921"/>
    <w:rsid w:val="00E54F5D"/>
    <w:rsid w:val="00E5528D"/>
    <w:rsid w:val="00E5575A"/>
    <w:rsid w:val="00E55E6F"/>
    <w:rsid w:val="00E55EC2"/>
    <w:rsid w:val="00E55F9E"/>
    <w:rsid w:val="00E56AC0"/>
    <w:rsid w:val="00E57D01"/>
    <w:rsid w:val="00E60D1A"/>
    <w:rsid w:val="00E6171E"/>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67C18"/>
    <w:rsid w:val="00E740E0"/>
    <w:rsid w:val="00E74E4C"/>
    <w:rsid w:val="00E75432"/>
    <w:rsid w:val="00E75C76"/>
    <w:rsid w:val="00E7750C"/>
    <w:rsid w:val="00E776A1"/>
    <w:rsid w:val="00E80127"/>
    <w:rsid w:val="00E80EBF"/>
    <w:rsid w:val="00E82639"/>
    <w:rsid w:val="00E831CE"/>
    <w:rsid w:val="00E83969"/>
    <w:rsid w:val="00E83DF5"/>
    <w:rsid w:val="00E83F0B"/>
    <w:rsid w:val="00E8429C"/>
    <w:rsid w:val="00E85205"/>
    <w:rsid w:val="00E852AE"/>
    <w:rsid w:val="00E85D08"/>
    <w:rsid w:val="00E862BE"/>
    <w:rsid w:val="00E86E34"/>
    <w:rsid w:val="00E874B8"/>
    <w:rsid w:val="00E87510"/>
    <w:rsid w:val="00E8775D"/>
    <w:rsid w:val="00E90B74"/>
    <w:rsid w:val="00E90E56"/>
    <w:rsid w:val="00E914AE"/>
    <w:rsid w:val="00E91A90"/>
    <w:rsid w:val="00E91D3C"/>
    <w:rsid w:val="00E92D1D"/>
    <w:rsid w:val="00E930C0"/>
    <w:rsid w:val="00E939C4"/>
    <w:rsid w:val="00E93A5F"/>
    <w:rsid w:val="00E93B50"/>
    <w:rsid w:val="00E94051"/>
    <w:rsid w:val="00E96633"/>
    <w:rsid w:val="00E96826"/>
    <w:rsid w:val="00E96E4C"/>
    <w:rsid w:val="00E97887"/>
    <w:rsid w:val="00EA01EF"/>
    <w:rsid w:val="00EA02FA"/>
    <w:rsid w:val="00EA0606"/>
    <w:rsid w:val="00EA11DC"/>
    <w:rsid w:val="00EA1680"/>
    <w:rsid w:val="00EA2218"/>
    <w:rsid w:val="00EA39CE"/>
    <w:rsid w:val="00EA524B"/>
    <w:rsid w:val="00EA61EC"/>
    <w:rsid w:val="00EA7048"/>
    <w:rsid w:val="00EA72FC"/>
    <w:rsid w:val="00EA7A50"/>
    <w:rsid w:val="00EA7C55"/>
    <w:rsid w:val="00EB0718"/>
    <w:rsid w:val="00EB127D"/>
    <w:rsid w:val="00EB1A4E"/>
    <w:rsid w:val="00EB2106"/>
    <w:rsid w:val="00EB229C"/>
    <w:rsid w:val="00EB2481"/>
    <w:rsid w:val="00EB266F"/>
    <w:rsid w:val="00EB271B"/>
    <w:rsid w:val="00EB2CCF"/>
    <w:rsid w:val="00EB37B4"/>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46E9"/>
    <w:rsid w:val="00EC4DE4"/>
    <w:rsid w:val="00EC6EDD"/>
    <w:rsid w:val="00EC706B"/>
    <w:rsid w:val="00ED0998"/>
    <w:rsid w:val="00ED0DAF"/>
    <w:rsid w:val="00ED0F34"/>
    <w:rsid w:val="00ED0FB8"/>
    <w:rsid w:val="00ED1B97"/>
    <w:rsid w:val="00ED24E1"/>
    <w:rsid w:val="00ED2C57"/>
    <w:rsid w:val="00ED4263"/>
    <w:rsid w:val="00ED4393"/>
    <w:rsid w:val="00ED4B78"/>
    <w:rsid w:val="00ED577E"/>
    <w:rsid w:val="00ED6061"/>
    <w:rsid w:val="00ED662A"/>
    <w:rsid w:val="00ED6C55"/>
    <w:rsid w:val="00ED7502"/>
    <w:rsid w:val="00ED771E"/>
    <w:rsid w:val="00EE1977"/>
    <w:rsid w:val="00EE1BDC"/>
    <w:rsid w:val="00EE22A9"/>
    <w:rsid w:val="00EE29EF"/>
    <w:rsid w:val="00EE2DC8"/>
    <w:rsid w:val="00EE2E32"/>
    <w:rsid w:val="00EE3D74"/>
    <w:rsid w:val="00EE4656"/>
    <w:rsid w:val="00EE5031"/>
    <w:rsid w:val="00EE5AD9"/>
    <w:rsid w:val="00EE6240"/>
    <w:rsid w:val="00EE6DE7"/>
    <w:rsid w:val="00EE722F"/>
    <w:rsid w:val="00EE759B"/>
    <w:rsid w:val="00EE75A0"/>
    <w:rsid w:val="00EE78E6"/>
    <w:rsid w:val="00EE7A61"/>
    <w:rsid w:val="00EF087A"/>
    <w:rsid w:val="00EF1C38"/>
    <w:rsid w:val="00EF2D18"/>
    <w:rsid w:val="00EF389E"/>
    <w:rsid w:val="00EF3FB5"/>
    <w:rsid w:val="00EF4FB5"/>
    <w:rsid w:val="00EF5FB2"/>
    <w:rsid w:val="00EF6D4E"/>
    <w:rsid w:val="00F0046C"/>
    <w:rsid w:val="00F0095F"/>
    <w:rsid w:val="00F00B7D"/>
    <w:rsid w:val="00F01446"/>
    <w:rsid w:val="00F02993"/>
    <w:rsid w:val="00F02B4A"/>
    <w:rsid w:val="00F03393"/>
    <w:rsid w:val="00F0340D"/>
    <w:rsid w:val="00F04A19"/>
    <w:rsid w:val="00F05002"/>
    <w:rsid w:val="00F0537C"/>
    <w:rsid w:val="00F055E1"/>
    <w:rsid w:val="00F06B9D"/>
    <w:rsid w:val="00F0786B"/>
    <w:rsid w:val="00F07AC8"/>
    <w:rsid w:val="00F10419"/>
    <w:rsid w:val="00F1052B"/>
    <w:rsid w:val="00F10AB3"/>
    <w:rsid w:val="00F1150A"/>
    <w:rsid w:val="00F119C8"/>
    <w:rsid w:val="00F11CBE"/>
    <w:rsid w:val="00F12FE9"/>
    <w:rsid w:val="00F1414E"/>
    <w:rsid w:val="00F145F5"/>
    <w:rsid w:val="00F15B34"/>
    <w:rsid w:val="00F15B6C"/>
    <w:rsid w:val="00F16039"/>
    <w:rsid w:val="00F1624D"/>
    <w:rsid w:val="00F16341"/>
    <w:rsid w:val="00F1719A"/>
    <w:rsid w:val="00F177D4"/>
    <w:rsid w:val="00F17A9A"/>
    <w:rsid w:val="00F2061E"/>
    <w:rsid w:val="00F207AC"/>
    <w:rsid w:val="00F22122"/>
    <w:rsid w:val="00F2214F"/>
    <w:rsid w:val="00F2225C"/>
    <w:rsid w:val="00F22D51"/>
    <w:rsid w:val="00F2362D"/>
    <w:rsid w:val="00F238A5"/>
    <w:rsid w:val="00F23CC0"/>
    <w:rsid w:val="00F24CC7"/>
    <w:rsid w:val="00F25806"/>
    <w:rsid w:val="00F25EF9"/>
    <w:rsid w:val="00F2647F"/>
    <w:rsid w:val="00F275DF"/>
    <w:rsid w:val="00F27CA4"/>
    <w:rsid w:val="00F304F7"/>
    <w:rsid w:val="00F3065F"/>
    <w:rsid w:val="00F309EF"/>
    <w:rsid w:val="00F31596"/>
    <w:rsid w:val="00F31597"/>
    <w:rsid w:val="00F321F9"/>
    <w:rsid w:val="00F32A1C"/>
    <w:rsid w:val="00F32BE4"/>
    <w:rsid w:val="00F32DF8"/>
    <w:rsid w:val="00F331EE"/>
    <w:rsid w:val="00F338ED"/>
    <w:rsid w:val="00F33B83"/>
    <w:rsid w:val="00F3455D"/>
    <w:rsid w:val="00F34A06"/>
    <w:rsid w:val="00F34BAF"/>
    <w:rsid w:val="00F35DD8"/>
    <w:rsid w:val="00F363AA"/>
    <w:rsid w:val="00F36576"/>
    <w:rsid w:val="00F3693A"/>
    <w:rsid w:val="00F36A74"/>
    <w:rsid w:val="00F370F8"/>
    <w:rsid w:val="00F372E2"/>
    <w:rsid w:val="00F37ADD"/>
    <w:rsid w:val="00F4114A"/>
    <w:rsid w:val="00F411E8"/>
    <w:rsid w:val="00F4175D"/>
    <w:rsid w:val="00F417EF"/>
    <w:rsid w:val="00F42337"/>
    <w:rsid w:val="00F428C0"/>
    <w:rsid w:val="00F43229"/>
    <w:rsid w:val="00F43253"/>
    <w:rsid w:val="00F4406C"/>
    <w:rsid w:val="00F4478C"/>
    <w:rsid w:val="00F4496F"/>
    <w:rsid w:val="00F4626A"/>
    <w:rsid w:val="00F46985"/>
    <w:rsid w:val="00F4733F"/>
    <w:rsid w:val="00F477B9"/>
    <w:rsid w:val="00F47CCD"/>
    <w:rsid w:val="00F500E3"/>
    <w:rsid w:val="00F501D7"/>
    <w:rsid w:val="00F504B7"/>
    <w:rsid w:val="00F50689"/>
    <w:rsid w:val="00F50885"/>
    <w:rsid w:val="00F509FE"/>
    <w:rsid w:val="00F51250"/>
    <w:rsid w:val="00F52363"/>
    <w:rsid w:val="00F54208"/>
    <w:rsid w:val="00F55BEC"/>
    <w:rsid w:val="00F563DA"/>
    <w:rsid w:val="00F56B3C"/>
    <w:rsid w:val="00F57717"/>
    <w:rsid w:val="00F57B09"/>
    <w:rsid w:val="00F57B9A"/>
    <w:rsid w:val="00F60AC5"/>
    <w:rsid w:val="00F60D02"/>
    <w:rsid w:val="00F60EB2"/>
    <w:rsid w:val="00F61611"/>
    <w:rsid w:val="00F6236C"/>
    <w:rsid w:val="00F62FC0"/>
    <w:rsid w:val="00F63602"/>
    <w:rsid w:val="00F63679"/>
    <w:rsid w:val="00F637BB"/>
    <w:rsid w:val="00F64C35"/>
    <w:rsid w:val="00F64F6E"/>
    <w:rsid w:val="00F656DB"/>
    <w:rsid w:val="00F65ED9"/>
    <w:rsid w:val="00F6697B"/>
    <w:rsid w:val="00F67536"/>
    <w:rsid w:val="00F67BE0"/>
    <w:rsid w:val="00F67E1B"/>
    <w:rsid w:val="00F70A51"/>
    <w:rsid w:val="00F70C22"/>
    <w:rsid w:val="00F70C4A"/>
    <w:rsid w:val="00F70D85"/>
    <w:rsid w:val="00F715F1"/>
    <w:rsid w:val="00F71951"/>
    <w:rsid w:val="00F71FF0"/>
    <w:rsid w:val="00F73344"/>
    <w:rsid w:val="00F7416E"/>
    <w:rsid w:val="00F742AB"/>
    <w:rsid w:val="00F74EE4"/>
    <w:rsid w:val="00F75095"/>
    <w:rsid w:val="00F75DCC"/>
    <w:rsid w:val="00F77362"/>
    <w:rsid w:val="00F77689"/>
    <w:rsid w:val="00F7777D"/>
    <w:rsid w:val="00F803E6"/>
    <w:rsid w:val="00F80494"/>
    <w:rsid w:val="00F80AEA"/>
    <w:rsid w:val="00F82763"/>
    <w:rsid w:val="00F832D6"/>
    <w:rsid w:val="00F83FF7"/>
    <w:rsid w:val="00F866AA"/>
    <w:rsid w:val="00F87115"/>
    <w:rsid w:val="00F87C12"/>
    <w:rsid w:val="00F87DB3"/>
    <w:rsid w:val="00F87F77"/>
    <w:rsid w:val="00F90364"/>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D03"/>
    <w:rsid w:val="00FA2779"/>
    <w:rsid w:val="00FA2870"/>
    <w:rsid w:val="00FA3263"/>
    <w:rsid w:val="00FA3298"/>
    <w:rsid w:val="00FA6434"/>
    <w:rsid w:val="00FA6AB6"/>
    <w:rsid w:val="00FA6CEB"/>
    <w:rsid w:val="00FA718B"/>
    <w:rsid w:val="00FB0987"/>
    <w:rsid w:val="00FB09F8"/>
    <w:rsid w:val="00FB0AC5"/>
    <w:rsid w:val="00FB1AB8"/>
    <w:rsid w:val="00FB1BB6"/>
    <w:rsid w:val="00FB2FA3"/>
    <w:rsid w:val="00FB33B3"/>
    <w:rsid w:val="00FB35FC"/>
    <w:rsid w:val="00FB56FE"/>
    <w:rsid w:val="00FB5F58"/>
    <w:rsid w:val="00FB5FDC"/>
    <w:rsid w:val="00FB6140"/>
    <w:rsid w:val="00FB6911"/>
    <w:rsid w:val="00FB6B1F"/>
    <w:rsid w:val="00FB798D"/>
    <w:rsid w:val="00FC05A6"/>
    <w:rsid w:val="00FC10AB"/>
    <w:rsid w:val="00FC12A2"/>
    <w:rsid w:val="00FC1F6B"/>
    <w:rsid w:val="00FC2B2D"/>
    <w:rsid w:val="00FC2C70"/>
    <w:rsid w:val="00FC4B94"/>
    <w:rsid w:val="00FC521F"/>
    <w:rsid w:val="00FC557E"/>
    <w:rsid w:val="00FC58D6"/>
    <w:rsid w:val="00FC5AC5"/>
    <w:rsid w:val="00FC6CC6"/>
    <w:rsid w:val="00FC6F42"/>
    <w:rsid w:val="00FC71CA"/>
    <w:rsid w:val="00FC7D09"/>
    <w:rsid w:val="00FD1E74"/>
    <w:rsid w:val="00FD2B2F"/>
    <w:rsid w:val="00FD2E0A"/>
    <w:rsid w:val="00FD3A2A"/>
    <w:rsid w:val="00FD3ED1"/>
    <w:rsid w:val="00FD4095"/>
    <w:rsid w:val="00FD545B"/>
    <w:rsid w:val="00FD57E1"/>
    <w:rsid w:val="00FD5FA1"/>
    <w:rsid w:val="00FD647C"/>
    <w:rsid w:val="00FD65AF"/>
    <w:rsid w:val="00FD66C6"/>
    <w:rsid w:val="00FD7C45"/>
    <w:rsid w:val="00FD7C9D"/>
    <w:rsid w:val="00FD7DD4"/>
    <w:rsid w:val="00FE0B98"/>
    <w:rsid w:val="00FE1D95"/>
    <w:rsid w:val="00FE2660"/>
    <w:rsid w:val="00FE2B6B"/>
    <w:rsid w:val="00FE3632"/>
    <w:rsid w:val="00FE3A60"/>
    <w:rsid w:val="00FE458E"/>
    <w:rsid w:val="00FE4890"/>
    <w:rsid w:val="00FE4FED"/>
    <w:rsid w:val="00FE71FE"/>
    <w:rsid w:val="00FE7ADC"/>
    <w:rsid w:val="00FE7D0B"/>
    <w:rsid w:val="00FF021B"/>
    <w:rsid w:val="00FF03F4"/>
    <w:rsid w:val="00FF093B"/>
    <w:rsid w:val="00FF0D8C"/>
    <w:rsid w:val="00FF1609"/>
    <w:rsid w:val="00FF3432"/>
    <w:rsid w:val="00FF3804"/>
    <w:rsid w:val="00FF3FEF"/>
    <w:rsid w:val="00FF5543"/>
    <w:rsid w:val="00FF726A"/>
    <w:rsid w:val="00FF729A"/>
    <w:rsid w:val="00FF733A"/>
    <w:rsid w:val="00FF738D"/>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EE1A1277-5A1A-40DA-97B9-BB4D61B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10"/>
    <w:pPr>
      <w:jc w:val="both"/>
    </w:pPr>
    <w:rPr>
      <w:rFonts w:ascii="ZapfCalligr BT" w:hAnsi="ZapfCalligr BT"/>
      <w:szCs w:val="20"/>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89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3189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3189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3189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3189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31891"/>
    <w:rPr>
      <w:rFonts w:ascii="Calibri" w:hAnsi="Calibri" w:cs="Times New Roman"/>
      <w:b/>
      <w:bCs/>
    </w:rPr>
  </w:style>
  <w:style w:type="character" w:customStyle="1" w:styleId="Heading7Char">
    <w:name w:val="Heading 7 Char"/>
    <w:basedOn w:val="DefaultParagraphFont"/>
    <w:link w:val="Heading7"/>
    <w:uiPriority w:val="99"/>
    <w:semiHidden/>
    <w:locked/>
    <w:rsid w:val="00E3189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3189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31891"/>
    <w:rPr>
      <w:rFonts w:ascii="ZapfCalligr BT" w:hAnsi="ZapfCalligr BT" w:cs="Times New Roman"/>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basedOn w:val="DefaultParagraphFont"/>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basedOn w:val="DefaultParagraphFont"/>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basedOn w:val="DefaultParagraphFont"/>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basedOn w:val="DefaultParagraphFont"/>
    <w:link w:val="BodyText3"/>
    <w:uiPriority w:val="99"/>
    <w:semiHidden/>
    <w:locked/>
    <w:rsid w:val="00E31891"/>
    <w:rPr>
      <w:rFonts w:ascii="ZapfCalligr BT" w:hAnsi="ZapfCalligr BT" w:cs="Times New Roman"/>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basedOn w:val="DefaultParagraphFont"/>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basedOn w:val="DefaultParagraphFont"/>
    <w:link w:val="BodyTextIndent3"/>
    <w:uiPriority w:val="99"/>
    <w:semiHidden/>
    <w:locked/>
    <w:rsid w:val="00E31891"/>
    <w:rPr>
      <w:rFonts w:ascii="ZapfCalligr BT" w:hAnsi="ZapfCalligr BT" w:cs="Times New Roman"/>
      <w:sz w:val="16"/>
      <w:szCs w:val="16"/>
    </w:rPr>
  </w:style>
  <w:style w:type="character" w:styleId="Emphasis">
    <w:name w:val="Emphasis"/>
    <w:basedOn w:val="DefaultParagraphFont"/>
    <w:uiPriority w:val="99"/>
    <w:qFormat/>
    <w:rsid w:val="00D647B3"/>
    <w:rPr>
      <w:rFonts w:cs="Times New Roman"/>
      <w:i/>
      <w:iCs/>
    </w:rPr>
  </w:style>
  <w:style w:type="character" w:customStyle="1" w:styleId="EmailStyle471">
    <w:name w:val="EmailStyle471"/>
    <w:basedOn w:val="DefaultParagraphFont"/>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basedOn w:val="DefaultParagraphFont"/>
    <w:uiPriority w:val="22"/>
    <w:qFormat/>
    <w:locked/>
    <w:rsid w:val="00F803E6"/>
    <w:rPr>
      <w:b/>
      <w:bCs/>
    </w:rPr>
  </w:style>
  <w:style w:type="paragraph" w:styleId="PlainText">
    <w:name w:val="Plain Text"/>
    <w:basedOn w:val="Normal"/>
    <w:link w:val="PlainTextChar"/>
    <w:uiPriority w:val="99"/>
    <w:semiHidden/>
    <w:unhideWhenUsed/>
    <w:locked/>
    <w:rsid w:val="00F07AC8"/>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F07AC8"/>
    <w:rPr>
      <w:rFonts w:ascii="Calibri" w:eastAsiaTheme="minorHAnsi" w:hAnsi="Calibri" w:cstheme="minorBidi"/>
      <w:szCs w:val="21"/>
      <w:lang w:eastAsia="en-US"/>
    </w:rPr>
  </w:style>
  <w:style w:type="character" w:customStyle="1" w:styleId="ab">
    <w:name w:val="ab"/>
    <w:basedOn w:val="DefaultParagraphFont"/>
    <w:rsid w:val="004066AA"/>
    <w:rPr>
      <w:rFonts w:ascii="Arial" w:hAnsi="Arial" w:cs="Arial" w:hint="default"/>
    </w:rPr>
  </w:style>
  <w:style w:type="character" w:styleId="CommentReference">
    <w:name w:val="annotation reference"/>
    <w:basedOn w:val="DefaultParagraphFont"/>
    <w:uiPriority w:val="99"/>
    <w:semiHidden/>
    <w:unhideWhenUsed/>
    <w:locked/>
    <w:rsid w:val="000B2288"/>
    <w:rPr>
      <w:sz w:val="16"/>
      <w:szCs w:val="16"/>
    </w:rPr>
  </w:style>
  <w:style w:type="paragraph" w:styleId="CommentText">
    <w:name w:val="annotation text"/>
    <w:basedOn w:val="Normal"/>
    <w:link w:val="CommentTextChar"/>
    <w:uiPriority w:val="99"/>
    <w:semiHidden/>
    <w:unhideWhenUsed/>
    <w:locked/>
    <w:rsid w:val="000B2288"/>
    <w:rPr>
      <w:sz w:val="20"/>
    </w:rPr>
  </w:style>
  <w:style w:type="character" w:customStyle="1" w:styleId="CommentTextChar">
    <w:name w:val="Comment Text Char"/>
    <w:basedOn w:val="DefaultParagraphFont"/>
    <w:link w:val="CommentText"/>
    <w:uiPriority w:val="99"/>
    <w:semiHidden/>
    <w:rsid w:val="000B2288"/>
    <w:rPr>
      <w:rFonts w:ascii="ZapfCalligr BT" w:hAnsi="ZapfCalligr BT"/>
      <w:sz w:val="20"/>
      <w:szCs w:val="20"/>
    </w:rPr>
  </w:style>
  <w:style w:type="paragraph" w:styleId="CommentSubject">
    <w:name w:val="annotation subject"/>
    <w:basedOn w:val="CommentText"/>
    <w:next w:val="CommentText"/>
    <w:link w:val="CommentSubjectChar"/>
    <w:uiPriority w:val="99"/>
    <w:semiHidden/>
    <w:unhideWhenUsed/>
    <w:locked/>
    <w:rsid w:val="000B2288"/>
    <w:rPr>
      <w:b/>
      <w:bCs/>
    </w:rPr>
  </w:style>
  <w:style w:type="character" w:customStyle="1" w:styleId="CommentSubjectChar">
    <w:name w:val="Comment Subject Char"/>
    <w:basedOn w:val="CommentTextChar"/>
    <w:link w:val="CommentSubject"/>
    <w:uiPriority w:val="99"/>
    <w:semiHidden/>
    <w:rsid w:val="000B2288"/>
    <w:rPr>
      <w:rFonts w:ascii="ZapfCalligr BT" w:hAnsi="ZapfCalligr BT"/>
      <w:b/>
      <w:bCs/>
      <w:sz w:val="20"/>
      <w:szCs w:val="20"/>
    </w:rPr>
  </w:style>
  <w:style w:type="paragraph" w:styleId="Revision">
    <w:name w:val="Revision"/>
    <w:hidden/>
    <w:uiPriority w:val="99"/>
    <w:semiHidden/>
    <w:rsid w:val="000B2288"/>
    <w:rPr>
      <w:rFonts w:ascii="ZapfCalligr BT" w:hAnsi="ZapfCalligr BT"/>
      <w:szCs w:val="20"/>
    </w:rPr>
  </w:style>
  <w:style w:type="paragraph" w:styleId="NormalWeb">
    <w:name w:val="Normal (Web)"/>
    <w:basedOn w:val="Normal"/>
    <w:uiPriority w:val="99"/>
    <w:semiHidden/>
    <w:unhideWhenUsed/>
    <w:locked/>
    <w:rsid w:val="00FC71CA"/>
    <w:pPr>
      <w:spacing w:before="100" w:beforeAutospacing="1" w:after="100" w:afterAutospacing="1"/>
      <w:jc w:val="left"/>
    </w:pPr>
    <w:rPr>
      <w:rFonts w:ascii="Times New Roman" w:eastAsiaTheme="minorEastAsia" w:hAnsi="Times New Roman"/>
      <w:sz w:val="24"/>
      <w:szCs w:val="24"/>
    </w:rPr>
  </w:style>
  <w:style w:type="paragraph" w:customStyle="1" w:styleId="Default">
    <w:name w:val="Default"/>
    <w:rsid w:val="002E3B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631">
      <w:bodyDiv w:val="1"/>
      <w:marLeft w:val="0"/>
      <w:marRight w:val="0"/>
      <w:marTop w:val="0"/>
      <w:marBottom w:val="0"/>
      <w:divBdr>
        <w:top w:val="none" w:sz="0" w:space="0" w:color="auto"/>
        <w:left w:val="none" w:sz="0" w:space="0" w:color="auto"/>
        <w:bottom w:val="none" w:sz="0" w:space="0" w:color="auto"/>
        <w:right w:val="none" w:sz="0" w:space="0" w:color="auto"/>
      </w:divBdr>
    </w:div>
    <w:div w:id="123082908">
      <w:bodyDiv w:val="1"/>
      <w:marLeft w:val="0"/>
      <w:marRight w:val="0"/>
      <w:marTop w:val="0"/>
      <w:marBottom w:val="0"/>
      <w:divBdr>
        <w:top w:val="none" w:sz="0" w:space="0" w:color="auto"/>
        <w:left w:val="none" w:sz="0" w:space="0" w:color="auto"/>
        <w:bottom w:val="none" w:sz="0" w:space="0" w:color="auto"/>
        <w:right w:val="none" w:sz="0" w:space="0" w:color="auto"/>
      </w:divBdr>
    </w:div>
    <w:div w:id="339744398">
      <w:bodyDiv w:val="1"/>
      <w:marLeft w:val="0"/>
      <w:marRight w:val="0"/>
      <w:marTop w:val="0"/>
      <w:marBottom w:val="0"/>
      <w:divBdr>
        <w:top w:val="none" w:sz="0" w:space="0" w:color="auto"/>
        <w:left w:val="none" w:sz="0" w:space="0" w:color="auto"/>
        <w:bottom w:val="none" w:sz="0" w:space="0" w:color="auto"/>
        <w:right w:val="none" w:sz="0" w:space="0" w:color="auto"/>
      </w:divBdr>
    </w:div>
    <w:div w:id="494296361">
      <w:bodyDiv w:val="1"/>
      <w:marLeft w:val="0"/>
      <w:marRight w:val="0"/>
      <w:marTop w:val="0"/>
      <w:marBottom w:val="0"/>
      <w:divBdr>
        <w:top w:val="none" w:sz="0" w:space="0" w:color="auto"/>
        <w:left w:val="none" w:sz="0" w:space="0" w:color="auto"/>
        <w:bottom w:val="none" w:sz="0" w:space="0" w:color="auto"/>
        <w:right w:val="none" w:sz="0" w:space="0" w:color="auto"/>
      </w:divBdr>
    </w:div>
    <w:div w:id="660936513">
      <w:bodyDiv w:val="1"/>
      <w:marLeft w:val="0"/>
      <w:marRight w:val="0"/>
      <w:marTop w:val="0"/>
      <w:marBottom w:val="0"/>
      <w:divBdr>
        <w:top w:val="none" w:sz="0" w:space="0" w:color="auto"/>
        <w:left w:val="none" w:sz="0" w:space="0" w:color="auto"/>
        <w:bottom w:val="none" w:sz="0" w:space="0" w:color="auto"/>
        <w:right w:val="none" w:sz="0" w:space="0" w:color="auto"/>
      </w:divBdr>
    </w:div>
    <w:div w:id="1547794410">
      <w:bodyDiv w:val="1"/>
      <w:marLeft w:val="0"/>
      <w:marRight w:val="0"/>
      <w:marTop w:val="0"/>
      <w:marBottom w:val="0"/>
      <w:divBdr>
        <w:top w:val="none" w:sz="0" w:space="0" w:color="auto"/>
        <w:left w:val="none" w:sz="0" w:space="0" w:color="auto"/>
        <w:bottom w:val="none" w:sz="0" w:space="0" w:color="auto"/>
        <w:right w:val="none" w:sz="0" w:space="0" w:color="auto"/>
      </w:divBdr>
    </w:div>
    <w:div w:id="1890605947">
      <w:bodyDiv w:val="1"/>
      <w:marLeft w:val="0"/>
      <w:marRight w:val="0"/>
      <w:marTop w:val="0"/>
      <w:marBottom w:val="0"/>
      <w:divBdr>
        <w:top w:val="none" w:sz="0" w:space="0" w:color="auto"/>
        <w:left w:val="none" w:sz="0" w:space="0" w:color="auto"/>
        <w:bottom w:val="none" w:sz="0" w:space="0" w:color="auto"/>
        <w:right w:val="none" w:sz="0" w:space="0" w:color="auto"/>
      </w:divBdr>
    </w:div>
    <w:div w:id="2019458465">
      <w:marLeft w:val="0"/>
      <w:marRight w:val="0"/>
      <w:marTop w:val="0"/>
      <w:marBottom w:val="0"/>
      <w:divBdr>
        <w:top w:val="none" w:sz="0" w:space="0" w:color="auto"/>
        <w:left w:val="none" w:sz="0" w:space="0" w:color="auto"/>
        <w:bottom w:val="none" w:sz="0" w:space="0" w:color="auto"/>
        <w:right w:val="none" w:sz="0" w:space="0" w:color="auto"/>
      </w:divBdr>
    </w:div>
    <w:div w:id="2019458466">
      <w:marLeft w:val="0"/>
      <w:marRight w:val="0"/>
      <w:marTop w:val="0"/>
      <w:marBottom w:val="0"/>
      <w:divBdr>
        <w:top w:val="none" w:sz="0" w:space="0" w:color="auto"/>
        <w:left w:val="none" w:sz="0" w:space="0" w:color="auto"/>
        <w:bottom w:val="none" w:sz="0" w:space="0" w:color="auto"/>
        <w:right w:val="none" w:sz="0" w:space="0" w:color="auto"/>
      </w:divBdr>
    </w:div>
    <w:div w:id="2019458472">
      <w:marLeft w:val="0"/>
      <w:marRight w:val="0"/>
      <w:marTop w:val="0"/>
      <w:marBottom w:val="0"/>
      <w:divBdr>
        <w:top w:val="none" w:sz="0" w:space="0" w:color="auto"/>
        <w:left w:val="none" w:sz="0" w:space="0" w:color="auto"/>
        <w:bottom w:val="none" w:sz="0" w:space="0" w:color="auto"/>
        <w:right w:val="none" w:sz="0" w:space="0" w:color="auto"/>
      </w:divBdr>
    </w:div>
    <w:div w:id="2019458473">
      <w:marLeft w:val="0"/>
      <w:marRight w:val="0"/>
      <w:marTop w:val="0"/>
      <w:marBottom w:val="0"/>
      <w:divBdr>
        <w:top w:val="none" w:sz="0" w:space="0" w:color="auto"/>
        <w:left w:val="none" w:sz="0" w:space="0" w:color="auto"/>
        <w:bottom w:val="none" w:sz="0" w:space="0" w:color="auto"/>
        <w:right w:val="none" w:sz="0" w:space="0" w:color="auto"/>
      </w:divBdr>
      <w:divsChild>
        <w:div w:id="2019458467">
          <w:marLeft w:val="0"/>
          <w:marRight w:val="0"/>
          <w:marTop w:val="0"/>
          <w:marBottom w:val="0"/>
          <w:divBdr>
            <w:top w:val="none" w:sz="0" w:space="0" w:color="auto"/>
            <w:left w:val="none" w:sz="0" w:space="0" w:color="auto"/>
            <w:bottom w:val="none" w:sz="0" w:space="0" w:color="auto"/>
            <w:right w:val="none" w:sz="0" w:space="0" w:color="auto"/>
          </w:divBdr>
        </w:div>
        <w:div w:id="2019458477">
          <w:marLeft w:val="0"/>
          <w:marRight w:val="0"/>
          <w:marTop w:val="0"/>
          <w:marBottom w:val="0"/>
          <w:divBdr>
            <w:top w:val="none" w:sz="0" w:space="0" w:color="auto"/>
            <w:left w:val="none" w:sz="0" w:space="0" w:color="auto"/>
            <w:bottom w:val="none" w:sz="0" w:space="0" w:color="auto"/>
            <w:right w:val="none" w:sz="0" w:space="0" w:color="auto"/>
          </w:divBdr>
        </w:div>
      </w:divsChild>
    </w:div>
    <w:div w:id="2019458478">
      <w:marLeft w:val="0"/>
      <w:marRight w:val="0"/>
      <w:marTop w:val="0"/>
      <w:marBottom w:val="0"/>
      <w:divBdr>
        <w:top w:val="none" w:sz="0" w:space="0" w:color="auto"/>
        <w:left w:val="none" w:sz="0" w:space="0" w:color="auto"/>
        <w:bottom w:val="none" w:sz="0" w:space="0" w:color="auto"/>
        <w:right w:val="none" w:sz="0" w:space="0" w:color="auto"/>
      </w:divBdr>
      <w:divsChild>
        <w:div w:id="2019458468">
          <w:marLeft w:val="0"/>
          <w:marRight w:val="0"/>
          <w:marTop w:val="0"/>
          <w:marBottom w:val="0"/>
          <w:divBdr>
            <w:top w:val="none" w:sz="0" w:space="0" w:color="auto"/>
            <w:left w:val="none" w:sz="0" w:space="0" w:color="auto"/>
            <w:bottom w:val="none" w:sz="0" w:space="0" w:color="auto"/>
            <w:right w:val="none" w:sz="0" w:space="0" w:color="auto"/>
          </w:divBdr>
        </w:div>
        <w:div w:id="2019458469">
          <w:marLeft w:val="0"/>
          <w:marRight w:val="0"/>
          <w:marTop w:val="0"/>
          <w:marBottom w:val="0"/>
          <w:divBdr>
            <w:top w:val="none" w:sz="0" w:space="0" w:color="auto"/>
            <w:left w:val="none" w:sz="0" w:space="0" w:color="auto"/>
            <w:bottom w:val="none" w:sz="0" w:space="0" w:color="auto"/>
            <w:right w:val="none" w:sz="0" w:space="0" w:color="auto"/>
          </w:divBdr>
        </w:div>
        <w:div w:id="2019458470">
          <w:marLeft w:val="0"/>
          <w:marRight w:val="0"/>
          <w:marTop w:val="0"/>
          <w:marBottom w:val="0"/>
          <w:divBdr>
            <w:top w:val="none" w:sz="0" w:space="0" w:color="auto"/>
            <w:left w:val="none" w:sz="0" w:space="0" w:color="auto"/>
            <w:bottom w:val="none" w:sz="0" w:space="0" w:color="auto"/>
            <w:right w:val="none" w:sz="0" w:space="0" w:color="auto"/>
          </w:divBdr>
        </w:div>
        <w:div w:id="2019458471">
          <w:marLeft w:val="0"/>
          <w:marRight w:val="0"/>
          <w:marTop w:val="0"/>
          <w:marBottom w:val="0"/>
          <w:divBdr>
            <w:top w:val="none" w:sz="0" w:space="0" w:color="auto"/>
            <w:left w:val="none" w:sz="0" w:space="0" w:color="auto"/>
            <w:bottom w:val="none" w:sz="0" w:space="0" w:color="auto"/>
            <w:right w:val="none" w:sz="0" w:space="0" w:color="auto"/>
          </w:divBdr>
        </w:div>
        <w:div w:id="2019458474">
          <w:marLeft w:val="0"/>
          <w:marRight w:val="0"/>
          <w:marTop w:val="0"/>
          <w:marBottom w:val="0"/>
          <w:divBdr>
            <w:top w:val="none" w:sz="0" w:space="0" w:color="auto"/>
            <w:left w:val="none" w:sz="0" w:space="0" w:color="auto"/>
            <w:bottom w:val="none" w:sz="0" w:space="0" w:color="auto"/>
            <w:right w:val="none" w:sz="0" w:space="0" w:color="auto"/>
          </w:divBdr>
        </w:div>
        <w:div w:id="2019458475">
          <w:marLeft w:val="0"/>
          <w:marRight w:val="0"/>
          <w:marTop w:val="0"/>
          <w:marBottom w:val="0"/>
          <w:divBdr>
            <w:top w:val="none" w:sz="0" w:space="0" w:color="auto"/>
            <w:left w:val="none" w:sz="0" w:space="0" w:color="auto"/>
            <w:bottom w:val="none" w:sz="0" w:space="0" w:color="auto"/>
            <w:right w:val="none" w:sz="0" w:space="0" w:color="auto"/>
          </w:divBdr>
        </w:div>
        <w:div w:id="2019458476">
          <w:marLeft w:val="0"/>
          <w:marRight w:val="0"/>
          <w:marTop w:val="0"/>
          <w:marBottom w:val="0"/>
          <w:divBdr>
            <w:top w:val="none" w:sz="0" w:space="0" w:color="auto"/>
            <w:left w:val="none" w:sz="0" w:space="0" w:color="auto"/>
            <w:bottom w:val="none" w:sz="0" w:space="0" w:color="auto"/>
            <w:right w:val="none" w:sz="0" w:space="0" w:color="auto"/>
          </w:divBdr>
        </w:div>
        <w:div w:id="2019458480">
          <w:marLeft w:val="0"/>
          <w:marRight w:val="0"/>
          <w:marTop w:val="0"/>
          <w:marBottom w:val="0"/>
          <w:divBdr>
            <w:top w:val="none" w:sz="0" w:space="0" w:color="auto"/>
            <w:left w:val="none" w:sz="0" w:space="0" w:color="auto"/>
            <w:bottom w:val="none" w:sz="0" w:space="0" w:color="auto"/>
            <w:right w:val="none" w:sz="0" w:space="0" w:color="auto"/>
          </w:divBdr>
        </w:div>
      </w:divsChild>
    </w:div>
    <w:div w:id="2019458479">
      <w:marLeft w:val="0"/>
      <w:marRight w:val="0"/>
      <w:marTop w:val="0"/>
      <w:marBottom w:val="0"/>
      <w:divBdr>
        <w:top w:val="none" w:sz="0" w:space="0" w:color="auto"/>
        <w:left w:val="none" w:sz="0" w:space="0" w:color="auto"/>
        <w:bottom w:val="none" w:sz="0" w:space="0" w:color="auto"/>
        <w:right w:val="none" w:sz="0" w:space="0" w:color="auto"/>
      </w:divBdr>
    </w:div>
    <w:div w:id="2019458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index.asp?pageid=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A6CF-B71F-4F92-AF61-9D0EF90C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2877</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Marolia, Dil</cp:lastModifiedBy>
  <cp:revision>3</cp:revision>
  <cp:lastPrinted>2014-05-28T08:25:00Z</cp:lastPrinted>
  <dcterms:created xsi:type="dcterms:W3CDTF">2014-05-28T17:59:00Z</dcterms:created>
  <dcterms:modified xsi:type="dcterms:W3CDTF">2014-05-28T18:00:00Z</dcterms:modified>
</cp:coreProperties>
</file>