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A0" w:rsidRDefault="009C58A0" w:rsidP="00597747">
      <w:pPr>
        <w:jc w:val="center"/>
        <w:rPr>
          <w:rFonts w:ascii="Arial" w:hAnsi="Arial" w:cs="Arial"/>
          <w:sz w:val="24"/>
        </w:rPr>
      </w:pPr>
      <w:r>
        <w:rPr>
          <w:rFonts w:ascii="Arial" w:hAnsi="Arial" w:cs="Arial"/>
          <w:b/>
          <w:sz w:val="24"/>
        </w:rPr>
        <w:t>EMBARGOED UNTIL 0700 HOURS – Thursday 28 November 2013</w:t>
      </w:r>
    </w:p>
    <w:p w:rsidR="009C58A0" w:rsidRPr="00954FE4" w:rsidRDefault="009C58A0" w:rsidP="006040A0">
      <w:pPr>
        <w:rPr>
          <w:rFonts w:ascii="Arial" w:hAnsi="Arial" w:cs="Arial"/>
          <w:sz w:val="24"/>
        </w:rPr>
      </w:pPr>
    </w:p>
    <w:p w:rsidR="009C58A0" w:rsidRPr="00954FE4" w:rsidRDefault="009C58A0" w:rsidP="002832E3">
      <w:pPr>
        <w:jc w:val="center"/>
        <w:rPr>
          <w:rFonts w:ascii="Arial" w:hAnsi="Arial" w:cs="Arial"/>
          <w:szCs w:val="22"/>
        </w:rPr>
      </w:pPr>
      <w:r w:rsidRPr="00954FE4">
        <w:rPr>
          <w:rFonts w:ascii="Arial" w:hAnsi="Arial" w:cs="Arial"/>
          <w:b/>
          <w:sz w:val="24"/>
          <w:szCs w:val="24"/>
        </w:rPr>
        <w:t>Kingfisher reports Q3 retail profit of £</w:t>
      </w:r>
      <w:r>
        <w:rPr>
          <w:rFonts w:ascii="Arial" w:hAnsi="Arial" w:cs="Arial"/>
          <w:b/>
          <w:sz w:val="24"/>
          <w:szCs w:val="24"/>
        </w:rPr>
        <w:t>271</w:t>
      </w:r>
      <w:r w:rsidRPr="00954FE4">
        <w:rPr>
          <w:rFonts w:ascii="Arial" w:hAnsi="Arial" w:cs="Arial"/>
          <w:b/>
          <w:sz w:val="24"/>
          <w:szCs w:val="24"/>
        </w:rPr>
        <w:t xml:space="preserve"> million, up</w:t>
      </w:r>
      <w:r>
        <w:rPr>
          <w:rFonts w:ascii="Arial" w:hAnsi="Arial" w:cs="Arial"/>
          <w:b/>
          <w:sz w:val="24"/>
          <w:szCs w:val="24"/>
        </w:rPr>
        <w:t xml:space="preserve"> 1.7</w:t>
      </w:r>
      <w:r w:rsidRPr="00954FE4">
        <w:rPr>
          <w:rFonts w:ascii="Arial" w:hAnsi="Arial" w:cs="Arial"/>
          <w:b/>
          <w:sz w:val="24"/>
          <w:szCs w:val="24"/>
        </w:rPr>
        <w:t>% in constant currencies</w:t>
      </w:r>
      <w:r>
        <w:rPr>
          <w:rFonts w:ascii="Arial" w:hAnsi="Arial" w:cs="Arial"/>
          <w:b/>
          <w:sz w:val="24"/>
          <w:szCs w:val="24"/>
        </w:rPr>
        <w:t>, and sales of £2.9</w:t>
      </w:r>
      <w:r w:rsidRPr="00954FE4">
        <w:rPr>
          <w:rFonts w:ascii="Arial" w:hAnsi="Arial" w:cs="Arial"/>
          <w:b/>
          <w:sz w:val="24"/>
          <w:szCs w:val="24"/>
        </w:rPr>
        <w:t xml:space="preserve"> billion, </w:t>
      </w:r>
      <w:r>
        <w:rPr>
          <w:rFonts w:ascii="Arial" w:hAnsi="Arial" w:cs="Arial"/>
          <w:b/>
          <w:sz w:val="24"/>
          <w:szCs w:val="24"/>
        </w:rPr>
        <w:t>up</w:t>
      </w:r>
      <w:r w:rsidRPr="00954FE4">
        <w:rPr>
          <w:rFonts w:ascii="Arial" w:hAnsi="Arial" w:cs="Arial"/>
          <w:b/>
          <w:sz w:val="24"/>
          <w:szCs w:val="24"/>
        </w:rPr>
        <w:t xml:space="preserve"> </w:t>
      </w:r>
      <w:r>
        <w:rPr>
          <w:rFonts w:ascii="Arial" w:hAnsi="Arial" w:cs="Arial"/>
          <w:b/>
          <w:sz w:val="24"/>
          <w:szCs w:val="24"/>
        </w:rPr>
        <w:t>1.4</w:t>
      </w:r>
      <w:r w:rsidRPr="00954FE4">
        <w:rPr>
          <w:rFonts w:ascii="Arial" w:hAnsi="Arial" w:cs="Arial"/>
          <w:b/>
          <w:sz w:val="24"/>
          <w:szCs w:val="24"/>
        </w:rPr>
        <w:t>% LFL</w:t>
      </w:r>
    </w:p>
    <w:p w:rsidR="009C58A0" w:rsidRPr="00954FE4" w:rsidRDefault="009C58A0"/>
    <w:p w:rsidR="009C58A0" w:rsidRPr="00954FE4" w:rsidRDefault="009C58A0" w:rsidP="00ED2C57">
      <w:pPr>
        <w:jc w:val="left"/>
        <w:rPr>
          <w:rFonts w:ascii="Arial" w:hAnsi="Arial" w:cs="Arial"/>
          <w:b/>
          <w:sz w:val="24"/>
          <w:szCs w:val="24"/>
          <w:u w:val="single"/>
        </w:rPr>
      </w:pPr>
      <w:r w:rsidRPr="00954FE4">
        <w:rPr>
          <w:rFonts w:ascii="Arial" w:hAnsi="Arial" w:cs="Arial"/>
          <w:b/>
          <w:sz w:val="24"/>
          <w:szCs w:val="24"/>
          <w:u w:val="single"/>
        </w:rPr>
        <w:t>Group Financial Summary (13 weeks ended 2 November 2013)</w:t>
      </w:r>
    </w:p>
    <w:p w:rsidR="009C58A0" w:rsidRPr="00954FE4" w:rsidRDefault="009C58A0" w:rsidP="00ED2C57">
      <w:pPr>
        <w:jc w:val="left"/>
        <w:rPr>
          <w:rFonts w:ascii="Arial" w:hAnsi="Arial" w:cs="Arial"/>
          <w:b/>
          <w:sz w:val="24"/>
          <w:szCs w:val="24"/>
          <w:u w:val="single"/>
        </w:rPr>
      </w:pPr>
    </w:p>
    <w:tbl>
      <w:tblPr>
        <w:tblW w:w="5000" w:type="pct"/>
        <w:tblLayout w:type="fixed"/>
        <w:tblLook w:val="01E0" w:firstRow="1" w:lastRow="1" w:firstColumn="1" w:lastColumn="1" w:noHBand="0" w:noVBand="0"/>
      </w:tblPr>
      <w:tblGrid>
        <w:gridCol w:w="1409"/>
        <w:gridCol w:w="1149"/>
        <w:gridCol w:w="1291"/>
        <w:gridCol w:w="1292"/>
        <w:gridCol w:w="1294"/>
        <w:gridCol w:w="1006"/>
        <w:gridCol w:w="1298"/>
        <w:gridCol w:w="1258"/>
      </w:tblGrid>
      <w:tr w:rsidR="009C58A0" w:rsidRPr="00954FE4" w:rsidTr="008A3A24">
        <w:trPr>
          <w:trHeight w:val="567"/>
        </w:trPr>
        <w:tc>
          <w:tcPr>
            <w:tcW w:w="705" w:type="pct"/>
            <w:tcBorders>
              <w:bottom w:val="single" w:sz="4" w:space="0" w:color="auto"/>
            </w:tcBorders>
          </w:tcPr>
          <w:p w:rsidR="009C58A0" w:rsidRPr="00954FE4" w:rsidRDefault="009C58A0" w:rsidP="008766BD">
            <w:pPr>
              <w:jc w:val="left"/>
              <w:rPr>
                <w:rFonts w:ascii="Arial" w:hAnsi="Arial" w:cs="Arial"/>
                <w:b/>
                <w:sz w:val="20"/>
                <w:u w:val="single"/>
              </w:rPr>
            </w:pPr>
          </w:p>
        </w:tc>
        <w:tc>
          <w:tcPr>
            <w:tcW w:w="575" w:type="pct"/>
            <w:tcBorders>
              <w:bottom w:val="single" w:sz="4" w:space="0" w:color="auto"/>
            </w:tcBorders>
          </w:tcPr>
          <w:p w:rsidR="009C58A0" w:rsidRPr="00954FE4" w:rsidRDefault="009C58A0" w:rsidP="00343C2C">
            <w:pPr>
              <w:jc w:val="right"/>
              <w:rPr>
                <w:rFonts w:ascii="Arial" w:hAnsi="Arial" w:cs="Arial"/>
                <w:b/>
                <w:sz w:val="20"/>
              </w:rPr>
            </w:pPr>
          </w:p>
          <w:p w:rsidR="009C58A0" w:rsidRPr="00954FE4" w:rsidRDefault="009C58A0" w:rsidP="00343C2C">
            <w:pPr>
              <w:jc w:val="right"/>
              <w:rPr>
                <w:rFonts w:ascii="Arial" w:hAnsi="Arial" w:cs="Arial"/>
                <w:b/>
                <w:sz w:val="20"/>
              </w:rPr>
            </w:pPr>
            <w:r w:rsidRPr="00954FE4">
              <w:rPr>
                <w:rFonts w:ascii="Arial" w:hAnsi="Arial" w:cs="Arial"/>
                <w:b/>
                <w:sz w:val="20"/>
              </w:rPr>
              <w:t xml:space="preserve">Sales </w:t>
            </w:r>
          </w:p>
        </w:tc>
        <w:tc>
          <w:tcPr>
            <w:tcW w:w="646" w:type="pct"/>
            <w:tcBorders>
              <w:bottom w:val="single" w:sz="4" w:space="0" w:color="auto"/>
            </w:tcBorders>
          </w:tcPr>
          <w:p w:rsidR="009C58A0" w:rsidRPr="00954FE4" w:rsidRDefault="009C58A0" w:rsidP="003B19B0">
            <w:pPr>
              <w:jc w:val="right"/>
              <w:rPr>
                <w:rFonts w:ascii="Arial" w:hAnsi="Arial" w:cs="Arial"/>
                <w:b/>
                <w:sz w:val="20"/>
              </w:rPr>
            </w:pPr>
          </w:p>
          <w:p w:rsidR="009C58A0" w:rsidRPr="00954FE4" w:rsidRDefault="009C58A0" w:rsidP="003C1DD2">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6" w:type="pct"/>
            <w:tcBorders>
              <w:bottom w:val="single" w:sz="4" w:space="0" w:color="auto"/>
            </w:tcBorders>
          </w:tcPr>
          <w:p w:rsidR="009C58A0" w:rsidRPr="00954FE4" w:rsidRDefault="009C58A0" w:rsidP="003B19B0">
            <w:pPr>
              <w:jc w:val="right"/>
              <w:rPr>
                <w:rFonts w:ascii="Arial" w:hAnsi="Arial" w:cs="Arial"/>
                <w:b/>
                <w:sz w:val="20"/>
              </w:rPr>
            </w:pPr>
          </w:p>
          <w:p w:rsidR="009C58A0" w:rsidRPr="00954FE4" w:rsidRDefault="009C58A0" w:rsidP="0048611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7" w:type="pct"/>
            <w:tcBorders>
              <w:bottom w:val="single" w:sz="4" w:space="0" w:color="auto"/>
            </w:tcBorders>
          </w:tcPr>
          <w:p w:rsidR="009C58A0" w:rsidRPr="00954FE4" w:rsidRDefault="009C58A0" w:rsidP="003B19B0">
            <w:pPr>
              <w:jc w:val="right"/>
              <w:rPr>
                <w:rFonts w:ascii="Arial" w:hAnsi="Arial" w:cs="Arial"/>
                <w:b/>
                <w:sz w:val="20"/>
              </w:rPr>
            </w:pPr>
          </w:p>
          <w:p w:rsidR="009C58A0" w:rsidRPr="00954FE4" w:rsidRDefault="009C58A0" w:rsidP="00E002C6">
            <w:pPr>
              <w:jc w:val="right"/>
              <w:rPr>
                <w:rFonts w:ascii="Arial" w:hAnsi="Arial" w:cs="Arial"/>
                <w:b/>
                <w:sz w:val="20"/>
              </w:rPr>
            </w:pPr>
            <w:r w:rsidRPr="00954FE4">
              <w:rPr>
                <w:rFonts w:ascii="Arial" w:hAnsi="Arial" w:cs="Arial"/>
                <w:b/>
                <w:sz w:val="20"/>
              </w:rPr>
              <w:t xml:space="preserve">% </w:t>
            </w:r>
            <w:smartTag w:uri="urn:schemas-microsoft-com:office:smarttags" w:element="stockticker">
              <w:r w:rsidRPr="00954FE4">
                <w:rPr>
                  <w:rFonts w:ascii="Arial" w:hAnsi="Arial" w:cs="Arial"/>
                  <w:b/>
                  <w:sz w:val="20"/>
                </w:rPr>
                <w:t>LFL</w:t>
              </w:r>
              <w:r>
                <w:rPr>
                  <w:rFonts w:ascii="Arial" w:hAnsi="Arial" w:cs="Arial"/>
                  <w:b/>
                  <w:sz w:val="20"/>
                </w:rPr>
                <w:t xml:space="preserve"> Change</w:t>
              </w:r>
            </w:smartTag>
          </w:p>
        </w:tc>
        <w:tc>
          <w:tcPr>
            <w:tcW w:w="503" w:type="pct"/>
            <w:tcBorders>
              <w:bottom w:val="single" w:sz="4" w:space="0" w:color="auto"/>
            </w:tcBorders>
          </w:tcPr>
          <w:p w:rsidR="009C58A0" w:rsidRDefault="009C58A0" w:rsidP="009F155C">
            <w:pPr>
              <w:tabs>
                <w:tab w:val="left" w:pos="300"/>
              </w:tabs>
              <w:ind w:right="-170"/>
              <w:jc w:val="center"/>
              <w:rPr>
                <w:rFonts w:ascii="Arial" w:hAnsi="Arial" w:cs="Arial"/>
                <w:b/>
                <w:sz w:val="20"/>
              </w:rPr>
            </w:pPr>
          </w:p>
          <w:p w:rsidR="009C58A0" w:rsidRPr="00954FE4" w:rsidRDefault="009C58A0" w:rsidP="009F155C">
            <w:pPr>
              <w:tabs>
                <w:tab w:val="left" w:pos="300"/>
              </w:tabs>
              <w:ind w:right="-170"/>
              <w:jc w:val="center"/>
              <w:rPr>
                <w:rFonts w:ascii="Arial" w:hAnsi="Arial" w:cs="Arial"/>
                <w:b/>
                <w:sz w:val="20"/>
              </w:rPr>
            </w:pPr>
            <w:r w:rsidRPr="00954FE4">
              <w:rPr>
                <w:rFonts w:ascii="Arial" w:hAnsi="Arial" w:cs="Arial"/>
                <w:b/>
                <w:sz w:val="20"/>
              </w:rPr>
              <w:t xml:space="preserve">Retail Profit </w:t>
            </w:r>
          </w:p>
        </w:tc>
        <w:tc>
          <w:tcPr>
            <w:tcW w:w="649" w:type="pct"/>
            <w:tcBorders>
              <w:bottom w:val="single" w:sz="4" w:space="0" w:color="auto"/>
            </w:tcBorders>
          </w:tcPr>
          <w:p w:rsidR="009C58A0" w:rsidRPr="00954FE4" w:rsidRDefault="009C58A0" w:rsidP="003B19B0">
            <w:pPr>
              <w:jc w:val="right"/>
              <w:rPr>
                <w:rFonts w:ascii="Arial" w:hAnsi="Arial" w:cs="Arial"/>
                <w:b/>
                <w:sz w:val="20"/>
              </w:rPr>
            </w:pPr>
          </w:p>
          <w:p w:rsidR="009C58A0" w:rsidRPr="00954FE4" w:rsidRDefault="009C58A0" w:rsidP="005B0E5D">
            <w:pPr>
              <w:tabs>
                <w:tab w:val="left" w:pos="300"/>
              </w:tabs>
              <w:ind w:hanging="108"/>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29" w:type="pct"/>
            <w:tcBorders>
              <w:bottom w:val="single" w:sz="4" w:space="0" w:color="auto"/>
            </w:tcBorders>
          </w:tcPr>
          <w:p w:rsidR="009C58A0" w:rsidRPr="00954FE4" w:rsidRDefault="009C58A0" w:rsidP="003B19B0">
            <w:pPr>
              <w:jc w:val="right"/>
              <w:rPr>
                <w:rFonts w:ascii="Arial" w:hAnsi="Arial" w:cs="Arial"/>
                <w:b/>
                <w:sz w:val="20"/>
              </w:rPr>
            </w:pPr>
          </w:p>
          <w:p w:rsidR="009C58A0" w:rsidRPr="00954FE4" w:rsidRDefault="009C58A0" w:rsidP="0048611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r>
      <w:tr w:rsidR="009C58A0" w:rsidRPr="00954FE4" w:rsidTr="008A3A24">
        <w:trPr>
          <w:trHeight w:val="567"/>
        </w:trPr>
        <w:tc>
          <w:tcPr>
            <w:tcW w:w="705" w:type="pct"/>
            <w:tcBorders>
              <w:top w:val="single" w:sz="4" w:space="0" w:color="auto"/>
              <w:bottom w:val="single" w:sz="4" w:space="0" w:color="auto"/>
            </w:tcBorders>
          </w:tcPr>
          <w:p w:rsidR="009C58A0" w:rsidRPr="00954FE4" w:rsidRDefault="009C58A0" w:rsidP="00DA546C">
            <w:pPr>
              <w:rPr>
                <w:rFonts w:ascii="Arial" w:hAnsi="Arial" w:cs="Arial"/>
                <w:sz w:val="20"/>
              </w:rPr>
            </w:pPr>
          </w:p>
        </w:tc>
        <w:tc>
          <w:tcPr>
            <w:tcW w:w="575" w:type="pct"/>
            <w:tcBorders>
              <w:top w:val="single" w:sz="4" w:space="0" w:color="auto"/>
              <w:bottom w:val="single" w:sz="4" w:space="0" w:color="auto"/>
            </w:tcBorders>
          </w:tcPr>
          <w:p w:rsidR="009C58A0" w:rsidRDefault="009C58A0" w:rsidP="00343C2C">
            <w:pPr>
              <w:jc w:val="right"/>
              <w:rPr>
                <w:rFonts w:ascii="Arial" w:hAnsi="Arial" w:cs="Arial"/>
                <w:b/>
                <w:sz w:val="20"/>
              </w:rPr>
            </w:pPr>
          </w:p>
          <w:p w:rsidR="009C58A0" w:rsidRPr="00954FE4" w:rsidRDefault="009C58A0" w:rsidP="00343C2C">
            <w:pPr>
              <w:jc w:val="right"/>
              <w:rPr>
                <w:rFonts w:ascii="Arial" w:hAnsi="Arial" w:cs="Arial"/>
                <w:b/>
                <w:sz w:val="20"/>
              </w:rPr>
            </w:pPr>
            <w:r w:rsidRPr="00954FE4">
              <w:rPr>
                <w:rFonts w:ascii="Arial" w:hAnsi="Arial" w:cs="Arial"/>
                <w:b/>
                <w:sz w:val="20"/>
              </w:rPr>
              <w:t>2013/14</w:t>
            </w:r>
          </w:p>
          <w:p w:rsidR="009C58A0" w:rsidRPr="00954FE4" w:rsidRDefault="009C58A0" w:rsidP="00343C2C">
            <w:pPr>
              <w:jc w:val="right"/>
              <w:rPr>
                <w:rFonts w:ascii="Arial" w:hAnsi="Arial" w:cs="Arial"/>
                <w:b/>
                <w:sz w:val="20"/>
              </w:rPr>
            </w:pPr>
            <w:r w:rsidRPr="00954FE4">
              <w:rPr>
                <w:rFonts w:ascii="Arial" w:hAnsi="Arial" w:cs="Arial"/>
                <w:b/>
                <w:sz w:val="20"/>
              </w:rPr>
              <w:t>£m</w:t>
            </w:r>
          </w:p>
        </w:tc>
        <w:tc>
          <w:tcPr>
            <w:tcW w:w="646" w:type="pct"/>
            <w:tcBorders>
              <w:top w:val="single" w:sz="4" w:space="0" w:color="auto"/>
              <w:bottom w:val="single" w:sz="4" w:space="0" w:color="auto"/>
            </w:tcBorders>
          </w:tcPr>
          <w:p w:rsidR="009C58A0" w:rsidRDefault="009C58A0" w:rsidP="00343C2C">
            <w:pPr>
              <w:jc w:val="right"/>
              <w:rPr>
                <w:rFonts w:ascii="Arial" w:hAnsi="Arial" w:cs="Arial"/>
                <w:b/>
                <w:sz w:val="20"/>
              </w:rPr>
            </w:pPr>
          </w:p>
          <w:p w:rsidR="009C58A0" w:rsidRPr="00954FE4" w:rsidRDefault="009C58A0" w:rsidP="00343C2C">
            <w:pPr>
              <w:jc w:val="right"/>
              <w:rPr>
                <w:rFonts w:ascii="Arial" w:hAnsi="Arial" w:cs="Arial"/>
                <w:sz w:val="20"/>
              </w:rPr>
            </w:pPr>
            <w:r w:rsidRPr="00954FE4">
              <w:rPr>
                <w:rFonts w:ascii="Arial" w:hAnsi="Arial" w:cs="Arial"/>
                <w:b/>
                <w:sz w:val="20"/>
              </w:rPr>
              <w:t>Reported</w:t>
            </w:r>
          </w:p>
        </w:tc>
        <w:tc>
          <w:tcPr>
            <w:tcW w:w="646" w:type="pct"/>
            <w:tcBorders>
              <w:top w:val="single" w:sz="4" w:space="0" w:color="auto"/>
              <w:bottom w:val="single" w:sz="4" w:space="0" w:color="auto"/>
            </w:tcBorders>
          </w:tcPr>
          <w:p w:rsidR="009C58A0" w:rsidRPr="00954FE4" w:rsidRDefault="009C58A0" w:rsidP="00486116">
            <w:pPr>
              <w:jc w:val="right"/>
              <w:rPr>
                <w:rFonts w:ascii="Arial" w:hAnsi="Arial" w:cs="Arial"/>
                <w:b/>
                <w:sz w:val="20"/>
              </w:rPr>
            </w:pPr>
          </w:p>
          <w:p w:rsidR="009C58A0" w:rsidRPr="00954FE4" w:rsidRDefault="009C58A0" w:rsidP="00E002C6">
            <w:pPr>
              <w:jc w:val="right"/>
              <w:rPr>
                <w:rFonts w:ascii="Arial" w:hAnsi="Arial" w:cs="Arial"/>
                <w:b/>
                <w:sz w:val="20"/>
              </w:rPr>
            </w:pPr>
            <w:r>
              <w:rPr>
                <w:rFonts w:ascii="Arial" w:hAnsi="Arial" w:cs="Arial"/>
                <w:b/>
                <w:sz w:val="20"/>
              </w:rPr>
              <w:t>Constant currency</w:t>
            </w:r>
          </w:p>
        </w:tc>
        <w:tc>
          <w:tcPr>
            <w:tcW w:w="647" w:type="pct"/>
            <w:tcBorders>
              <w:top w:val="single" w:sz="4" w:space="0" w:color="auto"/>
              <w:bottom w:val="single" w:sz="4" w:space="0" w:color="auto"/>
            </w:tcBorders>
          </w:tcPr>
          <w:p w:rsidR="009C58A0" w:rsidRPr="00954FE4" w:rsidRDefault="009C58A0" w:rsidP="00E002C6">
            <w:pPr>
              <w:jc w:val="right"/>
              <w:rPr>
                <w:rFonts w:ascii="Arial" w:hAnsi="Arial" w:cs="Arial"/>
                <w:b/>
                <w:sz w:val="20"/>
              </w:rPr>
            </w:pPr>
          </w:p>
          <w:p w:rsidR="009C58A0" w:rsidRPr="00954FE4" w:rsidRDefault="009C58A0" w:rsidP="00E002C6">
            <w:pPr>
              <w:jc w:val="right"/>
              <w:rPr>
                <w:rFonts w:ascii="Arial" w:hAnsi="Arial" w:cs="Arial"/>
                <w:b/>
                <w:sz w:val="20"/>
              </w:rPr>
            </w:pPr>
            <w:r>
              <w:rPr>
                <w:rFonts w:ascii="Arial" w:hAnsi="Arial" w:cs="Arial"/>
                <w:b/>
                <w:sz w:val="20"/>
              </w:rPr>
              <w:t>Constant currency</w:t>
            </w:r>
          </w:p>
        </w:tc>
        <w:tc>
          <w:tcPr>
            <w:tcW w:w="503" w:type="pct"/>
            <w:tcBorders>
              <w:top w:val="single" w:sz="4" w:space="0" w:color="auto"/>
              <w:bottom w:val="single" w:sz="4" w:space="0" w:color="auto"/>
            </w:tcBorders>
          </w:tcPr>
          <w:p w:rsidR="009C58A0" w:rsidRDefault="009C58A0" w:rsidP="00FA718B">
            <w:pPr>
              <w:jc w:val="right"/>
              <w:rPr>
                <w:rFonts w:ascii="Arial" w:hAnsi="Arial" w:cs="Arial"/>
                <w:b/>
                <w:sz w:val="20"/>
              </w:rPr>
            </w:pPr>
          </w:p>
          <w:p w:rsidR="009C58A0" w:rsidRPr="00954FE4" w:rsidRDefault="009C58A0" w:rsidP="00FA718B">
            <w:pPr>
              <w:jc w:val="right"/>
              <w:rPr>
                <w:rFonts w:ascii="Arial" w:hAnsi="Arial" w:cs="Arial"/>
                <w:b/>
                <w:sz w:val="20"/>
              </w:rPr>
            </w:pPr>
            <w:r w:rsidRPr="00954FE4">
              <w:rPr>
                <w:rFonts w:ascii="Arial" w:hAnsi="Arial" w:cs="Arial"/>
                <w:b/>
                <w:sz w:val="20"/>
              </w:rPr>
              <w:t>2013/14</w:t>
            </w:r>
          </w:p>
          <w:p w:rsidR="009C58A0" w:rsidRPr="00954FE4" w:rsidRDefault="009C58A0" w:rsidP="00FA718B">
            <w:pPr>
              <w:jc w:val="right"/>
              <w:rPr>
                <w:rFonts w:ascii="Arial" w:hAnsi="Arial" w:cs="Arial"/>
                <w:b/>
                <w:sz w:val="20"/>
              </w:rPr>
            </w:pPr>
            <w:r w:rsidRPr="00954FE4">
              <w:rPr>
                <w:rFonts w:ascii="Arial" w:hAnsi="Arial" w:cs="Arial"/>
                <w:b/>
                <w:sz w:val="20"/>
              </w:rPr>
              <w:t xml:space="preserve">  £m</w:t>
            </w:r>
          </w:p>
        </w:tc>
        <w:tc>
          <w:tcPr>
            <w:tcW w:w="647" w:type="pct"/>
            <w:tcBorders>
              <w:top w:val="single" w:sz="4" w:space="0" w:color="auto"/>
              <w:bottom w:val="single" w:sz="4" w:space="0" w:color="auto"/>
            </w:tcBorders>
          </w:tcPr>
          <w:p w:rsidR="009C58A0" w:rsidRDefault="009C58A0" w:rsidP="005B0E5D">
            <w:pPr>
              <w:tabs>
                <w:tab w:val="left" w:pos="300"/>
              </w:tabs>
              <w:ind w:hanging="108"/>
              <w:jc w:val="right"/>
              <w:rPr>
                <w:rFonts w:ascii="Arial" w:hAnsi="Arial" w:cs="Arial"/>
                <w:b/>
                <w:sz w:val="20"/>
              </w:rPr>
            </w:pPr>
          </w:p>
          <w:p w:rsidR="009C58A0" w:rsidRPr="00954FE4" w:rsidRDefault="009C58A0" w:rsidP="005B0E5D">
            <w:pPr>
              <w:tabs>
                <w:tab w:val="left" w:pos="300"/>
              </w:tabs>
              <w:ind w:hanging="108"/>
              <w:jc w:val="right"/>
              <w:rPr>
                <w:rFonts w:ascii="Arial" w:hAnsi="Arial" w:cs="Arial"/>
                <w:b/>
                <w:sz w:val="20"/>
              </w:rPr>
            </w:pPr>
            <w:r>
              <w:rPr>
                <w:rFonts w:ascii="Arial" w:hAnsi="Arial" w:cs="Arial"/>
                <w:b/>
                <w:sz w:val="20"/>
              </w:rPr>
              <w:t xml:space="preserve"> Reported</w:t>
            </w:r>
          </w:p>
        </w:tc>
        <w:tc>
          <w:tcPr>
            <w:tcW w:w="631" w:type="pct"/>
            <w:tcBorders>
              <w:top w:val="single" w:sz="4" w:space="0" w:color="auto"/>
              <w:bottom w:val="single" w:sz="4" w:space="0" w:color="auto"/>
            </w:tcBorders>
          </w:tcPr>
          <w:p w:rsidR="009C58A0" w:rsidRPr="00954FE4" w:rsidRDefault="009C58A0" w:rsidP="00486116">
            <w:pPr>
              <w:jc w:val="right"/>
              <w:rPr>
                <w:rFonts w:ascii="Arial" w:hAnsi="Arial" w:cs="Arial"/>
                <w:b/>
                <w:sz w:val="20"/>
              </w:rPr>
            </w:pPr>
          </w:p>
          <w:p w:rsidR="009C58A0" w:rsidRPr="00954FE4" w:rsidRDefault="009C58A0" w:rsidP="00486116">
            <w:pPr>
              <w:jc w:val="right"/>
              <w:rPr>
                <w:rFonts w:ascii="Arial" w:hAnsi="Arial" w:cs="Arial"/>
                <w:b/>
                <w:sz w:val="20"/>
              </w:rPr>
            </w:pPr>
            <w:r>
              <w:rPr>
                <w:rFonts w:ascii="Arial" w:hAnsi="Arial" w:cs="Arial"/>
                <w:b/>
                <w:sz w:val="20"/>
              </w:rPr>
              <w:t>Constant currency</w:t>
            </w:r>
          </w:p>
        </w:tc>
      </w:tr>
      <w:tr w:rsidR="009C58A0" w:rsidRPr="00A908F1" w:rsidTr="008A3A24">
        <w:trPr>
          <w:trHeight w:hRule="exact" w:val="312"/>
        </w:trPr>
        <w:tc>
          <w:tcPr>
            <w:tcW w:w="705" w:type="pct"/>
            <w:tcBorders>
              <w:top w:val="single" w:sz="4" w:space="0" w:color="auto"/>
            </w:tcBorders>
          </w:tcPr>
          <w:p w:rsidR="009C58A0" w:rsidRDefault="009C58A0">
            <w:pPr>
              <w:spacing w:before="40"/>
              <w:rPr>
                <w:rFonts w:ascii="Arial" w:hAnsi="Arial" w:cs="Arial"/>
                <w:sz w:val="20"/>
              </w:rPr>
            </w:pPr>
            <w:r w:rsidRPr="00954FE4">
              <w:rPr>
                <w:rFonts w:ascii="Arial" w:hAnsi="Arial" w:cs="Arial"/>
                <w:sz w:val="20"/>
              </w:rPr>
              <w:t xml:space="preserve">France </w:t>
            </w:r>
          </w:p>
        </w:tc>
        <w:tc>
          <w:tcPr>
            <w:tcW w:w="575"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1,173</w:t>
            </w:r>
          </w:p>
          <w:p w:rsidR="009C58A0" w:rsidRDefault="009C58A0">
            <w:pPr>
              <w:spacing w:before="40"/>
              <w:jc w:val="right"/>
              <w:rPr>
                <w:rFonts w:ascii="Arial" w:hAnsi="Arial" w:cs="Arial"/>
                <w:sz w:val="20"/>
              </w:rPr>
            </w:pPr>
          </w:p>
        </w:tc>
        <w:tc>
          <w:tcPr>
            <w:tcW w:w="646"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+8.6</w:t>
            </w:r>
            <w:r w:rsidRPr="00954FE4">
              <w:rPr>
                <w:rFonts w:ascii="Arial" w:hAnsi="Arial" w:cs="Arial"/>
                <w:sz w:val="20"/>
              </w:rPr>
              <w:t>%</w:t>
            </w:r>
          </w:p>
        </w:tc>
        <w:tc>
          <w:tcPr>
            <w:tcW w:w="646"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+1.9</w:t>
            </w:r>
            <w:r w:rsidRPr="00954FE4">
              <w:rPr>
                <w:rFonts w:ascii="Arial" w:hAnsi="Arial" w:cs="Arial"/>
                <w:sz w:val="20"/>
              </w:rPr>
              <w:t>%</w:t>
            </w:r>
          </w:p>
        </w:tc>
        <w:tc>
          <w:tcPr>
            <w:tcW w:w="647"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Flat</w:t>
            </w:r>
          </w:p>
        </w:tc>
        <w:tc>
          <w:tcPr>
            <w:tcW w:w="503"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140</w:t>
            </w:r>
          </w:p>
        </w:tc>
        <w:tc>
          <w:tcPr>
            <w:tcW w:w="647" w:type="pct"/>
            <w:tcBorders>
              <w:top w:val="single" w:sz="4" w:space="0" w:color="auto"/>
            </w:tcBorders>
          </w:tcPr>
          <w:p w:rsidR="009C58A0" w:rsidRDefault="009C58A0">
            <w:pPr>
              <w:spacing w:before="40"/>
              <w:jc w:val="right"/>
              <w:rPr>
                <w:rFonts w:ascii="Arial" w:hAnsi="Arial" w:cs="Arial"/>
                <w:sz w:val="20"/>
                <w:highlight w:val="yellow"/>
              </w:rPr>
            </w:pPr>
            <w:r>
              <w:rPr>
                <w:rFonts w:ascii="Arial" w:hAnsi="Arial" w:cs="Arial"/>
                <w:sz w:val="20"/>
              </w:rPr>
              <w:t>0.2</w:t>
            </w:r>
            <w:r w:rsidRPr="00B731FF">
              <w:rPr>
                <w:rFonts w:ascii="Arial" w:hAnsi="Arial" w:cs="Arial"/>
                <w:sz w:val="20"/>
              </w:rPr>
              <w:t>%</w:t>
            </w:r>
          </w:p>
        </w:tc>
        <w:tc>
          <w:tcPr>
            <w:tcW w:w="631" w:type="pct"/>
            <w:tcBorders>
              <w:top w:val="single" w:sz="4" w:space="0" w:color="auto"/>
            </w:tcBorders>
          </w:tcPr>
          <w:p w:rsidR="009C58A0" w:rsidRDefault="009C58A0">
            <w:pPr>
              <w:spacing w:before="40"/>
              <w:jc w:val="right"/>
              <w:rPr>
                <w:rFonts w:ascii="Arial" w:hAnsi="Arial" w:cs="Arial"/>
                <w:sz w:val="20"/>
                <w:highlight w:val="yellow"/>
              </w:rPr>
            </w:pPr>
            <w:r w:rsidRPr="00B731FF">
              <w:rPr>
                <w:rFonts w:ascii="Arial" w:hAnsi="Arial" w:cs="Arial"/>
                <w:sz w:val="20"/>
              </w:rPr>
              <w:t>(5.6)%</w:t>
            </w:r>
          </w:p>
        </w:tc>
      </w:tr>
      <w:tr w:rsidR="009C58A0" w:rsidRPr="00954FE4" w:rsidTr="008A3A24">
        <w:trPr>
          <w:trHeight w:hRule="exact" w:val="312"/>
        </w:trPr>
        <w:tc>
          <w:tcPr>
            <w:tcW w:w="705" w:type="pct"/>
          </w:tcPr>
          <w:p w:rsidR="009C58A0" w:rsidRDefault="009C58A0">
            <w:pPr>
              <w:spacing w:before="40"/>
              <w:jc w:val="left"/>
              <w:rPr>
                <w:rFonts w:ascii="Arial" w:hAnsi="Arial" w:cs="Arial"/>
                <w:sz w:val="20"/>
              </w:rPr>
            </w:pPr>
            <w:r w:rsidRPr="00954FE4">
              <w:rPr>
                <w:rFonts w:ascii="Arial" w:hAnsi="Arial" w:cs="Arial"/>
                <w:sz w:val="20"/>
              </w:rPr>
              <w:t xml:space="preserve">UK &amp; </w:t>
            </w:r>
            <w:smartTag w:uri="urn:schemas-microsoft-com:office:smarttags" w:element="place">
              <w:smartTag w:uri="urn:schemas-microsoft-com:office:smarttags" w:element="country-region">
                <w:r w:rsidRPr="00954FE4">
                  <w:rPr>
                    <w:rFonts w:ascii="Arial" w:hAnsi="Arial" w:cs="Arial"/>
                    <w:sz w:val="20"/>
                  </w:rPr>
                  <w:t>Ireland</w:t>
                </w:r>
              </w:smartTag>
            </w:smartTag>
          </w:p>
        </w:tc>
        <w:tc>
          <w:tcPr>
            <w:tcW w:w="575" w:type="pct"/>
          </w:tcPr>
          <w:p w:rsidR="009C58A0" w:rsidRPr="00954FE4" w:rsidRDefault="009C58A0" w:rsidP="00A33CE9">
            <w:pPr>
              <w:jc w:val="right"/>
              <w:rPr>
                <w:rFonts w:ascii="Arial" w:hAnsi="Arial" w:cs="Arial"/>
                <w:sz w:val="20"/>
              </w:rPr>
            </w:pPr>
            <w:r>
              <w:rPr>
                <w:rFonts w:ascii="Arial" w:hAnsi="Arial" w:cs="Arial"/>
                <w:sz w:val="20"/>
              </w:rPr>
              <w:t>1,095</w:t>
            </w:r>
          </w:p>
        </w:tc>
        <w:tc>
          <w:tcPr>
            <w:tcW w:w="646" w:type="pct"/>
          </w:tcPr>
          <w:p w:rsidR="009C58A0" w:rsidRPr="00954FE4" w:rsidRDefault="009C58A0" w:rsidP="008A3A24">
            <w:pPr>
              <w:jc w:val="right"/>
              <w:rPr>
                <w:rFonts w:ascii="Arial" w:hAnsi="Arial" w:cs="Arial"/>
                <w:sz w:val="20"/>
              </w:rPr>
            </w:pPr>
            <w:r>
              <w:rPr>
                <w:rFonts w:ascii="Arial" w:hAnsi="Arial" w:cs="Arial"/>
                <w:sz w:val="20"/>
              </w:rPr>
              <w:t>+3.8</w:t>
            </w:r>
            <w:r w:rsidRPr="00954FE4">
              <w:rPr>
                <w:rFonts w:ascii="Arial" w:hAnsi="Arial" w:cs="Arial"/>
                <w:sz w:val="20"/>
              </w:rPr>
              <w:t>%</w:t>
            </w:r>
          </w:p>
        </w:tc>
        <w:tc>
          <w:tcPr>
            <w:tcW w:w="646" w:type="pct"/>
          </w:tcPr>
          <w:p w:rsidR="009C58A0" w:rsidRPr="00954FE4" w:rsidRDefault="009C58A0" w:rsidP="00A33CE9">
            <w:pPr>
              <w:jc w:val="right"/>
              <w:rPr>
                <w:rFonts w:ascii="Arial" w:hAnsi="Arial" w:cs="Arial"/>
                <w:sz w:val="20"/>
              </w:rPr>
            </w:pPr>
            <w:r>
              <w:rPr>
                <w:rFonts w:ascii="Arial" w:hAnsi="Arial" w:cs="Arial"/>
                <w:sz w:val="20"/>
              </w:rPr>
              <w:t>+3.7</w:t>
            </w:r>
            <w:r w:rsidRPr="00954FE4">
              <w:rPr>
                <w:rFonts w:ascii="Arial" w:hAnsi="Arial" w:cs="Arial"/>
                <w:sz w:val="20"/>
              </w:rPr>
              <w:t>%</w:t>
            </w:r>
          </w:p>
        </w:tc>
        <w:tc>
          <w:tcPr>
            <w:tcW w:w="647" w:type="pct"/>
          </w:tcPr>
          <w:p w:rsidR="009C58A0" w:rsidRPr="00954FE4" w:rsidRDefault="009C58A0" w:rsidP="00A33CE9">
            <w:pPr>
              <w:jc w:val="right"/>
              <w:rPr>
                <w:rFonts w:ascii="Arial" w:hAnsi="Arial" w:cs="Arial"/>
                <w:sz w:val="20"/>
              </w:rPr>
            </w:pPr>
            <w:r>
              <w:rPr>
                <w:rFonts w:ascii="Arial" w:hAnsi="Arial" w:cs="Arial"/>
                <w:sz w:val="20"/>
              </w:rPr>
              <w:t>+2.0</w:t>
            </w:r>
            <w:r w:rsidRPr="00954FE4">
              <w:rPr>
                <w:rFonts w:ascii="Arial" w:hAnsi="Arial" w:cs="Arial"/>
                <w:sz w:val="20"/>
              </w:rPr>
              <w:t>%</w:t>
            </w:r>
          </w:p>
        </w:tc>
        <w:tc>
          <w:tcPr>
            <w:tcW w:w="503" w:type="pct"/>
          </w:tcPr>
          <w:p w:rsidR="009C58A0" w:rsidRPr="00954FE4" w:rsidRDefault="009C58A0" w:rsidP="00A33CE9">
            <w:pPr>
              <w:jc w:val="right"/>
              <w:rPr>
                <w:rFonts w:ascii="Arial" w:hAnsi="Arial" w:cs="Arial"/>
                <w:sz w:val="20"/>
              </w:rPr>
            </w:pPr>
            <w:r>
              <w:rPr>
                <w:rFonts w:ascii="Arial" w:hAnsi="Arial" w:cs="Arial"/>
                <w:sz w:val="20"/>
              </w:rPr>
              <w:t>63</w:t>
            </w:r>
          </w:p>
        </w:tc>
        <w:tc>
          <w:tcPr>
            <w:tcW w:w="647" w:type="pct"/>
          </w:tcPr>
          <w:p w:rsidR="009C58A0" w:rsidRPr="00954FE4" w:rsidRDefault="009C58A0" w:rsidP="00A33CE9">
            <w:pPr>
              <w:jc w:val="right"/>
              <w:rPr>
                <w:rFonts w:ascii="Arial" w:hAnsi="Arial" w:cs="Arial"/>
                <w:sz w:val="20"/>
              </w:rPr>
            </w:pPr>
            <w:r>
              <w:rPr>
                <w:rFonts w:ascii="Arial" w:hAnsi="Arial" w:cs="Arial"/>
                <w:sz w:val="20"/>
              </w:rPr>
              <w:t>+7.9</w:t>
            </w:r>
            <w:r w:rsidRPr="00954FE4">
              <w:rPr>
                <w:rFonts w:ascii="Arial" w:hAnsi="Arial" w:cs="Arial"/>
                <w:sz w:val="20"/>
              </w:rPr>
              <w:t>%</w:t>
            </w:r>
            <w:r w:rsidRPr="00954FE4">
              <w:rPr>
                <w:rFonts w:ascii="Arial" w:hAnsi="Arial" w:cs="Arial"/>
                <w:i/>
                <w:sz w:val="20"/>
                <w:vertAlign w:val="superscript"/>
              </w:rPr>
              <w:t>(1</w:t>
            </w:r>
            <w:r>
              <w:rPr>
                <w:rFonts w:ascii="Arial" w:hAnsi="Arial" w:cs="Arial"/>
                <w:i/>
                <w:sz w:val="20"/>
                <w:vertAlign w:val="superscript"/>
              </w:rPr>
              <w:t>)</w:t>
            </w:r>
          </w:p>
        </w:tc>
        <w:tc>
          <w:tcPr>
            <w:tcW w:w="631" w:type="pct"/>
          </w:tcPr>
          <w:p w:rsidR="009C58A0" w:rsidRPr="00954FE4" w:rsidRDefault="009C58A0" w:rsidP="00A33CE9">
            <w:pPr>
              <w:jc w:val="right"/>
              <w:rPr>
                <w:rFonts w:ascii="Arial" w:hAnsi="Arial" w:cs="Arial"/>
                <w:sz w:val="20"/>
              </w:rPr>
            </w:pPr>
            <w:r>
              <w:rPr>
                <w:rFonts w:ascii="Arial" w:hAnsi="Arial" w:cs="Arial"/>
                <w:sz w:val="20"/>
              </w:rPr>
              <w:t>+8.3</w:t>
            </w:r>
            <w:r w:rsidRPr="00954FE4">
              <w:rPr>
                <w:rFonts w:ascii="Arial" w:hAnsi="Arial" w:cs="Arial"/>
                <w:sz w:val="20"/>
              </w:rPr>
              <w:t>%</w:t>
            </w:r>
            <w:r w:rsidRPr="00954FE4">
              <w:rPr>
                <w:rFonts w:ascii="Arial" w:hAnsi="Arial" w:cs="Arial"/>
                <w:i/>
                <w:sz w:val="20"/>
                <w:vertAlign w:val="superscript"/>
              </w:rPr>
              <w:t>(1</w:t>
            </w:r>
            <w:r>
              <w:rPr>
                <w:rFonts w:ascii="Arial" w:hAnsi="Arial" w:cs="Arial"/>
                <w:i/>
                <w:sz w:val="20"/>
                <w:vertAlign w:val="superscript"/>
              </w:rPr>
              <w:t>)</w:t>
            </w:r>
          </w:p>
        </w:tc>
      </w:tr>
      <w:tr w:rsidR="009C58A0" w:rsidRPr="00954FE4" w:rsidTr="008A3A24">
        <w:trPr>
          <w:trHeight w:hRule="exact" w:val="544"/>
        </w:trPr>
        <w:tc>
          <w:tcPr>
            <w:tcW w:w="705" w:type="pct"/>
            <w:tcBorders>
              <w:bottom w:val="single" w:sz="4" w:space="0" w:color="auto"/>
            </w:tcBorders>
          </w:tcPr>
          <w:p w:rsidR="009C58A0" w:rsidRPr="00954FE4" w:rsidRDefault="009C58A0" w:rsidP="00A33CE9">
            <w:pPr>
              <w:jc w:val="left"/>
              <w:rPr>
                <w:rFonts w:ascii="Arial" w:hAnsi="Arial" w:cs="Arial"/>
                <w:sz w:val="20"/>
              </w:rPr>
            </w:pPr>
            <w:r w:rsidRPr="00954FE4">
              <w:rPr>
                <w:rFonts w:ascii="Arial" w:hAnsi="Arial" w:cs="Arial"/>
                <w:sz w:val="20"/>
              </w:rPr>
              <w:t xml:space="preserve">Other International </w:t>
            </w:r>
          </w:p>
        </w:tc>
        <w:tc>
          <w:tcPr>
            <w:tcW w:w="575"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653</w:t>
            </w:r>
          </w:p>
        </w:tc>
        <w:tc>
          <w:tcPr>
            <w:tcW w:w="646"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+14.8</w:t>
            </w:r>
            <w:r w:rsidRPr="00954FE4">
              <w:rPr>
                <w:rFonts w:ascii="Arial" w:hAnsi="Arial" w:cs="Arial"/>
                <w:sz w:val="20"/>
              </w:rPr>
              <w:t>%</w:t>
            </w:r>
          </w:p>
        </w:tc>
        <w:tc>
          <w:tcPr>
            <w:tcW w:w="646"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+11.6</w:t>
            </w:r>
            <w:r w:rsidRPr="00954FE4">
              <w:rPr>
                <w:rFonts w:ascii="Arial" w:hAnsi="Arial" w:cs="Arial"/>
                <w:sz w:val="20"/>
              </w:rPr>
              <w:t>%</w:t>
            </w:r>
          </w:p>
        </w:tc>
        <w:tc>
          <w:tcPr>
            <w:tcW w:w="647"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+2.9</w:t>
            </w:r>
            <w:r w:rsidRPr="00954FE4">
              <w:rPr>
                <w:rFonts w:ascii="Arial" w:hAnsi="Arial" w:cs="Arial"/>
                <w:sz w:val="20"/>
              </w:rPr>
              <w:t>%</w:t>
            </w:r>
          </w:p>
        </w:tc>
        <w:tc>
          <w:tcPr>
            <w:tcW w:w="503"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68</w:t>
            </w:r>
          </w:p>
        </w:tc>
        <w:tc>
          <w:tcPr>
            <w:tcW w:w="647"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+17.1</w:t>
            </w:r>
            <w:r w:rsidRPr="00954FE4">
              <w:rPr>
                <w:rFonts w:ascii="Arial" w:hAnsi="Arial" w:cs="Arial"/>
                <w:sz w:val="20"/>
              </w:rPr>
              <w:t>%</w:t>
            </w:r>
          </w:p>
        </w:tc>
        <w:tc>
          <w:tcPr>
            <w:tcW w:w="631" w:type="pct"/>
            <w:tcBorders>
              <w:bottom w:val="single" w:sz="4" w:space="0" w:color="auto"/>
            </w:tcBorders>
          </w:tcPr>
          <w:p w:rsidR="009C58A0" w:rsidRPr="00954FE4" w:rsidRDefault="009C58A0" w:rsidP="007461DD">
            <w:pPr>
              <w:jc w:val="right"/>
              <w:rPr>
                <w:rFonts w:ascii="Arial" w:hAnsi="Arial" w:cs="Arial"/>
                <w:sz w:val="20"/>
              </w:rPr>
            </w:pPr>
            <w:r>
              <w:rPr>
                <w:rFonts w:ascii="Arial" w:hAnsi="Arial" w:cs="Arial"/>
                <w:sz w:val="20"/>
              </w:rPr>
              <w:t>+13.6</w:t>
            </w:r>
            <w:r w:rsidRPr="00954FE4">
              <w:rPr>
                <w:rFonts w:ascii="Arial" w:hAnsi="Arial" w:cs="Arial"/>
                <w:sz w:val="20"/>
              </w:rPr>
              <w:t>%</w:t>
            </w:r>
          </w:p>
        </w:tc>
      </w:tr>
      <w:tr w:rsidR="009C58A0" w:rsidRPr="00954FE4" w:rsidTr="008A3A24">
        <w:trPr>
          <w:trHeight w:hRule="exact" w:val="312"/>
        </w:trPr>
        <w:tc>
          <w:tcPr>
            <w:tcW w:w="705" w:type="pct"/>
            <w:tcBorders>
              <w:top w:val="single" w:sz="4" w:space="0" w:color="auto"/>
              <w:bottom w:val="single" w:sz="4" w:space="0" w:color="auto"/>
            </w:tcBorders>
          </w:tcPr>
          <w:p w:rsidR="009C58A0" w:rsidRDefault="009C58A0">
            <w:pPr>
              <w:spacing w:before="40"/>
              <w:rPr>
                <w:rFonts w:ascii="Arial" w:hAnsi="Arial" w:cs="Arial"/>
                <w:b/>
                <w:sz w:val="20"/>
              </w:rPr>
            </w:pPr>
            <w:r w:rsidRPr="00954FE4">
              <w:rPr>
                <w:rFonts w:ascii="Arial" w:hAnsi="Arial" w:cs="Arial"/>
                <w:b/>
                <w:sz w:val="20"/>
              </w:rPr>
              <w:t>Total Group</w:t>
            </w:r>
          </w:p>
        </w:tc>
        <w:tc>
          <w:tcPr>
            <w:tcW w:w="575"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2,921</w:t>
            </w:r>
          </w:p>
        </w:tc>
        <w:tc>
          <w:tcPr>
            <w:tcW w:w="646"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+8.0</w:t>
            </w:r>
            <w:r w:rsidRPr="00954FE4">
              <w:rPr>
                <w:rFonts w:ascii="Arial" w:hAnsi="Arial" w:cs="Arial"/>
                <w:b/>
                <w:sz w:val="20"/>
              </w:rPr>
              <w:t>%</w:t>
            </w:r>
          </w:p>
        </w:tc>
        <w:tc>
          <w:tcPr>
            <w:tcW w:w="646"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+4.6</w:t>
            </w:r>
            <w:r w:rsidRPr="00954FE4">
              <w:rPr>
                <w:rFonts w:ascii="Arial" w:hAnsi="Arial" w:cs="Arial"/>
                <w:b/>
                <w:sz w:val="20"/>
              </w:rPr>
              <w:t>%</w:t>
            </w:r>
          </w:p>
        </w:tc>
        <w:tc>
          <w:tcPr>
            <w:tcW w:w="647"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+1.4</w:t>
            </w:r>
            <w:r w:rsidRPr="00954FE4">
              <w:rPr>
                <w:rFonts w:ascii="Arial" w:hAnsi="Arial" w:cs="Arial"/>
                <w:b/>
                <w:sz w:val="20"/>
              </w:rPr>
              <w:t>%</w:t>
            </w:r>
          </w:p>
        </w:tc>
        <w:tc>
          <w:tcPr>
            <w:tcW w:w="503"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271</w:t>
            </w:r>
          </w:p>
        </w:tc>
        <w:tc>
          <w:tcPr>
            <w:tcW w:w="647" w:type="pct"/>
            <w:tcBorders>
              <w:top w:val="single" w:sz="4" w:space="0" w:color="auto"/>
              <w:bottom w:val="single" w:sz="4" w:space="0" w:color="auto"/>
            </w:tcBorders>
          </w:tcPr>
          <w:p w:rsidR="009C58A0" w:rsidRPr="00B731FF" w:rsidRDefault="009C58A0">
            <w:pPr>
              <w:spacing w:before="40"/>
              <w:jc w:val="right"/>
              <w:rPr>
                <w:rFonts w:ascii="Arial" w:hAnsi="Arial" w:cs="Arial"/>
                <w:b/>
                <w:sz w:val="20"/>
              </w:rPr>
            </w:pPr>
            <w:r w:rsidRPr="00B731FF">
              <w:rPr>
                <w:rFonts w:ascii="Arial" w:hAnsi="Arial" w:cs="Arial"/>
                <w:b/>
                <w:sz w:val="20"/>
              </w:rPr>
              <w:t>+5.8%</w:t>
            </w:r>
            <w:r w:rsidR="00DC4CD5" w:rsidRPr="00954FE4">
              <w:rPr>
                <w:rFonts w:ascii="Arial" w:hAnsi="Arial" w:cs="Arial"/>
                <w:i/>
                <w:sz w:val="20"/>
                <w:vertAlign w:val="superscript"/>
              </w:rPr>
              <w:t>(1</w:t>
            </w:r>
            <w:r w:rsidR="00DC4CD5">
              <w:rPr>
                <w:rFonts w:ascii="Arial" w:hAnsi="Arial" w:cs="Arial"/>
                <w:i/>
                <w:sz w:val="20"/>
                <w:vertAlign w:val="superscript"/>
              </w:rPr>
              <w:t>)</w:t>
            </w:r>
          </w:p>
        </w:tc>
        <w:tc>
          <w:tcPr>
            <w:tcW w:w="631" w:type="pct"/>
            <w:tcBorders>
              <w:top w:val="single" w:sz="4" w:space="0" w:color="auto"/>
              <w:bottom w:val="single" w:sz="4" w:space="0" w:color="auto"/>
            </w:tcBorders>
          </w:tcPr>
          <w:p w:rsidR="009C58A0" w:rsidRPr="00B731FF" w:rsidRDefault="009C58A0">
            <w:pPr>
              <w:spacing w:before="40"/>
              <w:jc w:val="right"/>
              <w:rPr>
                <w:rFonts w:ascii="Arial" w:hAnsi="Arial" w:cs="Arial"/>
                <w:b/>
                <w:sz w:val="20"/>
              </w:rPr>
            </w:pPr>
            <w:r w:rsidRPr="00B731FF">
              <w:rPr>
                <w:rFonts w:ascii="Arial" w:hAnsi="Arial" w:cs="Arial"/>
                <w:b/>
                <w:sz w:val="20"/>
              </w:rPr>
              <w:t>+1.7%</w:t>
            </w:r>
            <w:r w:rsidR="00DC4CD5" w:rsidRPr="00954FE4">
              <w:rPr>
                <w:rFonts w:ascii="Arial" w:hAnsi="Arial" w:cs="Arial"/>
                <w:i/>
                <w:sz w:val="20"/>
                <w:vertAlign w:val="superscript"/>
              </w:rPr>
              <w:t>(1</w:t>
            </w:r>
            <w:r w:rsidR="00DC4CD5">
              <w:rPr>
                <w:rFonts w:ascii="Arial" w:hAnsi="Arial" w:cs="Arial"/>
                <w:i/>
                <w:sz w:val="20"/>
                <w:vertAlign w:val="superscript"/>
              </w:rPr>
              <w:t>)</w:t>
            </w:r>
          </w:p>
        </w:tc>
      </w:tr>
    </w:tbl>
    <w:p w:rsidR="009C58A0" w:rsidRPr="00954FE4" w:rsidRDefault="009C58A0" w:rsidP="0020773A">
      <w:pPr>
        <w:jc w:val="left"/>
        <w:rPr>
          <w:rFonts w:ascii="Arial" w:hAnsi="Arial" w:cs="Arial"/>
          <w:iCs/>
          <w:sz w:val="24"/>
          <w:szCs w:val="24"/>
        </w:rPr>
      </w:pPr>
    </w:p>
    <w:p w:rsidR="009C58A0" w:rsidRPr="00954FE4" w:rsidRDefault="009C58A0" w:rsidP="00054A09">
      <w:pPr>
        <w:jc w:val="left"/>
        <w:rPr>
          <w:rFonts w:ascii="Arial" w:hAnsi="Arial" w:cs="Arial"/>
          <w:i/>
          <w:sz w:val="18"/>
          <w:szCs w:val="18"/>
        </w:rPr>
      </w:pPr>
      <w:bookmarkStart w:id="0" w:name="OLE_LINK1"/>
      <w:bookmarkStart w:id="1" w:name="OLE_LINK2"/>
      <w:r w:rsidRPr="00954FE4">
        <w:rPr>
          <w:rFonts w:ascii="Arial" w:hAnsi="Arial" w:cs="Arial"/>
          <w:i/>
          <w:sz w:val="18"/>
          <w:szCs w:val="18"/>
        </w:rPr>
        <w:t>Note: Joint Venture (Koçtaş) and Associate (Hornbach) sales are not consolidated. Retail profit is operating profit stated before central costs, exceptional items, amortisation of acquisition intangibles and the Group’s share of interest and tax of JVs and Associates.</w:t>
      </w:r>
      <w:r w:rsidR="00045F88">
        <w:rPr>
          <w:rFonts w:ascii="Arial" w:hAnsi="Arial" w:cs="Arial"/>
          <w:i/>
          <w:sz w:val="18"/>
          <w:szCs w:val="18"/>
        </w:rPr>
        <w:t xml:space="preserve"> </w:t>
      </w:r>
      <w:r w:rsidR="001F128C">
        <w:rPr>
          <w:rFonts w:ascii="Arial" w:hAnsi="Arial" w:cs="Arial"/>
          <w:i/>
          <w:iCs/>
          <w:sz w:val="18"/>
          <w:szCs w:val="18"/>
        </w:rPr>
        <w:t xml:space="preserve">China, Romania, Russia and Turkey report for the quarter to 30 September 2013. </w:t>
      </w:r>
      <w:r w:rsidR="00045F88">
        <w:rPr>
          <w:rFonts w:ascii="Arial" w:hAnsi="Arial" w:cs="Arial"/>
          <w:i/>
          <w:iCs/>
          <w:sz w:val="18"/>
          <w:szCs w:val="18"/>
        </w:rPr>
        <w:t>Percentage movements based on unrounded figures.</w:t>
      </w:r>
    </w:p>
    <w:p w:rsidR="009C58A0" w:rsidRPr="00954FE4" w:rsidRDefault="009C58A0" w:rsidP="00054A09">
      <w:pPr>
        <w:jc w:val="left"/>
        <w:rPr>
          <w:rFonts w:ascii="Arial" w:hAnsi="Arial" w:cs="Arial"/>
          <w:i/>
          <w:sz w:val="18"/>
          <w:szCs w:val="18"/>
        </w:rPr>
      </w:pPr>
      <w:r w:rsidRPr="00954FE4">
        <w:rPr>
          <w:rFonts w:ascii="Arial" w:hAnsi="Arial" w:cs="Arial"/>
          <w:i/>
          <w:sz w:val="20"/>
          <w:vertAlign w:val="superscript"/>
        </w:rPr>
        <w:t>(1)</w:t>
      </w:r>
      <w:r w:rsidRPr="00954FE4">
        <w:rPr>
          <w:rFonts w:ascii="Arial" w:hAnsi="Arial" w:cs="Arial"/>
          <w:i/>
          <w:sz w:val="18"/>
          <w:szCs w:val="18"/>
        </w:rPr>
        <w:t>2012/13 comparatives restated by £1m to reflect reclassification of pension administrative expenses from financ</w:t>
      </w:r>
      <w:r>
        <w:rPr>
          <w:rFonts w:ascii="Arial" w:hAnsi="Arial" w:cs="Arial"/>
          <w:i/>
          <w:sz w:val="18"/>
          <w:szCs w:val="18"/>
        </w:rPr>
        <w:t>e costs to retail</w:t>
      </w:r>
      <w:r w:rsidRPr="00954FE4">
        <w:rPr>
          <w:rFonts w:ascii="Arial" w:hAnsi="Arial" w:cs="Arial"/>
          <w:i/>
          <w:sz w:val="18"/>
          <w:szCs w:val="18"/>
        </w:rPr>
        <w:t xml:space="preserve"> profit, as per the amended IAS 19. </w:t>
      </w:r>
    </w:p>
    <w:p w:rsidR="009C58A0" w:rsidRPr="00954FE4" w:rsidRDefault="009C58A0" w:rsidP="0020773A">
      <w:pPr>
        <w:jc w:val="left"/>
        <w:rPr>
          <w:rFonts w:ascii="Arial" w:hAnsi="Arial" w:cs="Arial"/>
          <w:i/>
          <w:sz w:val="18"/>
          <w:szCs w:val="18"/>
        </w:rPr>
      </w:pPr>
      <w:bookmarkStart w:id="2" w:name="_GoBack"/>
      <w:bookmarkEnd w:id="0"/>
      <w:bookmarkEnd w:id="1"/>
      <w:bookmarkEnd w:id="2"/>
    </w:p>
    <w:p w:rsidR="009C58A0" w:rsidRPr="00954FE4" w:rsidRDefault="009C58A0" w:rsidP="0020773A">
      <w:pPr>
        <w:jc w:val="left"/>
        <w:rPr>
          <w:rFonts w:ascii="Arial" w:hAnsi="Arial" w:cs="Arial"/>
          <w:i/>
          <w:sz w:val="18"/>
          <w:szCs w:val="18"/>
        </w:rPr>
      </w:pPr>
    </w:p>
    <w:p w:rsidR="009C58A0" w:rsidRPr="00954FE4" w:rsidRDefault="009C58A0" w:rsidP="00525D5E">
      <w:pPr>
        <w:jc w:val="left"/>
        <w:rPr>
          <w:rFonts w:ascii="Arial" w:hAnsi="Arial" w:cs="Arial"/>
          <w:b/>
          <w:sz w:val="24"/>
          <w:szCs w:val="24"/>
          <w:u w:val="single"/>
        </w:rPr>
      </w:pPr>
      <w:r w:rsidRPr="00954FE4">
        <w:rPr>
          <w:rFonts w:ascii="Arial" w:hAnsi="Arial" w:cs="Arial"/>
          <w:b/>
          <w:sz w:val="24"/>
          <w:szCs w:val="24"/>
          <w:u w:val="single"/>
        </w:rPr>
        <w:t>Highlights in constant currencies:</w:t>
      </w:r>
    </w:p>
    <w:p w:rsidR="009C58A0" w:rsidRPr="00954FE4" w:rsidRDefault="009C58A0" w:rsidP="00525D5E">
      <w:pPr>
        <w:jc w:val="left"/>
        <w:rPr>
          <w:rFonts w:ascii="Arial" w:hAnsi="Arial" w:cs="Arial"/>
          <w:b/>
          <w:sz w:val="24"/>
          <w:szCs w:val="24"/>
        </w:rPr>
      </w:pPr>
    </w:p>
    <w:p w:rsidR="009C58A0" w:rsidRDefault="009C58A0" w:rsidP="00B731FF">
      <w:pPr>
        <w:numPr>
          <w:ilvl w:val="0"/>
          <w:numId w:val="9"/>
        </w:numPr>
        <w:jc w:val="left"/>
        <w:rPr>
          <w:rFonts w:ascii="Arial" w:hAnsi="Arial" w:cs="Arial"/>
          <w:sz w:val="24"/>
          <w:szCs w:val="24"/>
        </w:rPr>
      </w:pPr>
      <w:r>
        <w:rPr>
          <w:rFonts w:ascii="Arial" w:hAnsi="Arial" w:cs="Arial"/>
          <w:sz w:val="24"/>
          <w:szCs w:val="24"/>
        </w:rPr>
        <w:t xml:space="preserve">French </w:t>
      </w:r>
      <w:r w:rsidR="00F12E60">
        <w:rPr>
          <w:rFonts w:ascii="Arial" w:hAnsi="Arial" w:cs="Arial"/>
          <w:sz w:val="24"/>
          <w:szCs w:val="24"/>
        </w:rPr>
        <w:t xml:space="preserve">total </w:t>
      </w:r>
      <w:r>
        <w:rPr>
          <w:rFonts w:ascii="Arial" w:hAnsi="Arial" w:cs="Arial"/>
          <w:sz w:val="24"/>
          <w:szCs w:val="24"/>
        </w:rPr>
        <w:t xml:space="preserve">sales up 1.9% </w:t>
      </w:r>
      <w:r w:rsidR="00F12E60">
        <w:rPr>
          <w:rFonts w:ascii="Arial" w:hAnsi="Arial" w:cs="Arial"/>
          <w:sz w:val="24"/>
          <w:szCs w:val="24"/>
        </w:rPr>
        <w:t xml:space="preserve">(flat LFL) </w:t>
      </w:r>
      <w:r>
        <w:rPr>
          <w:rFonts w:ascii="Arial" w:hAnsi="Arial" w:cs="Arial"/>
          <w:sz w:val="24"/>
          <w:szCs w:val="24"/>
        </w:rPr>
        <w:t xml:space="preserve">in an on-going weak market. Retail profits </w:t>
      </w:r>
      <w:r w:rsidR="00FD3242">
        <w:rPr>
          <w:rFonts w:ascii="Arial" w:hAnsi="Arial" w:cs="Arial"/>
          <w:sz w:val="24"/>
          <w:szCs w:val="24"/>
        </w:rPr>
        <w:t xml:space="preserve">impacted by a </w:t>
      </w:r>
      <w:r w:rsidR="00B47EDD">
        <w:rPr>
          <w:rFonts w:ascii="Arial" w:hAnsi="Arial" w:cs="Arial"/>
          <w:sz w:val="24"/>
          <w:szCs w:val="24"/>
        </w:rPr>
        <w:t>slightly lower gross margin percentage in a more price promotional environment</w:t>
      </w:r>
      <w:r w:rsidR="006F145E">
        <w:rPr>
          <w:rFonts w:ascii="Arial" w:hAnsi="Arial" w:cs="Arial"/>
          <w:sz w:val="24"/>
          <w:szCs w:val="24"/>
        </w:rPr>
        <w:t xml:space="preserve"> </w:t>
      </w:r>
    </w:p>
    <w:p w:rsidR="009C58A0" w:rsidRDefault="009C58A0" w:rsidP="00B731FF">
      <w:pPr>
        <w:numPr>
          <w:ilvl w:val="0"/>
          <w:numId w:val="9"/>
        </w:numPr>
        <w:jc w:val="left"/>
        <w:rPr>
          <w:rFonts w:ascii="Arial" w:hAnsi="Arial" w:cs="Arial"/>
          <w:sz w:val="24"/>
          <w:szCs w:val="24"/>
        </w:rPr>
      </w:pPr>
      <w:r>
        <w:rPr>
          <w:rFonts w:ascii="Arial" w:hAnsi="Arial" w:cs="Arial"/>
          <w:sz w:val="24"/>
          <w:szCs w:val="24"/>
        </w:rPr>
        <w:t>UK sales and profits both up driven by a very strong performance from Screwfix which opened its 300</w:t>
      </w:r>
      <w:r w:rsidRPr="00B731FF">
        <w:rPr>
          <w:rFonts w:ascii="Arial" w:hAnsi="Arial" w:cs="Arial"/>
          <w:sz w:val="24"/>
          <w:szCs w:val="24"/>
          <w:vertAlign w:val="superscript"/>
        </w:rPr>
        <w:t>th</w:t>
      </w:r>
      <w:r>
        <w:rPr>
          <w:rFonts w:ascii="Arial" w:hAnsi="Arial" w:cs="Arial"/>
          <w:sz w:val="24"/>
          <w:szCs w:val="24"/>
        </w:rPr>
        <w:t xml:space="preserve"> store in the quarter</w:t>
      </w:r>
    </w:p>
    <w:p w:rsidR="009C58A0" w:rsidRDefault="009C58A0" w:rsidP="00B731FF">
      <w:pPr>
        <w:numPr>
          <w:ilvl w:val="0"/>
          <w:numId w:val="9"/>
        </w:numPr>
        <w:jc w:val="left"/>
        <w:rPr>
          <w:rFonts w:ascii="Arial" w:hAnsi="Arial" w:cs="Arial"/>
          <w:sz w:val="24"/>
          <w:szCs w:val="24"/>
        </w:rPr>
      </w:pPr>
      <w:r w:rsidRPr="0096037E">
        <w:rPr>
          <w:rFonts w:ascii="Arial" w:hAnsi="Arial" w:cs="Arial"/>
          <w:sz w:val="24"/>
          <w:szCs w:val="24"/>
        </w:rPr>
        <w:t xml:space="preserve">Sales growth in each of our Other International markets. Profit </w:t>
      </w:r>
      <w:r>
        <w:rPr>
          <w:rFonts w:ascii="Arial" w:hAnsi="Arial" w:cs="Arial"/>
          <w:sz w:val="24"/>
          <w:szCs w:val="24"/>
        </w:rPr>
        <w:t>growth reflects an</w:t>
      </w:r>
      <w:r w:rsidRPr="0096037E">
        <w:rPr>
          <w:rFonts w:ascii="Arial" w:hAnsi="Arial" w:cs="Arial"/>
          <w:sz w:val="24"/>
          <w:szCs w:val="24"/>
        </w:rPr>
        <w:t xml:space="preserve"> improved gross margin </w:t>
      </w:r>
      <w:r w:rsidR="00B47EDD">
        <w:rPr>
          <w:rFonts w:ascii="Arial" w:hAnsi="Arial" w:cs="Arial"/>
          <w:sz w:val="24"/>
          <w:szCs w:val="24"/>
        </w:rPr>
        <w:t xml:space="preserve">percentage </w:t>
      </w:r>
      <w:r w:rsidRPr="0096037E">
        <w:rPr>
          <w:rFonts w:ascii="Arial" w:hAnsi="Arial" w:cs="Arial"/>
          <w:sz w:val="24"/>
          <w:szCs w:val="24"/>
        </w:rPr>
        <w:t>in Poland</w:t>
      </w:r>
      <w:r>
        <w:rPr>
          <w:rFonts w:ascii="Arial" w:hAnsi="Arial" w:cs="Arial"/>
          <w:sz w:val="24"/>
          <w:szCs w:val="24"/>
        </w:rPr>
        <w:t xml:space="preserve"> and a h</w:t>
      </w:r>
      <w:r w:rsidRPr="0096037E">
        <w:rPr>
          <w:rFonts w:ascii="Arial" w:hAnsi="Arial" w:cs="Arial"/>
          <w:sz w:val="24"/>
          <w:szCs w:val="24"/>
        </w:rPr>
        <w:t>igher contribution from Hornbach in Germany</w:t>
      </w:r>
    </w:p>
    <w:p w:rsidR="009C58A0" w:rsidRDefault="009C58A0" w:rsidP="00B731FF">
      <w:pPr>
        <w:numPr>
          <w:ilvl w:val="0"/>
          <w:numId w:val="9"/>
        </w:numPr>
        <w:jc w:val="left"/>
        <w:rPr>
          <w:rFonts w:ascii="Arial" w:hAnsi="Arial" w:cs="Arial"/>
          <w:sz w:val="20"/>
        </w:rPr>
      </w:pPr>
      <w:r w:rsidRPr="00F234CB">
        <w:rPr>
          <w:rFonts w:ascii="Arial" w:hAnsi="Arial" w:cs="Arial"/>
          <w:iCs/>
          <w:sz w:val="24"/>
          <w:szCs w:val="24"/>
        </w:rPr>
        <w:t xml:space="preserve">Progress continued with </w:t>
      </w:r>
      <w:r>
        <w:rPr>
          <w:rFonts w:ascii="Arial" w:hAnsi="Arial" w:cs="Arial"/>
          <w:iCs/>
          <w:sz w:val="24"/>
          <w:szCs w:val="24"/>
        </w:rPr>
        <w:t>our</w:t>
      </w:r>
      <w:r w:rsidR="003E2437">
        <w:rPr>
          <w:rFonts w:ascii="Arial" w:hAnsi="Arial" w:cs="Arial"/>
          <w:iCs/>
          <w:sz w:val="24"/>
          <w:szCs w:val="24"/>
        </w:rPr>
        <w:t xml:space="preserve"> </w:t>
      </w:r>
      <w:r w:rsidR="003E2437" w:rsidRPr="00F234CB">
        <w:rPr>
          <w:rFonts w:ascii="Arial" w:hAnsi="Arial" w:cs="Arial"/>
          <w:iCs/>
          <w:sz w:val="24"/>
          <w:szCs w:val="24"/>
        </w:rPr>
        <w:t xml:space="preserve">‘Creating the Leader’ </w:t>
      </w:r>
      <w:r w:rsidR="003E2437">
        <w:rPr>
          <w:rFonts w:ascii="Arial" w:hAnsi="Arial" w:cs="Arial"/>
          <w:iCs/>
          <w:sz w:val="24"/>
          <w:szCs w:val="24"/>
        </w:rPr>
        <w:t xml:space="preserve">programme of </w:t>
      </w:r>
      <w:r>
        <w:rPr>
          <w:rFonts w:ascii="Arial" w:hAnsi="Arial" w:cs="Arial"/>
          <w:iCs/>
          <w:sz w:val="24"/>
          <w:szCs w:val="24"/>
        </w:rPr>
        <w:t xml:space="preserve">self-help </w:t>
      </w:r>
      <w:r w:rsidR="00E83CA8">
        <w:rPr>
          <w:rFonts w:ascii="Arial" w:hAnsi="Arial" w:cs="Arial"/>
          <w:iCs/>
          <w:sz w:val="24"/>
          <w:szCs w:val="24"/>
        </w:rPr>
        <w:t>initiatives</w:t>
      </w:r>
      <w:r w:rsidRPr="00F234CB">
        <w:rPr>
          <w:rFonts w:ascii="Arial" w:hAnsi="Arial" w:cs="Arial"/>
          <w:iCs/>
          <w:sz w:val="24"/>
          <w:szCs w:val="24"/>
        </w:rPr>
        <w:t xml:space="preserve"> </w:t>
      </w:r>
    </w:p>
    <w:p w:rsidR="009C58A0" w:rsidRPr="00954FE4" w:rsidRDefault="009C58A0" w:rsidP="006040A0">
      <w:pPr>
        <w:jc w:val="left"/>
        <w:rPr>
          <w:rFonts w:ascii="Arial" w:hAnsi="Arial" w:cs="Arial"/>
          <w:b/>
          <w:sz w:val="24"/>
          <w:szCs w:val="24"/>
        </w:rPr>
      </w:pPr>
    </w:p>
    <w:p w:rsidR="009C58A0" w:rsidRPr="00954FE4" w:rsidRDefault="009C58A0" w:rsidP="006040A0">
      <w:pPr>
        <w:jc w:val="left"/>
        <w:rPr>
          <w:rFonts w:ascii="Arial" w:hAnsi="Arial" w:cs="Arial"/>
          <w:b/>
          <w:sz w:val="24"/>
          <w:szCs w:val="24"/>
        </w:rPr>
      </w:pPr>
      <w:r w:rsidRPr="00954FE4">
        <w:rPr>
          <w:rFonts w:ascii="Arial" w:hAnsi="Arial" w:cs="Arial"/>
          <w:b/>
          <w:sz w:val="24"/>
          <w:szCs w:val="24"/>
        </w:rPr>
        <w:t>Ian Cheshire, Group Chief Executive, said:</w:t>
      </w:r>
    </w:p>
    <w:p w:rsidR="009C58A0" w:rsidRPr="00954FE4" w:rsidRDefault="009C58A0" w:rsidP="00EB58BC">
      <w:pPr>
        <w:autoSpaceDE w:val="0"/>
        <w:autoSpaceDN w:val="0"/>
        <w:adjustRightInd w:val="0"/>
        <w:jc w:val="left"/>
        <w:rPr>
          <w:rFonts w:ascii="Arial" w:hAnsi="Arial" w:cs="Arial"/>
          <w:sz w:val="24"/>
          <w:szCs w:val="24"/>
        </w:rPr>
      </w:pPr>
    </w:p>
    <w:p w:rsidR="009C58A0" w:rsidRPr="008928BF" w:rsidRDefault="009C58A0" w:rsidP="008928BF">
      <w:pPr>
        <w:jc w:val="left"/>
        <w:rPr>
          <w:rFonts w:ascii="Arial" w:hAnsi="Arial" w:cs="Arial"/>
          <w:color w:val="000000"/>
          <w:sz w:val="24"/>
          <w:szCs w:val="24"/>
        </w:rPr>
      </w:pPr>
      <w:r w:rsidRPr="008928BF">
        <w:rPr>
          <w:rFonts w:ascii="Arial" w:hAnsi="Arial" w:cs="Arial"/>
          <w:color w:val="000000"/>
          <w:sz w:val="24"/>
          <w:szCs w:val="24"/>
        </w:rPr>
        <w:t xml:space="preserve">“Following a </w:t>
      </w:r>
      <w:r w:rsidR="00FD3242">
        <w:rPr>
          <w:rFonts w:ascii="Arial" w:hAnsi="Arial" w:cs="Arial"/>
          <w:color w:val="000000"/>
          <w:sz w:val="24"/>
          <w:szCs w:val="24"/>
        </w:rPr>
        <w:t xml:space="preserve">mixed </w:t>
      </w:r>
      <w:r w:rsidRPr="008928BF">
        <w:rPr>
          <w:rFonts w:ascii="Arial" w:hAnsi="Arial" w:cs="Arial"/>
          <w:color w:val="000000"/>
          <w:sz w:val="24"/>
          <w:szCs w:val="24"/>
        </w:rPr>
        <w:t xml:space="preserve">first half, </w:t>
      </w:r>
      <w:r w:rsidR="00B47EDD">
        <w:rPr>
          <w:rFonts w:ascii="Arial" w:hAnsi="Arial" w:cs="Arial"/>
          <w:color w:val="000000"/>
          <w:sz w:val="24"/>
          <w:szCs w:val="24"/>
        </w:rPr>
        <w:t xml:space="preserve">we have </w:t>
      </w:r>
      <w:r w:rsidR="00F274C4">
        <w:rPr>
          <w:rFonts w:ascii="Arial" w:hAnsi="Arial" w:cs="Arial"/>
          <w:color w:val="000000"/>
          <w:sz w:val="24"/>
          <w:szCs w:val="24"/>
        </w:rPr>
        <w:t xml:space="preserve">seen </w:t>
      </w:r>
      <w:r w:rsidRPr="008928BF">
        <w:rPr>
          <w:rFonts w:ascii="Arial" w:hAnsi="Arial" w:cs="Arial"/>
          <w:color w:val="000000"/>
          <w:sz w:val="24"/>
          <w:szCs w:val="24"/>
        </w:rPr>
        <w:t xml:space="preserve">growth in both sales and profits in our third quarter, one of our most significant trading periods in the year. </w:t>
      </w:r>
      <w:r w:rsidR="00FD3242">
        <w:rPr>
          <w:rFonts w:ascii="Arial" w:hAnsi="Arial" w:cs="Arial"/>
          <w:color w:val="000000"/>
          <w:sz w:val="24"/>
          <w:szCs w:val="24"/>
        </w:rPr>
        <w:t>Whilst we</w:t>
      </w:r>
      <w:r w:rsidR="00F274C4">
        <w:rPr>
          <w:rFonts w:ascii="Arial" w:hAnsi="Arial" w:cs="Arial"/>
          <w:color w:val="000000"/>
          <w:sz w:val="24"/>
          <w:szCs w:val="24"/>
        </w:rPr>
        <w:t xml:space="preserve"> have delivered</w:t>
      </w:r>
      <w:r w:rsidR="00C7329A">
        <w:rPr>
          <w:rFonts w:ascii="Arial" w:hAnsi="Arial" w:cs="Arial"/>
          <w:color w:val="000000"/>
          <w:sz w:val="24"/>
          <w:szCs w:val="24"/>
        </w:rPr>
        <w:t xml:space="preserve"> </w:t>
      </w:r>
      <w:r w:rsidR="00FD3242">
        <w:rPr>
          <w:rFonts w:ascii="Arial" w:hAnsi="Arial" w:cs="Arial"/>
          <w:color w:val="000000"/>
          <w:sz w:val="24"/>
          <w:szCs w:val="24"/>
        </w:rPr>
        <w:t xml:space="preserve">sales growth in each of our geographies </w:t>
      </w:r>
      <w:r>
        <w:rPr>
          <w:rFonts w:ascii="Arial" w:hAnsi="Arial" w:cs="Arial"/>
          <w:color w:val="000000"/>
          <w:sz w:val="24"/>
          <w:szCs w:val="24"/>
        </w:rPr>
        <w:t>o</w:t>
      </w:r>
      <w:r w:rsidRPr="008928BF">
        <w:rPr>
          <w:rFonts w:ascii="Arial" w:hAnsi="Arial" w:cs="Arial"/>
          <w:color w:val="000000"/>
          <w:sz w:val="24"/>
          <w:szCs w:val="24"/>
        </w:rPr>
        <w:t xml:space="preserve">ur markets remain </w:t>
      </w:r>
      <w:r>
        <w:rPr>
          <w:rFonts w:ascii="Arial" w:hAnsi="Arial" w:cs="Arial"/>
          <w:color w:val="000000"/>
          <w:sz w:val="24"/>
          <w:szCs w:val="24"/>
        </w:rPr>
        <w:t>challenging</w:t>
      </w:r>
      <w:r w:rsidRPr="008928BF">
        <w:rPr>
          <w:rFonts w:ascii="Arial" w:hAnsi="Arial" w:cs="Arial"/>
          <w:color w:val="000000"/>
          <w:sz w:val="24"/>
          <w:szCs w:val="24"/>
        </w:rPr>
        <w:t>, especially in France</w:t>
      </w:r>
      <w:r>
        <w:rPr>
          <w:rFonts w:ascii="Arial" w:hAnsi="Arial" w:cs="Arial"/>
          <w:color w:val="000000"/>
          <w:sz w:val="24"/>
          <w:szCs w:val="24"/>
        </w:rPr>
        <w:t xml:space="preserve"> where </w:t>
      </w:r>
      <w:r w:rsidRPr="008928BF">
        <w:rPr>
          <w:rFonts w:ascii="Arial" w:hAnsi="Arial" w:cs="Arial"/>
          <w:color w:val="000000"/>
          <w:sz w:val="24"/>
          <w:szCs w:val="24"/>
        </w:rPr>
        <w:t xml:space="preserve">consumer confidence </w:t>
      </w:r>
      <w:r>
        <w:rPr>
          <w:rFonts w:ascii="Arial" w:hAnsi="Arial" w:cs="Arial"/>
          <w:color w:val="000000"/>
          <w:sz w:val="24"/>
          <w:szCs w:val="24"/>
        </w:rPr>
        <w:t xml:space="preserve">is still weak and with no obvious signs of an imminent improvement.   </w:t>
      </w:r>
    </w:p>
    <w:p w:rsidR="009C58A0" w:rsidRPr="008928BF" w:rsidRDefault="009C58A0" w:rsidP="008928BF">
      <w:pPr>
        <w:jc w:val="left"/>
        <w:rPr>
          <w:rFonts w:ascii="Arial" w:hAnsi="Arial" w:cs="Arial"/>
          <w:color w:val="000000"/>
          <w:sz w:val="24"/>
          <w:szCs w:val="24"/>
        </w:rPr>
      </w:pPr>
    </w:p>
    <w:p w:rsidR="009C58A0" w:rsidRPr="008928BF" w:rsidRDefault="009C58A0" w:rsidP="008928BF">
      <w:pPr>
        <w:jc w:val="left"/>
        <w:rPr>
          <w:rFonts w:ascii="Arial" w:hAnsi="Arial" w:cs="Arial"/>
          <w:color w:val="000000"/>
          <w:sz w:val="24"/>
          <w:szCs w:val="24"/>
        </w:rPr>
      </w:pPr>
      <w:r>
        <w:rPr>
          <w:rFonts w:ascii="Arial" w:hAnsi="Arial" w:cs="Arial"/>
          <w:color w:val="000000"/>
          <w:sz w:val="24"/>
          <w:szCs w:val="24"/>
        </w:rPr>
        <w:t>“L</w:t>
      </w:r>
      <w:r w:rsidRPr="008928BF">
        <w:rPr>
          <w:rFonts w:ascii="Arial" w:hAnsi="Arial" w:cs="Arial"/>
          <w:color w:val="000000"/>
          <w:sz w:val="24"/>
          <w:szCs w:val="24"/>
        </w:rPr>
        <w:t>ooking ahead, we remain ready to capitalise on any improvement in conditions or opportunities as they arise. In the meantime, our self-help plan, ‘Creating the Leader’, continues to progress well</w:t>
      </w:r>
      <w:r>
        <w:rPr>
          <w:rFonts w:ascii="Arial" w:hAnsi="Arial" w:cs="Arial"/>
          <w:color w:val="000000"/>
          <w:sz w:val="24"/>
          <w:szCs w:val="24"/>
        </w:rPr>
        <w:t xml:space="preserve"> so</w:t>
      </w:r>
      <w:r w:rsidRPr="008928BF">
        <w:rPr>
          <w:rFonts w:ascii="Arial" w:hAnsi="Arial" w:cs="Arial"/>
          <w:color w:val="000000"/>
          <w:sz w:val="24"/>
          <w:szCs w:val="24"/>
        </w:rPr>
        <w:t xml:space="preserve"> I remain enthusiastic about our longer-term prospects.”</w:t>
      </w:r>
    </w:p>
    <w:p w:rsidR="00E87A30" w:rsidRDefault="009C58A0" w:rsidP="00EA77FC">
      <w:pPr>
        <w:jc w:val="left"/>
        <w:rPr>
          <w:rFonts w:ascii="Arial" w:hAnsi="Arial" w:cs="Arial"/>
          <w:b/>
          <w:sz w:val="24"/>
          <w:szCs w:val="24"/>
        </w:rPr>
      </w:pPr>
      <w:r w:rsidRPr="00954FE4" w:rsidDel="00B917C5">
        <w:rPr>
          <w:rFonts w:ascii="Arial" w:hAnsi="Arial" w:cs="Arial"/>
          <w:sz w:val="24"/>
          <w:szCs w:val="24"/>
        </w:rPr>
        <w:t xml:space="preserve"> </w:t>
      </w:r>
    </w:p>
    <w:p w:rsidR="009C58A0" w:rsidRPr="00B325A7" w:rsidRDefault="009C58A0" w:rsidP="00EA77FC">
      <w:pPr>
        <w:jc w:val="left"/>
        <w:rPr>
          <w:rFonts w:ascii="Arial" w:hAnsi="Arial" w:cs="Arial"/>
          <w:b/>
          <w:sz w:val="24"/>
          <w:szCs w:val="24"/>
        </w:rPr>
      </w:pPr>
      <w:r>
        <w:rPr>
          <w:rFonts w:ascii="Arial" w:hAnsi="Arial" w:cs="Arial"/>
          <w:b/>
          <w:sz w:val="24"/>
          <w:szCs w:val="24"/>
        </w:rPr>
        <w:lastRenderedPageBreak/>
        <w:t>ENQUIRIES</w:t>
      </w:r>
    </w:p>
    <w:p w:rsidR="009C58A0" w:rsidRPr="00954FE4" w:rsidRDefault="009C58A0" w:rsidP="00EA77FC">
      <w:pPr>
        <w:jc w:val="left"/>
        <w:rPr>
          <w:rFonts w:ascii="Arial" w:hAnsi="Arial" w:cs="Arial"/>
          <w:sz w:val="14"/>
          <w:szCs w:val="14"/>
        </w:rPr>
      </w:pPr>
    </w:p>
    <w:tbl>
      <w:tblPr>
        <w:tblW w:w="4892"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60"/>
        <w:gridCol w:w="2821"/>
      </w:tblGrid>
      <w:tr w:rsidR="009C58A0" w:rsidRPr="00FD57E1" w:rsidTr="0024423B">
        <w:tc>
          <w:tcPr>
            <w:tcW w:w="3558" w:type="pct"/>
            <w:tcBorders>
              <w:top w:val="single" w:sz="4" w:space="0" w:color="auto"/>
            </w:tcBorders>
          </w:tcPr>
          <w:p w:rsidR="009C58A0" w:rsidRPr="00954FE4" w:rsidRDefault="009C58A0" w:rsidP="0024423B">
            <w:pPr>
              <w:jc w:val="left"/>
              <w:rPr>
                <w:rFonts w:ascii="Arial" w:hAnsi="Arial" w:cs="Arial"/>
                <w:sz w:val="14"/>
                <w:szCs w:val="14"/>
              </w:rPr>
            </w:pPr>
          </w:p>
          <w:p w:rsidR="009C58A0" w:rsidRPr="00FD57E1" w:rsidRDefault="009C58A0" w:rsidP="0024423B">
            <w:pPr>
              <w:jc w:val="left"/>
              <w:rPr>
                <w:rFonts w:ascii="Arial" w:hAnsi="Arial" w:cs="Arial"/>
                <w:sz w:val="24"/>
                <w:szCs w:val="24"/>
              </w:rPr>
            </w:pPr>
            <w:r w:rsidRPr="00FD57E1">
              <w:rPr>
                <w:rFonts w:ascii="Arial" w:hAnsi="Arial" w:cs="Arial"/>
                <w:sz w:val="24"/>
                <w:szCs w:val="24"/>
              </w:rPr>
              <w:t>Ian Harding, Group Communications Director</w:t>
            </w:r>
          </w:p>
        </w:tc>
        <w:tc>
          <w:tcPr>
            <w:tcW w:w="1442" w:type="pct"/>
            <w:tcBorders>
              <w:top w:val="single" w:sz="4" w:space="0" w:color="auto"/>
            </w:tcBorders>
          </w:tcPr>
          <w:p w:rsidR="009C58A0" w:rsidRPr="00954FE4" w:rsidRDefault="009C58A0" w:rsidP="0024423B">
            <w:pPr>
              <w:jc w:val="right"/>
              <w:rPr>
                <w:rFonts w:ascii="Arial" w:hAnsi="Arial" w:cs="Arial"/>
                <w:sz w:val="14"/>
                <w:szCs w:val="14"/>
              </w:rPr>
            </w:pPr>
          </w:p>
          <w:p w:rsidR="009C58A0" w:rsidRPr="00FD57E1" w:rsidRDefault="009C58A0" w:rsidP="0024423B">
            <w:pPr>
              <w:jc w:val="right"/>
              <w:rPr>
                <w:rFonts w:ascii="Arial" w:hAnsi="Arial" w:cs="Arial"/>
                <w:sz w:val="24"/>
                <w:szCs w:val="24"/>
              </w:rPr>
            </w:pPr>
            <w:r w:rsidRPr="00FD57E1">
              <w:rPr>
                <w:rFonts w:ascii="Arial" w:hAnsi="Arial" w:cs="Arial"/>
                <w:sz w:val="24"/>
                <w:szCs w:val="24"/>
              </w:rPr>
              <w:t>020 7644 1029</w:t>
            </w:r>
          </w:p>
        </w:tc>
      </w:tr>
      <w:tr w:rsidR="009C58A0" w:rsidRPr="00FD57E1" w:rsidTr="0024423B">
        <w:trPr>
          <w:trHeight w:val="70"/>
        </w:trPr>
        <w:tc>
          <w:tcPr>
            <w:tcW w:w="3558" w:type="pct"/>
          </w:tcPr>
          <w:p w:rsidR="009C58A0" w:rsidRPr="00954FE4" w:rsidRDefault="009C58A0" w:rsidP="0024423B">
            <w:pPr>
              <w:jc w:val="left"/>
              <w:rPr>
                <w:rFonts w:ascii="Arial" w:hAnsi="Arial" w:cs="Arial"/>
                <w:sz w:val="14"/>
                <w:szCs w:val="14"/>
              </w:rPr>
            </w:pPr>
          </w:p>
        </w:tc>
        <w:tc>
          <w:tcPr>
            <w:tcW w:w="1442" w:type="pct"/>
          </w:tcPr>
          <w:p w:rsidR="009C58A0" w:rsidRPr="00954FE4" w:rsidRDefault="009C58A0" w:rsidP="0024423B">
            <w:pPr>
              <w:jc w:val="right"/>
              <w:rPr>
                <w:rFonts w:ascii="Arial" w:hAnsi="Arial" w:cs="Arial"/>
                <w:sz w:val="14"/>
                <w:szCs w:val="14"/>
              </w:rPr>
            </w:pPr>
          </w:p>
        </w:tc>
      </w:tr>
      <w:tr w:rsidR="009C58A0" w:rsidRPr="00FD57E1" w:rsidTr="0024423B">
        <w:tc>
          <w:tcPr>
            <w:tcW w:w="3558" w:type="pct"/>
          </w:tcPr>
          <w:p w:rsidR="009C58A0" w:rsidRPr="00FD57E1" w:rsidRDefault="009C58A0" w:rsidP="0024423B">
            <w:pPr>
              <w:jc w:val="left"/>
              <w:rPr>
                <w:rFonts w:ascii="Arial" w:hAnsi="Arial" w:cs="Arial"/>
                <w:sz w:val="24"/>
                <w:szCs w:val="24"/>
              </w:rPr>
            </w:pPr>
            <w:r w:rsidRPr="00FD57E1">
              <w:rPr>
                <w:rFonts w:ascii="Arial" w:hAnsi="Arial" w:cs="Arial"/>
                <w:sz w:val="24"/>
                <w:szCs w:val="24"/>
              </w:rPr>
              <w:t xml:space="preserve">Sarah Levy, </w:t>
            </w:r>
            <w:r w:rsidRPr="00B325A7">
              <w:rPr>
                <w:rFonts w:ascii="Arial" w:hAnsi="Arial" w:cs="Arial"/>
                <w:sz w:val="24"/>
                <w:szCs w:val="24"/>
              </w:rPr>
              <w:t>Director of Investor Relations</w:t>
            </w:r>
          </w:p>
        </w:tc>
        <w:tc>
          <w:tcPr>
            <w:tcW w:w="1442" w:type="pct"/>
          </w:tcPr>
          <w:p w:rsidR="009C58A0" w:rsidRPr="00FD57E1" w:rsidRDefault="009C58A0" w:rsidP="0024423B">
            <w:pPr>
              <w:jc w:val="right"/>
              <w:rPr>
                <w:rFonts w:ascii="Arial" w:hAnsi="Arial" w:cs="Arial"/>
                <w:sz w:val="24"/>
                <w:szCs w:val="24"/>
              </w:rPr>
            </w:pPr>
            <w:r w:rsidRPr="00FD57E1">
              <w:rPr>
                <w:rFonts w:ascii="Arial" w:hAnsi="Arial" w:cs="Arial"/>
                <w:sz w:val="24"/>
                <w:szCs w:val="24"/>
              </w:rPr>
              <w:t>020 7644 1032</w:t>
            </w:r>
          </w:p>
        </w:tc>
      </w:tr>
      <w:tr w:rsidR="009C58A0" w:rsidRPr="00FD57E1" w:rsidTr="0024423B">
        <w:tc>
          <w:tcPr>
            <w:tcW w:w="3558" w:type="pct"/>
          </w:tcPr>
          <w:p w:rsidR="009C58A0" w:rsidRPr="00954FE4" w:rsidRDefault="009C58A0" w:rsidP="0024423B">
            <w:pPr>
              <w:jc w:val="left"/>
              <w:rPr>
                <w:rFonts w:ascii="Arial" w:hAnsi="Arial" w:cs="Arial"/>
                <w:sz w:val="14"/>
                <w:szCs w:val="14"/>
              </w:rPr>
            </w:pPr>
          </w:p>
        </w:tc>
        <w:tc>
          <w:tcPr>
            <w:tcW w:w="1442" w:type="pct"/>
          </w:tcPr>
          <w:p w:rsidR="009C58A0" w:rsidRPr="00954FE4" w:rsidRDefault="009C58A0" w:rsidP="0024423B">
            <w:pPr>
              <w:jc w:val="right"/>
              <w:rPr>
                <w:rFonts w:ascii="Arial" w:hAnsi="Arial" w:cs="Arial"/>
                <w:sz w:val="14"/>
                <w:szCs w:val="14"/>
              </w:rPr>
            </w:pPr>
          </w:p>
        </w:tc>
      </w:tr>
      <w:tr w:rsidR="009C58A0" w:rsidRPr="00FD57E1" w:rsidTr="0024423B">
        <w:tc>
          <w:tcPr>
            <w:tcW w:w="3558" w:type="pct"/>
          </w:tcPr>
          <w:p w:rsidR="009C58A0" w:rsidRPr="00FD57E1" w:rsidRDefault="009C58A0" w:rsidP="0024423B">
            <w:pPr>
              <w:jc w:val="left"/>
              <w:rPr>
                <w:rFonts w:ascii="Arial" w:hAnsi="Arial" w:cs="Arial"/>
                <w:sz w:val="24"/>
                <w:szCs w:val="24"/>
              </w:rPr>
            </w:pPr>
            <w:r w:rsidRPr="00FD57E1">
              <w:rPr>
                <w:rFonts w:ascii="Arial" w:hAnsi="Arial" w:cs="Arial"/>
                <w:sz w:val="24"/>
                <w:szCs w:val="24"/>
              </w:rPr>
              <w:t>Nigel Cope, Head of Media Relations</w:t>
            </w:r>
          </w:p>
        </w:tc>
        <w:tc>
          <w:tcPr>
            <w:tcW w:w="1442" w:type="pct"/>
          </w:tcPr>
          <w:p w:rsidR="009C58A0" w:rsidRPr="00FD57E1" w:rsidRDefault="009C58A0" w:rsidP="0024423B">
            <w:pPr>
              <w:jc w:val="right"/>
              <w:rPr>
                <w:rFonts w:ascii="Arial" w:hAnsi="Arial" w:cs="Arial"/>
                <w:sz w:val="24"/>
                <w:szCs w:val="24"/>
              </w:rPr>
            </w:pPr>
            <w:r w:rsidRPr="00FD57E1">
              <w:rPr>
                <w:rFonts w:ascii="Arial" w:hAnsi="Arial" w:cs="Arial"/>
                <w:sz w:val="24"/>
                <w:szCs w:val="24"/>
              </w:rPr>
              <w:t>020 7644 1030</w:t>
            </w:r>
          </w:p>
        </w:tc>
      </w:tr>
      <w:tr w:rsidR="009C58A0" w:rsidRPr="00FD57E1" w:rsidTr="0024423B">
        <w:tc>
          <w:tcPr>
            <w:tcW w:w="3558" w:type="pct"/>
          </w:tcPr>
          <w:p w:rsidR="009C58A0" w:rsidRPr="00954FE4" w:rsidRDefault="009C58A0" w:rsidP="0024423B">
            <w:pPr>
              <w:jc w:val="left"/>
              <w:rPr>
                <w:rFonts w:ascii="Arial" w:hAnsi="Arial" w:cs="Arial"/>
                <w:sz w:val="14"/>
                <w:szCs w:val="14"/>
              </w:rPr>
            </w:pPr>
          </w:p>
        </w:tc>
        <w:tc>
          <w:tcPr>
            <w:tcW w:w="1442" w:type="pct"/>
          </w:tcPr>
          <w:p w:rsidR="009C58A0" w:rsidRPr="00954FE4" w:rsidRDefault="009C58A0" w:rsidP="0024423B">
            <w:pPr>
              <w:jc w:val="right"/>
              <w:rPr>
                <w:rFonts w:ascii="Arial" w:hAnsi="Arial" w:cs="Arial"/>
                <w:sz w:val="14"/>
                <w:szCs w:val="14"/>
              </w:rPr>
            </w:pPr>
          </w:p>
        </w:tc>
      </w:tr>
      <w:tr w:rsidR="009C58A0" w:rsidRPr="00FD57E1" w:rsidTr="0024423B">
        <w:tc>
          <w:tcPr>
            <w:tcW w:w="3558" w:type="pct"/>
          </w:tcPr>
          <w:p w:rsidR="009C58A0" w:rsidRPr="00FD57E1" w:rsidRDefault="009C58A0" w:rsidP="0024423B">
            <w:pPr>
              <w:tabs>
                <w:tab w:val="left" w:pos="4455"/>
              </w:tabs>
              <w:jc w:val="left"/>
              <w:rPr>
                <w:rFonts w:ascii="Arial" w:hAnsi="Arial" w:cs="Arial"/>
                <w:sz w:val="24"/>
                <w:szCs w:val="24"/>
              </w:rPr>
            </w:pPr>
            <w:r w:rsidRPr="00FD57E1">
              <w:rPr>
                <w:rFonts w:ascii="Arial" w:hAnsi="Arial" w:cs="Arial"/>
                <w:sz w:val="24"/>
                <w:szCs w:val="24"/>
              </w:rPr>
              <w:t>Matt Duffy, Investor Relations Manager</w:t>
            </w:r>
          </w:p>
        </w:tc>
        <w:tc>
          <w:tcPr>
            <w:tcW w:w="1442" w:type="pct"/>
          </w:tcPr>
          <w:p w:rsidR="009C58A0" w:rsidRPr="00FD57E1" w:rsidRDefault="009C58A0" w:rsidP="0024423B">
            <w:pPr>
              <w:jc w:val="right"/>
              <w:rPr>
                <w:rFonts w:ascii="Arial" w:hAnsi="Arial" w:cs="Arial"/>
                <w:sz w:val="24"/>
                <w:szCs w:val="24"/>
              </w:rPr>
            </w:pPr>
            <w:r w:rsidRPr="00FD57E1">
              <w:rPr>
                <w:rFonts w:ascii="Arial" w:hAnsi="Arial" w:cs="Arial"/>
                <w:sz w:val="24"/>
                <w:szCs w:val="24"/>
              </w:rPr>
              <w:t>020 7644 1082</w:t>
            </w:r>
          </w:p>
        </w:tc>
      </w:tr>
      <w:tr w:rsidR="009C58A0" w:rsidRPr="00FD57E1" w:rsidTr="0024423B">
        <w:tc>
          <w:tcPr>
            <w:tcW w:w="3558" w:type="pct"/>
          </w:tcPr>
          <w:p w:rsidR="009C58A0" w:rsidRPr="00954FE4" w:rsidRDefault="009C58A0" w:rsidP="0024423B">
            <w:pPr>
              <w:tabs>
                <w:tab w:val="left" w:pos="4455"/>
              </w:tabs>
              <w:jc w:val="left"/>
              <w:rPr>
                <w:rFonts w:ascii="Arial" w:hAnsi="Arial" w:cs="Arial"/>
                <w:sz w:val="14"/>
                <w:szCs w:val="14"/>
              </w:rPr>
            </w:pPr>
          </w:p>
        </w:tc>
        <w:tc>
          <w:tcPr>
            <w:tcW w:w="1442" w:type="pct"/>
          </w:tcPr>
          <w:p w:rsidR="009C58A0" w:rsidRPr="00954FE4" w:rsidRDefault="009C58A0" w:rsidP="0024423B">
            <w:pPr>
              <w:jc w:val="right"/>
              <w:rPr>
                <w:rFonts w:ascii="Arial" w:hAnsi="Arial" w:cs="Arial"/>
                <w:sz w:val="14"/>
                <w:szCs w:val="14"/>
              </w:rPr>
            </w:pPr>
          </w:p>
        </w:tc>
      </w:tr>
      <w:tr w:rsidR="009C58A0" w:rsidRPr="00FD57E1" w:rsidTr="0024423B">
        <w:tc>
          <w:tcPr>
            <w:tcW w:w="3558" w:type="pct"/>
            <w:tcBorders>
              <w:bottom w:val="single" w:sz="4" w:space="0" w:color="auto"/>
            </w:tcBorders>
          </w:tcPr>
          <w:p w:rsidR="009C58A0" w:rsidRDefault="009C58A0" w:rsidP="0024423B">
            <w:pPr>
              <w:jc w:val="left"/>
              <w:rPr>
                <w:rFonts w:ascii="Arial" w:hAnsi="Arial" w:cs="Arial"/>
                <w:sz w:val="24"/>
                <w:szCs w:val="24"/>
              </w:rPr>
            </w:pPr>
            <w:r w:rsidRPr="00FD57E1">
              <w:rPr>
                <w:rFonts w:ascii="Arial" w:hAnsi="Arial" w:cs="Arial"/>
                <w:sz w:val="24"/>
                <w:szCs w:val="24"/>
              </w:rPr>
              <w:t>Brunswick</w:t>
            </w:r>
          </w:p>
          <w:p w:rsidR="009C58A0" w:rsidRPr="00954FE4" w:rsidRDefault="009C58A0" w:rsidP="0024423B">
            <w:pPr>
              <w:jc w:val="left"/>
              <w:rPr>
                <w:rFonts w:ascii="Arial" w:hAnsi="Arial" w:cs="Arial"/>
                <w:sz w:val="14"/>
                <w:szCs w:val="14"/>
              </w:rPr>
            </w:pPr>
          </w:p>
        </w:tc>
        <w:tc>
          <w:tcPr>
            <w:tcW w:w="1442" w:type="pct"/>
            <w:tcBorders>
              <w:bottom w:val="single" w:sz="4" w:space="0" w:color="auto"/>
            </w:tcBorders>
          </w:tcPr>
          <w:p w:rsidR="009C58A0" w:rsidRPr="00FD57E1" w:rsidRDefault="009C58A0" w:rsidP="0024423B">
            <w:pPr>
              <w:jc w:val="right"/>
              <w:rPr>
                <w:rFonts w:ascii="Arial" w:hAnsi="Arial" w:cs="Arial"/>
                <w:sz w:val="24"/>
                <w:szCs w:val="24"/>
              </w:rPr>
            </w:pPr>
            <w:r w:rsidRPr="00FD57E1">
              <w:rPr>
                <w:rFonts w:ascii="Arial" w:hAnsi="Arial" w:cs="Arial"/>
                <w:sz w:val="24"/>
                <w:szCs w:val="24"/>
              </w:rPr>
              <w:t>020 7404 5959</w:t>
            </w:r>
          </w:p>
        </w:tc>
      </w:tr>
    </w:tbl>
    <w:p w:rsidR="009C58A0" w:rsidRPr="00FD57E1" w:rsidRDefault="009C58A0" w:rsidP="00EA77FC">
      <w:pPr>
        <w:jc w:val="left"/>
        <w:rPr>
          <w:rFonts w:ascii="Arial" w:hAnsi="Arial" w:cs="Arial"/>
          <w:sz w:val="24"/>
          <w:szCs w:val="24"/>
        </w:rPr>
      </w:pPr>
    </w:p>
    <w:p w:rsidR="00FD3242" w:rsidRPr="00B731FF" w:rsidRDefault="00FD3242" w:rsidP="00FD3242">
      <w:pPr>
        <w:jc w:val="left"/>
        <w:rPr>
          <w:rFonts w:ascii="Arial" w:hAnsi="Arial" w:cs="Arial"/>
          <w:sz w:val="24"/>
          <w:szCs w:val="24"/>
        </w:rPr>
      </w:pPr>
      <w:r w:rsidRPr="00F16A72">
        <w:rPr>
          <w:rFonts w:ascii="Arial" w:hAnsi="Arial" w:cs="Arial"/>
          <w:sz w:val="24"/>
          <w:szCs w:val="24"/>
        </w:rPr>
        <w:t>Further copies of this announcement can be downloaded from www.kingfisher.com or viewed on the Kingfisher IR iPad App available for free at the Apple App store. We can also be followed on twitter @kingfisherplc.  Kingfisher American Depository Receipts are traded in the US on the OTCQX platform:(OTCQX: KGFHY) http://www.otcmarkets.com/stock/KGFHY/quote</w:t>
      </w:r>
    </w:p>
    <w:p w:rsidR="00FD3242" w:rsidRDefault="00FD3242" w:rsidP="00837B9F">
      <w:pPr>
        <w:jc w:val="left"/>
        <w:rPr>
          <w:rFonts w:ascii="Arial" w:hAnsi="Arial" w:cs="Arial"/>
          <w:b/>
          <w:bCs/>
          <w:sz w:val="24"/>
          <w:szCs w:val="24"/>
        </w:rPr>
      </w:pPr>
    </w:p>
    <w:p w:rsidR="00FD3242" w:rsidRDefault="00FD3242" w:rsidP="00837B9F">
      <w:pPr>
        <w:jc w:val="left"/>
        <w:rPr>
          <w:rFonts w:ascii="Arial" w:hAnsi="Arial" w:cs="Arial"/>
          <w:b/>
          <w:bCs/>
          <w:sz w:val="24"/>
          <w:szCs w:val="24"/>
        </w:rPr>
      </w:pPr>
    </w:p>
    <w:p w:rsidR="00FD3242" w:rsidRDefault="00FD3242" w:rsidP="00837B9F">
      <w:pPr>
        <w:jc w:val="left"/>
        <w:rPr>
          <w:rFonts w:ascii="Arial" w:hAnsi="Arial" w:cs="Arial"/>
          <w:b/>
          <w:bCs/>
          <w:sz w:val="24"/>
          <w:szCs w:val="24"/>
        </w:rPr>
      </w:pPr>
    </w:p>
    <w:p w:rsidR="009C58A0" w:rsidRPr="004C2B82" w:rsidRDefault="009C58A0" w:rsidP="00837B9F">
      <w:pPr>
        <w:jc w:val="left"/>
        <w:rPr>
          <w:rFonts w:ascii="Arial" w:hAnsi="Arial" w:cs="Arial"/>
          <w:sz w:val="24"/>
          <w:szCs w:val="24"/>
        </w:rPr>
      </w:pPr>
      <w:r>
        <w:rPr>
          <w:rFonts w:ascii="Arial" w:hAnsi="Arial" w:cs="Arial"/>
          <w:b/>
          <w:bCs/>
          <w:sz w:val="24"/>
          <w:szCs w:val="24"/>
        </w:rPr>
        <w:t>COMPANY PROFILE</w:t>
      </w:r>
    </w:p>
    <w:p w:rsidR="009C58A0" w:rsidRPr="004C2B82" w:rsidRDefault="009C58A0" w:rsidP="00837B9F">
      <w:pPr>
        <w:jc w:val="left"/>
        <w:rPr>
          <w:rFonts w:ascii="Arial" w:hAnsi="Arial" w:cs="Arial"/>
          <w:sz w:val="24"/>
          <w:szCs w:val="24"/>
        </w:rPr>
      </w:pPr>
    </w:p>
    <w:p w:rsidR="009C58A0" w:rsidRDefault="009C58A0" w:rsidP="00417DF1">
      <w:pPr>
        <w:autoSpaceDE w:val="0"/>
        <w:autoSpaceDN w:val="0"/>
        <w:adjustRightInd w:val="0"/>
        <w:jc w:val="left"/>
        <w:rPr>
          <w:rFonts w:ascii="Arial" w:hAnsi="Arial" w:cs="Arial"/>
          <w:b/>
          <w:sz w:val="24"/>
          <w:szCs w:val="24"/>
        </w:rPr>
      </w:pPr>
      <w:r w:rsidRPr="004C2B82">
        <w:rPr>
          <w:rFonts w:ascii="Arial" w:hAnsi="Arial" w:cs="Arial"/>
          <w:b/>
          <w:bCs/>
          <w:sz w:val="24"/>
          <w:szCs w:val="24"/>
        </w:rPr>
        <w:t>Kingfisher</w:t>
      </w:r>
      <w:r w:rsidRPr="004C2B82">
        <w:rPr>
          <w:rFonts w:ascii="Arial" w:hAnsi="Arial" w:cs="Arial"/>
          <w:sz w:val="24"/>
          <w:szCs w:val="24"/>
        </w:rPr>
        <w:t xml:space="preserve"> </w:t>
      </w:r>
      <w:r w:rsidRPr="004C2B82">
        <w:rPr>
          <w:rFonts w:ascii="Arial" w:hAnsi="Arial" w:cs="Arial"/>
          <w:b/>
          <w:bCs/>
          <w:sz w:val="24"/>
          <w:szCs w:val="24"/>
        </w:rPr>
        <w:t xml:space="preserve">plc </w:t>
      </w:r>
      <w:r w:rsidRPr="004C2B82">
        <w:rPr>
          <w:rFonts w:ascii="Arial" w:hAnsi="Arial" w:cs="Arial"/>
          <w:sz w:val="24"/>
          <w:szCs w:val="24"/>
        </w:rPr>
        <w:t xml:space="preserve">is Europe’s leading home improvement retail group and the third largest in the world, </w:t>
      </w:r>
      <w:r w:rsidRPr="00791B66">
        <w:rPr>
          <w:rFonts w:ascii="Arial" w:hAnsi="Arial" w:cs="Arial"/>
          <w:sz w:val="24"/>
          <w:szCs w:val="24"/>
        </w:rPr>
        <w:t>with</w:t>
      </w:r>
      <w:r>
        <w:rPr>
          <w:rFonts w:ascii="Arial" w:hAnsi="Arial" w:cs="Arial"/>
          <w:sz w:val="24"/>
          <w:szCs w:val="24"/>
        </w:rPr>
        <w:t xml:space="preserve"> 1,082</w:t>
      </w:r>
      <w:r w:rsidRPr="003A0F53">
        <w:rPr>
          <w:rFonts w:ascii="Arial" w:hAnsi="Arial" w:cs="Arial"/>
          <w:sz w:val="24"/>
          <w:szCs w:val="24"/>
        </w:rPr>
        <w:t xml:space="preserve"> </w:t>
      </w:r>
      <w:r w:rsidRPr="00791B66">
        <w:rPr>
          <w:rFonts w:ascii="Arial" w:hAnsi="Arial" w:cs="Arial"/>
          <w:sz w:val="24"/>
          <w:szCs w:val="24"/>
        </w:rPr>
        <w:t xml:space="preserve">stores in </w:t>
      </w:r>
      <w:r>
        <w:rPr>
          <w:rFonts w:ascii="Arial" w:hAnsi="Arial" w:cs="Arial"/>
          <w:sz w:val="24"/>
          <w:szCs w:val="24"/>
        </w:rPr>
        <w:t xml:space="preserve">nine countries in Europe and Asia. </w:t>
      </w:r>
      <w:r w:rsidRPr="00791B66">
        <w:rPr>
          <w:rFonts w:ascii="Arial" w:hAnsi="Arial" w:cs="Arial"/>
          <w:sz w:val="24"/>
          <w:szCs w:val="24"/>
        </w:rPr>
        <w:t xml:space="preserve">Its main retail brands are B&amp;Q, Castorama, Brico Dépôt and Screwfix. </w:t>
      </w:r>
      <w:r w:rsidRPr="005F3F68">
        <w:rPr>
          <w:rFonts w:ascii="Arial" w:hAnsi="Arial" w:cs="Arial"/>
          <w:sz w:val="24"/>
          <w:szCs w:val="24"/>
        </w:rPr>
        <w:t xml:space="preserve">Kingfisher also operates the </w:t>
      </w:r>
      <w:r w:rsidRPr="005F3F68">
        <w:rPr>
          <w:rFonts w:ascii="Arial" w:hAnsi="Arial" w:cs="Arial"/>
          <w:bCs/>
          <w:sz w:val="24"/>
          <w:szCs w:val="24"/>
        </w:rPr>
        <w:t xml:space="preserve">Koçtaş </w:t>
      </w:r>
      <w:r w:rsidRPr="005F3F68">
        <w:rPr>
          <w:rFonts w:ascii="Arial" w:hAnsi="Arial" w:cs="Arial"/>
          <w:sz w:val="24"/>
          <w:szCs w:val="24"/>
        </w:rPr>
        <w:t>brand, a 50% joint venture in Turkey with the Koç Group, and has a 21% interest in Hornbach, Germany’s leading large format DIY retailer.</w:t>
      </w:r>
    </w:p>
    <w:p w:rsidR="00F16A72" w:rsidRDefault="00F16A72" w:rsidP="0027357D">
      <w:pPr>
        <w:jc w:val="left"/>
        <w:rPr>
          <w:rFonts w:ascii="Arial" w:hAnsi="Arial" w:cs="Arial"/>
          <w:b/>
          <w:sz w:val="24"/>
          <w:szCs w:val="24"/>
        </w:rPr>
      </w:pPr>
    </w:p>
    <w:p w:rsidR="0027357D" w:rsidRPr="00B325A7" w:rsidRDefault="0027357D" w:rsidP="0027357D">
      <w:pPr>
        <w:jc w:val="left"/>
        <w:rPr>
          <w:rFonts w:ascii="Arial" w:hAnsi="Arial" w:cs="Arial"/>
          <w:i/>
          <w:sz w:val="18"/>
          <w:szCs w:val="18"/>
        </w:rPr>
      </w:pPr>
      <w:r w:rsidRPr="00B325A7">
        <w:rPr>
          <w:rFonts w:ascii="Arial" w:hAnsi="Arial" w:cs="Arial"/>
          <w:b/>
          <w:sz w:val="24"/>
          <w:szCs w:val="24"/>
        </w:rPr>
        <w:t>FINANCIAL POSITION</w:t>
      </w:r>
      <w:r w:rsidRPr="00B325A7">
        <w:rPr>
          <w:rFonts w:ascii="Arial" w:hAnsi="Arial" w:cs="Arial"/>
          <w:sz w:val="17"/>
          <w:szCs w:val="17"/>
        </w:rPr>
        <w:br/>
      </w:r>
      <w:r w:rsidRPr="006A0C08">
        <w:rPr>
          <w:rFonts w:ascii="Arial" w:hAnsi="Arial" w:cs="Arial"/>
          <w:sz w:val="24"/>
          <w:szCs w:val="24"/>
        </w:rPr>
        <w:t xml:space="preserve">No material events or transactions impacting the Group’s financial position have taken place since the previously announced </w:t>
      </w:r>
      <w:r>
        <w:rPr>
          <w:rFonts w:ascii="Arial" w:hAnsi="Arial" w:cs="Arial"/>
          <w:sz w:val="24"/>
          <w:szCs w:val="24"/>
        </w:rPr>
        <w:t xml:space="preserve">unaudited balance sheet as at 3 August </w:t>
      </w:r>
      <w:r w:rsidRPr="006A0C08">
        <w:rPr>
          <w:rFonts w:ascii="Arial" w:hAnsi="Arial" w:cs="Arial"/>
          <w:sz w:val="24"/>
          <w:szCs w:val="24"/>
        </w:rPr>
        <w:t>201</w:t>
      </w:r>
      <w:r>
        <w:rPr>
          <w:rFonts w:ascii="Arial" w:hAnsi="Arial" w:cs="Arial"/>
          <w:sz w:val="24"/>
          <w:szCs w:val="24"/>
        </w:rPr>
        <w:t>3</w:t>
      </w:r>
      <w:r w:rsidRPr="006A0C08">
        <w:rPr>
          <w:rFonts w:ascii="Arial" w:hAnsi="Arial" w:cs="Arial"/>
          <w:sz w:val="24"/>
          <w:szCs w:val="24"/>
        </w:rPr>
        <w:t>.</w:t>
      </w:r>
    </w:p>
    <w:p w:rsidR="00CA1FB8" w:rsidRDefault="00CA1FB8">
      <w:pPr>
        <w:jc w:val="left"/>
        <w:rPr>
          <w:rFonts w:ascii="Arial" w:hAnsi="Arial" w:cs="Arial"/>
          <w:b/>
          <w:sz w:val="24"/>
          <w:szCs w:val="24"/>
        </w:rPr>
      </w:pPr>
      <w:r>
        <w:rPr>
          <w:rFonts w:ascii="Arial" w:hAnsi="Arial" w:cs="Arial"/>
          <w:b/>
          <w:sz w:val="24"/>
          <w:szCs w:val="24"/>
        </w:rPr>
        <w:br w:type="page"/>
      </w:r>
    </w:p>
    <w:p w:rsidR="005707FC" w:rsidRDefault="005707FC" w:rsidP="003C6F51">
      <w:pPr>
        <w:jc w:val="left"/>
        <w:rPr>
          <w:rFonts w:ascii="Arial" w:hAnsi="Arial" w:cs="Arial"/>
          <w:b/>
          <w:sz w:val="24"/>
          <w:szCs w:val="24"/>
        </w:rPr>
      </w:pPr>
    </w:p>
    <w:p w:rsidR="009C58A0" w:rsidRPr="00F50885" w:rsidRDefault="009C58A0" w:rsidP="003C6F51">
      <w:pPr>
        <w:jc w:val="left"/>
        <w:rPr>
          <w:rFonts w:ascii="Arial" w:hAnsi="Arial" w:cs="Arial"/>
          <w:b/>
          <w:sz w:val="24"/>
          <w:szCs w:val="24"/>
        </w:rPr>
      </w:pPr>
      <w:r w:rsidRPr="00F50885">
        <w:rPr>
          <w:rFonts w:ascii="Arial" w:hAnsi="Arial" w:cs="Arial"/>
          <w:b/>
          <w:sz w:val="24"/>
          <w:szCs w:val="24"/>
        </w:rPr>
        <w:t xml:space="preserve">Q3 </w:t>
      </w:r>
      <w:r>
        <w:rPr>
          <w:rFonts w:ascii="Arial" w:hAnsi="Arial" w:cs="Arial"/>
          <w:b/>
          <w:sz w:val="24"/>
          <w:szCs w:val="24"/>
        </w:rPr>
        <w:t>TRADING REVIEW BY MAJOR GEOGRAPHY</w:t>
      </w:r>
    </w:p>
    <w:p w:rsidR="009C58A0" w:rsidRPr="007F6251" w:rsidRDefault="009C58A0" w:rsidP="00417DF1">
      <w:pPr>
        <w:autoSpaceDE w:val="0"/>
        <w:autoSpaceDN w:val="0"/>
        <w:adjustRightInd w:val="0"/>
        <w:jc w:val="left"/>
        <w:rPr>
          <w:rFonts w:ascii="Arial" w:hAnsi="Arial" w:cs="Arial"/>
          <w:b/>
          <w:sz w:val="24"/>
          <w:szCs w:val="24"/>
        </w:rPr>
      </w:pPr>
    </w:p>
    <w:p w:rsidR="009C58A0" w:rsidRPr="001A35EE" w:rsidRDefault="009C58A0" w:rsidP="00417DF1">
      <w:pPr>
        <w:autoSpaceDE w:val="0"/>
        <w:autoSpaceDN w:val="0"/>
        <w:adjustRightInd w:val="0"/>
        <w:jc w:val="left"/>
        <w:rPr>
          <w:rFonts w:ascii="Arial" w:hAnsi="Arial" w:cs="Arial"/>
          <w:sz w:val="24"/>
          <w:szCs w:val="24"/>
        </w:rPr>
      </w:pPr>
      <w:r w:rsidRPr="001A35EE">
        <w:rPr>
          <w:rFonts w:ascii="Arial" w:hAnsi="Arial" w:cs="Arial"/>
          <w:b/>
          <w:sz w:val="24"/>
          <w:szCs w:val="24"/>
        </w:rPr>
        <w:t xml:space="preserve">FRANCE </w:t>
      </w:r>
    </w:p>
    <w:p w:rsidR="009C58A0" w:rsidRDefault="009C58A0" w:rsidP="000861DC">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535"/>
        <w:gridCol w:w="1274"/>
        <w:gridCol w:w="1757"/>
        <w:gridCol w:w="1584"/>
        <w:gridCol w:w="1049"/>
      </w:tblGrid>
      <w:tr w:rsidR="009C58A0" w:rsidRPr="00B526CD" w:rsidTr="007F6251">
        <w:tc>
          <w:tcPr>
            <w:tcW w:w="1136" w:type="pct"/>
          </w:tcPr>
          <w:p w:rsidR="009C58A0" w:rsidRPr="00B526CD" w:rsidRDefault="009C58A0" w:rsidP="007F6251">
            <w:pPr>
              <w:rPr>
                <w:rFonts w:ascii="Arial" w:hAnsi="Arial" w:cs="Arial"/>
                <w:sz w:val="24"/>
                <w:szCs w:val="24"/>
              </w:rPr>
            </w:pPr>
            <w:r w:rsidRPr="00B526CD">
              <w:rPr>
                <w:rFonts w:ascii="Arial" w:hAnsi="Arial" w:cs="Arial"/>
                <w:b/>
                <w:bCs/>
                <w:sz w:val="24"/>
                <w:szCs w:val="24"/>
              </w:rPr>
              <w:t>Sales £m</w:t>
            </w:r>
          </w:p>
        </w:tc>
        <w:tc>
          <w:tcPr>
            <w:tcW w:w="824" w:type="pct"/>
          </w:tcPr>
          <w:p w:rsidR="009C58A0" w:rsidRPr="00B526CD" w:rsidRDefault="009C58A0" w:rsidP="007F6251">
            <w:pPr>
              <w:jc w:val="right"/>
              <w:rPr>
                <w:rFonts w:ascii="Arial" w:hAnsi="Arial" w:cs="Arial"/>
                <w:sz w:val="24"/>
                <w:szCs w:val="24"/>
              </w:rPr>
            </w:pPr>
            <w:r>
              <w:rPr>
                <w:rFonts w:ascii="Arial" w:hAnsi="Arial" w:cs="Arial"/>
                <w:b/>
                <w:bCs/>
                <w:sz w:val="24"/>
                <w:szCs w:val="24"/>
              </w:rPr>
              <w:t>2013/14</w:t>
            </w:r>
          </w:p>
        </w:tc>
        <w:tc>
          <w:tcPr>
            <w:tcW w:w="684"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2012/13</w:t>
            </w:r>
          </w:p>
        </w:tc>
        <w:tc>
          <w:tcPr>
            <w:tcW w:w="943"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850" w:type="pct"/>
          </w:tcPr>
          <w:p w:rsidR="009C58A0" w:rsidRDefault="009C58A0" w:rsidP="007F6251">
            <w:pPr>
              <w:jc w:val="right"/>
              <w:rPr>
                <w:rFonts w:ascii="Arial" w:hAnsi="Arial" w:cs="Arial"/>
                <w:b/>
                <w:bCs/>
                <w:sz w:val="24"/>
                <w:szCs w:val="24"/>
              </w:rPr>
            </w:pPr>
            <w:r w:rsidRPr="00B526CD">
              <w:rPr>
                <w:rFonts w:ascii="Arial" w:hAnsi="Arial" w:cs="Arial"/>
                <w:b/>
                <w:bCs/>
                <w:sz w:val="24"/>
                <w:szCs w:val="24"/>
              </w:rPr>
              <w:t xml:space="preserve">% Constant </w:t>
            </w:r>
          </w:p>
          <w:p w:rsidR="009C58A0" w:rsidRDefault="009C58A0" w:rsidP="007F6251">
            <w:pPr>
              <w:jc w:val="right"/>
              <w:rPr>
                <w:rFonts w:ascii="Arial" w:hAnsi="Arial" w:cs="Arial"/>
                <w:b/>
                <w:bCs/>
                <w:sz w:val="24"/>
                <w:szCs w:val="24"/>
              </w:rPr>
            </w:pPr>
            <w:r>
              <w:rPr>
                <w:rFonts w:ascii="Arial" w:hAnsi="Arial" w:cs="Arial"/>
                <w:b/>
                <w:bCs/>
                <w:sz w:val="24"/>
                <w:szCs w:val="24"/>
              </w:rPr>
              <w:t>Currency</w:t>
            </w:r>
          </w:p>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c>
          <w:tcPr>
            <w:tcW w:w="563" w:type="pct"/>
          </w:tcPr>
          <w:p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 LFL</w:t>
            </w:r>
          </w:p>
          <w:p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Change</w:t>
            </w:r>
          </w:p>
        </w:tc>
      </w:tr>
      <w:tr w:rsidR="009C58A0" w:rsidRPr="00B526CD" w:rsidTr="007F6251">
        <w:trPr>
          <w:trHeight w:val="147"/>
        </w:trPr>
        <w:tc>
          <w:tcPr>
            <w:tcW w:w="1136" w:type="pct"/>
          </w:tcPr>
          <w:p w:rsidR="009C58A0" w:rsidRPr="00B526CD" w:rsidRDefault="009C58A0" w:rsidP="007F6251">
            <w:pPr>
              <w:rPr>
                <w:rFonts w:ascii="Arial" w:hAnsi="Arial" w:cs="Arial"/>
                <w:sz w:val="24"/>
                <w:szCs w:val="24"/>
              </w:rPr>
            </w:pPr>
            <w:r w:rsidRPr="00B526CD">
              <w:rPr>
                <w:rFonts w:ascii="Arial" w:hAnsi="Arial" w:cs="Arial"/>
                <w:sz w:val="24"/>
                <w:szCs w:val="24"/>
              </w:rPr>
              <w:t>France</w:t>
            </w:r>
          </w:p>
        </w:tc>
        <w:tc>
          <w:tcPr>
            <w:tcW w:w="824" w:type="pct"/>
          </w:tcPr>
          <w:p w:rsidR="009C58A0" w:rsidRPr="00B526CD" w:rsidRDefault="009C58A0" w:rsidP="00EA77FC">
            <w:pPr>
              <w:jc w:val="right"/>
              <w:rPr>
                <w:rFonts w:ascii="Arial" w:hAnsi="Arial" w:cs="Arial"/>
                <w:sz w:val="24"/>
                <w:szCs w:val="24"/>
              </w:rPr>
            </w:pPr>
            <w:r>
              <w:rPr>
                <w:rFonts w:ascii="Arial" w:hAnsi="Arial" w:cs="Arial"/>
                <w:sz w:val="24"/>
                <w:szCs w:val="24"/>
              </w:rPr>
              <w:t>1,173</w:t>
            </w:r>
          </w:p>
        </w:tc>
        <w:tc>
          <w:tcPr>
            <w:tcW w:w="684" w:type="pct"/>
          </w:tcPr>
          <w:p w:rsidR="009C58A0" w:rsidRPr="00B526CD" w:rsidRDefault="009C58A0" w:rsidP="007F6251">
            <w:pPr>
              <w:jc w:val="right"/>
              <w:rPr>
                <w:rFonts w:ascii="Arial" w:hAnsi="Arial" w:cs="Arial"/>
                <w:sz w:val="24"/>
                <w:szCs w:val="24"/>
              </w:rPr>
            </w:pPr>
            <w:r>
              <w:rPr>
                <w:rFonts w:ascii="Arial" w:hAnsi="Arial" w:cs="Arial"/>
                <w:sz w:val="24"/>
                <w:szCs w:val="24"/>
              </w:rPr>
              <w:t>1,081</w:t>
            </w:r>
          </w:p>
        </w:tc>
        <w:tc>
          <w:tcPr>
            <w:tcW w:w="943" w:type="pct"/>
          </w:tcPr>
          <w:p w:rsidR="009C58A0" w:rsidRPr="00B526CD" w:rsidRDefault="009C58A0" w:rsidP="007F6251">
            <w:pPr>
              <w:jc w:val="right"/>
              <w:rPr>
                <w:rFonts w:ascii="Arial" w:hAnsi="Arial" w:cs="Arial"/>
                <w:sz w:val="24"/>
                <w:szCs w:val="24"/>
              </w:rPr>
            </w:pPr>
            <w:r>
              <w:rPr>
                <w:rFonts w:ascii="Arial" w:hAnsi="Arial" w:cs="Arial"/>
                <w:sz w:val="24"/>
                <w:szCs w:val="24"/>
              </w:rPr>
              <w:t>+8.6</w:t>
            </w:r>
            <w:r w:rsidRPr="00B526CD">
              <w:rPr>
                <w:rFonts w:ascii="Arial" w:hAnsi="Arial" w:cs="Arial"/>
                <w:sz w:val="24"/>
                <w:szCs w:val="24"/>
              </w:rPr>
              <w:t>%</w:t>
            </w:r>
          </w:p>
        </w:tc>
        <w:tc>
          <w:tcPr>
            <w:tcW w:w="850" w:type="pct"/>
          </w:tcPr>
          <w:p w:rsidR="009C58A0" w:rsidRPr="00B526CD" w:rsidRDefault="009C58A0" w:rsidP="007F6251">
            <w:pPr>
              <w:jc w:val="right"/>
              <w:rPr>
                <w:rFonts w:ascii="Arial" w:hAnsi="Arial" w:cs="Arial"/>
                <w:sz w:val="24"/>
                <w:szCs w:val="24"/>
              </w:rPr>
            </w:pPr>
            <w:r>
              <w:rPr>
                <w:rFonts w:ascii="Arial" w:hAnsi="Arial" w:cs="Arial"/>
                <w:sz w:val="24"/>
                <w:szCs w:val="24"/>
              </w:rPr>
              <w:t>+1.9</w:t>
            </w:r>
            <w:r w:rsidRPr="00B526CD">
              <w:rPr>
                <w:rFonts w:ascii="Arial" w:hAnsi="Arial" w:cs="Arial"/>
                <w:sz w:val="24"/>
                <w:szCs w:val="24"/>
              </w:rPr>
              <w:t>%</w:t>
            </w:r>
          </w:p>
        </w:tc>
        <w:tc>
          <w:tcPr>
            <w:tcW w:w="563" w:type="pct"/>
          </w:tcPr>
          <w:p w:rsidR="009C58A0" w:rsidRPr="00B526CD" w:rsidRDefault="009C58A0" w:rsidP="007F6251">
            <w:pPr>
              <w:jc w:val="right"/>
              <w:rPr>
                <w:rFonts w:ascii="Arial" w:hAnsi="Arial" w:cs="Arial"/>
                <w:sz w:val="24"/>
                <w:szCs w:val="24"/>
              </w:rPr>
            </w:pPr>
            <w:r>
              <w:rPr>
                <w:rFonts w:ascii="Arial" w:hAnsi="Arial" w:cs="Arial"/>
                <w:sz w:val="24"/>
                <w:szCs w:val="24"/>
              </w:rPr>
              <w:t>Flat</w:t>
            </w:r>
          </w:p>
        </w:tc>
      </w:tr>
    </w:tbl>
    <w:p w:rsidR="009C58A0" w:rsidRPr="007F6251" w:rsidRDefault="009C58A0" w:rsidP="00CD63CC">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561"/>
        <w:gridCol w:w="1278"/>
        <w:gridCol w:w="1752"/>
        <w:gridCol w:w="1579"/>
      </w:tblGrid>
      <w:tr w:rsidR="009C58A0" w:rsidRPr="00B526CD" w:rsidTr="007F6251">
        <w:tc>
          <w:tcPr>
            <w:tcW w:w="1268" w:type="pct"/>
          </w:tcPr>
          <w:p w:rsidR="009C58A0" w:rsidRPr="00B526CD" w:rsidRDefault="009C58A0" w:rsidP="007F6251">
            <w:pPr>
              <w:rPr>
                <w:rFonts w:ascii="Arial" w:hAnsi="Arial" w:cs="Arial"/>
                <w:b/>
                <w:bCs/>
                <w:sz w:val="24"/>
                <w:szCs w:val="24"/>
              </w:rPr>
            </w:pPr>
            <w:r w:rsidRPr="00B526CD">
              <w:rPr>
                <w:rFonts w:ascii="Arial" w:hAnsi="Arial" w:cs="Arial"/>
                <w:b/>
                <w:bCs/>
                <w:sz w:val="24"/>
                <w:szCs w:val="24"/>
              </w:rPr>
              <w:t>Retail profit £m</w:t>
            </w:r>
          </w:p>
        </w:tc>
        <w:tc>
          <w:tcPr>
            <w:tcW w:w="944" w:type="pct"/>
          </w:tcPr>
          <w:p w:rsidR="009C58A0" w:rsidRPr="00B526CD" w:rsidRDefault="009C58A0" w:rsidP="007F6251">
            <w:pPr>
              <w:jc w:val="right"/>
              <w:rPr>
                <w:rFonts w:ascii="Arial" w:hAnsi="Arial" w:cs="Arial"/>
                <w:b/>
                <w:bCs/>
                <w:sz w:val="24"/>
                <w:szCs w:val="24"/>
              </w:rPr>
            </w:pPr>
            <w:r>
              <w:rPr>
                <w:rFonts w:ascii="Arial" w:hAnsi="Arial" w:cs="Arial"/>
                <w:b/>
                <w:bCs/>
                <w:sz w:val="24"/>
                <w:szCs w:val="24"/>
              </w:rPr>
              <w:t>2013/14</w:t>
            </w:r>
          </w:p>
        </w:tc>
        <w:tc>
          <w:tcPr>
            <w:tcW w:w="773"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2012/13</w:t>
            </w:r>
          </w:p>
        </w:tc>
        <w:tc>
          <w:tcPr>
            <w:tcW w:w="1060"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956" w:type="pct"/>
          </w:tcPr>
          <w:p w:rsidR="009C58A0" w:rsidRDefault="009C58A0" w:rsidP="007F6251">
            <w:pPr>
              <w:jc w:val="right"/>
              <w:rPr>
                <w:rFonts w:ascii="Arial" w:hAnsi="Arial" w:cs="Arial"/>
                <w:b/>
                <w:bCs/>
                <w:sz w:val="24"/>
                <w:szCs w:val="24"/>
              </w:rPr>
            </w:pPr>
            <w:r w:rsidRPr="00B526CD">
              <w:rPr>
                <w:rFonts w:ascii="Arial" w:hAnsi="Arial" w:cs="Arial"/>
                <w:b/>
                <w:bCs/>
                <w:sz w:val="24"/>
                <w:szCs w:val="24"/>
              </w:rPr>
              <w:t>% Constant</w:t>
            </w:r>
          </w:p>
          <w:p w:rsidR="009C58A0" w:rsidRDefault="009C58A0" w:rsidP="007F6251">
            <w:pPr>
              <w:jc w:val="right"/>
              <w:rPr>
                <w:rFonts w:ascii="Arial" w:hAnsi="Arial" w:cs="Arial"/>
                <w:b/>
                <w:bCs/>
                <w:sz w:val="24"/>
                <w:szCs w:val="24"/>
              </w:rPr>
            </w:pPr>
            <w:r>
              <w:rPr>
                <w:rFonts w:ascii="Arial" w:hAnsi="Arial" w:cs="Arial"/>
                <w:b/>
                <w:bCs/>
                <w:sz w:val="24"/>
                <w:szCs w:val="24"/>
              </w:rPr>
              <w:t>Currency</w:t>
            </w:r>
            <w:r w:rsidRPr="00B526CD">
              <w:rPr>
                <w:rFonts w:ascii="Arial" w:hAnsi="Arial" w:cs="Arial"/>
                <w:b/>
                <w:bCs/>
                <w:sz w:val="24"/>
                <w:szCs w:val="24"/>
              </w:rPr>
              <w:t xml:space="preserve"> </w:t>
            </w:r>
          </w:p>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r>
      <w:tr w:rsidR="009C58A0" w:rsidRPr="00A92CD1" w:rsidTr="007F6251">
        <w:tc>
          <w:tcPr>
            <w:tcW w:w="1268" w:type="pct"/>
          </w:tcPr>
          <w:p w:rsidR="009C58A0" w:rsidRPr="00A92CD1" w:rsidRDefault="009C58A0" w:rsidP="007F6251">
            <w:pPr>
              <w:rPr>
                <w:rFonts w:ascii="Arial" w:hAnsi="Arial" w:cs="Arial"/>
                <w:sz w:val="24"/>
                <w:szCs w:val="24"/>
              </w:rPr>
            </w:pPr>
            <w:r w:rsidRPr="00A92CD1">
              <w:rPr>
                <w:rFonts w:ascii="Arial" w:hAnsi="Arial" w:cs="Arial"/>
                <w:sz w:val="24"/>
                <w:szCs w:val="24"/>
              </w:rPr>
              <w:t>France</w:t>
            </w:r>
          </w:p>
        </w:tc>
        <w:tc>
          <w:tcPr>
            <w:tcW w:w="944" w:type="pct"/>
          </w:tcPr>
          <w:p w:rsidR="009C58A0" w:rsidRPr="00A92CD1" w:rsidRDefault="009C58A0" w:rsidP="007F6251">
            <w:pPr>
              <w:jc w:val="right"/>
              <w:rPr>
                <w:rFonts w:ascii="Arial" w:hAnsi="Arial" w:cs="Arial"/>
                <w:sz w:val="24"/>
                <w:szCs w:val="24"/>
              </w:rPr>
            </w:pPr>
            <w:r>
              <w:rPr>
                <w:rFonts w:ascii="Arial" w:hAnsi="Arial" w:cs="Arial"/>
                <w:sz w:val="24"/>
                <w:szCs w:val="24"/>
              </w:rPr>
              <w:t>140</w:t>
            </w:r>
          </w:p>
        </w:tc>
        <w:tc>
          <w:tcPr>
            <w:tcW w:w="773" w:type="pct"/>
          </w:tcPr>
          <w:p w:rsidR="009C58A0" w:rsidRPr="00A92CD1" w:rsidRDefault="009C58A0" w:rsidP="007F6251">
            <w:pPr>
              <w:jc w:val="right"/>
              <w:rPr>
                <w:rFonts w:ascii="Arial" w:hAnsi="Arial" w:cs="Arial"/>
                <w:sz w:val="24"/>
                <w:szCs w:val="24"/>
              </w:rPr>
            </w:pPr>
            <w:r>
              <w:rPr>
                <w:rFonts w:ascii="Arial" w:hAnsi="Arial" w:cs="Arial"/>
                <w:sz w:val="24"/>
                <w:szCs w:val="24"/>
              </w:rPr>
              <w:t>140</w:t>
            </w:r>
          </w:p>
        </w:tc>
        <w:tc>
          <w:tcPr>
            <w:tcW w:w="1060" w:type="pct"/>
          </w:tcPr>
          <w:p w:rsidR="009C58A0" w:rsidRPr="00A908F1" w:rsidRDefault="00F12E60" w:rsidP="007F6251">
            <w:pPr>
              <w:jc w:val="right"/>
              <w:rPr>
                <w:rFonts w:ascii="Arial" w:hAnsi="Arial" w:cs="Arial"/>
                <w:sz w:val="24"/>
                <w:szCs w:val="24"/>
                <w:highlight w:val="yellow"/>
              </w:rPr>
            </w:pPr>
            <w:r>
              <w:rPr>
                <w:rFonts w:ascii="Arial" w:hAnsi="Arial" w:cs="Arial"/>
                <w:sz w:val="24"/>
                <w:szCs w:val="24"/>
              </w:rPr>
              <w:t>+</w:t>
            </w:r>
            <w:r w:rsidR="009C58A0" w:rsidRPr="00B731FF">
              <w:rPr>
                <w:rFonts w:ascii="Arial" w:hAnsi="Arial" w:cs="Arial"/>
                <w:sz w:val="24"/>
                <w:szCs w:val="24"/>
              </w:rPr>
              <w:t>0.2%</w:t>
            </w:r>
          </w:p>
        </w:tc>
        <w:tc>
          <w:tcPr>
            <w:tcW w:w="956" w:type="pct"/>
          </w:tcPr>
          <w:p w:rsidR="009C58A0" w:rsidRPr="00A908F1" w:rsidRDefault="009C58A0" w:rsidP="007F6251">
            <w:pPr>
              <w:jc w:val="right"/>
              <w:rPr>
                <w:rFonts w:ascii="Arial" w:hAnsi="Arial" w:cs="Arial"/>
                <w:sz w:val="24"/>
                <w:szCs w:val="24"/>
                <w:highlight w:val="yellow"/>
              </w:rPr>
            </w:pPr>
            <w:r w:rsidRPr="00B731FF">
              <w:rPr>
                <w:rFonts w:ascii="Arial" w:hAnsi="Arial" w:cs="Arial"/>
                <w:sz w:val="24"/>
                <w:szCs w:val="24"/>
              </w:rPr>
              <w:t>(5.6)%</w:t>
            </w:r>
          </w:p>
        </w:tc>
      </w:tr>
    </w:tbl>
    <w:p w:rsidR="009C58A0" w:rsidRDefault="009C58A0" w:rsidP="00CD63CC">
      <w:pPr>
        <w:jc w:val="left"/>
        <w:rPr>
          <w:rFonts w:ascii="Arial" w:hAnsi="Arial" w:cs="Arial"/>
          <w:i/>
          <w:sz w:val="18"/>
          <w:szCs w:val="18"/>
        </w:rPr>
      </w:pPr>
    </w:p>
    <w:p w:rsidR="009C58A0" w:rsidRDefault="009C58A0" w:rsidP="00090092">
      <w:pPr>
        <w:jc w:val="left"/>
        <w:rPr>
          <w:rFonts w:ascii="Arial" w:hAnsi="Arial" w:cs="Arial"/>
          <w:i/>
          <w:iCs/>
          <w:sz w:val="18"/>
          <w:szCs w:val="18"/>
        </w:rPr>
      </w:pPr>
      <w:r w:rsidRPr="00A92CD1">
        <w:rPr>
          <w:rFonts w:ascii="Arial" w:hAnsi="Arial" w:cs="Arial"/>
          <w:i/>
          <w:iCs/>
          <w:sz w:val="18"/>
          <w:szCs w:val="18"/>
        </w:rPr>
        <w:t>France includes Castorama and Brico Dépôt</w:t>
      </w:r>
      <w:r w:rsidR="00090092">
        <w:rPr>
          <w:rFonts w:ascii="Arial" w:hAnsi="Arial" w:cs="Arial"/>
          <w:i/>
          <w:iCs/>
          <w:sz w:val="18"/>
          <w:szCs w:val="18"/>
        </w:rPr>
        <w:t xml:space="preserve">. </w:t>
      </w:r>
    </w:p>
    <w:p w:rsidR="00045F88" w:rsidRPr="00090092" w:rsidRDefault="00045F88" w:rsidP="00090092">
      <w:pPr>
        <w:jc w:val="left"/>
        <w:rPr>
          <w:rFonts w:ascii="Arial" w:hAnsi="Arial" w:cs="Arial"/>
          <w:i/>
          <w:iCs/>
          <w:sz w:val="18"/>
          <w:szCs w:val="18"/>
        </w:rPr>
      </w:pPr>
    </w:p>
    <w:p w:rsidR="009C58A0" w:rsidRPr="007F6251" w:rsidRDefault="009C58A0" w:rsidP="000861DC">
      <w:pPr>
        <w:rPr>
          <w:rFonts w:ascii="Arial" w:hAnsi="Arial" w:cs="Arial"/>
          <w:b/>
          <w:sz w:val="24"/>
          <w:szCs w:val="24"/>
        </w:rPr>
      </w:pPr>
      <w:r w:rsidRPr="007F6251">
        <w:rPr>
          <w:rFonts w:ascii="Arial" w:hAnsi="Arial" w:cs="Arial"/>
          <w:b/>
          <w:i/>
          <w:sz w:val="18"/>
          <w:szCs w:val="18"/>
        </w:rPr>
        <w:t>All trading commentary below is in constant currencies</w:t>
      </w:r>
    </w:p>
    <w:p w:rsidR="009C58A0" w:rsidRPr="007F6251" w:rsidRDefault="009C58A0" w:rsidP="000861DC">
      <w:pPr>
        <w:jc w:val="left"/>
        <w:rPr>
          <w:rFonts w:ascii="Arial" w:hAnsi="Arial" w:cs="Arial"/>
          <w:sz w:val="24"/>
          <w:szCs w:val="24"/>
        </w:rPr>
      </w:pPr>
    </w:p>
    <w:p w:rsidR="009C58A0" w:rsidRPr="007F6251" w:rsidRDefault="009C58A0" w:rsidP="000861DC">
      <w:pPr>
        <w:autoSpaceDE w:val="0"/>
        <w:autoSpaceDN w:val="0"/>
        <w:adjustRightInd w:val="0"/>
        <w:jc w:val="left"/>
        <w:rPr>
          <w:rFonts w:ascii="Arial" w:hAnsi="Arial" w:cs="Arial"/>
          <w:sz w:val="24"/>
          <w:szCs w:val="24"/>
        </w:rPr>
      </w:pPr>
      <w:r w:rsidRPr="007F6251">
        <w:rPr>
          <w:rFonts w:ascii="Arial" w:hAnsi="Arial" w:cs="Arial"/>
          <w:b/>
          <w:bCs/>
          <w:sz w:val="24"/>
          <w:szCs w:val="24"/>
        </w:rPr>
        <w:t>Kingfisher</w:t>
      </w:r>
      <w:r w:rsidRPr="007F6251">
        <w:rPr>
          <w:rFonts w:ascii="Arial" w:hAnsi="Arial" w:cs="Arial"/>
          <w:sz w:val="24"/>
          <w:szCs w:val="24"/>
        </w:rPr>
        <w:t xml:space="preserve"> </w:t>
      </w:r>
      <w:smartTag w:uri="urn:schemas-microsoft-com:office:smarttags" w:element="place">
        <w:smartTag w:uri="urn:schemas-microsoft-com:office:smarttags" w:element="country-region">
          <w:r w:rsidRPr="007F6251">
            <w:rPr>
              <w:rFonts w:ascii="Arial" w:hAnsi="Arial" w:cs="Arial"/>
              <w:b/>
              <w:bCs/>
              <w:sz w:val="24"/>
              <w:szCs w:val="24"/>
            </w:rPr>
            <w:t>France</w:t>
          </w:r>
        </w:smartTag>
      </w:smartTag>
    </w:p>
    <w:p w:rsidR="009C58A0" w:rsidRDefault="009C58A0" w:rsidP="000861DC">
      <w:pPr>
        <w:jc w:val="left"/>
        <w:rPr>
          <w:rFonts w:ascii="Arial" w:hAnsi="Arial" w:cs="Arial"/>
          <w:sz w:val="24"/>
          <w:szCs w:val="24"/>
        </w:rPr>
      </w:pPr>
      <w:r w:rsidRPr="00794ED5">
        <w:rPr>
          <w:rFonts w:ascii="Arial" w:hAnsi="Arial" w:cs="Arial"/>
          <w:sz w:val="24"/>
          <w:szCs w:val="24"/>
        </w:rPr>
        <w:t>King</w:t>
      </w:r>
      <w:r>
        <w:rPr>
          <w:rFonts w:ascii="Arial" w:hAnsi="Arial" w:cs="Arial"/>
          <w:sz w:val="24"/>
          <w:szCs w:val="24"/>
        </w:rPr>
        <w:t xml:space="preserve">fisher France </w:t>
      </w:r>
      <w:r w:rsidR="00F12E60">
        <w:rPr>
          <w:rFonts w:ascii="Arial" w:hAnsi="Arial" w:cs="Arial"/>
          <w:sz w:val="24"/>
          <w:szCs w:val="24"/>
        </w:rPr>
        <w:t xml:space="preserve">total </w:t>
      </w:r>
      <w:r>
        <w:rPr>
          <w:rFonts w:ascii="Arial" w:hAnsi="Arial" w:cs="Arial"/>
          <w:sz w:val="24"/>
          <w:szCs w:val="24"/>
        </w:rPr>
        <w:t>sales grew by 1.9% (flat LFL) to £1,173 million in soft markets impacted by weak consumer confidence. Across the two businesses, one net new store was opened and two were revamped, adding around 3% new space.</w:t>
      </w:r>
    </w:p>
    <w:p w:rsidR="009C58A0" w:rsidRDefault="009C58A0" w:rsidP="000861DC">
      <w:pPr>
        <w:jc w:val="left"/>
        <w:rPr>
          <w:rFonts w:ascii="Arial" w:hAnsi="Arial" w:cs="Arial"/>
          <w:sz w:val="24"/>
          <w:szCs w:val="24"/>
        </w:rPr>
      </w:pPr>
    </w:p>
    <w:p w:rsidR="009C58A0" w:rsidRPr="00794ED5" w:rsidRDefault="009C58A0" w:rsidP="000861DC">
      <w:pPr>
        <w:jc w:val="left"/>
        <w:rPr>
          <w:rFonts w:ascii="Arial" w:hAnsi="Arial" w:cs="Arial"/>
          <w:sz w:val="24"/>
          <w:szCs w:val="24"/>
        </w:rPr>
      </w:pPr>
      <w:r>
        <w:rPr>
          <w:rFonts w:ascii="Arial" w:hAnsi="Arial" w:cs="Arial"/>
          <w:sz w:val="24"/>
          <w:szCs w:val="24"/>
        </w:rPr>
        <w:t>Gross margins were down 10 basis points, with on-going self-help initiatives offset by higher price promotional activity</w:t>
      </w:r>
      <w:r w:rsidR="00B47EDD">
        <w:rPr>
          <w:rFonts w:ascii="Arial" w:hAnsi="Arial" w:cs="Arial"/>
          <w:sz w:val="24"/>
          <w:szCs w:val="24"/>
        </w:rPr>
        <w:t xml:space="preserve"> across both businesses</w:t>
      </w:r>
      <w:r>
        <w:rPr>
          <w:rFonts w:ascii="Arial" w:hAnsi="Arial" w:cs="Arial"/>
          <w:sz w:val="24"/>
          <w:szCs w:val="24"/>
        </w:rPr>
        <w:t xml:space="preserve">. </w:t>
      </w:r>
      <w:r w:rsidR="005707FC">
        <w:rPr>
          <w:rFonts w:ascii="Arial" w:hAnsi="Arial" w:cs="Arial"/>
          <w:sz w:val="24"/>
          <w:szCs w:val="24"/>
        </w:rPr>
        <w:t>Despite continued f</w:t>
      </w:r>
      <w:r w:rsidR="00B47EDD">
        <w:rPr>
          <w:rFonts w:ascii="Arial" w:hAnsi="Arial" w:cs="Arial"/>
          <w:sz w:val="24"/>
          <w:szCs w:val="24"/>
        </w:rPr>
        <w:t xml:space="preserve">ocus on </w:t>
      </w:r>
      <w:r>
        <w:rPr>
          <w:rFonts w:ascii="Arial" w:hAnsi="Arial" w:cs="Arial"/>
          <w:sz w:val="24"/>
          <w:szCs w:val="24"/>
        </w:rPr>
        <w:t>cost control</w:t>
      </w:r>
      <w:r w:rsidR="005707FC">
        <w:rPr>
          <w:rFonts w:ascii="Arial" w:hAnsi="Arial" w:cs="Arial"/>
          <w:sz w:val="24"/>
          <w:szCs w:val="24"/>
        </w:rPr>
        <w:t xml:space="preserve">, overall costs were </w:t>
      </w:r>
      <w:r w:rsidR="00F04F03">
        <w:rPr>
          <w:rFonts w:ascii="Arial" w:hAnsi="Arial" w:cs="Arial"/>
          <w:sz w:val="24"/>
          <w:szCs w:val="24"/>
        </w:rPr>
        <w:t>higher</w:t>
      </w:r>
      <w:r w:rsidR="005707FC">
        <w:rPr>
          <w:rFonts w:ascii="Arial" w:hAnsi="Arial" w:cs="Arial"/>
          <w:sz w:val="24"/>
          <w:szCs w:val="24"/>
        </w:rPr>
        <w:t xml:space="preserve"> </w:t>
      </w:r>
      <w:r w:rsidR="003E2437">
        <w:rPr>
          <w:rFonts w:ascii="Arial" w:hAnsi="Arial" w:cs="Arial"/>
          <w:sz w:val="24"/>
          <w:szCs w:val="24"/>
        </w:rPr>
        <w:t xml:space="preserve">year on year </w:t>
      </w:r>
      <w:r>
        <w:rPr>
          <w:rFonts w:ascii="Arial" w:hAnsi="Arial" w:cs="Arial"/>
          <w:sz w:val="24"/>
          <w:szCs w:val="24"/>
        </w:rPr>
        <w:t xml:space="preserve">resulting in retail profit of £140 </w:t>
      </w:r>
      <w:r w:rsidRPr="00FE690E">
        <w:rPr>
          <w:rFonts w:ascii="Arial" w:hAnsi="Arial" w:cs="Arial"/>
          <w:sz w:val="24"/>
          <w:szCs w:val="24"/>
        </w:rPr>
        <w:t xml:space="preserve">million, down </w:t>
      </w:r>
      <w:r w:rsidRPr="00B731FF">
        <w:rPr>
          <w:rFonts w:ascii="Arial" w:hAnsi="Arial" w:cs="Arial"/>
          <w:sz w:val="24"/>
          <w:szCs w:val="24"/>
        </w:rPr>
        <w:t>5.6% year on year</w:t>
      </w:r>
      <w:r w:rsidRPr="00FE690E">
        <w:rPr>
          <w:rFonts w:ascii="Arial" w:hAnsi="Arial" w:cs="Arial"/>
          <w:sz w:val="24"/>
          <w:szCs w:val="24"/>
        </w:rPr>
        <w:t>.</w:t>
      </w:r>
    </w:p>
    <w:p w:rsidR="009C58A0" w:rsidRPr="007F6251" w:rsidRDefault="009C58A0" w:rsidP="000861DC">
      <w:pPr>
        <w:jc w:val="left"/>
        <w:rPr>
          <w:rFonts w:ascii="Arial" w:hAnsi="Arial" w:cs="Arial"/>
          <w:sz w:val="24"/>
          <w:szCs w:val="24"/>
          <w:highlight w:val="yellow"/>
        </w:rPr>
      </w:pPr>
    </w:p>
    <w:p w:rsidR="009C58A0" w:rsidRDefault="009C58A0" w:rsidP="00D95AC6">
      <w:pPr>
        <w:jc w:val="left"/>
        <w:rPr>
          <w:rFonts w:ascii="Arial" w:hAnsi="Arial" w:cs="Arial"/>
          <w:b/>
          <w:bCs/>
          <w:sz w:val="24"/>
          <w:szCs w:val="24"/>
        </w:rPr>
      </w:pPr>
      <w:r w:rsidRPr="007F6251">
        <w:rPr>
          <w:rFonts w:ascii="Arial" w:hAnsi="Arial" w:cs="Arial"/>
          <w:b/>
          <w:bCs/>
          <w:sz w:val="24"/>
          <w:szCs w:val="24"/>
        </w:rPr>
        <w:t xml:space="preserve">Castorama </w:t>
      </w:r>
    </w:p>
    <w:p w:rsidR="009C58A0" w:rsidRPr="009F742A" w:rsidRDefault="009C58A0" w:rsidP="00D95AC6">
      <w:pPr>
        <w:jc w:val="left"/>
        <w:rPr>
          <w:rFonts w:ascii="Arial" w:hAnsi="Arial" w:cs="Arial"/>
          <w:sz w:val="24"/>
          <w:szCs w:val="24"/>
        </w:rPr>
      </w:pPr>
      <w:r>
        <w:rPr>
          <w:rFonts w:ascii="Arial" w:hAnsi="Arial" w:cs="Arial"/>
          <w:bCs/>
          <w:sz w:val="24"/>
          <w:szCs w:val="24"/>
        </w:rPr>
        <w:t xml:space="preserve">Castorama total sales grew by 4.2% (+2.3% LFL) to £655 million. According to Banque de France data, sales from the home improvement market </w:t>
      </w:r>
      <w:r w:rsidRPr="00794ED5">
        <w:rPr>
          <w:rFonts w:ascii="Arial" w:hAnsi="Arial" w:cs="Arial"/>
          <w:bCs/>
          <w:i/>
          <w:sz w:val="24"/>
          <w:szCs w:val="24"/>
          <w:vertAlign w:val="superscript"/>
        </w:rPr>
        <w:t>(1)</w:t>
      </w:r>
      <w:r>
        <w:rPr>
          <w:rFonts w:ascii="Arial" w:hAnsi="Arial" w:cs="Arial"/>
          <w:bCs/>
          <w:sz w:val="24"/>
          <w:szCs w:val="24"/>
        </w:rPr>
        <w:t xml:space="preserve"> were up 0.2% </w:t>
      </w:r>
      <w:r w:rsidR="00AF7AE2">
        <w:rPr>
          <w:rFonts w:ascii="Arial" w:hAnsi="Arial" w:cs="Arial"/>
          <w:bCs/>
          <w:sz w:val="24"/>
          <w:szCs w:val="24"/>
        </w:rPr>
        <w:t xml:space="preserve">in the quarter </w:t>
      </w:r>
      <w:r>
        <w:rPr>
          <w:rFonts w:ascii="Arial" w:hAnsi="Arial" w:cs="Arial"/>
          <w:bCs/>
          <w:sz w:val="24"/>
          <w:szCs w:val="24"/>
        </w:rPr>
        <w:t xml:space="preserve">(Q3 2012/13: down 2.5%). Castorama benefited from its innovative ‘Do-it-Smart’ approach aimed at making home improvement projects easier for customers. Sales of indoor and outdoor seasonal products were up around 2% with sales of new indoor paint and storage ranges performing particularly well. </w:t>
      </w:r>
    </w:p>
    <w:p w:rsidR="009C58A0" w:rsidRPr="007F6251" w:rsidRDefault="009C58A0" w:rsidP="00556B63">
      <w:pPr>
        <w:spacing w:before="240"/>
        <w:jc w:val="left"/>
        <w:rPr>
          <w:rFonts w:ascii="Arial" w:hAnsi="Arial" w:cs="Arial"/>
          <w:sz w:val="24"/>
          <w:szCs w:val="24"/>
        </w:rPr>
      </w:pPr>
      <w:r w:rsidRPr="007F6251">
        <w:rPr>
          <w:rFonts w:ascii="Arial" w:hAnsi="Arial" w:cs="Arial"/>
          <w:b/>
          <w:sz w:val="24"/>
          <w:szCs w:val="24"/>
        </w:rPr>
        <w:t>Brico Dépôt</w:t>
      </w:r>
      <w:r>
        <w:rPr>
          <w:rFonts w:ascii="Arial" w:hAnsi="Arial" w:cs="Arial"/>
          <w:sz w:val="24"/>
          <w:szCs w:val="24"/>
        </w:rPr>
        <w:t xml:space="preserve"> total sales declined by 0.9% (-2.6% LFL) to £518 million. </w:t>
      </w:r>
      <w:r w:rsidR="00E87A30">
        <w:rPr>
          <w:rFonts w:ascii="Arial" w:hAnsi="Arial" w:cs="Arial"/>
          <w:sz w:val="24"/>
          <w:szCs w:val="24"/>
        </w:rPr>
        <w:t xml:space="preserve">In an on-going weak trade market </w:t>
      </w:r>
      <w:r>
        <w:rPr>
          <w:rFonts w:ascii="Arial" w:hAnsi="Arial" w:cs="Arial"/>
          <w:sz w:val="24"/>
          <w:szCs w:val="24"/>
        </w:rPr>
        <w:t xml:space="preserve">Brico Dépôt benefited from new ranges introduced last year (e.g. kitchen and indoor lighting ranges) and more ‘arrivages’ (rolling programme </w:t>
      </w:r>
      <w:r w:rsidR="00E87A30">
        <w:rPr>
          <w:rFonts w:ascii="Arial" w:hAnsi="Arial" w:cs="Arial"/>
          <w:sz w:val="24"/>
          <w:szCs w:val="24"/>
        </w:rPr>
        <w:t>of one-off special buys).</w:t>
      </w:r>
    </w:p>
    <w:p w:rsidR="009C58A0" w:rsidRPr="008F6781" w:rsidRDefault="009C58A0" w:rsidP="00FE1D95">
      <w:pPr>
        <w:jc w:val="left"/>
      </w:pPr>
    </w:p>
    <w:p w:rsidR="009C58A0" w:rsidRPr="00E87A30" w:rsidRDefault="009C58A0" w:rsidP="00FE1D95">
      <w:pPr>
        <w:jc w:val="left"/>
        <w:rPr>
          <w:rFonts w:ascii="Arial" w:hAnsi="Arial" w:cs="Arial"/>
          <w:i/>
          <w:sz w:val="18"/>
          <w:szCs w:val="18"/>
        </w:rPr>
      </w:pPr>
      <w:r w:rsidRPr="008F6781">
        <w:rPr>
          <w:rFonts w:ascii="Arial" w:hAnsi="Arial" w:cs="Arial"/>
          <w:i/>
          <w:sz w:val="18"/>
          <w:szCs w:val="18"/>
          <w:vertAlign w:val="superscript"/>
        </w:rPr>
        <w:t>(1)</w:t>
      </w:r>
      <w:r w:rsidRPr="008F6781">
        <w:rPr>
          <w:rFonts w:ascii="Arial" w:hAnsi="Arial" w:cs="Arial"/>
          <w:sz w:val="24"/>
          <w:szCs w:val="24"/>
        </w:rPr>
        <w:t xml:space="preserve"> </w:t>
      </w:r>
      <w:r w:rsidRPr="008F6781">
        <w:rPr>
          <w:rFonts w:ascii="Arial" w:hAnsi="Arial" w:cs="Arial"/>
          <w:i/>
          <w:sz w:val="18"/>
          <w:szCs w:val="18"/>
        </w:rPr>
        <w:t xml:space="preserve">Banque de France data includes relocated and extended stores  </w:t>
      </w:r>
    </w:p>
    <w:p w:rsidR="009C58A0" w:rsidRPr="001A35EE" w:rsidRDefault="009C58A0" w:rsidP="007F6251">
      <w:pPr>
        <w:jc w:val="left"/>
        <w:rPr>
          <w:rFonts w:ascii="Arial" w:hAnsi="Arial" w:cs="Arial"/>
          <w:sz w:val="24"/>
          <w:szCs w:val="24"/>
        </w:rPr>
      </w:pPr>
      <w:r w:rsidRPr="00C661F0">
        <w:rPr>
          <w:rFonts w:ascii="Arial" w:hAnsi="Arial" w:cs="Arial"/>
          <w:b/>
          <w:color w:val="FF0000"/>
          <w:sz w:val="24"/>
          <w:szCs w:val="24"/>
        </w:rPr>
        <w:br w:type="page"/>
      </w:r>
      <w:r w:rsidRPr="001A35EE">
        <w:rPr>
          <w:rFonts w:ascii="Arial" w:hAnsi="Arial" w:cs="Arial"/>
          <w:b/>
          <w:sz w:val="24"/>
          <w:szCs w:val="24"/>
        </w:rPr>
        <w:lastRenderedPageBreak/>
        <w:t>UK &amp; IRELAND</w:t>
      </w:r>
    </w:p>
    <w:p w:rsidR="009C58A0" w:rsidRDefault="009C58A0" w:rsidP="007F6251">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535"/>
        <w:gridCol w:w="1274"/>
        <w:gridCol w:w="1757"/>
        <w:gridCol w:w="1584"/>
        <w:gridCol w:w="1049"/>
      </w:tblGrid>
      <w:tr w:rsidR="009C58A0" w:rsidRPr="00B526CD" w:rsidTr="007F6251">
        <w:tc>
          <w:tcPr>
            <w:tcW w:w="1136" w:type="pct"/>
          </w:tcPr>
          <w:p w:rsidR="009C58A0" w:rsidRPr="00B526CD" w:rsidRDefault="009C58A0" w:rsidP="007F6251">
            <w:pPr>
              <w:rPr>
                <w:rFonts w:ascii="Arial" w:hAnsi="Arial" w:cs="Arial"/>
                <w:sz w:val="24"/>
                <w:szCs w:val="24"/>
              </w:rPr>
            </w:pPr>
            <w:r w:rsidRPr="00B526CD">
              <w:rPr>
                <w:rFonts w:ascii="Arial" w:hAnsi="Arial" w:cs="Arial"/>
                <w:b/>
                <w:bCs/>
                <w:sz w:val="24"/>
                <w:szCs w:val="24"/>
              </w:rPr>
              <w:t>Sales £m</w:t>
            </w:r>
          </w:p>
        </w:tc>
        <w:tc>
          <w:tcPr>
            <w:tcW w:w="824" w:type="pct"/>
          </w:tcPr>
          <w:p w:rsidR="009C58A0" w:rsidRPr="00B526CD" w:rsidRDefault="009C58A0" w:rsidP="007F6251">
            <w:pPr>
              <w:jc w:val="right"/>
              <w:rPr>
                <w:rFonts w:ascii="Arial" w:hAnsi="Arial" w:cs="Arial"/>
                <w:sz w:val="24"/>
                <w:szCs w:val="24"/>
              </w:rPr>
            </w:pPr>
            <w:r>
              <w:rPr>
                <w:rFonts w:ascii="Arial" w:hAnsi="Arial" w:cs="Arial"/>
                <w:b/>
                <w:bCs/>
                <w:sz w:val="24"/>
                <w:szCs w:val="24"/>
              </w:rPr>
              <w:t>2013/14</w:t>
            </w:r>
          </w:p>
        </w:tc>
        <w:tc>
          <w:tcPr>
            <w:tcW w:w="684"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2012/13</w:t>
            </w:r>
          </w:p>
        </w:tc>
        <w:tc>
          <w:tcPr>
            <w:tcW w:w="943"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850" w:type="pct"/>
          </w:tcPr>
          <w:p w:rsidR="009C58A0" w:rsidRDefault="009C58A0" w:rsidP="007F6251">
            <w:pPr>
              <w:jc w:val="right"/>
              <w:rPr>
                <w:rFonts w:ascii="Arial" w:hAnsi="Arial" w:cs="Arial"/>
                <w:b/>
                <w:bCs/>
                <w:sz w:val="24"/>
                <w:szCs w:val="24"/>
              </w:rPr>
            </w:pPr>
            <w:r w:rsidRPr="00B526CD">
              <w:rPr>
                <w:rFonts w:ascii="Arial" w:hAnsi="Arial" w:cs="Arial"/>
                <w:b/>
                <w:bCs/>
                <w:sz w:val="24"/>
                <w:szCs w:val="24"/>
              </w:rPr>
              <w:t xml:space="preserve">% Constant </w:t>
            </w:r>
          </w:p>
          <w:p w:rsidR="009C58A0" w:rsidRDefault="009C58A0" w:rsidP="007F6251">
            <w:pPr>
              <w:jc w:val="right"/>
              <w:rPr>
                <w:rFonts w:ascii="Arial" w:hAnsi="Arial" w:cs="Arial"/>
                <w:b/>
                <w:bCs/>
                <w:sz w:val="24"/>
                <w:szCs w:val="24"/>
              </w:rPr>
            </w:pPr>
            <w:r>
              <w:rPr>
                <w:rFonts w:ascii="Arial" w:hAnsi="Arial" w:cs="Arial"/>
                <w:b/>
                <w:bCs/>
                <w:sz w:val="24"/>
                <w:szCs w:val="24"/>
              </w:rPr>
              <w:t>Currency</w:t>
            </w:r>
          </w:p>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c>
          <w:tcPr>
            <w:tcW w:w="563" w:type="pct"/>
          </w:tcPr>
          <w:p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 LFL</w:t>
            </w:r>
          </w:p>
          <w:p w:rsidR="009C58A0" w:rsidRPr="00B526CD" w:rsidRDefault="009C58A0" w:rsidP="007F6251">
            <w:pPr>
              <w:ind w:hanging="108"/>
              <w:jc w:val="right"/>
              <w:rPr>
                <w:rFonts w:ascii="Arial" w:hAnsi="Arial" w:cs="Arial"/>
                <w:b/>
                <w:bCs/>
                <w:sz w:val="24"/>
                <w:szCs w:val="24"/>
              </w:rPr>
            </w:pPr>
            <w:r w:rsidRPr="00B526CD">
              <w:rPr>
                <w:rFonts w:ascii="Arial" w:hAnsi="Arial" w:cs="Arial"/>
                <w:b/>
                <w:bCs/>
                <w:sz w:val="24"/>
                <w:szCs w:val="24"/>
              </w:rPr>
              <w:t>Change</w:t>
            </w:r>
          </w:p>
        </w:tc>
      </w:tr>
      <w:tr w:rsidR="009C58A0" w:rsidRPr="00B526CD" w:rsidTr="007F6251">
        <w:trPr>
          <w:trHeight w:val="147"/>
        </w:trPr>
        <w:tc>
          <w:tcPr>
            <w:tcW w:w="1136" w:type="pct"/>
          </w:tcPr>
          <w:p w:rsidR="009C58A0" w:rsidRPr="00B526CD" w:rsidRDefault="009C58A0" w:rsidP="007F6251">
            <w:pPr>
              <w:rPr>
                <w:rFonts w:ascii="Arial" w:hAnsi="Arial" w:cs="Arial"/>
                <w:sz w:val="24"/>
                <w:szCs w:val="24"/>
              </w:rPr>
            </w:pPr>
            <w:r w:rsidRPr="00A5010F">
              <w:rPr>
                <w:rFonts w:ascii="Arial" w:hAnsi="Arial" w:cs="Arial"/>
                <w:sz w:val="24"/>
                <w:szCs w:val="24"/>
              </w:rPr>
              <w:t>UK &amp; Ireland</w:t>
            </w:r>
          </w:p>
        </w:tc>
        <w:tc>
          <w:tcPr>
            <w:tcW w:w="824" w:type="pct"/>
          </w:tcPr>
          <w:p w:rsidR="009C58A0" w:rsidRPr="00B526CD" w:rsidRDefault="009C58A0" w:rsidP="007F6251">
            <w:pPr>
              <w:jc w:val="right"/>
              <w:rPr>
                <w:rFonts w:ascii="Arial" w:hAnsi="Arial" w:cs="Arial"/>
                <w:sz w:val="24"/>
                <w:szCs w:val="24"/>
              </w:rPr>
            </w:pPr>
            <w:r>
              <w:rPr>
                <w:rFonts w:ascii="Arial" w:hAnsi="Arial" w:cs="Arial"/>
                <w:sz w:val="24"/>
                <w:szCs w:val="24"/>
              </w:rPr>
              <w:t>1,095</w:t>
            </w:r>
          </w:p>
        </w:tc>
        <w:tc>
          <w:tcPr>
            <w:tcW w:w="684" w:type="pct"/>
          </w:tcPr>
          <w:p w:rsidR="009C58A0" w:rsidRPr="00B526CD" w:rsidRDefault="009C58A0" w:rsidP="007F6251">
            <w:pPr>
              <w:jc w:val="right"/>
              <w:rPr>
                <w:rFonts w:ascii="Arial" w:hAnsi="Arial" w:cs="Arial"/>
                <w:sz w:val="24"/>
                <w:szCs w:val="24"/>
              </w:rPr>
            </w:pPr>
            <w:r>
              <w:rPr>
                <w:rFonts w:ascii="Arial" w:hAnsi="Arial" w:cs="Arial"/>
                <w:sz w:val="24"/>
                <w:szCs w:val="24"/>
              </w:rPr>
              <w:t>1,055</w:t>
            </w:r>
          </w:p>
        </w:tc>
        <w:tc>
          <w:tcPr>
            <w:tcW w:w="943" w:type="pct"/>
          </w:tcPr>
          <w:p w:rsidR="009C58A0" w:rsidRPr="00B526CD" w:rsidRDefault="009C58A0" w:rsidP="007F6251">
            <w:pPr>
              <w:jc w:val="right"/>
              <w:rPr>
                <w:rFonts w:ascii="Arial" w:hAnsi="Arial" w:cs="Arial"/>
                <w:sz w:val="24"/>
                <w:szCs w:val="24"/>
              </w:rPr>
            </w:pPr>
            <w:r>
              <w:rPr>
                <w:rFonts w:ascii="Arial" w:hAnsi="Arial" w:cs="Arial"/>
                <w:sz w:val="24"/>
                <w:szCs w:val="24"/>
              </w:rPr>
              <w:t>+3.8</w:t>
            </w:r>
            <w:r w:rsidRPr="00B526CD">
              <w:rPr>
                <w:rFonts w:ascii="Arial" w:hAnsi="Arial" w:cs="Arial"/>
                <w:sz w:val="24"/>
                <w:szCs w:val="24"/>
              </w:rPr>
              <w:t>%</w:t>
            </w:r>
          </w:p>
        </w:tc>
        <w:tc>
          <w:tcPr>
            <w:tcW w:w="850" w:type="pct"/>
          </w:tcPr>
          <w:p w:rsidR="009C58A0" w:rsidRPr="00B526CD" w:rsidRDefault="009C58A0" w:rsidP="007F6251">
            <w:pPr>
              <w:jc w:val="right"/>
              <w:rPr>
                <w:rFonts w:ascii="Arial" w:hAnsi="Arial" w:cs="Arial"/>
                <w:sz w:val="24"/>
                <w:szCs w:val="24"/>
              </w:rPr>
            </w:pPr>
            <w:r>
              <w:rPr>
                <w:rFonts w:ascii="Arial" w:hAnsi="Arial" w:cs="Arial"/>
                <w:sz w:val="24"/>
                <w:szCs w:val="24"/>
              </w:rPr>
              <w:t>+3.7</w:t>
            </w:r>
            <w:r w:rsidRPr="00B526CD">
              <w:rPr>
                <w:rFonts w:ascii="Arial" w:hAnsi="Arial" w:cs="Arial"/>
                <w:sz w:val="24"/>
                <w:szCs w:val="24"/>
              </w:rPr>
              <w:t>%</w:t>
            </w:r>
          </w:p>
        </w:tc>
        <w:tc>
          <w:tcPr>
            <w:tcW w:w="563" w:type="pct"/>
          </w:tcPr>
          <w:p w:rsidR="009C58A0" w:rsidRPr="00B526CD" w:rsidRDefault="009C58A0" w:rsidP="007F6251">
            <w:pPr>
              <w:jc w:val="right"/>
              <w:rPr>
                <w:rFonts w:ascii="Arial" w:hAnsi="Arial" w:cs="Arial"/>
                <w:sz w:val="24"/>
                <w:szCs w:val="24"/>
              </w:rPr>
            </w:pPr>
            <w:r>
              <w:rPr>
                <w:rFonts w:ascii="Arial" w:hAnsi="Arial" w:cs="Arial"/>
                <w:sz w:val="24"/>
                <w:szCs w:val="24"/>
              </w:rPr>
              <w:t>+2.0</w:t>
            </w:r>
            <w:r w:rsidRPr="00B526CD">
              <w:rPr>
                <w:rFonts w:ascii="Arial" w:hAnsi="Arial" w:cs="Arial"/>
                <w:sz w:val="24"/>
                <w:szCs w:val="24"/>
              </w:rPr>
              <w:t>%</w:t>
            </w:r>
          </w:p>
        </w:tc>
      </w:tr>
    </w:tbl>
    <w:p w:rsidR="009C58A0" w:rsidRPr="007F6251" w:rsidRDefault="009C58A0" w:rsidP="007F6251">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1561"/>
        <w:gridCol w:w="1278"/>
        <w:gridCol w:w="1752"/>
        <w:gridCol w:w="1579"/>
      </w:tblGrid>
      <w:tr w:rsidR="009C58A0" w:rsidRPr="00B526CD" w:rsidTr="007F6251">
        <w:tc>
          <w:tcPr>
            <w:tcW w:w="1268" w:type="pct"/>
          </w:tcPr>
          <w:p w:rsidR="009C58A0" w:rsidRPr="00B526CD" w:rsidRDefault="009C58A0" w:rsidP="007F6251">
            <w:pPr>
              <w:rPr>
                <w:rFonts w:ascii="Arial" w:hAnsi="Arial" w:cs="Arial"/>
                <w:b/>
                <w:bCs/>
                <w:sz w:val="24"/>
                <w:szCs w:val="24"/>
              </w:rPr>
            </w:pPr>
            <w:r w:rsidRPr="00B526CD">
              <w:rPr>
                <w:rFonts w:ascii="Arial" w:hAnsi="Arial" w:cs="Arial"/>
                <w:b/>
                <w:bCs/>
                <w:sz w:val="24"/>
                <w:szCs w:val="24"/>
              </w:rPr>
              <w:t>Retail profit £m</w:t>
            </w:r>
          </w:p>
        </w:tc>
        <w:tc>
          <w:tcPr>
            <w:tcW w:w="944" w:type="pct"/>
          </w:tcPr>
          <w:p w:rsidR="009C58A0" w:rsidRPr="00B526CD" w:rsidRDefault="009C58A0" w:rsidP="007F6251">
            <w:pPr>
              <w:jc w:val="right"/>
              <w:rPr>
                <w:rFonts w:ascii="Arial" w:hAnsi="Arial" w:cs="Arial"/>
                <w:b/>
                <w:bCs/>
                <w:sz w:val="24"/>
                <w:szCs w:val="24"/>
              </w:rPr>
            </w:pPr>
            <w:r>
              <w:rPr>
                <w:rFonts w:ascii="Arial" w:hAnsi="Arial" w:cs="Arial"/>
                <w:b/>
                <w:bCs/>
                <w:sz w:val="24"/>
                <w:szCs w:val="24"/>
              </w:rPr>
              <w:t>2013/14</w:t>
            </w:r>
          </w:p>
        </w:tc>
        <w:tc>
          <w:tcPr>
            <w:tcW w:w="773"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2012/13</w:t>
            </w:r>
          </w:p>
        </w:tc>
        <w:tc>
          <w:tcPr>
            <w:tcW w:w="1060" w:type="pct"/>
          </w:tcPr>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 Reported Change</w:t>
            </w:r>
          </w:p>
        </w:tc>
        <w:tc>
          <w:tcPr>
            <w:tcW w:w="956" w:type="pct"/>
          </w:tcPr>
          <w:p w:rsidR="009C58A0" w:rsidRDefault="009C58A0" w:rsidP="007F6251">
            <w:pPr>
              <w:jc w:val="right"/>
              <w:rPr>
                <w:rFonts w:ascii="Arial" w:hAnsi="Arial" w:cs="Arial"/>
                <w:b/>
                <w:bCs/>
                <w:sz w:val="24"/>
                <w:szCs w:val="24"/>
              </w:rPr>
            </w:pPr>
            <w:r w:rsidRPr="00B526CD">
              <w:rPr>
                <w:rFonts w:ascii="Arial" w:hAnsi="Arial" w:cs="Arial"/>
                <w:b/>
                <w:bCs/>
                <w:sz w:val="24"/>
                <w:szCs w:val="24"/>
              </w:rPr>
              <w:t>% Constant</w:t>
            </w:r>
          </w:p>
          <w:p w:rsidR="009C58A0" w:rsidRDefault="009C58A0" w:rsidP="007F6251">
            <w:pPr>
              <w:jc w:val="right"/>
              <w:rPr>
                <w:rFonts w:ascii="Arial" w:hAnsi="Arial" w:cs="Arial"/>
                <w:b/>
                <w:bCs/>
                <w:sz w:val="24"/>
                <w:szCs w:val="24"/>
              </w:rPr>
            </w:pPr>
            <w:r>
              <w:rPr>
                <w:rFonts w:ascii="Arial" w:hAnsi="Arial" w:cs="Arial"/>
                <w:b/>
                <w:bCs/>
                <w:sz w:val="24"/>
                <w:szCs w:val="24"/>
              </w:rPr>
              <w:t>Currency</w:t>
            </w:r>
            <w:r w:rsidRPr="00B526CD">
              <w:rPr>
                <w:rFonts w:ascii="Arial" w:hAnsi="Arial" w:cs="Arial"/>
                <w:b/>
                <w:bCs/>
                <w:sz w:val="24"/>
                <w:szCs w:val="24"/>
              </w:rPr>
              <w:t xml:space="preserve"> </w:t>
            </w:r>
          </w:p>
          <w:p w:rsidR="009C58A0" w:rsidRPr="00B526CD" w:rsidRDefault="009C58A0" w:rsidP="007F6251">
            <w:pPr>
              <w:jc w:val="right"/>
              <w:rPr>
                <w:rFonts w:ascii="Arial" w:hAnsi="Arial" w:cs="Arial"/>
                <w:b/>
                <w:bCs/>
                <w:sz w:val="24"/>
                <w:szCs w:val="24"/>
              </w:rPr>
            </w:pPr>
            <w:r w:rsidRPr="00B526CD">
              <w:rPr>
                <w:rFonts w:ascii="Arial" w:hAnsi="Arial" w:cs="Arial"/>
                <w:b/>
                <w:bCs/>
                <w:sz w:val="24"/>
                <w:szCs w:val="24"/>
              </w:rPr>
              <w:t>Change</w:t>
            </w:r>
          </w:p>
        </w:tc>
      </w:tr>
      <w:tr w:rsidR="009C58A0" w:rsidRPr="00A92CD1" w:rsidTr="007F6251">
        <w:tc>
          <w:tcPr>
            <w:tcW w:w="1268" w:type="pct"/>
          </w:tcPr>
          <w:p w:rsidR="009C58A0" w:rsidRPr="00A92CD1" w:rsidRDefault="009C58A0" w:rsidP="007F6251">
            <w:pPr>
              <w:rPr>
                <w:rFonts w:ascii="Arial" w:hAnsi="Arial" w:cs="Arial"/>
                <w:sz w:val="24"/>
                <w:szCs w:val="24"/>
              </w:rPr>
            </w:pPr>
            <w:r w:rsidRPr="00A5010F">
              <w:rPr>
                <w:rFonts w:ascii="Arial" w:hAnsi="Arial" w:cs="Arial"/>
                <w:sz w:val="24"/>
                <w:szCs w:val="24"/>
              </w:rPr>
              <w:t>UK &amp; Ireland</w:t>
            </w:r>
          </w:p>
        </w:tc>
        <w:tc>
          <w:tcPr>
            <w:tcW w:w="944" w:type="pct"/>
          </w:tcPr>
          <w:p w:rsidR="009C58A0" w:rsidRPr="00A92CD1" w:rsidRDefault="009C58A0" w:rsidP="007F6251">
            <w:pPr>
              <w:jc w:val="right"/>
              <w:rPr>
                <w:rFonts w:ascii="Arial" w:hAnsi="Arial" w:cs="Arial"/>
                <w:sz w:val="24"/>
                <w:szCs w:val="24"/>
              </w:rPr>
            </w:pPr>
            <w:r>
              <w:rPr>
                <w:rFonts w:ascii="Arial" w:hAnsi="Arial" w:cs="Arial"/>
                <w:sz w:val="24"/>
                <w:szCs w:val="24"/>
              </w:rPr>
              <w:t>63</w:t>
            </w:r>
          </w:p>
        </w:tc>
        <w:tc>
          <w:tcPr>
            <w:tcW w:w="773" w:type="pct"/>
          </w:tcPr>
          <w:p w:rsidR="009C58A0" w:rsidRPr="00A92CD1" w:rsidRDefault="009C58A0" w:rsidP="007F6251">
            <w:pPr>
              <w:jc w:val="right"/>
              <w:rPr>
                <w:rFonts w:ascii="Arial" w:hAnsi="Arial" w:cs="Arial"/>
                <w:sz w:val="24"/>
                <w:szCs w:val="24"/>
              </w:rPr>
            </w:pPr>
            <w:r>
              <w:rPr>
                <w:rFonts w:ascii="Arial" w:hAnsi="Arial" w:cs="Arial"/>
                <w:sz w:val="24"/>
                <w:szCs w:val="24"/>
              </w:rPr>
              <w:t>58</w:t>
            </w:r>
            <w:r w:rsidRPr="006E42B5">
              <w:rPr>
                <w:rFonts w:ascii="Arial" w:hAnsi="Arial" w:cs="Arial"/>
                <w:i/>
                <w:sz w:val="24"/>
                <w:szCs w:val="24"/>
                <w:vertAlign w:val="superscript"/>
              </w:rPr>
              <w:t>(1)</w:t>
            </w:r>
          </w:p>
        </w:tc>
        <w:tc>
          <w:tcPr>
            <w:tcW w:w="1060" w:type="pct"/>
          </w:tcPr>
          <w:p w:rsidR="009C58A0" w:rsidRPr="00A92CD1" w:rsidRDefault="009C58A0" w:rsidP="007F6251">
            <w:pPr>
              <w:jc w:val="right"/>
              <w:rPr>
                <w:rFonts w:ascii="Arial" w:hAnsi="Arial" w:cs="Arial"/>
                <w:sz w:val="24"/>
                <w:szCs w:val="24"/>
              </w:rPr>
            </w:pPr>
            <w:r>
              <w:rPr>
                <w:rFonts w:ascii="Arial" w:hAnsi="Arial" w:cs="Arial"/>
                <w:sz w:val="24"/>
                <w:szCs w:val="24"/>
              </w:rPr>
              <w:t>+7.9</w:t>
            </w:r>
            <w:r w:rsidRPr="00A92CD1">
              <w:rPr>
                <w:rFonts w:ascii="Arial" w:hAnsi="Arial" w:cs="Arial"/>
                <w:sz w:val="24"/>
                <w:szCs w:val="24"/>
              </w:rPr>
              <w:t>%</w:t>
            </w:r>
          </w:p>
        </w:tc>
        <w:tc>
          <w:tcPr>
            <w:tcW w:w="956" w:type="pct"/>
          </w:tcPr>
          <w:p w:rsidR="009C58A0" w:rsidRPr="00A92CD1" w:rsidRDefault="009C58A0" w:rsidP="007F6251">
            <w:pPr>
              <w:jc w:val="right"/>
              <w:rPr>
                <w:rFonts w:ascii="Arial" w:hAnsi="Arial" w:cs="Arial"/>
                <w:sz w:val="24"/>
                <w:szCs w:val="24"/>
              </w:rPr>
            </w:pPr>
            <w:r>
              <w:rPr>
                <w:rFonts w:ascii="Arial" w:hAnsi="Arial" w:cs="Arial"/>
                <w:sz w:val="24"/>
                <w:szCs w:val="24"/>
              </w:rPr>
              <w:t>+8.3</w:t>
            </w:r>
            <w:r w:rsidRPr="00A92CD1">
              <w:rPr>
                <w:rFonts w:ascii="Arial" w:hAnsi="Arial" w:cs="Arial"/>
                <w:sz w:val="24"/>
                <w:szCs w:val="24"/>
              </w:rPr>
              <w:t>%</w:t>
            </w:r>
          </w:p>
        </w:tc>
      </w:tr>
    </w:tbl>
    <w:p w:rsidR="009C58A0" w:rsidRDefault="009C58A0" w:rsidP="007F6251">
      <w:pPr>
        <w:jc w:val="left"/>
        <w:rPr>
          <w:rFonts w:ascii="Arial" w:hAnsi="Arial" w:cs="Arial"/>
          <w:i/>
          <w:sz w:val="18"/>
          <w:szCs w:val="18"/>
        </w:rPr>
      </w:pPr>
    </w:p>
    <w:p w:rsidR="009C58A0" w:rsidRPr="006E42B5" w:rsidRDefault="009C58A0" w:rsidP="007F6251">
      <w:pPr>
        <w:jc w:val="left"/>
        <w:rPr>
          <w:rFonts w:ascii="Arial" w:hAnsi="Arial" w:cs="Arial"/>
          <w:i/>
          <w:iCs/>
          <w:sz w:val="18"/>
          <w:szCs w:val="18"/>
        </w:rPr>
      </w:pPr>
      <w:r w:rsidRPr="006E42B5">
        <w:rPr>
          <w:rFonts w:ascii="Arial" w:hAnsi="Arial" w:cs="Arial"/>
          <w:i/>
          <w:iCs/>
          <w:sz w:val="18"/>
          <w:szCs w:val="18"/>
        </w:rPr>
        <w:t>UK &amp; Ireland includes B&amp;Q in the UK &amp; Ireland and Screwfix</w:t>
      </w:r>
      <w:r w:rsidR="00090092">
        <w:rPr>
          <w:rFonts w:ascii="Arial" w:hAnsi="Arial" w:cs="Arial"/>
          <w:i/>
          <w:iCs/>
          <w:sz w:val="18"/>
          <w:szCs w:val="18"/>
        </w:rPr>
        <w:t xml:space="preserve">. </w:t>
      </w:r>
    </w:p>
    <w:p w:rsidR="009C58A0" w:rsidRDefault="009C58A0" w:rsidP="00F12E60">
      <w:pPr>
        <w:jc w:val="left"/>
        <w:rPr>
          <w:rFonts w:ascii="Arial" w:hAnsi="Arial" w:cs="Arial"/>
          <w:i/>
          <w:iCs/>
          <w:sz w:val="18"/>
          <w:szCs w:val="18"/>
        </w:rPr>
      </w:pPr>
      <w:r w:rsidRPr="00C21DBE">
        <w:rPr>
          <w:rFonts w:ascii="Arial" w:hAnsi="Arial" w:cs="Arial"/>
          <w:i/>
          <w:iCs/>
          <w:sz w:val="18"/>
          <w:szCs w:val="18"/>
          <w:vertAlign w:val="superscript"/>
        </w:rPr>
        <w:t>(1)</w:t>
      </w:r>
      <w:r w:rsidRPr="006E42B5">
        <w:rPr>
          <w:rFonts w:ascii="Arial" w:hAnsi="Arial" w:cs="Arial"/>
          <w:i/>
          <w:iCs/>
          <w:sz w:val="18"/>
          <w:szCs w:val="18"/>
        </w:rPr>
        <w:t>201</w:t>
      </w:r>
      <w:r>
        <w:rPr>
          <w:rFonts w:ascii="Arial" w:hAnsi="Arial" w:cs="Arial"/>
          <w:i/>
          <w:iCs/>
          <w:sz w:val="18"/>
          <w:szCs w:val="18"/>
        </w:rPr>
        <w:t>2/13 comparatives restated by £1</w:t>
      </w:r>
      <w:r w:rsidRPr="006E42B5">
        <w:rPr>
          <w:rFonts w:ascii="Arial" w:hAnsi="Arial" w:cs="Arial"/>
          <w:i/>
          <w:iCs/>
          <w:sz w:val="18"/>
          <w:szCs w:val="18"/>
        </w:rPr>
        <w:t xml:space="preserve">m to reflect reclassification of pension administrative expenses from finance </w:t>
      </w:r>
      <w:r w:rsidRPr="006638FD">
        <w:rPr>
          <w:rFonts w:ascii="Arial" w:hAnsi="Arial" w:cs="Arial"/>
          <w:i/>
          <w:iCs/>
          <w:sz w:val="18"/>
          <w:szCs w:val="18"/>
        </w:rPr>
        <w:t xml:space="preserve">costs to </w:t>
      </w:r>
      <w:r>
        <w:rPr>
          <w:rFonts w:ascii="Arial" w:hAnsi="Arial" w:cs="Arial"/>
          <w:i/>
          <w:iCs/>
          <w:sz w:val="18"/>
          <w:szCs w:val="18"/>
        </w:rPr>
        <w:t>retail</w:t>
      </w:r>
      <w:r w:rsidRPr="006638FD">
        <w:rPr>
          <w:rFonts w:ascii="Arial" w:hAnsi="Arial" w:cs="Arial"/>
          <w:i/>
          <w:iCs/>
          <w:sz w:val="18"/>
          <w:szCs w:val="18"/>
        </w:rPr>
        <w:t xml:space="preserve"> profit, as per the amended IAS 19.</w:t>
      </w:r>
    </w:p>
    <w:p w:rsidR="00090092" w:rsidRPr="00F12E60" w:rsidRDefault="00090092" w:rsidP="00F12E60">
      <w:pPr>
        <w:jc w:val="left"/>
        <w:rPr>
          <w:rFonts w:ascii="Arial" w:hAnsi="Arial" w:cs="Arial"/>
          <w:i/>
          <w:iCs/>
          <w:sz w:val="18"/>
          <w:szCs w:val="18"/>
        </w:rPr>
      </w:pPr>
    </w:p>
    <w:p w:rsidR="009C58A0" w:rsidRPr="00F50885" w:rsidRDefault="009C58A0" w:rsidP="00BE02B5">
      <w:pPr>
        <w:rPr>
          <w:rFonts w:ascii="Arial" w:hAnsi="Arial" w:cs="Arial"/>
          <w:i/>
          <w:sz w:val="18"/>
          <w:szCs w:val="18"/>
        </w:rPr>
      </w:pPr>
      <w:r w:rsidRPr="00F50885">
        <w:rPr>
          <w:rFonts w:ascii="Arial" w:hAnsi="Arial" w:cs="Arial"/>
          <w:b/>
          <w:i/>
          <w:sz w:val="18"/>
          <w:szCs w:val="18"/>
        </w:rPr>
        <w:t>All trading commentary below is in constant currencies</w:t>
      </w:r>
    </w:p>
    <w:p w:rsidR="009C58A0" w:rsidRPr="00F03F65" w:rsidRDefault="009C58A0" w:rsidP="000861DC">
      <w:pPr>
        <w:jc w:val="left"/>
        <w:rPr>
          <w:rFonts w:ascii="Arial" w:hAnsi="Arial" w:cs="Arial"/>
          <w:b/>
          <w:bCs/>
          <w:sz w:val="24"/>
          <w:szCs w:val="24"/>
        </w:rPr>
      </w:pPr>
    </w:p>
    <w:p w:rsidR="009C58A0" w:rsidRDefault="009C58A0" w:rsidP="000861DC">
      <w:pPr>
        <w:jc w:val="left"/>
        <w:rPr>
          <w:rFonts w:ascii="Arial" w:hAnsi="Arial" w:cs="Arial"/>
          <w:b/>
          <w:bCs/>
          <w:sz w:val="24"/>
          <w:szCs w:val="24"/>
        </w:rPr>
      </w:pPr>
      <w:r w:rsidRPr="00F03F65">
        <w:rPr>
          <w:rFonts w:ascii="Arial" w:hAnsi="Arial" w:cs="Arial"/>
          <w:b/>
          <w:bCs/>
          <w:sz w:val="24"/>
          <w:szCs w:val="24"/>
        </w:rPr>
        <w:t xml:space="preserve">Kingfisher </w:t>
      </w:r>
      <w:smartTag w:uri="urn:schemas-microsoft-com:office:smarttags" w:element="country-region">
        <w:r w:rsidRPr="00F03F65">
          <w:rPr>
            <w:rFonts w:ascii="Arial" w:hAnsi="Arial" w:cs="Arial"/>
            <w:b/>
            <w:bCs/>
            <w:sz w:val="24"/>
            <w:szCs w:val="24"/>
          </w:rPr>
          <w:t>UK</w:t>
        </w:r>
      </w:smartTag>
      <w:r w:rsidRPr="00F03F65">
        <w:rPr>
          <w:rFonts w:ascii="Arial" w:hAnsi="Arial" w:cs="Arial"/>
          <w:b/>
          <w:bCs/>
          <w:sz w:val="24"/>
          <w:szCs w:val="24"/>
        </w:rPr>
        <w:t xml:space="preserve"> &amp; Ireland</w:t>
      </w:r>
    </w:p>
    <w:p w:rsidR="009C58A0" w:rsidRDefault="009C58A0" w:rsidP="000861DC">
      <w:pPr>
        <w:jc w:val="left"/>
        <w:rPr>
          <w:rFonts w:ascii="Arial" w:hAnsi="Arial" w:cs="Arial"/>
          <w:bCs/>
          <w:sz w:val="24"/>
          <w:szCs w:val="24"/>
        </w:rPr>
      </w:pPr>
      <w:r>
        <w:rPr>
          <w:rFonts w:ascii="Arial" w:hAnsi="Arial" w:cs="Arial"/>
          <w:bCs/>
          <w:sz w:val="24"/>
          <w:szCs w:val="24"/>
        </w:rPr>
        <w:t>Total sales were up 3.7% (+2.0% LFL) to £1,095 million supported by a strong performance from Screwfix and encouraging early signs in the smaller tradesman market, offset by a slow underlying retail market.</w:t>
      </w:r>
    </w:p>
    <w:p w:rsidR="009C58A0" w:rsidRDefault="009C58A0" w:rsidP="000861DC">
      <w:pPr>
        <w:jc w:val="left"/>
        <w:rPr>
          <w:rFonts w:ascii="Arial" w:hAnsi="Arial" w:cs="Arial"/>
          <w:bCs/>
          <w:sz w:val="24"/>
          <w:szCs w:val="24"/>
        </w:rPr>
      </w:pPr>
    </w:p>
    <w:p w:rsidR="009C58A0" w:rsidRPr="00A908F1" w:rsidRDefault="009C58A0" w:rsidP="000861DC">
      <w:pPr>
        <w:jc w:val="left"/>
        <w:rPr>
          <w:rFonts w:ascii="Arial" w:hAnsi="Arial" w:cs="Arial"/>
          <w:bCs/>
          <w:sz w:val="24"/>
          <w:szCs w:val="24"/>
        </w:rPr>
      </w:pPr>
      <w:r>
        <w:rPr>
          <w:rFonts w:ascii="Arial" w:hAnsi="Arial" w:cs="Arial"/>
          <w:bCs/>
          <w:sz w:val="24"/>
          <w:szCs w:val="24"/>
        </w:rPr>
        <w:t>Kingfisher UK &amp; Ireland delivered retail profit growth of 8.3% to £63 million. Gross margins were down 30 basis points with the benefits from on-going self-help initiatives offset by investment in pricing</w:t>
      </w:r>
      <w:r w:rsidR="005707FC">
        <w:rPr>
          <w:rFonts w:ascii="Arial" w:hAnsi="Arial" w:cs="Arial"/>
          <w:bCs/>
          <w:sz w:val="24"/>
          <w:szCs w:val="24"/>
        </w:rPr>
        <w:t xml:space="preserve"> across both businesses</w:t>
      </w:r>
      <w:r w:rsidR="00B81C46">
        <w:rPr>
          <w:rFonts w:ascii="Arial" w:hAnsi="Arial" w:cs="Arial"/>
          <w:bCs/>
          <w:sz w:val="24"/>
          <w:szCs w:val="24"/>
        </w:rPr>
        <w:t xml:space="preserve">. </w:t>
      </w:r>
      <w:r>
        <w:rPr>
          <w:rFonts w:ascii="Arial" w:hAnsi="Arial" w:cs="Arial"/>
          <w:bCs/>
          <w:sz w:val="24"/>
          <w:szCs w:val="24"/>
        </w:rPr>
        <w:t xml:space="preserve">A strong focus on operating cost efficiencies continued. </w:t>
      </w:r>
    </w:p>
    <w:p w:rsidR="009C58A0" w:rsidRPr="00F03F65" w:rsidRDefault="009C58A0" w:rsidP="00F07AC8">
      <w:pPr>
        <w:pStyle w:val="PlainText"/>
      </w:pPr>
      <w:bookmarkStart w:id="3" w:name="OLE_LINK3"/>
      <w:bookmarkStart w:id="4" w:name="OLE_LINK4"/>
    </w:p>
    <w:p w:rsidR="009C58A0" w:rsidRDefault="009C58A0">
      <w:pPr>
        <w:jc w:val="left"/>
        <w:rPr>
          <w:rFonts w:ascii="Arial" w:hAnsi="Arial" w:cs="Arial"/>
          <w:sz w:val="24"/>
          <w:szCs w:val="24"/>
        </w:rPr>
      </w:pPr>
      <w:r w:rsidRPr="00F03F65">
        <w:rPr>
          <w:rFonts w:ascii="Arial" w:hAnsi="Arial" w:cs="Arial"/>
          <w:b/>
          <w:sz w:val="24"/>
          <w:szCs w:val="24"/>
        </w:rPr>
        <w:t>B&amp;Q UK &amp; Ireland</w:t>
      </w:r>
      <w:r>
        <w:rPr>
          <w:rFonts w:ascii="Arial" w:hAnsi="Arial" w:cs="Arial"/>
          <w:b/>
          <w:sz w:val="24"/>
          <w:szCs w:val="24"/>
        </w:rPr>
        <w:t xml:space="preserve">’s </w:t>
      </w:r>
      <w:r>
        <w:rPr>
          <w:rFonts w:ascii="Arial" w:hAnsi="Arial" w:cs="Arial"/>
          <w:sz w:val="24"/>
          <w:szCs w:val="24"/>
        </w:rPr>
        <w:t>total sales were up 0.8% (+0.4% LFL) to £915 million. Sales of outdoor seasonal products were down around 8% following strong sales in Q2 (+17%). Sales of indoor products were up around 3%</w:t>
      </w:r>
      <w:r w:rsidR="00AF7AE2">
        <w:rPr>
          <w:rFonts w:ascii="Arial" w:hAnsi="Arial" w:cs="Arial"/>
          <w:sz w:val="24"/>
          <w:szCs w:val="24"/>
        </w:rPr>
        <w:t xml:space="preserve"> </w:t>
      </w:r>
      <w:r w:rsidR="005707FC">
        <w:rPr>
          <w:rFonts w:ascii="Arial" w:hAnsi="Arial" w:cs="Arial"/>
          <w:sz w:val="24"/>
          <w:szCs w:val="24"/>
        </w:rPr>
        <w:t>with</w:t>
      </w:r>
      <w:r w:rsidR="00AF7AE2">
        <w:rPr>
          <w:rFonts w:ascii="Arial" w:hAnsi="Arial" w:cs="Arial"/>
          <w:sz w:val="24"/>
          <w:szCs w:val="24"/>
        </w:rPr>
        <w:t xml:space="preserve"> new flooring</w:t>
      </w:r>
      <w:r w:rsidR="002535DD">
        <w:rPr>
          <w:rFonts w:ascii="Arial" w:hAnsi="Arial" w:cs="Arial"/>
          <w:sz w:val="24"/>
          <w:szCs w:val="24"/>
        </w:rPr>
        <w:t xml:space="preserve"> and </w:t>
      </w:r>
      <w:r w:rsidR="009461A3">
        <w:rPr>
          <w:rFonts w:ascii="Arial" w:hAnsi="Arial" w:cs="Arial"/>
          <w:sz w:val="24"/>
          <w:szCs w:val="24"/>
        </w:rPr>
        <w:t>light bulb</w:t>
      </w:r>
      <w:r w:rsidR="00AF7AE2">
        <w:rPr>
          <w:rFonts w:ascii="Arial" w:hAnsi="Arial" w:cs="Arial"/>
          <w:sz w:val="24"/>
          <w:szCs w:val="24"/>
        </w:rPr>
        <w:t xml:space="preserve"> ranges</w:t>
      </w:r>
      <w:r w:rsidR="005707FC">
        <w:rPr>
          <w:rFonts w:ascii="Arial" w:hAnsi="Arial" w:cs="Arial"/>
          <w:sz w:val="24"/>
          <w:szCs w:val="24"/>
        </w:rPr>
        <w:t xml:space="preserve"> performing particularly well</w:t>
      </w:r>
      <w:r w:rsidR="00AF7AE2">
        <w:rPr>
          <w:rFonts w:ascii="Arial" w:hAnsi="Arial" w:cs="Arial"/>
          <w:sz w:val="24"/>
          <w:szCs w:val="24"/>
        </w:rPr>
        <w:t>.</w:t>
      </w:r>
      <w:r>
        <w:rPr>
          <w:rFonts w:ascii="Arial" w:hAnsi="Arial" w:cs="Arial"/>
          <w:sz w:val="24"/>
          <w:szCs w:val="24"/>
        </w:rPr>
        <w:t xml:space="preserve"> TradePoint continues to </w:t>
      </w:r>
      <w:r w:rsidR="005707FC">
        <w:rPr>
          <w:rFonts w:ascii="Arial" w:hAnsi="Arial" w:cs="Arial"/>
          <w:sz w:val="24"/>
          <w:szCs w:val="24"/>
        </w:rPr>
        <w:t xml:space="preserve">grow </w:t>
      </w:r>
      <w:r>
        <w:rPr>
          <w:rFonts w:ascii="Arial" w:hAnsi="Arial" w:cs="Arial"/>
          <w:sz w:val="24"/>
          <w:szCs w:val="24"/>
        </w:rPr>
        <w:t xml:space="preserve">with sales </w:t>
      </w:r>
      <w:r w:rsidRPr="008928BF">
        <w:rPr>
          <w:rFonts w:ascii="Arial" w:hAnsi="Arial" w:cs="Arial"/>
          <w:sz w:val="24"/>
          <w:szCs w:val="24"/>
        </w:rPr>
        <w:t>up 7%</w:t>
      </w:r>
      <w:r>
        <w:rPr>
          <w:rFonts w:ascii="Arial" w:hAnsi="Arial" w:cs="Arial"/>
          <w:sz w:val="24"/>
          <w:szCs w:val="24"/>
        </w:rPr>
        <w:t xml:space="preserve"> compared to Q3 last year. </w:t>
      </w:r>
    </w:p>
    <w:p w:rsidR="009C58A0" w:rsidRPr="00F03F65" w:rsidRDefault="009C58A0">
      <w:pPr>
        <w:jc w:val="left"/>
        <w:rPr>
          <w:rFonts w:ascii="Arial" w:hAnsi="Arial" w:cs="Arial"/>
          <w:sz w:val="24"/>
          <w:szCs w:val="24"/>
        </w:rPr>
      </w:pPr>
    </w:p>
    <w:bookmarkEnd w:id="3"/>
    <w:bookmarkEnd w:id="4"/>
    <w:p w:rsidR="009C58A0" w:rsidRPr="00A908F1" w:rsidRDefault="009C58A0" w:rsidP="006567A2">
      <w:pPr>
        <w:jc w:val="left"/>
        <w:rPr>
          <w:rFonts w:ascii="Arial" w:hAnsi="Arial" w:cs="Arial"/>
          <w:sz w:val="24"/>
          <w:szCs w:val="24"/>
        </w:rPr>
      </w:pPr>
      <w:r w:rsidRPr="00F03F65">
        <w:rPr>
          <w:rFonts w:ascii="Arial" w:hAnsi="Arial" w:cs="Arial"/>
          <w:b/>
          <w:sz w:val="24"/>
          <w:szCs w:val="24"/>
        </w:rPr>
        <w:t xml:space="preserve">Screwfix </w:t>
      </w:r>
      <w:r>
        <w:rPr>
          <w:rFonts w:ascii="Arial" w:hAnsi="Arial" w:cs="Arial"/>
          <w:sz w:val="24"/>
          <w:szCs w:val="24"/>
        </w:rPr>
        <w:t xml:space="preserve">grew total sales by 21.1% (+11.1% LFL) to £180 million benefiting from </w:t>
      </w:r>
      <w:r w:rsidR="00AF7AE2">
        <w:rPr>
          <w:rFonts w:ascii="Arial" w:hAnsi="Arial" w:cs="Arial"/>
          <w:sz w:val="24"/>
          <w:szCs w:val="24"/>
        </w:rPr>
        <w:t xml:space="preserve">a strong promotional programme, </w:t>
      </w:r>
      <w:r>
        <w:rPr>
          <w:rFonts w:ascii="Arial" w:hAnsi="Arial" w:cs="Arial"/>
          <w:sz w:val="24"/>
          <w:szCs w:val="24"/>
        </w:rPr>
        <w:t xml:space="preserve">extended opening hours, the continued roll out of new outlets and the successful introduction of a mobile ‘click, pay &amp; collect’ offer last year. Nine outlets were opened during Q3, taking the total to 303. </w:t>
      </w:r>
    </w:p>
    <w:p w:rsidR="00CA1FB8" w:rsidRDefault="00CA1FB8">
      <w:pPr>
        <w:jc w:val="left"/>
        <w:rPr>
          <w:rFonts w:ascii="Arial" w:hAnsi="Arial" w:cs="Arial"/>
          <w:b/>
          <w:sz w:val="24"/>
          <w:szCs w:val="24"/>
        </w:rPr>
      </w:pPr>
      <w:r>
        <w:rPr>
          <w:rFonts w:ascii="Arial" w:hAnsi="Arial" w:cs="Arial"/>
          <w:b/>
          <w:sz w:val="24"/>
          <w:szCs w:val="24"/>
        </w:rPr>
        <w:br w:type="page"/>
      </w:r>
    </w:p>
    <w:p w:rsidR="009C58A0" w:rsidRPr="00954FE4" w:rsidRDefault="00AC1FAC" w:rsidP="00027994">
      <w:pPr>
        <w:jc w:val="left"/>
        <w:rPr>
          <w:rFonts w:ascii="Arial" w:hAnsi="Arial" w:cs="Arial"/>
          <w:b/>
          <w:sz w:val="24"/>
          <w:szCs w:val="24"/>
        </w:rPr>
      </w:pPr>
      <w:r>
        <w:rPr>
          <w:rFonts w:ascii="Arial" w:hAnsi="Arial" w:cs="Arial"/>
          <w:b/>
          <w:sz w:val="24"/>
          <w:szCs w:val="24"/>
        </w:rPr>
        <w:lastRenderedPageBreak/>
        <w:t>O</w:t>
      </w:r>
      <w:r w:rsidR="009C58A0" w:rsidRPr="00954FE4">
        <w:rPr>
          <w:rFonts w:ascii="Arial" w:hAnsi="Arial" w:cs="Arial"/>
          <w:b/>
          <w:sz w:val="24"/>
          <w:szCs w:val="24"/>
        </w:rPr>
        <w:t>THER INTERNATIONAL</w:t>
      </w:r>
      <w:r w:rsidR="009C58A0" w:rsidRPr="00954FE4">
        <w:rPr>
          <w:rFonts w:ascii="Arial" w:hAnsi="Arial" w:cs="Arial"/>
          <w:b/>
          <w:sz w:val="24"/>
          <w:szCs w:val="24"/>
        </w:rPr>
        <w:tab/>
      </w:r>
    </w:p>
    <w:p w:rsidR="009C58A0" w:rsidRPr="00954FE4" w:rsidRDefault="009C58A0" w:rsidP="00027994">
      <w:pPr>
        <w:jc w:val="left"/>
        <w:rPr>
          <w:rFonts w:ascii="Arial" w:hAnsi="Arial" w:cs="Arial"/>
          <w:sz w:val="24"/>
          <w:szCs w:val="24"/>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3"/>
        <w:gridCol w:w="1274"/>
        <w:gridCol w:w="1757"/>
        <w:gridCol w:w="1584"/>
        <w:gridCol w:w="1049"/>
      </w:tblGrid>
      <w:tr w:rsidR="009C58A0" w:rsidRPr="00954FE4" w:rsidTr="000A0683">
        <w:tc>
          <w:tcPr>
            <w:tcW w:w="1217" w:type="pct"/>
          </w:tcPr>
          <w:p w:rsidR="009C58A0" w:rsidRPr="00954FE4" w:rsidRDefault="009C58A0" w:rsidP="000A0683">
            <w:pPr>
              <w:rPr>
                <w:rFonts w:ascii="Arial" w:hAnsi="Arial" w:cs="Arial"/>
                <w:sz w:val="24"/>
                <w:szCs w:val="24"/>
              </w:rPr>
            </w:pPr>
            <w:r w:rsidRPr="00954FE4">
              <w:rPr>
                <w:rFonts w:ascii="Arial" w:hAnsi="Arial" w:cs="Arial"/>
                <w:b/>
                <w:bCs/>
                <w:sz w:val="24"/>
                <w:szCs w:val="24"/>
              </w:rPr>
              <w:t>Sales £m</w:t>
            </w:r>
          </w:p>
        </w:tc>
        <w:tc>
          <w:tcPr>
            <w:tcW w:w="742" w:type="pct"/>
          </w:tcPr>
          <w:p w:rsidR="009C58A0" w:rsidRPr="00954FE4" w:rsidRDefault="009C58A0" w:rsidP="000A0683">
            <w:pPr>
              <w:jc w:val="right"/>
              <w:rPr>
                <w:rFonts w:ascii="Arial" w:hAnsi="Arial" w:cs="Arial"/>
                <w:sz w:val="24"/>
                <w:szCs w:val="24"/>
              </w:rPr>
            </w:pPr>
            <w:r w:rsidRPr="00954FE4">
              <w:rPr>
                <w:rFonts w:ascii="Arial" w:hAnsi="Arial" w:cs="Arial"/>
                <w:b/>
                <w:bCs/>
                <w:sz w:val="24"/>
                <w:szCs w:val="24"/>
              </w:rPr>
              <w:t>2013/14</w:t>
            </w:r>
          </w:p>
        </w:tc>
        <w:tc>
          <w:tcPr>
            <w:tcW w:w="684"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2012/13</w:t>
            </w:r>
          </w:p>
        </w:tc>
        <w:tc>
          <w:tcPr>
            <w:tcW w:w="943"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 Reported Change</w:t>
            </w:r>
          </w:p>
        </w:tc>
        <w:tc>
          <w:tcPr>
            <w:tcW w:w="850"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 xml:space="preserve">% Constant </w:t>
            </w:r>
          </w:p>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Currency</w:t>
            </w:r>
          </w:p>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Change</w:t>
            </w:r>
          </w:p>
        </w:tc>
        <w:tc>
          <w:tcPr>
            <w:tcW w:w="563" w:type="pct"/>
          </w:tcPr>
          <w:p w:rsidR="009C58A0" w:rsidRPr="00954FE4" w:rsidRDefault="009C58A0" w:rsidP="000A0683">
            <w:pPr>
              <w:ind w:hanging="108"/>
              <w:jc w:val="right"/>
              <w:rPr>
                <w:rFonts w:ascii="Arial" w:hAnsi="Arial" w:cs="Arial"/>
                <w:b/>
                <w:bCs/>
                <w:sz w:val="24"/>
                <w:szCs w:val="24"/>
              </w:rPr>
            </w:pPr>
            <w:r w:rsidRPr="00954FE4">
              <w:rPr>
                <w:rFonts w:ascii="Arial" w:hAnsi="Arial" w:cs="Arial"/>
                <w:b/>
                <w:bCs/>
                <w:sz w:val="24"/>
                <w:szCs w:val="24"/>
              </w:rPr>
              <w:t>% LFL</w:t>
            </w:r>
          </w:p>
          <w:p w:rsidR="009C58A0" w:rsidRPr="00954FE4" w:rsidRDefault="009C58A0" w:rsidP="000A0683">
            <w:pPr>
              <w:ind w:hanging="108"/>
              <w:jc w:val="right"/>
              <w:rPr>
                <w:rFonts w:ascii="Arial" w:hAnsi="Arial" w:cs="Arial"/>
                <w:b/>
                <w:bCs/>
                <w:sz w:val="24"/>
                <w:szCs w:val="24"/>
              </w:rPr>
            </w:pPr>
            <w:r w:rsidRPr="00954FE4">
              <w:rPr>
                <w:rFonts w:ascii="Arial" w:hAnsi="Arial" w:cs="Arial"/>
                <w:b/>
                <w:bCs/>
                <w:sz w:val="24"/>
                <w:szCs w:val="24"/>
              </w:rPr>
              <w:t>Change</w:t>
            </w:r>
          </w:p>
        </w:tc>
      </w:tr>
      <w:tr w:rsidR="009C58A0" w:rsidRPr="00954FE4" w:rsidTr="000A0683">
        <w:trPr>
          <w:trHeight w:val="147"/>
        </w:trPr>
        <w:tc>
          <w:tcPr>
            <w:tcW w:w="1217" w:type="pct"/>
          </w:tcPr>
          <w:p w:rsidR="009C58A0" w:rsidRPr="00954FE4" w:rsidRDefault="009C58A0" w:rsidP="000A0683">
            <w:pPr>
              <w:rPr>
                <w:rFonts w:ascii="Arial" w:hAnsi="Arial" w:cs="Arial"/>
                <w:sz w:val="24"/>
                <w:szCs w:val="24"/>
              </w:rPr>
            </w:pPr>
            <w:r w:rsidRPr="00954FE4">
              <w:rPr>
                <w:rFonts w:ascii="Arial" w:hAnsi="Arial" w:cs="Arial"/>
                <w:sz w:val="24"/>
                <w:szCs w:val="24"/>
              </w:rPr>
              <w:t>Other International</w:t>
            </w:r>
          </w:p>
        </w:tc>
        <w:tc>
          <w:tcPr>
            <w:tcW w:w="742" w:type="pct"/>
          </w:tcPr>
          <w:p w:rsidR="009C58A0" w:rsidRPr="00954FE4" w:rsidRDefault="009C58A0" w:rsidP="000A0683">
            <w:pPr>
              <w:jc w:val="right"/>
              <w:rPr>
                <w:rFonts w:ascii="Arial" w:hAnsi="Arial" w:cs="Arial"/>
                <w:sz w:val="24"/>
                <w:szCs w:val="24"/>
              </w:rPr>
            </w:pPr>
            <w:r>
              <w:rPr>
                <w:rFonts w:ascii="Arial" w:hAnsi="Arial" w:cs="Arial"/>
                <w:sz w:val="24"/>
                <w:szCs w:val="24"/>
              </w:rPr>
              <w:t>653</w:t>
            </w:r>
          </w:p>
        </w:tc>
        <w:tc>
          <w:tcPr>
            <w:tcW w:w="684" w:type="pct"/>
          </w:tcPr>
          <w:p w:rsidR="009C58A0" w:rsidRPr="00954FE4" w:rsidRDefault="009C58A0" w:rsidP="000A0683">
            <w:pPr>
              <w:jc w:val="right"/>
              <w:rPr>
                <w:rFonts w:ascii="Arial" w:hAnsi="Arial" w:cs="Arial"/>
                <w:sz w:val="24"/>
                <w:szCs w:val="24"/>
              </w:rPr>
            </w:pPr>
            <w:r w:rsidRPr="00954FE4">
              <w:rPr>
                <w:rFonts w:ascii="Arial" w:hAnsi="Arial" w:cs="Arial"/>
                <w:sz w:val="24"/>
                <w:szCs w:val="24"/>
              </w:rPr>
              <w:t>569</w:t>
            </w:r>
          </w:p>
        </w:tc>
        <w:tc>
          <w:tcPr>
            <w:tcW w:w="943" w:type="pct"/>
          </w:tcPr>
          <w:p w:rsidR="009C58A0" w:rsidRPr="00954FE4" w:rsidRDefault="009C58A0" w:rsidP="000A0683">
            <w:pPr>
              <w:jc w:val="right"/>
              <w:rPr>
                <w:rFonts w:ascii="Arial" w:hAnsi="Arial" w:cs="Arial"/>
                <w:sz w:val="24"/>
                <w:szCs w:val="24"/>
              </w:rPr>
            </w:pPr>
            <w:r>
              <w:rPr>
                <w:rFonts w:ascii="Arial" w:hAnsi="Arial" w:cs="Arial"/>
                <w:sz w:val="24"/>
                <w:szCs w:val="24"/>
              </w:rPr>
              <w:t>+14.8</w:t>
            </w:r>
            <w:r w:rsidRPr="00954FE4">
              <w:rPr>
                <w:rFonts w:ascii="Arial" w:hAnsi="Arial" w:cs="Arial"/>
                <w:sz w:val="24"/>
                <w:szCs w:val="24"/>
              </w:rPr>
              <w:t>%</w:t>
            </w:r>
          </w:p>
        </w:tc>
        <w:tc>
          <w:tcPr>
            <w:tcW w:w="850" w:type="pct"/>
          </w:tcPr>
          <w:p w:rsidR="009C58A0" w:rsidRPr="00954FE4" w:rsidRDefault="009C58A0" w:rsidP="000A0683">
            <w:pPr>
              <w:jc w:val="right"/>
              <w:rPr>
                <w:rFonts w:ascii="Arial" w:hAnsi="Arial" w:cs="Arial"/>
                <w:sz w:val="24"/>
                <w:szCs w:val="24"/>
              </w:rPr>
            </w:pPr>
            <w:r>
              <w:rPr>
                <w:rFonts w:ascii="Arial" w:hAnsi="Arial" w:cs="Arial"/>
                <w:sz w:val="24"/>
                <w:szCs w:val="24"/>
              </w:rPr>
              <w:t>+11.6</w:t>
            </w:r>
            <w:r w:rsidRPr="00954FE4">
              <w:rPr>
                <w:rFonts w:ascii="Arial" w:hAnsi="Arial" w:cs="Arial"/>
                <w:sz w:val="24"/>
                <w:szCs w:val="24"/>
              </w:rPr>
              <w:t>%</w:t>
            </w:r>
          </w:p>
        </w:tc>
        <w:tc>
          <w:tcPr>
            <w:tcW w:w="563" w:type="pct"/>
          </w:tcPr>
          <w:p w:rsidR="009C58A0" w:rsidRPr="00954FE4" w:rsidRDefault="009C58A0" w:rsidP="000A0683">
            <w:pPr>
              <w:jc w:val="right"/>
              <w:rPr>
                <w:rFonts w:ascii="Arial" w:hAnsi="Arial" w:cs="Arial"/>
                <w:sz w:val="24"/>
                <w:szCs w:val="24"/>
              </w:rPr>
            </w:pPr>
            <w:r>
              <w:rPr>
                <w:rFonts w:ascii="Arial" w:hAnsi="Arial" w:cs="Arial"/>
                <w:sz w:val="24"/>
                <w:szCs w:val="24"/>
              </w:rPr>
              <w:t>+2.9</w:t>
            </w:r>
            <w:r w:rsidRPr="00954FE4">
              <w:rPr>
                <w:rFonts w:ascii="Arial" w:hAnsi="Arial" w:cs="Arial"/>
                <w:sz w:val="24"/>
                <w:szCs w:val="24"/>
              </w:rPr>
              <w:t>%</w:t>
            </w:r>
          </w:p>
        </w:tc>
      </w:tr>
    </w:tbl>
    <w:p w:rsidR="009C58A0" w:rsidRPr="00954FE4" w:rsidRDefault="009C58A0" w:rsidP="00027994">
      <w:pPr>
        <w:jc w:val="left"/>
        <w:rPr>
          <w:rFonts w:ascii="Arial" w:hAnsi="Arial" w:cs="Arial"/>
          <w:i/>
          <w:sz w:val="24"/>
          <w:szCs w:val="24"/>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9"/>
        <w:gridCol w:w="1278"/>
        <w:gridCol w:w="1752"/>
        <w:gridCol w:w="1579"/>
      </w:tblGrid>
      <w:tr w:rsidR="009C58A0" w:rsidRPr="00954FE4" w:rsidTr="000A0683">
        <w:tc>
          <w:tcPr>
            <w:tcW w:w="1372" w:type="pct"/>
          </w:tcPr>
          <w:p w:rsidR="009C58A0" w:rsidRPr="00954FE4" w:rsidRDefault="009C58A0" w:rsidP="000A0683">
            <w:pPr>
              <w:rPr>
                <w:rFonts w:ascii="Arial" w:hAnsi="Arial" w:cs="Arial"/>
                <w:b/>
                <w:bCs/>
                <w:sz w:val="24"/>
                <w:szCs w:val="24"/>
              </w:rPr>
            </w:pPr>
            <w:r w:rsidRPr="00954FE4">
              <w:rPr>
                <w:rFonts w:ascii="Arial" w:hAnsi="Arial" w:cs="Arial"/>
                <w:b/>
                <w:bCs/>
                <w:sz w:val="24"/>
                <w:szCs w:val="24"/>
              </w:rPr>
              <w:t>Retail profit £m</w:t>
            </w:r>
          </w:p>
        </w:tc>
        <w:tc>
          <w:tcPr>
            <w:tcW w:w="840"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2013/14</w:t>
            </w:r>
          </w:p>
        </w:tc>
        <w:tc>
          <w:tcPr>
            <w:tcW w:w="773"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2012/13</w:t>
            </w:r>
          </w:p>
        </w:tc>
        <w:tc>
          <w:tcPr>
            <w:tcW w:w="1060"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 Reported Change</w:t>
            </w:r>
          </w:p>
        </w:tc>
        <w:tc>
          <w:tcPr>
            <w:tcW w:w="955" w:type="pct"/>
          </w:tcPr>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 Constant</w:t>
            </w:r>
          </w:p>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 xml:space="preserve">Currency </w:t>
            </w:r>
          </w:p>
          <w:p w:rsidR="009C58A0" w:rsidRPr="00954FE4" w:rsidRDefault="009C58A0" w:rsidP="000A0683">
            <w:pPr>
              <w:jc w:val="right"/>
              <w:rPr>
                <w:rFonts w:ascii="Arial" w:hAnsi="Arial" w:cs="Arial"/>
                <w:b/>
                <w:bCs/>
                <w:sz w:val="24"/>
                <w:szCs w:val="24"/>
              </w:rPr>
            </w:pPr>
            <w:r w:rsidRPr="00954FE4">
              <w:rPr>
                <w:rFonts w:ascii="Arial" w:hAnsi="Arial" w:cs="Arial"/>
                <w:b/>
                <w:bCs/>
                <w:sz w:val="24"/>
                <w:szCs w:val="24"/>
              </w:rPr>
              <w:t>Change</w:t>
            </w:r>
          </w:p>
        </w:tc>
      </w:tr>
      <w:tr w:rsidR="009C58A0" w:rsidRPr="00954FE4" w:rsidTr="000A0683">
        <w:tc>
          <w:tcPr>
            <w:tcW w:w="1372" w:type="pct"/>
          </w:tcPr>
          <w:p w:rsidR="009C58A0" w:rsidRPr="00954FE4" w:rsidRDefault="009C58A0" w:rsidP="000A0683">
            <w:pPr>
              <w:rPr>
                <w:rFonts w:ascii="Arial" w:hAnsi="Arial" w:cs="Arial"/>
                <w:sz w:val="24"/>
                <w:szCs w:val="24"/>
              </w:rPr>
            </w:pPr>
            <w:r w:rsidRPr="00954FE4">
              <w:rPr>
                <w:rFonts w:ascii="Arial" w:hAnsi="Arial" w:cs="Arial"/>
                <w:sz w:val="24"/>
                <w:szCs w:val="24"/>
              </w:rPr>
              <w:t>Other International</w:t>
            </w:r>
          </w:p>
        </w:tc>
        <w:tc>
          <w:tcPr>
            <w:tcW w:w="840" w:type="pct"/>
          </w:tcPr>
          <w:p w:rsidR="009C58A0" w:rsidRPr="00954FE4" w:rsidRDefault="009C58A0" w:rsidP="000A0683">
            <w:pPr>
              <w:jc w:val="right"/>
              <w:rPr>
                <w:rFonts w:ascii="Arial" w:hAnsi="Arial" w:cs="Arial"/>
                <w:sz w:val="24"/>
                <w:szCs w:val="24"/>
              </w:rPr>
            </w:pPr>
            <w:r>
              <w:rPr>
                <w:rFonts w:ascii="Arial" w:hAnsi="Arial" w:cs="Arial"/>
                <w:sz w:val="24"/>
                <w:szCs w:val="24"/>
              </w:rPr>
              <w:t>68</w:t>
            </w:r>
          </w:p>
        </w:tc>
        <w:tc>
          <w:tcPr>
            <w:tcW w:w="773" w:type="pct"/>
          </w:tcPr>
          <w:p w:rsidR="009C58A0" w:rsidRPr="00954FE4" w:rsidRDefault="009C58A0" w:rsidP="000A0683">
            <w:pPr>
              <w:jc w:val="right"/>
              <w:rPr>
                <w:rFonts w:ascii="Arial" w:hAnsi="Arial" w:cs="Arial"/>
                <w:sz w:val="24"/>
                <w:szCs w:val="24"/>
              </w:rPr>
            </w:pPr>
            <w:r w:rsidRPr="00954FE4">
              <w:rPr>
                <w:rFonts w:ascii="Arial" w:hAnsi="Arial" w:cs="Arial"/>
                <w:sz w:val="24"/>
                <w:szCs w:val="24"/>
              </w:rPr>
              <w:t>58</w:t>
            </w:r>
          </w:p>
        </w:tc>
        <w:tc>
          <w:tcPr>
            <w:tcW w:w="1060" w:type="pct"/>
          </w:tcPr>
          <w:p w:rsidR="009C58A0" w:rsidRPr="00954FE4" w:rsidRDefault="009C58A0" w:rsidP="000A0683">
            <w:pPr>
              <w:jc w:val="right"/>
              <w:rPr>
                <w:rFonts w:ascii="Arial" w:hAnsi="Arial" w:cs="Arial"/>
                <w:sz w:val="24"/>
                <w:szCs w:val="24"/>
              </w:rPr>
            </w:pPr>
            <w:r>
              <w:rPr>
                <w:rFonts w:ascii="Arial" w:hAnsi="Arial" w:cs="Arial"/>
                <w:sz w:val="24"/>
                <w:szCs w:val="24"/>
              </w:rPr>
              <w:t>+17.1</w:t>
            </w:r>
            <w:r w:rsidRPr="00954FE4">
              <w:rPr>
                <w:rFonts w:ascii="Arial" w:hAnsi="Arial" w:cs="Arial"/>
                <w:sz w:val="24"/>
                <w:szCs w:val="24"/>
              </w:rPr>
              <w:t>%</w:t>
            </w:r>
          </w:p>
        </w:tc>
        <w:tc>
          <w:tcPr>
            <w:tcW w:w="955" w:type="pct"/>
          </w:tcPr>
          <w:p w:rsidR="009C58A0" w:rsidRPr="00954FE4" w:rsidRDefault="009C58A0" w:rsidP="000A0683">
            <w:pPr>
              <w:jc w:val="right"/>
              <w:rPr>
                <w:rFonts w:ascii="Arial" w:hAnsi="Arial" w:cs="Arial"/>
                <w:sz w:val="24"/>
                <w:szCs w:val="24"/>
              </w:rPr>
            </w:pPr>
            <w:r>
              <w:rPr>
                <w:rFonts w:ascii="Arial" w:hAnsi="Arial" w:cs="Arial"/>
                <w:sz w:val="24"/>
                <w:szCs w:val="24"/>
              </w:rPr>
              <w:t>+13.6</w:t>
            </w:r>
            <w:r w:rsidRPr="00954FE4">
              <w:rPr>
                <w:rFonts w:ascii="Arial" w:hAnsi="Arial" w:cs="Arial"/>
                <w:sz w:val="24"/>
                <w:szCs w:val="24"/>
              </w:rPr>
              <w:t>%</w:t>
            </w:r>
          </w:p>
        </w:tc>
      </w:tr>
    </w:tbl>
    <w:p w:rsidR="009C58A0" w:rsidRPr="00954FE4" w:rsidRDefault="009C58A0" w:rsidP="00027994">
      <w:pPr>
        <w:jc w:val="left"/>
        <w:rPr>
          <w:rFonts w:ascii="Arial" w:hAnsi="Arial" w:cs="Arial"/>
          <w:i/>
          <w:sz w:val="18"/>
          <w:szCs w:val="18"/>
        </w:rPr>
      </w:pPr>
    </w:p>
    <w:p w:rsidR="00090092" w:rsidRDefault="009C58A0" w:rsidP="00027994">
      <w:pPr>
        <w:jc w:val="left"/>
        <w:rPr>
          <w:rFonts w:ascii="Arial" w:hAnsi="Arial" w:cs="Arial"/>
          <w:b/>
          <w:bCs/>
          <w:i/>
          <w:iCs/>
          <w:sz w:val="18"/>
          <w:szCs w:val="18"/>
        </w:rPr>
      </w:pPr>
      <w:r w:rsidRPr="00954FE4">
        <w:rPr>
          <w:rFonts w:ascii="Arial" w:hAnsi="Arial" w:cs="Arial"/>
          <w:i/>
          <w:iCs/>
          <w:sz w:val="18"/>
          <w:szCs w:val="18"/>
        </w:rPr>
        <w:t xml:space="preserve">Other International </w:t>
      </w:r>
      <w:r>
        <w:rPr>
          <w:rFonts w:ascii="Arial" w:hAnsi="Arial" w:cs="Arial"/>
          <w:i/>
          <w:iCs/>
          <w:sz w:val="18"/>
          <w:szCs w:val="18"/>
        </w:rPr>
        <w:t>includes</w:t>
      </w:r>
      <w:r w:rsidRPr="00954FE4">
        <w:rPr>
          <w:rFonts w:ascii="Arial" w:hAnsi="Arial" w:cs="Arial"/>
          <w:i/>
          <w:iCs/>
          <w:sz w:val="18"/>
          <w:szCs w:val="18"/>
        </w:rPr>
        <w:t xml:space="preserve"> Poland, China, Romania, Russia, Spain, Turkey JV and Hornbach in Germany. Joint Venture (Koçtaş) and Associate (Hornbach) sales are not consolidated.</w:t>
      </w:r>
      <w:r w:rsidR="00090092">
        <w:rPr>
          <w:rFonts w:ascii="Arial" w:hAnsi="Arial" w:cs="Arial"/>
          <w:i/>
          <w:iCs/>
          <w:sz w:val="18"/>
          <w:szCs w:val="18"/>
        </w:rPr>
        <w:t xml:space="preserve"> </w:t>
      </w:r>
      <w:r w:rsidR="007C52B1">
        <w:rPr>
          <w:rFonts w:ascii="Arial" w:hAnsi="Arial" w:cs="Arial"/>
          <w:i/>
          <w:iCs/>
          <w:sz w:val="18"/>
          <w:szCs w:val="18"/>
        </w:rPr>
        <w:t xml:space="preserve">China, Romania, Russia and Turkey report for the quarter to 30 September 2013. </w:t>
      </w:r>
    </w:p>
    <w:p w:rsidR="009C58A0" w:rsidRPr="00954FE4" w:rsidRDefault="009C58A0" w:rsidP="00027994">
      <w:pPr>
        <w:jc w:val="left"/>
        <w:rPr>
          <w:rFonts w:ascii="Arial" w:hAnsi="Arial" w:cs="Arial"/>
          <w:b/>
          <w:bCs/>
          <w:i/>
          <w:iCs/>
          <w:sz w:val="18"/>
          <w:szCs w:val="18"/>
        </w:rPr>
      </w:pPr>
      <w:r w:rsidRPr="00954FE4">
        <w:rPr>
          <w:rFonts w:ascii="Arial" w:hAnsi="Arial" w:cs="Arial"/>
          <w:b/>
          <w:bCs/>
          <w:i/>
          <w:iCs/>
          <w:sz w:val="18"/>
          <w:szCs w:val="18"/>
        </w:rPr>
        <w:t>All trading commentary below is in constant currencies</w:t>
      </w:r>
    </w:p>
    <w:p w:rsidR="009C58A0" w:rsidRDefault="009C58A0" w:rsidP="00027994">
      <w:pPr>
        <w:jc w:val="left"/>
        <w:rPr>
          <w:rFonts w:ascii="Arial" w:hAnsi="Arial" w:cs="Arial"/>
          <w:sz w:val="24"/>
          <w:szCs w:val="24"/>
        </w:rPr>
      </w:pPr>
    </w:p>
    <w:p w:rsidR="009C58A0" w:rsidRPr="00954FE4" w:rsidRDefault="009C58A0" w:rsidP="00027994">
      <w:pPr>
        <w:jc w:val="left"/>
        <w:rPr>
          <w:rFonts w:ascii="Arial" w:hAnsi="Arial" w:cs="Arial"/>
          <w:sz w:val="24"/>
          <w:szCs w:val="24"/>
        </w:rPr>
      </w:pPr>
      <w:r>
        <w:rPr>
          <w:rFonts w:ascii="Arial" w:hAnsi="Arial" w:cs="Arial"/>
          <w:b/>
          <w:sz w:val="24"/>
          <w:szCs w:val="24"/>
        </w:rPr>
        <w:t>Other International</w:t>
      </w:r>
      <w:r>
        <w:rPr>
          <w:rFonts w:ascii="Arial" w:hAnsi="Arial" w:cs="Arial"/>
          <w:sz w:val="24"/>
          <w:szCs w:val="24"/>
        </w:rPr>
        <w:t xml:space="preserve"> total sales increased by 11.6% </w:t>
      </w:r>
      <w:r w:rsidRPr="00A908F1">
        <w:rPr>
          <w:rFonts w:ascii="Arial" w:hAnsi="Arial" w:cs="Arial"/>
          <w:sz w:val="24"/>
          <w:szCs w:val="24"/>
        </w:rPr>
        <w:t>(+2.9% LFL)</w:t>
      </w:r>
      <w:r>
        <w:rPr>
          <w:rFonts w:ascii="Arial" w:hAnsi="Arial" w:cs="Arial"/>
          <w:sz w:val="24"/>
          <w:szCs w:val="24"/>
        </w:rPr>
        <w:t xml:space="preserve"> to £653 million driven by the inclusion of the acquisition in Romania, LFL growth in Russia and China and new store openings. Retail profit increased 13.6% to £68 million driven by Poland</w:t>
      </w:r>
      <w:r w:rsidR="006F145E">
        <w:rPr>
          <w:rFonts w:ascii="Arial" w:hAnsi="Arial" w:cs="Arial"/>
          <w:sz w:val="24"/>
          <w:szCs w:val="24"/>
        </w:rPr>
        <w:t xml:space="preserve"> </w:t>
      </w:r>
      <w:r>
        <w:rPr>
          <w:rFonts w:ascii="Arial" w:hAnsi="Arial" w:cs="Arial"/>
          <w:sz w:val="24"/>
          <w:szCs w:val="24"/>
        </w:rPr>
        <w:t xml:space="preserve">and </w:t>
      </w:r>
      <w:r w:rsidR="00AF7AE2">
        <w:rPr>
          <w:rFonts w:ascii="Arial" w:hAnsi="Arial" w:cs="Arial"/>
          <w:sz w:val="24"/>
          <w:szCs w:val="24"/>
        </w:rPr>
        <w:t xml:space="preserve">a higher contribution from Hornbach </w:t>
      </w:r>
      <w:r w:rsidRPr="00A908F1">
        <w:rPr>
          <w:rFonts w:ascii="Arial" w:hAnsi="Arial" w:cs="Arial"/>
          <w:i/>
          <w:sz w:val="24"/>
          <w:szCs w:val="24"/>
          <w:vertAlign w:val="superscript"/>
        </w:rPr>
        <w:t>(1)</w:t>
      </w:r>
      <w:r>
        <w:rPr>
          <w:rFonts w:ascii="Arial" w:hAnsi="Arial" w:cs="Arial"/>
          <w:i/>
          <w:sz w:val="24"/>
          <w:szCs w:val="24"/>
        </w:rPr>
        <w:t>.</w:t>
      </w:r>
      <w:r>
        <w:rPr>
          <w:rFonts w:ascii="Arial" w:hAnsi="Arial" w:cs="Arial"/>
          <w:sz w:val="24"/>
          <w:szCs w:val="24"/>
        </w:rPr>
        <w:t xml:space="preserve"> </w:t>
      </w:r>
      <w:r w:rsidRPr="00A908F1">
        <w:rPr>
          <w:rFonts w:ascii="Arial" w:hAnsi="Arial" w:cs="Arial"/>
          <w:sz w:val="24"/>
          <w:szCs w:val="24"/>
        </w:rPr>
        <w:t xml:space="preserve">During Q3, one net new store was opened in Spain. Including the acquisition of stores in Romania in H1, around 15% </w:t>
      </w:r>
      <w:r w:rsidR="006F145E">
        <w:rPr>
          <w:rFonts w:ascii="Arial" w:hAnsi="Arial" w:cs="Arial"/>
          <w:sz w:val="24"/>
          <w:szCs w:val="24"/>
        </w:rPr>
        <w:t xml:space="preserve">net </w:t>
      </w:r>
      <w:r w:rsidRPr="00A908F1">
        <w:rPr>
          <w:rFonts w:ascii="Arial" w:hAnsi="Arial" w:cs="Arial"/>
          <w:sz w:val="24"/>
          <w:szCs w:val="24"/>
        </w:rPr>
        <w:t>new space was added compared to Q3 last year.</w:t>
      </w:r>
    </w:p>
    <w:p w:rsidR="009C58A0" w:rsidRPr="00954FE4" w:rsidRDefault="009C58A0" w:rsidP="00027994">
      <w:pPr>
        <w:jc w:val="left"/>
        <w:rPr>
          <w:rFonts w:ascii="Arial" w:hAnsi="Arial" w:cs="Arial"/>
          <w:sz w:val="24"/>
          <w:szCs w:val="24"/>
          <w:highlight w:val="yellow"/>
        </w:rPr>
      </w:pPr>
    </w:p>
    <w:p w:rsidR="009C58A0" w:rsidRDefault="009C58A0" w:rsidP="00027994">
      <w:pPr>
        <w:tabs>
          <w:tab w:val="left" w:pos="5940"/>
        </w:tabs>
        <w:jc w:val="left"/>
        <w:rPr>
          <w:rFonts w:ascii="Arial" w:hAnsi="Arial" w:cs="Arial"/>
          <w:sz w:val="24"/>
          <w:szCs w:val="24"/>
        </w:rPr>
      </w:pPr>
      <w:r w:rsidRPr="00524C85">
        <w:rPr>
          <w:rFonts w:ascii="Arial" w:hAnsi="Arial" w:cs="Arial"/>
          <w:sz w:val="24"/>
          <w:szCs w:val="24"/>
        </w:rPr>
        <w:t>Sales in</w:t>
      </w:r>
      <w:r>
        <w:rPr>
          <w:rFonts w:ascii="Arial" w:hAnsi="Arial" w:cs="Arial"/>
          <w:b/>
          <w:sz w:val="24"/>
          <w:szCs w:val="24"/>
        </w:rPr>
        <w:t xml:space="preserve"> </w:t>
      </w:r>
      <w:r w:rsidRPr="00954FE4">
        <w:rPr>
          <w:rFonts w:ascii="Arial" w:hAnsi="Arial" w:cs="Arial"/>
          <w:b/>
          <w:sz w:val="24"/>
          <w:szCs w:val="24"/>
        </w:rPr>
        <w:t>Poland</w:t>
      </w:r>
      <w:r>
        <w:rPr>
          <w:rFonts w:ascii="Arial" w:hAnsi="Arial" w:cs="Arial"/>
          <w:b/>
          <w:sz w:val="24"/>
          <w:szCs w:val="24"/>
        </w:rPr>
        <w:t xml:space="preserve"> </w:t>
      </w:r>
      <w:r w:rsidRPr="00524C85">
        <w:rPr>
          <w:rFonts w:ascii="Arial" w:hAnsi="Arial" w:cs="Arial"/>
          <w:sz w:val="24"/>
          <w:szCs w:val="24"/>
        </w:rPr>
        <w:t xml:space="preserve">were </w:t>
      </w:r>
      <w:r>
        <w:rPr>
          <w:rFonts w:ascii="Arial" w:hAnsi="Arial" w:cs="Arial"/>
          <w:sz w:val="24"/>
          <w:szCs w:val="24"/>
        </w:rPr>
        <w:t xml:space="preserve">up 2.0% (-0.1% LFL) to £306 million reflecting new store openings. Gross margins were up 110 basis points benefiting from self-help initiatives. </w:t>
      </w:r>
      <w:r w:rsidR="001C16B6">
        <w:rPr>
          <w:rFonts w:ascii="Arial" w:hAnsi="Arial" w:cs="Arial"/>
          <w:sz w:val="24"/>
          <w:szCs w:val="24"/>
        </w:rPr>
        <w:t xml:space="preserve">Productivity initiatives </w:t>
      </w:r>
      <w:r>
        <w:rPr>
          <w:rFonts w:ascii="Arial" w:hAnsi="Arial" w:cs="Arial"/>
          <w:sz w:val="24"/>
          <w:szCs w:val="24"/>
        </w:rPr>
        <w:t xml:space="preserve">more than offset cost inflation resulting in an 18.2% increase in retail profit to £42 million. </w:t>
      </w:r>
    </w:p>
    <w:p w:rsidR="009C58A0" w:rsidRPr="00954FE4" w:rsidRDefault="009C58A0" w:rsidP="00027994">
      <w:pPr>
        <w:tabs>
          <w:tab w:val="left" w:pos="5940"/>
        </w:tabs>
        <w:jc w:val="left"/>
        <w:rPr>
          <w:rFonts w:ascii="Arial" w:hAnsi="Arial" w:cs="Arial"/>
          <w:sz w:val="24"/>
          <w:szCs w:val="24"/>
        </w:rPr>
      </w:pPr>
    </w:p>
    <w:p w:rsidR="009C58A0" w:rsidRPr="00706FB4" w:rsidRDefault="009C58A0" w:rsidP="00027994">
      <w:pPr>
        <w:tabs>
          <w:tab w:val="left" w:pos="5940"/>
        </w:tabs>
        <w:jc w:val="left"/>
        <w:rPr>
          <w:rFonts w:ascii="Arial" w:hAnsi="Arial" w:cs="Arial"/>
          <w:sz w:val="24"/>
          <w:szCs w:val="24"/>
        </w:rPr>
      </w:pPr>
      <w:r w:rsidRPr="00CB3E96">
        <w:rPr>
          <w:rFonts w:ascii="Arial" w:hAnsi="Arial" w:cs="Arial"/>
          <w:sz w:val="24"/>
          <w:szCs w:val="24"/>
        </w:rPr>
        <w:t xml:space="preserve">In </w:t>
      </w:r>
      <w:r w:rsidRPr="00954FE4">
        <w:rPr>
          <w:rFonts w:ascii="Arial" w:hAnsi="Arial" w:cs="Arial"/>
          <w:b/>
          <w:sz w:val="24"/>
          <w:szCs w:val="24"/>
        </w:rPr>
        <w:t>Russia</w:t>
      </w:r>
      <w:r>
        <w:rPr>
          <w:rFonts w:ascii="Arial" w:hAnsi="Arial" w:cs="Arial"/>
          <w:b/>
          <w:sz w:val="24"/>
          <w:szCs w:val="24"/>
        </w:rPr>
        <w:t xml:space="preserve"> </w:t>
      </w:r>
      <w:r>
        <w:rPr>
          <w:rFonts w:ascii="Arial" w:hAnsi="Arial" w:cs="Arial"/>
          <w:sz w:val="24"/>
          <w:szCs w:val="24"/>
        </w:rPr>
        <w:t>sales were up 4.2% (+4.2% LFL) to £128 million</w:t>
      </w:r>
      <w:r w:rsidR="00FD3242">
        <w:rPr>
          <w:rFonts w:ascii="Arial" w:hAnsi="Arial" w:cs="Arial"/>
          <w:sz w:val="24"/>
          <w:szCs w:val="24"/>
        </w:rPr>
        <w:t xml:space="preserve"> in a slowing consumer environment</w:t>
      </w:r>
      <w:r>
        <w:rPr>
          <w:rFonts w:ascii="Arial" w:hAnsi="Arial" w:cs="Arial"/>
          <w:sz w:val="24"/>
          <w:szCs w:val="24"/>
        </w:rPr>
        <w:t xml:space="preserve">. Retail profit was £9 million (2012/13: £9 million reported retail profit). In </w:t>
      </w:r>
      <w:r w:rsidRPr="00706FB4">
        <w:rPr>
          <w:rFonts w:ascii="Arial" w:hAnsi="Arial" w:cs="Arial"/>
          <w:b/>
          <w:sz w:val="24"/>
          <w:szCs w:val="24"/>
        </w:rPr>
        <w:t>Turkey</w:t>
      </w:r>
      <w:r>
        <w:rPr>
          <w:rFonts w:ascii="Arial" w:hAnsi="Arial" w:cs="Arial"/>
          <w:b/>
          <w:sz w:val="24"/>
          <w:szCs w:val="24"/>
        </w:rPr>
        <w:t xml:space="preserve"> </w:t>
      </w:r>
      <w:r>
        <w:rPr>
          <w:rFonts w:ascii="Arial" w:hAnsi="Arial" w:cs="Arial"/>
          <w:sz w:val="24"/>
          <w:szCs w:val="24"/>
        </w:rPr>
        <w:t>Kingfisher’s 50% JV, Koçtaş, grew sales by 9.6</w:t>
      </w:r>
      <w:r w:rsidRPr="00A908F1">
        <w:rPr>
          <w:rFonts w:ascii="Arial" w:hAnsi="Arial" w:cs="Arial"/>
          <w:sz w:val="24"/>
          <w:szCs w:val="24"/>
        </w:rPr>
        <w:t>% (+6.5% LFL)</w:t>
      </w:r>
      <w:r>
        <w:rPr>
          <w:rFonts w:ascii="Arial" w:hAnsi="Arial" w:cs="Arial"/>
          <w:sz w:val="24"/>
          <w:szCs w:val="24"/>
        </w:rPr>
        <w:t xml:space="preserve"> to £88 million benefiting from new store openings. Retail profit contribution was up 11.6% to £4 million.  </w:t>
      </w:r>
    </w:p>
    <w:p w:rsidR="009C58A0" w:rsidRDefault="009C58A0" w:rsidP="00027994">
      <w:pPr>
        <w:tabs>
          <w:tab w:val="left" w:pos="5940"/>
        </w:tabs>
        <w:jc w:val="left"/>
        <w:rPr>
          <w:rFonts w:ascii="Arial" w:hAnsi="Arial" w:cs="Arial"/>
          <w:b/>
          <w:sz w:val="24"/>
          <w:szCs w:val="24"/>
        </w:rPr>
      </w:pPr>
    </w:p>
    <w:p w:rsidR="009C58A0" w:rsidRDefault="009C58A0" w:rsidP="00027994">
      <w:pPr>
        <w:autoSpaceDE w:val="0"/>
        <w:autoSpaceDN w:val="0"/>
        <w:adjustRightInd w:val="0"/>
        <w:jc w:val="left"/>
        <w:rPr>
          <w:rFonts w:ascii="Arial" w:hAnsi="Arial" w:cs="Arial"/>
          <w:sz w:val="24"/>
          <w:szCs w:val="24"/>
        </w:rPr>
      </w:pPr>
      <w:r w:rsidRPr="00E54135">
        <w:rPr>
          <w:rFonts w:ascii="Arial" w:hAnsi="Arial" w:cs="Arial"/>
          <w:sz w:val="24"/>
          <w:szCs w:val="24"/>
        </w:rPr>
        <w:t>Brico Dépôt</w:t>
      </w:r>
      <w:r>
        <w:rPr>
          <w:rFonts w:ascii="Arial" w:hAnsi="Arial" w:cs="Arial"/>
          <w:b/>
          <w:sz w:val="24"/>
          <w:szCs w:val="24"/>
        </w:rPr>
        <w:t xml:space="preserve"> </w:t>
      </w:r>
      <w:r w:rsidRPr="00E54135">
        <w:rPr>
          <w:rFonts w:ascii="Arial" w:hAnsi="Arial" w:cs="Arial"/>
          <w:b/>
          <w:sz w:val="24"/>
          <w:szCs w:val="24"/>
        </w:rPr>
        <w:t xml:space="preserve">Spain </w:t>
      </w:r>
      <w:r>
        <w:rPr>
          <w:rFonts w:ascii="Arial" w:hAnsi="Arial" w:cs="Arial"/>
          <w:sz w:val="24"/>
          <w:szCs w:val="24"/>
        </w:rPr>
        <w:t xml:space="preserve">grew sales by 14.9% (-1.4% LFL) to £72 million reflecting new store openings offset by a </w:t>
      </w:r>
      <w:r w:rsidRPr="00A908F1">
        <w:rPr>
          <w:rFonts w:ascii="Arial" w:hAnsi="Arial" w:cs="Arial"/>
          <w:sz w:val="24"/>
          <w:szCs w:val="24"/>
        </w:rPr>
        <w:t>challenging market</w:t>
      </w:r>
      <w:r>
        <w:rPr>
          <w:rFonts w:ascii="Arial" w:hAnsi="Arial" w:cs="Arial"/>
          <w:sz w:val="24"/>
          <w:szCs w:val="24"/>
        </w:rPr>
        <w:t xml:space="preserve">. Retail profit was breakeven (2012/13: £1 million reported retail profit). Hornbach, in which Kingfisher has a 21% economic interest, contributed £16 million to retail </w:t>
      </w:r>
      <w:r w:rsidRPr="00A908F1">
        <w:rPr>
          <w:rFonts w:ascii="Arial" w:hAnsi="Arial" w:cs="Arial"/>
          <w:sz w:val="24"/>
          <w:szCs w:val="24"/>
        </w:rPr>
        <w:t xml:space="preserve">profit, up 12.2% compared to Q3 last year reflecting better weather conditions in </w:t>
      </w:r>
      <w:r w:rsidR="006F145E">
        <w:rPr>
          <w:rFonts w:ascii="Arial" w:hAnsi="Arial" w:cs="Arial"/>
          <w:sz w:val="24"/>
          <w:szCs w:val="24"/>
        </w:rPr>
        <w:t xml:space="preserve">their </w:t>
      </w:r>
      <w:r w:rsidRPr="00A908F1">
        <w:rPr>
          <w:rFonts w:ascii="Arial" w:hAnsi="Arial" w:cs="Arial"/>
          <w:sz w:val="24"/>
          <w:szCs w:val="24"/>
        </w:rPr>
        <w:t xml:space="preserve">Q2 </w:t>
      </w:r>
      <w:r w:rsidRPr="00A908F1">
        <w:rPr>
          <w:rFonts w:ascii="Arial" w:hAnsi="Arial" w:cs="Arial"/>
          <w:i/>
          <w:sz w:val="24"/>
          <w:szCs w:val="24"/>
          <w:vertAlign w:val="superscript"/>
        </w:rPr>
        <w:t>(1)</w:t>
      </w:r>
      <w:r w:rsidRPr="00A908F1">
        <w:rPr>
          <w:rFonts w:ascii="Arial" w:hAnsi="Arial" w:cs="Arial"/>
          <w:sz w:val="24"/>
          <w:szCs w:val="24"/>
        </w:rPr>
        <w:t>. Bricostore</w:t>
      </w:r>
      <w:r w:rsidRPr="00517590">
        <w:rPr>
          <w:rFonts w:ascii="Arial" w:hAnsi="Arial" w:cs="Arial"/>
          <w:sz w:val="24"/>
          <w:szCs w:val="24"/>
        </w:rPr>
        <w:t xml:space="preserve"> </w:t>
      </w:r>
      <w:r w:rsidRPr="00517590">
        <w:rPr>
          <w:rFonts w:ascii="Arial" w:hAnsi="Arial" w:cs="Arial"/>
          <w:b/>
          <w:sz w:val="24"/>
          <w:szCs w:val="24"/>
        </w:rPr>
        <w:t>Romania</w:t>
      </w:r>
      <w:r>
        <w:rPr>
          <w:rFonts w:ascii="Arial" w:hAnsi="Arial" w:cs="Arial"/>
          <w:b/>
          <w:sz w:val="24"/>
          <w:szCs w:val="24"/>
        </w:rPr>
        <w:t>,</w:t>
      </w:r>
      <w:r w:rsidRPr="00517590">
        <w:rPr>
          <w:rFonts w:ascii="Arial" w:hAnsi="Arial" w:cs="Arial"/>
          <w:sz w:val="24"/>
          <w:szCs w:val="24"/>
        </w:rPr>
        <w:t xml:space="preserve"> </w:t>
      </w:r>
      <w:r>
        <w:rPr>
          <w:rFonts w:ascii="Arial" w:hAnsi="Arial" w:cs="Arial"/>
          <w:sz w:val="24"/>
          <w:szCs w:val="24"/>
        </w:rPr>
        <w:t>i</w:t>
      </w:r>
      <w:r w:rsidRPr="00517590">
        <w:rPr>
          <w:rFonts w:ascii="Arial" w:hAnsi="Arial" w:cs="Arial"/>
          <w:sz w:val="24"/>
          <w:szCs w:val="24"/>
        </w:rPr>
        <w:t>n its first full quarter of trading since acquisition, contributed sales of £</w:t>
      </w:r>
      <w:r>
        <w:rPr>
          <w:rFonts w:ascii="Arial" w:hAnsi="Arial" w:cs="Arial"/>
          <w:sz w:val="24"/>
          <w:szCs w:val="24"/>
        </w:rPr>
        <w:t>35</w:t>
      </w:r>
      <w:r w:rsidRPr="00517590">
        <w:rPr>
          <w:rFonts w:ascii="Arial" w:hAnsi="Arial" w:cs="Arial"/>
          <w:sz w:val="24"/>
          <w:szCs w:val="24"/>
        </w:rPr>
        <w:t xml:space="preserve"> million</w:t>
      </w:r>
      <w:r>
        <w:rPr>
          <w:rFonts w:ascii="Arial" w:hAnsi="Arial" w:cs="Arial"/>
          <w:b/>
          <w:sz w:val="24"/>
          <w:szCs w:val="24"/>
        </w:rPr>
        <w:t xml:space="preserve"> </w:t>
      </w:r>
      <w:r w:rsidRPr="00517590">
        <w:rPr>
          <w:rFonts w:ascii="Arial" w:hAnsi="Arial" w:cs="Arial"/>
          <w:sz w:val="24"/>
          <w:szCs w:val="24"/>
        </w:rPr>
        <w:t>and retail profit of £1 million.</w:t>
      </w:r>
    </w:p>
    <w:p w:rsidR="009C58A0" w:rsidRDefault="009C58A0" w:rsidP="00027994">
      <w:pPr>
        <w:autoSpaceDE w:val="0"/>
        <w:autoSpaceDN w:val="0"/>
        <w:adjustRightInd w:val="0"/>
        <w:jc w:val="left"/>
        <w:rPr>
          <w:rFonts w:ascii="Arial" w:hAnsi="Arial" w:cs="Arial"/>
          <w:b/>
          <w:bCs/>
          <w:sz w:val="24"/>
          <w:szCs w:val="24"/>
        </w:rPr>
      </w:pPr>
    </w:p>
    <w:p w:rsidR="009C58A0" w:rsidRDefault="009C58A0" w:rsidP="00027994">
      <w:pPr>
        <w:autoSpaceDE w:val="0"/>
        <w:autoSpaceDN w:val="0"/>
        <w:adjustRightInd w:val="0"/>
        <w:jc w:val="left"/>
        <w:rPr>
          <w:rFonts w:ascii="Arial" w:hAnsi="Arial" w:cs="Arial"/>
          <w:sz w:val="24"/>
          <w:szCs w:val="24"/>
        </w:rPr>
      </w:pPr>
      <w:r w:rsidRPr="00801CC6">
        <w:rPr>
          <w:rFonts w:ascii="Arial" w:hAnsi="Arial" w:cs="Arial"/>
          <w:b/>
          <w:bCs/>
          <w:sz w:val="24"/>
          <w:szCs w:val="24"/>
        </w:rPr>
        <w:t>B&amp;Q</w:t>
      </w:r>
      <w:r w:rsidRPr="00801CC6">
        <w:rPr>
          <w:rFonts w:ascii="Arial" w:hAnsi="Arial" w:cs="Arial"/>
          <w:b/>
          <w:sz w:val="24"/>
          <w:szCs w:val="24"/>
        </w:rPr>
        <w:t xml:space="preserve"> China</w:t>
      </w:r>
      <w:r w:rsidRPr="00517590">
        <w:rPr>
          <w:rFonts w:ascii="Arial" w:hAnsi="Arial" w:cs="Arial"/>
          <w:sz w:val="24"/>
          <w:szCs w:val="24"/>
        </w:rPr>
        <w:t xml:space="preserve"> sales grew by </w:t>
      </w:r>
      <w:r>
        <w:rPr>
          <w:rFonts w:ascii="Arial" w:hAnsi="Arial" w:cs="Arial"/>
          <w:sz w:val="24"/>
          <w:szCs w:val="24"/>
        </w:rPr>
        <w:t>12.5</w:t>
      </w:r>
      <w:r w:rsidRPr="00517590">
        <w:rPr>
          <w:rFonts w:ascii="Arial" w:hAnsi="Arial" w:cs="Arial"/>
          <w:sz w:val="24"/>
          <w:szCs w:val="24"/>
        </w:rPr>
        <w:t>% (</w:t>
      </w:r>
      <w:r>
        <w:rPr>
          <w:rFonts w:ascii="Arial" w:hAnsi="Arial" w:cs="Arial"/>
          <w:sz w:val="24"/>
          <w:szCs w:val="24"/>
        </w:rPr>
        <w:t>+13.2</w:t>
      </w:r>
      <w:r w:rsidRPr="00517590">
        <w:rPr>
          <w:rFonts w:ascii="Arial" w:hAnsi="Arial" w:cs="Arial"/>
          <w:sz w:val="24"/>
          <w:szCs w:val="24"/>
        </w:rPr>
        <w:t>% LFL) to £</w:t>
      </w:r>
      <w:r>
        <w:rPr>
          <w:rFonts w:ascii="Arial" w:hAnsi="Arial" w:cs="Arial"/>
          <w:sz w:val="24"/>
          <w:szCs w:val="24"/>
        </w:rPr>
        <w:t>112</w:t>
      </w:r>
      <w:r w:rsidRPr="00517590">
        <w:rPr>
          <w:rFonts w:ascii="Arial" w:hAnsi="Arial" w:cs="Arial"/>
          <w:sz w:val="24"/>
          <w:szCs w:val="24"/>
        </w:rPr>
        <w:t xml:space="preserve"> million </w:t>
      </w:r>
      <w:r>
        <w:rPr>
          <w:rFonts w:ascii="Arial" w:hAnsi="Arial" w:cs="Arial"/>
          <w:sz w:val="24"/>
          <w:szCs w:val="24"/>
        </w:rPr>
        <w:t xml:space="preserve">driven by additional promotional activity and an improving domestic property market </w:t>
      </w:r>
      <w:r w:rsidRPr="00597B3D">
        <w:rPr>
          <w:rFonts w:ascii="Arial" w:hAnsi="Arial" w:cs="Arial"/>
          <w:i/>
          <w:sz w:val="24"/>
          <w:szCs w:val="24"/>
          <w:vertAlign w:val="superscript"/>
        </w:rPr>
        <w:t>(</w:t>
      </w:r>
      <w:r>
        <w:rPr>
          <w:rFonts w:ascii="Arial" w:hAnsi="Arial" w:cs="Arial"/>
          <w:i/>
          <w:sz w:val="24"/>
          <w:szCs w:val="24"/>
          <w:vertAlign w:val="superscript"/>
        </w:rPr>
        <w:t>2</w:t>
      </w:r>
      <w:r w:rsidRPr="00597B3D">
        <w:rPr>
          <w:rFonts w:ascii="Arial" w:hAnsi="Arial" w:cs="Arial"/>
          <w:i/>
          <w:sz w:val="24"/>
          <w:szCs w:val="24"/>
          <w:vertAlign w:val="superscript"/>
        </w:rPr>
        <w:t>)</w:t>
      </w:r>
      <w:r>
        <w:rPr>
          <w:rFonts w:ascii="Arial" w:hAnsi="Arial" w:cs="Arial"/>
          <w:sz w:val="24"/>
          <w:szCs w:val="24"/>
        </w:rPr>
        <w:t xml:space="preserve">. Retail loss was £4 million (2012/13: £3 million reported retail loss) including </w:t>
      </w:r>
      <w:r w:rsidRPr="00E87A30">
        <w:rPr>
          <w:rFonts w:ascii="Arial" w:hAnsi="Arial" w:cs="Arial"/>
          <w:sz w:val="24"/>
          <w:szCs w:val="24"/>
        </w:rPr>
        <w:t>£</w:t>
      </w:r>
      <w:r w:rsidR="00A80CD3" w:rsidRPr="00E87A30">
        <w:rPr>
          <w:rFonts w:ascii="Arial" w:hAnsi="Arial" w:cs="Arial"/>
          <w:sz w:val="24"/>
          <w:szCs w:val="24"/>
        </w:rPr>
        <w:t>1</w:t>
      </w:r>
      <w:r w:rsidRPr="00A80CD3">
        <w:rPr>
          <w:rFonts w:ascii="Arial" w:hAnsi="Arial" w:cs="Arial"/>
          <w:sz w:val="24"/>
          <w:szCs w:val="24"/>
        </w:rPr>
        <w:t xml:space="preserve"> million</w:t>
      </w:r>
      <w:r w:rsidR="009541B9">
        <w:rPr>
          <w:rFonts w:ascii="Arial" w:hAnsi="Arial" w:cs="Arial"/>
          <w:sz w:val="24"/>
          <w:szCs w:val="24"/>
        </w:rPr>
        <w:t xml:space="preserve"> relating to</w:t>
      </w:r>
      <w:r>
        <w:rPr>
          <w:rFonts w:ascii="Arial" w:hAnsi="Arial" w:cs="Arial"/>
          <w:sz w:val="24"/>
          <w:szCs w:val="24"/>
        </w:rPr>
        <w:t xml:space="preserve"> the new format store trial which opened in March this year.</w:t>
      </w:r>
      <w:r w:rsidR="00A80CD3">
        <w:rPr>
          <w:rFonts w:ascii="Arial" w:hAnsi="Arial" w:cs="Arial"/>
          <w:sz w:val="24"/>
          <w:szCs w:val="24"/>
        </w:rPr>
        <w:t xml:space="preserve"> </w:t>
      </w:r>
      <w:r w:rsidR="00E87A30">
        <w:rPr>
          <w:rFonts w:ascii="Arial" w:hAnsi="Arial" w:cs="Arial"/>
          <w:sz w:val="24"/>
          <w:szCs w:val="24"/>
        </w:rPr>
        <w:t>I</w:t>
      </w:r>
      <w:r w:rsidR="00A80CD3">
        <w:rPr>
          <w:rFonts w:ascii="Arial" w:hAnsi="Arial" w:cs="Arial"/>
          <w:sz w:val="24"/>
          <w:szCs w:val="24"/>
        </w:rPr>
        <w:t xml:space="preserve">ndustrial action </w:t>
      </w:r>
      <w:r w:rsidR="00A80CD3" w:rsidRPr="00E87A30">
        <w:rPr>
          <w:rFonts w:ascii="Arial" w:hAnsi="Arial" w:cs="Arial"/>
          <w:sz w:val="24"/>
          <w:szCs w:val="24"/>
        </w:rPr>
        <w:t>in som</w:t>
      </w:r>
      <w:r w:rsidR="000D68FA" w:rsidRPr="00E87A30">
        <w:rPr>
          <w:rFonts w:ascii="Arial" w:hAnsi="Arial" w:cs="Arial"/>
          <w:sz w:val="24"/>
          <w:szCs w:val="24"/>
        </w:rPr>
        <w:t>e of our Decoration Centres</w:t>
      </w:r>
      <w:r w:rsidR="000D68FA">
        <w:rPr>
          <w:rFonts w:ascii="Arial" w:hAnsi="Arial" w:cs="Arial"/>
          <w:sz w:val="24"/>
          <w:szCs w:val="24"/>
        </w:rPr>
        <w:t xml:space="preserve"> </w:t>
      </w:r>
      <w:r w:rsidR="00E87A30">
        <w:rPr>
          <w:rFonts w:ascii="Arial" w:hAnsi="Arial" w:cs="Arial"/>
          <w:sz w:val="24"/>
          <w:szCs w:val="24"/>
        </w:rPr>
        <w:t>disrupted our t</w:t>
      </w:r>
      <w:r w:rsidR="00A80CD3">
        <w:rPr>
          <w:rFonts w:ascii="Arial" w:hAnsi="Arial" w:cs="Arial"/>
          <w:sz w:val="24"/>
          <w:szCs w:val="24"/>
        </w:rPr>
        <w:t xml:space="preserve">rading </w:t>
      </w:r>
      <w:r w:rsidR="001C16B6">
        <w:rPr>
          <w:rFonts w:ascii="Arial" w:hAnsi="Arial" w:cs="Arial"/>
          <w:sz w:val="24"/>
          <w:szCs w:val="24"/>
        </w:rPr>
        <w:t>during</w:t>
      </w:r>
      <w:r w:rsidR="00E87A30">
        <w:rPr>
          <w:rFonts w:ascii="Arial" w:hAnsi="Arial" w:cs="Arial"/>
          <w:sz w:val="24"/>
          <w:szCs w:val="24"/>
        </w:rPr>
        <w:t xml:space="preserve"> </w:t>
      </w:r>
      <w:r w:rsidR="00A80CD3">
        <w:rPr>
          <w:rFonts w:ascii="Arial" w:hAnsi="Arial" w:cs="Arial"/>
          <w:sz w:val="24"/>
          <w:szCs w:val="24"/>
        </w:rPr>
        <w:t>the key October ‘Golden Week’ holidays</w:t>
      </w:r>
      <w:r w:rsidR="00E87A30">
        <w:rPr>
          <w:rFonts w:ascii="Arial" w:hAnsi="Arial" w:cs="Arial"/>
          <w:sz w:val="24"/>
          <w:szCs w:val="24"/>
        </w:rPr>
        <w:t xml:space="preserve"> impacting </w:t>
      </w:r>
      <w:r w:rsidR="001C16B6">
        <w:rPr>
          <w:rFonts w:ascii="Arial" w:hAnsi="Arial" w:cs="Arial"/>
          <w:sz w:val="24"/>
          <w:szCs w:val="24"/>
        </w:rPr>
        <w:t>sales</w:t>
      </w:r>
      <w:r w:rsidR="00E87A30">
        <w:rPr>
          <w:rFonts w:ascii="Arial" w:hAnsi="Arial" w:cs="Arial"/>
          <w:sz w:val="24"/>
          <w:szCs w:val="24"/>
        </w:rPr>
        <w:t xml:space="preserve"> in Q3 and into Q4</w:t>
      </w:r>
      <w:r w:rsidRPr="00E87A30">
        <w:rPr>
          <w:rFonts w:ascii="Arial" w:hAnsi="Arial" w:cs="Arial"/>
          <w:sz w:val="24"/>
          <w:szCs w:val="24"/>
        </w:rPr>
        <w:t>.</w:t>
      </w:r>
      <w:r>
        <w:rPr>
          <w:rFonts w:ascii="Arial" w:hAnsi="Arial" w:cs="Arial"/>
          <w:sz w:val="24"/>
          <w:szCs w:val="24"/>
        </w:rPr>
        <w:t xml:space="preserve">  </w:t>
      </w:r>
    </w:p>
    <w:p w:rsidR="009C58A0" w:rsidRDefault="009C58A0" w:rsidP="00027994">
      <w:pPr>
        <w:autoSpaceDE w:val="0"/>
        <w:autoSpaceDN w:val="0"/>
        <w:adjustRightInd w:val="0"/>
        <w:jc w:val="left"/>
        <w:rPr>
          <w:rFonts w:ascii="Arial" w:hAnsi="Arial" w:cs="Arial"/>
          <w:b/>
          <w:sz w:val="24"/>
          <w:szCs w:val="24"/>
        </w:rPr>
      </w:pPr>
    </w:p>
    <w:p w:rsidR="009C58A0" w:rsidRPr="00A908F1" w:rsidRDefault="009C58A0" w:rsidP="00D00873">
      <w:pPr>
        <w:jc w:val="left"/>
        <w:rPr>
          <w:rFonts w:ascii="Arial" w:hAnsi="Arial" w:cs="Arial"/>
          <w:i/>
        </w:rPr>
      </w:pPr>
      <w:r w:rsidRPr="00A908F1">
        <w:rPr>
          <w:rFonts w:ascii="Arial" w:hAnsi="Arial" w:cs="Arial"/>
          <w:i/>
          <w:vertAlign w:val="superscript"/>
        </w:rPr>
        <w:t xml:space="preserve">(1) </w:t>
      </w:r>
      <w:r w:rsidRPr="00A908F1">
        <w:rPr>
          <w:rFonts w:ascii="Arial" w:hAnsi="Arial" w:cs="Arial"/>
          <w:i/>
          <w:sz w:val="18"/>
          <w:szCs w:val="18"/>
        </w:rPr>
        <w:t>Due to non-coterminous year ends, Hornbach’s Q</w:t>
      </w:r>
      <w:r>
        <w:rPr>
          <w:rFonts w:ascii="Arial" w:hAnsi="Arial" w:cs="Arial"/>
          <w:i/>
          <w:sz w:val="18"/>
          <w:szCs w:val="18"/>
        </w:rPr>
        <w:t>2</w:t>
      </w:r>
      <w:r w:rsidRPr="00A908F1">
        <w:rPr>
          <w:rFonts w:ascii="Arial" w:hAnsi="Arial" w:cs="Arial"/>
          <w:i/>
          <w:sz w:val="18"/>
          <w:szCs w:val="18"/>
        </w:rPr>
        <w:t xml:space="preserve"> (June-August 2013) is accounted for in Kingfisher’s Q3</w:t>
      </w:r>
    </w:p>
    <w:p w:rsidR="000D68FA" w:rsidRPr="008928BF" w:rsidRDefault="009C58A0" w:rsidP="008928BF">
      <w:pPr>
        <w:tabs>
          <w:tab w:val="left" w:pos="357"/>
        </w:tabs>
        <w:ind w:right="-282"/>
        <w:jc w:val="left"/>
        <w:rPr>
          <w:rFonts w:ascii="Arial" w:hAnsi="Arial" w:cs="Arial"/>
          <w:i/>
          <w:iCs/>
          <w:sz w:val="18"/>
          <w:szCs w:val="18"/>
        </w:rPr>
      </w:pPr>
      <w:r w:rsidRPr="00A908F1">
        <w:rPr>
          <w:rFonts w:ascii="Arial" w:hAnsi="Arial" w:cs="Arial"/>
          <w:i/>
          <w:iCs/>
          <w:sz w:val="18"/>
          <w:szCs w:val="18"/>
          <w:vertAlign w:val="superscript"/>
        </w:rPr>
        <w:t>(2)</w:t>
      </w:r>
      <w:r>
        <w:rPr>
          <w:rFonts w:ascii="Arial" w:hAnsi="Arial" w:cs="Arial"/>
          <w:i/>
          <w:iCs/>
          <w:sz w:val="18"/>
          <w:szCs w:val="18"/>
        </w:rPr>
        <w:t xml:space="preserve"> </w:t>
      </w:r>
      <w:r w:rsidRPr="00A908F1">
        <w:rPr>
          <w:rFonts w:ascii="Arial" w:hAnsi="Arial" w:cs="Arial"/>
          <w:i/>
          <w:iCs/>
          <w:sz w:val="18"/>
          <w:szCs w:val="18"/>
        </w:rPr>
        <w:t>New property transaction sales +12.5% YOY 12 months to September for 17 cities in which B&amp;Q China operates according to the China Real Estate Exchange</w:t>
      </w:r>
    </w:p>
    <w:p w:rsidR="009C58A0" w:rsidRDefault="009C58A0" w:rsidP="00351BC6">
      <w:pPr>
        <w:jc w:val="left"/>
        <w:rPr>
          <w:rFonts w:ascii="Arial" w:hAnsi="Arial" w:cs="Arial"/>
          <w:b/>
          <w:bCs/>
          <w:sz w:val="24"/>
          <w:szCs w:val="24"/>
        </w:rPr>
      </w:pPr>
      <w:r>
        <w:rPr>
          <w:rFonts w:ascii="Arial" w:hAnsi="Arial" w:cs="Arial"/>
          <w:b/>
          <w:bCs/>
          <w:sz w:val="24"/>
          <w:szCs w:val="24"/>
        </w:rPr>
        <w:lastRenderedPageBreak/>
        <w:t>SUMMARY Q3 2013/14 DATA BY GEOGRAPHY</w:t>
      </w:r>
    </w:p>
    <w:p w:rsidR="0027357D" w:rsidRDefault="0027357D" w:rsidP="00351BC6">
      <w:pPr>
        <w:jc w:val="left"/>
        <w:rPr>
          <w:rFonts w:ascii="Arial" w:hAnsi="Arial" w:cs="Arial"/>
          <w:b/>
          <w:bCs/>
          <w:sz w:val="24"/>
          <w:szCs w:val="24"/>
        </w:rPr>
      </w:pPr>
    </w:p>
    <w:p w:rsidR="0027357D" w:rsidRDefault="0027357D" w:rsidP="00351BC6">
      <w:pPr>
        <w:jc w:val="left"/>
        <w:rPr>
          <w:rFonts w:ascii="Arial" w:hAnsi="Arial" w:cs="Arial"/>
          <w:sz w:val="24"/>
          <w:szCs w:val="24"/>
        </w:rPr>
      </w:pPr>
      <w:r w:rsidRPr="00B325A7">
        <w:rPr>
          <w:rFonts w:ascii="Arial" w:hAnsi="Arial" w:cs="Arial"/>
          <w:sz w:val="24"/>
          <w:szCs w:val="24"/>
        </w:rPr>
        <w:t xml:space="preserve">Data tables for Q1, Q2 and </w:t>
      </w:r>
      <w:r>
        <w:rPr>
          <w:rFonts w:ascii="Arial" w:hAnsi="Arial" w:cs="Arial"/>
          <w:sz w:val="24"/>
          <w:szCs w:val="24"/>
        </w:rPr>
        <w:t>H1</w:t>
      </w:r>
      <w:r w:rsidRPr="00B325A7">
        <w:rPr>
          <w:rFonts w:ascii="Arial" w:hAnsi="Arial" w:cs="Arial"/>
          <w:sz w:val="24"/>
          <w:szCs w:val="24"/>
        </w:rPr>
        <w:t xml:space="preserve"> and Q3 are available for download in excel format at </w:t>
      </w:r>
      <w:hyperlink r:id="rId9" w:history="1">
        <w:r w:rsidR="00820520" w:rsidRPr="001C3910">
          <w:rPr>
            <w:rStyle w:val="Hyperlink"/>
            <w:rFonts w:ascii="Arial" w:hAnsi="Arial" w:cs="Arial"/>
            <w:sz w:val="24"/>
            <w:szCs w:val="24"/>
          </w:rPr>
          <w:t>http://www.kingfisher.com/index.asp?pageid=59</w:t>
        </w:r>
      </w:hyperlink>
    </w:p>
    <w:p w:rsidR="00820520" w:rsidRDefault="00820520" w:rsidP="00351BC6">
      <w:pPr>
        <w:jc w:val="left"/>
        <w:rPr>
          <w:rFonts w:ascii="Arial" w:hAnsi="Arial" w:cs="Arial"/>
          <w:sz w:val="24"/>
          <w:szCs w:val="24"/>
        </w:rPr>
      </w:pPr>
    </w:p>
    <w:p w:rsidR="00820520" w:rsidRPr="003C6F51" w:rsidRDefault="00820520" w:rsidP="00351BC6">
      <w:pPr>
        <w:jc w:val="left"/>
        <w:rPr>
          <w:rFonts w:ascii="Arial" w:hAnsi="Arial" w:cs="Arial"/>
          <w:b/>
          <w:sz w:val="24"/>
          <w:szCs w:val="24"/>
        </w:rPr>
      </w:pPr>
      <w:r>
        <w:rPr>
          <w:rFonts w:ascii="Arial" w:hAnsi="Arial" w:cs="Arial"/>
          <w:i/>
          <w:iCs/>
          <w:sz w:val="18"/>
          <w:szCs w:val="18"/>
        </w:rPr>
        <w:t>Note that China, Romania, Russia and Turkey report for the quarter to 30 September 2013.</w:t>
      </w:r>
    </w:p>
    <w:p w:rsidR="009C58A0" w:rsidRDefault="009C58A0" w:rsidP="00ED6C55">
      <w:pPr>
        <w:jc w:val="left"/>
        <w:rPr>
          <w:rFonts w:ascii="Arial" w:hAnsi="Arial" w:cs="Arial"/>
          <w:sz w:val="24"/>
          <w:szCs w:val="24"/>
        </w:rPr>
      </w:pPr>
    </w:p>
    <w:tbl>
      <w:tblPr>
        <w:tblW w:w="4308" w:type="pct"/>
        <w:tblLayout w:type="fixed"/>
        <w:tblLook w:val="01E0" w:firstRow="1" w:lastRow="1" w:firstColumn="1" w:lastColumn="1" w:noHBand="0" w:noVBand="0"/>
      </w:tblPr>
      <w:tblGrid>
        <w:gridCol w:w="2376"/>
        <w:gridCol w:w="1278"/>
        <w:gridCol w:w="1419"/>
        <w:gridCol w:w="1657"/>
        <w:gridCol w:w="43"/>
        <w:gridCol w:w="1821"/>
        <w:gridCol w:w="19"/>
      </w:tblGrid>
      <w:tr w:rsidR="009C58A0" w:rsidRPr="00271E01" w:rsidTr="00CC4C82">
        <w:trPr>
          <w:gridAfter w:val="1"/>
          <w:wAfter w:w="12" w:type="pct"/>
          <w:trHeight w:val="739"/>
        </w:trPr>
        <w:tc>
          <w:tcPr>
            <w:tcW w:w="2120" w:type="pct"/>
            <w:gridSpan w:val="2"/>
            <w:tcBorders>
              <w:bottom w:val="single" w:sz="4" w:space="0" w:color="auto"/>
            </w:tcBorders>
          </w:tcPr>
          <w:p w:rsidR="009C58A0" w:rsidRPr="00271E01" w:rsidRDefault="009C58A0" w:rsidP="00351BC6">
            <w:pPr>
              <w:ind w:left="110" w:hanging="110"/>
              <w:jc w:val="left"/>
              <w:rPr>
                <w:rFonts w:ascii="Arial" w:hAnsi="Arial" w:cs="Arial"/>
                <w:b/>
                <w:bCs/>
              </w:rPr>
            </w:pPr>
            <w:r>
              <w:rPr>
                <w:rFonts w:ascii="Arial" w:hAnsi="Arial" w:cs="Arial"/>
              </w:rPr>
              <w:t xml:space="preserve">As at 2 November </w:t>
            </w:r>
            <w:r w:rsidRPr="005C3DA9">
              <w:rPr>
                <w:rFonts w:ascii="Arial" w:hAnsi="Arial" w:cs="Arial"/>
              </w:rPr>
              <w:t>2013</w:t>
            </w:r>
          </w:p>
        </w:tc>
        <w:tc>
          <w:tcPr>
            <w:tcW w:w="824" w:type="pct"/>
            <w:tcBorders>
              <w:bottom w:val="single" w:sz="4" w:space="0" w:color="auto"/>
            </w:tcBorders>
          </w:tcPr>
          <w:p w:rsidR="009C58A0" w:rsidRDefault="009C58A0" w:rsidP="00351BC6">
            <w:pPr>
              <w:ind w:left="110" w:hanging="110"/>
              <w:jc w:val="right"/>
              <w:rPr>
                <w:rFonts w:ascii="Arial" w:hAnsi="Arial" w:cs="Arial"/>
                <w:b/>
                <w:bCs/>
              </w:rPr>
            </w:pPr>
            <w:r w:rsidRPr="00271E01">
              <w:rPr>
                <w:rFonts w:ascii="Arial" w:hAnsi="Arial" w:cs="Arial"/>
                <w:b/>
                <w:bCs/>
              </w:rPr>
              <w:t xml:space="preserve">Store </w:t>
            </w:r>
          </w:p>
          <w:p w:rsidR="009C58A0" w:rsidRPr="00271E01" w:rsidRDefault="009C58A0" w:rsidP="00351BC6">
            <w:pPr>
              <w:ind w:left="110" w:hanging="110"/>
              <w:jc w:val="right"/>
              <w:rPr>
                <w:rFonts w:ascii="Arial" w:hAnsi="Arial" w:cs="Arial"/>
                <w:b/>
                <w:bCs/>
                <w:highlight w:val="magenta"/>
              </w:rPr>
            </w:pPr>
            <w:r w:rsidRPr="00271E01">
              <w:rPr>
                <w:rFonts w:ascii="Arial" w:hAnsi="Arial" w:cs="Arial"/>
                <w:b/>
                <w:bCs/>
              </w:rPr>
              <w:t>numbers</w:t>
            </w:r>
          </w:p>
        </w:tc>
        <w:tc>
          <w:tcPr>
            <w:tcW w:w="962" w:type="pct"/>
            <w:tcBorders>
              <w:bottom w:val="single" w:sz="4" w:space="0" w:color="auto"/>
            </w:tcBorders>
          </w:tcPr>
          <w:p w:rsidR="009C58A0" w:rsidRPr="002E35F8" w:rsidRDefault="009C58A0" w:rsidP="00351BC6">
            <w:pPr>
              <w:ind w:left="110" w:hanging="110"/>
              <w:jc w:val="right"/>
              <w:rPr>
                <w:rFonts w:ascii="Arial" w:hAnsi="Arial" w:cs="Arial"/>
                <w:b/>
                <w:bCs/>
              </w:rPr>
            </w:pPr>
            <w:r w:rsidRPr="002E35F8">
              <w:rPr>
                <w:rFonts w:ascii="Arial" w:hAnsi="Arial" w:cs="Arial"/>
                <w:b/>
                <w:bCs/>
              </w:rPr>
              <w:t>Selling space</w:t>
            </w:r>
          </w:p>
          <w:p w:rsidR="009C58A0" w:rsidRPr="009618C2" w:rsidRDefault="009C58A0" w:rsidP="00351BC6">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m2)</w:t>
            </w:r>
          </w:p>
        </w:tc>
        <w:tc>
          <w:tcPr>
            <w:tcW w:w="1082" w:type="pct"/>
            <w:gridSpan w:val="2"/>
            <w:tcBorders>
              <w:bottom w:val="single" w:sz="4" w:space="0" w:color="auto"/>
            </w:tcBorders>
          </w:tcPr>
          <w:p w:rsidR="009C58A0" w:rsidRPr="002E35F8" w:rsidRDefault="009C58A0" w:rsidP="00351BC6">
            <w:pPr>
              <w:ind w:left="110" w:hanging="110"/>
              <w:jc w:val="right"/>
              <w:rPr>
                <w:rFonts w:ascii="Arial" w:hAnsi="Arial" w:cs="Arial"/>
                <w:b/>
                <w:bCs/>
              </w:rPr>
            </w:pPr>
            <w:r w:rsidRPr="002E35F8">
              <w:rPr>
                <w:rFonts w:ascii="Arial" w:hAnsi="Arial" w:cs="Arial"/>
                <w:b/>
                <w:bCs/>
              </w:rPr>
              <w:t>Employees</w:t>
            </w:r>
          </w:p>
          <w:p w:rsidR="009C58A0" w:rsidRPr="009618C2" w:rsidRDefault="009C58A0" w:rsidP="00351BC6">
            <w:pPr>
              <w:ind w:left="110" w:hanging="110"/>
              <w:jc w:val="right"/>
              <w:rPr>
                <w:rFonts w:ascii="Arial" w:hAnsi="Arial" w:cs="Arial"/>
                <w:b/>
                <w:bCs/>
              </w:rPr>
            </w:pPr>
            <w:r w:rsidRPr="009618C2">
              <w:rPr>
                <w:rFonts w:ascii="Arial" w:hAnsi="Arial" w:cs="Arial"/>
                <w:b/>
                <w:bCs/>
              </w:rPr>
              <w:t>(FTE)</w:t>
            </w:r>
          </w:p>
        </w:tc>
      </w:tr>
      <w:tr w:rsidR="009C58A0" w:rsidRPr="00271E01" w:rsidTr="00CC4C82">
        <w:trPr>
          <w:gridAfter w:val="1"/>
          <w:wAfter w:w="12" w:type="pct"/>
        </w:trPr>
        <w:tc>
          <w:tcPr>
            <w:tcW w:w="2120" w:type="pct"/>
            <w:gridSpan w:val="2"/>
            <w:tcBorders>
              <w:top w:val="single" w:sz="4" w:space="0" w:color="auto"/>
            </w:tcBorders>
          </w:tcPr>
          <w:p w:rsidR="009C58A0" w:rsidRPr="00271E01" w:rsidRDefault="009C58A0" w:rsidP="00351BC6">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824" w:type="pct"/>
            <w:tcBorders>
              <w:top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105</w:t>
            </w:r>
          </w:p>
        </w:tc>
        <w:tc>
          <w:tcPr>
            <w:tcW w:w="962" w:type="pct"/>
            <w:tcBorders>
              <w:top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1,113</w:t>
            </w:r>
          </w:p>
        </w:tc>
        <w:tc>
          <w:tcPr>
            <w:tcW w:w="1082" w:type="pct"/>
            <w:gridSpan w:val="2"/>
            <w:tcBorders>
              <w:top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11,530</w:t>
            </w:r>
          </w:p>
        </w:tc>
      </w:tr>
      <w:tr w:rsidR="009C58A0" w:rsidRPr="00271E01" w:rsidTr="00CC4C82">
        <w:trPr>
          <w:gridAfter w:val="1"/>
          <w:wAfter w:w="12" w:type="pct"/>
        </w:trPr>
        <w:tc>
          <w:tcPr>
            <w:tcW w:w="2120" w:type="pct"/>
            <w:gridSpan w:val="2"/>
            <w:tcBorders>
              <w:bottom w:val="single" w:sz="4" w:space="0" w:color="auto"/>
            </w:tcBorders>
          </w:tcPr>
          <w:p w:rsidR="009C58A0" w:rsidRPr="00271E01" w:rsidRDefault="009C58A0" w:rsidP="00351BC6">
            <w:pPr>
              <w:ind w:left="110" w:hanging="110"/>
              <w:jc w:val="left"/>
              <w:rPr>
                <w:rFonts w:ascii="Arial" w:hAnsi="Arial" w:cs="Arial"/>
              </w:rPr>
            </w:pPr>
            <w:r w:rsidRPr="00271E01">
              <w:rPr>
                <w:rFonts w:ascii="Arial" w:hAnsi="Arial" w:cs="Arial"/>
              </w:rPr>
              <w:t>Brico Dépôt</w:t>
            </w:r>
          </w:p>
        </w:tc>
        <w:tc>
          <w:tcPr>
            <w:tcW w:w="824" w:type="pct"/>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107</w:t>
            </w:r>
          </w:p>
        </w:tc>
        <w:tc>
          <w:tcPr>
            <w:tcW w:w="962" w:type="pct"/>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596</w:t>
            </w:r>
          </w:p>
        </w:tc>
        <w:tc>
          <w:tcPr>
            <w:tcW w:w="1082" w:type="pct"/>
            <w:gridSpan w:val="2"/>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6,957</w:t>
            </w:r>
          </w:p>
        </w:tc>
      </w:tr>
      <w:tr w:rsidR="009C58A0" w:rsidRPr="00271E01" w:rsidTr="00CC4C82">
        <w:trPr>
          <w:gridAfter w:val="1"/>
          <w:wAfter w:w="12" w:type="pct"/>
        </w:trPr>
        <w:tc>
          <w:tcPr>
            <w:tcW w:w="2120" w:type="pct"/>
            <w:gridSpan w:val="2"/>
            <w:tcBorders>
              <w:top w:val="single" w:sz="4" w:space="0" w:color="auto"/>
            </w:tcBorders>
          </w:tcPr>
          <w:p w:rsidR="009C58A0" w:rsidRPr="00271E01" w:rsidRDefault="009C58A0" w:rsidP="00351BC6">
            <w:pPr>
              <w:ind w:left="110" w:hanging="110"/>
              <w:jc w:val="left"/>
              <w:rPr>
                <w:rFonts w:ascii="Arial" w:hAnsi="Arial" w:cs="Arial"/>
                <w:b/>
                <w:bCs/>
              </w:rPr>
            </w:pPr>
            <w:r w:rsidRPr="00271E01">
              <w:rPr>
                <w:rFonts w:ascii="Arial" w:hAnsi="Arial" w:cs="Arial"/>
                <w:b/>
                <w:bCs/>
              </w:rPr>
              <w:t>France</w:t>
            </w:r>
          </w:p>
        </w:tc>
        <w:tc>
          <w:tcPr>
            <w:tcW w:w="824" w:type="pct"/>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212</w:t>
            </w:r>
          </w:p>
        </w:tc>
        <w:tc>
          <w:tcPr>
            <w:tcW w:w="962" w:type="pct"/>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1,709</w:t>
            </w:r>
          </w:p>
        </w:tc>
        <w:tc>
          <w:tcPr>
            <w:tcW w:w="1082" w:type="pct"/>
            <w:gridSpan w:val="2"/>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18,487</w:t>
            </w:r>
          </w:p>
        </w:tc>
      </w:tr>
      <w:tr w:rsidR="009C58A0" w:rsidRPr="00271E01" w:rsidTr="00CC4C82">
        <w:trPr>
          <w:gridAfter w:val="1"/>
          <w:wAfter w:w="12" w:type="pct"/>
        </w:trPr>
        <w:tc>
          <w:tcPr>
            <w:tcW w:w="2120" w:type="pct"/>
            <w:gridSpan w:val="2"/>
          </w:tcPr>
          <w:p w:rsidR="009C58A0" w:rsidRPr="00715F80" w:rsidRDefault="009C58A0" w:rsidP="00715F80">
            <w:pPr>
              <w:ind w:left="110" w:hanging="110"/>
              <w:jc w:val="left"/>
              <w:rPr>
                <w:rFonts w:ascii="Arial" w:hAnsi="Arial" w:cs="Arial"/>
                <w:lang w:val="it-IT"/>
              </w:rPr>
            </w:pPr>
            <w:r w:rsidRPr="00715F80">
              <w:rPr>
                <w:rFonts w:ascii="Arial" w:hAnsi="Arial" w:cs="Arial"/>
                <w:lang w:val="it-IT"/>
              </w:rPr>
              <w:t>B&amp;Q UK &amp; Ireland</w:t>
            </w:r>
          </w:p>
        </w:tc>
        <w:tc>
          <w:tcPr>
            <w:tcW w:w="824" w:type="pct"/>
          </w:tcPr>
          <w:p w:rsidR="009C58A0" w:rsidRPr="00715F80" w:rsidRDefault="009C58A0" w:rsidP="00715F80">
            <w:pPr>
              <w:ind w:left="110" w:hanging="110"/>
              <w:jc w:val="right"/>
              <w:rPr>
                <w:rFonts w:ascii="Arial" w:hAnsi="Arial" w:cs="Arial"/>
                <w:lang w:val="it-IT"/>
              </w:rPr>
            </w:pPr>
            <w:r w:rsidRPr="00715F80">
              <w:rPr>
                <w:rFonts w:ascii="Arial" w:hAnsi="Arial" w:cs="Arial"/>
                <w:lang w:val="it-IT"/>
              </w:rPr>
              <w:t>359</w:t>
            </w:r>
          </w:p>
        </w:tc>
        <w:tc>
          <w:tcPr>
            <w:tcW w:w="962" w:type="pct"/>
          </w:tcPr>
          <w:p w:rsidR="009C58A0" w:rsidRPr="00715F80" w:rsidRDefault="009C58A0" w:rsidP="00715F80">
            <w:pPr>
              <w:ind w:left="110" w:hanging="110"/>
              <w:jc w:val="right"/>
              <w:rPr>
                <w:rFonts w:ascii="Arial" w:hAnsi="Arial" w:cs="Arial"/>
                <w:lang w:val="it-IT"/>
              </w:rPr>
            </w:pPr>
            <w:r w:rsidRPr="00715F80">
              <w:rPr>
                <w:rFonts w:ascii="Arial" w:hAnsi="Arial" w:cs="Arial"/>
                <w:lang w:val="it-IT"/>
              </w:rPr>
              <w:t>2,567</w:t>
            </w:r>
          </w:p>
        </w:tc>
        <w:tc>
          <w:tcPr>
            <w:tcW w:w="1082" w:type="pct"/>
            <w:gridSpan w:val="2"/>
          </w:tcPr>
          <w:p w:rsidR="009C58A0" w:rsidRPr="00715F80" w:rsidRDefault="009C58A0" w:rsidP="00715F80">
            <w:pPr>
              <w:ind w:left="110" w:hanging="110"/>
              <w:jc w:val="right"/>
              <w:rPr>
                <w:rFonts w:ascii="Arial" w:hAnsi="Arial" w:cs="Arial"/>
                <w:lang w:val="it-IT"/>
              </w:rPr>
            </w:pPr>
            <w:r>
              <w:rPr>
                <w:rFonts w:ascii="Arial" w:hAnsi="Arial" w:cs="Arial"/>
                <w:lang w:val="it-IT"/>
              </w:rPr>
              <w:t>21,304</w:t>
            </w:r>
          </w:p>
        </w:tc>
      </w:tr>
      <w:tr w:rsidR="009C58A0" w:rsidRPr="00271E01" w:rsidTr="00CC4C82">
        <w:trPr>
          <w:gridAfter w:val="1"/>
          <w:wAfter w:w="12" w:type="pct"/>
        </w:trPr>
        <w:tc>
          <w:tcPr>
            <w:tcW w:w="2120" w:type="pct"/>
            <w:gridSpan w:val="2"/>
            <w:tcBorders>
              <w:bottom w:val="single" w:sz="4" w:space="0" w:color="auto"/>
            </w:tcBorders>
          </w:tcPr>
          <w:p w:rsidR="009C58A0" w:rsidRPr="00271E01" w:rsidRDefault="009C58A0" w:rsidP="00351BC6">
            <w:pPr>
              <w:ind w:left="110" w:hanging="110"/>
              <w:jc w:val="left"/>
              <w:rPr>
                <w:rFonts w:ascii="Arial" w:hAnsi="Arial" w:cs="Arial"/>
              </w:rPr>
            </w:pPr>
            <w:r w:rsidRPr="00271E01">
              <w:rPr>
                <w:rFonts w:ascii="Arial" w:hAnsi="Arial" w:cs="Arial"/>
              </w:rPr>
              <w:t xml:space="preserve">Screwfix </w:t>
            </w:r>
          </w:p>
        </w:tc>
        <w:tc>
          <w:tcPr>
            <w:tcW w:w="824" w:type="pct"/>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303</w:t>
            </w:r>
          </w:p>
        </w:tc>
        <w:tc>
          <w:tcPr>
            <w:tcW w:w="962" w:type="pct"/>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21</w:t>
            </w:r>
          </w:p>
        </w:tc>
        <w:tc>
          <w:tcPr>
            <w:tcW w:w="1082" w:type="pct"/>
            <w:gridSpan w:val="2"/>
            <w:tcBorders>
              <w:bottom w:val="single" w:sz="4" w:space="0" w:color="auto"/>
            </w:tcBorders>
          </w:tcPr>
          <w:p w:rsidR="009C58A0" w:rsidRPr="00271E01" w:rsidRDefault="009C58A0" w:rsidP="00351BC6">
            <w:pPr>
              <w:ind w:left="110" w:hanging="110"/>
              <w:jc w:val="right"/>
              <w:rPr>
                <w:rFonts w:ascii="Arial" w:hAnsi="Arial" w:cs="Arial"/>
              </w:rPr>
            </w:pPr>
            <w:r>
              <w:rPr>
                <w:rFonts w:ascii="Arial" w:hAnsi="Arial" w:cs="Arial"/>
              </w:rPr>
              <w:t>4,124</w:t>
            </w:r>
          </w:p>
        </w:tc>
      </w:tr>
      <w:tr w:rsidR="009C58A0" w:rsidRPr="00271E01" w:rsidTr="00CC4C82">
        <w:trPr>
          <w:gridAfter w:val="1"/>
          <w:wAfter w:w="12" w:type="pct"/>
        </w:trPr>
        <w:tc>
          <w:tcPr>
            <w:tcW w:w="2120" w:type="pct"/>
            <w:gridSpan w:val="2"/>
            <w:tcBorders>
              <w:top w:val="single" w:sz="4" w:space="0" w:color="auto"/>
            </w:tcBorders>
          </w:tcPr>
          <w:p w:rsidR="009C58A0" w:rsidRPr="00271E01" w:rsidRDefault="009C58A0" w:rsidP="00351BC6">
            <w:pPr>
              <w:ind w:left="110" w:hanging="110"/>
              <w:jc w:val="left"/>
              <w:rPr>
                <w:rFonts w:ascii="Arial" w:hAnsi="Arial" w:cs="Arial"/>
                <w:b/>
                <w:bCs/>
              </w:rPr>
            </w:pPr>
            <w:r w:rsidRPr="00271E01">
              <w:rPr>
                <w:rFonts w:ascii="Arial" w:hAnsi="Arial" w:cs="Arial"/>
                <w:b/>
                <w:bCs/>
              </w:rPr>
              <w:t>UK &amp; Ireland</w:t>
            </w:r>
          </w:p>
        </w:tc>
        <w:tc>
          <w:tcPr>
            <w:tcW w:w="824" w:type="pct"/>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662</w:t>
            </w:r>
          </w:p>
        </w:tc>
        <w:tc>
          <w:tcPr>
            <w:tcW w:w="962" w:type="pct"/>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2,588</w:t>
            </w:r>
          </w:p>
        </w:tc>
        <w:tc>
          <w:tcPr>
            <w:tcW w:w="1082" w:type="pct"/>
            <w:gridSpan w:val="2"/>
            <w:tcBorders>
              <w:top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25,428</w:t>
            </w:r>
          </w:p>
        </w:tc>
      </w:tr>
      <w:tr w:rsidR="009C58A0" w:rsidRPr="00271E01" w:rsidTr="00CC4C82">
        <w:trPr>
          <w:gridAfter w:val="1"/>
          <w:wAfter w:w="12" w:type="pct"/>
        </w:trPr>
        <w:tc>
          <w:tcPr>
            <w:tcW w:w="2120" w:type="pct"/>
            <w:gridSpan w:val="2"/>
          </w:tcPr>
          <w:p w:rsidR="009C58A0" w:rsidRPr="00715F80" w:rsidRDefault="009C58A0" w:rsidP="00715F80">
            <w:pPr>
              <w:ind w:left="110" w:hanging="110"/>
              <w:jc w:val="left"/>
              <w:rPr>
                <w:rFonts w:ascii="Arial" w:hAnsi="Arial" w:cs="Arial"/>
                <w:lang w:val="it-IT"/>
              </w:rPr>
            </w:pPr>
            <w:r w:rsidRPr="00715F80">
              <w:rPr>
                <w:rFonts w:ascii="Arial" w:hAnsi="Arial" w:cs="Arial"/>
                <w:lang w:val="it-IT"/>
              </w:rPr>
              <w:t>Poland</w:t>
            </w:r>
          </w:p>
        </w:tc>
        <w:tc>
          <w:tcPr>
            <w:tcW w:w="824" w:type="pct"/>
          </w:tcPr>
          <w:p w:rsidR="009C58A0" w:rsidRPr="00715F80" w:rsidRDefault="009C58A0" w:rsidP="00715F80">
            <w:pPr>
              <w:ind w:left="110" w:hanging="110"/>
              <w:jc w:val="right"/>
              <w:rPr>
                <w:rFonts w:ascii="Arial" w:hAnsi="Arial" w:cs="Arial"/>
                <w:lang w:val="it-IT"/>
              </w:rPr>
            </w:pPr>
            <w:r w:rsidRPr="00715F80">
              <w:rPr>
                <w:rFonts w:ascii="Arial" w:hAnsi="Arial" w:cs="Arial"/>
                <w:lang w:val="it-IT"/>
              </w:rPr>
              <w:t>72</w:t>
            </w:r>
          </w:p>
        </w:tc>
        <w:tc>
          <w:tcPr>
            <w:tcW w:w="962" w:type="pct"/>
          </w:tcPr>
          <w:p w:rsidR="009C58A0" w:rsidRPr="00715F80" w:rsidRDefault="009C58A0" w:rsidP="00715F80">
            <w:pPr>
              <w:ind w:left="110" w:hanging="110"/>
              <w:jc w:val="right"/>
              <w:rPr>
                <w:rFonts w:ascii="Arial" w:hAnsi="Arial" w:cs="Arial"/>
                <w:lang w:val="it-IT"/>
              </w:rPr>
            </w:pPr>
            <w:r>
              <w:rPr>
                <w:rFonts w:ascii="Arial" w:hAnsi="Arial" w:cs="Arial"/>
                <w:lang w:val="it-IT"/>
              </w:rPr>
              <w:t>529</w:t>
            </w:r>
          </w:p>
        </w:tc>
        <w:tc>
          <w:tcPr>
            <w:tcW w:w="1082" w:type="pct"/>
            <w:gridSpan w:val="2"/>
          </w:tcPr>
          <w:p w:rsidR="009C58A0" w:rsidRPr="00715F80" w:rsidRDefault="009C58A0" w:rsidP="00715F80">
            <w:pPr>
              <w:ind w:left="110" w:hanging="110"/>
              <w:jc w:val="right"/>
              <w:rPr>
                <w:rFonts w:ascii="Arial" w:hAnsi="Arial" w:cs="Arial"/>
                <w:lang w:val="it-IT"/>
              </w:rPr>
            </w:pPr>
            <w:r>
              <w:rPr>
                <w:rFonts w:ascii="Arial" w:hAnsi="Arial" w:cs="Arial"/>
                <w:lang w:val="it-IT"/>
              </w:rPr>
              <w:t>10,366</w:t>
            </w:r>
          </w:p>
        </w:tc>
      </w:tr>
      <w:tr w:rsidR="009C58A0" w:rsidRPr="00271E01" w:rsidTr="00CC4C82">
        <w:trPr>
          <w:gridAfter w:val="1"/>
          <w:wAfter w:w="12" w:type="pct"/>
        </w:trPr>
        <w:tc>
          <w:tcPr>
            <w:tcW w:w="2120" w:type="pct"/>
            <w:gridSpan w:val="2"/>
          </w:tcPr>
          <w:p w:rsidR="009C58A0" w:rsidRPr="00271E01" w:rsidRDefault="009C58A0" w:rsidP="00351BC6">
            <w:pPr>
              <w:ind w:left="110" w:hanging="110"/>
              <w:jc w:val="left"/>
              <w:rPr>
                <w:rFonts w:ascii="Arial" w:hAnsi="Arial" w:cs="Arial"/>
                <w:lang w:val="it-IT"/>
              </w:rPr>
            </w:pPr>
            <w:r w:rsidRPr="00271E01">
              <w:rPr>
                <w:rFonts w:ascii="Arial" w:hAnsi="Arial" w:cs="Arial"/>
                <w:lang w:val="it-IT"/>
              </w:rPr>
              <w:t>China</w:t>
            </w:r>
          </w:p>
        </w:tc>
        <w:tc>
          <w:tcPr>
            <w:tcW w:w="824" w:type="pct"/>
          </w:tcPr>
          <w:p w:rsidR="009C58A0" w:rsidRPr="00271E01" w:rsidRDefault="009C58A0" w:rsidP="00351BC6">
            <w:pPr>
              <w:ind w:left="110" w:hanging="110"/>
              <w:jc w:val="right"/>
              <w:rPr>
                <w:rFonts w:ascii="Arial" w:hAnsi="Arial" w:cs="Arial"/>
              </w:rPr>
            </w:pPr>
            <w:r>
              <w:rPr>
                <w:rFonts w:ascii="Arial" w:hAnsi="Arial" w:cs="Arial"/>
              </w:rPr>
              <w:t>39</w:t>
            </w:r>
          </w:p>
        </w:tc>
        <w:tc>
          <w:tcPr>
            <w:tcW w:w="962" w:type="pct"/>
          </w:tcPr>
          <w:p w:rsidR="009C58A0" w:rsidRPr="00271E01" w:rsidRDefault="009C58A0" w:rsidP="00351BC6">
            <w:pPr>
              <w:ind w:left="110" w:hanging="110"/>
              <w:jc w:val="right"/>
              <w:rPr>
                <w:rFonts w:ascii="Arial" w:hAnsi="Arial" w:cs="Arial"/>
              </w:rPr>
            </w:pPr>
            <w:r>
              <w:rPr>
                <w:rFonts w:ascii="Arial" w:hAnsi="Arial" w:cs="Arial"/>
              </w:rPr>
              <w:t>319</w:t>
            </w:r>
          </w:p>
        </w:tc>
        <w:tc>
          <w:tcPr>
            <w:tcW w:w="1082" w:type="pct"/>
            <w:gridSpan w:val="2"/>
          </w:tcPr>
          <w:p w:rsidR="009C58A0" w:rsidRPr="00271E01" w:rsidRDefault="009C58A0" w:rsidP="00351BC6">
            <w:pPr>
              <w:ind w:left="110" w:hanging="110"/>
              <w:jc w:val="right"/>
              <w:rPr>
                <w:rFonts w:ascii="Arial" w:hAnsi="Arial" w:cs="Arial"/>
              </w:rPr>
            </w:pPr>
            <w:r>
              <w:rPr>
                <w:rFonts w:ascii="Arial" w:hAnsi="Arial" w:cs="Arial"/>
              </w:rPr>
              <w:t>4,014</w:t>
            </w:r>
          </w:p>
        </w:tc>
      </w:tr>
      <w:tr w:rsidR="009C58A0" w:rsidRPr="00271E01" w:rsidTr="00CC4C82">
        <w:trPr>
          <w:gridAfter w:val="1"/>
          <w:wAfter w:w="12" w:type="pct"/>
        </w:trPr>
        <w:tc>
          <w:tcPr>
            <w:tcW w:w="2120" w:type="pct"/>
            <w:gridSpan w:val="2"/>
          </w:tcPr>
          <w:p w:rsidR="009C58A0" w:rsidRDefault="009C58A0" w:rsidP="00351BC6">
            <w:pPr>
              <w:ind w:left="110" w:hanging="110"/>
              <w:jc w:val="left"/>
              <w:rPr>
                <w:rFonts w:ascii="Arial" w:hAnsi="Arial" w:cs="Arial"/>
                <w:lang w:val="it-IT"/>
              </w:rPr>
            </w:pPr>
            <w:r>
              <w:rPr>
                <w:rFonts w:ascii="Arial" w:hAnsi="Arial" w:cs="Arial"/>
                <w:lang w:val="it-IT"/>
              </w:rPr>
              <w:t>Romania</w:t>
            </w:r>
          </w:p>
        </w:tc>
        <w:tc>
          <w:tcPr>
            <w:tcW w:w="824" w:type="pct"/>
          </w:tcPr>
          <w:p w:rsidR="009C58A0" w:rsidRDefault="009C58A0" w:rsidP="00351BC6">
            <w:pPr>
              <w:ind w:left="110" w:hanging="110"/>
              <w:jc w:val="right"/>
              <w:rPr>
                <w:rFonts w:ascii="Arial" w:hAnsi="Arial" w:cs="Arial"/>
              </w:rPr>
            </w:pPr>
            <w:r>
              <w:rPr>
                <w:rFonts w:ascii="Arial" w:hAnsi="Arial" w:cs="Arial"/>
              </w:rPr>
              <w:t>15</w:t>
            </w:r>
          </w:p>
        </w:tc>
        <w:tc>
          <w:tcPr>
            <w:tcW w:w="962" w:type="pct"/>
          </w:tcPr>
          <w:p w:rsidR="009C58A0" w:rsidRDefault="009C58A0" w:rsidP="00351BC6">
            <w:pPr>
              <w:ind w:left="110" w:hanging="110"/>
              <w:jc w:val="right"/>
              <w:rPr>
                <w:rFonts w:ascii="Arial" w:hAnsi="Arial" w:cs="Arial"/>
              </w:rPr>
            </w:pPr>
            <w:r>
              <w:rPr>
                <w:rFonts w:ascii="Arial" w:hAnsi="Arial" w:cs="Arial"/>
              </w:rPr>
              <w:t>151</w:t>
            </w:r>
          </w:p>
        </w:tc>
        <w:tc>
          <w:tcPr>
            <w:tcW w:w="1082" w:type="pct"/>
            <w:gridSpan w:val="2"/>
          </w:tcPr>
          <w:p w:rsidR="009C58A0" w:rsidRDefault="009C58A0" w:rsidP="00351BC6">
            <w:pPr>
              <w:ind w:left="110" w:hanging="110"/>
              <w:jc w:val="right"/>
              <w:rPr>
                <w:rFonts w:ascii="Arial" w:hAnsi="Arial" w:cs="Arial"/>
              </w:rPr>
            </w:pPr>
            <w:r>
              <w:rPr>
                <w:rFonts w:ascii="Arial" w:hAnsi="Arial" w:cs="Arial"/>
              </w:rPr>
              <w:t>1,286</w:t>
            </w:r>
          </w:p>
        </w:tc>
      </w:tr>
      <w:tr w:rsidR="009C58A0" w:rsidRPr="00271E01" w:rsidTr="00CC4C82">
        <w:trPr>
          <w:gridAfter w:val="1"/>
          <w:wAfter w:w="12" w:type="pct"/>
        </w:trPr>
        <w:tc>
          <w:tcPr>
            <w:tcW w:w="2120" w:type="pct"/>
            <w:gridSpan w:val="2"/>
          </w:tcPr>
          <w:p w:rsidR="009C58A0" w:rsidRDefault="009C58A0" w:rsidP="00351BC6">
            <w:pPr>
              <w:jc w:val="left"/>
              <w:rPr>
                <w:rFonts w:ascii="Arial" w:hAnsi="Arial" w:cs="Arial"/>
                <w:lang w:val="it-IT"/>
              </w:rPr>
            </w:pPr>
            <w:r>
              <w:rPr>
                <w:rFonts w:ascii="Arial" w:hAnsi="Arial" w:cs="Arial"/>
                <w:lang w:val="it-IT"/>
              </w:rPr>
              <w:t>Russia</w:t>
            </w:r>
          </w:p>
        </w:tc>
        <w:tc>
          <w:tcPr>
            <w:tcW w:w="824" w:type="pct"/>
          </w:tcPr>
          <w:p w:rsidR="009C58A0" w:rsidRDefault="009C58A0" w:rsidP="00351BC6">
            <w:pPr>
              <w:ind w:left="110" w:hanging="110"/>
              <w:jc w:val="right"/>
              <w:rPr>
                <w:rFonts w:ascii="Arial" w:hAnsi="Arial" w:cs="Arial"/>
                <w:lang w:val="it-IT"/>
              </w:rPr>
            </w:pPr>
            <w:r>
              <w:rPr>
                <w:rFonts w:ascii="Arial" w:hAnsi="Arial" w:cs="Arial"/>
                <w:lang w:val="it-IT"/>
              </w:rPr>
              <w:t>19</w:t>
            </w:r>
          </w:p>
        </w:tc>
        <w:tc>
          <w:tcPr>
            <w:tcW w:w="962" w:type="pct"/>
          </w:tcPr>
          <w:p w:rsidR="009C58A0" w:rsidRDefault="009C58A0" w:rsidP="00351BC6">
            <w:pPr>
              <w:ind w:left="110" w:hanging="110"/>
              <w:jc w:val="right"/>
              <w:rPr>
                <w:rFonts w:ascii="Arial" w:hAnsi="Arial" w:cs="Arial"/>
                <w:lang w:val="it-IT"/>
              </w:rPr>
            </w:pPr>
            <w:r>
              <w:rPr>
                <w:rFonts w:ascii="Arial" w:hAnsi="Arial" w:cs="Arial"/>
                <w:lang w:val="it-IT"/>
              </w:rPr>
              <w:t>170</w:t>
            </w:r>
          </w:p>
        </w:tc>
        <w:tc>
          <w:tcPr>
            <w:tcW w:w="1082" w:type="pct"/>
            <w:gridSpan w:val="2"/>
          </w:tcPr>
          <w:p w:rsidR="009C58A0" w:rsidRDefault="009C58A0" w:rsidP="00351BC6">
            <w:pPr>
              <w:ind w:left="110" w:hanging="110"/>
              <w:jc w:val="right"/>
              <w:rPr>
                <w:rFonts w:ascii="Arial" w:hAnsi="Arial" w:cs="Arial"/>
                <w:lang w:val="it-IT"/>
              </w:rPr>
            </w:pPr>
            <w:r>
              <w:rPr>
                <w:rFonts w:ascii="Arial" w:hAnsi="Arial" w:cs="Arial"/>
                <w:lang w:val="it-IT"/>
              </w:rPr>
              <w:t>2,555</w:t>
            </w:r>
          </w:p>
        </w:tc>
      </w:tr>
      <w:tr w:rsidR="009C58A0" w:rsidRPr="00271E01" w:rsidTr="00CC4C82">
        <w:trPr>
          <w:gridAfter w:val="1"/>
          <w:wAfter w:w="12" w:type="pct"/>
        </w:trPr>
        <w:tc>
          <w:tcPr>
            <w:tcW w:w="2120" w:type="pct"/>
            <w:gridSpan w:val="2"/>
          </w:tcPr>
          <w:p w:rsidR="009C58A0" w:rsidRDefault="009C58A0" w:rsidP="00351BC6">
            <w:pPr>
              <w:jc w:val="left"/>
              <w:rPr>
                <w:rFonts w:ascii="Arial" w:hAnsi="Arial" w:cs="Arial"/>
                <w:lang w:val="it-IT"/>
              </w:rPr>
            </w:pPr>
            <w:r>
              <w:rPr>
                <w:rFonts w:ascii="Arial" w:hAnsi="Arial" w:cs="Arial"/>
                <w:lang w:val="it-IT"/>
              </w:rPr>
              <w:t>Spain</w:t>
            </w:r>
          </w:p>
        </w:tc>
        <w:tc>
          <w:tcPr>
            <w:tcW w:w="824" w:type="pct"/>
          </w:tcPr>
          <w:p w:rsidR="009C58A0" w:rsidRDefault="009C58A0" w:rsidP="00351BC6">
            <w:pPr>
              <w:ind w:left="110" w:hanging="110"/>
              <w:jc w:val="right"/>
              <w:rPr>
                <w:rFonts w:ascii="Arial" w:hAnsi="Arial" w:cs="Arial"/>
                <w:lang w:val="it-IT"/>
              </w:rPr>
            </w:pPr>
            <w:r>
              <w:rPr>
                <w:rFonts w:ascii="Arial" w:hAnsi="Arial" w:cs="Arial"/>
                <w:lang w:val="it-IT"/>
              </w:rPr>
              <w:t>24</w:t>
            </w:r>
          </w:p>
        </w:tc>
        <w:tc>
          <w:tcPr>
            <w:tcW w:w="962" w:type="pct"/>
          </w:tcPr>
          <w:p w:rsidR="009C58A0" w:rsidRDefault="009C58A0" w:rsidP="00351BC6">
            <w:pPr>
              <w:ind w:left="110" w:hanging="110"/>
              <w:jc w:val="right"/>
              <w:rPr>
                <w:rFonts w:ascii="Arial" w:hAnsi="Arial" w:cs="Arial"/>
                <w:lang w:val="it-IT"/>
              </w:rPr>
            </w:pPr>
            <w:r>
              <w:rPr>
                <w:rFonts w:ascii="Arial" w:hAnsi="Arial" w:cs="Arial"/>
                <w:lang w:val="it-IT"/>
              </w:rPr>
              <w:t>142</w:t>
            </w:r>
          </w:p>
        </w:tc>
        <w:tc>
          <w:tcPr>
            <w:tcW w:w="1082" w:type="pct"/>
            <w:gridSpan w:val="2"/>
          </w:tcPr>
          <w:p w:rsidR="009C58A0" w:rsidRDefault="009C58A0" w:rsidP="00351BC6">
            <w:pPr>
              <w:ind w:left="110" w:hanging="110"/>
              <w:jc w:val="right"/>
              <w:rPr>
                <w:rFonts w:ascii="Arial" w:hAnsi="Arial" w:cs="Arial"/>
                <w:lang w:val="it-IT"/>
              </w:rPr>
            </w:pPr>
            <w:r>
              <w:rPr>
                <w:rFonts w:ascii="Arial" w:hAnsi="Arial" w:cs="Arial"/>
                <w:lang w:val="it-IT"/>
              </w:rPr>
              <w:t>1,243</w:t>
            </w:r>
          </w:p>
        </w:tc>
      </w:tr>
      <w:tr w:rsidR="009C58A0" w:rsidRPr="00271E01" w:rsidTr="00CC4C82">
        <w:trPr>
          <w:gridAfter w:val="1"/>
          <w:wAfter w:w="12" w:type="pct"/>
        </w:trPr>
        <w:tc>
          <w:tcPr>
            <w:tcW w:w="2120" w:type="pct"/>
            <w:gridSpan w:val="2"/>
            <w:tcBorders>
              <w:bottom w:val="single" w:sz="4" w:space="0" w:color="auto"/>
            </w:tcBorders>
          </w:tcPr>
          <w:p w:rsidR="009C58A0" w:rsidRPr="00271E01" w:rsidRDefault="009C58A0" w:rsidP="00351BC6">
            <w:pPr>
              <w:jc w:val="left"/>
              <w:rPr>
                <w:rFonts w:ascii="Arial" w:hAnsi="Arial" w:cs="Arial"/>
                <w:lang w:val="it-IT"/>
              </w:rPr>
            </w:pPr>
            <w:r w:rsidRPr="00271E01">
              <w:rPr>
                <w:rFonts w:ascii="Arial" w:hAnsi="Arial" w:cs="Arial"/>
                <w:lang w:val="it-IT"/>
              </w:rPr>
              <w:t>Turkey JV</w:t>
            </w:r>
          </w:p>
        </w:tc>
        <w:tc>
          <w:tcPr>
            <w:tcW w:w="824" w:type="pct"/>
            <w:tcBorders>
              <w:bottom w:val="single" w:sz="4" w:space="0" w:color="auto"/>
            </w:tcBorders>
          </w:tcPr>
          <w:p w:rsidR="009C58A0" w:rsidRPr="00271E01" w:rsidRDefault="009C58A0" w:rsidP="00351BC6">
            <w:pPr>
              <w:ind w:left="110" w:hanging="110"/>
              <w:jc w:val="right"/>
              <w:rPr>
                <w:rFonts w:ascii="Arial" w:hAnsi="Arial" w:cs="Arial"/>
                <w:lang w:val="it-IT"/>
              </w:rPr>
            </w:pPr>
            <w:r>
              <w:rPr>
                <w:rFonts w:ascii="Arial" w:hAnsi="Arial" w:cs="Arial"/>
                <w:lang w:val="it-IT"/>
              </w:rPr>
              <w:t>39</w:t>
            </w:r>
          </w:p>
        </w:tc>
        <w:tc>
          <w:tcPr>
            <w:tcW w:w="962" w:type="pct"/>
            <w:tcBorders>
              <w:bottom w:val="single" w:sz="4" w:space="0" w:color="auto"/>
            </w:tcBorders>
          </w:tcPr>
          <w:p w:rsidR="009C58A0" w:rsidRPr="00271E01" w:rsidRDefault="009C58A0" w:rsidP="00351BC6">
            <w:pPr>
              <w:ind w:left="110" w:hanging="110"/>
              <w:jc w:val="right"/>
              <w:rPr>
                <w:rFonts w:ascii="Arial" w:hAnsi="Arial" w:cs="Arial"/>
                <w:lang w:val="it-IT"/>
              </w:rPr>
            </w:pPr>
            <w:r>
              <w:rPr>
                <w:rFonts w:ascii="Arial" w:hAnsi="Arial" w:cs="Arial"/>
                <w:lang w:val="it-IT"/>
              </w:rPr>
              <w:t>205</w:t>
            </w:r>
          </w:p>
        </w:tc>
        <w:tc>
          <w:tcPr>
            <w:tcW w:w="1082" w:type="pct"/>
            <w:gridSpan w:val="2"/>
            <w:tcBorders>
              <w:bottom w:val="single" w:sz="4" w:space="0" w:color="auto"/>
            </w:tcBorders>
          </w:tcPr>
          <w:p w:rsidR="009C58A0" w:rsidRPr="00271E01" w:rsidRDefault="009C58A0" w:rsidP="00351BC6">
            <w:pPr>
              <w:ind w:left="110" w:hanging="110"/>
              <w:jc w:val="right"/>
              <w:rPr>
                <w:rFonts w:ascii="Arial" w:hAnsi="Arial" w:cs="Arial"/>
                <w:lang w:val="it-IT"/>
              </w:rPr>
            </w:pPr>
            <w:r>
              <w:rPr>
                <w:rFonts w:ascii="Arial" w:hAnsi="Arial" w:cs="Arial"/>
                <w:lang w:val="it-IT"/>
              </w:rPr>
              <w:t>3,375</w:t>
            </w:r>
          </w:p>
        </w:tc>
      </w:tr>
      <w:tr w:rsidR="009C58A0" w:rsidRPr="00271E01" w:rsidTr="00CC4C82">
        <w:trPr>
          <w:gridAfter w:val="1"/>
          <w:wAfter w:w="12" w:type="pct"/>
        </w:trPr>
        <w:tc>
          <w:tcPr>
            <w:tcW w:w="2120" w:type="pct"/>
            <w:gridSpan w:val="2"/>
            <w:tcBorders>
              <w:top w:val="single" w:sz="4" w:space="0" w:color="auto"/>
              <w:bottom w:val="single" w:sz="4" w:space="0" w:color="auto"/>
            </w:tcBorders>
          </w:tcPr>
          <w:p w:rsidR="009C58A0" w:rsidRPr="00271E01" w:rsidRDefault="009C58A0" w:rsidP="00351BC6">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824" w:type="pct"/>
            <w:tcBorders>
              <w:top w:val="single" w:sz="4" w:space="0" w:color="auto"/>
              <w:bottom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208</w:t>
            </w:r>
          </w:p>
        </w:tc>
        <w:tc>
          <w:tcPr>
            <w:tcW w:w="962" w:type="pct"/>
            <w:tcBorders>
              <w:top w:val="single" w:sz="4" w:space="0" w:color="auto"/>
              <w:bottom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1,516</w:t>
            </w:r>
          </w:p>
        </w:tc>
        <w:tc>
          <w:tcPr>
            <w:tcW w:w="1082" w:type="pct"/>
            <w:gridSpan w:val="2"/>
            <w:tcBorders>
              <w:top w:val="single" w:sz="4" w:space="0" w:color="auto"/>
              <w:bottom w:val="single" w:sz="4" w:space="0" w:color="auto"/>
            </w:tcBorders>
          </w:tcPr>
          <w:p w:rsidR="009C58A0" w:rsidRPr="00271E01" w:rsidRDefault="009C58A0" w:rsidP="00351BC6">
            <w:pPr>
              <w:ind w:left="110" w:hanging="110"/>
              <w:jc w:val="right"/>
              <w:rPr>
                <w:rFonts w:ascii="Arial" w:hAnsi="Arial" w:cs="Arial"/>
                <w:b/>
                <w:bCs/>
              </w:rPr>
            </w:pPr>
            <w:r>
              <w:rPr>
                <w:rFonts w:ascii="Arial" w:hAnsi="Arial" w:cs="Arial"/>
                <w:b/>
                <w:bCs/>
              </w:rPr>
              <w:t>22,839</w:t>
            </w:r>
          </w:p>
        </w:tc>
      </w:tr>
      <w:tr w:rsidR="009C58A0" w:rsidRPr="00271E01" w:rsidTr="00510473">
        <w:trPr>
          <w:gridAfter w:val="1"/>
          <w:wAfter w:w="12" w:type="pct"/>
          <w:trHeight w:val="201"/>
        </w:trPr>
        <w:tc>
          <w:tcPr>
            <w:tcW w:w="2120" w:type="pct"/>
            <w:gridSpan w:val="2"/>
            <w:tcBorders>
              <w:top w:val="single" w:sz="4" w:space="0" w:color="auto"/>
              <w:bottom w:val="single" w:sz="4" w:space="0" w:color="auto"/>
            </w:tcBorders>
          </w:tcPr>
          <w:p w:rsidR="009C58A0" w:rsidRPr="00271E01" w:rsidRDefault="009C58A0" w:rsidP="00510473">
            <w:pPr>
              <w:jc w:val="left"/>
              <w:rPr>
                <w:rFonts w:ascii="Arial" w:hAnsi="Arial" w:cs="Arial"/>
                <w:b/>
                <w:bCs/>
              </w:rPr>
            </w:pPr>
            <w:r>
              <w:rPr>
                <w:rFonts w:ascii="Arial" w:hAnsi="Arial" w:cs="Arial"/>
                <w:b/>
                <w:bCs/>
              </w:rPr>
              <w:t>Total Group</w:t>
            </w:r>
          </w:p>
        </w:tc>
        <w:tc>
          <w:tcPr>
            <w:tcW w:w="824" w:type="pct"/>
            <w:tcBorders>
              <w:top w:val="single" w:sz="4" w:space="0" w:color="auto"/>
              <w:bottom w:val="single" w:sz="4" w:space="0" w:color="auto"/>
            </w:tcBorders>
          </w:tcPr>
          <w:p w:rsidR="009C58A0" w:rsidRPr="00271E01" w:rsidRDefault="009C58A0" w:rsidP="00510473">
            <w:pPr>
              <w:jc w:val="right"/>
              <w:rPr>
                <w:rFonts w:ascii="Arial" w:hAnsi="Arial" w:cs="Arial"/>
                <w:b/>
                <w:bCs/>
              </w:rPr>
            </w:pPr>
            <w:r>
              <w:rPr>
                <w:rFonts w:ascii="Arial" w:hAnsi="Arial" w:cs="Arial"/>
                <w:b/>
                <w:bCs/>
              </w:rPr>
              <w:t>1,082</w:t>
            </w:r>
          </w:p>
        </w:tc>
        <w:tc>
          <w:tcPr>
            <w:tcW w:w="962" w:type="pct"/>
            <w:tcBorders>
              <w:top w:val="single" w:sz="4" w:space="0" w:color="auto"/>
              <w:bottom w:val="single" w:sz="4" w:space="0" w:color="auto"/>
            </w:tcBorders>
          </w:tcPr>
          <w:p w:rsidR="009C58A0" w:rsidRPr="00271E01" w:rsidRDefault="009C58A0" w:rsidP="00510473">
            <w:pPr>
              <w:jc w:val="right"/>
              <w:rPr>
                <w:rFonts w:ascii="Arial" w:hAnsi="Arial" w:cs="Arial"/>
                <w:b/>
                <w:bCs/>
              </w:rPr>
            </w:pPr>
            <w:r>
              <w:rPr>
                <w:rFonts w:ascii="Arial" w:hAnsi="Arial" w:cs="Arial"/>
                <w:b/>
                <w:bCs/>
              </w:rPr>
              <w:t>5,813</w:t>
            </w:r>
          </w:p>
        </w:tc>
        <w:tc>
          <w:tcPr>
            <w:tcW w:w="1082" w:type="pct"/>
            <w:gridSpan w:val="2"/>
            <w:tcBorders>
              <w:top w:val="single" w:sz="4" w:space="0" w:color="auto"/>
              <w:bottom w:val="single" w:sz="4" w:space="0" w:color="auto"/>
            </w:tcBorders>
          </w:tcPr>
          <w:p w:rsidR="009C58A0" w:rsidRPr="00271E01" w:rsidRDefault="009C58A0" w:rsidP="00510473">
            <w:pPr>
              <w:jc w:val="right"/>
              <w:rPr>
                <w:rFonts w:ascii="Arial" w:hAnsi="Arial" w:cs="Arial"/>
                <w:b/>
                <w:bCs/>
              </w:rPr>
            </w:pPr>
            <w:r>
              <w:rPr>
                <w:rFonts w:ascii="Arial" w:hAnsi="Arial" w:cs="Arial"/>
                <w:b/>
                <w:bCs/>
              </w:rPr>
              <w:t>66,754</w:t>
            </w:r>
          </w:p>
        </w:tc>
      </w:tr>
      <w:tr w:rsidR="009C58A0" w:rsidRPr="00271E01" w:rsidTr="00CC4C82">
        <w:trPr>
          <w:gridAfter w:val="1"/>
          <w:wAfter w:w="12" w:type="pct"/>
        </w:trPr>
        <w:tc>
          <w:tcPr>
            <w:tcW w:w="2120" w:type="pct"/>
            <w:gridSpan w:val="2"/>
            <w:tcBorders>
              <w:top w:val="single" w:sz="4" w:space="0" w:color="auto"/>
            </w:tcBorders>
          </w:tcPr>
          <w:p w:rsidR="009C58A0" w:rsidRDefault="009C58A0" w:rsidP="00351BC6">
            <w:pPr>
              <w:spacing w:before="100"/>
              <w:ind w:left="108" w:hanging="108"/>
              <w:jc w:val="left"/>
              <w:rPr>
                <w:rFonts w:ascii="Arial" w:hAnsi="Arial" w:cs="Arial"/>
                <w:b/>
                <w:bCs/>
              </w:rPr>
            </w:pPr>
          </w:p>
        </w:tc>
        <w:tc>
          <w:tcPr>
            <w:tcW w:w="824" w:type="pct"/>
            <w:tcBorders>
              <w:top w:val="single" w:sz="4" w:space="0" w:color="auto"/>
            </w:tcBorders>
          </w:tcPr>
          <w:p w:rsidR="009C58A0" w:rsidRPr="00271E01" w:rsidRDefault="009C58A0" w:rsidP="00351BC6">
            <w:pPr>
              <w:spacing w:before="100"/>
              <w:ind w:left="108" w:hanging="108"/>
              <w:jc w:val="right"/>
              <w:rPr>
                <w:rFonts w:ascii="Arial" w:hAnsi="Arial" w:cs="Arial"/>
                <w:b/>
                <w:bCs/>
              </w:rPr>
            </w:pPr>
          </w:p>
        </w:tc>
        <w:tc>
          <w:tcPr>
            <w:tcW w:w="962" w:type="pct"/>
            <w:tcBorders>
              <w:top w:val="single" w:sz="4" w:space="0" w:color="auto"/>
            </w:tcBorders>
          </w:tcPr>
          <w:p w:rsidR="009C58A0" w:rsidRPr="00271E01" w:rsidRDefault="009C58A0" w:rsidP="00351BC6">
            <w:pPr>
              <w:spacing w:before="100"/>
              <w:ind w:left="108" w:hanging="108"/>
              <w:jc w:val="right"/>
              <w:rPr>
                <w:rFonts w:ascii="Arial" w:hAnsi="Arial" w:cs="Arial"/>
                <w:b/>
                <w:bCs/>
              </w:rPr>
            </w:pPr>
          </w:p>
        </w:tc>
        <w:tc>
          <w:tcPr>
            <w:tcW w:w="1082" w:type="pct"/>
            <w:gridSpan w:val="2"/>
            <w:tcBorders>
              <w:top w:val="single" w:sz="4" w:space="0" w:color="auto"/>
            </w:tcBorders>
          </w:tcPr>
          <w:p w:rsidR="009C58A0" w:rsidRPr="00271E01" w:rsidRDefault="009C58A0" w:rsidP="00351BC6">
            <w:pPr>
              <w:spacing w:before="100"/>
              <w:ind w:left="108" w:hanging="108"/>
              <w:jc w:val="right"/>
              <w:rPr>
                <w:rFonts w:ascii="Arial" w:hAnsi="Arial" w:cs="Arial"/>
                <w:b/>
                <w:bCs/>
              </w:rPr>
            </w:pPr>
          </w:p>
        </w:tc>
      </w:tr>
      <w:tr w:rsidR="009C58A0" w:rsidRPr="00271E01" w:rsidTr="00CC4C82">
        <w:trPr>
          <w:trHeight w:val="567"/>
        </w:trPr>
        <w:tc>
          <w:tcPr>
            <w:tcW w:w="1379" w:type="pct"/>
          </w:tcPr>
          <w:p w:rsidR="009C58A0" w:rsidRPr="00271E01" w:rsidRDefault="009C58A0" w:rsidP="00351BC6">
            <w:pPr>
              <w:jc w:val="left"/>
              <w:rPr>
                <w:rFonts w:ascii="Arial" w:hAnsi="Arial" w:cs="Arial"/>
                <w:b/>
                <w:u w:val="single"/>
              </w:rPr>
            </w:pPr>
          </w:p>
        </w:tc>
        <w:tc>
          <w:tcPr>
            <w:tcW w:w="742" w:type="pct"/>
          </w:tcPr>
          <w:p w:rsidR="009C58A0" w:rsidRPr="00271E01" w:rsidRDefault="009C58A0" w:rsidP="00351BC6">
            <w:pPr>
              <w:jc w:val="right"/>
              <w:rPr>
                <w:rFonts w:ascii="Arial" w:hAnsi="Arial" w:cs="Arial"/>
                <w:b/>
              </w:rPr>
            </w:pPr>
            <w:r w:rsidRPr="00271E01">
              <w:rPr>
                <w:rFonts w:ascii="Arial" w:hAnsi="Arial" w:cs="Arial"/>
                <w:b/>
              </w:rPr>
              <w:t>Sales</w:t>
            </w:r>
            <w:r>
              <w:rPr>
                <w:rFonts w:ascii="Arial" w:hAnsi="Arial" w:cs="Arial"/>
                <w:b/>
              </w:rPr>
              <w:t xml:space="preserve"> </w:t>
            </w:r>
            <w:r w:rsidRPr="00CC4C82">
              <w:rPr>
                <w:rFonts w:ascii="Arial" w:hAnsi="Arial" w:cs="Arial"/>
                <w:b/>
                <w:i/>
                <w:vertAlign w:val="superscript"/>
              </w:rPr>
              <w:t>(1)</w:t>
            </w:r>
            <w:r w:rsidRPr="00271E01">
              <w:rPr>
                <w:rFonts w:ascii="Arial" w:hAnsi="Arial" w:cs="Arial"/>
                <w:b/>
              </w:rPr>
              <w:t xml:space="preserve"> </w:t>
            </w:r>
          </w:p>
        </w:tc>
        <w:tc>
          <w:tcPr>
            <w:tcW w:w="823" w:type="pct"/>
          </w:tcPr>
          <w:p w:rsidR="009C58A0" w:rsidRPr="00271E01" w:rsidRDefault="009C58A0" w:rsidP="00351BC6">
            <w:pPr>
              <w:jc w:val="right"/>
              <w:rPr>
                <w:rFonts w:ascii="Arial" w:hAnsi="Arial" w:cs="Arial"/>
                <w:b/>
              </w:rPr>
            </w:pPr>
            <w:r w:rsidRPr="00271E01">
              <w:rPr>
                <w:rFonts w:ascii="Arial" w:hAnsi="Arial" w:cs="Arial"/>
                <w:b/>
              </w:rPr>
              <w:t>% Total</w:t>
            </w:r>
          </w:p>
          <w:p w:rsidR="009C58A0" w:rsidRPr="00271E01" w:rsidRDefault="009C58A0" w:rsidP="00351BC6">
            <w:pPr>
              <w:jc w:val="right"/>
              <w:rPr>
                <w:rFonts w:ascii="Arial" w:hAnsi="Arial" w:cs="Arial"/>
                <w:b/>
              </w:rPr>
            </w:pPr>
            <w:r w:rsidRPr="00271E01">
              <w:rPr>
                <w:rFonts w:ascii="Arial" w:hAnsi="Arial" w:cs="Arial"/>
                <w:b/>
              </w:rPr>
              <w:t>Change</w:t>
            </w:r>
          </w:p>
        </w:tc>
        <w:tc>
          <w:tcPr>
            <w:tcW w:w="987" w:type="pct"/>
            <w:gridSpan w:val="2"/>
          </w:tcPr>
          <w:p w:rsidR="009C58A0" w:rsidRPr="00271E01" w:rsidRDefault="009C58A0" w:rsidP="00351BC6">
            <w:pPr>
              <w:jc w:val="right"/>
              <w:rPr>
                <w:rFonts w:ascii="Arial" w:hAnsi="Arial" w:cs="Arial"/>
                <w:b/>
              </w:rPr>
            </w:pPr>
            <w:r w:rsidRPr="00271E01">
              <w:rPr>
                <w:rFonts w:ascii="Arial" w:hAnsi="Arial" w:cs="Arial"/>
                <w:b/>
              </w:rPr>
              <w:t>% Total Change</w:t>
            </w:r>
          </w:p>
        </w:tc>
        <w:tc>
          <w:tcPr>
            <w:tcW w:w="1069" w:type="pct"/>
            <w:gridSpan w:val="2"/>
          </w:tcPr>
          <w:p w:rsidR="006F145E" w:rsidRDefault="009C58A0" w:rsidP="00351BC6">
            <w:pPr>
              <w:jc w:val="right"/>
              <w:rPr>
                <w:rFonts w:ascii="Arial" w:hAnsi="Arial" w:cs="Arial"/>
                <w:b/>
              </w:rPr>
            </w:pPr>
            <w:r w:rsidRPr="00271E01">
              <w:rPr>
                <w:rFonts w:ascii="Arial" w:hAnsi="Arial" w:cs="Arial"/>
                <w:b/>
              </w:rPr>
              <w:t xml:space="preserve">% LFL </w:t>
            </w:r>
          </w:p>
          <w:p w:rsidR="009C58A0" w:rsidRPr="00271E01" w:rsidRDefault="009C58A0" w:rsidP="00351BC6">
            <w:pPr>
              <w:jc w:val="right"/>
              <w:rPr>
                <w:rFonts w:ascii="Arial" w:hAnsi="Arial" w:cs="Arial"/>
                <w:b/>
              </w:rPr>
            </w:pPr>
            <w:r w:rsidRPr="00271E01">
              <w:rPr>
                <w:rFonts w:ascii="Arial" w:hAnsi="Arial" w:cs="Arial"/>
                <w:b/>
              </w:rPr>
              <w:t>Change</w:t>
            </w:r>
          </w:p>
        </w:tc>
      </w:tr>
      <w:tr w:rsidR="009C58A0" w:rsidRPr="00271E01" w:rsidTr="00CC4C82">
        <w:trPr>
          <w:trHeight w:val="567"/>
        </w:trPr>
        <w:tc>
          <w:tcPr>
            <w:tcW w:w="1379" w:type="pct"/>
            <w:tcBorders>
              <w:bottom w:val="single" w:sz="4" w:space="0" w:color="auto"/>
            </w:tcBorders>
          </w:tcPr>
          <w:p w:rsidR="009C58A0" w:rsidRPr="00271E01" w:rsidRDefault="009C58A0" w:rsidP="00351BC6">
            <w:pPr>
              <w:jc w:val="right"/>
              <w:rPr>
                <w:rFonts w:ascii="Arial" w:hAnsi="Arial" w:cs="Arial"/>
              </w:rPr>
            </w:pPr>
          </w:p>
        </w:tc>
        <w:tc>
          <w:tcPr>
            <w:tcW w:w="742" w:type="pct"/>
            <w:tcBorders>
              <w:bottom w:val="single" w:sz="4" w:space="0" w:color="auto"/>
            </w:tcBorders>
          </w:tcPr>
          <w:p w:rsidR="009C58A0" w:rsidRPr="00271E01" w:rsidRDefault="009C58A0" w:rsidP="00351BC6">
            <w:pPr>
              <w:jc w:val="right"/>
              <w:rPr>
                <w:rFonts w:ascii="Arial" w:hAnsi="Arial" w:cs="Arial"/>
                <w:b/>
              </w:rPr>
            </w:pPr>
            <w:r w:rsidRPr="00271E01">
              <w:rPr>
                <w:rFonts w:ascii="Arial" w:hAnsi="Arial" w:cs="Arial"/>
                <w:b/>
              </w:rPr>
              <w:t>£m</w:t>
            </w:r>
          </w:p>
          <w:p w:rsidR="009C58A0" w:rsidRPr="00271E01" w:rsidRDefault="009C58A0" w:rsidP="00351BC6">
            <w:pPr>
              <w:jc w:val="right"/>
              <w:rPr>
                <w:rFonts w:ascii="Arial" w:hAnsi="Arial" w:cs="Arial"/>
                <w:b/>
              </w:rPr>
            </w:pPr>
            <w:r>
              <w:rPr>
                <w:rFonts w:ascii="Arial" w:hAnsi="Arial" w:cs="Arial"/>
                <w:b/>
              </w:rPr>
              <w:t>2013</w:t>
            </w:r>
            <w:r w:rsidRPr="00271E01">
              <w:rPr>
                <w:rFonts w:ascii="Arial" w:hAnsi="Arial" w:cs="Arial"/>
                <w:b/>
              </w:rPr>
              <w:t>/1</w:t>
            </w:r>
            <w:r>
              <w:rPr>
                <w:rFonts w:ascii="Arial" w:hAnsi="Arial" w:cs="Arial"/>
                <w:b/>
              </w:rPr>
              <w:t>4</w:t>
            </w:r>
          </w:p>
        </w:tc>
        <w:tc>
          <w:tcPr>
            <w:tcW w:w="823" w:type="pct"/>
            <w:tcBorders>
              <w:bottom w:val="single" w:sz="4" w:space="0" w:color="auto"/>
            </w:tcBorders>
          </w:tcPr>
          <w:p w:rsidR="009C58A0" w:rsidRPr="00271E01" w:rsidRDefault="009C58A0" w:rsidP="00351BC6">
            <w:pPr>
              <w:jc w:val="right"/>
              <w:rPr>
                <w:rFonts w:ascii="Arial" w:hAnsi="Arial" w:cs="Arial"/>
              </w:rPr>
            </w:pPr>
            <w:r w:rsidRPr="00271E01">
              <w:rPr>
                <w:rFonts w:ascii="Arial" w:hAnsi="Arial" w:cs="Arial"/>
                <w:b/>
              </w:rPr>
              <w:t>Reported</w:t>
            </w:r>
          </w:p>
        </w:tc>
        <w:tc>
          <w:tcPr>
            <w:tcW w:w="987" w:type="pct"/>
            <w:gridSpan w:val="2"/>
            <w:tcBorders>
              <w:bottom w:val="single" w:sz="4" w:space="0" w:color="auto"/>
            </w:tcBorders>
          </w:tcPr>
          <w:p w:rsidR="009C58A0" w:rsidRPr="00271E01" w:rsidRDefault="009C58A0" w:rsidP="00351BC6">
            <w:pPr>
              <w:jc w:val="right"/>
              <w:rPr>
                <w:rFonts w:ascii="Arial" w:hAnsi="Arial" w:cs="Arial"/>
                <w:b/>
                <w:vertAlign w:val="superscript"/>
              </w:rPr>
            </w:pPr>
            <w:r w:rsidRPr="00271E01">
              <w:rPr>
                <w:rFonts w:ascii="Arial" w:hAnsi="Arial" w:cs="Arial"/>
                <w:b/>
              </w:rPr>
              <w:t>Constant currenc</w:t>
            </w:r>
            <w:r>
              <w:rPr>
                <w:rFonts w:ascii="Arial" w:hAnsi="Arial" w:cs="Arial"/>
                <w:b/>
              </w:rPr>
              <w:t>y</w:t>
            </w:r>
          </w:p>
        </w:tc>
        <w:tc>
          <w:tcPr>
            <w:tcW w:w="1069" w:type="pct"/>
            <w:gridSpan w:val="2"/>
            <w:tcBorders>
              <w:bottom w:val="single" w:sz="4" w:space="0" w:color="auto"/>
            </w:tcBorders>
          </w:tcPr>
          <w:p w:rsidR="009C58A0" w:rsidRPr="00271E01" w:rsidRDefault="009C58A0" w:rsidP="00351BC6">
            <w:pPr>
              <w:jc w:val="right"/>
              <w:rPr>
                <w:rFonts w:ascii="Arial" w:hAnsi="Arial" w:cs="Arial"/>
                <w:b/>
              </w:rPr>
            </w:pPr>
            <w:r w:rsidRPr="00271E01">
              <w:rPr>
                <w:rFonts w:ascii="Arial" w:hAnsi="Arial" w:cs="Arial"/>
                <w:b/>
              </w:rPr>
              <w:t>Constant currency</w:t>
            </w:r>
          </w:p>
        </w:tc>
      </w:tr>
      <w:tr w:rsidR="009C58A0" w:rsidRPr="00271E01" w:rsidTr="00CC4C82">
        <w:trPr>
          <w:trHeight w:hRule="exact" w:val="257"/>
        </w:trPr>
        <w:tc>
          <w:tcPr>
            <w:tcW w:w="1379" w:type="pct"/>
            <w:tcBorders>
              <w:top w:val="single" w:sz="4" w:space="0" w:color="auto"/>
            </w:tcBorders>
          </w:tcPr>
          <w:p w:rsidR="009C58A0" w:rsidRPr="00271E01" w:rsidRDefault="009C58A0" w:rsidP="00351BC6">
            <w:pPr>
              <w:rPr>
                <w:rFonts w:ascii="Arial" w:hAnsi="Arial" w:cs="Arial"/>
              </w:rPr>
            </w:pPr>
            <w:r w:rsidRPr="00B155FE">
              <w:rPr>
                <w:rFonts w:ascii="Arial" w:hAnsi="Arial" w:cs="Arial"/>
                <w:lang w:val="it-IT"/>
              </w:rPr>
              <w:t>Castorama</w:t>
            </w:r>
          </w:p>
        </w:tc>
        <w:tc>
          <w:tcPr>
            <w:tcW w:w="742" w:type="pct"/>
            <w:tcBorders>
              <w:top w:val="single" w:sz="4" w:space="0" w:color="auto"/>
            </w:tcBorders>
          </w:tcPr>
          <w:p w:rsidR="009C58A0" w:rsidRPr="008C7C56" w:rsidRDefault="009C58A0" w:rsidP="00351BC6">
            <w:pPr>
              <w:jc w:val="right"/>
              <w:rPr>
                <w:rFonts w:ascii="Arial" w:hAnsi="Arial" w:cs="Arial"/>
              </w:rPr>
            </w:pPr>
            <w:r>
              <w:rPr>
                <w:rFonts w:ascii="Arial" w:hAnsi="Arial" w:cs="Arial"/>
              </w:rPr>
              <w:t>655</w:t>
            </w:r>
          </w:p>
        </w:tc>
        <w:tc>
          <w:tcPr>
            <w:tcW w:w="823" w:type="pct"/>
            <w:tcBorders>
              <w:top w:val="single" w:sz="4" w:space="0" w:color="auto"/>
            </w:tcBorders>
          </w:tcPr>
          <w:p w:rsidR="009C58A0" w:rsidRPr="00271E01" w:rsidRDefault="009C58A0" w:rsidP="00351BC6">
            <w:pPr>
              <w:jc w:val="right"/>
              <w:rPr>
                <w:rFonts w:ascii="Arial" w:hAnsi="Arial" w:cs="Arial"/>
              </w:rPr>
            </w:pPr>
            <w:r>
              <w:rPr>
                <w:rFonts w:ascii="Arial" w:hAnsi="Arial" w:cs="Arial"/>
              </w:rPr>
              <w:t>+11.1%</w:t>
            </w:r>
          </w:p>
        </w:tc>
        <w:tc>
          <w:tcPr>
            <w:tcW w:w="987" w:type="pct"/>
            <w:gridSpan w:val="2"/>
            <w:tcBorders>
              <w:top w:val="single" w:sz="4" w:space="0" w:color="auto"/>
            </w:tcBorders>
          </w:tcPr>
          <w:p w:rsidR="009C58A0" w:rsidRPr="00271E01" w:rsidRDefault="009C58A0" w:rsidP="00351BC6">
            <w:pPr>
              <w:jc w:val="right"/>
              <w:rPr>
                <w:rFonts w:ascii="Arial" w:hAnsi="Arial" w:cs="Arial"/>
              </w:rPr>
            </w:pPr>
            <w:r>
              <w:rPr>
                <w:rFonts w:ascii="Arial" w:hAnsi="Arial" w:cs="Arial"/>
              </w:rPr>
              <w:t>+4.2%</w:t>
            </w:r>
          </w:p>
        </w:tc>
        <w:tc>
          <w:tcPr>
            <w:tcW w:w="1069" w:type="pct"/>
            <w:gridSpan w:val="2"/>
            <w:tcBorders>
              <w:top w:val="single" w:sz="4" w:space="0" w:color="auto"/>
            </w:tcBorders>
          </w:tcPr>
          <w:p w:rsidR="009C58A0" w:rsidRPr="00271E01" w:rsidRDefault="009C58A0" w:rsidP="00351BC6">
            <w:pPr>
              <w:jc w:val="right"/>
              <w:rPr>
                <w:rFonts w:ascii="Arial" w:hAnsi="Arial" w:cs="Arial"/>
              </w:rPr>
            </w:pPr>
            <w:r>
              <w:rPr>
                <w:rFonts w:ascii="Arial" w:hAnsi="Arial" w:cs="Arial"/>
              </w:rPr>
              <w:t>+2.3%</w:t>
            </w:r>
          </w:p>
        </w:tc>
      </w:tr>
      <w:tr w:rsidR="009C58A0" w:rsidRPr="00271E01" w:rsidTr="00CC4C82">
        <w:trPr>
          <w:trHeight w:hRule="exact" w:val="257"/>
        </w:trPr>
        <w:tc>
          <w:tcPr>
            <w:tcW w:w="1379" w:type="pct"/>
            <w:tcBorders>
              <w:bottom w:val="single" w:sz="4" w:space="0" w:color="auto"/>
            </w:tcBorders>
          </w:tcPr>
          <w:p w:rsidR="009C58A0" w:rsidRPr="00271E01" w:rsidRDefault="009C58A0" w:rsidP="00351BC6">
            <w:pPr>
              <w:rPr>
                <w:rFonts w:ascii="Arial" w:hAnsi="Arial" w:cs="Arial"/>
              </w:rPr>
            </w:pPr>
            <w:r w:rsidRPr="00271E01">
              <w:rPr>
                <w:rFonts w:ascii="Arial" w:hAnsi="Arial" w:cs="Arial"/>
              </w:rPr>
              <w:t>Brico Dépôt</w:t>
            </w:r>
          </w:p>
        </w:tc>
        <w:tc>
          <w:tcPr>
            <w:tcW w:w="742" w:type="pct"/>
            <w:tcBorders>
              <w:bottom w:val="single" w:sz="4" w:space="0" w:color="auto"/>
            </w:tcBorders>
          </w:tcPr>
          <w:p w:rsidR="009C58A0" w:rsidRPr="00271E01" w:rsidRDefault="009C58A0" w:rsidP="00351BC6">
            <w:pPr>
              <w:jc w:val="right"/>
              <w:rPr>
                <w:rFonts w:ascii="Arial" w:hAnsi="Arial" w:cs="Arial"/>
              </w:rPr>
            </w:pPr>
            <w:r>
              <w:rPr>
                <w:rFonts w:ascii="Arial" w:hAnsi="Arial" w:cs="Arial"/>
              </w:rPr>
              <w:t>518</w:t>
            </w:r>
          </w:p>
        </w:tc>
        <w:tc>
          <w:tcPr>
            <w:tcW w:w="823" w:type="pct"/>
            <w:tcBorders>
              <w:bottom w:val="single" w:sz="4" w:space="0" w:color="auto"/>
            </w:tcBorders>
          </w:tcPr>
          <w:p w:rsidR="009C58A0" w:rsidRPr="00271E01" w:rsidRDefault="009C58A0" w:rsidP="00351BC6">
            <w:pPr>
              <w:jc w:val="right"/>
              <w:rPr>
                <w:rFonts w:ascii="Arial" w:hAnsi="Arial" w:cs="Arial"/>
              </w:rPr>
            </w:pPr>
            <w:r>
              <w:rPr>
                <w:rFonts w:ascii="Arial" w:hAnsi="Arial" w:cs="Arial"/>
              </w:rPr>
              <w:t>+5.5%</w:t>
            </w:r>
          </w:p>
        </w:tc>
        <w:tc>
          <w:tcPr>
            <w:tcW w:w="987" w:type="pct"/>
            <w:gridSpan w:val="2"/>
            <w:tcBorders>
              <w:bottom w:val="single" w:sz="4" w:space="0" w:color="auto"/>
            </w:tcBorders>
          </w:tcPr>
          <w:p w:rsidR="009C58A0" w:rsidRPr="00271E01" w:rsidRDefault="009C58A0" w:rsidP="00351BC6">
            <w:pPr>
              <w:jc w:val="right"/>
              <w:rPr>
                <w:rFonts w:ascii="Arial" w:hAnsi="Arial" w:cs="Arial"/>
              </w:rPr>
            </w:pPr>
            <w:r>
              <w:rPr>
                <w:rFonts w:ascii="Arial" w:hAnsi="Arial" w:cs="Arial"/>
              </w:rPr>
              <w:t>(0.9)%</w:t>
            </w:r>
          </w:p>
        </w:tc>
        <w:tc>
          <w:tcPr>
            <w:tcW w:w="1069" w:type="pct"/>
            <w:gridSpan w:val="2"/>
            <w:tcBorders>
              <w:bottom w:val="single" w:sz="4" w:space="0" w:color="auto"/>
            </w:tcBorders>
          </w:tcPr>
          <w:p w:rsidR="009C58A0" w:rsidRPr="00271E01" w:rsidRDefault="009C58A0" w:rsidP="00351BC6">
            <w:pPr>
              <w:jc w:val="right"/>
              <w:rPr>
                <w:rFonts w:ascii="Arial" w:hAnsi="Arial" w:cs="Arial"/>
              </w:rPr>
            </w:pPr>
            <w:r>
              <w:rPr>
                <w:rFonts w:ascii="Arial" w:hAnsi="Arial" w:cs="Arial"/>
              </w:rPr>
              <w:t>(2.6)%</w:t>
            </w:r>
          </w:p>
        </w:tc>
      </w:tr>
      <w:tr w:rsidR="009C58A0" w:rsidRPr="00C24B32" w:rsidTr="00CC4C82">
        <w:tc>
          <w:tcPr>
            <w:tcW w:w="1379" w:type="pct"/>
            <w:tcBorders>
              <w:top w:val="single" w:sz="4" w:space="0" w:color="auto"/>
            </w:tcBorders>
          </w:tcPr>
          <w:p w:rsidR="009C58A0" w:rsidRPr="00C24B32" w:rsidRDefault="009C58A0" w:rsidP="00351BC6">
            <w:pPr>
              <w:rPr>
                <w:rFonts w:ascii="Arial" w:hAnsi="Arial" w:cs="Arial"/>
                <w:b/>
              </w:rPr>
            </w:pPr>
            <w:r w:rsidRPr="00C24B32">
              <w:rPr>
                <w:rFonts w:ascii="Arial" w:hAnsi="Arial" w:cs="Arial"/>
                <w:b/>
              </w:rPr>
              <w:t xml:space="preserve">France </w:t>
            </w:r>
          </w:p>
        </w:tc>
        <w:tc>
          <w:tcPr>
            <w:tcW w:w="742" w:type="pct"/>
            <w:tcBorders>
              <w:top w:val="single" w:sz="4" w:space="0" w:color="auto"/>
            </w:tcBorders>
          </w:tcPr>
          <w:p w:rsidR="009C58A0" w:rsidRPr="00C24B32" w:rsidRDefault="009C58A0" w:rsidP="00351BC6">
            <w:pPr>
              <w:jc w:val="right"/>
              <w:rPr>
                <w:rFonts w:ascii="Arial" w:hAnsi="Arial" w:cs="Arial"/>
                <w:b/>
              </w:rPr>
            </w:pPr>
            <w:r>
              <w:rPr>
                <w:rFonts w:ascii="Arial" w:hAnsi="Arial" w:cs="Arial"/>
                <w:b/>
              </w:rPr>
              <w:t>1,173</w:t>
            </w:r>
          </w:p>
        </w:tc>
        <w:tc>
          <w:tcPr>
            <w:tcW w:w="823" w:type="pct"/>
            <w:tcBorders>
              <w:top w:val="single" w:sz="4" w:space="0" w:color="auto"/>
            </w:tcBorders>
          </w:tcPr>
          <w:p w:rsidR="009C58A0" w:rsidRPr="00C24B32" w:rsidRDefault="009C58A0" w:rsidP="00351BC6">
            <w:pPr>
              <w:jc w:val="right"/>
              <w:rPr>
                <w:rFonts w:ascii="Arial" w:hAnsi="Arial" w:cs="Arial"/>
                <w:b/>
              </w:rPr>
            </w:pPr>
            <w:r>
              <w:rPr>
                <w:rFonts w:ascii="Arial" w:hAnsi="Arial" w:cs="Arial"/>
                <w:b/>
              </w:rPr>
              <w:t>+8.6%</w:t>
            </w:r>
          </w:p>
        </w:tc>
        <w:tc>
          <w:tcPr>
            <w:tcW w:w="987" w:type="pct"/>
            <w:gridSpan w:val="2"/>
            <w:tcBorders>
              <w:top w:val="single" w:sz="4" w:space="0" w:color="auto"/>
            </w:tcBorders>
          </w:tcPr>
          <w:p w:rsidR="009C58A0" w:rsidRPr="00C24B32" w:rsidRDefault="009C58A0" w:rsidP="00351BC6">
            <w:pPr>
              <w:jc w:val="right"/>
              <w:rPr>
                <w:rFonts w:ascii="Arial" w:hAnsi="Arial" w:cs="Arial"/>
                <w:b/>
              </w:rPr>
            </w:pPr>
            <w:r>
              <w:rPr>
                <w:rFonts w:ascii="Arial" w:hAnsi="Arial" w:cs="Arial"/>
                <w:b/>
              </w:rPr>
              <w:t>+1.9%</w:t>
            </w:r>
          </w:p>
        </w:tc>
        <w:tc>
          <w:tcPr>
            <w:tcW w:w="1069" w:type="pct"/>
            <w:gridSpan w:val="2"/>
            <w:tcBorders>
              <w:top w:val="single" w:sz="4" w:space="0" w:color="auto"/>
            </w:tcBorders>
          </w:tcPr>
          <w:p w:rsidR="009C58A0" w:rsidRPr="00C24B32" w:rsidRDefault="009C58A0" w:rsidP="00351BC6">
            <w:pPr>
              <w:jc w:val="right"/>
              <w:rPr>
                <w:rFonts w:ascii="Arial" w:hAnsi="Arial" w:cs="Arial"/>
                <w:b/>
              </w:rPr>
            </w:pPr>
            <w:r>
              <w:rPr>
                <w:rFonts w:ascii="Arial" w:hAnsi="Arial" w:cs="Arial"/>
                <w:b/>
              </w:rPr>
              <w:t>Flat</w:t>
            </w:r>
          </w:p>
        </w:tc>
      </w:tr>
      <w:tr w:rsidR="009C58A0" w:rsidRPr="00271E01" w:rsidTr="00CC4C82">
        <w:tc>
          <w:tcPr>
            <w:tcW w:w="1379" w:type="pct"/>
          </w:tcPr>
          <w:p w:rsidR="009C58A0" w:rsidRPr="00B155FE" w:rsidRDefault="009C58A0" w:rsidP="00351BC6">
            <w:pPr>
              <w:ind w:left="110" w:hanging="110"/>
              <w:jc w:val="left"/>
              <w:rPr>
                <w:rFonts w:ascii="Arial" w:hAnsi="Arial" w:cs="Arial"/>
                <w:lang w:val="it-IT"/>
              </w:rPr>
            </w:pPr>
            <w:r w:rsidRPr="00B155FE">
              <w:rPr>
                <w:rFonts w:ascii="Arial" w:hAnsi="Arial" w:cs="Arial"/>
                <w:lang w:val="it-IT"/>
              </w:rPr>
              <w:t xml:space="preserve">B&amp;Q UK &amp; Ireland </w:t>
            </w:r>
          </w:p>
        </w:tc>
        <w:tc>
          <w:tcPr>
            <w:tcW w:w="742" w:type="pct"/>
          </w:tcPr>
          <w:p w:rsidR="009C58A0" w:rsidRPr="00B155FE" w:rsidRDefault="009C58A0" w:rsidP="00351BC6">
            <w:pPr>
              <w:ind w:left="110" w:hanging="110"/>
              <w:jc w:val="right"/>
              <w:rPr>
                <w:rFonts w:ascii="Arial" w:hAnsi="Arial" w:cs="Arial"/>
                <w:lang w:val="it-IT"/>
              </w:rPr>
            </w:pPr>
            <w:r>
              <w:rPr>
                <w:rFonts w:ascii="Arial" w:hAnsi="Arial" w:cs="Arial"/>
                <w:lang w:val="it-IT"/>
              </w:rPr>
              <w:t>915</w:t>
            </w:r>
          </w:p>
        </w:tc>
        <w:tc>
          <w:tcPr>
            <w:tcW w:w="823" w:type="pct"/>
          </w:tcPr>
          <w:p w:rsidR="009C58A0" w:rsidRPr="00B155FE" w:rsidRDefault="009C58A0" w:rsidP="00351BC6">
            <w:pPr>
              <w:ind w:left="110" w:hanging="110"/>
              <w:jc w:val="right"/>
              <w:rPr>
                <w:rFonts w:ascii="Arial" w:hAnsi="Arial" w:cs="Arial"/>
                <w:lang w:val="it-IT"/>
              </w:rPr>
            </w:pPr>
            <w:r>
              <w:rPr>
                <w:rFonts w:ascii="Arial" w:hAnsi="Arial" w:cs="Arial"/>
                <w:lang w:val="it-IT"/>
              </w:rPr>
              <w:t>+</w:t>
            </w:r>
            <w:r w:rsidR="00FE5347">
              <w:rPr>
                <w:rFonts w:ascii="Arial" w:hAnsi="Arial" w:cs="Arial"/>
                <w:lang w:val="it-IT"/>
              </w:rPr>
              <w:t>0</w:t>
            </w:r>
            <w:r>
              <w:rPr>
                <w:rFonts w:ascii="Arial" w:hAnsi="Arial" w:cs="Arial"/>
                <w:lang w:val="it-IT"/>
              </w:rPr>
              <w:t>.9%</w:t>
            </w:r>
          </w:p>
        </w:tc>
        <w:tc>
          <w:tcPr>
            <w:tcW w:w="987" w:type="pct"/>
            <w:gridSpan w:val="2"/>
          </w:tcPr>
          <w:p w:rsidR="009C58A0" w:rsidRPr="00B155FE" w:rsidRDefault="009C58A0" w:rsidP="00351BC6">
            <w:pPr>
              <w:ind w:left="110" w:hanging="110"/>
              <w:jc w:val="right"/>
              <w:rPr>
                <w:rFonts w:ascii="Arial" w:hAnsi="Arial" w:cs="Arial"/>
                <w:lang w:val="it-IT"/>
              </w:rPr>
            </w:pPr>
            <w:r>
              <w:rPr>
                <w:rFonts w:ascii="Arial" w:hAnsi="Arial" w:cs="Arial"/>
                <w:lang w:val="it-IT"/>
              </w:rPr>
              <w:t>+0.8%</w:t>
            </w:r>
          </w:p>
        </w:tc>
        <w:tc>
          <w:tcPr>
            <w:tcW w:w="1069" w:type="pct"/>
            <w:gridSpan w:val="2"/>
          </w:tcPr>
          <w:p w:rsidR="009C58A0" w:rsidRPr="00B155FE" w:rsidRDefault="009C58A0" w:rsidP="00351BC6">
            <w:pPr>
              <w:ind w:left="110" w:hanging="110"/>
              <w:jc w:val="right"/>
              <w:rPr>
                <w:rFonts w:ascii="Arial" w:hAnsi="Arial" w:cs="Arial"/>
                <w:lang w:val="it-IT"/>
              </w:rPr>
            </w:pPr>
            <w:r>
              <w:rPr>
                <w:rFonts w:ascii="Arial" w:hAnsi="Arial" w:cs="Arial"/>
                <w:lang w:val="it-IT"/>
              </w:rPr>
              <w:t>+0.4%</w:t>
            </w:r>
          </w:p>
        </w:tc>
      </w:tr>
      <w:tr w:rsidR="009C58A0" w:rsidRPr="00271E01" w:rsidTr="00CC4C82">
        <w:tc>
          <w:tcPr>
            <w:tcW w:w="1379" w:type="pct"/>
            <w:tcBorders>
              <w:bottom w:val="single" w:sz="4" w:space="0" w:color="auto"/>
            </w:tcBorders>
          </w:tcPr>
          <w:p w:rsidR="009C58A0" w:rsidRPr="00B155FE" w:rsidRDefault="009C58A0" w:rsidP="00351BC6">
            <w:pPr>
              <w:ind w:left="110" w:hanging="110"/>
              <w:jc w:val="left"/>
              <w:rPr>
                <w:rFonts w:ascii="Arial" w:hAnsi="Arial" w:cs="Arial"/>
                <w:lang w:val="it-IT"/>
              </w:rPr>
            </w:pPr>
            <w:r w:rsidRPr="00B155FE">
              <w:rPr>
                <w:rFonts w:ascii="Arial" w:hAnsi="Arial" w:cs="Arial"/>
                <w:lang w:val="it-IT"/>
              </w:rPr>
              <w:t>Screwfix</w:t>
            </w:r>
          </w:p>
        </w:tc>
        <w:tc>
          <w:tcPr>
            <w:tcW w:w="742" w:type="pct"/>
            <w:tcBorders>
              <w:bottom w:val="single" w:sz="4" w:space="0" w:color="auto"/>
            </w:tcBorders>
          </w:tcPr>
          <w:p w:rsidR="009C58A0" w:rsidRPr="00B155FE" w:rsidRDefault="009C58A0" w:rsidP="00351BC6">
            <w:pPr>
              <w:ind w:left="110" w:hanging="110"/>
              <w:jc w:val="right"/>
              <w:rPr>
                <w:rFonts w:ascii="Arial" w:hAnsi="Arial" w:cs="Arial"/>
                <w:lang w:val="it-IT"/>
              </w:rPr>
            </w:pPr>
            <w:r>
              <w:rPr>
                <w:rFonts w:ascii="Arial" w:hAnsi="Arial" w:cs="Arial"/>
                <w:lang w:val="it-IT"/>
              </w:rPr>
              <w:t>180</w:t>
            </w:r>
          </w:p>
        </w:tc>
        <w:tc>
          <w:tcPr>
            <w:tcW w:w="823" w:type="pct"/>
            <w:tcBorders>
              <w:bottom w:val="single" w:sz="4" w:space="0" w:color="auto"/>
            </w:tcBorders>
          </w:tcPr>
          <w:p w:rsidR="009C58A0" w:rsidRPr="00B155FE" w:rsidRDefault="009C58A0" w:rsidP="00351BC6">
            <w:pPr>
              <w:ind w:left="110" w:hanging="110"/>
              <w:jc w:val="right"/>
              <w:rPr>
                <w:rFonts w:ascii="Arial" w:hAnsi="Arial" w:cs="Arial"/>
                <w:lang w:val="it-IT"/>
              </w:rPr>
            </w:pPr>
            <w:r>
              <w:rPr>
                <w:rFonts w:ascii="Arial" w:hAnsi="Arial" w:cs="Arial"/>
                <w:lang w:val="it-IT"/>
              </w:rPr>
              <w:t>+21.1%</w:t>
            </w:r>
          </w:p>
        </w:tc>
        <w:tc>
          <w:tcPr>
            <w:tcW w:w="987" w:type="pct"/>
            <w:gridSpan w:val="2"/>
            <w:tcBorders>
              <w:bottom w:val="single" w:sz="4" w:space="0" w:color="auto"/>
            </w:tcBorders>
          </w:tcPr>
          <w:p w:rsidR="009C58A0" w:rsidRPr="00B155FE" w:rsidRDefault="009C58A0" w:rsidP="00351BC6">
            <w:pPr>
              <w:ind w:left="110" w:hanging="110"/>
              <w:jc w:val="right"/>
              <w:rPr>
                <w:rFonts w:ascii="Arial" w:hAnsi="Arial" w:cs="Arial"/>
                <w:lang w:val="it-IT"/>
              </w:rPr>
            </w:pPr>
            <w:r>
              <w:rPr>
                <w:rFonts w:ascii="Arial" w:hAnsi="Arial" w:cs="Arial"/>
                <w:lang w:val="it-IT"/>
              </w:rPr>
              <w:t>+21.1%</w:t>
            </w:r>
          </w:p>
        </w:tc>
        <w:tc>
          <w:tcPr>
            <w:tcW w:w="1069" w:type="pct"/>
            <w:gridSpan w:val="2"/>
            <w:tcBorders>
              <w:bottom w:val="single" w:sz="4" w:space="0" w:color="auto"/>
            </w:tcBorders>
          </w:tcPr>
          <w:p w:rsidR="009C58A0" w:rsidRPr="00B155FE" w:rsidRDefault="009C58A0" w:rsidP="00351BC6">
            <w:pPr>
              <w:ind w:left="110" w:hanging="110"/>
              <w:jc w:val="right"/>
              <w:rPr>
                <w:rFonts w:ascii="Arial" w:hAnsi="Arial" w:cs="Arial"/>
                <w:lang w:val="it-IT"/>
              </w:rPr>
            </w:pPr>
            <w:r>
              <w:rPr>
                <w:rFonts w:ascii="Arial" w:hAnsi="Arial" w:cs="Arial"/>
                <w:lang w:val="it-IT"/>
              </w:rPr>
              <w:t>+11.1%</w:t>
            </w:r>
          </w:p>
        </w:tc>
      </w:tr>
      <w:tr w:rsidR="009C58A0" w:rsidRPr="00C24B32" w:rsidTr="00CC4C82">
        <w:tc>
          <w:tcPr>
            <w:tcW w:w="1379" w:type="pct"/>
            <w:tcBorders>
              <w:top w:val="single" w:sz="4" w:space="0" w:color="auto"/>
            </w:tcBorders>
          </w:tcPr>
          <w:p w:rsidR="009C58A0" w:rsidRPr="00C24B32" w:rsidRDefault="009C58A0" w:rsidP="00351BC6">
            <w:pPr>
              <w:jc w:val="left"/>
              <w:rPr>
                <w:rFonts w:ascii="Arial" w:hAnsi="Arial" w:cs="Arial"/>
                <w:b/>
                <w:vertAlign w:val="superscript"/>
              </w:rPr>
            </w:pPr>
            <w:r w:rsidRPr="00C24B32">
              <w:rPr>
                <w:rFonts w:ascii="Arial" w:hAnsi="Arial" w:cs="Arial"/>
                <w:b/>
              </w:rPr>
              <w:t xml:space="preserve">UK &amp; Ireland </w:t>
            </w:r>
          </w:p>
        </w:tc>
        <w:tc>
          <w:tcPr>
            <w:tcW w:w="742" w:type="pct"/>
            <w:tcBorders>
              <w:top w:val="single" w:sz="4" w:space="0" w:color="auto"/>
            </w:tcBorders>
          </w:tcPr>
          <w:p w:rsidR="009C58A0" w:rsidRPr="00C24B32" w:rsidRDefault="009C58A0" w:rsidP="00351BC6">
            <w:pPr>
              <w:jc w:val="right"/>
              <w:rPr>
                <w:rFonts w:ascii="Arial" w:hAnsi="Arial" w:cs="Arial"/>
                <w:b/>
              </w:rPr>
            </w:pPr>
            <w:r>
              <w:rPr>
                <w:rFonts w:ascii="Arial" w:hAnsi="Arial" w:cs="Arial"/>
                <w:b/>
              </w:rPr>
              <w:t>1,095</w:t>
            </w:r>
          </w:p>
        </w:tc>
        <w:tc>
          <w:tcPr>
            <w:tcW w:w="823" w:type="pct"/>
            <w:tcBorders>
              <w:top w:val="single" w:sz="4" w:space="0" w:color="auto"/>
            </w:tcBorders>
          </w:tcPr>
          <w:p w:rsidR="009C58A0" w:rsidRPr="00C24B32" w:rsidRDefault="009C58A0" w:rsidP="00351BC6">
            <w:pPr>
              <w:jc w:val="right"/>
              <w:rPr>
                <w:rFonts w:ascii="Arial" w:hAnsi="Arial" w:cs="Arial"/>
                <w:b/>
              </w:rPr>
            </w:pPr>
            <w:r>
              <w:rPr>
                <w:rFonts w:ascii="Arial" w:hAnsi="Arial" w:cs="Arial"/>
                <w:b/>
              </w:rPr>
              <w:t>+3.8%</w:t>
            </w:r>
          </w:p>
        </w:tc>
        <w:tc>
          <w:tcPr>
            <w:tcW w:w="987" w:type="pct"/>
            <w:gridSpan w:val="2"/>
            <w:tcBorders>
              <w:top w:val="single" w:sz="4" w:space="0" w:color="auto"/>
            </w:tcBorders>
          </w:tcPr>
          <w:p w:rsidR="009C58A0" w:rsidRPr="00C24B32" w:rsidRDefault="009C58A0" w:rsidP="00351BC6">
            <w:pPr>
              <w:jc w:val="right"/>
              <w:rPr>
                <w:rFonts w:ascii="Arial" w:hAnsi="Arial" w:cs="Arial"/>
                <w:b/>
              </w:rPr>
            </w:pPr>
            <w:r>
              <w:rPr>
                <w:rFonts w:ascii="Arial" w:hAnsi="Arial" w:cs="Arial"/>
                <w:b/>
              </w:rPr>
              <w:t>+3.7%</w:t>
            </w:r>
          </w:p>
        </w:tc>
        <w:tc>
          <w:tcPr>
            <w:tcW w:w="1069" w:type="pct"/>
            <w:gridSpan w:val="2"/>
            <w:tcBorders>
              <w:top w:val="single" w:sz="4" w:space="0" w:color="auto"/>
            </w:tcBorders>
          </w:tcPr>
          <w:p w:rsidR="009C58A0" w:rsidRPr="00C24B32" w:rsidRDefault="009C58A0" w:rsidP="00351BC6">
            <w:pPr>
              <w:jc w:val="right"/>
              <w:rPr>
                <w:rFonts w:ascii="Arial" w:hAnsi="Arial" w:cs="Arial"/>
                <w:b/>
              </w:rPr>
            </w:pPr>
            <w:r>
              <w:rPr>
                <w:rFonts w:ascii="Arial" w:hAnsi="Arial" w:cs="Arial"/>
                <w:b/>
              </w:rPr>
              <w:t>+2.0%</w:t>
            </w:r>
          </w:p>
        </w:tc>
      </w:tr>
      <w:tr w:rsidR="009C58A0" w:rsidRPr="00271E01" w:rsidTr="00CC4C82">
        <w:tc>
          <w:tcPr>
            <w:tcW w:w="1379" w:type="pct"/>
          </w:tcPr>
          <w:p w:rsidR="009C58A0" w:rsidRPr="00271E01" w:rsidRDefault="009C58A0" w:rsidP="00351BC6">
            <w:pPr>
              <w:jc w:val="left"/>
              <w:rPr>
                <w:rFonts w:ascii="Arial" w:hAnsi="Arial" w:cs="Arial"/>
              </w:rPr>
            </w:pPr>
            <w:r w:rsidRPr="00271E01">
              <w:rPr>
                <w:rFonts w:ascii="Arial" w:hAnsi="Arial" w:cs="Arial"/>
              </w:rPr>
              <w:t>Poland</w:t>
            </w:r>
          </w:p>
        </w:tc>
        <w:tc>
          <w:tcPr>
            <w:tcW w:w="742" w:type="pct"/>
          </w:tcPr>
          <w:p w:rsidR="009C58A0" w:rsidRPr="00271E01" w:rsidRDefault="009C58A0" w:rsidP="00351BC6">
            <w:pPr>
              <w:jc w:val="right"/>
              <w:rPr>
                <w:rFonts w:ascii="Arial" w:hAnsi="Arial" w:cs="Arial"/>
              </w:rPr>
            </w:pPr>
            <w:r>
              <w:rPr>
                <w:rFonts w:ascii="Arial" w:hAnsi="Arial" w:cs="Arial"/>
              </w:rPr>
              <w:t>306</w:t>
            </w:r>
          </w:p>
        </w:tc>
        <w:tc>
          <w:tcPr>
            <w:tcW w:w="823" w:type="pct"/>
          </w:tcPr>
          <w:p w:rsidR="009C58A0" w:rsidRPr="00271E01" w:rsidRDefault="009C58A0" w:rsidP="00351BC6">
            <w:pPr>
              <w:jc w:val="right"/>
              <w:rPr>
                <w:rFonts w:ascii="Arial" w:hAnsi="Arial" w:cs="Arial"/>
              </w:rPr>
            </w:pPr>
            <w:r>
              <w:rPr>
                <w:rFonts w:ascii="Arial" w:hAnsi="Arial" w:cs="Arial"/>
              </w:rPr>
              <w:t>+6.0%</w:t>
            </w:r>
          </w:p>
        </w:tc>
        <w:tc>
          <w:tcPr>
            <w:tcW w:w="987" w:type="pct"/>
            <w:gridSpan w:val="2"/>
          </w:tcPr>
          <w:p w:rsidR="009C58A0" w:rsidRPr="00271E01" w:rsidRDefault="009C58A0" w:rsidP="00351BC6">
            <w:pPr>
              <w:jc w:val="right"/>
              <w:rPr>
                <w:rFonts w:ascii="Arial" w:hAnsi="Arial" w:cs="Arial"/>
              </w:rPr>
            </w:pPr>
            <w:r>
              <w:rPr>
                <w:rFonts w:ascii="Arial" w:hAnsi="Arial" w:cs="Arial"/>
              </w:rPr>
              <w:t>+2.0%</w:t>
            </w:r>
          </w:p>
        </w:tc>
        <w:tc>
          <w:tcPr>
            <w:tcW w:w="1069" w:type="pct"/>
            <w:gridSpan w:val="2"/>
          </w:tcPr>
          <w:p w:rsidR="009C58A0" w:rsidRPr="00271E01" w:rsidRDefault="009C58A0" w:rsidP="00351BC6">
            <w:pPr>
              <w:jc w:val="right"/>
              <w:rPr>
                <w:rFonts w:ascii="Arial" w:hAnsi="Arial" w:cs="Arial"/>
              </w:rPr>
            </w:pPr>
            <w:r>
              <w:rPr>
                <w:rFonts w:ascii="Arial" w:hAnsi="Arial" w:cs="Arial"/>
              </w:rPr>
              <w:t>(0.1)%</w:t>
            </w:r>
          </w:p>
        </w:tc>
      </w:tr>
      <w:tr w:rsidR="009C58A0" w:rsidRPr="00271E01" w:rsidTr="00CC4C82">
        <w:tc>
          <w:tcPr>
            <w:tcW w:w="1379" w:type="pct"/>
          </w:tcPr>
          <w:p w:rsidR="009C58A0" w:rsidRPr="00271E01" w:rsidRDefault="009C58A0" w:rsidP="00351BC6">
            <w:pPr>
              <w:jc w:val="left"/>
              <w:rPr>
                <w:rFonts w:ascii="Arial" w:hAnsi="Arial" w:cs="Arial"/>
              </w:rPr>
            </w:pPr>
            <w:r w:rsidRPr="00271E01">
              <w:rPr>
                <w:rFonts w:ascii="Arial" w:hAnsi="Arial" w:cs="Arial"/>
              </w:rPr>
              <w:t>China</w:t>
            </w:r>
          </w:p>
        </w:tc>
        <w:tc>
          <w:tcPr>
            <w:tcW w:w="742" w:type="pct"/>
          </w:tcPr>
          <w:p w:rsidR="009C58A0" w:rsidRPr="00271E01" w:rsidRDefault="009C58A0" w:rsidP="00351BC6">
            <w:pPr>
              <w:jc w:val="right"/>
              <w:rPr>
                <w:rFonts w:ascii="Arial" w:hAnsi="Arial" w:cs="Arial"/>
              </w:rPr>
            </w:pPr>
            <w:r>
              <w:rPr>
                <w:rFonts w:ascii="Arial" w:hAnsi="Arial" w:cs="Arial"/>
              </w:rPr>
              <w:t>112</w:t>
            </w:r>
          </w:p>
        </w:tc>
        <w:tc>
          <w:tcPr>
            <w:tcW w:w="823" w:type="pct"/>
          </w:tcPr>
          <w:p w:rsidR="009C58A0" w:rsidRPr="00271E01" w:rsidRDefault="009C58A0" w:rsidP="00351BC6">
            <w:pPr>
              <w:jc w:val="right"/>
              <w:rPr>
                <w:rFonts w:ascii="Arial" w:hAnsi="Arial" w:cs="Arial"/>
              </w:rPr>
            </w:pPr>
            <w:r>
              <w:rPr>
                <w:rFonts w:ascii="Arial" w:hAnsi="Arial" w:cs="Arial"/>
              </w:rPr>
              <w:t>+17.4%</w:t>
            </w:r>
          </w:p>
        </w:tc>
        <w:tc>
          <w:tcPr>
            <w:tcW w:w="987" w:type="pct"/>
            <w:gridSpan w:val="2"/>
          </w:tcPr>
          <w:p w:rsidR="009C58A0" w:rsidRPr="00271E01" w:rsidRDefault="009C58A0" w:rsidP="00351BC6">
            <w:pPr>
              <w:jc w:val="right"/>
              <w:rPr>
                <w:rFonts w:ascii="Arial" w:hAnsi="Arial" w:cs="Arial"/>
              </w:rPr>
            </w:pPr>
            <w:r>
              <w:rPr>
                <w:rFonts w:ascii="Arial" w:hAnsi="Arial" w:cs="Arial"/>
              </w:rPr>
              <w:t>+12.5%</w:t>
            </w:r>
          </w:p>
        </w:tc>
        <w:tc>
          <w:tcPr>
            <w:tcW w:w="1069" w:type="pct"/>
            <w:gridSpan w:val="2"/>
          </w:tcPr>
          <w:p w:rsidR="009C58A0" w:rsidRPr="00271E01" w:rsidRDefault="009C58A0" w:rsidP="00351BC6">
            <w:pPr>
              <w:jc w:val="right"/>
              <w:rPr>
                <w:rFonts w:ascii="Arial" w:hAnsi="Arial" w:cs="Arial"/>
              </w:rPr>
            </w:pPr>
            <w:r>
              <w:rPr>
                <w:rFonts w:ascii="Arial" w:hAnsi="Arial" w:cs="Arial"/>
              </w:rPr>
              <w:t>+13.2%</w:t>
            </w:r>
          </w:p>
        </w:tc>
      </w:tr>
      <w:tr w:rsidR="009C58A0" w:rsidRPr="00271E01" w:rsidTr="00CC4C82">
        <w:tc>
          <w:tcPr>
            <w:tcW w:w="1379" w:type="pct"/>
          </w:tcPr>
          <w:p w:rsidR="009C58A0" w:rsidRDefault="009C58A0" w:rsidP="00351BC6">
            <w:pPr>
              <w:jc w:val="left"/>
              <w:rPr>
                <w:rFonts w:ascii="Arial" w:hAnsi="Arial" w:cs="Arial"/>
              </w:rPr>
            </w:pPr>
            <w:r>
              <w:rPr>
                <w:rFonts w:ascii="Arial" w:hAnsi="Arial" w:cs="Arial"/>
              </w:rPr>
              <w:t>Romania</w:t>
            </w:r>
          </w:p>
        </w:tc>
        <w:tc>
          <w:tcPr>
            <w:tcW w:w="742" w:type="pct"/>
          </w:tcPr>
          <w:p w:rsidR="009C58A0" w:rsidRDefault="009C58A0" w:rsidP="00351BC6">
            <w:pPr>
              <w:jc w:val="right"/>
              <w:rPr>
                <w:rFonts w:ascii="Arial" w:hAnsi="Arial" w:cs="Arial"/>
              </w:rPr>
            </w:pPr>
            <w:r>
              <w:rPr>
                <w:rFonts w:ascii="Arial" w:hAnsi="Arial" w:cs="Arial"/>
              </w:rPr>
              <w:t>35</w:t>
            </w:r>
          </w:p>
        </w:tc>
        <w:tc>
          <w:tcPr>
            <w:tcW w:w="823" w:type="pct"/>
          </w:tcPr>
          <w:p w:rsidR="009C58A0" w:rsidRPr="00271E01" w:rsidRDefault="009C58A0" w:rsidP="00351BC6">
            <w:pPr>
              <w:jc w:val="right"/>
              <w:rPr>
                <w:rFonts w:ascii="Arial" w:hAnsi="Arial" w:cs="Arial"/>
              </w:rPr>
            </w:pPr>
            <w:r>
              <w:rPr>
                <w:rFonts w:ascii="Arial" w:hAnsi="Arial" w:cs="Arial"/>
              </w:rPr>
              <w:t xml:space="preserve">n/a </w:t>
            </w:r>
            <w:r w:rsidRPr="003F56B4">
              <w:rPr>
                <w:rFonts w:ascii="Arial" w:hAnsi="Arial" w:cs="Arial"/>
                <w:i/>
                <w:vertAlign w:val="superscript"/>
              </w:rPr>
              <w:t>(2)</w:t>
            </w:r>
          </w:p>
        </w:tc>
        <w:tc>
          <w:tcPr>
            <w:tcW w:w="987" w:type="pct"/>
            <w:gridSpan w:val="2"/>
          </w:tcPr>
          <w:p w:rsidR="009C58A0" w:rsidRPr="00271E01" w:rsidRDefault="009C58A0" w:rsidP="00351BC6">
            <w:pPr>
              <w:jc w:val="right"/>
              <w:rPr>
                <w:rFonts w:ascii="Arial" w:hAnsi="Arial" w:cs="Arial"/>
              </w:rPr>
            </w:pPr>
            <w:r>
              <w:rPr>
                <w:rFonts w:ascii="Arial" w:hAnsi="Arial" w:cs="Arial"/>
              </w:rPr>
              <w:t xml:space="preserve">n/a </w:t>
            </w:r>
            <w:r w:rsidRPr="003F56B4">
              <w:rPr>
                <w:rFonts w:ascii="Arial" w:hAnsi="Arial" w:cs="Arial"/>
                <w:i/>
                <w:vertAlign w:val="superscript"/>
              </w:rPr>
              <w:t>(2)</w:t>
            </w:r>
          </w:p>
        </w:tc>
        <w:tc>
          <w:tcPr>
            <w:tcW w:w="1069" w:type="pct"/>
            <w:gridSpan w:val="2"/>
          </w:tcPr>
          <w:p w:rsidR="009C58A0" w:rsidRPr="00271E01" w:rsidRDefault="009C58A0" w:rsidP="00351BC6">
            <w:pPr>
              <w:jc w:val="right"/>
              <w:rPr>
                <w:rFonts w:ascii="Arial" w:hAnsi="Arial" w:cs="Arial"/>
              </w:rPr>
            </w:pPr>
            <w:r>
              <w:rPr>
                <w:rFonts w:ascii="Arial" w:hAnsi="Arial" w:cs="Arial"/>
              </w:rPr>
              <w:t xml:space="preserve">n/a </w:t>
            </w:r>
            <w:r w:rsidRPr="003F56B4">
              <w:rPr>
                <w:rFonts w:ascii="Arial" w:hAnsi="Arial" w:cs="Arial"/>
                <w:i/>
                <w:vertAlign w:val="superscript"/>
              </w:rPr>
              <w:t>(2)</w:t>
            </w:r>
          </w:p>
        </w:tc>
      </w:tr>
      <w:tr w:rsidR="009C58A0" w:rsidRPr="00271E01" w:rsidTr="00CC4C82">
        <w:tc>
          <w:tcPr>
            <w:tcW w:w="1379" w:type="pct"/>
          </w:tcPr>
          <w:p w:rsidR="009C58A0" w:rsidRPr="00271E01" w:rsidRDefault="009C58A0" w:rsidP="00351BC6">
            <w:pPr>
              <w:jc w:val="left"/>
              <w:rPr>
                <w:rFonts w:ascii="Arial" w:hAnsi="Arial" w:cs="Arial"/>
              </w:rPr>
            </w:pPr>
            <w:r>
              <w:rPr>
                <w:rFonts w:ascii="Arial" w:hAnsi="Arial" w:cs="Arial"/>
              </w:rPr>
              <w:t>Russia</w:t>
            </w:r>
            <w:r w:rsidRPr="00271E01">
              <w:rPr>
                <w:rFonts w:ascii="Arial" w:hAnsi="Arial" w:cs="Arial"/>
              </w:rPr>
              <w:t xml:space="preserve"> </w:t>
            </w:r>
          </w:p>
        </w:tc>
        <w:tc>
          <w:tcPr>
            <w:tcW w:w="742" w:type="pct"/>
          </w:tcPr>
          <w:p w:rsidR="009C58A0" w:rsidRPr="00271E01" w:rsidRDefault="009C58A0" w:rsidP="00351BC6">
            <w:pPr>
              <w:jc w:val="right"/>
              <w:rPr>
                <w:rFonts w:ascii="Arial" w:hAnsi="Arial" w:cs="Arial"/>
              </w:rPr>
            </w:pPr>
            <w:r>
              <w:rPr>
                <w:rFonts w:ascii="Arial" w:hAnsi="Arial" w:cs="Arial"/>
              </w:rPr>
              <w:t>128</w:t>
            </w:r>
          </w:p>
        </w:tc>
        <w:tc>
          <w:tcPr>
            <w:tcW w:w="823" w:type="pct"/>
          </w:tcPr>
          <w:p w:rsidR="009C58A0" w:rsidRPr="00271E01" w:rsidRDefault="009C58A0" w:rsidP="00351BC6">
            <w:pPr>
              <w:jc w:val="right"/>
              <w:rPr>
                <w:rFonts w:ascii="Arial" w:hAnsi="Arial" w:cs="Arial"/>
              </w:rPr>
            </w:pPr>
            <w:r>
              <w:rPr>
                <w:rFonts w:ascii="Arial" w:hAnsi="Arial" w:cs="Arial"/>
              </w:rPr>
              <w:t>+1.7%</w:t>
            </w:r>
          </w:p>
        </w:tc>
        <w:tc>
          <w:tcPr>
            <w:tcW w:w="987" w:type="pct"/>
            <w:gridSpan w:val="2"/>
          </w:tcPr>
          <w:p w:rsidR="009C58A0" w:rsidRPr="00271E01" w:rsidRDefault="009C58A0" w:rsidP="00351BC6">
            <w:pPr>
              <w:jc w:val="right"/>
              <w:rPr>
                <w:rFonts w:ascii="Arial" w:hAnsi="Arial" w:cs="Arial"/>
              </w:rPr>
            </w:pPr>
            <w:r>
              <w:rPr>
                <w:rFonts w:ascii="Arial" w:hAnsi="Arial" w:cs="Arial"/>
              </w:rPr>
              <w:t>+4.2%</w:t>
            </w:r>
          </w:p>
        </w:tc>
        <w:tc>
          <w:tcPr>
            <w:tcW w:w="1069" w:type="pct"/>
            <w:gridSpan w:val="2"/>
          </w:tcPr>
          <w:p w:rsidR="009C58A0" w:rsidRPr="00271E01" w:rsidRDefault="009C58A0" w:rsidP="00351BC6">
            <w:pPr>
              <w:jc w:val="right"/>
              <w:rPr>
                <w:rFonts w:ascii="Arial" w:hAnsi="Arial" w:cs="Arial"/>
              </w:rPr>
            </w:pPr>
            <w:r>
              <w:rPr>
                <w:rFonts w:ascii="Arial" w:hAnsi="Arial" w:cs="Arial"/>
              </w:rPr>
              <w:t>+4.2%</w:t>
            </w:r>
          </w:p>
        </w:tc>
      </w:tr>
      <w:tr w:rsidR="009C58A0" w:rsidRPr="00271E01" w:rsidTr="00CC4C82">
        <w:tc>
          <w:tcPr>
            <w:tcW w:w="1379" w:type="pct"/>
          </w:tcPr>
          <w:p w:rsidR="009C58A0" w:rsidRPr="00271E01" w:rsidRDefault="009C58A0" w:rsidP="00351BC6">
            <w:pPr>
              <w:jc w:val="left"/>
              <w:rPr>
                <w:rFonts w:ascii="Arial" w:hAnsi="Arial" w:cs="Arial"/>
              </w:rPr>
            </w:pPr>
            <w:r w:rsidRPr="00271E01">
              <w:rPr>
                <w:rFonts w:ascii="Arial" w:hAnsi="Arial" w:cs="Arial"/>
              </w:rPr>
              <w:t xml:space="preserve">Spain </w:t>
            </w:r>
          </w:p>
        </w:tc>
        <w:tc>
          <w:tcPr>
            <w:tcW w:w="742" w:type="pct"/>
          </w:tcPr>
          <w:p w:rsidR="009C58A0" w:rsidRPr="00271E01" w:rsidRDefault="009C58A0" w:rsidP="00351BC6">
            <w:pPr>
              <w:jc w:val="right"/>
              <w:rPr>
                <w:rFonts w:ascii="Arial" w:hAnsi="Arial" w:cs="Arial"/>
              </w:rPr>
            </w:pPr>
            <w:r>
              <w:rPr>
                <w:rFonts w:ascii="Arial" w:hAnsi="Arial" w:cs="Arial"/>
              </w:rPr>
              <w:t>72</w:t>
            </w:r>
          </w:p>
        </w:tc>
        <w:tc>
          <w:tcPr>
            <w:tcW w:w="823" w:type="pct"/>
          </w:tcPr>
          <w:p w:rsidR="009C58A0" w:rsidRPr="00271E01" w:rsidRDefault="009C58A0" w:rsidP="00351BC6">
            <w:pPr>
              <w:jc w:val="right"/>
              <w:rPr>
                <w:rFonts w:ascii="Arial" w:hAnsi="Arial" w:cs="Arial"/>
              </w:rPr>
            </w:pPr>
            <w:r>
              <w:rPr>
                <w:rFonts w:ascii="Arial" w:hAnsi="Arial" w:cs="Arial"/>
              </w:rPr>
              <w:t>+22.6%</w:t>
            </w:r>
          </w:p>
        </w:tc>
        <w:tc>
          <w:tcPr>
            <w:tcW w:w="987" w:type="pct"/>
            <w:gridSpan w:val="2"/>
          </w:tcPr>
          <w:p w:rsidR="009C58A0" w:rsidRPr="00271E01" w:rsidRDefault="009C58A0" w:rsidP="00351BC6">
            <w:pPr>
              <w:jc w:val="right"/>
              <w:rPr>
                <w:rFonts w:ascii="Arial" w:hAnsi="Arial" w:cs="Arial"/>
              </w:rPr>
            </w:pPr>
            <w:r>
              <w:rPr>
                <w:rFonts w:ascii="Arial" w:hAnsi="Arial" w:cs="Arial"/>
              </w:rPr>
              <w:t>+14.9%</w:t>
            </w:r>
          </w:p>
        </w:tc>
        <w:tc>
          <w:tcPr>
            <w:tcW w:w="1069" w:type="pct"/>
            <w:gridSpan w:val="2"/>
          </w:tcPr>
          <w:p w:rsidR="009C58A0" w:rsidRPr="00271E01" w:rsidRDefault="009C58A0" w:rsidP="00351BC6">
            <w:pPr>
              <w:jc w:val="right"/>
              <w:rPr>
                <w:rFonts w:ascii="Arial" w:hAnsi="Arial" w:cs="Arial"/>
              </w:rPr>
            </w:pPr>
            <w:r>
              <w:rPr>
                <w:rFonts w:ascii="Arial" w:hAnsi="Arial" w:cs="Arial"/>
              </w:rPr>
              <w:t>(1.4)%</w:t>
            </w:r>
          </w:p>
        </w:tc>
      </w:tr>
      <w:tr w:rsidR="009C58A0" w:rsidRPr="00C24B32" w:rsidTr="00CC4C82">
        <w:tc>
          <w:tcPr>
            <w:tcW w:w="1379" w:type="pct"/>
            <w:tcBorders>
              <w:top w:val="single" w:sz="4" w:space="0" w:color="auto"/>
              <w:bottom w:val="single" w:sz="4" w:space="0" w:color="auto"/>
            </w:tcBorders>
          </w:tcPr>
          <w:p w:rsidR="009C58A0" w:rsidRPr="00C24B32" w:rsidRDefault="009C58A0" w:rsidP="00351BC6">
            <w:pPr>
              <w:jc w:val="left"/>
              <w:rPr>
                <w:rFonts w:ascii="Arial" w:hAnsi="Arial" w:cs="Arial"/>
                <w:b/>
              </w:rPr>
            </w:pPr>
            <w:r w:rsidRPr="00C24B32">
              <w:rPr>
                <w:rFonts w:ascii="Arial" w:hAnsi="Arial" w:cs="Arial"/>
                <w:b/>
              </w:rPr>
              <w:t>Other International</w:t>
            </w:r>
            <w:r w:rsidRPr="00C24B32">
              <w:rPr>
                <w:rFonts w:ascii="Arial" w:hAnsi="Arial" w:cs="Arial"/>
                <w:b/>
                <w:vertAlign w:val="superscript"/>
              </w:rPr>
              <w:t xml:space="preserve"> </w:t>
            </w:r>
          </w:p>
        </w:tc>
        <w:tc>
          <w:tcPr>
            <w:tcW w:w="742" w:type="pct"/>
            <w:tcBorders>
              <w:top w:val="single" w:sz="4" w:space="0" w:color="auto"/>
              <w:bottom w:val="single" w:sz="4" w:space="0" w:color="auto"/>
            </w:tcBorders>
            <w:vAlign w:val="center"/>
          </w:tcPr>
          <w:p w:rsidR="009C58A0" w:rsidRPr="00C24B32" w:rsidRDefault="009C58A0" w:rsidP="00351BC6">
            <w:pPr>
              <w:jc w:val="right"/>
              <w:rPr>
                <w:rFonts w:ascii="Arial" w:hAnsi="Arial" w:cs="Arial"/>
                <w:b/>
              </w:rPr>
            </w:pPr>
            <w:r>
              <w:rPr>
                <w:rFonts w:ascii="Arial" w:hAnsi="Arial" w:cs="Arial"/>
                <w:b/>
              </w:rPr>
              <w:t>653</w:t>
            </w:r>
          </w:p>
        </w:tc>
        <w:tc>
          <w:tcPr>
            <w:tcW w:w="823" w:type="pct"/>
            <w:tcBorders>
              <w:top w:val="single" w:sz="4" w:space="0" w:color="auto"/>
              <w:bottom w:val="single" w:sz="4" w:space="0" w:color="auto"/>
            </w:tcBorders>
            <w:vAlign w:val="center"/>
          </w:tcPr>
          <w:p w:rsidR="009C58A0" w:rsidRPr="00C24B32" w:rsidRDefault="009C58A0" w:rsidP="00351BC6">
            <w:pPr>
              <w:jc w:val="right"/>
              <w:rPr>
                <w:rFonts w:ascii="Arial" w:hAnsi="Arial" w:cs="Arial"/>
                <w:b/>
              </w:rPr>
            </w:pPr>
            <w:r>
              <w:rPr>
                <w:rFonts w:ascii="Arial" w:hAnsi="Arial" w:cs="Arial"/>
                <w:b/>
              </w:rPr>
              <w:t>+14.8%</w:t>
            </w:r>
          </w:p>
        </w:tc>
        <w:tc>
          <w:tcPr>
            <w:tcW w:w="987" w:type="pct"/>
            <w:gridSpan w:val="2"/>
            <w:tcBorders>
              <w:top w:val="single" w:sz="4" w:space="0" w:color="auto"/>
              <w:bottom w:val="single" w:sz="4" w:space="0" w:color="auto"/>
            </w:tcBorders>
            <w:vAlign w:val="center"/>
          </w:tcPr>
          <w:p w:rsidR="009C58A0" w:rsidRPr="00C24B32" w:rsidRDefault="009C58A0" w:rsidP="00351BC6">
            <w:pPr>
              <w:jc w:val="right"/>
              <w:rPr>
                <w:rFonts w:ascii="Arial" w:hAnsi="Arial" w:cs="Arial"/>
                <w:b/>
              </w:rPr>
            </w:pPr>
            <w:r>
              <w:rPr>
                <w:rFonts w:ascii="Arial" w:hAnsi="Arial" w:cs="Arial"/>
                <w:b/>
              </w:rPr>
              <w:t>+11.6%</w:t>
            </w:r>
          </w:p>
        </w:tc>
        <w:tc>
          <w:tcPr>
            <w:tcW w:w="1069" w:type="pct"/>
            <w:gridSpan w:val="2"/>
            <w:tcBorders>
              <w:top w:val="single" w:sz="4" w:space="0" w:color="auto"/>
              <w:bottom w:val="single" w:sz="4" w:space="0" w:color="auto"/>
            </w:tcBorders>
            <w:vAlign w:val="center"/>
          </w:tcPr>
          <w:p w:rsidR="009C58A0" w:rsidRPr="00C24B32" w:rsidRDefault="009C58A0" w:rsidP="00351BC6">
            <w:pPr>
              <w:jc w:val="right"/>
              <w:rPr>
                <w:rFonts w:ascii="Arial" w:hAnsi="Arial" w:cs="Arial"/>
                <w:b/>
              </w:rPr>
            </w:pPr>
            <w:r>
              <w:rPr>
                <w:rFonts w:ascii="Arial" w:hAnsi="Arial" w:cs="Arial"/>
                <w:b/>
              </w:rPr>
              <w:t>+2.9%</w:t>
            </w:r>
          </w:p>
        </w:tc>
      </w:tr>
      <w:tr w:rsidR="009C58A0" w:rsidRPr="00271E01" w:rsidTr="00CC4C82">
        <w:tc>
          <w:tcPr>
            <w:tcW w:w="1379" w:type="pct"/>
            <w:tcBorders>
              <w:top w:val="single" w:sz="4" w:space="0" w:color="auto"/>
              <w:bottom w:val="single" w:sz="4" w:space="0" w:color="auto"/>
            </w:tcBorders>
          </w:tcPr>
          <w:p w:rsidR="009C58A0" w:rsidRPr="00271E01" w:rsidRDefault="009C58A0" w:rsidP="00510473">
            <w:pPr>
              <w:jc w:val="left"/>
              <w:rPr>
                <w:rFonts w:ascii="Arial" w:hAnsi="Arial" w:cs="Arial"/>
                <w:b/>
              </w:rPr>
            </w:pPr>
            <w:r w:rsidRPr="00271E01">
              <w:rPr>
                <w:rFonts w:ascii="Arial" w:hAnsi="Arial" w:cs="Arial"/>
                <w:b/>
              </w:rPr>
              <w:t>Total Group</w:t>
            </w:r>
          </w:p>
        </w:tc>
        <w:tc>
          <w:tcPr>
            <w:tcW w:w="742" w:type="pct"/>
            <w:tcBorders>
              <w:top w:val="single" w:sz="4" w:space="0" w:color="auto"/>
              <w:bottom w:val="single" w:sz="4" w:space="0" w:color="auto"/>
            </w:tcBorders>
          </w:tcPr>
          <w:p w:rsidR="009C58A0" w:rsidRPr="00271E01" w:rsidRDefault="009C58A0" w:rsidP="008C7C56">
            <w:pPr>
              <w:jc w:val="right"/>
              <w:rPr>
                <w:rFonts w:ascii="Arial" w:hAnsi="Arial" w:cs="Arial"/>
                <w:b/>
              </w:rPr>
            </w:pPr>
            <w:r>
              <w:rPr>
                <w:rFonts w:ascii="Arial" w:hAnsi="Arial" w:cs="Arial"/>
                <w:b/>
              </w:rPr>
              <w:t>2,921</w:t>
            </w:r>
          </w:p>
        </w:tc>
        <w:tc>
          <w:tcPr>
            <w:tcW w:w="823" w:type="pct"/>
            <w:tcBorders>
              <w:top w:val="single" w:sz="4" w:space="0" w:color="auto"/>
              <w:bottom w:val="single" w:sz="4" w:space="0" w:color="auto"/>
            </w:tcBorders>
          </w:tcPr>
          <w:p w:rsidR="009C58A0" w:rsidRPr="00271E01" w:rsidRDefault="009C58A0" w:rsidP="008C7C56">
            <w:pPr>
              <w:jc w:val="right"/>
              <w:rPr>
                <w:rFonts w:ascii="Arial" w:hAnsi="Arial" w:cs="Arial"/>
                <w:b/>
              </w:rPr>
            </w:pPr>
            <w:r>
              <w:rPr>
                <w:rFonts w:ascii="Arial" w:hAnsi="Arial" w:cs="Arial"/>
                <w:b/>
              </w:rPr>
              <w:t>+8.0%</w:t>
            </w:r>
          </w:p>
        </w:tc>
        <w:tc>
          <w:tcPr>
            <w:tcW w:w="987" w:type="pct"/>
            <w:gridSpan w:val="2"/>
            <w:tcBorders>
              <w:top w:val="single" w:sz="4" w:space="0" w:color="auto"/>
              <w:bottom w:val="single" w:sz="4" w:space="0" w:color="auto"/>
            </w:tcBorders>
          </w:tcPr>
          <w:p w:rsidR="009C58A0" w:rsidRPr="00271E01" w:rsidRDefault="009C58A0" w:rsidP="000F1FD9">
            <w:pPr>
              <w:jc w:val="right"/>
              <w:rPr>
                <w:rFonts w:ascii="Arial" w:hAnsi="Arial" w:cs="Arial"/>
                <w:b/>
              </w:rPr>
            </w:pPr>
            <w:r>
              <w:rPr>
                <w:rFonts w:ascii="Arial" w:hAnsi="Arial" w:cs="Arial"/>
                <w:b/>
              </w:rPr>
              <w:t>+4.6%</w:t>
            </w:r>
          </w:p>
        </w:tc>
        <w:tc>
          <w:tcPr>
            <w:tcW w:w="1069" w:type="pct"/>
            <w:gridSpan w:val="2"/>
            <w:tcBorders>
              <w:top w:val="single" w:sz="4" w:space="0" w:color="auto"/>
              <w:bottom w:val="single" w:sz="4" w:space="0" w:color="auto"/>
            </w:tcBorders>
          </w:tcPr>
          <w:p w:rsidR="009C58A0" w:rsidRPr="00271E01" w:rsidRDefault="009C58A0" w:rsidP="000F1FD9">
            <w:pPr>
              <w:jc w:val="right"/>
              <w:rPr>
                <w:rFonts w:ascii="Arial" w:hAnsi="Arial" w:cs="Arial"/>
                <w:b/>
              </w:rPr>
            </w:pPr>
            <w:r>
              <w:rPr>
                <w:rFonts w:ascii="Arial" w:hAnsi="Arial" w:cs="Arial"/>
                <w:b/>
              </w:rPr>
              <w:t>+1.4%</w:t>
            </w:r>
          </w:p>
        </w:tc>
      </w:tr>
    </w:tbl>
    <w:p w:rsidR="009C58A0" w:rsidRDefault="009C58A0" w:rsidP="00351BC6">
      <w:pPr>
        <w:tabs>
          <w:tab w:val="left" w:pos="357"/>
        </w:tabs>
        <w:ind w:right="-282"/>
        <w:jc w:val="left"/>
        <w:rPr>
          <w:rFonts w:ascii="Arial" w:hAnsi="Arial" w:cs="Arial"/>
          <w:i/>
          <w:iCs/>
          <w:sz w:val="18"/>
          <w:szCs w:val="18"/>
          <w:vertAlign w:val="superscript"/>
        </w:rPr>
      </w:pPr>
    </w:p>
    <w:p w:rsidR="009C58A0" w:rsidRDefault="009C58A0" w:rsidP="00351BC6">
      <w:pPr>
        <w:tabs>
          <w:tab w:val="left" w:pos="357"/>
        </w:tabs>
        <w:ind w:right="-282"/>
        <w:jc w:val="left"/>
        <w:rPr>
          <w:rFonts w:ascii="Arial" w:hAnsi="Arial" w:cs="Arial"/>
          <w:i/>
          <w:iCs/>
          <w:sz w:val="18"/>
          <w:szCs w:val="18"/>
        </w:rPr>
      </w:pPr>
      <w:r w:rsidRPr="00CC4C82">
        <w:rPr>
          <w:rFonts w:ascii="Arial" w:hAnsi="Arial" w:cs="Arial"/>
          <w:i/>
          <w:iCs/>
          <w:sz w:val="18"/>
          <w:szCs w:val="18"/>
          <w:vertAlign w:val="superscript"/>
        </w:rPr>
        <w:t>(1)</w:t>
      </w:r>
      <w:r>
        <w:rPr>
          <w:rFonts w:ascii="Arial" w:hAnsi="Arial" w:cs="Arial"/>
          <w:i/>
          <w:iCs/>
          <w:sz w:val="18"/>
          <w:szCs w:val="18"/>
        </w:rPr>
        <w:t xml:space="preserve"> </w:t>
      </w:r>
      <w:r w:rsidRPr="00DB7164">
        <w:rPr>
          <w:rFonts w:ascii="Arial" w:hAnsi="Arial" w:cs="Arial"/>
          <w:i/>
          <w:iCs/>
          <w:sz w:val="18"/>
          <w:szCs w:val="18"/>
        </w:rPr>
        <w:t>Joint Venture (Koçtaş JV) and Associate (Hornbach) sales are not consolidate</w:t>
      </w:r>
      <w:r w:rsidR="006F145E">
        <w:rPr>
          <w:rFonts w:ascii="Arial" w:hAnsi="Arial" w:cs="Arial"/>
          <w:i/>
          <w:iCs/>
          <w:sz w:val="18"/>
          <w:szCs w:val="18"/>
        </w:rPr>
        <w:t>d</w:t>
      </w:r>
      <w:r w:rsidR="00820520">
        <w:rPr>
          <w:rFonts w:ascii="Arial" w:hAnsi="Arial" w:cs="Arial"/>
          <w:i/>
          <w:iCs/>
          <w:sz w:val="18"/>
          <w:szCs w:val="18"/>
        </w:rPr>
        <w:t xml:space="preserve">. </w:t>
      </w:r>
      <w:r w:rsidRPr="003F56B4">
        <w:rPr>
          <w:rFonts w:ascii="Arial" w:hAnsi="Arial" w:cs="Arial"/>
          <w:i/>
          <w:iCs/>
          <w:sz w:val="18"/>
          <w:szCs w:val="18"/>
          <w:vertAlign w:val="superscript"/>
        </w:rPr>
        <w:t>(2)</w:t>
      </w:r>
      <w:r>
        <w:rPr>
          <w:rFonts w:ascii="Arial" w:hAnsi="Arial" w:cs="Arial"/>
          <w:i/>
          <w:iCs/>
          <w:sz w:val="18"/>
          <w:szCs w:val="18"/>
        </w:rPr>
        <w:t xml:space="preserve"> Acquisition of 15 stores in Romania completed during </w:t>
      </w:r>
      <w:r w:rsidR="009F27AF">
        <w:rPr>
          <w:rFonts w:ascii="Arial" w:hAnsi="Arial" w:cs="Arial"/>
          <w:i/>
          <w:iCs/>
          <w:sz w:val="18"/>
          <w:szCs w:val="18"/>
        </w:rPr>
        <w:t xml:space="preserve">Q2 </w:t>
      </w:r>
      <w:r>
        <w:rPr>
          <w:rFonts w:ascii="Arial" w:hAnsi="Arial" w:cs="Arial"/>
          <w:i/>
          <w:iCs/>
          <w:sz w:val="18"/>
          <w:szCs w:val="18"/>
        </w:rPr>
        <w:t>2013/14 therefore not applicable</w:t>
      </w:r>
    </w:p>
    <w:p w:rsidR="00693709" w:rsidRDefault="00693709">
      <w:pPr>
        <w:jc w:val="left"/>
        <w:rPr>
          <w:rFonts w:ascii="Arial" w:hAnsi="Arial" w:cs="Arial"/>
          <w:i/>
          <w:iCs/>
          <w:sz w:val="18"/>
          <w:szCs w:val="18"/>
        </w:rPr>
      </w:pPr>
      <w:r>
        <w:rPr>
          <w:rFonts w:ascii="Arial" w:hAnsi="Arial" w:cs="Arial"/>
          <w:i/>
          <w:iCs/>
          <w:sz w:val="18"/>
          <w:szCs w:val="18"/>
        </w:rPr>
        <w:br w:type="page"/>
      </w:r>
    </w:p>
    <w:p w:rsidR="00CA1FB8" w:rsidRDefault="00CA1FB8">
      <w:pPr>
        <w:jc w:val="left"/>
        <w:rPr>
          <w:rFonts w:ascii="Arial" w:hAnsi="Arial" w:cs="Arial"/>
          <w:i/>
          <w:iCs/>
          <w:sz w:val="18"/>
          <w:szCs w:val="18"/>
        </w:rPr>
      </w:pPr>
    </w:p>
    <w:p w:rsidR="009C58A0" w:rsidRDefault="009C58A0" w:rsidP="00351BC6">
      <w:pPr>
        <w:tabs>
          <w:tab w:val="left" w:pos="357"/>
        </w:tabs>
        <w:ind w:right="-282"/>
        <w:jc w:val="left"/>
        <w:rPr>
          <w:rFonts w:ascii="Arial" w:hAnsi="Arial" w:cs="Arial"/>
          <w:i/>
          <w:iCs/>
          <w:sz w:val="18"/>
          <w:szCs w:val="18"/>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9C58A0" w:rsidRPr="00271E01" w:rsidTr="00351BC6">
        <w:trPr>
          <w:trHeight w:val="567"/>
        </w:trPr>
        <w:tc>
          <w:tcPr>
            <w:tcW w:w="2376" w:type="dxa"/>
          </w:tcPr>
          <w:p w:rsidR="009C58A0" w:rsidRPr="00D97E00" w:rsidRDefault="009C58A0" w:rsidP="00351BC6">
            <w:pPr>
              <w:jc w:val="left"/>
              <w:rPr>
                <w:rFonts w:ascii="Arial" w:hAnsi="Arial" w:cs="Arial"/>
                <w:u w:val="single"/>
              </w:rPr>
            </w:pPr>
            <w:r>
              <w:br w:type="page"/>
            </w:r>
          </w:p>
        </w:tc>
        <w:tc>
          <w:tcPr>
            <w:tcW w:w="1134" w:type="dxa"/>
          </w:tcPr>
          <w:p w:rsidR="009C58A0" w:rsidRPr="00271E01" w:rsidRDefault="009C58A0" w:rsidP="00351BC6">
            <w:pPr>
              <w:tabs>
                <w:tab w:val="left" w:pos="300"/>
              </w:tabs>
              <w:jc w:val="right"/>
              <w:rPr>
                <w:rFonts w:ascii="Arial" w:hAnsi="Arial" w:cs="Arial"/>
                <w:b/>
              </w:rPr>
            </w:pPr>
            <w:r w:rsidRPr="00025346">
              <w:rPr>
                <w:rFonts w:ascii="Arial" w:hAnsi="Arial" w:cs="Arial"/>
                <w:b/>
              </w:rPr>
              <w:t>Retail Profit</w:t>
            </w:r>
          </w:p>
        </w:tc>
        <w:tc>
          <w:tcPr>
            <w:tcW w:w="1276" w:type="dxa"/>
          </w:tcPr>
          <w:p w:rsidR="009C58A0" w:rsidRPr="00271E01" w:rsidRDefault="009C58A0" w:rsidP="00351BC6">
            <w:pPr>
              <w:tabs>
                <w:tab w:val="left" w:pos="300"/>
              </w:tabs>
              <w:ind w:hanging="108"/>
              <w:jc w:val="right"/>
              <w:rPr>
                <w:rFonts w:ascii="Arial" w:hAnsi="Arial" w:cs="Arial"/>
                <w:b/>
              </w:rPr>
            </w:pPr>
            <w:r w:rsidRPr="00271E01">
              <w:rPr>
                <w:rFonts w:ascii="Arial" w:hAnsi="Arial" w:cs="Arial"/>
                <w:b/>
              </w:rPr>
              <w:t>% Total</w:t>
            </w:r>
          </w:p>
          <w:p w:rsidR="009C58A0" w:rsidRPr="00271E01" w:rsidRDefault="009C58A0" w:rsidP="00351BC6">
            <w:pPr>
              <w:tabs>
                <w:tab w:val="left" w:pos="300"/>
              </w:tabs>
              <w:ind w:hanging="108"/>
              <w:jc w:val="right"/>
              <w:rPr>
                <w:rFonts w:ascii="Arial" w:hAnsi="Arial" w:cs="Arial"/>
                <w:b/>
              </w:rPr>
            </w:pPr>
            <w:r w:rsidRPr="00271E01">
              <w:rPr>
                <w:rFonts w:ascii="Arial" w:hAnsi="Arial" w:cs="Arial"/>
                <w:b/>
              </w:rPr>
              <w:t>Change</w:t>
            </w:r>
          </w:p>
        </w:tc>
        <w:tc>
          <w:tcPr>
            <w:tcW w:w="1276" w:type="dxa"/>
          </w:tcPr>
          <w:p w:rsidR="009C58A0" w:rsidRPr="00271E01" w:rsidRDefault="009C58A0" w:rsidP="00351BC6">
            <w:pPr>
              <w:jc w:val="right"/>
              <w:rPr>
                <w:rFonts w:ascii="Arial" w:hAnsi="Arial" w:cs="Arial"/>
                <w:b/>
              </w:rPr>
            </w:pPr>
            <w:r w:rsidRPr="00271E01">
              <w:rPr>
                <w:rFonts w:ascii="Arial" w:hAnsi="Arial" w:cs="Arial"/>
                <w:b/>
              </w:rPr>
              <w:t>% Total Change</w:t>
            </w:r>
          </w:p>
        </w:tc>
        <w:tc>
          <w:tcPr>
            <w:tcW w:w="1276" w:type="dxa"/>
          </w:tcPr>
          <w:p w:rsidR="009C58A0" w:rsidRPr="00271E01" w:rsidRDefault="009C58A0" w:rsidP="00351BC6">
            <w:pPr>
              <w:jc w:val="right"/>
              <w:rPr>
                <w:rFonts w:ascii="Arial" w:hAnsi="Arial" w:cs="Arial"/>
                <w:b/>
              </w:rPr>
            </w:pPr>
            <w:r w:rsidRPr="00271E01">
              <w:rPr>
                <w:rFonts w:ascii="Arial" w:hAnsi="Arial" w:cs="Arial"/>
                <w:b/>
              </w:rPr>
              <w:t>Operating Margin</w:t>
            </w:r>
          </w:p>
          <w:p w:rsidR="009C58A0" w:rsidRPr="00271E01" w:rsidRDefault="009C58A0" w:rsidP="00351BC6">
            <w:pPr>
              <w:jc w:val="right"/>
              <w:rPr>
                <w:rFonts w:ascii="Arial" w:hAnsi="Arial" w:cs="Arial"/>
                <w:b/>
              </w:rPr>
            </w:pPr>
          </w:p>
        </w:tc>
        <w:tc>
          <w:tcPr>
            <w:tcW w:w="1274" w:type="dxa"/>
          </w:tcPr>
          <w:p w:rsidR="009C58A0" w:rsidRPr="00271E01" w:rsidRDefault="009C58A0" w:rsidP="00351BC6">
            <w:pPr>
              <w:jc w:val="right"/>
              <w:rPr>
                <w:rFonts w:ascii="Arial" w:hAnsi="Arial" w:cs="Arial"/>
                <w:b/>
              </w:rPr>
            </w:pPr>
            <w:r w:rsidRPr="00271E01">
              <w:rPr>
                <w:rFonts w:ascii="Arial" w:hAnsi="Arial" w:cs="Arial"/>
                <w:b/>
              </w:rPr>
              <w:t>Operating Margin</w:t>
            </w:r>
          </w:p>
          <w:p w:rsidR="009C58A0" w:rsidRPr="00271E01" w:rsidRDefault="009C58A0" w:rsidP="00351BC6">
            <w:pPr>
              <w:jc w:val="right"/>
              <w:rPr>
                <w:rFonts w:ascii="Arial" w:hAnsi="Arial" w:cs="Arial"/>
                <w:b/>
              </w:rPr>
            </w:pPr>
          </w:p>
        </w:tc>
      </w:tr>
      <w:tr w:rsidR="009C58A0" w:rsidRPr="00271E01" w:rsidTr="00351BC6">
        <w:trPr>
          <w:trHeight w:val="531"/>
        </w:trPr>
        <w:tc>
          <w:tcPr>
            <w:tcW w:w="2376" w:type="dxa"/>
            <w:tcBorders>
              <w:bottom w:val="single" w:sz="4" w:space="0" w:color="auto"/>
            </w:tcBorders>
          </w:tcPr>
          <w:p w:rsidR="009C58A0" w:rsidRPr="00271E01" w:rsidRDefault="009C58A0" w:rsidP="00351BC6">
            <w:pPr>
              <w:rPr>
                <w:rFonts w:ascii="Arial" w:hAnsi="Arial" w:cs="Arial"/>
              </w:rPr>
            </w:pPr>
          </w:p>
        </w:tc>
        <w:tc>
          <w:tcPr>
            <w:tcW w:w="1134" w:type="dxa"/>
            <w:tcBorders>
              <w:bottom w:val="single" w:sz="4" w:space="0" w:color="auto"/>
            </w:tcBorders>
          </w:tcPr>
          <w:p w:rsidR="009C58A0" w:rsidRPr="00271E01" w:rsidRDefault="009C58A0" w:rsidP="00351BC6">
            <w:pPr>
              <w:jc w:val="right"/>
              <w:rPr>
                <w:rFonts w:ascii="Arial" w:hAnsi="Arial" w:cs="Arial"/>
                <w:b/>
              </w:rPr>
            </w:pPr>
            <w:r w:rsidRPr="00271E01">
              <w:rPr>
                <w:rFonts w:ascii="Arial" w:hAnsi="Arial" w:cs="Arial"/>
                <w:b/>
              </w:rPr>
              <w:t>£m</w:t>
            </w:r>
          </w:p>
          <w:p w:rsidR="009C58A0" w:rsidRPr="00271E01" w:rsidRDefault="009C58A0" w:rsidP="00351BC6">
            <w:pPr>
              <w:jc w:val="right"/>
              <w:rPr>
                <w:rFonts w:ascii="Arial" w:hAnsi="Arial" w:cs="Arial"/>
                <w:b/>
              </w:rPr>
            </w:pPr>
            <w:r>
              <w:rPr>
                <w:rFonts w:ascii="Arial" w:hAnsi="Arial" w:cs="Arial"/>
                <w:b/>
              </w:rPr>
              <w:t>2013</w:t>
            </w:r>
            <w:r w:rsidRPr="00271E01">
              <w:rPr>
                <w:rFonts w:ascii="Arial" w:hAnsi="Arial" w:cs="Arial"/>
                <w:b/>
              </w:rPr>
              <w:t>/1</w:t>
            </w:r>
            <w:r>
              <w:rPr>
                <w:rFonts w:ascii="Arial" w:hAnsi="Arial" w:cs="Arial"/>
                <w:b/>
              </w:rPr>
              <w:t>4</w:t>
            </w:r>
          </w:p>
        </w:tc>
        <w:tc>
          <w:tcPr>
            <w:tcW w:w="1276" w:type="dxa"/>
            <w:tcBorders>
              <w:bottom w:val="single" w:sz="4" w:space="0" w:color="auto"/>
            </w:tcBorders>
          </w:tcPr>
          <w:p w:rsidR="009C58A0" w:rsidRPr="00271E01" w:rsidRDefault="009C58A0" w:rsidP="00351BC6">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bottom w:val="single" w:sz="4" w:space="0" w:color="auto"/>
            </w:tcBorders>
          </w:tcPr>
          <w:p w:rsidR="009C58A0" w:rsidRPr="00271E01" w:rsidRDefault="009C58A0" w:rsidP="00351BC6">
            <w:pPr>
              <w:jc w:val="right"/>
              <w:rPr>
                <w:rFonts w:ascii="Arial" w:hAnsi="Arial" w:cs="Arial"/>
                <w:b/>
              </w:rPr>
            </w:pPr>
            <w:r w:rsidRPr="00271E01">
              <w:rPr>
                <w:rFonts w:ascii="Arial" w:hAnsi="Arial" w:cs="Arial"/>
                <w:b/>
              </w:rPr>
              <w:t>Constant currency</w:t>
            </w:r>
          </w:p>
        </w:tc>
        <w:tc>
          <w:tcPr>
            <w:tcW w:w="1276" w:type="dxa"/>
            <w:tcBorders>
              <w:bottom w:val="single" w:sz="4" w:space="0" w:color="auto"/>
            </w:tcBorders>
          </w:tcPr>
          <w:p w:rsidR="009C58A0" w:rsidRPr="00271E01" w:rsidRDefault="006F145E" w:rsidP="00351BC6">
            <w:pPr>
              <w:jc w:val="right"/>
              <w:rPr>
                <w:rFonts w:ascii="Arial" w:hAnsi="Arial" w:cs="Arial"/>
                <w:b/>
              </w:rPr>
            </w:pPr>
            <w:r>
              <w:rPr>
                <w:rFonts w:ascii="Arial" w:hAnsi="Arial" w:cs="Arial"/>
                <w:b/>
              </w:rPr>
              <w:t>% 2013</w:t>
            </w:r>
            <w:r w:rsidRPr="00271E01">
              <w:rPr>
                <w:rFonts w:ascii="Arial" w:hAnsi="Arial" w:cs="Arial"/>
                <w:b/>
              </w:rPr>
              <w:t>/1</w:t>
            </w:r>
            <w:r>
              <w:rPr>
                <w:rFonts w:ascii="Arial" w:hAnsi="Arial" w:cs="Arial"/>
                <w:b/>
              </w:rPr>
              <w:t>4</w:t>
            </w:r>
          </w:p>
        </w:tc>
        <w:tc>
          <w:tcPr>
            <w:tcW w:w="1274" w:type="dxa"/>
            <w:tcBorders>
              <w:bottom w:val="single" w:sz="4" w:space="0" w:color="auto"/>
            </w:tcBorders>
          </w:tcPr>
          <w:p w:rsidR="009C58A0" w:rsidRPr="00271E01" w:rsidRDefault="006F145E" w:rsidP="00351BC6">
            <w:pPr>
              <w:jc w:val="right"/>
              <w:rPr>
                <w:rFonts w:ascii="Arial" w:hAnsi="Arial" w:cs="Arial"/>
                <w:b/>
              </w:rPr>
            </w:pPr>
            <w:r>
              <w:rPr>
                <w:rFonts w:ascii="Arial" w:hAnsi="Arial" w:cs="Arial"/>
                <w:b/>
              </w:rPr>
              <w:t>% 2012</w:t>
            </w:r>
            <w:r w:rsidRPr="00271E01">
              <w:rPr>
                <w:rFonts w:ascii="Arial" w:hAnsi="Arial" w:cs="Arial"/>
                <w:b/>
              </w:rPr>
              <w:t>/1</w:t>
            </w:r>
            <w:r>
              <w:rPr>
                <w:rFonts w:ascii="Arial" w:hAnsi="Arial" w:cs="Arial"/>
                <w:b/>
              </w:rPr>
              <w:t>3</w:t>
            </w:r>
          </w:p>
        </w:tc>
      </w:tr>
      <w:tr w:rsidR="009C58A0" w:rsidRPr="00C24B32" w:rsidTr="00351BC6">
        <w:tc>
          <w:tcPr>
            <w:tcW w:w="2376" w:type="dxa"/>
            <w:tcBorders>
              <w:top w:val="single" w:sz="4" w:space="0" w:color="auto"/>
            </w:tcBorders>
          </w:tcPr>
          <w:p w:rsidR="009C58A0" w:rsidRPr="00C24B32" w:rsidRDefault="009C58A0" w:rsidP="00351BC6">
            <w:pPr>
              <w:spacing w:before="40"/>
              <w:rPr>
                <w:rFonts w:ascii="Arial" w:hAnsi="Arial" w:cs="Arial"/>
                <w:b/>
              </w:rPr>
            </w:pPr>
            <w:r w:rsidRPr="00C24B32">
              <w:rPr>
                <w:rFonts w:ascii="Arial" w:hAnsi="Arial" w:cs="Arial"/>
                <w:b/>
              </w:rPr>
              <w:t>France</w:t>
            </w:r>
          </w:p>
        </w:tc>
        <w:tc>
          <w:tcPr>
            <w:tcW w:w="1134" w:type="dxa"/>
            <w:tcBorders>
              <w:top w:val="single" w:sz="4" w:space="0" w:color="auto"/>
            </w:tcBorders>
          </w:tcPr>
          <w:p w:rsidR="009C58A0" w:rsidRPr="00C24B32" w:rsidRDefault="009C58A0" w:rsidP="00351BC6">
            <w:pPr>
              <w:spacing w:before="40"/>
              <w:jc w:val="right"/>
              <w:rPr>
                <w:rFonts w:ascii="Arial" w:hAnsi="Arial" w:cs="Arial"/>
                <w:b/>
              </w:rPr>
            </w:pPr>
            <w:r>
              <w:rPr>
                <w:rFonts w:ascii="Arial" w:hAnsi="Arial" w:cs="Arial"/>
                <w:b/>
              </w:rPr>
              <w:t>140</w:t>
            </w:r>
          </w:p>
        </w:tc>
        <w:tc>
          <w:tcPr>
            <w:tcW w:w="1276" w:type="dxa"/>
            <w:tcBorders>
              <w:top w:val="single" w:sz="4" w:space="0" w:color="auto"/>
            </w:tcBorders>
          </w:tcPr>
          <w:p w:rsidR="009C58A0" w:rsidRPr="00C24B32" w:rsidRDefault="009C58A0" w:rsidP="00351BC6">
            <w:pPr>
              <w:spacing w:before="40"/>
              <w:jc w:val="right"/>
              <w:rPr>
                <w:rFonts w:ascii="Arial" w:hAnsi="Arial" w:cs="Arial"/>
                <w:b/>
              </w:rPr>
            </w:pPr>
            <w:r>
              <w:rPr>
                <w:rFonts w:ascii="Arial" w:hAnsi="Arial" w:cs="Arial"/>
                <w:b/>
              </w:rPr>
              <w:t>0.2%</w:t>
            </w:r>
          </w:p>
        </w:tc>
        <w:tc>
          <w:tcPr>
            <w:tcW w:w="1276" w:type="dxa"/>
            <w:tcBorders>
              <w:top w:val="single" w:sz="4" w:space="0" w:color="auto"/>
            </w:tcBorders>
          </w:tcPr>
          <w:p w:rsidR="009C58A0" w:rsidRPr="00C24B32" w:rsidRDefault="009C58A0" w:rsidP="00351BC6">
            <w:pPr>
              <w:spacing w:before="40"/>
              <w:jc w:val="right"/>
              <w:rPr>
                <w:rFonts w:ascii="Arial" w:hAnsi="Arial" w:cs="Arial"/>
                <w:b/>
              </w:rPr>
            </w:pPr>
            <w:r>
              <w:rPr>
                <w:rFonts w:ascii="Arial" w:hAnsi="Arial" w:cs="Arial"/>
                <w:b/>
              </w:rPr>
              <w:t>(5.6)%</w:t>
            </w:r>
          </w:p>
        </w:tc>
        <w:tc>
          <w:tcPr>
            <w:tcW w:w="1276" w:type="dxa"/>
            <w:tcBorders>
              <w:top w:val="single" w:sz="4" w:space="0" w:color="auto"/>
            </w:tcBorders>
          </w:tcPr>
          <w:p w:rsidR="009C58A0" w:rsidRPr="006F145E" w:rsidRDefault="009C58A0" w:rsidP="00351BC6">
            <w:pPr>
              <w:spacing w:before="40"/>
              <w:jc w:val="right"/>
              <w:rPr>
                <w:rFonts w:ascii="Arial" w:hAnsi="Arial" w:cs="Arial"/>
                <w:b/>
              </w:rPr>
            </w:pPr>
            <w:r w:rsidRPr="006F145E">
              <w:rPr>
                <w:rFonts w:ascii="Arial" w:hAnsi="Arial" w:cs="Arial"/>
                <w:b/>
              </w:rPr>
              <w:t>1</w:t>
            </w:r>
            <w:r w:rsidR="006F145E">
              <w:rPr>
                <w:rFonts w:ascii="Arial" w:hAnsi="Arial" w:cs="Arial"/>
                <w:b/>
              </w:rPr>
              <w:t>2.0</w:t>
            </w:r>
            <w:r w:rsidRPr="006F145E">
              <w:rPr>
                <w:rFonts w:ascii="Arial" w:hAnsi="Arial" w:cs="Arial"/>
                <w:b/>
              </w:rPr>
              <w:t>%</w:t>
            </w:r>
          </w:p>
        </w:tc>
        <w:tc>
          <w:tcPr>
            <w:tcW w:w="1274" w:type="dxa"/>
            <w:tcBorders>
              <w:top w:val="single" w:sz="4" w:space="0" w:color="auto"/>
            </w:tcBorders>
          </w:tcPr>
          <w:p w:rsidR="009C58A0" w:rsidRPr="006F145E" w:rsidRDefault="009C58A0" w:rsidP="00351BC6">
            <w:pPr>
              <w:spacing w:before="40"/>
              <w:jc w:val="right"/>
              <w:rPr>
                <w:rFonts w:ascii="Arial" w:hAnsi="Arial" w:cs="Arial"/>
                <w:b/>
              </w:rPr>
            </w:pPr>
            <w:r w:rsidRPr="006F145E">
              <w:rPr>
                <w:rFonts w:ascii="Arial" w:hAnsi="Arial" w:cs="Arial"/>
                <w:b/>
              </w:rPr>
              <w:t>13.0%</w:t>
            </w:r>
          </w:p>
        </w:tc>
      </w:tr>
      <w:tr w:rsidR="009C58A0" w:rsidRPr="00271E01" w:rsidTr="00351BC6">
        <w:tc>
          <w:tcPr>
            <w:tcW w:w="2376" w:type="dxa"/>
            <w:tcBorders>
              <w:top w:val="single" w:sz="4" w:space="0" w:color="auto"/>
              <w:bottom w:val="single" w:sz="4" w:space="0" w:color="auto"/>
            </w:tcBorders>
          </w:tcPr>
          <w:p w:rsidR="009C58A0" w:rsidRPr="00271E01" w:rsidRDefault="009C58A0" w:rsidP="00351BC6">
            <w:pPr>
              <w:spacing w:before="40"/>
              <w:jc w:val="left"/>
              <w:rPr>
                <w:rFonts w:ascii="Arial" w:hAnsi="Arial" w:cs="Arial"/>
                <w:b/>
                <w:vertAlign w:val="superscript"/>
              </w:rPr>
            </w:pPr>
            <w:r w:rsidRPr="00271E01">
              <w:rPr>
                <w:rFonts w:ascii="Arial" w:hAnsi="Arial" w:cs="Arial"/>
                <w:b/>
              </w:rPr>
              <w:t>UK &amp; Ireland</w:t>
            </w:r>
            <w:r>
              <w:rPr>
                <w:rFonts w:ascii="Arial" w:hAnsi="Arial" w:cs="Arial"/>
                <w:b/>
              </w:rPr>
              <w:t xml:space="preserve"> </w:t>
            </w:r>
            <w:r w:rsidRPr="00094372">
              <w:rPr>
                <w:rFonts w:ascii="Arial" w:hAnsi="Arial" w:cs="Arial"/>
                <w:b/>
                <w:i/>
                <w:vertAlign w:val="superscript"/>
              </w:rPr>
              <w:t>(1)</w:t>
            </w:r>
          </w:p>
        </w:tc>
        <w:tc>
          <w:tcPr>
            <w:tcW w:w="1134" w:type="dxa"/>
            <w:tcBorders>
              <w:top w:val="single" w:sz="4" w:space="0" w:color="auto"/>
              <w:bottom w:val="single" w:sz="4" w:space="0" w:color="auto"/>
            </w:tcBorders>
          </w:tcPr>
          <w:p w:rsidR="009C58A0" w:rsidRPr="00271E01" w:rsidRDefault="009C58A0" w:rsidP="00351BC6">
            <w:pPr>
              <w:spacing w:before="40"/>
              <w:jc w:val="right"/>
              <w:rPr>
                <w:rFonts w:ascii="Arial" w:hAnsi="Arial" w:cs="Arial"/>
                <w:b/>
              </w:rPr>
            </w:pPr>
            <w:r>
              <w:rPr>
                <w:rFonts w:ascii="Arial" w:hAnsi="Arial" w:cs="Arial"/>
                <w:b/>
              </w:rPr>
              <w:t>63</w:t>
            </w:r>
          </w:p>
        </w:tc>
        <w:tc>
          <w:tcPr>
            <w:tcW w:w="1276" w:type="dxa"/>
            <w:tcBorders>
              <w:top w:val="single" w:sz="4" w:space="0" w:color="auto"/>
              <w:bottom w:val="single" w:sz="4" w:space="0" w:color="auto"/>
            </w:tcBorders>
          </w:tcPr>
          <w:p w:rsidR="009C58A0" w:rsidRPr="00271E01" w:rsidRDefault="009C58A0" w:rsidP="00351BC6">
            <w:pPr>
              <w:spacing w:before="40"/>
              <w:jc w:val="right"/>
              <w:rPr>
                <w:rFonts w:ascii="Arial" w:hAnsi="Arial" w:cs="Arial"/>
                <w:b/>
              </w:rPr>
            </w:pPr>
            <w:r>
              <w:rPr>
                <w:rFonts w:ascii="Arial" w:hAnsi="Arial" w:cs="Arial"/>
                <w:b/>
              </w:rPr>
              <w:t>+7.9%</w:t>
            </w:r>
          </w:p>
        </w:tc>
        <w:tc>
          <w:tcPr>
            <w:tcW w:w="1276" w:type="dxa"/>
            <w:tcBorders>
              <w:top w:val="single" w:sz="4" w:space="0" w:color="auto"/>
              <w:bottom w:val="single" w:sz="4" w:space="0" w:color="auto"/>
            </w:tcBorders>
          </w:tcPr>
          <w:p w:rsidR="009C58A0" w:rsidRPr="00271E01" w:rsidRDefault="009C58A0" w:rsidP="00351BC6">
            <w:pPr>
              <w:spacing w:before="40"/>
              <w:jc w:val="right"/>
              <w:rPr>
                <w:rFonts w:ascii="Arial" w:hAnsi="Arial" w:cs="Arial"/>
                <w:b/>
              </w:rPr>
            </w:pPr>
            <w:r>
              <w:rPr>
                <w:rFonts w:ascii="Arial" w:hAnsi="Arial" w:cs="Arial"/>
                <w:b/>
              </w:rPr>
              <w:t>+8.3%</w:t>
            </w:r>
          </w:p>
        </w:tc>
        <w:tc>
          <w:tcPr>
            <w:tcW w:w="1276" w:type="dxa"/>
            <w:tcBorders>
              <w:top w:val="single" w:sz="4" w:space="0" w:color="auto"/>
              <w:bottom w:val="single" w:sz="4" w:space="0" w:color="auto"/>
            </w:tcBorders>
          </w:tcPr>
          <w:p w:rsidR="009C58A0" w:rsidRPr="006F145E" w:rsidRDefault="009C58A0">
            <w:pPr>
              <w:spacing w:before="40"/>
              <w:jc w:val="right"/>
              <w:rPr>
                <w:rFonts w:ascii="Arial" w:hAnsi="Arial" w:cs="Arial"/>
                <w:b/>
              </w:rPr>
            </w:pPr>
            <w:r w:rsidRPr="006F145E">
              <w:rPr>
                <w:rFonts w:ascii="Arial" w:hAnsi="Arial" w:cs="Arial"/>
                <w:b/>
              </w:rPr>
              <w:t>5.8%</w:t>
            </w:r>
          </w:p>
        </w:tc>
        <w:tc>
          <w:tcPr>
            <w:tcW w:w="1274" w:type="dxa"/>
            <w:tcBorders>
              <w:top w:val="single" w:sz="4" w:space="0" w:color="auto"/>
              <w:bottom w:val="single" w:sz="4" w:space="0" w:color="auto"/>
            </w:tcBorders>
          </w:tcPr>
          <w:p w:rsidR="009C58A0" w:rsidRPr="006F145E" w:rsidRDefault="009C58A0" w:rsidP="00351BC6">
            <w:pPr>
              <w:spacing w:before="40"/>
              <w:jc w:val="right"/>
              <w:rPr>
                <w:rFonts w:ascii="Arial" w:hAnsi="Arial" w:cs="Arial"/>
                <w:b/>
              </w:rPr>
            </w:pPr>
            <w:r w:rsidRPr="006F145E">
              <w:rPr>
                <w:rFonts w:ascii="Arial" w:hAnsi="Arial" w:cs="Arial"/>
                <w:b/>
              </w:rPr>
              <w:t>5.5%</w:t>
            </w:r>
          </w:p>
        </w:tc>
      </w:tr>
      <w:tr w:rsidR="009C58A0" w:rsidRPr="00271E01" w:rsidTr="00351BC6">
        <w:tc>
          <w:tcPr>
            <w:tcW w:w="2376" w:type="dxa"/>
            <w:tcBorders>
              <w:top w:val="single" w:sz="4" w:space="0" w:color="auto"/>
            </w:tcBorders>
          </w:tcPr>
          <w:p w:rsidR="009C58A0" w:rsidRPr="00271E01" w:rsidRDefault="009C58A0" w:rsidP="00351BC6">
            <w:pPr>
              <w:jc w:val="left"/>
              <w:rPr>
                <w:rFonts w:ascii="Arial" w:hAnsi="Arial" w:cs="Arial"/>
              </w:rPr>
            </w:pPr>
            <w:r w:rsidRPr="00271E01">
              <w:rPr>
                <w:rFonts w:ascii="Arial" w:hAnsi="Arial" w:cs="Arial"/>
              </w:rPr>
              <w:t>Poland</w:t>
            </w:r>
          </w:p>
        </w:tc>
        <w:tc>
          <w:tcPr>
            <w:tcW w:w="1134" w:type="dxa"/>
            <w:tcBorders>
              <w:top w:val="single" w:sz="4" w:space="0" w:color="auto"/>
            </w:tcBorders>
          </w:tcPr>
          <w:p w:rsidR="009C58A0" w:rsidRPr="00C514EC" w:rsidRDefault="009C58A0" w:rsidP="00351BC6">
            <w:pPr>
              <w:jc w:val="right"/>
              <w:rPr>
                <w:rFonts w:ascii="Arial" w:hAnsi="Arial" w:cs="Arial"/>
              </w:rPr>
            </w:pPr>
            <w:r>
              <w:rPr>
                <w:rFonts w:ascii="Arial" w:hAnsi="Arial" w:cs="Arial"/>
              </w:rPr>
              <w:t>42</w:t>
            </w:r>
          </w:p>
        </w:tc>
        <w:tc>
          <w:tcPr>
            <w:tcW w:w="1276" w:type="dxa"/>
            <w:tcBorders>
              <w:top w:val="single" w:sz="4" w:space="0" w:color="auto"/>
            </w:tcBorders>
          </w:tcPr>
          <w:p w:rsidR="009C58A0" w:rsidRPr="00C514EC" w:rsidRDefault="009C58A0" w:rsidP="00351BC6">
            <w:pPr>
              <w:jc w:val="right"/>
              <w:rPr>
                <w:rFonts w:ascii="Arial" w:hAnsi="Arial" w:cs="Arial"/>
              </w:rPr>
            </w:pPr>
            <w:r>
              <w:rPr>
                <w:rFonts w:ascii="Arial" w:hAnsi="Arial" w:cs="Arial"/>
              </w:rPr>
              <w:t>+23.0%</w:t>
            </w:r>
          </w:p>
        </w:tc>
        <w:tc>
          <w:tcPr>
            <w:tcW w:w="1276" w:type="dxa"/>
            <w:tcBorders>
              <w:top w:val="single" w:sz="4" w:space="0" w:color="auto"/>
            </w:tcBorders>
          </w:tcPr>
          <w:p w:rsidR="009C58A0" w:rsidRPr="00C514EC" w:rsidRDefault="009C58A0" w:rsidP="00351BC6">
            <w:pPr>
              <w:jc w:val="right"/>
              <w:rPr>
                <w:rFonts w:ascii="Arial" w:hAnsi="Arial" w:cs="Arial"/>
              </w:rPr>
            </w:pPr>
            <w:r>
              <w:rPr>
                <w:rFonts w:ascii="Arial" w:hAnsi="Arial" w:cs="Arial"/>
              </w:rPr>
              <w:t>+18.2%</w:t>
            </w:r>
          </w:p>
        </w:tc>
        <w:tc>
          <w:tcPr>
            <w:tcW w:w="1276" w:type="dxa"/>
            <w:tcBorders>
              <w:top w:val="single" w:sz="4" w:space="0" w:color="auto"/>
            </w:tcBorders>
          </w:tcPr>
          <w:p w:rsidR="009C58A0" w:rsidRPr="006F145E" w:rsidRDefault="009C58A0" w:rsidP="00351BC6">
            <w:pPr>
              <w:jc w:val="right"/>
              <w:rPr>
                <w:rFonts w:ascii="Arial" w:hAnsi="Arial" w:cs="Arial"/>
              </w:rPr>
            </w:pPr>
            <w:r w:rsidRPr="006F145E">
              <w:rPr>
                <w:rFonts w:ascii="Arial" w:hAnsi="Arial" w:cs="Arial"/>
              </w:rPr>
              <w:t>13.7%</w:t>
            </w:r>
          </w:p>
        </w:tc>
        <w:tc>
          <w:tcPr>
            <w:tcW w:w="1274" w:type="dxa"/>
            <w:tcBorders>
              <w:top w:val="single" w:sz="4" w:space="0" w:color="auto"/>
            </w:tcBorders>
          </w:tcPr>
          <w:p w:rsidR="009C58A0" w:rsidRPr="006F145E" w:rsidRDefault="009C58A0" w:rsidP="00351BC6">
            <w:pPr>
              <w:jc w:val="right"/>
              <w:rPr>
                <w:rFonts w:ascii="Arial" w:hAnsi="Arial" w:cs="Arial"/>
              </w:rPr>
            </w:pPr>
            <w:r w:rsidRPr="006F145E">
              <w:rPr>
                <w:rFonts w:ascii="Arial" w:hAnsi="Arial" w:cs="Arial"/>
              </w:rPr>
              <w:t>11.8%</w:t>
            </w:r>
          </w:p>
        </w:tc>
      </w:tr>
      <w:tr w:rsidR="009C58A0" w:rsidRPr="00271E01" w:rsidTr="00351BC6">
        <w:tc>
          <w:tcPr>
            <w:tcW w:w="2376" w:type="dxa"/>
          </w:tcPr>
          <w:p w:rsidR="009C58A0" w:rsidRPr="00271E01" w:rsidRDefault="009C58A0" w:rsidP="00351BC6">
            <w:pPr>
              <w:jc w:val="left"/>
              <w:rPr>
                <w:rFonts w:ascii="Arial" w:hAnsi="Arial" w:cs="Arial"/>
              </w:rPr>
            </w:pPr>
            <w:r w:rsidRPr="00271E01">
              <w:rPr>
                <w:rFonts w:ascii="Arial" w:hAnsi="Arial" w:cs="Arial"/>
              </w:rPr>
              <w:t>China</w:t>
            </w:r>
          </w:p>
        </w:tc>
        <w:tc>
          <w:tcPr>
            <w:tcW w:w="1134" w:type="dxa"/>
          </w:tcPr>
          <w:p w:rsidR="009C58A0" w:rsidRPr="00C514EC" w:rsidRDefault="009C58A0" w:rsidP="00351BC6">
            <w:pPr>
              <w:jc w:val="right"/>
              <w:rPr>
                <w:rFonts w:ascii="Arial" w:hAnsi="Arial" w:cs="Arial"/>
              </w:rPr>
            </w:pPr>
            <w:r>
              <w:rPr>
                <w:rFonts w:ascii="Arial" w:hAnsi="Arial" w:cs="Arial"/>
              </w:rPr>
              <w:t>(4)</w:t>
            </w:r>
          </w:p>
        </w:tc>
        <w:tc>
          <w:tcPr>
            <w:tcW w:w="1276" w:type="dxa"/>
          </w:tcPr>
          <w:p w:rsidR="009C58A0" w:rsidRPr="00C514EC" w:rsidRDefault="009C58A0" w:rsidP="00351BC6">
            <w:pPr>
              <w:jc w:val="right"/>
              <w:rPr>
                <w:rFonts w:ascii="Arial" w:hAnsi="Arial" w:cs="Arial"/>
              </w:rPr>
            </w:pPr>
            <w:r>
              <w:rPr>
                <w:rFonts w:ascii="Arial" w:hAnsi="Arial" w:cs="Arial"/>
              </w:rPr>
              <w:t>(43.2)%</w:t>
            </w:r>
          </w:p>
        </w:tc>
        <w:tc>
          <w:tcPr>
            <w:tcW w:w="1276" w:type="dxa"/>
          </w:tcPr>
          <w:p w:rsidR="009C58A0" w:rsidRPr="00C514EC" w:rsidRDefault="009C58A0" w:rsidP="00351BC6">
            <w:pPr>
              <w:jc w:val="right"/>
              <w:rPr>
                <w:rFonts w:ascii="Arial" w:hAnsi="Arial" w:cs="Arial"/>
              </w:rPr>
            </w:pPr>
            <w:r>
              <w:rPr>
                <w:rFonts w:ascii="Arial" w:hAnsi="Arial" w:cs="Arial"/>
              </w:rPr>
              <w:t>(37.2)%</w:t>
            </w:r>
          </w:p>
        </w:tc>
        <w:tc>
          <w:tcPr>
            <w:tcW w:w="1276" w:type="dxa"/>
          </w:tcPr>
          <w:p w:rsidR="009C58A0" w:rsidRPr="006F145E" w:rsidRDefault="009C58A0" w:rsidP="00B2766A">
            <w:pPr>
              <w:jc w:val="right"/>
              <w:rPr>
                <w:rFonts w:ascii="Arial" w:hAnsi="Arial" w:cs="Arial"/>
              </w:rPr>
            </w:pPr>
            <w:r w:rsidRPr="006F145E">
              <w:rPr>
                <w:rFonts w:ascii="Arial" w:hAnsi="Arial" w:cs="Arial"/>
              </w:rPr>
              <w:t>(3.</w:t>
            </w:r>
            <w:r w:rsidR="006F145E">
              <w:rPr>
                <w:rFonts w:ascii="Arial" w:hAnsi="Arial" w:cs="Arial"/>
              </w:rPr>
              <w:t>4</w:t>
            </w:r>
            <w:r w:rsidRPr="006F145E">
              <w:rPr>
                <w:rFonts w:ascii="Arial" w:hAnsi="Arial" w:cs="Arial"/>
              </w:rPr>
              <w:t>)%</w:t>
            </w:r>
          </w:p>
        </w:tc>
        <w:tc>
          <w:tcPr>
            <w:tcW w:w="1274" w:type="dxa"/>
          </w:tcPr>
          <w:p w:rsidR="009C58A0" w:rsidRPr="006F145E" w:rsidRDefault="009C58A0" w:rsidP="00351BC6">
            <w:pPr>
              <w:jc w:val="right"/>
              <w:rPr>
                <w:rFonts w:ascii="Arial" w:hAnsi="Arial" w:cs="Arial"/>
              </w:rPr>
            </w:pPr>
            <w:r w:rsidRPr="006F145E">
              <w:rPr>
                <w:rFonts w:ascii="Arial" w:hAnsi="Arial" w:cs="Arial"/>
              </w:rPr>
              <w:t>(</w:t>
            </w:r>
            <w:r w:rsidR="006F145E">
              <w:rPr>
                <w:rFonts w:ascii="Arial" w:hAnsi="Arial" w:cs="Arial"/>
              </w:rPr>
              <w:t>2</w:t>
            </w:r>
            <w:r w:rsidRPr="006F145E">
              <w:rPr>
                <w:rFonts w:ascii="Arial" w:hAnsi="Arial" w:cs="Arial"/>
              </w:rPr>
              <w:t>.</w:t>
            </w:r>
            <w:r w:rsidR="006F145E">
              <w:rPr>
                <w:rFonts w:ascii="Arial" w:hAnsi="Arial" w:cs="Arial"/>
              </w:rPr>
              <w:t>8</w:t>
            </w:r>
            <w:r w:rsidRPr="006F145E">
              <w:rPr>
                <w:rFonts w:ascii="Arial" w:hAnsi="Arial" w:cs="Arial"/>
              </w:rPr>
              <w:t>)%</w:t>
            </w:r>
          </w:p>
        </w:tc>
      </w:tr>
      <w:tr w:rsidR="009C58A0" w:rsidRPr="00271E01" w:rsidTr="00351BC6">
        <w:tc>
          <w:tcPr>
            <w:tcW w:w="2376" w:type="dxa"/>
          </w:tcPr>
          <w:p w:rsidR="009C58A0" w:rsidRPr="00271E01" w:rsidRDefault="009C58A0" w:rsidP="00351BC6">
            <w:pPr>
              <w:jc w:val="left"/>
              <w:rPr>
                <w:rFonts w:ascii="Arial" w:hAnsi="Arial" w:cs="Arial"/>
              </w:rPr>
            </w:pPr>
            <w:r>
              <w:rPr>
                <w:rFonts w:ascii="Arial" w:hAnsi="Arial" w:cs="Arial"/>
              </w:rPr>
              <w:t>Romania</w:t>
            </w:r>
          </w:p>
        </w:tc>
        <w:tc>
          <w:tcPr>
            <w:tcW w:w="1134" w:type="dxa"/>
          </w:tcPr>
          <w:p w:rsidR="009C58A0" w:rsidRPr="00C514EC" w:rsidRDefault="009C58A0" w:rsidP="00351BC6">
            <w:pPr>
              <w:jc w:val="right"/>
              <w:rPr>
                <w:rFonts w:ascii="Arial" w:hAnsi="Arial" w:cs="Arial"/>
              </w:rPr>
            </w:pPr>
            <w:r>
              <w:rPr>
                <w:rFonts w:ascii="Arial" w:hAnsi="Arial" w:cs="Arial"/>
              </w:rPr>
              <w:t>1</w:t>
            </w:r>
          </w:p>
        </w:tc>
        <w:tc>
          <w:tcPr>
            <w:tcW w:w="1276" w:type="dxa"/>
          </w:tcPr>
          <w:p w:rsidR="009C58A0" w:rsidRPr="00C514EC" w:rsidRDefault="009C58A0" w:rsidP="00351BC6">
            <w:pPr>
              <w:jc w:val="right"/>
              <w:rPr>
                <w:rFonts w:ascii="Arial" w:hAnsi="Arial" w:cs="Arial"/>
              </w:rPr>
            </w:pPr>
            <w:r>
              <w:rPr>
                <w:rFonts w:ascii="Arial" w:hAnsi="Arial" w:cs="Arial"/>
              </w:rPr>
              <w:t xml:space="preserve">n/a </w:t>
            </w:r>
            <w:r w:rsidRPr="00530853">
              <w:rPr>
                <w:rFonts w:ascii="Arial" w:hAnsi="Arial" w:cs="Arial"/>
                <w:i/>
                <w:vertAlign w:val="superscript"/>
              </w:rPr>
              <w:t>(2)</w:t>
            </w:r>
          </w:p>
        </w:tc>
        <w:tc>
          <w:tcPr>
            <w:tcW w:w="1276" w:type="dxa"/>
          </w:tcPr>
          <w:p w:rsidR="009C58A0" w:rsidRPr="00C514EC" w:rsidRDefault="009C58A0" w:rsidP="00351BC6">
            <w:pPr>
              <w:jc w:val="right"/>
              <w:rPr>
                <w:rFonts w:ascii="Arial" w:hAnsi="Arial" w:cs="Arial"/>
              </w:rPr>
            </w:pPr>
            <w:r>
              <w:rPr>
                <w:rFonts w:ascii="Arial" w:hAnsi="Arial" w:cs="Arial"/>
              </w:rPr>
              <w:t xml:space="preserve">n/a </w:t>
            </w:r>
            <w:r w:rsidRPr="00530853">
              <w:rPr>
                <w:rFonts w:ascii="Arial" w:hAnsi="Arial" w:cs="Arial"/>
                <w:i/>
                <w:vertAlign w:val="superscript"/>
              </w:rPr>
              <w:t>(2)</w:t>
            </w:r>
          </w:p>
        </w:tc>
        <w:tc>
          <w:tcPr>
            <w:tcW w:w="1276" w:type="dxa"/>
          </w:tcPr>
          <w:p w:rsidR="009C58A0" w:rsidRPr="006F145E" w:rsidRDefault="009D3480" w:rsidP="00351BC6">
            <w:pPr>
              <w:jc w:val="right"/>
              <w:rPr>
                <w:rFonts w:ascii="Arial" w:hAnsi="Arial" w:cs="Arial"/>
              </w:rPr>
            </w:pPr>
            <w:r>
              <w:rPr>
                <w:rFonts w:ascii="Arial" w:hAnsi="Arial" w:cs="Arial"/>
              </w:rPr>
              <w:t>4.5%</w:t>
            </w:r>
          </w:p>
        </w:tc>
        <w:tc>
          <w:tcPr>
            <w:tcW w:w="1274" w:type="dxa"/>
          </w:tcPr>
          <w:p w:rsidR="009C58A0" w:rsidRPr="006F145E" w:rsidRDefault="009C58A0" w:rsidP="00351BC6">
            <w:pPr>
              <w:jc w:val="right"/>
              <w:rPr>
                <w:rFonts w:ascii="Arial" w:hAnsi="Arial" w:cs="Arial"/>
              </w:rPr>
            </w:pPr>
            <w:r w:rsidRPr="006F145E">
              <w:rPr>
                <w:rFonts w:ascii="Arial" w:hAnsi="Arial" w:cs="Arial"/>
              </w:rPr>
              <w:t xml:space="preserve">n/a </w:t>
            </w:r>
            <w:r w:rsidRPr="006F145E">
              <w:rPr>
                <w:rFonts w:ascii="Arial" w:hAnsi="Arial" w:cs="Arial"/>
                <w:i/>
                <w:vertAlign w:val="superscript"/>
              </w:rPr>
              <w:t>(2)</w:t>
            </w:r>
          </w:p>
        </w:tc>
      </w:tr>
      <w:tr w:rsidR="009C58A0" w:rsidRPr="00271E01" w:rsidTr="00351BC6">
        <w:tc>
          <w:tcPr>
            <w:tcW w:w="2376" w:type="dxa"/>
          </w:tcPr>
          <w:p w:rsidR="009C58A0" w:rsidRPr="00271E01" w:rsidRDefault="009C58A0" w:rsidP="00351BC6">
            <w:pPr>
              <w:jc w:val="left"/>
              <w:rPr>
                <w:rFonts w:ascii="Arial" w:hAnsi="Arial" w:cs="Arial"/>
              </w:rPr>
            </w:pPr>
            <w:r w:rsidRPr="00271E01">
              <w:rPr>
                <w:rFonts w:ascii="Arial" w:hAnsi="Arial" w:cs="Arial"/>
              </w:rPr>
              <w:t>Russia</w:t>
            </w:r>
          </w:p>
        </w:tc>
        <w:tc>
          <w:tcPr>
            <w:tcW w:w="1134" w:type="dxa"/>
          </w:tcPr>
          <w:p w:rsidR="009C58A0" w:rsidRPr="00C514EC" w:rsidRDefault="009C58A0" w:rsidP="00351BC6">
            <w:pPr>
              <w:jc w:val="right"/>
              <w:rPr>
                <w:rFonts w:ascii="Arial" w:hAnsi="Arial" w:cs="Arial"/>
              </w:rPr>
            </w:pPr>
            <w:r>
              <w:rPr>
                <w:rFonts w:ascii="Arial" w:hAnsi="Arial" w:cs="Arial"/>
              </w:rPr>
              <w:t>9</w:t>
            </w:r>
          </w:p>
        </w:tc>
        <w:tc>
          <w:tcPr>
            <w:tcW w:w="1276" w:type="dxa"/>
          </w:tcPr>
          <w:p w:rsidR="009C58A0" w:rsidRPr="00C514EC" w:rsidRDefault="009C58A0" w:rsidP="00351BC6">
            <w:pPr>
              <w:jc w:val="right"/>
              <w:rPr>
                <w:rFonts w:ascii="Arial" w:hAnsi="Arial" w:cs="Arial"/>
              </w:rPr>
            </w:pPr>
            <w:r>
              <w:rPr>
                <w:rFonts w:ascii="Arial" w:hAnsi="Arial" w:cs="Arial"/>
              </w:rPr>
              <w:t>(5.8)%</w:t>
            </w:r>
          </w:p>
        </w:tc>
        <w:tc>
          <w:tcPr>
            <w:tcW w:w="1276" w:type="dxa"/>
          </w:tcPr>
          <w:p w:rsidR="009C58A0" w:rsidRPr="00C514EC" w:rsidRDefault="009C58A0" w:rsidP="00351BC6">
            <w:pPr>
              <w:jc w:val="right"/>
              <w:rPr>
                <w:rFonts w:ascii="Arial" w:hAnsi="Arial" w:cs="Arial"/>
              </w:rPr>
            </w:pPr>
            <w:r>
              <w:rPr>
                <w:rFonts w:ascii="Arial" w:hAnsi="Arial" w:cs="Arial"/>
              </w:rPr>
              <w:t>(4.9)%</w:t>
            </w:r>
          </w:p>
        </w:tc>
        <w:tc>
          <w:tcPr>
            <w:tcW w:w="1276" w:type="dxa"/>
          </w:tcPr>
          <w:p w:rsidR="009C58A0" w:rsidRPr="006F145E" w:rsidRDefault="006F145E" w:rsidP="00351BC6">
            <w:pPr>
              <w:jc w:val="right"/>
              <w:rPr>
                <w:rFonts w:ascii="Arial" w:hAnsi="Arial" w:cs="Arial"/>
              </w:rPr>
            </w:pPr>
            <w:r>
              <w:rPr>
                <w:rFonts w:ascii="Arial" w:hAnsi="Arial" w:cs="Arial"/>
              </w:rPr>
              <w:t>6.8</w:t>
            </w:r>
            <w:r w:rsidR="009C58A0" w:rsidRPr="006F145E">
              <w:rPr>
                <w:rFonts w:ascii="Arial" w:hAnsi="Arial" w:cs="Arial"/>
              </w:rPr>
              <w:t>%</w:t>
            </w:r>
          </w:p>
        </w:tc>
        <w:tc>
          <w:tcPr>
            <w:tcW w:w="1274" w:type="dxa"/>
          </w:tcPr>
          <w:p w:rsidR="009C58A0" w:rsidRPr="006F145E" w:rsidRDefault="009C58A0" w:rsidP="00351BC6">
            <w:pPr>
              <w:jc w:val="right"/>
              <w:rPr>
                <w:rFonts w:ascii="Arial" w:hAnsi="Arial" w:cs="Arial"/>
              </w:rPr>
            </w:pPr>
            <w:r w:rsidRPr="006F145E">
              <w:rPr>
                <w:rFonts w:ascii="Arial" w:hAnsi="Arial" w:cs="Arial"/>
              </w:rPr>
              <w:t>7.</w:t>
            </w:r>
            <w:r w:rsidR="006F145E">
              <w:rPr>
                <w:rFonts w:ascii="Arial" w:hAnsi="Arial" w:cs="Arial"/>
              </w:rPr>
              <w:t>3</w:t>
            </w:r>
            <w:r w:rsidRPr="006F145E">
              <w:rPr>
                <w:rFonts w:ascii="Arial" w:hAnsi="Arial" w:cs="Arial"/>
              </w:rPr>
              <w:t>%</w:t>
            </w:r>
          </w:p>
        </w:tc>
      </w:tr>
      <w:tr w:rsidR="009C58A0" w:rsidRPr="00B2766A" w:rsidTr="00351BC6">
        <w:tc>
          <w:tcPr>
            <w:tcW w:w="2376" w:type="dxa"/>
          </w:tcPr>
          <w:p w:rsidR="009C58A0" w:rsidRPr="00794ED5" w:rsidRDefault="009C58A0" w:rsidP="00351BC6">
            <w:pPr>
              <w:jc w:val="left"/>
              <w:rPr>
                <w:rFonts w:ascii="Arial" w:hAnsi="Arial" w:cs="Arial"/>
              </w:rPr>
            </w:pPr>
            <w:r w:rsidRPr="00794ED5">
              <w:rPr>
                <w:rFonts w:ascii="Arial" w:hAnsi="Arial" w:cs="Arial"/>
              </w:rPr>
              <w:t>Spain</w:t>
            </w:r>
          </w:p>
        </w:tc>
        <w:tc>
          <w:tcPr>
            <w:tcW w:w="1134" w:type="dxa"/>
          </w:tcPr>
          <w:p w:rsidR="009C58A0" w:rsidRPr="00794ED5" w:rsidRDefault="009C58A0" w:rsidP="00351BC6">
            <w:pPr>
              <w:jc w:val="right"/>
              <w:rPr>
                <w:rFonts w:ascii="Arial" w:hAnsi="Arial" w:cs="Arial"/>
              </w:rPr>
            </w:pPr>
            <w:r w:rsidRPr="00794ED5">
              <w:rPr>
                <w:rFonts w:ascii="Arial" w:hAnsi="Arial" w:cs="Arial"/>
              </w:rPr>
              <w:t>-</w:t>
            </w:r>
          </w:p>
        </w:tc>
        <w:tc>
          <w:tcPr>
            <w:tcW w:w="1276" w:type="dxa"/>
          </w:tcPr>
          <w:p w:rsidR="009C58A0" w:rsidRPr="00794ED5" w:rsidRDefault="009C58A0" w:rsidP="00351BC6">
            <w:pPr>
              <w:jc w:val="right"/>
              <w:rPr>
                <w:rFonts w:ascii="Arial" w:hAnsi="Arial" w:cs="Arial"/>
              </w:rPr>
            </w:pPr>
            <w:r w:rsidRPr="00794ED5">
              <w:rPr>
                <w:rFonts w:ascii="Arial" w:hAnsi="Arial" w:cs="Arial"/>
              </w:rPr>
              <w:t>n/a</w:t>
            </w:r>
          </w:p>
        </w:tc>
        <w:tc>
          <w:tcPr>
            <w:tcW w:w="1276" w:type="dxa"/>
          </w:tcPr>
          <w:p w:rsidR="009C58A0" w:rsidRPr="00794ED5" w:rsidRDefault="009C58A0" w:rsidP="00351BC6">
            <w:pPr>
              <w:jc w:val="right"/>
              <w:rPr>
                <w:rFonts w:ascii="Arial" w:hAnsi="Arial" w:cs="Arial"/>
              </w:rPr>
            </w:pPr>
            <w:r w:rsidRPr="00794ED5">
              <w:rPr>
                <w:rFonts w:ascii="Arial" w:hAnsi="Arial" w:cs="Arial"/>
              </w:rPr>
              <w:t>n/a</w:t>
            </w:r>
          </w:p>
        </w:tc>
        <w:tc>
          <w:tcPr>
            <w:tcW w:w="1276" w:type="dxa"/>
          </w:tcPr>
          <w:p w:rsidR="009C58A0" w:rsidRPr="006F145E" w:rsidRDefault="006F145E" w:rsidP="00351BC6">
            <w:pPr>
              <w:jc w:val="right"/>
              <w:rPr>
                <w:rFonts w:ascii="Arial" w:hAnsi="Arial" w:cs="Arial"/>
              </w:rPr>
            </w:pPr>
            <w:r>
              <w:rPr>
                <w:rFonts w:ascii="Arial" w:hAnsi="Arial" w:cs="Arial"/>
              </w:rPr>
              <w:t>(0.2)%</w:t>
            </w:r>
          </w:p>
        </w:tc>
        <w:tc>
          <w:tcPr>
            <w:tcW w:w="1274" w:type="dxa"/>
          </w:tcPr>
          <w:p w:rsidR="009C58A0" w:rsidRPr="006F145E" w:rsidRDefault="009C58A0" w:rsidP="00351BC6">
            <w:pPr>
              <w:jc w:val="right"/>
              <w:rPr>
                <w:rFonts w:ascii="Arial" w:hAnsi="Arial" w:cs="Arial"/>
              </w:rPr>
            </w:pPr>
            <w:r w:rsidRPr="006F145E">
              <w:rPr>
                <w:rFonts w:ascii="Arial" w:hAnsi="Arial" w:cs="Arial"/>
              </w:rPr>
              <w:t>1.</w:t>
            </w:r>
            <w:r w:rsidR="006F145E">
              <w:rPr>
                <w:rFonts w:ascii="Arial" w:hAnsi="Arial" w:cs="Arial"/>
              </w:rPr>
              <w:t>2</w:t>
            </w:r>
            <w:r w:rsidRPr="006F145E">
              <w:rPr>
                <w:rFonts w:ascii="Arial" w:hAnsi="Arial" w:cs="Arial"/>
              </w:rPr>
              <w:t>%</w:t>
            </w:r>
          </w:p>
        </w:tc>
      </w:tr>
      <w:tr w:rsidR="009C58A0" w:rsidRPr="00271E01" w:rsidTr="00351BC6">
        <w:tc>
          <w:tcPr>
            <w:tcW w:w="2376" w:type="dxa"/>
          </w:tcPr>
          <w:p w:rsidR="009C58A0" w:rsidRPr="00271E01" w:rsidRDefault="009C58A0" w:rsidP="00351BC6">
            <w:pPr>
              <w:jc w:val="left"/>
              <w:rPr>
                <w:rFonts w:ascii="Arial" w:hAnsi="Arial" w:cs="Arial"/>
              </w:rPr>
            </w:pPr>
            <w:r>
              <w:rPr>
                <w:rFonts w:ascii="Arial" w:hAnsi="Arial" w:cs="Arial"/>
              </w:rPr>
              <w:t>Turkey JV</w:t>
            </w:r>
          </w:p>
        </w:tc>
        <w:tc>
          <w:tcPr>
            <w:tcW w:w="1134" w:type="dxa"/>
          </w:tcPr>
          <w:p w:rsidR="009C58A0" w:rsidRPr="00C514EC" w:rsidRDefault="009C58A0" w:rsidP="00351BC6">
            <w:pPr>
              <w:jc w:val="right"/>
              <w:rPr>
                <w:rFonts w:ascii="Arial" w:hAnsi="Arial" w:cs="Arial"/>
              </w:rPr>
            </w:pPr>
            <w:r>
              <w:rPr>
                <w:rFonts w:ascii="Arial" w:hAnsi="Arial" w:cs="Arial"/>
              </w:rPr>
              <w:t>4</w:t>
            </w:r>
          </w:p>
        </w:tc>
        <w:tc>
          <w:tcPr>
            <w:tcW w:w="1276" w:type="dxa"/>
          </w:tcPr>
          <w:p w:rsidR="009C58A0" w:rsidRPr="00C514EC" w:rsidRDefault="009C58A0" w:rsidP="00351BC6">
            <w:pPr>
              <w:jc w:val="right"/>
              <w:rPr>
                <w:rFonts w:ascii="Arial" w:hAnsi="Arial" w:cs="Arial"/>
              </w:rPr>
            </w:pPr>
            <w:r>
              <w:rPr>
                <w:rFonts w:ascii="Arial" w:hAnsi="Arial" w:cs="Arial"/>
              </w:rPr>
              <w:t>+3.3%</w:t>
            </w:r>
          </w:p>
        </w:tc>
        <w:tc>
          <w:tcPr>
            <w:tcW w:w="1276" w:type="dxa"/>
          </w:tcPr>
          <w:p w:rsidR="009C58A0" w:rsidRPr="00C514EC" w:rsidRDefault="006F145E" w:rsidP="00351BC6">
            <w:pPr>
              <w:jc w:val="right"/>
              <w:rPr>
                <w:rFonts w:ascii="Arial" w:hAnsi="Arial" w:cs="Arial"/>
              </w:rPr>
            </w:pPr>
            <w:r>
              <w:rPr>
                <w:rFonts w:ascii="Arial" w:hAnsi="Arial" w:cs="Arial"/>
              </w:rPr>
              <w:t>+11.6%</w:t>
            </w:r>
          </w:p>
        </w:tc>
        <w:tc>
          <w:tcPr>
            <w:tcW w:w="1276" w:type="dxa"/>
          </w:tcPr>
          <w:p w:rsidR="009C58A0" w:rsidRPr="006F145E" w:rsidRDefault="009C58A0" w:rsidP="00351BC6">
            <w:pPr>
              <w:jc w:val="right"/>
              <w:rPr>
                <w:rFonts w:ascii="Arial" w:hAnsi="Arial" w:cs="Arial"/>
              </w:rPr>
            </w:pPr>
            <w:r w:rsidRPr="006F145E">
              <w:rPr>
                <w:rFonts w:ascii="Arial" w:hAnsi="Arial" w:cs="Arial"/>
              </w:rPr>
              <w:t>n/a</w:t>
            </w:r>
            <w:r w:rsidRPr="006F145E">
              <w:rPr>
                <w:rFonts w:ascii="Arial" w:hAnsi="Arial" w:cs="Arial"/>
                <w:i/>
                <w:vertAlign w:val="superscript"/>
              </w:rPr>
              <w:t>(3)</w:t>
            </w:r>
          </w:p>
        </w:tc>
        <w:tc>
          <w:tcPr>
            <w:tcW w:w="1274" w:type="dxa"/>
          </w:tcPr>
          <w:p w:rsidR="009C58A0" w:rsidRPr="006F145E" w:rsidRDefault="009C58A0" w:rsidP="00351BC6">
            <w:pPr>
              <w:jc w:val="right"/>
              <w:rPr>
                <w:rFonts w:ascii="Arial" w:hAnsi="Arial" w:cs="Arial"/>
              </w:rPr>
            </w:pPr>
            <w:r w:rsidRPr="006F145E">
              <w:rPr>
                <w:rFonts w:ascii="Arial" w:hAnsi="Arial" w:cs="Arial"/>
              </w:rPr>
              <w:t>n/a</w:t>
            </w:r>
            <w:r w:rsidRPr="006F145E">
              <w:rPr>
                <w:rFonts w:ascii="Arial" w:hAnsi="Arial" w:cs="Arial"/>
                <w:i/>
                <w:vertAlign w:val="superscript"/>
              </w:rPr>
              <w:t>(3)</w:t>
            </w:r>
          </w:p>
        </w:tc>
      </w:tr>
      <w:tr w:rsidR="009C58A0" w:rsidRPr="00271E01" w:rsidTr="00351BC6">
        <w:tc>
          <w:tcPr>
            <w:tcW w:w="2376" w:type="dxa"/>
            <w:tcBorders>
              <w:bottom w:val="single" w:sz="4" w:space="0" w:color="auto"/>
            </w:tcBorders>
          </w:tcPr>
          <w:p w:rsidR="009C58A0" w:rsidRPr="00271E01" w:rsidRDefault="009C58A0" w:rsidP="00351BC6">
            <w:pPr>
              <w:jc w:val="left"/>
              <w:rPr>
                <w:rFonts w:ascii="Arial" w:hAnsi="Arial" w:cs="Arial"/>
              </w:rPr>
            </w:pPr>
            <w:r>
              <w:rPr>
                <w:rFonts w:ascii="Arial" w:hAnsi="Arial" w:cs="Arial"/>
              </w:rPr>
              <w:t>Hornbach</w:t>
            </w:r>
          </w:p>
        </w:tc>
        <w:tc>
          <w:tcPr>
            <w:tcW w:w="1134" w:type="dxa"/>
            <w:tcBorders>
              <w:bottom w:val="single" w:sz="4" w:space="0" w:color="auto"/>
            </w:tcBorders>
          </w:tcPr>
          <w:p w:rsidR="009C58A0" w:rsidRPr="00C514EC" w:rsidRDefault="009C58A0" w:rsidP="00351BC6">
            <w:pPr>
              <w:jc w:val="right"/>
              <w:rPr>
                <w:rFonts w:ascii="Arial" w:hAnsi="Arial" w:cs="Arial"/>
              </w:rPr>
            </w:pPr>
            <w:r>
              <w:rPr>
                <w:rFonts w:ascii="Arial" w:hAnsi="Arial" w:cs="Arial"/>
              </w:rPr>
              <w:t>16</w:t>
            </w:r>
          </w:p>
        </w:tc>
        <w:tc>
          <w:tcPr>
            <w:tcW w:w="1276" w:type="dxa"/>
            <w:tcBorders>
              <w:bottom w:val="single" w:sz="4" w:space="0" w:color="auto"/>
            </w:tcBorders>
          </w:tcPr>
          <w:p w:rsidR="009C58A0" w:rsidRPr="00C514EC" w:rsidRDefault="009C58A0" w:rsidP="00351BC6">
            <w:pPr>
              <w:jc w:val="right"/>
              <w:rPr>
                <w:rFonts w:ascii="Arial" w:hAnsi="Arial" w:cs="Arial"/>
              </w:rPr>
            </w:pPr>
            <w:r>
              <w:rPr>
                <w:rFonts w:ascii="Arial" w:hAnsi="Arial" w:cs="Arial"/>
              </w:rPr>
              <w:t>+18.9%</w:t>
            </w:r>
          </w:p>
        </w:tc>
        <w:tc>
          <w:tcPr>
            <w:tcW w:w="1276" w:type="dxa"/>
            <w:tcBorders>
              <w:bottom w:val="single" w:sz="4" w:space="0" w:color="auto"/>
            </w:tcBorders>
          </w:tcPr>
          <w:p w:rsidR="009C58A0" w:rsidRPr="00C514EC" w:rsidRDefault="009C58A0" w:rsidP="00351BC6">
            <w:pPr>
              <w:jc w:val="right"/>
              <w:rPr>
                <w:rFonts w:ascii="Arial" w:hAnsi="Arial" w:cs="Arial"/>
              </w:rPr>
            </w:pPr>
            <w:r>
              <w:rPr>
                <w:rFonts w:ascii="Arial" w:hAnsi="Arial" w:cs="Arial"/>
              </w:rPr>
              <w:t>+12.2%</w:t>
            </w:r>
          </w:p>
        </w:tc>
        <w:tc>
          <w:tcPr>
            <w:tcW w:w="1276" w:type="dxa"/>
            <w:tcBorders>
              <w:bottom w:val="single" w:sz="4" w:space="0" w:color="auto"/>
            </w:tcBorders>
          </w:tcPr>
          <w:p w:rsidR="009C58A0" w:rsidRPr="006F145E" w:rsidRDefault="009C58A0" w:rsidP="00351BC6">
            <w:pPr>
              <w:jc w:val="right"/>
              <w:rPr>
                <w:rFonts w:ascii="Arial" w:hAnsi="Arial" w:cs="Arial"/>
              </w:rPr>
            </w:pPr>
            <w:r w:rsidRPr="006F145E">
              <w:rPr>
                <w:rFonts w:ascii="Arial" w:hAnsi="Arial" w:cs="Arial"/>
              </w:rPr>
              <w:t>n/a</w:t>
            </w:r>
            <w:r w:rsidRPr="006F145E">
              <w:rPr>
                <w:rFonts w:ascii="Arial" w:hAnsi="Arial" w:cs="Arial"/>
                <w:i/>
                <w:vertAlign w:val="superscript"/>
              </w:rPr>
              <w:t>(3)</w:t>
            </w:r>
          </w:p>
        </w:tc>
        <w:tc>
          <w:tcPr>
            <w:tcW w:w="1274" w:type="dxa"/>
            <w:tcBorders>
              <w:bottom w:val="single" w:sz="4" w:space="0" w:color="auto"/>
            </w:tcBorders>
          </w:tcPr>
          <w:p w:rsidR="009C58A0" w:rsidRPr="006F145E" w:rsidRDefault="009C58A0" w:rsidP="00351BC6">
            <w:pPr>
              <w:jc w:val="right"/>
              <w:rPr>
                <w:rFonts w:ascii="Arial" w:hAnsi="Arial" w:cs="Arial"/>
              </w:rPr>
            </w:pPr>
            <w:r w:rsidRPr="006F145E">
              <w:rPr>
                <w:rFonts w:ascii="Arial" w:hAnsi="Arial" w:cs="Arial"/>
              </w:rPr>
              <w:t>n/a</w:t>
            </w:r>
            <w:r w:rsidRPr="006F145E">
              <w:rPr>
                <w:rFonts w:ascii="Arial" w:hAnsi="Arial" w:cs="Arial"/>
                <w:i/>
                <w:vertAlign w:val="superscript"/>
              </w:rPr>
              <w:t>(3)</w:t>
            </w:r>
          </w:p>
        </w:tc>
      </w:tr>
      <w:tr w:rsidR="009C58A0" w:rsidRPr="00CB19B9" w:rsidTr="00351BC6">
        <w:tc>
          <w:tcPr>
            <w:tcW w:w="2376" w:type="dxa"/>
            <w:tcBorders>
              <w:top w:val="single" w:sz="4" w:space="0" w:color="auto"/>
              <w:bottom w:val="single" w:sz="4" w:space="0" w:color="auto"/>
            </w:tcBorders>
          </w:tcPr>
          <w:p w:rsidR="009C58A0" w:rsidRPr="00CB19B9" w:rsidRDefault="009C58A0" w:rsidP="00351BC6">
            <w:pPr>
              <w:spacing w:before="40"/>
              <w:rPr>
                <w:rFonts w:ascii="Arial" w:hAnsi="Arial" w:cs="Arial"/>
                <w:b/>
              </w:rPr>
            </w:pPr>
            <w:r>
              <w:rPr>
                <w:rFonts w:ascii="Arial" w:hAnsi="Arial" w:cs="Arial"/>
                <w:b/>
              </w:rPr>
              <w:t>Other International</w:t>
            </w:r>
          </w:p>
        </w:tc>
        <w:tc>
          <w:tcPr>
            <w:tcW w:w="1134" w:type="dxa"/>
            <w:tcBorders>
              <w:top w:val="single" w:sz="4" w:space="0" w:color="auto"/>
              <w:bottom w:val="single" w:sz="4" w:space="0" w:color="auto"/>
            </w:tcBorders>
          </w:tcPr>
          <w:p w:rsidR="009C58A0" w:rsidRPr="00CB19B9" w:rsidRDefault="009C58A0" w:rsidP="00351BC6">
            <w:pPr>
              <w:spacing w:before="40"/>
              <w:jc w:val="right"/>
              <w:rPr>
                <w:rFonts w:ascii="Arial" w:hAnsi="Arial" w:cs="Arial"/>
                <w:b/>
              </w:rPr>
            </w:pPr>
            <w:r>
              <w:rPr>
                <w:rFonts w:ascii="Arial" w:hAnsi="Arial" w:cs="Arial"/>
                <w:b/>
              </w:rPr>
              <w:t>68</w:t>
            </w:r>
          </w:p>
        </w:tc>
        <w:tc>
          <w:tcPr>
            <w:tcW w:w="1276" w:type="dxa"/>
            <w:tcBorders>
              <w:top w:val="single" w:sz="4" w:space="0" w:color="auto"/>
              <w:bottom w:val="single" w:sz="4" w:space="0" w:color="auto"/>
            </w:tcBorders>
          </w:tcPr>
          <w:p w:rsidR="009C58A0" w:rsidRPr="00CB19B9" w:rsidRDefault="0027357D" w:rsidP="00351BC6">
            <w:pPr>
              <w:spacing w:before="40"/>
              <w:jc w:val="right"/>
              <w:rPr>
                <w:rFonts w:ascii="Arial" w:hAnsi="Arial" w:cs="Arial"/>
                <w:b/>
              </w:rPr>
            </w:pPr>
            <w:r>
              <w:rPr>
                <w:rFonts w:ascii="Arial" w:hAnsi="Arial" w:cs="Arial"/>
                <w:b/>
              </w:rPr>
              <w:t>+17.1%</w:t>
            </w:r>
          </w:p>
        </w:tc>
        <w:tc>
          <w:tcPr>
            <w:tcW w:w="1276" w:type="dxa"/>
            <w:tcBorders>
              <w:top w:val="single" w:sz="4" w:space="0" w:color="auto"/>
              <w:bottom w:val="single" w:sz="4" w:space="0" w:color="auto"/>
            </w:tcBorders>
          </w:tcPr>
          <w:p w:rsidR="009C58A0" w:rsidRPr="00CB19B9" w:rsidRDefault="0027357D" w:rsidP="00351BC6">
            <w:pPr>
              <w:spacing w:before="40"/>
              <w:jc w:val="right"/>
              <w:rPr>
                <w:rFonts w:ascii="Arial" w:hAnsi="Arial" w:cs="Arial"/>
                <w:b/>
              </w:rPr>
            </w:pPr>
            <w:r>
              <w:rPr>
                <w:rFonts w:ascii="Arial" w:hAnsi="Arial" w:cs="Arial"/>
                <w:b/>
              </w:rPr>
              <w:t>+13.6%</w:t>
            </w:r>
          </w:p>
        </w:tc>
        <w:tc>
          <w:tcPr>
            <w:tcW w:w="1276" w:type="dxa"/>
            <w:tcBorders>
              <w:top w:val="single" w:sz="4" w:space="0" w:color="auto"/>
              <w:bottom w:val="single" w:sz="4" w:space="0" w:color="auto"/>
            </w:tcBorders>
          </w:tcPr>
          <w:p w:rsidR="009C58A0" w:rsidRPr="006F145E" w:rsidRDefault="009C58A0" w:rsidP="00351BC6">
            <w:pPr>
              <w:spacing w:before="40"/>
              <w:jc w:val="right"/>
              <w:rPr>
                <w:rFonts w:ascii="Arial" w:hAnsi="Arial" w:cs="Arial"/>
                <w:b/>
              </w:rPr>
            </w:pPr>
            <w:r w:rsidRPr="006F145E">
              <w:rPr>
                <w:rFonts w:ascii="Arial" w:hAnsi="Arial" w:cs="Arial"/>
                <w:b/>
              </w:rPr>
              <w:t>10.4%</w:t>
            </w:r>
          </w:p>
        </w:tc>
        <w:tc>
          <w:tcPr>
            <w:tcW w:w="1274" w:type="dxa"/>
            <w:tcBorders>
              <w:top w:val="single" w:sz="4" w:space="0" w:color="auto"/>
              <w:bottom w:val="single" w:sz="4" w:space="0" w:color="auto"/>
            </w:tcBorders>
          </w:tcPr>
          <w:p w:rsidR="009C58A0" w:rsidRPr="006F145E" w:rsidRDefault="009C58A0" w:rsidP="00351BC6">
            <w:pPr>
              <w:spacing w:before="40"/>
              <w:jc w:val="right"/>
              <w:rPr>
                <w:rFonts w:ascii="Arial" w:hAnsi="Arial" w:cs="Arial"/>
                <w:b/>
              </w:rPr>
            </w:pPr>
            <w:r w:rsidRPr="006F145E">
              <w:rPr>
                <w:rFonts w:ascii="Arial" w:hAnsi="Arial" w:cs="Arial"/>
                <w:b/>
              </w:rPr>
              <w:t>10.2%</w:t>
            </w:r>
          </w:p>
        </w:tc>
      </w:tr>
      <w:tr w:rsidR="009C58A0" w:rsidRPr="00C514EC" w:rsidTr="00351BC6">
        <w:tc>
          <w:tcPr>
            <w:tcW w:w="2376" w:type="dxa"/>
            <w:tcBorders>
              <w:top w:val="single" w:sz="4" w:space="0" w:color="auto"/>
              <w:bottom w:val="single" w:sz="4" w:space="0" w:color="auto"/>
            </w:tcBorders>
          </w:tcPr>
          <w:p w:rsidR="009C58A0" w:rsidRPr="00C24B32" w:rsidRDefault="009C58A0" w:rsidP="00351BC6">
            <w:pPr>
              <w:spacing w:before="100"/>
              <w:rPr>
                <w:rFonts w:ascii="Arial" w:hAnsi="Arial" w:cs="Arial"/>
                <w:b/>
              </w:rPr>
            </w:pPr>
            <w:r w:rsidRPr="00C24B32">
              <w:rPr>
                <w:rFonts w:ascii="Arial" w:hAnsi="Arial" w:cs="Arial"/>
                <w:b/>
              </w:rPr>
              <w:t>Total Group</w:t>
            </w:r>
            <w:r w:rsidR="00FE5347" w:rsidRPr="00094372">
              <w:rPr>
                <w:rFonts w:ascii="Arial" w:hAnsi="Arial" w:cs="Arial"/>
                <w:b/>
                <w:i/>
                <w:vertAlign w:val="superscript"/>
              </w:rPr>
              <w:t>(1)</w:t>
            </w:r>
          </w:p>
        </w:tc>
        <w:tc>
          <w:tcPr>
            <w:tcW w:w="1134" w:type="dxa"/>
            <w:tcBorders>
              <w:top w:val="single" w:sz="4" w:space="0" w:color="auto"/>
              <w:bottom w:val="single" w:sz="4" w:space="0" w:color="auto"/>
            </w:tcBorders>
          </w:tcPr>
          <w:p w:rsidR="009C58A0" w:rsidRPr="00C24B32" w:rsidRDefault="009C58A0" w:rsidP="00FB3D7C">
            <w:pPr>
              <w:spacing w:before="100"/>
              <w:jc w:val="right"/>
              <w:rPr>
                <w:rFonts w:ascii="Arial" w:hAnsi="Arial" w:cs="Arial"/>
                <w:b/>
              </w:rPr>
            </w:pPr>
            <w:r>
              <w:rPr>
                <w:rFonts w:ascii="Arial" w:hAnsi="Arial" w:cs="Arial"/>
                <w:b/>
              </w:rPr>
              <w:t>2</w:t>
            </w:r>
            <w:r w:rsidR="00572B8C">
              <w:rPr>
                <w:rFonts w:ascii="Arial" w:hAnsi="Arial" w:cs="Arial"/>
                <w:b/>
              </w:rPr>
              <w:t>71</w:t>
            </w:r>
          </w:p>
        </w:tc>
        <w:tc>
          <w:tcPr>
            <w:tcW w:w="1276" w:type="dxa"/>
            <w:tcBorders>
              <w:top w:val="single" w:sz="4" w:space="0" w:color="auto"/>
              <w:bottom w:val="single" w:sz="4" w:space="0" w:color="auto"/>
            </w:tcBorders>
          </w:tcPr>
          <w:p w:rsidR="009C58A0" w:rsidRPr="00C24B32" w:rsidRDefault="009C58A0" w:rsidP="00351BC6">
            <w:pPr>
              <w:spacing w:before="100"/>
              <w:jc w:val="right"/>
              <w:rPr>
                <w:rFonts w:ascii="Arial" w:hAnsi="Arial" w:cs="Arial"/>
                <w:b/>
              </w:rPr>
            </w:pPr>
            <w:r>
              <w:rPr>
                <w:rFonts w:ascii="Arial" w:hAnsi="Arial" w:cs="Arial"/>
                <w:b/>
              </w:rPr>
              <w:t>+</w:t>
            </w:r>
            <w:r w:rsidR="009461A3">
              <w:rPr>
                <w:rFonts w:ascii="Arial" w:hAnsi="Arial" w:cs="Arial"/>
                <w:b/>
              </w:rPr>
              <w:t>5.8</w:t>
            </w:r>
            <w:r>
              <w:rPr>
                <w:rFonts w:ascii="Arial" w:hAnsi="Arial" w:cs="Arial"/>
                <w:b/>
              </w:rPr>
              <w:t>%</w:t>
            </w:r>
          </w:p>
        </w:tc>
        <w:tc>
          <w:tcPr>
            <w:tcW w:w="1276" w:type="dxa"/>
            <w:tcBorders>
              <w:top w:val="single" w:sz="4" w:space="0" w:color="auto"/>
              <w:bottom w:val="single" w:sz="4" w:space="0" w:color="auto"/>
            </w:tcBorders>
          </w:tcPr>
          <w:p w:rsidR="009C58A0" w:rsidRPr="00C24B32" w:rsidRDefault="009C58A0" w:rsidP="00351BC6">
            <w:pPr>
              <w:spacing w:before="100"/>
              <w:jc w:val="right"/>
              <w:rPr>
                <w:rFonts w:ascii="Arial" w:hAnsi="Arial" w:cs="Arial"/>
                <w:b/>
              </w:rPr>
            </w:pPr>
            <w:r>
              <w:rPr>
                <w:rFonts w:ascii="Arial" w:hAnsi="Arial" w:cs="Arial"/>
                <w:b/>
              </w:rPr>
              <w:t>+</w:t>
            </w:r>
            <w:r w:rsidR="009461A3">
              <w:rPr>
                <w:rFonts w:ascii="Arial" w:hAnsi="Arial" w:cs="Arial"/>
                <w:b/>
              </w:rPr>
              <w:t>1.7</w:t>
            </w:r>
            <w:r>
              <w:rPr>
                <w:rFonts w:ascii="Arial" w:hAnsi="Arial" w:cs="Arial"/>
                <w:b/>
              </w:rPr>
              <w:t>%</w:t>
            </w:r>
          </w:p>
        </w:tc>
        <w:tc>
          <w:tcPr>
            <w:tcW w:w="1276" w:type="dxa"/>
            <w:tcBorders>
              <w:top w:val="single" w:sz="4" w:space="0" w:color="auto"/>
              <w:bottom w:val="single" w:sz="4" w:space="0" w:color="auto"/>
            </w:tcBorders>
          </w:tcPr>
          <w:p w:rsidR="009C58A0" w:rsidRPr="006F145E" w:rsidRDefault="009C58A0" w:rsidP="00351BC6">
            <w:pPr>
              <w:spacing w:before="100"/>
              <w:jc w:val="right"/>
              <w:rPr>
                <w:rFonts w:ascii="Arial" w:hAnsi="Arial" w:cs="Arial"/>
                <w:b/>
              </w:rPr>
            </w:pPr>
            <w:r w:rsidRPr="006F145E">
              <w:rPr>
                <w:rFonts w:ascii="Arial" w:hAnsi="Arial" w:cs="Arial"/>
                <w:b/>
              </w:rPr>
              <w:t>9.</w:t>
            </w:r>
            <w:r w:rsidR="0027357D" w:rsidRPr="006F145E">
              <w:rPr>
                <w:rFonts w:ascii="Arial" w:hAnsi="Arial" w:cs="Arial"/>
                <w:b/>
              </w:rPr>
              <w:t>3</w:t>
            </w:r>
            <w:r w:rsidRPr="006F145E">
              <w:rPr>
                <w:rFonts w:ascii="Arial" w:hAnsi="Arial" w:cs="Arial"/>
                <w:b/>
              </w:rPr>
              <w:t>%</w:t>
            </w:r>
          </w:p>
        </w:tc>
        <w:tc>
          <w:tcPr>
            <w:tcW w:w="1274" w:type="dxa"/>
            <w:tcBorders>
              <w:top w:val="single" w:sz="4" w:space="0" w:color="auto"/>
              <w:bottom w:val="single" w:sz="4" w:space="0" w:color="auto"/>
            </w:tcBorders>
          </w:tcPr>
          <w:p w:rsidR="009C58A0" w:rsidRPr="006F145E" w:rsidRDefault="009C58A0" w:rsidP="00351BC6">
            <w:pPr>
              <w:spacing w:before="100"/>
              <w:jc w:val="right"/>
              <w:rPr>
                <w:rFonts w:ascii="Arial" w:hAnsi="Arial" w:cs="Arial"/>
                <w:b/>
              </w:rPr>
            </w:pPr>
            <w:r w:rsidRPr="006F145E">
              <w:rPr>
                <w:rFonts w:ascii="Arial" w:hAnsi="Arial" w:cs="Arial"/>
                <w:b/>
              </w:rPr>
              <w:t>9.5%</w:t>
            </w:r>
          </w:p>
        </w:tc>
      </w:tr>
    </w:tbl>
    <w:p w:rsidR="009C58A0" w:rsidRDefault="009C58A0" w:rsidP="00351BC6">
      <w:pPr>
        <w:jc w:val="left"/>
        <w:rPr>
          <w:rFonts w:ascii="Arial" w:hAnsi="Arial" w:cs="Arial"/>
          <w:i/>
          <w:iCs/>
          <w:sz w:val="18"/>
          <w:szCs w:val="18"/>
          <w:vertAlign w:val="superscript"/>
        </w:rPr>
      </w:pPr>
    </w:p>
    <w:p w:rsidR="009C58A0" w:rsidRDefault="009C58A0" w:rsidP="00351BC6">
      <w:pPr>
        <w:jc w:val="left"/>
        <w:rPr>
          <w:rFonts w:ascii="Arial" w:hAnsi="Arial" w:cs="Arial"/>
          <w:i/>
          <w:sz w:val="18"/>
          <w:szCs w:val="18"/>
        </w:rPr>
      </w:pPr>
      <w:r w:rsidRPr="00F304F7">
        <w:rPr>
          <w:rFonts w:ascii="Arial" w:hAnsi="Arial" w:cs="Arial"/>
          <w:i/>
          <w:iCs/>
          <w:sz w:val="18"/>
          <w:szCs w:val="18"/>
          <w:vertAlign w:val="superscript"/>
        </w:rPr>
        <w:t>(</w:t>
      </w:r>
      <w:r>
        <w:rPr>
          <w:rFonts w:ascii="Arial" w:hAnsi="Arial" w:cs="Arial"/>
          <w:i/>
          <w:iCs/>
          <w:sz w:val="18"/>
          <w:szCs w:val="18"/>
          <w:vertAlign w:val="superscript"/>
        </w:rPr>
        <w:t>1</w:t>
      </w:r>
      <w:r w:rsidRPr="00F304F7">
        <w:rPr>
          <w:rFonts w:ascii="Arial" w:hAnsi="Arial" w:cs="Arial"/>
          <w:i/>
          <w:iCs/>
          <w:sz w:val="18"/>
          <w:szCs w:val="18"/>
          <w:vertAlign w:val="superscript"/>
        </w:rPr>
        <w:t>)</w:t>
      </w:r>
      <w:r>
        <w:rPr>
          <w:rFonts w:ascii="Arial" w:hAnsi="Arial" w:cs="Arial"/>
          <w:i/>
          <w:iCs/>
          <w:sz w:val="18"/>
          <w:szCs w:val="18"/>
        </w:rPr>
        <w:t xml:space="preserve"> </w:t>
      </w:r>
      <w:r>
        <w:rPr>
          <w:rFonts w:ascii="Arial" w:hAnsi="Arial" w:cs="Arial"/>
          <w:i/>
          <w:sz w:val="18"/>
          <w:szCs w:val="18"/>
        </w:rPr>
        <w:t>2012/13 comparatives restated by £1m to reflect reclassification of pension administrative expenses from finance costs to retail profit, as per the amended IAS 19</w:t>
      </w:r>
    </w:p>
    <w:p w:rsidR="009C58A0" w:rsidRPr="00530853" w:rsidRDefault="009C58A0" w:rsidP="00530853">
      <w:pPr>
        <w:tabs>
          <w:tab w:val="left" w:pos="357"/>
        </w:tabs>
        <w:ind w:right="-282"/>
        <w:jc w:val="left"/>
        <w:rPr>
          <w:rFonts w:ascii="Arial" w:hAnsi="Arial" w:cs="Arial"/>
          <w:i/>
          <w:iCs/>
          <w:sz w:val="18"/>
          <w:szCs w:val="18"/>
        </w:rPr>
      </w:pPr>
      <w:r w:rsidRPr="00530853">
        <w:rPr>
          <w:rFonts w:ascii="Arial" w:hAnsi="Arial" w:cs="Arial"/>
          <w:i/>
          <w:iCs/>
          <w:sz w:val="18"/>
          <w:szCs w:val="18"/>
          <w:vertAlign w:val="superscript"/>
        </w:rPr>
        <w:t xml:space="preserve">(2) </w:t>
      </w:r>
      <w:r>
        <w:rPr>
          <w:rFonts w:ascii="Arial" w:hAnsi="Arial" w:cs="Arial"/>
          <w:i/>
          <w:iCs/>
          <w:sz w:val="18"/>
          <w:szCs w:val="18"/>
        </w:rPr>
        <w:t xml:space="preserve">Acquisition of 15 stores in Romania completed during </w:t>
      </w:r>
      <w:r w:rsidR="002A78F9">
        <w:rPr>
          <w:rFonts w:ascii="Arial" w:hAnsi="Arial" w:cs="Arial"/>
          <w:i/>
          <w:iCs/>
          <w:sz w:val="18"/>
          <w:szCs w:val="18"/>
        </w:rPr>
        <w:t xml:space="preserve">Q2 </w:t>
      </w:r>
      <w:r>
        <w:rPr>
          <w:rFonts w:ascii="Arial" w:hAnsi="Arial" w:cs="Arial"/>
          <w:i/>
          <w:iCs/>
          <w:sz w:val="18"/>
          <w:szCs w:val="18"/>
        </w:rPr>
        <w:t>2013/14 therefore not applicable</w:t>
      </w:r>
    </w:p>
    <w:p w:rsidR="006F145E" w:rsidRPr="006F145E" w:rsidRDefault="009C58A0" w:rsidP="00351BC6">
      <w:pPr>
        <w:tabs>
          <w:tab w:val="left" w:pos="357"/>
        </w:tabs>
        <w:ind w:right="-282"/>
        <w:jc w:val="left"/>
        <w:rPr>
          <w:rFonts w:ascii="Arial" w:hAnsi="Arial" w:cs="Arial"/>
          <w:i/>
          <w:iCs/>
          <w:sz w:val="18"/>
          <w:szCs w:val="18"/>
        </w:rPr>
      </w:pPr>
      <w:r>
        <w:rPr>
          <w:rFonts w:ascii="Arial" w:hAnsi="Arial" w:cs="Arial"/>
          <w:i/>
          <w:iCs/>
          <w:sz w:val="18"/>
          <w:szCs w:val="18"/>
          <w:vertAlign w:val="superscript"/>
        </w:rPr>
        <w:t>(3</w:t>
      </w:r>
      <w:r w:rsidRPr="00D97E00">
        <w:rPr>
          <w:rFonts w:ascii="Arial" w:hAnsi="Arial" w:cs="Arial"/>
          <w:i/>
          <w:iCs/>
          <w:sz w:val="18"/>
          <w:szCs w:val="18"/>
          <w:vertAlign w:val="superscript"/>
        </w:rPr>
        <w:t>)</w:t>
      </w:r>
      <w:r w:rsidRPr="00D23E19">
        <w:rPr>
          <w:rFonts w:ascii="Arial" w:hAnsi="Arial" w:cs="Arial"/>
          <w:i/>
          <w:iCs/>
          <w:sz w:val="18"/>
          <w:szCs w:val="18"/>
        </w:rPr>
        <w:t xml:space="preserve"> </w:t>
      </w:r>
      <w:r w:rsidRPr="00DB7164">
        <w:rPr>
          <w:rFonts w:ascii="Arial" w:hAnsi="Arial" w:cs="Arial"/>
          <w:i/>
          <w:iCs/>
          <w:sz w:val="18"/>
          <w:szCs w:val="18"/>
        </w:rPr>
        <w:t>Joint Venture (Koçtaş JV) and Associate (Horn</w:t>
      </w:r>
      <w:r>
        <w:rPr>
          <w:rFonts w:ascii="Arial" w:hAnsi="Arial" w:cs="Arial"/>
          <w:i/>
          <w:iCs/>
          <w:sz w:val="18"/>
          <w:szCs w:val="18"/>
        </w:rPr>
        <w:t>bach) sales are not consolidated therefore not applicable</w:t>
      </w:r>
    </w:p>
    <w:p w:rsidR="009C58A0" w:rsidRPr="00FF400E" w:rsidRDefault="009C58A0" w:rsidP="00351BC6">
      <w:pPr>
        <w:tabs>
          <w:tab w:val="left" w:pos="357"/>
        </w:tabs>
        <w:ind w:right="-282"/>
        <w:jc w:val="left"/>
        <w:rPr>
          <w:rFonts w:ascii="Arial" w:hAnsi="Arial" w:cs="Arial"/>
        </w:rPr>
      </w:pPr>
    </w:p>
    <w:tbl>
      <w:tblPr>
        <w:tblW w:w="0" w:type="auto"/>
        <w:tblLook w:val="04A0" w:firstRow="1" w:lastRow="0" w:firstColumn="1" w:lastColumn="0" w:noHBand="0" w:noVBand="1"/>
      </w:tblPr>
      <w:tblGrid>
        <w:gridCol w:w="5778"/>
        <w:gridCol w:w="1418"/>
        <w:gridCol w:w="1417"/>
      </w:tblGrid>
      <w:tr w:rsidR="009C58A0" w:rsidRPr="00616A26" w:rsidTr="00E00BD4">
        <w:trPr>
          <w:trHeight w:val="317"/>
        </w:trPr>
        <w:tc>
          <w:tcPr>
            <w:tcW w:w="5778" w:type="dxa"/>
            <w:tcBorders>
              <w:top w:val="single" w:sz="4" w:space="0" w:color="auto"/>
              <w:bottom w:val="single" w:sz="4" w:space="0" w:color="auto"/>
            </w:tcBorders>
          </w:tcPr>
          <w:p w:rsidR="009C58A0" w:rsidRPr="00E00BD4" w:rsidRDefault="009C58A0" w:rsidP="00E00BD4">
            <w:pPr>
              <w:spacing w:before="60"/>
              <w:rPr>
                <w:rFonts w:ascii="Arial" w:hAnsi="Arial" w:cs="Arial"/>
                <w:b/>
                <w:szCs w:val="22"/>
              </w:rPr>
            </w:pPr>
            <w:r w:rsidRPr="00E00BD4">
              <w:rPr>
                <w:rFonts w:ascii="Arial" w:hAnsi="Arial" w:cs="Arial"/>
                <w:b/>
                <w:szCs w:val="22"/>
              </w:rPr>
              <w:t>Year to date average FX rates vs £ Sterling</w:t>
            </w:r>
          </w:p>
        </w:tc>
        <w:tc>
          <w:tcPr>
            <w:tcW w:w="1418" w:type="dxa"/>
            <w:tcBorders>
              <w:top w:val="single" w:sz="4" w:space="0" w:color="auto"/>
              <w:bottom w:val="single" w:sz="4" w:space="0" w:color="auto"/>
            </w:tcBorders>
          </w:tcPr>
          <w:p w:rsidR="009C58A0" w:rsidRPr="00E00BD4" w:rsidRDefault="009C58A0" w:rsidP="00E00BD4">
            <w:pPr>
              <w:spacing w:before="60"/>
              <w:jc w:val="right"/>
              <w:rPr>
                <w:rFonts w:ascii="Arial" w:hAnsi="Arial" w:cs="Arial"/>
                <w:b/>
                <w:szCs w:val="22"/>
              </w:rPr>
            </w:pPr>
            <w:r w:rsidRPr="00E00BD4">
              <w:rPr>
                <w:rFonts w:ascii="Arial" w:hAnsi="Arial" w:cs="Arial"/>
                <w:b/>
                <w:szCs w:val="22"/>
              </w:rPr>
              <w:t>2013/14</w:t>
            </w:r>
          </w:p>
        </w:tc>
        <w:tc>
          <w:tcPr>
            <w:tcW w:w="1417" w:type="dxa"/>
            <w:tcBorders>
              <w:top w:val="single" w:sz="4" w:space="0" w:color="auto"/>
              <w:bottom w:val="single" w:sz="4" w:space="0" w:color="auto"/>
            </w:tcBorders>
          </w:tcPr>
          <w:p w:rsidR="009C58A0" w:rsidRPr="00E00BD4" w:rsidRDefault="009C58A0" w:rsidP="00E00BD4">
            <w:pPr>
              <w:spacing w:before="60"/>
              <w:jc w:val="right"/>
              <w:rPr>
                <w:rFonts w:ascii="Arial" w:hAnsi="Arial" w:cs="Arial"/>
                <w:b/>
                <w:szCs w:val="22"/>
              </w:rPr>
            </w:pPr>
            <w:r w:rsidRPr="00E00BD4">
              <w:rPr>
                <w:rFonts w:ascii="Arial" w:hAnsi="Arial" w:cs="Arial"/>
                <w:b/>
                <w:szCs w:val="22"/>
              </w:rPr>
              <w:t xml:space="preserve">2012/13 </w:t>
            </w:r>
          </w:p>
        </w:tc>
      </w:tr>
      <w:tr w:rsidR="009C58A0" w:rsidRPr="00616A26" w:rsidTr="00E00BD4">
        <w:trPr>
          <w:trHeight w:val="311"/>
        </w:trPr>
        <w:tc>
          <w:tcPr>
            <w:tcW w:w="5778" w:type="dxa"/>
            <w:tcBorders>
              <w:top w:val="single" w:sz="4" w:space="0" w:color="auto"/>
            </w:tcBorders>
          </w:tcPr>
          <w:p w:rsidR="009C58A0" w:rsidRPr="00E00BD4" w:rsidRDefault="009C58A0" w:rsidP="00E00BD4">
            <w:pPr>
              <w:spacing w:before="60"/>
              <w:rPr>
                <w:rFonts w:ascii="Arial" w:hAnsi="Arial" w:cs="Arial"/>
                <w:szCs w:val="22"/>
              </w:rPr>
            </w:pPr>
            <w:r w:rsidRPr="00E00BD4">
              <w:rPr>
                <w:rFonts w:ascii="Arial" w:hAnsi="Arial" w:cs="Arial"/>
                <w:szCs w:val="22"/>
              </w:rPr>
              <w:t>Euro</w:t>
            </w:r>
          </w:p>
        </w:tc>
        <w:tc>
          <w:tcPr>
            <w:tcW w:w="1418" w:type="dxa"/>
            <w:tcBorders>
              <w:top w:val="single" w:sz="4" w:space="0" w:color="auto"/>
            </w:tcBorders>
          </w:tcPr>
          <w:p w:rsidR="009C58A0" w:rsidRPr="00E00BD4" w:rsidRDefault="009C58A0" w:rsidP="00E00BD4">
            <w:pPr>
              <w:spacing w:before="60"/>
              <w:jc w:val="right"/>
              <w:rPr>
                <w:rFonts w:ascii="Arial" w:hAnsi="Arial" w:cs="Arial"/>
                <w:szCs w:val="22"/>
              </w:rPr>
            </w:pPr>
            <w:r w:rsidRPr="00E00BD4">
              <w:rPr>
                <w:rFonts w:ascii="Arial" w:hAnsi="Arial" w:cs="Arial"/>
                <w:szCs w:val="22"/>
              </w:rPr>
              <w:t>1.17</w:t>
            </w:r>
          </w:p>
        </w:tc>
        <w:tc>
          <w:tcPr>
            <w:tcW w:w="1417" w:type="dxa"/>
            <w:tcBorders>
              <w:top w:val="single" w:sz="4" w:space="0" w:color="auto"/>
            </w:tcBorders>
          </w:tcPr>
          <w:p w:rsidR="009C58A0" w:rsidRPr="00E00BD4" w:rsidRDefault="009C58A0" w:rsidP="00E00BD4">
            <w:pPr>
              <w:spacing w:before="60"/>
              <w:jc w:val="right"/>
              <w:rPr>
                <w:rFonts w:ascii="Arial" w:hAnsi="Arial" w:cs="Arial"/>
                <w:szCs w:val="22"/>
              </w:rPr>
            </w:pPr>
            <w:r w:rsidRPr="00E00BD4">
              <w:rPr>
                <w:rFonts w:ascii="Arial" w:hAnsi="Arial" w:cs="Arial"/>
                <w:szCs w:val="22"/>
              </w:rPr>
              <w:t>1.24</w:t>
            </w:r>
          </w:p>
        </w:tc>
      </w:tr>
      <w:tr w:rsidR="009C58A0" w:rsidRPr="00616A26" w:rsidTr="00E00BD4">
        <w:tc>
          <w:tcPr>
            <w:tcW w:w="5778" w:type="dxa"/>
          </w:tcPr>
          <w:p w:rsidR="009C58A0" w:rsidRPr="00E00BD4" w:rsidRDefault="009C58A0" w:rsidP="00351BC6">
            <w:pPr>
              <w:rPr>
                <w:rFonts w:ascii="Arial" w:hAnsi="Arial" w:cs="Arial"/>
                <w:szCs w:val="22"/>
              </w:rPr>
            </w:pPr>
            <w:r w:rsidRPr="00E00BD4">
              <w:rPr>
                <w:rFonts w:ascii="Arial" w:hAnsi="Arial" w:cs="Arial"/>
                <w:szCs w:val="22"/>
              </w:rPr>
              <w:t>Polish Zloty</w:t>
            </w:r>
          </w:p>
        </w:tc>
        <w:tc>
          <w:tcPr>
            <w:tcW w:w="1418" w:type="dxa"/>
          </w:tcPr>
          <w:p w:rsidR="009C58A0" w:rsidRPr="00E00BD4" w:rsidRDefault="009C58A0" w:rsidP="00E00BD4">
            <w:pPr>
              <w:jc w:val="right"/>
              <w:rPr>
                <w:rFonts w:ascii="Arial" w:hAnsi="Arial" w:cs="Arial"/>
                <w:szCs w:val="22"/>
              </w:rPr>
            </w:pPr>
            <w:r w:rsidRPr="00E00BD4">
              <w:rPr>
                <w:rFonts w:ascii="Arial" w:hAnsi="Arial" w:cs="Arial"/>
                <w:szCs w:val="22"/>
              </w:rPr>
              <w:t>4.92</w:t>
            </w:r>
          </w:p>
        </w:tc>
        <w:tc>
          <w:tcPr>
            <w:tcW w:w="1417" w:type="dxa"/>
          </w:tcPr>
          <w:p w:rsidR="009C58A0" w:rsidRPr="00E00BD4" w:rsidRDefault="009C58A0" w:rsidP="00E00BD4">
            <w:pPr>
              <w:jc w:val="right"/>
              <w:rPr>
                <w:rFonts w:ascii="Arial" w:hAnsi="Arial" w:cs="Arial"/>
                <w:szCs w:val="22"/>
              </w:rPr>
            </w:pPr>
            <w:r w:rsidRPr="00E00BD4">
              <w:rPr>
                <w:rFonts w:ascii="Arial" w:hAnsi="Arial" w:cs="Arial"/>
                <w:szCs w:val="22"/>
              </w:rPr>
              <w:t>5.16</w:t>
            </w:r>
          </w:p>
        </w:tc>
      </w:tr>
      <w:tr w:rsidR="009C58A0" w:rsidRPr="00616A26" w:rsidTr="00E00BD4">
        <w:tc>
          <w:tcPr>
            <w:tcW w:w="5778" w:type="dxa"/>
          </w:tcPr>
          <w:p w:rsidR="009C58A0" w:rsidRPr="00E00BD4" w:rsidRDefault="009C58A0" w:rsidP="00351BC6">
            <w:pPr>
              <w:rPr>
                <w:rFonts w:ascii="Arial" w:hAnsi="Arial" w:cs="Arial"/>
                <w:szCs w:val="22"/>
              </w:rPr>
            </w:pPr>
            <w:r w:rsidRPr="00E00BD4">
              <w:rPr>
                <w:rFonts w:ascii="Arial" w:hAnsi="Arial" w:cs="Arial"/>
                <w:szCs w:val="22"/>
              </w:rPr>
              <w:t xml:space="preserve">Chinese Renminbi </w:t>
            </w:r>
          </w:p>
        </w:tc>
        <w:tc>
          <w:tcPr>
            <w:tcW w:w="1418" w:type="dxa"/>
          </w:tcPr>
          <w:p w:rsidR="009C58A0" w:rsidRPr="00E00BD4" w:rsidRDefault="009C58A0" w:rsidP="00E00BD4">
            <w:pPr>
              <w:jc w:val="right"/>
              <w:rPr>
                <w:rFonts w:ascii="Arial" w:hAnsi="Arial" w:cs="Arial"/>
                <w:szCs w:val="22"/>
              </w:rPr>
            </w:pPr>
            <w:r w:rsidRPr="00E00BD4">
              <w:rPr>
                <w:rFonts w:ascii="Arial" w:hAnsi="Arial" w:cs="Arial"/>
                <w:szCs w:val="22"/>
              </w:rPr>
              <w:t>9.52</w:t>
            </w:r>
          </w:p>
        </w:tc>
        <w:tc>
          <w:tcPr>
            <w:tcW w:w="1417" w:type="dxa"/>
          </w:tcPr>
          <w:p w:rsidR="009C58A0" w:rsidRPr="00E00BD4" w:rsidRDefault="009C58A0" w:rsidP="00E00BD4">
            <w:pPr>
              <w:jc w:val="right"/>
              <w:rPr>
                <w:rFonts w:ascii="Arial" w:hAnsi="Arial" w:cs="Arial"/>
                <w:szCs w:val="22"/>
              </w:rPr>
            </w:pPr>
            <w:r w:rsidRPr="00E00BD4">
              <w:rPr>
                <w:rFonts w:ascii="Arial" w:hAnsi="Arial" w:cs="Arial"/>
                <w:szCs w:val="22"/>
              </w:rPr>
              <w:t>10.02</w:t>
            </w:r>
          </w:p>
        </w:tc>
      </w:tr>
      <w:tr w:rsidR="009C58A0" w:rsidRPr="00616A26" w:rsidTr="00E00BD4">
        <w:tc>
          <w:tcPr>
            <w:tcW w:w="5778" w:type="dxa"/>
          </w:tcPr>
          <w:p w:rsidR="009C58A0" w:rsidRPr="00E00BD4" w:rsidRDefault="009C58A0" w:rsidP="00801CC5">
            <w:pPr>
              <w:rPr>
                <w:rFonts w:ascii="Arial" w:hAnsi="Arial" w:cs="Arial"/>
                <w:szCs w:val="22"/>
              </w:rPr>
            </w:pPr>
            <w:r w:rsidRPr="00E00BD4">
              <w:rPr>
                <w:rFonts w:ascii="Arial" w:hAnsi="Arial" w:cs="Arial"/>
                <w:szCs w:val="22"/>
              </w:rPr>
              <w:t>Romanian Leu</w:t>
            </w:r>
          </w:p>
        </w:tc>
        <w:tc>
          <w:tcPr>
            <w:tcW w:w="1418" w:type="dxa"/>
          </w:tcPr>
          <w:p w:rsidR="009C58A0" w:rsidRPr="00E00BD4" w:rsidRDefault="009C58A0" w:rsidP="00E00BD4">
            <w:pPr>
              <w:spacing w:after="20"/>
              <w:jc w:val="right"/>
              <w:rPr>
                <w:rFonts w:ascii="Arial" w:hAnsi="Arial" w:cs="Arial"/>
                <w:szCs w:val="22"/>
              </w:rPr>
            </w:pPr>
            <w:r w:rsidRPr="00E00BD4">
              <w:rPr>
                <w:rFonts w:ascii="Arial" w:hAnsi="Arial" w:cs="Arial"/>
                <w:szCs w:val="22"/>
              </w:rPr>
              <w:t>5.21</w:t>
            </w:r>
          </w:p>
        </w:tc>
        <w:tc>
          <w:tcPr>
            <w:tcW w:w="1417" w:type="dxa"/>
          </w:tcPr>
          <w:p w:rsidR="009C58A0" w:rsidRPr="00E00BD4" w:rsidRDefault="009C58A0" w:rsidP="00E00BD4">
            <w:pPr>
              <w:spacing w:after="20"/>
              <w:jc w:val="right"/>
              <w:rPr>
                <w:rFonts w:ascii="Arial" w:hAnsi="Arial" w:cs="Arial"/>
                <w:szCs w:val="22"/>
              </w:rPr>
            </w:pPr>
            <w:r w:rsidRPr="00E00BD4">
              <w:rPr>
                <w:rFonts w:ascii="Arial" w:hAnsi="Arial" w:cs="Arial"/>
                <w:szCs w:val="22"/>
              </w:rPr>
              <w:t xml:space="preserve">n/a </w:t>
            </w:r>
            <w:r w:rsidRPr="00E00BD4">
              <w:rPr>
                <w:rFonts w:ascii="Arial" w:hAnsi="Arial" w:cs="Arial"/>
                <w:i/>
                <w:szCs w:val="22"/>
                <w:vertAlign w:val="superscript"/>
              </w:rPr>
              <w:t>(1)</w:t>
            </w:r>
          </w:p>
        </w:tc>
      </w:tr>
      <w:tr w:rsidR="009C58A0" w:rsidRPr="00616A26" w:rsidTr="00E00BD4">
        <w:tc>
          <w:tcPr>
            <w:tcW w:w="5778" w:type="dxa"/>
          </w:tcPr>
          <w:p w:rsidR="009C58A0" w:rsidRPr="00E00BD4" w:rsidRDefault="009C58A0" w:rsidP="00801CC5">
            <w:pPr>
              <w:rPr>
                <w:rFonts w:ascii="Arial" w:hAnsi="Arial" w:cs="Arial"/>
                <w:szCs w:val="22"/>
              </w:rPr>
            </w:pPr>
            <w:r w:rsidRPr="00E00BD4">
              <w:rPr>
                <w:rFonts w:ascii="Arial" w:hAnsi="Arial" w:cs="Arial"/>
                <w:szCs w:val="22"/>
              </w:rPr>
              <w:t xml:space="preserve">Russian Rouble </w:t>
            </w:r>
          </w:p>
        </w:tc>
        <w:tc>
          <w:tcPr>
            <w:tcW w:w="1418" w:type="dxa"/>
          </w:tcPr>
          <w:p w:rsidR="009C58A0" w:rsidRPr="00E00BD4" w:rsidRDefault="009C58A0" w:rsidP="00E00BD4">
            <w:pPr>
              <w:jc w:val="right"/>
              <w:rPr>
                <w:rFonts w:ascii="Arial" w:hAnsi="Arial" w:cs="Arial"/>
                <w:szCs w:val="22"/>
              </w:rPr>
            </w:pPr>
            <w:r w:rsidRPr="00E00BD4">
              <w:rPr>
                <w:rFonts w:ascii="Arial" w:hAnsi="Arial" w:cs="Arial"/>
                <w:szCs w:val="22"/>
              </w:rPr>
              <w:t>49.29</w:t>
            </w:r>
          </w:p>
        </w:tc>
        <w:tc>
          <w:tcPr>
            <w:tcW w:w="1417" w:type="dxa"/>
          </w:tcPr>
          <w:p w:rsidR="009C58A0" w:rsidRPr="00E00BD4" w:rsidRDefault="009C58A0" w:rsidP="00E00BD4">
            <w:pPr>
              <w:jc w:val="right"/>
              <w:rPr>
                <w:rFonts w:ascii="Arial" w:hAnsi="Arial" w:cs="Arial"/>
                <w:szCs w:val="22"/>
              </w:rPr>
            </w:pPr>
            <w:r w:rsidRPr="00E00BD4">
              <w:rPr>
                <w:rFonts w:ascii="Arial" w:hAnsi="Arial" w:cs="Arial"/>
                <w:szCs w:val="22"/>
              </w:rPr>
              <w:t>49.10</w:t>
            </w:r>
          </w:p>
        </w:tc>
      </w:tr>
      <w:tr w:rsidR="009C58A0" w:rsidRPr="00616A26" w:rsidTr="00E00BD4">
        <w:tc>
          <w:tcPr>
            <w:tcW w:w="5778" w:type="dxa"/>
            <w:tcBorders>
              <w:bottom w:val="single" w:sz="4" w:space="0" w:color="auto"/>
            </w:tcBorders>
          </w:tcPr>
          <w:p w:rsidR="009C58A0" w:rsidRPr="00E00BD4" w:rsidRDefault="009C58A0" w:rsidP="00351BC6">
            <w:pPr>
              <w:rPr>
                <w:rFonts w:ascii="Arial" w:hAnsi="Arial" w:cs="Arial"/>
                <w:szCs w:val="22"/>
              </w:rPr>
            </w:pPr>
            <w:r w:rsidRPr="00E00BD4">
              <w:rPr>
                <w:rFonts w:ascii="Arial" w:hAnsi="Arial" w:cs="Arial"/>
                <w:szCs w:val="22"/>
              </w:rPr>
              <w:t>Turkish Lira</w:t>
            </w:r>
          </w:p>
        </w:tc>
        <w:tc>
          <w:tcPr>
            <w:tcW w:w="1418" w:type="dxa"/>
            <w:tcBorders>
              <w:bottom w:val="single" w:sz="4" w:space="0" w:color="auto"/>
            </w:tcBorders>
          </w:tcPr>
          <w:p w:rsidR="009C58A0" w:rsidRPr="00E00BD4" w:rsidRDefault="009C58A0" w:rsidP="00E00BD4">
            <w:pPr>
              <w:jc w:val="right"/>
              <w:rPr>
                <w:rFonts w:ascii="Arial" w:hAnsi="Arial" w:cs="Arial"/>
                <w:szCs w:val="22"/>
              </w:rPr>
            </w:pPr>
            <w:r w:rsidRPr="00E00BD4">
              <w:rPr>
                <w:rFonts w:ascii="Arial" w:hAnsi="Arial" w:cs="Arial"/>
                <w:szCs w:val="22"/>
              </w:rPr>
              <w:t>2.93</w:t>
            </w:r>
          </w:p>
        </w:tc>
        <w:tc>
          <w:tcPr>
            <w:tcW w:w="1417" w:type="dxa"/>
            <w:tcBorders>
              <w:bottom w:val="single" w:sz="4" w:space="0" w:color="auto"/>
            </w:tcBorders>
          </w:tcPr>
          <w:p w:rsidR="009C58A0" w:rsidRPr="00E00BD4" w:rsidRDefault="009C58A0" w:rsidP="00E00BD4">
            <w:pPr>
              <w:jc w:val="right"/>
              <w:rPr>
                <w:rFonts w:ascii="Arial" w:hAnsi="Arial" w:cs="Arial"/>
                <w:szCs w:val="22"/>
              </w:rPr>
            </w:pPr>
            <w:r w:rsidRPr="00E00BD4">
              <w:rPr>
                <w:rFonts w:ascii="Arial" w:hAnsi="Arial" w:cs="Arial"/>
                <w:szCs w:val="22"/>
              </w:rPr>
              <w:t>2.85</w:t>
            </w:r>
          </w:p>
        </w:tc>
      </w:tr>
    </w:tbl>
    <w:p w:rsidR="009C58A0" w:rsidRDefault="009C58A0" w:rsidP="00ED6C55">
      <w:pPr>
        <w:autoSpaceDE w:val="0"/>
        <w:autoSpaceDN w:val="0"/>
        <w:adjustRightInd w:val="0"/>
        <w:jc w:val="left"/>
        <w:rPr>
          <w:rFonts w:ascii="Arial" w:hAnsi="Arial" w:cs="Arial"/>
          <w:b/>
          <w:sz w:val="24"/>
          <w:szCs w:val="24"/>
        </w:rPr>
      </w:pPr>
    </w:p>
    <w:p w:rsidR="009C58A0" w:rsidRPr="00530853" w:rsidRDefault="009C58A0" w:rsidP="00801CC5">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530853">
        <w:rPr>
          <w:rFonts w:ascii="Arial" w:hAnsi="Arial" w:cs="Arial"/>
          <w:i/>
          <w:iCs/>
          <w:sz w:val="18"/>
          <w:szCs w:val="18"/>
          <w:vertAlign w:val="superscript"/>
        </w:rPr>
        <w:t xml:space="preserve">) </w:t>
      </w:r>
      <w:r>
        <w:rPr>
          <w:rFonts w:ascii="Arial" w:hAnsi="Arial" w:cs="Arial"/>
          <w:i/>
          <w:iCs/>
          <w:sz w:val="18"/>
          <w:szCs w:val="18"/>
        </w:rPr>
        <w:t xml:space="preserve">Acquisition of 15 stores in Romania completed during </w:t>
      </w:r>
      <w:r w:rsidR="002A78F9">
        <w:rPr>
          <w:rFonts w:ascii="Arial" w:hAnsi="Arial" w:cs="Arial"/>
          <w:i/>
          <w:iCs/>
          <w:sz w:val="18"/>
          <w:szCs w:val="18"/>
        </w:rPr>
        <w:t xml:space="preserve">Q2 </w:t>
      </w:r>
      <w:r>
        <w:rPr>
          <w:rFonts w:ascii="Arial" w:hAnsi="Arial" w:cs="Arial"/>
          <w:i/>
          <w:iCs/>
          <w:sz w:val="18"/>
          <w:szCs w:val="18"/>
        </w:rPr>
        <w:t>2013/14 therefore not applicable</w:t>
      </w:r>
    </w:p>
    <w:p w:rsidR="009C58A0" w:rsidRPr="00954FE4" w:rsidRDefault="009C58A0" w:rsidP="00ED6C55">
      <w:pPr>
        <w:autoSpaceDE w:val="0"/>
        <w:autoSpaceDN w:val="0"/>
        <w:adjustRightInd w:val="0"/>
        <w:jc w:val="left"/>
        <w:rPr>
          <w:rFonts w:ascii="Arial" w:hAnsi="Arial" w:cs="Arial"/>
          <w:b/>
          <w:sz w:val="24"/>
          <w:szCs w:val="24"/>
        </w:rPr>
      </w:pPr>
    </w:p>
    <w:p w:rsidR="009C58A0" w:rsidRPr="00954FE4" w:rsidRDefault="009C58A0" w:rsidP="00ED6C55">
      <w:pPr>
        <w:autoSpaceDE w:val="0"/>
        <w:autoSpaceDN w:val="0"/>
        <w:adjustRightInd w:val="0"/>
        <w:jc w:val="left"/>
        <w:rPr>
          <w:rFonts w:ascii="Arial" w:hAnsi="Arial" w:cs="Arial"/>
          <w:b/>
          <w:sz w:val="24"/>
          <w:szCs w:val="24"/>
        </w:rPr>
      </w:pPr>
      <w:r w:rsidRPr="00954FE4">
        <w:rPr>
          <w:rFonts w:ascii="Arial" w:hAnsi="Arial" w:cs="Arial"/>
          <w:b/>
          <w:sz w:val="24"/>
          <w:szCs w:val="24"/>
        </w:rPr>
        <w:t>YEAR TO DATE BY MAJOR GEOGRAPHY – 39 weeks ended 2 November 2013</w:t>
      </w:r>
    </w:p>
    <w:p w:rsidR="009C58A0" w:rsidRDefault="009C58A0" w:rsidP="0028321F">
      <w:pPr>
        <w:jc w:val="left"/>
        <w:rPr>
          <w:rFonts w:ascii="Arial" w:hAnsi="Arial" w:cs="Arial"/>
          <w:iCs/>
          <w:sz w:val="24"/>
          <w:szCs w:val="24"/>
        </w:rPr>
      </w:pPr>
    </w:p>
    <w:tbl>
      <w:tblPr>
        <w:tblW w:w="5000" w:type="pct"/>
        <w:tblLayout w:type="fixed"/>
        <w:tblLook w:val="01E0" w:firstRow="1" w:lastRow="1" w:firstColumn="1" w:lastColumn="1" w:noHBand="0" w:noVBand="0"/>
      </w:tblPr>
      <w:tblGrid>
        <w:gridCol w:w="1409"/>
        <w:gridCol w:w="1149"/>
        <w:gridCol w:w="1291"/>
        <w:gridCol w:w="1292"/>
        <w:gridCol w:w="1294"/>
        <w:gridCol w:w="1006"/>
        <w:gridCol w:w="1298"/>
        <w:gridCol w:w="1258"/>
      </w:tblGrid>
      <w:tr w:rsidR="009C58A0" w:rsidRPr="00954FE4" w:rsidTr="004D7296">
        <w:trPr>
          <w:trHeight w:val="567"/>
        </w:trPr>
        <w:tc>
          <w:tcPr>
            <w:tcW w:w="705" w:type="pct"/>
            <w:tcBorders>
              <w:bottom w:val="single" w:sz="4" w:space="0" w:color="auto"/>
            </w:tcBorders>
          </w:tcPr>
          <w:p w:rsidR="009C58A0" w:rsidRPr="00954FE4" w:rsidRDefault="009C58A0" w:rsidP="004D7296">
            <w:pPr>
              <w:jc w:val="left"/>
              <w:rPr>
                <w:rFonts w:ascii="Arial" w:hAnsi="Arial" w:cs="Arial"/>
                <w:b/>
                <w:sz w:val="20"/>
                <w:u w:val="single"/>
              </w:rPr>
            </w:pPr>
          </w:p>
        </w:tc>
        <w:tc>
          <w:tcPr>
            <w:tcW w:w="575"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 xml:space="preserve">Sales </w:t>
            </w:r>
          </w:p>
        </w:tc>
        <w:tc>
          <w:tcPr>
            <w:tcW w:w="646"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6"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47"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 xml:space="preserve">% </w:t>
            </w:r>
            <w:smartTag w:uri="urn:schemas-microsoft-com:office:smarttags" w:element="stockticker">
              <w:r w:rsidRPr="00954FE4">
                <w:rPr>
                  <w:rFonts w:ascii="Arial" w:hAnsi="Arial" w:cs="Arial"/>
                  <w:b/>
                  <w:sz w:val="20"/>
                </w:rPr>
                <w:t>LFL</w:t>
              </w:r>
              <w:r>
                <w:rPr>
                  <w:rFonts w:ascii="Arial" w:hAnsi="Arial" w:cs="Arial"/>
                  <w:b/>
                  <w:sz w:val="20"/>
                </w:rPr>
                <w:t xml:space="preserve"> Change</w:t>
              </w:r>
            </w:smartTag>
          </w:p>
        </w:tc>
        <w:tc>
          <w:tcPr>
            <w:tcW w:w="503" w:type="pct"/>
            <w:tcBorders>
              <w:bottom w:val="single" w:sz="4" w:space="0" w:color="auto"/>
            </w:tcBorders>
          </w:tcPr>
          <w:p w:rsidR="009C58A0" w:rsidRDefault="009C58A0" w:rsidP="004D7296">
            <w:pPr>
              <w:tabs>
                <w:tab w:val="left" w:pos="300"/>
              </w:tabs>
              <w:ind w:right="-170"/>
              <w:jc w:val="center"/>
              <w:rPr>
                <w:rFonts w:ascii="Arial" w:hAnsi="Arial" w:cs="Arial"/>
                <w:b/>
                <w:sz w:val="20"/>
              </w:rPr>
            </w:pPr>
          </w:p>
          <w:p w:rsidR="009C58A0" w:rsidRPr="00954FE4" w:rsidRDefault="009C58A0" w:rsidP="004D7296">
            <w:pPr>
              <w:tabs>
                <w:tab w:val="left" w:pos="300"/>
              </w:tabs>
              <w:ind w:right="-170"/>
              <w:jc w:val="center"/>
              <w:rPr>
                <w:rFonts w:ascii="Arial" w:hAnsi="Arial" w:cs="Arial"/>
                <w:b/>
                <w:sz w:val="20"/>
              </w:rPr>
            </w:pPr>
            <w:r w:rsidRPr="00954FE4">
              <w:rPr>
                <w:rFonts w:ascii="Arial" w:hAnsi="Arial" w:cs="Arial"/>
                <w:b/>
                <w:sz w:val="20"/>
              </w:rPr>
              <w:t xml:space="preserve">Retail Profit </w:t>
            </w:r>
          </w:p>
        </w:tc>
        <w:tc>
          <w:tcPr>
            <w:tcW w:w="649"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tabs>
                <w:tab w:val="left" w:pos="300"/>
              </w:tabs>
              <w:ind w:hanging="108"/>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c>
          <w:tcPr>
            <w:tcW w:w="629" w:type="pct"/>
            <w:tcBorders>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 Total</w:t>
            </w:r>
            <w:r>
              <w:rPr>
                <w:rFonts w:ascii="Arial" w:hAnsi="Arial" w:cs="Arial"/>
                <w:b/>
                <w:sz w:val="20"/>
              </w:rPr>
              <w:t xml:space="preserve"> Change</w:t>
            </w:r>
          </w:p>
        </w:tc>
      </w:tr>
      <w:tr w:rsidR="009C58A0" w:rsidRPr="00954FE4" w:rsidTr="004D7296">
        <w:trPr>
          <w:trHeight w:val="567"/>
        </w:trPr>
        <w:tc>
          <w:tcPr>
            <w:tcW w:w="705" w:type="pct"/>
            <w:tcBorders>
              <w:top w:val="single" w:sz="4" w:space="0" w:color="auto"/>
              <w:bottom w:val="single" w:sz="4" w:space="0" w:color="auto"/>
            </w:tcBorders>
          </w:tcPr>
          <w:p w:rsidR="009C58A0" w:rsidRPr="00954FE4" w:rsidRDefault="009C58A0" w:rsidP="004D7296">
            <w:pPr>
              <w:rPr>
                <w:rFonts w:ascii="Arial" w:hAnsi="Arial" w:cs="Arial"/>
                <w:sz w:val="20"/>
              </w:rPr>
            </w:pPr>
          </w:p>
        </w:tc>
        <w:tc>
          <w:tcPr>
            <w:tcW w:w="575" w:type="pct"/>
            <w:tcBorders>
              <w:top w:val="single" w:sz="4" w:space="0" w:color="auto"/>
              <w:bottom w:val="single" w:sz="4" w:space="0" w:color="auto"/>
            </w:tcBorders>
          </w:tcPr>
          <w:p w:rsidR="009C58A0"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2013/14</w:t>
            </w:r>
          </w:p>
          <w:p w:rsidR="009C58A0" w:rsidRPr="00954FE4" w:rsidRDefault="009C58A0" w:rsidP="004D7296">
            <w:pPr>
              <w:jc w:val="right"/>
              <w:rPr>
                <w:rFonts w:ascii="Arial" w:hAnsi="Arial" w:cs="Arial"/>
                <w:b/>
                <w:sz w:val="20"/>
              </w:rPr>
            </w:pPr>
            <w:r w:rsidRPr="00954FE4">
              <w:rPr>
                <w:rFonts w:ascii="Arial" w:hAnsi="Arial" w:cs="Arial"/>
                <w:b/>
                <w:sz w:val="20"/>
              </w:rPr>
              <w:t>£m</w:t>
            </w:r>
          </w:p>
        </w:tc>
        <w:tc>
          <w:tcPr>
            <w:tcW w:w="646" w:type="pct"/>
            <w:tcBorders>
              <w:top w:val="single" w:sz="4" w:space="0" w:color="auto"/>
              <w:bottom w:val="single" w:sz="4" w:space="0" w:color="auto"/>
            </w:tcBorders>
          </w:tcPr>
          <w:p w:rsidR="009C58A0" w:rsidRDefault="009C58A0" w:rsidP="004D7296">
            <w:pPr>
              <w:jc w:val="right"/>
              <w:rPr>
                <w:rFonts w:ascii="Arial" w:hAnsi="Arial" w:cs="Arial"/>
                <w:b/>
                <w:sz w:val="20"/>
              </w:rPr>
            </w:pPr>
          </w:p>
          <w:p w:rsidR="009C58A0" w:rsidRPr="00954FE4" w:rsidRDefault="009C58A0" w:rsidP="004D7296">
            <w:pPr>
              <w:jc w:val="right"/>
              <w:rPr>
                <w:rFonts w:ascii="Arial" w:hAnsi="Arial" w:cs="Arial"/>
                <w:sz w:val="20"/>
              </w:rPr>
            </w:pPr>
            <w:r w:rsidRPr="00954FE4">
              <w:rPr>
                <w:rFonts w:ascii="Arial" w:hAnsi="Arial" w:cs="Arial"/>
                <w:b/>
                <w:sz w:val="20"/>
              </w:rPr>
              <w:t>Reported</w:t>
            </w:r>
          </w:p>
        </w:tc>
        <w:tc>
          <w:tcPr>
            <w:tcW w:w="646" w:type="pct"/>
            <w:tcBorders>
              <w:top w:val="single" w:sz="4" w:space="0" w:color="auto"/>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Pr>
                <w:rFonts w:ascii="Arial" w:hAnsi="Arial" w:cs="Arial"/>
                <w:b/>
                <w:sz w:val="20"/>
              </w:rPr>
              <w:t>Constant currency</w:t>
            </w:r>
          </w:p>
        </w:tc>
        <w:tc>
          <w:tcPr>
            <w:tcW w:w="647" w:type="pct"/>
            <w:tcBorders>
              <w:top w:val="single" w:sz="4" w:space="0" w:color="auto"/>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Pr>
                <w:rFonts w:ascii="Arial" w:hAnsi="Arial" w:cs="Arial"/>
                <w:b/>
                <w:sz w:val="20"/>
              </w:rPr>
              <w:t>Constant currency</w:t>
            </w:r>
          </w:p>
        </w:tc>
        <w:tc>
          <w:tcPr>
            <w:tcW w:w="503" w:type="pct"/>
            <w:tcBorders>
              <w:top w:val="single" w:sz="4" w:space="0" w:color="auto"/>
              <w:bottom w:val="single" w:sz="4" w:space="0" w:color="auto"/>
            </w:tcBorders>
          </w:tcPr>
          <w:p w:rsidR="009C58A0"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sidRPr="00954FE4">
              <w:rPr>
                <w:rFonts w:ascii="Arial" w:hAnsi="Arial" w:cs="Arial"/>
                <w:b/>
                <w:sz w:val="20"/>
              </w:rPr>
              <w:t>2013/14</w:t>
            </w:r>
          </w:p>
          <w:p w:rsidR="009C58A0" w:rsidRPr="00954FE4" w:rsidRDefault="009C58A0" w:rsidP="004D7296">
            <w:pPr>
              <w:jc w:val="right"/>
              <w:rPr>
                <w:rFonts w:ascii="Arial" w:hAnsi="Arial" w:cs="Arial"/>
                <w:b/>
                <w:sz w:val="20"/>
              </w:rPr>
            </w:pPr>
            <w:r w:rsidRPr="00954FE4">
              <w:rPr>
                <w:rFonts w:ascii="Arial" w:hAnsi="Arial" w:cs="Arial"/>
                <w:b/>
                <w:sz w:val="20"/>
              </w:rPr>
              <w:t xml:space="preserve">  £m</w:t>
            </w:r>
          </w:p>
        </w:tc>
        <w:tc>
          <w:tcPr>
            <w:tcW w:w="647" w:type="pct"/>
            <w:tcBorders>
              <w:top w:val="single" w:sz="4" w:space="0" w:color="auto"/>
              <w:bottom w:val="single" w:sz="4" w:space="0" w:color="auto"/>
            </w:tcBorders>
          </w:tcPr>
          <w:p w:rsidR="009C58A0" w:rsidRDefault="009C58A0" w:rsidP="004D7296">
            <w:pPr>
              <w:tabs>
                <w:tab w:val="left" w:pos="300"/>
              </w:tabs>
              <w:ind w:hanging="108"/>
              <w:jc w:val="right"/>
              <w:rPr>
                <w:rFonts w:ascii="Arial" w:hAnsi="Arial" w:cs="Arial"/>
                <w:b/>
                <w:sz w:val="20"/>
              </w:rPr>
            </w:pPr>
          </w:p>
          <w:p w:rsidR="009C58A0" w:rsidRPr="00954FE4" w:rsidRDefault="009C58A0" w:rsidP="004D7296">
            <w:pPr>
              <w:tabs>
                <w:tab w:val="left" w:pos="300"/>
              </w:tabs>
              <w:ind w:hanging="108"/>
              <w:jc w:val="right"/>
              <w:rPr>
                <w:rFonts w:ascii="Arial" w:hAnsi="Arial" w:cs="Arial"/>
                <w:b/>
                <w:sz w:val="20"/>
              </w:rPr>
            </w:pPr>
            <w:r>
              <w:rPr>
                <w:rFonts w:ascii="Arial" w:hAnsi="Arial" w:cs="Arial"/>
                <w:b/>
                <w:sz w:val="20"/>
              </w:rPr>
              <w:t xml:space="preserve"> Reported</w:t>
            </w:r>
          </w:p>
        </w:tc>
        <w:tc>
          <w:tcPr>
            <w:tcW w:w="631" w:type="pct"/>
            <w:tcBorders>
              <w:top w:val="single" w:sz="4" w:space="0" w:color="auto"/>
              <w:bottom w:val="single" w:sz="4" w:space="0" w:color="auto"/>
            </w:tcBorders>
          </w:tcPr>
          <w:p w:rsidR="009C58A0" w:rsidRPr="00954FE4" w:rsidRDefault="009C58A0" w:rsidP="004D7296">
            <w:pPr>
              <w:jc w:val="right"/>
              <w:rPr>
                <w:rFonts w:ascii="Arial" w:hAnsi="Arial" w:cs="Arial"/>
                <w:b/>
                <w:sz w:val="20"/>
              </w:rPr>
            </w:pPr>
          </w:p>
          <w:p w:rsidR="009C58A0" w:rsidRPr="00954FE4" w:rsidRDefault="009C58A0" w:rsidP="004D7296">
            <w:pPr>
              <w:jc w:val="right"/>
              <w:rPr>
                <w:rFonts w:ascii="Arial" w:hAnsi="Arial" w:cs="Arial"/>
                <w:b/>
                <w:sz w:val="20"/>
              </w:rPr>
            </w:pPr>
            <w:r>
              <w:rPr>
                <w:rFonts w:ascii="Arial" w:hAnsi="Arial" w:cs="Arial"/>
                <w:b/>
                <w:sz w:val="20"/>
              </w:rPr>
              <w:t>Constant currency</w:t>
            </w:r>
          </w:p>
        </w:tc>
      </w:tr>
      <w:tr w:rsidR="009C58A0" w:rsidRPr="00954FE4" w:rsidTr="004D7296">
        <w:trPr>
          <w:trHeight w:hRule="exact" w:val="312"/>
        </w:trPr>
        <w:tc>
          <w:tcPr>
            <w:tcW w:w="705" w:type="pct"/>
            <w:tcBorders>
              <w:top w:val="single" w:sz="4" w:space="0" w:color="auto"/>
            </w:tcBorders>
          </w:tcPr>
          <w:p w:rsidR="009C58A0" w:rsidRDefault="009C58A0">
            <w:pPr>
              <w:spacing w:before="40"/>
              <w:rPr>
                <w:rFonts w:ascii="Arial" w:hAnsi="Arial" w:cs="Arial"/>
                <w:sz w:val="20"/>
              </w:rPr>
            </w:pPr>
            <w:r w:rsidRPr="00954FE4">
              <w:rPr>
                <w:rFonts w:ascii="Arial" w:hAnsi="Arial" w:cs="Arial"/>
                <w:sz w:val="20"/>
              </w:rPr>
              <w:t xml:space="preserve">France </w:t>
            </w:r>
          </w:p>
        </w:tc>
        <w:tc>
          <w:tcPr>
            <w:tcW w:w="575"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3,479</w:t>
            </w:r>
          </w:p>
        </w:tc>
        <w:tc>
          <w:tcPr>
            <w:tcW w:w="646"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+5.9%</w:t>
            </w:r>
          </w:p>
        </w:tc>
        <w:tc>
          <w:tcPr>
            <w:tcW w:w="646"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+0.4%</w:t>
            </w:r>
          </w:p>
        </w:tc>
        <w:tc>
          <w:tcPr>
            <w:tcW w:w="647"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(1.6)%</w:t>
            </w:r>
          </w:p>
        </w:tc>
        <w:tc>
          <w:tcPr>
            <w:tcW w:w="503"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331</w:t>
            </w:r>
          </w:p>
        </w:tc>
        <w:tc>
          <w:tcPr>
            <w:tcW w:w="647"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Flat</w:t>
            </w:r>
          </w:p>
        </w:tc>
        <w:tc>
          <w:tcPr>
            <w:tcW w:w="631" w:type="pct"/>
            <w:tcBorders>
              <w:top w:val="single" w:sz="4" w:space="0" w:color="auto"/>
            </w:tcBorders>
          </w:tcPr>
          <w:p w:rsidR="009C58A0" w:rsidRDefault="009C58A0">
            <w:pPr>
              <w:spacing w:before="40"/>
              <w:jc w:val="right"/>
              <w:rPr>
                <w:rFonts w:ascii="Arial" w:hAnsi="Arial" w:cs="Arial"/>
                <w:sz w:val="20"/>
              </w:rPr>
            </w:pPr>
            <w:r>
              <w:rPr>
                <w:rFonts w:ascii="Arial" w:hAnsi="Arial" w:cs="Arial"/>
                <w:sz w:val="20"/>
              </w:rPr>
              <w:t>(5.2)%</w:t>
            </w:r>
          </w:p>
        </w:tc>
      </w:tr>
      <w:tr w:rsidR="009C58A0" w:rsidRPr="00954FE4" w:rsidTr="004D7296">
        <w:trPr>
          <w:trHeight w:hRule="exact" w:val="312"/>
        </w:trPr>
        <w:tc>
          <w:tcPr>
            <w:tcW w:w="705" w:type="pct"/>
          </w:tcPr>
          <w:p w:rsidR="009C58A0" w:rsidRDefault="009C58A0">
            <w:pPr>
              <w:spacing w:before="40"/>
              <w:jc w:val="left"/>
              <w:rPr>
                <w:rFonts w:ascii="Arial" w:hAnsi="Arial" w:cs="Arial"/>
                <w:sz w:val="20"/>
              </w:rPr>
            </w:pPr>
            <w:r w:rsidRPr="00954FE4">
              <w:rPr>
                <w:rFonts w:ascii="Arial" w:hAnsi="Arial" w:cs="Arial"/>
                <w:sz w:val="20"/>
              </w:rPr>
              <w:t xml:space="preserve">UK &amp; </w:t>
            </w:r>
            <w:smartTag w:uri="urn:schemas-microsoft-com:office:smarttags" w:element="place">
              <w:smartTag w:uri="urn:schemas-microsoft-com:office:smarttags" w:element="country-region">
                <w:r w:rsidRPr="00954FE4">
                  <w:rPr>
                    <w:rFonts w:ascii="Arial" w:hAnsi="Arial" w:cs="Arial"/>
                    <w:sz w:val="20"/>
                  </w:rPr>
                  <w:t>Ireland</w:t>
                </w:r>
              </w:smartTag>
            </w:smartTag>
          </w:p>
        </w:tc>
        <w:tc>
          <w:tcPr>
            <w:tcW w:w="575" w:type="pct"/>
          </w:tcPr>
          <w:p w:rsidR="009C58A0" w:rsidRDefault="009C58A0">
            <w:pPr>
              <w:spacing w:before="40"/>
              <w:jc w:val="right"/>
              <w:rPr>
                <w:rFonts w:ascii="Arial" w:hAnsi="Arial" w:cs="Arial"/>
                <w:sz w:val="20"/>
              </w:rPr>
            </w:pPr>
            <w:r>
              <w:rPr>
                <w:rFonts w:ascii="Arial" w:hAnsi="Arial" w:cs="Arial"/>
                <w:sz w:val="20"/>
              </w:rPr>
              <w:t>3,365</w:t>
            </w:r>
          </w:p>
        </w:tc>
        <w:tc>
          <w:tcPr>
            <w:tcW w:w="646" w:type="pct"/>
          </w:tcPr>
          <w:p w:rsidR="009C58A0" w:rsidRDefault="009C58A0">
            <w:pPr>
              <w:spacing w:before="40"/>
              <w:jc w:val="right"/>
              <w:rPr>
                <w:rFonts w:ascii="Arial" w:hAnsi="Arial" w:cs="Arial"/>
                <w:sz w:val="20"/>
              </w:rPr>
            </w:pPr>
            <w:r>
              <w:rPr>
                <w:rFonts w:ascii="Arial" w:hAnsi="Arial" w:cs="Arial"/>
                <w:sz w:val="20"/>
              </w:rPr>
              <w:t>+1.4%</w:t>
            </w:r>
          </w:p>
        </w:tc>
        <w:tc>
          <w:tcPr>
            <w:tcW w:w="646" w:type="pct"/>
          </w:tcPr>
          <w:p w:rsidR="009C58A0" w:rsidRDefault="009C58A0">
            <w:pPr>
              <w:spacing w:before="40"/>
              <w:jc w:val="right"/>
              <w:rPr>
                <w:rFonts w:ascii="Arial" w:hAnsi="Arial" w:cs="Arial"/>
                <w:sz w:val="20"/>
              </w:rPr>
            </w:pPr>
            <w:r>
              <w:rPr>
                <w:rFonts w:ascii="Arial" w:hAnsi="Arial" w:cs="Arial"/>
                <w:sz w:val="20"/>
              </w:rPr>
              <w:t>+1.3%</w:t>
            </w:r>
          </w:p>
        </w:tc>
        <w:tc>
          <w:tcPr>
            <w:tcW w:w="647" w:type="pct"/>
          </w:tcPr>
          <w:p w:rsidR="009C58A0" w:rsidRDefault="009C58A0">
            <w:pPr>
              <w:spacing w:before="40"/>
              <w:jc w:val="right"/>
              <w:rPr>
                <w:rFonts w:ascii="Arial" w:hAnsi="Arial" w:cs="Arial"/>
                <w:sz w:val="20"/>
              </w:rPr>
            </w:pPr>
            <w:r>
              <w:rPr>
                <w:rFonts w:ascii="Arial" w:hAnsi="Arial" w:cs="Arial"/>
                <w:sz w:val="20"/>
              </w:rPr>
              <w:t>(0.1)%</w:t>
            </w:r>
          </w:p>
        </w:tc>
        <w:tc>
          <w:tcPr>
            <w:tcW w:w="503" w:type="pct"/>
          </w:tcPr>
          <w:p w:rsidR="009C58A0" w:rsidRDefault="009C58A0">
            <w:pPr>
              <w:spacing w:before="40"/>
              <w:jc w:val="right"/>
              <w:rPr>
                <w:rFonts w:ascii="Arial" w:hAnsi="Arial" w:cs="Arial"/>
                <w:sz w:val="20"/>
              </w:rPr>
            </w:pPr>
            <w:r>
              <w:rPr>
                <w:rFonts w:ascii="Arial" w:hAnsi="Arial" w:cs="Arial"/>
                <w:sz w:val="20"/>
              </w:rPr>
              <w:t>204</w:t>
            </w:r>
          </w:p>
        </w:tc>
        <w:tc>
          <w:tcPr>
            <w:tcW w:w="647" w:type="pct"/>
          </w:tcPr>
          <w:p w:rsidR="009C58A0" w:rsidRDefault="009C58A0">
            <w:pPr>
              <w:spacing w:before="40"/>
              <w:jc w:val="right"/>
              <w:rPr>
                <w:rFonts w:ascii="Arial" w:hAnsi="Arial" w:cs="Arial"/>
                <w:sz w:val="20"/>
              </w:rPr>
            </w:pPr>
            <w:r>
              <w:rPr>
                <w:rFonts w:ascii="Arial" w:hAnsi="Arial" w:cs="Arial"/>
                <w:sz w:val="20"/>
              </w:rPr>
              <w:t>+1.3%</w:t>
            </w:r>
            <w:r w:rsidRPr="00200B27">
              <w:rPr>
                <w:rFonts w:ascii="Arial" w:hAnsi="Arial" w:cs="Arial"/>
                <w:i/>
                <w:sz w:val="20"/>
                <w:vertAlign w:val="superscript"/>
              </w:rPr>
              <w:t>(1)</w:t>
            </w:r>
          </w:p>
        </w:tc>
        <w:tc>
          <w:tcPr>
            <w:tcW w:w="631" w:type="pct"/>
          </w:tcPr>
          <w:p w:rsidR="009C58A0" w:rsidRDefault="009C58A0">
            <w:pPr>
              <w:spacing w:before="40"/>
              <w:jc w:val="right"/>
              <w:rPr>
                <w:rFonts w:ascii="Arial" w:hAnsi="Arial" w:cs="Arial"/>
                <w:sz w:val="20"/>
              </w:rPr>
            </w:pPr>
            <w:r>
              <w:rPr>
                <w:rFonts w:ascii="Arial" w:hAnsi="Arial" w:cs="Arial"/>
                <w:sz w:val="20"/>
              </w:rPr>
              <w:t>+1.5%</w:t>
            </w:r>
            <w:r w:rsidRPr="00200B27">
              <w:rPr>
                <w:rFonts w:ascii="Arial" w:hAnsi="Arial" w:cs="Arial"/>
                <w:i/>
                <w:sz w:val="20"/>
                <w:vertAlign w:val="superscript"/>
              </w:rPr>
              <w:t>(1)</w:t>
            </w:r>
          </w:p>
        </w:tc>
      </w:tr>
      <w:tr w:rsidR="009C58A0" w:rsidRPr="00954FE4" w:rsidTr="004D7296">
        <w:trPr>
          <w:trHeight w:hRule="exact" w:val="544"/>
        </w:trPr>
        <w:tc>
          <w:tcPr>
            <w:tcW w:w="705" w:type="pct"/>
            <w:tcBorders>
              <w:bottom w:val="single" w:sz="4" w:space="0" w:color="auto"/>
            </w:tcBorders>
          </w:tcPr>
          <w:p w:rsidR="009C58A0" w:rsidRPr="00954FE4" w:rsidRDefault="009C58A0" w:rsidP="004D7296">
            <w:pPr>
              <w:jc w:val="left"/>
              <w:rPr>
                <w:rFonts w:ascii="Arial" w:hAnsi="Arial" w:cs="Arial"/>
                <w:sz w:val="20"/>
              </w:rPr>
            </w:pPr>
            <w:r w:rsidRPr="00954FE4">
              <w:rPr>
                <w:rFonts w:ascii="Arial" w:hAnsi="Arial" w:cs="Arial"/>
                <w:sz w:val="20"/>
              </w:rPr>
              <w:t xml:space="preserve">Other International </w:t>
            </w:r>
          </w:p>
        </w:tc>
        <w:tc>
          <w:tcPr>
            <w:tcW w:w="575"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1,793</w:t>
            </w:r>
          </w:p>
        </w:tc>
        <w:tc>
          <w:tcPr>
            <w:tcW w:w="646"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+13.7%</w:t>
            </w:r>
          </w:p>
        </w:tc>
        <w:tc>
          <w:tcPr>
            <w:tcW w:w="646"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+9.5%</w:t>
            </w:r>
          </w:p>
        </w:tc>
        <w:tc>
          <w:tcPr>
            <w:tcW w:w="647"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+2.9%</w:t>
            </w:r>
          </w:p>
        </w:tc>
        <w:tc>
          <w:tcPr>
            <w:tcW w:w="503"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130</w:t>
            </w:r>
          </w:p>
        </w:tc>
        <w:tc>
          <w:tcPr>
            <w:tcW w:w="647"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+4.0%</w:t>
            </w:r>
          </w:p>
        </w:tc>
        <w:tc>
          <w:tcPr>
            <w:tcW w:w="631" w:type="pct"/>
            <w:tcBorders>
              <w:bottom w:val="single" w:sz="4" w:space="0" w:color="auto"/>
            </w:tcBorders>
          </w:tcPr>
          <w:p w:rsidR="009C58A0" w:rsidRPr="00954FE4" w:rsidRDefault="009C58A0" w:rsidP="004D7296">
            <w:pPr>
              <w:jc w:val="right"/>
              <w:rPr>
                <w:rFonts w:ascii="Arial" w:hAnsi="Arial" w:cs="Arial"/>
                <w:sz w:val="20"/>
              </w:rPr>
            </w:pPr>
            <w:r>
              <w:rPr>
                <w:rFonts w:ascii="Arial" w:hAnsi="Arial" w:cs="Arial"/>
                <w:sz w:val="20"/>
              </w:rPr>
              <w:t>+0.1%</w:t>
            </w:r>
          </w:p>
        </w:tc>
      </w:tr>
      <w:tr w:rsidR="009C58A0" w:rsidRPr="00954FE4" w:rsidTr="004D7296">
        <w:trPr>
          <w:trHeight w:hRule="exact" w:val="312"/>
        </w:trPr>
        <w:tc>
          <w:tcPr>
            <w:tcW w:w="705" w:type="pct"/>
            <w:tcBorders>
              <w:top w:val="single" w:sz="4" w:space="0" w:color="auto"/>
              <w:bottom w:val="single" w:sz="4" w:space="0" w:color="auto"/>
            </w:tcBorders>
          </w:tcPr>
          <w:p w:rsidR="009C58A0" w:rsidRDefault="009C58A0">
            <w:pPr>
              <w:spacing w:before="40"/>
              <w:rPr>
                <w:rFonts w:ascii="Arial" w:hAnsi="Arial" w:cs="Arial"/>
                <w:b/>
                <w:sz w:val="20"/>
              </w:rPr>
            </w:pPr>
            <w:r w:rsidRPr="00954FE4">
              <w:rPr>
                <w:rFonts w:ascii="Arial" w:hAnsi="Arial" w:cs="Arial"/>
                <w:b/>
                <w:sz w:val="20"/>
              </w:rPr>
              <w:t>Total Group</w:t>
            </w:r>
          </w:p>
        </w:tc>
        <w:tc>
          <w:tcPr>
            <w:tcW w:w="575"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8,637</w:t>
            </w:r>
          </w:p>
        </w:tc>
        <w:tc>
          <w:tcPr>
            <w:tcW w:w="646"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+5.6%</w:t>
            </w:r>
          </w:p>
        </w:tc>
        <w:tc>
          <w:tcPr>
            <w:tcW w:w="646"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+2.5%</w:t>
            </w:r>
          </w:p>
        </w:tc>
        <w:tc>
          <w:tcPr>
            <w:tcW w:w="647"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(0.1)%</w:t>
            </w:r>
          </w:p>
        </w:tc>
        <w:tc>
          <w:tcPr>
            <w:tcW w:w="503"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665</w:t>
            </w:r>
          </w:p>
        </w:tc>
        <w:tc>
          <w:tcPr>
            <w:tcW w:w="647"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+1.1%</w:t>
            </w:r>
            <w:r w:rsidR="00FE5347" w:rsidRPr="00200B27">
              <w:rPr>
                <w:rFonts w:ascii="Arial" w:hAnsi="Arial" w:cs="Arial"/>
                <w:i/>
                <w:sz w:val="20"/>
                <w:vertAlign w:val="superscript"/>
              </w:rPr>
              <w:t>(1)</w:t>
            </w:r>
          </w:p>
        </w:tc>
        <w:tc>
          <w:tcPr>
            <w:tcW w:w="631" w:type="pct"/>
            <w:tcBorders>
              <w:top w:val="single" w:sz="4" w:space="0" w:color="auto"/>
              <w:bottom w:val="single" w:sz="4" w:space="0" w:color="auto"/>
            </w:tcBorders>
          </w:tcPr>
          <w:p w:rsidR="009C58A0" w:rsidRDefault="009C58A0">
            <w:pPr>
              <w:spacing w:before="40"/>
              <w:jc w:val="right"/>
              <w:rPr>
                <w:rFonts w:ascii="Arial" w:hAnsi="Arial" w:cs="Arial"/>
                <w:b/>
                <w:sz w:val="20"/>
              </w:rPr>
            </w:pPr>
            <w:r>
              <w:rPr>
                <w:rFonts w:ascii="Arial" w:hAnsi="Arial" w:cs="Arial"/>
                <w:b/>
                <w:sz w:val="20"/>
              </w:rPr>
              <w:t>(2.2)%</w:t>
            </w:r>
            <w:r w:rsidR="00FE5347" w:rsidRPr="00200B27">
              <w:rPr>
                <w:rFonts w:ascii="Arial" w:hAnsi="Arial" w:cs="Arial"/>
                <w:i/>
                <w:sz w:val="20"/>
                <w:vertAlign w:val="superscript"/>
              </w:rPr>
              <w:t>(1)</w:t>
            </w:r>
          </w:p>
        </w:tc>
      </w:tr>
    </w:tbl>
    <w:p w:rsidR="009C58A0" w:rsidRPr="00954FE4" w:rsidRDefault="009C58A0" w:rsidP="00ED6C55">
      <w:pPr>
        <w:autoSpaceDE w:val="0"/>
        <w:autoSpaceDN w:val="0"/>
        <w:adjustRightInd w:val="0"/>
        <w:jc w:val="left"/>
        <w:rPr>
          <w:rFonts w:ascii="Arial" w:hAnsi="Arial" w:cs="Arial"/>
          <w:b/>
          <w:sz w:val="24"/>
          <w:szCs w:val="24"/>
        </w:rPr>
      </w:pPr>
    </w:p>
    <w:p w:rsidR="009C58A0" w:rsidRPr="00E83CA8" w:rsidRDefault="009C58A0" w:rsidP="00722753">
      <w:pPr>
        <w:jc w:val="left"/>
        <w:rPr>
          <w:rFonts w:ascii="Arial" w:hAnsi="Arial" w:cs="Arial"/>
          <w:i/>
          <w:iCs/>
          <w:sz w:val="18"/>
          <w:szCs w:val="18"/>
        </w:rPr>
      </w:pPr>
      <w:r w:rsidRPr="00954FE4">
        <w:rPr>
          <w:rFonts w:ascii="Arial" w:hAnsi="Arial" w:cs="Arial"/>
          <w:i/>
          <w:sz w:val="18"/>
          <w:szCs w:val="18"/>
        </w:rPr>
        <w:t>Note: Joint Venture (Koçtaş) and Associate (Hornbach) sales are not consolidated. Retail profit is operating profit stated before central costs, exceptional items, amortisation of acquisition intangibles and the Group’s share of interest and tax of JVs and Associate</w:t>
      </w:r>
      <w:r w:rsidR="0027357D">
        <w:rPr>
          <w:rFonts w:ascii="Arial" w:hAnsi="Arial" w:cs="Arial"/>
          <w:i/>
          <w:sz w:val="18"/>
          <w:szCs w:val="18"/>
        </w:rPr>
        <w:t>s</w:t>
      </w:r>
      <w:r w:rsidR="00E83CA8">
        <w:rPr>
          <w:rFonts w:ascii="Arial" w:hAnsi="Arial" w:cs="Arial"/>
          <w:i/>
          <w:sz w:val="18"/>
          <w:szCs w:val="18"/>
        </w:rPr>
        <w:t xml:space="preserve">. </w:t>
      </w:r>
      <w:r w:rsidR="00E83CA8">
        <w:rPr>
          <w:rFonts w:ascii="Arial" w:hAnsi="Arial" w:cs="Arial"/>
          <w:i/>
          <w:iCs/>
          <w:sz w:val="18"/>
          <w:szCs w:val="18"/>
        </w:rPr>
        <w:t>Percentage movements based on unrounded figures.</w:t>
      </w:r>
      <w:r w:rsidR="00820520">
        <w:rPr>
          <w:rFonts w:ascii="Arial" w:hAnsi="Arial" w:cs="Arial"/>
          <w:i/>
          <w:iCs/>
          <w:sz w:val="18"/>
          <w:szCs w:val="18"/>
        </w:rPr>
        <w:t xml:space="preserve"> </w:t>
      </w:r>
    </w:p>
    <w:p w:rsidR="009C58A0" w:rsidRDefault="009C58A0" w:rsidP="00722753">
      <w:pPr>
        <w:jc w:val="left"/>
        <w:rPr>
          <w:rFonts w:ascii="Arial" w:hAnsi="Arial" w:cs="Arial"/>
          <w:i/>
          <w:sz w:val="18"/>
          <w:szCs w:val="18"/>
        </w:rPr>
      </w:pPr>
      <w:r w:rsidRPr="00954FE4">
        <w:rPr>
          <w:rFonts w:ascii="Arial" w:hAnsi="Arial" w:cs="Arial"/>
          <w:i/>
          <w:sz w:val="20"/>
          <w:vertAlign w:val="superscript"/>
        </w:rPr>
        <w:t>(1)</w:t>
      </w:r>
      <w:r w:rsidRPr="00954FE4">
        <w:rPr>
          <w:rFonts w:ascii="Arial" w:hAnsi="Arial" w:cs="Arial"/>
          <w:i/>
          <w:sz w:val="18"/>
          <w:szCs w:val="18"/>
        </w:rPr>
        <w:t>2012/13 comparatives restated by £</w:t>
      </w:r>
      <w:r w:rsidR="006F145E">
        <w:rPr>
          <w:rFonts w:ascii="Arial" w:hAnsi="Arial" w:cs="Arial"/>
          <w:i/>
          <w:sz w:val="18"/>
          <w:szCs w:val="18"/>
        </w:rPr>
        <w:t>3</w:t>
      </w:r>
      <w:r w:rsidRPr="00954FE4">
        <w:rPr>
          <w:rFonts w:ascii="Arial" w:hAnsi="Arial" w:cs="Arial"/>
          <w:i/>
          <w:sz w:val="18"/>
          <w:szCs w:val="18"/>
        </w:rPr>
        <w:t>m to reflect reclassification of pension administrative expenses from financ</w:t>
      </w:r>
      <w:r>
        <w:rPr>
          <w:rFonts w:ascii="Arial" w:hAnsi="Arial" w:cs="Arial"/>
          <w:i/>
          <w:sz w:val="18"/>
          <w:szCs w:val="18"/>
        </w:rPr>
        <w:t>e costs to retail</w:t>
      </w:r>
      <w:r w:rsidRPr="00954FE4">
        <w:rPr>
          <w:rFonts w:ascii="Arial" w:hAnsi="Arial" w:cs="Arial"/>
          <w:i/>
          <w:sz w:val="18"/>
          <w:szCs w:val="18"/>
        </w:rPr>
        <w:t xml:space="preserve"> profit, as per the amended IAS 19</w:t>
      </w:r>
    </w:p>
    <w:p w:rsidR="00045F88" w:rsidRDefault="00045F88" w:rsidP="00ED6C55">
      <w:pPr>
        <w:autoSpaceDE w:val="0"/>
        <w:autoSpaceDN w:val="0"/>
        <w:adjustRightInd w:val="0"/>
        <w:jc w:val="left"/>
        <w:rPr>
          <w:rFonts w:ascii="Arial" w:hAnsi="Arial" w:cs="Arial"/>
          <w:b/>
          <w:sz w:val="24"/>
          <w:szCs w:val="24"/>
        </w:rPr>
      </w:pPr>
    </w:p>
    <w:p w:rsidR="009C58A0" w:rsidRPr="00FD57E1" w:rsidRDefault="009C58A0" w:rsidP="00ED6C55">
      <w:pPr>
        <w:autoSpaceDE w:val="0"/>
        <w:autoSpaceDN w:val="0"/>
        <w:adjustRightInd w:val="0"/>
        <w:jc w:val="left"/>
        <w:rPr>
          <w:rFonts w:ascii="Arial" w:hAnsi="Arial" w:cs="Arial"/>
          <w:b/>
          <w:sz w:val="24"/>
          <w:szCs w:val="24"/>
        </w:rPr>
      </w:pPr>
      <w:r>
        <w:rPr>
          <w:rFonts w:ascii="Arial" w:hAnsi="Arial" w:cs="Arial"/>
          <w:b/>
          <w:sz w:val="24"/>
          <w:szCs w:val="24"/>
        </w:rPr>
        <w:t>CREATING THE LEADER</w:t>
      </w:r>
    </w:p>
    <w:p w:rsidR="009C58A0" w:rsidRPr="00FD57E1" w:rsidRDefault="009C58A0" w:rsidP="00ED6C55">
      <w:pPr>
        <w:autoSpaceDE w:val="0"/>
        <w:autoSpaceDN w:val="0"/>
        <w:adjustRightInd w:val="0"/>
        <w:jc w:val="left"/>
        <w:rPr>
          <w:rFonts w:ascii="Arial" w:hAnsi="Arial" w:cs="Arial"/>
          <w:sz w:val="24"/>
          <w:szCs w:val="24"/>
        </w:rPr>
      </w:pPr>
    </w:p>
    <w:p w:rsidR="0027357D" w:rsidRPr="00FD57E1" w:rsidRDefault="009C58A0" w:rsidP="00ED662A">
      <w:pPr>
        <w:tabs>
          <w:tab w:val="left" w:pos="5940"/>
        </w:tabs>
        <w:jc w:val="left"/>
        <w:rPr>
          <w:rFonts w:ascii="Arial" w:hAnsi="Arial" w:cs="Arial"/>
          <w:sz w:val="24"/>
          <w:szCs w:val="24"/>
        </w:rPr>
      </w:pPr>
      <w:r w:rsidRPr="00FD57E1">
        <w:rPr>
          <w:rFonts w:ascii="Arial" w:hAnsi="Arial" w:cs="Arial"/>
          <w:sz w:val="24"/>
          <w:szCs w:val="24"/>
        </w:rPr>
        <w:t>Progress continued with the next phase of our medium term development under the following eight steps:</w:t>
      </w:r>
      <w:r w:rsidRPr="00FD57E1">
        <w:rPr>
          <w:rFonts w:ascii="Arial" w:hAnsi="Arial" w:cs="Arial"/>
          <w:sz w:val="24"/>
          <w:szCs w:val="24"/>
        </w:rPr>
        <w:tab/>
      </w:r>
    </w:p>
    <w:p w:rsidR="009C58A0" w:rsidRPr="00FD57E1" w:rsidRDefault="009C58A0" w:rsidP="003C6F51">
      <w:pPr>
        <w:tabs>
          <w:tab w:val="left" w:pos="5940"/>
        </w:tabs>
        <w:jc w:val="left"/>
        <w:rPr>
          <w:rFonts w:ascii="Arial" w:hAnsi="Arial" w:cs="Arial"/>
          <w:sz w:val="24"/>
          <w:szCs w:val="24"/>
        </w:rPr>
      </w:pPr>
    </w:p>
    <w:p w:rsidR="009C58A0" w:rsidRPr="00FD57E1" w:rsidRDefault="009C58A0" w:rsidP="00ED662A">
      <w:pPr>
        <w:ind w:left="720"/>
        <w:jc w:val="left"/>
        <w:rPr>
          <w:rFonts w:ascii="Arial" w:hAnsi="Arial" w:cs="Arial"/>
          <w:sz w:val="24"/>
          <w:szCs w:val="24"/>
        </w:rPr>
      </w:pPr>
      <w:r w:rsidRPr="00FD57E1">
        <w:rPr>
          <w:rFonts w:ascii="Arial" w:hAnsi="Arial" w:cs="Arial"/>
          <w:b/>
          <w:sz w:val="24"/>
          <w:szCs w:val="24"/>
        </w:rPr>
        <w:t xml:space="preserve">EASIER </w:t>
      </w:r>
    </w:p>
    <w:p w:rsidR="009C58A0" w:rsidRPr="00FD57E1" w:rsidRDefault="009C58A0" w:rsidP="00ED6C55">
      <w:pPr>
        <w:numPr>
          <w:ilvl w:val="0"/>
          <w:numId w:val="23"/>
        </w:numPr>
        <w:jc w:val="left"/>
        <w:rPr>
          <w:rFonts w:ascii="Arial" w:hAnsi="Arial" w:cs="Arial"/>
          <w:sz w:val="24"/>
          <w:szCs w:val="24"/>
        </w:rPr>
      </w:pPr>
      <w:r w:rsidRPr="00FD57E1">
        <w:rPr>
          <w:rFonts w:ascii="Arial" w:hAnsi="Arial" w:cs="Arial"/>
          <w:sz w:val="24"/>
          <w:szCs w:val="24"/>
        </w:rPr>
        <w:t>Making it easier for our customers to improve their home</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Giving our customers more ways to shop</w:t>
      </w:r>
    </w:p>
    <w:p w:rsidR="009C58A0" w:rsidRPr="00FD57E1" w:rsidRDefault="009C58A0" w:rsidP="00ED6C55">
      <w:pPr>
        <w:ind w:left="720"/>
        <w:jc w:val="left"/>
        <w:rPr>
          <w:rFonts w:ascii="Arial" w:hAnsi="Arial" w:cs="Arial"/>
          <w:b/>
          <w:sz w:val="24"/>
          <w:szCs w:val="24"/>
        </w:rPr>
      </w:pPr>
    </w:p>
    <w:p w:rsidR="009C58A0" w:rsidRPr="00FD57E1" w:rsidRDefault="009C58A0" w:rsidP="00ED662A">
      <w:pPr>
        <w:ind w:left="720"/>
        <w:jc w:val="left"/>
        <w:rPr>
          <w:rFonts w:ascii="Arial" w:hAnsi="Arial" w:cs="Arial"/>
          <w:sz w:val="24"/>
          <w:szCs w:val="24"/>
        </w:rPr>
      </w:pPr>
      <w:r w:rsidRPr="00FD57E1">
        <w:rPr>
          <w:rFonts w:ascii="Arial" w:hAnsi="Arial" w:cs="Arial"/>
          <w:b/>
          <w:sz w:val="24"/>
          <w:szCs w:val="24"/>
        </w:rPr>
        <w:t xml:space="preserve">COMMON </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Building innovative common brands</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Driving efficiency and effectiveness everywhere</w:t>
      </w:r>
    </w:p>
    <w:p w:rsidR="009C58A0" w:rsidRPr="00FD57E1" w:rsidRDefault="009C58A0" w:rsidP="00ED6C55">
      <w:pPr>
        <w:ind w:left="720"/>
        <w:jc w:val="left"/>
        <w:rPr>
          <w:rFonts w:ascii="Arial" w:hAnsi="Arial" w:cs="Arial"/>
          <w:b/>
          <w:sz w:val="24"/>
          <w:szCs w:val="24"/>
        </w:rPr>
      </w:pPr>
    </w:p>
    <w:p w:rsidR="009C58A0" w:rsidRPr="00FD57E1" w:rsidRDefault="009C58A0" w:rsidP="00ED662A">
      <w:pPr>
        <w:ind w:left="720"/>
        <w:jc w:val="left"/>
        <w:rPr>
          <w:rFonts w:ascii="Arial" w:hAnsi="Arial" w:cs="Arial"/>
          <w:sz w:val="24"/>
          <w:szCs w:val="24"/>
        </w:rPr>
      </w:pPr>
      <w:r w:rsidRPr="00FD57E1">
        <w:rPr>
          <w:rFonts w:ascii="Arial" w:hAnsi="Arial" w:cs="Arial"/>
          <w:b/>
          <w:sz w:val="24"/>
          <w:szCs w:val="24"/>
        </w:rPr>
        <w:t xml:space="preserve">EXPAND </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Growing our presence in existing markets</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 xml:space="preserve">Expanding in new and developing markets </w:t>
      </w:r>
    </w:p>
    <w:p w:rsidR="009C58A0" w:rsidRPr="00FD57E1" w:rsidRDefault="009C58A0" w:rsidP="00ED6C55">
      <w:pPr>
        <w:ind w:left="720"/>
        <w:jc w:val="left"/>
        <w:rPr>
          <w:rFonts w:ascii="Arial" w:hAnsi="Arial" w:cs="Arial"/>
          <w:b/>
          <w:sz w:val="24"/>
          <w:szCs w:val="24"/>
        </w:rPr>
      </w:pPr>
    </w:p>
    <w:p w:rsidR="009C58A0" w:rsidRPr="00FD57E1" w:rsidRDefault="009C58A0" w:rsidP="00ED662A">
      <w:pPr>
        <w:ind w:left="720"/>
        <w:jc w:val="left"/>
        <w:rPr>
          <w:rFonts w:ascii="Arial" w:hAnsi="Arial" w:cs="Arial"/>
          <w:sz w:val="24"/>
          <w:szCs w:val="24"/>
        </w:rPr>
      </w:pPr>
      <w:r w:rsidRPr="00FD57E1">
        <w:rPr>
          <w:rFonts w:ascii="Arial" w:hAnsi="Arial" w:cs="Arial"/>
          <w:b/>
          <w:sz w:val="24"/>
          <w:szCs w:val="24"/>
        </w:rPr>
        <w:t xml:space="preserve">ONE TEAM </w:t>
      </w:r>
    </w:p>
    <w:p w:rsidR="009C58A0" w:rsidRPr="00FD57E1" w:rsidRDefault="009C58A0" w:rsidP="00ED6C55">
      <w:pPr>
        <w:pStyle w:val="ListParagraph"/>
        <w:numPr>
          <w:ilvl w:val="0"/>
          <w:numId w:val="23"/>
        </w:numPr>
        <w:contextualSpacing/>
        <w:rPr>
          <w:rFonts w:ascii="Arial" w:hAnsi="Arial" w:cs="Arial"/>
          <w:sz w:val="24"/>
          <w:szCs w:val="24"/>
        </w:rPr>
      </w:pPr>
      <w:r w:rsidRPr="00FD57E1">
        <w:rPr>
          <w:rFonts w:ascii="Arial" w:hAnsi="Arial" w:cs="Arial"/>
          <w:sz w:val="24"/>
          <w:szCs w:val="24"/>
        </w:rPr>
        <w:t>Developing leaders and connecting people</w:t>
      </w:r>
    </w:p>
    <w:p w:rsidR="009C58A0" w:rsidRPr="00FD57E1" w:rsidRDefault="009C58A0" w:rsidP="00ED6C55">
      <w:pPr>
        <w:pStyle w:val="ListParagraph"/>
        <w:numPr>
          <w:ilvl w:val="0"/>
          <w:numId w:val="23"/>
        </w:numPr>
        <w:contextualSpacing/>
        <w:jc w:val="left"/>
        <w:rPr>
          <w:rFonts w:ascii="Arial" w:hAnsi="Arial" w:cs="Arial"/>
          <w:sz w:val="24"/>
          <w:szCs w:val="24"/>
        </w:rPr>
      </w:pPr>
      <w:r w:rsidRPr="00FD57E1">
        <w:rPr>
          <w:rFonts w:ascii="Arial" w:hAnsi="Arial" w:cs="Arial"/>
          <w:sz w:val="24"/>
          <w:szCs w:val="24"/>
        </w:rPr>
        <w:t>Sustainability: becoming ‘Net Positive’</w:t>
      </w:r>
    </w:p>
    <w:p w:rsidR="009C58A0" w:rsidRPr="00B325A7" w:rsidRDefault="009C58A0" w:rsidP="00ED6C55">
      <w:pPr>
        <w:contextualSpacing/>
        <w:jc w:val="left"/>
        <w:rPr>
          <w:rFonts w:ascii="Arial" w:hAnsi="Arial" w:cs="Arial"/>
          <w:sz w:val="24"/>
          <w:szCs w:val="24"/>
        </w:rPr>
      </w:pPr>
    </w:p>
    <w:p w:rsidR="009C58A0" w:rsidRPr="00B325A7" w:rsidRDefault="009C58A0" w:rsidP="00ED6C55">
      <w:pPr>
        <w:jc w:val="left"/>
        <w:rPr>
          <w:rFonts w:ascii="Arial" w:hAnsi="Arial" w:cs="Arial"/>
          <w:sz w:val="24"/>
          <w:szCs w:val="24"/>
        </w:rPr>
      </w:pPr>
      <w:r w:rsidRPr="00B325A7">
        <w:rPr>
          <w:rFonts w:ascii="Arial" w:hAnsi="Arial" w:cs="Arial"/>
          <w:sz w:val="24"/>
          <w:szCs w:val="24"/>
        </w:rPr>
        <w:t>Further details on progress will be given with the preliminary results for the year ended 1 February 2014</w:t>
      </w:r>
      <w:r w:rsidR="00F4479F">
        <w:rPr>
          <w:rFonts w:ascii="Arial" w:hAnsi="Arial" w:cs="Arial"/>
          <w:sz w:val="24"/>
          <w:szCs w:val="24"/>
        </w:rPr>
        <w:t xml:space="preserve">, on 25 March 2014. </w:t>
      </w:r>
    </w:p>
    <w:p w:rsidR="009C58A0" w:rsidRPr="00B325A7" w:rsidRDefault="009C58A0" w:rsidP="00ED6C55">
      <w:pPr>
        <w:rPr>
          <w:rFonts w:ascii="Arial" w:hAnsi="Arial" w:cs="Arial"/>
          <w:sz w:val="24"/>
          <w:szCs w:val="24"/>
        </w:rPr>
      </w:pPr>
    </w:p>
    <w:p w:rsidR="00FD3242" w:rsidRDefault="00FD3242" w:rsidP="00A626C0">
      <w:pPr>
        <w:autoSpaceDE w:val="0"/>
        <w:autoSpaceDN w:val="0"/>
        <w:adjustRightInd w:val="0"/>
        <w:jc w:val="left"/>
        <w:rPr>
          <w:rFonts w:ascii="Arial" w:hAnsi="Arial" w:cs="Arial"/>
          <w:b/>
          <w:caps/>
          <w:sz w:val="24"/>
          <w:szCs w:val="24"/>
        </w:rPr>
      </w:pPr>
    </w:p>
    <w:p w:rsidR="00FD3242" w:rsidRDefault="00FD3242" w:rsidP="00FD3242">
      <w:pPr>
        <w:jc w:val="left"/>
        <w:rPr>
          <w:rFonts w:ascii="Arial" w:hAnsi="Arial" w:cs="Arial"/>
          <w:b/>
          <w:sz w:val="24"/>
          <w:szCs w:val="24"/>
        </w:rPr>
      </w:pPr>
      <w:r>
        <w:rPr>
          <w:rFonts w:ascii="Arial" w:hAnsi="Arial" w:cs="Arial"/>
          <w:b/>
          <w:sz w:val="24"/>
          <w:szCs w:val="24"/>
        </w:rPr>
        <w:t>Financial reporting calendar</w:t>
      </w:r>
    </w:p>
    <w:p w:rsidR="00FD3242" w:rsidRDefault="00FD3242" w:rsidP="00FD3242">
      <w:pPr>
        <w:jc w:val="left"/>
        <w:rPr>
          <w:rFonts w:ascii="Arial" w:hAnsi="Arial" w:cs="Arial"/>
          <w:b/>
          <w:sz w:val="24"/>
          <w:szCs w:val="24"/>
        </w:rPr>
      </w:pPr>
    </w:p>
    <w:p w:rsidR="00FD3242" w:rsidRDefault="00FD3242" w:rsidP="00FD3242">
      <w:pPr>
        <w:jc w:val="left"/>
        <w:rPr>
          <w:rFonts w:ascii="Arial" w:hAnsi="Arial" w:cs="Arial"/>
          <w:sz w:val="24"/>
          <w:szCs w:val="24"/>
        </w:rPr>
      </w:pPr>
      <w:r>
        <w:rPr>
          <w:rFonts w:ascii="Arial" w:hAnsi="Arial" w:cs="Arial"/>
          <w:sz w:val="24"/>
          <w:szCs w:val="24"/>
        </w:rPr>
        <w:t xml:space="preserve">Following a review of the financial reporting calendar Kingfisher plc has concluded that the historic practice of making six announcements a year, regardless of the significance of individual quarters, is </w:t>
      </w:r>
      <w:r w:rsidRPr="00763936">
        <w:rPr>
          <w:rFonts w:ascii="Arial" w:hAnsi="Arial" w:cs="Arial"/>
          <w:sz w:val="24"/>
          <w:szCs w:val="24"/>
        </w:rPr>
        <w:t>no</w:t>
      </w:r>
      <w:r>
        <w:rPr>
          <w:rFonts w:ascii="Arial" w:hAnsi="Arial" w:cs="Arial"/>
          <w:sz w:val="24"/>
          <w:szCs w:val="24"/>
        </w:rPr>
        <w:t xml:space="preserve"> longer appropriate</w:t>
      </w:r>
      <w:r w:rsidRPr="00763936">
        <w:rPr>
          <w:rFonts w:ascii="Arial" w:hAnsi="Arial" w:cs="Arial"/>
          <w:sz w:val="24"/>
          <w:szCs w:val="24"/>
        </w:rPr>
        <w:t>.</w:t>
      </w:r>
      <w:r>
        <w:rPr>
          <w:rFonts w:ascii="Arial" w:hAnsi="Arial" w:cs="Arial"/>
          <w:sz w:val="24"/>
          <w:szCs w:val="24"/>
        </w:rPr>
        <w:t xml:space="preserve"> Following this review the Q4 sales update in February (typically the least significant quarter of the year and very close to the Preliminary Results update in March) will cease. At Q1 (also a less significant quarter and too early into the key outdoor spring/summer season) the results announcement will continue but the conference call will cease. We will continue to update on the lease adjusted net debt position twice a year but will cease providing just the cash element of this at each quarter. Going forward the full annual schedule of updates will be:</w:t>
      </w:r>
    </w:p>
    <w:p w:rsidR="00FD3242" w:rsidRDefault="00FD3242" w:rsidP="00FD3242">
      <w:pPr>
        <w:jc w:val="left"/>
        <w:rPr>
          <w:rFonts w:ascii="Arial" w:hAnsi="Arial" w:cs="Arial"/>
          <w:sz w:val="24"/>
          <w:szCs w:val="24"/>
        </w:rPr>
      </w:pPr>
    </w:p>
    <w:tbl>
      <w:tblPr>
        <w:tblW w:w="4892"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2836"/>
        <w:gridCol w:w="4818"/>
      </w:tblGrid>
      <w:tr w:rsidR="00FD3242" w:rsidRPr="00FD57E1" w:rsidTr="00F12E60">
        <w:tc>
          <w:tcPr>
            <w:tcW w:w="1087" w:type="pct"/>
            <w:tcBorders>
              <w:top w:val="single" w:sz="4" w:space="0" w:color="auto"/>
            </w:tcBorders>
          </w:tcPr>
          <w:p w:rsidR="00FD3242" w:rsidRPr="00FD57E1" w:rsidRDefault="00FD3242" w:rsidP="00F12E60">
            <w:pPr>
              <w:spacing w:before="80" w:line="276" w:lineRule="auto"/>
              <w:jc w:val="left"/>
              <w:rPr>
                <w:rFonts w:ascii="Arial" w:hAnsi="Arial" w:cs="Arial"/>
                <w:sz w:val="24"/>
                <w:szCs w:val="24"/>
              </w:rPr>
            </w:pPr>
          </w:p>
        </w:tc>
        <w:tc>
          <w:tcPr>
            <w:tcW w:w="1449" w:type="pct"/>
            <w:tcBorders>
              <w:top w:val="single" w:sz="4" w:space="0" w:color="auto"/>
            </w:tcBorders>
          </w:tcPr>
          <w:p w:rsidR="00FD3242" w:rsidRPr="00E87A30" w:rsidRDefault="00FD3242" w:rsidP="00F12E60">
            <w:pPr>
              <w:spacing w:before="80" w:line="276" w:lineRule="auto"/>
              <w:jc w:val="left"/>
              <w:rPr>
                <w:rFonts w:ascii="Arial" w:hAnsi="Arial" w:cs="Arial"/>
                <w:b/>
                <w:sz w:val="24"/>
                <w:szCs w:val="24"/>
              </w:rPr>
            </w:pPr>
            <w:r w:rsidRPr="00E87A30">
              <w:rPr>
                <w:rFonts w:ascii="Arial" w:hAnsi="Arial" w:cs="Arial"/>
                <w:b/>
                <w:sz w:val="24"/>
                <w:szCs w:val="24"/>
              </w:rPr>
              <w:t>Detail</w:t>
            </w:r>
          </w:p>
        </w:tc>
        <w:tc>
          <w:tcPr>
            <w:tcW w:w="2463" w:type="pct"/>
            <w:tcBorders>
              <w:top w:val="single" w:sz="4" w:space="0" w:color="auto"/>
            </w:tcBorders>
          </w:tcPr>
          <w:p w:rsidR="00FD3242" w:rsidRPr="00E87A30" w:rsidRDefault="00FD3242" w:rsidP="00F12E60">
            <w:pPr>
              <w:spacing w:before="80" w:line="276" w:lineRule="auto"/>
              <w:jc w:val="left"/>
              <w:rPr>
                <w:rFonts w:ascii="Arial" w:hAnsi="Arial" w:cs="Arial"/>
                <w:b/>
                <w:sz w:val="24"/>
                <w:szCs w:val="24"/>
              </w:rPr>
            </w:pPr>
            <w:r w:rsidRPr="00E87A30">
              <w:rPr>
                <w:rFonts w:ascii="Arial" w:hAnsi="Arial" w:cs="Arial"/>
                <w:b/>
                <w:sz w:val="24"/>
                <w:szCs w:val="24"/>
              </w:rPr>
              <w:t>Communication</w:t>
            </w:r>
          </w:p>
        </w:tc>
      </w:tr>
      <w:tr w:rsidR="00FD3242" w:rsidRPr="00FD57E1" w:rsidTr="00F12E60">
        <w:tc>
          <w:tcPr>
            <w:tcW w:w="1087" w:type="pct"/>
          </w:tcPr>
          <w:p w:rsidR="00FD3242" w:rsidRPr="00E87A30" w:rsidRDefault="00FD3242" w:rsidP="00F12E60">
            <w:pPr>
              <w:jc w:val="left"/>
              <w:rPr>
                <w:rFonts w:ascii="Arial" w:hAnsi="Arial" w:cs="Arial"/>
                <w:b/>
                <w:sz w:val="24"/>
                <w:szCs w:val="24"/>
              </w:rPr>
            </w:pPr>
            <w:r w:rsidRPr="00E87A30">
              <w:rPr>
                <w:rFonts w:ascii="Arial" w:hAnsi="Arial" w:cs="Arial"/>
                <w:b/>
                <w:sz w:val="24"/>
                <w:szCs w:val="24"/>
              </w:rPr>
              <w:t>Q1</w:t>
            </w:r>
          </w:p>
        </w:tc>
        <w:tc>
          <w:tcPr>
            <w:tcW w:w="1449" w:type="pct"/>
          </w:tcPr>
          <w:p w:rsidR="00FD3242" w:rsidRPr="00FD57E1" w:rsidRDefault="00FD3242" w:rsidP="00F12E60">
            <w:pPr>
              <w:jc w:val="left"/>
              <w:rPr>
                <w:rFonts w:ascii="Arial" w:hAnsi="Arial" w:cs="Arial"/>
                <w:sz w:val="24"/>
                <w:szCs w:val="24"/>
              </w:rPr>
            </w:pPr>
            <w:r>
              <w:rPr>
                <w:rFonts w:ascii="Arial" w:hAnsi="Arial" w:cs="Arial"/>
                <w:sz w:val="24"/>
                <w:szCs w:val="24"/>
              </w:rPr>
              <w:t>Sales and retail profit</w:t>
            </w:r>
          </w:p>
        </w:tc>
        <w:tc>
          <w:tcPr>
            <w:tcW w:w="2463" w:type="pct"/>
          </w:tcPr>
          <w:p w:rsidR="00FD3242" w:rsidRPr="00FD57E1" w:rsidRDefault="00FD3242" w:rsidP="00F12E60">
            <w:pPr>
              <w:jc w:val="left"/>
              <w:rPr>
                <w:rFonts w:ascii="Arial" w:hAnsi="Arial" w:cs="Arial"/>
                <w:sz w:val="24"/>
                <w:szCs w:val="24"/>
              </w:rPr>
            </w:pPr>
            <w:r>
              <w:rPr>
                <w:rFonts w:ascii="Arial" w:hAnsi="Arial" w:cs="Arial"/>
                <w:sz w:val="24"/>
                <w:szCs w:val="24"/>
              </w:rPr>
              <w:t>Announcement; no conference call</w:t>
            </w:r>
          </w:p>
        </w:tc>
      </w:tr>
      <w:tr w:rsidR="00FD3242" w:rsidRPr="00954FE4" w:rsidTr="00F12E60">
        <w:tc>
          <w:tcPr>
            <w:tcW w:w="1087" w:type="pct"/>
          </w:tcPr>
          <w:p w:rsidR="00FD3242" w:rsidRPr="00E87A30" w:rsidRDefault="00FD3242" w:rsidP="00F12E60">
            <w:pPr>
              <w:jc w:val="left"/>
              <w:rPr>
                <w:rFonts w:ascii="Arial" w:hAnsi="Arial" w:cs="Arial"/>
                <w:b/>
                <w:sz w:val="14"/>
                <w:szCs w:val="14"/>
              </w:rPr>
            </w:pPr>
          </w:p>
        </w:tc>
        <w:tc>
          <w:tcPr>
            <w:tcW w:w="1449" w:type="pct"/>
          </w:tcPr>
          <w:p w:rsidR="00FD3242" w:rsidRPr="00954FE4" w:rsidRDefault="00FD3242" w:rsidP="00F12E60">
            <w:pPr>
              <w:jc w:val="left"/>
              <w:rPr>
                <w:rFonts w:ascii="Arial" w:hAnsi="Arial" w:cs="Arial"/>
                <w:sz w:val="14"/>
                <w:szCs w:val="14"/>
              </w:rPr>
            </w:pPr>
          </w:p>
        </w:tc>
        <w:tc>
          <w:tcPr>
            <w:tcW w:w="2463" w:type="pct"/>
          </w:tcPr>
          <w:p w:rsidR="00FD3242" w:rsidRPr="00954FE4" w:rsidRDefault="00FD3242" w:rsidP="00F12E60">
            <w:pPr>
              <w:jc w:val="left"/>
              <w:rPr>
                <w:rFonts w:ascii="Arial" w:hAnsi="Arial" w:cs="Arial"/>
                <w:sz w:val="14"/>
                <w:szCs w:val="14"/>
              </w:rPr>
            </w:pPr>
          </w:p>
        </w:tc>
      </w:tr>
      <w:tr w:rsidR="00FD3242" w:rsidRPr="00FD57E1" w:rsidTr="00F12E60">
        <w:tc>
          <w:tcPr>
            <w:tcW w:w="1087" w:type="pct"/>
          </w:tcPr>
          <w:p w:rsidR="00FD3242" w:rsidRPr="00E87A30" w:rsidRDefault="00FD3242" w:rsidP="00F12E60">
            <w:pPr>
              <w:jc w:val="left"/>
              <w:rPr>
                <w:rFonts w:ascii="Arial" w:hAnsi="Arial" w:cs="Arial"/>
                <w:b/>
                <w:sz w:val="24"/>
                <w:szCs w:val="24"/>
              </w:rPr>
            </w:pPr>
            <w:r w:rsidRPr="00E87A30">
              <w:rPr>
                <w:rFonts w:ascii="Arial" w:hAnsi="Arial" w:cs="Arial"/>
                <w:b/>
                <w:sz w:val="24"/>
                <w:szCs w:val="24"/>
              </w:rPr>
              <w:t>Q2</w:t>
            </w:r>
          </w:p>
        </w:tc>
        <w:tc>
          <w:tcPr>
            <w:tcW w:w="1449" w:type="pct"/>
          </w:tcPr>
          <w:p w:rsidR="00FD3242" w:rsidRPr="00FD57E1" w:rsidRDefault="00FD3242" w:rsidP="00F12E60">
            <w:pPr>
              <w:jc w:val="left"/>
              <w:rPr>
                <w:rFonts w:ascii="Arial" w:hAnsi="Arial" w:cs="Arial"/>
                <w:sz w:val="24"/>
                <w:szCs w:val="24"/>
              </w:rPr>
            </w:pPr>
            <w:r>
              <w:rPr>
                <w:rFonts w:ascii="Arial" w:hAnsi="Arial" w:cs="Arial"/>
                <w:sz w:val="24"/>
                <w:szCs w:val="24"/>
              </w:rPr>
              <w:t>‘Pre-close’ sales update</w:t>
            </w:r>
          </w:p>
        </w:tc>
        <w:tc>
          <w:tcPr>
            <w:tcW w:w="2463" w:type="pct"/>
          </w:tcPr>
          <w:p w:rsidR="00FD3242" w:rsidRPr="00FD57E1" w:rsidRDefault="00FD3242" w:rsidP="00F12E60">
            <w:pPr>
              <w:jc w:val="left"/>
              <w:rPr>
                <w:rFonts w:ascii="Arial" w:hAnsi="Arial" w:cs="Arial"/>
                <w:sz w:val="24"/>
                <w:szCs w:val="24"/>
              </w:rPr>
            </w:pPr>
            <w:r>
              <w:rPr>
                <w:rFonts w:ascii="Arial" w:hAnsi="Arial" w:cs="Arial"/>
                <w:sz w:val="24"/>
                <w:szCs w:val="24"/>
              </w:rPr>
              <w:t>Announcement; no conference call</w:t>
            </w:r>
          </w:p>
        </w:tc>
      </w:tr>
      <w:tr w:rsidR="00FD3242" w:rsidRPr="00954FE4" w:rsidTr="00F12E60">
        <w:tc>
          <w:tcPr>
            <w:tcW w:w="1087" w:type="pct"/>
          </w:tcPr>
          <w:p w:rsidR="00FD3242" w:rsidRPr="00E87A30" w:rsidRDefault="00FD3242" w:rsidP="00F12E60">
            <w:pPr>
              <w:jc w:val="left"/>
              <w:rPr>
                <w:rFonts w:ascii="Arial" w:hAnsi="Arial" w:cs="Arial"/>
                <w:b/>
                <w:sz w:val="14"/>
                <w:szCs w:val="14"/>
              </w:rPr>
            </w:pPr>
          </w:p>
        </w:tc>
        <w:tc>
          <w:tcPr>
            <w:tcW w:w="1449" w:type="pct"/>
          </w:tcPr>
          <w:p w:rsidR="00FD3242" w:rsidRPr="00954FE4" w:rsidRDefault="00FD3242" w:rsidP="00F12E60">
            <w:pPr>
              <w:jc w:val="left"/>
              <w:rPr>
                <w:rFonts w:ascii="Arial" w:hAnsi="Arial" w:cs="Arial"/>
                <w:sz w:val="14"/>
                <w:szCs w:val="14"/>
              </w:rPr>
            </w:pPr>
          </w:p>
        </w:tc>
        <w:tc>
          <w:tcPr>
            <w:tcW w:w="2463" w:type="pct"/>
          </w:tcPr>
          <w:p w:rsidR="00FD3242" w:rsidRPr="00954FE4" w:rsidRDefault="00FD3242" w:rsidP="00F12E60">
            <w:pPr>
              <w:jc w:val="left"/>
              <w:rPr>
                <w:rFonts w:ascii="Arial" w:hAnsi="Arial" w:cs="Arial"/>
                <w:sz w:val="14"/>
                <w:szCs w:val="14"/>
              </w:rPr>
            </w:pPr>
          </w:p>
        </w:tc>
      </w:tr>
      <w:tr w:rsidR="00FD3242" w:rsidRPr="00FD57E1" w:rsidTr="00F12E60">
        <w:tc>
          <w:tcPr>
            <w:tcW w:w="1087" w:type="pct"/>
          </w:tcPr>
          <w:p w:rsidR="00FD3242" w:rsidRPr="00E87A30" w:rsidRDefault="00FD3242" w:rsidP="00F12E60">
            <w:pPr>
              <w:tabs>
                <w:tab w:val="left" w:pos="4455"/>
              </w:tabs>
              <w:jc w:val="left"/>
              <w:rPr>
                <w:rFonts w:ascii="Arial" w:hAnsi="Arial" w:cs="Arial"/>
                <w:b/>
                <w:sz w:val="24"/>
                <w:szCs w:val="24"/>
              </w:rPr>
            </w:pPr>
            <w:r w:rsidRPr="00E87A30">
              <w:rPr>
                <w:rFonts w:ascii="Arial" w:hAnsi="Arial" w:cs="Arial"/>
                <w:b/>
                <w:sz w:val="24"/>
                <w:szCs w:val="24"/>
              </w:rPr>
              <w:t>Interims</w:t>
            </w:r>
          </w:p>
        </w:tc>
        <w:tc>
          <w:tcPr>
            <w:tcW w:w="1449" w:type="pct"/>
          </w:tcPr>
          <w:p w:rsidR="00FD3242" w:rsidRPr="00FD57E1" w:rsidRDefault="00FD3242" w:rsidP="00F12E60">
            <w:pPr>
              <w:jc w:val="left"/>
              <w:rPr>
                <w:rFonts w:ascii="Arial" w:hAnsi="Arial" w:cs="Arial"/>
                <w:sz w:val="24"/>
                <w:szCs w:val="24"/>
              </w:rPr>
            </w:pPr>
            <w:r>
              <w:rPr>
                <w:rFonts w:ascii="Arial" w:hAnsi="Arial" w:cs="Arial"/>
                <w:sz w:val="24"/>
                <w:szCs w:val="24"/>
              </w:rPr>
              <w:t>Full announcement</w:t>
            </w:r>
          </w:p>
        </w:tc>
        <w:tc>
          <w:tcPr>
            <w:tcW w:w="2463" w:type="pct"/>
          </w:tcPr>
          <w:p w:rsidR="00FD3242" w:rsidRPr="00FD57E1" w:rsidRDefault="00FD3242" w:rsidP="00F12E60">
            <w:pPr>
              <w:jc w:val="left"/>
              <w:rPr>
                <w:rFonts w:ascii="Arial" w:hAnsi="Arial" w:cs="Arial"/>
                <w:sz w:val="24"/>
                <w:szCs w:val="24"/>
              </w:rPr>
            </w:pPr>
            <w:r>
              <w:rPr>
                <w:rFonts w:ascii="Arial" w:hAnsi="Arial" w:cs="Arial"/>
                <w:sz w:val="24"/>
                <w:szCs w:val="24"/>
              </w:rPr>
              <w:t>Announcement; presentation/webcast</w:t>
            </w:r>
          </w:p>
        </w:tc>
      </w:tr>
      <w:tr w:rsidR="00FD3242" w:rsidRPr="00954FE4" w:rsidTr="00F12E60">
        <w:tc>
          <w:tcPr>
            <w:tcW w:w="1087" w:type="pct"/>
          </w:tcPr>
          <w:p w:rsidR="00FD3242" w:rsidRPr="00E87A30" w:rsidRDefault="00FD3242" w:rsidP="00F12E60">
            <w:pPr>
              <w:tabs>
                <w:tab w:val="left" w:pos="4455"/>
              </w:tabs>
              <w:jc w:val="left"/>
              <w:rPr>
                <w:rFonts w:ascii="Arial" w:hAnsi="Arial" w:cs="Arial"/>
                <w:b/>
                <w:sz w:val="14"/>
                <w:szCs w:val="14"/>
              </w:rPr>
            </w:pPr>
          </w:p>
        </w:tc>
        <w:tc>
          <w:tcPr>
            <w:tcW w:w="1449" w:type="pct"/>
          </w:tcPr>
          <w:p w:rsidR="00FD3242" w:rsidRPr="00954FE4" w:rsidRDefault="00FD3242" w:rsidP="00F12E60">
            <w:pPr>
              <w:jc w:val="left"/>
              <w:rPr>
                <w:rFonts w:ascii="Arial" w:hAnsi="Arial" w:cs="Arial"/>
                <w:sz w:val="14"/>
                <w:szCs w:val="14"/>
              </w:rPr>
            </w:pPr>
          </w:p>
        </w:tc>
        <w:tc>
          <w:tcPr>
            <w:tcW w:w="2463" w:type="pct"/>
          </w:tcPr>
          <w:p w:rsidR="00FD3242" w:rsidRPr="00954FE4" w:rsidRDefault="00FD3242" w:rsidP="00F12E60">
            <w:pPr>
              <w:jc w:val="left"/>
              <w:rPr>
                <w:rFonts w:ascii="Arial" w:hAnsi="Arial" w:cs="Arial"/>
                <w:sz w:val="14"/>
                <w:szCs w:val="14"/>
              </w:rPr>
            </w:pPr>
          </w:p>
        </w:tc>
      </w:tr>
      <w:tr w:rsidR="00FD3242" w:rsidRPr="00FD57E1" w:rsidTr="00F12E60">
        <w:tc>
          <w:tcPr>
            <w:tcW w:w="1087" w:type="pct"/>
          </w:tcPr>
          <w:p w:rsidR="00FD3242" w:rsidRPr="00E87A30" w:rsidRDefault="00FD3242" w:rsidP="00F12E60">
            <w:pPr>
              <w:tabs>
                <w:tab w:val="left" w:pos="4455"/>
              </w:tabs>
              <w:jc w:val="left"/>
              <w:rPr>
                <w:rFonts w:ascii="Arial" w:hAnsi="Arial" w:cs="Arial"/>
                <w:b/>
                <w:sz w:val="24"/>
                <w:szCs w:val="24"/>
              </w:rPr>
            </w:pPr>
            <w:r w:rsidRPr="00E87A30">
              <w:rPr>
                <w:rFonts w:ascii="Arial" w:hAnsi="Arial" w:cs="Arial"/>
                <w:b/>
                <w:sz w:val="24"/>
                <w:szCs w:val="24"/>
              </w:rPr>
              <w:t>Q3</w:t>
            </w:r>
          </w:p>
        </w:tc>
        <w:tc>
          <w:tcPr>
            <w:tcW w:w="1449" w:type="pct"/>
          </w:tcPr>
          <w:p w:rsidR="00FD3242" w:rsidRPr="00FD57E1" w:rsidRDefault="00FD3242" w:rsidP="00F12E60">
            <w:pPr>
              <w:jc w:val="left"/>
              <w:rPr>
                <w:rFonts w:ascii="Arial" w:hAnsi="Arial" w:cs="Arial"/>
                <w:sz w:val="24"/>
                <w:szCs w:val="24"/>
              </w:rPr>
            </w:pPr>
            <w:r>
              <w:rPr>
                <w:rFonts w:ascii="Arial" w:hAnsi="Arial" w:cs="Arial"/>
                <w:sz w:val="24"/>
                <w:szCs w:val="24"/>
              </w:rPr>
              <w:t>Sales and retail profit</w:t>
            </w:r>
          </w:p>
        </w:tc>
        <w:tc>
          <w:tcPr>
            <w:tcW w:w="2463" w:type="pct"/>
          </w:tcPr>
          <w:p w:rsidR="00FD3242" w:rsidRPr="00FD57E1" w:rsidRDefault="00FD3242" w:rsidP="00F12E60">
            <w:pPr>
              <w:jc w:val="left"/>
              <w:rPr>
                <w:rFonts w:ascii="Arial" w:hAnsi="Arial" w:cs="Arial"/>
                <w:sz w:val="24"/>
                <w:szCs w:val="24"/>
              </w:rPr>
            </w:pPr>
            <w:r>
              <w:rPr>
                <w:rFonts w:ascii="Arial" w:hAnsi="Arial" w:cs="Arial"/>
                <w:sz w:val="24"/>
                <w:szCs w:val="24"/>
              </w:rPr>
              <w:t>Announcement; conference call</w:t>
            </w:r>
          </w:p>
        </w:tc>
      </w:tr>
      <w:tr w:rsidR="00FD3242" w:rsidRPr="00954FE4" w:rsidTr="00F12E60">
        <w:tc>
          <w:tcPr>
            <w:tcW w:w="1087" w:type="pct"/>
          </w:tcPr>
          <w:p w:rsidR="00FD3242" w:rsidRPr="00E87A30" w:rsidRDefault="00FD3242" w:rsidP="00F12E60">
            <w:pPr>
              <w:jc w:val="left"/>
              <w:rPr>
                <w:rFonts w:ascii="Arial" w:hAnsi="Arial" w:cs="Arial"/>
                <w:b/>
                <w:sz w:val="14"/>
                <w:szCs w:val="14"/>
              </w:rPr>
            </w:pPr>
          </w:p>
        </w:tc>
        <w:tc>
          <w:tcPr>
            <w:tcW w:w="1449" w:type="pct"/>
          </w:tcPr>
          <w:p w:rsidR="00FD3242" w:rsidRPr="00954FE4" w:rsidRDefault="00FD3242" w:rsidP="00F12E60">
            <w:pPr>
              <w:jc w:val="left"/>
              <w:rPr>
                <w:rFonts w:ascii="Arial" w:hAnsi="Arial" w:cs="Arial"/>
                <w:sz w:val="14"/>
                <w:szCs w:val="14"/>
              </w:rPr>
            </w:pPr>
          </w:p>
        </w:tc>
        <w:tc>
          <w:tcPr>
            <w:tcW w:w="2463" w:type="pct"/>
          </w:tcPr>
          <w:p w:rsidR="00FD3242" w:rsidRPr="00954FE4" w:rsidRDefault="00FD3242" w:rsidP="00F12E60">
            <w:pPr>
              <w:jc w:val="left"/>
              <w:rPr>
                <w:rFonts w:ascii="Arial" w:hAnsi="Arial" w:cs="Arial"/>
                <w:sz w:val="14"/>
                <w:szCs w:val="14"/>
              </w:rPr>
            </w:pPr>
          </w:p>
        </w:tc>
      </w:tr>
      <w:tr w:rsidR="00FD3242" w:rsidRPr="00FD57E1" w:rsidTr="00F12E60">
        <w:tc>
          <w:tcPr>
            <w:tcW w:w="1087" w:type="pct"/>
            <w:tcBorders>
              <w:bottom w:val="single" w:sz="4" w:space="0" w:color="auto"/>
            </w:tcBorders>
          </w:tcPr>
          <w:p w:rsidR="00FD3242" w:rsidRPr="00E87A30" w:rsidRDefault="00FD3242" w:rsidP="00F12E60">
            <w:pPr>
              <w:jc w:val="left"/>
              <w:rPr>
                <w:rFonts w:ascii="Arial" w:hAnsi="Arial" w:cs="Arial"/>
                <w:b/>
                <w:sz w:val="14"/>
                <w:szCs w:val="14"/>
              </w:rPr>
            </w:pPr>
            <w:r w:rsidRPr="00E87A30">
              <w:rPr>
                <w:rFonts w:ascii="Arial" w:hAnsi="Arial" w:cs="Arial"/>
                <w:b/>
                <w:sz w:val="24"/>
                <w:szCs w:val="24"/>
              </w:rPr>
              <w:t>Prelims</w:t>
            </w:r>
          </w:p>
        </w:tc>
        <w:tc>
          <w:tcPr>
            <w:tcW w:w="1449" w:type="pct"/>
            <w:tcBorders>
              <w:bottom w:val="single" w:sz="4" w:space="0" w:color="auto"/>
            </w:tcBorders>
          </w:tcPr>
          <w:p w:rsidR="00FD3242" w:rsidRPr="00FD57E1" w:rsidRDefault="00FD3242" w:rsidP="00F12E60">
            <w:pPr>
              <w:jc w:val="left"/>
              <w:rPr>
                <w:rFonts w:ascii="Arial" w:hAnsi="Arial" w:cs="Arial"/>
                <w:sz w:val="24"/>
                <w:szCs w:val="24"/>
              </w:rPr>
            </w:pPr>
            <w:r>
              <w:rPr>
                <w:rFonts w:ascii="Arial" w:hAnsi="Arial" w:cs="Arial"/>
                <w:sz w:val="24"/>
                <w:szCs w:val="24"/>
              </w:rPr>
              <w:t>Full announcement</w:t>
            </w:r>
          </w:p>
        </w:tc>
        <w:tc>
          <w:tcPr>
            <w:tcW w:w="2463" w:type="pct"/>
            <w:tcBorders>
              <w:bottom w:val="single" w:sz="4" w:space="0" w:color="auto"/>
            </w:tcBorders>
          </w:tcPr>
          <w:p w:rsidR="00FD3242" w:rsidRPr="00FD57E1" w:rsidRDefault="00FD3242" w:rsidP="00F12E60">
            <w:pPr>
              <w:spacing w:line="276" w:lineRule="auto"/>
              <w:jc w:val="left"/>
              <w:rPr>
                <w:rFonts w:ascii="Arial" w:hAnsi="Arial" w:cs="Arial"/>
                <w:sz w:val="24"/>
                <w:szCs w:val="24"/>
              </w:rPr>
            </w:pPr>
            <w:r>
              <w:rPr>
                <w:rFonts w:ascii="Arial" w:hAnsi="Arial" w:cs="Arial"/>
                <w:sz w:val="24"/>
                <w:szCs w:val="24"/>
              </w:rPr>
              <w:t>Announcement; presentation/webcast</w:t>
            </w:r>
          </w:p>
        </w:tc>
      </w:tr>
    </w:tbl>
    <w:p w:rsidR="00CA1FB8" w:rsidRDefault="00CA1FB8">
      <w:pPr>
        <w:jc w:val="left"/>
        <w:rPr>
          <w:rFonts w:ascii="Arial" w:hAnsi="Arial" w:cs="Arial"/>
          <w:b/>
          <w:caps/>
          <w:sz w:val="24"/>
          <w:szCs w:val="24"/>
        </w:rPr>
      </w:pPr>
      <w:r>
        <w:rPr>
          <w:rFonts w:ascii="Arial" w:hAnsi="Arial" w:cs="Arial"/>
          <w:b/>
          <w:caps/>
          <w:sz w:val="24"/>
          <w:szCs w:val="24"/>
        </w:rPr>
        <w:br w:type="page"/>
      </w:r>
    </w:p>
    <w:p w:rsidR="00FD3242" w:rsidRDefault="00FD3242" w:rsidP="00A626C0">
      <w:pPr>
        <w:autoSpaceDE w:val="0"/>
        <w:autoSpaceDN w:val="0"/>
        <w:adjustRightInd w:val="0"/>
        <w:jc w:val="left"/>
        <w:rPr>
          <w:rFonts w:ascii="Arial" w:hAnsi="Arial" w:cs="Arial"/>
          <w:b/>
          <w:caps/>
          <w:sz w:val="24"/>
          <w:szCs w:val="24"/>
        </w:rPr>
      </w:pPr>
    </w:p>
    <w:p w:rsidR="009C58A0" w:rsidRPr="00C51F61" w:rsidRDefault="009C58A0" w:rsidP="00A626C0">
      <w:pPr>
        <w:autoSpaceDE w:val="0"/>
        <w:autoSpaceDN w:val="0"/>
        <w:adjustRightInd w:val="0"/>
        <w:jc w:val="left"/>
        <w:rPr>
          <w:rFonts w:ascii="Arial" w:hAnsi="Arial" w:cs="Arial"/>
          <w:b/>
          <w:caps/>
          <w:szCs w:val="22"/>
        </w:rPr>
      </w:pPr>
      <w:r w:rsidRPr="00C51F61">
        <w:rPr>
          <w:rFonts w:ascii="Arial" w:hAnsi="Arial" w:cs="Arial"/>
          <w:b/>
          <w:caps/>
          <w:sz w:val="24"/>
          <w:szCs w:val="24"/>
        </w:rPr>
        <w:t>Forward-looking statements</w:t>
      </w:r>
    </w:p>
    <w:p w:rsidR="009C58A0" w:rsidRPr="00C51F61" w:rsidRDefault="009C58A0" w:rsidP="00D75187">
      <w:pPr>
        <w:jc w:val="left"/>
        <w:rPr>
          <w:rFonts w:ascii="Arial" w:hAnsi="Arial" w:cs="Arial"/>
          <w:sz w:val="24"/>
          <w:szCs w:val="24"/>
        </w:rPr>
      </w:pPr>
    </w:p>
    <w:p w:rsidR="009C58A0" w:rsidRPr="00B731FF" w:rsidRDefault="009C58A0" w:rsidP="00B731FF">
      <w:pPr>
        <w:jc w:val="left"/>
        <w:rPr>
          <w:rFonts w:ascii="Arial" w:hAnsi="Arial" w:cs="Arial"/>
          <w:sz w:val="24"/>
          <w:szCs w:val="24"/>
        </w:rPr>
      </w:pPr>
      <w:r w:rsidRPr="00B731FF">
        <w:rPr>
          <w:rFonts w:ascii="Arial" w:hAnsi="Arial" w:cs="Arial"/>
          <w:sz w:val="24"/>
          <w:szCs w:val="24"/>
        </w:rPr>
        <w:t xml:space="preserve">This press release contains certain forward-looking statements, which should be considered, amongst other statutory provisions, in light of the safe harbour provisions of the United States Private Securities Litigation Reform Act of 1995. All statements other than statements of historical facts may be forward-looking statements, including, without limitation, statements regarding the Company’s intentions, beliefs or current expectations concerning, amongst other things, the Company’s results of operations, financial condition, liquidity, prospects, growth and strategies. Forward-looking statements can be identified by the use of forward-looking terminology, including terms such as “may”, “will”, “should”, “could”, “would”, “expect”, “anticipate”, “project”, “estimate”, “intend”, “continue”, “target” or “believe” (or the negatives thereof) or other variations thereon or comparable terminology. Such statements involve and are subject to risks, assumptions and uncertainties that could cause actual events, results or performance to differ materially from those expressed or implied by such forward-looking statements because they relate to future events. We urge you to read our annual report and other company reports, including the risk factors contained therein, for a more detailed discussion of the factors that could affect our future results, performance or achievements and the industry in which we operate. No representation or warranty is made as to the achievement or reasonableness of and no reliance should be placed on any forward-looking statement. All forward-looking statements in this press release are based on information known to the Company as of the date of this press release and speak only as of the date of this press release. Other than in accordance with its legal or regulatory obligations (including under the Listing Rules and the Disclosure and Transparency Rules of the Financial Conduct Authority), the Company undertakes no obligation to update, revise or correct any forward-looking statement publicly, whether as a result of new information, future events or otherwise. No statement in this press release should be construed as a profit forecast or relied upon as a guide to future performance. </w:t>
      </w:r>
    </w:p>
    <w:p w:rsidR="009C58A0" w:rsidRPr="00B731FF" w:rsidRDefault="009C58A0" w:rsidP="00B731FF">
      <w:pPr>
        <w:jc w:val="left"/>
        <w:rPr>
          <w:rFonts w:ascii="Arial" w:hAnsi="Arial" w:cs="Arial"/>
          <w:sz w:val="24"/>
          <w:szCs w:val="24"/>
        </w:rPr>
      </w:pPr>
      <w:r w:rsidRPr="00B731FF">
        <w:rPr>
          <w:rFonts w:ascii="Arial" w:hAnsi="Arial" w:cs="Arial"/>
          <w:sz w:val="24"/>
          <w:szCs w:val="24"/>
        </w:rPr>
        <w:t xml:space="preserve">Please refer to page 116 of the Annual Report and Accounts 2012/13 for further details and definitions concerning forward-looking statements and how they should be considered. </w:t>
      </w:r>
    </w:p>
    <w:p w:rsidR="009C58A0" w:rsidRDefault="009C58A0" w:rsidP="006D30E6">
      <w:pPr>
        <w:jc w:val="left"/>
        <w:rPr>
          <w:rFonts w:ascii="Arial" w:hAnsi="Arial" w:cs="Arial"/>
          <w:sz w:val="24"/>
          <w:szCs w:val="24"/>
        </w:rPr>
      </w:pPr>
    </w:p>
    <w:p w:rsidR="00F16A72" w:rsidRDefault="00F16A72" w:rsidP="006D30E6">
      <w:pPr>
        <w:jc w:val="left"/>
        <w:rPr>
          <w:rFonts w:ascii="Arial" w:hAnsi="Arial" w:cs="Arial"/>
          <w:sz w:val="24"/>
          <w:szCs w:val="24"/>
        </w:rPr>
      </w:pPr>
    </w:p>
    <w:sectPr w:rsidR="00F16A72" w:rsidSect="002412C3">
      <w:headerReference w:type="default" r:id="rId10"/>
      <w:footerReference w:type="even" r:id="rId11"/>
      <w:footerReference w:type="default" r:id="rId12"/>
      <w:pgSz w:w="11909" w:h="16834" w:code="9"/>
      <w:pgMar w:top="519" w:right="994" w:bottom="720" w:left="1134" w:header="720" w:footer="7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3A" w:rsidRDefault="009F4E3A">
      <w:r>
        <w:separator/>
      </w:r>
    </w:p>
  </w:endnote>
  <w:endnote w:type="continuationSeparator" w:id="0">
    <w:p w:rsidR="009F4E3A" w:rsidRDefault="009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Calligr BT">
    <w:altName w:val="Palatino Linotype"/>
    <w:panose1 w:val="02040502050505030904"/>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A" w:rsidRDefault="009F4E3A"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F4E3A" w:rsidRDefault="009F4E3A"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A" w:rsidRDefault="009F4E3A">
    <w:pPr>
      <w:pStyle w:val="Footer"/>
      <w:jc w:val="right"/>
    </w:pPr>
    <w:r>
      <w:fldChar w:fldCharType="begin"/>
    </w:r>
    <w:r>
      <w:instrText xml:space="preserve"> PAGE   \* MERGEFORMAT </w:instrText>
    </w:r>
    <w:r>
      <w:fldChar w:fldCharType="separate"/>
    </w:r>
    <w:r w:rsidR="003A3512">
      <w:rPr>
        <w:noProof/>
      </w:rPr>
      <w:t>- 3 -</w:t>
    </w:r>
    <w:r>
      <w:fldChar w:fldCharType="end"/>
    </w:r>
  </w:p>
  <w:p w:rsidR="009F4E3A" w:rsidRDefault="009F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3A" w:rsidRDefault="009F4E3A">
      <w:r>
        <w:separator/>
      </w:r>
    </w:p>
  </w:footnote>
  <w:footnote w:type="continuationSeparator" w:id="0">
    <w:p w:rsidR="009F4E3A" w:rsidRDefault="009F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A" w:rsidRDefault="009F4E3A" w:rsidP="00E00BD4">
    <w:pPr>
      <w:pStyle w:val="Header"/>
      <w:tabs>
        <w:tab w:val="clear" w:pos="4153"/>
        <w:tab w:val="clear" w:pos="8306"/>
        <w:tab w:val="center" w:pos="4890"/>
        <w:tab w:val="right" w:pos="9781"/>
      </w:tabs>
      <w:jc w:val="right"/>
    </w:pPr>
    <w:r>
      <w:rPr>
        <w:noProof/>
      </w:rPr>
      <w:tab/>
    </w:r>
    <w:r>
      <w:rPr>
        <w:noProof/>
      </w:rPr>
      <w:drawing>
        <wp:inline distT="0" distB="0" distL="0" distR="0" wp14:anchorId="3B1A691F" wp14:editId="7F3F96AF">
          <wp:extent cx="1762125" cy="6572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1">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2">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6"/>
  </w:num>
  <w:num w:numId="3">
    <w:abstractNumId w:val="5"/>
  </w:num>
  <w:num w:numId="4">
    <w:abstractNumId w:val="18"/>
  </w:num>
  <w:num w:numId="5">
    <w:abstractNumId w:val="4"/>
  </w:num>
  <w:num w:numId="6">
    <w:abstractNumId w:val="8"/>
  </w:num>
  <w:num w:numId="7">
    <w:abstractNumId w:val="19"/>
  </w:num>
  <w:num w:numId="8">
    <w:abstractNumId w:val="12"/>
  </w:num>
  <w:num w:numId="9">
    <w:abstractNumId w:val="13"/>
  </w:num>
  <w:num w:numId="10">
    <w:abstractNumId w:val="21"/>
  </w:num>
  <w:num w:numId="11">
    <w:abstractNumId w:val="15"/>
  </w:num>
  <w:num w:numId="12">
    <w:abstractNumId w:val="10"/>
  </w:num>
  <w:num w:numId="13">
    <w:abstractNumId w:val="22"/>
  </w:num>
  <w:num w:numId="14">
    <w:abstractNumId w:val="1"/>
  </w:num>
  <w:num w:numId="15">
    <w:abstractNumId w:val="17"/>
  </w:num>
  <w:num w:numId="16">
    <w:abstractNumId w:val="2"/>
  </w:num>
  <w:num w:numId="17">
    <w:abstractNumId w:val="14"/>
  </w:num>
  <w:num w:numId="18">
    <w:abstractNumId w:val="11"/>
  </w:num>
  <w:num w:numId="19">
    <w:abstractNumId w:val="7"/>
  </w:num>
  <w:num w:numId="20">
    <w:abstractNumId w:val="9"/>
  </w:num>
  <w:num w:numId="21">
    <w:abstractNumId w:val="3"/>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9"/>
    <w:rsid w:val="0000071E"/>
    <w:rsid w:val="00000AB2"/>
    <w:rsid w:val="000010EB"/>
    <w:rsid w:val="00001648"/>
    <w:rsid w:val="00001C83"/>
    <w:rsid w:val="00002253"/>
    <w:rsid w:val="00002B9D"/>
    <w:rsid w:val="00002C3D"/>
    <w:rsid w:val="00002EB1"/>
    <w:rsid w:val="000049B2"/>
    <w:rsid w:val="00005E76"/>
    <w:rsid w:val="000077C7"/>
    <w:rsid w:val="000077CA"/>
    <w:rsid w:val="00007D63"/>
    <w:rsid w:val="00007E6E"/>
    <w:rsid w:val="000105D4"/>
    <w:rsid w:val="00010672"/>
    <w:rsid w:val="00010EC9"/>
    <w:rsid w:val="00011491"/>
    <w:rsid w:val="00012233"/>
    <w:rsid w:val="00012F5B"/>
    <w:rsid w:val="00013173"/>
    <w:rsid w:val="00013341"/>
    <w:rsid w:val="00014846"/>
    <w:rsid w:val="00015EE9"/>
    <w:rsid w:val="00016E74"/>
    <w:rsid w:val="00017349"/>
    <w:rsid w:val="00020F7B"/>
    <w:rsid w:val="000215EE"/>
    <w:rsid w:val="00022BF5"/>
    <w:rsid w:val="00023276"/>
    <w:rsid w:val="0002350C"/>
    <w:rsid w:val="0002377F"/>
    <w:rsid w:val="00023A77"/>
    <w:rsid w:val="00023E6F"/>
    <w:rsid w:val="000240A3"/>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3EC9"/>
    <w:rsid w:val="000441FF"/>
    <w:rsid w:val="00044499"/>
    <w:rsid w:val="000444A9"/>
    <w:rsid w:val="000445CD"/>
    <w:rsid w:val="00045F88"/>
    <w:rsid w:val="00046FBC"/>
    <w:rsid w:val="00051E57"/>
    <w:rsid w:val="00051EBF"/>
    <w:rsid w:val="0005286F"/>
    <w:rsid w:val="00052F32"/>
    <w:rsid w:val="00053663"/>
    <w:rsid w:val="00053C95"/>
    <w:rsid w:val="000547E1"/>
    <w:rsid w:val="00054A09"/>
    <w:rsid w:val="00054B20"/>
    <w:rsid w:val="000554FE"/>
    <w:rsid w:val="00055B2F"/>
    <w:rsid w:val="00055F02"/>
    <w:rsid w:val="00056113"/>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489"/>
    <w:rsid w:val="000725D3"/>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92C"/>
    <w:rsid w:val="000861DC"/>
    <w:rsid w:val="00090092"/>
    <w:rsid w:val="00090C1C"/>
    <w:rsid w:val="00090E38"/>
    <w:rsid w:val="00091FD4"/>
    <w:rsid w:val="00092033"/>
    <w:rsid w:val="0009277F"/>
    <w:rsid w:val="00092957"/>
    <w:rsid w:val="00094372"/>
    <w:rsid w:val="000945DE"/>
    <w:rsid w:val="000947A3"/>
    <w:rsid w:val="00094F72"/>
    <w:rsid w:val="00095D0D"/>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AD8"/>
    <w:rsid w:val="000B340F"/>
    <w:rsid w:val="000B35B5"/>
    <w:rsid w:val="000B3FD3"/>
    <w:rsid w:val="000B47B3"/>
    <w:rsid w:val="000B4C5A"/>
    <w:rsid w:val="000B5221"/>
    <w:rsid w:val="000B5337"/>
    <w:rsid w:val="000B55ED"/>
    <w:rsid w:val="000B5C63"/>
    <w:rsid w:val="000B6101"/>
    <w:rsid w:val="000B6CC5"/>
    <w:rsid w:val="000B7AC7"/>
    <w:rsid w:val="000B7F58"/>
    <w:rsid w:val="000C03E2"/>
    <w:rsid w:val="000C0BAC"/>
    <w:rsid w:val="000C11ED"/>
    <w:rsid w:val="000C198B"/>
    <w:rsid w:val="000C1BB9"/>
    <w:rsid w:val="000C305D"/>
    <w:rsid w:val="000C3AAF"/>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24F"/>
    <w:rsid w:val="000F7CF2"/>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37D"/>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BFA"/>
    <w:rsid w:val="001256AE"/>
    <w:rsid w:val="00126BBB"/>
    <w:rsid w:val="00126C3C"/>
    <w:rsid w:val="00127336"/>
    <w:rsid w:val="00127F5B"/>
    <w:rsid w:val="0013029E"/>
    <w:rsid w:val="0013039E"/>
    <w:rsid w:val="00130A55"/>
    <w:rsid w:val="00131244"/>
    <w:rsid w:val="001318C8"/>
    <w:rsid w:val="00131F52"/>
    <w:rsid w:val="00132113"/>
    <w:rsid w:val="001323D4"/>
    <w:rsid w:val="00132C4D"/>
    <w:rsid w:val="00132DA1"/>
    <w:rsid w:val="0013539F"/>
    <w:rsid w:val="00136320"/>
    <w:rsid w:val="001374B9"/>
    <w:rsid w:val="00137D76"/>
    <w:rsid w:val="00140EC5"/>
    <w:rsid w:val="00141147"/>
    <w:rsid w:val="00141725"/>
    <w:rsid w:val="00142342"/>
    <w:rsid w:val="0014315F"/>
    <w:rsid w:val="001436E6"/>
    <w:rsid w:val="001437A6"/>
    <w:rsid w:val="001438D7"/>
    <w:rsid w:val="00143F5D"/>
    <w:rsid w:val="00144250"/>
    <w:rsid w:val="0014441A"/>
    <w:rsid w:val="00145A34"/>
    <w:rsid w:val="00145C66"/>
    <w:rsid w:val="00146266"/>
    <w:rsid w:val="00146A70"/>
    <w:rsid w:val="001473FE"/>
    <w:rsid w:val="00150EB3"/>
    <w:rsid w:val="00152B9E"/>
    <w:rsid w:val="00153DB4"/>
    <w:rsid w:val="001555CF"/>
    <w:rsid w:val="00155C84"/>
    <w:rsid w:val="00156FEA"/>
    <w:rsid w:val="0016060F"/>
    <w:rsid w:val="00160AF1"/>
    <w:rsid w:val="00160AFF"/>
    <w:rsid w:val="00161FB0"/>
    <w:rsid w:val="001625C1"/>
    <w:rsid w:val="00162ED2"/>
    <w:rsid w:val="001630A6"/>
    <w:rsid w:val="00163420"/>
    <w:rsid w:val="0016378D"/>
    <w:rsid w:val="001637B3"/>
    <w:rsid w:val="00165773"/>
    <w:rsid w:val="00166DF9"/>
    <w:rsid w:val="001671D8"/>
    <w:rsid w:val="00167B7F"/>
    <w:rsid w:val="00171651"/>
    <w:rsid w:val="00171942"/>
    <w:rsid w:val="00171D80"/>
    <w:rsid w:val="00172333"/>
    <w:rsid w:val="00172F4C"/>
    <w:rsid w:val="0017310F"/>
    <w:rsid w:val="0017311B"/>
    <w:rsid w:val="0017376F"/>
    <w:rsid w:val="001738C2"/>
    <w:rsid w:val="001739CD"/>
    <w:rsid w:val="00174BAE"/>
    <w:rsid w:val="001760CB"/>
    <w:rsid w:val="00176254"/>
    <w:rsid w:val="001763AC"/>
    <w:rsid w:val="00176576"/>
    <w:rsid w:val="00176593"/>
    <w:rsid w:val="001765AE"/>
    <w:rsid w:val="001770F5"/>
    <w:rsid w:val="00177CA8"/>
    <w:rsid w:val="00180C4E"/>
    <w:rsid w:val="0018137E"/>
    <w:rsid w:val="001816B7"/>
    <w:rsid w:val="00181D91"/>
    <w:rsid w:val="001820E7"/>
    <w:rsid w:val="0018319D"/>
    <w:rsid w:val="001840A0"/>
    <w:rsid w:val="00184390"/>
    <w:rsid w:val="001854D3"/>
    <w:rsid w:val="00185741"/>
    <w:rsid w:val="0018656E"/>
    <w:rsid w:val="00187888"/>
    <w:rsid w:val="0018796F"/>
    <w:rsid w:val="001907B5"/>
    <w:rsid w:val="00191DC0"/>
    <w:rsid w:val="001920A3"/>
    <w:rsid w:val="00194390"/>
    <w:rsid w:val="0019505E"/>
    <w:rsid w:val="001956EB"/>
    <w:rsid w:val="00195FB6"/>
    <w:rsid w:val="00195FFF"/>
    <w:rsid w:val="001961E6"/>
    <w:rsid w:val="00196601"/>
    <w:rsid w:val="00196BEF"/>
    <w:rsid w:val="001974C1"/>
    <w:rsid w:val="0019757A"/>
    <w:rsid w:val="001A0398"/>
    <w:rsid w:val="001A0886"/>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C08C7"/>
    <w:rsid w:val="001C16B6"/>
    <w:rsid w:val="001C256E"/>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26A5"/>
    <w:rsid w:val="001E29CA"/>
    <w:rsid w:val="001E2D1A"/>
    <w:rsid w:val="001E2E2D"/>
    <w:rsid w:val="001E37B5"/>
    <w:rsid w:val="001E385E"/>
    <w:rsid w:val="001E40C2"/>
    <w:rsid w:val="001E4423"/>
    <w:rsid w:val="001E6656"/>
    <w:rsid w:val="001E7744"/>
    <w:rsid w:val="001E7C85"/>
    <w:rsid w:val="001F128C"/>
    <w:rsid w:val="001F151F"/>
    <w:rsid w:val="001F1BF6"/>
    <w:rsid w:val="001F240F"/>
    <w:rsid w:val="001F2DF6"/>
    <w:rsid w:val="001F4090"/>
    <w:rsid w:val="001F5C94"/>
    <w:rsid w:val="001F64C9"/>
    <w:rsid w:val="001F692A"/>
    <w:rsid w:val="00200001"/>
    <w:rsid w:val="00200B27"/>
    <w:rsid w:val="00201064"/>
    <w:rsid w:val="00202D9D"/>
    <w:rsid w:val="00203083"/>
    <w:rsid w:val="002038F7"/>
    <w:rsid w:val="00203C7F"/>
    <w:rsid w:val="0020569F"/>
    <w:rsid w:val="00205925"/>
    <w:rsid w:val="00206109"/>
    <w:rsid w:val="002069B9"/>
    <w:rsid w:val="00206DB2"/>
    <w:rsid w:val="0020773A"/>
    <w:rsid w:val="00207FF0"/>
    <w:rsid w:val="00210F3C"/>
    <w:rsid w:val="00211574"/>
    <w:rsid w:val="00212BEF"/>
    <w:rsid w:val="00213517"/>
    <w:rsid w:val="00214917"/>
    <w:rsid w:val="00215109"/>
    <w:rsid w:val="00215200"/>
    <w:rsid w:val="00215FA4"/>
    <w:rsid w:val="00216069"/>
    <w:rsid w:val="002166EF"/>
    <w:rsid w:val="0021692F"/>
    <w:rsid w:val="00216B3D"/>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403F5"/>
    <w:rsid w:val="002412C2"/>
    <w:rsid w:val="002412C3"/>
    <w:rsid w:val="00241779"/>
    <w:rsid w:val="00242382"/>
    <w:rsid w:val="00242856"/>
    <w:rsid w:val="00242C5F"/>
    <w:rsid w:val="00243A8E"/>
    <w:rsid w:val="00243B9E"/>
    <w:rsid w:val="0024423B"/>
    <w:rsid w:val="00244A79"/>
    <w:rsid w:val="00245446"/>
    <w:rsid w:val="002460FE"/>
    <w:rsid w:val="00246754"/>
    <w:rsid w:val="00246D8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7340"/>
    <w:rsid w:val="00267E43"/>
    <w:rsid w:val="00270491"/>
    <w:rsid w:val="002704FC"/>
    <w:rsid w:val="00270D3D"/>
    <w:rsid w:val="00270E05"/>
    <w:rsid w:val="00271BBB"/>
    <w:rsid w:val="00271E01"/>
    <w:rsid w:val="00271E4E"/>
    <w:rsid w:val="00272C73"/>
    <w:rsid w:val="0027357D"/>
    <w:rsid w:val="00273A46"/>
    <w:rsid w:val="002749FB"/>
    <w:rsid w:val="00275065"/>
    <w:rsid w:val="00276AA6"/>
    <w:rsid w:val="00276C5C"/>
    <w:rsid w:val="002775F1"/>
    <w:rsid w:val="0028019D"/>
    <w:rsid w:val="0028027F"/>
    <w:rsid w:val="00281EFF"/>
    <w:rsid w:val="00282EBE"/>
    <w:rsid w:val="00282FD7"/>
    <w:rsid w:val="0028321F"/>
    <w:rsid w:val="00283232"/>
    <w:rsid w:val="002832E3"/>
    <w:rsid w:val="00283E3C"/>
    <w:rsid w:val="002856DB"/>
    <w:rsid w:val="00285D1A"/>
    <w:rsid w:val="002861CD"/>
    <w:rsid w:val="00286C7F"/>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DA"/>
    <w:rsid w:val="002C5280"/>
    <w:rsid w:val="002C52E3"/>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1DCC"/>
    <w:rsid w:val="002E1ED1"/>
    <w:rsid w:val="002E2E15"/>
    <w:rsid w:val="002E34D5"/>
    <w:rsid w:val="002E35F8"/>
    <w:rsid w:val="002E3AC6"/>
    <w:rsid w:val="002E48E8"/>
    <w:rsid w:val="002E4B34"/>
    <w:rsid w:val="002E51DA"/>
    <w:rsid w:val="002E59BB"/>
    <w:rsid w:val="002E787D"/>
    <w:rsid w:val="002F01B5"/>
    <w:rsid w:val="002F07C1"/>
    <w:rsid w:val="002F0BC7"/>
    <w:rsid w:val="002F2642"/>
    <w:rsid w:val="002F3432"/>
    <w:rsid w:val="002F385A"/>
    <w:rsid w:val="002F3EE3"/>
    <w:rsid w:val="002F4045"/>
    <w:rsid w:val="002F4C41"/>
    <w:rsid w:val="002F53CF"/>
    <w:rsid w:val="0030015E"/>
    <w:rsid w:val="003001FD"/>
    <w:rsid w:val="00300767"/>
    <w:rsid w:val="003014B9"/>
    <w:rsid w:val="0030180A"/>
    <w:rsid w:val="00301E50"/>
    <w:rsid w:val="003027C2"/>
    <w:rsid w:val="00303273"/>
    <w:rsid w:val="003036C4"/>
    <w:rsid w:val="0030454B"/>
    <w:rsid w:val="00305044"/>
    <w:rsid w:val="0030590A"/>
    <w:rsid w:val="00305F1D"/>
    <w:rsid w:val="003062C4"/>
    <w:rsid w:val="00306335"/>
    <w:rsid w:val="0031024F"/>
    <w:rsid w:val="003102FF"/>
    <w:rsid w:val="00311AB5"/>
    <w:rsid w:val="003123B2"/>
    <w:rsid w:val="0031293C"/>
    <w:rsid w:val="00312A5D"/>
    <w:rsid w:val="003130EE"/>
    <w:rsid w:val="00313507"/>
    <w:rsid w:val="0031400F"/>
    <w:rsid w:val="003146E2"/>
    <w:rsid w:val="00314A9D"/>
    <w:rsid w:val="0031747B"/>
    <w:rsid w:val="00317EDE"/>
    <w:rsid w:val="00320377"/>
    <w:rsid w:val="003211C9"/>
    <w:rsid w:val="0032218D"/>
    <w:rsid w:val="00322B58"/>
    <w:rsid w:val="00323CC7"/>
    <w:rsid w:val="00324D40"/>
    <w:rsid w:val="00330567"/>
    <w:rsid w:val="00331CB8"/>
    <w:rsid w:val="0033239D"/>
    <w:rsid w:val="003325C3"/>
    <w:rsid w:val="003329AF"/>
    <w:rsid w:val="0033302F"/>
    <w:rsid w:val="00333172"/>
    <w:rsid w:val="00333859"/>
    <w:rsid w:val="00334ED3"/>
    <w:rsid w:val="00335D4D"/>
    <w:rsid w:val="00336309"/>
    <w:rsid w:val="003364FD"/>
    <w:rsid w:val="00337E5E"/>
    <w:rsid w:val="00337EF6"/>
    <w:rsid w:val="00337F3C"/>
    <w:rsid w:val="00340F5A"/>
    <w:rsid w:val="00340F6A"/>
    <w:rsid w:val="0034153E"/>
    <w:rsid w:val="003423F3"/>
    <w:rsid w:val="003429D4"/>
    <w:rsid w:val="003431CE"/>
    <w:rsid w:val="003437E5"/>
    <w:rsid w:val="003438D6"/>
    <w:rsid w:val="00343C2C"/>
    <w:rsid w:val="00344271"/>
    <w:rsid w:val="0034489E"/>
    <w:rsid w:val="003453BF"/>
    <w:rsid w:val="00345A21"/>
    <w:rsid w:val="00346A57"/>
    <w:rsid w:val="003473FD"/>
    <w:rsid w:val="00347B3B"/>
    <w:rsid w:val="00347F1D"/>
    <w:rsid w:val="00350257"/>
    <w:rsid w:val="0035036F"/>
    <w:rsid w:val="00351478"/>
    <w:rsid w:val="00351BC6"/>
    <w:rsid w:val="00351C1D"/>
    <w:rsid w:val="00352DAD"/>
    <w:rsid w:val="003530A2"/>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735"/>
    <w:rsid w:val="003702A2"/>
    <w:rsid w:val="00370436"/>
    <w:rsid w:val="00370D04"/>
    <w:rsid w:val="003714C8"/>
    <w:rsid w:val="00372FF5"/>
    <w:rsid w:val="0037380C"/>
    <w:rsid w:val="0037475A"/>
    <w:rsid w:val="00374D4A"/>
    <w:rsid w:val="00375646"/>
    <w:rsid w:val="003761FF"/>
    <w:rsid w:val="00376FA8"/>
    <w:rsid w:val="00377119"/>
    <w:rsid w:val="00377577"/>
    <w:rsid w:val="00377C9E"/>
    <w:rsid w:val="0038053F"/>
    <w:rsid w:val="00380852"/>
    <w:rsid w:val="00381008"/>
    <w:rsid w:val="00382473"/>
    <w:rsid w:val="00383478"/>
    <w:rsid w:val="00384905"/>
    <w:rsid w:val="0038502C"/>
    <w:rsid w:val="0038510F"/>
    <w:rsid w:val="0038594B"/>
    <w:rsid w:val="003863AD"/>
    <w:rsid w:val="0038707C"/>
    <w:rsid w:val="00387239"/>
    <w:rsid w:val="0039059F"/>
    <w:rsid w:val="0039243F"/>
    <w:rsid w:val="00393FBA"/>
    <w:rsid w:val="00394D99"/>
    <w:rsid w:val="003959B3"/>
    <w:rsid w:val="00396571"/>
    <w:rsid w:val="00397EE5"/>
    <w:rsid w:val="00397FC3"/>
    <w:rsid w:val="003A0A4F"/>
    <w:rsid w:val="003A0B61"/>
    <w:rsid w:val="003A0F53"/>
    <w:rsid w:val="003A118F"/>
    <w:rsid w:val="003A1710"/>
    <w:rsid w:val="003A1AA5"/>
    <w:rsid w:val="003A1DC8"/>
    <w:rsid w:val="003A2A58"/>
    <w:rsid w:val="003A2C19"/>
    <w:rsid w:val="003A2C6D"/>
    <w:rsid w:val="003A2E70"/>
    <w:rsid w:val="003A331F"/>
    <w:rsid w:val="003A34BA"/>
    <w:rsid w:val="003A3512"/>
    <w:rsid w:val="003A3526"/>
    <w:rsid w:val="003A3948"/>
    <w:rsid w:val="003A45D9"/>
    <w:rsid w:val="003A4D48"/>
    <w:rsid w:val="003A5059"/>
    <w:rsid w:val="003A52D0"/>
    <w:rsid w:val="003A5578"/>
    <w:rsid w:val="003A55EF"/>
    <w:rsid w:val="003A5D78"/>
    <w:rsid w:val="003A64AA"/>
    <w:rsid w:val="003A7015"/>
    <w:rsid w:val="003A77D8"/>
    <w:rsid w:val="003B09E7"/>
    <w:rsid w:val="003B0E8F"/>
    <w:rsid w:val="003B19B0"/>
    <w:rsid w:val="003B1F01"/>
    <w:rsid w:val="003B307C"/>
    <w:rsid w:val="003B429D"/>
    <w:rsid w:val="003B4DD3"/>
    <w:rsid w:val="003B5509"/>
    <w:rsid w:val="003B5D01"/>
    <w:rsid w:val="003B65A6"/>
    <w:rsid w:val="003B7439"/>
    <w:rsid w:val="003C0078"/>
    <w:rsid w:val="003C081C"/>
    <w:rsid w:val="003C0D04"/>
    <w:rsid w:val="003C1372"/>
    <w:rsid w:val="003C14D5"/>
    <w:rsid w:val="003C1DD2"/>
    <w:rsid w:val="003C1F40"/>
    <w:rsid w:val="003C240A"/>
    <w:rsid w:val="003C377B"/>
    <w:rsid w:val="003C3DFF"/>
    <w:rsid w:val="003C3EAE"/>
    <w:rsid w:val="003C4EA9"/>
    <w:rsid w:val="003C54DE"/>
    <w:rsid w:val="003C5ACB"/>
    <w:rsid w:val="003C6B13"/>
    <w:rsid w:val="003C6F51"/>
    <w:rsid w:val="003C72F6"/>
    <w:rsid w:val="003C7986"/>
    <w:rsid w:val="003D0478"/>
    <w:rsid w:val="003D0958"/>
    <w:rsid w:val="003D0E20"/>
    <w:rsid w:val="003D132C"/>
    <w:rsid w:val="003D17B5"/>
    <w:rsid w:val="003D1C0B"/>
    <w:rsid w:val="003D2535"/>
    <w:rsid w:val="003D26D4"/>
    <w:rsid w:val="003D39BA"/>
    <w:rsid w:val="003D3B18"/>
    <w:rsid w:val="003D4317"/>
    <w:rsid w:val="003D497F"/>
    <w:rsid w:val="003D560B"/>
    <w:rsid w:val="003D60C2"/>
    <w:rsid w:val="003D75E5"/>
    <w:rsid w:val="003D768A"/>
    <w:rsid w:val="003E15A2"/>
    <w:rsid w:val="003E2437"/>
    <w:rsid w:val="003E3225"/>
    <w:rsid w:val="003E32C2"/>
    <w:rsid w:val="003E3975"/>
    <w:rsid w:val="003E3EF5"/>
    <w:rsid w:val="003E484B"/>
    <w:rsid w:val="003E4D08"/>
    <w:rsid w:val="003E54D2"/>
    <w:rsid w:val="003E6116"/>
    <w:rsid w:val="003E6298"/>
    <w:rsid w:val="003E7420"/>
    <w:rsid w:val="003E7BB6"/>
    <w:rsid w:val="003F0FF3"/>
    <w:rsid w:val="003F119E"/>
    <w:rsid w:val="003F18DB"/>
    <w:rsid w:val="003F2149"/>
    <w:rsid w:val="003F231B"/>
    <w:rsid w:val="003F2A5D"/>
    <w:rsid w:val="003F30D9"/>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A9"/>
    <w:rsid w:val="004069F6"/>
    <w:rsid w:val="00406D9E"/>
    <w:rsid w:val="00407079"/>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465"/>
    <w:rsid w:val="00420737"/>
    <w:rsid w:val="00421469"/>
    <w:rsid w:val="00421627"/>
    <w:rsid w:val="00422B99"/>
    <w:rsid w:val="00424259"/>
    <w:rsid w:val="004247A1"/>
    <w:rsid w:val="004247D7"/>
    <w:rsid w:val="00425A0F"/>
    <w:rsid w:val="004263AD"/>
    <w:rsid w:val="00426891"/>
    <w:rsid w:val="00426FF5"/>
    <w:rsid w:val="004272DB"/>
    <w:rsid w:val="0042751E"/>
    <w:rsid w:val="00427C0B"/>
    <w:rsid w:val="00427CBB"/>
    <w:rsid w:val="0043052B"/>
    <w:rsid w:val="00431DEC"/>
    <w:rsid w:val="004335BA"/>
    <w:rsid w:val="00434885"/>
    <w:rsid w:val="00434A18"/>
    <w:rsid w:val="00434F89"/>
    <w:rsid w:val="00435BBA"/>
    <w:rsid w:val="00435F18"/>
    <w:rsid w:val="004362C1"/>
    <w:rsid w:val="0043675C"/>
    <w:rsid w:val="00436F51"/>
    <w:rsid w:val="00437195"/>
    <w:rsid w:val="00444016"/>
    <w:rsid w:val="0044454E"/>
    <w:rsid w:val="00444ADE"/>
    <w:rsid w:val="0044597E"/>
    <w:rsid w:val="00445F1F"/>
    <w:rsid w:val="00446518"/>
    <w:rsid w:val="00446A87"/>
    <w:rsid w:val="0044703C"/>
    <w:rsid w:val="004478A7"/>
    <w:rsid w:val="0045108E"/>
    <w:rsid w:val="0045168C"/>
    <w:rsid w:val="0045208D"/>
    <w:rsid w:val="004530A8"/>
    <w:rsid w:val="004534ED"/>
    <w:rsid w:val="0045494E"/>
    <w:rsid w:val="004553AA"/>
    <w:rsid w:val="00455447"/>
    <w:rsid w:val="0045584E"/>
    <w:rsid w:val="0045590D"/>
    <w:rsid w:val="00456A0C"/>
    <w:rsid w:val="00457B0D"/>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788"/>
    <w:rsid w:val="00480E80"/>
    <w:rsid w:val="00482915"/>
    <w:rsid w:val="00482992"/>
    <w:rsid w:val="00482E64"/>
    <w:rsid w:val="004843D8"/>
    <w:rsid w:val="004849CC"/>
    <w:rsid w:val="00484C10"/>
    <w:rsid w:val="00485155"/>
    <w:rsid w:val="00486116"/>
    <w:rsid w:val="00486D58"/>
    <w:rsid w:val="004874D8"/>
    <w:rsid w:val="00487C8F"/>
    <w:rsid w:val="00487DAE"/>
    <w:rsid w:val="00490435"/>
    <w:rsid w:val="00490922"/>
    <w:rsid w:val="00490D64"/>
    <w:rsid w:val="00490F9A"/>
    <w:rsid w:val="004915C1"/>
    <w:rsid w:val="00491616"/>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48E"/>
    <w:rsid w:val="004A276F"/>
    <w:rsid w:val="004A30DC"/>
    <w:rsid w:val="004A3887"/>
    <w:rsid w:val="004A42CD"/>
    <w:rsid w:val="004A4379"/>
    <w:rsid w:val="004A49D1"/>
    <w:rsid w:val="004A4A2F"/>
    <w:rsid w:val="004A5CD5"/>
    <w:rsid w:val="004A71A9"/>
    <w:rsid w:val="004A723E"/>
    <w:rsid w:val="004A75E4"/>
    <w:rsid w:val="004A78D1"/>
    <w:rsid w:val="004B0AA8"/>
    <w:rsid w:val="004B0AEC"/>
    <w:rsid w:val="004B1458"/>
    <w:rsid w:val="004B1BB2"/>
    <w:rsid w:val="004B2349"/>
    <w:rsid w:val="004B3C13"/>
    <w:rsid w:val="004B3D33"/>
    <w:rsid w:val="004B5D5A"/>
    <w:rsid w:val="004B7872"/>
    <w:rsid w:val="004C1E72"/>
    <w:rsid w:val="004C209E"/>
    <w:rsid w:val="004C27BD"/>
    <w:rsid w:val="004C2B82"/>
    <w:rsid w:val="004C2DD2"/>
    <w:rsid w:val="004C317C"/>
    <w:rsid w:val="004C3259"/>
    <w:rsid w:val="004C371A"/>
    <w:rsid w:val="004C490D"/>
    <w:rsid w:val="004C4BFE"/>
    <w:rsid w:val="004C52FE"/>
    <w:rsid w:val="004C5D94"/>
    <w:rsid w:val="004C6280"/>
    <w:rsid w:val="004C66D3"/>
    <w:rsid w:val="004C7BB6"/>
    <w:rsid w:val="004D0095"/>
    <w:rsid w:val="004D01A5"/>
    <w:rsid w:val="004D0299"/>
    <w:rsid w:val="004D0E42"/>
    <w:rsid w:val="004D19B5"/>
    <w:rsid w:val="004D29C4"/>
    <w:rsid w:val="004D36D3"/>
    <w:rsid w:val="004D4844"/>
    <w:rsid w:val="004D4FF0"/>
    <w:rsid w:val="004D5513"/>
    <w:rsid w:val="004D5A9D"/>
    <w:rsid w:val="004D66CD"/>
    <w:rsid w:val="004D693C"/>
    <w:rsid w:val="004D7296"/>
    <w:rsid w:val="004E0DB6"/>
    <w:rsid w:val="004E1023"/>
    <w:rsid w:val="004E1B62"/>
    <w:rsid w:val="004E1E61"/>
    <w:rsid w:val="004E21F2"/>
    <w:rsid w:val="004E222D"/>
    <w:rsid w:val="004E2523"/>
    <w:rsid w:val="004E3575"/>
    <w:rsid w:val="004E386B"/>
    <w:rsid w:val="004E432D"/>
    <w:rsid w:val="004E46FE"/>
    <w:rsid w:val="004E5ACE"/>
    <w:rsid w:val="004E6632"/>
    <w:rsid w:val="004E69A0"/>
    <w:rsid w:val="004E7E33"/>
    <w:rsid w:val="004F0665"/>
    <w:rsid w:val="004F06DB"/>
    <w:rsid w:val="004F15C6"/>
    <w:rsid w:val="004F2DCA"/>
    <w:rsid w:val="004F3750"/>
    <w:rsid w:val="004F396C"/>
    <w:rsid w:val="004F447C"/>
    <w:rsid w:val="004F4989"/>
    <w:rsid w:val="004F4E08"/>
    <w:rsid w:val="004F5A64"/>
    <w:rsid w:val="004F5E66"/>
    <w:rsid w:val="004F6218"/>
    <w:rsid w:val="004F63B9"/>
    <w:rsid w:val="004F7906"/>
    <w:rsid w:val="0050025E"/>
    <w:rsid w:val="00500731"/>
    <w:rsid w:val="00500DE4"/>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6E12"/>
    <w:rsid w:val="005075A0"/>
    <w:rsid w:val="005076B1"/>
    <w:rsid w:val="00510473"/>
    <w:rsid w:val="00514394"/>
    <w:rsid w:val="00514F1C"/>
    <w:rsid w:val="00515032"/>
    <w:rsid w:val="0051543B"/>
    <w:rsid w:val="005157E5"/>
    <w:rsid w:val="0051629C"/>
    <w:rsid w:val="0051635F"/>
    <w:rsid w:val="005168BD"/>
    <w:rsid w:val="0051691F"/>
    <w:rsid w:val="00517028"/>
    <w:rsid w:val="00517590"/>
    <w:rsid w:val="0052035E"/>
    <w:rsid w:val="00520428"/>
    <w:rsid w:val="0052102A"/>
    <w:rsid w:val="005212A6"/>
    <w:rsid w:val="00521684"/>
    <w:rsid w:val="00522288"/>
    <w:rsid w:val="005222AA"/>
    <w:rsid w:val="00522878"/>
    <w:rsid w:val="005228AC"/>
    <w:rsid w:val="00522E2B"/>
    <w:rsid w:val="00523A48"/>
    <w:rsid w:val="005248DF"/>
    <w:rsid w:val="00524C85"/>
    <w:rsid w:val="00524E8E"/>
    <w:rsid w:val="00525726"/>
    <w:rsid w:val="00525D5E"/>
    <w:rsid w:val="005261BE"/>
    <w:rsid w:val="00527B73"/>
    <w:rsid w:val="00527CA8"/>
    <w:rsid w:val="00530853"/>
    <w:rsid w:val="00530A12"/>
    <w:rsid w:val="0053135F"/>
    <w:rsid w:val="00531B17"/>
    <w:rsid w:val="00531C15"/>
    <w:rsid w:val="00532519"/>
    <w:rsid w:val="00532B5C"/>
    <w:rsid w:val="00532F42"/>
    <w:rsid w:val="00533BC8"/>
    <w:rsid w:val="00533CAC"/>
    <w:rsid w:val="005342D0"/>
    <w:rsid w:val="00537426"/>
    <w:rsid w:val="00537FDD"/>
    <w:rsid w:val="00540107"/>
    <w:rsid w:val="00540129"/>
    <w:rsid w:val="005404F9"/>
    <w:rsid w:val="005405E0"/>
    <w:rsid w:val="00540A37"/>
    <w:rsid w:val="00540BC0"/>
    <w:rsid w:val="00541C59"/>
    <w:rsid w:val="00541C70"/>
    <w:rsid w:val="00541CAC"/>
    <w:rsid w:val="00542151"/>
    <w:rsid w:val="00542A98"/>
    <w:rsid w:val="0054324F"/>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4B4B"/>
    <w:rsid w:val="00564CCE"/>
    <w:rsid w:val="00564D12"/>
    <w:rsid w:val="00564DB6"/>
    <w:rsid w:val="00565D5B"/>
    <w:rsid w:val="00566BF3"/>
    <w:rsid w:val="005707FC"/>
    <w:rsid w:val="00570A9F"/>
    <w:rsid w:val="00570F4C"/>
    <w:rsid w:val="005712FF"/>
    <w:rsid w:val="005714EB"/>
    <w:rsid w:val="00571C19"/>
    <w:rsid w:val="0057214A"/>
    <w:rsid w:val="0057231F"/>
    <w:rsid w:val="00572B8C"/>
    <w:rsid w:val="005731E0"/>
    <w:rsid w:val="0057327E"/>
    <w:rsid w:val="00573CA1"/>
    <w:rsid w:val="00573E3D"/>
    <w:rsid w:val="00574113"/>
    <w:rsid w:val="005747D4"/>
    <w:rsid w:val="00574EBB"/>
    <w:rsid w:val="005755BD"/>
    <w:rsid w:val="0057653F"/>
    <w:rsid w:val="00576A7F"/>
    <w:rsid w:val="00581520"/>
    <w:rsid w:val="00581E30"/>
    <w:rsid w:val="005824D0"/>
    <w:rsid w:val="005829B5"/>
    <w:rsid w:val="00582C51"/>
    <w:rsid w:val="0058469A"/>
    <w:rsid w:val="00584BC4"/>
    <w:rsid w:val="00585D20"/>
    <w:rsid w:val="00587323"/>
    <w:rsid w:val="00587663"/>
    <w:rsid w:val="00587A64"/>
    <w:rsid w:val="00590D15"/>
    <w:rsid w:val="005911A0"/>
    <w:rsid w:val="00591B65"/>
    <w:rsid w:val="00592371"/>
    <w:rsid w:val="00593E23"/>
    <w:rsid w:val="00595BCC"/>
    <w:rsid w:val="005962BC"/>
    <w:rsid w:val="005965AE"/>
    <w:rsid w:val="005968C7"/>
    <w:rsid w:val="00597747"/>
    <w:rsid w:val="00597B3D"/>
    <w:rsid w:val="005A02F9"/>
    <w:rsid w:val="005A250A"/>
    <w:rsid w:val="005A2999"/>
    <w:rsid w:val="005A30CA"/>
    <w:rsid w:val="005A3C93"/>
    <w:rsid w:val="005A5637"/>
    <w:rsid w:val="005A5A5F"/>
    <w:rsid w:val="005A62A8"/>
    <w:rsid w:val="005A7722"/>
    <w:rsid w:val="005A7A82"/>
    <w:rsid w:val="005B02D8"/>
    <w:rsid w:val="005B0CDF"/>
    <w:rsid w:val="005B0E5D"/>
    <w:rsid w:val="005B1801"/>
    <w:rsid w:val="005B205F"/>
    <w:rsid w:val="005B2D22"/>
    <w:rsid w:val="005B42B6"/>
    <w:rsid w:val="005B4611"/>
    <w:rsid w:val="005B47E1"/>
    <w:rsid w:val="005B5483"/>
    <w:rsid w:val="005B5CF0"/>
    <w:rsid w:val="005B6EE0"/>
    <w:rsid w:val="005B736E"/>
    <w:rsid w:val="005B798C"/>
    <w:rsid w:val="005C029C"/>
    <w:rsid w:val="005C036F"/>
    <w:rsid w:val="005C04B5"/>
    <w:rsid w:val="005C05EE"/>
    <w:rsid w:val="005C0648"/>
    <w:rsid w:val="005C0D3A"/>
    <w:rsid w:val="005C17BE"/>
    <w:rsid w:val="005C19AF"/>
    <w:rsid w:val="005C2CB5"/>
    <w:rsid w:val="005C35A3"/>
    <w:rsid w:val="005C3DA9"/>
    <w:rsid w:val="005C41BC"/>
    <w:rsid w:val="005C425D"/>
    <w:rsid w:val="005C43AF"/>
    <w:rsid w:val="005C4DA4"/>
    <w:rsid w:val="005C6160"/>
    <w:rsid w:val="005C673F"/>
    <w:rsid w:val="005C76D8"/>
    <w:rsid w:val="005C7F24"/>
    <w:rsid w:val="005D0206"/>
    <w:rsid w:val="005D1261"/>
    <w:rsid w:val="005D1338"/>
    <w:rsid w:val="005D25A2"/>
    <w:rsid w:val="005D2A11"/>
    <w:rsid w:val="005D50E8"/>
    <w:rsid w:val="005D5187"/>
    <w:rsid w:val="005D537C"/>
    <w:rsid w:val="005D5ED6"/>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245E"/>
    <w:rsid w:val="006031C1"/>
    <w:rsid w:val="00603385"/>
    <w:rsid w:val="006039E8"/>
    <w:rsid w:val="006040A0"/>
    <w:rsid w:val="00604A54"/>
    <w:rsid w:val="006050FE"/>
    <w:rsid w:val="00605233"/>
    <w:rsid w:val="00605414"/>
    <w:rsid w:val="00605CB4"/>
    <w:rsid w:val="00605EF3"/>
    <w:rsid w:val="00605F0B"/>
    <w:rsid w:val="00606309"/>
    <w:rsid w:val="006073D7"/>
    <w:rsid w:val="00607ADA"/>
    <w:rsid w:val="006100DA"/>
    <w:rsid w:val="006117F6"/>
    <w:rsid w:val="006119B1"/>
    <w:rsid w:val="0061245C"/>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681"/>
    <w:rsid w:val="00623956"/>
    <w:rsid w:val="006247FB"/>
    <w:rsid w:val="00624E3F"/>
    <w:rsid w:val="00625E6C"/>
    <w:rsid w:val="00627FAD"/>
    <w:rsid w:val="00630E81"/>
    <w:rsid w:val="00630F89"/>
    <w:rsid w:val="00631C71"/>
    <w:rsid w:val="00632538"/>
    <w:rsid w:val="00633D90"/>
    <w:rsid w:val="006343B8"/>
    <w:rsid w:val="00635438"/>
    <w:rsid w:val="0063571A"/>
    <w:rsid w:val="006367F7"/>
    <w:rsid w:val="00636817"/>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D"/>
    <w:rsid w:val="00644590"/>
    <w:rsid w:val="00646870"/>
    <w:rsid w:val="00647A2D"/>
    <w:rsid w:val="00650B75"/>
    <w:rsid w:val="0065118A"/>
    <w:rsid w:val="00651940"/>
    <w:rsid w:val="00652585"/>
    <w:rsid w:val="006539CD"/>
    <w:rsid w:val="00653C89"/>
    <w:rsid w:val="00655369"/>
    <w:rsid w:val="00655CFD"/>
    <w:rsid w:val="0065627A"/>
    <w:rsid w:val="006567A2"/>
    <w:rsid w:val="00656C7F"/>
    <w:rsid w:val="006579B2"/>
    <w:rsid w:val="00660AC8"/>
    <w:rsid w:val="006611F4"/>
    <w:rsid w:val="00662179"/>
    <w:rsid w:val="00663138"/>
    <w:rsid w:val="006638FD"/>
    <w:rsid w:val="00663B39"/>
    <w:rsid w:val="00663D7A"/>
    <w:rsid w:val="00664150"/>
    <w:rsid w:val="00664360"/>
    <w:rsid w:val="006647A4"/>
    <w:rsid w:val="00664FAC"/>
    <w:rsid w:val="00666A01"/>
    <w:rsid w:val="0066756D"/>
    <w:rsid w:val="006677DD"/>
    <w:rsid w:val="00667AC2"/>
    <w:rsid w:val="006707D5"/>
    <w:rsid w:val="006710C3"/>
    <w:rsid w:val="006710C4"/>
    <w:rsid w:val="00672392"/>
    <w:rsid w:val="00672D2C"/>
    <w:rsid w:val="00674AA4"/>
    <w:rsid w:val="00674C99"/>
    <w:rsid w:val="00675C6D"/>
    <w:rsid w:val="0067647F"/>
    <w:rsid w:val="00676499"/>
    <w:rsid w:val="00676511"/>
    <w:rsid w:val="006775D3"/>
    <w:rsid w:val="00680C4C"/>
    <w:rsid w:val="00681D2B"/>
    <w:rsid w:val="00681EB7"/>
    <w:rsid w:val="00682273"/>
    <w:rsid w:val="00683002"/>
    <w:rsid w:val="00683D88"/>
    <w:rsid w:val="00684942"/>
    <w:rsid w:val="00685074"/>
    <w:rsid w:val="00685114"/>
    <w:rsid w:val="00685D32"/>
    <w:rsid w:val="00685DDE"/>
    <w:rsid w:val="00686460"/>
    <w:rsid w:val="00687144"/>
    <w:rsid w:val="0068738C"/>
    <w:rsid w:val="006909D0"/>
    <w:rsid w:val="006912B1"/>
    <w:rsid w:val="00693709"/>
    <w:rsid w:val="006941EE"/>
    <w:rsid w:val="00695D1F"/>
    <w:rsid w:val="00696334"/>
    <w:rsid w:val="00696886"/>
    <w:rsid w:val="006969AA"/>
    <w:rsid w:val="006A05A6"/>
    <w:rsid w:val="006A0C08"/>
    <w:rsid w:val="006A0F77"/>
    <w:rsid w:val="006A1B2A"/>
    <w:rsid w:val="006A28F6"/>
    <w:rsid w:val="006A40D0"/>
    <w:rsid w:val="006A4512"/>
    <w:rsid w:val="006A4C5B"/>
    <w:rsid w:val="006A4FC6"/>
    <w:rsid w:val="006A5334"/>
    <w:rsid w:val="006A5F66"/>
    <w:rsid w:val="006A685A"/>
    <w:rsid w:val="006A6BD2"/>
    <w:rsid w:val="006A6D34"/>
    <w:rsid w:val="006A6F9A"/>
    <w:rsid w:val="006A70DD"/>
    <w:rsid w:val="006A7978"/>
    <w:rsid w:val="006A7D0B"/>
    <w:rsid w:val="006B0455"/>
    <w:rsid w:val="006B0C65"/>
    <w:rsid w:val="006B110C"/>
    <w:rsid w:val="006B129A"/>
    <w:rsid w:val="006B12B9"/>
    <w:rsid w:val="006B1542"/>
    <w:rsid w:val="006B2614"/>
    <w:rsid w:val="006B36B2"/>
    <w:rsid w:val="006B3891"/>
    <w:rsid w:val="006B4485"/>
    <w:rsid w:val="006B55E0"/>
    <w:rsid w:val="006B55FC"/>
    <w:rsid w:val="006B5A2D"/>
    <w:rsid w:val="006B5CDA"/>
    <w:rsid w:val="006B623D"/>
    <w:rsid w:val="006B6E73"/>
    <w:rsid w:val="006C073C"/>
    <w:rsid w:val="006C1AF0"/>
    <w:rsid w:val="006C231D"/>
    <w:rsid w:val="006C2944"/>
    <w:rsid w:val="006C4099"/>
    <w:rsid w:val="006C57C1"/>
    <w:rsid w:val="006C5853"/>
    <w:rsid w:val="006C5D44"/>
    <w:rsid w:val="006C5E62"/>
    <w:rsid w:val="006C7ADC"/>
    <w:rsid w:val="006C7B0D"/>
    <w:rsid w:val="006D003A"/>
    <w:rsid w:val="006D0067"/>
    <w:rsid w:val="006D0F7D"/>
    <w:rsid w:val="006D1223"/>
    <w:rsid w:val="006D201B"/>
    <w:rsid w:val="006D2608"/>
    <w:rsid w:val="006D30E6"/>
    <w:rsid w:val="006D406A"/>
    <w:rsid w:val="006D4A03"/>
    <w:rsid w:val="006D513D"/>
    <w:rsid w:val="006D51FC"/>
    <w:rsid w:val="006D549D"/>
    <w:rsid w:val="006D58C5"/>
    <w:rsid w:val="006D5A60"/>
    <w:rsid w:val="006D6D16"/>
    <w:rsid w:val="006D77D7"/>
    <w:rsid w:val="006D7993"/>
    <w:rsid w:val="006D7DA3"/>
    <w:rsid w:val="006E100A"/>
    <w:rsid w:val="006E1495"/>
    <w:rsid w:val="006E182A"/>
    <w:rsid w:val="006E18D1"/>
    <w:rsid w:val="006E1C65"/>
    <w:rsid w:val="006E274A"/>
    <w:rsid w:val="006E2917"/>
    <w:rsid w:val="006E33DB"/>
    <w:rsid w:val="006E365F"/>
    <w:rsid w:val="006E3A04"/>
    <w:rsid w:val="006E3D39"/>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B6D"/>
    <w:rsid w:val="006F6BBB"/>
    <w:rsid w:val="006F76E8"/>
    <w:rsid w:val="007002E5"/>
    <w:rsid w:val="0070076C"/>
    <w:rsid w:val="007008AE"/>
    <w:rsid w:val="00701D3A"/>
    <w:rsid w:val="007030CD"/>
    <w:rsid w:val="00703183"/>
    <w:rsid w:val="00703766"/>
    <w:rsid w:val="00703981"/>
    <w:rsid w:val="00703DD6"/>
    <w:rsid w:val="0070448F"/>
    <w:rsid w:val="007069D9"/>
    <w:rsid w:val="00706E78"/>
    <w:rsid w:val="00706FB4"/>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1BA2"/>
    <w:rsid w:val="00721C3D"/>
    <w:rsid w:val="00721F8F"/>
    <w:rsid w:val="007222FB"/>
    <w:rsid w:val="007225D7"/>
    <w:rsid w:val="00722753"/>
    <w:rsid w:val="007236A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991"/>
    <w:rsid w:val="00734E12"/>
    <w:rsid w:val="00735064"/>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8B"/>
    <w:rsid w:val="00745AFB"/>
    <w:rsid w:val="00745C19"/>
    <w:rsid w:val="007461DD"/>
    <w:rsid w:val="00747007"/>
    <w:rsid w:val="00747DEA"/>
    <w:rsid w:val="00747EB1"/>
    <w:rsid w:val="00750C15"/>
    <w:rsid w:val="00751A4A"/>
    <w:rsid w:val="00751B2D"/>
    <w:rsid w:val="00753404"/>
    <w:rsid w:val="00754810"/>
    <w:rsid w:val="00754BAF"/>
    <w:rsid w:val="00754F37"/>
    <w:rsid w:val="007551DB"/>
    <w:rsid w:val="00755439"/>
    <w:rsid w:val="0075689E"/>
    <w:rsid w:val="00756969"/>
    <w:rsid w:val="007570B2"/>
    <w:rsid w:val="00760678"/>
    <w:rsid w:val="007606FE"/>
    <w:rsid w:val="00760703"/>
    <w:rsid w:val="00760DEE"/>
    <w:rsid w:val="0076257D"/>
    <w:rsid w:val="00763936"/>
    <w:rsid w:val="0076423A"/>
    <w:rsid w:val="00764620"/>
    <w:rsid w:val="007646D4"/>
    <w:rsid w:val="00764AFB"/>
    <w:rsid w:val="00764DFF"/>
    <w:rsid w:val="007652EE"/>
    <w:rsid w:val="00765675"/>
    <w:rsid w:val="007658EF"/>
    <w:rsid w:val="00767237"/>
    <w:rsid w:val="00770D4B"/>
    <w:rsid w:val="00771258"/>
    <w:rsid w:val="00772719"/>
    <w:rsid w:val="007727BA"/>
    <w:rsid w:val="007751DF"/>
    <w:rsid w:val="007760FA"/>
    <w:rsid w:val="007800AC"/>
    <w:rsid w:val="007801CC"/>
    <w:rsid w:val="0078044E"/>
    <w:rsid w:val="00781E9A"/>
    <w:rsid w:val="00782840"/>
    <w:rsid w:val="00782C60"/>
    <w:rsid w:val="00782CBF"/>
    <w:rsid w:val="00782E22"/>
    <w:rsid w:val="00782F98"/>
    <w:rsid w:val="00784032"/>
    <w:rsid w:val="00784A58"/>
    <w:rsid w:val="00785034"/>
    <w:rsid w:val="0078670F"/>
    <w:rsid w:val="00787F4B"/>
    <w:rsid w:val="00790012"/>
    <w:rsid w:val="007906B9"/>
    <w:rsid w:val="0079123D"/>
    <w:rsid w:val="00791B66"/>
    <w:rsid w:val="00791F8F"/>
    <w:rsid w:val="00792064"/>
    <w:rsid w:val="007921FC"/>
    <w:rsid w:val="0079326C"/>
    <w:rsid w:val="007936B9"/>
    <w:rsid w:val="0079399B"/>
    <w:rsid w:val="00794AA4"/>
    <w:rsid w:val="00794ED5"/>
    <w:rsid w:val="00796DE2"/>
    <w:rsid w:val="0079701C"/>
    <w:rsid w:val="007A03A8"/>
    <w:rsid w:val="007A1E70"/>
    <w:rsid w:val="007A22D4"/>
    <w:rsid w:val="007A3442"/>
    <w:rsid w:val="007A3E51"/>
    <w:rsid w:val="007A436C"/>
    <w:rsid w:val="007A5230"/>
    <w:rsid w:val="007A594B"/>
    <w:rsid w:val="007A62E0"/>
    <w:rsid w:val="007A68EE"/>
    <w:rsid w:val="007A6D63"/>
    <w:rsid w:val="007B095C"/>
    <w:rsid w:val="007B124B"/>
    <w:rsid w:val="007B1423"/>
    <w:rsid w:val="007B1995"/>
    <w:rsid w:val="007B25CB"/>
    <w:rsid w:val="007B27A1"/>
    <w:rsid w:val="007B3E50"/>
    <w:rsid w:val="007B5424"/>
    <w:rsid w:val="007B596F"/>
    <w:rsid w:val="007B5DAC"/>
    <w:rsid w:val="007B68A9"/>
    <w:rsid w:val="007B6FE4"/>
    <w:rsid w:val="007B794C"/>
    <w:rsid w:val="007C07B0"/>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232F"/>
    <w:rsid w:val="007D2B98"/>
    <w:rsid w:val="007D2C68"/>
    <w:rsid w:val="007D4CDA"/>
    <w:rsid w:val="007D500C"/>
    <w:rsid w:val="007D50DE"/>
    <w:rsid w:val="007D5B2C"/>
    <w:rsid w:val="007D6571"/>
    <w:rsid w:val="007D6D55"/>
    <w:rsid w:val="007D77DB"/>
    <w:rsid w:val="007D788B"/>
    <w:rsid w:val="007E0159"/>
    <w:rsid w:val="007E1441"/>
    <w:rsid w:val="007E1FAB"/>
    <w:rsid w:val="007E2E9F"/>
    <w:rsid w:val="007E33AA"/>
    <w:rsid w:val="007E364E"/>
    <w:rsid w:val="007E4D4C"/>
    <w:rsid w:val="007E52E1"/>
    <w:rsid w:val="007E5D7D"/>
    <w:rsid w:val="007E5F0B"/>
    <w:rsid w:val="007E7185"/>
    <w:rsid w:val="007E735F"/>
    <w:rsid w:val="007E7D06"/>
    <w:rsid w:val="007E7F59"/>
    <w:rsid w:val="007F06FF"/>
    <w:rsid w:val="007F1495"/>
    <w:rsid w:val="007F1694"/>
    <w:rsid w:val="007F2B01"/>
    <w:rsid w:val="007F2C6F"/>
    <w:rsid w:val="007F2C8D"/>
    <w:rsid w:val="007F2CDE"/>
    <w:rsid w:val="007F467C"/>
    <w:rsid w:val="007F4727"/>
    <w:rsid w:val="007F5104"/>
    <w:rsid w:val="007F586A"/>
    <w:rsid w:val="007F587B"/>
    <w:rsid w:val="007F5927"/>
    <w:rsid w:val="007F6251"/>
    <w:rsid w:val="007F6872"/>
    <w:rsid w:val="007F7E05"/>
    <w:rsid w:val="008013F4"/>
    <w:rsid w:val="00801A5B"/>
    <w:rsid w:val="00801CC5"/>
    <w:rsid w:val="00801CC6"/>
    <w:rsid w:val="00803E71"/>
    <w:rsid w:val="0080448D"/>
    <w:rsid w:val="00804B7F"/>
    <w:rsid w:val="00804E37"/>
    <w:rsid w:val="00806235"/>
    <w:rsid w:val="00806D82"/>
    <w:rsid w:val="00806F44"/>
    <w:rsid w:val="0080708F"/>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D13"/>
    <w:rsid w:val="00820520"/>
    <w:rsid w:val="008207E8"/>
    <w:rsid w:val="008216C6"/>
    <w:rsid w:val="00822429"/>
    <w:rsid w:val="0082268B"/>
    <w:rsid w:val="00824608"/>
    <w:rsid w:val="00824992"/>
    <w:rsid w:val="008255BB"/>
    <w:rsid w:val="008255D6"/>
    <w:rsid w:val="008273C8"/>
    <w:rsid w:val="00831C8D"/>
    <w:rsid w:val="00831E28"/>
    <w:rsid w:val="00831F51"/>
    <w:rsid w:val="00831FF2"/>
    <w:rsid w:val="00832418"/>
    <w:rsid w:val="008325B9"/>
    <w:rsid w:val="008332E9"/>
    <w:rsid w:val="008335DB"/>
    <w:rsid w:val="0083379C"/>
    <w:rsid w:val="00833B7E"/>
    <w:rsid w:val="00833D09"/>
    <w:rsid w:val="00833FA4"/>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ED"/>
    <w:rsid w:val="00864E3A"/>
    <w:rsid w:val="00865600"/>
    <w:rsid w:val="00866867"/>
    <w:rsid w:val="00866A20"/>
    <w:rsid w:val="00866ADF"/>
    <w:rsid w:val="00867159"/>
    <w:rsid w:val="00867388"/>
    <w:rsid w:val="008674BE"/>
    <w:rsid w:val="008676A1"/>
    <w:rsid w:val="0087034F"/>
    <w:rsid w:val="008704AB"/>
    <w:rsid w:val="00870B42"/>
    <w:rsid w:val="00871E23"/>
    <w:rsid w:val="0087314D"/>
    <w:rsid w:val="008740F6"/>
    <w:rsid w:val="00874DEB"/>
    <w:rsid w:val="00875372"/>
    <w:rsid w:val="008753CD"/>
    <w:rsid w:val="0087667E"/>
    <w:rsid w:val="008766BD"/>
    <w:rsid w:val="00876D99"/>
    <w:rsid w:val="008778C9"/>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D55"/>
    <w:rsid w:val="00887E88"/>
    <w:rsid w:val="008900D6"/>
    <w:rsid w:val="00890A58"/>
    <w:rsid w:val="00890BD6"/>
    <w:rsid w:val="00891337"/>
    <w:rsid w:val="00891B31"/>
    <w:rsid w:val="00891C10"/>
    <w:rsid w:val="00892147"/>
    <w:rsid w:val="008928BF"/>
    <w:rsid w:val="00893E4F"/>
    <w:rsid w:val="00894178"/>
    <w:rsid w:val="0089442E"/>
    <w:rsid w:val="008949F6"/>
    <w:rsid w:val="00894E5E"/>
    <w:rsid w:val="008959E1"/>
    <w:rsid w:val="008A132F"/>
    <w:rsid w:val="008A173F"/>
    <w:rsid w:val="008A1C38"/>
    <w:rsid w:val="008A2B9B"/>
    <w:rsid w:val="008A3A24"/>
    <w:rsid w:val="008A3F12"/>
    <w:rsid w:val="008A4974"/>
    <w:rsid w:val="008A4E0D"/>
    <w:rsid w:val="008A53D2"/>
    <w:rsid w:val="008A6F12"/>
    <w:rsid w:val="008A7143"/>
    <w:rsid w:val="008A7B93"/>
    <w:rsid w:val="008B0DED"/>
    <w:rsid w:val="008B1FD9"/>
    <w:rsid w:val="008B39F4"/>
    <w:rsid w:val="008B5C3D"/>
    <w:rsid w:val="008B5E9F"/>
    <w:rsid w:val="008B5FA5"/>
    <w:rsid w:val="008B61B2"/>
    <w:rsid w:val="008B6E54"/>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26C5"/>
    <w:rsid w:val="008D3301"/>
    <w:rsid w:val="008D4F2F"/>
    <w:rsid w:val="008D5050"/>
    <w:rsid w:val="008D5685"/>
    <w:rsid w:val="008D7F14"/>
    <w:rsid w:val="008E0BA5"/>
    <w:rsid w:val="008E25A1"/>
    <w:rsid w:val="008E26ED"/>
    <w:rsid w:val="008E2BDF"/>
    <w:rsid w:val="008E302A"/>
    <w:rsid w:val="008E42EF"/>
    <w:rsid w:val="008E43D4"/>
    <w:rsid w:val="008E49A9"/>
    <w:rsid w:val="008E4F00"/>
    <w:rsid w:val="008E50FB"/>
    <w:rsid w:val="008E570E"/>
    <w:rsid w:val="008E5F31"/>
    <w:rsid w:val="008F0467"/>
    <w:rsid w:val="008F1A21"/>
    <w:rsid w:val="008F1AC4"/>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BF6"/>
    <w:rsid w:val="00902EBC"/>
    <w:rsid w:val="0090404F"/>
    <w:rsid w:val="00904F5D"/>
    <w:rsid w:val="00905246"/>
    <w:rsid w:val="00905DB2"/>
    <w:rsid w:val="009065FA"/>
    <w:rsid w:val="009073B2"/>
    <w:rsid w:val="00907C54"/>
    <w:rsid w:val="00907CDC"/>
    <w:rsid w:val="00907E06"/>
    <w:rsid w:val="00907EBC"/>
    <w:rsid w:val="00910E9A"/>
    <w:rsid w:val="00911553"/>
    <w:rsid w:val="0091243D"/>
    <w:rsid w:val="00912612"/>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64DE"/>
    <w:rsid w:val="00926D6C"/>
    <w:rsid w:val="00926E7F"/>
    <w:rsid w:val="00926ED0"/>
    <w:rsid w:val="00926FC5"/>
    <w:rsid w:val="00930575"/>
    <w:rsid w:val="0093078A"/>
    <w:rsid w:val="00930AA1"/>
    <w:rsid w:val="0093201D"/>
    <w:rsid w:val="00932B53"/>
    <w:rsid w:val="009333A5"/>
    <w:rsid w:val="00933929"/>
    <w:rsid w:val="009360AA"/>
    <w:rsid w:val="009369D4"/>
    <w:rsid w:val="0093703A"/>
    <w:rsid w:val="0093786E"/>
    <w:rsid w:val="009413B5"/>
    <w:rsid w:val="009414DB"/>
    <w:rsid w:val="00942D99"/>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9FF"/>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79A"/>
    <w:rsid w:val="00961832"/>
    <w:rsid w:val="009618C2"/>
    <w:rsid w:val="00963B2B"/>
    <w:rsid w:val="00964046"/>
    <w:rsid w:val="0096420E"/>
    <w:rsid w:val="0096510C"/>
    <w:rsid w:val="00965341"/>
    <w:rsid w:val="00965469"/>
    <w:rsid w:val="00966637"/>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14FF"/>
    <w:rsid w:val="00981834"/>
    <w:rsid w:val="00981B73"/>
    <w:rsid w:val="00982580"/>
    <w:rsid w:val="00982DE0"/>
    <w:rsid w:val="00985858"/>
    <w:rsid w:val="00986A80"/>
    <w:rsid w:val="0099084B"/>
    <w:rsid w:val="009909C3"/>
    <w:rsid w:val="00991792"/>
    <w:rsid w:val="00992C8B"/>
    <w:rsid w:val="009930EF"/>
    <w:rsid w:val="00994092"/>
    <w:rsid w:val="009940F9"/>
    <w:rsid w:val="009945B9"/>
    <w:rsid w:val="0099469B"/>
    <w:rsid w:val="00994C88"/>
    <w:rsid w:val="00994F49"/>
    <w:rsid w:val="009954CF"/>
    <w:rsid w:val="00995513"/>
    <w:rsid w:val="00995BA5"/>
    <w:rsid w:val="00995EB0"/>
    <w:rsid w:val="009974AE"/>
    <w:rsid w:val="009A0160"/>
    <w:rsid w:val="009A1131"/>
    <w:rsid w:val="009A1A16"/>
    <w:rsid w:val="009A1B99"/>
    <w:rsid w:val="009A2816"/>
    <w:rsid w:val="009A468D"/>
    <w:rsid w:val="009A4D67"/>
    <w:rsid w:val="009A4EA0"/>
    <w:rsid w:val="009A69C5"/>
    <w:rsid w:val="009A6C1D"/>
    <w:rsid w:val="009A7377"/>
    <w:rsid w:val="009B0A8D"/>
    <w:rsid w:val="009B0FEA"/>
    <w:rsid w:val="009B2703"/>
    <w:rsid w:val="009B3F84"/>
    <w:rsid w:val="009B41C1"/>
    <w:rsid w:val="009B426A"/>
    <w:rsid w:val="009B65AA"/>
    <w:rsid w:val="009B6A50"/>
    <w:rsid w:val="009B7B4B"/>
    <w:rsid w:val="009C0DE5"/>
    <w:rsid w:val="009C1050"/>
    <w:rsid w:val="009C12E7"/>
    <w:rsid w:val="009C1907"/>
    <w:rsid w:val="009C41C0"/>
    <w:rsid w:val="009C4C36"/>
    <w:rsid w:val="009C55A6"/>
    <w:rsid w:val="009C58A0"/>
    <w:rsid w:val="009C5CEA"/>
    <w:rsid w:val="009C656B"/>
    <w:rsid w:val="009C684B"/>
    <w:rsid w:val="009C6C0E"/>
    <w:rsid w:val="009C6F9A"/>
    <w:rsid w:val="009C758B"/>
    <w:rsid w:val="009D0B24"/>
    <w:rsid w:val="009D17DB"/>
    <w:rsid w:val="009D18C5"/>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CBE"/>
    <w:rsid w:val="009E5000"/>
    <w:rsid w:val="009E525F"/>
    <w:rsid w:val="009E6541"/>
    <w:rsid w:val="009E6BAA"/>
    <w:rsid w:val="009E6E42"/>
    <w:rsid w:val="009E7999"/>
    <w:rsid w:val="009E7F98"/>
    <w:rsid w:val="009F0937"/>
    <w:rsid w:val="009F0D42"/>
    <w:rsid w:val="009F1475"/>
    <w:rsid w:val="009F155C"/>
    <w:rsid w:val="009F1E88"/>
    <w:rsid w:val="009F1EF2"/>
    <w:rsid w:val="009F27AF"/>
    <w:rsid w:val="009F449B"/>
    <w:rsid w:val="009F4A9D"/>
    <w:rsid w:val="009F4E3A"/>
    <w:rsid w:val="009F6FC6"/>
    <w:rsid w:val="009F742A"/>
    <w:rsid w:val="00A003A8"/>
    <w:rsid w:val="00A01515"/>
    <w:rsid w:val="00A0435D"/>
    <w:rsid w:val="00A04766"/>
    <w:rsid w:val="00A04851"/>
    <w:rsid w:val="00A05C9B"/>
    <w:rsid w:val="00A067E0"/>
    <w:rsid w:val="00A11A2B"/>
    <w:rsid w:val="00A11CDE"/>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1362"/>
    <w:rsid w:val="00A22316"/>
    <w:rsid w:val="00A227FA"/>
    <w:rsid w:val="00A2312A"/>
    <w:rsid w:val="00A249C9"/>
    <w:rsid w:val="00A24DBD"/>
    <w:rsid w:val="00A2574B"/>
    <w:rsid w:val="00A25C5B"/>
    <w:rsid w:val="00A26702"/>
    <w:rsid w:val="00A268B7"/>
    <w:rsid w:val="00A271D8"/>
    <w:rsid w:val="00A274AD"/>
    <w:rsid w:val="00A300B2"/>
    <w:rsid w:val="00A3037D"/>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5010F"/>
    <w:rsid w:val="00A5041A"/>
    <w:rsid w:val="00A5115F"/>
    <w:rsid w:val="00A521F0"/>
    <w:rsid w:val="00A55326"/>
    <w:rsid w:val="00A55B3B"/>
    <w:rsid w:val="00A5709F"/>
    <w:rsid w:val="00A60650"/>
    <w:rsid w:val="00A60849"/>
    <w:rsid w:val="00A60C7B"/>
    <w:rsid w:val="00A60E6A"/>
    <w:rsid w:val="00A6118B"/>
    <w:rsid w:val="00A626C0"/>
    <w:rsid w:val="00A62B5B"/>
    <w:rsid w:val="00A63FD2"/>
    <w:rsid w:val="00A64FE9"/>
    <w:rsid w:val="00A65264"/>
    <w:rsid w:val="00A657B5"/>
    <w:rsid w:val="00A659C8"/>
    <w:rsid w:val="00A65A3F"/>
    <w:rsid w:val="00A65A41"/>
    <w:rsid w:val="00A66015"/>
    <w:rsid w:val="00A6652A"/>
    <w:rsid w:val="00A66837"/>
    <w:rsid w:val="00A66D23"/>
    <w:rsid w:val="00A6702C"/>
    <w:rsid w:val="00A676A0"/>
    <w:rsid w:val="00A67C49"/>
    <w:rsid w:val="00A67CA3"/>
    <w:rsid w:val="00A7096D"/>
    <w:rsid w:val="00A721A7"/>
    <w:rsid w:val="00A73120"/>
    <w:rsid w:val="00A73648"/>
    <w:rsid w:val="00A75C04"/>
    <w:rsid w:val="00A75D52"/>
    <w:rsid w:val="00A7630D"/>
    <w:rsid w:val="00A76687"/>
    <w:rsid w:val="00A7711C"/>
    <w:rsid w:val="00A772BE"/>
    <w:rsid w:val="00A80608"/>
    <w:rsid w:val="00A80CD3"/>
    <w:rsid w:val="00A81E3A"/>
    <w:rsid w:val="00A82ABA"/>
    <w:rsid w:val="00A83846"/>
    <w:rsid w:val="00A84CD7"/>
    <w:rsid w:val="00A84D71"/>
    <w:rsid w:val="00A84F42"/>
    <w:rsid w:val="00A858D5"/>
    <w:rsid w:val="00A865FB"/>
    <w:rsid w:val="00A8709D"/>
    <w:rsid w:val="00A8754D"/>
    <w:rsid w:val="00A877F1"/>
    <w:rsid w:val="00A903BA"/>
    <w:rsid w:val="00A908F1"/>
    <w:rsid w:val="00A91AD3"/>
    <w:rsid w:val="00A91F7C"/>
    <w:rsid w:val="00A92C8E"/>
    <w:rsid w:val="00A92CD1"/>
    <w:rsid w:val="00A93A94"/>
    <w:rsid w:val="00A94C47"/>
    <w:rsid w:val="00A9568C"/>
    <w:rsid w:val="00A95C8B"/>
    <w:rsid w:val="00AA1513"/>
    <w:rsid w:val="00AA23A3"/>
    <w:rsid w:val="00AA2521"/>
    <w:rsid w:val="00AA2F8F"/>
    <w:rsid w:val="00AA3429"/>
    <w:rsid w:val="00AA34D0"/>
    <w:rsid w:val="00AA3607"/>
    <w:rsid w:val="00AA3BD3"/>
    <w:rsid w:val="00AA4BD1"/>
    <w:rsid w:val="00AA4D6D"/>
    <w:rsid w:val="00AA5D7B"/>
    <w:rsid w:val="00AA5F33"/>
    <w:rsid w:val="00AA61BF"/>
    <w:rsid w:val="00AA6985"/>
    <w:rsid w:val="00AA7834"/>
    <w:rsid w:val="00AB0E9C"/>
    <w:rsid w:val="00AB111C"/>
    <w:rsid w:val="00AB15E0"/>
    <w:rsid w:val="00AB15F2"/>
    <w:rsid w:val="00AB18C2"/>
    <w:rsid w:val="00AB2010"/>
    <w:rsid w:val="00AB37CD"/>
    <w:rsid w:val="00AB38E6"/>
    <w:rsid w:val="00AB3F86"/>
    <w:rsid w:val="00AB446A"/>
    <w:rsid w:val="00AB4753"/>
    <w:rsid w:val="00AB4D48"/>
    <w:rsid w:val="00AB54A4"/>
    <w:rsid w:val="00AB5FD9"/>
    <w:rsid w:val="00AB67CE"/>
    <w:rsid w:val="00AB7EF6"/>
    <w:rsid w:val="00AC01FA"/>
    <w:rsid w:val="00AC1423"/>
    <w:rsid w:val="00AC1C70"/>
    <w:rsid w:val="00AC1FAC"/>
    <w:rsid w:val="00AC232E"/>
    <w:rsid w:val="00AC4483"/>
    <w:rsid w:val="00AC4A20"/>
    <w:rsid w:val="00AC50CA"/>
    <w:rsid w:val="00AD02FE"/>
    <w:rsid w:val="00AD03D1"/>
    <w:rsid w:val="00AD1138"/>
    <w:rsid w:val="00AD1D78"/>
    <w:rsid w:val="00AD2240"/>
    <w:rsid w:val="00AD2402"/>
    <w:rsid w:val="00AD253D"/>
    <w:rsid w:val="00AD2920"/>
    <w:rsid w:val="00AD3B19"/>
    <w:rsid w:val="00AD4519"/>
    <w:rsid w:val="00AD4C5E"/>
    <w:rsid w:val="00AD4E1C"/>
    <w:rsid w:val="00AD7411"/>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AE2"/>
    <w:rsid w:val="00AF7F5F"/>
    <w:rsid w:val="00B00844"/>
    <w:rsid w:val="00B01C8A"/>
    <w:rsid w:val="00B02F4C"/>
    <w:rsid w:val="00B03594"/>
    <w:rsid w:val="00B04973"/>
    <w:rsid w:val="00B05424"/>
    <w:rsid w:val="00B05955"/>
    <w:rsid w:val="00B1001E"/>
    <w:rsid w:val="00B10320"/>
    <w:rsid w:val="00B10ADD"/>
    <w:rsid w:val="00B10CAC"/>
    <w:rsid w:val="00B11868"/>
    <w:rsid w:val="00B1271C"/>
    <w:rsid w:val="00B12B2C"/>
    <w:rsid w:val="00B12F69"/>
    <w:rsid w:val="00B13BC5"/>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FD2"/>
    <w:rsid w:val="00B3426A"/>
    <w:rsid w:val="00B34BB3"/>
    <w:rsid w:val="00B35520"/>
    <w:rsid w:val="00B361B3"/>
    <w:rsid w:val="00B36284"/>
    <w:rsid w:val="00B37F42"/>
    <w:rsid w:val="00B4106C"/>
    <w:rsid w:val="00B41B89"/>
    <w:rsid w:val="00B4319A"/>
    <w:rsid w:val="00B43B10"/>
    <w:rsid w:val="00B43CCC"/>
    <w:rsid w:val="00B43FEA"/>
    <w:rsid w:val="00B44B37"/>
    <w:rsid w:val="00B45362"/>
    <w:rsid w:val="00B45A36"/>
    <w:rsid w:val="00B45C52"/>
    <w:rsid w:val="00B461D8"/>
    <w:rsid w:val="00B46D77"/>
    <w:rsid w:val="00B473C4"/>
    <w:rsid w:val="00B47EDD"/>
    <w:rsid w:val="00B506BB"/>
    <w:rsid w:val="00B50EE2"/>
    <w:rsid w:val="00B51176"/>
    <w:rsid w:val="00B51793"/>
    <w:rsid w:val="00B520B6"/>
    <w:rsid w:val="00B526CD"/>
    <w:rsid w:val="00B527CA"/>
    <w:rsid w:val="00B5287B"/>
    <w:rsid w:val="00B52DE0"/>
    <w:rsid w:val="00B53608"/>
    <w:rsid w:val="00B539DB"/>
    <w:rsid w:val="00B53AE8"/>
    <w:rsid w:val="00B5468A"/>
    <w:rsid w:val="00B555C1"/>
    <w:rsid w:val="00B55FBB"/>
    <w:rsid w:val="00B56320"/>
    <w:rsid w:val="00B5675D"/>
    <w:rsid w:val="00B57298"/>
    <w:rsid w:val="00B6001D"/>
    <w:rsid w:val="00B601E9"/>
    <w:rsid w:val="00B608E8"/>
    <w:rsid w:val="00B60912"/>
    <w:rsid w:val="00B60B03"/>
    <w:rsid w:val="00B60FA2"/>
    <w:rsid w:val="00B60FEB"/>
    <w:rsid w:val="00B612CF"/>
    <w:rsid w:val="00B615DC"/>
    <w:rsid w:val="00B62EC3"/>
    <w:rsid w:val="00B67172"/>
    <w:rsid w:val="00B706C7"/>
    <w:rsid w:val="00B719F2"/>
    <w:rsid w:val="00B72469"/>
    <w:rsid w:val="00B7252B"/>
    <w:rsid w:val="00B725B1"/>
    <w:rsid w:val="00B72708"/>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858"/>
    <w:rsid w:val="00B83F2E"/>
    <w:rsid w:val="00B840D5"/>
    <w:rsid w:val="00B8430A"/>
    <w:rsid w:val="00B84C8D"/>
    <w:rsid w:val="00B853F9"/>
    <w:rsid w:val="00B85ECA"/>
    <w:rsid w:val="00B864C8"/>
    <w:rsid w:val="00B86F35"/>
    <w:rsid w:val="00B87077"/>
    <w:rsid w:val="00B87124"/>
    <w:rsid w:val="00B8740D"/>
    <w:rsid w:val="00B875A2"/>
    <w:rsid w:val="00B90415"/>
    <w:rsid w:val="00B90983"/>
    <w:rsid w:val="00B9168A"/>
    <w:rsid w:val="00B917C5"/>
    <w:rsid w:val="00B92CF1"/>
    <w:rsid w:val="00B936C4"/>
    <w:rsid w:val="00B940BD"/>
    <w:rsid w:val="00B949C4"/>
    <w:rsid w:val="00B95554"/>
    <w:rsid w:val="00B96731"/>
    <w:rsid w:val="00B9673A"/>
    <w:rsid w:val="00B972F1"/>
    <w:rsid w:val="00B979B3"/>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2A"/>
    <w:rsid w:val="00BB32A4"/>
    <w:rsid w:val="00BB3334"/>
    <w:rsid w:val="00BC1EF9"/>
    <w:rsid w:val="00BC2A67"/>
    <w:rsid w:val="00BC2CB1"/>
    <w:rsid w:val="00BC2F42"/>
    <w:rsid w:val="00BC3503"/>
    <w:rsid w:val="00BC3D6C"/>
    <w:rsid w:val="00BC3F2B"/>
    <w:rsid w:val="00BC4594"/>
    <w:rsid w:val="00BC4C6C"/>
    <w:rsid w:val="00BC5644"/>
    <w:rsid w:val="00BC5848"/>
    <w:rsid w:val="00BC6CF8"/>
    <w:rsid w:val="00BC7235"/>
    <w:rsid w:val="00BC79BC"/>
    <w:rsid w:val="00BD0CA5"/>
    <w:rsid w:val="00BD112C"/>
    <w:rsid w:val="00BD11F1"/>
    <w:rsid w:val="00BD15D1"/>
    <w:rsid w:val="00BD19EC"/>
    <w:rsid w:val="00BD1BF3"/>
    <w:rsid w:val="00BD21B6"/>
    <w:rsid w:val="00BD2583"/>
    <w:rsid w:val="00BD3584"/>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A30"/>
    <w:rsid w:val="00BE65DA"/>
    <w:rsid w:val="00BE69FF"/>
    <w:rsid w:val="00BE6A63"/>
    <w:rsid w:val="00BE71A0"/>
    <w:rsid w:val="00BF017E"/>
    <w:rsid w:val="00BF0723"/>
    <w:rsid w:val="00BF0BF9"/>
    <w:rsid w:val="00BF12AF"/>
    <w:rsid w:val="00BF17E2"/>
    <w:rsid w:val="00BF19A3"/>
    <w:rsid w:val="00BF2050"/>
    <w:rsid w:val="00BF24C1"/>
    <w:rsid w:val="00BF2BB2"/>
    <w:rsid w:val="00BF2F1E"/>
    <w:rsid w:val="00BF388B"/>
    <w:rsid w:val="00BF3FC3"/>
    <w:rsid w:val="00BF47F4"/>
    <w:rsid w:val="00BF63DC"/>
    <w:rsid w:val="00BF661B"/>
    <w:rsid w:val="00BF6C9E"/>
    <w:rsid w:val="00BF6F4C"/>
    <w:rsid w:val="00BF6F7A"/>
    <w:rsid w:val="00C001F1"/>
    <w:rsid w:val="00C002B5"/>
    <w:rsid w:val="00C018B5"/>
    <w:rsid w:val="00C0225F"/>
    <w:rsid w:val="00C02D5D"/>
    <w:rsid w:val="00C02FEB"/>
    <w:rsid w:val="00C03F11"/>
    <w:rsid w:val="00C046C4"/>
    <w:rsid w:val="00C046D2"/>
    <w:rsid w:val="00C0508C"/>
    <w:rsid w:val="00C05739"/>
    <w:rsid w:val="00C05AA2"/>
    <w:rsid w:val="00C06263"/>
    <w:rsid w:val="00C06536"/>
    <w:rsid w:val="00C0734F"/>
    <w:rsid w:val="00C1292F"/>
    <w:rsid w:val="00C14158"/>
    <w:rsid w:val="00C142C3"/>
    <w:rsid w:val="00C16ED3"/>
    <w:rsid w:val="00C16EE8"/>
    <w:rsid w:val="00C170B0"/>
    <w:rsid w:val="00C171F4"/>
    <w:rsid w:val="00C176E2"/>
    <w:rsid w:val="00C206FD"/>
    <w:rsid w:val="00C21DBE"/>
    <w:rsid w:val="00C24B32"/>
    <w:rsid w:val="00C24BE1"/>
    <w:rsid w:val="00C24ECD"/>
    <w:rsid w:val="00C24F18"/>
    <w:rsid w:val="00C263DB"/>
    <w:rsid w:val="00C26C8E"/>
    <w:rsid w:val="00C274D1"/>
    <w:rsid w:val="00C27D43"/>
    <w:rsid w:val="00C27DFF"/>
    <w:rsid w:val="00C3053C"/>
    <w:rsid w:val="00C31349"/>
    <w:rsid w:val="00C31825"/>
    <w:rsid w:val="00C31F75"/>
    <w:rsid w:val="00C3285B"/>
    <w:rsid w:val="00C3315A"/>
    <w:rsid w:val="00C337FC"/>
    <w:rsid w:val="00C346FB"/>
    <w:rsid w:val="00C34B47"/>
    <w:rsid w:val="00C3506B"/>
    <w:rsid w:val="00C3541D"/>
    <w:rsid w:val="00C35BD5"/>
    <w:rsid w:val="00C413AC"/>
    <w:rsid w:val="00C4196D"/>
    <w:rsid w:val="00C419DA"/>
    <w:rsid w:val="00C4244B"/>
    <w:rsid w:val="00C43252"/>
    <w:rsid w:val="00C43846"/>
    <w:rsid w:val="00C43F49"/>
    <w:rsid w:val="00C44C91"/>
    <w:rsid w:val="00C44DEE"/>
    <w:rsid w:val="00C45AF5"/>
    <w:rsid w:val="00C474AE"/>
    <w:rsid w:val="00C47895"/>
    <w:rsid w:val="00C47CA6"/>
    <w:rsid w:val="00C514EC"/>
    <w:rsid w:val="00C51F61"/>
    <w:rsid w:val="00C52215"/>
    <w:rsid w:val="00C525EA"/>
    <w:rsid w:val="00C5354D"/>
    <w:rsid w:val="00C5360A"/>
    <w:rsid w:val="00C53D24"/>
    <w:rsid w:val="00C54FD0"/>
    <w:rsid w:val="00C5592A"/>
    <w:rsid w:val="00C564FC"/>
    <w:rsid w:val="00C5732D"/>
    <w:rsid w:val="00C577F0"/>
    <w:rsid w:val="00C602DB"/>
    <w:rsid w:val="00C61543"/>
    <w:rsid w:val="00C615F8"/>
    <w:rsid w:val="00C618F3"/>
    <w:rsid w:val="00C61A19"/>
    <w:rsid w:val="00C61EF5"/>
    <w:rsid w:val="00C62651"/>
    <w:rsid w:val="00C6276E"/>
    <w:rsid w:val="00C62B23"/>
    <w:rsid w:val="00C62DE1"/>
    <w:rsid w:val="00C642A0"/>
    <w:rsid w:val="00C6573A"/>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224B"/>
    <w:rsid w:val="00C9367C"/>
    <w:rsid w:val="00C937EC"/>
    <w:rsid w:val="00C93D34"/>
    <w:rsid w:val="00C955FD"/>
    <w:rsid w:val="00C95686"/>
    <w:rsid w:val="00C9591E"/>
    <w:rsid w:val="00C96095"/>
    <w:rsid w:val="00C965ED"/>
    <w:rsid w:val="00C966D2"/>
    <w:rsid w:val="00C96FD2"/>
    <w:rsid w:val="00CA0003"/>
    <w:rsid w:val="00CA0255"/>
    <w:rsid w:val="00CA025C"/>
    <w:rsid w:val="00CA0348"/>
    <w:rsid w:val="00CA134F"/>
    <w:rsid w:val="00CA1DF0"/>
    <w:rsid w:val="00CA1FB8"/>
    <w:rsid w:val="00CA391C"/>
    <w:rsid w:val="00CA43A5"/>
    <w:rsid w:val="00CA4F40"/>
    <w:rsid w:val="00CA5396"/>
    <w:rsid w:val="00CA5A86"/>
    <w:rsid w:val="00CA5B1E"/>
    <w:rsid w:val="00CA5C15"/>
    <w:rsid w:val="00CA70B7"/>
    <w:rsid w:val="00CA7106"/>
    <w:rsid w:val="00CA7E67"/>
    <w:rsid w:val="00CB0273"/>
    <w:rsid w:val="00CB15A5"/>
    <w:rsid w:val="00CB15B4"/>
    <w:rsid w:val="00CB188D"/>
    <w:rsid w:val="00CB19B9"/>
    <w:rsid w:val="00CB1B2F"/>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C82"/>
    <w:rsid w:val="00CC5C2A"/>
    <w:rsid w:val="00CC60A0"/>
    <w:rsid w:val="00CC677D"/>
    <w:rsid w:val="00CC7657"/>
    <w:rsid w:val="00CC772F"/>
    <w:rsid w:val="00CC7DA8"/>
    <w:rsid w:val="00CD01B3"/>
    <w:rsid w:val="00CD01F5"/>
    <w:rsid w:val="00CD16B8"/>
    <w:rsid w:val="00CD1C56"/>
    <w:rsid w:val="00CD33AE"/>
    <w:rsid w:val="00CD38FD"/>
    <w:rsid w:val="00CD44A0"/>
    <w:rsid w:val="00CD4C15"/>
    <w:rsid w:val="00CD5C57"/>
    <w:rsid w:val="00CD63CC"/>
    <w:rsid w:val="00CD686F"/>
    <w:rsid w:val="00CD72DA"/>
    <w:rsid w:val="00CE0DFE"/>
    <w:rsid w:val="00CE1C06"/>
    <w:rsid w:val="00CE1E70"/>
    <w:rsid w:val="00CE3605"/>
    <w:rsid w:val="00CE36F1"/>
    <w:rsid w:val="00CE3FDD"/>
    <w:rsid w:val="00CE4015"/>
    <w:rsid w:val="00CE41FF"/>
    <w:rsid w:val="00CE50E3"/>
    <w:rsid w:val="00CE5365"/>
    <w:rsid w:val="00CE5499"/>
    <w:rsid w:val="00CE5755"/>
    <w:rsid w:val="00CE5840"/>
    <w:rsid w:val="00CE5ED7"/>
    <w:rsid w:val="00CE6F08"/>
    <w:rsid w:val="00CE76F0"/>
    <w:rsid w:val="00CE7728"/>
    <w:rsid w:val="00CE7967"/>
    <w:rsid w:val="00CE79EF"/>
    <w:rsid w:val="00CF05C7"/>
    <w:rsid w:val="00CF08DE"/>
    <w:rsid w:val="00CF175E"/>
    <w:rsid w:val="00CF1EDF"/>
    <w:rsid w:val="00CF4939"/>
    <w:rsid w:val="00CF49A9"/>
    <w:rsid w:val="00CF60F9"/>
    <w:rsid w:val="00CF6407"/>
    <w:rsid w:val="00CF655C"/>
    <w:rsid w:val="00CF6CE7"/>
    <w:rsid w:val="00CF6ED9"/>
    <w:rsid w:val="00CF7401"/>
    <w:rsid w:val="00CF7577"/>
    <w:rsid w:val="00D001F9"/>
    <w:rsid w:val="00D00873"/>
    <w:rsid w:val="00D01C46"/>
    <w:rsid w:val="00D026D2"/>
    <w:rsid w:val="00D02F43"/>
    <w:rsid w:val="00D03014"/>
    <w:rsid w:val="00D030EE"/>
    <w:rsid w:val="00D03FEE"/>
    <w:rsid w:val="00D0407D"/>
    <w:rsid w:val="00D0483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488A"/>
    <w:rsid w:val="00D34D77"/>
    <w:rsid w:val="00D34D88"/>
    <w:rsid w:val="00D34FF2"/>
    <w:rsid w:val="00D35941"/>
    <w:rsid w:val="00D36E4F"/>
    <w:rsid w:val="00D3720C"/>
    <w:rsid w:val="00D37963"/>
    <w:rsid w:val="00D4041C"/>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B3"/>
    <w:rsid w:val="00D65351"/>
    <w:rsid w:val="00D65C1F"/>
    <w:rsid w:val="00D66784"/>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C7D"/>
    <w:rsid w:val="00D82E22"/>
    <w:rsid w:val="00D83369"/>
    <w:rsid w:val="00D83BD5"/>
    <w:rsid w:val="00D84F78"/>
    <w:rsid w:val="00D8514F"/>
    <w:rsid w:val="00D86727"/>
    <w:rsid w:val="00D869E5"/>
    <w:rsid w:val="00D8711B"/>
    <w:rsid w:val="00D90ADB"/>
    <w:rsid w:val="00D913FA"/>
    <w:rsid w:val="00D9206D"/>
    <w:rsid w:val="00D93445"/>
    <w:rsid w:val="00D93643"/>
    <w:rsid w:val="00D94528"/>
    <w:rsid w:val="00D951C6"/>
    <w:rsid w:val="00D956EB"/>
    <w:rsid w:val="00D959C2"/>
    <w:rsid w:val="00D95AC6"/>
    <w:rsid w:val="00D95DD9"/>
    <w:rsid w:val="00D95E34"/>
    <w:rsid w:val="00D97400"/>
    <w:rsid w:val="00D97E00"/>
    <w:rsid w:val="00DA0D5C"/>
    <w:rsid w:val="00DA0E03"/>
    <w:rsid w:val="00DA3BDA"/>
    <w:rsid w:val="00DA3DBE"/>
    <w:rsid w:val="00DA546C"/>
    <w:rsid w:val="00DA5A5C"/>
    <w:rsid w:val="00DA7954"/>
    <w:rsid w:val="00DB38D9"/>
    <w:rsid w:val="00DB3FD9"/>
    <w:rsid w:val="00DB48FF"/>
    <w:rsid w:val="00DB4991"/>
    <w:rsid w:val="00DB4C11"/>
    <w:rsid w:val="00DB5105"/>
    <w:rsid w:val="00DB51AA"/>
    <w:rsid w:val="00DB55CE"/>
    <w:rsid w:val="00DB55D6"/>
    <w:rsid w:val="00DB5F4E"/>
    <w:rsid w:val="00DB670E"/>
    <w:rsid w:val="00DB6CA1"/>
    <w:rsid w:val="00DB7164"/>
    <w:rsid w:val="00DB7E5C"/>
    <w:rsid w:val="00DC1168"/>
    <w:rsid w:val="00DC2060"/>
    <w:rsid w:val="00DC20A6"/>
    <w:rsid w:val="00DC2A51"/>
    <w:rsid w:val="00DC2C64"/>
    <w:rsid w:val="00DC3915"/>
    <w:rsid w:val="00DC47EE"/>
    <w:rsid w:val="00DC4CD5"/>
    <w:rsid w:val="00DC62B1"/>
    <w:rsid w:val="00DC6544"/>
    <w:rsid w:val="00DC6ED6"/>
    <w:rsid w:val="00DD0513"/>
    <w:rsid w:val="00DD0D38"/>
    <w:rsid w:val="00DD0D67"/>
    <w:rsid w:val="00DD16E2"/>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E98"/>
    <w:rsid w:val="00DE6D1D"/>
    <w:rsid w:val="00DF0775"/>
    <w:rsid w:val="00DF19E2"/>
    <w:rsid w:val="00DF19E6"/>
    <w:rsid w:val="00DF2965"/>
    <w:rsid w:val="00DF2F5D"/>
    <w:rsid w:val="00DF312F"/>
    <w:rsid w:val="00DF3D97"/>
    <w:rsid w:val="00DF4271"/>
    <w:rsid w:val="00DF4E3C"/>
    <w:rsid w:val="00DF52F9"/>
    <w:rsid w:val="00DF61F5"/>
    <w:rsid w:val="00DF6440"/>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7DEA"/>
    <w:rsid w:val="00E20C45"/>
    <w:rsid w:val="00E223F5"/>
    <w:rsid w:val="00E228C3"/>
    <w:rsid w:val="00E22D62"/>
    <w:rsid w:val="00E22F18"/>
    <w:rsid w:val="00E230A3"/>
    <w:rsid w:val="00E23253"/>
    <w:rsid w:val="00E2369E"/>
    <w:rsid w:val="00E24E1C"/>
    <w:rsid w:val="00E25BB7"/>
    <w:rsid w:val="00E25C4D"/>
    <w:rsid w:val="00E2617C"/>
    <w:rsid w:val="00E26501"/>
    <w:rsid w:val="00E27550"/>
    <w:rsid w:val="00E30EBC"/>
    <w:rsid w:val="00E30EDE"/>
    <w:rsid w:val="00E31891"/>
    <w:rsid w:val="00E32442"/>
    <w:rsid w:val="00E32A4F"/>
    <w:rsid w:val="00E32A99"/>
    <w:rsid w:val="00E349A3"/>
    <w:rsid w:val="00E352C2"/>
    <w:rsid w:val="00E3536F"/>
    <w:rsid w:val="00E35DAE"/>
    <w:rsid w:val="00E365BD"/>
    <w:rsid w:val="00E37AE1"/>
    <w:rsid w:val="00E37EF1"/>
    <w:rsid w:val="00E419AE"/>
    <w:rsid w:val="00E42221"/>
    <w:rsid w:val="00E4268B"/>
    <w:rsid w:val="00E430E9"/>
    <w:rsid w:val="00E43119"/>
    <w:rsid w:val="00E439D0"/>
    <w:rsid w:val="00E443AB"/>
    <w:rsid w:val="00E4450F"/>
    <w:rsid w:val="00E4501A"/>
    <w:rsid w:val="00E4511B"/>
    <w:rsid w:val="00E454D1"/>
    <w:rsid w:val="00E46206"/>
    <w:rsid w:val="00E46DC7"/>
    <w:rsid w:val="00E46EAD"/>
    <w:rsid w:val="00E47164"/>
    <w:rsid w:val="00E47570"/>
    <w:rsid w:val="00E516C1"/>
    <w:rsid w:val="00E5195C"/>
    <w:rsid w:val="00E52032"/>
    <w:rsid w:val="00E531F6"/>
    <w:rsid w:val="00E53921"/>
    <w:rsid w:val="00E54135"/>
    <w:rsid w:val="00E54F5D"/>
    <w:rsid w:val="00E5528D"/>
    <w:rsid w:val="00E5575A"/>
    <w:rsid w:val="00E55EC2"/>
    <w:rsid w:val="00E55F9E"/>
    <w:rsid w:val="00E56AC0"/>
    <w:rsid w:val="00E57D01"/>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40E0"/>
    <w:rsid w:val="00E74E4C"/>
    <w:rsid w:val="00E75432"/>
    <w:rsid w:val="00E75C76"/>
    <w:rsid w:val="00E7750C"/>
    <w:rsid w:val="00E776A1"/>
    <w:rsid w:val="00E80127"/>
    <w:rsid w:val="00E80EBF"/>
    <w:rsid w:val="00E82639"/>
    <w:rsid w:val="00E831CE"/>
    <w:rsid w:val="00E83969"/>
    <w:rsid w:val="00E83CA8"/>
    <w:rsid w:val="00E83DF5"/>
    <w:rsid w:val="00E8429C"/>
    <w:rsid w:val="00E85205"/>
    <w:rsid w:val="00E852AE"/>
    <w:rsid w:val="00E862BE"/>
    <w:rsid w:val="00E86E34"/>
    <w:rsid w:val="00E874B8"/>
    <w:rsid w:val="00E87510"/>
    <w:rsid w:val="00E87A30"/>
    <w:rsid w:val="00E90B74"/>
    <w:rsid w:val="00E90E56"/>
    <w:rsid w:val="00E914AE"/>
    <w:rsid w:val="00E91A90"/>
    <w:rsid w:val="00E91D3C"/>
    <w:rsid w:val="00E92D1D"/>
    <w:rsid w:val="00E930C0"/>
    <w:rsid w:val="00E939C4"/>
    <w:rsid w:val="00E93A5F"/>
    <w:rsid w:val="00E93B50"/>
    <w:rsid w:val="00E94051"/>
    <w:rsid w:val="00E96633"/>
    <w:rsid w:val="00E96826"/>
    <w:rsid w:val="00E96E4C"/>
    <w:rsid w:val="00E97887"/>
    <w:rsid w:val="00EA01EF"/>
    <w:rsid w:val="00EA0606"/>
    <w:rsid w:val="00EA1680"/>
    <w:rsid w:val="00EA2218"/>
    <w:rsid w:val="00EA39CE"/>
    <w:rsid w:val="00EA524B"/>
    <w:rsid w:val="00EA61EC"/>
    <w:rsid w:val="00EA7048"/>
    <w:rsid w:val="00EA72FC"/>
    <w:rsid w:val="00EA77FC"/>
    <w:rsid w:val="00EA7A50"/>
    <w:rsid w:val="00EA7C55"/>
    <w:rsid w:val="00EB0718"/>
    <w:rsid w:val="00EB127D"/>
    <w:rsid w:val="00EB1A4E"/>
    <w:rsid w:val="00EB2106"/>
    <w:rsid w:val="00EB229C"/>
    <w:rsid w:val="00EB2481"/>
    <w:rsid w:val="00EB266F"/>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4263"/>
    <w:rsid w:val="00ED4393"/>
    <w:rsid w:val="00ED4B78"/>
    <w:rsid w:val="00ED577E"/>
    <w:rsid w:val="00ED6061"/>
    <w:rsid w:val="00ED662A"/>
    <w:rsid w:val="00ED6C55"/>
    <w:rsid w:val="00ED7502"/>
    <w:rsid w:val="00ED771E"/>
    <w:rsid w:val="00EE1977"/>
    <w:rsid w:val="00EE1BDC"/>
    <w:rsid w:val="00EE22A9"/>
    <w:rsid w:val="00EE29EF"/>
    <w:rsid w:val="00EE2DC8"/>
    <w:rsid w:val="00EE2E32"/>
    <w:rsid w:val="00EE3D74"/>
    <w:rsid w:val="00EE4656"/>
    <w:rsid w:val="00EE5031"/>
    <w:rsid w:val="00EE5AD9"/>
    <w:rsid w:val="00EE6240"/>
    <w:rsid w:val="00EE6DE7"/>
    <w:rsid w:val="00EE722F"/>
    <w:rsid w:val="00EE75A0"/>
    <w:rsid w:val="00EE78E6"/>
    <w:rsid w:val="00EE7A61"/>
    <w:rsid w:val="00EF087A"/>
    <w:rsid w:val="00EF1C38"/>
    <w:rsid w:val="00EF2D18"/>
    <w:rsid w:val="00EF389E"/>
    <w:rsid w:val="00EF3FB5"/>
    <w:rsid w:val="00EF4FB5"/>
    <w:rsid w:val="00EF5FB2"/>
    <w:rsid w:val="00EF6D4E"/>
    <w:rsid w:val="00F0046C"/>
    <w:rsid w:val="00F0095F"/>
    <w:rsid w:val="00F00B7D"/>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E60"/>
    <w:rsid w:val="00F12FE9"/>
    <w:rsid w:val="00F1414E"/>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D51"/>
    <w:rsid w:val="00F234CB"/>
    <w:rsid w:val="00F2362D"/>
    <w:rsid w:val="00F238A5"/>
    <w:rsid w:val="00F23CC0"/>
    <w:rsid w:val="00F24CC7"/>
    <w:rsid w:val="00F25806"/>
    <w:rsid w:val="00F25EF9"/>
    <w:rsid w:val="00F2647F"/>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B83"/>
    <w:rsid w:val="00F34A06"/>
    <w:rsid w:val="00F34BAF"/>
    <w:rsid w:val="00F36576"/>
    <w:rsid w:val="00F36A74"/>
    <w:rsid w:val="00F370F8"/>
    <w:rsid w:val="00F372E2"/>
    <w:rsid w:val="00F37ADD"/>
    <w:rsid w:val="00F4114A"/>
    <w:rsid w:val="00F411E8"/>
    <w:rsid w:val="00F4175D"/>
    <w:rsid w:val="00F417EF"/>
    <w:rsid w:val="00F42337"/>
    <w:rsid w:val="00F428C0"/>
    <w:rsid w:val="00F43229"/>
    <w:rsid w:val="00F43253"/>
    <w:rsid w:val="00F4406C"/>
    <w:rsid w:val="00F4478C"/>
    <w:rsid w:val="00F4479F"/>
    <w:rsid w:val="00F4496F"/>
    <w:rsid w:val="00F46985"/>
    <w:rsid w:val="00F4733F"/>
    <w:rsid w:val="00F477B9"/>
    <w:rsid w:val="00F47CCD"/>
    <w:rsid w:val="00F500E3"/>
    <w:rsid w:val="00F501D7"/>
    <w:rsid w:val="00F504B7"/>
    <w:rsid w:val="00F50689"/>
    <w:rsid w:val="00F50885"/>
    <w:rsid w:val="00F509FE"/>
    <w:rsid w:val="00F51250"/>
    <w:rsid w:val="00F52363"/>
    <w:rsid w:val="00F54208"/>
    <w:rsid w:val="00F55BEC"/>
    <w:rsid w:val="00F563DA"/>
    <w:rsid w:val="00F56B3C"/>
    <w:rsid w:val="00F57717"/>
    <w:rsid w:val="00F57B09"/>
    <w:rsid w:val="00F57B9A"/>
    <w:rsid w:val="00F60EB2"/>
    <w:rsid w:val="00F61611"/>
    <w:rsid w:val="00F6236C"/>
    <w:rsid w:val="00F63679"/>
    <w:rsid w:val="00F637BB"/>
    <w:rsid w:val="00F64F6E"/>
    <w:rsid w:val="00F656DB"/>
    <w:rsid w:val="00F6697B"/>
    <w:rsid w:val="00F67536"/>
    <w:rsid w:val="00F67BE0"/>
    <w:rsid w:val="00F70A51"/>
    <w:rsid w:val="00F70C4A"/>
    <w:rsid w:val="00F70D85"/>
    <w:rsid w:val="00F715F1"/>
    <w:rsid w:val="00F71951"/>
    <w:rsid w:val="00F71FF0"/>
    <w:rsid w:val="00F73344"/>
    <w:rsid w:val="00F7416E"/>
    <w:rsid w:val="00F742AB"/>
    <w:rsid w:val="00F74EE4"/>
    <w:rsid w:val="00F75095"/>
    <w:rsid w:val="00F75DCC"/>
    <w:rsid w:val="00F77689"/>
    <w:rsid w:val="00F803E6"/>
    <w:rsid w:val="00F80494"/>
    <w:rsid w:val="00F80AEA"/>
    <w:rsid w:val="00F82763"/>
    <w:rsid w:val="00F832D6"/>
    <w:rsid w:val="00F866AA"/>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D03"/>
    <w:rsid w:val="00FA2779"/>
    <w:rsid w:val="00FA2870"/>
    <w:rsid w:val="00FA3298"/>
    <w:rsid w:val="00FA6434"/>
    <w:rsid w:val="00FA6AB6"/>
    <w:rsid w:val="00FA6CEB"/>
    <w:rsid w:val="00FA713D"/>
    <w:rsid w:val="00FA718B"/>
    <w:rsid w:val="00FB0987"/>
    <w:rsid w:val="00FB09F8"/>
    <w:rsid w:val="00FB0AC5"/>
    <w:rsid w:val="00FB1AB8"/>
    <w:rsid w:val="00FB1BB6"/>
    <w:rsid w:val="00FB2FA3"/>
    <w:rsid w:val="00FB33B3"/>
    <w:rsid w:val="00FB35FC"/>
    <w:rsid w:val="00FB3D7C"/>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545B"/>
    <w:rsid w:val="00FD57E1"/>
    <w:rsid w:val="00FD5FA1"/>
    <w:rsid w:val="00FD647C"/>
    <w:rsid w:val="00FD65AF"/>
    <w:rsid w:val="00FD66C6"/>
    <w:rsid w:val="00FD7C45"/>
    <w:rsid w:val="00FE0B98"/>
    <w:rsid w:val="00FE1D95"/>
    <w:rsid w:val="00FE2660"/>
    <w:rsid w:val="00FE2B6B"/>
    <w:rsid w:val="00FE3A60"/>
    <w:rsid w:val="00FE458E"/>
    <w:rsid w:val="00FE4890"/>
    <w:rsid w:val="00FE4FED"/>
    <w:rsid w:val="00FE5347"/>
    <w:rsid w:val="00FE690E"/>
    <w:rsid w:val="00FE71FE"/>
    <w:rsid w:val="00FE7ADC"/>
    <w:rsid w:val="00FE7D0B"/>
    <w:rsid w:val="00FF021B"/>
    <w:rsid w:val="00FF093B"/>
    <w:rsid w:val="00FF0D8C"/>
    <w:rsid w:val="00FF1609"/>
    <w:rsid w:val="00FF243E"/>
    <w:rsid w:val="00FF2B6F"/>
    <w:rsid w:val="00FF3432"/>
    <w:rsid w:val="00FF3804"/>
    <w:rsid w:val="00FF3FEF"/>
    <w:rsid w:val="00FF400E"/>
    <w:rsid w:val="00FF5543"/>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ingfisher.com/index.asp?pageid=5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8DAE-7EA1-466C-A290-D51C84D1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18198</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marolid</cp:lastModifiedBy>
  <cp:revision>3</cp:revision>
  <cp:lastPrinted>2013-11-27T18:02:00Z</cp:lastPrinted>
  <dcterms:created xsi:type="dcterms:W3CDTF">2013-11-27T18:20:00Z</dcterms:created>
  <dcterms:modified xsi:type="dcterms:W3CDTF">2013-11-27T18:21:00Z</dcterms:modified>
</cp:coreProperties>
</file>

<file path=docProps/custom.xml><?xml version="1.0" encoding="utf-8"?>
<Properties xmlns="http://schemas.openxmlformats.org/officeDocument/2006/custom-properties" xmlns:vt="http://schemas.openxmlformats.org/officeDocument/2006/docPropsVTypes"/>
</file>