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731" w:rsidRDefault="00115731" w:rsidP="0006717E">
      <w:pPr>
        <w:rPr>
          <w:rFonts w:ascii="Arial" w:hAnsi="Arial" w:cs="Arial"/>
          <w:b/>
          <w:bCs/>
          <w:sz w:val="24"/>
          <w:szCs w:val="24"/>
        </w:rPr>
      </w:pPr>
    </w:p>
    <w:p w:rsidR="000F03E3" w:rsidRPr="00C4481A" w:rsidRDefault="000F03E3" w:rsidP="00725805">
      <w:pPr>
        <w:jc w:val="center"/>
        <w:rPr>
          <w:rFonts w:ascii="Arial" w:hAnsi="Arial" w:cs="Arial"/>
          <w:b/>
          <w:bCs/>
          <w:sz w:val="24"/>
          <w:szCs w:val="24"/>
        </w:rPr>
      </w:pPr>
      <w:r w:rsidRPr="00C4481A">
        <w:rPr>
          <w:rFonts w:ascii="Arial" w:hAnsi="Arial" w:cs="Arial"/>
          <w:b/>
          <w:bCs/>
          <w:sz w:val="24"/>
          <w:szCs w:val="24"/>
        </w:rPr>
        <w:t>EMBAR</w:t>
      </w:r>
      <w:r w:rsidR="00C4481A" w:rsidRPr="007D220F">
        <w:rPr>
          <w:rFonts w:ascii="Arial" w:hAnsi="Arial" w:cs="Arial"/>
          <w:b/>
          <w:bCs/>
          <w:sz w:val="24"/>
          <w:szCs w:val="24"/>
        </w:rPr>
        <w:t xml:space="preserve">GOED UNTIL 0700 HOURS – </w:t>
      </w:r>
      <w:r w:rsidR="006C3892">
        <w:rPr>
          <w:rFonts w:ascii="Arial" w:hAnsi="Arial" w:cs="Arial"/>
          <w:b/>
          <w:bCs/>
          <w:sz w:val="24"/>
          <w:szCs w:val="24"/>
        </w:rPr>
        <w:t>Tue</w:t>
      </w:r>
      <w:r w:rsidR="00C4481A" w:rsidRPr="007D220F">
        <w:rPr>
          <w:rFonts w:ascii="Arial" w:hAnsi="Arial" w:cs="Arial"/>
          <w:b/>
          <w:bCs/>
          <w:sz w:val="24"/>
          <w:szCs w:val="24"/>
        </w:rPr>
        <w:t xml:space="preserve">sday </w:t>
      </w:r>
      <w:r w:rsidR="006C3892">
        <w:rPr>
          <w:rFonts w:ascii="Arial" w:hAnsi="Arial" w:cs="Arial"/>
          <w:b/>
          <w:bCs/>
          <w:sz w:val="24"/>
          <w:szCs w:val="24"/>
        </w:rPr>
        <w:t>26 March</w:t>
      </w:r>
      <w:r w:rsidRPr="00C4481A">
        <w:rPr>
          <w:rFonts w:ascii="Arial" w:hAnsi="Arial" w:cs="Arial"/>
          <w:b/>
          <w:bCs/>
          <w:sz w:val="24"/>
          <w:szCs w:val="24"/>
        </w:rPr>
        <w:t xml:space="preserve"> 20</w:t>
      </w:r>
      <w:r w:rsidR="00C4481A" w:rsidRPr="007D220F">
        <w:rPr>
          <w:rFonts w:ascii="Arial" w:hAnsi="Arial" w:cs="Arial"/>
          <w:b/>
          <w:bCs/>
          <w:sz w:val="24"/>
          <w:szCs w:val="24"/>
        </w:rPr>
        <w:t>1</w:t>
      </w:r>
      <w:r w:rsidR="006C3892">
        <w:rPr>
          <w:rFonts w:ascii="Arial" w:hAnsi="Arial" w:cs="Arial"/>
          <w:b/>
          <w:bCs/>
          <w:sz w:val="24"/>
          <w:szCs w:val="24"/>
        </w:rPr>
        <w:t>3</w:t>
      </w:r>
    </w:p>
    <w:p w:rsidR="000F03E3" w:rsidRPr="007D220F" w:rsidRDefault="000F03E3" w:rsidP="000F03E3">
      <w:pPr>
        <w:jc w:val="left"/>
        <w:rPr>
          <w:rFonts w:ascii="Arial" w:hAnsi="Arial" w:cs="Arial"/>
          <w:b/>
          <w:bCs/>
          <w:sz w:val="24"/>
          <w:szCs w:val="24"/>
          <w:highlight w:val="yellow"/>
        </w:rPr>
      </w:pPr>
    </w:p>
    <w:p w:rsidR="006C3892" w:rsidRDefault="000F03E3" w:rsidP="000F03E3">
      <w:pPr>
        <w:jc w:val="center"/>
        <w:rPr>
          <w:rFonts w:ascii="Arial" w:hAnsi="Arial" w:cs="Arial"/>
          <w:b/>
          <w:bCs/>
          <w:sz w:val="24"/>
          <w:szCs w:val="24"/>
        </w:rPr>
      </w:pPr>
      <w:r w:rsidRPr="006B7548">
        <w:rPr>
          <w:rFonts w:ascii="Arial" w:hAnsi="Arial" w:cs="Arial"/>
          <w:b/>
          <w:bCs/>
          <w:sz w:val="24"/>
          <w:szCs w:val="24"/>
        </w:rPr>
        <w:t>K</w:t>
      </w:r>
      <w:r w:rsidR="006B7548" w:rsidRPr="007D220F">
        <w:rPr>
          <w:rFonts w:ascii="Arial" w:hAnsi="Arial" w:cs="Arial"/>
          <w:b/>
          <w:bCs/>
          <w:sz w:val="24"/>
          <w:szCs w:val="24"/>
        </w:rPr>
        <w:t xml:space="preserve">ingfisher </w:t>
      </w:r>
      <w:r w:rsidR="00DB462A">
        <w:rPr>
          <w:rFonts w:ascii="Arial" w:hAnsi="Arial" w:cs="Arial"/>
          <w:b/>
          <w:bCs/>
          <w:sz w:val="24"/>
          <w:szCs w:val="24"/>
        </w:rPr>
        <w:t xml:space="preserve">reports </w:t>
      </w:r>
      <w:r w:rsidR="006C3892">
        <w:rPr>
          <w:rFonts w:ascii="Arial" w:hAnsi="Arial" w:cs="Arial"/>
          <w:b/>
          <w:bCs/>
          <w:sz w:val="24"/>
          <w:szCs w:val="24"/>
        </w:rPr>
        <w:t xml:space="preserve">full year adjusted pre-tax profits down </w:t>
      </w:r>
      <w:r w:rsidR="00C8375A">
        <w:rPr>
          <w:rFonts w:ascii="Arial" w:hAnsi="Arial" w:cs="Arial"/>
          <w:b/>
          <w:bCs/>
          <w:sz w:val="24"/>
          <w:szCs w:val="24"/>
        </w:rPr>
        <w:t>11%</w:t>
      </w:r>
      <w:r w:rsidR="006C3892">
        <w:rPr>
          <w:rFonts w:ascii="Arial" w:hAnsi="Arial" w:cs="Arial"/>
          <w:b/>
          <w:bCs/>
          <w:sz w:val="24"/>
          <w:szCs w:val="24"/>
        </w:rPr>
        <w:t xml:space="preserve"> to £715 millio</w:t>
      </w:r>
      <w:r w:rsidR="00C8375A">
        <w:rPr>
          <w:rFonts w:ascii="Arial" w:hAnsi="Arial" w:cs="Arial"/>
          <w:b/>
          <w:bCs/>
          <w:sz w:val="24"/>
          <w:szCs w:val="24"/>
        </w:rPr>
        <w:t xml:space="preserve">n. </w:t>
      </w:r>
      <w:r w:rsidR="0075630B">
        <w:rPr>
          <w:rFonts w:ascii="Arial" w:hAnsi="Arial" w:cs="Arial"/>
          <w:b/>
          <w:bCs/>
          <w:sz w:val="24"/>
          <w:szCs w:val="24"/>
        </w:rPr>
        <w:t>‘</w:t>
      </w:r>
      <w:r w:rsidR="00C8375A">
        <w:rPr>
          <w:rFonts w:ascii="Arial" w:hAnsi="Arial" w:cs="Arial"/>
          <w:b/>
          <w:bCs/>
          <w:sz w:val="24"/>
          <w:szCs w:val="24"/>
        </w:rPr>
        <w:t>Creating the Leader</w:t>
      </w:r>
      <w:r w:rsidR="0075630B">
        <w:rPr>
          <w:rFonts w:ascii="Arial" w:hAnsi="Arial" w:cs="Arial"/>
          <w:b/>
          <w:bCs/>
          <w:sz w:val="24"/>
          <w:szCs w:val="24"/>
        </w:rPr>
        <w:t>’</w:t>
      </w:r>
      <w:r w:rsidR="00C8375A">
        <w:rPr>
          <w:rFonts w:ascii="Arial" w:hAnsi="Arial" w:cs="Arial"/>
          <w:b/>
          <w:bCs/>
          <w:sz w:val="24"/>
          <w:szCs w:val="24"/>
        </w:rPr>
        <w:t xml:space="preserve"> </w:t>
      </w:r>
      <w:r w:rsidR="00616DB8">
        <w:rPr>
          <w:rFonts w:ascii="Arial" w:hAnsi="Arial" w:cs="Arial"/>
          <w:b/>
          <w:bCs/>
          <w:sz w:val="24"/>
          <w:szCs w:val="24"/>
        </w:rPr>
        <w:t xml:space="preserve">self-help </w:t>
      </w:r>
      <w:r w:rsidR="00C8375A">
        <w:rPr>
          <w:rFonts w:ascii="Arial" w:hAnsi="Arial" w:cs="Arial"/>
          <w:b/>
          <w:bCs/>
          <w:sz w:val="24"/>
          <w:szCs w:val="24"/>
        </w:rPr>
        <w:t xml:space="preserve">programme on track, full year </w:t>
      </w:r>
      <w:r w:rsidR="006C3892">
        <w:rPr>
          <w:rFonts w:ascii="Arial" w:hAnsi="Arial" w:cs="Arial"/>
          <w:b/>
          <w:bCs/>
          <w:sz w:val="24"/>
          <w:szCs w:val="24"/>
        </w:rPr>
        <w:t xml:space="preserve">dividend up 7%. </w:t>
      </w:r>
    </w:p>
    <w:p w:rsidR="00C8375A" w:rsidRDefault="00C8375A" w:rsidP="000F03E3">
      <w:pPr>
        <w:jc w:val="left"/>
        <w:rPr>
          <w:rFonts w:ascii="Arial" w:hAnsi="Arial" w:cs="Arial"/>
          <w:b/>
          <w:bCs/>
          <w:sz w:val="24"/>
          <w:szCs w:val="24"/>
          <w:u w:val="single"/>
        </w:rPr>
      </w:pPr>
    </w:p>
    <w:p w:rsidR="006C3892" w:rsidRDefault="006C3892" w:rsidP="000F03E3">
      <w:pPr>
        <w:jc w:val="left"/>
        <w:rPr>
          <w:rFonts w:ascii="Arial" w:hAnsi="Arial" w:cs="Arial"/>
          <w:b/>
          <w:bCs/>
          <w:sz w:val="24"/>
          <w:szCs w:val="24"/>
          <w:u w:val="single"/>
        </w:rPr>
      </w:pPr>
      <w:r w:rsidRPr="00725805">
        <w:rPr>
          <w:rFonts w:ascii="Arial" w:hAnsi="Arial" w:cs="Arial"/>
          <w:b/>
          <w:bCs/>
          <w:sz w:val="24"/>
          <w:szCs w:val="24"/>
          <w:u w:val="single"/>
        </w:rPr>
        <w:t>Group Financial Summary</w:t>
      </w:r>
    </w:p>
    <w:p w:rsidR="000F03E3" w:rsidRPr="007D220F" w:rsidRDefault="000F03E3" w:rsidP="000F03E3">
      <w:pPr>
        <w:jc w:val="left"/>
        <w:rPr>
          <w:rFonts w:ascii="Arial" w:hAnsi="Arial" w:cs="Arial"/>
          <w:b/>
          <w:bCs/>
          <w:color w:val="FF0000"/>
          <w:sz w:val="24"/>
          <w:szCs w:val="24"/>
          <w:highlight w:val="yellow"/>
        </w:rPr>
      </w:pPr>
    </w:p>
    <w:tbl>
      <w:tblPr>
        <w:tblW w:w="5022" w:type="pct"/>
        <w:tblInd w:w="-106" w:type="dxa"/>
        <w:tblLayout w:type="fixed"/>
        <w:tblLook w:val="01E0" w:firstRow="1" w:lastRow="1" w:firstColumn="1" w:lastColumn="1" w:noHBand="0" w:noVBand="0"/>
      </w:tblPr>
      <w:tblGrid>
        <w:gridCol w:w="3191"/>
        <w:gridCol w:w="1418"/>
        <w:gridCol w:w="1417"/>
        <w:gridCol w:w="1276"/>
        <w:gridCol w:w="1276"/>
        <w:gridCol w:w="1322"/>
      </w:tblGrid>
      <w:tr w:rsidR="000F03E3" w:rsidRPr="00C4481A" w:rsidTr="00842F7C">
        <w:trPr>
          <w:trHeight w:val="670"/>
        </w:trPr>
        <w:tc>
          <w:tcPr>
            <w:tcW w:w="3191" w:type="dxa"/>
            <w:tcBorders>
              <w:bottom w:val="single" w:sz="4" w:space="0" w:color="auto"/>
            </w:tcBorders>
          </w:tcPr>
          <w:p w:rsidR="000F03E3" w:rsidRPr="007D220F" w:rsidRDefault="000F03E3" w:rsidP="00C4481A">
            <w:pPr>
              <w:jc w:val="left"/>
              <w:rPr>
                <w:rFonts w:ascii="Arial" w:hAnsi="Arial" w:cs="Arial"/>
                <w:b/>
                <w:bCs/>
                <w:color w:val="FF0000"/>
                <w:sz w:val="20"/>
                <w:szCs w:val="20"/>
                <w:highlight w:val="yellow"/>
              </w:rPr>
            </w:pPr>
          </w:p>
        </w:tc>
        <w:tc>
          <w:tcPr>
            <w:tcW w:w="1418" w:type="dxa"/>
            <w:tcBorders>
              <w:bottom w:val="single" w:sz="4" w:space="0" w:color="auto"/>
            </w:tcBorders>
          </w:tcPr>
          <w:p w:rsidR="000F03E3" w:rsidRPr="007D220F" w:rsidRDefault="000F03E3" w:rsidP="00725805">
            <w:pPr>
              <w:jc w:val="right"/>
              <w:rPr>
                <w:rFonts w:ascii="Arial" w:hAnsi="Arial" w:cs="Arial"/>
                <w:b/>
                <w:bCs/>
                <w:sz w:val="24"/>
                <w:szCs w:val="24"/>
                <w:highlight w:val="yellow"/>
              </w:rPr>
            </w:pPr>
          </w:p>
        </w:tc>
        <w:tc>
          <w:tcPr>
            <w:tcW w:w="1417" w:type="dxa"/>
            <w:tcBorders>
              <w:bottom w:val="single" w:sz="4" w:space="0" w:color="auto"/>
            </w:tcBorders>
          </w:tcPr>
          <w:p w:rsidR="000F03E3" w:rsidRPr="006374FD" w:rsidRDefault="000F03E3" w:rsidP="00C4481A">
            <w:pPr>
              <w:jc w:val="right"/>
              <w:rPr>
                <w:rFonts w:ascii="Arial" w:hAnsi="Arial" w:cs="Arial"/>
                <w:b/>
                <w:bCs/>
                <w:sz w:val="24"/>
                <w:szCs w:val="24"/>
                <w:highlight w:val="yellow"/>
              </w:rPr>
            </w:pPr>
          </w:p>
        </w:tc>
        <w:tc>
          <w:tcPr>
            <w:tcW w:w="1276" w:type="dxa"/>
            <w:tcBorders>
              <w:bottom w:val="single" w:sz="4" w:space="0" w:color="auto"/>
            </w:tcBorders>
          </w:tcPr>
          <w:p w:rsidR="000F03E3" w:rsidRPr="00C4481A" w:rsidRDefault="000F03E3" w:rsidP="00C4481A">
            <w:pPr>
              <w:jc w:val="right"/>
              <w:rPr>
                <w:rFonts w:ascii="Arial" w:hAnsi="Arial" w:cs="Arial"/>
                <w:b/>
                <w:bCs/>
                <w:sz w:val="24"/>
                <w:szCs w:val="24"/>
              </w:rPr>
            </w:pPr>
            <w:r w:rsidRPr="00C4481A">
              <w:rPr>
                <w:rFonts w:ascii="Arial" w:hAnsi="Arial" w:cs="Arial"/>
                <w:b/>
                <w:bCs/>
                <w:sz w:val="24"/>
                <w:szCs w:val="24"/>
              </w:rPr>
              <w:t xml:space="preserve">% Total </w:t>
            </w:r>
          </w:p>
          <w:p w:rsidR="000F03E3" w:rsidRPr="00C4481A" w:rsidRDefault="006C3892" w:rsidP="00725805">
            <w:pPr>
              <w:jc w:val="right"/>
              <w:rPr>
                <w:rFonts w:ascii="Arial" w:hAnsi="Arial" w:cs="Arial"/>
                <w:b/>
                <w:bCs/>
                <w:sz w:val="24"/>
                <w:szCs w:val="24"/>
                <w:lang w:eastAsia="en-US"/>
              </w:rPr>
            </w:pPr>
            <w:r>
              <w:rPr>
                <w:rFonts w:ascii="Arial" w:hAnsi="Arial" w:cs="Arial"/>
                <w:b/>
                <w:bCs/>
                <w:sz w:val="24"/>
                <w:szCs w:val="24"/>
              </w:rPr>
              <w:t>C</w:t>
            </w:r>
            <w:r w:rsidR="000F03E3" w:rsidRPr="00C4481A">
              <w:rPr>
                <w:rFonts w:ascii="Arial" w:hAnsi="Arial" w:cs="Arial"/>
                <w:b/>
                <w:bCs/>
                <w:sz w:val="24"/>
                <w:szCs w:val="24"/>
              </w:rPr>
              <w:t xml:space="preserve">hange </w:t>
            </w:r>
          </w:p>
        </w:tc>
        <w:tc>
          <w:tcPr>
            <w:tcW w:w="1276" w:type="dxa"/>
            <w:tcBorders>
              <w:bottom w:val="single" w:sz="4" w:space="0" w:color="auto"/>
            </w:tcBorders>
          </w:tcPr>
          <w:p w:rsidR="000F03E3" w:rsidRPr="00C4481A" w:rsidRDefault="000F03E3" w:rsidP="00725805">
            <w:pPr>
              <w:ind w:left="-94" w:firstLine="94"/>
              <w:jc w:val="right"/>
              <w:rPr>
                <w:rFonts w:ascii="Arial" w:hAnsi="Arial" w:cs="Arial"/>
                <w:b/>
                <w:bCs/>
                <w:sz w:val="24"/>
                <w:szCs w:val="24"/>
              </w:rPr>
            </w:pPr>
            <w:r w:rsidRPr="00C4481A">
              <w:rPr>
                <w:rFonts w:ascii="Arial" w:hAnsi="Arial" w:cs="Arial"/>
                <w:b/>
                <w:bCs/>
                <w:sz w:val="24"/>
                <w:szCs w:val="24"/>
              </w:rPr>
              <w:t>% Total C</w:t>
            </w:r>
            <w:r w:rsidR="006C3892">
              <w:rPr>
                <w:rFonts w:ascii="Arial" w:hAnsi="Arial" w:cs="Arial"/>
                <w:b/>
                <w:bCs/>
                <w:sz w:val="24"/>
                <w:szCs w:val="24"/>
              </w:rPr>
              <w:t>hange</w:t>
            </w:r>
            <w:r w:rsidRPr="00C4481A">
              <w:rPr>
                <w:rFonts w:ascii="Arial" w:hAnsi="Arial" w:cs="Arial"/>
                <w:b/>
                <w:bCs/>
                <w:sz w:val="24"/>
                <w:szCs w:val="24"/>
              </w:rPr>
              <w:t xml:space="preserve"> </w:t>
            </w:r>
          </w:p>
        </w:tc>
        <w:tc>
          <w:tcPr>
            <w:tcW w:w="1322" w:type="dxa"/>
            <w:tcBorders>
              <w:bottom w:val="single" w:sz="4" w:space="0" w:color="auto"/>
            </w:tcBorders>
          </w:tcPr>
          <w:p w:rsidR="000F03E3" w:rsidRPr="00C4481A" w:rsidRDefault="000F03E3" w:rsidP="00725805">
            <w:pPr>
              <w:jc w:val="right"/>
              <w:rPr>
                <w:rFonts w:ascii="Arial" w:hAnsi="Arial" w:cs="Arial"/>
                <w:b/>
                <w:bCs/>
                <w:sz w:val="24"/>
                <w:szCs w:val="24"/>
              </w:rPr>
            </w:pPr>
            <w:r w:rsidRPr="00C4481A">
              <w:rPr>
                <w:rFonts w:ascii="Arial" w:hAnsi="Arial" w:cs="Arial"/>
                <w:b/>
                <w:bCs/>
                <w:sz w:val="24"/>
                <w:szCs w:val="24"/>
              </w:rPr>
              <w:t xml:space="preserve">% LFL </w:t>
            </w:r>
            <w:r w:rsidR="006C3892">
              <w:rPr>
                <w:rFonts w:ascii="Arial" w:hAnsi="Arial" w:cs="Arial"/>
                <w:b/>
                <w:bCs/>
                <w:sz w:val="24"/>
                <w:szCs w:val="24"/>
              </w:rPr>
              <w:t>C</w:t>
            </w:r>
            <w:r w:rsidRPr="00C4481A">
              <w:rPr>
                <w:rFonts w:ascii="Arial" w:hAnsi="Arial" w:cs="Arial"/>
                <w:b/>
                <w:bCs/>
                <w:sz w:val="24"/>
                <w:szCs w:val="24"/>
              </w:rPr>
              <w:t>hange</w:t>
            </w:r>
          </w:p>
        </w:tc>
      </w:tr>
      <w:tr w:rsidR="006C3892" w:rsidRPr="00C4481A" w:rsidTr="009618C2">
        <w:trPr>
          <w:trHeight w:val="864"/>
        </w:trPr>
        <w:tc>
          <w:tcPr>
            <w:tcW w:w="3191" w:type="dxa"/>
            <w:tcBorders>
              <w:bottom w:val="single" w:sz="4" w:space="0" w:color="auto"/>
            </w:tcBorders>
          </w:tcPr>
          <w:p w:rsidR="006C3892" w:rsidRPr="00C4481A" w:rsidRDefault="006C3892" w:rsidP="00C4481A">
            <w:pPr>
              <w:jc w:val="left"/>
              <w:rPr>
                <w:rFonts w:ascii="Arial" w:hAnsi="Arial" w:cs="Arial"/>
                <w:b/>
                <w:bCs/>
                <w:sz w:val="24"/>
                <w:szCs w:val="24"/>
                <w:u w:val="single"/>
              </w:rPr>
            </w:pPr>
          </w:p>
        </w:tc>
        <w:tc>
          <w:tcPr>
            <w:tcW w:w="1418" w:type="dxa"/>
            <w:tcBorders>
              <w:bottom w:val="single" w:sz="4" w:space="0" w:color="auto"/>
            </w:tcBorders>
          </w:tcPr>
          <w:p w:rsidR="006C3892" w:rsidRPr="00C4481A" w:rsidRDefault="006C3892" w:rsidP="006C3892">
            <w:pPr>
              <w:jc w:val="right"/>
              <w:rPr>
                <w:rFonts w:ascii="Arial" w:hAnsi="Arial" w:cs="Arial"/>
                <w:b/>
                <w:bCs/>
                <w:sz w:val="24"/>
                <w:szCs w:val="24"/>
              </w:rPr>
            </w:pPr>
            <w:r w:rsidRPr="00C4481A">
              <w:rPr>
                <w:rFonts w:ascii="Arial" w:hAnsi="Arial" w:cs="Arial"/>
                <w:b/>
                <w:bCs/>
                <w:sz w:val="24"/>
                <w:szCs w:val="24"/>
              </w:rPr>
              <w:t>201</w:t>
            </w:r>
            <w:r>
              <w:rPr>
                <w:rFonts w:ascii="Arial" w:hAnsi="Arial" w:cs="Arial"/>
                <w:b/>
                <w:bCs/>
                <w:sz w:val="24"/>
                <w:szCs w:val="24"/>
              </w:rPr>
              <w:t>2</w:t>
            </w:r>
            <w:r w:rsidRPr="00C4481A">
              <w:rPr>
                <w:rFonts w:ascii="Arial" w:hAnsi="Arial" w:cs="Arial"/>
                <w:b/>
                <w:bCs/>
                <w:sz w:val="24"/>
                <w:szCs w:val="24"/>
              </w:rPr>
              <w:t>/1</w:t>
            </w:r>
            <w:r w:rsidRPr="007D220F">
              <w:rPr>
                <w:rFonts w:ascii="Arial" w:hAnsi="Arial" w:cs="Arial"/>
                <w:b/>
                <w:bCs/>
                <w:sz w:val="24"/>
                <w:szCs w:val="24"/>
              </w:rPr>
              <w:t>3</w:t>
            </w:r>
            <w:r w:rsidRPr="00EC015F">
              <w:rPr>
                <w:rFonts w:ascii="Arial" w:hAnsi="Arial" w:cs="Arial"/>
                <w:b/>
                <w:bCs/>
                <w:i/>
                <w:sz w:val="24"/>
                <w:szCs w:val="24"/>
                <w:vertAlign w:val="superscript"/>
              </w:rPr>
              <w:t>(1)</w:t>
            </w:r>
          </w:p>
          <w:p w:rsidR="006C3892" w:rsidRPr="00C4481A" w:rsidRDefault="006C3892" w:rsidP="00C4481A">
            <w:pPr>
              <w:jc w:val="right"/>
              <w:rPr>
                <w:rFonts w:ascii="Arial" w:hAnsi="Arial" w:cs="Arial"/>
                <w:b/>
                <w:bCs/>
                <w:sz w:val="24"/>
                <w:szCs w:val="24"/>
              </w:rPr>
            </w:pPr>
          </w:p>
        </w:tc>
        <w:tc>
          <w:tcPr>
            <w:tcW w:w="1417" w:type="dxa"/>
            <w:tcBorders>
              <w:bottom w:val="single" w:sz="4" w:space="0" w:color="auto"/>
            </w:tcBorders>
          </w:tcPr>
          <w:p w:rsidR="006C3892" w:rsidRPr="006374FD" w:rsidRDefault="006C3892" w:rsidP="00C4481A">
            <w:pPr>
              <w:jc w:val="right"/>
              <w:rPr>
                <w:rFonts w:ascii="Arial" w:hAnsi="Arial" w:cs="Arial"/>
                <w:b/>
                <w:bCs/>
                <w:sz w:val="24"/>
                <w:szCs w:val="24"/>
              </w:rPr>
            </w:pPr>
            <w:r w:rsidRPr="006374FD">
              <w:rPr>
                <w:rFonts w:ascii="Arial" w:hAnsi="Arial" w:cs="Arial"/>
                <w:b/>
                <w:bCs/>
                <w:sz w:val="24"/>
                <w:szCs w:val="24"/>
              </w:rPr>
              <w:t>2011/12</w:t>
            </w:r>
          </w:p>
        </w:tc>
        <w:tc>
          <w:tcPr>
            <w:tcW w:w="1276" w:type="dxa"/>
            <w:tcBorders>
              <w:bottom w:val="single" w:sz="4" w:space="0" w:color="auto"/>
            </w:tcBorders>
          </w:tcPr>
          <w:p w:rsidR="006C3892" w:rsidRPr="00C4481A" w:rsidRDefault="006C3892" w:rsidP="00C4481A">
            <w:pPr>
              <w:jc w:val="right"/>
              <w:rPr>
                <w:rFonts w:ascii="Arial" w:hAnsi="Arial" w:cs="Arial"/>
                <w:b/>
                <w:bCs/>
                <w:sz w:val="24"/>
                <w:szCs w:val="24"/>
              </w:rPr>
            </w:pPr>
            <w:r>
              <w:rPr>
                <w:rFonts w:ascii="Arial" w:hAnsi="Arial" w:cs="Arial"/>
                <w:b/>
                <w:bCs/>
                <w:sz w:val="24"/>
                <w:szCs w:val="24"/>
              </w:rPr>
              <w:t>Reported</w:t>
            </w:r>
          </w:p>
        </w:tc>
        <w:tc>
          <w:tcPr>
            <w:tcW w:w="1276" w:type="dxa"/>
            <w:tcBorders>
              <w:bottom w:val="single" w:sz="4" w:space="0" w:color="auto"/>
            </w:tcBorders>
          </w:tcPr>
          <w:p w:rsidR="006C3892" w:rsidRPr="00C4481A" w:rsidRDefault="006C3892" w:rsidP="00074BF9">
            <w:pPr>
              <w:ind w:left="-94" w:firstLine="94"/>
              <w:jc w:val="right"/>
              <w:rPr>
                <w:rFonts w:ascii="Arial" w:hAnsi="Arial" w:cs="Arial"/>
                <w:b/>
                <w:bCs/>
                <w:sz w:val="24"/>
                <w:szCs w:val="24"/>
              </w:rPr>
            </w:pPr>
            <w:r>
              <w:rPr>
                <w:rFonts w:ascii="Arial" w:hAnsi="Arial" w:cs="Arial"/>
                <w:b/>
                <w:bCs/>
                <w:sz w:val="24"/>
                <w:szCs w:val="24"/>
              </w:rPr>
              <w:t>Constant currency 52 week basis</w:t>
            </w:r>
          </w:p>
        </w:tc>
        <w:tc>
          <w:tcPr>
            <w:tcW w:w="1322" w:type="dxa"/>
            <w:tcBorders>
              <w:bottom w:val="single" w:sz="4" w:space="0" w:color="auto"/>
            </w:tcBorders>
          </w:tcPr>
          <w:p w:rsidR="006C3892" w:rsidRPr="00C4481A" w:rsidRDefault="006C3892" w:rsidP="00C4481A">
            <w:pPr>
              <w:jc w:val="right"/>
              <w:rPr>
                <w:rFonts w:ascii="Arial" w:hAnsi="Arial" w:cs="Arial"/>
                <w:b/>
                <w:bCs/>
                <w:sz w:val="24"/>
                <w:szCs w:val="24"/>
              </w:rPr>
            </w:pPr>
            <w:r>
              <w:rPr>
                <w:rFonts w:ascii="Arial" w:hAnsi="Arial" w:cs="Arial"/>
                <w:b/>
                <w:bCs/>
                <w:sz w:val="24"/>
                <w:szCs w:val="24"/>
              </w:rPr>
              <w:t>Constant currency</w:t>
            </w:r>
          </w:p>
        </w:tc>
      </w:tr>
      <w:tr w:rsidR="00C4481A" w:rsidRPr="00C4481A" w:rsidTr="009618C2">
        <w:tc>
          <w:tcPr>
            <w:tcW w:w="3191" w:type="dxa"/>
            <w:tcBorders>
              <w:top w:val="single" w:sz="4" w:space="0" w:color="auto"/>
            </w:tcBorders>
          </w:tcPr>
          <w:p w:rsidR="00C4481A" w:rsidRPr="00C4481A" w:rsidRDefault="00C4481A" w:rsidP="00C4481A">
            <w:pPr>
              <w:jc w:val="left"/>
              <w:rPr>
                <w:rFonts w:ascii="Arial" w:hAnsi="Arial" w:cs="Arial"/>
                <w:sz w:val="24"/>
                <w:szCs w:val="24"/>
              </w:rPr>
            </w:pPr>
            <w:r w:rsidRPr="00C4481A">
              <w:rPr>
                <w:rFonts w:ascii="Arial" w:hAnsi="Arial" w:cs="Arial"/>
                <w:sz w:val="24"/>
                <w:szCs w:val="24"/>
              </w:rPr>
              <w:t>Sales</w:t>
            </w:r>
            <w:r w:rsidR="00074BF9" w:rsidRPr="00EC015F">
              <w:rPr>
                <w:rFonts w:ascii="Arial" w:hAnsi="Arial" w:cs="Arial"/>
                <w:bCs/>
                <w:i/>
                <w:sz w:val="24"/>
                <w:szCs w:val="24"/>
                <w:vertAlign w:val="superscript"/>
              </w:rPr>
              <w:t>(1)</w:t>
            </w:r>
            <w:r w:rsidR="00074BF9" w:rsidRPr="00EC015F">
              <w:rPr>
                <w:rFonts w:ascii="Arial" w:hAnsi="Arial" w:cs="Arial"/>
                <w:i/>
                <w:sz w:val="24"/>
                <w:szCs w:val="24"/>
                <w:vertAlign w:val="superscript"/>
              </w:rPr>
              <w:t xml:space="preserve"> </w:t>
            </w:r>
            <w:r w:rsidR="00352BDA" w:rsidRPr="00EC015F">
              <w:rPr>
                <w:rFonts w:ascii="Arial" w:hAnsi="Arial" w:cs="Arial"/>
                <w:i/>
                <w:sz w:val="24"/>
                <w:szCs w:val="24"/>
                <w:vertAlign w:val="superscript"/>
              </w:rPr>
              <w:t>(2)</w:t>
            </w:r>
          </w:p>
        </w:tc>
        <w:tc>
          <w:tcPr>
            <w:tcW w:w="1418" w:type="dxa"/>
            <w:tcBorders>
              <w:top w:val="single" w:sz="4" w:space="0" w:color="auto"/>
            </w:tcBorders>
          </w:tcPr>
          <w:p w:rsidR="00C4481A" w:rsidRPr="007D220F" w:rsidRDefault="00352BDA" w:rsidP="00C4481A">
            <w:pPr>
              <w:jc w:val="right"/>
              <w:rPr>
                <w:rFonts w:ascii="Arial" w:hAnsi="Arial" w:cs="Arial"/>
                <w:sz w:val="24"/>
                <w:szCs w:val="24"/>
                <w:highlight w:val="magenta"/>
              </w:rPr>
            </w:pPr>
            <w:r>
              <w:rPr>
                <w:rFonts w:ascii="Arial" w:hAnsi="Arial" w:cs="Arial"/>
                <w:sz w:val="24"/>
                <w:szCs w:val="24"/>
              </w:rPr>
              <w:t>£10,573m</w:t>
            </w:r>
          </w:p>
        </w:tc>
        <w:tc>
          <w:tcPr>
            <w:tcW w:w="1417" w:type="dxa"/>
            <w:tcBorders>
              <w:top w:val="single" w:sz="4" w:space="0" w:color="auto"/>
            </w:tcBorders>
          </w:tcPr>
          <w:p w:rsidR="00C4481A" w:rsidRPr="00C4481A" w:rsidRDefault="006C3892" w:rsidP="00C4481A">
            <w:pPr>
              <w:jc w:val="right"/>
              <w:rPr>
                <w:rFonts w:ascii="Arial" w:hAnsi="Arial" w:cs="Arial"/>
                <w:sz w:val="24"/>
                <w:szCs w:val="24"/>
              </w:rPr>
            </w:pPr>
            <w:r>
              <w:rPr>
                <w:rFonts w:ascii="Arial" w:hAnsi="Arial" w:cs="Arial"/>
                <w:sz w:val="24"/>
                <w:szCs w:val="24"/>
              </w:rPr>
              <w:t>£10,831m</w:t>
            </w:r>
          </w:p>
        </w:tc>
        <w:tc>
          <w:tcPr>
            <w:tcW w:w="1276" w:type="dxa"/>
            <w:tcBorders>
              <w:top w:val="single" w:sz="4" w:space="0" w:color="auto"/>
            </w:tcBorders>
          </w:tcPr>
          <w:p w:rsidR="00C4481A" w:rsidRPr="007D220F" w:rsidRDefault="00352BDA" w:rsidP="00C4481A">
            <w:pPr>
              <w:jc w:val="right"/>
              <w:rPr>
                <w:rFonts w:ascii="Arial" w:hAnsi="Arial" w:cs="Arial"/>
                <w:sz w:val="24"/>
                <w:szCs w:val="24"/>
                <w:highlight w:val="magenta"/>
              </w:rPr>
            </w:pPr>
            <w:r>
              <w:rPr>
                <w:rFonts w:ascii="Arial" w:hAnsi="Arial" w:cs="Arial"/>
                <w:sz w:val="24"/>
                <w:szCs w:val="24"/>
              </w:rPr>
              <w:t>(2.4)%</w:t>
            </w:r>
          </w:p>
        </w:tc>
        <w:tc>
          <w:tcPr>
            <w:tcW w:w="1276" w:type="dxa"/>
            <w:tcBorders>
              <w:top w:val="single" w:sz="4" w:space="0" w:color="auto"/>
            </w:tcBorders>
          </w:tcPr>
          <w:p w:rsidR="00C4481A" w:rsidRPr="007D220F" w:rsidRDefault="00352BDA" w:rsidP="00C4481A">
            <w:pPr>
              <w:jc w:val="right"/>
              <w:rPr>
                <w:rFonts w:ascii="Arial" w:hAnsi="Arial" w:cs="Arial"/>
                <w:sz w:val="24"/>
                <w:szCs w:val="24"/>
                <w:highlight w:val="magenta"/>
              </w:rPr>
            </w:pPr>
            <w:r>
              <w:rPr>
                <w:rFonts w:ascii="Arial" w:hAnsi="Arial" w:cs="Arial"/>
                <w:sz w:val="24"/>
                <w:szCs w:val="24"/>
              </w:rPr>
              <w:t>+0.5%</w:t>
            </w:r>
          </w:p>
        </w:tc>
        <w:tc>
          <w:tcPr>
            <w:tcW w:w="1322" w:type="dxa"/>
            <w:tcBorders>
              <w:top w:val="single" w:sz="4" w:space="0" w:color="auto"/>
            </w:tcBorders>
          </w:tcPr>
          <w:p w:rsidR="00C4481A" w:rsidRPr="007D220F" w:rsidRDefault="00352BDA" w:rsidP="00C4481A">
            <w:pPr>
              <w:jc w:val="right"/>
              <w:rPr>
                <w:rFonts w:ascii="Arial" w:hAnsi="Arial" w:cs="Arial"/>
                <w:sz w:val="24"/>
                <w:szCs w:val="24"/>
                <w:highlight w:val="yellow"/>
              </w:rPr>
            </w:pPr>
            <w:r>
              <w:rPr>
                <w:rFonts w:ascii="Arial" w:hAnsi="Arial" w:cs="Arial"/>
                <w:sz w:val="24"/>
                <w:szCs w:val="24"/>
              </w:rPr>
              <w:t>(2.9)%</w:t>
            </w:r>
          </w:p>
        </w:tc>
      </w:tr>
      <w:tr w:rsidR="00C4481A" w:rsidRPr="00C4481A" w:rsidTr="009618C2">
        <w:tc>
          <w:tcPr>
            <w:tcW w:w="3191" w:type="dxa"/>
            <w:tcBorders>
              <w:bottom w:val="single" w:sz="4" w:space="0" w:color="auto"/>
            </w:tcBorders>
          </w:tcPr>
          <w:p w:rsidR="00C4481A" w:rsidRPr="00C4481A" w:rsidRDefault="00C4481A" w:rsidP="00C4481A">
            <w:pPr>
              <w:jc w:val="left"/>
              <w:rPr>
                <w:rFonts w:ascii="Arial" w:hAnsi="Arial" w:cs="Arial"/>
                <w:sz w:val="24"/>
                <w:szCs w:val="24"/>
              </w:rPr>
            </w:pPr>
            <w:r w:rsidRPr="00C4481A">
              <w:rPr>
                <w:rFonts w:ascii="Arial" w:hAnsi="Arial" w:cs="Arial"/>
                <w:sz w:val="24"/>
                <w:szCs w:val="24"/>
              </w:rPr>
              <w:t>Retail profit</w:t>
            </w:r>
            <w:r w:rsidR="00F52E30" w:rsidRPr="00EC015F">
              <w:rPr>
                <w:rFonts w:ascii="Arial" w:hAnsi="Arial" w:cs="Arial"/>
                <w:i/>
                <w:sz w:val="24"/>
                <w:szCs w:val="24"/>
                <w:vertAlign w:val="superscript"/>
              </w:rPr>
              <w:t>(3)</w:t>
            </w:r>
          </w:p>
        </w:tc>
        <w:tc>
          <w:tcPr>
            <w:tcW w:w="1418" w:type="dxa"/>
            <w:tcBorders>
              <w:bottom w:val="single" w:sz="4" w:space="0" w:color="auto"/>
            </w:tcBorders>
          </w:tcPr>
          <w:p w:rsidR="00C4481A" w:rsidRPr="006374FD" w:rsidRDefault="00F52E30" w:rsidP="00C4481A">
            <w:pPr>
              <w:jc w:val="right"/>
              <w:rPr>
                <w:rFonts w:ascii="Arial" w:hAnsi="Arial" w:cs="Arial"/>
                <w:sz w:val="24"/>
                <w:szCs w:val="24"/>
              </w:rPr>
            </w:pPr>
            <w:r>
              <w:rPr>
                <w:rFonts w:ascii="Arial" w:hAnsi="Arial" w:cs="Arial"/>
                <w:sz w:val="24"/>
                <w:szCs w:val="24"/>
              </w:rPr>
              <w:t>£781m</w:t>
            </w:r>
          </w:p>
        </w:tc>
        <w:tc>
          <w:tcPr>
            <w:tcW w:w="1417" w:type="dxa"/>
            <w:tcBorders>
              <w:bottom w:val="single" w:sz="4" w:space="0" w:color="auto"/>
            </w:tcBorders>
          </w:tcPr>
          <w:p w:rsidR="00C4481A" w:rsidRPr="006374FD" w:rsidRDefault="006C3892" w:rsidP="00C4481A">
            <w:pPr>
              <w:jc w:val="right"/>
              <w:rPr>
                <w:rFonts w:ascii="Arial" w:hAnsi="Arial" w:cs="Arial"/>
                <w:sz w:val="24"/>
                <w:szCs w:val="24"/>
              </w:rPr>
            </w:pPr>
            <w:r>
              <w:rPr>
                <w:rFonts w:ascii="Arial" w:hAnsi="Arial" w:cs="Arial"/>
                <w:sz w:val="24"/>
                <w:szCs w:val="24"/>
              </w:rPr>
              <w:t>£882m</w:t>
            </w:r>
          </w:p>
        </w:tc>
        <w:tc>
          <w:tcPr>
            <w:tcW w:w="1276" w:type="dxa"/>
            <w:tcBorders>
              <w:bottom w:val="single" w:sz="4" w:space="0" w:color="auto"/>
            </w:tcBorders>
          </w:tcPr>
          <w:p w:rsidR="00C4481A" w:rsidRPr="006374FD" w:rsidRDefault="00F52E30" w:rsidP="00C4481A">
            <w:pPr>
              <w:jc w:val="right"/>
              <w:rPr>
                <w:rFonts w:ascii="Arial" w:hAnsi="Arial" w:cs="Arial"/>
                <w:sz w:val="24"/>
                <w:szCs w:val="24"/>
              </w:rPr>
            </w:pPr>
            <w:r>
              <w:rPr>
                <w:rFonts w:ascii="Arial" w:hAnsi="Arial" w:cs="Arial"/>
                <w:sz w:val="24"/>
                <w:szCs w:val="24"/>
              </w:rPr>
              <w:t>(11.4)%</w:t>
            </w:r>
          </w:p>
        </w:tc>
        <w:tc>
          <w:tcPr>
            <w:tcW w:w="1276" w:type="dxa"/>
            <w:tcBorders>
              <w:bottom w:val="single" w:sz="4" w:space="0" w:color="auto"/>
            </w:tcBorders>
          </w:tcPr>
          <w:p w:rsidR="00C4481A" w:rsidRPr="006374FD" w:rsidRDefault="00F52E30" w:rsidP="00C4481A">
            <w:pPr>
              <w:jc w:val="right"/>
              <w:rPr>
                <w:rFonts w:ascii="Arial" w:hAnsi="Arial" w:cs="Arial"/>
                <w:sz w:val="24"/>
                <w:szCs w:val="24"/>
              </w:rPr>
            </w:pPr>
            <w:r>
              <w:rPr>
                <w:rFonts w:ascii="Arial" w:hAnsi="Arial" w:cs="Arial"/>
                <w:sz w:val="24"/>
                <w:szCs w:val="24"/>
              </w:rPr>
              <w:t>(7.3)%</w:t>
            </w:r>
          </w:p>
        </w:tc>
        <w:tc>
          <w:tcPr>
            <w:tcW w:w="1322" w:type="dxa"/>
            <w:tcBorders>
              <w:bottom w:val="single" w:sz="4" w:space="0" w:color="auto"/>
            </w:tcBorders>
          </w:tcPr>
          <w:p w:rsidR="00C4481A" w:rsidRPr="007D220F" w:rsidRDefault="00C4481A" w:rsidP="00C4481A">
            <w:pPr>
              <w:jc w:val="right"/>
              <w:rPr>
                <w:rFonts w:ascii="Arial" w:hAnsi="Arial" w:cs="Arial"/>
                <w:sz w:val="24"/>
                <w:szCs w:val="24"/>
                <w:highlight w:val="yellow"/>
              </w:rPr>
            </w:pPr>
          </w:p>
        </w:tc>
      </w:tr>
      <w:tr w:rsidR="00C4481A" w:rsidRPr="00C4481A" w:rsidTr="009618C2">
        <w:tc>
          <w:tcPr>
            <w:tcW w:w="3191" w:type="dxa"/>
            <w:tcBorders>
              <w:top w:val="single" w:sz="4" w:space="0" w:color="auto"/>
            </w:tcBorders>
          </w:tcPr>
          <w:p w:rsidR="00C4481A" w:rsidRPr="00C4481A" w:rsidRDefault="00C4481A" w:rsidP="00C4481A">
            <w:pPr>
              <w:jc w:val="left"/>
              <w:rPr>
                <w:rFonts w:ascii="Arial" w:hAnsi="Arial" w:cs="Arial"/>
                <w:sz w:val="24"/>
                <w:szCs w:val="24"/>
              </w:rPr>
            </w:pPr>
            <w:r w:rsidRPr="00C4481A">
              <w:rPr>
                <w:rFonts w:ascii="Arial" w:hAnsi="Arial" w:cs="Arial"/>
                <w:sz w:val="24"/>
                <w:szCs w:val="24"/>
              </w:rPr>
              <w:t>Adjusted pre-tax profit</w:t>
            </w:r>
            <w:r w:rsidR="00352BDA" w:rsidRPr="00EC015F">
              <w:rPr>
                <w:rFonts w:ascii="Arial" w:hAnsi="Arial" w:cs="Arial"/>
                <w:i/>
                <w:sz w:val="24"/>
                <w:szCs w:val="24"/>
                <w:vertAlign w:val="superscript"/>
              </w:rPr>
              <w:t>(4)</w:t>
            </w:r>
            <w:r w:rsidRPr="00C4481A">
              <w:rPr>
                <w:rFonts w:ascii="Arial" w:hAnsi="Arial" w:cs="Arial"/>
                <w:sz w:val="24"/>
                <w:szCs w:val="24"/>
              </w:rPr>
              <w:t xml:space="preserve"> </w:t>
            </w:r>
          </w:p>
        </w:tc>
        <w:tc>
          <w:tcPr>
            <w:tcW w:w="1418" w:type="dxa"/>
            <w:tcBorders>
              <w:top w:val="single" w:sz="4" w:space="0" w:color="auto"/>
            </w:tcBorders>
          </w:tcPr>
          <w:p w:rsidR="00C4481A" w:rsidRPr="006374FD" w:rsidRDefault="00F52E30">
            <w:pPr>
              <w:jc w:val="right"/>
              <w:rPr>
                <w:rFonts w:ascii="Arial" w:hAnsi="Arial" w:cs="Arial"/>
                <w:sz w:val="24"/>
                <w:szCs w:val="24"/>
              </w:rPr>
            </w:pPr>
            <w:r>
              <w:rPr>
                <w:rFonts w:ascii="Arial" w:hAnsi="Arial" w:cs="Arial"/>
                <w:sz w:val="24"/>
                <w:szCs w:val="24"/>
              </w:rPr>
              <w:t>£715m</w:t>
            </w:r>
          </w:p>
        </w:tc>
        <w:tc>
          <w:tcPr>
            <w:tcW w:w="1417" w:type="dxa"/>
            <w:tcBorders>
              <w:top w:val="single" w:sz="4" w:space="0" w:color="auto"/>
            </w:tcBorders>
          </w:tcPr>
          <w:p w:rsidR="00C4481A" w:rsidRPr="006374FD" w:rsidRDefault="006C3892" w:rsidP="00C4481A">
            <w:pPr>
              <w:jc w:val="right"/>
              <w:rPr>
                <w:rFonts w:ascii="Arial" w:hAnsi="Arial" w:cs="Arial"/>
                <w:sz w:val="24"/>
                <w:szCs w:val="24"/>
              </w:rPr>
            </w:pPr>
            <w:r>
              <w:rPr>
                <w:rFonts w:ascii="Arial" w:hAnsi="Arial" w:cs="Arial"/>
                <w:sz w:val="24"/>
                <w:szCs w:val="24"/>
              </w:rPr>
              <w:t>£807m</w:t>
            </w:r>
          </w:p>
        </w:tc>
        <w:tc>
          <w:tcPr>
            <w:tcW w:w="1276" w:type="dxa"/>
            <w:tcBorders>
              <w:top w:val="single" w:sz="4" w:space="0" w:color="auto"/>
            </w:tcBorders>
          </w:tcPr>
          <w:p w:rsidR="00C4481A" w:rsidRPr="006374FD" w:rsidRDefault="00F52E30" w:rsidP="00C4481A">
            <w:pPr>
              <w:jc w:val="right"/>
              <w:rPr>
                <w:rFonts w:ascii="Arial" w:hAnsi="Arial" w:cs="Arial"/>
                <w:sz w:val="24"/>
                <w:szCs w:val="24"/>
              </w:rPr>
            </w:pPr>
            <w:r>
              <w:rPr>
                <w:rFonts w:ascii="Arial" w:hAnsi="Arial" w:cs="Arial"/>
                <w:sz w:val="24"/>
                <w:szCs w:val="24"/>
              </w:rPr>
              <w:t>(11.4)%</w:t>
            </w:r>
          </w:p>
        </w:tc>
        <w:tc>
          <w:tcPr>
            <w:tcW w:w="1276" w:type="dxa"/>
            <w:tcBorders>
              <w:top w:val="single" w:sz="4" w:space="0" w:color="auto"/>
            </w:tcBorders>
          </w:tcPr>
          <w:p w:rsidR="00C4481A" w:rsidRPr="006374FD" w:rsidRDefault="00C4481A" w:rsidP="00C4481A">
            <w:pPr>
              <w:jc w:val="right"/>
              <w:rPr>
                <w:rFonts w:ascii="Arial" w:hAnsi="Arial" w:cs="Arial"/>
                <w:sz w:val="24"/>
                <w:szCs w:val="24"/>
              </w:rPr>
            </w:pPr>
          </w:p>
        </w:tc>
        <w:tc>
          <w:tcPr>
            <w:tcW w:w="1322" w:type="dxa"/>
            <w:tcBorders>
              <w:top w:val="single" w:sz="4" w:space="0" w:color="auto"/>
            </w:tcBorders>
          </w:tcPr>
          <w:p w:rsidR="00C4481A" w:rsidRPr="007D220F" w:rsidRDefault="00C4481A" w:rsidP="00C4481A">
            <w:pPr>
              <w:jc w:val="right"/>
              <w:rPr>
                <w:rFonts w:ascii="Arial" w:hAnsi="Arial" w:cs="Arial"/>
                <w:sz w:val="24"/>
                <w:szCs w:val="24"/>
                <w:highlight w:val="yellow"/>
              </w:rPr>
            </w:pPr>
          </w:p>
        </w:tc>
      </w:tr>
      <w:tr w:rsidR="00C4481A" w:rsidRPr="00C4481A" w:rsidTr="009618C2">
        <w:tc>
          <w:tcPr>
            <w:tcW w:w="3191" w:type="dxa"/>
            <w:tcBorders>
              <w:bottom w:val="single" w:sz="4" w:space="0" w:color="auto"/>
            </w:tcBorders>
          </w:tcPr>
          <w:p w:rsidR="00C4481A" w:rsidRPr="00C4481A" w:rsidRDefault="00C4481A" w:rsidP="00C4481A">
            <w:pPr>
              <w:jc w:val="left"/>
              <w:rPr>
                <w:rFonts w:ascii="Arial" w:hAnsi="Arial" w:cs="Arial"/>
                <w:sz w:val="24"/>
                <w:szCs w:val="24"/>
              </w:rPr>
            </w:pPr>
            <w:r w:rsidRPr="00C4481A">
              <w:rPr>
                <w:rFonts w:ascii="Arial" w:hAnsi="Arial" w:cs="Arial"/>
                <w:sz w:val="24"/>
                <w:szCs w:val="24"/>
              </w:rPr>
              <w:t>Adjusted basic EPS</w:t>
            </w:r>
            <w:r w:rsidR="00352BDA" w:rsidRPr="00EC015F">
              <w:rPr>
                <w:rFonts w:ascii="Arial" w:hAnsi="Arial" w:cs="Arial"/>
                <w:i/>
                <w:sz w:val="24"/>
                <w:szCs w:val="24"/>
                <w:vertAlign w:val="superscript"/>
              </w:rPr>
              <w:t>(4)</w:t>
            </w:r>
          </w:p>
        </w:tc>
        <w:tc>
          <w:tcPr>
            <w:tcW w:w="1418" w:type="dxa"/>
            <w:tcBorders>
              <w:bottom w:val="single" w:sz="4" w:space="0" w:color="auto"/>
            </w:tcBorders>
          </w:tcPr>
          <w:p w:rsidR="00C4481A" w:rsidRPr="0006717E" w:rsidRDefault="00F52E30" w:rsidP="00C4481A">
            <w:pPr>
              <w:jc w:val="right"/>
              <w:rPr>
                <w:rFonts w:ascii="Arial" w:hAnsi="Arial" w:cs="Arial"/>
                <w:sz w:val="24"/>
                <w:szCs w:val="24"/>
              </w:rPr>
            </w:pPr>
            <w:r w:rsidRPr="0006717E">
              <w:rPr>
                <w:rFonts w:ascii="Arial" w:hAnsi="Arial" w:cs="Arial"/>
                <w:sz w:val="24"/>
                <w:szCs w:val="24"/>
              </w:rPr>
              <w:t>22.3p</w:t>
            </w:r>
          </w:p>
        </w:tc>
        <w:tc>
          <w:tcPr>
            <w:tcW w:w="1417" w:type="dxa"/>
            <w:tcBorders>
              <w:bottom w:val="single" w:sz="4" w:space="0" w:color="auto"/>
            </w:tcBorders>
          </w:tcPr>
          <w:p w:rsidR="00C4481A" w:rsidRPr="00F52E30" w:rsidRDefault="006C3892" w:rsidP="00C4481A">
            <w:pPr>
              <w:jc w:val="right"/>
              <w:rPr>
                <w:rFonts w:ascii="Arial" w:hAnsi="Arial" w:cs="Arial"/>
                <w:sz w:val="24"/>
                <w:szCs w:val="24"/>
              </w:rPr>
            </w:pPr>
            <w:r w:rsidRPr="00F52E30">
              <w:rPr>
                <w:rFonts w:ascii="Arial" w:hAnsi="Arial" w:cs="Arial"/>
                <w:sz w:val="24"/>
                <w:szCs w:val="24"/>
              </w:rPr>
              <w:t>25.1p</w:t>
            </w:r>
          </w:p>
        </w:tc>
        <w:tc>
          <w:tcPr>
            <w:tcW w:w="1276" w:type="dxa"/>
            <w:tcBorders>
              <w:bottom w:val="single" w:sz="4" w:space="0" w:color="auto"/>
            </w:tcBorders>
          </w:tcPr>
          <w:p w:rsidR="00C4481A" w:rsidRPr="007D220F" w:rsidRDefault="00F52E30" w:rsidP="00C4481A">
            <w:pPr>
              <w:jc w:val="right"/>
              <w:rPr>
                <w:rFonts w:ascii="Arial" w:hAnsi="Arial" w:cs="Arial"/>
                <w:sz w:val="24"/>
                <w:szCs w:val="24"/>
                <w:highlight w:val="magenta"/>
              </w:rPr>
            </w:pPr>
            <w:r w:rsidRPr="0006717E">
              <w:rPr>
                <w:rFonts w:ascii="Arial" w:hAnsi="Arial" w:cs="Arial"/>
                <w:sz w:val="24"/>
                <w:szCs w:val="24"/>
              </w:rPr>
              <w:t>(11.2)%</w:t>
            </w:r>
          </w:p>
        </w:tc>
        <w:tc>
          <w:tcPr>
            <w:tcW w:w="1276" w:type="dxa"/>
            <w:tcBorders>
              <w:bottom w:val="single" w:sz="4" w:space="0" w:color="auto"/>
            </w:tcBorders>
          </w:tcPr>
          <w:p w:rsidR="00C4481A" w:rsidRPr="007D220F" w:rsidRDefault="00C4481A" w:rsidP="00C4481A">
            <w:pPr>
              <w:jc w:val="right"/>
              <w:rPr>
                <w:rFonts w:ascii="Arial" w:hAnsi="Arial" w:cs="Arial"/>
                <w:sz w:val="24"/>
                <w:szCs w:val="24"/>
                <w:highlight w:val="yellow"/>
              </w:rPr>
            </w:pPr>
          </w:p>
        </w:tc>
        <w:tc>
          <w:tcPr>
            <w:tcW w:w="1322" w:type="dxa"/>
            <w:tcBorders>
              <w:bottom w:val="single" w:sz="4" w:space="0" w:color="auto"/>
            </w:tcBorders>
          </w:tcPr>
          <w:p w:rsidR="00C4481A" w:rsidRPr="007D220F" w:rsidRDefault="00C4481A" w:rsidP="00C4481A">
            <w:pPr>
              <w:jc w:val="right"/>
              <w:rPr>
                <w:rFonts w:ascii="Arial" w:hAnsi="Arial" w:cs="Arial"/>
                <w:sz w:val="24"/>
                <w:szCs w:val="24"/>
                <w:highlight w:val="yellow"/>
              </w:rPr>
            </w:pPr>
          </w:p>
        </w:tc>
      </w:tr>
      <w:tr w:rsidR="00C4481A" w:rsidRPr="00C4481A" w:rsidTr="009618C2">
        <w:tc>
          <w:tcPr>
            <w:tcW w:w="3191" w:type="dxa"/>
            <w:tcBorders>
              <w:top w:val="single" w:sz="4" w:space="0" w:color="auto"/>
            </w:tcBorders>
          </w:tcPr>
          <w:p w:rsidR="00C4481A" w:rsidRPr="00C4481A" w:rsidRDefault="00C4481A" w:rsidP="00725805">
            <w:pPr>
              <w:jc w:val="right"/>
              <w:rPr>
                <w:rFonts w:ascii="Arial" w:hAnsi="Arial" w:cs="Arial"/>
                <w:sz w:val="24"/>
                <w:szCs w:val="24"/>
              </w:rPr>
            </w:pPr>
            <w:r w:rsidRPr="00C4481A">
              <w:rPr>
                <w:rFonts w:ascii="Arial" w:hAnsi="Arial" w:cs="Arial"/>
                <w:sz w:val="24"/>
                <w:szCs w:val="24"/>
              </w:rPr>
              <w:t>Interim dividend</w:t>
            </w:r>
          </w:p>
        </w:tc>
        <w:tc>
          <w:tcPr>
            <w:tcW w:w="1418" w:type="dxa"/>
            <w:tcBorders>
              <w:top w:val="single" w:sz="4" w:space="0" w:color="auto"/>
            </w:tcBorders>
          </w:tcPr>
          <w:p w:rsidR="00C4481A" w:rsidRPr="006374FD" w:rsidDel="006212BA" w:rsidRDefault="00352BDA" w:rsidP="00C4481A">
            <w:pPr>
              <w:jc w:val="right"/>
              <w:rPr>
                <w:rFonts w:ascii="Arial" w:hAnsi="Arial" w:cs="Arial"/>
                <w:sz w:val="24"/>
                <w:szCs w:val="24"/>
              </w:rPr>
            </w:pPr>
            <w:r>
              <w:rPr>
                <w:rFonts w:ascii="Arial" w:hAnsi="Arial" w:cs="Arial"/>
                <w:sz w:val="24"/>
                <w:szCs w:val="24"/>
              </w:rPr>
              <w:t>3.09p</w:t>
            </w:r>
          </w:p>
        </w:tc>
        <w:tc>
          <w:tcPr>
            <w:tcW w:w="1417" w:type="dxa"/>
            <w:tcBorders>
              <w:top w:val="single" w:sz="4" w:space="0" w:color="auto"/>
            </w:tcBorders>
          </w:tcPr>
          <w:p w:rsidR="00C4481A" w:rsidRPr="0005796C" w:rsidDel="006212BA" w:rsidRDefault="006C3892" w:rsidP="00C4481A">
            <w:pPr>
              <w:jc w:val="right"/>
              <w:rPr>
                <w:rFonts w:ascii="Arial" w:hAnsi="Arial" w:cs="Arial"/>
                <w:sz w:val="24"/>
                <w:szCs w:val="24"/>
              </w:rPr>
            </w:pPr>
            <w:r>
              <w:rPr>
                <w:rFonts w:ascii="Arial" w:hAnsi="Arial" w:cs="Arial"/>
                <w:sz w:val="24"/>
                <w:szCs w:val="24"/>
              </w:rPr>
              <w:t>2.47p</w:t>
            </w:r>
          </w:p>
        </w:tc>
        <w:tc>
          <w:tcPr>
            <w:tcW w:w="1276" w:type="dxa"/>
            <w:tcBorders>
              <w:top w:val="single" w:sz="4" w:space="0" w:color="auto"/>
            </w:tcBorders>
          </w:tcPr>
          <w:p w:rsidR="00C4481A" w:rsidRPr="006374FD" w:rsidDel="002A482E" w:rsidRDefault="00352BDA" w:rsidP="00C4481A">
            <w:pPr>
              <w:jc w:val="right"/>
              <w:rPr>
                <w:rFonts w:ascii="Arial" w:hAnsi="Arial" w:cs="Arial"/>
                <w:sz w:val="24"/>
                <w:szCs w:val="24"/>
              </w:rPr>
            </w:pPr>
            <w:r>
              <w:rPr>
                <w:rFonts w:ascii="Arial" w:hAnsi="Arial" w:cs="Arial"/>
                <w:sz w:val="24"/>
                <w:szCs w:val="24"/>
              </w:rPr>
              <w:t>+25.1%</w:t>
            </w:r>
          </w:p>
        </w:tc>
        <w:tc>
          <w:tcPr>
            <w:tcW w:w="1276" w:type="dxa"/>
            <w:tcBorders>
              <w:top w:val="single" w:sz="4" w:space="0" w:color="auto"/>
            </w:tcBorders>
          </w:tcPr>
          <w:p w:rsidR="00C4481A" w:rsidRPr="007D220F" w:rsidRDefault="00C4481A" w:rsidP="00C4481A">
            <w:pPr>
              <w:jc w:val="right"/>
              <w:rPr>
                <w:rFonts w:ascii="Arial" w:hAnsi="Arial" w:cs="Arial"/>
                <w:sz w:val="24"/>
                <w:szCs w:val="24"/>
                <w:highlight w:val="yellow"/>
              </w:rPr>
            </w:pPr>
          </w:p>
        </w:tc>
        <w:tc>
          <w:tcPr>
            <w:tcW w:w="1322" w:type="dxa"/>
            <w:tcBorders>
              <w:top w:val="single" w:sz="4" w:space="0" w:color="auto"/>
            </w:tcBorders>
          </w:tcPr>
          <w:p w:rsidR="00C4481A" w:rsidRPr="007D220F" w:rsidRDefault="00C4481A" w:rsidP="00C4481A">
            <w:pPr>
              <w:jc w:val="right"/>
              <w:rPr>
                <w:rFonts w:ascii="Arial" w:hAnsi="Arial" w:cs="Arial"/>
                <w:sz w:val="24"/>
                <w:szCs w:val="24"/>
                <w:highlight w:val="yellow"/>
              </w:rPr>
            </w:pPr>
          </w:p>
        </w:tc>
      </w:tr>
      <w:tr w:rsidR="006C3892" w:rsidRPr="00C4481A" w:rsidTr="009618C2">
        <w:tc>
          <w:tcPr>
            <w:tcW w:w="3191" w:type="dxa"/>
          </w:tcPr>
          <w:p w:rsidR="006C3892" w:rsidRPr="00C4481A" w:rsidRDefault="006C3892" w:rsidP="00725805">
            <w:pPr>
              <w:jc w:val="right"/>
              <w:rPr>
                <w:rFonts w:ascii="Arial" w:hAnsi="Arial" w:cs="Arial"/>
                <w:sz w:val="24"/>
                <w:szCs w:val="24"/>
              </w:rPr>
            </w:pPr>
            <w:r>
              <w:rPr>
                <w:rFonts w:ascii="Arial" w:hAnsi="Arial" w:cs="Arial"/>
                <w:sz w:val="24"/>
                <w:szCs w:val="24"/>
              </w:rPr>
              <w:t>Final dividend</w:t>
            </w:r>
          </w:p>
        </w:tc>
        <w:tc>
          <w:tcPr>
            <w:tcW w:w="1418" w:type="dxa"/>
            <w:tcBorders>
              <w:bottom w:val="single" w:sz="4" w:space="0" w:color="auto"/>
            </w:tcBorders>
          </w:tcPr>
          <w:p w:rsidR="006C3892" w:rsidDel="006C3892" w:rsidRDefault="00F52E30" w:rsidP="00C4481A">
            <w:pPr>
              <w:jc w:val="right"/>
              <w:rPr>
                <w:rFonts w:ascii="Arial" w:hAnsi="Arial" w:cs="Arial"/>
                <w:sz w:val="24"/>
                <w:szCs w:val="24"/>
              </w:rPr>
            </w:pPr>
            <w:r>
              <w:rPr>
                <w:rFonts w:ascii="Arial" w:hAnsi="Arial" w:cs="Arial"/>
                <w:sz w:val="24"/>
                <w:szCs w:val="24"/>
              </w:rPr>
              <w:t>6.37p</w:t>
            </w:r>
          </w:p>
        </w:tc>
        <w:tc>
          <w:tcPr>
            <w:tcW w:w="1417" w:type="dxa"/>
            <w:tcBorders>
              <w:bottom w:val="single" w:sz="4" w:space="0" w:color="auto"/>
            </w:tcBorders>
          </w:tcPr>
          <w:p w:rsidR="006C3892" w:rsidRPr="0005796C" w:rsidDel="006C3892" w:rsidRDefault="006C3892" w:rsidP="00C4481A">
            <w:pPr>
              <w:jc w:val="right"/>
              <w:rPr>
                <w:rFonts w:ascii="Arial" w:hAnsi="Arial" w:cs="Arial"/>
                <w:sz w:val="24"/>
                <w:szCs w:val="24"/>
              </w:rPr>
            </w:pPr>
            <w:r>
              <w:rPr>
                <w:rFonts w:ascii="Arial" w:hAnsi="Arial" w:cs="Arial"/>
                <w:sz w:val="24"/>
                <w:szCs w:val="24"/>
              </w:rPr>
              <w:t>6.37p</w:t>
            </w:r>
          </w:p>
        </w:tc>
        <w:tc>
          <w:tcPr>
            <w:tcW w:w="1276" w:type="dxa"/>
            <w:tcBorders>
              <w:bottom w:val="single" w:sz="4" w:space="0" w:color="auto"/>
            </w:tcBorders>
          </w:tcPr>
          <w:p w:rsidR="006C3892" w:rsidDel="006C3892" w:rsidRDefault="00F52E30" w:rsidP="00C4481A">
            <w:pPr>
              <w:jc w:val="right"/>
              <w:rPr>
                <w:rFonts w:ascii="Arial" w:hAnsi="Arial" w:cs="Arial"/>
                <w:sz w:val="24"/>
                <w:szCs w:val="24"/>
              </w:rPr>
            </w:pPr>
            <w:r>
              <w:rPr>
                <w:rFonts w:ascii="Arial" w:hAnsi="Arial" w:cs="Arial"/>
                <w:sz w:val="24"/>
                <w:szCs w:val="24"/>
              </w:rPr>
              <w:t>Flat</w:t>
            </w:r>
          </w:p>
        </w:tc>
        <w:tc>
          <w:tcPr>
            <w:tcW w:w="1276" w:type="dxa"/>
          </w:tcPr>
          <w:p w:rsidR="006C3892" w:rsidRPr="007D220F" w:rsidRDefault="006C3892" w:rsidP="00C4481A">
            <w:pPr>
              <w:jc w:val="right"/>
              <w:rPr>
                <w:rFonts w:ascii="Arial" w:hAnsi="Arial" w:cs="Arial"/>
                <w:sz w:val="24"/>
                <w:szCs w:val="24"/>
                <w:highlight w:val="yellow"/>
              </w:rPr>
            </w:pPr>
          </w:p>
        </w:tc>
        <w:tc>
          <w:tcPr>
            <w:tcW w:w="1322" w:type="dxa"/>
          </w:tcPr>
          <w:p w:rsidR="006C3892" w:rsidRPr="007D220F" w:rsidRDefault="006C3892" w:rsidP="00C4481A">
            <w:pPr>
              <w:jc w:val="right"/>
              <w:rPr>
                <w:rFonts w:ascii="Arial" w:hAnsi="Arial" w:cs="Arial"/>
                <w:sz w:val="24"/>
                <w:szCs w:val="24"/>
                <w:highlight w:val="yellow"/>
              </w:rPr>
            </w:pPr>
          </w:p>
        </w:tc>
      </w:tr>
      <w:tr w:rsidR="006C3892" w:rsidRPr="00C4481A" w:rsidTr="009618C2">
        <w:tc>
          <w:tcPr>
            <w:tcW w:w="3191" w:type="dxa"/>
            <w:tcBorders>
              <w:bottom w:val="single" w:sz="4" w:space="0" w:color="auto"/>
            </w:tcBorders>
          </w:tcPr>
          <w:p w:rsidR="006C3892" w:rsidRDefault="006C3892" w:rsidP="00725805">
            <w:pPr>
              <w:jc w:val="left"/>
              <w:rPr>
                <w:rFonts w:ascii="Arial" w:hAnsi="Arial" w:cs="Arial"/>
                <w:sz w:val="24"/>
                <w:szCs w:val="24"/>
              </w:rPr>
            </w:pPr>
            <w:r>
              <w:rPr>
                <w:rFonts w:ascii="Arial" w:hAnsi="Arial" w:cs="Arial"/>
                <w:sz w:val="24"/>
                <w:szCs w:val="24"/>
              </w:rPr>
              <w:t>Full year dividend</w:t>
            </w:r>
          </w:p>
        </w:tc>
        <w:tc>
          <w:tcPr>
            <w:tcW w:w="1418" w:type="dxa"/>
            <w:tcBorders>
              <w:top w:val="single" w:sz="4" w:space="0" w:color="auto"/>
              <w:bottom w:val="single" w:sz="4" w:space="0" w:color="auto"/>
            </w:tcBorders>
          </w:tcPr>
          <w:p w:rsidR="006C3892" w:rsidDel="006C3892" w:rsidRDefault="00F52E30" w:rsidP="00C4481A">
            <w:pPr>
              <w:jc w:val="right"/>
              <w:rPr>
                <w:rFonts w:ascii="Arial" w:hAnsi="Arial" w:cs="Arial"/>
                <w:sz w:val="24"/>
                <w:szCs w:val="24"/>
              </w:rPr>
            </w:pPr>
            <w:r>
              <w:rPr>
                <w:rFonts w:ascii="Arial" w:hAnsi="Arial" w:cs="Arial"/>
                <w:sz w:val="24"/>
                <w:szCs w:val="24"/>
              </w:rPr>
              <w:t>9.46p</w:t>
            </w:r>
          </w:p>
        </w:tc>
        <w:tc>
          <w:tcPr>
            <w:tcW w:w="1417" w:type="dxa"/>
            <w:tcBorders>
              <w:top w:val="single" w:sz="4" w:space="0" w:color="auto"/>
              <w:bottom w:val="single" w:sz="4" w:space="0" w:color="auto"/>
            </w:tcBorders>
          </w:tcPr>
          <w:p w:rsidR="006C3892" w:rsidRPr="0005796C" w:rsidDel="006C3892" w:rsidRDefault="006C3892" w:rsidP="00C4481A">
            <w:pPr>
              <w:jc w:val="right"/>
              <w:rPr>
                <w:rFonts w:ascii="Arial" w:hAnsi="Arial" w:cs="Arial"/>
                <w:sz w:val="24"/>
                <w:szCs w:val="24"/>
              </w:rPr>
            </w:pPr>
            <w:r>
              <w:rPr>
                <w:rFonts w:ascii="Arial" w:hAnsi="Arial" w:cs="Arial"/>
                <w:sz w:val="24"/>
                <w:szCs w:val="24"/>
              </w:rPr>
              <w:t>8.84p</w:t>
            </w:r>
          </w:p>
        </w:tc>
        <w:tc>
          <w:tcPr>
            <w:tcW w:w="1276" w:type="dxa"/>
            <w:tcBorders>
              <w:top w:val="single" w:sz="4" w:space="0" w:color="auto"/>
              <w:bottom w:val="single" w:sz="4" w:space="0" w:color="auto"/>
            </w:tcBorders>
          </w:tcPr>
          <w:p w:rsidR="006C3892" w:rsidDel="006C3892" w:rsidRDefault="00F52E30" w:rsidP="00C4481A">
            <w:pPr>
              <w:jc w:val="right"/>
              <w:rPr>
                <w:rFonts w:ascii="Arial" w:hAnsi="Arial" w:cs="Arial"/>
                <w:sz w:val="24"/>
                <w:szCs w:val="24"/>
              </w:rPr>
            </w:pPr>
            <w:r>
              <w:rPr>
                <w:rFonts w:ascii="Arial" w:hAnsi="Arial" w:cs="Arial"/>
                <w:sz w:val="24"/>
                <w:szCs w:val="24"/>
              </w:rPr>
              <w:t>+7.0%</w:t>
            </w:r>
          </w:p>
        </w:tc>
        <w:tc>
          <w:tcPr>
            <w:tcW w:w="1276" w:type="dxa"/>
            <w:tcBorders>
              <w:bottom w:val="single" w:sz="4" w:space="0" w:color="auto"/>
            </w:tcBorders>
          </w:tcPr>
          <w:p w:rsidR="006C3892" w:rsidRPr="007D220F" w:rsidRDefault="006C3892" w:rsidP="00C4481A">
            <w:pPr>
              <w:jc w:val="right"/>
              <w:rPr>
                <w:rFonts w:ascii="Arial" w:hAnsi="Arial" w:cs="Arial"/>
                <w:sz w:val="24"/>
                <w:szCs w:val="24"/>
                <w:highlight w:val="yellow"/>
              </w:rPr>
            </w:pPr>
          </w:p>
        </w:tc>
        <w:tc>
          <w:tcPr>
            <w:tcW w:w="1322" w:type="dxa"/>
            <w:tcBorders>
              <w:bottom w:val="single" w:sz="4" w:space="0" w:color="auto"/>
            </w:tcBorders>
          </w:tcPr>
          <w:p w:rsidR="006C3892" w:rsidRPr="007D220F" w:rsidRDefault="006C3892" w:rsidP="00C4481A">
            <w:pPr>
              <w:jc w:val="right"/>
              <w:rPr>
                <w:rFonts w:ascii="Arial" w:hAnsi="Arial" w:cs="Arial"/>
                <w:sz w:val="24"/>
                <w:szCs w:val="24"/>
                <w:highlight w:val="yellow"/>
              </w:rPr>
            </w:pPr>
          </w:p>
        </w:tc>
      </w:tr>
      <w:tr w:rsidR="00C4481A" w:rsidRPr="00C4481A" w:rsidTr="009618C2">
        <w:tc>
          <w:tcPr>
            <w:tcW w:w="3191" w:type="dxa"/>
            <w:tcBorders>
              <w:top w:val="single" w:sz="4" w:space="0" w:color="auto"/>
              <w:bottom w:val="single" w:sz="4" w:space="0" w:color="auto"/>
            </w:tcBorders>
          </w:tcPr>
          <w:p w:rsidR="00C4481A" w:rsidRPr="00C4481A" w:rsidRDefault="00BD4182" w:rsidP="00C4481A">
            <w:pPr>
              <w:ind w:right="-352"/>
              <w:jc w:val="left"/>
              <w:rPr>
                <w:rFonts w:ascii="Arial" w:hAnsi="Arial" w:cs="Arial"/>
                <w:sz w:val="24"/>
                <w:szCs w:val="24"/>
              </w:rPr>
            </w:pPr>
            <w:r>
              <w:rPr>
                <w:rFonts w:ascii="Arial" w:hAnsi="Arial" w:cs="Arial"/>
                <w:sz w:val="24"/>
                <w:szCs w:val="24"/>
              </w:rPr>
              <w:t>N</w:t>
            </w:r>
            <w:r w:rsidR="00C4481A" w:rsidRPr="00C4481A">
              <w:rPr>
                <w:rFonts w:ascii="Arial" w:hAnsi="Arial" w:cs="Arial"/>
                <w:sz w:val="24"/>
                <w:szCs w:val="24"/>
              </w:rPr>
              <w:t>et cash</w:t>
            </w:r>
            <w:r>
              <w:rPr>
                <w:rFonts w:ascii="Arial" w:hAnsi="Arial" w:cs="Arial"/>
                <w:sz w:val="24"/>
                <w:szCs w:val="24"/>
              </w:rPr>
              <w:t>/ (financial net debt)</w:t>
            </w:r>
          </w:p>
        </w:tc>
        <w:tc>
          <w:tcPr>
            <w:tcW w:w="1418" w:type="dxa"/>
            <w:tcBorders>
              <w:top w:val="single" w:sz="4" w:space="0" w:color="auto"/>
              <w:bottom w:val="single" w:sz="4" w:space="0" w:color="auto"/>
            </w:tcBorders>
          </w:tcPr>
          <w:p w:rsidR="00C4481A" w:rsidRPr="0006717E" w:rsidRDefault="00F52E30" w:rsidP="00C4481A">
            <w:pPr>
              <w:jc w:val="right"/>
              <w:rPr>
                <w:rFonts w:ascii="Arial" w:hAnsi="Arial" w:cs="Arial"/>
                <w:sz w:val="24"/>
                <w:szCs w:val="24"/>
              </w:rPr>
            </w:pPr>
            <w:r w:rsidRPr="0006717E">
              <w:rPr>
                <w:rFonts w:ascii="Arial" w:hAnsi="Arial" w:cs="Arial"/>
                <w:sz w:val="24"/>
                <w:szCs w:val="24"/>
              </w:rPr>
              <w:t>£38m</w:t>
            </w:r>
          </w:p>
        </w:tc>
        <w:tc>
          <w:tcPr>
            <w:tcW w:w="1417" w:type="dxa"/>
            <w:tcBorders>
              <w:top w:val="single" w:sz="4" w:space="0" w:color="auto"/>
              <w:bottom w:val="single" w:sz="4" w:space="0" w:color="auto"/>
            </w:tcBorders>
          </w:tcPr>
          <w:p w:rsidR="00C4481A" w:rsidRPr="00F52E30" w:rsidRDefault="00352BDA" w:rsidP="00C4481A">
            <w:pPr>
              <w:jc w:val="right"/>
              <w:rPr>
                <w:rFonts w:ascii="Arial" w:hAnsi="Arial" w:cs="Arial"/>
                <w:sz w:val="24"/>
                <w:szCs w:val="24"/>
              </w:rPr>
            </w:pPr>
            <w:r w:rsidRPr="00F52E30">
              <w:rPr>
                <w:rFonts w:ascii="Arial" w:hAnsi="Arial" w:cs="Arial"/>
                <w:sz w:val="24"/>
                <w:szCs w:val="24"/>
              </w:rPr>
              <w:t>£(88)m</w:t>
            </w:r>
          </w:p>
        </w:tc>
        <w:tc>
          <w:tcPr>
            <w:tcW w:w="1276" w:type="dxa"/>
            <w:tcBorders>
              <w:top w:val="single" w:sz="4" w:space="0" w:color="auto"/>
              <w:bottom w:val="single" w:sz="4" w:space="0" w:color="auto"/>
            </w:tcBorders>
          </w:tcPr>
          <w:p w:rsidR="00C4481A" w:rsidRPr="0006717E" w:rsidRDefault="00F52E30" w:rsidP="00C4481A">
            <w:pPr>
              <w:jc w:val="right"/>
              <w:rPr>
                <w:rFonts w:ascii="Arial" w:hAnsi="Arial" w:cs="Arial"/>
                <w:sz w:val="24"/>
                <w:szCs w:val="24"/>
              </w:rPr>
            </w:pPr>
            <w:r w:rsidRPr="0006717E">
              <w:rPr>
                <w:rFonts w:ascii="Arial" w:hAnsi="Arial" w:cs="Arial"/>
                <w:sz w:val="24"/>
                <w:szCs w:val="24"/>
              </w:rPr>
              <w:t>n/a</w:t>
            </w:r>
          </w:p>
        </w:tc>
        <w:tc>
          <w:tcPr>
            <w:tcW w:w="1276" w:type="dxa"/>
            <w:tcBorders>
              <w:top w:val="single" w:sz="4" w:space="0" w:color="auto"/>
              <w:bottom w:val="single" w:sz="4" w:space="0" w:color="auto"/>
            </w:tcBorders>
          </w:tcPr>
          <w:p w:rsidR="00C4481A" w:rsidRPr="0006717E" w:rsidRDefault="00C4481A" w:rsidP="00C4481A">
            <w:pPr>
              <w:jc w:val="right"/>
              <w:rPr>
                <w:rFonts w:ascii="Arial" w:hAnsi="Arial" w:cs="Arial"/>
                <w:sz w:val="24"/>
                <w:szCs w:val="24"/>
              </w:rPr>
            </w:pPr>
          </w:p>
        </w:tc>
        <w:tc>
          <w:tcPr>
            <w:tcW w:w="1322" w:type="dxa"/>
            <w:tcBorders>
              <w:top w:val="single" w:sz="4" w:space="0" w:color="auto"/>
              <w:bottom w:val="single" w:sz="4" w:space="0" w:color="auto"/>
            </w:tcBorders>
          </w:tcPr>
          <w:p w:rsidR="00C4481A" w:rsidRPr="007D220F" w:rsidRDefault="00C4481A" w:rsidP="00C4481A">
            <w:pPr>
              <w:jc w:val="right"/>
              <w:rPr>
                <w:rFonts w:ascii="Arial" w:hAnsi="Arial" w:cs="Arial"/>
                <w:sz w:val="24"/>
                <w:szCs w:val="24"/>
                <w:highlight w:val="yellow"/>
              </w:rPr>
            </w:pPr>
          </w:p>
        </w:tc>
      </w:tr>
    </w:tbl>
    <w:p w:rsidR="00352BDA" w:rsidRDefault="00352BDA" w:rsidP="000F03E3">
      <w:pPr>
        <w:tabs>
          <w:tab w:val="left" w:pos="357"/>
        </w:tabs>
        <w:ind w:right="-282"/>
        <w:jc w:val="left"/>
        <w:rPr>
          <w:rFonts w:ascii="Arial" w:hAnsi="Arial" w:cs="Arial"/>
          <w:i/>
          <w:iCs/>
          <w:sz w:val="18"/>
          <w:szCs w:val="18"/>
        </w:rPr>
      </w:pPr>
    </w:p>
    <w:p w:rsidR="00352BDA" w:rsidRDefault="00352BDA" w:rsidP="000F03E3">
      <w:pPr>
        <w:tabs>
          <w:tab w:val="left" w:pos="357"/>
        </w:tabs>
        <w:ind w:right="-282"/>
        <w:jc w:val="left"/>
        <w:rPr>
          <w:rFonts w:ascii="Arial" w:hAnsi="Arial" w:cs="Arial"/>
          <w:i/>
          <w:iCs/>
          <w:sz w:val="18"/>
          <w:szCs w:val="18"/>
        </w:rPr>
      </w:pPr>
      <w:r w:rsidRPr="00725805">
        <w:rPr>
          <w:rFonts w:ascii="Arial" w:hAnsi="Arial" w:cs="Arial"/>
          <w:i/>
          <w:iCs/>
          <w:sz w:val="18"/>
          <w:szCs w:val="18"/>
          <w:vertAlign w:val="superscript"/>
        </w:rPr>
        <w:t>(1)</w:t>
      </w:r>
      <w:proofErr w:type="gramStart"/>
      <w:r>
        <w:rPr>
          <w:rFonts w:ascii="Arial" w:hAnsi="Arial" w:cs="Arial"/>
          <w:i/>
          <w:iCs/>
          <w:sz w:val="18"/>
          <w:szCs w:val="18"/>
        </w:rPr>
        <w:t>In the UK &amp; Ireland Kingfisher reports each financial year up to the nearest Saturday to 31 January.</w:t>
      </w:r>
      <w:proofErr w:type="gramEnd"/>
      <w:r>
        <w:rPr>
          <w:rFonts w:ascii="Arial" w:hAnsi="Arial" w:cs="Arial"/>
          <w:i/>
          <w:iCs/>
          <w:sz w:val="18"/>
          <w:szCs w:val="18"/>
        </w:rPr>
        <w:t xml:space="preserve"> This year this has resulted in a 53 week year. Outside the UK</w:t>
      </w:r>
      <w:r w:rsidR="00D5621B">
        <w:rPr>
          <w:rFonts w:ascii="Arial" w:hAnsi="Arial" w:cs="Arial"/>
          <w:i/>
          <w:iCs/>
          <w:sz w:val="18"/>
          <w:szCs w:val="18"/>
        </w:rPr>
        <w:t xml:space="preserve"> &amp; Ireland</w:t>
      </w:r>
      <w:r>
        <w:rPr>
          <w:rFonts w:ascii="Arial" w:hAnsi="Arial" w:cs="Arial"/>
          <w:i/>
          <w:iCs/>
          <w:sz w:val="18"/>
          <w:szCs w:val="18"/>
        </w:rPr>
        <w:t xml:space="preserve">, figures are on a calendar month basis. </w:t>
      </w:r>
    </w:p>
    <w:p w:rsidR="00352BDA" w:rsidRDefault="00352BDA" w:rsidP="000F03E3">
      <w:pPr>
        <w:tabs>
          <w:tab w:val="left" w:pos="357"/>
        </w:tabs>
        <w:ind w:right="-282"/>
        <w:jc w:val="left"/>
        <w:rPr>
          <w:rFonts w:ascii="Arial" w:hAnsi="Arial" w:cs="Arial"/>
          <w:i/>
          <w:iCs/>
          <w:sz w:val="18"/>
          <w:szCs w:val="18"/>
        </w:rPr>
      </w:pPr>
      <w:r w:rsidRPr="00725805">
        <w:rPr>
          <w:rFonts w:ascii="Arial" w:hAnsi="Arial" w:cs="Arial"/>
          <w:i/>
          <w:iCs/>
          <w:sz w:val="18"/>
          <w:szCs w:val="18"/>
          <w:vertAlign w:val="superscript"/>
        </w:rPr>
        <w:t>(2)</w:t>
      </w:r>
      <w:r>
        <w:rPr>
          <w:rFonts w:ascii="Arial" w:hAnsi="Arial" w:cs="Arial"/>
          <w:i/>
          <w:iCs/>
          <w:sz w:val="18"/>
          <w:szCs w:val="18"/>
        </w:rPr>
        <w:t>Joint Venture</w:t>
      </w:r>
      <w:r w:rsidR="000F03E3" w:rsidRPr="00C34F2D">
        <w:rPr>
          <w:rFonts w:ascii="Arial" w:hAnsi="Arial" w:cs="Arial"/>
          <w:i/>
          <w:iCs/>
          <w:sz w:val="18"/>
          <w:szCs w:val="18"/>
        </w:rPr>
        <w:t xml:space="preserve"> (</w:t>
      </w:r>
      <w:proofErr w:type="spellStart"/>
      <w:r w:rsidR="000F03E3" w:rsidRPr="00C34F2D">
        <w:rPr>
          <w:rFonts w:ascii="Arial" w:hAnsi="Arial" w:cs="Arial"/>
          <w:i/>
          <w:iCs/>
          <w:sz w:val="18"/>
          <w:szCs w:val="18"/>
        </w:rPr>
        <w:t>Koçtaş</w:t>
      </w:r>
      <w:proofErr w:type="spellEnd"/>
      <w:r w:rsidR="000F03E3" w:rsidRPr="00C34F2D">
        <w:rPr>
          <w:rFonts w:ascii="Arial" w:hAnsi="Arial" w:cs="Arial"/>
          <w:i/>
          <w:iCs/>
          <w:sz w:val="18"/>
          <w:szCs w:val="18"/>
        </w:rPr>
        <w:t xml:space="preserve"> JV) and Associate (</w:t>
      </w:r>
      <w:proofErr w:type="spellStart"/>
      <w:r w:rsidR="000F03E3" w:rsidRPr="00C34F2D">
        <w:rPr>
          <w:rFonts w:ascii="Arial" w:hAnsi="Arial" w:cs="Arial"/>
          <w:i/>
          <w:iCs/>
          <w:sz w:val="18"/>
          <w:szCs w:val="18"/>
        </w:rPr>
        <w:t>Hornbach</w:t>
      </w:r>
      <w:proofErr w:type="spellEnd"/>
      <w:r w:rsidR="000F03E3" w:rsidRPr="00C34F2D">
        <w:rPr>
          <w:rFonts w:ascii="Arial" w:hAnsi="Arial" w:cs="Arial"/>
          <w:i/>
          <w:iCs/>
          <w:sz w:val="18"/>
          <w:szCs w:val="18"/>
        </w:rPr>
        <w:t xml:space="preserve">) sales are not consolidated. </w:t>
      </w:r>
    </w:p>
    <w:p w:rsidR="00352BDA" w:rsidRDefault="00352BDA" w:rsidP="000F03E3">
      <w:pPr>
        <w:tabs>
          <w:tab w:val="left" w:pos="357"/>
        </w:tabs>
        <w:ind w:right="-282"/>
        <w:jc w:val="left"/>
        <w:rPr>
          <w:rFonts w:ascii="Arial" w:hAnsi="Arial" w:cs="Arial"/>
          <w:i/>
          <w:iCs/>
          <w:sz w:val="18"/>
          <w:szCs w:val="18"/>
        </w:rPr>
      </w:pPr>
      <w:r w:rsidRPr="00725805">
        <w:rPr>
          <w:rFonts w:ascii="Arial" w:hAnsi="Arial" w:cs="Arial"/>
          <w:i/>
          <w:iCs/>
          <w:sz w:val="18"/>
          <w:szCs w:val="18"/>
          <w:vertAlign w:val="superscript"/>
        </w:rPr>
        <w:t>(3)</w:t>
      </w:r>
      <w:r>
        <w:rPr>
          <w:rFonts w:ascii="Arial" w:hAnsi="Arial" w:cs="Arial"/>
          <w:i/>
          <w:iCs/>
          <w:sz w:val="18"/>
          <w:szCs w:val="18"/>
        </w:rPr>
        <w:t>Retail profit</w:t>
      </w:r>
      <w:r w:rsidR="000F03E3" w:rsidRPr="00C34F2D">
        <w:rPr>
          <w:rFonts w:ascii="Arial" w:hAnsi="Arial" w:cs="Arial"/>
          <w:i/>
          <w:iCs/>
          <w:sz w:val="18"/>
          <w:szCs w:val="18"/>
        </w:rPr>
        <w:t xml:space="preserve"> is operating profit stated befo</w:t>
      </w:r>
      <w:bookmarkStart w:id="0" w:name="_GoBack"/>
      <w:bookmarkEnd w:id="0"/>
      <w:r w:rsidR="000F03E3" w:rsidRPr="00C34F2D">
        <w:rPr>
          <w:rFonts w:ascii="Arial" w:hAnsi="Arial" w:cs="Arial"/>
          <w:i/>
          <w:iCs/>
          <w:sz w:val="18"/>
          <w:szCs w:val="18"/>
        </w:rPr>
        <w:t xml:space="preserve">re central costs, exceptional items, amortisation of acquisition intangibles and the Group’s share of interest and tax of JVs and associates. </w:t>
      </w:r>
    </w:p>
    <w:p w:rsidR="000F03E3" w:rsidRPr="00725805" w:rsidRDefault="00352BDA" w:rsidP="000F03E3">
      <w:pPr>
        <w:tabs>
          <w:tab w:val="left" w:pos="357"/>
        </w:tabs>
        <w:ind w:right="-282"/>
        <w:jc w:val="left"/>
        <w:rPr>
          <w:rFonts w:ascii="Arial" w:hAnsi="Arial" w:cs="Arial"/>
          <w:i/>
          <w:iCs/>
          <w:sz w:val="18"/>
          <w:szCs w:val="18"/>
        </w:rPr>
      </w:pPr>
      <w:r w:rsidRPr="00725805">
        <w:rPr>
          <w:rFonts w:ascii="Arial" w:hAnsi="Arial" w:cs="Arial"/>
          <w:i/>
          <w:iCs/>
          <w:sz w:val="18"/>
          <w:szCs w:val="18"/>
          <w:vertAlign w:val="superscript"/>
        </w:rPr>
        <w:t>(4)</w:t>
      </w:r>
      <w:r w:rsidR="000F03E3" w:rsidRPr="00C34F2D">
        <w:rPr>
          <w:rFonts w:ascii="Arial" w:hAnsi="Arial" w:cs="Arial"/>
          <w:i/>
          <w:iCs/>
          <w:sz w:val="18"/>
          <w:szCs w:val="18"/>
        </w:rPr>
        <w:t xml:space="preserve">Adjusted measures are before exceptional items, financing fair value </w:t>
      </w:r>
      <w:proofErr w:type="spellStart"/>
      <w:r w:rsidR="000F03E3" w:rsidRPr="00C34F2D">
        <w:rPr>
          <w:rFonts w:ascii="Arial" w:hAnsi="Arial" w:cs="Arial"/>
          <w:i/>
          <w:iCs/>
          <w:sz w:val="18"/>
          <w:szCs w:val="18"/>
        </w:rPr>
        <w:t>remeasurements</w:t>
      </w:r>
      <w:proofErr w:type="spellEnd"/>
      <w:r w:rsidR="000F03E3" w:rsidRPr="00C34F2D">
        <w:rPr>
          <w:rFonts w:ascii="Arial" w:hAnsi="Arial" w:cs="Arial"/>
          <w:i/>
          <w:iCs/>
          <w:sz w:val="18"/>
          <w:szCs w:val="18"/>
        </w:rPr>
        <w:t xml:space="preserve">, amortisation of acquisition intangibles, related tax items and tax on prior year items. </w:t>
      </w:r>
      <w:proofErr w:type="gramStart"/>
      <w:r w:rsidR="000F03E3" w:rsidRPr="00C34F2D">
        <w:rPr>
          <w:rFonts w:ascii="Arial" w:hAnsi="Arial" w:cs="Arial"/>
          <w:i/>
          <w:iCs/>
          <w:sz w:val="18"/>
          <w:szCs w:val="18"/>
        </w:rPr>
        <w:t>A reconciliation</w:t>
      </w:r>
      <w:proofErr w:type="gramEnd"/>
      <w:r w:rsidR="000F03E3" w:rsidRPr="00C34F2D">
        <w:rPr>
          <w:rFonts w:ascii="Arial" w:hAnsi="Arial" w:cs="Arial"/>
          <w:i/>
          <w:iCs/>
          <w:sz w:val="18"/>
          <w:szCs w:val="18"/>
        </w:rPr>
        <w:t xml:space="preserve"> to statutory amounts is set out in the Financial Review</w:t>
      </w:r>
      <w:r w:rsidR="00107924">
        <w:rPr>
          <w:rFonts w:ascii="Arial" w:hAnsi="Arial" w:cs="Arial"/>
          <w:i/>
          <w:iCs/>
          <w:sz w:val="18"/>
          <w:szCs w:val="18"/>
        </w:rPr>
        <w:t xml:space="preserve"> (Section</w:t>
      </w:r>
      <w:r w:rsidR="00B11B25">
        <w:rPr>
          <w:rFonts w:ascii="Arial" w:hAnsi="Arial" w:cs="Arial"/>
          <w:i/>
          <w:iCs/>
          <w:sz w:val="18"/>
          <w:szCs w:val="18"/>
        </w:rPr>
        <w:t xml:space="preserve"> </w:t>
      </w:r>
      <w:r w:rsidR="00616DB8">
        <w:rPr>
          <w:rFonts w:ascii="Arial" w:hAnsi="Arial" w:cs="Arial"/>
          <w:i/>
          <w:iCs/>
          <w:sz w:val="18"/>
          <w:szCs w:val="18"/>
        </w:rPr>
        <w:t>4</w:t>
      </w:r>
      <w:r w:rsidR="0005796C">
        <w:rPr>
          <w:rFonts w:ascii="Arial" w:hAnsi="Arial" w:cs="Arial"/>
          <w:i/>
          <w:iCs/>
          <w:sz w:val="18"/>
          <w:szCs w:val="18"/>
        </w:rPr>
        <w:t xml:space="preserve">). </w:t>
      </w:r>
    </w:p>
    <w:p w:rsidR="00181E03" w:rsidRPr="00791B66" w:rsidRDefault="00181E03" w:rsidP="0026633C">
      <w:pPr>
        <w:jc w:val="left"/>
        <w:rPr>
          <w:rFonts w:ascii="Arial" w:hAnsi="Arial" w:cs="Arial"/>
          <w:sz w:val="24"/>
          <w:szCs w:val="24"/>
        </w:rPr>
      </w:pPr>
    </w:p>
    <w:p w:rsidR="00181E03" w:rsidRPr="006374FD" w:rsidRDefault="00181E03" w:rsidP="000537E2">
      <w:pPr>
        <w:jc w:val="left"/>
        <w:rPr>
          <w:rFonts w:ascii="Arial" w:hAnsi="Arial" w:cs="Arial"/>
          <w:b/>
          <w:bCs/>
          <w:sz w:val="24"/>
          <w:szCs w:val="24"/>
          <w:u w:val="single"/>
        </w:rPr>
      </w:pPr>
      <w:r w:rsidRPr="006374FD">
        <w:rPr>
          <w:rFonts w:ascii="Arial" w:hAnsi="Arial" w:cs="Arial"/>
          <w:b/>
          <w:bCs/>
          <w:sz w:val="24"/>
          <w:szCs w:val="24"/>
          <w:u w:val="single"/>
        </w:rPr>
        <w:t>Highlights:</w:t>
      </w:r>
    </w:p>
    <w:p w:rsidR="00A554A5" w:rsidRDefault="00401CD8" w:rsidP="0000154D">
      <w:pPr>
        <w:numPr>
          <w:ilvl w:val="0"/>
          <w:numId w:val="1"/>
        </w:numPr>
        <w:jc w:val="left"/>
        <w:rPr>
          <w:rFonts w:ascii="Arial" w:hAnsi="Arial" w:cs="Arial"/>
          <w:sz w:val="24"/>
          <w:szCs w:val="24"/>
        </w:rPr>
      </w:pPr>
      <w:bookmarkStart w:id="1" w:name="OLE_LINK17"/>
      <w:bookmarkStart w:id="2" w:name="OLE_LINK18"/>
      <w:r>
        <w:rPr>
          <w:rFonts w:ascii="Arial" w:hAnsi="Arial" w:cs="Arial"/>
          <w:sz w:val="24"/>
          <w:szCs w:val="24"/>
        </w:rPr>
        <w:t>R</w:t>
      </w:r>
      <w:r w:rsidR="00DB462A">
        <w:rPr>
          <w:rFonts w:ascii="Arial" w:hAnsi="Arial" w:cs="Arial"/>
          <w:sz w:val="24"/>
          <w:szCs w:val="24"/>
        </w:rPr>
        <w:t xml:space="preserve">esults significantly </w:t>
      </w:r>
      <w:r w:rsidR="00BD4182" w:rsidRPr="006374FD">
        <w:rPr>
          <w:rFonts w:ascii="Arial" w:hAnsi="Arial" w:cs="Arial"/>
          <w:sz w:val="24"/>
          <w:szCs w:val="24"/>
        </w:rPr>
        <w:t>impacted by</w:t>
      </w:r>
      <w:r>
        <w:rPr>
          <w:rFonts w:ascii="Arial" w:hAnsi="Arial" w:cs="Arial"/>
          <w:sz w:val="24"/>
          <w:szCs w:val="24"/>
        </w:rPr>
        <w:t>:</w:t>
      </w:r>
      <w:r w:rsidR="00BD4182" w:rsidRPr="006374FD">
        <w:rPr>
          <w:rFonts w:ascii="Arial" w:hAnsi="Arial" w:cs="Arial"/>
          <w:sz w:val="24"/>
          <w:szCs w:val="24"/>
        </w:rPr>
        <w:t xml:space="preserve"> </w:t>
      </w:r>
    </w:p>
    <w:p w:rsidR="00D72E13" w:rsidRPr="00CA542E" w:rsidRDefault="00D72E13" w:rsidP="00D72E13">
      <w:pPr>
        <w:numPr>
          <w:ilvl w:val="1"/>
          <w:numId w:val="1"/>
        </w:numPr>
        <w:jc w:val="left"/>
        <w:rPr>
          <w:rFonts w:ascii="Arial" w:hAnsi="Arial" w:cs="Arial"/>
          <w:sz w:val="24"/>
          <w:szCs w:val="24"/>
        </w:rPr>
      </w:pPr>
      <w:r>
        <w:rPr>
          <w:rFonts w:ascii="Arial" w:hAnsi="Arial" w:cs="Arial"/>
          <w:sz w:val="24"/>
          <w:szCs w:val="24"/>
        </w:rPr>
        <w:t>Weaker consumer confidence resulting in declining LFL markets in our three key territories</w:t>
      </w:r>
    </w:p>
    <w:p w:rsidR="00A554A5" w:rsidRDefault="00A554A5" w:rsidP="00B807D7">
      <w:pPr>
        <w:numPr>
          <w:ilvl w:val="1"/>
          <w:numId w:val="1"/>
        </w:numPr>
        <w:jc w:val="left"/>
        <w:rPr>
          <w:rFonts w:ascii="Arial" w:hAnsi="Arial" w:cs="Arial"/>
          <w:sz w:val="24"/>
          <w:szCs w:val="24"/>
        </w:rPr>
      </w:pPr>
      <w:r>
        <w:rPr>
          <w:rFonts w:ascii="Arial" w:hAnsi="Arial" w:cs="Arial"/>
          <w:sz w:val="24"/>
          <w:szCs w:val="24"/>
        </w:rPr>
        <w:t>£</w:t>
      </w:r>
      <w:r w:rsidR="00AB19C4">
        <w:rPr>
          <w:rFonts w:ascii="Arial" w:hAnsi="Arial" w:cs="Arial"/>
          <w:sz w:val="24"/>
          <w:szCs w:val="24"/>
        </w:rPr>
        <w:t>39</w:t>
      </w:r>
      <w:r w:rsidR="00401CD8">
        <w:rPr>
          <w:rFonts w:ascii="Arial" w:hAnsi="Arial" w:cs="Arial"/>
          <w:sz w:val="24"/>
          <w:szCs w:val="24"/>
        </w:rPr>
        <w:t xml:space="preserve"> </w:t>
      </w:r>
      <w:r>
        <w:rPr>
          <w:rFonts w:ascii="Arial" w:hAnsi="Arial" w:cs="Arial"/>
          <w:sz w:val="24"/>
          <w:szCs w:val="24"/>
        </w:rPr>
        <w:t xml:space="preserve">million adverse </w:t>
      </w:r>
      <w:r w:rsidR="00083039">
        <w:rPr>
          <w:rFonts w:ascii="Arial" w:hAnsi="Arial" w:cs="Arial"/>
          <w:sz w:val="24"/>
          <w:szCs w:val="24"/>
        </w:rPr>
        <w:t>foreign exchange</w:t>
      </w:r>
      <w:r>
        <w:rPr>
          <w:rFonts w:ascii="Arial" w:hAnsi="Arial" w:cs="Arial"/>
          <w:sz w:val="24"/>
          <w:szCs w:val="24"/>
        </w:rPr>
        <w:t xml:space="preserve"> movements when translating euro and zloty overseas profits into sterling for reporting purposes </w:t>
      </w:r>
    </w:p>
    <w:p w:rsidR="00BD4182" w:rsidRDefault="00037997" w:rsidP="00B807D7">
      <w:pPr>
        <w:numPr>
          <w:ilvl w:val="1"/>
          <w:numId w:val="1"/>
        </w:numPr>
        <w:jc w:val="left"/>
        <w:rPr>
          <w:rFonts w:ascii="Arial" w:hAnsi="Arial" w:cs="Arial"/>
          <w:sz w:val="24"/>
          <w:szCs w:val="24"/>
        </w:rPr>
      </w:pPr>
      <w:r>
        <w:rPr>
          <w:rFonts w:ascii="Arial" w:hAnsi="Arial" w:cs="Arial"/>
          <w:sz w:val="24"/>
          <w:szCs w:val="24"/>
        </w:rPr>
        <w:t>Around</w:t>
      </w:r>
      <w:r w:rsidR="008E6BB0">
        <w:rPr>
          <w:rFonts w:ascii="Arial" w:hAnsi="Arial" w:cs="Arial"/>
          <w:sz w:val="24"/>
          <w:szCs w:val="24"/>
        </w:rPr>
        <w:t xml:space="preserve"> </w:t>
      </w:r>
      <w:r w:rsidR="00A554A5">
        <w:rPr>
          <w:rFonts w:ascii="Arial" w:hAnsi="Arial" w:cs="Arial"/>
          <w:sz w:val="24"/>
          <w:szCs w:val="24"/>
        </w:rPr>
        <w:t>£</w:t>
      </w:r>
      <w:r w:rsidR="005E732F">
        <w:rPr>
          <w:rFonts w:ascii="Arial" w:hAnsi="Arial" w:cs="Arial"/>
          <w:sz w:val="24"/>
          <w:szCs w:val="24"/>
        </w:rPr>
        <w:t>2</w:t>
      </w:r>
      <w:r w:rsidR="00F52E30">
        <w:rPr>
          <w:rFonts w:ascii="Arial" w:hAnsi="Arial" w:cs="Arial"/>
          <w:sz w:val="24"/>
          <w:szCs w:val="24"/>
        </w:rPr>
        <w:t>5</w:t>
      </w:r>
      <w:r w:rsidR="00A554A5">
        <w:rPr>
          <w:rFonts w:ascii="Arial" w:hAnsi="Arial" w:cs="Arial"/>
          <w:sz w:val="24"/>
          <w:szCs w:val="24"/>
        </w:rPr>
        <w:t xml:space="preserve"> million less profit from </w:t>
      </w:r>
      <w:r w:rsidR="00BD4182" w:rsidRPr="006374FD">
        <w:rPr>
          <w:rFonts w:ascii="Arial" w:hAnsi="Arial" w:cs="Arial"/>
          <w:sz w:val="24"/>
          <w:szCs w:val="24"/>
        </w:rPr>
        <w:t xml:space="preserve">record </w:t>
      </w:r>
      <w:r w:rsidR="002B5358">
        <w:rPr>
          <w:rFonts w:ascii="Arial" w:hAnsi="Arial" w:cs="Arial"/>
          <w:sz w:val="24"/>
          <w:szCs w:val="24"/>
        </w:rPr>
        <w:t xml:space="preserve">wet </w:t>
      </w:r>
      <w:r w:rsidR="00BD4182" w:rsidRPr="006374FD">
        <w:rPr>
          <w:rFonts w:ascii="Arial" w:hAnsi="Arial" w:cs="Arial"/>
          <w:sz w:val="24"/>
          <w:szCs w:val="24"/>
        </w:rPr>
        <w:t>wea</w:t>
      </w:r>
      <w:r w:rsidR="005E732F">
        <w:rPr>
          <w:rFonts w:ascii="Arial" w:hAnsi="Arial" w:cs="Arial"/>
          <w:sz w:val="24"/>
          <w:szCs w:val="24"/>
        </w:rPr>
        <w:t>ther</w:t>
      </w:r>
      <w:r w:rsidR="00F52E30">
        <w:rPr>
          <w:rFonts w:ascii="Arial" w:hAnsi="Arial" w:cs="Arial"/>
          <w:sz w:val="24"/>
          <w:szCs w:val="24"/>
        </w:rPr>
        <w:t xml:space="preserve"> in the UK</w:t>
      </w:r>
      <w:r w:rsidR="00FE57F9">
        <w:rPr>
          <w:rFonts w:ascii="Arial" w:hAnsi="Arial" w:cs="Arial"/>
          <w:sz w:val="24"/>
          <w:szCs w:val="24"/>
        </w:rPr>
        <w:t>, significantly impacting footfall</w:t>
      </w:r>
      <w:r w:rsidR="007C27CF">
        <w:rPr>
          <w:rFonts w:ascii="Arial" w:hAnsi="Arial" w:cs="Arial"/>
          <w:sz w:val="24"/>
          <w:szCs w:val="24"/>
        </w:rPr>
        <w:t xml:space="preserve"> and sales of s</w:t>
      </w:r>
      <w:r w:rsidR="00A554A5">
        <w:rPr>
          <w:rFonts w:ascii="Arial" w:hAnsi="Arial" w:cs="Arial"/>
          <w:sz w:val="24"/>
          <w:szCs w:val="24"/>
        </w:rPr>
        <w:t xml:space="preserve">easonal product </w:t>
      </w:r>
      <w:r w:rsidR="006F353B">
        <w:rPr>
          <w:rFonts w:ascii="Arial" w:hAnsi="Arial" w:cs="Arial"/>
          <w:sz w:val="24"/>
          <w:szCs w:val="24"/>
        </w:rPr>
        <w:t>(down 9</w:t>
      </w:r>
      <w:r w:rsidR="007C27CF">
        <w:rPr>
          <w:rFonts w:ascii="Arial" w:hAnsi="Arial" w:cs="Arial"/>
          <w:sz w:val="24"/>
          <w:szCs w:val="24"/>
        </w:rPr>
        <w:t>%)</w:t>
      </w:r>
    </w:p>
    <w:p w:rsidR="00107924" w:rsidRPr="00651705" w:rsidRDefault="00651705" w:rsidP="00BB2611">
      <w:pPr>
        <w:numPr>
          <w:ilvl w:val="0"/>
          <w:numId w:val="33"/>
        </w:numPr>
        <w:jc w:val="left"/>
        <w:rPr>
          <w:rFonts w:ascii="Arial" w:hAnsi="Arial" w:cs="Arial"/>
          <w:sz w:val="24"/>
          <w:szCs w:val="24"/>
        </w:rPr>
      </w:pPr>
      <w:bookmarkStart w:id="3" w:name="OLE_LINK5"/>
      <w:bookmarkStart w:id="4" w:name="OLE_LINK6"/>
      <w:r w:rsidRPr="00651705">
        <w:rPr>
          <w:rFonts w:ascii="Arial" w:hAnsi="Arial" w:cs="Arial"/>
          <w:sz w:val="24"/>
          <w:szCs w:val="24"/>
        </w:rPr>
        <w:t>‘Creating the Leader’ programme well underway, o</w:t>
      </w:r>
      <w:r w:rsidR="00107924" w:rsidRPr="00651705">
        <w:rPr>
          <w:rFonts w:ascii="Arial" w:hAnsi="Arial" w:cs="Arial"/>
          <w:sz w:val="24"/>
          <w:szCs w:val="24"/>
        </w:rPr>
        <w:t xml:space="preserve">n-going </w:t>
      </w:r>
      <w:r w:rsidR="00DB462A" w:rsidRPr="00651705">
        <w:rPr>
          <w:rFonts w:ascii="Arial" w:hAnsi="Arial" w:cs="Arial"/>
          <w:sz w:val="24"/>
          <w:szCs w:val="24"/>
        </w:rPr>
        <w:t xml:space="preserve">self-help </w:t>
      </w:r>
      <w:r w:rsidR="00107924" w:rsidRPr="00651705">
        <w:rPr>
          <w:rFonts w:ascii="Arial" w:hAnsi="Arial" w:cs="Arial"/>
          <w:sz w:val="24"/>
          <w:szCs w:val="24"/>
        </w:rPr>
        <w:t>initiatives</w:t>
      </w:r>
      <w:r w:rsidR="007C27CF" w:rsidRPr="00651705">
        <w:rPr>
          <w:rFonts w:ascii="Arial" w:hAnsi="Arial" w:cs="Arial"/>
          <w:sz w:val="24"/>
          <w:szCs w:val="24"/>
        </w:rPr>
        <w:t xml:space="preserve"> </w:t>
      </w:r>
      <w:r w:rsidR="00107924" w:rsidRPr="00651705">
        <w:rPr>
          <w:rFonts w:ascii="Arial" w:hAnsi="Arial" w:cs="Arial"/>
          <w:sz w:val="24"/>
          <w:szCs w:val="24"/>
        </w:rPr>
        <w:t>helped limit the overall profit decline</w:t>
      </w:r>
      <w:r w:rsidR="00DB462A" w:rsidRPr="00651705">
        <w:rPr>
          <w:rFonts w:ascii="Arial" w:hAnsi="Arial" w:cs="Arial"/>
          <w:sz w:val="24"/>
          <w:szCs w:val="24"/>
        </w:rPr>
        <w:t xml:space="preserve">  </w:t>
      </w:r>
    </w:p>
    <w:bookmarkEnd w:id="3"/>
    <w:bookmarkEnd w:id="4"/>
    <w:p w:rsidR="005F7AF1" w:rsidRPr="00651705" w:rsidRDefault="00060482" w:rsidP="003F45F2">
      <w:pPr>
        <w:pStyle w:val="ListParagraph"/>
        <w:numPr>
          <w:ilvl w:val="0"/>
          <w:numId w:val="33"/>
        </w:numPr>
        <w:jc w:val="left"/>
        <w:rPr>
          <w:rFonts w:ascii="Arial" w:hAnsi="Arial" w:cs="Arial"/>
          <w:sz w:val="24"/>
          <w:szCs w:val="24"/>
        </w:rPr>
      </w:pPr>
      <w:r w:rsidRPr="00651705">
        <w:rPr>
          <w:rFonts w:ascii="Arial" w:hAnsi="Arial" w:cs="Arial"/>
          <w:sz w:val="24"/>
          <w:szCs w:val="24"/>
        </w:rPr>
        <w:t>Strong f</w:t>
      </w:r>
      <w:r w:rsidR="005F7AF1" w:rsidRPr="00651705">
        <w:rPr>
          <w:rFonts w:ascii="Arial" w:hAnsi="Arial" w:cs="Arial"/>
          <w:sz w:val="24"/>
          <w:szCs w:val="24"/>
        </w:rPr>
        <w:t>ree cash</w:t>
      </w:r>
      <w:r w:rsidR="0007726C" w:rsidRPr="00651705">
        <w:rPr>
          <w:rFonts w:ascii="Arial" w:hAnsi="Arial" w:cs="Arial"/>
          <w:sz w:val="24"/>
          <w:szCs w:val="24"/>
        </w:rPr>
        <w:t xml:space="preserve"> </w:t>
      </w:r>
      <w:r w:rsidR="005F7AF1" w:rsidRPr="00651705">
        <w:rPr>
          <w:rFonts w:ascii="Arial" w:hAnsi="Arial" w:cs="Arial"/>
          <w:sz w:val="24"/>
          <w:szCs w:val="24"/>
        </w:rPr>
        <w:t xml:space="preserve">flow </w:t>
      </w:r>
      <w:r w:rsidR="00683AB1" w:rsidRPr="00651705">
        <w:rPr>
          <w:rFonts w:ascii="Arial" w:hAnsi="Arial" w:cs="Arial"/>
          <w:sz w:val="24"/>
          <w:szCs w:val="24"/>
        </w:rPr>
        <w:t xml:space="preserve">generation, </w:t>
      </w:r>
      <w:r w:rsidR="002B5358" w:rsidRPr="00651705">
        <w:rPr>
          <w:rFonts w:ascii="Arial" w:hAnsi="Arial" w:cs="Arial"/>
          <w:sz w:val="24"/>
          <w:szCs w:val="24"/>
        </w:rPr>
        <w:t>end</w:t>
      </w:r>
      <w:r w:rsidR="000125AC" w:rsidRPr="00651705">
        <w:rPr>
          <w:rFonts w:ascii="Arial" w:hAnsi="Arial" w:cs="Arial"/>
          <w:sz w:val="24"/>
          <w:szCs w:val="24"/>
        </w:rPr>
        <w:t>ing</w:t>
      </w:r>
      <w:r w:rsidR="005E732F" w:rsidRPr="00651705">
        <w:rPr>
          <w:rFonts w:ascii="Arial" w:hAnsi="Arial" w:cs="Arial"/>
          <w:sz w:val="24"/>
          <w:szCs w:val="24"/>
        </w:rPr>
        <w:t xml:space="preserve"> the year with</w:t>
      </w:r>
      <w:r w:rsidR="002B5358" w:rsidRPr="00651705">
        <w:rPr>
          <w:rFonts w:ascii="Arial" w:hAnsi="Arial" w:cs="Arial"/>
          <w:sz w:val="24"/>
          <w:szCs w:val="24"/>
        </w:rPr>
        <w:t xml:space="preserve"> £</w:t>
      </w:r>
      <w:r w:rsidR="007C27CF" w:rsidRPr="00651705">
        <w:rPr>
          <w:rFonts w:ascii="Arial" w:hAnsi="Arial" w:cs="Arial"/>
          <w:sz w:val="24"/>
          <w:szCs w:val="24"/>
        </w:rPr>
        <w:t>38</w:t>
      </w:r>
      <w:r w:rsidR="002B5358" w:rsidRPr="00651705">
        <w:rPr>
          <w:rFonts w:ascii="Arial" w:hAnsi="Arial" w:cs="Arial"/>
          <w:sz w:val="24"/>
          <w:szCs w:val="24"/>
        </w:rPr>
        <w:t xml:space="preserve"> million net cash</w:t>
      </w:r>
      <w:r w:rsidR="00CF470A" w:rsidRPr="00651705">
        <w:rPr>
          <w:rFonts w:ascii="Arial" w:hAnsi="Arial" w:cs="Arial"/>
          <w:sz w:val="24"/>
          <w:szCs w:val="24"/>
        </w:rPr>
        <w:t xml:space="preserve"> </w:t>
      </w:r>
    </w:p>
    <w:p w:rsidR="007C27CF" w:rsidRPr="00651705" w:rsidRDefault="007C27CF" w:rsidP="003F45F2">
      <w:pPr>
        <w:pStyle w:val="ListParagraph"/>
        <w:numPr>
          <w:ilvl w:val="0"/>
          <w:numId w:val="33"/>
        </w:numPr>
        <w:jc w:val="left"/>
        <w:rPr>
          <w:rFonts w:ascii="Arial" w:hAnsi="Arial" w:cs="Arial"/>
          <w:sz w:val="24"/>
          <w:szCs w:val="24"/>
        </w:rPr>
      </w:pPr>
      <w:r w:rsidRPr="00651705">
        <w:rPr>
          <w:rFonts w:ascii="Arial" w:hAnsi="Arial" w:cs="Arial"/>
          <w:sz w:val="24"/>
          <w:szCs w:val="24"/>
        </w:rPr>
        <w:t>Positive E</w:t>
      </w:r>
      <w:r w:rsidR="00CA542E" w:rsidRPr="00651705">
        <w:rPr>
          <w:rFonts w:ascii="Arial" w:hAnsi="Arial" w:cs="Arial"/>
          <w:sz w:val="24"/>
          <w:szCs w:val="24"/>
        </w:rPr>
        <w:t xml:space="preserve">conomic </w:t>
      </w:r>
      <w:r w:rsidRPr="00651705">
        <w:rPr>
          <w:rFonts w:ascii="Arial" w:hAnsi="Arial" w:cs="Arial"/>
          <w:sz w:val="24"/>
          <w:szCs w:val="24"/>
        </w:rPr>
        <w:t>P</w:t>
      </w:r>
      <w:r w:rsidR="00CA542E" w:rsidRPr="00651705">
        <w:rPr>
          <w:rFonts w:ascii="Arial" w:hAnsi="Arial" w:cs="Arial"/>
          <w:sz w:val="24"/>
          <w:szCs w:val="24"/>
        </w:rPr>
        <w:t xml:space="preserve">rofit (KEP) </w:t>
      </w:r>
      <w:r w:rsidRPr="00651705">
        <w:rPr>
          <w:rFonts w:ascii="Arial" w:hAnsi="Arial" w:cs="Arial"/>
          <w:sz w:val="24"/>
          <w:szCs w:val="24"/>
        </w:rPr>
        <w:t>despite the tough year</w:t>
      </w:r>
    </w:p>
    <w:p w:rsidR="00651705" w:rsidRDefault="005E732F" w:rsidP="00651705">
      <w:pPr>
        <w:numPr>
          <w:ilvl w:val="0"/>
          <w:numId w:val="1"/>
        </w:numPr>
        <w:jc w:val="left"/>
        <w:rPr>
          <w:rFonts w:ascii="Arial" w:hAnsi="Arial" w:cs="Arial"/>
          <w:sz w:val="24"/>
          <w:szCs w:val="24"/>
        </w:rPr>
      </w:pPr>
      <w:r w:rsidRPr="00651705">
        <w:rPr>
          <w:rFonts w:ascii="Arial" w:hAnsi="Arial" w:cs="Arial"/>
          <w:sz w:val="24"/>
          <w:szCs w:val="24"/>
        </w:rPr>
        <w:t>Full year d</w:t>
      </w:r>
      <w:r w:rsidR="0005796C" w:rsidRPr="00651705">
        <w:rPr>
          <w:rFonts w:ascii="Arial" w:hAnsi="Arial" w:cs="Arial"/>
          <w:sz w:val="24"/>
          <w:szCs w:val="24"/>
        </w:rPr>
        <w:t xml:space="preserve">ividend up </w:t>
      </w:r>
      <w:r w:rsidR="007C27CF" w:rsidRPr="00651705">
        <w:rPr>
          <w:rFonts w:ascii="Arial" w:hAnsi="Arial" w:cs="Arial"/>
          <w:sz w:val="24"/>
          <w:szCs w:val="24"/>
        </w:rPr>
        <w:t>7</w:t>
      </w:r>
      <w:r w:rsidR="0005796C" w:rsidRPr="00651705">
        <w:rPr>
          <w:rFonts w:ascii="Arial" w:hAnsi="Arial" w:cs="Arial"/>
          <w:sz w:val="24"/>
          <w:szCs w:val="24"/>
        </w:rPr>
        <w:t xml:space="preserve">%, </w:t>
      </w:r>
      <w:r w:rsidRPr="00651705">
        <w:rPr>
          <w:rFonts w:ascii="Arial" w:hAnsi="Arial" w:cs="Arial"/>
          <w:sz w:val="24"/>
          <w:szCs w:val="24"/>
        </w:rPr>
        <w:t>dividend cover reduced to 2.</w:t>
      </w:r>
      <w:r w:rsidR="00AB19C4" w:rsidRPr="00651705">
        <w:rPr>
          <w:rFonts w:ascii="Arial" w:hAnsi="Arial" w:cs="Arial"/>
          <w:sz w:val="24"/>
          <w:szCs w:val="24"/>
        </w:rPr>
        <w:t>4</w:t>
      </w:r>
      <w:r w:rsidRPr="00651705">
        <w:rPr>
          <w:rFonts w:ascii="Arial" w:hAnsi="Arial" w:cs="Arial"/>
          <w:sz w:val="24"/>
          <w:szCs w:val="24"/>
        </w:rPr>
        <w:t xml:space="preserve"> times</w:t>
      </w:r>
      <w:r w:rsidR="00D72E13" w:rsidRPr="00651705">
        <w:rPr>
          <w:rFonts w:ascii="Arial" w:hAnsi="Arial" w:cs="Arial"/>
          <w:sz w:val="24"/>
          <w:szCs w:val="24"/>
        </w:rPr>
        <w:t xml:space="preserve"> in line with new policy to target dividend cover of around 2.5 times</w:t>
      </w:r>
      <w:r w:rsidR="00651705" w:rsidRPr="00BB2611">
        <w:rPr>
          <w:rFonts w:ascii="Arial" w:hAnsi="Arial" w:cs="Arial"/>
          <w:sz w:val="24"/>
          <w:szCs w:val="24"/>
        </w:rPr>
        <w:t xml:space="preserve"> </w:t>
      </w:r>
    </w:p>
    <w:p w:rsidR="00CE40BE" w:rsidRDefault="00CE40BE" w:rsidP="006851BD">
      <w:pPr>
        <w:jc w:val="left"/>
        <w:rPr>
          <w:rFonts w:ascii="Arial" w:hAnsi="Arial" w:cs="Arial"/>
          <w:sz w:val="24"/>
          <w:szCs w:val="24"/>
          <w:highlight w:val="yellow"/>
        </w:rPr>
      </w:pPr>
    </w:p>
    <w:bookmarkEnd w:id="1"/>
    <w:bookmarkEnd w:id="2"/>
    <w:p w:rsidR="001A46A3" w:rsidRPr="007D220F" w:rsidRDefault="001A46A3" w:rsidP="006851BD">
      <w:pPr>
        <w:jc w:val="left"/>
        <w:rPr>
          <w:rFonts w:ascii="Arial" w:hAnsi="Arial" w:cs="Arial"/>
          <w:i/>
          <w:iCs/>
          <w:sz w:val="18"/>
          <w:szCs w:val="18"/>
          <w:highlight w:val="yellow"/>
        </w:rPr>
      </w:pPr>
    </w:p>
    <w:tbl>
      <w:tblPr>
        <w:tblW w:w="4839" w:type="pct"/>
        <w:tblInd w:w="-106" w:type="dxa"/>
        <w:tblBorders>
          <w:top w:val="single" w:sz="4" w:space="0" w:color="auto"/>
          <w:bottom w:val="single" w:sz="4" w:space="0" w:color="auto"/>
          <w:insideH w:val="single" w:sz="4" w:space="0" w:color="auto"/>
        </w:tblBorders>
        <w:tblLook w:val="01E0" w:firstRow="1" w:lastRow="1" w:firstColumn="1" w:lastColumn="1" w:noHBand="0" w:noVBand="0"/>
      </w:tblPr>
      <w:tblGrid>
        <w:gridCol w:w="4320"/>
        <w:gridCol w:w="1624"/>
        <w:gridCol w:w="1255"/>
        <w:gridCol w:w="2341"/>
      </w:tblGrid>
      <w:tr w:rsidR="00181E03" w:rsidRPr="000F03E3">
        <w:trPr>
          <w:trHeight w:val="284"/>
        </w:trPr>
        <w:tc>
          <w:tcPr>
            <w:tcW w:w="2264" w:type="pct"/>
            <w:tcBorders>
              <w:top w:val="nil"/>
            </w:tcBorders>
          </w:tcPr>
          <w:p w:rsidR="00181E03" w:rsidRPr="00C34F2D" w:rsidRDefault="00181E03" w:rsidP="00701EEA">
            <w:pPr>
              <w:jc w:val="left"/>
              <w:rPr>
                <w:rFonts w:ascii="Arial" w:hAnsi="Arial" w:cs="Arial"/>
                <w:b/>
                <w:bCs/>
                <w:sz w:val="24"/>
                <w:szCs w:val="24"/>
                <w:u w:val="single"/>
              </w:rPr>
            </w:pPr>
            <w:r w:rsidRPr="00C34F2D">
              <w:rPr>
                <w:rFonts w:ascii="Arial" w:hAnsi="Arial" w:cs="Arial"/>
                <w:b/>
                <w:bCs/>
                <w:sz w:val="24"/>
                <w:szCs w:val="24"/>
                <w:u w:val="single"/>
              </w:rPr>
              <w:t>Statutory reporting</w:t>
            </w:r>
          </w:p>
        </w:tc>
        <w:tc>
          <w:tcPr>
            <w:tcW w:w="851" w:type="pct"/>
            <w:tcBorders>
              <w:top w:val="nil"/>
            </w:tcBorders>
          </w:tcPr>
          <w:p w:rsidR="00181E03" w:rsidRPr="006374FD" w:rsidRDefault="007533F8" w:rsidP="00F979C4">
            <w:pPr>
              <w:jc w:val="right"/>
              <w:rPr>
                <w:rFonts w:ascii="Arial" w:hAnsi="Arial" w:cs="Arial"/>
                <w:sz w:val="24"/>
                <w:szCs w:val="24"/>
                <w:highlight w:val="yellow"/>
              </w:rPr>
            </w:pPr>
            <w:r w:rsidRPr="00C34F2D">
              <w:rPr>
                <w:rFonts w:ascii="Arial" w:hAnsi="Arial" w:cs="Arial"/>
                <w:b/>
                <w:bCs/>
                <w:sz w:val="24"/>
                <w:szCs w:val="24"/>
              </w:rPr>
              <w:t>201</w:t>
            </w:r>
            <w:r>
              <w:rPr>
                <w:rFonts w:ascii="Arial" w:hAnsi="Arial" w:cs="Arial"/>
                <w:b/>
                <w:bCs/>
                <w:sz w:val="24"/>
                <w:szCs w:val="24"/>
              </w:rPr>
              <w:t>2</w:t>
            </w:r>
            <w:r w:rsidRPr="00C34F2D">
              <w:rPr>
                <w:rFonts w:ascii="Arial" w:hAnsi="Arial" w:cs="Arial"/>
                <w:b/>
                <w:bCs/>
                <w:sz w:val="24"/>
                <w:szCs w:val="24"/>
              </w:rPr>
              <w:t>/1</w:t>
            </w:r>
            <w:r>
              <w:rPr>
                <w:rFonts w:ascii="Arial" w:hAnsi="Arial" w:cs="Arial"/>
                <w:b/>
                <w:bCs/>
                <w:sz w:val="24"/>
                <w:szCs w:val="24"/>
              </w:rPr>
              <w:t>3</w:t>
            </w:r>
            <w:r>
              <w:rPr>
                <w:rFonts w:ascii="Arial" w:hAnsi="Arial" w:cs="Arial"/>
                <w:i/>
                <w:iCs/>
                <w:sz w:val="18"/>
                <w:szCs w:val="18"/>
              </w:rPr>
              <w:t xml:space="preserve"> </w:t>
            </w:r>
            <w:r w:rsidR="0005796C">
              <w:rPr>
                <w:rFonts w:ascii="Arial" w:hAnsi="Arial" w:cs="Arial"/>
                <w:i/>
                <w:iCs/>
                <w:sz w:val="18"/>
                <w:szCs w:val="18"/>
              </w:rPr>
              <w:t xml:space="preserve"> </w:t>
            </w:r>
          </w:p>
        </w:tc>
        <w:tc>
          <w:tcPr>
            <w:tcW w:w="658" w:type="pct"/>
            <w:tcBorders>
              <w:top w:val="nil"/>
            </w:tcBorders>
          </w:tcPr>
          <w:p w:rsidR="00181E03" w:rsidRPr="00C34F2D" w:rsidRDefault="00181E03" w:rsidP="00F979C4">
            <w:pPr>
              <w:jc w:val="right"/>
              <w:rPr>
                <w:rFonts w:ascii="Arial" w:hAnsi="Arial" w:cs="Arial"/>
                <w:sz w:val="24"/>
                <w:szCs w:val="24"/>
              </w:rPr>
            </w:pPr>
            <w:bookmarkStart w:id="5" w:name="OLE_LINK1"/>
            <w:bookmarkStart w:id="6" w:name="OLE_LINK2"/>
            <w:r w:rsidRPr="00C34F2D">
              <w:rPr>
                <w:rFonts w:ascii="Arial" w:hAnsi="Arial" w:cs="Arial"/>
                <w:b/>
                <w:bCs/>
                <w:sz w:val="24"/>
                <w:szCs w:val="24"/>
              </w:rPr>
              <w:t>201</w:t>
            </w:r>
            <w:r w:rsidR="00C34F2D" w:rsidRPr="007D220F">
              <w:rPr>
                <w:rFonts w:ascii="Arial" w:hAnsi="Arial" w:cs="Arial"/>
                <w:b/>
                <w:bCs/>
                <w:sz w:val="24"/>
                <w:szCs w:val="24"/>
              </w:rPr>
              <w:t>1</w:t>
            </w:r>
            <w:r w:rsidRPr="00C34F2D">
              <w:rPr>
                <w:rFonts w:ascii="Arial" w:hAnsi="Arial" w:cs="Arial"/>
                <w:b/>
                <w:bCs/>
                <w:sz w:val="24"/>
                <w:szCs w:val="24"/>
              </w:rPr>
              <w:t>/1</w:t>
            </w:r>
            <w:r w:rsidR="00C34F2D" w:rsidRPr="007D220F">
              <w:rPr>
                <w:rFonts w:ascii="Arial" w:hAnsi="Arial" w:cs="Arial"/>
                <w:b/>
                <w:bCs/>
                <w:sz w:val="24"/>
                <w:szCs w:val="24"/>
              </w:rPr>
              <w:t>2</w:t>
            </w:r>
            <w:bookmarkEnd w:id="5"/>
            <w:bookmarkEnd w:id="6"/>
          </w:p>
        </w:tc>
        <w:tc>
          <w:tcPr>
            <w:tcW w:w="1227" w:type="pct"/>
            <w:tcBorders>
              <w:top w:val="nil"/>
            </w:tcBorders>
          </w:tcPr>
          <w:p w:rsidR="00181E03" w:rsidRPr="007D220F" w:rsidRDefault="00181E03" w:rsidP="00F979C4">
            <w:pPr>
              <w:jc w:val="right"/>
              <w:rPr>
                <w:rFonts w:ascii="Arial" w:hAnsi="Arial" w:cs="Arial"/>
                <w:sz w:val="24"/>
                <w:szCs w:val="24"/>
                <w:highlight w:val="magenta"/>
              </w:rPr>
            </w:pPr>
            <w:r w:rsidRPr="006374FD">
              <w:rPr>
                <w:rFonts w:ascii="Arial" w:hAnsi="Arial" w:cs="Arial"/>
                <w:b/>
                <w:bCs/>
                <w:sz w:val="24"/>
                <w:szCs w:val="24"/>
              </w:rPr>
              <w:t>Reported Change</w:t>
            </w:r>
          </w:p>
        </w:tc>
      </w:tr>
      <w:tr w:rsidR="00181E03" w:rsidRPr="000F03E3">
        <w:tc>
          <w:tcPr>
            <w:tcW w:w="2264" w:type="pct"/>
            <w:tcBorders>
              <w:top w:val="nil"/>
              <w:bottom w:val="nil"/>
            </w:tcBorders>
          </w:tcPr>
          <w:p w:rsidR="00181E03" w:rsidRPr="007D220F" w:rsidRDefault="00181E03" w:rsidP="00701EEA">
            <w:pPr>
              <w:jc w:val="left"/>
              <w:rPr>
                <w:rFonts w:ascii="Arial" w:hAnsi="Arial" w:cs="Arial"/>
                <w:sz w:val="24"/>
                <w:szCs w:val="24"/>
              </w:rPr>
            </w:pPr>
            <w:r w:rsidRPr="00C34F2D">
              <w:rPr>
                <w:rFonts w:ascii="Arial" w:hAnsi="Arial" w:cs="Arial"/>
                <w:sz w:val="24"/>
                <w:szCs w:val="24"/>
              </w:rPr>
              <w:t xml:space="preserve">Profit before taxation  </w:t>
            </w:r>
          </w:p>
        </w:tc>
        <w:tc>
          <w:tcPr>
            <w:tcW w:w="851" w:type="pct"/>
            <w:tcBorders>
              <w:top w:val="nil"/>
              <w:bottom w:val="nil"/>
            </w:tcBorders>
          </w:tcPr>
          <w:p w:rsidR="00181E03" w:rsidRPr="0006717E" w:rsidRDefault="007C27CF" w:rsidP="00F979C4">
            <w:pPr>
              <w:jc w:val="right"/>
              <w:rPr>
                <w:rFonts w:ascii="Arial" w:hAnsi="Arial" w:cs="Arial"/>
                <w:sz w:val="24"/>
                <w:szCs w:val="24"/>
              </w:rPr>
            </w:pPr>
            <w:r w:rsidRPr="0006717E">
              <w:rPr>
                <w:rFonts w:ascii="Arial" w:hAnsi="Arial" w:cs="Arial"/>
                <w:sz w:val="24"/>
                <w:szCs w:val="24"/>
              </w:rPr>
              <w:t>£691m</w:t>
            </w:r>
          </w:p>
        </w:tc>
        <w:tc>
          <w:tcPr>
            <w:tcW w:w="658" w:type="pct"/>
            <w:tcBorders>
              <w:top w:val="nil"/>
              <w:bottom w:val="nil"/>
            </w:tcBorders>
          </w:tcPr>
          <w:p w:rsidR="00181E03" w:rsidRPr="0006717E" w:rsidRDefault="00181E03" w:rsidP="00F979C4">
            <w:pPr>
              <w:jc w:val="right"/>
              <w:rPr>
                <w:rFonts w:ascii="Arial" w:hAnsi="Arial" w:cs="Arial"/>
                <w:sz w:val="24"/>
                <w:szCs w:val="24"/>
              </w:rPr>
            </w:pPr>
            <w:r w:rsidRPr="0006717E">
              <w:rPr>
                <w:rFonts w:ascii="Arial" w:hAnsi="Arial" w:cs="Arial"/>
                <w:sz w:val="24"/>
                <w:szCs w:val="24"/>
              </w:rPr>
              <w:t>£</w:t>
            </w:r>
            <w:r w:rsidR="005E732F" w:rsidRPr="0006717E">
              <w:rPr>
                <w:rFonts w:ascii="Arial" w:hAnsi="Arial" w:cs="Arial"/>
                <w:sz w:val="24"/>
                <w:szCs w:val="24"/>
              </w:rPr>
              <w:t>797</w:t>
            </w:r>
            <w:r w:rsidRPr="0006717E">
              <w:rPr>
                <w:rFonts w:ascii="Arial" w:hAnsi="Arial" w:cs="Arial"/>
                <w:sz w:val="24"/>
                <w:szCs w:val="24"/>
              </w:rPr>
              <w:t>m</w:t>
            </w:r>
          </w:p>
        </w:tc>
        <w:tc>
          <w:tcPr>
            <w:tcW w:w="1227" w:type="pct"/>
            <w:tcBorders>
              <w:top w:val="nil"/>
              <w:bottom w:val="nil"/>
            </w:tcBorders>
          </w:tcPr>
          <w:p w:rsidR="00181E03" w:rsidRPr="0006717E" w:rsidRDefault="007C27CF" w:rsidP="00F979C4">
            <w:pPr>
              <w:jc w:val="right"/>
              <w:rPr>
                <w:rFonts w:ascii="Arial" w:hAnsi="Arial" w:cs="Arial"/>
                <w:sz w:val="24"/>
                <w:szCs w:val="24"/>
              </w:rPr>
            </w:pPr>
            <w:r w:rsidRPr="0006717E">
              <w:rPr>
                <w:rFonts w:ascii="Arial" w:hAnsi="Arial" w:cs="Arial"/>
                <w:sz w:val="24"/>
                <w:szCs w:val="24"/>
              </w:rPr>
              <w:t>(13.3)%</w:t>
            </w:r>
          </w:p>
        </w:tc>
      </w:tr>
      <w:tr w:rsidR="00181E03" w:rsidRPr="000F03E3">
        <w:tc>
          <w:tcPr>
            <w:tcW w:w="2264" w:type="pct"/>
            <w:tcBorders>
              <w:top w:val="nil"/>
              <w:bottom w:val="nil"/>
            </w:tcBorders>
          </w:tcPr>
          <w:p w:rsidR="00181E03" w:rsidRPr="007D220F" w:rsidRDefault="00181E03" w:rsidP="00701EEA">
            <w:pPr>
              <w:jc w:val="left"/>
              <w:rPr>
                <w:rFonts w:ascii="Arial" w:hAnsi="Arial" w:cs="Arial"/>
                <w:sz w:val="24"/>
                <w:szCs w:val="24"/>
              </w:rPr>
            </w:pPr>
            <w:r w:rsidRPr="00C34F2D">
              <w:rPr>
                <w:rFonts w:ascii="Arial" w:hAnsi="Arial" w:cs="Arial"/>
                <w:sz w:val="24"/>
                <w:szCs w:val="24"/>
              </w:rPr>
              <w:t xml:space="preserve">Profit for the </w:t>
            </w:r>
            <w:r w:rsidR="000C3DF2">
              <w:rPr>
                <w:rFonts w:ascii="Arial" w:hAnsi="Arial" w:cs="Arial"/>
                <w:sz w:val="24"/>
                <w:szCs w:val="24"/>
              </w:rPr>
              <w:t>year</w:t>
            </w:r>
          </w:p>
        </w:tc>
        <w:tc>
          <w:tcPr>
            <w:tcW w:w="851" w:type="pct"/>
            <w:tcBorders>
              <w:top w:val="nil"/>
              <w:bottom w:val="nil"/>
            </w:tcBorders>
          </w:tcPr>
          <w:p w:rsidR="00181E03" w:rsidRPr="0006717E" w:rsidRDefault="007C27CF" w:rsidP="00F979C4">
            <w:pPr>
              <w:jc w:val="right"/>
              <w:rPr>
                <w:rFonts w:ascii="Arial" w:hAnsi="Arial" w:cs="Arial"/>
                <w:sz w:val="24"/>
                <w:szCs w:val="24"/>
              </w:rPr>
            </w:pPr>
            <w:r w:rsidRPr="0006717E">
              <w:rPr>
                <w:rFonts w:ascii="Arial" w:hAnsi="Arial" w:cs="Arial"/>
                <w:sz w:val="24"/>
                <w:szCs w:val="24"/>
              </w:rPr>
              <w:t>£564m</w:t>
            </w:r>
          </w:p>
        </w:tc>
        <w:tc>
          <w:tcPr>
            <w:tcW w:w="658" w:type="pct"/>
            <w:tcBorders>
              <w:top w:val="nil"/>
              <w:bottom w:val="nil"/>
            </w:tcBorders>
          </w:tcPr>
          <w:p w:rsidR="00181E03" w:rsidRPr="0006717E" w:rsidRDefault="00181E03" w:rsidP="00F979C4">
            <w:pPr>
              <w:jc w:val="right"/>
              <w:rPr>
                <w:rFonts w:ascii="Arial" w:hAnsi="Arial" w:cs="Arial"/>
                <w:sz w:val="24"/>
                <w:szCs w:val="24"/>
              </w:rPr>
            </w:pPr>
            <w:r w:rsidRPr="0006717E">
              <w:rPr>
                <w:rFonts w:ascii="Arial" w:hAnsi="Arial" w:cs="Arial"/>
                <w:sz w:val="24"/>
                <w:szCs w:val="24"/>
              </w:rPr>
              <w:t>£</w:t>
            </w:r>
            <w:r w:rsidR="005E732F" w:rsidRPr="0006717E">
              <w:rPr>
                <w:rFonts w:ascii="Arial" w:hAnsi="Arial" w:cs="Arial"/>
                <w:sz w:val="24"/>
                <w:szCs w:val="24"/>
              </w:rPr>
              <w:t>639</w:t>
            </w:r>
            <w:r w:rsidRPr="0006717E">
              <w:rPr>
                <w:rFonts w:ascii="Arial" w:hAnsi="Arial" w:cs="Arial"/>
                <w:sz w:val="24"/>
                <w:szCs w:val="24"/>
              </w:rPr>
              <w:t>m</w:t>
            </w:r>
          </w:p>
        </w:tc>
        <w:tc>
          <w:tcPr>
            <w:tcW w:w="1227" w:type="pct"/>
            <w:tcBorders>
              <w:top w:val="nil"/>
              <w:bottom w:val="nil"/>
            </w:tcBorders>
          </w:tcPr>
          <w:p w:rsidR="00181E03" w:rsidRPr="0006717E" w:rsidRDefault="007C27CF">
            <w:pPr>
              <w:jc w:val="right"/>
              <w:rPr>
                <w:rFonts w:ascii="Arial" w:hAnsi="Arial" w:cs="Arial"/>
                <w:sz w:val="24"/>
                <w:szCs w:val="24"/>
              </w:rPr>
            </w:pPr>
            <w:r w:rsidRPr="0006717E">
              <w:rPr>
                <w:rFonts w:ascii="Arial" w:hAnsi="Arial" w:cs="Arial"/>
                <w:sz w:val="24"/>
                <w:szCs w:val="24"/>
              </w:rPr>
              <w:t>(11.7)%</w:t>
            </w:r>
          </w:p>
        </w:tc>
      </w:tr>
      <w:tr w:rsidR="00181E03" w:rsidRPr="000F03E3">
        <w:tc>
          <w:tcPr>
            <w:tcW w:w="2264" w:type="pct"/>
            <w:tcBorders>
              <w:top w:val="nil"/>
            </w:tcBorders>
          </w:tcPr>
          <w:p w:rsidR="00181E03" w:rsidRPr="00C34F2D" w:rsidRDefault="00181E03" w:rsidP="00701EEA">
            <w:pPr>
              <w:jc w:val="left"/>
              <w:rPr>
                <w:rFonts w:ascii="Arial" w:hAnsi="Arial" w:cs="Arial"/>
                <w:sz w:val="24"/>
                <w:szCs w:val="24"/>
              </w:rPr>
            </w:pPr>
            <w:r w:rsidRPr="00C34F2D">
              <w:rPr>
                <w:rFonts w:ascii="Arial" w:hAnsi="Arial" w:cs="Arial"/>
                <w:sz w:val="24"/>
                <w:szCs w:val="24"/>
              </w:rPr>
              <w:t xml:space="preserve">Basic EPS </w:t>
            </w:r>
          </w:p>
        </w:tc>
        <w:tc>
          <w:tcPr>
            <w:tcW w:w="851" w:type="pct"/>
            <w:tcBorders>
              <w:top w:val="nil"/>
            </w:tcBorders>
          </w:tcPr>
          <w:p w:rsidR="00181E03" w:rsidRPr="0006717E" w:rsidDel="00FF703B" w:rsidRDefault="007C27CF" w:rsidP="00F979C4">
            <w:pPr>
              <w:jc w:val="right"/>
              <w:rPr>
                <w:rFonts w:ascii="Arial" w:hAnsi="Arial" w:cs="Arial"/>
                <w:sz w:val="24"/>
                <w:szCs w:val="24"/>
              </w:rPr>
            </w:pPr>
            <w:r w:rsidRPr="0006717E">
              <w:rPr>
                <w:rFonts w:ascii="Arial" w:hAnsi="Arial" w:cs="Arial"/>
                <w:sz w:val="24"/>
                <w:szCs w:val="24"/>
              </w:rPr>
              <w:t>24.1p</w:t>
            </w:r>
          </w:p>
        </w:tc>
        <w:tc>
          <w:tcPr>
            <w:tcW w:w="658" w:type="pct"/>
            <w:tcBorders>
              <w:top w:val="nil"/>
            </w:tcBorders>
          </w:tcPr>
          <w:p w:rsidR="00181E03" w:rsidRPr="0006717E" w:rsidRDefault="005E732F" w:rsidP="00F979C4">
            <w:pPr>
              <w:jc w:val="right"/>
              <w:rPr>
                <w:rFonts w:ascii="Arial" w:hAnsi="Arial" w:cs="Arial"/>
                <w:sz w:val="24"/>
                <w:szCs w:val="24"/>
              </w:rPr>
            </w:pPr>
            <w:r w:rsidRPr="0006717E">
              <w:rPr>
                <w:rFonts w:ascii="Arial" w:hAnsi="Arial" w:cs="Arial"/>
                <w:sz w:val="24"/>
                <w:szCs w:val="24"/>
              </w:rPr>
              <w:t>27.5</w:t>
            </w:r>
            <w:r w:rsidR="00181E03" w:rsidRPr="0006717E">
              <w:rPr>
                <w:rFonts w:ascii="Arial" w:hAnsi="Arial" w:cs="Arial"/>
                <w:sz w:val="24"/>
                <w:szCs w:val="24"/>
              </w:rPr>
              <w:t>p</w:t>
            </w:r>
          </w:p>
        </w:tc>
        <w:tc>
          <w:tcPr>
            <w:tcW w:w="1227" w:type="pct"/>
            <w:tcBorders>
              <w:top w:val="nil"/>
            </w:tcBorders>
          </w:tcPr>
          <w:p w:rsidR="00181E03" w:rsidRPr="0006717E" w:rsidRDefault="007C27CF" w:rsidP="00F979C4">
            <w:pPr>
              <w:jc w:val="right"/>
              <w:rPr>
                <w:rFonts w:ascii="Arial" w:hAnsi="Arial" w:cs="Arial"/>
                <w:sz w:val="24"/>
                <w:szCs w:val="24"/>
                <w:highlight w:val="yellow"/>
              </w:rPr>
            </w:pPr>
            <w:r w:rsidRPr="0006717E">
              <w:rPr>
                <w:rFonts w:ascii="Arial" w:hAnsi="Arial" w:cs="Arial"/>
                <w:sz w:val="24"/>
                <w:szCs w:val="24"/>
              </w:rPr>
              <w:t>(12.4)%</w:t>
            </w:r>
          </w:p>
        </w:tc>
      </w:tr>
    </w:tbl>
    <w:p w:rsidR="00401CD8" w:rsidRDefault="00181E03" w:rsidP="00842F7C">
      <w:pPr>
        <w:jc w:val="left"/>
        <w:rPr>
          <w:rFonts w:ascii="Arial" w:hAnsi="Arial" w:cs="Arial"/>
          <w:b/>
          <w:bCs/>
          <w:sz w:val="24"/>
          <w:szCs w:val="24"/>
        </w:rPr>
      </w:pPr>
      <w:r w:rsidRPr="00C34F2D">
        <w:rPr>
          <w:rFonts w:ascii="Arial" w:hAnsi="Arial" w:cs="Arial"/>
          <w:i/>
          <w:iCs/>
          <w:sz w:val="18"/>
          <w:szCs w:val="18"/>
        </w:rPr>
        <w:t xml:space="preserve">Note: </w:t>
      </w:r>
      <w:proofErr w:type="gramStart"/>
      <w:r w:rsidRPr="00C34F2D">
        <w:rPr>
          <w:rFonts w:ascii="Arial" w:hAnsi="Arial" w:cs="Arial"/>
          <w:i/>
          <w:iCs/>
          <w:sz w:val="18"/>
          <w:szCs w:val="18"/>
        </w:rPr>
        <w:t>A reconciliation</w:t>
      </w:r>
      <w:proofErr w:type="gramEnd"/>
      <w:r w:rsidRPr="00C34F2D">
        <w:rPr>
          <w:rFonts w:ascii="Arial" w:hAnsi="Arial" w:cs="Arial"/>
          <w:i/>
          <w:iCs/>
          <w:sz w:val="18"/>
          <w:szCs w:val="18"/>
        </w:rPr>
        <w:t xml:space="preserve"> to adjusted measures above is set out in the Financial Review</w:t>
      </w:r>
      <w:r w:rsidR="00107924">
        <w:rPr>
          <w:rFonts w:ascii="Arial" w:hAnsi="Arial" w:cs="Arial"/>
          <w:i/>
          <w:iCs/>
          <w:sz w:val="18"/>
          <w:szCs w:val="18"/>
        </w:rPr>
        <w:t xml:space="preserve"> (Section</w:t>
      </w:r>
      <w:r w:rsidR="00B11B25">
        <w:rPr>
          <w:rFonts w:ascii="Arial" w:hAnsi="Arial" w:cs="Arial"/>
          <w:i/>
          <w:iCs/>
          <w:sz w:val="18"/>
          <w:szCs w:val="18"/>
        </w:rPr>
        <w:t xml:space="preserve"> </w:t>
      </w:r>
      <w:r w:rsidR="00616DB8">
        <w:rPr>
          <w:rFonts w:ascii="Arial" w:hAnsi="Arial" w:cs="Arial"/>
          <w:i/>
          <w:iCs/>
          <w:sz w:val="18"/>
          <w:szCs w:val="18"/>
        </w:rPr>
        <w:t>4</w:t>
      </w:r>
      <w:r w:rsidR="0005796C">
        <w:rPr>
          <w:rFonts w:ascii="Arial" w:hAnsi="Arial" w:cs="Arial"/>
          <w:i/>
          <w:iCs/>
          <w:sz w:val="18"/>
          <w:szCs w:val="18"/>
        </w:rPr>
        <w:t xml:space="preserve">). </w:t>
      </w:r>
    </w:p>
    <w:p w:rsidR="00CE40BE" w:rsidRDefault="00CE40BE" w:rsidP="00B24372">
      <w:pPr>
        <w:rPr>
          <w:rFonts w:ascii="Arial" w:hAnsi="Arial" w:cs="Arial"/>
          <w:b/>
          <w:bCs/>
          <w:sz w:val="24"/>
          <w:szCs w:val="24"/>
        </w:rPr>
      </w:pPr>
    </w:p>
    <w:p w:rsidR="00181E03" w:rsidRDefault="00181E03" w:rsidP="00B24372">
      <w:pPr>
        <w:rPr>
          <w:rFonts w:ascii="Arial" w:hAnsi="Arial" w:cs="Arial"/>
          <w:b/>
          <w:bCs/>
          <w:sz w:val="24"/>
          <w:szCs w:val="24"/>
        </w:rPr>
      </w:pPr>
      <w:r w:rsidRPr="006374FD">
        <w:rPr>
          <w:rFonts w:ascii="Arial" w:hAnsi="Arial" w:cs="Arial"/>
          <w:b/>
          <w:bCs/>
          <w:sz w:val="24"/>
          <w:szCs w:val="24"/>
        </w:rPr>
        <w:lastRenderedPageBreak/>
        <w:t>Ian Cheshire, Group Chief Executive, said:</w:t>
      </w:r>
    </w:p>
    <w:p w:rsidR="00616DB8" w:rsidRPr="006374FD" w:rsidRDefault="00616DB8" w:rsidP="00B24372">
      <w:pPr>
        <w:rPr>
          <w:rFonts w:ascii="Arial" w:hAnsi="Arial" w:cs="Arial"/>
          <w:b/>
          <w:bCs/>
          <w:sz w:val="24"/>
          <w:szCs w:val="24"/>
        </w:rPr>
      </w:pPr>
    </w:p>
    <w:p w:rsidR="00CE5BFF" w:rsidRPr="00033D68" w:rsidRDefault="0075630B" w:rsidP="00033D68">
      <w:pPr>
        <w:jc w:val="left"/>
        <w:rPr>
          <w:rFonts w:ascii="Arial" w:hAnsi="Arial" w:cs="Arial"/>
          <w:sz w:val="24"/>
          <w:szCs w:val="24"/>
        </w:rPr>
      </w:pPr>
      <w:r w:rsidDel="0075630B">
        <w:rPr>
          <w:rFonts w:ascii="Arial" w:hAnsi="Arial" w:cs="Arial"/>
          <w:sz w:val="24"/>
          <w:szCs w:val="24"/>
        </w:rPr>
        <w:t xml:space="preserve"> </w:t>
      </w:r>
      <w:r w:rsidR="00CE5BFF" w:rsidRPr="00033D68">
        <w:rPr>
          <w:rFonts w:ascii="Arial" w:hAnsi="Arial" w:cs="Arial"/>
          <w:sz w:val="24"/>
          <w:szCs w:val="24"/>
        </w:rPr>
        <w:t>“We have had a tough year, impacted by unfavourable foreign exchange, record adverse weather in the UK and declining underlying markets in each of our three key territories. Whilst we have been unable to fully offset these headwinds, the hard work of our teams and our firm focus on our established programme of self-help initiatives</w:t>
      </w:r>
      <w:r w:rsidR="0070190E">
        <w:rPr>
          <w:rFonts w:ascii="Arial" w:hAnsi="Arial" w:cs="Arial"/>
          <w:sz w:val="24"/>
          <w:szCs w:val="24"/>
        </w:rPr>
        <w:t xml:space="preserve"> means</w:t>
      </w:r>
      <w:r w:rsidR="00CE5BFF" w:rsidRPr="00033D68">
        <w:rPr>
          <w:rFonts w:ascii="Arial" w:hAnsi="Arial" w:cs="Arial"/>
          <w:sz w:val="24"/>
          <w:szCs w:val="24"/>
        </w:rPr>
        <w:t xml:space="preserve"> we end</w:t>
      </w:r>
      <w:r w:rsidR="0070190E">
        <w:rPr>
          <w:rFonts w:ascii="Arial" w:hAnsi="Arial" w:cs="Arial"/>
          <w:sz w:val="24"/>
          <w:szCs w:val="24"/>
        </w:rPr>
        <w:t>ed</w:t>
      </w:r>
      <w:r w:rsidR="00CE5BFF" w:rsidRPr="00033D68">
        <w:rPr>
          <w:rFonts w:ascii="Arial" w:hAnsi="Arial" w:cs="Arial"/>
          <w:sz w:val="24"/>
          <w:szCs w:val="24"/>
        </w:rPr>
        <w:t xml:space="preserve"> the year in good shape with net cash on the balance sheet, higher market share and having generated economic return for our shareholders. </w:t>
      </w:r>
    </w:p>
    <w:p w:rsidR="00CE5BFF" w:rsidRPr="00033D68" w:rsidRDefault="00CE5BFF" w:rsidP="00033D68">
      <w:pPr>
        <w:jc w:val="left"/>
        <w:rPr>
          <w:rFonts w:ascii="Arial" w:hAnsi="Arial" w:cs="Arial"/>
          <w:sz w:val="24"/>
          <w:szCs w:val="24"/>
        </w:rPr>
      </w:pPr>
    </w:p>
    <w:p w:rsidR="00CE5BFF" w:rsidRPr="00033D68" w:rsidRDefault="00CE5BFF" w:rsidP="00033D68">
      <w:pPr>
        <w:jc w:val="left"/>
        <w:rPr>
          <w:rFonts w:ascii="Arial" w:hAnsi="Arial" w:cs="Arial"/>
          <w:sz w:val="24"/>
          <w:szCs w:val="24"/>
        </w:rPr>
      </w:pPr>
      <w:r w:rsidRPr="00033D68">
        <w:rPr>
          <w:rFonts w:ascii="Arial" w:hAnsi="Arial" w:cs="Arial"/>
          <w:sz w:val="24"/>
          <w:szCs w:val="24"/>
        </w:rPr>
        <w:t xml:space="preserve">“During the course of the year, we have </w:t>
      </w:r>
      <w:r w:rsidR="009D02AE">
        <w:rPr>
          <w:rFonts w:ascii="Arial" w:hAnsi="Arial" w:cs="Arial"/>
          <w:sz w:val="24"/>
          <w:szCs w:val="24"/>
        </w:rPr>
        <w:t>developed</w:t>
      </w:r>
      <w:r w:rsidRPr="00033D68">
        <w:rPr>
          <w:rFonts w:ascii="Arial" w:hAnsi="Arial" w:cs="Arial"/>
          <w:sz w:val="24"/>
          <w:szCs w:val="24"/>
        </w:rPr>
        <w:t xml:space="preserve"> our </w:t>
      </w:r>
      <w:r w:rsidR="004A515B">
        <w:rPr>
          <w:rFonts w:ascii="Arial" w:hAnsi="Arial" w:cs="Arial"/>
          <w:sz w:val="24"/>
          <w:szCs w:val="24"/>
        </w:rPr>
        <w:t xml:space="preserve">wider </w:t>
      </w:r>
      <w:r w:rsidRPr="00033D68">
        <w:rPr>
          <w:rFonts w:ascii="Arial" w:hAnsi="Arial" w:cs="Arial"/>
          <w:sz w:val="24"/>
          <w:szCs w:val="24"/>
        </w:rPr>
        <w:t>management team</w:t>
      </w:r>
      <w:r w:rsidR="009D02AE">
        <w:rPr>
          <w:rFonts w:ascii="Arial" w:hAnsi="Arial" w:cs="Arial"/>
          <w:sz w:val="24"/>
          <w:szCs w:val="24"/>
        </w:rPr>
        <w:t>, mostly through internal promotions,</w:t>
      </w:r>
      <w:r w:rsidRPr="00033D68">
        <w:rPr>
          <w:rFonts w:ascii="Arial" w:hAnsi="Arial" w:cs="Arial"/>
          <w:sz w:val="24"/>
          <w:szCs w:val="24"/>
        </w:rPr>
        <w:t xml:space="preserve"> and we have made excellent progress with the first year of our self-help plan, ‘Creating the Leader’, a plan supporting both the short term </w:t>
      </w:r>
      <w:r w:rsidR="002C5F40">
        <w:rPr>
          <w:rFonts w:ascii="Arial" w:hAnsi="Arial" w:cs="Arial"/>
          <w:sz w:val="24"/>
          <w:szCs w:val="24"/>
        </w:rPr>
        <w:t>whilst</w:t>
      </w:r>
      <w:r w:rsidRPr="00033D68">
        <w:rPr>
          <w:rFonts w:ascii="Arial" w:hAnsi="Arial" w:cs="Arial"/>
          <w:sz w:val="24"/>
          <w:szCs w:val="24"/>
        </w:rPr>
        <w:t xml:space="preserve"> building </w:t>
      </w:r>
      <w:r w:rsidR="002C5F40">
        <w:rPr>
          <w:rFonts w:ascii="Arial" w:hAnsi="Arial" w:cs="Arial"/>
          <w:sz w:val="24"/>
          <w:szCs w:val="24"/>
        </w:rPr>
        <w:t xml:space="preserve">the business </w:t>
      </w:r>
      <w:r w:rsidRPr="00033D68">
        <w:rPr>
          <w:rFonts w:ascii="Arial" w:hAnsi="Arial" w:cs="Arial"/>
          <w:sz w:val="24"/>
          <w:szCs w:val="24"/>
        </w:rPr>
        <w:t xml:space="preserve">for the longer term. </w:t>
      </w:r>
    </w:p>
    <w:p w:rsidR="00CE5BFF" w:rsidRPr="00033D68" w:rsidRDefault="00CE5BFF" w:rsidP="00033D68">
      <w:pPr>
        <w:jc w:val="left"/>
        <w:rPr>
          <w:rFonts w:ascii="Arial" w:hAnsi="Arial" w:cs="Arial"/>
          <w:sz w:val="24"/>
          <w:szCs w:val="24"/>
        </w:rPr>
      </w:pPr>
    </w:p>
    <w:p w:rsidR="00CE5BFF" w:rsidRPr="00033D68" w:rsidRDefault="00CE5BFF" w:rsidP="00033D68">
      <w:pPr>
        <w:jc w:val="left"/>
        <w:rPr>
          <w:rFonts w:ascii="Arial" w:hAnsi="Arial" w:cs="Arial"/>
          <w:sz w:val="24"/>
          <w:szCs w:val="24"/>
        </w:rPr>
      </w:pPr>
      <w:r w:rsidRPr="00033D68">
        <w:rPr>
          <w:rFonts w:ascii="Arial" w:hAnsi="Arial" w:cs="Arial"/>
          <w:sz w:val="24"/>
          <w:szCs w:val="24"/>
        </w:rPr>
        <w:t xml:space="preserve">“Looking ahead, although we </w:t>
      </w:r>
      <w:r w:rsidR="002C5F40">
        <w:rPr>
          <w:rFonts w:ascii="Arial" w:hAnsi="Arial" w:cs="Arial"/>
          <w:sz w:val="24"/>
          <w:szCs w:val="24"/>
        </w:rPr>
        <w:t xml:space="preserve">expect market conditions to </w:t>
      </w:r>
      <w:r w:rsidR="00401CD8">
        <w:rPr>
          <w:rFonts w:ascii="Arial" w:hAnsi="Arial" w:cs="Arial"/>
          <w:sz w:val="24"/>
          <w:szCs w:val="24"/>
        </w:rPr>
        <w:t>re</w:t>
      </w:r>
      <w:r w:rsidR="002C5F40">
        <w:rPr>
          <w:rFonts w:ascii="Arial" w:hAnsi="Arial" w:cs="Arial"/>
          <w:sz w:val="24"/>
          <w:szCs w:val="24"/>
        </w:rPr>
        <w:t xml:space="preserve">main challenging, </w:t>
      </w:r>
      <w:r w:rsidRPr="00033D68">
        <w:rPr>
          <w:rFonts w:ascii="Arial" w:hAnsi="Arial" w:cs="Arial"/>
          <w:sz w:val="24"/>
          <w:szCs w:val="24"/>
        </w:rPr>
        <w:t xml:space="preserve">we will </w:t>
      </w:r>
      <w:r w:rsidR="00401CD8">
        <w:rPr>
          <w:rFonts w:ascii="Arial" w:hAnsi="Arial" w:cs="Arial"/>
          <w:sz w:val="24"/>
          <w:szCs w:val="24"/>
        </w:rPr>
        <w:t xml:space="preserve">continue to </w:t>
      </w:r>
      <w:r w:rsidR="002C5F40">
        <w:rPr>
          <w:rFonts w:ascii="Arial" w:hAnsi="Arial" w:cs="Arial"/>
          <w:sz w:val="24"/>
          <w:szCs w:val="24"/>
        </w:rPr>
        <w:t>actively manag</w:t>
      </w:r>
      <w:r w:rsidR="00401CD8">
        <w:rPr>
          <w:rFonts w:ascii="Arial" w:hAnsi="Arial" w:cs="Arial"/>
          <w:sz w:val="24"/>
          <w:szCs w:val="24"/>
        </w:rPr>
        <w:t xml:space="preserve">e </w:t>
      </w:r>
      <w:r w:rsidR="002C5F40">
        <w:rPr>
          <w:rFonts w:ascii="Arial" w:hAnsi="Arial" w:cs="Arial"/>
          <w:sz w:val="24"/>
          <w:szCs w:val="24"/>
        </w:rPr>
        <w:t>the business</w:t>
      </w:r>
      <w:r w:rsidRPr="00033D68">
        <w:rPr>
          <w:rFonts w:ascii="Arial" w:hAnsi="Arial" w:cs="Arial"/>
          <w:sz w:val="24"/>
          <w:szCs w:val="24"/>
        </w:rPr>
        <w:t xml:space="preserve">, optimising </w:t>
      </w:r>
      <w:r w:rsidR="00401CD8">
        <w:rPr>
          <w:rFonts w:ascii="Arial" w:hAnsi="Arial" w:cs="Arial"/>
          <w:sz w:val="24"/>
          <w:szCs w:val="24"/>
        </w:rPr>
        <w:t xml:space="preserve">the </w:t>
      </w:r>
      <w:r w:rsidRPr="00033D68">
        <w:rPr>
          <w:rFonts w:ascii="Arial" w:hAnsi="Arial" w:cs="Arial"/>
          <w:sz w:val="24"/>
          <w:szCs w:val="24"/>
        </w:rPr>
        <w:t xml:space="preserve">generation </w:t>
      </w:r>
      <w:r w:rsidR="00401CD8">
        <w:rPr>
          <w:rFonts w:ascii="Arial" w:hAnsi="Arial" w:cs="Arial"/>
          <w:sz w:val="24"/>
          <w:szCs w:val="24"/>
        </w:rPr>
        <w:t xml:space="preserve">and use of cash </w:t>
      </w:r>
      <w:r w:rsidRPr="00033D68">
        <w:rPr>
          <w:rFonts w:ascii="Arial" w:hAnsi="Arial" w:cs="Arial"/>
          <w:sz w:val="24"/>
          <w:szCs w:val="24"/>
        </w:rPr>
        <w:t xml:space="preserve">and driving longer term </w:t>
      </w:r>
      <w:r w:rsidR="00401CD8">
        <w:rPr>
          <w:rFonts w:ascii="Arial" w:hAnsi="Arial" w:cs="Arial"/>
          <w:sz w:val="24"/>
          <w:szCs w:val="24"/>
        </w:rPr>
        <w:t xml:space="preserve">success </w:t>
      </w:r>
      <w:r w:rsidRPr="00033D68">
        <w:rPr>
          <w:rFonts w:ascii="Arial" w:hAnsi="Arial" w:cs="Arial"/>
          <w:sz w:val="24"/>
          <w:szCs w:val="24"/>
        </w:rPr>
        <w:t xml:space="preserve">through our own actions.  I remain very confident </w:t>
      </w:r>
      <w:r w:rsidR="00AB19C4">
        <w:rPr>
          <w:rFonts w:ascii="Arial" w:hAnsi="Arial" w:cs="Arial"/>
          <w:sz w:val="24"/>
          <w:szCs w:val="24"/>
        </w:rPr>
        <w:t xml:space="preserve">in our prospects, with clear initiatives underway to make it easier for </w:t>
      </w:r>
      <w:r w:rsidR="004A515B">
        <w:rPr>
          <w:rFonts w:ascii="Arial" w:hAnsi="Arial" w:cs="Arial"/>
          <w:sz w:val="24"/>
          <w:szCs w:val="24"/>
        </w:rPr>
        <w:t xml:space="preserve">our </w:t>
      </w:r>
      <w:r w:rsidR="00AB19C4">
        <w:rPr>
          <w:rFonts w:ascii="Arial" w:hAnsi="Arial" w:cs="Arial"/>
          <w:sz w:val="24"/>
          <w:szCs w:val="24"/>
        </w:rPr>
        <w:t>customers to have bet</w:t>
      </w:r>
      <w:r w:rsidRPr="00033D68">
        <w:rPr>
          <w:rFonts w:ascii="Arial" w:hAnsi="Arial" w:cs="Arial"/>
          <w:sz w:val="24"/>
          <w:szCs w:val="24"/>
        </w:rPr>
        <w:t>t</w:t>
      </w:r>
      <w:r w:rsidR="00AB19C4">
        <w:rPr>
          <w:rFonts w:ascii="Arial" w:hAnsi="Arial" w:cs="Arial"/>
          <w:sz w:val="24"/>
          <w:szCs w:val="24"/>
        </w:rPr>
        <w:t xml:space="preserve">er and more sustainable </w:t>
      </w:r>
      <w:r w:rsidRPr="00033D68">
        <w:rPr>
          <w:rFonts w:ascii="Arial" w:hAnsi="Arial" w:cs="Arial"/>
          <w:sz w:val="24"/>
          <w:szCs w:val="24"/>
        </w:rPr>
        <w:t>homes.”</w:t>
      </w:r>
    </w:p>
    <w:p w:rsidR="00107924" w:rsidRPr="007D220F" w:rsidRDefault="00107924" w:rsidP="00964DC6">
      <w:pPr>
        <w:jc w:val="left"/>
        <w:rPr>
          <w:rFonts w:ascii="Arial" w:hAnsi="Arial" w:cs="Arial"/>
          <w:sz w:val="24"/>
          <w:szCs w:val="24"/>
          <w:highlight w:val="yellow"/>
        </w:rPr>
      </w:pPr>
    </w:p>
    <w:p w:rsidR="00181E03" w:rsidRPr="00C34F2D" w:rsidRDefault="00181E03" w:rsidP="00AD5BF9">
      <w:pPr>
        <w:jc w:val="left"/>
        <w:rPr>
          <w:rFonts w:ascii="Arial" w:hAnsi="Arial" w:cs="Arial"/>
          <w:b/>
          <w:bCs/>
          <w:sz w:val="24"/>
          <w:szCs w:val="24"/>
          <w:lang w:val="fr-FR"/>
        </w:rPr>
      </w:pPr>
      <w:r w:rsidRPr="00C34F2D">
        <w:rPr>
          <w:rFonts w:ascii="Arial" w:hAnsi="Arial" w:cs="Arial"/>
          <w:b/>
          <w:bCs/>
          <w:sz w:val="24"/>
          <w:szCs w:val="24"/>
          <w:lang w:val="fr-FR"/>
        </w:rPr>
        <w:t>Enquiries:</w:t>
      </w:r>
    </w:p>
    <w:p w:rsidR="008E7383" w:rsidRPr="00C34F2D" w:rsidRDefault="008E7383" w:rsidP="00AD5BF9">
      <w:pPr>
        <w:jc w:val="left"/>
        <w:rPr>
          <w:rFonts w:ascii="Arial" w:hAnsi="Arial" w:cs="Arial"/>
          <w:b/>
          <w:bCs/>
          <w:sz w:val="24"/>
          <w:szCs w:val="24"/>
          <w:lang w:val="fr-FR"/>
        </w:rPr>
      </w:pPr>
    </w:p>
    <w:tbl>
      <w:tblPr>
        <w:tblW w:w="4839" w:type="pct"/>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863"/>
        <w:gridCol w:w="2677"/>
      </w:tblGrid>
      <w:tr w:rsidR="00181E03" w:rsidRPr="00C34F2D">
        <w:tc>
          <w:tcPr>
            <w:tcW w:w="3597" w:type="pct"/>
            <w:tcBorders>
              <w:top w:val="single" w:sz="4" w:space="0" w:color="auto"/>
            </w:tcBorders>
          </w:tcPr>
          <w:p w:rsidR="00181E03" w:rsidRPr="00C34F2D" w:rsidRDefault="00181E03" w:rsidP="008E3324">
            <w:pPr>
              <w:jc w:val="left"/>
              <w:rPr>
                <w:rFonts w:ascii="Arial" w:hAnsi="Arial" w:cs="Arial"/>
                <w:sz w:val="24"/>
                <w:szCs w:val="24"/>
              </w:rPr>
            </w:pPr>
            <w:r w:rsidRPr="00C34F2D">
              <w:rPr>
                <w:rFonts w:ascii="Arial" w:hAnsi="Arial" w:cs="Arial"/>
                <w:sz w:val="24"/>
                <w:szCs w:val="24"/>
              </w:rPr>
              <w:t>Ian Harding, Group Communications Director</w:t>
            </w:r>
          </w:p>
        </w:tc>
        <w:tc>
          <w:tcPr>
            <w:tcW w:w="1403" w:type="pct"/>
            <w:tcBorders>
              <w:top w:val="single" w:sz="4" w:space="0" w:color="auto"/>
            </w:tcBorders>
          </w:tcPr>
          <w:p w:rsidR="00181E03" w:rsidRPr="00C34F2D" w:rsidRDefault="00181E03" w:rsidP="00F979C4">
            <w:pPr>
              <w:jc w:val="right"/>
              <w:rPr>
                <w:rFonts w:ascii="Arial" w:hAnsi="Arial" w:cs="Arial"/>
                <w:sz w:val="24"/>
                <w:szCs w:val="24"/>
              </w:rPr>
            </w:pPr>
            <w:r w:rsidRPr="00C34F2D">
              <w:rPr>
                <w:rFonts w:ascii="Arial" w:hAnsi="Arial" w:cs="Arial"/>
                <w:sz w:val="24"/>
                <w:szCs w:val="24"/>
              </w:rPr>
              <w:t>020 7644 1029</w:t>
            </w:r>
          </w:p>
        </w:tc>
      </w:tr>
      <w:tr w:rsidR="00181E03" w:rsidRPr="00C34F2D" w:rsidTr="00033D68">
        <w:trPr>
          <w:trHeight w:val="57"/>
        </w:trPr>
        <w:tc>
          <w:tcPr>
            <w:tcW w:w="3597" w:type="pct"/>
          </w:tcPr>
          <w:p w:rsidR="00181E03" w:rsidRPr="00033D68" w:rsidRDefault="00181E03" w:rsidP="008E3324">
            <w:pPr>
              <w:jc w:val="left"/>
              <w:rPr>
                <w:rFonts w:ascii="Arial" w:hAnsi="Arial" w:cs="Arial"/>
                <w:sz w:val="16"/>
                <w:szCs w:val="16"/>
              </w:rPr>
            </w:pPr>
          </w:p>
        </w:tc>
        <w:tc>
          <w:tcPr>
            <w:tcW w:w="1403" w:type="pct"/>
          </w:tcPr>
          <w:p w:rsidR="00181E03" w:rsidRPr="00033D68" w:rsidRDefault="00181E03" w:rsidP="00F979C4">
            <w:pPr>
              <w:jc w:val="right"/>
              <w:rPr>
                <w:rFonts w:ascii="Arial" w:hAnsi="Arial" w:cs="Arial"/>
                <w:sz w:val="16"/>
                <w:szCs w:val="16"/>
              </w:rPr>
            </w:pPr>
          </w:p>
        </w:tc>
      </w:tr>
      <w:tr w:rsidR="00181E03" w:rsidRPr="00C34F2D">
        <w:tc>
          <w:tcPr>
            <w:tcW w:w="3597" w:type="pct"/>
          </w:tcPr>
          <w:p w:rsidR="00181E03" w:rsidRPr="00C34F2D" w:rsidRDefault="00181E03" w:rsidP="008E3324">
            <w:pPr>
              <w:jc w:val="left"/>
              <w:rPr>
                <w:rFonts w:ascii="Arial" w:hAnsi="Arial" w:cs="Arial"/>
                <w:sz w:val="24"/>
                <w:szCs w:val="24"/>
              </w:rPr>
            </w:pPr>
            <w:r w:rsidRPr="00C34F2D">
              <w:rPr>
                <w:rFonts w:ascii="Arial" w:hAnsi="Arial" w:cs="Arial"/>
                <w:sz w:val="24"/>
                <w:szCs w:val="24"/>
              </w:rPr>
              <w:t xml:space="preserve">Sarah </w:t>
            </w:r>
            <w:r w:rsidR="00FE57F9">
              <w:rPr>
                <w:rFonts w:ascii="Arial" w:hAnsi="Arial" w:cs="Arial"/>
                <w:sz w:val="24"/>
                <w:szCs w:val="24"/>
              </w:rPr>
              <w:t>Levy</w:t>
            </w:r>
            <w:r w:rsidRPr="00C34F2D">
              <w:rPr>
                <w:rFonts w:ascii="Arial" w:hAnsi="Arial" w:cs="Arial"/>
                <w:sz w:val="24"/>
                <w:szCs w:val="24"/>
              </w:rPr>
              <w:t>, Head of Investor Relations</w:t>
            </w:r>
          </w:p>
        </w:tc>
        <w:tc>
          <w:tcPr>
            <w:tcW w:w="1403" w:type="pct"/>
          </w:tcPr>
          <w:p w:rsidR="00181E03" w:rsidRPr="00C34F2D" w:rsidRDefault="00181E03" w:rsidP="00F979C4">
            <w:pPr>
              <w:jc w:val="right"/>
              <w:rPr>
                <w:rFonts w:ascii="Arial" w:hAnsi="Arial" w:cs="Arial"/>
                <w:sz w:val="24"/>
                <w:szCs w:val="24"/>
              </w:rPr>
            </w:pPr>
            <w:r w:rsidRPr="00C34F2D">
              <w:rPr>
                <w:rFonts w:ascii="Arial" w:hAnsi="Arial" w:cs="Arial"/>
                <w:sz w:val="24"/>
                <w:szCs w:val="24"/>
              </w:rPr>
              <w:t>020 7644 1032</w:t>
            </w:r>
          </w:p>
        </w:tc>
      </w:tr>
      <w:tr w:rsidR="00181E03" w:rsidRPr="00C34F2D">
        <w:tc>
          <w:tcPr>
            <w:tcW w:w="3597" w:type="pct"/>
          </w:tcPr>
          <w:p w:rsidR="00181E03" w:rsidRPr="00033D68" w:rsidRDefault="00181E03" w:rsidP="008E3324">
            <w:pPr>
              <w:jc w:val="left"/>
              <w:rPr>
                <w:rFonts w:ascii="Arial" w:hAnsi="Arial" w:cs="Arial"/>
                <w:sz w:val="16"/>
                <w:szCs w:val="16"/>
              </w:rPr>
            </w:pPr>
          </w:p>
        </w:tc>
        <w:tc>
          <w:tcPr>
            <w:tcW w:w="1403" w:type="pct"/>
          </w:tcPr>
          <w:p w:rsidR="00181E03" w:rsidRPr="00033D68" w:rsidRDefault="00181E03" w:rsidP="00F979C4">
            <w:pPr>
              <w:jc w:val="right"/>
              <w:rPr>
                <w:rFonts w:ascii="Arial" w:hAnsi="Arial" w:cs="Arial"/>
                <w:sz w:val="16"/>
                <w:szCs w:val="16"/>
              </w:rPr>
            </w:pPr>
          </w:p>
        </w:tc>
      </w:tr>
      <w:tr w:rsidR="00181E03" w:rsidRPr="00C34F2D">
        <w:tc>
          <w:tcPr>
            <w:tcW w:w="3597" w:type="pct"/>
          </w:tcPr>
          <w:p w:rsidR="00181E03" w:rsidRPr="00C34F2D" w:rsidRDefault="00181E03" w:rsidP="008E3324">
            <w:pPr>
              <w:jc w:val="left"/>
              <w:rPr>
                <w:rFonts w:ascii="Arial" w:hAnsi="Arial" w:cs="Arial"/>
                <w:sz w:val="24"/>
                <w:szCs w:val="24"/>
              </w:rPr>
            </w:pPr>
            <w:r w:rsidRPr="00C34F2D">
              <w:rPr>
                <w:rFonts w:ascii="Arial" w:hAnsi="Arial" w:cs="Arial"/>
                <w:sz w:val="24"/>
                <w:szCs w:val="24"/>
              </w:rPr>
              <w:t>Nigel Cope, Head of Media Relations</w:t>
            </w:r>
          </w:p>
        </w:tc>
        <w:tc>
          <w:tcPr>
            <w:tcW w:w="1403" w:type="pct"/>
          </w:tcPr>
          <w:p w:rsidR="00181E03" w:rsidRPr="00C34F2D" w:rsidRDefault="00181E03" w:rsidP="00F979C4">
            <w:pPr>
              <w:jc w:val="right"/>
              <w:rPr>
                <w:rFonts w:ascii="Arial" w:hAnsi="Arial" w:cs="Arial"/>
                <w:sz w:val="24"/>
                <w:szCs w:val="24"/>
              </w:rPr>
            </w:pPr>
            <w:r w:rsidRPr="00C34F2D">
              <w:rPr>
                <w:rFonts w:ascii="Arial" w:hAnsi="Arial" w:cs="Arial"/>
                <w:sz w:val="24"/>
                <w:szCs w:val="24"/>
              </w:rPr>
              <w:t>020 7644 1030</w:t>
            </w:r>
          </w:p>
        </w:tc>
      </w:tr>
      <w:tr w:rsidR="00C34F2D" w:rsidRPr="00C34F2D">
        <w:tc>
          <w:tcPr>
            <w:tcW w:w="3597" w:type="pct"/>
          </w:tcPr>
          <w:p w:rsidR="00C34F2D" w:rsidRPr="00033D68" w:rsidRDefault="00C34F2D" w:rsidP="008E3324">
            <w:pPr>
              <w:jc w:val="left"/>
              <w:rPr>
                <w:rFonts w:ascii="Arial" w:hAnsi="Arial" w:cs="Arial"/>
                <w:sz w:val="16"/>
                <w:szCs w:val="16"/>
              </w:rPr>
            </w:pPr>
          </w:p>
        </w:tc>
        <w:tc>
          <w:tcPr>
            <w:tcW w:w="1403" w:type="pct"/>
          </w:tcPr>
          <w:p w:rsidR="00C34F2D" w:rsidRPr="00033D68" w:rsidRDefault="00C34F2D" w:rsidP="00F979C4">
            <w:pPr>
              <w:jc w:val="right"/>
              <w:rPr>
                <w:rFonts w:ascii="Arial" w:hAnsi="Arial" w:cs="Arial"/>
                <w:sz w:val="16"/>
                <w:szCs w:val="16"/>
              </w:rPr>
            </w:pPr>
          </w:p>
        </w:tc>
      </w:tr>
      <w:tr w:rsidR="00C34F2D" w:rsidRPr="00C34F2D">
        <w:tc>
          <w:tcPr>
            <w:tcW w:w="3597" w:type="pct"/>
          </w:tcPr>
          <w:p w:rsidR="00C34F2D" w:rsidRPr="007D220F" w:rsidRDefault="00C34F2D" w:rsidP="008E3324">
            <w:pPr>
              <w:jc w:val="left"/>
              <w:rPr>
                <w:rFonts w:ascii="Arial" w:hAnsi="Arial" w:cs="Arial"/>
                <w:sz w:val="24"/>
                <w:szCs w:val="24"/>
              </w:rPr>
            </w:pPr>
            <w:r w:rsidRPr="007D220F">
              <w:rPr>
                <w:rFonts w:ascii="Arial" w:hAnsi="Arial" w:cs="Arial"/>
                <w:sz w:val="24"/>
                <w:szCs w:val="24"/>
              </w:rPr>
              <w:t>Matt Duffy, Investor Relations Manager</w:t>
            </w:r>
          </w:p>
        </w:tc>
        <w:tc>
          <w:tcPr>
            <w:tcW w:w="1403" w:type="pct"/>
          </w:tcPr>
          <w:p w:rsidR="00C34F2D" w:rsidRPr="007D220F" w:rsidRDefault="00C34F2D" w:rsidP="00F979C4">
            <w:pPr>
              <w:jc w:val="right"/>
              <w:rPr>
                <w:rFonts w:ascii="Arial" w:hAnsi="Arial" w:cs="Arial"/>
                <w:sz w:val="24"/>
                <w:szCs w:val="24"/>
              </w:rPr>
            </w:pPr>
            <w:r w:rsidRPr="007D220F">
              <w:rPr>
                <w:rFonts w:ascii="Arial" w:hAnsi="Arial" w:cs="Arial"/>
                <w:sz w:val="24"/>
                <w:szCs w:val="24"/>
              </w:rPr>
              <w:t>020 7644 1082</w:t>
            </w:r>
          </w:p>
        </w:tc>
      </w:tr>
      <w:tr w:rsidR="00181E03" w:rsidRPr="00C34F2D">
        <w:tc>
          <w:tcPr>
            <w:tcW w:w="3597" w:type="pct"/>
          </w:tcPr>
          <w:p w:rsidR="00181E03" w:rsidRPr="00033D68" w:rsidRDefault="00181E03" w:rsidP="008E3324">
            <w:pPr>
              <w:jc w:val="left"/>
              <w:rPr>
                <w:rFonts w:ascii="Arial" w:hAnsi="Arial" w:cs="Arial"/>
                <w:sz w:val="16"/>
                <w:szCs w:val="16"/>
              </w:rPr>
            </w:pPr>
          </w:p>
        </w:tc>
        <w:tc>
          <w:tcPr>
            <w:tcW w:w="1403" w:type="pct"/>
          </w:tcPr>
          <w:p w:rsidR="00181E03" w:rsidRPr="00033D68" w:rsidRDefault="00181E03" w:rsidP="00F979C4">
            <w:pPr>
              <w:jc w:val="right"/>
              <w:rPr>
                <w:rFonts w:ascii="Arial" w:hAnsi="Arial" w:cs="Arial"/>
                <w:sz w:val="16"/>
                <w:szCs w:val="16"/>
              </w:rPr>
            </w:pPr>
          </w:p>
        </w:tc>
      </w:tr>
      <w:tr w:rsidR="00181E03" w:rsidRPr="00C34F2D">
        <w:tc>
          <w:tcPr>
            <w:tcW w:w="3597" w:type="pct"/>
          </w:tcPr>
          <w:p w:rsidR="00181E03" w:rsidRPr="00C34F2D" w:rsidRDefault="00181E03">
            <w:pPr>
              <w:jc w:val="left"/>
              <w:rPr>
                <w:rFonts w:ascii="Arial" w:hAnsi="Arial" w:cs="Arial"/>
                <w:sz w:val="24"/>
                <w:szCs w:val="24"/>
              </w:rPr>
            </w:pPr>
            <w:r w:rsidRPr="00C34F2D">
              <w:rPr>
                <w:rFonts w:ascii="Arial" w:hAnsi="Arial" w:cs="Arial"/>
                <w:sz w:val="24"/>
                <w:szCs w:val="24"/>
              </w:rPr>
              <w:t xml:space="preserve">Clare Haines, Media Relations </w:t>
            </w:r>
            <w:r w:rsidR="00060680">
              <w:rPr>
                <w:rFonts w:ascii="Arial" w:hAnsi="Arial" w:cs="Arial"/>
                <w:sz w:val="24"/>
                <w:szCs w:val="24"/>
              </w:rPr>
              <w:t>Manager</w:t>
            </w:r>
          </w:p>
        </w:tc>
        <w:tc>
          <w:tcPr>
            <w:tcW w:w="1403" w:type="pct"/>
          </w:tcPr>
          <w:p w:rsidR="00181E03" w:rsidRPr="00C34F2D" w:rsidRDefault="00181E03" w:rsidP="00F979C4">
            <w:pPr>
              <w:jc w:val="right"/>
              <w:rPr>
                <w:rFonts w:ascii="Arial" w:hAnsi="Arial" w:cs="Arial"/>
                <w:sz w:val="24"/>
                <w:szCs w:val="24"/>
              </w:rPr>
            </w:pPr>
            <w:r w:rsidRPr="00C34F2D">
              <w:rPr>
                <w:rFonts w:ascii="Arial" w:hAnsi="Arial" w:cs="Arial"/>
                <w:sz w:val="24"/>
                <w:szCs w:val="24"/>
              </w:rPr>
              <w:t>020 7644 1286</w:t>
            </w:r>
          </w:p>
        </w:tc>
      </w:tr>
      <w:tr w:rsidR="00181E03" w:rsidRPr="00C34F2D">
        <w:tc>
          <w:tcPr>
            <w:tcW w:w="3597" w:type="pct"/>
          </w:tcPr>
          <w:p w:rsidR="00181E03" w:rsidRPr="00033D68" w:rsidRDefault="00181E03" w:rsidP="008E3324">
            <w:pPr>
              <w:jc w:val="left"/>
              <w:rPr>
                <w:rFonts w:ascii="Arial" w:hAnsi="Arial" w:cs="Arial"/>
                <w:sz w:val="16"/>
                <w:szCs w:val="16"/>
              </w:rPr>
            </w:pPr>
          </w:p>
        </w:tc>
        <w:tc>
          <w:tcPr>
            <w:tcW w:w="1403" w:type="pct"/>
          </w:tcPr>
          <w:p w:rsidR="00181E03" w:rsidRPr="00033D68" w:rsidRDefault="00181E03" w:rsidP="00F979C4">
            <w:pPr>
              <w:jc w:val="right"/>
              <w:rPr>
                <w:rFonts w:ascii="Arial" w:hAnsi="Arial" w:cs="Arial"/>
                <w:sz w:val="16"/>
                <w:szCs w:val="16"/>
              </w:rPr>
            </w:pPr>
          </w:p>
        </w:tc>
      </w:tr>
      <w:tr w:rsidR="00181E03" w:rsidRPr="00C34F2D">
        <w:tc>
          <w:tcPr>
            <w:tcW w:w="3597" w:type="pct"/>
            <w:tcBorders>
              <w:bottom w:val="single" w:sz="4" w:space="0" w:color="auto"/>
            </w:tcBorders>
          </w:tcPr>
          <w:p w:rsidR="00181E03" w:rsidRPr="00C34F2D" w:rsidRDefault="00181E03" w:rsidP="008E3324">
            <w:pPr>
              <w:jc w:val="left"/>
              <w:rPr>
                <w:rFonts w:ascii="Arial" w:hAnsi="Arial" w:cs="Arial"/>
                <w:sz w:val="24"/>
                <w:szCs w:val="24"/>
              </w:rPr>
            </w:pPr>
            <w:r w:rsidRPr="00C34F2D">
              <w:rPr>
                <w:rFonts w:ascii="Arial" w:hAnsi="Arial" w:cs="Arial"/>
                <w:sz w:val="24"/>
                <w:szCs w:val="24"/>
              </w:rPr>
              <w:t>Brunswick</w:t>
            </w:r>
          </w:p>
        </w:tc>
        <w:tc>
          <w:tcPr>
            <w:tcW w:w="1403" w:type="pct"/>
            <w:tcBorders>
              <w:bottom w:val="single" w:sz="4" w:space="0" w:color="auto"/>
            </w:tcBorders>
          </w:tcPr>
          <w:p w:rsidR="00181E03" w:rsidRPr="00C34F2D" w:rsidRDefault="00181E03" w:rsidP="00F979C4">
            <w:pPr>
              <w:jc w:val="right"/>
              <w:rPr>
                <w:rFonts w:ascii="Arial" w:hAnsi="Arial" w:cs="Arial"/>
                <w:sz w:val="24"/>
                <w:szCs w:val="24"/>
              </w:rPr>
            </w:pPr>
            <w:r w:rsidRPr="00C34F2D">
              <w:rPr>
                <w:rFonts w:ascii="Arial" w:hAnsi="Arial" w:cs="Arial"/>
                <w:sz w:val="24"/>
                <w:szCs w:val="24"/>
              </w:rPr>
              <w:t>020 7404 5959</w:t>
            </w:r>
          </w:p>
        </w:tc>
      </w:tr>
    </w:tbl>
    <w:p w:rsidR="008E7383" w:rsidRPr="007D220F" w:rsidRDefault="008E7383" w:rsidP="00AD5BF9">
      <w:pPr>
        <w:jc w:val="left"/>
        <w:rPr>
          <w:rFonts w:ascii="Arial" w:hAnsi="Arial" w:cs="Arial"/>
          <w:sz w:val="24"/>
          <w:szCs w:val="24"/>
          <w:highlight w:val="yellow"/>
        </w:rPr>
      </w:pPr>
    </w:p>
    <w:p w:rsidR="00CA542E" w:rsidRPr="006374FD" w:rsidRDefault="00181E03" w:rsidP="00AD5BF9">
      <w:pPr>
        <w:jc w:val="left"/>
        <w:rPr>
          <w:rFonts w:ascii="Arial" w:hAnsi="Arial" w:cs="Arial"/>
          <w:sz w:val="24"/>
          <w:szCs w:val="24"/>
        </w:rPr>
      </w:pPr>
      <w:r w:rsidRPr="00C34F2D">
        <w:rPr>
          <w:rFonts w:ascii="Arial" w:hAnsi="Arial" w:cs="Arial"/>
          <w:sz w:val="24"/>
          <w:szCs w:val="24"/>
        </w:rPr>
        <w:t xml:space="preserve">Further copies of this announcement can be downloaded from </w:t>
      </w:r>
      <w:hyperlink r:id="rId9" w:history="1">
        <w:r w:rsidRPr="00C34F2D">
          <w:rPr>
            <w:rStyle w:val="Hyperlink"/>
            <w:rFonts w:ascii="Arial" w:hAnsi="Arial" w:cs="Arial"/>
            <w:sz w:val="24"/>
            <w:szCs w:val="24"/>
          </w:rPr>
          <w:t>www.kingfisher.com</w:t>
        </w:r>
      </w:hyperlink>
      <w:r w:rsidR="009F55A9" w:rsidRPr="00C34F2D">
        <w:rPr>
          <w:rFonts w:ascii="Arial" w:hAnsi="Arial" w:cs="Arial"/>
          <w:sz w:val="24"/>
          <w:szCs w:val="24"/>
        </w:rPr>
        <w:t xml:space="preserve"> or viewed on the Kingfisher IR </w:t>
      </w:r>
      <w:proofErr w:type="spellStart"/>
      <w:r w:rsidR="009F55A9" w:rsidRPr="00C34F2D">
        <w:rPr>
          <w:rFonts w:ascii="Arial" w:hAnsi="Arial" w:cs="Arial"/>
          <w:sz w:val="24"/>
          <w:szCs w:val="24"/>
        </w:rPr>
        <w:t>iPad</w:t>
      </w:r>
      <w:proofErr w:type="spellEnd"/>
      <w:r w:rsidR="009F55A9" w:rsidRPr="00C34F2D">
        <w:rPr>
          <w:rFonts w:ascii="Arial" w:hAnsi="Arial" w:cs="Arial"/>
          <w:sz w:val="24"/>
          <w:szCs w:val="24"/>
        </w:rPr>
        <w:t xml:space="preserve"> App available for free at the Apple App store. </w:t>
      </w:r>
      <w:r w:rsidR="005867D6">
        <w:rPr>
          <w:rFonts w:ascii="Arial" w:hAnsi="Arial" w:cs="Arial"/>
          <w:sz w:val="24"/>
          <w:szCs w:val="24"/>
        </w:rPr>
        <w:t>V</w:t>
      </w:r>
      <w:r w:rsidRPr="0006717E">
        <w:rPr>
          <w:rFonts w:ascii="Arial" w:hAnsi="Arial" w:cs="Arial"/>
          <w:sz w:val="24"/>
          <w:szCs w:val="24"/>
        </w:rPr>
        <w:t>ideo interview</w:t>
      </w:r>
      <w:r w:rsidR="005867D6">
        <w:rPr>
          <w:rFonts w:ascii="Arial" w:hAnsi="Arial" w:cs="Arial"/>
          <w:sz w:val="24"/>
          <w:szCs w:val="24"/>
        </w:rPr>
        <w:t>s</w:t>
      </w:r>
      <w:r w:rsidRPr="0006717E">
        <w:rPr>
          <w:rFonts w:ascii="Arial" w:hAnsi="Arial" w:cs="Arial"/>
          <w:sz w:val="24"/>
          <w:szCs w:val="24"/>
        </w:rPr>
        <w:t xml:space="preserve"> with Ian Cheshire</w:t>
      </w:r>
      <w:r w:rsidR="00CA542E">
        <w:rPr>
          <w:rFonts w:ascii="Arial" w:hAnsi="Arial" w:cs="Arial"/>
          <w:sz w:val="24"/>
          <w:szCs w:val="24"/>
        </w:rPr>
        <w:t xml:space="preserve"> (Group Chief Executive)</w:t>
      </w:r>
      <w:r w:rsidRPr="0006717E">
        <w:rPr>
          <w:rFonts w:ascii="Arial" w:hAnsi="Arial" w:cs="Arial"/>
          <w:sz w:val="24"/>
          <w:szCs w:val="24"/>
        </w:rPr>
        <w:t xml:space="preserve"> and </w:t>
      </w:r>
      <w:r w:rsidR="004B463A" w:rsidRPr="0006717E">
        <w:rPr>
          <w:rFonts w:ascii="Arial" w:hAnsi="Arial" w:cs="Arial"/>
          <w:sz w:val="24"/>
          <w:szCs w:val="24"/>
        </w:rPr>
        <w:t>Karen Witts</w:t>
      </w:r>
      <w:r w:rsidRPr="0006717E">
        <w:rPr>
          <w:rFonts w:ascii="Arial" w:hAnsi="Arial" w:cs="Arial"/>
          <w:sz w:val="24"/>
          <w:szCs w:val="24"/>
        </w:rPr>
        <w:t xml:space="preserve"> </w:t>
      </w:r>
      <w:r w:rsidR="00CA542E">
        <w:rPr>
          <w:rFonts w:ascii="Arial" w:hAnsi="Arial" w:cs="Arial"/>
          <w:sz w:val="24"/>
          <w:szCs w:val="24"/>
        </w:rPr>
        <w:t xml:space="preserve">(Group Finance Director) </w:t>
      </w:r>
      <w:r w:rsidR="005867D6">
        <w:rPr>
          <w:rFonts w:ascii="Arial" w:hAnsi="Arial" w:cs="Arial"/>
          <w:sz w:val="24"/>
          <w:szCs w:val="24"/>
        </w:rPr>
        <w:t>are</w:t>
      </w:r>
      <w:r w:rsidRPr="0006717E">
        <w:rPr>
          <w:rFonts w:ascii="Arial" w:hAnsi="Arial" w:cs="Arial"/>
          <w:sz w:val="24"/>
          <w:szCs w:val="24"/>
        </w:rPr>
        <w:t xml:space="preserve"> </w:t>
      </w:r>
      <w:r w:rsidR="00CA542E">
        <w:rPr>
          <w:rFonts w:ascii="Arial" w:hAnsi="Arial" w:cs="Arial"/>
          <w:sz w:val="24"/>
          <w:szCs w:val="24"/>
        </w:rPr>
        <w:t xml:space="preserve">also </w:t>
      </w:r>
      <w:r w:rsidRPr="0006717E">
        <w:rPr>
          <w:rFonts w:ascii="Arial" w:hAnsi="Arial" w:cs="Arial"/>
          <w:sz w:val="24"/>
          <w:szCs w:val="24"/>
        </w:rPr>
        <w:t>available on the website.</w:t>
      </w:r>
      <w:r w:rsidRPr="006374FD">
        <w:rPr>
          <w:rFonts w:ascii="Arial" w:hAnsi="Arial" w:cs="Arial"/>
          <w:sz w:val="24"/>
          <w:szCs w:val="24"/>
        </w:rPr>
        <w:t xml:space="preserve"> </w:t>
      </w:r>
      <w:r w:rsidR="00CA542E" w:rsidRPr="00C34F2D">
        <w:rPr>
          <w:rFonts w:ascii="Arial" w:hAnsi="Arial" w:cs="Arial"/>
          <w:sz w:val="24"/>
          <w:szCs w:val="24"/>
        </w:rPr>
        <w:t>We can also be followed on twitter @</w:t>
      </w:r>
      <w:proofErr w:type="spellStart"/>
      <w:r w:rsidR="00CA542E" w:rsidRPr="00C34F2D">
        <w:rPr>
          <w:rFonts w:ascii="Arial" w:hAnsi="Arial" w:cs="Arial"/>
          <w:sz w:val="24"/>
          <w:szCs w:val="24"/>
        </w:rPr>
        <w:t>kingfisherplc</w:t>
      </w:r>
      <w:proofErr w:type="spellEnd"/>
      <w:r w:rsidR="002C5F40">
        <w:rPr>
          <w:rFonts w:ascii="Arial" w:hAnsi="Arial" w:cs="Arial"/>
          <w:sz w:val="24"/>
          <w:szCs w:val="24"/>
        </w:rPr>
        <w:t xml:space="preserve">. </w:t>
      </w:r>
    </w:p>
    <w:p w:rsidR="00181E03" w:rsidRPr="007D220F" w:rsidRDefault="00181E03" w:rsidP="00EE1E29">
      <w:pPr>
        <w:jc w:val="left"/>
        <w:rPr>
          <w:rFonts w:ascii="Arial" w:hAnsi="Arial" w:cs="Arial"/>
          <w:sz w:val="24"/>
          <w:szCs w:val="24"/>
          <w:highlight w:val="yellow"/>
        </w:rPr>
      </w:pPr>
    </w:p>
    <w:p w:rsidR="00C34F2D" w:rsidRPr="00791B66" w:rsidRDefault="00C34F2D" w:rsidP="00C34F2D">
      <w:pPr>
        <w:jc w:val="left"/>
        <w:rPr>
          <w:rFonts w:ascii="Arial" w:hAnsi="Arial" w:cs="Arial"/>
          <w:sz w:val="24"/>
          <w:szCs w:val="24"/>
        </w:rPr>
      </w:pPr>
      <w:r w:rsidRPr="00791B66">
        <w:rPr>
          <w:rFonts w:ascii="Arial" w:hAnsi="Arial" w:cs="Arial"/>
          <w:b/>
          <w:bCs/>
          <w:sz w:val="24"/>
          <w:szCs w:val="24"/>
        </w:rPr>
        <w:t>Company Profile:</w:t>
      </w:r>
    </w:p>
    <w:p w:rsidR="00C34F2D" w:rsidRPr="00791B66" w:rsidRDefault="00C34F2D" w:rsidP="00C34F2D">
      <w:pPr>
        <w:jc w:val="left"/>
        <w:rPr>
          <w:rFonts w:ascii="Arial" w:hAnsi="Arial" w:cs="Arial"/>
          <w:sz w:val="24"/>
          <w:szCs w:val="24"/>
        </w:rPr>
      </w:pPr>
    </w:p>
    <w:p w:rsidR="00C34F2D" w:rsidRDefault="00C34F2D" w:rsidP="00C34F2D">
      <w:pPr>
        <w:jc w:val="left"/>
        <w:rPr>
          <w:rFonts w:ascii="Arial" w:hAnsi="Arial" w:cs="Arial"/>
          <w:sz w:val="24"/>
          <w:szCs w:val="24"/>
        </w:rPr>
      </w:pPr>
      <w:r w:rsidRPr="00791B66">
        <w:rPr>
          <w:rFonts w:ascii="Arial" w:hAnsi="Arial" w:cs="Arial"/>
          <w:b/>
          <w:bCs/>
          <w:sz w:val="24"/>
          <w:szCs w:val="24"/>
        </w:rPr>
        <w:t>Kingfisher</w:t>
      </w:r>
      <w:r w:rsidRPr="00791B66">
        <w:rPr>
          <w:rFonts w:ascii="Arial" w:hAnsi="Arial" w:cs="Arial"/>
          <w:sz w:val="24"/>
          <w:szCs w:val="24"/>
        </w:rPr>
        <w:t xml:space="preserve"> </w:t>
      </w:r>
      <w:r w:rsidRPr="00791B66">
        <w:rPr>
          <w:rFonts w:ascii="Arial" w:hAnsi="Arial" w:cs="Arial"/>
          <w:b/>
          <w:bCs/>
          <w:sz w:val="24"/>
          <w:szCs w:val="24"/>
        </w:rPr>
        <w:t xml:space="preserve">plc </w:t>
      </w:r>
      <w:r w:rsidRPr="00791B66">
        <w:rPr>
          <w:rFonts w:ascii="Arial" w:hAnsi="Arial" w:cs="Arial"/>
          <w:sz w:val="24"/>
          <w:szCs w:val="24"/>
        </w:rPr>
        <w:t>is Europe’s leading home improvement retail group and the third largest in the world, with</w:t>
      </w:r>
      <w:r w:rsidR="005E732F">
        <w:rPr>
          <w:rFonts w:ascii="Arial" w:hAnsi="Arial" w:cs="Arial"/>
          <w:sz w:val="24"/>
          <w:szCs w:val="24"/>
        </w:rPr>
        <w:t xml:space="preserve"> 1,0</w:t>
      </w:r>
      <w:r w:rsidR="00F51486">
        <w:rPr>
          <w:rFonts w:ascii="Arial" w:hAnsi="Arial" w:cs="Arial"/>
          <w:sz w:val="24"/>
          <w:szCs w:val="24"/>
        </w:rPr>
        <w:t>25</w:t>
      </w:r>
      <w:r w:rsidR="005E732F">
        <w:rPr>
          <w:rFonts w:ascii="Arial" w:hAnsi="Arial" w:cs="Arial"/>
          <w:sz w:val="24"/>
          <w:szCs w:val="24"/>
        </w:rPr>
        <w:t xml:space="preserve"> </w:t>
      </w:r>
      <w:r w:rsidRPr="00791B66">
        <w:rPr>
          <w:rFonts w:ascii="Arial" w:hAnsi="Arial" w:cs="Arial"/>
          <w:sz w:val="24"/>
          <w:szCs w:val="24"/>
        </w:rPr>
        <w:t>stores in eight</w:t>
      </w:r>
      <w:r>
        <w:rPr>
          <w:rFonts w:ascii="Arial" w:hAnsi="Arial" w:cs="Arial"/>
          <w:sz w:val="24"/>
          <w:szCs w:val="24"/>
        </w:rPr>
        <w:t xml:space="preserve"> countries in Europe and Asia. </w:t>
      </w:r>
      <w:r w:rsidRPr="00791B66">
        <w:rPr>
          <w:rFonts w:ascii="Arial" w:hAnsi="Arial" w:cs="Arial"/>
          <w:sz w:val="24"/>
          <w:szCs w:val="24"/>
        </w:rPr>
        <w:t xml:space="preserve">Its main retail brands are B&amp;Q, </w:t>
      </w:r>
      <w:proofErr w:type="spellStart"/>
      <w:r w:rsidRPr="00791B66">
        <w:rPr>
          <w:rFonts w:ascii="Arial" w:hAnsi="Arial" w:cs="Arial"/>
          <w:sz w:val="24"/>
          <w:szCs w:val="24"/>
        </w:rPr>
        <w:t>Castorama</w:t>
      </w:r>
      <w:proofErr w:type="spellEnd"/>
      <w:r w:rsidRPr="00791B66">
        <w:rPr>
          <w:rFonts w:ascii="Arial" w:hAnsi="Arial" w:cs="Arial"/>
          <w:sz w:val="24"/>
          <w:szCs w:val="24"/>
        </w:rPr>
        <w:t xml:space="preserve">, </w:t>
      </w:r>
      <w:proofErr w:type="spellStart"/>
      <w:r w:rsidRPr="00791B66">
        <w:rPr>
          <w:rFonts w:ascii="Arial" w:hAnsi="Arial" w:cs="Arial"/>
          <w:sz w:val="24"/>
          <w:szCs w:val="24"/>
        </w:rPr>
        <w:t>Brico</w:t>
      </w:r>
      <w:proofErr w:type="spellEnd"/>
      <w:r w:rsidRPr="00791B66">
        <w:rPr>
          <w:rFonts w:ascii="Arial" w:hAnsi="Arial" w:cs="Arial"/>
          <w:sz w:val="24"/>
          <w:szCs w:val="24"/>
        </w:rPr>
        <w:t xml:space="preserve"> </w:t>
      </w:r>
      <w:proofErr w:type="spellStart"/>
      <w:r w:rsidRPr="00791B66">
        <w:rPr>
          <w:rFonts w:ascii="Arial" w:hAnsi="Arial" w:cs="Arial"/>
          <w:sz w:val="24"/>
          <w:szCs w:val="24"/>
        </w:rPr>
        <w:t>Dépôt</w:t>
      </w:r>
      <w:proofErr w:type="spellEnd"/>
      <w:r w:rsidRPr="00791B66">
        <w:rPr>
          <w:rFonts w:ascii="Arial" w:hAnsi="Arial" w:cs="Arial"/>
          <w:sz w:val="24"/>
          <w:szCs w:val="24"/>
        </w:rPr>
        <w:t xml:space="preserve"> and </w:t>
      </w:r>
      <w:proofErr w:type="spellStart"/>
      <w:r w:rsidRPr="00791B66">
        <w:rPr>
          <w:rFonts w:ascii="Arial" w:hAnsi="Arial" w:cs="Arial"/>
          <w:sz w:val="24"/>
          <w:szCs w:val="24"/>
        </w:rPr>
        <w:t>Screwfix</w:t>
      </w:r>
      <w:proofErr w:type="spellEnd"/>
      <w:r w:rsidRPr="00791B66">
        <w:rPr>
          <w:rFonts w:ascii="Arial" w:hAnsi="Arial" w:cs="Arial"/>
          <w:sz w:val="24"/>
          <w:szCs w:val="24"/>
        </w:rPr>
        <w:t xml:space="preserve">. Kingfisher also </w:t>
      </w:r>
      <w:r w:rsidR="00CA542E">
        <w:rPr>
          <w:rFonts w:ascii="Arial" w:hAnsi="Arial" w:cs="Arial"/>
          <w:sz w:val="24"/>
          <w:szCs w:val="24"/>
        </w:rPr>
        <w:t xml:space="preserve">operates the </w:t>
      </w:r>
      <w:proofErr w:type="spellStart"/>
      <w:r w:rsidR="00A93E15">
        <w:rPr>
          <w:rFonts w:ascii="Arial" w:hAnsi="Arial" w:cs="Arial"/>
          <w:bCs/>
          <w:sz w:val="24"/>
          <w:szCs w:val="24"/>
        </w:rPr>
        <w:t>Koçtaş</w:t>
      </w:r>
      <w:proofErr w:type="spellEnd"/>
      <w:r w:rsidR="00A93E15">
        <w:rPr>
          <w:rFonts w:ascii="Arial" w:hAnsi="Arial" w:cs="Arial"/>
          <w:bCs/>
          <w:sz w:val="24"/>
          <w:szCs w:val="24"/>
        </w:rPr>
        <w:t xml:space="preserve"> </w:t>
      </w:r>
      <w:r w:rsidR="00CA542E">
        <w:rPr>
          <w:rFonts w:ascii="Arial" w:hAnsi="Arial" w:cs="Arial"/>
          <w:sz w:val="24"/>
          <w:szCs w:val="24"/>
        </w:rPr>
        <w:t xml:space="preserve">brand, </w:t>
      </w:r>
      <w:r w:rsidRPr="00791B66">
        <w:rPr>
          <w:rFonts w:ascii="Arial" w:hAnsi="Arial" w:cs="Arial"/>
          <w:sz w:val="24"/>
          <w:szCs w:val="24"/>
        </w:rPr>
        <w:t xml:space="preserve">a 50% joint venture in Turkey with </w:t>
      </w:r>
      <w:r w:rsidR="00CA542E">
        <w:rPr>
          <w:rFonts w:ascii="Arial" w:hAnsi="Arial" w:cs="Arial"/>
          <w:sz w:val="24"/>
          <w:szCs w:val="24"/>
        </w:rPr>
        <w:t xml:space="preserve">the </w:t>
      </w:r>
      <w:proofErr w:type="spellStart"/>
      <w:r w:rsidRPr="00791B66">
        <w:rPr>
          <w:rFonts w:ascii="Arial" w:hAnsi="Arial" w:cs="Arial"/>
          <w:sz w:val="24"/>
          <w:szCs w:val="24"/>
        </w:rPr>
        <w:t>Koç</w:t>
      </w:r>
      <w:proofErr w:type="spellEnd"/>
      <w:r w:rsidRPr="00791B66">
        <w:rPr>
          <w:rFonts w:ascii="Arial" w:hAnsi="Arial" w:cs="Arial"/>
          <w:sz w:val="24"/>
          <w:szCs w:val="24"/>
        </w:rPr>
        <w:t xml:space="preserve"> Group, and </w:t>
      </w:r>
      <w:r w:rsidR="00CA542E">
        <w:rPr>
          <w:rFonts w:ascii="Arial" w:hAnsi="Arial" w:cs="Arial"/>
          <w:sz w:val="24"/>
          <w:szCs w:val="24"/>
        </w:rPr>
        <w:t xml:space="preserve">has </w:t>
      </w:r>
      <w:r w:rsidRPr="00791B66">
        <w:rPr>
          <w:rFonts w:ascii="Arial" w:hAnsi="Arial" w:cs="Arial"/>
          <w:sz w:val="24"/>
          <w:szCs w:val="24"/>
        </w:rPr>
        <w:t>a 21% interest in</w:t>
      </w:r>
      <w:r w:rsidR="00CA542E">
        <w:rPr>
          <w:rFonts w:ascii="Arial" w:hAnsi="Arial" w:cs="Arial"/>
          <w:sz w:val="24"/>
          <w:szCs w:val="24"/>
        </w:rPr>
        <w:t xml:space="preserve"> </w:t>
      </w:r>
      <w:proofErr w:type="spellStart"/>
      <w:r w:rsidRPr="00791B66">
        <w:rPr>
          <w:rFonts w:ascii="Arial" w:hAnsi="Arial" w:cs="Arial"/>
          <w:sz w:val="24"/>
          <w:szCs w:val="24"/>
        </w:rPr>
        <w:t>Hornbach</w:t>
      </w:r>
      <w:proofErr w:type="spellEnd"/>
      <w:r w:rsidRPr="00791B66">
        <w:rPr>
          <w:rFonts w:ascii="Arial" w:hAnsi="Arial" w:cs="Arial"/>
          <w:sz w:val="24"/>
          <w:szCs w:val="24"/>
        </w:rPr>
        <w:t>, Germany’s leading large format DIY retailer.</w:t>
      </w:r>
    </w:p>
    <w:p w:rsidR="00C34F2D" w:rsidRDefault="00C34F2D" w:rsidP="00EE1E29">
      <w:pPr>
        <w:jc w:val="left"/>
        <w:rPr>
          <w:rFonts w:ascii="Arial" w:hAnsi="Arial" w:cs="Arial"/>
          <w:sz w:val="24"/>
          <w:szCs w:val="24"/>
          <w:highlight w:val="yellow"/>
        </w:rPr>
      </w:pPr>
    </w:p>
    <w:p w:rsidR="00101D68" w:rsidRDefault="00181E03" w:rsidP="00EE1E29">
      <w:pPr>
        <w:jc w:val="left"/>
        <w:rPr>
          <w:rFonts w:ascii="Arial" w:hAnsi="Arial" w:cs="Arial"/>
          <w:sz w:val="24"/>
          <w:szCs w:val="24"/>
          <w:highlight w:val="yellow"/>
        </w:rPr>
      </w:pPr>
      <w:r w:rsidRPr="006374FD">
        <w:rPr>
          <w:rFonts w:ascii="Arial" w:hAnsi="Arial" w:cs="Arial"/>
          <w:sz w:val="24"/>
          <w:szCs w:val="24"/>
        </w:rPr>
        <w:t xml:space="preserve">The remainder of this release </w:t>
      </w:r>
      <w:r w:rsidR="009B6367" w:rsidRPr="006374FD">
        <w:rPr>
          <w:rFonts w:ascii="Arial" w:hAnsi="Arial" w:cs="Arial"/>
          <w:sz w:val="24"/>
          <w:szCs w:val="24"/>
        </w:rPr>
        <w:t xml:space="preserve">is broken down into </w:t>
      </w:r>
      <w:r w:rsidR="00FC3ECC" w:rsidRPr="006374FD">
        <w:rPr>
          <w:rFonts w:ascii="Arial" w:hAnsi="Arial" w:cs="Arial"/>
          <w:sz w:val="24"/>
          <w:szCs w:val="24"/>
        </w:rPr>
        <w:t>f</w:t>
      </w:r>
      <w:r w:rsidR="0084263F">
        <w:rPr>
          <w:rFonts w:ascii="Arial" w:hAnsi="Arial" w:cs="Arial"/>
          <w:sz w:val="24"/>
          <w:szCs w:val="24"/>
        </w:rPr>
        <w:t>our</w:t>
      </w:r>
      <w:r w:rsidR="00101D68" w:rsidRPr="006374FD">
        <w:rPr>
          <w:rFonts w:ascii="Arial" w:hAnsi="Arial" w:cs="Arial"/>
          <w:sz w:val="24"/>
          <w:szCs w:val="24"/>
        </w:rPr>
        <w:t xml:space="preserve"> </w:t>
      </w:r>
      <w:r w:rsidRPr="006374FD">
        <w:rPr>
          <w:rFonts w:ascii="Arial" w:hAnsi="Arial" w:cs="Arial"/>
          <w:sz w:val="24"/>
          <w:szCs w:val="24"/>
        </w:rPr>
        <w:t>main sections:</w:t>
      </w:r>
    </w:p>
    <w:p w:rsidR="00C34F2D" w:rsidRDefault="00C34F2D" w:rsidP="00C34F2D">
      <w:pPr>
        <w:numPr>
          <w:ilvl w:val="0"/>
          <w:numId w:val="4"/>
        </w:numPr>
        <w:ind w:left="360"/>
        <w:jc w:val="left"/>
        <w:rPr>
          <w:rFonts w:ascii="Arial" w:hAnsi="Arial" w:cs="Arial"/>
          <w:sz w:val="24"/>
          <w:szCs w:val="24"/>
        </w:rPr>
      </w:pPr>
      <w:r w:rsidRPr="00C34F2D">
        <w:rPr>
          <w:rFonts w:ascii="Arial" w:hAnsi="Arial" w:cs="Arial"/>
          <w:sz w:val="24"/>
          <w:szCs w:val="24"/>
        </w:rPr>
        <w:t xml:space="preserve">‘Creating the Leader’ </w:t>
      </w:r>
      <w:r w:rsidR="00107924">
        <w:rPr>
          <w:rFonts w:ascii="Arial" w:hAnsi="Arial" w:cs="Arial"/>
          <w:sz w:val="24"/>
          <w:szCs w:val="24"/>
        </w:rPr>
        <w:t>update</w:t>
      </w:r>
    </w:p>
    <w:p w:rsidR="003E3617" w:rsidRPr="003E3617" w:rsidRDefault="003E3617">
      <w:pPr>
        <w:numPr>
          <w:ilvl w:val="0"/>
          <w:numId w:val="4"/>
        </w:numPr>
        <w:ind w:left="360"/>
        <w:jc w:val="left"/>
        <w:rPr>
          <w:rFonts w:ascii="Arial" w:hAnsi="Arial" w:cs="Arial"/>
          <w:sz w:val="24"/>
          <w:szCs w:val="24"/>
        </w:rPr>
      </w:pPr>
      <w:r w:rsidRPr="00C34F2D">
        <w:rPr>
          <w:rFonts w:ascii="Arial" w:hAnsi="Arial" w:cs="Arial"/>
          <w:sz w:val="24"/>
          <w:szCs w:val="24"/>
        </w:rPr>
        <w:t xml:space="preserve">Trading review by </w:t>
      </w:r>
      <w:r>
        <w:rPr>
          <w:rFonts w:ascii="Arial" w:hAnsi="Arial" w:cs="Arial"/>
          <w:sz w:val="24"/>
          <w:szCs w:val="24"/>
        </w:rPr>
        <w:t>major geography</w:t>
      </w:r>
    </w:p>
    <w:p w:rsidR="00B11B25" w:rsidRPr="00EC1FEB" w:rsidRDefault="00B11B25" w:rsidP="00C34F2D">
      <w:pPr>
        <w:numPr>
          <w:ilvl w:val="0"/>
          <w:numId w:val="4"/>
        </w:numPr>
        <w:ind w:left="360"/>
        <w:jc w:val="left"/>
        <w:rPr>
          <w:rFonts w:ascii="Arial" w:hAnsi="Arial" w:cs="Arial"/>
          <w:sz w:val="24"/>
          <w:szCs w:val="24"/>
        </w:rPr>
      </w:pPr>
      <w:r w:rsidRPr="00EC1FEB">
        <w:rPr>
          <w:rFonts w:ascii="Arial" w:hAnsi="Arial" w:cs="Arial"/>
          <w:sz w:val="24"/>
          <w:szCs w:val="24"/>
        </w:rPr>
        <w:t>2012/13 Summary data by geography</w:t>
      </w:r>
    </w:p>
    <w:p w:rsidR="00C34F2D" w:rsidRPr="00EC1FEB" w:rsidRDefault="00C34F2D" w:rsidP="00EC1FEB">
      <w:pPr>
        <w:numPr>
          <w:ilvl w:val="0"/>
          <w:numId w:val="4"/>
        </w:numPr>
        <w:ind w:left="360"/>
        <w:jc w:val="left"/>
        <w:rPr>
          <w:rFonts w:ascii="Arial" w:hAnsi="Arial" w:cs="Arial"/>
          <w:b/>
          <w:bCs/>
          <w:sz w:val="28"/>
          <w:szCs w:val="28"/>
        </w:rPr>
      </w:pPr>
      <w:r w:rsidRPr="00EC1FEB">
        <w:rPr>
          <w:rFonts w:ascii="Arial" w:hAnsi="Arial" w:cs="Arial"/>
          <w:sz w:val="24"/>
          <w:szCs w:val="24"/>
        </w:rPr>
        <w:t xml:space="preserve">Financial Review </w:t>
      </w:r>
      <w:r w:rsidR="00793F84" w:rsidRPr="00EC1FEB">
        <w:rPr>
          <w:rFonts w:ascii="Arial" w:hAnsi="Arial" w:cs="Arial"/>
          <w:sz w:val="24"/>
          <w:szCs w:val="24"/>
        </w:rPr>
        <w:t xml:space="preserve"> and, in part 2 of </w:t>
      </w:r>
      <w:r w:rsidR="000F4BB3">
        <w:rPr>
          <w:rFonts w:ascii="Arial" w:hAnsi="Arial" w:cs="Arial"/>
          <w:sz w:val="24"/>
          <w:szCs w:val="24"/>
        </w:rPr>
        <w:t>this release</w:t>
      </w:r>
      <w:r w:rsidR="00793F84" w:rsidRPr="00EC1FEB">
        <w:rPr>
          <w:rFonts w:ascii="Arial" w:hAnsi="Arial" w:cs="Arial"/>
          <w:sz w:val="24"/>
          <w:szCs w:val="24"/>
        </w:rPr>
        <w:t>, the preliminary Financial Statements</w:t>
      </w:r>
    </w:p>
    <w:p w:rsidR="009D5AB3" w:rsidRDefault="009D5AB3" w:rsidP="003E3617">
      <w:pPr>
        <w:jc w:val="left"/>
        <w:rPr>
          <w:rFonts w:ascii="Arial" w:hAnsi="Arial" w:cs="Arial"/>
          <w:b/>
          <w:sz w:val="24"/>
          <w:szCs w:val="24"/>
        </w:rPr>
      </w:pPr>
    </w:p>
    <w:p w:rsidR="003E3617" w:rsidRPr="007D220F" w:rsidRDefault="003E3617" w:rsidP="003E3617">
      <w:pPr>
        <w:jc w:val="left"/>
        <w:rPr>
          <w:rFonts w:ascii="Arial" w:hAnsi="Arial" w:cs="Arial"/>
          <w:b/>
          <w:sz w:val="24"/>
          <w:szCs w:val="24"/>
        </w:rPr>
      </w:pPr>
      <w:r w:rsidRPr="007D220F">
        <w:rPr>
          <w:rFonts w:ascii="Arial" w:hAnsi="Arial" w:cs="Arial"/>
          <w:b/>
          <w:sz w:val="24"/>
          <w:szCs w:val="24"/>
        </w:rPr>
        <w:lastRenderedPageBreak/>
        <w:t xml:space="preserve">Section </w:t>
      </w:r>
      <w:r>
        <w:rPr>
          <w:rFonts w:ascii="Arial" w:hAnsi="Arial" w:cs="Arial"/>
          <w:b/>
          <w:sz w:val="24"/>
          <w:szCs w:val="24"/>
        </w:rPr>
        <w:t>1</w:t>
      </w:r>
    </w:p>
    <w:p w:rsidR="003E3617" w:rsidRDefault="00F94DD3" w:rsidP="003E3617">
      <w:pPr>
        <w:jc w:val="left"/>
        <w:rPr>
          <w:rFonts w:ascii="Arial" w:hAnsi="Arial" w:cs="Arial"/>
          <w:b/>
          <w:sz w:val="24"/>
          <w:szCs w:val="24"/>
        </w:rPr>
      </w:pPr>
      <w:r>
        <w:rPr>
          <w:rFonts w:ascii="Arial" w:hAnsi="Arial" w:cs="Arial"/>
          <w:b/>
          <w:sz w:val="24"/>
          <w:szCs w:val="24"/>
        </w:rPr>
        <w:t>‘</w:t>
      </w:r>
      <w:r w:rsidR="003E3617" w:rsidRPr="007D220F">
        <w:rPr>
          <w:rFonts w:ascii="Arial" w:hAnsi="Arial" w:cs="Arial"/>
          <w:b/>
          <w:sz w:val="24"/>
          <w:szCs w:val="24"/>
        </w:rPr>
        <w:t>CREATING THE LEADER</w:t>
      </w:r>
      <w:r>
        <w:rPr>
          <w:rFonts w:ascii="Arial" w:hAnsi="Arial" w:cs="Arial"/>
          <w:b/>
          <w:sz w:val="24"/>
          <w:szCs w:val="24"/>
        </w:rPr>
        <w:t>’</w:t>
      </w:r>
      <w:r w:rsidR="003E3617" w:rsidRPr="007D220F">
        <w:rPr>
          <w:rFonts w:ascii="Arial" w:hAnsi="Arial" w:cs="Arial"/>
          <w:b/>
          <w:sz w:val="24"/>
          <w:szCs w:val="24"/>
        </w:rPr>
        <w:t xml:space="preserve"> </w:t>
      </w:r>
      <w:r w:rsidR="003E3617">
        <w:rPr>
          <w:rFonts w:ascii="Arial" w:hAnsi="Arial" w:cs="Arial"/>
          <w:b/>
          <w:sz w:val="24"/>
          <w:szCs w:val="24"/>
        </w:rPr>
        <w:t>UPDATE</w:t>
      </w:r>
    </w:p>
    <w:p w:rsidR="003E3617" w:rsidRDefault="003E3617" w:rsidP="003E3617">
      <w:pPr>
        <w:jc w:val="left"/>
        <w:rPr>
          <w:rFonts w:ascii="Arial" w:hAnsi="Arial" w:cs="Arial"/>
          <w:b/>
          <w:sz w:val="24"/>
          <w:szCs w:val="24"/>
        </w:rPr>
      </w:pPr>
    </w:p>
    <w:p w:rsidR="003E3617" w:rsidRPr="007D220F" w:rsidRDefault="003E3617" w:rsidP="003E3617">
      <w:pPr>
        <w:jc w:val="left"/>
        <w:rPr>
          <w:rFonts w:ascii="Arial" w:hAnsi="Arial" w:cs="Arial"/>
          <w:sz w:val="24"/>
          <w:szCs w:val="24"/>
        </w:rPr>
      </w:pPr>
      <w:r w:rsidRPr="007D220F">
        <w:rPr>
          <w:rFonts w:ascii="Arial" w:hAnsi="Arial" w:cs="Arial"/>
          <w:sz w:val="24"/>
          <w:szCs w:val="24"/>
        </w:rPr>
        <w:t>Our unique contribution as a business to our customers is that we can harness our</w:t>
      </w:r>
      <w:r w:rsidR="00835160">
        <w:rPr>
          <w:rFonts w:ascii="Arial" w:hAnsi="Arial" w:cs="Arial"/>
          <w:sz w:val="24"/>
          <w:szCs w:val="24"/>
        </w:rPr>
        <w:t xml:space="preserve"> </w:t>
      </w:r>
      <w:r w:rsidR="00835160" w:rsidRPr="007D220F">
        <w:rPr>
          <w:rFonts w:ascii="Arial" w:hAnsi="Arial" w:cs="Arial"/>
          <w:sz w:val="24"/>
          <w:szCs w:val="24"/>
        </w:rPr>
        <w:t>home improvement experience</w:t>
      </w:r>
      <w:r w:rsidRPr="007D220F">
        <w:rPr>
          <w:rFonts w:ascii="Arial" w:hAnsi="Arial" w:cs="Arial"/>
          <w:sz w:val="24"/>
          <w:szCs w:val="24"/>
        </w:rPr>
        <w:t xml:space="preserve">, our heritage as a leader in sustainability and our </w:t>
      </w:r>
      <w:r w:rsidR="00835160" w:rsidRPr="007D220F">
        <w:rPr>
          <w:rFonts w:ascii="Arial" w:hAnsi="Arial" w:cs="Arial"/>
          <w:sz w:val="24"/>
          <w:szCs w:val="24"/>
        </w:rPr>
        <w:t>international scale</w:t>
      </w:r>
      <w:r w:rsidR="00835160">
        <w:rPr>
          <w:rFonts w:ascii="Arial" w:hAnsi="Arial" w:cs="Arial"/>
          <w:sz w:val="24"/>
          <w:szCs w:val="24"/>
        </w:rPr>
        <w:t xml:space="preserve"> </w:t>
      </w:r>
      <w:r w:rsidRPr="007D220F">
        <w:rPr>
          <w:rFonts w:ascii="Arial" w:hAnsi="Arial" w:cs="Arial"/>
          <w:sz w:val="24"/>
          <w:szCs w:val="24"/>
        </w:rPr>
        <w:t xml:space="preserve">to bring new, more sustainable and more affordable products to market. By also providing our customers with project advice and new shopping channels to complement our stores we will make it easier for them to adapt their homes to their evolving </w:t>
      </w:r>
      <w:r w:rsidR="00835160">
        <w:rPr>
          <w:rFonts w:ascii="Arial" w:hAnsi="Arial" w:cs="Arial"/>
          <w:sz w:val="24"/>
          <w:szCs w:val="24"/>
        </w:rPr>
        <w:t xml:space="preserve">lifestyles. </w:t>
      </w:r>
      <w:r w:rsidRPr="007D220F">
        <w:rPr>
          <w:rFonts w:ascii="Arial" w:hAnsi="Arial" w:cs="Arial"/>
          <w:sz w:val="24"/>
          <w:szCs w:val="24"/>
        </w:rPr>
        <w:t xml:space="preserve">Our shorthand for describing this purpose is </w:t>
      </w:r>
      <w:r w:rsidRPr="007D220F">
        <w:rPr>
          <w:rFonts w:ascii="Arial" w:hAnsi="Arial" w:cs="Arial"/>
          <w:i/>
          <w:sz w:val="24"/>
          <w:szCs w:val="24"/>
        </w:rPr>
        <w:t>“Better Homes, Better Lives”.</w:t>
      </w:r>
      <w:r w:rsidRPr="007D220F">
        <w:rPr>
          <w:rFonts w:ascii="Arial" w:hAnsi="Arial" w:cs="Arial"/>
          <w:sz w:val="24"/>
          <w:szCs w:val="24"/>
        </w:rPr>
        <w:t xml:space="preserve"> </w:t>
      </w:r>
    </w:p>
    <w:p w:rsidR="003E3617" w:rsidRPr="007D220F" w:rsidRDefault="003E3617" w:rsidP="003E3617">
      <w:pPr>
        <w:jc w:val="left"/>
        <w:rPr>
          <w:rFonts w:ascii="Arial" w:hAnsi="Arial" w:cs="Arial"/>
          <w:sz w:val="24"/>
          <w:szCs w:val="24"/>
        </w:rPr>
      </w:pPr>
    </w:p>
    <w:p w:rsidR="003E3617" w:rsidRPr="007D220F" w:rsidRDefault="003E3617" w:rsidP="003E3617">
      <w:pPr>
        <w:jc w:val="left"/>
        <w:rPr>
          <w:rFonts w:ascii="Arial" w:hAnsi="Arial" w:cs="Arial"/>
          <w:b/>
          <w:bCs/>
          <w:sz w:val="24"/>
          <w:szCs w:val="24"/>
          <w:highlight w:val="magenta"/>
        </w:rPr>
      </w:pPr>
      <w:r w:rsidRPr="00400731">
        <w:rPr>
          <w:rFonts w:ascii="Arial" w:hAnsi="Arial" w:cs="Arial"/>
          <w:b/>
          <w:bCs/>
          <w:sz w:val="24"/>
          <w:szCs w:val="24"/>
        </w:rPr>
        <w:t>‘</w:t>
      </w:r>
      <w:r w:rsidRPr="007D220F">
        <w:rPr>
          <w:rFonts w:ascii="Arial" w:hAnsi="Arial" w:cs="Arial"/>
          <w:b/>
          <w:bCs/>
          <w:sz w:val="24"/>
          <w:szCs w:val="24"/>
        </w:rPr>
        <w:t>Creating the Leader’</w:t>
      </w:r>
      <w:r w:rsidRPr="00400731">
        <w:rPr>
          <w:rFonts w:ascii="Arial" w:hAnsi="Arial" w:cs="Arial"/>
          <w:b/>
          <w:bCs/>
          <w:sz w:val="24"/>
          <w:szCs w:val="24"/>
        </w:rPr>
        <w:t xml:space="preserve"> </w:t>
      </w:r>
      <w:r w:rsidR="007133B6">
        <w:rPr>
          <w:rFonts w:ascii="Arial" w:hAnsi="Arial" w:cs="Arial"/>
          <w:b/>
          <w:bCs/>
          <w:sz w:val="24"/>
          <w:szCs w:val="24"/>
        </w:rPr>
        <w:t xml:space="preserve">2012/13 </w:t>
      </w:r>
      <w:r w:rsidRPr="00400731">
        <w:rPr>
          <w:rFonts w:ascii="Arial" w:hAnsi="Arial" w:cs="Arial"/>
          <w:b/>
          <w:bCs/>
          <w:sz w:val="24"/>
          <w:szCs w:val="24"/>
        </w:rPr>
        <w:t>p</w:t>
      </w:r>
      <w:r w:rsidRPr="007D220F">
        <w:rPr>
          <w:rFonts w:ascii="Helvetica" w:hAnsi="Helvetica" w:cs="Helvetica"/>
          <w:b/>
          <w:bCs/>
          <w:sz w:val="24"/>
          <w:szCs w:val="24"/>
        </w:rPr>
        <w:t xml:space="preserve">rogress </w:t>
      </w:r>
      <w:r w:rsidRPr="00400731">
        <w:rPr>
          <w:rFonts w:ascii="Helvetica" w:hAnsi="Helvetica" w:cs="Helvetica"/>
          <w:b/>
          <w:bCs/>
          <w:sz w:val="24"/>
          <w:szCs w:val="24"/>
        </w:rPr>
        <w:t xml:space="preserve">and milestones for </w:t>
      </w:r>
      <w:r w:rsidR="007133B6">
        <w:rPr>
          <w:rFonts w:ascii="Helvetica" w:hAnsi="Helvetica" w:cs="Helvetica"/>
          <w:b/>
          <w:bCs/>
          <w:sz w:val="24"/>
          <w:szCs w:val="24"/>
        </w:rPr>
        <w:t>2013/14</w:t>
      </w:r>
    </w:p>
    <w:p w:rsidR="003E3617" w:rsidRPr="007D220F" w:rsidRDefault="003E3617" w:rsidP="003E3617">
      <w:pPr>
        <w:jc w:val="left"/>
        <w:rPr>
          <w:rFonts w:ascii="Arial" w:hAnsi="Arial" w:cs="Arial"/>
          <w:sz w:val="24"/>
          <w:szCs w:val="24"/>
          <w:highlight w:val="magenta"/>
        </w:rPr>
      </w:pPr>
    </w:p>
    <w:p w:rsidR="003E3617" w:rsidRPr="007D220F" w:rsidRDefault="003E3617" w:rsidP="003E3617">
      <w:pPr>
        <w:jc w:val="left"/>
        <w:rPr>
          <w:rFonts w:ascii="Arial" w:hAnsi="Arial" w:cs="Arial"/>
          <w:sz w:val="24"/>
          <w:szCs w:val="24"/>
        </w:rPr>
      </w:pPr>
      <w:r w:rsidRPr="007D220F">
        <w:rPr>
          <w:rFonts w:ascii="Arial" w:hAnsi="Arial" w:cs="Arial"/>
          <w:sz w:val="24"/>
          <w:szCs w:val="24"/>
        </w:rPr>
        <w:t>In March 2012</w:t>
      </w:r>
      <w:r>
        <w:rPr>
          <w:rFonts w:ascii="Arial" w:hAnsi="Arial" w:cs="Arial"/>
          <w:sz w:val="24"/>
          <w:szCs w:val="24"/>
        </w:rPr>
        <w:t>,</w:t>
      </w:r>
      <w:r w:rsidRPr="007D220F">
        <w:rPr>
          <w:rFonts w:ascii="Arial" w:hAnsi="Arial" w:cs="Arial"/>
          <w:sz w:val="24"/>
          <w:szCs w:val="24"/>
        </w:rPr>
        <w:t xml:space="preserve"> we set out </w:t>
      </w:r>
      <w:r w:rsidR="00D56E13">
        <w:rPr>
          <w:rFonts w:ascii="Arial" w:hAnsi="Arial" w:cs="Arial"/>
          <w:sz w:val="24"/>
          <w:szCs w:val="24"/>
        </w:rPr>
        <w:t xml:space="preserve">four areas (Easier, Common, Expand and One Team) with </w:t>
      </w:r>
      <w:r w:rsidRPr="007D220F">
        <w:rPr>
          <w:rFonts w:ascii="Arial" w:hAnsi="Arial" w:cs="Arial"/>
          <w:sz w:val="24"/>
          <w:szCs w:val="24"/>
        </w:rPr>
        <w:t xml:space="preserve">eight specific steps that make up ‘Creating the Leader’ along with their associated key success measures and short term </w:t>
      </w:r>
      <w:r>
        <w:rPr>
          <w:rFonts w:ascii="Arial" w:hAnsi="Arial" w:cs="Arial"/>
          <w:sz w:val="24"/>
          <w:szCs w:val="24"/>
        </w:rPr>
        <w:t xml:space="preserve">annual </w:t>
      </w:r>
      <w:r w:rsidRPr="007D220F">
        <w:rPr>
          <w:rFonts w:ascii="Arial" w:hAnsi="Arial" w:cs="Arial"/>
          <w:sz w:val="24"/>
          <w:szCs w:val="24"/>
        </w:rPr>
        <w:t xml:space="preserve">milestones. Today we update on the progress we have made towards each </w:t>
      </w:r>
      <w:r>
        <w:rPr>
          <w:rFonts w:ascii="Arial" w:hAnsi="Arial" w:cs="Arial"/>
          <w:sz w:val="24"/>
          <w:szCs w:val="24"/>
        </w:rPr>
        <w:t>of the 2012/13 milestones</w:t>
      </w:r>
      <w:r w:rsidR="007133B6">
        <w:rPr>
          <w:rFonts w:ascii="Arial" w:hAnsi="Arial" w:cs="Arial"/>
          <w:sz w:val="24"/>
          <w:szCs w:val="24"/>
        </w:rPr>
        <w:t xml:space="preserve"> and set the milestones for 2013/14</w:t>
      </w:r>
      <w:r>
        <w:rPr>
          <w:rFonts w:ascii="Arial" w:hAnsi="Arial" w:cs="Arial"/>
          <w:sz w:val="24"/>
          <w:szCs w:val="24"/>
        </w:rPr>
        <w:t>:</w:t>
      </w:r>
    </w:p>
    <w:p w:rsidR="003E3617" w:rsidRPr="007D220F" w:rsidRDefault="003E3617" w:rsidP="003E3617">
      <w:pPr>
        <w:jc w:val="left"/>
        <w:rPr>
          <w:rFonts w:ascii="Arial" w:hAnsi="Arial" w:cs="Arial"/>
          <w:sz w:val="24"/>
          <w:szCs w:val="24"/>
          <w:highlight w:val="magenta"/>
        </w:rPr>
      </w:pPr>
    </w:p>
    <w:p w:rsidR="003E3617" w:rsidRPr="006374FD" w:rsidRDefault="003E3617" w:rsidP="003E3617">
      <w:pPr>
        <w:jc w:val="left"/>
        <w:rPr>
          <w:rFonts w:ascii="Arial" w:hAnsi="Arial" w:cs="Arial"/>
          <w:sz w:val="24"/>
          <w:szCs w:val="24"/>
          <w:highlight w:val="magenta"/>
        </w:rPr>
      </w:pPr>
      <w:r w:rsidRPr="007D220F">
        <w:rPr>
          <w:rFonts w:ascii="Arial" w:hAnsi="Arial" w:cs="Arial"/>
          <w:b/>
          <w:sz w:val="24"/>
          <w:szCs w:val="24"/>
        </w:rPr>
        <w:t xml:space="preserve">EASIER </w:t>
      </w:r>
    </w:p>
    <w:p w:rsidR="003E3617" w:rsidRDefault="003E3617" w:rsidP="003F45F2">
      <w:pPr>
        <w:ind w:left="720" w:firstLine="414"/>
        <w:contextualSpacing/>
        <w:jc w:val="left"/>
        <w:rPr>
          <w:rFonts w:ascii="Arial" w:hAnsi="Arial" w:cs="Arial"/>
          <w:sz w:val="24"/>
          <w:szCs w:val="24"/>
        </w:rPr>
      </w:pPr>
      <w:r w:rsidRPr="006374FD">
        <w:rPr>
          <w:rFonts w:ascii="Arial" w:hAnsi="Arial" w:cs="Arial"/>
          <w:sz w:val="24"/>
          <w:szCs w:val="24"/>
        </w:rPr>
        <w:t>2012/13 progress</w:t>
      </w:r>
      <w:r w:rsidR="00512F23">
        <w:rPr>
          <w:rFonts w:ascii="Arial" w:hAnsi="Arial" w:cs="Arial"/>
          <w:sz w:val="24"/>
          <w:szCs w:val="24"/>
        </w:rPr>
        <w:t>:</w:t>
      </w:r>
    </w:p>
    <w:p w:rsidR="00835160" w:rsidRPr="004A517F" w:rsidRDefault="00835160" w:rsidP="00835160">
      <w:pPr>
        <w:pStyle w:val="ListParagraph"/>
        <w:numPr>
          <w:ilvl w:val="0"/>
          <w:numId w:val="8"/>
        </w:numPr>
        <w:contextualSpacing/>
        <w:jc w:val="left"/>
        <w:rPr>
          <w:rFonts w:ascii="Arial" w:hAnsi="Arial" w:cs="Arial"/>
          <w:sz w:val="24"/>
          <w:szCs w:val="24"/>
        </w:rPr>
      </w:pPr>
      <w:r w:rsidRPr="004A517F">
        <w:rPr>
          <w:rFonts w:ascii="Arial" w:hAnsi="Arial" w:cs="Arial"/>
          <w:sz w:val="24"/>
          <w:szCs w:val="24"/>
        </w:rPr>
        <w:t>Launch</w:t>
      </w:r>
      <w:r w:rsidR="00477894">
        <w:rPr>
          <w:rFonts w:ascii="Arial" w:hAnsi="Arial" w:cs="Arial"/>
          <w:sz w:val="24"/>
          <w:szCs w:val="24"/>
        </w:rPr>
        <w:t>ing</w:t>
      </w:r>
      <w:r w:rsidRPr="004A517F">
        <w:rPr>
          <w:rFonts w:ascii="Arial" w:hAnsi="Arial" w:cs="Arial"/>
          <w:sz w:val="24"/>
          <w:szCs w:val="24"/>
        </w:rPr>
        <w:t xml:space="preserve"> a</w:t>
      </w:r>
      <w:r w:rsidR="005B2678">
        <w:rPr>
          <w:rFonts w:ascii="Arial" w:hAnsi="Arial" w:cs="Arial"/>
          <w:sz w:val="24"/>
          <w:szCs w:val="24"/>
        </w:rPr>
        <w:t>n</w:t>
      </w:r>
      <w:r w:rsidRPr="004A517F">
        <w:rPr>
          <w:rFonts w:ascii="Arial" w:hAnsi="Arial" w:cs="Arial"/>
          <w:sz w:val="24"/>
          <w:szCs w:val="24"/>
        </w:rPr>
        <w:t xml:space="preserve"> </w:t>
      </w:r>
      <w:proofErr w:type="spellStart"/>
      <w:r w:rsidR="00612978">
        <w:rPr>
          <w:rFonts w:ascii="Arial" w:hAnsi="Arial" w:cs="Arial"/>
          <w:sz w:val="24"/>
          <w:szCs w:val="24"/>
        </w:rPr>
        <w:t>omni</w:t>
      </w:r>
      <w:r w:rsidRPr="004A517F">
        <w:rPr>
          <w:rFonts w:ascii="Arial" w:hAnsi="Arial" w:cs="Arial"/>
          <w:sz w:val="24"/>
          <w:szCs w:val="24"/>
        </w:rPr>
        <w:t>channel</w:t>
      </w:r>
      <w:proofErr w:type="spellEnd"/>
      <w:r w:rsidRPr="004A517F">
        <w:rPr>
          <w:rFonts w:ascii="Arial" w:hAnsi="Arial" w:cs="Arial"/>
          <w:sz w:val="24"/>
          <w:szCs w:val="24"/>
        </w:rPr>
        <w:t xml:space="preserve"> platform in </w:t>
      </w:r>
      <w:proofErr w:type="spellStart"/>
      <w:r w:rsidRPr="004A517F">
        <w:rPr>
          <w:rFonts w:ascii="Arial" w:hAnsi="Arial" w:cs="Arial"/>
          <w:sz w:val="24"/>
          <w:szCs w:val="24"/>
        </w:rPr>
        <w:t>Screwfix</w:t>
      </w:r>
      <w:proofErr w:type="spellEnd"/>
      <w:r w:rsidRPr="004A517F">
        <w:rPr>
          <w:rFonts w:ascii="Arial" w:hAnsi="Arial" w:cs="Arial"/>
          <w:sz w:val="24"/>
          <w:szCs w:val="24"/>
        </w:rPr>
        <w:t xml:space="preserve"> </w:t>
      </w:r>
      <w:r w:rsidR="0036777F">
        <w:rPr>
          <w:rFonts w:ascii="Arial" w:hAnsi="Arial" w:cs="Arial"/>
          <w:sz w:val="24"/>
          <w:szCs w:val="24"/>
        </w:rPr>
        <w:t>&amp;</w:t>
      </w:r>
      <w:r w:rsidRPr="004A517F">
        <w:rPr>
          <w:rFonts w:ascii="Arial" w:hAnsi="Arial" w:cs="Arial"/>
          <w:sz w:val="24"/>
          <w:szCs w:val="24"/>
        </w:rPr>
        <w:t xml:space="preserve"> B&amp;Q’s ‘</w:t>
      </w:r>
      <w:proofErr w:type="spellStart"/>
      <w:r w:rsidRPr="004A517F">
        <w:rPr>
          <w:rFonts w:ascii="Arial" w:hAnsi="Arial" w:cs="Arial"/>
          <w:sz w:val="24"/>
          <w:szCs w:val="24"/>
        </w:rPr>
        <w:t>TradePoint</w:t>
      </w:r>
      <w:proofErr w:type="spellEnd"/>
      <w:r w:rsidRPr="004A517F">
        <w:rPr>
          <w:rFonts w:ascii="Arial" w:hAnsi="Arial" w:cs="Arial"/>
          <w:sz w:val="24"/>
          <w:szCs w:val="24"/>
        </w:rPr>
        <w:t>’</w:t>
      </w:r>
    </w:p>
    <w:p w:rsidR="00835160" w:rsidRDefault="00835160" w:rsidP="00835160">
      <w:pPr>
        <w:pStyle w:val="ListParagraph"/>
        <w:numPr>
          <w:ilvl w:val="0"/>
          <w:numId w:val="8"/>
        </w:numPr>
        <w:contextualSpacing/>
        <w:jc w:val="left"/>
        <w:rPr>
          <w:rFonts w:ascii="Arial" w:hAnsi="Arial" w:cs="Arial"/>
          <w:sz w:val="24"/>
          <w:szCs w:val="24"/>
        </w:rPr>
      </w:pPr>
      <w:r>
        <w:rPr>
          <w:rFonts w:ascii="Arial" w:hAnsi="Arial" w:cs="Arial"/>
          <w:sz w:val="24"/>
          <w:szCs w:val="24"/>
        </w:rPr>
        <w:t>Developed</w:t>
      </w:r>
      <w:r w:rsidRPr="004A517F">
        <w:rPr>
          <w:rFonts w:ascii="Arial" w:hAnsi="Arial" w:cs="Arial"/>
          <w:sz w:val="24"/>
          <w:szCs w:val="24"/>
        </w:rPr>
        <w:t xml:space="preserve"> B&amp;Q’s on-line offer</w:t>
      </w:r>
      <w:r>
        <w:rPr>
          <w:rFonts w:ascii="Arial" w:hAnsi="Arial" w:cs="Arial"/>
          <w:sz w:val="24"/>
          <w:szCs w:val="24"/>
        </w:rPr>
        <w:t xml:space="preserve"> in readiness for 2014 full upgrade launch </w:t>
      </w:r>
    </w:p>
    <w:p w:rsidR="003E3617" w:rsidRPr="00835160" w:rsidRDefault="003E3617">
      <w:pPr>
        <w:pStyle w:val="ListParagraph"/>
        <w:numPr>
          <w:ilvl w:val="0"/>
          <w:numId w:val="8"/>
        </w:numPr>
        <w:contextualSpacing/>
        <w:jc w:val="left"/>
        <w:rPr>
          <w:rFonts w:ascii="Arial" w:hAnsi="Arial" w:cs="Arial"/>
          <w:sz w:val="24"/>
          <w:szCs w:val="24"/>
        </w:rPr>
      </w:pPr>
      <w:r>
        <w:rPr>
          <w:rFonts w:ascii="Arial" w:hAnsi="Arial" w:cs="Arial"/>
          <w:sz w:val="24"/>
          <w:szCs w:val="24"/>
        </w:rPr>
        <w:t xml:space="preserve">Completed </w:t>
      </w:r>
      <w:r w:rsidRPr="006374FD">
        <w:rPr>
          <w:rFonts w:ascii="Arial" w:hAnsi="Arial" w:cs="Arial"/>
          <w:sz w:val="24"/>
          <w:szCs w:val="24"/>
        </w:rPr>
        <w:t>UK roll out of DIY training classes</w:t>
      </w:r>
      <w:r w:rsidR="00835160">
        <w:rPr>
          <w:rFonts w:ascii="Arial" w:hAnsi="Arial" w:cs="Arial"/>
          <w:sz w:val="24"/>
          <w:szCs w:val="24"/>
        </w:rPr>
        <w:t xml:space="preserve"> </w:t>
      </w:r>
      <w:r w:rsidR="0036777F">
        <w:rPr>
          <w:rFonts w:ascii="Arial" w:hAnsi="Arial" w:cs="Arial"/>
          <w:sz w:val="24"/>
          <w:szCs w:val="24"/>
        </w:rPr>
        <w:t>&amp;</w:t>
      </w:r>
      <w:r w:rsidR="00835160">
        <w:rPr>
          <w:rFonts w:ascii="Arial" w:hAnsi="Arial" w:cs="Arial"/>
          <w:sz w:val="24"/>
          <w:szCs w:val="24"/>
        </w:rPr>
        <w:t xml:space="preserve"> l</w:t>
      </w:r>
      <w:r w:rsidRPr="00835160">
        <w:rPr>
          <w:rFonts w:ascii="Arial" w:hAnsi="Arial" w:cs="Arial"/>
          <w:sz w:val="24"/>
          <w:szCs w:val="24"/>
        </w:rPr>
        <w:t xml:space="preserve">aunched B&amp;Q YouTube channel with </w:t>
      </w:r>
      <w:r w:rsidR="0071489C" w:rsidRPr="00835160">
        <w:rPr>
          <w:rFonts w:ascii="Arial" w:hAnsi="Arial" w:cs="Arial"/>
          <w:sz w:val="24"/>
          <w:szCs w:val="24"/>
        </w:rPr>
        <w:t xml:space="preserve">over 100 </w:t>
      </w:r>
      <w:r w:rsidR="002A5DD1" w:rsidRPr="00835160">
        <w:rPr>
          <w:rFonts w:ascii="Arial" w:hAnsi="Arial" w:cs="Arial"/>
          <w:sz w:val="24"/>
          <w:szCs w:val="24"/>
        </w:rPr>
        <w:t>‘</w:t>
      </w:r>
      <w:r w:rsidR="0071489C" w:rsidRPr="00835160">
        <w:rPr>
          <w:rFonts w:ascii="Arial" w:hAnsi="Arial" w:cs="Arial"/>
          <w:sz w:val="24"/>
          <w:szCs w:val="24"/>
        </w:rPr>
        <w:t xml:space="preserve">how to’ </w:t>
      </w:r>
      <w:r w:rsidR="00835160">
        <w:rPr>
          <w:rFonts w:ascii="Arial" w:hAnsi="Arial" w:cs="Arial"/>
          <w:sz w:val="24"/>
          <w:szCs w:val="24"/>
        </w:rPr>
        <w:t xml:space="preserve">DIY </w:t>
      </w:r>
      <w:r w:rsidR="0071489C" w:rsidRPr="00835160">
        <w:rPr>
          <w:rFonts w:ascii="Arial" w:hAnsi="Arial" w:cs="Arial"/>
          <w:sz w:val="24"/>
          <w:szCs w:val="24"/>
        </w:rPr>
        <w:t>videos</w:t>
      </w:r>
    </w:p>
    <w:p w:rsidR="00835160" w:rsidRPr="0075630B" w:rsidRDefault="003E3617" w:rsidP="0075630B">
      <w:pPr>
        <w:pStyle w:val="ListParagraph"/>
        <w:numPr>
          <w:ilvl w:val="0"/>
          <w:numId w:val="8"/>
        </w:numPr>
        <w:contextualSpacing/>
        <w:jc w:val="left"/>
        <w:rPr>
          <w:rFonts w:ascii="Arial" w:hAnsi="Arial" w:cs="Arial"/>
          <w:sz w:val="24"/>
          <w:szCs w:val="24"/>
        </w:rPr>
      </w:pPr>
      <w:r w:rsidRPr="00835160">
        <w:rPr>
          <w:rFonts w:ascii="Arial" w:hAnsi="Arial" w:cs="Arial"/>
          <w:sz w:val="24"/>
          <w:szCs w:val="24"/>
        </w:rPr>
        <w:t>Trialling new ‘easier’ store formats (</w:t>
      </w:r>
      <w:r w:rsidR="003375B0" w:rsidRPr="00835160">
        <w:rPr>
          <w:rFonts w:ascii="Arial" w:hAnsi="Arial" w:cs="Arial"/>
          <w:sz w:val="24"/>
          <w:szCs w:val="24"/>
        </w:rPr>
        <w:t xml:space="preserve">e.g. </w:t>
      </w:r>
      <w:r w:rsidRPr="00835160">
        <w:rPr>
          <w:rFonts w:ascii="Arial" w:hAnsi="Arial" w:cs="Arial"/>
          <w:sz w:val="24"/>
          <w:szCs w:val="24"/>
        </w:rPr>
        <w:t>higher i</w:t>
      </w:r>
      <w:r>
        <w:rPr>
          <w:rFonts w:ascii="Arial" w:hAnsi="Arial" w:cs="Arial"/>
          <w:sz w:val="24"/>
          <w:szCs w:val="24"/>
        </w:rPr>
        <w:t xml:space="preserve">n-store availability, more self-service, more in-store learning aids/demonstrations) in </w:t>
      </w:r>
      <w:r w:rsidR="004A517F">
        <w:rPr>
          <w:rFonts w:ascii="Arial" w:hAnsi="Arial" w:cs="Arial"/>
          <w:sz w:val="24"/>
          <w:szCs w:val="24"/>
        </w:rPr>
        <w:t xml:space="preserve">the UK, </w:t>
      </w:r>
      <w:r>
        <w:rPr>
          <w:rFonts w:ascii="Arial" w:hAnsi="Arial" w:cs="Arial"/>
          <w:sz w:val="24"/>
          <w:szCs w:val="24"/>
        </w:rPr>
        <w:t>France</w:t>
      </w:r>
      <w:r w:rsidR="004A517F">
        <w:rPr>
          <w:rFonts w:ascii="Arial" w:hAnsi="Arial" w:cs="Arial"/>
          <w:sz w:val="24"/>
          <w:szCs w:val="24"/>
        </w:rPr>
        <w:t>, Turkey</w:t>
      </w:r>
      <w:r>
        <w:rPr>
          <w:rFonts w:ascii="Arial" w:hAnsi="Arial" w:cs="Arial"/>
          <w:sz w:val="24"/>
          <w:szCs w:val="24"/>
        </w:rPr>
        <w:t xml:space="preserve"> &amp; Russia</w:t>
      </w:r>
      <w:r w:rsidR="00835160" w:rsidRPr="0075630B">
        <w:rPr>
          <w:rFonts w:ascii="Arial" w:hAnsi="Arial" w:cs="Arial"/>
          <w:sz w:val="24"/>
          <w:szCs w:val="24"/>
        </w:rPr>
        <w:t xml:space="preserve"> </w:t>
      </w:r>
    </w:p>
    <w:p w:rsidR="00835160" w:rsidRDefault="00512F23" w:rsidP="003E3617">
      <w:pPr>
        <w:pStyle w:val="ListParagraph"/>
        <w:numPr>
          <w:ilvl w:val="0"/>
          <w:numId w:val="8"/>
        </w:numPr>
        <w:contextualSpacing/>
        <w:jc w:val="left"/>
        <w:rPr>
          <w:rFonts w:ascii="Arial" w:hAnsi="Arial" w:cs="Arial"/>
          <w:sz w:val="24"/>
          <w:szCs w:val="24"/>
        </w:rPr>
      </w:pPr>
      <w:r>
        <w:rPr>
          <w:rFonts w:ascii="Arial" w:hAnsi="Arial" w:cs="Arial"/>
          <w:sz w:val="24"/>
          <w:szCs w:val="24"/>
        </w:rPr>
        <w:t xml:space="preserve">Preparing </w:t>
      </w:r>
      <w:r w:rsidRPr="00113C8B">
        <w:rPr>
          <w:rFonts w:ascii="Arial" w:hAnsi="Arial" w:cs="Arial"/>
          <w:sz w:val="24"/>
          <w:szCs w:val="24"/>
        </w:rPr>
        <w:t>for the UK’s ‘Green Deal’</w:t>
      </w:r>
      <w:r>
        <w:rPr>
          <w:rFonts w:ascii="Arial" w:hAnsi="Arial" w:cs="Arial"/>
          <w:sz w:val="24"/>
          <w:szCs w:val="24"/>
        </w:rPr>
        <w:t xml:space="preserve"> including </w:t>
      </w:r>
      <w:r w:rsidRPr="00835160">
        <w:rPr>
          <w:rFonts w:ascii="Arial" w:hAnsi="Arial" w:cs="Arial"/>
          <w:sz w:val="24"/>
          <w:szCs w:val="24"/>
        </w:rPr>
        <w:t>triall</w:t>
      </w:r>
      <w:r>
        <w:rPr>
          <w:rFonts w:ascii="Arial" w:hAnsi="Arial" w:cs="Arial"/>
          <w:sz w:val="24"/>
          <w:szCs w:val="24"/>
        </w:rPr>
        <w:t xml:space="preserve">ing </w:t>
      </w:r>
      <w:r w:rsidRPr="00835160">
        <w:rPr>
          <w:rFonts w:ascii="Arial" w:hAnsi="Arial" w:cs="Arial"/>
          <w:sz w:val="24"/>
          <w:szCs w:val="24"/>
        </w:rPr>
        <w:t xml:space="preserve">4 </w:t>
      </w:r>
      <w:r>
        <w:rPr>
          <w:rFonts w:ascii="Arial" w:hAnsi="Arial" w:cs="Arial"/>
          <w:sz w:val="24"/>
          <w:szCs w:val="24"/>
        </w:rPr>
        <w:t xml:space="preserve">‘Eco Shops’ in </w:t>
      </w:r>
      <w:r w:rsidRPr="00835160">
        <w:rPr>
          <w:rFonts w:ascii="Arial" w:hAnsi="Arial" w:cs="Arial"/>
          <w:sz w:val="24"/>
          <w:szCs w:val="24"/>
        </w:rPr>
        <w:t>B&amp;Q UK stores</w:t>
      </w:r>
      <w:r>
        <w:rPr>
          <w:rFonts w:ascii="Arial" w:hAnsi="Arial" w:cs="Arial"/>
          <w:sz w:val="24"/>
          <w:szCs w:val="24"/>
        </w:rPr>
        <w:t xml:space="preserve"> </w:t>
      </w:r>
      <w:r w:rsidR="0036777F">
        <w:rPr>
          <w:rFonts w:ascii="Arial" w:hAnsi="Arial" w:cs="Arial"/>
          <w:sz w:val="24"/>
          <w:szCs w:val="24"/>
        </w:rPr>
        <w:t>&amp;</w:t>
      </w:r>
      <w:r>
        <w:rPr>
          <w:rFonts w:ascii="Arial" w:hAnsi="Arial" w:cs="Arial"/>
          <w:sz w:val="24"/>
          <w:szCs w:val="24"/>
        </w:rPr>
        <w:t xml:space="preserve"> </w:t>
      </w:r>
      <w:r w:rsidRPr="00835160">
        <w:rPr>
          <w:rFonts w:ascii="Arial" w:hAnsi="Arial" w:cs="Arial"/>
          <w:sz w:val="24"/>
          <w:szCs w:val="24"/>
        </w:rPr>
        <w:t>providing home efficiency assessments</w:t>
      </w:r>
    </w:p>
    <w:p w:rsidR="003E3617" w:rsidRPr="00C74423" w:rsidRDefault="003E3617" w:rsidP="003E3617">
      <w:pPr>
        <w:pStyle w:val="ListParagraph"/>
        <w:numPr>
          <w:ilvl w:val="0"/>
          <w:numId w:val="8"/>
        </w:numPr>
        <w:contextualSpacing/>
        <w:jc w:val="left"/>
        <w:rPr>
          <w:rFonts w:ascii="Arial" w:hAnsi="Arial" w:cs="Arial"/>
          <w:sz w:val="24"/>
          <w:szCs w:val="24"/>
        </w:rPr>
      </w:pPr>
      <w:r w:rsidRPr="00835160">
        <w:rPr>
          <w:rFonts w:ascii="Arial" w:hAnsi="Arial" w:cs="Arial"/>
          <w:sz w:val="24"/>
          <w:szCs w:val="24"/>
        </w:rPr>
        <w:t>Launch</w:t>
      </w:r>
      <w:r w:rsidR="00477894">
        <w:rPr>
          <w:rFonts w:ascii="Arial" w:hAnsi="Arial" w:cs="Arial"/>
          <w:sz w:val="24"/>
          <w:szCs w:val="24"/>
        </w:rPr>
        <w:t>ed</w:t>
      </w:r>
      <w:r w:rsidRPr="00835160">
        <w:rPr>
          <w:rFonts w:ascii="Arial" w:hAnsi="Arial" w:cs="Arial"/>
          <w:sz w:val="24"/>
          <w:szCs w:val="24"/>
        </w:rPr>
        <w:t xml:space="preserve"> </w:t>
      </w:r>
      <w:proofErr w:type="spellStart"/>
      <w:r w:rsidRPr="00835160">
        <w:rPr>
          <w:rFonts w:ascii="Arial" w:hAnsi="Arial" w:cs="Arial"/>
          <w:sz w:val="24"/>
          <w:szCs w:val="24"/>
        </w:rPr>
        <w:t>Screwfix</w:t>
      </w:r>
      <w:proofErr w:type="spellEnd"/>
      <w:r w:rsidRPr="00835160">
        <w:rPr>
          <w:rFonts w:ascii="Arial" w:hAnsi="Arial" w:cs="Arial"/>
          <w:sz w:val="24"/>
          <w:szCs w:val="24"/>
        </w:rPr>
        <w:t xml:space="preserve"> mobile ‘click, pay &amp; collect’ offer, </w:t>
      </w:r>
      <w:r w:rsidR="002A5DD1" w:rsidRPr="00835160">
        <w:rPr>
          <w:rFonts w:ascii="Arial" w:hAnsi="Arial" w:cs="Arial"/>
          <w:sz w:val="24"/>
          <w:szCs w:val="24"/>
        </w:rPr>
        <w:t xml:space="preserve">now </w:t>
      </w:r>
      <w:r w:rsidRPr="00835160">
        <w:rPr>
          <w:rFonts w:ascii="Arial" w:hAnsi="Arial" w:cs="Arial"/>
          <w:sz w:val="24"/>
          <w:szCs w:val="24"/>
        </w:rPr>
        <w:t>accounting for</w:t>
      </w:r>
      <w:r>
        <w:rPr>
          <w:rFonts w:ascii="Arial" w:hAnsi="Arial" w:cs="Arial"/>
          <w:sz w:val="24"/>
          <w:szCs w:val="24"/>
        </w:rPr>
        <w:t xml:space="preserve"> </w:t>
      </w:r>
      <w:r w:rsidRPr="0006717E">
        <w:rPr>
          <w:rFonts w:ascii="Arial" w:hAnsi="Arial" w:cs="Arial"/>
          <w:sz w:val="24"/>
          <w:szCs w:val="24"/>
        </w:rPr>
        <w:t>5</w:t>
      </w:r>
      <w:r w:rsidR="00616A26">
        <w:rPr>
          <w:rFonts w:ascii="Arial" w:hAnsi="Arial" w:cs="Arial"/>
          <w:sz w:val="24"/>
          <w:szCs w:val="24"/>
        </w:rPr>
        <w:t>5</w:t>
      </w:r>
      <w:r w:rsidRPr="0006717E">
        <w:rPr>
          <w:rFonts w:ascii="Arial" w:hAnsi="Arial" w:cs="Arial"/>
          <w:sz w:val="24"/>
          <w:szCs w:val="24"/>
        </w:rPr>
        <w:t>% of</w:t>
      </w:r>
      <w:r>
        <w:rPr>
          <w:rFonts w:ascii="Arial" w:hAnsi="Arial" w:cs="Arial"/>
          <w:sz w:val="24"/>
          <w:szCs w:val="24"/>
        </w:rPr>
        <w:t xml:space="preserve"> total </w:t>
      </w:r>
      <w:r w:rsidR="008E6BB0">
        <w:rPr>
          <w:rFonts w:ascii="Arial" w:hAnsi="Arial" w:cs="Arial"/>
          <w:sz w:val="24"/>
          <w:szCs w:val="24"/>
        </w:rPr>
        <w:t>mobile</w:t>
      </w:r>
      <w:r>
        <w:rPr>
          <w:rFonts w:ascii="Arial" w:hAnsi="Arial" w:cs="Arial"/>
          <w:sz w:val="24"/>
          <w:szCs w:val="24"/>
        </w:rPr>
        <w:t xml:space="preserve"> sales </w:t>
      </w:r>
    </w:p>
    <w:p w:rsidR="003E3617" w:rsidRPr="00C25191" w:rsidRDefault="003E3617" w:rsidP="0006717E">
      <w:pPr>
        <w:pStyle w:val="ListParagraph"/>
        <w:ind w:left="1800"/>
        <w:contextualSpacing/>
        <w:jc w:val="left"/>
        <w:rPr>
          <w:rFonts w:ascii="Arial" w:hAnsi="Arial" w:cs="Arial"/>
          <w:sz w:val="24"/>
          <w:szCs w:val="24"/>
        </w:rPr>
      </w:pPr>
    </w:p>
    <w:p w:rsidR="00167E65" w:rsidRDefault="00167E65">
      <w:pPr>
        <w:ind w:left="720" w:firstLine="414"/>
        <w:contextualSpacing/>
        <w:jc w:val="left"/>
        <w:rPr>
          <w:rFonts w:ascii="Arial" w:hAnsi="Arial" w:cs="Arial"/>
          <w:sz w:val="24"/>
          <w:szCs w:val="24"/>
        </w:rPr>
      </w:pPr>
      <w:r>
        <w:rPr>
          <w:rFonts w:ascii="Arial" w:hAnsi="Arial" w:cs="Arial"/>
          <w:sz w:val="24"/>
          <w:szCs w:val="24"/>
        </w:rPr>
        <w:t>2013/14 milestones</w:t>
      </w:r>
      <w:r w:rsidR="00512F23">
        <w:rPr>
          <w:rFonts w:ascii="Arial" w:hAnsi="Arial" w:cs="Arial"/>
          <w:sz w:val="24"/>
          <w:szCs w:val="24"/>
        </w:rPr>
        <w:t>:</w:t>
      </w:r>
    </w:p>
    <w:p w:rsidR="004B463A" w:rsidRPr="0075630B" w:rsidRDefault="000C59E4" w:rsidP="007133B6">
      <w:pPr>
        <w:ind w:left="720" w:firstLine="414"/>
        <w:contextualSpacing/>
        <w:jc w:val="left"/>
        <w:rPr>
          <w:rFonts w:ascii="Arial" w:hAnsi="Arial" w:cs="Arial"/>
          <w:i/>
          <w:sz w:val="24"/>
          <w:szCs w:val="24"/>
        </w:rPr>
      </w:pPr>
      <w:r>
        <w:rPr>
          <w:rFonts w:ascii="Arial" w:hAnsi="Arial" w:cs="Arial"/>
          <w:i/>
          <w:sz w:val="24"/>
          <w:szCs w:val="24"/>
        </w:rPr>
        <w:t>Emphasise our a</w:t>
      </w:r>
      <w:r w:rsidR="004B463A" w:rsidRPr="0075630B">
        <w:rPr>
          <w:rFonts w:ascii="Arial" w:hAnsi="Arial" w:cs="Arial"/>
          <w:i/>
          <w:sz w:val="24"/>
          <w:szCs w:val="24"/>
        </w:rPr>
        <w:t>ffordability</w:t>
      </w:r>
      <w:r>
        <w:rPr>
          <w:rFonts w:ascii="Arial" w:hAnsi="Arial" w:cs="Arial"/>
          <w:i/>
          <w:sz w:val="24"/>
          <w:szCs w:val="24"/>
        </w:rPr>
        <w:t xml:space="preserve"> credentials</w:t>
      </w:r>
    </w:p>
    <w:p w:rsidR="00D371D5" w:rsidRDefault="000C59E4" w:rsidP="004B463A">
      <w:pPr>
        <w:numPr>
          <w:ilvl w:val="0"/>
          <w:numId w:val="38"/>
        </w:numPr>
        <w:contextualSpacing/>
        <w:jc w:val="left"/>
        <w:rPr>
          <w:rFonts w:ascii="Arial" w:hAnsi="Arial" w:cs="Arial"/>
          <w:sz w:val="24"/>
          <w:szCs w:val="24"/>
        </w:rPr>
      </w:pPr>
      <w:r>
        <w:rPr>
          <w:rFonts w:ascii="Arial" w:hAnsi="Arial" w:cs="Arial"/>
          <w:sz w:val="24"/>
          <w:szCs w:val="24"/>
        </w:rPr>
        <w:t xml:space="preserve">Launch </w:t>
      </w:r>
      <w:r w:rsidR="00D371D5" w:rsidRPr="004B463A">
        <w:rPr>
          <w:rFonts w:ascii="Arial" w:hAnsi="Arial" w:cs="Arial"/>
          <w:sz w:val="24"/>
          <w:szCs w:val="24"/>
        </w:rPr>
        <w:t>‘handy prices</w:t>
      </w:r>
      <w:r>
        <w:rPr>
          <w:rFonts w:ascii="Arial" w:hAnsi="Arial" w:cs="Arial"/>
          <w:sz w:val="24"/>
          <w:szCs w:val="24"/>
        </w:rPr>
        <w:t>’</w:t>
      </w:r>
      <w:r w:rsidR="004A517F">
        <w:rPr>
          <w:rFonts w:ascii="Arial" w:hAnsi="Arial" w:cs="Arial"/>
          <w:sz w:val="24"/>
          <w:szCs w:val="24"/>
        </w:rPr>
        <w:t xml:space="preserve"> marketing campaign</w:t>
      </w:r>
      <w:r w:rsidR="00D371D5" w:rsidRPr="004B463A">
        <w:rPr>
          <w:rFonts w:ascii="Arial" w:hAnsi="Arial" w:cs="Arial"/>
          <w:sz w:val="24"/>
          <w:szCs w:val="24"/>
        </w:rPr>
        <w:t xml:space="preserve"> in B&amp;Q</w:t>
      </w:r>
      <w:r w:rsidR="004A517F">
        <w:rPr>
          <w:rFonts w:ascii="Arial" w:hAnsi="Arial" w:cs="Arial"/>
          <w:sz w:val="24"/>
          <w:szCs w:val="24"/>
        </w:rPr>
        <w:t xml:space="preserve"> </w:t>
      </w:r>
    </w:p>
    <w:p w:rsidR="004A517F" w:rsidRPr="004B463A" w:rsidRDefault="004A517F" w:rsidP="004B463A">
      <w:pPr>
        <w:numPr>
          <w:ilvl w:val="0"/>
          <w:numId w:val="38"/>
        </w:numPr>
        <w:contextualSpacing/>
        <w:jc w:val="left"/>
        <w:rPr>
          <w:rFonts w:ascii="Arial" w:hAnsi="Arial" w:cs="Arial"/>
          <w:sz w:val="24"/>
          <w:szCs w:val="24"/>
        </w:rPr>
      </w:pPr>
      <w:r>
        <w:rPr>
          <w:rFonts w:ascii="Arial" w:hAnsi="Arial" w:cs="Arial"/>
          <w:sz w:val="24"/>
          <w:szCs w:val="24"/>
          <w:lang w:val="en-US"/>
        </w:rPr>
        <w:t xml:space="preserve">Roll out </w:t>
      </w:r>
      <w:r w:rsidRPr="004B463A">
        <w:rPr>
          <w:rFonts w:ascii="Arial" w:hAnsi="Arial" w:cs="Arial"/>
          <w:sz w:val="24"/>
          <w:szCs w:val="24"/>
          <w:lang w:val="en-US"/>
        </w:rPr>
        <w:t>Brico Dépôt ‘back to basics’ marketing campaign</w:t>
      </w:r>
    </w:p>
    <w:p w:rsidR="00167E65" w:rsidRPr="00842F7C" w:rsidRDefault="00D371D5" w:rsidP="0075630B">
      <w:pPr>
        <w:numPr>
          <w:ilvl w:val="0"/>
          <w:numId w:val="38"/>
        </w:numPr>
        <w:contextualSpacing/>
        <w:jc w:val="left"/>
        <w:rPr>
          <w:rFonts w:ascii="Arial" w:hAnsi="Arial" w:cs="Arial"/>
          <w:i/>
          <w:sz w:val="24"/>
          <w:szCs w:val="24"/>
        </w:rPr>
      </w:pPr>
      <w:r w:rsidRPr="004B463A">
        <w:rPr>
          <w:rFonts w:ascii="Arial" w:hAnsi="Arial" w:cs="Arial"/>
          <w:sz w:val="24"/>
          <w:szCs w:val="24"/>
          <w:lang w:val="en-US"/>
        </w:rPr>
        <w:t xml:space="preserve">Extend Brico Dépôt France &amp; Spain </w:t>
      </w:r>
      <w:r w:rsidR="00512F23">
        <w:rPr>
          <w:rFonts w:ascii="Arial" w:hAnsi="Arial" w:cs="Arial"/>
          <w:sz w:val="24"/>
          <w:szCs w:val="24"/>
          <w:lang w:val="en-US"/>
        </w:rPr>
        <w:t xml:space="preserve">programme of </w:t>
      </w:r>
      <w:r w:rsidRPr="004B463A">
        <w:rPr>
          <w:rFonts w:ascii="Arial" w:hAnsi="Arial" w:cs="Arial"/>
          <w:sz w:val="24"/>
          <w:szCs w:val="24"/>
          <w:lang w:val="en-US"/>
        </w:rPr>
        <w:t>‘arrivages’</w:t>
      </w:r>
      <w:r w:rsidR="00512F23">
        <w:rPr>
          <w:rFonts w:ascii="Arial" w:hAnsi="Arial" w:cs="Arial"/>
          <w:sz w:val="24"/>
          <w:szCs w:val="24"/>
          <w:lang w:val="en-US"/>
        </w:rPr>
        <w:t xml:space="preserve"> (one off special buys)</w:t>
      </w:r>
      <w:r w:rsidRPr="004B463A">
        <w:rPr>
          <w:rFonts w:ascii="Arial" w:hAnsi="Arial" w:cs="Arial"/>
          <w:sz w:val="24"/>
          <w:szCs w:val="24"/>
          <w:lang w:val="en-US"/>
        </w:rPr>
        <w:t xml:space="preserve"> to Turkey &amp; Polan</w:t>
      </w:r>
      <w:r w:rsidR="00512F23" w:rsidRPr="00C82F88">
        <w:rPr>
          <w:rFonts w:ascii="Arial" w:hAnsi="Arial" w:cs="Arial"/>
          <w:sz w:val="24"/>
          <w:szCs w:val="24"/>
          <w:lang w:val="en-US"/>
        </w:rPr>
        <w:t>d</w:t>
      </w:r>
    </w:p>
    <w:p w:rsidR="00C3263C" w:rsidRPr="00842F7C" w:rsidRDefault="001C644B">
      <w:pPr>
        <w:numPr>
          <w:ilvl w:val="0"/>
          <w:numId w:val="38"/>
        </w:numPr>
        <w:contextualSpacing/>
        <w:jc w:val="left"/>
        <w:rPr>
          <w:rFonts w:ascii="Arial" w:hAnsi="Arial" w:cs="Arial"/>
          <w:sz w:val="24"/>
          <w:szCs w:val="24"/>
          <w:lang w:val="en-US"/>
        </w:rPr>
      </w:pPr>
      <w:r w:rsidRPr="00842F7C">
        <w:rPr>
          <w:rFonts w:ascii="Arial" w:hAnsi="Arial" w:cs="Arial"/>
          <w:sz w:val="24"/>
          <w:szCs w:val="24"/>
          <w:lang w:val="en-US"/>
        </w:rPr>
        <w:t>Launch UK Enterprise Finance Guarantee scheme for tradesmen</w:t>
      </w:r>
    </w:p>
    <w:p w:rsidR="004B463A" w:rsidRPr="0075630B" w:rsidRDefault="000C59E4" w:rsidP="0006717E">
      <w:pPr>
        <w:ind w:left="851" w:firstLine="283"/>
        <w:contextualSpacing/>
        <w:jc w:val="left"/>
        <w:rPr>
          <w:rFonts w:ascii="Arial" w:hAnsi="Arial" w:cs="Arial"/>
          <w:i/>
          <w:sz w:val="24"/>
          <w:szCs w:val="24"/>
        </w:rPr>
      </w:pPr>
      <w:r>
        <w:rPr>
          <w:rFonts w:ascii="Arial" w:hAnsi="Arial" w:cs="Arial"/>
          <w:i/>
          <w:sz w:val="24"/>
          <w:szCs w:val="24"/>
        </w:rPr>
        <w:t xml:space="preserve">Extend our </w:t>
      </w:r>
      <w:proofErr w:type="spellStart"/>
      <w:r>
        <w:rPr>
          <w:rFonts w:ascii="Arial" w:hAnsi="Arial" w:cs="Arial"/>
          <w:i/>
          <w:sz w:val="24"/>
          <w:szCs w:val="24"/>
        </w:rPr>
        <w:t>o</w:t>
      </w:r>
      <w:r w:rsidR="004B463A" w:rsidRPr="0075630B">
        <w:rPr>
          <w:rFonts w:ascii="Arial" w:hAnsi="Arial" w:cs="Arial"/>
          <w:i/>
          <w:sz w:val="24"/>
          <w:szCs w:val="24"/>
        </w:rPr>
        <w:t>mnichannel</w:t>
      </w:r>
      <w:proofErr w:type="spellEnd"/>
      <w:r>
        <w:rPr>
          <w:rFonts w:ascii="Arial" w:hAnsi="Arial" w:cs="Arial"/>
          <w:i/>
          <w:sz w:val="24"/>
          <w:szCs w:val="24"/>
        </w:rPr>
        <w:t xml:space="preserve"> offer</w:t>
      </w:r>
    </w:p>
    <w:p w:rsidR="004B463A" w:rsidRPr="004B463A" w:rsidRDefault="004B463A" w:rsidP="0006717E">
      <w:pPr>
        <w:numPr>
          <w:ilvl w:val="0"/>
          <w:numId w:val="38"/>
        </w:numPr>
        <w:contextualSpacing/>
        <w:jc w:val="left"/>
        <w:rPr>
          <w:rFonts w:ascii="Arial" w:hAnsi="Arial" w:cs="Arial"/>
          <w:sz w:val="24"/>
          <w:szCs w:val="24"/>
        </w:rPr>
      </w:pPr>
      <w:r w:rsidRPr="000C59E4">
        <w:rPr>
          <w:rFonts w:ascii="Arial" w:hAnsi="Arial" w:cs="Arial"/>
          <w:sz w:val="24"/>
          <w:szCs w:val="24"/>
        </w:rPr>
        <w:t>Launch upgraded B&amp;Q on-line</w:t>
      </w:r>
      <w:r w:rsidRPr="0075630B">
        <w:rPr>
          <w:rFonts w:ascii="Arial" w:hAnsi="Arial" w:cs="Arial"/>
          <w:i/>
          <w:sz w:val="24"/>
          <w:szCs w:val="24"/>
        </w:rPr>
        <w:t xml:space="preserve"> </w:t>
      </w:r>
      <w:r w:rsidRPr="00512F23">
        <w:rPr>
          <w:rFonts w:ascii="Arial" w:hAnsi="Arial" w:cs="Arial"/>
          <w:sz w:val="24"/>
          <w:szCs w:val="24"/>
        </w:rPr>
        <w:t>o</w:t>
      </w:r>
      <w:r w:rsidRPr="004B463A">
        <w:rPr>
          <w:rFonts w:ascii="Arial" w:hAnsi="Arial" w:cs="Arial"/>
          <w:sz w:val="24"/>
          <w:szCs w:val="24"/>
        </w:rPr>
        <w:t>ffer</w:t>
      </w:r>
      <w:r w:rsidR="00EB0885">
        <w:rPr>
          <w:rFonts w:ascii="Arial" w:hAnsi="Arial" w:cs="Arial"/>
          <w:sz w:val="24"/>
          <w:szCs w:val="24"/>
        </w:rPr>
        <w:t xml:space="preserve"> (www.diy.com)</w:t>
      </w:r>
      <w:r w:rsidRPr="004B463A">
        <w:rPr>
          <w:rFonts w:ascii="Arial" w:hAnsi="Arial" w:cs="Arial"/>
          <w:sz w:val="24"/>
          <w:szCs w:val="24"/>
        </w:rPr>
        <w:t xml:space="preserve">, including 20,000 extra products for home delivery </w:t>
      </w:r>
      <w:r w:rsidR="000C59E4">
        <w:rPr>
          <w:rFonts w:ascii="Arial" w:hAnsi="Arial" w:cs="Arial"/>
          <w:sz w:val="24"/>
          <w:szCs w:val="24"/>
        </w:rPr>
        <w:t xml:space="preserve">(using </w:t>
      </w:r>
      <w:proofErr w:type="spellStart"/>
      <w:r w:rsidRPr="004B463A">
        <w:rPr>
          <w:rFonts w:ascii="Arial" w:hAnsi="Arial" w:cs="Arial"/>
          <w:sz w:val="24"/>
          <w:szCs w:val="24"/>
        </w:rPr>
        <w:t>Screwfix</w:t>
      </w:r>
      <w:proofErr w:type="spellEnd"/>
      <w:r w:rsidRPr="004B463A">
        <w:rPr>
          <w:rFonts w:ascii="Arial" w:hAnsi="Arial" w:cs="Arial"/>
          <w:sz w:val="24"/>
          <w:szCs w:val="24"/>
        </w:rPr>
        <w:t xml:space="preserve"> </w:t>
      </w:r>
      <w:proofErr w:type="spellStart"/>
      <w:r w:rsidR="000C59E4">
        <w:rPr>
          <w:rFonts w:ascii="Arial" w:hAnsi="Arial" w:cs="Arial"/>
          <w:sz w:val="24"/>
          <w:szCs w:val="24"/>
        </w:rPr>
        <w:t>omnichannel</w:t>
      </w:r>
      <w:proofErr w:type="spellEnd"/>
      <w:r w:rsidR="000C59E4">
        <w:rPr>
          <w:rFonts w:ascii="Arial" w:hAnsi="Arial" w:cs="Arial"/>
          <w:sz w:val="24"/>
          <w:szCs w:val="24"/>
        </w:rPr>
        <w:t xml:space="preserve"> infrastructure)</w:t>
      </w:r>
    </w:p>
    <w:p w:rsidR="004B463A" w:rsidRPr="004B463A" w:rsidRDefault="004B463A" w:rsidP="0006717E">
      <w:pPr>
        <w:numPr>
          <w:ilvl w:val="0"/>
          <w:numId w:val="38"/>
        </w:numPr>
        <w:contextualSpacing/>
        <w:jc w:val="left"/>
        <w:rPr>
          <w:rFonts w:ascii="Arial" w:hAnsi="Arial" w:cs="Arial"/>
          <w:sz w:val="24"/>
          <w:szCs w:val="24"/>
        </w:rPr>
      </w:pPr>
      <w:r w:rsidRPr="004B463A">
        <w:rPr>
          <w:rFonts w:ascii="Arial" w:hAnsi="Arial" w:cs="Arial"/>
          <w:sz w:val="24"/>
          <w:szCs w:val="24"/>
        </w:rPr>
        <w:t xml:space="preserve">Extend </w:t>
      </w:r>
      <w:proofErr w:type="spellStart"/>
      <w:r w:rsidRPr="004B463A">
        <w:rPr>
          <w:rFonts w:ascii="Arial" w:hAnsi="Arial" w:cs="Arial"/>
          <w:sz w:val="24"/>
          <w:szCs w:val="24"/>
        </w:rPr>
        <w:t>TradePoint</w:t>
      </w:r>
      <w:proofErr w:type="spellEnd"/>
      <w:r w:rsidRPr="004B463A">
        <w:rPr>
          <w:rFonts w:ascii="Arial" w:hAnsi="Arial" w:cs="Arial"/>
          <w:sz w:val="24"/>
          <w:szCs w:val="24"/>
        </w:rPr>
        <w:t xml:space="preserve"> website to main shop floor categories e.g. kitchens</w:t>
      </w:r>
    </w:p>
    <w:p w:rsidR="00D371D5" w:rsidRPr="004B463A" w:rsidRDefault="004A517F" w:rsidP="0006717E">
      <w:pPr>
        <w:numPr>
          <w:ilvl w:val="0"/>
          <w:numId w:val="38"/>
        </w:numPr>
        <w:contextualSpacing/>
        <w:jc w:val="left"/>
        <w:rPr>
          <w:rFonts w:ascii="Arial" w:hAnsi="Arial" w:cs="Arial"/>
          <w:sz w:val="24"/>
          <w:szCs w:val="24"/>
        </w:rPr>
      </w:pPr>
      <w:r>
        <w:rPr>
          <w:rFonts w:ascii="Arial" w:hAnsi="Arial" w:cs="Arial"/>
          <w:sz w:val="24"/>
          <w:szCs w:val="24"/>
        </w:rPr>
        <w:t>Launch u</w:t>
      </w:r>
      <w:r w:rsidR="00D371D5" w:rsidRPr="004B463A">
        <w:rPr>
          <w:rFonts w:ascii="Arial" w:hAnsi="Arial" w:cs="Arial"/>
          <w:sz w:val="24"/>
          <w:szCs w:val="24"/>
        </w:rPr>
        <w:t>pgrade</w:t>
      </w:r>
      <w:r>
        <w:rPr>
          <w:rFonts w:ascii="Arial" w:hAnsi="Arial" w:cs="Arial"/>
          <w:sz w:val="24"/>
          <w:szCs w:val="24"/>
        </w:rPr>
        <w:t xml:space="preserve">d </w:t>
      </w:r>
      <w:r w:rsidR="00D371D5" w:rsidRPr="004B463A">
        <w:rPr>
          <w:rFonts w:ascii="Arial" w:hAnsi="Arial" w:cs="Arial"/>
          <w:sz w:val="24"/>
          <w:szCs w:val="24"/>
        </w:rPr>
        <w:t xml:space="preserve">websites in Poland, Turkey, China, </w:t>
      </w:r>
      <w:proofErr w:type="spellStart"/>
      <w:r w:rsidR="00D371D5" w:rsidRPr="004B463A">
        <w:rPr>
          <w:rFonts w:ascii="Arial" w:hAnsi="Arial" w:cs="Arial"/>
          <w:sz w:val="24"/>
          <w:szCs w:val="24"/>
        </w:rPr>
        <w:t>Brico</w:t>
      </w:r>
      <w:proofErr w:type="spellEnd"/>
      <w:r w:rsidR="00D371D5" w:rsidRPr="004B463A">
        <w:rPr>
          <w:rFonts w:ascii="Arial" w:hAnsi="Arial" w:cs="Arial"/>
          <w:sz w:val="24"/>
          <w:szCs w:val="24"/>
        </w:rPr>
        <w:t xml:space="preserve"> </w:t>
      </w:r>
      <w:proofErr w:type="spellStart"/>
      <w:r w:rsidR="00D371D5" w:rsidRPr="004B463A">
        <w:rPr>
          <w:rFonts w:ascii="Arial" w:hAnsi="Arial" w:cs="Arial"/>
          <w:sz w:val="24"/>
          <w:szCs w:val="24"/>
        </w:rPr>
        <w:t>Dépôt</w:t>
      </w:r>
      <w:proofErr w:type="spellEnd"/>
      <w:r w:rsidR="00D371D5" w:rsidRPr="004B463A">
        <w:rPr>
          <w:rFonts w:ascii="Arial" w:hAnsi="Arial" w:cs="Arial"/>
          <w:sz w:val="24"/>
          <w:szCs w:val="24"/>
        </w:rPr>
        <w:t xml:space="preserve"> France &amp; Spain </w:t>
      </w:r>
    </w:p>
    <w:p w:rsidR="00081230" w:rsidRDefault="00D371D5" w:rsidP="0006717E">
      <w:pPr>
        <w:numPr>
          <w:ilvl w:val="0"/>
          <w:numId w:val="38"/>
        </w:numPr>
        <w:contextualSpacing/>
        <w:jc w:val="left"/>
        <w:rPr>
          <w:rFonts w:ascii="Arial" w:hAnsi="Arial" w:cs="Arial"/>
          <w:sz w:val="24"/>
          <w:szCs w:val="24"/>
        </w:rPr>
      </w:pPr>
      <w:r w:rsidRPr="004B463A">
        <w:rPr>
          <w:rFonts w:ascii="Arial" w:hAnsi="Arial" w:cs="Arial"/>
          <w:sz w:val="24"/>
          <w:szCs w:val="24"/>
        </w:rPr>
        <w:t xml:space="preserve">Trial ‘click &amp; collect’ in Castorama France </w:t>
      </w:r>
      <w:r w:rsidR="00BE5E4B">
        <w:rPr>
          <w:rFonts w:ascii="Arial" w:hAnsi="Arial" w:cs="Arial"/>
          <w:sz w:val="24"/>
          <w:szCs w:val="24"/>
        </w:rPr>
        <w:t xml:space="preserve">(carried over from 2012/13) </w:t>
      </w:r>
      <w:r w:rsidRPr="004B463A">
        <w:rPr>
          <w:rFonts w:ascii="Arial" w:hAnsi="Arial" w:cs="Arial"/>
          <w:sz w:val="24"/>
          <w:szCs w:val="24"/>
        </w:rPr>
        <w:t>&amp; Turkey</w:t>
      </w:r>
      <w:r w:rsidR="00C33A0F">
        <w:rPr>
          <w:rFonts w:ascii="Arial" w:hAnsi="Arial" w:cs="Arial"/>
          <w:sz w:val="24"/>
          <w:szCs w:val="24"/>
        </w:rPr>
        <w:t xml:space="preserve"> </w:t>
      </w:r>
    </w:p>
    <w:p w:rsidR="007133B6" w:rsidRDefault="007133B6" w:rsidP="0006717E">
      <w:pPr>
        <w:contextualSpacing/>
        <w:rPr>
          <w:rFonts w:ascii="Arial" w:hAnsi="Arial" w:cs="Arial"/>
          <w:b/>
          <w:sz w:val="24"/>
          <w:szCs w:val="24"/>
        </w:rPr>
      </w:pPr>
    </w:p>
    <w:p w:rsidR="00F811DB" w:rsidRDefault="00F811DB">
      <w:pPr>
        <w:jc w:val="left"/>
        <w:rPr>
          <w:rFonts w:ascii="Arial" w:hAnsi="Arial" w:cs="Arial"/>
          <w:b/>
          <w:sz w:val="24"/>
          <w:szCs w:val="24"/>
        </w:rPr>
      </w:pPr>
      <w:r>
        <w:rPr>
          <w:rFonts w:ascii="Arial" w:hAnsi="Arial" w:cs="Arial"/>
          <w:b/>
          <w:sz w:val="24"/>
          <w:szCs w:val="24"/>
        </w:rPr>
        <w:br w:type="page"/>
      </w:r>
    </w:p>
    <w:p w:rsidR="003E3617" w:rsidRPr="007D220F" w:rsidRDefault="003E3617" w:rsidP="0006717E">
      <w:pPr>
        <w:jc w:val="left"/>
        <w:rPr>
          <w:highlight w:val="magenta"/>
        </w:rPr>
      </w:pPr>
      <w:r w:rsidRPr="007D220F">
        <w:rPr>
          <w:rFonts w:ascii="Arial" w:hAnsi="Arial" w:cs="Arial"/>
          <w:b/>
          <w:sz w:val="24"/>
          <w:szCs w:val="24"/>
        </w:rPr>
        <w:t>COMMON</w:t>
      </w:r>
      <w:r w:rsidRPr="007D220F">
        <w:rPr>
          <w:rFonts w:ascii="Arial" w:hAnsi="Arial" w:cs="Arial"/>
          <w:sz w:val="24"/>
          <w:szCs w:val="24"/>
        </w:rPr>
        <w:t xml:space="preserve"> </w:t>
      </w:r>
    </w:p>
    <w:p w:rsidR="003E3617" w:rsidRPr="007D220F" w:rsidRDefault="003E3617" w:rsidP="00701810">
      <w:pPr>
        <w:ind w:left="720" w:firstLine="414"/>
        <w:contextualSpacing/>
        <w:jc w:val="left"/>
        <w:rPr>
          <w:rFonts w:ascii="Arial" w:hAnsi="Arial" w:cs="Arial"/>
          <w:sz w:val="24"/>
          <w:szCs w:val="24"/>
        </w:rPr>
      </w:pPr>
      <w:r w:rsidRPr="007D220F">
        <w:rPr>
          <w:rFonts w:ascii="Arial" w:hAnsi="Arial" w:cs="Arial"/>
          <w:sz w:val="24"/>
          <w:szCs w:val="24"/>
        </w:rPr>
        <w:t xml:space="preserve">2012/13 </w:t>
      </w:r>
      <w:r>
        <w:rPr>
          <w:rFonts w:ascii="Arial" w:hAnsi="Arial" w:cs="Arial"/>
          <w:sz w:val="24"/>
          <w:szCs w:val="24"/>
        </w:rPr>
        <w:t>progress</w:t>
      </w:r>
    </w:p>
    <w:p w:rsidR="007F6C57" w:rsidRDefault="00A07E1F" w:rsidP="003E3617">
      <w:pPr>
        <w:pStyle w:val="ListParagraph"/>
        <w:numPr>
          <w:ilvl w:val="0"/>
          <w:numId w:val="10"/>
        </w:numPr>
        <w:contextualSpacing/>
        <w:jc w:val="left"/>
        <w:rPr>
          <w:rFonts w:ascii="Arial" w:hAnsi="Arial" w:cs="Arial"/>
          <w:sz w:val="24"/>
          <w:szCs w:val="24"/>
        </w:rPr>
      </w:pPr>
      <w:r>
        <w:rPr>
          <w:rFonts w:ascii="Arial" w:hAnsi="Arial" w:cs="Arial"/>
          <w:sz w:val="24"/>
          <w:szCs w:val="24"/>
        </w:rPr>
        <w:t>Exceeded targets to grow</w:t>
      </w:r>
      <w:r w:rsidR="003E3617">
        <w:rPr>
          <w:rFonts w:ascii="Arial" w:hAnsi="Arial" w:cs="Arial"/>
          <w:sz w:val="24"/>
          <w:szCs w:val="24"/>
        </w:rPr>
        <w:t xml:space="preserve"> the proportion of </w:t>
      </w:r>
      <w:r>
        <w:rPr>
          <w:rFonts w:ascii="Arial" w:hAnsi="Arial" w:cs="Arial"/>
          <w:sz w:val="24"/>
          <w:szCs w:val="24"/>
        </w:rPr>
        <w:t>sales of direct sourced (19%</w:t>
      </w:r>
      <w:r w:rsidR="00D71803">
        <w:rPr>
          <w:rFonts w:ascii="Arial" w:hAnsi="Arial" w:cs="Arial"/>
          <w:sz w:val="24"/>
          <w:szCs w:val="24"/>
        </w:rPr>
        <w:t xml:space="preserve"> versus 18% target</w:t>
      </w:r>
      <w:r>
        <w:rPr>
          <w:rFonts w:ascii="Arial" w:hAnsi="Arial" w:cs="Arial"/>
          <w:sz w:val="24"/>
          <w:szCs w:val="24"/>
        </w:rPr>
        <w:t xml:space="preserve">) </w:t>
      </w:r>
      <w:r w:rsidR="0036777F">
        <w:rPr>
          <w:rFonts w:ascii="Arial" w:hAnsi="Arial" w:cs="Arial"/>
          <w:sz w:val="24"/>
          <w:szCs w:val="24"/>
        </w:rPr>
        <w:t>&amp;</w:t>
      </w:r>
      <w:r>
        <w:rPr>
          <w:rFonts w:ascii="Arial" w:hAnsi="Arial" w:cs="Arial"/>
          <w:sz w:val="24"/>
          <w:szCs w:val="24"/>
        </w:rPr>
        <w:t xml:space="preserve"> c</w:t>
      </w:r>
      <w:r w:rsidR="00D90C50">
        <w:rPr>
          <w:rFonts w:ascii="Arial" w:hAnsi="Arial" w:cs="Arial"/>
          <w:sz w:val="24"/>
          <w:szCs w:val="24"/>
        </w:rPr>
        <w:t>ommon</w:t>
      </w:r>
      <w:r w:rsidR="00D72E13" w:rsidRPr="00EC015F">
        <w:rPr>
          <w:rFonts w:ascii="Arial" w:hAnsi="Arial" w:cs="Arial"/>
          <w:i/>
          <w:sz w:val="24"/>
          <w:szCs w:val="24"/>
          <w:vertAlign w:val="superscript"/>
        </w:rPr>
        <w:t>(1)</w:t>
      </w:r>
      <w:r w:rsidR="00D90C50">
        <w:rPr>
          <w:rFonts w:ascii="Arial" w:hAnsi="Arial" w:cs="Arial"/>
          <w:sz w:val="24"/>
          <w:szCs w:val="24"/>
        </w:rPr>
        <w:t xml:space="preserve"> </w:t>
      </w:r>
      <w:r w:rsidR="003632E0">
        <w:rPr>
          <w:rFonts w:ascii="Arial" w:hAnsi="Arial" w:cs="Arial"/>
          <w:sz w:val="24"/>
          <w:szCs w:val="24"/>
        </w:rPr>
        <w:t>products</w:t>
      </w:r>
      <w:r w:rsidR="00D90C50">
        <w:rPr>
          <w:rFonts w:ascii="Arial" w:hAnsi="Arial" w:cs="Arial"/>
          <w:sz w:val="24"/>
          <w:szCs w:val="24"/>
        </w:rPr>
        <w:t xml:space="preserve"> </w:t>
      </w:r>
      <w:r>
        <w:rPr>
          <w:rFonts w:ascii="Arial" w:hAnsi="Arial" w:cs="Arial"/>
          <w:sz w:val="24"/>
          <w:szCs w:val="24"/>
        </w:rPr>
        <w:t>(</w:t>
      </w:r>
      <w:r w:rsidR="00F73F12">
        <w:rPr>
          <w:rFonts w:ascii="Arial" w:hAnsi="Arial" w:cs="Arial"/>
          <w:sz w:val="24"/>
          <w:szCs w:val="24"/>
        </w:rPr>
        <w:t>8</w:t>
      </w:r>
      <w:r>
        <w:rPr>
          <w:rFonts w:ascii="Arial" w:hAnsi="Arial" w:cs="Arial"/>
          <w:sz w:val="24"/>
          <w:szCs w:val="24"/>
        </w:rPr>
        <w:t>%</w:t>
      </w:r>
      <w:r w:rsidR="00D71803">
        <w:rPr>
          <w:rFonts w:ascii="Arial" w:hAnsi="Arial" w:cs="Arial"/>
          <w:sz w:val="24"/>
          <w:szCs w:val="24"/>
        </w:rPr>
        <w:t xml:space="preserve"> versus 7% target</w:t>
      </w:r>
      <w:r>
        <w:rPr>
          <w:rFonts w:ascii="Arial" w:hAnsi="Arial" w:cs="Arial"/>
          <w:sz w:val="24"/>
          <w:szCs w:val="24"/>
        </w:rPr>
        <w:t>)</w:t>
      </w:r>
    </w:p>
    <w:p w:rsidR="003E3617" w:rsidRDefault="007F6C57" w:rsidP="003E3617">
      <w:pPr>
        <w:pStyle w:val="ListParagraph"/>
        <w:numPr>
          <w:ilvl w:val="0"/>
          <w:numId w:val="10"/>
        </w:numPr>
        <w:contextualSpacing/>
        <w:jc w:val="left"/>
        <w:rPr>
          <w:rFonts w:ascii="Arial" w:hAnsi="Arial" w:cs="Arial"/>
          <w:sz w:val="24"/>
          <w:szCs w:val="24"/>
        </w:rPr>
      </w:pPr>
      <w:r w:rsidRPr="007F6C57">
        <w:rPr>
          <w:rFonts w:ascii="Arial" w:hAnsi="Arial" w:cs="Arial"/>
          <w:sz w:val="24"/>
          <w:szCs w:val="24"/>
        </w:rPr>
        <w:t>Direct sourcing in our developing markets up 63%</w:t>
      </w:r>
      <w:r w:rsidR="00A07E1F">
        <w:rPr>
          <w:rFonts w:ascii="Arial" w:hAnsi="Arial" w:cs="Arial"/>
          <w:sz w:val="24"/>
          <w:szCs w:val="24"/>
        </w:rPr>
        <w:t xml:space="preserve"> (Poland, Russia, Turkey &amp; China)</w:t>
      </w:r>
    </w:p>
    <w:p w:rsidR="003E3617" w:rsidRDefault="003E3617" w:rsidP="003E3617">
      <w:pPr>
        <w:pStyle w:val="ListParagraph"/>
        <w:numPr>
          <w:ilvl w:val="0"/>
          <w:numId w:val="10"/>
        </w:numPr>
        <w:contextualSpacing/>
        <w:jc w:val="left"/>
        <w:rPr>
          <w:rFonts w:ascii="Arial" w:hAnsi="Arial" w:cs="Arial"/>
          <w:sz w:val="24"/>
          <w:szCs w:val="24"/>
        </w:rPr>
      </w:pPr>
      <w:r>
        <w:rPr>
          <w:rFonts w:ascii="Arial" w:hAnsi="Arial" w:cs="Arial"/>
          <w:sz w:val="24"/>
          <w:szCs w:val="24"/>
        </w:rPr>
        <w:t>Opened new direct sourcing office in Turkey</w:t>
      </w:r>
    </w:p>
    <w:p w:rsidR="003E3617" w:rsidRDefault="003E3617" w:rsidP="003E3617">
      <w:pPr>
        <w:pStyle w:val="ListParagraph"/>
        <w:numPr>
          <w:ilvl w:val="0"/>
          <w:numId w:val="10"/>
        </w:numPr>
        <w:contextualSpacing/>
        <w:jc w:val="left"/>
        <w:rPr>
          <w:rFonts w:ascii="Arial" w:hAnsi="Arial" w:cs="Arial"/>
          <w:sz w:val="24"/>
          <w:szCs w:val="24"/>
        </w:rPr>
      </w:pPr>
      <w:r>
        <w:rPr>
          <w:rFonts w:ascii="Arial" w:hAnsi="Arial" w:cs="Arial"/>
          <w:sz w:val="24"/>
          <w:szCs w:val="24"/>
        </w:rPr>
        <w:t xml:space="preserve">Extended ‘Trade’ common own brands in </w:t>
      </w:r>
      <w:proofErr w:type="spellStart"/>
      <w:r w:rsidRPr="00A54114">
        <w:rPr>
          <w:rFonts w:ascii="Arial" w:hAnsi="Arial" w:cs="Arial"/>
          <w:sz w:val="24"/>
          <w:szCs w:val="24"/>
        </w:rPr>
        <w:t>Screwfix</w:t>
      </w:r>
      <w:proofErr w:type="spellEnd"/>
      <w:r w:rsidRPr="00A54114">
        <w:rPr>
          <w:rFonts w:ascii="Arial" w:hAnsi="Arial" w:cs="Arial"/>
          <w:sz w:val="24"/>
          <w:szCs w:val="24"/>
        </w:rPr>
        <w:t xml:space="preserve"> </w:t>
      </w:r>
      <w:r w:rsidR="000F4BB3">
        <w:rPr>
          <w:rFonts w:ascii="Arial" w:hAnsi="Arial" w:cs="Arial"/>
          <w:sz w:val="24"/>
          <w:szCs w:val="24"/>
        </w:rPr>
        <w:t>&amp;</w:t>
      </w:r>
      <w:r w:rsidRPr="00A54114">
        <w:rPr>
          <w:rFonts w:ascii="Arial" w:hAnsi="Arial" w:cs="Arial"/>
          <w:sz w:val="24"/>
          <w:szCs w:val="24"/>
        </w:rPr>
        <w:t xml:space="preserve"> </w:t>
      </w:r>
      <w:proofErr w:type="spellStart"/>
      <w:r w:rsidRPr="00A54114">
        <w:rPr>
          <w:rFonts w:ascii="Arial" w:hAnsi="Arial" w:cs="Arial"/>
          <w:sz w:val="24"/>
          <w:szCs w:val="24"/>
        </w:rPr>
        <w:t>Brico</w:t>
      </w:r>
      <w:proofErr w:type="spellEnd"/>
      <w:r w:rsidRPr="00A54114">
        <w:rPr>
          <w:rFonts w:ascii="Arial" w:hAnsi="Arial" w:cs="Arial"/>
          <w:sz w:val="24"/>
          <w:szCs w:val="24"/>
        </w:rPr>
        <w:t xml:space="preserve"> </w:t>
      </w:r>
      <w:proofErr w:type="spellStart"/>
      <w:r w:rsidRPr="00A54114">
        <w:rPr>
          <w:rFonts w:ascii="Arial" w:hAnsi="Arial" w:cs="Arial"/>
          <w:sz w:val="24"/>
          <w:szCs w:val="24"/>
        </w:rPr>
        <w:t>Dépôt</w:t>
      </w:r>
      <w:proofErr w:type="spellEnd"/>
      <w:r>
        <w:rPr>
          <w:rFonts w:ascii="Arial" w:hAnsi="Arial" w:cs="Arial"/>
          <w:sz w:val="24"/>
          <w:szCs w:val="24"/>
        </w:rPr>
        <w:t xml:space="preserve"> </w:t>
      </w:r>
    </w:p>
    <w:p w:rsidR="003E3617" w:rsidRDefault="003E3617" w:rsidP="003E3617">
      <w:pPr>
        <w:pStyle w:val="ListParagraph"/>
        <w:numPr>
          <w:ilvl w:val="1"/>
          <w:numId w:val="10"/>
        </w:numPr>
        <w:contextualSpacing/>
        <w:jc w:val="left"/>
        <w:rPr>
          <w:rFonts w:ascii="Arial" w:hAnsi="Arial" w:cs="Arial"/>
          <w:sz w:val="24"/>
          <w:szCs w:val="24"/>
        </w:rPr>
      </w:pPr>
      <w:r>
        <w:rPr>
          <w:rFonts w:ascii="Arial" w:hAnsi="Arial" w:cs="Arial"/>
          <w:sz w:val="24"/>
          <w:szCs w:val="24"/>
        </w:rPr>
        <w:t xml:space="preserve">Mid-range ‘Titan’ hand power tools launched in 2010 </w:t>
      </w:r>
      <w:r w:rsidR="00074BF9">
        <w:rPr>
          <w:rFonts w:ascii="Arial" w:hAnsi="Arial" w:cs="Arial"/>
          <w:sz w:val="24"/>
          <w:szCs w:val="24"/>
        </w:rPr>
        <w:t xml:space="preserve">and </w:t>
      </w:r>
      <w:r>
        <w:rPr>
          <w:rFonts w:ascii="Arial" w:hAnsi="Arial" w:cs="Arial"/>
          <w:sz w:val="24"/>
          <w:szCs w:val="24"/>
        </w:rPr>
        <w:t xml:space="preserve">extended to other products e.g. vacuums </w:t>
      </w:r>
      <w:r w:rsidR="0036777F">
        <w:rPr>
          <w:rFonts w:ascii="Arial" w:hAnsi="Arial" w:cs="Arial"/>
          <w:sz w:val="24"/>
          <w:szCs w:val="24"/>
        </w:rPr>
        <w:t>&amp;</w:t>
      </w:r>
      <w:r>
        <w:rPr>
          <w:rFonts w:ascii="Arial" w:hAnsi="Arial" w:cs="Arial"/>
          <w:sz w:val="24"/>
          <w:szCs w:val="24"/>
        </w:rPr>
        <w:t xml:space="preserve"> pressure washers</w:t>
      </w:r>
    </w:p>
    <w:p w:rsidR="003E3617" w:rsidRDefault="00A07E1F" w:rsidP="003E3617">
      <w:pPr>
        <w:pStyle w:val="ListParagraph"/>
        <w:numPr>
          <w:ilvl w:val="1"/>
          <w:numId w:val="10"/>
        </w:numPr>
        <w:contextualSpacing/>
        <w:jc w:val="left"/>
        <w:rPr>
          <w:rFonts w:ascii="Arial" w:hAnsi="Arial" w:cs="Arial"/>
          <w:sz w:val="24"/>
          <w:szCs w:val="24"/>
        </w:rPr>
      </w:pPr>
      <w:r>
        <w:rPr>
          <w:rFonts w:ascii="Arial" w:hAnsi="Arial" w:cs="Arial"/>
          <w:sz w:val="24"/>
          <w:szCs w:val="24"/>
        </w:rPr>
        <w:t>D</w:t>
      </w:r>
      <w:r w:rsidR="0060787B">
        <w:rPr>
          <w:rFonts w:ascii="Arial" w:hAnsi="Arial" w:cs="Arial"/>
          <w:sz w:val="24"/>
          <w:szCs w:val="24"/>
        </w:rPr>
        <w:t>eveloped</w:t>
      </w:r>
      <w:r w:rsidR="003E3617">
        <w:rPr>
          <w:rFonts w:ascii="Arial" w:hAnsi="Arial" w:cs="Arial"/>
          <w:sz w:val="24"/>
          <w:szCs w:val="24"/>
        </w:rPr>
        <w:t xml:space="preserve"> </w:t>
      </w:r>
      <w:r>
        <w:rPr>
          <w:rFonts w:ascii="Arial" w:hAnsi="Arial" w:cs="Arial"/>
          <w:sz w:val="24"/>
          <w:szCs w:val="24"/>
        </w:rPr>
        <w:t xml:space="preserve">new </w:t>
      </w:r>
      <w:r w:rsidR="003E3617">
        <w:rPr>
          <w:rFonts w:ascii="Arial" w:hAnsi="Arial" w:cs="Arial"/>
          <w:sz w:val="24"/>
          <w:szCs w:val="24"/>
        </w:rPr>
        <w:t xml:space="preserve">‘Site’ work wear </w:t>
      </w:r>
      <w:r w:rsidR="0060787B">
        <w:rPr>
          <w:rFonts w:ascii="Arial" w:hAnsi="Arial" w:cs="Arial"/>
          <w:sz w:val="24"/>
          <w:szCs w:val="24"/>
        </w:rPr>
        <w:t>brand</w:t>
      </w:r>
      <w:r w:rsidR="00D10EE4">
        <w:rPr>
          <w:rFonts w:ascii="Arial" w:hAnsi="Arial" w:cs="Arial"/>
          <w:sz w:val="24"/>
          <w:szCs w:val="24"/>
        </w:rPr>
        <w:t>, now</w:t>
      </w:r>
      <w:r w:rsidR="0060787B">
        <w:rPr>
          <w:rFonts w:ascii="Arial" w:hAnsi="Arial" w:cs="Arial"/>
          <w:sz w:val="24"/>
          <w:szCs w:val="24"/>
        </w:rPr>
        <w:t xml:space="preserve"> launched in </w:t>
      </w:r>
      <w:proofErr w:type="spellStart"/>
      <w:r w:rsidR="0060787B">
        <w:rPr>
          <w:rFonts w:ascii="Arial" w:hAnsi="Arial" w:cs="Arial"/>
          <w:sz w:val="24"/>
          <w:szCs w:val="24"/>
        </w:rPr>
        <w:t>Screw</w:t>
      </w:r>
      <w:r w:rsidR="00D10EE4">
        <w:rPr>
          <w:rFonts w:ascii="Arial" w:hAnsi="Arial" w:cs="Arial"/>
          <w:sz w:val="24"/>
          <w:szCs w:val="24"/>
        </w:rPr>
        <w:t>f</w:t>
      </w:r>
      <w:r w:rsidR="0060787B">
        <w:rPr>
          <w:rFonts w:ascii="Arial" w:hAnsi="Arial" w:cs="Arial"/>
          <w:sz w:val="24"/>
          <w:szCs w:val="24"/>
        </w:rPr>
        <w:t>ix</w:t>
      </w:r>
      <w:proofErr w:type="spellEnd"/>
      <w:r w:rsidR="0060787B">
        <w:rPr>
          <w:rFonts w:ascii="Arial" w:hAnsi="Arial" w:cs="Arial"/>
          <w:sz w:val="24"/>
          <w:szCs w:val="24"/>
        </w:rPr>
        <w:t xml:space="preserve"> </w:t>
      </w:r>
      <w:r w:rsidR="0036777F">
        <w:rPr>
          <w:rFonts w:ascii="Arial" w:hAnsi="Arial" w:cs="Arial"/>
          <w:sz w:val="24"/>
          <w:szCs w:val="24"/>
        </w:rPr>
        <w:t>&amp;</w:t>
      </w:r>
      <w:r w:rsidR="0060787B">
        <w:rPr>
          <w:rFonts w:ascii="Arial" w:hAnsi="Arial" w:cs="Arial"/>
          <w:sz w:val="24"/>
          <w:szCs w:val="24"/>
        </w:rPr>
        <w:t xml:space="preserve"> trialled in </w:t>
      </w:r>
      <w:proofErr w:type="spellStart"/>
      <w:r w:rsidR="0060787B">
        <w:rPr>
          <w:rFonts w:ascii="Arial" w:hAnsi="Arial" w:cs="Arial"/>
          <w:sz w:val="24"/>
          <w:szCs w:val="24"/>
        </w:rPr>
        <w:t>Brico</w:t>
      </w:r>
      <w:proofErr w:type="spellEnd"/>
      <w:r w:rsidR="0060787B">
        <w:rPr>
          <w:rFonts w:ascii="Arial" w:hAnsi="Arial" w:cs="Arial"/>
          <w:sz w:val="24"/>
          <w:szCs w:val="24"/>
        </w:rPr>
        <w:t xml:space="preserve"> </w:t>
      </w:r>
      <w:proofErr w:type="spellStart"/>
      <w:r w:rsidR="0060787B">
        <w:rPr>
          <w:rFonts w:ascii="Arial" w:hAnsi="Arial" w:cs="Arial"/>
          <w:sz w:val="24"/>
          <w:szCs w:val="24"/>
        </w:rPr>
        <w:t>Dépôt</w:t>
      </w:r>
      <w:proofErr w:type="spellEnd"/>
    </w:p>
    <w:p w:rsidR="007F6C57" w:rsidRDefault="00D10EE4" w:rsidP="003E3617">
      <w:pPr>
        <w:pStyle w:val="ListParagraph"/>
        <w:numPr>
          <w:ilvl w:val="1"/>
          <w:numId w:val="10"/>
        </w:numPr>
        <w:contextualSpacing/>
        <w:jc w:val="left"/>
        <w:rPr>
          <w:rFonts w:ascii="Arial" w:hAnsi="Arial" w:cs="Arial"/>
          <w:sz w:val="24"/>
          <w:szCs w:val="24"/>
        </w:rPr>
      </w:pPr>
      <w:r>
        <w:rPr>
          <w:rFonts w:ascii="Arial" w:hAnsi="Arial" w:cs="Arial"/>
          <w:sz w:val="24"/>
          <w:szCs w:val="24"/>
        </w:rPr>
        <w:t>Launched</w:t>
      </w:r>
      <w:r w:rsidR="007F6C57">
        <w:rPr>
          <w:rFonts w:ascii="Arial" w:hAnsi="Arial" w:cs="Arial"/>
          <w:sz w:val="24"/>
          <w:szCs w:val="24"/>
        </w:rPr>
        <w:t xml:space="preserve"> </w:t>
      </w:r>
      <w:proofErr w:type="spellStart"/>
      <w:r w:rsidR="007F6C57">
        <w:rPr>
          <w:rFonts w:ascii="Arial" w:hAnsi="Arial" w:cs="Arial"/>
          <w:sz w:val="24"/>
          <w:szCs w:val="24"/>
        </w:rPr>
        <w:t>Brico</w:t>
      </w:r>
      <w:proofErr w:type="spellEnd"/>
      <w:r w:rsidR="007F6C57">
        <w:rPr>
          <w:rFonts w:ascii="Arial" w:hAnsi="Arial" w:cs="Arial"/>
          <w:sz w:val="24"/>
          <w:szCs w:val="24"/>
        </w:rPr>
        <w:t xml:space="preserve"> </w:t>
      </w:r>
      <w:proofErr w:type="spellStart"/>
      <w:r w:rsidR="007F6C57">
        <w:rPr>
          <w:rFonts w:ascii="Arial" w:hAnsi="Arial" w:cs="Arial"/>
          <w:sz w:val="24"/>
          <w:szCs w:val="24"/>
        </w:rPr>
        <w:t>Dépôt’s</w:t>
      </w:r>
      <w:proofErr w:type="spellEnd"/>
      <w:r w:rsidR="007F6C57">
        <w:rPr>
          <w:rFonts w:ascii="Arial" w:hAnsi="Arial" w:cs="Arial"/>
          <w:sz w:val="24"/>
          <w:szCs w:val="24"/>
        </w:rPr>
        <w:t xml:space="preserve"> ‘</w:t>
      </w:r>
      <w:proofErr w:type="spellStart"/>
      <w:r w:rsidR="007F6C57">
        <w:rPr>
          <w:rFonts w:ascii="Arial" w:hAnsi="Arial" w:cs="Arial"/>
          <w:sz w:val="24"/>
          <w:szCs w:val="24"/>
        </w:rPr>
        <w:t>Energer</w:t>
      </w:r>
      <w:proofErr w:type="spellEnd"/>
      <w:r w:rsidR="007F6C57">
        <w:rPr>
          <w:rFonts w:ascii="Arial" w:hAnsi="Arial" w:cs="Arial"/>
          <w:sz w:val="24"/>
          <w:szCs w:val="24"/>
        </w:rPr>
        <w:t xml:space="preserve">’ </w:t>
      </w:r>
      <w:r>
        <w:rPr>
          <w:rFonts w:ascii="Arial" w:hAnsi="Arial" w:cs="Arial"/>
          <w:sz w:val="24"/>
          <w:szCs w:val="24"/>
        </w:rPr>
        <w:t xml:space="preserve">own </w:t>
      </w:r>
      <w:r w:rsidR="007F6C57">
        <w:rPr>
          <w:rFonts w:ascii="Arial" w:hAnsi="Arial" w:cs="Arial"/>
          <w:sz w:val="24"/>
          <w:szCs w:val="24"/>
        </w:rPr>
        <w:t xml:space="preserve">brand of opening price point power tools into </w:t>
      </w:r>
      <w:proofErr w:type="spellStart"/>
      <w:r w:rsidR="007F6C57">
        <w:rPr>
          <w:rFonts w:ascii="Arial" w:hAnsi="Arial" w:cs="Arial"/>
          <w:sz w:val="24"/>
          <w:szCs w:val="24"/>
        </w:rPr>
        <w:t>Screwfix</w:t>
      </w:r>
      <w:proofErr w:type="spellEnd"/>
    </w:p>
    <w:p w:rsidR="007F6C57" w:rsidRDefault="007F6C57" w:rsidP="0006717E">
      <w:pPr>
        <w:pStyle w:val="ListParagraph"/>
        <w:numPr>
          <w:ilvl w:val="0"/>
          <w:numId w:val="10"/>
        </w:numPr>
        <w:contextualSpacing/>
        <w:jc w:val="left"/>
        <w:rPr>
          <w:rFonts w:ascii="Arial" w:hAnsi="Arial" w:cs="Arial"/>
          <w:sz w:val="24"/>
          <w:szCs w:val="24"/>
        </w:rPr>
      </w:pPr>
      <w:r>
        <w:rPr>
          <w:rFonts w:ascii="Arial" w:hAnsi="Arial" w:cs="Arial"/>
          <w:sz w:val="24"/>
          <w:szCs w:val="24"/>
        </w:rPr>
        <w:t xml:space="preserve">Launched new tiling range in B&amp;Q UK &amp; Ireland </w:t>
      </w:r>
    </w:p>
    <w:p w:rsidR="007F6C57" w:rsidRDefault="007F6C57">
      <w:pPr>
        <w:pStyle w:val="ListParagraph"/>
        <w:numPr>
          <w:ilvl w:val="1"/>
          <w:numId w:val="10"/>
        </w:numPr>
        <w:contextualSpacing/>
        <w:jc w:val="left"/>
        <w:rPr>
          <w:rFonts w:ascii="Arial" w:hAnsi="Arial" w:cs="Arial"/>
          <w:sz w:val="24"/>
          <w:szCs w:val="24"/>
        </w:rPr>
      </w:pPr>
      <w:r>
        <w:rPr>
          <w:rFonts w:ascii="Arial" w:hAnsi="Arial" w:cs="Arial"/>
          <w:sz w:val="24"/>
          <w:szCs w:val="24"/>
        </w:rPr>
        <w:t>100% takeaway, no special order</w:t>
      </w:r>
    </w:p>
    <w:p w:rsidR="007F6C57" w:rsidRPr="0036777F" w:rsidRDefault="007F6C57">
      <w:pPr>
        <w:pStyle w:val="ListParagraph"/>
        <w:numPr>
          <w:ilvl w:val="1"/>
          <w:numId w:val="10"/>
        </w:numPr>
        <w:contextualSpacing/>
        <w:jc w:val="left"/>
        <w:rPr>
          <w:rFonts w:ascii="Arial" w:hAnsi="Arial" w:cs="Arial"/>
          <w:sz w:val="24"/>
          <w:szCs w:val="24"/>
        </w:rPr>
      </w:pPr>
      <w:r w:rsidRPr="0036777F">
        <w:rPr>
          <w:rFonts w:ascii="Arial" w:hAnsi="Arial" w:cs="Arial"/>
          <w:sz w:val="24"/>
          <w:szCs w:val="24"/>
        </w:rPr>
        <w:t>Higher commonality with Castorama France</w:t>
      </w:r>
      <w:r w:rsidR="0036777F" w:rsidRPr="0036777F">
        <w:rPr>
          <w:rFonts w:ascii="Arial" w:hAnsi="Arial" w:cs="Arial"/>
          <w:sz w:val="24"/>
          <w:szCs w:val="24"/>
        </w:rPr>
        <w:t xml:space="preserve"> &amp; </w:t>
      </w:r>
      <w:r w:rsidR="0036777F">
        <w:rPr>
          <w:rFonts w:ascii="Arial" w:hAnsi="Arial" w:cs="Arial"/>
          <w:sz w:val="24"/>
          <w:szCs w:val="24"/>
        </w:rPr>
        <w:t>h</w:t>
      </w:r>
      <w:r w:rsidRPr="0036777F">
        <w:rPr>
          <w:rFonts w:ascii="Arial" w:hAnsi="Arial" w:cs="Arial"/>
          <w:sz w:val="24"/>
          <w:szCs w:val="24"/>
        </w:rPr>
        <w:t>igher direct sourcing</w:t>
      </w:r>
    </w:p>
    <w:p w:rsidR="007F6C57" w:rsidRPr="006374FD" w:rsidRDefault="00D10EE4">
      <w:pPr>
        <w:pStyle w:val="ListParagraph"/>
        <w:numPr>
          <w:ilvl w:val="1"/>
          <w:numId w:val="10"/>
        </w:numPr>
        <w:contextualSpacing/>
        <w:jc w:val="left"/>
        <w:rPr>
          <w:rFonts w:ascii="Arial" w:hAnsi="Arial" w:cs="Arial"/>
          <w:sz w:val="24"/>
          <w:szCs w:val="24"/>
        </w:rPr>
      </w:pPr>
      <w:r>
        <w:rPr>
          <w:rFonts w:ascii="Arial" w:hAnsi="Arial" w:cs="Arial"/>
          <w:sz w:val="24"/>
          <w:szCs w:val="24"/>
        </w:rPr>
        <w:t>Grown market share</w:t>
      </w:r>
      <w:r w:rsidR="0036777F" w:rsidRPr="00EC015F">
        <w:rPr>
          <w:rFonts w:ascii="Arial" w:hAnsi="Arial" w:cs="Arial"/>
          <w:i/>
          <w:sz w:val="24"/>
          <w:szCs w:val="24"/>
          <w:vertAlign w:val="superscript"/>
        </w:rPr>
        <w:t>(</w:t>
      </w:r>
      <w:r w:rsidR="00D72E13" w:rsidRPr="00EC015F">
        <w:rPr>
          <w:rFonts w:ascii="Arial" w:hAnsi="Arial" w:cs="Arial"/>
          <w:i/>
          <w:sz w:val="24"/>
          <w:szCs w:val="24"/>
          <w:vertAlign w:val="superscript"/>
        </w:rPr>
        <w:t>2</w:t>
      </w:r>
      <w:r w:rsidR="0036777F" w:rsidRPr="00EC015F">
        <w:rPr>
          <w:rFonts w:ascii="Arial" w:hAnsi="Arial" w:cs="Arial"/>
          <w:i/>
          <w:sz w:val="24"/>
          <w:szCs w:val="24"/>
          <w:vertAlign w:val="superscript"/>
        </w:rPr>
        <w:t>)</w:t>
      </w:r>
      <w:r>
        <w:rPr>
          <w:rFonts w:ascii="Arial" w:hAnsi="Arial" w:cs="Arial"/>
          <w:sz w:val="24"/>
          <w:szCs w:val="24"/>
        </w:rPr>
        <w:t>, p</w:t>
      </w:r>
      <w:r w:rsidR="007F6C57">
        <w:rPr>
          <w:rFonts w:ascii="Arial" w:hAnsi="Arial" w:cs="Arial"/>
          <w:sz w:val="24"/>
          <w:szCs w:val="24"/>
        </w:rPr>
        <w:t>ositive LFL in a weak market</w:t>
      </w:r>
      <w:r w:rsidR="0036777F" w:rsidRPr="00EC015F">
        <w:rPr>
          <w:rFonts w:ascii="Arial" w:hAnsi="Arial" w:cs="Arial"/>
          <w:i/>
          <w:sz w:val="24"/>
          <w:szCs w:val="24"/>
          <w:vertAlign w:val="superscript"/>
        </w:rPr>
        <w:t>(2)</w:t>
      </w:r>
      <w:r>
        <w:rPr>
          <w:rFonts w:ascii="Arial" w:hAnsi="Arial" w:cs="Arial"/>
          <w:sz w:val="24"/>
          <w:szCs w:val="24"/>
        </w:rPr>
        <w:t xml:space="preserve"> since </w:t>
      </w:r>
      <w:r w:rsidR="00BA3DDC">
        <w:rPr>
          <w:rFonts w:ascii="Arial" w:hAnsi="Arial" w:cs="Arial"/>
          <w:sz w:val="24"/>
          <w:szCs w:val="24"/>
        </w:rPr>
        <w:t xml:space="preserve">H1 </w:t>
      </w:r>
    </w:p>
    <w:p w:rsidR="00005607" w:rsidRDefault="003E3617" w:rsidP="003E3617">
      <w:pPr>
        <w:pStyle w:val="ListParagraph"/>
        <w:numPr>
          <w:ilvl w:val="0"/>
          <w:numId w:val="10"/>
        </w:numPr>
        <w:contextualSpacing/>
        <w:jc w:val="left"/>
        <w:rPr>
          <w:rFonts w:ascii="Arial" w:hAnsi="Arial" w:cs="Arial"/>
          <w:sz w:val="24"/>
          <w:szCs w:val="24"/>
        </w:rPr>
      </w:pPr>
      <w:r w:rsidRPr="009618C2">
        <w:rPr>
          <w:rFonts w:ascii="Arial" w:hAnsi="Arial" w:cs="Arial"/>
          <w:sz w:val="24"/>
          <w:szCs w:val="24"/>
        </w:rPr>
        <w:t>Developed a stock forecasting and replenishment IT solution</w:t>
      </w:r>
      <w:r w:rsidR="00005607">
        <w:rPr>
          <w:rFonts w:ascii="Arial" w:hAnsi="Arial" w:cs="Arial"/>
          <w:sz w:val="24"/>
          <w:szCs w:val="24"/>
        </w:rPr>
        <w:t>, successfully rolled out in:</w:t>
      </w:r>
    </w:p>
    <w:p w:rsidR="00005607" w:rsidRDefault="003E3617" w:rsidP="00842F7C">
      <w:pPr>
        <w:pStyle w:val="ListParagraph"/>
        <w:numPr>
          <w:ilvl w:val="1"/>
          <w:numId w:val="10"/>
        </w:numPr>
        <w:contextualSpacing/>
        <w:jc w:val="left"/>
        <w:rPr>
          <w:rFonts w:ascii="Arial" w:hAnsi="Arial" w:cs="Arial"/>
          <w:sz w:val="24"/>
          <w:szCs w:val="24"/>
        </w:rPr>
      </w:pPr>
      <w:r w:rsidRPr="009618C2">
        <w:rPr>
          <w:rFonts w:ascii="Arial" w:hAnsi="Arial" w:cs="Arial"/>
          <w:sz w:val="24"/>
          <w:szCs w:val="24"/>
        </w:rPr>
        <w:t>B&amp;Q UK &amp; Ireland, improving availability</w:t>
      </w:r>
    </w:p>
    <w:p w:rsidR="003E3617" w:rsidRPr="009618C2" w:rsidRDefault="00005607" w:rsidP="00842F7C">
      <w:pPr>
        <w:pStyle w:val="ListParagraph"/>
        <w:numPr>
          <w:ilvl w:val="1"/>
          <w:numId w:val="10"/>
        </w:numPr>
        <w:contextualSpacing/>
        <w:jc w:val="left"/>
        <w:rPr>
          <w:rFonts w:ascii="Arial" w:hAnsi="Arial" w:cs="Arial"/>
          <w:sz w:val="24"/>
          <w:szCs w:val="24"/>
        </w:rPr>
      </w:pPr>
      <w:r>
        <w:rPr>
          <w:rFonts w:ascii="Arial" w:hAnsi="Arial" w:cs="Arial"/>
          <w:sz w:val="24"/>
          <w:szCs w:val="24"/>
        </w:rPr>
        <w:t>Poland to support ramping up of direct sourced shipments</w:t>
      </w:r>
      <w:r w:rsidR="003E3617" w:rsidRPr="009618C2">
        <w:rPr>
          <w:rFonts w:ascii="Arial" w:hAnsi="Arial" w:cs="Arial"/>
          <w:sz w:val="24"/>
          <w:szCs w:val="24"/>
        </w:rPr>
        <w:t xml:space="preserve"> </w:t>
      </w:r>
    </w:p>
    <w:p w:rsidR="003E3617" w:rsidRDefault="003E3617" w:rsidP="003E3617">
      <w:pPr>
        <w:pStyle w:val="ListParagraph"/>
        <w:numPr>
          <w:ilvl w:val="0"/>
          <w:numId w:val="10"/>
        </w:numPr>
        <w:contextualSpacing/>
        <w:jc w:val="left"/>
        <w:rPr>
          <w:rFonts w:ascii="Arial" w:hAnsi="Arial" w:cs="Arial"/>
          <w:sz w:val="24"/>
          <w:szCs w:val="24"/>
        </w:rPr>
      </w:pPr>
      <w:r>
        <w:rPr>
          <w:rFonts w:ascii="Arial" w:hAnsi="Arial" w:cs="Arial"/>
          <w:sz w:val="24"/>
          <w:szCs w:val="24"/>
        </w:rPr>
        <w:t>Driven Group-wide cost efficiencies</w:t>
      </w:r>
    </w:p>
    <w:p w:rsidR="003E3617" w:rsidRDefault="003E3617" w:rsidP="003E3617">
      <w:pPr>
        <w:pStyle w:val="ListParagraph"/>
        <w:numPr>
          <w:ilvl w:val="1"/>
          <w:numId w:val="10"/>
        </w:numPr>
        <w:contextualSpacing/>
        <w:jc w:val="left"/>
        <w:rPr>
          <w:rFonts w:ascii="Arial" w:hAnsi="Arial" w:cs="Arial"/>
          <w:sz w:val="24"/>
          <w:szCs w:val="24"/>
        </w:rPr>
      </w:pPr>
      <w:r w:rsidRPr="005766DD">
        <w:rPr>
          <w:rFonts w:ascii="Arial" w:hAnsi="Arial" w:cs="Arial"/>
          <w:sz w:val="24"/>
          <w:szCs w:val="24"/>
        </w:rPr>
        <w:t xml:space="preserve">GNFR </w:t>
      </w:r>
      <w:r w:rsidR="00B2667D">
        <w:rPr>
          <w:rFonts w:ascii="Arial" w:hAnsi="Arial" w:cs="Arial"/>
          <w:sz w:val="24"/>
          <w:szCs w:val="24"/>
        </w:rPr>
        <w:t>(</w:t>
      </w:r>
      <w:r w:rsidR="0083656F">
        <w:rPr>
          <w:rFonts w:ascii="Arial" w:hAnsi="Arial" w:cs="Arial"/>
          <w:sz w:val="24"/>
          <w:szCs w:val="24"/>
        </w:rPr>
        <w:t>g</w:t>
      </w:r>
      <w:r w:rsidR="00B2667D">
        <w:rPr>
          <w:rFonts w:ascii="Arial" w:hAnsi="Arial" w:cs="Arial"/>
          <w:sz w:val="24"/>
          <w:szCs w:val="24"/>
        </w:rPr>
        <w:t xml:space="preserve">oods not for resale) </w:t>
      </w:r>
      <w:r w:rsidRPr="005766DD">
        <w:rPr>
          <w:rFonts w:ascii="Arial" w:hAnsi="Arial" w:cs="Arial"/>
          <w:sz w:val="24"/>
          <w:szCs w:val="24"/>
        </w:rPr>
        <w:t xml:space="preserve">savings </w:t>
      </w:r>
      <w:r>
        <w:rPr>
          <w:rFonts w:ascii="Arial" w:hAnsi="Arial" w:cs="Arial"/>
          <w:sz w:val="24"/>
          <w:szCs w:val="24"/>
        </w:rPr>
        <w:t xml:space="preserve">secured </w:t>
      </w:r>
      <w:r w:rsidRPr="005766DD">
        <w:rPr>
          <w:rFonts w:ascii="Arial" w:hAnsi="Arial" w:cs="Arial"/>
          <w:sz w:val="24"/>
          <w:szCs w:val="24"/>
        </w:rPr>
        <w:t>from European-wide supply negotiations including marketing catalogue printing</w:t>
      </w:r>
      <w:r w:rsidR="0060787B">
        <w:rPr>
          <w:rFonts w:ascii="Arial" w:hAnsi="Arial" w:cs="Arial"/>
          <w:sz w:val="24"/>
          <w:szCs w:val="24"/>
        </w:rPr>
        <w:t xml:space="preserve">, </w:t>
      </w:r>
      <w:r w:rsidRPr="005766DD">
        <w:rPr>
          <w:rFonts w:ascii="Arial" w:hAnsi="Arial" w:cs="Arial"/>
          <w:sz w:val="24"/>
          <w:szCs w:val="24"/>
        </w:rPr>
        <w:t xml:space="preserve">store fixture </w:t>
      </w:r>
      <w:r w:rsidR="0036777F">
        <w:rPr>
          <w:rFonts w:ascii="Arial" w:hAnsi="Arial" w:cs="Arial"/>
          <w:sz w:val="24"/>
          <w:szCs w:val="24"/>
        </w:rPr>
        <w:t>&amp;</w:t>
      </w:r>
      <w:r w:rsidRPr="005766DD">
        <w:rPr>
          <w:rFonts w:ascii="Arial" w:hAnsi="Arial" w:cs="Arial"/>
          <w:sz w:val="24"/>
          <w:szCs w:val="24"/>
        </w:rPr>
        <w:t xml:space="preserve"> fittings costs</w:t>
      </w:r>
    </w:p>
    <w:p w:rsidR="0036777F" w:rsidRPr="00725805" w:rsidRDefault="003E3617" w:rsidP="00725805">
      <w:pPr>
        <w:pStyle w:val="ListParagraph"/>
        <w:numPr>
          <w:ilvl w:val="1"/>
          <w:numId w:val="10"/>
        </w:numPr>
        <w:contextualSpacing/>
        <w:jc w:val="left"/>
        <w:rPr>
          <w:rFonts w:ascii="Arial" w:hAnsi="Arial" w:cs="Arial"/>
          <w:sz w:val="24"/>
          <w:szCs w:val="24"/>
        </w:rPr>
      </w:pPr>
      <w:r w:rsidRPr="00113C8B">
        <w:rPr>
          <w:rFonts w:ascii="Arial" w:hAnsi="Arial" w:cs="Arial"/>
          <w:sz w:val="24"/>
          <w:szCs w:val="24"/>
        </w:rPr>
        <w:t xml:space="preserve">SAP contract re-negotiated on a Group-wide basis </w:t>
      </w:r>
      <w:r w:rsidR="0036777F">
        <w:rPr>
          <w:rFonts w:ascii="Arial" w:hAnsi="Arial" w:cs="Arial"/>
          <w:sz w:val="24"/>
          <w:szCs w:val="24"/>
        </w:rPr>
        <w:t>&amp;</w:t>
      </w:r>
      <w:r w:rsidRPr="00113C8B">
        <w:rPr>
          <w:rFonts w:ascii="Arial" w:hAnsi="Arial" w:cs="Arial"/>
          <w:sz w:val="24"/>
          <w:szCs w:val="24"/>
        </w:rPr>
        <w:t xml:space="preserve"> extended</w:t>
      </w:r>
    </w:p>
    <w:p w:rsidR="00C25191" w:rsidRPr="00EC1FEB" w:rsidRDefault="00C25191" w:rsidP="00EC1FEB">
      <w:pPr>
        <w:contextualSpacing/>
        <w:jc w:val="left"/>
        <w:rPr>
          <w:rFonts w:ascii="Arial" w:hAnsi="Arial" w:cs="Arial"/>
          <w:sz w:val="18"/>
          <w:szCs w:val="18"/>
        </w:rPr>
      </w:pPr>
    </w:p>
    <w:p w:rsidR="00074BF9" w:rsidRPr="00EC1FEB" w:rsidRDefault="0036777F" w:rsidP="00A07E1F">
      <w:pPr>
        <w:ind w:left="720"/>
        <w:contextualSpacing/>
        <w:jc w:val="left"/>
        <w:rPr>
          <w:rFonts w:ascii="Arial" w:hAnsi="Arial" w:cs="Arial"/>
          <w:i/>
          <w:sz w:val="18"/>
          <w:szCs w:val="18"/>
        </w:rPr>
      </w:pPr>
      <w:r w:rsidRPr="00C82F88">
        <w:rPr>
          <w:rFonts w:ascii="Arial" w:hAnsi="Arial" w:cs="Arial"/>
          <w:i/>
          <w:sz w:val="18"/>
          <w:szCs w:val="18"/>
          <w:vertAlign w:val="superscript"/>
        </w:rPr>
        <w:t>(1)</w:t>
      </w:r>
      <w:proofErr w:type="gramStart"/>
      <w:r w:rsidR="00074BF9">
        <w:rPr>
          <w:rFonts w:ascii="Arial" w:hAnsi="Arial" w:cs="Arial"/>
          <w:i/>
          <w:sz w:val="18"/>
          <w:szCs w:val="18"/>
        </w:rPr>
        <w:t>As a % of Group sales</w:t>
      </w:r>
      <w:r w:rsidR="004A5017">
        <w:rPr>
          <w:rFonts w:ascii="Arial" w:hAnsi="Arial" w:cs="Arial"/>
          <w:i/>
          <w:sz w:val="18"/>
          <w:szCs w:val="18"/>
        </w:rPr>
        <w:t>.</w:t>
      </w:r>
      <w:proofErr w:type="gramEnd"/>
    </w:p>
    <w:p w:rsidR="00A07E1F" w:rsidRPr="00C82F88" w:rsidRDefault="00074BF9" w:rsidP="00A07E1F">
      <w:pPr>
        <w:ind w:left="720"/>
        <w:contextualSpacing/>
        <w:jc w:val="left"/>
        <w:rPr>
          <w:rFonts w:ascii="Arial" w:hAnsi="Arial" w:cs="Arial"/>
          <w:i/>
          <w:sz w:val="18"/>
          <w:szCs w:val="18"/>
        </w:rPr>
      </w:pPr>
      <w:r>
        <w:rPr>
          <w:rFonts w:ascii="Arial" w:hAnsi="Arial" w:cs="Arial"/>
          <w:i/>
          <w:sz w:val="18"/>
          <w:szCs w:val="18"/>
        </w:rPr>
        <w:t>C</w:t>
      </w:r>
      <w:r w:rsidR="00A07E1F" w:rsidRPr="00C82F88">
        <w:rPr>
          <w:rFonts w:ascii="Arial" w:hAnsi="Arial" w:cs="Arial"/>
          <w:i/>
          <w:sz w:val="18"/>
          <w:szCs w:val="18"/>
        </w:rPr>
        <w:t xml:space="preserve">ommon means </w:t>
      </w:r>
      <w:r w:rsidR="00981341">
        <w:rPr>
          <w:rFonts w:ascii="Arial" w:hAnsi="Arial" w:cs="Arial"/>
          <w:i/>
          <w:sz w:val="18"/>
          <w:szCs w:val="18"/>
        </w:rPr>
        <w:t xml:space="preserve">two or more operating companies selling the </w:t>
      </w:r>
      <w:r w:rsidR="00A07E1F" w:rsidRPr="00C82F88">
        <w:rPr>
          <w:rFonts w:ascii="Arial" w:hAnsi="Arial" w:cs="Arial"/>
          <w:i/>
          <w:sz w:val="18"/>
          <w:szCs w:val="18"/>
        </w:rPr>
        <w:t xml:space="preserve">same product or </w:t>
      </w:r>
      <w:r w:rsidR="00981341">
        <w:rPr>
          <w:rFonts w:ascii="Arial" w:hAnsi="Arial" w:cs="Arial"/>
          <w:i/>
          <w:sz w:val="18"/>
          <w:szCs w:val="18"/>
        </w:rPr>
        <w:t xml:space="preserve">a similar product but from the </w:t>
      </w:r>
      <w:r w:rsidR="00A07E1F" w:rsidRPr="00C82F88">
        <w:rPr>
          <w:rFonts w:ascii="Arial" w:hAnsi="Arial" w:cs="Arial"/>
          <w:i/>
          <w:sz w:val="18"/>
          <w:szCs w:val="18"/>
        </w:rPr>
        <w:t xml:space="preserve">same supplier where </w:t>
      </w:r>
      <w:r w:rsidR="00981341">
        <w:rPr>
          <w:rFonts w:ascii="Arial" w:hAnsi="Arial" w:cs="Arial"/>
          <w:i/>
          <w:sz w:val="18"/>
          <w:szCs w:val="18"/>
        </w:rPr>
        <w:t xml:space="preserve">the same </w:t>
      </w:r>
      <w:r w:rsidR="00A07E1F" w:rsidRPr="00C82F88">
        <w:rPr>
          <w:rFonts w:ascii="Arial" w:hAnsi="Arial" w:cs="Arial"/>
          <w:i/>
          <w:sz w:val="18"/>
          <w:szCs w:val="18"/>
        </w:rPr>
        <w:t>product is not possible due to market / legal reasons e.g. electrical extension cable which is the same supplier but with different electrical sockets</w:t>
      </w:r>
    </w:p>
    <w:p w:rsidR="00D10EE4" w:rsidRPr="00C82F88" w:rsidRDefault="0036777F" w:rsidP="00A07E1F">
      <w:pPr>
        <w:ind w:left="720"/>
        <w:contextualSpacing/>
        <w:jc w:val="left"/>
        <w:rPr>
          <w:rFonts w:ascii="Arial" w:hAnsi="Arial" w:cs="Arial"/>
          <w:i/>
          <w:sz w:val="18"/>
          <w:szCs w:val="18"/>
        </w:rPr>
      </w:pPr>
      <w:r w:rsidRPr="00C82F88">
        <w:rPr>
          <w:rFonts w:ascii="Arial" w:hAnsi="Arial" w:cs="Arial"/>
          <w:i/>
          <w:sz w:val="18"/>
          <w:szCs w:val="18"/>
          <w:vertAlign w:val="superscript"/>
        </w:rPr>
        <w:t>(2</w:t>
      </w:r>
      <w:proofErr w:type="gramStart"/>
      <w:r w:rsidRPr="00C82F88">
        <w:rPr>
          <w:rFonts w:ascii="Arial" w:hAnsi="Arial" w:cs="Arial"/>
          <w:i/>
          <w:sz w:val="18"/>
          <w:szCs w:val="18"/>
          <w:vertAlign w:val="superscript"/>
        </w:rPr>
        <w:t>)</w:t>
      </w:r>
      <w:r w:rsidR="00D10EE4" w:rsidRPr="00C82F88">
        <w:rPr>
          <w:rFonts w:ascii="Arial" w:hAnsi="Arial" w:cs="Arial"/>
          <w:i/>
          <w:sz w:val="18"/>
          <w:szCs w:val="18"/>
        </w:rPr>
        <w:t>as</w:t>
      </w:r>
      <w:proofErr w:type="gramEnd"/>
      <w:r w:rsidR="00D10EE4" w:rsidRPr="00C82F88">
        <w:rPr>
          <w:rFonts w:ascii="Arial" w:hAnsi="Arial" w:cs="Arial"/>
          <w:i/>
          <w:sz w:val="18"/>
          <w:szCs w:val="18"/>
        </w:rPr>
        <w:t xml:space="preserve"> per </w:t>
      </w:r>
      <w:proofErr w:type="spellStart"/>
      <w:r w:rsidR="00D10EE4" w:rsidRPr="00C82F88">
        <w:rPr>
          <w:rFonts w:ascii="Arial" w:hAnsi="Arial" w:cs="Arial"/>
          <w:i/>
          <w:sz w:val="18"/>
          <w:szCs w:val="18"/>
        </w:rPr>
        <w:t>GfK</w:t>
      </w:r>
      <w:proofErr w:type="spellEnd"/>
      <w:r w:rsidR="00D10EE4" w:rsidRPr="00C82F88">
        <w:rPr>
          <w:rFonts w:ascii="Arial" w:hAnsi="Arial" w:cs="Arial"/>
          <w:i/>
          <w:sz w:val="18"/>
          <w:szCs w:val="18"/>
        </w:rPr>
        <w:t xml:space="preserve"> data</w:t>
      </w:r>
    </w:p>
    <w:p w:rsidR="00167E65" w:rsidRDefault="00167E65" w:rsidP="0006717E">
      <w:pPr>
        <w:contextualSpacing/>
        <w:jc w:val="left"/>
        <w:rPr>
          <w:rFonts w:ascii="Arial" w:hAnsi="Arial" w:cs="Arial"/>
          <w:sz w:val="24"/>
          <w:szCs w:val="24"/>
        </w:rPr>
      </w:pPr>
    </w:p>
    <w:p w:rsidR="007133B6" w:rsidRDefault="007133B6">
      <w:pPr>
        <w:ind w:left="720" w:firstLine="414"/>
        <w:contextualSpacing/>
        <w:jc w:val="left"/>
        <w:rPr>
          <w:rFonts w:ascii="Arial" w:hAnsi="Arial" w:cs="Arial"/>
          <w:sz w:val="24"/>
          <w:szCs w:val="24"/>
        </w:rPr>
      </w:pPr>
      <w:r>
        <w:rPr>
          <w:rFonts w:ascii="Arial" w:hAnsi="Arial" w:cs="Arial"/>
          <w:sz w:val="24"/>
          <w:szCs w:val="24"/>
        </w:rPr>
        <w:t xml:space="preserve">2013/14 </w:t>
      </w:r>
      <w:r w:rsidRPr="006374FD">
        <w:rPr>
          <w:rFonts w:ascii="Arial" w:hAnsi="Arial" w:cs="Arial"/>
          <w:sz w:val="24"/>
          <w:szCs w:val="24"/>
        </w:rPr>
        <w:t>milestones</w:t>
      </w:r>
    </w:p>
    <w:p w:rsidR="00806A5C" w:rsidRPr="0075630B" w:rsidRDefault="00167E65" w:rsidP="0006717E">
      <w:pPr>
        <w:ind w:left="720" w:firstLine="360"/>
        <w:contextualSpacing/>
        <w:jc w:val="left"/>
        <w:rPr>
          <w:rFonts w:ascii="Arial" w:hAnsi="Arial" w:cs="Arial"/>
          <w:i/>
          <w:sz w:val="24"/>
          <w:szCs w:val="24"/>
        </w:rPr>
      </w:pPr>
      <w:r w:rsidRPr="0075630B">
        <w:rPr>
          <w:rFonts w:ascii="Arial" w:hAnsi="Arial" w:cs="Arial"/>
          <w:i/>
          <w:sz w:val="24"/>
          <w:szCs w:val="24"/>
        </w:rPr>
        <w:t xml:space="preserve"> </w:t>
      </w:r>
      <w:r w:rsidR="00806A5C" w:rsidRPr="0075630B">
        <w:rPr>
          <w:rFonts w:ascii="Arial" w:hAnsi="Arial" w:cs="Arial"/>
          <w:i/>
          <w:sz w:val="24"/>
          <w:szCs w:val="24"/>
        </w:rPr>
        <w:t>Product</w:t>
      </w:r>
      <w:r w:rsidR="005C5663" w:rsidRPr="0075630B">
        <w:rPr>
          <w:rFonts w:ascii="Arial" w:hAnsi="Arial" w:cs="Arial"/>
          <w:i/>
          <w:sz w:val="24"/>
          <w:szCs w:val="24"/>
        </w:rPr>
        <w:t>:</w:t>
      </w:r>
    </w:p>
    <w:p w:rsidR="007F6C57" w:rsidRPr="0006717E" w:rsidRDefault="007F6C57" w:rsidP="0006717E">
      <w:pPr>
        <w:pStyle w:val="ListParagraph"/>
        <w:numPr>
          <w:ilvl w:val="0"/>
          <w:numId w:val="44"/>
        </w:numPr>
        <w:contextualSpacing/>
        <w:jc w:val="left"/>
        <w:rPr>
          <w:rFonts w:ascii="Arial" w:hAnsi="Arial" w:cs="Arial"/>
          <w:sz w:val="24"/>
          <w:szCs w:val="24"/>
        </w:rPr>
      </w:pPr>
      <w:r w:rsidRPr="0006717E">
        <w:rPr>
          <w:rFonts w:ascii="Arial" w:hAnsi="Arial" w:cs="Arial"/>
          <w:sz w:val="24"/>
          <w:szCs w:val="24"/>
        </w:rPr>
        <w:t>Launch new energy-efficiency ‘</w:t>
      </w:r>
      <w:proofErr w:type="spellStart"/>
      <w:r w:rsidRPr="0006717E">
        <w:rPr>
          <w:rFonts w:ascii="Arial" w:hAnsi="Arial" w:cs="Arial"/>
          <w:sz w:val="24"/>
          <w:szCs w:val="24"/>
        </w:rPr>
        <w:t>iQE</w:t>
      </w:r>
      <w:proofErr w:type="spellEnd"/>
      <w:r w:rsidRPr="0006717E">
        <w:rPr>
          <w:rFonts w:ascii="Arial" w:hAnsi="Arial" w:cs="Arial"/>
          <w:sz w:val="24"/>
          <w:szCs w:val="24"/>
        </w:rPr>
        <w:t>’ Group brand</w:t>
      </w:r>
      <w:r w:rsidR="00806A5C">
        <w:rPr>
          <w:rFonts w:ascii="Arial" w:hAnsi="Arial" w:cs="Arial"/>
          <w:sz w:val="24"/>
          <w:szCs w:val="24"/>
        </w:rPr>
        <w:t xml:space="preserve"> </w:t>
      </w:r>
    </w:p>
    <w:p w:rsidR="007F6C57" w:rsidRPr="0006717E" w:rsidRDefault="007F6C57" w:rsidP="0006717E">
      <w:pPr>
        <w:pStyle w:val="ListParagraph"/>
        <w:numPr>
          <w:ilvl w:val="0"/>
          <w:numId w:val="44"/>
        </w:numPr>
        <w:contextualSpacing/>
        <w:jc w:val="left"/>
        <w:rPr>
          <w:rFonts w:ascii="Arial" w:hAnsi="Arial" w:cs="Arial"/>
          <w:sz w:val="24"/>
          <w:szCs w:val="24"/>
        </w:rPr>
      </w:pPr>
      <w:r w:rsidRPr="0006717E">
        <w:rPr>
          <w:rFonts w:ascii="Arial" w:hAnsi="Arial" w:cs="Arial"/>
          <w:sz w:val="24"/>
          <w:szCs w:val="24"/>
        </w:rPr>
        <w:t>Paint (</w:t>
      </w:r>
      <w:r w:rsidR="005C5663">
        <w:rPr>
          <w:rFonts w:ascii="Arial" w:hAnsi="Arial" w:cs="Arial"/>
          <w:sz w:val="24"/>
          <w:szCs w:val="24"/>
        </w:rPr>
        <w:t>c.9</w:t>
      </w:r>
      <w:r w:rsidRPr="0006717E">
        <w:rPr>
          <w:rFonts w:ascii="Arial" w:hAnsi="Arial" w:cs="Arial"/>
          <w:sz w:val="24"/>
          <w:szCs w:val="24"/>
        </w:rPr>
        <w:t>% of Group sales)</w:t>
      </w:r>
    </w:p>
    <w:p w:rsidR="007F6C57" w:rsidRPr="0006717E" w:rsidRDefault="007F6C57" w:rsidP="0006717E">
      <w:pPr>
        <w:pStyle w:val="ListParagraph"/>
        <w:numPr>
          <w:ilvl w:val="1"/>
          <w:numId w:val="30"/>
        </w:numPr>
        <w:contextualSpacing/>
        <w:jc w:val="left"/>
        <w:rPr>
          <w:rFonts w:ascii="Arial" w:hAnsi="Arial" w:cs="Arial"/>
          <w:sz w:val="24"/>
          <w:szCs w:val="24"/>
        </w:rPr>
      </w:pPr>
      <w:r w:rsidRPr="0006717E">
        <w:rPr>
          <w:rFonts w:ascii="Arial" w:hAnsi="Arial" w:cs="Arial"/>
          <w:sz w:val="24"/>
          <w:szCs w:val="24"/>
        </w:rPr>
        <w:t>Roll out ‘</w:t>
      </w:r>
      <w:r w:rsidR="004A5017">
        <w:rPr>
          <w:rFonts w:ascii="Arial" w:hAnsi="Arial" w:cs="Arial"/>
          <w:sz w:val="24"/>
          <w:szCs w:val="24"/>
        </w:rPr>
        <w:t>C</w:t>
      </w:r>
      <w:r w:rsidRPr="0006717E">
        <w:rPr>
          <w:rFonts w:ascii="Arial" w:hAnsi="Arial" w:cs="Arial"/>
          <w:sz w:val="24"/>
          <w:szCs w:val="24"/>
        </w:rPr>
        <w:t>olours’ Group own-brand paint into Russia &amp; Spain</w:t>
      </w:r>
    </w:p>
    <w:p w:rsidR="007F6C57" w:rsidRPr="0006717E" w:rsidRDefault="007F6C57" w:rsidP="0006717E">
      <w:pPr>
        <w:pStyle w:val="ListParagraph"/>
        <w:numPr>
          <w:ilvl w:val="1"/>
          <w:numId w:val="30"/>
        </w:numPr>
        <w:contextualSpacing/>
        <w:jc w:val="left"/>
        <w:rPr>
          <w:rFonts w:ascii="Arial" w:hAnsi="Arial" w:cs="Arial"/>
          <w:sz w:val="24"/>
          <w:szCs w:val="24"/>
        </w:rPr>
      </w:pPr>
      <w:r w:rsidRPr="0006717E">
        <w:rPr>
          <w:rFonts w:ascii="Arial" w:hAnsi="Arial" w:cs="Arial"/>
          <w:sz w:val="24"/>
          <w:szCs w:val="24"/>
        </w:rPr>
        <w:t>Roll out new coloured emulsion paint range – 2/3 common B&amp;Q UK &amp; Castorama France</w:t>
      </w:r>
    </w:p>
    <w:p w:rsidR="007F6C57" w:rsidRPr="0006717E" w:rsidRDefault="007F6C57" w:rsidP="0006717E">
      <w:pPr>
        <w:pStyle w:val="ListParagraph"/>
        <w:numPr>
          <w:ilvl w:val="1"/>
          <w:numId w:val="30"/>
        </w:numPr>
        <w:contextualSpacing/>
        <w:jc w:val="left"/>
        <w:rPr>
          <w:rFonts w:ascii="Arial" w:hAnsi="Arial" w:cs="Arial"/>
          <w:sz w:val="24"/>
          <w:szCs w:val="24"/>
        </w:rPr>
      </w:pPr>
      <w:r w:rsidRPr="0006717E">
        <w:rPr>
          <w:rFonts w:ascii="Arial" w:hAnsi="Arial" w:cs="Arial"/>
          <w:sz w:val="24"/>
          <w:szCs w:val="24"/>
        </w:rPr>
        <w:t xml:space="preserve">Launch exclusive Valspar </w:t>
      </w:r>
      <w:r w:rsidR="00D71803">
        <w:rPr>
          <w:rFonts w:ascii="Arial" w:hAnsi="Arial" w:cs="Arial"/>
          <w:sz w:val="24"/>
          <w:szCs w:val="24"/>
        </w:rPr>
        <w:t xml:space="preserve">paint </w:t>
      </w:r>
      <w:r w:rsidRPr="0006717E">
        <w:rPr>
          <w:rFonts w:ascii="Arial" w:hAnsi="Arial" w:cs="Arial"/>
          <w:sz w:val="24"/>
          <w:szCs w:val="24"/>
        </w:rPr>
        <w:t xml:space="preserve">mixing desk into B&amp;Q </w:t>
      </w:r>
      <w:r w:rsidR="000F4BB3">
        <w:rPr>
          <w:rFonts w:ascii="Arial" w:hAnsi="Arial" w:cs="Arial"/>
          <w:sz w:val="24"/>
          <w:szCs w:val="24"/>
        </w:rPr>
        <w:t xml:space="preserve">UK &amp; Ireland </w:t>
      </w:r>
      <w:r w:rsidR="0036777F">
        <w:rPr>
          <w:rFonts w:ascii="Arial" w:hAnsi="Arial" w:cs="Arial"/>
          <w:sz w:val="24"/>
          <w:szCs w:val="24"/>
        </w:rPr>
        <w:t>&amp;</w:t>
      </w:r>
      <w:r w:rsidRPr="0006717E">
        <w:rPr>
          <w:rFonts w:ascii="Arial" w:hAnsi="Arial" w:cs="Arial"/>
          <w:sz w:val="24"/>
          <w:szCs w:val="24"/>
        </w:rPr>
        <w:t xml:space="preserve"> China</w:t>
      </w:r>
    </w:p>
    <w:p w:rsidR="007F6C57" w:rsidRPr="0006717E" w:rsidRDefault="007F6C57" w:rsidP="0006717E">
      <w:pPr>
        <w:pStyle w:val="ListParagraph"/>
        <w:numPr>
          <w:ilvl w:val="0"/>
          <w:numId w:val="44"/>
        </w:numPr>
        <w:contextualSpacing/>
        <w:jc w:val="left"/>
        <w:rPr>
          <w:rFonts w:ascii="Arial" w:hAnsi="Arial" w:cs="Arial"/>
          <w:sz w:val="24"/>
          <w:szCs w:val="24"/>
        </w:rPr>
      </w:pPr>
      <w:r w:rsidRPr="0006717E">
        <w:rPr>
          <w:rFonts w:ascii="Arial" w:hAnsi="Arial" w:cs="Arial"/>
          <w:sz w:val="24"/>
          <w:szCs w:val="24"/>
        </w:rPr>
        <w:t xml:space="preserve">Full launch of </w:t>
      </w:r>
      <w:proofErr w:type="spellStart"/>
      <w:r w:rsidR="006B7CBA">
        <w:rPr>
          <w:rFonts w:ascii="Arial" w:hAnsi="Arial" w:cs="Arial"/>
          <w:sz w:val="24"/>
          <w:szCs w:val="24"/>
        </w:rPr>
        <w:t>Screwfix’s</w:t>
      </w:r>
      <w:proofErr w:type="spellEnd"/>
      <w:r w:rsidR="006B7CBA">
        <w:rPr>
          <w:rFonts w:ascii="Arial" w:hAnsi="Arial" w:cs="Arial"/>
          <w:sz w:val="24"/>
          <w:szCs w:val="24"/>
        </w:rPr>
        <w:t xml:space="preserve"> ‘</w:t>
      </w:r>
      <w:r w:rsidRPr="0006717E">
        <w:rPr>
          <w:rFonts w:ascii="Arial" w:hAnsi="Arial" w:cs="Arial"/>
          <w:sz w:val="24"/>
          <w:szCs w:val="24"/>
        </w:rPr>
        <w:t>Site</w:t>
      </w:r>
      <w:r w:rsidR="006B7CBA">
        <w:rPr>
          <w:rFonts w:ascii="Arial" w:hAnsi="Arial" w:cs="Arial"/>
          <w:sz w:val="24"/>
          <w:szCs w:val="24"/>
        </w:rPr>
        <w:t>’</w:t>
      </w:r>
      <w:r w:rsidRPr="0006717E">
        <w:rPr>
          <w:rFonts w:ascii="Arial" w:hAnsi="Arial" w:cs="Arial"/>
          <w:sz w:val="24"/>
          <w:szCs w:val="24"/>
        </w:rPr>
        <w:t xml:space="preserve"> work wear </w:t>
      </w:r>
      <w:r w:rsidR="006B7CBA">
        <w:rPr>
          <w:rFonts w:ascii="Arial" w:hAnsi="Arial" w:cs="Arial"/>
          <w:sz w:val="24"/>
          <w:szCs w:val="24"/>
        </w:rPr>
        <w:t xml:space="preserve">products </w:t>
      </w:r>
      <w:r w:rsidRPr="0006717E">
        <w:rPr>
          <w:rFonts w:ascii="Arial" w:hAnsi="Arial" w:cs="Arial"/>
          <w:sz w:val="24"/>
          <w:szCs w:val="24"/>
        </w:rPr>
        <w:t xml:space="preserve">into </w:t>
      </w:r>
      <w:proofErr w:type="spellStart"/>
      <w:r w:rsidRPr="0006717E">
        <w:rPr>
          <w:rFonts w:ascii="Arial" w:hAnsi="Arial" w:cs="Arial"/>
          <w:sz w:val="24"/>
          <w:szCs w:val="24"/>
        </w:rPr>
        <w:t>Brico</w:t>
      </w:r>
      <w:proofErr w:type="spellEnd"/>
      <w:r w:rsidRPr="0006717E">
        <w:rPr>
          <w:rFonts w:ascii="Arial" w:hAnsi="Arial" w:cs="Arial"/>
          <w:sz w:val="24"/>
          <w:szCs w:val="24"/>
        </w:rPr>
        <w:t xml:space="preserve"> </w:t>
      </w:r>
      <w:proofErr w:type="spellStart"/>
      <w:r w:rsidRPr="0006717E">
        <w:rPr>
          <w:rFonts w:ascii="Arial" w:hAnsi="Arial" w:cs="Arial"/>
          <w:sz w:val="24"/>
          <w:szCs w:val="24"/>
        </w:rPr>
        <w:t>Dépôt</w:t>
      </w:r>
      <w:proofErr w:type="spellEnd"/>
      <w:r w:rsidRPr="0006717E">
        <w:rPr>
          <w:rFonts w:ascii="Arial" w:hAnsi="Arial" w:cs="Arial"/>
          <w:sz w:val="24"/>
          <w:szCs w:val="24"/>
        </w:rPr>
        <w:t xml:space="preserve"> </w:t>
      </w:r>
    </w:p>
    <w:p w:rsidR="00F51486" w:rsidRDefault="000C59E4" w:rsidP="0075630B">
      <w:pPr>
        <w:pStyle w:val="ListParagraph"/>
        <w:numPr>
          <w:ilvl w:val="0"/>
          <w:numId w:val="44"/>
        </w:numPr>
      </w:pPr>
      <w:r>
        <w:rPr>
          <w:rFonts w:ascii="Arial" w:hAnsi="Arial" w:cs="Arial"/>
          <w:sz w:val="24"/>
          <w:szCs w:val="24"/>
        </w:rPr>
        <w:t xml:space="preserve">Launch inaugural European </w:t>
      </w:r>
      <w:r w:rsidR="007F6C57" w:rsidRPr="0006717E">
        <w:rPr>
          <w:rFonts w:ascii="Arial" w:hAnsi="Arial" w:cs="Arial"/>
          <w:sz w:val="24"/>
          <w:szCs w:val="24"/>
        </w:rPr>
        <w:t>product show</w:t>
      </w:r>
      <w:r w:rsidR="006B7CBA">
        <w:rPr>
          <w:rFonts w:ascii="Arial" w:hAnsi="Arial" w:cs="Arial"/>
          <w:sz w:val="24"/>
          <w:szCs w:val="24"/>
        </w:rPr>
        <w:t>,</w:t>
      </w:r>
      <w:r w:rsidR="007F6C57" w:rsidRPr="0006717E">
        <w:rPr>
          <w:rFonts w:ascii="Arial" w:hAnsi="Arial" w:cs="Arial"/>
          <w:sz w:val="24"/>
          <w:szCs w:val="24"/>
        </w:rPr>
        <w:t xml:space="preserve"> </w:t>
      </w:r>
      <w:r w:rsidR="006B7CBA">
        <w:rPr>
          <w:rFonts w:ascii="Arial" w:hAnsi="Arial" w:cs="Arial"/>
          <w:sz w:val="24"/>
          <w:szCs w:val="24"/>
        </w:rPr>
        <w:t xml:space="preserve">to be attended by 6,000 </w:t>
      </w:r>
      <w:r w:rsidR="007F6C57" w:rsidRPr="0006717E">
        <w:rPr>
          <w:rFonts w:ascii="Arial" w:hAnsi="Arial" w:cs="Arial"/>
          <w:sz w:val="24"/>
          <w:szCs w:val="24"/>
        </w:rPr>
        <w:t>store</w:t>
      </w:r>
      <w:r w:rsidR="006B7CBA">
        <w:rPr>
          <w:rFonts w:ascii="Arial" w:hAnsi="Arial" w:cs="Arial"/>
          <w:sz w:val="24"/>
          <w:szCs w:val="24"/>
        </w:rPr>
        <w:t xml:space="preserve"> </w:t>
      </w:r>
      <w:r w:rsidR="0036777F">
        <w:rPr>
          <w:rFonts w:ascii="Arial" w:hAnsi="Arial" w:cs="Arial"/>
          <w:sz w:val="24"/>
          <w:szCs w:val="24"/>
        </w:rPr>
        <w:t>&amp;</w:t>
      </w:r>
      <w:r w:rsidR="006B7CBA">
        <w:rPr>
          <w:rFonts w:ascii="Arial" w:hAnsi="Arial" w:cs="Arial"/>
          <w:sz w:val="24"/>
          <w:szCs w:val="24"/>
        </w:rPr>
        <w:t xml:space="preserve"> buying colleagues teams from the UK </w:t>
      </w:r>
      <w:r w:rsidR="0036777F">
        <w:rPr>
          <w:rFonts w:ascii="Arial" w:hAnsi="Arial" w:cs="Arial"/>
          <w:sz w:val="24"/>
          <w:szCs w:val="24"/>
        </w:rPr>
        <w:t>&amp;</w:t>
      </w:r>
      <w:r w:rsidR="006B7CBA">
        <w:rPr>
          <w:rFonts w:ascii="Arial" w:hAnsi="Arial" w:cs="Arial"/>
          <w:sz w:val="24"/>
          <w:szCs w:val="24"/>
        </w:rPr>
        <w:t xml:space="preserve"> France</w:t>
      </w:r>
      <w:r w:rsidR="007F6C57" w:rsidRPr="0006717E">
        <w:rPr>
          <w:rFonts w:ascii="Arial" w:hAnsi="Arial" w:cs="Arial"/>
          <w:sz w:val="24"/>
          <w:szCs w:val="24"/>
        </w:rPr>
        <w:t xml:space="preserve"> </w:t>
      </w:r>
    </w:p>
    <w:p w:rsidR="00806A5C" w:rsidRPr="0075630B" w:rsidRDefault="00806A5C" w:rsidP="0006717E">
      <w:pPr>
        <w:ind w:left="720" w:firstLine="414"/>
        <w:contextualSpacing/>
        <w:jc w:val="left"/>
        <w:rPr>
          <w:rFonts w:ascii="Arial" w:hAnsi="Arial" w:cs="Arial"/>
          <w:i/>
          <w:sz w:val="24"/>
          <w:szCs w:val="24"/>
        </w:rPr>
      </w:pPr>
      <w:r w:rsidRPr="0075630B">
        <w:rPr>
          <w:rFonts w:ascii="Arial" w:hAnsi="Arial" w:cs="Arial"/>
          <w:i/>
          <w:sz w:val="24"/>
          <w:szCs w:val="24"/>
        </w:rPr>
        <w:t>Efficiency:</w:t>
      </w:r>
    </w:p>
    <w:p w:rsidR="00806A5C" w:rsidRPr="0006717E" w:rsidRDefault="00806A5C" w:rsidP="0006717E">
      <w:pPr>
        <w:pStyle w:val="ListParagraph"/>
        <w:numPr>
          <w:ilvl w:val="0"/>
          <w:numId w:val="45"/>
        </w:numPr>
        <w:contextualSpacing/>
        <w:jc w:val="left"/>
        <w:rPr>
          <w:rFonts w:ascii="Arial" w:hAnsi="Arial" w:cs="Arial"/>
          <w:sz w:val="24"/>
          <w:szCs w:val="24"/>
        </w:rPr>
      </w:pPr>
      <w:proofErr w:type="spellStart"/>
      <w:r w:rsidRPr="0006717E">
        <w:rPr>
          <w:rFonts w:ascii="Arial" w:hAnsi="Arial" w:cs="Arial"/>
          <w:sz w:val="24"/>
          <w:szCs w:val="24"/>
        </w:rPr>
        <w:t>Upweighted</w:t>
      </w:r>
      <w:proofErr w:type="spellEnd"/>
      <w:r w:rsidRPr="0006717E">
        <w:rPr>
          <w:rFonts w:ascii="Arial" w:hAnsi="Arial" w:cs="Arial"/>
          <w:sz w:val="24"/>
          <w:szCs w:val="24"/>
        </w:rPr>
        <w:t xml:space="preserve"> </w:t>
      </w:r>
      <w:r w:rsidR="00074BF9">
        <w:rPr>
          <w:rFonts w:ascii="Arial" w:hAnsi="Arial" w:cs="Arial"/>
          <w:sz w:val="24"/>
          <w:szCs w:val="24"/>
        </w:rPr>
        <w:t>distribution</w:t>
      </w:r>
      <w:r w:rsidRPr="0006717E">
        <w:rPr>
          <w:rFonts w:ascii="Arial" w:hAnsi="Arial" w:cs="Arial"/>
          <w:sz w:val="24"/>
          <w:szCs w:val="24"/>
        </w:rPr>
        <w:t xml:space="preserve"> and </w:t>
      </w:r>
      <w:r w:rsidR="00D71803">
        <w:rPr>
          <w:rFonts w:ascii="Arial" w:hAnsi="Arial" w:cs="Arial"/>
          <w:sz w:val="24"/>
          <w:szCs w:val="24"/>
        </w:rPr>
        <w:t xml:space="preserve">cross </w:t>
      </w:r>
      <w:r w:rsidRPr="0006717E">
        <w:rPr>
          <w:rFonts w:ascii="Arial" w:hAnsi="Arial" w:cs="Arial"/>
          <w:sz w:val="24"/>
          <w:szCs w:val="24"/>
        </w:rPr>
        <w:t>docking capability in Poland, Spain &amp; Turkey</w:t>
      </w:r>
    </w:p>
    <w:p w:rsidR="00806A5C" w:rsidRPr="0006717E" w:rsidRDefault="0083656F" w:rsidP="0006717E">
      <w:pPr>
        <w:pStyle w:val="ListParagraph"/>
        <w:numPr>
          <w:ilvl w:val="0"/>
          <w:numId w:val="45"/>
        </w:numPr>
        <w:contextualSpacing/>
        <w:jc w:val="left"/>
        <w:rPr>
          <w:rFonts w:ascii="Arial" w:hAnsi="Arial" w:cs="Arial"/>
          <w:sz w:val="24"/>
          <w:szCs w:val="24"/>
        </w:rPr>
      </w:pPr>
      <w:r>
        <w:rPr>
          <w:rFonts w:ascii="Arial" w:hAnsi="Arial" w:cs="Arial"/>
          <w:sz w:val="24"/>
          <w:szCs w:val="24"/>
        </w:rPr>
        <w:t>SG&amp;A (s</w:t>
      </w:r>
      <w:r w:rsidR="000F4BB3">
        <w:rPr>
          <w:rFonts w:ascii="Arial" w:hAnsi="Arial" w:cs="Arial"/>
          <w:sz w:val="24"/>
          <w:szCs w:val="24"/>
        </w:rPr>
        <w:t xml:space="preserve">elling, </w:t>
      </w:r>
      <w:r>
        <w:rPr>
          <w:rFonts w:ascii="Arial" w:hAnsi="Arial" w:cs="Arial"/>
          <w:sz w:val="24"/>
          <w:szCs w:val="24"/>
        </w:rPr>
        <w:t>g</w:t>
      </w:r>
      <w:r w:rsidR="000F4BB3">
        <w:rPr>
          <w:rFonts w:ascii="Arial" w:hAnsi="Arial" w:cs="Arial"/>
          <w:sz w:val="24"/>
          <w:szCs w:val="24"/>
        </w:rPr>
        <w:t xml:space="preserve">eneral &amp; </w:t>
      </w:r>
      <w:r>
        <w:rPr>
          <w:rFonts w:ascii="Arial" w:hAnsi="Arial" w:cs="Arial"/>
          <w:sz w:val="24"/>
          <w:szCs w:val="24"/>
        </w:rPr>
        <w:t>a</w:t>
      </w:r>
      <w:r w:rsidR="000F4BB3">
        <w:rPr>
          <w:rFonts w:ascii="Arial" w:hAnsi="Arial" w:cs="Arial"/>
          <w:sz w:val="24"/>
          <w:szCs w:val="24"/>
        </w:rPr>
        <w:t>dministrative expenses</w:t>
      </w:r>
      <w:r>
        <w:rPr>
          <w:rFonts w:ascii="Arial" w:hAnsi="Arial" w:cs="Arial"/>
          <w:sz w:val="24"/>
          <w:szCs w:val="24"/>
        </w:rPr>
        <w:t>)</w:t>
      </w:r>
      <w:r w:rsidR="000F4BB3">
        <w:rPr>
          <w:rFonts w:ascii="Arial" w:hAnsi="Arial" w:cs="Arial"/>
          <w:sz w:val="24"/>
          <w:szCs w:val="24"/>
        </w:rPr>
        <w:t xml:space="preserve"> </w:t>
      </w:r>
      <w:r w:rsidR="00806A5C" w:rsidRPr="0006717E">
        <w:rPr>
          <w:rFonts w:ascii="Arial" w:hAnsi="Arial" w:cs="Arial"/>
          <w:sz w:val="24"/>
          <w:szCs w:val="24"/>
        </w:rPr>
        <w:t>optimisation from media buying programmes across the UK &amp; France</w:t>
      </w:r>
    </w:p>
    <w:p w:rsidR="00806A5C" w:rsidRDefault="00806A5C" w:rsidP="0006717E">
      <w:pPr>
        <w:pStyle w:val="ListParagraph"/>
        <w:numPr>
          <w:ilvl w:val="0"/>
          <w:numId w:val="45"/>
        </w:numPr>
        <w:contextualSpacing/>
        <w:jc w:val="left"/>
        <w:rPr>
          <w:rFonts w:ascii="Arial" w:hAnsi="Arial" w:cs="Arial"/>
          <w:sz w:val="24"/>
          <w:szCs w:val="24"/>
        </w:rPr>
      </w:pPr>
      <w:r w:rsidRPr="0006717E">
        <w:rPr>
          <w:rFonts w:ascii="Arial" w:hAnsi="Arial" w:cs="Arial"/>
          <w:sz w:val="24"/>
          <w:szCs w:val="24"/>
        </w:rPr>
        <w:t xml:space="preserve">Extend </w:t>
      </w:r>
      <w:proofErr w:type="spellStart"/>
      <w:r w:rsidRPr="0006717E">
        <w:rPr>
          <w:rFonts w:ascii="Arial" w:hAnsi="Arial" w:cs="Arial"/>
          <w:sz w:val="24"/>
          <w:szCs w:val="24"/>
        </w:rPr>
        <w:t>Brico</w:t>
      </w:r>
      <w:proofErr w:type="spellEnd"/>
      <w:r w:rsidRPr="0006717E">
        <w:rPr>
          <w:rFonts w:ascii="Arial" w:hAnsi="Arial" w:cs="Arial"/>
          <w:sz w:val="24"/>
          <w:szCs w:val="24"/>
        </w:rPr>
        <w:t xml:space="preserve"> </w:t>
      </w:r>
      <w:proofErr w:type="spellStart"/>
      <w:r w:rsidRPr="0006717E">
        <w:rPr>
          <w:rFonts w:ascii="Arial" w:hAnsi="Arial" w:cs="Arial"/>
          <w:sz w:val="24"/>
          <w:szCs w:val="24"/>
        </w:rPr>
        <w:t>Dépôt</w:t>
      </w:r>
      <w:proofErr w:type="spellEnd"/>
      <w:r w:rsidRPr="0006717E">
        <w:rPr>
          <w:rFonts w:ascii="Arial" w:hAnsi="Arial" w:cs="Arial"/>
          <w:sz w:val="24"/>
          <w:szCs w:val="24"/>
        </w:rPr>
        <w:t xml:space="preserve"> shelf ready packaging from 20% to </w:t>
      </w:r>
      <w:r w:rsidR="00BE5E4B">
        <w:rPr>
          <w:rFonts w:ascii="Arial" w:hAnsi="Arial" w:cs="Arial"/>
          <w:sz w:val="24"/>
          <w:szCs w:val="24"/>
        </w:rPr>
        <w:t>3</w:t>
      </w:r>
      <w:r w:rsidRPr="0006717E">
        <w:rPr>
          <w:rFonts w:ascii="Arial" w:hAnsi="Arial" w:cs="Arial"/>
          <w:sz w:val="24"/>
          <w:szCs w:val="24"/>
        </w:rPr>
        <w:t>0%</w:t>
      </w:r>
    </w:p>
    <w:p w:rsidR="000D381E" w:rsidRPr="00C82F88" w:rsidRDefault="005F309B" w:rsidP="00C82F88">
      <w:pPr>
        <w:pStyle w:val="ListParagraph"/>
        <w:numPr>
          <w:ilvl w:val="0"/>
          <w:numId w:val="45"/>
        </w:numPr>
        <w:jc w:val="left"/>
        <w:rPr>
          <w:rFonts w:ascii="Arial" w:hAnsi="Arial" w:cs="Arial"/>
          <w:sz w:val="24"/>
          <w:szCs w:val="24"/>
        </w:rPr>
      </w:pPr>
      <w:r w:rsidRPr="000D381E">
        <w:rPr>
          <w:rFonts w:ascii="Arial" w:hAnsi="Arial" w:cs="Arial"/>
          <w:sz w:val="24"/>
          <w:szCs w:val="24"/>
          <w:lang w:val="en-US"/>
        </w:rPr>
        <w:t>Roll out France &amp; Spain all staff bonus programmes to Poland (linked to individual store sales &amp; profit growth)</w:t>
      </w:r>
    </w:p>
    <w:p w:rsidR="00074BF9" w:rsidRPr="00EC1FEB" w:rsidRDefault="00806A5C" w:rsidP="00EC1FEB">
      <w:pPr>
        <w:pStyle w:val="ListParagraph"/>
        <w:numPr>
          <w:ilvl w:val="0"/>
          <w:numId w:val="45"/>
        </w:numPr>
        <w:contextualSpacing/>
        <w:jc w:val="left"/>
        <w:rPr>
          <w:rFonts w:ascii="Arial" w:hAnsi="Arial" w:cs="Arial"/>
          <w:sz w:val="24"/>
          <w:szCs w:val="24"/>
        </w:rPr>
      </w:pPr>
      <w:r w:rsidRPr="0006717E">
        <w:rPr>
          <w:rFonts w:ascii="Arial" w:hAnsi="Arial" w:cs="Arial"/>
          <w:sz w:val="24"/>
          <w:szCs w:val="24"/>
        </w:rPr>
        <w:t>IT process mapping analysis at Castorama France in readiness for Group SAP implementation</w:t>
      </w:r>
    </w:p>
    <w:p w:rsidR="000F4BB3" w:rsidRDefault="000F4BB3" w:rsidP="0006717E">
      <w:pPr>
        <w:jc w:val="left"/>
        <w:rPr>
          <w:rFonts w:ascii="Arial" w:hAnsi="Arial" w:cs="Arial"/>
          <w:b/>
          <w:sz w:val="24"/>
          <w:szCs w:val="24"/>
        </w:rPr>
      </w:pPr>
    </w:p>
    <w:p w:rsidR="003E3617" w:rsidRPr="007D220F" w:rsidRDefault="003E3617" w:rsidP="0006717E">
      <w:pPr>
        <w:jc w:val="left"/>
        <w:rPr>
          <w:highlight w:val="magenta"/>
        </w:rPr>
      </w:pPr>
      <w:r w:rsidRPr="007D220F">
        <w:rPr>
          <w:rFonts w:ascii="Arial" w:hAnsi="Arial" w:cs="Arial"/>
          <w:b/>
          <w:sz w:val="24"/>
          <w:szCs w:val="24"/>
        </w:rPr>
        <w:t xml:space="preserve">EXPAND </w:t>
      </w:r>
    </w:p>
    <w:p w:rsidR="003E3617" w:rsidRPr="001B3CC2" w:rsidRDefault="003E3617" w:rsidP="003E3617">
      <w:pPr>
        <w:ind w:left="360" w:firstLine="720"/>
        <w:contextualSpacing/>
        <w:jc w:val="left"/>
        <w:rPr>
          <w:rFonts w:ascii="Arial" w:hAnsi="Arial" w:cs="Arial"/>
          <w:sz w:val="24"/>
          <w:szCs w:val="24"/>
        </w:rPr>
      </w:pPr>
      <w:r w:rsidRPr="001B3CC2">
        <w:rPr>
          <w:rFonts w:ascii="Arial" w:hAnsi="Arial" w:cs="Arial"/>
          <w:sz w:val="24"/>
          <w:szCs w:val="24"/>
        </w:rPr>
        <w:t>2012/13 progress</w:t>
      </w:r>
    </w:p>
    <w:p w:rsidR="003E3617" w:rsidRPr="001B3CC2" w:rsidRDefault="003E3617" w:rsidP="003E3617">
      <w:pPr>
        <w:pStyle w:val="ListParagraph"/>
        <w:numPr>
          <w:ilvl w:val="0"/>
          <w:numId w:val="12"/>
        </w:numPr>
        <w:contextualSpacing/>
        <w:jc w:val="left"/>
        <w:rPr>
          <w:rFonts w:ascii="Arial" w:hAnsi="Arial" w:cs="Arial"/>
          <w:sz w:val="24"/>
          <w:szCs w:val="24"/>
        </w:rPr>
      </w:pPr>
      <w:r w:rsidRPr="001B3CC2">
        <w:rPr>
          <w:rFonts w:ascii="Arial" w:hAnsi="Arial" w:cs="Arial"/>
          <w:sz w:val="24"/>
          <w:szCs w:val="24"/>
        </w:rPr>
        <w:t xml:space="preserve">Opened </w:t>
      </w:r>
      <w:r w:rsidR="004D607D">
        <w:rPr>
          <w:rFonts w:ascii="Arial" w:hAnsi="Arial" w:cs="Arial"/>
          <w:sz w:val="24"/>
          <w:szCs w:val="24"/>
        </w:rPr>
        <w:t>70</w:t>
      </w:r>
      <w:r w:rsidRPr="001B3CC2">
        <w:rPr>
          <w:rFonts w:ascii="Arial" w:hAnsi="Arial" w:cs="Arial"/>
          <w:sz w:val="24"/>
          <w:szCs w:val="24"/>
        </w:rPr>
        <w:t xml:space="preserve"> </w:t>
      </w:r>
      <w:r w:rsidR="008D22AF">
        <w:rPr>
          <w:rFonts w:ascii="Arial" w:hAnsi="Arial" w:cs="Arial"/>
          <w:sz w:val="24"/>
          <w:szCs w:val="24"/>
        </w:rPr>
        <w:t xml:space="preserve">net </w:t>
      </w:r>
      <w:r w:rsidRPr="001B3CC2">
        <w:rPr>
          <w:rFonts w:ascii="Arial" w:hAnsi="Arial" w:cs="Arial"/>
          <w:sz w:val="24"/>
          <w:szCs w:val="24"/>
        </w:rPr>
        <w:t xml:space="preserve">new stores </w:t>
      </w:r>
      <w:r w:rsidR="002E35F8">
        <w:rPr>
          <w:rFonts w:ascii="Arial" w:hAnsi="Arial" w:cs="Arial"/>
          <w:sz w:val="24"/>
          <w:szCs w:val="24"/>
        </w:rPr>
        <w:t>-</w:t>
      </w:r>
      <w:r w:rsidR="008D22AF">
        <w:rPr>
          <w:rFonts w:ascii="Arial" w:hAnsi="Arial" w:cs="Arial"/>
          <w:sz w:val="24"/>
          <w:szCs w:val="24"/>
        </w:rPr>
        <w:t xml:space="preserve"> </w:t>
      </w:r>
      <w:r w:rsidRPr="001B3CC2">
        <w:rPr>
          <w:rFonts w:ascii="Arial" w:hAnsi="Arial" w:cs="Arial"/>
          <w:sz w:val="24"/>
          <w:szCs w:val="24"/>
        </w:rPr>
        <w:t xml:space="preserve">UK </w:t>
      </w:r>
      <w:r w:rsidR="001B3CC2" w:rsidRPr="0006717E">
        <w:rPr>
          <w:rFonts w:ascii="Arial" w:hAnsi="Arial" w:cs="Arial"/>
          <w:sz w:val="24"/>
          <w:szCs w:val="24"/>
        </w:rPr>
        <w:t>6</w:t>
      </w:r>
      <w:r w:rsidR="008D22AF">
        <w:rPr>
          <w:rFonts w:ascii="Arial" w:hAnsi="Arial" w:cs="Arial"/>
          <w:sz w:val="24"/>
          <w:szCs w:val="24"/>
        </w:rPr>
        <w:t xml:space="preserve">1 (60 </w:t>
      </w:r>
      <w:proofErr w:type="spellStart"/>
      <w:r w:rsidR="006B7CBA">
        <w:rPr>
          <w:rFonts w:ascii="Arial" w:hAnsi="Arial" w:cs="Arial"/>
          <w:sz w:val="24"/>
          <w:szCs w:val="24"/>
        </w:rPr>
        <w:t>Screwfix</w:t>
      </w:r>
      <w:proofErr w:type="spellEnd"/>
      <w:r w:rsidR="006B7CBA">
        <w:rPr>
          <w:rFonts w:ascii="Arial" w:hAnsi="Arial" w:cs="Arial"/>
          <w:sz w:val="24"/>
          <w:szCs w:val="24"/>
        </w:rPr>
        <w:t xml:space="preserve"> outlets</w:t>
      </w:r>
      <w:r w:rsidR="008D22AF">
        <w:rPr>
          <w:rFonts w:ascii="Arial" w:hAnsi="Arial" w:cs="Arial"/>
          <w:sz w:val="24"/>
          <w:szCs w:val="24"/>
        </w:rPr>
        <w:t xml:space="preserve"> </w:t>
      </w:r>
      <w:r w:rsidR="002E35F8">
        <w:rPr>
          <w:rFonts w:ascii="Arial" w:hAnsi="Arial" w:cs="Arial"/>
          <w:sz w:val="24"/>
          <w:szCs w:val="24"/>
        </w:rPr>
        <w:t>&amp;</w:t>
      </w:r>
      <w:r w:rsidR="008D22AF">
        <w:rPr>
          <w:rFonts w:ascii="Arial" w:hAnsi="Arial" w:cs="Arial"/>
          <w:sz w:val="24"/>
          <w:szCs w:val="24"/>
        </w:rPr>
        <w:t xml:space="preserve"> 1 B&amp;Q)</w:t>
      </w:r>
      <w:r w:rsidRPr="001B3CC2">
        <w:rPr>
          <w:rFonts w:ascii="Arial" w:hAnsi="Arial" w:cs="Arial"/>
          <w:sz w:val="24"/>
          <w:szCs w:val="24"/>
        </w:rPr>
        <w:t xml:space="preserve">, France </w:t>
      </w:r>
      <w:r w:rsidR="004A515B">
        <w:rPr>
          <w:rFonts w:ascii="Arial" w:hAnsi="Arial" w:cs="Arial"/>
          <w:sz w:val="24"/>
          <w:szCs w:val="24"/>
        </w:rPr>
        <w:t>2</w:t>
      </w:r>
      <w:r w:rsidRPr="001B3CC2">
        <w:rPr>
          <w:rFonts w:ascii="Arial" w:hAnsi="Arial" w:cs="Arial"/>
          <w:sz w:val="24"/>
          <w:szCs w:val="24"/>
        </w:rPr>
        <w:t xml:space="preserve">, </w:t>
      </w:r>
      <w:r w:rsidR="001B3CC2" w:rsidRPr="0006717E">
        <w:rPr>
          <w:rFonts w:ascii="Arial" w:hAnsi="Arial" w:cs="Arial"/>
          <w:sz w:val="24"/>
          <w:szCs w:val="24"/>
        </w:rPr>
        <w:t xml:space="preserve">Poland 3, </w:t>
      </w:r>
      <w:r w:rsidRPr="001B3CC2">
        <w:rPr>
          <w:rFonts w:ascii="Arial" w:hAnsi="Arial" w:cs="Arial"/>
          <w:sz w:val="24"/>
          <w:szCs w:val="24"/>
        </w:rPr>
        <w:t>Russia</w:t>
      </w:r>
      <w:r w:rsidR="002E35F8">
        <w:rPr>
          <w:rFonts w:ascii="Arial" w:hAnsi="Arial" w:cs="Arial"/>
          <w:sz w:val="24"/>
          <w:szCs w:val="24"/>
        </w:rPr>
        <w:t xml:space="preserve"> 1, </w:t>
      </w:r>
      <w:r w:rsidRPr="001B3CC2">
        <w:rPr>
          <w:rFonts w:ascii="Arial" w:hAnsi="Arial" w:cs="Arial"/>
          <w:sz w:val="24"/>
          <w:szCs w:val="24"/>
        </w:rPr>
        <w:t>Turkey 1</w:t>
      </w:r>
      <w:r w:rsidR="008D22AF">
        <w:rPr>
          <w:rFonts w:ascii="Arial" w:hAnsi="Arial" w:cs="Arial"/>
          <w:sz w:val="24"/>
          <w:szCs w:val="24"/>
        </w:rPr>
        <w:t xml:space="preserve">, </w:t>
      </w:r>
      <w:r w:rsidRPr="001B3CC2">
        <w:rPr>
          <w:rFonts w:ascii="Arial" w:hAnsi="Arial" w:cs="Arial"/>
          <w:sz w:val="24"/>
          <w:szCs w:val="24"/>
        </w:rPr>
        <w:t>Spain 3</w:t>
      </w:r>
      <w:r w:rsidR="008D22AF">
        <w:rPr>
          <w:rFonts w:ascii="Arial" w:hAnsi="Arial" w:cs="Arial"/>
          <w:sz w:val="24"/>
          <w:szCs w:val="24"/>
        </w:rPr>
        <w:t xml:space="preserve"> </w:t>
      </w:r>
      <w:r w:rsidR="002E35F8">
        <w:rPr>
          <w:rFonts w:ascii="Arial" w:hAnsi="Arial" w:cs="Arial"/>
          <w:sz w:val="24"/>
          <w:szCs w:val="24"/>
        </w:rPr>
        <w:t>&amp;</w:t>
      </w:r>
      <w:r w:rsidR="008D22AF">
        <w:rPr>
          <w:rFonts w:ascii="Arial" w:hAnsi="Arial" w:cs="Arial"/>
          <w:sz w:val="24"/>
          <w:szCs w:val="24"/>
        </w:rPr>
        <w:t xml:space="preserve"> 1 less in China</w:t>
      </w:r>
      <w:r w:rsidRPr="001B3CC2">
        <w:rPr>
          <w:rFonts w:ascii="Arial" w:hAnsi="Arial" w:cs="Arial"/>
          <w:sz w:val="24"/>
          <w:szCs w:val="24"/>
        </w:rPr>
        <w:t>)</w:t>
      </w:r>
    </w:p>
    <w:p w:rsidR="003E3617" w:rsidRPr="001B3CC2" w:rsidRDefault="003E3617" w:rsidP="003E3617">
      <w:pPr>
        <w:pStyle w:val="ListParagraph"/>
        <w:numPr>
          <w:ilvl w:val="0"/>
          <w:numId w:val="12"/>
        </w:numPr>
        <w:contextualSpacing/>
        <w:jc w:val="left"/>
        <w:rPr>
          <w:rFonts w:ascii="Arial" w:hAnsi="Arial" w:cs="Arial"/>
          <w:sz w:val="24"/>
          <w:szCs w:val="24"/>
        </w:rPr>
      </w:pPr>
      <w:r w:rsidRPr="001B3CC2">
        <w:rPr>
          <w:rFonts w:ascii="Arial" w:hAnsi="Arial" w:cs="Arial"/>
          <w:sz w:val="24"/>
          <w:szCs w:val="24"/>
        </w:rPr>
        <w:t xml:space="preserve">Revamped </w:t>
      </w:r>
      <w:r w:rsidR="0036777F">
        <w:rPr>
          <w:rFonts w:ascii="Arial" w:hAnsi="Arial" w:cs="Arial"/>
          <w:sz w:val="24"/>
          <w:szCs w:val="24"/>
        </w:rPr>
        <w:t>&amp;</w:t>
      </w:r>
      <w:r w:rsidRPr="001B3CC2">
        <w:rPr>
          <w:rFonts w:ascii="Arial" w:hAnsi="Arial" w:cs="Arial"/>
          <w:sz w:val="24"/>
          <w:szCs w:val="24"/>
        </w:rPr>
        <w:t xml:space="preserve"> extended </w:t>
      </w:r>
      <w:r w:rsidR="001B3CC2" w:rsidRPr="0006717E">
        <w:rPr>
          <w:rFonts w:ascii="Arial" w:hAnsi="Arial" w:cs="Arial"/>
          <w:sz w:val="24"/>
          <w:szCs w:val="24"/>
        </w:rPr>
        <w:t>five</w:t>
      </w:r>
      <w:r w:rsidRPr="001B3CC2">
        <w:rPr>
          <w:rFonts w:ascii="Arial" w:hAnsi="Arial" w:cs="Arial"/>
          <w:sz w:val="24"/>
          <w:szCs w:val="24"/>
        </w:rPr>
        <w:t xml:space="preserve"> Castorama France stores, 70% of stores now in modern format</w:t>
      </w:r>
    </w:p>
    <w:p w:rsidR="00CA6E9C" w:rsidRPr="001B3CC2" w:rsidRDefault="00CA6E9C" w:rsidP="003E3617">
      <w:pPr>
        <w:pStyle w:val="ListParagraph"/>
        <w:numPr>
          <w:ilvl w:val="0"/>
          <w:numId w:val="12"/>
        </w:numPr>
        <w:contextualSpacing/>
        <w:jc w:val="left"/>
        <w:rPr>
          <w:rFonts w:ascii="Arial" w:hAnsi="Arial" w:cs="Arial"/>
          <w:sz w:val="24"/>
          <w:szCs w:val="24"/>
        </w:rPr>
      </w:pPr>
      <w:r w:rsidRPr="001B3CC2">
        <w:rPr>
          <w:rFonts w:ascii="Arial" w:hAnsi="Arial" w:cs="Arial"/>
          <w:sz w:val="24"/>
          <w:szCs w:val="24"/>
        </w:rPr>
        <w:t>Successfully integrated 28 Focus DIY stores</w:t>
      </w:r>
      <w:r w:rsidR="006B7CBA">
        <w:rPr>
          <w:rFonts w:ascii="Arial" w:hAnsi="Arial" w:cs="Arial"/>
          <w:sz w:val="24"/>
          <w:szCs w:val="24"/>
        </w:rPr>
        <w:t xml:space="preserve"> in the UK</w:t>
      </w:r>
      <w:r w:rsidRPr="001B3CC2">
        <w:rPr>
          <w:rFonts w:ascii="Arial" w:hAnsi="Arial" w:cs="Arial"/>
          <w:sz w:val="24"/>
          <w:szCs w:val="24"/>
        </w:rPr>
        <w:t xml:space="preserve">, contributing </w:t>
      </w:r>
      <w:r w:rsidR="005C5663">
        <w:rPr>
          <w:rFonts w:ascii="Arial" w:hAnsi="Arial" w:cs="Arial"/>
          <w:sz w:val="24"/>
          <w:szCs w:val="24"/>
        </w:rPr>
        <w:t>c.2</w:t>
      </w:r>
      <w:r w:rsidRPr="001B3CC2">
        <w:rPr>
          <w:rFonts w:ascii="Arial" w:hAnsi="Arial" w:cs="Arial"/>
          <w:sz w:val="24"/>
          <w:szCs w:val="24"/>
        </w:rPr>
        <w:t xml:space="preserve">% </w:t>
      </w:r>
      <w:r w:rsidR="00683B13" w:rsidRPr="001B3CC2">
        <w:rPr>
          <w:rFonts w:ascii="Arial" w:hAnsi="Arial" w:cs="Arial"/>
          <w:sz w:val="24"/>
          <w:szCs w:val="24"/>
        </w:rPr>
        <w:t xml:space="preserve">to B&amp;Q </w:t>
      </w:r>
      <w:r w:rsidRPr="001B3CC2">
        <w:rPr>
          <w:rFonts w:ascii="Arial" w:hAnsi="Arial" w:cs="Arial"/>
          <w:sz w:val="24"/>
          <w:szCs w:val="24"/>
        </w:rPr>
        <w:t>total sales growth</w:t>
      </w:r>
      <w:r w:rsidR="00770E79" w:rsidRPr="001B3CC2">
        <w:rPr>
          <w:rFonts w:ascii="Arial" w:hAnsi="Arial" w:cs="Arial"/>
          <w:sz w:val="24"/>
          <w:szCs w:val="24"/>
        </w:rPr>
        <w:t>, pay back slightly ahead of expectations</w:t>
      </w:r>
    </w:p>
    <w:p w:rsidR="008E76D5" w:rsidRPr="001B3CC2" w:rsidRDefault="005C5663" w:rsidP="003E3617">
      <w:pPr>
        <w:pStyle w:val="ListParagraph"/>
        <w:numPr>
          <w:ilvl w:val="0"/>
          <w:numId w:val="30"/>
        </w:numPr>
        <w:contextualSpacing/>
        <w:jc w:val="left"/>
        <w:rPr>
          <w:rFonts w:ascii="Arial" w:hAnsi="Arial" w:cs="Arial"/>
          <w:sz w:val="24"/>
          <w:szCs w:val="24"/>
        </w:rPr>
      </w:pPr>
      <w:r>
        <w:rPr>
          <w:rFonts w:ascii="Arial" w:hAnsi="Arial" w:cs="Arial"/>
          <w:sz w:val="24"/>
          <w:szCs w:val="24"/>
        </w:rPr>
        <w:t>Launch</w:t>
      </w:r>
      <w:r w:rsidR="008D22AF">
        <w:rPr>
          <w:rFonts w:ascii="Arial" w:hAnsi="Arial" w:cs="Arial"/>
          <w:sz w:val="24"/>
          <w:szCs w:val="24"/>
        </w:rPr>
        <w:t xml:space="preserve">ing a </w:t>
      </w:r>
      <w:r w:rsidR="008B0B4E" w:rsidRPr="001B3CC2">
        <w:rPr>
          <w:rFonts w:ascii="Arial" w:hAnsi="Arial" w:cs="Arial"/>
          <w:sz w:val="24"/>
          <w:szCs w:val="24"/>
        </w:rPr>
        <w:t>4,000</w:t>
      </w:r>
      <w:r w:rsidR="008E76D5" w:rsidRPr="001B3CC2">
        <w:rPr>
          <w:rFonts w:ascii="Arial" w:hAnsi="Arial" w:cs="Arial"/>
          <w:sz w:val="24"/>
          <w:szCs w:val="24"/>
        </w:rPr>
        <w:t>m</w:t>
      </w:r>
      <w:r w:rsidR="000D381E" w:rsidRPr="00C82F88">
        <w:rPr>
          <w:rFonts w:ascii="Arial" w:hAnsi="Arial" w:cs="Arial"/>
          <w:sz w:val="24"/>
          <w:szCs w:val="24"/>
        </w:rPr>
        <w:t>2</w:t>
      </w:r>
      <w:r w:rsidR="008E76D5" w:rsidRPr="001B3CC2">
        <w:rPr>
          <w:rFonts w:ascii="Arial" w:hAnsi="Arial" w:cs="Arial"/>
          <w:sz w:val="24"/>
          <w:szCs w:val="24"/>
        </w:rPr>
        <w:t xml:space="preserve"> standalone </w:t>
      </w:r>
      <w:r w:rsidR="00487150" w:rsidRPr="001B3CC2">
        <w:rPr>
          <w:rFonts w:ascii="Arial" w:hAnsi="Arial" w:cs="Arial"/>
          <w:sz w:val="24"/>
          <w:szCs w:val="24"/>
        </w:rPr>
        <w:t>B&amp;Q Design Centre</w:t>
      </w:r>
      <w:r w:rsidR="008E76D5" w:rsidRPr="001B3CC2">
        <w:rPr>
          <w:rFonts w:ascii="Arial" w:hAnsi="Arial" w:cs="Arial"/>
          <w:sz w:val="24"/>
          <w:szCs w:val="24"/>
        </w:rPr>
        <w:t xml:space="preserve"> </w:t>
      </w:r>
      <w:r w:rsidR="008D22AF">
        <w:rPr>
          <w:rFonts w:ascii="Arial" w:hAnsi="Arial" w:cs="Arial"/>
          <w:sz w:val="24"/>
          <w:szCs w:val="24"/>
        </w:rPr>
        <w:t xml:space="preserve">trial </w:t>
      </w:r>
      <w:r w:rsidR="008E76D5" w:rsidRPr="001B3CC2">
        <w:rPr>
          <w:rFonts w:ascii="Arial" w:hAnsi="Arial" w:cs="Arial"/>
          <w:sz w:val="24"/>
          <w:szCs w:val="24"/>
        </w:rPr>
        <w:t>store</w:t>
      </w:r>
      <w:r w:rsidR="003E3617" w:rsidRPr="001B3CC2">
        <w:rPr>
          <w:rFonts w:ascii="Arial" w:hAnsi="Arial" w:cs="Arial"/>
          <w:sz w:val="24"/>
          <w:szCs w:val="24"/>
        </w:rPr>
        <w:t xml:space="preserve"> in China</w:t>
      </w:r>
      <w:r>
        <w:rPr>
          <w:rFonts w:ascii="Arial" w:hAnsi="Arial" w:cs="Arial"/>
          <w:sz w:val="24"/>
          <w:szCs w:val="24"/>
        </w:rPr>
        <w:t>, targeting the</w:t>
      </w:r>
      <w:r w:rsidR="001B3CC2" w:rsidRPr="0006717E">
        <w:rPr>
          <w:rFonts w:ascii="Arial" w:hAnsi="Arial" w:cs="Arial"/>
          <w:sz w:val="24"/>
          <w:szCs w:val="24"/>
        </w:rPr>
        <w:t xml:space="preserve"> </w:t>
      </w:r>
      <w:r w:rsidRPr="001B3CC2">
        <w:rPr>
          <w:rFonts w:ascii="Arial" w:hAnsi="Arial" w:cs="Arial"/>
          <w:sz w:val="24"/>
          <w:szCs w:val="24"/>
        </w:rPr>
        <w:t>Do-it-For-Me apartment design market</w:t>
      </w:r>
      <w:r w:rsidRPr="001B3CC2" w:rsidDel="005C5663">
        <w:rPr>
          <w:rFonts w:ascii="Arial" w:hAnsi="Arial" w:cs="Arial"/>
          <w:sz w:val="24"/>
          <w:szCs w:val="24"/>
        </w:rPr>
        <w:t xml:space="preserve"> </w:t>
      </w:r>
    </w:p>
    <w:p w:rsidR="008E76D5" w:rsidRPr="001B3CC2" w:rsidRDefault="008E76D5" w:rsidP="00B807D7">
      <w:pPr>
        <w:pStyle w:val="ListParagraph"/>
        <w:numPr>
          <w:ilvl w:val="1"/>
          <w:numId w:val="30"/>
        </w:numPr>
        <w:contextualSpacing/>
        <w:jc w:val="left"/>
        <w:rPr>
          <w:rFonts w:ascii="Arial" w:hAnsi="Arial" w:cs="Arial"/>
          <w:sz w:val="24"/>
          <w:szCs w:val="24"/>
        </w:rPr>
      </w:pPr>
      <w:r w:rsidRPr="001B3CC2">
        <w:rPr>
          <w:rFonts w:ascii="Arial" w:hAnsi="Arial" w:cs="Arial"/>
          <w:sz w:val="24"/>
          <w:szCs w:val="24"/>
        </w:rPr>
        <w:t>Based on the productive existing Design Centre area of the much larger (c</w:t>
      </w:r>
      <w:r w:rsidR="004A5EE7">
        <w:rPr>
          <w:rFonts w:ascii="Arial" w:hAnsi="Arial" w:cs="Arial"/>
          <w:sz w:val="24"/>
          <w:szCs w:val="24"/>
        </w:rPr>
        <w:t>.</w:t>
      </w:r>
      <w:r w:rsidRPr="001B3CC2">
        <w:rPr>
          <w:rFonts w:ascii="Arial" w:hAnsi="Arial" w:cs="Arial"/>
          <w:sz w:val="24"/>
          <w:szCs w:val="24"/>
        </w:rPr>
        <w:t>10,00</w:t>
      </w:r>
      <w:r w:rsidR="000D381E">
        <w:rPr>
          <w:rFonts w:ascii="Arial" w:hAnsi="Arial" w:cs="Arial"/>
          <w:sz w:val="24"/>
          <w:szCs w:val="24"/>
        </w:rPr>
        <w:t>0m2</w:t>
      </w:r>
      <w:r w:rsidRPr="001B3CC2">
        <w:rPr>
          <w:rFonts w:ascii="Arial" w:hAnsi="Arial" w:cs="Arial"/>
          <w:sz w:val="24"/>
          <w:szCs w:val="24"/>
        </w:rPr>
        <w:t xml:space="preserve">) ‘Big Box’ stores  </w:t>
      </w:r>
    </w:p>
    <w:p w:rsidR="008E76D5" w:rsidRDefault="008E76D5" w:rsidP="00B807D7">
      <w:pPr>
        <w:pStyle w:val="ListParagraph"/>
        <w:numPr>
          <w:ilvl w:val="1"/>
          <w:numId w:val="30"/>
        </w:numPr>
        <w:contextualSpacing/>
        <w:jc w:val="left"/>
        <w:rPr>
          <w:rFonts w:ascii="Arial" w:hAnsi="Arial" w:cs="Arial"/>
          <w:sz w:val="24"/>
          <w:szCs w:val="24"/>
        </w:rPr>
      </w:pPr>
      <w:r w:rsidRPr="001B3CC2">
        <w:rPr>
          <w:rFonts w:ascii="Arial" w:hAnsi="Arial" w:cs="Arial"/>
          <w:sz w:val="24"/>
          <w:szCs w:val="24"/>
        </w:rPr>
        <w:t xml:space="preserve">Incorporating higher levels of service in store, better displays, more exclusive Group own brand product, improved </w:t>
      </w:r>
      <w:proofErr w:type="spellStart"/>
      <w:r w:rsidR="00612978">
        <w:rPr>
          <w:rFonts w:ascii="Arial" w:hAnsi="Arial" w:cs="Arial"/>
          <w:sz w:val="24"/>
          <w:szCs w:val="24"/>
        </w:rPr>
        <w:t>omni</w:t>
      </w:r>
      <w:r w:rsidR="008D22AF">
        <w:rPr>
          <w:rFonts w:ascii="Arial" w:hAnsi="Arial" w:cs="Arial"/>
          <w:sz w:val="24"/>
          <w:szCs w:val="24"/>
        </w:rPr>
        <w:t>channel</w:t>
      </w:r>
      <w:proofErr w:type="spellEnd"/>
      <w:r w:rsidR="008D22AF">
        <w:rPr>
          <w:rFonts w:ascii="Arial" w:hAnsi="Arial" w:cs="Arial"/>
          <w:sz w:val="24"/>
          <w:szCs w:val="24"/>
        </w:rPr>
        <w:t xml:space="preserve"> </w:t>
      </w:r>
      <w:r w:rsidRPr="001B3CC2">
        <w:rPr>
          <w:rFonts w:ascii="Arial" w:hAnsi="Arial" w:cs="Arial"/>
          <w:sz w:val="24"/>
          <w:szCs w:val="24"/>
        </w:rPr>
        <w:t xml:space="preserve">offer </w:t>
      </w:r>
      <w:r w:rsidR="0036777F">
        <w:rPr>
          <w:rFonts w:ascii="Arial" w:hAnsi="Arial" w:cs="Arial"/>
          <w:sz w:val="24"/>
          <w:szCs w:val="24"/>
        </w:rPr>
        <w:t>&amp;</w:t>
      </w:r>
      <w:r w:rsidRPr="001B3CC2">
        <w:rPr>
          <w:rFonts w:ascii="Arial" w:hAnsi="Arial" w:cs="Arial"/>
          <w:sz w:val="24"/>
          <w:szCs w:val="24"/>
        </w:rPr>
        <w:t xml:space="preserve"> stock held centrally for home delivery</w:t>
      </w:r>
    </w:p>
    <w:p w:rsidR="00B6606D" w:rsidRPr="00C82F88" w:rsidRDefault="00B6606D" w:rsidP="00C82F88">
      <w:pPr>
        <w:pStyle w:val="ListParagraph"/>
        <w:numPr>
          <w:ilvl w:val="0"/>
          <w:numId w:val="30"/>
        </w:numPr>
        <w:contextualSpacing/>
        <w:jc w:val="left"/>
        <w:rPr>
          <w:rFonts w:ascii="Arial" w:hAnsi="Arial" w:cs="Arial"/>
          <w:sz w:val="24"/>
          <w:szCs w:val="24"/>
        </w:rPr>
      </w:pPr>
      <w:r>
        <w:rPr>
          <w:rFonts w:ascii="Arial" w:hAnsi="Arial" w:cs="Arial"/>
          <w:sz w:val="24"/>
          <w:szCs w:val="24"/>
        </w:rPr>
        <w:t xml:space="preserve">B&amp;Q UK store rightsizing </w:t>
      </w:r>
    </w:p>
    <w:p w:rsidR="000D381E" w:rsidRDefault="00B6606D">
      <w:pPr>
        <w:pStyle w:val="ListParagraph"/>
        <w:numPr>
          <w:ilvl w:val="1"/>
          <w:numId w:val="30"/>
        </w:numPr>
        <w:contextualSpacing/>
        <w:jc w:val="left"/>
        <w:rPr>
          <w:rFonts w:ascii="Arial" w:hAnsi="Arial" w:cs="Arial"/>
          <w:sz w:val="24"/>
          <w:szCs w:val="24"/>
        </w:rPr>
      </w:pPr>
      <w:r>
        <w:rPr>
          <w:rFonts w:ascii="Arial" w:hAnsi="Arial" w:cs="Arial"/>
          <w:sz w:val="24"/>
          <w:szCs w:val="24"/>
        </w:rPr>
        <w:t xml:space="preserve">1 B&amp;Q UK freehold store </w:t>
      </w:r>
      <w:r w:rsidR="000D381E">
        <w:rPr>
          <w:rFonts w:ascii="Arial" w:hAnsi="Arial" w:cs="Arial"/>
          <w:sz w:val="24"/>
          <w:szCs w:val="24"/>
        </w:rPr>
        <w:t xml:space="preserve">deal completed with a </w:t>
      </w:r>
      <w:r w:rsidR="004A5017">
        <w:rPr>
          <w:rFonts w:ascii="Arial" w:hAnsi="Arial" w:cs="Arial"/>
          <w:sz w:val="24"/>
          <w:szCs w:val="24"/>
        </w:rPr>
        <w:t>supermarket group</w:t>
      </w:r>
    </w:p>
    <w:p w:rsidR="000D381E" w:rsidRPr="00EC1FEB" w:rsidRDefault="000D381E" w:rsidP="00EC1FEB">
      <w:pPr>
        <w:pStyle w:val="ListParagraph"/>
        <w:numPr>
          <w:ilvl w:val="2"/>
          <w:numId w:val="30"/>
        </w:numPr>
        <w:contextualSpacing/>
        <w:jc w:val="left"/>
        <w:rPr>
          <w:rFonts w:ascii="Arial" w:hAnsi="Arial" w:cs="Arial"/>
          <w:sz w:val="24"/>
          <w:szCs w:val="24"/>
        </w:rPr>
      </w:pPr>
      <w:r w:rsidRPr="00EC1FEB">
        <w:rPr>
          <w:rFonts w:ascii="Arial" w:hAnsi="Arial" w:cs="Arial"/>
          <w:sz w:val="24"/>
          <w:szCs w:val="24"/>
        </w:rPr>
        <w:t>Store reduced i</w:t>
      </w:r>
      <w:r w:rsidR="00B6606D" w:rsidRPr="00EC1FEB">
        <w:rPr>
          <w:rFonts w:ascii="Arial" w:hAnsi="Arial" w:cs="Arial"/>
          <w:sz w:val="24"/>
          <w:szCs w:val="24"/>
        </w:rPr>
        <w:t>n size by 50%</w:t>
      </w:r>
      <w:r w:rsidRPr="00EC1FEB">
        <w:rPr>
          <w:rFonts w:ascii="Arial" w:hAnsi="Arial" w:cs="Arial"/>
          <w:sz w:val="24"/>
          <w:szCs w:val="24"/>
        </w:rPr>
        <w:t xml:space="preserve">; sales density improvement </w:t>
      </w:r>
      <w:r w:rsidR="00B6606D" w:rsidRPr="00EC1FEB">
        <w:rPr>
          <w:rFonts w:ascii="Arial" w:hAnsi="Arial" w:cs="Arial"/>
          <w:sz w:val="24"/>
          <w:szCs w:val="24"/>
        </w:rPr>
        <w:t xml:space="preserve">so far </w:t>
      </w:r>
      <w:r w:rsidRPr="00EC1FEB">
        <w:rPr>
          <w:rFonts w:ascii="Arial" w:hAnsi="Arial" w:cs="Arial"/>
          <w:sz w:val="24"/>
          <w:szCs w:val="24"/>
        </w:rPr>
        <w:t xml:space="preserve">of </w:t>
      </w:r>
      <w:r w:rsidR="000F6F92" w:rsidRPr="00EC1FEB">
        <w:rPr>
          <w:rFonts w:ascii="Arial" w:hAnsi="Arial" w:cs="Arial"/>
          <w:sz w:val="24"/>
          <w:szCs w:val="24"/>
        </w:rPr>
        <w:t>88</w:t>
      </w:r>
      <w:r w:rsidRPr="00EC1FEB">
        <w:rPr>
          <w:rFonts w:ascii="Arial" w:hAnsi="Arial" w:cs="Arial"/>
          <w:sz w:val="24"/>
          <w:szCs w:val="24"/>
        </w:rPr>
        <w:t>%</w:t>
      </w:r>
      <w:r w:rsidR="00074BF9" w:rsidRPr="00EC1FEB">
        <w:rPr>
          <w:rFonts w:ascii="Arial" w:hAnsi="Arial" w:cs="Arial"/>
          <w:sz w:val="24"/>
          <w:szCs w:val="24"/>
        </w:rPr>
        <w:t xml:space="preserve">; </w:t>
      </w:r>
      <w:r w:rsidR="00074BF9">
        <w:rPr>
          <w:rFonts w:ascii="Arial" w:hAnsi="Arial" w:cs="Arial"/>
          <w:sz w:val="24"/>
          <w:szCs w:val="24"/>
        </w:rPr>
        <w:t>p</w:t>
      </w:r>
      <w:r w:rsidRPr="00EC1FEB">
        <w:rPr>
          <w:rFonts w:ascii="Arial" w:hAnsi="Arial" w:cs="Arial"/>
          <w:sz w:val="24"/>
          <w:szCs w:val="24"/>
        </w:rPr>
        <w:t>lanning permission took 12 months</w:t>
      </w:r>
    </w:p>
    <w:p w:rsidR="000D381E" w:rsidRPr="000D381E" w:rsidRDefault="000D381E" w:rsidP="00C82F88">
      <w:pPr>
        <w:pStyle w:val="ListParagraph"/>
        <w:numPr>
          <w:ilvl w:val="2"/>
          <w:numId w:val="30"/>
        </w:numPr>
        <w:contextualSpacing/>
        <w:jc w:val="left"/>
        <w:rPr>
          <w:rFonts w:ascii="Arial" w:hAnsi="Arial" w:cs="Arial"/>
          <w:sz w:val="24"/>
          <w:szCs w:val="24"/>
        </w:rPr>
      </w:pPr>
      <w:r>
        <w:rPr>
          <w:rFonts w:ascii="Arial" w:hAnsi="Arial" w:cs="Arial"/>
          <w:sz w:val="24"/>
          <w:szCs w:val="24"/>
        </w:rPr>
        <w:t>Generated c</w:t>
      </w:r>
      <w:r w:rsidRPr="00C82F88">
        <w:rPr>
          <w:rFonts w:ascii="Arial" w:hAnsi="Arial" w:cs="Arial"/>
          <w:sz w:val="24"/>
          <w:szCs w:val="24"/>
        </w:rPr>
        <w:t>apital value increase following change of use</w:t>
      </w:r>
    </w:p>
    <w:p w:rsidR="000D381E" w:rsidRPr="000D381E" w:rsidRDefault="000D381E" w:rsidP="000D381E">
      <w:pPr>
        <w:pStyle w:val="ListParagraph"/>
        <w:numPr>
          <w:ilvl w:val="1"/>
          <w:numId w:val="30"/>
        </w:numPr>
        <w:contextualSpacing/>
        <w:jc w:val="left"/>
        <w:rPr>
          <w:rFonts w:ascii="Arial" w:hAnsi="Arial" w:cs="Arial"/>
          <w:sz w:val="24"/>
          <w:szCs w:val="24"/>
        </w:rPr>
      </w:pPr>
      <w:r>
        <w:rPr>
          <w:rFonts w:ascii="Arial" w:hAnsi="Arial" w:cs="Arial"/>
          <w:sz w:val="24"/>
          <w:szCs w:val="24"/>
        </w:rPr>
        <w:t>F</w:t>
      </w:r>
      <w:r w:rsidRPr="00C82F88">
        <w:rPr>
          <w:rFonts w:ascii="Arial" w:hAnsi="Arial" w:cs="Arial"/>
          <w:sz w:val="24"/>
          <w:szCs w:val="24"/>
        </w:rPr>
        <w:t>urther opportunities</w:t>
      </w:r>
      <w:r w:rsidR="00B6606D">
        <w:rPr>
          <w:rFonts w:ascii="Arial" w:hAnsi="Arial" w:cs="Arial"/>
          <w:sz w:val="24"/>
          <w:szCs w:val="24"/>
        </w:rPr>
        <w:t xml:space="preserve"> being investigated</w:t>
      </w:r>
    </w:p>
    <w:p w:rsidR="000D381E" w:rsidRPr="000D381E" w:rsidRDefault="000F6F92" w:rsidP="00C82F88">
      <w:pPr>
        <w:pStyle w:val="ListParagraph"/>
        <w:numPr>
          <w:ilvl w:val="2"/>
          <w:numId w:val="30"/>
        </w:numPr>
        <w:contextualSpacing/>
        <w:jc w:val="left"/>
        <w:rPr>
          <w:rFonts w:ascii="Arial" w:hAnsi="Arial" w:cs="Arial"/>
          <w:sz w:val="24"/>
          <w:szCs w:val="24"/>
        </w:rPr>
      </w:pPr>
      <w:r>
        <w:rPr>
          <w:rFonts w:ascii="Arial" w:hAnsi="Arial" w:cs="Arial"/>
          <w:sz w:val="24"/>
          <w:szCs w:val="24"/>
        </w:rPr>
        <w:t>4</w:t>
      </w:r>
      <w:r w:rsidR="000D381E" w:rsidRPr="00C82F88">
        <w:rPr>
          <w:rFonts w:ascii="Arial" w:hAnsi="Arial" w:cs="Arial"/>
          <w:sz w:val="24"/>
          <w:szCs w:val="24"/>
        </w:rPr>
        <w:t xml:space="preserve"> </w:t>
      </w:r>
      <w:r w:rsidR="008D22AF">
        <w:rPr>
          <w:rFonts w:ascii="Arial" w:hAnsi="Arial" w:cs="Arial"/>
          <w:sz w:val="24"/>
          <w:szCs w:val="24"/>
        </w:rPr>
        <w:t xml:space="preserve">further </w:t>
      </w:r>
      <w:r w:rsidR="000D381E" w:rsidRPr="00C82F88">
        <w:rPr>
          <w:rFonts w:ascii="Arial" w:hAnsi="Arial" w:cs="Arial"/>
          <w:sz w:val="24"/>
          <w:szCs w:val="24"/>
        </w:rPr>
        <w:t>agreements a</w:t>
      </w:r>
      <w:r w:rsidR="00B6606D">
        <w:rPr>
          <w:rFonts w:ascii="Arial" w:hAnsi="Arial" w:cs="Arial"/>
          <w:sz w:val="24"/>
          <w:szCs w:val="24"/>
        </w:rPr>
        <w:t xml:space="preserve">lready in place </w:t>
      </w:r>
    </w:p>
    <w:p w:rsidR="000D381E" w:rsidRPr="000D381E" w:rsidRDefault="000D381E" w:rsidP="00C82F88">
      <w:pPr>
        <w:pStyle w:val="ListParagraph"/>
        <w:numPr>
          <w:ilvl w:val="2"/>
          <w:numId w:val="30"/>
        </w:numPr>
        <w:contextualSpacing/>
        <w:jc w:val="left"/>
        <w:rPr>
          <w:rFonts w:ascii="Arial" w:hAnsi="Arial" w:cs="Arial"/>
          <w:sz w:val="24"/>
          <w:szCs w:val="24"/>
        </w:rPr>
      </w:pPr>
      <w:r w:rsidRPr="00C82F88">
        <w:rPr>
          <w:rFonts w:ascii="Arial" w:hAnsi="Arial" w:cs="Arial"/>
          <w:sz w:val="24"/>
          <w:szCs w:val="24"/>
        </w:rPr>
        <w:t>Now awaiting planning permission (c.6-18 months)</w:t>
      </w:r>
    </w:p>
    <w:p w:rsidR="00DA76EE" w:rsidRDefault="00074103" w:rsidP="00DA76EE">
      <w:pPr>
        <w:pStyle w:val="ListParagraph"/>
        <w:numPr>
          <w:ilvl w:val="1"/>
          <w:numId w:val="30"/>
        </w:numPr>
        <w:contextualSpacing/>
        <w:jc w:val="left"/>
        <w:rPr>
          <w:rFonts w:ascii="Arial" w:hAnsi="Arial" w:cs="Arial"/>
          <w:sz w:val="24"/>
          <w:szCs w:val="24"/>
        </w:rPr>
      </w:pPr>
      <w:r>
        <w:rPr>
          <w:rFonts w:ascii="Arial" w:hAnsi="Arial" w:cs="Arial"/>
          <w:sz w:val="24"/>
          <w:szCs w:val="24"/>
        </w:rPr>
        <w:t xml:space="preserve">5 store package </w:t>
      </w:r>
      <w:r w:rsidR="00DA76EE" w:rsidRPr="00682647">
        <w:rPr>
          <w:rFonts w:ascii="Arial" w:hAnsi="Arial" w:cs="Arial"/>
          <w:sz w:val="24"/>
          <w:szCs w:val="24"/>
        </w:rPr>
        <w:t xml:space="preserve">represents </w:t>
      </w:r>
      <w:r w:rsidR="007D0045">
        <w:rPr>
          <w:rFonts w:ascii="Arial" w:hAnsi="Arial" w:cs="Arial"/>
          <w:sz w:val="24"/>
          <w:szCs w:val="24"/>
        </w:rPr>
        <w:t>c.</w:t>
      </w:r>
      <w:r w:rsidR="00DA76EE" w:rsidRPr="00966307">
        <w:rPr>
          <w:rFonts w:ascii="Arial" w:hAnsi="Arial" w:cs="Arial"/>
          <w:sz w:val="24"/>
          <w:szCs w:val="24"/>
        </w:rPr>
        <w:t>£30m</w:t>
      </w:r>
      <w:r w:rsidR="00DA76EE">
        <w:rPr>
          <w:rFonts w:ascii="Arial" w:hAnsi="Arial" w:cs="Arial"/>
          <w:sz w:val="24"/>
          <w:szCs w:val="24"/>
        </w:rPr>
        <w:t xml:space="preserve"> lower lease adjusted debt </w:t>
      </w:r>
      <w:r w:rsidR="00DA76EE" w:rsidRPr="00C82F88">
        <w:rPr>
          <w:rFonts w:ascii="Arial" w:hAnsi="Arial" w:cs="Arial"/>
          <w:sz w:val="24"/>
          <w:szCs w:val="24"/>
        </w:rPr>
        <w:t xml:space="preserve"> </w:t>
      </w:r>
    </w:p>
    <w:p w:rsidR="000D381E" w:rsidRDefault="00DA76EE" w:rsidP="00EC1FEB">
      <w:pPr>
        <w:pStyle w:val="ListParagraph"/>
        <w:numPr>
          <w:ilvl w:val="1"/>
          <w:numId w:val="30"/>
        </w:numPr>
        <w:contextualSpacing/>
        <w:jc w:val="left"/>
        <w:rPr>
          <w:rFonts w:ascii="Arial" w:hAnsi="Arial" w:cs="Arial"/>
          <w:sz w:val="24"/>
          <w:szCs w:val="24"/>
        </w:rPr>
      </w:pPr>
      <w:r w:rsidRPr="00C82F88">
        <w:rPr>
          <w:rFonts w:ascii="Arial" w:hAnsi="Arial" w:cs="Arial"/>
          <w:sz w:val="24"/>
          <w:szCs w:val="24"/>
        </w:rPr>
        <w:t xml:space="preserve">KEP </w:t>
      </w:r>
      <w:r>
        <w:rPr>
          <w:rFonts w:ascii="Arial" w:hAnsi="Arial" w:cs="Arial"/>
          <w:sz w:val="24"/>
          <w:szCs w:val="24"/>
        </w:rPr>
        <w:t xml:space="preserve">(Kingfisher Economic Profit) </w:t>
      </w:r>
      <w:r w:rsidRPr="00C82F88">
        <w:rPr>
          <w:rFonts w:ascii="Arial" w:hAnsi="Arial" w:cs="Arial"/>
          <w:sz w:val="24"/>
          <w:szCs w:val="24"/>
        </w:rPr>
        <w:t xml:space="preserve">attractive </w:t>
      </w:r>
    </w:p>
    <w:p w:rsidR="007133B6" w:rsidRPr="009622A0" w:rsidRDefault="007133B6" w:rsidP="007133B6">
      <w:pPr>
        <w:ind w:left="720" w:firstLine="414"/>
        <w:contextualSpacing/>
        <w:jc w:val="left"/>
        <w:rPr>
          <w:rFonts w:ascii="Arial" w:hAnsi="Arial" w:cs="Arial"/>
          <w:sz w:val="24"/>
          <w:szCs w:val="24"/>
        </w:rPr>
      </w:pPr>
    </w:p>
    <w:p w:rsidR="00C03ADC" w:rsidRPr="009622A0" w:rsidRDefault="007133B6">
      <w:pPr>
        <w:ind w:left="720" w:firstLine="414"/>
        <w:contextualSpacing/>
        <w:jc w:val="left"/>
        <w:rPr>
          <w:rFonts w:ascii="Arial" w:hAnsi="Arial" w:cs="Arial"/>
          <w:sz w:val="24"/>
          <w:szCs w:val="24"/>
        </w:rPr>
      </w:pPr>
      <w:r w:rsidRPr="009622A0">
        <w:rPr>
          <w:rFonts w:ascii="Arial" w:hAnsi="Arial" w:cs="Arial"/>
          <w:sz w:val="24"/>
          <w:szCs w:val="24"/>
        </w:rPr>
        <w:t>2013/14 milestones</w:t>
      </w:r>
    </w:p>
    <w:p w:rsidR="00C03ADC" w:rsidRPr="0006717E" w:rsidRDefault="00C03ADC" w:rsidP="0006717E">
      <w:pPr>
        <w:pStyle w:val="ListParagraph"/>
        <w:numPr>
          <w:ilvl w:val="0"/>
          <w:numId w:val="47"/>
        </w:numPr>
        <w:contextualSpacing/>
        <w:jc w:val="left"/>
        <w:rPr>
          <w:rFonts w:ascii="Arial" w:hAnsi="Arial" w:cs="Arial"/>
          <w:sz w:val="24"/>
          <w:szCs w:val="24"/>
        </w:rPr>
      </w:pPr>
      <w:r w:rsidRPr="0006717E">
        <w:rPr>
          <w:rFonts w:ascii="Arial" w:hAnsi="Arial" w:cs="Arial"/>
          <w:sz w:val="24"/>
          <w:szCs w:val="24"/>
        </w:rPr>
        <w:t xml:space="preserve">Open </w:t>
      </w:r>
      <w:r w:rsidR="001E4B6A">
        <w:rPr>
          <w:rFonts w:ascii="Arial" w:hAnsi="Arial" w:cs="Arial"/>
          <w:sz w:val="24"/>
          <w:szCs w:val="24"/>
        </w:rPr>
        <w:t>6</w:t>
      </w:r>
      <w:r w:rsidR="002620BE">
        <w:rPr>
          <w:rFonts w:ascii="Arial" w:hAnsi="Arial" w:cs="Arial"/>
          <w:sz w:val="24"/>
          <w:szCs w:val="24"/>
        </w:rPr>
        <w:t>8</w:t>
      </w:r>
      <w:r w:rsidRPr="0006717E">
        <w:rPr>
          <w:rFonts w:ascii="Arial" w:hAnsi="Arial" w:cs="Arial"/>
          <w:sz w:val="24"/>
          <w:szCs w:val="24"/>
        </w:rPr>
        <w:t xml:space="preserve"> </w:t>
      </w:r>
      <w:r w:rsidR="001E4B6A">
        <w:rPr>
          <w:rFonts w:ascii="Arial" w:hAnsi="Arial" w:cs="Arial"/>
          <w:sz w:val="24"/>
          <w:szCs w:val="24"/>
        </w:rPr>
        <w:t xml:space="preserve">net new </w:t>
      </w:r>
      <w:r w:rsidRPr="0006717E">
        <w:rPr>
          <w:rFonts w:ascii="Arial" w:hAnsi="Arial" w:cs="Arial"/>
          <w:sz w:val="24"/>
          <w:szCs w:val="24"/>
        </w:rPr>
        <w:t>stores (UK 50</w:t>
      </w:r>
      <w:r w:rsidR="006B7CBA">
        <w:rPr>
          <w:rFonts w:ascii="Arial" w:hAnsi="Arial" w:cs="Arial"/>
          <w:sz w:val="24"/>
          <w:szCs w:val="24"/>
        </w:rPr>
        <w:t xml:space="preserve"> </w:t>
      </w:r>
      <w:proofErr w:type="spellStart"/>
      <w:r w:rsidR="006B7CBA">
        <w:rPr>
          <w:rFonts w:ascii="Arial" w:hAnsi="Arial" w:cs="Arial"/>
          <w:sz w:val="24"/>
          <w:szCs w:val="24"/>
        </w:rPr>
        <w:t>Screwfix</w:t>
      </w:r>
      <w:proofErr w:type="spellEnd"/>
      <w:r w:rsidR="006B7CBA">
        <w:rPr>
          <w:rFonts w:ascii="Arial" w:hAnsi="Arial" w:cs="Arial"/>
          <w:sz w:val="24"/>
          <w:szCs w:val="24"/>
        </w:rPr>
        <w:t xml:space="preserve"> outlets</w:t>
      </w:r>
      <w:r w:rsidRPr="0006717E">
        <w:rPr>
          <w:rFonts w:ascii="Arial" w:hAnsi="Arial" w:cs="Arial"/>
          <w:sz w:val="24"/>
          <w:szCs w:val="24"/>
        </w:rPr>
        <w:t xml:space="preserve">, France 5, Poland </w:t>
      </w:r>
      <w:r w:rsidR="002620BE">
        <w:rPr>
          <w:rFonts w:ascii="Arial" w:hAnsi="Arial" w:cs="Arial"/>
          <w:sz w:val="24"/>
          <w:szCs w:val="24"/>
        </w:rPr>
        <w:t>2</w:t>
      </w:r>
      <w:r w:rsidRPr="0006717E">
        <w:rPr>
          <w:rFonts w:ascii="Arial" w:hAnsi="Arial" w:cs="Arial"/>
          <w:sz w:val="24"/>
          <w:szCs w:val="24"/>
        </w:rPr>
        <w:t>, Russia 1, Turkey 4</w:t>
      </w:r>
      <w:r w:rsidR="00F76408">
        <w:rPr>
          <w:rFonts w:ascii="Arial" w:hAnsi="Arial" w:cs="Arial"/>
          <w:sz w:val="24"/>
          <w:szCs w:val="24"/>
        </w:rPr>
        <w:t xml:space="preserve"> &amp; </w:t>
      </w:r>
      <w:r w:rsidRPr="0006717E">
        <w:rPr>
          <w:rFonts w:ascii="Arial" w:hAnsi="Arial" w:cs="Arial"/>
          <w:sz w:val="24"/>
          <w:szCs w:val="24"/>
        </w:rPr>
        <w:t>Spain 6)</w:t>
      </w:r>
      <w:r>
        <w:rPr>
          <w:rFonts w:ascii="Arial" w:hAnsi="Arial" w:cs="Arial"/>
          <w:sz w:val="24"/>
          <w:szCs w:val="24"/>
        </w:rPr>
        <w:t>,</w:t>
      </w:r>
      <w:r w:rsidRPr="0006717E">
        <w:rPr>
          <w:rFonts w:ascii="Arial" w:hAnsi="Arial" w:cs="Arial"/>
          <w:sz w:val="24"/>
          <w:szCs w:val="24"/>
        </w:rPr>
        <w:t xml:space="preserve"> representing 3% space growth</w:t>
      </w:r>
    </w:p>
    <w:p w:rsidR="00C03ADC" w:rsidRDefault="00C03ADC" w:rsidP="001B3CC2">
      <w:pPr>
        <w:pStyle w:val="ListParagraph"/>
        <w:numPr>
          <w:ilvl w:val="0"/>
          <w:numId w:val="38"/>
        </w:numPr>
        <w:rPr>
          <w:rFonts w:ascii="Arial" w:hAnsi="Arial" w:cs="Arial"/>
          <w:sz w:val="24"/>
          <w:szCs w:val="24"/>
        </w:rPr>
      </w:pPr>
      <w:r>
        <w:rPr>
          <w:rFonts w:ascii="Arial" w:hAnsi="Arial" w:cs="Arial"/>
          <w:sz w:val="24"/>
          <w:szCs w:val="24"/>
        </w:rPr>
        <w:t>Revamp and extend four Castorama stores</w:t>
      </w:r>
    </w:p>
    <w:p w:rsidR="00C03ADC" w:rsidRDefault="00DB7164" w:rsidP="001B3CC2">
      <w:pPr>
        <w:pStyle w:val="ListParagraph"/>
        <w:numPr>
          <w:ilvl w:val="0"/>
          <w:numId w:val="38"/>
        </w:numPr>
        <w:rPr>
          <w:rFonts w:ascii="Arial" w:hAnsi="Arial" w:cs="Arial"/>
          <w:sz w:val="24"/>
          <w:szCs w:val="24"/>
        </w:rPr>
      </w:pPr>
      <w:r w:rsidRPr="0006717E">
        <w:rPr>
          <w:rFonts w:ascii="Arial" w:hAnsi="Arial" w:cs="Arial"/>
          <w:sz w:val="24"/>
          <w:szCs w:val="24"/>
        </w:rPr>
        <w:t xml:space="preserve">Evaluate </w:t>
      </w:r>
      <w:proofErr w:type="spellStart"/>
      <w:r w:rsidRPr="0006717E">
        <w:rPr>
          <w:rFonts w:ascii="Arial" w:hAnsi="Arial" w:cs="Arial"/>
          <w:sz w:val="24"/>
          <w:szCs w:val="24"/>
        </w:rPr>
        <w:t>Screwfix</w:t>
      </w:r>
      <w:proofErr w:type="spellEnd"/>
      <w:r w:rsidRPr="0006717E">
        <w:rPr>
          <w:rFonts w:ascii="Arial" w:hAnsi="Arial" w:cs="Arial"/>
          <w:sz w:val="24"/>
          <w:szCs w:val="24"/>
        </w:rPr>
        <w:t xml:space="preserve"> </w:t>
      </w:r>
      <w:r w:rsidR="0096151E">
        <w:rPr>
          <w:rFonts w:ascii="Arial" w:hAnsi="Arial" w:cs="Arial"/>
          <w:sz w:val="24"/>
          <w:szCs w:val="24"/>
        </w:rPr>
        <w:t>international opportunities</w:t>
      </w:r>
    </w:p>
    <w:p w:rsidR="00F37A3D" w:rsidRPr="0006717E" w:rsidRDefault="00F37A3D" w:rsidP="003E3617">
      <w:pPr>
        <w:jc w:val="left"/>
        <w:rPr>
          <w:rFonts w:ascii="Arial" w:hAnsi="Arial" w:cs="Arial"/>
          <w:b/>
          <w:sz w:val="24"/>
          <w:szCs w:val="24"/>
        </w:rPr>
      </w:pPr>
    </w:p>
    <w:p w:rsidR="00437A6E" w:rsidRPr="001B3CC2" w:rsidRDefault="003E3617" w:rsidP="0006717E">
      <w:pPr>
        <w:jc w:val="left"/>
      </w:pPr>
      <w:r w:rsidRPr="009622A0">
        <w:rPr>
          <w:rFonts w:ascii="Arial" w:hAnsi="Arial" w:cs="Arial"/>
          <w:b/>
          <w:sz w:val="24"/>
          <w:szCs w:val="24"/>
        </w:rPr>
        <w:t xml:space="preserve">ONE TEAM </w:t>
      </w:r>
    </w:p>
    <w:p w:rsidR="00DC0FE9" w:rsidRPr="001B3CC2" w:rsidRDefault="00DC0FE9" w:rsidP="00DC0FE9">
      <w:pPr>
        <w:ind w:left="360" w:firstLine="720"/>
        <w:contextualSpacing/>
        <w:jc w:val="left"/>
        <w:rPr>
          <w:rFonts w:ascii="Arial" w:hAnsi="Arial" w:cs="Arial"/>
          <w:sz w:val="24"/>
          <w:szCs w:val="24"/>
        </w:rPr>
      </w:pPr>
      <w:r w:rsidRPr="001B3CC2">
        <w:rPr>
          <w:rFonts w:ascii="Arial" w:hAnsi="Arial" w:cs="Arial"/>
          <w:sz w:val="24"/>
          <w:szCs w:val="24"/>
        </w:rPr>
        <w:t>2012/13 progress</w:t>
      </w:r>
    </w:p>
    <w:p w:rsidR="0073096D" w:rsidRDefault="0073096D" w:rsidP="00DC0FE9">
      <w:pPr>
        <w:pStyle w:val="ListParagraph"/>
        <w:numPr>
          <w:ilvl w:val="0"/>
          <w:numId w:val="30"/>
        </w:numPr>
        <w:contextualSpacing/>
        <w:jc w:val="left"/>
        <w:rPr>
          <w:rFonts w:ascii="Arial" w:hAnsi="Arial" w:cs="Arial"/>
          <w:sz w:val="24"/>
          <w:szCs w:val="24"/>
        </w:rPr>
      </w:pPr>
      <w:r>
        <w:rPr>
          <w:rFonts w:ascii="Arial" w:hAnsi="Arial" w:cs="Arial"/>
          <w:sz w:val="24"/>
          <w:szCs w:val="24"/>
        </w:rPr>
        <w:t>Broadened Group Executive Team with 2 new internal appointments (Guy Colleau as CEO for Group Sourcing &amp; Offer; Steve Willett as CEO fo</w:t>
      </w:r>
      <w:r w:rsidR="00A25585">
        <w:rPr>
          <w:rFonts w:ascii="Arial" w:hAnsi="Arial" w:cs="Arial"/>
          <w:sz w:val="24"/>
          <w:szCs w:val="24"/>
        </w:rPr>
        <w:t>r</w:t>
      </w:r>
      <w:r>
        <w:rPr>
          <w:rFonts w:ascii="Arial" w:hAnsi="Arial" w:cs="Arial"/>
          <w:sz w:val="24"/>
          <w:szCs w:val="24"/>
        </w:rPr>
        <w:t xml:space="preserve"> Group Productivity &amp; Development)</w:t>
      </w:r>
    </w:p>
    <w:p w:rsidR="00DC0FE9" w:rsidRPr="001B3CC2" w:rsidRDefault="00DC0FE9" w:rsidP="00DC0FE9">
      <w:pPr>
        <w:pStyle w:val="ListParagraph"/>
        <w:numPr>
          <w:ilvl w:val="0"/>
          <w:numId w:val="30"/>
        </w:numPr>
        <w:contextualSpacing/>
        <w:jc w:val="left"/>
        <w:rPr>
          <w:rFonts w:ascii="Arial" w:hAnsi="Arial" w:cs="Arial"/>
          <w:sz w:val="24"/>
          <w:szCs w:val="24"/>
        </w:rPr>
      </w:pPr>
      <w:r w:rsidRPr="001B3CC2">
        <w:rPr>
          <w:rFonts w:ascii="Arial" w:hAnsi="Arial" w:cs="Arial"/>
          <w:sz w:val="24"/>
          <w:szCs w:val="24"/>
        </w:rPr>
        <w:t>Launched the Kingfisher Academy</w:t>
      </w:r>
    </w:p>
    <w:p w:rsidR="00DC0FE9" w:rsidRPr="001B3CC2" w:rsidRDefault="00DC0FE9" w:rsidP="0006717E">
      <w:pPr>
        <w:pStyle w:val="ListParagraph"/>
        <w:numPr>
          <w:ilvl w:val="1"/>
          <w:numId w:val="30"/>
        </w:numPr>
        <w:contextualSpacing/>
        <w:jc w:val="left"/>
        <w:rPr>
          <w:rFonts w:ascii="Arial" w:hAnsi="Arial" w:cs="Arial"/>
          <w:sz w:val="24"/>
          <w:szCs w:val="24"/>
        </w:rPr>
      </w:pPr>
      <w:r w:rsidRPr="001B3CC2">
        <w:rPr>
          <w:rFonts w:ascii="Arial" w:hAnsi="Arial" w:cs="Arial"/>
          <w:sz w:val="24"/>
          <w:szCs w:val="24"/>
        </w:rPr>
        <w:t xml:space="preserve">Top 250 managers attended change management </w:t>
      </w:r>
      <w:r w:rsidR="0036777F">
        <w:rPr>
          <w:rFonts w:ascii="Arial" w:hAnsi="Arial" w:cs="Arial"/>
          <w:sz w:val="24"/>
          <w:szCs w:val="24"/>
        </w:rPr>
        <w:t>&amp;</w:t>
      </w:r>
      <w:r w:rsidRPr="001B3CC2">
        <w:rPr>
          <w:rFonts w:ascii="Arial" w:hAnsi="Arial" w:cs="Arial"/>
          <w:sz w:val="24"/>
          <w:szCs w:val="24"/>
        </w:rPr>
        <w:t xml:space="preserve"> finance training (including a deeper understanding of Economic Profit)</w:t>
      </w:r>
    </w:p>
    <w:p w:rsidR="00DC0FE9" w:rsidRPr="001B3CC2" w:rsidRDefault="001B3CC2" w:rsidP="00DC0FE9">
      <w:pPr>
        <w:pStyle w:val="ListParagraph"/>
        <w:numPr>
          <w:ilvl w:val="0"/>
          <w:numId w:val="30"/>
        </w:numPr>
        <w:contextualSpacing/>
        <w:jc w:val="left"/>
        <w:rPr>
          <w:rFonts w:ascii="Arial" w:hAnsi="Arial" w:cs="Arial"/>
          <w:sz w:val="24"/>
          <w:szCs w:val="24"/>
        </w:rPr>
      </w:pPr>
      <w:r w:rsidRPr="0006717E">
        <w:rPr>
          <w:rFonts w:ascii="Arial" w:hAnsi="Arial" w:cs="Arial"/>
          <w:sz w:val="24"/>
          <w:szCs w:val="24"/>
        </w:rPr>
        <w:t xml:space="preserve">Launched </w:t>
      </w:r>
      <w:r w:rsidR="00DC0FE9" w:rsidRPr="001B3CC2">
        <w:rPr>
          <w:rFonts w:ascii="Arial" w:hAnsi="Arial" w:cs="Arial"/>
          <w:sz w:val="24"/>
          <w:szCs w:val="24"/>
        </w:rPr>
        <w:t>our new sustainability plan, becoming ‘Net Positive’</w:t>
      </w:r>
      <w:r w:rsidR="00074103">
        <w:rPr>
          <w:rFonts w:ascii="Arial" w:hAnsi="Arial" w:cs="Arial"/>
          <w:sz w:val="24"/>
          <w:szCs w:val="24"/>
        </w:rPr>
        <w:t>, and associated dashboard</w:t>
      </w:r>
    </w:p>
    <w:p w:rsidR="00DC0FE9" w:rsidRPr="001B3CC2" w:rsidRDefault="00DC0FE9" w:rsidP="00DC0FE9">
      <w:pPr>
        <w:pStyle w:val="ListParagraph"/>
        <w:numPr>
          <w:ilvl w:val="1"/>
          <w:numId w:val="30"/>
        </w:numPr>
        <w:contextualSpacing/>
        <w:jc w:val="left"/>
        <w:rPr>
          <w:rFonts w:ascii="Arial" w:hAnsi="Arial" w:cs="Arial"/>
          <w:sz w:val="24"/>
          <w:szCs w:val="24"/>
        </w:rPr>
      </w:pPr>
      <w:r w:rsidRPr="001B3CC2">
        <w:rPr>
          <w:rFonts w:ascii="Arial" w:hAnsi="Arial" w:cs="Arial"/>
          <w:sz w:val="24"/>
          <w:szCs w:val="24"/>
        </w:rPr>
        <w:t>Establishes our aim to give back more than we take: to seek to make a positive contribution to the world’s future by having a net positive impact as a business</w:t>
      </w:r>
    </w:p>
    <w:p w:rsidR="00DC0FE9" w:rsidRPr="001B3CC2" w:rsidRDefault="000A2C95" w:rsidP="00DC0FE9">
      <w:pPr>
        <w:pStyle w:val="ListParagraph"/>
        <w:numPr>
          <w:ilvl w:val="1"/>
          <w:numId w:val="30"/>
        </w:numPr>
        <w:contextualSpacing/>
        <w:jc w:val="left"/>
        <w:rPr>
          <w:rFonts w:ascii="Arial" w:hAnsi="Arial" w:cs="Arial"/>
          <w:sz w:val="24"/>
          <w:szCs w:val="24"/>
        </w:rPr>
      </w:pPr>
      <w:r>
        <w:rPr>
          <w:rFonts w:ascii="Arial" w:hAnsi="Arial" w:cs="Arial"/>
          <w:sz w:val="24"/>
          <w:szCs w:val="24"/>
        </w:rPr>
        <w:t>Four p</w:t>
      </w:r>
      <w:r w:rsidR="00DC0FE9" w:rsidRPr="001B3CC2">
        <w:rPr>
          <w:rFonts w:ascii="Arial" w:hAnsi="Arial" w:cs="Arial"/>
          <w:sz w:val="24"/>
          <w:szCs w:val="24"/>
        </w:rPr>
        <w:t>riorit</w:t>
      </w:r>
      <w:r>
        <w:rPr>
          <w:rFonts w:ascii="Arial" w:hAnsi="Arial" w:cs="Arial"/>
          <w:sz w:val="24"/>
          <w:szCs w:val="24"/>
        </w:rPr>
        <w:t>ies</w:t>
      </w:r>
      <w:r w:rsidR="00DC0FE9" w:rsidRPr="001B3CC2">
        <w:rPr>
          <w:rFonts w:ascii="Arial" w:hAnsi="Arial" w:cs="Arial"/>
          <w:sz w:val="24"/>
          <w:szCs w:val="24"/>
        </w:rPr>
        <w:t xml:space="preserve"> </w:t>
      </w:r>
      <w:r>
        <w:rPr>
          <w:rFonts w:ascii="Arial" w:hAnsi="Arial" w:cs="Arial"/>
          <w:sz w:val="24"/>
          <w:szCs w:val="24"/>
        </w:rPr>
        <w:t xml:space="preserve">areas </w:t>
      </w:r>
      <w:r w:rsidR="00981341">
        <w:rPr>
          <w:rFonts w:ascii="Arial" w:hAnsi="Arial" w:cs="Arial"/>
          <w:sz w:val="24"/>
          <w:szCs w:val="24"/>
        </w:rPr>
        <w:t>(</w:t>
      </w:r>
      <w:r w:rsidR="00DC0FE9" w:rsidRPr="001B3CC2">
        <w:rPr>
          <w:rFonts w:ascii="Arial" w:hAnsi="Arial" w:cs="Arial"/>
          <w:sz w:val="24"/>
          <w:szCs w:val="24"/>
        </w:rPr>
        <w:t>timber, energy, innovation</w:t>
      </w:r>
      <w:r w:rsidR="00981341">
        <w:rPr>
          <w:rFonts w:ascii="Arial" w:hAnsi="Arial" w:cs="Arial"/>
          <w:sz w:val="24"/>
          <w:szCs w:val="24"/>
        </w:rPr>
        <w:t xml:space="preserve">, </w:t>
      </w:r>
      <w:r w:rsidR="00DC0FE9" w:rsidRPr="001B3CC2">
        <w:rPr>
          <w:rFonts w:ascii="Arial" w:hAnsi="Arial" w:cs="Arial"/>
          <w:sz w:val="24"/>
          <w:szCs w:val="24"/>
        </w:rPr>
        <w:t>communities</w:t>
      </w:r>
      <w:r w:rsidR="00981341">
        <w:rPr>
          <w:rFonts w:ascii="Arial" w:hAnsi="Arial" w:cs="Arial"/>
          <w:sz w:val="24"/>
          <w:szCs w:val="24"/>
        </w:rPr>
        <w:t>)</w:t>
      </w:r>
    </w:p>
    <w:p w:rsidR="005F63F2" w:rsidRPr="001B3CC2" w:rsidRDefault="005F63F2" w:rsidP="00DC0FE9">
      <w:pPr>
        <w:pStyle w:val="ListParagraph"/>
        <w:numPr>
          <w:ilvl w:val="1"/>
          <w:numId w:val="30"/>
        </w:numPr>
        <w:contextualSpacing/>
        <w:jc w:val="left"/>
        <w:rPr>
          <w:rFonts w:ascii="Arial" w:hAnsi="Arial" w:cs="Arial"/>
          <w:sz w:val="24"/>
          <w:szCs w:val="24"/>
        </w:rPr>
      </w:pPr>
      <w:r w:rsidRPr="001B3CC2">
        <w:rPr>
          <w:rFonts w:ascii="Arial" w:hAnsi="Arial" w:cs="Arial"/>
          <w:sz w:val="24"/>
          <w:szCs w:val="24"/>
        </w:rPr>
        <w:t xml:space="preserve">Launched microsite at </w:t>
      </w:r>
      <w:hyperlink r:id="rId10" w:history="1">
        <w:r w:rsidRPr="0006717E">
          <w:rPr>
            <w:rStyle w:val="Hyperlink"/>
            <w:rFonts w:ascii="Arial" w:hAnsi="Arial" w:cs="Arial"/>
            <w:color w:val="auto"/>
            <w:sz w:val="24"/>
            <w:szCs w:val="24"/>
          </w:rPr>
          <w:t>www.kingfisher.com/netpositive</w:t>
        </w:r>
      </w:hyperlink>
      <w:r w:rsidRPr="001B3CC2">
        <w:rPr>
          <w:rFonts w:ascii="Arial" w:hAnsi="Arial" w:cs="Arial"/>
          <w:sz w:val="24"/>
          <w:szCs w:val="24"/>
        </w:rPr>
        <w:t xml:space="preserve"> </w:t>
      </w:r>
    </w:p>
    <w:p w:rsidR="00B43D0D" w:rsidRPr="001B3CC2" w:rsidRDefault="00DC0FE9" w:rsidP="0006717E">
      <w:pPr>
        <w:pStyle w:val="ListParagraph"/>
        <w:numPr>
          <w:ilvl w:val="1"/>
          <w:numId w:val="30"/>
        </w:numPr>
        <w:contextualSpacing/>
        <w:jc w:val="left"/>
        <w:rPr>
          <w:iCs/>
        </w:rPr>
      </w:pPr>
      <w:r w:rsidRPr="001B3CC2">
        <w:rPr>
          <w:rFonts w:ascii="Arial" w:hAnsi="Arial" w:cs="Arial"/>
          <w:sz w:val="24"/>
          <w:szCs w:val="24"/>
        </w:rPr>
        <w:t>Targets set and agreed with all operating companies</w:t>
      </w:r>
    </w:p>
    <w:p w:rsidR="0073096D" w:rsidRDefault="0073096D" w:rsidP="00EC1FEB">
      <w:pPr>
        <w:contextualSpacing/>
        <w:jc w:val="left"/>
        <w:rPr>
          <w:rFonts w:ascii="Arial" w:hAnsi="Arial" w:cs="Arial"/>
          <w:sz w:val="24"/>
          <w:szCs w:val="24"/>
        </w:rPr>
      </w:pPr>
    </w:p>
    <w:p w:rsidR="007133B6" w:rsidRPr="001B3CC2" w:rsidRDefault="007133B6" w:rsidP="007133B6">
      <w:pPr>
        <w:ind w:left="720" w:firstLine="414"/>
        <w:contextualSpacing/>
        <w:jc w:val="left"/>
        <w:rPr>
          <w:rFonts w:ascii="Arial" w:hAnsi="Arial" w:cs="Arial"/>
          <w:sz w:val="24"/>
          <w:szCs w:val="24"/>
        </w:rPr>
      </w:pPr>
      <w:r w:rsidRPr="001B3CC2">
        <w:rPr>
          <w:rFonts w:ascii="Arial" w:hAnsi="Arial" w:cs="Arial"/>
          <w:sz w:val="24"/>
          <w:szCs w:val="24"/>
        </w:rPr>
        <w:t>2013/14 milestones</w:t>
      </w:r>
    </w:p>
    <w:p w:rsidR="00C03ADC" w:rsidRDefault="00C03ADC" w:rsidP="007133B6">
      <w:pPr>
        <w:pStyle w:val="ListParagraph"/>
        <w:numPr>
          <w:ilvl w:val="0"/>
          <w:numId w:val="38"/>
        </w:numPr>
        <w:contextualSpacing/>
        <w:jc w:val="left"/>
        <w:rPr>
          <w:rFonts w:ascii="Arial" w:hAnsi="Arial" w:cs="Arial"/>
          <w:sz w:val="24"/>
          <w:szCs w:val="24"/>
        </w:rPr>
      </w:pPr>
      <w:r>
        <w:rPr>
          <w:rFonts w:ascii="Arial" w:hAnsi="Arial" w:cs="Arial"/>
          <w:sz w:val="24"/>
          <w:szCs w:val="24"/>
        </w:rPr>
        <w:t xml:space="preserve">Continue to extend the Kingfisher Academy </w:t>
      </w:r>
    </w:p>
    <w:p w:rsidR="00546A62" w:rsidRPr="00DB7164" w:rsidRDefault="001B3CC2" w:rsidP="009618C2">
      <w:pPr>
        <w:pStyle w:val="ListParagraph"/>
        <w:numPr>
          <w:ilvl w:val="0"/>
          <w:numId w:val="38"/>
        </w:numPr>
        <w:contextualSpacing/>
        <w:jc w:val="left"/>
      </w:pPr>
      <w:r w:rsidRPr="0006717E">
        <w:rPr>
          <w:rFonts w:ascii="Arial" w:hAnsi="Arial" w:cs="Arial"/>
          <w:sz w:val="24"/>
          <w:szCs w:val="24"/>
        </w:rPr>
        <w:t xml:space="preserve">Net Positive </w:t>
      </w:r>
      <w:r w:rsidR="00074103">
        <w:rPr>
          <w:rFonts w:ascii="Arial" w:hAnsi="Arial" w:cs="Arial"/>
          <w:sz w:val="24"/>
          <w:szCs w:val="24"/>
        </w:rPr>
        <w:t>dashboard</w:t>
      </w:r>
      <w:r w:rsidRPr="0006717E">
        <w:rPr>
          <w:rFonts w:ascii="Arial" w:hAnsi="Arial" w:cs="Arial"/>
          <w:sz w:val="24"/>
          <w:szCs w:val="24"/>
        </w:rPr>
        <w:t xml:space="preserve"> to be updated annually</w:t>
      </w:r>
    </w:p>
    <w:p w:rsidR="00074103" w:rsidRDefault="00074103">
      <w:pPr>
        <w:jc w:val="left"/>
        <w:rPr>
          <w:rFonts w:ascii="Arial" w:hAnsi="Arial" w:cs="Arial"/>
          <w:b/>
          <w:bCs/>
          <w:sz w:val="24"/>
          <w:szCs w:val="24"/>
        </w:rPr>
      </w:pPr>
      <w:r>
        <w:rPr>
          <w:rFonts w:ascii="Arial" w:hAnsi="Arial" w:cs="Arial"/>
          <w:b/>
          <w:bCs/>
          <w:sz w:val="24"/>
          <w:szCs w:val="24"/>
        </w:rPr>
        <w:br w:type="page"/>
      </w:r>
    </w:p>
    <w:p w:rsidR="00CD36B5" w:rsidRPr="00DB7164" w:rsidRDefault="00074BF9" w:rsidP="00B807D7">
      <w:pPr>
        <w:jc w:val="left"/>
        <w:rPr>
          <w:rFonts w:ascii="Arial" w:hAnsi="Arial" w:cs="Arial"/>
          <w:b/>
          <w:bCs/>
          <w:sz w:val="24"/>
          <w:szCs w:val="24"/>
        </w:rPr>
      </w:pPr>
      <w:r>
        <w:rPr>
          <w:rFonts w:ascii="Arial" w:hAnsi="Arial" w:cs="Arial"/>
          <w:b/>
          <w:bCs/>
          <w:sz w:val="24"/>
          <w:szCs w:val="24"/>
        </w:rPr>
        <w:t>S</w:t>
      </w:r>
      <w:r w:rsidR="00CD36B5" w:rsidRPr="00DB7164">
        <w:rPr>
          <w:rFonts w:ascii="Arial" w:hAnsi="Arial" w:cs="Arial"/>
          <w:b/>
          <w:bCs/>
          <w:sz w:val="24"/>
          <w:szCs w:val="24"/>
        </w:rPr>
        <w:t xml:space="preserve">ection </w:t>
      </w:r>
      <w:r w:rsidR="003E3617" w:rsidRPr="00DB7164">
        <w:rPr>
          <w:rFonts w:ascii="Arial" w:hAnsi="Arial" w:cs="Arial"/>
          <w:b/>
          <w:bCs/>
          <w:sz w:val="24"/>
          <w:szCs w:val="24"/>
        </w:rPr>
        <w:t>2</w:t>
      </w:r>
    </w:p>
    <w:p w:rsidR="001B3B55" w:rsidRPr="00DB7164" w:rsidRDefault="00CD36B5" w:rsidP="001B3B55">
      <w:pPr>
        <w:jc w:val="left"/>
        <w:rPr>
          <w:rFonts w:ascii="Helvetica" w:hAnsi="Helvetica" w:cs="Helvetica"/>
          <w:b/>
          <w:bCs/>
          <w:sz w:val="24"/>
          <w:szCs w:val="24"/>
        </w:rPr>
      </w:pPr>
      <w:r w:rsidRPr="00DB7164">
        <w:rPr>
          <w:rFonts w:ascii="Helvetica" w:hAnsi="Helvetica" w:cs="Helvetica"/>
          <w:b/>
          <w:bCs/>
          <w:sz w:val="24"/>
          <w:szCs w:val="24"/>
        </w:rPr>
        <w:t xml:space="preserve">TRADING REVIEW BY </w:t>
      </w:r>
      <w:r w:rsidR="00F94DD3" w:rsidRPr="00DB7164">
        <w:rPr>
          <w:rFonts w:ascii="Helvetica" w:hAnsi="Helvetica" w:cs="Helvetica"/>
          <w:b/>
          <w:bCs/>
          <w:sz w:val="24"/>
          <w:szCs w:val="24"/>
        </w:rPr>
        <w:t>MAJOR GEOGRAPHY</w:t>
      </w:r>
    </w:p>
    <w:p w:rsidR="001B3B55" w:rsidRPr="00DB7164" w:rsidRDefault="001B3B55" w:rsidP="001B3B55">
      <w:pPr>
        <w:jc w:val="left"/>
        <w:rPr>
          <w:rFonts w:ascii="Arial" w:hAnsi="Arial" w:cs="Arial"/>
          <w:b/>
          <w:bCs/>
          <w:sz w:val="24"/>
          <w:szCs w:val="24"/>
          <w:highlight w:val="magenta"/>
        </w:rPr>
      </w:pPr>
    </w:p>
    <w:p w:rsidR="001B3B55" w:rsidRPr="00DB7164" w:rsidRDefault="001B3B55" w:rsidP="001B3B55">
      <w:pPr>
        <w:jc w:val="left"/>
        <w:rPr>
          <w:rFonts w:ascii="Arial" w:hAnsi="Arial" w:cs="Arial"/>
          <w:sz w:val="24"/>
          <w:szCs w:val="24"/>
        </w:rPr>
      </w:pPr>
      <w:bookmarkStart w:id="7" w:name="OLE_LINK3"/>
      <w:bookmarkStart w:id="8" w:name="OLE_LINK4"/>
      <w:r w:rsidRPr="00DB7164">
        <w:rPr>
          <w:rFonts w:ascii="Arial" w:hAnsi="Arial" w:cs="Arial"/>
          <w:b/>
          <w:bCs/>
          <w:sz w:val="24"/>
          <w:szCs w:val="24"/>
        </w:rPr>
        <w:t>FRANCE</w:t>
      </w:r>
    </w:p>
    <w:p w:rsidR="001B3B55" w:rsidRPr="00DB7164" w:rsidRDefault="001B3B55" w:rsidP="001B3B55">
      <w:pPr>
        <w:rPr>
          <w:rFonts w:ascii="Arial" w:hAnsi="Arial" w:cs="Arial"/>
          <w:b/>
          <w:bCs/>
          <w:sz w:val="24"/>
          <w:szCs w:val="24"/>
          <w:highlight w:val="magenta"/>
        </w:rPr>
      </w:pPr>
    </w:p>
    <w:tbl>
      <w:tblPr>
        <w:tblW w:w="483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3"/>
        <w:gridCol w:w="1513"/>
        <w:gridCol w:w="1257"/>
        <w:gridCol w:w="1732"/>
        <w:gridCol w:w="1561"/>
        <w:gridCol w:w="1034"/>
      </w:tblGrid>
      <w:tr w:rsidR="00DB7164" w:rsidRPr="00DB7164" w:rsidTr="001B3B55">
        <w:tc>
          <w:tcPr>
            <w:tcW w:w="1280" w:type="pct"/>
          </w:tcPr>
          <w:p w:rsidR="001B3B55" w:rsidRPr="00DB7164" w:rsidRDefault="001B3B55" w:rsidP="001B3B55">
            <w:pPr>
              <w:rPr>
                <w:rFonts w:ascii="Arial" w:hAnsi="Arial" w:cs="Arial"/>
                <w:sz w:val="24"/>
                <w:szCs w:val="24"/>
              </w:rPr>
            </w:pPr>
            <w:r w:rsidRPr="00DB7164">
              <w:rPr>
                <w:rFonts w:ascii="Arial" w:hAnsi="Arial" w:cs="Arial"/>
                <w:b/>
                <w:bCs/>
                <w:sz w:val="24"/>
                <w:szCs w:val="24"/>
              </w:rPr>
              <w:t>Sales £m</w:t>
            </w:r>
          </w:p>
        </w:tc>
        <w:tc>
          <w:tcPr>
            <w:tcW w:w="793" w:type="pct"/>
          </w:tcPr>
          <w:p w:rsidR="001B3B55" w:rsidRPr="00DB7164" w:rsidRDefault="001B3B55" w:rsidP="001B3B55">
            <w:pPr>
              <w:jc w:val="right"/>
              <w:rPr>
                <w:rFonts w:ascii="Arial" w:hAnsi="Arial" w:cs="Arial"/>
                <w:sz w:val="24"/>
                <w:szCs w:val="24"/>
              </w:rPr>
            </w:pPr>
            <w:r w:rsidRPr="00DB7164">
              <w:rPr>
                <w:rFonts w:ascii="Arial" w:hAnsi="Arial" w:cs="Arial"/>
                <w:b/>
                <w:bCs/>
                <w:sz w:val="24"/>
                <w:szCs w:val="24"/>
              </w:rPr>
              <w:t>2012/13</w:t>
            </w:r>
          </w:p>
        </w:tc>
        <w:tc>
          <w:tcPr>
            <w:tcW w:w="659" w:type="pct"/>
          </w:tcPr>
          <w:p w:rsidR="001B3B55" w:rsidRPr="00DB7164" w:rsidRDefault="001B3B55" w:rsidP="001B3B55">
            <w:pPr>
              <w:jc w:val="right"/>
              <w:rPr>
                <w:rFonts w:ascii="Arial" w:hAnsi="Arial" w:cs="Arial"/>
                <w:b/>
                <w:bCs/>
                <w:sz w:val="24"/>
                <w:szCs w:val="24"/>
              </w:rPr>
            </w:pPr>
            <w:r w:rsidRPr="00DB7164">
              <w:rPr>
                <w:rFonts w:ascii="Arial" w:hAnsi="Arial" w:cs="Arial"/>
                <w:b/>
                <w:bCs/>
                <w:sz w:val="24"/>
                <w:szCs w:val="24"/>
              </w:rPr>
              <w:t>2011/12</w:t>
            </w:r>
          </w:p>
        </w:tc>
        <w:tc>
          <w:tcPr>
            <w:tcW w:w="908" w:type="pct"/>
          </w:tcPr>
          <w:p w:rsidR="001B3B55" w:rsidRPr="00DB7164" w:rsidRDefault="001B3B55" w:rsidP="001B3B55">
            <w:pPr>
              <w:jc w:val="right"/>
              <w:rPr>
                <w:rFonts w:ascii="Arial" w:hAnsi="Arial" w:cs="Arial"/>
                <w:b/>
                <w:bCs/>
                <w:sz w:val="24"/>
                <w:szCs w:val="24"/>
              </w:rPr>
            </w:pPr>
            <w:r w:rsidRPr="00DB7164">
              <w:rPr>
                <w:rFonts w:ascii="Arial" w:hAnsi="Arial" w:cs="Arial"/>
                <w:b/>
                <w:bCs/>
                <w:sz w:val="24"/>
                <w:szCs w:val="24"/>
              </w:rPr>
              <w:t>% Reported Change</w:t>
            </w:r>
          </w:p>
        </w:tc>
        <w:tc>
          <w:tcPr>
            <w:tcW w:w="818" w:type="pct"/>
          </w:tcPr>
          <w:p w:rsidR="001B3B55" w:rsidRPr="00DB7164" w:rsidRDefault="001B3B55" w:rsidP="001B3B55">
            <w:pPr>
              <w:jc w:val="right"/>
              <w:rPr>
                <w:rFonts w:ascii="Arial" w:hAnsi="Arial" w:cs="Arial"/>
                <w:b/>
                <w:bCs/>
                <w:sz w:val="24"/>
                <w:szCs w:val="24"/>
              </w:rPr>
            </w:pPr>
            <w:r w:rsidRPr="00DB7164">
              <w:rPr>
                <w:rFonts w:ascii="Arial" w:hAnsi="Arial" w:cs="Arial"/>
                <w:b/>
                <w:bCs/>
                <w:sz w:val="24"/>
                <w:szCs w:val="24"/>
              </w:rPr>
              <w:t>% Constant Change</w:t>
            </w:r>
          </w:p>
        </w:tc>
        <w:tc>
          <w:tcPr>
            <w:tcW w:w="542" w:type="pct"/>
          </w:tcPr>
          <w:p w:rsidR="001B3B55" w:rsidRPr="00DB7164" w:rsidRDefault="001B3B55" w:rsidP="001B3B55">
            <w:pPr>
              <w:ind w:hanging="108"/>
              <w:jc w:val="right"/>
              <w:rPr>
                <w:rFonts w:ascii="Arial" w:hAnsi="Arial" w:cs="Arial"/>
                <w:b/>
                <w:bCs/>
                <w:sz w:val="24"/>
                <w:szCs w:val="24"/>
              </w:rPr>
            </w:pPr>
            <w:r w:rsidRPr="00DB7164">
              <w:rPr>
                <w:rFonts w:ascii="Arial" w:hAnsi="Arial" w:cs="Arial"/>
                <w:b/>
                <w:bCs/>
                <w:sz w:val="24"/>
                <w:szCs w:val="24"/>
              </w:rPr>
              <w:t>% LFL</w:t>
            </w:r>
          </w:p>
          <w:p w:rsidR="001B3B55" w:rsidRPr="00DB7164" w:rsidRDefault="001B3B55" w:rsidP="001B3B55">
            <w:pPr>
              <w:ind w:hanging="108"/>
              <w:jc w:val="right"/>
              <w:rPr>
                <w:rFonts w:ascii="Arial" w:hAnsi="Arial" w:cs="Arial"/>
                <w:b/>
                <w:bCs/>
                <w:sz w:val="24"/>
                <w:szCs w:val="24"/>
              </w:rPr>
            </w:pPr>
            <w:r w:rsidRPr="00DB7164">
              <w:rPr>
                <w:rFonts w:ascii="Arial" w:hAnsi="Arial" w:cs="Arial"/>
                <w:b/>
                <w:bCs/>
                <w:sz w:val="24"/>
                <w:szCs w:val="24"/>
              </w:rPr>
              <w:t>Change</w:t>
            </w:r>
          </w:p>
        </w:tc>
      </w:tr>
      <w:tr w:rsidR="00DB7164" w:rsidRPr="00DB7164" w:rsidTr="001B3B55">
        <w:trPr>
          <w:trHeight w:val="147"/>
        </w:trPr>
        <w:tc>
          <w:tcPr>
            <w:tcW w:w="1280" w:type="pct"/>
          </w:tcPr>
          <w:p w:rsidR="001B3B55" w:rsidRPr="00DB7164" w:rsidRDefault="001B3B55" w:rsidP="001B3B55">
            <w:pPr>
              <w:rPr>
                <w:rFonts w:ascii="Arial" w:hAnsi="Arial" w:cs="Arial"/>
                <w:sz w:val="24"/>
                <w:szCs w:val="24"/>
              </w:rPr>
            </w:pPr>
            <w:r w:rsidRPr="00DB7164">
              <w:rPr>
                <w:rFonts w:ascii="Arial" w:hAnsi="Arial" w:cs="Arial"/>
                <w:sz w:val="24"/>
                <w:szCs w:val="24"/>
              </w:rPr>
              <w:t>France</w:t>
            </w:r>
          </w:p>
        </w:tc>
        <w:tc>
          <w:tcPr>
            <w:tcW w:w="793" w:type="pct"/>
          </w:tcPr>
          <w:p w:rsidR="001B3B55" w:rsidRPr="00DB7164" w:rsidRDefault="00DB7164" w:rsidP="001B3B55">
            <w:pPr>
              <w:jc w:val="right"/>
              <w:rPr>
                <w:rFonts w:ascii="Arial" w:hAnsi="Arial" w:cs="Arial"/>
                <w:sz w:val="24"/>
                <w:szCs w:val="24"/>
              </w:rPr>
            </w:pPr>
            <w:r w:rsidRPr="0006717E">
              <w:rPr>
                <w:rFonts w:ascii="Arial" w:hAnsi="Arial" w:cs="Arial"/>
                <w:sz w:val="24"/>
                <w:szCs w:val="24"/>
              </w:rPr>
              <w:t>4,194</w:t>
            </w:r>
          </w:p>
        </w:tc>
        <w:tc>
          <w:tcPr>
            <w:tcW w:w="659" w:type="pct"/>
          </w:tcPr>
          <w:p w:rsidR="001B3B55" w:rsidRPr="00DB7164" w:rsidRDefault="00DB7164" w:rsidP="001B3B55">
            <w:pPr>
              <w:jc w:val="right"/>
              <w:rPr>
                <w:rFonts w:ascii="Arial" w:hAnsi="Arial" w:cs="Arial"/>
                <w:sz w:val="24"/>
                <w:szCs w:val="24"/>
              </w:rPr>
            </w:pPr>
            <w:r w:rsidRPr="0006717E">
              <w:rPr>
                <w:rFonts w:ascii="Arial" w:hAnsi="Arial" w:cs="Arial"/>
                <w:sz w:val="24"/>
                <w:szCs w:val="24"/>
              </w:rPr>
              <w:t>4,470</w:t>
            </w:r>
          </w:p>
        </w:tc>
        <w:tc>
          <w:tcPr>
            <w:tcW w:w="908" w:type="pct"/>
          </w:tcPr>
          <w:p w:rsidR="001B3B55" w:rsidRPr="00DB7164" w:rsidRDefault="00DB7164" w:rsidP="001B3B55">
            <w:pPr>
              <w:jc w:val="right"/>
              <w:rPr>
                <w:rFonts w:ascii="Arial" w:hAnsi="Arial" w:cs="Arial"/>
                <w:sz w:val="24"/>
                <w:szCs w:val="24"/>
              </w:rPr>
            </w:pPr>
            <w:r w:rsidRPr="0006717E">
              <w:rPr>
                <w:rFonts w:ascii="Arial" w:hAnsi="Arial" w:cs="Arial"/>
                <w:sz w:val="24"/>
                <w:szCs w:val="24"/>
              </w:rPr>
              <w:t>(6.2)%</w:t>
            </w:r>
          </w:p>
        </w:tc>
        <w:tc>
          <w:tcPr>
            <w:tcW w:w="818" w:type="pct"/>
          </w:tcPr>
          <w:p w:rsidR="001B3B55" w:rsidRPr="00DB7164" w:rsidRDefault="00DB7164" w:rsidP="001B3B55">
            <w:pPr>
              <w:jc w:val="right"/>
              <w:rPr>
                <w:rFonts w:ascii="Arial" w:hAnsi="Arial" w:cs="Arial"/>
                <w:sz w:val="24"/>
                <w:szCs w:val="24"/>
              </w:rPr>
            </w:pPr>
            <w:r w:rsidRPr="0006717E">
              <w:rPr>
                <w:rFonts w:ascii="Arial" w:hAnsi="Arial" w:cs="Arial"/>
                <w:sz w:val="24"/>
                <w:szCs w:val="24"/>
              </w:rPr>
              <w:t>0.3%</w:t>
            </w:r>
          </w:p>
        </w:tc>
        <w:tc>
          <w:tcPr>
            <w:tcW w:w="542" w:type="pct"/>
          </w:tcPr>
          <w:p w:rsidR="001B3B55" w:rsidRPr="00DB7164" w:rsidRDefault="00DB7164" w:rsidP="001B3B55">
            <w:pPr>
              <w:jc w:val="right"/>
              <w:rPr>
                <w:rFonts w:ascii="Arial" w:hAnsi="Arial" w:cs="Arial"/>
                <w:sz w:val="24"/>
                <w:szCs w:val="24"/>
              </w:rPr>
            </w:pPr>
            <w:r w:rsidRPr="0006717E">
              <w:rPr>
                <w:rFonts w:ascii="Arial" w:hAnsi="Arial" w:cs="Arial"/>
                <w:sz w:val="24"/>
                <w:szCs w:val="24"/>
              </w:rPr>
              <w:t>(1.6)%</w:t>
            </w:r>
          </w:p>
        </w:tc>
      </w:tr>
    </w:tbl>
    <w:p w:rsidR="001B3B55" w:rsidRPr="00DB7164" w:rsidRDefault="001B3B55" w:rsidP="001B3B55">
      <w:pPr>
        <w:rPr>
          <w:rFonts w:ascii="Arial" w:hAnsi="Arial" w:cs="Arial"/>
          <w:b/>
          <w:bCs/>
          <w:sz w:val="24"/>
          <w:szCs w:val="24"/>
          <w:highlight w:val="magenta"/>
        </w:rPr>
      </w:pPr>
    </w:p>
    <w:tbl>
      <w:tblPr>
        <w:tblW w:w="431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2"/>
        <w:gridCol w:w="1538"/>
        <w:gridCol w:w="1260"/>
        <w:gridCol w:w="1727"/>
        <w:gridCol w:w="1558"/>
      </w:tblGrid>
      <w:tr w:rsidR="00DB7164" w:rsidRPr="00DB7164" w:rsidTr="001B3B55">
        <w:tc>
          <w:tcPr>
            <w:tcW w:w="1424" w:type="pct"/>
          </w:tcPr>
          <w:p w:rsidR="001B3B55" w:rsidRPr="00DB7164" w:rsidRDefault="001B3B55" w:rsidP="001B3B55">
            <w:pPr>
              <w:rPr>
                <w:rFonts w:ascii="Arial" w:hAnsi="Arial" w:cs="Arial"/>
                <w:b/>
                <w:bCs/>
                <w:sz w:val="24"/>
                <w:szCs w:val="24"/>
              </w:rPr>
            </w:pPr>
            <w:r w:rsidRPr="00DB7164">
              <w:rPr>
                <w:rFonts w:ascii="Arial" w:hAnsi="Arial" w:cs="Arial"/>
                <w:b/>
                <w:bCs/>
                <w:sz w:val="24"/>
                <w:szCs w:val="24"/>
              </w:rPr>
              <w:t>Retail profit £m</w:t>
            </w:r>
          </w:p>
        </w:tc>
        <w:tc>
          <w:tcPr>
            <w:tcW w:w="904" w:type="pct"/>
          </w:tcPr>
          <w:p w:rsidR="001B3B55" w:rsidRPr="00DB7164" w:rsidRDefault="001B3B55" w:rsidP="001B3B55">
            <w:pPr>
              <w:jc w:val="right"/>
              <w:rPr>
                <w:rFonts w:ascii="Arial" w:hAnsi="Arial" w:cs="Arial"/>
                <w:b/>
                <w:bCs/>
                <w:sz w:val="24"/>
                <w:szCs w:val="24"/>
              </w:rPr>
            </w:pPr>
            <w:r w:rsidRPr="00DB7164">
              <w:rPr>
                <w:rFonts w:ascii="Arial" w:hAnsi="Arial" w:cs="Arial"/>
                <w:b/>
                <w:bCs/>
                <w:sz w:val="24"/>
                <w:szCs w:val="24"/>
              </w:rPr>
              <w:t>2012/13</w:t>
            </w:r>
          </w:p>
        </w:tc>
        <w:tc>
          <w:tcPr>
            <w:tcW w:w="741" w:type="pct"/>
          </w:tcPr>
          <w:p w:rsidR="001B3B55" w:rsidRPr="00DB7164" w:rsidRDefault="001B3B55" w:rsidP="001B3B55">
            <w:pPr>
              <w:jc w:val="right"/>
              <w:rPr>
                <w:rFonts w:ascii="Arial" w:hAnsi="Arial" w:cs="Arial"/>
                <w:b/>
                <w:bCs/>
                <w:sz w:val="24"/>
                <w:szCs w:val="24"/>
              </w:rPr>
            </w:pPr>
            <w:r w:rsidRPr="00DB7164">
              <w:rPr>
                <w:rFonts w:ascii="Arial" w:hAnsi="Arial" w:cs="Arial"/>
                <w:b/>
                <w:bCs/>
                <w:sz w:val="24"/>
                <w:szCs w:val="24"/>
              </w:rPr>
              <w:t>2011/12</w:t>
            </w:r>
          </w:p>
        </w:tc>
        <w:tc>
          <w:tcPr>
            <w:tcW w:w="1015" w:type="pct"/>
          </w:tcPr>
          <w:p w:rsidR="001B3B55" w:rsidRPr="00DB7164" w:rsidRDefault="001B3B55" w:rsidP="001B3B55">
            <w:pPr>
              <w:jc w:val="right"/>
              <w:rPr>
                <w:rFonts w:ascii="Arial" w:hAnsi="Arial" w:cs="Arial"/>
                <w:b/>
                <w:bCs/>
                <w:sz w:val="24"/>
                <w:szCs w:val="24"/>
              </w:rPr>
            </w:pPr>
            <w:r w:rsidRPr="00DB7164">
              <w:rPr>
                <w:rFonts w:ascii="Arial" w:hAnsi="Arial" w:cs="Arial"/>
                <w:b/>
                <w:bCs/>
                <w:sz w:val="24"/>
                <w:szCs w:val="24"/>
              </w:rPr>
              <w:t>% Reported Change</w:t>
            </w:r>
          </w:p>
        </w:tc>
        <w:tc>
          <w:tcPr>
            <w:tcW w:w="916" w:type="pct"/>
          </w:tcPr>
          <w:p w:rsidR="001B3B55" w:rsidRPr="00DB7164" w:rsidRDefault="001B3B55" w:rsidP="001B3B55">
            <w:pPr>
              <w:jc w:val="right"/>
              <w:rPr>
                <w:rFonts w:ascii="Arial" w:hAnsi="Arial" w:cs="Arial"/>
                <w:b/>
                <w:bCs/>
                <w:sz w:val="24"/>
                <w:szCs w:val="24"/>
              </w:rPr>
            </w:pPr>
            <w:r w:rsidRPr="00DB7164">
              <w:rPr>
                <w:rFonts w:ascii="Arial" w:hAnsi="Arial" w:cs="Arial"/>
                <w:b/>
                <w:bCs/>
                <w:sz w:val="24"/>
                <w:szCs w:val="24"/>
              </w:rPr>
              <w:t>% Constant Change</w:t>
            </w:r>
          </w:p>
        </w:tc>
      </w:tr>
      <w:tr w:rsidR="00DB7164" w:rsidRPr="00DB7164" w:rsidTr="001B3B55">
        <w:tc>
          <w:tcPr>
            <w:tcW w:w="1424" w:type="pct"/>
          </w:tcPr>
          <w:p w:rsidR="001B3B55" w:rsidRPr="00DB7164" w:rsidRDefault="001B3B55" w:rsidP="001B3B55">
            <w:pPr>
              <w:rPr>
                <w:rFonts w:ascii="Arial" w:hAnsi="Arial" w:cs="Arial"/>
                <w:sz w:val="24"/>
                <w:szCs w:val="24"/>
              </w:rPr>
            </w:pPr>
            <w:r w:rsidRPr="00DB7164">
              <w:rPr>
                <w:rFonts w:ascii="Arial" w:hAnsi="Arial" w:cs="Arial"/>
                <w:sz w:val="24"/>
                <w:szCs w:val="24"/>
              </w:rPr>
              <w:t>France</w:t>
            </w:r>
          </w:p>
        </w:tc>
        <w:tc>
          <w:tcPr>
            <w:tcW w:w="904" w:type="pct"/>
          </w:tcPr>
          <w:p w:rsidR="001B3B55" w:rsidRPr="00DB7164" w:rsidRDefault="00DB7164" w:rsidP="001B3B55">
            <w:pPr>
              <w:jc w:val="right"/>
              <w:rPr>
                <w:rFonts w:ascii="Arial" w:hAnsi="Arial" w:cs="Arial"/>
                <w:sz w:val="24"/>
                <w:szCs w:val="24"/>
              </w:rPr>
            </w:pPr>
            <w:r w:rsidRPr="0006717E">
              <w:rPr>
                <w:rFonts w:ascii="Arial" w:hAnsi="Arial" w:cs="Arial"/>
                <w:sz w:val="24"/>
                <w:szCs w:val="24"/>
              </w:rPr>
              <w:t>397</w:t>
            </w:r>
          </w:p>
        </w:tc>
        <w:tc>
          <w:tcPr>
            <w:tcW w:w="741" w:type="pct"/>
          </w:tcPr>
          <w:p w:rsidR="001B3B55" w:rsidRPr="00DB7164" w:rsidRDefault="00DB7164" w:rsidP="001B3B55">
            <w:pPr>
              <w:jc w:val="right"/>
              <w:rPr>
                <w:rFonts w:ascii="Arial" w:hAnsi="Arial" w:cs="Arial"/>
                <w:sz w:val="24"/>
                <w:szCs w:val="24"/>
              </w:rPr>
            </w:pPr>
            <w:r w:rsidRPr="0006717E">
              <w:rPr>
                <w:rFonts w:ascii="Arial" w:hAnsi="Arial" w:cs="Arial"/>
                <w:sz w:val="24"/>
                <w:szCs w:val="24"/>
              </w:rPr>
              <w:t>423</w:t>
            </w:r>
          </w:p>
        </w:tc>
        <w:tc>
          <w:tcPr>
            <w:tcW w:w="1015" w:type="pct"/>
          </w:tcPr>
          <w:p w:rsidR="001B3B55" w:rsidRPr="00DB7164" w:rsidRDefault="00DB7164" w:rsidP="001B3B55">
            <w:pPr>
              <w:jc w:val="right"/>
              <w:rPr>
                <w:rFonts w:ascii="Arial" w:hAnsi="Arial" w:cs="Arial"/>
                <w:sz w:val="24"/>
                <w:szCs w:val="24"/>
              </w:rPr>
            </w:pPr>
            <w:r w:rsidRPr="0006717E">
              <w:rPr>
                <w:rFonts w:ascii="Arial" w:hAnsi="Arial" w:cs="Arial"/>
                <w:sz w:val="24"/>
                <w:szCs w:val="24"/>
              </w:rPr>
              <w:t>(6.3)%</w:t>
            </w:r>
          </w:p>
        </w:tc>
        <w:tc>
          <w:tcPr>
            <w:tcW w:w="916" w:type="pct"/>
          </w:tcPr>
          <w:p w:rsidR="001B3B55" w:rsidRPr="00DB7164" w:rsidRDefault="00DB7164" w:rsidP="001B3B55">
            <w:pPr>
              <w:jc w:val="right"/>
              <w:rPr>
                <w:rFonts w:ascii="Arial" w:hAnsi="Arial" w:cs="Arial"/>
                <w:sz w:val="24"/>
                <w:szCs w:val="24"/>
              </w:rPr>
            </w:pPr>
            <w:r w:rsidRPr="0006717E">
              <w:rPr>
                <w:rFonts w:ascii="Arial" w:hAnsi="Arial" w:cs="Arial"/>
                <w:sz w:val="24"/>
                <w:szCs w:val="24"/>
              </w:rPr>
              <w:t>0.2%</w:t>
            </w:r>
          </w:p>
        </w:tc>
      </w:tr>
    </w:tbl>
    <w:p w:rsidR="009E3E79" w:rsidRPr="007D220F" w:rsidRDefault="009E3E79" w:rsidP="001B3B55">
      <w:pPr>
        <w:jc w:val="left"/>
        <w:rPr>
          <w:rFonts w:ascii="Arial" w:hAnsi="Arial" w:cs="Arial"/>
          <w:color w:val="FF0000"/>
          <w:sz w:val="24"/>
          <w:szCs w:val="24"/>
          <w:highlight w:val="magenta"/>
        </w:rPr>
      </w:pPr>
    </w:p>
    <w:p w:rsidR="001B3B55" w:rsidRPr="001B3B55" w:rsidRDefault="001B3B55" w:rsidP="001B3B55">
      <w:pPr>
        <w:jc w:val="left"/>
        <w:rPr>
          <w:rFonts w:ascii="Arial" w:hAnsi="Arial" w:cs="Arial"/>
          <w:i/>
          <w:iCs/>
          <w:sz w:val="18"/>
          <w:szCs w:val="18"/>
        </w:rPr>
      </w:pPr>
      <w:r w:rsidRPr="001B3B55">
        <w:rPr>
          <w:rFonts w:ascii="Arial" w:hAnsi="Arial" w:cs="Arial"/>
          <w:i/>
          <w:iCs/>
          <w:sz w:val="18"/>
          <w:szCs w:val="18"/>
        </w:rPr>
        <w:t xml:space="preserve">France includes </w:t>
      </w:r>
      <w:proofErr w:type="spellStart"/>
      <w:r w:rsidRPr="001B3B55">
        <w:rPr>
          <w:rFonts w:ascii="Arial" w:hAnsi="Arial" w:cs="Arial"/>
          <w:i/>
          <w:iCs/>
          <w:sz w:val="18"/>
          <w:szCs w:val="18"/>
        </w:rPr>
        <w:t>Castorama</w:t>
      </w:r>
      <w:proofErr w:type="spellEnd"/>
      <w:r w:rsidRPr="001B3B55">
        <w:rPr>
          <w:rFonts w:ascii="Arial" w:hAnsi="Arial" w:cs="Arial"/>
          <w:i/>
          <w:iCs/>
          <w:sz w:val="18"/>
          <w:szCs w:val="18"/>
        </w:rPr>
        <w:t xml:space="preserve"> and </w:t>
      </w:r>
      <w:proofErr w:type="spellStart"/>
      <w:r w:rsidRPr="001B3B55">
        <w:rPr>
          <w:rFonts w:ascii="Arial" w:hAnsi="Arial" w:cs="Arial"/>
          <w:i/>
          <w:iCs/>
          <w:sz w:val="18"/>
          <w:szCs w:val="18"/>
        </w:rPr>
        <w:t>Brico</w:t>
      </w:r>
      <w:proofErr w:type="spellEnd"/>
      <w:r w:rsidRPr="001B3B55">
        <w:rPr>
          <w:rFonts w:ascii="Arial" w:hAnsi="Arial" w:cs="Arial"/>
          <w:i/>
          <w:iCs/>
          <w:sz w:val="18"/>
          <w:szCs w:val="18"/>
        </w:rPr>
        <w:t xml:space="preserve"> </w:t>
      </w:r>
      <w:proofErr w:type="spellStart"/>
      <w:r w:rsidRPr="001B3B55">
        <w:rPr>
          <w:rFonts w:ascii="Arial" w:hAnsi="Arial" w:cs="Arial"/>
          <w:i/>
          <w:iCs/>
          <w:sz w:val="18"/>
          <w:szCs w:val="18"/>
        </w:rPr>
        <w:t>Dépôt</w:t>
      </w:r>
      <w:proofErr w:type="spellEnd"/>
    </w:p>
    <w:p w:rsidR="001B3B55" w:rsidRPr="001B3B55" w:rsidRDefault="001B3B55" w:rsidP="001B3B55">
      <w:pPr>
        <w:jc w:val="left"/>
        <w:rPr>
          <w:rFonts w:ascii="Arial" w:hAnsi="Arial" w:cs="Arial"/>
          <w:b/>
          <w:bCs/>
          <w:i/>
          <w:iCs/>
          <w:sz w:val="18"/>
          <w:szCs w:val="18"/>
        </w:rPr>
      </w:pPr>
      <w:r w:rsidRPr="001B3B55">
        <w:rPr>
          <w:rFonts w:ascii="Arial" w:hAnsi="Arial" w:cs="Arial"/>
          <w:b/>
          <w:bCs/>
          <w:i/>
          <w:iCs/>
          <w:sz w:val="18"/>
          <w:szCs w:val="18"/>
        </w:rPr>
        <w:t>All trading commentary below is in constant currencies</w:t>
      </w:r>
    </w:p>
    <w:p w:rsidR="001B3B55" w:rsidRPr="007D220F" w:rsidRDefault="001B3B55" w:rsidP="001B3B55">
      <w:pPr>
        <w:jc w:val="left"/>
        <w:rPr>
          <w:rFonts w:ascii="Arial" w:hAnsi="Arial" w:cs="Arial"/>
          <w:sz w:val="24"/>
          <w:szCs w:val="24"/>
          <w:highlight w:val="magenta"/>
        </w:rPr>
      </w:pPr>
    </w:p>
    <w:p w:rsidR="001B3B55" w:rsidRDefault="001B3B55" w:rsidP="001B3B55">
      <w:pPr>
        <w:jc w:val="left"/>
        <w:rPr>
          <w:rFonts w:ascii="Arial" w:hAnsi="Arial" w:cs="Arial"/>
          <w:b/>
          <w:bCs/>
          <w:sz w:val="24"/>
          <w:szCs w:val="24"/>
        </w:rPr>
      </w:pPr>
      <w:r w:rsidRPr="001B3B55">
        <w:rPr>
          <w:rFonts w:ascii="Arial" w:hAnsi="Arial" w:cs="Arial"/>
          <w:b/>
          <w:bCs/>
          <w:sz w:val="24"/>
          <w:szCs w:val="24"/>
        </w:rPr>
        <w:t>Kingfisher France</w:t>
      </w:r>
    </w:p>
    <w:p w:rsidR="00BC059C" w:rsidRDefault="00BC059C" w:rsidP="001B3B55">
      <w:pPr>
        <w:jc w:val="left"/>
        <w:rPr>
          <w:rFonts w:ascii="Arial" w:hAnsi="Arial" w:cs="Arial"/>
          <w:b/>
          <w:bCs/>
          <w:sz w:val="24"/>
          <w:szCs w:val="24"/>
        </w:rPr>
      </w:pPr>
    </w:p>
    <w:p w:rsidR="00FA1FDE" w:rsidRDefault="00BC059C" w:rsidP="001B3B55">
      <w:pPr>
        <w:jc w:val="left"/>
        <w:rPr>
          <w:rFonts w:ascii="Arial" w:hAnsi="Arial" w:cs="Arial"/>
          <w:bCs/>
          <w:sz w:val="24"/>
          <w:szCs w:val="24"/>
        </w:rPr>
      </w:pPr>
      <w:r>
        <w:rPr>
          <w:rFonts w:ascii="Arial" w:hAnsi="Arial" w:cs="Arial"/>
          <w:bCs/>
          <w:sz w:val="24"/>
          <w:szCs w:val="24"/>
        </w:rPr>
        <w:t>Kingfisher France sales grew by 0.3% to £4.2 billion (-1.6% LFL)</w:t>
      </w:r>
      <w:r w:rsidR="00FA1FDE">
        <w:rPr>
          <w:rFonts w:ascii="Arial" w:hAnsi="Arial" w:cs="Arial"/>
          <w:bCs/>
          <w:sz w:val="24"/>
          <w:szCs w:val="24"/>
        </w:rPr>
        <w:t xml:space="preserve"> in slower markets</w:t>
      </w:r>
      <w:r>
        <w:rPr>
          <w:rFonts w:ascii="Arial" w:hAnsi="Arial" w:cs="Arial"/>
          <w:bCs/>
          <w:sz w:val="24"/>
          <w:szCs w:val="24"/>
        </w:rPr>
        <w:t xml:space="preserve">. </w:t>
      </w:r>
      <w:r w:rsidR="00D93880">
        <w:rPr>
          <w:rFonts w:ascii="Arial" w:hAnsi="Arial" w:cs="Arial"/>
          <w:bCs/>
          <w:sz w:val="24"/>
          <w:szCs w:val="24"/>
        </w:rPr>
        <w:t>T</w:t>
      </w:r>
      <w:r>
        <w:rPr>
          <w:rFonts w:ascii="Arial" w:hAnsi="Arial" w:cs="Arial"/>
          <w:bCs/>
          <w:sz w:val="24"/>
          <w:szCs w:val="24"/>
        </w:rPr>
        <w:t xml:space="preserve">wo net new stores were opened and five were revamped, adding around 2% new space. </w:t>
      </w:r>
    </w:p>
    <w:p w:rsidR="00FA1FDE" w:rsidRDefault="00FA1FDE" w:rsidP="001B3B55">
      <w:pPr>
        <w:jc w:val="left"/>
        <w:rPr>
          <w:rFonts w:ascii="Arial" w:hAnsi="Arial" w:cs="Arial"/>
          <w:bCs/>
          <w:sz w:val="24"/>
          <w:szCs w:val="24"/>
        </w:rPr>
      </w:pPr>
    </w:p>
    <w:p w:rsidR="00FA1FDE" w:rsidRDefault="00FA1FDE" w:rsidP="001B3B55">
      <w:pPr>
        <w:jc w:val="left"/>
        <w:rPr>
          <w:rFonts w:ascii="Arial" w:hAnsi="Arial" w:cs="Arial"/>
          <w:bCs/>
          <w:sz w:val="24"/>
          <w:szCs w:val="24"/>
        </w:rPr>
      </w:pPr>
      <w:r>
        <w:rPr>
          <w:rFonts w:ascii="Arial" w:hAnsi="Arial" w:cs="Arial"/>
          <w:bCs/>
          <w:sz w:val="24"/>
          <w:szCs w:val="24"/>
        </w:rPr>
        <w:t xml:space="preserve">Retail profit grew by 0.2%, broadly in line with sales growth. Gross margins were up 10 basis points reflecting </w:t>
      </w:r>
      <w:r w:rsidR="00185D0E">
        <w:rPr>
          <w:rFonts w:ascii="Arial" w:hAnsi="Arial" w:cs="Arial"/>
          <w:bCs/>
          <w:sz w:val="24"/>
          <w:szCs w:val="24"/>
        </w:rPr>
        <w:t>on-going self-help</w:t>
      </w:r>
      <w:r>
        <w:rPr>
          <w:rFonts w:ascii="Arial" w:hAnsi="Arial" w:cs="Arial"/>
          <w:bCs/>
          <w:sz w:val="24"/>
          <w:szCs w:val="24"/>
        </w:rPr>
        <w:t xml:space="preserve"> initiatives offsetting some investment in pricing</w:t>
      </w:r>
      <w:r w:rsidR="00773548">
        <w:rPr>
          <w:rFonts w:ascii="Arial" w:hAnsi="Arial" w:cs="Arial"/>
          <w:bCs/>
          <w:sz w:val="24"/>
          <w:szCs w:val="24"/>
        </w:rPr>
        <w:t>. Cost</w:t>
      </w:r>
      <w:r w:rsidR="008414A2">
        <w:rPr>
          <w:rFonts w:ascii="Arial" w:hAnsi="Arial" w:cs="Arial"/>
          <w:bCs/>
          <w:sz w:val="24"/>
          <w:szCs w:val="24"/>
        </w:rPr>
        <w:t xml:space="preserve">s were tightly controlled </w:t>
      </w:r>
      <w:r w:rsidR="005D086C">
        <w:rPr>
          <w:rFonts w:ascii="Arial" w:hAnsi="Arial" w:cs="Arial"/>
          <w:bCs/>
          <w:sz w:val="24"/>
          <w:szCs w:val="24"/>
        </w:rPr>
        <w:t xml:space="preserve">and also reflect </w:t>
      </w:r>
      <w:r w:rsidR="008414A2">
        <w:rPr>
          <w:rFonts w:ascii="Arial" w:hAnsi="Arial" w:cs="Arial"/>
          <w:bCs/>
          <w:sz w:val="24"/>
          <w:szCs w:val="24"/>
        </w:rPr>
        <w:t xml:space="preserve">lower </w:t>
      </w:r>
      <w:r w:rsidR="005D086C">
        <w:rPr>
          <w:rFonts w:ascii="Arial" w:hAnsi="Arial" w:cs="Arial"/>
          <w:bCs/>
          <w:sz w:val="24"/>
          <w:szCs w:val="24"/>
        </w:rPr>
        <w:t xml:space="preserve">levels of variable pay </w:t>
      </w:r>
      <w:r w:rsidR="000F4BB3">
        <w:rPr>
          <w:rFonts w:ascii="Arial" w:hAnsi="Arial" w:cs="Arial"/>
          <w:bCs/>
          <w:sz w:val="24"/>
          <w:szCs w:val="24"/>
        </w:rPr>
        <w:t>during the</w:t>
      </w:r>
      <w:r w:rsidR="005D086C">
        <w:rPr>
          <w:rFonts w:ascii="Arial" w:hAnsi="Arial" w:cs="Arial"/>
          <w:bCs/>
          <w:sz w:val="24"/>
          <w:szCs w:val="24"/>
        </w:rPr>
        <w:t xml:space="preserve"> year</w:t>
      </w:r>
      <w:r w:rsidR="008414A2">
        <w:rPr>
          <w:rFonts w:ascii="Arial" w:hAnsi="Arial" w:cs="Arial"/>
          <w:bCs/>
          <w:sz w:val="24"/>
          <w:szCs w:val="24"/>
        </w:rPr>
        <w:t xml:space="preserve">. </w:t>
      </w:r>
    </w:p>
    <w:p w:rsidR="001B3B55" w:rsidRPr="00BC059C" w:rsidRDefault="001B3B55" w:rsidP="001B3B55">
      <w:pPr>
        <w:jc w:val="left"/>
        <w:rPr>
          <w:rFonts w:ascii="Arial" w:hAnsi="Arial" w:cs="Arial"/>
          <w:sz w:val="24"/>
          <w:szCs w:val="24"/>
        </w:rPr>
      </w:pPr>
    </w:p>
    <w:p w:rsidR="006F3FC6" w:rsidRPr="0006717E" w:rsidRDefault="001B3B55" w:rsidP="001B3B55">
      <w:pPr>
        <w:jc w:val="left"/>
        <w:rPr>
          <w:rFonts w:ascii="Arial" w:hAnsi="Arial" w:cs="Arial"/>
          <w:sz w:val="24"/>
          <w:szCs w:val="24"/>
        </w:rPr>
      </w:pPr>
      <w:r w:rsidRPr="0006717E">
        <w:rPr>
          <w:rFonts w:ascii="Arial" w:hAnsi="Arial" w:cs="Arial"/>
          <w:b/>
          <w:bCs/>
          <w:sz w:val="24"/>
          <w:szCs w:val="24"/>
        </w:rPr>
        <w:t>Castorama</w:t>
      </w:r>
      <w:r w:rsidRPr="0006717E">
        <w:rPr>
          <w:rFonts w:ascii="Arial" w:hAnsi="Arial" w:cs="Arial"/>
          <w:sz w:val="24"/>
          <w:szCs w:val="24"/>
        </w:rPr>
        <w:t xml:space="preserve"> total sales grew by </w:t>
      </w:r>
      <w:r w:rsidR="006F3FC6" w:rsidRPr="0006717E">
        <w:rPr>
          <w:rFonts w:ascii="Arial" w:hAnsi="Arial" w:cs="Arial"/>
          <w:sz w:val="24"/>
          <w:szCs w:val="24"/>
        </w:rPr>
        <w:t>2.</w:t>
      </w:r>
      <w:r w:rsidR="00773548">
        <w:rPr>
          <w:rFonts w:ascii="Arial" w:hAnsi="Arial" w:cs="Arial"/>
          <w:sz w:val="24"/>
          <w:szCs w:val="24"/>
        </w:rPr>
        <w:t>0</w:t>
      </w:r>
      <w:r w:rsidRPr="0006717E">
        <w:rPr>
          <w:rFonts w:ascii="Arial" w:hAnsi="Arial" w:cs="Arial"/>
          <w:sz w:val="24"/>
          <w:szCs w:val="24"/>
        </w:rPr>
        <w:t>% to £</w:t>
      </w:r>
      <w:r w:rsidR="00773548">
        <w:rPr>
          <w:rFonts w:ascii="Arial" w:hAnsi="Arial" w:cs="Arial"/>
          <w:sz w:val="24"/>
          <w:szCs w:val="24"/>
        </w:rPr>
        <w:t>2.3</w:t>
      </w:r>
      <w:r w:rsidRPr="0006717E">
        <w:rPr>
          <w:rFonts w:ascii="Arial" w:hAnsi="Arial" w:cs="Arial"/>
          <w:sz w:val="24"/>
          <w:szCs w:val="24"/>
        </w:rPr>
        <w:t xml:space="preserve"> billion (</w:t>
      </w:r>
      <w:r w:rsidR="006F3FC6" w:rsidRPr="0006717E">
        <w:rPr>
          <w:rFonts w:ascii="Arial" w:hAnsi="Arial" w:cs="Arial"/>
          <w:sz w:val="24"/>
          <w:szCs w:val="24"/>
        </w:rPr>
        <w:t>-0</w:t>
      </w:r>
      <w:r w:rsidRPr="0006717E">
        <w:rPr>
          <w:rFonts w:ascii="Arial" w:hAnsi="Arial" w:cs="Arial"/>
          <w:sz w:val="24"/>
          <w:szCs w:val="24"/>
        </w:rPr>
        <w:t>.</w:t>
      </w:r>
      <w:r w:rsidR="00773548">
        <w:rPr>
          <w:rFonts w:ascii="Arial" w:hAnsi="Arial" w:cs="Arial"/>
          <w:sz w:val="24"/>
          <w:szCs w:val="24"/>
        </w:rPr>
        <w:t>5</w:t>
      </w:r>
      <w:r w:rsidRPr="0006717E">
        <w:rPr>
          <w:rFonts w:ascii="Arial" w:hAnsi="Arial" w:cs="Arial"/>
          <w:sz w:val="24"/>
          <w:szCs w:val="24"/>
        </w:rPr>
        <w:t>% LFL</w:t>
      </w:r>
      <w:r w:rsidR="00773548">
        <w:rPr>
          <w:rFonts w:ascii="Arial" w:hAnsi="Arial" w:cs="Arial"/>
          <w:sz w:val="24"/>
          <w:szCs w:val="24"/>
        </w:rPr>
        <w:t xml:space="preserve">). </w:t>
      </w:r>
      <w:r w:rsidR="00773548" w:rsidRPr="00B42021">
        <w:rPr>
          <w:rFonts w:ascii="Arial" w:hAnsi="Arial" w:cs="Arial"/>
          <w:sz w:val="24"/>
          <w:szCs w:val="24"/>
        </w:rPr>
        <w:t xml:space="preserve">According to </w:t>
      </w:r>
      <w:proofErr w:type="spellStart"/>
      <w:r w:rsidR="00773548" w:rsidRPr="00B42021">
        <w:rPr>
          <w:rFonts w:ascii="Arial" w:hAnsi="Arial" w:cs="Arial"/>
          <w:sz w:val="24"/>
          <w:szCs w:val="24"/>
        </w:rPr>
        <w:t>Banque</w:t>
      </w:r>
      <w:proofErr w:type="spellEnd"/>
      <w:r w:rsidR="00773548" w:rsidRPr="00B42021">
        <w:rPr>
          <w:rFonts w:ascii="Arial" w:hAnsi="Arial" w:cs="Arial"/>
          <w:sz w:val="24"/>
          <w:szCs w:val="24"/>
        </w:rPr>
        <w:t xml:space="preserve"> d</w:t>
      </w:r>
      <w:r w:rsidR="00B835BF">
        <w:rPr>
          <w:rFonts w:ascii="Arial" w:hAnsi="Arial" w:cs="Arial"/>
          <w:sz w:val="24"/>
          <w:szCs w:val="24"/>
        </w:rPr>
        <w:t>e France data,</w:t>
      </w:r>
      <w:r w:rsidR="00773548" w:rsidRPr="00B42021">
        <w:rPr>
          <w:rFonts w:ascii="Arial" w:hAnsi="Arial" w:cs="Arial"/>
          <w:sz w:val="24"/>
          <w:szCs w:val="24"/>
        </w:rPr>
        <w:t xml:space="preserve"> sales for the home improvement market</w:t>
      </w:r>
      <w:r w:rsidR="00D5621B">
        <w:rPr>
          <w:rFonts w:ascii="Arial" w:hAnsi="Arial" w:cs="Arial"/>
          <w:sz w:val="24"/>
          <w:szCs w:val="24"/>
        </w:rPr>
        <w:t xml:space="preserve"> </w:t>
      </w:r>
      <w:r w:rsidR="00773548">
        <w:rPr>
          <w:rFonts w:ascii="Arial" w:hAnsi="Arial" w:cs="Arial"/>
          <w:sz w:val="24"/>
          <w:szCs w:val="24"/>
        </w:rPr>
        <w:t>were down 0.8</w:t>
      </w:r>
      <w:r w:rsidR="00773548" w:rsidRPr="00B42021">
        <w:rPr>
          <w:rFonts w:ascii="Arial" w:hAnsi="Arial" w:cs="Arial"/>
          <w:sz w:val="24"/>
          <w:szCs w:val="24"/>
        </w:rPr>
        <w:t>%.</w:t>
      </w:r>
      <w:r w:rsidR="00773548">
        <w:rPr>
          <w:rFonts w:ascii="Arial" w:hAnsi="Arial" w:cs="Arial"/>
          <w:sz w:val="24"/>
          <w:szCs w:val="24"/>
        </w:rPr>
        <w:t xml:space="preserve"> </w:t>
      </w:r>
      <w:r w:rsidR="00A20DBD" w:rsidRPr="0006717E">
        <w:rPr>
          <w:rFonts w:ascii="Arial" w:hAnsi="Arial" w:cs="Arial"/>
          <w:sz w:val="24"/>
          <w:szCs w:val="24"/>
        </w:rPr>
        <w:t xml:space="preserve">Castorama </w:t>
      </w:r>
      <w:r w:rsidR="00B835BF">
        <w:rPr>
          <w:rFonts w:ascii="Arial" w:hAnsi="Arial" w:cs="Arial"/>
          <w:sz w:val="24"/>
          <w:szCs w:val="24"/>
        </w:rPr>
        <w:t>outperformed the market</w:t>
      </w:r>
      <w:r w:rsidR="00D93880">
        <w:rPr>
          <w:rFonts w:ascii="Arial" w:hAnsi="Arial" w:cs="Arial"/>
          <w:sz w:val="24"/>
          <w:szCs w:val="24"/>
        </w:rPr>
        <w:t xml:space="preserve"> </w:t>
      </w:r>
      <w:r w:rsidR="00A20DBD" w:rsidRPr="0006717E">
        <w:rPr>
          <w:rFonts w:ascii="Arial" w:hAnsi="Arial" w:cs="Arial"/>
          <w:sz w:val="24"/>
          <w:szCs w:val="24"/>
        </w:rPr>
        <w:t xml:space="preserve">benefiting from its </w:t>
      </w:r>
      <w:r w:rsidR="006F3FC6" w:rsidRPr="0006717E">
        <w:rPr>
          <w:rFonts w:ascii="Arial" w:hAnsi="Arial" w:cs="Arial"/>
          <w:sz w:val="24"/>
          <w:szCs w:val="24"/>
        </w:rPr>
        <w:t>innovative ‘Do-it-Smart’ approach aimed at making home improvement</w:t>
      </w:r>
      <w:r w:rsidR="00B32BAA" w:rsidRPr="0006717E">
        <w:rPr>
          <w:rFonts w:ascii="Arial" w:hAnsi="Arial" w:cs="Arial"/>
          <w:sz w:val="24"/>
          <w:szCs w:val="24"/>
        </w:rPr>
        <w:t xml:space="preserve"> projects easier for customers. </w:t>
      </w:r>
    </w:p>
    <w:p w:rsidR="001B3B55" w:rsidRPr="00BC059C" w:rsidRDefault="001B3B55" w:rsidP="001B3B55">
      <w:pPr>
        <w:jc w:val="left"/>
        <w:rPr>
          <w:rFonts w:ascii="Arial" w:hAnsi="Arial" w:cs="Arial"/>
          <w:sz w:val="24"/>
          <w:szCs w:val="24"/>
        </w:rPr>
      </w:pPr>
    </w:p>
    <w:p w:rsidR="00FD08ED" w:rsidRDefault="001B3B55" w:rsidP="001B3B55">
      <w:pPr>
        <w:jc w:val="left"/>
        <w:rPr>
          <w:rFonts w:ascii="Arial" w:hAnsi="Arial" w:cs="Arial"/>
          <w:sz w:val="24"/>
          <w:szCs w:val="24"/>
        </w:rPr>
      </w:pPr>
      <w:bookmarkStart w:id="9" w:name="OLE_LINK15"/>
      <w:bookmarkStart w:id="10" w:name="OLE_LINK16"/>
      <w:proofErr w:type="spellStart"/>
      <w:r w:rsidRPr="0006717E">
        <w:rPr>
          <w:rFonts w:ascii="Arial" w:hAnsi="Arial" w:cs="Arial"/>
          <w:b/>
          <w:bCs/>
          <w:sz w:val="24"/>
          <w:szCs w:val="24"/>
        </w:rPr>
        <w:t>Brico</w:t>
      </w:r>
      <w:proofErr w:type="spellEnd"/>
      <w:r w:rsidRPr="0006717E">
        <w:rPr>
          <w:rFonts w:ascii="Arial" w:hAnsi="Arial" w:cs="Arial"/>
          <w:b/>
          <w:bCs/>
          <w:sz w:val="24"/>
          <w:szCs w:val="24"/>
        </w:rPr>
        <w:t xml:space="preserve"> </w:t>
      </w:r>
      <w:proofErr w:type="spellStart"/>
      <w:r w:rsidRPr="0006717E">
        <w:rPr>
          <w:rFonts w:ascii="Arial" w:hAnsi="Arial" w:cs="Arial"/>
          <w:b/>
          <w:bCs/>
          <w:sz w:val="24"/>
          <w:szCs w:val="24"/>
        </w:rPr>
        <w:t>Dépôt</w:t>
      </w:r>
      <w:proofErr w:type="spellEnd"/>
      <w:r w:rsidR="00FD08ED">
        <w:rPr>
          <w:rFonts w:ascii="Arial" w:hAnsi="Arial" w:cs="Arial"/>
          <w:sz w:val="24"/>
          <w:szCs w:val="24"/>
        </w:rPr>
        <w:t xml:space="preserve">, which more specifically targets trade professionals and heavy </w:t>
      </w:r>
      <w:proofErr w:type="spellStart"/>
      <w:r w:rsidR="00FD08ED">
        <w:rPr>
          <w:rFonts w:ascii="Arial" w:hAnsi="Arial" w:cs="Arial"/>
          <w:sz w:val="24"/>
          <w:szCs w:val="24"/>
        </w:rPr>
        <w:t>DIYers</w:t>
      </w:r>
      <w:proofErr w:type="spellEnd"/>
      <w:r w:rsidR="00FD08ED">
        <w:rPr>
          <w:rFonts w:ascii="Arial" w:hAnsi="Arial" w:cs="Arial"/>
          <w:sz w:val="24"/>
          <w:szCs w:val="24"/>
        </w:rPr>
        <w:t xml:space="preserve">, was impacted by a slower </w:t>
      </w:r>
      <w:r w:rsidR="00185D0E">
        <w:rPr>
          <w:rFonts w:ascii="Arial" w:hAnsi="Arial" w:cs="Arial"/>
          <w:sz w:val="24"/>
          <w:szCs w:val="24"/>
        </w:rPr>
        <w:t xml:space="preserve">house building </w:t>
      </w:r>
      <w:r w:rsidR="00FD08ED">
        <w:rPr>
          <w:rFonts w:ascii="Arial" w:hAnsi="Arial" w:cs="Arial"/>
          <w:sz w:val="24"/>
          <w:szCs w:val="24"/>
        </w:rPr>
        <w:t>market</w:t>
      </w:r>
      <w:r w:rsidR="008F0DCF">
        <w:rPr>
          <w:rFonts w:ascii="Arial" w:hAnsi="Arial" w:cs="Arial"/>
          <w:sz w:val="24"/>
          <w:szCs w:val="24"/>
        </w:rPr>
        <w:t xml:space="preserve">, with new housing starts and planning consent </w:t>
      </w:r>
      <w:proofErr w:type="gramStart"/>
      <w:r w:rsidR="008F0DCF">
        <w:rPr>
          <w:rFonts w:ascii="Arial" w:hAnsi="Arial" w:cs="Arial"/>
          <w:sz w:val="24"/>
          <w:szCs w:val="24"/>
        </w:rPr>
        <w:t>data</w:t>
      </w:r>
      <w:r w:rsidR="008F0DCF" w:rsidRPr="00740159">
        <w:rPr>
          <w:rFonts w:ascii="Arial" w:hAnsi="Arial" w:cs="Arial"/>
          <w:i/>
          <w:sz w:val="24"/>
          <w:szCs w:val="24"/>
          <w:vertAlign w:val="superscript"/>
        </w:rPr>
        <w:t>(</w:t>
      </w:r>
      <w:proofErr w:type="gramEnd"/>
      <w:r w:rsidR="00675469">
        <w:rPr>
          <w:rFonts w:ascii="Arial" w:hAnsi="Arial" w:cs="Arial"/>
          <w:i/>
          <w:sz w:val="24"/>
          <w:szCs w:val="24"/>
          <w:vertAlign w:val="superscript"/>
        </w:rPr>
        <w:t>1</w:t>
      </w:r>
      <w:r w:rsidR="008F0DCF" w:rsidRPr="00740159">
        <w:rPr>
          <w:rFonts w:ascii="Arial" w:hAnsi="Arial" w:cs="Arial"/>
          <w:i/>
          <w:sz w:val="24"/>
          <w:szCs w:val="24"/>
          <w:vertAlign w:val="superscript"/>
        </w:rPr>
        <w:t>)</w:t>
      </w:r>
      <w:r w:rsidR="008F0DCF">
        <w:rPr>
          <w:rFonts w:ascii="Arial" w:hAnsi="Arial" w:cs="Arial"/>
          <w:i/>
          <w:sz w:val="24"/>
          <w:szCs w:val="24"/>
        </w:rPr>
        <w:t xml:space="preserve"> </w:t>
      </w:r>
      <w:r w:rsidR="008F0DCF" w:rsidRPr="00842F7C">
        <w:rPr>
          <w:rFonts w:ascii="Arial" w:hAnsi="Arial" w:cs="Arial"/>
          <w:sz w:val="24"/>
          <w:szCs w:val="24"/>
        </w:rPr>
        <w:t>down aroun</w:t>
      </w:r>
      <w:r w:rsidR="008F0DCF">
        <w:rPr>
          <w:rFonts w:ascii="Arial" w:hAnsi="Arial" w:cs="Arial"/>
          <w:sz w:val="24"/>
          <w:szCs w:val="24"/>
        </w:rPr>
        <w:t xml:space="preserve">d 18% and 9% respectively. Total sales </w:t>
      </w:r>
      <w:r w:rsidR="00FD08ED">
        <w:rPr>
          <w:rFonts w:ascii="Arial" w:hAnsi="Arial" w:cs="Arial"/>
          <w:sz w:val="24"/>
          <w:szCs w:val="24"/>
        </w:rPr>
        <w:t>declin</w:t>
      </w:r>
      <w:r w:rsidR="008F0DCF">
        <w:rPr>
          <w:rFonts w:ascii="Arial" w:hAnsi="Arial" w:cs="Arial"/>
          <w:sz w:val="24"/>
          <w:szCs w:val="24"/>
        </w:rPr>
        <w:t>ed</w:t>
      </w:r>
      <w:r w:rsidR="00FD08ED">
        <w:rPr>
          <w:rFonts w:ascii="Arial" w:hAnsi="Arial" w:cs="Arial"/>
          <w:sz w:val="24"/>
          <w:szCs w:val="24"/>
        </w:rPr>
        <w:t xml:space="preserve"> by 1.7% to £1.9 billion (-2.8% LFL). </w:t>
      </w:r>
      <w:r w:rsidR="008F0DCF">
        <w:rPr>
          <w:rFonts w:ascii="Arial" w:hAnsi="Arial" w:cs="Arial"/>
          <w:sz w:val="24"/>
          <w:szCs w:val="24"/>
        </w:rPr>
        <w:t>Self-help initiatives progressed well, including new ranges intro</w:t>
      </w:r>
      <w:r w:rsidR="00B835BF">
        <w:rPr>
          <w:rFonts w:ascii="Arial" w:hAnsi="Arial" w:cs="Arial"/>
          <w:sz w:val="24"/>
          <w:szCs w:val="24"/>
        </w:rPr>
        <w:t xml:space="preserve">duced last year (e.g. </w:t>
      </w:r>
      <w:r w:rsidR="00185D0E">
        <w:rPr>
          <w:rFonts w:ascii="Arial" w:hAnsi="Arial" w:cs="Arial"/>
          <w:sz w:val="24"/>
          <w:szCs w:val="24"/>
        </w:rPr>
        <w:t>heating</w:t>
      </w:r>
      <w:r w:rsidR="00B835BF">
        <w:rPr>
          <w:rFonts w:ascii="Arial" w:hAnsi="Arial" w:cs="Arial"/>
          <w:sz w:val="24"/>
          <w:szCs w:val="24"/>
        </w:rPr>
        <w:t xml:space="preserve"> and joinery ranges) </w:t>
      </w:r>
      <w:r w:rsidR="008F0DCF">
        <w:rPr>
          <w:rFonts w:ascii="Arial" w:hAnsi="Arial" w:cs="Arial"/>
          <w:sz w:val="24"/>
          <w:szCs w:val="24"/>
        </w:rPr>
        <w:t>and</w:t>
      </w:r>
      <w:r w:rsidR="00B835BF">
        <w:rPr>
          <w:rFonts w:ascii="Arial" w:hAnsi="Arial" w:cs="Arial"/>
          <w:sz w:val="24"/>
          <w:szCs w:val="24"/>
        </w:rPr>
        <w:t xml:space="preserve"> more ‘</w:t>
      </w:r>
      <w:proofErr w:type="spellStart"/>
      <w:r w:rsidR="00B835BF">
        <w:rPr>
          <w:rFonts w:ascii="Arial" w:hAnsi="Arial" w:cs="Arial"/>
          <w:sz w:val="24"/>
          <w:szCs w:val="24"/>
        </w:rPr>
        <w:t>arrivages</w:t>
      </w:r>
      <w:proofErr w:type="spellEnd"/>
      <w:r w:rsidR="00B835BF">
        <w:rPr>
          <w:rFonts w:ascii="Arial" w:hAnsi="Arial" w:cs="Arial"/>
          <w:sz w:val="24"/>
          <w:szCs w:val="24"/>
        </w:rPr>
        <w:t>’ promotions (rolling programmes of one-off special buys)</w:t>
      </w:r>
      <w:r w:rsidR="008F0DCF">
        <w:rPr>
          <w:rFonts w:ascii="Arial" w:hAnsi="Arial" w:cs="Arial"/>
          <w:sz w:val="24"/>
          <w:szCs w:val="24"/>
        </w:rPr>
        <w:t>,</w:t>
      </w:r>
      <w:r w:rsidR="00B835BF">
        <w:rPr>
          <w:rFonts w:ascii="Arial" w:hAnsi="Arial" w:cs="Arial"/>
          <w:sz w:val="24"/>
          <w:szCs w:val="24"/>
        </w:rPr>
        <w:t xml:space="preserve"> reinforcing </w:t>
      </w:r>
      <w:proofErr w:type="spellStart"/>
      <w:r w:rsidR="00B835BF">
        <w:rPr>
          <w:rFonts w:ascii="Arial" w:hAnsi="Arial" w:cs="Arial"/>
          <w:sz w:val="24"/>
          <w:szCs w:val="24"/>
        </w:rPr>
        <w:t>Brico</w:t>
      </w:r>
      <w:proofErr w:type="spellEnd"/>
      <w:r w:rsidR="00B835BF">
        <w:rPr>
          <w:rFonts w:ascii="Arial" w:hAnsi="Arial" w:cs="Arial"/>
          <w:sz w:val="24"/>
          <w:szCs w:val="24"/>
        </w:rPr>
        <w:t xml:space="preserve"> </w:t>
      </w:r>
      <w:proofErr w:type="spellStart"/>
      <w:r w:rsidR="00B835BF">
        <w:rPr>
          <w:rFonts w:ascii="Arial" w:hAnsi="Arial" w:cs="Arial"/>
          <w:sz w:val="24"/>
          <w:szCs w:val="24"/>
        </w:rPr>
        <w:t>Dépôt’s</w:t>
      </w:r>
      <w:proofErr w:type="spellEnd"/>
      <w:r w:rsidR="00B835BF">
        <w:rPr>
          <w:rFonts w:ascii="Arial" w:hAnsi="Arial" w:cs="Arial"/>
          <w:sz w:val="24"/>
          <w:szCs w:val="24"/>
        </w:rPr>
        <w:t xml:space="preserve"> value credentials. </w:t>
      </w:r>
    </w:p>
    <w:bookmarkEnd w:id="9"/>
    <w:bookmarkEnd w:id="10"/>
    <w:p w:rsidR="00FD08ED" w:rsidRDefault="00FD08ED" w:rsidP="001B3B55">
      <w:pPr>
        <w:jc w:val="left"/>
        <w:rPr>
          <w:rFonts w:ascii="Arial" w:hAnsi="Arial" w:cs="Arial"/>
          <w:sz w:val="24"/>
          <w:szCs w:val="24"/>
        </w:rPr>
      </w:pPr>
    </w:p>
    <w:p w:rsidR="00FD08ED" w:rsidRPr="00FD08ED" w:rsidRDefault="00675469" w:rsidP="00FD08ED">
      <w:pPr>
        <w:jc w:val="left"/>
        <w:rPr>
          <w:rFonts w:ascii="Helvetica" w:hAnsi="Helvetica" w:cs="Helvetica"/>
          <w:i/>
          <w:iCs/>
          <w:sz w:val="20"/>
          <w:szCs w:val="20"/>
          <w:vertAlign w:val="superscript"/>
        </w:rPr>
      </w:pPr>
      <w:r w:rsidRPr="00BC059C" w:rsidDel="00675469">
        <w:rPr>
          <w:rFonts w:ascii="Arial" w:hAnsi="Arial" w:cs="Arial"/>
          <w:i/>
          <w:iCs/>
          <w:sz w:val="24"/>
          <w:szCs w:val="24"/>
        </w:rPr>
        <w:t xml:space="preserve"> </w:t>
      </w:r>
      <w:r w:rsidR="00056F7A" w:rsidRPr="0006717E">
        <w:rPr>
          <w:rStyle w:val="Emphasis"/>
          <w:rFonts w:ascii="Helvetica" w:hAnsi="Helvetica" w:cs="Helvetica"/>
          <w:sz w:val="20"/>
          <w:szCs w:val="20"/>
          <w:vertAlign w:val="superscript"/>
        </w:rPr>
        <w:t>(</w:t>
      </w:r>
      <w:r>
        <w:rPr>
          <w:rStyle w:val="Emphasis"/>
          <w:rFonts w:ascii="Helvetica" w:hAnsi="Helvetica" w:cs="Helvetica"/>
          <w:sz w:val="20"/>
          <w:szCs w:val="20"/>
          <w:vertAlign w:val="superscript"/>
        </w:rPr>
        <w:t>1</w:t>
      </w:r>
      <w:r w:rsidR="00B835BF">
        <w:rPr>
          <w:rStyle w:val="Emphasis"/>
          <w:rFonts w:ascii="Helvetica" w:hAnsi="Helvetica" w:cs="Helvetica"/>
          <w:sz w:val="20"/>
          <w:szCs w:val="20"/>
          <w:vertAlign w:val="superscript"/>
        </w:rPr>
        <w:t>)</w:t>
      </w:r>
      <w:r w:rsidR="008F0DCF">
        <w:rPr>
          <w:rFonts w:ascii="Arial" w:hAnsi="Arial" w:cs="Arial"/>
          <w:i/>
          <w:iCs/>
          <w:sz w:val="18"/>
          <w:szCs w:val="18"/>
        </w:rPr>
        <w:t>Ministry of Housing February 2012 – January 2013</w:t>
      </w:r>
    </w:p>
    <w:p w:rsidR="009E0561" w:rsidRDefault="009E0561">
      <w:pPr>
        <w:jc w:val="left"/>
        <w:rPr>
          <w:rFonts w:ascii="Arial" w:hAnsi="Arial" w:cs="Arial"/>
          <w:i/>
          <w:iCs/>
          <w:sz w:val="18"/>
          <w:szCs w:val="18"/>
        </w:rPr>
      </w:pPr>
      <w:r>
        <w:rPr>
          <w:rFonts w:ascii="Arial" w:hAnsi="Arial" w:cs="Arial"/>
          <w:i/>
          <w:iCs/>
          <w:sz w:val="18"/>
          <w:szCs w:val="18"/>
        </w:rPr>
        <w:br w:type="page"/>
      </w:r>
    </w:p>
    <w:bookmarkEnd w:id="7"/>
    <w:bookmarkEnd w:id="8"/>
    <w:p w:rsidR="001B3B55" w:rsidRPr="00DB7164" w:rsidRDefault="001B3B55" w:rsidP="001B3B55">
      <w:pPr>
        <w:jc w:val="left"/>
        <w:rPr>
          <w:rFonts w:ascii="Arial" w:hAnsi="Arial" w:cs="Arial"/>
          <w:i/>
          <w:iCs/>
          <w:sz w:val="24"/>
          <w:szCs w:val="24"/>
          <w:highlight w:val="magenta"/>
        </w:rPr>
      </w:pPr>
      <w:r w:rsidRPr="00DB7164">
        <w:rPr>
          <w:rFonts w:ascii="Arial" w:hAnsi="Arial" w:cs="Arial"/>
          <w:b/>
          <w:bCs/>
          <w:sz w:val="24"/>
          <w:szCs w:val="24"/>
        </w:rPr>
        <w:t>UK &amp; IRELAND</w:t>
      </w:r>
    </w:p>
    <w:p w:rsidR="001B3B55" w:rsidRPr="00DB7164" w:rsidRDefault="001B3B55" w:rsidP="001B3B55">
      <w:pPr>
        <w:jc w:val="left"/>
        <w:rPr>
          <w:rFonts w:ascii="Arial" w:hAnsi="Arial" w:cs="Arial"/>
          <w:sz w:val="24"/>
          <w:szCs w:val="24"/>
          <w:highlight w:val="magenta"/>
        </w:rPr>
      </w:pPr>
    </w:p>
    <w:tbl>
      <w:tblPr>
        <w:tblW w:w="483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276"/>
        <w:gridCol w:w="1559"/>
        <w:gridCol w:w="1563"/>
        <w:gridCol w:w="1698"/>
        <w:gridCol w:w="1175"/>
      </w:tblGrid>
      <w:tr w:rsidR="00DB7164" w:rsidRPr="00DB7164" w:rsidTr="001B3B55">
        <w:tc>
          <w:tcPr>
            <w:tcW w:w="1189" w:type="pct"/>
          </w:tcPr>
          <w:p w:rsidR="001B3B55" w:rsidRPr="0006717E" w:rsidRDefault="001B3B55" w:rsidP="001B3B55">
            <w:pPr>
              <w:rPr>
                <w:rFonts w:ascii="Arial" w:hAnsi="Arial" w:cs="Arial"/>
                <w:sz w:val="24"/>
                <w:szCs w:val="24"/>
              </w:rPr>
            </w:pPr>
            <w:r w:rsidRPr="00DB7164">
              <w:rPr>
                <w:rFonts w:ascii="Arial" w:hAnsi="Arial" w:cs="Arial"/>
                <w:b/>
                <w:bCs/>
                <w:sz w:val="24"/>
                <w:szCs w:val="24"/>
              </w:rPr>
              <w:t>Sales £m</w:t>
            </w:r>
          </w:p>
        </w:tc>
        <w:tc>
          <w:tcPr>
            <w:tcW w:w="669" w:type="pct"/>
          </w:tcPr>
          <w:p w:rsidR="001B3B55" w:rsidRPr="00DB7164" w:rsidRDefault="001B3B55" w:rsidP="001B3B55">
            <w:pPr>
              <w:jc w:val="right"/>
              <w:rPr>
                <w:rFonts w:ascii="Arial" w:hAnsi="Arial" w:cs="Arial"/>
                <w:sz w:val="24"/>
                <w:szCs w:val="24"/>
              </w:rPr>
            </w:pPr>
            <w:r w:rsidRPr="00DB7164">
              <w:rPr>
                <w:rFonts w:ascii="Arial" w:hAnsi="Arial" w:cs="Arial"/>
                <w:b/>
                <w:bCs/>
                <w:sz w:val="24"/>
                <w:szCs w:val="24"/>
              </w:rPr>
              <w:t>2012/13</w:t>
            </w:r>
          </w:p>
        </w:tc>
        <w:tc>
          <w:tcPr>
            <w:tcW w:w="817" w:type="pct"/>
          </w:tcPr>
          <w:p w:rsidR="001B3B55" w:rsidRPr="00DB7164" w:rsidRDefault="001B3B55" w:rsidP="001B3B55">
            <w:pPr>
              <w:jc w:val="right"/>
              <w:rPr>
                <w:rFonts w:ascii="Arial" w:hAnsi="Arial" w:cs="Arial"/>
                <w:b/>
                <w:bCs/>
                <w:sz w:val="24"/>
                <w:szCs w:val="24"/>
              </w:rPr>
            </w:pPr>
            <w:r w:rsidRPr="00DB7164">
              <w:rPr>
                <w:rFonts w:ascii="Arial" w:hAnsi="Arial" w:cs="Arial"/>
                <w:b/>
                <w:bCs/>
                <w:sz w:val="24"/>
                <w:szCs w:val="24"/>
              </w:rPr>
              <w:t>2011/12</w:t>
            </w:r>
          </w:p>
        </w:tc>
        <w:tc>
          <w:tcPr>
            <w:tcW w:w="819" w:type="pct"/>
          </w:tcPr>
          <w:p w:rsidR="001B3B55" w:rsidRPr="00DB7164" w:rsidRDefault="001B3B55" w:rsidP="001B3B55">
            <w:pPr>
              <w:jc w:val="right"/>
              <w:rPr>
                <w:rFonts w:ascii="Arial" w:hAnsi="Arial" w:cs="Arial"/>
                <w:b/>
                <w:bCs/>
                <w:sz w:val="24"/>
                <w:szCs w:val="24"/>
              </w:rPr>
            </w:pPr>
            <w:r w:rsidRPr="00DB7164">
              <w:rPr>
                <w:rFonts w:ascii="Arial" w:hAnsi="Arial" w:cs="Arial"/>
                <w:b/>
                <w:bCs/>
                <w:sz w:val="24"/>
                <w:szCs w:val="24"/>
              </w:rPr>
              <w:t>% Reported Change</w:t>
            </w:r>
          </w:p>
        </w:tc>
        <w:tc>
          <w:tcPr>
            <w:tcW w:w="890" w:type="pct"/>
          </w:tcPr>
          <w:p w:rsidR="002F1ABE" w:rsidRDefault="001B3B55">
            <w:pPr>
              <w:jc w:val="right"/>
              <w:rPr>
                <w:rFonts w:ascii="Arial" w:hAnsi="Arial" w:cs="Arial"/>
                <w:b/>
                <w:bCs/>
                <w:sz w:val="24"/>
                <w:szCs w:val="24"/>
              </w:rPr>
            </w:pPr>
            <w:r w:rsidRPr="00DB7164">
              <w:rPr>
                <w:rFonts w:ascii="Arial" w:hAnsi="Arial" w:cs="Arial"/>
                <w:b/>
                <w:bCs/>
                <w:sz w:val="24"/>
                <w:szCs w:val="24"/>
              </w:rPr>
              <w:t xml:space="preserve">% </w:t>
            </w:r>
            <w:r w:rsidR="00726652">
              <w:rPr>
                <w:rFonts w:ascii="Arial" w:hAnsi="Arial" w:cs="Arial"/>
                <w:b/>
                <w:bCs/>
                <w:sz w:val="24"/>
                <w:szCs w:val="24"/>
              </w:rPr>
              <w:t xml:space="preserve">Constant </w:t>
            </w:r>
            <w:r w:rsidR="002F1ABE">
              <w:rPr>
                <w:rFonts w:ascii="Arial" w:hAnsi="Arial" w:cs="Arial"/>
                <w:b/>
                <w:bCs/>
                <w:sz w:val="24"/>
                <w:szCs w:val="24"/>
              </w:rPr>
              <w:t>C</w:t>
            </w:r>
            <w:r w:rsidR="00726652">
              <w:rPr>
                <w:rFonts w:ascii="Arial" w:hAnsi="Arial" w:cs="Arial"/>
                <w:b/>
                <w:bCs/>
                <w:sz w:val="24"/>
                <w:szCs w:val="24"/>
              </w:rPr>
              <w:t xml:space="preserve">urrency </w:t>
            </w:r>
            <w:r w:rsidR="002F1ABE">
              <w:rPr>
                <w:rFonts w:ascii="Arial" w:hAnsi="Arial" w:cs="Arial"/>
                <w:b/>
                <w:bCs/>
                <w:sz w:val="24"/>
                <w:szCs w:val="24"/>
              </w:rPr>
              <w:t xml:space="preserve">Change </w:t>
            </w:r>
          </w:p>
          <w:p w:rsidR="00726652" w:rsidRPr="00DB7164" w:rsidRDefault="00726652">
            <w:pPr>
              <w:jc w:val="right"/>
              <w:rPr>
                <w:rFonts w:ascii="Arial" w:hAnsi="Arial" w:cs="Arial"/>
                <w:b/>
                <w:bCs/>
                <w:sz w:val="24"/>
                <w:szCs w:val="24"/>
              </w:rPr>
            </w:pPr>
            <w:r>
              <w:rPr>
                <w:rFonts w:ascii="Arial" w:hAnsi="Arial" w:cs="Arial"/>
                <w:b/>
                <w:bCs/>
                <w:sz w:val="24"/>
                <w:szCs w:val="24"/>
              </w:rPr>
              <w:t>52 week basis</w:t>
            </w:r>
            <w:r w:rsidRPr="00EC015F">
              <w:rPr>
                <w:rFonts w:ascii="Arial" w:hAnsi="Arial" w:cs="Arial"/>
                <w:b/>
                <w:bCs/>
                <w:i/>
                <w:sz w:val="24"/>
                <w:szCs w:val="24"/>
                <w:vertAlign w:val="superscript"/>
              </w:rPr>
              <w:t>(1)</w:t>
            </w:r>
          </w:p>
        </w:tc>
        <w:tc>
          <w:tcPr>
            <w:tcW w:w="616" w:type="pct"/>
          </w:tcPr>
          <w:p w:rsidR="001B3B55" w:rsidRPr="00DB7164" w:rsidRDefault="001B3B55" w:rsidP="001B3B55">
            <w:pPr>
              <w:ind w:hanging="108"/>
              <w:jc w:val="right"/>
              <w:rPr>
                <w:rFonts w:ascii="Arial" w:hAnsi="Arial" w:cs="Arial"/>
                <w:b/>
                <w:bCs/>
                <w:sz w:val="24"/>
                <w:szCs w:val="24"/>
              </w:rPr>
            </w:pPr>
            <w:r w:rsidRPr="00DB7164">
              <w:rPr>
                <w:rFonts w:ascii="Arial" w:hAnsi="Arial" w:cs="Arial"/>
                <w:b/>
                <w:bCs/>
                <w:sz w:val="24"/>
                <w:szCs w:val="24"/>
              </w:rPr>
              <w:t>% LFL</w:t>
            </w:r>
          </w:p>
          <w:p w:rsidR="001B3B55" w:rsidRPr="00DB7164" w:rsidRDefault="001B3B55" w:rsidP="001B3B55">
            <w:pPr>
              <w:ind w:hanging="108"/>
              <w:jc w:val="right"/>
              <w:rPr>
                <w:rFonts w:ascii="Arial" w:hAnsi="Arial" w:cs="Arial"/>
                <w:b/>
                <w:bCs/>
                <w:sz w:val="24"/>
                <w:szCs w:val="24"/>
              </w:rPr>
            </w:pPr>
            <w:r w:rsidRPr="00DB7164">
              <w:rPr>
                <w:rFonts w:ascii="Arial" w:hAnsi="Arial" w:cs="Arial"/>
                <w:b/>
                <w:bCs/>
                <w:sz w:val="24"/>
                <w:szCs w:val="24"/>
              </w:rPr>
              <w:t>Change</w:t>
            </w:r>
          </w:p>
        </w:tc>
      </w:tr>
      <w:tr w:rsidR="00DB7164" w:rsidRPr="00DB7164" w:rsidTr="001B3B55">
        <w:trPr>
          <w:trHeight w:val="147"/>
        </w:trPr>
        <w:tc>
          <w:tcPr>
            <w:tcW w:w="1189" w:type="pct"/>
          </w:tcPr>
          <w:p w:rsidR="001B3B55" w:rsidRPr="00DB7164" w:rsidRDefault="001B3B55" w:rsidP="001B3B55">
            <w:pPr>
              <w:rPr>
                <w:rFonts w:ascii="Arial" w:hAnsi="Arial" w:cs="Arial"/>
                <w:sz w:val="24"/>
                <w:szCs w:val="24"/>
              </w:rPr>
            </w:pPr>
            <w:r w:rsidRPr="00DB7164">
              <w:rPr>
                <w:rFonts w:ascii="Arial" w:hAnsi="Arial" w:cs="Arial"/>
                <w:sz w:val="24"/>
                <w:szCs w:val="24"/>
              </w:rPr>
              <w:t>UK &amp; Ireland</w:t>
            </w:r>
          </w:p>
        </w:tc>
        <w:tc>
          <w:tcPr>
            <w:tcW w:w="669" w:type="pct"/>
          </w:tcPr>
          <w:p w:rsidR="001B3B55" w:rsidRPr="00DB7164" w:rsidRDefault="00DB7164">
            <w:pPr>
              <w:jc w:val="right"/>
              <w:rPr>
                <w:rFonts w:ascii="Arial" w:hAnsi="Arial" w:cs="Arial"/>
                <w:sz w:val="24"/>
                <w:szCs w:val="24"/>
              </w:rPr>
            </w:pPr>
            <w:r w:rsidRPr="0006717E">
              <w:rPr>
                <w:rFonts w:ascii="Arial" w:hAnsi="Arial" w:cs="Arial"/>
                <w:sz w:val="24"/>
                <w:szCs w:val="24"/>
              </w:rPr>
              <w:t>4,31</w:t>
            </w:r>
            <w:r w:rsidR="002F1ABE">
              <w:rPr>
                <w:rFonts w:ascii="Arial" w:hAnsi="Arial" w:cs="Arial"/>
                <w:sz w:val="24"/>
                <w:szCs w:val="24"/>
              </w:rPr>
              <w:t>6</w:t>
            </w:r>
          </w:p>
        </w:tc>
        <w:tc>
          <w:tcPr>
            <w:tcW w:w="817" w:type="pct"/>
          </w:tcPr>
          <w:p w:rsidR="001B3B55" w:rsidRPr="0006717E" w:rsidRDefault="00DB7164" w:rsidP="001B3B55">
            <w:pPr>
              <w:jc w:val="right"/>
              <w:rPr>
                <w:rFonts w:ascii="Arial" w:hAnsi="Arial" w:cs="Arial"/>
                <w:sz w:val="24"/>
                <w:szCs w:val="24"/>
              </w:rPr>
            </w:pPr>
            <w:r w:rsidRPr="0006717E">
              <w:rPr>
                <w:rFonts w:ascii="Arial" w:hAnsi="Arial" w:cs="Arial"/>
                <w:sz w:val="24"/>
                <w:szCs w:val="24"/>
              </w:rPr>
              <w:t>4,338</w:t>
            </w:r>
          </w:p>
        </w:tc>
        <w:tc>
          <w:tcPr>
            <w:tcW w:w="819" w:type="pct"/>
          </w:tcPr>
          <w:p w:rsidR="001B3B55" w:rsidRPr="00DB7164" w:rsidRDefault="007314FB">
            <w:pPr>
              <w:jc w:val="right"/>
              <w:rPr>
                <w:rFonts w:ascii="Arial" w:hAnsi="Arial" w:cs="Arial"/>
                <w:sz w:val="24"/>
                <w:szCs w:val="24"/>
              </w:rPr>
            </w:pPr>
            <w:r>
              <w:rPr>
                <w:rFonts w:ascii="Arial" w:hAnsi="Arial" w:cs="Arial"/>
                <w:sz w:val="24"/>
                <w:szCs w:val="24"/>
              </w:rPr>
              <w:t>(0.</w:t>
            </w:r>
            <w:r w:rsidR="002F1ABE">
              <w:rPr>
                <w:rFonts w:ascii="Arial" w:hAnsi="Arial" w:cs="Arial"/>
                <w:sz w:val="24"/>
                <w:szCs w:val="24"/>
              </w:rPr>
              <w:t>5</w:t>
            </w:r>
            <w:r w:rsidR="00DB7164" w:rsidRPr="0006717E">
              <w:rPr>
                <w:rFonts w:ascii="Arial" w:hAnsi="Arial" w:cs="Arial"/>
                <w:sz w:val="24"/>
                <w:szCs w:val="24"/>
              </w:rPr>
              <w:t>)%</w:t>
            </w:r>
          </w:p>
        </w:tc>
        <w:tc>
          <w:tcPr>
            <w:tcW w:w="890" w:type="pct"/>
          </w:tcPr>
          <w:p w:rsidR="001B3B55" w:rsidRPr="00DB7164" w:rsidRDefault="007314FB" w:rsidP="001B3B55">
            <w:pPr>
              <w:jc w:val="right"/>
              <w:rPr>
                <w:rFonts w:ascii="Arial" w:hAnsi="Arial" w:cs="Arial"/>
                <w:sz w:val="24"/>
                <w:szCs w:val="24"/>
              </w:rPr>
            </w:pPr>
            <w:r>
              <w:rPr>
                <w:rFonts w:ascii="Arial" w:hAnsi="Arial" w:cs="Arial"/>
                <w:sz w:val="24"/>
                <w:szCs w:val="24"/>
              </w:rPr>
              <w:t>(</w:t>
            </w:r>
            <w:r w:rsidR="00726652">
              <w:rPr>
                <w:rFonts w:ascii="Arial" w:hAnsi="Arial" w:cs="Arial"/>
                <w:sz w:val="24"/>
                <w:szCs w:val="24"/>
              </w:rPr>
              <w:t>2.0</w:t>
            </w:r>
            <w:r w:rsidR="00DB7164" w:rsidRPr="0006717E">
              <w:rPr>
                <w:rFonts w:ascii="Arial" w:hAnsi="Arial" w:cs="Arial"/>
                <w:sz w:val="24"/>
                <w:szCs w:val="24"/>
              </w:rPr>
              <w:t>)%</w:t>
            </w:r>
          </w:p>
        </w:tc>
        <w:tc>
          <w:tcPr>
            <w:tcW w:w="616" w:type="pct"/>
          </w:tcPr>
          <w:p w:rsidR="001B3B55" w:rsidRPr="00DB7164" w:rsidRDefault="00DB7164" w:rsidP="001B3B55">
            <w:pPr>
              <w:jc w:val="right"/>
              <w:rPr>
                <w:rFonts w:ascii="Arial" w:hAnsi="Arial" w:cs="Arial"/>
                <w:sz w:val="24"/>
                <w:szCs w:val="24"/>
              </w:rPr>
            </w:pPr>
            <w:r w:rsidRPr="0006717E">
              <w:rPr>
                <w:rFonts w:ascii="Arial" w:hAnsi="Arial" w:cs="Arial"/>
                <w:sz w:val="24"/>
                <w:szCs w:val="24"/>
              </w:rPr>
              <w:t>(5.2%)</w:t>
            </w:r>
          </w:p>
        </w:tc>
      </w:tr>
    </w:tbl>
    <w:p w:rsidR="001B3B55" w:rsidRPr="0006717E" w:rsidRDefault="001B3B55" w:rsidP="001B3B55">
      <w:pPr>
        <w:rPr>
          <w:rFonts w:ascii="Arial" w:hAnsi="Arial" w:cs="Arial"/>
          <w:b/>
          <w:bCs/>
          <w:sz w:val="24"/>
          <w:szCs w:val="24"/>
        </w:rPr>
      </w:pPr>
    </w:p>
    <w:tbl>
      <w:tblPr>
        <w:tblW w:w="4243" w:type="pct"/>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68"/>
        <w:gridCol w:w="1279"/>
        <w:gridCol w:w="1558"/>
        <w:gridCol w:w="1554"/>
        <w:gridCol w:w="1706"/>
      </w:tblGrid>
      <w:tr w:rsidR="00DB7164" w:rsidRPr="00DB7164" w:rsidTr="001B3B55">
        <w:tc>
          <w:tcPr>
            <w:tcW w:w="1355" w:type="pct"/>
            <w:tcBorders>
              <w:top w:val="single" w:sz="4" w:space="0" w:color="auto"/>
            </w:tcBorders>
          </w:tcPr>
          <w:p w:rsidR="001B3B55" w:rsidRPr="00DB7164" w:rsidRDefault="001B3B55" w:rsidP="001B3B55">
            <w:pPr>
              <w:rPr>
                <w:rFonts w:ascii="Arial" w:hAnsi="Arial" w:cs="Arial"/>
                <w:b/>
                <w:bCs/>
                <w:sz w:val="24"/>
                <w:szCs w:val="24"/>
              </w:rPr>
            </w:pPr>
            <w:r w:rsidRPr="00DB7164">
              <w:rPr>
                <w:rFonts w:ascii="Arial" w:hAnsi="Arial" w:cs="Arial"/>
                <w:b/>
                <w:bCs/>
                <w:sz w:val="24"/>
                <w:szCs w:val="24"/>
              </w:rPr>
              <w:t>Retail profit £m</w:t>
            </w:r>
          </w:p>
        </w:tc>
        <w:tc>
          <w:tcPr>
            <w:tcW w:w="764" w:type="pct"/>
            <w:tcBorders>
              <w:top w:val="single" w:sz="4" w:space="0" w:color="auto"/>
            </w:tcBorders>
          </w:tcPr>
          <w:p w:rsidR="001B3B55" w:rsidRPr="00DB7164" w:rsidRDefault="006B7548" w:rsidP="001B3B55">
            <w:pPr>
              <w:jc w:val="right"/>
              <w:rPr>
                <w:rFonts w:ascii="Arial" w:hAnsi="Arial" w:cs="Arial"/>
                <w:b/>
                <w:bCs/>
                <w:sz w:val="24"/>
                <w:szCs w:val="24"/>
              </w:rPr>
            </w:pPr>
            <w:r w:rsidRPr="00DB7164">
              <w:rPr>
                <w:rFonts w:ascii="Arial" w:hAnsi="Arial" w:cs="Arial"/>
                <w:b/>
                <w:bCs/>
                <w:sz w:val="24"/>
                <w:szCs w:val="24"/>
              </w:rPr>
              <w:t>2012/13</w:t>
            </w:r>
          </w:p>
        </w:tc>
        <w:tc>
          <w:tcPr>
            <w:tcW w:w="931" w:type="pct"/>
            <w:tcBorders>
              <w:top w:val="single" w:sz="4" w:space="0" w:color="auto"/>
            </w:tcBorders>
          </w:tcPr>
          <w:p w:rsidR="001B3B55" w:rsidRPr="00DB7164" w:rsidRDefault="001B3B55" w:rsidP="001B3B55">
            <w:pPr>
              <w:jc w:val="right"/>
              <w:rPr>
                <w:rFonts w:ascii="Arial" w:hAnsi="Arial" w:cs="Arial"/>
                <w:b/>
                <w:bCs/>
                <w:sz w:val="24"/>
                <w:szCs w:val="24"/>
              </w:rPr>
            </w:pPr>
            <w:r w:rsidRPr="00DB7164">
              <w:rPr>
                <w:rFonts w:ascii="Arial" w:hAnsi="Arial" w:cs="Arial"/>
                <w:b/>
                <w:bCs/>
                <w:sz w:val="24"/>
                <w:szCs w:val="24"/>
              </w:rPr>
              <w:t>2011/12</w:t>
            </w:r>
          </w:p>
        </w:tc>
        <w:tc>
          <w:tcPr>
            <w:tcW w:w="929" w:type="pct"/>
            <w:tcBorders>
              <w:top w:val="single" w:sz="4" w:space="0" w:color="auto"/>
            </w:tcBorders>
          </w:tcPr>
          <w:p w:rsidR="001B3B55" w:rsidRPr="00DB7164" w:rsidRDefault="001B3B55" w:rsidP="001B3B55">
            <w:pPr>
              <w:jc w:val="right"/>
              <w:rPr>
                <w:rFonts w:ascii="Arial" w:hAnsi="Arial" w:cs="Arial"/>
                <w:b/>
                <w:bCs/>
                <w:sz w:val="24"/>
                <w:szCs w:val="24"/>
              </w:rPr>
            </w:pPr>
            <w:r w:rsidRPr="00DB7164">
              <w:rPr>
                <w:rFonts w:ascii="Arial" w:hAnsi="Arial" w:cs="Arial"/>
                <w:b/>
                <w:bCs/>
                <w:sz w:val="24"/>
                <w:szCs w:val="24"/>
              </w:rPr>
              <w:t>% Reported Change</w:t>
            </w:r>
          </w:p>
        </w:tc>
        <w:tc>
          <w:tcPr>
            <w:tcW w:w="1020" w:type="pct"/>
            <w:tcBorders>
              <w:top w:val="single" w:sz="4" w:space="0" w:color="auto"/>
            </w:tcBorders>
          </w:tcPr>
          <w:p w:rsidR="001B3B55" w:rsidRPr="00DB7164" w:rsidRDefault="001B3B55" w:rsidP="001B3B55">
            <w:pPr>
              <w:jc w:val="right"/>
              <w:rPr>
                <w:rFonts w:ascii="Arial" w:hAnsi="Arial" w:cs="Arial"/>
                <w:b/>
                <w:bCs/>
                <w:sz w:val="24"/>
                <w:szCs w:val="24"/>
              </w:rPr>
            </w:pPr>
            <w:r w:rsidRPr="00DB7164">
              <w:rPr>
                <w:rFonts w:ascii="Arial" w:hAnsi="Arial" w:cs="Arial"/>
                <w:b/>
                <w:bCs/>
                <w:sz w:val="24"/>
                <w:szCs w:val="24"/>
              </w:rPr>
              <w:t>% Constant Change</w:t>
            </w:r>
          </w:p>
        </w:tc>
      </w:tr>
      <w:tr w:rsidR="00DB7164" w:rsidRPr="00DB7164" w:rsidTr="001B3B55">
        <w:tc>
          <w:tcPr>
            <w:tcW w:w="1355" w:type="pct"/>
            <w:tcBorders>
              <w:bottom w:val="single" w:sz="4" w:space="0" w:color="auto"/>
            </w:tcBorders>
          </w:tcPr>
          <w:p w:rsidR="001B3B55" w:rsidRPr="00DB7164" w:rsidRDefault="001B3B55" w:rsidP="001B3B55">
            <w:pPr>
              <w:rPr>
                <w:rFonts w:ascii="Arial" w:hAnsi="Arial" w:cs="Arial"/>
                <w:sz w:val="24"/>
                <w:szCs w:val="24"/>
              </w:rPr>
            </w:pPr>
            <w:r w:rsidRPr="00DB7164">
              <w:rPr>
                <w:rFonts w:ascii="Arial" w:hAnsi="Arial" w:cs="Arial"/>
                <w:sz w:val="24"/>
                <w:szCs w:val="24"/>
              </w:rPr>
              <w:t>UK &amp; Ireland</w:t>
            </w:r>
          </w:p>
        </w:tc>
        <w:tc>
          <w:tcPr>
            <w:tcW w:w="764" w:type="pct"/>
            <w:tcBorders>
              <w:bottom w:val="single" w:sz="4" w:space="0" w:color="auto"/>
            </w:tcBorders>
          </w:tcPr>
          <w:p w:rsidR="001B3B55" w:rsidRPr="00DB7164" w:rsidRDefault="00DB7164" w:rsidP="001B3B55">
            <w:pPr>
              <w:jc w:val="right"/>
              <w:rPr>
                <w:rFonts w:ascii="Arial" w:hAnsi="Arial" w:cs="Arial"/>
                <w:sz w:val="24"/>
                <w:szCs w:val="24"/>
              </w:rPr>
            </w:pPr>
            <w:r w:rsidRPr="0006717E">
              <w:rPr>
                <w:rFonts w:ascii="Arial" w:hAnsi="Arial" w:cs="Arial"/>
                <w:sz w:val="24"/>
                <w:szCs w:val="24"/>
              </w:rPr>
              <w:t>234</w:t>
            </w:r>
          </w:p>
        </w:tc>
        <w:tc>
          <w:tcPr>
            <w:tcW w:w="931" w:type="pct"/>
            <w:tcBorders>
              <w:bottom w:val="single" w:sz="4" w:space="0" w:color="auto"/>
            </w:tcBorders>
          </w:tcPr>
          <w:p w:rsidR="001B3B55" w:rsidRPr="00DB7164" w:rsidRDefault="00DB7164" w:rsidP="001B3B55">
            <w:pPr>
              <w:jc w:val="right"/>
              <w:rPr>
                <w:rFonts w:ascii="Arial" w:hAnsi="Arial" w:cs="Arial"/>
                <w:sz w:val="24"/>
                <w:szCs w:val="24"/>
              </w:rPr>
            </w:pPr>
            <w:r w:rsidRPr="0006717E">
              <w:rPr>
                <w:rFonts w:ascii="Arial" w:hAnsi="Arial" w:cs="Arial"/>
                <w:sz w:val="24"/>
                <w:szCs w:val="24"/>
              </w:rPr>
              <w:t>271</w:t>
            </w:r>
          </w:p>
        </w:tc>
        <w:tc>
          <w:tcPr>
            <w:tcW w:w="929" w:type="pct"/>
            <w:tcBorders>
              <w:bottom w:val="single" w:sz="4" w:space="0" w:color="auto"/>
            </w:tcBorders>
          </w:tcPr>
          <w:p w:rsidR="001B3B55" w:rsidRPr="00DB7164" w:rsidRDefault="00DB7164" w:rsidP="001B3B55">
            <w:pPr>
              <w:jc w:val="right"/>
              <w:rPr>
                <w:rFonts w:ascii="Arial" w:hAnsi="Arial" w:cs="Arial"/>
                <w:sz w:val="24"/>
                <w:szCs w:val="24"/>
              </w:rPr>
            </w:pPr>
            <w:r w:rsidRPr="0006717E">
              <w:rPr>
                <w:rFonts w:ascii="Arial" w:hAnsi="Arial" w:cs="Arial"/>
                <w:sz w:val="24"/>
                <w:szCs w:val="24"/>
              </w:rPr>
              <w:t>(13.7)%</w:t>
            </w:r>
          </w:p>
        </w:tc>
        <w:tc>
          <w:tcPr>
            <w:tcW w:w="1020" w:type="pct"/>
            <w:tcBorders>
              <w:bottom w:val="single" w:sz="4" w:space="0" w:color="auto"/>
            </w:tcBorders>
          </w:tcPr>
          <w:p w:rsidR="001B3B55" w:rsidRPr="00DB7164" w:rsidRDefault="00DB7164" w:rsidP="001B3B55">
            <w:pPr>
              <w:jc w:val="right"/>
              <w:rPr>
                <w:rFonts w:ascii="Arial" w:hAnsi="Arial" w:cs="Arial"/>
                <w:sz w:val="24"/>
                <w:szCs w:val="24"/>
              </w:rPr>
            </w:pPr>
            <w:r w:rsidRPr="0006717E">
              <w:rPr>
                <w:rFonts w:ascii="Arial" w:hAnsi="Arial" w:cs="Arial"/>
                <w:sz w:val="24"/>
                <w:szCs w:val="24"/>
              </w:rPr>
              <w:t>(13.8)%</w:t>
            </w:r>
          </w:p>
        </w:tc>
      </w:tr>
    </w:tbl>
    <w:p w:rsidR="003F2937" w:rsidRPr="00DB7164" w:rsidRDefault="003F2937" w:rsidP="001B3B55">
      <w:pPr>
        <w:jc w:val="left"/>
        <w:rPr>
          <w:rFonts w:ascii="Arial" w:hAnsi="Arial" w:cs="Arial"/>
          <w:i/>
          <w:iCs/>
          <w:sz w:val="24"/>
          <w:szCs w:val="24"/>
          <w:highlight w:val="magenta"/>
        </w:rPr>
      </w:pPr>
    </w:p>
    <w:p w:rsidR="001B3B55" w:rsidRDefault="001B3B55" w:rsidP="001B3B55">
      <w:pPr>
        <w:jc w:val="left"/>
        <w:rPr>
          <w:rFonts w:ascii="Arial" w:hAnsi="Arial" w:cs="Arial"/>
          <w:i/>
          <w:iCs/>
          <w:sz w:val="18"/>
          <w:szCs w:val="18"/>
        </w:rPr>
      </w:pPr>
      <w:r w:rsidRPr="00DB7164">
        <w:rPr>
          <w:rFonts w:ascii="Arial" w:hAnsi="Arial" w:cs="Arial"/>
          <w:i/>
          <w:iCs/>
          <w:sz w:val="18"/>
          <w:szCs w:val="18"/>
        </w:rPr>
        <w:t xml:space="preserve">UK &amp; Ireland includes B&amp;Q in the UK &amp; Ireland and </w:t>
      </w:r>
      <w:proofErr w:type="spellStart"/>
      <w:r w:rsidRPr="00DB7164">
        <w:rPr>
          <w:rFonts w:ascii="Arial" w:hAnsi="Arial" w:cs="Arial"/>
          <w:i/>
          <w:iCs/>
          <w:sz w:val="18"/>
          <w:szCs w:val="18"/>
        </w:rPr>
        <w:t>Screwfix</w:t>
      </w:r>
      <w:proofErr w:type="spellEnd"/>
      <w:r w:rsidR="002E1699">
        <w:rPr>
          <w:rFonts w:ascii="Arial" w:hAnsi="Arial" w:cs="Arial"/>
          <w:i/>
          <w:iCs/>
          <w:sz w:val="18"/>
          <w:szCs w:val="18"/>
        </w:rPr>
        <w:t xml:space="preserve"> in the UK</w:t>
      </w:r>
    </w:p>
    <w:p w:rsidR="002F1ABE" w:rsidRDefault="00726652" w:rsidP="00726652">
      <w:pPr>
        <w:tabs>
          <w:tab w:val="left" w:pos="357"/>
        </w:tabs>
        <w:ind w:right="-282"/>
        <w:jc w:val="left"/>
        <w:rPr>
          <w:rFonts w:ascii="Arial" w:hAnsi="Arial" w:cs="Arial"/>
          <w:i/>
          <w:iCs/>
          <w:sz w:val="18"/>
          <w:szCs w:val="18"/>
        </w:rPr>
      </w:pPr>
      <w:r w:rsidRPr="00725805">
        <w:rPr>
          <w:rFonts w:ascii="Arial" w:hAnsi="Arial" w:cs="Arial"/>
          <w:i/>
          <w:iCs/>
          <w:sz w:val="18"/>
          <w:szCs w:val="18"/>
          <w:vertAlign w:val="superscript"/>
        </w:rPr>
        <w:t>(1)</w:t>
      </w:r>
      <w:proofErr w:type="gramStart"/>
      <w:r>
        <w:rPr>
          <w:rFonts w:ascii="Arial" w:hAnsi="Arial" w:cs="Arial"/>
          <w:i/>
          <w:iCs/>
          <w:sz w:val="18"/>
          <w:szCs w:val="18"/>
        </w:rPr>
        <w:t>In the UK &amp; Ireland Kingfisher reports each financial year up to the nearest Saturday to 31 January.</w:t>
      </w:r>
      <w:proofErr w:type="gramEnd"/>
      <w:r>
        <w:rPr>
          <w:rFonts w:ascii="Arial" w:hAnsi="Arial" w:cs="Arial"/>
          <w:i/>
          <w:iCs/>
          <w:sz w:val="18"/>
          <w:szCs w:val="18"/>
        </w:rPr>
        <w:t xml:space="preserve"> This year this has resulted in a 53 week year. </w:t>
      </w:r>
    </w:p>
    <w:p w:rsidR="001B3B55" w:rsidRPr="00DB7164" w:rsidRDefault="001B3B55" w:rsidP="001B3B55">
      <w:pPr>
        <w:jc w:val="left"/>
        <w:rPr>
          <w:rFonts w:ascii="Arial" w:hAnsi="Arial" w:cs="Arial"/>
          <w:b/>
          <w:bCs/>
          <w:i/>
          <w:iCs/>
          <w:sz w:val="18"/>
          <w:szCs w:val="18"/>
          <w:highlight w:val="magenta"/>
        </w:rPr>
      </w:pPr>
      <w:r w:rsidRPr="00DB7164">
        <w:rPr>
          <w:rFonts w:ascii="Arial" w:hAnsi="Arial" w:cs="Arial"/>
          <w:b/>
          <w:bCs/>
          <w:i/>
          <w:iCs/>
          <w:sz w:val="18"/>
          <w:szCs w:val="18"/>
        </w:rPr>
        <w:t>All trading commentary below is in constant currencies</w:t>
      </w:r>
      <w:r w:rsidR="009E22B9">
        <w:rPr>
          <w:rFonts w:ascii="Arial" w:hAnsi="Arial" w:cs="Arial"/>
          <w:b/>
          <w:bCs/>
          <w:i/>
          <w:iCs/>
          <w:sz w:val="18"/>
          <w:szCs w:val="18"/>
        </w:rPr>
        <w:t xml:space="preserve"> and % movements on a 52 week basis. </w:t>
      </w:r>
    </w:p>
    <w:p w:rsidR="001B3B55" w:rsidRPr="007D220F" w:rsidRDefault="001B3B55" w:rsidP="001B3B55">
      <w:pPr>
        <w:jc w:val="left"/>
        <w:rPr>
          <w:rFonts w:ascii="Arial" w:hAnsi="Arial" w:cs="Arial"/>
          <w:sz w:val="24"/>
          <w:szCs w:val="24"/>
          <w:highlight w:val="magenta"/>
        </w:rPr>
      </w:pPr>
    </w:p>
    <w:p w:rsidR="001B3B55" w:rsidRPr="00590201" w:rsidRDefault="001B3B55" w:rsidP="001B3B55">
      <w:pPr>
        <w:jc w:val="left"/>
        <w:rPr>
          <w:rFonts w:ascii="Arial" w:hAnsi="Arial" w:cs="Arial"/>
          <w:b/>
          <w:bCs/>
          <w:sz w:val="24"/>
          <w:szCs w:val="24"/>
        </w:rPr>
      </w:pPr>
      <w:r w:rsidRPr="00590201">
        <w:rPr>
          <w:rFonts w:ascii="Arial" w:hAnsi="Arial" w:cs="Arial"/>
          <w:b/>
          <w:bCs/>
          <w:sz w:val="24"/>
          <w:szCs w:val="24"/>
        </w:rPr>
        <w:t>Kingfisher UK &amp; Ireland</w:t>
      </w:r>
    </w:p>
    <w:p w:rsidR="008E6C24" w:rsidRPr="00EF460B" w:rsidRDefault="008D2913" w:rsidP="008E6C24">
      <w:pPr>
        <w:jc w:val="left"/>
        <w:rPr>
          <w:rFonts w:ascii="Arial" w:hAnsi="Arial" w:cs="Arial"/>
          <w:sz w:val="24"/>
          <w:szCs w:val="24"/>
        </w:rPr>
      </w:pPr>
      <w:r w:rsidRPr="0006717E">
        <w:rPr>
          <w:rFonts w:ascii="Arial" w:hAnsi="Arial" w:cs="Arial"/>
          <w:sz w:val="24"/>
          <w:szCs w:val="24"/>
        </w:rPr>
        <w:t>Kingfisher UK &amp; Ireland t</w:t>
      </w:r>
      <w:r w:rsidR="001B3B55" w:rsidRPr="0006717E">
        <w:rPr>
          <w:rFonts w:ascii="Arial" w:hAnsi="Arial" w:cs="Arial"/>
          <w:sz w:val="24"/>
          <w:szCs w:val="24"/>
        </w:rPr>
        <w:t xml:space="preserve">otal sales were down </w:t>
      </w:r>
      <w:r w:rsidR="006329B5">
        <w:rPr>
          <w:rFonts w:ascii="Arial" w:hAnsi="Arial" w:cs="Arial"/>
          <w:sz w:val="24"/>
          <w:szCs w:val="24"/>
        </w:rPr>
        <w:t>2.0</w:t>
      </w:r>
      <w:r w:rsidR="001B3B55" w:rsidRPr="0006717E">
        <w:rPr>
          <w:rFonts w:ascii="Arial" w:hAnsi="Arial" w:cs="Arial"/>
          <w:sz w:val="24"/>
          <w:szCs w:val="24"/>
        </w:rPr>
        <w:t>% to £</w:t>
      </w:r>
      <w:r w:rsidR="006329B5">
        <w:rPr>
          <w:rFonts w:ascii="Arial" w:hAnsi="Arial" w:cs="Arial"/>
          <w:sz w:val="24"/>
          <w:szCs w:val="24"/>
        </w:rPr>
        <w:t>4</w:t>
      </w:r>
      <w:r w:rsidR="001B3B55" w:rsidRPr="0006717E">
        <w:rPr>
          <w:rFonts w:ascii="Arial" w:hAnsi="Arial" w:cs="Arial"/>
          <w:sz w:val="24"/>
          <w:szCs w:val="24"/>
        </w:rPr>
        <w:t>.3 billion (-</w:t>
      </w:r>
      <w:r w:rsidR="007347F0" w:rsidRPr="0006717E">
        <w:rPr>
          <w:rFonts w:ascii="Arial" w:hAnsi="Arial" w:cs="Arial"/>
          <w:sz w:val="24"/>
          <w:szCs w:val="24"/>
        </w:rPr>
        <w:t>5</w:t>
      </w:r>
      <w:r w:rsidR="001B3B55" w:rsidRPr="0006717E">
        <w:rPr>
          <w:rFonts w:ascii="Arial" w:hAnsi="Arial" w:cs="Arial"/>
          <w:sz w:val="24"/>
          <w:szCs w:val="24"/>
        </w:rPr>
        <w:t>.</w:t>
      </w:r>
      <w:r w:rsidR="006329B5">
        <w:rPr>
          <w:rFonts w:ascii="Arial" w:hAnsi="Arial" w:cs="Arial"/>
          <w:sz w:val="24"/>
          <w:szCs w:val="24"/>
        </w:rPr>
        <w:t>2</w:t>
      </w:r>
      <w:r w:rsidR="001B3B55" w:rsidRPr="0006717E">
        <w:rPr>
          <w:rFonts w:ascii="Arial" w:hAnsi="Arial" w:cs="Arial"/>
          <w:sz w:val="24"/>
          <w:szCs w:val="24"/>
        </w:rPr>
        <w:t>% LFL)</w:t>
      </w:r>
      <w:r w:rsidR="00070D5F">
        <w:rPr>
          <w:rFonts w:ascii="Arial" w:hAnsi="Arial" w:cs="Arial"/>
          <w:sz w:val="24"/>
          <w:szCs w:val="24"/>
        </w:rPr>
        <w:t xml:space="preserve"> in a declining market impacted by weak consumer confidence and record adverse summer weather</w:t>
      </w:r>
      <w:r w:rsidR="008F5AA6">
        <w:rPr>
          <w:rFonts w:ascii="Arial" w:hAnsi="Arial" w:cs="Arial"/>
          <w:sz w:val="24"/>
          <w:szCs w:val="24"/>
        </w:rPr>
        <w:t>.</w:t>
      </w:r>
      <w:r w:rsidR="001B3B55" w:rsidRPr="0006717E">
        <w:rPr>
          <w:rFonts w:ascii="Arial" w:hAnsi="Arial" w:cs="Arial"/>
          <w:sz w:val="24"/>
          <w:szCs w:val="24"/>
        </w:rPr>
        <w:t xml:space="preserve"> </w:t>
      </w:r>
      <w:proofErr w:type="gramStart"/>
      <w:r w:rsidR="008E6C24" w:rsidRPr="0006717E">
        <w:rPr>
          <w:rFonts w:ascii="Arial" w:hAnsi="Arial" w:cs="Arial"/>
          <w:sz w:val="24"/>
          <w:szCs w:val="24"/>
        </w:rPr>
        <w:t xml:space="preserve">Retail profit declined by </w:t>
      </w:r>
      <w:r w:rsidR="00510126">
        <w:rPr>
          <w:rFonts w:ascii="Arial" w:hAnsi="Arial" w:cs="Arial"/>
          <w:sz w:val="24"/>
          <w:szCs w:val="24"/>
        </w:rPr>
        <w:t>13.8</w:t>
      </w:r>
      <w:r w:rsidR="008E6C24" w:rsidRPr="0006717E">
        <w:rPr>
          <w:rFonts w:ascii="Arial" w:hAnsi="Arial" w:cs="Arial"/>
          <w:sz w:val="24"/>
          <w:szCs w:val="24"/>
        </w:rPr>
        <w:t>% to £</w:t>
      </w:r>
      <w:r w:rsidR="00510126">
        <w:rPr>
          <w:rFonts w:ascii="Arial" w:hAnsi="Arial" w:cs="Arial"/>
          <w:sz w:val="24"/>
          <w:szCs w:val="24"/>
        </w:rPr>
        <w:t>234</w:t>
      </w:r>
      <w:r w:rsidR="008E6C24" w:rsidRPr="0006717E">
        <w:rPr>
          <w:rFonts w:ascii="Arial" w:hAnsi="Arial" w:cs="Arial"/>
          <w:sz w:val="24"/>
          <w:szCs w:val="24"/>
        </w:rPr>
        <w:t xml:space="preserve"> million</w:t>
      </w:r>
      <w:r w:rsidR="00510126">
        <w:rPr>
          <w:rFonts w:ascii="Arial" w:hAnsi="Arial" w:cs="Arial"/>
          <w:sz w:val="24"/>
          <w:szCs w:val="24"/>
        </w:rPr>
        <w:t>.</w:t>
      </w:r>
      <w:proofErr w:type="gramEnd"/>
      <w:r w:rsidR="00510126">
        <w:rPr>
          <w:rFonts w:ascii="Arial" w:hAnsi="Arial" w:cs="Arial"/>
          <w:sz w:val="24"/>
          <w:szCs w:val="24"/>
        </w:rPr>
        <w:t xml:space="preserve"> </w:t>
      </w:r>
    </w:p>
    <w:p w:rsidR="001B3B55" w:rsidRPr="007D220F" w:rsidRDefault="001B3B55" w:rsidP="001B3B55">
      <w:pPr>
        <w:jc w:val="left"/>
        <w:rPr>
          <w:rFonts w:ascii="Arial" w:hAnsi="Arial" w:cs="Arial"/>
          <w:sz w:val="24"/>
          <w:szCs w:val="24"/>
          <w:highlight w:val="magenta"/>
        </w:rPr>
      </w:pPr>
    </w:p>
    <w:p w:rsidR="008F5AA6" w:rsidRDefault="001B3B55" w:rsidP="001B3B55">
      <w:pPr>
        <w:jc w:val="left"/>
        <w:rPr>
          <w:rFonts w:ascii="Arial" w:hAnsi="Arial" w:cs="Arial"/>
          <w:sz w:val="24"/>
          <w:szCs w:val="24"/>
        </w:rPr>
      </w:pPr>
      <w:r w:rsidRPr="0006717E">
        <w:rPr>
          <w:rFonts w:ascii="Arial" w:hAnsi="Arial" w:cs="Arial"/>
          <w:b/>
          <w:bCs/>
          <w:sz w:val="24"/>
          <w:szCs w:val="24"/>
        </w:rPr>
        <w:t>B&amp;Q UK &amp; Ireland’s</w:t>
      </w:r>
      <w:r w:rsidRPr="0006717E">
        <w:rPr>
          <w:rFonts w:ascii="Arial" w:hAnsi="Arial" w:cs="Arial"/>
          <w:sz w:val="24"/>
          <w:szCs w:val="24"/>
        </w:rPr>
        <w:t xml:space="preserve"> total sales were d</w:t>
      </w:r>
      <w:r w:rsidR="00E14176" w:rsidRPr="0006717E">
        <w:rPr>
          <w:rFonts w:ascii="Arial" w:hAnsi="Arial" w:cs="Arial"/>
          <w:sz w:val="24"/>
          <w:szCs w:val="24"/>
        </w:rPr>
        <w:t>own 3.</w:t>
      </w:r>
      <w:r w:rsidR="00DE3788">
        <w:rPr>
          <w:rFonts w:ascii="Arial" w:hAnsi="Arial" w:cs="Arial"/>
          <w:sz w:val="24"/>
          <w:szCs w:val="24"/>
        </w:rPr>
        <w:t>6</w:t>
      </w:r>
      <w:r w:rsidRPr="0006717E">
        <w:rPr>
          <w:rFonts w:ascii="Arial" w:hAnsi="Arial" w:cs="Arial"/>
          <w:sz w:val="24"/>
          <w:szCs w:val="24"/>
        </w:rPr>
        <w:t>% (-</w:t>
      </w:r>
      <w:r w:rsidR="00DE3788">
        <w:rPr>
          <w:rFonts w:ascii="Arial" w:hAnsi="Arial" w:cs="Arial"/>
          <w:sz w:val="24"/>
          <w:szCs w:val="24"/>
        </w:rPr>
        <w:t>5.6</w:t>
      </w:r>
      <w:r w:rsidRPr="0006717E">
        <w:rPr>
          <w:rFonts w:ascii="Arial" w:hAnsi="Arial" w:cs="Arial"/>
          <w:sz w:val="24"/>
          <w:szCs w:val="24"/>
        </w:rPr>
        <w:t>% LFL) to £</w:t>
      </w:r>
      <w:r w:rsidR="00DE3788">
        <w:rPr>
          <w:rFonts w:ascii="Arial" w:hAnsi="Arial" w:cs="Arial"/>
          <w:sz w:val="24"/>
          <w:szCs w:val="24"/>
        </w:rPr>
        <w:t>3.7</w:t>
      </w:r>
      <w:r w:rsidRPr="0006717E">
        <w:rPr>
          <w:rFonts w:ascii="Arial" w:hAnsi="Arial" w:cs="Arial"/>
          <w:sz w:val="24"/>
          <w:szCs w:val="24"/>
        </w:rPr>
        <w:t xml:space="preserve"> billion</w:t>
      </w:r>
      <w:r w:rsidR="008F5AA6">
        <w:rPr>
          <w:rFonts w:ascii="Arial" w:hAnsi="Arial" w:cs="Arial"/>
          <w:sz w:val="24"/>
          <w:szCs w:val="24"/>
        </w:rPr>
        <w:t xml:space="preserve"> reflecting the </w:t>
      </w:r>
      <w:r w:rsidR="00070D5F">
        <w:rPr>
          <w:rFonts w:ascii="Arial" w:hAnsi="Arial" w:cs="Arial"/>
          <w:sz w:val="24"/>
          <w:szCs w:val="24"/>
        </w:rPr>
        <w:t xml:space="preserve">difficult UK backdrop and </w:t>
      </w:r>
      <w:r w:rsidR="008F5AA6">
        <w:rPr>
          <w:rFonts w:ascii="Arial" w:hAnsi="Arial" w:cs="Arial"/>
          <w:sz w:val="24"/>
          <w:szCs w:val="24"/>
        </w:rPr>
        <w:t>a particularly challenging environment in Ireland</w:t>
      </w:r>
      <w:r w:rsidR="002F1ABE">
        <w:rPr>
          <w:rFonts w:ascii="Arial" w:hAnsi="Arial" w:cs="Arial"/>
          <w:sz w:val="24"/>
          <w:szCs w:val="24"/>
        </w:rPr>
        <w:t>,</w:t>
      </w:r>
      <w:r w:rsidR="008F5AA6">
        <w:rPr>
          <w:rFonts w:ascii="Arial" w:hAnsi="Arial" w:cs="Arial"/>
          <w:sz w:val="24"/>
          <w:szCs w:val="24"/>
        </w:rPr>
        <w:t xml:space="preserve"> where our nine stores </w:t>
      </w:r>
      <w:r w:rsidR="002F1ABE">
        <w:rPr>
          <w:rFonts w:ascii="Arial" w:hAnsi="Arial" w:cs="Arial"/>
          <w:sz w:val="24"/>
          <w:szCs w:val="24"/>
        </w:rPr>
        <w:t xml:space="preserve">incurred losses of £7 million and </w:t>
      </w:r>
      <w:r w:rsidR="008F5AA6">
        <w:rPr>
          <w:rFonts w:ascii="Arial" w:hAnsi="Arial" w:cs="Arial"/>
          <w:sz w:val="24"/>
          <w:szCs w:val="24"/>
        </w:rPr>
        <w:t xml:space="preserve">are now subject to an </w:t>
      </w:r>
      <w:proofErr w:type="spellStart"/>
      <w:r w:rsidR="008F5AA6">
        <w:rPr>
          <w:rFonts w:ascii="Arial" w:hAnsi="Arial" w:cs="Arial"/>
          <w:sz w:val="24"/>
          <w:szCs w:val="24"/>
        </w:rPr>
        <w:t>Examinership</w:t>
      </w:r>
      <w:proofErr w:type="spellEnd"/>
      <w:r w:rsidR="008F5AA6">
        <w:rPr>
          <w:rFonts w:ascii="Arial" w:hAnsi="Arial" w:cs="Arial"/>
          <w:sz w:val="24"/>
          <w:szCs w:val="24"/>
        </w:rPr>
        <w:t xml:space="preserve"> process</w:t>
      </w:r>
      <w:r w:rsidRPr="0006717E">
        <w:rPr>
          <w:rFonts w:ascii="Arial" w:hAnsi="Arial" w:cs="Arial"/>
          <w:sz w:val="24"/>
          <w:szCs w:val="24"/>
        </w:rPr>
        <w:t xml:space="preserve">. </w:t>
      </w:r>
    </w:p>
    <w:p w:rsidR="008F5AA6" w:rsidRDefault="008F5AA6" w:rsidP="001B3B55">
      <w:pPr>
        <w:jc w:val="left"/>
        <w:rPr>
          <w:rFonts w:ascii="Arial" w:hAnsi="Arial" w:cs="Arial"/>
          <w:sz w:val="24"/>
          <w:szCs w:val="24"/>
        </w:rPr>
      </w:pPr>
    </w:p>
    <w:p w:rsidR="00DE3788" w:rsidRDefault="000F4BB3" w:rsidP="001B3B55">
      <w:pPr>
        <w:jc w:val="left"/>
        <w:rPr>
          <w:rFonts w:ascii="Arial" w:hAnsi="Arial" w:cs="Arial"/>
          <w:sz w:val="24"/>
          <w:szCs w:val="24"/>
        </w:rPr>
      </w:pPr>
      <w:r>
        <w:rPr>
          <w:rFonts w:ascii="Arial" w:hAnsi="Arial" w:cs="Arial"/>
          <w:sz w:val="24"/>
          <w:szCs w:val="24"/>
        </w:rPr>
        <w:t>T</w:t>
      </w:r>
      <w:r w:rsidR="00DE3788" w:rsidRPr="00F35C40">
        <w:rPr>
          <w:rFonts w:ascii="Arial" w:hAnsi="Arial" w:cs="Arial"/>
          <w:sz w:val="24"/>
          <w:szCs w:val="24"/>
        </w:rPr>
        <w:t xml:space="preserve">he market </w:t>
      </w:r>
      <w:r w:rsidRPr="00F35C40">
        <w:rPr>
          <w:rFonts w:ascii="Helvetica" w:hAnsi="Helvetica" w:cs="Helvetica"/>
          <w:i/>
          <w:iCs/>
          <w:sz w:val="24"/>
          <w:szCs w:val="24"/>
          <w:vertAlign w:val="superscript"/>
        </w:rPr>
        <w:t>(1)</w:t>
      </w:r>
      <w:r w:rsidRPr="00F35C40">
        <w:rPr>
          <w:rFonts w:ascii="Arial" w:hAnsi="Arial" w:cs="Arial"/>
          <w:sz w:val="24"/>
          <w:szCs w:val="24"/>
        </w:rPr>
        <w:t xml:space="preserve"> </w:t>
      </w:r>
      <w:r w:rsidR="00DE3788" w:rsidRPr="00F35C40">
        <w:rPr>
          <w:rFonts w:ascii="Arial" w:hAnsi="Arial" w:cs="Arial"/>
          <w:sz w:val="24"/>
          <w:szCs w:val="24"/>
        </w:rPr>
        <w:t>for the UK’s leading home improvement retailers</w:t>
      </w:r>
      <w:r w:rsidR="00DE3788">
        <w:rPr>
          <w:rFonts w:ascii="Arial" w:hAnsi="Arial" w:cs="Arial"/>
          <w:sz w:val="24"/>
          <w:szCs w:val="24"/>
        </w:rPr>
        <w:t xml:space="preserve"> </w:t>
      </w:r>
      <w:r w:rsidR="00DE3788" w:rsidRPr="00F35C40">
        <w:rPr>
          <w:rFonts w:ascii="Arial" w:hAnsi="Arial" w:cs="Arial"/>
          <w:sz w:val="24"/>
          <w:szCs w:val="24"/>
        </w:rPr>
        <w:t xml:space="preserve">was down </w:t>
      </w:r>
      <w:r w:rsidR="00DE3788">
        <w:rPr>
          <w:rFonts w:ascii="Arial" w:hAnsi="Arial" w:cs="Arial"/>
          <w:sz w:val="24"/>
          <w:szCs w:val="24"/>
        </w:rPr>
        <w:t>around 3</w:t>
      </w:r>
      <w:r w:rsidR="00DE3788" w:rsidRPr="00F35C40">
        <w:rPr>
          <w:rFonts w:ascii="Arial" w:hAnsi="Arial" w:cs="Arial"/>
          <w:sz w:val="24"/>
          <w:szCs w:val="24"/>
        </w:rPr>
        <w:t>%</w:t>
      </w:r>
      <w:r w:rsidR="00DE3788">
        <w:rPr>
          <w:rFonts w:ascii="Arial" w:hAnsi="Arial" w:cs="Arial"/>
          <w:sz w:val="24"/>
          <w:szCs w:val="24"/>
        </w:rPr>
        <w:t>,</w:t>
      </w:r>
      <w:r w:rsidR="00DE3788" w:rsidRPr="00F35C40">
        <w:rPr>
          <w:rFonts w:ascii="Arial" w:hAnsi="Arial" w:cs="Arial"/>
          <w:sz w:val="24"/>
          <w:szCs w:val="24"/>
        </w:rPr>
        <w:t xml:space="preserve"> including seasonal ranges down </w:t>
      </w:r>
      <w:r w:rsidR="00DE3788">
        <w:rPr>
          <w:rFonts w:ascii="Arial" w:hAnsi="Arial" w:cs="Arial"/>
          <w:sz w:val="24"/>
          <w:szCs w:val="24"/>
        </w:rPr>
        <w:t>9</w:t>
      </w:r>
      <w:r w:rsidR="00DE3788" w:rsidRPr="00F35C40">
        <w:rPr>
          <w:rFonts w:ascii="Arial" w:hAnsi="Arial" w:cs="Arial"/>
          <w:sz w:val="24"/>
          <w:szCs w:val="24"/>
        </w:rPr>
        <w:t>%.</w:t>
      </w:r>
      <w:r w:rsidR="00DE3788">
        <w:rPr>
          <w:rFonts w:ascii="Arial" w:hAnsi="Arial" w:cs="Arial"/>
          <w:sz w:val="24"/>
          <w:szCs w:val="24"/>
        </w:rPr>
        <w:t xml:space="preserve"> On a comparable basis, B&amp;Q outperformed the market, with sales down around 2%. </w:t>
      </w:r>
    </w:p>
    <w:p w:rsidR="00DE3788" w:rsidRDefault="00DE3788" w:rsidP="001B3B55">
      <w:pPr>
        <w:jc w:val="left"/>
        <w:rPr>
          <w:rFonts w:ascii="Arial" w:hAnsi="Arial" w:cs="Arial"/>
          <w:sz w:val="24"/>
          <w:szCs w:val="24"/>
        </w:rPr>
      </w:pPr>
    </w:p>
    <w:p w:rsidR="00DE3788" w:rsidRDefault="001B3B55" w:rsidP="001B3B55">
      <w:pPr>
        <w:jc w:val="left"/>
        <w:rPr>
          <w:rFonts w:ascii="Arial" w:hAnsi="Arial" w:cs="Arial"/>
          <w:sz w:val="24"/>
          <w:szCs w:val="24"/>
        </w:rPr>
      </w:pPr>
      <w:r w:rsidRPr="0006717E">
        <w:rPr>
          <w:rFonts w:ascii="Arial" w:hAnsi="Arial" w:cs="Arial"/>
          <w:sz w:val="24"/>
          <w:szCs w:val="24"/>
        </w:rPr>
        <w:t xml:space="preserve">Sales of outdoor seasonal products were down around </w:t>
      </w:r>
      <w:r w:rsidR="00DE3788">
        <w:rPr>
          <w:rFonts w:ascii="Arial" w:hAnsi="Arial" w:cs="Arial"/>
          <w:sz w:val="24"/>
          <w:szCs w:val="24"/>
        </w:rPr>
        <w:t>9</w:t>
      </w:r>
      <w:r w:rsidRPr="0006717E">
        <w:rPr>
          <w:rFonts w:ascii="Arial" w:hAnsi="Arial" w:cs="Arial"/>
          <w:sz w:val="24"/>
          <w:szCs w:val="24"/>
        </w:rPr>
        <w:t>%</w:t>
      </w:r>
      <w:r w:rsidR="000109D7" w:rsidRPr="0006717E">
        <w:rPr>
          <w:rFonts w:ascii="Arial" w:hAnsi="Arial" w:cs="Arial"/>
          <w:sz w:val="24"/>
          <w:szCs w:val="24"/>
        </w:rPr>
        <w:t xml:space="preserve"> with average </w:t>
      </w:r>
      <w:r w:rsidR="00770E79" w:rsidRPr="0006717E">
        <w:rPr>
          <w:rFonts w:ascii="Arial" w:hAnsi="Arial" w:cs="Arial"/>
          <w:sz w:val="24"/>
          <w:szCs w:val="24"/>
        </w:rPr>
        <w:t xml:space="preserve">footfall down </w:t>
      </w:r>
      <w:r w:rsidR="000109D7" w:rsidRPr="0006717E">
        <w:rPr>
          <w:rFonts w:ascii="Arial" w:hAnsi="Arial" w:cs="Arial"/>
          <w:sz w:val="24"/>
          <w:szCs w:val="24"/>
        </w:rPr>
        <w:t>20% in the severely weather-affected weeks</w:t>
      </w:r>
      <w:r w:rsidR="00E14176" w:rsidRPr="0006717E">
        <w:rPr>
          <w:rFonts w:ascii="Arial" w:hAnsi="Arial" w:cs="Arial"/>
          <w:sz w:val="24"/>
          <w:szCs w:val="24"/>
        </w:rPr>
        <w:t xml:space="preserve">. </w:t>
      </w:r>
      <w:r w:rsidR="00B4624C">
        <w:rPr>
          <w:rFonts w:ascii="Arial" w:hAnsi="Arial" w:cs="Arial"/>
          <w:sz w:val="24"/>
          <w:szCs w:val="24"/>
        </w:rPr>
        <w:t xml:space="preserve">Sales of building products were also impacted by the adverse weather. </w:t>
      </w:r>
      <w:r w:rsidR="003A32C1" w:rsidRPr="0006717E">
        <w:rPr>
          <w:rFonts w:ascii="Arial" w:hAnsi="Arial" w:cs="Arial"/>
          <w:sz w:val="24"/>
          <w:szCs w:val="24"/>
        </w:rPr>
        <w:t xml:space="preserve">Sales of indoor decorative products </w:t>
      </w:r>
      <w:r w:rsidR="00B4624C">
        <w:rPr>
          <w:rFonts w:ascii="Arial" w:hAnsi="Arial" w:cs="Arial"/>
          <w:sz w:val="24"/>
          <w:szCs w:val="24"/>
        </w:rPr>
        <w:t>fared better</w:t>
      </w:r>
      <w:r w:rsidR="003A32C1" w:rsidRPr="0006717E">
        <w:rPr>
          <w:rFonts w:ascii="Arial" w:hAnsi="Arial" w:cs="Arial"/>
          <w:sz w:val="24"/>
          <w:szCs w:val="24"/>
        </w:rPr>
        <w:t xml:space="preserve"> as customers switched some of their home improvement activities indoors. </w:t>
      </w:r>
      <w:r w:rsidR="00B4624C">
        <w:rPr>
          <w:rFonts w:ascii="Arial" w:hAnsi="Arial" w:cs="Arial"/>
          <w:sz w:val="24"/>
          <w:szCs w:val="24"/>
        </w:rPr>
        <w:t>Cash sales</w:t>
      </w:r>
      <w:r w:rsidR="00074BF9">
        <w:rPr>
          <w:rFonts w:ascii="Arial" w:hAnsi="Arial" w:cs="Arial"/>
          <w:sz w:val="24"/>
          <w:szCs w:val="24"/>
        </w:rPr>
        <w:t xml:space="preserve"> </w:t>
      </w:r>
      <w:r w:rsidR="00B4624C" w:rsidRPr="0006717E">
        <w:rPr>
          <w:rFonts w:ascii="Arial" w:hAnsi="Arial" w:cs="Arial"/>
          <w:i/>
          <w:sz w:val="24"/>
          <w:szCs w:val="24"/>
          <w:vertAlign w:val="superscript"/>
        </w:rPr>
        <w:t xml:space="preserve">(2) </w:t>
      </w:r>
      <w:r w:rsidR="00B4624C">
        <w:rPr>
          <w:rFonts w:ascii="Arial" w:hAnsi="Arial" w:cs="Arial"/>
          <w:sz w:val="24"/>
          <w:szCs w:val="24"/>
        </w:rPr>
        <w:t xml:space="preserve">of showroom (kitchens, bathrooms and bedrooms) products were slightly higher year on year, </w:t>
      </w:r>
      <w:r w:rsidR="004A5017">
        <w:rPr>
          <w:rFonts w:ascii="Arial" w:hAnsi="Arial" w:cs="Arial"/>
          <w:sz w:val="24"/>
          <w:szCs w:val="24"/>
        </w:rPr>
        <w:t>show</w:t>
      </w:r>
      <w:r w:rsidR="008F5AA6">
        <w:rPr>
          <w:rFonts w:ascii="Arial" w:hAnsi="Arial" w:cs="Arial"/>
          <w:sz w:val="24"/>
          <w:szCs w:val="24"/>
        </w:rPr>
        <w:t>ing</w:t>
      </w:r>
      <w:r w:rsidR="00B4624C">
        <w:rPr>
          <w:rFonts w:ascii="Arial" w:hAnsi="Arial" w:cs="Arial"/>
          <w:sz w:val="24"/>
          <w:szCs w:val="24"/>
        </w:rPr>
        <w:t xml:space="preserve"> that the new Every Day Low Prices (EDLP) trading strategy in this category is </w:t>
      </w:r>
      <w:r w:rsidR="008F5AA6">
        <w:rPr>
          <w:rFonts w:ascii="Arial" w:hAnsi="Arial" w:cs="Arial"/>
          <w:sz w:val="24"/>
          <w:szCs w:val="24"/>
        </w:rPr>
        <w:t>starting to gain</w:t>
      </w:r>
      <w:r w:rsidR="00B4624C">
        <w:rPr>
          <w:rFonts w:ascii="Arial" w:hAnsi="Arial" w:cs="Arial"/>
          <w:sz w:val="24"/>
          <w:szCs w:val="24"/>
        </w:rPr>
        <w:t xml:space="preserve"> traction with customers</w:t>
      </w:r>
      <w:r w:rsidR="008F5AA6">
        <w:rPr>
          <w:rFonts w:ascii="Arial" w:hAnsi="Arial" w:cs="Arial"/>
          <w:sz w:val="24"/>
          <w:szCs w:val="24"/>
        </w:rPr>
        <w:t xml:space="preserve"> in a challenging</w:t>
      </w:r>
      <w:r w:rsidR="00B4624C">
        <w:rPr>
          <w:rFonts w:ascii="Arial" w:hAnsi="Arial" w:cs="Arial"/>
          <w:sz w:val="24"/>
          <w:szCs w:val="24"/>
        </w:rPr>
        <w:t xml:space="preserve"> market.  </w:t>
      </w:r>
    </w:p>
    <w:p w:rsidR="001B3B55" w:rsidRPr="00725805" w:rsidRDefault="001B3B55" w:rsidP="001B3B55">
      <w:pPr>
        <w:jc w:val="left"/>
        <w:rPr>
          <w:rFonts w:ascii="Arial" w:hAnsi="Arial" w:cs="Arial"/>
          <w:sz w:val="24"/>
          <w:szCs w:val="24"/>
          <w:highlight w:val="yellow"/>
        </w:rPr>
      </w:pPr>
    </w:p>
    <w:p w:rsidR="00E3241F" w:rsidRDefault="001B3B55" w:rsidP="0006717E">
      <w:pPr>
        <w:contextualSpacing/>
        <w:jc w:val="left"/>
        <w:rPr>
          <w:rFonts w:ascii="Arial" w:hAnsi="Arial" w:cs="Arial"/>
          <w:sz w:val="24"/>
          <w:szCs w:val="24"/>
        </w:rPr>
      </w:pPr>
      <w:proofErr w:type="gramStart"/>
      <w:r w:rsidRPr="0006717E">
        <w:rPr>
          <w:rFonts w:ascii="Arial" w:hAnsi="Arial" w:cs="Arial"/>
          <w:sz w:val="24"/>
          <w:szCs w:val="24"/>
        </w:rPr>
        <w:t xml:space="preserve">Retail profit </w:t>
      </w:r>
      <w:r w:rsidR="0087773C" w:rsidRPr="0006717E">
        <w:rPr>
          <w:rFonts w:ascii="Arial" w:hAnsi="Arial" w:cs="Arial"/>
          <w:sz w:val="24"/>
          <w:szCs w:val="24"/>
        </w:rPr>
        <w:t>declined by 2</w:t>
      </w:r>
      <w:r w:rsidR="008F5AA6" w:rsidRPr="0006717E">
        <w:rPr>
          <w:rFonts w:ascii="Arial" w:hAnsi="Arial" w:cs="Arial"/>
          <w:sz w:val="24"/>
          <w:szCs w:val="24"/>
        </w:rPr>
        <w:t>0.8</w:t>
      </w:r>
      <w:r w:rsidR="0087773C" w:rsidRPr="0006717E">
        <w:rPr>
          <w:rFonts w:ascii="Arial" w:hAnsi="Arial" w:cs="Arial"/>
          <w:sz w:val="24"/>
          <w:szCs w:val="24"/>
        </w:rPr>
        <w:t>% to £1</w:t>
      </w:r>
      <w:r w:rsidR="008F5AA6" w:rsidRPr="0006717E">
        <w:rPr>
          <w:rFonts w:ascii="Arial" w:hAnsi="Arial" w:cs="Arial"/>
          <w:sz w:val="24"/>
          <w:szCs w:val="24"/>
        </w:rPr>
        <w:t>87</w:t>
      </w:r>
      <w:r w:rsidR="0087773C" w:rsidRPr="0006717E">
        <w:rPr>
          <w:rFonts w:ascii="Arial" w:hAnsi="Arial" w:cs="Arial"/>
          <w:sz w:val="24"/>
          <w:szCs w:val="24"/>
        </w:rPr>
        <w:t xml:space="preserve"> million.</w:t>
      </w:r>
      <w:proofErr w:type="gramEnd"/>
      <w:r w:rsidR="0087773C" w:rsidRPr="0006717E">
        <w:rPr>
          <w:rFonts w:ascii="Arial" w:hAnsi="Arial" w:cs="Arial"/>
          <w:sz w:val="24"/>
          <w:szCs w:val="24"/>
        </w:rPr>
        <w:t xml:space="preserve"> </w:t>
      </w:r>
      <w:r w:rsidRPr="0006717E">
        <w:rPr>
          <w:rFonts w:ascii="Arial" w:hAnsi="Arial" w:cs="Arial"/>
          <w:sz w:val="24"/>
          <w:szCs w:val="24"/>
        </w:rPr>
        <w:t>Gross margin</w:t>
      </w:r>
      <w:r w:rsidR="0087773C" w:rsidRPr="0006717E">
        <w:rPr>
          <w:rFonts w:ascii="Arial" w:hAnsi="Arial" w:cs="Arial"/>
          <w:sz w:val="24"/>
          <w:szCs w:val="24"/>
        </w:rPr>
        <w:t xml:space="preserve">s were down </w:t>
      </w:r>
      <w:r w:rsidR="008F5AA6" w:rsidRPr="0006717E">
        <w:rPr>
          <w:rFonts w:ascii="Arial" w:hAnsi="Arial" w:cs="Arial"/>
          <w:sz w:val="24"/>
          <w:szCs w:val="24"/>
        </w:rPr>
        <w:t>2</w:t>
      </w:r>
      <w:r w:rsidR="0087773C" w:rsidRPr="0006717E">
        <w:rPr>
          <w:rFonts w:ascii="Arial" w:hAnsi="Arial" w:cs="Arial"/>
          <w:sz w:val="24"/>
          <w:szCs w:val="24"/>
        </w:rPr>
        <w:t xml:space="preserve">0 basis points, </w:t>
      </w:r>
      <w:r w:rsidR="00070D5F">
        <w:rPr>
          <w:rFonts w:ascii="Arial" w:hAnsi="Arial" w:cs="Arial"/>
          <w:sz w:val="24"/>
          <w:szCs w:val="24"/>
        </w:rPr>
        <w:t xml:space="preserve">with the </w:t>
      </w:r>
      <w:r w:rsidR="00643F33" w:rsidRPr="0006717E">
        <w:rPr>
          <w:rFonts w:ascii="Arial" w:hAnsi="Arial" w:cs="Arial"/>
          <w:sz w:val="24"/>
          <w:szCs w:val="24"/>
        </w:rPr>
        <w:t>benefit</w:t>
      </w:r>
      <w:r w:rsidR="00070D5F">
        <w:rPr>
          <w:rFonts w:ascii="Arial" w:hAnsi="Arial" w:cs="Arial"/>
          <w:sz w:val="24"/>
          <w:szCs w:val="24"/>
        </w:rPr>
        <w:t xml:space="preserve">s </w:t>
      </w:r>
      <w:r w:rsidR="00643F33" w:rsidRPr="0006717E">
        <w:rPr>
          <w:rFonts w:ascii="Arial" w:hAnsi="Arial" w:cs="Arial"/>
          <w:sz w:val="24"/>
          <w:szCs w:val="24"/>
        </w:rPr>
        <w:t>from</w:t>
      </w:r>
      <w:r w:rsidR="0087773C" w:rsidRPr="0006717E">
        <w:rPr>
          <w:rFonts w:ascii="Arial" w:hAnsi="Arial" w:cs="Arial"/>
          <w:sz w:val="24"/>
          <w:szCs w:val="24"/>
        </w:rPr>
        <w:t xml:space="preserve"> on-going s</w:t>
      </w:r>
      <w:r w:rsidR="008F5AA6" w:rsidRPr="0006717E">
        <w:rPr>
          <w:rFonts w:ascii="Arial" w:hAnsi="Arial" w:cs="Arial"/>
          <w:sz w:val="24"/>
          <w:szCs w:val="24"/>
        </w:rPr>
        <w:t>elf-help initiatives</w:t>
      </w:r>
      <w:r w:rsidR="00070D5F">
        <w:rPr>
          <w:rFonts w:ascii="Arial" w:hAnsi="Arial" w:cs="Arial"/>
          <w:sz w:val="24"/>
          <w:szCs w:val="24"/>
        </w:rPr>
        <w:t xml:space="preserve"> </w:t>
      </w:r>
      <w:r w:rsidR="00643F33" w:rsidRPr="0006717E">
        <w:rPr>
          <w:rFonts w:ascii="Arial" w:hAnsi="Arial" w:cs="Arial"/>
          <w:sz w:val="24"/>
          <w:szCs w:val="24"/>
        </w:rPr>
        <w:t>offset by some additional promotional activity</w:t>
      </w:r>
      <w:r w:rsidR="00365E32" w:rsidRPr="0006717E">
        <w:rPr>
          <w:rFonts w:ascii="Arial" w:hAnsi="Arial" w:cs="Arial"/>
          <w:sz w:val="24"/>
          <w:szCs w:val="24"/>
        </w:rPr>
        <w:t>, the decision to accelerate clearance ahead of the national rollout of new</w:t>
      </w:r>
      <w:r w:rsidR="00070D5F">
        <w:rPr>
          <w:rFonts w:ascii="Arial" w:hAnsi="Arial" w:cs="Arial"/>
          <w:sz w:val="24"/>
          <w:szCs w:val="24"/>
        </w:rPr>
        <w:t xml:space="preserve"> ranges </w:t>
      </w:r>
      <w:r w:rsidR="00365E32" w:rsidRPr="0006717E">
        <w:rPr>
          <w:rFonts w:ascii="Arial" w:hAnsi="Arial" w:cs="Arial"/>
          <w:sz w:val="24"/>
          <w:szCs w:val="24"/>
        </w:rPr>
        <w:t>of tiling and décor products</w:t>
      </w:r>
      <w:r w:rsidR="004A5017">
        <w:rPr>
          <w:rFonts w:ascii="Arial" w:hAnsi="Arial" w:cs="Arial"/>
          <w:sz w:val="24"/>
          <w:szCs w:val="24"/>
        </w:rPr>
        <w:t>,</w:t>
      </w:r>
      <w:r w:rsidR="00365E32" w:rsidRPr="0006717E">
        <w:rPr>
          <w:rFonts w:ascii="Arial" w:hAnsi="Arial" w:cs="Arial"/>
          <w:sz w:val="24"/>
          <w:szCs w:val="24"/>
        </w:rPr>
        <w:t xml:space="preserve"> </w:t>
      </w:r>
      <w:r w:rsidR="00643F33" w:rsidRPr="0006717E">
        <w:rPr>
          <w:rFonts w:ascii="Arial" w:hAnsi="Arial" w:cs="Arial"/>
          <w:sz w:val="24"/>
          <w:szCs w:val="24"/>
        </w:rPr>
        <w:t xml:space="preserve">and a higher mix of </w:t>
      </w:r>
      <w:r w:rsidR="00365E32" w:rsidRPr="0006717E">
        <w:rPr>
          <w:rFonts w:ascii="Arial" w:hAnsi="Arial" w:cs="Arial"/>
          <w:sz w:val="24"/>
          <w:szCs w:val="24"/>
        </w:rPr>
        <w:t>‘</w:t>
      </w:r>
      <w:proofErr w:type="spellStart"/>
      <w:r w:rsidR="00365E32" w:rsidRPr="0006717E">
        <w:rPr>
          <w:rFonts w:ascii="Arial" w:hAnsi="Arial" w:cs="Arial"/>
          <w:sz w:val="24"/>
          <w:szCs w:val="24"/>
        </w:rPr>
        <w:t>T</w:t>
      </w:r>
      <w:r w:rsidR="00643F33" w:rsidRPr="0006717E">
        <w:rPr>
          <w:rFonts w:ascii="Arial" w:hAnsi="Arial" w:cs="Arial"/>
          <w:sz w:val="24"/>
          <w:szCs w:val="24"/>
        </w:rPr>
        <w:t>rade</w:t>
      </w:r>
      <w:r w:rsidR="00365E32" w:rsidRPr="0006717E">
        <w:rPr>
          <w:rFonts w:ascii="Arial" w:hAnsi="Arial" w:cs="Arial"/>
          <w:sz w:val="24"/>
          <w:szCs w:val="24"/>
        </w:rPr>
        <w:t>Point</w:t>
      </w:r>
      <w:proofErr w:type="spellEnd"/>
      <w:r w:rsidR="00365E32" w:rsidRPr="0006717E">
        <w:rPr>
          <w:rFonts w:ascii="Arial" w:hAnsi="Arial" w:cs="Arial"/>
          <w:sz w:val="24"/>
          <w:szCs w:val="24"/>
        </w:rPr>
        <w:t>’</w:t>
      </w:r>
      <w:r w:rsidR="00643F33" w:rsidRPr="0006717E">
        <w:rPr>
          <w:rFonts w:ascii="Arial" w:hAnsi="Arial" w:cs="Arial"/>
          <w:sz w:val="24"/>
          <w:szCs w:val="24"/>
        </w:rPr>
        <w:t xml:space="preserve"> sales. </w:t>
      </w:r>
    </w:p>
    <w:p w:rsidR="00E3241F" w:rsidRDefault="00E3241F" w:rsidP="0006717E">
      <w:pPr>
        <w:contextualSpacing/>
        <w:jc w:val="left"/>
        <w:rPr>
          <w:rFonts w:ascii="Arial" w:hAnsi="Arial" w:cs="Arial"/>
          <w:sz w:val="24"/>
          <w:szCs w:val="24"/>
        </w:rPr>
      </w:pPr>
    </w:p>
    <w:p w:rsidR="00E3241F" w:rsidRDefault="00365E32" w:rsidP="0006717E">
      <w:pPr>
        <w:contextualSpacing/>
        <w:jc w:val="left"/>
        <w:rPr>
          <w:rFonts w:ascii="Arial" w:hAnsi="Arial" w:cs="Arial"/>
          <w:sz w:val="24"/>
          <w:szCs w:val="24"/>
        </w:rPr>
      </w:pPr>
      <w:proofErr w:type="spellStart"/>
      <w:r w:rsidRPr="0006717E">
        <w:rPr>
          <w:rFonts w:ascii="Arial" w:hAnsi="Arial" w:cs="Arial"/>
          <w:sz w:val="24"/>
          <w:szCs w:val="24"/>
        </w:rPr>
        <w:t>TradePoint</w:t>
      </w:r>
      <w:proofErr w:type="spellEnd"/>
      <w:r w:rsidRPr="0006717E">
        <w:rPr>
          <w:rFonts w:ascii="Arial" w:hAnsi="Arial" w:cs="Arial"/>
          <w:sz w:val="24"/>
          <w:szCs w:val="24"/>
        </w:rPr>
        <w:t xml:space="preserve"> continues to progress well</w:t>
      </w:r>
      <w:r w:rsidR="00070D5F">
        <w:rPr>
          <w:rFonts w:ascii="Arial" w:hAnsi="Arial" w:cs="Arial"/>
          <w:sz w:val="24"/>
          <w:szCs w:val="24"/>
        </w:rPr>
        <w:t>. S</w:t>
      </w:r>
      <w:r w:rsidRPr="0006717E">
        <w:rPr>
          <w:rFonts w:ascii="Arial" w:hAnsi="Arial" w:cs="Arial"/>
          <w:sz w:val="24"/>
          <w:szCs w:val="24"/>
        </w:rPr>
        <w:t xml:space="preserve">ales </w:t>
      </w:r>
      <w:r w:rsidR="00070D5F">
        <w:rPr>
          <w:rFonts w:ascii="Arial" w:hAnsi="Arial" w:cs="Arial"/>
          <w:sz w:val="24"/>
          <w:szCs w:val="24"/>
        </w:rPr>
        <w:t xml:space="preserve">to </w:t>
      </w:r>
      <w:proofErr w:type="spellStart"/>
      <w:r w:rsidR="00070D5F">
        <w:rPr>
          <w:rFonts w:ascii="Arial" w:hAnsi="Arial" w:cs="Arial"/>
          <w:sz w:val="24"/>
          <w:szCs w:val="24"/>
        </w:rPr>
        <w:t>TradePoint</w:t>
      </w:r>
      <w:proofErr w:type="spellEnd"/>
      <w:r w:rsidR="00070D5F">
        <w:rPr>
          <w:rFonts w:ascii="Arial" w:hAnsi="Arial" w:cs="Arial"/>
          <w:sz w:val="24"/>
          <w:szCs w:val="24"/>
        </w:rPr>
        <w:t xml:space="preserve"> customers were up </w:t>
      </w:r>
      <w:r w:rsidR="00A93E15">
        <w:rPr>
          <w:rFonts w:ascii="Arial" w:hAnsi="Arial" w:cs="Arial"/>
          <w:sz w:val="24"/>
          <w:szCs w:val="24"/>
        </w:rPr>
        <w:t xml:space="preserve">around </w:t>
      </w:r>
      <w:r w:rsidR="00A93E15" w:rsidRPr="00033D68">
        <w:rPr>
          <w:rFonts w:ascii="Arial" w:hAnsi="Arial" w:cs="Arial"/>
          <w:sz w:val="24"/>
          <w:szCs w:val="24"/>
        </w:rPr>
        <w:t>2</w:t>
      </w:r>
      <w:r w:rsidR="00CF0A43">
        <w:rPr>
          <w:rFonts w:ascii="Arial" w:hAnsi="Arial" w:cs="Arial"/>
          <w:sz w:val="24"/>
          <w:szCs w:val="24"/>
        </w:rPr>
        <w:t>0</w:t>
      </w:r>
      <w:r w:rsidR="00070D5F" w:rsidRPr="00033D68">
        <w:rPr>
          <w:rFonts w:ascii="Arial" w:hAnsi="Arial" w:cs="Arial"/>
          <w:sz w:val="24"/>
          <w:szCs w:val="24"/>
        </w:rPr>
        <w:t>%</w:t>
      </w:r>
      <w:r w:rsidR="00070D5F">
        <w:rPr>
          <w:rFonts w:ascii="Arial" w:hAnsi="Arial" w:cs="Arial"/>
          <w:sz w:val="24"/>
          <w:szCs w:val="24"/>
        </w:rPr>
        <w:t xml:space="preserve"> and </w:t>
      </w:r>
      <w:r w:rsidRPr="0006717E">
        <w:rPr>
          <w:rFonts w:ascii="Arial" w:hAnsi="Arial" w:cs="Arial"/>
          <w:sz w:val="24"/>
          <w:szCs w:val="24"/>
        </w:rPr>
        <w:t>now account for nearly 20% of total store sales</w:t>
      </w:r>
      <w:r w:rsidR="00070D5F">
        <w:rPr>
          <w:rFonts w:ascii="Arial" w:hAnsi="Arial" w:cs="Arial"/>
          <w:sz w:val="24"/>
          <w:szCs w:val="24"/>
        </w:rPr>
        <w:t xml:space="preserve">. </w:t>
      </w:r>
      <w:r w:rsidRPr="0006717E">
        <w:rPr>
          <w:rFonts w:ascii="Arial" w:hAnsi="Arial" w:cs="Arial"/>
          <w:sz w:val="24"/>
          <w:szCs w:val="24"/>
        </w:rPr>
        <w:t xml:space="preserve">Over 1.2 million customers have now registered as </w:t>
      </w:r>
      <w:proofErr w:type="spellStart"/>
      <w:r w:rsidRPr="0006717E">
        <w:rPr>
          <w:rFonts w:ascii="Arial" w:hAnsi="Arial" w:cs="Arial"/>
          <w:sz w:val="24"/>
          <w:szCs w:val="24"/>
        </w:rPr>
        <w:t>TradePoint</w:t>
      </w:r>
      <w:proofErr w:type="spellEnd"/>
      <w:r w:rsidRPr="0006717E">
        <w:rPr>
          <w:rFonts w:ascii="Arial" w:hAnsi="Arial" w:cs="Arial"/>
          <w:sz w:val="24"/>
          <w:szCs w:val="24"/>
        </w:rPr>
        <w:t xml:space="preserve"> customers, </w:t>
      </w:r>
      <w:r w:rsidR="00432463">
        <w:rPr>
          <w:rFonts w:ascii="Arial" w:hAnsi="Arial" w:cs="Arial"/>
          <w:sz w:val="24"/>
          <w:szCs w:val="24"/>
        </w:rPr>
        <w:t>with</w:t>
      </w:r>
      <w:r w:rsidRPr="0006717E">
        <w:rPr>
          <w:rFonts w:ascii="Arial" w:hAnsi="Arial" w:cs="Arial"/>
          <w:sz w:val="24"/>
          <w:szCs w:val="24"/>
        </w:rPr>
        <w:t xml:space="preserve"> around a third hav</w:t>
      </w:r>
      <w:r w:rsidR="00432463">
        <w:rPr>
          <w:rFonts w:ascii="Arial" w:hAnsi="Arial" w:cs="Arial"/>
          <w:sz w:val="24"/>
          <w:szCs w:val="24"/>
        </w:rPr>
        <w:t>ing</w:t>
      </w:r>
      <w:r w:rsidRPr="0006717E">
        <w:rPr>
          <w:rFonts w:ascii="Arial" w:hAnsi="Arial" w:cs="Arial"/>
          <w:sz w:val="24"/>
          <w:szCs w:val="24"/>
        </w:rPr>
        <w:t xml:space="preserve"> shopped in the last month.</w:t>
      </w:r>
      <w:r w:rsidR="00E3241F">
        <w:rPr>
          <w:rFonts w:ascii="Arial" w:hAnsi="Arial" w:cs="Arial"/>
          <w:sz w:val="24"/>
          <w:szCs w:val="24"/>
        </w:rPr>
        <w:t xml:space="preserve"> </w:t>
      </w:r>
    </w:p>
    <w:p w:rsidR="00643F33" w:rsidRDefault="00643F33" w:rsidP="00DE3788">
      <w:pPr>
        <w:jc w:val="left"/>
        <w:rPr>
          <w:rFonts w:ascii="Arial" w:hAnsi="Arial" w:cs="Arial"/>
          <w:sz w:val="24"/>
          <w:szCs w:val="24"/>
        </w:rPr>
      </w:pPr>
    </w:p>
    <w:p w:rsidR="00DE3788" w:rsidRDefault="001B3B55" w:rsidP="00DE3788">
      <w:pPr>
        <w:jc w:val="left"/>
        <w:rPr>
          <w:rFonts w:ascii="Arial" w:hAnsi="Arial" w:cs="Arial"/>
          <w:sz w:val="24"/>
          <w:szCs w:val="24"/>
        </w:rPr>
      </w:pPr>
      <w:r w:rsidRPr="0006717E">
        <w:rPr>
          <w:rFonts w:ascii="Arial" w:hAnsi="Arial" w:cs="Arial"/>
          <w:sz w:val="24"/>
          <w:szCs w:val="24"/>
        </w:rPr>
        <w:t>A strong focus on operating cost efficiencies continued</w:t>
      </w:r>
      <w:r w:rsidR="005F1A8E">
        <w:rPr>
          <w:rFonts w:ascii="Arial" w:hAnsi="Arial" w:cs="Arial"/>
          <w:sz w:val="24"/>
          <w:szCs w:val="24"/>
        </w:rPr>
        <w:t xml:space="preserve">. Costs also reflect </w:t>
      </w:r>
      <w:r w:rsidR="008414A2">
        <w:rPr>
          <w:rFonts w:ascii="Arial" w:hAnsi="Arial" w:cs="Arial"/>
          <w:sz w:val="24"/>
          <w:szCs w:val="24"/>
        </w:rPr>
        <w:t xml:space="preserve">lower </w:t>
      </w:r>
      <w:r w:rsidR="005F1A8E">
        <w:rPr>
          <w:rFonts w:ascii="Arial" w:hAnsi="Arial" w:cs="Arial"/>
          <w:sz w:val="24"/>
          <w:szCs w:val="24"/>
        </w:rPr>
        <w:t xml:space="preserve">levels of variable pay this year </w:t>
      </w:r>
      <w:r w:rsidR="008E6BB0" w:rsidRPr="0006717E">
        <w:rPr>
          <w:rFonts w:ascii="Arial" w:hAnsi="Arial" w:cs="Arial"/>
          <w:sz w:val="24"/>
          <w:szCs w:val="24"/>
        </w:rPr>
        <w:t xml:space="preserve">and </w:t>
      </w:r>
      <w:r w:rsidR="00D71803">
        <w:rPr>
          <w:rFonts w:ascii="Arial" w:hAnsi="Arial" w:cs="Arial"/>
          <w:sz w:val="24"/>
          <w:szCs w:val="24"/>
        </w:rPr>
        <w:t>the benefit of a</w:t>
      </w:r>
      <w:r w:rsidR="008E6BB0" w:rsidRPr="0006717E">
        <w:rPr>
          <w:rFonts w:ascii="Arial" w:hAnsi="Arial" w:cs="Arial"/>
          <w:sz w:val="24"/>
          <w:szCs w:val="24"/>
        </w:rPr>
        <w:t xml:space="preserve"> </w:t>
      </w:r>
      <w:r w:rsidR="009F6778">
        <w:rPr>
          <w:rFonts w:ascii="Arial" w:hAnsi="Arial" w:cs="Arial"/>
          <w:sz w:val="24"/>
          <w:szCs w:val="24"/>
        </w:rPr>
        <w:t xml:space="preserve">settlement of a </w:t>
      </w:r>
      <w:r w:rsidR="008E6BB0" w:rsidRPr="0006717E">
        <w:rPr>
          <w:rFonts w:ascii="Arial" w:hAnsi="Arial" w:cs="Arial"/>
          <w:sz w:val="24"/>
          <w:szCs w:val="24"/>
        </w:rPr>
        <w:t>one-off construction related claim for around £5</w:t>
      </w:r>
      <w:r w:rsidR="00616DB8">
        <w:rPr>
          <w:rFonts w:ascii="Arial" w:hAnsi="Arial" w:cs="Arial"/>
          <w:sz w:val="24"/>
          <w:szCs w:val="24"/>
        </w:rPr>
        <w:t xml:space="preserve"> million</w:t>
      </w:r>
      <w:r w:rsidR="00794E16" w:rsidRPr="0006717E">
        <w:rPr>
          <w:rFonts w:ascii="Arial" w:hAnsi="Arial" w:cs="Arial"/>
          <w:sz w:val="24"/>
          <w:szCs w:val="24"/>
        </w:rPr>
        <w:t xml:space="preserve">. </w:t>
      </w:r>
      <w:r w:rsidR="00DE3788" w:rsidRPr="00D255CA">
        <w:rPr>
          <w:rFonts w:ascii="Arial" w:hAnsi="Arial" w:cs="Arial"/>
          <w:sz w:val="24"/>
          <w:szCs w:val="24"/>
        </w:rPr>
        <w:t xml:space="preserve"> </w:t>
      </w:r>
    </w:p>
    <w:p w:rsidR="007537C3" w:rsidRPr="00725805" w:rsidRDefault="007537C3" w:rsidP="001B3B55">
      <w:pPr>
        <w:jc w:val="left"/>
        <w:rPr>
          <w:rFonts w:ascii="Arial" w:hAnsi="Arial" w:cs="Arial"/>
          <w:sz w:val="24"/>
          <w:szCs w:val="24"/>
          <w:highlight w:val="yellow"/>
        </w:rPr>
      </w:pPr>
    </w:p>
    <w:p w:rsidR="00432463" w:rsidRDefault="001B3B55" w:rsidP="00DE3788">
      <w:pPr>
        <w:jc w:val="left"/>
        <w:rPr>
          <w:rFonts w:ascii="Arial" w:hAnsi="Arial" w:cs="Arial"/>
          <w:sz w:val="24"/>
          <w:szCs w:val="24"/>
        </w:rPr>
      </w:pPr>
      <w:proofErr w:type="spellStart"/>
      <w:r w:rsidRPr="0006717E">
        <w:rPr>
          <w:rFonts w:ascii="Arial" w:hAnsi="Arial" w:cs="Arial"/>
          <w:b/>
          <w:bCs/>
          <w:sz w:val="24"/>
          <w:szCs w:val="24"/>
        </w:rPr>
        <w:t>Screwfix</w:t>
      </w:r>
      <w:proofErr w:type="spellEnd"/>
      <w:r w:rsidRPr="0006717E">
        <w:rPr>
          <w:rFonts w:ascii="Arial" w:hAnsi="Arial" w:cs="Arial"/>
          <w:sz w:val="24"/>
          <w:szCs w:val="24"/>
        </w:rPr>
        <w:t xml:space="preserve"> grew total sales by </w:t>
      </w:r>
      <w:r w:rsidR="00801879">
        <w:rPr>
          <w:rFonts w:ascii="Arial" w:hAnsi="Arial" w:cs="Arial"/>
          <w:sz w:val="24"/>
          <w:szCs w:val="24"/>
        </w:rPr>
        <w:t>9.8</w:t>
      </w:r>
      <w:r w:rsidRPr="0006717E">
        <w:rPr>
          <w:rFonts w:ascii="Arial" w:hAnsi="Arial" w:cs="Arial"/>
          <w:sz w:val="24"/>
          <w:szCs w:val="24"/>
        </w:rPr>
        <w:t>% to £</w:t>
      </w:r>
      <w:r w:rsidR="00801879">
        <w:rPr>
          <w:rFonts w:ascii="Arial" w:hAnsi="Arial" w:cs="Arial"/>
          <w:sz w:val="24"/>
          <w:szCs w:val="24"/>
        </w:rPr>
        <w:t>577</w:t>
      </w:r>
      <w:r w:rsidRPr="0006717E">
        <w:rPr>
          <w:rFonts w:ascii="Arial" w:hAnsi="Arial" w:cs="Arial"/>
          <w:sz w:val="24"/>
          <w:szCs w:val="24"/>
        </w:rPr>
        <w:t xml:space="preserve"> million</w:t>
      </w:r>
      <w:r w:rsidR="008A1F35" w:rsidRPr="0006717E">
        <w:rPr>
          <w:rFonts w:ascii="Arial" w:hAnsi="Arial" w:cs="Arial"/>
          <w:sz w:val="24"/>
          <w:szCs w:val="24"/>
        </w:rPr>
        <w:t>,</w:t>
      </w:r>
      <w:r w:rsidRPr="0006717E" w:rsidDel="00BD46D1">
        <w:rPr>
          <w:rFonts w:ascii="Arial" w:hAnsi="Arial" w:cs="Arial"/>
          <w:sz w:val="24"/>
          <w:szCs w:val="24"/>
        </w:rPr>
        <w:t xml:space="preserve"> </w:t>
      </w:r>
      <w:r w:rsidR="008A1F35" w:rsidRPr="0006717E">
        <w:rPr>
          <w:rFonts w:ascii="Arial" w:hAnsi="Arial" w:cs="Arial"/>
          <w:sz w:val="24"/>
          <w:szCs w:val="24"/>
        </w:rPr>
        <w:t xml:space="preserve">despite </w:t>
      </w:r>
      <w:r w:rsidR="00D56E13" w:rsidRPr="0006717E">
        <w:rPr>
          <w:rFonts w:ascii="Arial" w:hAnsi="Arial" w:cs="Arial"/>
          <w:sz w:val="24"/>
          <w:szCs w:val="24"/>
        </w:rPr>
        <w:t>the challenging</w:t>
      </w:r>
      <w:r w:rsidR="008A1F35" w:rsidRPr="0006717E">
        <w:rPr>
          <w:rFonts w:ascii="Arial" w:hAnsi="Arial" w:cs="Arial"/>
          <w:sz w:val="24"/>
          <w:szCs w:val="24"/>
        </w:rPr>
        <w:t xml:space="preserve"> </w:t>
      </w:r>
      <w:r w:rsidRPr="0006717E">
        <w:rPr>
          <w:rFonts w:ascii="Arial" w:hAnsi="Arial" w:cs="Arial"/>
          <w:sz w:val="24"/>
          <w:szCs w:val="24"/>
        </w:rPr>
        <w:t>smaller tradesman market</w:t>
      </w:r>
      <w:r w:rsidR="00432463">
        <w:rPr>
          <w:rFonts w:ascii="Arial" w:hAnsi="Arial" w:cs="Arial"/>
          <w:sz w:val="24"/>
          <w:szCs w:val="24"/>
        </w:rPr>
        <w:t xml:space="preserve"> </w:t>
      </w:r>
      <w:bookmarkStart w:id="11" w:name="OLE_LINK12"/>
      <w:bookmarkStart w:id="12" w:name="OLE_LINK13"/>
      <w:r w:rsidRPr="0006717E">
        <w:rPr>
          <w:rFonts w:ascii="Helvetica" w:hAnsi="Helvetica" w:cs="Helvetica"/>
          <w:i/>
          <w:iCs/>
          <w:sz w:val="24"/>
          <w:szCs w:val="24"/>
          <w:vertAlign w:val="superscript"/>
        </w:rPr>
        <w:t>(</w:t>
      </w:r>
      <w:r w:rsidR="00074BF9">
        <w:rPr>
          <w:rFonts w:ascii="Helvetica" w:hAnsi="Helvetica" w:cs="Helvetica"/>
          <w:i/>
          <w:iCs/>
          <w:sz w:val="24"/>
          <w:szCs w:val="24"/>
          <w:vertAlign w:val="superscript"/>
        </w:rPr>
        <w:t>3</w:t>
      </w:r>
      <w:r w:rsidR="00063EB2" w:rsidRPr="0006717E">
        <w:rPr>
          <w:rFonts w:ascii="Helvetica" w:hAnsi="Helvetica" w:cs="Helvetica"/>
          <w:i/>
          <w:iCs/>
          <w:sz w:val="24"/>
          <w:szCs w:val="24"/>
          <w:vertAlign w:val="superscript"/>
        </w:rPr>
        <w:t>)</w:t>
      </w:r>
      <w:r w:rsidR="008A1F35" w:rsidRPr="0006717E">
        <w:rPr>
          <w:rFonts w:ascii="Arial" w:hAnsi="Arial" w:cs="Arial"/>
          <w:sz w:val="24"/>
          <w:szCs w:val="24"/>
        </w:rPr>
        <w:t xml:space="preserve">, </w:t>
      </w:r>
      <w:bookmarkEnd w:id="11"/>
      <w:bookmarkEnd w:id="12"/>
      <w:r w:rsidR="008A1F35" w:rsidRPr="0006717E">
        <w:rPr>
          <w:rFonts w:ascii="Arial" w:hAnsi="Arial" w:cs="Arial"/>
          <w:sz w:val="24"/>
          <w:szCs w:val="24"/>
        </w:rPr>
        <w:t xml:space="preserve">benefiting from </w:t>
      </w:r>
      <w:r w:rsidR="00F94534" w:rsidRPr="0006717E">
        <w:rPr>
          <w:rFonts w:ascii="Arial" w:hAnsi="Arial" w:cs="Arial"/>
          <w:sz w:val="24"/>
          <w:szCs w:val="24"/>
        </w:rPr>
        <w:t>the continued rollout of new outlets</w:t>
      </w:r>
      <w:r w:rsidR="008A1F35" w:rsidRPr="0006717E">
        <w:rPr>
          <w:rFonts w:ascii="Arial" w:hAnsi="Arial" w:cs="Arial"/>
          <w:sz w:val="24"/>
          <w:szCs w:val="24"/>
        </w:rPr>
        <w:t>, the success of ‘click, pay &amp; collect’</w:t>
      </w:r>
      <w:r w:rsidR="00801879">
        <w:rPr>
          <w:rFonts w:ascii="Arial" w:hAnsi="Arial" w:cs="Arial"/>
          <w:sz w:val="24"/>
          <w:szCs w:val="24"/>
        </w:rPr>
        <w:t xml:space="preserve"> and a redesigned catalogue.</w:t>
      </w:r>
      <w:r w:rsidR="00F94534" w:rsidRPr="0006717E">
        <w:rPr>
          <w:rFonts w:ascii="Arial" w:hAnsi="Arial" w:cs="Arial"/>
          <w:sz w:val="24"/>
          <w:szCs w:val="24"/>
        </w:rPr>
        <w:t xml:space="preserve"> </w:t>
      </w:r>
      <w:r w:rsidR="00801879">
        <w:rPr>
          <w:rFonts w:ascii="Arial" w:hAnsi="Arial" w:cs="Arial"/>
          <w:sz w:val="24"/>
          <w:szCs w:val="24"/>
        </w:rPr>
        <w:t>Sixty</w:t>
      </w:r>
      <w:r w:rsidR="00F94534" w:rsidRPr="0006717E">
        <w:rPr>
          <w:rFonts w:ascii="Arial" w:hAnsi="Arial" w:cs="Arial"/>
          <w:sz w:val="24"/>
          <w:szCs w:val="24"/>
        </w:rPr>
        <w:t xml:space="preserve"> new outlets were opened, taking the total to </w:t>
      </w:r>
      <w:r w:rsidR="00801879">
        <w:rPr>
          <w:rFonts w:ascii="Arial" w:hAnsi="Arial" w:cs="Arial"/>
          <w:sz w:val="24"/>
          <w:szCs w:val="24"/>
        </w:rPr>
        <w:t>275</w:t>
      </w:r>
      <w:r w:rsidR="00F94534" w:rsidRPr="0006717E">
        <w:rPr>
          <w:rFonts w:ascii="Arial" w:hAnsi="Arial" w:cs="Arial"/>
          <w:sz w:val="24"/>
          <w:szCs w:val="24"/>
        </w:rPr>
        <w:t xml:space="preserve">. </w:t>
      </w:r>
    </w:p>
    <w:p w:rsidR="001B3B55" w:rsidRPr="00801879" w:rsidRDefault="001B3B55" w:rsidP="001B3B55">
      <w:pPr>
        <w:jc w:val="left"/>
        <w:rPr>
          <w:rFonts w:ascii="Arial" w:hAnsi="Arial" w:cs="Arial"/>
          <w:sz w:val="24"/>
          <w:szCs w:val="24"/>
        </w:rPr>
      </w:pPr>
    </w:p>
    <w:p w:rsidR="00883C7C" w:rsidRDefault="001B3B55" w:rsidP="001B3B55">
      <w:pPr>
        <w:jc w:val="left"/>
        <w:rPr>
          <w:rFonts w:ascii="Arial" w:hAnsi="Arial" w:cs="Arial"/>
          <w:sz w:val="24"/>
          <w:szCs w:val="24"/>
        </w:rPr>
      </w:pPr>
      <w:r w:rsidRPr="0006717E">
        <w:rPr>
          <w:rFonts w:ascii="Arial" w:hAnsi="Arial" w:cs="Arial"/>
          <w:sz w:val="24"/>
          <w:szCs w:val="24"/>
        </w:rPr>
        <w:t xml:space="preserve">Retail profit was up </w:t>
      </w:r>
      <w:r w:rsidR="00432463">
        <w:rPr>
          <w:rFonts w:ascii="Arial" w:hAnsi="Arial" w:cs="Arial"/>
          <w:sz w:val="24"/>
          <w:szCs w:val="24"/>
        </w:rPr>
        <w:t>33.9</w:t>
      </w:r>
      <w:r w:rsidRPr="0006717E">
        <w:rPr>
          <w:rFonts w:ascii="Arial" w:hAnsi="Arial" w:cs="Arial"/>
          <w:sz w:val="24"/>
          <w:szCs w:val="24"/>
        </w:rPr>
        <w:t>% to £</w:t>
      </w:r>
      <w:r w:rsidR="00432463">
        <w:rPr>
          <w:rFonts w:ascii="Arial" w:hAnsi="Arial" w:cs="Arial"/>
          <w:sz w:val="24"/>
          <w:szCs w:val="24"/>
        </w:rPr>
        <w:t>47</w:t>
      </w:r>
      <w:r w:rsidRPr="0006717E">
        <w:rPr>
          <w:rFonts w:ascii="Arial" w:hAnsi="Arial" w:cs="Arial"/>
          <w:sz w:val="24"/>
          <w:szCs w:val="24"/>
        </w:rPr>
        <w:t xml:space="preserve"> million, reflecting the strong sales growth, gross margins benefiting from </w:t>
      </w:r>
      <w:r w:rsidR="00432463">
        <w:rPr>
          <w:rFonts w:ascii="Arial" w:hAnsi="Arial" w:cs="Arial"/>
          <w:sz w:val="24"/>
          <w:szCs w:val="24"/>
        </w:rPr>
        <w:t>on-going self-help initiatives</w:t>
      </w:r>
      <w:r w:rsidRPr="0006717E">
        <w:rPr>
          <w:rFonts w:ascii="Arial" w:hAnsi="Arial" w:cs="Arial"/>
          <w:sz w:val="24"/>
          <w:szCs w:val="24"/>
        </w:rPr>
        <w:t xml:space="preserve"> and continued tight cost control.</w:t>
      </w:r>
    </w:p>
    <w:p w:rsidR="00C73A78" w:rsidRDefault="00C73A78" w:rsidP="001B3B55">
      <w:pPr>
        <w:jc w:val="left"/>
        <w:rPr>
          <w:rFonts w:ascii="Arial" w:hAnsi="Arial" w:cs="Arial"/>
          <w:sz w:val="24"/>
          <w:szCs w:val="24"/>
        </w:rPr>
      </w:pPr>
    </w:p>
    <w:p w:rsidR="005A7F59" w:rsidRPr="0006717E" w:rsidRDefault="005A7F59" w:rsidP="001B3B55">
      <w:pPr>
        <w:jc w:val="left"/>
        <w:rPr>
          <w:rFonts w:ascii="Arial" w:hAnsi="Arial" w:cs="Arial"/>
          <w:sz w:val="24"/>
          <w:szCs w:val="24"/>
        </w:rPr>
      </w:pPr>
      <w:r w:rsidRPr="0006717E">
        <w:rPr>
          <w:rFonts w:ascii="Arial" w:hAnsi="Arial" w:cs="Arial"/>
          <w:b/>
          <w:sz w:val="24"/>
          <w:szCs w:val="24"/>
        </w:rPr>
        <w:t>UK reporting</w:t>
      </w:r>
    </w:p>
    <w:p w:rsidR="005A7F59" w:rsidRDefault="005A7F59" w:rsidP="001B3B55">
      <w:pPr>
        <w:jc w:val="left"/>
        <w:rPr>
          <w:rFonts w:ascii="Arial" w:hAnsi="Arial" w:cs="Arial"/>
          <w:sz w:val="24"/>
          <w:szCs w:val="24"/>
        </w:rPr>
      </w:pPr>
      <w:r w:rsidRPr="0006717E">
        <w:rPr>
          <w:rFonts w:ascii="Arial" w:hAnsi="Arial" w:cs="Arial"/>
          <w:sz w:val="24"/>
          <w:szCs w:val="24"/>
        </w:rPr>
        <w:t xml:space="preserve">B&amp;Q and </w:t>
      </w:r>
      <w:proofErr w:type="spellStart"/>
      <w:r w:rsidRPr="0006717E">
        <w:rPr>
          <w:rFonts w:ascii="Arial" w:hAnsi="Arial" w:cs="Arial"/>
          <w:sz w:val="24"/>
          <w:szCs w:val="24"/>
        </w:rPr>
        <w:t>Screwfix</w:t>
      </w:r>
      <w:proofErr w:type="spellEnd"/>
      <w:r w:rsidRPr="0006717E">
        <w:rPr>
          <w:rFonts w:ascii="Arial" w:hAnsi="Arial" w:cs="Arial"/>
          <w:sz w:val="24"/>
          <w:szCs w:val="24"/>
        </w:rPr>
        <w:t xml:space="preserve"> are increasingly operating together, sharing a distribution network, jointly developing several major initiatives</w:t>
      </w:r>
      <w:r w:rsidR="00A73F44">
        <w:rPr>
          <w:rFonts w:ascii="Arial" w:hAnsi="Arial" w:cs="Arial"/>
          <w:sz w:val="24"/>
          <w:szCs w:val="24"/>
        </w:rPr>
        <w:t xml:space="preserve"> </w:t>
      </w:r>
      <w:r w:rsidRPr="0006717E">
        <w:rPr>
          <w:rFonts w:ascii="Arial" w:hAnsi="Arial" w:cs="Arial"/>
          <w:sz w:val="24"/>
          <w:szCs w:val="24"/>
        </w:rPr>
        <w:t xml:space="preserve">including </w:t>
      </w:r>
      <w:proofErr w:type="spellStart"/>
      <w:r w:rsidR="00612978">
        <w:rPr>
          <w:rFonts w:ascii="Arial" w:hAnsi="Arial" w:cs="Arial"/>
          <w:sz w:val="24"/>
          <w:szCs w:val="24"/>
        </w:rPr>
        <w:t>omni</w:t>
      </w:r>
      <w:r w:rsidRPr="0006717E">
        <w:rPr>
          <w:rFonts w:ascii="Arial" w:hAnsi="Arial" w:cs="Arial"/>
          <w:sz w:val="24"/>
          <w:szCs w:val="24"/>
        </w:rPr>
        <w:t>channel</w:t>
      </w:r>
      <w:proofErr w:type="spellEnd"/>
      <w:r w:rsidR="00FF046F">
        <w:rPr>
          <w:rFonts w:ascii="Arial" w:hAnsi="Arial" w:cs="Arial"/>
          <w:sz w:val="24"/>
          <w:szCs w:val="24"/>
        </w:rPr>
        <w:t>, the provision of</w:t>
      </w:r>
      <w:r w:rsidRPr="0006717E">
        <w:rPr>
          <w:rFonts w:ascii="Arial" w:hAnsi="Arial" w:cs="Arial"/>
          <w:sz w:val="24"/>
          <w:szCs w:val="24"/>
        </w:rPr>
        <w:t xml:space="preserve"> </w:t>
      </w:r>
      <w:r w:rsidR="00074BF9">
        <w:rPr>
          <w:rFonts w:ascii="Arial" w:hAnsi="Arial" w:cs="Arial"/>
          <w:sz w:val="24"/>
          <w:szCs w:val="24"/>
        </w:rPr>
        <w:t>energy efficiency products and services</w:t>
      </w:r>
      <w:r w:rsidRPr="0006717E">
        <w:rPr>
          <w:rFonts w:ascii="Arial" w:hAnsi="Arial" w:cs="Arial"/>
          <w:sz w:val="24"/>
          <w:szCs w:val="24"/>
        </w:rPr>
        <w:t xml:space="preserve"> and adopting a compl</w:t>
      </w:r>
      <w:r w:rsidR="000A4D5A" w:rsidRPr="0006717E">
        <w:rPr>
          <w:rFonts w:ascii="Arial" w:hAnsi="Arial" w:cs="Arial"/>
          <w:sz w:val="24"/>
          <w:szCs w:val="24"/>
        </w:rPr>
        <w:t>e</w:t>
      </w:r>
      <w:r w:rsidRPr="0006717E">
        <w:rPr>
          <w:rFonts w:ascii="Arial" w:hAnsi="Arial" w:cs="Arial"/>
          <w:sz w:val="24"/>
          <w:szCs w:val="24"/>
        </w:rPr>
        <w:t>mentary strategy for UK growth. As a result</w:t>
      </w:r>
      <w:r w:rsidR="000A4D5A" w:rsidRPr="0006717E">
        <w:rPr>
          <w:rFonts w:ascii="Arial" w:hAnsi="Arial" w:cs="Arial"/>
          <w:sz w:val="24"/>
          <w:szCs w:val="24"/>
        </w:rPr>
        <w:t>,</w:t>
      </w:r>
      <w:r w:rsidRPr="0006717E">
        <w:rPr>
          <w:rFonts w:ascii="Arial" w:hAnsi="Arial" w:cs="Arial"/>
          <w:sz w:val="24"/>
          <w:szCs w:val="24"/>
        </w:rPr>
        <w:t xml:space="preserve"> from next year (2013/14) reporting in the UK will mirror our current practice in France</w:t>
      </w:r>
      <w:r w:rsidR="000A4D5A" w:rsidRPr="0006717E">
        <w:rPr>
          <w:rFonts w:ascii="Arial" w:hAnsi="Arial" w:cs="Arial"/>
          <w:sz w:val="24"/>
          <w:szCs w:val="24"/>
        </w:rPr>
        <w:t xml:space="preserve"> and</w:t>
      </w:r>
      <w:r w:rsidRPr="0006717E">
        <w:rPr>
          <w:rFonts w:ascii="Arial" w:hAnsi="Arial" w:cs="Arial"/>
          <w:sz w:val="24"/>
          <w:szCs w:val="24"/>
        </w:rPr>
        <w:t xml:space="preserve"> provid</w:t>
      </w:r>
      <w:r w:rsidR="000A4D5A" w:rsidRPr="0006717E">
        <w:rPr>
          <w:rFonts w:ascii="Arial" w:hAnsi="Arial" w:cs="Arial"/>
          <w:sz w:val="24"/>
          <w:szCs w:val="24"/>
        </w:rPr>
        <w:t>e</w:t>
      </w:r>
      <w:r w:rsidRPr="0006717E">
        <w:rPr>
          <w:rFonts w:ascii="Arial" w:hAnsi="Arial" w:cs="Arial"/>
          <w:sz w:val="24"/>
          <w:szCs w:val="24"/>
        </w:rPr>
        <w:t xml:space="preserve"> one overall profit figure along with a commentary on the sales performance of each major business.</w:t>
      </w:r>
      <w:r>
        <w:rPr>
          <w:rFonts w:ascii="Arial" w:hAnsi="Arial" w:cs="Arial"/>
          <w:sz w:val="24"/>
          <w:szCs w:val="24"/>
        </w:rPr>
        <w:t xml:space="preserve">  </w:t>
      </w:r>
    </w:p>
    <w:p w:rsidR="005A7F59" w:rsidRPr="007D220F" w:rsidRDefault="005A7F59" w:rsidP="001B3B55">
      <w:pPr>
        <w:jc w:val="left"/>
        <w:rPr>
          <w:rFonts w:ascii="Arial" w:hAnsi="Arial" w:cs="Arial"/>
          <w:sz w:val="24"/>
          <w:szCs w:val="24"/>
          <w:highlight w:val="magenta"/>
        </w:rPr>
      </w:pPr>
    </w:p>
    <w:p w:rsidR="00D56E13" w:rsidRPr="0006717E" w:rsidRDefault="00D56E13" w:rsidP="008E6C24">
      <w:pPr>
        <w:jc w:val="left"/>
        <w:rPr>
          <w:rFonts w:ascii="Arial" w:hAnsi="Arial" w:cs="Arial"/>
          <w:i/>
          <w:iCs/>
          <w:color w:val="FF0000"/>
          <w:sz w:val="18"/>
          <w:szCs w:val="18"/>
        </w:rPr>
      </w:pPr>
    </w:p>
    <w:p w:rsidR="00074BF9" w:rsidRDefault="006329B5" w:rsidP="006329B5">
      <w:pPr>
        <w:jc w:val="left"/>
        <w:rPr>
          <w:rFonts w:ascii="Arial" w:hAnsi="Arial" w:cs="Arial"/>
          <w:i/>
          <w:iCs/>
          <w:sz w:val="18"/>
          <w:szCs w:val="18"/>
        </w:rPr>
      </w:pPr>
      <w:r w:rsidRPr="006329B5">
        <w:rPr>
          <w:rFonts w:ascii="Helvetica" w:hAnsi="Helvetica" w:cs="Helvetica"/>
          <w:i/>
          <w:iCs/>
          <w:sz w:val="20"/>
          <w:szCs w:val="20"/>
          <w:vertAlign w:val="superscript"/>
        </w:rPr>
        <w:t>(1)</w:t>
      </w:r>
      <w:r w:rsidRPr="0006717E">
        <w:rPr>
          <w:rFonts w:ascii="Arial" w:hAnsi="Arial" w:cs="Arial"/>
          <w:i/>
          <w:iCs/>
          <w:sz w:val="18"/>
          <w:szCs w:val="18"/>
        </w:rPr>
        <w:t xml:space="preserve">Kingfisher estimate for the UK RMI (Repairs, Maintenance &amp; Improvement) market – incorporates </w:t>
      </w:r>
      <w:proofErr w:type="spellStart"/>
      <w:r w:rsidRPr="0006717E">
        <w:rPr>
          <w:rFonts w:ascii="Arial" w:hAnsi="Arial" w:cs="Arial"/>
          <w:i/>
          <w:iCs/>
          <w:sz w:val="18"/>
          <w:szCs w:val="18"/>
        </w:rPr>
        <w:t>Gf</w:t>
      </w:r>
      <w:r w:rsidR="00A01C06">
        <w:rPr>
          <w:rFonts w:ascii="Arial" w:hAnsi="Arial" w:cs="Arial"/>
          <w:i/>
          <w:iCs/>
          <w:sz w:val="18"/>
          <w:szCs w:val="18"/>
        </w:rPr>
        <w:t>K</w:t>
      </w:r>
      <w:proofErr w:type="spellEnd"/>
      <w:r w:rsidRPr="0006717E">
        <w:rPr>
          <w:rFonts w:ascii="Arial" w:hAnsi="Arial" w:cs="Arial"/>
          <w:i/>
          <w:iCs/>
          <w:sz w:val="18"/>
          <w:szCs w:val="18"/>
        </w:rPr>
        <w:t xml:space="preserve"> data, which includes new space but which excludes B&amp;Q Ireland and private retailers e.g. IKEA</w:t>
      </w:r>
      <w:r w:rsidR="004A5017">
        <w:rPr>
          <w:rFonts w:ascii="Arial" w:hAnsi="Arial" w:cs="Arial"/>
          <w:i/>
          <w:iCs/>
          <w:sz w:val="18"/>
          <w:szCs w:val="18"/>
        </w:rPr>
        <w:t xml:space="preserve"> and</w:t>
      </w:r>
      <w:r w:rsidRPr="0006717E">
        <w:rPr>
          <w:rFonts w:ascii="Arial" w:hAnsi="Arial" w:cs="Arial"/>
          <w:i/>
          <w:iCs/>
          <w:sz w:val="18"/>
          <w:szCs w:val="18"/>
        </w:rPr>
        <w:t xml:space="preserve"> other smaller independents. It is on a cash sales basis and is adjusted for discounts</w:t>
      </w:r>
    </w:p>
    <w:p w:rsidR="006329B5" w:rsidRPr="0006717E" w:rsidRDefault="0071640E" w:rsidP="006329B5">
      <w:pPr>
        <w:jc w:val="left"/>
        <w:rPr>
          <w:rFonts w:ascii="Arial" w:hAnsi="Arial" w:cs="Arial"/>
          <w:i/>
          <w:iCs/>
          <w:sz w:val="18"/>
          <w:szCs w:val="18"/>
        </w:rPr>
      </w:pPr>
      <w:r>
        <w:rPr>
          <w:rFonts w:ascii="Helvetica" w:hAnsi="Helvetica" w:cs="Helvetica"/>
          <w:i/>
          <w:iCs/>
          <w:sz w:val="20"/>
          <w:szCs w:val="20"/>
          <w:vertAlign w:val="superscript"/>
        </w:rPr>
        <w:t>(2</w:t>
      </w:r>
      <w:r w:rsidR="00074BF9" w:rsidRPr="0006717E">
        <w:rPr>
          <w:rFonts w:ascii="Helvetica" w:hAnsi="Helvetica" w:cs="Helvetica"/>
          <w:i/>
          <w:iCs/>
          <w:sz w:val="20"/>
          <w:szCs w:val="20"/>
          <w:vertAlign w:val="superscript"/>
        </w:rPr>
        <w:t>)</w:t>
      </w:r>
      <w:r w:rsidR="00074BF9">
        <w:rPr>
          <w:rFonts w:ascii="Arial" w:hAnsi="Arial" w:cs="Arial"/>
          <w:i/>
          <w:iCs/>
          <w:sz w:val="18"/>
          <w:szCs w:val="18"/>
        </w:rPr>
        <w:t>Cash sales are recognised as sales when the products are delivered to the customer</w:t>
      </w:r>
    </w:p>
    <w:p w:rsidR="006329B5" w:rsidRPr="0006717E" w:rsidRDefault="006329B5" w:rsidP="006329B5">
      <w:pPr>
        <w:jc w:val="left"/>
        <w:rPr>
          <w:rFonts w:ascii="Arial" w:hAnsi="Arial" w:cs="Arial"/>
          <w:i/>
          <w:iCs/>
          <w:sz w:val="18"/>
          <w:szCs w:val="18"/>
        </w:rPr>
      </w:pPr>
      <w:bookmarkStart w:id="13" w:name="OLE_LINK9"/>
      <w:bookmarkStart w:id="14" w:name="OLE_LINK10"/>
      <w:r w:rsidRPr="0006717E">
        <w:rPr>
          <w:rFonts w:ascii="Helvetica" w:hAnsi="Helvetica" w:cs="Helvetica"/>
          <w:i/>
          <w:iCs/>
          <w:sz w:val="20"/>
          <w:szCs w:val="20"/>
          <w:vertAlign w:val="superscript"/>
        </w:rPr>
        <w:t>(</w:t>
      </w:r>
      <w:r w:rsidR="00074BF9">
        <w:rPr>
          <w:rFonts w:ascii="Helvetica" w:hAnsi="Helvetica" w:cs="Helvetica"/>
          <w:i/>
          <w:iCs/>
          <w:sz w:val="20"/>
          <w:szCs w:val="20"/>
          <w:vertAlign w:val="superscript"/>
        </w:rPr>
        <w:t>3</w:t>
      </w:r>
      <w:r w:rsidRPr="0006717E">
        <w:rPr>
          <w:rFonts w:ascii="Helvetica" w:hAnsi="Helvetica" w:cs="Helvetica"/>
          <w:i/>
          <w:iCs/>
          <w:sz w:val="20"/>
          <w:szCs w:val="20"/>
          <w:vertAlign w:val="superscript"/>
        </w:rPr>
        <w:t>)</w:t>
      </w:r>
      <w:r w:rsidRPr="0006717E">
        <w:rPr>
          <w:rFonts w:ascii="Arial" w:hAnsi="Arial" w:cs="Arial"/>
          <w:i/>
          <w:iCs/>
          <w:sz w:val="18"/>
          <w:szCs w:val="18"/>
        </w:rPr>
        <w:t>Based on the Builders’ Merchants Fede</w:t>
      </w:r>
      <w:r w:rsidR="00801879">
        <w:rPr>
          <w:rFonts w:ascii="Arial" w:hAnsi="Arial" w:cs="Arial"/>
          <w:i/>
          <w:iCs/>
          <w:sz w:val="18"/>
          <w:szCs w:val="18"/>
        </w:rPr>
        <w:t xml:space="preserve">ration </w:t>
      </w:r>
      <w:proofErr w:type="spellStart"/>
      <w:r w:rsidR="00801879">
        <w:rPr>
          <w:rFonts w:ascii="Arial" w:hAnsi="Arial" w:cs="Arial"/>
          <w:i/>
          <w:iCs/>
          <w:sz w:val="18"/>
          <w:szCs w:val="18"/>
        </w:rPr>
        <w:t>lightside</w:t>
      </w:r>
      <w:proofErr w:type="spellEnd"/>
      <w:r w:rsidR="00801879">
        <w:rPr>
          <w:rFonts w:ascii="Arial" w:hAnsi="Arial" w:cs="Arial"/>
          <w:i/>
          <w:iCs/>
          <w:sz w:val="18"/>
          <w:szCs w:val="18"/>
        </w:rPr>
        <w:t xml:space="preserve"> data Jan-Dec</w:t>
      </w:r>
      <w:r w:rsidRPr="0006717E">
        <w:rPr>
          <w:rFonts w:ascii="Arial" w:hAnsi="Arial" w:cs="Arial"/>
          <w:i/>
          <w:iCs/>
          <w:sz w:val="18"/>
          <w:szCs w:val="18"/>
        </w:rPr>
        <w:t xml:space="preserve"> 2012</w:t>
      </w:r>
      <w:r w:rsidR="00801879">
        <w:rPr>
          <w:rFonts w:ascii="Arial" w:hAnsi="Arial" w:cs="Arial"/>
          <w:i/>
          <w:iCs/>
          <w:sz w:val="18"/>
          <w:szCs w:val="18"/>
        </w:rPr>
        <w:t xml:space="preserve"> and includes new space</w:t>
      </w:r>
      <w:r w:rsidR="00432463">
        <w:rPr>
          <w:rFonts w:ascii="Arial" w:hAnsi="Arial" w:cs="Arial"/>
          <w:i/>
          <w:iCs/>
          <w:sz w:val="18"/>
          <w:szCs w:val="18"/>
        </w:rPr>
        <w:t>, down 0.4%</w:t>
      </w:r>
    </w:p>
    <w:bookmarkEnd w:id="13"/>
    <w:bookmarkEnd w:id="14"/>
    <w:p w:rsidR="00AD39A0" w:rsidRPr="0006717E" w:rsidRDefault="00AD39A0">
      <w:pPr>
        <w:jc w:val="left"/>
        <w:rPr>
          <w:rFonts w:ascii="Arial" w:hAnsi="Arial" w:cs="Arial"/>
          <w:b/>
          <w:bCs/>
          <w:color w:val="FF0000"/>
          <w:sz w:val="24"/>
          <w:szCs w:val="24"/>
        </w:rPr>
      </w:pPr>
      <w:r w:rsidRPr="0006717E">
        <w:rPr>
          <w:rFonts w:ascii="Arial" w:hAnsi="Arial" w:cs="Arial"/>
          <w:b/>
          <w:bCs/>
          <w:color w:val="FF0000"/>
          <w:sz w:val="24"/>
          <w:szCs w:val="24"/>
        </w:rPr>
        <w:br w:type="page"/>
      </w:r>
    </w:p>
    <w:p w:rsidR="001B3B55" w:rsidRPr="007D220F" w:rsidRDefault="001B3B55" w:rsidP="001B3B55">
      <w:pPr>
        <w:jc w:val="left"/>
        <w:rPr>
          <w:rFonts w:ascii="Arial" w:hAnsi="Arial" w:cs="Arial"/>
          <w:b/>
          <w:bCs/>
          <w:sz w:val="24"/>
          <w:szCs w:val="24"/>
          <w:highlight w:val="magenta"/>
        </w:rPr>
      </w:pPr>
      <w:r w:rsidRPr="00590201">
        <w:rPr>
          <w:rFonts w:ascii="Arial" w:hAnsi="Arial" w:cs="Arial"/>
          <w:b/>
          <w:bCs/>
          <w:sz w:val="24"/>
          <w:szCs w:val="24"/>
        </w:rPr>
        <w:t>OTHER INTERNATIONAL</w:t>
      </w:r>
    </w:p>
    <w:p w:rsidR="001B3B55" w:rsidRPr="007D220F" w:rsidRDefault="001B3B55" w:rsidP="001B3B55">
      <w:pPr>
        <w:rPr>
          <w:rFonts w:ascii="Arial" w:hAnsi="Arial" w:cs="Arial"/>
          <w:b/>
          <w:bCs/>
          <w:sz w:val="24"/>
          <w:szCs w:val="24"/>
          <w:highlight w:val="magenta"/>
        </w:rPr>
      </w:pPr>
    </w:p>
    <w:tbl>
      <w:tblPr>
        <w:tblW w:w="4839" w:type="pct"/>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39"/>
        <w:gridCol w:w="1259"/>
        <w:gridCol w:w="1441"/>
        <w:gridCol w:w="1622"/>
        <w:gridCol w:w="1620"/>
        <w:gridCol w:w="1259"/>
      </w:tblGrid>
      <w:tr w:rsidR="001B3B55" w:rsidRPr="001B3B55" w:rsidTr="001B3B55">
        <w:trPr>
          <w:trHeight w:val="134"/>
        </w:trPr>
        <w:tc>
          <w:tcPr>
            <w:tcW w:w="1226" w:type="pct"/>
            <w:tcBorders>
              <w:top w:val="single" w:sz="4" w:space="0" w:color="auto"/>
            </w:tcBorders>
          </w:tcPr>
          <w:p w:rsidR="001B3B55" w:rsidRPr="006B7548" w:rsidRDefault="001B3B55" w:rsidP="001B3B55">
            <w:pPr>
              <w:rPr>
                <w:rFonts w:ascii="Arial" w:hAnsi="Arial" w:cs="Arial"/>
                <w:b/>
                <w:bCs/>
                <w:sz w:val="24"/>
                <w:szCs w:val="24"/>
              </w:rPr>
            </w:pPr>
            <w:r w:rsidRPr="006B7548">
              <w:rPr>
                <w:rFonts w:ascii="Arial" w:hAnsi="Arial" w:cs="Arial"/>
                <w:b/>
                <w:bCs/>
                <w:sz w:val="24"/>
                <w:szCs w:val="24"/>
              </w:rPr>
              <w:t>Sales £m</w:t>
            </w:r>
          </w:p>
        </w:tc>
        <w:tc>
          <w:tcPr>
            <w:tcW w:w="660" w:type="pct"/>
            <w:tcBorders>
              <w:top w:val="single" w:sz="4" w:space="0" w:color="auto"/>
            </w:tcBorders>
          </w:tcPr>
          <w:p w:rsidR="001B3B55" w:rsidRPr="006B7548" w:rsidRDefault="00590201" w:rsidP="001B3B55">
            <w:pPr>
              <w:jc w:val="right"/>
              <w:rPr>
                <w:rFonts w:ascii="Arial" w:hAnsi="Arial" w:cs="Arial"/>
                <w:b/>
                <w:bCs/>
                <w:sz w:val="24"/>
                <w:szCs w:val="24"/>
              </w:rPr>
            </w:pPr>
            <w:r w:rsidRPr="007D220F">
              <w:rPr>
                <w:rFonts w:ascii="Arial" w:hAnsi="Arial" w:cs="Arial"/>
                <w:b/>
                <w:bCs/>
                <w:sz w:val="24"/>
                <w:szCs w:val="24"/>
              </w:rPr>
              <w:t>2012/13</w:t>
            </w:r>
          </w:p>
        </w:tc>
        <w:tc>
          <w:tcPr>
            <w:tcW w:w="755" w:type="pct"/>
            <w:tcBorders>
              <w:top w:val="single" w:sz="4" w:space="0" w:color="auto"/>
            </w:tcBorders>
          </w:tcPr>
          <w:p w:rsidR="001B3B55" w:rsidRPr="00590201" w:rsidRDefault="00590201" w:rsidP="001B3B55">
            <w:pPr>
              <w:jc w:val="right"/>
              <w:rPr>
                <w:rFonts w:ascii="Arial" w:hAnsi="Arial" w:cs="Arial"/>
                <w:b/>
                <w:bCs/>
                <w:sz w:val="24"/>
                <w:szCs w:val="24"/>
              </w:rPr>
            </w:pPr>
            <w:r w:rsidRPr="007D220F">
              <w:rPr>
                <w:rFonts w:ascii="Arial" w:hAnsi="Arial" w:cs="Arial"/>
                <w:b/>
                <w:bCs/>
                <w:sz w:val="24"/>
                <w:szCs w:val="24"/>
              </w:rPr>
              <w:t>2011/12</w:t>
            </w:r>
          </w:p>
        </w:tc>
        <w:tc>
          <w:tcPr>
            <w:tcW w:w="850" w:type="pct"/>
            <w:tcBorders>
              <w:top w:val="single" w:sz="4" w:space="0" w:color="auto"/>
            </w:tcBorders>
          </w:tcPr>
          <w:p w:rsidR="001B3B55" w:rsidRPr="006B7548" w:rsidRDefault="001B3B55" w:rsidP="001B3B55">
            <w:pPr>
              <w:jc w:val="right"/>
              <w:rPr>
                <w:rFonts w:ascii="Arial" w:hAnsi="Arial" w:cs="Arial"/>
                <w:b/>
                <w:bCs/>
                <w:sz w:val="24"/>
                <w:szCs w:val="24"/>
              </w:rPr>
            </w:pPr>
            <w:r w:rsidRPr="006B7548">
              <w:rPr>
                <w:rFonts w:ascii="Arial" w:hAnsi="Arial" w:cs="Arial"/>
                <w:b/>
                <w:bCs/>
                <w:sz w:val="24"/>
                <w:szCs w:val="24"/>
              </w:rPr>
              <w:t>% Reported Change</w:t>
            </w:r>
          </w:p>
        </w:tc>
        <w:tc>
          <w:tcPr>
            <w:tcW w:w="849" w:type="pct"/>
            <w:tcBorders>
              <w:top w:val="single" w:sz="4" w:space="0" w:color="auto"/>
            </w:tcBorders>
          </w:tcPr>
          <w:p w:rsidR="001B3B55" w:rsidRPr="006B7548" w:rsidRDefault="001B3B55" w:rsidP="001B3B55">
            <w:pPr>
              <w:jc w:val="right"/>
              <w:rPr>
                <w:rFonts w:ascii="Arial" w:hAnsi="Arial" w:cs="Arial"/>
                <w:b/>
                <w:bCs/>
                <w:sz w:val="24"/>
                <w:szCs w:val="24"/>
              </w:rPr>
            </w:pPr>
            <w:r w:rsidRPr="006B7548">
              <w:rPr>
                <w:rFonts w:ascii="Arial" w:hAnsi="Arial" w:cs="Arial"/>
                <w:b/>
                <w:bCs/>
                <w:sz w:val="24"/>
                <w:szCs w:val="24"/>
              </w:rPr>
              <w:t>% Constant Change</w:t>
            </w:r>
          </w:p>
        </w:tc>
        <w:tc>
          <w:tcPr>
            <w:tcW w:w="660" w:type="pct"/>
            <w:tcBorders>
              <w:top w:val="single" w:sz="4" w:space="0" w:color="auto"/>
            </w:tcBorders>
          </w:tcPr>
          <w:p w:rsidR="001B3B55" w:rsidRPr="006B7548" w:rsidRDefault="001B3B55" w:rsidP="001B3B55">
            <w:pPr>
              <w:jc w:val="right"/>
              <w:rPr>
                <w:rFonts w:ascii="Arial" w:hAnsi="Arial" w:cs="Arial"/>
                <w:b/>
                <w:bCs/>
                <w:sz w:val="24"/>
                <w:szCs w:val="24"/>
              </w:rPr>
            </w:pPr>
            <w:r w:rsidRPr="006B7548">
              <w:rPr>
                <w:rFonts w:ascii="Arial" w:hAnsi="Arial" w:cs="Arial"/>
                <w:b/>
                <w:bCs/>
                <w:sz w:val="24"/>
                <w:szCs w:val="24"/>
              </w:rPr>
              <w:t>% LFL</w:t>
            </w:r>
          </w:p>
          <w:p w:rsidR="001B3B55" w:rsidRPr="006B7548" w:rsidRDefault="001B3B55" w:rsidP="001B3B55">
            <w:pPr>
              <w:jc w:val="right"/>
              <w:rPr>
                <w:rFonts w:ascii="Arial" w:hAnsi="Arial" w:cs="Arial"/>
                <w:b/>
                <w:bCs/>
                <w:sz w:val="24"/>
                <w:szCs w:val="24"/>
              </w:rPr>
            </w:pPr>
            <w:r w:rsidRPr="006B7548">
              <w:rPr>
                <w:rFonts w:ascii="Arial" w:hAnsi="Arial" w:cs="Arial"/>
                <w:b/>
                <w:bCs/>
                <w:sz w:val="24"/>
                <w:szCs w:val="24"/>
              </w:rPr>
              <w:t>Change</w:t>
            </w:r>
          </w:p>
        </w:tc>
      </w:tr>
      <w:tr w:rsidR="001B3B55" w:rsidRPr="001B3B55" w:rsidTr="001B3B55">
        <w:trPr>
          <w:trHeight w:val="134"/>
        </w:trPr>
        <w:tc>
          <w:tcPr>
            <w:tcW w:w="1226" w:type="pct"/>
            <w:tcBorders>
              <w:bottom w:val="single" w:sz="4" w:space="0" w:color="auto"/>
            </w:tcBorders>
          </w:tcPr>
          <w:p w:rsidR="001B3B55" w:rsidRPr="006B7548" w:rsidRDefault="001B3B55" w:rsidP="001B3B55">
            <w:pPr>
              <w:rPr>
                <w:rFonts w:ascii="Arial" w:hAnsi="Arial" w:cs="Arial"/>
                <w:sz w:val="24"/>
                <w:szCs w:val="24"/>
              </w:rPr>
            </w:pPr>
            <w:r w:rsidRPr="006B7548">
              <w:rPr>
                <w:rFonts w:ascii="Arial" w:hAnsi="Arial" w:cs="Arial"/>
                <w:sz w:val="24"/>
                <w:szCs w:val="24"/>
              </w:rPr>
              <w:t>Other International</w:t>
            </w:r>
          </w:p>
        </w:tc>
        <w:tc>
          <w:tcPr>
            <w:tcW w:w="660" w:type="pct"/>
            <w:tcBorders>
              <w:bottom w:val="single" w:sz="4" w:space="0" w:color="auto"/>
            </w:tcBorders>
          </w:tcPr>
          <w:p w:rsidR="001B3B55" w:rsidRPr="006B7548" w:rsidRDefault="00DB7164" w:rsidP="001B3B55">
            <w:pPr>
              <w:jc w:val="right"/>
              <w:rPr>
                <w:rFonts w:ascii="Arial" w:hAnsi="Arial" w:cs="Arial"/>
                <w:sz w:val="24"/>
                <w:szCs w:val="24"/>
              </w:rPr>
            </w:pPr>
            <w:r>
              <w:rPr>
                <w:rFonts w:ascii="Arial" w:hAnsi="Arial" w:cs="Arial"/>
                <w:sz w:val="24"/>
                <w:szCs w:val="24"/>
              </w:rPr>
              <w:t>2,063</w:t>
            </w:r>
          </w:p>
        </w:tc>
        <w:tc>
          <w:tcPr>
            <w:tcW w:w="755" w:type="pct"/>
            <w:tcBorders>
              <w:bottom w:val="single" w:sz="4" w:space="0" w:color="auto"/>
            </w:tcBorders>
          </w:tcPr>
          <w:p w:rsidR="00590201" w:rsidRPr="00590201" w:rsidRDefault="00DB7164">
            <w:pPr>
              <w:jc w:val="right"/>
              <w:rPr>
                <w:rFonts w:ascii="Arial" w:hAnsi="Arial" w:cs="Arial"/>
                <w:sz w:val="24"/>
                <w:szCs w:val="24"/>
              </w:rPr>
            </w:pPr>
            <w:r>
              <w:rPr>
                <w:rFonts w:ascii="Arial" w:hAnsi="Arial" w:cs="Arial"/>
                <w:sz w:val="24"/>
                <w:szCs w:val="24"/>
              </w:rPr>
              <w:t>2,023</w:t>
            </w:r>
          </w:p>
        </w:tc>
        <w:tc>
          <w:tcPr>
            <w:tcW w:w="850" w:type="pct"/>
            <w:tcBorders>
              <w:bottom w:val="single" w:sz="4" w:space="0" w:color="auto"/>
            </w:tcBorders>
          </w:tcPr>
          <w:p w:rsidR="001B3B55" w:rsidRPr="006B7548" w:rsidRDefault="00DB7164" w:rsidP="001B3B55">
            <w:pPr>
              <w:jc w:val="right"/>
              <w:rPr>
                <w:rFonts w:ascii="Arial" w:hAnsi="Arial" w:cs="Arial"/>
                <w:sz w:val="24"/>
                <w:szCs w:val="24"/>
              </w:rPr>
            </w:pPr>
            <w:r>
              <w:rPr>
                <w:rFonts w:ascii="Arial" w:hAnsi="Arial" w:cs="Arial"/>
                <w:sz w:val="24"/>
                <w:szCs w:val="24"/>
              </w:rPr>
              <w:t>2.0%</w:t>
            </w:r>
          </w:p>
        </w:tc>
        <w:tc>
          <w:tcPr>
            <w:tcW w:w="849" w:type="pct"/>
            <w:tcBorders>
              <w:bottom w:val="single" w:sz="4" w:space="0" w:color="auto"/>
            </w:tcBorders>
          </w:tcPr>
          <w:p w:rsidR="001B3B55" w:rsidRPr="006B7548" w:rsidRDefault="00DB7164" w:rsidP="001B3B55">
            <w:pPr>
              <w:jc w:val="right"/>
              <w:rPr>
                <w:rFonts w:ascii="Arial" w:hAnsi="Arial" w:cs="Arial"/>
                <w:sz w:val="24"/>
                <w:szCs w:val="24"/>
              </w:rPr>
            </w:pPr>
            <w:r>
              <w:rPr>
                <w:rFonts w:ascii="Arial" w:hAnsi="Arial" w:cs="Arial"/>
                <w:sz w:val="24"/>
                <w:szCs w:val="24"/>
              </w:rPr>
              <w:t>6.6%</w:t>
            </w:r>
          </w:p>
        </w:tc>
        <w:tc>
          <w:tcPr>
            <w:tcW w:w="660" w:type="pct"/>
            <w:tcBorders>
              <w:bottom w:val="single" w:sz="4" w:space="0" w:color="auto"/>
            </w:tcBorders>
          </w:tcPr>
          <w:p w:rsidR="001B3B55" w:rsidRPr="006B7548" w:rsidRDefault="00DB7164" w:rsidP="001B3B55">
            <w:pPr>
              <w:jc w:val="right"/>
              <w:rPr>
                <w:rFonts w:ascii="Arial" w:hAnsi="Arial" w:cs="Arial"/>
                <w:sz w:val="24"/>
                <w:szCs w:val="24"/>
              </w:rPr>
            </w:pPr>
            <w:r>
              <w:rPr>
                <w:rFonts w:ascii="Arial" w:hAnsi="Arial" w:cs="Arial"/>
                <w:sz w:val="24"/>
                <w:szCs w:val="24"/>
              </w:rPr>
              <w:t>(0.7)%</w:t>
            </w:r>
          </w:p>
        </w:tc>
      </w:tr>
    </w:tbl>
    <w:p w:rsidR="001B3B55" w:rsidRPr="007D220F" w:rsidRDefault="001B3B55" w:rsidP="001B3B55">
      <w:pPr>
        <w:rPr>
          <w:rFonts w:ascii="Arial" w:hAnsi="Arial" w:cs="Arial"/>
          <w:sz w:val="24"/>
          <w:szCs w:val="24"/>
          <w:highlight w:val="magenta"/>
        </w:rPr>
      </w:pPr>
    </w:p>
    <w:tbl>
      <w:tblPr>
        <w:tblW w:w="42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1221"/>
        <w:gridCol w:w="1480"/>
        <w:gridCol w:w="1591"/>
        <w:gridCol w:w="1644"/>
      </w:tblGrid>
      <w:tr w:rsidR="001B3B55" w:rsidRPr="00180355" w:rsidTr="001B3B55">
        <w:trPr>
          <w:trHeight w:val="134"/>
        </w:trPr>
        <w:tc>
          <w:tcPr>
            <w:tcW w:w="1415" w:type="pct"/>
          </w:tcPr>
          <w:p w:rsidR="001B3B55" w:rsidRPr="00180355" w:rsidRDefault="001B3B55" w:rsidP="001B3B55">
            <w:pPr>
              <w:rPr>
                <w:rFonts w:ascii="Arial" w:hAnsi="Arial" w:cs="Arial"/>
                <w:b/>
                <w:bCs/>
                <w:sz w:val="24"/>
                <w:szCs w:val="24"/>
              </w:rPr>
            </w:pPr>
            <w:r w:rsidRPr="00180355">
              <w:rPr>
                <w:rFonts w:ascii="Arial" w:hAnsi="Arial" w:cs="Arial"/>
                <w:b/>
                <w:bCs/>
                <w:sz w:val="24"/>
                <w:szCs w:val="24"/>
              </w:rPr>
              <w:t>Retail profit £m</w:t>
            </w:r>
          </w:p>
        </w:tc>
        <w:tc>
          <w:tcPr>
            <w:tcW w:w="737" w:type="pct"/>
          </w:tcPr>
          <w:p w:rsidR="001B3B55" w:rsidRPr="00180355" w:rsidRDefault="00590201" w:rsidP="001B3B55">
            <w:pPr>
              <w:jc w:val="right"/>
              <w:rPr>
                <w:rFonts w:ascii="Arial" w:hAnsi="Arial" w:cs="Arial"/>
                <w:b/>
                <w:bCs/>
                <w:sz w:val="24"/>
                <w:szCs w:val="24"/>
              </w:rPr>
            </w:pPr>
            <w:r w:rsidRPr="007D220F">
              <w:rPr>
                <w:rFonts w:ascii="Arial" w:hAnsi="Arial" w:cs="Arial"/>
                <w:b/>
                <w:bCs/>
                <w:sz w:val="24"/>
                <w:szCs w:val="24"/>
              </w:rPr>
              <w:t>2012/13</w:t>
            </w:r>
          </w:p>
        </w:tc>
        <w:tc>
          <w:tcPr>
            <w:tcW w:w="894" w:type="pct"/>
          </w:tcPr>
          <w:p w:rsidR="001B3B55" w:rsidRPr="00180355" w:rsidRDefault="00590201" w:rsidP="001B3B55">
            <w:pPr>
              <w:jc w:val="right"/>
              <w:rPr>
                <w:rFonts w:ascii="Arial" w:hAnsi="Arial" w:cs="Arial"/>
                <w:b/>
                <w:bCs/>
                <w:sz w:val="24"/>
                <w:szCs w:val="24"/>
              </w:rPr>
            </w:pPr>
            <w:r w:rsidRPr="007D220F">
              <w:rPr>
                <w:rFonts w:ascii="Arial" w:hAnsi="Arial" w:cs="Arial"/>
                <w:b/>
                <w:bCs/>
                <w:sz w:val="24"/>
                <w:szCs w:val="24"/>
              </w:rPr>
              <w:t>2011/12</w:t>
            </w:r>
          </w:p>
        </w:tc>
        <w:tc>
          <w:tcPr>
            <w:tcW w:w="961" w:type="pct"/>
          </w:tcPr>
          <w:p w:rsidR="001B3B55" w:rsidRPr="00180355" w:rsidRDefault="001B3B55" w:rsidP="001B3B55">
            <w:pPr>
              <w:jc w:val="right"/>
              <w:rPr>
                <w:rFonts w:ascii="Arial" w:hAnsi="Arial" w:cs="Arial"/>
                <w:b/>
                <w:bCs/>
                <w:sz w:val="24"/>
                <w:szCs w:val="24"/>
              </w:rPr>
            </w:pPr>
            <w:r w:rsidRPr="00180355">
              <w:rPr>
                <w:rFonts w:ascii="Arial" w:hAnsi="Arial" w:cs="Arial"/>
                <w:b/>
                <w:bCs/>
                <w:sz w:val="24"/>
                <w:szCs w:val="24"/>
              </w:rPr>
              <w:t>% Reported Change</w:t>
            </w:r>
          </w:p>
        </w:tc>
        <w:tc>
          <w:tcPr>
            <w:tcW w:w="994" w:type="pct"/>
          </w:tcPr>
          <w:p w:rsidR="001B3B55" w:rsidRPr="00180355" w:rsidRDefault="001B3B55" w:rsidP="001B3B55">
            <w:pPr>
              <w:jc w:val="right"/>
              <w:rPr>
                <w:rFonts w:ascii="Arial" w:hAnsi="Arial" w:cs="Arial"/>
                <w:b/>
                <w:bCs/>
                <w:sz w:val="24"/>
                <w:szCs w:val="24"/>
              </w:rPr>
            </w:pPr>
            <w:r w:rsidRPr="00180355">
              <w:rPr>
                <w:rFonts w:ascii="Arial" w:hAnsi="Arial" w:cs="Arial"/>
                <w:b/>
                <w:bCs/>
                <w:sz w:val="24"/>
                <w:szCs w:val="24"/>
              </w:rPr>
              <w:t>% Constant Change</w:t>
            </w:r>
          </w:p>
        </w:tc>
      </w:tr>
      <w:tr w:rsidR="001B3B55" w:rsidRPr="00180355" w:rsidTr="001B3B55">
        <w:trPr>
          <w:trHeight w:val="134"/>
        </w:trPr>
        <w:tc>
          <w:tcPr>
            <w:tcW w:w="1415" w:type="pct"/>
          </w:tcPr>
          <w:p w:rsidR="001B3B55" w:rsidRPr="00180355" w:rsidRDefault="001B3B55" w:rsidP="001B3B55">
            <w:pPr>
              <w:rPr>
                <w:rFonts w:ascii="Arial" w:hAnsi="Arial" w:cs="Arial"/>
                <w:sz w:val="24"/>
                <w:szCs w:val="24"/>
              </w:rPr>
            </w:pPr>
            <w:r w:rsidRPr="00180355">
              <w:rPr>
                <w:rFonts w:ascii="Arial" w:hAnsi="Arial" w:cs="Arial"/>
                <w:sz w:val="24"/>
                <w:szCs w:val="24"/>
              </w:rPr>
              <w:t>Other International</w:t>
            </w:r>
          </w:p>
        </w:tc>
        <w:tc>
          <w:tcPr>
            <w:tcW w:w="737" w:type="pct"/>
          </w:tcPr>
          <w:p w:rsidR="001B3B55" w:rsidRPr="00180355" w:rsidRDefault="00DB7164" w:rsidP="001B3B55">
            <w:pPr>
              <w:jc w:val="right"/>
              <w:rPr>
                <w:rFonts w:ascii="Arial" w:hAnsi="Arial" w:cs="Arial"/>
                <w:sz w:val="24"/>
                <w:szCs w:val="24"/>
              </w:rPr>
            </w:pPr>
            <w:r>
              <w:rPr>
                <w:rFonts w:ascii="Arial" w:hAnsi="Arial" w:cs="Arial"/>
                <w:sz w:val="24"/>
                <w:szCs w:val="24"/>
              </w:rPr>
              <w:t>150</w:t>
            </w:r>
          </w:p>
        </w:tc>
        <w:tc>
          <w:tcPr>
            <w:tcW w:w="894" w:type="pct"/>
          </w:tcPr>
          <w:p w:rsidR="001B3B55" w:rsidRPr="00180355" w:rsidRDefault="00DB7164" w:rsidP="001B3B55">
            <w:pPr>
              <w:jc w:val="right"/>
              <w:rPr>
                <w:rFonts w:ascii="Arial" w:hAnsi="Arial" w:cs="Arial"/>
                <w:sz w:val="24"/>
                <w:szCs w:val="24"/>
              </w:rPr>
            </w:pPr>
            <w:r>
              <w:rPr>
                <w:rFonts w:ascii="Arial" w:hAnsi="Arial" w:cs="Arial"/>
                <w:sz w:val="24"/>
                <w:szCs w:val="24"/>
              </w:rPr>
              <w:t>188</w:t>
            </w:r>
          </w:p>
        </w:tc>
        <w:tc>
          <w:tcPr>
            <w:tcW w:w="961" w:type="pct"/>
          </w:tcPr>
          <w:p w:rsidR="001B3B55" w:rsidRPr="00180355" w:rsidRDefault="00DB7164" w:rsidP="001B3B55">
            <w:pPr>
              <w:jc w:val="right"/>
              <w:rPr>
                <w:rFonts w:ascii="Arial" w:hAnsi="Arial" w:cs="Arial"/>
                <w:sz w:val="24"/>
                <w:szCs w:val="24"/>
              </w:rPr>
            </w:pPr>
            <w:r>
              <w:rPr>
                <w:rFonts w:ascii="Arial" w:hAnsi="Arial" w:cs="Arial"/>
                <w:sz w:val="24"/>
                <w:szCs w:val="24"/>
              </w:rPr>
              <w:t>(19.8)%</w:t>
            </w:r>
          </w:p>
        </w:tc>
        <w:tc>
          <w:tcPr>
            <w:tcW w:w="994" w:type="pct"/>
          </w:tcPr>
          <w:p w:rsidR="001B3B55" w:rsidRPr="00180355" w:rsidRDefault="00DB7164" w:rsidP="001B3B55">
            <w:pPr>
              <w:jc w:val="right"/>
              <w:rPr>
                <w:rFonts w:ascii="Arial" w:hAnsi="Arial" w:cs="Arial"/>
                <w:sz w:val="24"/>
                <w:szCs w:val="24"/>
              </w:rPr>
            </w:pPr>
            <w:r>
              <w:rPr>
                <w:rFonts w:ascii="Arial" w:hAnsi="Arial" w:cs="Arial"/>
                <w:sz w:val="24"/>
                <w:szCs w:val="24"/>
              </w:rPr>
              <w:t>(14.3)%</w:t>
            </w:r>
          </w:p>
        </w:tc>
      </w:tr>
    </w:tbl>
    <w:p w:rsidR="009E3E79" w:rsidRPr="00DB7164" w:rsidRDefault="009E3E79" w:rsidP="001B3B55">
      <w:pPr>
        <w:rPr>
          <w:rFonts w:ascii="Arial" w:hAnsi="Arial" w:cs="Arial"/>
          <w:sz w:val="24"/>
          <w:szCs w:val="24"/>
          <w:highlight w:val="magenta"/>
        </w:rPr>
      </w:pPr>
    </w:p>
    <w:p w:rsidR="00967583" w:rsidRDefault="001B3B55" w:rsidP="001B3B55">
      <w:pPr>
        <w:jc w:val="left"/>
        <w:rPr>
          <w:rFonts w:ascii="Arial" w:hAnsi="Arial" w:cs="Arial"/>
          <w:i/>
          <w:iCs/>
          <w:sz w:val="18"/>
          <w:szCs w:val="18"/>
        </w:rPr>
      </w:pPr>
      <w:r w:rsidRPr="00DB7164">
        <w:rPr>
          <w:rFonts w:ascii="Arial" w:hAnsi="Arial" w:cs="Arial"/>
          <w:i/>
          <w:iCs/>
          <w:sz w:val="18"/>
          <w:szCs w:val="18"/>
        </w:rPr>
        <w:t xml:space="preserve">Other International includes Poland, China, Spain, Russia, Turkey JV and </w:t>
      </w:r>
      <w:proofErr w:type="spellStart"/>
      <w:r w:rsidRPr="00DB7164">
        <w:rPr>
          <w:rFonts w:ascii="Arial" w:hAnsi="Arial" w:cs="Arial"/>
          <w:i/>
          <w:iCs/>
          <w:sz w:val="18"/>
          <w:szCs w:val="18"/>
        </w:rPr>
        <w:t>Hornbach</w:t>
      </w:r>
      <w:proofErr w:type="spellEnd"/>
      <w:r w:rsidRPr="00DB7164">
        <w:rPr>
          <w:rFonts w:ascii="Arial" w:hAnsi="Arial" w:cs="Arial"/>
          <w:i/>
          <w:iCs/>
          <w:sz w:val="18"/>
          <w:szCs w:val="18"/>
        </w:rPr>
        <w:t xml:space="preserve"> in Germany. </w:t>
      </w:r>
    </w:p>
    <w:p w:rsidR="001B3B55" w:rsidRPr="00DB7164" w:rsidRDefault="001B3B55" w:rsidP="001B3B55">
      <w:pPr>
        <w:jc w:val="left"/>
        <w:rPr>
          <w:rFonts w:ascii="Arial" w:hAnsi="Arial" w:cs="Arial"/>
          <w:i/>
          <w:iCs/>
          <w:sz w:val="18"/>
          <w:szCs w:val="18"/>
        </w:rPr>
      </w:pPr>
      <w:r w:rsidRPr="00DB7164">
        <w:rPr>
          <w:rFonts w:ascii="Arial" w:hAnsi="Arial" w:cs="Arial"/>
          <w:i/>
          <w:iCs/>
          <w:sz w:val="18"/>
          <w:szCs w:val="18"/>
        </w:rPr>
        <w:t>Joint Venture (</w:t>
      </w:r>
      <w:proofErr w:type="spellStart"/>
      <w:r w:rsidRPr="00DB7164">
        <w:rPr>
          <w:rFonts w:ascii="Arial" w:hAnsi="Arial" w:cs="Arial"/>
          <w:i/>
          <w:iCs/>
          <w:sz w:val="18"/>
          <w:szCs w:val="18"/>
        </w:rPr>
        <w:t>Koçtaş</w:t>
      </w:r>
      <w:proofErr w:type="spellEnd"/>
      <w:r w:rsidRPr="00DB7164">
        <w:rPr>
          <w:rFonts w:ascii="Arial" w:hAnsi="Arial" w:cs="Arial"/>
          <w:i/>
          <w:iCs/>
          <w:sz w:val="18"/>
          <w:szCs w:val="18"/>
        </w:rPr>
        <w:t xml:space="preserve"> JV) and Associate (</w:t>
      </w:r>
      <w:proofErr w:type="spellStart"/>
      <w:r w:rsidRPr="00DB7164">
        <w:rPr>
          <w:rFonts w:ascii="Arial" w:hAnsi="Arial" w:cs="Arial"/>
          <w:i/>
          <w:iCs/>
          <w:sz w:val="18"/>
          <w:szCs w:val="18"/>
        </w:rPr>
        <w:t>Hornbach</w:t>
      </w:r>
      <w:proofErr w:type="spellEnd"/>
      <w:r w:rsidRPr="00DB7164">
        <w:rPr>
          <w:rFonts w:ascii="Arial" w:hAnsi="Arial" w:cs="Arial"/>
          <w:i/>
          <w:iCs/>
          <w:sz w:val="18"/>
          <w:szCs w:val="18"/>
        </w:rPr>
        <w:t>) sales are not consolidated</w:t>
      </w:r>
      <w:r w:rsidR="00967583">
        <w:rPr>
          <w:rFonts w:ascii="Arial" w:hAnsi="Arial" w:cs="Arial"/>
          <w:i/>
          <w:iCs/>
          <w:sz w:val="18"/>
          <w:szCs w:val="18"/>
        </w:rPr>
        <w:t>.</w:t>
      </w:r>
    </w:p>
    <w:p w:rsidR="001B3B55" w:rsidRPr="00DB7164" w:rsidRDefault="001B3B55" w:rsidP="001B3B55">
      <w:pPr>
        <w:jc w:val="left"/>
        <w:rPr>
          <w:rFonts w:ascii="Arial" w:hAnsi="Arial" w:cs="Arial"/>
          <w:b/>
          <w:bCs/>
          <w:i/>
          <w:iCs/>
          <w:sz w:val="18"/>
          <w:szCs w:val="18"/>
        </w:rPr>
      </w:pPr>
      <w:r w:rsidRPr="00DB7164">
        <w:rPr>
          <w:rFonts w:ascii="Arial" w:hAnsi="Arial" w:cs="Arial"/>
          <w:b/>
          <w:bCs/>
          <w:i/>
          <w:iCs/>
          <w:sz w:val="18"/>
          <w:szCs w:val="18"/>
        </w:rPr>
        <w:t>All trading commentary below is in constant currencies</w:t>
      </w:r>
    </w:p>
    <w:p w:rsidR="001B3B55" w:rsidRPr="007D220F" w:rsidRDefault="001B3B55" w:rsidP="001B3B55">
      <w:pPr>
        <w:jc w:val="left"/>
        <w:rPr>
          <w:rFonts w:ascii="Arial" w:hAnsi="Arial" w:cs="Arial"/>
          <w:sz w:val="24"/>
          <w:szCs w:val="24"/>
          <w:highlight w:val="magenta"/>
        </w:rPr>
      </w:pPr>
    </w:p>
    <w:p w:rsidR="00E45058" w:rsidRPr="00725805" w:rsidRDefault="00185D0E" w:rsidP="00E45058">
      <w:pPr>
        <w:jc w:val="left"/>
        <w:rPr>
          <w:rFonts w:ascii="Arial" w:hAnsi="Arial" w:cs="Arial"/>
          <w:sz w:val="24"/>
          <w:szCs w:val="24"/>
          <w:highlight w:val="yellow"/>
        </w:rPr>
      </w:pPr>
      <w:r w:rsidRPr="00925706">
        <w:rPr>
          <w:rFonts w:ascii="Arial" w:hAnsi="Arial" w:cs="Arial"/>
          <w:b/>
          <w:bCs/>
          <w:sz w:val="24"/>
          <w:szCs w:val="24"/>
        </w:rPr>
        <w:t>Other International</w:t>
      </w:r>
      <w:r w:rsidRPr="00925706">
        <w:rPr>
          <w:rFonts w:ascii="Arial" w:hAnsi="Arial" w:cs="Arial"/>
          <w:sz w:val="24"/>
          <w:szCs w:val="24"/>
        </w:rPr>
        <w:t xml:space="preserve"> total sales</w:t>
      </w:r>
      <w:r>
        <w:rPr>
          <w:rFonts w:ascii="Arial" w:hAnsi="Arial" w:cs="Arial"/>
          <w:sz w:val="24"/>
          <w:szCs w:val="24"/>
        </w:rPr>
        <w:t xml:space="preserve"> </w:t>
      </w:r>
      <w:r w:rsidR="00E45058">
        <w:rPr>
          <w:rFonts w:ascii="Arial" w:hAnsi="Arial" w:cs="Arial"/>
          <w:sz w:val="24"/>
          <w:szCs w:val="24"/>
        </w:rPr>
        <w:t xml:space="preserve">increased by 6.6% to £2.1 billion (-0.7% LFL) supported by new store openings and strong growth in Russia, now the second largest business in the division. However, with the exception of Russia, economic uncertainty in Europe </w:t>
      </w:r>
      <w:r w:rsidR="00E45058" w:rsidRPr="00352C29">
        <w:rPr>
          <w:rFonts w:ascii="Arial" w:hAnsi="Arial" w:cs="Arial"/>
          <w:sz w:val="24"/>
          <w:szCs w:val="24"/>
        </w:rPr>
        <w:t>impacted LFL sales and profitability</w:t>
      </w:r>
      <w:r w:rsidR="00E45058">
        <w:rPr>
          <w:rFonts w:ascii="Arial" w:hAnsi="Arial" w:cs="Arial"/>
          <w:sz w:val="24"/>
          <w:szCs w:val="24"/>
        </w:rPr>
        <w:t>.</w:t>
      </w:r>
      <w:r w:rsidR="00E45058" w:rsidRPr="00352C29">
        <w:rPr>
          <w:rFonts w:ascii="Arial" w:hAnsi="Arial" w:cs="Arial"/>
          <w:sz w:val="24"/>
          <w:szCs w:val="24"/>
        </w:rPr>
        <w:t xml:space="preserve"> </w:t>
      </w:r>
      <w:proofErr w:type="gramStart"/>
      <w:r w:rsidR="00E45058" w:rsidRPr="00925706">
        <w:rPr>
          <w:rFonts w:ascii="Arial" w:hAnsi="Arial" w:cs="Arial"/>
          <w:sz w:val="24"/>
          <w:szCs w:val="24"/>
        </w:rPr>
        <w:t xml:space="preserve">Retail profit declined by </w:t>
      </w:r>
      <w:r w:rsidR="00E45058">
        <w:rPr>
          <w:rFonts w:ascii="Arial" w:hAnsi="Arial" w:cs="Arial"/>
          <w:sz w:val="24"/>
          <w:szCs w:val="24"/>
        </w:rPr>
        <w:t>14.3</w:t>
      </w:r>
      <w:r w:rsidR="00E45058" w:rsidRPr="00925706">
        <w:rPr>
          <w:rFonts w:ascii="Arial" w:hAnsi="Arial" w:cs="Arial"/>
          <w:sz w:val="24"/>
          <w:szCs w:val="24"/>
        </w:rPr>
        <w:t>% to £150 million.</w:t>
      </w:r>
      <w:proofErr w:type="gramEnd"/>
      <w:r w:rsidR="00E45058" w:rsidRPr="00925706">
        <w:rPr>
          <w:rFonts w:ascii="Arial" w:hAnsi="Arial" w:cs="Arial"/>
          <w:sz w:val="24"/>
          <w:szCs w:val="24"/>
        </w:rPr>
        <w:t xml:space="preserve"> </w:t>
      </w:r>
    </w:p>
    <w:p w:rsidR="00E45058" w:rsidRPr="00725805" w:rsidRDefault="00E45058" w:rsidP="00E45058">
      <w:pPr>
        <w:jc w:val="left"/>
        <w:rPr>
          <w:rFonts w:ascii="Arial" w:hAnsi="Arial" w:cs="Arial"/>
          <w:sz w:val="24"/>
          <w:szCs w:val="24"/>
          <w:highlight w:val="yellow"/>
        </w:rPr>
      </w:pPr>
    </w:p>
    <w:p w:rsidR="00E45058" w:rsidRDefault="00E45058" w:rsidP="00185D0E">
      <w:pPr>
        <w:jc w:val="left"/>
        <w:rPr>
          <w:rFonts w:ascii="Arial" w:hAnsi="Arial" w:cs="Arial"/>
          <w:sz w:val="24"/>
          <w:szCs w:val="24"/>
        </w:rPr>
      </w:pPr>
      <w:r>
        <w:rPr>
          <w:rFonts w:ascii="Arial" w:hAnsi="Arial" w:cs="Arial"/>
          <w:sz w:val="24"/>
          <w:szCs w:val="24"/>
        </w:rPr>
        <w:t>During the year</w:t>
      </w:r>
      <w:r w:rsidRPr="00925706">
        <w:rPr>
          <w:rFonts w:ascii="Arial" w:hAnsi="Arial" w:cs="Arial"/>
          <w:sz w:val="24"/>
          <w:szCs w:val="24"/>
        </w:rPr>
        <w:t xml:space="preserve"> </w:t>
      </w:r>
      <w:r w:rsidR="00043BA4">
        <w:rPr>
          <w:rFonts w:ascii="Arial" w:hAnsi="Arial" w:cs="Arial"/>
          <w:sz w:val="24"/>
          <w:szCs w:val="24"/>
        </w:rPr>
        <w:t xml:space="preserve">seven net new stores were </w:t>
      </w:r>
      <w:r>
        <w:rPr>
          <w:rFonts w:ascii="Arial" w:hAnsi="Arial" w:cs="Arial"/>
          <w:sz w:val="24"/>
          <w:szCs w:val="24"/>
        </w:rPr>
        <w:t xml:space="preserve">opened </w:t>
      </w:r>
      <w:r w:rsidRPr="00925706">
        <w:rPr>
          <w:rFonts w:ascii="Arial" w:hAnsi="Arial" w:cs="Arial"/>
          <w:sz w:val="24"/>
          <w:szCs w:val="24"/>
        </w:rPr>
        <w:t xml:space="preserve">adding around </w:t>
      </w:r>
      <w:r>
        <w:rPr>
          <w:rFonts w:ascii="Arial" w:hAnsi="Arial" w:cs="Arial"/>
          <w:sz w:val="24"/>
          <w:szCs w:val="24"/>
        </w:rPr>
        <w:t>3% new space. T</w:t>
      </w:r>
      <w:r w:rsidRPr="00925706">
        <w:rPr>
          <w:rFonts w:ascii="Arial" w:hAnsi="Arial" w:cs="Arial"/>
          <w:sz w:val="24"/>
          <w:szCs w:val="24"/>
        </w:rPr>
        <w:t xml:space="preserve">hree </w:t>
      </w:r>
      <w:r>
        <w:rPr>
          <w:rFonts w:ascii="Arial" w:hAnsi="Arial" w:cs="Arial"/>
          <w:sz w:val="24"/>
          <w:szCs w:val="24"/>
        </w:rPr>
        <w:t xml:space="preserve">stores were opened </w:t>
      </w:r>
      <w:r w:rsidRPr="00925706">
        <w:rPr>
          <w:rFonts w:ascii="Arial" w:hAnsi="Arial" w:cs="Arial"/>
          <w:sz w:val="24"/>
          <w:szCs w:val="24"/>
        </w:rPr>
        <w:t xml:space="preserve">in </w:t>
      </w:r>
      <w:r>
        <w:rPr>
          <w:rFonts w:ascii="Arial" w:hAnsi="Arial" w:cs="Arial"/>
          <w:sz w:val="24"/>
          <w:szCs w:val="24"/>
        </w:rPr>
        <w:t xml:space="preserve">both </w:t>
      </w:r>
      <w:r w:rsidRPr="00925706">
        <w:rPr>
          <w:rFonts w:ascii="Arial" w:hAnsi="Arial" w:cs="Arial"/>
          <w:sz w:val="24"/>
          <w:szCs w:val="24"/>
        </w:rPr>
        <w:t>Poland</w:t>
      </w:r>
      <w:r>
        <w:rPr>
          <w:rFonts w:ascii="Arial" w:hAnsi="Arial" w:cs="Arial"/>
          <w:sz w:val="24"/>
          <w:szCs w:val="24"/>
        </w:rPr>
        <w:t xml:space="preserve"> and</w:t>
      </w:r>
      <w:r w:rsidR="00043BA4">
        <w:rPr>
          <w:rFonts w:ascii="Arial" w:hAnsi="Arial" w:cs="Arial"/>
          <w:sz w:val="24"/>
          <w:szCs w:val="24"/>
        </w:rPr>
        <w:t xml:space="preserve"> Spain, </w:t>
      </w:r>
      <w:r w:rsidRPr="00925706">
        <w:rPr>
          <w:rFonts w:ascii="Arial" w:hAnsi="Arial" w:cs="Arial"/>
          <w:sz w:val="24"/>
          <w:szCs w:val="24"/>
        </w:rPr>
        <w:t xml:space="preserve">one in </w:t>
      </w:r>
      <w:r w:rsidR="00043BA4">
        <w:rPr>
          <w:rFonts w:ascii="Arial" w:hAnsi="Arial" w:cs="Arial"/>
          <w:sz w:val="24"/>
          <w:szCs w:val="24"/>
        </w:rPr>
        <w:t xml:space="preserve">both </w:t>
      </w:r>
      <w:r w:rsidRPr="00925706">
        <w:rPr>
          <w:rFonts w:ascii="Arial" w:hAnsi="Arial" w:cs="Arial"/>
          <w:sz w:val="24"/>
          <w:szCs w:val="24"/>
        </w:rPr>
        <w:t>Russia</w:t>
      </w:r>
      <w:r w:rsidR="00043BA4">
        <w:rPr>
          <w:rFonts w:ascii="Arial" w:hAnsi="Arial" w:cs="Arial"/>
          <w:sz w:val="24"/>
          <w:szCs w:val="24"/>
        </w:rPr>
        <w:t xml:space="preserve"> and </w:t>
      </w:r>
      <w:r w:rsidRPr="00925706">
        <w:rPr>
          <w:rFonts w:ascii="Arial" w:hAnsi="Arial" w:cs="Arial"/>
          <w:sz w:val="24"/>
          <w:szCs w:val="24"/>
        </w:rPr>
        <w:t>Turkey</w:t>
      </w:r>
      <w:r>
        <w:rPr>
          <w:rFonts w:ascii="Arial" w:hAnsi="Arial" w:cs="Arial"/>
          <w:sz w:val="24"/>
          <w:szCs w:val="24"/>
        </w:rPr>
        <w:t xml:space="preserve"> and one store rationalisation in China.</w:t>
      </w:r>
    </w:p>
    <w:p w:rsidR="00043BA4" w:rsidRDefault="00043BA4" w:rsidP="00185D0E">
      <w:pPr>
        <w:jc w:val="left"/>
        <w:rPr>
          <w:rFonts w:ascii="Arial" w:hAnsi="Arial" w:cs="Arial"/>
          <w:sz w:val="24"/>
          <w:szCs w:val="24"/>
        </w:rPr>
      </w:pPr>
    </w:p>
    <w:p w:rsidR="00043BA4" w:rsidRDefault="00043BA4" w:rsidP="00185D0E">
      <w:pPr>
        <w:jc w:val="left"/>
        <w:rPr>
          <w:rFonts w:ascii="Arial" w:hAnsi="Arial" w:cs="Arial"/>
          <w:sz w:val="24"/>
          <w:szCs w:val="24"/>
        </w:rPr>
      </w:pPr>
      <w:r>
        <w:rPr>
          <w:rFonts w:ascii="Arial" w:hAnsi="Arial" w:cs="Arial"/>
          <w:sz w:val="24"/>
          <w:szCs w:val="24"/>
        </w:rPr>
        <w:t xml:space="preserve">In </w:t>
      </w:r>
      <w:r>
        <w:rPr>
          <w:rFonts w:ascii="Arial" w:hAnsi="Arial" w:cs="Arial"/>
          <w:b/>
          <w:sz w:val="24"/>
          <w:szCs w:val="24"/>
        </w:rPr>
        <w:t xml:space="preserve">Poland </w:t>
      </w:r>
      <w:r>
        <w:rPr>
          <w:rFonts w:ascii="Arial" w:hAnsi="Arial" w:cs="Arial"/>
          <w:sz w:val="24"/>
          <w:szCs w:val="24"/>
        </w:rPr>
        <w:t xml:space="preserve">and </w:t>
      </w:r>
      <w:r>
        <w:rPr>
          <w:rFonts w:ascii="Arial" w:hAnsi="Arial" w:cs="Arial"/>
          <w:b/>
          <w:sz w:val="24"/>
          <w:szCs w:val="24"/>
        </w:rPr>
        <w:t xml:space="preserve">Spain </w:t>
      </w:r>
      <w:r>
        <w:rPr>
          <w:rFonts w:ascii="Arial" w:hAnsi="Arial" w:cs="Arial"/>
          <w:sz w:val="24"/>
          <w:szCs w:val="24"/>
        </w:rPr>
        <w:t xml:space="preserve">sales grew reflecting new store </w:t>
      </w:r>
      <w:proofErr w:type="gramStart"/>
      <w:r>
        <w:rPr>
          <w:rFonts w:ascii="Arial" w:hAnsi="Arial" w:cs="Arial"/>
          <w:sz w:val="24"/>
          <w:szCs w:val="24"/>
        </w:rPr>
        <w:t>space,</w:t>
      </w:r>
      <w:proofErr w:type="gramEnd"/>
      <w:r w:rsidR="00616DB8">
        <w:rPr>
          <w:rFonts w:ascii="Arial" w:hAnsi="Arial" w:cs="Arial"/>
          <w:sz w:val="24"/>
          <w:szCs w:val="24"/>
        </w:rPr>
        <w:t xml:space="preserve"> </w:t>
      </w:r>
      <w:r>
        <w:rPr>
          <w:rFonts w:ascii="Arial" w:hAnsi="Arial" w:cs="Arial"/>
          <w:sz w:val="24"/>
          <w:szCs w:val="24"/>
        </w:rPr>
        <w:t>however both markets were impacted by weak consumer confidence. S</w:t>
      </w:r>
      <w:r w:rsidRPr="00925706">
        <w:rPr>
          <w:rFonts w:ascii="Arial" w:hAnsi="Arial" w:cs="Arial"/>
          <w:sz w:val="24"/>
          <w:szCs w:val="24"/>
        </w:rPr>
        <w:t xml:space="preserve">ales in </w:t>
      </w:r>
      <w:r w:rsidRPr="00925706">
        <w:rPr>
          <w:rFonts w:ascii="Arial" w:hAnsi="Arial" w:cs="Arial"/>
          <w:b/>
          <w:sz w:val="24"/>
          <w:szCs w:val="24"/>
        </w:rPr>
        <w:t>Poland</w:t>
      </w:r>
      <w:r w:rsidRPr="00925706">
        <w:rPr>
          <w:rFonts w:ascii="Arial" w:hAnsi="Arial" w:cs="Arial"/>
          <w:sz w:val="24"/>
          <w:szCs w:val="24"/>
        </w:rPr>
        <w:t xml:space="preserve"> were up 0.6% (-5.1% LFL) to £1,029 million. Gross margins were down </w:t>
      </w:r>
      <w:r w:rsidRPr="003C1A0A">
        <w:rPr>
          <w:rFonts w:ascii="Arial" w:hAnsi="Arial" w:cs="Arial"/>
          <w:sz w:val="24"/>
          <w:szCs w:val="24"/>
        </w:rPr>
        <w:t>1</w:t>
      </w:r>
      <w:r w:rsidR="002F1ABE">
        <w:rPr>
          <w:rFonts w:ascii="Arial" w:hAnsi="Arial" w:cs="Arial"/>
          <w:sz w:val="24"/>
          <w:szCs w:val="24"/>
        </w:rPr>
        <w:t>1</w:t>
      </w:r>
      <w:r w:rsidRPr="003C1A0A">
        <w:rPr>
          <w:rFonts w:ascii="Arial" w:hAnsi="Arial" w:cs="Arial"/>
          <w:sz w:val="24"/>
          <w:szCs w:val="24"/>
        </w:rPr>
        <w:t>0</w:t>
      </w:r>
      <w:r>
        <w:rPr>
          <w:rFonts w:ascii="Arial" w:hAnsi="Arial" w:cs="Arial"/>
          <w:sz w:val="24"/>
          <w:szCs w:val="24"/>
        </w:rPr>
        <w:t xml:space="preserve"> basis points, with self-help initiatives offset by some investment in pricing. Tight cost control more than offset cost inflation resulting in a </w:t>
      </w:r>
      <w:r w:rsidRPr="00925706">
        <w:rPr>
          <w:rFonts w:ascii="Arial" w:hAnsi="Arial" w:cs="Arial"/>
          <w:sz w:val="24"/>
          <w:szCs w:val="24"/>
        </w:rPr>
        <w:t>15.3</w:t>
      </w:r>
      <w:r>
        <w:rPr>
          <w:rFonts w:ascii="Arial" w:hAnsi="Arial" w:cs="Arial"/>
          <w:sz w:val="24"/>
          <w:szCs w:val="24"/>
        </w:rPr>
        <w:t xml:space="preserve">% decline in retail profit </w:t>
      </w:r>
      <w:r w:rsidRPr="00925706">
        <w:rPr>
          <w:rFonts w:ascii="Arial" w:hAnsi="Arial" w:cs="Arial"/>
          <w:sz w:val="24"/>
          <w:szCs w:val="24"/>
        </w:rPr>
        <w:t>to £107</w:t>
      </w:r>
      <w:r>
        <w:rPr>
          <w:rFonts w:ascii="Arial" w:hAnsi="Arial" w:cs="Arial"/>
          <w:sz w:val="24"/>
          <w:szCs w:val="24"/>
        </w:rPr>
        <w:t xml:space="preserve"> million. Sales in </w:t>
      </w:r>
      <w:r w:rsidRPr="00FF1319">
        <w:rPr>
          <w:rFonts w:ascii="Arial" w:hAnsi="Arial" w:cs="Arial"/>
          <w:b/>
          <w:sz w:val="24"/>
          <w:szCs w:val="24"/>
        </w:rPr>
        <w:t>Spain</w:t>
      </w:r>
      <w:r>
        <w:rPr>
          <w:rFonts w:ascii="Arial" w:hAnsi="Arial" w:cs="Arial"/>
          <w:sz w:val="24"/>
          <w:szCs w:val="24"/>
        </w:rPr>
        <w:t xml:space="preserve"> grew </w:t>
      </w:r>
      <w:r w:rsidRPr="00FF1319">
        <w:rPr>
          <w:rFonts w:ascii="Arial" w:hAnsi="Arial" w:cs="Arial"/>
          <w:sz w:val="24"/>
          <w:szCs w:val="24"/>
        </w:rPr>
        <w:t>by 3.0% (-6.8% LFL) to £234 million</w:t>
      </w:r>
      <w:r>
        <w:rPr>
          <w:rFonts w:ascii="Arial" w:hAnsi="Arial" w:cs="Arial"/>
          <w:sz w:val="24"/>
          <w:szCs w:val="24"/>
        </w:rPr>
        <w:t>.</w:t>
      </w:r>
      <w:r w:rsidRPr="00FF1319">
        <w:rPr>
          <w:rFonts w:ascii="Arial" w:hAnsi="Arial" w:cs="Arial"/>
          <w:sz w:val="24"/>
          <w:szCs w:val="24"/>
        </w:rPr>
        <w:t xml:space="preserve"> Retail profit was £1 million</w:t>
      </w:r>
      <w:r>
        <w:rPr>
          <w:rFonts w:ascii="Arial" w:hAnsi="Arial" w:cs="Arial"/>
          <w:sz w:val="24"/>
          <w:szCs w:val="24"/>
        </w:rPr>
        <w:t>,</w:t>
      </w:r>
      <w:r w:rsidRPr="00FF1319">
        <w:rPr>
          <w:rFonts w:ascii="Arial" w:hAnsi="Arial" w:cs="Arial"/>
          <w:sz w:val="24"/>
          <w:szCs w:val="24"/>
        </w:rPr>
        <w:t xml:space="preserve"> down from £7</w:t>
      </w:r>
      <w:r>
        <w:rPr>
          <w:rFonts w:ascii="Arial" w:hAnsi="Arial" w:cs="Arial"/>
          <w:sz w:val="24"/>
          <w:szCs w:val="24"/>
        </w:rPr>
        <w:t xml:space="preserve"> </w:t>
      </w:r>
      <w:r w:rsidRPr="00FF1319">
        <w:rPr>
          <w:rFonts w:ascii="Arial" w:hAnsi="Arial" w:cs="Arial"/>
          <w:sz w:val="24"/>
          <w:szCs w:val="24"/>
        </w:rPr>
        <w:t>m</w:t>
      </w:r>
      <w:r>
        <w:rPr>
          <w:rFonts w:ascii="Arial" w:hAnsi="Arial" w:cs="Arial"/>
          <w:sz w:val="24"/>
          <w:szCs w:val="24"/>
        </w:rPr>
        <w:t>illion</w:t>
      </w:r>
      <w:r w:rsidR="009E22B9">
        <w:rPr>
          <w:rFonts w:ascii="Arial" w:hAnsi="Arial" w:cs="Arial"/>
          <w:sz w:val="24"/>
          <w:szCs w:val="24"/>
        </w:rPr>
        <w:t xml:space="preserve"> reported</w:t>
      </w:r>
      <w:r>
        <w:rPr>
          <w:rFonts w:ascii="Arial" w:hAnsi="Arial" w:cs="Arial"/>
          <w:sz w:val="24"/>
          <w:szCs w:val="24"/>
        </w:rPr>
        <w:t xml:space="preserve"> last year</w:t>
      </w:r>
      <w:r w:rsidR="00F36BC0">
        <w:rPr>
          <w:rFonts w:ascii="Arial" w:hAnsi="Arial" w:cs="Arial"/>
          <w:sz w:val="24"/>
          <w:szCs w:val="24"/>
        </w:rPr>
        <w:t>, reflecting the difficult market</w:t>
      </w:r>
      <w:r>
        <w:rPr>
          <w:rFonts w:ascii="Arial" w:hAnsi="Arial" w:cs="Arial"/>
          <w:sz w:val="24"/>
          <w:szCs w:val="24"/>
        </w:rPr>
        <w:t xml:space="preserve"> and higher </w:t>
      </w:r>
      <w:r w:rsidRPr="000A45D2">
        <w:rPr>
          <w:rFonts w:ascii="Arial" w:hAnsi="Arial" w:cs="Arial"/>
          <w:sz w:val="24"/>
          <w:szCs w:val="24"/>
        </w:rPr>
        <w:t>pre-</w:t>
      </w:r>
      <w:r w:rsidRPr="00B829B3">
        <w:rPr>
          <w:rFonts w:ascii="Arial" w:hAnsi="Arial" w:cs="Arial"/>
          <w:sz w:val="24"/>
          <w:szCs w:val="24"/>
        </w:rPr>
        <w:t>opening costs after the resumption of new store openings.</w:t>
      </w:r>
      <w:r>
        <w:rPr>
          <w:rFonts w:ascii="Arial" w:hAnsi="Arial" w:cs="Arial"/>
          <w:sz w:val="24"/>
          <w:szCs w:val="24"/>
        </w:rPr>
        <w:t xml:space="preserve"> </w:t>
      </w:r>
    </w:p>
    <w:p w:rsidR="00043BA4" w:rsidRDefault="00043BA4" w:rsidP="00185D0E">
      <w:pPr>
        <w:jc w:val="left"/>
        <w:rPr>
          <w:rFonts w:ascii="Arial" w:hAnsi="Arial" w:cs="Arial"/>
          <w:sz w:val="24"/>
          <w:szCs w:val="24"/>
        </w:rPr>
      </w:pPr>
    </w:p>
    <w:p w:rsidR="00DD1A0F" w:rsidRDefault="00DD1A0F" w:rsidP="00DD1A0F">
      <w:pPr>
        <w:jc w:val="left"/>
        <w:rPr>
          <w:rFonts w:ascii="Arial" w:hAnsi="Arial" w:cs="Arial"/>
          <w:sz w:val="24"/>
          <w:szCs w:val="24"/>
        </w:rPr>
      </w:pPr>
      <w:r>
        <w:rPr>
          <w:rFonts w:ascii="Arial" w:hAnsi="Arial" w:cs="Arial"/>
          <w:sz w:val="24"/>
          <w:szCs w:val="24"/>
        </w:rPr>
        <w:t xml:space="preserve">In </w:t>
      </w:r>
      <w:r w:rsidRPr="00516E87">
        <w:rPr>
          <w:rFonts w:ascii="Arial" w:hAnsi="Arial" w:cs="Arial"/>
          <w:b/>
          <w:sz w:val="24"/>
          <w:szCs w:val="24"/>
        </w:rPr>
        <w:t xml:space="preserve">Russia </w:t>
      </w:r>
      <w:r w:rsidRPr="00B829B3">
        <w:rPr>
          <w:rFonts w:ascii="Arial" w:hAnsi="Arial" w:cs="Arial"/>
          <w:sz w:val="24"/>
          <w:szCs w:val="24"/>
        </w:rPr>
        <w:t>sales</w:t>
      </w:r>
      <w:r w:rsidRPr="006D3A80">
        <w:rPr>
          <w:rFonts w:ascii="Arial" w:hAnsi="Arial" w:cs="Arial"/>
          <w:sz w:val="24"/>
          <w:szCs w:val="24"/>
        </w:rPr>
        <w:t xml:space="preserve"> </w:t>
      </w:r>
      <w:r>
        <w:rPr>
          <w:rFonts w:ascii="Arial" w:hAnsi="Arial" w:cs="Arial"/>
          <w:sz w:val="24"/>
          <w:szCs w:val="24"/>
        </w:rPr>
        <w:t xml:space="preserve">grew by </w:t>
      </w:r>
      <w:r w:rsidRPr="006D3A80">
        <w:rPr>
          <w:rFonts w:ascii="Arial" w:hAnsi="Arial" w:cs="Arial"/>
          <w:sz w:val="24"/>
          <w:szCs w:val="24"/>
        </w:rPr>
        <w:t>38.3%</w:t>
      </w:r>
      <w:r>
        <w:rPr>
          <w:rFonts w:ascii="Arial" w:hAnsi="Arial" w:cs="Arial"/>
          <w:sz w:val="24"/>
          <w:szCs w:val="24"/>
        </w:rPr>
        <w:t xml:space="preserve"> in a strong market</w:t>
      </w:r>
      <w:r w:rsidRPr="006D3A80">
        <w:rPr>
          <w:rFonts w:ascii="Arial" w:hAnsi="Arial" w:cs="Arial"/>
          <w:sz w:val="24"/>
          <w:szCs w:val="24"/>
        </w:rPr>
        <w:t xml:space="preserve"> to £426 million (+17.9% LFL)</w:t>
      </w:r>
      <w:r>
        <w:rPr>
          <w:rFonts w:ascii="Arial" w:hAnsi="Arial" w:cs="Arial"/>
          <w:sz w:val="24"/>
          <w:szCs w:val="24"/>
        </w:rPr>
        <w:t xml:space="preserve"> benefiting from new store openings.</w:t>
      </w:r>
      <w:r w:rsidRPr="006D3A80">
        <w:rPr>
          <w:rFonts w:ascii="Arial" w:hAnsi="Arial" w:cs="Arial"/>
          <w:sz w:val="24"/>
          <w:szCs w:val="24"/>
        </w:rPr>
        <w:t xml:space="preserve"> Retail prof</w:t>
      </w:r>
      <w:r>
        <w:rPr>
          <w:rFonts w:ascii="Arial" w:hAnsi="Arial" w:cs="Arial"/>
          <w:sz w:val="24"/>
          <w:szCs w:val="24"/>
        </w:rPr>
        <w:t xml:space="preserve">it was £16 million, compared to </w:t>
      </w:r>
      <w:r w:rsidRPr="006D3A80">
        <w:rPr>
          <w:rFonts w:ascii="Arial" w:hAnsi="Arial" w:cs="Arial"/>
          <w:sz w:val="24"/>
          <w:szCs w:val="24"/>
        </w:rPr>
        <w:t>£2</w:t>
      </w:r>
      <w:r>
        <w:rPr>
          <w:rFonts w:ascii="Arial" w:hAnsi="Arial" w:cs="Arial"/>
          <w:sz w:val="24"/>
          <w:szCs w:val="24"/>
        </w:rPr>
        <w:t xml:space="preserve"> million</w:t>
      </w:r>
      <w:r w:rsidR="009E22B9">
        <w:rPr>
          <w:rFonts w:ascii="Arial" w:hAnsi="Arial" w:cs="Arial"/>
          <w:sz w:val="24"/>
          <w:szCs w:val="24"/>
        </w:rPr>
        <w:t xml:space="preserve"> reported</w:t>
      </w:r>
      <w:r w:rsidRPr="006D3A80">
        <w:rPr>
          <w:rFonts w:ascii="Arial" w:hAnsi="Arial" w:cs="Arial"/>
          <w:sz w:val="24"/>
          <w:szCs w:val="24"/>
        </w:rPr>
        <w:t xml:space="preserve"> </w:t>
      </w:r>
      <w:r>
        <w:rPr>
          <w:rFonts w:ascii="Arial" w:hAnsi="Arial" w:cs="Arial"/>
          <w:sz w:val="24"/>
          <w:szCs w:val="24"/>
        </w:rPr>
        <w:t>in 2011/12</w:t>
      </w:r>
      <w:r w:rsidRPr="006D3A80">
        <w:rPr>
          <w:rFonts w:ascii="Arial" w:hAnsi="Arial" w:cs="Arial"/>
          <w:sz w:val="24"/>
          <w:szCs w:val="24"/>
        </w:rPr>
        <w:t xml:space="preserve">. </w:t>
      </w:r>
    </w:p>
    <w:p w:rsidR="00DD1A0F" w:rsidRDefault="00DD1A0F" w:rsidP="00DD1A0F">
      <w:pPr>
        <w:jc w:val="left"/>
        <w:rPr>
          <w:rFonts w:ascii="Arial" w:hAnsi="Arial" w:cs="Arial"/>
          <w:sz w:val="24"/>
          <w:szCs w:val="24"/>
        </w:rPr>
      </w:pPr>
      <w:r>
        <w:rPr>
          <w:rFonts w:ascii="Arial" w:hAnsi="Arial" w:cs="Arial"/>
          <w:sz w:val="24"/>
          <w:szCs w:val="24"/>
        </w:rPr>
        <w:t xml:space="preserve"> </w:t>
      </w:r>
    </w:p>
    <w:p w:rsidR="00213633" w:rsidRPr="0006717E" w:rsidRDefault="00043BA4" w:rsidP="00185D0E">
      <w:pPr>
        <w:jc w:val="left"/>
        <w:rPr>
          <w:rFonts w:ascii="Arial" w:hAnsi="Arial" w:cs="Arial"/>
          <w:i/>
          <w:sz w:val="24"/>
          <w:szCs w:val="24"/>
        </w:rPr>
      </w:pPr>
      <w:bookmarkStart w:id="15" w:name="OLE_LINK11"/>
      <w:bookmarkStart w:id="16" w:name="OLE_LINK14"/>
      <w:r w:rsidRPr="006D3A80">
        <w:rPr>
          <w:rFonts w:ascii="Arial" w:hAnsi="Arial" w:cs="Arial"/>
          <w:sz w:val="24"/>
          <w:szCs w:val="24"/>
        </w:rPr>
        <w:t xml:space="preserve">In </w:t>
      </w:r>
      <w:r w:rsidRPr="006D3A80">
        <w:rPr>
          <w:rFonts w:ascii="Arial" w:hAnsi="Arial" w:cs="Arial"/>
          <w:b/>
          <w:sz w:val="24"/>
          <w:szCs w:val="24"/>
        </w:rPr>
        <w:t>Turkey</w:t>
      </w:r>
      <w:r w:rsidRPr="000A45D2">
        <w:rPr>
          <w:rFonts w:ascii="Arial" w:hAnsi="Arial" w:cs="Arial"/>
          <w:b/>
          <w:sz w:val="24"/>
          <w:szCs w:val="24"/>
        </w:rPr>
        <w:t xml:space="preserve">, </w:t>
      </w:r>
      <w:r w:rsidRPr="000A45D2">
        <w:rPr>
          <w:rFonts w:ascii="Arial" w:hAnsi="Arial" w:cs="Arial"/>
          <w:sz w:val="24"/>
          <w:szCs w:val="24"/>
        </w:rPr>
        <w:t xml:space="preserve">Kingfisher’s 50% JV, </w:t>
      </w:r>
      <w:proofErr w:type="spellStart"/>
      <w:r w:rsidRPr="000A45D2">
        <w:rPr>
          <w:rFonts w:ascii="Arial" w:hAnsi="Arial" w:cs="Arial"/>
          <w:bCs/>
          <w:sz w:val="24"/>
          <w:szCs w:val="24"/>
        </w:rPr>
        <w:t>Koçtaş</w:t>
      </w:r>
      <w:proofErr w:type="spellEnd"/>
      <w:r w:rsidRPr="000A45D2">
        <w:rPr>
          <w:rFonts w:ascii="Arial" w:hAnsi="Arial" w:cs="Arial"/>
          <w:bCs/>
          <w:sz w:val="24"/>
          <w:szCs w:val="24"/>
        </w:rPr>
        <w:t xml:space="preserve">, grew </w:t>
      </w:r>
      <w:r w:rsidRPr="000A45D2">
        <w:rPr>
          <w:rFonts w:ascii="Arial" w:hAnsi="Arial" w:cs="Arial"/>
          <w:sz w:val="24"/>
          <w:szCs w:val="24"/>
        </w:rPr>
        <w:t xml:space="preserve">sales by 4.1% </w:t>
      </w:r>
      <w:r w:rsidR="00C0665A">
        <w:rPr>
          <w:rFonts w:ascii="Arial" w:hAnsi="Arial" w:cs="Arial"/>
          <w:sz w:val="24"/>
          <w:szCs w:val="24"/>
        </w:rPr>
        <w:t xml:space="preserve">(-4.1% LFL) </w:t>
      </w:r>
      <w:r w:rsidRPr="000A45D2">
        <w:rPr>
          <w:rFonts w:ascii="Arial" w:hAnsi="Arial" w:cs="Arial"/>
          <w:sz w:val="24"/>
          <w:szCs w:val="24"/>
        </w:rPr>
        <w:t xml:space="preserve">reflecting </w:t>
      </w:r>
      <w:r w:rsidRPr="00B829B3">
        <w:rPr>
          <w:rFonts w:ascii="Arial" w:hAnsi="Arial" w:cs="Arial"/>
          <w:sz w:val="24"/>
          <w:szCs w:val="24"/>
        </w:rPr>
        <w:t>one new store opening offset by a slower economic environment and the impact of poor weather early in the year.</w:t>
      </w:r>
      <w:r w:rsidRPr="000A45D2">
        <w:rPr>
          <w:rFonts w:ascii="Arial" w:hAnsi="Arial" w:cs="Arial"/>
          <w:sz w:val="24"/>
          <w:szCs w:val="24"/>
        </w:rPr>
        <w:t xml:space="preserve"> </w:t>
      </w:r>
      <w:r w:rsidRPr="004B74B6">
        <w:rPr>
          <w:rFonts w:ascii="Arial" w:hAnsi="Arial" w:cs="Arial"/>
          <w:sz w:val="24"/>
          <w:szCs w:val="24"/>
        </w:rPr>
        <w:t xml:space="preserve">Retail profit contribution was £9 million, </w:t>
      </w:r>
      <w:r w:rsidR="00F36BC0">
        <w:rPr>
          <w:rFonts w:ascii="Arial" w:hAnsi="Arial" w:cs="Arial"/>
          <w:sz w:val="24"/>
          <w:szCs w:val="24"/>
        </w:rPr>
        <w:t xml:space="preserve">down </w:t>
      </w:r>
      <w:r>
        <w:rPr>
          <w:rFonts w:ascii="Arial" w:hAnsi="Arial" w:cs="Arial"/>
          <w:sz w:val="24"/>
          <w:szCs w:val="24"/>
        </w:rPr>
        <w:t>28.2</w:t>
      </w:r>
      <w:r w:rsidRPr="004B74B6">
        <w:rPr>
          <w:rFonts w:ascii="Arial" w:hAnsi="Arial" w:cs="Arial"/>
          <w:sz w:val="24"/>
          <w:szCs w:val="24"/>
        </w:rPr>
        <w:t>% year on year.</w:t>
      </w:r>
      <w:r w:rsidRPr="00AA102A">
        <w:rPr>
          <w:rFonts w:ascii="Arial" w:hAnsi="Arial" w:cs="Arial"/>
          <w:i/>
          <w:sz w:val="24"/>
          <w:szCs w:val="24"/>
        </w:rPr>
        <w:t xml:space="preserve"> </w:t>
      </w:r>
    </w:p>
    <w:bookmarkEnd w:id="15"/>
    <w:bookmarkEnd w:id="16"/>
    <w:p w:rsidR="00F36BC0" w:rsidRPr="00725805" w:rsidRDefault="00F36BC0" w:rsidP="00F36BC0">
      <w:pPr>
        <w:jc w:val="left"/>
        <w:rPr>
          <w:rFonts w:ascii="Arial" w:hAnsi="Arial" w:cs="Arial"/>
          <w:sz w:val="24"/>
          <w:szCs w:val="24"/>
          <w:highlight w:val="yellow"/>
        </w:rPr>
      </w:pPr>
    </w:p>
    <w:p w:rsidR="00F36BC0" w:rsidRPr="00725805" w:rsidRDefault="00F36BC0" w:rsidP="00F36BC0">
      <w:pPr>
        <w:jc w:val="left"/>
        <w:rPr>
          <w:rFonts w:ascii="Arial" w:hAnsi="Arial" w:cs="Arial"/>
          <w:sz w:val="24"/>
          <w:szCs w:val="24"/>
          <w:highlight w:val="yellow"/>
        </w:rPr>
      </w:pPr>
      <w:proofErr w:type="spellStart"/>
      <w:r w:rsidRPr="00FF1319">
        <w:rPr>
          <w:rFonts w:ascii="Arial" w:hAnsi="Arial" w:cs="Arial"/>
          <w:b/>
          <w:sz w:val="24"/>
          <w:szCs w:val="24"/>
        </w:rPr>
        <w:t>Hornbach</w:t>
      </w:r>
      <w:proofErr w:type="spellEnd"/>
      <w:r w:rsidRPr="00FF1319">
        <w:rPr>
          <w:rFonts w:ascii="Arial" w:hAnsi="Arial" w:cs="Arial"/>
          <w:sz w:val="24"/>
          <w:szCs w:val="24"/>
        </w:rPr>
        <w:t>, in which Kingfisher has a 21% economic interest, contributed £26 million to retail profit, down 15.</w:t>
      </w:r>
      <w:r w:rsidRPr="00B829B3">
        <w:rPr>
          <w:rFonts w:ascii="Arial" w:hAnsi="Arial" w:cs="Arial"/>
          <w:sz w:val="24"/>
          <w:szCs w:val="24"/>
        </w:rPr>
        <w:t>2% on last year</w:t>
      </w:r>
      <w:r w:rsidR="002F1ABE">
        <w:rPr>
          <w:rFonts w:ascii="Arial" w:hAnsi="Arial" w:cs="Arial"/>
          <w:sz w:val="24"/>
          <w:szCs w:val="24"/>
        </w:rPr>
        <w:t xml:space="preserve"> reflecting a £5 million loss in Q1</w:t>
      </w:r>
      <w:r w:rsidR="00612978">
        <w:rPr>
          <w:rFonts w:ascii="Arial" w:hAnsi="Arial" w:cs="Arial"/>
          <w:sz w:val="24"/>
          <w:szCs w:val="24"/>
        </w:rPr>
        <w:t xml:space="preserve"> and a weaker market in Q4. </w:t>
      </w:r>
    </w:p>
    <w:p w:rsidR="00185D0E" w:rsidRDefault="00185D0E" w:rsidP="00185D0E">
      <w:pPr>
        <w:jc w:val="left"/>
        <w:rPr>
          <w:rFonts w:ascii="Arial" w:hAnsi="Arial" w:cs="Arial"/>
          <w:sz w:val="24"/>
          <w:szCs w:val="24"/>
        </w:rPr>
      </w:pPr>
    </w:p>
    <w:p w:rsidR="00F36BC0" w:rsidRPr="00782A96" w:rsidRDefault="00F36BC0" w:rsidP="0006717E">
      <w:pPr>
        <w:jc w:val="left"/>
        <w:rPr>
          <w:rFonts w:ascii="Arial" w:hAnsi="Arial" w:cs="Arial"/>
          <w:color w:val="FF0000"/>
          <w:sz w:val="24"/>
          <w:szCs w:val="24"/>
        </w:rPr>
      </w:pPr>
      <w:r w:rsidRPr="00FF1319">
        <w:rPr>
          <w:rFonts w:ascii="Arial" w:hAnsi="Arial" w:cs="Arial"/>
          <w:sz w:val="24"/>
          <w:szCs w:val="24"/>
        </w:rPr>
        <w:t xml:space="preserve">B&amp;Q </w:t>
      </w:r>
      <w:r w:rsidRPr="00FF1319">
        <w:rPr>
          <w:rFonts w:ascii="Arial" w:hAnsi="Arial" w:cs="Arial"/>
          <w:b/>
          <w:sz w:val="24"/>
          <w:szCs w:val="24"/>
        </w:rPr>
        <w:t>China</w:t>
      </w:r>
      <w:r w:rsidRPr="00FF1319">
        <w:rPr>
          <w:rFonts w:ascii="Arial" w:hAnsi="Arial" w:cs="Arial"/>
          <w:sz w:val="24"/>
          <w:szCs w:val="24"/>
        </w:rPr>
        <w:t xml:space="preserve"> sales declined </w:t>
      </w:r>
      <w:r w:rsidRPr="005A41F0">
        <w:rPr>
          <w:rFonts w:ascii="Arial" w:hAnsi="Arial" w:cs="Arial"/>
          <w:sz w:val="24"/>
          <w:szCs w:val="24"/>
        </w:rPr>
        <w:t>by 0.8% (</w:t>
      </w:r>
      <w:r w:rsidR="005A41F0" w:rsidRPr="00C82F88">
        <w:rPr>
          <w:rFonts w:ascii="Arial" w:hAnsi="Arial" w:cs="Arial"/>
          <w:sz w:val="24"/>
          <w:szCs w:val="24"/>
        </w:rPr>
        <w:t>+</w:t>
      </w:r>
      <w:r w:rsidRPr="005A41F0">
        <w:rPr>
          <w:rFonts w:ascii="Arial" w:hAnsi="Arial" w:cs="Arial"/>
          <w:sz w:val="24"/>
          <w:szCs w:val="24"/>
        </w:rPr>
        <w:t>0.1% LFL) to</w:t>
      </w:r>
      <w:r w:rsidRPr="00FF1319">
        <w:rPr>
          <w:rFonts w:ascii="Arial" w:hAnsi="Arial" w:cs="Arial"/>
          <w:sz w:val="24"/>
          <w:szCs w:val="24"/>
        </w:rPr>
        <w:t xml:space="preserve"> £374 mil</w:t>
      </w:r>
      <w:r w:rsidRPr="00782A96">
        <w:rPr>
          <w:rFonts w:ascii="Arial" w:hAnsi="Arial" w:cs="Arial"/>
          <w:sz w:val="24"/>
          <w:szCs w:val="24"/>
        </w:rPr>
        <w:t xml:space="preserve">lion </w:t>
      </w:r>
      <w:r>
        <w:rPr>
          <w:rFonts w:ascii="Arial" w:hAnsi="Arial" w:cs="Arial"/>
          <w:sz w:val="24"/>
          <w:szCs w:val="24"/>
        </w:rPr>
        <w:t xml:space="preserve">reflecting one less store compared to last year. </w:t>
      </w:r>
      <w:r w:rsidR="00BE7D2C">
        <w:rPr>
          <w:rFonts w:ascii="Arial" w:hAnsi="Arial" w:cs="Arial"/>
          <w:sz w:val="24"/>
          <w:szCs w:val="24"/>
        </w:rPr>
        <w:t xml:space="preserve">The retail loss was </w:t>
      </w:r>
      <w:r w:rsidRPr="00FF1319">
        <w:rPr>
          <w:rFonts w:ascii="Arial" w:hAnsi="Arial" w:cs="Arial"/>
          <w:sz w:val="24"/>
          <w:szCs w:val="24"/>
        </w:rPr>
        <w:t xml:space="preserve">£9 million </w:t>
      </w:r>
      <w:r w:rsidR="00BE7D2C">
        <w:rPr>
          <w:rFonts w:ascii="Arial" w:hAnsi="Arial" w:cs="Arial"/>
          <w:sz w:val="24"/>
          <w:szCs w:val="24"/>
        </w:rPr>
        <w:t>(2011/12: £3 million</w:t>
      </w:r>
      <w:r w:rsidR="00FF046F">
        <w:rPr>
          <w:rFonts w:ascii="Arial" w:hAnsi="Arial" w:cs="Arial"/>
          <w:sz w:val="24"/>
          <w:szCs w:val="24"/>
        </w:rPr>
        <w:t xml:space="preserve"> reported</w:t>
      </w:r>
      <w:r w:rsidR="00BE7D2C">
        <w:rPr>
          <w:rFonts w:ascii="Arial" w:hAnsi="Arial" w:cs="Arial"/>
          <w:sz w:val="24"/>
          <w:szCs w:val="24"/>
        </w:rPr>
        <w:t xml:space="preserve"> loss) </w:t>
      </w:r>
      <w:r w:rsidR="00DF5008">
        <w:rPr>
          <w:rFonts w:ascii="Arial" w:hAnsi="Arial" w:cs="Arial"/>
          <w:sz w:val="24"/>
          <w:szCs w:val="24"/>
        </w:rPr>
        <w:t>after</w:t>
      </w:r>
      <w:r w:rsidR="00C0665A">
        <w:rPr>
          <w:rFonts w:ascii="Arial" w:hAnsi="Arial" w:cs="Arial"/>
          <w:sz w:val="24"/>
          <w:szCs w:val="24"/>
        </w:rPr>
        <w:t xml:space="preserve"> </w:t>
      </w:r>
      <w:r w:rsidRPr="005144F7">
        <w:rPr>
          <w:rFonts w:ascii="Arial" w:hAnsi="Arial" w:cs="Arial"/>
          <w:sz w:val="24"/>
          <w:szCs w:val="24"/>
        </w:rPr>
        <w:t>reflecting</w:t>
      </w:r>
      <w:r w:rsidR="00BE7D2C">
        <w:rPr>
          <w:rFonts w:ascii="Arial" w:hAnsi="Arial" w:cs="Arial"/>
          <w:sz w:val="24"/>
          <w:szCs w:val="24"/>
        </w:rPr>
        <w:t xml:space="preserve"> </w:t>
      </w:r>
      <w:r w:rsidR="005A41F0">
        <w:rPr>
          <w:rFonts w:ascii="Arial" w:hAnsi="Arial" w:cs="Arial"/>
          <w:sz w:val="24"/>
          <w:szCs w:val="24"/>
        </w:rPr>
        <w:t xml:space="preserve">around </w:t>
      </w:r>
      <w:r w:rsidRPr="005144F7">
        <w:rPr>
          <w:rFonts w:ascii="Arial" w:hAnsi="Arial" w:cs="Arial"/>
          <w:sz w:val="24"/>
          <w:szCs w:val="24"/>
        </w:rPr>
        <w:t>£</w:t>
      </w:r>
      <w:r w:rsidR="00C0665A">
        <w:rPr>
          <w:rFonts w:ascii="Arial" w:hAnsi="Arial" w:cs="Arial"/>
          <w:sz w:val="24"/>
          <w:szCs w:val="24"/>
        </w:rPr>
        <w:t>3</w:t>
      </w:r>
      <w:r w:rsidRPr="005144F7">
        <w:rPr>
          <w:rFonts w:ascii="Arial" w:hAnsi="Arial" w:cs="Arial"/>
          <w:sz w:val="24"/>
          <w:szCs w:val="24"/>
        </w:rPr>
        <w:t xml:space="preserve"> million</w:t>
      </w:r>
      <w:r w:rsidR="00BE7D2C">
        <w:rPr>
          <w:rFonts w:ascii="Arial" w:hAnsi="Arial" w:cs="Arial"/>
          <w:sz w:val="24"/>
          <w:szCs w:val="24"/>
        </w:rPr>
        <w:t xml:space="preserve"> of costs relating to </w:t>
      </w:r>
      <w:r w:rsidR="00AA4425">
        <w:rPr>
          <w:rFonts w:ascii="Arial" w:hAnsi="Arial" w:cs="Arial"/>
          <w:sz w:val="24"/>
          <w:szCs w:val="24"/>
        </w:rPr>
        <w:t xml:space="preserve">work on </w:t>
      </w:r>
      <w:r w:rsidR="00BE7D2C">
        <w:rPr>
          <w:rFonts w:ascii="Arial" w:hAnsi="Arial" w:cs="Arial"/>
          <w:sz w:val="24"/>
          <w:szCs w:val="24"/>
        </w:rPr>
        <w:t xml:space="preserve">the new format store trial. </w:t>
      </w:r>
    </w:p>
    <w:p w:rsidR="009E0561" w:rsidRDefault="009E0561">
      <w:pPr>
        <w:jc w:val="left"/>
        <w:rPr>
          <w:rFonts w:ascii="Arial" w:hAnsi="Arial" w:cs="Arial"/>
          <w:sz w:val="24"/>
          <w:szCs w:val="24"/>
        </w:rPr>
      </w:pPr>
      <w:r>
        <w:rPr>
          <w:rFonts w:ascii="Arial" w:hAnsi="Arial" w:cs="Arial"/>
          <w:sz w:val="24"/>
          <w:szCs w:val="24"/>
        </w:rPr>
        <w:br w:type="page"/>
      </w:r>
    </w:p>
    <w:p w:rsidR="00616A26" w:rsidRPr="00581772" w:rsidRDefault="00616A26" w:rsidP="00616A26">
      <w:pPr>
        <w:jc w:val="left"/>
        <w:rPr>
          <w:rFonts w:ascii="Arial" w:hAnsi="Arial" w:cs="Arial"/>
          <w:b/>
          <w:bCs/>
          <w:sz w:val="24"/>
          <w:szCs w:val="24"/>
        </w:rPr>
      </w:pPr>
      <w:r w:rsidRPr="00581772">
        <w:rPr>
          <w:rFonts w:ascii="Arial" w:hAnsi="Arial" w:cs="Arial"/>
          <w:b/>
          <w:bCs/>
          <w:sz w:val="24"/>
          <w:szCs w:val="24"/>
        </w:rPr>
        <w:t>Section 3</w:t>
      </w:r>
    </w:p>
    <w:p w:rsidR="00616A26" w:rsidRDefault="00616A26" w:rsidP="00616A26">
      <w:pPr>
        <w:jc w:val="left"/>
        <w:rPr>
          <w:rFonts w:ascii="Arial" w:hAnsi="Arial" w:cs="Arial"/>
          <w:b/>
          <w:bCs/>
          <w:sz w:val="24"/>
          <w:szCs w:val="24"/>
        </w:rPr>
      </w:pPr>
      <w:r>
        <w:rPr>
          <w:rFonts w:ascii="Arial" w:hAnsi="Arial" w:cs="Arial"/>
          <w:b/>
          <w:bCs/>
          <w:sz w:val="24"/>
          <w:szCs w:val="24"/>
        </w:rPr>
        <w:t>SUMMARY 2012/13 DATA BY GEOGRAPHY</w:t>
      </w:r>
    </w:p>
    <w:p w:rsidR="00616A26" w:rsidRPr="00581772" w:rsidRDefault="00616A26" w:rsidP="00616A26">
      <w:pPr>
        <w:jc w:val="left"/>
        <w:rPr>
          <w:rFonts w:ascii="Arial" w:hAnsi="Arial" w:cs="Arial"/>
          <w:sz w:val="24"/>
          <w:szCs w:val="24"/>
          <w:highlight w:val="magenta"/>
        </w:rPr>
      </w:pPr>
    </w:p>
    <w:tbl>
      <w:tblPr>
        <w:tblW w:w="4296" w:type="pct"/>
        <w:tblInd w:w="2" w:type="dxa"/>
        <w:tblLayout w:type="fixed"/>
        <w:tblLook w:val="01E0" w:firstRow="1" w:lastRow="1" w:firstColumn="1" w:lastColumn="1" w:noHBand="0" w:noVBand="0"/>
      </w:tblPr>
      <w:tblGrid>
        <w:gridCol w:w="2800"/>
        <w:gridCol w:w="2129"/>
        <w:gridCol w:w="1702"/>
        <w:gridCol w:w="1838"/>
      </w:tblGrid>
      <w:tr w:rsidR="00D87B09" w:rsidRPr="00271E01" w:rsidTr="00842F7C">
        <w:trPr>
          <w:trHeight w:val="739"/>
        </w:trPr>
        <w:tc>
          <w:tcPr>
            <w:tcW w:w="1653" w:type="pct"/>
          </w:tcPr>
          <w:p w:rsidR="00616A26" w:rsidRPr="00271E01" w:rsidRDefault="00616A26">
            <w:pPr>
              <w:ind w:left="110" w:hanging="110"/>
              <w:jc w:val="left"/>
              <w:rPr>
                <w:rFonts w:ascii="Arial" w:hAnsi="Arial" w:cs="Arial"/>
                <w:b/>
                <w:bCs/>
              </w:rPr>
            </w:pPr>
            <w:r w:rsidRPr="005C3DA9">
              <w:rPr>
                <w:rFonts w:ascii="Arial" w:hAnsi="Arial" w:cs="Arial"/>
              </w:rPr>
              <w:t>As at 2 Feb</w:t>
            </w:r>
            <w:r w:rsidR="00FF046F">
              <w:rPr>
                <w:rFonts w:ascii="Arial" w:hAnsi="Arial" w:cs="Arial"/>
              </w:rPr>
              <w:t>ruary</w:t>
            </w:r>
            <w:r w:rsidR="002F1ABE">
              <w:rPr>
                <w:rFonts w:ascii="Arial" w:hAnsi="Arial" w:cs="Arial"/>
              </w:rPr>
              <w:t xml:space="preserve"> </w:t>
            </w:r>
            <w:r w:rsidRPr="005C3DA9">
              <w:rPr>
                <w:rFonts w:ascii="Arial" w:hAnsi="Arial" w:cs="Arial"/>
              </w:rPr>
              <w:t>2013</w:t>
            </w:r>
          </w:p>
        </w:tc>
        <w:tc>
          <w:tcPr>
            <w:tcW w:w="1257" w:type="pct"/>
          </w:tcPr>
          <w:p w:rsidR="002F1ABE" w:rsidRDefault="00616A26" w:rsidP="00C659A8">
            <w:pPr>
              <w:ind w:left="110" w:hanging="110"/>
              <w:jc w:val="right"/>
              <w:rPr>
                <w:rFonts w:ascii="Arial" w:hAnsi="Arial" w:cs="Arial"/>
                <w:b/>
                <w:bCs/>
              </w:rPr>
            </w:pPr>
            <w:r w:rsidRPr="00271E01">
              <w:rPr>
                <w:rFonts w:ascii="Arial" w:hAnsi="Arial" w:cs="Arial"/>
                <w:b/>
                <w:bCs/>
              </w:rPr>
              <w:t xml:space="preserve">Store </w:t>
            </w:r>
          </w:p>
          <w:p w:rsidR="00616A26" w:rsidRPr="00271E01" w:rsidRDefault="00616A26" w:rsidP="00C659A8">
            <w:pPr>
              <w:ind w:left="110" w:hanging="110"/>
              <w:jc w:val="right"/>
              <w:rPr>
                <w:rFonts w:ascii="Arial" w:hAnsi="Arial" w:cs="Arial"/>
                <w:b/>
                <w:bCs/>
                <w:highlight w:val="magenta"/>
              </w:rPr>
            </w:pPr>
            <w:r w:rsidRPr="00271E01">
              <w:rPr>
                <w:rFonts w:ascii="Arial" w:hAnsi="Arial" w:cs="Arial"/>
                <w:b/>
                <w:bCs/>
              </w:rPr>
              <w:t>numbers</w:t>
            </w:r>
          </w:p>
        </w:tc>
        <w:tc>
          <w:tcPr>
            <w:tcW w:w="1005" w:type="pct"/>
          </w:tcPr>
          <w:p w:rsidR="00616A26" w:rsidRPr="002E35F8" w:rsidRDefault="00616A26" w:rsidP="00C659A8">
            <w:pPr>
              <w:ind w:left="110" w:hanging="110"/>
              <w:jc w:val="right"/>
              <w:rPr>
                <w:rFonts w:ascii="Arial" w:hAnsi="Arial" w:cs="Arial"/>
                <w:b/>
                <w:bCs/>
              </w:rPr>
            </w:pPr>
            <w:r w:rsidRPr="002E35F8">
              <w:rPr>
                <w:rFonts w:ascii="Arial" w:hAnsi="Arial" w:cs="Arial"/>
                <w:b/>
                <w:bCs/>
              </w:rPr>
              <w:t>Selling space</w:t>
            </w:r>
          </w:p>
          <w:p w:rsidR="00616A26" w:rsidRPr="009618C2" w:rsidRDefault="00616A26">
            <w:pPr>
              <w:ind w:left="110" w:hanging="110"/>
              <w:jc w:val="right"/>
              <w:rPr>
                <w:rFonts w:ascii="Arial" w:hAnsi="Arial" w:cs="Arial"/>
                <w:b/>
                <w:bCs/>
              </w:rPr>
            </w:pPr>
            <w:r w:rsidRPr="009618C2">
              <w:rPr>
                <w:rFonts w:ascii="Arial" w:hAnsi="Arial" w:cs="Arial"/>
                <w:b/>
                <w:bCs/>
              </w:rPr>
              <w:t>(000s</w:t>
            </w:r>
            <w:r w:rsidR="00197495">
              <w:rPr>
                <w:rFonts w:ascii="Arial" w:hAnsi="Arial" w:cs="Arial"/>
                <w:b/>
                <w:bCs/>
              </w:rPr>
              <w:t xml:space="preserve"> </w:t>
            </w:r>
            <w:r w:rsidR="002E35F8" w:rsidRPr="009618C2">
              <w:rPr>
                <w:rFonts w:ascii="Arial" w:hAnsi="Arial" w:cs="Arial"/>
                <w:b/>
                <w:bCs/>
              </w:rPr>
              <w:t>m</w:t>
            </w:r>
            <w:r w:rsidR="002F1ABE" w:rsidRPr="009618C2">
              <w:rPr>
                <w:rFonts w:ascii="Arial" w:hAnsi="Arial" w:cs="Arial"/>
                <w:b/>
                <w:bCs/>
              </w:rPr>
              <w:t>2</w:t>
            </w:r>
            <w:r w:rsidRPr="009618C2">
              <w:rPr>
                <w:rFonts w:ascii="Arial" w:hAnsi="Arial" w:cs="Arial"/>
                <w:b/>
                <w:bCs/>
              </w:rPr>
              <w:t>)</w:t>
            </w:r>
          </w:p>
        </w:tc>
        <w:tc>
          <w:tcPr>
            <w:tcW w:w="1085" w:type="pct"/>
          </w:tcPr>
          <w:p w:rsidR="00616A26" w:rsidRPr="002E35F8" w:rsidRDefault="00616A26" w:rsidP="00C659A8">
            <w:pPr>
              <w:ind w:left="110" w:hanging="110"/>
              <w:jc w:val="right"/>
              <w:rPr>
                <w:rFonts w:ascii="Arial" w:hAnsi="Arial" w:cs="Arial"/>
                <w:b/>
                <w:bCs/>
              </w:rPr>
            </w:pPr>
            <w:r w:rsidRPr="002E35F8">
              <w:rPr>
                <w:rFonts w:ascii="Arial" w:hAnsi="Arial" w:cs="Arial"/>
                <w:b/>
                <w:bCs/>
              </w:rPr>
              <w:t>Employees</w:t>
            </w:r>
          </w:p>
          <w:p w:rsidR="00616A26" w:rsidRPr="009618C2" w:rsidRDefault="00616A26" w:rsidP="00C659A8">
            <w:pPr>
              <w:ind w:left="110" w:hanging="110"/>
              <w:jc w:val="right"/>
              <w:rPr>
                <w:rFonts w:ascii="Arial" w:hAnsi="Arial" w:cs="Arial"/>
                <w:b/>
                <w:bCs/>
              </w:rPr>
            </w:pPr>
            <w:r w:rsidRPr="009618C2">
              <w:rPr>
                <w:rFonts w:ascii="Arial" w:hAnsi="Arial" w:cs="Arial"/>
                <w:b/>
                <w:bCs/>
              </w:rPr>
              <w:t>(FTE)</w:t>
            </w:r>
          </w:p>
        </w:tc>
      </w:tr>
      <w:tr w:rsidR="00D87B09" w:rsidRPr="00271E01" w:rsidTr="00842F7C">
        <w:tc>
          <w:tcPr>
            <w:tcW w:w="1653" w:type="pct"/>
          </w:tcPr>
          <w:p w:rsidR="00616A26" w:rsidRPr="00271E01" w:rsidRDefault="00616A26" w:rsidP="00C659A8">
            <w:pPr>
              <w:ind w:left="110" w:hanging="110"/>
              <w:jc w:val="left"/>
              <w:rPr>
                <w:rFonts w:ascii="Arial" w:hAnsi="Arial" w:cs="Arial"/>
              </w:rPr>
            </w:pPr>
            <w:r w:rsidRPr="00271E01">
              <w:rPr>
                <w:rFonts w:ascii="Arial" w:hAnsi="Arial" w:cs="Arial"/>
              </w:rPr>
              <w:t>Castorama</w:t>
            </w:r>
            <w:r w:rsidRPr="00271E01" w:rsidDel="00CC3AB5">
              <w:rPr>
                <w:rFonts w:ascii="Arial" w:hAnsi="Arial" w:cs="Arial"/>
              </w:rPr>
              <w:t xml:space="preserve"> </w:t>
            </w:r>
          </w:p>
        </w:tc>
        <w:tc>
          <w:tcPr>
            <w:tcW w:w="1257" w:type="pct"/>
          </w:tcPr>
          <w:p w:rsidR="00616A26" w:rsidRPr="00271E01" w:rsidRDefault="00616A26" w:rsidP="00C659A8">
            <w:pPr>
              <w:ind w:left="110" w:hanging="110"/>
              <w:jc w:val="right"/>
              <w:rPr>
                <w:rFonts w:ascii="Arial" w:hAnsi="Arial" w:cs="Arial"/>
              </w:rPr>
            </w:pPr>
            <w:r w:rsidRPr="00271E01">
              <w:rPr>
                <w:rFonts w:ascii="Arial" w:hAnsi="Arial" w:cs="Arial"/>
              </w:rPr>
              <w:t>103</w:t>
            </w:r>
          </w:p>
        </w:tc>
        <w:tc>
          <w:tcPr>
            <w:tcW w:w="1005" w:type="pct"/>
          </w:tcPr>
          <w:p w:rsidR="00616A26" w:rsidRPr="00271E01" w:rsidRDefault="00616A26" w:rsidP="00C659A8">
            <w:pPr>
              <w:ind w:left="110" w:hanging="110"/>
              <w:jc w:val="right"/>
              <w:rPr>
                <w:rFonts w:ascii="Arial" w:hAnsi="Arial" w:cs="Arial"/>
              </w:rPr>
            </w:pPr>
            <w:r w:rsidRPr="00271E01">
              <w:rPr>
                <w:rFonts w:ascii="Arial" w:hAnsi="Arial" w:cs="Arial"/>
              </w:rPr>
              <w:t>1,085</w:t>
            </w:r>
          </w:p>
        </w:tc>
        <w:tc>
          <w:tcPr>
            <w:tcW w:w="1085" w:type="pct"/>
          </w:tcPr>
          <w:p w:rsidR="00616A26" w:rsidRPr="00271E01" w:rsidRDefault="00616A26" w:rsidP="00C659A8">
            <w:pPr>
              <w:ind w:left="110" w:hanging="110"/>
              <w:jc w:val="right"/>
              <w:rPr>
                <w:rFonts w:ascii="Arial" w:hAnsi="Arial" w:cs="Arial"/>
              </w:rPr>
            </w:pPr>
            <w:r>
              <w:rPr>
                <w:rFonts w:ascii="Arial" w:hAnsi="Arial" w:cs="Arial"/>
              </w:rPr>
              <w:t>11,139</w:t>
            </w:r>
          </w:p>
        </w:tc>
      </w:tr>
      <w:tr w:rsidR="00D87B09" w:rsidRPr="00271E01" w:rsidTr="00842F7C">
        <w:tc>
          <w:tcPr>
            <w:tcW w:w="1653" w:type="pct"/>
            <w:tcBorders>
              <w:bottom w:val="single" w:sz="4" w:space="0" w:color="auto"/>
            </w:tcBorders>
          </w:tcPr>
          <w:p w:rsidR="00616A26" w:rsidRPr="00271E01" w:rsidRDefault="00616A26" w:rsidP="00C659A8">
            <w:pPr>
              <w:ind w:left="110" w:hanging="110"/>
              <w:jc w:val="left"/>
              <w:rPr>
                <w:rFonts w:ascii="Arial" w:hAnsi="Arial" w:cs="Arial"/>
              </w:rPr>
            </w:pPr>
            <w:proofErr w:type="spellStart"/>
            <w:r w:rsidRPr="00271E01">
              <w:rPr>
                <w:rFonts w:ascii="Arial" w:hAnsi="Arial" w:cs="Arial"/>
              </w:rPr>
              <w:t>Brico</w:t>
            </w:r>
            <w:proofErr w:type="spellEnd"/>
            <w:r w:rsidRPr="00271E01">
              <w:rPr>
                <w:rFonts w:ascii="Arial" w:hAnsi="Arial" w:cs="Arial"/>
              </w:rPr>
              <w:t xml:space="preserve"> </w:t>
            </w:r>
            <w:proofErr w:type="spellStart"/>
            <w:r w:rsidRPr="00271E01">
              <w:rPr>
                <w:rFonts w:ascii="Arial" w:hAnsi="Arial" w:cs="Arial"/>
              </w:rPr>
              <w:t>Dépôt</w:t>
            </w:r>
            <w:proofErr w:type="spellEnd"/>
          </w:p>
        </w:tc>
        <w:tc>
          <w:tcPr>
            <w:tcW w:w="1257" w:type="pct"/>
            <w:tcBorders>
              <w:bottom w:val="single" w:sz="4" w:space="0" w:color="auto"/>
            </w:tcBorders>
          </w:tcPr>
          <w:p w:rsidR="00616A26" w:rsidRPr="00271E01" w:rsidRDefault="00616A26" w:rsidP="00C659A8">
            <w:pPr>
              <w:ind w:left="110" w:hanging="110"/>
              <w:jc w:val="right"/>
              <w:rPr>
                <w:rFonts w:ascii="Arial" w:hAnsi="Arial" w:cs="Arial"/>
              </w:rPr>
            </w:pPr>
            <w:r w:rsidRPr="00271E01">
              <w:rPr>
                <w:rFonts w:ascii="Arial" w:hAnsi="Arial" w:cs="Arial"/>
              </w:rPr>
              <w:t>104</w:t>
            </w:r>
          </w:p>
        </w:tc>
        <w:tc>
          <w:tcPr>
            <w:tcW w:w="1005" w:type="pct"/>
            <w:tcBorders>
              <w:bottom w:val="single" w:sz="4" w:space="0" w:color="auto"/>
            </w:tcBorders>
          </w:tcPr>
          <w:p w:rsidR="00616A26" w:rsidRPr="00271E01" w:rsidRDefault="00616A26" w:rsidP="00C659A8">
            <w:pPr>
              <w:ind w:left="110" w:hanging="110"/>
              <w:jc w:val="right"/>
              <w:rPr>
                <w:rFonts w:ascii="Arial" w:hAnsi="Arial" w:cs="Arial"/>
              </w:rPr>
            </w:pPr>
            <w:r w:rsidRPr="00271E01">
              <w:rPr>
                <w:rFonts w:ascii="Arial" w:hAnsi="Arial" w:cs="Arial"/>
              </w:rPr>
              <w:t>576</w:t>
            </w:r>
          </w:p>
        </w:tc>
        <w:tc>
          <w:tcPr>
            <w:tcW w:w="1085" w:type="pct"/>
            <w:tcBorders>
              <w:bottom w:val="single" w:sz="4" w:space="0" w:color="auto"/>
            </w:tcBorders>
          </w:tcPr>
          <w:p w:rsidR="00616A26" w:rsidRPr="00271E01" w:rsidRDefault="00616A26" w:rsidP="00C659A8">
            <w:pPr>
              <w:ind w:left="110" w:hanging="110"/>
              <w:jc w:val="right"/>
              <w:rPr>
                <w:rFonts w:ascii="Arial" w:hAnsi="Arial" w:cs="Arial"/>
              </w:rPr>
            </w:pPr>
            <w:r>
              <w:rPr>
                <w:rFonts w:ascii="Arial" w:hAnsi="Arial" w:cs="Arial"/>
              </w:rPr>
              <w:t>6,819</w:t>
            </w:r>
          </w:p>
        </w:tc>
      </w:tr>
      <w:tr w:rsidR="00D87B09" w:rsidRPr="00271E01" w:rsidTr="00842F7C">
        <w:tc>
          <w:tcPr>
            <w:tcW w:w="1653" w:type="pct"/>
            <w:tcBorders>
              <w:top w:val="single" w:sz="4" w:space="0" w:color="auto"/>
            </w:tcBorders>
          </w:tcPr>
          <w:p w:rsidR="00616A26" w:rsidRPr="00271E01" w:rsidRDefault="00616A26" w:rsidP="00C659A8">
            <w:pPr>
              <w:ind w:left="110" w:hanging="110"/>
              <w:jc w:val="left"/>
              <w:rPr>
                <w:rFonts w:ascii="Arial" w:hAnsi="Arial" w:cs="Arial"/>
                <w:b/>
                <w:bCs/>
              </w:rPr>
            </w:pPr>
            <w:r w:rsidRPr="00271E01">
              <w:rPr>
                <w:rFonts w:ascii="Arial" w:hAnsi="Arial" w:cs="Arial"/>
                <w:b/>
                <w:bCs/>
              </w:rPr>
              <w:t>France</w:t>
            </w:r>
          </w:p>
        </w:tc>
        <w:tc>
          <w:tcPr>
            <w:tcW w:w="1257" w:type="pct"/>
            <w:tcBorders>
              <w:top w:val="single" w:sz="4" w:space="0" w:color="auto"/>
            </w:tcBorders>
          </w:tcPr>
          <w:p w:rsidR="00616A26" w:rsidRPr="00271E01" w:rsidRDefault="00616A26" w:rsidP="00C659A8">
            <w:pPr>
              <w:ind w:left="110" w:hanging="110"/>
              <w:jc w:val="right"/>
              <w:rPr>
                <w:rFonts w:ascii="Arial" w:hAnsi="Arial" w:cs="Arial"/>
                <w:b/>
                <w:bCs/>
              </w:rPr>
            </w:pPr>
            <w:r w:rsidRPr="00271E01">
              <w:rPr>
                <w:rFonts w:ascii="Arial" w:hAnsi="Arial" w:cs="Arial"/>
                <w:b/>
                <w:bCs/>
              </w:rPr>
              <w:t>207</w:t>
            </w:r>
          </w:p>
        </w:tc>
        <w:tc>
          <w:tcPr>
            <w:tcW w:w="1005" w:type="pct"/>
            <w:tcBorders>
              <w:top w:val="single" w:sz="4" w:space="0" w:color="auto"/>
            </w:tcBorders>
          </w:tcPr>
          <w:p w:rsidR="00616A26" w:rsidRPr="00271E01" w:rsidRDefault="00616A26" w:rsidP="00C659A8">
            <w:pPr>
              <w:ind w:left="110" w:hanging="110"/>
              <w:jc w:val="right"/>
              <w:rPr>
                <w:rFonts w:ascii="Arial" w:hAnsi="Arial" w:cs="Arial"/>
                <w:b/>
                <w:bCs/>
              </w:rPr>
            </w:pPr>
            <w:r w:rsidRPr="00271E01">
              <w:rPr>
                <w:rFonts w:ascii="Arial" w:hAnsi="Arial" w:cs="Arial"/>
                <w:b/>
                <w:bCs/>
              </w:rPr>
              <w:t>1,661</w:t>
            </w:r>
          </w:p>
        </w:tc>
        <w:tc>
          <w:tcPr>
            <w:tcW w:w="1085" w:type="pct"/>
            <w:tcBorders>
              <w:top w:val="single" w:sz="4" w:space="0" w:color="auto"/>
            </w:tcBorders>
          </w:tcPr>
          <w:p w:rsidR="00616A26" w:rsidRPr="00271E01" w:rsidRDefault="00616A26" w:rsidP="00C659A8">
            <w:pPr>
              <w:ind w:left="110" w:hanging="110"/>
              <w:jc w:val="right"/>
              <w:rPr>
                <w:rFonts w:ascii="Arial" w:hAnsi="Arial" w:cs="Arial"/>
                <w:b/>
                <w:bCs/>
              </w:rPr>
            </w:pPr>
            <w:r>
              <w:rPr>
                <w:rFonts w:ascii="Arial" w:hAnsi="Arial" w:cs="Arial"/>
                <w:b/>
                <w:bCs/>
              </w:rPr>
              <w:t>17,958</w:t>
            </w:r>
          </w:p>
        </w:tc>
      </w:tr>
      <w:tr w:rsidR="00D87B09" w:rsidRPr="00271E01" w:rsidTr="00842F7C">
        <w:tc>
          <w:tcPr>
            <w:tcW w:w="1653" w:type="pct"/>
          </w:tcPr>
          <w:p w:rsidR="00616A26" w:rsidRPr="00271E01" w:rsidRDefault="00616A26" w:rsidP="00C659A8">
            <w:pPr>
              <w:spacing w:before="60"/>
              <w:jc w:val="left"/>
              <w:rPr>
                <w:rFonts w:ascii="Arial" w:hAnsi="Arial" w:cs="Arial"/>
              </w:rPr>
            </w:pPr>
            <w:r w:rsidRPr="00271E01">
              <w:rPr>
                <w:rFonts w:ascii="Arial" w:hAnsi="Arial" w:cs="Arial"/>
              </w:rPr>
              <w:t>B&amp;Q UK &amp; Ireland</w:t>
            </w:r>
          </w:p>
        </w:tc>
        <w:tc>
          <w:tcPr>
            <w:tcW w:w="1257" w:type="pct"/>
          </w:tcPr>
          <w:p w:rsidR="00616A26" w:rsidRPr="00271E01" w:rsidRDefault="00616A26" w:rsidP="00C659A8">
            <w:pPr>
              <w:spacing w:before="60"/>
              <w:ind w:left="110" w:hanging="110"/>
              <w:jc w:val="right"/>
              <w:rPr>
                <w:rFonts w:ascii="Arial" w:hAnsi="Arial" w:cs="Arial"/>
              </w:rPr>
            </w:pPr>
            <w:r w:rsidRPr="00271E01">
              <w:rPr>
                <w:rFonts w:ascii="Arial" w:hAnsi="Arial" w:cs="Arial"/>
              </w:rPr>
              <w:t>358</w:t>
            </w:r>
          </w:p>
        </w:tc>
        <w:tc>
          <w:tcPr>
            <w:tcW w:w="1005" w:type="pct"/>
          </w:tcPr>
          <w:p w:rsidR="00616A26" w:rsidRPr="00271E01" w:rsidRDefault="00616A26" w:rsidP="00C659A8">
            <w:pPr>
              <w:spacing w:before="60"/>
              <w:ind w:left="110" w:hanging="110"/>
              <w:jc w:val="right"/>
              <w:rPr>
                <w:rFonts w:ascii="Arial" w:hAnsi="Arial" w:cs="Arial"/>
              </w:rPr>
            </w:pPr>
            <w:r w:rsidRPr="00271E01">
              <w:rPr>
                <w:rFonts w:ascii="Arial" w:hAnsi="Arial" w:cs="Arial"/>
              </w:rPr>
              <w:t>2,561</w:t>
            </w:r>
          </w:p>
        </w:tc>
        <w:tc>
          <w:tcPr>
            <w:tcW w:w="1085" w:type="pct"/>
          </w:tcPr>
          <w:p w:rsidR="00616A26" w:rsidRPr="00271E01" w:rsidRDefault="00616A26" w:rsidP="00C659A8">
            <w:pPr>
              <w:spacing w:before="60"/>
              <w:ind w:left="110" w:hanging="110"/>
              <w:jc w:val="right"/>
              <w:rPr>
                <w:rFonts w:ascii="Arial" w:hAnsi="Arial" w:cs="Arial"/>
              </w:rPr>
            </w:pPr>
            <w:r>
              <w:rPr>
                <w:rFonts w:ascii="Arial" w:hAnsi="Arial" w:cs="Arial"/>
              </w:rPr>
              <w:t>21,473</w:t>
            </w:r>
          </w:p>
        </w:tc>
      </w:tr>
      <w:tr w:rsidR="00D87B09" w:rsidRPr="00271E01" w:rsidTr="00842F7C">
        <w:tc>
          <w:tcPr>
            <w:tcW w:w="1653" w:type="pct"/>
            <w:tcBorders>
              <w:bottom w:val="single" w:sz="4" w:space="0" w:color="auto"/>
            </w:tcBorders>
          </w:tcPr>
          <w:p w:rsidR="00616A26" w:rsidRPr="00271E01" w:rsidRDefault="00616A26" w:rsidP="00C659A8">
            <w:pPr>
              <w:ind w:left="110" w:hanging="110"/>
              <w:jc w:val="left"/>
              <w:rPr>
                <w:rFonts w:ascii="Arial" w:hAnsi="Arial" w:cs="Arial"/>
              </w:rPr>
            </w:pPr>
            <w:proofErr w:type="spellStart"/>
            <w:r w:rsidRPr="00271E01">
              <w:rPr>
                <w:rFonts w:ascii="Arial" w:hAnsi="Arial" w:cs="Arial"/>
              </w:rPr>
              <w:t>Screwfix</w:t>
            </w:r>
            <w:proofErr w:type="spellEnd"/>
            <w:r w:rsidRPr="00271E01">
              <w:rPr>
                <w:rFonts w:ascii="Arial" w:hAnsi="Arial" w:cs="Arial"/>
              </w:rPr>
              <w:t xml:space="preserve"> </w:t>
            </w:r>
          </w:p>
        </w:tc>
        <w:tc>
          <w:tcPr>
            <w:tcW w:w="1257" w:type="pct"/>
            <w:tcBorders>
              <w:bottom w:val="single" w:sz="4" w:space="0" w:color="auto"/>
            </w:tcBorders>
          </w:tcPr>
          <w:p w:rsidR="00616A26" w:rsidRPr="00271E01" w:rsidRDefault="00616A26" w:rsidP="00C659A8">
            <w:pPr>
              <w:ind w:left="110" w:hanging="110"/>
              <w:jc w:val="right"/>
              <w:rPr>
                <w:rFonts w:ascii="Arial" w:hAnsi="Arial" w:cs="Arial"/>
              </w:rPr>
            </w:pPr>
            <w:r w:rsidRPr="00271E01">
              <w:rPr>
                <w:rFonts w:ascii="Arial" w:hAnsi="Arial" w:cs="Arial"/>
              </w:rPr>
              <w:t>275</w:t>
            </w:r>
          </w:p>
        </w:tc>
        <w:tc>
          <w:tcPr>
            <w:tcW w:w="1005" w:type="pct"/>
            <w:tcBorders>
              <w:bottom w:val="single" w:sz="4" w:space="0" w:color="auto"/>
            </w:tcBorders>
            <w:shd w:val="clear" w:color="auto" w:fill="auto"/>
          </w:tcPr>
          <w:p w:rsidR="00616A26" w:rsidRPr="00271E01" w:rsidRDefault="00616A26" w:rsidP="00C659A8">
            <w:pPr>
              <w:ind w:left="110" w:hanging="110"/>
              <w:jc w:val="right"/>
              <w:rPr>
                <w:rFonts w:ascii="Arial" w:hAnsi="Arial" w:cs="Arial"/>
              </w:rPr>
            </w:pPr>
            <w:r w:rsidRPr="00271E01">
              <w:rPr>
                <w:rFonts w:ascii="Arial" w:hAnsi="Arial" w:cs="Arial"/>
              </w:rPr>
              <w:t>20</w:t>
            </w:r>
          </w:p>
        </w:tc>
        <w:tc>
          <w:tcPr>
            <w:tcW w:w="1085" w:type="pct"/>
            <w:tcBorders>
              <w:bottom w:val="single" w:sz="4" w:space="0" w:color="auto"/>
            </w:tcBorders>
          </w:tcPr>
          <w:p w:rsidR="00616A26" w:rsidRPr="00271E01" w:rsidRDefault="00616A26" w:rsidP="00C659A8">
            <w:pPr>
              <w:ind w:left="110" w:hanging="110"/>
              <w:jc w:val="right"/>
              <w:rPr>
                <w:rFonts w:ascii="Arial" w:hAnsi="Arial" w:cs="Arial"/>
              </w:rPr>
            </w:pPr>
            <w:r>
              <w:rPr>
                <w:rFonts w:ascii="Arial" w:hAnsi="Arial" w:cs="Arial"/>
              </w:rPr>
              <w:t>3,804</w:t>
            </w:r>
          </w:p>
        </w:tc>
      </w:tr>
      <w:tr w:rsidR="00D87B09" w:rsidRPr="00271E01" w:rsidTr="00842F7C">
        <w:tc>
          <w:tcPr>
            <w:tcW w:w="1653" w:type="pct"/>
            <w:tcBorders>
              <w:top w:val="single" w:sz="4" w:space="0" w:color="auto"/>
            </w:tcBorders>
          </w:tcPr>
          <w:p w:rsidR="00616A26" w:rsidRPr="00271E01" w:rsidRDefault="00616A26" w:rsidP="00C659A8">
            <w:pPr>
              <w:ind w:left="110" w:hanging="110"/>
              <w:jc w:val="left"/>
              <w:rPr>
                <w:rFonts w:ascii="Arial" w:hAnsi="Arial" w:cs="Arial"/>
                <w:b/>
                <w:bCs/>
              </w:rPr>
            </w:pPr>
            <w:r w:rsidRPr="00271E01">
              <w:rPr>
                <w:rFonts w:ascii="Arial" w:hAnsi="Arial" w:cs="Arial"/>
                <w:b/>
                <w:bCs/>
              </w:rPr>
              <w:t>UK &amp; Ireland</w:t>
            </w:r>
          </w:p>
        </w:tc>
        <w:tc>
          <w:tcPr>
            <w:tcW w:w="1257" w:type="pct"/>
            <w:tcBorders>
              <w:top w:val="single" w:sz="4" w:space="0" w:color="auto"/>
            </w:tcBorders>
          </w:tcPr>
          <w:p w:rsidR="00616A26" w:rsidRPr="00271E01" w:rsidRDefault="00616A26" w:rsidP="00C659A8">
            <w:pPr>
              <w:ind w:left="110" w:hanging="110"/>
              <w:jc w:val="right"/>
              <w:rPr>
                <w:rFonts w:ascii="Arial" w:hAnsi="Arial" w:cs="Arial"/>
                <w:b/>
                <w:bCs/>
              </w:rPr>
            </w:pPr>
            <w:r w:rsidRPr="00271E01">
              <w:rPr>
                <w:rFonts w:ascii="Arial" w:hAnsi="Arial" w:cs="Arial"/>
                <w:b/>
                <w:bCs/>
              </w:rPr>
              <w:t>633</w:t>
            </w:r>
          </w:p>
        </w:tc>
        <w:tc>
          <w:tcPr>
            <w:tcW w:w="1005" w:type="pct"/>
            <w:tcBorders>
              <w:top w:val="single" w:sz="4" w:space="0" w:color="auto"/>
            </w:tcBorders>
          </w:tcPr>
          <w:p w:rsidR="00616A26" w:rsidRPr="00271E01" w:rsidRDefault="00616A26" w:rsidP="00C659A8">
            <w:pPr>
              <w:ind w:left="110" w:hanging="110"/>
              <w:jc w:val="right"/>
              <w:rPr>
                <w:rFonts w:ascii="Arial" w:hAnsi="Arial" w:cs="Arial"/>
                <w:b/>
                <w:bCs/>
              </w:rPr>
            </w:pPr>
            <w:r w:rsidRPr="00271E01">
              <w:rPr>
                <w:rFonts w:ascii="Arial" w:hAnsi="Arial" w:cs="Arial"/>
                <w:b/>
                <w:bCs/>
              </w:rPr>
              <w:t>2,581</w:t>
            </w:r>
          </w:p>
        </w:tc>
        <w:tc>
          <w:tcPr>
            <w:tcW w:w="1085" w:type="pct"/>
            <w:tcBorders>
              <w:top w:val="single" w:sz="4" w:space="0" w:color="auto"/>
            </w:tcBorders>
          </w:tcPr>
          <w:p w:rsidR="00616A26" w:rsidRPr="00271E01" w:rsidRDefault="00616A26" w:rsidP="00C659A8">
            <w:pPr>
              <w:ind w:left="110" w:hanging="110"/>
              <w:jc w:val="right"/>
              <w:rPr>
                <w:rFonts w:ascii="Arial" w:hAnsi="Arial" w:cs="Arial"/>
                <w:b/>
                <w:bCs/>
              </w:rPr>
            </w:pPr>
            <w:r>
              <w:rPr>
                <w:rFonts w:ascii="Arial" w:hAnsi="Arial" w:cs="Arial"/>
                <w:b/>
                <w:bCs/>
              </w:rPr>
              <w:t>25,277</w:t>
            </w:r>
          </w:p>
        </w:tc>
      </w:tr>
      <w:tr w:rsidR="00D87B09" w:rsidRPr="00271E01" w:rsidTr="00842F7C">
        <w:tc>
          <w:tcPr>
            <w:tcW w:w="1653" w:type="pct"/>
          </w:tcPr>
          <w:p w:rsidR="00616A26" w:rsidRPr="00271E01" w:rsidRDefault="00616A26" w:rsidP="00C659A8">
            <w:pPr>
              <w:spacing w:before="60"/>
              <w:ind w:left="110" w:hanging="110"/>
              <w:jc w:val="left"/>
              <w:rPr>
                <w:rFonts w:ascii="Arial" w:hAnsi="Arial" w:cs="Arial"/>
              </w:rPr>
            </w:pPr>
            <w:r w:rsidRPr="00271E01">
              <w:rPr>
                <w:rFonts w:ascii="Arial" w:hAnsi="Arial" w:cs="Arial"/>
              </w:rPr>
              <w:t>Poland</w:t>
            </w:r>
          </w:p>
        </w:tc>
        <w:tc>
          <w:tcPr>
            <w:tcW w:w="1257" w:type="pct"/>
          </w:tcPr>
          <w:p w:rsidR="00616A26" w:rsidRPr="00271E01" w:rsidRDefault="00616A26" w:rsidP="00C659A8">
            <w:pPr>
              <w:spacing w:before="60"/>
              <w:ind w:left="110" w:hanging="110"/>
              <w:jc w:val="right"/>
              <w:rPr>
                <w:rFonts w:ascii="Arial" w:hAnsi="Arial" w:cs="Arial"/>
              </w:rPr>
            </w:pPr>
            <w:r w:rsidRPr="00271E01">
              <w:rPr>
                <w:rFonts w:ascii="Arial" w:hAnsi="Arial" w:cs="Arial"/>
              </w:rPr>
              <w:t>70</w:t>
            </w:r>
          </w:p>
        </w:tc>
        <w:tc>
          <w:tcPr>
            <w:tcW w:w="1005" w:type="pct"/>
          </w:tcPr>
          <w:p w:rsidR="00616A26" w:rsidRPr="00271E01" w:rsidRDefault="00616A26" w:rsidP="00C659A8">
            <w:pPr>
              <w:spacing w:before="60"/>
              <w:ind w:left="110" w:hanging="110"/>
              <w:jc w:val="right"/>
              <w:rPr>
                <w:rFonts w:ascii="Arial" w:hAnsi="Arial" w:cs="Arial"/>
              </w:rPr>
            </w:pPr>
            <w:r w:rsidRPr="00271E01">
              <w:rPr>
                <w:rFonts w:ascii="Arial" w:hAnsi="Arial" w:cs="Arial"/>
              </w:rPr>
              <w:t>513</w:t>
            </w:r>
          </w:p>
        </w:tc>
        <w:tc>
          <w:tcPr>
            <w:tcW w:w="1085" w:type="pct"/>
          </w:tcPr>
          <w:p w:rsidR="00616A26" w:rsidRPr="00271E01" w:rsidRDefault="00616A26" w:rsidP="00C659A8">
            <w:pPr>
              <w:spacing w:before="60"/>
              <w:ind w:left="110" w:hanging="110"/>
              <w:jc w:val="right"/>
              <w:rPr>
                <w:rFonts w:ascii="Arial" w:hAnsi="Arial" w:cs="Arial"/>
              </w:rPr>
            </w:pPr>
            <w:r>
              <w:rPr>
                <w:rFonts w:ascii="Arial" w:hAnsi="Arial" w:cs="Arial"/>
              </w:rPr>
              <w:t>10,937</w:t>
            </w:r>
          </w:p>
        </w:tc>
      </w:tr>
      <w:tr w:rsidR="00D87B09" w:rsidRPr="00271E01" w:rsidTr="00842F7C">
        <w:tc>
          <w:tcPr>
            <w:tcW w:w="1653" w:type="pct"/>
          </w:tcPr>
          <w:p w:rsidR="00616A26" w:rsidRPr="00271E01" w:rsidRDefault="00616A26" w:rsidP="00C659A8">
            <w:pPr>
              <w:ind w:left="110" w:hanging="110"/>
              <w:jc w:val="left"/>
              <w:rPr>
                <w:rFonts w:ascii="Arial" w:hAnsi="Arial" w:cs="Arial"/>
                <w:lang w:val="it-IT"/>
              </w:rPr>
            </w:pPr>
            <w:r w:rsidRPr="00271E01">
              <w:rPr>
                <w:rFonts w:ascii="Arial" w:hAnsi="Arial" w:cs="Arial"/>
                <w:lang w:val="it-IT"/>
              </w:rPr>
              <w:t>China</w:t>
            </w:r>
          </w:p>
        </w:tc>
        <w:tc>
          <w:tcPr>
            <w:tcW w:w="1257" w:type="pct"/>
          </w:tcPr>
          <w:p w:rsidR="00616A26" w:rsidRPr="00271E01" w:rsidRDefault="00616A26" w:rsidP="00C659A8">
            <w:pPr>
              <w:ind w:left="110" w:hanging="110"/>
              <w:jc w:val="right"/>
              <w:rPr>
                <w:rFonts w:ascii="Arial" w:hAnsi="Arial" w:cs="Arial"/>
              </w:rPr>
            </w:pPr>
            <w:r w:rsidRPr="00271E01">
              <w:rPr>
                <w:rFonts w:ascii="Arial" w:hAnsi="Arial" w:cs="Arial"/>
              </w:rPr>
              <w:t>39</w:t>
            </w:r>
          </w:p>
        </w:tc>
        <w:tc>
          <w:tcPr>
            <w:tcW w:w="1005" w:type="pct"/>
          </w:tcPr>
          <w:p w:rsidR="00616A26" w:rsidRPr="00271E01" w:rsidRDefault="00616A26" w:rsidP="00C659A8">
            <w:pPr>
              <w:ind w:left="110" w:hanging="110"/>
              <w:jc w:val="right"/>
              <w:rPr>
                <w:rFonts w:ascii="Arial" w:hAnsi="Arial" w:cs="Arial"/>
              </w:rPr>
            </w:pPr>
            <w:r w:rsidRPr="00271E01">
              <w:rPr>
                <w:rFonts w:ascii="Arial" w:hAnsi="Arial" w:cs="Arial"/>
              </w:rPr>
              <w:t>326</w:t>
            </w:r>
          </w:p>
        </w:tc>
        <w:tc>
          <w:tcPr>
            <w:tcW w:w="1085" w:type="pct"/>
          </w:tcPr>
          <w:p w:rsidR="00616A26" w:rsidRPr="00271E01" w:rsidRDefault="00616A26" w:rsidP="00C659A8">
            <w:pPr>
              <w:ind w:left="110" w:hanging="110"/>
              <w:jc w:val="right"/>
              <w:rPr>
                <w:rFonts w:ascii="Arial" w:hAnsi="Arial" w:cs="Arial"/>
              </w:rPr>
            </w:pPr>
            <w:r>
              <w:rPr>
                <w:rFonts w:ascii="Arial" w:hAnsi="Arial" w:cs="Arial"/>
              </w:rPr>
              <w:t>4,449</w:t>
            </w:r>
          </w:p>
        </w:tc>
      </w:tr>
      <w:tr w:rsidR="00D87B09" w:rsidRPr="00271E01" w:rsidTr="00842F7C">
        <w:tc>
          <w:tcPr>
            <w:tcW w:w="1653" w:type="pct"/>
          </w:tcPr>
          <w:p w:rsidR="00616A26" w:rsidRPr="00271E01" w:rsidRDefault="00616A26" w:rsidP="00C659A8">
            <w:pPr>
              <w:ind w:left="110" w:hanging="110"/>
              <w:jc w:val="left"/>
              <w:rPr>
                <w:rFonts w:ascii="Arial" w:hAnsi="Arial" w:cs="Arial"/>
                <w:lang w:val="it-IT"/>
              </w:rPr>
            </w:pPr>
            <w:r>
              <w:rPr>
                <w:rFonts w:ascii="Arial" w:hAnsi="Arial" w:cs="Arial"/>
                <w:lang w:val="it-IT"/>
              </w:rPr>
              <w:t>Spain</w:t>
            </w:r>
          </w:p>
        </w:tc>
        <w:tc>
          <w:tcPr>
            <w:tcW w:w="1257" w:type="pct"/>
          </w:tcPr>
          <w:p w:rsidR="00616A26" w:rsidRPr="00271E01" w:rsidRDefault="00616A26" w:rsidP="00C659A8">
            <w:pPr>
              <w:ind w:left="110" w:hanging="110"/>
              <w:jc w:val="right"/>
              <w:rPr>
                <w:rFonts w:ascii="Arial" w:hAnsi="Arial" w:cs="Arial"/>
              </w:rPr>
            </w:pPr>
            <w:r>
              <w:rPr>
                <w:rFonts w:ascii="Arial" w:hAnsi="Arial" w:cs="Arial"/>
              </w:rPr>
              <w:t>20</w:t>
            </w:r>
          </w:p>
        </w:tc>
        <w:tc>
          <w:tcPr>
            <w:tcW w:w="1005" w:type="pct"/>
          </w:tcPr>
          <w:p w:rsidR="00616A26" w:rsidRPr="00271E01" w:rsidRDefault="00616A26" w:rsidP="00C659A8">
            <w:pPr>
              <w:ind w:left="110" w:hanging="110"/>
              <w:jc w:val="right"/>
              <w:rPr>
                <w:rFonts w:ascii="Arial" w:hAnsi="Arial" w:cs="Arial"/>
              </w:rPr>
            </w:pPr>
            <w:r>
              <w:rPr>
                <w:rFonts w:ascii="Arial" w:hAnsi="Arial" w:cs="Arial"/>
              </w:rPr>
              <w:t>116</w:t>
            </w:r>
          </w:p>
        </w:tc>
        <w:tc>
          <w:tcPr>
            <w:tcW w:w="1085" w:type="pct"/>
          </w:tcPr>
          <w:p w:rsidR="00616A26" w:rsidRDefault="00616A26" w:rsidP="00C659A8">
            <w:pPr>
              <w:ind w:left="110" w:hanging="110"/>
              <w:jc w:val="right"/>
              <w:rPr>
                <w:rFonts w:ascii="Arial" w:hAnsi="Arial" w:cs="Arial"/>
              </w:rPr>
            </w:pPr>
            <w:r>
              <w:rPr>
                <w:rFonts w:ascii="Arial" w:hAnsi="Arial" w:cs="Arial"/>
              </w:rPr>
              <w:t>992</w:t>
            </w:r>
          </w:p>
        </w:tc>
      </w:tr>
      <w:tr w:rsidR="00D87B09" w:rsidRPr="00271E01" w:rsidTr="00842F7C">
        <w:tc>
          <w:tcPr>
            <w:tcW w:w="1653" w:type="pct"/>
          </w:tcPr>
          <w:p w:rsidR="00616A26" w:rsidRDefault="00616A26" w:rsidP="00C659A8">
            <w:pPr>
              <w:ind w:left="110" w:hanging="110"/>
              <w:jc w:val="left"/>
              <w:rPr>
                <w:rFonts w:ascii="Arial" w:hAnsi="Arial" w:cs="Arial"/>
                <w:lang w:val="it-IT"/>
              </w:rPr>
            </w:pPr>
            <w:r>
              <w:rPr>
                <w:rFonts w:ascii="Arial" w:hAnsi="Arial" w:cs="Arial"/>
                <w:lang w:val="it-IT"/>
              </w:rPr>
              <w:t>Russia</w:t>
            </w:r>
          </w:p>
        </w:tc>
        <w:tc>
          <w:tcPr>
            <w:tcW w:w="1257" w:type="pct"/>
          </w:tcPr>
          <w:p w:rsidR="00616A26" w:rsidRDefault="00616A26" w:rsidP="00C659A8">
            <w:pPr>
              <w:ind w:left="110" w:hanging="110"/>
              <w:jc w:val="right"/>
              <w:rPr>
                <w:rFonts w:ascii="Arial" w:hAnsi="Arial" w:cs="Arial"/>
              </w:rPr>
            </w:pPr>
            <w:r>
              <w:rPr>
                <w:rFonts w:ascii="Arial" w:hAnsi="Arial" w:cs="Arial"/>
              </w:rPr>
              <w:t>19</w:t>
            </w:r>
          </w:p>
        </w:tc>
        <w:tc>
          <w:tcPr>
            <w:tcW w:w="1005" w:type="pct"/>
          </w:tcPr>
          <w:p w:rsidR="00616A26" w:rsidRDefault="00616A26" w:rsidP="00C659A8">
            <w:pPr>
              <w:ind w:left="110" w:hanging="110"/>
              <w:jc w:val="right"/>
              <w:rPr>
                <w:rFonts w:ascii="Arial" w:hAnsi="Arial" w:cs="Arial"/>
              </w:rPr>
            </w:pPr>
            <w:r>
              <w:rPr>
                <w:rFonts w:ascii="Arial" w:hAnsi="Arial" w:cs="Arial"/>
              </w:rPr>
              <w:t>170</w:t>
            </w:r>
          </w:p>
        </w:tc>
        <w:tc>
          <w:tcPr>
            <w:tcW w:w="1085" w:type="pct"/>
          </w:tcPr>
          <w:p w:rsidR="00616A26" w:rsidRDefault="00616A26" w:rsidP="00C659A8">
            <w:pPr>
              <w:ind w:left="110" w:hanging="110"/>
              <w:jc w:val="right"/>
              <w:rPr>
                <w:rFonts w:ascii="Arial" w:hAnsi="Arial" w:cs="Arial"/>
              </w:rPr>
            </w:pPr>
            <w:r>
              <w:rPr>
                <w:rFonts w:ascii="Arial" w:hAnsi="Arial" w:cs="Arial"/>
              </w:rPr>
              <w:t>2,483</w:t>
            </w:r>
          </w:p>
        </w:tc>
      </w:tr>
      <w:tr w:rsidR="00D87B09" w:rsidRPr="00271E01" w:rsidTr="00842F7C">
        <w:tc>
          <w:tcPr>
            <w:tcW w:w="1653" w:type="pct"/>
            <w:tcBorders>
              <w:bottom w:val="single" w:sz="4" w:space="0" w:color="auto"/>
            </w:tcBorders>
          </w:tcPr>
          <w:p w:rsidR="00616A26" w:rsidRPr="00271E01" w:rsidRDefault="00616A26" w:rsidP="00C659A8">
            <w:pPr>
              <w:jc w:val="left"/>
              <w:rPr>
                <w:rFonts w:ascii="Arial" w:hAnsi="Arial" w:cs="Arial"/>
                <w:lang w:val="it-IT"/>
              </w:rPr>
            </w:pPr>
            <w:r w:rsidRPr="00271E01">
              <w:rPr>
                <w:rFonts w:ascii="Arial" w:hAnsi="Arial" w:cs="Arial"/>
                <w:lang w:val="it-IT"/>
              </w:rPr>
              <w:t>Turkey JV</w:t>
            </w:r>
          </w:p>
        </w:tc>
        <w:tc>
          <w:tcPr>
            <w:tcW w:w="1257" w:type="pct"/>
            <w:tcBorders>
              <w:bottom w:val="single" w:sz="4" w:space="0" w:color="auto"/>
            </w:tcBorders>
          </w:tcPr>
          <w:p w:rsidR="00616A26" w:rsidRPr="00271E01" w:rsidRDefault="00616A26" w:rsidP="00C659A8">
            <w:pPr>
              <w:ind w:left="110" w:hanging="110"/>
              <w:jc w:val="right"/>
              <w:rPr>
                <w:rFonts w:ascii="Arial" w:hAnsi="Arial" w:cs="Arial"/>
                <w:lang w:val="it-IT"/>
              </w:rPr>
            </w:pPr>
            <w:r w:rsidRPr="00271E01">
              <w:rPr>
                <w:rFonts w:ascii="Arial" w:hAnsi="Arial" w:cs="Arial"/>
                <w:lang w:val="it-IT"/>
              </w:rPr>
              <w:t>37</w:t>
            </w:r>
          </w:p>
        </w:tc>
        <w:tc>
          <w:tcPr>
            <w:tcW w:w="1005" w:type="pct"/>
            <w:tcBorders>
              <w:bottom w:val="single" w:sz="4" w:space="0" w:color="auto"/>
            </w:tcBorders>
          </w:tcPr>
          <w:p w:rsidR="00616A26" w:rsidRPr="00271E01" w:rsidRDefault="00616A26" w:rsidP="00C659A8">
            <w:pPr>
              <w:ind w:left="110" w:hanging="110"/>
              <w:jc w:val="right"/>
              <w:rPr>
                <w:rFonts w:ascii="Arial" w:hAnsi="Arial" w:cs="Arial"/>
                <w:lang w:val="it-IT"/>
              </w:rPr>
            </w:pPr>
            <w:r w:rsidRPr="00271E01">
              <w:rPr>
                <w:rFonts w:ascii="Arial" w:hAnsi="Arial" w:cs="Arial"/>
                <w:lang w:val="it-IT"/>
              </w:rPr>
              <w:t>194</w:t>
            </w:r>
          </w:p>
        </w:tc>
        <w:tc>
          <w:tcPr>
            <w:tcW w:w="1085" w:type="pct"/>
            <w:tcBorders>
              <w:bottom w:val="single" w:sz="4" w:space="0" w:color="auto"/>
            </w:tcBorders>
          </w:tcPr>
          <w:p w:rsidR="00616A26" w:rsidRPr="00271E01" w:rsidRDefault="00616A26" w:rsidP="00C659A8">
            <w:pPr>
              <w:ind w:left="110" w:hanging="110"/>
              <w:jc w:val="right"/>
              <w:rPr>
                <w:rFonts w:ascii="Arial" w:hAnsi="Arial" w:cs="Arial"/>
                <w:lang w:val="it-IT"/>
              </w:rPr>
            </w:pPr>
            <w:r>
              <w:rPr>
                <w:rFonts w:ascii="Arial" w:hAnsi="Arial" w:cs="Arial"/>
                <w:lang w:val="it-IT"/>
              </w:rPr>
              <w:t>3,240</w:t>
            </w:r>
          </w:p>
        </w:tc>
      </w:tr>
      <w:tr w:rsidR="00D87B09" w:rsidRPr="00271E01" w:rsidTr="00842F7C">
        <w:tc>
          <w:tcPr>
            <w:tcW w:w="1653" w:type="pct"/>
            <w:tcBorders>
              <w:top w:val="single" w:sz="4" w:space="0" w:color="auto"/>
              <w:bottom w:val="single" w:sz="4" w:space="0" w:color="auto"/>
            </w:tcBorders>
          </w:tcPr>
          <w:p w:rsidR="00616A26" w:rsidRPr="00271E01" w:rsidRDefault="00616A26" w:rsidP="00C659A8">
            <w:pPr>
              <w:jc w:val="left"/>
              <w:rPr>
                <w:rFonts w:ascii="Arial" w:hAnsi="Arial" w:cs="Arial"/>
                <w:b/>
                <w:bCs/>
              </w:rPr>
            </w:pPr>
            <w:r>
              <w:rPr>
                <w:rFonts w:ascii="Arial" w:hAnsi="Arial" w:cs="Arial"/>
                <w:b/>
                <w:bCs/>
              </w:rPr>
              <w:t xml:space="preserve">Other </w:t>
            </w:r>
            <w:r w:rsidRPr="00271E01">
              <w:rPr>
                <w:rFonts w:ascii="Arial" w:hAnsi="Arial" w:cs="Arial"/>
                <w:b/>
                <w:bCs/>
              </w:rPr>
              <w:t>International</w:t>
            </w:r>
          </w:p>
        </w:tc>
        <w:tc>
          <w:tcPr>
            <w:tcW w:w="1257" w:type="pct"/>
            <w:tcBorders>
              <w:top w:val="single" w:sz="4" w:space="0" w:color="auto"/>
              <w:bottom w:val="single" w:sz="4" w:space="0" w:color="auto"/>
            </w:tcBorders>
          </w:tcPr>
          <w:p w:rsidR="00616A26" w:rsidRPr="00271E01" w:rsidRDefault="00616A26" w:rsidP="00C659A8">
            <w:pPr>
              <w:ind w:left="110" w:hanging="110"/>
              <w:jc w:val="right"/>
              <w:rPr>
                <w:rFonts w:ascii="Arial" w:hAnsi="Arial" w:cs="Arial"/>
                <w:b/>
                <w:bCs/>
              </w:rPr>
            </w:pPr>
            <w:r w:rsidRPr="00271E01">
              <w:rPr>
                <w:rFonts w:ascii="Arial" w:hAnsi="Arial" w:cs="Arial"/>
                <w:b/>
                <w:bCs/>
              </w:rPr>
              <w:t>185</w:t>
            </w:r>
          </w:p>
        </w:tc>
        <w:tc>
          <w:tcPr>
            <w:tcW w:w="1005" w:type="pct"/>
            <w:tcBorders>
              <w:top w:val="single" w:sz="4" w:space="0" w:color="auto"/>
              <w:bottom w:val="single" w:sz="4" w:space="0" w:color="auto"/>
            </w:tcBorders>
          </w:tcPr>
          <w:p w:rsidR="00616A26" w:rsidRPr="00271E01" w:rsidRDefault="00616A26" w:rsidP="00C659A8">
            <w:pPr>
              <w:ind w:left="110" w:hanging="110"/>
              <w:jc w:val="right"/>
              <w:rPr>
                <w:rFonts w:ascii="Arial" w:hAnsi="Arial" w:cs="Arial"/>
                <w:b/>
                <w:bCs/>
              </w:rPr>
            </w:pPr>
            <w:r w:rsidRPr="00271E01">
              <w:rPr>
                <w:rFonts w:ascii="Arial" w:hAnsi="Arial" w:cs="Arial"/>
                <w:b/>
                <w:bCs/>
              </w:rPr>
              <w:t>1,319</w:t>
            </w:r>
          </w:p>
        </w:tc>
        <w:tc>
          <w:tcPr>
            <w:tcW w:w="1085" w:type="pct"/>
            <w:tcBorders>
              <w:top w:val="single" w:sz="4" w:space="0" w:color="auto"/>
              <w:bottom w:val="single" w:sz="4" w:space="0" w:color="auto"/>
            </w:tcBorders>
          </w:tcPr>
          <w:p w:rsidR="00616A26" w:rsidRPr="00271E01" w:rsidRDefault="00616A26" w:rsidP="00C659A8">
            <w:pPr>
              <w:ind w:left="110" w:hanging="110"/>
              <w:jc w:val="right"/>
              <w:rPr>
                <w:rFonts w:ascii="Arial" w:hAnsi="Arial" w:cs="Arial"/>
                <w:b/>
                <w:bCs/>
              </w:rPr>
            </w:pPr>
            <w:r>
              <w:rPr>
                <w:rFonts w:ascii="Arial" w:hAnsi="Arial" w:cs="Arial"/>
                <w:b/>
                <w:bCs/>
              </w:rPr>
              <w:t>22,101</w:t>
            </w:r>
          </w:p>
        </w:tc>
      </w:tr>
      <w:tr w:rsidR="00D87B09" w:rsidRPr="00271E01" w:rsidTr="00842F7C">
        <w:tc>
          <w:tcPr>
            <w:tcW w:w="1653" w:type="pct"/>
            <w:tcBorders>
              <w:top w:val="single" w:sz="4" w:space="0" w:color="auto"/>
              <w:bottom w:val="single" w:sz="4" w:space="0" w:color="auto"/>
            </w:tcBorders>
          </w:tcPr>
          <w:p w:rsidR="00616A26" w:rsidRPr="00271E01" w:rsidRDefault="00616A26" w:rsidP="00C659A8">
            <w:pPr>
              <w:spacing w:before="100"/>
              <w:ind w:left="108" w:hanging="108"/>
              <w:jc w:val="left"/>
              <w:rPr>
                <w:rFonts w:ascii="Arial" w:hAnsi="Arial" w:cs="Arial"/>
                <w:b/>
                <w:bCs/>
              </w:rPr>
            </w:pPr>
            <w:r>
              <w:rPr>
                <w:rFonts w:ascii="Arial" w:hAnsi="Arial" w:cs="Arial"/>
                <w:b/>
                <w:bCs/>
              </w:rPr>
              <w:t>Total Group</w:t>
            </w:r>
          </w:p>
        </w:tc>
        <w:tc>
          <w:tcPr>
            <w:tcW w:w="1257" w:type="pct"/>
            <w:tcBorders>
              <w:top w:val="single" w:sz="4" w:space="0" w:color="auto"/>
              <w:bottom w:val="single" w:sz="4" w:space="0" w:color="auto"/>
            </w:tcBorders>
          </w:tcPr>
          <w:p w:rsidR="00616A26" w:rsidRPr="00271E01" w:rsidRDefault="00616A26" w:rsidP="00C659A8">
            <w:pPr>
              <w:spacing w:before="100"/>
              <w:ind w:left="108" w:hanging="108"/>
              <w:jc w:val="right"/>
              <w:rPr>
                <w:rFonts w:ascii="Arial" w:hAnsi="Arial" w:cs="Arial"/>
                <w:b/>
                <w:bCs/>
              </w:rPr>
            </w:pPr>
            <w:r w:rsidRPr="00271E01">
              <w:rPr>
                <w:rFonts w:ascii="Arial" w:hAnsi="Arial" w:cs="Arial"/>
                <w:b/>
                <w:bCs/>
              </w:rPr>
              <w:t>1,025</w:t>
            </w:r>
          </w:p>
        </w:tc>
        <w:tc>
          <w:tcPr>
            <w:tcW w:w="1005" w:type="pct"/>
            <w:tcBorders>
              <w:top w:val="single" w:sz="4" w:space="0" w:color="auto"/>
              <w:bottom w:val="single" w:sz="4" w:space="0" w:color="auto"/>
            </w:tcBorders>
          </w:tcPr>
          <w:p w:rsidR="00616A26" w:rsidRPr="00271E01" w:rsidRDefault="00616A26" w:rsidP="00C659A8">
            <w:pPr>
              <w:spacing w:before="100"/>
              <w:ind w:left="108" w:hanging="108"/>
              <w:jc w:val="right"/>
              <w:rPr>
                <w:rFonts w:ascii="Arial" w:hAnsi="Arial" w:cs="Arial"/>
                <w:b/>
                <w:bCs/>
              </w:rPr>
            </w:pPr>
            <w:r w:rsidRPr="00271E01">
              <w:rPr>
                <w:rFonts w:ascii="Arial" w:hAnsi="Arial" w:cs="Arial"/>
                <w:b/>
                <w:bCs/>
              </w:rPr>
              <w:t>5,561</w:t>
            </w:r>
          </w:p>
        </w:tc>
        <w:tc>
          <w:tcPr>
            <w:tcW w:w="1085" w:type="pct"/>
            <w:tcBorders>
              <w:top w:val="single" w:sz="4" w:space="0" w:color="auto"/>
              <w:bottom w:val="single" w:sz="4" w:space="0" w:color="auto"/>
            </w:tcBorders>
          </w:tcPr>
          <w:p w:rsidR="00616A26" w:rsidRPr="00271E01" w:rsidRDefault="00177B0B" w:rsidP="00C659A8">
            <w:pPr>
              <w:spacing w:before="100"/>
              <w:ind w:left="108" w:hanging="108"/>
              <w:jc w:val="right"/>
              <w:rPr>
                <w:rFonts w:ascii="Arial" w:hAnsi="Arial" w:cs="Arial"/>
                <w:b/>
                <w:bCs/>
              </w:rPr>
            </w:pPr>
            <w:r>
              <w:rPr>
                <w:rFonts w:ascii="Arial" w:hAnsi="Arial" w:cs="Arial"/>
                <w:b/>
                <w:bCs/>
              </w:rPr>
              <w:t>65,336</w:t>
            </w:r>
          </w:p>
        </w:tc>
      </w:tr>
      <w:tr w:rsidR="00D87B09" w:rsidRPr="00271E01" w:rsidTr="00842F7C">
        <w:tc>
          <w:tcPr>
            <w:tcW w:w="1653" w:type="pct"/>
            <w:tcBorders>
              <w:top w:val="single" w:sz="4" w:space="0" w:color="auto"/>
            </w:tcBorders>
          </w:tcPr>
          <w:p w:rsidR="00616A26" w:rsidRDefault="00616A26" w:rsidP="00C659A8">
            <w:pPr>
              <w:spacing w:before="100"/>
              <w:ind w:left="108" w:hanging="108"/>
              <w:jc w:val="left"/>
              <w:rPr>
                <w:rFonts w:ascii="Arial" w:hAnsi="Arial" w:cs="Arial"/>
                <w:b/>
                <w:bCs/>
              </w:rPr>
            </w:pPr>
          </w:p>
        </w:tc>
        <w:tc>
          <w:tcPr>
            <w:tcW w:w="1257" w:type="pct"/>
            <w:tcBorders>
              <w:top w:val="single" w:sz="4" w:space="0" w:color="auto"/>
            </w:tcBorders>
          </w:tcPr>
          <w:p w:rsidR="00616A26" w:rsidRPr="00271E01" w:rsidRDefault="00616A26" w:rsidP="00C659A8">
            <w:pPr>
              <w:spacing w:before="100"/>
              <w:ind w:left="108" w:hanging="108"/>
              <w:jc w:val="right"/>
              <w:rPr>
                <w:rFonts w:ascii="Arial" w:hAnsi="Arial" w:cs="Arial"/>
                <w:b/>
                <w:bCs/>
              </w:rPr>
            </w:pPr>
          </w:p>
        </w:tc>
        <w:tc>
          <w:tcPr>
            <w:tcW w:w="1005" w:type="pct"/>
            <w:tcBorders>
              <w:top w:val="single" w:sz="4" w:space="0" w:color="auto"/>
            </w:tcBorders>
          </w:tcPr>
          <w:p w:rsidR="00616A26" w:rsidRPr="00271E01" w:rsidRDefault="00616A26" w:rsidP="00C659A8">
            <w:pPr>
              <w:spacing w:before="100"/>
              <w:ind w:left="108" w:hanging="108"/>
              <w:jc w:val="right"/>
              <w:rPr>
                <w:rFonts w:ascii="Arial" w:hAnsi="Arial" w:cs="Arial"/>
                <w:b/>
                <w:bCs/>
              </w:rPr>
            </w:pPr>
          </w:p>
        </w:tc>
        <w:tc>
          <w:tcPr>
            <w:tcW w:w="1085" w:type="pct"/>
            <w:tcBorders>
              <w:top w:val="single" w:sz="4" w:space="0" w:color="auto"/>
            </w:tcBorders>
          </w:tcPr>
          <w:p w:rsidR="00616A26" w:rsidRPr="00271E01" w:rsidRDefault="00616A26" w:rsidP="00C659A8">
            <w:pPr>
              <w:spacing w:before="100"/>
              <w:ind w:left="108" w:hanging="108"/>
              <w:jc w:val="right"/>
              <w:rPr>
                <w:rFonts w:ascii="Arial" w:hAnsi="Arial" w:cs="Arial"/>
                <w:b/>
                <w:bCs/>
              </w:rPr>
            </w:pPr>
          </w:p>
        </w:tc>
      </w:tr>
    </w:tbl>
    <w:p w:rsidR="00616A26" w:rsidRDefault="00616A26" w:rsidP="00616A26">
      <w:pPr>
        <w:jc w:val="left"/>
        <w:rPr>
          <w:rFonts w:ascii="Arial" w:hAnsi="Arial" w:cs="Arial"/>
          <w:b/>
          <w:bCs/>
        </w:rPr>
      </w:pPr>
    </w:p>
    <w:tbl>
      <w:tblPr>
        <w:tblW w:w="8472" w:type="dxa"/>
        <w:tblLayout w:type="fixed"/>
        <w:tblLook w:val="01E0" w:firstRow="1" w:lastRow="1" w:firstColumn="1" w:lastColumn="1" w:noHBand="0" w:noVBand="0"/>
      </w:tblPr>
      <w:tblGrid>
        <w:gridCol w:w="2376"/>
        <w:gridCol w:w="1276"/>
        <w:gridCol w:w="1276"/>
        <w:gridCol w:w="1701"/>
        <w:gridCol w:w="1843"/>
      </w:tblGrid>
      <w:tr w:rsidR="00616A26" w:rsidRPr="00271E01" w:rsidTr="009618C2">
        <w:trPr>
          <w:trHeight w:val="567"/>
        </w:trPr>
        <w:tc>
          <w:tcPr>
            <w:tcW w:w="2376" w:type="dxa"/>
            <w:tcBorders>
              <w:bottom w:val="single" w:sz="4" w:space="0" w:color="auto"/>
            </w:tcBorders>
          </w:tcPr>
          <w:p w:rsidR="00616A26" w:rsidRPr="00271E01" w:rsidRDefault="00616A26" w:rsidP="00C659A8">
            <w:pPr>
              <w:jc w:val="left"/>
              <w:rPr>
                <w:rFonts w:ascii="Arial" w:hAnsi="Arial" w:cs="Arial"/>
                <w:b/>
                <w:u w:val="single"/>
              </w:rPr>
            </w:pPr>
          </w:p>
        </w:tc>
        <w:tc>
          <w:tcPr>
            <w:tcW w:w="1276" w:type="dxa"/>
            <w:tcBorders>
              <w:bottom w:val="single" w:sz="4" w:space="0" w:color="auto"/>
            </w:tcBorders>
          </w:tcPr>
          <w:p w:rsidR="00616A26" w:rsidRPr="00271E01" w:rsidRDefault="00616A26" w:rsidP="00C659A8">
            <w:pPr>
              <w:jc w:val="right"/>
              <w:rPr>
                <w:rFonts w:ascii="Arial" w:hAnsi="Arial" w:cs="Arial"/>
                <w:b/>
              </w:rPr>
            </w:pPr>
            <w:r w:rsidRPr="00271E01">
              <w:rPr>
                <w:rFonts w:ascii="Arial" w:hAnsi="Arial" w:cs="Arial"/>
                <w:b/>
              </w:rPr>
              <w:t xml:space="preserve">Sales </w:t>
            </w:r>
          </w:p>
        </w:tc>
        <w:tc>
          <w:tcPr>
            <w:tcW w:w="1276" w:type="dxa"/>
            <w:tcBorders>
              <w:bottom w:val="single" w:sz="4" w:space="0" w:color="auto"/>
            </w:tcBorders>
          </w:tcPr>
          <w:p w:rsidR="00616A26" w:rsidRPr="00271E01" w:rsidRDefault="00616A26" w:rsidP="00C659A8">
            <w:pPr>
              <w:jc w:val="right"/>
              <w:rPr>
                <w:rFonts w:ascii="Arial" w:hAnsi="Arial" w:cs="Arial"/>
                <w:b/>
              </w:rPr>
            </w:pPr>
            <w:r w:rsidRPr="00271E01">
              <w:rPr>
                <w:rFonts w:ascii="Arial" w:hAnsi="Arial" w:cs="Arial"/>
                <w:b/>
              </w:rPr>
              <w:t>% Total</w:t>
            </w:r>
          </w:p>
          <w:p w:rsidR="00616A26" w:rsidRPr="00271E01" w:rsidRDefault="00616A26" w:rsidP="00C659A8">
            <w:pPr>
              <w:jc w:val="right"/>
              <w:rPr>
                <w:rFonts w:ascii="Arial" w:hAnsi="Arial" w:cs="Arial"/>
                <w:b/>
              </w:rPr>
            </w:pPr>
            <w:r w:rsidRPr="00271E01">
              <w:rPr>
                <w:rFonts w:ascii="Arial" w:hAnsi="Arial" w:cs="Arial"/>
                <w:b/>
              </w:rPr>
              <w:t>Change</w:t>
            </w:r>
          </w:p>
        </w:tc>
        <w:tc>
          <w:tcPr>
            <w:tcW w:w="1701" w:type="dxa"/>
            <w:tcBorders>
              <w:bottom w:val="single" w:sz="4" w:space="0" w:color="auto"/>
            </w:tcBorders>
          </w:tcPr>
          <w:p w:rsidR="00616A26" w:rsidRPr="00271E01" w:rsidRDefault="00616A26" w:rsidP="00C659A8">
            <w:pPr>
              <w:jc w:val="right"/>
              <w:rPr>
                <w:rFonts w:ascii="Arial" w:hAnsi="Arial" w:cs="Arial"/>
                <w:b/>
              </w:rPr>
            </w:pPr>
            <w:r w:rsidRPr="00271E01">
              <w:rPr>
                <w:rFonts w:ascii="Arial" w:hAnsi="Arial" w:cs="Arial"/>
                <w:b/>
              </w:rPr>
              <w:t>% Total Change</w:t>
            </w:r>
          </w:p>
        </w:tc>
        <w:tc>
          <w:tcPr>
            <w:tcW w:w="1843" w:type="dxa"/>
            <w:tcBorders>
              <w:bottom w:val="single" w:sz="4" w:space="0" w:color="auto"/>
            </w:tcBorders>
          </w:tcPr>
          <w:p w:rsidR="00616A26" w:rsidRPr="00271E01" w:rsidRDefault="00616A26" w:rsidP="00C659A8">
            <w:pPr>
              <w:jc w:val="right"/>
              <w:rPr>
                <w:rFonts w:ascii="Arial" w:hAnsi="Arial" w:cs="Arial"/>
                <w:b/>
              </w:rPr>
            </w:pPr>
            <w:r w:rsidRPr="00271E01">
              <w:rPr>
                <w:rFonts w:ascii="Arial" w:hAnsi="Arial" w:cs="Arial"/>
                <w:b/>
              </w:rPr>
              <w:t>% LFL Change</w:t>
            </w:r>
          </w:p>
        </w:tc>
      </w:tr>
      <w:tr w:rsidR="00616A26" w:rsidRPr="00271E01" w:rsidTr="009618C2">
        <w:trPr>
          <w:trHeight w:val="567"/>
        </w:trPr>
        <w:tc>
          <w:tcPr>
            <w:tcW w:w="2376" w:type="dxa"/>
            <w:tcBorders>
              <w:top w:val="single" w:sz="4" w:space="0" w:color="auto"/>
              <w:bottom w:val="single" w:sz="4" w:space="0" w:color="auto"/>
            </w:tcBorders>
          </w:tcPr>
          <w:p w:rsidR="00616A26" w:rsidRPr="00271E01" w:rsidRDefault="00616A26" w:rsidP="00C659A8">
            <w:pPr>
              <w:jc w:val="right"/>
              <w:rPr>
                <w:rFonts w:ascii="Arial" w:hAnsi="Arial" w:cs="Arial"/>
              </w:rPr>
            </w:pPr>
          </w:p>
        </w:tc>
        <w:tc>
          <w:tcPr>
            <w:tcW w:w="1276" w:type="dxa"/>
            <w:tcBorders>
              <w:top w:val="single" w:sz="4" w:space="0" w:color="auto"/>
              <w:bottom w:val="single" w:sz="4" w:space="0" w:color="auto"/>
            </w:tcBorders>
          </w:tcPr>
          <w:p w:rsidR="00616A26" w:rsidRPr="00271E01" w:rsidRDefault="00616A26" w:rsidP="00C659A8">
            <w:pPr>
              <w:jc w:val="right"/>
              <w:rPr>
                <w:rFonts w:ascii="Arial" w:hAnsi="Arial" w:cs="Arial"/>
                <w:b/>
              </w:rPr>
            </w:pPr>
            <w:r w:rsidRPr="00271E01">
              <w:rPr>
                <w:rFonts w:ascii="Arial" w:hAnsi="Arial" w:cs="Arial"/>
                <w:b/>
              </w:rPr>
              <w:t>£m</w:t>
            </w:r>
          </w:p>
          <w:p w:rsidR="00616A26" w:rsidRPr="00271E01" w:rsidRDefault="00616A26" w:rsidP="00C659A8">
            <w:pPr>
              <w:jc w:val="right"/>
              <w:rPr>
                <w:rFonts w:ascii="Arial" w:hAnsi="Arial" w:cs="Arial"/>
                <w:b/>
              </w:rPr>
            </w:pPr>
            <w:r w:rsidRPr="00271E01">
              <w:rPr>
                <w:rFonts w:ascii="Arial" w:hAnsi="Arial" w:cs="Arial"/>
                <w:b/>
              </w:rPr>
              <w:t>2012/13</w:t>
            </w:r>
            <w:r w:rsidRPr="00EC015F">
              <w:rPr>
                <w:rFonts w:ascii="Arial" w:hAnsi="Arial" w:cs="Arial"/>
                <w:b/>
                <w:i/>
                <w:vertAlign w:val="superscript"/>
              </w:rPr>
              <w:t>(1)</w:t>
            </w:r>
          </w:p>
          <w:p w:rsidR="00616A26" w:rsidRPr="00271E01" w:rsidRDefault="00616A26" w:rsidP="00C659A8">
            <w:pPr>
              <w:jc w:val="right"/>
              <w:rPr>
                <w:rFonts w:ascii="Arial" w:hAnsi="Arial" w:cs="Arial"/>
                <w:b/>
              </w:rPr>
            </w:pPr>
          </w:p>
        </w:tc>
        <w:tc>
          <w:tcPr>
            <w:tcW w:w="1276" w:type="dxa"/>
            <w:tcBorders>
              <w:top w:val="single" w:sz="4" w:space="0" w:color="auto"/>
              <w:bottom w:val="single" w:sz="4" w:space="0" w:color="auto"/>
            </w:tcBorders>
          </w:tcPr>
          <w:p w:rsidR="00616A26" w:rsidRPr="00271E01" w:rsidRDefault="00616A26" w:rsidP="00C659A8">
            <w:pPr>
              <w:jc w:val="right"/>
              <w:rPr>
                <w:rFonts w:ascii="Arial" w:hAnsi="Arial" w:cs="Arial"/>
              </w:rPr>
            </w:pPr>
            <w:r w:rsidRPr="00271E01">
              <w:rPr>
                <w:rFonts w:ascii="Arial" w:hAnsi="Arial" w:cs="Arial"/>
                <w:b/>
              </w:rPr>
              <w:t>Reported</w:t>
            </w:r>
          </w:p>
        </w:tc>
        <w:tc>
          <w:tcPr>
            <w:tcW w:w="1701" w:type="dxa"/>
            <w:tcBorders>
              <w:top w:val="single" w:sz="4" w:space="0" w:color="auto"/>
              <w:bottom w:val="single" w:sz="4" w:space="0" w:color="auto"/>
            </w:tcBorders>
          </w:tcPr>
          <w:p w:rsidR="00616A26" w:rsidRPr="00271E01" w:rsidRDefault="00616A26" w:rsidP="00C659A8">
            <w:pPr>
              <w:jc w:val="right"/>
              <w:rPr>
                <w:rFonts w:ascii="Arial" w:hAnsi="Arial" w:cs="Arial"/>
                <w:b/>
                <w:vertAlign w:val="superscript"/>
              </w:rPr>
            </w:pPr>
            <w:r w:rsidRPr="00271E01">
              <w:rPr>
                <w:rFonts w:ascii="Arial" w:hAnsi="Arial" w:cs="Arial"/>
                <w:b/>
              </w:rPr>
              <w:t>Constant currency 52 week basis</w:t>
            </w:r>
            <w:r w:rsidRPr="00EC015F">
              <w:rPr>
                <w:rFonts w:ascii="Arial" w:hAnsi="Arial" w:cs="Arial"/>
                <w:b/>
                <w:i/>
                <w:vertAlign w:val="superscript"/>
              </w:rPr>
              <w:t>(</w:t>
            </w:r>
            <w:r w:rsidR="00FF046F" w:rsidRPr="00EC015F">
              <w:rPr>
                <w:rFonts w:ascii="Arial" w:hAnsi="Arial" w:cs="Arial"/>
                <w:b/>
                <w:i/>
                <w:vertAlign w:val="superscript"/>
              </w:rPr>
              <w:t>1</w:t>
            </w:r>
            <w:r w:rsidRPr="00EC015F">
              <w:rPr>
                <w:rFonts w:ascii="Arial" w:hAnsi="Arial" w:cs="Arial"/>
                <w:b/>
                <w:i/>
                <w:vertAlign w:val="superscript"/>
              </w:rPr>
              <w:t>)</w:t>
            </w:r>
          </w:p>
        </w:tc>
        <w:tc>
          <w:tcPr>
            <w:tcW w:w="1843" w:type="dxa"/>
            <w:tcBorders>
              <w:top w:val="single" w:sz="4" w:space="0" w:color="auto"/>
              <w:bottom w:val="single" w:sz="4" w:space="0" w:color="auto"/>
            </w:tcBorders>
          </w:tcPr>
          <w:p w:rsidR="00616A26" w:rsidRPr="00271E01" w:rsidRDefault="00616A26" w:rsidP="00C659A8">
            <w:pPr>
              <w:jc w:val="right"/>
              <w:rPr>
                <w:rFonts w:ascii="Arial" w:hAnsi="Arial" w:cs="Arial"/>
                <w:b/>
              </w:rPr>
            </w:pPr>
            <w:r w:rsidRPr="00271E01">
              <w:rPr>
                <w:rFonts w:ascii="Arial" w:hAnsi="Arial" w:cs="Arial"/>
                <w:b/>
              </w:rPr>
              <w:t>Constant currency</w:t>
            </w:r>
          </w:p>
        </w:tc>
      </w:tr>
      <w:tr w:rsidR="00616A26" w:rsidRPr="00271E01" w:rsidTr="009618C2">
        <w:trPr>
          <w:trHeight w:hRule="exact" w:val="90"/>
        </w:trPr>
        <w:tc>
          <w:tcPr>
            <w:tcW w:w="2376" w:type="dxa"/>
            <w:tcBorders>
              <w:top w:val="single" w:sz="4" w:space="0" w:color="auto"/>
            </w:tcBorders>
          </w:tcPr>
          <w:p w:rsidR="00616A26" w:rsidRPr="00271E01" w:rsidRDefault="00616A26" w:rsidP="00C659A8">
            <w:pPr>
              <w:rPr>
                <w:rFonts w:ascii="Arial" w:hAnsi="Arial" w:cs="Arial"/>
              </w:rPr>
            </w:pPr>
          </w:p>
        </w:tc>
        <w:tc>
          <w:tcPr>
            <w:tcW w:w="1276" w:type="dxa"/>
            <w:tcBorders>
              <w:top w:val="single" w:sz="4" w:space="0" w:color="auto"/>
            </w:tcBorders>
          </w:tcPr>
          <w:p w:rsidR="00616A26" w:rsidRPr="00271E01" w:rsidRDefault="00616A26" w:rsidP="00C659A8">
            <w:pPr>
              <w:jc w:val="right"/>
              <w:rPr>
                <w:rFonts w:ascii="Arial" w:hAnsi="Arial" w:cs="Arial"/>
              </w:rPr>
            </w:pPr>
          </w:p>
        </w:tc>
        <w:tc>
          <w:tcPr>
            <w:tcW w:w="1276" w:type="dxa"/>
            <w:tcBorders>
              <w:top w:val="single" w:sz="4" w:space="0" w:color="auto"/>
            </w:tcBorders>
          </w:tcPr>
          <w:p w:rsidR="00616A26" w:rsidRPr="00271E01" w:rsidRDefault="00616A26" w:rsidP="00C659A8">
            <w:pPr>
              <w:jc w:val="right"/>
              <w:rPr>
                <w:rFonts w:ascii="Arial" w:hAnsi="Arial" w:cs="Arial"/>
              </w:rPr>
            </w:pPr>
          </w:p>
        </w:tc>
        <w:tc>
          <w:tcPr>
            <w:tcW w:w="1701" w:type="dxa"/>
            <w:tcBorders>
              <w:top w:val="single" w:sz="4" w:space="0" w:color="auto"/>
            </w:tcBorders>
          </w:tcPr>
          <w:p w:rsidR="00616A26" w:rsidRPr="00271E01" w:rsidRDefault="00616A26" w:rsidP="00C659A8">
            <w:pPr>
              <w:jc w:val="right"/>
              <w:rPr>
                <w:rFonts w:ascii="Arial" w:hAnsi="Arial" w:cs="Arial"/>
              </w:rPr>
            </w:pPr>
          </w:p>
        </w:tc>
        <w:tc>
          <w:tcPr>
            <w:tcW w:w="1843" w:type="dxa"/>
            <w:tcBorders>
              <w:top w:val="single" w:sz="4" w:space="0" w:color="auto"/>
            </w:tcBorders>
          </w:tcPr>
          <w:p w:rsidR="00616A26" w:rsidRPr="00271E01" w:rsidRDefault="00616A26" w:rsidP="00C659A8">
            <w:pPr>
              <w:jc w:val="right"/>
              <w:rPr>
                <w:rFonts w:ascii="Arial" w:hAnsi="Arial" w:cs="Arial"/>
              </w:rPr>
            </w:pPr>
          </w:p>
        </w:tc>
      </w:tr>
      <w:tr w:rsidR="00616A26" w:rsidRPr="00271E01" w:rsidTr="009618C2">
        <w:trPr>
          <w:trHeight w:hRule="exact" w:val="312"/>
        </w:trPr>
        <w:tc>
          <w:tcPr>
            <w:tcW w:w="2376" w:type="dxa"/>
          </w:tcPr>
          <w:p w:rsidR="00616A26" w:rsidRPr="00271E01" w:rsidRDefault="00616A26" w:rsidP="00C659A8">
            <w:pPr>
              <w:rPr>
                <w:rFonts w:ascii="Arial" w:hAnsi="Arial" w:cs="Arial"/>
              </w:rPr>
            </w:pPr>
            <w:r w:rsidRPr="00271E01">
              <w:rPr>
                <w:rFonts w:ascii="Arial" w:hAnsi="Arial" w:cs="Arial"/>
              </w:rPr>
              <w:t>Castorama</w:t>
            </w:r>
          </w:p>
        </w:tc>
        <w:tc>
          <w:tcPr>
            <w:tcW w:w="1276" w:type="dxa"/>
          </w:tcPr>
          <w:p w:rsidR="00616A26" w:rsidRPr="00271E01" w:rsidRDefault="00616A26" w:rsidP="00C659A8">
            <w:pPr>
              <w:jc w:val="right"/>
              <w:rPr>
                <w:rFonts w:ascii="Arial" w:hAnsi="Arial" w:cs="Arial"/>
              </w:rPr>
            </w:pPr>
            <w:r w:rsidRPr="00271E01">
              <w:rPr>
                <w:rFonts w:ascii="Arial" w:hAnsi="Arial" w:cs="Arial"/>
              </w:rPr>
              <w:t>2,307</w:t>
            </w:r>
          </w:p>
        </w:tc>
        <w:tc>
          <w:tcPr>
            <w:tcW w:w="1276" w:type="dxa"/>
          </w:tcPr>
          <w:p w:rsidR="00616A26" w:rsidRPr="00271E01" w:rsidRDefault="00616A26" w:rsidP="00C659A8">
            <w:pPr>
              <w:jc w:val="right"/>
              <w:rPr>
                <w:rFonts w:ascii="Arial" w:hAnsi="Arial" w:cs="Arial"/>
              </w:rPr>
            </w:pPr>
            <w:r w:rsidRPr="00271E01">
              <w:rPr>
                <w:rFonts w:ascii="Arial" w:hAnsi="Arial" w:cs="Arial"/>
              </w:rPr>
              <w:t>(4.6)%</w:t>
            </w:r>
          </w:p>
        </w:tc>
        <w:tc>
          <w:tcPr>
            <w:tcW w:w="1701" w:type="dxa"/>
          </w:tcPr>
          <w:p w:rsidR="00616A26" w:rsidRPr="00271E01" w:rsidRDefault="00616A26" w:rsidP="00C659A8">
            <w:pPr>
              <w:jc w:val="right"/>
              <w:rPr>
                <w:rFonts w:ascii="Arial" w:hAnsi="Arial" w:cs="Arial"/>
              </w:rPr>
            </w:pPr>
            <w:r w:rsidRPr="00271E01">
              <w:rPr>
                <w:rFonts w:ascii="Arial" w:hAnsi="Arial" w:cs="Arial"/>
              </w:rPr>
              <w:t>2.0%</w:t>
            </w:r>
          </w:p>
        </w:tc>
        <w:tc>
          <w:tcPr>
            <w:tcW w:w="1843" w:type="dxa"/>
          </w:tcPr>
          <w:p w:rsidR="00616A26" w:rsidRPr="00271E01" w:rsidRDefault="00616A26" w:rsidP="00C659A8">
            <w:pPr>
              <w:jc w:val="right"/>
              <w:rPr>
                <w:rFonts w:ascii="Arial" w:hAnsi="Arial" w:cs="Arial"/>
              </w:rPr>
            </w:pPr>
            <w:r w:rsidRPr="00271E01">
              <w:rPr>
                <w:rFonts w:ascii="Arial" w:hAnsi="Arial" w:cs="Arial"/>
              </w:rPr>
              <w:t>(0.5)%</w:t>
            </w:r>
          </w:p>
        </w:tc>
      </w:tr>
      <w:tr w:rsidR="00616A26" w:rsidRPr="00271E01" w:rsidTr="009618C2">
        <w:trPr>
          <w:trHeight w:hRule="exact" w:val="257"/>
        </w:trPr>
        <w:tc>
          <w:tcPr>
            <w:tcW w:w="2376" w:type="dxa"/>
            <w:tcBorders>
              <w:bottom w:val="single" w:sz="4" w:space="0" w:color="auto"/>
            </w:tcBorders>
          </w:tcPr>
          <w:p w:rsidR="00616A26" w:rsidRPr="00271E01" w:rsidRDefault="00616A26" w:rsidP="00C659A8">
            <w:pPr>
              <w:rPr>
                <w:rFonts w:ascii="Arial" w:hAnsi="Arial" w:cs="Arial"/>
              </w:rPr>
            </w:pPr>
            <w:proofErr w:type="spellStart"/>
            <w:r w:rsidRPr="00271E01">
              <w:rPr>
                <w:rFonts w:ascii="Arial" w:hAnsi="Arial" w:cs="Arial"/>
              </w:rPr>
              <w:t>Brico</w:t>
            </w:r>
            <w:proofErr w:type="spellEnd"/>
            <w:r w:rsidRPr="00271E01">
              <w:rPr>
                <w:rFonts w:ascii="Arial" w:hAnsi="Arial" w:cs="Arial"/>
              </w:rPr>
              <w:t xml:space="preserve"> </w:t>
            </w:r>
            <w:proofErr w:type="spellStart"/>
            <w:r w:rsidRPr="00271E01">
              <w:rPr>
                <w:rFonts w:ascii="Arial" w:hAnsi="Arial" w:cs="Arial"/>
              </w:rPr>
              <w:t>Dépôt</w:t>
            </w:r>
            <w:proofErr w:type="spellEnd"/>
          </w:p>
        </w:tc>
        <w:tc>
          <w:tcPr>
            <w:tcW w:w="1276" w:type="dxa"/>
            <w:tcBorders>
              <w:bottom w:val="single" w:sz="4" w:space="0" w:color="auto"/>
            </w:tcBorders>
          </w:tcPr>
          <w:p w:rsidR="00616A26" w:rsidRPr="00271E01" w:rsidRDefault="00616A26" w:rsidP="00C659A8">
            <w:pPr>
              <w:jc w:val="right"/>
              <w:rPr>
                <w:rFonts w:ascii="Arial" w:hAnsi="Arial" w:cs="Arial"/>
              </w:rPr>
            </w:pPr>
            <w:r w:rsidRPr="00271E01">
              <w:rPr>
                <w:rFonts w:ascii="Arial" w:hAnsi="Arial" w:cs="Arial"/>
              </w:rPr>
              <w:t>1,887</w:t>
            </w:r>
          </w:p>
        </w:tc>
        <w:tc>
          <w:tcPr>
            <w:tcW w:w="1276" w:type="dxa"/>
            <w:tcBorders>
              <w:bottom w:val="single" w:sz="4" w:space="0" w:color="auto"/>
            </w:tcBorders>
          </w:tcPr>
          <w:p w:rsidR="00616A26" w:rsidRPr="00271E01" w:rsidRDefault="00616A26" w:rsidP="00C659A8">
            <w:pPr>
              <w:jc w:val="right"/>
              <w:rPr>
                <w:rFonts w:ascii="Arial" w:hAnsi="Arial" w:cs="Arial"/>
              </w:rPr>
            </w:pPr>
            <w:r w:rsidRPr="00271E01">
              <w:rPr>
                <w:rFonts w:ascii="Arial" w:hAnsi="Arial" w:cs="Arial"/>
              </w:rPr>
              <w:t>(8.0)%</w:t>
            </w:r>
          </w:p>
        </w:tc>
        <w:tc>
          <w:tcPr>
            <w:tcW w:w="1701" w:type="dxa"/>
            <w:tcBorders>
              <w:bottom w:val="single" w:sz="4" w:space="0" w:color="auto"/>
            </w:tcBorders>
          </w:tcPr>
          <w:p w:rsidR="00616A26" w:rsidRPr="00271E01" w:rsidRDefault="00616A26" w:rsidP="00C659A8">
            <w:pPr>
              <w:jc w:val="right"/>
              <w:rPr>
                <w:rFonts w:ascii="Arial" w:hAnsi="Arial" w:cs="Arial"/>
              </w:rPr>
            </w:pPr>
            <w:r w:rsidRPr="00271E01">
              <w:rPr>
                <w:rFonts w:ascii="Arial" w:hAnsi="Arial" w:cs="Arial"/>
              </w:rPr>
              <w:t>(1.7)%</w:t>
            </w:r>
          </w:p>
        </w:tc>
        <w:tc>
          <w:tcPr>
            <w:tcW w:w="1843" w:type="dxa"/>
            <w:tcBorders>
              <w:bottom w:val="single" w:sz="4" w:space="0" w:color="auto"/>
            </w:tcBorders>
          </w:tcPr>
          <w:p w:rsidR="00616A26" w:rsidRPr="00271E01" w:rsidRDefault="00616A26" w:rsidP="00C659A8">
            <w:pPr>
              <w:jc w:val="right"/>
              <w:rPr>
                <w:rFonts w:ascii="Arial" w:hAnsi="Arial" w:cs="Arial"/>
              </w:rPr>
            </w:pPr>
            <w:r w:rsidRPr="00271E01">
              <w:rPr>
                <w:rFonts w:ascii="Arial" w:hAnsi="Arial" w:cs="Arial"/>
              </w:rPr>
              <w:t>(2.8)%</w:t>
            </w:r>
          </w:p>
        </w:tc>
      </w:tr>
      <w:tr w:rsidR="00616A26" w:rsidRPr="00BA5CDF" w:rsidTr="009618C2">
        <w:trPr>
          <w:trHeight w:hRule="exact" w:val="302"/>
        </w:trPr>
        <w:tc>
          <w:tcPr>
            <w:tcW w:w="2376" w:type="dxa"/>
            <w:tcBorders>
              <w:top w:val="single" w:sz="4" w:space="0" w:color="auto"/>
            </w:tcBorders>
          </w:tcPr>
          <w:p w:rsidR="00616A26" w:rsidRPr="005970EB" w:rsidRDefault="00616A26" w:rsidP="00C659A8">
            <w:pPr>
              <w:rPr>
                <w:rFonts w:ascii="Arial" w:hAnsi="Arial" w:cs="Arial"/>
                <w:b/>
              </w:rPr>
            </w:pPr>
            <w:r w:rsidRPr="005970EB">
              <w:rPr>
                <w:rFonts w:ascii="Arial" w:hAnsi="Arial" w:cs="Arial"/>
                <w:b/>
              </w:rPr>
              <w:t xml:space="preserve">France </w:t>
            </w:r>
          </w:p>
        </w:tc>
        <w:tc>
          <w:tcPr>
            <w:tcW w:w="1276" w:type="dxa"/>
            <w:tcBorders>
              <w:top w:val="single" w:sz="4" w:space="0" w:color="auto"/>
            </w:tcBorders>
          </w:tcPr>
          <w:p w:rsidR="00616A26" w:rsidRPr="005970EB" w:rsidRDefault="00616A26" w:rsidP="00C659A8">
            <w:pPr>
              <w:jc w:val="right"/>
              <w:rPr>
                <w:rFonts w:ascii="Arial" w:hAnsi="Arial" w:cs="Arial"/>
                <w:b/>
              </w:rPr>
            </w:pPr>
            <w:r w:rsidRPr="005970EB">
              <w:rPr>
                <w:rFonts w:ascii="Arial" w:hAnsi="Arial" w:cs="Arial"/>
                <w:b/>
              </w:rPr>
              <w:t>4,194</w:t>
            </w:r>
          </w:p>
        </w:tc>
        <w:tc>
          <w:tcPr>
            <w:tcW w:w="1276" w:type="dxa"/>
            <w:tcBorders>
              <w:top w:val="single" w:sz="4" w:space="0" w:color="auto"/>
            </w:tcBorders>
          </w:tcPr>
          <w:p w:rsidR="00616A26" w:rsidRPr="005970EB" w:rsidRDefault="00616A26" w:rsidP="00C659A8">
            <w:pPr>
              <w:jc w:val="right"/>
              <w:rPr>
                <w:rFonts w:ascii="Arial" w:hAnsi="Arial" w:cs="Arial"/>
                <w:b/>
              </w:rPr>
            </w:pPr>
            <w:r w:rsidRPr="005970EB">
              <w:rPr>
                <w:rFonts w:ascii="Arial" w:hAnsi="Arial" w:cs="Arial"/>
                <w:b/>
              </w:rPr>
              <w:t>(6.2)%</w:t>
            </w:r>
          </w:p>
        </w:tc>
        <w:tc>
          <w:tcPr>
            <w:tcW w:w="1701" w:type="dxa"/>
            <w:tcBorders>
              <w:top w:val="single" w:sz="4" w:space="0" w:color="auto"/>
            </w:tcBorders>
          </w:tcPr>
          <w:p w:rsidR="00616A26" w:rsidRPr="005970EB" w:rsidRDefault="00616A26" w:rsidP="00C659A8">
            <w:pPr>
              <w:jc w:val="right"/>
              <w:rPr>
                <w:rFonts w:ascii="Arial" w:hAnsi="Arial" w:cs="Arial"/>
                <w:b/>
              </w:rPr>
            </w:pPr>
            <w:r w:rsidRPr="005970EB">
              <w:rPr>
                <w:rFonts w:ascii="Arial" w:hAnsi="Arial" w:cs="Arial"/>
                <w:b/>
              </w:rPr>
              <w:t>0.3%</w:t>
            </w:r>
          </w:p>
        </w:tc>
        <w:tc>
          <w:tcPr>
            <w:tcW w:w="1843" w:type="dxa"/>
            <w:tcBorders>
              <w:top w:val="single" w:sz="4" w:space="0" w:color="auto"/>
            </w:tcBorders>
          </w:tcPr>
          <w:p w:rsidR="00616A26" w:rsidRPr="005970EB" w:rsidRDefault="00616A26" w:rsidP="00C659A8">
            <w:pPr>
              <w:jc w:val="right"/>
              <w:rPr>
                <w:rFonts w:ascii="Arial" w:hAnsi="Arial" w:cs="Arial"/>
                <w:b/>
              </w:rPr>
            </w:pPr>
            <w:r w:rsidRPr="005970EB">
              <w:rPr>
                <w:rFonts w:ascii="Arial" w:hAnsi="Arial" w:cs="Arial"/>
                <w:b/>
              </w:rPr>
              <w:t>(1.6</w:t>
            </w:r>
            <w:r w:rsidR="009E22B9">
              <w:rPr>
                <w:rFonts w:ascii="Arial" w:hAnsi="Arial" w:cs="Arial"/>
                <w:b/>
              </w:rPr>
              <w:t>)</w:t>
            </w:r>
            <w:r w:rsidRPr="005970EB">
              <w:rPr>
                <w:rFonts w:ascii="Arial" w:hAnsi="Arial" w:cs="Arial"/>
                <w:b/>
              </w:rPr>
              <w:t>%</w:t>
            </w:r>
          </w:p>
        </w:tc>
      </w:tr>
      <w:tr w:rsidR="00616A26" w:rsidRPr="00271E01" w:rsidTr="0035187F">
        <w:trPr>
          <w:trHeight w:hRule="exact" w:val="371"/>
        </w:trPr>
        <w:tc>
          <w:tcPr>
            <w:tcW w:w="2376" w:type="dxa"/>
          </w:tcPr>
          <w:p w:rsidR="00616A26" w:rsidRPr="00271E01" w:rsidRDefault="00616A26" w:rsidP="00C659A8">
            <w:pPr>
              <w:jc w:val="left"/>
              <w:rPr>
                <w:rFonts w:ascii="Arial" w:hAnsi="Arial" w:cs="Arial"/>
              </w:rPr>
            </w:pPr>
            <w:r w:rsidRPr="00271E01">
              <w:rPr>
                <w:rFonts w:ascii="Arial" w:hAnsi="Arial" w:cs="Arial"/>
              </w:rPr>
              <w:t>B&amp;Q UK &amp; Ireland</w:t>
            </w:r>
            <w:r w:rsidRPr="00271E01">
              <w:rPr>
                <w:rFonts w:ascii="Arial" w:hAnsi="Arial" w:cs="Arial"/>
                <w:vertAlign w:val="superscript"/>
              </w:rPr>
              <w:t xml:space="preserve"> </w:t>
            </w:r>
          </w:p>
        </w:tc>
        <w:tc>
          <w:tcPr>
            <w:tcW w:w="1276" w:type="dxa"/>
          </w:tcPr>
          <w:p w:rsidR="00616A26" w:rsidRPr="00271E01" w:rsidRDefault="00616A26">
            <w:pPr>
              <w:jc w:val="right"/>
              <w:rPr>
                <w:rFonts w:ascii="Arial" w:hAnsi="Arial" w:cs="Arial"/>
              </w:rPr>
            </w:pPr>
            <w:r w:rsidRPr="00271E01">
              <w:rPr>
                <w:rFonts w:ascii="Arial" w:hAnsi="Arial" w:cs="Arial"/>
              </w:rPr>
              <w:t>3,7</w:t>
            </w:r>
            <w:r w:rsidR="002F1ABE">
              <w:rPr>
                <w:rFonts w:ascii="Arial" w:hAnsi="Arial" w:cs="Arial"/>
              </w:rPr>
              <w:t>39</w:t>
            </w:r>
          </w:p>
        </w:tc>
        <w:tc>
          <w:tcPr>
            <w:tcW w:w="1276" w:type="dxa"/>
          </w:tcPr>
          <w:p w:rsidR="00616A26" w:rsidRPr="00271E01" w:rsidRDefault="00616A26">
            <w:pPr>
              <w:jc w:val="right"/>
              <w:rPr>
                <w:rFonts w:ascii="Arial" w:hAnsi="Arial" w:cs="Arial"/>
              </w:rPr>
            </w:pPr>
            <w:r w:rsidRPr="00271E01">
              <w:rPr>
                <w:rFonts w:ascii="Arial" w:hAnsi="Arial" w:cs="Arial"/>
              </w:rPr>
              <w:t>(2.</w:t>
            </w:r>
            <w:r w:rsidR="005F4497">
              <w:rPr>
                <w:rFonts w:ascii="Arial" w:hAnsi="Arial" w:cs="Arial"/>
              </w:rPr>
              <w:t>2</w:t>
            </w:r>
            <w:r w:rsidRPr="00271E01">
              <w:rPr>
                <w:rFonts w:ascii="Arial" w:hAnsi="Arial" w:cs="Arial"/>
              </w:rPr>
              <w:t>)%</w:t>
            </w:r>
          </w:p>
        </w:tc>
        <w:tc>
          <w:tcPr>
            <w:tcW w:w="1701" w:type="dxa"/>
          </w:tcPr>
          <w:p w:rsidR="00616A26" w:rsidRPr="00271E01" w:rsidRDefault="00616A26" w:rsidP="00C659A8">
            <w:pPr>
              <w:jc w:val="right"/>
              <w:rPr>
                <w:rFonts w:ascii="Arial" w:hAnsi="Arial" w:cs="Arial"/>
              </w:rPr>
            </w:pPr>
            <w:r w:rsidRPr="00271E01">
              <w:rPr>
                <w:rFonts w:ascii="Arial" w:hAnsi="Arial" w:cs="Arial"/>
              </w:rPr>
              <w:t>(3.6)%</w:t>
            </w:r>
          </w:p>
        </w:tc>
        <w:tc>
          <w:tcPr>
            <w:tcW w:w="1843" w:type="dxa"/>
          </w:tcPr>
          <w:p w:rsidR="00616A26" w:rsidRPr="00271E01" w:rsidRDefault="00616A26" w:rsidP="00C659A8">
            <w:pPr>
              <w:jc w:val="right"/>
              <w:rPr>
                <w:rFonts w:ascii="Arial" w:hAnsi="Arial" w:cs="Arial"/>
              </w:rPr>
            </w:pPr>
            <w:r w:rsidRPr="00271E01">
              <w:rPr>
                <w:rFonts w:ascii="Arial" w:hAnsi="Arial" w:cs="Arial"/>
              </w:rPr>
              <w:t>(5.6)%</w:t>
            </w:r>
          </w:p>
        </w:tc>
      </w:tr>
      <w:tr w:rsidR="00616A26" w:rsidRPr="00271E01" w:rsidTr="009618C2">
        <w:trPr>
          <w:trHeight w:hRule="exact" w:val="361"/>
        </w:trPr>
        <w:tc>
          <w:tcPr>
            <w:tcW w:w="2376" w:type="dxa"/>
            <w:tcBorders>
              <w:bottom w:val="single" w:sz="4" w:space="0" w:color="auto"/>
            </w:tcBorders>
          </w:tcPr>
          <w:p w:rsidR="00616A26" w:rsidRPr="00271E01" w:rsidRDefault="00616A26" w:rsidP="00C659A8">
            <w:pPr>
              <w:jc w:val="left"/>
              <w:rPr>
                <w:rFonts w:ascii="Arial" w:hAnsi="Arial" w:cs="Arial"/>
              </w:rPr>
            </w:pPr>
            <w:proofErr w:type="spellStart"/>
            <w:r w:rsidRPr="00271E01">
              <w:rPr>
                <w:rFonts w:ascii="Arial" w:hAnsi="Arial" w:cs="Arial"/>
              </w:rPr>
              <w:t>Screwfix</w:t>
            </w:r>
            <w:proofErr w:type="spellEnd"/>
          </w:p>
        </w:tc>
        <w:tc>
          <w:tcPr>
            <w:tcW w:w="1276" w:type="dxa"/>
            <w:tcBorders>
              <w:bottom w:val="single" w:sz="4" w:space="0" w:color="auto"/>
            </w:tcBorders>
          </w:tcPr>
          <w:p w:rsidR="00616A26" w:rsidRPr="00271E01" w:rsidRDefault="00616A26" w:rsidP="00C659A8">
            <w:pPr>
              <w:jc w:val="right"/>
              <w:rPr>
                <w:rFonts w:ascii="Arial" w:hAnsi="Arial" w:cs="Arial"/>
              </w:rPr>
            </w:pPr>
            <w:r w:rsidRPr="00271E01">
              <w:rPr>
                <w:rFonts w:ascii="Arial" w:hAnsi="Arial" w:cs="Arial"/>
              </w:rPr>
              <w:t>577</w:t>
            </w:r>
          </w:p>
        </w:tc>
        <w:tc>
          <w:tcPr>
            <w:tcW w:w="1276" w:type="dxa"/>
            <w:tcBorders>
              <w:bottom w:val="single" w:sz="4" w:space="0" w:color="auto"/>
            </w:tcBorders>
          </w:tcPr>
          <w:p w:rsidR="00616A26" w:rsidRPr="00271E01" w:rsidRDefault="00616A26" w:rsidP="00C659A8">
            <w:pPr>
              <w:jc w:val="right"/>
              <w:rPr>
                <w:rFonts w:ascii="Arial" w:hAnsi="Arial" w:cs="Arial"/>
              </w:rPr>
            </w:pPr>
            <w:r w:rsidRPr="00271E01">
              <w:rPr>
                <w:rFonts w:ascii="Arial" w:hAnsi="Arial" w:cs="Arial"/>
              </w:rPr>
              <w:t>12.1%</w:t>
            </w:r>
          </w:p>
        </w:tc>
        <w:tc>
          <w:tcPr>
            <w:tcW w:w="1701" w:type="dxa"/>
            <w:tcBorders>
              <w:bottom w:val="single" w:sz="4" w:space="0" w:color="auto"/>
            </w:tcBorders>
          </w:tcPr>
          <w:p w:rsidR="00616A26" w:rsidRPr="00271E01" w:rsidRDefault="00616A26" w:rsidP="00C659A8">
            <w:pPr>
              <w:jc w:val="right"/>
              <w:rPr>
                <w:rFonts w:ascii="Arial" w:hAnsi="Arial" w:cs="Arial"/>
              </w:rPr>
            </w:pPr>
            <w:r w:rsidRPr="00271E01">
              <w:rPr>
                <w:rFonts w:ascii="Arial" w:hAnsi="Arial" w:cs="Arial"/>
              </w:rPr>
              <w:t>9.8%</w:t>
            </w:r>
          </w:p>
        </w:tc>
        <w:tc>
          <w:tcPr>
            <w:tcW w:w="1843" w:type="dxa"/>
            <w:tcBorders>
              <w:bottom w:val="single" w:sz="4" w:space="0" w:color="auto"/>
            </w:tcBorders>
          </w:tcPr>
          <w:p w:rsidR="00616A26" w:rsidRPr="00271E01" w:rsidRDefault="00616A26" w:rsidP="00C659A8">
            <w:pPr>
              <w:jc w:val="right"/>
              <w:rPr>
                <w:rFonts w:ascii="Arial" w:hAnsi="Arial" w:cs="Arial"/>
              </w:rPr>
            </w:pPr>
            <w:r w:rsidRPr="00271E01">
              <w:rPr>
                <w:rFonts w:ascii="Arial" w:hAnsi="Arial" w:cs="Arial"/>
              </w:rPr>
              <w:t>(2.0)%</w:t>
            </w:r>
          </w:p>
        </w:tc>
      </w:tr>
      <w:tr w:rsidR="00616A26" w:rsidRPr="00BA5CDF" w:rsidTr="009618C2">
        <w:trPr>
          <w:trHeight w:hRule="exact" w:val="337"/>
        </w:trPr>
        <w:tc>
          <w:tcPr>
            <w:tcW w:w="2376" w:type="dxa"/>
            <w:tcBorders>
              <w:top w:val="single" w:sz="4" w:space="0" w:color="auto"/>
            </w:tcBorders>
          </w:tcPr>
          <w:p w:rsidR="00616A26" w:rsidRPr="005970EB" w:rsidRDefault="00616A26" w:rsidP="00C659A8">
            <w:pPr>
              <w:jc w:val="left"/>
              <w:rPr>
                <w:rFonts w:ascii="Arial" w:hAnsi="Arial" w:cs="Arial"/>
                <w:b/>
                <w:vertAlign w:val="superscript"/>
              </w:rPr>
            </w:pPr>
            <w:r w:rsidRPr="005970EB">
              <w:rPr>
                <w:rFonts w:ascii="Arial" w:hAnsi="Arial" w:cs="Arial"/>
                <w:b/>
              </w:rPr>
              <w:t xml:space="preserve">UK &amp; Ireland </w:t>
            </w:r>
          </w:p>
        </w:tc>
        <w:tc>
          <w:tcPr>
            <w:tcW w:w="1276" w:type="dxa"/>
            <w:tcBorders>
              <w:top w:val="single" w:sz="4" w:space="0" w:color="auto"/>
            </w:tcBorders>
          </w:tcPr>
          <w:p w:rsidR="00616A26" w:rsidRPr="005970EB" w:rsidRDefault="00616A26">
            <w:pPr>
              <w:jc w:val="right"/>
              <w:rPr>
                <w:rFonts w:ascii="Arial" w:hAnsi="Arial" w:cs="Arial"/>
                <w:b/>
              </w:rPr>
            </w:pPr>
            <w:r w:rsidRPr="005970EB">
              <w:rPr>
                <w:rFonts w:ascii="Arial" w:hAnsi="Arial" w:cs="Arial"/>
                <w:b/>
              </w:rPr>
              <w:t>4,31</w:t>
            </w:r>
            <w:r w:rsidR="005F4497">
              <w:rPr>
                <w:rFonts w:ascii="Arial" w:hAnsi="Arial" w:cs="Arial"/>
                <w:b/>
              </w:rPr>
              <w:t>6</w:t>
            </w:r>
          </w:p>
        </w:tc>
        <w:tc>
          <w:tcPr>
            <w:tcW w:w="1276" w:type="dxa"/>
            <w:tcBorders>
              <w:top w:val="single" w:sz="4" w:space="0" w:color="auto"/>
            </w:tcBorders>
          </w:tcPr>
          <w:p w:rsidR="00616A26" w:rsidRPr="005970EB" w:rsidRDefault="00616A26" w:rsidP="00C659A8">
            <w:pPr>
              <w:jc w:val="right"/>
              <w:rPr>
                <w:rFonts w:ascii="Arial" w:hAnsi="Arial" w:cs="Arial"/>
                <w:b/>
              </w:rPr>
            </w:pPr>
            <w:r w:rsidRPr="005970EB">
              <w:rPr>
                <w:rFonts w:ascii="Arial" w:hAnsi="Arial" w:cs="Arial"/>
                <w:b/>
              </w:rPr>
              <w:t>(0.5)%</w:t>
            </w:r>
          </w:p>
        </w:tc>
        <w:tc>
          <w:tcPr>
            <w:tcW w:w="1701" w:type="dxa"/>
            <w:tcBorders>
              <w:top w:val="single" w:sz="4" w:space="0" w:color="auto"/>
            </w:tcBorders>
          </w:tcPr>
          <w:p w:rsidR="00616A26" w:rsidRPr="005970EB" w:rsidRDefault="00616A26" w:rsidP="00C659A8">
            <w:pPr>
              <w:jc w:val="right"/>
              <w:rPr>
                <w:rFonts w:ascii="Arial" w:hAnsi="Arial" w:cs="Arial"/>
                <w:b/>
              </w:rPr>
            </w:pPr>
            <w:r w:rsidRPr="005970EB">
              <w:rPr>
                <w:rFonts w:ascii="Arial" w:hAnsi="Arial" w:cs="Arial"/>
                <w:b/>
              </w:rPr>
              <w:t>(2.0)%</w:t>
            </w:r>
          </w:p>
        </w:tc>
        <w:tc>
          <w:tcPr>
            <w:tcW w:w="1843" w:type="dxa"/>
            <w:tcBorders>
              <w:top w:val="single" w:sz="4" w:space="0" w:color="auto"/>
            </w:tcBorders>
          </w:tcPr>
          <w:p w:rsidR="00616A26" w:rsidRPr="005970EB" w:rsidRDefault="00616A26" w:rsidP="00C659A8">
            <w:pPr>
              <w:jc w:val="right"/>
              <w:rPr>
                <w:rFonts w:ascii="Arial" w:hAnsi="Arial" w:cs="Arial"/>
                <w:b/>
              </w:rPr>
            </w:pPr>
            <w:r w:rsidRPr="005970EB">
              <w:rPr>
                <w:rFonts w:ascii="Arial" w:hAnsi="Arial" w:cs="Arial"/>
                <w:b/>
              </w:rPr>
              <w:t>(5.2)%</w:t>
            </w:r>
          </w:p>
        </w:tc>
      </w:tr>
      <w:tr w:rsidR="00616A26" w:rsidRPr="00271E01" w:rsidTr="009618C2">
        <w:trPr>
          <w:trHeight w:hRule="exact" w:val="312"/>
        </w:trPr>
        <w:tc>
          <w:tcPr>
            <w:tcW w:w="2376" w:type="dxa"/>
          </w:tcPr>
          <w:p w:rsidR="00616A26" w:rsidRPr="00271E01" w:rsidRDefault="00616A26" w:rsidP="00C659A8">
            <w:pPr>
              <w:jc w:val="left"/>
              <w:rPr>
                <w:rFonts w:ascii="Arial" w:hAnsi="Arial" w:cs="Arial"/>
              </w:rPr>
            </w:pPr>
            <w:r w:rsidRPr="00271E01">
              <w:rPr>
                <w:rFonts w:ascii="Arial" w:hAnsi="Arial" w:cs="Arial"/>
              </w:rPr>
              <w:t>Poland</w:t>
            </w:r>
          </w:p>
        </w:tc>
        <w:tc>
          <w:tcPr>
            <w:tcW w:w="1276" w:type="dxa"/>
          </w:tcPr>
          <w:p w:rsidR="00616A26" w:rsidRPr="00271E01" w:rsidRDefault="00616A26" w:rsidP="00C659A8">
            <w:pPr>
              <w:jc w:val="right"/>
              <w:rPr>
                <w:rFonts w:ascii="Arial" w:hAnsi="Arial" w:cs="Arial"/>
              </w:rPr>
            </w:pPr>
            <w:r w:rsidRPr="00271E01">
              <w:rPr>
                <w:rFonts w:ascii="Arial" w:hAnsi="Arial" w:cs="Arial"/>
              </w:rPr>
              <w:t>1,029</w:t>
            </w:r>
          </w:p>
        </w:tc>
        <w:tc>
          <w:tcPr>
            <w:tcW w:w="1276" w:type="dxa"/>
          </w:tcPr>
          <w:p w:rsidR="00616A26" w:rsidRPr="00271E01" w:rsidRDefault="00616A26" w:rsidP="00C659A8">
            <w:pPr>
              <w:jc w:val="right"/>
              <w:rPr>
                <w:rFonts w:ascii="Arial" w:hAnsi="Arial" w:cs="Arial"/>
              </w:rPr>
            </w:pPr>
            <w:r w:rsidRPr="00271E01">
              <w:rPr>
                <w:rFonts w:ascii="Arial" w:hAnsi="Arial" w:cs="Arial"/>
              </w:rPr>
              <w:t>(5.9)%</w:t>
            </w:r>
          </w:p>
        </w:tc>
        <w:tc>
          <w:tcPr>
            <w:tcW w:w="1701" w:type="dxa"/>
          </w:tcPr>
          <w:p w:rsidR="00616A26" w:rsidRPr="00271E01" w:rsidRDefault="00616A26" w:rsidP="00C659A8">
            <w:pPr>
              <w:jc w:val="right"/>
              <w:rPr>
                <w:rFonts w:ascii="Arial" w:hAnsi="Arial" w:cs="Arial"/>
              </w:rPr>
            </w:pPr>
            <w:r w:rsidRPr="00271E01">
              <w:rPr>
                <w:rFonts w:ascii="Arial" w:hAnsi="Arial" w:cs="Arial"/>
              </w:rPr>
              <w:t>0.6%</w:t>
            </w:r>
          </w:p>
        </w:tc>
        <w:tc>
          <w:tcPr>
            <w:tcW w:w="1843" w:type="dxa"/>
          </w:tcPr>
          <w:p w:rsidR="00616A26" w:rsidRPr="00271E01" w:rsidRDefault="00616A26" w:rsidP="00C659A8">
            <w:pPr>
              <w:jc w:val="right"/>
              <w:rPr>
                <w:rFonts w:ascii="Arial" w:hAnsi="Arial" w:cs="Arial"/>
              </w:rPr>
            </w:pPr>
            <w:r w:rsidRPr="00271E01">
              <w:rPr>
                <w:rFonts w:ascii="Arial" w:hAnsi="Arial" w:cs="Arial"/>
              </w:rPr>
              <w:t>(5.1)%</w:t>
            </w:r>
          </w:p>
        </w:tc>
      </w:tr>
      <w:tr w:rsidR="00616A26" w:rsidRPr="00271E01" w:rsidTr="009618C2">
        <w:trPr>
          <w:trHeight w:hRule="exact" w:val="312"/>
        </w:trPr>
        <w:tc>
          <w:tcPr>
            <w:tcW w:w="2376" w:type="dxa"/>
          </w:tcPr>
          <w:p w:rsidR="00616A26" w:rsidRPr="00271E01" w:rsidRDefault="00616A26" w:rsidP="00C659A8">
            <w:pPr>
              <w:jc w:val="left"/>
              <w:rPr>
                <w:rFonts w:ascii="Arial" w:hAnsi="Arial" w:cs="Arial"/>
              </w:rPr>
            </w:pPr>
            <w:r w:rsidRPr="00271E01">
              <w:rPr>
                <w:rFonts w:ascii="Arial" w:hAnsi="Arial" w:cs="Arial"/>
              </w:rPr>
              <w:t>China</w:t>
            </w:r>
          </w:p>
        </w:tc>
        <w:tc>
          <w:tcPr>
            <w:tcW w:w="1276" w:type="dxa"/>
          </w:tcPr>
          <w:p w:rsidR="00616A26" w:rsidRPr="00271E01" w:rsidRDefault="00616A26" w:rsidP="00C659A8">
            <w:pPr>
              <w:jc w:val="right"/>
              <w:rPr>
                <w:rFonts w:ascii="Arial" w:hAnsi="Arial" w:cs="Arial"/>
              </w:rPr>
            </w:pPr>
            <w:r w:rsidRPr="00271E01">
              <w:rPr>
                <w:rFonts w:ascii="Arial" w:hAnsi="Arial" w:cs="Arial"/>
              </w:rPr>
              <w:t>374</w:t>
            </w:r>
          </w:p>
        </w:tc>
        <w:tc>
          <w:tcPr>
            <w:tcW w:w="1276" w:type="dxa"/>
          </w:tcPr>
          <w:p w:rsidR="00616A26" w:rsidRPr="00271E01" w:rsidRDefault="00616A26" w:rsidP="00C659A8">
            <w:pPr>
              <w:jc w:val="right"/>
              <w:rPr>
                <w:rFonts w:ascii="Arial" w:hAnsi="Arial" w:cs="Arial"/>
              </w:rPr>
            </w:pPr>
            <w:r w:rsidRPr="00271E01">
              <w:rPr>
                <w:rFonts w:ascii="Arial" w:hAnsi="Arial" w:cs="Arial"/>
              </w:rPr>
              <w:t>2.1%</w:t>
            </w:r>
          </w:p>
        </w:tc>
        <w:tc>
          <w:tcPr>
            <w:tcW w:w="1701" w:type="dxa"/>
          </w:tcPr>
          <w:p w:rsidR="00616A26" w:rsidRPr="00271E01" w:rsidRDefault="00616A26" w:rsidP="00C659A8">
            <w:pPr>
              <w:jc w:val="right"/>
              <w:rPr>
                <w:rFonts w:ascii="Arial" w:hAnsi="Arial" w:cs="Arial"/>
              </w:rPr>
            </w:pPr>
            <w:r w:rsidRPr="00271E01">
              <w:rPr>
                <w:rFonts w:ascii="Arial" w:hAnsi="Arial" w:cs="Arial"/>
              </w:rPr>
              <w:t>(0.8%)</w:t>
            </w:r>
          </w:p>
        </w:tc>
        <w:tc>
          <w:tcPr>
            <w:tcW w:w="1843" w:type="dxa"/>
          </w:tcPr>
          <w:p w:rsidR="00616A26" w:rsidRPr="00271E01" w:rsidRDefault="00616A26" w:rsidP="00C659A8">
            <w:pPr>
              <w:jc w:val="right"/>
              <w:rPr>
                <w:rFonts w:ascii="Arial" w:hAnsi="Arial" w:cs="Arial"/>
              </w:rPr>
            </w:pPr>
            <w:r w:rsidRPr="00271E01">
              <w:rPr>
                <w:rFonts w:ascii="Arial" w:hAnsi="Arial" w:cs="Arial"/>
              </w:rPr>
              <w:t>0.1%</w:t>
            </w:r>
          </w:p>
        </w:tc>
      </w:tr>
      <w:tr w:rsidR="00616A26" w:rsidRPr="00271E01" w:rsidTr="009618C2">
        <w:trPr>
          <w:trHeight w:hRule="exact" w:val="312"/>
        </w:trPr>
        <w:tc>
          <w:tcPr>
            <w:tcW w:w="2376" w:type="dxa"/>
          </w:tcPr>
          <w:p w:rsidR="00616A26" w:rsidRPr="00271E01" w:rsidRDefault="002F1ABE">
            <w:pPr>
              <w:jc w:val="left"/>
              <w:rPr>
                <w:rFonts w:ascii="Arial" w:hAnsi="Arial" w:cs="Arial"/>
              </w:rPr>
            </w:pPr>
            <w:r>
              <w:rPr>
                <w:rFonts w:ascii="Arial" w:hAnsi="Arial" w:cs="Arial"/>
              </w:rPr>
              <w:t>Russia</w:t>
            </w:r>
            <w:r w:rsidR="00616A26" w:rsidRPr="00271E01">
              <w:rPr>
                <w:rFonts w:ascii="Arial" w:hAnsi="Arial" w:cs="Arial"/>
              </w:rPr>
              <w:t xml:space="preserve"> </w:t>
            </w:r>
          </w:p>
        </w:tc>
        <w:tc>
          <w:tcPr>
            <w:tcW w:w="1276" w:type="dxa"/>
          </w:tcPr>
          <w:p w:rsidR="00616A26" w:rsidRPr="00271E01" w:rsidRDefault="002F1ABE">
            <w:pPr>
              <w:jc w:val="right"/>
              <w:rPr>
                <w:rFonts w:ascii="Arial" w:hAnsi="Arial" w:cs="Arial"/>
              </w:rPr>
            </w:pPr>
            <w:r>
              <w:rPr>
                <w:rFonts w:ascii="Arial" w:hAnsi="Arial" w:cs="Arial"/>
              </w:rPr>
              <w:t>426</w:t>
            </w:r>
          </w:p>
        </w:tc>
        <w:tc>
          <w:tcPr>
            <w:tcW w:w="1276" w:type="dxa"/>
          </w:tcPr>
          <w:p w:rsidR="00616A26" w:rsidRPr="00271E01" w:rsidRDefault="00616A26">
            <w:pPr>
              <w:jc w:val="right"/>
              <w:rPr>
                <w:rFonts w:ascii="Arial" w:hAnsi="Arial" w:cs="Arial"/>
              </w:rPr>
            </w:pPr>
            <w:r w:rsidRPr="00271E01">
              <w:rPr>
                <w:rFonts w:ascii="Arial" w:hAnsi="Arial" w:cs="Arial"/>
              </w:rPr>
              <w:t>3</w:t>
            </w:r>
            <w:r w:rsidR="002F1ABE">
              <w:rPr>
                <w:rFonts w:ascii="Arial" w:hAnsi="Arial" w:cs="Arial"/>
              </w:rPr>
              <w:t>2</w:t>
            </w:r>
            <w:r w:rsidRPr="00271E01">
              <w:rPr>
                <w:rFonts w:ascii="Arial" w:hAnsi="Arial" w:cs="Arial"/>
              </w:rPr>
              <w:t>.</w:t>
            </w:r>
            <w:r w:rsidR="002F1ABE">
              <w:rPr>
                <w:rFonts w:ascii="Arial" w:hAnsi="Arial" w:cs="Arial"/>
              </w:rPr>
              <w:t>7%</w:t>
            </w:r>
          </w:p>
        </w:tc>
        <w:tc>
          <w:tcPr>
            <w:tcW w:w="1701" w:type="dxa"/>
          </w:tcPr>
          <w:p w:rsidR="00616A26" w:rsidRPr="00271E01" w:rsidRDefault="00616A26">
            <w:pPr>
              <w:jc w:val="right"/>
              <w:rPr>
                <w:rFonts w:ascii="Arial" w:hAnsi="Arial" w:cs="Arial"/>
              </w:rPr>
            </w:pPr>
            <w:r w:rsidRPr="00271E01">
              <w:rPr>
                <w:rFonts w:ascii="Arial" w:hAnsi="Arial" w:cs="Arial"/>
              </w:rPr>
              <w:t>3</w:t>
            </w:r>
            <w:r w:rsidR="002F1ABE">
              <w:rPr>
                <w:rFonts w:ascii="Arial" w:hAnsi="Arial" w:cs="Arial"/>
              </w:rPr>
              <w:t>8</w:t>
            </w:r>
            <w:r w:rsidRPr="00271E01">
              <w:rPr>
                <w:rFonts w:ascii="Arial" w:hAnsi="Arial" w:cs="Arial"/>
              </w:rPr>
              <w:t>.</w:t>
            </w:r>
            <w:r w:rsidR="002F1ABE">
              <w:rPr>
                <w:rFonts w:ascii="Arial" w:hAnsi="Arial" w:cs="Arial"/>
              </w:rPr>
              <w:t>3</w:t>
            </w:r>
            <w:r w:rsidRPr="00271E01">
              <w:rPr>
                <w:rFonts w:ascii="Arial" w:hAnsi="Arial" w:cs="Arial"/>
              </w:rPr>
              <w:t>%</w:t>
            </w:r>
          </w:p>
        </w:tc>
        <w:tc>
          <w:tcPr>
            <w:tcW w:w="1843" w:type="dxa"/>
          </w:tcPr>
          <w:p w:rsidR="00616A26" w:rsidRPr="00271E01" w:rsidRDefault="002F1ABE">
            <w:pPr>
              <w:jc w:val="right"/>
              <w:rPr>
                <w:rFonts w:ascii="Arial" w:hAnsi="Arial" w:cs="Arial"/>
              </w:rPr>
            </w:pPr>
            <w:r>
              <w:rPr>
                <w:rFonts w:ascii="Arial" w:hAnsi="Arial" w:cs="Arial"/>
              </w:rPr>
              <w:t>17.9</w:t>
            </w:r>
            <w:r w:rsidR="00616A26" w:rsidRPr="00271E01">
              <w:rPr>
                <w:rFonts w:ascii="Arial" w:hAnsi="Arial" w:cs="Arial"/>
              </w:rPr>
              <w:t>%</w:t>
            </w:r>
          </w:p>
        </w:tc>
      </w:tr>
      <w:tr w:rsidR="00616A26" w:rsidRPr="00271E01" w:rsidTr="009618C2">
        <w:trPr>
          <w:trHeight w:hRule="exact" w:val="312"/>
        </w:trPr>
        <w:tc>
          <w:tcPr>
            <w:tcW w:w="2376" w:type="dxa"/>
          </w:tcPr>
          <w:p w:rsidR="00616A26" w:rsidRPr="00271E01" w:rsidRDefault="00616A26" w:rsidP="00C659A8">
            <w:pPr>
              <w:jc w:val="left"/>
              <w:rPr>
                <w:rFonts w:ascii="Arial" w:hAnsi="Arial" w:cs="Arial"/>
              </w:rPr>
            </w:pPr>
            <w:r w:rsidRPr="00271E01">
              <w:rPr>
                <w:rFonts w:ascii="Arial" w:hAnsi="Arial" w:cs="Arial"/>
              </w:rPr>
              <w:t xml:space="preserve">Spain </w:t>
            </w:r>
          </w:p>
        </w:tc>
        <w:tc>
          <w:tcPr>
            <w:tcW w:w="1276" w:type="dxa"/>
          </w:tcPr>
          <w:p w:rsidR="00616A26" w:rsidRPr="00271E01" w:rsidRDefault="00616A26" w:rsidP="00C659A8">
            <w:pPr>
              <w:jc w:val="right"/>
              <w:rPr>
                <w:rFonts w:ascii="Arial" w:hAnsi="Arial" w:cs="Arial"/>
              </w:rPr>
            </w:pPr>
            <w:r w:rsidRPr="00271E01">
              <w:rPr>
                <w:rFonts w:ascii="Arial" w:hAnsi="Arial" w:cs="Arial"/>
              </w:rPr>
              <w:t>234</w:t>
            </w:r>
          </w:p>
        </w:tc>
        <w:tc>
          <w:tcPr>
            <w:tcW w:w="1276" w:type="dxa"/>
          </w:tcPr>
          <w:p w:rsidR="00616A26" w:rsidRPr="00271E01" w:rsidRDefault="00616A26" w:rsidP="00C659A8">
            <w:pPr>
              <w:jc w:val="right"/>
              <w:rPr>
                <w:rFonts w:ascii="Arial" w:hAnsi="Arial" w:cs="Arial"/>
              </w:rPr>
            </w:pPr>
            <w:r w:rsidRPr="00271E01">
              <w:rPr>
                <w:rFonts w:ascii="Arial" w:hAnsi="Arial" w:cs="Arial"/>
              </w:rPr>
              <w:t>(3.6)%</w:t>
            </w:r>
          </w:p>
        </w:tc>
        <w:tc>
          <w:tcPr>
            <w:tcW w:w="1701" w:type="dxa"/>
          </w:tcPr>
          <w:p w:rsidR="00616A26" w:rsidRPr="00271E01" w:rsidRDefault="00616A26" w:rsidP="00C659A8">
            <w:pPr>
              <w:jc w:val="right"/>
              <w:rPr>
                <w:rFonts w:ascii="Arial" w:hAnsi="Arial" w:cs="Arial"/>
              </w:rPr>
            </w:pPr>
            <w:r w:rsidRPr="00271E01">
              <w:rPr>
                <w:rFonts w:ascii="Arial" w:hAnsi="Arial" w:cs="Arial"/>
              </w:rPr>
              <w:t>3.0%</w:t>
            </w:r>
          </w:p>
        </w:tc>
        <w:tc>
          <w:tcPr>
            <w:tcW w:w="1843" w:type="dxa"/>
          </w:tcPr>
          <w:p w:rsidR="00616A26" w:rsidRPr="00271E01" w:rsidRDefault="00616A26" w:rsidP="00C659A8">
            <w:pPr>
              <w:jc w:val="right"/>
              <w:rPr>
                <w:rFonts w:ascii="Arial" w:hAnsi="Arial" w:cs="Arial"/>
              </w:rPr>
            </w:pPr>
            <w:r w:rsidRPr="00271E01">
              <w:rPr>
                <w:rFonts w:ascii="Arial" w:hAnsi="Arial" w:cs="Arial"/>
              </w:rPr>
              <w:t>(6.8)%</w:t>
            </w:r>
          </w:p>
        </w:tc>
      </w:tr>
      <w:tr w:rsidR="00616A26" w:rsidRPr="00BA5CDF" w:rsidTr="009618C2">
        <w:trPr>
          <w:trHeight w:hRule="exact" w:val="515"/>
        </w:trPr>
        <w:tc>
          <w:tcPr>
            <w:tcW w:w="2376" w:type="dxa"/>
            <w:tcBorders>
              <w:top w:val="single" w:sz="4" w:space="0" w:color="auto"/>
              <w:bottom w:val="single" w:sz="4" w:space="0" w:color="auto"/>
            </w:tcBorders>
          </w:tcPr>
          <w:p w:rsidR="00616A26" w:rsidRPr="005970EB" w:rsidRDefault="00616A26" w:rsidP="00C659A8">
            <w:pPr>
              <w:jc w:val="left"/>
              <w:rPr>
                <w:rFonts w:ascii="Arial" w:hAnsi="Arial" w:cs="Arial"/>
                <w:b/>
              </w:rPr>
            </w:pPr>
            <w:r w:rsidRPr="005970EB">
              <w:rPr>
                <w:rFonts w:ascii="Arial" w:hAnsi="Arial" w:cs="Arial"/>
                <w:b/>
              </w:rPr>
              <w:t>Other International</w:t>
            </w:r>
            <w:r w:rsidRPr="005970EB">
              <w:rPr>
                <w:rFonts w:ascii="Arial" w:hAnsi="Arial" w:cs="Arial"/>
                <w:b/>
                <w:vertAlign w:val="superscript"/>
              </w:rPr>
              <w:t xml:space="preserve"> </w:t>
            </w:r>
          </w:p>
        </w:tc>
        <w:tc>
          <w:tcPr>
            <w:tcW w:w="1276" w:type="dxa"/>
            <w:tcBorders>
              <w:top w:val="single" w:sz="4" w:space="0" w:color="auto"/>
              <w:bottom w:val="single" w:sz="4" w:space="0" w:color="auto"/>
            </w:tcBorders>
            <w:vAlign w:val="center"/>
          </w:tcPr>
          <w:p w:rsidR="00616A26" w:rsidRPr="005970EB" w:rsidRDefault="00616A26" w:rsidP="00C659A8">
            <w:pPr>
              <w:jc w:val="right"/>
              <w:rPr>
                <w:rFonts w:ascii="Arial" w:hAnsi="Arial" w:cs="Arial"/>
                <w:b/>
              </w:rPr>
            </w:pPr>
            <w:r w:rsidRPr="005970EB">
              <w:rPr>
                <w:rFonts w:ascii="Arial" w:hAnsi="Arial" w:cs="Arial"/>
                <w:b/>
              </w:rPr>
              <w:t>2,063</w:t>
            </w:r>
          </w:p>
          <w:p w:rsidR="00616A26" w:rsidRPr="005970EB" w:rsidRDefault="00616A26" w:rsidP="00C659A8">
            <w:pPr>
              <w:jc w:val="right"/>
              <w:rPr>
                <w:rFonts w:ascii="Arial" w:hAnsi="Arial" w:cs="Arial"/>
                <w:b/>
              </w:rPr>
            </w:pPr>
          </w:p>
          <w:p w:rsidR="00616A26" w:rsidRPr="005970EB" w:rsidRDefault="00616A26" w:rsidP="00C659A8">
            <w:pPr>
              <w:jc w:val="right"/>
              <w:rPr>
                <w:rFonts w:ascii="Arial" w:hAnsi="Arial" w:cs="Arial"/>
                <w:b/>
              </w:rPr>
            </w:pPr>
          </w:p>
        </w:tc>
        <w:tc>
          <w:tcPr>
            <w:tcW w:w="1276" w:type="dxa"/>
            <w:tcBorders>
              <w:top w:val="single" w:sz="4" w:space="0" w:color="auto"/>
              <w:bottom w:val="single" w:sz="4" w:space="0" w:color="auto"/>
            </w:tcBorders>
            <w:vAlign w:val="center"/>
          </w:tcPr>
          <w:p w:rsidR="00616A26" w:rsidRPr="005970EB" w:rsidRDefault="00616A26" w:rsidP="00C659A8">
            <w:pPr>
              <w:jc w:val="right"/>
              <w:rPr>
                <w:rFonts w:ascii="Arial" w:hAnsi="Arial" w:cs="Arial"/>
                <w:b/>
              </w:rPr>
            </w:pPr>
            <w:r w:rsidRPr="005970EB">
              <w:rPr>
                <w:rFonts w:ascii="Arial" w:hAnsi="Arial" w:cs="Arial"/>
                <w:b/>
              </w:rPr>
              <w:t>2.0%</w:t>
            </w:r>
          </w:p>
          <w:p w:rsidR="00616A26" w:rsidRPr="005970EB" w:rsidRDefault="00616A26" w:rsidP="00C659A8">
            <w:pPr>
              <w:jc w:val="right"/>
              <w:rPr>
                <w:rFonts w:ascii="Arial" w:hAnsi="Arial" w:cs="Arial"/>
                <w:b/>
              </w:rPr>
            </w:pPr>
          </w:p>
        </w:tc>
        <w:tc>
          <w:tcPr>
            <w:tcW w:w="1701" w:type="dxa"/>
            <w:tcBorders>
              <w:top w:val="single" w:sz="4" w:space="0" w:color="auto"/>
              <w:bottom w:val="single" w:sz="4" w:space="0" w:color="auto"/>
            </w:tcBorders>
            <w:vAlign w:val="center"/>
          </w:tcPr>
          <w:p w:rsidR="00616A26" w:rsidRPr="005970EB" w:rsidRDefault="00616A26" w:rsidP="00C659A8">
            <w:pPr>
              <w:jc w:val="right"/>
              <w:rPr>
                <w:rFonts w:ascii="Arial" w:hAnsi="Arial" w:cs="Arial"/>
                <w:b/>
              </w:rPr>
            </w:pPr>
            <w:r w:rsidRPr="005970EB">
              <w:rPr>
                <w:rFonts w:ascii="Arial" w:hAnsi="Arial" w:cs="Arial"/>
                <w:b/>
              </w:rPr>
              <w:t>6.6%</w:t>
            </w:r>
          </w:p>
          <w:p w:rsidR="00616A26" w:rsidRPr="005970EB" w:rsidRDefault="00616A26" w:rsidP="00C659A8">
            <w:pPr>
              <w:rPr>
                <w:rFonts w:ascii="Arial" w:hAnsi="Arial" w:cs="Arial"/>
                <w:b/>
              </w:rPr>
            </w:pPr>
          </w:p>
          <w:p w:rsidR="00616A26" w:rsidRPr="005970EB" w:rsidRDefault="00616A26" w:rsidP="00C659A8">
            <w:pPr>
              <w:jc w:val="right"/>
              <w:rPr>
                <w:rFonts w:ascii="Arial" w:hAnsi="Arial" w:cs="Arial"/>
                <w:b/>
              </w:rPr>
            </w:pPr>
          </w:p>
        </w:tc>
        <w:tc>
          <w:tcPr>
            <w:tcW w:w="1843" w:type="dxa"/>
            <w:tcBorders>
              <w:top w:val="single" w:sz="4" w:space="0" w:color="auto"/>
              <w:bottom w:val="single" w:sz="4" w:space="0" w:color="auto"/>
            </w:tcBorders>
            <w:vAlign w:val="center"/>
          </w:tcPr>
          <w:p w:rsidR="00616A26" w:rsidRPr="005970EB" w:rsidRDefault="00616A26" w:rsidP="00C659A8">
            <w:pPr>
              <w:jc w:val="right"/>
              <w:rPr>
                <w:rFonts w:ascii="Arial" w:hAnsi="Arial" w:cs="Arial"/>
                <w:b/>
              </w:rPr>
            </w:pPr>
            <w:r w:rsidRPr="005970EB">
              <w:rPr>
                <w:rFonts w:ascii="Arial" w:hAnsi="Arial" w:cs="Arial"/>
                <w:b/>
              </w:rPr>
              <w:t>(0.7)%</w:t>
            </w:r>
          </w:p>
          <w:p w:rsidR="00616A26" w:rsidRPr="005970EB" w:rsidRDefault="00616A26" w:rsidP="00C659A8">
            <w:pPr>
              <w:rPr>
                <w:rFonts w:ascii="Arial" w:hAnsi="Arial" w:cs="Arial"/>
                <w:b/>
              </w:rPr>
            </w:pPr>
          </w:p>
          <w:p w:rsidR="00616A26" w:rsidRPr="005970EB" w:rsidRDefault="00616A26" w:rsidP="00C659A8">
            <w:pPr>
              <w:jc w:val="right"/>
              <w:rPr>
                <w:rFonts w:ascii="Arial" w:hAnsi="Arial" w:cs="Arial"/>
                <w:b/>
              </w:rPr>
            </w:pPr>
          </w:p>
        </w:tc>
      </w:tr>
      <w:tr w:rsidR="00616A26" w:rsidRPr="00271E01" w:rsidTr="009618C2">
        <w:trPr>
          <w:trHeight w:hRule="exact" w:val="367"/>
        </w:trPr>
        <w:tc>
          <w:tcPr>
            <w:tcW w:w="2376" w:type="dxa"/>
            <w:tcBorders>
              <w:top w:val="single" w:sz="4" w:space="0" w:color="auto"/>
              <w:bottom w:val="single" w:sz="4" w:space="0" w:color="auto"/>
            </w:tcBorders>
          </w:tcPr>
          <w:p w:rsidR="00616A26" w:rsidRPr="00271E01" w:rsidRDefault="00616A26" w:rsidP="00C659A8">
            <w:pPr>
              <w:spacing w:before="60"/>
              <w:rPr>
                <w:rFonts w:ascii="Arial" w:hAnsi="Arial" w:cs="Arial"/>
                <w:b/>
              </w:rPr>
            </w:pPr>
            <w:r w:rsidRPr="00271E01">
              <w:rPr>
                <w:rFonts w:ascii="Arial" w:hAnsi="Arial" w:cs="Arial"/>
                <w:b/>
              </w:rPr>
              <w:t>Total Group</w:t>
            </w:r>
          </w:p>
        </w:tc>
        <w:tc>
          <w:tcPr>
            <w:tcW w:w="1276" w:type="dxa"/>
            <w:tcBorders>
              <w:top w:val="single" w:sz="4" w:space="0" w:color="auto"/>
              <w:bottom w:val="single" w:sz="4" w:space="0" w:color="auto"/>
            </w:tcBorders>
          </w:tcPr>
          <w:p w:rsidR="00616A26" w:rsidRPr="00271E01" w:rsidRDefault="00616A26">
            <w:pPr>
              <w:spacing w:before="60"/>
              <w:jc w:val="right"/>
              <w:rPr>
                <w:rFonts w:ascii="Arial" w:hAnsi="Arial" w:cs="Arial"/>
                <w:b/>
              </w:rPr>
            </w:pPr>
            <w:r w:rsidRPr="00271E01">
              <w:rPr>
                <w:rFonts w:ascii="Arial" w:hAnsi="Arial" w:cs="Arial"/>
                <w:b/>
              </w:rPr>
              <w:t>10,57</w:t>
            </w:r>
            <w:r w:rsidR="005F4497">
              <w:rPr>
                <w:rFonts w:ascii="Arial" w:hAnsi="Arial" w:cs="Arial"/>
                <w:b/>
              </w:rPr>
              <w:t>3</w:t>
            </w:r>
          </w:p>
        </w:tc>
        <w:tc>
          <w:tcPr>
            <w:tcW w:w="1276" w:type="dxa"/>
            <w:tcBorders>
              <w:top w:val="single" w:sz="4" w:space="0" w:color="auto"/>
              <w:bottom w:val="single" w:sz="4" w:space="0" w:color="auto"/>
            </w:tcBorders>
          </w:tcPr>
          <w:p w:rsidR="00616A26" w:rsidRPr="00271E01" w:rsidRDefault="00616A26" w:rsidP="00C659A8">
            <w:pPr>
              <w:spacing w:before="60"/>
              <w:jc w:val="right"/>
              <w:rPr>
                <w:rFonts w:ascii="Arial" w:hAnsi="Arial" w:cs="Arial"/>
                <w:b/>
              </w:rPr>
            </w:pPr>
            <w:r w:rsidRPr="00271E01">
              <w:rPr>
                <w:rFonts w:ascii="Arial" w:hAnsi="Arial" w:cs="Arial"/>
                <w:b/>
              </w:rPr>
              <w:t>(2.4)%</w:t>
            </w:r>
          </w:p>
        </w:tc>
        <w:tc>
          <w:tcPr>
            <w:tcW w:w="1701" w:type="dxa"/>
            <w:tcBorders>
              <w:top w:val="single" w:sz="4" w:space="0" w:color="auto"/>
              <w:bottom w:val="single" w:sz="4" w:space="0" w:color="auto"/>
            </w:tcBorders>
          </w:tcPr>
          <w:p w:rsidR="00616A26" w:rsidRPr="00271E01" w:rsidRDefault="00616A26" w:rsidP="00C659A8">
            <w:pPr>
              <w:spacing w:before="60"/>
              <w:jc w:val="right"/>
              <w:rPr>
                <w:rFonts w:ascii="Arial" w:hAnsi="Arial" w:cs="Arial"/>
                <w:b/>
              </w:rPr>
            </w:pPr>
            <w:r w:rsidRPr="00271E01">
              <w:rPr>
                <w:rFonts w:ascii="Arial" w:hAnsi="Arial" w:cs="Arial"/>
                <w:b/>
              </w:rPr>
              <w:t>0.5%</w:t>
            </w:r>
          </w:p>
        </w:tc>
        <w:tc>
          <w:tcPr>
            <w:tcW w:w="1843" w:type="dxa"/>
            <w:tcBorders>
              <w:top w:val="single" w:sz="4" w:space="0" w:color="auto"/>
              <w:bottom w:val="single" w:sz="4" w:space="0" w:color="auto"/>
            </w:tcBorders>
          </w:tcPr>
          <w:p w:rsidR="00616A26" w:rsidRPr="00271E01" w:rsidRDefault="00616A26" w:rsidP="00C659A8">
            <w:pPr>
              <w:spacing w:before="60"/>
              <w:jc w:val="right"/>
              <w:rPr>
                <w:rFonts w:ascii="Arial" w:hAnsi="Arial" w:cs="Arial"/>
                <w:b/>
              </w:rPr>
            </w:pPr>
            <w:r w:rsidRPr="00271E01">
              <w:rPr>
                <w:rFonts w:ascii="Arial" w:hAnsi="Arial" w:cs="Arial"/>
                <w:b/>
              </w:rPr>
              <w:t>(2.9)%</w:t>
            </w:r>
          </w:p>
        </w:tc>
      </w:tr>
    </w:tbl>
    <w:p w:rsidR="00616A26" w:rsidRDefault="00616A26" w:rsidP="00616A26">
      <w:pPr>
        <w:tabs>
          <w:tab w:val="left" w:pos="357"/>
        </w:tabs>
        <w:ind w:right="-282"/>
        <w:jc w:val="left"/>
        <w:rPr>
          <w:rFonts w:ascii="Arial" w:hAnsi="Arial" w:cs="Arial"/>
          <w:i/>
          <w:iCs/>
          <w:sz w:val="18"/>
          <w:szCs w:val="18"/>
          <w:vertAlign w:val="superscript"/>
        </w:rPr>
      </w:pPr>
    </w:p>
    <w:p w:rsidR="00D23E19" w:rsidRPr="005970EB" w:rsidRDefault="00616A26" w:rsidP="00616A26">
      <w:pPr>
        <w:tabs>
          <w:tab w:val="left" w:pos="357"/>
        </w:tabs>
        <w:ind w:right="-282"/>
        <w:jc w:val="left"/>
        <w:rPr>
          <w:rFonts w:ascii="Arial" w:hAnsi="Arial" w:cs="Arial"/>
          <w:i/>
          <w:iCs/>
          <w:sz w:val="18"/>
          <w:szCs w:val="18"/>
          <w:vertAlign w:val="superscript"/>
        </w:rPr>
      </w:pPr>
      <w:r>
        <w:rPr>
          <w:rFonts w:ascii="Arial" w:hAnsi="Arial" w:cs="Arial"/>
          <w:i/>
          <w:iCs/>
          <w:sz w:val="18"/>
          <w:szCs w:val="18"/>
          <w:vertAlign w:val="superscript"/>
        </w:rPr>
        <w:t>(1</w:t>
      </w:r>
      <w:r w:rsidRPr="005970EB">
        <w:rPr>
          <w:rFonts w:ascii="Arial" w:hAnsi="Arial" w:cs="Arial"/>
          <w:i/>
          <w:iCs/>
          <w:sz w:val="18"/>
          <w:szCs w:val="18"/>
          <w:vertAlign w:val="superscript"/>
        </w:rPr>
        <w:t>)</w:t>
      </w:r>
      <w:proofErr w:type="gramStart"/>
      <w:r w:rsidRPr="00D97E00">
        <w:rPr>
          <w:rFonts w:ascii="Arial" w:hAnsi="Arial" w:cs="Arial"/>
          <w:i/>
          <w:iCs/>
          <w:sz w:val="18"/>
          <w:szCs w:val="18"/>
        </w:rPr>
        <w:t>In the UK &amp; Ireland Kingfisher reports each financial year up to the nearest Saturday to 31 January.</w:t>
      </w:r>
      <w:proofErr w:type="gramEnd"/>
      <w:r w:rsidRPr="00D97E00">
        <w:rPr>
          <w:rFonts w:ascii="Arial" w:hAnsi="Arial" w:cs="Arial"/>
          <w:i/>
          <w:iCs/>
          <w:sz w:val="18"/>
          <w:szCs w:val="18"/>
        </w:rPr>
        <w:t xml:space="preserve"> This year this has resulted in a 53 week year. Outside the UK</w:t>
      </w:r>
      <w:r w:rsidR="009E22B9">
        <w:rPr>
          <w:rFonts w:ascii="Arial" w:hAnsi="Arial" w:cs="Arial"/>
          <w:i/>
          <w:iCs/>
          <w:sz w:val="18"/>
          <w:szCs w:val="18"/>
        </w:rPr>
        <w:t xml:space="preserve"> &amp; Ireland</w:t>
      </w:r>
      <w:r w:rsidRPr="00D97E00">
        <w:rPr>
          <w:rFonts w:ascii="Arial" w:hAnsi="Arial" w:cs="Arial"/>
          <w:i/>
          <w:iCs/>
          <w:sz w:val="18"/>
          <w:szCs w:val="18"/>
        </w:rPr>
        <w:t xml:space="preserve">, figures are on a calendar month basis. </w:t>
      </w:r>
    </w:p>
    <w:p w:rsidR="00D23E19" w:rsidRPr="00DB7164" w:rsidRDefault="00D23E19" w:rsidP="00842F7C">
      <w:pPr>
        <w:tabs>
          <w:tab w:val="left" w:pos="357"/>
        </w:tabs>
        <w:ind w:right="-282"/>
        <w:jc w:val="left"/>
        <w:rPr>
          <w:rFonts w:ascii="Arial" w:hAnsi="Arial" w:cs="Arial"/>
          <w:i/>
          <w:iCs/>
          <w:sz w:val="18"/>
          <w:szCs w:val="18"/>
        </w:rPr>
      </w:pPr>
      <w:r w:rsidRPr="00DB7164">
        <w:rPr>
          <w:rFonts w:ascii="Arial" w:hAnsi="Arial" w:cs="Arial"/>
          <w:i/>
          <w:iCs/>
          <w:sz w:val="18"/>
          <w:szCs w:val="18"/>
        </w:rPr>
        <w:t>Joint Venture (</w:t>
      </w:r>
      <w:proofErr w:type="spellStart"/>
      <w:r w:rsidRPr="00DB7164">
        <w:rPr>
          <w:rFonts w:ascii="Arial" w:hAnsi="Arial" w:cs="Arial"/>
          <w:i/>
          <w:iCs/>
          <w:sz w:val="18"/>
          <w:szCs w:val="18"/>
        </w:rPr>
        <w:t>Koçtaş</w:t>
      </w:r>
      <w:proofErr w:type="spellEnd"/>
      <w:r w:rsidRPr="00DB7164">
        <w:rPr>
          <w:rFonts w:ascii="Arial" w:hAnsi="Arial" w:cs="Arial"/>
          <w:i/>
          <w:iCs/>
          <w:sz w:val="18"/>
          <w:szCs w:val="18"/>
        </w:rPr>
        <w:t xml:space="preserve"> JV) and Associate (</w:t>
      </w:r>
      <w:proofErr w:type="spellStart"/>
      <w:r w:rsidRPr="00DB7164">
        <w:rPr>
          <w:rFonts w:ascii="Arial" w:hAnsi="Arial" w:cs="Arial"/>
          <w:i/>
          <w:iCs/>
          <w:sz w:val="18"/>
          <w:szCs w:val="18"/>
        </w:rPr>
        <w:t>Hornbach</w:t>
      </w:r>
      <w:proofErr w:type="spellEnd"/>
      <w:r w:rsidRPr="00DB7164">
        <w:rPr>
          <w:rFonts w:ascii="Arial" w:hAnsi="Arial" w:cs="Arial"/>
          <w:i/>
          <w:iCs/>
          <w:sz w:val="18"/>
          <w:szCs w:val="18"/>
        </w:rPr>
        <w:t>) sales are not consolidated</w:t>
      </w:r>
      <w:r>
        <w:rPr>
          <w:rFonts w:ascii="Arial" w:hAnsi="Arial" w:cs="Arial"/>
          <w:i/>
          <w:iCs/>
          <w:sz w:val="18"/>
          <w:szCs w:val="18"/>
        </w:rPr>
        <w:t>.</w:t>
      </w:r>
    </w:p>
    <w:p w:rsidR="009E0561" w:rsidRDefault="009E0561" w:rsidP="00616A26">
      <w:pPr>
        <w:tabs>
          <w:tab w:val="left" w:pos="357"/>
        </w:tabs>
        <w:ind w:right="-282"/>
        <w:jc w:val="left"/>
        <w:rPr>
          <w:rFonts w:ascii="Arial" w:hAnsi="Arial" w:cs="Arial"/>
          <w:i/>
          <w:iCs/>
          <w:sz w:val="18"/>
          <w:szCs w:val="18"/>
        </w:rPr>
      </w:pPr>
    </w:p>
    <w:p w:rsidR="009E0561" w:rsidRDefault="009E0561">
      <w:pPr>
        <w:jc w:val="left"/>
        <w:rPr>
          <w:rFonts w:ascii="Arial" w:hAnsi="Arial" w:cs="Arial"/>
          <w:i/>
          <w:iCs/>
          <w:sz w:val="18"/>
          <w:szCs w:val="18"/>
        </w:rPr>
      </w:pPr>
      <w:r>
        <w:rPr>
          <w:rFonts w:ascii="Arial" w:hAnsi="Arial" w:cs="Arial"/>
          <w:i/>
          <w:iCs/>
          <w:sz w:val="18"/>
          <w:szCs w:val="18"/>
        </w:rPr>
        <w:br w:type="page"/>
      </w:r>
    </w:p>
    <w:p w:rsidR="00616A26" w:rsidRPr="00271E01" w:rsidRDefault="00616A26" w:rsidP="00616A26">
      <w:pPr>
        <w:jc w:val="left"/>
        <w:rPr>
          <w:rFonts w:ascii="Arial" w:hAnsi="Arial" w:cs="Arial"/>
          <w:b/>
          <w:bCs/>
        </w:rPr>
      </w:pPr>
    </w:p>
    <w:tbl>
      <w:tblPr>
        <w:tblW w:w="8612" w:type="dxa"/>
        <w:tblLayout w:type="fixed"/>
        <w:tblLook w:val="01E0" w:firstRow="1" w:lastRow="1" w:firstColumn="1" w:lastColumn="1" w:noHBand="0" w:noVBand="0"/>
      </w:tblPr>
      <w:tblGrid>
        <w:gridCol w:w="2376"/>
        <w:gridCol w:w="1134"/>
        <w:gridCol w:w="1276"/>
        <w:gridCol w:w="1276"/>
        <w:gridCol w:w="1276"/>
        <w:gridCol w:w="1274"/>
      </w:tblGrid>
      <w:tr w:rsidR="00616A26" w:rsidRPr="00271E01" w:rsidTr="009618C2">
        <w:trPr>
          <w:trHeight w:val="567"/>
        </w:trPr>
        <w:tc>
          <w:tcPr>
            <w:tcW w:w="2376" w:type="dxa"/>
            <w:tcBorders>
              <w:bottom w:val="single" w:sz="4" w:space="0" w:color="auto"/>
            </w:tcBorders>
          </w:tcPr>
          <w:p w:rsidR="00616A26" w:rsidRPr="00D97E00" w:rsidRDefault="00616A26" w:rsidP="00C659A8">
            <w:pPr>
              <w:jc w:val="left"/>
              <w:rPr>
                <w:rFonts w:ascii="Arial" w:hAnsi="Arial" w:cs="Arial"/>
                <w:u w:val="single"/>
              </w:rPr>
            </w:pPr>
          </w:p>
        </w:tc>
        <w:tc>
          <w:tcPr>
            <w:tcW w:w="1134" w:type="dxa"/>
            <w:tcBorders>
              <w:bottom w:val="single" w:sz="4" w:space="0" w:color="auto"/>
            </w:tcBorders>
          </w:tcPr>
          <w:p w:rsidR="00616A26" w:rsidRPr="00271E01" w:rsidRDefault="00616A26" w:rsidP="00C659A8">
            <w:pPr>
              <w:tabs>
                <w:tab w:val="left" w:pos="300"/>
              </w:tabs>
              <w:jc w:val="right"/>
              <w:rPr>
                <w:rFonts w:ascii="Arial" w:hAnsi="Arial" w:cs="Arial"/>
                <w:b/>
              </w:rPr>
            </w:pPr>
            <w:r w:rsidRPr="00025346">
              <w:rPr>
                <w:rFonts w:ascii="Arial" w:hAnsi="Arial" w:cs="Arial"/>
                <w:b/>
              </w:rPr>
              <w:t>Retail Profit</w:t>
            </w:r>
          </w:p>
        </w:tc>
        <w:tc>
          <w:tcPr>
            <w:tcW w:w="1276" w:type="dxa"/>
            <w:tcBorders>
              <w:bottom w:val="single" w:sz="4" w:space="0" w:color="auto"/>
            </w:tcBorders>
          </w:tcPr>
          <w:p w:rsidR="00616A26" w:rsidRPr="00271E01" w:rsidRDefault="00616A26" w:rsidP="00C659A8">
            <w:pPr>
              <w:tabs>
                <w:tab w:val="left" w:pos="300"/>
              </w:tabs>
              <w:ind w:hanging="108"/>
              <w:jc w:val="right"/>
              <w:rPr>
                <w:rFonts w:ascii="Arial" w:hAnsi="Arial" w:cs="Arial"/>
                <w:b/>
              </w:rPr>
            </w:pPr>
            <w:r w:rsidRPr="00271E01">
              <w:rPr>
                <w:rFonts w:ascii="Arial" w:hAnsi="Arial" w:cs="Arial"/>
                <w:b/>
              </w:rPr>
              <w:t>% Total</w:t>
            </w:r>
          </w:p>
          <w:p w:rsidR="00616A26" w:rsidRPr="00271E01" w:rsidRDefault="00616A26" w:rsidP="00C659A8">
            <w:pPr>
              <w:tabs>
                <w:tab w:val="left" w:pos="300"/>
              </w:tabs>
              <w:ind w:hanging="108"/>
              <w:jc w:val="right"/>
              <w:rPr>
                <w:rFonts w:ascii="Arial" w:hAnsi="Arial" w:cs="Arial"/>
                <w:b/>
              </w:rPr>
            </w:pPr>
            <w:r w:rsidRPr="00271E01">
              <w:rPr>
                <w:rFonts w:ascii="Arial" w:hAnsi="Arial" w:cs="Arial"/>
                <w:b/>
              </w:rPr>
              <w:t>Change</w:t>
            </w:r>
          </w:p>
        </w:tc>
        <w:tc>
          <w:tcPr>
            <w:tcW w:w="1276" w:type="dxa"/>
            <w:tcBorders>
              <w:bottom w:val="single" w:sz="4" w:space="0" w:color="auto"/>
            </w:tcBorders>
          </w:tcPr>
          <w:p w:rsidR="00616A26" w:rsidRPr="00271E01" w:rsidRDefault="00616A26" w:rsidP="00C659A8">
            <w:pPr>
              <w:jc w:val="right"/>
              <w:rPr>
                <w:rFonts w:ascii="Arial" w:hAnsi="Arial" w:cs="Arial"/>
                <w:b/>
              </w:rPr>
            </w:pPr>
            <w:r w:rsidRPr="00271E01">
              <w:rPr>
                <w:rFonts w:ascii="Arial" w:hAnsi="Arial" w:cs="Arial"/>
                <w:b/>
              </w:rPr>
              <w:t>% Total Change</w:t>
            </w:r>
          </w:p>
        </w:tc>
        <w:tc>
          <w:tcPr>
            <w:tcW w:w="1276" w:type="dxa"/>
            <w:tcBorders>
              <w:bottom w:val="single" w:sz="4" w:space="0" w:color="auto"/>
            </w:tcBorders>
          </w:tcPr>
          <w:p w:rsidR="00616A26" w:rsidRPr="00271E01" w:rsidRDefault="00616A26" w:rsidP="00C659A8">
            <w:pPr>
              <w:jc w:val="right"/>
              <w:rPr>
                <w:rFonts w:ascii="Arial" w:hAnsi="Arial" w:cs="Arial"/>
                <w:b/>
              </w:rPr>
            </w:pPr>
            <w:r w:rsidRPr="00271E01">
              <w:rPr>
                <w:rFonts w:ascii="Arial" w:hAnsi="Arial" w:cs="Arial"/>
                <w:b/>
              </w:rPr>
              <w:t>Operating Margin</w:t>
            </w:r>
          </w:p>
          <w:p w:rsidR="00616A26" w:rsidRPr="00271E01" w:rsidRDefault="00616A26" w:rsidP="00C659A8">
            <w:pPr>
              <w:jc w:val="right"/>
              <w:rPr>
                <w:rFonts w:ascii="Arial" w:hAnsi="Arial" w:cs="Arial"/>
                <w:b/>
              </w:rPr>
            </w:pPr>
            <w:r w:rsidRPr="00271E01">
              <w:rPr>
                <w:rFonts w:ascii="Arial" w:hAnsi="Arial" w:cs="Arial"/>
                <w:b/>
              </w:rPr>
              <w:t>% 2012/13</w:t>
            </w:r>
          </w:p>
        </w:tc>
        <w:tc>
          <w:tcPr>
            <w:tcW w:w="1274" w:type="dxa"/>
            <w:tcBorders>
              <w:bottom w:val="single" w:sz="4" w:space="0" w:color="auto"/>
            </w:tcBorders>
          </w:tcPr>
          <w:p w:rsidR="00616A26" w:rsidRPr="00271E01" w:rsidRDefault="00616A26" w:rsidP="00C659A8">
            <w:pPr>
              <w:jc w:val="right"/>
              <w:rPr>
                <w:rFonts w:ascii="Arial" w:hAnsi="Arial" w:cs="Arial"/>
                <w:b/>
              </w:rPr>
            </w:pPr>
            <w:r w:rsidRPr="00271E01">
              <w:rPr>
                <w:rFonts w:ascii="Arial" w:hAnsi="Arial" w:cs="Arial"/>
                <w:b/>
              </w:rPr>
              <w:t>Operating Margin</w:t>
            </w:r>
          </w:p>
          <w:p w:rsidR="00616A26" w:rsidRPr="00271E01" w:rsidRDefault="00616A26" w:rsidP="00C659A8">
            <w:pPr>
              <w:jc w:val="right"/>
              <w:rPr>
                <w:rFonts w:ascii="Arial" w:hAnsi="Arial" w:cs="Arial"/>
                <w:b/>
              </w:rPr>
            </w:pPr>
            <w:r w:rsidRPr="00271E01">
              <w:rPr>
                <w:rFonts w:ascii="Arial" w:hAnsi="Arial" w:cs="Arial"/>
                <w:b/>
              </w:rPr>
              <w:t>% 2011/12</w:t>
            </w:r>
          </w:p>
        </w:tc>
      </w:tr>
      <w:tr w:rsidR="00616A26" w:rsidRPr="00271E01" w:rsidTr="009618C2">
        <w:trPr>
          <w:trHeight w:val="531"/>
        </w:trPr>
        <w:tc>
          <w:tcPr>
            <w:tcW w:w="2376" w:type="dxa"/>
            <w:tcBorders>
              <w:top w:val="single" w:sz="4" w:space="0" w:color="auto"/>
              <w:bottom w:val="single" w:sz="4" w:space="0" w:color="auto"/>
            </w:tcBorders>
          </w:tcPr>
          <w:p w:rsidR="00616A26" w:rsidRPr="00271E01" w:rsidRDefault="00616A26" w:rsidP="00C659A8">
            <w:pPr>
              <w:rPr>
                <w:rFonts w:ascii="Arial" w:hAnsi="Arial" w:cs="Arial"/>
              </w:rPr>
            </w:pPr>
          </w:p>
        </w:tc>
        <w:tc>
          <w:tcPr>
            <w:tcW w:w="1134" w:type="dxa"/>
            <w:tcBorders>
              <w:top w:val="single" w:sz="4" w:space="0" w:color="auto"/>
              <w:bottom w:val="single" w:sz="4" w:space="0" w:color="auto"/>
            </w:tcBorders>
          </w:tcPr>
          <w:p w:rsidR="00616A26" w:rsidRPr="00271E01" w:rsidRDefault="00616A26" w:rsidP="00C659A8">
            <w:pPr>
              <w:jc w:val="right"/>
              <w:rPr>
                <w:rFonts w:ascii="Arial" w:hAnsi="Arial" w:cs="Arial"/>
                <w:b/>
              </w:rPr>
            </w:pPr>
            <w:r w:rsidRPr="00271E01">
              <w:rPr>
                <w:rFonts w:ascii="Arial" w:hAnsi="Arial" w:cs="Arial"/>
                <w:b/>
              </w:rPr>
              <w:t>£m</w:t>
            </w:r>
          </w:p>
          <w:p w:rsidR="00616A26" w:rsidRPr="00271E01" w:rsidRDefault="00616A26" w:rsidP="00C659A8">
            <w:pPr>
              <w:jc w:val="right"/>
              <w:rPr>
                <w:rFonts w:ascii="Arial" w:hAnsi="Arial" w:cs="Arial"/>
                <w:b/>
              </w:rPr>
            </w:pPr>
            <w:r w:rsidRPr="00271E01">
              <w:rPr>
                <w:rFonts w:ascii="Arial" w:hAnsi="Arial" w:cs="Arial"/>
                <w:b/>
              </w:rPr>
              <w:t>2012/13</w:t>
            </w:r>
          </w:p>
        </w:tc>
        <w:tc>
          <w:tcPr>
            <w:tcW w:w="1276" w:type="dxa"/>
            <w:tcBorders>
              <w:top w:val="single" w:sz="4" w:space="0" w:color="auto"/>
              <w:bottom w:val="single" w:sz="4" w:space="0" w:color="auto"/>
            </w:tcBorders>
          </w:tcPr>
          <w:p w:rsidR="00616A26" w:rsidRPr="00271E01" w:rsidRDefault="00616A26" w:rsidP="00C659A8">
            <w:pPr>
              <w:tabs>
                <w:tab w:val="left" w:pos="300"/>
              </w:tabs>
              <w:ind w:hanging="108"/>
              <w:jc w:val="right"/>
              <w:rPr>
                <w:rFonts w:ascii="Arial" w:hAnsi="Arial" w:cs="Arial"/>
                <w:b/>
              </w:rPr>
            </w:pPr>
            <w:r w:rsidRPr="00271E01">
              <w:rPr>
                <w:rFonts w:ascii="Arial" w:hAnsi="Arial" w:cs="Arial"/>
                <w:b/>
              </w:rPr>
              <w:t xml:space="preserve"> Reported</w:t>
            </w:r>
          </w:p>
        </w:tc>
        <w:tc>
          <w:tcPr>
            <w:tcW w:w="1276" w:type="dxa"/>
            <w:tcBorders>
              <w:top w:val="single" w:sz="4" w:space="0" w:color="auto"/>
              <w:bottom w:val="single" w:sz="4" w:space="0" w:color="auto"/>
            </w:tcBorders>
          </w:tcPr>
          <w:p w:rsidR="00616A26" w:rsidRPr="00271E01" w:rsidRDefault="00616A26" w:rsidP="00C659A8">
            <w:pPr>
              <w:jc w:val="right"/>
              <w:rPr>
                <w:rFonts w:ascii="Arial" w:hAnsi="Arial" w:cs="Arial"/>
                <w:b/>
              </w:rPr>
            </w:pPr>
            <w:r w:rsidRPr="00271E01">
              <w:rPr>
                <w:rFonts w:ascii="Arial" w:hAnsi="Arial" w:cs="Arial"/>
                <w:b/>
              </w:rPr>
              <w:t>Constant currency</w:t>
            </w:r>
          </w:p>
        </w:tc>
        <w:tc>
          <w:tcPr>
            <w:tcW w:w="1276" w:type="dxa"/>
            <w:tcBorders>
              <w:top w:val="single" w:sz="4" w:space="0" w:color="auto"/>
              <w:bottom w:val="single" w:sz="4" w:space="0" w:color="auto"/>
            </w:tcBorders>
          </w:tcPr>
          <w:p w:rsidR="00616A26" w:rsidRPr="00271E01" w:rsidRDefault="00616A26" w:rsidP="00C659A8">
            <w:pPr>
              <w:jc w:val="right"/>
              <w:rPr>
                <w:rFonts w:ascii="Arial" w:hAnsi="Arial" w:cs="Arial"/>
                <w:b/>
              </w:rPr>
            </w:pPr>
          </w:p>
        </w:tc>
        <w:tc>
          <w:tcPr>
            <w:tcW w:w="1274" w:type="dxa"/>
            <w:tcBorders>
              <w:top w:val="single" w:sz="4" w:space="0" w:color="auto"/>
              <w:bottom w:val="single" w:sz="4" w:space="0" w:color="auto"/>
            </w:tcBorders>
          </w:tcPr>
          <w:p w:rsidR="00616A26" w:rsidRPr="00271E01" w:rsidRDefault="00616A26" w:rsidP="00C659A8">
            <w:pPr>
              <w:jc w:val="right"/>
              <w:rPr>
                <w:rFonts w:ascii="Arial" w:hAnsi="Arial" w:cs="Arial"/>
                <w:b/>
              </w:rPr>
            </w:pPr>
          </w:p>
        </w:tc>
      </w:tr>
      <w:tr w:rsidR="00616A26" w:rsidRPr="00271E01" w:rsidTr="009618C2">
        <w:trPr>
          <w:trHeight w:hRule="exact" w:val="345"/>
        </w:trPr>
        <w:tc>
          <w:tcPr>
            <w:tcW w:w="2376" w:type="dxa"/>
            <w:tcBorders>
              <w:top w:val="single" w:sz="4" w:space="0" w:color="auto"/>
            </w:tcBorders>
          </w:tcPr>
          <w:p w:rsidR="00616A26" w:rsidRPr="00271E01" w:rsidRDefault="00616A26" w:rsidP="00C659A8">
            <w:pPr>
              <w:rPr>
                <w:rFonts w:ascii="Arial" w:hAnsi="Arial" w:cs="Arial"/>
                <w:b/>
              </w:rPr>
            </w:pPr>
            <w:r w:rsidRPr="00271E01">
              <w:rPr>
                <w:rFonts w:ascii="Arial" w:hAnsi="Arial" w:cs="Arial"/>
                <w:b/>
              </w:rPr>
              <w:t>France</w:t>
            </w:r>
          </w:p>
        </w:tc>
        <w:tc>
          <w:tcPr>
            <w:tcW w:w="1134" w:type="dxa"/>
            <w:tcBorders>
              <w:top w:val="single" w:sz="4" w:space="0" w:color="auto"/>
            </w:tcBorders>
          </w:tcPr>
          <w:p w:rsidR="00616A26" w:rsidRPr="00271E01" w:rsidRDefault="00616A26" w:rsidP="00C659A8">
            <w:pPr>
              <w:jc w:val="right"/>
              <w:rPr>
                <w:rFonts w:ascii="Arial" w:hAnsi="Arial" w:cs="Arial"/>
                <w:b/>
              </w:rPr>
            </w:pPr>
            <w:r w:rsidRPr="00271E01">
              <w:rPr>
                <w:rFonts w:ascii="Arial" w:hAnsi="Arial" w:cs="Arial"/>
                <w:b/>
              </w:rPr>
              <w:t>397</w:t>
            </w:r>
          </w:p>
        </w:tc>
        <w:tc>
          <w:tcPr>
            <w:tcW w:w="1276" w:type="dxa"/>
            <w:tcBorders>
              <w:top w:val="single" w:sz="4" w:space="0" w:color="auto"/>
            </w:tcBorders>
          </w:tcPr>
          <w:p w:rsidR="00616A26" w:rsidRPr="00271E01" w:rsidRDefault="00616A26" w:rsidP="00C659A8">
            <w:pPr>
              <w:jc w:val="right"/>
              <w:rPr>
                <w:rFonts w:ascii="Arial" w:hAnsi="Arial" w:cs="Arial"/>
                <w:b/>
              </w:rPr>
            </w:pPr>
            <w:r w:rsidRPr="00271E01">
              <w:rPr>
                <w:rFonts w:ascii="Arial" w:hAnsi="Arial" w:cs="Arial"/>
                <w:b/>
              </w:rPr>
              <w:t>(6.3)%</w:t>
            </w:r>
          </w:p>
        </w:tc>
        <w:tc>
          <w:tcPr>
            <w:tcW w:w="1276" w:type="dxa"/>
            <w:tcBorders>
              <w:top w:val="single" w:sz="4" w:space="0" w:color="auto"/>
            </w:tcBorders>
          </w:tcPr>
          <w:p w:rsidR="00616A26" w:rsidRPr="00271E01" w:rsidRDefault="00616A26" w:rsidP="00C659A8">
            <w:pPr>
              <w:jc w:val="right"/>
              <w:rPr>
                <w:rFonts w:ascii="Arial" w:hAnsi="Arial" w:cs="Arial"/>
                <w:b/>
              </w:rPr>
            </w:pPr>
            <w:r w:rsidRPr="00271E01">
              <w:rPr>
                <w:rFonts w:ascii="Arial" w:hAnsi="Arial" w:cs="Arial"/>
                <w:b/>
              </w:rPr>
              <w:t>0.2%</w:t>
            </w:r>
          </w:p>
        </w:tc>
        <w:tc>
          <w:tcPr>
            <w:tcW w:w="1276" w:type="dxa"/>
            <w:tcBorders>
              <w:top w:val="single" w:sz="4" w:space="0" w:color="auto"/>
            </w:tcBorders>
          </w:tcPr>
          <w:p w:rsidR="00616A26" w:rsidRPr="00271E01" w:rsidRDefault="00616A26" w:rsidP="00C659A8">
            <w:pPr>
              <w:jc w:val="right"/>
              <w:rPr>
                <w:rFonts w:ascii="Arial" w:hAnsi="Arial" w:cs="Arial"/>
                <w:b/>
              </w:rPr>
            </w:pPr>
            <w:r w:rsidRPr="00271E01">
              <w:rPr>
                <w:rFonts w:ascii="Arial" w:hAnsi="Arial" w:cs="Arial"/>
                <w:b/>
              </w:rPr>
              <w:t>9.5%</w:t>
            </w:r>
          </w:p>
        </w:tc>
        <w:tc>
          <w:tcPr>
            <w:tcW w:w="1274" w:type="dxa"/>
            <w:tcBorders>
              <w:top w:val="single" w:sz="4" w:space="0" w:color="auto"/>
            </w:tcBorders>
          </w:tcPr>
          <w:p w:rsidR="00616A26" w:rsidRPr="00271E01" w:rsidRDefault="00616A26" w:rsidP="00C659A8">
            <w:pPr>
              <w:jc w:val="right"/>
              <w:rPr>
                <w:rFonts w:ascii="Arial" w:hAnsi="Arial" w:cs="Arial"/>
                <w:b/>
              </w:rPr>
            </w:pPr>
            <w:r w:rsidRPr="00271E01">
              <w:rPr>
                <w:rFonts w:ascii="Arial" w:hAnsi="Arial" w:cs="Arial"/>
                <w:b/>
              </w:rPr>
              <w:t>9.5%</w:t>
            </w:r>
          </w:p>
        </w:tc>
      </w:tr>
      <w:tr w:rsidR="00616A26" w:rsidRPr="00271E01" w:rsidTr="0035187F">
        <w:trPr>
          <w:trHeight w:hRule="exact" w:val="363"/>
        </w:trPr>
        <w:tc>
          <w:tcPr>
            <w:tcW w:w="2376" w:type="dxa"/>
          </w:tcPr>
          <w:p w:rsidR="00616A26" w:rsidRPr="00271E01" w:rsidRDefault="00616A26" w:rsidP="00C659A8">
            <w:pPr>
              <w:jc w:val="left"/>
              <w:rPr>
                <w:rFonts w:ascii="Arial" w:hAnsi="Arial" w:cs="Arial"/>
              </w:rPr>
            </w:pPr>
            <w:r w:rsidRPr="00271E01">
              <w:rPr>
                <w:rFonts w:ascii="Arial" w:hAnsi="Arial" w:cs="Arial"/>
              </w:rPr>
              <w:t>B&amp;Q UK &amp; Ireland</w:t>
            </w:r>
          </w:p>
        </w:tc>
        <w:tc>
          <w:tcPr>
            <w:tcW w:w="1134" w:type="dxa"/>
          </w:tcPr>
          <w:p w:rsidR="00616A26" w:rsidRPr="00271E01" w:rsidRDefault="00616A26" w:rsidP="00C659A8">
            <w:pPr>
              <w:jc w:val="right"/>
              <w:rPr>
                <w:rFonts w:ascii="Arial" w:hAnsi="Arial" w:cs="Arial"/>
              </w:rPr>
            </w:pPr>
            <w:r w:rsidRPr="00271E01">
              <w:rPr>
                <w:rFonts w:ascii="Arial" w:hAnsi="Arial" w:cs="Arial"/>
              </w:rPr>
              <w:t>187</w:t>
            </w:r>
          </w:p>
        </w:tc>
        <w:tc>
          <w:tcPr>
            <w:tcW w:w="1276" w:type="dxa"/>
          </w:tcPr>
          <w:p w:rsidR="00616A26" w:rsidRPr="00271E01" w:rsidRDefault="00616A26" w:rsidP="00C659A8">
            <w:pPr>
              <w:jc w:val="right"/>
              <w:rPr>
                <w:rFonts w:ascii="Arial" w:hAnsi="Arial" w:cs="Arial"/>
              </w:rPr>
            </w:pPr>
            <w:r w:rsidRPr="00271E01">
              <w:rPr>
                <w:rFonts w:ascii="Arial" w:hAnsi="Arial" w:cs="Arial"/>
              </w:rPr>
              <w:t>(20.8)%</w:t>
            </w:r>
          </w:p>
        </w:tc>
        <w:tc>
          <w:tcPr>
            <w:tcW w:w="1276" w:type="dxa"/>
          </w:tcPr>
          <w:p w:rsidR="00616A26" w:rsidRPr="00271E01" w:rsidRDefault="00616A26" w:rsidP="00C659A8">
            <w:pPr>
              <w:jc w:val="right"/>
              <w:rPr>
                <w:rFonts w:ascii="Arial" w:hAnsi="Arial" w:cs="Arial"/>
              </w:rPr>
            </w:pPr>
            <w:r w:rsidRPr="00271E01">
              <w:rPr>
                <w:rFonts w:ascii="Arial" w:hAnsi="Arial" w:cs="Arial"/>
              </w:rPr>
              <w:t>(20.8)%</w:t>
            </w:r>
          </w:p>
        </w:tc>
        <w:tc>
          <w:tcPr>
            <w:tcW w:w="1276" w:type="dxa"/>
          </w:tcPr>
          <w:p w:rsidR="00616A26" w:rsidRPr="00271E01" w:rsidRDefault="00616A26" w:rsidP="00C659A8">
            <w:pPr>
              <w:jc w:val="right"/>
              <w:rPr>
                <w:rFonts w:ascii="Arial" w:hAnsi="Arial" w:cs="Arial"/>
              </w:rPr>
            </w:pPr>
            <w:r w:rsidRPr="00271E01">
              <w:rPr>
                <w:rFonts w:ascii="Arial" w:hAnsi="Arial" w:cs="Arial"/>
              </w:rPr>
              <w:t>5.0%</w:t>
            </w:r>
          </w:p>
        </w:tc>
        <w:tc>
          <w:tcPr>
            <w:tcW w:w="1274" w:type="dxa"/>
          </w:tcPr>
          <w:p w:rsidR="00616A26" w:rsidRPr="00271E01" w:rsidRDefault="00616A26" w:rsidP="00C659A8">
            <w:pPr>
              <w:jc w:val="right"/>
              <w:rPr>
                <w:rFonts w:ascii="Arial" w:hAnsi="Arial" w:cs="Arial"/>
              </w:rPr>
            </w:pPr>
            <w:r w:rsidRPr="00271E01">
              <w:rPr>
                <w:rFonts w:ascii="Arial" w:hAnsi="Arial" w:cs="Arial"/>
              </w:rPr>
              <w:t>6.2%</w:t>
            </w:r>
          </w:p>
        </w:tc>
      </w:tr>
      <w:tr w:rsidR="00616A26" w:rsidRPr="00271E01" w:rsidTr="009618C2">
        <w:trPr>
          <w:trHeight w:hRule="exact" w:val="361"/>
        </w:trPr>
        <w:tc>
          <w:tcPr>
            <w:tcW w:w="2376" w:type="dxa"/>
            <w:tcBorders>
              <w:bottom w:val="single" w:sz="4" w:space="0" w:color="auto"/>
            </w:tcBorders>
          </w:tcPr>
          <w:p w:rsidR="00616A26" w:rsidRPr="00271E01" w:rsidRDefault="00616A26" w:rsidP="00C659A8">
            <w:pPr>
              <w:jc w:val="left"/>
              <w:rPr>
                <w:rFonts w:ascii="Arial" w:hAnsi="Arial" w:cs="Arial"/>
              </w:rPr>
            </w:pPr>
            <w:proofErr w:type="spellStart"/>
            <w:r w:rsidRPr="00271E01">
              <w:rPr>
                <w:rFonts w:ascii="Arial" w:hAnsi="Arial" w:cs="Arial"/>
              </w:rPr>
              <w:t>Screwfix</w:t>
            </w:r>
            <w:proofErr w:type="spellEnd"/>
          </w:p>
        </w:tc>
        <w:tc>
          <w:tcPr>
            <w:tcW w:w="1134" w:type="dxa"/>
            <w:tcBorders>
              <w:bottom w:val="single" w:sz="4" w:space="0" w:color="auto"/>
            </w:tcBorders>
          </w:tcPr>
          <w:p w:rsidR="00616A26" w:rsidRPr="00271E01" w:rsidRDefault="00616A26" w:rsidP="00C659A8">
            <w:pPr>
              <w:jc w:val="right"/>
              <w:rPr>
                <w:rFonts w:ascii="Arial" w:hAnsi="Arial" w:cs="Arial"/>
              </w:rPr>
            </w:pPr>
            <w:r w:rsidRPr="00271E01">
              <w:rPr>
                <w:rFonts w:ascii="Arial" w:hAnsi="Arial" w:cs="Arial"/>
              </w:rPr>
              <w:t>47</w:t>
            </w:r>
          </w:p>
        </w:tc>
        <w:tc>
          <w:tcPr>
            <w:tcW w:w="1276" w:type="dxa"/>
            <w:tcBorders>
              <w:bottom w:val="single" w:sz="4" w:space="0" w:color="auto"/>
            </w:tcBorders>
          </w:tcPr>
          <w:p w:rsidR="00616A26" w:rsidRPr="00271E01" w:rsidRDefault="00616A26" w:rsidP="00C659A8">
            <w:pPr>
              <w:jc w:val="right"/>
              <w:rPr>
                <w:rFonts w:ascii="Arial" w:hAnsi="Arial" w:cs="Arial"/>
              </w:rPr>
            </w:pPr>
            <w:r w:rsidRPr="00271E01">
              <w:rPr>
                <w:rFonts w:ascii="Arial" w:hAnsi="Arial" w:cs="Arial"/>
              </w:rPr>
              <w:t>33.9%</w:t>
            </w:r>
          </w:p>
        </w:tc>
        <w:tc>
          <w:tcPr>
            <w:tcW w:w="1276" w:type="dxa"/>
            <w:tcBorders>
              <w:bottom w:val="single" w:sz="4" w:space="0" w:color="auto"/>
            </w:tcBorders>
          </w:tcPr>
          <w:p w:rsidR="00616A26" w:rsidRPr="00271E01" w:rsidRDefault="00616A26" w:rsidP="00C659A8">
            <w:pPr>
              <w:jc w:val="right"/>
              <w:rPr>
                <w:rFonts w:ascii="Arial" w:hAnsi="Arial" w:cs="Arial"/>
              </w:rPr>
            </w:pPr>
            <w:r w:rsidRPr="00271E01">
              <w:rPr>
                <w:rFonts w:ascii="Arial" w:hAnsi="Arial" w:cs="Arial"/>
              </w:rPr>
              <w:t>33.9%</w:t>
            </w:r>
          </w:p>
        </w:tc>
        <w:tc>
          <w:tcPr>
            <w:tcW w:w="1276" w:type="dxa"/>
            <w:tcBorders>
              <w:bottom w:val="single" w:sz="4" w:space="0" w:color="auto"/>
            </w:tcBorders>
          </w:tcPr>
          <w:p w:rsidR="00616A26" w:rsidRPr="00271E01" w:rsidRDefault="00616A26" w:rsidP="00C659A8">
            <w:pPr>
              <w:jc w:val="right"/>
              <w:rPr>
                <w:rFonts w:ascii="Arial" w:hAnsi="Arial" w:cs="Arial"/>
              </w:rPr>
            </w:pPr>
            <w:r w:rsidRPr="00271E01">
              <w:rPr>
                <w:rFonts w:ascii="Arial" w:hAnsi="Arial" w:cs="Arial"/>
              </w:rPr>
              <w:t>8.1%</w:t>
            </w:r>
          </w:p>
        </w:tc>
        <w:tc>
          <w:tcPr>
            <w:tcW w:w="1274" w:type="dxa"/>
            <w:tcBorders>
              <w:bottom w:val="single" w:sz="4" w:space="0" w:color="auto"/>
            </w:tcBorders>
          </w:tcPr>
          <w:p w:rsidR="00616A26" w:rsidRPr="00271E01" w:rsidRDefault="00616A26" w:rsidP="00C659A8">
            <w:pPr>
              <w:jc w:val="right"/>
              <w:rPr>
                <w:rFonts w:ascii="Arial" w:hAnsi="Arial" w:cs="Arial"/>
              </w:rPr>
            </w:pPr>
            <w:r w:rsidRPr="00271E01">
              <w:rPr>
                <w:rFonts w:ascii="Arial" w:hAnsi="Arial" w:cs="Arial"/>
              </w:rPr>
              <w:t>6.8%</w:t>
            </w:r>
          </w:p>
        </w:tc>
      </w:tr>
      <w:tr w:rsidR="00616A26" w:rsidRPr="00271E01" w:rsidTr="009618C2">
        <w:trPr>
          <w:trHeight w:hRule="exact" w:val="359"/>
        </w:trPr>
        <w:tc>
          <w:tcPr>
            <w:tcW w:w="2376" w:type="dxa"/>
            <w:tcBorders>
              <w:top w:val="single" w:sz="4" w:space="0" w:color="auto"/>
            </w:tcBorders>
          </w:tcPr>
          <w:p w:rsidR="00616A26" w:rsidRPr="00271E01" w:rsidRDefault="00616A26" w:rsidP="00C659A8">
            <w:pPr>
              <w:jc w:val="left"/>
              <w:rPr>
                <w:rFonts w:ascii="Arial" w:hAnsi="Arial" w:cs="Arial"/>
                <w:b/>
                <w:vertAlign w:val="superscript"/>
              </w:rPr>
            </w:pPr>
            <w:r w:rsidRPr="00271E01">
              <w:rPr>
                <w:rFonts w:ascii="Arial" w:hAnsi="Arial" w:cs="Arial"/>
                <w:b/>
              </w:rPr>
              <w:t xml:space="preserve">UK &amp; Ireland </w:t>
            </w:r>
          </w:p>
        </w:tc>
        <w:tc>
          <w:tcPr>
            <w:tcW w:w="1134" w:type="dxa"/>
            <w:tcBorders>
              <w:top w:val="single" w:sz="4" w:space="0" w:color="auto"/>
            </w:tcBorders>
          </w:tcPr>
          <w:p w:rsidR="00616A26" w:rsidRPr="00271E01" w:rsidRDefault="00616A26" w:rsidP="00C659A8">
            <w:pPr>
              <w:jc w:val="right"/>
              <w:rPr>
                <w:rFonts w:ascii="Arial" w:hAnsi="Arial" w:cs="Arial"/>
                <w:b/>
              </w:rPr>
            </w:pPr>
            <w:r w:rsidRPr="00271E01">
              <w:rPr>
                <w:rFonts w:ascii="Arial" w:hAnsi="Arial" w:cs="Arial"/>
                <w:b/>
              </w:rPr>
              <w:t>234</w:t>
            </w:r>
          </w:p>
        </w:tc>
        <w:tc>
          <w:tcPr>
            <w:tcW w:w="1276" w:type="dxa"/>
            <w:tcBorders>
              <w:top w:val="single" w:sz="4" w:space="0" w:color="auto"/>
            </w:tcBorders>
          </w:tcPr>
          <w:p w:rsidR="00616A26" w:rsidRPr="00271E01" w:rsidRDefault="00616A26" w:rsidP="00C659A8">
            <w:pPr>
              <w:jc w:val="right"/>
              <w:rPr>
                <w:rFonts w:ascii="Arial" w:hAnsi="Arial" w:cs="Arial"/>
                <w:b/>
              </w:rPr>
            </w:pPr>
            <w:r w:rsidRPr="00271E01">
              <w:rPr>
                <w:rFonts w:ascii="Arial" w:hAnsi="Arial" w:cs="Arial"/>
                <w:b/>
              </w:rPr>
              <w:t>(13.7)%</w:t>
            </w:r>
          </w:p>
        </w:tc>
        <w:tc>
          <w:tcPr>
            <w:tcW w:w="1276" w:type="dxa"/>
            <w:tcBorders>
              <w:top w:val="single" w:sz="4" w:space="0" w:color="auto"/>
            </w:tcBorders>
          </w:tcPr>
          <w:p w:rsidR="00616A26" w:rsidRPr="00271E01" w:rsidRDefault="00616A26" w:rsidP="00C659A8">
            <w:pPr>
              <w:jc w:val="right"/>
              <w:rPr>
                <w:rFonts w:ascii="Arial" w:hAnsi="Arial" w:cs="Arial"/>
                <w:b/>
              </w:rPr>
            </w:pPr>
            <w:r w:rsidRPr="00271E01">
              <w:rPr>
                <w:rFonts w:ascii="Arial" w:hAnsi="Arial" w:cs="Arial"/>
                <w:b/>
              </w:rPr>
              <w:t>(13.8)%</w:t>
            </w:r>
          </w:p>
        </w:tc>
        <w:tc>
          <w:tcPr>
            <w:tcW w:w="1276" w:type="dxa"/>
            <w:tcBorders>
              <w:top w:val="single" w:sz="4" w:space="0" w:color="auto"/>
            </w:tcBorders>
          </w:tcPr>
          <w:p w:rsidR="00616A26" w:rsidRPr="00271E01" w:rsidRDefault="00616A26" w:rsidP="00C659A8">
            <w:pPr>
              <w:jc w:val="right"/>
              <w:rPr>
                <w:rFonts w:ascii="Arial" w:hAnsi="Arial" w:cs="Arial"/>
                <w:b/>
              </w:rPr>
            </w:pPr>
            <w:r w:rsidRPr="00271E01">
              <w:rPr>
                <w:rFonts w:ascii="Arial" w:hAnsi="Arial" w:cs="Arial"/>
                <w:b/>
              </w:rPr>
              <w:t>5.4%</w:t>
            </w:r>
          </w:p>
        </w:tc>
        <w:tc>
          <w:tcPr>
            <w:tcW w:w="1274" w:type="dxa"/>
            <w:tcBorders>
              <w:top w:val="single" w:sz="4" w:space="0" w:color="auto"/>
            </w:tcBorders>
          </w:tcPr>
          <w:p w:rsidR="00616A26" w:rsidRPr="00271E01" w:rsidRDefault="00616A26" w:rsidP="00C659A8">
            <w:pPr>
              <w:jc w:val="right"/>
              <w:rPr>
                <w:rFonts w:ascii="Arial" w:hAnsi="Arial" w:cs="Arial"/>
                <w:b/>
              </w:rPr>
            </w:pPr>
            <w:r w:rsidRPr="00271E01">
              <w:rPr>
                <w:rFonts w:ascii="Arial" w:hAnsi="Arial" w:cs="Arial"/>
                <w:b/>
              </w:rPr>
              <w:t>6.2%</w:t>
            </w:r>
          </w:p>
        </w:tc>
      </w:tr>
      <w:tr w:rsidR="00616A26" w:rsidRPr="00271E01" w:rsidTr="009618C2">
        <w:trPr>
          <w:trHeight w:hRule="exact" w:val="312"/>
        </w:trPr>
        <w:tc>
          <w:tcPr>
            <w:tcW w:w="2376" w:type="dxa"/>
          </w:tcPr>
          <w:p w:rsidR="00616A26" w:rsidRPr="00271E01" w:rsidRDefault="00616A26" w:rsidP="00C659A8">
            <w:pPr>
              <w:jc w:val="left"/>
              <w:rPr>
                <w:rFonts w:ascii="Arial" w:hAnsi="Arial" w:cs="Arial"/>
              </w:rPr>
            </w:pPr>
            <w:r w:rsidRPr="00271E01">
              <w:rPr>
                <w:rFonts w:ascii="Arial" w:hAnsi="Arial" w:cs="Arial"/>
              </w:rPr>
              <w:t>Poland</w:t>
            </w:r>
          </w:p>
        </w:tc>
        <w:tc>
          <w:tcPr>
            <w:tcW w:w="1134" w:type="dxa"/>
          </w:tcPr>
          <w:p w:rsidR="00616A26" w:rsidRPr="00271E01" w:rsidRDefault="00616A26" w:rsidP="00C659A8">
            <w:pPr>
              <w:jc w:val="right"/>
              <w:rPr>
                <w:rFonts w:ascii="Arial" w:hAnsi="Arial" w:cs="Arial"/>
              </w:rPr>
            </w:pPr>
            <w:r w:rsidRPr="00271E01">
              <w:rPr>
                <w:rFonts w:ascii="Arial" w:hAnsi="Arial" w:cs="Arial"/>
              </w:rPr>
              <w:t>107</w:t>
            </w:r>
          </w:p>
        </w:tc>
        <w:tc>
          <w:tcPr>
            <w:tcW w:w="1276" w:type="dxa"/>
          </w:tcPr>
          <w:p w:rsidR="00616A26" w:rsidRPr="00271E01" w:rsidRDefault="00616A26" w:rsidP="00C659A8">
            <w:pPr>
              <w:jc w:val="right"/>
              <w:rPr>
                <w:rFonts w:ascii="Arial" w:hAnsi="Arial" w:cs="Arial"/>
              </w:rPr>
            </w:pPr>
            <w:r w:rsidRPr="00271E01">
              <w:rPr>
                <w:rFonts w:ascii="Arial" w:hAnsi="Arial" w:cs="Arial"/>
              </w:rPr>
              <w:t>(20.7)%</w:t>
            </w:r>
          </w:p>
        </w:tc>
        <w:tc>
          <w:tcPr>
            <w:tcW w:w="1276" w:type="dxa"/>
          </w:tcPr>
          <w:p w:rsidR="00616A26" w:rsidRPr="00271E01" w:rsidRDefault="00616A26" w:rsidP="00C659A8">
            <w:pPr>
              <w:jc w:val="right"/>
              <w:rPr>
                <w:rFonts w:ascii="Arial" w:hAnsi="Arial" w:cs="Arial"/>
              </w:rPr>
            </w:pPr>
            <w:r w:rsidRPr="00271E01">
              <w:rPr>
                <w:rFonts w:ascii="Arial" w:hAnsi="Arial" w:cs="Arial"/>
              </w:rPr>
              <w:t>(15.3)%</w:t>
            </w:r>
          </w:p>
        </w:tc>
        <w:tc>
          <w:tcPr>
            <w:tcW w:w="1276" w:type="dxa"/>
          </w:tcPr>
          <w:p w:rsidR="00616A26" w:rsidRPr="00271E01" w:rsidRDefault="00616A26" w:rsidP="00C659A8">
            <w:pPr>
              <w:jc w:val="right"/>
              <w:rPr>
                <w:rFonts w:ascii="Arial" w:hAnsi="Arial" w:cs="Arial"/>
              </w:rPr>
            </w:pPr>
            <w:r w:rsidRPr="00271E01">
              <w:rPr>
                <w:rFonts w:ascii="Arial" w:hAnsi="Arial" w:cs="Arial"/>
              </w:rPr>
              <w:t>10.4%</w:t>
            </w:r>
          </w:p>
        </w:tc>
        <w:tc>
          <w:tcPr>
            <w:tcW w:w="1274" w:type="dxa"/>
          </w:tcPr>
          <w:p w:rsidR="00616A26" w:rsidRPr="00271E01" w:rsidRDefault="00616A26" w:rsidP="00C659A8">
            <w:pPr>
              <w:jc w:val="right"/>
              <w:rPr>
                <w:rFonts w:ascii="Arial" w:hAnsi="Arial" w:cs="Arial"/>
              </w:rPr>
            </w:pPr>
            <w:r w:rsidRPr="00271E01">
              <w:rPr>
                <w:rFonts w:ascii="Arial" w:hAnsi="Arial" w:cs="Arial"/>
              </w:rPr>
              <w:t>12.3%</w:t>
            </w:r>
          </w:p>
        </w:tc>
      </w:tr>
      <w:tr w:rsidR="00616A26" w:rsidRPr="00271E01" w:rsidTr="009618C2">
        <w:trPr>
          <w:trHeight w:hRule="exact" w:val="312"/>
        </w:trPr>
        <w:tc>
          <w:tcPr>
            <w:tcW w:w="2376" w:type="dxa"/>
          </w:tcPr>
          <w:p w:rsidR="00616A26" w:rsidRPr="00271E01" w:rsidRDefault="00616A26" w:rsidP="00C659A8">
            <w:pPr>
              <w:jc w:val="left"/>
              <w:rPr>
                <w:rFonts w:ascii="Arial" w:hAnsi="Arial" w:cs="Arial"/>
              </w:rPr>
            </w:pPr>
            <w:r w:rsidRPr="00271E01">
              <w:rPr>
                <w:rFonts w:ascii="Arial" w:hAnsi="Arial" w:cs="Arial"/>
              </w:rPr>
              <w:t>China</w:t>
            </w:r>
          </w:p>
        </w:tc>
        <w:tc>
          <w:tcPr>
            <w:tcW w:w="1134" w:type="dxa"/>
          </w:tcPr>
          <w:p w:rsidR="00616A26" w:rsidRPr="00271E01" w:rsidRDefault="00616A26" w:rsidP="00C659A8">
            <w:pPr>
              <w:jc w:val="right"/>
              <w:rPr>
                <w:rFonts w:ascii="Arial" w:hAnsi="Arial" w:cs="Arial"/>
              </w:rPr>
            </w:pPr>
            <w:r w:rsidRPr="00271E01">
              <w:rPr>
                <w:rFonts w:ascii="Arial" w:hAnsi="Arial" w:cs="Arial"/>
              </w:rPr>
              <w:t>(9)</w:t>
            </w:r>
          </w:p>
        </w:tc>
        <w:tc>
          <w:tcPr>
            <w:tcW w:w="1276" w:type="dxa"/>
          </w:tcPr>
          <w:p w:rsidR="00616A26" w:rsidRPr="00271E01" w:rsidRDefault="00616A26" w:rsidP="00C659A8">
            <w:pPr>
              <w:jc w:val="right"/>
              <w:rPr>
                <w:rFonts w:ascii="Arial" w:hAnsi="Arial" w:cs="Arial"/>
              </w:rPr>
            </w:pPr>
            <w:r w:rsidRPr="00271E01">
              <w:rPr>
                <w:rFonts w:ascii="Arial" w:hAnsi="Arial" w:cs="Arial"/>
              </w:rPr>
              <w:t>(236.5)%</w:t>
            </w:r>
          </w:p>
        </w:tc>
        <w:tc>
          <w:tcPr>
            <w:tcW w:w="1276" w:type="dxa"/>
          </w:tcPr>
          <w:p w:rsidR="00616A26" w:rsidRPr="00271E01" w:rsidRDefault="00616A26" w:rsidP="00C659A8">
            <w:pPr>
              <w:jc w:val="right"/>
              <w:rPr>
                <w:rFonts w:ascii="Arial" w:hAnsi="Arial" w:cs="Arial"/>
              </w:rPr>
            </w:pPr>
            <w:r w:rsidRPr="00271E01">
              <w:rPr>
                <w:rFonts w:ascii="Arial" w:hAnsi="Arial" w:cs="Arial"/>
              </w:rPr>
              <w:t>(226.7)%</w:t>
            </w:r>
          </w:p>
        </w:tc>
        <w:tc>
          <w:tcPr>
            <w:tcW w:w="1276" w:type="dxa"/>
          </w:tcPr>
          <w:p w:rsidR="00616A26" w:rsidRPr="00271E01" w:rsidRDefault="005F4497">
            <w:pPr>
              <w:jc w:val="right"/>
              <w:rPr>
                <w:rFonts w:ascii="Arial" w:hAnsi="Arial" w:cs="Arial"/>
              </w:rPr>
            </w:pPr>
            <w:r>
              <w:rPr>
                <w:rFonts w:ascii="Arial" w:hAnsi="Arial" w:cs="Arial"/>
              </w:rPr>
              <w:t>(</w:t>
            </w:r>
            <w:r w:rsidR="00616A26" w:rsidRPr="00271E01">
              <w:rPr>
                <w:rFonts w:ascii="Arial" w:hAnsi="Arial" w:cs="Arial"/>
              </w:rPr>
              <w:t>2.4</w:t>
            </w:r>
            <w:r>
              <w:rPr>
                <w:rFonts w:ascii="Arial" w:hAnsi="Arial" w:cs="Arial"/>
              </w:rPr>
              <w:t>)</w:t>
            </w:r>
            <w:r w:rsidR="00616A26" w:rsidRPr="00271E01">
              <w:rPr>
                <w:rFonts w:ascii="Arial" w:hAnsi="Arial" w:cs="Arial"/>
              </w:rPr>
              <w:t>%</w:t>
            </w:r>
          </w:p>
        </w:tc>
        <w:tc>
          <w:tcPr>
            <w:tcW w:w="1274" w:type="dxa"/>
          </w:tcPr>
          <w:p w:rsidR="00616A26" w:rsidRPr="00271E01" w:rsidRDefault="005F4497" w:rsidP="00C659A8">
            <w:pPr>
              <w:jc w:val="right"/>
              <w:rPr>
                <w:rFonts w:ascii="Arial" w:hAnsi="Arial" w:cs="Arial"/>
              </w:rPr>
            </w:pPr>
            <w:r>
              <w:rPr>
                <w:rFonts w:ascii="Arial" w:hAnsi="Arial" w:cs="Arial"/>
              </w:rPr>
              <w:t>(</w:t>
            </w:r>
            <w:r w:rsidR="00616A26" w:rsidRPr="00271E01">
              <w:rPr>
                <w:rFonts w:ascii="Arial" w:hAnsi="Arial" w:cs="Arial"/>
              </w:rPr>
              <w:t>0.8</w:t>
            </w:r>
            <w:r>
              <w:rPr>
                <w:rFonts w:ascii="Arial" w:hAnsi="Arial" w:cs="Arial"/>
              </w:rPr>
              <w:t>)</w:t>
            </w:r>
            <w:r w:rsidR="00616A26" w:rsidRPr="00271E01">
              <w:rPr>
                <w:rFonts w:ascii="Arial" w:hAnsi="Arial" w:cs="Arial"/>
              </w:rPr>
              <w:t>%</w:t>
            </w:r>
          </w:p>
        </w:tc>
      </w:tr>
      <w:tr w:rsidR="00616A26" w:rsidRPr="00271E01" w:rsidTr="009618C2">
        <w:trPr>
          <w:trHeight w:hRule="exact" w:val="312"/>
        </w:trPr>
        <w:tc>
          <w:tcPr>
            <w:tcW w:w="2376" w:type="dxa"/>
          </w:tcPr>
          <w:p w:rsidR="00616A26" w:rsidRPr="00271E01" w:rsidRDefault="00616A26" w:rsidP="00C659A8">
            <w:pPr>
              <w:jc w:val="left"/>
              <w:rPr>
                <w:rFonts w:ascii="Arial" w:hAnsi="Arial" w:cs="Arial"/>
              </w:rPr>
            </w:pPr>
            <w:r w:rsidRPr="00271E01">
              <w:rPr>
                <w:rFonts w:ascii="Arial" w:hAnsi="Arial" w:cs="Arial"/>
              </w:rPr>
              <w:t xml:space="preserve">Spain </w:t>
            </w:r>
          </w:p>
        </w:tc>
        <w:tc>
          <w:tcPr>
            <w:tcW w:w="1134" w:type="dxa"/>
          </w:tcPr>
          <w:p w:rsidR="00616A26" w:rsidRPr="00271E01" w:rsidRDefault="00616A26" w:rsidP="00C659A8">
            <w:pPr>
              <w:jc w:val="right"/>
              <w:rPr>
                <w:rFonts w:ascii="Arial" w:hAnsi="Arial" w:cs="Arial"/>
              </w:rPr>
            </w:pPr>
            <w:r w:rsidRPr="00271E01">
              <w:rPr>
                <w:rFonts w:ascii="Arial" w:hAnsi="Arial" w:cs="Arial"/>
              </w:rPr>
              <w:t>1</w:t>
            </w:r>
          </w:p>
        </w:tc>
        <w:tc>
          <w:tcPr>
            <w:tcW w:w="1276" w:type="dxa"/>
          </w:tcPr>
          <w:p w:rsidR="00616A26" w:rsidRPr="00271E01" w:rsidRDefault="00616A26" w:rsidP="00C659A8">
            <w:pPr>
              <w:jc w:val="right"/>
              <w:rPr>
                <w:rFonts w:ascii="Arial" w:hAnsi="Arial" w:cs="Arial"/>
              </w:rPr>
            </w:pPr>
            <w:r w:rsidRPr="00271E01">
              <w:rPr>
                <w:rFonts w:ascii="Arial" w:hAnsi="Arial" w:cs="Arial"/>
              </w:rPr>
              <w:t>(89.2)%</w:t>
            </w:r>
          </w:p>
        </w:tc>
        <w:tc>
          <w:tcPr>
            <w:tcW w:w="1276" w:type="dxa"/>
          </w:tcPr>
          <w:p w:rsidR="00616A26" w:rsidRPr="00271E01" w:rsidRDefault="00616A26">
            <w:pPr>
              <w:jc w:val="right"/>
              <w:rPr>
                <w:rFonts w:ascii="Arial" w:hAnsi="Arial" w:cs="Arial"/>
              </w:rPr>
            </w:pPr>
            <w:r w:rsidRPr="00271E01">
              <w:rPr>
                <w:rFonts w:ascii="Arial" w:hAnsi="Arial" w:cs="Arial"/>
              </w:rPr>
              <w:t>(88.</w:t>
            </w:r>
            <w:r w:rsidR="005F4497">
              <w:rPr>
                <w:rFonts w:ascii="Arial" w:hAnsi="Arial" w:cs="Arial"/>
              </w:rPr>
              <w:t>4</w:t>
            </w:r>
            <w:r w:rsidRPr="00271E01">
              <w:rPr>
                <w:rFonts w:ascii="Arial" w:hAnsi="Arial" w:cs="Arial"/>
              </w:rPr>
              <w:t>)%</w:t>
            </w:r>
          </w:p>
        </w:tc>
        <w:tc>
          <w:tcPr>
            <w:tcW w:w="1276" w:type="dxa"/>
          </w:tcPr>
          <w:p w:rsidR="00616A26" w:rsidRPr="00271E01" w:rsidRDefault="00616A26" w:rsidP="00C659A8">
            <w:pPr>
              <w:jc w:val="right"/>
              <w:rPr>
                <w:rFonts w:ascii="Arial" w:hAnsi="Arial" w:cs="Arial"/>
              </w:rPr>
            </w:pPr>
            <w:r w:rsidRPr="00271E01">
              <w:rPr>
                <w:rFonts w:ascii="Arial" w:hAnsi="Arial" w:cs="Arial"/>
              </w:rPr>
              <w:t>0.4%</w:t>
            </w:r>
          </w:p>
        </w:tc>
        <w:tc>
          <w:tcPr>
            <w:tcW w:w="1274" w:type="dxa"/>
          </w:tcPr>
          <w:p w:rsidR="00616A26" w:rsidRPr="00271E01" w:rsidRDefault="00616A26" w:rsidP="00C659A8">
            <w:pPr>
              <w:jc w:val="right"/>
              <w:rPr>
                <w:rFonts w:ascii="Arial" w:hAnsi="Arial" w:cs="Arial"/>
              </w:rPr>
            </w:pPr>
            <w:r w:rsidRPr="00271E01">
              <w:rPr>
                <w:rFonts w:ascii="Arial" w:hAnsi="Arial" w:cs="Arial"/>
              </w:rPr>
              <w:t>2.9%</w:t>
            </w:r>
          </w:p>
        </w:tc>
      </w:tr>
      <w:tr w:rsidR="00616A26" w:rsidRPr="00271E01" w:rsidTr="009618C2">
        <w:trPr>
          <w:trHeight w:hRule="exact" w:val="312"/>
        </w:trPr>
        <w:tc>
          <w:tcPr>
            <w:tcW w:w="2376" w:type="dxa"/>
          </w:tcPr>
          <w:p w:rsidR="00616A26" w:rsidRPr="00271E01" w:rsidRDefault="00616A26" w:rsidP="00C659A8">
            <w:pPr>
              <w:jc w:val="left"/>
              <w:rPr>
                <w:rFonts w:ascii="Arial" w:hAnsi="Arial" w:cs="Arial"/>
              </w:rPr>
            </w:pPr>
            <w:r w:rsidRPr="00271E01">
              <w:rPr>
                <w:rFonts w:ascii="Arial" w:hAnsi="Arial" w:cs="Arial"/>
              </w:rPr>
              <w:t>Russia</w:t>
            </w:r>
          </w:p>
        </w:tc>
        <w:tc>
          <w:tcPr>
            <w:tcW w:w="1134" w:type="dxa"/>
          </w:tcPr>
          <w:p w:rsidR="00616A26" w:rsidRPr="00271E01" w:rsidRDefault="00616A26" w:rsidP="00C659A8">
            <w:pPr>
              <w:jc w:val="right"/>
              <w:rPr>
                <w:rFonts w:ascii="Arial" w:hAnsi="Arial" w:cs="Arial"/>
              </w:rPr>
            </w:pPr>
            <w:r w:rsidRPr="00271E01">
              <w:rPr>
                <w:rFonts w:ascii="Arial" w:hAnsi="Arial" w:cs="Arial"/>
              </w:rPr>
              <w:t>16</w:t>
            </w:r>
          </w:p>
        </w:tc>
        <w:tc>
          <w:tcPr>
            <w:tcW w:w="1276" w:type="dxa"/>
          </w:tcPr>
          <w:p w:rsidR="00616A26" w:rsidRPr="00271E01" w:rsidRDefault="00616A26" w:rsidP="00C659A8">
            <w:pPr>
              <w:jc w:val="right"/>
              <w:rPr>
                <w:rFonts w:ascii="Arial" w:hAnsi="Arial" w:cs="Arial"/>
              </w:rPr>
            </w:pPr>
            <w:r w:rsidRPr="00271E01">
              <w:rPr>
                <w:rFonts w:ascii="Arial" w:hAnsi="Arial" w:cs="Arial"/>
              </w:rPr>
              <w:t>814.5%</w:t>
            </w:r>
          </w:p>
        </w:tc>
        <w:tc>
          <w:tcPr>
            <w:tcW w:w="1276" w:type="dxa"/>
          </w:tcPr>
          <w:p w:rsidR="00616A26" w:rsidRPr="00271E01" w:rsidRDefault="00616A26" w:rsidP="00C659A8">
            <w:pPr>
              <w:jc w:val="right"/>
              <w:rPr>
                <w:rFonts w:ascii="Arial" w:hAnsi="Arial" w:cs="Arial"/>
              </w:rPr>
            </w:pPr>
            <w:r w:rsidRPr="00271E01">
              <w:rPr>
                <w:rFonts w:ascii="Arial" w:hAnsi="Arial" w:cs="Arial"/>
              </w:rPr>
              <w:t>853.1%</w:t>
            </w:r>
          </w:p>
        </w:tc>
        <w:tc>
          <w:tcPr>
            <w:tcW w:w="1276" w:type="dxa"/>
          </w:tcPr>
          <w:p w:rsidR="00616A26" w:rsidRPr="00271E01" w:rsidRDefault="00FF046F" w:rsidP="00C659A8">
            <w:pPr>
              <w:jc w:val="right"/>
              <w:rPr>
                <w:rFonts w:ascii="Arial" w:hAnsi="Arial" w:cs="Arial"/>
              </w:rPr>
            </w:pPr>
            <w:r>
              <w:rPr>
                <w:rFonts w:ascii="Arial" w:hAnsi="Arial" w:cs="Arial"/>
              </w:rPr>
              <w:t>3.8</w:t>
            </w:r>
            <w:r w:rsidR="00616A26" w:rsidRPr="00271E01">
              <w:rPr>
                <w:rFonts w:ascii="Arial" w:hAnsi="Arial" w:cs="Arial"/>
              </w:rPr>
              <w:t>%</w:t>
            </w:r>
          </w:p>
        </w:tc>
        <w:tc>
          <w:tcPr>
            <w:tcW w:w="1274" w:type="dxa"/>
          </w:tcPr>
          <w:p w:rsidR="00616A26" w:rsidRPr="00271E01" w:rsidRDefault="00616A26" w:rsidP="00C659A8">
            <w:pPr>
              <w:jc w:val="right"/>
              <w:rPr>
                <w:rFonts w:ascii="Arial" w:hAnsi="Arial" w:cs="Arial"/>
              </w:rPr>
            </w:pPr>
            <w:r w:rsidRPr="00271E01">
              <w:rPr>
                <w:rFonts w:ascii="Arial" w:hAnsi="Arial" w:cs="Arial"/>
              </w:rPr>
              <w:t>0.6%</w:t>
            </w:r>
          </w:p>
        </w:tc>
      </w:tr>
      <w:tr w:rsidR="00AA4425" w:rsidRPr="00271E01" w:rsidTr="009618C2">
        <w:trPr>
          <w:trHeight w:hRule="exact" w:val="312"/>
        </w:trPr>
        <w:tc>
          <w:tcPr>
            <w:tcW w:w="2376" w:type="dxa"/>
          </w:tcPr>
          <w:p w:rsidR="00AA4425" w:rsidRPr="00271E01" w:rsidRDefault="00AA4425" w:rsidP="00C659A8">
            <w:pPr>
              <w:jc w:val="left"/>
              <w:rPr>
                <w:rFonts w:ascii="Arial" w:hAnsi="Arial" w:cs="Arial"/>
              </w:rPr>
            </w:pPr>
            <w:r>
              <w:rPr>
                <w:rFonts w:ascii="Arial" w:hAnsi="Arial" w:cs="Arial"/>
              </w:rPr>
              <w:t>Turkey JV</w:t>
            </w:r>
          </w:p>
        </w:tc>
        <w:tc>
          <w:tcPr>
            <w:tcW w:w="1134" w:type="dxa"/>
          </w:tcPr>
          <w:p w:rsidR="00AA4425" w:rsidRPr="00271E01" w:rsidRDefault="00AA4425" w:rsidP="00C659A8">
            <w:pPr>
              <w:jc w:val="right"/>
              <w:rPr>
                <w:rFonts w:ascii="Arial" w:hAnsi="Arial" w:cs="Arial"/>
              </w:rPr>
            </w:pPr>
            <w:r w:rsidRPr="00271E01">
              <w:rPr>
                <w:rFonts w:ascii="Arial" w:hAnsi="Arial" w:cs="Arial"/>
              </w:rPr>
              <w:t>9</w:t>
            </w:r>
          </w:p>
        </w:tc>
        <w:tc>
          <w:tcPr>
            <w:tcW w:w="1276" w:type="dxa"/>
          </w:tcPr>
          <w:p w:rsidR="00AA4425" w:rsidRPr="00271E01" w:rsidRDefault="00AA4425" w:rsidP="00C659A8">
            <w:pPr>
              <w:jc w:val="right"/>
              <w:rPr>
                <w:rFonts w:ascii="Arial" w:hAnsi="Arial" w:cs="Arial"/>
              </w:rPr>
            </w:pPr>
            <w:r w:rsidRPr="00271E01">
              <w:rPr>
                <w:rFonts w:ascii="Arial" w:hAnsi="Arial" w:cs="Arial"/>
              </w:rPr>
              <w:t>(31.5)%</w:t>
            </w:r>
          </w:p>
        </w:tc>
        <w:tc>
          <w:tcPr>
            <w:tcW w:w="1276" w:type="dxa"/>
          </w:tcPr>
          <w:p w:rsidR="00AA4425" w:rsidRPr="00271E01" w:rsidRDefault="00AA4425" w:rsidP="00C659A8">
            <w:pPr>
              <w:jc w:val="right"/>
              <w:rPr>
                <w:rFonts w:ascii="Arial" w:hAnsi="Arial" w:cs="Arial"/>
              </w:rPr>
            </w:pPr>
            <w:r w:rsidRPr="00271E01">
              <w:rPr>
                <w:rFonts w:ascii="Arial" w:hAnsi="Arial" w:cs="Arial"/>
              </w:rPr>
              <w:t>(28.2)%</w:t>
            </w:r>
          </w:p>
        </w:tc>
        <w:tc>
          <w:tcPr>
            <w:tcW w:w="1276" w:type="dxa"/>
          </w:tcPr>
          <w:p w:rsidR="00AA4425" w:rsidRPr="00271E01" w:rsidRDefault="00D23E19" w:rsidP="00A6717D">
            <w:pPr>
              <w:jc w:val="right"/>
              <w:rPr>
                <w:rFonts w:ascii="Arial" w:hAnsi="Arial" w:cs="Arial"/>
              </w:rPr>
            </w:pPr>
            <w:r>
              <w:rPr>
                <w:rFonts w:ascii="Arial" w:hAnsi="Arial" w:cs="Arial"/>
              </w:rPr>
              <w:t>n/a</w:t>
            </w:r>
            <w:r w:rsidRPr="009618C2">
              <w:rPr>
                <w:rFonts w:ascii="Arial" w:hAnsi="Arial" w:cs="Arial"/>
                <w:i/>
                <w:vertAlign w:val="superscript"/>
              </w:rPr>
              <w:t>(1)</w:t>
            </w:r>
          </w:p>
        </w:tc>
        <w:tc>
          <w:tcPr>
            <w:tcW w:w="1274" w:type="dxa"/>
          </w:tcPr>
          <w:p w:rsidR="00AA4425" w:rsidRPr="00271E01" w:rsidRDefault="00D23E19" w:rsidP="00A6717D">
            <w:pPr>
              <w:jc w:val="right"/>
              <w:rPr>
                <w:rFonts w:ascii="Arial" w:hAnsi="Arial" w:cs="Arial"/>
              </w:rPr>
            </w:pPr>
            <w:r>
              <w:rPr>
                <w:rFonts w:ascii="Arial" w:hAnsi="Arial" w:cs="Arial"/>
              </w:rPr>
              <w:t>n/a</w:t>
            </w:r>
            <w:r w:rsidRPr="009618C2">
              <w:rPr>
                <w:rFonts w:ascii="Arial" w:hAnsi="Arial" w:cs="Arial"/>
                <w:i/>
                <w:vertAlign w:val="superscript"/>
              </w:rPr>
              <w:t>(1)</w:t>
            </w:r>
          </w:p>
        </w:tc>
      </w:tr>
      <w:tr w:rsidR="00616A26" w:rsidRPr="00271E01" w:rsidTr="009618C2">
        <w:trPr>
          <w:trHeight w:hRule="exact" w:val="312"/>
        </w:trPr>
        <w:tc>
          <w:tcPr>
            <w:tcW w:w="2376" w:type="dxa"/>
            <w:tcBorders>
              <w:bottom w:val="single" w:sz="4" w:space="0" w:color="auto"/>
            </w:tcBorders>
          </w:tcPr>
          <w:p w:rsidR="00616A26" w:rsidRPr="00271E01" w:rsidRDefault="00AA4425" w:rsidP="00C659A8">
            <w:pPr>
              <w:jc w:val="left"/>
              <w:rPr>
                <w:rFonts w:ascii="Arial" w:hAnsi="Arial" w:cs="Arial"/>
              </w:rPr>
            </w:pPr>
            <w:proofErr w:type="spellStart"/>
            <w:r>
              <w:rPr>
                <w:rFonts w:ascii="Arial" w:hAnsi="Arial" w:cs="Arial"/>
              </w:rPr>
              <w:t>Hornbach</w:t>
            </w:r>
            <w:proofErr w:type="spellEnd"/>
          </w:p>
        </w:tc>
        <w:tc>
          <w:tcPr>
            <w:tcW w:w="1134" w:type="dxa"/>
            <w:tcBorders>
              <w:bottom w:val="single" w:sz="4" w:space="0" w:color="auto"/>
            </w:tcBorders>
          </w:tcPr>
          <w:p w:rsidR="00616A26" w:rsidRPr="00271E01" w:rsidRDefault="00AA4425" w:rsidP="00C659A8">
            <w:pPr>
              <w:jc w:val="right"/>
              <w:rPr>
                <w:rFonts w:ascii="Arial" w:hAnsi="Arial" w:cs="Arial"/>
              </w:rPr>
            </w:pPr>
            <w:r>
              <w:rPr>
                <w:rFonts w:ascii="Arial" w:hAnsi="Arial" w:cs="Arial"/>
              </w:rPr>
              <w:t>26</w:t>
            </w:r>
          </w:p>
        </w:tc>
        <w:tc>
          <w:tcPr>
            <w:tcW w:w="1276" w:type="dxa"/>
            <w:tcBorders>
              <w:bottom w:val="single" w:sz="4" w:space="0" w:color="auto"/>
            </w:tcBorders>
          </w:tcPr>
          <w:p w:rsidR="00616A26" w:rsidRPr="00271E01" w:rsidRDefault="00AA4425" w:rsidP="00C659A8">
            <w:pPr>
              <w:jc w:val="right"/>
              <w:rPr>
                <w:rFonts w:ascii="Arial" w:hAnsi="Arial" w:cs="Arial"/>
              </w:rPr>
            </w:pPr>
            <w:r>
              <w:rPr>
                <w:rFonts w:ascii="Arial" w:hAnsi="Arial" w:cs="Arial"/>
              </w:rPr>
              <w:t>(20.7)%</w:t>
            </w:r>
          </w:p>
        </w:tc>
        <w:tc>
          <w:tcPr>
            <w:tcW w:w="1276" w:type="dxa"/>
            <w:tcBorders>
              <w:bottom w:val="single" w:sz="4" w:space="0" w:color="auto"/>
            </w:tcBorders>
          </w:tcPr>
          <w:p w:rsidR="00616A26" w:rsidRPr="00271E01" w:rsidRDefault="00AA4425" w:rsidP="00C659A8">
            <w:pPr>
              <w:jc w:val="right"/>
              <w:rPr>
                <w:rFonts w:ascii="Arial" w:hAnsi="Arial" w:cs="Arial"/>
              </w:rPr>
            </w:pPr>
            <w:r>
              <w:rPr>
                <w:rFonts w:ascii="Arial" w:hAnsi="Arial" w:cs="Arial"/>
              </w:rPr>
              <w:t>(15.2)%</w:t>
            </w:r>
          </w:p>
        </w:tc>
        <w:tc>
          <w:tcPr>
            <w:tcW w:w="1276" w:type="dxa"/>
            <w:tcBorders>
              <w:bottom w:val="single" w:sz="4" w:space="0" w:color="auto"/>
            </w:tcBorders>
          </w:tcPr>
          <w:p w:rsidR="00616A26" w:rsidRPr="00271E01" w:rsidRDefault="00AA4425" w:rsidP="00C659A8">
            <w:pPr>
              <w:jc w:val="right"/>
              <w:rPr>
                <w:rFonts w:ascii="Arial" w:hAnsi="Arial" w:cs="Arial"/>
              </w:rPr>
            </w:pPr>
            <w:r>
              <w:rPr>
                <w:rFonts w:ascii="Arial" w:hAnsi="Arial" w:cs="Arial"/>
              </w:rPr>
              <w:t>n/a</w:t>
            </w:r>
            <w:r w:rsidRPr="009618C2">
              <w:rPr>
                <w:rFonts w:ascii="Arial" w:hAnsi="Arial" w:cs="Arial"/>
                <w:i/>
                <w:vertAlign w:val="superscript"/>
              </w:rPr>
              <w:t>(1)</w:t>
            </w:r>
          </w:p>
        </w:tc>
        <w:tc>
          <w:tcPr>
            <w:tcW w:w="1274" w:type="dxa"/>
            <w:tcBorders>
              <w:bottom w:val="single" w:sz="4" w:space="0" w:color="auto"/>
            </w:tcBorders>
          </w:tcPr>
          <w:p w:rsidR="00616A26" w:rsidRPr="00271E01" w:rsidRDefault="00AA4425" w:rsidP="00C659A8">
            <w:pPr>
              <w:jc w:val="right"/>
              <w:rPr>
                <w:rFonts w:ascii="Arial" w:hAnsi="Arial" w:cs="Arial"/>
              </w:rPr>
            </w:pPr>
            <w:r>
              <w:rPr>
                <w:rFonts w:ascii="Arial" w:hAnsi="Arial" w:cs="Arial"/>
              </w:rPr>
              <w:t>n/a</w:t>
            </w:r>
            <w:r w:rsidRPr="00B5020C">
              <w:rPr>
                <w:rFonts w:ascii="Arial" w:hAnsi="Arial" w:cs="Arial"/>
                <w:i/>
                <w:vertAlign w:val="superscript"/>
              </w:rPr>
              <w:t>(1)</w:t>
            </w:r>
          </w:p>
        </w:tc>
      </w:tr>
      <w:tr w:rsidR="00616A26" w:rsidRPr="00271E01" w:rsidTr="009618C2">
        <w:trPr>
          <w:trHeight w:hRule="exact" w:val="545"/>
        </w:trPr>
        <w:tc>
          <w:tcPr>
            <w:tcW w:w="2376" w:type="dxa"/>
            <w:tcBorders>
              <w:top w:val="single" w:sz="4" w:space="0" w:color="auto"/>
              <w:bottom w:val="single" w:sz="4" w:space="0" w:color="auto"/>
            </w:tcBorders>
          </w:tcPr>
          <w:p w:rsidR="00616A26" w:rsidRPr="00271E01" w:rsidRDefault="00616A26" w:rsidP="00C659A8">
            <w:pPr>
              <w:spacing w:before="20"/>
              <w:jc w:val="left"/>
              <w:rPr>
                <w:rFonts w:ascii="Arial" w:hAnsi="Arial" w:cs="Arial"/>
                <w:b/>
              </w:rPr>
            </w:pPr>
            <w:r w:rsidRPr="00271E01">
              <w:rPr>
                <w:rFonts w:ascii="Arial" w:hAnsi="Arial" w:cs="Arial"/>
                <w:b/>
              </w:rPr>
              <w:t>Other International</w:t>
            </w:r>
          </w:p>
        </w:tc>
        <w:tc>
          <w:tcPr>
            <w:tcW w:w="1134" w:type="dxa"/>
            <w:tcBorders>
              <w:top w:val="single" w:sz="4" w:space="0" w:color="auto"/>
              <w:bottom w:val="single" w:sz="4" w:space="0" w:color="auto"/>
            </w:tcBorders>
            <w:vAlign w:val="center"/>
          </w:tcPr>
          <w:p w:rsidR="00616A26" w:rsidRPr="00271E01" w:rsidRDefault="00616A26" w:rsidP="00C659A8">
            <w:pPr>
              <w:spacing w:before="20"/>
              <w:jc w:val="right"/>
              <w:rPr>
                <w:rFonts w:ascii="Arial" w:hAnsi="Arial" w:cs="Arial"/>
                <w:b/>
              </w:rPr>
            </w:pPr>
            <w:r w:rsidRPr="00271E01">
              <w:rPr>
                <w:rFonts w:ascii="Arial" w:hAnsi="Arial" w:cs="Arial"/>
                <w:b/>
              </w:rPr>
              <w:t>150</w:t>
            </w:r>
          </w:p>
          <w:p w:rsidR="00616A26" w:rsidRPr="00271E01" w:rsidRDefault="00616A26" w:rsidP="00C659A8">
            <w:pPr>
              <w:spacing w:before="20"/>
              <w:rPr>
                <w:rFonts w:ascii="Arial" w:hAnsi="Arial" w:cs="Arial"/>
                <w:b/>
              </w:rPr>
            </w:pPr>
          </w:p>
          <w:p w:rsidR="00616A26" w:rsidRPr="00271E01" w:rsidRDefault="00616A26" w:rsidP="00C659A8">
            <w:pPr>
              <w:spacing w:before="20"/>
              <w:rPr>
                <w:rFonts w:ascii="Arial" w:hAnsi="Arial" w:cs="Arial"/>
                <w:b/>
              </w:rPr>
            </w:pPr>
          </w:p>
        </w:tc>
        <w:tc>
          <w:tcPr>
            <w:tcW w:w="1276" w:type="dxa"/>
            <w:tcBorders>
              <w:top w:val="single" w:sz="4" w:space="0" w:color="auto"/>
              <w:bottom w:val="single" w:sz="4" w:space="0" w:color="auto"/>
            </w:tcBorders>
            <w:vAlign w:val="center"/>
          </w:tcPr>
          <w:p w:rsidR="00616A26" w:rsidRPr="00271E01" w:rsidRDefault="00616A26" w:rsidP="00C659A8">
            <w:pPr>
              <w:spacing w:before="20"/>
              <w:jc w:val="right"/>
              <w:rPr>
                <w:rFonts w:ascii="Arial" w:hAnsi="Arial" w:cs="Arial"/>
                <w:b/>
              </w:rPr>
            </w:pPr>
            <w:r w:rsidRPr="00271E01">
              <w:rPr>
                <w:rFonts w:ascii="Arial" w:hAnsi="Arial" w:cs="Arial"/>
                <w:b/>
              </w:rPr>
              <w:t>(19.8)%</w:t>
            </w:r>
          </w:p>
          <w:p w:rsidR="00616A26" w:rsidRPr="00271E01" w:rsidRDefault="00616A26" w:rsidP="00C659A8">
            <w:pPr>
              <w:spacing w:before="20"/>
              <w:jc w:val="right"/>
              <w:rPr>
                <w:rFonts w:ascii="Arial" w:hAnsi="Arial" w:cs="Arial"/>
                <w:b/>
              </w:rPr>
            </w:pPr>
          </w:p>
          <w:p w:rsidR="00616A26" w:rsidRPr="00271E01" w:rsidRDefault="00616A26" w:rsidP="00C659A8">
            <w:pPr>
              <w:spacing w:before="20"/>
              <w:jc w:val="right"/>
              <w:rPr>
                <w:rFonts w:ascii="Arial" w:hAnsi="Arial" w:cs="Arial"/>
                <w:b/>
              </w:rPr>
            </w:pPr>
          </w:p>
        </w:tc>
        <w:tc>
          <w:tcPr>
            <w:tcW w:w="1276" w:type="dxa"/>
            <w:tcBorders>
              <w:top w:val="single" w:sz="4" w:space="0" w:color="auto"/>
              <w:bottom w:val="single" w:sz="4" w:space="0" w:color="auto"/>
            </w:tcBorders>
            <w:vAlign w:val="center"/>
          </w:tcPr>
          <w:p w:rsidR="00616A26" w:rsidRPr="00271E01" w:rsidRDefault="00616A26" w:rsidP="00C659A8">
            <w:pPr>
              <w:spacing w:before="20"/>
              <w:jc w:val="right"/>
              <w:rPr>
                <w:rFonts w:ascii="Arial" w:hAnsi="Arial" w:cs="Arial"/>
                <w:b/>
              </w:rPr>
            </w:pPr>
            <w:r w:rsidRPr="00271E01">
              <w:rPr>
                <w:rFonts w:ascii="Arial" w:hAnsi="Arial" w:cs="Arial"/>
                <w:b/>
              </w:rPr>
              <w:t>(14.3)%</w:t>
            </w:r>
          </w:p>
          <w:p w:rsidR="00616A26" w:rsidRPr="00271E01" w:rsidRDefault="00616A26" w:rsidP="00C659A8">
            <w:pPr>
              <w:spacing w:before="20"/>
              <w:jc w:val="right"/>
              <w:rPr>
                <w:rFonts w:ascii="Arial" w:hAnsi="Arial" w:cs="Arial"/>
                <w:b/>
              </w:rPr>
            </w:pPr>
          </w:p>
          <w:p w:rsidR="00616A26" w:rsidRPr="00271E01" w:rsidRDefault="00616A26" w:rsidP="00C659A8">
            <w:pPr>
              <w:spacing w:before="20"/>
              <w:jc w:val="right"/>
              <w:rPr>
                <w:rFonts w:ascii="Arial" w:hAnsi="Arial" w:cs="Arial"/>
                <w:b/>
              </w:rPr>
            </w:pPr>
          </w:p>
        </w:tc>
        <w:tc>
          <w:tcPr>
            <w:tcW w:w="1276" w:type="dxa"/>
            <w:tcBorders>
              <w:top w:val="single" w:sz="4" w:space="0" w:color="auto"/>
              <w:bottom w:val="single" w:sz="4" w:space="0" w:color="auto"/>
            </w:tcBorders>
          </w:tcPr>
          <w:p w:rsidR="00616A26" w:rsidRPr="00271E01" w:rsidRDefault="00616A26" w:rsidP="00C659A8">
            <w:pPr>
              <w:spacing w:before="20"/>
              <w:jc w:val="right"/>
              <w:rPr>
                <w:rFonts w:ascii="Arial" w:hAnsi="Arial" w:cs="Arial"/>
                <w:b/>
              </w:rPr>
            </w:pPr>
            <w:r w:rsidRPr="00271E01">
              <w:rPr>
                <w:rFonts w:ascii="Arial" w:hAnsi="Arial" w:cs="Arial"/>
                <w:b/>
              </w:rPr>
              <w:t>7.3%</w:t>
            </w:r>
          </w:p>
        </w:tc>
        <w:tc>
          <w:tcPr>
            <w:tcW w:w="1274" w:type="dxa"/>
            <w:tcBorders>
              <w:top w:val="single" w:sz="4" w:space="0" w:color="auto"/>
              <w:bottom w:val="single" w:sz="4" w:space="0" w:color="auto"/>
            </w:tcBorders>
          </w:tcPr>
          <w:p w:rsidR="00616A26" w:rsidRPr="00271E01" w:rsidRDefault="00616A26" w:rsidP="00C659A8">
            <w:pPr>
              <w:spacing w:before="20"/>
              <w:jc w:val="right"/>
              <w:rPr>
                <w:rFonts w:ascii="Arial" w:hAnsi="Arial" w:cs="Arial"/>
                <w:b/>
              </w:rPr>
            </w:pPr>
            <w:r w:rsidRPr="00271E01">
              <w:rPr>
                <w:rFonts w:ascii="Arial" w:hAnsi="Arial" w:cs="Arial"/>
                <w:b/>
              </w:rPr>
              <w:t>9.3%</w:t>
            </w:r>
          </w:p>
        </w:tc>
      </w:tr>
      <w:tr w:rsidR="00616A26" w:rsidRPr="00271E01" w:rsidTr="009618C2">
        <w:trPr>
          <w:trHeight w:hRule="exact" w:val="437"/>
        </w:trPr>
        <w:tc>
          <w:tcPr>
            <w:tcW w:w="2376" w:type="dxa"/>
            <w:tcBorders>
              <w:top w:val="single" w:sz="4" w:space="0" w:color="auto"/>
              <w:bottom w:val="single" w:sz="4" w:space="0" w:color="auto"/>
            </w:tcBorders>
          </w:tcPr>
          <w:p w:rsidR="00616A26" w:rsidRPr="00271E01" w:rsidRDefault="00616A26" w:rsidP="00C659A8">
            <w:pPr>
              <w:spacing w:before="100"/>
              <w:rPr>
                <w:rFonts w:ascii="Arial" w:hAnsi="Arial" w:cs="Arial"/>
                <w:b/>
              </w:rPr>
            </w:pPr>
            <w:r w:rsidRPr="00271E01">
              <w:rPr>
                <w:rFonts w:ascii="Arial" w:hAnsi="Arial" w:cs="Arial"/>
                <w:b/>
              </w:rPr>
              <w:t>Total Group</w:t>
            </w:r>
          </w:p>
        </w:tc>
        <w:tc>
          <w:tcPr>
            <w:tcW w:w="1134" w:type="dxa"/>
            <w:tcBorders>
              <w:top w:val="single" w:sz="4" w:space="0" w:color="auto"/>
              <w:bottom w:val="single" w:sz="4" w:space="0" w:color="auto"/>
            </w:tcBorders>
          </w:tcPr>
          <w:p w:rsidR="00616A26" w:rsidRPr="00271E01" w:rsidRDefault="00616A26" w:rsidP="00C659A8">
            <w:pPr>
              <w:spacing w:before="100"/>
              <w:jc w:val="right"/>
              <w:rPr>
                <w:rFonts w:ascii="Arial" w:hAnsi="Arial" w:cs="Arial"/>
                <w:b/>
              </w:rPr>
            </w:pPr>
            <w:r w:rsidRPr="00271E01">
              <w:rPr>
                <w:rFonts w:ascii="Arial" w:hAnsi="Arial" w:cs="Arial"/>
                <w:b/>
              </w:rPr>
              <w:t>781</w:t>
            </w:r>
          </w:p>
        </w:tc>
        <w:tc>
          <w:tcPr>
            <w:tcW w:w="1276" w:type="dxa"/>
            <w:tcBorders>
              <w:top w:val="single" w:sz="4" w:space="0" w:color="auto"/>
              <w:bottom w:val="single" w:sz="4" w:space="0" w:color="auto"/>
            </w:tcBorders>
          </w:tcPr>
          <w:p w:rsidR="00616A26" w:rsidRPr="00271E01" w:rsidRDefault="00616A26" w:rsidP="00C659A8">
            <w:pPr>
              <w:spacing w:before="100"/>
              <w:jc w:val="right"/>
              <w:rPr>
                <w:rFonts w:ascii="Arial" w:hAnsi="Arial" w:cs="Arial"/>
                <w:b/>
              </w:rPr>
            </w:pPr>
            <w:r w:rsidRPr="00271E01">
              <w:rPr>
                <w:rFonts w:ascii="Arial" w:hAnsi="Arial" w:cs="Arial"/>
                <w:b/>
              </w:rPr>
              <w:t>(11.4)%</w:t>
            </w:r>
          </w:p>
        </w:tc>
        <w:tc>
          <w:tcPr>
            <w:tcW w:w="1276" w:type="dxa"/>
            <w:tcBorders>
              <w:top w:val="single" w:sz="4" w:space="0" w:color="auto"/>
              <w:bottom w:val="single" w:sz="4" w:space="0" w:color="auto"/>
            </w:tcBorders>
          </w:tcPr>
          <w:p w:rsidR="00616A26" w:rsidRPr="00271E01" w:rsidRDefault="00616A26" w:rsidP="00C659A8">
            <w:pPr>
              <w:spacing w:before="100"/>
              <w:jc w:val="right"/>
              <w:rPr>
                <w:rFonts w:ascii="Arial" w:hAnsi="Arial" w:cs="Arial"/>
                <w:b/>
              </w:rPr>
            </w:pPr>
            <w:r w:rsidRPr="00271E01">
              <w:rPr>
                <w:rFonts w:ascii="Arial" w:hAnsi="Arial" w:cs="Arial"/>
                <w:b/>
              </w:rPr>
              <w:t>(7.3)%</w:t>
            </w:r>
          </w:p>
        </w:tc>
        <w:tc>
          <w:tcPr>
            <w:tcW w:w="1276" w:type="dxa"/>
            <w:tcBorders>
              <w:top w:val="single" w:sz="4" w:space="0" w:color="auto"/>
              <w:bottom w:val="single" w:sz="4" w:space="0" w:color="auto"/>
            </w:tcBorders>
          </w:tcPr>
          <w:p w:rsidR="00616A26" w:rsidRPr="00271E01" w:rsidRDefault="00616A26" w:rsidP="00C659A8">
            <w:pPr>
              <w:spacing w:before="100"/>
              <w:jc w:val="right"/>
              <w:rPr>
                <w:rFonts w:ascii="Arial" w:hAnsi="Arial" w:cs="Arial"/>
                <w:b/>
              </w:rPr>
            </w:pPr>
            <w:r w:rsidRPr="00271E01">
              <w:rPr>
                <w:rFonts w:ascii="Arial" w:hAnsi="Arial" w:cs="Arial"/>
                <w:b/>
              </w:rPr>
              <w:t>7.4%</w:t>
            </w:r>
          </w:p>
        </w:tc>
        <w:tc>
          <w:tcPr>
            <w:tcW w:w="1274" w:type="dxa"/>
            <w:tcBorders>
              <w:top w:val="single" w:sz="4" w:space="0" w:color="auto"/>
              <w:bottom w:val="single" w:sz="4" w:space="0" w:color="auto"/>
            </w:tcBorders>
          </w:tcPr>
          <w:p w:rsidR="00616A26" w:rsidRPr="00271E01" w:rsidRDefault="00616A26" w:rsidP="00C659A8">
            <w:pPr>
              <w:spacing w:before="100"/>
              <w:jc w:val="right"/>
              <w:rPr>
                <w:rFonts w:ascii="Arial" w:hAnsi="Arial" w:cs="Arial"/>
                <w:b/>
              </w:rPr>
            </w:pPr>
            <w:r w:rsidRPr="00271E01">
              <w:rPr>
                <w:rFonts w:ascii="Arial" w:hAnsi="Arial" w:cs="Arial"/>
                <w:b/>
              </w:rPr>
              <w:t>8.1%</w:t>
            </w:r>
          </w:p>
        </w:tc>
      </w:tr>
    </w:tbl>
    <w:p w:rsidR="00616A26" w:rsidRPr="00D97E00" w:rsidRDefault="00616A26" w:rsidP="00616A26">
      <w:pPr>
        <w:jc w:val="left"/>
        <w:rPr>
          <w:rFonts w:ascii="Arial" w:hAnsi="Arial" w:cs="Arial"/>
          <w:i/>
          <w:sz w:val="18"/>
          <w:szCs w:val="18"/>
        </w:rPr>
      </w:pPr>
    </w:p>
    <w:p w:rsidR="00AA4425" w:rsidRDefault="00AA4425" w:rsidP="00AA4425">
      <w:pPr>
        <w:tabs>
          <w:tab w:val="left" w:pos="357"/>
        </w:tabs>
        <w:ind w:right="-282"/>
        <w:jc w:val="left"/>
        <w:rPr>
          <w:rFonts w:ascii="Arial" w:hAnsi="Arial" w:cs="Arial"/>
          <w:i/>
          <w:iCs/>
          <w:sz w:val="18"/>
          <w:szCs w:val="18"/>
        </w:rPr>
      </w:pPr>
      <w:r>
        <w:rPr>
          <w:rFonts w:ascii="Arial" w:hAnsi="Arial" w:cs="Arial"/>
          <w:i/>
          <w:iCs/>
          <w:sz w:val="18"/>
          <w:szCs w:val="18"/>
          <w:vertAlign w:val="superscript"/>
        </w:rPr>
        <w:t>(1</w:t>
      </w:r>
      <w:r w:rsidRPr="00D97E00">
        <w:rPr>
          <w:rFonts w:ascii="Arial" w:hAnsi="Arial" w:cs="Arial"/>
          <w:i/>
          <w:iCs/>
          <w:sz w:val="18"/>
          <w:szCs w:val="18"/>
          <w:vertAlign w:val="superscript"/>
        </w:rPr>
        <w:t>)</w:t>
      </w:r>
      <w:r w:rsidR="00D23E19" w:rsidRPr="00D23E19">
        <w:rPr>
          <w:rFonts w:ascii="Arial" w:hAnsi="Arial" w:cs="Arial"/>
          <w:i/>
          <w:iCs/>
          <w:sz w:val="18"/>
          <w:szCs w:val="18"/>
        </w:rPr>
        <w:t xml:space="preserve"> </w:t>
      </w:r>
      <w:r w:rsidR="00D23E19" w:rsidRPr="00DB7164">
        <w:rPr>
          <w:rFonts w:ascii="Arial" w:hAnsi="Arial" w:cs="Arial"/>
          <w:i/>
          <w:iCs/>
          <w:sz w:val="18"/>
          <w:szCs w:val="18"/>
        </w:rPr>
        <w:t>Joint Venture (</w:t>
      </w:r>
      <w:proofErr w:type="spellStart"/>
      <w:r w:rsidR="00D23E19" w:rsidRPr="00DB7164">
        <w:rPr>
          <w:rFonts w:ascii="Arial" w:hAnsi="Arial" w:cs="Arial"/>
          <w:i/>
          <w:iCs/>
          <w:sz w:val="18"/>
          <w:szCs w:val="18"/>
        </w:rPr>
        <w:t>Koçtaş</w:t>
      </w:r>
      <w:proofErr w:type="spellEnd"/>
      <w:r w:rsidR="00D23E19" w:rsidRPr="00DB7164">
        <w:rPr>
          <w:rFonts w:ascii="Arial" w:hAnsi="Arial" w:cs="Arial"/>
          <w:i/>
          <w:iCs/>
          <w:sz w:val="18"/>
          <w:szCs w:val="18"/>
        </w:rPr>
        <w:t xml:space="preserve"> JV) and Associate (</w:t>
      </w:r>
      <w:proofErr w:type="spellStart"/>
      <w:r w:rsidR="00D23E19" w:rsidRPr="00DB7164">
        <w:rPr>
          <w:rFonts w:ascii="Arial" w:hAnsi="Arial" w:cs="Arial"/>
          <w:i/>
          <w:iCs/>
          <w:sz w:val="18"/>
          <w:szCs w:val="18"/>
        </w:rPr>
        <w:t>Horn</w:t>
      </w:r>
      <w:r w:rsidR="00D23E19">
        <w:rPr>
          <w:rFonts w:ascii="Arial" w:hAnsi="Arial" w:cs="Arial"/>
          <w:i/>
          <w:iCs/>
          <w:sz w:val="18"/>
          <w:szCs w:val="18"/>
        </w:rPr>
        <w:t>bach</w:t>
      </w:r>
      <w:proofErr w:type="spellEnd"/>
      <w:r w:rsidR="00D23E19">
        <w:rPr>
          <w:rFonts w:ascii="Arial" w:hAnsi="Arial" w:cs="Arial"/>
          <w:i/>
          <w:iCs/>
          <w:sz w:val="18"/>
          <w:szCs w:val="18"/>
        </w:rPr>
        <w:t>) sales are not consolidate</w:t>
      </w:r>
      <w:r w:rsidR="008A41F7">
        <w:rPr>
          <w:rFonts w:ascii="Arial" w:hAnsi="Arial" w:cs="Arial"/>
          <w:i/>
          <w:iCs/>
          <w:sz w:val="18"/>
          <w:szCs w:val="18"/>
        </w:rPr>
        <w:t>d</w:t>
      </w:r>
      <w:r w:rsidR="00D23E19">
        <w:rPr>
          <w:rFonts w:ascii="Arial" w:hAnsi="Arial" w:cs="Arial"/>
          <w:i/>
          <w:iCs/>
          <w:sz w:val="18"/>
          <w:szCs w:val="18"/>
        </w:rPr>
        <w:t xml:space="preserve"> therefore not applicable. </w:t>
      </w:r>
    </w:p>
    <w:p w:rsidR="00AA4425" w:rsidRPr="00FF400E" w:rsidRDefault="00AA4425" w:rsidP="00616A26">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1418"/>
        <w:gridCol w:w="1417"/>
      </w:tblGrid>
      <w:tr w:rsidR="00616A26" w:rsidRPr="00616A26" w:rsidTr="00C82F88">
        <w:trPr>
          <w:trHeight w:val="317"/>
        </w:trPr>
        <w:tc>
          <w:tcPr>
            <w:tcW w:w="8613" w:type="dxa"/>
            <w:gridSpan w:val="3"/>
            <w:tcBorders>
              <w:bottom w:val="single" w:sz="4" w:space="0" w:color="auto"/>
            </w:tcBorders>
          </w:tcPr>
          <w:p w:rsidR="00616A26" w:rsidRPr="00C82F88" w:rsidRDefault="00616A26" w:rsidP="00C659A8">
            <w:pPr>
              <w:spacing w:before="40"/>
              <w:jc w:val="left"/>
              <w:rPr>
                <w:rFonts w:ascii="Arial" w:hAnsi="Arial" w:cs="Arial"/>
                <w:b/>
                <w:sz w:val="22"/>
                <w:szCs w:val="22"/>
              </w:rPr>
            </w:pPr>
            <w:r w:rsidRPr="00C82F88">
              <w:rPr>
                <w:rFonts w:ascii="Arial" w:hAnsi="Arial" w:cs="Arial"/>
                <w:b/>
                <w:sz w:val="22"/>
                <w:szCs w:val="22"/>
              </w:rPr>
              <w:t xml:space="preserve">Yearly average FX rates </w:t>
            </w:r>
            <w:proofErr w:type="spellStart"/>
            <w:r w:rsidRPr="00C82F88">
              <w:rPr>
                <w:rFonts w:ascii="Arial" w:hAnsi="Arial" w:cs="Arial"/>
                <w:b/>
                <w:sz w:val="22"/>
                <w:szCs w:val="22"/>
              </w:rPr>
              <w:t>vs</w:t>
            </w:r>
            <w:proofErr w:type="spellEnd"/>
            <w:r w:rsidRPr="00C82F88">
              <w:rPr>
                <w:rFonts w:ascii="Arial" w:hAnsi="Arial" w:cs="Arial"/>
                <w:b/>
                <w:sz w:val="22"/>
                <w:szCs w:val="22"/>
              </w:rPr>
              <w:t xml:space="preserve"> </w:t>
            </w:r>
            <w:r w:rsidR="00E90F78" w:rsidRPr="00C82F88">
              <w:rPr>
                <w:rFonts w:ascii="Arial" w:hAnsi="Arial" w:cs="Arial"/>
                <w:b/>
                <w:sz w:val="22"/>
                <w:szCs w:val="22"/>
              </w:rPr>
              <w:t>£</w:t>
            </w:r>
            <w:r w:rsidRPr="00C82F88">
              <w:rPr>
                <w:rFonts w:ascii="Arial" w:hAnsi="Arial" w:cs="Arial"/>
                <w:b/>
                <w:sz w:val="22"/>
                <w:szCs w:val="22"/>
              </w:rPr>
              <w:t xml:space="preserve"> Sterling</w:t>
            </w:r>
          </w:p>
        </w:tc>
      </w:tr>
      <w:tr w:rsidR="00616A26" w:rsidRPr="00616A26" w:rsidTr="00C82F88">
        <w:trPr>
          <w:trHeight w:val="317"/>
        </w:trPr>
        <w:tc>
          <w:tcPr>
            <w:tcW w:w="5778" w:type="dxa"/>
            <w:tcBorders>
              <w:top w:val="single" w:sz="4" w:space="0" w:color="auto"/>
              <w:bottom w:val="single" w:sz="4" w:space="0" w:color="auto"/>
            </w:tcBorders>
          </w:tcPr>
          <w:p w:rsidR="00616A26" w:rsidRPr="00C82F88" w:rsidRDefault="00616A26" w:rsidP="00C659A8">
            <w:pPr>
              <w:spacing w:before="60"/>
              <w:rPr>
                <w:rFonts w:ascii="Arial" w:hAnsi="Arial" w:cs="Arial"/>
                <w:b/>
                <w:sz w:val="22"/>
                <w:szCs w:val="22"/>
              </w:rPr>
            </w:pPr>
          </w:p>
        </w:tc>
        <w:tc>
          <w:tcPr>
            <w:tcW w:w="1418" w:type="dxa"/>
            <w:tcBorders>
              <w:top w:val="single" w:sz="4" w:space="0" w:color="auto"/>
              <w:bottom w:val="single" w:sz="4" w:space="0" w:color="auto"/>
            </w:tcBorders>
          </w:tcPr>
          <w:p w:rsidR="00616A26" w:rsidRPr="00C82F88" w:rsidRDefault="00616A26" w:rsidP="00C659A8">
            <w:pPr>
              <w:spacing w:before="60"/>
              <w:jc w:val="right"/>
              <w:rPr>
                <w:rFonts w:ascii="Arial" w:hAnsi="Arial" w:cs="Arial"/>
                <w:b/>
                <w:sz w:val="22"/>
                <w:szCs w:val="22"/>
              </w:rPr>
            </w:pPr>
            <w:r w:rsidRPr="00C82F88">
              <w:rPr>
                <w:rFonts w:ascii="Arial" w:hAnsi="Arial" w:cs="Arial"/>
                <w:b/>
                <w:sz w:val="22"/>
                <w:szCs w:val="22"/>
              </w:rPr>
              <w:t>2012/13</w:t>
            </w:r>
          </w:p>
        </w:tc>
        <w:tc>
          <w:tcPr>
            <w:tcW w:w="1417" w:type="dxa"/>
            <w:tcBorders>
              <w:top w:val="single" w:sz="4" w:space="0" w:color="auto"/>
              <w:bottom w:val="single" w:sz="4" w:space="0" w:color="auto"/>
            </w:tcBorders>
          </w:tcPr>
          <w:p w:rsidR="00616A26" w:rsidRPr="00C82F88" w:rsidRDefault="00616A26" w:rsidP="00C659A8">
            <w:pPr>
              <w:spacing w:before="60"/>
              <w:jc w:val="right"/>
              <w:rPr>
                <w:rFonts w:ascii="Arial" w:hAnsi="Arial" w:cs="Arial"/>
                <w:b/>
                <w:sz w:val="22"/>
                <w:szCs w:val="22"/>
              </w:rPr>
            </w:pPr>
            <w:r w:rsidRPr="00C82F88">
              <w:rPr>
                <w:rFonts w:ascii="Arial" w:hAnsi="Arial" w:cs="Arial"/>
                <w:b/>
                <w:sz w:val="22"/>
                <w:szCs w:val="22"/>
              </w:rPr>
              <w:t xml:space="preserve">2011/12 </w:t>
            </w:r>
          </w:p>
        </w:tc>
      </w:tr>
      <w:tr w:rsidR="00616A26" w:rsidRPr="00616A26" w:rsidTr="00C82F88">
        <w:tc>
          <w:tcPr>
            <w:tcW w:w="5778" w:type="dxa"/>
            <w:tcBorders>
              <w:top w:val="single" w:sz="4" w:space="0" w:color="auto"/>
            </w:tcBorders>
          </w:tcPr>
          <w:p w:rsidR="00616A26" w:rsidRPr="00C82F88" w:rsidRDefault="00616A26" w:rsidP="00C659A8">
            <w:pPr>
              <w:spacing w:before="60"/>
              <w:rPr>
                <w:rFonts w:ascii="Arial" w:hAnsi="Arial" w:cs="Arial"/>
                <w:sz w:val="22"/>
                <w:szCs w:val="22"/>
              </w:rPr>
            </w:pPr>
            <w:r w:rsidRPr="00C82F88">
              <w:rPr>
                <w:rFonts w:ascii="Arial" w:hAnsi="Arial" w:cs="Arial"/>
                <w:sz w:val="22"/>
                <w:szCs w:val="22"/>
              </w:rPr>
              <w:t>Euro</w:t>
            </w:r>
          </w:p>
        </w:tc>
        <w:tc>
          <w:tcPr>
            <w:tcW w:w="1418" w:type="dxa"/>
            <w:tcBorders>
              <w:top w:val="single" w:sz="4" w:space="0" w:color="auto"/>
            </w:tcBorders>
          </w:tcPr>
          <w:p w:rsidR="00616A26" w:rsidRPr="00C82F88" w:rsidRDefault="00616A26" w:rsidP="00C659A8">
            <w:pPr>
              <w:spacing w:before="60"/>
              <w:jc w:val="right"/>
              <w:rPr>
                <w:rFonts w:ascii="Arial" w:hAnsi="Arial" w:cs="Arial"/>
                <w:sz w:val="22"/>
                <w:szCs w:val="22"/>
              </w:rPr>
            </w:pPr>
            <w:r w:rsidRPr="00C82F88">
              <w:rPr>
                <w:rFonts w:ascii="Arial" w:hAnsi="Arial" w:cs="Arial"/>
                <w:sz w:val="22"/>
                <w:szCs w:val="22"/>
              </w:rPr>
              <w:t>1.23</w:t>
            </w:r>
          </w:p>
        </w:tc>
        <w:tc>
          <w:tcPr>
            <w:tcW w:w="1417" w:type="dxa"/>
            <w:tcBorders>
              <w:top w:val="single" w:sz="4" w:space="0" w:color="auto"/>
            </w:tcBorders>
          </w:tcPr>
          <w:p w:rsidR="00616A26" w:rsidRPr="00C82F88" w:rsidRDefault="00616A26" w:rsidP="00C659A8">
            <w:pPr>
              <w:spacing w:before="60"/>
              <w:jc w:val="right"/>
              <w:rPr>
                <w:rFonts w:ascii="Arial" w:hAnsi="Arial" w:cs="Arial"/>
                <w:sz w:val="22"/>
                <w:szCs w:val="22"/>
              </w:rPr>
            </w:pPr>
            <w:r w:rsidRPr="00C82F88">
              <w:rPr>
                <w:rFonts w:ascii="Arial" w:hAnsi="Arial" w:cs="Arial"/>
                <w:sz w:val="22"/>
                <w:szCs w:val="22"/>
              </w:rPr>
              <w:t>1.15</w:t>
            </w:r>
          </w:p>
        </w:tc>
      </w:tr>
      <w:tr w:rsidR="00616A26" w:rsidRPr="00616A26" w:rsidTr="00C82F88">
        <w:tc>
          <w:tcPr>
            <w:tcW w:w="5778" w:type="dxa"/>
          </w:tcPr>
          <w:p w:rsidR="00616A26" w:rsidRPr="00C82F88" w:rsidRDefault="00616A26" w:rsidP="00C659A8">
            <w:pPr>
              <w:rPr>
                <w:rFonts w:ascii="Arial" w:hAnsi="Arial" w:cs="Arial"/>
                <w:sz w:val="22"/>
                <w:szCs w:val="22"/>
              </w:rPr>
            </w:pPr>
            <w:r w:rsidRPr="00C82F88">
              <w:rPr>
                <w:rFonts w:ascii="Arial" w:hAnsi="Arial" w:cs="Arial"/>
                <w:sz w:val="22"/>
                <w:szCs w:val="22"/>
              </w:rPr>
              <w:t>Polish Zloty</w:t>
            </w:r>
          </w:p>
        </w:tc>
        <w:tc>
          <w:tcPr>
            <w:tcW w:w="1418" w:type="dxa"/>
          </w:tcPr>
          <w:p w:rsidR="00616A26" w:rsidRPr="00C82F88" w:rsidRDefault="00616A26" w:rsidP="00C659A8">
            <w:pPr>
              <w:jc w:val="right"/>
              <w:rPr>
                <w:rFonts w:ascii="Arial" w:hAnsi="Arial" w:cs="Arial"/>
                <w:sz w:val="22"/>
                <w:szCs w:val="22"/>
              </w:rPr>
            </w:pPr>
            <w:r w:rsidRPr="00C82F88">
              <w:rPr>
                <w:rFonts w:ascii="Arial" w:hAnsi="Arial" w:cs="Arial"/>
                <w:sz w:val="22"/>
                <w:szCs w:val="22"/>
              </w:rPr>
              <w:t>5.13</w:t>
            </w:r>
          </w:p>
        </w:tc>
        <w:tc>
          <w:tcPr>
            <w:tcW w:w="1417" w:type="dxa"/>
          </w:tcPr>
          <w:p w:rsidR="00616A26" w:rsidRPr="00C82F88" w:rsidRDefault="00616A26" w:rsidP="00C659A8">
            <w:pPr>
              <w:jc w:val="right"/>
              <w:rPr>
                <w:rFonts w:ascii="Arial" w:hAnsi="Arial" w:cs="Arial"/>
                <w:sz w:val="22"/>
                <w:szCs w:val="22"/>
              </w:rPr>
            </w:pPr>
            <w:r w:rsidRPr="00C82F88">
              <w:rPr>
                <w:rFonts w:ascii="Arial" w:hAnsi="Arial" w:cs="Arial"/>
                <w:sz w:val="22"/>
                <w:szCs w:val="22"/>
              </w:rPr>
              <w:t>4.80</w:t>
            </w:r>
          </w:p>
        </w:tc>
      </w:tr>
      <w:tr w:rsidR="00616A26" w:rsidRPr="00616A26" w:rsidTr="00C82F88">
        <w:tc>
          <w:tcPr>
            <w:tcW w:w="5778" w:type="dxa"/>
          </w:tcPr>
          <w:p w:rsidR="00616A26" w:rsidRPr="00C82F88" w:rsidRDefault="00616A26" w:rsidP="00C659A8">
            <w:pPr>
              <w:rPr>
                <w:rFonts w:ascii="Arial" w:hAnsi="Arial" w:cs="Arial"/>
                <w:sz w:val="22"/>
                <w:szCs w:val="22"/>
              </w:rPr>
            </w:pPr>
            <w:r w:rsidRPr="00C82F88">
              <w:rPr>
                <w:rFonts w:ascii="Arial" w:hAnsi="Arial" w:cs="Arial"/>
                <w:sz w:val="22"/>
                <w:szCs w:val="22"/>
              </w:rPr>
              <w:t xml:space="preserve">Chinese </w:t>
            </w:r>
            <w:proofErr w:type="spellStart"/>
            <w:r w:rsidRPr="00C82F88">
              <w:rPr>
                <w:rFonts w:ascii="Arial" w:hAnsi="Arial" w:cs="Arial"/>
                <w:sz w:val="22"/>
                <w:szCs w:val="22"/>
              </w:rPr>
              <w:t>Renminbi</w:t>
            </w:r>
            <w:proofErr w:type="spellEnd"/>
            <w:r w:rsidRPr="00C82F88">
              <w:rPr>
                <w:rFonts w:ascii="Arial" w:hAnsi="Arial" w:cs="Arial"/>
                <w:sz w:val="22"/>
                <w:szCs w:val="22"/>
              </w:rPr>
              <w:t xml:space="preserve"> </w:t>
            </w:r>
          </w:p>
        </w:tc>
        <w:tc>
          <w:tcPr>
            <w:tcW w:w="1418" w:type="dxa"/>
          </w:tcPr>
          <w:p w:rsidR="00616A26" w:rsidRPr="00C82F88" w:rsidRDefault="00616A26" w:rsidP="00C659A8">
            <w:pPr>
              <w:jc w:val="right"/>
              <w:rPr>
                <w:rFonts w:ascii="Arial" w:hAnsi="Arial" w:cs="Arial"/>
                <w:sz w:val="22"/>
                <w:szCs w:val="22"/>
              </w:rPr>
            </w:pPr>
            <w:r w:rsidRPr="00C82F88">
              <w:rPr>
                <w:rFonts w:ascii="Arial" w:hAnsi="Arial" w:cs="Arial"/>
                <w:sz w:val="22"/>
                <w:szCs w:val="22"/>
              </w:rPr>
              <w:t>10.01</w:t>
            </w:r>
          </w:p>
        </w:tc>
        <w:tc>
          <w:tcPr>
            <w:tcW w:w="1417" w:type="dxa"/>
          </w:tcPr>
          <w:p w:rsidR="00616A26" w:rsidRPr="00C82F88" w:rsidRDefault="00616A26" w:rsidP="00C659A8">
            <w:pPr>
              <w:jc w:val="right"/>
              <w:rPr>
                <w:rFonts w:ascii="Arial" w:hAnsi="Arial" w:cs="Arial"/>
                <w:sz w:val="22"/>
                <w:szCs w:val="22"/>
              </w:rPr>
            </w:pPr>
            <w:r w:rsidRPr="00C82F88">
              <w:rPr>
                <w:rFonts w:ascii="Arial" w:hAnsi="Arial" w:cs="Arial"/>
                <w:sz w:val="22"/>
                <w:szCs w:val="22"/>
              </w:rPr>
              <w:t>10.31</w:t>
            </w:r>
          </w:p>
        </w:tc>
      </w:tr>
      <w:tr w:rsidR="00616A26" w:rsidRPr="00616A26" w:rsidTr="00EC1FEB">
        <w:trPr>
          <w:trHeight w:val="80"/>
        </w:trPr>
        <w:tc>
          <w:tcPr>
            <w:tcW w:w="5778" w:type="dxa"/>
          </w:tcPr>
          <w:p w:rsidR="00616A26" w:rsidRPr="00C82F88" w:rsidRDefault="00616A26" w:rsidP="00C659A8">
            <w:pPr>
              <w:spacing w:after="20"/>
              <w:rPr>
                <w:rFonts w:ascii="Arial" w:hAnsi="Arial" w:cs="Arial"/>
                <w:sz w:val="22"/>
                <w:szCs w:val="22"/>
              </w:rPr>
            </w:pPr>
            <w:r w:rsidRPr="00C82F88">
              <w:rPr>
                <w:rFonts w:ascii="Arial" w:hAnsi="Arial" w:cs="Arial"/>
                <w:sz w:val="22"/>
                <w:szCs w:val="22"/>
              </w:rPr>
              <w:t xml:space="preserve">Russian Rouble </w:t>
            </w:r>
          </w:p>
        </w:tc>
        <w:tc>
          <w:tcPr>
            <w:tcW w:w="1418" w:type="dxa"/>
          </w:tcPr>
          <w:p w:rsidR="00616A26" w:rsidRPr="00C82F88" w:rsidRDefault="00616A26" w:rsidP="00C659A8">
            <w:pPr>
              <w:spacing w:after="20"/>
              <w:jc w:val="right"/>
              <w:rPr>
                <w:rFonts w:ascii="Arial" w:hAnsi="Arial" w:cs="Arial"/>
                <w:sz w:val="22"/>
                <w:szCs w:val="22"/>
              </w:rPr>
            </w:pPr>
            <w:r w:rsidRPr="00C82F88">
              <w:rPr>
                <w:rFonts w:ascii="Arial" w:hAnsi="Arial" w:cs="Arial"/>
                <w:sz w:val="22"/>
                <w:szCs w:val="22"/>
              </w:rPr>
              <w:t>49.17</w:t>
            </w:r>
          </w:p>
        </w:tc>
        <w:tc>
          <w:tcPr>
            <w:tcW w:w="1417" w:type="dxa"/>
          </w:tcPr>
          <w:p w:rsidR="00616A26" w:rsidRPr="00C82F88" w:rsidRDefault="00616A26" w:rsidP="00C659A8">
            <w:pPr>
              <w:spacing w:after="20"/>
              <w:jc w:val="right"/>
              <w:rPr>
                <w:rFonts w:ascii="Arial" w:hAnsi="Arial" w:cs="Arial"/>
                <w:sz w:val="22"/>
                <w:szCs w:val="22"/>
              </w:rPr>
            </w:pPr>
            <w:r w:rsidRPr="00C82F88">
              <w:rPr>
                <w:rFonts w:ascii="Arial" w:hAnsi="Arial" w:cs="Arial"/>
                <w:sz w:val="22"/>
                <w:szCs w:val="22"/>
              </w:rPr>
              <w:t>47.18</w:t>
            </w:r>
          </w:p>
        </w:tc>
      </w:tr>
      <w:tr w:rsidR="00FF046F" w:rsidRPr="00616A26" w:rsidTr="00C82F88">
        <w:trPr>
          <w:trHeight w:val="80"/>
        </w:trPr>
        <w:tc>
          <w:tcPr>
            <w:tcW w:w="5778" w:type="dxa"/>
            <w:tcBorders>
              <w:bottom w:val="single" w:sz="4" w:space="0" w:color="auto"/>
            </w:tcBorders>
          </w:tcPr>
          <w:p w:rsidR="00FF046F" w:rsidRPr="00EC1FEB" w:rsidRDefault="00FF046F" w:rsidP="00EC1FEB">
            <w:pPr>
              <w:rPr>
                <w:rFonts w:ascii="Arial" w:hAnsi="Arial" w:cs="Arial"/>
                <w:sz w:val="22"/>
                <w:szCs w:val="22"/>
              </w:rPr>
            </w:pPr>
            <w:r w:rsidRPr="00EC1FEB">
              <w:rPr>
                <w:rFonts w:ascii="Arial" w:hAnsi="Arial" w:cs="Arial"/>
                <w:sz w:val="22"/>
                <w:szCs w:val="22"/>
              </w:rPr>
              <w:t>Turkish Lira</w:t>
            </w:r>
          </w:p>
        </w:tc>
        <w:tc>
          <w:tcPr>
            <w:tcW w:w="1418" w:type="dxa"/>
            <w:tcBorders>
              <w:bottom w:val="single" w:sz="4" w:space="0" w:color="auto"/>
            </w:tcBorders>
          </w:tcPr>
          <w:p w:rsidR="00FF046F" w:rsidRPr="00EC1FEB" w:rsidRDefault="00FF046F" w:rsidP="00EC1FEB">
            <w:pPr>
              <w:jc w:val="right"/>
              <w:rPr>
                <w:rFonts w:ascii="Arial" w:hAnsi="Arial" w:cs="Arial"/>
                <w:sz w:val="22"/>
                <w:szCs w:val="22"/>
              </w:rPr>
            </w:pPr>
            <w:r>
              <w:rPr>
                <w:rFonts w:ascii="Arial" w:hAnsi="Arial" w:cs="Arial"/>
                <w:sz w:val="22"/>
                <w:szCs w:val="22"/>
              </w:rPr>
              <w:t>2.85</w:t>
            </w:r>
          </w:p>
        </w:tc>
        <w:tc>
          <w:tcPr>
            <w:tcW w:w="1417" w:type="dxa"/>
            <w:tcBorders>
              <w:bottom w:val="single" w:sz="4" w:space="0" w:color="auto"/>
            </w:tcBorders>
          </w:tcPr>
          <w:p w:rsidR="00FF046F" w:rsidRPr="00EC1FEB" w:rsidRDefault="00FF046F" w:rsidP="00EC1FEB">
            <w:pPr>
              <w:jc w:val="right"/>
              <w:rPr>
                <w:rFonts w:ascii="Arial" w:hAnsi="Arial" w:cs="Arial"/>
                <w:sz w:val="22"/>
                <w:szCs w:val="22"/>
              </w:rPr>
            </w:pPr>
            <w:r>
              <w:rPr>
                <w:rFonts w:ascii="Arial" w:hAnsi="Arial" w:cs="Arial"/>
                <w:sz w:val="22"/>
                <w:szCs w:val="22"/>
              </w:rPr>
              <w:t>2.72</w:t>
            </w:r>
          </w:p>
        </w:tc>
      </w:tr>
    </w:tbl>
    <w:p w:rsidR="00CB7720" w:rsidRDefault="00CB7720" w:rsidP="00CF0A43">
      <w:pPr>
        <w:jc w:val="left"/>
        <w:rPr>
          <w:rFonts w:ascii="Arial" w:hAnsi="Arial" w:cs="Arial"/>
          <w:b/>
          <w:bCs/>
        </w:rPr>
      </w:pPr>
    </w:p>
    <w:p w:rsidR="00FC3ECC" w:rsidRPr="0075630B" w:rsidRDefault="00B940B7" w:rsidP="001B3B55">
      <w:pPr>
        <w:jc w:val="left"/>
        <w:rPr>
          <w:rFonts w:ascii="Arial" w:hAnsi="Arial" w:cs="Arial"/>
          <w:b/>
          <w:bCs/>
          <w:sz w:val="24"/>
          <w:szCs w:val="24"/>
        </w:rPr>
      </w:pPr>
      <w:r w:rsidRPr="0006717E">
        <w:rPr>
          <w:rFonts w:ascii="Arial" w:hAnsi="Arial" w:cs="Arial"/>
          <w:b/>
          <w:bCs/>
          <w:color w:val="FF0000"/>
          <w:sz w:val="24"/>
          <w:szCs w:val="24"/>
        </w:rPr>
        <w:br w:type="page"/>
      </w:r>
      <w:r w:rsidR="00FC3ECC" w:rsidRPr="0075630B">
        <w:rPr>
          <w:rFonts w:ascii="Arial" w:hAnsi="Arial" w:cs="Arial"/>
          <w:b/>
          <w:bCs/>
          <w:sz w:val="24"/>
          <w:szCs w:val="24"/>
        </w:rPr>
        <w:t xml:space="preserve">Section </w:t>
      </w:r>
      <w:r w:rsidR="00995BF9" w:rsidRPr="0075630B">
        <w:rPr>
          <w:rFonts w:ascii="Arial" w:hAnsi="Arial" w:cs="Arial"/>
          <w:b/>
          <w:bCs/>
          <w:sz w:val="24"/>
          <w:szCs w:val="24"/>
        </w:rPr>
        <w:t>4</w:t>
      </w:r>
    </w:p>
    <w:p w:rsidR="001B3B55" w:rsidRPr="006C0679" w:rsidRDefault="00FC3ECC" w:rsidP="001B3B55">
      <w:pPr>
        <w:jc w:val="left"/>
        <w:rPr>
          <w:rFonts w:ascii="Arial" w:hAnsi="Arial" w:cs="Arial"/>
          <w:sz w:val="24"/>
          <w:szCs w:val="24"/>
        </w:rPr>
      </w:pPr>
      <w:r w:rsidRPr="006C0679">
        <w:rPr>
          <w:rFonts w:ascii="Arial" w:hAnsi="Arial" w:cs="Arial"/>
          <w:b/>
          <w:bCs/>
          <w:sz w:val="24"/>
          <w:szCs w:val="24"/>
        </w:rPr>
        <w:t>FINANCIAL REVIEW</w:t>
      </w:r>
    </w:p>
    <w:p w:rsidR="00C050BA" w:rsidRDefault="00C050BA" w:rsidP="003F45F2">
      <w:pPr>
        <w:tabs>
          <w:tab w:val="right" w:pos="9356"/>
        </w:tabs>
        <w:rPr>
          <w:rFonts w:ascii="Arial" w:hAnsi="Arial" w:cs="Arial"/>
          <w:b/>
          <w:color w:val="FF0000"/>
          <w:sz w:val="24"/>
          <w:szCs w:val="24"/>
        </w:rPr>
      </w:pPr>
    </w:p>
    <w:p w:rsidR="00C050BA" w:rsidRPr="00C82F88" w:rsidRDefault="00C050BA" w:rsidP="00C82F88">
      <w:pPr>
        <w:jc w:val="left"/>
        <w:rPr>
          <w:rFonts w:ascii="Arial" w:hAnsi="Arial" w:cs="Arial"/>
          <w:sz w:val="24"/>
          <w:szCs w:val="24"/>
        </w:rPr>
      </w:pPr>
      <w:r w:rsidRPr="00C82F88">
        <w:rPr>
          <w:rFonts w:ascii="Arial" w:hAnsi="Arial" w:cs="Arial" w:hint="eastAsia"/>
          <w:sz w:val="24"/>
          <w:szCs w:val="24"/>
        </w:rPr>
        <w:t>A summary of the reported financial results for the year ended 2 February 2013 is set out below:</w:t>
      </w:r>
    </w:p>
    <w:p w:rsidR="00C050BA" w:rsidRDefault="00C050BA" w:rsidP="00C050BA"/>
    <w:tbl>
      <w:tblPr>
        <w:tblStyle w:val="TableGrid"/>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74"/>
        <w:gridCol w:w="1277"/>
        <w:gridCol w:w="1157"/>
        <w:gridCol w:w="1547"/>
      </w:tblGrid>
      <w:tr w:rsidR="00C050BA" w:rsidRPr="00014F94" w:rsidTr="005F309B">
        <w:tc>
          <w:tcPr>
            <w:tcW w:w="2980" w:type="pct"/>
            <w:tcBorders>
              <w:bottom w:val="single" w:sz="4" w:space="0" w:color="auto"/>
            </w:tcBorders>
          </w:tcPr>
          <w:p w:rsidR="00C050BA" w:rsidRPr="00014F94" w:rsidRDefault="00C050BA" w:rsidP="005F309B">
            <w:pPr>
              <w:jc w:val="right"/>
              <w:rPr>
                <w:rFonts w:ascii="Arial" w:hAnsi="Arial" w:cs="Arial"/>
                <w:sz w:val="24"/>
                <w:szCs w:val="24"/>
              </w:rPr>
            </w:pPr>
          </w:p>
        </w:tc>
        <w:tc>
          <w:tcPr>
            <w:tcW w:w="648" w:type="pct"/>
            <w:tcBorders>
              <w:bottom w:val="single" w:sz="4" w:space="0" w:color="auto"/>
            </w:tcBorders>
          </w:tcPr>
          <w:p w:rsidR="00C050BA" w:rsidRPr="00FD6375" w:rsidRDefault="00C050BA" w:rsidP="005F309B">
            <w:pPr>
              <w:jc w:val="right"/>
              <w:rPr>
                <w:rFonts w:ascii="Arial" w:hAnsi="Arial" w:cs="Arial"/>
                <w:b/>
                <w:sz w:val="24"/>
                <w:szCs w:val="24"/>
              </w:rPr>
            </w:pPr>
            <w:r>
              <w:rPr>
                <w:rFonts w:ascii="Arial" w:hAnsi="Arial" w:cs="Arial"/>
                <w:b/>
                <w:sz w:val="24"/>
                <w:szCs w:val="24"/>
              </w:rPr>
              <w:t>2012/13</w:t>
            </w:r>
          </w:p>
          <w:p w:rsidR="00C050BA" w:rsidRPr="00FD6375" w:rsidRDefault="00C050BA" w:rsidP="005F309B">
            <w:pPr>
              <w:jc w:val="right"/>
              <w:rPr>
                <w:rFonts w:ascii="Arial" w:hAnsi="Arial" w:cs="Arial"/>
                <w:b/>
                <w:sz w:val="24"/>
                <w:szCs w:val="24"/>
              </w:rPr>
            </w:pPr>
            <w:r w:rsidRPr="00FD6375">
              <w:rPr>
                <w:rFonts w:ascii="Arial" w:hAnsi="Arial" w:cs="Arial"/>
                <w:b/>
                <w:sz w:val="24"/>
                <w:szCs w:val="24"/>
              </w:rPr>
              <w:t>£m</w:t>
            </w:r>
          </w:p>
        </w:tc>
        <w:tc>
          <w:tcPr>
            <w:tcW w:w="587" w:type="pct"/>
            <w:tcBorders>
              <w:bottom w:val="single" w:sz="4" w:space="0" w:color="auto"/>
            </w:tcBorders>
          </w:tcPr>
          <w:p w:rsidR="00C050BA" w:rsidRPr="00321490" w:rsidRDefault="00C050BA" w:rsidP="005F309B">
            <w:pPr>
              <w:jc w:val="right"/>
              <w:rPr>
                <w:rFonts w:ascii="Arial" w:hAnsi="Arial" w:cs="Arial"/>
                <w:sz w:val="24"/>
                <w:szCs w:val="24"/>
              </w:rPr>
            </w:pPr>
            <w:r w:rsidRPr="00321490">
              <w:rPr>
                <w:rFonts w:ascii="Arial" w:hAnsi="Arial" w:cs="Arial"/>
                <w:sz w:val="24"/>
                <w:szCs w:val="24"/>
              </w:rPr>
              <w:t>2011/12</w:t>
            </w:r>
          </w:p>
          <w:p w:rsidR="00C050BA" w:rsidRPr="00185E72" w:rsidRDefault="00C050BA" w:rsidP="005F309B">
            <w:pPr>
              <w:tabs>
                <w:tab w:val="center" w:pos="434"/>
                <w:tab w:val="right" w:pos="869"/>
              </w:tabs>
              <w:jc w:val="right"/>
              <w:rPr>
                <w:rFonts w:ascii="Arial" w:hAnsi="Arial" w:cs="Arial"/>
                <w:sz w:val="24"/>
                <w:szCs w:val="24"/>
              </w:rPr>
            </w:pPr>
            <w:r w:rsidRPr="00321490">
              <w:rPr>
                <w:rFonts w:ascii="Arial" w:hAnsi="Arial" w:cs="Arial"/>
                <w:sz w:val="24"/>
                <w:szCs w:val="24"/>
              </w:rPr>
              <w:t>£m</w:t>
            </w:r>
          </w:p>
        </w:tc>
        <w:tc>
          <w:tcPr>
            <w:tcW w:w="785" w:type="pct"/>
            <w:tcBorders>
              <w:bottom w:val="single" w:sz="4" w:space="0" w:color="auto"/>
            </w:tcBorders>
          </w:tcPr>
          <w:p w:rsidR="00C050BA" w:rsidRDefault="00C050BA" w:rsidP="005F309B">
            <w:pPr>
              <w:jc w:val="right"/>
              <w:rPr>
                <w:rFonts w:ascii="Arial" w:hAnsi="Arial" w:cs="Arial"/>
                <w:sz w:val="24"/>
                <w:szCs w:val="24"/>
              </w:rPr>
            </w:pPr>
            <w:r>
              <w:rPr>
                <w:rFonts w:ascii="Arial" w:hAnsi="Arial" w:cs="Arial"/>
                <w:sz w:val="24"/>
                <w:szCs w:val="24"/>
              </w:rPr>
              <w:t>(Decrease)</w:t>
            </w:r>
          </w:p>
          <w:p w:rsidR="00C050BA" w:rsidRPr="00014F94" w:rsidRDefault="00C050BA" w:rsidP="005F309B">
            <w:pPr>
              <w:jc w:val="right"/>
              <w:rPr>
                <w:rFonts w:ascii="Arial" w:hAnsi="Arial" w:cs="Arial"/>
                <w:sz w:val="24"/>
                <w:szCs w:val="24"/>
              </w:rPr>
            </w:pPr>
            <w:r>
              <w:rPr>
                <w:rFonts w:ascii="Arial" w:hAnsi="Arial" w:cs="Arial"/>
                <w:sz w:val="24"/>
                <w:szCs w:val="24"/>
              </w:rPr>
              <w:t>/</w:t>
            </w:r>
            <w:r w:rsidRPr="00014F94">
              <w:rPr>
                <w:rFonts w:ascii="Arial" w:hAnsi="Arial" w:cs="Arial"/>
                <w:sz w:val="24"/>
                <w:szCs w:val="24"/>
              </w:rPr>
              <w:t>Increase</w:t>
            </w:r>
          </w:p>
        </w:tc>
      </w:tr>
      <w:tr w:rsidR="00C050BA" w:rsidRPr="00014F94" w:rsidTr="005F309B">
        <w:trPr>
          <w:trHeight w:val="80"/>
        </w:trPr>
        <w:tc>
          <w:tcPr>
            <w:tcW w:w="2980" w:type="pct"/>
            <w:tcBorders>
              <w:top w:val="single" w:sz="4" w:space="0" w:color="auto"/>
            </w:tcBorders>
          </w:tcPr>
          <w:p w:rsidR="00C050BA" w:rsidRPr="00A0203D" w:rsidRDefault="00C050BA" w:rsidP="005F309B">
            <w:pPr>
              <w:rPr>
                <w:rFonts w:ascii="Arial" w:hAnsi="Arial" w:cs="Arial"/>
                <w:sz w:val="2"/>
                <w:szCs w:val="2"/>
              </w:rPr>
            </w:pPr>
          </w:p>
        </w:tc>
        <w:tc>
          <w:tcPr>
            <w:tcW w:w="648" w:type="pct"/>
            <w:tcBorders>
              <w:top w:val="single" w:sz="4" w:space="0" w:color="auto"/>
            </w:tcBorders>
          </w:tcPr>
          <w:p w:rsidR="00C050BA" w:rsidRPr="00A0203D" w:rsidRDefault="00C050BA" w:rsidP="005F309B">
            <w:pPr>
              <w:jc w:val="right"/>
              <w:rPr>
                <w:rFonts w:ascii="Arial" w:hAnsi="Arial" w:cs="Arial"/>
                <w:b/>
                <w:sz w:val="2"/>
                <w:szCs w:val="2"/>
              </w:rPr>
            </w:pPr>
          </w:p>
        </w:tc>
        <w:tc>
          <w:tcPr>
            <w:tcW w:w="587" w:type="pct"/>
            <w:tcBorders>
              <w:top w:val="single" w:sz="4" w:space="0" w:color="auto"/>
            </w:tcBorders>
          </w:tcPr>
          <w:p w:rsidR="00C050BA" w:rsidRPr="00185E72" w:rsidRDefault="00C050BA" w:rsidP="005F309B">
            <w:pPr>
              <w:jc w:val="right"/>
              <w:rPr>
                <w:rFonts w:ascii="Arial" w:hAnsi="Arial" w:cs="Arial"/>
                <w:sz w:val="2"/>
                <w:szCs w:val="2"/>
              </w:rPr>
            </w:pPr>
          </w:p>
        </w:tc>
        <w:tc>
          <w:tcPr>
            <w:tcW w:w="785" w:type="pct"/>
            <w:tcBorders>
              <w:top w:val="single" w:sz="4" w:space="0" w:color="auto"/>
            </w:tcBorders>
          </w:tcPr>
          <w:p w:rsidR="00C050BA" w:rsidRPr="00A0203D" w:rsidRDefault="00C050BA" w:rsidP="005F309B">
            <w:pPr>
              <w:jc w:val="right"/>
              <w:rPr>
                <w:rFonts w:ascii="Arial" w:hAnsi="Arial" w:cs="Arial"/>
                <w:sz w:val="2"/>
                <w:szCs w:val="2"/>
              </w:rPr>
            </w:pPr>
          </w:p>
        </w:tc>
      </w:tr>
      <w:tr w:rsidR="00C050BA" w:rsidRPr="00014F94" w:rsidTr="005F309B">
        <w:tc>
          <w:tcPr>
            <w:tcW w:w="2980" w:type="pct"/>
          </w:tcPr>
          <w:p w:rsidR="00C050BA" w:rsidRPr="00014F94" w:rsidRDefault="00C050BA" w:rsidP="00C82F88">
            <w:pPr>
              <w:jc w:val="left"/>
              <w:rPr>
                <w:rFonts w:ascii="Arial" w:hAnsi="Arial" w:cs="Arial"/>
                <w:sz w:val="24"/>
                <w:szCs w:val="24"/>
              </w:rPr>
            </w:pPr>
            <w:r>
              <w:rPr>
                <w:rFonts w:ascii="Arial" w:hAnsi="Arial" w:cs="Arial"/>
                <w:sz w:val="24"/>
                <w:szCs w:val="24"/>
              </w:rPr>
              <w:t>Sales</w:t>
            </w:r>
          </w:p>
        </w:tc>
        <w:tc>
          <w:tcPr>
            <w:tcW w:w="648" w:type="pct"/>
          </w:tcPr>
          <w:p w:rsidR="00C050BA" w:rsidRPr="00FD6375" w:rsidRDefault="00C050BA" w:rsidP="005F309B">
            <w:pPr>
              <w:jc w:val="right"/>
              <w:rPr>
                <w:rFonts w:ascii="Arial" w:hAnsi="Arial" w:cs="Arial"/>
                <w:b/>
                <w:sz w:val="24"/>
                <w:szCs w:val="24"/>
              </w:rPr>
            </w:pPr>
            <w:r>
              <w:rPr>
                <w:rFonts w:ascii="Arial" w:hAnsi="Arial" w:cs="Arial"/>
                <w:b/>
                <w:sz w:val="24"/>
                <w:szCs w:val="24"/>
              </w:rPr>
              <w:t>10,573</w:t>
            </w:r>
          </w:p>
        </w:tc>
        <w:tc>
          <w:tcPr>
            <w:tcW w:w="587" w:type="pct"/>
          </w:tcPr>
          <w:p w:rsidR="00C050BA" w:rsidRPr="00321490" w:rsidRDefault="00C050BA" w:rsidP="005F309B">
            <w:pPr>
              <w:jc w:val="right"/>
              <w:rPr>
                <w:rFonts w:ascii="Arial" w:hAnsi="Arial" w:cs="Arial"/>
                <w:sz w:val="24"/>
                <w:szCs w:val="24"/>
              </w:rPr>
            </w:pPr>
            <w:r>
              <w:rPr>
                <w:rFonts w:ascii="Arial" w:hAnsi="Arial" w:cs="Arial"/>
                <w:sz w:val="24"/>
                <w:szCs w:val="24"/>
              </w:rPr>
              <w:t>10,831</w:t>
            </w:r>
          </w:p>
        </w:tc>
        <w:tc>
          <w:tcPr>
            <w:tcW w:w="785" w:type="pct"/>
          </w:tcPr>
          <w:p w:rsidR="00C050BA" w:rsidRDefault="00C050BA" w:rsidP="005F309B">
            <w:pPr>
              <w:jc w:val="right"/>
              <w:rPr>
                <w:rFonts w:ascii="Arial" w:hAnsi="Arial" w:cs="Arial"/>
                <w:sz w:val="24"/>
                <w:szCs w:val="24"/>
              </w:rPr>
            </w:pPr>
            <w:r>
              <w:rPr>
                <w:rFonts w:ascii="Arial" w:hAnsi="Arial" w:cs="Arial"/>
                <w:sz w:val="24"/>
                <w:szCs w:val="24"/>
              </w:rPr>
              <w:t>(2.4)%</w:t>
            </w:r>
          </w:p>
        </w:tc>
      </w:tr>
      <w:tr w:rsidR="00C050BA" w:rsidRPr="00014F94" w:rsidTr="005F309B">
        <w:trPr>
          <w:trHeight w:hRule="exact" w:val="85"/>
        </w:trPr>
        <w:tc>
          <w:tcPr>
            <w:tcW w:w="2980" w:type="pct"/>
          </w:tcPr>
          <w:p w:rsidR="00C050BA" w:rsidRPr="00014F94" w:rsidRDefault="00C050BA" w:rsidP="00C82F88">
            <w:pPr>
              <w:jc w:val="left"/>
              <w:rPr>
                <w:rFonts w:ascii="Arial" w:hAnsi="Arial" w:cs="Arial"/>
                <w:sz w:val="24"/>
                <w:szCs w:val="24"/>
              </w:rPr>
            </w:pPr>
          </w:p>
        </w:tc>
        <w:tc>
          <w:tcPr>
            <w:tcW w:w="648" w:type="pct"/>
          </w:tcPr>
          <w:p w:rsidR="00C050BA" w:rsidRPr="00FD6375" w:rsidRDefault="00C050BA" w:rsidP="005F309B">
            <w:pPr>
              <w:jc w:val="right"/>
              <w:rPr>
                <w:rFonts w:ascii="Arial" w:hAnsi="Arial" w:cs="Arial"/>
                <w:b/>
                <w:sz w:val="24"/>
                <w:szCs w:val="24"/>
              </w:rPr>
            </w:pPr>
          </w:p>
        </w:tc>
        <w:tc>
          <w:tcPr>
            <w:tcW w:w="587" w:type="pct"/>
          </w:tcPr>
          <w:p w:rsidR="00C050BA" w:rsidRPr="00321490" w:rsidRDefault="00C050BA" w:rsidP="005F309B">
            <w:pPr>
              <w:jc w:val="right"/>
              <w:rPr>
                <w:rFonts w:ascii="Arial" w:hAnsi="Arial" w:cs="Arial"/>
                <w:sz w:val="24"/>
                <w:szCs w:val="24"/>
              </w:rPr>
            </w:pPr>
          </w:p>
        </w:tc>
        <w:tc>
          <w:tcPr>
            <w:tcW w:w="785" w:type="pct"/>
          </w:tcPr>
          <w:p w:rsidR="00C050BA" w:rsidRDefault="00C050BA" w:rsidP="005F309B">
            <w:pPr>
              <w:jc w:val="right"/>
              <w:rPr>
                <w:rFonts w:ascii="Arial" w:hAnsi="Arial" w:cs="Arial"/>
                <w:sz w:val="24"/>
                <w:szCs w:val="24"/>
              </w:rPr>
            </w:pPr>
          </w:p>
        </w:tc>
      </w:tr>
      <w:tr w:rsidR="00C050BA" w:rsidRPr="00014F94" w:rsidTr="005F309B">
        <w:tc>
          <w:tcPr>
            <w:tcW w:w="2980" w:type="pct"/>
          </w:tcPr>
          <w:p w:rsidR="00C050BA" w:rsidRPr="00014F94" w:rsidRDefault="00C050BA" w:rsidP="00C82F88">
            <w:pPr>
              <w:jc w:val="left"/>
              <w:rPr>
                <w:rFonts w:ascii="Arial" w:hAnsi="Arial" w:cs="Arial"/>
                <w:sz w:val="24"/>
                <w:szCs w:val="24"/>
              </w:rPr>
            </w:pPr>
            <w:r w:rsidRPr="00014F94">
              <w:rPr>
                <w:rFonts w:ascii="Arial" w:hAnsi="Arial" w:cs="Arial"/>
                <w:sz w:val="24"/>
                <w:szCs w:val="24"/>
              </w:rPr>
              <w:t xml:space="preserve">Adjusted pre-tax profit </w:t>
            </w:r>
          </w:p>
        </w:tc>
        <w:tc>
          <w:tcPr>
            <w:tcW w:w="648" w:type="pct"/>
          </w:tcPr>
          <w:p w:rsidR="00C050BA" w:rsidRPr="00FD6375" w:rsidRDefault="00753A3D" w:rsidP="005F309B">
            <w:pPr>
              <w:jc w:val="right"/>
              <w:rPr>
                <w:rFonts w:ascii="Arial" w:hAnsi="Arial" w:cs="Arial"/>
                <w:b/>
                <w:sz w:val="24"/>
                <w:szCs w:val="24"/>
              </w:rPr>
            </w:pPr>
            <w:r>
              <w:rPr>
                <w:rFonts w:ascii="Arial" w:hAnsi="Arial" w:cs="Arial"/>
                <w:b/>
                <w:sz w:val="24"/>
                <w:szCs w:val="24"/>
              </w:rPr>
              <w:t>715</w:t>
            </w:r>
          </w:p>
        </w:tc>
        <w:tc>
          <w:tcPr>
            <w:tcW w:w="587" w:type="pct"/>
          </w:tcPr>
          <w:p w:rsidR="00C050BA" w:rsidRPr="00321490" w:rsidRDefault="00753A3D" w:rsidP="005F309B">
            <w:pPr>
              <w:jc w:val="right"/>
              <w:rPr>
                <w:rFonts w:ascii="Arial" w:hAnsi="Arial" w:cs="Arial"/>
                <w:sz w:val="24"/>
                <w:szCs w:val="24"/>
              </w:rPr>
            </w:pPr>
            <w:r>
              <w:rPr>
                <w:rFonts w:ascii="Arial" w:hAnsi="Arial" w:cs="Arial"/>
                <w:sz w:val="24"/>
                <w:szCs w:val="24"/>
              </w:rPr>
              <w:t>807</w:t>
            </w:r>
          </w:p>
        </w:tc>
        <w:tc>
          <w:tcPr>
            <w:tcW w:w="785" w:type="pct"/>
          </w:tcPr>
          <w:p w:rsidR="00C050BA" w:rsidRDefault="00753A3D" w:rsidP="005F309B">
            <w:pPr>
              <w:jc w:val="right"/>
              <w:rPr>
                <w:rFonts w:ascii="Arial" w:hAnsi="Arial" w:cs="Arial"/>
                <w:sz w:val="24"/>
                <w:szCs w:val="24"/>
              </w:rPr>
            </w:pPr>
            <w:r>
              <w:rPr>
                <w:rFonts w:ascii="Arial" w:hAnsi="Arial" w:cs="Arial"/>
                <w:sz w:val="24"/>
                <w:szCs w:val="24"/>
              </w:rPr>
              <w:t>(11.4)%</w:t>
            </w:r>
          </w:p>
        </w:tc>
      </w:tr>
      <w:tr w:rsidR="00C050BA" w:rsidRPr="00014F94" w:rsidTr="005F309B">
        <w:trPr>
          <w:trHeight w:hRule="exact" w:val="85"/>
        </w:trPr>
        <w:tc>
          <w:tcPr>
            <w:tcW w:w="2980" w:type="pct"/>
          </w:tcPr>
          <w:p w:rsidR="00C050BA" w:rsidRPr="00014F94" w:rsidRDefault="00C050BA" w:rsidP="00C82F88">
            <w:pPr>
              <w:jc w:val="left"/>
              <w:rPr>
                <w:rFonts w:ascii="Arial" w:hAnsi="Arial" w:cs="Arial"/>
                <w:sz w:val="24"/>
                <w:szCs w:val="24"/>
              </w:rPr>
            </w:pPr>
          </w:p>
        </w:tc>
        <w:tc>
          <w:tcPr>
            <w:tcW w:w="648" w:type="pct"/>
          </w:tcPr>
          <w:p w:rsidR="00C050BA" w:rsidRPr="00FD6375" w:rsidRDefault="00C050BA" w:rsidP="005F309B">
            <w:pPr>
              <w:jc w:val="right"/>
              <w:rPr>
                <w:rFonts w:ascii="Arial" w:hAnsi="Arial" w:cs="Arial"/>
                <w:b/>
                <w:sz w:val="24"/>
                <w:szCs w:val="24"/>
              </w:rPr>
            </w:pPr>
          </w:p>
        </w:tc>
        <w:tc>
          <w:tcPr>
            <w:tcW w:w="587" w:type="pct"/>
          </w:tcPr>
          <w:p w:rsidR="00C050BA" w:rsidRPr="00321490" w:rsidRDefault="00C050BA" w:rsidP="005F309B">
            <w:pPr>
              <w:jc w:val="right"/>
              <w:rPr>
                <w:rFonts w:ascii="Arial" w:hAnsi="Arial" w:cs="Arial"/>
                <w:sz w:val="24"/>
                <w:szCs w:val="24"/>
              </w:rPr>
            </w:pPr>
          </w:p>
        </w:tc>
        <w:tc>
          <w:tcPr>
            <w:tcW w:w="785" w:type="pct"/>
          </w:tcPr>
          <w:p w:rsidR="00C050BA" w:rsidRDefault="00C050BA" w:rsidP="005F309B">
            <w:pPr>
              <w:jc w:val="right"/>
              <w:rPr>
                <w:rFonts w:ascii="Arial" w:hAnsi="Arial" w:cs="Arial"/>
                <w:sz w:val="24"/>
                <w:szCs w:val="24"/>
              </w:rPr>
            </w:pPr>
          </w:p>
        </w:tc>
      </w:tr>
      <w:tr w:rsidR="00C050BA" w:rsidRPr="00014F94" w:rsidTr="005F309B">
        <w:tc>
          <w:tcPr>
            <w:tcW w:w="2980" w:type="pct"/>
          </w:tcPr>
          <w:p w:rsidR="00C050BA" w:rsidRPr="00014F94" w:rsidRDefault="00C050BA" w:rsidP="00C82F88">
            <w:pPr>
              <w:jc w:val="left"/>
              <w:rPr>
                <w:rFonts w:ascii="Arial" w:hAnsi="Arial" w:cs="Arial"/>
                <w:sz w:val="24"/>
                <w:szCs w:val="24"/>
              </w:rPr>
            </w:pPr>
            <w:r w:rsidRPr="00014F94">
              <w:rPr>
                <w:rFonts w:ascii="Arial" w:hAnsi="Arial" w:cs="Arial"/>
                <w:sz w:val="24"/>
                <w:szCs w:val="24"/>
              </w:rPr>
              <w:t xml:space="preserve">Profit before taxation </w:t>
            </w:r>
            <w:r>
              <w:rPr>
                <w:rFonts w:ascii="Arial" w:hAnsi="Arial" w:cs="Arial"/>
                <w:sz w:val="24"/>
                <w:szCs w:val="24"/>
              </w:rPr>
              <w:t>after exceptional items</w:t>
            </w:r>
          </w:p>
        </w:tc>
        <w:tc>
          <w:tcPr>
            <w:tcW w:w="648" w:type="pct"/>
          </w:tcPr>
          <w:p w:rsidR="00C050BA" w:rsidRDefault="00753A3D" w:rsidP="005F309B">
            <w:pPr>
              <w:jc w:val="right"/>
              <w:rPr>
                <w:rFonts w:ascii="Arial" w:hAnsi="Arial" w:cs="Arial"/>
                <w:b/>
                <w:sz w:val="24"/>
                <w:szCs w:val="24"/>
              </w:rPr>
            </w:pPr>
            <w:r>
              <w:rPr>
                <w:rFonts w:ascii="Arial" w:hAnsi="Arial" w:cs="Arial"/>
                <w:b/>
                <w:sz w:val="24"/>
                <w:szCs w:val="24"/>
              </w:rPr>
              <w:t>691</w:t>
            </w:r>
          </w:p>
        </w:tc>
        <w:tc>
          <w:tcPr>
            <w:tcW w:w="587" w:type="pct"/>
          </w:tcPr>
          <w:p w:rsidR="00C050BA" w:rsidRPr="00321490" w:rsidRDefault="00753A3D" w:rsidP="005F309B">
            <w:pPr>
              <w:jc w:val="right"/>
              <w:rPr>
                <w:rFonts w:ascii="Arial" w:hAnsi="Arial" w:cs="Arial"/>
                <w:sz w:val="24"/>
                <w:szCs w:val="24"/>
              </w:rPr>
            </w:pPr>
            <w:r>
              <w:rPr>
                <w:rFonts w:ascii="Arial" w:hAnsi="Arial" w:cs="Arial"/>
                <w:sz w:val="24"/>
                <w:szCs w:val="24"/>
              </w:rPr>
              <w:t>797</w:t>
            </w:r>
          </w:p>
        </w:tc>
        <w:tc>
          <w:tcPr>
            <w:tcW w:w="785" w:type="pct"/>
          </w:tcPr>
          <w:p w:rsidR="00C050BA" w:rsidRDefault="00753A3D" w:rsidP="005F309B">
            <w:pPr>
              <w:jc w:val="right"/>
              <w:rPr>
                <w:rFonts w:ascii="Arial" w:hAnsi="Arial" w:cs="Arial"/>
                <w:sz w:val="24"/>
                <w:szCs w:val="24"/>
              </w:rPr>
            </w:pPr>
            <w:r>
              <w:rPr>
                <w:rFonts w:ascii="Arial" w:hAnsi="Arial" w:cs="Arial"/>
                <w:sz w:val="24"/>
                <w:szCs w:val="24"/>
              </w:rPr>
              <w:t>(13.3)%</w:t>
            </w:r>
          </w:p>
        </w:tc>
      </w:tr>
      <w:tr w:rsidR="00C050BA" w:rsidRPr="00014F94" w:rsidTr="005F309B">
        <w:trPr>
          <w:trHeight w:hRule="exact" w:val="85"/>
        </w:trPr>
        <w:tc>
          <w:tcPr>
            <w:tcW w:w="2980" w:type="pct"/>
          </w:tcPr>
          <w:p w:rsidR="00C050BA" w:rsidRPr="00014F94" w:rsidRDefault="00C050BA" w:rsidP="00C82F88">
            <w:pPr>
              <w:jc w:val="left"/>
              <w:rPr>
                <w:rFonts w:ascii="Arial" w:hAnsi="Arial" w:cs="Arial"/>
                <w:sz w:val="24"/>
                <w:szCs w:val="24"/>
              </w:rPr>
            </w:pPr>
          </w:p>
        </w:tc>
        <w:tc>
          <w:tcPr>
            <w:tcW w:w="648" w:type="pct"/>
          </w:tcPr>
          <w:p w:rsidR="00C050BA" w:rsidRPr="00FD6375" w:rsidRDefault="00C050BA" w:rsidP="005F309B">
            <w:pPr>
              <w:jc w:val="right"/>
              <w:rPr>
                <w:rFonts w:ascii="Arial" w:hAnsi="Arial" w:cs="Arial"/>
                <w:b/>
                <w:sz w:val="24"/>
                <w:szCs w:val="24"/>
              </w:rPr>
            </w:pPr>
          </w:p>
        </w:tc>
        <w:tc>
          <w:tcPr>
            <w:tcW w:w="587" w:type="pct"/>
          </w:tcPr>
          <w:p w:rsidR="00C050BA" w:rsidRPr="00321490" w:rsidRDefault="00C050BA" w:rsidP="005F309B">
            <w:pPr>
              <w:jc w:val="right"/>
              <w:rPr>
                <w:rFonts w:ascii="Arial" w:hAnsi="Arial" w:cs="Arial"/>
                <w:sz w:val="24"/>
                <w:szCs w:val="24"/>
              </w:rPr>
            </w:pPr>
          </w:p>
        </w:tc>
        <w:tc>
          <w:tcPr>
            <w:tcW w:w="785" w:type="pct"/>
          </w:tcPr>
          <w:p w:rsidR="00C050BA" w:rsidRDefault="00C050BA" w:rsidP="005F309B">
            <w:pPr>
              <w:jc w:val="right"/>
              <w:rPr>
                <w:rFonts w:ascii="Arial" w:hAnsi="Arial" w:cs="Arial"/>
                <w:sz w:val="24"/>
                <w:szCs w:val="24"/>
              </w:rPr>
            </w:pPr>
          </w:p>
        </w:tc>
      </w:tr>
      <w:tr w:rsidR="00C050BA" w:rsidRPr="00014F94" w:rsidTr="005F309B">
        <w:tc>
          <w:tcPr>
            <w:tcW w:w="2980" w:type="pct"/>
          </w:tcPr>
          <w:p w:rsidR="00C050BA" w:rsidRPr="00014F94" w:rsidRDefault="00C050BA" w:rsidP="00C82F88">
            <w:pPr>
              <w:jc w:val="left"/>
              <w:rPr>
                <w:rFonts w:ascii="Arial" w:hAnsi="Arial" w:cs="Arial"/>
                <w:sz w:val="24"/>
                <w:szCs w:val="24"/>
              </w:rPr>
            </w:pPr>
            <w:r w:rsidRPr="00014F94">
              <w:rPr>
                <w:rFonts w:ascii="Arial" w:hAnsi="Arial" w:cs="Arial"/>
                <w:sz w:val="24"/>
                <w:szCs w:val="24"/>
              </w:rPr>
              <w:t xml:space="preserve">Adjusted </w:t>
            </w:r>
            <w:r>
              <w:rPr>
                <w:rFonts w:ascii="Arial" w:hAnsi="Arial" w:cs="Arial"/>
                <w:sz w:val="24"/>
                <w:szCs w:val="24"/>
              </w:rPr>
              <w:t xml:space="preserve">basic </w:t>
            </w:r>
            <w:r w:rsidRPr="00014F94">
              <w:rPr>
                <w:rFonts w:ascii="Arial" w:hAnsi="Arial" w:cs="Arial"/>
                <w:sz w:val="24"/>
                <w:szCs w:val="24"/>
              </w:rPr>
              <w:t>earnings per share</w:t>
            </w:r>
            <w:r>
              <w:rPr>
                <w:rFonts w:ascii="Arial" w:hAnsi="Arial" w:cs="Arial"/>
                <w:sz w:val="24"/>
                <w:szCs w:val="24"/>
              </w:rPr>
              <w:t xml:space="preserve"> </w:t>
            </w:r>
          </w:p>
        </w:tc>
        <w:tc>
          <w:tcPr>
            <w:tcW w:w="648" w:type="pct"/>
          </w:tcPr>
          <w:p w:rsidR="00C050BA" w:rsidRPr="00FD6375" w:rsidRDefault="00753A3D" w:rsidP="005F309B">
            <w:pPr>
              <w:jc w:val="right"/>
              <w:rPr>
                <w:rFonts w:ascii="Arial" w:hAnsi="Arial" w:cs="Arial"/>
                <w:b/>
                <w:sz w:val="24"/>
                <w:szCs w:val="24"/>
              </w:rPr>
            </w:pPr>
            <w:r>
              <w:rPr>
                <w:rFonts w:ascii="Arial" w:hAnsi="Arial" w:cs="Arial"/>
                <w:b/>
                <w:sz w:val="24"/>
                <w:szCs w:val="24"/>
              </w:rPr>
              <w:t>22.3p</w:t>
            </w:r>
          </w:p>
        </w:tc>
        <w:tc>
          <w:tcPr>
            <w:tcW w:w="587" w:type="pct"/>
          </w:tcPr>
          <w:p w:rsidR="00C050BA" w:rsidRPr="00321490" w:rsidRDefault="00753A3D" w:rsidP="005F309B">
            <w:pPr>
              <w:jc w:val="right"/>
              <w:rPr>
                <w:rFonts w:ascii="Arial" w:hAnsi="Arial" w:cs="Arial"/>
                <w:sz w:val="24"/>
                <w:szCs w:val="24"/>
              </w:rPr>
            </w:pPr>
            <w:r>
              <w:rPr>
                <w:rFonts w:ascii="Arial" w:hAnsi="Arial" w:cs="Arial"/>
                <w:sz w:val="24"/>
                <w:szCs w:val="24"/>
              </w:rPr>
              <w:t>25.1p</w:t>
            </w:r>
          </w:p>
        </w:tc>
        <w:tc>
          <w:tcPr>
            <w:tcW w:w="785" w:type="pct"/>
          </w:tcPr>
          <w:p w:rsidR="00C050BA" w:rsidRDefault="00753A3D" w:rsidP="005F309B">
            <w:pPr>
              <w:jc w:val="right"/>
              <w:rPr>
                <w:rFonts w:ascii="Arial" w:hAnsi="Arial" w:cs="Arial"/>
                <w:sz w:val="24"/>
                <w:szCs w:val="24"/>
              </w:rPr>
            </w:pPr>
            <w:r>
              <w:rPr>
                <w:rFonts w:ascii="Arial" w:hAnsi="Arial" w:cs="Arial"/>
                <w:sz w:val="24"/>
                <w:szCs w:val="24"/>
              </w:rPr>
              <w:t>(11.2)%</w:t>
            </w:r>
          </w:p>
        </w:tc>
      </w:tr>
      <w:tr w:rsidR="00C050BA" w:rsidRPr="00014F94" w:rsidTr="005F309B">
        <w:trPr>
          <w:trHeight w:hRule="exact" w:val="85"/>
        </w:trPr>
        <w:tc>
          <w:tcPr>
            <w:tcW w:w="2980" w:type="pct"/>
          </w:tcPr>
          <w:p w:rsidR="00C050BA" w:rsidRPr="00014F94" w:rsidRDefault="00C050BA" w:rsidP="00C82F88">
            <w:pPr>
              <w:jc w:val="left"/>
              <w:rPr>
                <w:rFonts w:ascii="Arial" w:hAnsi="Arial" w:cs="Arial"/>
                <w:sz w:val="24"/>
                <w:szCs w:val="24"/>
              </w:rPr>
            </w:pPr>
          </w:p>
        </w:tc>
        <w:tc>
          <w:tcPr>
            <w:tcW w:w="648" w:type="pct"/>
          </w:tcPr>
          <w:p w:rsidR="00C050BA" w:rsidRPr="00FD6375" w:rsidRDefault="00C050BA" w:rsidP="005F309B">
            <w:pPr>
              <w:jc w:val="right"/>
              <w:rPr>
                <w:rFonts w:ascii="Arial" w:hAnsi="Arial" w:cs="Arial"/>
                <w:b/>
                <w:sz w:val="24"/>
                <w:szCs w:val="24"/>
              </w:rPr>
            </w:pPr>
          </w:p>
        </w:tc>
        <w:tc>
          <w:tcPr>
            <w:tcW w:w="587" w:type="pct"/>
          </w:tcPr>
          <w:p w:rsidR="00C050BA" w:rsidRPr="00321490" w:rsidRDefault="00C050BA" w:rsidP="005F309B">
            <w:pPr>
              <w:jc w:val="right"/>
              <w:rPr>
                <w:rFonts w:ascii="Arial" w:hAnsi="Arial" w:cs="Arial"/>
                <w:sz w:val="24"/>
                <w:szCs w:val="24"/>
              </w:rPr>
            </w:pPr>
          </w:p>
        </w:tc>
        <w:tc>
          <w:tcPr>
            <w:tcW w:w="785" w:type="pct"/>
          </w:tcPr>
          <w:p w:rsidR="00C050BA" w:rsidRDefault="00C050BA" w:rsidP="005F309B">
            <w:pPr>
              <w:jc w:val="right"/>
              <w:rPr>
                <w:rFonts w:ascii="Arial" w:hAnsi="Arial" w:cs="Arial"/>
                <w:sz w:val="24"/>
                <w:szCs w:val="24"/>
              </w:rPr>
            </w:pPr>
          </w:p>
        </w:tc>
      </w:tr>
      <w:tr w:rsidR="00C050BA" w:rsidRPr="00014F94" w:rsidTr="005F309B">
        <w:tc>
          <w:tcPr>
            <w:tcW w:w="2980" w:type="pct"/>
            <w:tcBorders>
              <w:bottom w:val="single" w:sz="4" w:space="0" w:color="auto"/>
            </w:tcBorders>
          </w:tcPr>
          <w:p w:rsidR="00C050BA" w:rsidRPr="00014F94" w:rsidRDefault="00C050BA" w:rsidP="00C82F88">
            <w:pPr>
              <w:jc w:val="left"/>
              <w:rPr>
                <w:rFonts w:ascii="Arial" w:hAnsi="Arial" w:cs="Arial"/>
                <w:sz w:val="24"/>
                <w:szCs w:val="24"/>
              </w:rPr>
            </w:pPr>
            <w:r w:rsidRPr="00014F94">
              <w:rPr>
                <w:rFonts w:ascii="Arial" w:hAnsi="Arial" w:cs="Arial"/>
                <w:sz w:val="24"/>
                <w:szCs w:val="24"/>
              </w:rPr>
              <w:t>Dividends</w:t>
            </w:r>
          </w:p>
        </w:tc>
        <w:tc>
          <w:tcPr>
            <w:tcW w:w="648" w:type="pct"/>
            <w:tcBorders>
              <w:bottom w:val="single" w:sz="4" w:space="0" w:color="auto"/>
            </w:tcBorders>
          </w:tcPr>
          <w:p w:rsidR="00C050BA" w:rsidRPr="00FD6375" w:rsidRDefault="00753A3D" w:rsidP="005F309B">
            <w:pPr>
              <w:jc w:val="right"/>
              <w:rPr>
                <w:rFonts w:ascii="Arial" w:hAnsi="Arial" w:cs="Arial"/>
                <w:b/>
                <w:sz w:val="24"/>
                <w:szCs w:val="24"/>
              </w:rPr>
            </w:pPr>
            <w:r>
              <w:rPr>
                <w:rFonts w:ascii="Arial" w:hAnsi="Arial" w:cs="Arial"/>
                <w:b/>
                <w:sz w:val="24"/>
                <w:szCs w:val="24"/>
              </w:rPr>
              <w:t>9.46p</w:t>
            </w:r>
          </w:p>
        </w:tc>
        <w:tc>
          <w:tcPr>
            <w:tcW w:w="587" w:type="pct"/>
            <w:tcBorders>
              <w:bottom w:val="single" w:sz="4" w:space="0" w:color="auto"/>
            </w:tcBorders>
          </w:tcPr>
          <w:p w:rsidR="00C050BA" w:rsidRPr="00321490" w:rsidRDefault="00753A3D" w:rsidP="005F309B">
            <w:pPr>
              <w:jc w:val="right"/>
              <w:rPr>
                <w:rFonts w:ascii="Arial" w:hAnsi="Arial" w:cs="Arial"/>
                <w:sz w:val="24"/>
                <w:szCs w:val="24"/>
              </w:rPr>
            </w:pPr>
            <w:r>
              <w:rPr>
                <w:rFonts w:ascii="Arial" w:hAnsi="Arial" w:cs="Arial"/>
                <w:sz w:val="24"/>
                <w:szCs w:val="24"/>
              </w:rPr>
              <w:t>8.84p</w:t>
            </w:r>
          </w:p>
        </w:tc>
        <w:tc>
          <w:tcPr>
            <w:tcW w:w="785" w:type="pct"/>
            <w:tcBorders>
              <w:bottom w:val="single" w:sz="4" w:space="0" w:color="auto"/>
            </w:tcBorders>
          </w:tcPr>
          <w:p w:rsidR="00C050BA" w:rsidRDefault="00753A3D" w:rsidP="005F309B">
            <w:pPr>
              <w:jc w:val="right"/>
              <w:rPr>
                <w:rFonts w:ascii="Arial" w:hAnsi="Arial" w:cs="Arial"/>
                <w:sz w:val="24"/>
                <w:szCs w:val="24"/>
              </w:rPr>
            </w:pPr>
            <w:r>
              <w:rPr>
                <w:rFonts w:ascii="Arial" w:hAnsi="Arial" w:cs="Arial"/>
                <w:sz w:val="24"/>
                <w:szCs w:val="24"/>
              </w:rPr>
              <w:t>7.0%</w:t>
            </w:r>
          </w:p>
        </w:tc>
      </w:tr>
    </w:tbl>
    <w:p w:rsidR="00C050BA" w:rsidRDefault="00C050BA" w:rsidP="00C050BA"/>
    <w:p w:rsidR="00C050BA" w:rsidRDefault="00C050BA" w:rsidP="00C82F88">
      <w:pPr>
        <w:jc w:val="left"/>
        <w:rPr>
          <w:rFonts w:ascii="Arial" w:hAnsi="Arial" w:cs="Arial"/>
          <w:sz w:val="24"/>
        </w:rPr>
      </w:pPr>
      <w:r w:rsidRPr="00C82F88">
        <w:rPr>
          <w:rFonts w:ascii="Arial" w:hAnsi="Arial" w:cs="Arial"/>
          <w:sz w:val="24"/>
          <w:szCs w:val="24"/>
        </w:rPr>
        <w:t>A reconciliation of statutory profit to adjusted profit is set out below:</w:t>
      </w:r>
    </w:p>
    <w:p w:rsidR="00753A3D" w:rsidRDefault="00753A3D" w:rsidP="00C82F88">
      <w:pPr>
        <w:jc w:val="left"/>
        <w:rPr>
          <w:rFonts w:ascii="Arial" w:hAnsi="Arial" w:cs="Arial"/>
          <w:sz w:val="24"/>
        </w:rPr>
      </w:pPr>
    </w:p>
    <w:tbl>
      <w:tblPr>
        <w:tblStyle w:val="TableGrid"/>
        <w:tblW w:w="502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875"/>
        <w:gridCol w:w="1256"/>
        <w:gridCol w:w="1238"/>
        <w:gridCol w:w="1533"/>
      </w:tblGrid>
      <w:tr w:rsidR="00753A3D" w:rsidRPr="00014F94" w:rsidTr="005F309B">
        <w:tc>
          <w:tcPr>
            <w:tcW w:w="2967" w:type="pct"/>
            <w:tcBorders>
              <w:bottom w:val="single" w:sz="4" w:space="0" w:color="auto"/>
            </w:tcBorders>
          </w:tcPr>
          <w:p w:rsidR="00753A3D" w:rsidRPr="00014F94" w:rsidRDefault="00753A3D" w:rsidP="005F309B">
            <w:pPr>
              <w:jc w:val="right"/>
              <w:rPr>
                <w:rFonts w:ascii="Arial" w:hAnsi="Arial" w:cs="Arial"/>
                <w:sz w:val="24"/>
                <w:szCs w:val="24"/>
              </w:rPr>
            </w:pPr>
          </w:p>
        </w:tc>
        <w:tc>
          <w:tcPr>
            <w:tcW w:w="634" w:type="pct"/>
            <w:tcBorders>
              <w:bottom w:val="single" w:sz="4" w:space="0" w:color="auto"/>
            </w:tcBorders>
          </w:tcPr>
          <w:p w:rsidR="00753A3D" w:rsidRPr="00FD6375" w:rsidRDefault="00753A3D" w:rsidP="005F309B">
            <w:pPr>
              <w:jc w:val="right"/>
              <w:rPr>
                <w:rFonts w:ascii="Arial" w:hAnsi="Arial" w:cs="Arial"/>
                <w:b/>
                <w:sz w:val="24"/>
                <w:szCs w:val="24"/>
              </w:rPr>
            </w:pPr>
            <w:r>
              <w:rPr>
                <w:rFonts w:ascii="Arial" w:hAnsi="Arial" w:cs="Arial"/>
                <w:b/>
                <w:sz w:val="24"/>
                <w:szCs w:val="24"/>
              </w:rPr>
              <w:t>2012/13</w:t>
            </w:r>
          </w:p>
          <w:p w:rsidR="00753A3D" w:rsidRPr="00477C40" w:rsidRDefault="00753A3D" w:rsidP="005F309B">
            <w:pPr>
              <w:jc w:val="right"/>
              <w:rPr>
                <w:rFonts w:ascii="Arial" w:hAnsi="Arial" w:cs="Arial"/>
                <w:b/>
                <w:sz w:val="24"/>
                <w:szCs w:val="24"/>
              </w:rPr>
            </w:pPr>
            <w:r w:rsidRPr="00477C40">
              <w:rPr>
                <w:rFonts w:ascii="Arial" w:hAnsi="Arial" w:cs="Arial"/>
                <w:b/>
                <w:sz w:val="24"/>
                <w:szCs w:val="24"/>
              </w:rPr>
              <w:t>£m</w:t>
            </w:r>
          </w:p>
        </w:tc>
        <w:tc>
          <w:tcPr>
            <w:tcW w:w="625" w:type="pct"/>
            <w:tcBorders>
              <w:bottom w:val="single" w:sz="4" w:space="0" w:color="auto"/>
            </w:tcBorders>
          </w:tcPr>
          <w:p w:rsidR="00753A3D" w:rsidRPr="00321490" w:rsidRDefault="00753A3D" w:rsidP="005F309B">
            <w:pPr>
              <w:ind w:right="75"/>
              <w:jc w:val="right"/>
              <w:rPr>
                <w:rFonts w:ascii="Arial" w:hAnsi="Arial" w:cs="Arial"/>
                <w:sz w:val="24"/>
                <w:szCs w:val="24"/>
              </w:rPr>
            </w:pPr>
            <w:r w:rsidRPr="00321490">
              <w:rPr>
                <w:rFonts w:ascii="Arial" w:hAnsi="Arial" w:cs="Arial"/>
                <w:sz w:val="24"/>
                <w:szCs w:val="24"/>
              </w:rPr>
              <w:t>2011/12</w:t>
            </w:r>
          </w:p>
          <w:p w:rsidR="00753A3D" w:rsidRPr="00412FEF" w:rsidRDefault="00753A3D" w:rsidP="005F309B">
            <w:pPr>
              <w:ind w:right="75"/>
              <w:jc w:val="right"/>
              <w:rPr>
                <w:rFonts w:ascii="Arial" w:hAnsi="Arial" w:cs="Arial"/>
                <w:sz w:val="24"/>
                <w:szCs w:val="24"/>
              </w:rPr>
            </w:pPr>
            <w:r w:rsidRPr="00321490">
              <w:rPr>
                <w:rFonts w:ascii="Arial" w:hAnsi="Arial" w:cs="Arial"/>
                <w:sz w:val="24"/>
                <w:szCs w:val="24"/>
              </w:rPr>
              <w:t>£m</w:t>
            </w:r>
          </w:p>
        </w:tc>
        <w:tc>
          <w:tcPr>
            <w:tcW w:w="774" w:type="pct"/>
            <w:tcBorders>
              <w:bottom w:val="single" w:sz="4" w:space="0" w:color="auto"/>
            </w:tcBorders>
          </w:tcPr>
          <w:p w:rsidR="00753A3D" w:rsidRPr="00014F94" w:rsidRDefault="009B4DB4">
            <w:pPr>
              <w:jc w:val="right"/>
              <w:rPr>
                <w:rFonts w:ascii="Arial" w:hAnsi="Arial" w:cs="Arial"/>
                <w:sz w:val="24"/>
                <w:szCs w:val="24"/>
              </w:rPr>
            </w:pPr>
            <w:r>
              <w:rPr>
                <w:rFonts w:ascii="Arial" w:hAnsi="Arial" w:cs="Arial"/>
                <w:sz w:val="24"/>
                <w:szCs w:val="24"/>
              </w:rPr>
              <w:t>(</w:t>
            </w:r>
            <w:r w:rsidR="00753A3D">
              <w:rPr>
                <w:rFonts w:ascii="Arial" w:hAnsi="Arial" w:cs="Arial"/>
                <w:sz w:val="24"/>
                <w:szCs w:val="24"/>
              </w:rPr>
              <w:t>Decrease</w:t>
            </w:r>
            <w:r>
              <w:rPr>
                <w:rFonts w:ascii="Arial" w:hAnsi="Arial" w:cs="Arial"/>
                <w:sz w:val="24"/>
                <w:szCs w:val="24"/>
              </w:rPr>
              <w:t>)/Increase</w:t>
            </w:r>
          </w:p>
        </w:tc>
      </w:tr>
      <w:tr w:rsidR="00753A3D" w:rsidRPr="00014F94" w:rsidTr="005F309B">
        <w:trPr>
          <w:trHeight w:hRule="exact" w:val="113"/>
        </w:trPr>
        <w:tc>
          <w:tcPr>
            <w:tcW w:w="2967" w:type="pct"/>
            <w:tcBorders>
              <w:top w:val="single" w:sz="4" w:space="0" w:color="auto"/>
            </w:tcBorders>
          </w:tcPr>
          <w:p w:rsidR="00753A3D" w:rsidRPr="00014F94" w:rsidRDefault="00753A3D" w:rsidP="005F309B">
            <w:pPr>
              <w:rPr>
                <w:rFonts w:ascii="Arial" w:hAnsi="Arial" w:cs="Arial"/>
                <w:sz w:val="24"/>
                <w:szCs w:val="24"/>
              </w:rPr>
            </w:pPr>
          </w:p>
        </w:tc>
        <w:tc>
          <w:tcPr>
            <w:tcW w:w="634" w:type="pct"/>
            <w:tcBorders>
              <w:top w:val="single" w:sz="4" w:space="0" w:color="auto"/>
            </w:tcBorders>
          </w:tcPr>
          <w:p w:rsidR="00753A3D" w:rsidRPr="00477C40" w:rsidRDefault="00753A3D" w:rsidP="005F309B">
            <w:pPr>
              <w:jc w:val="right"/>
              <w:rPr>
                <w:rFonts w:ascii="Arial" w:hAnsi="Arial" w:cs="Arial"/>
                <w:b/>
                <w:sz w:val="24"/>
                <w:szCs w:val="24"/>
              </w:rPr>
            </w:pPr>
          </w:p>
        </w:tc>
        <w:tc>
          <w:tcPr>
            <w:tcW w:w="625" w:type="pct"/>
            <w:tcBorders>
              <w:top w:val="single" w:sz="4" w:space="0" w:color="auto"/>
            </w:tcBorders>
          </w:tcPr>
          <w:p w:rsidR="00753A3D" w:rsidRPr="00412FEF" w:rsidRDefault="00753A3D" w:rsidP="005F309B">
            <w:pPr>
              <w:ind w:right="75"/>
              <w:jc w:val="right"/>
              <w:rPr>
                <w:rFonts w:ascii="Arial" w:hAnsi="Arial" w:cs="Arial"/>
                <w:sz w:val="24"/>
                <w:szCs w:val="24"/>
              </w:rPr>
            </w:pPr>
          </w:p>
        </w:tc>
        <w:tc>
          <w:tcPr>
            <w:tcW w:w="774" w:type="pct"/>
            <w:tcBorders>
              <w:top w:val="single" w:sz="4" w:space="0" w:color="auto"/>
            </w:tcBorders>
          </w:tcPr>
          <w:p w:rsidR="00753A3D" w:rsidRPr="00014F94" w:rsidRDefault="00753A3D" w:rsidP="005F309B">
            <w:pPr>
              <w:jc w:val="right"/>
              <w:rPr>
                <w:rFonts w:ascii="Arial" w:hAnsi="Arial" w:cs="Arial"/>
                <w:sz w:val="24"/>
                <w:szCs w:val="24"/>
              </w:rPr>
            </w:pPr>
          </w:p>
        </w:tc>
      </w:tr>
      <w:tr w:rsidR="00753A3D" w:rsidRPr="00014F94" w:rsidTr="005F309B">
        <w:tc>
          <w:tcPr>
            <w:tcW w:w="2967" w:type="pct"/>
          </w:tcPr>
          <w:p w:rsidR="00753A3D" w:rsidRPr="00C82F88" w:rsidRDefault="00753A3D" w:rsidP="00C82F88">
            <w:pPr>
              <w:jc w:val="left"/>
              <w:rPr>
                <w:rFonts w:ascii="Arial" w:hAnsi="Arial" w:cs="Arial"/>
                <w:b/>
                <w:sz w:val="24"/>
                <w:szCs w:val="24"/>
              </w:rPr>
            </w:pPr>
            <w:r w:rsidRPr="00C82F88">
              <w:rPr>
                <w:rFonts w:ascii="Arial" w:hAnsi="Arial" w:cs="Arial"/>
                <w:b/>
                <w:sz w:val="24"/>
                <w:szCs w:val="24"/>
              </w:rPr>
              <w:t>Profit before taxation</w:t>
            </w:r>
          </w:p>
        </w:tc>
        <w:tc>
          <w:tcPr>
            <w:tcW w:w="634" w:type="pct"/>
          </w:tcPr>
          <w:p w:rsidR="00753A3D" w:rsidRPr="00477C40" w:rsidRDefault="00753A3D" w:rsidP="005F309B">
            <w:pPr>
              <w:jc w:val="right"/>
              <w:rPr>
                <w:rFonts w:ascii="Arial" w:hAnsi="Arial" w:cs="Arial"/>
                <w:b/>
                <w:sz w:val="24"/>
                <w:szCs w:val="24"/>
              </w:rPr>
            </w:pPr>
            <w:r>
              <w:rPr>
                <w:rFonts w:ascii="Arial" w:hAnsi="Arial" w:cs="Arial"/>
                <w:b/>
                <w:sz w:val="24"/>
                <w:szCs w:val="24"/>
              </w:rPr>
              <w:t>691</w:t>
            </w:r>
          </w:p>
        </w:tc>
        <w:tc>
          <w:tcPr>
            <w:tcW w:w="625" w:type="pct"/>
          </w:tcPr>
          <w:p w:rsidR="00753A3D" w:rsidRPr="00A517B6" w:rsidRDefault="00753A3D" w:rsidP="005F309B">
            <w:pPr>
              <w:ind w:right="75"/>
              <w:jc w:val="right"/>
              <w:rPr>
                <w:rFonts w:ascii="Arial" w:hAnsi="Arial" w:cs="Arial"/>
                <w:sz w:val="24"/>
                <w:szCs w:val="24"/>
              </w:rPr>
            </w:pPr>
            <w:r>
              <w:rPr>
                <w:rFonts w:ascii="Arial" w:hAnsi="Arial" w:cs="Arial"/>
                <w:sz w:val="24"/>
                <w:szCs w:val="24"/>
              </w:rPr>
              <w:t>797</w:t>
            </w:r>
          </w:p>
        </w:tc>
        <w:tc>
          <w:tcPr>
            <w:tcW w:w="774" w:type="pct"/>
            <w:vAlign w:val="bottom"/>
          </w:tcPr>
          <w:p w:rsidR="00753A3D" w:rsidRPr="008C746C" w:rsidRDefault="00753A3D" w:rsidP="005F309B">
            <w:pPr>
              <w:jc w:val="right"/>
              <w:rPr>
                <w:rFonts w:ascii="Arial" w:hAnsi="Arial" w:cs="Arial"/>
                <w:sz w:val="24"/>
                <w:szCs w:val="24"/>
              </w:rPr>
            </w:pPr>
            <w:r>
              <w:rPr>
                <w:rFonts w:ascii="Arial" w:hAnsi="Arial" w:cs="Arial"/>
                <w:sz w:val="24"/>
                <w:szCs w:val="24"/>
              </w:rPr>
              <w:t>(13.3)%</w:t>
            </w:r>
          </w:p>
        </w:tc>
      </w:tr>
      <w:tr w:rsidR="00753A3D" w:rsidRPr="00014F94" w:rsidTr="005F309B">
        <w:tc>
          <w:tcPr>
            <w:tcW w:w="2967" w:type="pct"/>
            <w:tcBorders>
              <w:bottom w:val="single" w:sz="4" w:space="0" w:color="auto"/>
            </w:tcBorders>
          </w:tcPr>
          <w:p w:rsidR="00753A3D" w:rsidRPr="00014F94" w:rsidRDefault="00753A3D" w:rsidP="00C82F88">
            <w:pPr>
              <w:jc w:val="left"/>
              <w:rPr>
                <w:rFonts w:ascii="Arial" w:hAnsi="Arial" w:cs="Arial"/>
                <w:sz w:val="24"/>
                <w:szCs w:val="24"/>
              </w:rPr>
            </w:pPr>
            <w:r w:rsidRPr="00014F94">
              <w:rPr>
                <w:rFonts w:ascii="Arial" w:hAnsi="Arial" w:cs="Arial"/>
                <w:sz w:val="24"/>
                <w:szCs w:val="24"/>
              </w:rPr>
              <w:t>Exceptional items</w:t>
            </w:r>
          </w:p>
        </w:tc>
        <w:tc>
          <w:tcPr>
            <w:tcW w:w="634" w:type="pct"/>
            <w:tcBorders>
              <w:bottom w:val="single" w:sz="4" w:space="0" w:color="auto"/>
            </w:tcBorders>
          </w:tcPr>
          <w:p w:rsidR="00753A3D" w:rsidRPr="00477C40" w:rsidRDefault="00753A3D" w:rsidP="005F309B">
            <w:pPr>
              <w:jc w:val="right"/>
              <w:rPr>
                <w:rFonts w:ascii="Arial" w:hAnsi="Arial" w:cs="Arial"/>
                <w:b/>
                <w:sz w:val="24"/>
                <w:szCs w:val="24"/>
              </w:rPr>
            </w:pPr>
            <w:r>
              <w:rPr>
                <w:rFonts w:ascii="Arial" w:hAnsi="Arial" w:cs="Arial"/>
                <w:b/>
                <w:sz w:val="24"/>
                <w:szCs w:val="24"/>
              </w:rPr>
              <w:t>26</w:t>
            </w:r>
          </w:p>
        </w:tc>
        <w:tc>
          <w:tcPr>
            <w:tcW w:w="625" w:type="pct"/>
            <w:tcBorders>
              <w:bottom w:val="single" w:sz="4" w:space="0" w:color="auto"/>
            </w:tcBorders>
          </w:tcPr>
          <w:p w:rsidR="00753A3D" w:rsidRPr="00A517B6" w:rsidRDefault="00753A3D" w:rsidP="005F309B">
            <w:pPr>
              <w:ind w:right="75"/>
              <w:jc w:val="right"/>
              <w:rPr>
                <w:rFonts w:ascii="Arial" w:hAnsi="Arial" w:cs="Arial"/>
                <w:sz w:val="24"/>
                <w:szCs w:val="24"/>
              </w:rPr>
            </w:pPr>
            <w:r>
              <w:rPr>
                <w:rFonts w:ascii="Arial" w:hAnsi="Arial" w:cs="Arial"/>
                <w:sz w:val="24"/>
                <w:szCs w:val="24"/>
              </w:rPr>
              <w:t>12</w:t>
            </w:r>
          </w:p>
        </w:tc>
        <w:tc>
          <w:tcPr>
            <w:tcW w:w="774" w:type="pct"/>
            <w:tcBorders>
              <w:bottom w:val="single" w:sz="4" w:space="0" w:color="auto"/>
            </w:tcBorders>
            <w:vAlign w:val="bottom"/>
          </w:tcPr>
          <w:p w:rsidR="00753A3D" w:rsidRPr="008C746C" w:rsidRDefault="00753A3D" w:rsidP="005F309B">
            <w:pPr>
              <w:jc w:val="right"/>
              <w:rPr>
                <w:rFonts w:ascii="Arial" w:hAnsi="Arial" w:cs="Arial"/>
                <w:sz w:val="24"/>
                <w:szCs w:val="24"/>
              </w:rPr>
            </w:pPr>
            <w:r>
              <w:rPr>
                <w:rFonts w:ascii="Arial" w:hAnsi="Arial" w:cs="Arial"/>
                <w:sz w:val="24"/>
                <w:szCs w:val="24"/>
              </w:rPr>
              <w:t>116.7%</w:t>
            </w:r>
          </w:p>
        </w:tc>
      </w:tr>
      <w:tr w:rsidR="00753A3D" w:rsidRPr="00014F94" w:rsidTr="005F309B">
        <w:tc>
          <w:tcPr>
            <w:tcW w:w="2967" w:type="pct"/>
            <w:tcBorders>
              <w:top w:val="single" w:sz="4" w:space="0" w:color="auto"/>
            </w:tcBorders>
          </w:tcPr>
          <w:p w:rsidR="00753A3D" w:rsidRPr="00014F94" w:rsidRDefault="00753A3D" w:rsidP="00C82F88">
            <w:pPr>
              <w:jc w:val="left"/>
              <w:rPr>
                <w:rFonts w:ascii="Arial" w:hAnsi="Arial" w:cs="Arial"/>
                <w:sz w:val="24"/>
                <w:szCs w:val="24"/>
              </w:rPr>
            </w:pPr>
            <w:r w:rsidRPr="00014F94">
              <w:rPr>
                <w:rFonts w:ascii="Arial" w:hAnsi="Arial" w:cs="Arial"/>
                <w:sz w:val="24"/>
                <w:szCs w:val="24"/>
              </w:rPr>
              <w:t xml:space="preserve">Profit before exceptional items and taxation </w:t>
            </w:r>
          </w:p>
        </w:tc>
        <w:tc>
          <w:tcPr>
            <w:tcW w:w="634" w:type="pct"/>
            <w:tcBorders>
              <w:top w:val="single" w:sz="4" w:space="0" w:color="auto"/>
            </w:tcBorders>
          </w:tcPr>
          <w:p w:rsidR="00753A3D" w:rsidRPr="00477C40" w:rsidRDefault="00753A3D" w:rsidP="005F309B">
            <w:pPr>
              <w:jc w:val="right"/>
              <w:rPr>
                <w:rFonts w:ascii="Arial" w:hAnsi="Arial" w:cs="Arial"/>
                <w:b/>
                <w:sz w:val="24"/>
                <w:szCs w:val="24"/>
              </w:rPr>
            </w:pPr>
            <w:r>
              <w:rPr>
                <w:rFonts w:ascii="Arial" w:hAnsi="Arial" w:cs="Arial"/>
                <w:b/>
                <w:sz w:val="24"/>
                <w:szCs w:val="24"/>
              </w:rPr>
              <w:t>717</w:t>
            </w:r>
          </w:p>
        </w:tc>
        <w:tc>
          <w:tcPr>
            <w:tcW w:w="625" w:type="pct"/>
            <w:tcBorders>
              <w:top w:val="single" w:sz="4" w:space="0" w:color="auto"/>
            </w:tcBorders>
          </w:tcPr>
          <w:p w:rsidR="00753A3D" w:rsidRPr="00A517B6" w:rsidRDefault="00753A3D" w:rsidP="005F309B">
            <w:pPr>
              <w:ind w:right="75"/>
              <w:jc w:val="right"/>
              <w:rPr>
                <w:rFonts w:ascii="Arial" w:hAnsi="Arial" w:cs="Arial"/>
                <w:sz w:val="24"/>
                <w:szCs w:val="24"/>
              </w:rPr>
            </w:pPr>
            <w:r>
              <w:rPr>
                <w:rFonts w:ascii="Arial" w:hAnsi="Arial" w:cs="Arial"/>
                <w:sz w:val="24"/>
                <w:szCs w:val="24"/>
              </w:rPr>
              <w:t>809</w:t>
            </w:r>
          </w:p>
        </w:tc>
        <w:tc>
          <w:tcPr>
            <w:tcW w:w="774" w:type="pct"/>
            <w:tcBorders>
              <w:top w:val="single" w:sz="4" w:space="0" w:color="auto"/>
            </w:tcBorders>
            <w:vAlign w:val="bottom"/>
          </w:tcPr>
          <w:p w:rsidR="00753A3D" w:rsidRPr="008C746C" w:rsidRDefault="00753A3D" w:rsidP="005F309B">
            <w:pPr>
              <w:jc w:val="right"/>
              <w:rPr>
                <w:rFonts w:ascii="Arial" w:hAnsi="Arial" w:cs="Arial"/>
                <w:sz w:val="24"/>
                <w:szCs w:val="24"/>
              </w:rPr>
            </w:pPr>
            <w:r>
              <w:rPr>
                <w:rFonts w:ascii="Arial" w:hAnsi="Arial" w:cs="Arial"/>
                <w:sz w:val="24"/>
                <w:szCs w:val="24"/>
              </w:rPr>
              <w:t>(11.4)%</w:t>
            </w:r>
          </w:p>
        </w:tc>
      </w:tr>
      <w:tr w:rsidR="00753A3D" w:rsidRPr="00014F94" w:rsidTr="005F309B">
        <w:tc>
          <w:tcPr>
            <w:tcW w:w="2967" w:type="pct"/>
            <w:tcBorders>
              <w:bottom w:val="single" w:sz="4" w:space="0" w:color="auto"/>
            </w:tcBorders>
          </w:tcPr>
          <w:p w:rsidR="00753A3D" w:rsidRPr="00014F94" w:rsidRDefault="00753A3D" w:rsidP="00C82F88">
            <w:pPr>
              <w:jc w:val="left"/>
              <w:rPr>
                <w:rFonts w:ascii="Arial" w:hAnsi="Arial" w:cs="Arial"/>
                <w:sz w:val="24"/>
                <w:szCs w:val="24"/>
              </w:rPr>
            </w:pPr>
            <w:r w:rsidRPr="00014F94">
              <w:rPr>
                <w:rFonts w:ascii="Arial" w:hAnsi="Arial" w:cs="Arial"/>
                <w:sz w:val="24"/>
                <w:szCs w:val="24"/>
              </w:rPr>
              <w:t xml:space="preserve">Financing fair value </w:t>
            </w:r>
            <w:proofErr w:type="spellStart"/>
            <w:r w:rsidRPr="00014F94">
              <w:rPr>
                <w:rFonts w:ascii="Arial" w:hAnsi="Arial" w:cs="Arial"/>
                <w:sz w:val="24"/>
                <w:szCs w:val="24"/>
              </w:rPr>
              <w:t>remeasurements</w:t>
            </w:r>
            <w:proofErr w:type="spellEnd"/>
          </w:p>
        </w:tc>
        <w:tc>
          <w:tcPr>
            <w:tcW w:w="634" w:type="pct"/>
            <w:tcBorders>
              <w:bottom w:val="single" w:sz="4" w:space="0" w:color="auto"/>
            </w:tcBorders>
          </w:tcPr>
          <w:p w:rsidR="00753A3D" w:rsidRPr="00477C40" w:rsidRDefault="00753A3D" w:rsidP="005F309B">
            <w:pPr>
              <w:jc w:val="right"/>
              <w:rPr>
                <w:rFonts w:ascii="Arial" w:hAnsi="Arial" w:cs="Arial"/>
                <w:b/>
                <w:sz w:val="24"/>
                <w:szCs w:val="24"/>
              </w:rPr>
            </w:pPr>
            <w:r>
              <w:rPr>
                <w:rFonts w:ascii="Arial" w:hAnsi="Arial" w:cs="Arial"/>
                <w:b/>
                <w:sz w:val="24"/>
                <w:szCs w:val="24"/>
              </w:rPr>
              <w:t>(2)</w:t>
            </w:r>
          </w:p>
        </w:tc>
        <w:tc>
          <w:tcPr>
            <w:tcW w:w="625" w:type="pct"/>
            <w:tcBorders>
              <w:bottom w:val="single" w:sz="4" w:space="0" w:color="auto"/>
            </w:tcBorders>
          </w:tcPr>
          <w:p w:rsidR="00753A3D" w:rsidRPr="00A517B6" w:rsidRDefault="00753A3D" w:rsidP="005F309B">
            <w:pPr>
              <w:ind w:right="75"/>
              <w:jc w:val="right"/>
              <w:rPr>
                <w:rFonts w:ascii="Arial" w:hAnsi="Arial" w:cs="Arial"/>
                <w:sz w:val="24"/>
                <w:szCs w:val="24"/>
              </w:rPr>
            </w:pPr>
            <w:r>
              <w:rPr>
                <w:rFonts w:ascii="Arial" w:hAnsi="Arial" w:cs="Arial"/>
                <w:sz w:val="24"/>
                <w:szCs w:val="24"/>
              </w:rPr>
              <w:t>(2)</w:t>
            </w:r>
          </w:p>
        </w:tc>
        <w:tc>
          <w:tcPr>
            <w:tcW w:w="774" w:type="pct"/>
            <w:tcBorders>
              <w:bottom w:val="single" w:sz="4" w:space="0" w:color="auto"/>
            </w:tcBorders>
            <w:vAlign w:val="bottom"/>
          </w:tcPr>
          <w:p w:rsidR="00753A3D" w:rsidRPr="008C746C" w:rsidRDefault="00753A3D" w:rsidP="005F309B">
            <w:pPr>
              <w:jc w:val="right"/>
              <w:rPr>
                <w:rFonts w:ascii="Arial" w:hAnsi="Arial" w:cs="Arial"/>
                <w:sz w:val="24"/>
                <w:szCs w:val="24"/>
              </w:rPr>
            </w:pPr>
            <w:r>
              <w:rPr>
                <w:rFonts w:ascii="Arial" w:hAnsi="Arial" w:cs="Arial"/>
                <w:sz w:val="24"/>
                <w:szCs w:val="24"/>
              </w:rPr>
              <w:t>-</w:t>
            </w:r>
          </w:p>
        </w:tc>
      </w:tr>
      <w:tr w:rsidR="00753A3D" w:rsidRPr="00014F94" w:rsidTr="005F309B">
        <w:tc>
          <w:tcPr>
            <w:tcW w:w="2967" w:type="pct"/>
            <w:tcBorders>
              <w:top w:val="single" w:sz="4" w:space="0" w:color="auto"/>
              <w:bottom w:val="single" w:sz="4" w:space="0" w:color="auto"/>
            </w:tcBorders>
          </w:tcPr>
          <w:p w:rsidR="00753A3D" w:rsidRPr="00C82F88" w:rsidRDefault="00753A3D" w:rsidP="00C82F88">
            <w:pPr>
              <w:jc w:val="left"/>
              <w:rPr>
                <w:rFonts w:ascii="Arial" w:hAnsi="Arial" w:cs="Arial"/>
                <w:b/>
                <w:sz w:val="24"/>
                <w:szCs w:val="24"/>
              </w:rPr>
            </w:pPr>
            <w:r w:rsidRPr="00C82F88">
              <w:rPr>
                <w:rFonts w:ascii="Arial" w:hAnsi="Arial" w:cs="Arial"/>
                <w:b/>
                <w:sz w:val="24"/>
                <w:szCs w:val="24"/>
              </w:rPr>
              <w:t>Adjusted pre-tax profit</w:t>
            </w:r>
          </w:p>
        </w:tc>
        <w:tc>
          <w:tcPr>
            <w:tcW w:w="634" w:type="pct"/>
            <w:tcBorders>
              <w:top w:val="single" w:sz="4" w:space="0" w:color="auto"/>
              <w:bottom w:val="single" w:sz="4" w:space="0" w:color="auto"/>
            </w:tcBorders>
          </w:tcPr>
          <w:p w:rsidR="00753A3D" w:rsidRPr="00477C40" w:rsidRDefault="00753A3D" w:rsidP="005F309B">
            <w:pPr>
              <w:jc w:val="right"/>
              <w:rPr>
                <w:rFonts w:ascii="Arial" w:hAnsi="Arial" w:cs="Arial"/>
                <w:b/>
                <w:sz w:val="24"/>
                <w:szCs w:val="24"/>
              </w:rPr>
            </w:pPr>
            <w:r>
              <w:rPr>
                <w:rFonts w:ascii="Arial" w:hAnsi="Arial" w:cs="Arial"/>
                <w:b/>
                <w:sz w:val="24"/>
                <w:szCs w:val="24"/>
              </w:rPr>
              <w:t>715</w:t>
            </w:r>
          </w:p>
        </w:tc>
        <w:tc>
          <w:tcPr>
            <w:tcW w:w="625" w:type="pct"/>
            <w:tcBorders>
              <w:top w:val="single" w:sz="4" w:space="0" w:color="auto"/>
              <w:bottom w:val="single" w:sz="4" w:space="0" w:color="auto"/>
            </w:tcBorders>
          </w:tcPr>
          <w:p w:rsidR="00753A3D" w:rsidRPr="00A517B6" w:rsidRDefault="00753A3D" w:rsidP="005F309B">
            <w:pPr>
              <w:ind w:right="75"/>
              <w:jc w:val="right"/>
              <w:rPr>
                <w:rFonts w:ascii="Arial" w:hAnsi="Arial" w:cs="Arial"/>
                <w:sz w:val="24"/>
                <w:szCs w:val="24"/>
              </w:rPr>
            </w:pPr>
            <w:r>
              <w:rPr>
                <w:rFonts w:ascii="Arial" w:hAnsi="Arial" w:cs="Arial"/>
                <w:sz w:val="24"/>
                <w:szCs w:val="24"/>
              </w:rPr>
              <w:t>807</w:t>
            </w:r>
          </w:p>
        </w:tc>
        <w:tc>
          <w:tcPr>
            <w:tcW w:w="774" w:type="pct"/>
            <w:tcBorders>
              <w:top w:val="single" w:sz="4" w:space="0" w:color="auto"/>
              <w:bottom w:val="single" w:sz="4" w:space="0" w:color="auto"/>
            </w:tcBorders>
            <w:vAlign w:val="bottom"/>
          </w:tcPr>
          <w:p w:rsidR="00753A3D" w:rsidRPr="008C746C" w:rsidRDefault="00753A3D" w:rsidP="005F309B">
            <w:pPr>
              <w:jc w:val="right"/>
              <w:rPr>
                <w:rFonts w:ascii="Arial" w:hAnsi="Arial" w:cs="Arial"/>
                <w:sz w:val="24"/>
                <w:szCs w:val="24"/>
              </w:rPr>
            </w:pPr>
            <w:r>
              <w:rPr>
                <w:rFonts w:ascii="Arial" w:hAnsi="Arial" w:cs="Arial"/>
                <w:sz w:val="24"/>
                <w:szCs w:val="24"/>
              </w:rPr>
              <w:t>(11.4)%</w:t>
            </w:r>
          </w:p>
        </w:tc>
      </w:tr>
    </w:tbl>
    <w:p w:rsidR="00753A3D" w:rsidRPr="00C82F88" w:rsidRDefault="00753A3D" w:rsidP="00C82F88">
      <w:pPr>
        <w:jc w:val="left"/>
        <w:rPr>
          <w:rFonts w:ascii="Arial" w:hAnsi="Arial" w:cs="Arial"/>
          <w:sz w:val="24"/>
        </w:rPr>
      </w:pPr>
    </w:p>
    <w:p w:rsidR="00ED294F" w:rsidRDefault="00C050BA" w:rsidP="00C82F88">
      <w:pPr>
        <w:jc w:val="left"/>
        <w:rPr>
          <w:rFonts w:ascii="Arial" w:hAnsi="Arial" w:cs="Arial"/>
          <w:sz w:val="24"/>
        </w:rPr>
      </w:pPr>
      <w:r w:rsidRPr="00C82F88">
        <w:rPr>
          <w:rFonts w:ascii="Arial" w:hAnsi="Arial" w:cs="Arial"/>
          <w:sz w:val="24"/>
          <w:szCs w:val="24"/>
        </w:rPr>
        <w:t xml:space="preserve">Profit and EPS including all exceptional items for the year ended 2 February 2013 </w:t>
      </w:r>
      <w:r w:rsidR="00753A3D" w:rsidRPr="00C82F88">
        <w:rPr>
          <w:rFonts w:ascii="Arial" w:hAnsi="Arial" w:cs="Arial"/>
          <w:sz w:val="24"/>
          <w:szCs w:val="24"/>
        </w:rPr>
        <w:t>are</w:t>
      </w:r>
      <w:r w:rsidRPr="00C82F88">
        <w:rPr>
          <w:rFonts w:ascii="Arial" w:hAnsi="Arial" w:cs="Arial"/>
          <w:sz w:val="24"/>
          <w:szCs w:val="24"/>
        </w:rPr>
        <w:t xml:space="preserve"> set out below:</w:t>
      </w:r>
    </w:p>
    <w:p w:rsidR="00753A3D" w:rsidRDefault="00753A3D" w:rsidP="00C82F88">
      <w:pPr>
        <w:jc w:val="left"/>
        <w:rPr>
          <w:rFonts w:ascii="Arial" w:hAnsi="Arial" w:cs="Arial"/>
          <w:sz w:val="24"/>
        </w:rPr>
      </w:pP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08"/>
        <w:gridCol w:w="1221"/>
        <w:gridCol w:w="1341"/>
        <w:gridCol w:w="1489"/>
      </w:tblGrid>
      <w:tr w:rsidR="00753A3D" w:rsidRPr="00014F94" w:rsidTr="005F309B">
        <w:tc>
          <w:tcPr>
            <w:tcW w:w="2946" w:type="pct"/>
            <w:tcBorders>
              <w:bottom w:val="single" w:sz="4" w:space="0" w:color="auto"/>
            </w:tcBorders>
          </w:tcPr>
          <w:p w:rsidR="00753A3D" w:rsidRPr="00014F94" w:rsidRDefault="00753A3D" w:rsidP="005F309B">
            <w:pPr>
              <w:jc w:val="right"/>
              <w:rPr>
                <w:rFonts w:ascii="Arial" w:hAnsi="Arial" w:cs="Arial"/>
                <w:sz w:val="24"/>
                <w:szCs w:val="24"/>
              </w:rPr>
            </w:pPr>
          </w:p>
        </w:tc>
        <w:tc>
          <w:tcPr>
            <w:tcW w:w="619" w:type="pct"/>
            <w:tcBorders>
              <w:bottom w:val="single" w:sz="4" w:space="0" w:color="auto"/>
            </w:tcBorders>
          </w:tcPr>
          <w:p w:rsidR="00753A3D" w:rsidRDefault="00753A3D" w:rsidP="005F309B">
            <w:pPr>
              <w:jc w:val="right"/>
              <w:rPr>
                <w:rFonts w:ascii="Arial" w:hAnsi="Arial" w:cs="Arial"/>
                <w:b/>
                <w:sz w:val="24"/>
                <w:szCs w:val="24"/>
              </w:rPr>
            </w:pPr>
            <w:r>
              <w:rPr>
                <w:rFonts w:ascii="Arial" w:hAnsi="Arial" w:cs="Arial"/>
                <w:b/>
                <w:sz w:val="24"/>
                <w:szCs w:val="24"/>
              </w:rPr>
              <w:t>2012/13</w:t>
            </w:r>
          </w:p>
        </w:tc>
        <w:tc>
          <w:tcPr>
            <w:tcW w:w="680" w:type="pct"/>
            <w:tcBorders>
              <w:bottom w:val="single" w:sz="4" w:space="0" w:color="auto"/>
            </w:tcBorders>
          </w:tcPr>
          <w:p w:rsidR="00753A3D" w:rsidRPr="00412FEF" w:rsidRDefault="00753A3D" w:rsidP="005F309B">
            <w:pPr>
              <w:jc w:val="right"/>
              <w:rPr>
                <w:rFonts w:ascii="Arial" w:hAnsi="Arial" w:cs="Arial"/>
                <w:sz w:val="24"/>
                <w:szCs w:val="24"/>
              </w:rPr>
            </w:pPr>
            <w:r w:rsidRPr="00A517B6">
              <w:rPr>
                <w:rFonts w:ascii="Arial" w:hAnsi="Arial" w:cs="Arial"/>
                <w:sz w:val="24"/>
                <w:szCs w:val="24"/>
              </w:rPr>
              <w:t>2011/12</w:t>
            </w:r>
          </w:p>
        </w:tc>
        <w:tc>
          <w:tcPr>
            <w:tcW w:w="755" w:type="pct"/>
            <w:tcBorders>
              <w:bottom w:val="single" w:sz="4" w:space="0" w:color="auto"/>
            </w:tcBorders>
          </w:tcPr>
          <w:p w:rsidR="00753A3D" w:rsidRPr="00014F94" w:rsidRDefault="00753A3D" w:rsidP="005F309B">
            <w:pPr>
              <w:jc w:val="right"/>
              <w:rPr>
                <w:rFonts w:ascii="Arial" w:hAnsi="Arial" w:cs="Arial"/>
                <w:sz w:val="24"/>
                <w:szCs w:val="24"/>
              </w:rPr>
            </w:pPr>
            <w:r>
              <w:rPr>
                <w:rFonts w:ascii="Arial" w:hAnsi="Arial" w:cs="Arial"/>
                <w:sz w:val="24"/>
                <w:szCs w:val="24"/>
              </w:rPr>
              <w:t>De</w:t>
            </w:r>
            <w:r w:rsidRPr="00014F94">
              <w:rPr>
                <w:rFonts w:ascii="Arial" w:hAnsi="Arial" w:cs="Arial"/>
                <w:sz w:val="24"/>
                <w:szCs w:val="24"/>
              </w:rPr>
              <w:t xml:space="preserve">crease </w:t>
            </w:r>
          </w:p>
        </w:tc>
      </w:tr>
      <w:tr w:rsidR="00753A3D" w:rsidRPr="00A0203D" w:rsidTr="005F309B">
        <w:trPr>
          <w:trHeight w:val="80"/>
        </w:trPr>
        <w:tc>
          <w:tcPr>
            <w:tcW w:w="2946" w:type="pct"/>
            <w:tcBorders>
              <w:top w:val="single" w:sz="4" w:space="0" w:color="auto"/>
            </w:tcBorders>
          </w:tcPr>
          <w:p w:rsidR="00753A3D" w:rsidRPr="00A0203D" w:rsidRDefault="00753A3D" w:rsidP="005F309B">
            <w:pPr>
              <w:rPr>
                <w:rFonts w:ascii="Arial" w:hAnsi="Arial" w:cs="Arial"/>
                <w:sz w:val="2"/>
                <w:szCs w:val="2"/>
              </w:rPr>
            </w:pPr>
          </w:p>
        </w:tc>
        <w:tc>
          <w:tcPr>
            <w:tcW w:w="619" w:type="pct"/>
            <w:tcBorders>
              <w:top w:val="single" w:sz="4" w:space="0" w:color="auto"/>
            </w:tcBorders>
          </w:tcPr>
          <w:p w:rsidR="00753A3D" w:rsidRPr="00A0203D" w:rsidRDefault="00753A3D" w:rsidP="005F309B">
            <w:pPr>
              <w:jc w:val="right"/>
              <w:rPr>
                <w:rFonts w:ascii="Arial" w:hAnsi="Arial" w:cs="Arial"/>
                <w:b/>
                <w:sz w:val="2"/>
                <w:szCs w:val="2"/>
              </w:rPr>
            </w:pPr>
          </w:p>
        </w:tc>
        <w:tc>
          <w:tcPr>
            <w:tcW w:w="680" w:type="pct"/>
            <w:tcBorders>
              <w:top w:val="single" w:sz="4" w:space="0" w:color="auto"/>
            </w:tcBorders>
          </w:tcPr>
          <w:p w:rsidR="00753A3D" w:rsidRPr="00412FEF" w:rsidRDefault="00753A3D" w:rsidP="005F309B">
            <w:pPr>
              <w:jc w:val="right"/>
              <w:rPr>
                <w:rFonts w:ascii="Arial" w:hAnsi="Arial" w:cs="Arial"/>
                <w:sz w:val="2"/>
                <w:szCs w:val="2"/>
              </w:rPr>
            </w:pPr>
          </w:p>
        </w:tc>
        <w:tc>
          <w:tcPr>
            <w:tcW w:w="755" w:type="pct"/>
            <w:tcBorders>
              <w:top w:val="single" w:sz="4" w:space="0" w:color="auto"/>
            </w:tcBorders>
          </w:tcPr>
          <w:p w:rsidR="00753A3D" w:rsidRPr="00A0203D" w:rsidRDefault="00753A3D" w:rsidP="005F309B">
            <w:pPr>
              <w:jc w:val="right"/>
              <w:rPr>
                <w:rFonts w:ascii="Arial" w:hAnsi="Arial" w:cs="Arial"/>
                <w:sz w:val="2"/>
                <w:szCs w:val="2"/>
              </w:rPr>
            </w:pPr>
          </w:p>
        </w:tc>
      </w:tr>
      <w:tr w:rsidR="00753A3D" w:rsidTr="005F309B">
        <w:tc>
          <w:tcPr>
            <w:tcW w:w="2946" w:type="pct"/>
          </w:tcPr>
          <w:p w:rsidR="00753A3D" w:rsidRPr="00014F94" w:rsidRDefault="00753A3D" w:rsidP="00C82F88">
            <w:pPr>
              <w:jc w:val="left"/>
              <w:rPr>
                <w:rFonts w:ascii="Arial" w:hAnsi="Arial" w:cs="Arial"/>
                <w:sz w:val="24"/>
                <w:szCs w:val="24"/>
              </w:rPr>
            </w:pPr>
            <w:r>
              <w:rPr>
                <w:rFonts w:ascii="Arial" w:hAnsi="Arial" w:cs="Arial"/>
                <w:sz w:val="24"/>
                <w:szCs w:val="24"/>
              </w:rPr>
              <w:t>Profit after tax</w:t>
            </w:r>
          </w:p>
        </w:tc>
        <w:tc>
          <w:tcPr>
            <w:tcW w:w="619" w:type="pct"/>
          </w:tcPr>
          <w:p w:rsidR="00753A3D" w:rsidRDefault="00753A3D" w:rsidP="005F309B">
            <w:pPr>
              <w:jc w:val="right"/>
              <w:rPr>
                <w:rFonts w:ascii="Arial" w:hAnsi="Arial" w:cs="Arial"/>
                <w:b/>
                <w:sz w:val="24"/>
                <w:szCs w:val="24"/>
              </w:rPr>
            </w:pPr>
            <w:r>
              <w:rPr>
                <w:rFonts w:ascii="Arial" w:hAnsi="Arial" w:cs="Arial"/>
                <w:b/>
                <w:sz w:val="24"/>
                <w:szCs w:val="24"/>
              </w:rPr>
              <w:t>564</w:t>
            </w:r>
          </w:p>
        </w:tc>
        <w:tc>
          <w:tcPr>
            <w:tcW w:w="680" w:type="pct"/>
          </w:tcPr>
          <w:p w:rsidR="00753A3D" w:rsidRPr="00A517B6" w:rsidRDefault="00753A3D" w:rsidP="005F309B">
            <w:pPr>
              <w:jc w:val="right"/>
              <w:rPr>
                <w:rFonts w:ascii="Arial" w:hAnsi="Arial" w:cs="Arial"/>
                <w:sz w:val="24"/>
                <w:szCs w:val="24"/>
              </w:rPr>
            </w:pPr>
            <w:r>
              <w:rPr>
                <w:rFonts w:ascii="Arial" w:hAnsi="Arial" w:cs="Arial"/>
                <w:sz w:val="24"/>
                <w:szCs w:val="24"/>
              </w:rPr>
              <w:t>639</w:t>
            </w:r>
          </w:p>
        </w:tc>
        <w:tc>
          <w:tcPr>
            <w:tcW w:w="755" w:type="pct"/>
          </w:tcPr>
          <w:p w:rsidR="00753A3D" w:rsidRDefault="00753A3D" w:rsidP="005F309B">
            <w:pPr>
              <w:jc w:val="right"/>
              <w:rPr>
                <w:rFonts w:ascii="Arial" w:hAnsi="Arial" w:cs="Arial"/>
                <w:sz w:val="24"/>
                <w:szCs w:val="24"/>
              </w:rPr>
            </w:pPr>
            <w:r>
              <w:rPr>
                <w:rFonts w:ascii="Arial" w:hAnsi="Arial" w:cs="Arial"/>
                <w:sz w:val="24"/>
                <w:szCs w:val="24"/>
              </w:rPr>
              <w:t>(11.7)%</w:t>
            </w:r>
          </w:p>
        </w:tc>
      </w:tr>
      <w:tr w:rsidR="00753A3D" w:rsidTr="005F309B">
        <w:trPr>
          <w:trHeight w:hRule="exact" w:val="85"/>
        </w:trPr>
        <w:tc>
          <w:tcPr>
            <w:tcW w:w="2946" w:type="pct"/>
          </w:tcPr>
          <w:p w:rsidR="00753A3D" w:rsidRPr="00014F94" w:rsidRDefault="00753A3D" w:rsidP="00C82F88">
            <w:pPr>
              <w:jc w:val="left"/>
              <w:rPr>
                <w:rFonts w:ascii="Arial" w:hAnsi="Arial" w:cs="Arial"/>
                <w:sz w:val="24"/>
                <w:szCs w:val="24"/>
              </w:rPr>
            </w:pPr>
          </w:p>
        </w:tc>
        <w:tc>
          <w:tcPr>
            <w:tcW w:w="619" w:type="pct"/>
          </w:tcPr>
          <w:p w:rsidR="00753A3D" w:rsidRPr="00FD6375" w:rsidRDefault="00753A3D" w:rsidP="005F309B">
            <w:pPr>
              <w:jc w:val="center"/>
              <w:rPr>
                <w:rFonts w:ascii="Arial" w:hAnsi="Arial" w:cs="Arial"/>
                <w:b/>
                <w:sz w:val="24"/>
                <w:szCs w:val="24"/>
              </w:rPr>
            </w:pPr>
          </w:p>
        </w:tc>
        <w:tc>
          <w:tcPr>
            <w:tcW w:w="680" w:type="pct"/>
          </w:tcPr>
          <w:p w:rsidR="00753A3D" w:rsidRPr="00A517B6" w:rsidRDefault="00753A3D" w:rsidP="005F309B">
            <w:pPr>
              <w:jc w:val="right"/>
              <w:rPr>
                <w:rFonts w:ascii="Arial" w:hAnsi="Arial" w:cs="Arial"/>
                <w:sz w:val="24"/>
                <w:szCs w:val="24"/>
              </w:rPr>
            </w:pPr>
          </w:p>
        </w:tc>
        <w:tc>
          <w:tcPr>
            <w:tcW w:w="755" w:type="pct"/>
          </w:tcPr>
          <w:p w:rsidR="00753A3D" w:rsidRDefault="00753A3D" w:rsidP="005F309B">
            <w:pPr>
              <w:jc w:val="right"/>
              <w:rPr>
                <w:rFonts w:ascii="Arial" w:hAnsi="Arial" w:cs="Arial"/>
                <w:sz w:val="24"/>
                <w:szCs w:val="24"/>
              </w:rPr>
            </w:pPr>
          </w:p>
        </w:tc>
      </w:tr>
      <w:tr w:rsidR="00753A3D" w:rsidTr="005F309B">
        <w:tc>
          <w:tcPr>
            <w:tcW w:w="2946" w:type="pct"/>
            <w:tcBorders>
              <w:bottom w:val="single" w:sz="4" w:space="0" w:color="auto"/>
            </w:tcBorders>
          </w:tcPr>
          <w:p w:rsidR="00753A3D" w:rsidRPr="00014F94" w:rsidRDefault="00753A3D" w:rsidP="00C82F88">
            <w:pPr>
              <w:jc w:val="left"/>
              <w:rPr>
                <w:rFonts w:ascii="Arial" w:hAnsi="Arial" w:cs="Arial"/>
                <w:sz w:val="24"/>
                <w:szCs w:val="24"/>
              </w:rPr>
            </w:pPr>
            <w:r>
              <w:rPr>
                <w:rFonts w:ascii="Arial" w:hAnsi="Arial" w:cs="Arial"/>
                <w:sz w:val="24"/>
                <w:szCs w:val="24"/>
              </w:rPr>
              <w:t xml:space="preserve">Basic EPS </w:t>
            </w:r>
          </w:p>
        </w:tc>
        <w:tc>
          <w:tcPr>
            <w:tcW w:w="619" w:type="pct"/>
            <w:tcBorders>
              <w:bottom w:val="single" w:sz="4" w:space="0" w:color="auto"/>
            </w:tcBorders>
          </w:tcPr>
          <w:p w:rsidR="00753A3D" w:rsidRDefault="00753A3D" w:rsidP="005F309B">
            <w:pPr>
              <w:jc w:val="right"/>
              <w:rPr>
                <w:rFonts w:ascii="Arial" w:hAnsi="Arial" w:cs="Arial"/>
                <w:b/>
                <w:sz w:val="24"/>
                <w:szCs w:val="24"/>
              </w:rPr>
            </w:pPr>
            <w:r>
              <w:rPr>
                <w:rFonts w:ascii="Arial" w:hAnsi="Arial" w:cs="Arial"/>
                <w:b/>
                <w:sz w:val="24"/>
                <w:szCs w:val="24"/>
              </w:rPr>
              <w:t>24.1p</w:t>
            </w:r>
          </w:p>
        </w:tc>
        <w:tc>
          <w:tcPr>
            <w:tcW w:w="680" w:type="pct"/>
            <w:tcBorders>
              <w:bottom w:val="single" w:sz="4" w:space="0" w:color="auto"/>
            </w:tcBorders>
          </w:tcPr>
          <w:p w:rsidR="00753A3D" w:rsidRPr="00A517B6" w:rsidRDefault="00753A3D" w:rsidP="005F309B">
            <w:pPr>
              <w:jc w:val="right"/>
              <w:rPr>
                <w:rFonts w:ascii="Arial" w:hAnsi="Arial" w:cs="Arial"/>
                <w:sz w:val="24"/>
                <w:szCs w:val="24"/>
              </w:rPr>
            </w:pPr>
            <w:r>
              <w:rPr>
                <w:rFonts w:ascii="Arial" w:hAnsi="Arial" w:cs="Arial"/>
                <w:sz w:val="24"/>
                <w:szCs w:val="24"/>
              </w:rPr>
              <w:t>27.5p</w:t>
            </w:r>
          </w:p>
        </w:tc>
        <w:tc>
          <w:tcPr>
            <w:tcW w:w="755" w:type="pct"/>
            <w:tcBorders>
              <w:bottom w:val="single" w:sz="4" w:space="0" w:color="auto"/>
            </w:tcBorders>
          </w:tcPr>
          <w:p w:rsidR="00753A3D" w:rsidRDefault="00753A3D" w:rsidP="005F309B">
            <w:pPr>
              <w:jc w:val="right"/>
              <w:rPr>
                <w:rFonts w:ascii="Arial" w:hAnsi="Arial" w:cs="Arial"/>
                <w:sz w:val="24"/>
                <w:szCs w:val="24"/>
              </w:rPr>
            </w:pPr>
            <w:r>
              <w:rPr>
                <w:rFonts w:ascii="Arial" w:hAnsi="Arial" w:cs="Arial"/>
                <w:sz w:val="24"/>
                <w:szCs w:val="24"/>
              </w:rPr>
              <w:t>(12.4)%</w:t>
            </w:r>
          </w:p>
        </w:tc>
      </w:tr>
    </w:tbl>
    <w:p w:rsidR="00753A3D" w:rsidRDefault="00753A3D" w:rsidP="00C82F88">
      <w:pPr>
        <w:jc w:val="left"/>
        <w:rPr>
          <w:rFonts w:ascii="Arial" w:hAnsi="Arial" w:cs="Arial"/>
          <w:sz w:val="24"/>
        </w:rPr>
      </w:pPr>
    </w:p>
    <w:p w:rsidR="00753A3D" w:rsidRDefault="00753A3D" w:rsidP="00C82F88">
      <w:pPr>
        <w:jc w:val="left"/>
        <w:rPr>
          <w:rFonts w:ascii="Arial" w:hAnsi="Arial" w:cs="Arial"/>
          <w:b/>
          <w:sz w:val="24"/>
          <w:szCs w:val="24"/>
        </w:rPr>
      </w:pPr>
      <w:r w:rsidRPr="00C82F88">
        <w:rPr>
          <w:rFonts w:ascii="Arial" w:hAnsi="Arial" w:cs="Arial" w:hint="eastAsia"/>
          <w:b/>
          <w:sz w:val="24"/>
          <w:szCs w:val="24"/>
        </w:rPr>
        <w:t>Overview</w:t>
      </w:r>
    </w:p>
    <w:p w:rsidR="00A35E7C" w:rsidRDefault="00A35E7C" w:rsidP="00C82F88">
      <w:pPr>
        <w:jc w:val="left"/>
        <w:rPr>
          <w:rFonts w:ascii="Arial" w:hAnsi="Arial" w:cs="Arial"/>
          <w:b/>
          <w:sz w:val="24"/>
          <w:szCs w:val="24"/>
        </w:rPr>
      </w:pPr>
    </w:p>
    <w:p w:rsidR="00A35E7C" w:rsidRDefault="00A35E7C" w:rsidP="00C82F88">
      <w:pPr>
        <w:jc w:val="left"/>
        <w:rPr>
          <w:rFonts w:ascii="Arial" w:hAnsi="Arial" w:cs="Arial"/>
          <w:sz w:val="24"/>
          <w:szCs w:val="24"/>
        </w:rPr>
      </w:pPr>
      <w:r w:rsidRPr="009618C2">
        <w:rPr>
          <w:rFonts w:ascii="Arial" w:hAnsi="Arial" w:cs="Arial"/>
          <w:sz w:val="24"/>
          <w:szCs w:val="24"/>
        </w:rPr>
        <w:t>The</w:t>
      </w:r>
      <w:r>
        <w:rPr>
          <w:rFonts w:ascii="Arial" w:hAnsi="Arial" w:cs="Arial"/>
          <w:sz w:val="24"/>
          <w:szCs w:val="24"/>
        </w:rPr>
        <w:t xml:space="preserve"> </w:t>
      </w:r>
      <w:r w:rsidRPr="009618C2">
        <w:rPr>
          <w:rFonts w:ascii="Arial" w:hAnsi="Arial" w:cs="Arial"/>
          <w:sz w:val="24"/>
          <w:szCs w:val="24"/>
        </w:rPr>
        <w:t>Group’s financial reporting year ends on the nearest Saturday to 31 January. The current year is for the 53 weeks ended 2 February 2013 with the comparative financial year being for the 52 weeks ended 28 January 201</w:t>
      </w:r>
      <w:r w:rsidR="009A3A69">
        <w:rPr>
          <w:rFonts w:ascii="Arial" w:hAnsi="Arial" w:cs="Arial"/>
          <w:sz w:val="24"/>
          <w:szCs w:val="24"/>
        </w:rPr>
        <w:t>2</w:t>
      </w:r>
      <w:r w:rsidRPr="009618C2">
        <w:rPr>
          <w:rFonts w:ascii="Arial" w:hAnsi="Arial" w:cs="Arial"/>
          <w:sz w:val="24"/>
          <w:szCs w:val="24"/>
        </w:rPr>
        <w:t>. This only impacts the UK &amp; Ireland businesses with all of the other businesses reporting on a calendar basis as a result of local requirements. The effect of the 53</w:t>
      </w:r>
      <w:r w:rsidRPr="009618C2">
        <w:rPr>
          <w:rFonts w:ascii="Arial" w:hAnsi="Arial" w:cs="Arial"/>
          <w:sz w:val="24"/>
          <w:szCs w:val="24"/>
          <w:vertAlign w:val="superscript"/>
        </w:rPr>
        <w:t>rd</w:t>
      </w:r>
      <w:r w:rsidRPr="009618C2">
        <w:rPr>
          <w:rFonts w:ascii="Arial" w:hAnsi="Arial" w:cs="Arial"/>
          <w:sz w:val="24"/>
          <w:szCs w:val="24"/>
        </w:rPr>
        <w:t xml:space="preserve"> week on the results of the Group is the inclusion of an additional £72 million sales and an immaterial benefit to retail profit.</w:t>
      </w:r>
    </w:p>
    <w:p w:rsidR="00A35E7C" w:rsidRDefault="00A35E7C" w:rsidP="00C82F88">
      <w:pPr>
        <w:jc w:val="left"/>
        <w:rPr>
          <w:rFonts w:ascii="Arial" w:hAnsi="Arial" w:cs="Arial"/>
          <w:sz w:val="24"/>
          <w:szCs w:val="24"/>
        </w:rPr>
      </w:pPr>
    </w:p>
    <w:p w:rsidR="00A35E7C" w:rsidRPr="009618C2" w:rsidRDefault="00A35E7C" w:rsidP="00C82F88">
      <w:pPr>
        <w:jc w:val="left"/>
        <w:rPr>
          <w:rFonts w:ascii="Arial" w:hAnsi="Arial" w:cs="Arial"/>
          <w:sz w:val="24"/>
          <w:szCs w:val="24"/>
        </w:rPr>
      </w:pPr>
      <w:r>
        <w:rPr>
          <w:rFonts w:ascii="Arial" w:hAnsi="Arial" w:cs="Arial"/>
          <w:sz w:val="24"/>
          <w:szCs w:val="24"/>
        </w:rPr>
        <w:t>Total sales grew by 0.5% on a constant currency 52 week basis and declined by 2.4% to £10.6 billion (2011/12:</w:t>
      </w:r>
      <w:r w:rsidR="00F45FAA">
        <w:rPr>
          <w:rFonts w:ascii="Arial" w:hAnsi="Arial" w:cs="Arial"/>
          <w:sz w:val="24"/>
          <w:szCs w:val="24"/>
        </w:rPr>
        <w:t xml:space="preserve"> </w:t>
      </w:r>
      <w:r>
        <w:rPr>
          <w:rFonts w:ascii="Arial" w:hAnsi="Arial" w:cs="Arial"/>
          <w:sz w:val="24"/>
          <w:szCs w:val="24"/>
        </w:rPr>
        <w:t>£10.8 billion) on a reported rate basis. On a like-for-like basis, Group sales were down 2.9% (2011/12: +1.3%). Du</w:t>
      </w:r>
      <w:r w:rsidR="00D87B09">
        <w:rPr>
          <w:rFonts w:ascii="Arial" w:hAnsi="Arial" w:cs="Arial"/>
          <w:sz w:val="24"/>
          <w:szCs w:val="24"/>
        </w:rPr>
        <w:t>r</w:t>
      </w:r>
      <w:r>
        <w:rPr>
          <w:rFonts w:ascii="Arial" w:hAnsi="Arial" w:cs="Arial"/>
          <w:sz w:val="24"/>
          <w:szCs w:val="24"/>
        </w:rPr>
        <w:t xml:space="preserve">ing </w:t>
      </w:r>
      <w:r w:rsidR="00211C22">
        <w:rPr>
          <w:rFonts w:ascii="Arial" w:hAnsi="Arial" w:cs="Arial"/>
          <w:sz w:val="24"/>
          <w:szCs w:val="24"/>
        </w:rPr>
        <w:t>the year</w:t>
      </w:r>
      <w:r>
        <w:rPr>
          <w:rFonts w:ascii="Arial" w:hAnsi="Arial" w:cs="Arial"/>
          <w:sz w:val="24"/>
          <w:szCs w:val="24"/>
        </w:rPr>
        <w:t xml:space="preserve">, a net additional 69 new stores were opened, including 60 </w:t>
      </w:r>
      <w:proofErr w:type="spellStart"/>
      <w:r>
        <w:rPr>
          <w:rFonts w:ascii="Arial" w:hAnsi="Arial" w:cs="Arial"/>
          <w:sz w:val="24"/>
          <w:szCs w:val="24"/>
        </w:rPr>
        <w:t>Screwfix</w:t>
      </w:r>
      <w:proofErr w:type="spellEnd"/>
      <w:r>
        <w:rPr>
          <w:rFonts w:ascii="Arial" w:hAnsi="Arial" w:cs="Arial"/>
          <w:sz w:val="24"/>
          <w:szCs w:val="24"/>
        </w:rPr>
        <w:t xml:space="preserve"> outlets, taking the store network to 988 stores (excluding 37 Turkey JV stores).</w:t>
      </w:r>
    </w:p>
    <w:p w:rsidR="00753A3D" w:rsidRPr="00C82F88" w:rsidRDefault="00753A3D" w:rsidP="00C82F88">
      <w:pPr>
        <w:jc w:val="left"/>
        <w:rPr>
          <w:rFonts w:ascii="Arial" w:hAnsi="Arial" w:cs="Arial"/>
          <w:sz w:val="24"/>
          <w:szCs w:val="24"/>
        </w:rPr>
      </w:pPr>
    </w:p>
    <w:p w:rsidR="00C050BA" w:rsidRDefault="00C050BA" w:rsidP="00C82F88">
      <w:pPr>
        <w:jc w:val="left"/>
        <w:rPr>
          <w:rFonts w:ascii="Arial" w:hAnsi="Arial" w:cs="Arial"/>
          <w:sz w:val="24"/>
          <w:szCs w:val="24"/>
        </w:rPr>
      </w:pPr>
      <w:r w:rsidRPr="00C82F88">
        <w:rPr>
          <w:rFonts w:ascii="Arial" w:hAnsi="Arial" w:cs="Arial" w:hint="eastAsia"/>
          <w:b/>
          <w:sz w:val="24"/>
          <w:szCs w:val="24"/>
        </w:rPr>
        <w:t>Retail profit</w:t>
      </w:r>
      <w:r w:rsidRPr="00C82F88">
        <w:rPr>
          <w:rFonts w:ascii="Arial" w:hAnsi="Arial" w:cs="Arial"/>
          <w:sz w:val="24"/>
          <w:szCs w:val="24"/>
        </w:rPr>
        <w:t xml:space="preserve"> before exceptional items declined by £101 million to £781 million (2011/12: £882 million)</w:t>
      </w:r>
      <w:r w:rsidR="00F45FAA">
        <w:rPr>
          <w:rFonts w:ascii="Arial" w:hAnsi="Arial" w:cs="Arial"/>
          <w:sz w:val="24"/>
          <w:szCs w:val="24"/>
        </w:rPr>
        <w:t>,</w:t>
      </w:r>
      <w:r w:rsidRPr="00C82F88">
        <w:rPr>
          <w:rFonts w:ascii="Arial" w:hAnsi="Arial" w:cs="Arial"/>
          <w:sz w:val="24"/>
          <w:szCs w:val="24"/>
        </w:rPr>
        <w:t xml:space="preserve"> including a £39 million adverse foreign exchange movement representing a 7.3% decline on a constant currency basis. This</w:t>
      </w:r>
      <w:r w:rsidR="007F6F88">
        <w:rPr>
          <w:rFonts w:ascii="Arial" w:hAnsi="Arial" w:cs="Arial"/>
          <w:sz w:val="24"/>
          <w:szCs w:val="24"/>
        </w:rPr>
        <w:t xml:space="preserve"> decline</w:t>
      </w:r>
      <w:r w:rsidRPr="00C82F88">
        <w:rPr>
          <w:rFonts w:ascii="Arial" w:hAnsi="Arial" w:cs="Arial"/>
          <w:sz w:val="24"/>
          <w:szCs w:val="24"/>
        </w:rPr>
        <w:t xml:space="preserve"> was as a result of </w:t>
      </w:r>
      <w:r w:rsidR="00F45FAA" w:rsidRPr="00C82F88">
        <w:rPr>
          <w:rFonts w:ascii="Arial" w:hAnsi="Arial" w:cs="Arial" w:hint="eastAsia"/>
          <w:sz w:val="24"/>
          <w:szCs w:val="24"/>
        </w:rPr>
        <w:t>challenging trading conditions</w:t>
      </w:r>
      <w:r w:rsidR="007F6F88">
        <w:rPr>
          <w:rFonts w:ascii="Arial" w:hAnsi="Arial" w:cs="Arial"/>
          <w:sz w:val="24"/>
          <w:szCs w:val="24"/>
        </w:rPr>
        <w:t xml:space="preserve"> and</w:t>
      </w:r>
      <w:r w:rsidR="00F45FAA" w:rsidRPr="00C82F88">
        <w:rPr>
          <w:rFonts w:ascii="Arial" w:hAnsi="Arial" w:cs="Arial" w:hint="eastAsia"/>
          <w:sz w:val="24"/>
          <w:szCs w:val="24"/>
        </w:rPr>
        <w:t xml:space="preserve"> </w:t>
      </w:r>
      <w:r w:rsidRPr="00C82F88">
        <w:rPr>
          <w:rFonts w:ascii="Arial" w:hAnsi="Arial" w:cs="Arial"/>
          <w:sz w:val="24"/>
          <w:szCs w:val="24"/>
        </w:rPr>
        <w:t xml:space="preserve">unfavourable weather </w:t>
      </w:r>
      <w:r w:rsidRPr="00C82F88">
        <w:rPr>
          <w:rFonts w:ascii="Arial" w:hAnsi="Arial" w:cs="Arial" w:hint="eastAsia"/>
          <w:sz w:val="24"/>
          <w:szCs w:val="24"/>
        </w:rPr>
        <w:t>patterns</w:t>
      </w:r>
      <w:r w:rsidR="007F6F88">
        <w:rPr>
          <w:rFonts w:ascii="Arial" w:hAnsi="Arial" w:cs="Arial"/>
          <w:sz w:val="24"/>
          <w:szCs w:val="24"/>
        </w:rPr>
        <w:t>. I</w:t>
      </w:r>
      <w:r w:rsidRPr="00C82F88">
        <w:rPr>
          <w:rFonts w:ascii="Arial" w:hAnsi="Arial" w:cs="Arial" w:hint="eastAsia"/>
          <w:sz w:val="24"/>
          <w:szCs w:val="24"/>
        </w:rPr>
        <w:t xml:space="preserve">ncluding exceptional items, retail profit declined by 13.2% to </w:t>
      </w:r>
      <w:r w:rsidRPr="00C82F88">
        <w:rPr>
          <w:rFonts w:ascii="Arial" w:hAnsi="Arial" w:cs="Arial"/>
          <w:sz w:val="24"/>
          <w:szCs w:val="24"/>
        </w:rPr>
        <w:t>£755</w:t>
      </w:r>
      <w:r w:rsidRPr="00C82F88">
        <w:rPr>
          <w:rFonts w:ascii="Arial" w:hAnsi="Arial" w:cs="Arial" w:hint="eastAsia"/>
          <w:sz w:val="24"/>
          <w:szCs w:val="24"/>
        </w:rPr>
        <w:t xml:space="preserve"> million (2011/12: </w:t>
      </w:r>
      <w:r w:rsidRPr="00C82F88">
        <w:rPr>
          <w:rFonts w:ascii="Arial" w:hAnsi="Arial" w:cs="Arial"/>
          <w:sz w:val="24"/>
          <w:szCs w:val="24"/>
        </w:rPr>
        <w:t>£870</w:t>
      </w:r>
      <w:r w:rsidRPr="00C82F88">
        <w:rPr>
          <w:rFonts w:ascii="Arial" w:hAnsi="Arial" w:cs="Arial" w:hint="eastAsia"/>
          <w:sz w:val="24"/>
          <w:szCs w:val="24"/>
        </w:rPr>
        <w:t xml:space="preserve"> million).</w:t>
      </w:r>
    </w:p>
    <w:p w:rsidR="00753A3D" w:rsidRPr="00C82F88" w:rsidRDefault="00753A3D" w:rsidP="00C82F88">
      <w:pPr>
        <w:jc w:val="left"/>
        <w:rPr>
          <w:rFonts w:ascii="Arial" w:hAnsi="Arial" w:cs="Arial"/>
          <w:sz w:val="24"/>
          <w:szCs w:val="24"/>
        </w:rPr>
      </w:pPr>
    </w:p>
    <w:p w:rsidR="00C050BA" w:rsidRDefault="00C050BA" w:rsidP="00C82F88">
      <w:pPr>
        <w:jc w:val="left"/>
        <w:rPr>
          <w:rFonts w:ascii="Arial" w:hAnsi="Arial" w:cs="Arial"/>
          <w:sz w:val="24"/>
          <w:szCs w:val="24"/>
        </w:rPr>
      </w:pPr>
      <w:r w:rsidRPr="00C82F88">
        <w:rPr>
          <w:rFonts w:ascii="Arial" w:hAnsi="Arial" w:cs="Arial" w:hint="eastAsia"/>
          <w:sz w:val="24"/>
          <w:szCs w:val="24"/>
        </w:rPr>
        <w:t xml:space="preserve">The net </w:t>
      </w:r>
      <w:r w:rsidRPr="00C82F88">
        <w:rPr>
          <w:rFonts w:ascii="Arial" w:hAnsi="Arial" w:cs="Arial" w:hint="eastAsia"/>
          <w:b/>
          <w:sz w:val="24"/>
          <w:szCs w:val="24"/>
        </w:rPr>
        <w:t xml:space="preserve">interest </w:t>
      </w:r>
      <w:r w:rsidRPr="00C82F88">
        <w:rPr>
          <w:rFonts w:ascii="Arial" w:hAnsi="Arial" w:cs="Arial"/>
          <w:sz w:val="24"/>
          <w:szCs w:val="24"/>
        </w:rPr>
        <w:t xml:space="preserve">charge for the year was £4 million, down £6 million on the prior period. A breakdown of this </w:t>
      </w:r>
      <w:r w:rsidRPr="00C82F88">
        <w:rPr>
          <w:rFonts w:ascii="Arial" w:hAnsi="Arial" w:cs="Arial" w:hint="eastAsia"/>
          <w:sz w:val="24"/>
          <w:szCs w:val="24"/>
        </w:rPr>
        <w:t xml:space="preserve">is shown below. </w:t>
      </w:r>
    </w:p>
    <w:p w:rsidR="00753A3D" w:rsidRPr="00C82F88" w:rsidRDefault="00753A3D" w:rsidP="00C82F88">
      <w:pPr>
        <w:jc w:val="left"/>
        <w:rPr>
          <w:rFonts w:ascii="Arial" w:hAnsi="Arial" w:cs="Arial"/>
          <w:sz w:val="24"/>
          <w:szCs w:val="24"/>
        </w:rPr>
      </w:pPr>
    </w:p>
    <w:p w:rsidR="00C050BA" w:rsidRDefault="00C050BA" w:rsidP="00C82F88">
      <w:pPr>
        <w:jc w:val="left"/>
        <w:rPr>
          <w:rFonts w:ascii="Arial" w:hAnsi="Arial" w:cs="Arial"/>
          <w:sz w:val="24"/>
          <w:szCs w:val="24"/>
        </w:rPr>
      </w:pPr>
      <w:r w:rsidRPr="00C82F88">
        <w:rPr>
          <w:rFonts w:ascii="Arial" w:hAnsi="Arial" w:cs="Arial" w:hint="eastAsia"/>
          <w:b/>
          <w:sz w:val="24"/>
          <w:szCs w:val="24"/>
        </w:rPr>
        <w:t>Profit before tax</w:t>
      </w:r>
      <w:r w:rsidRPr="00C82F88">
        <w:rPr>
          <w:rFonts w:ascii="Arial" w:hAnsi="Arial" w:cs="Arial"/>
          <w:sz w:val="24"/>
          <w:szCs w:val="24"/>
        </w:rPr>
        <w:t xml:space="preserve"> declined by 13.3% to £691 million</w:t>
      </w:r>
      <w:r w:rsidR="007F6F88">
        <w:rPr>
          <w:rFonts w:ascii="Arial" w:hAnsi="Arial" w:cs="Arial"/>
          <w:sz w:val="24"/>
          <w:szCs w:val="24"/>
        </w:rPr>
        <w:t xml:space="preserve">. </w:t>
      </w:r>
      <w:r w:rsidRPr="00C82F88">
        <w:rPr>
          <w:rFonts w:ascii="Arial" w:hAnsi="Arial" w:cs="Arial"/>
          <w:sz w:val="24"/>
          <w:szCs w:val="24"/>
        </w:rPr>
        <w:t xml:space="preserve">After removing the impact of exceptional items and fair value </w:t>
      </w:r>
      <w:proofErr w:type="spellStart"/>
      <w:r w:rsidRPr="00C82F88">
        <w:rPr>
          <w:rFonts w:ascii="Arial" w:hAnsi="Arial" w:cs="Arial" w:hint="eastAsia"/>
          <w:sz w:val="24"/>
          <w:szCs w:val="24"/>
        </w:rPr>
        <w:t>remeasurements</w:t>
      </w:r>
      <w:proofErr w:type="spellEnd"/>
      <w:r w:rsidRPr="00C82F88">
        <w:rPr>
          <w:rFonts w:ascii="Arial" w:hAnsi="Arial" w:cs="Arial" w:hint="eastAsia"/>
          <w:sz w:val="24"/>
          <w:szCs w:val="24"/>
        </w:rPr>
        <w:t xml:space="preserve">, </w:t>
      </w:r>
      <w:r w:rsidRPr="00C82F88">
        <w:rPr>
          <w:rFonts w:ascii="Arial" w:hAnsi="Arial" w:cs="Arial" w:hint="eastAsia"/>
          <w:b/>
          <w:sz w:val="24"/>
          <w:szCs w:val="24"/>
        </w:rPr>
        <w:t>adjusted pre-tax profit</w:t>
      </w:r>
      <w:r w:rsidRPr="00C82F88">
        <w:rPr>
          <w:rFonts w:ascii="Arial" w:hAnsi="Arial" w:cs="Arial"/>
          <w:sz w:val="24"/>
          <w:szCs w:val="24"/>
        </w:rPr>
        <w:t xml:space="preserve"> declined by 11.4% to £715 million.</w:t>
      </w:r>
    </w:p>
    <w:p w:rsidR="00753A3D" w:rsidRPr="00C82F88" w:rsidRDefault="00753A3D" w:rsidP="00C82F88">
      <w:pPr>
        <w:jc w:val="left"/>
        <w:rPr>
          <w:rFonts w:ascii="Arial" w:hAnsi="Arial" w:cs="Arial"/>
          <w:sz w:val="24"/>
          <w:szCs w:val="24"/>
        </w:rPr>
      </w:pPr>
    </w:p>
    <w:p w:rsidR="00C050BA" w:rsidRDefault="00C050BA" w:rsidP="00C82F88">
      <w:pPr>
        <w:jc w:val="left"/>
        <w:rPr>
          <w:rFonts w:ascii="Arial" w:hAnsi="Arial" w:cs="Arial"/>
          <w:sz w:val="24"/>
          <w:szCs w:val="24"/>
        </w:rPr>
      </w:pPr>
      <w:r w:rsidRPr="00C82F88">
        <w:rPr>
          <w:rFonts w:ascii="Arial" w:hAnsi="Arial" w:cs="Arial" w:hint="eastAsia"/>
          <w:b/>
          <w:sz w:val="24"/>
          <w:szCs w:val="24"/>
        </w:rPr>
        <w:t>Profit after tax</w:t>
      </w:r>
      <w:r w:rsidRPr="00C82F88">
        <w:rPr>
          <w:rFonts w:ascii="Arial" w:hAnsi="Arial" w:cs="Arial"/>
          <w:sz w:val="24"/>
          <w:szCs w:val="24"/>
        </w:rPr>
        <w:t xml:space="preserve"> for the period was £564 million (2011/12: £639 million). This resulted in the Group recording a </w:t>
      </w:r>
      <w:r w:rsidRPr="00C82F88">
        <w:rPr>
          <w:rFonts w:ascii="Arial" w:hAnsi="Arial" w:cs="Arial" w:hint="eastAsia"/>
          <w:b/>
          <w:sz w:val="24"/>
          <w:szCs w:val="24"/>
        </w:rPr>
        <w:t>basic EPS</w:t>
      </w:r>
      <w:r w:rsidRPr="00C82F88">
        <w:rPr>
          <w:rFonts w:ascii="Arial" w:hAnsi="Arial" w:cs="Arial" w:hint="eastAsia"/>
          <w:sz w:val="24"/>
          <w:szCs w:val="24"/>
        </w:rPr>
        <w:t xml:space="preserve"> of 24.1p in the year (2011/12: 27.5p).</w:t>
      </w:r>
    </w:p>
    <w:p w:rsidR="00753A3D" w:rsidRDefault="00753A3D" w:rsidP="00C82F88">
      <w:pPr>
        <w:jc w:val="left"/>
        <w:rPr>
          <w:rFonts w:ascii="Arial" w:hAnsi="Arial" w:cs="Arial"/>
          <w:sz w:val="24"/>
          <w:szCs w:val="24"/>
        </w:rPr>
      </w:pPr>
    </w:p>
    <w:p w:rsidR="00546A62" w:rsidRDefault="00546A62" w:rsidP="00C82F88">
      <w:pPr>
        <w:jc w:val="left"/>
        <w:rPr>
          <w:rFonts w:ascii="Arial" w:hAnsi="Arial" w:cs="Arial"/>
          <w:sz w:val="24"/>
          <w:szCs w:val="24"/>
        </w:rPr>
      </w:pPr>
      <w:r w:rsidRPr="00C82F88">
        <w:rPr>
          <w:rFonts w:ascii="Arial" w:hAnsi="Arial" w:cs="Arial" w:hint="eastAsia"/>
          <w:sz w:val="24"/>
          <w:szCs w:val="24"/>
        </w:rPr>
        <w:t xml:space="preserve">Net </w:t>
      </w:r>
      <w:r w:rsidRPr="00C82F88">
        <w:rPr>
          <w:rFonts w:ascii="Arial" w:hAnsi="Arial" w:cs="Arial" w:hint="eastAsia"/>
          <w:b/>
          <w:sz w:val="24"/>
          <w:szCs w:val="24"/>
        </w:rPr>
        <w:t xml:space="preserve">interest </w:t>
      </w:r>
      <w:r w:rsidRPr="00C82F88">
        <w:rPr>
          <w:rFonts w:ascii="Arial" w:hAnsi="Arial" w:cs="Arial" w:hint="eastAsia"/>
          <w:sz w:val="24"/>
          <w:szCs w:val="24"/>
        </w:rPr>
        <w:t xml:space="preserve">has decreased by </w:t>
      </w:r>
      <w:r w:rsidRPr="00C82F88">
        <w:rPr>
          <w:rFonts w:ascii="Arial" w:hAnsi="Arial" w:cs="Arial"/>
          <w:sz w:val="24"/>
          <w:szCs w:val="24"/>
        </w:rPr>
        <w:t>£</w:t>
      </w:r>
      <w:r w:rsidRPr="00C82F88">
        <w:rPr>
          <w:rFonts w:ascii="Arial" w:hAnsi="Arial" w:cs="Arial" w:hint="eastAsia"/>
          <w:sz w:val="24"/>
          <w:szCs w:val="24"/>
        </w:rPr>
        <w:t>6 million in the year. The breakdown is as follows:</w:t>
      </w:r>
    </w:p>
    <w:p w:rsidR="00546A62" w:rsidRPr="00C82F88" w:rsidRDefault="00546A62" w:rsidP="00C82F88">
      <w:pPr>
        <w:jc w:val="left"/>
        <w:rPr>
          <w:rFonts w:ascii="Arial" w:hAnsi="Arial" w:cs="Arial"/>
          <w:sz w:val="24"/>
          <w:szCs w:val="24"/>
        </w:rPr>
      </w:pPr>
    </w:p>
    <w:tbl>
      <w:tblPr>
        <w:tblW w:w="4873" w:type="pct"/>
        <w:tblLook w:val="0000" w:firstRow="0" w:lastRow="0" w:firstColumn="0" w:lastColumn="0" w:noHBand="0" w:noVBand="0"/>
      </w:tblPr>
      <w:tblGrid>
        <w:gridCol w:w="6949"/>
        <w:gridCol w:w="1353"/>
        <w:gridCol w:w="1305"/>
      </w:tblGrid>
      <w:tr w:rsidR="00EE1AB2" w:rsidRPr="00525B67" w:rsidTr="00C82F88">
        <w:trPr>
          <w:trHeight w:val="525"/>
        </w:trPr>
        <w:tc>
          <w:tcPr>
            <w:tcW w:w="3616" w:type="pct"/>
            <w:tcBorders>
              <w:bottom w:val="single" w:sz="4" w:space="0" w:color="auto"/>
            </w:tcBorders>
            <w:shd w:val="clear" w:color="auto" w:fill="auto"/>
            <w:vAlign w:val="bottom"/>
          </w:tcPr>
          <w:p w:rsidR="00EE1AB2" w:rsidRPr="00525B67" w:rsidRDefault="00EE1AB2" w:rsidP="005F309B">
            <w:pPr>
              <w:jc w:val="left"/>
              <w:rPr>
                <w:rFonts w:ascii="Arial" w:hAnsi="Arial" w:cs="Arial"/>
                <w:bCs/>
                <w:sz w:val="24"/>
                <w:szCs w:val="24"/>
                <w:highlight w:val="yellow"/>
              </w:rPr>
            </w:pPr>
          </w:p>
        </w:tc>
        <w:tc>
          <w:tcPr>
            <w:tcW w:w="704" w:type="pct"/>
            <w:tcBorders>
              <w:bottom w:val="single" w:sz="4" w:space="0" w:color="auto"/>
            </w:tcBorders>
            <w:shd w:val="clear" w:color="auto" w:fill="auto"/>
            <w:vAlign w:val="bottom"/>
          </w:tcPr>
          <w:p w:rsidR="00EE1AB2" w:rsidRPr="00C9291D" w:rsidRDefault="00EE1AB2" w:rsidP="005F309B">
            <w:pPr>
              <w:jc w:val="right"/>
              <w:rPr>
                <w:rFonts w:ascii="Arial" w:hAnsi="Arial" w:cs="Arial"/>
                <w:b/>
                <w:bCs/>
                <w:sz w:val="24"/>
                <w:szCs w:val="24"/>
              </w:rPr>
            </w:pPr>
            <w:r w:rsidRPr="00C9291D">
              <w:rPr>
                <w:rFonts w:ascii="Arial" w:hAnsi="Arial" w:cs="Arial"/>
                <w:b/>
                <w:bCs/>
                <w:sz w:val="24"/>
                <w:szCs w:val="24"/>
              </w:rPr>
              <w:t>2012/13</w:t>
            </w:r>
          </w:p>
          <w:p w:rsidR="00EE1AB2" w:rsidRPr="00EF013D" w:rsidRDefault="00EE1AB2" w:rsidP="005F309B">
            <w:pPr>
              <w:jc w:val="right"/>
              <w:rPr>
                <w:rFonts w:ascii="Arial" w:hAnsi="Arial" w:cs="Arial"/>
                <w:b/>
                <w:bCs/>
                <w:sz w:val="24"/>
                <w:szCs w:val="24"/>
              </w:rPr>
            </w:pPr>
            <w:r w:rsidRPr="00C9291D">
              <w:rPr>
                <w:rFonts w:ascii="Arial" w:hAnsi="Arial" w:cs="Arial"/>
                <w:b/>
                <w:bCs/>
                <w:sz w:val="24"/>
                <w:szCs w:val="24"/>
              </w:rPr>
              <w:t>£m</w:t>
            </w:r>
          </w:p>
        </w:tc>
        <w:tc>
          <w:tcPr>
            <w:tcW w:w="679" w:type="pct"/>
            <w:tcBorders>
              <w:bottom w:val="single" w:sz="4" w:space="0" w:color="auto"/>
            </w:tcBorders>
            <w:vAlign w:val="bottom"/>
          </w:tcPr>
          <w:p w:rsidR="00EE1AB2" w:rsidRPr="00C9291D" w:rsidRDefault="00EE1AB2" w:rsidP="005F309B">
            <w:pPr>
              <w:jc w:val="right"/>
              <w:rPr>
                <w:rFonts w:ascii="Arial" w:hAnsi="Arial" w:cs="Arial"/>
                <w:bCs/>
                <w:sz w:val="24"/>
                <w:szCs w:val="24"/>
              </w:rPr>
            </w:pPr>
            <w:r w:rsidRPr="00C9291D">
              <w:rPr>
                <w:rFonts w:ascii="Arial" w:hAnsi="Arial" w:cs="Arial"/>
                <w:bCs/>
                <w:sz w:val="24"/>
                <w:szCs w:val="24"/>
              </w:rPr>
              <w:t>2011/12</w:t>
            </w:r>
          </w:p>
          <w:p w:rsidR="00EE1AB2" w:rsidRPr="00185E72" w:rsidRDefault="00EE1AB2" w:rsidP="005F309B">
            <w:pPr>
              <w:jc w:val="right"/>
              <w:rPr>
                <w:rFonts w:ascii="Arial" w:hAnsi="Arial" w:cs="Arial"/>
                <w:bCs/>
                <w:sz w:val="24"/>
                <w:szCs w:val="24"/>
              </w:rPr>
            </w:pPr>
            <w:r w:rsidRPr="00C9291D">
              <w:rPr>
                <w:rFonts w:ascii="Arial" w:hAnsi="Arial" w:cs="Arial"/>
                <w:bCs/>
                <w:sz w:val="24"/>
                <w:szCs w:val="24"/>
              </w:rPr>
              <w:t>£m</w:t>
            </w:r>
          </w:p>
        </w:tc>
      </w:tr>
      <w:tr w:rsidR="00EE1AB2" w:rsidRPr="00525B67" w:rsidTr="00C82F88">
        <w:trPr>
          <w:trHeight w:val="254"/>
        </w:trPr>
        <w:tc>
          <w:tcPr>
            <w:tcW w:w="3616" w:type="pct"/>
            <w:tcBorders>
              <w:top w:val="single" w:sz="4" w:space="0" w:color="auto"/>
            </w:tcBorders>
            <w:shd w:val="clear" w:color="auto" w:fill="auto"/>
            <w:vAlign w:val="bottom"/>
          </w:tcPr>
          <w:p w:rsidR="00EE1AB2" w:rsidRPr="00C82F88" w:rsidRDefault="00EE1AB2" w:rsidP="00C82F88">
            <w:pPr>
              <w:jc w:val="left"/>
              <w:rPr>
                <w:rFonts w:ascii="Arial" w:hAnsi="Arial" w:cs="Arial"/>
                <w:sz w:val="24"/>
                <w:szCs w:val="24"/>
              </w:rPr>
            </w:pPr>
            <w:r w:rsidRPr="00C82F88">
              <w:rPr>
                <w:rFonts w:ascii="Arial" w:hAnsi="Arial" w:cs="Arial"/>
                <w:sz w:val="24"/>
                <w:szCs w:val="24"/>
              </w:rPr>
              <w:t>Underlying net interest</w:t>
            </w:r>
          </w:p>
        </w:tc>
        <w:tc>
          <w:tcPr>
            <w:tcW w:w="704" w:type="pct"/>
            <w:tcBorders>
              <w:top w:val="single" w:sz="4" w:space="0" w:color="auto"/>
            </w:tcBorders>
            <w:shd w:val="clear" w:color="auto" w:fill="auto"/>
            <w:vAlign w:val="bottom"/>
          </w:tcPr>
          <w:p w:rsidR="00EE1AB2" w:rsidRPr="00D26AE2" w:rsidRDefault="00546A62" w:rsidP="005F309B">
            <w:pPr>
              <w:jc w:val="right"/>
              <w:rPr>
                <w:rFonts w:ascii="Arial" w:hAnsi="Arial" w:cs="Arial"/>
                <w:b/>
                <w:sz w:val="24"/>
                <w:szCs w:val="24"/>
              </w:rPr>
            </w:pPr>
            <w:r>
              <w:rPr>
                <w:rFonts w:ascii="Arial" w:hAnsi="Arial" w:cs="Arial"/>
                <w:b/>
                <w:sz w:val="24"/>
                <w:szCs w:val="24"/>
              </w:rPr>
              <w:t>(6)</w:t>
            </w:r>
          </w:p>
        </w:tc>
        <w:tc>
          <w:tcPr>
            <w:tcW w:w="679" w:type="pct"/>
            <w:tcBorders>
              <w:top w:val="single" w:sz="4" w:space="0" w:color="auto"/>
            </w:tcBorders>
            <w:vAlign w:val="bottom"/>
          </w:tcPr>
          <w:p w:rsidR="00EE1AB2" w:rsidRPr="00C9291D" w:rsidRDefault="00546A62" w:rsidP="005F309B">
            <w:pPr>
              <w:jc w:val="right"/>
              <w:rPr>
                <w:rFonts w:ascii="Arial" w:hAnsi="Arial" w:cs="Arial"/>
                <w:sz w:val="24"/>
                <w:szCs w:val="24"/>
              </w:rPr>
            </w:pPr>
            <w:r>
              <w:rPr>
                <w:rFonts w:ascii="Arial" w:hAnsi="Arial" w:cs="Arial"/>
                <w:sz w:val="24"/>
                <w:szCs w:val="24"/>
              </w:rPr>
              <w:t>(12)</w:t>
            </w:r>
          </w:p>
        </w:tc>
      </w:tr>
      <w:tr w:rsidR="00EE1AB2" w:rsidRPr="00525B67" w:rsidTr="00C82F88">
        <w:trPr>
          <w:trHeight w:val="254"/>
        </w:trPr>
        <w:tc>
          <w:tcPr>
            <w:tcW w:w="3616" w:type="pct"/>
            <w:shd w:val="clear" w:color="auto" w:fill="auto"/>
            <w:vAlign w:val="bottom"/>
          </w:tcPr>
          <w:p w:rsidR="00EE1AB2" w:rsidRPr="00EF013D" w:rsidRDefault="00EE1AB2" w:rsidP="00C82F88">
            <w:pPr>
              <w:jc w:val="left"/>
              <w:rPr>
                <w:rFonts w:ascii="Arial" w:hAnsi="Arial" w:cs="Arial"/>
                <w:sz w:val="24"/>
                <w:szCs w:val="24"/>
              </w:rPr>
            </w:pPr>
            <w:r w:rsidRPr="00EF013D">
              <w:rPr>
                <w:rFonts w:ascii="Arial" w:hAnsi="Arial" w:cs="Arial"/>
                <w:sz w:val="24"/>
                <w:szCs w:val="24"/>
              </w:rPr>
              <w:t xml:space="preserve">Financing fair value </w:t>
            </w:r>
            <w:proofErr w:type="spellStart"/>
            <w:r w:rsidRPr="00EF013D">
              <w:rPr>
                <w:rFonts w:ascii="Arial" w:hAnsi="Arial" w:cs="Arial"/>
                <w:sz w:val="24"/>
                <w:szCs w:val="24"/>
              </w:rPr>
              <w:t>remeasurements</w:t>
            </w:r>
            <w:proofErr w:type="spellEnd"/>
            <w:r w:rsidR="00546A62">
              <w:rPr>
                <w:rFonts w:ascii="Arial" w:hAnsi="Arial" w:cs="Arial"/>
                <w:sz w:val="24"/>
                <w:szCs w:val="24"/>
              </w:rPr>
              <w:t xml:space="preserve"> (FFVR) </w:t>
            </w:r>
            <w:r w:rsidR="00546A62" w:rsidRPr="00EC015F">
              <w:rPr>
                <w:rFonts w:ascii="Arial" w:hAnsi="Arial" w:cs="Arial"/>
                <w:i/>
                <w:sz w:val="24"/>
                <w:szCs w:val="24"/>
                <w:vertAlign w:val="superscript"/>
              </w:rPr>
              <w:t>(1)</w:t>
            </w:r>
          </w:p>
        </w:tc>
        <w:tc>
          <w:tcPr>
            <w:tcW w:w="704" w:type="pct"/>
            <w:shd w:val="clear" w:color="auto" w:fill="auto"/>
            <w:vAlign w:val="bottom"/>
          </w:tcPr>
          <w:p w:rsidR="00EE1AB2" w:rsidRPr="00D26AE2" w:rsidRDefault="00546A62" w:rsidP="005F309B">
            <w:pPr>
              <w:jc w:val="right"/>
              <w:rPr>
                <w:rFonts w:ascii="Arial" w:hAnsi="Arial" w:cs="Arial"/>
                <w:b/>
                <w:sz w:val="24"/>
                <w:szCs w:val="24"/>
              </w:rPr>
            </w:pPr>
            <w:r>
              <w:rPr>
                <w:rFonts w:ascii="Arial" w:hAnsi="Arial" w:cs="Arial"/>
                <w:b/>
                <w:sz w:val="24"/>
                <w:szCs w:val="24"/>
              </w:rPr>
              <w:t>2</w:t>
            </w:r>
          </w:p>
        </w:tc>
        <w:tc>
          <w:tcPr>
            <w:tcW w:w="679" w:type="pct"/>
            <w:vAlign w:val="bottom"/>
          </w:tcPr>
          <w:p w:rsidR="00EE1AB2" w:rsidRPr="00C9291D" w:rsidRDefault="00546A62" w:rsidP="005F309B">
            <w:pPr>
              <w:jc w:val="right"/>
              <w:rPr>
                <w:rFonts w:ascii="Arial" w:hAnsi="Arial" w:cs="Arial"/>
                <w:sz w:val="24"/>
                <w:szCs w:val="24"/>
              </w:rPr>
            </w:pPr>
            <w:r>
              <w:rPr>
                <w:rFonts w:ascii="Arial" w:hAnsi="Arial" w:cs="Arial"/>
                <w:sz w:val="24"/>
                <w:szCs w:val="24"/>
              </w:rPr>
              <w:t>2</w:t>
            </w:r>
          </w:p>
        </w:tc>
      </w:tr>
      <w:tr w:rsidR="00EE1AB2" w:rsidRPr="00525B67" w:rsidTr="00C82F88">
        <w:trPr>
          <w:trHeight w:val="308"/>
        </w:trPr>
        <w:tc>
          <w:tcPr>
            <w:tcW w:w="3616" w:type="pct"/>
            <w:tcBorders>
              <w:top w:val="single" w:sz="4" w:space="0" w:color="auto"/>
              <w:bottom w:val="single" w:sz="4" w:space="0" w:color="auto"/>
            </w:tcBorders>
            <w:shd w:val="clear" w:color="auto" w:fill="auto"/>
            <w:vAlign w:val="bottom"/>
          </w:tcPr>
          <w:p w:rsidR="00EE1AB2" w:rsidRPr="00EF013D" w:rsidRDefault="00EE1AB2">
            <w:pPr>
              <w:jc w:val="left"/>
              <w:rPr>
                <w:rFonts w:ascii="Arial" w:hAnsi="Arial" w:cs="Arial"/>
                <w:b/>
                <w:sz w:val="24"/>
                <w:szCs w:val="24"/>
              </w:rPr>
            </w:pPr>
            <w:r w:rsidRPr="00EF013D">
              <w:rPr>
                <w:rFonts w:ascii="Arial" w:hAnsi="Arial" w:cs="Arial"/>
                <w:b/>
                <w:sz w:val="24"/>
                <w:szCs w:val="24"/>
              </w:rPr>
              <w:t xml:space="preserve">Statutory net interest </w:t>
            </w:r>
          </w:p>
        </w:tc>
        <w:tc>
          <w:tcPr>
            <w:tcW w:w="704" w:type="pct"/>
            <w:tcBorders>
              <w:top w:val="single" w:sz="4" w:space="0" w:color="auto"/>
              <w:bottom w:val="single" w:sz="4" w:space="0" w:color="auto"/>
            </w:tcBorders>
            <w:shd w:val="clear" w:color="auto" w:fill="auto"/>
            <w:vAlign w:val="bottom"/>
          </w:tcPr>
          <w:p w:rsidR="00EE1AB2" w:rsidRPr="00D26AE2" w:rsidRDefault="00546A62" w:rsidP="005F309B">
            <w:pPr>
              <w:jc w:val="right"/>
              <w:rPr>
                <w:rFonts w:ascii="Arial" w:hAnsi="Arial" w:cs="Arial"/>
                <w:b/>
                <w:sz w:val="24"/>
                <w:szCs w:val="24"/>
              </w:rPr>
            </w:pPr>
            <w:r>
              <w:rPr>
                <w:rFonts w:ascii="Arial" w:hAnsi="Arial" w:cs="Arial"/>
                <w:b/>
                <w:sz w:val="24"/>
                <w:szCs w:val="24"/>
              </w:rPr>
              <w:t>(4)</w:t>
            </w:r>
          </w:p>
        </w:tc>
        <w:tc>
          <w:tcPr>
            <w:tcW w:w="679" w:type="pct"/>
            <w:tcBorders>
              <w:top w:val="single" w:sz="4" w:space="0" w:color="auto"/>
              <w:bottom w:val="single" w:sz="4" w:space="0" w:color="auto"/>
            </w:tcBorders>
            <w:vAlign w:val="bottom"/>
          </w:tcPr>
          <w:p w:rsidR="00EE1AB2" w:rsidRPr="00C9291D" w:rsidRDefault="00546A62" w:rsidP="005F309B">
            <w:pPr>
              <w:jc w:val="right"/>
              <w:rPr>
                <w:rFonts w:ascii="Arial" w:hAnsi="Arial" w:cs="Arial"/>
                <w:sz w:val="24"/>
                <w:szCs w:val="24"/>
              </w:rPr>
            </w:pPr>
            <w:r>
              <w:rPr>
                <w:rFonts w:ascii="Arial" w:hAnsi="Arial" w:cs="Arial"/>
                <w:sz w:val="24"/>
                <w:szCs w:val="24"/>
              </w:rPr>
              <w:t>(10)</w:t>
            </w:r>
          </w:p>
        </w:tc>
      </w:tr>
    </w:tbl>
    <w:p w:rsidR="00D87B09" w:rsidRDefault="00D87B09" w:rsidP="00C82F88">
      <w:pPr>
        <w:jc w:val="left"/>
        <w:rPr>
          <w:rFonts w:ascii="Arial" w:hAnsi="Arial" w:cs="Arial"/>
          <w:i/>
          <w:sz w:val="18"/>
          <w:szCs w:val="18"/>
          <w:vertAlign w:val="superscript"/>
        </w:rPr>
      </w:pPr>
    </w:p>
    <w:p w:rsidR="00EE1AB2" w:rsidRPr="00C82F88" w:rsidRDefault="00546A62" w:rsidP="00C82F88">
      <w:pPr>
        <w:jc w:val="left"/>
        <w:rPr>
          <w:rFonts w:ascii="Arial" w:hAnsi="Arial" w:cs="Arial"/>
          <w:i/>
          <w:sz w:val="18"/>
          <w:szCs w:val="18"/>
        </w:rPr>
      </w:pPr>
      <w:r w:rsidRPr="00C82F88">
        <w:rPr>
          <w:rFonts w:ascii="Arial" w:hAnsi="Arial" w:cs="Arial"/>
          <w:i/>
          <w:sz w:val="18"/>
          <w:szCs w:val="18"/>
          <w:vertAlign w:val="superscript"/>
        </w:rPr>
        <w:t>(1)</w:t>
      </w:r>
      <w:r>
        <w:rPr>
          <w:rFonts w:ascii="Arial" w:hAnsi="Arial" w:cs="Arial"/>
          <w:i/>
          <w:sz w:val="18"/>
          <w:szCs w:val="18"/>
        </w:rPr>
        <w:t xml:space="preserve"> </w:t>
      </w:r>
      <w:r w:rsidR="00EE1AB2" w:rsidRPr="00C82F88">
        <w:rPr>
          <w:rFonts w:ascii="Arial" w:hAnsi="Arial" w:cs="Arial"/>
          <w:i/>
          <w:sz w:val="18"/>
          <w:szCs w:val="18"/>
        </w:rPr>
        <w:t>FFVR represents changes in the fair value of financing derivatives, excluding interest accruals, offset by fair value adjustments to the carrying value of borrowings and other hedged items under fair value hedge relationships.</w:t>
      </w:r>
    </w:p>
    <w:p w:rsidR="00546A62" w:rsidRPr="00F12B6F" w:rsidRDefault="00546A62" w:rsidP="00EE1AB2">
      <w:pPr>
        <w:pStyle w:val="Footnotes"/>
      </w:pPr>
    </w:p>
    <w:p w:rsidR="00EE1AB2" w:rsidRDefault="00EE1AB2" w:rsidP="00C82F88">
      <w:pPr>
        <w:jc w:val="left"/>
        <w:rPr>
          <w:rFonts w:ascii="Arial" w:hAnsi="Arial" w:cs="Arial"/>
          <w:sz w:val="24"/>
          <w:szCs w:val="24"/>
        </w:rPr>
      </w:pPr>
      <w:r w:rsidRPr="00C82F88">
        <w:rPr>
          <w:rFonts w:ascii="Arial" w:hAnsi="Arial" w:cs="Arial"/>
          <w:sz w:val="24"/>
          <w:szCs w:val="24"/>
        </w:rPr>
        <w:t xml:space="preserve">Underlying net interest has fallen by £6 million driven by a fall in interest on net debt as a result of the repayment of </w:t>
      </w:r>
      <w:r w:rsidR="00365F16">
        <w:rPr>
          <w:rFonts w:ascii="Arial" w:hAnsi="Arial" w:cs="Arial"/>
          <w:sz w:val="24"/>
          <w:szCs w:val="24"/>
        </w:rPr>
        <w:t>€200</w:t>
      </w:r>
      <w:r w:rsidRPr="00C82F88">
        <w:rPr>
          <w:rFonts w:ascii="Arial" w:hAnsi="Arial" w:cs="Arial"/>
          <w:sz w:val="24"/>
          <w:szCs w:val="24"/>
        </w:rPr>
        <w:t xml:space="preserve"> </w:t>
      </w:r>
      <w:r w:rsidR="00546A62">
        <w:rPr>
          <w:rFonts w:ascii="Arial" w:hAnsi="Arial" w:cs="Arial"/>
          <w:sz w:val="24"/>
          <w:szCs w:val="24"/>
        </w:rPr>
        <w:t>million</w:t>
      </w:r>
      <w:r w:rsidR="00365F16">
        <w:rPr>
          <w:rFonts w:ascii="Arial" w:hAnsi="Arial" w:cs="Arial"/>
          <w:sz w:val="24"/>
          <w:szCs w:val="24"/>
        </w:rPr>
        <w:t xml:space="preserve"> (£1</w:t>
      </w:r>
      <w:r w:rsidR="00831473">
        <w:rPr>
          <w:rFonts w:ascii="Arial" w:hAnsi="Arial" w:cs="Arial"/>
          <w:sz w:val="24"/>
          <w:szCs w:val="24"/>
        </w:rPr>
        <w:t>62</w:t>
      </w:r>
      <w:r w:rsidR="00365F16">
        <w:rPr>
          <w:rFonts w:ascii="Arial" w:hAnsi="Arial" w:cs="Arial"/>
          <w:sz w:val="24"/>
          <w:szCs w:val="24"/>
        </w:rPr>
        <w:t xml:space="preserve"> million)</w:t>
      </w:r>
      <w:r w:rsidR="00546A62">
        <w:rPr>
          <w:rFonts w:ascii="Arial" w:hAnsi="Arial" w:cs="Arial"/>
          <w:sz w:val="24"/>
          <w:szCs w:val="24"/>
        </w:rPr>
        <w:t xml:space="preserve"> </w:t>
      </w:r>
      <w:r w:rsidRPr="00C82F88">
        <w:rPr>
          <w:rFonts w:ascii="Arial" w:hAnsi="Arial" w:cs="Arial" w:hint="eastAsia"/>
          <w:sz w:val="24"/>
          <w:szCs w:val="24"/>
        </w:rPr>
        <w:t>EMTN</w:t>
      </w:r>
      <w:r w:rsidR="00F811DB">
        <w:rPr>
          <w:rFonts w:ascii="Arial" w:hAnsi="Arial" w:cs="Arial"/>
          <w:sz w:val="24"/>
          <w:szCs w:val="24"/>
        </w:rPr>
        <w:t xml:space="preserve"> </w:t>
      </w:r>
      <w:r w:rsidR="00F811DB" w:rsidRPr="00842F7C">
        <w:rPr>
          <w:rFonts w:ascii="Arial" w:hAnsi="Arial" w:cs="Arial"/>
          <w:i/>
          <w:sz w:val="24"/>
          <w:szCs w:val="24"/>
          <w:vertAlign w:val="superscript"/>
        </w:rPr>
        <w:t>(</w:t>
      </w:r>
      <w:r w:rsidR="00F811DB">
        <w:rPr>
          <w:rFonts w:ascii="Arial" w:hAnsi="Arial" w:cs="Arial"/>
          <w:i/>
          <w:sz w:val="24"/>
          <w:szCs w:val="24"/>
          <w:vertAlign w:val="superscript"/>
        </w:rPr>
        <w:t>2</w:t>
      </w:r>
      <w:r w:rsidR="00F811DB" w:rsidRPr="00842F7C">
        <w:rPr>
          <w:rFonts w:ascii="Arial" w:hAnsi="Arial" w:cs="Arial"/>
          <w:i/>
          <w:sz w:val="24"/>
          <w:szCs w:val="24"/>
          <w:vertAlign w:val="superscript"/>
        </w:rPr>
        <w:t>)</w:t>
      </w:r>
      <w:r w:rsidRPr="00C82F88">
        <w:rPr>
          <w:rFonts w:ascii="Arial" w:hAnsi="Arial" w:cs="Arial" w:hint="eastAsia"/>
          <w:sz w:val="24"/>
          <w:szCs w:val="24"/>
        </w:rPr>
        <w:t xml:space="preserve"> in November 2012 and from a full year</w:t>
      </w:r>
      <w:r w:rsidR="00E90F78">
        <w:rPr>
          <w:rFonts w:ascii="Arial" w:hAnsi="Arial" w:cs="Arial"/>
          <w:sz w:val="24"/>
          <w:szCs w:val="24"/>
        </w:rPr>
        <w:t>’</w:t>
      </w:r>
      <w:r w:rsidRPr="00C82F88">
        <w:rPr>
          <w:rFonts w:ascii="Arial" w:hAnsi="Arial" w:cs="Arial" w:hint="eastAsia"/>
          <w:sz w:val="24"/>
          <w:szCs w:val="24"/>
        </w:rPr>
        <w:t>s benefit of buying back debt in 2011/12. This was offset by an increase in the net pensions interest cost, principally due to a reduction in the asset return assumption.</w:t>
      </w:r>
    </w:p>
    <w:p w:rsidR="00546A62" w:rsidRDefault="00546A62" w:rsidP="00C82F88">
      <w:pPr>
        <w:jc w:val="left"/>
        <w:rPr>
          <w:rFonts w:ascii="Arial" w:hAnsi="Arial" w:cs="Arial"/>
          <w:sz w:val="24"/>
          <w:szCs w:val="24"/>
        </w:rPr>
      </w:pPr>
    </w:p>
    <w:p w:rsidR="00F811DB" w:rsidRDefault="00F811DB" w:rsidP="00C82F88">
      <w:pPr>
        <w:jc w:val="left"/>
        <w:rPr>
          <w:rFonts w:ascii="Arial" w:hAnsi="Arial" w:cs="Arial"/>
          <w:sz w:val="24"/>
          <w:szCs w:val="24"/>
        </w:rPr>
      </w:pPr>
      <w:r w:rsidRPr="008645BA">
        <w:rPr>
          <w:rFonts w:ascii="Arial" w:hAnsi="Arial" w:cs="Arial"/>
          <w:i/>
          <w:iCs/>
          <w:sz w:val="18"/>
          <w:szCs w:val="18"/>
          <w:vertAlign w:val="superscript"/>
        </w:rPr>
        <w:t>(</w:t>
      </w:r>
      <w:r>
        <w:rPr>
          <w:rFonts w:ascii="Arial" w:hAnsi="Arial" w:cs="Arial"/>
          <w:i/>
          <w:iCs/>
          <w:sz w:val="18"/>
          <w:szCs w:val="18"/>
          <w:vertAlign w:val="superscript"/>
        </w:rPr>
        <w:t>2</w:t>
      </w:r>
      <w:r w:rsidRPr="008645BA">
        <w:rPr>
          <w:rFonts w:ascii="Arial" w:hAnsi="Arial" w:cs="Arial"/>
          <w:i/>
          <w:iCs/>
          <w:sz w:val="18"/>
          <w:szCs w:val="18"/>
          <w:vertAlign w:val="superscript"/>
        </w:rPr>
        <w:t>)</w:t>
      </w:r>
      <w:r>
        <w:rPr>
          <w:rFonts w:ascii="Arial" w:hAnsi="Arial" w:cs="Arial"/>
          <w:i/>
          <w:iCs/>
          <w:sz w:val="18"/>
          <w:szCs w:val="18"/>
        </w:rPr>
        <w:t xml:space="preserve"> Euro Medium Term Note</w:t>
      </w:r>
    </w:p>
    <w:p w:rsidR="00F811DB" w:rsidRDefault="00F811DB" w:rsidP="00C82F88">
      <w:pPr>
        <w:jc w:val="left"/>
        <w:rPr>
          <w:rFonts w:ascii="Arial" w:hAnsi="Arial" w:cs="Arial"/>
          <w:sz w:val="24"/>
          <w:szCs w:val="24"/>
        </w:rPr>
      </w:pPr>
    </w:p>
    <w:p w:rsidR="00546A62" w:rsidRPr="00E530B3" w:rsidRDefault="00546A62" w:rsidP="00546A62">
      <w:pPr>
        <w:jc w:val="left"/>
        <w:rPr>
          <w:rFonts w:ascii="Arial" w:hAnsi="Arial" w:cs="Arial"/>
          <w:b/>
          <w:sz w:val="24"/>
          <w:szCs w:val="24"/>
        </w:rPr>
      </w:pPr>
      <w:r w:rsidRPr="00E530B3">
        <w:rPr>
          <w:rFonts w:ascii="Arial" w:hAnsi="Arial" w:cs="Arial"/>
          <w:b/>
          <w:sz w:val="24"/>
          <w:szCs w:val="24"/>
        </w:rPr>
        <w:t>Taxation</w:t>
      </w:r>
    </w:p>
    <w:p w:rsidR="00546A62" w:rsidRDefault="00546A62" w:rsidP="00C82F88">
      <w:pPr>
        <w:jc w:val="left"/>
        <w:rPr>
          <w:rFonts w:ascii="Arial" w:hAnsi="Arial" w:cs="Arial"/>
          <w:sz w:val="24"/>
          <w:szCs w:val="24"/>
        </w:rPr>
      </w:pPr>
    </w:p>
    <w:p w:rsidR="00546A62" w:rsidRPr="00EC1FEB" w:rsidRDefault="00546A62" w:rsidP="00EC1FEB">
      <w:pPr>
        <w:autoSpaceDE w:val="0"/>
        <w:autoSpaceDN w:val="0"/>
        <w:jc w:val="left"/>
        <w:rPr>
          <w:rFonts w:ascii="Arial" w:hAnsi="Arial" w:cs="Arial"/>
          <w:sz w:val="24"/>
          <w:szCs w:val="24"/>
          <w:lang w:val="en-US"/>
        </w:rPr>
      </w:pPr>
      <w:r w:rsidRPr="00C82F88">
        <w:rPr>
          <w:rFonts w:ascii="Arial" w:hAnsi="Arial" w:cs="Arial"/>
          <w:sz w:val="24"/>
          <w:szCs w:val="24"/>
        </w:rPr>
        <w:t xml:space="preserve">Kingfisher’s effective tax rate is sensitive to the blend of tax rates and profits in the Group’s various jurisdictions. The </w:t>
      </w:r>
      <w:r w:rsidR="00C37AE7">
        <w:rPr>
          <w:rFonts w:ascii="Arial" w:hAnsi="Arial" w:cs="Arial"/>
          <w:sz w:val="24"/>
          <w:szCs w:val="24"/>
        </w:rPr>
        <w:t>adjusted</w:t>
      </w:r>
      <w:r w:rsidRPr="00C82F88">
        <w:rPr>
          <w:rFonts w:ascii="Arial" w:hAnsi="Arial" w:cs="Arial"/>
          <w:sz w:val="24"/>
          <w:szCs w:val="24"/>
        </w:rPr>
        <w:t xml:space="preserve"> effective rate of tax, calculated on profit before exceptional items, prior year tax adjustments and the impact of rate changes is 27% (2011/12: 28%). This is higher than the UK statutory rate because of the amount of </w:t>
      </w:r>
      <w:r w:rsidR="009F4FC3">
        <w:rPr>
          <w:rFonts w:ascii="Arial" w:hAnsi="Arial" w:cs="Arial"/>
          <w:sz w:val="24"/>
          <w:szCs w:val="24"/>
        </w:rPr>
        <w:t>G</w:t>
      </w:r>
      <w:r w:rsidRPr="00C82F88">
        <w:rPr>
          <w:rFonts w:ascii="Arial" w:hAnsi="Arial" w:cs="Arial"/>
          <w:sz w:val="24"/>
          <w:szCs w:val="24"/>
        </w:rPr>
        <w:t>roup profit that is earned in higher tax jurisdictions and because no future benefit is assumed for losses incurred in overseas jurisdictions such as China</w:t>
      </w:r>
      <w:r w:rsidR="005F4497">
        <w:rPr>
          <w:rFonts w:ascii="Arial" w:hAnsi="Arial" w:cs="Arial"/>
          <w:sz w:val="24"/>
          <w:szCs w:val="24"/>
        </w:rPr>
        <w:t xml:space="preserve"> and Ireland</w:t>
      </w:r>
      <w:r w:rsidRPr="00C82F88">
        <w:rPr>
          <w:rFonts w:ascii="Arial" w:hAnsi="Arial" w:cs="Arial"/>
          <w:sz w:val="24"/>
          <w:szCs w:val="24"/>
        </w:rPr>
        <w:t xml:space="preserve">. </w:t>
      </w:r>
      <w:r w:rsidR="009A3A69" w:rsidRPr="00EC1FEB">
        <w:rPr>
          <w:rFonts w:ascii="Arial" w:hAnsi="Arial" w:cs="Arial"/>
          <w:sz w:val="24"/>
          <w:szCs w:val="24"/>
        </w:rPr>
        <w:t>The overall tax rate for the year is 18% (2011/12: 20%) reflecting the impact on deferred tax of the further 2% fall in the UK rate, release of prior year provisions either</w:t>
      </w:r>
      <w:r w:rsidR="009A3A69">
        <w:rPr>
          <w:rFonts w:ascii="Arial" w:hAnsi="Arial" w:cs="Arial"/>
          <w:sz w:val="24"/>
          <w:szCs w:val="24"/>
        </w:rPr>
        <w:t xml:space="preserve"> </w:t>
      </w:r>
      <w:r w:rsidR="00DB0963">
        <w:rPr>
          <w:rFonts w:ascii="Arial" w:hAnsi="Arial" w:cs="Arial"/>
          <w:sz w:val="24"/>
          <w:szCs w:val="24"/>
        </w:rPr>
        <w:t>reassessed</w:t>
      </w:r>
      <w:r w:rsidR="009A3A69">
        <w:rPr>
          <w:rFonts w:ascii="Arial" w:hAnsi="Arial" w:cs="Arial"/>
          <w:sz w:val="24"/>
          <w:szCs w:val="24"/>
        </w:rPr>
        <w:t xml:space="preserve"> or time expired and </w:t>
      </w:r>
      <w:r w:rsidR="003E4933">
        <w:rPr>
          <w:rFonts w:ascii="Arial" w:hAnsi="Arial" w:cs="Arial"/>
          <w:sz w:val="24"/>
          <w:szCs w:val="24"/>
        </w:rPr>
        <w:t xml:space="preserve">a claim for the use of prior year losses of </w:t>
      </w:r>
      <w:r w:rsidR="009A3A69">
        <w:rPr>
          <w:rFonts w:ascii="Arial" w:hAnsi="Arial" w:cs="Arial"/>
          <w:sz w:val="24"/>
          <w:szCs w:val="24"/>
        </w:rPr>
        <w:t>£33</w:t>
      </w:r>
      <w:r w:rsidR="009A3A69" w:rsidRPr="00EC1FEB">
        <w:rPr>
          <w:rFonts w:ascii="Arial" w:hAnsi="Arial" w:cs="Arial"/>
          <w:sz w:val="24"/>
          <w:szCs w:val="24"/>
        </w:rPr>
        <w:t xml:space="preserve"> million</w:t>
      </w:r>
      <w:r w:rsidR="003E4933">
        <w:rPr>
          <w:rFonts w:ascii="Arial" w:hAnsi="Arial" w:cs="Arial"/>
          <w:sz w:val="24"/>
          <w:szCs w:val="24"/>
        </w:rPr>
        <w:t>.</w:t>
      </w:r>
    </w:p>
    <w:p w:rsidR="00F811DB" w:rsidRDefault="00F811DB"/>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361"/>
        <w:gridCol w:w="1276"/>
        <w:gridCol w:w="1417"/>
        <w:gridCol w:w="1276"/>
        <w:gridCol w:w="1276"/>
      </w:tblGrid>
      <w:tr w:rsidR="00546A62" w:rsidRPr="00E20BFB" w:rsidTr="005F309B">
        <w:trPr>
          <w:trHeight w:val="516"/>
        </w:trPr>
        <w:tc>
          <w:tcPr>
            <w:tcW w:w="4361" w:type="dxa"/>
            <w:tcBorders>
              <w:bottom w:val="single" w:sz="4" w:space="0" w:color="auto"/>
            </w:tcBorders>
          </w:tcPr>
          <w:p w:rsidR="00546A62" w:rsidRPr="00E20BFB" w:rsidRDefault="00546A62" w:rsidP="00C82F88">
            <w:pPr>
              <w:jc w:val="left"/>
              <w:rPr>
                <w:rFonts w:ascii="Arial" w:hAnsi="Arial" w:cs="Arial"/>
                <w:b/>
                <w:sz w:val="24"/>
                <w:szCs w:val="24"/>
              </w:rPr>
            </w:pPr>
            <w:r w:rsidRPr="00E20BFB">
              <w:rPr>
                <w:rFonts w:ascii="Arial" w:hAnsi="Arial" w:cs="Arial"/>
                <w:b/>
                <w:sz w:val="24"/>
                <w:szCs w:val="24"/>
              </w:rPr>
              <w:t>Effective tax rate calculation</w:t>
            </w:r>
          </w:p>
        </w:tc>
        <w:tc>
          <w:tcPr>
            <w:tcW w:w="1276" w:type="dxa"/>
            <w:tcBorders>
              <w:bottom w:val="single" w:sz="4" w:space="0" w:color="auto"/>
            </w:tcBorders>
          </w:tcPr>
          <w:p w:rsidR="00546A62" w:rsidRPr="00E20BFB" w:rsidRDefault="00546A62" w:rsidP="005F309B">
            <w:pPr>
              <w:jc w:val="right"/>
              <w:rPr>
                <w:rFonts w:ascii="Arial" w:hAnsi="Arial" w:cs="Arial"/>
                <w:b/>
                <w:sz w:val="24"/>
                <w:szCs w:val="24"/>
              </w:rPr>
            </w:pPr>
            <w:r w:rsidRPr="00E20BFB">
              <w:rPr>
                <w:rFonts w:ascii="Arial" w:hAnsi="Arial" w:cs="Arial"/>
                <w:b/>
                <w:sz w:val="24"/>
                <w:szCs w:val="24"/>
              </w:rPr>
              <w:t>Profit</w:t>
            </w:r>
          </w:p>
          <w:p w:rsidR="00546A62" w:rsidRPr="00E20BFB" w:rsidRDefault="00546A62" w:rsidP="005F309B">
            <w:pPr>
              <w:jc w:val="right"/>
              <w:rPr>
                <w:rFonts w:ascii="Arial" w:hAnsi="Arial" w:cs="Arial"/>
                <w:b/>
                <w:sz w:val="24"/>
                <w:szCs w:val="24"/>
              </w:rPr>
            </w:pPr>
            <w:r w:rsidRPr="00E20BFB">
              <w:rPr>
                <w:rFonts w:ascii="Arial" w:hAnsi="Arial" w:cs="Arial"/>
                <w:b/>
                <w:sz w:val="24"/>
                <w:szCs w:val="24"/>
              </w:rPr>
              <w:t>£m</w:t>
            </w:r>
          </w:p>
        </w:tc>
        <w:tc>
          <w:tcPr>
            <w:tcW w:w="1417" w:type="dxa"/>
            <w:tcBorders>
              <w:bottom w:val="single" w:sz="4" w:space="0" w:color="auto"/>
            </w:tcBorders>
          </w:tcPr>
          <w:p w:rsidR="00546A62" w:rsidRPr="00E20BFB" w:rsidRDefault="00546A62" w:rsidP="005F309B">
            <w:pPr>
              <w:jc w:val="right"/>
              <w:rPr>
                <w:rFonts w:ascii="Arial" w:hAnsi="Arial" w:cs="Arial"/>
                <w:b/>
                <w:sz w:val="24"/>
                <w:szCs w:val="24"/>
              </w:rPr>
            </w:pPr>
            <w:r w:rsidRPr="00E20BFB">
              <w:rPr>
                <w:rFonts w:ascii="Arial" w:hAnsi="Arial" w:cs="Arial"/>
                <w:b/>
                <w:sz w:val="24"/>
                <w:szCs w:val="24"/>
              </w:rPr>
              <w:t xml:space="preserve">Tax </w:t>
            </w:r>
          </w:p>
          <w:p w:rsidR="00546A62" w:rsidRPr="00E20BFB" w:rsidRDefault="00546A62" w:rsidP="005F309B">
            <w:pPr>
              <w:jc w:val="right"/>
              <w:rPr>
                <w:rFonts w:ascii="Arial" w:hAnsi="Arial" w:cs="Arial"/>
                <w:b/>
                <w:sz w:val="24"/>
                <w:szCs w:val="24"/>
              </w:rPr>
            </w:pPr>
            <w:r w:rsidRPr="00E20BFB">
              <w:rPr>
                <w:rFonts w:ascii="Arial" w:hAnsi="Arial" w:cs="Arial"/>
                <w:b/>
                <w:sz w:val="24"/>
                <w:szCs w:val="24"/>
              </w:rPr>
              <w:t>£m</w:t>
            </w:r>
          </w:p>
        </w:tc>
        <w:tc>
          <w:tcPr>
            <w:tcW w:w="1276" w:type="dxa"/>
            <w:tcBorders>
              <w:bottom w:val="single" w:sz="4" w:space="0" w:color="auto"/>
            </w:tcBorders>
          </w:tcPr>
          <w:p w:rsidR="00546A62" w:rsidRDefault="00546A62" w:rsidP="005F309B">
            <w:pPr>
              <w:jc w:val="right"/>
              <w:rPr>
                <w:rFonts w:ascii="Arial" w:hAnsi="Arial" w:cs="Arial"/>
                <w:b/>
                <w:sz w:val="24"/>
                <w:szCs w:val="24"/>
              </w:rPr>
            </w:pPr>
            <w:r>
              <w:rPr>
                <w:rFonts w:ascii="Arial" w:hAnsi="Arial" w:cs="Arial"/>
                <w:b/>
                <w:sz w:val="24"/>
                <w:szCs w:val="24"/>
              </w:rPr>
              <w:t>2012/13</w:t>
            </w:r>
          </w:p>
          <w:p w:rsidR="00546A62" w:rsidRPr="00E20BFB" w:rsidRDefault="00546A62" w:rsidP="005F309B">
            <w:pPr>
              <w:jc w:val="right"/>
              <w:rPr>
                <w:rFonts w:ascii="Arial" w:hAnsi="Arial" w:cs="Arial"/>
                <w:b/>
                <w:sz w:val="24"/>
                <w:szCs w:val="24"/>
              </w:rPr>
            </w:pPr>
            <w:r>
              <w:rPr>
                <w:rFonts w:ascii="Arial" w:hAnsi="Arial" w:cs="Arial"/>
                <w:b/>
                <w:sz w:val="24"/>
                <w:szCs w:val="24"/>
              </w:rPr>
              <w:t>%</w:t>
            </w:r>
          </w:p>
        </w:tc>
        <w:tc>
          <w:tcPr>
            <w:tcW w:w="1276" w:type="dxa"/>
            <w:tcBorders>
              <w:bottom w:val="single" w:sz="4" w:space="0" w:color="auto"/>
            </w:tcBorders>
          </w:tcPr>
          <w:p w:rsidR="00546A62" w:rsidRPr="007933D8" w:rsidRDefault="00546A62" w:rsidP="005F309B">
            <w:pPr>
              <w:jc w:val="right"/>
              <w:rPr>
                <w:rFonts w:ascii="Arial" w:hAnsi="Arial" w:cs="Arial"/>
                <w:sz w:val="24"/>
                <w:szCs w:val="24"/>
              </w:rPr>
            </w:pPr>
            <w:r w:rsidRPr="007933D8">
              <w:rPr>
                <w:rFonts w:ascii="Arial" w:hAnsi="Arial" w:cs="Arial"/>
                <w:sz w:val="24"/>
                <w:szCs w:val="24"/>
              </w:rPr>
              <w:t>2011/12</w:t>
            </w:r>
          </w:p>
          <w:p w:rsidR="00546A62" w:rsidRPr="00E20BFB" w:rsidRDefault="00546A62" w:rsidP="005F309B">
            <w:pPr>
              <w:jc w:val="right"/>
              <w:rPr>
                <w:rFonts w:ascii="Arial" w:hAnsi="Arial" w:cs="Arial"/>
                <w:b/>
                <w:sz w:val="24"/>
                <w:szCs w:val="24"/>
              </w:rPr>
            </w:pPr>
            <w:r w:rsidRPr="007933D8">
              <w:rPr>
                <w:rFonts w:ascii="Arial" w:hAnsi="Arial" w:cs="Arial"/>
                <w:sz w:val="24"/>
                <w:szCs w:val="24"/>
              </w:rPr>
              <w:t>%</w:t>
            </w:r>
          </w:p>
        </w:tc>
      </w:tr>
      <w:tr w:rsidR="00546A62" w:rsidRPr="00E20BFB" w:rsidTr="005F309B">
        <w:tc>
          <w:tcPr>
            <w:tcW w:w="4361" w:type="dxa"/>
            <w:tcBorders>
              <w:top w:val="single" w:sz="4" w:space="0" w:color="auto"/>
            </w:tcBorders>
          </w:tcPr>
          <w:p w:rsidR="00546A62" w:rsidRPr="00E20BFB" w:rsidRDefault="00546A62" w:rsidP="00C82F88">
            <w:pPr>
              <w:jc w:val="left"/>
              <w:rPr>
                <w:rFonts w:ascii="Arial" w:hAnsi="Arial" w:cs="Arial"/>
                <w:sz w:val="24"/>
                <w:szCs w:val="24"/>
              </w:rPr>
            </w:pPr>
            <w:r w:rsidRPr="00E20BFB">
              <w:rPr>
                <w:rFonts w:ascii="Arial" w:hAnsi="Arial" w:cs="Arial"/>
                <w:sz w:val="24"/>
                <w:szCs w:val="24"/>
              </w:rPr>
              <w:t>Profit before tax and tax thereon</w:t>
            </w:r>
          </w:p>
        </w:tc>
        <w:tc>
          <w:tcPr>
            <w:tcW w:w="1276" w:type="dxa"/>
            <w:tcBorders>
              <w:top w:val="single" w:sz="4" w:space="0" w:color="auto"/>
            </w:tcBorders>
          </w:tcPr>
          <w:p w:rsidR="00546A62" w:rsidRPr="008F5ACA" w:rsidRDefault="00546A62" w:rsidP="005F309B">
            <w:pPr>
              <w:jc w:val="right"/>
              <w:rPr>
                <w:rFonts w:ascii="Arial" w:hAnsi="Arial" w:cs="Arial"/>
                <w:sz w:val="24"/>
                <w:szCs w:val="24"/>
              </w:rPr>
            </w:pPr>
            <w:r>
              <w:rPr>
                <w:rFonts w:ascii="Arial" w:hAnsi="Arial" w:cs="Arial"/>
                <w:sz w:val="24"/>
                <w:szCs w:val="24"/>
              </w:rPr>
              <w:t>691</w:t>
            </w:r>
          </w:p>
        </w:tc>
        <w:tc>
          <w:tcPr>
            <w:tcW w:w="1417" w:type="dxa"/>
            <w:tcBorders>
              <w:top w:val="single" w:sz="4" w:space="0" w:color="auto"/>
            </w:tcBorders>
          </w:tcPr>
          <w:p w:rsidR="00546A62" w:rsidRPr="008F5ACA" w:rsidRDefault="00546A62" w:rsidP="005F309B">
            <w:pPr>
              <w:jc w:val="right"/>
              <w:rPr>
                <w:rFonts w:ascii="Arial" w:hAnsi="Arial" w:cs="Arial"/>
                <w:sz w:val="24"/>
                <w:szCs w:val="24"/>
              </w:rPr>
            </w:pPr>
            <w:r>
              <w:rPr>
                <w:rFonts w:ascii="Arial" w:hAnsi="Arial" w:cs="Arial"/>
                <w:sz w:val="24"/>
                <w:szCs w:val="24"/>
              </w:rPr>
              <w:t>127</w:t>
            </w:r>
          </w:p>
        </w:tc>
        <w:tc>
          <w:tcPr>
            <w:tcW w:w="1276" w:type="dxa"/>
            <w:tcBorders>
              <w:top w:val="single" w:sz="4" w:space="0" w:color="auto"/>
            </w:tcBorders>
          </w:tcPr>
          <w:p w:rsidR="00546A62" w:rsidRDefault="00546A62" w:rsidP="005F309B">
            <w:pPr>
              <w:jc w:val="right"/>
              <w:rPr>
                <w:rFonts w:ascii="Arial" w:hAnsi="Arial" w:cs="Arial"/>
                <w:sz w:val="24"/>
                <w:szCs w:val="24"/>
              </w:rPr>
            </w:pPr>
            <w:r>
              <w:rPr>
                <w:rFonts w:ascii="Arial" w:hAnsi="Arial" w:cs="Arial"/>
                <w:sz w:val="24"/>
                <w:szCs w:val="24"/>
              </w:rPr>
              <w:t>18</w:t>
            </w:r>
          </w:p>
        </w:tc>
        <w:tc>
          <w:tcPr>
            <w:tcW w:w="1276" w:type="dxa"/>
            <w:tcBorders>
              <w:top w:val="single" w:sz="4" w:space="0" w:color="auto"/>
            </w:tcBorders>
          </w:tcPr>
          <w:p w:rsidR="00546A62" w:rsidRPr="00E20BFB" w:rsidRDefault="00546A62" w:rsidP="005F309B">
            <w:pPr>
              <w:jc w:val="right"/>
              <w:rPr>
                <w:rFonts w:ascii="Arial" w:hAnsi="Arial" w:cs="Arial"/>
                <w:sz w:val="24"/>
                <w:szCs w:val="24"/>
              </w:rPr>
            </w:pPr>
            <w:r>
              <w:rPr>
                <w:rFonts w:ascii="Arial" w:hAnsi="Arial" w:cs="Arial"/>
                <w:sz w:val="24"/>
                <w:szCs w:val="24"/>
              </w:rPr>
              <w:t>20</w:t>
            </w:r>
          </w:p>
        </w:tc>
      </w:tr>
      <w:tr w:rsidR="00546A62" w:rsidRPr="00E20BFB" w:rsidTr="005F309B">
        <w:tc>
          <w:tcPr>
            <w:tcW w:w="4361" w:type="dxa"/>
          </w:tcPr>
          <w:p w:rsidR="00546A62" w:rsidRDefault="00546A62" w:rsidP="00C82F88">
            <w:pPr>
              <w:jc w:val="left"/>
              <w:rPr>
                <w:rFonts w:ascii="Arial" w:hAnsi="Arial" w:cs="Arial"/>
                <w:sz w:val="24"/>
                <w:szCs w:val="24"/>
              </w:rPr>
            </w:pPr>
            <w:r>
              <w:rPr>
                <w:rFonts w:ascii="Arial" w:hAnsi="Arial" w:cs="Arial"/>
                <w:sz w:val="24"/>
                <w:szCs w:val="24"/>
              </w:rPr>
              <w:t>Add exceptional loss and tax thereon</w:t>
            </w:r>
          </w:p>
        </w:tc>
        <w:tc>
          <w:tcPr>
            <w:tcW w:w="1276" w:type="dxa"/>
          </w:tcPr>
          <w:p w:rsidR="00546A62" w:rsidRPr="00E20BFB" w:rsidRDefault="00546A62" w:rsidP="005F309B">
            <w:pPr>
              <w:jc w:val="right"/>
              <w:rPr>
                <w:rFonts w:ascii="Arial" w:hAnsi="Arial" w:cs="Arial"/>
                <w:sz w:val="24"/>
                <w:szCs w:val="24"/>
              </w:rPr>
            </w:pPr>
            <w:r>
              <w:rPr>
                <w:rFonts w:ascii="Arial" w:hAnsi="Arial" w:cs="Arial"/>
                <w:sz w:val="24"/>
                <w:szCs w:val="24"/>
              </w:rPr>
              <w:t>26</w:t>
            </w:r>
          </w:p>
        </w:tc>
        <w:tc>
          <w:tcPr>
            <w:tcW w:w="1417" w:type="dxa"/>
          </w:tcPr>
          <w:p w:rsidR="00546A62" w:rsidRDefault="00546A62" w:rsidP="005F309B">
            <w:pPr>
              <w:jc w:val="right"/>
              <w:rPr>
                <w:rFonts w:ascii="Arial" w:hAnsi="Arial" w:cs="Arial"/>
                <w:sz w:val="24"/>
                <w:szCs w:val="24"/>
              </w:rPr>
            </w:pPr>
            <w:r>
              <w:rPr>
                <w:rFonts w:ascii="Arial" w:hAnsi="Arial" w:cs="Arial"/>
                <w:sz w:val="24"/>
                <w:szCs w:val="24"/>
              </w:rPr>
              <w:t>1</w:t>
            </w:r>
          </w:p>
        </w:tc>
        <w:tc>
          <w:tcPr>
            <w:tcW w:w="1276" w:type="dxa"/>
          </w:tcPr>
          <w:p w:rsidR="00546A62" w:rsidRPr="00E20BFB" w:rsidRDefault="009B4DB4" w:rsidP="005F309B">
            <w:pPr>
              <w:jc w:val="right"/>
              <w:rPr>
                <w:rFonts w:ascii="Arial" w:hAnsi="Arial" w:cs="Arial"/>
                <w:sz w:val="24"/>
                <w:szCs w:val="24"/>
              </w:rPr>
            </w:pPr>
            <w:r>
              <w:rPr>
                <w:rFonts w:ascii="Arial" w:hAnsi="Arial" w:cs="Arial"/>
                <w:sz w:val="24"/>
                <w:szCs w:val="24"/>
              </w:rPr>
              <w:t>-</w:t>
            </w:r>
          </w:p>
        </w:tc>
        <w:tc>
          <w:tcPr>
            <w:tcW w:w="1276" w:type="dxa"/>
          </w:tcPr>
          <w:p w:rsidR="00546A62" w:rsidRPr="00E20BFB" w:rsidRDefault="009B4DB4" w:rsidP="005F309B">
            <w:pPr>
              <w:jc w:val="right"/>
              <w:rPr>
                <w:rFonts w:ascii="Arial" w:hAnsi="Arial" w:cs="Arial"/>
                <w:sz w:val="24"/>
                <w:szCs w:val="24"/>
              </w:rPr>
            </w:pPr>
            <w:r>
              <w:rPr>
                <w:rFonts w:ascii="Arial" w:hAnsi="Arial" w:cs="Arial"/>
                <w:sz w:val="24"/>
                <w:szCs w:val="24"/>
              </w:rPr>
              <w:t>-</w:t>
            </w:r>
          </w:p>
        </w:tc>
      </w:tr>
      <w:tr w:rsidR="00546A62" w:rsidRPr="00E20BFB" w:rsidTr="005F309B">
        <w:tc>
          <w:tcPr>
            <w:tcW w:w="4361" w:type="dxa"/>
            <w:tcBorders>
              <w:bottom w:val="single" w:sz="4" w:space="0" w:color="auto"/>
            </w:tcBorders>
          </w:tcPr>
          <w:p w:rsidR="00546A62" w:rsidRPr="00E20BFB" w:rsidRDefault="00546A62" w:rsidP="00C82F88">
            <w:pPr>
              <w:jc w:val="left"/>
              <w:rPr>
                <w:rFonts w:ascii="Arial" w:hAnsi="Arial" w:cs="Arial"/>
                <w:sz w:val="24"/>
                <w:szCs w:val="24"/>
              </w:rPr>
            </w:pPr>
            <w:r>
              <w:rPr>
                <w:rFonts w:ascii="Arial" w:hAnsi="Arial" w:cs="Arial"/>
                <w:sz w:val="24"/>
                <w:szCs w:val="24"/>
              </w:rPr>
              <w:t>Less prior year items</w:t>
            </w:r>
          </w:p>
        </w:tc>
        <w:tc>
          <w:tcPr>
            <w:tcW w:w="1276" w:type="dxa"/>
            <w:tcBorders>
              <w:bottom w:val="single" w:sz="4" w:space="0" w:color="auto"/>
            </w:tcBorders>
          </w:tcPr>
          <w:p w:rsidR="00546A62" w:rsidRPr="00E20BFB" w:rsidRDefault="00546A62" w:rsidP="005F309B">
            <w:pPr>
              <w:jc w:val="right"/>
              <w:rPr>
                <w:rFonts w:ascii="Arial" w:hAnsi="Arial" w:cs="Arial"/>
                <w:sz w:val="24"/>
                <w:szCs w:val="24"/>
              </w:rPr>
            </w:pPr>
            <w:r>
              <w:rPr>
                <w:rFonts w:ascii="Arial" w:hAnsi="Arial" w:cs="Arial"/>
                <w:sz w:val="24"/>
                <w:szCs w:val="24"/>
              </w:rPr>
              <w:t>-</w:t>
            </w:r>
          </w:p>
        </w:tc>
        <w:tc>
          <w:tcPr>
            <w:tcW w:w="1417" w:type="dxa"/>
            <w:tcBorders>
              <w:bottom w:val="single" w:sz="4" w:space="0" w:color="auto"/>
            </w:tcBorders>
          </w:tcPr>
          <w:p w:rsidR="00546A62" w:rsidRPr="00E20BFB" w:rsidRDefault="00546A62" w:rsidP="005F309B">
            <w:pPr>
              <w:jc w:val="right"/>
              <w:rPr>
                <w:rFonts w:ascii="Arial" w:hAnsi="Arial" w:cs="Arial"/>
                <w:sz w:val="24"/>
                <w:szCs w:val="24"/>
              </w:rPr>
            </w:pPr>
            <w:r>
              <w:rPr>
                <w:rFonts w:ascii="Arial" w:hAnsi="Arial" w:cs="Arial"/>
                <w:sz w:val="24"/>
                <w:szCs w:val="24"/>
              </w:rPr>
              <w:t>66</w:t>
            </w:r>
          </w:p>
        </w:tc>
        <w:tc>
          <w:tcPr>
            <w:tcW w:w="1276" w:type="dxa"/>
            <w:tcBorders>
              <w:bottom w:val="single" w:sz="4" w:space="0" w:color="auto"/>
            </w:tcBorders>
          </w:tcPr>
          <w:p w:rsidR="00546A62" w:rsidRPr="00E20BFB" w:rsidRDefault="009B4DB4" w:rsidP="005F309B">
            <w:pPr>
              <w:jc w:val="right"/>
              <w:rPr>
                <w:rFonts w:ascii="Arial" w:hAnsi="Arial" w:cs="Arial"/>
                <w:sz w:val="24"/>
                <w:szCs w:val="24"/>
              </w:rPr>
            </w:pPr>
            <w:r>
              <w:rPr>
                <w:rFonts w:ascii="Arial" w:hAnsi="Arial" w:cs="Arial"/>
                <w:sz w:val="24"/>
                <w:szCs w:val="24"/>
              </w:rPr>
              <w:t>-</w:t>
            </w:r>
          </w:p>
        </w:tc>
        <w:tc>
          <w:tcPr>
            <w:tcW w:w="1276" w:type="dxa"/>
            <w:tcBorders>
              <w:bottom w:val="single" w:sz="4" w:space="0" w:color="auto"/>
            </w:tcBorders>
          </w:tcPr>
          <w:p w:rsidR="00546A62" w:rsidRPr="00E20BFB" w:rsidRDefault="009B4DB4" w:rsidP="005F309B">
            <w:pPr>
              <w:jc w:val="right"/>
              <w:rPr>
                <w:rFonts w:ascii="Arial" w:hAnsi="Arial" w:cs="Arial"/>
                <w:sz w:val="24"/>
                <w:szCs w:val="24"/>
              </w:rPr>
            </w:pPr>
            <w:r>
              <w:rPr>
                <w:rFonts w:ascii="Arial" w:hAnsi="Arial" w:cs="Arial"/>
                <w:sz w:val="24"/>
                <w:szCs w:val="24"/>
              </w:rPr>
              <w:t>-</w:t>
            </w:r>
          </w:p>
        </w:tc>
      </w:tr>
      <w:tr w:rsidR="00546A62" w:rsidRPr="00700E2D" w:rsidTr="005F309B">
        <w:tc>
          <w:tcPr>
            <w:tcW w:w="4361" w:type="dxa"/>
            <w:tcBorders>
              <w:top w:val="single" w:sz="4" w:space="0" w:color="auto"/>
              <w:bottom w:val="single" w:sz="4" w:space="0" w:color="auto"/>
            </w:tcBorders>
          </w:tcPr>
          <w:p w:rsidR="00546A62" w:rsidRPr="00015AAF" w:rsidRDefault="00546A62" w:rsidP="00C82F88">
            <w:pPr>
              <w:jc w:val="left"/>
              <w:rPr>
                <w:rFonts w:ascii="Arial" w:hAnsi="Arial" w:cs="Arial"/>
                <w:b/>
                <w:sz w:val="24"/>
                <w:szCs w:val="24"/>
              </w:rPr>
            </w:pPr>
            <w:r w:rsidRPr="00015AAF">
              <w:rPr>
                <w:rFonts w:ascii="Arial" w:hAnsi="Arial" w:cs="Arial"/>
                <w:b/>
                <w:sz w:val="24"/>
                <w:szCs w:val="24"/>
              </w:rPr>
              <w:t>Total</w:t>
            </w:r>
            <w:r>
              <w:rPr>
                <w:rFonts w:ascii="Arial" w:hAnsi="Arial" w:cs="Arial"/>
                <w:b/>
                <w:sz w:val="24"/>
                <w:szCs w:val="24"/>
              </w:rPr>
              <w:t xml:space="preserve"> - adjusted</w:t>
            </w:r>
          </w:p>
        </w:tc>
        <w:tc>
          <w:tcPr>
            <w:tcW w:w="1276" w:type="dxa"/>
            <w:tcBorders>
              <w:top w:val="single" w:sz="4" w:space="0" w:color="auto"/>
              <w:bottom w:val="single" w:sz="4" w:space="0" w:color="auto"/>
            </w:tcBorders>
          </w:tcPr>
          <w:p w:rsidR="00546A62" w:rsidRPr="00C82F88" w:rsidRDefault="00546A62" w:rsidP="005F309B">
            <w:pPr>
              <w:jc w:val="right"/>
              <w:rPr>
                <w:rFonts w:ascii="Arial" w:hAnsi="Arial" w:cs="Arial"/>
                <w:b/>
                <w:sz w:val="24"/>
                <w:szCs w:val="24"/>
              </w:rPr>
            </w:pPr>
            <w:r w:rsidRPr="00C82F88">
              <w:rPr>
                <w:rFonts w:ascii="Arial" w:hAnsi="Arial" w:cs="Arial"/>
                <w:b/>
                <w:sz w:val="24"/>
                <w:szCs w:val="24"/>
              </w:rPr>
              <w:t>717</w:t>
            </w:r>
          </w:p>
        </w:tc>
        <w:tc>
          <w:tcPr>
            <w:tcW w:w="1417" w:type="dxa"/>
            <w:tcBorders>
              <w:top w:val="single" w:sz="4" w:space="0" w:color="auto"/>
              <w:bottom w:val="single" w:sz="4" w:space="0" w:color="auto"/>
            </w:tcBorders>
          </w:tcPr>
          <w:p w:rsidR="00546A62" w:rsidRPr="00C82F88" w:rsidRDefault="00546A62" w:rsidP="005F309B">
            <w:pPr>
              <w:jc w:val="right"/>
              <w:rPr>
                <w:rFonts w:ascii="Arial" w:hAnsi="Arial" w:cs="Arial"/>
                <w:b/>
                <w:sz w:val="24"/>
                <w:szCs w:val="24"/>
              </w:rPr>
            </w:pPr>
            <w:r w:rsidRPr="00C82F88">
              <w:rPr>
                <w:rFonts w:ascii="Arial" w:hAnsi="Arial" w:cs="Arial"/>
                <w:b/>
                <w:sz w:val="24"/>
                <w:szCs w:val="24"/>
              </w:rPr>
              <w:t>194</w:t>
            </w:r>
          </w:p>
        </w:tc>
        <w:tc>
          <w:tcPr>
            <w:tcW w:w="1276" w:type="dxa"/>
            <w:tcBorders>
              <w:top w:val="single" w:sz="4" w:space="0" w:color="auto"/>
              <w:bottom w:val="single" w:sz="4" w:space="0" w:color="auto"/>
            </w:tcBorders>
          </w:tcPr>
          <w:p w:rsidR="00546A62" w:rsidRPr="00C82F88" w:rsidRDefault="00546A62" w:rsidP="005F309B">
            <w:pPr>
              <w:jc w:val="right"/>
              <w:rPr>
                <w:rFonts w:ascii="Arial" w:hAnsi="Arial" w:cs="Arial"/>
                <w:b/>
                <w:sz w:val="24"/>
                <w:szCs w:val="24"/>
              </w:rPr>
            </w:pPr>
            <w:r w:rsidRPr="00C82F88">
              <w:rPr>
                <w:rFonts w:ascii="Arial" w:hAnsi="Arial" w:cs="Arial"/>
                <w:b/>
                <w:sz w:val="24"/>
                <w:szCs w:val="24"/>
              </w:rPr>
              <w:t>27</w:t>
            </w:r>
          </w:p>
        </w:tc>
        <w:tc>
          <w:tcPr>
            <w:tcW w:w="1276" w:type="dxa"/>
            <w:tcBorders>
              <w:top w:val="single" w:sz="4" w:space="0" w:color="auto"/>
              <w:bottom w:val="single" w:sz="4" w:space="0" w:color="auto"/>
            </w:tcBorders>
          </w:tcPr>
          <w:p w:rsidR="00546A62" w:rsidRPr="00700E2D" w:rsidRDefault="00546A62" w:rsidP="005F309B">
            <w:pPr>
              <w:jc w:val="right"/>
              <w:rPr>
                <w:rFonts w:ascii="Arial" w:hAnsi="Arial" w:cs="Arial"/>
                <w:sz w:val="24"/>
                <w:szCs w:val="24"/>
              </w:rPr>
            </w:pPr>
            <w:r>
              <w:rPr>
                <w:rFonts w:ascii="Arial" w:hAnsi="Arial" w:cs="Arial"/>
                <w:sz w:val="24"/>
                <w:szCs w:val="24"/>
              </w:rPr>
              <w:t>28</w:t>
            </w:r>
          </w:p>
        </w:tc>
      </w:tr>
    </w:tbl>
    <w:p w:rsidR="00546A62" w:rsidRPr="00C82F88" w:rsidRDefault="00546A62" w:rsidP="00C82F88">
      <w:pPr>
        <w:jc w:val="left"/>
        <w:rPr>
          <w:rFonts w:ascii="Arial" w:hAnsi="Arial" w:cs="Arial"/>
          <w:sz w:val="24"/>
          <w:szCs w:val="24"/>
        </w:rPr>
      </w:pPr>
    </w:p>
    <w:p w:rsidR="00F811DB" w:rsidRPr="00327804" w:rsidRDefault="00546A62" w:rsidP="00C82F88">
      <w:pPr>
        <w:jc w:val="left"/>
        <w:rPr>
          <w:rFonts w:ascii="Arial" w:hAnsi="Arial" w:cs="Arial"/>
          <w:sz w:val="24"/>
          <w:szCs w:val="24"/>
        </w:rPr>
      </w:pPr>
      <w:r w:rsidRPr="00C82F88">
        <w:rPr>
          <w:rFonts w:ascii="Arial" w:hAnsi="Arial" w:cs="Arial"/>
          <w:sz w:val="24"/>
          <w:szCs w:val="24"/>
        </w:rPr>
        <w:t xml:space="preserve">The </w:t>
      </w:r>
      <w:r w:rsidR="003E4933">
        <w:rPr>
          <w:rFonts w:ascii="Arial" w:hAnsi="Arial" w:cs="Arial"/>
          <w:sz w:val="24"/>
          <w:szCs w:val="24"/>
        </w:rPr>
        <w:t xml:space="preserve">effective rate of tax is lower than in 2011/12 as a result of </w:t>
      </w:r>
      <w:r w:rsidRPr="00C82F88">
        <w:rPr>
          <w:rFonts w:ascii="Arial" w:hAnsi="Arial" w:cs="Arial"/>
          <w:sz w:val="24"/>
          <w:szCs w:val="24"/>
        </w:rPr>
        <w:t xml:space="preserve">tax rate changes in some of the countries in which we operate. The most significant changes were the UK statutory tax rate falling from 26% to 24% </w:t>
      </w:r>
      <w:r w:rsidR="00C3263C">
        <w:rPr>
          <w:rFonts w:ascii="Arial" w:hAnsi="Arial" w:cs="Arial"/>
          <w:sz w:val="24"/>
          <w:szCs w:val="24"/>
        </w:rPr>
        <w:t xml:space="preserve">offset by </w:t>
      </w:r>
      <w:r w:rsidRPr="00C82F88">
        <w:rPr>
          <w:rFonts w:ascii="Arial" w:hAnsi="Arial" w:cs="Arial"/>
          <w:sz w:val="24"/>
          <w:szCs w:val="24"/>
        </w:rPr>
        <w:t>increased levels of costs for which no tax relief is available in France.</w:t>
      </w:r>
    </w:p>
    <w:p w:rsidR="009E0561" w:rsidRDefault="009E0561" w:rsidP="00C82F88">
      <w:pPr>
        <w:jc w:val="left"/>
        <w:rPr>
          <w:rFonts w:ascii="Arial" w:hAnsi="Arial" w:cs="Arial"/>
          <w:sz w:val="24"/>
          <w:szCs w:val="24"/>
        </w:rPr>
      </w:pPr>
    </w:p>
    <w:p w:rsidR="00753A3D" w:rsidRPr="00C82F88" w:rsidRDefault="00546A62" w:rsidP="00C82F88">
      <w:pPr>
        <w:jc w:val="left"/>
        <w:rPr>
          <w:rFonts w:ascii="Arial" w:hAnsi="Arial" w:cs="Arial"/>
          <w:sz w:val="24"/>
          <w:szCs w:val="24"/>
        </w:rPr>
      </w:pPr>
      <w:r w:rsidRPr="00C82F88">
        <w:rPr>
          <w:rFonts w:ascii="Arial" w:hAnsi="Arial" w:cs="Arial" w:hint="eastAsia"/>
          <w:sz w:val="24"/>
          <w:szCs w:val="24"/>
        </w:rPr>
        <w:t>The tax rates for this financial year and the expected rates for next year are as follows:</w:t>
      </w:r>
    </w:p>
    <w:p w:rsidR="00793F84" w:rsidRDefault="00793F84" w:rsidP="00C82F88">
      <w:pPr>
        <w:jc w:val="left"/>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361"/>
        <w:gridCol w:w="2693"/>
        <w:gridCol w:w="2552"/>
      </w:tblGrid>
      <w:tr w:rsidR="00793F84" w:rsidRPr="00E20BFB" w:rsidTr="00C82F88">
        <w:trPr>
          <w:trHeight w:val="516"/>
        </w:trPr>
        <w:tc>
          <w:tcPr>
            <w:tcW w:w="4361" w:type="dxa"/>
            <w:tcBorders>
              <w:bottom w:val="single" w:sz="4" w:space="0" w:color="auto"/>
            </w:tcBorders>
          </w:tcPr>
          <w:p w:rsidR="00793F84" w:rsidRPr="00E20BFB" w:rsidRDefault="00793F84" w:rsidP="00C82F88">
            <w:pPr>
              <w:jc w:val="left"/>
              <w:rPr>
                <w:rFonts w:ascii="Arial" w:hAnsi="Arial" w:cs="Arial"/>
                <w:b/>
                <w:sz w:val="24"/>
                <w:szCs w:val="24"/>
              </w:rPr>
            </w:pPr>
            <w:r>
              <w:rPr>
                <w:rFonts w:ascii="Arial" w:hAnsi="Arial" w:cs="Arial"/>
                <w:b/>
                <w:sz w:val="24"/>
                <w:szCs w:val="24"/>
              </w:rPr>
              <w:t>Jurisdiction</w:t>
            </w:r>
          </w:p>
        </w:tc>
        <w:tc>
          <w:tcPr>
            <w:tcW w:w="2693" w:type="dxa"/>
            <w:tcBorders>
              <w:bottom w:val="single" w:sz="4" w:space="0" w:color="auto"/>
            </w:tcBorders>
          </w:tcPr>
          <w:p w:rsidR="00793F84" w:rsidRPr="00EC1FEB" w:rsidRDefault="00793F84" w:rsidP="005F309B">
            <w:pPr>
              <w:jc w:val="right"/>
              <w:rPr>
                <w:rFonts w:ascii="Arial" w:hAnsi="Arial" w:cs="Arial"/>
                <w:b/>
                <w:sz w:val="24"/>
                <w:szCs w:val="24"/>
              </w:rPr>
            </w:pPr>
            <w:r w:rsidRPr="00EC1FEB">
              <w:rPr>
                <w:rFonts w:ascii="Arial" w:hAnsi="Arial" w:cs="Arial"/>
                <w:b/>
                <w:sz w:val="24"/>
                <w:szCs w:val="24"/>
              </w:rPr>
              <w:t>Statutory tax rate</w:t>
            </w:r>
          </w:p>
          <w:p w:rsidR="00793F84" w:rsidRPr="00EC1FEB" w:rsidRDefault="00793F84">
            <w:pPr>
              <w:jc w:val="right"/>
              <w:rPr>
                <w:rFonts w:ascii="Arial" w:hAnsi="Arial" w:cs="Arial"/>
                <w:b/>
                <w:sz w:val="24"/>
                <w:szCs w:val="24"/>
              </w:rPr>
            </w:pPr>
            <w:r w:rsidRPr="00EC1FEB">
              <w:rPr>
                <w:rFonts w:ascii="Arial" w:hAnsi="Arial" w:cs="Arial"/>
                <w:b/>
                <w:sz w:val="24"/>
                <w:szCs w:val="24"/>
              </w:rPr>
              <w:t>2013/14</w:t>
            </w:r>
          </w:p>
        </w:tc>
        <w:tc>
          <w:tcPr>
            <w:tcW w:w="2552" w:type="dxa"/>
            <w:tcBorders>
              <w:bottom w:val="single" w:sz="4" w:space="0" w:color="auto"/>
            </w:tcBorders>
          </w:tcPr>
          <w:p w:rsidR="00793F84" w:rsidRPr="00C82F88" w:rsidRDefault="00793F84">
            <w:pPr>
              <w:jc w:val="right"/>
              <w:rPr>
                <w:rFonts w:ascii="Arial" w:hAnsi="Arial" w:cs="Arial"/>
                <w:sz w:val="24"/>
                <w:szCs w:val="24"/>
              </w:rPr>
            </w:pPr>
            <w:r>
              <w:rPr>
                <w:rFonts w:ascii="Arial" w:hAnsi="Arial" w:cs="Arial"/>
                <w:sz w:val="24"/>
                <w:szCs w:val="24"/>
              </w:rPr>
              <w:t>Statutory tax rate 2012/13</w:t>
            </w:r>
          </w:p>
        </w:tc>
      </w:tr>
      <w:tr w:rsidR="00793F84" w:rsidRPr="00E20BFB" w:rsidTr="00C82F88">
        <w:tc>
          <w:tcPr>
            <w:tcW w:w="4361" w:type="dxa"/>
            <w:tcBorders>
              <w:top w:val="single" w:sz="4" w:space="0" w:color="auto"/>
            </w:tcBorders>
          </w:tcPr>
          <w:p w:rsidR="00793F84" w:rsidRPr="00E20BFB" w:rsidRDefault="00793F84" w:rsidP="00C82F88">
            <w:pPr>
              <w:jc w:val="left"/>
              <w:rPr>
                <w:rFonts w:ascii="Arial" w:hAnsi="Arial" w:cs="Arial"/>
                <w:sz w:val="24"/>
                <w:szCs w:val="24"/>
              </w:rPr>
            </w:pPr>
            <w:r>
              <w:rPr>
                <w:rFonts w:ascii="Arial" w:hAnsi="Arial" w:cs="Arial"/>
                <w:sz w:val="24"/>
                <w:szCs w:val="24"/>
              </w:rPr>
              <w:t>UK</w:t>
            </w:r>
          </w:p>
        </w:tc>
        <w:tc>
          <w:tcPr>
            <w:tcW w:w="2693" w:type="dxa"/>
            <w:tcBorders>
              <w:top w:val="single" w:sz="4" w:space="0" w:color="auto"/>
            </w:tcBorders>
          </w:tcPr>
          <w:p w:rsidR="00793F84" w:rsidRPr="00EC1FEB" w:rsidRDefault="00793F84" w:rsidP="005F309B">
            <w:pPr>
              <w:jc w:val="right"/>
              <w:rPr>
                <w:rFonts w:ascii="Arial" w:hAnsi="Arial" w:cs="Arial"/>
                <w:b/>
                <w:sz w:val="24"/>
                <w:szCs w:val="24"/>
              </w:rPr>
            </w:pPr>
            <w:r w:rsidRPr="00EC1FEB">
              <w:rPr>
                <w:rFonts w:ascii="Arial" w:hAnsi="Arial" w:cs="Arial"/>
                <w:b/>
                <w:sz w:val="24"/>
                <w:szCs w:val="24"/>
              </w:rPr>
              <w:t>23%</w:t>
            </w:r>
          </w:p>
        </w:tc>
        <w:tc>
          <w:tcPr>
            <w:tcW w:w="2552" w:type="dxa"/>
            <w:tcBorders>
              <w:top w:val="single" w:sz="4" w:space="0" w:color="auto"/>
            </w:tcBorders>
          </w:tcPr>
          <w:p w:rsidR="00793F84" w:rsidRPr="00793F84" w:rsidRDefault="00793F84" w:rsidP="005F309B">
            <w:pPr>
              <w:jc w:val="right"/>
              <w:rPr>
                <w:rFonts w:ascii="Arial" w:hAnsi="Arial" w:cs="Arial"/>
                <w:sz w:val="24"/>
                <w:szCs w:val="24"/>
              </w:rPr>
            </w:pPr>
            <w:r>
              <w:rPr>
                <w:rFonts w:ascii="Arial" w:hAnsi="Arial" w:cs="Arial"/>
                <w:sz w:val="24"/>
                <w:szCs w:val="24"/>
              </w:rPr>
              <w:t>24%</w:t>
            </w:r>
          </w:p>
        </w:tc>
      </w:tr>
      <w:tr w:rsidR="00793F84" w:rsidRPr="00E20BFB" w:rsidTr="00C82F88">
        <w:tc>
          <w:tcPr>
            <w:tcW w:w="4361" w:type="dxa"/>
          </w:tcPr>
          <w:p w:rsidR="00793F84" w:rsidRDefault="00793F84" w:rsidP="00C82F88">
            <w:pPr>
              <w:jc w:val="left"/>
              <w:rPr>
                <w:rFonts w:ascii="Arial" w:hAnsi="Arial" w:cs="Arial"/>
                <w:sz w:val="24"/>
                <w:szCs w:val="24"/>
              </w:rPr>
            </w:pPr>
            <w:r>
              <w:rPr>
                <w:rFonts w:ascii="Arial" w:hAnsi="Arial" w:cs="Arial"/>
                <w:sz w:val="24"/>
                <w:szCs w:val="24"/>
              </w:rPr>
              <w:t>France</w:t>
            </w:r>
          </w:p>
        </w:tc>
        <w:tc>
          <w:tcPr>
            <w:tcW w:w="2693" w:type="dxa"/>
          </w:tcPr>
          <w:p w:rsidR="00793F84" w:rsidRPr="00EC1FEB" w:rsidRDefault="00793F84">
            <w:pPr>
              <w:jc w:val="right"/>
              <w:rPr>
                <w:rFonts w:ascii="Arial" w:hAnsi="Arial" w:cs="Arial"/>
                <w:b/>
                <w:sz w:val="24"/>
                <w:szCs w:val="24"/>
              </w:rPr>
            </w:pPr>
            <w:r w:rsidRPr="00EC1FEB">
              <w:rPr>
                <w:rFonts w:ascii="Arial" w:hAnsi="Arial" w:cs="Arial"/>
                <w:b/>
                <w:sz w:val="24"/>
                <w:szCs w:val="24"/>
              </w:rPr>
              <w:t>34.4% - 36.1%</w:t>
            </w:r>
          </w:p>
        </w:tc>
        <w:tc>
          <w:tcPr>
            <w:tcW w:w="2552" w:type="dxa"/>
          </w:tcPr>
          <w:p w:rsidR="00793F84" w:rsidRPr="00793F84" w:rsidRDefault="00A06696">
            <w:pPr>
              <w:jc w:val="right"/>
              <w:rPr>
                <w:rFonts w:ascii="Arial" w:hAnsi="Arial" w:cs="Arial"/>
                <w:sz w:val="24"/>
                <w:szCs w:val="24"/>
              </w:rPr>
            </w:pPr>
            <w:r>
              <w:rPr>
                <w:rFonts w:ascii="Arial" w:hAnsi="Arial" w:cs="Arial"/>
                <w:sz w:val="24"/>
                <w:szCs w:val="24"/>
              </w:rPr>
              <w:t>3</w:t>
            </w:r>
            <w:r w:rsidR="00793F84">
              <w:rPr>
                <w:rFonts w:ascii="Arial" w:hAnsi="Arial" w:cs="Arial"/>
                <w:sz w:val="24"/>
                <w:szCs w:val="24"/>
              </w:rPr>
              <w:t>4.4% - 36.1%</w:t>
            </w:r>
          </w:p>
        </w:tc>
      </w:tr>
      <w:tr w:rsidR="00793F84" w:rsidRPr="00E20BFB" w:rsidTr="00C82F88">
        <w:tc>
          <w:tcPr>
            <w:tcW w:w="4361" w:type="dxa"/>
          </w:tcPr>
          <w:p w:rsidR="00793F84" w:rsidRDefault="00793F84" w:rsidP="00C82F88">
            <w:pPr>
              <w:jc w:val="left"/>
              <w:rPr>
                <w:rFonts w:ascii="Arial" w:hAnsi="Arial" w:cs="Arial"/>
                <w:sz w:val="24"/>
                <w:szCs w:val="24"/>
              </w:rPr>
            </w:pPr>
            <w:r>
              <w:rPr>
                <w:rFonts w:ascii="Arial" w:hAnsi="Arial" w:cs="Arial"/>
                <w:sz w:val="24"/>
                <w:szCs w:val="24"/>
              </w:rPr>
              <w:t>Poland</w:t>
            </w:r>
          </w:p>
        </w:tc>
        <w:tc>
          <w:tcPr>
            <w:tcW w:w="2693" w:type="dxa"/>
          </w:tcPr>
          <w:p w:rsidR="00793F84" w:rsidRPr="00EC1FEB" w:rsidRDefault="00793F84" w:rsidP="005F309B">
            <w:pPr>
              <w:jc w:val="right"/>
              <w:rPr>
                <w:rFonts w:ascii="Arial" w:hAnsi="Arial" w:cs="Arial"/>
                <w:b/>
                <w:sz w:val="24"/>
                <w:szCs w:val="24"/>
              </w:rPr>
            </w:pPr>
            <w:r w:rsidRPr="00EC1FEB">
              <w:rPr>
                <w:rFonts w:ascii="Arial" w:hAnsi="Arial" w:cs="Arial"/>
                <w:b/>
                <w:sz w:val="24"/>
                <w:szCs w:val="24"/>
              </w:rPr>
              <w:t>19%</w:t>
            </w:r>
          </w:p>
        </w:tc>
        <w:tc>
          <w:tcPr>
            <w:tcW w:w="2552" w:type="dxa"/>
          </w:tcPr>
          <w:p w:rsidR="00793F84" w:rsidRPr="00793F84" w:rsidRDefault="00793F84" w:rsidP="005F309B">
            <w:pPr>
              <w:jc w:val="right"/>
              <w:rPr>
                <w:rFonts w:ascii="Arial" w:hAnsi="Arial" w:cs="Arial"/>
                <w:sz w:val="24"/>
                <w:szCs w:val="24"/>
              </w:rPr>
            </w:pPr>
            <w:r>
              <w:rPr>
                <w:rFonts w:ascii="Arial" w:hAnsi="Arial" w:cs="Arial"/>
                <w:sz w:val="24"/>
                <w:szCs w:val="24"/>
              </w:rPr>
              <w:t>19%</w:t>
            </w:r>
          </w:p>
        </w:tc>
      </w:tr>
      <w:tr w:rsidR="00793F84" w:rsidRPr="00E20BFB" w:rsidTr="00C82F88">
        <w:tc>
          <w:tcPr>
            <w:tcW w:w="4361" w:type="dxa"/>
          </w:tcPr>
          <w:p w:rsidR="00793F84" w:rsidRDefault="00793F84" w:rsidP="00C82F88">
            <w:pPr>
              <w:jc w:val="left"/>
              <w:rPr>
                <w:rFonts w:ascii="Arial" w:hAnsi="Arial" w:cs="Arial"/>
                <w:sz w:val="24"/>
                <w:szCs w:val="24"/>
              </w:rPr>
            </w:pPr>
            <w:r>
              <w:rPr>
                <w:rFonts w:ascii="Arial" w:hAnsi="Arial" w:cs="Arial"/>
                <w:sz w:val="24"/>
                <w:szCs w:val="24"/>
              </w:rPr>
              <w:t>Rest of Europe</w:t>
            </w:r>
          </w:p>
        </w:tc>
        <w:tc>
          <w:tcPr>
            <w:tcW w:w="2693" w:type="dxa"/>
          </w:tcPr>
          <w:p w:rsidR="00793F84" w:rsidRPr="00EC1FEB" w:rsidRDefault="00793F84" w:rsidP="005F309B">
            <w:pPr>
              <w:jc w:val="right"/>
              <w:rPr>
                <w:rFonts w:ascii="Arial" w:hAnsi="Arial" w:cs="Arial"/>
                <w:b/>
                <w:sz w:val="24"/>
                <w:szCs w:val="24"/>
              </w:rPr>
            </w:pPr>
            <w:r w:rsidRPr="00EC1FEB">
              <w:rPr>
                <w:rFonts w:ascii="Arial" w:hAnsi="Arial" w:cs="Arial"/>
                <w:b/>
                <w:sz w:val="24"/>
                <w:szCs w:val="24"/>
              </w:rPr>
              <w:t>0% - 34%</w:t>
            </w:r>
          </w:p>
        </w:tc>
        <w:tc>
          <w:tcPr>
            <w:tcW w:w="2552" w:type="dxa"/>
          </w:tcPr>
          <w:p w:rsidR="00793F84" w:rsidRPr="00793F84" w:rsidRDefault="00793F84" w:rsidP="005F309B">
            <w:pPr>
              <w:jc w:val="right"/>
              <w:rPr>
                <w:rFonts w:ascii="Arial" w:hAnsi="Arial" w:cs="Arial"/>
                <w:sz w:val="24"/>
                <w:szCs w:val="24"/>
              </w:rPr>
            </w:pPr>
            <w:r>
              <w:rPr>
                <w:rFonts w:ascii="Arial" w:hAnsi="Arial" w:cs="Arial"/>
                <w:sz w:val="24"/>
                <w:szCs w:val="24"/>
              </w:rPr>
              <w:t>0% - 34%</w:t>
            </w:r>
          </w:p>
        </w:tc>
      </w:tr>
      <w:tr w:rsidR="00793F84" w:rsidRPr="00E20BFB" w:rsidTr="00C82F88">
        <w:tc>
          <w:tcPr>
            <w:tcW w:w="4361" w:type="dxa"/>
          </w:tcPr>
          <w:p w:rsidR="00793F84" w:rsidRDefault="00793F84" w:rsidP="00C82F88">
            <w:pPr>
              <w:jc w:val="left"/>
              <w:rPr>
                <w:rFonts w:ascii="Arial" w:hAnsi="Arial" w:cs="Arial"/>
                <w:sz w:val="24"/>
                <w:szCs w:val="24"/>
              </w:rPr>
            </w:pPr>
            <w:r>
              <w:rPr>
                <w:rFonts w:ascii="Arial" w:hAnsi="Arial" w:cs="Arial"/>
                <w:sz w:val="24"/>
                <w:szCs w:val="24"/>
              </w:rPr>
              <w:t>Asia</w:t>
            </w:r>
          </w:p>
        </w:tc>
        <w:tc>
          <w:tcPr>
            <w:tcW w:w="2693" w:type="dxa"/>
          </w:tcPr>
          <w:p w:rsidR="00793F84" w:rsidRPr="00EC1FEB" w:rsidRDefault="00793F84" w:rsidP="005F309B">
            <w:pPr>
              <w:jc w:val="right"/>
              <w:rPr>
                <w:rFonts w:ascii="Arial" w:hAnsi="Arial" w:cs="Arial"/>
                <w:b/>
                <w:sz w:val="24"/>
                <w:szCs w:val="24"/>
              </w:rPr>
            </w:pPr>
            <w:r w:rsidRPr="00EC1FEB">
              <w:rPr>
                <w:rFonts w:ascii="Arial" w:hAnsi="Arial" w:cs="Arial"/>
                <w:b/>
                <w:sz w:val="24"/>
                <w:szCs w:val="24"/>
              </w:rPr>
              <w:t>16.5% - 25%</w:t>
            </w:r>
          </w:p>
        </w:tc>
        <w:tc>
          <w:tcPr>
            <w:tcW w:w="2552" w:type="dxa"/>
          </w:tcPr>
          <w:p w:rsidR="00793F84" w:rsidRPr="00793F84" w:rsidRDefault="00793F84" w:rsidP="005F309B">
            <w:pPr>
              <w:jc w:val="right"/>
              <w:rPr>
                <w:rFonts w:ascii="Arial" w:hAnsi="Arial" w:cs="Arial"/>
                <w:sz w:val="24"/>
                <w:szCs w:val="24"/>
              </w:rPr>
            </w:pPr>
            <w:r>
              <w:rPr>
                <w:rFonts w:ascii="Arial" w:hAnsi="Arial" w:cs="Arial"/>
                <w:sz w:val="24"/>
                <w:szCs w:val="24"/>
              </w:rPr>
              <w:t>16.5% - 25%</w:t>
            </w:r>
          </w:p>
        </w:tc>
      </w:tr>
    </w:tbl>
    <w:p w:rsidR="00793F84" w:rsidRDefault="00793F84" w:rsidP="00C82F88">
      <w:pPr>
        <w:jc w:val="left"/>
      </w:pPr>
    </w:p>
    <w:p w:rsidR="00E90F78" w:rsidRPr="00C82F88" w:rsidRDefault="00E90F78" w:rsidP="00C82F88">
      <w:pPr>
        <w:jc w:val="left"/>
        <w:rPr>
          <w:rFonts w:ascii="Arial" w:hAnsi="Arial" w:cs="Arial"/>
          <w:b/>
          <w:sz w:val="24"/>
          <w:szCs w:val="24"/>
        </w:rPr>
      </w:pPr>
      <w:r w:rsidRPr="00C82F88">
        <w:rPr>
          <w:rFonts w:ascii="Arial" w:hAnsi="Arial" w:cs="Arial"/>
          <w:b/>
          <w:sz w:val="24"/>
          <w:szCs w:val="24"/>
        </w:rPr>
        <w:t>Tax contribution</w:t>
      </w:r>
    </w:p>
    <w:p w:rsidR="00E90F78" w:rsidRDefault="00E90F78" w:rsidP="00C82F88">
      <w:pPr>
        <w:jc w:val="left"/>
        <w:rPr>
          <w:rFonts w:ascii="Arial" w:hAnsi="Arial" w:cs="Arial"/>
          <w:sz w:val="24"/>
          <w:szCs w:val="24"/>
        </w:rPr>
      </w:pPr>
    </w:p>
    <w:p w:rsidR="00DE44B4" w:rsidRDefault="00546A62" w:rsidP="00C82F88">
      <w:pPr>
        <w:jc w:val="left"/>
        <w:rPr>
          <w:rFonts w:ascii="Arial" w:hAnsi="Arial" w:cs="Arial"/>
          <w:sz w:val="24"/>
          <w:szCs w:val="24"/>
        </w:rPr>
      </w:pPr>
      <w:r w:rsidRPr="00C82F88">
        <w:rPr>
          <w:rFonts w:ascii="Arial" w:hAnsi="Arial" w:cs="Arial" w:hint="eastAsia"/>
          <w:sz w:val="24"/>
          <w:szCs w:val="24"/>
        </w:rPr>
        <w:t xml:space="preserve">Kingfisher makes a major contribution to the economies of each country in which it operates including the taxes that it both pays to and collects for Governments. </w:t>
      </w:r>
      <w:r w:rsidR="00A06696">
        <w:rPr>
          <w:rFonts w:ascii="Arial" w:hAnsi="Arial" w:cs="Arial"/>
          <w:sz w:val="24"/>
          <w:szCs w:val="24"/>
        </w:rPr>
        <w:t xml:space="preserve">The Group has borne </w:t>
      </w:r>
      <w:r w:rsidRPr="00C82F88">
        <w:rPr>
          <w:rFonts w:ascii="Arial" w:hAnsi="Arial" w:cs="Arial" w:hint="eastAsia"/>
          <w:sz w:val="24"/>
          <w:szCs w:val="24"/>
        </w:rPr>
        <w:t xml:space="preserve">cash taxes on its profits, </w:t>
      </w:r>
      <w:r w:rsidR="00A06696">
        <w:rPr>
          <w:rFonts w:ascii="Arial" w:hAnsi="Arial" w:cs="Arial"/>
          <w:sz w:val="24"/>
          <w:szCs w:val="24"/>
        </w:rPr>
        <w:t>properties</w:t>
      </w:r>
      <w:r w:rsidRPr="00C82F88">
        <w:rPr>
          <w:rFonts w:ascii="Arial" w:hAnsi="Arial" w:cs="Arial" w:hint="eastAsia"/>
          <w:sz w:val="24"/>
          <w:szCs w:val="24"/>
        </w:rPr>
        <w:t xml:space="preserve">, in employing its workforce, in environmental levies, in customs and fuel duties </w:t>
      </w:r>
      <w:r w:rsidR="00327804">
        <w:rPr>
          <w:rFonts w:ascii="Arial" w:hAnsi="Arial" w:cs="Arial"/>
          <w:sz w:val="24"/>
          <w:szCs w:val="24"/>
        </w:rPr>
        <w:t>as well as bearing</w:t>
      </w:r>
      <w:r w:rsidRPr="00C82F88">
        <w:rPr>
          <w:rFonts w:ascii="Arial" w:hAnsi="Arial" w:cs="Arial" w:hint="eastAsia"/>
          <w:sz w:val="24"/>
          <w:szCs w:val="24"/>
        </w:rPr>
        <w:t xml:space="preserve"> other local taxes. </w:t>
      </w:r>
      <w:r w:rsidR="00DE44B4">
        <w:rPr>
          <w:rFonts w:ascii="Arial" w:hAnsi="Arial" w:cs="Arial"/>
          <w:sz w:val="24"/>
          <w:szCs w:val="24"/>
        </w:rPr>
        <w:t>The most significant of the taxes collected are sales taxes charged to customers (VAT) on their purchases and employee payroll taxes. Taxes paid and taxes collected together represent Kingfisher’s total tax contribution which is shown below:</w:t>
      </w:r>
    </w:p>
    <w:p w:rsidR="00DE44B4" w:rsidRDefault="00DE44B4" w:rsidP="00C82F88">
      <w:pPr>
        <w:jc w:val="left"/>
        <w:rPr>
          <w:rFonts w:ascii="Arial" w:hAnsi="Arial" w:cs="Arial"/>
          <w:sz w:val="24"/>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054"/>
        <w:gridCol w:w="1276"/>
        <w:gridCol w:w="1276"/>
      </w:tblGrid>
      <w:tr w:rsidR="005F309B" w:rsidRPr="00E20BFB" w:rsidTr="00C82F88">
        <w:trPr>
          <w:trHeight w:val="516"/>
        </w:trPr>
        <w:tc>
          <w:tcPr>
            <w:tcW w:w="7054" w:type="dxa"/>
            <w:tcBorders>
              <w:bottom w:val="single" w:sz="4" w:space="0" w:color="auto"/>
            </w:tcBorders>
          </w:tcPr>
          <w:p w:rsidR="005F309B" w:rsidRPr="00E20BFB" w:rsidRDefault="005F309B" w:rsidP="00C82F88">
            <w:pPr>
              <w:jc w:val="left"/>
              <w:rPr>
                <w:rFonts w:ascii="Arial" w:hAnsi="Arial" w:cs="Arial"/>
                <w:b/>
                <w:sz w:val="24"/>
                <w:szCs w:val="24"/>
              </w:rPr>
            </w:pPr>
            <w:r>
              <w:rPr>
                <w:rFonts w:ascii="Arial" w:hAnsi="Arial" w:cs="Arial"/>
                <w:b/>
                <w:sz w:val="24"/>
                <w:szCs w:val="24"/>
              </w:rPr>
              <w:t>Total taxes paid as a result of Group operations</w:t>
            </w:r>
          </w:p>
        </w:tc>
        <w:tc>
          <w:tcPr>
            <w:tcW w:w="1276" w:type="dxa"/>
            <w:tcBorders>
              <w:bottom w:val="single" w:sz="4" w:space="0" w:color="auto"/>
            </w:tcBorders>
          </w:tcPr>
          <w:p w:rsidR="005F309B" w:rsidRDefault="005F309B" w:rsidP="005F309B">
            <w:pPr>
              <w:jc w:val="right"/>
              <w:rPr>
                <w:rFonts w:ascii="Arial" w:hAnsi="Arial" w:cs="Arial"/>
                <w:b/>
                <w:sz w:val="24"/>
                <w:szCs w:val="24"/>
              </w:rPr>
            </w:pPr>
            <w:r>
              <w:rPr>
                <w:rFonts w:ascii="Arial" w:hAnsi="Arial" w:cs="Arial"/>
                <w:b/>
                <w:sz w:val="24"/>
                <w:szCs w:val="24"/>
              </w:rPr>
              <w:t>2012/13</w:t>
            </w:r>
          </w:p>
          <w:p w:rsidR="005F309B" w:rsidRPr="00E20BFB" w:rsidRDefault="005F309B" w:rsidP="005F309B">
            <w:pPr>
              <w:jc w:val="right"/>
              <w:rPr>
                <w:rFonts w:ascii="Arial" w:hAnsi="Arial" w:cs="Arial"/>
                <w:b/>
                <w:sz w:val="24"/>
                <w:szCs w:val="24"/>
              </w:rPr>
            </w:pPr>
            <w:r>
              <w:rPr>
                <w:rFonts w:ascii="Arial" w:hAnsi="Arial" w:cs="Arial"/>
                <w:b/>
                <w:sz w:val="24"/>
                <w:szCs w:val="24"/>
              </w:rPr>
              <w:t>£</w:t>
            </w:r>
            <w:proofErr w:type="spellStart"/>
            <w:r>
              <w:rPr>
                <w:rFonts w:ascii="Arial" w:hAnsi="Arial" w:cs="Arial"/>
                <w:b/>
                <w:sz w:val="24"/>
                <w:szCs w:val="24"/>
              </w:rPr>
              <w:t>bn</w:t>
            </w:r>
            <w:proofErr w:type="spellEnd"/>
          </w:p>
        </w:tc>
        <w:tc>
          <w:tcPr>
            <w:tcW w:w="1276" w:type="dxa"/>
            <w:tcBorders>
              <w:bottom w:val="single" w:sz="4" w:space="0" w:color="auto"/>
            </w:tcBorders>
          </w:tcPr>
          <w:p w:rsidR="005F309B" w:rsidRPr="007933D8" w:rsidRDefault="005F309B" w:rsidP="005F309B">
            <w:pPr>
              <w:jc w:val="right"/>
              <w:rPr>
                <w:rFonts w:ascii="Arial" w:hAnsi="Arial" w:cs="Arial"/>
                <w:sz w:val="24"/>
                <w:szCs w:val="24"/>
              </w:rPr>
            </w:pPr>
            <w:r w:rsidRPr="007933D8">
              <w:rPr>
                <w:rFonts w:ascii="Arial" w:hAnsi="Arial" w:cs="Arial"/>
                <w:sz w:val="24"/>
                <w:szCs w:val="24"/>
              </w:rPr>
              <w:t>2011/12</w:t>
            </w:r>
          </w:p>
          <w:p w:rsidR="005F309B" w:rsidRPr="00E20BFB" w:rsidRDefault="005F309B" w:rsidP="005F309B">
            <w:pPr>
              <w:jc w:val="right"/>
              <w:rPr>
                <w:rFonts w:ascii="Arial" w:hAnsi="Arial" w:cs="Arial"/>
                <w:b/>
                <w:sz w:val="24"/>
                <w:szCs w:val="24"/>
              </w:rPr>
            </w:pPr>
            <w:r>
              <w:rPr>
                <w:rFonts w:ascii="Arial" w:hAnsi="Arial" w:cs="Arial"/>
                <w:sz w:val="24"/>
                <w:szCs w:val="24"/>
              </w:rPr>
              <w:t>£</w:t>
            </w:r>
            <w:proofErr w:type="spellStart"/>
            <w:r>
              <w:rPr>
                <w:rFonts w:ascii="Arial" w:hAnsi="Arial" w:cs="Arial"/>
                <w:sz w:val="24"/>
                <w:szCs w:val="24"/>
              </w:rPr>
              <w:t>bn</w:t>
            </w:r>
            <w:proofErr w:type="spellEnd"/>
          </w:p>
        </w:tc>
      </w:tr>
      <w:tr w:rsidR="005F309B" w:rsidRPr="00E20BFB" w:rsidTr="00C82F88">
        <w:tc>
          <w:tcPr>
            <w:tcW w:w="7054" w:type="dxa"/>
            <w:tcBorders>
              <w:top w:val="single" w:sz="4" w:space="0" w:color="auto"/>
            </w:tcBorders>
          </w:tcPr>
          <w:p w:rsidR="005F309B" w:rsidRPr="00E20BFB" w:rsidRDefault="005F309B" w:rsidP="00C82F88">
            <w:pPr>
              <w:jc w:val="left"/>
              <w:rPr>
                <w:rFonts w:ascii="Arial" w:hAnsi="Arial" w:cs="Arial"/>
                <w:sz w:val="24"/>
                <w:szCs w:val="24"/>
              </w:rPr>
            </w:pPr>
            <w:r>
              <w:rPr>
                <w:rFonts w:ascii="Arial" w:hAnsi="Arial" w:cs="Arial"/>
                <w:sz w:val="24"/>
                <w:szCs w:val="24"/>
              </w:rPr>
              <w:t>Taxes borne</w:t>
            </w:r>
          </w:p>
        </w:tc>
        <w:tc>
          <w:tcPr>
            <w:tcW w:w="1276" w:type="dxa"/>
            <w:tcBorders>
              <w:top w:val="single" w:sz="4" w:space="0" w:color="auto"/>
            </w:tcBorders>
          </w:tcPr>
          <w:p w:rsidR="005F309B" w:rsidRPr="00C82F88" w:rsidRDefault="005F309B" w:rsidP="005F309B">
            <w:pPr>
              <w:jc w:val="right"/>
              <w:rPr>
                <w:rFonts w:ascii="Arial" w:hAnsi="Arial" w:cs="Arial"/>
                <w:b/>
                <w:sz w:val="24"/>
                <w:szCs w:val="24"/>
              </w:rPr>
            </w:pPr>
            <w:r w:rsidRPr="00C82F88">
              <w:rPr>
                <w:rFonts w:ascii="Arial" w:hAnsi="Arial" w:cs="Arial"/>
                <w:b/>
                <w:sz w:val="24"/>
                <w:szCs w:val="24"/>
              </w:rPr>
              <w:t>0.</w:t>
            </w:r>
            <w:r w:rsidR="00144881">
              <w:rPr>
                <w:rFonts w:ascii="Arial" w:hAnsi="Arial" w:cs="Arial"/>
                <w:b/>
                <w:sz w:val="24"/>
                <w:szCs w:val="24"/>
              </w:rPr>
              <w:t>70</w:t>
            </w:r>
          </w:p>
        </w:tc>
        <w:tc>
          <w:tcPr>
            <w:tcW w:w="1276" w:type="dxa"/>
            <w:tcBorders>
              <w:top w:val="single" w:sz="4" w:space="0" w:color="auto"/>
            </w:tcBorders>
          </w:tcPr>
          <w:p w:rsidR="005F309B" w:rsidRPr="00E20BFB" w:rsidRDefault="005F309B" w:rsidP="005F309B">
            <w:pPr>
              <w:jc w:val="right"/>
              <w:rPr>
                <w:rFonts w:ascii="Arial" w:hAnsi="Arial" w:cs="Arial"/>
                <w:sz w:val="24"/>
                <w:szCs w:val="24"/>
              </w:rPr>
            </w:pPr>
            <w:r>
              <w:rPr>
                <w:rFonts w:ascii="Arial" w:hAnsi="Arial" w:cs="Arial"/>
                <w:sz w:val="24"/>
                <w:szCs w:val="24"/>
              </w:rPr>
              <w:t>0.</w:t>
            </w:r>
            <w:r w:rsidR="00144881">
              <w:rPr>
                <w:rFonts w:ascii="Arial" w:hAnsi="Arial" w:cs="Arial"/>
                <w:sz w:val="24"/>
                <w:szCs w:val="24"/>
              </w:rPr>
              <w:t>69</w:t>
            </w:r>
          </w:p>
        </w:tc>
      </w:tr>
      <w:tr w:rsidR="005F309B" w:rsidRPr="00E20BFB" w:rsidTr="00C82F88">
        <w:tc>
          <w:tcPr>
            <w:tcW w:w="7054" w:type="dxa"/>
          </w:tcPr>
          <w:p w:rsidR="005F309B" w:rsidRDefault="005F309B" w:rsidP="00C82F88">
            <w:pPr>
              <w:jc w:val="left"/>
              <w:rPr>
                <w:rFonts w:ascii="Arial" w:hAnsi="Arial" w:cs="Arial"/>
                <w:sz w:val="24"/>
                <w:szCs w:val="24"/>
              </w:rPr>
            </w:pPr>
            <w:r>
              <w:rPr>
                <w:rFonts w:ascii="Arial" w:hAnsi="Arial" w:cs="Arial"/>
                <w:sz w:val="24"/>
                <w:szCs w:val="24"/>
              </w:rPr>
              <w:t>Taxes collected</w:t>
            </w:r>
          </w:p>
        </w:tc>
        <w:tc>
          <w:tcPr>
            <w:tcW w:w="1276" w:type="dxa"/>
          </w:tcPr>
          <w:p w:rsidR="005F309B" w:rsidRPr="00C82F88" w:rsidRDefault="005F309B" w:rsidP="005F309B">
            <w:pPr>
              <w:jc w:val="right"/>
              <w:rPr>
                <w:rFonts w:ascii="Arial" w:hAnsi="Arial" w:cs="Arial"/>
                <w:b/>
                <w:sz w:val="24"/>
                <w:szCs w:val="24"/>
              </w:rPr>
            </w:pPr>
            <w:r w:rsidRPr="00C82F88">
              <w:rPr>
                <w:rFonts w:ascii="Arial" w:hAnsi="Arial" w:cs="Arial"/>
                <w:b/>
                <w:sz w:val="24"/>
                <w:szCs w:val="24"/>
              </w:rPr>
              <w:t>0.9</w:t>
            </w:r>
            <w:r w:rsidR="00144881">
              <w:rPr>
                <w:rFonts w:ascii="Arial" w:hAnsi="Arial" w:cs="Arial"/>
                <w:b/>
                <w:sz w:val="24"/>
                <w:szCs w:val="24"/>
              </w:rPr>
              <w:t>0</w:t>
            </w:r>
          </w:p>
        </w:tc>
        <w:tc>
          <w:tcPr>
            <w:tcW w:w="1276" w:type="dxa"/>
          </w:tcPr>
          <w:p w:rsidR="005F309B" w:rsidRPr="00E20BFB" w:rsidRDefault="005F309B" w:rsidP="005F309B">
            <w:pPr>
              <w:jc w:val="right"/>
              <w:rPr>
                <w:rFonts w:ascii="Arial" w:hAnsi="Arial" w:cs="Arial"/>
                <w:sz w:val="24"/>
                <w:szCs w:val="24"/>
              </w:rPr>
            </w:pPr>
            <w:r>
              <w:rPr>
                <w:rFonts w:ascii="Arial" w:hAnsi="Arial" w:cs="Arial"/>
                <w:sz w:val="24"/>
                <w:szCs w:val="24"/>
              </w:rPr>
              <w:t>0.</w:t>
            </w:r>
            <w:r w:rsidR="00144881">
              <w:rPr>
                <w:rFonts w:ascii="Arial" w:hAnsi="Arial" w:cs="Arial"/>
                <w:sz w:val="24"/>
                <w:szCs w:val="24"/>
              </w:rPr>
              <w:t>89</w:t>
            </w:r>
          </w:p>
        </w:tc>
      </w:tr>
      <w:tr w:rsidR="005F309B" w:rsidRPr="00700E2D" w:rsidTr="00C82F88">
        <w:tc>
          <w:tcPr>
            <w:tcW w:w="7054" w:type="dxa"/>
            <w:tcBorders>
              <w:top w:val="single" w:sz="4" w:space="0" w:color="auto"/>
              <w:bottom w:val="single" w:sz="4" w:space="0" w:color="auto"/>
            </w:tcBorders>
          </w:tcPr>
          <w:p w:rsidR="005F309B" w:rsidRPr="00015AAF" w:rsidRDefault="005F309B" w:rsidP="00C82F88">
            <w:pPr>
              <w:jc w:val="left"/>
              <w:rPr>
                <w:rFonts w:ascii="Arial" w:hAnsi="Arial" w:cs="Arial"/>
                <w:b/>
                <w:sz w:val="24"/>
                <w:szCs w:val="24"/>
              </w:rPr>
            </w:pPr>
            <w:r>
              <w:rPr>
                <w:rFonts w:ascii="Arial" w:hAnsi="Arial" w:cs="Arial"/>
                <w:b/>
                <w:sz w:val="24"/>
                <w:szCs w:val="24"/>
              </w:rPr>
              <w:t>Total tax contribution</w:t>
            </w:r>
          </w:p>
        </w:tc>
        <w:tc>
          <w:tcPr>
            <w:tcW w:w="1276" w:type="dxa"/>
            <w:tcBorders>
              <w:top w:val="single" w:sz="4" w:space="0" w:color="auto"/>
              <w:bottom w:val="single" w:sz="4" w:space="0" w:color="auto"/>
            </w:tcBorders>
          </w:tcPr>
          <w:p w:rsidR="005F309B" w:rsidRPr="00C82F88" w:rsidRDefault="005F309B" w:rsidP="005F309B">
            <w:pPr>
              <w:jc w:val="right"/>
              <w:rPr>
                <w:rFonts w:ascii="Arial" w:hAnsi="Arial" w:cs="Arial"/>
                <w:b/>
                <w:sz w:val="24"/>
                <w:szCs w:val="24"/>
              </w:rPr>
            </w:pPr>
            <w:r w:rsidRPr="00C82F88">
              <w:rPr>
                <w:rFonts w:ascii="Arial" w:hAnsi="Arial" w:cs="Arial"/>
                <w:b/>
                <w:sz w:val="24"/>
                <w:szCs w:val="24"/>
              </w:rPr>
              <w:t>1.6</w:t>
            </w:r>
            <w:r w:rsidR="00144881">
              <w:rPr>
                <w:rFonts w:ascii="Arial" w:hAnsi="Arial" w:cs="Arial"/>
                <w:b/>
                <w:sz w:val="24"/>
                <w:szCs w:val="24"/>
              </w:rPr>
              <w:t>0</w:t>
            </w:r>
          </w:p>
        </w:tc>
        <w:tc>
          <w:tcPr>
            <w:tcW w:w="1276" w:type="dxa"/>
            <w:tcBorders>
              <w:top w:val="single" w:sz="4" w:space="0" w:color="auto"/>
              <w:bottom w:val="single" w:sz="4" w:space="0" w:color="auto"/>
            </w:tcBorders>
          </w:tcPr>
          <w:p w:rsidR="005F309B" w:rsidRPr="00700E2D" w:rsidRDefault="005F309B" w:rsidP="005F309B">
            <w:pPr>
              <w:jc w:val="right"/>
              <w:rPr>
                <w:rFonts w:ascii="Arial" w:hAnsi="Arial" w:cs="Arial"/>
                <w:sz w:val="24"/>
                <w:szCs w:val="24"/>
              </w:rPr>
            </w:pPr>
            <w:r>
              <w:rPr>
                <w:rFonts w:ascii="Arial" w:hAnsi="Arial" w:cs="Arial"/>
                <w:sz w:val="24"/>
                <w:szCs w:val="24"/>
              </w:rPr>
              <w:t>1.</w:t>
            </w:r>
            <w:r w:rsidR="00144881">
              <w:rPr>
                <w:rFonts w:ascii="Arial" w:hAnsi="Arial" w:cs="Arial"/>
                <w:sz w:val="24"/>
                <w:szCs w:val="24"/>
              </w:rPr>
              <w:t>58</w:t>
            </w:r>
          </w:p>
        </w:tc>
      </w:tr>
    </w:tbl>
    <w:p w:rsidR="00584CDC" w:rsidRPr="0006717E" w:rsidRDefault="00584CDC" w:rsidP="003F45F2">
      <w:pPr>
        <w:tabs>
          <w:tab w:val="right" w:pos="9356"/>
        </w:tabs>
        <w:rPr>
          <w:rFonts w:ascii="Arial" w:hAnsi="Arial" w:cs="Arial"/>
          <w:color w:val="FF0000"/>
          <w:sz w:val="24"/>
          <w:szCs w:val="24"/>
        </w:rPr>
      </w:pPr>
      <w:r w:rsidRPr="0006717E">
        <w:rPr>
          <w:rFonts w:ascii="Arial" w:hAnsi="Arial" w:cs="Arial"/>
          <w:b/>
          <w:color w:val="FF0000"/>
          <w:sz w:val="24"/>
          <w:szCs w:val="24"/>
        </w:rPr>
        <w:tab/>
      </w:r>
    </w:p>
    <w:p w:rsidR="00144881" w:rsidRPr="00EC1FEB" w:rsidRDefault="00144881">
      <w:pPr>
        <w:jc w:val="left"/>
        <w:rPr>
          <w:rFonts w:ascii="Arial" w:hAnsi="Arial" w:cs="Arial"/>
          <w:color w:val="000080"/>
          <w:sz w:val="20"/>
          <w:szCs w:val="20"/>
          <w:lang w:val="en-US"/>
        </w:rPr>
      </w:pPr>
      <w:r>
        <w:rPr>
          <w:rFonts w:ascii="Arial" w:hAnsi="Arial" w:cs="Arial"/>
          <w:sz w:val="24"/>
          <w:szCs w:val="24"/>
          <w:lang w:val="en-US"/>
        </w:rPr>
        <w:t>According to the 2012 Total Tax Contribution survey that PwC perform for the Hundred Group of Finance Directors, Kingfisher is ranked 32</w:t>
      </w:r>
      <w:r>
        <w:rPr>
          <w:rFonts w:ascii="Arial" w:hAnsi="Arial" w:cs="Arial"/>
          <w:sz w:val="24"/>
          <w:szCs w:val="24"/>
          <w:vertAlign w:val="superscript"/>
          <w:lang w:val="en-US"/>
        </w:rPr>
        <w:t>nd</w:t>
      </w:r>
      <w:r>
        <w:rPr>
          <w:rFonts w:ascii="Arial" w:hAnsi="Arial" w:cs="Arial"/>
          <w:sz w:val="24"/>
          <w:szCs w:val="24"/>
          <w:lang w:val="en-US"/>
        </w:rPr>
        <w:t xml:space="preserve"> for its Total Tax Contribution in the UK. In 2012, 95 companies contributed to the survey.</w:t>
      </w:r>
    </w:p>
    <w:p w:rsidR="00F811DB" w:rsidRDefault="00F811DB">
      <w:pPr>
        <w:jc w:val="left"/>
        <w:rPr>
          <w:rFonts w:ascii="Arial" w:hAnsi="Arial" w:cs="Arial"/>
          <w:b/>
          <w:sz w:val="24"/>
          <w:szCs w:val="24"/>
        </w:rPr>
      </w:pPr>
      <w:bookmarkStart w:id="17" w:name="FR"/>
      <w:bookmarkEnd w:id="17"/>
    </w:p>
    <w:p w:rsidR="00C659A8" w:rsidRDefault="00C659A8" w:rsidP="00C82F88">
      <w:pPr>
        <w:jc w:val="left"/>
        <w:rPr>
          <w:rFonts w:ascii="Arial" w:hAnsi="Arial" w:cs="Arial"/>
          <w:b/>
          <w:sz w:val="24"/>
          <w:szCs w:val="24"/>
        </w:rPr>
      </w:pPr>
      <w:r w:rsidRPr="00C82F88">
        <w:rPr>
          <w:rFonts w:ascii="Arial" w:hAnsi="Arial" w:cs="Arial"/>
          <w:b/>
          <w:sz w:val="24"/>
          <w:szCs w:val="24"/>
        </w:rPr>
        <w:t>Exceptional items</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062"/>
        <w:gridCol w:w="1843"/>
        <w:gridCol w:w="1701"/>
      </w:tblGrid>
      <w:tr w:rsidR="00C659A8" w:rsidRPr="00E20BFB" w:rsidTr="00C82F88">
        <w:trPr>
          <w:trHeight w:val="516"/>
        </w:trPr>
        <w:tc>
          <w:tcPr>
            <w:tcW w:w="6062" w:type="dxa"/>
            <w:tcBorders>
              <w:bottom w:val="single" w:sz="4" w:space="0" w:color="auto"/>
            </w:tcBorders>
          </w:tcPr>
          <w:p w:rsidR="00C659A8" w:rsidRPr="00E20BFB" w:rsidRDefault="00C659A8" w:rsidP="00C659A8">
            <w:pPr>
              <w:jc w:val="left"/>
              <w:rPr>
                <w:rFonts w:ascii="Arial" w:hAnsi="Arial" w:cs="Arial"/>
                <w:b/>
                <w:sz w:val="24"/>
                <w:szCs w:val="24"/>
              </w:rPr>
            </w:pPr>
          </w:p>
        </w:tc>
        <w:tc>
          <w:tcPr>
            <w:tcW w:w="1843" w:type="dxa"/>
            <w:tcBorders>
              <w:bottom w:val="single" w:sz="4" w:space="0" w:color="auto"/>
            </w:tcBorders>
          </w:tcPr>
          <w:p w:rsidR="00C659A8" w:rsidRDefault="00C659A8" w:rsidP="00C659A8">
            <w:pPr>
              <w:jc w:val="right"/>
              <w:rPr>
                <w:rFonts w:ascii="Arial" w:hAnsi="Arial" w:cs="Arial"/>
                <w:b/>
                <w:sz w:val="24"/>
                <w:szCs w:val="24"/>
              </w:rPr>
            </w:pPr>
            <w:r>
              <w:rPr>
                <w:rFonts w:ascii="Arial" w:hAnsi="Arial" w:cs="Arial"/>
                <w:b/>
                <w:sz w:val="24"/>
                <w:szCs w:val="24"/>
              </w:rPr>
              <w:t>2012/13</w:t>
            </w:r>
          </w:p>
          <w:p w:rsidR="00C659A8" w:rsidRDefault="00830EB6" w:rsidP="00C659A8">
            <w:pPr>
              <w:jc w:val="right"/>
              <w:rPr>
                <w:rFonts w:ascii="Arial" w:hAnsi="Arial" w:cs="Arial"/>
                <w:b/>
                <w:sz w:val="24"/>
                <w:szCs w:val="24"/>
              </w:rPr>
            </w:pPr>
            <w:r>
              <w:rPr>
                <w:rFonts w:ascii="Arial" w:hAnsi="Arial" w:cs="Arial"/>
                <w:b/>
                <w:sz w:val="24"/>
                <w:szCs w:val="24"/>
              </w:rPr>
              <w:t>£m</w:t>
            </w:r>
          </w:p>
          <w:p w:rsidR="00830EB6" w:rsidRPr="00E20BFB" w:rsidRDefault="00830EB6" w:rsidP="00C659A8">
            <w:pPr>
              <w:jc w:val="right"/>
              <w:rPr>
                <w:rFonts w:ascii="Arial" w:hAnsi="Arial" w:cs="Arial"/>
                <w:b/>
                <w:sz w:val="24"/>
                <w:szCs w:val="24"/>
              </w:rPr>
            </w:pPr>
            <w:r>
              <w:rPr>
                <w:rFonts w:ascii="Arial" w:hAnsi="Arial" w:cs="Arial"/>
                <w:b/>
                <w:sz w:val="24"/>
                <w:szCs w:val="24"/>
              </w:rPr>
              <w:t>(Charge)/gain</w:t>
            </w:r>
          </w:p>
        </w:tc>
        <w:tc>
          <w:tcPr>
            <w:tcW w:w="1701" w:type="dxa"/>
            <w:tcBorders>
              <w:bottom w:val="single" w:sz="4" w:space="0" w:color="auto"/>
            </w:tcBorders>
          </w:tcPr>
          <w:p w:rsidR="00C659A8" w:rsidRPr="007933D8" w:rsidRDefault="00C659A8" w:rsidP="00C659A8">
            <w:pPr>
              <w:jc w:val="right"/>
              <w:rPr>
                <w:rFonts w:ascii="Arial" w:hAnsi="Arial" w:cs="Arial"/>
                <w:sz w:val="24"/>
                <w:szCs w:val="24"/>
              </w:rPr>
            </w:pPr>
            <w:r w:rsidRPr="007933D8">
              <w:rPr>
                <w:rFonts w:ascii="Arial" w:hAnsi="Arial" w:cs="Arial"/>
                <w:sz w:val="24"/>
                <w:szCs w:val="24"/>
              </w:rPr>
              <w:t>2011/12</w:t>
            </w:r>
          </w:p>
          <w:p w:rsidR="00C659A8" w:rsidRDefault="00830EB6" w:rsidP="00C659A8">
            <w:pPr>
              <w:jc w:val="right"/>
              <w:rPr>
                <w:rFonts w:ascii="Arial" w:hAnsi="Arial" w:cs="Arial"/>
                <w:sz w:val="24"/>
                <w:szCs w:val="24"/>
              </w:rPr>
            </w:pPr>
            <w:r>
              <w:rPr>
                <w:rFonts w:ascii="Arial" w:hAnsi="Arial" w:cs="Arial"/>
                <w:sz w:val="24"/>
                <w:szCs w:val="24"/>
              </w:rPr>
              <w:t>£m</w:t>
            </w:r>
          </w:p>
          <w:p w:rsidR="00830EB6" w:rsidRPr="00E20BFB" w:rsidRDefault="00830EB6" w:rsidP="00C659A8">
            <w:pPr>
              <w:jc w:val="right"/>
              <w:rPr>
                <w:rFonts w:ascii="Arial" w:hAnsi="Arial" w:cs="Arial"/>
                <w:b/>
                <w:sz w:val="24"/>
                <w:szCs w:val="24"/>
              </w:rPr>
            </w:pPr>
            <w:r>
              <w:rPr>
                <w:rFonts w:ascii="Arial" w:hAnsi="Arial" w:cs="Arial"/>
                <w:sz w:val="24"/>
                <w:szCs w:val="24"/>
              </w:rPr>
              <w:t>(Charge)/gain</w:t>
            </w:r>
          </w:p>
        </w:tc>
      </w:tr>
      <w:tr w:rsidR="00C659A8" w:rsidRPr="00E20BFB" w:rsidTr="00C82F88">
        <w:tc>
          <w:tcPr>
            <w:tcW w:w="6062" w:type="dxa"/>
            <w:tcBorders>
              <w:top w:val="single" w:sz="4" w:space="0" w:color="auto"/>
            </w:tcBorders>
          </w:tcPr>
          <w:p w:rsidR="00C659A8" w:rsidRPr="00E20BFB" w:rsidRDefault="00830EB6" w:rsidP="00C82F88">
            <w:pPr>
              <w:jc w:val="left"/>
              <w:rPr>
                <w:rFonts w:ascii="Arial" w:hAnsi="Arial" w:cs="Arial"/>
                <w:sz w:val="24"/>
                <w:szCs w:val="24"/>
              </w:rPr>
            </w:pPr>
            <w:r>
              <w:rPr>
                <w:rFonts w:ascii="Arial" w:hAnsi="Arial" w:cs="Arial"/>
                <w:sz w:val="24"/>
                <w:szCs w:val="24"/>
              </w:rPr>
              <w:t>Ireland restructuring</w:t>
            </w:r>
          </w:p>
        </w:tc>
        <w:tc>
          <w:tcPr>
            <w:tcW w:w="1843" w:type="dxa"/>
            <w:tcBorders>
              <w:top w:val="single" w:sz="4" w:space="0" w:color="auto"/>
            </w:tcBorders>
          </w:tcPr>
          <w:p w:rsidR="00C659A8" w:rsidRPr="00C82F88" w:rsidRDefault="00830EB6" w:rsidP="00C659A8">
            <w:pPr>
              <w:jc w:val="right"/>
              <w:rPr>
                <w:rFonts w:ascii="Arial" w:hAnsi="Arial" w:cs="Arial"/>
                <w:b/>
                <w:sz w:val="24"/>
                <w:szCs w:val="24"/>
              </w:rPr>
            </w:pPr>
            <w:r w:rsidRPr="00C82F88">
              <w:rPr>
                <w:rFonts w:ascii="Arial" w:hAnsi="Arial" w:cs="Arial"/>
                <w:b/>
                <w:sz w:val="24"/>
                <w:szCs w:val="24"/>
              </w:rPr>
              <w:t>(21)</w:t>
            </w:r>
          </w:p>
        </w:tc>
        <w:tc>
          <w:tcPr>
            <w:tcW w:w="1701" w:type="dxa"/>
            <w:tcBorders>
              <w:top w:val="single" w:sz="4" w:space="0" w:color="auto"/>
            </w:tcBorders>
          </w:tcPr>
          <w:p w:rsidR="00C659A8" w:rsidRPr="00E20BFB" w:rsidRDefault="00830EB6" w:rsidP="00C659A8">
            <w:pPr>
              <w:jc w:val="right"/>
              <w:rPr>
                <w:rFonts w:ascii="Arial" w:hAnsi="Arial" w:cs="Arial"/>
                <w:sz w:val="24"/>
                <w:szCs w:val="24"/>
              </w:rPr>
            </w:pPr>
            <w:r>
              <w:rPr>
                <w:rFonts w:ascii="Arial" w:hAnsi="Arial" w:cs="Arial"/>
                <w:sz w:val="24"/>
                <w:szCs w:val="24"/>
              </w:rPr>
              <w:t>-</w:t>
            </w:r>
          </w:p>
        </w:tc>
      </w:tr>
      <w:tr w:rsidR="00830EB6" w:rsidRPr="00E20BFB" w:rsidTr="00C82F88">
        <w:tc>
          <w:tcPr>
            <w:tcW w:w="6062" w:type="dxa"/>
          </w:tcPr>
          <w:p w:rsidR="00830EB6" w:rsidRDefault="00830EB6" w:rsidP="00C82F88">
            <w:pPr>
              <w:jc w:val="left"/>
              <w:rPr>
                <w:rFonts w:ascii="Arial" w:hAnsi="Arial" w:cs="Arial"/>
                <w:sz w:val="24"/>
                <w:szCs w:val="24"/>
              </w:rPr>
            </w:pPr>
            <w:r>
              <w:rPr>
                <w:rFonts w:ascii="Arial" w:hAnsi="Arial" w:cs="Arial"/>
                <w:sz w:val="24"/>
                <w:szCs w:val="24"/>
              </w:rPr>
              <w:t>UK restructuring</w:t>
            </w:r>
          </w:p>
        </w:tc>
        <w:tc>
          <w:tcPr>
            <w:tcW w:w="1843" w:type="dxa"/>
          </w:tcPr>
          <w:p w:rsidR="00830EB6" w:rsidRPr="00C82F88" w:rsidRDefault="00830EB6" w:rsidP="00C659A8">
            <w:pPr>
              <w:jc w:val="right"/>
              <w:rPr>
                <w:rFonts w:ascii="Arial" w:hAnsi="Arial" w:cs="Arial"/>
                <w:b/>
                <w:sz w:val="24"/>
                <w:szCs w:val="24"/>
              </w:rPr>
            </w:pPr>
            <w:r w:rsidRPr="00C82F88">
              <w:rPr>
                <w:rFonts w:ascii="Arial" w:hAnsi="Arial" w:cs="Arial"/>
                <w:b/>
                <w:sz w:val="24"/>
                <w:szCs w:val="24"/>
              </w:rPr>
              <w:t>(16)</w:t>
            </w:r>
          </w:p>
        </w:tc>
        <w:tc>
          <w:tcPr>
            <w:tcW w:w="1701" w:type="dxa"/>
          </w:tcPr>
          <w:p w:rsidR="00830EB6" w:rsidRDefault="00830EB6" w:rsidP="00C659A8">
            <w:pPr>
              <w:jc w:val="right"/>
              <w:rPr>
                <w:rFonts w:ascii="Arial" w:hAnsi="Arial" w:cs="Arial"/>
                <w:sz w:val="24"/>
                <w:szCs w:val="24"/>
              </w:rPr>
            </w:pPr>
            <w:r>
              <w:rPr>
                <w:rFonts w:ascii="Arial" w:hAnsi="Arial" w:cs="Arial"/>
                <w:sz w:val="24"/>
                <w:szCs w:val="24"/>
              </w:rPr>
              <w:t>2</w:t>
            </w:r>
          </w:p>
        </w:tc>
      </w:tr>
      <w:tr w:rsidR="00830EB6" w:rsidRPr="00E20BFB" w:rsidTr="00C82F88">
        <w:tc>
          <w:tcPr>
            <w:tcW w:w="6062" w:type="dxa"/>
          </w:tcPr>
          <w:p w:rsidR="00830EB6" w:rsidRDefault="00830EB6" w:rsidP="00C82F88">
            <w:pPr>
              <w:jc w:val="left"/>
              <w:rPr>
                <w:rFonts w:ascii="Arial" w:hAnsi="Arial" w:cs="Arial"/>
                <w:sz w:val="24"/>
                <w:szCs w:val="24"/>
              </w:rPr>
            </w:pPr>
            <w:r>
              <w:rPr>
                <w:rFonts w:ascii="Arial" w:hAnsi="Arial" w:cs="Arial"/>
                <w:sz w:val="24"/>
                <w:szCs w:val="24"/>
              </w:rPr>
              <w:t>Net pension gain</w:t>
            </w:r>
          </w:p>
        </w:tc>
        <w:tc>
          <w:tcPr>
            <w:tcW w:w="1843" w:type="dxa"/>
          </w:tcPr>
          <w:p w:rsidR="00830EB6" w:rsidRPr="00C82F88" w:rsidRDefault="00830EB6" w:rsidP="00C659A8">
            <w:pPr>
              <w:jc w:val="right"/>
              <w:rPr>
                <w:rFonts w:ascii="Arial" w:hAnsi="Arial" w:cs="Arial"/>
                <w:b/>
                <w:sz w:val="24"/>
                <w:szCs w:val="24"/>
              </w:rPr>
            </w:pPr>
            <w:r w:rsidRPr="00C82F88">
              <w:rPr>
                <w:rFonts w:ascii="Arial" w:hAnsi="Arial" w:cs="Arial"/>
                <w:b/>
                <w:sz w:val="24"/>
                <w:szCs w:val="24"/>
              </w:rPr>
              <w:t>11</w:t>
            </w:r>
          </w:p>
        </w:tc>
        <w:tc>
          <w:tcPr>
            <w:tcW w:w="1701" w:type="dxa"/>
          </w:tcPr>
          <w:p w:rsidR="00830EB6" w:rsidRDefault="00830EB6" w:rsidP="00C659A8">
            <w:pPr>
              <w:jc w:val="right"/>
              <w:rPr>
                <w:rFonts w:ascii="Arial" w:hAnsi="Arial" w:cs="Arial"/>
                <w:sz w:val="24"/>
                <w:szCs w:val="24"/>
              </w:rPr>
            </w:pPr>
            <w:r>
              <w:rPr>
                <w:rFonts w:ascii="Arial" w:hAnsi="Arial" w:cs="Arial"/>
                <w:sz w:val="24"/>
                <w:szCs w:val="24"/>
              </w:rPr>
              <w:t>-</w:t>
            </w:r>
          </w:p>
        </w:tc>
      </w:tr>
      <w:tr w:rsidR="00830EB6" w:rsidRPr="00830EB6" w:rsidTr="00C82F88">
        <w:tc>
          <w:tcPr>
            <w:tcW w:w="6062" w:type="dxa"/>
          </w:tcPr>
          <w:p w:rsidR="00830EB6" w:rsidRPr="00C82F88" w:rsidRDefault="00830EB6" w:rsidP="00C82F88">
            <w:pPr>
              <w:jc w:val="left"/>
              <w:rPr>
                <w:rFonts w:ascii="Arial" w:hAnsi="Arial" w:cs="Arial"/>
                <w:sz w:val="24"/>
                <w:szCs w:val="24"/>
                <w:lang w:val="fr-FR"/>
              </w:rPr>
            </w:pPr>
            <w:r w:rsidRPr="00C82F88">
              <w:rPr>
                <w:rFonts w:ascii="Arial" w:hAnsi="Arial" w:cs="Arial"/>
                <w:sz w:val="24"/>
                <w:szCs w:val="24"/>
                <w:lang w:val="fr-FR"/>
              </w:rPr>
              <w:t xml:space="preserve">UK ex-Focus stores acquisition </w:t>
            </w:r>
            <w:proofErr w:type="spellStart"/>
            <w:r w:rsidRPr="00C82F88">
              <w:rPr>
                <w:rFonts w:ascii="Arial" w:hAnsi="Arial" w:cs="Arial"/>
                <w:sz w:val="24"/>
                <w:szCs w:val="24"/>
                <w:lang w:val="fr-FR"/>
              </w:rPr>
              <w:t>integration</w:t>
            </w:r>
            <w:proofErr w:type="spellEnd"/>
          </w:p>
        </w:tc>
        <w:tc>
          <w:tcPr>
            <w:tcW w:w="1843" w:type="dxa"/>
          </w:tcPr>
          <w:p w:rsidR="00830EB6" w:rsidRPr="00C82F88" w:rsidRDefault="00830EB6" w:rsidP="00C659A8">
            <w:pPr>
              <w:jc w:val="right"/>
              <w:rPr>
                <w:rFonts w:ascii="Arial" w:hAnsi="Arial" w:cs="Arial"/>
                <w:b/>
                <w:sz w:val="24"/>
                <w:szCs w:val="24"/>
                <w:lang w:val="fr-FR"/>
              </w:rPr>
            </w:pPr>
            <w:r w:rsidRPr="00C82F88">
              <w:rPr>
                <w:rFonts w:ascii="Arial" w:hAnsi="Arial" w:cs="Arial"/>
                <w:b/>
                <w:sz w:val="24"/>
                <w:szCs w:val="24"/>
                <w:lang w:val="fr-FR"/>
              </w:rPr>
              <w:t>-</w:t>
            </w:r>
          </w:p>
        </w:tc>
        <w:tc>
          <w:tcPr>
            <w:tcW w:w="1701" w:type="dxa"/>
          </w:tcPr>
          <w:p w:rsidR="00830EB6" w:rsidRPr="00C82F88" w:rsidRDefault="00830EB6" w:rsidP="00C659A8">
            <w:pPr>
              <w:jc w:val="right"/>
              <w:rPr>
                <w:rFonts w:ascii="Arial" w:hAnsi="Arial" w:cs="Arial"/>
                <w:sz w:val="24"/>
                <w:szCs w:val="24"/>
                <w:lang w:val="fr-FR"/>
              </w:rPr>
            </w:pPr>
            <w:r>
              <w:rPr>
                <w:rFonts w:ascii="Arial" w:hAnsi="Arial" w:cs="Arial"/>
                <w:sz w:val="24"/>
                <w:szCs w:val="24"/>
                <w:lang w:val="fr-FR"/>
              </w:rPr>
              <w:t>(11)</w:t>
            </w:r>
          </w:p>
        </w:tc>
      </w:tr>
      <w:tr w:rsidR="00C659A8" w:rsidRPr="00E20BFB" w:rsidTr="00C82F88">
        <w:tc>
          <w:tcPr>
            <w:tcW w:w="6062" w:type="dxa"/>
            <w:tcBorders>
              <w:bottom w:val="single" w:sz="4" w:space="0" w:color="auto"/>
            </w:tcBorders>
          </w:tcPr>
          <w:p w:rsidR="00C659A8" w:rsidRDefault="00830EB6" w:rsidP="00C82F88">
            <w:pPr>
              <w:jc w:val="left"/>
              <w:rPr>
                <w:rFonts w:ascii="Arial" w:hAnsi="Arial" w:cs="Arial"/>
                <w:sz w:val="24"/>
                <w:szCs w:val="24"/>
              </w:rPr>
            </w:pPr>
            <w:r>
              <w:rPr>
                <w:rFonts w:ascii="Arial" w:hAnsi="Arial" w:cs="Arial"/>
                <w:sz w:val="24"/>
                <w:szCs w:val="24"/>
              </w:rPr>
              <w:t>Loss on disposal of properties</w:t>
            </w:r>
          </w:p>
        </w:tc>
        <w:tc>
          <w:tcPr>
            <w:tcW w:w="1843" w:type="dxa"/>
            <w:tcBorders>
              <w:bottom w:val="single" w:sz="4" w:space="0" w:color="auto"/>
            </w:tcBorders>
          </w:tcPr>
          <w:p w:rsidR="00C659A8" w:rsidRPr="00C82F88" w:rsidRDefault="00830EB6" w:rsidP="00C659A8">
            <w:pPr>
              <w:jc w:val="right"/>
              <w:rPr>
                <w:rFonts w:ascii="Arial" w:hAnsi="Arial" w:cs="Arial"/>
                <w:b/>
                <w:sz w:val="24"/>
                <w:szCs w:val="24"/>
              </w:rPr>
            </w:pPr>
            <w:r w:rsidRPr="00C82F88">
              <w:rPr>
                <w:rFonts w:ascii="Arial" w:hAnsi="Arial" w:cs="Arial"/>
                <w:b/>
                <w:sz w:val="24"/>
                <w:szCs w:val="24"/>
              </w:rPr>
              <w:t>-</w:t>
            </w:r>
          </w:p>
        </w:tc>
        <w:tc>
          <w:tcPr>
            <w:tcW w:w="1701" w:type="dxa"/>
            <w:tcBorders>
              <w:bottom w:val="single" w:sz="4" w:space="0" w:color="auto"/>
            </w:tcBorders>
          </w:tcPr>
          <w:p w:rsidR="00C659A8" w:rsidRPr="00E20BFB" w:rsidRDefault="00830EB6" w:rsidP="00C659A8">
            <w:pPr>
              <w:jc w:val="right"/>
              <w:rPr>
                <w:rFonts w:ascii="Arial" w:hAnsi="Arial" w:cs="Arial"/>
                <w:sz w:val="24"/>
                <w:szCs w:val="24"/>
              </w:rPr>
            </w:pPr>
            <w:r>
              <w:rPr>
                <w:rFonts w:ascii="Arial" w:hAnsi="Arial" w:cs="Arial"/>
                <w:sz w:val="24"/>
                <w:szCs w:val="24"/>
              </w:rPr>
              <w:t>(3)</w:t>
            </w:r>
          </w:p>
        </w:tc>
      </w:tr>
      <w:tr w:rsidR="00C659A8" w:rsidRPr="00700E2D" w:rsidTr="00C82F88">
        <w:tc>
          <w:tcPr>
            <w:tcW w:w="6062" w:type="dxa"/>
            <w:tcBorders>
              <w:top w:val="single" w:sz="4" w:space="0" w:color="auto"/>
            </w:tcBorders>
          </w:tcPr>
          <w:p w:rsidR="00C659A8" w:rsidRPr="00015AAF" w:rsidRDefault="00C659A8" w:rsidP="00C82F88">
            <w:pPr>
              <w:jc w:val="left"/>
              <w:rPr>
                <w:rFonts w:ascii="Arial" w:hAnsi="Arial" w:cs="Arial"/>
                <w:b/>
                <w:sz w:val="24"/>
                <w:szCs w:val="24"/>
              </w:rPr>
            </w:pPr>
          </w:p>
        </w:tc>
        <w:tc>
          <w:tcPr>
            <w:tcW w:w="1843" w:type="dxa"/>
            <w:tcBorders>
              <w:top w:val="single" w:sz="4" w:space="0" w:color="auto"/>
            </w:tcBorders>
          </w:tcPr>
          <w:p w:rsidR="00C659A8" w:rsidRPr="00C82F88" w:rsidRDefault="00830EB6" w:rsidP="00C659A8">
            <w:pPr>
              <w:jc w:val="right"/>
              <w:rPr>
                <w:rFonts w:ascii="Arial" w:hAnsi="Arial" w:cs="Arial"/>
                <w:b/>
                <w:sz w:val="24"/>
                <w:szCs w:val="24"/>
              </w:rPr>
            </w:pPr>
            <w:r w:rsidRPr="00C82F88">
              <w:rPr>
                <w:rFonts w:ascii="Arial" w:hAnsi="Arial" w:cs="Arial"/>
                <w:b/>
                <w:sz w:val="24"/>
                <w:szCs w:val="24"/>
              </w:rPr>
              <w:t>(26)</w:t>
            </w:r>
          </w:p>
        </w:tc>
        <w:tc>
          <w:tcPr>
            <w:tcW w:w="1701" w:type="dxa"/>
            <w:tcBorders>
              <w:top w:val="single" w:sz="4" w:space="0" w:color="auto"/>
            </w:tcBorders>
          </w:tcPr>
          <w:p w:rsidR="00C659A8" w:rsidRPr="00700E2D" w:rsidRDefault="00830EB6" w:rsidP="00C659A8">
            <w:pPr>
              <w:jc w:val="right"/>
              <w:rPr>
                <w:rFonts w:ascii="Arial" w:hAnsi="Arial" w:cs="Arial"/>
                <w:sz w:val="24"/>
                <w:szCs w:val="24"/>
              </w:rPr>
            </w:pPr>
            <w:r>
              <w:rPr>
                <w:rFonts w:ascii="Arial" w:hAnsi="Arial" w:cs="Arial"/>
                <w:sz w:val="24"/>
                <w:szCs w:val="24"/>
              </w:rPr>
              <w:t>(12)</w:t>
            </w:r>
          </w:p>
        </w:tc>
      </w:tr>
      <w:tr w:rsidR="00830EB6" w:rsidRPr="00700E2D" w:rsidTr="00C82F88">
        <w:tc>
          <w:tcPr>
            <w:tcW w:w="6062" w:type="dxa"/>
            <w:tcBorders>
              <w:bottom w:val="single" w:sz="4" w:space="0" w:color="auto"/>
            </w:tcBorders>
          </w:tcPr>
          <w:p w:rsidR="00830EB6" w:rsidRPr="00C82F88" w:rsidRDefault="00830EB6" w:rsidP="00C82F88">
            <w:pPr>
              <w:jc w:val="left"/>
              <w:rPr>
                <w:rFonts w:ascii="Arial" w:hAnsi="Arial" w:cs="Arial"/>
                <w:sz w:val="24"/>
                <w:szCs w:val="24"/>
              </w:rPr>
            </w:pPr>
            <w:r w:rsidRPr="00C82F88">
              <w:rPr>
                <w:rFonts w:ascii="Arial" w:hAnsi="Arial" w:cs="Arial"/>
                <w:sz w:val="24"/>
                <w:szCs w:val="24"/>
              </w:rPr>
              <w:t>Tax on exceptional items</w:t>
            </w:r>
          </w:p>
        </w:tc>
        <w:tc>
          <w:tcPr>
            <w:tcW w:w="1843" w:type="dxa"/>
            <w:tcBorders>
              <w:bottom w:val="single" w:sz="4" w:space="0" w:color="auto"/>
            </w:tcBorders>
          </w:tcPr>
          <w:p w:rsidR="00830EB6" w:rsidRPr="00C82F88" w:rsidRDefault="00830EB6" w:rsidP="00C659A8">
            <w:pPr>
              <w:jc w:val="right"/>
              <w:rPr>
                <w:rFonts w:ascii="Arial" w:hAnsi="Arial" w:cs="Arial"/>
                <w:b/>
                <w:sz w:val="24"/>
                <w:szCs w:val="24"/>
              </w:rPr>
            </w:pPr>
            <w:r w:rsidRPr="00C82F88">
              <w:rPr>
                <w:rFonts w:ascii="Arial" w:hAnsi="Arial" w:cs="Arial"/>
                <w:b/>
                <w:sz w:val="24"/>
                <w:szCs w:val="24"/>
              </w:rPr>
              <w:t>1</w:t>
            </w:r>
          </w:p>
        </w:tc>
        <w:tc>
          <w:tcPr>
            <w:tcW w:w="1701" w:type="dxa"/>
            <w:tcBorders>
              <w:bottom w:val="single" w:sz="4" w:space="0" w:color="auto"/>
            </w:tcBorders>
          </w:tcPr>
          <w:p w:rsidR="00830EB6" w:rsidRPr="00700E2D" w:rsidRDefault="00830EB6" w:rsidP="00C659A8">
            <w:pPr>
              <w:jc w:val="right"/>
              <w:rPr>
                <w:rFonts w:ascii="Arial" w:hAnsi="Arial" w:cs="Arial"/>
                <w:sz w:val="24"/>
                <w:szCs w:val="24"/>
              </w:rPr>
            </w:pPr>
            <w:r>
              <w:rPr>
                <w:rFonts w:ascii="Arial" w:hAnsi="Arial" w:cs="Arial"/>
                <w:sz w:val="24"/>
                <w:szCs w:val="24"/>
              </w:rPr>
              <w:t>7</w:t>
            </w:r>
          </w:p>
        </w:tc>
      </w:tr>
      <w:tr w:rsidR="00830EB6" w:rsidRPr="00700E2D" w:rsidTr="00C82F88">
        <w:tc>
          <w:tcPr>
            <w:tcW w:w="6062" w:type="dxa"/>
            <w:tcBorders>
              <w:top w:val="single" w:sz="4" w:space="0" w:color="auto"/>
              <w:bottom w:val="single" w:sz="4" w:space="0" w:color="auto"/>
            </w:tcBorders>
          </w:tcPr>
          <w:p w:rsidR="00830EB6" w:rsidRDefault="00830EB6" w:rsidP="00C82F88">
            <w:pPr>
              <w:jc w:val="left"/>
              <w:rPr>
                <w:rFonts w:ascii="Arial" w:hAnsi="Arial" w:cs="Arial"/>
                <w:b/>
                <w:sz w:val="24"/>
                <w:szCs w:val="24"/>
              </w:rPr>
            </w:pPr>
            <w:r>
              <w:rPr>
                <w:rFonts w:ascii="Arial" w:hAnsi="Arial" w:cs="Arial"/>
                <w:b/>
                <w:sz w:val="24"/>
                <w:szCs w:val="24"/>
              </w:rPr>
              <w:t>Net exceptional items</w:t>
            </w:r>
          </w:p>
        </w:tc>
        <w:tc>
          <w:tcPr>
            <w:tcW w:w="1843" w:type="dxa"/>
            <w:tcBorders>
              <w:top w:val="single" w:sz="4" w:space="0" w:color="auto"/>
              <w:bottom w:val="single" w:sz="4" w:space="0" w:color="auto"/>
            </w:tcBorders>
          </w:tcPr>
          <w:p w:rsidR="00830EB6" w:rsidRPr="00C82F88" w:rsidRDefault="00830EB6" w:rsidP="00C659A8">
            <w:pPr>
              <w:jc w:val="right"/>
              <w:rPr>
                <w:rFonts w:ascii="Arial" w:hAnsi="Arial" w:cs="Arial"/>
                <w:b/>
                <w:sz w:val="24"/>
                <w:szCs w:val="24"/>
              </w:rPr>
            </w:pPr>
            <w:r w:rsidRPr="00C82F88">
              <w:rPr>
                <w:rFonts w:ascii="Arial" w:hAnsi="Arial" w:cs="Arial"/>
                <w:b/>
                <w:sz w:val="24"/>
                <w:szCs w:val="24"/>
              </w:rPr>
              <w:t>(25)</w:t>
            </w:r>
          </w:p>
        </w:tc>
        <w:tc>
          <w:tcPr>
            <w:tcW w:w="1701" w:type="dxa"/>
            <w:tcBorders>
              <w:top w:val="single" w:sz="4" w:space="0" w:color="auto"/>
              <w:bottom w:val="single" w:sz="4" w:space="0" w:color="auto"/>
            </w:tcBorders>
          </w:tcPr>
          <w:p w:rsidR="00830EB6" w:rsidRPr="00700E2D" w:rsidRDefault="00830EB6" w:rsidP="00C659A8">
            <w:pPr>
              <w:jc w:val="right"/>
              <w:rPr>
                <w:rFonts w:ascii="Arial" w:hAnsi="Arial" w:cs="Arial"/>
                <w:sz w:val="24"/>
                <w:szCs w:val="24"/>
              </w:rPr>
            </w:pPr>
            <w:r>
              <w:rPr>
                <w:rFonts w:ascii="Arial" w:hAnsi="Arial" w:cs="Arial"/>
                <w:sz w:val="24"/>
                <w:szCs w:val="24"/>
              </w:rPr>
              <w:t>(5)</w:t>
            </w:r>
          </w:p>
        </w:tc>
      </w:tr>
    </w:tbl>
    <w:p w:rsidR="00C659A8" w:rsidRPr="00C82F88" w:rsidRDefault="00C659A8" w:rsidP="00C82F88">
      <w:pPr>
        <w:jc w:val="left"/>
        <w:rPr>
          <w:rFonts w:ascii="Arial" w:hAnsi="Arial" w:cs="Arial"/>
          <w:sz w:val="24"/>
          <w:szCs w:val="24"/>
        </w:rPr>
      </w:pPr>
    </w:p>
    <w:p w:rsidR="00C659A8" w:rsidRDefault="00C659A8" w:rsidP="00C82F88">
      <w:pPr>
        <w:jc w:val="left"/>
        <w:rPr>
          <w:rFonts w:ascii="Arial" w:hAnsi="Arial" w:cs="Arial"/>
          <w:sz w:val="24"/>
          <w:szCs w:val="24"/>
        </w:rPr>
      </w:pPr>
      <w:r w:rsidRPr="00C82F88">
        <w:rPr>
          <w:rFonts w:ascii="Arial" w:hAnsi="Arial" w:cs="Arial"/>
          <w:sz w:val="24"/>
          <w:szCs w:val="24"/>
        </w:rPr>
        <w:t xml:space="preserve">In the year the Group booked a net post-tax exceptional charge of £25 million (2011/12: £5 million </w:t>
      </w:r>
      <w:r w:rsidR="007F6F88">
        <w:rPr>
          <w:rFonts w:ascii="Arial" w:hAnsi="Arial" w:cs="Arial"/>
          <w:sz w:val="24"/>
          <w:szCs w:val="24"/>
        </w:rPr>
        <w:t>charge</w:t>
      </w:r>
      <w:r w:rsidRPr="00C82F88">
        <w:rPr>
          <w:rFonts w:ascii="Arial" w:hAnsi="Arial" w:cs="Arial"/>
          <w:sz w:val="24"/>
          <w:szCs w:val="24"/>
        </w:rPr>
        <w:t xml:space="preserve">). </w:t>
      </w:r>
    </w:p>
    <w:p w:rsidR="00830EB6" w:rsidRPr="00C82F88" w:rsidRDefault="00830EB6" w:rsidP="00C82F88">
      <w:pPr>
        <w:jc w:val="left"/>
        <w:rPr>
          <w:rFonts w:ascii="Arial" w:hAnsi="Arial" w:cs="Arial"/>
          <w:sz w:val="24"/>
          <w:szCs w:val="24"/>
        </w:rPr>
      </w:pPr>
    </w:p>
    <w:p w:rsidR="00C659A8" w:rsidRDefault="00C659A8" w:rsidP="00C82F88">
      <w:pPr>
        <w:jc w:val="left"/>
        <w:rPr>
          <w:rFonts w:ascii="Arial" w:hAnsi="Arial" w:cs="Arial"/>
          <w:sz w:val="24"/>
          <w:szCs w:val="24"/>
        </w:rPr>
      </w:pPr>
      <w:r w:rsidRPr="00C82F88">
        <w:rPr>
          <w:rFonts w:ascii="Arial" w:hAnsi="Arial" w:cs="Arial" w:hint="eastAsia"/>
          <w:sz w:val="24"/>
          <w:szCs w:val="24"/>
        </w:rPr>
        <w:t>Following a sustained decline in trading</w:t>
      </w:r>
      <w:r w:rsidR="004A5017">
        <w:rPr>
          <w:rFonts w:ascii="Arial" w:hAnsi="Arial" w:cs="Arial"/>
          <w:sz w:val="24"/>
          <w:szCs w:val="24"/>
        </w:rPr>
        <w:t xml:space="preserve"> at B&amp;Q Ireland</w:t>
      </w:r>
      <w:r w:rsidRPr="00C82F88">
        <w:rPr>
          <w:rFonts w:ascii="Arial" w:hAnsi="Arial" w:cs="Arial" w:hint="eastAsia"/>
          <w:sz w:val="24"/>
          <w:szCs w:val="24"/>
        </w:rPr>
        <w:t xml:space="preserve">, the Group undertook a detailed review of its Irish operations and as a result </w:t>
      </w:r>
      <w:r w:rsidR="004A5017">
        <w:rPr>
          <w:rFonts w:ascii="Arial" w:hAnsi="Arial" w:cs="Arial"/>
          <w:sz w:val="24"/>
          <w:szCs w:val="24"/>
        </w:rPr>
        <w:t xml:space="preserve">B&amp;Q Ireland </w:t>
      </w:r>
      <w:r w:rsidRPr="00C82F88">
        <w:rPr>
          <w:rFonts w:ascii="Arial" w:hAnsi="Arial" w:cs="Arial" w:hint="eastAsia"/>
          <w:sz w:val="24"/>
          <w:szCs w:val="24"/>
        </w:rPr>
        <w:t xml:space="preserve">entered into an </w:t>
      </w:r>
      <w:proofErr w:type="spellStart"/>
      <w:r w:rsidR="00A06696">
        <w:rPr>
          <w:rFonts w:ascii="Arial" w:hAnsi="Arial" w:cs="Arial"/>
          <w:sz w:val="24"/>
          <w:szCs w:val="24"/>
        </w:rPr>
        <w:t>E</w:t>
      </w:r>
      <w:r w:rsidRPr="00C82F88">
        <w:rPr>
          <w:rFonts w:ascii="Arial" w:hAnsi="Arial" w:cs="Arial" w:hint="eastAsia"/>
          <w:sz w:val="24"/>
          <w:szCs w:val="24"/>
        </w:rPr>
        <w:t>xaminership</w:t>
      </w:r>
      <w:proofErr w:type="spellEnd"/>
      <w:r w:rsidRPr="00C82F88">
        <w:rPr>
          <w:rFonts w:ascii="Arial" w:hAnsi="Arial" w:cs="Arial" w:hint="eastAsia"/>
          <w:sz w:val="24"/>
          <w:szCs w:val="24"/>
        </w:rPr>
        <w:t xml:space="preserve"> process in January 2013. The </w:t>
      </w:r>
      <w:r w:rsidRPr="00C82F88">
        <w:rPr>
          <w:rFonts w:ascii="Arial" w:hAnsi="Arial" w:cs="Arial"/>
          <w:sz w:val="24"/>
          <w:szCs w:val="24"/>
        </w:rPr>
        <w:t>£21</w:t>
      </w:r>
      <w:r w:rsidR="00F45FAA">
        <w:rPr>
          <w:rFonts w:ascii="Arial" w:hAnsi="Arial" w:cs="Arial"/>
          <w:sz w:val="24"/>
          <w:szCs w:val="24"/>
        </w:rPr>
        <w:t xml:space="preserve"> </w:t>
      </w:r>
      <w:r w:rsidRPr="00C82F88">
        <w:rPr>
          <w:rFonts w:ascii="Arial" w:hAnsi="Arial" w:cs="Arial"/>
          <w:sz w:val="24"/>
          <w:szCs w:val="24"/>
        </w:rPr>
        <w:t>m</w:t>
      </w:r>
      <w:r w:rsidR="00144892">
        <w:rPr>
          <w:rFonts w:ascii="Arial" w:hAnsi="Arial" w:cs="Arial"/>
          <w:sz w:val="24"/>
          <w:szCs w:val="24"/>
        </w:rPr>
        <w:t>illion</w:t>
      </w:r>
      <w:r w:rsidRPr="00C82F88">
        <w:rPr>
          <w:rFonts w:ascii="Arial" w:hAnsi="Arial" w:cs="Arial" w:hint="eastAsia"/>
          <w:sz w:val="24"/>
          <w:szCs w:val="24"/>
        </w:rPr>
        <w:t xml:space="preserve"> restructuring charge represents provisions recorded for the impairment of properties and</w:t>
      </w:r>
      <w:r w:rsidR="007F6F88">
        <w:rPr>
          <w:rFonts w:ascii="Arial" w:hAnsi="Arial" w:cs="Arial"/>
          <w:sz w:val="24"/>
          <w:szCs w:val="24"/>
        </w:rPr>
        <w:t xml:space="preserve"> estimated</w:t>
      </w:r>
      <w:r w:rsidRPr="00C82F88">
        <w:rPr>
          <w:rFonts w:ascii="Arial" w:hAnsi="Arial" w:cs="Arial" w:hint="eastAsia"/>
          <w:sz w:val="24"/>
          <w:szCs w:val="24"/>
        </w:rPr>
        <w:t xml:space="preserve"> costs of exiting leases and other closure activities.</w:t>
      </w:r>
      <w:r w:rsidR="00144892">
        <w:rPr>
          <w:rFonts w:ascii="Arial" w:hAnsi="Arial" w:cs="Arial"/>
          <w:sz w:val="24"/>
          <w:szCs w:val="24"/>
        </w:rPr>
        <w:t xml:space="preserve"> Around £1</w:t>
      </w:r>
      <w:r w:rsidR="00831473">
        <w:rPr>
          <w:rFonts w:ascii="Arial" w:hAnsi="Arial" w:cs="Arial"/>
          <w:sz w:val="24"/>
          <w:szCs w:val="24"/>
        </w:rPr>
        <w:t>3</w:t>
      </w:r>
      <w:r w:rsidR="00144892">
        <w:rPr>
          <w:rFonts w:ascii="Arial" w:hAnsi="Arial" w:cs="Arial"/>
          <w:sz w:val="24"/>
          <w:szCs w:val="24"/>
        </w:rPr>
        <w:t xml:space="preserve"> million of this cost will result in a cash outflow</w:t>
      </w:r>
      <w:r w:rsidR="007F6F88">
        <w:rPr>
          <w:rFonts w:ascii="Arial" w:hAnsi="Arial" w:cs="Arial"/>
          <w:sz w:val="24"/>
          <w:szCs w:val="24"/>
        </w:rPr>
        <w:t>, of which around £11 million will be in 2013/14.</w:t>
      </w:r>
    </w:p>
    <w:p w:rsidR="00830EB6" w:rsidRPr="00C82F88" w:rsidRDefault="00830EB6" w:rsidP="00C82F88">
      <w:pPr>
        <w:jc w:val="left"/>
        <w:rPr>
          <w:rFonts w:ascii="Arial" w:hAnsi="Arial" w:cs="Arial"/>
          <w:sz w:val="24"/>
          <w:szCs w:val="24"/>
        </w:rPr>
      </w:pPr>
    </w:p>
    <w:p w:rsidR="00C659A8" w:rsidRDefault="00C659A8" w:rsidP="00C82F88">
      <w:pPr>
        <w:jc w:val="left"/>
        <w:rPr>
          <w:rFonts w:ascii="Arial" w:hAnsi="Arial" w:cs="Arial"/>
          <w:sz w:val="24"/>
        </w:rPr>
      </w:pPr>
      <w:r w:rsidRPr="00C82F88">
        <w:rPr>
          <w:rFonts w:ascii="Arial" w:hAnsi="Arial" w:cs="Arial"/>
          <w:sz w:val="24"/>
          <w:szCs w:val="24"/>
        </w:rPr>
        <w:t>The UK restructuring net charge of £16</w:t>
      </w:r>
      <w:r w:rsidR="00A06696">
        <w:rPr>
          <w:rFonts w:ascii="Arial" w:hAnsi="Arial" w:cs="Arial"/>
          <w:sz w:val="24"/>
          <w:szCs w:val="24"/>
        </w:rPr>
        <w:t xml:space="preserve"> </w:t>
      </w:r>
      <w:r w:rsidRPr="00C82F88">
        <w:rPr>
          <w:rFonts w:ascii="Arial" w:hAnsi="Arial" w:cs="Arial"/>
          <w:sz w:val="24"/>
          <w:szCs w:val="24"/>
        </w:rPr>
        <w:t>m</w:t>
      </w:r>
      <w:r w:rsidR="00A06696">
        <w:rPr>
          <w:rFonts w:ascii="Arial" w:hAnsi="Arial" w:cs="Arial"/>
          <w:sz w:val="24"/>
          <w:szCs w:val="24"/>
        </w:rPr>
        <w:t>illion</w:t>
      </w:r>
      <w:r w:rsidRPr="00C82F88">
        <w:rPr>
          <w:rFonts w:ascii="Arial" w:hAnsi="Arial" w:cs="Arial"/>
          <w:sz w:val="24"/>
          <w:szCs w:val="24"/>
        </w:rPr>
        <w:t xml:space="preserve"> principally reflects the streamlining of B&amp;Q UK &amp; Ireland’s store support office and </w:t>
      </w:r>
      <w:r w:rsidR="004A5017">
        <w:rPr>
          <w:rFonts w:ascii="Arial" w:hAnsi="Arial" w:cs="Arial"/>
          <w:sz w:val="24"/>
          <w:szCs w:val="24"/>
        </w:rPr>
        <w:t xml:space="preserve">its </w:t>
      </w:r>
      <w:r w:rsidRPr="00C82F88">
        <w:rPr>
          <w:rFonts w:ascii="Arial" w:hAnsi="Arial" w:cs="Arial"/>
          <w:sz w:val="24"/>
          <w:szCs w:val="24"/>
        </w:rPr>
        <w:t>kitchen, bathroom and bedroom business as well as IT services. It also includes a £4</w:t>
      </w:r>
      <w:r w:rsidR="00144892">
        <w:rPr>
          <w:rFonts w:ascii="Arial" w:hAnsi="Arial" w:cs="Arial"/>
          <w:sz w:val="24"/>
          <w:szCs w:val="24"/>
        </w:rPr>
        <w:t xml:space="preserve"> </w:t>
      </w:r>
      <w:r w:rsidRPr="00C82F88">
        <w:rPr>
          <w:rFonts w:ascii="Arial" w:hAnsi="Arial" w:cs="Arial"/>
          <w:sz w:val="24"/>
          <w:szCs w:val="24"/>
        </w:rPr>
        <w:t>m</w:t>
      </w:r>
      <w:r w:rsidR="00A06696">
        <w:rPr>
          <w:rFonts w:ascii="Arial" w:hAnsi="Arial" w:cs="Arial"/>
          <w:sz w:val="24"/>
          <w:szCs w:val="24"/>
        </w:rPr>
        <w:t>illion</w:t>
      </w:r>
      <w:r w:rsidRPr="00C82F88">
        <w:rPr>
          <w:rFonts w:ascii="Arial" w:hAnsi="Arial" w:cs="Arial"/>
          <w:sz w:val="24"/>
          <w:szCs w:val="24"/>
        </w:rPr>
        <w:t xml:space="preserve"> release (2011/12: £2</w:t>
      </w:r>
      <w:r w:rsidR="00A06696">
        <w:rPr>
          <w:rFonts w:ascii="Arial" w:hAnsi="Arial" w:cs="Arial"/>
          <w:sz w:val="24"/>
          <w:szCs w:val="24"/>
        </w:rPr>
        <w:t xml:space="preserve"> </w:t>
      </w:r>
      <w:r w:rsidRPr="00C82F88">
        <w:rPr>
          <w:rFonts w:ascii="Arial" w:hAnsi="Arial" w:cs="Arial"/>
          <w:sz w:val="24"/>
          <w:szCs w:val="24"/>
        </w:rPr>
        <w:t>m</w:t>
      </w:r>
      <w:r w:rsidR="00A06696">
        <w:rPr>
          <w:rFonts w:ascii="Arial" w:hAnsi="Arial" w:cs="Arial"/>
          <w:sz w:val="24"/>
          <w:szCs w:val="24"/>
        </w:rPr>
        <w:t>illion</w:t>
      </w:r>
      <w:r w:rsidRPr="00C82F88">
        <w:rPr>
          <w:rFonts w:ascii="Arial" w:hAnsi="Arial" w:cs="Arial"/>
          <w:sz w:val="24"/>
          <w:szCs w:val="24"/>
        </w:rPr>
        <w:t xml:space="preserve">) of an onerous property contract provision for idle stores either sublet or exited in the period, which had previously been included as part of the B&amp;Q UK store closure and downsizing programme in 2005/06. </w:t>
      </w:r>
    </w:p>
    <w:p w:rsidR="00830EB6" w:rsidRPr="00C82F88" w:rsidRDefault="00830EB6" w:rsidP="00C82F88">
      <w:pPr>
        <w:jc w:val="left"/>
        <w:rPr>
          <w:rFonts w:ascii="Arial" w:hAnsi="Arial" w:cs="Arial"/>
          <w:sz w:val="24"/>
        </w:rPr>
      </w:pPr>
    </w:p>
    <w:p w:rsidR="00C659A8" w:rsidRDefault="00C659A8" w:rsidP="00C82F88">
      <w:pPr>
        <w:jc w:val="left"/>
        <w:rPr>
          <w:rFonts w:ascii="Arial" w:hAnsi="Arial" w:cs="Arial"/>
          <w:sz w:val="24"/>
        </w:rPr>
      </w:pPr>
      <w:r w:rsidRPr="00C82F88">
        <w:rPr>
          <w:rFonts w:ascii="Arial" w:hAnsi="Arial" w:cs="Arial"/>
          <w:sz w:val="24"/>
          <w:szCs w:val="24"/>
        </w:rPr>
        <w:t xml:space="preserve">Netted against these charges is a net pensions accounting credit of £11 million (2011/12: £nil), see the pensions section below for details.  </w:t>
      </w:r>
    </w:p>
    <w:p w:rsidR="00830EB6" w:rsidRPr="00C82F88" w:rsidRDefault="00830EB6" w:rsidP="00C82F88">
      <w:pPr>
        <w:jc w:val="left"/>
        <w:rPr>
          <w:rFonts w:ascii="Arial" w:hAnsi="Arial" w:cs="Arial"/>
          <w:sz w:val="24"/>
        </w:rPr>
      </w:pPr>
    </w:p>
    <w:p w:rsidR="00C659A8" w:rsidRPr="00C82F88" w:rsidRDefault="00C659A8" w:rsidP="00C82F88">
      <w:pPr>
        <w:jc w:val="left"/>
        <w:rPr>
          <w:rFonts w:ascii="Arial" w:hAnsi="Arial" w:cs="Arial"/>
          <w:sz w:val="24"/>
        </w:rPr>
      </w:pPr>
      <w:r w:rsidRPr="00C82F88">
        <w:rPr>
          <w:rFonts w:ascii="Arial" w:hAnsi="Arial" w:cs="Arial"/>
          <w:sz w:val="24"/>
          <w:szCs w:val="24"/>
        </w:rPr>
        <w:t>Tax on exceptional items amount</w:t>
      </w:r>
      <w:r w:rsidR="00144892">
        <w:rPr>
          <w:rFonts w:ascii="Arial" w:hAnsi="Arial" w:cs="Arial"/>
          <w:sz w:val="24"/>
          <w:szCs w:val="24"/>
        </w:rPr>
        <w:t>s</w:t>
      </w:r>
      <w:r w:rsidRPr="00C82F88">
        <w:rPr>
          <w:rFonts w:ascii="Arial" w:hAnsi="Arial" w:cs="Arial"/>
          <w:sz w:val="24"/>
          <w:szCs w:val="24"/>
        </w:rPr>
        <w:t xml:space="preserve"> to a credit of £1 million (2011/12: £7 million credit).</w:t>
      </w:r>
    </w:p>
    <w:p w:rsidR="00830EB6" w:rsidRDefault="00830EB6" w:rsidP="00C659A8">
      <w:pPr>
        <w:jc w:val="left"/>
        <w:rPr>
          <w:rFonts w:ascii="Arial" w:hAnsi="Arial" w:cs="Arial"/>
          <w:b/>
          <w:bCs/>
          <w:color w:val="FF0000"/>
          <w:sz w:val="24"/>
          <w:szCs w:val="24"/>
        </w:rPr>
      </w:pPr>
    </w:p>
    <w:p w:rsidR="004E42CA" w:rsidRDefault="004E42CA" w:rsidP="00C659A8">
      <w:pPr>
        <w:jc w:val="left"/>
        <w:rPr>
          <w:rFonts w:ascii="Arial" w:hAnsi="Arial" w:cs="Arial"/>
          <w:b/>
          <w:bCs/>
          <w:color w:val="FF0000"/>
          <w:sz w:val="24"/>
          <w:szCs w:val="24"/>
        </w:rPr>
      </w:pPr>
      <w:r w:rsidRPr="00C82F88">
        <w:rPr>
          <w:rFonts w:ascii="Arial" w:hAnsi="Arial" w:cs="Arial"/>
          <w:b/>
          <w:bCs/>
          <w:sz w:val="24"/>
          <w:szCs w:val="24"/>
        </w:rPr>
        <w:t>Earnings per share</w:t>
      </w:r>
    </w:p>
    <w:p w:rsidR="004E42CA" w:rsidRDefault="004E42CA" w:rsidP="00C659A8">
      <w:pPr>
        <w:jc w:val="left"/>
        <w:rPr>
          <w:rFonts w:ascii="Arial" w:hAnsi="Arial" w:cs="Arial"/>
          <w:b/>
          <w:bCs/>
          <w:color w:val="FF0000"/>
          <w:sz w:val="24"/>
          <w:szCs w:val="24"/>
        </w:rPr>
      </w:pPr>
    </w:p>
    <w:p w:rsidR="004E42CA" w:rsidRPr="00C82F88" w:rsidRDefault="004E42CA" w:rsidP="00C82F88">
      <w:pPr>
        <w:jc w:val="left"/>
        <w:rPr>
          <w:rFonts w:ascii="Arial" w:hAnsi="Arial" w:cs="Arial"/>
          <w:sz w:val="24"/>
          <w:szCs w:val="24"/>
        </w:rPr>
      </w:pPr>
      <w:r w:rsidRPr="00C82F88">
        <w:rPr>
          <w:rFonts w:ascii="Arial" w:hAnsi="Arial" w:cs="Arial" w:hint="eastAsia"/>
          <w:sz w:val="24"/>
          <w:szCs w:val="24"/>
        </w:rPr>
        <w:t xml:space="preserve">Basic earnings per share (EPS) have decreased by 12.4% to 24.1p (2011/12: 27.5p). On a more comparable basis, removing the impact of exceptional items, financing fair value </w:t>
      </w:r>
      <w:proofErr w:type="spellStart"/>
      <w:r w:rsidRPr="00C82F88">
        <w:rPr>
          <w:rFonts w:ascii="Arial" w:hAnsi="Arial" w:cs="Arial" w:hint="eastAsia"/>
          <w:sz w:val="24"/>
          <w:szCs w:val="24"/>
        </w:rPr>
        <w:t>remeasurements</w:t>
      </w:r>
      <w:proofErr w:type="spellEnd"/>
      <w:r w:rsidRPr="00C82F88">
        <w:rPr>
          <w:rFonts w:ascii="Arial" w:hAnsi="Arial" w:cs="Arial" w:hint="eastAsia"/>
          <w:sz w:val="24"/>
          <w:szCs w:val="24"/>
        </w:rPr>
        <w:t xml:space="preserve"> and the effect of prior year tax adjustments, adjusted basic earnings per share decreased by 11.2% to 22.3p (2011/12: 25.1p). </w:t>
      </w:r>
    </w:p>
    <w:p w:rsidR="004E42CA" w:rsidRDefault="004E42CA" w:rsidP="00C659A8">
      <w:pPr>
        <w:jc w:val="left"/>
        <w:rPr>
          <w:rFonts w:ascii="Arial" w:hAnsi="Arial" w:cs="Arial"/>
          <w:b/>
          <w:bCs/>
          <w:color w:val="FF0000"/>
          <w:sz w:val="24"/>
          <w:szCs w:val="24"/>
        </w:rPr>
      </w:pPr>
    </w:p>
    <w:tbl>
      <w:tblPr>
        <w:tblStyle w:val="TableGrid"/>
        <w:tblW w:w="48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1921"/>
        <w:gridCol w:w="1624"/>
      </w:tblGrid>
      <w:tr w:rsidR="004E42CA" w:rsidRPr="00F53F2D" w:rsidTr="00C82F88">
        <w:tc>
          <w:tcPr>
            <w:tcW w:w="3155" w:type="pct"/>
            <w:tcBorders>
              <w:bottom w:val="single" w:sz="4" w:space="0" w:color="auto"/>
            </w:tcBorders>
          </w:tcPr>
          <w:p w:rsidR="004E42CA" w:rsidRPr="00E530B3" w:rsidRDefault="004E42CA" w:rsidP="00401CD8">
            <w:pPr>
              <w:rPr>
                <w:rFonts w:ascii="Arial" w:hAnsi="Arial" w:cs="Arial"/>
                <w:sz w:val="24"/>
                <w:szCs w:val="24"/>
              </w:rPr>
            </w:pPr>
          </w:p>
        </w:tc>
        <w:tc>
          <w:tcPr>
            <w:tcW w:w="1000" w:type="pct"/>
            <w:tcBorders>
              <w:bottom w:val="single" w:sz="4" w:space="0" w:color="auto"/>
            </w:tcBorders>
          </w:tcPr>
          <w:p w:rsidR="004E42CA" w:rsidRPr="00D327BC" w:rsidRDefault="004E42CA" w:rsidP="00401CD8">
            <w:pPr>
              <w:jc w:val="right"/>
              <w:rPr>
                <w:rFonts w:ascii="Arial" w:hAnsi="Arial" w:cs="Arial"/>
                <w:b/>
                <w:sz w:val="24"/>
                <w:szCs w:val="24"/>
              </w:rPr>
            </w:pPr>
            <w:r>
              <w:rPr>
                <w:rFonts w:ascii="Arial" w:hAnsi="Arial" w:cs="Arial"/>
                <w:b/>
                <w:sz w:val="24"/>
                <w:szCs w:val="24"/>
              </w:rPr>
              <w:t>2012/13</w:t>
            </w:r>
          </w:p>
        </w:tc>
        <w:tc>
          <w:tcPr>
            <w:tcW w:w="845" w:type="pct"/>
            <w:tcBorders>
              <w:bottom w:val="single" w:sz="4" w:space="0" w:color="auto"/>
            </w:tcBorders>
          </w:tcPr>
          <w:p w:rsidR="004E42CA" w:rsidRPr="00F53F2D" w:rsidRDefault="004E42CA" w:rsidP="00401CD8">
            <w:pPr>
              <w:jc w:val="right"/>
              <w:rPr>
                <w:rFonts w:ascii="Arial" w:hAnsi="Arial" w:cs="Arial"/>
                <w:sz w:val="24"/>
                <w:szCs w:val="24"/>
              </w:rPr>
            </w:pPr>
            <w:r>
              <w:rPr>
                <w:rFonts w:ascii="Arial" w:hAnsi="Arial" w:cs="Arial"/>
                <w:sz w:val="24"/>
                <w:szCs w:val="24"/>
              </w:rPr>
              <w:t>2011/12</w:t>
            </w:r>
          </w:p>
        </w:tc>
      </w:tr>
      <w:tr w:rsidR="004E42CA" w:rsidRPr="004859B4" w:rsidTr="00C82F88">
        <w:tc>
          <w:tcPr>
            <w:tcW w:w="3155" w:type="pct"/>
            <w:tcBorders>
              <w:top w:val="single" w:sz="4" w:space="0" w:color="auto"/>
            </w:tcBorders>
          </w:tcPr>
          <w:p w:rsidR="004E42CA" w:rsidRPr="00E530B3" w:rsidRDefault="004E42CA" w:rsidP="00401CD8">
            <w:pPr>
              <w:rPr>
                <w:rFonts w:ascii="Arial" w:hAnsi="Arial" w:cs="Arial"/>
                <w:sz w:val="24"/>
                <w:szCs w:val="24"/>
              </w:rPr>
            </w:pPr>
            <w:r w:rsidRPr="00E530B3">
              <w:rPr>
                <w:rFonts w:ascii="Arial" w:hAnsi="Arial" w:cs="Arial"/>
                <w:sz w:val="24"/>
                <w:szCs w:val="24"/>
              </w:rPr>
              <w:t>Basic earnings per share</w:t>
            </w:r>
          </w:p>
        </w:tc>
        <w:tc>
          <w:tcPr>
            <w:tcW w:w="1000" w:type="pct"/>
            <w:tcBorders>
              <w:top w:val="single" w:sz="4" w:space="0" w:color="auto"/>
            </w:tcBorders>
          </w:tcPr>
          <w:p w:rsidR="004E42CA" w:rsidRPr="00185E72" w:rsidRDefault="004E42CA" w:rsidP="00401CD8">
            <w:pPr>
              <w:jc w:val="right"/>
              <w:rPr>
                <w:rFonts w:ascii="Arial" w:hAnsi="Arial" w:cs="Arial"/>
                <w:b/>
                <w:sz w:val="24"/>
                <w:szCs w:val="24"/>
              </w:rPr>
            </w:pPr>
            <w:r>
              <w:rPr>
                <w:rFonts w:ascii="Arial" w:hAnsi="Arial" w:cs="Arial"/>
                <w:b/>
                <w:sz w:val="24"/>
                <w:szCs w:val="24"/>
              </w:rPr>
              <w:t>24.1p</w:t>
            </w:r>
          </w:p>
        </w:tc>
        <w:tc>
          <w:tcPr>
            <w:tcW w:w="845" w:type="pct"/>
            <w:tcBorders>
              <w:top w:val="single" w:sz="4" w:space="0" w:color="auto"/>
            </w:tcBorders>
          </w:tcPr>
          <w:p w:rsidR="004E42CA" w:rsidRPr="00FF7D43" w:rsidRDefault="004E42CA" w:rsidP="00401CD8">
            <w:pPr>
              <w:jc w:val="right"/>
              <w:rPr>
                <w:rFonts w:ascii="Arial" w:hAnsi="Arial" w:cs="Arial"/>
                <w:sz w:val="24"/>
                <w:szCs w:val="24"/>
              </w:rPr>
            </w:pPr>
            <w:r>
              <w:rPr>
                <w:rFonts w:ascii="Arial" w:hAnsi="Arial" w:cs="Arial"/>
                <w:sz w:val="24"/>
                <w:szCs w:val="24"/>
              </w:rPr>
              <w:t>27.5p</w:t>
            </w:r>
          </w:p>
        </w:tc>
      </w:tr>
      <w:tr w:rsidR="004E42CA" w:rsidRPr="004859B4" w:rsidTr="00C82F88">
        <w:tc>
          <w:tcPr>
            <w:tcW w:w="3155" w:type="pct"/>
          </w:tcPr>
          <w:p w:rsidR="004E42CA" w:rsidRPr="00E530B3" w:rsidRDefault="004E42CA">
            <w:pPr>
              <w:jc w:val="left"/>
              <w:rPr>
                <w:rFonts w:ascii="Arial" w:hAnsi="Arial" w:cs="Arial"/>
                <w:sz w:val="24"/>
                <w:szCs w:val="24"/>
              </w:rPr>
            </w:pPr>
            <w:r w:rsidRPr="00E530B3">
              <w:rPr>
                <w:rFonts w:ascii="Arial" w:hAnsi="Arial" w:cs="Arial"/>
                <w:sz w:val="24"/>
                <w:szCs w:val="24"/>
              </w:rPr>
              <w:t>Exceptional items</w:t>
            </w:r>
            <w:r>
              <w:rPr>
                <w:rFonts w:ascii="Arial" w:hAnsi="Arial" w:cs="Arial"/>
                <w:sz w:val="24"/>
                <w:szCs w:val="24"/>
              </w:rPr>
              <w:t xml:space="preserve"> </w:t>
            </w:r>
          </w:p>
        </w:tc>
        <w:tc>
          <w:tcPr>
            <w:tcW w:w="1000" w:type="pct"/>
          </w:tcPr>
          <w:p w:rsidR="004E42CA" w:rsidRPr="00185E72" w:rsidRDefault="004E42CA" w:rsidP="00401CD8">
            <w:pPr>
              <w:jc w:val="right"/>
              <w:rPr>
                <w:rFonts w:ascii="Arial" w:hAnsi="Arial" w:cs="Arial"/>
                <w:b/>
                <w:sz w:val="24"/>
                <w:szCs w:val="24"/>
              </w:rPr>
            </w:pPr>
            <w:r>
              <w:rPr>
                <w:rFonts w:ascii="Arial" w:hAnsi="Arial" w:cs="Arial"/>
                <w:b/>
                <w:sz w:val="24"/>
                <w:szCs w:val="24"/>
              </w:rPr>
              <w:t>1.1p</w:t>
            </w:r>
          </w:p>
        </w:tc>
        <w:tc>
          <w:tcPr>
            <w:tcW w:w="845" w:type="pct"/>
          </w:tcPr>
          <w:p w:rsidR="004E42CA" w:rsidRPr="00FF7D43" w:rsidRDefault="004E42CA" w:rsidP="00401CD8">
            <w:pPr>
              <w:jc w:val="right"/>
              <w:rPr>
                <w:rFonts w:ascii="Arial" w:hAnsi="Arial" w:cs="Arial"/>
                <w:sz w:val="24"/>
                <w:szCs w:val="24"/>
              </w:rPr>
            </w:pPr>
            <w:r>
              <w:rPr>
                <w:rFonts w:ascii="Arial" w:hAnsi="Arial" w:cs="Arial"/>
                <w:sz w:val="24"/>
                <w:szCs w:val="24"/>
              </w:rPr>
              <w:t>0.5p</w:t>
            </w:r>
          </w:p>
        </w:tc>
      </w:tr>
      <w:tr w:rsidR="004E42CA" w:rsidRPr="004859B4" w:rsidTr="00C82F88">
        <w:tc>
          <w:tcPr>
            <w:tcW w:w="3155" w:type="pct"/>
          </w:tcPr>
          <w:p w:rsidR="004E42CA" w:rsidRPr="00E530B3" w:rsidRDefault="004E42CA" w:rsidP="00401CD8">
            <w:pPr>
              <w:jc w:val="left"/>
              <w:rPr>
                <w:rFonts w:ascii="Arial" w:hAnsi="Arial" w:cs="Arial"/>
                <w:sz w:val="24"/>
                <w:szCs w:val="24"/>
              </w:rPr>
            </w:pPr>
            <w:r>
              <w:rPr>
                <w:rFonts w:ascii="Arial" w:hAnsi="Arial" w:cs="Arial"/>
                <w:sz w:val="24"/>
                <w:szCs w:val="24"/>
              </w:rPr>
              <w:t xml:space="preserve">Financing fair value </w:t>
            </w:r>
            <w:proofErr w:type="spellStart"/>
            <w:r>
              <w:rPr>
                <w:rFonts w:ascii="Arial" w:hAnsi="Arial" w:cs="Arial"/>
                <w:sz w:val="24"/>
                <w:szCs w:val="24"/>
              </w:rPr>
              <w:t>remeasurements</w:t>
            </w:r>
            <w:proofErr w:type="spellEnd"/>
            <w:r>
              <w:rPr>
                <w:rFonts w:ascii="Arial" w:hAnsi="Arial" w:cs="Arial"/>
                <w:sz w:val="24"/>
                <w:szCs w:val="24"/>
              </w:rPr>
              <w:t xml:space="preserve"> (net of tax)</w:t>
            </w:r>
          </w:p>
        </w:tc>
        <w:tc>
          <w:tcPr>
            <w:tcW w:w="1000" w:type="pct"/>
          </w:tcPr>
          <w:p w:rsidR="004E42CA" w:rsidRPr="00185E72" w:rsidRDefault="004E42CA" w:rsidP="00401CD8">
            <w:pPr>
              <w:jc w:val="right"/>
              <w:rPr>
                <w:rFonts w:ascii="Arial" w:hAnsi="Arial" w:cs="Arial"/>
                <w:b/>
                <w:sz w:val="24"/>
                <w:szCs w:val="24"/>
              </w:rPr>
            </w:pPr>
            <w:r>
              <w:rPr>
                <w:rFonts w:ascii="Arial" w:hAnsi="Arial" w:cs="Arial"/>
                <w:b/>
                <w:sz w:val="24"/>
                <w:szCs w:val="24"/>
              </w:rPr>
              <w:t>(0.1)p</w:t>
            </w:r>
          </w:p>
        </w:tc>
        <w:tc>
          <w:tcPr>
            <w:tcW w:w="845" w:type="pct"/>
          </w:tcPr>
          <w:p w:rsidR="004E42CA" w:rsidRPr="00FF7D43" w:rsidRDefault="004E42CA" w:rsidP="00401CD8">
            <w:pPr>
              <w:jc w:val="right"/>
              <w:rPr>
                <w:rFonts w:ascii="Arial" w:hAnsi="Arial" w:cs="Arial"/>
                <w:sz w:val="24"/>
                <w:szCs w:val="24"/>
              </w:rPr>
            </w:pPr>
            <w:r>
              <w:rPr>
                <w:rFonts w:ascii="Arial" w:hAnsi="Arial" w:cs="Arial"/>
                <w:sz w:val="24"/>
                <w:szCs w:val="24"/>
              </w:rPr>
              <w:t>(0.1)p</w:t>
            </w:r>
          </w:p>
        </w:tc>
      </w:tr>
      <w:tr w:rsidR="004E42CA" w:rsidRPr="004859B4" w:rsidTr="00C82F88">
        <w:tc>
          <w:tcPr>
            <w:tcW w:w="3155" w:type="pct"/>
            <w:vAlign w:val="bottom"/>
          </w:tcPr>
          <w:p w:rsidR="004E42CA" w:rsidRPr="00E530B3" w:rsidRDefault="004E42CA">
            <w:pPr>
              <w:jc w:val="left"/>
              <w:rPr>
                <w:rFonts w:ascii="Arial" w:hAnsi="Arial" w:cs="Arial"/>
                <w:sz w:val="24"/>
                <w:szCs w:val="24"/>
              </w:rPr>
            </w:pPr>
            <w:r>
              <w:rPr>
                <w:rFonts w:ascii="Arial" w:hAnsi="Arial" w:cs="Arial"/>
                <w:sz w:val="24"/>
                <w:szCs w:val="24"/>
              </w:rPr>
              <w:t>Impact of prior year items and exceptional items on income tax</w:t>
            </w:r>
          </w:p>
        </w:tc>
        <w:tc>
          <w:tcPr>
            <w:tcW w:w="1000" w:type="pct"/>
            <w:vAlign w:val="bottom"/>
          </w:tcPr>
          <w:p w:rsidR="004E42CA" w:rsidRPr="00185E72" w:rsidRDefault="004E42CA" w:rsidP="00401CD8">
            <w:pPr>
              <w:jc w:val="right"/>
              <w:rPr>
                <w:rFonts w:ascii="Arial" w:hAnsi="Arial" w:cs="Arial"/>
                <w:b/>
                <w:sz w:val="24"/>
                <w:szCs w:val="24"/>
              </w:rPr>
            </w:pPr>
            <w:r>
              <w:rPr>
                <w:rFonts w:ascii="Arial" w:hAnsi="Arial" w:cs="Arial"/>
                <w:b/>
                <w:sz w:val="24"/>
                <w:szCs w:val="24"/>
              </w:rPr>
              <w:t>(2.8)p</w:t>
            </w:r>
          </w:p>
        </w:tc>
        <w:tc>
          <w:tcPr>
            <w:tcW w:w="845" w:type="pct"/>
            <w:vAlign w:val="bottom"/>
          </w:tcPr>
          <w:p w:rsidR="004E42CA" w:rsidRPr="00FF7D43" w:rsidRDefault="004E42CA" w:rsidP="00401CD8">
            <w:pPr>
              <w:jc w:val="right"/>
              <w:rPr>
                <w:rFonts w:ascii="Arial" w:hAnsi="Arial" w:cs="Arial"/>
                <w:sz w:val="24"/>
                <w:szCs w:val="24"/>
              </w:rPr>
            </w:pPr>
            <w:r>
              <w:rPr>
                <w:rFonts w:ascii="Arial" w:hAnsi="Arial" w:cs="Arial"/>
                <w:sz w:val="24"/>
                <w:szCs w:val="24"/>
              </w:rPr>
              <w:t>(2.8)p</w:t>
            </w:r>
          </w:p>
        </w:tc>
      </w:tr>
      <w:tr w:rsidR="004E42CA" w:rsidRPr="004859B4" w:rsidTr="00C82F88">
        <w:trPr>
          <w:trHeight w:val="70"/>
        </w:trPr>
        <w:tc>
          <w:tcPr>
            <w:tcW w:w="3155" w:type="pct"/>
            <w:tcBorders>
              <w:top w:val="single" w:sz="4" w:space="0" w:color="auto"/>
              <w:bottom w:val="single" w:sz="4" w:space="0" w:color="auto"/>
            </w:tcBorders>
          </w:tcPr>
          <w:p w:rsidR="004E42CA" w:rsidRPr="00C82F88" w:rsidRDefault="004E42CA" w:rsidP="00401CD8">
            <w:pPr>
              <w:rPr>
                <w:rFonts w:ascii="Arial" w:hAnsi="Arial" w:cs="Arial"/>
                <w:b/>
                <w:sz w:val="24"/>
                <w:szCs w:val="24"/>
              </w:rPr>
            </w:pPr>
            <w:r w:rsidRPr="00C82F88">
              <w:rPr>
                <w:rFonts w:ascii="Arial" w:hAnsi="Arial" w:cs="Arial"/>
                <w:b/>
                <w:sz w:val="24"/>
                <w:szCs w:val="24"/>
              </w:rPr>
              <w:t>Adjusted earnings per share</w:t>
            </w:r>
          </w:p>
        </w:tc>
        <w:tc>
          <w:tcPr>
            <w:tcW w:w="1000" w:type="pct"/>
            <w:tcBorders>
              <w:top w:val="single" w:sz="4" w:space="0" w:color="auto"/>
              <w:bottom w:val="single" w:sz="4" w:space="0" w:color="auto"/>
            </w:tcBorders>
          </w:tcPr>
          <w:p w:rsidR="004E42CA" w:rsidRPr="00185E72" w:rsidRDefault="004E42CA" w:rsidP="00401CD8">
            <w:pPr>
              <w:jc w:val="right"/>
              <w:rPr>
                <w:rFonts w:ascii="Arial" w:hAnsi="Arial" w:cs="Arial"/>
                <w:b/>
                <w:sz w:val="24"/>
                <w:szCs w:val="24"/>
              </w:rPr>
            </w:pPr>
            <w:r>
              <w:rPr>
                <w:rFonts w:ascii="Arial" w:hAnsi="Arial" w:cs="Arial"/>
                <w:b/>
                <w:sz w:val="24"/>
                <w:szCs w:val="24"/>
              </w:rPr>
              <w:t>22.3p</w:t>
            </w:r>
          </w:p>
        </w:tc>
        <w:tc>
          <w:tcPr>
            <w:tcW w:w="845" w:type="pct"/>
            <w:tcBorders>
              <w:top w:val="single" w:sz="4" w:space="0" w:color="auto"/>
              <w:bottom w:val="single" w:sz="4" w:space="0" w:color="auto"/>
            </w:tcBorders>
          </w:tcPr>
          <w:p w:rsidR="004E42CA" w:rsidRPr="00FF7D43" w:rsidRDefault="004E42CA" w:rsidP="00401CD8">
            <w:pPr>
              <w:jc w:val="right"/>
              <w:rPr>
                <w:rFonts w:ascii="Arial" w:hAnsi="Arial" w:cs="Arial"/>
                <w:sz w:val="24"/>
                <w:szCs w:val="24"/>
              </w:rPr>
            </w:pPr>
            <w:r>
              <w:rPr>
                <w:rFonts w:ascii="Arial" w:hAnsi="Arial" w:cs="Arial"/>
                <w:sz w:val="24"/>
                <w:szCs w:val="24"/>
              </w:rPr>
              <w:t>25.1p</w:t>
            </w:r>
          </w:p>
        </w:tc>
      </w:tr>
    </w:tbl>
    <w:p w:rsidR="004E42CA" w:rsidRDefault="004E42CA" w:rsidP="00C659A8">
      <w:pPr>
        <w:jc w:val="left"/>
        <w:rPr>
          <w:rFonts w:ascii="Arial" w:hAnsi="Arial" w:cs="Arial"/>
          <w:b/>
          <w:bCs/>
          <w:color w:val="FF0000"/>
          <w:sz w:val="24"/>
          <w:szCs w:val="24"/>
        </w:rPr>
      </w:pPr>
    </w:p>
    <w:p w:rsidR="00F811DB" w:rsidRDefault="00F811DB">
      <w:pPr>
        <w:jc w:val="left"/>
        <w:rPr>
          <w:rFonts w:ascii="Arial" w:hAnsi="Arial" w:cs="Arial"/>
          <w:b/>
          <w:bCs/>
          <w:sz w:val="24"/>
          <w:szCs w:val="24"/>
        </w:rPr>
      </w:pPr>
    </w:p>
    <w:p w:rsidR="004E42CA" w:rsidRPr="00C82F88" w:rsidRDefault="003B3335" w:rsidP="00C659A8">
      <w:pPr>
        <w:jc w:val="left"/>
        <w:rPr>
          <w:rFonts w:ascii="Arial" w:hAnsi="Arial" w:cs="Arial"/>
          <w:b/>
          <w:bCs/>
          <w:sz w:val="24"/>
          <w:szCs w:val="24"/>
        </w:rPr>
      </w:pPr>
      <w:r w:rsidRPr="00C82F88">
        <w:rPr>
          <w:rFonts w:ascii="Arial" w:hAnsi="Arial" w:cs="Arial"/>
          <w:b/>
          <w:bCs/>
          <w:sz w:val="24"/>
          <w:szCs w:val="24"/>
        </w:rPr>
        <w:t>Dividends</w:t>
      </w:r>
    </w:p>
    <w:p w:rsidR="003B3335" w:rsidRDefault="003B3335" w:rsidP="00C659A8">
      <w:pPr>
        <w:jc w:val="left"/>
        <w:rPr>
          <w:rFonts w:ascii="Arial" w:hAnsi="Arial" w:cs="Arial"/>
          <w:b/>
          <w:bCs/>
          <w:color w:val="FF0000"/>
          <w:sz w:val="24"/>
          <w:szCs w:val="24"/>
        </w:rPr>
      </w:pPr>
    </w:p>
    <w:p w:rsidR="00B13D56" w:rsidRDefault="003B3335" w:rsidP="00C82F88">
      <w:pPr>
        <w:jc w:val="left"/>
        <w:rPr>
          <w:rFonts w:ascii="Arial" w:hAnsi="Arial" w:cs="Arial"/>
          <w:sz w:val="24"/>
          <w:szCs w:val="24"/>
        </w:rPr>
      </w:pPr>
      <w:r w:rsidRPr="00C82F88">
        <w:rPr>
          <w:rFonts w:ascii="Arial" w:hAnsi="Arial" w:cs="Arial" w:hint="eastAsia"/>
          <w:sz w:val="24"/>
          <w:szCs w:val="24"/>
        </w:rPr>
        <w:t>The Board has proposed a final dividend of 6.37p which results in a full year dividend of 9.46p, an increase of 7</w:t>
      </w:r>
      <w:r w:rsidR="00432A3A">
        <w:rPr>
          <w:rFonts w:ascii="Arial" w:hAnsi="Arial" w:cs="Arial"/>
          <w:sz w:val="24"/>
          <w:szCs w:val="24"/>
        </w:rPr>
        <w:t>.0</w:t>
      </w:r>
      <w:r w:rsidRPr="00C82F88">
        <w:rPr>
          <w:rFonts w:ascii="Arial" w:hAnsi="Arial" w:cs="Arial" w:hint="eastAsia"/>
          <w:sz w:val="24"/>
          <w:szCs w:val="24"/>
        </w:rPr>
        <w:t>% (2011/12: 8.84p). The final dividend reduces full year dividend cover on adjusted earnings to 2.</w:t>
      </w:r>
      <w:r w:rsidR="00144892">
        <w:rPr>
          <w:rFonts w:ascii="Arial" w:hAnsi="Arial" w:cs="Arial"/>
          <w:sz w:val="24"/>
          <w:szCs w:val="24"/>
        </w:rPr>
        <w:t>4</w:t>
      </w:r>
      <w:r w:rsidRPr="00C82F88">
        <w:rPr>
          <w:rFonts w:ascii="Arial" w:hAnsi="Arial" w:cs="Arial" w:hint="eastAsia"/>
          <w:sz w:val="24"/>
          <w:szCs w:val="24"/>
        </w:rPr>
        <w:t xml:space="preserve"> times (2011/12: 2.8 times)</w:t>
      </w:r>
      <w:r w:rsidR="00B13D56">
        <w:rPr>
          <w:rFonts w:ascii="Arial" w:hAnsi="Arial" w:cs="Arial"/>
          <w:sz w:val="24"/>
          <w:szCs w:val="24"/>
        </w:rPr>
        <w:t>.</w:t>
      </w:r>
    </w:p>
    <w:p w:rsidR="00B13D56" w:rsidRPr="00C82F88" w:rsidRDefault="00B13D56" w:rsidP="00C82F88">
      <w:pPr>
        <w:jc w:val="left"/>
        <w:rPr>
          <w:rFonts w:ascii="Arial" w:hAnsi="Arial" w:cs="Arial"/>
          <w:sz w:val="24"/>
          <w:szCs w:val="24"/>
        </w:rPr>
      </w:pPr>
    </w:p>
    <w:p w:rsidR="003B3335" w:rsidRDefault="003B3335" w:rsidP="00C82F88">
      <w:pPr>
        <w:jc w:val="left"/>
        <w:rPr>
          <w:rFonts w:ascii="Arial" w:hAnsi="Arial" w:cs="Arial"/>
          <w:sz w:val="24"/>
          <w:szCs w:val="24"/>
        </w:rPr>
      </w:pPr>
      <w:r w:rsidRPr="00C82F88">
        <w:rPr>
          <w:rFonts w:ascii="Arial" w:hAnsi="Arial" w:cs="Arial" w:hint="eastAsia"/>
          <w:sz w:val="24"/>
          <w:szCs w:val="24"/>
        </w:rPr>
        <w:t xml:space="preserve">Going forward the Group </w:t>
      </w:r>
      <w:r w:rsidR="0073539E">
        <w:rPr>
          <w:rFonts w:ascii="Arial" w:hAnsi="Arial" w:cs="Arial"/>
          <w:sz w:val="24"/>
          <w:szCs w:val="24"/>
        </w:rPr>
        <w:t xml:space="preserve">will </w:t>
      </w:r>
      <w:r w:rsidR="00144892">
        <w:rPr>
          <w:rFonts w:ascii="Arial" w:hAnsi="Arial" w:cs="Arial"/>
          <w:sz w:val="24"/>
          <w:szCs w:val="24"/>
        </w:rPr>
        <w:t xml:space="preserve">aim to move towards a </w:t>
      </w:r>
      <w:r w:rsidRPr="00C82F88">
        <w:rPr>
          <w:rFonts w:ascii="Arial" w:hAnsi="Arial" w:cs="Arial" w:hint="eastAsia"/>
          <w:sz w:val="24"/>
          <w:szCs w:val="24"/>
        </w:rPr>
        <w:t>medium term annual dividend cover of a</w:t>
      </w:r>
      <w:r w:rsidR="00144892">
        <w:rPr>
          <w:rFonts w:ascii="Arial" w:hAnsi="Arial" w:cs="Arial"/>
          <w:sz w:val="24"/>
          <w:szCs w:val="24"/>
        </w:rPr>
        <w:t xml:space="preserve">round </w:t>
      </w:r>
      <w:r w:rsidRPr="00C82F88">
        <w:rPr>
          <w:rFonts w:ascii="Arial" w:hAnsi="Arial" w:cs="Arial" w:hint="eastAsia"/>
          <w:sz w:val="24"/>
          <w:szCs w:val="24"/>
        </w:rPr>
        <w:t>2.5 times. At this level, the Board believes the dividend will continue to be prudently covered by earnings and free cash flow and remain consistent with the capital needs of the business.</w:t>
      </w:r>
    </w:p>
    <w:p w:rsidR="00D50CF1" w:rsidRDefault="00D50CF1" w:rsidP="00C82F88">
      <w:pPr>
        <w:jc w:val="left"/>
        <w:rPr>
          <w:rFonts w:ascii="Arial" w:hAnsi="Arial" w:cs="Arial"/>
          <w:sz w:val="24"/>
          <w:szCs w:val="24"/>
        </w:rPr>
      </w:pPr>
    </w:p>
    <w:p w:rsidR="00D50CF1" w:rsidRDefault="00D50CF1" w:rsidP="00C82F88">
      <w:pPr>
        <w:jc w:val="left"/>
        <w:rPr>
          <w:rFonts w:ascii="Arial" w:hAnsi="Arial" w:cs="Arial"/>
          <w:sz w:val="24"/>
          <w:szCs w:val="24"/>
        </w:rPr>
      </w:pPr>
      <w:r>
        <w:rPr>
          <w:rFonts w:ascii="Arial" w:hAnsi="Arial" w:cs="Arial"/>
          <w:sz w:val="24"/>
          <w:szCs w:val="24"/>
        </w:rPr>
        <w:t xml:space="preserve">From 2013/14 the Group will also move away from the mechanistic calculation of the interim dividend as 35 per cent of the previous year’s total dividends and instead set both the interim and final dividend by reference to the current year’s earnings. </w:t>
      </w:r>
    </w:p>
    <w:p w:rsidR="00B13D56" w:rsidRPr="00C82F88" w:rsidRDefault="00B13D56" w:rsidP="00C82F88">
      <w:pPr>
        <w:jc w:val="left"/>
        <w:rPr>
          <w:rFonts w:ascii="Arial" w:hAnsi="Arial" w:cs="Arial"/>
          <w:sz w:val="24"/>
          <w:szCs w:val="24"/>
        </w:rPr>
      </w:pPr>
    </w:p>
    <w:p w:rsidR="003B3335" w:rsidRDefault="003B3335" w:rsidP="00C82F88">
      <w:pPr>
        <w:jc w:val="left"/>
        <w:rPr>
          <w:rFonts w:ascii="Arial" w:hAnsi="Arial" w:cs="Arial"/>
          <w:sz w:val="24"/>
          <w:szCs w:val="24"/>
        </w:rPr>
      </w:pPr>
      <w:r w:rsidRPr="00C82F88">
        <w:rPr>
          <w:rFonts w:ascii="Arial" w:hAnsi="Arial" w:cs="Arial" w:hint="eastAsia"/>
          <w:sz w:val="24"/>
          <w:szCs w:val="24"/>
        </w:rPr>
        <w:t>The full year dividend will continue to be proposed each year as part of the full year preliminary announcement in March.</w:t>
      </w:r>
    </w:p>
    <w:p w:rsidR="00B13D56" w:rsidRPr="00C82F88" w:rsidRDefault="00B13D56" w:rsidP="00C82F88">
      <w:pPr>
        <w:jc w:val="left"/>
        <w:rPr>
          <w:rFonts w:ascii="Arial" w:hAnsi="Arial" w:cs="Arial"/>
          <w:sz w:val="24"/>
          <w:szCs w:val="24"/>
        </w:rPr>
      </w:pPr>
    </w:p>
    <w:p w:rsidR="00B13D56" w:rsidRDefault="003B3335" w:rsidP="00C659A8">
      <w:pPr>
        <w:jc w:val="left"/>
        <w:rPr>
          <w:rFonts w:ascii="Arial" w:hAnsi="Arial" w:cs="Arial"/>
          <w:sz w:val="24"/>
          <w:szCs w:val="24"/>
        </w:rPr>
      </w:pPr>
      <w:r w:rsidRPr="00C82F88">
        <w:rPr>
          <w:rFonts w:ascii="Arial" w:hAnsi="Arial" w:cs="Arial" w:hint="eastAsia"/>
          <w:sz w:val="24"/>
          <w:szCs w:val="24"/>
        </w:rPr>
        <w:t>The final dividend for the year ended 2 February 2013 will be paid on 17 June 2013 to shareholders on the register at close of business on 10 May 2013, subject to approval of shareholders at the Annual General Meeting, to be held on 13 June 2013. A dividend reinvestment plan (DRIP) is available to shareholders who would prefer to invest their dividends in the shares of the Company. The shares will go ex-dividend on 8 May 2013. For those shareholders electing to receive the DRIP the last date for receipt of electing is 24 May 2013.</w:t>
      </w:r>
    </w:p>
    <w:p w:rsidR="00B13D56" w:rsidRDefault="00B13D56" w:rsidP="00C659A8">
      <w:pPr>
        <w:jc w:val="left"/>
        <w:rPr>
          <w:rFonts w:ascii="Arial" w:hAnsi="Arial" w:cs="Arial"/>
          <w:sz w:val="24"/>
          <w:szCs w:val="24"/>
        </w:rPr>
      </w:pPr>
    </w:p>
    <w:p w:rsidR="00B13D56" w:rsidRDefault="00B13D56" w:rsidP="00C659A8">
      <w:pPr>
        <w:jc w:val="left"/>
        <w:rPr>
          <w:rFonts w:ascii="Arial" w:hAnsi="Arial" w:cs="Arial"/>
          <w:b/>
          <w:sz w:val="24"/>
          <w:szCs w:val="24"/>
        </w:rPr>
      </w:pPr>
      <w:r w:rsidRPr="00C82F88">
        <w:rPr>
          <w:rFonts w:ascii="Arial" w:hAnsi="Arial" w:cs="Arial"/>
          <w:b/>
          <w:sz w:val="24"/>
          <w:szCs w:val="24"/>
        </w:rPr>
        <w:t>Economic returns</w:t>
      </w:r>
    </w:p>
    <w:p w:rsidR="00B13D56" w:rsidRDefault="00B13D56" w:rsidP="00C659A8">
      <w:pPr>
        <w:jc w:val="left"/>
        <w:rPr>
          <w:rFonts w:ascii="Arial" w:hAnsi="Arial" w:cs="Arial"/>
          <w:b/>
          <w:sz w:val="24"/>
          <w:szCs w:val="24"/>
        </w:rPr>
      </w:pPr>
    </w:p>
    <w:p w:rsidR="00A749C4" w:rsidRDefault="00B13D56" w:rsidP="00C82F88">
      <w:pPr>
        <w:jc w:val="left"/>
        <w:rPr>
          <w:rFonts w:ascii="Arial" w:hAnsi="Arial" w:cs="Arial"/>
          <w:sz w:val="24"/>
          <w:szCs w:val="24"/>
        </w:rPr>
      </w:pPr>
      <w:r w:rsidRPr="00C82F88">
        <w:rPr>
          <w:rFonts w:ascii="Arial" w:hAnsi="Arial" w:cs="Arial" w:hint="eastAsia"/>
          <w:sz w:val="24"/>
          <w:szCs w:val="24"/>
        </w:rPr>
        <w:t>Management are focused on Kingfisher Economic Profit (KEP) as our main measure of return on capital. KEP is derived from the concept of Economic Value Added and is used to ensure capital is being used productively and decisions made which will create value for shareholders. KEP takes into account a charge for the capital employed in the business. In doing this the calculation treats leases as though they were owned assets within capital employed, capitalising them using the long-term yield methodology. For the purposes of the calculation, adjusted post-tax profit is used, but interest and property lease costs are</w:t>
      </w:r>
      <w:r w:rsidR="00A749C4">
        <w:rPr>
          <w:rFonts w:ascii="Arial" w:hAnsi="Arial" w:cs="Arial"/>
          <w:sz w:val="24"/>
          <w:szCs w:val="24"/>
        </w:rPr>
        <w:t xml:space="preserve"> added back. A charge for the cost of capital employed is then deducted by applying the Group’s lease adjusted weighted average cost of capital (WACC) to its lease and pension adjusted capital employed. </w:t>
      </w:r>
    </w:p>
    <w:p w:rsidR="00B13D56" w:rsidRPr="00C82F88" w:rsidRDefault="00B13D56" w:rsidP="00C82F88">
      <w:pPr>
        <w:jc w:val="left"/>
        <w:rPr>
          <w:rFonts w:ascii="Arial" w:hAnsi="Arial" w:cs="Arial"/>
          <w:sz w:val="24"/>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053"/>
        <w:gridCol w:w="1518"/>
        <w:gridCol w:w="1517"/>
        <w:gridCol w:w="1518"/>
      </w:tblGrid>
      <w:tr w:rsidR="00B13D56" w:rsidRPr="00E20BFB" w:rsidTr="00C82F88">
        <w:trPr>
          <w:trHeight w:val="516"/>
        </w:trPr>
        <w:tc>
          <w:tcPr>
            <w:tcW w:w="5053" w:type="dxa"/>
            <w:tcBorders>
              <w:bottom w:val="single" w:sz="4" w:space="0" w:color="auto"/>
            </w:tcBorders>
          </w:tcPr>
          <w:p w:rsidR="00B13D56" w:rsidRPr="00E20BFB" w:rsidRDefault="00B13D56" w:rsidP="00401CD8">
            <w:pPr>
              <w:jc w:val="left"/>
              <w:rPr>
                <w:rFonts w:ascii="Arial" w:hAnsi="Arial" w:cs="Arial"/>
                <w:b/>
                <w:sz w:val="24"/>
                <w:szCs w:val="24"/>
              </w:rPr>
            </w:pPr>
          </w:p>
        </w:tc>
        <w:tc>
          <w:tcPr>
            <w:tcW w:w="1518" w:type="dxa"/>
            <w:tcBorders>
              <w:bottom w:val="single" w:sz="4" w:space="0" w:color="auto"/>
            </w:tcBorders>
          </w:tcPr>
          <w:p w:rsidR="00B13D56" w:rsidRDefault="00B13D56" w:rsidP="00401CD8">
            <w:pPr>
              <w:jc w:val="right"/>
              <w:rPr>
                <w:rFonts w:ascii="Arial" w:hAnsi="Arial" w:cs="Arial"/>
                <w:b/>
                <w:sz w:val="24"/>
                <w:szCs w:val="24"/>
              </w:rPr>
            </w:pPr>
            <w:r>
              <w:rPr>
                <w:rFonts w:ascii="Arial" w:hAnsi="Arial" w:cs="Arial"/>
                <w:b/>
                <w:sz w:val="24"/>
                <w:szCs w:val="24"/>
              </w:rPr>
              <w:t>2012/13</w:t>
            </w:r>
          </w:p>
          <w:p w:rsidR="00B13D56" w:rsidRPr="00E20BFB" w:rsidRDefault="00B13D56" w:rsidP="00401CD8">
            <w:pPr>
              <w:jc w:val="right"/>
              <w:rPr>
                <w:rFonts w:ascii="Arial" w:hAnsi="Arial" w:cs="Arial"/>
                <w:b/>
                <w:sz w:val="24"/>
                <w:szCs w:val="24"/>
              </w:rPr>
            </w:pPr>
            <w:r>
              <w:rPr>
                <w:rFonts w:ascii="Arial" w:hAnsi="Arial" w:cs="Arial"/>
                <w:b/>
                <w:sz w:val="24"/>
                <w:szCs w:val="24"/>
              </w:rPr>
              <w:t>£m</w:t>
            </w:r>
          </w:p>
        </w:tc>
        <w:tc>
          <w:tcPr>
            <w:tcW w:w="1517" w:type="dxa"/>
            <w:tcBorders>
              <w:bottom w:val="single" w:sz="4" w:space="0" w:color="auto"/>
            </w:tcBorders>
          </w:tcPr>
          <w:p w:rsidR="00B13D56" w:rsidRPr="00C82F88" w:rsidRDefault="00B13D56" w:rsidP="00401CD8">
            <w:pPr>
              <w:jc w:val="right"/>
              <w:rPr>
                <w:rFonts w:ascii="Arial" w:hAnsi="Arial" w:cs="Arial"/>
                <w:sz w:val="24"/>
                <w:szCs w:val="24"/>
              </w:rPr>
            </w:pPr>
            <w:r w:rsidRPr="00C82F88">
              <w:rPr>
                <w:rFonts w:ascii="Arial" w:hAnsi="Arial" w:cs="Arial"/>
                <w:sz w:val="24"/>
                <w:szCs w:val="24"/>
              </w:rPr>
              <w:t>2011/12</w:t>
            </w:r>
          </w:p>
          <w:p w:rsidR="00B13D56" w:rsidRPr="00C82F88" w:rsidRDefault="00B13D56" w:rsidP="00401CD8">
            <w:pPr>
              <w:jc w:val="right"/>
              <w:rPr>
                <w:rFonts w:ascii="Arial" w:hAnsi="Arial" w:cs="Arial"/>
                <w:sz w:val="24"/>
                <w:szCs w:val="24"/>
              </w:rPr>
            </w:pPr>
            <w:r w:rsidRPr="00C82F88">
              <w:rPr>
                <w:rFonts w:ascii="Arial" w:hAnsi="Arial" w:cs="Arial"/>
                <w:sz w:val="24"/>
                <w:szCs w:val="24"/>
              </w:rPr>
              <w:t>£m</w:t>
            </w:r>
          </w:p>
        </w:tc>
        <w:tc>
          <w:tcPr>
            <w:tcW w:w="1518" w:type="dxa"/>
            <w:tcBorders>
              <w:bottom w:val="single" w:sz="4" w:space="0" w:color="auto"/>
            </w:tcBorders>
          </w:tcPr>
          <w:p w:rsidR="00B13D56" w:rsidRDefault="00B13D56" w:rsidP="00401CD8">
            <w:pPr>
              <w:jc w:val="right"/>
              <w:rPr>
                <w:rFonts w:ascii="Arial" w:hAnsi="Arial" w:cs="Arial"/>
                <w:sz w:val="24"/>
                <w:szCs w:val="24"/>
              </w:rPr>
            </w:pPr>
            <w:r>
              <w:rPr>
                <w:rFonts w:ascii="Arial" w:hAnsi="Arial" w:cs="Arial"/>
                <w:sz w:val="24"/>
                <w:szCs w:val="24"/>
              </w:rPr>
              <w:t>(Decrease)</w:t>
            </w:r>
          </w:p>
          <w:p w:rsidR="009B4DB4" w:rsidRPr="00C82F88" w:rsidRDefault="009B4DB4" w:rsidP="00401CD8">
            <w:pPr>
              <w:jc w:val="right"/>
              <w:rPr>
                <w:rFonts w:ascii="Arial" w:hAnsi="Arial" w:cs="Arial"/>
                <w:sz w:val="24"/>
                <w:szCs w:val="24"/>
              </w:rPr>
            </w:pPr>
            <w:r>
              <w:rPr>
                <w:rFonts w:ascii="Arial" w:hAnsi="Arial" w:cs="Arial"/>
                <w:sz w:val="24"/>
                <w:szCs w:val="24"/>
              </w:rPr>
              <w:t>£m</w:t>
            </w:r>
          </w:p>
        </w:tc>
      </w:tr>
      <w:tr w:rsidR="00B13D56" w:rsidRPr="00E20BFB" w:rsidTr="00C82F88">
        <w:tc>
          <w:tcPr>
            <w:tcW w:w="5053" w:type="dxa"/>
            <w:tcBorders>
              <w:top w:val="single" w:sz="4" w:space="0" w:color="auto"/>
              <w:bottom w:val="single" w:sz="4" w:space="0" w:color="auto"/>
            </w:tcBorders>
          </w:tcPr>
          <w:p w:rsidR="00B13D56" w:rsidRPr="00E20BFB" w:rsidRDefault="00B13D56" w:rsidP="00401CD8">
            <w:pPr>
              <w:jc w:val="left"/>
              <w:rPr>
                <w:rFonts w:ascii="Arial" w:hAnsi="Arial" w:cs="Arial"/>
                <w:sz w:val="24"/>
                <w:szCs w:val="24"/>
              </w:rPr>
            </w:pPr>
            <w:r>
              <w:rPr>
                <w:rFonts w:ascii="Arial" w:hAnsi="Arial" w:cs="Arial"/>
                <w:b/>
                <w:sz w:val="24"/>
                <w:szCs w:val="24"/>
              </w:rPr>
              <w:t>Kingfisher Economic Profit (KEP)</w:t>
            </w:r>
          </w:p>
        </w:tc>
        <w:tc>
          <w:tcPr>
            <w:tcW w:w="1518" w:type="dxa"/>
            <w:tcBorders>
              <w:top w:val="single" w:sz="4" w:space="0" w:color="auto"/>
              <w:bottom w:val="single" w:sz="4" w:space="0" w:color="auto"/>
            </w:tcBorders>
          </w:tcPr>
          <w:p w:rsidR="00B13D56" w:rsidRPr="009618C2" w:rsidRDefault="00B13D56" w:rsidP="00401CD8">
            <w:pPr>
              <w:jc w:val="right"/>
              <w:rPr>
                <w:rFonts w:ascii="Arial" w:hAnsi="Arial" w:cs="Arial"/>
                <w:b/>
                <w:sz w:val="24"/>
                <w:szCs w:val="24"/>
              </w:rPr>
            </w:pPr>
            <w:r w:rsidRPr="009618C2">
              <w:rPr>
                <w:rFonts w:ascii="Arial" w:hAnsi="Arial" w:cs="Arial"/>
                <w:b/>
                <w:sz w:val="24"/>
                <w:szCs w:val="24"/>
              </w:rPr>
              <w:t>44</w:t>
            </w:r>
          </w:p>
        </w:tc>
        <w:tc>
          <w:tcPr>
            <w:tcW w:w="1517" w:type="dxa"/>
            <w:tcBorders>
              <w:top w:val="single" w:sz="4" w:space="0" w:color="auto"/>
              <w:bottom w:val="single" w:sz="4" w:space="0" w:color="auto"/>
            </w:tcBorders>
          </w:tcPr>
          <w:p w:rsidR="00B13D56" w:rsidRDefault="00B13D56" w:rsidP="00401CD8">
            <w:pPr>
              <w:jc w:val="right"/>
              <w:rPr>
                <w:rFonts w:ascii="Arial" w:hAnsi="Arial" w:cs="Arial"/>
                <w:sz w:val="24"/>
                <w:szCs w:val="24"/>
              </w:rPr>
            </w:pPr>
            <w:r>
              <w:rPr>
                <w:rFonts w:ascii="Arial" w:hAnsi="Arial" w:cs="Arial"/>
                <w:sz w:val="24"/>
                <w:szCs w:val="24"/>
              </w:rPr>
              <w:t>131</w:t>
            </w:r>
          </w:p>
        </w:tc>
        <w:tc>
          <w:tcPr>
            <w:tcW w:w="1518" w:type="dxa"/>
            <w:tcBorders>
              <w:top w:val="single" w:sz="4" w:space="0" w:color="auto"/>
              <w:bottom w:val="single" w:sz="4" w:space="0" w:color="auto"/>
            </w:tcBorders>
          </w:tcPr>
          <w:p w:rsidR="00B13D56" w:rsidRPr="00E20BFB" w:rsidRDefault="00B13D56" w:rsidP="00401CD8">
            <w:pPr>
              <w:jc w:val="right"/>
              <w:rPr>
                <w:rFonts w:ascii="Arial" w:hAnsi="Arial" w:cs="Arial"/>
                <w:sz w:val="24"/>
                <w:szCs w:val="24"/>
              </w:rPr>
            </w:pPr>
            <w:r>
              <w:rPr>
                <w:rFonts w:ascii="Arial" w:hAnsi="Arial" w:cs="Arial"/>
                <w:sz w:val="24"/>
                <w:szCs w:val="24"/>
              </w:rPr>
              <w:t>(87)</w:t>
            </w:r>
          </w:p>
        </w:tc>
      </w:tr>
    </w:tbl>
    <w:p w:rsidR="009E0561" w:rsidRDefault="009E0561">
      <w:pPr>
        <w:jc w:val="left"/>
      </w:pPr>
    </w:p>
    <w:p w:rsidR="00600993" w:rsidRDefault="00600993" w:rsidP="00600993">
      <w:pPr>
        <w:jc w:val="left"/>
        <w:rPr>
          <w:rFonts w:ascii="Arial" w:hAnsi="Arial" w:cs="Arial"/>
          <w:b/>
          <w:sz w:val="24"/>
          <w:szCs w:val="24"/>
        </w:rPr>
      </w:pPr>
      <w:r w:rsidRPr="00C82F88">
        <w:rPr>
          <w:rFonts w:ascii="Arial" w:hAnsi="Arial" w:cs="Arial"/>
          <w:b/>
          <w:sz w:val="24"/>
          <w:szCs w:val="24"/>
        </w:rPr>
        <w:t>Geographic divisional return</w:t>
      </w:r>
    </w:p>
    <w:p w:rsidR="00234ACC" w:rsidRDefault="00234ACC" w:rsidP="00600993">
      <w:pPr>
        <w:jc w:val="left"/>
        <w:rPr>
          <w:rFonts w:ascii="Arial" w:hAnsi="Arial" w:cs="Arial"/>
          <w:sz w:val="24"/>
          <w:szCs w:val="24"/>
        </w:rPr>
      </w:pPr>
    </w:p>
    <w:p w:rsidR="00234ACC" w:rsidRPr="00C82F88" w:rsidRDefault="00234ACC" w:rsidP="00600993">
      <w:pPr>
        <w:jc w:val="left"/>
        <w:rPr>
          <w:rFonts w:ascii="Arial" w:hAnsi="Arial" w:cs="Arial"/>
          <w:sz w:val="24"/>
          <w:szCs w:val="24"/>
        </w:rPr>
      </w:pPr>
      <w:r>
        <w:rPr>
          <w:rFonts w:ascii="Arial" w:hAnsi="Arial" w:cs="Arial"/>
          <w:sz w:val="24"/>
          <w:szCs w:val="24"/>
        </w:rPr>
        <w:t>Kingfisher’s underlying KEP by geographic division is set out below.</w:t>
      </w:r>
      <w:r w:rsidR="00F45FAA">
        <w:rPr>
          <w:rFonts w:ascii="Arial" w:hAnsi="Arial" w:cs="Arial"/>
          <w:sz w:val="24"/>
          <w:szCs w:val="24"/>
        </w:rPr>
        <w:t xml:space="preserve"> </w:t>
      </w:r>
      <w:r w:rsidRPr="00C82F88">
        <w:rPr>
          <w:rFonts w:ascii="Arial" w:hAnsi="Arial" w:cs="Arial" w:hint="eastAsia"/>
          <w:sz w:val="24"/>
          <w:szCs w:val="24"/>
        </w:rPr>
        <w:t xml:space="preserve">The divisional invested capital excludes </w:t>
      </w:r>
      <w:r w:rsidR="00C3263C">
        <w:rPr>
          <w:rFonts w:ascii="Arial" w:hAnsi="Arial" w:cs="Arial"/>
          <w:sz w:val="24"/>
          <w:szCs w:val="24"/>
        </w:rPr>
        <w:t xml:space="preserve">central </w:t>
      </w:r>
      <w:r w:rsidRPr="00C82F88">
        <w:rPr>
          <w:rFonts w:ascii="Arial" w:hAnsi="Arial" w:cs="Arial" w:hint="eastAsia"/>
          <w:sz w:val="24"/>
          <w:szCs w:val="24"/>
        </w:rPr>
        <w:t>goodwill</w:t>
      </w:r>
      <w:r w:rsidR="00C3263C">
        <w:rPr>
          <w:rFonts w:ascii="Arial" w:hAnsi="Arial" w:cs="Arial"/>
          <w:sz w:val="24"/>
          <w:szCs w:val="24"/>
        </w:rPr>
        <w:t xml:space="preserve"> of £2.4 billion</w:t>
      </w:r>
      <w:r w:rsidRPr="00C82F88">
        <w:rPr>
          <w:rFonts w:ascii="Arial" w:hAnsi="Arial" w:cs="Arial" w:hint="eastAsia"/>
          <w:sz w:val="24"/>
          <w:szCs w:val="24"/>
        </w:rPr>
        <w:t>.</w:t>
      </w:r>
    </w:p>
    <w:p w:rsidR="00600993" w:rsidRDefault="00600993" w:rsidP="00600993">
      <w:pPr>
        <w:jc w:val="left"/>
      </w:pPr>
    </w:p>
    <w:tbl>
      <w:tblPr>
        <w:tblStyle w:val="TableGrid"/>
        <w:tblW w:w="48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61"/>
        <w:gridCol w:w="1016"/>
        <w:gridCol w:w="1324"/>
        <w:gridCol w:w="1222"/>
        <w:gridCol w:w="1324"/>
        <w:gridCol w:w="1276"/>
        <w:gridCol w:w="1084"/>
      </w:tblGrid>
      <w:tr w:rsidR="009B4DB4" w:rsidRPr="00B46053" w:rsidTr="0035187F">
        <w:trPr>
          <w:trHeight w:val="479"/>
        </w:trPr>
        <w:tc>
          <w:tcPr>
            <w:tcW w:w="1229" w:type="pct"/>
            <w:vMerge w:val="restart"/>
          </w:tcPr>
          <w:p w:rsidR="009B4DB4" w:rsidRPr="00B46053" w:rsidRDefault="009B4DB4" w:rsidP="00401CD8">
            <w:pPr>
              <w:jc w:val="left"/>
              <w:rPr>
                <w:rFonts w:ascii="Arial" w:hAnsi="Arial" w:cs="Arial"/>
                <w:sz w:val="24"/>
                <w:szCs w:val="24"/>
              </w:rPr>
            </w:pPr>
          </w:p>
        </w:tc>
        <w:tc>
          <w:tcPr>
            <w:tcW w:w="529" w:type="pct"/>
            <w:vMerge w:val="restart"/>
          </w:tcPr>
          <w:p w:rsidR="009B4DB4" w:rsidRDefault="009B4DB4" w:rsidP="00C82F88">
            <w:pPr>
              <w:jc w:val="right"/>
              <w:rPr>
                <w:rFonts w:ascii="Arial" w:hAnsi="Arial" w:cs="Arial"/>
                <w:sz w:val="24"/>
                <w:szCs w:val="24"/>
              </w:rPr>
            </w:pPr>
          </w:p>
          <w:p w:rsidR="009B4DB4" w:rsidRDefault="009B4DB4" w:rsidP="00C82F88">
            <w:pPr>
              <w:jc w:val="right"/>
              <w:rPr>
                <w:rFonts w:ascii="Arial" w:hAnsi="Arial" w:cs="Arial"/>
                <w:sz w:val="24"/>
                <w:szCs w:val="24"/>
              </w:rPr>
            </w:pPr>
          </w:p>
          <w:p w:rsidR="009B4DB4" w:rsidRPr="00B46053" w:rsidRDefault="009B4DB4" w:rsidP="00C82F88">
            <w:pPr>
              <w:jc w:val="right"/>
              <w:rPr>
                <w:rFonts w:ascii="Arial" w:hAnsi="Arial" w:cs="Arial"/>
                <w:sz w:val="24"/>
                <w:szCs w:val="24"/>
              </w:rPr>
            </w:pPr>
            <w:r w:rsidRPr="00B46053">
              <w:rPr>
                <w:rFonts w:ascii="Arial" w:hAnsi="Arial" w:cs="Arial"/>
                <w:sz w:val="24"/>
                <w:szCs w:val="24"/>
              </w:rPr>
              <w:t xml:space="preserve"> Sales £</w:t>
            </w:r>
            <w:proofErr w:type="spellStart"/>
            <w:r w:rsidRPr="00B46053">
              <w:rPr>
                <w:rFonts w:ascii="Arial" w:hAnsi="Arial" w:cs="Arial"/>
                <w:sz w:val="24"/>
                <w:szCs w:val="24"/>
              </w:rPr>
              <w:t>bn</w:t>
            </w:r>
            <w:proofErr w:type="spellEnd"/>
          </w:p>
        </w:tc>
        <w:tc>
          <w:tcPr>
            <w:tcW w:w="689" w:type="pct"/>
            <w:vMerge w:val="restart"/>
          </w:tcPr>
          <w:p w:rsidR="009B4DB4" w:rsidRDefault="009B4DB4" w:rsidP="00C82F88">
            <w:pPr>
              <w:jc w:val="right"/>
              <w:rPr>
                <w:rFonts w:ascii="Arial" w:hAnsi="Arial" w:cs="Arial"/>
                <w:sz w:val="24"/>
                <w:szCs w:val="24"/>
              </w:rPr>
            </w:pPr>
          </w:p>
          <w:p w:rsidR="009B4DB4" w:rsidRPr="00B46053" w:rsidRDefault="009B4DB4" w:rsidP="00C82F88">
            <w:pPr>
              <w:jc w:val="right"/>
              <w:rPr>
                <w:rFonts w:ascii="Arial" w:hAnsi="Arial" w:cs="Arial"/>
                <w:sz w:val="24"/>
                <w:szCs w:val="24"/>
              </w:rPr>
            </w:pPr>
            <w:r w:rsidRPr="00B46053">
              <w:rPr>
                <w:rFonts w:ascii="Arial" w:hAnsi="Arial" w:cs="Arial"/>
                <w:sz w:val="24"/>
                <w:szCs w:val="24"/>
              </w:rPr>
              <w:t>Proportion of Group sales %</w:t>
            </w:r>
          </w:p>
        </w:tc>
        <w:tc>
          <w:tcPr>
            <w:tcW w:w="636" w:type="pct"/>
            <w:vMerge w:val="restart"/>
            <w:vAlign w:val="bottom"/>
          </w:tcPr>
          <w:p w:rsidR="009B4DB4" w:rsidRPr="00B46053" w:rsidRDefault="009B4DB4" w:rsidP="00AB042A">
            <w:pPr>
              <w:jc w:val="right"/>
              <w:rPr>
                <w:rFonts w:ascii="Arial" w:hAnsi="Arial" w:cs="Arial"/>
                <w:sz w:val="24"/>
                <w:szCs w:val="24"/>
              </w:rPr>
            </w:pPr>
            <w:r w:rsidRPr="00B46053">
              <w:rPr>
                <w:rFonts w:ascii="Arial" w:hAnsi="Arial" w:cs="Arial"/>
                <w:sz w:val="24"/>
                <w:szCs w:val="24"/>
              </w:rPr>
              <w:t>Invested Capital</w:t>
            </w:r>
          </w:p>
          <w:p w:rsidR="009B4DB4" w:rsidRPr="00B46053" w:rsidRDefault="009B4DB4" w:rsidP="00AB042A">
            <w:pPr>
              <w:jc w:val="right"/>
              <w:rPr>
                <w:rFonts w:ascii="Arial" w:hAnsi="Arial" w:cs="Arial"/>
                <w:sz w:val="24"/>
                <w:szCs w:val="24"/>
              </w:rPr>
            </w:pPr>
            <w:r w:rsidRPr="00B46053">
              <w:rPr>
                <w:rFonts w:ascii="Arial" w:hAnsi="Arial" w:cs="Arial"/>
                <w:sz w:val="24"/>
                <w:szCs w:val="24"/>
              </w:rPr>
              <w:t>(IC)</w:t>
            </w:r>
          </w:p>
          <w:p w:rsidR="009B4DB4" w:rsidRPr="00B46053" w:rsidRDefault="009B4DB4" w:rsidP="009618C2">
            <w:pPr>
              <w:jc w:val="right"/>
              <w:rPr>
                <w:rFonts w:ascii="Arial" w:hAnsi="Arial" w:cs="Arial"/>
                <w:sz w:val="24"/>
                <w:szCs w:val="24"/>
              </w:rPr>
            </w:pPr>
            <w:r w:rsidRPr="00B46053">
              <w:rPr>
                <w:rFonts w:ascii="Arial" w:hAnsi="Arial" w:cs="Arial"/>
                <w:sz w:val="24"/>
                <w:szCs w:val="24"/>
              </w:rPr>
              <w:t>£</w:t>
            </w:r>
            <w:proofErr w:type="spellStart"/>
            <w:r w:rsidRPr="00B46053">
              <w:rPr>
                <w:rFonts w:ascii="Arial" w:hAnsi="Arial" w:cs="Arial"/>
                <w:sz w:val="24"/>
                <w:szCs w:val="24"/>
              </w:rPr>
              <w:t>bn</w:t>
            </w:r>
            <w:proofErr w:type="spellEnd"/>
          </w:p>
        </w:tc>
        <w:tc>
          <w:tcPr>
            <w:tcW w:w="689" w:type="pct"/>
            <w:vMerge w:val="restart"/>
            <w:vAlign w:val="bottom"/>
          </w:tcPr>
          <w:p w:rsidR="009B4DB4" w:rsidRPr="00B46053" w:rsidRDefault="009B4DB4" w:rsidP="00C82F88">
            <w:pPr>
              <w:jc w:val="right"/>
              <w:rPr>
                <w:rFonts w:ascii="Arial" w:hAnsi="Arial" w:cs="Arial"/>
                <w:sz w:val="24"/>
                <w:szCs w:val="24"/>
              </w:rPr>
            </w:pPr>
            <w:r w:rsidRPr="00B46053">
              <w:rPr>
                <w:rFonts w:ascii="Arial" w:hAnsi="Arial" w:cs="Arial"/>
                <w:sz w:val="24"/>
                <w:szCs w:val="24"/>
              </w:rPr>
              <w:t>Proportion of Group IC %</w:t>
            </w:r>
          </w:p>
        </w:tc>
        <w:tc>
          <w:tcPr>
            <w:tcW w:w="1228" w:type="pct"/>
            <w:gridSpan w:val="2"/>
            <w:vAlign w:val="bottom"/>
          </w:tcPr>
          <w:p w:rsidR="009B4DB4" w:rsidRDefault="009B4DB4">
            <w:pPr>
              <w:jc w:val="right"/>
              <w:rPr>
                <w:rFonts w:ascii="Arial" w:hAnsi="Arial" w:cs="Arial"/>
                <w:b/>
                <w:sz w:val="24"/>
                <w:szCs w:val="24"/>
              </w:rPr>
            </w:pPr>
            <w:r>
              <w:rPr>
                <w:rFonts w:ascii="Arial" w:hAnsi="Arial" w:cs="Arial"/>
                <w:sz w:val="24"/>
                <w:szCs w:val="24"/>
              </w:rPr>
              <w:t>Returns £m KEP</w:t>
            </w:r>
          </w:p>
          <w:p w:rsidR="009B4DB4" w:rsidRPr="00B46053" w:rsidRDefault="009B4DB4">
            <w:pPr>
              <w:jc w:val="right"/>
              <w:rPr>
                <w:rFonts w:ascii="Arial" w:hAnsi="Arial" w:cs="Arial"/>
                <w:sz w:val="24"/>
                <w:szCs w:val="24"/>
              </w:rPr>
            </w:pPr>
          </w:p>
        </w:tc>
      </w:tr>
      <w:tr w:rsidR="009B4DB4" w:rsidRPr="00B46053" w:rsidTr="009B4DB4">
        <w:trPr>
          <w:trHeight w:val="555"/>
        </w:trPr>
        <w:tc>
          <w:tcPr>
            <w:tcW w:w="1229" w:type="pct"/>
            <w:vMerge/>
            <w:tcBorders>
              <w:bottom w:val="single" w:sz="4" w:space="0" w:color="auto"/>
            </w:tcBorders>
          </w:tcPr>
          <w:p w:rsidR="009B4DB4" w:rsidRPr="00B46053" w:rsidRDefault="009B4DB4" w:rsidP="00401CD8">
            <w:pPr>
              <w:jc w:val="left"/>
              <w:rPr>
                <w:rFonts w:ascii="Arial" w:hAnsi="Arial" w:cs="Arial"/>
                <w:sz w:val="24"/>
                <w:szCs w:val="24"/>
              </w:rPr>
            </w:pPr>
          </w:p>
        </w:tc>
        <w:tc>
          <w:tcPr>
            <w:tcW w:w="529" w:type="pct"/>
            <w:vMerge/>
            <w:tcBorders>
              <w:bottom w:val="single" w:sz="4" w:space="0" w:color="auto"/>
            </w:tcBorders>
          </w:tcPr>
          <w:p w:rsidR="009B4DB4" w:rsidRDefault="009B4DB4" w:rsidP="00C82F88">
            <w:pPr>
              <w:jc w:val="right"/>
              <w:rPr>
                <w:rFonts w:ascii="Arial" w:hAnsi="Arial" w:cs="Arial"/>
                <w:sz w:val="24"/>
                <w:szCs w:val="24"/>
              </w:rPr>
            </w:pPr>
          </w:p>
        </w:tc>
        <w:tc>
          <w:tcPr>
            <w:tcW w:w="689" w:type="pct"/>
            <w:vMerge/>
            <w:tcBorders>
              <w:bottom w:val="single" w:sz="4" w:space="0" w:color="auto"/>
            </w:tcBorders>
          </w:tcPr>
          <w:p w:rsidR="009B4DB4" w:rsidRDefault="009B4DB4" w:rsidP="00C82F88">
            <w:pPr>
              <w:jc w:val="right"/>
              <w:rPr>
                <w:rFonts w:ascii="Arial" w:hAnsi="Arial" w:cs="Arial"/>
                <w:sz w:val="24"/>
                <w:szCs w:val="24"/>
              </w:rPr>
            </w:pPr>
          </w:p>
        </w:tc>
        <w:tc>
          <w:tcPr>
            <w:tcW w:w="636" w:type="pct"/>
            <w:vMerge/>
            <w:tcBorders>
              <w:bottom w:val="single" w:sz="4" w:space="0" w:color="auto"/>
            </w:tcBorders>
            <w:vAlign w:val="bottom"/>
          </w:tcPr>
          <w:p w:rsidR="009B4DB4" w:rsidRPr="00B46053" w:rsidRDefault="009B4DB4" w:rsidP="00AB042A">
            <w:pPr>
              <w:jc w:val="right"/>
              <w:rPr>
                <w:rFonts w:ascii="Arial" w:hAnsi="Arial" w:cs="Arial"/>
                <w:sz w:val="24"/>
                <w:szCs w:val="24"/>
              </w:rPr>
            </w:pPr>
          </w:p>
        </w:tc>
        <w:tc>
          <w:tcPr>
            <w:tcW w:w="689" w:type="pct"/>
            <w:vMerge/>
            <w:tcBorders>
              <w:bottom w:val="single" w:sz="4" w:space="0" w:color="auto"/>
            </w:tcBorders>
            <w:vAlign w:val="bottom"/>
          </w:tcPr>
          <w:p w:rsidR="009B4DB4" w:rsidRPr="00B46053" w:rsidRDefault="009B4DB4" w:rsidP="00C82F88">
            <w:pPr>
              <w:jc w:val="right"/>
              <w:rPr>
                <w:rFonts w:ascii="Arial" w:hAnsi="Arial" w:cs="Arial"/>
                <w:sz w:val="24"/>
                <w:szCs w:val="24"/>
              </w:rPr>
            </w:pPr>
          </w:p>
        </w:tc>
        <w:tc>
          <w:tcPr>
            <w:tcW w:w="664" w:type="pct"/>
            <w:tcBorders>
              <w:bottom w:val="single" w:sz="4" w:space="0" w:color="auto"/>
            </w:tcBorders>
          </w:tcPr>
          <w:p w:rsidR="009B4DB4" w:rsidRDefault="009B4DB4" w:rsidP="00C82F88">
            <w:pPr>
              <w:jc w:val="right"/>
              <w:rPr>
                <w:rFonts w:ascii="Arial" w:hAnsi="Arial" w:cs="Arial"/>
                <w:b/>
                <w:sz w:val="24"/>
                <w:szCs w:val="24"/>
              </w:rPr>
            </w:pPr>
          </w:p>
          <w:p w:rsidR="009B4DB4" w:rsidRDefault="009B4DB4" w:rsidP="00C82F88">
            <w:pPr>
              <w:jc w:val="right"/>
              <w:rPr>
                <w:rFonts w:ascii="Arial" w:hAnsi="Arial" w:cs="Arial"/>
                <w:b/>
                <w:sz w:val="24"/>
                <w:szCs w:val="24"/>
              </w:rPr>
            </w:pPr>
            <w:r>
              <w:rPr>
                <w:rFonts w:ascii="Arial" w:hAnsi="Arial" w:cs="Arial"/>
                <w:b/>
                <w:sz w:val="24"/>
                <w:szCs w:val="24"/>
              </w:rPr>
              <w:t>2012/13</w:t>
            </w:r>
          </w:p>
        </w:tc>
        <w:tc>
          <w:tcPr>
            <w:tcW w:w="564" w:type="pct"/>
            <w:tcBorders>
              <w:bottom w:val="single" w:sz="4" w:space="0" w:color="auto"/>
            </w:tcBorders>
          </w:tcPr>
          <w:p w:rsidR="009B4DB4" w:rsidRDefault="009B4DB4" w:rsidP="00C82F88">
            <w:pPr>
              <w:jc w:val="right"/>
              <w:rPr>
                <w:rFonts w:ascii="Arial" w:hAnsi="Arial" w:cs="Arial"/>
                <w:sz w:val="24"/>
                <w:szCs w:val="24"/>
              </w:rPr>
            </w:pPr>
          </w:p>
          <w:p w:rsidR="009B4DB4" w:rsidRDefault="009B4DB4" w:rsidP="00C82F88">
            <w:pPr>
              <w:jc w:val="right"/>
              <w:rPr>
                <w:rFonts w:ascii="Arial" w:hAnsi="Arial" w:cs="Arial"/>
                <w:sz w:val="24"/>
                <w:szCs w:val="24"/>
              </w:rPr>
            </w:pPr>
            <w:r w:rsidRPr="00B46053">
              <w:rPr>
                <w:rFonts w:ascii="Arial" w:hAnsi="Arial" w:cs="Arial"/>
                <w:sz w:val="24"/>
                <w:szCs w:val="24"/>
              </w:rPr>
              <w:t>20</w:t>
            </w:r>
            <w:r>
              <w:rPr>
                <w:rFonts w:ascii="Arial" w:hAnsi="Arial" w:cs="Arial"/>
                <w:sz w:val="24"/>
                <w:szCs w:val="24"/>
              </w:rPr>
              <w:t>11</w:t>
            </w:r>
            <w:r w:rsidRPr="00B46053">
              <w:rPr>
                <w:rFonts w:ascii="Arial" w:hAnsi="Arial" w:cs="Arial"/>
                <w:sz w:val="24"/>
                <w:szCs w:val="24"/>
              </w:rPr>
              <w:t>/1</w:t>
            </w:r>
            <w:r>
              <w:rPr>
                <w:rFonts w:ascii="Arial" w:hAnsi="Arial" w:cs="Arial"/>
                <w:sz w:val="24"/>
                <w:szCs w:val="24"/>
              </w:rPr>
              <w:t>2</w:t>
            </w:r>
          </w:p>
        </w:tc>
      </w:tr>
      <w:tr w:rsidR="00AB042A" w:rsidRPr="00B46053" w:rsidTr="002D24D5">
        <w:tc>
          <w:tcPr>
            <w:tcW w:w="1229" w:type="pct"/>
            <w:tcBorders>
              <w:top w:val="single" w:sz="4" w:space="0" w:color="auto"/>
            </w:tcBorders>
          </w:tcPr>
          <w:p w:rsidR="00600993" w:rsidRPr="00B46053" w:rsidRDefault="00600993" w:rsidP="00401CD8">
            <w:pPr>
              <w:jc w:val="left"/>
              <w:rPr>
                <w:rFonts w:ascii="Arial" w:hAnsi="Arial" w:cs="Arial"/>
                <w:sz w:val="24"/>
                <w:szCs w:val="24"/>
              </w:rPr>
            </w:pPr>
            <w:r w:rsidRPr="00B46053">
              <w:rPr>
                <w:rFonts w:ascii="Arial" w:hAnsi="Arial" w:cs="Arial"/>
                <w:sz w:val="24"/>
                <w:szCs w:val="24"/>
              </w:rPr>
              <w:t>UK</w:t>
            </w:r>
          </w:p>
        </w:tc>
        <w:tc>
          <w:tcPr>
            <w:tcW w:w="529" w:type="pct"/>
            <w:tcBorders>
              <w:top w:val="single" w:sz="4" w:space="0" w:color="auto"/>
            </w:tcBorders>
            <w:shd w:val="clear" w:color="auto" w:fill="auto"/>
          </w:tcPr>
          <w:p w:rsidR="00600993" w:rsidRPr="00A93D11" w:rsidRDefault="00600993" w:rsidP="00C82F88">
            <w:pPr>
              <w:jc w:val="right"/>
              <w:rPr>
                <w:rFonts w:ascii="Arial" w:hAnsi="Arial" w:cs="Arial"/>
                <w:sz w:val="24"/>
                <w:szCs w:val="24"/>
              </w:rPr>
            </w:pPr>
            <w:r w:rsidRPr="00A93D11">
              <w:rPr>
                <w:rFonts w:ascii="Arial" w:hAnsi="Arial" w:cs="Arial"/>
                <w:sz w:val="24"/>
                <w:szCs w:val="24"/>
              </w:rPr>
              <w:t>4.3</w:t>
            </w:r>
          </w:p>
        </w:tc>
        <w:tc>
          <w:tcPr>
            <w:tcW w:w="689" w:type="pct"/>
            <w:tcBorders>
              <w:top w:val="single" w:sz="4" w:space="0" w:color="auto"/>
            </w:tcBorders>
            <w:shd w:val="clear" w:color="auto" w:fill="auto"/>
          </w:tcPr>
          <w:p w:rsidR="00600993" w:rsidRPr="00A93D11" w:rsidRDefault="00600993" w:rsidP="00C82F88">
            <w:pPr>
              <w:jc w:val="right"/>
              <w:rPr>
                <w:rFonts w:ascii="Arial" w:hAnsi="Arial" w:cs="Arial"/>
                <w:sz w:val="24"/>
                <w:szCs w:val="24"/>
              </w:rPr>
            </w:pPr>
            <w:r>
              <w:rPr>
                <w:rFonts w:ascii="Arial" w:hAnsi="Arial" w:cs="Arial"/>
                <w:sz w:val="24"/>
                <w:szCs w:val="24"/>
              </w:rPr>
              <w:t>41</w:t>
            </w:r>
            <w:r w:rsidRPr="00A93D11">
              <w:rPr>
                <w:rFonts w:ascii="Arial" w:hAnsi="Arial" w:cs="Arial"/>
                <w:sz w:val="24"/>
                <w:szCs w:val="24"/>
              </w:rPr>
              <w:t>%</w:t>
            </w:r>
          </w:p>
        </w:tc>
        <w:tc>
          <w:tcPr>
            <w:tcW w:w="636" w:type="pct"/>
            <w:tcBorders>
              <w:top w:val="single" w:sz="4" w:space="0" w:color="auto"/>
            </w:tcBorders>
            <w:shd w:val="clear" w:color="auto" w:fill="auto"/>
          </w:tcPr>
          <w:p w:rsidR="00600993" w:rsidRPr="0054321D" w:rsidRDefault="00D4133D" w:rsidP="00C82F88">
            <w:pPr>
              <w:jc w:val="right"/>
              <w:rPr>
                <w:rFonts w:ascii="Arial" w:hAnsi="Arial" w:cs="Arial"/>
                <w:sz w:val="24"/>
                <w:szCs w:val="24"/>
              </w:rPr>
            </w:pPr>
            <w:r>
              <w:rPr>
                <w:rFonts w:ascii="Arial" w:hAnsi="Arial" w:cs="Arial"/>
                <w:sz w:val="24"/>
                <w:szCs w:val="24"/>
              </w:rPr>
              <w:t>6.0</w:t>
            </w:r>
          </w:p>
        </w:tc>
        <w:tc>
          <w:tcPr>
            <w:tcW w:w="689" w:type="pct"/>
            <w:tcBorders>
              <w:top w:val="single" w:sz="4" w:space="0" w:color="auto"/>
            </w:tcBorders>
            <w:shd w:val="clear" w:color="auto" w:fill="auto"/>
          </w:tcPr>
          <w:p w:rsidR="00600993" w:rsidRPr="0054321D" w:rsidRDefault="00234ACC" w:rsidP="00C82F88">
            <w:pPr>
              <w:jc w:val="right"/>
              <w:rPr>
                <w:rFonts w:ascii="Arial" w:hAnsi="Arial" w:cs="Arial"/>
                <w:sz w:val="24"/>
                <w:szCs w:val="24"/>
              </w:rPr>
            </w:pPr>
            <w:r>
              <w:rPr>
                <w:rFonts w:ascii="Arial" w:hAnsi="Arial" w:cs="Arial"/>
                <w:sz w:val="24"/>
                <w:szCs w:val="24"/>
              </w:rPr>
              <w:t>48</w:t>
            </w:r>
            <w:r w:rsidR="00600993" w:rsidRPr="0054321D">
              <w:rPr>
                <w:rFonts w:ascii="Arial" w:hAnsi="Arial" w:cs="Arial"/>
                <w:sz w:val="24"/>
                <w:szCs w:val="24"/>
              </w:rPr>
              <w:t>%</w:t>
            </w:r>
          </w:p>
        </w:tc>
        <w:tc>
          <w:tcPr>
            <w:tcW w:w="664" w:type="pct"/>
            <w:tcBorders>
              <w:top w:val="single" w:sz="4" w:space="0" w:color="auto"/>
            </w:tcBorders>
            <w:shd w:val="clear" w:color="auto" w:fill="auto"/>
          </w:tcPr>
          <w:p w:rsidR="00600993" w:rsidRPr="00407551" w:rsidRDefault="00AB042A" w:rsidP="00C82F88">
            <w:pPr>
              <w:jc w:val="right"/>
              <w:rPr>
                <w:rFonts w:ascii="Arial" w:hAnsi="Arial" w:cs="Arial"/>
                <w:b/>
                <w:sz w:val="24"/>
                <w:szCs w:val="24"/>
              </w:rPr>
            </w:pPr>
            <w:r w:rsidRPr="00407551">
              <w:rPr>
                <w:rFonts w:ascii="Arial" w:hAnsi="Arial" w:cs="Arial"/>
                <w:b/>
                <w:sz w:val="24"/>
                <w:szCs w:val="24"/>
              </w:rPr>
              <w:t>(5)</w:t>
            </w:r>
          </w:p>
        </w:tc>
        <w:tc>
          <w:tcPr>
            <w:tcW w:w="564" w:type="pct"/>
            <w:tcBorders>
              <w:top w:val="single" w:sz="4" w:space="0" w:color="auto"/>
            </w:tcBorders>
          </w:tcPr>
          <w:p w:rsidR="00600993" w:rsidRPr="00407551" w:rsidRDefault="00AB042A" w:rsidP="00C82F88">
            <w:pPr>
              <w:jc w:val="right"/>
              <w:rPr>
                <w:rFonts w:ascii="Arial" w:hAnsi="Arial" w:cs="Arial"/>
                <w:sz w:val="24"/>
                <w:szCs w:val="24"/>
              </w:rPr>
            </w:pPr>
            <w:r w:rsidRPr="00407551">
              <w:rPr>
                <w:rFonts w:ascii="Arial" w:hAnsi="Arial" w:cs="Arial"/>
                <w:sz w:val="24"/>
                <w:szCs w:val="24"/>
              </w:rPr>
              <w:t>3</w:t>
            </w:r>
            <w:r w:rsidR="0004034D" w:rsidRPr="00407551">
              <w:rPr>
                <w:rFonts w:ascii="Arial" w:hAnsi="Arial" w:cs="Arial"/>
                <w:sz w:val="24"/>
                <w:szCs w:val="24"/>
              </w:rPr>
              <w:t>2</w:t>
            </w:r>
          </w:p>
        </w:tc>
      </w:tr>
      <w:tr w:rsidR="00AB042A" w:rsidRPr="00B46053" w:rsidTr="002D24D5">
        <w:tc>
          <w:tcPr>
            <w:tcW w:w="1229" w:type="pct"/>
          </w:tcPr>
          <w:p w:rsidR="00600993" w:rsidRPr="00B46053" w:rsidRDefault="00600993" w:rsidP="00401CD8">
            <w:pPr>
              <w:jc w:val="left"/>
              <w:rPr>
                <w:rFonts w:ascii="Arial" w:hAnsi="Arial" w:cs="Arial"/>
                <w:sz w:val="24"/>
                <w:szCs w:val="24"/>
              </w:rPr>
            </w:pPr>
            <w:r w:rsidRPr="00B46053">
              <w:rPr>
                <w:rFonts w:ascii="Arial" w:hAnsi="Arial" w:cs="Arial"/>
                <w:sz w:val="24"/>
                <w:szCs w:val="24"/>
              </w:rPr>
              <w:t xml:space="preserve">France  </w:t>
            </w:r>
          </w:p>
        </w:tc>
        <w:tc>
          <w:tcPr>
            <w:tcW w:w="529" w:type="pct"/>
            <w:shd w:val="clear" w:color="auto" w:fill="auto"/>
          </w:tcPr>
          <w:p w:rsidR="00600993" w:rsidRPr="00A93D11" w:rsidRDefault="00600993" w:rsidP="00C82F88">
            <w:pPr>
              <w:jc w:val="right"/>
              <w:rPr>
                <w:rFonts w:ascii="Arial" w:hAnsi="Arial" w:cs="Arial"/>
                <w:sz w:val="24"/>
                <w:szCs w:val="24"/>
              </w:rPr>
            </w:pPr>
            <w:r>
              <w:rPr>
                <w:rFonts w:ascii="Arial" w:hAnsi="Arial" w:cs="Arial"/>
                <w:sz w:val="24"/>
                <w:szCs w:val="24"/>
              </w:rPr>
              <w:t>4.</w:t>
            </w:r>
            <w:r w:rsidR="0022756D">
              <w:rPr>
                <w:rFonts w:ascii="Arial" w:hAnsi="Arial" w:cs="Arial"/>
                <w:sz w:val="24"/>
                <w:szCs w:val="24"/>
              </w:rPr>
              <w:t>2</w:t>
            </w:r>
          </w:p>
        </w:tc>
        <w:tc>
          <w:tcPr>
            <w:tcW w:w="689" w:type="pct"/>
            <w:shd w:val="clear" w:color="auto" w:fill="auto"/>
          </w:tcPr>
          <w:p w:rsidR="00600993" w:rsidRPr="00A93D11" w:rsidRDefault="00600993" w:rsidP="00C82F88">
            <w:pPr>
              <w:jc w:val="right"/>
              <w:rPr>
                <w:rFonts w:ascii="Arial" w:hAnsi="Arial" w:cs="Arial"/>
                <w:sz w:val="24"/>
                <w:szCs w:val="24"/>
              </w:rPr>
            </w:pPr>
            <w:r>
              <w:rPr>
                <w:rFonts w:ascii="Arial" w:hAnsi="Arial" w:cs="Arial"/>
                <w:sz w:val="24"/>
                <w:szCs w:val="24"/>
              </w:rPr>
              <w:t>39</w:t>
            </w:r>
            <w:r w:rsidRPr="00A93D11">
              <w:rPr>
                <w:rFonts w:ascii="Arial" w:hAnsi="Arial" w:cs="Arial"/>
                <w:sz w:val="24"/>
                <w:szCs w:val="24"/>
              </w:rPr>
              <w:t>%</w:t>
            </w:r>
          </w:p>
        </w:tc>
        <w:tc>
          <w:tcPr>
            <w:tcW w:w="636" w:type="pct"/>
            <w:shd w:val="clear" w:color="auto" w:fill="auto"/>
          </w:tcPr>
          <w:p w:rsidR="00600993" w:rsidRPr="0054321D" w:rsidRDefault="00600993" w:rsidP="00C82F88">
            <w:pPr>
              <w:jc w:val="right"/>
              <w:rPr>
                <w:rFonts w:ascii="Arial" w:hAnsi="Arial" w:cs="Arial"/>
                <w:sz w:val="24"/>
                <w:szCs w:val="24"/>
              </w:rPr>
            </w:pPr>
            <w:r>
              <w:rPr>
                <w:rFonts w:ascii="Arial" w:hAnsi="Arial" w:cs="Arial"/>
                <w:sz w:val="24"/>
                <w:szCs w:val="24"/>
              </w:rPr>
              <w:t>2.</w:t>
            </w:r>
            <w:r w:rsidR="00974015">
              <w:rPr>
                <w:rFonts w:ascii="Arial" w:hAnsi="Arial" w:cs="Arial"/>
                <w:sz w:val="24"/>
                <w:szCs w:val="24"/>
              </w:rPr>
              <w:t>2</w:t>
            </w:r>
          </w:p>
        </w:tc>
        <w:tc>
          <w:tcPr>
            <w:tcW w:w="689" w:type="pct"/>
            <w:shd w:val="clear" w:color="auto" w:fill="auto"/>
          </w:tcPr>
          <w:p w:rsidR="00600993" w:rsidRPr="0054321D" w:rsidRDefault="00234ACC" w:rsidP="00C82F88">
            <w:pPr>
              <w:jc w:val="right"/>
              <w:rPr>
                <w:rFonts w:ascii="Arial" w:hAnsi="Arial" w:cs="Arial"/>
                <w:sz w:val="24"/>
                <w:szCs w:val="24"/>
              </w:rPr>
            </w:pPr>
            <w:r>
              <w:rPr>
                <w:rFonts w:ascii="Arial" w:hAnsi="Arial" w:cs="Arial"/>
                <w:sz w:val="24"/>
                <w:szCs w:val="24"/>
              </w:rPr>
              <w:t>18</w:t>
            </w:r>
            <w:r w:rsidR="00600993" w:rsidRPr="0054321D">
              <w:rPr>
                <w:rFonts w:ascii="Arial" w:hAnsi="Arial" w:cs="Arial"/>
                <w:sz w:val="24"/>
                <w:szCs w:val="24"/>
              </w:rPr>
              <w:t>%</w:t>
            </w:r>
          </w:p>
        </w:tc>
        <w:tc>
          <w:tcPr>
            <w:tcW w:w="664" w:type="pct"/>
            <w:shd w:val="clear" w:color="auto" w:fill="auto"/>
          </w:tcPr>
          <w:p w:rsidR="00600993" w:rsidRPr="00407551" w:rsidRDefault="00AB042A" w:rsidP="0095518B">
            <w:pPr>
              <w:jc w:val="right"/>
              <w:rPr>
                <w:rFonts w:ascii="Arial" w:hAnsi="Arial" w:cs="Arial"/>
                <w:b/>
                <w:sz w:val="24"/>
                <w:szCs w:val="24"/>
              </w:rPr>
            </w:pPr>
            <w:r w:rsidRPr="00407551">
              <w:rPr>
                <w:rFonts w:ascii="Arial" w:hAnsi="Arial" w:cs="Arial"/>
                <w:b/>
                <w:sz w:val="24"/>
                <w:szCs w:val="24"/>
              </w:rPr>
              <w:t>1</w:t>
            </w:r>
            <w:r w:rsidR="00A749C4">
              <w:rPr>
                <w:rFonts w:ascii="Arial" w:hAnsi="Arial" w:cs="Arial"/>
                <w:b/>
                <w:sz w:val="24"/>
                <w:szCs w:val="24"/>
              </w:rPr>
              <w:t>5</w:t>
            </w:r>
            <w:r w:rsidRPr="00407551">
              <w:rPr>
                <w:rFonts w:ascii="Arial" w:hAnsi="Arial" w:cs="Arial"/>
                <w:b/>
                <w:sz w:val="24"/>
                <w:szCs w:val="24"/>
              </w:rPr>
              <w:t>0</w:t>
            </w:r>
          </w:p>
        </w:tc>
        <w:tc>
          <w:tcPr>
            <w:tcW w:w="564" w:type="pct"/>
          </w:tcPr>
          <w:p w:rsidR="00600993" w:rsidRPr="00407551" w:rsidRDefault="00AB042A" w:rsidP="00C82F88">
            <w:pPr>
              <w:jc w:val="right"/>
              <w:rPr>
                <w:rFonts w:ascii="Arial" w:hAnsi="Arial" w:cs="Arial"/>
                <w:sz w:val="24"/>
                <w:szCs w:val="24"/>
              </w:rPr>
            </w:pPr>
            <w:r w:rsidRPr="00407551">
              <w:rPr>
                <w:rFonts w:ascii="Arial" w:hAnsi="Arial" w:cs="Arial"/>
                <w:sz w:val="24"/>
                <w:szCs w:val="24"/>
              </w:rPr>
              <w:t>1</w:t>
            </w:r>
            <w:r w:rsidR="00407551">
              <w:rPr>
                <w:rFonts w:ascii="Arial" w:hAnsi="Arial" w:cs="Arial"/>
                <w:sz w:val="24"/>
                <w:szCs w:val="24"/>
              </w:rPr>
              <w:t>66</w:t>
            </w:r>
          </w:p>
        </w:tc>
      </w:tr>
      <w:tr w:rsidR="00A749C4" w:rsidRPr="003E4860" w:rsidTr="009618C2">
        <w:tc>
          <w:tcPr>
            <w:tcW w:w="1229" w:type="pct"/>
          </w:tcPr>
          <w:p w:rsidR="00A749C4" w:rsidRPr="00A749C4" w:rsidRDefault="00A749C4" w:rsidP="00401CD8">
            <w:pPr>
              <w:jc w:val="left"/>
              <w:rPr>
                <w:rFonts w:ascii="Arial" w:hAnsi="Arial" w:cs="Arial"/>
                <w:sz w:val="24"/>
                <w:szCs w:val="24"/>
              </w:rPr>
            </w:pPr>
            <w:r>
              <w:rPr>
                <w:rFonts w:ascii="Arial" w:hAnsi="Arial" w:cs="Arial"/>
                <w:sz w:val="24"/>
                <w:szCs w:val="24"/>
              </w:rPr>
              <w:t>Other International</w:t>
            </w:r>
          </w:p>
        </w:tc>
        <w:tc>
          <w:tcPr>
            <w:tcW w:w="529" w:type="pct"/>
            <w:shd w:val="clear" w:color="auto" w:fill="auto"/>
          </w:tcPr>
          <w:p w:rsidR="00A749C4" w:rsidRPr="00A749C4" w:rsidRDefault="00A749C4" w:rsidP="00C82F88">
            <w:pPr>
              <w:jc w:val="right"/>
              <w:rPr>
                <w:rFonts w:ascii="Arial" w:hAnsi="Arial" w:cs="Arial"/>
                <w:sz w:val="24"/>
                <w:szCs w:val="24"/>
              </w:rPr>
            </w:pPr>
            <w:r>
              <w:rPr>
                <w:rFonts w:ascii="Arial" w:hAnsi="Arial" w:cs="Arial"/>
                <w:sz w:val="24"/>
                <w:szCs w:val="24"/>
              </w:rPr>
              <w:t>2.1</w:t>
            </w:r>
          </w:p>
        </w:tc>
        <w:tc>
          <w:tcPr>
            <w:tcW w:w="689" w:type="pct"/>
            <w:shd w:val="clear" w:color="auto" w:fill="auto"/>
          </w:tcPr>
          <w:p w:rsidR="00A749C4" w:rsidRPr="00A749C4" w:rsidRDefault="00A749C4" w:rsidP="00C82F88">
            <w:pPr>
              <w:jc w:val="right"/>
              <w:rPr>
                <w:rFonts w:ascii="Arial" w:hAnsi="Arial" w:cs="Arial"/>
                <w:sz w:val="24"/>
                <w:szCs w:val="24"/>
              </w:rPr>
            </w:pPr>
            <w:r>
              <w:rPr>
                <w:rFonts w:ascii="Arial" w:hAnsi="Arial" w:cs="Arial"/>
                <w:sz w:val="24"/>
                <w:szCs w:val="24"/>
              </w:rPr>
              <w:t>20%</w:t>
            </w:r>
          </w:p>
        </w:tc>
        <w:tc>
          <w:tcPr>
            <w:tcW w:w="636" w:type="pct"/>
            <w:shd w:val="clear" w:color="auto" w:fill="auto"/>
          </w:tcPr>
          <w:p w:rsidR="00A749C4" w:rsidRPr="00A749C4" w:rsidRDefault="00A749C4" w:rsidP="00C82F88">
            <w:pPr>
              <w:jc w:val="right"/>
              <w:rPr>
                <w:rFonts w:ascii="Arial" w:hAnsi="Arial" w:cs="Arial"/>
                <w:sz w:val="24"/>
                <w:szCs w:val="24"/>
              </w:rPr>
            </w:pPr>
            <w:r>
              <w:rPr>
                <w:rFonts w:ascii="Arial" w:hAnsi="Arial" w:cs="Arial"/>
                <w:sz w:val="24"/>
                <w:szCs w:val="24"/>
              </w:rPr>
              <w:t>1.4</w:t>
            </w:r>
          </w:p>
        </w:tc>
        <w:tc>
          <w:tcPr>
            <w:tcW w:w="689" w:type="pct"/>
            <w:shd w:val="clear" w:color="auto" w:fill="auto"/>
          </w:tcPr>
          <w:p w:rsidR="00A749C4" w:rsidRPr="00A749C4" w:rsidRDefault="00234ACC" w:rsidP="00C82F88">
            <w:pPr>
              <w:jc w:val="right"/>
              <w:rPr>
                <w:rFonts w:ascii="Arial" w:hAnsi="Arial" w:cs="Arial"/>
                <w:sz w:val="24"/>
                <w:szCs w:val="24"/>
              </w:rPr>
            </w:pPr>
            <w:r>
              <w:rPr>
                <w:rFonts w:ascii="Arial" w:hAnsi="Arial" w:cs="Arial"/>
                <w:sz w:val="24"/>
                <w:szCs w:val="24"/>
              </w:rPr>
              <w:t>12</w:t>
            </w:r>
            <w:r w:rsidR="00A749C4">
              <w:rPr>
                <w:rFonts w:ascii="Arial" w:hAnsi="Arial" w:cs="Arial"/>
                <w:sz w:val="24"/>
                <w:szCs w:val="24"/>
              </w:rPr>
              <w:t>%</w:t>
            </w:r>
          </w:p>
        </w:tc>
        <w:tc>
          <w:tcPr>
            <w:tcW w:w="664" w:type="pct"/>
            <w:shd w:val="clear" w:color="auto" w:fill="auto"/>
          </w:tcPr>
          <w:p w:rsidR="00A749C4" w:rsidRPr="00A749C4" w:rsidRDefault="00A749C4" w:rsidP="00C82F88">
            <w:pPr>
              <w:jc w:val="right"/>
              <w:rPr>
                <w:rFonts w:ascii="Arial" w:hAnsi="Arial" w:cs="Arial"/>
                <w:b/>
                <w:sz w:val="24"/>
                <w:szCs w:val="24"/>
              </w:rPr>
            </w:pPr>
            <w:r>
              <w:rPr>
                <w:rFonts w:ascii="Arial" w:hAnsi="Arial" w:cs="Arial"/>
                <w:b/>
                <w:sz w:val="24"/>
                <w:szCs w:val="24"/>
              </w:rPr>
              <w:t>37</w:t>
            </w:r>
          </w:p>
        </w:tc>
        <w:tc>
          <w:tcPr>
            <w:tcW w:w="564" w:type="pct"/>
          </w:tcPr>
          <w:p w:rsidR="00A749C4" w:rsidRPr="00A749C4" w:rsidRDefault="00A749C4" w:rsidP="00C82F88">
            <w:pPr>
              <w:jc w:val="right"/>
              <w:rPr>
                <w:rFonts w:ascii="Arial" w:hAnsi="Arial" w:cs="Arial"/>
                <w:sz w:val="24"/>
                <w:szCs w:val="24"/>
              </w:rPr>
            </w:pPr>
            <w:r>
              <w:rPr>
                <w:rFonts w:ascii="Arial" w:hAnsi="Arial" w:cs="Arial"/>
                <w:sz w:val="24"/>
                <w:szCs w:val="24"/>
              </w:rPr>
              <w:t>59</w:t>
            </w:r>
          </w:p>
        </w:tc>
      </w:tr>
      <w:tr w:rsidR="00A749C4" w:rsidRPr="003E4860" w:rsidTr="009618C2">
        <w:tc>
          <w:tcPr>
            <w:tcW w:w="1229" w:type="pct"/>
            <w:tcBorders>
              <w:bottom w:val="single" w:sz="4" w:space="0" w:color="auto"/>
            </w:tcBorders>
          </w:tcPr>
          <w:p w:rsidR="00A749C4" w:rsidRPr="00A749C4" w:rsidRDefault="00A749C4" w:rsidP="00401CD8">
            <w:pPr>
              <w:jc w:val="left"/>
              <w:rPr>
                <w:rFonts w:ascii="Arial" w:hAnsi="Arial" w:cs="Arial"/>
                <w:sz w:val="24"/>
                <w:szCs w:val="24"/>
              </w:rPr>
            </w:pPr>
            <w:r>
              <w:rPr>
                <w:rFonts w:ascii="Arial" w:hAnsi="Arial" w:cs="Arial"/>
                <w:sz w:val="24"/>
                <w:szCs w:val="24"/>
              </w:rPr>
              <w:t xml:space="preserve">Goodwill &amp; </w:t>
            </w:r>
            <w:r w:rsidR="000F4BB3">
              <w:rPr>
                <w:rFonts w:ascii="Arial" w:hAnsi="Arial" w:cs="Arial"/>
                <w:sz w:val="24"/>
                <w:szCs w:val="24"/>
              </w:rPr>
              <w:t>C</w:t>
            </w:r>
            <w:r>
              <w:rPr>
                <w:rFonts w:ascii="Arial" w:hAnsi="Arial" w:cs="Arial"/>
                <w:sz w:val="24"/>
                <w:szCs w:val="24"/>
              </w:rPr>
              <w:t>entral</w:t>
            </w:r>
          </w:p>
        </w:tc>
        <w:tc>
          <w:tcPr>
            <w:tcW w:w="529" w:type="pct"/>
            <w:tcBorders>
              <w:bottom w:val="single" w:sz="4" w:space="0" w:color="auto"/>
            </w:tcBorders>
            <w:shd w:val="clear" w:color="auto" w:fill="auto"/>
          </w:tcPr>
          <w:p w:rsidR="00A749C4" w:rsidRPr="00A749C4" w:rsidRDefault="00A749C4" w:rsidP="00C82F88">
            <w:pPr>
              <w:jc w:val="right"/>
              <w:rPr>
                <w:rFonts w:ascii="Arial" w:hAnsi="Arial" w:cs="Arial"/>
                <w:sz w:val="24"/>
                <w:szCs w:val="24"/>
              </w:rPr>
            </w:pPr>
            <w:r>
              <w:rPr>
                <w:rFonts w:ascii="Arial" w:hAnsi="Arial" w:cs="Arial"/>
                <w:sz w:val="24"/>
                <w:szCs w:val="24"/>
              </w:rPr>
              <w:t>n/a</w:t>
            </w:r>
          </w:p>
        </w:tc>
        <w:tc>
          <w:tcPr>
            <w:tcW w:w="689" w:type="pct"/>
            <w:tcBorders>
              <w:bottom w:val="single" w:sz="4" w:space="0" w:color="auto"/>
            </w:tcBorders>
            <w:shd w:val="clear" w:color="auto" w:fill="auto"/>
          </w:tcPr>
          <w:p w:rsidR="00A749C4" w:rsidRPr="00A749C4" w:rsidRDefault="00A749C4" w:rsidP="00C82F88">
            <w:pPr>
              <w:jc w:val="right"/>
              <w:rPr>
                <w:rFonts w:ascii="Arial" w:hAnsi="Arial" w:cs="Arial"/>
                <w:sz w:val="24"/>
                <w:szCs w:val="24"/>
              </w:rPr>
            </w:pPr>
            <w:r>
              <w:rPr>
                <w:rFonts w:ascii="Arial" w:hAnsi="Arial" w:cs="Arial"/>
                <w:sz w:val="24"/>
                <w:szCs w:val="24"/>
              </w:rPr>
              <w:t>n/a</w:t>
            </w:r>
          </w:p>
        </w:tc>
        <w:tc>
          <w:tcPr>
            <w:tcW w:w="636" w:type="pct"/>
            <w:tcBorders>
              <w:bottom w:val="single" w:sz="4" w:space="0" w:color="auto"/>
            </w:tcBorders>
            <w:shd w:val="clear" w:color="auto" w:fill="auto"/>
          </w:tcPr>
          <w:p w:rsidR="00A749C4" w:rsidRPr="00234ACC" w:rsidRDefault="00234ACC" w:rsidP="00C82F88">
            <w:pPr>
              <w:jc w:val="right"/>
              <w:rPr>
                <w:rFonts w:ascii="Arial" w:hAnsi="Arial" w:cs="Arial"/>
                <w:sz w:val="24"/>
                <w:szCs w:val="24"/>
              </w:rPr>
            </w:pPr>
            <w:r w:rsidRPr="009618C2">
              <w:rPr>
                <w:rFonts w:ascii="Arial" w:hAnsi="Arial" w:cs="Arial"/>
                <w:sz w:val="24"/>
                <w:szCs w:val="24"/>
              </w:rPr>
              <w:t>2.</w:t>
            </w:r>
            <w:r w:rsidR="00D4133D">
              <w:rPr>
                <w:rFonts w:ascii="Arial" w:hAnsi="Arial" w:cs="Arial"/>
                <w:sz w:val="24"/>
                <w:szCs w:val="24"/>
              </w:rPr>
              <w:t>4</w:t>
            </w:r>
          </w:p>
        </w:tc>
        <w:tc>
          <w:tcPr>
            <w:tcW w:w="689" w:type="pct"/>
            <w:tcBorders>
              <w:bottom w:val="single" w:sz="4" w:space="0" w:color="auto"/>
            </w:tcBorders>
            <w:shd w:val="clear" w:color="auto" w:fill="auto"/>
          </w:tcPr>
          <w:p w:rsidR="00A749C4" w:rsidRPr="00234ACC" w:rsidRDefault="00234ACC">
            <w:pPr>
              <w:jc w:val="right"/>
              <w:rPr>
                <w:rFonts w:ascii="Arial" w:hAnsi="Arial" w:cs="Arial"/>
                <w:sz w:val="24"/>
                <w:szCs w:val="24"/>
              </w:rPr>
            </w:pPr>
            <w:r>
              <w:rPr>
                <w:rFonts w:ascii="Arial" w:hAnsi="Arial" w:cs="Arial"/>
                <w:sz w:val="24"/>
                <w:szCs w:val="24"/>
              </w:rPr>
              <w:t>22</w:t>
            </w:r>
            <w:r w:rsidR="00144892" w:rsidRPr="00234ACC">
              <w:rPr>
                <w:rFonts w:ascii="Arial" w:hAnsi="Arial" w:cs="Arial"/>
                <w:sz w:val="24"/>
                <w:szCs w:val="24"/>
              </w:rPr>
              <w:t>%</w:t>
            </w:r>
          </w:p>
        </w:tc>
        <w:tc>
          <w:tcPr>
            <w:tcW w:w="664" w:type="pct"/>
            <w:tcBorders>
              <w:bottom w:val="single" w:sz="4" w:space="0" w:color="auto"/>
            </w:tcBorders>
            <w:shd w:val="clear" w:color="auto" w:fill="auto"/>
          </w:tcPr>
          <w:p w:rsidR="00A749C4" w:rsidRPr="00A749C4" w:rsidRDefault="00A749C4" w:rsidP="00C82F88">
            <w:pPr>
              <w:jc w:val="right"/>
              <w:rPr>
                <w:rFonts w:ascii="Arial" w:hAnsi="Arial" w:cs="Arial"/>
                <w:b/>
                <w:sz w:val="24"/>
                <w:szCs w:val="24"/>
              </w:rPr>
            </w:pPr>
            <w:r>
              <w:rPr>
                <w:rFonts w:ascii="Arial" w:hAnsi="Arial" w:cs="Arial"/>
                <w:b/>
                <w:sz w:val="24"/>
                <w:szCs w:val="24"/>
              </w:rPr>
              <w:t>(13</w:t>
            </w:r>
            <w:r w:rsidR="00F45FAA">
              <w:rPr>
                <w:rFonts w:ascii="Arial" w:hAnsi="Arial" w:cs="Arial"/>
                <w:b/>
                <w:sz w:val="24"/>
                <w:szCs w:val="24"/>
              </w:rPr>
              <w:t>8</w:t>
            </w:r>
            <w:r>
              <w:rPr>
                <w:rFonts w:ascii="Arial" w:hAnsi="Arial" w:cs="Arial"/>
                <w:b/>
                <w:sz w:val="24"/>
                <w:szCs w:val="24"/>
              </w:rPr>
              <w:t>)</w:t>
            </w:r>
          </w:p>
        </w:tc>
        <w:tc>
          <w:tcPr>
            <w:tcW w:w="564" w:type="pct"/>
            <w:tcBorders>
              <w:bottom w:val="single" w:sz="4" w:space="0" w:color="auto"/>
            </w:tcBorders>
          </w:tcPr>
          <w:p w:rsidR="00A749C4" w:rsidRPr="00A749C4" w:rsidRDefault="0022756D" w:rsidP="00C82F88">
            <w:pPr>
              <w:jc w:val="right"/>
              <w:rPr>
                <w:rFonts w:ascii="Arial" w:hAnsi="Arial" w:cs="Arial"/>
                <w:sz w:val="24"/>
                <w:szCs w:val="24"/>
              </w:rPr>
            </w:pPr>
            <w:r>
              <w:rPr>
                <w:rFonts w:ascii="Arial" w:hAnsi="Arial" w:cs="Arial"/>
                <w:sz w:val="24"/>
                <w:szCs w:val="24"/>
              </w:rPr>
              <w:t>(126)</w:t>
            </w:r>
          </w:p>
        </w:tc>
      </w:tr>
      <w:tr w:rsidR="00AB042A" w:rsidRPr="003E4860" w:rsidTr="009618C2">
        <w:tc>
          <w:tcPr>
            <w:tcW w:w="1229" w:type="pct"/>
            <w:tcBorders>
              <w:top w:val="single" w:sz="4" w:space="0" w:color="auto"/>
              <w:bottom w:val="single" w:sz="4" w:space="0" w:color="auto"/>
            </w:tcBorders>
          </w:tcPr>
          <w:p w:rsidR="003E4860" w:rsidRPr="00A749C4" w:rsidRDefault="00A749C4" w:rsidP="00401CD8">
            <w:pPr>
              <w:jc w:val="left"/>
              <w:rPr>
                <w:rFonts w:ascii="Arial" w:hAnsi="Arial" w:cs="Arial"/>
                <w:sz w:val="24"/>
                <w:szCs w:val="24"/>
              </w:rPr>
            </w:pPr>
            <w:r>
              <w:rPr>
                <w:rFonts w:ascii="Arial" w:hAnsi="Arial" w:cs="Arial"/>
                <w:b/>
                <w:sz w:val="24"/>
                <w:szCs w:val="24"/>
              </w:rPr>
              <w:t>T</w:t>
            </w:r>
            <w:r w:rsidR="003E4860" w:rsidRPr="009618C2">
              <w:rPr>
                <w:rFonts w:ascii="Arial" w:hAnsi="Arial" w:cs="Arial"/>
                <w:b/>
                <w:sz w:val="24"/>
                <w:szCs w:val="24"/>
              </w:rPr>
              <w:t>otal</w:t>
            </w:r>
          </w:p>
        </w:tc>
        <w:tc>
          <w:tcPr>
            <w:tcW w:w="529" w:type="pct"/>
            <w:tcBorders>
              <w:top w:val="single" w:sz="4" w:space="0" w:color="auto"/>
              <w:bottom w:val="single" w:sz="4" w:space="0" w:color="auto"/>
            </w:tcBorders>
            <w:shd w:val="clear" w:color="auto" w:fill="auto"/>
          </w:tcPr>
          <w:p w:rsidR="00CE6F37" w:rsidRPr="00A749C4" w:rsidRDefault="0022756D" w:rsidP="00C82F88">
            <w:pPr>
              <w:jc w:val="right"/>
              <w:rPr>
                <w:rFonts w:ascii="Arial" w:hAnsi="Arial" w:cs="Arial"/>
                <w:sz w:val="24"/>
                <w:szCs w:val="24"/>
              </w:rPr>
            </w:pPr>
            <w:r>
              <w:rPr>
                <w:rFonts w:ascii="Arial" w:hAnsi="Arial" w:cs="Arial"/>
                <w:sz w:val="24"/>
                <w:szCs w:val="24"/>
              </w:rPr>
              <w:t>10.6</w:t>
            </w:r>
          </w:p>
        </w:tc>
        <w:tc>
          <w:tcPr>
            <w:tcW w:w="689" w:type="pct"/>
            <w:tcBorders>
              <w:top w:val="single" w:sz="4" w:space="0" w:color="auto"/>
              <w:bottom w:val="single" w:sz="4" w:space="0" w:color="auto"/>
            </w:tcBorders>
            <w:shd w:val="clear" w:color="auto" w:fill="auto"/>
          </w:tcPr>
          <w:p w:rsidR="00CE6F37" w:rsidRPr="00A749C4" w:rsidRDefault="00CE6F37" w:rsidP="00C82F88">
            <w:pPr>
              <w:jc w:val="right"/>
              <w:rPr>
                <w:rFonts w:ascii="Arial" w:hAnsi="Arial" w:cs="Arial"/>
                <w:sz w:val="24"/>
                <w:szCs w:val="24"/>
              </w:rPr>
            </w:pPr>
          </w:p>
        </w:tc>
        <w:tc>
          <w:tcPr>
            <w:tcW w:w="636" w:type="pct"/>
            <w:tcBorders>
              <w:top w:val="single" w:sz="4" w:space="0" w:color="auto"/>
              <w:bottom w:val="single" w:sz="4" w:space="0" w:color="auto"/>
            </w:tcBorders>
            <w:shd w:val="clear" w:color="auto" w:fill="auto"/>
          </w:tcPr>
          <w:p w:rsidR="003E4860" w:rsidRPr="00A749C4" w:rsidRDefault="00234ACC" w:rsidP="00C82F88">
            <w:pPr>
              <w:jc w:val="right"/>
              <w:rPr>
                <w:rFonts w:ascii="Arial" w:hAnsi="Arial" w:cs="Arial"/>
                <w:sz w:val="24"/>
                <w:szCs w:val="24"/>
              </w:rPr>
            </w:pPr>
            <w:r>
              <w:rPr>
                <w:rFonts w:ascii="Arial" w:hAnsi="Arial" w:cs="Arial"/>
                <w:sz w:val="24"/>
                <w:szCs w:val="24"/>
              </w:rPr>
              <w:t>12.0</w:t>
            </w:r>
          </w:p>
        </w:tc>
        <w:tc>
          <w:tcPr>
            <w:tcW w:w="689" w:type="pct"/>
            <w:tcBorders>
              <w:top w:val="single" w:sz="4" w:space="0" w:color="auto"/>
              <w:bottom w:val="single" w:sz="4" w:space="0" w:color="auto"/>
            </w:tcBorders>
            <w:shd w:val="clear" w:color="auto" w:fill="auto"/>
          </w:tcPr>
          <w:p w:rsidR="003E4860" w:rsidRPr="00A749C4" w:rsidRDefault="003E4860" w:rsidP="00C82F88">
            <w:pPr>
              <w:jc w:val="right"/>
              <w:rPr>
                <w:rFonts w:ascii="Arial" w:hAnsi="Arial" w:cs="Arial"/>
                <w:sz w:val="24"/>
                <w:szCs w:val="24"/>
              </w:rPr>
            </w:pPr>
          </w:p>
        </w:tc>
        <w:tc>
          <w:tcPr>
            <w:tcW w:w="664" w:type="pct"/>
            <w:tcBorders>
              <w:top w:val="single" w:sz="4" w:space="0" w:color="auto"/>
              <w:bottom w:val="single" w:sz="4" w:space="0" w:color="auto"/>
            </w:tcBorders>
            <w:shd w:val="clear" w:color="auto" w:fill="auto"/>
          </w:tcPr>
          <w:p w:rsidR="00600993" w:rsidRPr="00A749C4" w:rsidRDefault="00A749C4">
            <w:pPr>
              <w:jc w:val="right"/>
              <w:rPr>
                <w:rFonts w:ascii="Arial" w:hAnsi="Arial" w:cs="Arial"/>
                <w:b/>
                <w:sz w:val="24"/>
                <w:szCs w:val="24"/>
              </w:rPr>
            </w:pPr>
            <w:r w:rsidRPr="00A749C4" w:rsidDel="00A749C4">
              <w:rPr>
                <w:rFonts w:ascii="Arial" w:hAnsi="Arial" w:cs="Arial"/>
                <w:b/>
                <w:sz w:val="24"/>
                <w:szCs w:val="24"/>
              </w:rPr>
              <w:t xml:space="preserve"> </w:t>
            </w:r>
            <w:r>
              <w:rPr>
                <w:rFonts w:ascii="Arial" w:hAnsi="Arial" w:cs="Arial"/>
                <w:b/>
                <w:sz w:val="24"/>
                <w:szCs w:val="24"/>
              </w:rPr>
              <w:t>44</w:t>
            </w:r>
          </w:p>
        </w:tc>
        <w:tc>
          <w:tcPr>
            <w:tcW w:w="564" w:type="pct"/>
            <w:tcBorders>
              <w:top w:val="single" w:sz="4" w:space="0" w:color="auto"/>
              <w:bottom w:val="single" w:sz="4" w:space="0" w:color="auto"/>
            </w:tcBorders>
          </w:tcPr>
          <w:p w:rsidR="00600993" w:rsidRPr="00A749C4" w:rsidRDefault="0022756D">
            <w:pPr>
              <w:jc w:val="right"/>
              <w:rPr>
                <w:rFonts w:ascii="Arial" w:hAnsi="Arial" w:cs="Arial"/>
                <w:sz w:val="24"/>
                <w:szCs w:val="24"/>
              </w:rPr>
            </w:pPr>
            <w:r>
              <w:rPr>
                <w:rFonts w:ascii="Arial" w:hAnsi="Arial" w:cs="Arial"/>
                <w:sz w:val="24"/>
                <w:szCs w:val="24"/>
              </w:rPr>
              <w:t>131</w:t>
            </w:r>
            <w:r w:rsidR="00A749C4" w:rsidRPr="00A749C4" w:rsidDel="00A749C4">
              <w:rPr>
                <w:rFonts w:ascii="Arial" w:hAnsi="Arial" w:cs="Arial"/>
                <w:sz w:val="24"/>
                <w:szCs w:val="24"/>
              </w:rPr>
              <w:t xml:space="preserve"> </w:t>
            </w:r>
          </w:p>
        </w:tc>
      </w:tr>
    </w:tbl>
    <w:p w:rsidR="00F811DB" w:rsidRDefault="00F811DB" w:rsidP="00600993">
      <w:pPr>
        <w:jc w:val="left"/>
        <w:rPr>
          <w:rFonts w:ascii="Arial" w:hAnsi="Arial" w:cs="Arial"/>
          <w:b/>
          <w:sz w:val="24"/>
          <w:szCs w:val="24"/>
        </w:rPr>
      </w:pPr>
    </w:p>
    <w:p w:rsidR="00234ACC" w:rsidRDefault="00234ACC" w:rsidP="00600993">
      <w:pPr>
        <w:jc w:val="left"/>
        <w:rPr>
          <w:rFonts w:ascii="Arial" w:hAnsi="Arial" w:cs="Arial"/>
          <w:b/>
          <w:sz w:val="24"/>
          <w:szCs w:val="24"/>
        </w:rPr>
      </w:pPr>
    </w:p>
    <w:p w:rsidR="00C90F20" w:rsidRDefault="00C90F20" w:rsidP="00600993">
      <w:pPr>
        <w:jc w:val="left"/>
        <w:rPr>
          <w:rFonts w:ascii="Arial" w:hAnsi="Arial" w:cs="Arial"/>
          <w:b/>
          <w:sz w:val="24"/>
          <w:szCs w:val="24"/>
        </w:rPr>
      </w:pPr>
    </w:p>
    <w:p w:rsidR="00C90F20" w:rsidRDefault="00C90F20" w:rsidP="00600993">
      <w:pPr>
        <w:jc w:val="left"/>
        <w:rPr>
          <w:rFonts w:ascii="Arial" w:hAnsi="Arial" w:cs="Arial"/>
          <w:b/>
          <w:sz w:val="24"/>
          <w:szCs w:val="24"/>
        </w:rPr>
      </w:pPr>
    </w:p>
    <w:p w:rsidR="00C90F20" w:rsidRDefault="00C90F20" w:rsidP="00600993">
      <w:pPr>
        <w:jc w:val="left"/>
        <w:rPr>
          <w:rFonts w:ascii="Arial" w:hAnsi="Arial" w:cs="Arial"/>
          <w:b/>
          <w:sz w:val="24"/>
          <w:szCs w:val="24"/>
        </w:rPr>
      </w:pPr>
    </w:p>
    <w:p w:rsidR="00C90F20" w:rsidRDefault="00C90F20" w:rsidP="00600993">
      <w:pPr>
        <w:jc w:val="left"/>
        <w:rPr>
          <w:rFonts w:ascii="Arial" w:hAnsi="Arial" w:cs="Arial"/>
          <w:b/>
          <w:sz w:val="24"/>
          <w:szCs w:val="24"/>
        </w:rPr>
      </w:pPr>
    </w:p>
    <w:p w:rsidR="00C90F20" w:rsidRDefault="00C90F20" w:rsidP="00600993">
      <w:pPr>
        <w:jc w:val="left"/>
        <w:rPr>
          <w:rFonts w:ascii="Arial" w:hAnsi="Arial" w:cs="Arial"/>
          <w:b/>
          <w:sz w:val="24"/>
          <w:szCs w:val="24"/>
        </w:rPr>
      </w:pPr>
    </w:p>
    <w:p w:rsidR="00C90F20" w:rsidRDefault="00C90F20" w:rsidP="00600993">
      <w:pPr>
        <w:jc w:val="left"/>
        <w:rPr>
          <w:rFonts w:ascii="Arial" w:hAnsi="Arial" w:cs="Arial"/>
          <w:b/>
          <w:sz w:val="24"/>
          <w:szCs w:val="24"/>
        </w:rPr>
      </w:pPr>
    </w:p>
    <w:p w:rsidR="00C90F20" w:rsidRDefault="00C90F20" w:rsidP="00600993">
      <w:pPr>
        <w:jc w:val="left"/>
        <w:rPr>
          <w:rFonts w:ascii="Arial" w:hAnsi="Arial" w:cs="Arial"/>
          <w:b/>
          <w:sz w:val="24"/>
          <w:szCs w:val="24"/>
        </w:rPr>
      </w:pPr>
    </w:p>
    <w:p w:rsidR="00C90F20" w:rsidRDefault="00C90F20" w:rsidP="00600993">
      <w:pPr>
        <w:jc w:val="left"/>
        <w:rPr>
          <w:rFonts w:ascii="Arial" w:hAnsi="Arial" w:cs="Arial"/>
          <w:b/>
          <w:sz w:val="24"/>
          <w:szCs w:val="24"/>
        </w:rPr>
      </w:pPr>
    </w:p>
    <w:p w:rsidR="00C90F20" w:rsidRDefault="00C90F20" w:rsidP="00600993">
      <w:pPr>
        <w:jc w:val="left"/>
        <w:rPr>
          <w:rFonts w:ascii="Arial" w:hAnsi="Arial" w:cs="Arial"/>
          <w:b/>
          <w:sz w:val="24"/>
          <w:szCs w:val="24"/>
        </w:rPr>
      </w:pPr>
    </w:p>
    <w:p w:rsidR="00C90F20" w:rsidRDefault="00C90F20" w:rsidP="00600993">
      <w:pPr>
        <w:jc w:val="left"/>
        <w:rPr>
          <w:rFonts w:ascii="Arial" w:hAnsi="Arial" w:cs="Arial"/>
          <w:b/>
          <w:sz w:val="24"/>
          <w:szCs w:val="24"/>
        </w:rPr>
      </w:pPr>
    </w:p>
    <w:p w:rsidR="00C90F20" w:rsidRDefault="00C90F20" w:rsidP="00600993">
      <w:pPr>
        <w:jc w:val="left"/>
        <w:rPr>
          <w:rFonts w:ascii="Arial" w:hAnsi="Arial" w:cs="Arial"/>
          <w:b/>
          <w:sz w:val="24"/>
          <w:szCs w:val="24"/>
        </w:rPr>
      </w:pPr>
    </w:p>
    <w:p w:rsidR="00C90F20" w:rsidRDefault="00C90F20" w:rsidP="00600993">
      <w:pPr>
        <w:jc w:val="left"/>
        <w:rPr>
          <w:rFonts w:ascii="Arial" w:hAnsi="Arial" w:cs="Arial"/>
          <w:b/>
          <w:sz w:val="24"/>
          <w:szCs w:val="24"/>
        </w:rPr>
      </w:pPr>
    </w:p>
    <w:p w:rsidR="00C90F20" w:rsidRDefault="00C90F20" w:rsidP="00600993">
      <w:pPr>
        <w:jc w:val="left"/>
        <w:rPr>
          <w:rFonts w:ascii="Arial" w:hAnsi="Arial" w:cs="Arial"/>
          <w:b/>
          <w:sz w:val="24"/>
          <w:szCs w:val="24"/>
        </w:rPr>
      </w:pPr>
    </w:p>
    <w:p w:rsidR="00AB042A" w:rsidRDefault="00AB042A" w:rsidP="00600993">
      <w:pPr>
        <w:jc w:val="left"/>
        <w:rPr>
          <w:rFonts w:ascii="Arial" w:hAnsi="Arial" w:cs="Arial"/>
          <w:b/>
          <w:sz w:val="24"/>
          <w:szCs w:val="24"/>
        </w:rPr>
      </w:pPr>
      <w:r>
        <w:rPr>
          <w:rFonts w:ascii="Arial" w:hAnsi="Arial" w:cs="Arial"/>
          <w:b/>
          <w:sz w:val="24"/>
          <w:szCs w:val="24"/>
        </w:rPr>
        <w:t>Free cash flow</w:t>
      </w:r>
    </w:p>
    <w:p w:rsidR="00AB042A" w:rsidRDefault="00AB042A" w:rsidP="00600993">
      <w:pPr>
        <w:jc w:val="left"/>
        <w:rPr>
          <w:rFonts w:ascii="Arial" w:hAnsi="Arial" w:cs="Arial"/>
          <w:b/>
          <w:sz w:val="24"/>
          <w:szCs w:val="24"/>
        </w:rPr>
      </w:pPr>
    </w:p>
    <w:p w:rsidR="00234ACC" w:rsidRPr="00C82F88" w:rsidRDefault="00AB042A" w:rsidP="00C82F88">
      <w:pPr>
        <w:jc w:val="left"/>
        <w:rPr>
          <w:rFonts w:ascii="Arial" w:hAnsi="Arial" w:cs="Arial"/>
          <w:sz w:val="24"/>
          <w:szCs w:val="24"/>
        </w:rPr>
      </w:pPr>
      <w:r w:rsidRPr="00C82F88">
        <w:rPr>
          <w:rFonts w:ascii="Arial" w:hAnsi="Arial" w:cs="Arial" w:hint="eastAsia"/>
          <w:sz w:val="24"/>
          <w:szCs w:val="24"/>
        </w:rPr>
        <w:t>A reconciliation of free cash flow and cash flow movement in net debt/cash is set out below:</w:t>
      </w:r>
    </w:p>
    <w:p w:rsidR="00AB042A" w:rsidRDefault="00AB042A" w:rsidP="00600993">
      <w:pPr>
        <w:jc w:val="left"/>
        <w:rPr>
          <w:rFonts w:ascii="Arial" w:hAnsi="Arial" w:cs="Arial"/>
          <w:b/>
          <w:sz w:val="24"/>
          <w:szCs w:val="24"/>
        </w:rPr>
      </w:pPr>
    </w:p>
    <w:tbl>
      <w:tblPr>
        <w:tblW w:w="9508" w:type="dxa"/>
        <w:tblInd w:w="98" w:type="dxa"/>
        <w:tblLayout w:type="fixed"/>
        <w:tblLook w:val="0000" w:firstRow="0" w:lastRow="0" w:firstColumn="0" w:lastColumn="0" w:noHBand="0" w:noVBand="0"/>
      </w:tblPr>
      <w:tblGrid>
        <w:gridCol w:w="6531"/>
        <w:gridCol w:w="1559"/>
        <w:gridCol w:w="1418"/>
      </w:tblGrid>
      <w:tr w:rsidR="00AB042A" w:rsidRPr="009D2302" w:rsidTr="00C82F88">
        <w:trPr>
          <w:trHeight w:val="555"/>
        </w:trPr>
        <w:tc>
          <w:tcPr>
            <w:tcW w:w="6531" w:type="dxa"/>
            <w:shd w:val="clear" w:color="auto" w:fill="auto"/>
            <w:vAlign w:val="bottom"/>
          </w:tcPr>
          <w:p w:rsidR="00AB042A" w:rsidRPr="00EA4941" w:rsidRDefault="00AB042A" w:rsidP="00401CD8">
            <w:pPr>
              <w:jc w:val="left"/>
              <w:rPr>
                <w:rFonts w:ascii="Arial" w:hAnsi="Arial" w:cs="Arial"/>
                <w:bCs/>
                <w:sz w:val="24"/>
                <w:szCs w:val="24"/>
              </w:rPr>
            </w:pPr>
          </w:p>
        </w:tc>
        <w:tc>
          <w:tcPr>
            <w:tcW w:w="1559" w:type="dxa"/>
          </w:tcPr>
          <w:p w:rsidR="00AB042A" w:rsidRPr="00EA4941" w:rsidRDefault="00AB042A" w:rsidP="00401CD8">
            <w:pPr>
              <w:jc w:val="right"/>
              <w:rPr>
                <w:rFonts w:ascii="Arial" w:hAnsi="Arial" w:cs="Arial"/>
                <w:b/>
                <w:bCs/>
                <w:sz w:val="24"/>
                <w:szCs w:val="24"/>
              </w:rPr>
            </w:pPr>
            <w:r>
              <w:rPr>
                <w:rFonts w:ascii="Arial" w:hAnsi="Arial" w:cs="Arial"/>
                <w:b/>
                <w:bCs/>
                <w:sz w:val="24"/>
                <w:szCs w:val="24"/>
              </w:rPr>
              <w:t>2012/13</w:t>
            </w:r>
          </w:p>
          <w:p w:rsidR="00AB042A" w:rsidRPr="00EA4941" w:rsidRDefault="00AB042A" w:rsidP="00401CD8">
            <w:pPr>
              <w:jc w:val="right"/>
              <w:rPr>
                <w:rFonts w:ascii="Arial" w:hAnsi="Arial" w:cs="Arial"/>
                <w:b/>
                <w:bCs/>
                <w:sz w:val="24"/>
                <w:szCs w:val="24"/>
              </w:rPr>
            </w:pPr>
            <w:r w:rsidRPr="00EA4941">
              <w:rPr>
                <w:rFonts w:ascii="Arial" w:hAnsi="Arial" w:cs="Arial"/>
                <w:b/>
                <w:bCs/>
                <w:sz w:val="24"/>
                <w:szCs w:val="24"/>
              </w:rPr>
              <w:t>£m</w:t>
            </w:r>
          </w:p>
        </w:tc>
        <w:tc>
          <w:tcPr>
            <w:tcW w:w="1418" w:type="dxa"/>
            <w:shd w:val="clear" w:color="auto" w:fill="auto"/>
            <w:vAlign w:val="bottom"/>
          </w:tcPr>
          <w:p w:rsidR="00AB042A" w:rsidRPr="00185E72" w:rsidRDefault="00AB042A" w:rsidP="00401CD8">
            <w:pPr>
              <w:jc w:val="right"/>
              <w:rPr>
                <w:rFonts w:ascii="Arial" w:hAnsi="Arial" w:cs="Arial"/>
                <w:bCs/>
                <w:sz w:val="24"/>
                <w:szCs w:val="24"/>
              </w:rPr>
            </w:pPr>
            <w:r w:rsidRPr="00185E72">
              <w:rPr>
                <w:rFonts w:ascii="Arial" w:hAnsi="Arial" w:cs="Arial"/>
                <w:bCs/>
                <w:sz w:val="24"/>
                <w:szCs w:val="24"/>
              </w:rPr>
              <w:t>201</w:t>
            </w:r>
            <w:r>
              <w:rPr>
                <w:rFonts w:ascii="Arial" w:hAnsi="Arial" w:cs="Arial"/>
                <w:bCs/>
                <w:sz w:val="24"/>
                <w:szCs w:val="24"/>
              </w:rPr>
              <w:t>1/12</w:t>
            </w:r>
          </w:p>
          <w:p w:rsidR="00AB042A" w:rsidRPr="00185E72" w:rsidRDefault="00AB042A" w:rsidP="00401CD8">
            <w:pPr>
              <w:jc w:val="right"/>
              <w:rPr>
                <w:rFonts w:ascii="Arial" w:hAnsi="Arial" w:cs="Arial"/>
                <w:bCs/>
                <w:sz w:val="24"/>
                <w:szCs w:val="24"/>
              </w:rPr>
            </w:pPr>
            <w:r w:rsidRPr="00185E72">
              <w:rPr>
                <w:rFonts w:ascii="Arial" w:hAnsi="Arial" w:cs="Arial"/>
                <w:bCs/>
                <w:sz w:val="24"/>
                <w:szCs w:val="24"/>
              </w:rPr>
              <w:t>£m</w:t>
            </w:r>
          </w:p>
        </w:tc>
      </w:tr>
      <w:tr w:rsidR="00AB042A" w:rsidRPr="006862B3" w:rsidTr="00C82F88">
        <w:trPr>
          <w:trHeight w:val="255"/>
        </w:trPr>
        <w:tc>
          <w:tcPr>
            <w:tcW w:w="6531" w:type="dxa"/>
            <w:tcBorders>
              <w:top w:val="single" w:sz="4" w:space="0" w:color="auto"/>
            </w:tcBorders>
            <w:shd w:val="clear" w:color="auto" w:fill="auto"/>
            <w:vAlign w:val="bottom"/>
          </w:tcPr>
          <w:p w:rsidR="00AB042A" w:rsidRPr="006862B3" w:rsidRDefault="00AB042A" w:rsidP="00401CD8">
            <w:pPr>
              <w:rPr>
                <w:rFonts w:ascii="Arial" w:hAnsi="Arial" w:cs="Arial"/>
                <w:b/>
                <w:sz w:val="24"/>
                <w:szCs w:val="24"/>
              </w:rPr>
            </w:pPr>
            <w:r w:rsidRPr="006862B3">
              <w:rPr>
                <w:rFonts w:ascii="Arial" w:hAnsi="Arial" w:cs="Arial"/>
                <w:b/>
                <w:sz w:val="24"/>
                <w:szCs w:val="24"/>
              </w:rPr>
              <w:t>Operating profit (before exceptional items)</w:t>
            </w:r>
          </w:p>
        </w:tc>
        <w:tc>
          <w:tcPr>
            <w:tcW w:w="1559" w:type="dxa"/>
            <w:tcBorders>
              <w:top w:val="single" w:sz="4" w:space="0" w:color="auto"/>
            </w:tcBorders>
          </w:tcPr>
          <w:p w:rsidR="00AB042A" w:rsidRPr="006862B3" w:rsidRDefault="00B14C86" w:rsidP="00401CD8">
            <w:pPr>
              <w:jc w:val="right"/>
              <w:rPr>
                <w:rFonts w:ascii="Arial" w:hAnsi="Arial" w:cs="Arial"/>
                <w:b/>
                <w:sz w:val="24"/>
                <w:szCs w:val="24"/>
              </w:rPr>
            </w:pPr>
            <w:r>
              <w:rPr>
                <w:rFonts w:ascii="Arial" w:hAnsi="Arial" w:cs="Arial"/>
                <w:b/>
                <w:sz w:val="24"/>
                <w:szCs w:val="24"/>
              </w:rPr>
              <w:t>721</w:t>
            </w:r>
          </w:p>
        </w:tc>
        <w:tc>
          <w:tcPr>
            <w:tcW w:w="1418" w:type="dxa"/>
            <w:tcBorders>
              <w:top w:val="single" w:sz="4" w:space="0" w:color="auto"/>
            </w:tcBorders>
            <w:shd w:val="clear" w:color="auto" w:fill="auto"/>
          </w:tcPr>
          <w:p w:rsidR="00AB042A" w:rsidRPr="00D24248" w:rsidRDefault="00B14C86" w:rsidP="00401CD8">
            <w:pPr>
              <w:jc w:val="right"/>
              <w:rPr>
                <w:rFonts w:ascii="Arial" w:hAnsi="Arial" w:cs="Arial"/>
                <w:sz w:val="24"/>
                <w:szCs w:val="24"/>
              </w:rPr>
            </w:pPr>
            <w:r>
              <w:rPr>
                <w:rFonts w:ascii="Arial" w:hAnsi="Arial" w:cs="Arial"/>
                <w:sz w:val="24"/>
                <w:szCs w:val="24"/>
              </w:rPr>
              <w:t>819</w:t>
            </w:r>
          </w:p>
        </w:tc>
      </w:tr>
      <w:tr w:rsidR="00AB042A" w:rsidRPr="006862B3" w:rsidTr="00C82F88">
        <w:trPr>
          <w:trHeight w:val="270"/>
        </w:trPr>
        <w:tc>
          <w:tcPr>
            <w:tcW w:w="6531" w:type="dxa"/>
            <w:shd w:val="clear" w:color="auto" w:fill="auto"/>
            <w:vAlign w:val="bottom"/>
          </w:tcPr>
          <w:p w:rsidR="00AB042A" w:rsidRPr="006862B3" w:rsidRDefault="00AB042A" w:rsidP="00401CD8">
            <w:pPr>
              <w:rPr>
                <w:rFonts w:ascii="Arial" w:hAnsi="Arial" w:cs="Arial"/>
                <w:sz w:val="24"/>
                <w:szCs w:val="24"/>
              </w:rPr>
            </w:pPr>
            <w:r w:rsidRPr="006862B3">
              <w:rPr>
                <w:rFonts w:ascii="Arial" w:hAnsi="Arial" w:cs="Arial"/>
                <w:sz w:val="24"/>
                <w:szCs w:val="24"/>
              </w:rPr>
              <w:t>Other non</w:t>
            </w:r>
            <w:r>
              <w:rPr>
                <w:rFonts w:ascii="Arial" w:hAnsi="Arial" w:cs="Arial"/>
                <w:sz w:val="24"/>
                <w:szCs w:val="24"/>
              </w:rPr>
              <w:t>-</w:t>
            </w:r>
            <w:r w:rsidRPr="006862B3">
              <w:rPr>
                <w:rFonts w:ascii="Arial" w:hAnsi="Arial" w:cs="Arial"/>
                <w:sz w:val="24"/>
                <w:szCs w:val="24"/>
              </w:rPr>
              <w:t>cash items</w:t>
            </w:r>
            <w:r>
              <w:rPr>
                <w:rFonts w:ascii="Arial" w:hAnsi="Arial" w:cs="Arial"/>
                <w:sz w:val="24"/>
                <w:szCs w:val="24"/>
              </w:rPr>
              <w:t xml:space="preserve"> </w:t>
            </w:r>
            <w:r w:rsidRPr="00221DAD">
              <w:rPr>
                <w:rFonts w:ascii="Arial" w:hAnsi="Arial" w:cs="Arial"/>
                <w:i/>
                <w:sz w:val="20"/>
                <w:szCs w:val="20"/>
                <w:vertAlign w:val="superscript"/>
              </w:rPr>
              <w:t>(1)</w:t>
            </w:r>
          </w:p>
        </w:tc>
        <w:tc>
          <w:tcPr>
            <w:tcW w:w="1559" w:type="dxa"/>
          </w:tcPr>
          <w:p w:rsidR="00AB042A" w:rsidRPr="006862B3" w:rsidRDefault="00B14C86" w:rsidP="00401CD8">
            <w:pPr>
              <w:jc w:val="right"/>
              <w:rPr>
                <w:rFonts w:ascii="Arial" w:hAnsi="Arial" w:cs="Arial"/>
                <w:b/>
                <w:sz w:val="24"/>
                <w:szCs w:val="24"/>
              </w:rPr>
            </w:pPr>
            <w:r>
              <w:rPr>
                <w:rFonts w:ascii="Arial" w:hAnsi="Arial" w:cs="Arial"/>
                <w:b/>
                <w:sz w:val="24"/>
                <w:szCs w:val="24"/>
              </w:rPr>
              <w:t>261</w:t>
            </w:r>
          </w:p>
        </w:tc>
        <w:tc>
          <w:tcPr>
            <w:tcW w:w="1418" w:type="dxa"/>
            <w:shd w:val="clear" w:color="auto" w:fill="auto"/>
          </w:tcPr>
          <w:p w:rsidR="00AB042A" w:rsidRPr="00D24248" w:rsidRDefault="00B14C86" w:rsidP="00401CD8">
            <w:pPr>
              <w:jc w:val="right"/>
              <w:rPr>
                <w:rFonts w:ascii="Arial" w:hAnsi="Arial" w:cs="Arial"/>
                <w:sz w:val="24"/>
                <w:szCs w:val="24"/>
              </w:rPr>
            </w:pPr>
            <w:r>
              <w:rPr>
                <w:rFonts w:ascii="Arial" w:hAnsi="Arial" w:cs="Arial"/>
                <w:sz w:val="24"/>
                <w:szCs w:val="24"/>
              </w:rPr>
              <w:t>274</w:t>
            </w:r>
          </w:p>
        </w:tc>
      </w:tr>
      <w:tr w:rsidR="00AB042A" w:rsidRPr="006862B3" w:rsidTr="00C82F88">
        <w:trPr>
          <w:trHeight w:val="247"/>
        </w:trPr>
        <w:tc>
          <w:tcPr>
            <w:tcW w:w="6531" w:type="dxa"/>
            <w:shd w:val="clear" w:color="auto" w:fill="auto"/>
            <w:vAlign w:val="bottom"/>
          </w:tcPr>
          <w:p w:rsidR="00AB042A" w:rsidRPr="006862B3" w:rsidRDefault="00AB042A" w:rsidP="00401CD8">
            <w:pPr>
              <w:rPr>
                <w:rFonts w:ascii="Arial" w:hAnsi="Arial" w:cs="Arial"/>
                <w:sz w:val="24"/>
                <w:szCs w:val="24"/>
              </w:rPr>
            </w:pPr>
            <w:r w:rsidRPr="006862B3">
              <w:rPr>
                <w:rFonts w:ascii="Arial" w:hAnsi="Arial" w:cs="Arial"/>
                <w:sz w:val="24"/>
                <w:szCs w:val="24"/>
              </w:rPr>
              <w:t>Change in working capital</w:t>
            </w:r>
          </w:p>
        </w:tc>
        <w:tc>
          <w:tcPr>
            <w:tcW w:w="1559" w:type="dxa"/>
          </w:tcPr>
          <w:p w:rsidR="00AB042A" w:rsidRPr="006862B3" w:rsidRDefault="00B14C86">
            <w:pPr>
              <w:jc w:val="right"/>
              <w:rPr>
                <w:rFonts w:ascii="Arial" w:hAnsi="Arial" w:cs="Arial"/>
                <w:b/>
                <w:sz w:val="24"/>
                <w:szCs w:val="24"/>
              </w:rPr>
            </w:pPr>
            <w:r>
              <w:rPr>
                <w:rFonts w:ascii="Arial" w:hAnsi="Arial" w:cs="Arial"/>
                <w:b/>
                <w:sz w:val="24"/>
                <w:szCs w:val="24"/>
              </w:rPr>
              <w:t>(17</w:t>
            </w:r>
            <w:r w:rsidR="00BF6B56">
              <w:rPr>
                <w:rFonts w:ascii="Arial" w:hAnsi="Arial" w:cs="Arial"/>
                <w:b/>
                <w:sz w:val="24"/>
                <w:szCs w:val="24"/>
              </w:rPr>
              <w:t>8</w:t>
            </w:r>
            <w:r>
              <w:rPr>
                <w:rFonts w:ascii="Arial" w:hAnsi="Arial" w:cs="Arial"/>
                <w:b/>
                <w:sz w:val="24"/>
                <w:szCs w:val="24"/>
              </w:rPr>
              <w:t>)</w:t>
            </w:r>
          </w:p>
        </w:tc>
        <w:tc>
          <w:tcPr>
            <w:tcW w:w="1418" w:type="dxa"/>
            <w:shd w:val="clear" w:color="auto" w:fill="auto"/>
          </w:tcPr>
          <w:p w:rsidR="00AB042A" w:rsidRPr="00D24248" w:rsidRDefault="00B14C86" w:rsidP="00401CD8">
            <w:pPr>
              <w:jc w:val="right"/>
              <w:rPr>
                <w:rFonts w:ascii="Arial" w:hAnsi="Arial" w:cs="Arial"/>
                <w:sz w:val="24"/>
                <w:szCs w:val="24"/>
              </w:rPr>
            </w:pPr>
            <w:r>
              <w:rPr>
                <w:rFonts w:ascii="Arial" w:hAnsi="Arial" w:cs="Arial"/>
                <w:sz w:val="24"/>
                <w:szCs w:val="24"/>
              </w:rPr>
              <w:t>(187)</w:t>
            </w:r>
          </w:p>
        </w:tc>
      </w:tr>
      <w:tr w:rsidR="00AB042A" w:rsidRPr="006862B3" w:rsidTr="00C82F88">
        <w:trPr>
          <w:trHeight w:val="255"/>
        </w:trPr>
        <w:tc>
          <w:tcPr>
            <w:tcW w:w="6531" w:type="dxa"/>
            <w:tcBorders>
              <w:bottom w:val="single" w:sz="4" w:space="0" w:color="auto"/>
            </w:tcBorders>
            <w:shd w:val="clear" w:color="auto" w:fill="auto"/>
            <w:vAlign w:val="bottom"/>
          </w:tcPr>
          <w:p w:rsidR="00AB042A" w:rsidRPr="006862B3" w:rsidRDefault="00AB042A" w:rsidP="00401CD8">
            <w:pPr>
              <w:rPr>
                <w:rFonts w:ascii="Arial" w:hAnsi="Arial" w:cs="Arial"/>
                <w:sz w:val="24"/>
                <w:szCs w:val="24"/>
              </w:rPr>
            </w:pPr>
            <w:r w:rsidRPr="006862B3">
              <w:rPr>
                <w:rFonts w:ascii="Arial" w:hAnsi="Arial" w:cs="Arial"/>
                <w:sz w:val="24"/>
                <w:szCs w:val="24"/>
              </w:rPr>
              <w:t>Pensions and provisions (before exceptional items)</w:t>
            </w:r>
          </w:p>
        </w:tc>
        <w:tc>
          <w:tcPr>
            <w:tcW w:w="1559" w:type="dxa"/>
            <w:tcBorders>
              <w:bottom w:val="single" w:sz="4" w:space="0" w:color="auto"/>
            </w:tcBorders>
          </w:tcPr>
          <w:p w:rsidR="00AB042A" w:rsidRPr="006862B3" w:rsidRDefault="00B14C86">
            <w:pPr>
              <w:jc w:val="right"/>
              <w:rPr>
                <w:rFonts w:ascii="Arial" w:hAnsi="Arial" w:cs="Arial"/>
                <w:b/>
                <w:sz w:val="24"/>
                <w:szCs w:val="24"/>
              </w:rPr>
            </w:pPr>
            <w:r>
              <w:rPr>
                <w:rFonts w:ascii="Arial" w:hAnsi="Arial" w:cs="Arial"/>
                <w:b/>
                <w:sz w:val="24"/>
                <w:szCs w:val="24"/>
              </w:rPr>
              <w:t>(4</w:t>
            </w:r>
            <w:r w:rsidR="00BF6B56">
              <w:rPr>
                <w:rFonts w:ascii="Arial" w:hAnsi="Arial" w:cs="Arial"/>
                <w:b/>
                <w:sz w:val="24"/>
                <w:szCs w:val="24"/>
              </w:rPr>
              <w:t>2</w:t>
            </w:r>
            <w:r>
              <w:rPr>
                <w:rFonts w:ascii="Arial" w:hAnsi="Arial" w:cs="Arial"/>
                <w:b/>
                <w:sz w:val="24"/>
                <w:szCs w:val="24"/>
              </w:rPr>
              <w:t>)</w:t>
            </w:r>
          </w:p>
        </w:tc>
        <w:tc>
          <w:tcPr>
            <w:tcW w:w="1418" w:type="dxa"/>
            <w:tcBorders>
              <w:bottom w:val="single" w:sz="4" w:space="0" w:color="auto"/>
            </w:tcBorders>
            <w:shd w:val="clear" w:color="auto" w:fill="auto"/>
          </w:tcPr>
          <w:p w:rsidR="00AB042A" w:rsidRPr="00D24248" w:rsidRDefault="00B14C86" w:rsidP="00401CD8">
            <w:pPr>
              <w:jc w:val="right"/>
              <w:rPr>
                <w:rFonts w:ascii="Arial" w:hAnsi="Arial" w:cs="Arial"/>
                <w:sz w:val="24"/>
                <w:szCs w:val="24"/>
              </w:rPr>
            </w:pPr>
            <w:r>
              <w:rPr>
                <w:rFonts w:ascii="Arial" w:hAnsi="Arial" w:cs="Arial"/>
                <w:sz w:val="24"/>
                <w:szCs w:val="24"/>
              </w:rPr>
              <w:t>(54)</w:t>
            </w:r>
          </w:p>
        </w:tc>
      </w:tr>
      <w:tr w:rsidR="00AB042A" w:rsidRPr="006862B3" w:rsidTr="00C82F88">
        <w:trPr>
          <w:trHeight w:val="255"/>
        </w:trPr>
        <w:tc>
          <w:tcPr>
            <w:tcW w:w="6531" w:type="dxa"/>
            <w:tcBorders>
              <w:top w:val="single" w:sz="4" w:space="0" w:color="auto"/>
            </w:tcBorders>
            <w:shd w:val="clear" w:color="auto" w:fill="auto"/>
            <w:vAlign w:val="bottom"/>
          </w:tcPr>
          <w:p w:rsidR="00AB042A" w:rsidRPr="006862B3" w:rsidRDefault="00AB042A" w:rsidP="00401CD8">
            <w:pPr>
              <w:rPr>
                <w:rFonts w:ascii="Arial" w:hAnsi="Arial" w:cs="Arial"/>
                <w:sz w:val="24"/>
                <w:szCs w:val="24"/>
              </w:rPr>
            </w:pPr>
            <w:r w:rsidRPr="006862B3">
              <w:rPr>
                <w:rFonts w:ascii="Arial" w:hAnsi="Arial" w:cs="Arial"/>
                <w:sz w:val="24"/>
                <w:szCs w:val="24"/>
              </w:rPr>
              <w:t>Operating cash flow</w:t>
            </w:r>
          </w:p>
        </w:tc>
        <w:tc>
          <w:tcPr>
            <w:tcW w:w="1559" w:type="dxa"/>
            <w:tcBorders>
              <w:top w:val="single" w:sz="4" w:space="0" w:color="auto"/>
            </w:tcBorders>
          </w:tcPr>
          <w:p w:rsidR="00AB042A" w:rsidRPr="006862B3" w:rsidRDefault="00B14C86" w:rsidP="00401CD8">
            <w:pPr>
              <w:jc w:val="right"/>
              <w:rPr>
                <w:rFonts w:ascii="Arial" w:hAnsi="Arial" w:cs="Arial"/>
                <w:b/>
                <w:sz w:val="24"/>
                <w:szCs w:val="24"/>
              </w:rPr>
            </w:pPr>
            <w:r>
              <w:rPr>
                <w:rFonts w:ascii="Arial" w:hAnsi="Arial" w:cs="Arial"/>
                <w:b/>
                <w:sz w:val="24"/>
                <w:szCs w:val="24"/>
              </w:rPr>
              <w:t>762</w:t>
            </w:r>
          </w:p>
        </w:tc>
        <w:tc>
          <w:tcPr>
            <w:tcW w:w="1418" w:type="dxa"/>
            <w:tcBorders>
              <w:top w:val="single" w:sz="4" w:space="0" w:color="auto"/>
            </w:tcBorders>
            <w:shd w:val="clear" w:color="auto" w:fill="auto"/>
          </w:tcPr>
          <w:p w:rsidR="00AB042A" w:rsidRPr="00D24248" w:rsidRDefault="00B14C86" w:rsidP="00401CD8">
            <w:pPr>
              <w:jc w:val="right"/>
              <w:rPr>
                <w:rFonts w:ascii="Arial" w:hAnsi="Arial" w:cs="Arial"/>
                <w:sz w:val="24"/>
                <w:szCs w:val="24"/>
              </w:rPr>
            </w:pPr>
            <w:r>
              <w:rPr>
                <w:rFonts w:ascii="Arial" w:hAnsi="Arial" w:cs="Arial"/>
                <w:sz w:val="24"/>
                <w:szCs w:val="24"/>
              </w:rPr>
              <w:t>852</w:t>
            </w:r>
          </w:p>
        </w:tc>
      </w:tr>
      <w:tr w:rsidR="00AB042A" w:rsidRPr="006862B3" w:rsidTr="00C82F88">
        <w:trPr>
          <w:trHeight w:val="311"/>
        </w:trPr>
        <w:tc>
          <w:tcPr>
            <w:tcW w:w="6531" w:type="dxa"/>
            <w:shd w:val="clear" w:color="auto" w:fill="auto"/>
            <w:vAlign w:val="bottom"/>
          </w:tcPr>
          <w:p w:rsidR="00AB042A" w:rsidRPr="006862B3" w:rsidRDefault="00AB042A" w:rsidP="00401CD8">
            <w:pPr>
              <w:rPr>
                <w:rFonts w:ascii="Arial" w:hAnsi="Arial" w:cs="Arial"/>
                <w:sz w:val="24"/>
                <w:szCs w:val="24"/>
              </w:rPr>
            </w:pPr>
            <w:r>
              <w:rPr>
                <w:rFonts w:ascii="Arial" w:hAnsi="Arial" w:cs="Arial"/>
                <w:sz w:val="24"/>
                <w:szCs w:val="24"/>
              </w:rPr>
              <w:t>Net i</w:t>
            </w:r>
            <w:r w:rsidRPr="006862B3">
              <w:rPr>
                <w:rFonts w:ascii="Arial" w:hAnsi="Arial" w:cs="Arial"/>
                <w:sz w:val="24"/>
                <w:szCs w:val="24"/>
              </w:rPr>
              <w:t>nterest paid</w:t>
            </w:r>
          </w:p>
        </w:tc>
        <w:tc>
          <w:tcPr>
            <w:tcW w:w="1559" w:type="dxa"/>
          </w:tcPr>
          <w:p w:rsidR="00AB042A" w:rsidRPr="006862B3" w:rsidRDefault="00B14C86" w:rsidP="00401CD8">
            <w:pPr>
              <w:jc w:val="right"/>
              <w:rPr>
                <w:rFonts w:ascii="Arial" w:hAnsi="Arial" w:cs="Arial"/>
                <w:b/>
                <w:sz w:val="24"/>
                <w:szCs w:val="24"/>
              </w:rPr>
            </w:pPr>
            <w:r>
              <w:rPr>
                <w:rFonts w:ascii="Arial" w:hAnsi="Arial" w:cs="Arial"/>
                <w:b/>
                <w:sz w:val="24"/>
                <w:szCs w:val="24"/>
              </w:rPr>
              <w:t>(4)</w:t>
            </w:r>
          </w:p>
        </w:tc>
        <w:tc>
          <w:tcPr>
            <w:tcW w:w="1418" w:type="dxa"/>
            <w:shd w:val="clear" w:color="auto" w:fill="auto"/>
          </w:tcPr>
          <w:p w:rsidR="00AB042A" w:rsidRPr="00D24248" w:rsidRDefault="00B14C86" w:rsidP="00401CD8">
            <w:pPr>
              <w:jc w:val="right"/>
              <w:rPr>
                <w:rFonts w:ascii="Arial" w:hAnsi="Arial" w:cs="Arial"/>
                <w:sz w:val="24"/>
                <w:szCs w:val="24"/>
              </w:rPr>
            </w:pPr>
            <w:r>
              <w:rPr>
                <w:rFonts w:ascii="Arial" w:hAnsi="Arial" w:cs="Arial"/>
                <w:sz w:val="24"/>
                <w:szCs w:val="24"/>
              </w:rPr>
              <w:t>(8)</w:t>
            </w:r>
          </w:p>
        </w:tc>
      </w:tr>
      <w:tr w:rsidR="00AB042A" w:rsidRPr="006862B3" w:rsidTr="00C82F88">
        <w:trPr>
          <w:trHeight w:val="270"/>
        </w:trPr>
        <w:tc>
          <w:tcPr>
            <w:tcW w:w="6531" w:type="dxa"/>
            <w:shd w:val="clear" w:color="auto" w:fill="auto"/>
            <w:vAlign w:val="bottom"/>
          </w:tcPr>
          <w:p w:rsidR="00AB042A" w:rsidRPr="006862B3" w:rsidRDefault="00AB042A" w:rsidP="00401CD8">
            <w:pPr>
              <w:rPr>
                <w:rFonts w:ascii="Arial" w:hAnsi="Arial" w:cs="Arial"/>
                <w:sz w:val="24"/>
                <w:szCs w:val="24"/>
              </w:rPr>
            </w:pPr>
            <w:r w:rsidRPr="006862B3">
              <w:rPr>
                <w:rFonts w:ascii="Arial" w:hAnsi="Arial" w:cs="Arial"/>
                <w:sz w:val="24"/>
                <w:szCs w:val="24"/>
              </w:rPr>
              <w:t>Tax paid</w:t>
            </w:r>
          </w:p>
        </w:tc>
        <w:tc>
          <w:tcPr>
            <w:tcW w:w="1559" w:type="dxa"/>
          </w:tcPr>
          <w:p w:rsidR="00AB042A" w:rsidRPr="006862B3" w:rsidRDefault="00B14C86" w:rsidP="00401CD8">
            <w:pPr>
              <w:jc w:val="right"/>
              <w:rPr>
                <w:rFonts w:ascii="Arial" w:hAnsi="Arial" w:cs="Arial"/>
                <w:b/>
                <w:sz w:val="24"/>
                <w:szCs w:val="24"/>
              </w:rPr>
            </w:pPr>
            <w:r>
              <w:rPr>
                <w:rFonts w:ascii="Arial" w:hAnsi="Arial" w:cs="Arial"/>
                <w:b/>
                <w:sz w:val="24"/>
                <w:szCs w:val="24"/>
              </w:rPr>
              <w:t>(129)</w:t>
            </w:r>
          </w:p>
        </w:tc>
        <w:tc>
          <w:tcPr>
            <w:tcW w:w="1418" w:type="dxa"/>
            <w:shd w:val="clear" w:color="auto" w:fill="auto"/>
          </w:tcPr>
          <w:p w:rsidR="00AB042A" w:rsidRPr="00D24248" w:rsidRDefault="00B14C86" w:rsidP="00401CD8">
            <w:pPr>
              <w:jc w:val="right"/>
              <w:rPr>
                <w:rFonts w:ascii="Arial" w:hAnsi="Arial" w:cs="Arial"/>
                <w:sz w:val="24"/>
                <w:szCs w:val="24"/>
              </w:rPr>
            </w:pPr>
            <w:r>
              <w:rPr>
                <w:rFonts w:ascii="Arial" w:hAnsi="Arial" w:cs="Arial"/>
                <w:sz w:val="24"/>
                <w:szCs w:val="24"/>
              </w:rPr>
              <w:t>(148)</w:t>
            </w:r>
          </w:p>
        </w:tc>
      </w:tr>
      <w:tr w:rsidR="00AB042A" w:rsidRPr="006862B3" w:rsidTr="00C82F88">
        <w:trPr>
          <w:trHeight w:val="270"/>
        </w:trPr>
        <w:tc>
          <w:tcPr>
            <w:tcW w:w="6531" w:type="dxa"/>
            <w:shd w:val="clear" w:color="auto" w:fill="auto"/>
            <w:vAlign w:val="bottom"/>
          </w:tcPr>
          <w:p w:rsidR="00AB042A" w:rsidRPr="006862B3" w:rsidRDefault="00AB042A" w:rsidP="00401CD8">
            <w:pPr>
              <w:rPr>
                <w:rFonts w:ascii="Arial" w:hAnsi="Arial" w:cs="Arial"/>
                <w:sz w:val="24"/>
                <w:szCs w:val="24"/>
              </w:rPr>
            </w:pPr>
            <w:r w:rsidRPr="006862B3">
              <w:rPr>
                <w:rFonts w:ascii="Arial" w:hAnsi="Arial" w:cs="Arial"/>
                <w:sz w:val="24"/>
                <w:szCs w:val="24"/>
              </w:rPr>
              <w:t>Gross capital expenditure</w:t>
            </w:r>
            <w:r>
              <w:rPr>
                <w:rFonts w:ascii="Arial" w:hAnsi="Arial" w:cs="Arial"/>
                <w:sz w:val="24"/>
                <w:szCs w:val="24"/>
              </w:rPr>
              <w:t xml:space="preserve"> (before strategic investments)</w:t>
            </w:r>
          </w:p>
        </w:tc>
        <w:tc>
          <w:tcPr>
            <w:tcW w:w="1559" w:type="dxa"/>
          </w:tcPr>
          <w:p w:rsidR="00AB042A" w:rsidRPr="006862B3" w:rsidRDefault="00B14C86" w:rsidP="00401CD8">
            <w:pPr>
              <w:jc w:val="right"/>
              <w:rPr>
                <w:rFonts w:ascii="Arial" w:hAnsi="Arial" w:cs="Arial"/>
                <w:b/>
                <w:sz w:val="24"/>
                <w:szCs w:val="24"/>
              </w:rPr>
            </w:pPr>
            <w:r>
              <w:rPr>
                <w:rFonts w:ascii="Arial" w:hAnsi="Arial" w:cs="Arial"/>
                <w:b/>
                <w:sz w:val="24"/>
                <w:szCs w:val="24"/>
              </w:rPr>
              <w:t>(316)</w:t>
            </w:r>
          </w:p>
        </w:tc>
        <w:tc>
          <w:tcPr>
            <w:tcW w:w="1418" w:type="dxa"/>
            <w:shd w:val="clear" w:color="auto" w:fill="auto"/>
          </w:tcPr>
          <w:p w:rsidR="00AB042A" w:rsidRPr="00D24248" w:rsidRDefault="00B14C86" w:rsidP="00401CD8">
            <w:pPr>
              <w:jc w:val="right"/>
              <w:rPr>
                <w:rFonts w:ascii="Arial" w:hAnsi="Arial" w:cs="Arial"/>
                <w:sz w:val="24"/>
                <w:szCs w:val="24"/>
              </w:rPr>
            </w:pPr>
            <w:r>
              <w:rPr>
                <w:rFonts w:ascii="Arial" w:hAnsi="Arial" w:cs="Arial"/>
                <w:sz w:val="24"/>
                <w:szCs w:val="24"/>
              </w:rPr>
              <w:t>(338)</w:t>
            </w:r>
          </w:p>
        </w:tc>
      </w:tr>
      <w:tr w:rsidR="00AB042A" w:rsidRPr="006862B3" w:rsidTr="00C82F88">
        <w:trPr>
          <w:trHeight w:val="270"/>
        </w:trPr>
        <w:tc>
          <w:tcPr>
            <w:tcW w:w="6531" w:type="dxa"/>
            <w:tcBorders>
              <w:bottom w:val="single" w:sz="4" w:space="0" w:color="auto"/>
            </w:tcBorders>
            <w:shd w:val="clear" w:color="auto" w:fill="auto"/>
            <w:vAlign w:val="bottom"/>
          </w:tcPr>
          <w:p w:rsidR="00AB042A" w:rsidRPr="006862B3" w:rsidRDefault="00AB042A" w:rsidP="00401CD8">
            <w:pPr>
              <w:rPr>
                <w:rFonts w:ascii="Arial" w:hAnsi="Arial" w:cs="Arial"/>
                <w:sz w:val="24"/>
                <w:szCs w:val="24"/>
              </w:rPr>
            </w:pPr>
            <w:r>
              <w:rPr>
                <w:rFonts w:ascii="Arial" w:hAnsi="Arial" w:cs="Arial"/>
                <w:sz w:val="24"/>
                <w:szCs w:val="24"/>
              </w:rPr>
              <w:t>Disposal of assets</w:t>
            </w:r>
          </w:p>
        </w:tc>
        <w:tc>
          <w:tcPr>
            <w:tcW w:w="1559" w:type="dxa"/>
            <w:tcBorders>
              <w:bottom w:val="single" w:sz="4" w:space="0" w:color="auto"/>
            </w:tcBorders>
          </w:tcPr>
          <w:p w:rsidR="00AB042A" w:rsidRPr="006862B3" w:rsidRDefault="00B14C86" w:rsidP="00401CD8">
            <w:pPr>
              <w:jc w:val="right"/>
              <w:rPr>
                <w:rFonts w:ascii="Arial" w:hAnsi="Arial" w:cs="Arial"/>
                <w:b/>
                <w:sz w:val="24"/>
                <w:szCs w:val="24"/>
              </w:rPr>
            </w:pPr>
            <w:r>
              <w:rPr>
                <w:rFonts w:ascii="Arial" w:hAnsi="Arial" w:cs="Arial"/>
                <w:b/>
                <w:sz w:val="24"/>
                <w:szCs w:val="24"/>
              </w:rPr>
              <w:t>17</w:t>
            </w:r>
          </w:p>
        </w:tc>
        <w:tc>
          <w:tcPr>
            <w:tcW w:w="1418" w:type="dxa"/>
            <w:tcBorders>
              <w:bottom w:val="single" w:sz="4" w:space="0" w:color="auto"/>
            </w:tcBorders>
            <w:shd w:val="clear" w:color="auto" w:fill="auto"/>
          </w:tcPr>
          <w:p w:rsidR="00AB042A" w:rsidRPr="00D24248" w:rsidRDefault="00B14C86" w:rsidP="00401CD8">
            <w:pPr>
              <w:jc w:val="right"/>
              <w:rPr>
                <w:rFonts w:ascii="Arial" w:hAnsi="Arial" w:cs="Arial"/>
                <w:sz w:val="24"/>
                <w:szCs w:val="24"/>
              </w:rPr>
            </w:pPr>
            <w:r>
              <w:rPr>
                <w:rFonts w:ascii="Arial" w:hAnsi="Arial" w:cs="Arial"/>
                <w:sz w:val="24"/>
                <w:szCs w:val="24"/>
              </w:rPr>
              <w:t>9</w:t>
            </w:r>
          </w:p>
        </w:tc>
      </w:tr>
      <w:tr w:rsidR="00AB042A" w:rsidRPr="006862B3" w:rsidTr="00C82F88">
        <w:trPr>
          <w:trHeight w:val="270"/>
        </w:trPr>
        <w:tc>
          <w:tcPr>
            <w:tcW w:w="6531" w:type="dxa"/>
            <w:tcBorders>
              <w:top w:val="single" w:sz="4" w:space="0" w:color="auto"/>
            </w:tcBorders>
            <w:shd w:val="clear" w:color="auto" w:fill="auto"/>
            <w:vAlign w:val="bottom"/>
          </w:tcPr>
          <w:p w:rsidR="00AB042A" w:rsidRPr="006862B3" w:rsidRDefault="00AB042A" w:rsidP="00401CD8">
            <w:pPr>
              <w:rPr>
                <w:rFonts w:ascii="Arial" w:hAnsi="Arial" w:cs="Arial"/>
                <w:b/>
                <w:sz w:val="24"/>
                <w:szCs w:val="24"/>
              </w:rPr>
            </w:pPr>
            <w:r w:rsidRPr="006862B3">
              <w:rPr>
                <w:rFonts w:ascii="Arial" w:hAnsi="Arial" w:cs="Arial"/>
                <w:b/>
                <w:sz w:val="24"/>
                <w:szCs w:val="24"/>
              </w:rPr>
              <w:t>Free cash flow</w:t>
            </w:r>
          </w:p>
        </w:tc>
        <w:tc>
          <w:tcPr>
            <w:tcW w:w="1559" w:type="dxa"/>
            <w:tcBorders>
              <w:top w:val="single" w:sz="4" w:space="0" w:color="auto"/>
            </w:tcBorders>
          </w:tcPr>
          <w:p w:rsidR="00AB042A" w:rsidRPr="006862B3" w:rsidRDefault="00B14C86" w:rsidP="00401CD8">
            <w:pPr>
              <w:jc w:val="right"/>
              <w:rPr>
                <w:rFonts w:ascii="Arial" w:hAnsi="Arial" w:cs="Arial"/>
                <w:b/>
                <w:sz w:val="24"/>
                <w:szCs w:val="24"/>
              </w:rPr>
            </w:pPr>
            <w:r>
              <w:rPr>
                <w:rFonts w:ascii="Arial" w:hAnsi="Arial" w:cs="Arial"/>
                <w:b/>
                <w:sz w:val="24"/>
                <w:szCs w:val="24"/>
              </w:rPr>
              <w:t>330</w:t>
            </w:r>
          </w:p>
        </w:tc>
        <w:tc>
          <w:tcPr>
            <w:tcW w:w="1418" w:type="dxa"/>
            <w:tcBorders>
              <w:top w:val="single" w:sz="4" w:space="0" w:color="auto"/>
            </w:tcBorders>
            <w:shd w:val="clear" w:color="auto" w:fill="auto"/>
          </w:tcPr>
          <w:p w:rsidR="00AB042A" w:rsidRPr="00D24248" w:rsidRDefault="00B14C86" w:rsidP="00401CD8">
            <w:pPr>
              <w:jc w:val="right"/>
              <w:rPr>
                <w:rFonts w:ascii="Arial" w:hAnsi="Arial" w:cs="Arial"/>
                <w:sz w:val="24"/>
                <w:szCs w:val="24"/>
              </w:rPr>
            </w:pPr>
            <w:r>
              <w:rPr>
                <w:rFonts w:ascii="Arial" w:hAnsi="Arial" w:cs="Arial"/>
                <w:sz w:val="24"/>
                <w:szCs w:val="24"/>
              </w:rPr>
              <w:t>367</w:t>
            </w:r>
          </w:p>
        </w:tc>
      </w:tr>
      <w:tr w:rsidR="00AB042A" w:rsidRPr="006862B3" w:rsidTr="00C82F88">
        <w:trPr>
          <w:trHeight w:val="270"/>
        </w:trPr>
        <w:tc>
          <w:tcPr>
            <w:tcW w:w="6531" w:type="dxa"/>
            <w:shd w:val="clear" w:color="auto" w:fill="auto"/>
            <w:vAlign w:val="bottom"/>
          </w:tcPr>
          <w:p w:rsidR="00AB042A" w:rsidRPr="006862B3" w:rsidRDefault="00AB042A" w:rsidP="00401CD8">
            <w:pPr>
              <w:rPr>
                <w:rFonts w:ascii="Arial" w:hAnsi="Arial" w:cs="Arial"/>
                <w:sz w:val="24"/>
                <w:szCs w:val="24"/>
              </w:rPr>
            </w:pPr>
            <w:r w:rsidRPr="006862B3">
              <w:rPr>
                <w:rFonts w:ascii="Arial" w:hAnsi="Arial" w:cs="Arial"/>
                <w:sz w:val="24"/>
                <w:szCs w:val="24"/>
              </w:rPr>
              <w:t>Dividends paid</w:t>
            </w:r>
          </w:p>
        </w:tc>
        <w:tc>
          <w:tcPr>
            <w:tcW w:w="1559" w:type="dxa"/>
          </w:tcPr>
          <w:p w:rsidR="00AB042A" w:rsidRPr="006862B3" w:rsidRDefault="00B14C86" w:rsidP="00401CD8">
            <w:pPr>
              <w:jc w:val="right"/>
              <w:rPr>
                <w:rFonts w:ascii="Arial" w:hAnsi="Arial" w:cs="Arial"/>
                <w:b/>
                <w:sz w:val="24"/>
                <w:szCs w:val="24"/>
              </w:rPr>
            </w:pPr>
            <w:r>
              <w:rPr>
                <w:rFonts w:ascii="Arial" w:hAnsi="Arial" w:cs="Arial"/>
                <w:b/>
                <w:sz w:val="24"/>
                <w:szCs w:val="24"/>
              </w:rPr>
              <w:t>(221)</w:t>
            </w:r>
          </w:p>
        </w:tc>
        <w:tc>
          <w:tcPr>
            <w:tcW w:w="1418" w:type="dxa"/>
            <w:shd w:val="clear" w:color="auto" w:fill="auto"/>
          </w:tcPr>
          <w:p w:rsidR="00AB042A" w:rsidRPr="00D24248" w:rsidRDefault="00B14C86" w:rsidP="00401CD8">
            <w:pPr>
              <w:jc w:val="right"/>
              <w:rPr>
                <w:rFonts w:ascii="Arial" w:hAnsi="Arial" w:cs="Arial"/>
                <w:sz w:val="24"/>
                <w:szCs w:val="24"/>
              </w:rPr>
            </w:pPr>
            <w:r>
              <w:rPr>
                <w:rFonts w:ascii="Arial" w:hAnsi="Arial" w:cs="Arial"/>
                <w:sz w:val="24"/>
                <w:szCs w:val="24"/>
              </w:rPr>
              <w:t>(178)</w:t>
            </w:r>
          </w:p>
        </w:tc>
      </w:tr>
      <w:tr w:rsidR="00AB042A" w:rsidRPr="006862B3" w:rsidTr="00C82F88">
        <w:trPr>
          <w:trHeight w:val="270"/>
        </w:trPr>
        <w:tc>
          <w:tcPr>
            <w:tcW w:w="6531" w:type="dxa"/>
            <w:shd w:val="clear" w:color="auto" w:fill="auto"/>
            <w:vAlign w:val="bottom"/>
          </w:tcPr>
          <w:p w:rsidR="00AB042A" w:rsidRPr="006862B3" w:rsidRDefault="00AB042A" w:rsidP="00401CD8">
            <w:pPr>
              <w:rPr>
                <w:rFonts w:ascii="Arial" w:hAnsi="Arial" w:cs="Arial"/>
                <w:sz w:val="24"/>
                <w:szCs w:val="24"/>
              </w:rPr>
            </w:pPr>
            <w:r w:rsidRPr="006862B3">
              <w:rPr>
                <w:rFonts w:ascii="Arial" w:hAnsi="Arial" w:cs="Arial"/>
                <w:sz w:val="24"/>
                <w:szCs w:val="24"/>
              </w:rPr>
              <w:t>Share purchase</w:t>
            </w:r>
            <w:r>
              <w:rPr>
                <w:rFonts w:ascii="Arial" w:hAnsi="Arial" w:cs="Arial"/>
                <w:sz w:val="24"/>
                <w:szCs w:val="24"/>
              </w:rPr>
              <w:t xml:space="preserve"> for employee incentive schemes</w:t>
            </w:r>
          </w:p>
        </w:tc>
        <w:tc>
          <w:tcPr>
            <w:tcW w:w="1559" w:type="dxa"/>
          </w:tcPr>
          <w:p w:rsidR="00AB042A" w:rsidRPr="006862B3" w:rsidRDefault="00B14C86" w:rsidP="00401CD8">
            <w:pPr>
              <w:jc w:val="right"/>
              <w:rPr>
                <w:rFonts w:ascii="Arial" w:hAnsi="Arial" w:cs="Arial"/>
                <w:b/>
                <w:sz w:val="24"/>
                <w:szCs w:val="24"/>
              </w:rPr>
            </w:pPr>
            <w:r>
              <w:rPr>
                <w:rFonts w:ascii="Arial" w:hAnsi="Arial" w:cs="Arial"/>
                <w:b/>
                <w:sz w:val="24"/>
                <w:szCs w:val="24"/>
              </w:rPr>
              <w:t>-</w:t>
            </w:r>
          </w:p>
        </w:tc>
        <w:tc>
          <w:tcPr>
            <w:tcW w:w="1418" w:type="dxa"/>
            <w:shd w:val="clear" w:color="auto" w:fill="auto"/>
          </w:tcPr>
          <w:p w:rsidR="00AB042A" w:rsidRPr="00D24248" w:rsidRDefault="00B14C86" w:rsidP="00401CD8">
            <w:pPr>
              <w:jc w:val="right"/>
              <w:rPr>
                <w:rFonts w:ascii="Arial" w:hAnsi="Arial" w:cs="Arial"/>
                <w:sz w:val="24"/>
                <w:szCs w:val="24"/>
              </w:rPr>
            </w:pPr>
            <w:r>
              <w:rPr>
                <w:rFonts w:ascii="Arial" w:hAnsi="Arial" w:cs="Arial"/>
                <w:sz w:val="24"/>
                <w:szCs w:val="24"/>
              </w:rPr>
              <w:t>(117)</w:t>
            </w:r>
          </w:p>
        </w:tc>
      </w:tr>
      <w:tr w:rsidR="00AB042A" w:rsidRPr="006862B3" w:rsidTr="00C82F88">
        <w:trPr>
          <w:trHeight w:val="270"/>
        </w:trPr>
        <w:tc>
          <w:tcPr>
            <w:tcW w:w="6531" w:type="dxa"/>
            <w:shd w:val="clear" w:color="auto" w:fill="auto"/>
            <w:vAlign w:val="bottom"/>
          </w:tcPr>
          <w:p w:rsidR="00AB042A" w:rsidRPr="006862B3" w:rsidRDefault="00AB042A" w:rsidP="00401CD8">
            <w:pPr>
              <w:rPr>
                <w:rFonts w:ascii="Arial" w:hAnsi="Arial" w:cs="Arial"/>
                <w:sz w:val="24"/>
                <w:szCs w:val="24"/>
              </w:rPr>
            </w:pPr>
            <w:r w:rsidRPr="006862B3">
              <w:rPr>
                <w:rFonts w:ascii="Arial" w:hAnsi="Arial" w:cs="Arial"/>
                <w:sz w:val="24"/>
                <w:szCs w:val="24"/>
              </w:rPr>
              <w:t xml:space="preserve">Strategic </w:t>
            </w:r>
            <w:proofErr w:type="spellStart"/>
            <w:r w:rsidRPr="006862B3">
              <w:rPr>
                <w:rFonts w:ascii="Arial" w:hAnsi="Arial" w:cs="Arial"/>
                <w:sz w:val="24"/>
                <w:szCs w:val="24"/>
              </w:rPr>
              <w:t>capex</w:t>
            </w:r>
            <w:proofErr w:type="spellEnd"/>
            <w:r w:rsidRPr="006862B3">
              <w:rPr>
                <w:rFonts w:ascii="Arial" w:hAnsi="Arial" w:cs="Arial"/>
                <w:sz w:val="24"/>
                <w:szCs w:val="24"/>
              </w:rPr>
              <w:t xml:space="preserve"> investments</w:t>
            </w:r>
            <w:r>
              <w:rPr>
                <w:rFonts w:ascii="Arial" w:hAnsi="Arial" w:cs="Arial"/>
                <w:sz w:val="24"/>
                <w:szCs w:val="24"/>
              </w:rPr>
              <w:t xml:space="preserve"> </w:t>
            </w:r>
            <w:r w:rsidRPr="00221DAD">
              <w:rPr>
                <w:rFonts w:ascii="Arial" w:hAnsi="Arial" w:cs="Arial"/>
                <w:i/>
                <w:sz w:val="20"/>
                <w:szCs w:val="20"/>
                <w:vertAlign w:val="superscript"/>
              </w:rPr>
              <w:t>(2)</w:t>
            </w:r>
          </w:p>
        </w:tc>
        <w:tc>
          <w:tcPr>
            <w:tcW w:w="1559" w:type="dxa"/>
          </w:tcPr>
          <w:p w:rsidR="00AB042A" w:rsidRPr="006862B3" w:rsidRDefault="00AB042A" w:rsidP="00401CD8">
            <w:pPr>
              <w:jc w:val="right"/>
              <w:rPr>
                <w:rFonts w:ascii="Arial" w:hAnsi="Arial" w:cs="Arial"/>
                <w:b/>
                <w:sz w:val="24"/>
                <w:szCs w:val="24"/>
              </w:rPr>
            </w:pPr>
          </w:p>
        </w:tc>
        <w:tc>
          <w:tcPr>
            <w:tcW w:w="1418" w:type="dxa"/>
            <w:shd w:val="clear" w:color="auto" w:fill="auto"/>
          </w:tcPr>
          <w:p w:rsidR="00AB042A" w:rsidRPr="00D24248" w:rsidRDefault="00AB042A" w:rsidP="00401CD8">
            <w:pPr>
              <w:jc w:val="right"/>
              <w:rPr>
                <w:rFonts w:ascii="Arial" w:hAnsi="Arial" w:cs="Arial"/>
                <w:sz w:val="24"/>
                <w:szCs w:val="24"/>
              </w:rPr>
            </w:pPr>
          </w:p>
        </w:tc>
      </w:tr>
      <w:tr w:rsidR="00AB042A" w:rsidRPr="006862B3" w:rsidTr="00C82F88">
        <w:trPr>
          <w:trHeight w:val="270"/>
        </w:trPr>
        <w:tc>
          <w:tcPr>
            <w:tcW w:w="6531" w:type="dxa"/>
            <w:shd w:val="clear" w:color="auto" w:fill="auto"/>
            <w:vAlign w:val="bottom"/>
          </w:tcPr>
          <w:p w:rsidR="00AB042A" w:rsidRPr="006862B3" w:rsidRDefault="00B14C86" w:rsidP="00401CD8">
            <w:pPr>
              <w:rPr>
                <w:rFonts w:ascii="Arial" w:hAnsi="Arial" w:cs="Arial"/>
                <w:sz w:val="24"/>
                <w:szCs w:val="24"/>
              </w:rPr>
            </w:pPr>
            <w:r>
              <w:rPr>
                <w:rFonts w:ascii="Arial" w:hAnsi="Arial" w:cs="Arial"/>
                <w:sz w:val="24"/>
                <w:szCs w:val="24"/>
              </w:rPr>
              <w:t xml:space="preserve">   - Freehold interests</w:t>
            </w:r>
          </w:p>
        </w:tc>
        <w:tc>
          <w:tcPr>
            <w:tcW w:w="1559" w:type="dxa"/>
          </w:tcPr>
          <w:p w:rsidR="00AB042A" w:rsidRPr="006862B3" w:rsidRDefault="00B14C86" w:rsidP="00401CD8">
            <w:pPr>
              <w:jc w:val="right"/>
              <w:rPr>
                <w:rFonts w:ascii="Arial" w:hAnsi="Arial" w:cs="Arial"/>
                <w:b/>
                <w:sz w:val="24"/>
                <w:szCs w:val="24"/>
              </w:rPr>
            </w:pPr>
            <w:r>
              <w:rPr>
                <w:rFonts w:ascii="Arial" w:hAnsi="Arial" w:cs="Arial"/>
                <w:b/>
                <w:sz w:val="24"/>
                <w:szCs w:val="24"/>
              </w:rPr>
              <w:t>-</w:t>
            </w:r>
          </w:p>
        </w:tc>
        <w:tc>
          <w:tcPr>
            <w:tcW w:w="1418" w:type="dxa"/>
            <w:shd w:val="clear" w:color="auto" w:fill="auto"/>
          </w:tcPr>
          <w:p w:rsidR="00AB042A" w:rsidRPr="00D24248" w:rsidRDefault="00B14C86" w:rsidP="00401CD8">
            <w:pPr>
              <w:jc w:val="right"/>
              <w:rPr>
                <w:rFonts w:ascii="Arial" w:hAnsi="Arial" w:cs="Arial"/>
                <w:sz w:val="24"/>
                <w:szCs w:val="24"/>
              </w:rPr>
            </w:pPr>
            <w:r>
              <w:rPr>
                <w:rFonts w:ascii="Arial" w:hAnsi="Arial" w:cs="Arial"/>
                <w:sz w:val="24"/>
                <w:szCs w:val="24"/>
              </w:rPr>
              <w:t>(73)</w:t>
            </w:r>
          </w:p>
        </w:tc>
      </w:tr>
      <w:tr w:rsidR="00AB042A" w:rsidRPr="009D2302" w:rsidTr="00C82F88">
        <w:trPr>
          <w:trHeight w:val="270"/>
        </w:trPr>
        <w:tc>
          <w:tcPr>
            <w:tcW w:w="6531" w:type="dxa"/>
            <w:shd w:val="clear" w:color="auto" w:fill="auto"/>
            <w:vAlign w:val="bottom"/>
          </w:tcPr>
          <w:p w:rsidR="00AB042A" w:rsidRPr="006862B3" w:rsidRDefault="00B14C86" w:rsidP="00401CD8">
            <w:pPr>
              <w:rPr>
                <w:rFonts w:ascii="Arial" w:hAnsi="Arial" w:cs="Arial"/>
                <w:sz w:val="24"/>
                <w:szCs w:val="24"/>
              </w:rPr>
            </w:pPr>
            <w:r>
              <w:rPr>
                <w:rFonts w:ascii="Arial" w:hAnsi="Arial" w:cs="Arial"/>
                <w:sz w:val="24"/>
                <w:szCs w:val="24"/>
              </w:rPr>
              <w:t xml:space="preserve">   - Ex-</w:t>
            </w:r>
            <w:r w:rsidR="004A5017">
              <w:rPr>
                <w:rFonts w:ascii="Arial" w:hAnsi="Arial" w:cs="Arial"/>
                <w:sz w:val="24"/>
                <w:szCs w:val="24"/>
              </w:rPr>
              <w:t>F</w:t>
            </w:r>
            <w:r>
              <w:rPr>
                <w:rFonts w:ascii="Arial" w:hAnsi="Arial" w:cs="Arial"/>
                <w:sz w:val="24"/>
                <w:szCs w:val="24"/>
              </w:rPr>
              <w:t>ocus DIY stores</w:t>
            </w:r>
          </w:p>
        </w:tc>
        <w:tc>
          <w:tcPr>
            <w:tcW w:w="1559" w:type="dxa"/>
          </w:tcPr>
          <w:p w:rsidR="00AB042A" w:rsidRPr="006862B3" w:rsidRDefault="00B14C86" w:rsidP="00401CD8">
            <w:pPr>
              <w:jc w:val="right"/>
              <w:rPr>
                <w:rFonts w:ascii="Arial" w:hAnsi="Arial" w:cs="Arial"/>
                <w:b/>
                <w:sz w:val="24"/>
                <w:szCs w:val="24"/>
              </w:rPr>
            </w:pPr>
            <w:r>
              <w:rPr>
                <w:rFonts w:ascii="Arial" w:hAnsi="Arial" w:cs="Arial"/>
                <w:b/>
                <w:sz w:val="24"/>
                <w:szCs w:val="24"/>
              </w:rPr>
              <w:t>-</w:t>
            </w:r>
          </w:p>
        </w:tc>
        <w:tc>
          <w:tcPr>
            <w:tcW w:w="1418" w:type="dxa"/>
            <w:shd w:val="clear" w:color="auto" w:fill="auto"/>
          </w:tcPr>
          <w:p w:rsidR="00AB042A" w:rsidRPr="00D24248" w:rsidRDefault="00B14C86" w:rsidP="00401CD8">
            <w:pPr>
              <w:jc w:val="right"/>
              <w:rPr>
                <w:rFonts w:ascii="Arial" w:hAnsi="Arial" w:cs="Arial"/>
                <w:sz w:val="24"/>
                <w:szCs w:val="24"/>
              </w:rPr>
            </w:pPr>
            <w:r>
              <w:rPr>
                <w:rFonts w:ascii="Arial" w:hAnsi="Arial" w:cs="Arial"/>
                <w:sz w:val="24"/>
                <w:szCs w:val="24"/>
              </w:rPr>
              <w:t>(39)</w:t>
            </w:r>
          </w:p>
        </w:tc>
      </w:tr>
      <w:tr w:rsidR="00AB042A" w:rsidRPr="009D2302" w:rsidTr="00C82F88">
        <w:trPr>
          <w:trHeight w:val="270"/>
        </w:trPr>
        <w:tc>
          <w:tcPr>
            <w:tcW w:w="6531" w:type="dxa"/>
            <w:tcBorders>
              <w:bottom w:val="single" w:sz="4" w:space="0" w:color="auto"/>
            </w:tcBorders>
            <w:shd w:val="clear" w:color="auto" w:fill="auto"/>
            <w:vAlign w:val="bottom"/>
          </w:tcPr>
          <w:p w:rsidR="00AB042A" w:rsidRPr="009D2302" w:rsidRDefault="00AB042A" w:rsidP="00401CD8">
            <w:pPr>
              <w:rPr>
                <w:rFonts w:ascii="Arial" w:hAnsi="Arial" w:cs="Arial"/>
                <w:sz w:val="24"/>
                <w:szCs w:val="24"/>
              </w:rPr>
            </w:pPr>
            <w:r w:rsidRPr="009D2302">
              <w:rPr>
                <w:rFonts w:ascii="Arial" w:hAnsi="Arial" w:cs="Arial"/>
                <w:sz w:val="24"/>
                <w:szCs w:val="24"/>
              </w:rPr>
              <w:t xml:space="preserve">Other </w:t>
            </w:r>
            <w:r w:rsidRPr="00221DAD">
              <w:rPr>
                <w:rFonts w:ascii="Arial" w:hAnsi="Arial" w:cs="Arial"/>
                <w:i/>
                <w:sz w:val="20"/>
                <w:szCs w:val="20"/>
                <w:vertAlign w:val="superscript"/>
              </w:rPr>
              <w:t>(3)</w:t>
            </w:r>
          </w:p>
        </w:tc>
        <w:tc>
          <w:tcPr>
            <w:tcW w:w="1559" w:type="dxa"/>
            <w:tcBorders>
              <w:bottom w:val="single" w:sz="4" w:space="0" w:color="auto"/>
            </w:tcBorders>
          </w:tcPr>
          <w:p w:rsidR="00AB042A" w:rsidRPr="009D2302" w:rsidRDefault="00B14C86" w:rsidP="00401CD8">
            <w:pPr>
              <w:jc w:val="right"/>
              <w:rPr>
                <w:rFonts w:ascii="Arial" w:hAnsi="Arial" w:cs="Arial"/>
                <w:b/>
                <w:sz w:val="24"/>
                <w:szCs w:val="24"/>
              </w:rPr>
            </w:pPr>
            <w:r>
              <w:rPr>
                <w:rFonts w:ascii="Arial" w:hAnsi="Arial" w:cs="Arial"/>
                <w:b/>
                <w:sz w:val="24"/>
                <w:szCs w:val="24"/>
              </w:rPr>
              <w:t>(10)</w:t>
            </w:r>
          </w:p>
        </w:tc>
        <w:tc>
          <w:tcPr>
            <w:tcW w:w="1418" w:type="dxa"/>
            <w:tcBorders>
              <w:bottom w:val="single" w:sz="4" w:space="0" w:color="auto"/>
            </w:tcBorders>
            <w:shd w:val="clear" w:color="auto" w:fill="auto"/>
          </w:tcPr>
          <w:p w:rsidR="00AB042A" w:rsidRPr="00D24248" w:rsidRDefault="00B14C86" w:rsidP="00401CD8">
            <w:pPr>
              <w:jc w:val="right"/>
              <w:rPr>
                <w:rFonts w:ascii="Arial" w:hAnsi="Arial" w:cs="Arial"/>
                <w:sz w:val="24"/>
                <w:szCs w:val="24"/>
              </w:rPr>
            </w:pPr>
            <w:r>
              <w:rPr>
                <w:rFonts w:ascii="Arial" w:hAnsi="Arial" w:cs="Arial"/>
                <w:sz w:val="24"/>
                <w:szCs w:val="24"/>
              </w:rPr>
              <w:t>(17)</w:t>
            </w:r>
          </w:p>
        </w:tc>
      </w:tr>
      <w:tr w:rsidR="00AB042A" w:rsidRPr="009D2302" w:rsidTr="00C82F88">
        <w:trPr>
          <w:trHeight w:val="270"/>
        </w:trPr>
        <w:tc>
          <w:tcPr>
            <w:tcW w:w="6531" w:type="dxa"/>
            <w:tcBorders>
              <w:top w:val="single" w:sz="4" w:space="0" w:color="auto"/>
            </w:tcBorders>
            <w:shd w:val="clear" w:color="auto" w:fill="auto"/>
            <w:vAlign w:val="bottom"/>
          </w:tcPr>
          <w:p w:rsidR="00AB042A" w:rsidRPr="009D2302" w:rsidRDefault="00AB042A" w:rsidP="00401CD8">
            <w:pPr>
              <w:rPr>
                <w:rFonts w:ascii="Arial" w:hAnsi="Arial" w:cs="Arial"/>
                <w:b/>
                <w:sz w:val="24"/>
                <w:szCs w:val="24"/>
              </w:rPr>
            </w:pPr>
            <w:r w:rsidRPr="009D2302">
              <w:rPr>
                <w:rFonts w:ascii="Arial" w:hAnsi="Arial" w:cs="Arial"/>
                <w:b/>
                <w:sz w:val="24"/>
                <w:szCs w:val="24"/>
              </w:rPr>
              <w:t xml:space="preserve">Cash flow movement in net </w:t>
            </w:r>
            <w:r>
              <w:rPr>
                <w:rFonts w:ascii="Arial" w:hAnsi="Arial" w:cs="Arial"/>
                <w:b/>
                <w:sz w:val="24"/>
                <w:szCs w:val="24"/>
              </w:rPr>
              <w:t>cash/(</w:t>
            </w:r>
            <w:r w:rsidRPr="009D2302">
              <w:rPr>
                <w:rFonts w:ascii="Arial" w:hAnsi="Arial" w:cs="Arial"/>
                <w:b/>
                <w:sz w:val="24"/>
                <w:szCs w:val="24"/>
              </w:rPr>
              <w:t>debt</w:t>
            </w:r>
            <w:r>
              <w:rPr>
                <w:rFonts w:ascii="Arial" w:hAnsi="Arial" w:cs="Arial"/>
                <w:b/>
                <w:sz w:val="24"/>
                <w:szCs w:val="24"/>
              </w:rPr>
              <w:t>)</w:t>
            </w:r>
          </w:p>
        </w:tc>
        <w:tc>
          <w:tcPr>
            <w:tcW w:w="1559" w:type="dxa"/>
            <w:tcBorders>
              <w:top w:val="single" w:sz="4" w:space="0" w:color="auto"/>
            </w:tcBorders>
          </w:tcPr>
          <w:p w:rsidR="00AB042A" w:rsidRPr="009D2302" w:rsidRDefault="00B14C86" w:rsidP="00401CD8">
            <w:pPr>
              <w:jc w:val="right"/>
              <w:rPr>
                <w:rFonts w:ascii="Arial" w:hAnsi="Arial" w:cs="Arial"/>
                <w:b/>
                <w:sz w:val="24"/>
                <w:szCs w:val="24"/>
              </w:rPr>
            </w:pPr>
            <w:r>
              <w:rPr>
                <w:rFonts w:ascii="Arial" w:hAnsi="Arial" w:cs="Arial"/>
                <w:b/>
                <w:sz w:val="24"/>
                <w:szCs w:val="24"/>
              </w:rPr>
              <w:t>99</w:t>
            </w:r>
          </w:p>
        </w:tc>
        <w:tc>
          <w:tcPr>
            <w:tcW w:w="1418" w:type="dxa"/>
            <w:tcBorders>
              <w:top w:val="single" w:sz="4" w:space="0" w:color="auto"/>
            </w:tcBorders>
            <w:shd w:val="clear" w:color="auto" w:fill="auto"/>
          </w:tcPr>
          <w:p w:rsidR="00AB042A" w:rsidRPr="00D24248" w:rsidRDefault="00B14C86" w:rsidP="00401CD8">
            <w:pPr>
              <w:jc w:val="right"/>
              <w:rPr>
                <w:rFonts w:ascii="Arial" w:hAnsi="Arial" w:cs="Arial"/>
                <w:sz w:val="24"/>
                <w:szCs w:val="24"/>
              </w:rPr>
            </w:pPr>
            <w:r>
              <w:rPr>
                <w:rFonts w:ascii="Arial" w:hAnsi="Arial" w:cs="Arial"/>
                <w:sz w:val="24"/>
                <w:szCs w:val="24"/>
              </w:rPr>
              <w:t>(57)</w:t>
            </w:r>
          </w:p>
        </w:tc>
      </w:tr>
      <w:tr w:rsidR="00AB042A" w:rsidRPr="00EE25F8" w:rsidTr="00C82F88">
        <w:trPr>
          <w:trHeight w:val="270"/>
        </w:trPr>
        <w:tc>
          <w:tcPr>
            <w:tcW w:w="6531" w:type="dxa"/>
            <w:shd w:val="clear" w:color="auto" w:fill="auto"/>
            <w:vAlign w:val="bottom"/>
          </w:tcPr>
          <w:p w:rsidR="00AB042A" w:rsidRPr="00EE25F8" w:rsidRDefault="00AB042A" w:rsidP="00401CD8">
            <w:pPr>
              <w:rPr>
                <w:rFonts w:ascii="Arial" w:hAnsi="Arial" w:cs="Arial"/>
                <w:sz w:val="24"/>
                <w:szCs w:val="24"/>
              </w:rPr>
            </w:pPr>
            <w:r w:rsidRPr="00EE25F8">
              <w:rPr>
                <w:rFonts w:ascii="Arial" w:hAnsi="Arial" w:cs="Arial"/>
                <w:sz w:val="24"/>
                <w:szCs w:val="24"/>
              </w:rPr>
              <w:t xml:space="preserve">Opening </w:t>
            </w:r>
            <w:r w:rsidRPr="00F53F2D">
              <w:rPr>
                <w:rFonts w:ascii="Arial" w:hAnsi="Arial" w:cs="Arial"/>
                <w:sz w:val="24"/>
                <w:szCs w:val="24"/>
              </w:rPr>
              <w:t>net (debt)/cash</w:t>
            </w:r>
          </w:p>
        </w:tc>
        <w:tc>
          <w:tcPr>
            <w:tcW w:w="1559" w:type="dxa"/>
          </w:tcPr>
          <w:p w:rsidR="00AB042A" w:rsidRPr="00DC1C03" w:rsidRDefault="00B14C86" w:rsidP="00401CD8">
            <w:pPr>
              <w:jc w:val="right"/>
              <w:rPr>
                <w:rFonts w:ascii="Arial" w:hAnsi="Arial" w:cs="Arial"/>
                <w:b/>
                <w:sz w:val="24"/>
                <w:szCs w:val="24"/>
              </w:rPr>
            </w:pPr>
            <w:r>
              <w:rPr>
                <w:rFonts w:ascii="Arial" w:hAnsi="Arial" w:cs="Arial"/>
                <w:b/>
                <w:sz w:val="24"/>
                <w:szCs w:val="24"/>
              </w:rPr>
              <w:t>(88)</w:t>
            </w:r>
          </w:p>
        </w:tc>
        <w:tc>
          <w:tcPr>
            <w:tcW w:w="1418" w:type="dxa"/>
            <w:shd w:val="clear" w:color="auto" w:fill="auto"/>
          </w:tcPr>
          <w:p w:rsidR="00AB042A" w:rsidRPr="00D24248" w:rsidRDefault="00B14C86" w:rsidP="00401CD8">
            <w:pPr>
              <w:jc w:val="right"/>
              <w:rPr>
                <w:rFonts w:ascii="Arial" w:hAnsi="Arial" w:cs="Arial"/>
                <w:sz w:val="24"/>
                <w:szCs w:val="24"/>
              </w:rPr>
            </w:pPr>
            <w:r>
              <w:rPr>
                <w:rFonts w:ascii="Arial" w:hAnsi="Arial" w:cs="Arial"/>
                <w:sz w:val="24"/>
                <w:szCs w:val="24"/>
              </w:rPr>
              <w:t>14</w:t>
            </w:r>
          </w:p>
        </w:tc>
      </w:tr>
      <w:tr w:rsidR="00AB042A" w:rsidRPr="00EE25F8" w:rsidTr="00C82F88">
        <w:trPr>
          <w:trHeight w:val="270"/>
        </w:trPr>
        <w:tc>
          <w:tcPr>
            <w:tcW w:w="6531" w:type="dxa"/>
            <w:tcBorders>
              <w:bottom w:val="single" w:sz="4" w:space="0" w:color="auto"/>
            </w:tcBorders>
            <w:shd w:val="clear" w:color="auto" w:fill="auto"/>
            <w:vAlign w:val="bottom"/>
          </w:tcPr>
          <w:p w:rsidR="00AB042A" w:rsidRPr="00EE25F8" w:rsidRDefault="00AB042A" w:rsidP="00401CD8">
            <w:pPr>
              <w:rPr>
                <w:rFonts w:ascii="Arial" w:hAnsi="Arial" w:cs="Arial"/>
                <w:sz w:val="24"/>
                <w:szCs w:val="24"/>
              </w:rPr>
            </w:pPr>
            <w:r>
              <w:rPr>
                <w:rFonts w:ascii="Arial" w:hAnsi="Arial" w:cs="Arial"/>
                <w:sz w:val="24"/>
                <w:szCs w:val="24"/>
              </w:rPr>
              <w:t>Other movement including foreign exchange</w:t>
            </w:r>
          </w:p>
        </w:tc>
        <w:tc>
          <w:tcPr>
            <w:tcW w:w="1559" w:type="dxa"/>
            <w:tcBorders>
              <w:bottom w:val="single" w:sz="4" w:space="0" w:color="auto"/>
            </w:tcBorders>
          </w:tcPr>
          <w:p w:rsidR="00AB042A" w:rsidRPr="00DC1C03" w:rsidRDefault="00B14C86" w:rsidP="00401CD8">
            <w:pPr>
              <w:jc w:val="right"/>
              <w:rPr>
                <w:rFonts w:ascii="Arial" w:hAnsi="Arial" w:cs="Arial"/>
                <w:b/>
                <w:sz w:val="24"/>
                <w:szCs w:val="24"/>
              </w:rPr>
            </w:pPr>
            <w:r>
              <w:rPr>
                <w:rFonts w:ascii="Arial" w:hAnsi="Arial" w:cs="Arial"/>
                <w:b/>
                <w:sz w:val="24"/>
                <w:szCs w:val="24"/>
              </w:rPr>
              <w:t>27</w:t>
            </w:r>
          </w:p>
        </w:tc>
        <w:tc>
          <w:tcPr>
            <w:tcW w:w="1418" w:type="dxa"/>
            <w:tcBorders>
              <w:bottom w:val="single" w:sz="4" w:space="0" w:color="auto"/>
            </w:tcBorders>
            <w:shd w:val="clear" w:color="auto" w:fill="auto"/>
          </w:tcPr>
          <w:p w:rsidR="00AB042A" w:rsidRPr="00D24248" w:rsidRDefault="00B14C86" w:rsidP="00401CD8">
            <w:pPr>
              <w:jc w:val="right"/>
              <w:rPr>
                <w:rFonts w:ascii="Arial" w:hAnsi="Arial" w:cs="Arial"/>
                <w:sz w:val="24"/>
                <w:szCs w:val="24"/>
              </w:rPr>
            </w:pPr>
            <w:r>
              <w:rPr>
                <w:rFonts w:ascii="Arial" w:hAnsi="Arial" w:cs="Arial"/>
                <w:sz w:val="24"/>
                <w:szCs w:val="24"/>
              </w:rPr>
              <w:t>(45)</w:t>
            </w:r>
          </w:p>
        </w:tc>
      </w:tr>
      <w:tr w:rsidR="00AB042A" w:rsidRPr="009D2302" w:rsidTr="00C82F88">
        <w:trPr>
          <w:trHeight w:val="270"/>
        </w:trPr>
        <w:tc>
          <w:tcPr>
            <w:tcW w:w="6531" w:type="dxa"/>
            <w:tcBorders>
              <w:top w:val="single" w:sz="4" w:space="0" w:color="auto"/>
              <w:bottom w:val="single" w:sz="4" w:space="0" w:color="auto"/>
            </w:tcBorders>
            <w:shd w:val="clear" w:color="auto" w:fill="auto"/>
            <w:vAlign w:val="bottom"/>
          </w:tcPr>
          <w:p w:rsidR="00AB042A" w:rsidRPr="009D2302" w:rsidRDefault="00AB042A" w:rsidP="00401CD8">
            <w:pPr>
              <w:rPr>
                <w:rFonts w:ascii="Arial" w:hAnsi="Arial" w:cs="Arial"/>
                <w:b/>
                <w:sz w:val="24"/>
                <w:szCs w:val="24"/>
              </w:rPr>
            </w:pPr>
            <w:r>
              <w:rPr>
                <w:rFonts w:ascii="Arial" w:hAnsi="Arial" w:cs="Arial"/>
                <w:b/>
                <w:sz w:val="24"/>
                <w:szCs w:val="24"/>
              </w:rPr>
              <w:t>Closing net cash/(debt)</w:t>
            </w:r>
          </w:p>
        </w:tc>
        <w:tc>
          <w:tcPr>
            <w:tcW w:w="1559" w:type="dxa"/>
            <w:tcBorders>
              <w:top w:val="single" w:sz="4" w:space="0" w:color="auto"/>
              <w:bottom w:val="single" w:sz="4" w:space="0" w:color="auto"/>
            </w:tcBorders>
          </w:tcPr>
          <w:p w:rsidR="00AB042A" w:rsidRPr="009D2302" w:rsidRDefault="00B14C86" w:rsidP="00401CD8">
            <w:pPr>
              <w:jc w:val="right"/>
              <w:rPr>
                <w:rFonts w:ascii="Arial" w:hAnsi="Arial" w:cs="Arial"/>
                <w:b/>
                <w:sz w:val="24"/>
                <w:szCs w:val="24"/>
              </w:rPr>
            </w:pPr>
            <w:r>
              <w:rPr>
                <w:rFonts w:ascii="Arial" w:hAnsi="Arial" w:cs="Arial"/>
                <w:b/>
                <w:sz w:val="24"/>
                <w:szCs w:val="24"/>
              </w:rPr>
              <w:t>38</w:t>
            </w:r>
          </w:p>
        </w:tc>
        <w:tc>
          <w:tcPr>
            <w:tcW w:w="1418" w:type="dxa"/>
            <w:tcBorders>
              <w:top w:val="single" w:sz="4" w:space="0" w:color="auto"/>
              <w:bottom w:val="single" w:sz="4" w:space="0" w:color="auto"/>
            </w:tcBorders>
            <w:shd w:val="clear" w:color="auto" w:fill="auto"/>
          </w:tcPr>
          <w:p w:rsidR="00AB042A" w:rsidRPr="00D24248" w:rsidRDefault="00B14C86" w:rsidP="00401CD8">
            <w:pPr>
              <w:jc w:val="right"/>
              <w:rPr>
                <w:rFonts w:ascii="Arial" w:hAnsi="Arial" w:cs="Arial"/>
                <w:sz w:val="24"/>
                <w:szCs w:val="24"/>
              </w:rPr>
            </w:pPr>
            <w:r>
              <w:rPr>
                <w:rFonts w:ascii="Arial" w:hAnsi="Arial" w:cs="Arial"/>
                <w:sz w:val="24"/>
                <w:szCs w:val="24"/>
              </w:rPr>
              <w:t>(88)</w:t>
            </w:r>
          </w:p>
        </w:tc>
      </w:tr>
    </w:tbl>
    <w:p w:rsidR="00D87B09" w:rsidRDefault="00D87B09" w:rsidP="00AB042A">
      <w:pPr>
        <w:ind w:right="-368"/>
        <w:jc w:val="left"/>
        <w:rPr>
          <w:rFonts w:ascii="Arial" w:hAnsi="Arial" w:cs="Arial"/>
          <w:i/>
          <w:sz w:val="20"/>
          <w:szCs w:val="20"/>
          <w:vertAlign w:val="superscript"/>
        </w:rPr>
      </w:pPr>
    </w:p>
    <w:p w:rsidR="00AB042A" w:rsidRDefault="00AB042A" w:rsidP="00AB042A">
      <w:pPr>
        <w:ind w:right="-368"/>
        <w:jc w:val="left"/>
        <w:rPr>
          <w:rFonts w:ascii="Arial" w:hAnsi="Arial" w:cs="Arial"/>
          <w:i/>
          <w:sz w:val="18"/>
          <w:szCs w:val="18"/>
        </w:rPr>
      </w:pPr>
      <w:r w:rsidRPr="00221DAD">
        <w:rPr>
          <w:rFonts w:ascii="Arial" w:hAnsi="Arial" w:cs="Arial"/>
          <w:i/>
          <w:sz w:val="20"/>
          <w:szCs w:val="20"/>
          <w:vertAlign w:val="superscript"/>
        </w:rPr>
        <w:t>(1)</w:t>
      </w:r>
      <w:r w:rsidRPr="00AC454C">
        <w:rPr>
          <w:rFonts w:ascii="Arial" w:hAnsi="Arial" w:cs="Arial"/>
          <w:i/>
          <w:sz w:val="18"/>
          <w:szCs w:val="18"/>
        </w:rPr>
        <w:t xml:space="preserve"> Includes depreciation and amortisation, </w:t>
      </w:r>
      <w:r w:rsidR="00B14C86">
        <w:rPr>
          <w:rFonts w:ascii="Arial" w:hAnsi="Arial" w:cs="Arial"/>
          <w:i/>
          <w:sz w:val="18"/>
          <w:szCs w:val="18"/>
        </w:rPr>
        <w:t xml:space="preserve">impairment losses, </w:t>
      </w:r>
      <w:r w:rsidRPr="00AC454C">
        <w:rPr>
          <w:rFonts w:ascii="Arial" w:hAnsi="Arial" w:cs="Arial"/>
          <w:i/>
          <w:sz w:val="18"/>
          <w:szCs w:val="18"/>
        </w:rPr>
        <w:t>sh</w:t>
      </w:r>
      <w:r w:rsidR="0076772C">
        <w:rPr>
          <w:rFonts w:ascii="Arial" w:hAnsi="Arial" w:cs="Arial"/>
          <w:i/>
          <w:sz w:val="18"/>
          <w:szCs w:val="18"/>
        </w:rPr>
        <w:t xml:space="preserve">are-based compensation charge, </w:t>
      </w:r>
      <w:r w:rsidRPr="00AC454C">
        <w:rPr>
          <w:rFonts w:ascii="Arial" w:hAnsi="Arial" w:cs="Arial"/>
          <w:i/>
          <w:sz w:val="18"/>
          <w:szCs w:val="18"/>
        </w:rPr>
        <w:t>share of post-tax results of JVs and associates</w:t>
      </w:r>
      <w:r w:rsidR="00B14C86">
        <w:rPr>
          <w:rFonts w:ascii="Arial" w:hAnsi="Arial" w:cs="Arial"/>
          <w:i/>
          <w:sz w:val="18"/>
          <w:szCs w:val="18"/>
        </w:rPr>
        <w:t>, pension service cost</w:t>
      </w:r>
      <w:r w:rsidRPr="00AC454C">
        <w:rPr>
          <w:rFonts w:ascii="Arial" w:hAnsi="Arial" w:cs="Arial"/>
          <w:i/>
          <w:sz w:val="18"/>
          <w:szCs w:val="18"/>
        </w:rPr>
        <w:t xml:space="preserve"> and profit/loss on retail disposals.</w:t>
      </w:r>
    </w:p>
    <w:p w:rsidR="00AB042A" w:rsidRPr="00FB458E" w:rsidRDefault="00AB042A" w:rsidP="00AB042A">
      <w:pPr>
        <w:ind w:right="-368"/>
        <w:jc w:val="left"/>
        <w:rPr>
          <w:rFonts w:ascii="Arial" w:hAnsi="Arial" w:cs="Arial"/>
          <w:i/>
          <w:sz w:val="18"/>
          <w:szCs w:val="18"/>
        </w:rPr>
      </w:pPr>
      <w:r w:rsidRPr="00221DAD">
        <w:rPr>
          <w:rFonts w:ascii="Arial" w:hAnsi="Arial" w:cs="Arial"/>
          <w:i/>
          <w:sz w:val="20"/>
          <w:szCs w:val="20"/>
          <w:vertAlign w:val="superscript"/>
        </w:rPr>
        <w:t>(2)</w:t>
      </w:r>
      <w:r>
        <w:rPr>
          <w:rFonts w:ascii="Arial" w:hAnsi="Arial" w:cs="Arial"/>
          <w:i/>
          <w:sz w:val="18"/>
          <w:szCs w:val="18"/>
        </w:rPr>
        <w:t xml:space="preserve"> Investments of a one-off nature, such as bolt on acquisitions and buy outs of freeholds in existing leased stores.</w:t>
      </w:r>
    </w:p>
    <w:p w:rsidR="00AB042A" w:rsidRPr="00FB458E" w:rsidRDefault="00AB042A" w:rsidP="00AB042A">
      <w:pPr>
        <w:ind w:right="-368"/>
        <w:jc w:val="left"/>
        <w:rPr>
          <w:rFonts w:ascii="Arial" w:hAnsi="Arial" w:cs="Arial"/>
          <w:i/>
          <w:sz w:val="18"/>
          <w:szCs w:val="18"/>
        </w:rPr>
      </w:pPr>
      <w:r w:rsidRPr="00221DAD">
        <w:rPr>
          <w:rFonts w:ascii="Arial" w:hAnsi="Arial" w:cs="Arial"/>
          <w:i/>
          <w:sz w:val="20"/>
          <w:szCs w:val="20"/>
          <w:vertAlign w:val="superscript"/>
        </w:rPr>
        <w:t>(3)</w:t>
      </w:r>
      <w:r w:rsidRPr="00AC454C">
        <w:rPr>
          <w:rFonts w:ascii="Arial" w:hAnsi="Arial" w:cs="Arial"/>
          <w:i/>
          <w:sz w:val="18"/>
          <w:szCs w:val="18"/>
        </w:rPr>
        <w:t xml:space="preserve"> Includes dividends received from JVs and associates, </w:t>
      </w:r>
      <w:r w:rsidR="00B14C86">
        <w:rPr>
          <w:rFonts w:ascii="Arial" w:hAnsi="Arial" w:cs="Arial"/>
          <w:i/>
          <w:sz w:val="18"/>
          <w:szCs w:val="18"/>
        </w:rPr>
        <w:t xml:space="preserve">business acquisitions, </w:t>
      </w:r>
      <w:r w:rsidRPr="00AC454C">
        <w:rPr>
          <w:rFonts w:ascii="Arial" w:hAnsi="Arial" w:cs="Arial"/>
          <w:i/>
          <w:sz w:val="18"/>
          <w:szCs w:val="18"/>
        </w:rPr>
        <w:t>issue of share</w:t>
      </w:r>
      <w:r w:rsidR="00B14C86">
        <w:rPr>
          <w:rFonts w:ascii="Arial" w:hAnsi="Arial" w:cs="Arial"/>
          <w:i/>
          <w:sz w:val="18"/>
          <w:szCs w:val="18"/>
        </w:rPr>
        <w:t xml:space="preserve">s </w:t>
      </w:r>
      <w:r>
        <w:rPr>
          <w:rFonts w:ascii="Arial" w:hAnsi="Arial" w:cs="Arial"/>
          <w:i/>
          <w:sz w:val="18"/>
          <w:szCs w:val="18"/>
        </w:rPr>
        <w:t xml:space="preserve">and exceptional items (excluding property disposals). </w:t>
      </w:r>
    </w:p>
    <w:p w:rsidR="009E0561" w:rsidRDefault="009E0561" w:rsidP="00C82F88">
      <w:pPr>
        <w:jc w:val="left"/>
        <w:rPr>
          <w:rFonts w:ascii="Arial" w:hAnsi="Arial" w:cs="Arial"/>
          <w:sz w:val="24"/>
          <w:szCs w:val="24"/>
        </w:rPr>
      </w:pPr>
    </w:p>
    <w:p w:rsidR="00AB042A" w:rsidRPr="00C82F88" w:rsidRDefault="00AB042A" w:rsidP="00C82F88">
      <w:pPr>
        <w:jc w:val="left"/>
        <w:rPr>
          <w:rFonts w:ascii="Arial" w:hAnsi="Arial" w:cs="Arial"/>
          <w:sz w:val="24"/>
          <w:szCs w:val="24"/>
        </w:rPr>
      </w:pPr>
      <w:r w:rsidRPr="00C82F88">
        <w:rPr>
          <w:rFonts w:ascii="Arial" w:hAnsi="Arial" w:cs="Arial" w:hint="eastAsia"/>
          <w:sz w:val="24"/>
          <w:szCs w:val="24"/>
        </w:rPr>
        <w:t xml:space="preserve">Net cash at the end of the year was </w:t>
      </w:r>
      <w:r w:rsidRPr="00C82F88">
        <w:rPr>
          <w:rFonts w:ascii="Arial" w:hAnsi="Arial" w:cs="Arial"/>
          <w:sz w:val="24"/>
          <w:szCs w:val="24"/>
        </w:rPr>
        <w:t>£</w:t>
      </w:r>
      <w:r w:rsidRPr="00C82F88">
        <w:rPr>
          <w:rFonts w:ascii="Arial" w:hAnsi="Arial" w:cs="Arial" w:hint="eastAsia"/>
          <w:sz w:val="24"/>
          <w:szCs w:val="24"/>
        </w:rPr>
        <w:t xml:space="preserve">38 million (2011/12: </w:t>
      </w:r>
      <w:r w:rsidRPr="00C82F88">
        <w:rPr>
          <w:rFonts w:ascii="Arial" w:hAnsi="Arial" w:cs="Arial"/>
          <w:sz w:val="24"/>
          <w:szCs w:val="24"/>
        </w:rPr>
        <w:t>£</w:t>
      </w:r>
      <w:r w:rsidRPr="00C82F88">
        <w:rPr>
          <w:rFonts w:ascii="Arial" w:hAnsi="Arial" w:cs="Arial" w:hint="eastAsia"/>
          <w:sz w:val="24"/>
          <w:szCs w:val="24"/>
        </w:rPr>
        <w:t xml:space="preserve">88 million net debt). </w:t>
      </w:r>
    </w:p>
    <w:p w:rsidR="00AB042A" w:rsidRPr="00C82F88" w:rsidRDefault="00AB042A" w:rsidP="00600993">
      <w:pPr>
        <w:jc w:val="left"/>
        <w:rPr>
          <w:rFonts w:ascii="Arial" w:hAnsi="Arial" w:cs="Arial"/>
          <w:sz w:val="24"/>
          <w:szCs w:val="24"/>
        </w:rPr>
      </w:pPr>
    </w:p>
    <w:p w:rsidR="00234ACC" w:rsidRDefault="00AB042A" w:rsidP="00C82F88">
      <w:pPr>
        <w:jc w:val="left"/>
        <w:rPr>
          <w:rFonts w:ascii="Arial" w:hAnsi="Arial" w:cs="Arial"/>
          <w:sz w:val="24"/>
          <w:szCs w:val="24"/>
        </w:rPr>
      </w:pPr>
      <w:r w:rsidRPr="00C82F88">
        <w:rPr>
          <w:rFonts w:ascii="Arial" w:hAnsi="Arial" w:cs="Arial" w:hint="eastAsia"/>
          <w:sz w:val="24"/>
          <w:szCs w:val="24"/>
        </w:rPr>
        <w:t xml:space="preserve">Free cash flow of </w:t>
      </w:r>
      <w:r w:rsidRPr="00C82F88">
        <w:rPr>
          <w:rFonts w:ascii="Arial" w:hAnsi="Arial" w:cs="Arial"/>
          <w:sz w:val="24"/>
          <w:szCs w:val="24"/>
        </w:rPr>
        <w:t>£</w:t>
      </w:r>
      <w:r w:rsidRPr="00C82F88">
        <w:rPr>
          <w:rFonts w:ascii="Arial" w:hAnsi="Arial" w:cs="Arial" w:hint="eastAsia"/>
          <w:sz w:val="24"/>
          <w:szCs w:val="24"/>
        </w:rPr>
        <w:t xml:space="preserve">330 million was generated in the year, a decline of </w:t>
      </w:r>
      <w:r w:rsidRPr="00C82F88">
        <w:rPr>
          <w:rFonts w:ascii="Arial" w:hAnsi="Arial" w:cs="Arial"/>
          <w:sz w:val="24"/>
          <w:szCs w:val="24"/>
        </w:rPr>
        <w:t>£</w:t>
      </w:r>
      <w:r w:rsidRPr="00C82F88">
        <w:rPr>
          <w:rFonts w:ascii="Arial" w:hAnsi="Arial" w:cs="Arial" w:hint="eastAsia"/>
          <w:sz w:val="24"/>
          <w:szCs w:val="24"/>
        </w:rPr>
        <w:t>37 million year</w:t>
      </w:r>
      <w:r w:rsidR="00BF6B56">
        <w:rPr>
          <w:rFonts w:ascii="Arial" w:hAnsi="Arial" w:cs="Arial"/>
          <w:sz w:val="24"/>
          <w:szCs w:val="24"/>
        </w:rPr>
        <w:t xml:space="preserve"> </w:t>
      </w:r>
      <w:r w:rsidRPr="00C82F88">
        <w:rPr>
          <w:rFonts w:ascii="Arial" w:hAnsi="Arial" w:cs="Arial" w:hint="eastAsia"/>
          <w:sz w:val="24"/>
          <w:szCs w:val="24"/>
        </w:rPr>
        <w:t>on</w:t>
      </w:r>
      <w:r w:rsidR="00BF6B56">
        <w:rPr>
          <w:rFonts w:ascii="Arial" w:hAnsi="Arial" w:cs="Arial"/>
          <w:sz w:val="24"/>
          <w:szCs w:val="24"/>
        </w:rPr>
        <w:t xml:space="preserve"> </w:t>
      </w:r>
      <w:r w:rsidRPr="00C82F88">
        <w:rPr>
          <w:rFonts w:ascii="Arial" w:hAnsi="Arial" w:cs="Arial" w:hint="eastAsia"/>
          <w:sz w:val="24"/>
          <w:szCs w:val="24"/>
        </w:rPr>
        <w:t>year primarily due to the reduced profit generation</w:t>
      </w:r>
      <w:r w:rsidR="00D72E13">
        <w:rPr>
          <w:rFonts w:ascii="Arial" w:hAnsi="Arial" w:cs="Arial"/>
          <w:sz w:val="24"/>
          <w:szCs w:val="24"/>
        </w:rPr>
        <w:t xml:space="preserve"> offset by lower capital expenditure. </w:t>
      </w:r>
    </w:p>
    <w:p w:rsidR="00234ACC" w:rsidRPr="00C82F88" w:rsidRDefault="00234ACC" w:rsidP="00C82F88">
      <w:pPr>
        <w:jc w:val="left"/>
        <w:rPr>
          <w:rFonts w:ascii="Arial" w:hAnsi="Arial" w:cs="Arial"/>
          <w:sz w:val="24"/>
          <w:szCs w:val="24"/>
        </w:rPr>
      </w:pPr>
    </w:p>
    <w:p w:rsidR="00AB042A" w:rsidRPr="00C82F88" w:rsidRDefault="00AB042A" w:rsidP="00C82F88">
      <w:pPr>
        <w:jc w:val="left"/>
        <w:rPr>
          <w:rFonts w:ascii="Arial" w:hAnsi="Arial" w:cs="Arial"/>
          <w:sz w:val="24"/>
          <w:szCs w:val="24"/>
        </w:rPr>
      </w:pPr>
      <w:r w:rsidRPr="00C82F88">
        <w:rPr>
          <w:rFonts w:ascii="Arial" w:hAnsi="Arial" w:cs="Arial" w:hint="eastAsia"/>
          <w:sz w:val="24"/>
          <w:szCs w:val="24"/>
        </w:rPr>
        <w:t xml:space="preserve">During the year free cash flow generated was utilised to improve shareholder returns with the dividend being increased to </w:t>
      </w:r>
      <w:r w:rsidRPr="00C82F88">
        <w:rPr>
          <w:rFonts w:ascii="Arial" w:hAnsi="Arial" w:cs="Arial"/>
          <w:sz w:val="24"/>
          <w:szCs w:val="24"/>
        </w:rPr>
        <w:t>£</w:t>
      </w:r>
      <w:r w:rsidRPr="00C82F88">
        <w:rPr>
          <w:rFonts w:ascii="Arial" w:hAnsi="Arial" w:cs="Arial" w:hint="eastAsia"/>
          <w:sz w:val="24"/>
          <w:szCs w:val="24"/>
        </w:rPr>
        <w:t xml:space="preserve">221 million.  </w:t>
      </w:r>
    </w:p>
    <w:p w:rsidR="00AB042A" w:rsidRPr="00C82F88" w:rsidRDefault="00AB042A" w:rsidP="00C82F88">
      <w:pPr>
        <w:jc w:val="left"/>
        <w:rPr>
          <w:rFonts w:ascii="Arial" w:hAnsi="Arial" w:cs="Arial"/>
          <w:sz w:val="24"/>
          <w:szCs w:val="24"/>
        </w:rPr>
      </w:pPr>
    </w:p>
    <w:p w:rsidR="00AB042A" w:rsidRPr="00C82F88" w:rsidRDefault="00AB042A" w:rsidP="00C82F88">
      <w:pPr>
        <w:jc w:val="left"/>
        <w:rPr>
          <w:rFonts w:ascii="Arial" w:hAnsi="Arial" w:cs="Arial"/>
          <w:sz w:val="24"/>
          <w:szCs w:val="24"/>
        </w:rPr>
      </w:pPr>
      <w:r w:rsidRPr="00C82F88">
        <w:rPr>
          <w:rFonts w:ascii="Arial" w:hAnsi="Arial" w:cs="Arial" w:hint="eastAsia"/>
          <w:sz w:val="24"/>
          <w:szCs w:val="24"/>
        </w:rPr>
        <w:t xml:space="preserve">In the prior year we invested additional funds outside </w:t>
      </w:r>
      <w:r>
        <w:rPr>
          <w:rFonts w:ascii="Arial" w:hAnsi="Arial" w:cs="Arial"/>
          <w:sz w:val="24"/>
          <w:szCs w:val="24"/>
        </w:rPr>
        <w:t>of our normal ‘free cash flow’</w:t>
      </w:r>
      <w:r w:rsidRPr="00C82F88">
        <w:rPr>
          <w:rFonts w:ascii="Arial" w:hAnsi="Arial" w:cs="Arial"/>
          <w:sz w:val="24"/>
          <w:szCs w:val="24"/>
        </w:rPr>
        <w:t xml:space="preserve"> with £112 million allocated to strategic </w:t>
      </w:r>
      <w:proofErr w:type="spellStart"/>
      <w:r w:rsidRPr="00C82F88">
        <w:rPr>
          <w:rFonts w:ascii="Arial" w:hAnsi="Arial" w:cs="Arial"/>
          <w:sz w:val="24"/>
          <w:szCs w:val="24"/>
        </w:rPr>
        <w:t>capex</w:t>
      </w:r>
      <w:proofErr w:type="spellEnd"/>
      <w:r w:rsidRPr="00C82F88">
        <w:rPr>
          <w:rFonts w:ascii="Arial" w:hAnsi="Arial" w:cs="Arial"/>
          <w:sz w:val="24"/>
          <w:szCs w:val="24"/>
        </w:rPr>
        <w:t xml:space="preserve"> investments and £117 million on acquiring our own shares</w:t>
      </w:r>
      <w:r w:rsidR="00D71803">
        <w:rPr>
          <w:rFonts w:ascii="Arial" w:hAnsi="Arial" w:cs="Arial"/>
          <w:sz w:val="24"/>
          <w:szCs w:val="24"/>
        </w:rPr>
        <w:t xml:space="preserve"> to match employee incentive schemes</w:t>
      </w:r>
      <w:r w:rsidRPr="00C82F88">
        <w:rPr>
          <w:rFonts w:ascii="Arial" w:hAnsi="Arial" w:cs="Arial"/>
          <w:sz w:val="24"/>
          <w:szCs w:val="24"/>
        </w:rPr>
        <w:t xml:space="preserve">.  The strategic </w:t>
      </w:r>
      <w:proofErr w:type="spellStart"/>
      <w:r w:rsidRPr="00C82F88">
        <w:rPr>
          <w:rFonts w:ascii="Arial" w:hAnsi="Arial" w:cs="Arial"/>
          <w:sz w:val="24"/>
          <w:szCs w:val="24"/>
        </w:rPr>
        <w:t>capex</w:t>
      </w:r>
      <w:proofErr w:type="spellEnd"/>
      <w:r w:rsidRPr="00C82F88">
        <w:rPr>
          <w:rFonts w:ascii="Arial" w:hAnsi="Arial" w:cs="Arial"/>
          <w:sz w:val="24"/>
          <w:szCs w:val="24"/>
        </w:rPr>
        <w:t xml:space="preserve"> spend included £73 million in the </w:t>
      </w:r>
      <w:smartTag w:uri="urn:schemas-microsoft-com:office:smarttags" w:element="place">
        <w:smartTag w:uri="urn:schemas-microsoft-com:office:smarttags" w:element="country-region">
          <w:r w:rsidRPr="00C82F88">
            <w:rPr>
              <w:rFonts w:ascii="Arial" w:hAnsi="Arial" w:cs="Arial" w:hint="eastAsia"/>
              <w:sz w:val="24"/>
              <w:szCs w:val="24"/>
            </w:rPr>
            <w:t>UK</w:t>
          </w:r>
        </w:smartTag>
      </w:smartTag>
      <w:r w:rsidRPr="00C82F88">
        <w:rPr>
          <w:rFonts w:ascii="Arial" w:hAnsi="Arial" w:cs="Arial"/>
          <w:sz w:val="24"/>
          <w:szCs w:val="24"/>
        </w:rPr>
        <w:t xml:space="preserve"> where we had actively decided to purchase freeholds already occupied and £39 million on the acquisition of 29 Focus stores. </w:t>
      </w:r>
    </w:p>
    <w:p w:rsidR="00AB042A" w:rsidRPr="00C82F88" w:rsidRDefault="00AB042A" w:rsidP="00C82F88">
      <w:pPr>
        <w:jc w:val="left"/>
        <w:rPr>
          <w:rFonts w:ascii="Arial" w:hAnsi="Arial" w:cs="Arial"/>
          <w:sz w:val="24"/>
          <w:szCs w:val="24"/>
        </w:rPr>
      </w:pPr>
    </w:p>
    <w:p w:rsidR="00AB042A" w:rsidRDefault="00AB042A" w:rsidP="00C82F88">
      <w:pPr>
        <w:jc w:val="left"/>
        <w:rPr>
          <w:rFonts w:ascii="Arial" w:hAnsi="Arial" w:cs="Arial"/>
          <w:sz w:val="24"/>
          <w:szCs w:val="24"/>
        </w:rPr>
      </w:pPr>
      <w:r w:rsidRPr="00C82F88">
        <w:rPr>
          <w:rFonts w:ascii="Arial" w:hAnsi="Arial" w:cs="Arial" w:hint="eastAsia"/>
          <w:sz w:val="24"/>
          <w:szCs w:val="24"/>
        </w:rPr>
        <w:t xml:space="preserve">The Group will maintain a high focus on free cash flow generation going forward to maintain </w:t>
      </w:r>
      <w:r w:rsidR="00BF6B56">
        <w:rPr>
          <w:rFonts w:ascii="Arial" w:hAnsi="Arial" w:cs="Arial"/>
          <w:sz w:val="24"/>
          <w:szCs w:val="24"/>
        </w:rPr>
        <w:t xml:space="preserve">its solid investment grade </w:t>
      </w:r>
      <w:r w:rsidRPr="00C82F88">
        <w:rPr>
          <w:rFonts w:ascii="Arial" w:hAnsi="Arial" w:cs="Arial" w:hint="eastAsia"/>
          <w:sz w:val="24"/>
          <w:szCs w:val="24"/>
        </w:rPr>
        <w:t xml:space="preserve">balance sheet, fund investment where economic returns are attractive and </w:t>
      </w:r>
      <w:r w:rsidR="00BF6B56">
        <w:rPr>
          <w:rFonts w:ascii="Arial" w:hAnsi="Arial" w:cs="Arial"/>
          <w:sz w:val="24"/>
          <w:szCs w:val="24"/>
        </w:rPr>
        <w:t xml:space="preserve">pay </w:t>
      </w:r>
      <w:r w:rsidR="005B2678">
        <w:rPr>
          <w:rFonts w:ascii="Arial" w:hAnsi="Arial" w:cs="Arial"/>
          <w:sz w:val="24"/>
          <w:szCs w:val="24"/>
        </w:rPr>
        <w:t>healthy</w:t>
      </w:r>
      <w:r w:rsidR="00BF6B56">
        <w:rPr>
          <w:rFonts w:ascii="Arial" w:hAnsi="Arial" w:cs="Arial"/>
          <w:sz w:val="24"/>
          <w:szCs w:val="24"/>
        </w:rPr>
        <w:t xml:space="preserve"> </w:t>
      </w:r>
      <w:r w:rsidRPr="00C82F88">
        <w:rPr>
          <w:rFonts w:ascii="Arial" w:hAnsi="Arial" w:cs="Arial" w:hint="eastAsia"/>
          <w:sz w:val="24"/>
          <w:szCs w:val="24"/>
        </w:rPr>
        <w:t>dividends to shareholders.</w:t>
      </w:r>
    </w:p>
    <w:p w:rsidR="00BF6B56" w:rsidRDefault="00BF6B56" w:rsidP="00C82F88">
      <w:pPr>
        <w:jc w:val="left"/>
        <w:rPr>
          <w:rFonts w:ascii="Arial" w:hAnsi="Arial" w:cs="Arial"/>
          <w:b/>
          <w:sz w:val="24"/>
          <w:szCs w:val="24"/>
        </w:rPr>
      </w:pPr>
    </w:p>
    <w:p w:rsidR="00C90F20" w:rsidRDefault="00C90F20" w:rsidP="00C82F88">
      <w:pPr>
        <w:jc w:val="left"/>
        <w:rPr>
          <w:rFonts w:ascii="Arial" w:hAnsi="Arial" w:cs="Arial"/>
          <w:b/>
          <w:sz w:val="24"/>
          <w:szCs w:val="24"/>
        </w:rPr>
      </w:pPr>
    </w:p>
    <w:p w:rsidR="00B14C86" w:rsidRPr="00C82F88" w:rsidRDefault="00B14C86" w:rsidP="00C82F88">
      <w:pPr>
        <w:jc w:val="left"/>
        <w:rPr>
          <w:rFonts w:ascii="Arial" w:hAnsi="Arial" w:cs="Arial"/>
          <w:b/>
          <w:sz w:val="24"/>
          <w:szCs w:val="24"/>
        </w:rPr>
      </w:pPr>
      <w:r w:rsidRPr="00C82F88">
        <w:rPr>
          <w:rFonts w:ascii="Arial" w:hAnsi="Arial" w:cs="Arial"/>
          <w:b/>
          <w:sz w:val="24"/>
          <w:szCs w:val="24"/>
        </w:rPr>
        <w:t>Capital expenditure</w:t>
      </w:r>
    </w:p>
    <w:p w:rsidR="00B14C86" w:rsidRDefault="00B14C86" w:rsidP="00600993">
      <w:pPr>
        <w:jc w:val="left"/>
        <w:rPr>
          <w:rFonts w:ascii="Arial" w:hAnsi="Arial" w:cs="Arial"/>
          <w:b/>
          <w:sz w:val="24"/>
          <w:szCs w:val="24"/>
        </w:rPr>
      </w:pPr>
    </w:p>
    <w:p w:rsidR="00B14C86" w:rsidRDefault="00B14C86" w:rsidP="00C82F88">
      <w:pPr>
        <w:jc w:val="left"/>
        <w:rPr>
          <w:rFonts w:ascii="Arial" w:hAnsi="Arial" w:cs="Arial"/>
          <w:sz w:val="24"/>
          <w:szCs w:val="24"/>
        </w:rPr>
      </w:pPr>
      <w:r w:rsidRPr="00C82F88">
        <w:rPr>
          <w:rFonts w:ascii="Arial" w:hAnsi="Arial" w:cs="Arial" w:hint="eastAsia"/>
          <w:sz w:val="24"/>
          <w:szCs w:val="24"/>
        </w:rPr>
        <w:t xml:space="preserve">Gross capital expenditure for the year was </w:t>
      </w:r>
      <w:r w:rsidRPr="00C82F88">
        <w:rPr>
          <w:rFonts w:ascii="Arial" w:hAnsi="Arial" w:cs="Arial"/>
          <w:sz w:val="24"/>
          <w:szCs w:val="24"/>
        </w:rPr>
        <w:t>£</w:t>
      </w:r>
      <w:r w:rsidRPr="00C82F88">
        <w:rPr>
          <w:rFonts w:ascii="Arial" w:hAnsi="Arial" w:cs="Arial" w:hint="eastAsia"/>
          <w:sz w:val="24"/>
          <w:szCs w:val="24"/>
        </w:rPr>
        <w:t xml:space="preserve">316 million (2011/12: </w:t>
      </w:r>
      <w:r w:rsidRPr="00C82F88">
        <w:rPr>
          <w:rFonts w:ascii="Arial" w:hAnsi="Arial" w:cs="Arial"/>
          <w:sz w:val="24"/>
          <w:szCs w:val="24"/>
        </w:rPr>
        <w:t>£</w:t>
      </w:r>
      <w:r w:rsidRPr="00C82F88">
        <w:rPr>
          <w:rFonts w:ascii="Arial" w:hAnsi="Arial" w:cs="Arial" w:hint="eastAsia"/>
          <w:sz w:val="24"/>
          <w:szCs w:val="24"/>
        </w:rPr>
        <w:t>450 million).</w:t>
      </w:r>
      <w:r w:rsidR="00234ACC">
        <w:rPr>
          <w:rFonts w:ascii="Arial" w:hAnsi="Arial" w:cs="Arial"/>
          <w:sz w:val="24"/>
          <w:szCs w:val="24"/>
        </w:rPr>
        <w:t xml:space="preserve"> </w:t>
      </w:r>
      <w:r w:rsidRPr="00C82F88">
        <w:rPr>
          <w:rFonts w:ascii="Arial" w:hAnsi="Arial" w:cs="Arial" w:hint="eastAsia"/>
          <w:sz w:val="24"/>
          <w:szCs w:val="24"/>
        </w:rPr>
        <w:t xml:space="preserve">A total of </w:t>
      </w:r>
      <w:r w:rsidRPr="00C82F88">
        <w:rPr>
          <w:rFonts w:ascii="Arial" w:hAnsi="Arial" w:cs="Arial"/>
          <w:sz w:val="24"/>
          <w:szCs w:val="24"/>
        </w:rPr>
        <w:t>£</w:t>
      </w:r>
      <w:r w:rsidRPr="00C82F88">
        <w:rPr>
          <w:rFonts w:ascii="Arial" w:hAnsi="Arial" w:cs="Arial" w:hint="eastAsia"/>
          <w:sz w:val="24"/>
          <w:szCs w:val="24"/>
        </w:rPr>
        <w:t xml:space="preserve">17 million of proceeds from disposals were received during the year (2011/12: </w:t>
      </w:r>
      <w:r w:rsidRPr="00C82F88">
        <w:rPr>
          <w:rFonts w:ascii="Arial" w:hAnsi="Arial" w:cs="Arial"/>
          <w:sz w:val="24"/>
          <w:szCs w:val="24"/>
        </w:rPr>
        <w:t>£</w:t>
      </w:r>
      <w:r w:rsidRPr="00C82F88">
        <w:rPr>
          <w:rFonts w:ascii="Arial" w:hAnsi="Arial" w:cs="Arial" w:hint="eastAsia"/>
          <w:sz w:val="24"/>
          <w:szCs w:val="24"/>
        </w:rPr>
        <w:t xml:space="preserve">9 million). </w:t>
      </w:r>
    </w:p>
    <w:p w:rsidR="000F7FC4" w:rsidRPr="00C82F88" w:rsidRDefault="000F7FC4" w:rsidP="00C82F88">
      <w:pPr>
        <w:jc w:val="left"/>
        <w:rPr>
          <w:rFonts w:ascii="Arial" w:hAnsi="Arial" w:cs="Arial"/>
          <w:sz w:val="24"/>
          <w:szCs w:val="24"/>
        </w:rPr>
      </w:pPr>
    </w:p>
    <w:p w:rsidR="00B14C86" w:rsidRDefault="00B14C86" w:rsidP="00C82F88">
      <w:pPr>
        <w:jc w:val="left"/>
        <w:rPr>
          <w:rFonts w:ascii="Arial" w:hAnsi="Arial" w:cs="Arial"/>
          <w:sz w:val="24"/>
          <w:szCs w:val="24"/>
        </w:rPr>
      </w:pPr>
      <w:r w:rsidRPr="00C82F88">
        <w:rPr>
          <w:rFonts w:ascii="Arial" w:hAnsi="Arial" w:cs="Arial" w:hint="eastAsia"/>
          <w:sz w:val="24"/>
          <w:szCs w:val="24"/>
        </w:rPr>
        <w:t>As detailed last year the Group has a rigorous approach to capital allocation and authorisation. The process includes:</w:t>
      </w:r>
    </w:p>
    <w:p w:rsidR="000F7FC4" w:rsidRPr="00C82F88" w:rsidRDefault="000F7FC4" w:rsidP="00C82F88">
      <w:pPr>
        <w:jc w:val="left"/>
        <w:rPr>
          <w:rFonts w:ascii="Arial" w:hAnsi="Arial" w:cs="Arial"/>
          <w:sz w:val="24"/>
          <w:szCs w:val="24"/>
        </w:rPr>
      </w:pPr>
    </w:p>
    <w:p w:rsidR="000F7FC4" w:rsidRDefault="00B14C86" w:rsidP="00C82F88">
      <w:pPr>
        <w:pStyle w:val="ListParagraph"/>
        <w:numPr>
          <w:ilvl w:val="0"/>
          <w:numId w:val="51"/>
        </w:numPr>
        <w:jc w:val="left"/>
        <w:rPr>
          <w:rFonts w:ascii="Arial" w:hAnsi="Arial" w:cs="Arial"/>
          <w:sz w:val="24"/>
        </w:rPr>
      </w:pPr>
      <w:r w:rsidRPr="00C82F88">
        <w:rPr>
          <w:rFonts w:ascii="Arial" w:hAnsi="Arial" w:cs="Arial"/>
          <w:sz w:val="24"/>
          <w:szCs w:val="24"/>
        </w:rPr>
        <w:t>An annual strategic planning process based on detailed medium term plans for all businesses for the next four years. This process drives the key strategic capital allocation decisions and the output is reviewed by the Board;</w:t>
      </w:r>
    </w:p>
    <w:p w:rsidR="00A075A0" w:rsidRPr="00C82F88" w:rsidRDefault="00A075A0" w:rsidP="00C82F88">
      <w:pPr>
        <w:pStyle w:val="ListParagraph"/>
        <w:jc w:val="left"/>
        <w:rPr>
          <w:rFonts w:ascii="Arial" w:hAnsi="Arial" w:cs="Arial"/>
          <w:sz w:val="24"/>
        </w:rPr>
      </w:pPr>
    </w:p>
    <w:p w:rsidR="000F7FC4" w:rsidRDefault="000F7FC4" w:rsidP="00C82F88">
      <w:pPr>
        <w:pStyle w:val="ListParagraph"/>
        <w:numPr>
          <w:ilvl w:val="0"/>
          <w:numId w:val="51"/>
        </w:numPr>
        <w:jc w:val="left"/>
        <w:rPr>
          <w:rFonts w:ascii="Arial" w:hAnsi="Arial" w:cs="Arial"/>
          <w:sz w:val="24"/>
        </w:rPr>
      </w:pPr>
      <w:r w:rsidRPr="00C82F88">
        <w:rPr>
          <w:rFonts w:ascii="Arial" w:hAnsi="Arial" w:cs="Arial"/>
          <w:sz w:val="24"/>
          <w:szCs w:val="24"/>
        </w:rPr>
        <w:t xml:space="preserve">A capital approval process through a capital expenditure committee, attended by the Group Chief Executive, Group Finance Director, </w:t>
      </w:r>
      <w:r w:rsidR="001B0660">
        <w:rPr>
          <w:rFonts w:ascii="Arial" w:hAnsi="Arial" w:cs="Arial"/>
          <w:sz w:val="24"/>
          <w:szCs w:val="24"/>
        </w:rPr>
        <w:t xml:space="preserve">CEO Group Productivity and Development, </w:t>
      </w:r>
      <w:r w:rsidRPr="00C82F88">
        <w:rPr>
          <w:rFonts w:ascii="Arial" w:hAnsi="Arial" w:cs="Arial"/>
          <w:sz w:val="24"/>
          <w:szCs w:val="24"/>
        </w:rPr>
        <w:t xml:space="preserve">Group Property Director and </w:t>
      </w:r>
      <w:r w:rsidR="00BF6B56">
        <w:rPr>
          <w:rFonts w:ascii="Arial" w:hAnsi="Arial" w:cs="Arial"/>
          <w:sz w:val="24"/>
          <w:szCs w:val="24"/>
        </w:rPr>
        <w:t xml:space="preserve">Group </w:t>
      </w:r>
      <w:r w:rsidR="00AE30FC">
        <w:rPr>
          <w:rFonts w:ascii="Arial" w:hAnsi="Arial" w:cs="Arial"/>
          <w:sz w:val="24"/>
          <w:szCs w:val="24"/>
        </w:rPr>
        <w:t>General Counsel</w:t>
      </w:r>
      <w:r w:rsidRPr="00C82F88">
        <w:rPr>
          <w:rFonts w:ascii="Arial" w:hAnsi="Arial" w:cs="Arial"/>
          <w:sz w:val="24"/>
          <w:szCs w:val="24"/>
        </w:rPr>
        <w:t xml:space="preserve">. The committee is delegated to review all projects above </w:t>
      </w:r>
      <w:r w:rsidRPr="00C82F88">
        <w:rPr>
          <w:rFonts w:ascii="Arial" w:hAnsi="Arial" w:cs="Arial" w:hint="eastAsia"/>
          <w:sz w:val="24"/>
          <w:szCs w:val="24"/>
        </w:rPr>
        <w:t>£</w:t>
      </w:r>
      <w:r w:rsidRPr="00C82F88">
        <w:rPr>
          <w:rFonts w:ascii="Arial" w:hAnsi="Arial" w:cs="Arial"/>
          <w:sz w:val="24"/>
          <w:szCs w:val="24"/>
        </w:rPr>
        <w:t xml:space="preserve">0.75 million and to sign-off the projects between </w:t>
      </w:r>
      <w:r w:rsidRPr="00C82F88">
        <w:rPr>
          <w:rFonts w:ascii="Arial" w:hAnsi="Arial" w:cs="Arial" w:hint="eastAsia"/>
          <w:sz w:val="24"/>
          <w:szCs w:val="24"/>
        </w:rPr>
        <w:t>£</w:t>
      </w:r>
      <w:r w:rsidRPr="00C82F88">
        <w:rPr>
          <w:rFonts w:ascii="Arial" w:hAnsi="Arial" w:cs="Arial"/>
          <w:sz w:val="24"/>
          <w:szCs w:val="24"/>
        </w:rPr>
        <w:t xml:space="preserve">0.75 million and </w:t>
      </w:r>
      <w:r w:rsidRPr="00C82F88">
        <w:rPr>
          <w:rFonts w:ascii="Arial" w:hAnsi="Arial" w:cs="Arial" w:hint="eastAsia"/>
          <w:sz w:val="24"/>
          <w:szCs w:val="24"/>
        </w:rPr>
        <w:t>£</w:t>
      </w:r>
      <w:r w:rsidRPr="00C82F88">
        <w:rPr>
          <w:rFonts w:ascii="Arial" w:hAnsi="Arial" w:cs="Arial"/>
          <w:sz w:val="24"/>
          <w:szCs w:val="24"/>
        </w:rPr>
        <w:t>15.0 million (including the capitalised value of lease commitments);</w:t>
      </w:r>
    </w:p>
    <w:p w:rsidR="000F7FC4" w:rsidRPr="00C82F88" w:rsidRDefault="000F7FC4" w:rsidP="00C82F88">
      <w:pPr>
        <w:jc w:val="left"/>
        <w:rPr>
          <w:rFonts w:ascii="Arial" w:hAnsi="Arial" w:cs="Arial"/>
          <w:sz w:val="24"/>
        </w:rPr>
      </w:pPr>
    </w:p>
    <w:p w:rsidR="000F7FC4" w:rsidRDefault="000F7FC4" w:rsidP="00C82F88">
      <w:pPr>
        <w:pStyle w:val="ListParagraph"/>
        <w:numPr>
          <w:ilvl w:val="0"/>
          <w:numId w:val="51"/>
        </w:numPr>
        <w:jc w:val="left"/>
        <w:rPr>
          <w:rFonts w:ascii="Arial" w:hAnsi="Arial" w:cs="Arial"/>
          <w:sz w:val="24"/>
        </w:rPr>
      </w:pPr>
      <w:r w:rsidRPr="00C82F88">
        <w:rPr>
          <w:rFonts w:ascii="Arial" w:hAnsi="Arial" w:cs="Arial"/>
          <w:sz w:val="24"/>
          <w:szCs w:val="24"/>
        </w:rPr>
        <w:t xml:space="preserve">Projects above </w:t>
      </w:r>
      <w:r w:rsidRPr="00C82F88">
        <w:rPr>
          <w:rFonts w:ascii="Arial" w:hAnsi="Arial" w:cs="Arial" w:hint="eastAsia"/>
          <w:sz w:val="24"/>
          <w:szCs w:val="24"/>
        </w:rPr>
        <w:t>£</w:t>
      </w:r>
      <w:r w:rsidRPr="00C82F88">
        <w:rPr>
          <w:rFonts w:ascii="Arial" w:hAnsi="Arial" w:cs="Arial"/>
          <w:sz w:val="24"/>
          <w:szCs w:val="24"/>
        </w:rPr>
        <w:t xml:space="preserve">15.0 million are required to be approved by the Board although all projects above </w:t>
      </w:r>
      <w:r w:rsidRPr="00C82F88">
        <w:rPr>
          <w:rFonts w:ascii="Arial" w:hAnsi="Arial" w:cs="Arial" w:hint="eastAsia"/>
          <w:sz w:val="24"/>
          <w:szCs w:val="24"/>
        </w:rPr>
        <w:t>£</w:t>
      </w:r>
      <w:r w:rsidRPr="00C82F88">
        <w:rPr>
          <w:rFonts w:ascii="Arial" w:hAnsi="Arial" w:cs="Arial"/>
          <w:sz w:val="24"/>
          <w:szCs w:val="24"/>
        </w:rPr>
        <w:t>0.75 million are also notified to the Board;</w:t>
      </w:r>
    </w:p>
    <w:p w:rsidR="000F7FC4" w:rsidRPr="00C82F88" w:rsidRDefault="000F7FC4" w:rsidP="00C82F88">
      <w:pPr>
        <w:jc w:val="left"/>
        <w:rPr>
          <w:rFonts w:ascii="Arial" w:hAnsi="Arial" w:cs="Arial"/>
          <w:sz w:val="24"/>
        </w:rPr>
      </w:pPr>
    </w:p>
    <w:p w:rsidR="000F7FC4" w:rsidRDefault="000F7FC4" w:rsidP="00C82F88">
      <w:pPr>
        <w:pStyle w:val="ListParagraph"/>
        <w:numPr>
          <w:ilvl w:val="0"/>
          <w:numId w:val="51"/>
        </w:numPr>
        <w:jc w:val="left"/>
        <w:rPr>
          <w:rFonts w:ascii="Arial" w:hAnsi="Arial" w:cs="Arial"/>
          <w:sz w:val="24"/>
        </w:rPr>
      </w:pPr>
      <w:r w:rsidRPr="00C82F88">
        <w:rPr>
          <w:rFonts w:ascii="Arial" w:hAnsi="Arial" w:cs="Arial"/>
          <w:sz w:val="24"/>
          <w:szCs w:val="24"/>
        </w:rPr>
        <w:t xml:space="preserve">Clear investment criteria including KEP </w:t>
      </w:r>
      <w:r w:rsidR="00BF6B56">
        <w:rPr>
          <w:rFonts w:ascii="Arial" w:hAnsi="Arial" w:cs="Arial"/>
          <w:sz w:val="24"/>
          <w:szCs w:val="24"/>
        </w:rPr>
        <w:t xml:space="preserve">and NPV </w:t>
      </w:r>
      <w:r w:rsidR="0050111B">
        <w:rPr>
          <w:rFonts w:ascii="Arial" w:hAnsi="Arial" w:cs="Arial"/>
          <w:sz w:val="24"/>
          <w:szCs w:val="24"/>
        </w:rPr>
        <w:t xml:space="preserve">(Net Present Value) </w:t>
      </w:r>
      <w:r w:rsidRPr="00C82F88">
        <w:rPr>
          <w:rFonts w:ascii="Arial" w:hAnsi="Arial" w:cs="Arial"/>
          <w:sz w:val="24"/>
          <w:szCs w:val="24"/>
        </w:rPr>
        <w:t xml:space="preserve">and challenging hurdle rates for IRR (Internal Rate of Return) and DPB (Discounted </w:t>
      </w:r>
      <w:proofErr w:type="spellStart"/>
      <w:r w:rsidRPr="00C82F88">
        <w:rPr>
          <w:rFonts w:ascii="Arial" w:hAnsi="Arial" w:cs="Arial"/>
          <w:sz w:val="24"/>
          <w:szCs w:val="24"/>
        </w:rPr>
        <w:t>PayBack</w:t>
      </w:r>
      <w:proofErr w:type="spellEnd"/>
      <w:r w:rsidRPr="00C82F88">
        <w:rPr>
          <w:rFonts w:ascii="Arial" w:hAnsi="Arial" w:cs="Arial"/>
          <w:sz w:val="24"/>
          <w:szCs w:val="24"/>
        </w:rPr>
        <w:t>);</w:t>
      </w:r>
    </w:p>
    <w:p w:rsidR="000F7FC4" w:rsidRPr="00C82F88" w:rsidRDefault="000F7FC4" w:rsidP="00C82F88">
      <w:pPr>
        <w:jc w:val="left"/>
        <w:rPr>
          <w:rFonts w:ascii="Arial" w:hAnsi="Arial" w:cs="Arial"/>
          <w:sz w:val="24"/>
        </w:rPr>
      </w:pPr>
    </w:p>
    <w:p w:rsidR="00CC1C13" w:rsidRPr="00BF6B56" w:rsidRDefault="000F7FC4" w:rsidP="009618C2">
      <w:pPr>
        <w:pStyle w:val="ListParagraph"/>
        <w:numPr>
          <w:ilvl w:val="0"/>
          <w:numId w:val="51"/>
        </w:numPr>
        <w:jc w:val="left"/>
        <w:rPr>
          <w:rFonts w:ascii="Arial" w:hAnsi="Arial" w:cs="Arial"/>
          <w:sz w:val="24"/>
        </w:rPr>
      </w:pPr>
      <w:r w:rsidRPr="00BF6B56">
        <w:rPr>
          <w:rFonts w:ascii="Arial" w:hAnsi="Arial" w:cs="Arial"/>
          <w:sz w:val="24"/>
          <w:szCs w:val="24"/>
        </w:rPr>
        <w:t xml:space="preserve">An annual post-investment review process to undertake a full assessment of all projects above £0.75 million which were completed in the last 2 to 4 years. The findings of this exercise are considered by both the capital expenditure committee and the Board and </w:t>
      </w:r>
      <w:r w:rsidR="000F4BB3">
        <w:rPr>
          <w:rFonts w:ascii="Arial" w:hAnsi="Arial" w:cs="Arial"/>
          <w:sz w:val="24"/>
          <w:szCs w:val="24"/>
        </w:rPr>
        <w:t xml:space="preserve">used to inform </w:t>
      </w:r>
      <w:r w:rsidRPr="00BF6B56">
        <w:rPr>
          <w:rFonts w:ascii="Arial" w:hAnsi="Arial" w:cs="Arial"/>
          <w:sz w:val="24"/>
          <w:szCs w:val="24"/>
        </w:rPr>
        <w:t>the assumptions for similar project proposals going forward</w:t>
      </w:r>
      <w:r w:rsidR="00BF6B56" w:rsidRPr="00BF6B56">
        <w:rPr>
          <w:rFonts w:ascii="Arial" w:hAnsi="Arial" w:cs="Arial"/>
          <w:sz w:val="24"/>
          <w:szCs w:val="24"/>
        </w:rPr>
        <w:t>.</w:t>
      </w:r>
    </w:p>
    <w:p w:rsidR="00180729" w:rsidRPr="00D87B09" w:rsidRDefault="00180729" w:rsidP="009618C2">
      <w:pPr>
        <w:pStyle w:val="ListParagraph"/>
        <w:jc w:val="left"/>
        <w:rPr>
          <w:rFonts w:ascii="Arial" w:hAnsi="Arial" w:cs="Arial"/>
          <w:sz w:val="24"/>
        </w:rPr>
      </w:pPr>
    </w:p>
    <w:p w:rsidR="000F7FC4" w:rsidRDefault="000F7FC4" w:rsidP="00C82F88">
      <w:pPr>
        <w:pStyle w:val="ListParagraph"/>
        <w:numPr>
          <w:ilvl w:val="0"/>
          <w:numId w:val="51"/>
        </w:numPr>
        <w:jc w:val="left"/>
        <w:rPr>
          <w:rFonts w:ascii="Arial" w:hAnsi="Arial" w:cs="Arial"/>
          <w:sz w:val="24"/>
        </w:rPr>
      </w:pPr>
      <w:r w:rsidRPr="00C82F88">
        <w:rPr>
          <w:rFonts w:ascii="Arial" w:hAnsi="Arial" w:cs="Arial"/>
          <w:sz w:val="24"/>
          <w:szCs w:val="24"/>
        </w:rPr>
        <w:t>An annual review of KEP by store is performed which drives plans to improve the returns of weaker stores.</w:t>
      </w:r>
    </w:p>
    <w:p w:rsidR="00CC1C13" w:rsidRDefault="00CC1C13" w:rsidP="00C82F88">
      <w:pPr>
        <w:pStyle w:val="ListParagraph"/>
        <w:rPr>
          <w:rFonts w:ascii="Arial" w:hAnsi="Arial" w:cs="Arial"/>
          <w:sz w:val="24"/>
          <w:szCs w:val="24"/>
        </w:rPr>
      </w:pPr>
    </w:p>
    <w:p w:rsidR="009D02AE" w:rsidRPr="00C82F88" w:rsidRDefault="009D02AE" w:rsidP="00C82F88">
      <w:pPr>
        <w:pStyle w:val="ListParagraph"/>
        <w:rPr>
          <w:rFonts w:ascii="Arial" w:hAnsi="Arial" w:cs="Arial"/>
          <w:sz w:val="24"/>
          <w:szCs w:val="24"/>
        </w:rPr>
      </w:pPr>
    </w:p>
    <w:p w:rsidR="00CC1C13" w:rsidRDefault="005A41F0" w:rsidP="00C82F88">
      <w:pPr>
        <w:jc w:val="left"/>
        <w:rPr>
          <w:rFonts w:ascii="Arial" w:hAnsi="Arial" w:cs="Arial"/>
          <w:b/>
          <w:sz w:val="24"/>
        </w:rPr>
      </w:pPr>
      <w:r w:rsidRPr="00C82F88">
        <w:rPr>
          <w:rFonts w:ascii="Arial" w:hAnsi="Arial" w:cs="Arial"/>
          <w:b/>
          <w:sz w:val="24"/>
          <w:szCs w:val="24"/>
        </w:rPr>
        <w:t>Management of balance sheet and liquidity risk and financing</w:t>
      </w:r>
    </w:p>
    <w:p w:rsidR="00D67D7A" w:rsidRDefault="00D67D7A" w:rsidP="00C82F88">
      <w:pPr>
        <w:jc w:val="left"/>
        <w:rPr>
          <w:rFonts w:ascii="Arial" w:hAnsi="Arial" w:cs="Arial"/>
          <w:sz w:val="24"/>
          <w:szCs w:val="24"/>
        </w:rPr>
      </w:pPr>
    </w:p>
    <w:p w:rsidR="00234ACC" w:rsidRDefault="00234ACC" w:rsidP="00C82F88">
      <w:pPr>
        <w:jc w:val="left"/>
        <w:rPr>
          <w:rFonts w:ascii="Arial" w:hAnsi="Arial" w:cs="Arial"/>
          <w:sz w:val="24"/>
          <w:szCs w:val="24"/>
        </w:rPr>
      </w:pPr>
      <w:r>
        <w:rPr>
          <w:rFonts w:ascii="Arial" w:hAnsi="Arial" w:cs="Arial"/>
          <w:sz w:val="24"/>
          <w:szCs w:val="24"/>
        </w:rPr>
        <w:t xml:space="preserve">The Group finished the year with £38 million of net cash on the balance sheet. However, the Group’s overall leverage is more significant when including capitalised lease debt that in accordance with the accounting </w:t>
      </w:r>
      <w:r w:rsidRPr="00C82F88">
        <w:rPr>
          <w:rFonts w:ascii="Arial" w:hAnsi="Arial" w:cs="Arial" w:hint="eastAsia"/>
          <w:sz w:val="24"/>
          <w:szCs w:val="24"/>
        </w:rPr>
        <w:t>regulations does not appear on the balance sheet</w:t>
      </w:r>
      <w:r>
        <w:rPr>
          <w:rFonts w:ascii="Arial" w:hAnsi="Arial" w:cs="Arial"/>
          <w:sz w:val="24"/>
          <w:szCs w:val="24"/>
        </w:rPr>
        <w:t xml:space="preserve">. </w:t>
      </w:r>
      <w:r w:rsidRPr="00C82F88">
        <w:rPr>
          <w:rFonts w:ascii="Arial" w:hAnsi="Arial" w:cs="Arial" w:hint="eastAsia"/>
          <w:sz w:val="24"/>
          <w:szCs w:val="24"/>
        </w:rPr>
        <w:t xml:space="preserve">The ratio of the </w:t>
      </w:r>
      <w:r w:rsidR="00F45FAA">
        <w:rPr>
          <w:rFonts w:ascii="Arial" w:hAnsi="Arial" w:cs="Arial"/>
          <w:sz w:val="24"/>
          <w:szCs w:val="24"/>
        </w:rPr>
        <w:t>G</w:t>
      </w:r>
      <w:r w:rsidRPr="00C82F88">
        <w:rPr>
          <w:rFonts w:ascii="Arial" w:hAnsi="Arial" w:cs="Arial" w:hint="eastAsia"/>
          <w:sz w:val="24"/>
          <w:szCs w:val="24"/>
        </w:rPr>
        <w:t>roup</w:t>
      </w:r>
      <w:r w:rsidR="00F45FAA">
        <w:rPr>
          <w:rFonts w:ascii="Arial" w:hAnsi="Arial" w:cs="Arial"/>
          <w:sz w:val="24"/>
          <w:szCs w:val="24"/>
        </w:rPr>
        <w:t>’</w:t>
      </w:r>
      <w:r w:rsidRPr="00C82F88">
        <w:rPr>
          <w:rFonts w:ascii="Arial" w:hAnsi="Arial" w:cs="Arial" w:hint="eastAsia"/>
          <w:sz w:val="24"/>
          <w:szCs w:val="24"/>
        </w:rPr>
        <w:t xml:space="preserve">s lease adjusted net debt (capitalising leases at 8 times annual rent) to adjusted </w:t>
      </w:r>
      <w:r w:rsidRPr="0004034D">
        <w:rPr>
          <w:rFonts w:ascii="Arial" w:hAnsi="Arial" w:cs="Arial"/>
          <w:sz w:val="24"/>
          <w:szCs w:val="24"/>
        </w:rPr>
        <w:t>EBITDAR is 2.</w:t>
      </w:r>
      <w:r>
        <w:rPr>
          <w:rFonts w:ascii="Arial" w:hAnsi="Arial" w:cs="Arial"/>
          <w:sz w:val="24"/>
          <w:szCs w:val="24"/>
        </w:rPr>
        <w:t>4</w:t>
      </w:r>
      <w:r w:rsidRPr="0004034D">
        <w:rPr>
          <w:rFonts w:ascii="Arial" w:hAnsi="Arial" w:cs="Arial"/>
          <w:sz w:val="24"/>
          <w:szCs w:val="24"/>
        </w:rPr>
        <w:t xml:space="preserve"> times</w:t>
      </w:r>
      <w:r w:rsidRPr="00C82F88">
        <w:rPr>
          <w:rFonts w:ascii="Arial" w:hAnsi="Arial" w:cs="Arial" w:hint="eastAsia"/>
          <w:sz w:val="24"/>
          <w:szCs w:val="24"/>
        </w:rPr>
        <w:t xml:space="preserve"> as at the year end. At this level the Group has financial flexibility whilst retaining an efficient cost of capital.</w:t>
      </w:r>
    </w:p>
    <w:p w:rsidR="00234ACC" w:rsidRDefault="00234ACC" w:rsidP="00C82F88">
      <w:pPr>
        <w:jc w:val="left"/>
        <w:rPr>
          <w:rFonts w:ascii="Arial" w:hAnsi="Arial" w:cs="Arial"/>
          <w:sz w:val="24"/>
          <w:szCs w:val="24"/>
        </w:rPr>
      </w:pPr>
    </w:p>
    <w:p w:rsidR="00C90F20" w:rsidRDefault="00C90F20" w:rsidP="00C82F88">
      <w:pPr>
        <w:jc w:val="left"/>
        <w:rPr>
          <w:rFonts w:ascii="Arial" w:hAnsi="Arial" w:cs="Arial"/>
          <w:sz w:val="24"/>
          <w:szCs w:val="24"/>
        </w:rPr>
      </w:pPr>
    </w:p>
    <w:p w:rsidR="00C90F20" w:rsidRDefault="00C90F20" w:rsidP="00C82F88">
      <w:pPr>
        <w:jc w:val="left"/>
        <w:rPr>
          <w:rFonts w:ascii="Arial" w:hAnsi="Arial" w:cs="Arial"/>
          <w:sz w:val="24"/>
          <w:szCs w:val="24"/>
        </w:rPr>
      </w:pPr>
    </w:p>
    <w:p w:rsidR="00C90F20" w:rsidRDefault="00C90F20" w:rsidP="00C82F88">
      <w:pPr>
        <w:jc w:val="left"/>
        <w:rPr>
          <w:rFonts w:ascii="Arial" w:hAnsi="Arial" w:cs="Arial"/>
          <w:sz w:val="24"/>
          <w:szCs w:val="24"/>
        </w:rPr>
      </w:pPr>
    </w:p>
    <w:p w:rsidR="00C90F20" w:rsidRDefault="00C90F20" w:rsidP="00C82F88">
      <w:pPr>
        <w:jc w:val="left"/>
        <w:rPr>
          <w:rFonts w:ascii="Arial" w:hAnsi="Arial" w:cs="Arial"/>
          <w:sz w:val="24"/>
          <w:szCs w:val="24"/>
        </w:rPr>
      </w:pPr>
    </w:p>
    <w:p w:rsidR="00C90F20" w:rsidRDefault="00C90F20" w:rsidP="00C82F88">
      <w:pPr>
        <w:jc w:val="left"/>
        <w:rPr>
          <w:rFonts w:ascii="Arial" w:hAnsi="Arial" w:cs="Arial"/>
          <w:sz w:val="24"/>
          <w:szCs w:val="24"/>
        </w:rPr>
      </w:pPr>
    </w:p>
    <w:p w:rsidR="00C90F20" w:rsidRDefault="00C90F20" w:rsidP="00C82F88">
      <w:pPr>
        <w:jc w:val="left"/>
        <w:rPr>
          <w:rFonts w:ascii="Arial" w:hAnsi="Arial" w:cs="Arial"/>
          <w:sz w:val="24"/>
          <w:szCs w:val="24"/>
        </w:rPr>
      </w:pPr>
    </w:p>
    <w:p w:rsidR="00C90F20" w:rsidRDefault="00C90F20" w:rsidP="00C82F88">
      <w:pPr>
        <w:jc w:val="left"/>
        <w:rPr>
          <w:rFonts w:ascii="Arial" w:hAnsi="Arial" w:cs="Arial"/>
          <w:sz w:val="24"/>
          <w:szCs w:val="24"/>
        </w:rPr>
      </w:pPr>
    </w:p>
    <w:p w:rsidR="00D67D7A" w:rsidRDefault="00D67D7A" w:rsidP="00C82F88">
      <w:pPr>
        <w:jc w:val="left"/>
        <w:rPr>
          <w:rFonts w:ascii="Arial" w:hAnsi="Arial" w:cs="Arial"/>
          <w:sz w:val="24"/>
          <w:szCs w:val="24"/>
        </w:rPr>
      </w:pPr>
      <w:r w:rsidRPr="00C82F88">
        <w:rPr>
          <w:rFonts w:ascii="Arial" w:hAnsi="Arial" w:cs="Arial" w:hint="eastAsia"/>
          <w:sz w:val="24"/>
          <w:szCs w:val="24"/>
        </w:rPr>
        <w:t xml:space="preserve">A reconciliation of </w:t>
      </w:r>
      <w:r>
        <w:rPr>
          <w:rFonts w:ascii="Arial" w:hAnsi="Arial" w:cs="Arial"/>
          <w:sz w:val="24"/>
          <w:szCs w:val="24"/>
        </w:rPr>
        <w:t xml:space="preserve">lease adjusted net debt to EBITDAR </w:t>
      </w:r>
      <w:r w:rsidRPr="00C82F88">
        <w:rPr>
          <w:rFonts w:ascii="Arial" w:hAnsi="Arial" w:cs="Arial" w:hint="eastAsia"/>
          <w:sz w:val="24"/>
          <w:szCs w:val="24"/>
        </w:rPr>
        <w:t>is set out below:</w:t>
      </w:r>
    </w:p>
    <w:p w:rsidR="00D67D7A" w:rsidRDefault="00D67D7A" w:rsidP="00C82F88">
      <w:pPr>
        <w:jc w:val="left"/>
        <w:rPr>
          <w:rFonts w:ascii="Arial" w:hAnsi="Arial" w:cs="Arial"/>
          <w:sz w:val="24"/>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920"/>
        <w:gridCol w:w="1418"/>
        <w:gridCol w:w="2268"/>
      </w:tblGrid>
      <w:tr w:rsidR="005B2678" w:rsidRPr="00E20BFB" w:rsidTr="00EC015F">
        <w:trPr>
          <w:trHeight w:val="516"/>
        </w:trPr>
        <w:tc>
          <w:tcPr>
            <w:tcW w:w="5920" w:type="dxa"/>
            <w:tcBorders>
              <w:bottom w:val="single" w:sz="4" w:space="0" w:color="auto"/>
            </w:tcBorders>
          </w:tcPr>
          <w:p w:rsidR="005B2678" w:rsidRPr="00E20BFB" w:rsidRDefault="005B2678" w:rsidP="00D67D7A">
            <w:pPr>
              <w:jc w:val="left"/>
              <w:rPr>
                <w:rFonts w:ascii="Arial" w:hAnsi="Arial" w:cs="Arial"/>
                <w:b/>
                <w:sz w:val="24"/>
                <w:szCs w:val="24"/>
              </w:rPr>
            </w:pPr>
          </w:p>
        </w:tc>
        <w:tc>
          <w:tcPr>
            <w:tcW w:w="3686" w:type="dxa"/>
            <w:gridSpan w:val="2"/>
            <w:tcBorders>
              <w:bottom w:val="single" w:sz="4" w:space="0" w:color="auto"/>
            </w:tcBorders>
          </w:tcPr>
          <w:p w:rsidR="005B2678" w:rsidRDefault="005B2678" w:rsidP="00D67D7A">
            <w:pPr>
              <w:jc w:val="right"/>
              <w:rPr>
                <w:rFonts w:ascii="Arial" w:hAnsi="Arial" w:cs="Arial"/>
                <w:b/>
                <w:sz w:val="24"/>
                <w:szCs w:val="24"/>
              </w:rPr>
            </w:pPr>
            <w:r>
              <w:rPr>
                <w:rFonts w:ascii="Arial" w:hAnsi="Arial" w:cs="Arial"/>
                <w:b/>
                <w:sz w:val="24"/>
                <w:szCs w:val="24"/>
              </w:rPr>
              <w:t>2012/13</w:t>
            </w:r>
          </w:p>
          <w:p w:rsidR="005B2678" w:rsidRPr="00D67D7A" w:rsidRDefault="005B2678">
            <w:pPr>
              <w:jc w:val="right"/>
              <w:rPr>
                <w:rFonts w:ascii="Arial" w:hAnsi="Arial" w:cs="Arial"/>
                <w:b/>
                <w:sz w:val="24"/>
                <w:szCs w:val="24"/>
              </w:rPr>
            </w:pPr>
            <w:r>
              <w:rPr>
                <w:rFonts w:ascii="Arial" w:hAnsi="Arial" w:cs="Arial"/>
                <w:b/>
                <w:sz w:val="24"/>
                <w:szCs w:val="24"/>
              </w:rPr>
              <w:t>£m</w:t>
            </w:r>
          </w:p>
        </w:tc>
      </w:tr>
      <w:tr w:rsidR="005B2678" w:rsidRPr="00E20BFB" w:rsidTr="00EC015F">
        <w:tc>
          <w:tcPr>
            <w:tcW w:w="5920" w:type="dxa"/>
            <w:tcBorders>
              <w:top w:val="single" w:sz="4" w:space="0" w:color="auto"/>
            </w:tcBorders>
          </w:tcPr>
          <w:p w:rsidR="005B2678" w:rsidRPr="00E20BFB" w:rsidRDefault="005B2678" w:rsidP="00D67D7A">
            <w:pPr>
              <w:jc w:val="left"/>
              <w:rPr>
                <w:rFonts w:ascii="Arial" w:hAnsi="Arial" w:cs="Arial"/>
                <w:sz w:val="24"/>
                <w:szCs w:val="24"/>
              </w:rPr>
            </w:pPr>
            <w:r>
              <w:rPr>
                <w:rFonts w:ascii="Arial" w:hAnsi="Arial" w:cs="Arial"/>
                <w:sz w:val="24"/>
                <w:szCs w:val="24"/>
              </w:rPr>
              <w:t>EBITDA</w:t>
            </w:r>
            <w:r w:rsidRPr="009618C2">
              <w:rPr>
                <w:rFonts w:ascii="Arial" w:hAnsi="Arial" w:cs="Arial"/>
                <w:i/>
                <w:sz w:val="24"/>
                <w:szCs w:val="24"/>
                <w:vertAlign w:val="superscript"/>
              </w:rPr>
              <w:t>(1)</w:t>
            </w:r>
          </w:p>
        </w:tc>
        <w:tc>
          <w:tcPr>
            <w:tcW w:w="1418" w:type="dxa"/>
            <w:tcBorders>
              <w:top w:val="single" w:sz="4" w:space="0" w:color="auto"/>
            </w:tcBorders>
          </w:tcPr>
          <w:p w:rsidR="005B2678" w:rsidRPr="009618C2" w:rsidRDefault="005B2678" w:rsidP="00D67D7A">
            <w:pPr>
              <w:jc w:val="right"/>
              <w:rPr>
                <w:rFonts w:ascii="Arial" w:hAnsi="Arial" w:cs="Arial"/>
                <w:sz w:val="24"/>
                <w:szCs w:val="24"/>
              </w:rPr>
            </w:pPr>
            <w:r w:rsidRPr="009618C2">
              <w:rPr>
                <w:rFonts w:ascii="Arial" w:hAnsi="Arial" w:cs="Arial"/>
                <w:sz w:val="24"/>
                <w:szCs w:val="24"/>
              </w:rPr>
              <w:t>9</w:t>
            </w:r>
            <w:r>
              <w:rPr>
                <w:rFonts w:ascii="Arial" w:hAnsi="Arial" w:cs="Arial"/>
                <w:sz w:val="24"/>
                <w:szCs w:val="24"/>
              </w:rPr>
              <w:t>87</w:t>
            </w:r>
          </w:p>
        </w:tc>
        <w:tc>
          <w:tcPr>
            <w:tcW w:w="2268" w:type="dxa"/>
            <w:tcBorders>
              <w:top w:val="single" w:sz="4" w:space="0" w:color="auto"/>
            </w:tcBorders>
          </w:tcPr>
          <w:p w:rsidR="005B2678" w:rsidRPr="00D67D7A" w:rsidRDefault="005B2678" w:rsidP="00D67D7A">
            <w:pPr>
              <w:jc w:val="right"/>
              <w:rPr>
                <w:rFonts w:ascii="Arial" w:hAnsi="Arial" w:cs="Arial"/>
                <w:sz w:val="24"/>
                <w:szCs w:val="24"/>
              </w:rPr>
            </w:pPr>
          </w:p>
        </w:tc>
      </w:tr>
      <w:tr w:rsidR="005B2678" w:rsidRPr="00E20BFB" w:rsidTr="00EC015F">
        <w:tc>
          <w:tcPr>
            <w:tcW w:w="5920" w:type="dxa"/>
          </w:tcPr>
          <w:p w:rsidR="005B2678" w:rsidRDefault="005B2678" w:rsidP="00D67D7A">
            <w:pPr>
              <w:jc w:val="left"/>
              <w:rPr>
                <w:rFonts w:ascii="Arial" w:hAnsi="Arial" w:cs="Arial"/>
                <w:sz w:val="24"/>
                <w:szCs w:val="24"/>
              </w:rPr>
            </w:pPr>
            <w:r>
              <w:rPr>
                <w:rFonts w:ascii="Arial" w:hAnsi="Arial" w:cs="Arial"/>
                <w:sz w:val="24"/>
                <w:szCs w:val="24"/>
              </w:rPr>
              <w:t>Property operating lease rentals</w:t>
            </w:r>
          </w:p>
        </w:tc>
        <w:tc>
          <w:tcPr>
            <w:tcW w:w="1418" w:type="dxa"/>
          </w:tcPr>
          <w:p w:rsidR="005B2678" w:rsidRPr="009618C2" w:rsidRDefault="005B2678" w:rsidP="00D67D7A">
            <w:pPr>
              <w:jc w:val="right"/>
              <w:rPr>
                <w:rFonts w:ascii="Arial" w:hAnsi="Arial" w:cs="Arial"/>
                <w:sz w:val="24"/>
                <w:szCs w:val="24"/>
              </w:rPr>
            </w:pPr>
            <w:r w:rsidRPr="009618C2">
              <w:rPr>
                <w:rFonts w:ascii="Arial" w:hAnsi="Arial" w:cs="Arial"/>
                <w:sz w:val="24"/>
                <w:szCs w:val="24"/>
              </w:rPr>
              <w:t>435</w:t>
            </w:r>
          </w:p>
        </w:tc>
        <w:tc>
          <w:tcPr>
            <w:tcW w:w="2268" w:type="dxa"/>
            <w:tcBorders>
              <w:bottom w:val="single" w:sz="4" w:space="0" w:color="auto"/>
            </w:tcBorders>
          </w:tcPr>
          <w:p w:rsidR="005B2678" w:rsidRPr="00D67D7A" w:rsidRDefault="005B2678" w:rsidP="00D67D7A">
            <w:pPr>
              <w:jc w:val="right"/>
              <w:rPr>
                <w:rFonts w:ascii="Arial" w:hAnsi="Arial" w:cs="Arial"/>
                <w:sz w:val="24"/>
                <w:szCs w:val="24"/>
              </w:rPr>
            </w:pPr>
          </w:p>
        </w:tc>
      </w:tr>
      <w:tr w:rsidR="005B2678" w:rsidRPr="00E20BFB" w:rsidTr="00EC015F">
        <w:tc>
          <w:tcPr>
            <w:tcW w:w="5920" w:type="dxa"/>
          </w:tcPr>
          <w:p w:rsidR="005B2678" w:rsidRPr="009618C2" w:rsidRDefault="005B2678" w:rsidP="00D67D7A">
            <w:pPr>
              <w:jc w:val="left"/>
              <w:rPr>
                <w:rFonts w:ascii="Arial" w:hAnsi="Arial" w:cs="Arial"/>
                <w:b/>
                <w:sz w:val="24"/>
                <w:szCs w:val="24"/>
              </w:rPr>
            </w:pPr>
            <w:r w:rsidRPr="009618C2">
              <w:rPr>
                <w:rFonts w:ascii="Arial" w:hAnsi="Arial" w:cs="Arial"/>
                <w:b/>
                <w:sz w:val="24"/>
                <w:szCs w:val="24"/>
              </w:rPr>
              <w:t>EBITDAR</w:t>
            </w:r>
          </w:p>
        </w:tc>
        <w:tc>
          <w:tcPr>
            <w:tcW w:w="1418" w:type="dxa"/>
          </w:tcPr>
          <w:p w:rsidR="005B2678" w:rsidRPr="009618C2" w:rsidRDefault="005B2678" w:rsidP="00D67D7A">
            <w:pPr>
              <w:jc w:val="right"/>
              <w:rPr>
                <w:rFonts w:ascii="Arial" w:hAnsi="Arial" w:cs="Arial"/>
                <w:sz w:val="24"/>
                <w:szCs w:val="24"/>
              </w:rPr>
            </w:pPr>
          </w:p>
        </w:tc>
        <w:tc>
          <w:tcPr>
            <w:tcW w:w="2268" w:type="dxa"/>
            <w:tcBorders>
              <w:top w:val="single" w:sz="4" w:space="0" w:color="auto"/>
            </w:tcBorders>
          </w:tcPr>
          <w:p w:rsidR="005B2678" w:rsidRPr="009618C2" w:rsidRDefault="005B2678" w:rsidP="00D67D7A">
            <w:pPr>
              <w:jc w:val="right"/>
              <w:rPr>
                <w:rFonts w:ascii="Arial" w:hAnsi="Arial" w:cs="Arial"/>
                <w:b/>
                <w:sz w:val="24"/>
                <w:szCs w:val="24"/>
              </w:rPr>
            </w:pPr>
            <w:r w:rsidRPr="009618C2">
              <w:rPr>
                <w:rFonts w:ascii="Arial" w:hAnsi="Arial" w:cs="Arial"/>
                <w:b/>
                <w:sz w:val="24"/>
                <w:szCs w:val="24"/>
              </w:rPr>
              <w:t>1,4</w:t>
            </w:r>
            <w:r>
              <w:rPr>
                <w:rFonts w:ascii="Arial" w:hAnsi="Arial" w:cs="Arial"/>
                <w:b/>
                <w:sz w:val="24"/>
                <w:szCs w:val="24"/>
              </w:rPr>
              <w:t>22</w:t>
            </w:r>
          </w:p>
        </w:tc>
      </w:tr>
      <w:tr w:rsidR="005B2678" w:rsidRPr="00830EB6" w:rsidTr="00EC015F">
        <w:tc>
          <w:tcPr>
            <w:tcW w:w="5920" w:type="dxa"/>
          </w:tcPr>
          <w:p w:rsidR="005B2678" w:rsidRPr="00EC1FEB" w:rsidRDefault="005B2678" w:rsidP="00D67D7A">
            <w:pPr>
              <w:jc w:val="left"/>
              <w:rPr>
                <w:rFonts w:ascii="Arial" w:hAnsi="Arial" w:cs="Arial"/>
                <w:sz w:val="24"/>
                <w:szCs w:val="24"/>
              </w:rPr>
            </w:pPr>
            <w:r w:rsidRPr="00EC1FEB">
              <w:rPr>
                <w:rFonts w:ascii="Arial" w:hAnsi="Arial" w:cs="Arial"/>
                <w:sz w:val="24"/>
                <w:szCs w:val="24"/>
              </w:rPr>
              <w:t>Financial (net cash)</w:t>
            </w:r>
          </w:p>
        </w:tc>
        <w:tc>
          <w:tcPr>
            <w:tcW w:w="1418" w:type="dxa"/>
          </w:tcPr>
          <w:p w:rsidR="005B2678" w:rsidRPr="009618C2" w:rsidRDefault="005B2678" w:rsidP="00D67D7A">
            <w:pPr>
              <w:jc w:val="right"/>
              <w:rPr>
                <w:rFonts w:ascii="Arial" w:hAnsi="Arial" w:cs="Arial"/>
                <w:sz w:val="24"/>
                <w:szCs w:val="24"/>
                <w:lang w:val="fr-FR"/>
              </w:rPr>
            </w:pPr>
            <w:r>
              <w:rPr>
                <w:rFonts w:ascii="Arial" w:hAnsi="Arial" w:cs="Arial"/>
                <w:sz w:val="24"/>
                <w:szCs w:val="24"/>
                <w:lang w:val="fr-FR"/>
              </w:rPr>
              <w:t>(38)</w:t>
            </w:r>
          </w:p>
        </w:tc>
        <w:tc>
          <w:tcPr>
            <w:tcW w:w="2268" w:type="dxa"/>
          </w:tcPr>
          <w:p w:rsidR="005B2678" w:rsidRPr="00D67D7A" w:rsidRDefault="005B2678" w:rsidP="00D67D7A">
            <w:pPr>
              <w:jc w:val="right"/>
              <w:rPr>
                <w:rFonts w:ascii="Arial" w:hAnsi="Arial" w:cs="Arial"/>
                <w:sz w:val="24"/>
                <w:szCs w:val="24"/>
                <w:lang w:val="fr-FR"/>
              </w:rPr>
            </w:pPr>
          </w:p>
        </w:tc>
      </w:tr>
      <w:tr w:rsidR="005B2678" w:rsidRPr="00E20BFB" w:rsidTr="00EC015F">
        <w:tc>
          <w:tcPr>
            <w:tcW w:w="5920" w:type="dxa"/>
          </w:tcPr>
          <w:p w:rsidR="005B2678" w:rsidRDefault="005B2678" w:rsidP="00D67D7A">
            <w:pPr>
              <w:jc w:val="left"/>
              <w:rPr>
                <w:rFonts w:ascii="Arial" w:hAnsi="Arial" w:cs="Arial"/>
                <w:sz w:val="24"/>
                <w:szCs w:val="24"/>
              </w:rPr>
            </w:pPr>
            <w:r>
              <w:rPr>
                <w:rFonts w:ascii="Arial" w:hAnsi="Arial" w:cs="Arial"/>
                <w:sz w:val="24"/>
                <w:szCs w:val="24"/>
              </w:rPr>
              <w:t xml:space="preserve">Pension position </w:t>
            </w:r>
          </w:p>
        </w:tc>
        <w:tc>
          <w:tcPr>
            <w:tcW w:w="1418" w:type="dxa"/>
          </w:tcPr>
          <w:p w:rsidR="005B2678" w:rsidRPr="00D67D7A" w:rsidRDefault="005B2678" w:rsidP="00EB614B">
            <w:pPr>
              <w:jc w:val="right"/>
              <w:rPr>
                <w:rFonts w:ascii="Arial" w:hAnsi="Arial" w:cs="Arial"/>
                <w:sz w:val="24"/>
                <w:szCs w:val="24"/>
              </w:rPr>
            </w:pPr>
            <w:r>
              <w:rPr>
                <w:rFonts w:ascii="Arial" w:hAnsi="Arial" w:cs="Arial"/>
                <w:sz w:val="24"/>
                <w:szCs w:val="24"/>
              </w:rPr>
              <w:t>-</w:t>
            </w:r>
          </w:p>
        </w:tc>
        <w:tc>
          <w:tcPr>
            <w:tcW w:w="2268" w:type="dxa"/>
          </w:tcPr>
          <w:p w:rsidR="005B2678" w:rsidRPr="00D67D7A" w:rsidRDefault="005B2678" w:rsidP="00D67D7A">
            <w:pPr>
              <w:jc w:val="right"/>
              <w:rPr>
                <w:rFonts w:ascii="Arial" w:hAnsi="Arial" w:cs="Arial"/>
                <w:sz w:val="24"/>
                <w:szCs w:val="24"/>
              </w:rPr>
            </w:pPr>
          </w:p>
        </w:tc>
      </w:tr>
      <w:tr w:rsidR="005B2678" w:rsidRPr="00E20BFB" w:rsidTr="00EC015F">
        <w:tc>
          <w:tcPr>
            <w:tcW w:w="5920" w:type="dxa"/>
          </w:tcPr>
          <w:p w:rsidR="005B2678" w:rsidRDefault="005B2678" w:rsidP="00D67D7A">
            <w:pPr>
              <w:jc w:val="left"/>
              <w:rPr>
                <w:rFonts w:ascii="Arial" w:hAnsi="Arial" w:cs="Arial"/>
                <w:sz w:val="24"/>
                <w:szCs w:val="24"/>
              </w:rPr>
            </w:pPr>
            <w:r>
              <w:rPr>
                <w:rFonts w:ascii="Arial" w:hAnsi="Arial" w:cs="Arial"/>
                <w:sz w:val="24"/>
                <w:szCs w:val="24"/>
              </w:rPr>
              <w:t>Property operating lease rentals (8</w:t>
            </w:r>
            <w:r w:rsidR="000F4BB3">
              <w:rPr>
                <w:rFonts w:ascii="Arial" w:hAnsi="Arial" w:cs="Arial"/>
                <w:sz w:val="24"/>
                <w:szCs w:val="24"/>
              </w:rPr>
              <w:t>x</w:t>
            </w:r>
            <w:r>
              <w:rPr>
                <w:rFonts w:ascii="Arial" w:hAnsi="Arial" w:cs="Arial"/>
                <w:sz w:val="24"/>
                <w:szCs w:val="24"/>
              </w:rPr>
              <w:t>)</w:t>
            </w:r>
            <w:r w:rsidRPr="009618C2">
              <w:rPr>
                <w:rFonts w:ascii="Arial" w:hAnsi="Arial" w:cs="Arial"/>
                <w:i/>
                <w:sz w:val="24"/>
                <w:szCs w:val="24"/>
                <w:vertAlign w:val="superscript"/>
              </w:rPr>
              <w:t>(2)</w:t>
            </w:r>
          </w:p>
        </w:tc>
        <w:tc>
          <w:tcPr>
            <w:tcW w:w="1418" w:type="dxa"/>
          </w:tcPr>
          <w:p w:rsidR="005B2678" w:rsidRPr="00D67D7A" w:rsidRDefault="005B2678" w:rsidP="00D67D7A">
            <w:pPr>
              <w:jc w:val="right"/>
              <w:rPr>
                <w:rFonts w:ascii="Arial" w:hAnsi="Arial" w:cs="Arial"/>
                <w:sz w:val="24"/>
                <w:szCs w:val="24"/>
              </w:rPr>
            </w:pPr>
            <w:r>
              <w:rPr>
                <w:rFonts w:ascii="Arial" w:hAnsi="Arial" w:cs="Arial"/>
                <w:sz w:val="24"/>
                <w:szCs w:val="24"/>
              </w:rPr>
              <w:t>3,480</w:t>
            </w:r>
          </w:p>
        </w:tc>
        <w:tc>
          <w:tcPr>
            <w:tcW w:w="2268" w:type="dxa"/>
            <w:tcBorders>
              <w:bottom w:val="single" w:sz="4" w:space="0" w:color="auto"/>
            </w:tcBorders>
          </w:tcPr>
          <w:p w:rsidR="005B2678" w:rsidRPr="00D67D7A" w:rsidRDefault="005B2678" w:rsidP="00D67D7A">
            <w:pPr>
              <w:jc w:val="right"/>
              <w:rPr>
                <w:rFonts w:ascii="Arial" w:hAnsi="Arial" w:cs="Arial"/>
                <w:sz w:val="24"/>
                <w:szCs w:val="24"/>
              </w:rPr>
            </w:pPr>
          </w:p>
        </w:tc>
      </w:tr>
      <w:tr w:rsidR="005B2678" w:rsidRPr="00E20BFB" w:rsidTr="00EC015F">
        <w:tc>
          <w:tcPr>
            <w:tcW w:w="5920" w:type="dxa"/>
            <w:tcBorders>
              <w:bottom w:val="single" w:sz="4" w:space="0" w:color="auto"/>
            </w:tcBorders>
          </w:tcPr>
          <w:p w:rsidR="005B2678" w:rsidRPr="009618C2" w:rsidRDefault="005B2678" w:rsidP="00D67D7A">
            <w:pPr>
              <w:jc w:val="left"/>
              <w:rPr>
                <w:rFonts w:ascii="Arial" w:hAnsi="Arial" w:cs="Arial"/>
                <w:b/>
                <w:sz w:val="24"/>
                <w:szCs w:val="24"/>
              </w:rPr>
            </w:pPr>
            <w:r w:rsidRPr="009618C2">
              <w:rPr>
                <w:rFonts w:ascii="Arial" w:hAnsi="Arial" w:cs="Arial"/>
                <w:b/>
                <w:sz w:val="24"/>
                <w:szCs w:val="24"/>
              </w:rPr>
              <w:t>Lease adjusted net debt</w:t>
            </w:r>
            <w:r>
              <w:rPr>
                <w:rFonts w:ascii="Arial" w:hAnsi="Arial" w:cs="Arial"/>
                <w:b/>
                <w:sz w:val="24"/>
                <w:szCs w:val="24"/>
              </w:rPr>
              <w:t xml:space="preserve"> </w:t>
            </w:r>
          </w:p>
        </w:tc>
        <w:tc>
          <w:tcPr>
            <w:tcW w:w="1418" w:type="dxa"/>
            <w:tcBorders>
              <w:bottom w:val="single" w:sz="4" w:space="0" w:color="auto"/>
            </w:tcBorders>
          </w:tcPr>
          <w:p w:rsidR="005B2678" w:rsidRPr="00D67D7A" w:rsidRDefault="005B2678" w:rsidP="00D67D7A">
            <w:pPr>
              <w:jc w:val="right"/>
              <w:rPr>
                <w:rFonts w:ascii="Arial" w:hAnsi="Arial" w:cs="Arial"/>
                <w:sz w:val="24"/>
                <w:szCs w:val="24"/>
              </w:rPr>
            </w:pPr>
          </w:p>
        </w:tc>
        <w:tc>
          <w:tcPr>
            <w:tcW w:w="2268" w:type="dxa"/>
            <w:tcBorders>
              <w:top w:val="single" w:sz="4" w:space="0" w:color="auto"/>
              <w:bottom w:val="single" w:sz="4" w:space="0" w:color="auto"/>
            </w:tcBorders>
          </w:tcPr>
          <w:p w:rsidR="005B2678" w:rsidRPr="009618C2" w:rsidRDefault="005B2678" w:rsidP="00D67D7A">
            <w:pPr>
              <w:jc w:val="right"/>
              <w:rPr>
                <w:rFonts w:ascii="Arial" w:hAnsi="Arial" w:cs="Arial"/>
                <w:b/>
                <w:sz w:val="24"/>
                <w:szCs w:val="24"/>
              </w:rPr>
            </w:pPr>
            <w:r>
              <w:rPr>
                <w:rFonts w:ascii="Arial" w:hAnsi="Arial" w:cs="Arial"/>
                <w:b/>
                <w:sz w:val="24"/>
                <w:szCs w:val="24"/>
              </w:rPr>
              <w:t>3,442</w:t>
            </w:r>
          </w:p>
        </w:tc>
      </w:tr>
      <w:tr w:rsidR="005B2678" w:rsidRPr="00D67D7A" w:rsidTr="00EC015F">
        <w:tc>
          <w:tcPr>
            <w:tcW w:w="5920" w:type="dxa"/>
            <w:tcBorders>
              <w:bottom w:val="single" w:sz="4" w:space="0" w:color="auto"/>
            </w:tcBorders>
          </w:tcPr>
          <w:p w:rsidR="005B2678" w:rsidRPr="009618C2" w:rsidRDefault="005B2678" w:rsidP="00D67D7A">
            <w:pPr>
              <w:jc w:val="left"/>
              <w:rPr>
                <w:rFonts w:ascii="Arial" w:hAnsi="Arial" w:cs="Arial"/>
                <w:b/>
                <w:sz w:val="24"/>
                <w:szCs w:val="24"/>
              </w:rPr>
            </w:pPr>
            <w:r w:rsidRPr="009618C2">
              <w:rPr>
                <w:rFonts w:ascii="Arial" w:hAnsi="Arial" w:cs="Arial"/>
                <w:b/>
                <w:sz w:val="24"/>
                <w:szCs w:val="24"/>
              </w:rPr>
              <w:t>Lease adjusted net debt to EBITDAR</w:t>
            </w:r>
          </w:p>
        </w:tc>
        <w:tc>
          <w:tcPr>
            <w:tcW w:w="1418" w:type="dxa"/>
            <w:tcBorders>
              <w:bottom w:val="single" w:sz="4" w:space="0" w:color="auto"/>
            </w:tcBorders>
          </w:tcPr>
          <w:p w:rsidR="005B2678" w:rsidRPr="00D67D7A" w:rsidRDefault="005B2678" w:rsidP="00D67D7A">
            <w:pPr>
              <w:jc w:val="right"/>
              <w:rPr>
                <w:rFonts w:ascii="Arial" w:hAnsi="Arial" w:cs="Arial"/>
                <w:b/>
                <w:sz w:val="24"/>
                <w:szCs w:val="24"/>
              </w:rPr>
            </w:pPr>
          </w:p>
        </w:tc>
        <w:tc>
          <w:tcPr>
            <w:tcW w:w="2268" w:type="dxa"/>
            <w:tcBorders>
              <w:bottom w:val="single" w:sz="4" w:space="0" w:color="auto"/>
            </w:tcBorders>
          </w:tcPr>
          <w:p w:rsidR="005B2678" w:rsidRPr="009618C2" w:rsidRDefault="005B2678" w:rsidP="00D67D7A">
            <w:pPr>
              <w:jc w:val="right"/>
              <w:rPr>
                <w:rFonts w:ascii="Arial" w:hAnsi="Arial" w:cs="Arial"/>
                <w:b/>
                <w:sz w:val="24"/>
                <w:szCs w:val="24"/>
              </w:rPr>
            </w:pPr>
            <w:r w:rsidRPr="009618C2">
              <w:rPr>
                <w:rFonts w:ascii="Arial" w:hAnsi="Arial" w:cs="Arial"/>
                <w:b/>
                <w:sz w:val="24"/>
                <w:szCs w:val="24"/>
              </w:rPr>
              <w:t>2.4x</w:t>
            </w:r>
          </w:p>
        </w:tc>
      </w:tr>
    </w:tbl>
    <w:p w:rsidR="00D87B09" w:rsidRPr="009618C2" w:rsidRDefault="00D87B09" w:rsidP="00C82F88">
      <w:pPr>
        <w:jc w:val="left"/>
        <w:rPr>
          <w:rFonts w:ascii="Arial" w:hAnsi="Arial" w:cs="Arial"/>
          <w:i/>
          <w:sz w:val="18"/>
          <w:szCs w:val="18"/>
        </w:rPr>
      </w:pPr>
    </w:p>
    <w:p w:rsidR="00D87B09" w:rsidRPr="009618C2" w:rsidRDefault="00D87B09" w:rsidP="00D87B09">
      <w:pPr>
        <w:jc w:val="left"/>
        <w:rPr>
          <w:rFonts w:ascii="Arial" w:hAnsi="Arial" w:cs="Arial"/>
          <w:i/>
          <w:sz w:val="18"/>
          <w:szCs w:val="18"/>
        </w:rPr>
      </w:pPr>
      <w:r w:rsidRPr="009618C2">
        <w:rPr>
          <w:rFonts w:ascii="Arial" w:hAnsi="Arial" w:cs="Arial"/>
          <w:bCs/>
          <w:i/>
          <w:sz w:val="18"/>
          <w:szCs w:val="18"/>
          <w:vertAlign w:val="superscript"/>
        </w:rPr>
        <w:t xml:space="preserve">(1) </w:t>
      </w:r>
      <w:r w:rsidRPr="009618C2">
        <w:rPr>
          <w:rFonts w:ascii="Arial" w:hAnsi="Arial" w:cs="Arial"/>
          <w:bCs/>
          <w:i/>
          <w:sz w:val="18"/>
          <w:szCs w:val="18"/>
        </w:rPr>
        <w:t>Calculated as Retail profit less central costs and before depreciation</w:t>
      </w:r>
      <w:r w:rsidR="005B2678">
        <w:rPr>
          <w:rFonts w:ascii="Arial" w:hAnsi="Arial" w:cs="Arial"/>
          <w:bCs/>
          <w:i/>
          <w:sz w:val="18"/>
          <w:szCs w:val="18"/>
        </w:rPr>
        <w:t xml:space="preserve"> and</w:t>
      </w:r>
      <w:r w:rsidRPr="009618C2">
        <w:rPr>
          <w:rFonts w:ascii="Arial" w:hAnsi="Arial" w:cs="Arial"/>
          <w:bCs/>
          <w:i/>
          <w:sz w:val="18"/>
          <w:szCs w:val="18"/>
        </w:rPr>
        <w:t xml:space="preserve"> amortisation </w:t>
      </w:r>
    </w:p>
    <w:p w:rsidR="00D87B09" w:rsidRPr="009618C2" w:rsidRDefault="00D87B09" w:rsidP="00D87B09">
      <w:pPr>
        <w:jc w:val="left"/>
        <w:rPr>
          <w:rFonts w:ascii="Arial" w:hAnsi="Arial" w:cs="Arial"/>
          <w:i/>
          <w:sz w:val="18"/>
          <w:szCs w:val="18"/>
        </w:rPr>
      </w:pPr>
      <w:r w:rsidRPr="009618C2">
        <w:rPr>
          <w:rFonts w:ascii="Arial" w:hAnsi="Arial" w:cs="Arial"/>
          <w:bCs/>
          <w:i/>
          <w:sz w:val="18"/>
          <w:szCs w:val="18"/>
          <w:vertAlign w:val="superscript"/>
        </w:rPr>
        <w:t xml:space="preserve">(2) </w:t>
      </w:r>
      <w:r w:rsidRPr="009618C2">
        <w:rPr>
          <w:rFonts w:ascii="Arial" w:hAnsi="Arial" w:cs="Arial"/>
          <w:bCs/>
          <w:i/>
          <w:sz w:val="18"/>
          <w:szCs w:val="18"/>
        </w:rPr>
        <w:t>Kingfisher believes 8x is a reasonable industry standard for estimating the economic value of its leased assets</w:t>
      </w:r>
    </w:p>
    <w:p w:rsidR="005A41F0" w:rsidRPr="00C82F88" w:rsidRDefault="005A41F0" w:rsidP="00C82F88">
      <w:pPr>
        <w:jc w:val="left"/>
        <w:rPr>
          <w:rFonts w:ascii="Arial" w:hAnsi="Arial" w:cs="Arial"/>
          <w:sz w:val="24"/>
          <w:szCs w:val="24"/>
        </w:rPr>
      </w:pPr>
    </w:p>
    <w:p w:rsidR="005A41F0" w:rsidRDefault="005A41F0" w:rsidP="00C82F88">
      <w:pPr>
        <w:jc w:val="left"/>
        <w:rPr>
          <w:rFonts w:ascii="Arial" w:hAnsi="Arial" w:cs="Arial"/>
          <w:sz w:val="24"/>
          <w:szCs w:val="24"/>
        </w:rPr>
      </w:pPr>
      <w:r w:rsidRPr="00C82F88">
        <w:rPr>
          <w:rFonts w:ascii="Arial" w:hAnsi="Arial" w:cs="Arial" w:hint="eastAsia"/>
          <w:sz w:val="24"/>
          <w:szCs w:val="24"/>
        </w:rPr>
        <w:t xml:space="preserve">Kingfisher aims to maintain its solid investment grade credit rating whilst investing in the business where economic returns are attractive and paying a </w:t>
      </w:r>
      <w:r w:rsidR="005B2678">
        <w:rPr>
          <w:rFonts w:ascii="Arial" w:hAnsi="Arial" w:cs="Arial"/>
          <w:sz w:val="24"/>
          <w:szCs w:val="24"/>
        </w:rPr>
        <w:t>healthy</w:t>
      </w:r>
      <w:r w:rsidRPr="00C82F88">
        <w:rPr>
          <w:rFonts w:ascii="Arial" w:hAnsi="Arial" w:cs="Arial" w:hint="eastAsia"/>
          <w:sz w:val="24"/>
          <w:szCs w:val="24"/>
        </w:rPr>
        <w:t xml:space="preserve"> annual dividend to shareholders. After satisfying these key aims and taking into account the economic and trading outlook any surplus capital would be returned to shareholders.  </w:t>
      </w:r>
    </w:p>
    <w:p w:rsidR="005A41F0" w:rsidRPr="00C82F88" w:rsidRDefault="005A41F0" w:rsidP="00C82F88">
      <w:pPr>
        <w:jc w:val="left"/>
        <w:rPr>
          <w:rFonts w:ascii="Arial" w:hAnsi="Arial" w:cs="Arial"/>
          <w:sz w:val="24"/>
          <w:szCs w:val="24"/>
        </w:rPr>
      </w:pPr>
    </w:p>
    <w:p w:rsidR="005A41F0" w:rsidRPr="00C82F88" w:rsidRDefault="005A41F0" w:rsidP="00C82F88">
      <w:pPr>
        <w:jc w:val="left"/>
        <w:rPr>
          <w:rFonts w:ascii="Arial" w:hAnsi="Arial" w:cs="Arial"/>
          <w:sz w:val="24"/>
          <w:szCs w:val="24"/>
        </w:rPr>
      </w:pPr>
      <w:r w:rsidRPr="00C82F88">
        <w:rPr>
          <w:rFonts w:ascii="Arial" w:hAnsi="Arial" w:cs="Arial" w:hint="eastAsia"/>
          <w:sz w:val="24"/>
          <w:szCs w:val="24"/>
        </w:rPr>
        <w:t xml:space="preserve">Where appropriate Kingfisher may purchase current leasehold assets used by the Group. This may increase financial debt but </w:t>
      </w:r>
      <w:r w:rsidR="00F76408">
        <w:rPr>
          <w:rFonts w:ascii="Arial" w:hAnsi="Arial" w:cs="Arial"/>
          <w:sz w:val="24"/>
          <w:szCs w:val="24"/>
        </w:rPr>
        <w:t>should have</w:t>
      </w:r>
      <w:r w:rsidRPr="00C82F88">
        <w:rPr>
          <w:rFonts w:ascii="Arial" w:hAnsi="Arial" w:cs="Arial" w:hint="eastAsia"/>
          <w:sz w:val="24"/>
          <w:szCs w:val="24"/>
        </w:rPr>
        <w:t xml:space="preserve"> no </w:t>
      </w:r>
      <w:r w:rsidR="00F45FAA">
        <w:rPr>
          <w:rFonts w:ascii="Arial" w:hAnsi="Arial" w:cs="Arial"/>
          <w:sz w:val="24"/>
          <w:szCs w:val="24"/>
        </w:rPr>
        <w:t xml:space="preserve">material </w:t>
      </w:r>
      <w:r w:rsidRPr="00C82F88">
        <w:rPr>
          <w:rFonts w:ascii="Arial" w:hAnsi="Arial" w:cs="Arial" w:hint="eastAsia"/>
          <w:sz w:val="24"/>
          <w:szCs w:val="24"/>
        </w:rPr>
        <w:t>impact on lease adjusted net debt.</w:t>
      </w:r>
    </w:p>
    <w:p w:rsidR="005A41F0" w:rsidRDefault="005A41F0" w:rsidP="00600993">
      <w:pPr>
        <w:jc w:val="left"/>
        <w:rPr>
          <w:rFonts w:ascii="Arial" w:hAnsi="Arial" w:cs="Arial"/>
          <w:b/>
          <w:sz w:val="24"/>
          <w:szCs w:val="24"/>
        </w:rPr>
      </w:pPr>
    </w:p>
    <w:p w:rsidR="005A41F0" w:rsidRPr="00C82F88" w:rsidRDefault="005A41F0" w:rsidP="00C82F88">
      <w:pPr>
        <w:jc w:val="left"/>
        <w:rPr>
          <w:rFonts w:ascii="Arial" w:hAnsi="Arial" w:cs="Arial"/>
          <w:sz w:val="24"/>
          <w:szCs w:val="24"/>
        </w:rPr>
      </w:pPr>
      <w:r w:rsidRPr="00C82F88">
        <w:rPr>
          <w:rFonts w:ascii="Arial" w:hAnsi="Arial" w:cs="Arial" w:hint="eastAsia"/>
          <w:sz w:val="24"/>
          <w:szCs w:val="24"/>
        </w:rPr>
        <w:t xml:space="preserve">Kingfisher regularly reviews the level of cash and debt facilities required to fund its activities. This involves preparing a prudent cash flow forecast for the next three years, determining the level of debt facilities required to fund the business, planning for repayments of debt at its maturity and identifying an appropriate amount of headroom to provide a reserve against unexpected outflows. </w:t>
      </w:r>
    </w:p>
    <w:p w:rsidR="005A41F0" w:rsidRPr="00C82F88" w:rsidRDefault="005A41F0" w:rsidP="00C82F88">
      <w:pPr>
        <w:jc w:val="left"/>
        <w:rPr>
          <w:rFonts w:ascii="Arial" w:hAnsi="Arial" w:cs="Arial"/>
          <w:sz w:val="24"/>
          <w:szCs w:val="24"/>
        </w:rPr>
      </w:pPr>
    </w:p>
    <w:p w:rsidR="005A41F0" w:rsidRPr="00C82F88" w:rsidRDefault="005A41F0" w:rsidP="00C82F88">
      <w:pPr>
        <w:jc w:val="left"/>
        <w:rPr>
          <w:rFonts w:ascii="Arial" w:hAnsi="Arial" w:cs="Arial"/>
          <w:sz w:val="24"/>
          <w:szCs w:val="24"/>
        </w:rPr>
      </w:pPr>
      <w:r w:rsidRPr="00C82F88">
        <w:rPr>
          <w:rFonts w:ascii="Arial" w:hAnsi="Arial" w:cs="Arial" w:hint="eastAsia"/>
          <w:sz w:val="24"/>
          <w:szCs w:val="24"/>
        </w:rPr>
        <w:t xml:space="preserve">The Group derives around half its profit from the </w:t>
      </w:r>
      <w:proofErr w:type="spellStart"/>
      <w:r w:rsidRPr="00C82F88">
        <w:rPr>
          <w:rFonts w:ascii="Arial" w:hAnsi="Arial" w:cs="Arial" w:hint="eastAsia"/>
          <w:sz w:val="24"/>
          <w:szCs w:val="24"/>
        </w:rPr>
        <w:t>eurozone</w:t>
      </w:r>
      <w:proofErr w:type="spellEnd"/>
      <w:r w:rsidRPr="00C82F88">
        <w:rPr>
          <w:rFonts w:ascii="Arial" w:hAnsi="Arial" w:cs="Arial" w:hint="eastAsia"/>
          <w:sz w:val="24"/>
          <w:szCs w:val="24"/>
        </w:rPr>
        <w:t>, and as such is exposed to economic conditions in the member states. The Group continues to monitor potential exposures and risks, and develop effective risk management solutions.</w:t>
      </w:r>
    </w:p>
    <w:p w:rsidR="005A41F0" w:rsidRPr="00C82F88" w:rsidRDefault="005A41F0" w:rsidP="00C82F88">
      <w:pPr>
        <w:jc w:val="left"/>
        <w:rPr>
          <w:rFonts w:ascii="Arial" w:hAnsi="Arial" w:cs="Arial"/>
          <w:sz w:val="24"/>
          <w:szCs w:val="24"/>
        </w:rPr>
      </w:pPr>
    </w:p>
    <w:p w:rsidR="005A41F0" w:rsidRPr="00C82F88" w:rsidRDefault="005A41F0" w:rsidP="00C82F88">
      <w:pPr>
        <w:jc w:val="left"/>
        <w:rPr>
          <w:rFonts w:ascii="Arial" w:hAnsi="Arial" w:cs="Arial"/>
          <w:sz w:val="24"/>
          <w:szCs w:val="24"/>
        </w:rPr>
      </w:pPr>
      <w:r w:rsidRPr="00C82F88">
        <w:rPr>
          <w:rFonts w:ascii="Arial" w:hAnsi="Arial" w:cs="Arial" w:hint="eastAsia"/>
          <w:sz w:val="24"/>
          <w:szCs w:val="24"/>
        </w:rPr>
        <w:t xml:space="preserve">Kingfisher has a </w:t>
      </w:r>
      <w:r w:rsidRPr="00C82F88">
        <w:rPr>
          <w:rFonts w:ascii="Arial" w:hAnsi="Arial" w:cs="Arial"/>
          <w:sz w:val="24"/>
          <w:szCs w:val="24"/>
        </w:rPr>
        <w:t>£200</w:t>
      </w:r>
      <w:r w:rsidRPr="00B433EB">
        <w:rPr>
          <w:rFonts w:ascii="Arial" w:hAnsi="Arial" w:cs="Arial"/>
          <w:sz w:val="24"/>
          <w:szCs w:val="24"/>
        </w:rPr>
        <w:t xml:space="preserve"> </w:t>
      </w:r>
      <w:r w:rsidRPr="00C82F88">
        <w:rPr>
          <w:rFonts w:ascii="Arial" w:hAnsi="Arial" w:cs="Arial" w:hint="eastAsia"/>
          <w:sz w:val="24"/>
          <w:szCs w:val="24"/>
        </w:rPr>
        <w:t>m</w:t>
      </w:r>
      <w:r w:rsidRPr="00B433EB">
        <w:rPr>
          <w:rFonts w:ascii="Arial" w:hAnsi="Arial" w:cs="Arial"/>
          <w:sz w:val="24"/>
          <w:szCs w:val="24"/>
        </w:rPr>
        <w:t>illion</w:t>
      </w:r>
      <w:r w:rsidRPr="00C82F88">
        <w:rPr>
          <w:rFonts w:ascii="Arial" w:hAnsi="Arial" w:cs="Arial" w:hint="eastAsia"/>
          <w:sz w:val="24"/>
          <w:szCs w:val="24"/>
        </w:rPr>
        <w:t xml:space="preserve"> committed bank facility maturing in August 2016, which remained undrawn at the year end.</w:t>
      </w:r>
    </w:p>
    <w:p w:rsidR="005A41F0" w:rsidRPr="00C82F88" w:rsidRDefault="005A41F0" w:rsidP="00C82F88">
      <w:pPr>
        <w:jc w:val="left"/>
        <w:rPr>
          <w:rFonts w:ascii="Arial" w:hAnsi="Arial" w:cs="Arial"/>
          <w:sz w:val="24"/>
          <w:szCs w:val="24"/>
        </w:rPr>
      </w:pPr>
    </w:p>
    <w:p w:rsidR="005A41F0" w:rsidRPr="00C82F88" w:rsidRDefault="005A41F0" w:rsidP="00C82F88">
      <w:pPr>
        <w:jc w:val="left"/>
        <w:rPr>
          <w:rFonts w:ascii="Arial" w:hAnsi="Arial" w:cs="Arial"/>
          <w:sz w:val="24"/>
          <w:szCs w:val="24"/>
        </w:rPr>
      </w:pPr>
      <w:r w:rsidRPr="00C82F88">
        <w:rPr>
          <w:rFonts w:ascii="Arial" w:hAnsi="Arial" w:cs="Arial" w:hint="eastAsia"/>
          <w:sz w:val="24"/>
          <w:szCs w:val="24"/>
        </w:rPr>
        <w:t>Kingfisher deposits surplus cash with a number of banks with the strongest short-term credit ratings and with money market funds which have the strongest, AAA, credit rating and offer same day liquidity. A credit limit for each bank or fund is agreed by the Board covering the full value of deposits and a proportion of the value of derivative contracts.</w:t>
      </w:r>
      <w:r w:rsidR="00B433EB">
        <w:rPr>
          <w:rFonts w:ascii="Arial" w:hAnsi="Arial" w:cs="Arial"/>
          <w:sz w:val="24"/>
          <w:szCs w:val="24"/>
        </w:rPr>
        <w:t xml:space="preserve"> </w:t>
      </w:r>
      <w:r w:rsidRPr="00C82F88">
        <w:rPr>
          <w:rFonts w:ascii="Arial" w:hAnsi="Arial" w:cs="Arial" w:hint="eastAsia"/>
          <w:sz w:val="24"/>
          <w:szCs w:val="24"/>
        </w:rPr>
        <w:t xml:space="preserve">The credit risk is reduced further by spreading the investments and derivative contracts across several counterparties. At the year end, the Group had a total of around </w:t>
      </w:r>
      <w:r w:rsidRPr="00C82F88">
        <w:rPr>
          <w:rFonts w:ascii="Arial" w:hAnsi="Arial" w:cs="Arial"/>
          <w:sz w:val="24"/>
          <w:szCs w:val="24"/>
        </w:rPr>
        <w:t>£</w:t>
      </w:r>
      <w:r w:rsidRPr="00C82F88">
        <w:rPr>
          <w:rFonts w:ascii="Arial" w:hAnsi="Arial" w:cs="Arial" w:hint="eastAsia"/>
          <w:sz w:val="24"/>
          <w:szCs w:val="24"/>
        </w:rPr>
        <w:t xml:space="preserve">400 million of cash deposited with banks and in money market funds. The highest single cash investment was a </w:t>
      </w:r>
      <w:r w:rsidRPr="00C82F88">
        <w:rPr>
          <w:rFonts w:ascii="Arial" w:hAnsi="Arial" w:cs="Arial"/>
          <w:sz w:val="24"/>
          <w:szCs w:val="24"/>
        </w:rPr>
        <w:t>£</w:t>
      </w:r>
      <w:r w:rsidRPr="00C82F88">
        <w:rPr>
          <w:rFonts w:ascii="Arial" w:hAnsi="Arial" w:cs="Arial" w:hint="eastAsia"/>
          <w:sz w:val="24"/>
          <w:szCs w:val="24"/>
        </w:rPr>
        <w:t>32 million money market fund investment.</w:t>
      </w:r>
    </w:p>
    <w:p w:rsidR="005A41F0" w:rsidRPr="00C82F88" w:rsidRDefault="005A41F0" w:rsidP="00C82F88">
      <w:pPr>
        <w:jc w:val="left"/>
        <w:rPr>
          <w:rFonts w:ascii="Arial" w:hAnsi="Arial" w:cs="Arial"/>
          <w:sz w:val="24"/>
          <w:szCs w:val="24"/>
        </w:rPr>
      </w:pPr>
    </w:p>
    <w:p w:rsidR="005A41F0" w:rsidRPr="009618C2" w:rsidRDefault="005A41F0" w:rsidP="00C82F88">
      <w:pPr>
        <w:jc w:val="left"/>
        <w:rPr>
          <w:rFonts w:ascii="Arial" w:hAnsi="Arial" w:cs="Arial"/>
          <w:sz w:val="24"/>
          <w:szCs w:val="24"/>
        </w:rPr>
      </w:pPr>
      <w:r w:rsidRPr="00C82F88">
        <w:rPr>
          <w:rFonts w:ascii="Arial" w:hAnsi="Arial" w:cs="Arial" w:hint="eastAsia"/>
          <w:sz w:val="24"/>
          <w:szCs w:val="24"/>
        </w:rPr>
        <w:t>The maturity profile of Kingfisher</w:t>
      </w:r>
      <w:r w:rsidRPr="00C82F88">
        <w:rPr>
          <w:rFonts w:ascii="Arial" w:hAnsi="Arial" w:cs="Arial" w:hint="eastAsia"/>
          <w:sz w:val="24"/>
          <w:szCs w:val="24"/>
        </w:rPr>
        <w:t>’</w:t>
      </w:r>
      <w:r w:rsidRPr="00C82F88">
        <w:rPr>
          <w:rFonts w:ascii="Arial" w:hAnsi="Arial" w:cs="Arial" w:hint="eastAsia"/>
          <w:sz w:val="24"/>
          <w:szCs w:val="24"/>
        </w:rPr>
        <w:t xml:space="preserve">s debt is illustrated at: </w:t>
      </w:r>
      <w:hyperlink r:id="rId11" w:history="1">
        <w:r w:rsidR="00263422" w:rsidRPr="009618C2">
          <w:rPr>
            <w:rStyle w:val="Hyperlink"/>
            <w:rFonts w:ascii="Arial" w:hAnsi="Arial" w:cs="Arial"/>
            <w:color w:val="auto"/>
            <w:sz w:val="24"/>
            <w:szCs w:val="24"/>
            <w:u w:val="none"/>
          </w:rPr>
          <w:t>www.kingfisher.com/index.asp?pageid=76</w:t>
        </w:r>
      </w:hyperlink>
    </w:p>
    <w:p w:rsidR="00263422" w:rsidRDefault="00263422" w:rsidP="00C82F88">
      <w:pPr>
        <w:jc w:val="left"/>
        <w:rPr>
          <w:rFonts w:ascii="Arial" w:hAnsi="Arial" w:cs="Arial"/>
          <w:sz w:val="24"/>
          <w:szCs w:val="24"/>
          <w:u w:val="single"/>
        </w:rPr>
      </w:pPr>
    </w:p>
    <w:p w:rsidR="00263422" w:rsidRPr="00263422" w:rsidRDefault="00263422" w:rsidP="00C82F88">
      <w:pPr>
        <w:jc w:val="left"/>
        <w:rPr>
          <w:rFonts w:ascii="Arial" w:hAnsi="Arial" w:cs="Arial"/>
          <w:sz w:val="24"/>
          <w:szCs w:val="24"/>
        </w:rPr>
      </w:pPr>
      <w:r w:rsidRPr="009618C2">
        <w:rPr>
          <w:rFonts w:ascii="Arial" w:hAnsi="Arial" w:cs="Arial"/>
          <w:sz w:val="24"/>
          <w:szCs w:val="24"/>
        </w:rPr>
        <w:t xml:space="preserve">The </w:t>
      </w:r>
      <w:r>
        <w:rPr>
          <w:rFonts w:ascii="Arial" w:hAnsi="Arial" w:cs="Arial"/>
          <w:sz w:val="24"/>
          <w:szCs w:val="24"/>
        </w:rPr>
        <w:t xml:space="preserve">terms of the US Private Placement note agreement and the committed bank facility require only that the ratio of Group operating profit, excluding exceptional items, to net interest payable must be no less than 3:1 for the preceding 12 months at half year and full year ends.  At the year end the Group’s ratio was significantly higher than this requirement. </w:t>
      </w:r>
    </w:p>
    <w:p w:rsidR="005A41F0" w:rsidRPr="00C82F88" w:rsidRDefault="005A41F0" w:rsidP="00C82F88">
      <w:pPr>
        <w:jc w:val="left"/>
        <w:rPr>
          <w:rFonts w:ascii="Arial" w:hAnsi="Arial" w:cs="Arial"/>
          <w:sz w:val="24"/>
          <w:szCs w:val="24"/>
        </w:rPr>
      </w:pPr>
    </w:p>
    <w:p w:rsidR="005A41F0" w:rsidRDefault="005A41F0" w:rsidP="00C82F88">
      <w:pPr>
        <w:jc w:val="left"/>
        <w:rPr>
          <w:rFonts w:ascii="Arial" w:hAnsi="Arial" w:cs="Arial"/>
          <w:sz w:val="24"/>
          <w:szCs w:val="24"/>
        </w:rPr>
      </w:pPr>
      <w:r w:rsidRPr="00C82F88">
        <w:rPr>
          <w:rFonts w:ascii="Arial" w:hAnsi="Arial" w:cs="Arial" w:hint="eastAsia"/>
          <w:sz w:val="24"/>
          <w:szCs w:val="24"/>
        </w:rPr>
        <w:t>The Group has entered into interest rate derivative contracts to convert the fixed rate payable on its bonds and US Private Placement notes to a floating rate of interest. The floating interest rates paid by the Group under its financing arrangements are based on LIBOR and EURIBOR plus a margin. The margins were not changed during the year.</w:t>
      </w:r>
    </w:p>
    <w:p w:rsidR="00B433EB" w:rsidRDefault="00B433EB" w:rsidP="00C82F88">
      <w:pPr>
        <w:jc w:val="left"/>
        <w:rPr>
          <w:rFonts w:ascii="Arial" w:hAnsi="Arial" w:cs="Arial"/>
          <w:sz w:val="24"/>
          <w:szCs w:val="24"/>
        </w:rPr>
      </w:pPr>
    </w:p>
    <w:p w:rsidR="00B433EB" w:rsidRDefault="00B433EB" w:rsidP="005A41F0">
      <w:pPr>
        <w:rPr>
          <w:rFonts w:ascii="Arial" w:hAnsi="Arial" w:cs="Arial"/>
          <w:b/>
          <w:sz w:val="24"/>
          <w:szCs w:val="24"/>
        </w:rPr>
      </w:pPr>
      <w:r w:rsidRPr="00C82F88">
        <w:rPr>
          <w:rFonts w:ascii="Arial" w:hAnsi="Arial" w:cs="Arial" w:hint="eastAsia"/>
          <w:b/>
          <w:sz w:val="24"/>
          <w:szCs w:val="24"/>
        </w:rPr>
        <w:t>Property</w:t>
      </w:r>
    </w:p>
    <w:p w:rsidR="00B433EB" w:rsidRDefault="00B433EB" w:rsidP="005A41F0">
      <w:pPr>
        <w:rPr>
          <w:rFonts w:ascii="Arial" w:hAnsi="Arial" w:cs="Arial"/>
          <w:b/>
          <w:sz w:val="24"/>
          <w:szCs w:val="24"/>
        </w:rPr>
      </w:pPr>
    </w:p>
    <w:p w:rsidR="00B433EB" w:rsidRDefault="00B433EB" w:rsidP="00C82F88">
      <w:pPr>
        <w:jc w:val="left"/>
        <w:rPr>
          <w:rFonts w:ascii="Arial" w:hAnsi="Arial" w:cs="Arial"/>
          <w:sz w:val="24"/>
          <w:szCs w:val="24"/>
        </w:rPr>
      </w:pPr>
      <w:r w:rsidRPr="00C82F88">
        <w:rPr>
          <w:rFonts w:ascii="Arial" w:hAnsi="Arial" w:cs="Arial" w:hint="eastAsia"/>
          <w:sz w:val="24"/>
          <w:szCs w:val="24"/>
        </w:rPr>
        <w:t xml:space="preserve">The Group owns a significant property portfolio, most of which is used for trading purposes. </w:t>
      </w:r>
      <w:r w:rsidR="00180729">
        <w:rPr>
          <w:rFonts w:ascii="Arial" w:hAnsi="Arial" w:cs="Arial"/>
          <w:sz w:val="24"/>
          <w:szCs w:val="24"/>
        </w:rPr>
        <w:t xml:space="preserve">A valuation was performed for internal purposes </w:t>
      </w:r>
      <w:r w:rsidR="00180729" w:rsidRPr="00C82F88">
        <w:rPr>
          <w:rFonts w:ascii="Arial" w:hAnsi="Arial" w:cs="Arial" w:hint="eastAsia"/>
          <w:sz w:val="24"/>
          <w:szCs w:val="24"/>
        </w:rPr>
        <w:t xml:space="preserve">in November 2012 with over one-third of the portfolio valued by external professional </w:t>
      </w:r>
      <w:proofErr w:type="spellStart"/>
      <w:r w:rsidR="00180729" w:rsidRPr="00C82F88">
        <w:rPr>
          <w:rFonts w:ascii="Arial" w:hAnsi="Arial" w:cs="Arial" w:hint="eastAsia"/>
          <w:sz w:val="24"/>
          <w:szCs w:val="24"/>
        </w:rPr>
        <w:t>valuers</w:t>
      </w:r>
      <w:proofErr w:type="spellEnd"/>
      <w:r w:rsidR="00180729">
        <w:rPr>
          <w:rFonts w:ascii="Arial" w:hAnsi="Arial" w:cs="Arial"/>
          <w:sz w:val="24"/>
          <w:szCs w:val="24"/>
        </w:rPr>
        <w:t xml:space="preserve"> </w:t>
      </w:r>
      <w:r w:rsidR="00180729" w:rsidRPr="00C82F88">
        <w:rPr>
          <w:rFonts w:ascii="Arial" w:hAnsi="Arial" w:cs="Arial" w:hint="eastAsia"/>
          <w:sz w:val="24"/>
          <w:szCs w:val="24"/>
        </w:rPr>
        <w:t>where the key assumption is the estimated yields</w:t>
      </w:r>
      <w:r w:rsidR="00180729">
        <w:rPr>
          <w:rFonts w:ascii="Arial" w:hAnsi="Arial" w:cs="Arial"/>
          <w:sz w:val="24"/>
          <w:szCs w:val="24"/>
        </w:rPr>
        <w:t xml:space="preserve">. </w:t>
      </w:r>
      <w:r w:rsidR="00180729" w:rsidRPr="00180729">
        <w:rPr>
          <w:rFonts w:ascii="Arial" w:hAnsi="Arial" w:cs="Arial" w:hint="eastAsia"/>
          <w:sz w:val="24"/>
          <w:szCs w:val="24"/>
        </w:rPr>
        <w:t xml:space="preserve"> </w:t>
      </w:r>
      <w:r w:rsidR="00180729">
        <w:rPr>
          <w:rFonts w:ascii="Arial" w:hAnsi="Arial" w:cs="Arial"/>
          <w:sz w:val="24"/>
          <w:szCs w:val="24"/>
        </w:rPr>
        <w:t xml:space="preserve">Based on this exercise the value of this property is </w:t>
      </w:r>
      <w:r w:rsidRPr="00C82F88">
        <w:rPr>
          <w:rFonts w:ascii="Arial" w:hAnsi="Arial" w:cs="Arial"/>
          <w:sz w:val="24"/>
          <w:szCs w:val="24"/>
        </w:rPr>
        <w:t>£</w:t>
      </w:r>
      <w:r w:rsidRPr="00C82F88">
        <w:rPr>
          <w:rFonts w:ascii="Arial" w:hAnsi="Arial" w:cs="Arial" w:hint="eastAsia"/>
          <w:sz w:val="24"/>
          <w:szCs w:val="24"/>
        </w:rPr>
        <w:t xml:space="preserve">3.6 billion at year end (2011/12: </w:t>
      </w:r>
      <w:r w:rsidRPr="00C82F88">
        <w:rPr>
          <w:rFonts w:ascii="Arial" w:hAnsi="Arial" w:cs="Arial"/>
          <w:sz w:val="24"/>
          <w:szCs w:val="24"/>
        </w:rPr>
        <w:t>£</w:t>
      </w:r>
      <w:r w:rsidRPr="00C82F88">
        <w:rPr>
          <w:rFonts w:ascii="Arial" w:hAnsi="Arial" w:cs="Arial" w:hint="eastAsia"/>
          <w:sz w:val="24"/>
          <w:szCs w:val="24"/>
        </w:rPr>
        <w:t>3.5 billion)</w:t>
      </w:r>
      <w:r w:rsidR="00180729">
        <w:rPr>
          <w:rFonts w:ascii="Arial" w:hAnsi="Arial" w:cs="Arial"/>
          <w:sz w:val="24"/>
          <w:szCs w:val="24"/>
        </w:rPr>
        <w:t xml:space="preserve">. This is </w:t>
      </w:r>
      <w:r w:rsidRPr="00C82F88">
        <w:rPr>
          <w:rFonts w:ascii="Arial" w:hAnsi="Arial" w:cs="Arial" w:hint="eastAsia"/>
          <w:sz w:val="24"/>
          <w:szCs w:val="24"/>
        </w:rPr>
        <w:t xml:space="preserve">compared to the net book value of </w:t>
      </w:r>
      <w:r w:rsidRPr="00C82F88">
        <w:rPr>
          <w:rFonts w:ascii="Arial" w:hAnsi="Arial" w:cs="Arial"/>
          <w:sz w:val="24"/>
          <w:szCs w:val="24"/>
        </w:rPr>
        <w:t>£</w:t>
      </w:r>
      <w:r w:rsidRPr="00C82F88">
        <w:rPr>
          <w:rFonts w:ascii="Arial" w:hAnsi="Arial" w:cs="Arial" w:hint="eastAsia"/>
          <w:sz w:val="24"/>
          <w:szCs w:val="24"/>
        </w:rPr>
        <w:t xml:space="preserve">2.9 billion (2011/12: </w:t>
      </w:r>
      <w:r w:rsidRPr="00C82F88">
        <w:rPr>
          <w:rFonts w:ascii="Arial" w:hAnsi="Arial" w:cs="Arial"/>
          <w:sz w:val="24"/>
          <w:szCs w:val="24"/>
        </w:rPr>
        <w:t>£</w:t>
      </w:r>
      <w:r w:rsidRPr="00C82F88">
        <w:rPr>
          <w:rFonts w:ascii="Arial" w:hAnsi="Arial" w:cs="Arial" w:hint="eastAsia"/>
          <w:sz w:val="24"/>
          <w:szCs w:val="24"/>
        </w:rPr>
        <w:t xml:space="preserve">2.8 billion) recorded in the financial statements. </w:t>
      </w:r>
    </w:p>
    <w:p w:rsidR="00ED294F" w:rsidRDefault="00ED294F" w:rsidP="00C82F88">
      <w:pPr>
        <w:jc w:val="left"/>
        <w:rPr>
          <w:rFonts w:ascii="Arial" w:hAnsi="Arial" w:cs="Arial"/>
          <w:b/>
          <w:sz w:val="24"/>
          <w:szCs w:val="24"/>
        </w:rPr>
      </w:pPr>
    </w:p>
    <w:p w:rsidR="00A075A0" w:rsidRPr="00C82F88" w:rsidRDefault="00A075A0" w:rsidP="00C82F88">
      <w:pPr>
        <w:jc w:val="left"/>
        <w:rPr>
          <w:rFonts w:ascii="Arial" w:hAnsi="Arial" w:cs="Arial"/>
          <w:b/>
          <w:sz w:val="24"/>
          <w:szCs w:val="24"/>
        </w:rPr>
      </w:pPr>
      <w:r w:rsidRPr="00C82F88">
        <w:rPr>
          <w:rFonts w:ascii="Arial" w:hAnsi="Arial" w:cs="Arial"/>
          <w:b/>
          <w:sz w:val="24"/>
          <w:szCs w:val="24"/>
        </w:rPr>
        <w:t>Pensions</w:t>
      </w:r>
    </w:p>
    <w:p w:rsidR="00B433EB" w:rsidRPr="00C82F88" w:rsidRDefault="00B433EB" w:rsidP="005A41F0">
      <w:pPr>
        <w:rPr>
          <w:rFonts w:ascii="Arial" w:hAnsi="Arial" w:cs="Arial"/>
          <w:b/>
          <w:sz w:val="24"/>
          <w:szCs w:val="24"/>
        </w:rPr>
      </w:pPr>
    </w:p>
    <w:p w:rsidR="00A075A0" w:rsidRDefault="00A075A0" w:rsidP="00C82F88">
      <w:pPr>
        <w:jc w:val="left"/>
        <w:rPr>
          <w:rFonts w:ascii="Arial" w:hAnsi="Arial" w:cs="Arial"/>
          <w:sz w:val="24"/>
          <w:szCs w:val="24"/>
        </w:rPr>
      </w:pPr>
      <w:r w:rsidRPr="00C82F88">
        <w:rPr>
          <w:rFonts w:ascii="Arial" w:hAnsi="Arial" w:cs="Arial" w:hint="eastAsia"/>
          <w:sz w:val="24"/>
          <w:szCs w:val="24"/>
        </w:rPr>
        <w:t xml:space="preserve">The approach used to prepare the pension valuation is in line with current market practice and international accounting standards, and has been applied consistently. This accounting valuation is very sensitive to a number of assumptions and market rates which are likely to fluctuate in the future. To aid understanding of the impact that changes to the assumptions could have on the reported UK pension surplus, we have included sensitivity analysis as part of the pension disclosure in note </w:t>
      </w:r>
      <w:r>
        <w:rPr>
          <w:rFonts w:ascii="Arial" w:hAnsi="Arial" w:cs="Arial"/>
          <w:sz w:val="24"/>
          <w:szCs w:val="24"/>
        </w:rPr>
        <w:t>9 of the preliminary Financial Statements</w:t>
      </w:r>
      <w:r w:rsidRPr="00C82F88">
        <w:rPr>
          <w:rFonts w:ascii="Arial" w:hAnsi="Arial" w:cs="Arial" w:hint="eastAsia"/>
          <w:sz w:val="24"/>
          <w:szCs w:val="24"/>
        </w:rPr>
        <w:t xml:space="preserve">. Further details of key assumptions are also contained within the note. </w:t>
      </w:r>
    </w:p>
    <w:p w:rsidR="00A075A0" w:rsidRPr="00C82F88" w:rsidRDefault="00A075A0" w:rsidP="00C82F88">
      <w:pPr>
        <w:jc w:val="left"/>
        <w:rPr>
          <w:rFonts w:ascii="Arial" w:hAnsi="Arial" w:cs="Arial"/>
          <w:sz w:val="24"/>
          <w:szCs w:val="24"/>
        </w:rPr>
      </w:pPr>
    </w:p>
    <w:p w:rsidR="00A075A0" w:rsidRDefault="00A075A0" w:rsidP="00C82F88">
      <w:pPr>
        <w:jc w:val="left"/>
        <w:rPr>
          <w:rFonts w:ascii="Arial" w:hAnsi="Arial" w:cs="Arial"/>
          <w:sz w:val="24"/>
          <w:szCs w:val="24"/>
        </w:rPr>
      </w:pPr>
      <w:r w:rsidRPr="00C82F88">
        <w:rPr>
          <w:rFonts w:ascii="Arial" w:hAnsi="Arial" w:cs="Arial" w:hint="eastAsia"/>
          <w:sz w:val="24"/>
          <w:szCs w:val="24"/>
        </w:rPr>
        <w:t xml:space="preserve">At the year end, the Group had a net </w:t>
      </w:r>
      <w:r w:rsidR="00180729">
        <w:rPr>
          <w:rFonts w:ascii="Arial" w:hAnsi="Arial" w:cs="Arial"/>
          <w:sz w:val="24"/>
          <w:szCs w:val="24"/>
        </w:rPr>
        <w:t xml:space="preserve">position </w:t>
      </w:r>
      <w:r w:rsidRPr="00C82F88">
        <w:rPr>
          <w:rFonts w:ascii="Arial" w:hAnsi="Arial" w:cs="Arial" w:hint="eastAsia"/>
          <w:sz w:val="24"/>
          <w:szCs w:val="24"/>
        </w:rPr>
        <w:t xml:space="preserve">of </w:t>
      </w:r>
      <w:r w:rsidRPr="00C82F88">
        <w:rPr>
          <w:rFonts w:ascii="Arial" w:hAnsi="Arial" w:cs="Arial"/>
          <w:sz w:val="24"/>
          <w:szCs w:val="24"/>
        </w:rPr>
        <w:t>£</w:t>
      </w:r>
      <w:r w:rsidRPr="00C82F88">
        <w:rPr>
          <w:rFonts w:ascii="Arial" w:hAnsi="Arial" w:cs="Arial" w:hint="eastAsia"/>
          <w:sz w:val="24"/>
          <w:szCs w:val="24"/>
        </w:rPr>
        <w:t xml:space="preserve">nil (2011/12: </w:t>
      </w:r>
      <w:r w:rsidRPr="00C82F88">
        <w:rPr>
          <w:rFonts w:ascii="Arial" w:hAnsi="Arial" w:cs="Arial"/>
          <w:sz w:val="24"/>
          <w:szCs w:val="24"/>
        </w:rPr>
        <w:t>£</w:t>
      </w:r>
      <w:r w:rsidRPr="00C82F88">
        <w:rPr>
          <w:rFonts w:ascii="Arial" w:hAnsi="Arial" w:cs="Arial" w:hint="eastAsia"/>
          <w:sz w:val="24"/>
          <w:szCs w:val="24"/>
        </w:rPr>
        <w:t xml:space="preserve">15 million deficit) in relation to defined benefit pension arrangements of which a </w:t>
      </w:r>
      <w:r w:rsidRPr="00C82F88">
        <w:rPr>
          <w:rFonts w:ascii="Arial" w:hAnsi="Arial" w:cs="Arial"/>
          <w:sz w:val="24"/>
          <w:szCs w:val="24"/>
        </w:rPr>
        <w:t>£</w:t>
      </w:r>
      <w:r w:rsidRPr="00C82F88">
        <w:rPr>
          <w:rFonts w:ascii="Arial" w:hAnsi="Arial" w:cs="Arial" w:hint="eastAsia"/>
          <w:sz w:val="24"/>
          <w:szCs w:val="24"/>
        </w:rPr>
        <w:t xml:space="preserve">71 million surplus </w:t>
      </w:r>
      <w:r w:rsidR="00180729">
        <w:rPr>
          <w:rFonts w:ascii="Arial" w:hAnsi="Arial" w:cs="Arial"/>
          <w:sz w:val="24"/>
          <w:szCs w:val="24"/>
        </w:rPr>
        <w:t xml:space="preserve">(2011/12: £25 million surplus) </w:t>
      </w:r>
      <w:r w:rsidRPr="00C82F88">
        <w:rPr>
          <w:rFonts w:ascii="Arial" w:hAnsi="Arial" w:cs="Arial" w:hint="eastAsia"/>
          <w:sz w:val="24"/>
          <w:szCs w:val="24"/>
        </w:rPr>
        <w:t xml:space="preserve">is in relation to its UK Scheme. </w:t>
      </w:r>
    </w:p>
    <w:p w:rsidR="00A075A0" w:rsidRPr="00C82F88" w:rsidRDefault="00A075A0" w:rsidP="00C82F88">
      <w:pPr>
        <w:jc w:val="left"/>
        <w:rPr>
          <w:rFonts w:ascii="Arial" w:hAnsi="Arial" w:cs="Arial"/>
          <w:sz w:val="24"/>
          <w:szCs w:val="24"/>
        </w:rPr>
      </w:pPr>
    </w:p>
    <w:p w:rsidR="00A075A0" w:rsidRDefault="00A075A0" w:rsidP="00C82F88">
      <w:pPr>
        <w:jc w:val="left"/>
        <w:rPr>
          <w:rFonts w:ascii="Arial" w:hAnsi="Arial" w:cs="Arial"/>
          <w:sz w:val="24"/>
          <w:szCs w:val="24"/>
        </w:rPr>
      </w:pPr>
      <w:r w:rsidRPr="00C82F88">
        <w:rPr>
          <w:rFonts w:ascii="Arial" w:hAnsi="Arial" w:cs="Arial" w:hint="eastAsia"/>
          <w:sz w:val="24"/>
          <w:szCs w:val="24"/>
        </w:rPr>
        <w:t>The decrease in the net deficit was predominantly due to strong asset returns, more than offsetting a lower real discount rate used to value the UK pension obligation.</w:t>
      </w:r>
    </w:p>
    <w:p w:rsidR="00A075A0" w:rsidRPr="00C82F88" w:rsidRDefault="00A075A0" w:rsidP="00C82F88">
      <w:pPr>
        <w:jc w:val="left"/>
        <w:rPr>
          <w:rFonts w:ascii="Arial" w:hAnsi="Arial" w:cs="Arial"/>
          <w:sz w:val="24"/>
          <w:szCs w:val="24"/>
        </w:rPr>
      </w:pPr>
    </w:p>
    <w:p w:rsidR="00A075A0" w:rsidRDefault="00A075A0" w:rsidP="00C82F88">
      <w:pPr>
        <w:jc w:val="left"/>
        <w:rPr>
          <w:rFonts w:ascii="Arial" w:hAnsi="Arial" w:cs="Arial"/>
          <w:sz w:val="24"/>
          <w:szCs w:val="24"/>
        </w:rPr>
      </w:pPr>
      <w:r w:rsidRPr="00C82F88">
        <w:rPr>
          <w:rFonts w:ascii="Arial" w:hAnsi="Arial" w:cs="Arial" w:hint="eastAsia"/>
          <w:sz w:val="24"/>
          <w:szCs w:val="24"/>
        </w:rPr>
        <w:t xml:space="preserve">During the year, and following consultation with the active members, the </w:t>
      </w:r>
      <w:smartTag w:uri="urn:schemas-microsoft-com:office:smarttags" w:element="country-region">
        <w:smartTag w:uri="urn:schemas-microsoft-com:office:smarttags" w:element="place">
          <w:r w:rsidRPr="00C82F88">
            <w:rPr>
              <w:rFonts w:ascii="Arial" w:hAnsi="Arial" w:cs="Arial" w:hint="eastAsia"/>
              <w:sz w:val="24"/>
              <w:szCs w:val="24"/>
            </w:rPr>
            <w:t>UK</w:t>
          </w:r>
        </w:smartTag>
      </w:smartTag>
      <w:r w:rsidRPr="00C82F88">
        <w:rPr>
          <w:rFonts w:ascii="Arial" w:hAnsi="Arial" w:cs="Arial"/>
          <w:sz w:val="24"/>
          <w:szCs w:val="24"/>
        </w:rPr>
        <w:t xml:space="preserve"> final salary pension scheme was closed to future benefit accrual with effect from 30 June 2012. The scheme had been closed to new entrants in 2004. A net exceptional pensions accounting credit of £11 million has been recognised. This includes a £27 million non-cash curtailment gain, representing the one-off reduction in accounting liabilities as benefits are no longer linked to future salary increases other than in line with inflation. It is offset by a £16 million charge for transitional payments to the active members. From July 2012 an enhanced defined contribution scheme has been offered to all </w:t>
      </w:r>
      <w:r w:rsidRPr="00C82F88">
        <w:rPr>
          <w:rFonts w:ascii="Arial" w:hAnsi="Arial" w:cs="Arial" w:hint="eastAsia"/>
          <w:sz w:val="24"/>
          <w:szCs w:val="24"/>
        </w:rPr>
        <w:t>UK employees</w:t>
      </w:r>
      <w:r w:rsidR="00180729">
        <w:rPr>
          <w:rFonts w:ascii="Arial" w:hAnsi="Arial" w:cs="Arial"/>
          <w:sz w:val="24"/>
          <w:szCs w:val="24"/>
        </w:rPr>
        <w:t xml:space="preserve"> </w:t>
      </w:r>
      <w:r w:rsidRPr="00C82F88">
        <w:rPr>
          <w:rFonts w:ascii="Arial" w:hAnsi="Arial" w:cs="Arial" w:hint="eastAsia"/>
          <w:sz w:val="24"/>
          <w:szCs w:val="24"/>
        </w:rPr>
        <w:t>with the reduction in cash contributions to the final salary scheme offset by higher contributions to the defined contribution scheme.</w:t>
      </w:r>
      <w:r w:rsidR="00180729">
        <w:rPr>
          <w:rFonts w:ascii="Arial" w:hAnsi="Arial" w:cs="Arial"/>
          <w:sz w:val="24"/>
          <w:szCs w:val="24"/>
        </w:rPr>
        <w:t xml:space="preserve"> Auto-enrolment will commence in the current year.</w:t>
      </w:r>
    </w:p>
    <w:p w:rsidR="009D02AE" w:rsidRDefault="009D02AE" w:rsidP="00C82F88">
      <w:pPr>
        <w:jc w:val="left"/>
        <w:rPr>
          <w:rFonts w:ascii="Arial" w:hAnsi="Arial" w:cs="Arial"/>
          <w:sz w:val="24"/>
          <w:szCs w:val="24"/>
        </w:rPr>
      </w:pPr>
    </w:p>
    <w:p w:rsidR="00F811DB" w:rsidRPr="00C82F88" w:rsidRDefault="00F811DB" w:rsidP="00C659A8">
      <w:pPr>
        <w:jc w:val="left"/>
        <w:rPr>
          <w:rFonts w:ascii="Arial" w:hAnsi="Arial" w:cs="Arial"/>
          <w:b/>
          <w:sz w:val="24"/>
          <w:szCs w:val="24"/>
        </w:rPr>
      </w:pPr>
    </w:p>
    <w:p w:rsidR="009D02AE" w:rsidRDefault="009D02AE">
      <w:pPr>
        <w:jc w:val="left"/>
        <w:rPr>
          <w:rFonts w:ascii="Arial" w:hAnsi="Arial" w:cs="Arial"/>
          <w:b/>
          <w:bCs/>
          <w:sz w:val="24"/>
          <w:szCs w:val="24"/>
        </w:rPr>
      </w:pPr>
      <w:r>
        <w:rPr>
          <w:rFonts w:ascii="Arial" w:hAnsi="Arial" w:cs="Arial"/>
          <w:b/>
          <w:bCs/>
          <w:sz w:val="24"/>
          <w:szCs w:val="24"/>
        </w:rPr>
        <w:br w:type="page"/>
      </w:r>
    </w:p>
    <w:p w:rsidR="00181E03" w:rsidRPr="000F03E3" w:rsidRDefault="00181E03" w:rsidP="00824608">
      <w:pPr>
        <w:jc w:val="left"/>
        <w:rPr>
          <w:rFonts w:ascii="Arial" w:hAnsi="Arial" w:cs="Arial"/>
          <w:b/>
          <w:bCs/>
          <w:sz w:val="24"/>
          <w:szCs w:val="24"/>
        </w:rPr>
      </w:pPr>
      <w:r w:rsidRPr="000F03E3">
        <w:rPr>
          <w:rFonts w:ascii="Arial" w:hAnsi="Arial" w:cs="Arial"/>
          <w:b/>
          <w:bCs/>
          <w:sz w:val="24"/>
          <w:szCs w:val="24"/>
        </w:rPr>
        <w:t>Forward-looking statements</w:t>
      </w:r>
    </w:p>
    <w:p w:rsidR="00181E03" w:rsidRPr="000F03E3" w:rsidRDefault="00181E03" w:rsidP="006E52BD">
      <w:pPr>
        <w:jc w:val="left"/>
        <w:rPr>
          <w:rFonts w:ascii="Arial" w:hAnsi="Arial" w:cs="Arial"/>
          <w:sz w:val="24"/>
          <w:szCs w:val="24"/>
        </w:rPr>
      </w:pPr>
    </w:p>
    <w:p w:rsidR="00181E03" w:rsidRPr="000F03E3" w:rsidRDefault="00181E03" w:rsidP="00824608">
      <w:pPr>
        <w:jc w:val="left"/>
        <w:rPr>
          <w:rFonts w:ascii="Arial" w:hAnsi="Arial" w:cs="Arial"/>
        </w:rPr>
      </w:pPr>
      <w:r w:rsidRPr="000F03E3">
        <w:rPr>
          <w:rFonts w:ascii="Arial" w:hAnsi="Arial" w:cs="Arial"/>
          <w:sz w:val="24"/>
          <w:szCs w:val="24"/>
        </w:rPr>
        <w:t xml:space="preserve">This press release contains certain statements that are forward-looking and </w:t>
      </w:r>
      <w:r w:rsidR="009E71B8">
        <w:rPr>
          <w:rFonts w:ascii="Arial" w:hAnsi="Arial" w:cs="Arial"/>
          <w:sz w:val="24"/>
          <w:szCs w:val="24"/>
        </w:rPr>
        <w:t xml:space="preserve">which should be considered, amongst other statutory provisions, in light of the safe harbour provisions of the United States Private Securities Litigation Reform Act of 1995. All statements other than statements of historical facts may be forward-looking statements.  Such statements </w:t>
      </w:r>
      <w:r w:rsidRPr="000F03E3">
        <w:rPr>
          <w:rFonts w:ascii="Arial" w:hAnsi="Arial" w:cs="Arial"/>
          <w:sz w:val="24"/>
          <w:szCs w:val="24"/>
        </w:rPr>
        <w:t>are</w:t>
      </w:r>
      <w:r w:rsidR="00143717">
        <w:rPr>
          <w:rFonts w:ascii="Arial" w:hAnsi="Arial" w:cs="Arial"/>
          <w:sz w:val="24"/>
          <w:szCs w:val="24"/>
        </w:rPr>
        <w:t xml:space="preserve">, </w:t>
      </w:r>
      <w:r w:rsidRPr="000F03E3">
        <w:rPr>
          <w:rFonts w:ascii="Arial" w:hAnsi="Arial" w:cs="Arial"/>
          <w:sz w:val="24"/>
          <w:szCs w:val="24"/>
        </w:rPr>
        <w:t>therefore</w:t>
      </w:r>
      <w:r w:rsidR="00143717">
        <w:rPr>
          <w:rFonts w:ascii="Arial" w:hAnsi="Arial" w:cs="Arial"/>
          <w:sz w:val="24"/>
          <w:szCs w:val="24"/>
        </w:rPr>
        <w:t>,</w:t>
      </w:r>
      <w:r w:rsidRPr="000F03E3">
        <w:rPr>
          <w:rFonts w:ascii="Arial" w:hAnsi="Arial" w:cs="Arial"/>
          <w:sz w:val="24"/>
          <w:szCs w:val="24"/>
        </w:rPr>
        <w:t xml:space="preserve"> subject to risks, assumptions and uncertainties that could cause actual results to differ materially from those expressed or implied because they relate to future events. These forward-looking statements include, but are not limited to, statements </w:t>
      </w:r>
      <w:bookmarkStart w:id="18" w:name="OLE_LINK7"/>
      <w:bookmarkStart w:id="19" w:name="OLE_LINK8"/>
      <w:r w:rsidRPr="000F03E3">
        <w:rPr>
          <w:rFonts w:ascii="Arial" w:hAnsi="Arial" w:cs="Arial"/>
          <w:sz w:val="24"/>
          <w:szCs w:val="24"/>
        </w:rPr>
        <w:t xml:space="preserve">relating to the Company’s expectations </w:t>
      </w:r>
      <w:r w:rsidR="0039678E" w:rsidRPr="000F03E3">
        <w:rPr>
          <w:rFonts w:ascii="Arial" w:hAnsi="Arial" w:cs="Arial"/>
          <w:sz w:val="24"/>
          <w:szCs w:val="24"/>
        </w:rPr>
        <w:t xml:space="preserve">around the </w:t>
      </w:r>
      <w:r w:rsidR="006E60BD">
        <w:rPr>
          <w:rFonts w:ascii="Arial" w:hAnsi="Arial" w:cs="Arial"/>
          <w:sz w:val="24"/>
          <w:szCs w:val="24"/>
        </w:rPr>
        <w:t>C</w:t>
      </w:r>
      <w:r w:rsidR="0039678E" w:rsidRPr="000F03E3">
        <w:rPr>
          <w:rFonts w:ascii="Arial" w:hAnsi="Arial" w:cs="Arial"/>
          <w:sz w:val="24"/>
          <w:szCs w:val="24"/>
        </w:rPr>
        <w:t xml:space="preserve">ompany’s </w:t>
      </w:r>
      <w:r w:rsidR="00F6497B">
        <w:rPr>
          <w:rFonts w:ascii="Arial" w:hAnsi="Arial" w:cs="Arial"/>
          <w:sz w:val="24"/>
          <w:szCs w:val="24"/>
        </w:rPr>
        <w:t>programme</w:t>
      </w:r>
      <w:r w:rsidR="0039678E" w:rsidRPr="000F03E3">
        <w:rPr>
          <w:rFonts w:ascii="Arial" w:hAnsi="Arial" w:cs="Arial"/>
          <w:sz w:val="24"/>
          <w:szCs w:val="24"/>
        </w:rPr>
        <w:t xml:space="preserve"> known as ‘Creating the Leader’ and its associated eight steps.</w:t>
      </w:r>
      <w:r w:rsidR="0039678E" w:rsidRPr="000F03E3">
        <w:rPr>
          <w:rFonts w:ascii="Arial" w:hAnsi="Arial" w:cs="Arial"/>
        </w:rPr>
        <w:t xml:space="preserve"> </w:t>
      </w:r>
      <w:bookmarkEnd w:id="18"/>
      <w:bookmarkEnd w:id="19"/>
    </w:p>
    <w:p w:rsidR="00181E03" w:rsidRPr="000F03E3" w:rsidRDefault="00181E03" w:rsidP="00824608">
      <w:pPr>
        <w:jc w:val="left"/>
        <w:rPr>
          <w:rFonts w:ascii="Arial" w:hAnsi="Arial" w:cs="Arial"/>
          <w:sz w:val="24"/>
          <w:szCs w:val="24"/>
        </w:rPr>
      </w:pPr>
    </w:p>
    <w:p w:rsidR="00181E03" w:rsidRPr="00D05830" w:rsidRDefault="00181E03" w:rsidP="00824608">
      <w:pPr>
        <w:jc w:val="left"/>
        <w:rPr>
          <w:rFonts w:ascii="Arial" w:hAnsi="Arial" w:cs="Arial"/>
          <w:sz w:val="24"/>
          <w:szCs w:val="24"/>
        </w:rPr>
      </w:pPr>
      <w:r w:rsidRPr="000F03E3">
        <w:rPr>
          <w:rFonts w:ascii="Arial" w:hAnsi="Arial" w:cs="Arial"/>
          <w:sz w:val="24"/>
          <w:szCs w:val="24"/>
        </w:rPr>
        <w:t>Forward-looking statements can be identified by the use of relevant terminology including the words: “believes”, “estimates”, “anticipates”, “expects”, “intends”, “plans”, “goal”, “target”, “aim”, “may”, “will”, “would”, “could” or “should” or, in each case, their negative or other variations or comparable terminology and include all matters that are not historical facts</w:t>
      </w:r>
      <w:r w:rsidRPr="00D05830">
        <w:rPr>
          <w:rFonts w:ascii="Arial" w:hAnsi="Arial" w:cs="Arial"/>
          <w:sz w:val="24"/>
          <w:szCs w:val="24"/>
        </w:rPr>
        <w:t>. They appear in a number of places throughout this press release and include statements regarding our intentions, beliefs or current expectations and those of our officers, directors and employees concerning, amongst other things, our results of operations, financial condition, changes in tax rates, liquidity, prospects, growth, strategies and the businesses we operate.</w:t>
      </w:r>
    </w:p>
    <w:p w:rsidR="00181E03" w:rsidRPr="000F03E3" w:rsidRDefault="00181E03" w:rsidP="00824608">
      <w:pPr>
        <w:jc w:val="left"/>
        <w:rPr>
          <w:rFonts w:ascii="Arial" w:hAnsi="Arial" w:cs="Arial"/>
          <w:sz w:val="24"/>
          <w:szCs w:val="24"/>
        </w:rPr>
      </w:pPr>
    </w:p>
    <w:p w:rsidR="00181E03" w:rsidRPr="000F03E3" w:rsidRDefault="00181E03" w:rsidP="00824608">
      <w:pPr>
        <w:jc w:val="left"/>
        <w:rPr>
          <w:rFonts w:ascii="Arial" w:hAnsi="Arial" w:cs="Arial"/>
          <w:sz w:val="24"/>
          <w:szCs w:val="24"/>
        </w:rPr>
      </w:pPr>
      <w:r w:rsidRPr="000F03E3">
        <w:rPr>
          <w:rFonts w:ascii="Arial" w:hAnsi="Arial" w:cs="Arial"/>
          <w:sz w:val="24"/>
          <w:szCs w:val="24"/>
        </w:rPr>
        <w:t>Other factors that could cause actual results to differ materially from those estimated by the forward-looking statements include, but are not limited to, global economic business conditions, monetary and interest rate policies, foreign currency exchange rates, equity and property prices, the impact of competition, inflation and deflation, changes to regulations, taxes and legislation, changes to consumer saving and spending habits; and our success in managing these factors.</w:t>
      </w:r>
    </w:p>
    <w:p w:rsidR="00181E03" w:rsidRPr="000F03E3" w:rsidRDefault="00181E03" w:rsidP="00824608">
      <w:pPr>
        <w:jc w:val="left"/>
        <w:rPr>
          <w:rFonts w:ascii="Arial" w:hAnsi="Arial" w:cs="Arial"/>
          <w:sz w:val="24"/>
          <w:szCs w:val="24"/>
        </w:rPr>
      </w:pPr>
    </w:p>
    <w:p w:rsidR="00181E03" w:rsidRPr="000F03E3" w:rsidRDefault="00181E03" w:rsidP="00824608">
      <w:pPr>
        <w:jc w:val="left"/>
        <w:rPr>
          <w:rFonts w:ascii="Arial" w:hAnsi="Arial" w:cs="Arial"/>
          <w:sz w:val="24"/>
          <w:szCs w:val="24"/>
        </w:rPr>
      </w:pPr>
      <w:r w:rsidRPr="000F03E3">
        <w:rPr>
          <w:rFonts w:ascii="Arial" w:hAnsi="Arial" w:cs="Arial"/>
          <w:sz w:val="24"/>
          <w:szCs w:val="24"/>
        </w:rPr>
        <w:t>Consequently, our actual future financial condition, performance and results could differ materially from the plans, goals and expectations set out in our forward-looking statements</w:t>
      </w:r>
      <w:r w:rsidR="00143717">
        <w:rPr>
          <w:rFonts w:ascii="Arial" w:hAnsi="Arial" w:cs="Arial"/>
          <w:sz w:val="24"/>
          <w:szCs w:val="24"/>
        </w:rPr>
        <w:t>. We urge you to read our annual report and other company reports, including the risk factors contained therein, for a more detailed discussion of the factors that could affect our future performance and the industry in which we operate. R</w:t>
      </w:r>
      <w:r w:rsidR="00A771E6" w:rsidRPr="000F03E3">
        <w:rPr>
          <w:rFonts w:ascii="Arial" w:hAnsi="Arial" w:cs="Arial"/>
          <w:sz w:val="24"/>
          <w:szCs w:val="24"/>
        </w:rPr>
        <w:t>eliance should not be placed on any forward</w:t>
      </w:r>
      <w:r w:rsidR="00683B13">
        <w:rPr>
          <w:rFonts w:ascii="Arial" w:hAnsi="Arial" w:cs="Arial"/>
          <w:sz w:val="24"/>
          <w:szCs w:val="24"/>
        </w:rPr>
        <w:t>-</w:t>
      </w:r>
      <w:r w:rsidR="00A771E6" w:rsidRPr="000F03E3">
        <w:rPr>
          <w:rFonts w:ascii="Arial" w:hAnsi="Arial" w:cs="Arial"/>
          <w:sz w:val="24"/>
          <w:szCs w:val="24"/>
        </w:rPr>
        <w:t>looking statement</w:t>
      </w:r>
      <w:r w:rsidRPr="000F03E3">
        <w:rPr>
          <w:rFonts w:ascii="Arial" w:hAnsi="Arial" w:cs="Arial"/>
          <w:sz w:val="24"/>
          <w:szCs w:val="24"/>
        </w:rPr>
        <w:t xml:space="preserve">. </w:t>
      </w:r>
      <w:r w:rsidR="00143717">
        <w:rPr>
          <w:rFonts w:ascii="Arial" w:hAnsi="Arial" w:cs="Arial"/>
          <w:sz w:val="24"/>
          <w:szCs w:val="24"/>
        </w:rPr>
        <w:t>Our forward looking statements speak only as of the date of this press release and t</w:t>
      </w:r>
      <w:r w:rsidRPr="000F03E3">
        <w:rPr>
          <w:rFonts w:ascii="Arial" w:hAnsi="Arial" w:cs="Arial"/>
          <w:sz w:val="24"/>
          <w:szCs w:val="24"/>
        </w:rPr>
        <w:t>he Company undertakes no obligation to publicly update any forward-looking statement, whether as a result of new information, future events or otherwise.</w:t>
      </w:r>
      <w:r w:rsidR="00A771E6" w:rsidRPr="000F03E3">
        <w:rPr>
          <w:rFonts w:ascii="Arial" w:hAnsi="Arial" w:cs="Arial"/>
          <w:sz w:val="24"/>
          <w:szCs w:val="24"/>
        </w:rPr>
        <w:t xml:space="preserve"> Nothing in this press release should be construed as a profit forecast. </w:t>
      </w:r>
    </w:p>
    <w:p w:rsidR="00181E03" w:rsidRPr="007D220F" w:rsidRDefault="00181E03" w:rsidP="00BD2DF8">
      <w:pPr>
        <w:jc w:val="left"/>
        <w:rPr>
          <w:rFonts w:ascii="Arial" w:hAnsi="Arial" w:cs="Arial"/>
          <w:b/>
          <w:bCs/>
          <w:sz w:val="24"/>
          <w:szCs w:val="24"/>
          <w:highlight w:val="yellow"/>
        </w:rPr>
      </w:pPr>
    </w:p>
    <w:p w:rsidR="00181E03" w:rsidRPr="00791B66" w:rsidRDefault="00181E03" w:rsidP="00EB0AC1">
      <w:pPr>
        <w:jc w:val="left"/>
        <w:rPr>
          <w:rFonts w:cs="Times New Roman"/>
        </w:rPr>
      </w:pPr>
    </w:p>
    <w:sectPr w:rsidR="00181E03" w:rsidRPr="00791B66" w:rsidSect="00C25191">
      <w:headerReference w:type="even" r:id="rId12"/>
      <w:headerReference w:type="default" r:id="rId13"/>
      <w:footerReference w:type="default" r:id="rId14"/>
      <w:headerReference w:type="first" r:id="rId15"/>
      <w:type w:val="continuous"/>
      <w:pgSz w:w="11909" w:h="16834" w:code="9"/>
      <w:pgMar w:top="1077" w:right="1134" w:bottom="720" w:left="1134" w:header="113" w:footer="7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015" w:rsidRDefault="00974015">
      <w:pPr>
        <w:rPr>
          <w:rFonts w:cs="Times New Roman"/>
        </w:rPr>
      </w:pPr>
      <w:r>
        <w:rPr>
          <w:rFonts w:cs="Times New Roman"/>
        </w:rPr>
        <w:separator/>
      </w:r>
    </w:p>
  </w:endnote>
  <w:endnote w:type="continuationSeparator" w:id="0">
    <w:p w:rsidR="00974015" w:rsidRDefault="0097401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ZapfCalligr BT">
    <w:altName w:val="Palatino Linotype"/>
    <w:panose1 w:val="02040502050505030904"/>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venir 35">
    <w:altName w:val="Avenir 35"/>
    <w:panose1 w:val="00000000000000000000"/>
    <w:charset w:val="00"/>
    <w:family w:val="swiss"/>
    <w:notTrueType/>
    <w:pitch w:val="default"/>
    <w:sig w:usb0="00000003" w:usb1="00000000" w:usb2="00000000" w:usb3="00000000" w:csb0="00000001" w:csb1="00000000"/>
  </w:font>
  <w:font w:name="Trade Gothic LT Std Light">
    <w:panose1 w:val="00000000000000000000"/>
    <w:charset w:val="00"/>
    <w:family w:val="modern"/>
    <w:notTrueType/>
    <w:pitch w:val="variable"/>
    <w:sig w:usb0="00000003" w:usb1="00000000" w:usb2="00000000" w:usb3="00000000" w:csb0="00000001" w:csb1="00000000"/>
  </w:font>
  <w:font w:name="Trade Gothic LT Std Bold">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5" w:rsidRPr="00965768" w:rsidRDefault="00974015" w:rsidP="00645284">
    <w:pPr>
      <w:pStyle w:val="Footer"/>
      <w:framePr w:wrap="around" w:vAnchor="text" w:hAnchor="margin" w:xAlign="right" w:y="1"/>
      <w:rPr>
        <w:rStyle w:val="PageNumber"/>
        <w:rFonts w:ascii="Arial" w:hAnsi="Arial" w:cs="Arial"/>
      </w:rPr>
    </w:pPr>
    <w:r w:rsidRPr="00965768">
      <w:rPr>
        <w:rStyle w:val="PageNumber"/>
        <w:rFonts w:ascii="Arial" w:hAnsi="Arial" w:cs="Arial"/>
      </w:rPr>
      <w:fldChar w:fldCharType="begin"/>
    </w:r>
    <w:r w:rsidRPr="00965768">
      <w:rPr>
        <w:rStyle w:val="PageNumber"/>
        <w:rFonts w:ascii="Arial" w:hAnsi="Arial" w:cs="Arial"/>
      </w:rPr>
      <w:instrText xml:space="preserve">PAGE  </w:instrText>
    </w:r>
    <w:r w:rsidRPr="00965768">
      <w:rPr>
        <w:rStyle w:val="PageNumber"/>
        <w:rFonts w:ascii="Arial" w:hAnsi="Arial" w:cs="Arial"/>
      </w:rPr>
      <w:fldChar w:fldCharType="separate"/>
    </w:r>
    <w:r w:rsidR="00A317A2">
      <w:rPr>
        <w:rStyle w:val="PageNumber"/>
        <w:rFonts w:ascii="Arial" w:hAnsi="Arial" w:cs="Arial"/>
        <w:noProof/>
      </w:rPr>
      <w:t>2</w:t>
    </w:r>
    <w:r w:rsidRPr="00965768">
      <w:rPr>
        <w:rStyle w:val="PageNumber"/>
        <w:rFonts w:ascii="Arial" w:hAnsi="Arial" w:cs="Arial"/>
      </w:rPr>
      <w:fldChar w:fldCharType="end"/>
    </w:r>
    <w:r w:rsidRPr="00965768">
      <w:rPr>
        <w:rStyle w:val="PageNumber"/>
        <w:rFonts w:ascii="Arial" w:hAnsi="Arial" w:cs="Arial"/>
      </w:rPr>
      <w:t>/</w:t>
    </w:r>
    <w:r w:rsidRPr="00965768">
      <w:rPr>
        <w:rStyle w:val="PageNumber"/>
        <w:rFonts w:ascii="Arial" w:hAnsi="Arial" w:cs="Arial"/>
      </w:rPr>
      <w:fldChar w:fldCharType="begin"/>
    </w:r>
    <w:r w:rsidRPr="00965768">
      <w:rPr>
        <w:rStyle w:val="PageNumber"/>
        <w:rFonts w:ascii="Arial" w:hAnsi="Arial" w:cs="Arial"/>
      </w:rPr>
      <w:instrText xml:space="preserve"> NUMPAGES </w:instrText>
    </w:r>
    <w:r w:rsidRPr="00965768">
      <w:rPr>
        <w:rStyle w:val="PageNumber"/>
        <w:rFonts w:ascii="Arial" w:hAnsi="Arial" w:cs="Arial"/>
      </w:rPr>
      <w:fldChar w:fldCharType="separate"/>
    </w:r>
    <w:r w:rsidR="00A317A2">
      <w:rPr>
        <w:rStyle w:val="PageNumber"/>
        <w:rFonts w:ascii="Arial" w:hAnsi="Arial" w:cs="Arial"/>
        <w:noProof/>
      </w:rPr>
      <w:t>22</w:t>
    </w:r>
    <w:r w:rsidRPr="00965768">
      <w:rPr>
        <w:rStyle w:val="PageNumber"/>
        <w:rFonts w:ascii="Arial" w:hAnsi="Arial" w:cs="Arial"/>
      </w:rPr>
      <w:fldChar w:fldCharType="end"/>
    </w:r>
  </w:p>
  <w:p w:rsidR="00974015" w:rsidRDefault="00974015" w:rsidP="0096576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015" w:rsidRDefault="00974015">
      <w:pPr>
        <w:rPr>
          <w:rFonts w:cs="Times New Roman"/>
        </w:rPr>
      </w:pPr>
      <w:r>
        <w:rPr>
          <w:rFonts w:cs="Times New Roman"/>
        </w:rPr>
        <w:separator/>
      </w:r>
    </w:p>
  </w:footnote>
  <w:footnote w:type="continuationSeparator" w:id="0">
    <w:p w:rsidR="00974015" w:rsidRDefault="00974015">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5" w:rsidRDefault="009740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5" w:rsidRDefault="00974015" w:rsidP="00C82F88">
    <w:pPr>
      <w:pStyle w:val="Header"/>
      <w:jc w:val="center"/>
    </w:pPr>
    <w:r>
      <w:rPr>
        <w:noProof/>
      </w:rPr>
      <w:drawing>
        <wp:inline distT="0" distB="0" distL="0" distR="0" wp14:anchorId="3198CA22" wp14:editId="4D8F4CC6">
          <wp:extent cx="1845945" cy="681355"/>
          <wp:effectExtent l="19050" t="0" r="1905"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1845945" cy="68135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5" w:rsidRDefault="009740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A2E"/>
    <w:multiLevelType w:val="hybridMultilevel"/>
    <w:tmpl w:val="DFC4228E"/>
    <w:lvl w:ilvl="0" w:tplc="FB4A003A">
      <w:start w:val="1"/>
      <w:numFmt w:val="decimal"/>
      <w:lvlText w:val="%1."/>
      <w:lvlJc w:val="left"/>
      <w:pPr>
        <w:tabs>
          <w:tab w:val="num" w:pos="720"/>
        </w:tabs>
        <w:ind w:left="720" w:hanging="360"/>
      </w:pPr>
    </w:lvl>
    <w:lvl w:ilvl="1" w:tplc="0FA0D57A" w:tentative="1">
      <w:start w:val="1"/>
      <w:numFmt w:val="decimal"/>
      <w:lvlText w:val="%2."/>
      <w:lvlJc w:val="left"/>
      <w:pPr>
        <w:tabs>
          <w:tab w:val="num" w:pos="1440"/>
        </w:tabs>
        <w:ind w:left="1440" w:hanging="360"/>
      </w:pPr>
    </w:lvl>
    <w:lvl w:ilvl="2" w:tplc="4184C04A" w:tentative="1">
      <w:start w:val="1"/>
      <w:numFmt w:val="decimal"/>
      <w:lvlText w:val="%3."/>
      <w:lvlJc w:val="left"/>
      <w:pPr>
        <w:tabs>
          <w:tab w:val="num" w:pos="2160"/>
        </w:tabs>
        <w:ind w:left="2160" w:hanging="360"/>
      </w:pPr>
    </w:lvl>
    <w:lvl w:ilvl="3" w:tplc="8550B8E2" w:tentative="1">
      <w:start w:val="1"/>
      <w:numFmt w:val="decimal"/>
      <w:lvlText w:val="%4."/>
      <w:lvlJc w:val="left"/>
      <w:pPr>
        <w:tabs>
          <w:tab w:val="num" w:pos="2880"/>
        </w:tabs>
        <w:ind w:left="2880" w:hanging="360"/>
      </w:pPr>
    </w:lvl>
    <w:lvl w:ilvl="4" w:tplc="6A8C1CC6" w:tentative="1">
      <w:start w:val="1"/>
      <w:numFmt w:val="decimal"/>
      <w:lvlText w:val="%5."/>
      <w:lvlJc w:val="left"/>
      <w:pPr>
        <w:tabs>
          <w:tab w:val="num" w:pos="3600"/>
        </w:tabs>
        <w:ind w:left="3600" w:hanging="360"/>
      </w:pPr>
    </w:lvl>
    <w:lvl w:ilvl="5" w:tplc="1C52E82C" w:tentative="1">
      <w:start w:val="1"/>
      <w:numFmt w:val="decimal"/>
      <w:lvlText w:val="%6."/>
      <w:lvlJc w:val="left"/>
      <w:pPr>
        <w:tabs>
          <w:tab w:val="num" w:pos="4320"/>
        </w:tabs>
        <w:ind w:left="4320" w:hanging="360"/>
      </w:pPr>
    </w:lvl>
    <w:lvl w:ilvl="6" w:tplc="5C00BFA6" w:tentative="1">
      <w:start w:val="1"/>
      <w:numFmt w:val="decimal"/>
      <w:lvlText w:val="%7."/>
      <w:lvlJc w:val="left"/>
      <w:pPr>
        <w:tabs>
          <w:tab w:val="num" w:pos="5040"/>
        </w:tabs>
        <w:ind w:left="5040" w:hanging="360"/>
      </w:pPr>
    </w:lvl>
    <w:lvl w:ilvl="7" w:tplc="DA8CD336" w:tentative="1">
      <w:start w:val="1"/>
      <w:numFmt w:val="decimal"/>
      <w:lvlText w:val="%8."/>
      <w:lvlJc w:val="left"/>
      <w:pPr>
        <w:tabs>
          <w:tab w:val="num" w:pos="5760"/>
        </w:tabs>
        <w:ind w:left="5760" w:hanging="360"/>
      </w:pPr>
    </w:lvl>
    <w:lvl w:ilvl="8" w:tplc="62F4899A" w:tentative="1">
      <w:start w:val="1"/>
      <w:numFmt w:val="decimal"/>
      <w:lvlText w:val="%9."/>
      <w:lvlJc w:val="left"/>
      <w:pPr>
        <w:tabs>
          <w:tab w:val="num" w:pos="6480"/>
        </w:tabs>
        <w:ind w:left="6480" w:hanging="360"/>
      </w:pPr>
    </w:lvl>
  </w:abstractNum>
  <w:abstractNum w:abstractNumId="1">
    <w:nsid w:val="03E469E7"/>
    <w:multiLevelType w:val="hybridMultilevel"/>
    <w:tmpl w:val="334077AC"/>
    <w:lvl w:ilvl="0" w:tplc="8794D58C">
      <w:start w:val="1"/>
      <w:numFmt w:val="decimal"/>
      <w:lvlText w:val="%1."/>
      <w:lvlJc w:val="left"/>
      <w:pPr>
        <w:tabs>
          <w:tab w:val="num" w:pos="1080"/>
        </w:tabs>
        <w:ind w:left="1080" w:hanging="360"/>
      </w:pPr>
    </w:lvl>
    <w:lvl w:ilvl="1" w:tplc="EEEEB79A">
      <w:start w:val="1"/>
      <w:numFmt w:val="decimal"/>
      <w:lvlText w:val="%2."/>
      <w:lvlJc w:val="left"/>
      <w:pPr>
        <w:tabs>
          <w:tab w:val="num" w:pos="1800"/>
        </w:tabs>
        <w:ind w:left="1800" w:hanging="360"/>
      </w:pPr>
    </w:lvl>
    <w:lvl w:ilvl="2" w:tplc="21F65834" w:tentative="1">
      <w:start w:val="1"/>
      <w:numFmt w:val="decimal"/>
      <w:lvlText w:val="%3."/>
      <w:lvlJc w:val="left"/>
      <w:pPr>
        <w:tabs>
          <w:tab w:val="num" w:pos="2520"/>
        </w:tabs>
        <w:ind w:left="2520" w:hanging="360"/>
      </w:pPr>
    </w:lvl>
    <w:lvl w:ilvl="3" w:tplc="57E089F0" w:tentative="1">
      <w:start w:val="1"/>
      <w:numFmt w:val="decimal"/>
      <w:lvlText w:val="%4."/>
      <w:lvlJc w:val="left"/>
      <w:pPr>
        <w:tabs>
          <w:tab w:val="num" w:pos="3240"/>
        </w:tabs>
        <w:ind w:left="3240" w:hanging="360"/>
      </w:pPr>
    </w:lvl>
    <w:lvl w:ilvl="4" w:tplc="2CBE04EC" w:tentative="1">
      <w:start w:val="1"/>
      <w:numFmt w:val="decimal"/>
      <w:lvlText w:val="%5."/>
      <w:lvlJc w:val="left"/>
      <w:pPr>
        <w:tabs>
          <w:tab w:val="num" w:pos="3960"/>
        </w:tabs>
        <w:ind w:left="3960" w:hanging="360"/>
      </w:pPr>
    </w:lvl>
    <w:lvl w:ilvl="5" w:tplc="3D38E5B6" w:tentative="1">
      <w:start w:val="1"/>
      <w:numFmt w:val="decimal"/>
      <w:lvlText w:val="%6."/>
      <w:lvlJc w:val="left"/>
      <w:pPr>
        <w:tabs>
          <w:tab w:val="num" w:pos="4680"/>
        </w:tabs>
        <w:ind w:left="4680" w:hanging="360"/>
      </w:pPr>
    </w:lvl>
    <w:lvl w:ilvl="6" w:tplc="3C5E4980" w:tentative="1">
      <w:start w:val="1"/>
      <w:numFmt w:val="decimal"/>
      <w:lvlText w:val="%7."/>
      <w:lvlJc w:val="left"/>
      <w:pPr>
        <w:tabs>
          <w:tab w:val="num" w:pos="5400"/>
        </w:tabs>
        <w:ind w:left="5400" w:hanging="360"/>
      </w:pPr>
    </w:lvl>
    <w:lvl w:ilvl="7" w:tplc="4710A70A" w:tentative="1">
      <w:start w:val="1"/>
      <w:numFmt w:val="decimal"/>
      <w:lvlText w:val="%8."/>
      <w:lvlJc w:val="left"/>
      <w:pPr>
        <w:tabs>
          <w:tab w:val="num" w:pos="6120"/>
        </w:tabs>
        <w:ind w:left="6120" w:hanging="360"/>
      </w:pPr>
    </w:lvl>
    <w:lvl w:ilvl="8" w:tplc="9774CC68" w:tentative="1">
      <w:start w:val="1"/>
      <w:numFmt w:val="decimal"/>
      <w:lvlText w:val="%9."/>
      <w:lvlJc w:val="left"/>
      <w:pPr>
        <w:tabs>
          <w:tab w:val="num" w:pos="6840"/>
        </w:tabs>
        <w:ind w:left="6840" w:hanging="360"/>
      </w:pPr>
    </w:lvl>
  </w:abstractNum>
  <w:abstractNum w:abstractNumId="2">
    <w:nsid w:val="04014FC9"/>
    <w:multiLevelType w:val="hybridMultilevel"/>
    <w:tmpl w:val="770CAC3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092F73EC"/>
    <w:multiLevelType w:val="hybridMultilevel"/>
    <w:tmpl w:val="F7CA8A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4">
    <w:nsid w:val="0BB60964"/>
    <w:multiLevelType w:val="hybridMultilevel"/>
    <w:tmpl w:val="CDEEB63A"/>
    <w:lvl w:ilvl="0" w:tplc="61B00CAA">
      <w:start w:val="1"/>
      <w:numFmt w:val="decimal"/>
      <w:lvlText w:val="%1."/>
      <w:lvlJc w:val="left"/>
      <w:pPr>
        <w:tabs>
          <w:tab w:val="num" w:pos="720"/>
        </w:tabs>
        <w:ind w:left="720" w:hanging="360"/>
      </w:pPr>
    </w:lvl>
    <w:lvl w:ilvl="1" w:tplc="551EE480" w:tentative="1">
      <w:start w:val="1"/>
      <w:numFmt w:val="decimal"/>
      <w:lvlText w:val="%2."/>
      <w:lvlJc w:val="left"/>
      <w:pPr>
        <w:tabs>
          <w:tab w:val="num" w:pos="1440"/>
        </w:tabs>
        <w:ind w:left="1440" w:hanging="360"/>
      </w:pPr>
    </w:lvl>
    <w:lvl w:ilvl="2" w:tplc="C3BEF3F6" w:tentative="1">
      <w:start w:val="1"/>
      <w:numFmt w:val="decimal"/>
      <w:lvlText w:val="%3."/>
      <w:lvlJc w:val="left"/>
      <w:pPr>
        <w:tabs>
          <w:tab w:val="num" w:pos="2160"/>
        </w:tabs>
        <w:ind w:left="2160" w:hanging="360"/>
      </w:pPr>
    </w:lvl>
    <w:lvl w:ilvl="3" w:tplc="D0A28E54" w:tentative="1">
      <w:start w:val="1"/>
      <w:numFmt w:val="decimal"/>
      <w:lvlText w:val="%4."/>
      <w:lvlJc w:val="left"/>
      <w:pPr>
        <w:tabs>
          <w:tab w:val="num" w:pos="2880"/>
        </w:tabs>
        <w:ind w:left="2880" w:hanging="360"/>
      </w:pPr>
    </w:lvl>
    <w:lvl w:ilvl="4" w:tplc="BAB42CCE" w:tentative="1">
      <w:start w:val="1"/>
      <w:numFmt w:val="decimal"/>
      <w:lvlText w:val="%5."/>
      <w:lvlJc w:val="left"/>
      <w:pPr>
        <w:tabs>
          <w:tab w:val="num" w:pos="3600"/>
        </w:tabs>
        <w:ind w:left="3600" w:hanging="360"/>
      </w:pPr>
    </w:lvl>
    <w:lvl w:ilvl="5" w:tplc="3580CD62" w:tentative="1">
      <w:start w:val="1"/>
      <w:numFmt w:val="decimal"/>
      <w:lvlText w:val="%6."/>
      <w:lvlJc w:val="left"/>
      <w:pPr>
        <w:tabs>
          <w:tab w:val="num" w:pos="4320"/>
        </w:tabs>
        <w:ind w:left="4320" w:hanging="360"/>
      </w:pPr>
    </w:lvl>
    <w:lvl w:ilvl="6" w:tplc="DFF2FE72" w:tentative="1">
      <w:start w:val="1"/>
      <w:numFmt w:val="decimal"/>
      <w:lvlText w:val="%7."/>
      <w:lvlJc w:val="left"/>
      <w:pPr>
        <w:tabs>
          <w:tab w:val="num" w:pos="5040"/>
        </w:tabs>
        <w:ind w:left="5040" w:hanging="360"/>
      </w:pPr>
    </w:lvl>
    <w:lvl w:ilvl="7" w:tplc="2604AD84" w:tentative="1">
      <w:start w:val="1"/>
      <w:numFmt w:val="decimal"/>
      <w:lvlText w:val="%8."/>
      <w:lvlJc w:val="left"/>
      <w:pPr>
        <w:tabs>
          <w:tab w:val="num" w:pos="5760"/>
        </w:tabs>
        <w:ind w:left="5760" w:hanging="360"/>
      </w:pPr>
    </w:lvl>
    <w:lvl w:ilvl="8" w:tplc="4CD05DF8" w:tentative="1">
      <w:start w:val="1"/>
      <w:numFmt w:val="decimal"/>
      <w:lvlText w:val="%9."/>
      <w:lvlJc w:val="left"/>
      <w:pPr>
        <w:tabs>
          <w:tab w:val="num" w:pos="6480"/>
        </w:tabs>
        <w:ind w:left="6480" w:hanging="360"/>
      </w:pPr>
    </w:lvl>
  </w:abstractNum>
  <w:abstractNum w:abstractNumId="5">
    <w:nsid w:val="0C65269E"/>
    <w:multiLevelType w:val="hybridMultilevel"/>
    <w:tmpl w:val="4FCA66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10B942FF"/>
    <w:multiLevelType w:val="hybridMultilevel"/>
    <w:tmpl w:val="D7047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5A5D65"/>
    <w:multiLevelType w:val="hybridMultilevel"/>
    <w:tmpl w:val="3BA6DAF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1DE056D1"/>
    <w:multiLevelType w:val="hybridMultilevel"/>
    <w:tmpl w:val="1EAE7702"/>
    <w:lvl w:ilvl="0" w:tplc="CB7C0ED2">
      <w:start w:val="1"/>
      <w:numFmt w:val="decimal"/>
      <w:lvlText w:val="%1."/>
      <w:lvlJc w:val="left"/>
      <w:pPr>
        <w:ind w:left="720" w:hanging="360"/>
      </w:pPr>
      <w:rPr>
        <w:rFonts w:cs="Times New Roman"/>
        <w:b/>
        <w:bCs/>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nsid w:val="1F4836AB"/>
    <w:multiLevelType w:val="hybridMultilevel"/>
    <w:tmpl w:val="E44E18BE"/>
    <w:lvl w:ilvl="0" w:tplc="738402EC">
      <w:start w:val="1"/>
      <w:numFmt w:val="bullet"/>
      <w:lvlText w:val="-"/>
      <w:lvlJc w:val="left"/>
      <w:pPr>
        <w:tabs>
          <w:tab w:val="num" w:pos="720"/>
        </w:tabs>
        <w:ind w:left="720" w:hanging="360"/>
      </w:pPr>
      <w:rPr>
        <w:rFonts w:ascii="Univers" w:hAnsi="Univer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052159B"/>
    <w:multiLevelType w:val="hybridMultilevel"/>
    <w:tmpl w:val="4E543D90"/>
    <w:lvl w:ilvl="0" w:tplc="168C70C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23813F37"/>
    <w:multiLevelType w:val="hybridMultilevel"/>
    <w:tmpl w:val="B686DEFC"/>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nsid w:val="238F5D74"/>
    <w:multiLevelType w:val="hybridMultilevel"/>
    <w:tmpl w:val="2AB0F004"/>
    <w:lvl w:ilvl="0" w:tplc="4FD05FAC">
      <w:start w:val="1"/>
      <w:numFmt w:val="bullet"/>
      <w:pStyle w:val="Bullets"/>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535198B"/>
    <w:multiLevelType w:val="hybridMultilevel"/>
    <w:tmpl w:val="1F22D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F1338AE"/>
    <w:multiLevelType w:val="hybridMultilevel"/>
    <w:tmpl w:val="B7CED212"/>
    <w:lvl w:ilvl="0" w:tplc="08090001">
      <w:start w:val="1"/>
      <w:numFmt w:val="bullet"/>
      <w:lvlText w:val=""/>
      <w:lvlJc w:val="left"/>
      <w:pPr>
        <w:ind w:left="1800" w:hanging="360"/>
      </w:pPr>
      <w:rPr>
        <w:rFonts w:ascii="Symbol" w:hAnsi="Symbol" w:hint="default"/>
      </w:rPr>
    </w:lvl>
    <w:lvl w:ilvl="1" w:tplc="B9F0DF66">
      <w:numFmt w:val="bullet"/>
      <w:lvlText w:val="-"/>
      <w:lvlJc w:val="left"/>
      <w:pPr>
        <w:ind w:left="2520" w:hanging="360"/>
      </w:pPr>
      <w:rPr>
        <w:rFonts w:ascii="Arial" w:eastAsia="Batang" w:hAnsi="Arial"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2FB86FFA"/>
    <w:multiLevelType w:val="multilevel"/>
    <w:tmpl w:val="4BA456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2FD40310"/>
    <w:multiLevelType w:val="hybridMultilevel"/>
    <w:tmpl w:val="5E985B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2FFB7A8A"/>
    <w:multiLevelType w:val="hybridMultilevel"/>
    <w:tmpl w:val="915E33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nsid w:val="36D661A3"/>
    <w:multiLevelType w:val="hybridMultilevel"/>
    <w:tmpl w:val="E12E31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371F65DA"/>
    <w:multiLevelType w:val="hybridMultilevel"/>
    <w:tmpl w:val="5D666F22"/>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nsid w:val="391F2C55"/>
    <w:multiLevelType w:val="hybridMultilevel"/>
    <w:tmpl w:val="C292DD4E"/>
    <w:lvl w:ilvl="0" w:tplc="A052D722">
      <w:start w:val="1"/>
      <w:numFmt w:val="decimal"/>
      <w:lvlText w:val="%1."/>
      <w:lvlJc w:val="left"/>
      <w:pPr>
        <w:tabs>
          <w:tab w:val="num" w:pos="720"/>
        </w:tabs>
        <w:ind w:left="720" w:hanging="360"/>
      </w:pPr>
    </w:lvl>
    <w:lvl w:ilvl="1" w:tplc="B3684112" w:tentative="1">
      <w:start w:val="1"/>
      <w:numFmt w:val="decimal"/>
      <w:lvlText w:val="%2."/>
      <w:lvlJc w:val="left"/>
      <w:pPr>
        <w:tabs>
          <w:tab w:val="num" w:pos="1440"/>
        </w:tabs>
        <w:ind w:left="1440" w:hanging="360"/>
      </w:pPr>
    </w:lvl>
    <w:lvl w:ilvl="2" w:tplc="AB08DB24" w:tentative="1">
      <w:start w:val="1"/>
      <w:numFmt w:val="decimal"/>
      <w:lvlText w:val="%3."/>
      <w:lvlJc w:val="left"/>
      <w:pPr>
        <w:tabs>
          <w:tab w:val="num" w:pos="2160"/>
        </w:tabs>
        <w:ind w:left="2160" w:hanging="360"/>
      </w:pPr>
    </w:lvl>
    <w:lvl w:ilvl="3" w:tplc="9D902F8E" w:tentative="1">
      <w:start w:val="1"/>
      <w:numFmt w:val="decimal"/>
      <w:lvlText w:val="%4."/>
      <w:lvlJc w:val="left"/>
      <w:pPr>
        <w:tabs>
          <w:tab w:val="num" w:pos="2880"/>
        </w:tabs>
        <w:ind w:left="2880" w:hanging="360"/>
      </w:pPr>
    </w:lvl>
    <w:lvl w:ilvl="4" w:tplc="B276C5C4" w:tentative="1">
      <w:start w:val="1"/>
      <w:numFmt w:val="decimal"/>
      <w:lvlText w:val="%5."/>
      <w:lvlJc w:val="left"/>
      <w:pPr>
        <w:tabs>
          <w:tab w:val="num" w:pos="3600"/>
        </w:tabs>
        <w:ind w:left="3600" w:hanging="360"/>
      </w:pPr>
    </w:lvl>
    <w:lvl w:ilvl="5" w:tplc="61F0C1C0" w:tentative="1">
      <w:start w:val="1"/>
      <w:numFmt w:val="decimal"/>
      <w:lvlText w:val="%6."/>
      <w:lvlJc w:val="left"/>
      <w:pPr>
        <w:tabs>
          <w:tab w:val="num" w:pos="4320"/>
        </w:tabs>
        <w:ind w:left="4320" w:hanging="360"/>
      </w:pPr>
    </w:lvl>
    <w:lvl w:ilvl="6" w:tplc="9EF46C4E" w:tentative="1">
      <w:start w:val="1"/>
      <w:numFmt w:val="decimal"/>
      <w:lvlText w:val="%7."/>
      <w:lvlJc w:val="left"/>
      <w:pPr>
        <w:tabs>
          <w:tab w:val="num" w:pos="5040"/>
        </w:tabs>
        <w:ind w:left="5040" w:hanging="360"/>
      </w:pPr>
    </w:lvl>
    <w:lvl w:ilvl="7" w:tplc="63843E02" w:tentative="1">
      <w:start w:val="1"/>
      <w:numFmt w:val="decimal"/>
      <w:lvlText w:val="%8."/>
      <w:lvlJc w:val="left"/>
      <w:pPr>
        <w:tabs>
          <w:tab w:val="num" w:pos="5760"/>
        </w:tabs>
        <w:ind w:left="5760" w:hanging="360"/>
      </w:pPr>
    </w:lvl>
    <w:lvl w:ilvl="8" w:tplc="337696E4" w:tentative="1">
      <w:start w:val="1"/>
      <w:numFmt w:val="decimal"/>
      <w:lvlText w:val="%9."/>
      <w:lvlJc w:val="left"/>
      <w:pPr>
        <w:tabs>
          <w:tab w:val="num" w:pos="6480"/>
        </w:tabs>
        <w:ind w:left="6480" w:hanging="360"/>
      </w:pPr>
    </w:lvl>
  </w:abstractNum>
  <w:abstractNum w:abstractNumId="21">
    <w:nsid w:val="392802F9"/>
    <w:multiLevelType w:val="hybridMultilevel"/>
    <w:tmpl w:val="A2DC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B3266D"/>
    <w:multiLevelType w:val="hybridMultilevel"/>
    <w:tmpl w:val="9746D60E"/>
    <w:lvl w:ilvl="0" w:tplc="08090001">
      <w:start w:val="1"/>
      <w:numFmt w:val="bullet"/>
      <w:lvlText w:val=""/>
      <w:lvlJc w:val="left"/>
      <w:pPr>
        <w:tabs>
          <w:tab w:val="num" w:pos="360"/>
        </w:tabs>
        <w:ind w:left="360" w:hanging="360"/>
      </w:pPr>
      <w:rPr>
        <w:rFonts w:ascii="Symbol" w:hAnsi="Symbo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D8D14F0"/>
    <w:multiLevelType w:val="hybridMultilevel"/>
    <w:tmpl w:val="826AB86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4">
    <w:nsid w:val="3DFC2298"/>
    <w:multiLevelType w:val="hybridMultilevel"/>
    <w:tmpl w:val="8FB8247C"/>
    <w:lvl w:ilvl="0" w:tplc="2A9045CC">
      <w:start w:val="1"/>
      <w:numFmt w:val="decimal"/>
      <w:lvlText w:val="%1."/>
      <w:lvlJc w:val="left"/>
      <w:pPr>
        <w:tabs>
          <w:tab w:val="num" w:pos="720"/>
        </w:tabs>
        <w:ind w:left="720" w:hanging="360"/>
      </w:pPr>
    </w:lvl>
    <w:lvl w:ilvl="1" w:tplc="15C0E4FC" w:tentative="1">
      <w:start w:val="1"/>
      <w:numFmt w:val="decimal"/>
      <w:lvlText w:val="%2."/>
      <w:lvlJc w:val="left"/>
      <w:pPr>
        <w:tabs>
          <w:tab w:val="num" w:pos="1440"/>
        </w:tabs>
        <w:ind w:left="1440" w:hanging="360"/>
      </w:pPr>
    </w:lvl>
    <w:lvl w:ilvl="2" w:tplc="40E8763E" w:tentative="1">
      <w:start w:val="1"/>
      <w:numFmt w:val="decimal"/>
      <w:lvlText w:val="%3."/>
      <w:lvlJc w:val="left"/>
      <w:pPr>
        <w:tabs>
          <w:tab w:val="num" w:pos="2160"/>
        </w:tabs>
        <w:ind w:left="2160" w:hanging="360"/>
      </w:pPr>
    </w:lvl>
    <w:lvl w:ilvl="3" w:tplc="91120130" w:tentative="1">
      <w:start w:val="1"/>
      <w:numFmt w:val="decimal"/>
      <w:lvlText w:val="%4."/>
      <w:lvlJc w:val="left"/>
      <w:pPr>
        <w:tabs>
          <w:tab w:val="num" w:pos="2880"/>
        </w:tabs>
        <w:ind w:left="2880" w:hanging="360"/>
      </w:pPr>
    </w:lvl>
    <w:lvl w:ilvl="4" w:tplc="F0023F7A" w:tentative="1">
      <w:start w:val="1"/>
      <w:numFmt w:val="decimal"/>
      <w:lvlText w:val="%5."/>
      <w:lvlJc w:val="left"/>
      <w:pPr>
        <w:tabs>
          <w:tab w:val="num" w:pos="3600"/>
        </w:tabs>
        <w:ind w:left="3600" w:hanging="360"/>
      </w:pPr>
    </w:lvl>
    <w:lvl w:ilvl="5" w:tplc="A562261C" w:tentative="1">
      <w:start w:val="1"/>
      <w:numFmt w:val="decimal"/>
      <w:lvlText w:val="%6."/>
      <w:lvlJc w:val="left"/>
      <w:pPr>
        <w:tabs>
          <w:tab w:val="num" w:pos="4320"/>
        </w:tabs>
        <w:ind w:left="4320" w:hanging="360"/>
      </w:pPr>
    </w:lvl>
    <w:lvl w:ilvl="6" w:tplc="7ACC74BA" w:tentative="1">
      <w:start w:val="1"/>
      <w:numFmt w:val="decimal"/>
      <w:lvlText w:val="%7."/>
      <w:lvlJc w:val="left"/>
      <w:pPr>
        <w:tabs>
          <w:tab w:val="num" w:pos="5040"/>
        </w:tabs>
        <w:ind w:left="5040" w:hanging="360"/>
      </w:pPr>
    </w:lvl>
    <w:lvl w:ilvl="7" w:tplc="8FB815BC" w:tentative="1">
      <w:start w:val="1"/>
      <w:numFmt w:val="decimal"/>
      <w:lvlText w:val="%8."/>
      <w:lvlJc w:val="left"/>
      <w:pPr>
        <w:tabs>
          <w:tab w:val="num" w:pos="5760"/>
        </w:tabs>
        <w:ind w:left="5760" w:hanging="360"/>
      </w:pPr>
    </w:lvl>
    <w:lvl w:ilvl="8" w:tplc="28441890" w:tentative="1">
      <w:start w:val="1"/>
      <w:numFmt w:val="decimal"/>
      <w:lvlText w:val="%9."/>
      <w:lvlJc w:val="left"/>
      <w:pPr>
        <w:tabs>
          <w:tab w:val="num" w:pos="6480"/>
        </w:tabs>
        <w:ind w:left="6480" w:hanging="360"/>
      </w:pPr>
    </w:lvl>
  </w:abstractNum>
  <w:abstractNum w:abstractNumId="25">
    <w:nsid w:val="408B4636"/>
    <w:multiLevelType w:val="hybridMultilevel"/>
    <w:tmpl w:val="4A08710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44426928"/>
    <w:multiLevelType w:val="hybridMultilevel"/>
    <w:tmpl w:val="AC2CB84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nsid w:val="44523AF7"/>
    <w:multiLevelType w:val="hybridMultilevel"/>
    <w:tmpl w:val="C846A8C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478C13D3"/>
    <w:multiLevelType w:val="hybridMultilevel"/>
    <w:tmpl w:val="753E70C4"/>
    <w:lvl w:ilvl="0" w:tplc="89180354">
      <w:start w:val="1"/>
      <w:numFmt w:val="decimal"/>
      <w:lvlText w:val="%1."/>
      <w:lvlJc w:val="left"/>
      <w:pPr>
        <w:tabs>
          <w:tab w:val="num" w:pos="720"/>
        </w:tabs>
        <w:ind w:left="720" w:hanging="360"/>
      </w:pPr>
    </w:lvl>
    <w:lvl w:ilvl="1" w:tplc="EE968EEA" w:tentative="1">
      <w:start w:val="1"/>
      <w:numFmt w:val="decimal"/>
      <w:lvlText w:val="%2."/>
      <w:lvlJc w:val="left"/>
      <w:pPr>
        <w:tabs>
          <w:tab w:val="num" w:pos="1440"/>
        </w:tabs>
        <w:ind w:left="1440" w:hanging="360"/>
      </w:pPr>
    </w:lvl>
    <w:lvl w:ilvl="2" w:tplc="3A986C7C" w:tentative="1">
      <w:start w:val="1"/>
      <w:numFmt w:val="decimal"/>
      <w:lvlText w:val="%3."/>
      <w:lvlJc w:val="left"/>
      <w:pPr>
        <w:tabs>
          <w:tab w:val="num" w:pos="2160"/>
        </w:tabs>
        <w:ind w:left="2160" w:hanging="360"/>
      </w:pPr>
    </w:lvl>
    <w:lvl w:ilvl="3" w:tplc="546889DA" w:tentative="1">
      <w:start w:val="1"/>
      <w:numFmt w:val="decimal"/>
      <w:lvlText w:val="%4."/>
      <w:lvlJc w:val="left"/>
      <w:pPr>
        <w:tabs>
          <w:tab w:val="num" w:pos="2880"/>
        </w:tabs>
        <w:ind w:left="2880" w:hanging="360"/>
      </w:pPr>
    </w:lvl>
    <w:lvl w:ilvl="4" w:tplc="14DA4158" w:tentative="1">
      <w:start w:val="1"/>
      <w:numFmt w:val="decimal"/>
      <w:lvlText w:val="%5."/>
      <w:lvlJc w:val="left"/>
      <w:pPr>
        <w:tabs>
          <w:tab w:val="num" w:pos="3600"/>
        </w:tabs>
        <w:ind w:left="3600" w:hanging="360"/>
      </w:pPr>
    </w:lvl>
    <w:lvl w:ilvl="5" w:tplc="36A26806" w:tentative="1">
      <w:start w:val="1"/>
      <w:numFmt w:val="decimal"/>
      <w:lvlText w:val="%6."/>
      <w:lvlJc w:val="left"/>
      <w:pPr>
        <w:tabs>
          <w:tab w:val="num" w:pos="4320"/>
        </w:tabs>
        <w:ind w:left="4320" w:hanging="360"/>
      </w:pPr>
    </w:lvl>
    <w:lvl w:ilvl="6" w:tplc="48C6594E" w:tentative="1">
      <w:start w:val="1"/>
      <w:numFmt w:val="decimal"/>
      <w:lvlText w:val="%7."/>
      <w:lvlJc w:val="left"/>
      <w:pPr>
        <w:tabs>
          <w:tab w:val="num" w:pos="5040"/>
        </w:tabs>
        <w:ind w:left="5040" w:hanging="360"/>
      </w:pPr>
    </w:lvl>
    <w:lvl w:ilvl="7" w:tplc="8FF42612" w:tentative="1">
      <w:start w:val="1"/>
      <w:numFmt w:val="decimal"/>
      <w:lvlText w:val="%8."/>
      <w:lvlJc w:val="left"/>
      <w:pPr>
        <w:tabs>
          <w:tab w:val="num" w:pos="5760"/>
        </w:tabs>
        <w:ind w:left="5760" w:hanging="360"/>
      </w:pPr>
    </w:lvl>
    <w:lvl w:ilvl="8" w:tplc="F880F7BC" w:tentative="1">
      <w:start w:val="1"/>
      <w:numFmt w:val="decimal"/>
      <w:lvlText w:val="%9."/>
      <w:lvlJc w:val="left"/>
      <w:pPr>
        <w:tabs>
          <w:tab w:val="num" w:pos="6480"/>
        </w:tabs>
        <w:ind w:left="6480" w:hanging="360"/>
      </w:pPr>
    </w:lvl>
  </w:abstractNum>
  <w:abstractNum w:abstractNumId="29">
    <w:nsid w:val="4EE73A4D"/>
    <w:multiLevelType w:val="hybridMultilevel"/>
    <w:tmpl w:val="92B0FBE6"/>
    <w:lvl w:ilvl="0" w:tplc="5992C644">
      <w:start w:val="1"/>
      <w:numFmt w:val="decimal"/>
      <w:lvlText w:val="%1."/>
      <w:lvlJc w:val="left"/>
      <w:pPr>
        <w:tabs>
          <w:tab w:val="num" w:pos="720"/>
        </w:tabs>
        <w:ind w:left="720" w:hanging="360"/>
      </w:pPr>
    </w:lvl>
    <w:lvl w:ilvl="1" w:tplc="BFF0F972" w:tentative="1">
      <w:start w:val="1"/>
      <w:numFmt w:val="decimal"/>
      <w:lvlText w:val="%2."/>
      <w:lvlJc w:val="left"/>
      <w:pPr>
        <w:tabs>
          <w:tab w:val="num" w:pos="1440"/>
        </w:tabs>
        <w:ind w:left="1440" w:hanging="360"/>
      </w:pPr>
    </w:lvl>
    <w:lvl w:ilvl="2" w:tplc="374E3180" w:tentative="1">
      <w:start w:val="1"/>
      <w:numFmt w:val="decimal"/>
      <w:lvlText w:val="%3."/>
      <w:lvlJc w:val="left"/>
      <w:pPr>
        <w:tabs>
          <w:tab w:val="num" w:pos="2160"/>
        </w:tabs>
        <w:ind w:left="2160" w:hanging="360"/>
      </w:pPr>
    </w:lvl>
    <w:lvl w:ilvl="3" w:tplc="659CA348" w:tentative="1">
      <w:start w:val="1"/>
      <w:numFmt w:val="decimal"/>
      <w:lvlText w:val="%4."/>
      <w:lvlJc w:val="left"/>
      <w:pPr>
        <w:tabs>
          <w:tab w:val="num" w:pos="2880"/>
        </w:tabs>
        <w:ind w:left="2880" w:hanging="360"/>
      </w:pPr>
    </w:lvl>
    <w:lvl w:ilvl="4" w:tplc="8252FA68" w:tentative="1">
      <w:start w:val="1"/>
      <w:numFmt w:val="decimal"/>
      <w:lvlText w:val="%5."/>
      <w:lvlJc w:val="left"/>
      <w:pPr>
        <w:tabs>
          <w:tab w:val="num" w:pos="3600"/>
        </w:tabs>
        <w:ind w:left="3600" w:hanging="360"/>
      </w:pPr>
    </w:lvl>
    <w:lvl w:ilvl="5" w:tplc="31722D8A" w:tentative="1">
      <w:start w:val="1"/>
      <w:numFmt w:val="decimal"/>
      <w:lvlText w:val="%6."/>
      <w:lvlJc w:val="left"/>
      <w:pPr>
        <w:tabs>
          <w:tab w:val="num" w:pos="4320"/>
        </w:tabs>
        <w:ind w:left="4320" w:hanging="360"/>
      </w:pPr>
    </w:lvl>
    <w:lvl w:ilvl="6" w:tplc="5D18F726" w:tentative="1">
      <w:start w:val="1"/>
      <w:numFmt w:val="decimal"/>
      <w:lvlText w:val="%7."/>
      <w:lvlJc w:val="left"/>
      <w:pPr>
        <w:tabs>
          <w:tab w:val="num" w:pos="5040"/>
        </w:tabs>
        <w:ind w:left="5040" w:hanging="360"/>
      </w:pPr>
    </w:lvl>
    <w:lvl w:ilvl="7" w:tplc="14CACF4A" w:tentative="1">
      <w:start w:val="1"/>
      <w:numFmt w:val="decimal"/>
      <w:lvlText w:val="%8."/>
      <w:lvlJc w:val="left"/>
      <w:pPr>
        <w:tabs>
          <w:tab w:val="num" w:pos="5760"/>
        </w:tabs>
        <w:ind w:left="5760" w:hanging="360"/>
      </w:pPr>
    </w:lvl>
    <w:lvl w:ilvl="8" w:tplc="09F6710C" w:tentative="1">
      <w:start w:val="1"/>
      <w:numFmt w:val="decimal"/>
      <w:lvlText w:val="%9."/>
      <w:lvlJc w:val="left"/>
      <w:pPr>
        <w:tabs>
          <w:tab w:val="num" w:pos="6480"/>
        </w:tabs>
        <w:ind w:left="6480" w:hanging="360"/>
      </w:pPr>
    </w:lvl>
  </w:abstractNum>
  <w:abstractNum w:abstractNumId="30">
    <w:nsid w:val="4EEC0919"/>
    <w:multiLevelType w:val="hybridMultilevel"/>
    <w:tmpl w:val="AF40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02D2175"/>
    <w:multiLevelType w:val="hybridMultilevel"/>
    <w:tmpl w:val="0A8E5F5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nsid w:val="50BF7000"/>
    <w:multiLevelType w:val="hybridMultilevel"/>
    <w:tmpl w:val="14DCA8E6"/>
    <w:lvl w:ilvl="0" w:tplc="08090001">
      <w:start w:val="1"/>
      <w:numFmt w:val="bullet"/>
      <w:lvlText w:val=""/>
      <w:lvlJc w:val="left"/>
      <w:pPr>
        <w:tabs>
          <w:tab w:val="num" w:pos="360"/>
        </w:tabs>
        <w:ind w:left="360" w:hanging="360"/>
      </w:pPr>
      <w:rPr>
        <w:rFonts w:ascii="Symbol" w:hAnsi="Symbo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1171DC6"/>
    <w:multiLevelType w:val="hybridMultilevel"/>
    <w:tmpl w:val="EE388572"/>
    <w:lvl w:ilvl="0" w:tplc="6EE002E2">
      <w:start w:val="1"/>
      <w:numFmt w:val="decimal"/>
      <w:lvlText w:val="(%1)"/>
      <w:lvlJc w:val="left"/>
      <w:pPr>
        <w:ind w:left="720" w:hanging="360"/>
      </w:pPr>
      <w:rPr>
        <w:rFonts w:ascii="Helvetica" w:hAnsi="Helvetica" w:cs="Helvetica"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72739BF"/>
    <w:multiLevelType w:val="hybridMultilevel"/>
    <w:tmpl w:val="3C481F76"/>
    <w:lvl w:ilvl="0" w:tplc="651C7084">
      <w:start w:val="1"/>
      <w:numFmt w:val="decimal"/>
      <w:lvlText w:val="%1)"/>
      <w:lvlJc w:val="left"/>
      <w:pPr>
        <w:ind w:left="720" w:hanging="360"/>
      </w:pPr>
      <w:rPr>
        <w:rFonts w:hint="default"/>
        <w:b w:val="0"/>
        <w:sz w:val="24"/>
        <w:szCs w:val="24"/>
      </w:rPr>
    </w:lvl>
    <w:lvl w:ilvl="1" w:tplc="738402EC">
      <w:start w:val="1"/>
      <w:numFmt w:val="bullet"/>
      <w:lvlText w:val="-"/>
      <w:lvlJc w:val="left"/>
      <w:pPr>
        <w:ind w:left="1440" w:hanging="360"/>
      </w:pPr>
      <w:rPr>
        <w:rFonts w:ascii="Univers" w:hAnsi="Univers"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5">
    <w:nsid w:val="58643212"/>
    <w:multiLevelType w:val="hybridMultilevel"/>
    <w:tmpl w:val="416ACE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58697BCF"/>
    <w:multiLevelType w:val="hybridMultilevel"/>
    <w:tmpl w:val="1AF47006"/>
    <w:lvl w:ilvl="0" w:tplc="4E64CD18">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7">
    <w:nsid w:val="5CDB78AB"/>
    <w:multiLevelType w:val="hybridMultilevel"/>
    <w:tmpl w:val="FBE8A1C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nsid w:val="600B5611"/>
    <w:multiLevelType w:val="hybridMultilevel"/>
    <w:tmpl w:val="32F2C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nsid w:val="6161235D"/>
    <w:multiLevelType w:val="hybridMultilevel"/>
    <w:tmpl w:val="ABB8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995558E"/>
    <w:multiLevelType w:val="hybridMultilevel"/>
    <w:tmpl w:val="C80E759A"/>
    <w:lvl w:ilvl="0" w:tplc="2668D1AE">
      <w:start w:val="1"/>
      <w:numFmt w:val="decimal"/>
      <w:lvlText w:val="%1."/>
      <w:lvlJc w:val="left"/>
      <w:pPr>
        <w:tabs>
          <w:tab w:val="num" w:pos="720"/>
        </w:tabs>
        <w:ind w:left="720" w:hanging="360"/>
      </w:pPr>
    </w:lvl>
    <w:lvl w:ilvl="1" w:tplc="B838B61A" w:tentative="1">
      <w:start w:val="1"/>
      <w:numFmt w:val="decimal"/>
      <w:lvlText w:val="%2."/>
      <w:lvlJc w:val="left"/>
      <w:pPr>
        <w:tabs>
          <w:tab w:val="num" w:pos="1440"/>
        </w:tabs>
        <w:ind w:left="1440" w:hanging="360"/>
      </w:pPr>
    </w:lvl>
    <w:lvl w:ilvl="2" w:tplc="8F24B9BE" w:tentative="1">
      <w:start w:val="1"/>
      <w:numFmt w:val="decimal"/>
      <w:lvlText w:val="%3."/>
      <w:lvlJc w:val="left"/>
      <w:pPr>
        <w:tabs>
          <w:tab w:val="num" w:pos="2160"/>
        </w:tabs>
        <w:ind w:left="2160" w:hanging="360"/>
      </w:pPr>
    </w:lvl>
    <w:lvl w:ilvl="3" w:tplc="44421EA8" w:tentative="1">
      <w:start w:val="1"/>
      <w:numFmt w:val="decimal"/>
      <w:lvlText w:val="%4."/>
      <w:lvlJc w:val="left"/>
      <w:pPr>
        <w:tabs>
          <w:tab w:val="num" w:pos="2880"/>
        </w:tabs>
        <w:ind w:left="2880" w:hanging="360"/>
      </w:pPr>
    </w:lvl>
    <w:lvl w:ilvl="4" w:tplc="86B8B536" w:tentative="1">
      <w:start w:val="1"/>
      <w:numFmt w:val="decimal"/>
      <w:lvlText w:val="%5."/>
      <w:lvlJc w:val="left"/>
      <w:pPr>
        <w:tabs>
          <w:tab w:val="num" w:pos="3600"/>
        </w:tabs>
        <w:ind w:left="3600" w:hanging="360"/>
      </w:pPr>
    </w:lvl>
    <w:lvl w:ilvl="5" w:tplc="73AC2FB0" w:tentative="1">
      <w:start w:val="1"/>
      <w:numFmt w:val="decimal"/>
      <w:lvlText w:val="%6."/>
      <w:lvlJc w:val="left"/>
      <w:pPr>
        <w:tabs>
          <w:tab w:val="num" w:pos="4320"/>
        </w:tabs>
        <w:ind w:left="4320" w:hanging="360"/>
      </w:pPr>
    </w:lvl>
    <w:lvl w:ilvl="6" w:tplc="E22686B0" w:tentative="1">
      <w:start w:val="1"/>
      <w:numFmt w:val="decimal"/>
      <w:lvlText w:val="%7."/>
      <w:lvlJc w:val="left"/>
      <w:pPr>
        <w:tabs>
          <w:tab w:val="num" w:pos="5040"/>
        </w:tabs>
        <w:ind w:left="5040" w:hanging="360"/>
      </w:pPr>
    </w:lvl>
    <w:lvl w:ilvl="7" w:tplc="A204081E" w:tentative="1">
      <w:start w:val="1"/>
      <w:numFmt w:val="decimal"/>
      <w:lvlText w:val="%8."/>
      <w:lvlJc w:val="left"/>
      <w:pPr>
        <w:tabs>
          <w:tab w:val="num" w:pos="5760"/>
        </w:tabs>
        <w:ind w:left="5760" w:hanging="360"/>
      </w:pPr>
    </w:lvl>
    <w:lvl w:ilvl="8" w:tplc="D59A329E" w:tentative="1">
      <w:start w:val="1"/>
      <w:numFmt w:val="decimal"/>
      <w:lvlText w:val="%9."/>
      <w:lvlJc w:val="left"/>
      <w:pPr>
        <w:tabs>
          <w:tab w:val="num" w:pos="6480"/>
        </w:tabs>
        <w:ind w:left="6480" w:hanging="360"/>
      </w:pPr>
    </w:lvl>
  </w:abstractNum>
  <w:abstractNum w:abstractNumId="41">
    <w:nsid w:val="6AD9599F"/>
    <w:multiLevelType w:val="hybridMultilevel"/>
    <w:tmpl w:val="021662E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2">
    <w:nsid w:val="6BA0199D"/>
    <w:multiLevelType w:val="hybridMultilevel"/>
    <w:tmpl w:val="1B889320"/>
    <w:lvl w:ilvl="0" w:tplc="75048EDC">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6C012E65"/>
    <w:multiLevelType w:val="hybridMultilevel"/>
    <w:tmpl w:val="27CC092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nsid w:val="6D3A24BB"/>
    <w:multiLevelType w:val="hybridMultilevel"/>
    <w:tmpl w:val="B7A232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5">
    <w:nsid w:val="70D90350"/>
    <w:multiLevelType w:val="hybridMultilevel"/>
    <w:tmpl w:val="86E0D4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6">
    <w:nsid w:val="71F635D6"/>
    <w:multiLevelType w:val="hybridMultilevel"/>
    <w:tmpl w:val="124C651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7">
    <w:nsid w:val="7614360B"/>
    <w:multiLevelType w:val="hybridMultilevel"/>
    <w:tmpl w:val="003AFFE2"/>
    <w:lvl w:ilvl="0" w:tplc="046C0D50">
      <w:start w:val="1"/>
      <w:numFmt w:val="decimal"/>
      <w:lvlText w:val="%1."/>
      <w:lvlJc w:val="left"/>
      <w:pPr>
        <w:tabs>
          <w:tab w:val="num" w:pos="720"/>
        </w:tabs>
        <w:ind w:left="720" w:hanging="360"/>
      </w:pPr>
    </w:lvl>
    <w:lvl w:ilvl="1" w:tplc="39C822AA" w:tentative="1">
      <w:start w:val="1"/>
      <w:numFmt w:val="decimal"/>
      <w:lvlText w:val="%2."/>
      <w:lvlJc w:val="left"/>
      <w:pPr>
        <w:tabs>
          <w:tab w:val="num" w:pos="1440"/>
        </w:tabs>
        <w:ind w:left="1440" w:hanging="360"/>
      </w:pPr>
    </w:lvl>
    <w:lvl w:ilvl="2" w:tplc="154C7AE2" w:tentative="1">
      <w:start w:val="1"/>
      <w:numFmt w:val="decimal"/>
      <w:lvlText w:val="%3."/>
      <w:lvlJc w:val="left"/>
      <w:pPr>
        <w:tabs>
          <w:tab w:val="num" w:pos="2160"/>
        </w:tabs>
        <w:ind w:left="2160" w:hanging="360"/>
      </w:pPr>
    </w:lvl>
    <w:lvl w:ilvl="3" w:tplc="9152885C" w:tentative="1">
      <w:start w:val="1"/>
      <w:numFmt w:val="decimal"/>
      <w:lvlText w:val="%4."/>
      <w:lvlJc w:val="left"/>
      <w:pPr>
        <w:tabs>
          <w:tab w:val="num" w:pos="2880"/>
        </w:tabs>
        <w:ind w:left="2880" w:hanging="360"/>
      </w:pPr>
    </w:lvl>
    <w:lvl w:ilvl="4" w:tplc="A3E62BBC" w:tentative="1">
      <w:start w:val="1"/>
      <w:numFmt w:val="decimal"/>
      <w:lvlText w:val="%5."/>
      <w:lvlJc w:val="left"/>
      <w:pPr>
        <w:tabs>
          <w:tab w:val="num" w:pos="3600"/>
        </w:tabs>
        <w:ind w:left="3600" w:hanging="360"/>
      </w:pPr>
    </w:lvl>
    <w:lvl w:ilvl="5" w:tplc="1646D132" w:tentative="1">
      <w:start w:val="1"/>
      <w:numFmt w:val="decimal"/>
      <w:lvlText w:val="%6."/>
      <w:lvlJc w:val="left"/>
      <w:pPr>
        <w:tabs>
          <w:tab w:val="num" w:pos="4320"/>
        </w:tabs>
        <w:ind w:left="4320" w:hanging="360"/>
      </w:pPr>
    </w:lvl>
    <w:lvl w:ilvl="6" w:tplc="177C55AA" w:tentative="1">
      <w:start w:val="1"/>
      <w:numFmt w:val="decimal"/>
      <w:lvlText w:val="%7."/>
      <w:lvlJc w:val="left"/>
      <w:pPr>
        <w:tabs>
          <w:tab w:val="num" w:pos="5040"/>
        </w:tabs>
        <w:ind w:left="5040" w:hanging="360"/>
      </w:pPr>
    </w:lvl>
    <w:lvl w:ilvl="7" w:tplc="E0163E4E" w:tentative="1">
      <w:start w:val="1"/>
      <w:numFmt w:val="decimal"/>
      <w:lvlText w:val="%8."/>
      <w:lvlJc w:val="left"/>
      <w:pPr>
        <w:tabs>
          <w:tab w:val="num" w:pos="5760"/>
        </w:tabs>
        <w:ind w:left="5760" w:hanging="360"/>
      </w:pPr>
    </w:lvl>
    <w:lvl w:ilvl="8" w:tplc="CA06DB16" w:tentative="1">
      <w:start w:val="1"/>
      <w:numFmt w:val="decimal"/>
      <w:lvlText w:val="%9."/>
      <w:lvlJc w:val="left"/>
      <w:pPr>
        <w:tabs>
          <w:tab w:val="num" w:pos="6480"/>
        </w:tabs>
        <w:ind w:left="6480" w:hanging="360"/>
      </w:pPr>
    </w:lvl>
  </w:abstractNum>
  <w:abstractNum w:abstractNumId="48">
    <w:nsid w:val="7CDF3CFF"/>
    <w:multiLevelType w:val="hybridMultilevel"/>
    <w:tmpl w:val="72B02C76"/>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9">
    <w:nsid w:val="7E29463A"/>
    <w:multiLevelType w:val="hybridMultilevel"/>
    <w:tmpl w:val="6BEEF3D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3"/>
  </w:num>
  <w:num w:numId="2">
    <w:abstractNumId w:val="3"/>
  </w:num>
  <w:num w:numId="3">
    <w:abstractNumId w:val="36"/>
  </w:num>
  <w:num w:numId="4">
    <w:abstractNumId w:val="34"/>
  </w:num>
  <w:num w:numId="5">
    <w:abstractNumId w:val="8"/>
  </w:num>
  <w:num w:numId="6">
    <w:abstractNumId w:val="11"/>
  </w:num>
  <w:num w:numId="7">
    <w:abstractNumId w:val="1"/>
  </w:num>
  <w:num w:numId="8">
    <w:abstractNumId w:val="7"/>
  </w:num>
  <w:num w:numId="9">
    <w:abstractNumId w:val="25"/>
  </w:num>
  <w:num w:numId="10">
    <w:abstractNumId w:val="2"/>
  </w:num>
  <w:num w:numId="11">
    <w:abstractNumId w:val="27"/>
  </w:num>
  <w:num w:numId="12">
    <w:abstractNumId w:val="49"/>
  </w:num>
  <w:num w:numId="13">
    <w:abstractNumId w:val="46"/>
  </w:num>
  <w:num w:numId="14">
    <w:abstractNumId w:val="37"/>
  </w:num>
  <w:num w:numId="15">
    <w:abstractNumId w:val="9"/>
  </w:num>
  <w:num w:numId="16">
    <w:abstractNumId w:val="42"/>
  </w:num>
  <w:num w:numId="17">
    <w:abstractNumId w:val="32"/>
  </w:num>
  <w:num w:numId="18">
    <w:abstractNumId w:val="22"/>
  </w:num>
  <w:num w:numId="19">
    <w:abstractNumId w:val="17"/>
  </w:num>
  <w:num w:numId="20">
    <w:abstractNumId w:val="5"/>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6"/>
  </w:num>
  <w:num w:numId="28">
    <w:abstractNumId w:val="48"/>
  </w:num>
  <w:num w:numId="29">
    <w:abstractNumId w:val="39"/>
  </w:num>
  <w:num w:numId="30">
    <w:abstractNumId w:val="43"/>
  </w:num>
  <w:num w:numId="31">
    <w:abstractNumId w:val="18"/>
  </w:num>
  <w:num w:numId="32">
    <w:abstractNumId w:val="31"/>
  </w:num>
  <w:num w:numId="33">
    <w:abstractNumId w:val="13"/>
  </w:num>
  <w:num w:numId="34">
    <w:abstractNumId w:val="35"/>
  </w:num>
  <w:num w:numId="35">
    <w:abstractNumId w:val="19"/>
  </w:num>
  <w:num w:numId="36">
    <w:abstractNumId w:val="38"/>
  </w:num>
  <w:num w:numId="37">
    <w:abstractNumId w:val="26"/>
  </w:num>
  <w:num w:numId="38">
    <w:abstractNumId w:val="41"/>
  </w:num>
  <w:num w:numId="39">
    <w:abstractNumId w:val="0"/>
  </w:num>
  <w:num w:numId="40">
    <w:abstractNumId w:val="20"/>
  </w:num>
  <w:num w:numId="41">
    <w:abstractNumId w:val="40"/>
  </w:num>
  <w:num w:numId="42">
    <w:abstractNumId w:val="4"/>
  </w:num>
  <w:num w:numId="43">
    <w:abstractNumId w:val="29"/>
  </w:num>
  <w:num w:numId="44">
    <w:abstractNumId w:val="14"/>
  </w:num>
  <w:num w:numId="45">
    <w:abstractNumId w:val="44"/>
  </w:num>
  <w:num w:numId="46">
    <w:abstractNumId w:val="47"/>
  </w:num>
  <w:num w:numId="47">
    <w:abstractNumId w:val="45"/>
  </w:num>
  <w:num w:numId="48">
    <w:abstractNumId w:val="24"/>
  </w:num>
  <w:num w:numId="49">
    <w:abstractNumId w:val="12"/>
  </w:num>
  <w:num w:numId="50">
    <w:abstractNumId w:val="10"/>
  </w:num>
  <w:num w:numId="51">
    <w:abstractNumId w:val="6"/>
  </w:num>
  <w:num w:numId="52">
    <w:abstractNumId w:val="30"/>
  </w:num>
  <w:num w:numId="53">
    <w:abstractNumId w:val="21"/>
  </w:num>
  <w:num w:numId="54">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oNotHyphenateCaps/>
  <w:noPunctuationKerning/>
  <w:characterSpacingControl w:val="doNotCompress"/>
  <w:doNotValidateAgainstSchema/>
  <w:doNotDemarcateInvalidXml/>
  <w:hdrShapeDefaults>
    <o:shapedefaults v:ext="edit" spidmax="6554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069"/>
    <w:rsid w:val="0000047F"/>
    <w:rsid w:val="000006D2"/>
    <w:rsid w:val="00000FE7"/>
    <w:rsid w:val="000012DD"/>
    <w:rsid w:val="0000154D"/>
    <w:rsid w:val="000015BF"/>
    <w:rsid w:val="000026D0"/>
    <w:rsid w:val="00002DFA"/>
    <w:rsid w:val="00002F27"/>
    <w:rsid w:val="0000303B"/>
    <w:rsid w:val="000034A6"/>
    <w:rsid w:val="00003A9F"/>
    <w:rsid w:val="00003FF5"/>
    <w:rsid w:val="0000423D"/>
    <w:rsid w:val="000047E4"/>
    <w:rsid w:val="00005607"/>
    <w:rsid w:val="00006863"/>
    <w:rsid w:val="00006B3B"/>
    <w:rsid w:val="00006C01"/>
    <w:rsid w:val="00006F66"/>
    <w:rsid w:val="00007058"/>
    <w:rsid w:val="000077C7"/>
    <w:rsid w:val="00007BD0"/>
    <w:rsid w:val="0001042A"/>
    <w:rsid w:val="00010672"/>
    <w:rsid w:val="000109D7"/>
    <w:rsid w:val="00010EC9"/>
    <w:rsid w:val="00011491"/>
    <w:rsid w:val="000119D5"/>
    <w:rsid w:val="00012085"/>
    <w:rsid w:val="000125AC"/>
    <w:rsid w:val="00012C17"/>
    <w:rsid w:val="00012FF2"/>
    <w:rsid w:val="00013174"/>
    <w:rsid w:val="000138C0"/>
    <w:rsid w:val="00013A12"/>
    <w:rsid w:val="00013AD9"/>
    <w:rsid w:val="00013BFF"/>
    <w:rsid w:val="00014458"/>
    <w:rsid w:val="00014608"/>
    <w:rsid w:val="000147F4"/>
    <w:rsid w:val="00014AB9"/>
    <w:rsid w:val="00014C8E"/>
    <w:rsid w:val="00014F94"/>
    <w:rsid w:val="00015283"/>
    <w:rsid w:val="000156C2"/>
    <w:rsid w:val="00015B14"/>
    <w:rsid w:val="00016C9C"/>
    <w:rsid w:val="00016E58"/>
    <w:rsid w:val="0001743F"/>
    <w:rsid w:val="00020047"/>
    <w:rsid w:val="000206F6"/>
    <w:rsid w:val="00020713"/>
    <w:rsid w:val="00020B7F"/>
    <w:rsid w:val="00020DCF"/>
    <w:rsid w:val="0002185E"/>
    <w:rsid w:val="00021E77"/>
    <w:rsid w:val="00021FC5"/>
    <w:rsid w:val="00021FCA"/>
    <w:rsid w:val="00022100"/>
    <w:rsid w:val="000221CC"/>
    <w:rsid w:val="00022456"/>
    <w:rsid w:val="00023169"/>
    <w:rsid w:val="000232E9"/>
    <w:rsid w:val="000234FE"/>
    <w:rsid w:val="00023E6F"/>
    <w:rsid w:val="00024CBC"/>
    <w:rsid w:val="00025399"/>
    <w:rsid w:val="000261CC"/>
    <w:rsid w:val="00026714"/>
    <w:rsid w:val="00026977"/>
    <w:rsid w:val="00027085"/>
    <w:rsid w:val="00027B8D"/>
    <w:rsid w:val="00027E09"/>
    <w:rsid w:val="000300B8"/>
    <w:rsid w:val="00030D76"/>
    <w:rsid w:val="00030DEB"/>
    <w:rsid w:val="00030F90"/>
    <w:rsid w:val="00031334"/>
    <w:rsid w:val="00031453"/>
    <w:rsid w:val="000317BC"/>
    <w:rsid w:val="000317F9"/>
    <w:rsid w:val="000318DF"/>
    <w:rsid w:val="00031C7B"/>
    <w:rsid w:val="00031D82"/>
    <w:rsid w:val="0003213B"/>
    <w:rsid w:val="00032390"/>
    <w:rsid w:val="00032C17"/>
    <w:rsid w:val="00033259"/>
    <w:rsid w:val="00033342"/>
    <w:rsid w:val="00033A74"/>
    <w:rsid w:val="00033D2D"/>
    <w:rsid w:val="00033D3C"/>
    <w:rsid w:val="00033D68"/>
    <w:rsid w:val="000341AB"/>
    <w:rsid w:val="000344B3"/>
    <w:rsid w:val="000349E8"/>
    <w:rsid w:val="00034CC9"/>
    <w:rsid w:val="00034DDC"/>
    <w:rsid w:val="000359DA"/>
    <w:rsid w:val="00035B51"/>
    <w:rsid w:val="00035FDA"/>
    <w:rsid w:val="00036114"/>
    <w:rsid w:val="00036C2F"/>
    <w:rsid w:val="00037404"/>
    <w:rsid w:val="0003744D"/>
    <w:rsid w:val="00037997"/>
    <w:rsid w:val="00037AEB"/>
    <w:rsid w:val="00040085"/>
    <w:rsid w:val="00040303"/>
    <w:rsid w:val="0004034D"/>
    <w:rsid w:val="000407D5"/>
    <w:rsid w:val="00040C08"/>
    <w:rsid w:val="000413C4"/>
    <w:rsid w:val="00041831"/>
    <w:rsid w:val="00041D18"/>
    <w:rsid w:val="0004258A"/>
    <w:rsid w:val="00042926"/>
    <w:rsid w:val="00043BA4"/>
    <w:rsid w:val="00043CDA"/>
    <w:rsid w:val="00044165"/>
    <w:rsid w:val="0004430A"/>
    <w:rsid w:val="00044627"/>
    <w:rsid w:val="000446E4"/>
    <w:rsid w:val="000448DF"/>
    <w:rsid w:val="000457B5"/>
    <w:rsid w:val="00046120"/>
    <w:rsid w:val="00046B2D"/>
    <w:rsid w:val="00046BDE"/>
    <w:rsid w:val="0004773B"/>
    <w:rsid w:val="000478E9"/>
    <w:rsid w:val="00050BDB"/>
    <w:rsid w:val="00050CE5"/>
    <w:rsid w:val="00051573"/>
    <w:rsid w:val="00051EBF"/>
    <w:rsid w:val="0005238F"/>
    <w:rsid w:val="000523F7"/>
    <w:rsid w:val="000526A4"/>
    <w:rsid w:val="0005276B"/>
    <w:rsid w:val="00052A6C"/>
    <w:rsid w:val="000537E2"/>
    <w:rsid w:val="00053DE2"/>
    <w:rsid w:val="00054194"/>
    <w:rsid w:val="00054A32"/>
    <w:rsid w:val="00054D9E"/>
    <w:rsid w:val="00054DE9"/>
    <w:rsid w:val="00054FD6"/>
    <w:rsid w:val="00055787"/>
    <w:rsid w:val="000561C7"/>
    <w:rsid w:val="00056513"/>
    <w:rsid w:val="000568B5"/>
    <w:rsid w:val="00056F7A"/>
    <w:rsid w:val="0005739A"/>
    <w:rsid w:val="0005796C"/>
    <w:rsid w:val="00060482"/>
    <w:rsid w:val="000604E7"/>
    <w:rsid w:val="00060679"/>
    <w:rsid w:val="00060680"/>
    <w:rsid w:val="00060E8F"/>
    <w:rsid w:val="000622E7"/>
    <w:rsid w:val="000629AB"/>
    <w:rsid w:val="00062AB6"/>
    <w:rsid w:val="0006315F"/>
    <w:rsid w:val="000634B6"/>
    <w:rsid w:val="00063EB2"/>
    <w:rsid w:val="00064E7C"/>
    <w:rsid w:val="00065824"/>
    <w:rsid w:val="0006589E"/>
    <w:rsid w:val="0006596C"/>
    <w:rsid w:val="00065A51"/>
    <w:rsid w:val="00065AA7"/>
    <w:rsid w:val="00065E95"/>
    <w:rsid w:val="00065F74"/>
    <w:rsid w:val="0006601F"/>
    <w:rsid w:val="00066649"/>
    <w:rsid w:val="0006717E"/>
    <w:rsid w:val="0006778C"/>
    <w:rsid w:val="00067B95"/>
    <w:rsid w:val="00070120"/>
    <w:rsid w:val="00070A63"/>
    <w:rsid w:val="00070D5F"/>
    <w:rsid w:val="00070F3E"/>
    <w:rsid w:val="00071152"/>
    <w:rsid w:val="00071858"/>
    <w:rsid w:val="00071F89"/>
    <w:rsid w:val="00072063"/>
    <w:rsid w:val="00072489"/>
    <w:rsid w:val="000734F4"/>
    <w:rsid w:val="000735D9"/>
    <w:rsid w:val="00073851"/>
    <w:rsid w:val="00073EFC"/>
    <w:rsid w:val="00074103"/>
    <w:rsid w:val="00074233"/>
    <w:rsid w:val="0007470C"/>
    <w:rsid w:val="00074BF9"/>
    <w:rsid w:val="00074C6A"/>
    <w:rsid w:val="000754CF"/>
    <w:rsid w:val="00075A92"/>
    <w:rsid w:val="000761DC"/>
    <w:rsid w:val="00076513"/>
    <w:rsid w:val="00076649"/>
    <w:rsid w:val="000770D6"/>
    <w:rsid w:val="0007726C"/>
    <w:rsid w:val="000773CF"/>
    <w:rsid w:val="00077704"/>
    <w:rsid w:val="00080F1A"/>
    <w:rsid w:val="0008111F"/>
    <w:rsid w:val="00081216"/>
    <w:rsid w:val="00081230"/>
    <w:rsid w:val="0008136D"/>
    <w:rsid w:val="00081417"/>
    <w:rsid w:val="000819DF"/>
    <w:rsid w:val="00081CC8"/>
    <w:rsid w:val="00082B7C"/>
    <w:rsid w:val="00083039"/>
    <w:rsid w:val="000840E2"/>
    <w:rsid w:val="00084CB8"/>
    <w:rsid w:val="00084E72"/>
    <w:rsid w:val="00085179"/>
    <w:rsid w:val="000861D8"/>
    <w:rsid w:val="00086349"/>
    <w:rsid w:val="00087C26"/>
    <w:rsid w:val="00087E41"/>
    <w:rsid w:val="0009025C"/>
    <w:rsid w:val="00090AE2"/>
    <w:rsid w:val="00090B70"/>
    <w:rsid w:val="000913CA"/>
    <w:rsid w:val="000918E1"/>
    <w:rsid w:val="00091FD4"/>
    <w:rsid w:val="00092194"/>
    <w:rsid w:val="000923E0"/>
    <w:rsid w:val="00092DF5"/>
    <w:rsid w:val="00093517"/>
    <w:rsid w:val="000937B3"/>
    <w:rsid w:val="00093F7F"/>
    <w:rsid w:val="000959E8"/>
    <w:rsid w:val="000975F7"/>
    <w:rsid w:val="00097D37"/>
    <w:rsid w:val="00097DD9"/>
    <w:rsid w:val="000A0129"/>
    <w:rsid w:val="000A0209"/>
    <w:rsid w:val="000A02C6"/>
    <w:rsid w:val="000A02EF"/>
    <w:rsid w:val="000A0CAC"/>
    <w:rsid w:val="000A0EFF"/>
    <w:rsid w:val="000A107E"/>
    <w:rsid w:val="000A1234"/>
    <w:rsid w:val="000A23C5"/>
    <w:rsid w:val="000A25C5"/>
    <w:rsid w:val="000A2C95"/>
    <w:rsid w:val="000A2E03"/>
    <w:rsid w:val="000A3006"/>
    <w:rsid w:val="000A3330"/>
    <w:rsid w:val="000A35D3"/>
    <w:rsid w:val="000A37A0"/>
    <w:rsid w:val="000A3A1C"/>
    <w:rsid w:val="000A3AC5"/>
    <w:rsid w:val="000A4351"/>
    <w:rsid w:val="000A45C8"/>
    <w:rsid w:val="000A4B7D"/>
    <w:rsid w:val="000A4D5A"/>
    <w:rsid w:val="000A60E5"/>
    <w:rsid w:val="000A6215"/>
    <w:rsid w:val="000A66C7"/>
    <w:rsid w:val="000A7C3E"/>
    <w:rsid w:val="000B0535"/>
    <w:rsid w:val="000B09FC"/>
    <w:rsid w:val="000B0B47"/>
    <w:rsid w:val="000B0F79"/>
    <w:rsid w:val="000B1C32"/>
    <w:rsid w:val="000B25D8"/>
    <w:rsid w:val="000B2C8D"/>
    <w:rsid w:val="000B32F7"/>
    <w:rsid w:val="000B3FD3"/>
    <w:rsid w:val="000B430F"/>
    <w:rsid w:val="000B4EFA"/>
    <w:rsid w:val="000B53D0"/>
    <w:rsid w:val="000B5C0B"/>
    <w:rsid w:val="000B61C5"/>
    <w:rsid w:val="000B641C"/>
    <w:rsid w:val="000B67C0"/>
    <w:rsid w:val="000B6AD0"/>
    <w:rsid w:val="000B71EB"/>
    <w:rsid w:val="000B76FF"/>
    <w:rsid w:val="000B7CF2"/>
    <w:rsid w:val="000C0248"/>
    <w:rsid w:val="000C05C9"/>
    <w:rsid w:val="000C0AFD"/>
    <w:rsid w:val="000C30BC"/>
    <w:rsid w:val="000C347E"/>
    <w:rsid w:val="000C382A"/>
    <w:rsid w:val="000C3C41"/>
    <w:rsid w:val="000C3DF2"/>
    <w:rsid w:val="000C47B3"/>
    <w:rsid w:val="000C4AAD"/>
    <w:rsid w:val="000C4C21"/>
    <w:rsid w:val="000C574B"/>
    <w:rsid w:val="000C57DF"/>
    <w:rsid w:val="000C59E4"/>
    <w:rsid w:val="000C5D0A"/>
    <w:rsid w:val="000C5D1B"/>
    <w:rsid w:val="000C5F79"/>
    <w:rsid w:val="000C67CC"/>
    <w:rsid w:val="000C69C8"/>
    <w:rsid w:val="000C6C27"/>
    <w:rsid w:val="000C7426"/>
    <w:rsid w:val="000C7A93"/>
    <w:rsid w:val="000D0336"/>
    <w:rsid w:val="000D07E5"/>
    <w:rsid w:val="000D0A03"/>
    <w:rsid w:val="000D0DCD"/>
    <w:rsid w:val="000D16B8"/>
    <w:rsid w:val="000D21AF"/>
    <w:rsid w:val="000D2B97"/>
    <w:rsid w:val="000D2F02"/>
    <w:rsid w:val="000D30A7"/>
    <w:rsid w:val="000D381E"/>
    <w:rsid w:val="000D3AE7"/>
    <w:rsid w:val="000D432E"/>
    <w:rsid w:val="000D49CD"/>
    <w:rsid w:val="000D4BE1"/>
    <w:rsid w:val="000D4DD5"/>
    <w:rsid w:val="000D569F"/>
    <w:rsid w:val="000D5F1B"/>
    <w:rsid w:val="000D645B"/>
    <w:rsid w:val="000D67DC"/>
    <w:rsid w:val="000D7D54"/>
    <w:rsid w:val="000E0314"/>
    <w:rsid w:val="000E0BFB"/>
    <w:rsid w:val="000E0D80"/>
    <w:rsid w:val="000E0EB7"/>
    <w:rsid w:val="000E1109"/>
    <w:rsid w:val="000E155B"/>
    <w:rsid w:val="000E1C7B"/>
    <w:rsid w:val="000E1D6E"/>
    <w:rsid w:val="000E1F6A"/>
    <w:rsid w:val="000E2220"/>
    <w:rsid w:val="000E22DF"/>
    <w:rsid w:val="000E2675"/>
    <w:rsid w:val="000E329D"/>
    <w:rsid w:val="000E330A"/>
    <w:rsid w:val="000E3683"/>
    <w:rsid w:val="000E37CA"/>
    <w:rsid w:val="000E3AA8"/>
    <w:rsid w:val="000E3BC6"/>
    <w:rsid w:val="000E43AB"/>
    <w:rsid w:val="000E4433"/>
    <w:rsid w:val="000E4D3A"/>
    <w:rsid w:val="000E4ED4"/>
    <w:rsid w:val="000E50AD"/>
    <w:rsid w:val="000E566A"/>
    <w:rsid w:val="000E5899"/>
    <w:rsid w:val="000E6720"/>
    <w:rsid w:val="000E693E"/>
    <w:rsid w:val="000E695E"/>
    <w:rsid w:val="000E6AA6"/>
    <w:rsid w:val="000E6BB6"/>
    <w:rsid w:val="000E6DE6"/>
    <w:rsid w:val="000E74CA"/>
    <w:rsid w:val="000E7CBF"/>
    <w:rsid w:val="000E7DA1"/>
    <w:rsid w:val="000E7DD2"/>
    <w:rsid w:val="000F00F9"/>
    <w:rsid w:val="000F03E3"/>
    <w:rsid w:val="000F06B1"/>
    <w:rsid w:val="000F105E"/>
    <w:rsid w:val="000F10A7"/>
    <w:rsid w:val="000F1261"/>
    <w:rsid w:val="000F14C3"/>
    <w:rsid w:val="000F14C6"/>
    <w:rsid w:val="000F14D4"/>
    <w:rsid w:val="000F1B86"/>
    <w:rsid w:val="000F2115"/>
    <w:rsid w:val="000F2179"/>
    <w:rsid w:val="000F2813"/>
    <w:rsid w:val="000F3278"/>
    <w:rsid w:val="000F36CC"/>
    <w:rsid w:val="000F3B5F"/>
    <w:rsid w:val="000F3BA7"/>
    <w:rsid w:val="000F4496"/>
    <w:rsid w:val="000F480A"/>
    <w:rsid w:val="000F4BB3"/>
    <w:rsid w:val="000F4E80"/>
    <w:rsid w:val="000F5397"/>
    <w:rsid w:val="000F547C"/>
    <w:rsid w:val="000F593D"/>
    <w:rsid w:val="000F5D2A"/>
    <w:rsid w:val="000F6A44"/>
    <w:rsid w:val="000F6F92"/>
    <w:rsid w:val="000F7781"/>
    <w:rsid w:val="000F7E4C"/>
    <w:rsid w:val="000F7FC4"/>
    <w:rsid w:val="0010042D"/>
    <w:rsid w:val="0010057A"/>
    <w:rsid w:val="0010133E"/>
    <w:rsid w:val="00101D68"/>
    <w:rsid w:val="0010261D"/>
    <w:rsid w:val="00102A51"/>
    <w:rsid w:val="00103485"/>
    <w:rsid w:val="00103C76"/>
    <w:rsid w:val="00103E5A"/>
    <w:rsid w:val="00103FAD"/>
    <w:rsid w:val="00104057"/>
    <w:rsid w:val="00104159"/>
    <w:rsid w:val="00104E76"/>
    <w:rsid w:val="0010539C"/>
    <w:rsid w:val="00105632"/>
    <w:rsid w:val="00105890"/>
    <w:rsid w:val="00105DCF"/>
    <w:rsid w:val="00105DD3"/>
    <w:rsid w:val="00106539"/>
    <w:rsid w:val="00106815"/>
    <w:rsid w:val="00106E6B"/>
    <w:rsid w:val="001075FB"/>
    <w:rsid w:val="00107924"/>
    <w:rsid w:val="00107DC8"/>
    <w:rsid w:val="00110FD8"/>
    <w:rsid w:val="001123D6"/>
    <w:rsid w:val="0011248C"/>
    <w:rsid w:val="001125A1"/>
    <w:rsid w:val="00112D48"/>
    <w:rsid w:val="001132B5"/>
    <w:rsid w:val="00113FDA"/>
    <w:rsid w:val="00114781"/>
    <w:rsid w:val="00114869"/>
    <w:rsid w:val="0011509F"/>
    <w:rsid w:val="00115399"/>
    <w:rsid w:val="00115731"/>
    <w:rsid w:val="001172A6"/>
    <w:rsid w:val="001174B7"/>
    <w:rsid w:val="001176F2"/>
    <w:rsid w:val="001177E6"/>
    <w:rsid w:val="001179F4"/>
    <w:rsid w:val="00117BBF"/>
    <w:rsid w:val="0012027D"/>
    <w:rsid w:val="00120567"/>
    <w:rsid w:val="00121339"/>
    <w:rsid w:val="001214EC"/>
    <w:rsid w:val="00121D1E"/>
    <w:rsid w:val="00121EB0"/>
    <w:rsid w:val="00122311"/>
    <w:rsid w:val="00122998"/>
    <w:rsid w:val="0012310C"/>
    <w:rsid w:val="001238A3"/>
    <w:rsid w:val="00123FB3"/>
    <w:rsid w:val="001241B9"/>
    <w:rsid w:val="001248E5"/>
    <w:rsid w:val="00125011"/>
    <w:rsid w:val="00125156"/>
    <w:rsid w:val="001254D4"/>
    <w:rsid w:val="001255A5"/>
    <w:rsid w:val="00125621"/>
    <w:rsid w:val="001258AE"/>
    <w:rsid w:val="00125FF5"/>
    <w:rsid w:val="00126394"/>
    <w:rsid w:val="0012667F"/>
    <w:rsid w:val="001267F5"/>
    <w:rsid w:val="00126C3C"/>
    <w:rsid w:val="0012761F"/>
    <w:rsid w:val="00127849"/>
    <w:rsid w:val="00127950"/>
    <w:rsid w:val="001279C4"/>
    <w:rsid w:val="00127D81"/>
    <w:rsid w:val="001306D8"/>
    <w:rsid w:val="0013193D"/>
    <w:rsid w:val="00132109"/>
    <w:rsid w:val="001323D4"/>
    <w:rsid w:val="00132841"/>
    <w:rsid w:val="00132C25"/>
    <w:rsid w:val="00132DA1"/>
    <w:rsid w:val="00132E7F"/>
    <w:rsid w:val="0013374D"/>
    <w:rsid w:val="00133ED6"/>
    <w:rsid w:val="00134488"/>
    <w:rsid w:val="001346F4"/>
    <w:rsid w:val="00134C67"/>
    <w:rsid w:val="001367DD"/>
    <w:rsid w:val="00136898"/>
    <w:rsid w:val="00136C20"/>
    <w:rsid w:val="00137504"/>
    <w:rsid w:val="00137696"/>
    <w:rsid w:val="00137A9B"/>
    <w:rsid w:val="00137D76"/>
    <w:rsid w:val="001406FE"/>
    <w:rsid w:val="00140960"/>
    <w:rsid w:val="00140B2F"/>
    <w:rsid w:val="00140DDA"/>
    <w:rsid w:val="001414FB"/>
    <w:rsid w:val="00141725"/>
    <w:rsid w:val="001419E6"/>
    <w:rsid w:val="00141F58"/>
    <w:rsid w:val="00142342"/>
    <w:rsid w:val="00143087"/>
    <w:rsid w:val="001430D1"/>
    <w:rsid w:val="00143169"/>
    <w:rsid w:val="00143242"/>
    <w:rsid w:val="00143717"/>
    <w:rsid w:val="001437C2"/>
    <w:rsid w:val="001440B0"/>
    <w:rsid w:val="00144266"/>
    <w:rsid w:val="00144881"/>
    <w:rsid w:val="00144892"/>
    <w:rsid w:val="00145253"/>
    <w:rsid w:val="001459A8"/>
    <w:rsid w:val="00146976"/>
    <w:rsid w:val="00147033"/>
    <w:rsid w:val="00147242"/>
    <w:rsid w:val="00147529"/>
    <w:rsid w:val="00147B4B"/>
    <w:rsid w:val="00147E0E"/>
    <w:rsid w:val="001500FF"/>
    <w:rsid w:val="00151CB3"/>
    <w:rsid w:val="00151DE3"/>
    <w:rsid w:val="00152970"/>
    <w:rsid w:val="001530C9"/>
    <w:rsid w:val="00153546"/>
    <w:rsid w:val="00154498"/>
    <w:rsid w:val="00154569"/>
    <w:rsid w:val="00154BD5"/>
    <w:rsid w:val="00155091"/>
    <w:rsid w:val="001550F0"/>
    <w:rsid w:val="0015554A"/>
    <w:rsid w:val="00155560"/>
    <w:rsid w:val="001559A1"/>
    <w:rsid w:val="00155BF2"/>
    <w:rsid w:val="001561D8"/>
    <w:rsid w:val="00156680"/>
    <w:rsid w:val="00156BCF"/>
    <w:rsid w:val="00157321"/>
    <w:rsid w:val="0015740A"/>
    <w:rsid w:val="00157AF0"/>
    <w:rsid w:val="00157D7C"/>
    <w:rsid w:val="00160179"/>
    <w:rsid w:val="00160253"/>
    <w:rsid w:val="001618DA"/>
    <w:rsid w:val="00161BD1"/>
    <w:rsid w:val="00161FB0"/>
    <w:rsid w:val="00162253"/>
    <w:rsid w:val="00162348"/>
    <w:rsid w:val="0016260A"/>
    <w:rsid w:val="0016285F"/>
    <w:rsid w:val="00162CED"/>
    <w:rsid w:val="00162ED2"/>
    <w:rsid w:val="00162F7E"/>
    <w:rsid w:val="00163576"/>
    <w:rsid w:val="00163F65"/>
    <w:rsid w:val="001642CA"/>
    <w:rsid w:val="001645BA"/>
    <w:rsid w:val="00164E76"/>
    <w:rsid w:val="001657B6"/>
    <w:rsid w:val="00165F09"/>
    <w:rsid w:val="00166698"/>
    <w:rsid w:val="00166D70"/>
    <w:rsid w:val="00167400"/>
    <w:rsid w:val="00167502"/>
    <w:rsid w:val="00167897"/>
    <w:rsid w:val="00167E65"/>
    <w:rsid w:val="001702A2"/>
    <w:rsid w:val="00170B1B"/>
    <w:rsid w:val="00170F08"/>
    <w:rsid w:val="0017169D"/>
    <w:rsid w:val="001717DD"/>
    <w:rsid w:val="00171828"/>
    <w:rsid w:val="0017212B"/>
    <w:rsid w:val="00172D06"/>
    <w:rsid w:val="00172F2D"/>
    <w:rsid w:val="00173093"/>
    <w:rsid w:val="00173180"/>
    <w:rsid w:val="0017367D"/>
    <w:rsid w:val="0017384D"/>
    <w:rsid w:val="001740EC"/>
    <w:rsid w:val="001744CB"/>
    <w:rsid w:val="00174B61"/>
    <w:rsid w:val="00175763"/>
    <w:rsid w:val="001759EF"/>
    <w:rsid w:val="001760E8"/>
    <w:rsid w:val="00176254"/>
    <w:rsid w:val="00177B0B"/>
    <w:rsid w:val="00180355"/>
    <w:rsid w:val="00180729"/>
    <w:rsid w:val="00180AAA"/>
    <w:rsid w:val="0018100A"/>
    <w:rsid w:val="001819B5"/>
    <w:rsid w:val="00181D91"/>
    <w:rsid w:val="00181E03"/>
    <w:rsid w:val="00182416"/>
    <w:rsid w:val="0018289C"/>
    <w:rsid w:val="00182A58"/>
    <w:rsid w:val="00182DC2"/>
    <w:rsid w:val="001833EF"/>
    <w:rsid w:val="001834B9"/>
    <w:rsid w:val="0018372E"/>
    <w:rsid w:val="0018398E"/>
    <w:rsid w:val="001844E0"/>
    <w:rsid w:val="001848CB"/>
    <w:rsid w:val="00185741"/>
    <w:rsid w:val="00185D09"/>
    <w:rsid w:val="00185D0E"/>
    <w:rsid w:val="00185E72"/>
    <w:rsid w:val="0018667C"/>
    <w:rsid w:val="00186CF0"/>
    <w:rsid w:val="001903E1"/>
    <w:rsid w:val="001920B5"/>
    <w:rsid w:val="0019224E"/>
    <w:rsid w:val="00192DE9"/>
    <w:rsid w:val="00193BD3"/>
    <w:rsid w:val="00193EF4"/>
    <w:rsid w:val="0019409B"/>
    <w:rsid w:val="001941E7"/>
    <w:rsid w:val="001949E2"/>
    <w:rsid w:val="00195B4C"/>
    <w:rsid w:val="00196317"/>
    <w:rsid w:val="001963AA"/>
    <w:rsid w:val="00196439"/>
    <w:rsid w:val="00197495"/>
    <w:rsid w:val="00197611"/>
    <w:rsid w:val="001A00C5"/>
    <w:rsid w:val="001A096E"/>
    <w:rsid w:val="001A1C02"/>
    <w:rsid w:val="001A208F"/>
    <w:rsid w:val="001A24CD"/>
    <w:rsid w:val="001A2711"/>
    <w:rsid w:val="001A2812"/>
    <w:rsid w:val="001A2A64"/>
    <w:rsid w:val="001A2AE7"/>
    <w:rsid w:val="001A2CFD"/>
    <w:rsid w:val="001A2E65"/>
    <w:rsid w:val="001A31DE"/>
    <w:rsid w:val="001A32E2"/>
    <w:rsid w:val="001A3654"/>
    <w:rsid w:val="001A3734"/>
    <w:rsid w:val="001A3D04"/>
    <w:rsid w:val="001A46A3"/>
    <w:rsid w:val="001A4EB0"/>
    <w:rsid w:val="001A5124"/>
    <w:rsid w:val="001A5A94"/>
    <w:rsid w:val="001A5DAF"/>
    <w:rsid w:val="001A6658"/>
    <w:rsid w:val="001A666F"/>
    <w:rsid w:val="001A6B97"/>
    <w:rsid w:val="001A7079"/>
    <w:rsid w:val="001A7725"/>
    <w:rsid w:val="001A786D"/>
    <w:rsid w:val="001A7C96"/>
    <w:rsid w:val="001B0660"/>
    <w:rsid w:val="001B0DE1"/>
    <w:rsid w:val="001B10B5"/>
    <w:rsid w:val="001B157F"/>
    <w:rsid w:val="001B2A81"/>
    <w:rsid w:val="001B2D85"/>
    <w:rsid w:val="001B32DB"/>
    <w:rsid w:val="001B36A0"/>
    <w:rsid w:val="001B3B55"/>
    <w:rsid w:val="001B3CC2"/>
    <w:rsid w:val="001B4529"/>
    <w:rsid w:val="001B4B71"/>
    <w:rsid w:val="001B4B8A"/>
    <w:rsid w:val="001B5D4F"/>
    <w:rsid w:val="001B616C"/>
    <w:rsid w:val="001B61AE"/>
    <w:rsid w:val="001B63A5"/>
    <w:rsid w:val="001C0410"/>
    <w:rsid w:val="001C0C20"/>
    <w:rsid w:val="001C1AD9"/>
    <w:rsid w:val="001C1B4B"/>
    <w:rsid w:val="001C1FD6"/>
    <w:rsid w:val="001C236D"/>
    <w:rsid w:val="001C3A3B"/>
    <w:rsid w:val="001C3FF6"/>
    <w:rsid w:val="001C576D"/>
    <w:rsid w:val="001C5B77"/>
    <w:rsid w:val="001C61AF"/>
    <w:rsid w:val="001C6248"/>
    <w:rsid w:val="001C644B"/>
    <w:rsid w:val="001C68F7"/>
    <w:rsid w:val="001C6B19"/>
    <w:rsid w:val="001C74EC"/>
    <w:rsid w:val="001C7824"/>
    <w:rsid w:val="001C7B9C"/>
    <w:rsid w:val="001D0858"/>
    <w:rsid w:val="001D0C2E"/>
    <w:rsid w:val="001D0F76"/>
    <w:rsid w:val="001D10B9"/>
    <w:rsid w:val="001D19CC"/>
    <w:rsid w:val="001D3D6A"/>
    <w:rsid w:val="001D3FF2"/>
    <w:rsid w:val="001D40C4"/>
    <w:rsid w:val="001D4CA3"/>
    <w:rsid w:val="001D4F4F"/>
    <w:rsid w:val="001D6E75"/>
    <w:rsid w:val="001D750C"/>
    <w:rsid w:val="001D7D5D"/>
    <w:rsid w:val="001D7F11"/>
    <w:rsid w:val="001E0B77"/>
    <w:rsid w:val="001E0CF3"/>
    <w:rsid w:val="001E0FB3"/>
    <w:rsid w:val="001E167F"/>
    <w:rsid w:val="001E1B55"/>
    <w:rsid w:val="001E22FD"/>
    <w:rsid w:val="001E25DC"/>
    <w:rsid w:val="001E26A5"/>
    <w:rsid w:val="001E3374"/>
    <w:rsid w:val="001E35B4"/>
    <w:rsid w:val="001E3970"/>
    <w:rsid w:val="001E3E62"/>
    <w:rsid w:val="001E49DC"/>
    <w:rsid w:val="001E4AA8"/>
    <w:rsid w:val="001E4B6A"/>
    <w:rsid w:val="001E4B8F"/>
    <w:rsid w:val="001E4FF1"/>
    <w:rsid w:val="001E51D1"/>
    <w:rsid w:val="001E5224"/>
    <w:rsid w:val="001E5FE6"/>
    <w:rsid w:val="001E612D"/>
    <w:rsid w:val="001E69BA"/>
    <w:rsid w:val="001E6AFC"/>
    <w:rsid w:val="001E7DAF"/>
    <w:rsid w:val="001F02E4"/>
    <w:rsid w:val="001F052B"/>
    <w:rsid w:val="001F058F"/>
    <w:rsid w:val="001F141B"/>
    <w:rsid w:val="001F151F"/>
    <w:rsid w:val="001F155F"/>
    <w:rsid w:val="001F197F"/>
    <w:rsid w:val="001F1F9A"/>
    <w:rsid w:val="001F240F"/>
    <w:rsid w:val="001F25DD"/>
    <w:rsid w:val="001F2637"/>
    <w:rsid w:val="001F3047"/>
    <w:rsid w:val="001F31B0"/>
    <w:rsid w:val="001F344B"/>
    <w:rsid w:val="001F3480"/>
    <w:rsid w:val="001F4090"/>
    <w:rsid w:val="001F449D"/>
    <w:rsid w:val="001F46A7"/>
    <w:rsid w:val="001F4B82"/>
    <w:rsid w:val="001F4FD9"/>
    <w:rsid w:val="001F5390"/>
    <w:rsid w:val="001F6476"/>
    <w:rsid w:val="001F64C9"/>
    <w:rsid w:val="001F678F"/>
    <w:rsid w:val="001F68BC"/>
    <w:rsid w:val="001F6CD3"/>
    <w:rsid w:val="001F73BC"/>
    <w:rsid w:val="001F73F4"/>
    <w:rsid w:val="001F74E8"/>
    <w:rsid w:val="002000C7"/>
    <w:rsid w:val="002004B5"/>
    <w:rsid w:val="00200789"/>
    <w:rsid w:val="002009E5"/>
    <w:rsid w:val="00201642"/>
    <w:rsid w:val="00201908"/>
    <w:rsid w:val="00201A93"/>
    <w:rsid w:val="00202469"/>
    <w:rsid w:val="00202558"/>
    <w:rsid w:val="002025ED"/>
    <w:rsid w:val="00202B2B"/>
    <w:rsid w:val="00203083"/>
    <w:rsid w:val="00204CC6"/>
    <w:rsid w:val="00205974"/>
    <w:rsid w:val="00205DE3"/>
    <w:rsid w:val="0020685A"/>
    <w:rsid w:val="00206EA1"/>
    <w:rsid w:val="0020716C"/>
    <w:rsid w:val="0020786D"/>
    <w:rsid w:val="00207A9C"/>
    <w:rsid w:val="00210466"/>
    <w:rsid w:val="00210C30"/>
    <w:rsid w:val="00211C22"/>
    <w:rsid w:val="002120B5"/>
    <w:rsid w:val="00212750"/>
    <w:rsid w:val="00212BEF"/>
    <w:rsid w:val="00212E20"/>
    <w:rsid w:val="00213517"/>
    <w:rsid w:val="0021353B"/>
    <w:rsid w:val="00213633"/>
    <w:rsid w:val="0021373C"/>
    <w:rsid w:val="0021398F"/>
    <w:rsid w:val="00213A90"/>
    <w:rsid w:val="00213B91"/>
    <w:rsid w:val="002143ED"/>
    <w:rsid w:val="00215200"/>
    <w:rsid w:val="00216069"/>
    <w:rsid w:val="00216902"/>
    <w:rsid w:val="00216B3D"/>
    <w:rsid w:val="002174C6"/>
    <w:rsid w:val="00217643"/>
    <w:rsid w:val="00217AE1"/>
    <w:rsid w:val="00217BA0"/>
    <w:rsid w:val="00217BC0"/>
    <w:rsid w:val="00217F26"/>
    <w:rsid w:val="00220117"/>
    <w:rsid w:val="00220559"/>
    <w:rsid w:val="00220E0D"/>
    <w:rsid w:val="002214BA"/>
    <w:rsid w:val="0022150B"/>
    <w:rsid w:val="00221DAD"/>
    <w:rsid w:val="00221F1D"/>
    <w:rsid w:val="002224B8"/>
    <w:rsid w:val="00222677"/>
    <w:rsid w:val="002236FA"/>
    <w:rsid w:val="00223745"/>
    <w:rsid w:val="00224235"/>
    <w:rsid w:val="0022459D"/>
    <w:rsid w:val="00224FE9"/>
    <w:rsid w:val="00225554"/>
    <w:rsid w:val="00225A73"/>
    <w:rsid w:val="00225C77"/>
    <w:rsid w:val="00226281"/>
    <w:rsid w:val="002268B8"/>
    <w:rsid w:val="00226B44"/>
    <w:rsid w:val="0022714E"/>
    <w:rsid w:val="0022756D"/>
    <w:rsid w:val="00227A42"/>
    <w:rsid w:val="002305B6"/>
    <w:rsid w:val="00230F98"/>
    <w:rsid w:val="002316B2"/>
    <w:rsid w:val="00231DE7"/>
    <w:rsid w:val="0023201E"/>
    <w:rsid w:val="00232125"/>
    <w:rsid w:val="00232433"/>
    <w:rsid w:val="00232566"/>
    <w:rsid w:val="00232DF6"/>
    <w:rsid w:val="00233E21"/>
    <w:rsid w:val="00234ACC"/>
    <w:rsid w:val="00234B68"/>
    <w:rsid w:val="00235259"/>
    <w:rsid w:val="00235459"/>
    <w:rsid w:val="002356B1"/>
    <w:rsid w:val="00236551"/>
    <w:rsid w:val="00236BC0"/>
    <w:rsid w:val="00236C76"/>
    <w:rsid w:val="002372D8"/>
    <w:rsid w:val="002374FC"/>
    <w:rsid w:val="0023760C"/>
    <w:rsid w:val="00237B8A"/>
    <w:rsid w:val="00240184"/>
    <w:rsid w:val="00240A37"/>
    <w:rsid w:val="00240E0C"/>
    <w:rsid w:val="0024124E"/>
    <w:rsid w:val="00241592"/>
    <w:rsid w:val="00241F07"/>
    <w:rsid w:val="002426BF"/>
    <w:rsid w:val="002427BB"/>
    <w:rsid w:val="00242856"/>
    <w:rsid w:val="002428ED"/>
    <w:rsid w:val="00242EEA"/>
    <w:rsid w:val="00243A8E"/>
    <w:rsid w:val="00244016"/>
    <w:rsid w:val="00244E28"/>
    <w:rsid w:val="00244F3A"/>
    <w:rsid w:val="00244FA0"/>
    <w:rsid w:val="002461B0"/>
    <w:rsid w:val="00246F58"/>
    <w:rsid w:val="00247602"/>
    <w:rsid w:val="00247C2C"/>
    <w:rsid w:val="00247DF8"/>
    <w:rsid w:val="00250000"/>
    <w:rsid w:val="00250A7A"/>
    <w:rsid w:val="00250AB1"/>
    <w:rsid w:val="00250E3C"/>
    <w:rsid w:val="00251EB0"/>
    <w:rsid w:val="002520A3"/>
    <w:rsid w:val="00252245"/>
    <w:rsid w:val="0025268D"/>
    <w:rsid w:val="00253707"/>
    <w:rsid w:val="0025382B"/>
    <w:rsid w:val="0025390B"/>
    <w:rsid w:val="00253A2D"/>
    <w:rsid w:val="0025400C"/>
    <w:rsid w:val="0025420C"/>
    <w:rsid w:val="002545D0"/>
    <w:rsid w:val="002552C7"/>
    <w:rsid w:val="002559A5"/>
    <w:rsid w:val="002559B4"/>
    <w:rsid w:val="0025641A"/>
    <w:rsid w:val="00256589"/>
    <w:rsid w:val="0025676F"/>
    <w:rsid w:val="00256A04"/>
    <w:rsid w:val="00257085"/>
    <w:rsid w:val="00257167"/>
    <w:rsid w:val="00257330"/>
    <w:rsid w:val="00257ABF"/>
    <w:rsid w:val="00257BE5"/>
    <w:rsid w:val="0026099B"/>
    <w:rsid w:val="00260A45"/>
    <w:rsid w:val="00260B50"/>
    <w:rsid w:val="00260E7F"/>
    <w:rsid w:val="0026182A"/>
    <w:rsid w:val="00261C09"/>
    <w:rsid w:val="002620BE"/>
    <w:rsid w:val="0026281D"/>
    <w:rsid w:val="00262B01"/>
    <w:rsid w:val="00262E5E"/>
    <w:rsid w:val="0026331C"/>
    <w:rsid w:val="00263422"/>
    <w:rsid w:val="00263A9D"/>
    <w:rsid w:val="00263B3A"/>
    <w:rsid w:val="00264215"/>
    <w:rsid w:val="00264277"/>
    <w:rsid w:val="0026532B"/>
    <w:rsid w:val="0026543C"/>
    <w:rsid w:val="00265513"/>
    <w:rsid w:val="0026599C"/>
    <w:rsid w:val="002662A2"/>
    <w:rsid w:val="0026633C"/>
    <w:rsid w:val="00266730"/>
    <w:rsid w:val="00267128"/>
    <w:rsid w:val="00267361"/>
    <w:rsid w:val="002678E4"/>
    <w:rsid w:val="00267DE7"/>
    <w:rsid w:val="00267F41"/>
    <w:rsid w:val="00270132"/>
    <w:rsid w:val="00270DC3"/>
    <w:rsid w:val="00270F04"/>
    <w:rsid w:val="002712F3"/>
    <w:rsid w:val="00271502"/>
    <w:rsid w:val="002715F0"/>
    <w:rsid w:val="00271C02"/>
    <w:rsid w:val="00271CF2"/>
    <w:rsid w:val="00271DBF"/>
    <w:rsid w:val="00272183"/>
    <w:rsid w:val="0027277E"/>
    <w:rsid w:val="00272937"/>
    <w:rsid w:val="00272C73"/>
    <w:rsid w:val="00273005"/>
    <w:rsid w:val="0027300D"/>
    <w:rsid w:val="00273314"/>
    <w:rsid w:val="00274209"/>
    <w:rsid w:val="002749FB"/>
    <w:rsid w:val="00274F2B"/>
    <w:rsid w:val="00275065"/>
    <w:rsid w:val="00276B89"/>
    <w:rsid w:val="00276D77"/>
    <w:rsid w:val="0027721D"/>
    <w:rsid w:val="00280042"/>
    <w:rsid w:val="00280659"/>
    <w:rsid w:val="0028139B"/>
    <w:rsid w:val="00282067"/>
    <w:rsid w:val="00282130"/>
    <w:rsid w:val="00282177"/>
    <w:rsid w:val="00282800"/>
    <w:rsid w:val="00284592"/>
    <w:rsid w:val="0028461B"/>
    <w:rsid w:val="00284889"/>
    <w:rsid w:val="00284D28"/>
    <w:rsid w:val="0028512B"/>
    <w:rsid w:val="00285D1A"/>
    <w:rsid w:val="00285F60"/>
    <w:rsid w:val="002864DA"/>
    <w:rsid w:val="002873DC"/>
    <w:rsid w:val="00287449"/>
    <w:rsid w:val="00287B80"/>
    <w:rsid w:val="00287F41"/>
    <w:rsid w:val="00290146"/>
    <w:rsid w:val="00290517"/>
    <w:rsid w:val="002908E9"/>
    <w:rsid w:val="00291095"/>
    <w:rsid w:val="0029137E"/>
    <w:rsid w:val="002914DE"/>
    <w:rsid w:val="0029193E"/>
    <w:rsid w:val="00291E13"/>
    <w:rsid w:val="0029216A"/>
    <w:rsid w:val="002929E2"/>
    <w:rsid w:val="00292A9C"/>
    <w:rsid w:val="002938BD"/>
    <w:rsid w:val="00293C10"/>
    <w:rsid w:val="00294032"/>
    <w:rsid w:val="00294126"/>
    <w:rsid w:val="002945DC"/>
    <w:rsid w:val="00294947"/>
    <w:rsid w:val="00294A44"/>
    <w:rsid w:val="00294A6C"/>
    <w:rsid w:val="00294D87"/>
    <w:rsid w:val="002952BA"/>
    <w:rsid w:val="002959B8"/>
    <w:rsid w:val="00295D85"/>
    <w:rsid w:val="00296819"/>
    <w:rsid w:val="0029725A"/>
    <w:rsid w:val="00297530"/>
    <w:rsid w:val="002978F8"/>
    <w:rsid w:val="00297B4B"/>
    <w:rsid w:val="002A009D"/>
    <w:rsid w:val="002A0831"/>
    <w:rsid w:val="002A094A"/>
    <w:rsid w:val="002A0A6C"/>
    <w:rsid w:val="002A254E"/>
    <w:rsid w:val="002A2BF6"/>
    <w:rsid w:val="002A2FCD"/>
    <w:rsid w:val="002A42D4"/>
    <w:rsid w:val="002A431F"/>
    <w:rsid w:val="002A447C"/>
    <w:rsid w:val="002A482E"/>
    <w:rsid w:val="002A4B25"/>
    <w:rsid w:val="002A4C6F"/>
    <w:rsid w:val="002A4F73"/>
    <w:rsid w:val="002A58A9"/>
    <w:rsid w:val="002A5DD1"/>
    <w:rsid w:val="002A60B3"/>
    <w:rsid w:val="002A6143"/>
    <w:rsid w:val="002A6209"/>
    <w:rsid w:val="002A67F5"/>
    <w:rsid w:val="002A68AA"/>
    <w:rsid w:val="002A6CB7"/>
    <w:rsid w:val="002A79FF"/>
    <w:rsid w:val="002A7FB8"/>
    <w:rsid w:val="002B0726"/>
    <w:rsid w:val="002B078D"/>
    <w:rsid w:val="002B08ED"/>
    <w:rsid w:val="002B0937"/>
    <w:rsid w:val="002B1626"/>
    <w:rsid w:val="002B18CF"/>
    <w:rsid w:val="002B1A71"/>
    <w:rsid w:val="002B2071"/>
    <w:rsid w:val="002B26AC"/>
    <w:rsid w:val="002B2E9B"/>
    <w:rsid w:val="002B30CD"/>
    <w:rsid w:val="002B310B"/>
    <w:rsid w:val="002B3284"/>
    <w:rsid w:val="002B3EBF"/>
    <w:rsid w:val="002B3FF3"/>
    <w:rsid w:val="002B42FC"/>
    <w:rsid w:val="002B46B6"/>
    <w:rsid w:val="002B48A6"/>
    <w:rsid w:val="002B5199"/>
    <w:rsid w:val="002B5358"/>
    <w:rsid w:val="002B5AF4"/>
    <w:rsid w:val="002B5FB2"/>
    <w:rsid w:val="002B6637"/>
    <w:rsid w:val="002B6725"/>
    <w:rsid w:val="002B6BB5"/>
    <w:rsid w:val="002B6BD1"/>
    <w:rsid w:val="002B7140"/>
    <w:rsid w:val="002B72A6"/>
    <w:rsid w:val="002B7495"/>
    <w:rsid w:val="002B7600"/>
    <w:rsid w:val="002B7721"/>
    <w:rsid w:val="002B78B6"/>
    <w:rsid w:val="002B7A7E"/>
    <w:rsid w:val="002B7D6B"/>
    <w:rsid w:val="002B7DBE"/>
    <w:rsid w:val="002C0288"/>
    <w:rsid w:val="002C0ADD"/>
    <w:rsid w:val="002C1177"/>
    <w:rsid w:val="002C1697"/>
    <w:rsid w:val="002C1874"/>
    <w:rsid w:val="002C18B3"/>
    <w:rsid w:val="002C26CF"/>
    <w:rsid w:val="002C2876"/>
    <w:rsid w:val="002C36EF"/>
    <w:rsid w:val="002C3A51"/>
    <w:rsid w:val="002C408D"/>
    <w:rsid w:val="002C4729"/>
    <w:rsid w:val="002C4A8A"/>
    <w:rsid w:val="002C4B2A"/>
    <w:rsid w:val="002C5038"/>
    <w:rsid w:val="002C5CD5"/>
    <w:rsid w:val="002C5E09"/>
    <w:rsid w:val="002C5F40"/>
    <w:rsid w:val="002C6749"/>
    <w:rsid w:val="002C7040"/>
    <w:rsid w:val="002C7078"/>
    <w:rsid w:val="002C721A"/>
    <w:rsid w:val="002C7AC8"/>
    <w:rsid w:val="002C7C60"/>
    <w:rsid w:val="002D0337"/>
    <w:rsid w:val="002D0B4C"/>
    <w:rsid w:val="002D0C07"/>
    <w:rsid w:val="002D1012"/>
    <w:rsid w:val="002D1185"/>
    <w:rsid w:val="002D180D"/>
    <w:rsid w:val="002D18EA"/>
    <w:rsid w:val="002D2375"/>
    <w:rsid w:val="002D24D5"/>
    <w:rsid w:val="002D2823"/>
    <w:rsid w:val="002D2CC0"/>
    <w:rsid w:val="002D4402"/>
    <w:rsid w:val="002D4A60"/>
    <w:rsid w:val="002D4E61"/>
    <w:rsid w:val="002D5207"/>
    <w:rsid w:val="002D6187"/>
    <w:rsid w:val="002D7583"/>
    <w:rsid w:val="002D7796"/>
    <w:rsid w:val="002D7815"/>
    <w:rsid w:val="002D7BCB"/>
    <w:rsid w:val="002E0088"/>
    <w:rsid w:val="002E03CF"/>
    <w:rsid w:val="002E04A3"/>
    <w:rsid w:val="002E05B3"/>
    <w:rsid w:val="002E12A5"/>
    <w:rsid w:val="002E159F"/>
    <w:rsid w:val="002E1699"/>
    <w:rsid w:val="002E1BA5"/>
    <w:rsid w:val="002E24BE"/>
    <w:rsid w:val="002E261F"/>
    <w:rsid w:val="002E32B2"/>
    <w:rsid w:val="002E35F8"/>
    <w:rsid w:val="002E4648"/>
    <w:rsid w:val="002E46EB"/>
    <w:rsid w:val="002E4AA6"/>
    <w:rsid w:val="002E5203"/>
    <w:rsid w:val="002E560A"/>
    <w:rsid w:val="002E669A"/>
    <w:rsid w:val="002E7046"/>
    <w:rsid w:val="002E707A"/>
    <w:rsid w:val="002F01C0"/>
    <w:rsid w:val="002F1560"/>
    <w:rsid w:val="002F16C7"/>
    <w:rsid w:val="002F1ABE"/>
    <w:rsid w:val="002F1F0F"/>
    <w:rsid w:val="002F2FAB"/>
    <w:rsid w:val="002F3169"/>
    <w:rsid w:val="002F3483"/>
    <w:rsid w:val="002F34AA"/>
    <w:rsid w:val="002F3897"/>
    <w:rsid w:val="002F3946"/>
    <w:rsid w:val="002F4045"/>
    <w:rsid w:val="002F421C"/>
    <w:rsid w:val="002F4384"/>
    <w:rsid w:val="002F4662"/>
    <w:rsid w:val="002F532B"/>
    <w:rsid w:val="002F5C9B"/>
    <w:rsid w:val="002F5D64"/>
    <w:rsid w:val="002F6E24"/>
    <w:rsid w:val="002F75B6"/>
    <w:rsid w:val="002F7C45"/>
    <w:rsid w:val="0030015E"/>
    <w:rsid w:val="003004E6"/>
    <w:rsid w:val="00300D1C"/>
    <w:rsid w:val="00301624"/>
    <w:rsid w:val="0030180A"/>
    <w:rsid w:val="00301851"/>
    <w:rsid w:val="0030198A"/>
    <w:rsid w:val="003022D1"/>
    <w:rsid w:val="00302318"/>
    <w:rsid w:val="003024F1"/>
    <w:rsid w:val="00302ADC"/>
    <w:rsid w:val="0030381D"/>
    <w:rsid w:val="00303BD0"/>
    <w:rsid w:val="003049FA"/>
    <w:rsid w:val="00304A8F"/>
    <w:rsid w:val="00304ADD"/>
    <w:rsid w:val="00304EF1"/>
    <w:rsid w:val="003056F3"/>
    <w:rsid w:val="003072F6"/>
    <w:rsid w:val="00307402"/>
    <w:rsid w:val="0031026D"/>
    <w:rsid w:val="0031044C"/>
    <w:rsid w:val="00310DFA"/>
    <w:rsid w:val="003111A9"/>
    <w:rsid w:val="00311566"/>
    <w:rsid w:val="00312A17"/>
    <w:rsid w:val="00312A5D"/>
    <w:rsid w:val="00312DC6"/>
    <w:rsid w:val="003130EE"/>
    <w:rsid w:val="00313306"/>
    <w:rsid w:val="00313324"/>
    <w:rsid w:val="003146E2"/>
    <w:rsid w:val="003152E6"/>
    <w:rsid w:val="00315B25"/>
    <w:rsid w:val="003160EE"/>
    <w:rsid w:val="0031622A"/>
    <w:rsid w:val="0031695E"/>
    <w:rsid w:val="0031747B"/>
    <w:rsid w:val="00317708"/>
    <w:rsid w:val="00317918"/>
    <w:rsid w:val="00317C77"/>
    <w:rsid w:val="00317EDE"/>
    <w:rsid w:val="003204FB"/>
    <w:rsid w:val="0032067A"/>
    <w:rsid w:val="00320B71"/>
    <w:rsid w:val="00321260"/>
    <w:rsid w:val="00321A64"/>
    <w:rsid w:val="00321E6E"/>
    <w:rsid w:val="0032210D"/>
    <w:rsid w:val="00322B58"/>
    <w:rsid w:val="00323224"/>
    <w:rsid w:val="0032411D"/>
    <w:rsid w:val="00324C0C"/>
    <w:rsid w:val="003254BC"/>
    <w:rsid w:val="003255F5"/>
    <w:rsid w:val="00325BF5"/>
    <w:rsid w:val="003261A1"/>
    <w:rsid w:val="00326CDE"/>
    <w:rsid w:val="00327804"/>
    <w:rsid w:val="0033015D"/>
    <w:rsid w:val="003303A6"/>
    <w:rsid w:val="003305F3"/>
    <w:rsid w:val="003307BC"/>
    <w:rsid w:val="0033091A"/>
    <w:rsid w:val="00330AA1"/>
    <w:rsid w:val="00330D2D"/>
    <w:rsid w:val="00331159"/>
    <w:rsid w:val="00331D37"/>
    <w:rsid w:val="00331E8F"/>
    <w:rsid w:val="00332AA3"/>
    <w:rsid w:val="00332F21"/>
    <w:rsid w:val="00332FD3"/>
    <w:rsid w:val="00333F06"/>
    <w:rsid w:val="00334E78"/>
    <w:rsid w:val="00335273"/>
    <w:rsid w:val="00335566"/>
    <w:rsid w:val="00335B8C"/>
    <w:rsid w:val="00336822"/>
    <w:rsid w:val="003375B0"/>
    <w:rsid w:val="003375B9"/>
    <w:rsid w:val="003379E0"/>
    <w:rsid w:val="00337F91"/>
    <w:rsid w:val="00340291"/>
    <w:rsid w:val="00340B57"/>
    <w:rsid w:val="00340F94"/>
    <w:rsid w:val="003410A8"/>
    <w:rsid w:val="0034180B"/>
    <w:rsid w:val="00342F25"/>
    <w:rsid w:val="00343147"/>
    <w:rsid w:val="003431EE"/>
    <w:rsid w:val="003437E5"/>
    <w:rsid w:val="003438D6"/>
    <w:rsid w:val="0034489E"/>
    <w:rsid w:val="0034492B"/>
    <w:rsid w:val="00344CBB"/>
    <w:rsid w:val="00345676"/>
    <w:rsid w:val="00345954"/>
    <w:rsid w:val="00345C19"/>
    <w:rsid w:val="00345CAF"/>
    <w:rsid w:val="00345CB5"/>
    <w:rsid w:val="003465BA"/>
    <w:rsid w:val="00346779"/>
    <w:rsid w:val="00346CD5"/>
    <w:rsid w:val="00346DB7"/>
    <w:rsid w:val="00346F79"/>
    <w:rsid w:val="00346F7D"/>
    <w:rsid w:val="00347018"/>
    <w:rsid w:val="00347DB1"/>
    <w:rsid w:val="0035035B"/>
    <w:rsid w:val="003509E5"/>
    <w:rsid w:val="0035187F"/>
    <w:rsid w:val="00351935"/>
    <w:rsid w:val="00351970"/>
    <w:rsid w:val="00351BD6"/>
    <w:rsid w:val="0035230C"/>
    <w:rsid w:val="003525D9"/>
    <w:rsid w:val="00352BDA"/>
    <w:rsid w:val="003531AA"/>
    <w:rsid w:val="003536BB"/>
    <w:rsid w:val="003536D4"/>
    <w:rsid w:val="003537BD"/>
    <w:rsid w:val="003539C5"/>
    <w:rsid w:val="00353AC0"/>
    <w:rsid w:val="00354CD5"/>
    <w:rsid w:val="003550B1"/>
    <w:rsid w:val="00355753"/>
    <w:rsid w:val="00355C45"/>
    <w:rsid w:val="00356010"/>
    <w:rsid w:val="003562A6"/>
    <w:rsid w:val="003570FA"/>
    <w:rsid w:val="003572CA"/>
    <w:rsid w:val="003577E0"/>
    <w:rsid w:val="0036007D"/>
    <w:rsid w:val="00360995"/>
    <w:rsid w:val="00361345"/>
    <w:rsid w:val="00361718"/>
    <w:rsid w:val="003622F2"/>
    <w:rsid w:val="003632E0"/>
    <w:rsid w:val="003639D6"/>
    <w:rsid w:val="00364734"/>
    <w:rsid w:val="00364D8E"/>
    <w:rsid w:val="00364E33"/>
    <w:rsid w:val="0036518A"/>
    <w:rsid w:val="0036570B"/>
    <w:rsid w:val="0036583C"/>
    <w:rsid w:val="00365E32"/>
    <w:rsid w:val="00365F16"/>
    <w:rsid w:val="003665CB"/>
    <w:rsid w:val="003666D3"/>
    <w:rsid w:val="00366833"/>
    <w:rsid w:val="00367006"/>
    <w:rsid w:val="0036777F"/>
    <w:rsid w:val="003677DE"/>
    <w:rsid w:val="0036794A"/>
    <w:rsid w:val="003702A2"/>
    <w:rsid w:val="00370C48"/>
    <w:rsid w:val="00371E6A"/>
    <w:rsid w:val="00372217"/>
    <w:rsid w:val="00372FA8"/>
    <w:rsid w:val="003739DE"/>
    <w:rsid w:val="00373C86"/>
    <w:rsid w:val="00375646"/>
    <w:rsid w:val="00375A4F"/>
    <w:rsid w:val="00376203"/>
    <w:rsid w:val="00376788"/>
    <w:rsid w:val="00376A7D"/>
    <w:rsid w:val="00376E50"/>
    <w:rsid w:val="00377934"/>
    <w:rsid w:val="00377B17"/>
    <w:rsid w:val="00377CEE"/>
    <w:rsid w:val="00377F1B"/>
    <w:rsid w:val="003801C7"/>
    <w:rsid w:val="003803A5"/>
    <w:rsid w:val="0038053F"/>
    <w:rsid w:val="0038068E"/>
    <w:rsid w:val="0038093C"/>
    <w:rsid w:val="003814F5"/>
    <w:rsid w:val="00381719"/>
    <w:rsid w:val="00381760"/>
    <w:rsid w:val="003817A7"/>
    <w:rsid w:val="00381F34"/>
    <w:rsid w:val="00382355"/>
    <w:rsid w:val="00382473"/>
    <w:rsid w:val="0038260D"/>
    <w:rsid w:val="00382F1B"/>
    <w:rsid w:val="00383F78"/>
    <w:rsid w:val="00384060"/>
    <w:rsid w:val="00384C21"/>
    <w:rsid w:val="00384DD9"/>
    <w:rsid w:val="00384FC0"/>
    <w:rsid w:val="0038502C"/>
    <w:rsid w:val="003850DC"/>
    <w:rsid w:val="00386651"/>
    <w:rsid w:val="00386E10"/>
    <w:rsid w:val="003871E2"/>
    <w:rsid w:val="00387496"/>
    <w:rsid w:val="00390E01"/>
    <w:rsid w:val="00390F42"/>
    <w:rsid w:val="00392367"/>
    <w:rsid w:val="00392595"/>
    <w:rsid w:val="00392C3A"/>
    <w:rsid w:val="00392F37"/>
    <w:rsid w:val="00393E7C"/>
    <w:rsid w:val="00393FBA"/>
    <w:rsid w:val="00394079"/>
    <w:rsid w:val="003943C8"/>
    <w:rsid w:val="00394A23"/>
    <w:rsid w:val="00394D4C"/>
    <w:rsid w:val="00394EE4"/>
    <w:rsid w:val="003956CC"/>
    <w:rsid w:val="003960EA"/>
    <w:rsid w:val="0039678E"/>
    <w:rsid w:val="003A0D23"/>
    <w:rsid w:val="003A137B"/>
    <w:rsid w:val="003A1DC8"/>
    <w:rsid w:val="003A23E0"/>
    <w:rsid w:val="003A32C1"/>
    <w:rsid w:val="003A34BD"/>
    <w:rsid w:val="003A43B1"/>
    <w:rsid w:val="003A4D48"/>
    <w:rsid w:val="003A4E1C"/>
    <w:rsid w:val="003A588B"/>
    <w:rsid w:val="003A5EC5"/>
    <w:rsid w:val="003A6656"/>
    <w:rsid w:val="003A6689"/>
    <w:rsid w:val="003A6965"/>
    <w:rsid w:val="003A6C6A"/>
    <w:rsid w:val="003A748E"/>
    <w:rsid w:val="003A7885"/>
    <w:rsid w:val="003A7B31"/>
    <w:rsid w:val="003A7D7C"/>
    <w:rsid w:val="003B04B8"/>
    <w:rsid w:val="003B0512"/>
    <w:rsid w:val="003B0C14"/>
    <w:rsid w:val="003B0D78"/>
    <w:rsid w:val="003B1F01"/>
    <w:rsid w:val="003B2736"/>
    <w:rsid w:val="003B2E71"/>
    <w:rsid w:val="003B3335"/>
    <w:rsid w:val="003B41A5"/>
    <w:rsid w:val="003B456F"/>
    <w:rsid w:val="003B4647"/>
    <w:rsid w:val="003B570F"/>
    <w:rsid w:val="003B5713"/>
    <w:rsid w:val="003B5A2D"/>
    <w:rsid w:val="003B64D6"/>
    <w:rsid w:val="003B65DD"/>
    <w:rsid w:val="003B6F0E"/>
    <w:rsid w:val="003B72BB"/>
    <w:rsid w:val="003B736B"/>
    <w:rsid w:val="003B7467"/>
    <w:rsid w:val="003B7625"/>
    <w:rsid w:val="003C0742"/>
    <w:rsid w:val="003C0B1C"/>
    <w:rsid w:val="003C1551"/>
    <w:rsid w:val="003C15B9"/>
    <w:rsid w:val="003C1F8C"/>
    <w:rsid w:val="003C278C"/>
    <w:rsid w:val="003C3085"/>
    <w:rsid w:val="003C3E6A"/>
    <w:rsid w:val="003C41D6"/>
    <w:rsid w:val="003C424F"/>
    <w:rsid w:val="003C4989"/>
    <w:rsid w:val="003C6D67"/>
    <w:rsid w:val="003C6DEA"/>
    <w:rsid w:val="003C759A"/>
    <w:rsid w:val="003C7887"/>
    <w:rsid w:val="003D095E"/>
    <w:rsid w:val="003D0DF2"/>
    <w:rsid w:val="003D132C"/>
    <w:rsid w:val="003D1572"/>
    <w:rsid w:val="003D16A4"/>
    <w:rsid w:val="003D1DC2"/>
    <w:rsid w:val="003D21AF"/>
    <w:rsid w:val="003D235F"/>
    <w:rsid w:val="003D3821"/>
    <w:rsid w:val="003D39B7"/>
    <w:rsid w:val="003D3A55"/>
    <w:rsid w:val="003D4EB0"/>
    <w:rsid w:val="003D5005"/>
    <w:rsid w:val="003D560B"/>
    <w:rsid w:val="003D5AB1"/>
    <w:rsid w:val="003D5D63"/>
    <w:rsid w:val="003D642E"/>
    <w:rsid w:val="003D644B"/>
    <w:rsid w:val="003D6732"/>
    <w:rsid w:val="003D79DC"/>
    <w:rsid w:val="003D7EA8"/>
    <w:rsid w:val="003D7F3E"/>
    <w:rsid w:val="003D7FFA"/>
    <w:rsid w:val="003E0858"/>
    <w:rsid w:val="003E148F"/>
    <w:rsid w:val="003E1A6B"/>
    <w:rsid w:val="003E26CF"/>
    <w:rsid w:val="003E26ED"/>
    <w:rsid w:val="003E2B26"/>
    <w:rsid w:val="003E2E6B"/>
    <w:rsid w:val="003E30AD"/>
    <w:rsid w:val="003E3617"/>
    <w:rsid w:val="003E3FEF"/>
    <w:rsid w:val="003E47D2"/>
    <w:rsid w:val="003E4860"/>
    <w:rsid w:val="003E4933"/>
    <w:rsid w:val="003E4A7C"/>
    <w:rsid w:val="003E4D08"/>
    <w:rsid w:val="003E4D57"/>
    <w:rsid w:val="003E60BC"/>
    <w:rsid w:val="003E6298"/>
    <w:rsid w:val="003E6906"/>
    <w:rsid w:val="003E6D82"/>
    <w:rsid w:val="003F09F3"/>
    <w:rsid w:val="003F0AF7"/>
    <w:rsid w:val="003F1B69"/>
    <w:rsid w:val="003F20FA"/>
    <w:rsid w:val="003F22D7"/>
    <w:rsid w:val="003F2725"/>
    <w:rsid w:val="003F2937"/>
    <w:rsid w:val="003F2D13"/>
    <w:rsid w:val="003F359B"/>
    <w:rsid w:val="003F4319"/>
    <w:rsid w:val="003F45F2"/>
    <w:rsid w:val="003F4664"/>
    <w:rsid w:val="003F5673"/>
    <w:rsid w:val="003F6658"/>
    <w:rsid w:val="003F6B1B"/>
    <w:rsid w:val="003F6DDB"/>
    <w:rsid w:val="003F78C3"/>
    <w:rsid w:val="003F7B37"/>
    <w:rsid w:val="003F7CFC"/>
    <w:rsid w:val="004002B1"/>
    <w:rsid w:val="00400731"/>
    <w:rsid w:val="00400799"/>
    <w:rsid w:val="00401614"/>
    <w:rsid w:val="00401BE3"/>
    <w:rsid w:val="00401CD8"/>
    <w:rsid w:val="00401D29"/>
    <w:rsid w:val="00401D56"/>
    <w:rsid w:val="00401EEE"/>
    <w:rsid w:val="004029C5"/>
    <w:rsid w:val="0040320E"/>
    <w:rsid w:val="004035AE"/>
    <w:rsid w:val="00403C33"/>
    <w:rsid w:val="004048A7"/>
    <w:rsid w:val="00404927"/>
    <w:rsid w:val="0040525C"/>
    <w:rsid w:val="00405270"/>
    <w:rsid w:val="0040576B"/>
    <w:rsid w:val="00405C0A"/>
    <w:rsid w:val="00405E64"/>
    <w:rsid w:val="004061F9"/>
    <w:rsid w:val="004066FC"/>
    <w:rsid w:val="0040679D"/>
    <w:rsid w:val="00406B79"/>
    <w:rsid w:val="00407079"/>
    <w:rsid w:val="00407204"/>
    <w:rsid w:val="004072E4"/>
    <w:rsid w:val="00407551"/>
    <w:rsid w:val="0040768B"/>
    <w:rsid w:val="00407B0F"/>
    <w:rsid w:val="00407B52"/>
    <w:rsid w:val="00407BDF"/>
    <w:rsid w:val="0041028C"/>
    <w:rsid w:val="00410307"/>
    <w:rsid w:val="0041163C"/>
    <w:rsid w:val="004117C3"/>
    <w:rsid w:val="004119B4"/>
    <w:rsid w:val="004123DC"/>
    <w:rsid w:val="0041325F"/>
    <w:rsid w:val="00413495"/>
    <w:rsid w:val="00413B28"/>
    <w:rsid w:val="00413BE0"/>
    <w:rsid w:val="0041417B"/>
    <w:rsid w:val="00414645"/>
    <w:rsid w:val="00414C67"/>
    <w:rsid w:val="00415174"/>
    <w:rsid w:val="004153FD"/>
    <w:rsid w:val="00415458"/>
    <w:rsid w:val="00415889"/>
    <w:rsid w:val="00415A1C"/>
    <w:rsid w:val="00415C38"/>
    <w:rsid w:val="004164DD"/>
    <w:rsid w:val="0041657F"/>
    <w:rsid w:val="00416AE8"/>
    <w:rsid w:val="00417245"/>
    <w:rsid w:val="00420465"/>
    <w:rsid w:val="004204D7"/>
    <w:rsid w:val="00420754"/>
    <w:rsid w:val="004208A3"/>
    <w:rsid w:val="00420946"/>
    <w:rsid w:val="00420F18"/>
    <w:rsid w:val="0042140A"/>
    <w:rsid w:val="004215E6"/>
    <w:rsid w:val="00421716"/>
    <w:rsid w:val="0042190E"/>
    <w:rsid w:val="00421C36"/>
    <w:rsid w:val="00421FDF"/>
    <w:rsid w:val="00422269"/>
    <w:rsid w:val="004229D5"/>
    <w:rsid w:val="00422A38"/>
    <w:rsid w:val="00423669"/>
    <w:rsid w:val="00423701"/>
    <w:rsid w:val="00423B1E"/>
    <w:rsid w:val="0042420D"/>
    <w:rsid w:val="004247D7"/>
    <w:rsid w:val="004257B4"/>
    <w:rsid w:val="00426054"/>
    <w:rsid w:val="004271AE"/>
    <w:rsid w:val="00427370"/>
    <w:rsid w:val="00427A74"/>
    <w:rsid w:val="00427EF3"/>
    <w:rsid w:val="00427F95"/>
    <w:rsid w:val="00430224"/>
    <w:rsid w:val="004302BC"/>
    <w:rsid w:val="004310C2"/>
    <w:rsid w:val="00432463"/>
    <w:rsid w:val="00432A3A"/>
    <w:rsid w:val="00432B79"/>
    <w:rsid w:val="004335BA"/>
    <w:rsid w:val="00435274"/>
    <w:rsid w:val="004359B3"/>
    <w:rsid w:val="00435D19"/>
    <w:rsid w:val="00435EB5"/>
    <w:rsid w:val="00435F18"/>
    <w:rsid w:val="004361C7"/>
    <w:rsid w:val="0043628C"/>
    <w:rsid w:val="00436BB2"/>
    <w:rsid w:val="00436D37"/>
    <w:rsid w:val="00436EB4"/>
    <w:rsid w:val="00437070"/>
    <w:rsid w:val="0043744F"/>
    <w:rsid w:val="004374E8"/>
    <w:rsid w:val="0043753C"/>
    <w:rsid w:val="00437A6E"/>
    <w:rsid w:val="00437C7D"/>
    <w:rsid w:val="00437EED"/>
    <w:rsid w:val="0044060E"/>
    <w:rsid w:val="00440EA5"/>
    <w:rsid w:val="0044113D"/>
    <w:rsid w:val="00441B42"/>
    <w:rsid w:val="00441E17"/>
    <w:rsid w:val="00442956"/>
    <w:rsid w:val="00442ED1"/>
    <w:rsid w:val="00442F0E"/>
    <w:rsid w:val="004430B4"/>
    <w:rsid w:val="00443A2D"/>
    <w:rsid w:val="00443D9D"/>
    <w:rsid w:val="00443F45"/>
    <w:rsid w:val="0044410A"/>
    <w:rsid w:val="00444919"/>
    <w:rsid w:val="00444ADE"/>
    <w:rsid w:val="00444C30"/>
    <w:rsid w:val="0044545A"/>
    <w:rsid w:val="00445793"/>
    <w:rsid w:val="00445875"/>
    <w:rsid w:val="00446BC6"/>
    <w:rsid w:val="00446CB8"/>
    <w:rsid w:val="004474B4"/>
    <w:rsid w:val="004504A1"/>
    <w:rsid w:val="00450624"/>
    <w:rsid w:val="004506E7"/>
    <w:rsid w:val="004509FF"/>
    <w:rsid w:val="00450BDF"/>
    <w:rsid w:val="0045126A"/>
    <w:rsid w:val="00451994"/>
    <w:rsid w:val="00451C40"/>
    <w:rsid w:val="0045216E"/>
    <w:rsid w:val="0045217B"/>
    <w:rsid w:val="004521D1"/>
    <w:rsid w:val="004530A8"/>
    <w:rsid w:val="00453172"/>
    <w:rsid w:val="004533CA"/>
    <w:rsid w:val="00453F2E"/>
    <w:rsid w:val="00454158"/>
    <w:rsid w:val="00454FEB"/>
    <w:rsid w:val="004554DD"/>
    <w:rsid w:val="00455ACD"/>
    <w:rsid w:val="00455C11"/>
    <w:rsid w:val="00455F1A"/>
    <w:rsid w:val="00456A0C"/>
    <w:rsid w:val="00456E39"/>
    <w:rsid w:val="004576DA"/>
    <w:rsid w:val="00457EA9"/>
    <w:rsid w:val="00460AE5"/>
    <w:rsid w:val="00461AEC"/>
    <w:rsid w:val="00461BB5"/>
    <w:rsid w:val="0046218A"/>
    <w:rsid w:val="00462793"/>
    <w:rsid w:val="004629C2"/>
    <w:rsid w:val="00462CCF"/>
    <w:rsid w:val="00462D69"/>
    <w:rsid w:val="00462F04"/>
    <w:rsid w:val="004634EA"/>
    <w:rsid w:val="0046357C"/>
    <w:rsid w:val="00463E25"/>
    <w:rsid w:val="0046477E"/>
    <w:rsid w:val="00464AC3"/>
    <w:rsid w:val="00465174"/>
    <w:rsid w:val="0046573D"/>
    <w:rsid w:val="00465E70"/>
    <w:rsid w:val="00466B4B"/>
    <w:rsid w:val="00466F1B"/>
    <w:rsid w:val="00467059"/>
    <w:rsid w:val="0046712E"/>
    <w:rsid w:val="00467201"/>
    <w:rsid w:val="00467621"/>
    <w:rsid w:val="00467AE8"/>
    <w:rsid w:val="00467E08"/>
    <w:rsid w:val="00467F21"/>
    <w:rsid w:val="00470066"/>
    <w:rsid w:val="0047012D"/>
    <w:rsid w:val="0047032F"/>
    <w:rsid w:val="004708C3"/>
    <w:rsid w:val="00471146"/>
    <w:rsid w:val="004718E8"/>
    <w:rsid w:val="0047191C"/>
    <w:rsid w:val="00471F27"/>
    <w:rsid w:val="00472543"/>
    <w:rsid w:val="00472783"/>
    <w:rsid w:val="00472924"/>
    <w:rsid w:val="00472BA8"/>
    <w:rsid w:val="00473B7E"/>
    <w:rsid w:val="00473E1F"/>
    <w:rsid w:val="004741A0"/>
    <w:rsid w:val="0047568E"/>
    <w:rsid w:val="00476680"/>
    <w:rsid w:val="00476AC0"/>
    <w:rsid w:val="00476D0D"/>
    <w:rsid w:val="0047785F"/>
    <w:rsid w:val="00477894"/>
    <w:rsid w:val="004779B2"/>
    <w:rsid w:val="00477A93"/>
    <w:rsid w:val="00477C36"/>
    <w:rsid w:val="00477C5D"/>
    <w:rsid w:val="00477CCF"/>
    <w:rsid w:val="00477D6E"/>
    <w:rsid w:val="00477DC9"/>
    <w:rsid w:val="00480359"/>
    <w:rsid w:val="0048052F"/>
    <w:rsid w:val="00480BFA"/>
    <w:rsid w:val="00480EE4"/>
    <w:rsid w:val="004810CD"/>
    <w:rsid w:val="00481BBF"/>
    <w:rsid w:val="00481E51"/>
    <w:rsid w:val="004824BB"/>
    <w:rsid w:val="00482E98"/>
    <w:rsid w:val="00484232"/>
    <w:rsid w:val="004842DA"/>
    <w:rsid w:val="004846B3"/>
    <w:rsid w:val="004855DE"/>
    <w:rsid w:val="00485BA6"/>
    <w:rsid w:val="00485BF4"/>
    <w:rsid w:val="00485C87"/>
    <w:rsid w:val="00486384"/>
    <w:rsid w:val="00486553"/>
    <w:rsid w:val="00486D58"/>
    <w:rsid w:val="00486E06"/>
    <w:rsid w:val="00487150"/>
    <w:rsid w:val="004874A3"/>
    <w:rsid w:val="004874D8"/>
    <w:rsid w:val="00487D43"/>
    <w:rsid w:val="00490349"/>
    <w:rsid w:val="00490421"/>
    <w:rsid w:val="0049057B"/>
    <w:rsid w:val="00490D00"/>
    <w:rsid w:val="00490D5F"/>
    <w:rsid w:val="00490D64"/>
    <w:rsid w:val="00490F9A"/>
    <w:rsid w:val="0049118E"/>
    <w:rsid w:val="004913BE"/>
    <w:rsid w:val="00491EEB"/>
    <w:rsid w:val="00491F89"/>
    <w:rsid w:val="004920CC"/>
    <w:rsid w:val="004924BD"/>
    <w:rsid w:val="0049363D"/>
    <w:rsid w:val="00493C9E"/>
    <w:rsid w:val="00493F3B"/>
    <w:rsid w:val="0049482E"/>
    <w:rsid w:val="004948B3"/>
    <w:rsid w:val="00494A20"/>
    <w:rsid w:val="00495418"/>
    <w:rsid w:val="00495FD9"/>
    <w:rsid w:val="004965B3"/>
    <w:rsid w:val="004966C1"/>
    <w:rsid w:val="00496DB7"/>
    <w:rsid w:val="00497669"/>
    <w:rsid w:val="004978EE"/>
    <w:rsid w:val="00497920"/>
    <w:rsid w:val="004A07AC"/>
    <w:rsid w:val="004A22F4"/>
    <w:rsid w:val="004A273E"/>
    <w:rsid w:val="004A2E68"/>
    <w:rsid w:val="004A2E69"/>
    <w:rsid w:val="004A33AC"/>
    <w:rsid w:val="004A3689"/>
    <w:rsid w:val="004A49D1"/>
    <w:rsid w:val="004A5017"/>
    <w:rsid w:val="004A5124"/>
    <w:rsid w:val="004A515B"/>
    <w:rsid w:val="004A517F"/>
    <w:rsid w:val="004A5482"/>
    <w:rsid w:val="004A574C"/>
    <w:rsid w:val="004A5E10"/>
    <w:rsid w:val="004A5EE7"/>
    <w:rsid w:val="004A6706"/>
    <w:rsid w:val="004A6B29"/>
    <w:rsid w:val="004A6E1D"/>
    <w:rsid w:val="004A7148"/>
    <w:rsid w:val="004A75E4"/>
    <w:rsid w:val="004B07DC"/>
    <w:rsid w:val="004B0B09"/>
    <w:rsid w:val="004B0B20"/>
    <w:rsid w:val="004B0DCF"/>
    <w:rsid w:val="004B12F0"/>
    <w:rsid w:val="004B1697"/>
    <w:rsid w:val="004B1D16"/>
    <w:rsid w:val="004B2265"/>
    <w:rsid w:val="004B32F1"/>
    <w:rsid w:val="004B344B"/>
    <w:rsid w:val="004B3D63"/>
    <w:rsid w:val="004B463A"/>
    <w:rsid w:val="004B52E1"/>
    <w:rsid w:val="004B5F8E"/>
    <w:rsid w:val="004B5FEE"/>
    <w:rsid w:val="004B6415"/>
    <w:rsid w:val="004B6A42"/>
    <w:rsid w:val="004B6C74"/>
    <w:rsid w:val="004B7717"/>
    <w:rsid w:val="004B77ED"/>
    <w:rsid w:val="004B7872"/>
    <w:rsid w:val="004B7CE8"/>
    <w:rsid w:val="004C0A97"/>
    <w:rsid w:val="004C0CC8"/>
    <w:rsid w:val="004C1194"/>
    <w:rsid w:val="004C155C"/>
    <w:rsid w:val="004C17A6"/>
    <w:rsid w:val="004C1C35"/>
    <w:rsid w:val="004C27BD"/>
    <w:rsid w:val="004C2DD2"/>
    <w:rsid w:val="004C317C"/>
    <w:rsid w:val="004C349F"/>
    <w:rsid w:val="004C36D6"/>
    <w:rsid w:val="004C3EC9"/>
    <w:rsid w:val="004C4075"/>
    <w:rsid w:val="004C4415"/>
    <w:rsid w:val="004C4609"/>
    <w:rsid w:val="004C4933"/>
    <w:rsid w:val="004C52FE"/>
    <w:rsid w:val="004C5B2B"/>
    <w:rsid w:val="004C60BD"/>
    <w:rsid w:val="004C6280"/>
    <w:rsid w:val="004C705A"/>
    <w:rsid w:val="004C7820"/>
    <w:rsid w:val="004C7CE2"/>
    <w:rsid w:val="004D0044"/>
    <w:rsid w:val="004D01A5"/>
    <w:rsid w:val="004D0363"/>
    <w:rsid w:val="004D08F4"/>
    <w:rsid w:val="004D0AA7"/>
    <w:rsid w:val="004D0F20"/>
    <w:rsid w:val="004D13B5"/>
    <w:rsid w:val="004D1BE9"/>
    <w:rsid w:val="004D20BA"/>
    <w:rsid w:val="004D215C"/>
    <w:rsid w:val="004D27EA"/>
    <w:rsid w:val="004D38A3"/>
    <w:rsid w:val="004D4A74"/>
    <w:rsid w:val="004D4AD8"/>
    <w:rsid w:val="004D4ADD"/>
    <w:rsid w:val="004D4E0A"/>
    <w:rsid w:val="004D4F17"/>
    <w:rsid w:val="004D5A88"/>
    <w:rsid w:val="004D5CF0"/>
    <w:rsid w:val="004D607D"/>
    <w:rsid w:val="004D62F2"/>
    <w:rsid w:val="004D686A"/>
    <w:rsid w:val="004D7565"/>
    <w:rsid w:val="004D7805"/>
    <w:rsid w:val="004E06A0"/>
    <w:rsid w:val="004E0A90"/>
    <w:rsid w:val="004E11F4"/>
    <w:rsid w:val="004E1B62"/>
    <w:rsid w:val="004E205D"/>
    <w:rsid w:val="004E20B2"/>
    <w:rsid w:val="004E2E1C"/>
    <w:rsid w:val="004E30C2"/>
    <w:rsid w:val="004E3575"/>
    <w:rsid w:val="004E4167"/>
    <w:rsid w:val="004E42CA"/>
    <w:rsid w:val="004E525D"/>
    <w:rsid w:val="004E53F7"/>
    <w:rsid w:val="004E58F2"/>
    <w:rsid w:val="004E5EAE"/>
    <w:rsid w:val="004E6B08"/>
    <w:rsid w:val="004E6CFA"/>
    <w:rsid w:val="004E6E8A"/>
    <w:rsid w:val="004E72C2"/>
    <w:rsid w:val="004E7337"/>
    <w:rsid w:val="004E7768"/>
    <w:rsid w:val="004E77CE"/>
    <w:rsid w:val="004E7F5A"/>
    <w:rsid w:val="004F01BF"/>
    <w:rsid w:val="004F099A"/>
    <w:rsid w:val="004F09B3"/>
    <w:rsid w:val="004F103F"/>
    <w:rsid w:val="004F19D2"/>
    <w:rsid w:val="004F1A97"/>
    <w:rsid w:val="004F1D61"/>
    <w:rsid w:val="004F1E21"/>
    <w:rsid w:val="004F1ED6"/>
    <w:rsid w:val="004F1F7B"/>
    <w:rsid w:val="004F228A"/>
    <w:rsid w:val="004F22E9"/>
    <w:rsid w:val="004F24B0"/>
    <w:rsid w:val="004F28E7"/>
    <w:rsid w:val="004F2DCA"/>
    <w:rsid w:val="004F32A6"/>
    <w:rsid w:val="004F3D20"/>
    <w:rsid w:val="004F4426"/>
    <w:rsid w:val="004F4461"/>
    <w:rsid w:val="004F460E"/>
    <w:rsid w:val="004F4692"/>
    <w:rsid w:val="004F4BCA"/>
    <w:rsid w:val="004F5601"/>
    <w:rsid w:val="004F5D22"/>
    <w:rsid w:val="004F63B9"/>
    <w:rsid w:val="004F6F2C"/>
    <w:rsid w:val="004F7506"/>
    <w:rsid w:val="004F762E"/>
    <w:rsid w:val="004F7785"/>
    <w:rsid w:val="004F7E8C"/>
    <w:rsid w:val="00500015"/>
    <w:rsid w:val="00500731"/>
    <w:rsid w:val="0050100A"/>
    <w:rsid w:val="0050111B"/>
    <w:rsid w:val="0050147E"/>
    <w:rsid w:val="005020CB"/>
    <w:rsid w:val="00502A55"/>
    <w:rsid w:val="00502CFF"/>
    <w:rsid w:val="00503717"/>
    <w:rsid w:val="005038DB"/>
    <w:rsid w:val="00503BD4"/>
    <w:rsid w:val="00504431"/>
    <w:rsid w:val="00505034"/>
    <w:rsid w:val="00505676"/>
    <w:rsid w:val="005056EA"/>
    <w:rsid w:val="0050574E"/>
    <w:rsid w:val="00507C25"/>
    <w:rsid w:val="00507FA9"/>
    <w:rsid w:val="00510126"/>
    <w:rsid w:val="0051060F"/>
    <w:rsid w:val="0051064D"/>
    <w:rsid w:val="0051093E"/>
    <w:rsid w:val="00510ABD"/>
    <w:rsid w:val="00510D12"/>
    <w:rsid w:val="005113D0"/>
    <w:rsid w:val="00511A39"/>
    <w:rsid w:val="00511BAD"/>
    <w:rsid w:val="00511D9E"/>
    <w:rsid w:val="00512862"/>
    <w:rsid w:val="00512F23"/>
    <w:rsid w:val="005132E4"/>
    <w:rsid w:val="005140E8"/>
    <w:rsid w:val="005145A9"/>
    <w:rsid w:val="0051543B"/>
    <w:rsid w:val="0051676F"/>
    <w:rsid w:val="00517090"/>
    <w:rsid w:val="00517A78"/>
    <w:rsid w:val="005201F1"/>
    <w:rsid w:val="0052035E"/>
    <w:rsid w:val="00522480"/>
    <w:rsid w:val="005228AC"/>
    <w:rsid w:val="00522A41"/>
    <w:rsid w:val="00522EA4"/>
    <w:rsid w:val="00523F9C"/>
    <w:rsid w:val="005244D9"/>
    <w:rsid w:val="005245DF"/>
    <w:rsid w:val="0052562F"/>
    <w:rsid w:val="00525B67"/>
    <w:rsid w:val="00526292"/>
    <w:rsid w:val="005263DF"/>
    <w:rsid w:val="00527249"/>
    <w:rsid w:val="00527B73"/>
    <w:rsid w:val="00527CA8"/>
    <w:rsid w:val="00530E0B"/>
    <w:rsid w:val="0053135F"/>
    <w:rsid w:val="005315F9"/>
    <w:rsid w:val="00532936"/>
    <w:rsid w:val="00532B5C"/>
    <w:rsid w:val="00532D7A"/>
    <w:rsid w:val="00532FB1"/>
    <w:rsid w:val="00533922"/>
    <w:rsid w:val="005341EE"/>
    <w:rsid w:val="005342FB"/>
    <w:rsid w:val="005343DB"/>
    <w:rsid w:val="005346A4"/>
    <w:rsid w:val="00534893"/>
    <w:rsid w:val="00534A26"/>
    <w:rsid w:val="00534D4F"/>
    <w:rsid w:val="00534E59"/>
    <w:rsid w:val="00535362"/>
    <w:rsid w:val="00536382"/>
    <w:rsid w:val="00536E44"/>
    <w:rsid w:val="00536E81"/>
    <w:rsid w:val="00536EAF"/>
    <w:rsid w:val="00540129"/>
    <w:rsid w:val="00540515"/>
    <w:rsid w:val="00540522"/>
    <w:rsid w:val="0054080A"/>
    <w:rsid w:val="00540987"/>
    <w:rsid w:val="00540A1F"/>
    <w:rsid w:val="00541199"/>
    <w:rsid w:val="00541913"/>
    <w:rsid w:val="00541A01"/>
    <w:rsid w:val="00541C7E"/>
    <w:rsid w:val="00542A98"/>
    <w:rsid w:val="00543ACD"/>
    <w:rsid w:val="00543CFA"/>
    <w:rsid w:val="00543FB9"/>
    <w:rsid w:val="0054418D"/>
    <w:rsid w:val="00544A05"/>
    <w:rsid w:val="00544CB7"/>
    <w:rsid w:val="0054503F"/>
    <w:rsid w:val="0054509B"/>
    <w:rsid w:val="0054517F"/>
    <w:rsid w:val="00545581"/>
    <w:rsid w:val="00545CC4"/>
    <w:rsid w:val="00545D72"/>
    <w:rsid w:val="00545E4C"/>
    <w:rsid w:val="0054671A"/>
    <w:rsid w:val="00546A62"/>
    <w:rsid w:val="00546D54"/>
    <w:rsid w:val="0054731D"/>
    <w:rsid w:val="00547899"/>
    <w:rsid w:val="00547DF8"/>
    <w:rsid w:val="00550163"/>
    <w:rsid w:val="005508C6"/>
    <w:rsid w:val="00550CA7"/>
    <w:rsid w:val="00550FCE"/>
    <w:rsid w:val="005516C9"/>
    <w:rsid w:val="00551952"/>
    <w:rsid w:val="00551A04"/>
    <w:rsid w:val="00551FE5"/>
    <w:rsid w:val="00552EEB"/>
    <w:rsid w:val="00553810"/>
    <w:rsid w:val="00553829"/>
    <w:rsid w:val="005538FA"/>
    <w:rsid w:val="00553A7E"/>
    <w:rsid w:val="00554B2F"/>
    <w:rsid w:val="00555203"/>
    <w:rsid w:val="0055548D"/>
    <w:rsid w:val="00555542"/>
    <w:rsid w:val="00555C48"/>
    <w:rsid w:val="00555D6D"/>
    <w:rsid w:val="005568D0"/>
    <w:rsid w:val="00556E1F"/>
    <w:rsid w:val="005571ED"/>
    <w:rsid w:val="0055730A"/>
    <w:rsid w:val="005573CA"/>
    <w:rsid w:val="00557B0E"/>
    <w:rsid w:val="005604B8"/>
    <w:rsid w:val="005604E8"/>
    <w:rsid w:val="00560CC1"/>
    <w:rsid w:val="0056126C"/>
    <w:rsid w:val="0056127A"/>
    <w:rsid w:val="005614C1"/>
    <w:rsid w:val="005623CE"/>
    <w:rsid w:val="005631E0"/>
    <w:rsid w:val="00563230"/>
    <w:rsid w:val="00563267"/>
    <w:rsid w:val="005646D1"/>
    <w:rsid w:val="00564CED"/>
    <w:rsid w:val="005650B9"/>
    <w:rsid w:val="00565EBC"/>
    <w:rsid w:val="005662F4"/>
    <w:rsid w:val="00566E90"/>
    <w:rsid w:val="00566FAF"/>
    <w:rsid w:val="005670E2"/>
    <w:rsid w:val="0056783F"/>
    <w:rsid w:val="005704AB"/>
    <w:rsid w:val="0057078F"/>
    <w:rsid w:val="00570D58"/>
    <w:rsid w:val="0057124B"/>
    <w:rsid w:val="00571632"/>
    <w:rsid w:val="00571C19"/>
    <w:rsid w:val="0057327E"/>
    <w:rsid w:val="00573B96"/>
    <w:rsid w:val="00574242"/>
    <w:rsid w:val="00574353"/>
    <w:rsid w:val="005746A2"/>
    <w:rsid w:val="005753E5"/>
    <w:rsid w:val="0057592F"/>
    <w:rsid w:val="00576132"/>
    <w:rsid w:val="00576557"/>
    <w:rsid w:val="00577024"/>
    <w:rsid w:val="00577A8E"/>
    <w:rsid w:val="005807BA"/>
    <w:rsid w:val="00580CE9"/>
    <w:rsid w:val="0058124A"/>
    <w:rsid w:val="0058132D"/>
    <w:rsid w:val="00581772"/>
    <w:rsid w:val="00583234"/>
    <w:rsid w:val="00583DA8"/>
    <w:rsid w:val="005845FD"/>
    <w:rsid w:val="00584CDC"/>
    <w:rsid w:val="00585D6D"/>
    <w:rsid w:val="00585F9F"/>
    <w:rsid w:val="005867D6"/>
    <w:rsid w:val="005874FB"/>
    <w:rsid w:val="0058765E"/>
    <w:rsid w:val="00587E09"/>
    <w:rsid w:val="005901D4"/>
    <w:rsid w:val="00590201"/>
    <w:rsid w:val="00590707"/>
    <w:rsid w:val="00590A2E"/>
    <w:rsid w:val="00590C5D"/>
    <w:rsid w:val="005911A1"/>
    <w:rsid w:val="005917A8"/>
    <w:rsid w:val="0059232C"/>
    <w:rsid w:val="00592628"/>
    <w:rsid w:val="00592D01"/>
    <w:rsid w:val="005930BC"/>
    <w:rsid w:val="005932E5"/>
    <w:rsid w:val="00593350"/>
    <w:rsid w:val="00593C81"/>
    <w:rsid w:val="00593DE5"/>
    <w:rsid w:val="00593F42"/>
    <w:rsid w:val="00594118"/>
    <w:rsid w:val="00594857"/>
    <w:rsid w:val="005958A8"/>
    <w:rsid w:val="00596399"/>
    <w:rsid w:val="00596718"/>
    <w:rsid w:val="00596826"/>
    <w:rsid w:val="00596A60"/>
    <w:rsid w:val="00596BD3"/>
    <w:rsid w:val="005970DE"/>
    <w:rsid w:val="00597A2D"/>
    <w:rsid w:val="005A08FE"/>
    <w:rsid w:val="005A1540"/>
    <w:rsid w:val="005A1911"/>
    <w:rsid w:val="005A1A8A"/>
    <w:rsid w:val="005A21EB"/>
    <w:rsid w:val="005A2354"/>
    <w:rsid w:val="005A296C"/>
    <w:rsid w:val="005A3063"/>
    <w:rsid w:val="005A392D"/>
    <w:rsid w:val="005A3B55"/>
    <w:rsid w:val="005A3B72"/>
    <w:rsid w:val="005A41F0"/>
    <w:rsid w:val="005A4202"/>
    <w:rsid w:val="005A42ED"/>
    <w:rsid w:val="005A491A"/>
    <w:rsid w:val="005A5798"/>
    <w:rsid w:val="005A5940"/>
    <w:rsid w:val="005A598C"/>
    <w:rsid w:val="005A5998"/>
    <w:rsid w:val="005A5F32"/>
    <w:rsid w:val="005A6B13"/>
    <w:rsid w:val="005A6D9C"/>
    <w:rsid w:val="005A7722"/>
    <w:rsid w:val="005A7A82"/>
    <w:rsid w:val="005A7F59"/>
    <w:rsid w:val="005B012E"/>
    <w:rsid w:val="005B01DD"/>
    <w:rsid w:val="005B0506"/>
    <w:rsid w:val="005B0DC7"/>
    <w:rsid w:val="005B0FE8"/>
    <w:rsid w:val="005B11DD"/>
    <w:rsid w:val="005B19F2"/>
    <w:rsid w:val="005B1C58"/>
    <w:rsid w:val="005B2678"/>
    <w:rsid w:val="005B2C78"/>
    <w:rsid w:val="005B36DB"/>
    <w:rsid w:val="005B3792"/>
    <w:rsid w:val="005B37E4"/>
    <w:rsid w:val="005B414A"/>
    <w:rsid w:val="005B4153"/>
    <w:rsid w:val="005B4303"/>
    <w:rsid w:val="005B4611"/>
    <w:rsid w:val="005B4D0C"/>
    <w:rsid w:val="005B5483"/>
    <w:rsid w:val="005B5904"/>
    <w:rsid w:val="005B5AA3"/>
    <w:rsid w:val="005B5B54"/>
    <w:rsid w:val="005B5D55"/>
    <w:rsid w:val="005B6B0F"/>
    <w:rsid w:val="005B6EE0"/>
    <w:rsid w:val="005B73C1"/>
    <w:rsid w:val="005B752C"/>
    <w:rsid w:val="005C014C"/>
    <w:rsid w:val="005C04B5"/>
    <w:rsid w:val="005C065C"/>
    <w:rsid w:val="005C0CFF"/>
    <w:rsid w:val="005C0ECE"/>
    <w:rsid w:val="005C1258"/>
    <w:rsid w:val="005C1694"/>
    <w:rsid w:val="005C1859"/>
    <w:rsid w:val="005C189F"/>
    <w:rsid w:val="005C19AF"/>
    <w:rsid w:val="005C1C2E"/>
    <w:rsid w:val="005C240B"/>
    <w:rsid w:val="005C2775"/>
    <w:rsid w:val="005C2CB3"/>
    <w:rsid w:val="005C35A3"/>
    <w:rsid w:val="005C35CF"/>
    <w:rsid w:val="005C39C0"/>
    <w:rsid w:val="005C3F62"/>
    <w:rsid w:val="005C3F79"/>
    <w:rsid w:val="005C417E"/>
    <w:rsid w:val="005C4200"/>
    <w:rsid w:val="005C42A5"/>
    <w:rsid w:val="005C4C76"/>
    <w:rsid w:val="005C4CBD"/>
    <w:rsid w:val="005C4DA4"/>
    <w:rsid w:val="005C5663"/>
    <w:rsid w:val="005C59BA"/>
    <w:rsid w:val="005C6160"/>
    <w:rsid w:val="005C6BAB"/>
    <w:rsid w:val="005C7670"/>
    <w:rsid w:val="005C7D50"/>
    <w:rsid w:val="005C7E11"/>
    <w:rsid w:val="005C7F78"/>
    <w:rsid w:val="005D00C0"/>
    <w:rsid w:val="005D086C"/>
    <w:rsid w:val="005D0B7D"/>
    <w:rsid w:val="005D0B9F"/>
    <w:rsid w:val="005D13BE"/>
    <w:rsid w:val="005D1724"/>
    <w:rsid w:val="005D1B64"/>
    <w:rsid w:val="005D1C86"/>
    <w:rsid w:val="005D1E53"/>
    <w:rsid w:val="005D40DC"/>
    <w:rsid w:val="005D50BB"/>
    <w:rsid w:val="005D5187"/>
    <w:rsid w:val="005D518B"/>
    <w:rsid w:val="005D57A4"/>
    <w:rsid w:val="005D5A63"/>
    <w:rsid w:val="005D5C2D"/>
    <w:rsid w:val="005D664C"/>
    <w:rsid w:val="005D694F"/>
    <w:rsid w:val="005D696F"/>
    <w:rsid w:val="005D704B"/>
    <w:rsid w:val="005D7B06"/>
    <w:rsid w:val="005E0480"/>
    <w:rsid w:val="005E0A90"/>
    <w:rsid w:val="005E0EDB"/>
    <w:rsid w:val="005E13C5"/>
    <w:rsid w:val="005E1B4E"/>
    <w:rsid w:val="005E2BEA"/>
    <w:rsid w:val="005E2EFA"/>
    <w:rsid w:val="005E3508"/>
    <w:rsid w:val="005E3680"/>
    <w:rsid w:val="005E3930"/>
    <w:rsid w:val="005E3A16"/>
    <w:rsid w:val="005E4144"/>
    <w:rsid w:val="005E438F"/>
    <w:rsid w:val="005E454F"/>
    <w:rsid w:val="005E4866"/>
    <w:rsid w:val="005E5118"/>
    <w:rsid w:val="005E5149"/>
    <w:rsid w:val="005E5192"/>
    <w:rsid w:val="005E62DF"/>
    <w:rsid w:val="005E6A21"/>
    <w:rsid w:val="005E6C6D"/>
    <w:rsid w:val="005E6DAD"/>
    <w:rsid w:val="005E732F"/>
    <w:rsid w:val="005E74D7"/>
    <w:rsid w:val="005E758C"/>
    <w:rsid w:val="005E79C6"/>
    <w:rsid w:val="005F0031"/>
    <w:rsid w:val="005F0454"/>
    <w:rsid w:val="005F0693"/>
    <w:rsid w:val="005F0A5B"/>
    <w:rsid w:val="005F0C2C"/>
    <w:rsid w:val="005F0D3B"/>
    <w:rsid w:val="005F1237"/>
    <w:rsid w:val="005F1A8E"/>
    <w:rsid w:val="005F2E64"/>
    <w:rsid w:val="005F2EF7"/>
    <w:rsid w:val="005F309B"/>
    <w:rsid w:val="005F34A8"/>
    <w:rsid w:val="005F39FE"/>
    <w:rsid w:val="005F3A0E"/>
    <w:rsid w:val="005F3BA5"/>
    <w:rsid w:val="005F3CDC"/>
    <w:rsid w:val="005F4497"/>
    <w:rsid w:val="005F453B"/>
    <w:rsid w:val="005F4A72"/>
    <w:rsid w:val="005F4CBF"/>
    <w:rsid w:val="005F505A"/>
    <w:rsid w:val="005F572A"/>
    <w:rsid w:val="005F5F24"/>
    <w:rsid w:val="005F63F2"/>
    <w:rsid w:val="005F641C"/>
    <w:rsid w:val="005F6436"/>
    <w:rsid w:val="005F6568"/>
    <w:rsid w:val="005F6BEF"/>
    <w:rsid w:val="005F6C43"/>
    <w:rsid w:val="005F6E1A"/>
    <w:rsid w:val="005F711B"/>
    <w:rsid w:val="005F720D"/>
    <w:rsid w:val="005F7AF1"/>
    <w:rsid w:val="005F7F62"/>
    <w:rsid w:val="00600604"/>
    <w:rsid w:val="00600993"/>
    <w:rsid w:val="00600E12"/>
    <w:rsid w:val="00601311"/>
    <w:rsid w:val="0060177C"/>
    <w:rsid w:val="006017F9"/>
    <w:rsid w:val="00601BCE"/>
    <w:rsid w:val="006030FD"/>
    <w:rsid w:val="00603116"/>
    <w:rsid w:val="00603278"/>
    <w:rsid w:val="0060380C"/>
    <w:rsid w:val="006040A0"/>
    <w:rsid w:val="00604442"/>
    <w:rsid w:val="00604B5E"/>
    <w:rsid w:val="00604D3F"/>
    <w:rsid w:val="00605107"/>
    <w:rsid w:val="00605B19"/>
    <w:rsid w:val="00605B9F"/>
    <w:rsid w:val="00605EF3"/>
    <w:rsid w:val="00606309"/>
    <w:rsid w:val="0060671F"/>
    <w:rsid w:val="006069DA"/>
    <w:rsid w:val="00606BEC"/>
    <w:rsid w:val="0060787B"/>
    <w:rsid w:val="006100DA"/>
    <w:rsid w:val="006105D3"/>
    <w:rsid w:val="006105D6"/>
    <w:rsid w:val="00610C3B"/>
    <w:rsid w:val="00610F5E"/>
    <w:rsid w:val="006117E3"/>
    <w:rsid w:val="0061190D"/>
    <w:rsid w:val="0061279E"/>
    <w:rsid w:val="00612825"/>
    <w:rsid w:val="00612978"/>
    <w:rsid w:val="00612FC2"/>
    <w:rsid w:val="00613210"/>
    <w:rsid w:val="006133A7"/>
    <w:rsid w:val="0061357D"/>
    <w:rsid w:val="006137AC"/>
    <w:rsid w:val="00613D84"/>
    <w:rsid w:val="006149BB"/>
    <w:rsid w:val="00614AE1"/>
    <w:rsid w:val="00615255"/>
    <w:rsid w:val="00615796"/>
    <w:rsid w:val="006158A7"/>
    <w:rsid w:val="0061590B"/>
    <w:rsid w:val="00615D1B"/>
    <w:rsid w:val="006160C7"/>
    <w:rsid w:val="006163AC"/>
    <w:rsid w:val="00616A26"/>
    <w:rsid w:val="00616B9B"/>
    <w:rsid w:val="00616C00"/>
    <w:rsid w:val="00616DB8"/>
    <w:rsid w:val="00616E46"/>
    <w:rsid w:val="00616E83"/>
    <w:rsid w:val="00617BDF"/>
    <w:rsid w:val="00620C5E"/>
    <w:rsid w:val="00620E13"/>
    <w:rsid w:val="006212BA"/>
    <w:rsid w:val="006214E2"/>
    <w:rsid w:val="00621C61"/>
    <w:rsid w:val="00621ED0"/>
    <w:rsid w:val="00622159"/>
    <w:rsid w:val="0062221F"/>
    <w:rsid w:val="0062254F"/>
    <w:rsid w:val="0062268A"/>
    <w:rsid w:val="00623357"/>
    <w:rsid w:val="006233D0"/>
    <w:rsid w:val="00623681"/>
    <w:rsid w:val="00624144"/>
    <w:rsid w:val="00624B42"/>
    <w:rsid w:val="00624CA6"/>
    <w:rsid w:val="00625C1A"/>
    <w:rsid w:val="00625E6C"/>
    <w:rsid w:val="006261D0"/>
    <w:rsid w:val="006264D8"/>
    <w:rsid w:val="00627633"/>
    <w:rsid w:val="0062792E"/>
    <w:rsid w:val="00627AEF"/>
    <w:rsid w:val="00630434"/>
    <w:rsid w:val="00630C6B"/>
    <w:rsid w:val="00630CA6"/>
    <w:rsid w:val="0063107F"/>
    <w:rsid w:val="00631823"/>
    <w:rsid w:val="00632211"/>
    <w:rsid w:val="00632538"/>
    <w:rsid w:val="006329B5"/>
    <w:rsid w:val="00633648"/>
    <w:rsid w:val="00633D90"/>
    <w:rsid w:val="006352E8"/>
    <w:rsid w:val="006356E5"/>
    <w:rsid w:val="00635B98"/>
    <w:rsid w:val="00636498"/>
    <w:rsid w:val="00637054"/>
    <w:rsid w:val="00637280"/>
    <w:rsid w:val="006374FD"/>
    <w:rsid w:val="00637505"/>
    <w:rsid w:val="00637B1E"/>
    <w:rsid w:val="00637FAE"/>
    <w:rsid w:val="006400DB"/>
    <w:rsid w:val="00640422"/>
    <w:rsid w:val="006413F4"/>
    <w:rsid w:val="00641B70"/>
    <w:rsid w:val="00641D29"/>
    <w:rsid w:val="006427DC"/>
    <w:rsid w:val="00642921"/>
    <w:rsid w:val="00642B1D"/>
    <w:rsid w:val="00642EE2"/>
    <w:rsid w:val="00643624"/>
    <w:rsid w:val="00643994"/>
    <w:rsid w:val="00643F33"/>
    <w:rsid w:val="006448BB"/>
    <w:rsid w:val="00644CA0"/>
    <w:rsid w:val="0064505B"/>
    <w:rsid w:val="006450E0"/>
    <w:rsid w:val="00645284"/>
    <w:rsid w:val="0064567A"/>
    <w:rsid w:val="006466D3"/>
    <w:rsid w:val="00646C2D"/>
    <w:rsid w:val="00647350"/>
    <w:rsid w:val="00647960"/>
    <w:rsid w:val="00647EB6"/>
    <w:rsid w:val="00650857"/>
    <w:rsid w:val="00650B75"/>
    <w:rsid w:val="00651705"/>
    <w:rsid w:val="00652585"/>
    <w:rsid w:val="00652651"/>
    <w:rsid w:val="006530B2"/>
    <w:rsid w:val="00653C89"/>
    <w:rsid w:val="0065418A"/>
    <w:rsid w:val="0065486A"/>
    <w:rsid w:val="00654A04"/>
    <w:rsid w:val="00654AA7"/>
    <w:rsid w:val="00655168"/>
    <w:rsid w:val="006556B4"/>
    <w:rsid w:val="006557A9"/>
    <w:rsid w:val="00656532"/>
    <w:rsid w:val="00657208"/>
    <w:rsid w:val="006578C8"/>
    <w:rsid w:val="006579DD"/>
    <w:rsid w:val="00660151"/>
    <w:rsid w:val="00660AC8"/>
    <w:rsid w:val="00660E70"/>
    <w:rsid w:val="006611C8"/>
    <w:rsid w:val="00662A7A"/>
    <w:rsid w:val="00662CF1"/>
    <w:rsid w:val="006637DF"/>
    <w:rsid w:val="0066381D"/>
    <w:rsid w:val="00664020"/>
    <w:rsid w:val="0066460E"/>
    <w:rsid w:val="00665A97"/>
    <w:rsid w:val="00665E84"/>
    <w:rsid w:val="0066611C"/>
    <w:rsid w:val="0066634E"/>
    <w:rsid w:val="00666D74"/>
    <w:rsid w:val="00667A28"/>
    <w:rsid w:val="00667AB6"/>
    <w:rsid w:val="006708DB"/>
    <w:rsid w:val="00670A41"/>
    <w:rsid w:val="00670B06"/>
    <w:rsid w:val="00670EFD"/>
    <w:rsid w:val="00670F37"/>
    <w:rsid w:val="00671021"/>
    <w:rsid w:val="006710C3"/>
    <w:rsid w:val="00671CB9"/>
    <w:rsid w:val="00671EC3"/>
    <w:rsid w:val="0067206B"/>
    <w:rsid w:val="0067283A"/>
    <w:rsid w:val="00672D2C"/>
    <w:rsid w:val="00673662"/>
    <w:rsid w:val="006737FD"/>
    <w:rsid w:val="0067394E"/>
    <w:rsid w:val="00673A48"/>
    <w:rsid w:val="00674632"/>
    <w:rsid w:val="0067468D"/>
    <w:rsid w:val="00674B56"/>
    <w:rsid w:val="00674C99"/>
    <w:rsid w:val="00674F6D"/>
    <w:rsid w:val="00675469"/>
    <w:rsid w:val="006756B0"/>
    <w:rsid w:val="006758B5"/>
    <w:rsid w:val="00675C6D"/>
    <w:rsid w:val="00675C7E"/>
    <w:rsid w:val="00675C80"/>
    <w:rsid w:val="00676379"/>
    <w:rsid w:val="006763F5"/>
    <w:rsid w:val="00676A4C"/>
    <w:rsid w:val="00676ABB"/>
    <w:rsid w:val="00676D35"/>
    <w:rsid w:val="006770F7"/>
    <w:rsid w:val="006774E2"/>
    <w:rsid w:val="00677A8B"/>
    <w:rsid w:val="00677BF1"/>
    <w:rsid w:val="00677F0E"/>
    <w:rsid w:val="00680882"/>
    <w:rsid w:val="00680D0E"/>
    <w:rsid w:val="00681086"/>
    <w:rsid w:val="00681A94"/>
    <w:rsid w:val="00681D2B"/>
    <w:rsid w:val="00681E98"/>
    <w:rsid w:val="00682647"/>
    <w:rsid w:val="00682687"/>
    <w:rsid w:val="006828DE"/>
    <w:rsid w:val="006833C2"/>
    <w:rsid w:val="00683719"/>
    <w:rsid w:val="006839FD"/>
    <w:rsid w:val="00683AB1"/>
    <w:rsid w:val="00683B13"/>
    <w:rsid w:val="006847CC"/>
    <w:rsid w:val="00684A1A"/>
    <w:rsid w:val="00685114"/>
    <w:rsid w:val="006851BD"/>
    <w:rsid w:val="0068583C"/>
    <w:rsid w:val="00685D32"/>
    <w:rsid w:val="006862B3"/>
    <w:rsid w:val="006862CD"/>
    <w:rsid w:val="006864A4"/>
    <w:rsid w:val="0068651F"/>
    <w:rsid w:val="00686C56"/>
    <w:rsid w:val="00687BA0"/>
    <w:rsid w:val="00687F81"/>
    <w:rsid w:val="00687FD4"/>
    <w:rsid w:val="0069079C"/>
    <w:rsid w:val="00691388"/>
    <w:rsid w:val="006913CD"/>
    <w:rsid w:val="00691444"/>
    <w:rsid w:val="006916A9"/>
    <w:rsid w:val="00691D3A"/>
    <w:rsid w:val="00692831"/>
    <w:rsid w:val="0069427F"/>
    <w:rsid w:val="0069464D"/>
    <w:rsid w:val="00694B5D"/>
    <w:rsid w:val="00695A27"/>
    <w:rsid w:val="00695BC8"/>
    <w:rsid w:val="00695E47"/>
    <w:rsid w:val="0069600C"/>
    <w:rsid w:val="00696214"/>
    <w:rsid w:val="00696494"/>
    <w:rsid w:val="0069756A"/>
    <w:rsid w:val="0069770E"/>
    <w:rsid w:val="00697FEB"/>
    <w:rsid w:val="006A0121"/>
    <w:rsid w:val="006A04C7"/>
    <w:rsid w:val="006A0810"/>
    <w:rsid w:val="006A0ED4"/>
    <w:rsid w:val="006A14F3"/>
    <w:rsid w:val="006A23DF"/>
    <w:rsid w:val="006A27F9"/>
    <w:rsid w:val="006A2C70"/>
    <w:rsid w:val="006A3659"/>
    <w:rsid w:val="006A3A22"/>
    <w:rsid w:val="006A42CA"/>
    <w:rsid w:val="006A48CD"/>
    <w:rsid w:val="006A4A3B"/>
    <w:rsid w:val="006A5BAF"/>
    <w:rsid w:val="006A671A"/>
    <w:rsid w:val="006A69E2"/>
    <w:rsid w:val="006A6BD2"/>
    <w:rsid w:val="006A6D86"/>
    <w:rsid w:val="006A75C8"/>
    <w:rsid w:val="006A7718"/>
    <w:rsid w:val="006A7978"/>
    <w:rsid w:val="006A7D66"/>
    <w:rsid w:val="006A7E73"/>
    <w:rsid w:val="006B0ECA"/>
    <w:rsid w:val="006B1626"/>
    <w:rsid w:val="006B319B"/>
    <w:rsid w:val="006B35C9"/>
    <w:rsid w:val="006B36D3"/>
    <w:rsid w:val="006B3B48"/>
    <w:rsid w:val="006B3E63"/>
    <w:rsid w:val="006B4564"/>
    <w:rsid w:val="006B4A10"/>
    <w:rsid w:val="006B5002"/>
    <w:rsid w:val="006B580B"/>
    <w:rsid w:val="006B5B62"/>
    <w:rsid w:val="006B6138"/>
    <w:rsid w:val="006B6641"/>
    <w:rsid w:val="006B67FF"/>
    <w:rsid w:val="006B6CBD"/>
    <w:rsid w:val="006B6D18"/>
    <w:rsid w:val="006B6DCB"/>
    <w:rsid w:val="006B7548"/>
    <w:rsid w:val="006B77EA"/>
    <w:rsid w:val="006B789C"/>
    <w:rsid w:val="006B7CBA"/>
    <w:rsid w:val="006B7D52"/>
    <w:rsid w:val="006C0679"/>
    <w:rsid w:val="006C06C6"/>
    <w:rsid w:val="006C0BDB"/>
    <w:rsid w:val="006C0F30"/>
    <w:rsid w:val="006C1919"/>
    <w:rsid w:val="006C1D1B"/>
    <w:rsid w:val="006C1E5A"/>
    <w:rsid w:val="006C1EE5"/>
    <w:rsid w:val="006C22E8"/>
    <w:rsid w:val="006C2ED5"/>
    <w:rsid w:val="006C30B8"/>
    <w:rsid w:val="006C30C7"/>
    <w:rsid w:val="006C3892"/>
    <w:rsid w:val="006C46DD"/>
    <w:rsid w:val="006C4A18"/>
    <w:rsid w:val="006C4F4D"/>
    <w:rsid w:val="006C586F"/>
    <w:rsid w:val="006C5D6B"/>
    <w:rsid w:val="006C5F03"/>
    <w:rsid w:val="006C6D23"/>
    <w:rsid w:val="006C7ADC"/>
    <w:rsid w:val="006C7B32"/>
    <w:rsid w:val="006C7D9E"/>
    <w:rsid w:val="006D0116"/>
    <w:rsid w:val="006D016E"/>
    <w:rsid w:val="006D0698"/>
    <w:rsid w:val="006D0C7B"/>
    <w:rsid w:val="006D1237"/>
    <w:rsid w:val="006D14FE"/>
    <w:rsid w:val="006D1BEC"/>
    <w:rsid w:val="006D1D26"/>
    <w:rsid w:val="006D1DE5"/>
    <w:rsid w:val="006D201B"/>
    <w:rsid w:val="006D2062"/>
    <w:rsid w:val="006D213C"/>
    <w:rsid w:val="006D235A"/>
    <w:rsid w:val="006D3C22"/>
    <w:rsid w:val="006D4638"/>
    <w:rsid w:val="006D46E2"/>
    <w:rsid w:val="006D4B63"/>
    <w:rsid w:val="006D513D"/>
    <w:rsid w:val="006D517E"/>
    <w:rsid w:val="006D51FC"/>
    <w:rsid w:val="006D5386"/>
    <w:rsid w:val="006D53B8"/>
    <w:rsid w:val="006D56BC"/>
    <w:rsid w:val="006D5B46"/>
    <w:rsid w:val="006D5E4B"/>
    <w:rsid w:val="006D5F51"/>
    <w:rsid w:val="006D60FF"/>
    <w:rsid w:val="006D6235"/>
    <w:rsid w:val="006D65E6"/>
    <w:rsid w:val="006D6EA2"/>
    <w:rsid w:val="006D7993"/>
    <w:rsid w:val="006D7E0D"/>
    <w:rsid w:val="006E0D80"/>
    <w:rsid w:val="006E121F"/>
    <w:rsid w:val="006E162F"/>
    <w:rsid w:val="006E1690"/>
    <w:rsid w:val="006E17EC"/>
    <w:rsid w:val="006E1AC2"/>
    <w:rsid w:val="006E278A"/>
    <w:rsid w:val="006E2847"/>
    <w:rsid w:val="006E2A49"/>
    <w:rsid w:val="006E2F6F"/>
    <w:rsid w:val="006E3131"/>
    <w:rsid w:val="006E3A7F"/>
    <w:rsid w:val="006E3B27"/>
    <w:rsid w:val="006E3BFA"/>
    <w:rsid w:val="006E44A7"/>
    <w:rsid w:val="006E4ECA"/>
    <w:rsid w:val="006E52BD"/>
    <w:rsid w:val="006E60BD"/>
    <w:rsid w:val="006E66B7"/>
    <w:rsid w:val="006F0C68"/>
    <w:rsid w:val="006F1141"/>
    <w:rsid w:val="006F1BFD"/>
    <w:rsid w:val="006F2581"/>
    <w:rsid w:val="006F2AC1"/>
    <w:rsid w:val="006F2CAB"/>
    <w:rsid w:val="006F32C3"/>
    <w:rsid w:val="006F353B"/>
    <w:rsid w:val="006F37DA"/>
    <w:rsid w:val="006F3BAC"/>
    <w:rsid w:val="006F3BE2"/>
    <w:rsid w:val="006F3E77"/>
    <w:rsid w:val="006F3FC6"/>
    <w:rsid w:val="006F47B9"/>
    <w:rsid w:val="006F4AAE"/>
    <w:rsid w:val="006F56CE"/>
    <w:rsid w:val="006F5F97"/>
    <w:rsid w:val="006F6857"/>
    <w:rsid w:val="006F6A12"/>
    <w:rsid w:val="006F6DF7"/>
    <w:rsid w:val="006F7BCC"/>
    <w:rsid w:val="0070058A"/>
    <w:rsid w:val="00700E2D"/>
    <w:rsid w:val="00700E8E"/>
    <w:rsid w:val="00700F23"/>
    <w:rsid w:val="00701810"/>
    <w:rsid w:val="0070183B"/>
    <w:rsid w:val="007018F4"/>
    <w:rsid w:val="0070190E"/>
    <w:rsid w:val="00701C34"/>
    <w:rsid w:val="00701EEA"/>
    <w:rsid w:val="007029F5"/>
    <w:rsid w:val="00702A86"/>
    <w:rsid w:val="00702F20"/>
    <w:rsid w:val="00702FE2"/>
    <w:rsid w:val="007031A9"/>
    <w:rsid w:val="0070423F"/>
    <w:rsid w:val="00704347"/>
    <w:rsid w:val="0070448F"/>
    <w:rsid w:val="007046BE"/>
    <w:rsid w:val="007046F2"/>
    <w:rsid w:val="00705011"/>
    <w:rsid w:val="0070504B"/>
    <w:rsid w:val="00706487"/>
    <w:rsid w:val="007068C9"/>
    <w:rsid w:val="007073DB"/>
    <w:rsid w:val="00707CA4"/>
    <w:rsid w:val="0071021C"/>
    <w:rsid w:val="0071048B"/>
    <w:rsid w:val="007105CB"/>
    <w:rsid w:val="00710661"/>
    <w:rsid w:val="00710770"/>
    <w:rsid w:val="00710FFF"/>
    <w:rsid w:val="007110AC"/>
    <w:rsid w:val="007112E5"/>
    <w:rsid w:val="00711845"/>
    <w:rsid w:val="007119DD"/>
    <w:rsid w:val="00711A36"/>
    <w:rsid w:val="00711AD2"/>
    <w:rsid w:val="00712137"/>
    <w:rsid w:val="00712B76"/>
    <w:rsid w:val="00712C24"/>
    <w:rsid w:val="007133B6"/>
    <w:rsid w:val="0071489C"/>
    <w:rsid w:val="00714C34"/>
    <w:rsid w:val="007157EF"/>
    <w:rsid w:val="00715D23"/>
    <w:rsid w:val="00715E07"/>
    <w:rsid w:val="00716338"/>
    <w:rsid w:val="0071640E"/>
    <w:rsid w:val="00716520"/>
    <w:rsid w:val="00716D4C"/>
    <w:rsid w:val="00717158"/>
    <w:rsid w:val="00717237"/>
    <w:rsid w:val="007173BD"/>
    <w:rsid w:val="00717432"/>
    <w:rsid w:val="0071760B"/>
    <w:rsid w:val="00717704"/>
    <w:rsid w:val="0071795A"/>
    <w:rsid w:val="007208DA"/>
    <w:rsid w:val="00720C57"/>
    <w:rsid w:val="00720C74"/>
    <w:rsid w:val="00720D56"/>
    <w:rsid w:val="00721C9B"/>
    <w:rsid w:val="00721F8F"/>
    <w:rsid w:val="00722239"/>
    <w:rsid w:val="007222F5"/>
    <w:rsid w:val="00722562"/>
    <w:rsid w:val="007238BE"/>
    <w:rsid w:val="00723C21"/>
    <w:rsid w:val="00724007"/>
    <w:rsid w:val="007244F5"/>
    <w:rsid w:val="00724877"/>
    <w:rsid w:val="007255B2"/>
    <w:rsid w:val="00725805"/>
    <w:rsid w:val="00726532"/>
    <w:rsid w:val="00726652"/>
    <w:rsid w:val="00726B79"/>
    <w:rsid w:val="0072710D"/>
    <w:rsid w:val="007271E5"/>
    <w:rsid w:val="00727404"/>
    <w:rsid w:val="007308C3"/>
    <w:rsid w:val="0073096D"/>
    <w:rsid w:val="00730C55"/>
    <w:rsid w:val="00731247"/>
    <w:rsid w:val="00731352"/>
    <w:rsid w:val="007313B6"/>
    <w:rsid w:val="007314FB"/>
    <w:rsid w:val="00731E9A"/>
    <w:rsid w:val="00732DBA"/>
    <w:rsid w:val="00733153"/>
    <w:rsid w:val="007332D3"/>
    <w:rsid w:val="00733580"/>
    <w:rsid w:val="00733642"/>
    <w:rsid w:val="007337BA"/>
    <w:rsid w:val="00734210"/>
    <w:rsid w:val="007347F0"/>
    <w:rsid w:val="0073504B"/>
    <w:rsid w:val="0073539E"/>
    <w:rsid w:val="00735A89"/>
    <w:rsid w:val="00736679"/>
    <w:rsid w:val="007367AB"/>
    <w:rsid w:val="00736E5E"/>
    <w:rsid w:val="00737812"/>
    <w:rsid w:val="00737F83"/>
    <w:rsid w:val="007403BB"/>
    <w:rsid w:val="00740D12"/>
    <w:rsid w:val="00740D1D"/>
    <w:rsid w:val="00740D99"/>
    <w:rsid w:val="00742660"/>
    <w:rsid w:val="0074278D"/>
    <w:rsid w:val="00742872"/>
    <w:rsid w:val="00742F4C"/>
    <w:rsid w:val="007433A8"/>
    <w:rsid w:val="00743BA0"/>
    <w:rsid w:val="00743D7E"/>
    <w:rsid w:val="007440B2"/>
    <w:rsid w:val="00744BF8"/>
    <w:rsid w:val="00744C1A"/>
    <w:rsid w:val="00744FCF"/>
    <w:rsid w:val="00745354"/>
    <w:rsid w:val="00745727"/>
    <w:rsid w:val="00745844"/>
    <w:rsid w:val="00745C19"/>
    <w:rsid w:val="00746705"/>
    <w:rsid w:val="00746E22"/>
    <w:rsid w:val="0075059C"/>
    <w:rsid w:val="007508D2"/>
    <w:rsid w:val="00750FA5"/>
    <w:rsid w:val="007512D0"/>
    <w:rsid w:val="007514A8"/>
    <w:rsid w:val="00751F30"/>
    <w:rsid w:val="0075238A"/>
    <w:rsid w:val="00752899"/>
    <w:rsid w:val="007528A9"/>
    <w:rsid w:val="00752D54"/>
    <w:rsid w:val="00752D98"/>
    <w:rsid w:val="00752F1E"/>
    <w:rsid w:val="007533F8"/>
    <w:rsid w:val="007537C3"/>
    <w:rsid w:val="00753A3D"/>
    <w:rsid w:val="00754581"/>
    <w:rsid w:val="007547D0"/>
    <w:rsid w:val="00754A07"/>
    <w:rsid w:val="00754BAF"/>
    <w:rsid w:val="00754F37"/>
    <w:rsid w:val="00755ACA"/>
    <w:rsid w:val="00755E60"/>
    <w:rsid w:val="0075630B"/>
    <w:rsid w:val="0075639F"/>
    <w:rsid w:val="0075689E"/>
    <w:rsid w:val="007568A1"/>
    <w:rsid w:val="00756CA9"/>
    <w:rsid w:val="00757024"/>
    <w:rsid w:val="00757055"/>
    <w:rsid w:val="007574B1"/>
    <w:rsid w:val="00760285"/>
    <w:rsid w:val="00760655"/>
    <w:rsid w:val="00760678"/>
    <w:rsid w:val="00760A5C"/>
    <w:rsid w:val="0076169B"/>
    <w:rsid w:val="00761BF7"/>
    <w:rsid w:val="00761CC8"/>
    <w:rsid w:val="00761D0A"/>
    <w:rsid w:val="0076334B"/>
    <w:rsid w:val="0076359F"/>
    <w:rsid w:val="00765675"/>
    <w:rsid w:val="0076582C"/>
    <w:rsid w:val="007658EF"/>
    <w:rsid w:val="00765F87"/>
    <w:rsid w:val="0076611E"/>
    <w:rsid w:val="007666AE"/>
    <w:rsid w:val="00766881"/>
    <w:rsid w:val="00766891"/>
    <w:rsid w:val="00766B91"/>
    <w:rsid w:val="0076772C"/>
    <w:rsid w:val="00767958"/>
    <w:rsid w:val="00767BEE"/>
    <w:rsid w:val="00770176"/>
    <w:rsid w:val="007701C0"/>
    <w:rsid w:val="00770853"/>
    <w:rsid w:val="00770969"/>
    <w:rsid w:val="00770E79"/>
    <w:rsid w:val="00771258"/>
    <w:rsid w:val="0077161B"/>
    <w:rsid w:val="00771AC1"/>
    <w:rsid w:val="00771EF7"/>
    <w:rsid w:val="00771F2B"/>
    <w:rsid w:val="007726D3"/>
    <w:rsid w:val="00772E9C"/>
    <w:rsid w:val="007732D4"/>
    <w:rsid w:val="00773548"/>
    <w:rsid w:val="00773832"/>
    <w:rsid w:val="00774F4C"/>
    <w:rsid w:val="00774F8E"/>
    <w:rsid w:val="00775307"/>
    <w:rsid w:val="00775B9D"/>
    <w:rsid w:val="00776B79"/>
    <w:rsid w:val="00776C41"/>
    <w:rsid w:val="00776E3A"/>
    <w:rsid w:val="007774C9"/>
    <w:rsid w:val="007777B8"/>
    <w:rsid w:val="00777B03"/>
    <w:rsid w:val="00780159"/>
    <w:rsid w:val="007803D3"/>
    <w:rsid w:val="0078041A"/>
    <w:rsid w:val="0078071C"/>
    <w:rsid w:val="00781544"/>
    <w:rsid w:val="00782840"/>
    <w:rsid w:val="00782A32"/>
    <w:rsid w:val="00782E22"/>
    <w:rsid w:val="00782F98"/>
    <w:rsid w:val="0078333C"/>
    <w:rsid w:val="00784BE3"/>
    <w:rsid w:val="007853A6"/>
    <w:rsid w:val="00785548"/>
    <w:rsid w:val="007861AB"/>
    <w:rsid w:val="00786767"/>
    <w:rsid w:val="0078687B"/>
    <w:rsid w:val="00786E1D"/>
    <w:rsid w:val="00786FDF"/>
    <w:rsid w:val="0078764E"/>
    <w:rsid w:val="00787E7F"/>
    <w:rsid w:val="00787F56"/>
    <w:rsid w:val="00790034"/>
    <w:rsid w:val="00790902"/>
    <w:rsid w:val="00790E5A"/>
    <w:rsid w:val="00791255"/>
    <w:rsid w:val="00791383"/>
    <w:rsid w:val="007914CC"/>
    <w:rsid w:val="00791559"/>
    <w:rsid w:val="00791B66"/>
    <w:rsid w:val="00791C7A"/>
    <w:rsid w:val="00791F3C"/>
    <w:rsid w:val="00792754"/>
    <w:rsid w:val="0079291C"/>
    <w:rsid w:val="00792DC9"/>
    <w:rsid w:val="007933D8"/>
    <w:rsid w:val="00793CF3"/>
    <w:rsid w:val="00793F84"/>
    <w:rsid w:val="0079497E"/>
    <w:rsid w:val="00794E16"/>
    <w:rsid w:val="00797E7C"/>
    <w:rsid w:val="007A013D"/>
    <w:rsid w:val="007A077E"/>
    <w:rsid w:val="007A08EE"/>
    <w:rsid w:val="007A09D0"/>
    <w:rsid w:val="007A16DC"/>
    <w:rsid w:val="007A1897"/>
    <w:rsid w:val="007A22E5"/>
    <w:rsid w:val="007A263B"/>
    <w:rsid w:val="007A26E6"/>
    <w:rsid w:val="007A28FE"/>
    <w:rsid w:val="007A2989"/>
    <w:rsid w:val="007A3FBB"/>
    <w:rsid w:val="007A44D8"/>
    <w:rsid w:val="007A45DB"/>
    <w:rsid w:val="007A61E5"/>
    <w:rsid w:val="007A7AE1"/>
    <w:rsid w:val="007A7BCA"/>
    <w:rsid w:val="007B0131"/>
    <w:rsid w:val="007B015F"/>
    <w:rsid w:val="007B035F"/>
    <w:rsid w:val="007B03FE"/>
    <w:rsid w:val="007B0583"/>
    <w:rsid w:val="007B09D2"/>
    <w:rsid w:val="007B0CE6"/>
    <w:rsid w:val="007B0DA7"/>
    <w:rsid w:val="007B1B20"/>
    <w:rsid w:val="007B24D9"/>
    <w:rsid w:val="007B25CB"/>
    <w:rsid w:val="007B29A2"/>
    <w:rsid w:val="007B355D"/>
    <w:rsid w:val="007B3AFC"/>
    <w:rsid w:val="007B5110"/>
    <w:rsid w:val="007B596F"/>
    <w:rsid w:val="007B5FF2"/>
    <w:rsid w:val="007B6133"/>
    <w:rsid w:val="007B629A"/>
    <w:rsid w:val="007B6452"/>
    <w:rsid w:val="007B6B76"/>
    <w:rsid w:val="007B6CD5"/>
    <w:rsid w:val="007B7168"/>
    <w:rsid w:val="007C00FC"/>
    <w:rsid w:val="007C03E4"/>
    <w:rsid w:val="007C051A"/>
    <w:rsid w:val="007C0B82"/>
    <w:rsid w:val="007C0CF7"/>
    <w:rsid w:val="007C17D6"/>
    <w:rsid w:val="007C1B6B"/>
    <w:rsid w:val="007C23F3"/>
    <w:rsid w:val="007C27CF"/>
    <w:rsid w:val="007C3506"/>
    <w:rsid w:val="007C378A"/>
    <w:rsid w:val="007C39DA"/>
    <w:rsid w:val="007C4328"/>
    <w:rsid w:val="007C4A12"/>
    <w:rsid w:val="007C4E55"/>
    <w:rsid w:val="007C5DFE"/>
    <w:rsid w:val="007C63B2"/>
    <w:rsid w:val="007C742B"/>
    <w:rsid w:val="007D0045"/>
    <w:rsid w:val="007D03F7"/>
    <w:rsid w:val="007D052A"/>
    <w:rsid w:val="007D0A1E"/>
    <w:rsid w:val="007D13AD"/>
    <w:rsid w:val="007D15FF"/>
    <w:rsid w:val="007D220F"/>
    <w:rsid w:val="007D297B"/>
    <w:rsid w:val="007D2AFC"/>
    <w:rsid w:val="007D2C20"/>
    <w:rsid w:val="007D308D"/>
    <w:rsid w:val="007D30E7"/>
    <w:rsid w:val="007D4620"/>
    <w:rsid w:val="007D468F"/>
    <w:rsid w:val="007D4867"/>
    <w:rsid w:val="007D4BA6"/>
    <w:rsid w:val="007D500C"/>
    <w:rsid w:val="007D567F"/>
    <w:rsid w:val="007D5B3B"/>
    <w:rsid w:val="007D68AF"/>
    <w:rsid w:val="007D7F3E"/>
    <w:rsid w:val="007E038D"/>
    <w:rsid w:val="007E1441"/>
    <w:rsid w:val="007E1D4F"/>
    <w:rsid w:val="007E353A"/>
    <w:rsid w:val="007E39BE"/>
    <w:rsid w:val="007E43E0"/>
    <w:rsid w:val="007E5323"/>
    <w:rsid w:val="007E532F"/>
    <w:rsid w:val="007E5414"/>
    <w:rsid w:val="007E5B46"/>
    <w:rsid w:val="007E5D23"/>
    <w:rsid w:val="007E5D69"/>
    <w:rsid w:val="007E62C5"/>
    <w:rsid w:val="007E659A"/>
    <w:rsid w:val="007E69FD"/>
    <w:rsid w:val="007E6E27"/>
    <w:rsid w:val="007E7360"/>
    <w:rsid w:val="007F009A"/>
    <w:rsid w:val="007F00EC"/>
    <w:rsid w:val="007F0130"/>
    <w:rsid w:val="007F02FC"/>
    <w:rsid w:val="007F0396"/>
    <w:rsid w:val="007F075E"/>
    <w:rsid w:val="007F21E6"/>
    <w:rsid w:val="007F2C8D"/>
    <w:rsid w:val="007F2CDE"/>
    <w:rsid w:val="007F2E5C"/>
    <w:rsid w:val="007F3C3D"/>
    <w:rsid w:val="007F3C5D"/>
    <w:rsid w:val="007F469F"/>
    <w:rsid w:val="007F51E1"/>
    <w:rsid w:val="007F5863"/>
    <w:rsid w:val="007F65BF"/>
    <w:rsid w:val="007F6C57"/>
    <w:rsid w:val="007F6F88"/>
    <w:rsid w:val="007F75AB"/>
    <w:rsid w:val="007F7895"/>
    <w:rsid w:val="007F7AC9"/>
    <w:rsid w:val="008013F4"/>
    <w:rsid w:val="00801879"/>
    <w:rsid w:val="00801E74"/>
    <w:rsid w:val="00801EF1"/>
    <w:rsid w:val="0080256C"/>
    <w:rsid w:val="008026EF"/>
    <w:rsid w:val="0080349D"/>
    <w:rsid w:val="008038FF"/>
    <w:rsid w:val="00803989"/>
    <w:rsid w:val="008039A6"/>
    <w:rsid w:val="00803C43"/>
    <w:rsid w:val="0080417F"/>
    <w:rsid w:val="00804E59"/>
    <w:rsid w:val="00805371"/>
    <w:rsid w:val="008066A9"/>
    <w:rsid w:val="00806A5C"/>
    <w:rsid w:val="0080708F"/>
    <w:rsid w:val="008070C0"/>
    <w:rsid w:val="008070FD"/>
    <w:rsid w:val="008072BC"/>
    <w:rsid w:val="00807B62"/>
    <w:rsid w:val="00810693"/>
    <w:rsid w:val="00811D3A"/>
    <w:rsid w:val="00812A23"/>
    <w:rsid w:val="00812A37"/>
    <w:rsid w:val="00812B24"/>
    <w:rsid w:val="00813399"/>
    <w:rsid w:val="00813D84"/>
    <w:rsid w:val="00813F48"/>
    <w:rsid w:val="00814252"/>
    <w:rsid w:val="00814950"/>
    <w:rsid w:val="00814EC4"/>
    <w:rsid w:val="00815D2D"/>
    <w:rsid w:val="00815EEB"/>
    <w:rsid w:val="00815F18"/>
    <w:rsid w:val="008161BB"/>
    <w:rsid w:val="008165F7"/>
    <w:rsid w:val="008168CF"/>
    <w:rsid w:val="008178A9"/>
    <w:rsid w:val="00817BCE"/>
    <w:rsid w:val="0082076D"/>
    <w:rsid w:val="00821727"/>
    <w:rsid w:val="008218C0"/>
    <w:rsid w:val="00822054"/>
    <w:rsid w:val="0082268B"/>
    <w:rsid w:val="00823DBE"/>
    <w:rsid w:val="00823F78"/>
    <w:rsid w:val="0082418E"/>
    <w:rsid w:val="00824608"/>
    <w:rsid w:val="00824959"/>
    <w:rsid w:val="00824F2F"/>
    <w:rsid w:val="008251CE"/>
    <w:rsid w:val="0082568D"/>
    <w:rsid w:val="00827B0A"/>
    <w:rsid w:val="008303E2"/>
    <w:rsid w:val="00830EB6"/>
    <w:rsid w:val="00831433"/>
    <w:rsid w:val="00831473"/>
    <w:rsid w:val="00831AA0"/>
    <w:rsid w:val="00832483"/>
    <w:rsid w:val="0083285B"/>
    <w:rsid w:val="00833094"/>
    <w:rsid w:val="008332E9"/>
    <w:rsid w:val="0083379C"/>
    <w:rsid w:val="00833D09"/>
    <w:rsid w:val="0083450A"/>
    <w:rsid w:val="00835160"/>
    <w:rsid w:val="008352E2"/>
    <w:rsid w:val="00835521"/>
    <w:rsid w:val="0083638A"/>
    <w:rsid w:val="0083656F"/>
    <w:rsid w:val="008366D7"/>
    <w:rsid w:val="008370FD"/>
    <w:rsid w:val="00840071"/>
    <w:rsid w:val="008407D7"/>
    <w:rsid w:val="0084080C"/>
    <w:rsid w:val="00840BD2"/>
    <w:rsid w:val="00840C6F"/>
    <w:rsid w:val="00840D3A"/>
    <w:rsid w:val="00840EBE"/>
    <w:rsid w:val="008414A2"/>
    <w:rsid w:val="008414CF"/>
    <w:rsid w:val="00841D63"/>
    <w:rsid w:val="0084263F"/>
    <w:rsid w:val="00842931"/>
    <w:rsid w:val="00842F7C"/>
    <w:rsid w:val="0084320D"/>
    <w:rsid w:val="00843257"/>
    <w:rsid w:val="008433B9"/>
    <w:rsid w:val="00843553"/>
    <w:rsid w:val="00843D12"/>
    <w:rsid w:val="00844677"/>
    <w:rsid w:val="00844963"/>
    <w:rsid w:val="00844A91"/>
    <w:rsid w:val="00844C2C"/>
    <w:rsid w:val="00845268"/>
    <w:rsid w:val="008454CD"/>
    <w:rsid w:val="0084648F"/>
    <w:rsid w:val="00846666"/>
    <w:rsid w:val="00846777"/>
    <w:rsid w:val="008468A8"/>
    <w:rsid w:val="00846F6C"/>
    <w:rsid w:val="008473EB"/>
    <w:rsid w:val="0084740E"/>
    <w:rsid w:val="00847743"/>
    <w:rsid w:val="00847BE7"/>
    <w:rsid w:val="00847DA6"/>
    <w:rsid w:val="00850001"/>
    <w:rsid w:val="00850217"/>
    <w:rsid w:val="008502F9"/>
    <w:rsid w:val="008506A2"/>
    <w:rsid w:val="008515A1"/>
    <w:rsid w:val="008517D6"/>
    <w:rsid w:val="00851BD4"/>
    <w:rsid w:val="00851DA8"/>
    <w:rsid w:val="00852083"/>
    <w:rsid w:val="00853289"/>
    <w:rsid w:val="00853E80"/>
    <w:rsid w:val="00853FEC"/>
    <w:rsid w:val="00854249"/>
    <w:rsid w:val="00854512"/>
    <w:rsid w:val="0085455D"/>
    <w:rsid w:val="008546EB"/>
    <w:rsid w:val="00854F50"/>
    <w:rsid w:val="00855760"/>
    <w:rsid w:val="00855A6A"/>
    <w:rsid w:val="00856099"/>
    <w:rsid w:val="008560AB"/>
    <w:rsid w:val="008562FF"/>
    <w:rsid w:val="008566FB"/>
    <w:rsid w:val="00856806"/>
    <w:rsid w:val="0085730C"/>
    <w:rsid w:val="008601EC"/>
    <w:rsid w:val="008606E9"/>
    <w:rsid w:val="008622BC"/>
    <w:rsid w:val="00862CC5"/>
    <w:rsid w:val="00862DBC"/>
    <w:rsid w:val="008635BD"/>
    <w:rsid w:val="00863BF2"/>
    <w:rsid w:val="00863E24"/>
    <w:rsid w:val="00864737"/>
    <w:rsid w:val="00864B00"/>
    <w:rsid w:val="00864C85"/>
    <w:rsid w:val="0086508C"/>
    <w:rsid w:val="00865EFF"/>
    <w:rsid w:val="008661D5"/>
    <w:rsid w:val="00866751"/>
    <w:rsid w:val="00866A4E"/>
    <w:rsid w:val="00866ADF"/>
    <w:rsid w:val="00866B13"/>
    <w:rsid w:val="008670F0"/>
    <w:rsid w:val="00867544"/>
    <w:rsid w:val="0086796B"/>
    <w:rsid w:val="00867EA2"/>
    <w:rsid w:val="008707A1"/>
    <w:rsid w:val="0087116E"/>
    <w:rsid w:val="00871650"/>
    <w:rsid w:val="008718FD"/>
    <w:rsid w:val="00871D4C"/>
    <w:rsid w:val="00871E23"/>
    <w:rsid w:val="00872525"/>
    <w:rsid w:val="00872A10"/>
    <w:rsid w:val="008738E9"/>
    <w:rsid w:val="00873C76"/>
    <w:rsid w:val="0087434D"/>
    <w:rsid w:val="008748A4"/>
    <w:rsid w:val="00874E7C"/>
    <w:rsid w:val="008757E1"/>
    <w:rsid w:val="008759E3"/>
    <w:rsid w:val="00875A76"/>
    <w:rsid w:val="00875B59"/>
    <w:rsid w:val="0087667E"/>
    <w:rsid w:val="008767E5"/>
    <w:rsid w:val="00876837"/>
    <w:rsid w:val="00876926"/>
    <w:rsid w:val="008771D2"/>
    <w:rsid w:val="0087773C"/>
    <w:rsid w:val="008778C9"/>
    <w:rsid w:val="00877A96"/>
    <w:rsid w:val="00877D8C"/>
    <w:rsid w:val="0088017A"/>
    <w:rsid w:val="0088089A"/>
    <w:rsid w:val="00880D9A"/>
    <w:rsid w:val="0088151D"/>
    <w:rsid w:val="00881ACE"/>
    <w:rsid w:val="00881F41"/>
    <w:rsid w:val="00881F59"/>
    <w:rsid w:val="008829B0"/>
    <w:rsid w:val="00882AE3"/>
    <w:rsid w:val="008837F1"/>
    <w:rsid w:val="00883B46"/>
    <w:rsid w:val="00883C7C"/>
    <w:rsid w:val="00884702"/>
    <w:rsid w:val="00884A21"/>
    <w:rsid w:val="00884C50"/>
    <w:rsid w:val="00885924"/>
    <w:rsid w:val="00885AA8"/>
    <w:rsid w:val="00885AF7"/>
    <w:rsid w:val="00886E5C"/>
    <w:rsid w:val="00887193"/>
    <w:rsid w:val="008875FE"/>
    <w:rsid w:val="00887894"/>
    <w:rsid w:val="0088795C"/>
    <w:rsid w:val="00887A3C"/>
    <w:rsid w:val="008901DE"/>
    <w:rsid w:val="00890ABA"/>
    <w:rsid w:val="00890BD6"/>
    <w:rsid w:val="00891762"/>
    <w:rsid w:val="00891CFE"/>
    <w:rsid w:val="008921F8"/>
    <w:rsid w:val="008932B1"/>
    <w:rsid w:val="008934F3"/>
    <w:rsid w:val="00894178"/>
    <w:rsid w:val="00894229"/>
    <w:rsid w:val="00894FB8"/>
    <w:rsid w:val="0089577A"/>
    <w:rsid w:val="00895A8A"/>
    <w:rsid w:val="00895AD8"/>
    <w:rsid w:val="008969DE"/>
    <w:rsid w:val="00896E7B"/>
    <w:rsid w:val="00896F2B"/>
    <w:rsid w:val="008970A2"/>
    <w:rsid w:val="00897144"/>
    <w:rsid w:val="008977D8"/>
    <w:rsid w:val="008A022D"/>
    <w:rsid w:val="008A09C1"/>
    <w:rsid w:val="008A100A"/>
    <w:rsid w:val="008A132F"/>
    <w:rsid w:val="008A1CE3"/>
    <w:rsid w:val="008A1F35"/>
    <w:rsid w:val="008A2104"/>
    <w:rsid w:val="008A2248"/>
    <w:rsid w:val="008A241D"/>
    <w:rsid w:val="008A3630"/>
    <w:rsid w:val="008A39DB"/>
    <w:rsid w:val="008A41F7"/>
    <w:rsid w:val="008A42AB"/>
    <w:rsid w:val="008A4358"/>
    <w:rsid w:val="008A488A"/>
    <w:rsid w:val="008A4D64"/>
    <w:rsid w:val="008A59EA"/>
    <w:rsid w:val="008A61A7"/>
    <w:rsid w:val="008A7A70"/>
    <w:rsid w:val="008B015B"/>
    <w:rsid w:val="008B07B6"/>
    <w:rsid w:val="008B0B4E"/>
    <w:rsid w:val="008B0CA6"/>
    <w:rsid w:val="008B11A3"/>
    <w:rsid w:val="008B15BE"/>
    <w:rsid w:val="008B162E"/>
    <w:rsid w:val="008B2804"/>
    <w:rsid w:val="008B31B8"/>
    <w:rsid w:val="008B3278"/>
    <w:rsid w:val="008B352B"/>
    <w:rsid w:val="008B3909"/>
    <w:rsid w:val="008B3EBE"/>
    <w:rsid w:val="008B48C2"/>
    <w:rsid w:val="008B4EEC"/>
    <w:rsid w:val="008B5528"/>
    <w:rsid w:val="008B5995"/>
    <w:rsid w:val="008B5C1E"/>
    <w:rsid w:val="008B5F22"/>
    <w:rsid w:val="008B5FA5"/>
    <w:rsid w:val="008B78EA"/>
    <w:rsid w:val="008B7BC1"/>
    <w:rsid w:val="008C0632"/>
    <w:rsid w:val="008C0BC2"/>
    <w:rsid w:val="008C0EEE"/>
    <w:rsid w:val="008C13D2"/>
    <w:rsid w:val="008C1C7C"/>
    <w:rsid w:val="008C1D57"/>
    <w:rsid w:val="008C1FAB"/>
    <w:rsid w:val="008C20C1"/>
    <w:rsid w:val="008C2C5C"/>
    <w:rsid w:val="008C305E"/>
    <w:rsid w:val="008C3202"/>
    <w:rsid w:val="008C4089"/>
    <w:rsid w:val="008C420A"/>
    <w:rsid w:val="008C4404"/>
    <w:rsid w:val="008C45D2"/>
    <w:rsid w:val="008C4935"/>
    <w:rsid w:val="008C499C"/>
    <w:rsid w:val="008C4BB5"/>
    <w:rsid w:val="008C4D03"/>
    <w:rsid w:val="008C5007"/>
    <w:rsid w:val="008C53F0"/>
    <w:rsid w:val="008C5746"/>
    <w:rsid w:val="008C5C4B"/>
    <w:rsid w:val="008C5F02"/>
    <w:rsid w:val="008C69EC"/>
    <w:rsid w:val="008C6ACD"/>
    <w:rsid w:val="008C788B"/>
    <w:rsid w:val="008C7949"/>
    <w:rsid w:val="008D1193"/>
    <w:rsid w:val="008D1333"/>
    <w:rsid w:val="008D1C17"/>
    <w:rsid w:val="008D22AF"/>
    <w:rsid w:val="008D23F7"/>
    <w:rsid w:val="008D2913"/>
    <w:rsid w:val="008D351C"/>
    <w:rsid w:val="008D3785"/>
    <w:rsid w:val="008D379B"/>
    <w:rsid w:val="008D399A"/>
    <w:rsid w:val="008D4535"/>
    <w:rsid w:val="008D4847"/>
    <w:rsid w:val="008D5C58"/>
    <w:rsid w:val="008D5DA1"/>
    <w:rsid w:val="008D6182"/>
    <w:rsid w:val="008D63AA"/>
    <w:rsid w:val="008D6E70"/>
    <w:rsid w:val="008D79CB"/>
    <w:rsid w:val="008D7A41"/>
    <w:rsid w:val="008D7AE5"/>
    <w:rsid w:val="008D7E66"/>
    <w:rsid w:val="008D7F95"/>
    <w:rsid w:val="008E0059"/>
    <w:rsid w:val="008E022A"/>
    <w:rsid w:val="008E0CF5"/>
    <w:rsid w:val="008E17B0"/>
    <w:rsid w:val="008E18C8"/>
    <w:rsid w:val="008E3324"/>
    <w:rsid w:val="008E40C6"/>
    <w:rsid w:val="008E44D1"/>
    <w:rsid w:val="008E49A9"/>
    <w:rsid w:val="008E4B5A"/>
    <w:rsid w:val="008E5180"/>
    <w:rsid w:val="008E5501"/>
    <w:rsid w:val="008E5ACD"/>
    <w:rsid w:val="008E5D33"/>
    <w:rsid w:val="008E5F0D"/>
    <w:rsid w:val="008E65C2"/>
    <w:rsid w:val="008E6BB0"/>
    <w:rsid w:val="008E6C24"/>
    <w:rsid w:val="008E6FA5"/>
    <w:rsid w:val="008E7383"/>
    <w:rsid w:val="008E76D5"/>
    <w:rsid w:val="008E79AE"/>
    <w:rsid w:val="008F0061"/>
    <w:rsid w:val="008F0DCF"/>
    <w:rsid w:val="008F1877"/>
    <w:rsid w:val="008F18DA"/>
    <w:rsid w:val="008F1929"/>
    <w:rsid w:val="008F1AC8"/>
    <w:rsid w:val="008F2A01"/>
    <w:rsid w:val="008F2DFF"/>
    <w:rsid w:val="008F2ED6"/>
    <w:rsid w:val="008F32E1"/>
    <w:rsid w:val="008F367A"/>
    <w:rsid w:val="008F3747"/>
    <w:rsid w:val="008F37F4"/>
    <w:rsid w:val="008F4A53"/>
    <w:rsid w:val="008F4ADF"/>
    <w:rsid w:val="008F55C5"/>
    <w:rsid w:val="008F58CF"/>
    <w:rsid w:val="008F5AA6"/>
    <w:rsid w:val="008F60FF"/>
    <w:rsid w:val="008F61AB"/>
    <w:rsid w:val="008F6565"/>
    <w:rsid w:val="008F66CE"/>
    <w:rsid w:val="008F6A01"/>
    <w:rsid w:val="008F7363"/>
    <w:rsid w:val="008F7675"/>
    <w:rsid w:val="008F7AC8"/>
    <w:rsid w:val="008F7FD2"/>
    <w:rsid w:val="00900880"/>
    <w:rsid w:val="00902CE0"/>
    <w:rsid w:val="00903140"/>
    <w:rsid w:val="0090381E"/>
    <w:rsid w:val="00904C62"/>
    <w:rsid w:val="0090564C"/>
    <w:rsid w:val="00905689"/>
    <w:rsid w:val="00906486"/>
    <w:rsid w:val="009067DE"/>
    <w:rsid w:val="00906BBD"/>
    <w:rsid w:val="00906D92"/>
    <w:rsid w:val="00907647"/>
    <w:rsid w:val="009111C2"/>
    <w:rsid w:val="009112E4"/>
    <w:rsid w:val="009112ED"/>
    <w:rsid w:val="00911553"/>
    <w:rsid w:val="00911695"/>
    <w:rsid w:val="00911DC1"/>
    <w:rsid w:val="00911DCE"/>
    <w:rsid w:val="009120C2"/>
    <w:rsid w:val="0091243D"/>
    <w:rsid w:val="0091293D"/>
    <w:rsid w:val="00912D47"/>
    <w:rsid w:val="00913271"/>
    <w:rsid w:val="00913601"/>
    <w:rsid w:val="00914052"/>
    <w:rsid w:val="00914B18"/>
    <w:rsid w:val="00914B26"/>
    <w:rsid w:val="00914C00"/>
    <w:rsid w:val="009155CE"/>
    <w:rsid w:val="009159A9"/>
    <w:rsid w:val="009163CE"/>
    <w:rsid w:val="00916626"/>
    <w:rsid w:val="00916A29"/>
    <w:rsid w:val="0091738D"/>
    <w:rsid w:val="00917D39"/>
    <w:rsid w:val="00920127"/>
    <w:rsid w:val="009201B3"/>
    <w:rsid w:val="009206C8"/>
    <w:rsid w:val="009209D7"/>
    <w:rsid w:val="00920DE1"/>
    <w:rsid w:val="009216CE"/>
    <w:rsid w:val="009229FA"/>
    <w:rsid w:val="00922D32"/>
    <w:rsid w:val="009230A5"/>
    <w:rsid w:val="009234D7"/>
    <w:rsid w:val="00924627"/>
    <w:rsid w:val="00924D44"/>
    <w:rsid w:val="00925259"/>
    <w:rsid w:val="00925574"/>
    <w:rsid w:val="00925970"/>
    <w:rsid w:val="00925A30"/>
    <w:rsid w:val="00925D05"/>
    <w:rsid w:val="00925E57"/>
    <w:rsid w:val="00925F5D"/>
    <w:rsid w:val="00925F64"/>
    <w:rsid w:val="00926216"/>
    <w:rsid w:val="0092647E"/>
    <w:rsid w:val="00926AC4"/>
    <w:rsid w:val="00926D0D"/>
    <w:rsid w:val="00926ED0"/>
    <w:rsid w:val="00926FC5"/>
    <w:rsid w:val="00927AFF"/>
    <w:rsid w:val="0093044B"/>
    <w:rsid w:val="00930457"/>
    <w:rsid w:val="00930D94"/>
    <w:rsid w:val="009311CE"/>
    <w:rsid w:val="00931942"/>
    <w:rsid w:val="009321A8"/>
    <w:rsid w:val="0093487C"/>
    <w:rsid w:val="00934BF1"/>
    <w:rsid w:val="00934F59"/>
    <w:rsid w:val="00934FA0"/>
    <w:rsid w:val="00936186"/>
    <w:rsid w:val="00936610"/>
    <w:rsid w:val="009367A8"/>
    <w:rsid w:val="00936D94"/>
    <w:rsid w:val="00936F31"/>
    <w:rsid w:val="009371B0"/>
    <w:rsid w:val="0093767E"/>
    <w:rsid w:val="00937688"/>
    <w:rsid w:val="00937B07"/>
    <w:rsid w:val="00937B31"/>
    <w:rsid w:val="00940386"/>
    <w:rsid w:val="009403D6"/>
    <w:rsid w:val="009404F6"/>
    <w:rsid w:val="009411BC"/>
    <w:rsid w:val="009414DB"/>
    <w:rsid w:val="00941678"/>
    <w:rsid w:val="0094242A"/>
    <w:rsid w:val="00943148"/>
    <w:rsid w:val="009437D1"/>
    <w:rsid w:val="00945344"/>
    <w:rsid w:val="00945768"/>
    <w:rsid w:val="009457C0"/>
    <w:rsid w:val="00945B54"/>
    <w:rsid w:val="00945F53"/>
    <w:rsid w:val="0094659E"/>
    <w:rsid w:val="0094776D"/>
    <w:rsid w:val="009477CA"/>
    <w:rsid w:val="00947887"/>
    <w:rsid w:val="00947D66"/>
    <w:rsid w:val="00950094"/>
    <w:rsid w:val="009516AD"/>
    <w:rsid w:val="00951DAE"/>
    <w:rsid w:val="0095239A"/>
    <w:rsid w:val="0095270B"/>
    <w:rsid w:val="00952845"/>
    <w:rsid w:val="00953666"/>
    <w:rsid w:val="0095371D"/>
    <w:rsid w:val="00954D40"/>
    <w:rsid w:val="009550DC"/>
    <w:rsid w:val="0095518B"/>
    <w:rsid w:val="009551F9"/>
    <w:rsid w:val="00955581"/>
    <w:rsid w:val="00955AD4"/>
    <w:rsid w:val="00955F74"/>
    <w:rsid w:val="009561DB"/>
    <w:rsid w:val="009569BE"/>
    <w:rsid w:val="009569EE"/>
    <w:rsid w:val="00957196"/>
    <w:rsid w:val="00957560"/>
    <w:rsid w:val="00957F28"/>
    <w:rsid w:val="00957FD7"/>
    <w:rsid w:val="009605EE"/>
    <w:rsid w:val="0096151E"/>
    <w:rsid w:val="0096164C"/>
    <w:rsid w:val="009617E3"/>
    <w:rsid w:val="009618C2"/>
    <w:rsid w:val="00961D53"/>
    <w:rsid w:val="0096216A"/>
    <w:rsid w:val="00962170"/>
    <w:rsid w:val="009622A0"/>
    <w:rsid w:val="0096316A"/>
    <w:rsid w:val="00963768"/>
    <w:rsid w:val="00963DA6"/>
    <w:rsid w:val="00963DAD"/>
    <w:rsid w:val="00964046"/>
    <w:rsid w:val="0096467A"/>
    <w:rsid w:val="00964A3C"/>
    <w:rsid w:val="00964DC6"/>
    <w:rsid w:val="00964E12"/>
    <w:rsid w:val="00965232"/>
    <w:rsid w:val="00965293"/>
    <w:rsid w:val="00965341"/>
    <w:rsid w:val="00965768"/>
    <w:rsid w:val="0096662B"/>
    <w:rsid w:val="00966B7E"/>
    <w:rsid w:val="00966C8D"/>
    <w:rsid w:val="0096715D"/>
    <w:rsid w:val="00967583"/>
    <w:rsid w:val="00967D82"/>
    <w:rsid w:val="00970B72"/>
    <w:rsid w:val="00970BF4"/>
    <w:rsid w:val="00970E5C"/>
    <w:rsid w:val="00971952"/>
    <w:rsid w:val="00971FAD"/>
    <w:rsid w:val="009723D0"/>
    <w:rsid w:val="00972688"/>
    <w:rsid w:val="009726BE"/>
    <w:rsid w:val="00972D30"/>
    <w:rsid w:val="00973C3A"/>
    <w:rsid w:val="00974015"/>
    <w:rsid w:val="00974046"/>
    <w:rsid w:val="0097410D"/>
    <w:rsid w:val="009749C2"/>
    <w:rsid w:val="00975862"/>
    <w:rsid w:val="009758DE"/>
    <w:rsid w:val="00975B6A"/>
    <w:rsid w:val="00975D6F"/>
    <w:rsid w:val="009761A4"/>
    <w:rsid w:val="00976BDB"/>
    <w:rsid w:val="00976DB2"/>
    <w:rsid w:val="00977300"/>
    <w:rsid w:val="00980200"/>
    <w:rsid w:val="00980B29"/>
    <w:rsid w:val="00981341"/>
    <w:rsid w:val="0098151E"/>
    <w:rsid w:val="00981D76"/>
    <w:rsid w:val="00981D79"/>
    <w:rsid w:val="00981EF5"/>
    <w:rsid w:val="00981F56"/>
    <w:rsid w:val="00982D62"/>
    <w:rsid w:val="00982F91"/>
    <w:rsid w:val="00983269"/>
    <w:rsid w:val="00983DBB"/>
    <w:rsid w:val="00983EC1"/>
    <w:rsid w:val="009841A4"/>
    <w:rsid w:val="00986BF7"/>
    <w:rsid w:val="00987B60"/>
    <w:rsid w:val="00987FCD"/>
    <w:rsid w:val="0099021C"/>
    <w:rsid w:val="00990226"/>
    <w:rsid w:val="009903D7"/>
    <w:rsid w:val="0099040C"/>
    <w:rsid w:val="009914E4"/>
    <w:rsid w:val="00991792"/>
    <w:rsid w:val="009917AB"/>
    <w:rsid w:val="00991B6C"/>
    <w:rsid w:val="00992B44"/>
    <w:rsid w:val="00992D40"/>
    <w:rsid w:val="00993A76"/>
    <w:rsid w:val="00994030"/>
    <w:rsid w:val="00994186"/>
    <w:rsid w:val="0099469B"/>
    <w:rsid w:val="009946EF"/>
    <w:rsid w:val="00994BD6"/>
    <w:rsid w:val="00994FF8"/>
    <w:rsid w:val="00995156"/>
    <w:rsid w:val="00995BF9"/>
    <w:rsid w:val="00995E5E"/>
    <w:rsid w:val="00995E90"/>
    <w:rsid w:val="00995ECD"/>
    <w:rsid w:val="00996075"/>
    <w:rsid w:val="0099648B"/>
    <w:rsid w:val="00997013"/>
    <w:rsid w:val="00997917"/>
    <w:rsid w:val="00997B0A"/>
    <w:rsid w:val="00997EBE"/>
    <w:rsid w:val="009A06BE"/>
    <w:rsid w:val="009A0B1C"/>
    <w:rsid w:val="009A0DEA"/>
    <w:rsid w:val="009A18CD"/>
    <w:rsid w:val="009A1F29"/>
    <w:rsid w:val="009A200E"/>
    <w:rsid w:val="009A20B2"/>
    <w:rsid w:val="009A3A69"/>
    <w:rsid w:val="009A4329"/>
    <w:rsid w:val="009A468D"/>
    <w:rsid w:val="009A4D67"/>
    <w:rsid w:val="009A5A54"/>
    <w:rsid w:val="009A5B4F"/>
    <w:rsid w:val="009A5F21"/>
    <w:rsid w:val="009A6F26"/>
    <w:rsid w:val="009A76D6"/>
    <w:rsid w:val="009A799A"/>
    <w:rsid w:val="009A79E7"/>
    <w:rsid w:val="009A7C7F"/>
    <w:rsid w:val="009B09C5"/>
    <w:rsid w:val="009B0A8D"/>
    <w:rsid w:val="009B16BE"/>
    <w:rsid w:val="009B179C"/>
    <w:rsid w:val="009B18DC"/>
    <w:rsid w:val="009B19A6"/>
    <w:rsid w:val="009B1BA9"/>
    <w:rsid w:val="009B1FD5"/>
    <w:rsid w:val="009B2588"/>
    <w:rsid w:val="009B298E"/>
    <w:rsid w:val="009B3B32"/>
    <w:rsid w:val="009B3BC2"/>
    <w:rsid w:val="009B3E30"/>
    <w:rsid w:val="009B4C36"/>
    <w:rsid w:val="009B4DB4"/>
    <w:rsid w:val="009B537F"/>
    <w:rsid w:val="009B55E2"/>
    <w:rsid w:val="009B5C02"/>
    <w:rsid w:val="009B6367"/>
    <w:rsid w:val="009B6718"/>
    <w:rsid w:val="009B6844"/>
    <w:rsid w:val="009B6896"/>
    <w:rsid w:val="009C0441"/>
    <w:rsid w:val="009C0A91"/>
    <w:rsid w:val="009C0B5A"/>
    <w:rsid w:val="009C1092"/>
    <w:rsid w:val="009C11FF"/>
    <w:rsid w:val="009C13DB"/>
    <w:rsid w:val="009C18B1"/>
    <w:rsid w:val="009C1A55"/>
    <w:rsid w:val="009C24EB"/>
    <w:rsid w:val="009C2EFA"/>
    <w:rsid w:val="009C321D"/>
    <w:rsid w:val="009C38F3"/>
    <w:rsid w:val="009C3E45"/>
    <w:rsid w:val="009C426F"/>
    <w:rsid w:val="009C457F"/>
    <w:rsid w:val="009C4904"/>
    <w:rsid w:val="009C4BB8"/>
    <w:rsid w:val="009C4C53"/>
    <w:rsid w:val="009C4D9A"/>
    <w:rsid w:val="009C4DCB"/>
    <w:rsid w:val="009C5050"/>
    <w:rsid w:val="009C56F2"/>
    <w:rsid w:val="009C5C6E"/>
    <w:rsid w:val="009C62A4"/>
    <w:rsid w:val="009C6546"/>
    <w:rsid w:val="009C65D6"/>
    <w:rsid w:val="009C6FA5"/>
    <w:rsid w:val="009C7858"/>
    <w:rsid w:val="009C78BD"/>
    <w:rsid w:val="009C79BE"/>
    <w:rsid w:val="009C7C98"/>
    <w:rsid w:val="009C7E3B"/>
    <w:rsid w:val="009D02AE"/>
    <w:rsid w:val="009D07FE"/>
    <w:rsid w:val="009D0A47"/>
    <w:rsid w:val="009D0C70"/>
    <w:rsid w:val="009D1060"/>
    <w:rsid w:val="009D2302"/>
    <w:rsid w:val="009D2D7F"/>
    <w:rsid w:val="009D31E0"/>
    <w:rsid w:val="009D5483"/>
    <w:rsid w:val="009D5555"/>
    <w:rsid w:val="009D5AB3"/>
    <w:rsid w:val="009D612C"/>
    <w:rsid w:val="009D6CA6"/>
    <w:rsid w:val="009E0259"/>
    <w:rsid w:val="009E0347"/>
    <w:rsid w:val="009E0561"/>
    <w:rsid w:val="009E057F"/>
    <w:rsid w:val="009E062A"/>
    <w:rsid w:val="009E0C81"/>
    <w:rsid w:val="009E1A69"/>
    <w:rsid w:val="009E1D6F"/>
    <w:rsid w:val="009E1DB0"/>
    <w:rsid w:val="009E2269"/>
    <w:rsid w:val="009E22B9"/>
    <w:rsid w:val="009E2CE2"/>
    <w:rsid w:val="009E3E79"/>
    <w:rsid w:val="009E484E"/>
    <w:rsid w:val="009E4CA5"/>
    <w:rsid w:val="009E4CBE"/>
    <w:rsid w:val="009E4E5E"/>
    <w:rsid w:val="009E5538"/>
    <w:rsid w:val="009E579F"/>
    <w:rsid w:val="009E5D4D"/>
    <w:rsid w:val="009E5D7C"/>
    <w:rsid w:val="009E71B8"/>
    <w:rsid w:val="009E7733"/>
    <w:rsid w:val="009E78DE"/>
    <w:rsid w:val="009E7999"/>
    <w:rsid w:val="009E79F9"/>
    <w:rsid w:val="009E7D20"/>
    <w:rsid w:val="009E7D48"/>
    <w:rsid w:val="009E7E37"/>
    <w:rsid w:val="009F052D"/>
    <w:rsid w:val="009F0B65"/>
    <w:rsid w:val="009F0D42"/>
    <w:rsid w:val="009F1475"/>
    <w:rsid w:val="009F1BFE"/>
    <w:rsid w:val="009F1CB7"/>
    <w:rsid w:val="009F21D3"/>
    <w:rsid w:val="009F2916"/>
    <w:rsid w:val="009F4745"/>
    <w:rsid w:val="009F48CA"/>
    <w:rsid w:val="009F4F0A"/>
    <w:rsid w:val="009F4FC3"/>
    <w:rsid w:val="009F54BC"/>
    <w:rsid w:val="009F55A9"/>
    <w:rsid w:val="009F585A"/>
    <w:rsid w:val="009F5B4D"/>
    <w:rsid w:val="009F6759"/>
    <w:rsid w:val="009F6778"/>
    <w:rsid w:val="009F6BCC"/>
    <w:rsid w:val="009F6C7F"/>
    <w:rsid w:val="00A000BB"/>
    <w:rsid w:val="00A00214"/>
    <w:rsid w:val="00A002D4"/>
    <w:rsid w:val="00A003A8"/>
    <w:rsid w:val="00A01C06"/>
    <w:rsid w:val="00A01C2E"/>
    <w:rsid w:val="00A0203D"/>
    <w:rsid w:val="00A022BF"/>
    <w:rsid w:val="00A023D1"/>
    <w:rsid w:val="00A02A1B"/>
    <w:rsid w:val="00A02C2D"/>
    <w:rsid w:val="00A02ECD"/>
    <w:rsid w:val="00A02FD8"/>
    <w:rsid w:val="00A0370C"/>
    <w:rsid w:val="00A03A2A"/>
    <w:rsid w:val="00A04186"/>
    <w:rsid w:val="00A0510D"/>
    <w:rsid w:val="00A05583"/>
    <w:rsid w:val="00A05953"/>
    <w:rsid w:val="00A060B1"/>
    <w:rsid w:val="00A06696"/>
    <w:rsid w:val="00A067E0"/>
    <w:rsid w:val="00A06C66"/>
    <w:rsid w:val="00A074CF"/>
    <w:rsid w:val="00A075A0"/>
    <w:rsid w:val="00A0768A"/>
    <w:rsid w:val="00A07E1F"/>
    <w:rsid w:val="00A107A1"/>
    <w:rsid w:val="00A10F13"/>
    <w:rsid w:val="00A1105F"/>
    <w:rsid w:val="00A115E5"/>
    <w:rsid w:val="00A11BB7"/>
    <w:rsid w:val="00A121E0"/>
    <w:rsid w:val="00A124D0"/>
    <w:rsid w:val="00A125B6"/>
    <w:rsid w:val="00A12D04"/>
    <w:rsid w:val="00A12DAC"/>
    <w:rsid w:val="00A1370E"/>
    <w:rsid w:val="00A141EB"/>
    <w:rsid w:val="00A1436B"/>
    <w:rsid w:val="00A1444B"/>
    <w:rsid w:val="00A1555D"/>
    <w:rsid w:val="00A16192"/>
    <w:rsid w:val="00A16595"/>
    <w:rsid w:val="00A166A8"/>
    <w:rsid w:val="00A16A45"/>
    <w:rsid w:val="00A16B43"/>
    <w:rsid w:val="00A171AD"/>
    <w:rsid w:val="00A17397"/>
    <w:rsid w:val="00A176DE"/>
    <w:rsid w:val="00A17CC8"/>
    <w:rsid w:val="00A20D90"/>
    <w:rsid w:val="00A20DBD"/>
    <w:rsid w:val="00A216B5"/>
    <w:rsid w:val="00A22391"/>
    <w:rsid w:val="00A22743"/>
    <w:rsid w:val="00A22C7A"/>
    <w:rsid w:val="00A23074"/>
    <w:rsid w:val="00A237BA"/>
    <w:rsid w:val="00A2388B"/>
    <w:rsid w:val="00A24194"/>
    <w:rsid w:val="00A249C9"/>
    <w:rsid w:val="00A24D06"/>
    <w:rsid w:val="00A252DA"/>
    <w:rsid w:val="00A254DD"/>
    <w:rsid w:val="00A25585"/>
    <w:rsid w:val="00A2661C"/>
    <w:rsid w:val="00A2695B"/>
    <w:rsid w:val="00A269C8"/>
    <w:rsid w:val="00A26B16"/>
    <w:rsid w:val="00A2712B"/>
    <w:rsid w:val="00A274A2"/>
    <w:rsid w:val="00A27605"/>
    <w:rsid w:val="00A27650"/>
    <w:rsid w:val="00A27D35"/>
    <w:rsid w:val="00A30652"/>
    <w:rsid w:val="00A3069F"/>
    <w:rsid w:val="00A30991"/>
    <w:rsid w:val="00A30ABB"/>
    <w:rsid w:val="00A30BFC"/>
    <w:rsid w:val="00A317A2"/>
    <w:rsid w:val="00A323D3"/>
    <w:rsid w:val="00A325DB"/>
    <w:rsid w:val="00A327A0"/>
    <w:rsid w:val="00A32E99"/>
    <w:rsid w:val="00A33956"/>
    <w:rsid w:val="00A33F74"/>
    <w:rsid w:val="00A34A6C"/>
    <w:rsid w:val="00A34FAC"/>
    <w:rsid w:val="00A350EB"/>
    <w:rsid w:val="00A3514D"/>
    <w:rsid w:val="00A35E7C"/>
    <w:rsid w:val="00A364FB"/>
    <w:rsid w:val="00A366AF"/>
    <w:rsid w:val="00A36758"/>
    <w:rsid w:val="00A36CEA"/>
    <w:rsid w:val="00A37251"/>
    <w:rsid w:val="00A375B4"/>
    <w:rsid w:val="00A40546"/>
    <w:rsid w:val="00A40B40"/>
    <w:rsid w:val="00A41B1B"/>
    <w:rsid w:val="00A41C31"/>
    <w:rsid w:val="00A41C51"/>
    <w:rsid w:val="00A42162"/>
    <w:rsid w:val="00A424BD"/>
    <w:rsid w:val="00A42C6B"/>
    <w:rsid w:val="00A42D02"/>
    <w:rsid w:val="00A42FBF"/>
    <w:rsid w:val="00A439A9"/>
    <w:rsid w:val="00A43CF5"/>
    <w:rsid w:val="00A4558B"/>
    <w:rsid w:val="00A455A7"/>
    <w:rsid w:val="00A459DB"/>
    <w:rsid w:val="00A45F1D"/>
    <w:rsid w:val="00A472AD"/>
    <w:rsid w:val="00A47384"/>
    <w:rsid w:val="00A47CA0"/>
    <w:rsid w:val="00A5052D"/>
    <w:rsid w:val="00A50F81"/>
    <w:rsid w:val="00A5115F"/>
    <w:rsid w:val="00A51FB7"/>
    <w:rsid w:val="00A521C1"/>
    <w:rsid w:val="00A528B5"/>
    <w:rsid w:val="00A52BBE"/>
    <w:rsid w:val="00A5304E"/>
    <w:rsid w:val="00A53668"/>
    <w:rsid w:val="00A53BB2"/>
    <w:rsid w:val="00A53D23"/>
    <w:rsid w:val="00A53D25"/>
    <w:rsid w:val="00A54957"/>
    <w:rsid w:val="00A54FD5"/>
    <w:rsid w:val="00A554A5"/>
    <w:rsid w:val="00A55A3C"/>
    <w:rsid w:val="00A55A89"/>
    <w:rsid w:val="00A55B5D"/>
    <w:rsid w:val="00A55B77"/>
    <w:rsid w:val="00A55C2A"/>
    <w:rsid w:val="00A55C5D"/>
    <w:rsid w:val="00A56255"/>
    <w:rsid w:val="00A56614"/>
    <w:rsid w:val="00A56F17"/>
    <w:rsid w:val="00A579FF"/>
    <w:rsid w:val="00A57BB5"/>
    <w:rsid w:val="00A604B0"/>
    <w:rsid w:val="00A607B1"/>
    <w:rsid w:val="00A60976"/>
    <w:rsid w:val="00A60C76"/>
    <w:rsid w:val="00A60FE8"/>
    <w:rsid w:val="00A619F0"/>
    <w:rsid w:val="00A61D9E"/>
    <w:rsid w:val="00A623EC"/>
    <w:rsid w:val="00A625AD"/>
    <w:rsid w:val="00A625BC"/>
    <w:rsid w:val="00A62F24"/>
    <w:rsid w:val="00A63258"/>
    <w:rsid w:val="00A63FD2"/>
    <w:rsid w:val="00A647E9"/>
    <w:rsid w:val="00A64865"/>
    <w:rsid w:val="00A6519A"/>
    <w:rsid w:val="00A651B6"/>
    <w:rsid w:val="00A659C8"/>
    <w:rsid w:val="00A65A03"/>
    <w:rsid w:val="00A66135"/>
    <w:rsid w:val="00A666A2"/>
    <w:rsid w:val="00A6702C"/>
    <w:rsid w:val="00A6717D"/>
    <w:rsid w:val="00A677F3"/>
    <w:rsid w:val="00A67A8B"/>
    <w:rsid w:val="00A67C49"/>
    <w:rsid w:val="00A7113E"/>
    <w:rsid w:val="00A714E6"/>
    <w:rsid w:val="00A71977"/>
    <w:rsid w:val="00A71C1F"/>
    <w:rsid w:val="00A71E23"/>
    <w:rsid w:val="00A736FF"/>
    <w:rsid w:val="00A73F44"/>
    <w:rsid w:val="00A749C1"/>
    <w:rsid w:val="00A749C4"/>
    <w:rsid w:val="00A74F77"/>
    <w:rsid w:val="00A75614"/>
    <w:rsid w:val="00A75655"/>
    <w:rsid w:val="00A75916"/>
    <w:rsid w:val="00A75CAB"/>
    <w:rsid w:val="00A75EB2"/>
    <w:rsid w:val="00A76730"/>
    <w:rsid w:val="00A76D2D"/>
    <w:rsid w:val="00A76DC2"/>
    <w:rsid w:val="00A76FDC"/>
    <w:rsid w:val="00A7711C"/>
    <w:rsid w:val="00A771E6"/>
    <w:rsid w:val="00A77248"/>
    <w:rsid w:val="00A773B5"/>
    <w:rsid w:val="00A774E3"/>
    <w:rsid w:val="00A77802"/>
    <w:rsid w:val="00A77AD9"/>
    <w:rsid w:val="00A77E8F"/>
    <w:rsid w:val="00A800DF"/>
    <w:rsid w:val="00A800EF"/>
    <w:rsid w:val="00A808A4"/>
    <w:rsid w:val="00A835D3"/>
    <w:rsid w:val="00A83692"/>
    <w:rsid w:val="00A837CF"/>
    <w:rsid w:val="00A83846"/>
    <w:rsid w:val="00A83AB1"/>
    <w:rsid w:val="00A845C6"/>
    <w:rsid w:val="00A8491B"/>
    <w:rsid w:val="00A84B6A"/>
    <w:rsid w:val="00A84D71"/>
    <w:rsid w:val="00A84F75"/>
    <w:rsid w:val="00A85C09"/>
    <w:rsid w:val="00A86604"/>
    <w:rsid w:val="00A86E5D"/>
    <w:rsid w:val="00A86EA2"/>
    <w:rsid w:val="00A87073"/>
    <w:rsid w:val="00A87409"/>
    <w:rsid w:val="00A8756C"/>
    <w:rsid w:val="00A875DE"/>
    <w:rsid w:val="00A87D00"/>
    <w:rsid w:val="00A87FC0"/>
    <w:rsid w:val="00A906C2"/>
    <w:rsid w:val="00A9079F"/>
    <w:rsid w:val="00A9081A"/>
    <w:rsid w:val="00A90A8A"/>
    <w:rsid w:val="00A90F81"/>
    <w:rsid w:val="00A9110E"/>
    <w:rsid w:val="00A91CA6"/>
    <w:rsid w:val="00A91D72"/>
    <w:rsid w:val="00A92965"/>
    <w:rsid w:val="00A92CA0"/>
    <w:rsid w:val="00A93953"/>
    <w:rsid w:val="00A93E15"/>
    <w:rsid w:val="00A9568C"/>
    <w:rsid w:val="00A95A0B"/>
    <w:rsid w:val="00A95B30"/>
    <w:rsid w:val="00A95E14"/>
    <w:rsid w:val="00A95FC4"/>
    <w:rsid w:val="00A962D8"/>
    <w:rsid w:val="00A963E4"/>
    <w:rsid w:val="00A96E14"/>
    <w:rsid w:val="00A96E94"/>
    <w:rsid w:val="00A96FF3"/>
    <w:rsid w:val="00A97F3D"/>
    <w:rsid w:val="00A97F8B"/>
    <w:rsid w:val="00AA0109"/>
    <w:rsid w:val="00AA054C"/>
    <w:rsid w:val="00AA0586"/>
    <w:rsid w:val="00AA1106"/>
    <w:rsid w:val="00AA1626"/>
    <w:rsid w:val="00AA1924"/>
    <w:rsid w:val="00AA1928"/>
    <w:rsid w:val="00AA1B3E"/>
    <w:rsid w:val="00AA23A3"/>
    <w:rsid w:val="00AA253D"/>
    <w:rsid w:val="00AA3130"/>
    <w:rsid w:val="00AA34D0"/>
    <w:rsid w:val="00AA3A4C"/>
    <w:rsid w:val="00AA3B99"/>
    <w:rsid w:val="00AA3FAF"/>
    <w:rsid w:val="00AA4425"/>
    <w:rsid w:val="00AA470F"/>
    <w:rsid w:val="00AA4BD1"/>
    <w:rsid w:val="00AA59C0"/>
    <w:rsid w:val="00AA5A3F"/>
    <w:rsid w:val="00AA5F33"/>
    <w:rsid w:val="00AA6133"/>
    <w:rsid w:val="00AA61BF"/>
    <w:rsid w:val="00AA64B2"/>
    <w:rsid w:val="00AA6B61"/>
    <w:rsid w:val="00AA74EC"/>
    <w:rsid w:val="00AA7761"/>
    <w:rsid w:val="00AA7834"/>
    <w:rsid w:val="00AA788C"/>
    <w:rsid w:val="00AA7C8B"/>
    <w:rsid w:val="00AA7EFB"/>
    <w:rsid w:val="00AB042A"/>
    <w:rsid w:val="00AB0F54"/>
    <w:rsid w:val="00AB0FF0"/>
    <w:rsid w:val="00AB19C4"/>
    <w:rsid w:val="00AB1A5F"/>
    <w:rsid w:val="00AB1B9D"/>
    <w:rsid w:val="00AB2F9E"/>
    <w:rsid w:val="00AB395B"/>
    <w:rsid w:val="00AB3A3F"/>
    <w:rsid w:val="00AB3F07"/>
    <w:rsid w:val="00AB40AD"/>
    <w:rsid w:val="00AB43C5"/>
    <w:rsid w:val="00AB46DE"/>
    <w:rsid w:val="00AB4792"/>
    <w:rsid w:val="00AB4D48"/>
    <w:rsid w:val="00AB4EA9"/>
    <w:rsid w:val="00AB5638"/>
    <w:rsid w:val="00AB5786"/>
    <w:rsid w:val="00AB57D0"/>
    <w:rsid w:val="00AB5E55"/>
    <w:rsid w:val="00AB6451"/>
    <w:rsid w:val="00AB6AFC"/>
    <w:rsid w:val="00AB6EC0"/>
    <w:rsid w:val="00AC02E8"/>
    <w:rsid w:val="00AC03AC"/>
    <w:rsid w:val="00AC0426"/>
    <w:rsid w:val="00AC04D1"/>
    <w:rsid w:val="00AC0D6F"/>
    <w:rsid w:val="00AC12BF"/>
    <w:rsid w:val="00AC163F"/>
    <w:rsid w:val="00AC19B7"/>
    <w:rsid w:val="00AC1C63"/>
    <w:rsid w:val="00AC2022"/>
    <w:rsid w:val="00AC213C"/>
    <w:rsid w:val="00AC2362"/>
    <w:rsid w:val="00AC2A46"/>
    <w:rsid w:val="00AC3486"/>
    <w:rsid w:val="00AC3D2C"/>
    <w:rsid w:val="00AC430B"/>
    <w:rsid w:val="00AC454C"/>
    <w:rsid w:val="00AC4823"/>
    <w:rsid w:val="00AC5547"/>
    <w:rsid w:val="00AC5745"/>
    <w:rsid w:val="00AC5AFF"/>
    <w:rsid w:val="00AC5C62"/>
    <w:rsid w:val="00AC64C7"/>
    <w:rsid w:val="00AC6BF6"/>
    <w:rsid w:val="00AC7046"/>
    <w:rsid w:val="00AC7675"/>
    <w:rsid w:val="00AC77FB"/>
    <w:rsid w:val="00AC79CA"/>
    <w:rsid w:val="00AC7F78"/>
    <w:rsid w:val="00AD09D5"/>
    <w:rsid w:val="00AD09FB"/>
    <w:rsid w:val="00AD0D65"/>
    <w:rsid w:val="00AD1269"/>
    <w:rsid w:val="00AD1366"/>
    <w:rsid w:val="00AD22F3"/>
    <w:rsid w:val="00AD2A4D"/>
    <w:rsid w:val="00AD39A0"/>
    <w:rsid w:val="00AD3BB6"/>
    <w:rsid w:val="00AD3ED4"/>
    <w:rsid w:val="00AD47A4"/>
    <w:rsid w:val="00AD4E6B"/>
    <w:rsid w:val="00AD4E98"/>
    <w:rsid w:val="00AD545E"/>
    <w:rsid w:val="00AD5657"/>
    <w:rsid w:val="00AD5BF9"/>
    <w:rsid w:val="00AD5DF8"/>
    <w:rsid w:val="00AD5EDA"/>
    <w:rsid w:val="00AD66B0"/>
    <w:rsid w:val="00AD7536"/>
    <w:rsid w:val="00AD7996"/>
    <w:rsid w:val="00AD7FEA"/>
    <w:rsid w:val="00AE0A09"/>
    <w:rsid w:val="00AE0E6C"/>
    <w:rsid w:val="00AE1692"/>
    <w:rsid w:val="00AE19F0"/>
    <w:rsid w:val="00AE30FC"/>
    <w:rsid w:val="00AE3AAB"/>
    <w:rsid w:val="00AE3BA9"/>
    <w:rsid w:val="00AE3C64"/>
    <w:rsid w:val="00AE4BC2"/>
    <w:rsid w:val="00AE532F"/>
    <w:rsid w:val="00AE5394"/>
    <w:rsid w:val="00AE557D"/>
    <w:rsid w:val="00AE55B7"/>
    <w:rsid w:val="00AE5A41"/>
    <w:rsid w:val="00AE5BC3"/>
    <w:rsid w:val="00AE601D"/>
    <w:rsid w:val="00AE60F7"/>
    <w:rsid w:val="00AE6BB4"/>
    <w:rsid w:val="00AE758A"/>
    <w:rsid w:val="00AE7937"/>
    <w:rsid w:val="00AE7B5C"/>
    <w:rsid w:val="00AF11F7"/>
    <w:rsid w:val="00AF1DA5"/>
    <w:rsid w:val="00AF1E22"/>
    <w:rsid w:val="00AF2D07"/>
    <w:rsid w:val="00AF3171"/>
    <w:rsid w:val="00AF3AD0"/>
    <w:rsid w:val="00AF4366"/>
    <w:rsid w:val="00AF43FA"/>
    <w:rsid w:val="00AF4DDB"/>
    <w:rsid w:val="00AF55C7"/>
    <w:rsid w:val="00AF5CF3"/>
    <w:rsid w:val="00AF6A5B"/>
    <w:rsid w:val="00AF725C"/>
    <w:rsid w:val="00AF7550"/>
    <w:rsid w:val="00AF7C82"/>
    <w:rsid w:val="00AF7E1A"/>
    <w:rsid w:val="00AF7F5F"/>
    <w:rsid w:val="00B00270"/>
    <w:rsid w:val="00B019A1"/>
    <w:rsid w:val="00B01F70"/>
    <w:rsid w:val="00B02230"/>
    <w:rsid w:val="00B023FD"/>
    <w:rsid w:val="00B0295F"/>
    <w:rsid w:val="00B02F4C"/>
    <w:rsid w:val="00B03066"/>
    <w:rsid w:val="00B03C69"/>
    <w:rsid w:val="00B03FA5"/>
    <w:rsid w:val="00B04019"/>
    <w:rsid w:val="00B047D7"/>
    <w:rsid w:val="00B04E1A"/>
    <w:rsid w:val="00B057B4"/>
    <w:rsid w:val="00B05E25"/>
    <w:rsid w:val="00B05FBD"/>
    <w:rsid w:val="00B060B1"/>
    <w:rsid w:val="00B062DD"/>
    <w:rsid w:val="00B063B4"/>
    <w:rsid w:val="00B06851"/>
    <w:rsid w:val="00B068D7"/>
    <w:rsid w:val="00B06EC0"/>
    <w:rsid w:val="00B0713C"/>
    <w:rsid w:val="00B0767E"/>
    <w:rsid w:val="00B076F0"/>
    <w:rsid w:val="00B10772"/>
    <w:rsid w:val="00B110CA"/>
    <w:rsid w:val="00B11212"/>
    <w:rsid w:val="00B11B25"/>
    <w:rsid w:val="00B11BBF"/>
    <w:rsid w:val="00B11D2D"/>
    <w:rsid w:val="00B1203A"/>
    <w:rsid w:val="00B12286"/>
    <w:rsid w:val="00B12307"/>
    <w:rsid w:val="00B1250E"/>
    <w:rsid w:val="00B12F69"/>
    <w:rsid w:val="00B12F7F"/>
    <w:rsid w:val="00B12FB1"/>
    <w:rsid w:val="00B13234"/>
    <w:rsid w:val="00B13A5A"/>
    <w:rsid w:val="00B13D56"/>
    <w:rsid w:val="00B1437B"/>
    <w:rsid w:val="00B14826"/>
    <w:rsid w:val="00B14C86"/>
    <w:rsid w:val="00B14DA0"/>
    <w:rsid w:val="00B152DA"/>
    <w:rsid w:val="00B16204"/>
    <w:rsid w:val="00B1664F"/>
    <w:rsid w:val="00B16666"/>
    <w:rsid w:val="00B17011"/>
    <w:rsid w:val="00B173A5"/>
    <w:rsid w:val="00B17C3C"/>
    <w:rsid w:val="00B205ED"/>
    <w:rsid w:val="00B208D1"/>
    <w:rsid w:val="00B20F4A"/>
    <w:rsid w:val="00B21279"/>
    <w:rsid w:val="00B21524"/>
    <w:rsid w:val="00B217D7"/>
    <w:rsid w:val="00B2258B"/>
    <w:rsid w:val="00B2260E"/>
    <w:rsid w:val="00B229D9"/>
    <w:rsid w:val="00B22B35"/>
    <w:rsid w:val="00B22C36"/>
    <w:rsid w:val="00B23AEE"/>
    <w:rsid w:val="00B23CF4"/>
    <w:rsid w:val="00B23E0B"/>
    <w:rsid w:val="00B24372"/>
    <w:rsid w:val="00B2474C"/>
    <w:rsid w:val="00B2480B"/>
    <w:rsid w:val="00B24BC2"/>
    <w:rsid w:val="00B24CC0"/>
    <w:rsid w:val="00B24FB6"/>
    <w:rsid w:val="00B259F5"/>
    <w:rsid w:val="00B26206"/>
    <w:rsid w:val="00B262AA"/>
    <w:rsid w:val="00B263E1"/>
    <w:rsid w:val="00B2667D"/>
    <w:rsid w:val="00B26BA1"/>
    <w:rsid w:val="00B27E55"/>
    <w:rsid w:val="00B30561"/>
    <w:rsid w:val="00B3067D"/>
    <w:rsid w:val="00B30A6F"/>
    <w:rsid w:val="00B30C68"/>
    <w:rsid w:val="00B31C38"/>
    <w:rsid w:val="00B320ED"/>
    <w:rsid w:val="00B32380"/>
    <w:rsid w:val="00B32448"/>
    <w:rsid w:val="00B3292E"/>
    <w:rsid w:val="00B32BAA"/>
    <w:rsid w:val="00B32EB0"/>
    <w:rsid w:val="00B331A6"/>
    <w:rsid w:val="00B335D7"/>
    <w:rsid w:val="00B33C08"/>
    <w:rsid w:val="00B33CBA"/>
    <w:rsid w:val="00B34EEA"/>
    <w:rsid w:val="00B35073"/>
    <w:rsid w:val="00B35520"/>
    <w:rsid w:val="00B35BC2"/>
    <w:rsid w:val="00B361B3"/>
    <w:rsid w:val="00B36669"/>
    <w:rsid w:val="00B3743E"/>
    <w:rsid w:val="00B37F85"/>
    <w:rsid w:val="00B400D2"/>
    <w:rsid w:val="00B400E8"/>
    <w:rsid w:val="00B40255"/>
    <w:rsid w:val="00B4066D"/>
    <w:rsid w:val="00B4184A"/>
    <w:rsid w:val="00B41B89"/>
    <w:rsid w:val="00B41F3E"/>
    <w:rsid w:val="00B431F3"/>
    <w:rsid w:val="00B433EB"/>
    <w:rsid w:val="00B43CD0"/>
    <w:rsid w:val="00B43D0D"/>
    <w:rsid w:val="00B445BC"/>
    <w:rsid w:val="00B45C3C"/>
    <w:rsid w:val="00B45FA1"/>
    <w:rsid w:val="00B4610E"/>
    <w:rsid w:val="00B461D8"/>
    <w:rsid w:val="00B4624C"/>
    <w:rsid w:val="00B4718A"/>
    <w:rsid w:val="00B47431"/>
    <w:rsid w:val="00B47727"/>
    <w:rsid w:val="00B47968"/>
    <w:rsid w:val="00B47ED7"/>
    <w:rsid w:val="00B502D8"/>
    <w:rsid w:val="00B50605"/>
    <w:rsid w:val="00B5078B"/>
    <w:rsid w:val="00B50D6D"/>
    <w:rsid w:val="00B514CE"/>
    <w:rsid w:val="00B5229B"/>
    <w:rsid w:val="00B527CA"/>
    <w:rsid w:val="00B52A57"/>
    <w:rsid w:val="00B52DAF"/>
    <w:rsid w:val="00B52DE0"/>
    <w:rsid w:val="00B5338A"/>
    <w:rsid w:val="00B539DB"/>
    <w:rsid w:val="00B53AE9"/>
    <w:rsid w:val="00B53F01"/>
    <w:rsid w:val="00B54073"/>
    <w:rsid w:val="00B5425E"/>
    <w:rsid w:val="00B545E6"/>
    <w:rsid w:val="00B5471E"/>
    <w:rsid w:val="00B549EA"/>
    <w:rsid w:val="00B54C09"/>
    <w:rsid w:val="00B553E3"/>
    <w:rsid w:val="00B55AC3"/>
    <w:rsid w:val="00B55C1A"/>
    <w:rsid w:val="00B56DD7"/>
    <w:rsid w:val="00B57298"/>
    <w:rsid w:val="00B576F7"/>
    <w:rsid w:val="00B57702"/>
    <w:rsid w:val="00B577E3"/>
    <w:rsid w:val="00B602D9"/>
    <w:rsid w:val="00B60EDE"/>
    <w:rsid w:val="00B611C2"/>
    <w:rsid w:val="00B6207B"/>
    <w:rsid w:val="00B62445"/>
    <w:rsid w:val="00B62807"/>
    <w:rsid w:val="00B63941"/>
    <w:rsid w:val="00B63F20"/>
    <w:rsid w:val="00B643D2"/>
    <w:rsid w:val="00B6470F"/>
    <w:rsid w:val="00B64B0D"/>
    <w:rsid w:val="00B650B1"/>
    <w:rsid w:val="00B65391"/>
    <w:rsid w:val="00B6606D"/>
    <w:rsid w:val="00B66273"/>
    <w:rsid w:val="00B663CC"/>
    <w:rsid w:val="00B66BE1"/>
    <w:rsid w:val="00B67189"/>
    <w:rsid w:val="00B70BF4"/>
    <w:rsid w:val="00B717C0"/>
    <w:rsid w:val="00B71E65"/>
    <w:rsid w:val="00B71E90"/>
    <w:rsid w:val="00B7252B"/>
    <w:rsid w:val="00B733ED"/>
    <w:rsid w:val="00B735E8"/>
    <w:rsid w:val="00B73CFD"/>
    <w:rsid w:val="00B73EF4"/>
    <w:rsid w:val="00B74EFF"/>
    <w:rsid w:val="00B752DD"/>
    <w:rsid w:val="00B76549"/>
    <w:rsid w:val="00B766CB"/>
    <w:rsid w:val="00B76BCE"/>
    <w:rsid w:val="00B76F8A"/>
    <w:rsid w:val="00B77B0C"/>
    <w:rsid w:val="00B77C0D"/>
    <w:rsid w:val="00B77C4D"/>
    <w:rsid w:val="00B77F41"/>
    <w:rsid w:val="00B807D7"/>
    <w:rsid w:val="00B8118E"/>
    <w:rsid w:val="00B81551"/>
    <w:rsid w:val="00B81C7F"/>
    <w:rsid w:val="00B81E79"/>
    <w:rsid w:val="00B81F8D"/>
    <w:rsid w:val="00B8207A"/>
    <w:rsid w:val="00B82080"/>
    <w:rsid w:val="00B827AE"/>
    <w:rsid w:val="00B82B09"/>
    <w:rsid w:val="00B82DCB"/>
    <w:rsid w:val="00B835BF"/>
    <w:rsid w:val="00B836A6"/>
    <w:rsid w:val="00B840D5"/>
    <w:rsid w:val="00B8430A"/>
    <w:rsid w:val="00B84988"/>
    <w:rsid w:val="00B84A2E"/>
    <w:rsid w:val="00B84C8D"/>
    <w:rsid w:val="00B84EE9"/>
    <w:rsid w:val="00B85274"/>
    <w:rsid w:val="00B85740"/>
    <w:rsid w:val="00B857C7"/>
    <w:rsid w:val="00B86056"/>
    <w:rsid w:val="00B87BB5"/>
    <w:rsid w:val="00B903FE"/>
    <w:rsid w:val="00B908BA"/>
    <w:rsid w:val="00B90BC9"/>
    <w:rsid w:val="00B90D1B"/>
    <w:rsid w:val="00B91765"/>
    <w:rsid w:val="00B917BE"/>
    <w:rsid w:val="00B91BAB"/>
    <w:rsid w:val="00B91BD5"/>
    <w:rsid w:val="00B91DFC"/>
    <w:rsid w:val="00B923CF"/>
    <w:rsid w:val="00B924C0"/>
    <w:rsid w:val="00B940B7"/>
    <w:rsid w:val="00B940BD"/>
    <w:rsid w:val="00B9420D"/>
    <w:rsid w:val="00B94A1E"/>
    <w:rsid w:val="00B95822"/>
    <w:rsid w:val="00B95EC5"/>
    <w:rsid w:val="00B95ED9"/>
    <w:rsid w:val="00B96291"/>
    <w:rsid w:val="00B96DD5"/>
    <w:rsid w:val="00B96E18"/>
    <w:rsid w:val="00B972F1"/>
    <w:rsid w:val="00B974B6"/>
    <w:rsid w:val="00B977EE"/>
    <w:rsid w:val="00B979B3"/>
    <w:rsid w:val="00B97D53"/>
    <w:rsid w:val="00BA121A"/>
    <w:rsid w:val="00BA126D"/>
    <w:rsid w:val="00BA174F"/>
    <w:rsid w:val="00BA1AA0"/>
    <w:rsid w:val="00BA23C7"/>
    <w:rsid w:val="00BA26A4"/>
    <w:rsid w:val="00BA322E"/>
    <w:rsid w:val="00BA3B8C"/>
    <w:rsid w:val="00BA3DDC"/>
    <w:rsid w:val="00BA3E49"/>
    <w:rsid w:val="00BA4383"/>
    <w:rsid w:val="00BA4A58"/>
    <w:rsid w:val="00BA4C96"/>
    <w:rsid w:val="00BA51DA"/>
    <w:rsid w:val="00BA59B2"/>
    <w:rsid w:val="00BA5CDF"/>
    <w:rsid w:val="00BA6703"/>
    <w:rsid w:val="00BA672A"/>
    <w:rsid w:val="00BA6823"/>
    <w:rsid w:val="00BA6848"/>
    <w:rsid w:val="00BA69CB"/>
    <w:rsid w:val="00BA6BD9"/>
    <w:rsid w:val="00BA7919"/>
    <w:rsid w:val="00BA7FCD"/>
    <w:rsid w:val="00BB0151"/>
    <w:rsid w:val="00BB1DA5"/>
    <w:rsid w:val="00BB1E82"/>
    <w:rsid w:val="00BB1F2E"/>
    <w:rsid w:val="00BB2611"/>
    <w:rsid w:val="00BB2BB6"/>
    <w:rsid w:val="00BB2C0D"/>
    <w:rsid w:val="00BB2E28"/>
    <w:rsid w:val="00BB3458"/>
    <w:rsid w:val="00BB38E0"/>
    <w:rsid w:val="00BB3D68"/>
    <w:rsid w:val="00BB4C9F"/>
    <w:rsid w:val="00BB55C9"/>
    <w:rsid w:val="00BB564C"/>
    <w:rsid w:val="00BB57FB"/>
    <w:rsid w:val="00BB68E9"/>
    <w:rsid w:val="00BB7B10"/>
    <w:rsid w:val="00BB7C53"/>
    <w:rsid w:val="00BB7FDF"/>
    <w:rsid w:val="00BC059C"/>
    <w:rsid w:val="00BC0F8D"/>
    <w:rsid w:val="00BC216E"/>
    <w:rsid w:val="00BC3A58"/>
    <w:rsid w:val="00BC3B0B"/>
    <w:rsid w:val="00BC3BE1"/>
    <w:rsid w:val="00BC3D69"/>
    <w:rsid w:val="00BC3F2B"/>
    <w:rsid w:val="00BC4B10"/>
    <w:rsid w:val="00BC5418"/>
    <w:rsid w:val="00BC5848"/>
    <w:rsid w:val="00BC61A6"/>
    <w:rsid w:val="00BC6D76"/>
    <w:rsid w:val="00BC70DD"/>
    <w:rsid w:val="00BC7334"/>
    <w:rsid w:val="00BC740D"/>
    <w:rsid w:val="00BC74E2"/>
    <w:rsid w:val="00BC770E"/>
    <w:rsid w:val="00BC7D0A"/>
    <w:rsid w:val="00BD036D"/>
    <w:rsid w:val="00BD06A9"/>
    <w:rsid w:val="00BD110A"/>
    <w:rsid w:val="00BD1276"/>
    <w:rsid w:val="00BD12C2"/>
    <w:rsid w:val="00BD13F0"/>
    <w:rsid w:val="00BD1444"/>
    <w:rsid w:val="00BD1956"/>
    <w:rsid w:val="00BD1E87"/>
    <w:rsid w:val="00BD216A"/>
    <w:rsid w:val="00BD2580"/>
    <w:rsid w:val="00BD2DF8"/>
    <w:rsid w:val="00BD35EC"/>
    <w:rsid w:val="00BD36C6"/>
    <w:rsid w:val="00BD4182"/>
    <w:rsid w:val="00BD426D"/>
    <w:rsid w:val="00BD46D1"/>
    <w:rsid w:val="00BD490B"/>
    <w:rsid w:val="00BD4B3D"/>
    <w:rsid w:val="00BD5DDD"/>
    <w:rsid w:val="00BD6048"/>
    <w:rsid w:val="00BD6184"/>
    <w:rsid w:val="00BD67DB"/>
    <w:rsid w:val="00BD6AE3"/>
    <w:rsid w:val="00BD6BD5"/>
    <w:rsid w:val="00BD7368"/>
    <w:rsid w:val="00BD770A"/>
    <w:rsid w:val="00BD7B8E"/>
    <w:rsid w:val="00BE0633"/>
    <w:rsid w:val="00BE08F9"/>
    <w:rsid w:val="00BE0AD6"/>
    <w:rsid w:val="00BE0F87"/>
    <w:rsid w:val="00BE11FA"/>
    <w:rsid w:val="00BE14E7"/>
    <w:rsid w:val="00BE16A5"/>
    <w:rsid w:val="00BE1799"/>
    <w:rsid w:val="00BE1F37"/>
    <w:rsid w:val="00BE20E7"/>
    <w:rsid w:val="00BE23CA"/>
    <w:rsid w:val="00BE314C"/>
    <w:rsid w:val="00BE3A8B"/>
    <w:rsid w:val="00BE3AEC"/>
    <w:rsid w:val="00BE4B0B"/>
    <w:rsid w:val="00BE4DEA"/>
    <w:rsid w:val="00BE4F86"/>
    <w:rsid w:val="00BE587C"/>
    <w:rsid w:val="00BE59DD"/>
    <w:rsid w:val="00BE5E4B"/>
    <w:rsid w:val="00BE6394"/>
    <w:rsid w:val="00BE6890"/>
    <w:rsid w:val="00BE68AF"/>
    <w:rsid w:val="00BE7560"/>
    <w:rsid w:val="00BE77F1"/>
    <w:rsid w:val="00BE7C0D"/>
    <w:rsid w:val="00BE7D2C"/>
    <w:rsid w:val="00BF0232"/>
    <w:rsid w:val="00BF03A6"/>
    <w:rsid w:val="00BF092B"/>
    <w:rsid w:val="00BF0A10"/>
    <w:rsid w:val="00BF0AFF"/>
    <w:rsid w:val="00BF19B6"/>
    <w:rsid w:val="00BF1B89"/>
    <w:rsid w:val="00BF2050"/>
    <w:rsid w:val="00BF213E"/>
    <w:rsid w:val="00BF251D"/>
    <w:rsid w:val="00BF3123"/>
    <w:rsid w:val="00BF31AA"/>
    <w:rsid w:val="00BF32B2"/>
    <w:rsid w:val="00BF3335"/>
    <w:rsid w:val="00BF33FD"/>
    <w:rsid w:val="00BF3611"/>
    <w:rsid w:val="00BF388B"/>
    <w:rsid w:val="00BF3DAD"/>
    <w:rsid w:val="00BF47E7"/>
    <w:rsid w:val="00BF4F11"/>
    <w:rsid w:val="00BF5A5B"/>
    <w:rsid w:val="00BF5ECA"/>
    <w:rsid w:val="00BF63D0"/>
    <w:rsid w:val="00BF63E1"/>
    <w:rsid w:val="00BF661B"/>
    <w:rsid w:val="00BF68CF"/>
    <w:rsid w:val="00BF6B56"/>
    <w:rsid w:val="00BF6F4C"/>
    <w:rsid w:val="00BF7104"/>
    <w:rsid w:val="00BF7CFA"/>
    <w:rsid w:val="00C000FC"/>
    <w:rsid w:val="00C00597"/>
    <w:rsid w:val="00C01C56"/>
    <w:rsid w:val="00C01D9A"/>
    <w:rsid w:val="00C0236B"/>
    <w:rsid w:val="00C02D5D"/>
    <w:rsid w:val="00C02FEB"/>
    <w:rsid w:val="00C030F1"/>
    <w:rsid w:val="00C031EA"/>
    <w:rsid w:val="00C0353A"/>
    <w:rsid w:val="00C03ADC"/>
    <w:rsid w:val="00C0407B"/>
    <w:rsid w:val="00C04483"/>
    <w:rsid w:val="00C04975"/>
    <w:rsid w:val="00C050BA"/>
    <w:rsid w:val="00C0527F"/>
    <w:rsid w:val="00C05454"/>
    <w:rsid w:val="00C05956"/>
    <w:rsid w:val="00C06326"/>
    <w:rsid w:val="00C0665A"/>
    <w:rsid w:val="00C06CD1"/>
    <w:rsid w:val="00C06D12"/>
    <w:rsid w:val="00C06E9F"/>
    <w:rsid w:val="00C07737"/>
    <w:rsid w:val="00C07AAF"/>
    <w:rsid w:val="00C1256C"/>
    <w:rsid w:val="00C13149"/>
    <w:rsid w:val="00C137D0"/>
    <w:rsid w:val="00C139E0"/>
    <w:rsid w:val="00C13C01"/>
    <w:rsid w:val="00C142B2"/>
    <w:rsid w:val="00C14ADD"/>
    <w:rsid w:val="00C1560F"/>
    <w:rsid w:val="00C1578B"/>
    <w:rsid w:val="00C15FBD"/>
    <w:rsid w:val="00C16692"/>
    <w:rsid w:val="00C16ED3"/>
    <w:rsid w:val="00C170B0"/>
    <w:rsid w:val="00C173E9"/>
    <w:rsid w:val="00C176E2"/>
    <w:rsid w:val="00C17B45"/>
    <w:rsid w:val="00C17B89"/>
    <w:rsid w:val="00C2005B"/>
    <w:rsid w:val="00C20122"/>
    <w:rsid w:val="00C201DF"/>
    <w:rsid w:val="00C206FD"/>
    <w:rsid w:val="00C209BF"/>
    <w:rsid w:val="00C215DC"/>
    <w:rsid w:val="00C2181D"/>
    <w:rsid w:val="00C21C9C"/>
    <w:rsid w:val="00C21D6E"/>
    <w:rsid w:val="00C22107"/>
    <w:rsid w:val="00C221FE"/>
    <w:rsid w:val="00C23196"/>
    <w:rsid w:val="00C234C7"/>
    <w:rsid w:val="00C240DA"/>
    <w:rsid w:val="00C2445E"/>
    <w:rsid w:val="00C24D6A"/>
    <w:rsid w:val="00C24DDF"/>
    <w:rsid w:val="00C25003"/>
    <w:rsid w:val="00C25191"/>
    <w:rsid w:val="00C25381"/>
    <w:rsid w:val="00C25B7B"/>
    <w:rsid w:val="00C26188"/>
    <w:rsid w:val="00C268FB"/>
    <w:rsid w:val="00C27123"/>
    <w:rsid w:val="00C2727C"/>
    <w:rsid w:val="00C30B98"/>
    <w:rsid w:val="00C3113C"/>
    <w:rsid w:val="00C31562"/>
    <w:rsid w:val="00C320E1"/>
    <w:rsid w:val="00C32282"/>
    <w:rsid w:val="00C3236E"/>
    <w:rsid w:val="00C3263C"/>
    <w:rsid w:val="00C32CEF"/>
    <w:rsid w:val="00C330B4"/>
    <w:rsid w:val="00C3315A"/>
    <w:rsid w:val="00C3333C"/>
    <w:rsid w:val="00C33540"/>
    <w:rsid w:val="00C33556"/>
    <w:rsid w:val="00C3384C"/>
    <w:rsid w:val="00C3386D"/>
    <w:rsid w:val="00C339C0"/>
    <w:rsid w:val="00C33A0F"/>
    <w:rsid w:val="00C33B3F"/>
    <w:rsid w:val="00C345A8"/>
    <w:rsid w:val="00C346FB"/>
    <w:rsid w:val="00C34874"/>
    <w:rsid w:val="00C34F2D"/>
    <w:rsid w:val="00C35373"/>
    <w:rsid w:val="00C369BF"/>
    <w:rsid w:val="00C37AE7"/>
    <w:rsid w:val="00C37F72"/>
    <w:rsid w:val="00C40CA0"/>
    <w:rsid w:val="00C40E8D"/>
    <w:rsid w:val="00C412D9"/>
    <w:rsid w:val="00C41C1F"/>
    <w:rsid w:val="00C425DF"/>
    <w:rsid w:val="00C42C19"/>
    <w:rsid w:val="00C42DF6"/>
    <w:rsid w:val="00C43846"/>
    <w:rsid w:val="00C440EB"/>
    <w:rsid w:val="00C4480C"/>
    <w:rsid w:val="00C4481A"/>
    <w:rsid w:val="00C44BED"/>
    <w:rsid w:val="00C4527D"/>
    <w:rsid w:val="00C45303"/>
    <w:rsid w:val="00C45636"/>
    <w:rsid w:val="00C463D6"/>
    <w:rsid w:val="00C46744"/>
    <w:rsid w:val="00C469FC"/>
    <w:rsid w:val="00C46B0B"/>
    <w:rsid w:val="00C4706F"/>
    <w:rsid w:val="00C470C7"/>
    <w:rsid w:val="00C474AE"/>
    <w:rsid w:val="00C4760F"/>
    <w:rsid w:val="00C47DD4"/>
    <w:rsid w:val="00C502E1"/>
    <w:rsid w:val="00C50D1C"/>
    <w:rsid w:val="00C50E28"/>
    <w:rsid w:val="00C51D91"/>
    <w:rsid w:val="00C51ED1"/>
    <w:rsid w:val="00C529EA"/>
    <w:rsid w:val="00C52F33"/>
    <w:rsid w:val="00C53550"/>
    <w:rsid w:val="00C5359B"/>
    <w:rsid w:val="00C536EA"/>
    <w:rsid w:val="00C53BA1"/>
    <w:rsid w:val="00C545DA"/>
    <w:rsid w:val="00C5525B"/>
    <w:rsid w:val="00C5592A"/>
    <w:rsid w:val="00C55F90"/>
    <w:rsid w:val="00C56137"/>
    <w:rsid w:val="00C5615B"/>
    <w:rsid w:val="00C563C1"/>
    <w:rsid w:val="00C56C07"/>
    <w:rsid w:val="00C57073"/>
    <w:rsid w:val="00C618F9"/>
    <w:rsid w:val="00C61BAA"/>
    <w:rsid w:val="00C6230B"/>
    <w:rsid w:val="00C6300D"/>
    <w:rsid w:val="00C630CA"/>
    <w:rsid w:val="00C6368A"/>
    <w:rsid w:val="00C63AD6"/>
    <w:rsid w:val="00C64370"/>
    <w:rsid w:val="00C646EB"/>
    <w:rsid w:val="00C64B0F"/>
    <w:rsid w:val="00C6505D"/>
    <w:rsid w:val="00C659A8"/>
    <w:rsid w:val="00C65C02"/>
    <w:rsid w:val="00C65D05"/>
    <w:rsid w:val="00C661D7"/>
    <w:rsid w:val="00C662F0"/>
    <w:rsid w:val="00C663F0"/>
    <w:rsid w:val="00C66B59"/>
    <w:rsid w:val="00C675C6"/>
    <w:rsid w:val="00C67632"/>
    <w:rsid w:val="00C67D27"/>
    <w:rsid w:val="00C67FB0"/>
    <w:rsid w:val="00C70B4E"/>
    <w:rsid w:val="00C70D22"/>
    <w:rsid w:val="00C70F74"/>
    <w:rsid w:val="00C70FE8"/>
    <w:rsid w:val="00C71412"/>
    <w:rsid w:val="00C71A51"/>
    <w:rsid w:val="00C71C7F"/>
    <w:rsid w:val="00C71FC3"/>
    <w:rsid w:val="00C7212A"/>
    <w:rsid w:val="00C72405"/>
    <w:rsid w:val="00C73332"/>
    <w:rsid w:val="00C73A78"/>
    <w:rsid w:val="00C73A89"/>
    <w:rsid w:val="00C73E43"/>
    <w:rsid w:val="00C744B4"/>
    <w:rsid w:val="00C74A95"/>
    <w:rsid w:val="00C75338"/>
    <w:rsid w:val="00C758C8"/>
    <w:rsid w:val="00C75A92"/>
    <w:rsid w:val="00C75DFC"/>
    <w:rsid w:val="00C76CE5"/>
    <w:rsid w:val="00C7713E"/>
    <w:rsid w:val="00C774BF"/>
    <w:rsid w:val="00C774FB"/>
    <w:rsid w:val="00C779EC"/>
    <w:rsid w:val="00C802E0"/>
    <w:rsid w:val="00C807EE"/>
    <w:rsid w:val="00C808D3"/>
    <w:rsid w:val="00C80BFD"/>
    <w:rsid w:val="00C81441"/>
    <w:rsid w:val="00C814F9"/>
    <w:rsid w:val="00C819C5"/>
    <w:rsid w:val="00C82BFF"/>
    <w:rsid w:val="00C82F88"/>
    <w:rsid w:val="00C8375A"/>
    <w:rsid w:val="00C8402F"/>
    <w:rsid w:val="00C8483D"/>
    <w:rsid w:val="00C8534C"/>
    <w:rsid w:val="00C85637"/>
    <w:rsid w:val="00C85CC6"/>
    <w:rsid w:val="00C85CF9"/>
    <w:rsid w:val="00C85E85"/>
    <w:rsid w:val="00C86A42"/>
    <w:rsid w:val="00C86E11"/>
    <w:rsid w:val="00C8719D"/>
    <w:rsid w:val="00C871FB"/>
    <w:rsid w:val="00C87303"/>
    <w:rsid w:val="00C877FA"/>
    <w:rsid w:val="00C879C6"/>
    <w:rsid w:val="00C87C7F"/>
    <w:rsid w:val="00C87D04"/>
    <w:rsid w:val="00C90F20"/>
    <w:rsid w:val="00C913DE"/>
    <w:rsid w:val="00C914D6"/>
    <w:rsid w:val="00C91C55"/>
    <w:rsid w:val="00C928AA"/>
    <w:rsid w:val="00C93635"/>
    <w:rsid w:val="00C93D34"/>
    <w:rsid w:val="00C940C9"/>
    <w:rsid w:val="00C941B7"/>
    <w:rsid w:val="00C942D9"/>
    <w:rsid w:val="00C94876"/>
    <w:rsid w:val="00C94E20"/>
    <w:rsid w:val="00C95486"/>
    <w:rsid w:val="00C95686"/>
    <w:rsid w:val="00C95BF8"/>
    <w:rsid w:val="00C960C7"/>
    <w:rsid w:val="00C971C9"/>
    <w:rsid w:val="00C972A1"/>
    <w:rsid w:val="00C9732A"/>
    <w:rsid w:val="00C9768F"/>
    <w:rsid w:val="00C97C1C"/>
    <w:rsid w:val="00CA00FB"/>
    <w:rsid w:val="00CA025C"/>
    <w:rsid w:val="00CA0F5E"/>
    <w:rsid w:val="00CA1884"/>
    <w:rsid w:val="00CA19D3"/>
    <w:rsid w:val="00CA20D7"/>
    <w:rsid w:val="00CA268F"/>
    <w:rsid w:val="00CA2EA9"/>
    <w:rsid w:val="00CA31DE"/>
    <w:rsid w:val="00CA4512"/>
    <w:rsid w:val="00CA45E0"/>
    <w:rsid w:val="00CA4E63"/>
    <w:rsid w:val="00CA51D5"/>
    <w:rsid w:val="00CA5396"/>
    <w:rsid w:val="00CA5421"/>
    <w:rsid w:val="00CA542E"/>
    <w:rsid w:val="00CA5C15"/>
    <w:rsid w:val="00CA661C"/>
    <w:rsid w:val="00CA68C2"/>
    <w:rsid w:val="00CA6E9C"/>
    <w:rsid w:val="00CA6F36"/>
    <w:rsid w:val="00CA74C7"/>
    <w:rsid w:val="00CA75E4"/>
    <w:rsid w:val="00CA7709"/>
    <w:rsid w:val="00CA7880"/>
    <w:rsid w:val="00CA7BBD"/>
    <w:rsid w:val="00CB0273"/>
    <w:rsid w:val="00CB05F5"/>
    <w:rsid w:val="00CB0A48"/>
    <w:rsid w:val="00CB0B84"/>
    <w:rsid w:val="00CB10F9"/>
    <w:rsid w:val="00CB1694"/>
    <w:rsid w:val="00CB1793"/>
    <w:rsid w:val="00CB1B2F"/>
    <w:rsid w:val="00CB2FE9"/>
    <w:rsid w:val="00CB33CA"/>
    <w:rsid w:val="00CB407B"/>
    <w:rsid w:val="00CB44B7"/>
    <w:rsid w:val="00CB450F"/>
    <w:rsid w:val="00CB605A"/>
    <w:rsid w:val="00CB62D0"/>
    <w:rsid w:val="00CB6EF0"/>
    <w:rsid w:val="00CB6F76"/>
    <w:rsid w:val="00CB747C"/>
    <w:rsid w:val="00CB7720"/>
    <w:rsid w:val="00CB7A54"/>
    <w:rsid w:val="00CB7D31"/>
    <w:rsid w:val="00CC0A9C"/>
    <w:rsid w:val="00CC1645"/>
    <w:rsid w:val="00CC1A77"/>
    <w:rsid w:val="00CC1C13"/>
    <w:rsid w:val="00CC1F96"/>
    <w:rsid w:val="00CC258D"/>
    <w:rsid w:val="00CC28E8"/>
    <w:rsid w:val="00CC2FE1"/>
    <w:rsid w:val="00CC317E"/>
    <w:rsid w:val="00CC3AB5"/>
    <w:rsid w:val="00CC413C"/>
    <w:rsid w:val="00CC480D"/>
    <w:rsid w:val="00CC4B43"/>
    <w:rsid w:val="00CC5773"/>
    <w:rsid w:val="00CC58EB"/>
    <w:rsid w:val="00CC5D6F"/>
    <w:rsid w:val="00CC6619"/>
    <w:rsid w:val="00CC6DF1"/>
    <w:rsid w:val="00CC7CB8"/>
    <w:rsid w:val="00CC7DA8"/>
    <w:rsid w:val="00CC7DE7"/>
    <w:rsid w:val="00CD01B3"/>
    <w:rsid w:val="00CD08A9"/>
    <w:rsid w:val="00CD0C8B"/>
    <w:rsid w:val="00CD0FEA"/>
    <w:rsid w:val="00CD16EA"/>
    <w:rsid w:val="00CD19E4"/>
    <w:rsid w:val="00CD1E5C"/>
    <w:rsid w:val="00CD2027"/>
    <w:rsid w:val="00CD2831"/>
    <w:rsid w:val="00CD2DA6"/>
    <w:rsid w:val="00CD33A1"/>
    <w:rsid w:val="00CD36B5"/>
    <w:rsid w:val="00CD38BB"/>
    <w:rsid w:val="00CD4228"/>
    <w:rsid w:val="00CD4488"/>
    <w:rsid w:val="00CD519A"/>
    <w:rsid w:val="00CD566E"/>
    <w:rsid w:val="00CD5830"/>
    <w:rsid w:val="00CD586B"/>
    <w:rsid w:val="00CD5AE8"/>
    <w:rsid w:val="00CD5F72"/>
    <w:rsid w:val="00CD63A4"/>
    <w:rsid w:val="00CD6A34"/>
    <w:rsid w:val="00CD6F41"/>
    <w:rsid w:val="00CD793A"/>
    <w:rsid w:val="00CE026E"/>
    <w:rsid w:val="00CE0C3E"/>
    <w:rsid w:val="00CE120F"/>
    <w:rsid w:val="00CE1211"/>
    <w:rsid w:val="00CE14B3"/>
    <w:rsid w:val="00CE17D2"/>
    <w:rsid w:val="00CE226E"/>
    <w:rsid w:val="00CE3176"/>
    <w:rsid w:val="00CE3E44"/>
    <w:rsid w:val="00CE3F0E"/>
    <w:rsid w:val="00CE40BE"/>
    <w:rsid w:val="00CE40EF"/>
    <w:rsid w:val="00CE458D"/>
    <w:rsid w:val="00CE473E"/>
    <w:rsid w:val="00CE4D2D"/>
    <w:rsid w:val="00CE4E50"/>
    <w:rsid w:val="00CE5428"/>
    <w:rsid w:val="00CE5BFF"/>
    <w:rsid w:val="00CE5F42"/>
    <w:rsid w:val="00CE6286"/>
    <w:rsid w:val="00CE6881"/>
    <w:rsid w:val="00CE6E1D"/>
    <w:rsid w:val="00CE6F08"/>
    <w:rsid w:val="00CE6F37"/>
    <w:rsid w:val="00CE76EB"/>
    <w:rsid w:val="00CF0033"/>
    <w:rsid w:val="00CF08A9"/>
    <w:rsid w:val="00CF09C3"/>
    <w:rsid w:val="00CF0A43"/>
    <w:rsid w:val="00CF0E99"/>
    <w:rsid w:val="00CF0F3C"/>
    <w:rsid w:val="00CF2329"/>
    <w:rsid w:val="00CF253E"/>
    <w:rsid w:val="00CF257B"/>
    <w:rsid w:val="00CF2620"/>
    <w:rsid w:val="00CF2A40"/>
    <w:rsid w:val="00CF2A4A"/>
    <w:rsid w:val="00CF2DB0"/>
    <w:rsid w:val="00CF2E43"/>
    <w:rsid w:val="00CF3A4C"/>
    <w:rsid w:val="00CF4377"/>
    <w:rsid w:val="00CF465E"/>
    <w:rsid w:val="00CF4694"/>
    <w:rsid w:val="00CF470A"/>
    <w:rsid w:val="00CF4B98"/>
    <w:rsid w:val="00CF4E83"/>
    <w:rsid w:val="00CF5442"/>
    <w:rsid w:val="00CF5491"/>
    <w:rsid w:val="00CF58F6"/>
    <w:rsid w:val="00CF5F91"/>
    <w:rsid w:val="00CF6467"/>
    <w:rsid w:val="00CF68BB"/>
    <w:rsid w:val="00CF6CFB"/>
    <w:rsid w:val="00CF6ED9"/>
    <w:rsid w:val="00CF7BE1"/>
    <w:rsid w:val="00CF7EE5"/>
    <w:rsid w:val="00D00293"/>
    <w:rsid w:val="00D005D9"/>
    <w:rsid w:val="00D020B8"/>
    <w:rsid w:val="00D023A6"/>
    <w:rsid w:val="00D02650"/>
    <w:rsid w:val="00D026D2"/>
    <w:rsid w:val="00D027BE"/>
    <w:rsid w:val="00D0293E"/>
    <w:rsid w:val="00D0293F"/>
    <w:rsid w:val="00D0328D"/>
    <w:rsid w:val="00D033B4"/>
    <w:rsid w:val="00D0341D"/>
    <w:rsid w:val="00D03FE0"/>
    <w:rsid w:val="00D03FEE"/>
    <w:rsid w:val="00D0427E"/>
    <w:rsid w:val="00D042C2"/>
    <w:rsid w:val="00D042E8"/>
    <w:rsid w:val="00D04617"/>
    <w:rsid w:val="00D047D7"/>
    <w:rsid w:val="00D04A1B"/>
    <w:rsid w:val="00D04B2B"/>
    <w:rsid w:val="00D04FDA"/>
    <w:rsid w:val="00D052D2"/>
    <w:rsid w:val="00D0566F"/>
    <w:rsid w:val="00D05830"/>
    <w:rsid w:val="00D05AAD"/>
    <w:rsid w:val="00D06368"/>
    <w:rsid w:val="00D06BF9"/>
    <w:rsid w:val="00D06CB9"/>
    <w:rsid w:val="00D0708D"/>
    <w:rsid w:val="00D077D9"/>
    <w:rsid w:val="00D1065D"/>
    <w:rsid w:val="00D106C6"/>
    <w:rsid w:val="00D10EE4"/>
    <w:rsid w:val="00D11EBE"/>
    <w:rsid w:val="00D12753"/>
    <w:rsid w:val="00D12E3E"/>
    <w:rsid w:val="00D13422"/>
    <w:rsid w:val="00D138DA"/>
    <w:rsid w:val="00D139B2"/>
    <w:rsid w:val="00D13AC1"/>
    <w:rsid w:val="00D14263"/>
    <w:rsid w:val="00D15035"/>
    <w:rsid w:val="00D160AA"/>
    <w:rsid w:val="00D169D5"/>
    <w:rsid w:val="00D175BD"/>
    <w:rsid w:val="00D17D56"/>
    <w:rsid w:val="00D17ED0"/>
    <w:rsid w:val="00D203FE"/>
    <w:rsid w:val="00D2064B"/>
    <w:rsid w:val="00D20AAB"/>
    <w:rsid w:val="00D214C3"/>
    <w:rsid w:val="00D21736"/>
    <w:rsid w:val="00D2179F"/>
    <w:rsid w:val="00D21914"/>
    <w:rsid w:val="00D21D6D"/>
    <w:rsid w:val="00D21F15"/>
    <w:rsid w:val="00D23149"/>
    <w:rsid w:val="00D23E19"/>
    <w:rsid w:val="00D24141"/>
    <w:rsid w:val="00D2556D"/>
    <w:rsid w:val="00D26AE2"/>
    <w:rsid w:val="00D26B80"/>
    <w:rsid w:val="00D275F3"/>
    <w:rsid w:val="00D278A4"/>
    <w:rsid w:val="00D30291"/>
    <w:rsid w:val="00D30327"/>
    <w:rsid w:val="00D30BB1"/>
    <w:rsid w:val="00D30F2A"/>
    <w:rsid w:val="00D31048"/>
    <w:rsid w:val="00D3171F"/>
    <w:rsid w:val="00D31981"/>
    <w:rsid w:val="00D31D9E"/>
    <w:rsid w:val="00D32135"/>
    <w:rsid w:val="00D32911"/>
    <w:rsid w:val="00D32BE6"/>
    <w:rsid w:val="00D33503"/>
    <w:rsid w:val="00D336EE"/>
    <w:rsid w:val="00D33C9F"/>
    <w:rsid w:val="00D34380"/>
    <w:rsid w:val="00D34AD7"/>
    <w:rsid w:val="00D34FF2"/>
    <w:rsid w:val="00D35135"/>
    <w:rsid w:val="00D35E0D"/>
    <w:rsid w:val="00D3645C"/>
    <w:rsid w:val="00D36B68"/>
    <w:rsid w:val="00D36E4F"/>
    <w:rsid w:val="00D371D5"/>
    <w:rsid w:val="00D37680"/>
    <w:rsid w:val="00D37F89"/>
    <w:rsid w:val="00D400C9"/>
    <w:rsid w:val="00D40267"/>
    <w:rsid w:val="00D40DC3"/>
    <w:rsid w:val="00D40E52"/>
    <w:rsid w:val="00D41143"/>
    <w:rsid w:val="00D4133D"/>
    <w:rsid w:val="00D41C90"/>
    <w:rsid w:val="00D42145"/>
    <w:rsid w:val="00D432A5"/>
    <w:rsid w:val="00D43564"/>
    <w:rsid w:val="00D4371B"/>
    <w:rsid w:val="00D439E8"/>
    <w:rsid w:val="00D43E18"/>
    <w:rsid w:val="00D443FA"/>
    <w:rsid w:val="00D44473"/>
    <w:rsid w:val="00D44E83"/>
    <w:rsid w:val="00D456CD"/>
    <w:rsid w:val="00D45CF4"/>
    <w:rsid w:val="00D45D16"/>
    <w:rsid w:val="00D45E05"/>
    <w:rsid w:val="00D46D04"/>
    <w:rsid w:val="00D46E64"/>
    <w:rsid w:val="00D472A3"/>
    <w:rsid w:val="00D50371"/>
    <w:rsid w:val="00D50CF1"/>
    <w:rsid w:val="00D51305"/>
    <w:rsid w:val="00D5134B"/>
    <w:rsid w:val="00D519E9"/>
    <w:rsid w:val="00D5275F"/>
    <w:rsid w:val="00D53068"/>
    <w:rsid w:val="00D533B1"/>
    <w:rsid w:val="00D53569"/>
    <w:rsid w:val="00D556C6"/>
    <w:rsid w:val="00D55925"/>
    <w:rsid w:val="00D5621B"/>
    <w:rsid w:val="00D5634F"/>
    <w:rsid w:val="00D563FD"/>
    <w:rsid w:val="00D56BEB"/>
    <w:rsid w:val="00D56E13"/>
    <w:rsid w:val="00D56F1A"/>
    <w:rsid w:val="00D56F98"/>
    <w:rsid w:val="00D573FA"/>
    <w:rsid w:val="00D57789"/>
    <w:rsid w:val="00D57D50"/>
    <w:rsid w:val="00D60104"/>
    <w:rsid w:val="00D605BD"/>
    <w:rsid w:val="00D607A6"/>
    <w:rsid w:val="00D609F0"/>
    <w:rsid w:val="00D60BCC"/>
    <w:rsid w:val="00D61120"/>
    <w:rsid w:val="00D61603"/>
    <w:rsid w:val="00D61723"/>
    <w:rsid w:val="00D629D1"/>
    <w:rsid w:val="00D62CD1"/>
    <w:rsid w:val="00D62D85"/>
    <w:rsid w:val="00D63171"/>
    <w:rsid w:val="00D63C0E"/>
    <w:rsid w:val="00D63D8D"/>
    <w:rsid w:val="00D648A1"/>
    <w:rsid w:val="00D64971"/>
    <w:rsid w:val="00D64ADC"/>
    <w:rsid w:val="00D65351"/>
    <w:rsid w:val="00D654A1"/>
    <w:rsid w:val="00D66827"/>
    <w:rsid w:val="00D66EDA"/>
    <w:rsid w:val="00D67372"/>
    <w:rsid w:val="00D6747E"/>
    <w:rsid w:val="00D67CFF"/>
    <w:rsid w:val="00D67D7A"/>
    <w:rsid w:val="00D67E8C"/>
    <w:rsid w:val="00D67EFF"/>
    <w:rsid w:val="00D7101E"/>
    <w:rsid w:val="00D711A5"/>
    <w:rsid w:val="00D711FE"/>
    <w:rsid w:val="00D712EF"/>
    <w:rsid w:val="00D71803"/>
    <w:rsid w:val="00D71F53"/>
    <w:rsid w:val="00D728DF"/>
    <w:rsid w:val="00D72D6C"/>
    <w:rsid w:val="00D72E13"/>
    <w:rsid w:val="00D73753"/>
    <w:rsid w:val="00D73B6C"/>
    <w:rsid w:val="00D74BBF"/>
    <w:rsid w:val="00D74BFF"/>
    <w:rsid w:val="00D74E8F"/>
    <w:rsid w:val="00D74E9A"/>
    <w:rsid w:val="00D75756"/>
    <w:rsid w:val="00D76A30"/>
    <w:rsid w:val="00D76D71"/>
    <w:rsid w:val="00D770DD"/>
    <w:rsid w:val="00D77320"/>
    <w:rsid w:val="00D801DF"/>
    <w:rsid w:val="00D80545"/>
    <w:rsid w:val="00D80AB4"/>
    <w:rsid w:val="00D80DC5"/>
    <w:rsid w:val="00D81579"/>
    <w:rsid w:val="00D81D0E"/>
    <w:rsid w:val="00D829FB"/>
    <w:rsid w:val="00D82C13"/>
    <w:rsid w:val="00D82C6B"/>
    <w:rsid w:val="00D82CD9"/>
    <w:rsid w:val="00D8315F"/>
    <w:rsid w:val="00D845A2"/>
    <w:rsid w:val="00D84662"/>
    <w:rsid w:val="00D856C0"/>
    <w:rsid w:val="00D85F37"/>
    <w:rsid w:val="00D85F67"/>
    <w:rsid w:val="00D86455"/>
    <w:rsid w:val="00D86881"/>
    <w:rsid w:val="00D86AC1"/>
    <w:rsid w:val="00D87251"/>
    <w:rsid w:val="00D8751F"/>
    <w:rsid w:val="00D87B09"/>
    <w:rsid w:val="00D87F66"/>
    <w:rsid w:val="00D87FD6"/>
    <w:rsid w:val="00D87FE4"/>
    <w:rsid w:val="00D90ADB"/>
    <w:rsid w:val="00D90C50"/>
    <w:rsid w:val="00D912DC"/>
    <w:rsid w:val="00D91460"/>
    <w:rsid w:val="00D914DB"/>
    <w:rsid w:val="00D91C14"/>
    <w:rsid w:val="00D9267C"/>
    <w:rsid w:val="00D9324C"/>
    <w:rsid w:val="00D93375"/>
    <w:rsid w:val="00D93880"/>
    <w:rsid w:val="00D93D59"/>
    <w:rsid w:val="00D93EFF"/>
    <w:rsid w:val="00D93F72"/>
    <w:rsid w:val="00D9460D"/>
    <w:rsid w:val="00D956EF"/>
    <w:rsid w:val="00D96313"/>
    <w:rsid w:val="00D9676F"/>
    <w:rsid w:val="00D96A0F"/>
    <w:rsid w:val="00D96CB4"/>
    <w:rsid w:val="00DA0552"/>
    <w:rsid w:val="00DA0B8A"/>
    <w:rsid w:val="00DA11B2"/>
    <w:rsid w:val="00DA1BA7"/>
    <w:rsid w:val="00DA20B5"/>
    <w:rsid w:val="00DA22DA"/>
    <w:rsid w:val="00DA23DD"/>
    <w:rsid w:val="00DA2423"/>
    <w:rsid w:val="00DA2A96"/>
    <w:rsid w:val="00DA3080"/>
    <w:rsid w:val="00DA30A2"/>
    <w:rsid w:val="00DA390D"/>
    <w:rsid w:val="00DA3961"/>
    <w:rsid w:val="00DA436C"/>
    <w:rsid w:val="00DA5D0B"/>
    <w:rsid w:val="00DA5F76"/>
    <w:rsid w:val="00DA60A5"/>
    <w:rsid w:val="00DA60F5"/>
    <w:rsid w:val="00DA76EE"/>
    <w:rsid w:val="00DB01EA"/>
    <w:rsid w:val="00DB03AE"/>
    <w:rsid w:val="00DB03F6"/>
    <w:rsid w:val="00DB08CB"/>
    <w:rsid w:val="00DB0963"/>
    <w:rsid w:val="00DB0FA3"/>
    <w:rsid w:val="00DB16C1"/>
    <w:rsid w:val="00DB1D88"/>
    <w:rsid w:val="00DB2595"/>
    <w:rsid w:val="00DB303F"/>
    <w:rsid w:val="00DB3635"/>
    <w:rsid w:val="00DB4006"/>
    <w:rsid w:val="00DB42EF"/>
    <w:rsid w:val="00DB462A"/>
    <w:rsid w:val="00DB4B61"/>
    <w:rsid w:val="00DB55CE"/>
    <w:rsid w:val="00DB64F5"/>
    <w:rsid w:val="00DB6CAF"/>
    <w:rsid w:val="00DB7164"/>
    <w:rsid w:val="00DB729B"/>
    <w:rsid w:val="00DB72CE"/>
    <w:rsid w:val="00DB7400"/>
    <w:rsid w:val="00DB7EB1"/>
    <w:rsid w:val="00DC02FC"/>
    <w:rsid w:val="00DC0347"/>
    <w:rsid w:val="00DC0ADA"/>
    <w:rsid w:val="00DC0FE9"/>
    <w:rsid w:val="00DC13C3"/>
    <w:rsid w:val="00DC1C03"/>
    <w:rsid w:val="00DC2212"/>
    <w:rsid w:val="00DC252D"/>
    <w:rsid w:val="00DC2595"/>
    <w:rsid w:val="00DC2823"/>
    <w:rsid w:val="00DC2DF4"/>
    <w:rsid w:val="00DC30E1"/>
    <w:rsid w:val="00DC31F2"/>
    <w:rsid w:val="00DC35F6"/>
    <w:rsid w:val="00DC3898"/>
    <w:rsid w:val="00DC4083"/>
    <w:rsid w:val="00DC48DF"/>
    <w:rsid w:val="00DC5D8A"/>
    <w:rsid w:val="00DC6572"/>
    <w:rsid w:val="00DC6E4A"/>
    <w:rsid w:val="00DC789A"/>
    <w:rsid w:val="00DC7912"/>
    <w:rsid w:val="00DD0D38"/>
    <w:rsid w:val="00DD0D67"/>
    <w:rsid w:val="00DD0D77"/>
    <w:rsid w:val="00DD15E7"/>
    <w:rsid w:val="00DD16E2"/>
    <w:rsid w:val="00DD1A0F"/>
    <w:rsid w:val="00DD1C3A"/>
    <w:rsid w:val="00DD2514"/>
    <w:rsid w:val="00DD25D6"/>
    <w:rsid w:val="00DD3364"/>
    <w:rsid w:val="00DD4038"/>
    <w:rsid w:val="00DD40B6"/>
    <w:rsid w:val="00DD46E2"/>
    <w:rsid w:val="00DD485A"/>
    <w:rsid w:val="00DD51F6"/>
    <w:rsid w:val="00DD595A"/>
    <w:rsid w:val="00DD685B"/>
    <w:rsid w:val="00DD6A64"/>
    <w:rsid w:val="00DD6C94"/>
    <w:rsid w:val="00DD711F"/>
    <w:rsid w:val="00DD7703"/>
    <w:rsid w:val="00DE1838"/>
    <w:rsid w:val="00DE1CB1"/>
    <w:rsid w:val="00DE339D"/>
    <w:rsid w:val="00DE3788"/>
    <w:rsid w:val="00DE44B4"/>
    <w:rsid w:val="00DE588F"/>
    <w:rsid w:val="00DE5E98"/>
    <w:rsid w:val="00DE63D0"/>
    <w:rsid w:val="00DE67D6"/>
    <w:rsid w:val="00DE67EC"/>
    <w:rsid w:val="00DE69D3"/>
    <w:rsid w:val="00DE6DF3"/>
    <w:rsid w:val="00DE7542"/>
    <w:rsid w:val="00DE77C6"/>
    <w:rsid w:val="00DF04D2"/>
    <w:rsid w:val="00DF0775"/>
    <w:rsid w:val="00DF083E"/>
    <w:rsid w:val="00DF0AD2"/>
    <w:rsid w:val="00DF13B9"/>
    <w:rsid w:val="00DF192E"/>
    <w:rsid w:val="00DF1FD5"/>
    <w:rsid w:val="00DF29F8"/>
    <w:rsid w:val="00DF3641"/>
    <w:rsid w:val="00DF366D"/>
    <w:rsid w:val="00DF37D4"/>
    <w:rsid w:val="00DF38AD"/>
    <w:rsid w:val="00DF3917"/>
    <w:rsid w:val="00DF3D97"/>
    <w:rsid w:val="00DF3F0D"/>
    <w:rsid w:val="00DF4271"/>
    <w:rsid w:val="00DF45B7"/>
    <w:rsid w:val="00DF4C0F"/>
    <w:rsid w:val="00DF5008"/>
    <w:rsid w:val="00DF60B0"/>
    <w:rsid w:val="00DF61F5"/>
    <w:rsid w:val="00DF66C8"/>
    <w:rsid w:val="00DF6C17"/>
    <w:rsid w:val="00DF75EA"/>
    <w:rsid w:val="00DF785E"/>
    <w:rsid w:val="00DF7966"/>
    <w:rsid w:val="00DF7B53"/>
    <w:rsid w:val="00DF7F08"/>
    <w:rsid w:val="00E002A8"/>
    <w:rsid w:val="00E00F89"/>
    <w:rsid w:val="00E015E4"/>
    <w:rsid w:val="00E01F35"/>
    <w:rsid w:val="00E022E5"/>
    <w:rsid w:val="00E026D3"/>
    <w:rsid w:val="00E02A18"/>
    <w:rsid w:val="00E02FD4"/>
    <w:rsid w:val="00E03BC7"/>
    <w:rsid w:val="00E04230"/>
    <w:rsid w:val="00E04D1A"/>
    <w:rsid w:val="00E051E0"/>
    <w:rsid w:val="00E05662"/>
    <w:rsid w:val="00E0571C"/>
    <w:rsid w:val="00E062CB"/>
    <w:rsid w:val="00E063FD"/>
    <w:rsid w:val="00E065B4"/>
    <w:rsid w:val="00E0674D"/>
    <w:rsid w:val="00E07183"/>
    <w:rsid w:val="00E071DA"/>
    <w:rsid w:val="00E07776"/>
    <w:rsid w:val="00E1026F"/>
    <w:rsid w:val="00E1047C"/>
    <w:rsid w:val="00E10812"/>
    <w:rsid w:val="00E11FFD"/>
    <w:rsid w:val="00E1228F"/>
    <w:rsid w:val="00E12A15"/>
    <w:rsid w:val="00E135D6"/>
    <w:rsid w:val="00E1369C"/>
    <w:rsid w:val="00E13807"/>
    <w:rsid w:val="00E13B1D"/>
    <w:rsid w:val="00E13D11"/>
    <w:rsid w:val="00E14011"/>
    <w:rsid w:val="00E14176"/>
    <w:rsid w:val="00E144AC"/>
    <w:rsid w:val="00E1539A"/>
    <w:rsid w:val="00E1592F"/>
    <w:rsid w:val="00E15C72"/>
    <w:rsid w:val="00E1606C"/>
    <w:rsid w:val="00E16ABA"/>
    <w:rsid w:val="00E20246"/>
    <w:rsid w:val="00E20C45"/>
    <w:rsid w:val="00E2103F"/>
    <w:rsid w:val="00E21C0D"/>
    <w:rsid w:val="00E223F5"/>
    <w:rsid w:val="00E224BF"/>
    <w:rsid w:val="00E22708"/>
    <w:rsid w:val="00E22D70"/>
    <w:rsid w:val="00E23D60"/>
    <w:rsid w:val="00E23E5D"/>
    <w:rsid w:val="00E24D8A"/>
    <w:rsid w:val="00E24F54"/>
    <w:rsid w:val="00E2516F"/>
    <w:rsid w:val="00E25B4D"/>
    <w:rsid w:val="00E25BB7"/>
    <w:rsid w:val="00E261B9"/>
    <w:rsid w:val="00E263E0"/>
    <w:rsid w:val="00E26CC1"/>
    <w:rsid w:val="00E27F3C"/>
    <w:rsid w:val="00E30084"/>
    <w:rsid w:val="00E30488"/>
    <w:rsid w:val="00E3049E"/>
    <w:rsid w:val="00E30B31"/>
    <w:rsid w:val="00E320D0"/>
    <w:rsid w:val="00E3241F"/>
    <w:rsid w:val="00E32A87"/>
    <w:rsid w:val="00E3369A"/>
    <w:rsid w:val="00E338C8"/>
    <w:rsid w:val="00E349A4"/>
    <w:rsid w:val="00E3565C"/>
    <w:rsid w:val="00E3565D"/>
    <w:rsid w:val="00E35B26"/>
    <w:rsid w:val="00E35B99"/>
    <w:rsid w:val="00E35F79"/>
    <w:rsid w:val="00E36F91"/>
    <w:rsid w:val="00E37058"/>
    <w:rsid w:val="00E3706C"/>
    <w:rsid w:val="00E37635"/>
    <w:rsid w:val="00E37E6C"/>
    <w:rsid w:val="00E37E6F"/>
    <w:rsid w:val="00E4049E"/>
    <w:rsid w:val="00E407DD"/>
    <w:rsid w:val="00E408E3"/>
    <w:rsid w:val="00E40B5B"/>
    <w:rsid w:val="00E419AE"/>
    <w:rsid w:val="00E41B74"/>
    <w:rsid w:val="00E41E7E"/>
    <w:rsid w:val="00E4268B"/>
    <w:rsid w:val="00E426DF"/>
    <w:rsid w:val="00E42B80"/>
    <w:rsid w:val="00E434DF"/>
    <w:rsid w:val="00E437C3"/>
    <w:rsid w:val="00E439D0"/>
    <w:rsid w:val="00E43AB5"/>
    <w:rsid w:val="00E44055"/>
    <w:rsid w:val="00E449C2"/>
    <w:rsid w:val="00E44BE3"/>
    <w:rsid w:val="00E44ED4"/>
    <w:rsid w:val="00E45058"/>
    <w:rsid w:val="00E4511B"/>
    <w:rsid w:val="00E45D71"/>
    <w:rsid w:val="00E45E18"/>
    <w:rsid w:val="00E46DC7"/>
    <w:rsid w:val="00E47164"/>
    <w:rsid w:val="00E47789"/>
    <w:rsid w:val="00E47B32"/>
    <w:rsid w:val="00E509B9"/>
    <w:rsid w:val="00E5153C"/>
    <w:rsid w:val="00E5191C"/>
    <w:rsid w:val="00E51D90"/>
    <w:rsid w:val="00E52A6D"/>
    <w:rsid w:val="00E52BAA"/>
    <w:rsid w:val="00E530B3"/>
    <w:rsid w:val="00E531F6"/>
    <w:rsid w:val="00E53746"/>
    <w:rsid w:val="00E53836"/>
    <w:rsid w:val="00E53B79"/>
    <w:rsid w:val="00E55B2B"/>
    <w:rsid w:val="00E55DFF"/>
    <w:rsid w:val="00E560B2"/>
    <w:rsid w:val="00E56AC0"/>
    <w:rsid w:val="00E56B77"/>
    <w:rsid w:val="00E57273"/>
    <w:rsid w:val="00E60CD8"/>
    <w:rsid w:val="00E60D1A"/>
    <w:rsid w:val="00E60EA0"/>
    <w:rsid w:val="00E6149B"/>
    <w:rsid w:val="00E61515"/>
    <w:rsid w:val="00E617F8"/>
    <w:rsid w:val="00E622A8"/>
    <w:rsid w:val="00E62927"/>
    <w:rsid w:val="00E62DC6"/>
    <w:rsid w:val="00E637B9"/>
    <w:rsid w:val="00E638B3"/>
    <w:rsid w:val="00E6484D"/>
    <w:rsid w:val="00E6509F"/>
    <w:rsid w:val="00E659DE"/>
    <w:rsid w:val="00E66062"/>
    <w:rsid w:val="00E6619D"/>
    <w:rsid w:val="00E662A0"/>
    <w:rsid w:val="00E666A6"/>
    <w:rsid w:val="00E6684C"/>
    <w:rsid w:val="00E668C9"/>
    <w:rsid w:val="00E67841"/>
    <w:rsid w:val="00E67FD8"/>
    <w:rsid w:val="00E7067A"/>
    <w:rsid w:val="00E7069F"/>
    <w:rsid w:val="00E70EF9"/>
    <w:rsid w:val="00E71CE6"/>
    <w:rsid w:val="00E72BFE"/>
    <w:rsid w:val="00E7413E"/>
    <w:rsid w:val="00E74797"/>
    <w:rsid w:val="00E74812"/>
    <w:rsid w:val="00E74B4E"/>
    <w:rsid w:val="00E74E4C"/>
    <w:rsid w:val="00E74F22"/>
    <w:rsid w:val="00E74F9D"/>
    <w:rsid w:val="00E75009"/>
    <w:rsid w:val="00E76D59"/>
    <w:rsid w:val="00E76DC9"/>
    <w:rsid w:val="00E771C7"/>
    <w:rsid w:val="00E775CE"/>
    <w:rsid w:val="00E77D3B"/>
    <w:rsid w:val="00E803E8"/>
    <w:rsid w:val="00E80A39"/>
    <w:rsid w:val="00E80C56"/>
    <w:rsid w:val="00E81AE7"/>
    <w:rsid w:val="00E81C52"/>
    <w:rsid w:val="00E82574"/>
    <w:rsid w:val="00E82DA4"/>
    <w:rsid w:val="00E850CB"/>
    <w:rsid w:val="00E857B8"/>
    <w:rsid w:val="00E857CA"/>
    <w:rsid w:val="00E85E41"/>
    <w:rsid w:val="00E86143"/>
    <w:rsid w:val="00E8628F"/>
    <w:rsid w:val="00E867B0"/>
    <w:rsid w:val="00E86BE8"/>
    <w:rsid w:val="00E8711A"/>
    <w:rsid w:val="00E8736B"/>
    <w:rsid w:val="00E87723"/>
    <w:rsid w:val="00E87731"/>
    <w:rsid w:val="00E903B8"/>
    <w:rsid w:val="00E904FD"/>
    <w:rsid w:val="00E90B67"/>
    <w:rsid w:val="00E90F78"/>
    <w:rsid w:val="00E914AE"/>
    <w:rsid w:val="00E92A47"/>
    <w:rsid w:val="00E92ABD"/>
    <w:rsid w:val="00E92C6C"/>
    <w:rsid w:val="00E9374F"/>
    <w:rsid w:val="00E9376F"/>
    <w:rsid w:val="00E938A4"/>
    <w:rsid w:val="00E93982"/>
    <w:rsid w:val="00E93F0E"/>
    <w:rsid w:val="00E940C7"/>
    <w:rsid w:val="00E95001"/>
    <w:rsid w:val="00E95549"/>
    <w:rsid w:val="00E95C8E"/>
    <w:rsid w:val="00E95D30"/>
    <w:rsid w:val="00E95FB3"/>
    <w:rsid w:val="00E95FDF"/>
    <w:rsid w:val="00E9626E"/>
    <w:rsid w:val="00E964E7"/>
    <w:rsid w:val="00E96825"/>
    <w:rsid w:val="00E969FB"/>
    <w:rsid w:val="00E96A96"/>
    <w:rsid w:val="00E96B9E"/>
    <w:rsid w:val="00E977BC"/>
    <w:rsid w:val="00E978C5"/>
    <w:rsid w:val="00E9799F"/>
    <w:rsid w:val="00E97AF9"/>
    <w:rsid w:val="00E97E73"/>
    <w:rsid w:val="00EA066A"/>
    <w:rsid w:val="00EA0C7F"/>
    <w:rsid w:val="00EA0DAD"/>
    <w:rsid w:val="00EA1680"/>
    <w:rsid w:val="00EA183B"/>
    <w:rsid w:val="00EA2393"/>
    <w:rsid w:val="00EA2EEA"/>
    <w:rsid w:val="00EA434B"/>
    <w:rsid w:val="00EA481C"/>
    <w:rsid w:val="00EA4941"/>
    <w:rsid w:val="00EA4D30"/>
    <w:rsid w:val="00EA500C"/>
    <w:rsid w:val="00EA58FA"/>
    <w:rsid w:val="00EA5EF9"/>
    <w:rsid w:val="00EA69BF"/>
    <w:rsid w:val="00EA6C58"/>
    <w:rsid w:val="00EA7048"/>
    <w:rsid w:val="00EA7395"/>
    <w:rsid w:val="00EA7A42"/>
    <w:rsid w:val="00EA7B4E"/>
    <w:rsid w:val="00EB00B9"/>
    <w:rsid w:val="00EB04DA"/>
    <w:rsid w:val="00EB0885"/>
    <w:rsid w:val="00EB0AC1"/>
    <w:rsid w:val="00EB14CF"/>
    <w:rsid w:val="00EB229C"/>
    <w:rsid w:val="00EB2481"/>
    <w:rsid w:val="00EB271B"/>
    <w:rsid w:val="00EB2832"/>
    <w:rsid w:val="00EB29E1"/>
    <w:rsid w:val="00EB37D4"/>
    <w:rsid w:val="00EB4ACF"/>
    <w:rsid w:val="00EB614B"/>
    <w:rsid w:val="00EB614D"/>
    <w:rsid w:val="00EB625F"/>
    <w:rsid w:val="00EB6482"/>
    <w:rsid w:val="00EB6614"/>
    <w:rsid w:val="00EB7794"/>
    <w:rsid w:val="00EB7E0B"/>
    <w:rsid w:val="00EB7E6D"/>
    <w:rsid w:val="00EC015F"/>
    <w:rsid w:val="00EC0184"/>
    <w:rsid w:val="00EC0243"/>
    <w:rsid w:val="00EC0D5D"/>
    <w:rsid w:val="00EC1506"/>
    <w:rsid w:val="00EC170B"/>
    <w:rsid w:val="00EC1C2C"/>
    <w:rsid w:val="00EC1E41"/>
    <w:rsid w:val="00EC1FEB"/>
    <w:rsid w:val="00EC2F83"/>
    <w:rsid w:val="00EC3215"/>
    <w:rsid w:val="00EC323A"/>
    <w:rsid w:val="00EC3438"/>
    <w:rsid w:val="00EC34F3"/>
    <w:rsid w:val="00EC43FB"/>
    <w:rsid w:val="00EC6760"/>
    <w:rsid w:val="00EC686B"/>
    <w:rsid w:val="00EC699C"/>
    <w:rsid w:val="00EC6CB8"/>
    <w:rsid w:val="00EC6EDD"/>
    <w:rsid w:val="00EC706B"/>
    <w:rsid w:val="00EC712E"/>
    <w:rsid w:val="00EC7384"/>
    <w:rsid w:val="00EC7473"/>
    <w:rsid w:val="00EC754B"/>
    <w:rsid w:val="00ED0702"/>
    <w:rsid w:val="00ED0998"/>
    <w:rsid w:val="00ED0A64"/>
    <w:rsid w:val="00ED0E87"/>
    <w:rsid w:val="00ED1382"/>
    <w:rsid w:val="00ED1CD0"/>
    <w:rsid w:val="00ED1D38"/>
    <w:rsid w:val="00ED2504"/>
    <w:rsid w:val="00ED294F"/>
    <w:rsid w:val="00ED2A18"/>
    <w:rsid w:val="00ED311E"/>
    <w:rsid w:val="00ED3561"/>
    <w:rsid w:val="00ED5091"/>
    <w:rsid w:val="00ED51C6"/>
    <w:rsid w:val="00ED51E1"/>
    <w:rsid w:val="00ED550D"/>
    <w:rsid w:val="00ED5DDE"/>
    <w:rsid w:val="00ED62E3"/>
    <w:rsid w:val="00ED631F"/>
    <w:rsid w:val="00ED6839"/>
    <w:rsid w:val="00ED6A84"/>
    <w:rsid w:val="00ED6BF7"/>
    <w:rsid w:val="00ED724E"/>
    <w:rsid w:val="00ED7299"/>
    <w:rsid w:val="00EE0161"/>
    <w:rsid w:val="00EE1028"/>
    <w:rsid w:val="00EE1AB2"/>
    <w:rsid w:val="00EE1E29"/>
    <w:rsid w:val="00EE1F6F"/>
    <w:rsid w:val="00EE202C"/>
    <w:rsid w:val="00EE21ED"/>
    <w:rsid w:val="00EE2260"/>
    <w:rsid w:val="00EE25F8"/>
    <w:rsid w:val="00EE2CD7"/>
    <w:rsid w:val="00EE3257"/>
    <w:rsid w:val="00EE3966"/>
    <w:rsid w:val="00EE3C33"/>
    <w:rsid w:val="00EE3E73"/>
    <w:rsid w:val="00EE404E"/>
    <w:rsid w:val="00EE47B1"/>
    <w:rsid w:val="00EE4AD9"/>
    <w:rsid w:val="00EE4F4E"/>
    <w:rsid w:val="00EE54A6"/>
    <w:rsid w:val="00EE5A5B"/>
    <w:rsid w:val="00EE5FB3"/>
    <w:rsid w:val="00EE613D"/>
    <w:rsid w:val="00EE61F7"/>
    <w:rsid w:val="00EE6240"/>
    <w:rsid w:val="00EE694F"/>
    <w:rsid w:val="00EE7881"/>
    <w:rsid w:val="00EE78D6"/>
    <w:rsid w:val="00EE7967"/>
    <w:rsid w:val="00EF013D"/>
    <w:rsid w:val="00EF0E51"/>
    <w:rsid w:val="00EF0E5D"/>
    <w:rsid w:val="00EF1608"/>
    <w:rsid w:val="00EF1A22"/>
    <w:rsid w:val="00EF1C38"/>
    <w:rsid w:val="00EF3CC3"/>
    <w:rsid w:val="00EF3F84"/>
    <w:rsid w:val="00EF4219"/>
    <w:rsid w:val="00EF47D9"/>
    <w:rsid w:val="00EF4C13"/>
    <w:rsid w:val="00EF5EBC"/>
    <w:rsid w:val="00EF634B"/>
    <w:rsid w:val="00EF75EA"/>
    <w:rsid w:val="00EF7BCF"/>
    <w:rsid w:val="00EF7E31"/>
    <w:rsid w:val="00F0009E"/>
    <w:rsid w:val="00F00771"/>
    <w:rsid w:val="00F010F1"/>
    <w:rsid w:val="00F01340"/>
    <w:rsid w:val="00F019E5"/>
    <w:rsid w:val="00F01A09"/>
    <w:rsid w:val="00F02504"/>
    <w:rsid w:val="00F02872"/>
    <w:rsid w:val="00F03044"/>
    <w:rsid w:val="00F03393"/>
    <w:rsid w:val="00F03FDA"/>
    <w:rsid w:val="00F04AC3"/>
    <w:rsid w:val="00F05B4C"/>
    <w:rsid w:val="00F05D30"/>
    <w:rsid w:val="00F06266"/>
    <w:rsid w:val="00F0672B"/>
    <w:rsid w:val="00F074E2"/>
    <w:rsid w:val="00F0768C"/>
    <w:rsid w:val="00F102B2"/>
    <w:rsid w:val="00F10896"/>
    <w:rsid w:val="00F109F5"/>
    <w:rsid w:val="00F10F3F"/>
    <w:rsid w:val="00F11EEA"/>
    <w:rsid w:val="00F1254A"/>
    <w:rsid w:val="00F13545"/>
    <w:rsid w:val="00F13F6D"/>
    <w:rsid w:val="00F14F2A"/>
    <w:rsid w:val="00F15167"/>
    <w:rsid w:val="00F161FA"/>
    <w:rsid w:val="00F1654F"/>
    <w:rsid w:val="00F167BF"/>
    <w:rsid w:val="00F16C8E"/>
    <w:rsid w:val="00F16EF9"/>
    <w:rsid w:val="00F16F07"/>
    <w:rsid w:val="00F1719A"/>
    <w:rsid w:val="00F179C7"/>
    <w:rsid w:val="00F17DAA"/>
    <w:rsid w:val="00F2038B"/>
    <w:rsid w:val="00F209AB"/>
    <w:rsid w:val="00F20DB6"/>
    <w:rsid w:val="00F20F65"/>
    <w:rsid w:val="00F20FC5"/>
    <w:rsid w:val="00F21343"/>
    <w:rsid w:val="00F2172B"/>
    <w:rsid w:val="00F21CF9"/>
    <w:rsid w:val="00F21DD0"/>
    <w:rsid w:val="00F22AF2"/>
    <w:rsid w:val="00F22D51"/>
    <w:rsid w:val="00F2306B"/>
    <w:rsid w:val="00F2338B"/>
    <w:rsid w:val="00F2362D"/>
    <w:rsid w:val="00F23EB0"/>
    <w:rsid w:val="00F24808"/>
    <w:rsid w:val="00F24EAE"/>
    <w:rsid w:val="00F2543C"/>
    <w:rsid w:val="00F25B8B"/>
    <w:rsid w:val="00F25EA9"/>
    <w:rsid w:val="00F27094"/>
    <w:rsid w:val="00F27299"/>
    <w:rsid w:val="00F2756F"/>
    <w:rsid w:val="00F275DF"/>
    <w:rsid w:val="00F276AE"/>
    <w:rsid w:val="00F278E3"/>
    <w:rsid w:val="00F27A6B"/>
    <w:rsid w:val="00F27D67"/>
    <w:rsid w:val="00F3065F"/>
    <w:rsid w:val="00F30699"/>
    <w:rsid w:val="00F30902"/>
    <w:rsid w:val="00F3092B"/>
    <w:rsid w:val="00F318F0"/>
    <w:rsid w:val="00F31ACE"/>
    <w:rsid w:val="00F31B62"/>
    <w:rsid w:val="00F31FA6"/>
    <w:rsid w:val="00F32BE4"/>
    <w:rsid w:val="00F32C7E"/>
    <w:rsid w:val="00F32E03"/>
    <w:rsid w:val="00F331EE"/>
    <w:rsid w:val="00F33698"/>
    <w:rsid w:val="00F339D9"/>
    <w:rsid w:val="00F33B83"/>
    <w:rsid w:val="00F33CCB"/>
    <w:rsid w:val="00F33CFD"/>
    <w:rsid w:val="00F33F31"/>
    <w:rsid w:val="00F33FD6"/>
    <w:rsid w:val="00F3400E"/>
    <w:rsid w:val="00F349C9"/>
    <w:rsid w:val="00F34EFF"/>
    <w:rsid w:val="00F35DCC"/>
    <w:rsid w:val="00F362DF"/>
    <w:rsid w:val="00F36A74"/>
    <w:rsid w:val="00F36BC0"/>
    <w:rsid w:val="00F37053"/>
    <w:rsid w:val="00F372E2"/>
    <w:rsid w:val="00F3776E"/>
    <w:rsid w:val="00F37782"/>
    <w:rsid w:val="00F37947"/>
    <w:rsid w:val="00F37A3D"/>
    <w:rsid w:val="00F37F6D"/>
    <w:rsid w:val="00F40754"/>
    <w:rsid w:val="00F40A86"/>
    <w:rsid w:val="00F40ED6"/>
    <w:rsid w:val="00F40FF8"/>
    <w:rsid w:val="00F4114A"/>
    <w:rsid w:val="00F411CD"/>
    <w:rsid w:val="00F417EF"/>
    <w:rsid w:val="00F4188F"/>
    <w:rsid w:val="00F41CE4"/>
    <w:rsid w:val="00F41E1C"/>
    <w:rsid w:val="00F41E95"/>
    <w:rsid w:val="00F41ECF"/>
    <w:rsid w:val="00F4212D"/>
    <w:rsid w:val="00F4226F"/>
    <w:rsid w:val="00F42337"/>
    <w:rsid w:val="00F426E2"/>
    <w:rsid w:val="00F428C0"/>
    <w:rsid w:val="00F42A57"/>
    <w:rsid w:val="00F42FB7"/>
    <w:rsid w:val="00F43634"/>
    <w:rsid w:val="00F439EF"/>
    <w:rsid w:val="00F44151"/>
    <w:rsid w:val="00F443CA"/>
    <w:rsid w:val="00F4478C"/>
    <w:rsid w:val="00F447C8"/>
    <w:rsid w:val="00F44E6B"/>
    <w:rsid w:val="00F453ED"/>
    <w:rsid w:val="00F45807"/>
    <w:rsid w:val="00F45ABF"/>
    <w:rsid w:val="00F45B05"/>
    <w:rsid w:val="00F45FAA"/>
    <w:rsid w:val="00F46332"/>
    <w:rsid w:val="00F463EE"/>
    <w:rsid w:val="00F47072"/>
    <w:rsid w:val="00F477B9"/>
    <w:rsid w:val="00F50283"/>
    <w:rsid w:val="00F50637"/>
    <w:rsid w:val="00F506B3"/>
    <w:rsid w:val="00F50738"/>
    <w:rsid w:val="00F509C3"/>
    <w:rsid w:val="00F50E1A"/>
    <w:rsid w:val="00F51486"/>
    <w:rsid w:val="00F51531"/>
    <w:rsid w:val="00F51632"/>
    <w:rsid w:val="00F521FD"/>
    <w:rsid w:val="00F52558"/>
    <w:rsid w:val="00F52691"/>
    <w:rsid w:val="00F52E30"/>
    <w:rsid w:val="00F53135"/>
    <w:rsid w:val="00F53EBA"/>
    <w:rsid w:val="00F53F2D"/>
    <w:rsid w:val="00F542C1"/>
    <w:rsid w:val="00F54D6D"/>
    <w:rsid w:val="00F555F0"/>
    <w:rsid w:val="00F5565E"/>
    <w:rsid w:val="00F56279"/>
    <w:rsid w:val="00F56336"/>
    <w:rsid w:val="00F563D6"/>
    <w:rsid w:val="00F5677D"/>
    <w:rsid w:val="00F56E0B"/>
    <w:rsid w:val="00F57717"/>
    <w:rsid w:val="00F608B9"/>
    <w:rsid w:val="00F60A2D"/>
    <w:rsid w:val="00F60E13"/>
    <w:rsid w:val="00F60EB2"/>
    <w:rsid w:val="00F610AD"/>
    <w:rsid w:val="00F615DC"/>
    <w:rsid w:val="00F61A8C"/>
    <w:rsid w:val="00F61BBA"/>
    <w:rsid w:val="00F62099"/>
    <w:rsid w:val="00F6214C"/>
    <w:rsid w:val="00F62477"/>
    <w:rsid w:val="00F625EC"/>
    <w:rsid w:val="00F6291C"/>
    <w:rsid w:val="00F6345A"/>
    <w:rsid w:val="00F63464"/>
    <w:rsid w:val="00F637BB"/>
    <w:rsid w:val="00F6497B"/>
    <w:rsid w:val="00F64B34"/>
    <w:rsid w:val="00F64C09"/>
    <w:rsid w:val="00F6507E"/>
    <w:rsid w:val="00F650A5"/>
    <w:rsid w:val="00F651EC"/>
    <w:rsid w:val="00F656DB"/>
    <w:rsid w:val="00F658CC"/>
    <w:rsid w:val="00F6615B"/>
    <w:rsid w:val="00F66CB0"/>
    <w:rsid w:val="00F67775"/>
    <w:rsid w:val="00F679F2"/>
    <w:rsid w:val="00F67B0E"/>
    <w:rsid w:val="00F67E49"/>
    <w:rsid w:val="00F7088E"/>
    <w:rsid w:val="00F722A3"/>
    <w:rsid w:val="00F72EAA"/>
    <w:rsid w:val="00F7367E"/>
    <w:rsid w:val="00F73F12"/>
    <w:rsid w:val="00F741A7"/>
    <w:rsid w:val="00F742F8"/>
    <w:rsid w:val="00F748EA"/>
    <w:rsid w:val="00F74F7D"/>
    <w:rsid w:val="00F75095"/>
    <w:rsid w:val="00F75737"/>
    <w:rsid w:val="00F757AF"/>
    <w:rsid w:val="00F76408"/>
    <w:rsid w:val="00F7741E"/>
    <w:rsid w:val="00F77932"/>
    <w:rsid w:val="00F77ED9"/>
    <w:rsid w:val="00F806A0"/>
    <w:rsid w:val="00F80AEA"/>
    <w:rsid w:val="00F811DB"/>
    <w:rsid w:val="00F81D31"/>
    <w:rsid w:val="00F82763"/>
    <w:rsid w:val="00F82F24"/>
    <w:rsid w:val="00F8314A"/>
    <w:rsid w:val="00F8406A"/>
    <w:rsid w:val="00F84103"/>
    <w:rsid w:val="00F845C6"/>
    <w:rsid w:val="00F84A0B"/>
    <w:rsid w:val="00F84E22"/>
    <w:rsid w:val="00F84FCB"/>
    <w:rsid w:val="00F8563D"/>
    <w:rsid w:val="00F85F25"/>
    <w:rsid w:val="00F87CFF"/>
    <w:rsid w:val="00F903BE"/>
    <w:rsid w:val="00F907A8"/>
    <w:rsid w:val="00F907E5"/>
    <w:rsid w:val="00F90CF2"/>
    <w:rsid w:val="00F910D2"/>
    <w:rsid w:val="00F91F0C"/>
    <w:rsid w:val="00F92250"/>
    <w:rsid w:val="00F928A8"/>
    <w:rsid w:val="00F92ADD"/>
    <w:rsid w:val="00F92C05"/>
    <w:rsid w:val="00F93010"/>
    <w:rsid w:val="00F934FD"/>
    <w:rsid w:val="00F93CDA"/>
    <w:rsid w:val="00F94534"/>
    <w:rsid w:val="00F94744"/>
    <w:rsid w:val="00F94DD3"/>
    <w:rsid w:val="00F951A9"/>
    <w:rsid w:val="00F952E3"/>
    <w:rsid w:val="00F9554F"/>
    <w:rsid w:val="00F95E69"/>
    <w:rsid w:val="00F9680E"/>
    <w:rsid w:val="00F96D0D"/>
    <w:rsid w:val="00F96ECE"/>
    <w:rsid w:val="00F972E0"/>
    <w:rsid w:val="00F9757F"/>
    <w:rsid w:val="00F979C4"/>
    <w:rsid w:val="00FA028E"/>
    <w:rsid w:val="00FA0D03"/>
    <w:rsid w:val="00FA166F"/>
    <w:rsid w:val="00FA1898"/>
    <w:rsid w:val="00FA1FDE"/>
    <w:rsid w:val="00FA246F"/>
    <w:rsid w:val="00FA26D3"/>
    <w:rsid w:val="00FA2779"/>
    <w:rsid w:val="00FA2866"/>
    <w:rsid w:val="00FA2B05"/>
    <w:rsid w:val="00FA3BCB"/>
    <w:rsid w:val="00FA3DAE"/>
    <w:rsid w:val="00FA4124"/>
    <w:rsid w:val="00FA45D6"/>
    <w:rsid w:val="00FA4D9A"/>
    <w:rsid w:val="00FA5B63"/>
    <w:rsid w:val="00FA5C13"/>
    <w:rsid w:val="00FA6518"/>
    <w:rsid w:val="00FA699D"/>
    <w:rsid w:val="00FA718D"/>
    <w:rsid w:val="00FB064C"/>
    <w:rsid w:val="00FB0999"/>
    <w:rsid w:val="00FB11D0"/>
    <w:rsid w:val="00FB278F"/>
    <w:rsid w:val="00FB3860"/>
    <w:rsid w:val="00FB458E"/>
    <w:rsid w:val="00FB4E26"/>
    <w:rsid w:val="00FB4F97"/>
    <w:rsid w:val="00FB5520"/>
    <w:rsid w:val="00FB581D"/>
    <w:rsid w:val="00FB5FA6"/>
    <w:rsid w:val="00FB6278"/>
    <w:rsid w:val="00FB6606"/>
    <w:rsid w:val="00FB691E"/>
    <w:rsid w:val="00FB6C43"/>
    <w:rsid w:val="00FB7491"/>
    <w:rsid w:val="00FB74EE"/>
    <w:rsid w:val="00FB7AE4"/>
    <w:rsid w:val="00FC0422"/>
    <w:rsid w:val="00FC10AB"/>
    <w:rsid w:val="00FC1C68"/>
    <w:rsid w:val="00FC1EC4"/>
    <w:rsid w:val="00FC1ECF"/>
    <w:rsid w:val="00FC2237"/>
    <w:rsid w:val="00FC2C44"/>
    <w:rsid w:val="00FC2CAA"/>
    <w:rsid w:val="00FC2D3D"/>
    <w:rsid w:val="00FC2F33"/>
    <w:rsid w:val="00FC3717"/>
    <w:rsid w:val="00FC39AA"/>
    <w:rsid w:val="00FC3ECC"/>
    <w:rsid w:val="00FC416F"/>
    <w:rsid w:val="00FC4480"/>
    <w:rsid w:val="00FC48E4"/>
    <w:rsid w:val="00FC51D0"/>
    <w:rsid w:val="00FC521F"/>
    <w:rsid w:val="00FC5490"/>
    <w:rsid w:val="00FC7830"/>
    <w:rsid w:val="00FC794E"/>
    <w:rsid w:val="00FD0472"/>
    <w:rsid w:val="00FD065E"/>
    <w:rsid w:val="00FD07C3"/>
    <w:rsid w:val="00FD08ED"/>
    <w:rsid w:val="00FD0989"/>
    <w:rsid w:val="00FD0A83"/>
    <w:rsid w:val="00FD0CDD"/>
    <w:rsid w:val="00FD0D3E"/>
    <w:rsid w:val="00FD1691"/>
    <w:rsid w:val="00FD2648"/>
    <w:rsid w:val="00FD26E5"/>
    <w:rsid w:val="00FD2792"/>
    <w:rsid w:val="00FD336B"/>
    <w:rsid w:val="00FD4095"/>
    <w:rsid w:val="00FD43E0"/>
    <w:rsid w:val="00FD468D"/>
    <w:rsid w:val="00FD4BE0"/>
    <w:rsid w:val="00FD4EC5"/>
    <w:rsid w:val="00FD59A1"/>
    <w:rsid w:val="00FD64E1"/>
    <w:rsid w:val="00FD6A9B"/>
    <w:rsid w:val="00FD70C3"/>
    <w:rsid w:val="00FD7353"/>
    <w:rsid w:val="00FE0772"/>
    <w:rsid w:val="00FE07BB"/>
    <w:rsid w:val="00FE1BD8"/>
    <w:rsid w:val="00FE21CE"/>
    <w:rsid w:val="00FE2660"/>
    <w:rsid w:val="00FE2E29"/>
    <w:rsid w:val="00FE3921"/>
    <w:rsid w:val="00FE3954"/>
    <w:rsid w:val="00FE3A51"/>
    <w:rsid w:val="00FE3C08"/>
    <w:rsid w:val="00FE3E6A"/>
    <w:rsid w:val="00FE4165"/>
    <w:rsid w:val="00FE4299"/>
    <w:rsid w:val="00FE4F49"/>
    <w:rsid w:val="00FE5068"/>
    <w:rsid w:val="00FE57F9"/>
    <w:rsid w:val="00FE60C9"/>
    <w:rsid w:val="00FE6A9C"/>
    <w:rsid w:val="00FE7079"/>
    <w:rsid w:val="00FE723F"/>
    <w:rsid w:val="00FE7374"/>
    <w:rsid w:val="00FE795F"/>
    <w:rsid w:val="00FE7A65"/>
    <w:rsid w:val="00FF0245"/>
    <w:rsid w:val="00FF046F"/>
    <w:rsid w:val="00FF0899"/>
    <w:rsid w:val="00FF1A6D"/>
    <w:rsid w:val="00FF20B9"/>
    <w:rsid w:val="00FF36AF"/>
    <w:rsid w:val="00FF3898"/>
    <w:rsid w:val="00FF3A16"/>
    <w:rsid w:val="00FF3E53"/>
    <w:rsid w:val="00FF407A"/>
    <w:rsid w:val="00FF4E65"/>
    <w:rsid w:val="00FF5D58"/>
    <w:rsid w:val="00FF6B01"/>
    <w:rsid w:val="00FF6D58"/>
    <w:rsid w:val="00FF703B"/>
    <w:rsid w:val="00FF7085"/>
    <w:rsid w:val="00FF7444"/>
    <w:rsid w:val="00FF7630"/>
    <w:rsid w:val="00FF7646"/>
    <w:rsid w:val="00FF7A90"/>
    <w:rsid w:val="00FF7BB0"/>
    <w:rsid w:val="00FF7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655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0998"/>
    <w:pPr>
      <w:jc w:val="both"/>
    </w:pPr>
    <w:rPr>
      <w:rFonts w:ascii="ZapfCalligr BT" w:hAnsi="ZapfCalligr BT" w:cs="ZapfCalligr BT"/>
    </w:rPr>
  </w:style>
  <w:style w:type="paragraph" w:styleId="Heading1">
    <w:name w:val="heading 1"/>
    <w:basedOn w:val="Normal"/>
    <w:next w:val="Normal"/>
    <w:link w:val="Heading1Char"/>
    <w:uiPriority w:val="99"/>
    <w:qFormat/>
    <w:rsid w:val="00866ADF"/>
    <w:pPr>
      <w:keepNext/>
      <w:shd w:val="clear" w:color="auto" w:fill="3366FF"/>
      <w:outlineLvl w:val="0"/>
    </w:pPr>
    <w:rPr>
      <w:rFonts w:ascii="Arial" w:hAnsi="Arial" w:cs="Arial"/>
      <w:b/>
      <w:bCs/>
      <w:color w:val="FFCC00"/>
      <w:sz w:val="28"/>
      <w:szCs w:val="28"/>
      <w:lang w:eastAsia="en-US"/>
    </w:rPr>
  </w:style>
  <w:style w:type="paragraph" w:styleId="Heading2">
    <w:name w:val="heading 2"/>
    <w:basedOn w:val="Normal"/>
    <w:next w:val="Normal"/>
    <w:link w:val="Heading2Char"/>
    <w:uiPriority w:val="99"/>
    <w:qFormat/>
    <w:rsid w:val="00866ADF"/>
    <w:pPr>
      <w:keepNext/>
      <w:shd w:val="clear" w:color="auto" w:fill="99CCFF"/>
      <w:outlineLvl w:val="1"/>
    </w:pPr>
    <w:rPr>
      <w:rFonts w:ascii="Arial" w:hAnsi="Arial" w:cs="Arial"/>
      <w:b/>
      <w:bCs/>
      <w:sz w:val="24"/>
      <w:szCs w:val="24"/>
      <w:lang w:eastAsia="en-US"/>
    </w:rPr>
  </w:style>
  <w:style w:type="paragraph" w:styleId="Heading3">
    <w:name w:val="heading 3"/>
    <w:basedOn w:val="Normal"/>
    <w:next w:val="Normal"/>
    <w:link w:val="Heading3Char"/>
    <w:uiPriority w:val="99"/>
    <w:qFormat/>
    <w:rsid w:val="00866ADF"/>
    <w:pPr>
      <w:keepNext/>
      <w:tabs>
        <w:tab w:val="left" w:pos="1560"/>
        <w:tab w:val="left" w:pos="2410"/>
        <w:tab w:val="decimal" w:leader="dot" w:pos="8732"/>
      </w:tabs>
      <w:jc w:val="center"/>
      <w:outlineLvl w:val="2"/>
    </w:pPr>
    <w:rPr>
      <w:b/>
      <w:bCs/>
      <w:sz w:val="28"/>
      <w:szCs w:val="28"/>
      <w:u w:val="single"/>
      <w:lang w:eastAsia="en-US"/>
    </w:rPr>
  </w:style>
  <w:style w:type="paragraph" w:styleId="Heading4">
    <w:name w:val="heading 4"/>
    <w:basedOn w:val="Normal"/>
    <w:next w:val="Normal"/>
    <w:link w:val="Heading4Char"/>
    <w:uiPriority w:val="99"/>
    <w:qFormat/>
    <w:rsid w:val="00866ADF"/>
    <w:pPr>
      <w:keepNext/>
      <w:tabs>
        <w:tab w:val="left" w:pos="1560"/>
        <w:tab w:val="left" w:pos="2410"/>
        <w:tab w:val="decimal" w:leader="dot" w:pos="8732"/>
      </w:tabs>
      <w:jc w:val="center"/>
      <w:outlineLvl w:val="3"/>
    </w:pPr>
    <w:rPr>
      <w:b/>
      <w:bCs/>
      <w:sz w:val="26"/>
      <w:szCs w:val="26"/>
      <w:u w:val="single"/>
      <w:lang w:eastAsia="en-US"/>
    </w:rPr>
  </w:style>
  <w:style w:type="paragraph" w:styleId="Heading5">
    <w:name w:val="heading 5"/>
    <w:basedOn w:val="Normal"/>
    <w:next w:val="Normal"/>
    <w:link w:val="Heading5Char"/>
    <w:uiPriority w:val="99"/>
    <w:qFormat/>
    <w:rsid w:val="00866ADF"/>
    <w:pPr>
      <w:keepNext/>
      <w:tabs>
        <w:tab w:val="left" w:pos="1560"/>
        <w:tab w:val="left" w:pos="2410"/>
        <w:tab w:val="decimal" w:leader="dot" w:pos="8732"/>
      </w:tabs>
      <w:outlineLvl w:val="4"/>
    </w:pPr>
    <w:rPr>
      <w:b/>
      <w:bCs/>
      <w:sz w:val="28"/>
      <w:szCs w:val="28"/>
      <w:u w:val="single"/>
      <w:lang w:eastAsia="en-US"/>
    </w:rPr>
  </w:style>
  <w:style w:type="paragraph" w:styleId="Heading6">
    <w:name w:val="heading 6"/>
    <w:basedOn w:val="Normal"/>
    <w:next w:val="Normal"/>
    <w:link w:val="Heading6Char"/>
    <w:uiPriority w:val="99"/>
    <w:qFormat/>
    <w:rsid w:val="00866ADF"/>
    <w:pPr>
      <w:spacing w:before="240" w:after="60"/>
      <w:outlineLvl w:val="5"/>
    </w:pPr>
    <w:rPr>
      <w:rFonts w:ascii="Arial" w:hAnsi="Arial" w:cs="Arial"/>
      <w:b/>
      <w:bCs/>
    </w:rPr>
  </w:style>
  <w:style w:type="paragraph" w:styleId="Heading7">
    <w:name w:val="heading 7"/>
    <w:basedOn w:val="Normal"/>
    <w:next w:val="Normal"/>
    <w:link w:val="Heading7Char"/>
    <w:uiPriority w:val="99"/>
    <w:qFormat/>
    <w:rsid w:val="00866ADF"/>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uiPriority w:val="99"/>
    <w:qFormat/>
    <w:rsid w:val="00866ADF"/>
    <w:pPr>
      <w:keepNext/>
      <w:outlineLvl w:val="7"/>
    </w:pPr>
    <w:rPr>
      <w:sz w:val="26"/>
      <w:szCs w:val="26"/>
      <w:u w:val="single"/>
      <w:lang w:eastAsia="en-US"/>
    </w:rPr>
  </w:style>
  <w:style w:type="paragraph" w:styleId="Heading9">
    <w:name w:val="heading 9"/>
    <w:basedOn w:val="Normal"/>
    <w:next w:val="Normal"/>
    <w:link w:val="Heading9Char"/>
    <w:uiPriority w:val="99"/>
    <w:qFormat/>
    <w:rsid w:val="00866ADF"/>
    <w:pPr>
      <w:keepNext/>
      <w:outlineLvl w:val="8"/>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2A1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12A1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E12A15"/>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E12A15"/>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E12A15"/>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E12A15"/>
    <w:rPr>
      <w:rFonts w:ascii="Calibri" w:hAnsi="Calibri" w:cs="Calibri"/>
      <w:b/>
      <w:bCs/>
    </w:rPr>
  </w:style>
  <w:style w:type="character" w:customStyle="1" w:styleId="Heading7Char">
    <w:name w:val="Heading 7 Char"/>
    <w:basedOn w:val="DefaultParagraphFont"/>
    <w:link w:val="Heading7"/>
    <w:uiPriority w:val="99"/>
    <w:semiHidden/>
    <w:locked/>
    <w:rsid w:val="00E12A15"/>
    <w:rPr>
      <w:rFonts w:ascii="Calibri" w:hAnsi="Calibri" w:cs="Calibri"/>
      <w:sz w:val="24"/>
      <w:szCs w:val="24"/>
    </w:rPr>
  </w:style>
  <w:style w:type="character" w:customStyle="1" w:styleId="Heading8Char">
    <w:name w:val="Heading 8 Char"/>
    <w:basedOn w:val="DefaultParagraphFont"/>
    <w:link w:val="Heading8"/>
    <w:uiPriority w:val="99"/>
    <w:semiHidden/>
    <w:locked/>
    <w:rsid w:val="00E12A15"/>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E12A15"/>
    <w:rPr>
      <w:rFonts w:ascii="Cambria" w:hAnsi="Cambria" w:cs="Cambria"/>
    </w:rPr>
  </w:style>
  <w:style w:type="table" w:styleId="TableGrid">
    <w:name w:val="Table Grid"/>
    <w:basedOn w:val="TableNormal"/>
    <w:uiPriority w:val="59"/>
    <w:rsid w:val="00ED0998"/>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D0998"/>
    <w:rPr>
      <w:rFonts w:cs="Times New Roman"/>
      <w:color w:val="0000FF"/>
      <w:u w:val="single"/>
    </w:rPr>
  </w:style>
  <w:style w:type="paragraph" w:styleId="Footer">
    <w:name w:val="footer"/>
    <w:basedOn w:val="Normal"/>
    <w:link w:val="FooterChar"/>
    <w:uiPriority w:val="99"/>
    <w:rsid w:val="00ED0998"/>
    <w:pPr>
      <w:tabs>
        <w:tab w:val="center" w:pos="4153"/>
        <w:tab w:val="right" w:pos="8306"/>
      </w:tabs>
    </w:pPr>
  </w:style>
  <w:style w:type="character" w:customStyle="1" w:styleId="FooterChar">
    <w:name w:val="Footer Char"/>
    <w:basedOn w:val="DefaultParagraphFont"/>
    <w:link w:val="Footer"/>
    <w:uiPriority w:val="99"/>
    <w:semiHidden/>
    <w:locked/>
    <w:rsid w:val="00E12A15"/>
    <w:rPr>
      <w:rFonts w:ascii="ZapfCalligr BT" w:hAnsi="ZapfCalligr BT" w:cs="ZapfCalligr BT"/>
      <w:sz w:val="20"/>
      <w:szCs w:val="20"/>
    </w:rPr>
  </w:style>
  <w:style w:type="character" w:styleId="PageNumber">
    <w:name w:val="page number"/>
    <w:basedOn w:val="DefaultParagraphFont"/>
    <w:uiPriority w:val="99"/>
    <w:rsid w:val="00ED0998"/>
    <w:rPr>
      <w:rFonts w:cs="Times New Roman"/>
    </w:rPr>
  </w:style>
  <w:style w:type="paragraph" w:styleId="Header">
    <w:name w:val="header"/>
    <w:basedOn w:val="Normal"/>
    <w:link w:val="HeaderChar"/>
    <w:uiPriority w:val="99"/>
    <w:rsid w:val="00ED0998"/>
    <w:pPr>
      <w:tabs>
        <w:tab w:val="center" w:pos="4153"/>
        <w:tab w:val="right" w:pos="8306"/>
      </w:tabs>
    </w:pPr>
  </w:style>
  <w:style w:type="character" w:customStyle="1" w:styleId="HeaderChar">
    <w:name w:val="Header Char"/>
    <w:basedOn w:val="DefaultParagraphFont"/>
    <w:link w:val="Header"/>
    <w:uiPriority w:val="99"/>
    <w:locked/>
    <w:rsid w:val="00E12A15"/>
    <w:rPr>
      <w:rFonts w:ascii="ZapfCalligr BT" w:hAnsi="ZapfCalligr BT" w:cs="ZapfCalligr BT"/>
      <w:sz w:val="20"/>
      <w:szCs w:val="20"/>
    </w:rPr>
  </w:style>
  <w:style w:type="paragraph" w:styleId="BalloonText">
    <w:name w:val="Balloon Text"/>
    <w:basedOn w:val="Normal"/>
    <w:link w:val="BalloonTextChar"/>
    <w:uiPriority w:val="99"/>
    <w:semiHidden/>
    <w:rsid w:val="00672D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A15"/>
    <w:rPr>
      <w:rFonts w:cs="Times New Roman"/>
      <w:sz w:val="2"/>
      <w:szCs w:val="2"/>
    </w:rPr>
  </w:style>
  <w:style w:type="paragraph" w:styleId="BodyText">
    <w:name w:val="Body Text"/>
    <w:basedOn w:val="Normal"/>
    <w:link w:val="BodyTextChar"/>
    <w:uiPriority w:val="99"/>
    <w:rsid w:val="00866ADF"/>
    <w:rPr>
      <w:sz w:val="28"/>
      <w:szCs w:val="28"/>
      <w:lang w:eastAsia="en-US"/>
    </w:rPr>
  </w:style>
  <w:style w:type="character" w:customStyle="1" w:styleId="BodyTextChar">
    <w:name w:val="Body Text Char"/>
    <w:basedOn w:val="DefaultParagraphFont"/>
    <w:link w:val="BodyText"/>
    <w:uiPriority w:val="99"/>
    <w:semiHidden/>
    <w:locked/>
    <w:rsid w:val="00E12A15"/>
    <w:rPr>
      <w:rFonts w:ascii="ZapfCalligr BT" w:hAnsi="ZapfCalligr BT" w:cs="ZapfCalligr BT"/>
      <w:sz w:val="20"/>
      <w:szCs w:val="20"/>
    </w:rPr>
  </w:style>
  <w:style w:type="paragraph" w:styleId="BodyTextIndent2">
    <w:name w:val="Body Text Indent 2"/>
    <w:basedOn w:val="Normal"/>
    <w:link w:val="BodyTextIndent2Char"/>
    <w:uiPriority w:val="99"/>
    <w:rsid w:val="00866ADF"/>
    <w:pPr>
      <w:spacing w:after="120" w:line="480" w:lineRule="auto"/>
      <w:ind w:left="283"/>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E12A15"/>
    <w:rPr>
      <w:rFonts w:ascii="ZapfCalligr BT" w:hAnsi="ZapfCalligr BT" w:cs="ZapfCalligr BT"/>
      <w:sz w:val="20"/>
      <w:szCs w:val="20"/>
    </w:rPr>
  </w:style>
  <w:style w:type="paragraph" w:styleId="BodyText2">
    <w:name w:val="Body Text 2"/>
    <w:basedOn w:val="Normal"/>
    <w:link w:val="BodyText2Char"/>
    <w:uiPriority w:val="99"/>
    <w:rsid w:val="00866ADF"/>
    <w:pPr>
      <w:spacing w:after="120" w:line="480" w:lineRule="auto"/>
    </w:pPr>
    <w:rPr>
      <w:rFonts w:ascii="Arial" w:hAnsi="Arial" w:cs="Arial"/>
      <w:sz w:val="24"/>
      <w:szCs w:val="24"/>
    </w:rPr>
  </w:style>
  <w:style w:type="character" w:customStyle="1" w:styleId="BodyText2Char">
    <w:name w:val="Body Text 2 Char"/>
    <w:basedOn w:val="DefaultParagraphFont"/>
    <w:link w:val="BodyText2"/>
    <w:uiPriority w:val="99"/>
    <w:semiHidden/>
    <w:locked/>
    <w:rsid w:val="00E12A15"/>
    <w:rPr>
      <w:rFonts w:ascii="ZapfCalligr BT" w:hAnsi="ZapfCalligr BT" w:cs="ZapfCalligr BT"/>
      <w:sz w:val="20"/>
      <w:szCs w:val="20"/>
    </w:rPr>
  </w:style>
  <w:style w:type="paragraph" w:styleId="BodyText3">
    <w:name w:val="Body Text 3"/>
    <w:basedOn w:val="Normal"/>
    <w:link w:val="BodyText3Char"/>
    <w:uiPriority w:val="99"/>
    <w:rsid w:val="00866ADF"/>
    <w:pPr>
      <w:spacing w:after="120"/>
    </w:pPr>
    <w:rPr>
      <w:rFonts w:ascii="Arial" w:hAnsi="Arial" w:cs="Arial"/>
      <w:sz w:val="16"/>
      <w:szCs w:val="16"/>
    </w:rPr>
  </w:style>
  <w:style w:type="character" w:customStyle="1" w:styleId="BodyText3Char">
    <w:name w:val="Body Text 3 Char"/>
    <w:basedOn w:val="DefaultParagraphFont"/>
    <w:link w:val="BodyText3"/>
    <w:uiPriority w:val="99"/>
    <w:semiHidden/>
    <w:locked/>
    <w:rsid w:val="00E12A15"/>
    <w:rPr>
      <w:rFonts w:ascii="ZapfCalligr BT" w:hAnsi="ZapfCalligr BT" w:cs="ZapfCalligr BT"/>
      <w:sz w:val="16"/>
      <w:szCs w:val="16"/>
    </w:rPr>
  </w:style>
  <w:style w:type="character" w:styleId="FollowedHyperlink">
    <w:name w:val="FollowedHyperlink"/>
    <w:basedOn w:val="DefaultParagraphFont"/>
    <w:uiPriority w:val="99"/>
    <w:rsid w:val="00866ADF"/>
    <w:rPr>
      <w:rFonts w:cs="Times New Roman"/>
      <w:color w:val="800080"/>
      <w:u w:val="single"/>
    </w:rPr>
  </w:style>
  <w:style w:type="paragraph" w:styleId="BodyTextIndent">
    <w:name w:val="Body Text Indent"/>
    <w:basedOn w:val="Normal"/>
    <w:link w:val="BodyTextIndentChar"/>
    <w:uiPriority w:val="99"/>
    <w:rsid w:val="00866ADF"/>
    <w:pPr>
      <w:tabs>
        <w:tab w:val="left" w:pos="567"/>
        <w:tab w:val="decimal" w:pos="4537"/>
        <w:tab w:val="left" w:pos="5245"/>
        <w:tab w:val="left" w:pos="6804"/>
      </w:tabs>
      <w:ind w:left="540" w:hanging="540"/>
    </w:pPr>
    <w:rPr>
      <w:sz w:val="24"/>
      <w:szCs w:val="24"/>
      <w:lang w:eastAsia="en-US"/>
    </w:rPr>
  </w:style>
  <w:style w:type="character" w:customStyle="1" w:styleId="BodyTextIndentChar">
    <w:name w:val="Body Text Indent Char"/>
    <w:basedOn w:val="DefaultParagraphFont"/>
    <w:link w:val="BodyTextIndent"/>
    <w:uiPriority w:val="99"/>
    <w:semiHidden/>
    <w:locked/>
    <w:rsid w:val="00E12A15"/>
    <w:rPr>
      <w:rFonts w:ascii="ZapfCalligr BT" w:hAnsi="ZapfCalligr BT" w:cs="ZapfCalligr BT"/>
      <w:sz w:val="20"/>
      <w:szCs w:val="20"/>
    </w:rPr>
  </w:style>
  <w:style w:type="paragraph" w:styleId="BodyTextIndent3">
    <w:name w:val="Body Text Indent 3"/>
    <w:basedOn w:val="Normal"/>
    <w:link w:val="BodyTextIndent3Char"/>
    <w:uiPriority w:val="99"/>
    <w:rsid w:val="00866ADF"/>
    <w:pPr>
      <w:ind w:left="180" w:hanging="180"/>
    </w:pPr>
    <w:rPr>
      <w:sz w:val="26"/>
      <w:szCs w:val="26"/>
      <w:lang w:eastAsia="en-US"/>
    </w:rPr>
  </w:style>
  <w:style w:type="character" w:customStyle="1" w:styleId="BodyTextIndent3Char">
    <w:name w:val="Body Text Indent 3 Char"/>
    <w:basedOn w:val="DefaultParagraphFont"/>
    <w:link w:val="BodyTextIndent3"/>
    <w:uiPriority w:val="99"/>
    <w:semiHidden/>
    <w:locked/>
    <w:rsid w:val="00E12A15"/>
    <w:rPr>
      <w:rFonts w:ascii="ZapfCalligr BT" w:hAnsi="ZapfCalligr BT" w:cs="ZapfCalligr BT"/>
      <w:sz w:val="16"/>
      <w:szCs w:val="16"/>
    </w:rPr>
  </w:style>
  <w:style w:type="paragraph" w:styleId="NoSpacing">
    <w:name w:val="No Spacing"/>
    <w:uiPriority w:val="99"/>
    <w:qFormat/>
    <w:rsid w:val="008A2104"/>
    <w:rPr>
      <w:rFonts w:ascii="Calibri" w:hAnsi="Calibri" w:cs="Calibri"/>
      <w:lang w:eastAsia="en-US"/>
    </w:rPr>
  </w:style>
  <w:style w:type="paragraph" w:styleId="PlainText">
    <w:name w:val="Plain Text"/>
    <w:basedOn w:val="Normal"/>
    <w:link w:val="PlainTextChar"/>
    <w:uiPriority w:val="99"/>
    <w:rsid w:val="00647960"/>
    <w:pPr>
      <w:jc w:val="left"/>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E12A15"/>
    <w:rPr>
      <w:rFonts w:ascii="Courier New" w:hAnsi="Courier New" w:cs="Courier New"/>
      <w:sz w:val="20"/>
      <w:szCs w:val="20"/>
    </w:rPr>
  </w:style>
  <w:style w:type="character" w:customStyle="1" w:styleId="n66611listyle">
    <w:name w:val="n66611 listyle"/>
    <w:basedOn w:val="DefaultParagraphFont"/>
    <w:uiPriority w:val="99"/>
    <w:rsid w:val="00523F9C"/>
    <w:rPr>
      <w:rFonts w:cs="Times New Roman"/>
    </w:rPr>
  </w:style>
  <w:style w:type="paragraph" w:styleId="NormalWeb">
    <w:name w:val="Normal (Web)"/>
    <w:basedOn w:val="Normal"/>
    <w:uiPriority w:val="99"/>
    <w:rsid w:val="008C0BC2"/>
    <w:pPr>
      <w:spacing w:before="100" w:beforeAutospacing="1" w:after="100" w:afterAutospacing="1"/>
      <w:jc w:val="left"/>
    </w:pPr>
    <w:rPr>
      <w:rFonts w:ascii="Times New Roman" w:hAnsi="Times New Roman" w:cs="Times New Roman"/>
      <w:sz w:val="24"/>
      <w:szCs w:val="24"/>
    </w:rPr>
  </w:style>
  <w:style w:type="paragraph" w:customStyle="1" w:styleId="Default">
    <w:name w:val="Default"/>
    <w:uiPriority w:val="99"/>
    <w:rsid w:val="00E92C6C"/>
    <w:pPr>
      <w:autoSpaceDE w:val="0"/>
      <w:autoSpaceDN w:val="0"/>
      <w:adjustRightInd w:val="0"/>
    </w:pPr>
    <w:rPr>
      <w:rFonts w:ascii="Avenir 35" w:hAnsi="Avenir 35" w:cs="Avenir 35"/>
      <w:color w:val="000000"/>
      <w:sz w:val="24"/>
      <w:szCs w:val="24"/>
    </w:rPr>
  </w:style>
  <w:style w:type="character" w:customStyle="1" w:styleId="EmailStyle52">
    <w:name w:val="EmailStyle52"/>
    <w:basedOn w:val="DefaultParagraphFont"/>
    <w:uiPriority w:val="99"/>
    <w:semiHidden/>
    <w:rsid w:val="000D21AF"/>
    <w:rPr>
      <w:rFonts w:ascii="Arial" w:hAnsi="Arial" w:cs="Arial"/>
      <w:color w:val="auto"/>
      <w:sz w:val="20"/>
      <w:szCs w:val="20"/>
    </w:rPr>
  </w:style>
  <w:style w:type="paragraph" w:styleId="Revision">
    <w:name w:val="Revision"/>
    <w:hidden/>
    <w:uiPriority w:val="99"/>
    <w:semiHidden/>
    <w:rsid w:val="003B0D78"/>
    <w:rPr>
      <w:rFonts w:ascii="ZapfCalligr BT" w:hAnsi="ZapfCalligr BT" w:cs="ZapfCalligr BT"/>
    </w:rPr>
  </w:style>
  <w:style w:type="paragraph" w:customStyle="1" w:styleId="smalltext">
    <w:name w:val="smalltext"/>
    <w:basedOn w:val="Normal"/>
    <w:uiPriority w:val="99"/>
    <w:rsid w:val="008D399A"/>
    <w:pPr>
      <w:spacing w:before="100" w:beforeAutospacing="1" w:after="100" w:afterAutospacing="1"/>
      <w:jc w:val="left"/>
    </w:pPr>
    <w:rPr>
      <w:rFonts w:ascii="Times New Roman" w:hAnsi="Times New Roman" w:cs="Times New Roman"/>
      <w:sz w:val="24"/>
      <w:szCs w:val="24"/>
    </w:rPr>
  </w:style>
  <w:style w:type="character" w:styleId="Emphasis">
    <w:name w:val="Emphasis"/>
    <w:basedOn w:val="DefaultParagraphFont"/>
    <w:uiPriority w:val="99"/>
    <w:qFormat/>
    <w:rsid w:val="008D399A"/>
    <w:rPr>
      <w:rFonts w:cs="Times New Roman"/>
      <w:i/>
      <w:iCs/>
    </w:rPr>
  </w:style>
  <w:style w:type="paragraph" w:styleId="ListParagraph">
    <w:name w:val="List Paragraph"/>
    <w:basedOn w:val="Normal"/>
    <w:uiPriority w:val="34"/>
    <w:qFormat/>
    <w:rsid w:val="00D027BE"/>
    <w:pPr>
      <w:ind w:left="720"/>
    </w:pPr>
  </w:style>
  <w:style w:type="character" w:styleId="SubtleEmphasis">
    <w:name w:val="Subtle Emphasis"/>
    <w:basedOn w:val="DefaultParagraphFont"/>
    <w:uiPriority w:val="19"/>
    <w:qFormat/>
    <w:rsid w:val="00BC7D0A"/>
    <w:rPr>
      <w:i/>
      <w:iCs/>
      <w:color w:val="808080" w:themeColor="text1" w:themeTint="7F"/>
    </w:rPr>
  </w:style>
  <w:style w:type="character" w:customStyle="1" w:styleId="gerrans">
    <w:name w:val="gerrans"/>
    <w:basedOn w:val="DefaultParagraphFont"/>
    <w:semiHidden/>
    <w:rsid w:val="000D30A7"/>
    <w:rPr>
      <w:rFonts w:ascii="Arial" w:hAnsi="Arial" w:cs="Arial"/>
      <w:color w:val="auto"/>
      <w:sz w:val="20"/>
      <w:szCs w:val="20"/>
    </w:rPr>
  </w:style>
  <w:style w:type="character" w:styleId="CommentReference">
    <w:name w:val="annotation reference"/>
    <w:basedOn w:val="DefaultParagraphFont"/>
    <w:semiHidden/>
    <w:locked/>
    <w:rsid w:val="000D30A7"/>
    <w:rPr>
      <w:sz w:val="16"/>
      <w:szCs w:val="16"/>
    </w:rPr>
  </w:style>
  <w:style w:type="paragraph" w:styleId="CommentText">
    <w:name w:val="annotation text"/>
    <w:basedOn w:val="Normal"/>
    <w:link w:val="CommentTextChar"/>
    <w:semiHidden/>
    <w:locked/>
    <w:rsid w:val="000D30A7"/>
    <w:rPr>
      <w:rFonts w:eastAsia="Times New Roman" w:cs="Times New Roman"/>
      <w:sz w:val="20"/>
      <w:szCs w:val="20"/>
    </w:rPr>
  </w:style>
  <w:style w:type="character" w:customStyle="1" w:styleId="CommentTextChar">
    <w:name w:val="Comment Text Char"/>
    <w:basedOn w:val="DefaultParagraphFont"/>
    <w:link w:val="CommentText"/>
    <w:semiHidden/>
    <w:rsid w:val="000D30A7"/>
    <w:rPr>
      <w:rFonts w:ascii="ZapfCalligr BT" w:eastAsia="Times New Roman" w:hAnsi="ZapfCalligr BT"/>
      <w:sz w:val="20"/>
      <w:szCs w:val="20"/>
    </w:rPr>
  </w:style>
  <w:style w:type="table" w:styleId="LightShading">
    <w:name w:val="Light Shading"/>
    <w:basedOn w:val="TableNormal"/>
    <w:uiPriority w:val="60"/>
    <w:rsid w:val="00CA6F3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A6F3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F5148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odytextAfterTables">
    <w:name w:val="Bodytext AfterTables"/>
    <w:basedOn w:val="Normal"/>
    <w:rsid w:val="00C050BA"/>
    <w:pPr>
      <w:spacing w:before="120" w:after="105" w:line="210" w:lineRule="exact"/>
      <w:jc w:val="left"/>
    </w:pPr>
    <w:rPr>
      <w:rFonts w:ascii="Trade Gothic LT Std Light" w:eastAsia="Times New Roman" w:hAnsi="Trade Gothic LT Std Light" w:cs="Times New Roman"/>
      <w:spacing w:val="-3"/>
      <w:sz w:val="18"/>
      <w:szCs w:val="24"/>
    </w:rPr>
  </w:style>
  <w:style w:type="paragraph" w:customStyle="1" w:styleId="Tabletext">
    <w:name w:val="Tabletext"/>
    <w:basedOn w:val="Normal"/>
    <w:rsid w:val="00C050BA"/>
    <w:pPr>
      <w:tabs>
        <w:tab w:val="left" w:pos="284"/>
      </w:tabs>
      <w:spacing w:before="20" w:after="20" w:line="180" w:lineRule="exact"/>
      <w:jc w:val="left"/>
    </w:pPr>
    <w:rPr>
      <w:rFonts w:ascii="Trade Gothic LT Std Light" w:eastAsia="Times New Roman" w:hAnsi="Trade Gothic LT Std Light" w:cs="Times New Roman"/>
      <w:spacing w:val="-3"/>
      <w:sz w:val="16"/>
      <w:szCs w:val="20"/>
    </w:rPr>
  </w:style>
  <w:style w:type="paragraph" w:customStyle="1" w:styleId="TableColHeads">
    <w:name w:val="TableColHeads"/>
    <w:basedOn w:val="Tabletext"/>
    <w:rsid w:val="00C050BA"/>
    <w:pPr>
      <w:spacing w:before="40" w:after="40" w:line="160" w:lineRule="exact"/>
      <w:ind w:right="57"/>
      <w:jc w:val="right"/>
    </w:pPr>
    <w:rPr>
      <w:sz w:val="14"/>
    </w:rPr>
  </w:style>
  <w:style w:type="paragraph" w:customStyle="1" w:styleId="TableFigures">
    <w:name w:val="TableFigures"/>
    <w:basedOn w:val="Tabletext"/>
    <w:rsid w:val="00C050BA"/>
    <w:pPr>
      <w:ind w:right="57"/>
      <w:jc w:val="right"/>
    </w:pPr>
  </w:style>
  <w:style w:type="paragraph" w:customStyle="1" w:styleId="TableFiguresBold">
    <w:name w:val="TableFigures Bold"/>
    <w:basedOn w:val="TableFigures"/>
    <w:rsid w:val="00C050BA"/>
    <w:rPr>
      <w:rFonts w:ascii="Trade Gothic LT Std Bold" w:hAnsi="Trade Gothic LT Std Bold"/>
      <w:bCs/>
    </w:rPr>
  </w:style>
  <w:style w:type="paragraph" w:customStyle="1" w:styleId="Footnotes">
    <w:name w:val="Footnotes"/>
    <w:basedOn w:val="Normal"/>
    <w:rsid w:val="00EE1AB2"/>
    <w:pPr>
      <w:spacing w:before="85" w:line="170" w:lineRule="exact"/>
      <w:ind w:left="170" w:hanging="170"/>
      <w:jc w:val="left"/>
    </w:pPr>
    <w:rPr>
      <w:rFonts w:ascii="Trade Gothic LT Std Light" w:eastAsia="Times New Roman" w:hAnsi="Trade Gothic LT Std Light" w:cs="Times New Roman"/>
      <w:spacing w:val="-3"/>
      <w:sz w:val="15"/>
      <w:szCs w:val="24"/>
    </w:rPr>
  </w:style>
  <w:style w:type="paragraph" w:customStyle="1" w:styleId="TableColHeadsLeft">
    <w:name w:val="TableColHeads Left"/>
    <w:basedOn w:val="TableColHeads"/>
    <w:rsid w:val="00793F84"/>
    <w:pPr>
      <w:jc w:val="left"/>
    </w:pPr>
  </w:style>
  <w:style w:type="paragraph" w:customStyle="1" w:styleId="TableFiguresBrackets">
    <w:name w:val="TableFigures Brackets"/>
    <w:basedOn w:val="TableFigures"/>
    <w:rsid w:val="005F309B"/>
    <w:pPr>
      <w:ind w:right="17"/>
    </w:pPr>
  </w:style>
  <w:style w:type="paragraph" w:customStyle="1" w:styleId="Bullets">
    <w:name w:val="Bullets"/>
    <w:basedOn w:val="Normal"/>
    <w:rsid w:val="00C659A8"/>
    <w:pPr>
      <w:numPr>
        <w:numId w:val="49"/>
      </w:numPr>
      <w:spacing w:after="105" w:line="210" w:lineRule="exact"/>
      <w:jc w:val="left"/>
    </w:pPr>
    <w:rPr>
      <w:rFonts w:ascii="Trade Gothic LT Std Light" w:eastAsia="Times New Roman" w:hAnsi="Trade Gothic LT Std Light" w:cs="Times New Roman"/>
      <w:spacing w:val="-3"/>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0998"/>
    <w:pPr>
      <w:jc w:val="both"/>
    </w:pPr>
    <w:rPr>
      <w:rFonts w:ascii="ZapfCalligr BT" w:hAnsi="ZapfCalligr BT" w:cs="ZapfCalligr BT"/>
    </w:rPr>
  </w:style>
  <w:style w:type="paragraph" w:styleId="Heading1">
    <w:name w:val="heading 1"/>
    <w:basedOn w:val="Normal"/>
    <w:next w:val="Normal"/>
    <w:link w:val="Heading1Char"/>
    <w:uiPriority w:val="99"/>
    <w:qFormat/>
    <w:rsid w:val="00866ADF"/>
    <w:pPr>
      <w:keepNext/>
      <w:shd w:val="clear" w:color="auto" w:fill="3366FF"/>
      <w:outlineLvl w:val="0"/>
    </w:pPr>
    <w:rPr>
      <w:rFonts w:ascii="Arial" w:hAnsi="Arial" w:cs="Arial"/>
      <w:b/>
      <w:bCs/>
      <w:color w:val="FFCC00"/>
      <w:sz w:val="28"/>
      <w:szCs w:val="28"/>
      <w:lang w:eastAsia="en-US"/>
    </w:rPr>
  </w:style>
  <w:style w:type="paragraph" w:styleId="Heading2">
    <w:name w:val="heading 2"/>
    <w:basedOn w:val="Normal"/>
    <w:next w:val="Normal"/>
    <w:link w:val="Heading2Char"/>
    <w:uiPriority w:val="99"/>
    <w:qFormat/>
    <w:rsid w:val="00866ADF"/>
    <w:pPr>
      <w:keepNext/>
      <w:shd w:val="clear" w:color="auto" w:fill="99CCFF"/>
      <w:outlineLvl w:val="1"/>
    </w:pPr>
    <w:rPr>
      <w:rFonts w:ascii="Arial" w:hAnsi="Arial" w:cs="Arial"/>
      <w:b/>
      <w:bCs/>
      <w:sz w:val="24"/>
      <w:szCs w:val="24"/>
      <w:lang w:eastAsia="en-US"/>
    </w:rPr>
  </w:style>
  <w:style w:type="paragraph" w:styleId="Heading3">
    <w:name w:val="heading 3"/>
    <w:basedOn w:val="Normal"/>
    <w:next w:val="Normal"/>
    <w:link w:val="Heading3Char"/>
    <w:uiPriority w:val="99"/>
    <w:qFormat/>
    <w:rsid w:val="00866ADF"/>
    <w:pPr>
      <w:keepNext/>
      <w:tabs>
        <w:tab w:val="left" w:pos="1560"/>
        <w:tab w:val="left" w:pos="2410"/>
        <w:tab w:val="decimal" w:leader="dot" w:pos="8732"/>
      </w:tabs>
      <w:jc w:val="center"/>
      <w:outlineLvl w:val="2"/>
    </w:pPr>
    <w:rPr>
      <w:b/>
      <w:bCs/>
      <w:sz w:val="28"/>
      <w:szCs w:val="28"/>
      <w:u w:val="single"/>
      <w:lang w:eastAsia="en-US"/>
    </w:rPr>
  </w:style>
  <w:style w:type="paragraph" w:styleId="Heading4">
    <w:name w:val="heading 4"/>
    <w:basedOn w:val="Normal"/>
    <w:next w:val="Normal"/>
    <w:link w:val="Heading4Char"/>
    <w:uiPriority w:val="99"/>
    <w:qFormat/>
    <w:rsid w:val="00866ADF"/>
    <w:pPr>
      <w:keepNext/>
      <w:tabs>
        <w:tab w:val="left" w:pos="1560"/>
        <w:tab w:val="left" w:pos="2410"/>
        <w:tab w:val="decimal" w:leader="dot" w:pos="8732"/>
      </w:tabs>
      <w:jc w:val="center"/>
      <w:outlineLvl w:val="3"/>
    </w:pPr>
    <w:rPr>
      <w:b/>
      <w:bCs/>
      <w:sz w:val="26"/>
      <w:szCs w:val="26"/>
      <w:u w:val="single"/>
      <w:lang w:eastAsia="en-US"/>
    </w:rPr>
  </w:style>
  <w:style w:type="paragraph" w:styleId="Heading5">
    <w:name w:val="heading 5"/>
    <w:basedOn w:val="Normal"/>
    <w:next w:val="Normal"/>
    <w:link w:val="Heading5Char"/>
    <w:uiPriority w:val="99"/>
    <w:qFormat/>
    <w:rsid w:val="00866ADF"/>
    <w:pPr>
      <w:keepNext/>
      <w:tabs>
        <w:tab w:val="left" w:pos="1560"/>
        <w:tab w:val="left" w:pos="2410"/>
        <w:tab w:val="decimal" w:leader="dot" w:pos="8732"/>
      </w:tabs>
      <w:outlineLvl w:val="4"/>
    </w:pPr>
    <w:rPr>
      <w:b/>
      <w:bCs/>
      <w:sz w:val="28"/>
      <w:szCs w:val="28"/>
      <w:u w:val="single"/>
      <w:lang w:eastAsia="en-US"/>
    </w:rPr>
  </w:style>
  <w:style w:type="paragraph" w:styleId="Heading6">
    <w:name w:val="heading 6"/>
    <w:basedOn w:val="Normal"/>
    <w:next w:val="Normal"/>
    <w:link w:val="Heading6Char"/>
    <w:uiPriority w:val="99"/>
    <w:qFormat/>
    <w:rsid w:val="00866ADF"/>
    <w:pPr>
      <w:spacing w:before="240" w:after="60"/>
      <w:outlineLvl w:val="5"/>
    </w:pPr>
    <w:rPr>
      <w:rFonts w:ascii="Arial" w:hAnsi="Arial" w:cs="Arial"/>
      <w:b/>
      <w:bCs/>
    </w:rPr>
  </w:style>
  <w:style w:type="paragraph" w:styleId="Heading7">
    <w:name w:val="heading 7"/>
    <w:basedOn w:val="Normal"/>
    <w:next w:val="Normal"/>
    <w:link w:val="Heading7Char"/>
    <w:uiPriority w:val="99"/>
    <w:qFormat/>
    <w:rsid w:val="00866ADF"/>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uiPriority w:val="99"/>
    <w:qFormat/>
    <w:rsid w:val="00866ADF"/>
    <w:pPr>
      <w:keepNext/>
      <w:outlineLvl w:val="7"/>
    </w:pPr>
    <w:rPr>
      <w:sz w:val="26"/>
      <w:szCs w:val="26"/>
      <w:u w:val="single"/>
      <w:lang w:eastAsia="en-US"/>
    </w:rPr>
  </w:style>
  <w:style w:type="paragraph" w:styleId="Heading9">
    <w:name w:val="heading 9"/>
    <w:basedOn w:val="Normal"/>
    <w:next w:val="Normal"/>
    <w:link w:val="Heading9Char"/>
    <w:uiPriority w:val="99"/>
    <w:qFormat/>
    <w:rsid w:val="00866ADF"/>
    <w:pPr>
      <w:keepNext/>
      <w:outlineLvl w:val="8"/>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2A1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12A1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E12A15"/>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E12A15"/>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E12A15"/>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E12A15"/>
    <w:rPr>
      <w:rFonts w:ascii="Calibri" w:hAnsi="Calibri" w:cs="Calibri"/>
      <w:b/>
      <w:bCs/>
    </w:rPr>
  </w:style>
  <w:style w:type="character" w:customStyle="1" w:styleId="Heading7Char">
    <w:name w:val="Heading 7 Char"/>
    <w:basedOn w:val="DefaultParagraphFont"/>
    <w:link w:val="Heading7"/>
    <w:uiPriority w:val="99"/>
    <w:semiHidden/>
    <w:locked/>
    <w:rsid w:val="00E12A15"/>
    <w:rPr>
      <w:rFonts w:ascii="Calibri" w:hAnsi="Calibri" w:cs="Calibri"/>
      <w:sz w:val="24"/>
      <w:szCs w:val="24"/>
    </w:rPr>
  </w:style>
  <w:style w:type="character" w:customStyle="1" w:styleId="Heading8Char">
    <w:name w:val="Heading 8 Char"/>
    <w:basedOn w:val="DefaultParagraphFont"/>
    <w:link w:val="Heading8"/>
    <w:uiPriority w:val="99"/>
    <w:semiHidden/>
    <w:locked/>
    <w:rsid w:val="00E12A15"/>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E12A15"/>
    <w:rPr>
      <w:rFonts w:ascii="Cambria" w:hAnsi="Cambria" w:cs="Cambria"/>
    </w:rPr>
  </w:style>
  <w:style w:type="table" w:styleId="TableGrid">
    <w:name w:val="Table Grid"/>
    <w:basedOn w:val="TableNormal"/>
    <w:uiPriority w:val="59"/>
    <w:rsid w:val="00ED0998"/>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D0998"/>
    <w:rPr>
      <w:rFonts w:cs="Times New Roman"/>
      <w:color w:val="0000FF"/>
      <w:u w:val="single"/>
    </w:rPr>
  </w:style>
  <w:style w:type="paragraph" w:styleId="Footer">
    <w:name w:val="footer"/>
    <w:basedOn w:val="Normal"/>
    <w:link w:val="FooterChar"/>
    <w:uiPriority w:val="99"/>
    <w:rsid w:val="00ED0998"/>
    <w:pPr>
      <w:tabs>
        <w:tab w:val="center" w:pos="4153"/>
        <w:tab w:val="right" w:pos="8306"/>
      </w:tabs>
    </w:pPr>
  </w:style>
  <w:style w:type="character" w:customStyle="1" w:styleId="FooterChar">
    <w:name w:val="Footer Char"/>
    <w:basedOn w:val="DefaultParagraphFont"/>
    <w:link w:val="Footer"/>
    <w:uiPriority w:val="99"/>
    <w:semiHidden/>
    <w:locked/>
    <w:rsid w:val="00E12A15"/>
    <w:rPr>
      <w:rFonts w:ascii="ZapfCalligr BT" w:hAnsi="ZapfCalligr BT" w:cs="ZapfCalligr BT"/>
      <w:sz w:val="20"/>
      <w:szCs w:val="20"/>
    </w:rPr>
  </w:style>
  <w:style w:type="character" w:styleId="PageNumber">
    <w:name w:val="page number"/>
    <w:basedOn w:val="DefaultParagraphFont"/>
    <w:uiPriority w:val="99"/>
    <w:rsid w:val="00ED0998"/>
    <w:rPr>
      <w:rFonts w:cs="Times New Roman"/>
    </w:rPr>
  </w:style>
  <w:style w:type="paragraph" w:styleId="Header">
    <w:name w:val="header"/>
    <w:basedOn w:val="Normal"/>
    <w:link w:val="HeaderChar"/>
    <w:uiPriority w:val="99"/>
    <w:rsid w:val="00ED0998"/>
    <w:pPr>
      <w:tabs>
        <w:tab w:val="center" w:pos="4153"/>
        <w:tab w:val="right" w:pos="8306"/>
      </w:tabs>
    </w:pPr>
  </w:style>
  <w:style w:type="character" w:customStyle="1" w:styleId="HeaderChar">
    <w:name w:val="Header Char"/>
    <w:basedOn w:val="DefaultParagraphFont"/>
    <w:link w:val="Header"/>
    <w:uiPriority w:val="99"/>
    <w:locked/>
    <w:rsid w:val="00E12A15"/>
    <w:rPr>
      <w:rFonts w:ascii="ZapfCalligr BT" w:hAnsi="ZapfCalligr BT" w:cs="ZapfCalligr BT"/>
      <w:sz w:val="20"/>
      <w:szCs w:val="20"/>
    </w:rPr>
  </w:style>
  <w:style w:type="paragraph" w:styleId="BalloonText">
    <w:name w:val="Balloon Text"/>
    <w:basedOn w:val="Normal"/>
    <w:link w:val="BalloonTextChar"/>
    <w:uiPriority w:val="99"/>
    <w:semiHidden/>
    <w:rsid w:val="00672D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A15"/>
    <w:rPr>
      <w:rFonts w:cs="Times New Roman"/>
      <w:sz w:val="2"/>
      <w:szCs w:val="2"/>
    </w:rPr>
  </w:style>
  <w:style w:type="paragraph" w:styleId="BodyText">
    <w:name w:val="Body Text"/>
    <w:basedOn w:val="Normal"/>
    <w:link w:val="BodyTextChar"/>
    <w:uiPriority w:val="99"/>
    <w:rsid w:val="00866ADF"/>
    <w:rPr>
      <w:sz w:val="28"/>
      <w:szCs w:val="28"/>
      <w:lang w:eastAsia="en-US"/>
    </w:rPr>
  </w:style>
  <w:style w:type="character" w:customStyle="1" w:styleId="BodyTextChar">
    <w:name w:val="Body Text Char"/>
    <w:basedOn w:val="DefaultParagraphFont"/>
    <w:link w:val="BodyText"/>
    <w:uiPriority w:val="99"/>
    <w:semiHidden/>
    <w:locked/>
    <w:rsid w:val="00E12A15"/>
    <w:rPr>
      <w:rFonts w:ascii="ZapfCalligr BT" w:hAnsi="ZapfCalligr BT" w:cs="ZapfCalligr BT"/>
      <w:sz w:val="20"/>
      <w:szCs w:val="20"/>
    </w:rPr>
  </w:style>
  <w:style w:type="paragraph" w:styleId="BodyTextIndent2">
    <w:name w:val="Body Text Indent 2"/>
    <w:basedOn w:val="Normal"/>
    <w:link w:val="BodyTextIndent2Char"/>
    <w:uiPriority w:val="99"/>
    <w:rsid w:val="00866ADF"/>
    <w:pPr>
      <w:spacing w:after="120" w:line="480" w:lineRule="auto"/>
      <w:ind w:left="283"/>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E12A15"/>
    <w:rPr>
      <w:rFonts w:ascii="ZapfCalligr BT" w:hAnsi="ZapfCalligr BT" w:cs="ZapfCalligr BT"/>
      <w:sz w:val="20"/>
      <w:szCs w:val="20"/>
    </w:rPr>
  </w:style>
  <w:style w:type="paragraph" w:styleId="BodyText2">
    <w:name w:val="Body Text 2"/>
    <w:basedOn w:val="Normal"/>
    <w:link w:val="BodyText2Char"/>
    <w:uiPriority w:val="99"/>
    <w:rsid w:val="00866ADF"/>
    <w:pPr>
      <w:spacing w:after="120" w:line="480" w:lineRule="auto"/>
    </w:pPr>
    <w:rPr>
      <w:rFonts w:ascii="Arial" w:hAnsi="Arial" w:cs="Arial"/>
      <w:sz w:val="24"/>
      <w:szCs w:val="24"/>
    </w:rPr>
  </w:style>
  <w:style w:type="character" w:customStyle="1" w:styleId="BodyText2Char">
    <w:name w:val="Body Text 2 Char"/>
    <w:basedOn w:val="DefaultParagraphFont"/>
    <w:link w:val="BodyText2"/>
    <w:uiPriority w:val="99"/>
    <w:semiHidden/>
    <w:locked/>
    <w:rsid w:val="00E12A15"/>
    <w:rPr>
      <w:rFonts w:ascii="ZapfCalligr BT" w:hAnsi="ZapfCalligr BT" w:cs="ZapfCalligr BT"/>
      <w:sz w:val="20"/>
      <w:szCs w:val="20"/>
    </w:rPr>
  </w:style>
  <w:style w:type="paragraph" w:styleId="BodyText3">
    <w:name w:val="Body Text 3"/>
    <w:basedOn w:val="Normal"/>
    <w:link w:val="BodyText3Char"/>
    <w:uiPriority w:val="99"/>
    <w:rsid w:val="00866ADF"/>
    <w:pPr>
      <w:spacing w:after="120"/>
    </w:pPr>
    <w:rPr>
      <w:rFonts w:ascii="Arial" w:hAnsi="Arial" w:cs="Arial"/>
      <w:sz w:val="16"/>
      <w:szCs w:val="16"/>
    </w:rPr>
  </w:style>
  <w:style w:type="character" w:customStyle="1" w:styleId="BodyText3Char">
    <w:name w:val="Body Text 3 Char"/>
    <w:basedOn w:val="DefaultParagraphFont"/>
    <w:link w:val="BodyText3"/>
    <w:uiPriority w:val="99"/>
    <w:semiHidden/>
    <w:locked/>
    <w:rsid w:val="00E12A15"/>
    <w:rPr>
      <w:rFonts w:ascii="ZapfCalligr BT" w:hAnsi="ZapfCalligr BT" w:cs="ZapfCalligr BT"/>
      <w:sz w:val="16"/>
      <w:szCs w:val="16"/>
    </w:rPr>
  </w:style>
  <w:style w:type="character" w:styleId="FollowedHyperlink">
    <w:name w:val="FollowedHyperlink"/>
    <w:basedOn w:val="DefaultParagraphFont"/>
    <w:uiPriority w:val="99"/>
    <w:rsid w:val="00866ADF"/>
    <w:rPr>
      <w:rFonts w:cs="Times New Roman"/>
      <w:color w:val="800080"/>
      <w:u w:val="single"/>
    </w:rPr>
  </w:style>
  <w:style w:type="paragraph" w:styleId="BodyTextIndent">
    <w:name w:val="Body Text Indent"/>
    <w:basedOn w:val="Normal"/>
    <w:link w:val="BodyTextIndentChar"/>
    <w:uiPriority w:val="99"/>
    <w:rsid w:val="00866ADF"/>
    <w:pPr>
      <w:tabs>
        <w:tab w:val="left" w:pos="567"/>
        <w:tab w:val="decimal" w:pos="4537"/>
        <w:tab w:val="left" w:pos="5245"/>
        <w:tab w:val="left" w:pos="6804"/>
      </w:tabs>
      <w:ind w:left="540" w:hanging="540"/>
    </w:pPr>
    <w:rPr>
      <w:sz w:val="24"/>
      <w:szCs w:val="24"/>
      <w:lang w:eastAsia="en-US"/>
    </w:rPr>
  </w:style>
  <w:style w:type="character" w:customStyle="1" w:styleId="BodyTextIndentChar">
    <w:name w:val="Body Text Indent Char"/>
    <w:basedOn w:val="DefaultParagraphFont"/>
    <w:link w:val="BodyTextIndent"/>
    <w:uiPriority w:val="99"/>
    <w:semiHidden/>
    <w:locked/>
    <w:rsid w:val="00E12A15"/>
    <w:rPr>
      <w:rFonts w:ascii="ZapfCalligr BT" w:hAnsi="ZapfCalligr BT" w:cs="ZapfCalligr BT"/>
      <w:sz w:val="20"/>
      <w:szCs w:val="20"/>
    </w:rPr>
  </w:style>
  <w:style w:type="paragraph" w:styleId="BodyTextIndent3">
    <w:name w:val="Body Text Indent 3"/>
    <w:basedOn w:val="Normal"/>
    <w:link w:val="BodyTextIndent3Char"/>
    <w:uiPriority w:val="99"/>
    <w:rsid w:val="00866ADF"/>
    <w:pPr>
      <w:ind w:left="180" w:hanging="180"/>
    </w:pPr>
    <w:rPr>
      <w:sz w:val="26"/>
      <w:szCs w:val="26"/>
      <w:lang w:eastAsia="en-US"/>
    </w:rPr>
  </w:style>
  <w:style w:type="character" w:customStyle="1" w:styleId="BodyTextIndent3Char">
    <w:name w:val="Body Text Indent 3 Char"/>
    <w:basedOn w:val="DefaultParagraphFont"/>
    <w:link w:val="BodyTextIndent3"/>
    <w:uiPriority w:val="99"/>
    <w:semiHidden/>
    <w:locked/>
    <w:rsid w:val="00E12A15"/>
    <w:rPr>
      <w:rFonts w:ascii="ZapfCalligr BT" w:hAnsi="ZapfCalligr BT" w:cs="ZapfCalligr BT"/>
      <w:sz w:val="16"/>
      <w:szCs w:val="16"/>
    </w:rPr>
  </w:style>
  <w:style w:type="paragraph" w:styleId="NoSpacing">
    <w:name w:val="No Spacing"/>
    <w:uiPriority w:val="99"/>
    <w:qFormat/>
    <w:rsid w:val="008A2104"/>
    <w:rPr>
      <w:rFonts w:ascii="Calibri" w:hAnsi="Calibri" w:cs="Calibri"/>
      <w:lang w:eastAsia="en-US"/>
    </w:rPr>
  </w:style>
  <w:style w:type="paragraph" w:styleId="PlainText">
    <w:name w:val="Plain Text"/>
    <w:basedOn w:val="Normal"/>
    <w:link w:val="PlainTextChar"/>
    <w:uiPriority w:val="99"/>
    <w:rsid w:val="00647960"/>
    <w:pPr>
      <w:jc w:val="left"/>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E12A15"/>
    <w:rPr>
      <w:rFonts w:ascii="Courier New" w:hAnsi="Courier New" w:cs="Courier New"/>
      <w:sz w:val="20"/>
      <w:szCs w:val="20"/>
    </w:rPr>
  </w:style>
  <w:style w:type="character" w:customStyle="1" w:styleId="n66611listyle">
    <w:name w:val="n66611 listyle"/>
    <w:basedOn w:val="DefaultParagraphFont"/>
    <w:uiPriority w:val="99"/>
    <w:rsid w:val="00523F9C"/>
    <w:rPr>
      <w:rFonts w:cs="Times New Roman"/>
    </w:rPr>
  </w:style>
  <w:style w:type="paragraph" w:styleId="NormalWeb">
    <w:name w:val="Normal (Web)"/>
    <w:basedOn w:val="Normal"/>
    <w:uiPriority w:val="99"/>
    <w:rsid w:val="008C0BC2"/>
    <w:pPr>
      <w:spacing w:before="100" w:beforeAutospacing="1" w:after="100" w:afterAutospacing="1"/>
      <w:jc w:val="left"/>
    </w:pPr>
    <w:rPr>
      <w:rFonts w:ascii="Times New Roman" w:hAnsi="Times New Roman" w:cs="Times New Roman"/>
      <w:sz w:val="24"/>
      <w:szCs w:val="24"/>
    </w:rPr>
  </w:style>
  <w:style w:type="paragraph" w:customStyle="1" w:styleId="Default">
    <w:name w:val="Default"/>
    <w:uiPriority w:val="99"/>
    <w:rsid w:val="00E92C6C"/>
    <w:pPr>
      <w:autoSpaceDE w:val="0"/>
      <w:autoSpaceDN w:val="0"/>
      <w:adjustRightInd w:val="0"/>
    </w:pPr>
    <w:rPr>
      <w:rFonts w:ascii="Avenir 35" w:hAnsi="Avenir 35" w:cs="Avenir 35"/>
      <w:color w:val="000000"/>
      <w:sz w:val="24"/>
      <w:szCs w:val="24"/>
    </w:rPr>
  </w:style>
  <w:style w:type="character" w:customStyle="1" w:styleId="EmailStyle52">
    <w:name w:val="EmailStyle52"/>
    <w:basedOn w:val="DefaultParagraphFont"/>
    <w:uiPriority w:val="99"/>
    <w:semiHidden/>
    <w:rsid w:val="000D21AF"/>
    <w:rPr>
      <w:rFonts w:ascii="Arial" w:hAnsi="Arial" w:cs="Arial"/>
      <w:color w:val="auto"/>
      <w:sz w:val="20"/>
      <w:szCs w:val="20"/>
    </w:rPr>
  </w:style>
  <w:style w:type="paragraph" w:styleId="Revision">
    <w:name w:val="Revision"/>
    <w:hidden/>
    <w:uiPriority w:val="99"/>
    <w:semiHidden/>
    <w:rsid w:val="003B0D78"/>
    <w:rPr>
      <w:rFonts w:ascii="ZapfCalligr BT" w:hAnsi="ZapfCalligr BT" w:cs="ZapfCalligr BT"/>
    </w:rPr>
  </w:style>
  <w:style w:type="paragraph" w:customStyle="1" w:styleId="smalltext">
    <w:name w:val="smalltext"/>
    <w:basedOn w:val="Normal"/>
    <w:uiPriority w:val="99"/>
    <w:rsid w:val="008D399A"/>
    <w:pPr>
      <w:spacing w:before="100" w:beforeAutospacing="1" w:after="100" w:afterAutospacing="1"/>
      <w:jc w:val="left"/>
    </w:pPr>
    <w:rPr>
      <w:rFonts w:ascii="Times New Roman" w:hAnsi="Times New Roman" w:cs="Times New Roman"/>
      <w:sz w:val="24"/>
      <w:szCs w:val="24"/>
    </w:rPr>
  </w:style>
  <w:style w:type="character" w:styleId="Emphasis">
    <w:name w:val="Emphasis"/>
    <w:basedOn w:val="DefaultParagraphFont"/>
    <w:uiPriority w:val="99"/>
    <w:qFormat/>
    <w:rsid w:val="008D399A"/>
    <w:rPr>
      <w:rFonts w:cs="Times New Roman"/>
      <w:i/>
      <w:iCs/>
    </w:rPr>
  </w:style>
  <w:style w:type="paragraph" w:styleId="ListParagraph">
    <w:name w:val="List Paragraph"/>
    <w:basedOn w:val="Normal"/>
    <w:uiPriority w:val="34"/>
    <w:qFormat/>
    <w:rsid w:val="00D027BE"/>
    <w:pPr>
      <w:ind w:left="720"/>
    </w:pPr>
  </w:style>
  <w:style w:type="character" w:styleId="SubtleEmphasis">
    <w:name w:val="Subtle Emphasis"/>
    <w:basedOn w:val="DefaultParagraphFont"/>
    <w:uiPriority w:val="19"/>
    <w:qFormat/>
    <w:rsid w:val="00BC7D0A"/>
    <w:rPr>
      <w:i/>
      <w:iCs/>
      <w:color w:val="808080" w:themeColor="text1" w:themeTint="7F"/>
    </w:rPr>
  </w:style>
  <w:style w:type="character" w:customStyle="1" w:styleId="gerrans">
    <w:name w:val="gerrans"/>
    <w:basedOn w:val="DefaultParagraphFont"/>
    <w:semiHidden/>
    <w:rsid w:val="000D30A7"/>
    <w:rPr>
      <w:rFonts w:ascii="Arial" w:hAnsi="Arial" w:cs="Arial"/>
      <w:color w:val="auto"/>
      <w:sz w:val="20"/>
      <w:szCs w:val="20"/>
    </w:rPr>
  </w:style>
  <w:style w:type="character" w:styleId="CommentReference">
    <w:name w:val="annotation reference"/>
    <w:basedOn w:val="DefaultParagraphFont"/>
    <w:semiHidden/>
    <w:locked/>
    <w:rsid w:val="000D30A7"/>
    <w:rPr>
      <w:sz w:val="16"/>
      <w:szCs w:val="16"/>
    </w:rPr>
  </w:style>
  <w:style w:type="paragraph" w:styleId="CommentText">
    <w:name w:val="annotation text"/>
    <w:basedOn w:val="Normal"/>
    <w:link w:val="CommentTextChar"/>
    <w:semiHidden/>
    <w:locked/>
    <w:rsid w:val="000D30A7"/>
    <w:rPr>
      <w:rFonts w:eastAsia="Times New Roman" w:cs="Times New Roman"/>
      <w:sz w:val="20"/>
      <w:szCs w:val="20"/>
    </w:rPr>
  </w:style>
  <w:style w:type="character" w:customStyle="1" w:styleId="CommentTextChar">
    <w:name w:val="Comment Text Char"/>
    <w:basedOn w:val="DefaultParagraphFont"/>
    <w:link w:val="CommentText"/>
    <w:semiHidden/>
    <w:rsid w:val="000D30A7"/>
    <w:rPr>
      <w:rFonts w:ascii="ZapfCalligr BT" w:eastAsia="Times New Roman" w:hAnsi="ZapfCalligr BT"/>
      <w:sz w:val="20"/>
      <w:szCs w:val="20"/>
    </w:rPr>
  </w:style>
  <w:style w:type="table" w:styleId="LightShading">
    <w:name w:val="Light Shading"/>
    <w:basedOn w:val="TableNormal"/>
    <w:uiPriority w:val="60"/>
    <w:rsid w:val="00CA6F3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A6F3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F5148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odytextAfterTables">
    <w:name w:val="Bodytext AfterTables"/>
    <w:basedOn w:val="Normal"/>
    <w:rsid w:val="00C050BA"/>
    <w:pPr>
      <w:spacing w:before="120" w:after="105" w:line="210" w:lineRule="exact"/>
      <w:jc w:val="left"/>
    </w:pPr>
    <w:rPr>
      <w:rFonts w:ascii="Trade Gothic LT Std Light" w:eastAsia="Times New Roman" w:hAnsi="Trade Gothic LT Std Light" w:cs="Times New Roman"/>
      <w:spacing w:val="-3"/>
      <w:sz w:val="18"/>
      <w:szCs w:val="24"/>
    </w:rPr>
  </w:style>
  <w:style w:type="paragraph" w:customStyle="1" w:styleId="Tabletext">
    <w:name w:val="Tabletext"/>
    <w:basedOn w:val="Normal"/>
    <w:rsid w:val="00C050BA"/>
    <w:pPr>
      <w:tabs>
        <w:tab w:val="left" w:pos="284"/>
      </w:tabs>
      <w:spacing w:before="20" w:after="20" w:line="180" w:lineRule="exact"/>
      <w:jc w:val="left"/>
    </w:pPr>
    <w:rPr>
      <w:rFonts w:ascii="Trade Gothic LT Std Light" w:eastAsia="Times New Roman" w:hAnsi="Trade Gothic LT Std Light" w:cs="Times New Roman"/>
      <w:spacing w:val="-3"/>
      <w:sz w:val="16"/>
      <w:szCs w:val="20"/>
    </w:rPr>
  </w:style>
  <w:style w:type="paragraph" w:customStyle="1" w:styleId="TableColHeads">
    <w:name w:val="TableColHeads"/>
    <w:basedOn w:val="Tabletext"/>
    <w:rsid w:val="00C050BA"/>
    <w:pPr>
      <w:spacing w:before="40" w:after="40" w:line="160" w:lineRule="exact"/>
      <w:ind w:right="57"/>
      <w:jc w:val="right"/>
    </w:pPr>
    <w:rPr>
      <w:sz w:val="14"/>
    </w:rPr>
  </w:style>
  <w:style w:type="paragraph" w:customStyle="1" w:styleId="TableFigures">
    <w:name w:val="TableFigures"/>
    <w:basedOn w:val="Tabletext"/>
    <w:rsid w:val="00C050BA"/>
    <w:pPr>
      <w:ind w:right="57"/>
      <w:jc w:val="right"/>
    </w:pPr>
  </w:style>
  <w:style w:type="paragraph" w:customStyle="1" w:styleId="TableFiguresBold">
    <w:name w:val="TableFigures Bold"/>
    <w:basedOn w:val="TableFigures"/>
    <w:rsid w:val="00C050BA"/>
    <w:rPr>
      <w:rFonts w:ascii="Trade Gothic LT Std Bold" w:hAnsi="Trade Gothic LT Std Bold"/>
      <w:bCs/>
    </w:rPr>
  </w:style>
  <w:style w:type="paragraph" w:customStyle="1" w:styleId="Footnotes">
    <w:name w:val="Footnotes"/>
    <w:basedOn w:val="Normal"/>
    <w:rsid w:val="00EE1AB2"/>
    <w:pPr>
      <w:spacing w:before="85" w:line="170" w:lineRule="exact"/>
      <w:ind w:left="170" w:hanging="170"/>
      <w:jc w:val="left"/>
    </w:pPr>
    <w:rPr>
      <w:rFonts w:ascii="Trade Gothic LT Std Light" w:eastAsia="Times New Roman" w:hAnsi="Trade Gothic LT Std Light" w:cs="Times New Roman"/>
      <w:spacing w:val="-3"/>
      <w:sz w:val="15"/>
      <w:szCs w:val="24"/>
    </w:rPr>
  </w:style>
  <w:style w:type="paragraph" w:customStyle="1" w:styleId="TableColHeadsLeft">
    <w:name w:val="TableColHeads Left"/>
    <w:basedOn w:val="TableColHeads"/>
    <w:rsid w:val="00793F84"/>
    <w:pPr>
      <w:jc w:val="left"/>
    </w:pPr>
  </w:style>
  <w:style w:type="paragraph" w:customStyle="1" w:styleId="TableFiguresBrackets">
    <w:name w:val="TableFigures Brackets"/>
    <w:basedOn w:val="TableFigures"/>
    <w:rsid w:val="005F309B"/>
    <w:pPr>
      <w:ind w:right="17"/>
    </w:pPr>
  </w:style>
  <w:style w:type="paragraph" w:customStyle="1" w:styleId="Bullets">
    <w:name w:val="Bullets"/>
    <w:basedOn w:val="Normal"/>
    <w:rsid w:val="00C659A8"/>
    <w:pPr>
      <w:numPr>
        <w:numId w:val="49"/>
      </w:numPr>
      <w:spacing w:after="105" w:line="210" w:lineRule="exact"/>
      <w:jc w:val="left"/>
    </w:pPr>
    <w:rPr>
      <w:rFonts w:ascii="Trade Gothic LT Std Light" w:eastAsia="Times New Roman" w:hAnsi="Trade Gothic LT Std Light" w:cs="Times New Roman"/>
      <w:spacing w:val="-3"/>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1328">
      <w:bodyDiv w:val="1"/>
      <w:marLeft w:val="0"/>
      <w:marRight w:val="0"/>
      <w:marTop w:val="0"/>
      <w:marBottom w:val="0"/>
      <w:divBdr>
        <w:top w:val="none" w:sz="0" w:space="0" w:color="auto"/>
        <w:left w:val="none" w:sz="0" w:space="0" w:color="auto"/>
        <w:bottom w:val="none" w:sz="0" w:space="0" w:color="auto"/>
        <w:right w:val="none" w:sz="0" w:space="0" w:color="auto"/>
      </w:divBdr>
      <w:divsChild>
        <w:div w:id="1093934589">
          <w:marLeft w:val="547"/>
          <w:marRight w:val="0"/>
          <w:marTop w:val="0"/>
          <w:marBottom w:val="0"/>
          <w:divBdr>
            <w:top w:val="none" w:sz="0" w:space="0" w:color="auto"/>
            <w:left w:val="none" w:sz="0" w:space="0" w:color="auto"/>
            <w:bottom w:val="none" w:sz="0" w:space="0" w:color="auto"/>
            <w:right w:val="none" w:sz="0" w:space="0" w:color="auto"/>
          </w:divBdr>
        </w:div>
      </w:divsChild>
    </w:div>
    <w:div w:id="67116346">
      <w:bodyDiv w:val="1"/>
      <w:marLeft w:val="0"/>
      <w:marRight w:val="0"/>
      <w:marTop w:val="0"/>
      <w:marBottom w:val="0"/>
      <w:divBdr>
        <w:top w:val="none" w:sz="0" w:space="0" w:color="auto"/>
        <w:left w:val="none" w:sz="0" w:space="0" w:color="auto"/>
        <w:bottom w:val="none" w:sz="0" w:space="0" w:color="auto"/>
        <w:right w:val="none" w:sz="0" w:space="0" w:color="auto"/>
      </w:divBdr>
      <w:divsChild>
        <w:div w:id="29301691">
          <w:marLeft w:val="562"/>
          <w:marRight w:val="0"/>
          <w:marTop w:val="67"/>
          <w:marBottom w:val="0"/>
          <w:divBdr>
            <w:top w:val="none" w:sz="0" w:space="0" w:color="auto"/>
            <w:left w:val="none" w:sz="0" w:space="0" w:color="auto"/>
            <w:bottom w:val="none" w:sz="0" w:space="0" w:color="auto"/>
            <w:right w:val="none" w:sz="0" w:space="0" w:color="auto"/>
          </w:divBdr>
        </w:div>
        <w:div w:id="159661310">
          <w:marLeft w:val="562"/>
          <w:marRight w:val="0"/>
          <w:marTop w:val="67"/>
          <w:marBottom w:val="0"/>
          <w:divBdr>
            <w:top w:val="none" w:sz="0" w:space="0" w:color="auto"/>
            <w:left w:val="none" w:sz="0" w:space="0" w:color="auto"/>
            <w:bottom w:val="none" w:sz="0" w:space="0" w:color="auto"/>
            <w:right w:val="none" w:sz="0" w:space="0" w:color="auto"/>
          </w:divBdr>
        </w:div>
        <w:div w:id="397900498">
          <w:marLeft w:val="274"/>
          <w:marRight w:val="0"/>
          <w:marTop w:val="120"/>
          <w:marBottom w:val="0"/>
          <w:divBdr>
            <w:top w:val="none" w:sz="0" w:space="0" w:color="auto"/>
            <w:left w:val="none" w:sz="0" w:space="0" w:color="auto"/>
            <w:bottom w:val="none" w:sz="0" w:space="0" w:color="auto"/>
            <w:right w:val="none" w:sz="0" w:space="0" w:color="auto"/>
          </w:divBdr>
        </w:div>
        <w:div w:id="1118914631">
          <w:marLeft w:val="562"/>
          <w:marRight w:val="0"/>
          <w:marTop w:val="67"/>
          <w:marBottom w:val="0"/>
          <w:divBdr>
            <w:top w:val="none" w:sz="0" w:space="0" w:color="auto"/>
            <w:left w:val="none" w:sz="0" w:space="0" w:color="auto"/>
            <w:bottom w:val="none" w:sz="0" w:space="0" w:color="auto"/>
            <w:right w:val="none" w:sz="0" w:space="0" w:color="auto"/>
          </w:divBdr>
        </w:div>
        <w:div w:id="1152479381">
          <w:marLeft w:val="274"/>
          <w:marRight w:val="0"/>
          <w:marTop w:val="120"/>
          <w:marBottom w:val="0"/>
          <w:divBdr>
            <w:top w:val="none" w:sz="0" w:space="0" w:color="auto"/>
            <w:left w:val="none" w:sz="0" w:space="0" w:color="auto"/>
            <w:bottom w:val="none" w:sz="0" w:space="0" w:color="auto"/>
            <w:right w:val="none" w:sz="0" w:space="0" w:color="auto"/>
          </w:divBdr>
        </w:div>
        <w:div w:id="1446121874">
          <w:marLeft w:val="274"/>
          <w:marRight w:val="0"/>
          <w:marTop w:val="120"/>
          <w:marBottom w:val="0"/>
          <w:divBdr>
            <w:top w:val="none" w:sz="0" w:space="0" w:color="auto"/>
            <w:left w:val="none" w:sz="0" w:space="0" w:color="auto"/>
            <w:bottom w:val="none" w:sz="0" w:space="0" w:color="auto"/>
            <w:right w:val="none" w:sz="0" w:space="0" w:color="auto"/>
          </w:divBdr>
        </w:div>
      </w:divsChild>
    </w:div>
    <w:div w:id="109907516">
      <w:bodyDiv w:val="1"/>
      <w:marLeft w:val="0"/>
      <w:marRight w:val="0"/>
      <w:marTop w:val="0"/>
      <w:marBottom w:val="0"/>
      <w:divBdr>
        <w:top w:val="none" w:sz="0" w:space="0" w:color="auto"/>
        <w:left w:val="none" w:sz="0" w:space="0" w:color="auto"/>
        <w:bottom w:val="none" w:sz="0" w:space="0" w:color="auto"/>
        <w:right w:val="none" w:sz="0" w:space="0" w:color="auto"/>
      </w:divBdr>
    </w:div>
    <w:div w:id="116529282">
      <w:bodyDiv w:val="1"/>
      <w:marLeft w:val="0"/>
      <w:marRight w:val="0"/>
      <w:marTop w:val="0"/>
      <w:marBottom w:val="0"/>
      <w:divBdr>
        <w:top w:val="none" w:sz="0" w:space="0" w:color="auto"/>
        <w:left w:val="none" w:sz="0" w:space="0" w:color="auto"/>
        <w:bottom w:val="none" w:sz="0" w:space="0" w:color="auto"/>
        <w:right w:val="none" w:sz="0" w:space="0" w:color="auto"/>
      </w:divBdr>
    </w:div>
    <w:div w:id="141505133">
      <w:bodyDiv w:val="1"/>
      <w:marLeft w:val="0"/>
      <w:marRight w:val="0"/>
      <w:marTop w:val="0"/>
      <w:marBottom w:val="0"/>
      <w:divBdr>
        <w:top w:val="none" w:sz="0" w:space="0" w:color="auto"/>
        <w:left w:val="none" w:sz="0" w:space="0" w:color="auto"/>
        <w:bottom w:val="none" w:sz="0" w:space="0" w:color="auto"/>
        <w:right w:val="none" w:sz="0" w:space="0" w:color="auto"/>
      </w:divBdr>
    </w:div>
    <w:div w:id="321088581">
      <w:bodyDiv w:val="1"/>
      <w:marLeft w:val="0"/>
      <w:marRight w:val="0"/>
      <w:marTop w:val="0"/>
      <w:marBottom w:val="0"/>
      <w:divBdr>
        <w:top w:val="none" w:sz="0" w:space="0" w:color="auto"/>
        <w:left w:val="none" w:sz="0" w:space="0" w:color="auto"/>
        <w:bottom w:val="none" w:sz="0" w:space="0" w:color="auto"/>
        <w:right w:val="none" w:sz="0" w:space="0" w:color="auto"/>
      </w:divBdr>
    </w:div>
    <w:div w:id="323168312">
      <w:bodyDiv w:val="1"/>
      <w:marLeft w:val="0"/>
      <w:marRight w:val="0"/>
      <w:marTop w:val="0"/>
      <w:marBottom w:val="0"/>
      <w:divBdr>
        <w:top w:val="none" w:sz="0" w:space="0" w:color="auto"/>
        <w:left w:val="none" w:sz="0" w:space="0" w:color="auto"/>
        <w:bottom w:val="none" w:sz="0" w:space="0" w:color="auto"/>
        <w:right w:val="none" w:sz="0" w:space="0" w:color="auto"/>
      </w:divBdr>
      <w:divsChild>
        <w:div w:id="323438993">
          <w:marLeft w:val="274"/>
          <w:marRight w:val="0"/>
          <w:marTop w:val="120"/>
          <w:marBottom w:val="0"/>
          <w:divBdr>
            <w:top w:val="none" w:sz="0" w:space="0" w:color="auto"/>
            <w:left w:val="none" w:sz="0" w:space="0" w:color="auto"/>
            <w:bottom w:val="none" w:sz="0" w:space="0" w:color="auto"/>
            <w:right w:val="none" w:sz="0" w:space="0" w:color="auto"/>
          </w:divBdr>
        </w:div>
        <w:div w:id="605891898">
          <w:marLeft w:val="274"/>
          <w:marRight w:val="0"/>
          <w:marTop w:val="120"/>
          <w:marBottom w:val="0"/>
          <w:divBdr>
            <w:top w:val="none" w:sz="0" w:space="0" w:color="auto"/>
            <w:left w:val="none" w:sz="0" w:space="0" w:color="auto"/>
            <w:bottom w:val="none" w:sz="0" w:space="0" w:color="auto"/>
            <w:right w:val="none" w:sz="0" w:space="0" w:color="auto"/>
          </w:divBdr>
        </w:div>
        <w:div w:id="642319462">
          <w:marLeft w:val="562"/>
          <w:marRight w:val="0"/>
          <w:marTop w:val="67"/>
          <w:marBottom w:val="0"/>
          <w:divBdr>
            <w:top w:val="none" w:sz="0" w:space="0" w:color="auto"/>
            <w:left w:val="none" w:sz="0" w:space="0" w:color="auto"/>
            <w:bottom w:val="none" w:sz="0" w:space="0" w:color="auto"/>
            <w:right w:val="none" w:sz="0" w:space="0" w:color="auto"/>
          </w:divBdr>
        </w:div>
        <w:div w:id="1587494853">
          <w:marLeft w:val="274"/>
          <w:marRight w:val="0"/>
          <w:marTop w:val="120"/>
          <w:marBottom w:val="0"/>
          <w:divBdr>
            <w:top w:val="none" w:sz="0" w:space="0" w:color="auto"/>
            <w:left w:val="none" w:sz="0" w:space="0" w:color="auto"/>
            <w:bottom w:val="none" w:sz="0" w:space="0" w:color="auto"/>
            <w:right w:val="none" w:sz="0" w:space="0" w:color="auto"/>
          </w:divBdr>
        </w:div>
      </w:divsChild>
    </w:div>
    <w:div w:id="414211730">
      <w:bodyDiv w:val="1"/>
      <w:marLeft w:val="0"/>
      <w:marRight w:val="0"/>
      <w:marTop w:val="0"/>
      <w:marBottom w:val="0"/>
      <w:divBdr>
        <w:top w:val="none" w:sz="0" w:space="0" w:color="auto"/>
        <w:left w:val="none" w:sz="0" w:space="0" w:color="auto"/>
        <w:bottom w:val="none" w:sz="0" w:space="0" w:color="auto"/>
        <w:right w:val="none" w:sz="0" w:space="0" w:color="auto"/>
      </w:divBdr>
    </w:div>
    <w:div w:id="461965951">
      <w:bodyDiv w:val="1"/>
      <w:marLeft w:val="0"/>
      <w:marRight w:val="0"/>
      <w:marTop w:val="0"/>
      <w:marBottom w:val="0"/>
      <w:divBdr>
        <w:top w:val="none" w:sz="0" w:space="0" w:color="auto"/>
        <w:left w:val="none" w:sz="0" w:space="0" w:color="auto"/>
        <w:bottom w:val="none" w:sz="0" w:space="0" w:color="auto"/>
        <w:right w:val="none" w:sz="0" w:space="0" w:color="auto"/>
      </w:divBdr>
    </w:div>
    <w:div w:id="569198612">
      <w:bodyDiv w:val="1"/>
      <w:marLeft w:val="0"/>
      <w:marRight w:val="0"/>
      <w:marTop w:val="0"/>
      <w:marBottom w:val="0"/>
      <w:divBdr>
        <w:top w:val="none" w:sz="0" w:space="0" w:color="auto"/>
        <w:left w:val="none" w:sz="0" w:space="0" w:color="auto"/>
        <w:bottom w:val="none" w:sz="0" w:space="0" w:color="auto"/>
        <w:right w:val="none" w:sz="0" w:space="0" w:color="auto"/>
      </w:divBdr>
    </w:div>
    <w:div w:id="589629252">
      <w:bodyDiv w:val="1"/>
      <w:marLeft w:val="0"/>
      <w:marRight w:val="0"/>
      <w:marTop w:val="0"/>
      <w:marBottom w:val="0"/>
      <w:divBdr>
        <w:top w:val="none" w:sz="0" w:space="0" w:color="auto"/>
        <w:left w:val="none" w:sz="0" w:space="0" w:color="auto"/>
        <w:bottom w:val="none" w:sz="0" w:space="0" w:color="auto"/>
        <w:right w:val="none" w:sz="0" w:space="0" w:color="auto"/>
      </w:divBdr>
    </w:div>
    <w:div w:id="662243667">
      <w:bodyDiv w:val="1"/>
      <w:marLeft w:val="0"/>
      <w:marRight w:val="0"/>
      <w:marTop w:val="0"/>
      <w:marBottom w:val="0"/>
      <w:divBdr>
        <w:top w:val="none" w:sz="0" w:space="0" w:color="auto"/>
        <w:left w:val="none" w:sz="0" w:space="0" w:color="auto"/>
        <w:bottom w:val="none" w:sz="0" w:space="0" w:color="auto"/>
        <w:right w:val="none" w:sz="0" w:space="0" w:color="auto"/>
      </w:divBdr>
      <w:divsChild>
        <w:div w:id="549420305">
          <w:marLeft w:val="547"/>
          <w:marRight w:val="0"/>
          <w:marTop w:val="0"/>
          <w:marBottom w:val="0"/>
          <w:divBdr>
            <w:top w:val="none" w:sz="0" w:space="0" w:color="auto"/>
            <w:left w:val="none" w:sz="0" w:space="0" w:color="auto"/>
            <w:bottom w:val="none" w:sz="0" w:space="0" w:color="auto"/>
            <w:right w:val="none" w:sz="0" w:space="0" w:color="auto"/>
          </w:divBdr>
        </w:div>
      </w:divsChild>
    </w:div>
    <w:div w:id="665861141">
      <w:bodyDiv w:val="1"/>
      <w:marLeft w:val="0"/>
      <w:marRight w:val="0"/>
      <w:marTop w:val="0"/>
      <w:marBottom w:val="0"/>
      <w:divBdr>
        <w:top w:val="none" w:sz="0" w:space="0" w:color="auto"/>
        <w:left w:val="none" w:sz="0" w:space="0" w:color="auto"/>
        <w:bottom w:val="none" w:sz="0" w:space="0" w:color="auto"/>
        <w:right w:val="none" w:sz="0" w:space="0" w:color="auto"/>
      </w:divBdr>
      <w:divsChild>
        <w:div w:id="278996889">
          <w:marLeft w:val="274"/>
          <w:marRight w:val="0"/>
          <w:marTop w:val="120"/>
          <w:marBottom w:val="0"/>
          <w:divBdr>
            <w:top w:val="none" w:sz="0" w:space="0" w:color="auto"/>
            <w:left w:val="none" w:sz="0" w:space="0" w:color="auto"/>
            <w:bottom w:val="none" w:sz="0" w:space="0" w:color="auto"/>
            <w:right w:val="none" w:sz="0" w:space="0" w:color="auto"/>
          </w:divBdr>
        </w:div>
        <w:div w:id="302740203">
          <w:marLeft w:val="274"/>
          <w:marRight w:val="0"/>
          <w:marTop w:val="120"/>
          <w:marBottom w:val="0"/>
          <w:divBdr>
            <w:top w:val="none" w:sz="0" w:space="0" w:color="auto"/>
            <w:left w:val="none" w:sz="0" w:space="0" w:color="auto"/>
            <w:bottom w:val="none" w:sz="0" w:space="0" w:color="auto"/>
            <w:right w:val="none" w:sz="0" w:space="0" w:color="auto"/>
          </w:divBdr>
        </w:div>
        <w:div w:id="356857712">
          <w:marLeft w:val="274"/>
          <w:marRight w:val="0"/>
          <w:marTop w:val="120"/>
          <w:marBottom w:val="0"/>
          <w:divBdr>
            <w:top w:val="none" w:sz="0" w:space="0" w:color="auto"/>
            <w:left w:val="none" w:sz="0" w:space="0" w:color="auto"/>
            <w:bottom w:val="none" w:sz="0" w:space="0" w:color="auto"/>
            <w:right w:val="none" w:sz="0" w:space="0" w:color="auto"/>
          </w:divBdr>
        </w:div>
        <w:div w:id="757946871">
          <w:marLeft w:val="562"/>
          <w:marRight w:val="0"/>
          <w:marTop w:val="67"/>
          <w:marBottom w:val="0"/>
          <w:divBdr>
            <w:top w:val="none" w:sz="0" w:space="0" w:color="auto"/>
            <w:left w:val="none" w:sz="0" w:space="0" w:color="auto"/>
            <w:bottom w:val="none" w:sz="0" w:space="0" w:color="auto"/>
            <w:right w:val="none" w:sz="0" w:space="0" w:color="auto"/>
          </w:divBdr>
        </w:div>
        <w:div w:id="800150805">
          <w:marLeft w:val="562"/>
          <w:marRight w:val="0"/>
          <w:marTop w:val="67"/>
          <w:marBottom w:val="0"/>
          <w:divBdr>
            <w:top w:val="none" w:sz="0" w:space="0" w:color="auto"/>
            <w:left w:val="none" w:sz="0" w:space="0" w:color="auto"/>
            <w:bottom w:val="none" w:sz="0" w:space="0" w:color="auto"/>
            <w:right w:val="none" w:sz="0" w:space="0" w:color="auto"/>
          </w:divBdr>
        </w:div>
        <w:div w:id="1099982681">
          <w:marLeft w:val="562"/>
          <w:marRight w:val="0"/>
          <w:marTop w:val="67"/>
          <w:marBottom w:val="0"/>
          <w:divBdr>
            <w:top w:val="none" w:sz="0" w:space="0" w:color="auto"/>
            <w:left w:val="none" w:sz="0" w:space="0" w:color="auto"/>
            <w:bottom w:val="none" w:sz="0" w:space="0" w:color="auto"/>
            <w:right w:val="none" w:sz="0" w:space="0" w:color="auto"/>
          </w:divBdr>
        </w:div>
        <w:div w:id="1689796635">
          <w:marLeft w:val="274"/>
          <w:marRight w:val="0"/>
          <w:marTop w:val="120"/>
          <w:marBottom w:val="0"/>
          <w:divBdr>
            <w:top w:val="none" w:sz="0" w:space="0" w:color="auto"/>
            <w:left w:val="none" w:sz="0" w:space="0" w:color="auto"/>
            <w:bottom w:val="none" w:sz="0" w:space="0" w:color="auto"/>
            <w:right w:val="none" w:sz="0" w:space="0" w:color="auto"/>
          </w:divBdr>
        </w:div>
        <w:div w:id="1814180657">
          <w:marLeft w:val="274"/>
          <w:marRight w:val="0"/>
          <w:marTop w:val="120"/>
          <w:marBottom w:val="0"/>
          <w:divBdr>
            <w:top w:val="none" w:sz="0" w:space="0" w:color="auto"/>
            <w:left w:val="none" w:sz="0" w:space="0" w:color="auto"/>
            <w:bottom w:val="none" w:sz="0" w:space="0" w:color="auto"/>
            <w:right w:val="none" w:sz="0" w:space="0" w:color="auto"/>
          </w:divBdr>
        </w:div>
        <w:div w:id="1912424526">
          <w:marLeft w:val="562"/>
          <w:marRight w:val="0"/>
          <w:marTop w:val="67"/>
          <w:marBottom w:val="0"/>
          <w:divBdr>
            <w:top w:val="none" w:sz="0" w:space="0" w:color="auto"/>
            <w:left w:val="none" w:sz="0" w:space="0" w:color="auto"/>
            <w:bottom w:val="none" w:sz="0" w:space="0" w:color="auto"/>
            <w:right w:val="none" w:sz="0" w:space="0" w:color="auto"/>
          </w:divBdr>
        </w:div>
      </w:divsChild>
    </w:div>
    <w:div w:id="686911115">
      <w:bodyDiv w:val="1"/>
      <w:marLeft w:val="0"/>
      <w:marRight w:val="0"/>
      <w:marTop w:val="0"/>
      <w:marBottom w:val="0"/>
      <w:divBdr>
        <w:top w:val="none" w:sz="0" w:space="0" w:color="auto"/>
        <w:left w:val="none" w:sz="0" w:space="0" w:color="auto"/>
        <w:bottom w:val="none" w:sz="0" w:space="0" w:color="auto"/>
        <w:right w:val="none" w:sz="0" w:space="0" w:color="auto"/>
      </w:divBdr>
    </w:div>
    <w:div w:id="708384256">
      <w:bodyDiv w:val="1"/>
      <w:marLeft w:val="0"/>
      <w:marRight w:val="0"/>
      <w:marTop w:val="0"/>
      <w:marBottom w:val="0"/>
      <w:divBdr>
        <w:top w:val="none" w:sz="0" w:space="0" w:color="auto"/>
        <w:left w:val="none" w:sz="0" w:space="0" w:color="auto"/>
        <w:bottom w:val="none" w:sz="0" w:space="0" w:color="auto"/>
        <w:right w:val="none" w:sz="0" w:space="0" w:color="auto"/>
      </w:divBdr>
      <w:divsChild>
        <w:div w:id="254361108">
          <w:marLeft w:val="547"/>
          <w:marRight w:val="0"/>
          <w:marTop w:val="0"/>
          <w:marBottom w:val="0"/>
          <w:divBdr>
            <w:top w:val="none" w:sz="0" w:space="0" w:color="auto"/>
            <w:left w:val="none" w:sz="0" w:space="0" w:color="auto"/>
            <w:bottom w:val="none" w:sz="0" w:space="0" w:color="auto"/>
            <w:right w:val="none" w:sz="0" w:space="0" w:color="auto"/>
          </w:divBdr>
        </w:div>
      </w:divsChild>
    </w:div>
    <w:div w:id="746197572">
      <w:bodyDiv w:val="1"/>
      <w:marLeft w:val="0"/>
      <w:marRight w:val="0"/>
      <w:marTop w:val="0"/>
      <w:marBottom w:val="0"/>
      <w:divBdr>
        <w:top w:val="none" w:sz="0" w:space="0" w:color="auto"/>
        <w:left w:val="none" w:sz="0" w:space="0" w:color="auto"/>
        <w:bottom w:val="none" w:sz="0" w:space="0" w:color="auto"/>
        <w:right w:val="none" w:sz="0" w:space="0" w:color="auto"/>
      </w:divBdr>
      <w:divsChild>
        <w:div w:id="408842576">
          <w:marLeft w:val="274"/>
          <w:marRight w:val="0"/>
          <w:marTop w:val="120"/>
          <w:marBottom w:val="0"/>
          <w:divBdr>
            <w:top w:val="none" w:sz="0" w:space="0" w:color="auto"/>
            <w:left w:val="none" w:sz="0" w:space="0" w:color="auto"/>
            <w:bottom w:val="none" w:sz="0" w:space="0" w:color="auto"/>
            <w:right w:val="none" w:sz="0" w:space="0" w:color="auto"/>
          </w:divBdr>
        </w:div>
        <w:div w:id="528875964">
          <w:marLeft w:val="274"/>
          <w:marRight w:val="0"/>
          <w:marTop w:val="120"/>
          <w:marBottom w:val="0"/>
          <w:divBdr>
            <w:top w:val="none" w:sz="0" w:space="0" w:color="auto"/>
            <w:left w:val="none" w:sz="0" w:space="0" w:color="auto"/>
            <w:bottom w:val="none" w:sz="0" w:space="0" w:color="auto"/>
            <w:right w:val="none" w:sz="0" w:space="0" w:color="auto"/>
          </w:divBdr>
        </w:div>
        <w:div w:id="1909222634">
          <w:marLeft w:val="274"/>
          <w:marRight w:val="0"/>
          <w:marTop w:val="120"/>
          <w:marBottom w:val="0"/>
          <w:divBdr>
            <w:top w:val="none" w:sz="0" w:space="0" w:color="auto"/>
            <w:left w:val="none" w:sz="0" w:space="0" w:color="auto"/>
            <w:bottom w:val="none" w:sz="0" w:space="0" w:color="auto"/>
            <w:right w:val="none" w:sz="0" w:space="0" w:color="auto"/>
          </w:divBdr>
        </w:div>
      </w:divsChild>
    </w:div>
    <w:div w:id="750128101">
      <w:marLeft w:val="0"/>
      <w:marRight w:val="0"/>
      <w:marTop w:val="0"/>
      <w:marBottom w:val="0"/>
      <w:divBdr>
        <w:top w:val="none" w:sz="0" w:space="0" w:color="auto"/>
        <w:left w:val="none" w:sz="0" w:space="0" w:color="auto"/>
        <w:bottom w:val="none" w:sz="0" w:space="0" w:color="auto"/>
        <w:right w:val="none" w:sz="0" w:space="0" w:color="auto"/>
      </w:divBdr>
    </w:div>
    <w:div w:id="750128102">
      <w:marLeft w:val="0"/>
      <w:marRight w:val="0"/>
      <w:marTop w:val="0"/>
      <w:marBottom w:val="0"/>
      <w:divBdr>
        <w:top w:val="none" w:sz="0" w:space="0" w:color="auto"/>
        <w:left w:val="none" w:sz="0" w:space="0" w:color="auto"/>
        <w:bottom w:val="none" w:sz="0" w:space="0" w:color="auto"/>
        <w:right w:val="none" w:sz="0" w:space="0" w:color="auto"/>
      </w:divBdr>
    </w:div>
    <w:div w:id="750128103">
      <w:marLeft w:val="0"/>
      <w:marRight w:val="0"/>
      <w:marTop w:val="0"/>
      <w:marBottom w:val="0"/>
      <w:divBdr>
        <w:top w:val="none" w:sz="0" w:space="0" w:color="auto"/>
        <w:left w:val="none" w:sz="0" w:space="0" w:color="auto"/>
        <w:bottom w:val="none" w:sz="0" w:space="0" w:color="auto"/>
        <w:right w:val="none" w:sz="0" w:space="0" w:color="auto"/>
      </w:divBdr>
    </w:div>
    <w:div w:id="750128106">
      <w:marLeft w:val="0"/>
      <w:marRight w:val="0"/>
      <w:marTop w:val="0"/>
      <w:marBottom w:val="0"/>
      <w:divBdr>
        <w:top w:val="none" w:sz="0" w:space="0" w:color="auto"/>
        <w:left w:val="none" w:sz="0" w:space="0" w:color="auto"/>
        <w:bottom w:val="none" w:sz="0" w:space="0" w:color="auto"/>
        <w:right w:val="none" w:sz="0" w:space="0" w:color="auto"/>
      </w:divBdr>
    </w:div>
    <w:div w:id="750128107">
      <w:marLeft w:val="0"/>
      <w:marRight w:val="0"/>
      <w:marTop w:val="0"/>
      <w:marBottom w:val="0"/>
      <w:divBdr>
        <w:top w:val="none" w:sz="0" w:space="0" w:color="auto"/>
        <w:left w:val="none" w:sz="0" w:space="0" w:color="auto"/>
        <w:bottom w:val="none" w:sz="0" w:space="0" w:color="auto"/>
        <w:right w:val="none" w:sz="0" w:space="0" w:color="auto"/>
      </w:divBdr>
    </w:div>
    <w:div w:id="750128108">
      <w:marLeft w:val="0"/>
      <w:marRight w:val="0"/>
      <w:marTop w:val="0"/>
      <w:marBottom w:val="0"/>
      <w:divBdr>
        <w:top w:val="none" w:sz="0" w:space="0" w:color="auto"/>
        <w:left w:val="none" w:sz="0" w:space="0" w:color="auto"/>
        <w:bottom w:val="none" w:sz="0" w:space="0" w:color="auto"/>
        <w:right w:val="none" w:sz="0" w:space="0" w:color="auto"/>
      </w:divBdr>
    </w:div>
    <w:div w:id="750128109">
      <w:marLeft w:val="0"/>
      <w:marRight w:val="0"/>
      <w:marTop w:val="0"/>
      <w:marBottom w:val="0"/>
      <w:divBdr>
        <w:top w:val="none" w:sz="0" w:space="0" w:color="auto"/>
        <w:left w:val="none" w:sz="0" w:space="0" w:color="auto"/>
        <w:bottom w:val="none" w:sz="0" w:space="0" w:color="auto"/>
        <w:right w:val="none" w:sz="0" w:space="0" w:color="auto"/>
      </w:divBdr>
    </w:div>
    <w:div w:id="750128112">
      <w:marLeft w:val="0"/>
      <w:marRight w:val="0"/>
      <w:marTop w:val="0"/>
      <w:marBottom w:val="0"/>
      <w:divBdr>
        <w:top w:val="none" w:sz="0" w:space="0" w:color="auto"/>
        <w:left w:val="none" w:sz="0" w:space="0" w:color="auto"/>
        <w:bottom w:val="none" w:sz="0" w:space="0" w:color="auto"/>
        <w:right w:val="none" w:sz="0" w:space="0" w:color="auto"/>
      </w:divBdr>
    </w:div>
    <w:div w:id="750128113">
      <w:marLeft w:val="0"/>
      <w:marRight w:val="0"/>
      <w:marTop w:val="0"/>
      <w:marBottom w:val="0"/>
      <w:divBdr>
        <w:top w:val="none" w:sz="0" w:space="0" w:color="auto"/>
        <w:left w:val="none" w:sz="0" w:space="0" w:color="auto"/>
        <w:bottom w:val="none" w:sz="0" w:space="0" w:color="auto"/>
        <w:right w:val="none" w:sz="0" w:space="0" w:color="auto"/>
      </w:divBdr>
    </w:div>
    <w:div w:id="750128114">
      <w:marLeft w:val="0"/>
      <w:marRight w:val="0"/>
      <w:marTop w:val="0"/>
      <w:marBottom w:val="0"/>
      <w:divBdr>
        <w:top w:val="none" w:sz="0" w:space="0" w:color="auto"/>
        <w:left w:val="none" w:sz="0" w:space="0" w:color="auto"/>
        <w:bottom w:val="none" w:sz="0" w:space="0" w:color="auto"/>
        <w:right w:val="none" w:sz="0" w:space="0" w:color="auto"/>
      </w:divBdr>
    </w:div>
    <w:div w:id="750128116">
      <w:marLeft w:val="0"/>
      <w:marRight w:val="0"/>
      <w:marTop w:val="0"/>
      <w:marBottom w:val="0"/>
      <w:divBdr>
        <w:top w:val="none" w:sz="0" w:space="0" w:color="auto"/>
        <w:left w:val="none" w:sz="0" w:space="0" w:color="auto"/>
        <w:bottom w:val="none" w:sz="0" w:space="0" w:color="auto"/>
        <w:right w:val="none" w:sz="0" w:space="0" w:color="auto"/>
      </w:divBdr>
    </w:div>
    <w:div w:id="750128118">
      <w:marLeft w:val="0"/>
      <w:marRight w:val="0"/>
      <w:marTop w:val="0"/>
      <w:marBottom w:val="0"/>
      <w:divBdr>
        <w:top w:val="none" w:sz="0" w:space="0" w:color="auto"/>
        <w:left w:val="none" w:sz="0" w:space="0" w:color="auto"/>
        <w:bottom w:val="none" w:sz="0" w:space="0" w:color="auto"/>
        <w:right w:val="none" w:sz="0" w:space="0" w:color="auto"/>
      </w:divBdr>
      <w:divsChild>
        <w:div w:id="750128105">
          <w:marLeft w:val="547"/>
          <w:marRight w:val="0"/>
          <w:marTop w:val="0"/>
          <w:marBottom w:val="0"/>
          <w:divBdr>
            <w:top w:val="none" w:sz="0" w:space="0" w:color="auto"/>
            <w:left w:val="none" w:sz="0" w:space="0" w:color="auto"/>
            <w:bottom w:val="none" w:sz="0" w:space="0" w:color="auto"/>
            <w:right w:val="none" w:sz="0" w:space="0" w:color="auto"/>
          </w:divBdr>
        </w:div>
      </w:divsChild>
    </w:div>
    <w:div w:id="750128119">
      <w:marLeft w:val="0"/>
      <w:marRight w:val="0"/>
      <w:marTop w:val="0"/>
      <w:marBottom w:val="0"/>
      <w:divBdr>
        <w:top w:val="none" w:sz="0" w:space="0" w:color="auto"/>
        <w:left w:val="none" w:sz="0" w:space="0" w:color="auto"/>
        <w:bottom w:val="none" w:sz="0" w:space="0" w:color="auto"/>
        <w:right w:val="none" w:sz="0" w:space="0" w:color="auto"/>
      </w:divBdr>
    </w:div>
    <w:div w:id="750128120">
      <w:marLeft w:val="0"/>
      <w:marRight w:val="0"/>
      <w:marTop w:val="0"/>
      <w:marBottom w:val="0"/>
      <w:divBdr>
        <w:top w:val="none" w:sz="0" w:space="0" w:color="auto"/>
        <w:left w:val="none" w:sz="0" w:space="0" w:color="auto"/>
        <w:bottom w:val="none" w:sz="0" w:space="0" w:color="auto"/>
        <w:right w:val="none" w:sz="0" w:space="0" w:color="auto"/>
      </w:divBdr>
    </w:div>
    <w:div w:id="750128121">
      <w:marLeft w:val="0"/>
      <w:marRight w:val="0"/>
      <w:marTop w:val="0"/>
      <w:marBottom w:val="0"/>
      <w:divBdr>
        <w:top w:val="none" w:sz="0" w:space="0" w:color="auto"/>
        <w:left w:val="none" w:sz="0" w:space="0" w:color="auto"/>
        <w:bottom w:val="none" w:sz="0" w:space="0" w:color="auto"/>
        <w:right w:val="none" w:sz="0" w:space="0" w:color="auto"/>
      </w:divBdr>
    </w:div>
    <w:div w:id="750128123">
      <w:marLeft w:val="0"/>
      <w:marRight w:val="0"/>
      <w:marTop w:val="0"/>
      <w:marBottom w:val="0"/>
      <w:divBdr>
        <w:top w:val="none" w:sz="0" w:space="0" w:color="auto"/>
        <w:left w:val="none" w:sz="0" w:space="0" w:color="auto"/>
        <w:bottom w:val="none" w:sz="0" w:space="0" w:color="auto"/>
        <w:right w:val="none" w:sz="0" w:space="0" w:color="auto"/>
      </w:divBdr>
      <w:divsChild>
        <w:div w:id="750128131">
          <w:marLeft w:val="547"/>
          <w:marRight w:val="0"/>
          <w:marTop w:val="0"/>
          <w:marBottom w:val="0"/>
          <w:divBdr>
            <w:top w:val="none" w:sz="0" w:space="0" w:color="auto"/>
            <w:left w:val="none" w:sz="0" w:space="0" w:color="auto"/>
            <w:bottom w:val="none" w:sz="0" w:space="0" w:color="auto"/>
            <w:right w:val="none" w:sz="0" w:space="0" w:color="auto"/>
          </w:divBdr>
        </w:div>
      </w:divsChild>
    </w:div>
    <w:div w:id="750128125">
      <w:marLeft w:val="0"/>
      <w:marRight w:val="0"/>
      <w:marTop w:val="0"/>
      <w:marBottom w:val="0"/>
      <w:divBdr>
        <w:top w:val="none" w:sz="0" w:space="0" w:color="auto"/>
        <w:left w:val="none" w:sz="0" w:space="0" w:color="auto"/>
        <w:bottom w:val="none" w:sz="0" w:space="0" w:color="auto"/>
        <w:right w:val="none" w:sz="0" w:space="0" w:color="auto"/>
      </w:divBdr>
      <w:divsChild>
        <w:div w:id="750128111">
          <w:marLeft w:val="0"/>
          <w:marRight w:val="0"/>
          <w:marTop w:val="0"/>
          <w:marBottom w:val="0"/>
          <w:divBdr>
            <w:top w:val="none" w:sz="0" w:space="0" w:color="auto"/>
            <w:left w:val="none" w:sz="0" w:space="0" w:color="auto"/>
            <w:bottom w:val="none" w:sz="0" w:space="0" w:color="auto"/>
            <w:right w:val="none" w:sz="0" w:space="0" w:color="auto"/>
          </w:divBdr>
          <w:divsChild>
            <w:div w:id="750128122">
              <w:marLeft w:val="0"/>
              <w:marRight w:val="0"/>
              <w:marTop w:val="0"/>
              <w:marBottom w:val="0"/>
              <w:divBdr>
                <w:top w:val="none" w:sz="0" w:space="0" w:color="auto"/>
                <w:left w:val="none" w:sz="0" w:space="0" w:color="auto"/>
                <w:bottom w:val="none" w:sz="0" w:space="0" w:color="auto"/>
                <w:right w:val="none" w:sz="0" w:space="0" w:color="auto"/>
              </w:divBdr>
              <w:divsChild>
                <w:div w:id="750128117">
                  <w:marLeft w:val="0"/>
                  <w:marRight w:val="0"/>
                  <w:marTop w:val="0"/>
                  <w:marBottom w:val="0"/>
                  <w:divBdr>
                    <w:top w:val="none" w:sz="0" w:space="0" w:color="auto"/>
                    <w:left w:val="none" w:sz="0" w:space="0" w:color="auto"/>
                    <w:bottom w:val="none" w:sz="0" w:space="0" w:color="auto"/>
                    <w:right w:val="none" w:sz="0" w:space="0" w:color="auto"/>
                  </w:divBdr>
                  <w:divsChild>
                    <w:div w:id="750128110">
                      <w:marLeft w:val="0"/>
                      <w:marRight w:val="0"/>
                      <w:marTop w:val="0"/>
                      <w:marBottom w:val="0"/>
                      <w:divBdr>
                        <w:top w:val="none" w:sz="0" w:space="0" w:color="auto"/>
                        <w:left w:val="none" w:sz="0" w:space="0" w:color="auto"/>
                        <w:bottom w:val="none" w:sz="0" w:space="0" w:color="auto"/>
                        <w:right w:val="none" w:sz="0" w:space="0" w:color="auto"/>
                      </w:divBdr>
                      <w:divsChild>
                        <w:div w:id="750128124">
                          <w:marLeft w:val="0"/>
                          <w:marRight w:val="0"/>
                          <w:marTop w:val="0"/>
                          <w:marBottom w:val="0"/>
                          <w:divBdr>
                            <w:top w:val="none" w:sz="0" w:space="0" w:color="auto"/>
                            <w:left w:val="none" w:sz="0" w:space="0" w:color="auto"/>
                            <w:bottom w:val="none" w:sz="0" w:space="0" w:color="auto"/>
                            <w:right w:val="none" w:sz="0" w:space="0" w:color="auto"/>
                          </w:divBdr>
                          <w:divsChild>
                            <w:div w:id="75012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128126">
      <w:marLeft w:val="0"/>
      <w:marRight w:val="0"/>
      <w:marTop w:val="0"/>
      <w:marBottom w:val="0"/>
      <w:divBdr>
        <w:top w:val="none" w:sz="0" w:space="0" w:color="auto"/>
        <w:left w:val="none" w:sz="0" w:space="0" w:color="auto"/>
        <w:bottom w:val="none" w:sz="0" w:space="0" w:color="auto"/>
        <w:right w:val="none" w:sz="0" w:space="0" w:color="auto"/>
      </w:divBdr>
    </w:div>
    <w:div w:id="750128127">
      <w:marLeft w:val="0"/>
      <w:marRight w:val="0"/>
      <w:marTop w:val="0"/>
      <w:marBottom w:val="0"/>
      <w:divBdr>
        <w:top w:val="none" w:sz="0" w:space="0" w:color="auto"/>
        <w:left w:val="none" w:sz="0" w:space="0" w:color="auto"/>
        <w:bottom w:val="none" w:sz="0" w:space="0" w:color="auto"/>
        <w:right w:val="none" w:sz="0" w:space="0" w:color="auto"/>
      </w:divBdr>
    </w:div>
    <w:div w:id="750128128">
      <w:marLeft w:val="0"/>
      <w:marRight w:val="0"/>
      <w:marTop w:val="0"/>
      <w:marBottom w:val="0"/>
      <w:divBdr>
        <w:top w:val="none" w:sz="0" w:space="0" w:color="auto"/>
        <w:left w:val="none" w:sz="0" w:space="0" w:color="auto"/>
        <w:bottom w:val="none" w:sz="0" w:space="0" w:color="auto"/>
        <w:right w:val="none" w:sz="0" w:space="0" w:color="auto"/>
      </w:divBdr>
    </w:div>
    <w:div w:id="750128129">
      <w:marLeft w:val="0"/>
      <w:marRight w:val="0"/>
      <w:marTop w:val="0"/>
      <w:marBottom w:val="0"/>
      <w:divBdr>
        <w:top w:val="none" w:sz="0" w:space="0" w:color="auto"/>
        <w:left w:val="none" w:sz="0" w:space="0" w:color="auto"/>
        <w:bottom w:val="none" w:sz="0" w:space="0" w:color="auto"/>
        <w:right w:val="none" w:sz="0" w:space="0" w:color="auto"/>
      </w:divBdr>
    </w:div>
    <w:div w:id="750128132">
      <w:marLeft w:val="0"/>
      <w:marRight w:val="0"/>
      <w:marTop w:val="0"/>
      <w:marBottom w:val="0"/>
      <w:divBdr>
        <w:top w:val="none" w:sz="0" w:space="0" w:color="auto"/>
        <w:left w:val="none" w:sz="0" w:space="0" w:color="auto"/>
        <w:bottom w:val="none" w:sz="0" w:space="0" w:color="auto"/>
        <w:right w:val="none" w:sz="0" w:space="0" w:color="auto"/>
      </w:divBdr>
      <w:divsChild>
        <w:div w:id="750128104">
          <w:marLeft w:val="547"/>
          <w:marRight w:val="0"/>
          <w:marTop w:val="0"/>
          <w:marBottom w:val="0"/>
          <w:divBdr>
            <w:top w:val="none" w:sz="0" w:space="0" w:color="auto"/>
            <w:left w:val="none" w:sz="0" w:space="0" w:color="auto"/>
            <w:bottom w:val="none" w:sz="0" w:space="0" w:color="auto"/>
            <w:right w:val="none" w:sz="0" w:space="0" w:color="auto"/>
          </w:divBdr>
        </w:div>
      </w:divsChild>
    </w:div>
    <w:div w:id="750128133">
      <w:marLeft w:val="0"/>
      <w:marRight w:val="0"/>
      <w:marTop w:val="0"/>
      <w:marBottom w:val="0"/>
      <w:divBdr>
        <w:top w:val="none" w:sz="0" w:space="0" w:color="auto"/>
        <w:left w:val="none" w:sz="0" w:space="0" w:color="auto"/>
        <w:bottom w:val="none" w:sz="0" w:space="0" w:color="auto"/>
        <w:right w:val="none" w:sz="0" w:space="0" w:color="auto"/>
      </w:divBdr>
      <w:divsChild>
        <w:div w:id="750128130">
          <w:marLeft w:val="0"/>
          <w:marRight w:val="0"/>
          <w:marTop w:val="0"/>
          <w:marBottom w:val="0"/>
          <w:divBdr>
            <w:top w:val="none" w:sz="0" w:space="0" w:color="auto"/>
            <w:left w:val="none" w:sz="0" w:space="0" w:color="auto"/>
            <w:bottom w:val="none" w:sz="0" w:space="0" w:color="auto"/>
            <w:right w:val="none" w:sz="0" w:space="0" w:color="auto"/>
          </w:divBdr>
        </w:div>
      </w:divsChild>
    </w:div>
    <w:div w:id="750128134">
      <w:marLeft w:val="0"/>
      <w:marRight w:val="0"/>
      <w:marTop w:val="0"/>
      <w:marBottom w:val="0"/>
      <w:divBdr>
        <w:top w:val="none" w:sz="0" w:space="0" w:color="auto"/>
        <w:left w:val="none" w:sz="0" w:space="0" w:color="auto"/>
        <w:bottom w:val="none" w:sz="0" w:space="0" w:color="auto"/>
        <w:right w:val="none" w:sz="0" w:space="0" w:color="auto"/>
      </w:divBdr>
    </w:div>
    <w:div w:id="750128135">
      <w:marLeft w:val="0"/>
      <w:marRight w:val="0"/>
      <w:marTop w:val="0"/>
      <w:marBottom w:val="0"/>
      <w:divBdr>
        <w:top w:val="none" w:sz="0" w:space="0" w:color="auto"/>
        <w:left w:val="none" w:sz="0" w:space="0" w:color="auto"/>
        <w:bottom w:val="none" w:sz="0" w:space="0" w:color="auto"/>
        <w:right w:val="none" w:sz="0" w:space="0" w:color="auto"/>
      </w:divBdr>
    </w:div>
    <w:div w:id="750128136">
      <w:marLeft w:val="0"/>
      <w:marRight w:val="0"/>
      <w:marTop w:val="0"/>
      <w:marBottom w:val="0"/>
      <w:divBdr>
        <w:top w:val="none" w:sz="0" w:space="0" w:color="auto"/>
        <w:left w:val="none" w:sz="0" w:space="0" w:color="auto"/>
        <w:bottom w:val="none" w:sz="0" w:space="0" w:color="auto"/>
        <w:right w:val="none" w:sz="0" w:space="0" w:color="auto"/>
      </w:divBdr>
    </w:div>
    <w:div w:id="750128137">
      <w:marLeft w:val="0"/>
      <w:marRight w:val="0"/>
      <w:marTop w:val="0"/>
      <w:marBottom w:val="0"/>
      <w:divBdr>
        <w:top w:val="none" w:sz="0" w:space="0" w:color="auto"/>
        <w:left w:val="none" w:sz="0" w:space="0" w:color="auto"/>
        <w:bottom w:val="none" w:sz="0" w:space="0" w:color="auto"/>
        <w:right w:val="none" w:sz="0" w:space="0" w:color="auto"/>
      </w:divBdr>
    </w:div>
    <w:div w:id="841772173">
      <w:bodyDiv w:val="1"/>
      <w:marLeft w:val="0"/>
      <w:marRight w:val="0"/>
      <w:marTop w:val="0"/>
      <w:marBottom w:val="0"/>
      <w:divBdr>
        <w:top w:val="none" w:sz="0" w:space="0" w:color="auto"/>
        <w:left w:val="none" w:sz="0" w:space="0" w:color="auto"/>
        <w:bottom w:val="none" w:sz="0" w:space="0" w:color="auto"/>
        <w:right w:val="none" w:sz="0" w:space="0" w:color="auto"/>
      </w:divBdr>
    </w:div>
    <w:div w:id="911936543">
      <w:bodyDiv w:val="1"/>
      <w:marLeft w:val="0"/>
      <w:marRight w:val="0"/>
      <w:marTop w:val="0"/>
      <w:marBottom w:val="0"/>
      <w:divBdr>
        <w:top w:val="none" w:sz="0" w:space="0" w:color="auto"/>
        <w:left w:val="none" w:sz="0" w:space="0" w:color="auto"/>
        <w:bottom w:val="none" w:sz="0" w:space="0" w:color="auto"/>
        <w:right w:val="none" w:sz="0" w:space="0" w:color="auto"/>
      </w:divBdr>
    </w:div>
    <w:div w:id="948127406">
      <w:bodyDiv w:val="1"/>
      <w:marLeft w:val="0"/>
      <w:marRight w:val="0"/>
      <w:marTop w:val="0"/>
      <w:marBottom w:val="0"/>
      <w:divBdr>
        <w:top w:val="none" w:sz="0" w:space="0" w:color="auto"/>
        <w:left w:val="none" w:sz="0" w:space="0" w:color="auto"/>
        <w:bottom w:val="none" w:sz="0" w:space="0" w:color="auto"/>
        <w:right w:val="none" w:sz="0" w:space="0" w:color="auto"/>
      </w:divBdr>
      <w:divsChild>
        <w:div w:id="697777538">
          <w:marLeft w:val="547"/>
          <w:marRight w:val="0"/>
          <w:marTop w:val="0"/>
          <w:marBottom w:val="0"/>
          <w:divBdr>
            <w:top w:val="none" w:sz="0" w:space="0" w:color="auto"/>
            <w:left w:val="none" w:sz="0" w:space="0" w:color="auto"/>
            <w:bottom w:val="none" w:sz="0" w:space="0" w:color="auto"/>
            <w:right w:val="none" w:sz="0" w:space="0" w:color="auto"/>
          </w:divBdr>
        </w:div>
      </w:divsChild>
    </w:div>
    <w:div w:id="969867830">
      <w:bodyDiv w:val="1"/>
      <w:marLeft w:val="0"/>
      <w:marRight w:val="0"/>
      <w:marTop w:val="0"/>
      <w:marBottom w:val="0"/>
      <w:divBdr>
        <w:top w:val="none" w:sz="0" w:space="0" w:color="auto"/>
        <w:left w:val="none" w:sz="0" w:space="0" w:color="auto"/>
        <w:bottom w:val="none" w:sz="0" w:space="0" w:color="auto"/>
        <w:right w:val="none" w:sz="0" w:space="0" w:color="auto"/>
      </w:divBdr>
      <w:divsChild>
        <w:div w:id="451435440">
          <w:marLeft w:val="562"/>
          <w:marRight w:val="0"/>
          <w:marTop w:val="67"/>
          <w:marBottom w:val="0"/>
          <w:divBdr>
            <w:top w:val="none" w:sz="0" w:space="0" w:color="auto"/>
            <w:left w:val="none" w:sz="0" w:space="0" w:color="auto"/>
            <w:bottom w:val="none" w:sz="0" w:space="0" w:color="auto"/>
            <w:right w:val="none" w:sz="0" w:space="0" w:color="auto"/>
          </w:divBdr>
        </w:div>
        <w:div w:id="534199665">
          <w:marLeft w:val="562"/>
          <w:marRight w:val="0"/>
          <w:marTop w:val="67"/>
          <w:marBottom w:val="0"/>
          <w:divBdr>
            <w:top w:val="none" w:sz="0" w:space="0" w:color="auto"/>
            <w:left w:val="none" w:sz="0" w:space="0" w:color="auto"/>
            <w:bottom w:val="none" w:sz="0" w:space="0" w:color="auto"/>
            <w:right w:val="none" w:sz="0" w:space="0" w:color="auto"/>
          </w:divBdr>
        </w:div>
        <w:div w:id="554852944">
          <w:marLeft w:val="274"/>
          <w:marRight w:val="0"/>
          <w:marTop w:val="120"/>
          <w:marBottom w:val="0"/>
          <w:divBdr>
            <w:top w:val="none" w:sz="0" w:space="0" w:color="auto"/>
            <w:left w:val="none" w:sz="0" w:space="0" w:color="auto"/>
            <w:bottom w:val="none" w:sz="0" w:space="0" w:color="auto"/>
            <w:right w:val="none" w:sz="0" w:space="0" w:color="auto"/>
          </w:divBdr>
        </w:div>
        <w:div w:id="563027415">
          <w:marLeft w:val="274"/>
          <w:marRight w:val="0"/>
          <w:marTop w:val="120"/>
          <w:marBottom w:val="0"/>
          <w:divBdr>
            <w:top w:val="none" w:sz="0" w:space="0" w:color="auto"/>
            <w:left w:val="none" w:sz="0" w:space="0" w:color="auto"/>
            <w:bottom w:val="none" w:sz="0" w:space="0" w:color="auto"/>
            <w:right w:val="none" w:sz="0" w:space="0" w:color="auto"/>
          </w:divBdr>
        </w:div>
        <w:div w:id="1800029786">
          <w:marLeft w:val="274"/>
          <w:marRight w:val="0"/>
          <w:marTop w:val="120"/>
          <w:marBottom w:val="0"/>
          <w:divBdr>
            <w:top w:val="none" w:sz="0" w:space="0" w:color="auto"/>
            <w:left w:val="none" w:sz="0" w:space="0" w:color="auto"/>
            <w:bottom w:val="none" w:sz="0" w:space="0" w:color="auto"/>
            <w:right w:val="none" w:sz="0" w:space="0" w:color="auto"/>
          </w:divBdr>
        </w:div>
        <w:div w:id="1905874692">
          <w:marLeft w:val="274"/>
          <w:marRight w:val="0"/>
          <w:marTop w:val="120"/>
          <w:marBottom w:val="0"/>
          <w:divBdr>
            <w:top w:val="none" w:sz="0" w:space="0" w:color="auto"/>
            <w:left w:val="none" w:sz="0" w:space="0" w:color="auto"/>
            <w:bottom w:val="none" w:sz="0" w:space="0" w:color="auto"/>
            <w:right w:val="none" w:sz="0" w:space="0" w:color="auto"/>
          </w:divBdr>
        </w:div>
      </w:divsChild>
    </w:div>
    <w:div w:id="1017661185">
      <w:bodyDiv w:val="1"/>
      <w:marLeft w:val="0"/>
      <w:marRight w:val="0"/>
      <w:marTop w:val="0"/>
      <w:marBottom w:val="0"/>
      <w:divBdr>
        <w:top w:val="none" w:sz="0" w:space="0" w:color="auto"/>
        <w:left w:val="none" w:sz="0" w:space="0" w:color="auto"/>
        <w:bottom w:val="none" w:sz="0" w:space="0" w:color="auto"/>
        <w:right w:val="none" w:sz="0" w:space="0" w:color="auto"/>
      </w:divBdr>
      <w:divsChild>
        <w:div w:id="159321453">
          <w:marLeft w:val="562"/>
          <w:marRight w:val="0"/>
          <w:marTop w:val="67"/>
          <w:marBottom w:val="0"/>
          <w:divBdr>
            <w:top w:val="none" w:sz="0" w:space="0" w:color="auto"/>
            <w:left w:val="none" w:sz="0" w:space="0" w:color="auto"/>
            <w:bottom w:val="none" w:sz="0" w:space="0" w:color="auto"/>
            <w:right w:val="none" w:sz="0" w:space="0" w:color="auto"/>
          </w:divBdr>
        </w:div>
        <w:div w:id="978875989">
          <w:marLeft w:val="274"/>
          <w:marRight w:val="0"/>
          <w:marTop w:val="120"/>
          <w:marBottom w:val="0"/>
          <w:divBdr>
            <w:top w:val="none" w:sz="0" w:space="0" w:color="auto"/>
            <w:left w:val="none" w:sz="0" w:space="0" w:color="auto"/>
            <w:bottom w:val="none" w:sz="0" w:space="0" w:color="auto"/>
            <w:right w:val="none" w:sz="0" w:space="0" w:color="auto"/>
          </w:divBdr>
        </w:div>
        <w:div w:id="1165239638">
          <w:marLeft w:val="562"/>
          <w:marRight w:val="0"/>
          <w:marTop w:val="67"/>
          <w:marBottom w:val="0"/>
          <w:divBdr>
            <w:top w:val="none" w:sz="0" w:space="0" w:color="auto"/>
            <w:left w:val="none" w:sz="0" w:space="0" w:color="auto"/>
            <w:bottom w:val="none" w:sz="0" w:space="0" w:color="auto"/>
            <w:right w:val="none" w:sz="0" w:space="0" w:color="auto"/>
          </w:divBdr>
        </w:div>
        <w:div w:id="1258904004">
          <w:marLeft w:val="562"/>
          <w:marRight w:val="0"/>
          <w:marTop w:val="67"/>
          <w:marBottom w:val="0"/>
          <w:divBdr>
            <w:top w:val="none" w:sz="0" w:space="0" w:color="auto"/>
            <w:left w:val="none" w:sz="0" w:space="0" w:color="auto"/>
            <w:bottom w:val="none" w:sz="0" w:space="0" w:color="auto"/>
            <w:right w:val="none" w:sz="0" w:space="0" w:color="auto"/>
          </w:divBdr>
        </w:div>
        <w:div w:id="1752191546">
          <w:marLeft w:val="274"/>
          <w:marRight w:val="0"/>
          <w:marTop w:val="120"/>
          <w:marBottom w:val="0"/>
          <w:divBdr>
            <w:top w:val="none" w:sz="0" w:space="0" w:color="auto"/>
            <w:left w:val="none" w:sz="0" w:space="0" w:color="auto"/>
            <w:bottom w:val="none" w:sz="0" w:space="0" w:color="auto"/>
            <w:right w:val="none" w:sz="0" w:space="0" w:color="auto"/>
          </w:divBdr>
        </w:div>
        <w:div w:id="1878152686">
          <w:marLeft w:val="274"/>
          <w:marRight w:val="0"/>
          <w:marTop w:val="120"/>
          <w:marBottom w:val="0"/>
          <w:divBdr>
            <w:top w:val="none" w:sz="0" w:space="0" w:color="auto"/>
            <w:left w:val="none" w:sz="0" w:space="0" w:color="auto"/>
            <w:bottom w:val="none" w:sz="0" w:space="0" w:color="auto"/>
            <w:right w:val="none" w:sz="0" w:space="0" w:color="auto"/>
          </w:divBdr>
        </w:div>
        <w:div w:id="1952592060">
          <w:marLeft w:val="562"/>
          <w:marRight w:val="0"/>
          <w:marTop w:val="67"/>
          <w:marBottom w:val="0"/>
          <w:divBdr>
            <w:top w:val="none" w:sz="0" w:space="0" w:color="auto"/>
            <w:left w:val="none" w:sz="0" w:space="0" w:color="auto"/>
            <w:bottom w:val="none" w:sz="0" w:space="0" w:color="auto"/>
            <w:right w:val="none" w:sz="0" w:space="0" w:color="auto"/>
          </w:divBdr>
        </w:div>
        <w:div w:id="2095737491">
          <w:marLeft w:val="562"/>
          <w:marRight w:val="0"/>
          <w:marTop w:val="67"/>
          <w:marBottom w:val="0"/>
          <w:divBdr>
            <w:top w:val="none" w:sz="0" w:space="0" w:color="auto"/>
            <w:left w:val="none" w:sz="0" w:space="0" w:color="auto"/>
            <w:bottom w:val="none" w:sz="0" w:space="0" w:color="auto"/>
            <w:right w:val="none" w:sz="0" w:space="0" w:color="auto"/>
          </w:divBdr>
        </w:div>
      </w:divsChild>
    </w:div>
    <w:div w:id="1168790090">
      <w:bodyDiv w:val="1"/>
      <w:marLeft w:val="0"/>
      <w:marRight w:val="0"/>
      <w:marTop w:val="0"/>
      <w:marBottom w:val="0"/>
      <w:divBdr>
        <w:top w:val="none" w:sz="0" w:space="0" w:color="auto"/>
        <w:left w:val="none" w:sz="0" w:space="0" w:color="auto"/>
        <w:bottom w:val="none" w:sz="0" w:space="0" w:color="auto"/>
        <w:right w:val="none" w:sz="0" w:space="0" w:color="auto"/>
      </w:divBdr>
      <w:divsChild>
        <w:div w:id="1814561697">
          <w:marLeft w:val="547"/>
          <w:marRight w:val="0"/>
          <w:marTop w:val="0"/>
          <w:marBottom w:val="0"/>
          <w:divBdr>
            <w:top w:val="none" w:sz="0" w:space="0" w:color="auto"/>
            <w:left w:val="none" w:sz="0" w:space="0" w:color="auto"/>
            <w:bottom w:val="none" w:sz="0" w:space="0" w:color="auto"/>
            <w:right w:val="none" w:sz="0" w:space="0" w:color="auto"/>
          </w:divBdr>
        </w:div>
      </w:divsChild>
    </w:div>
    <w:div w:id="1199007545">
      <w:bodyDiv w:val="1"/>
      <w:marLeft w:val="0"/>
      <w:marRight w:val="0"/>
      <w:marTop w:val="0"/>
      <w:marBottom w:val="0"/>
      <w:divBdr>
        <w:top w:val="none" w:sz="0" w:space="0" w:color="auto"/>
        <w:left w:val="none" w:sz="0" w:space="0" w:color="auto"/>
        <w:bottom w:val="none" w:sz="0" w:space="0" w:color="auto"/>
        <w:right w:val="none" w:sz="0" w:space="0" w:color="auto"/>
      </w:divBdr>
      <w:divsChild>
        <w:div w:id="122232103">
          <w:marLeft w:val="547"/>
          <w:marRight w:val="0"/>
          <w:marTop w:val="0"/>
          <w:marBottom w:val="0"/>
          <w:divBdr>
            <w:top w:val="none" w:sz="0" w:space="0" w:color="auto"/>
            <w:left w:val="none" w:sz="0" w:space="0" w:color="auto"/>
            <w:bottom w:val="none" w:sz="0" w:space="0" w:color="auto"/>
            <w:right w:val="none" w:sz="0" w:space="0" w:color="auto"/>
          </w:divBdr>
        </w:div>
        <w:div w:id="794911556">
          <w:marLeft w:val="547"/>
          <w:marRight w:val="0"/>
          <w:marTop w:val="0"/>
          <w:marBottom w:val="0"/>
          <w:divBdr>
            <w:top w:val="none" w:sz="0" w:space="0" w:color="auto"/>
            <w:left w:val="none" w:sz="0" w:space="0" w:color="auto"/>
            <w:bottom w:val="none" w:sz="0" w:space="0" w:color="auto"/>
            <w:right w:val="none" w:sz="0" w:space="0" w:color="auto"/>
          </w:divBdr>
        </w:div>
      </w:divsChild>
    </w:div>
    <w:div w:id="1201238023">
      <w:bodyDiv w:val="1"/>
      <w:marLeft w:val="0"/>
      <w:marRight w:val="0"/>
      <w:marTop w:val="0"/>
      <w:marBottom w:val="0"/>
      <w:divBdr>
        <w:top w:val="none" w:sz="0" w:space="0" w:color="auto"/>
        <w:left w:val="none" w:sz="0" w:space="0" w:color="auto"/>
        <w:bottom w:val="none" w:sz="0" w:space="0" w:color="auto"/>
        <w:right w:val="none" w:sz="0" w:space="0" w:color="auto"/>
      </w:divBdr>
    </w:div>
    <w:div w:id="1463116162">
      <w:bodyDiv w:val="1"/>
      <w:marLeft w:val="0"/>
      <w:marRight w:val="0"/>
      <w:marTop w:val="0"/>
      <w:marBottom w:val="0"/>
      <w:divBdr>
        <w:top w:val="none" w:sz="0" w:space="0" w:color="auto"/>
        <w:left w:val="none" w:sz="0" w:space="0" w:color="auto"/>
        <w:bottom w:val="none" w:sz="0" w:space="0" w:color="auto"/>
        <w:right w:val="none" w:sz="0" w:space="0" w:color="auto"/>
      </w:divBdr>
    </w:div>
    <w:div w:id="1484154835">
      <w:bodyDiv w:val="1"/>
      <w:marLeft w:val="0"/>
      <w:marRight w:val="0"/>
      <w:marTop w:val="0"/>
      <w:marBottom w:val="0"/>
      <w:divBdr>
        <w:top w:val="none" w:sz="0" w:space="0" w:color="auto"/>
        <w:left w:val="none" w:sz="0" w:space="0" w:color="auto"/>
        <w:bottom w:val="none" w:sz="0" w:space="0" w:color="auto"/>
        <w:right w:val="none" w:sz="0" w:space="0" w:color="auto"/>
      </w:divBdr>
    </w:div>
    <w:div w:id="1529563212">
      <w:bodyDiv w:val="1"/>
      <w:marLeft w:val="0"/>
      <w:marRight w:val="0"/>
      <w:marTop w:val="0"/>
      <w:marBottom w:val="0"/>
      <w:divBdr>
        <w:top w:val="none" w:sz="0" w:space="0" w:color="auto"/>
        <w:left w:val="none" w:sz="0" w:space="0" w:color="auto"/>
        <w:bottom w:val="none" w:sz="0" w:space="0" w:color="auto"/>
        <w:right w:val="none" w:sz="0" w:space="0" w:color="auto"/>
      </w:divBdr>
    </w:div>
    <w:div w:id="1632709434">
      <w:bodyDiv w:val="1"/>
      <w:marLeft w:val="0"/>
      <w:marRight w:val="0"/>
      <w:marTop w:val="0"/>
      <w:marBottom w:val="0"/>
      <w:divBdr>
        <w:top w:val="none" w:sz="0" w:space="0" w:color="auto"/>
        <w:left w:val="none" w:sz="0" w:space="0" w:color="auto"/>
        <w:bottom w:val="none" w:sz="0" w:space="0" w:color="auto"/>
        <w:right w:val="none" w:sz="0" w:space="0" w:color="auto"/>
      </w:divBdr>
    </w:div>
    <w:div w:id="1660039225">
      <w:bodyDiv w:val="1"/>
      <w:marLeft w:val="0"/>
      <w:marRight w:val="0"/>
      <w:marTop w:val="0"/>
      <w:marBottom w:val="0"/>
      <w:divBdr>
        <w:top w:val="none" w:sz="0" w:space="0" w:color="auto"/>
        <w:left w:val="none" w:sz="0" w:space="0" w:color="auto"/>
        <w:bottom w:val="none" w:sz="0" w:space="0" w:color="auto"/>
        <w:right w:val="none" w:sz="0" w:space="0" w:color="auto"/>
      </w:divBdr>
    </w:div>
    <w:div w:id="1689788822">
      <w:bodyDiv w:val="1"/>
      <w:marLeft w:val="0"/>
      <w:marRight w:val="0"/>
      <w:marTop w:val="0"/>
      <w:marBottom w:val="0"/>
      <w:divBdr>
        <w:top w:val="none" w:sz="0" w:space="0" w:color="auto"/>
        <w:left w:val="none" w:sz="0" w:space="0" w:color="auto"/>
        <w:bottom w:val="none" w:sz="0" w:space="0" w:color="auto"/>
        <w:right w:val="none" w:sz="0" w:space="0" w:color="auto"/>
      </w:divBdr>
      <w:divsChild>
        <w:div w:id="42995481">
          <w:marLeft w:val="562"/>
          <w:marRight w:val="0"/>
          <w:marTop w:val="67"/>
          <w:marBottom w:val="0"/>
          <w:divBdr>
            <w:top w:val="none" w:sz="0" w:space="0" w:color="auto"/>
            <w:left w:val="none" w:sz="0" w:space="0" w:color="auto"/>
            <w:bottom w:val="none" w:sz="0" w:space="0" w:color="auto"/>
            <w:right w:val="none" w:sz="0" w:space="0" w:color="auto"/>
          </w:divBdr>
        </w:div>
        <w:div w:id="80105300">
          <w:marLeft w:val="562"/>
          <w:marRight w:val="0"/>
          <w:marTop w:val="67"/>
          <w:marBottom w:val="0"/>
          <w:divBdr>
            <w:top w:val="none" w:sz="0" w:space="0" w:color="auto"/>
            <w:left w:val="none" w:sz="0" w:space="0" w:color="auto"/>
            <w:bottom w:val="none" w:sz="0" w:space="0" w:color="auto"/>
            <w:right w:val="none" w:sz="0" w:space="0" w:color="auto"/>
          </w:divBdr>
        </w:div>
        <w:div w:id="147282843">
          <w:marLeft w:val="562"/>
          <w:marRight w:val="0"/>
          <w:marTop w:val="67"/>
          <w:marBottom w:val="0"/>
          <w:divBdr>
            <w:top w:val="none" w:sz="0" w:space="0" w:color="auto"/>
            <w:left w:val="none" w:sz="0" w:space="0" w:color="auto"/>
            <w:bottom w:val="none" w:sz="0" w:space="0" w:color="auto"/>
            <w:right w:val="none" w:sz="0" w:space="0" w:color="auto"/>
          </w:divBdr>
        </w:div>
        <w:div w:id="356779572">
          <w:marLeft w:val="274"/>
          <w:marRight w:val="0"/>
          <w:marTop w:val="120"/>
          <w:marBottom w:val="0"/>
          <w:divBdr>
            <w:top w:val="none" w:sz="0" w:space="0" w:color="auto"/>
            <w:left w:val="none" w:sz="0" w:space="0" w:color="auto"/>
            <w:bottom w:val="none" w:sz="0" w:space="0" w:color="auto"/>
            <w:right w:val="none" w:sz="0" w:space="0" w:color="auto"/>
          </w:divBdr>
        </w:div>
        <w:div w:id="1057511614">
          <w:marLeft w:val="562"/>
          <w:marRight w:val="0"/>
          <w:marTop w:val="67"/>
          <w:marBottom w:val="0"/>
          <w:divBdr>
            <w:top w:val="none" w:sz="0" w:space="0" w:color="auto"/>
            <w:left w:val="none" w:sz="0" w:space="0" w:color="auto"/>
            <w:bottom w:val="none" w:sz="0" w:space="0" w:color="auto"/>
            <w:right w:val="none" w:sz="0" w:space="0" w:color="auto"/>
          </w:divBdr>
        </w:div>
        <w:div w:id="1137337726">
          <w:marLeft w:val="274"/>
          <w:marRight w:val="0"/>
          <w:marTop w:val="120"/>
          <w:marBottom w:val="0"/>
          <w:divBdr>
            <w:top w:val="none" w:sz="0" w:space="0" w:color="auto"/>
            <w:left w:val="none" w:sz="0" w:space="0" w:color="auto"/>
            <w:bottom w:val="none" w:sz="0" w:space="0" w:color="auto"/>
            <w:right w:val="none" w:sz="0" w:space="0" w:color="auto"/>
          </w:divBdr>
        </w:div>
        <w:div w:id="1387101363">
          <w:marLeft w:val="274"/>
          <w:marRight w:val="0"/>
          <w:marTop w:val="120"/>
          <w:marBottom w:val="0"/>
          <w:divBdr>
            <w:top w:val="none" w:sz="0" w:space="0" w:color="auto"/>
            <w:left w:val="none" w:sz="0" w:space="0" w:color="auto"/>
            <w:bottom w:val="none" w:sz="0" w:space="0" w:color="auto"/>
            <w:right w:val="none" w:sz="0" w:space="0" w:color="auto"/>
          </w:divBdr>
        </w:div>
        <w:div w:id="1629631112">
          <w:marLeft w:val="562"/>
          <w:marRight w:val="0"/>
          <w:marTop w:val="67"/>
          <w:marBottom w:val="0"/>
          <w:divBdr>
            <w:top w:val="none" w:sz="0" w:space="0" w:color="auto"/>
            <w:left w:val="none" w:sz="0" w:space="0" w:color="auto"/>
            <w:bottom w:val="none" w:sz="0" w:space="0" w:color="auto"/>
            <w:right w:val="none" w:sz="0" w:space="0" w:color="auto"/>
          </w:divBdr>
        </w:div>
        <w:div w:id="1741365153">
          <w:marLeft w:val="274"/>
          <w:marRight w:val="0"/>
          <w:marTop w:val="120"/>
          <w:marBottom w:val="0"/>
          <w:divBdr>
            <w:top w:val="none" w:sz="0" w:space="0" w:color="auto"/>
            <w:left w:val="none" w:sz="0" w:space="0" w:color="auto"/>
            <w:bottom w:val="none" w:sz="0" w:space="0" w:color="auto"/>
            <w:right w:val="none" w:sz="0" w:space="0" w:color="auto"/>
          </w:divBdr>
        </w:div>
      </w:divsChild>
    </w:div>
    <w:div w:id="1694182219">
      <w:bodyDiv w:val="1"/>
      <w:marLeft w:val="0"/>
      <w:marRight w:val="0"/>
      <w:marTop w:val="0"/>
      <w:marBottom w:val="0"/>
      <w:divBdr>
        <w:top w:val="none" w:sz="0" w:space="0" w:color="auto"/>
        <w:left w:val="none" w:sz="0" w:space="0" w:color="auto"/>
        <w:bottom w:val="none" w:sz="0" w:space="0" w:color="auto"/>
        <w:right w:val="none" w:sz="0" w:space="0" w:color="auto"/>
      </w:divBdr>
      <w:divsChild>
        <w:div w:id="654770512">
          <w:marLeft w:val="547"/>
          <w:marRight w:val="0"/>
          <w:marTop w:val="0"/>
          <w:marBottom w:val="0"/>
          <w:divBdr>
            <w:top w:val="none" w:sz="0" w:space="0" w:color="auto"/>
            <w:left w:val="none" w:sz="0" w:space="0" w:color="auto"/>
            <w:bottom w:val="none" w:sz="0" w:space="0" w:color="auto"/>
            <w:right w:val="none" w:sz="0" w:space="0" w:color="auto"/>
          </w:divBdr>
        </w:div>
      </w:divsChild>
    </w:div>
    <w:div w:id="1812819484">
      <w:bodyDiv w:val="1"/>
      <w:marLeft w:val="0"/>
      <w:marRight w:val="0"/>
      <w:marTop w:val="0"/>
      <w:marBottom w:val="0"/>
      <w:divBdr>
        <w:top w:val="none" w:sz="0" w:space="0" w:color="auto"/>
        <w:left w:val="none" w:sz="0" w:space="0" w:color="auto"/>
        <w:bottom w:val="none" w:sz="0" w:space="0" w:color="auto"/>
        <w:right w:val="none" w:sz="0" w:space="0" w:color="auto"/>
      </w:divBdr>
    </w:div>
    <w:div w:id="1849754883">
      <w:bodyDiv w:val="1"/>
      <w:marLeft w:val="0"/>
      <w:marRight w:val="0"/>
      <w:marTop w:val="0"/>
      <w:marBottom w:val="0"/>
      <w:divBdr>
        <w:top w:val="none" w:sz="0" w:space="0" w:color="auto"/>
        <w:left w:val="none" w:sz="0" w:space="0" w:color="auto"/>
        <w:bottom w:val="none" w:sz="0" w:space="0" w:color="auto"/>
        <w:right w:val="none" w:sz="0" w:space="0" w:color="auto"/>
      </w:divBdr>
    </w:div>
    <w:div w:id="1852453361">
      <w:bodyDiv w:val="1"/>
      <w:marLeft w:val="0"/>
      <w:marRight w:val="0"/>
      <w:marTop w:val="0"/>
      <w:marBottom w:val="0"/>
      <w:divBdr>
        <w:top w:val="none" w:sz="0" w:space="0" w:color="auto"/>
        <w:left w:val="none" w:sz="0" w:space="0" w:color="auto"/>
        <w:bottom w:val="none" w:sz="0" w:space="0" w:color="auto"/>
        <w:right w:val="none" w:sz="0" w:space="0" w:color="auto"/>
      </w:divBdr>
      <w:divsChild>
        <w:div w:id="2098205643">
          <w:marLeft w:val="547"/>
          <w:marRight w:val="0"/>
          <w:marTop w:val="0"/>
          <w:marBottom w:val="0"/>
          <w:divBdr>
            <w:top w:val="none" w:sz="0" w:space="0" w:color="auto"/>
            <w:left w:val="none" w:sz="0" w:space="0" w:color="auto"/>
            <w:bottom w:val="none" w:sz="0" w:space="0" w:color="auto"/>
            <w:right w:val="none" w:sz="0" w:space="0" w:color="auto"/>
          </w:divBdr>
        </w:div>
      </w:divsChild>
    </w:div>
    <w:div w:id="214318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ngfisher.com/index.asp?pageid=76"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kingfisher.com/netpositive" TargetMode="External"/><Relationship Id="rId4" Type="http://schemas.microsoft.com/office/2007/relationships/stylesWithEffects" Target="stylesWithEffects.xml"/><Relationship Id="rId9" Type="http://schemas.openxmlformats.org/officeDocument/2006/relationships/hyperlink" Target="http://www.kingfisher.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D4A99-DB17-4F1E-BDC0-046C5159E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7516</Words>
  <Characters>40469</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EMBARGOED UNTIL 0700 HOURS</vt:lpstr>
    </vt:vector>
  </TitlesOfParts>
  <Company>Grizli777</Company>
  <LinksUpToDate>false</LinksUpToDate>
  <CharactersWithSpaces>47890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EMBARGOED UNTIL 0700 HOURS</dc:title>
  <dc:creator>woodward</dc:creator>
  <cp:lastModifiedBy>marolid</cp:lastModifiedBy>
  <cp:revision>3</cp:revision>
  <cp:lastPrinted>2013-03-25T18:40:00Z</cp:lastPrinted>
  <dcterms:created xsi:type="dcterms:W3CDTF">2013-03-25T18:39:00Z</dcterms:created>
  <dcterms:modified xsi:type="dcterms:W3CDTF">2013-03-25T18:42:00Z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507887978</vt:i4>
  </property>
</Properties>
</file>