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3E3" w:rsidRPr="00C4481A" w:rsidRDefault="00C4481A" w:rsidP="00182EFD">
      <w:pPr>
        <w:jc w:val="center"/>
        <w:rPr>
          <w:rFonts w:ascii="Arial" w:hAnsi="Arial" w:cs="Arial"/>
          <w:b/>
          <w:bCs/>
          <w:sz w:val="24"/>
          <w:szCs w:val="24"/>
        </w:rPr>
      </w:pPr>
      <w:bookmarkStart w:id="0" w:name="_GoBack"/>
      <w:bookmarkEnd w:id="0"/>
      <w:r w:rsidRPr="007D220F">
        <w:rPr>
          <w:rFonts w:ascii="Arial" w:hAnsi="Arial" w:cs="Arial"/>
          <w:b/>
          <w:bCs/>
          <w:sz w:val="24"/>
          <w:szCs w:val="24"/>
        </w:rPr>
        <w:t>Wednesday 1</w:t>
      </w:r>
      <w:r w:rsidR="00E75700">
        <w:rPr>
          <w:rFonts w:ascii="Arial" w:hAnsi="Arial" w:cs="Arial"/>
          <w:b/>
          <w:bCs/>
          <w:sz w:val="24"/>
          <w:szCs w:val="24"/>
        </w:rPr>
        <w:t>1</w:t>
      </w:r>
      <w:r w:rsidR="000F03E3" w:rsidRPr="00C4481A">
        <w:rPr>
          <w:rFonts w:ascii="Arial" w:hAnsi="Arial" w:cs="Arial"/>
          <w:b/>
          <w:bCs/>
          <w:sz w:val="24"/>
          <w:szCs w:val="24"/>
        </w:rPr>
        <w:t xml:space="preserve"> September 20</w:t>
      </w:r>
      <w:r w:rsidR="00E75700">
        <w:rPr>
          <w:rFonts w:ascii="Arial" w:hAnsi="Arial" w:cs="Arial"/>
          <w:b/>
          <w:bCs/>
          <w:sz w:val="24"/>
          <w:szCs w:val="24"/>
        </w:rPr>
        <w:t>13</w:t>
      </w:r>
    </w:p>
    <w:p w:rsidR="00182EFD" w:rsidRPr="00182EFD" w:rsidRDefault="00182EFD" w:rsidP="000F03E3">
      <w:pPr>
        <w:jc w:val="left"/>
        <w:rPr>
          <w:rFonts w:ascii="Arial" w:hAnsi="Arial" w:cs="Arial"/>
          <w:b/>
          <w:bCs/>
          <w:sz w:val="24"/>
          <w:szCs w:val="24"/>
          <w:highlight w:val="yellow"/>
        </w:rPr>
      </w:pPr>
    </w:p>
    <w:p w:rsidR="00F03A38" w:rsidRPr="0037199C" w:rsidRDefault="000F03E3" w:rsidP="00F03A38">
      <w:pPr>
        <w:jc w:val="center"/>
        <w:rPr>
          <w:rFonts w:ascii="Arial" w:hAnsi="Arial" w:cs="Arial"/>
          <w:b/>
          <w:bCs/>
          <w:sz w:val="24"/>
          <w:szCs w:val="24"/>
        </w:rPr>
      </w:pPr>
      <w:r w:rsidRPr="00182EFD">
        <w:rPr>
          <w:rFonts w:ascii="Arial" w:hAnsi="Arial" w:cs="Arial"/>
          <w:b/>
          <w:bCs/>
          <w:sz w:val="24"/>
          <w:szCs w:val="24"/>
        </w:rPr>
        <w:t>K</w:t>
      </w:r>
      <w:r w:rsidR="006B7548" w:rsidRPr="00182EFD">
        <w:rPr>
          <w:rFonts w:ascii="Arial" w:hAnsi="Arial" w:cs="Arial"/>
          <w:b/>
          <w:bCs/>
          <w:sz w:val="24"/>
          <w:szCs w:val="24"/>
        </w:rPr>
        <w:t xml:space="preserve">ingfisher </w:t>
      </w:r>
      <w:r w:rsidR="00DB462A" w:rsidRPr="00182EFD">
        <w:rPr>
          <w:rFonts w:ascii="Arial" w:hAnsi="Arial" w:cs="Arial"/>
          <w:b/>
          <w:bCs/>
          <w:sz w:val="24"/>
          <w:szCs w:val="24"/>
        </w:rPr>
        <w:t xml:space="preserve">reports </w:t>
      </w:r>
      <w:r w:rsidR="006B7548" w:rsidRPr="00182EFD">
        <w:rPr>
          <w:rFonts w:ascii="Arial" w:hAnsi="Arial" w:cs="Arial"/>
          <w:b/>
          <w:bCs/>
          <w:sz w:val="24"/>
          <w:szCs w:val="24"/>
        </w:rPr>
        <w:t xml:space="preserve">half year sales </w:t>
      </w:r>
      <w:r w:rsidR="00E75700" w:rsidRPr="00182EFD">
        <w:rPr>
          <w:rFonts w:ascii="Arial" w:hAnsi="Arial" w:cs="Arial"/>
          <w:b/>
          <w:bCs/>
          <w:sz w:val="24"/>
          <w:szCs w:val="24"/>
        </w:rPr>
        <w:t>up 4</w:t>
      </w:r>
      <w:r w:rsidR="006B7548" w:rsidRPr="00182EFD">
        <w:rPr>
          <w:rFonts w:ascii="Arial" w:hAnsi="Arial" w:cs="Arial"/>
          <w:b/>
          <w:bCs/>
          <w:sz w:val="24"/>
          <w:szCs w:val="24"/>
        </w:rPr>
        <w:t>.3</w:t>
      </w:r>
      <w:r w:rsidRPr="00182EFD">
        <w:rPr>
          <w:rFonts w:ascii="Arial" w:hAnsi="Arial" w:cs="Arial"/>
          <w:b/>
          <w:bCs/>
          <w:sz w:val="24"/>
          <w:szCs w:val="24"/>
        </w:rPr>
        <w:t xml:space="preserve">%, </w:t>
      </w:r>
      <w:r w:rsidR="00DB462A" w:rsidRPr="00182EFD">
        <w:rPr>
          <w:rFonts w:ascii="Arial" w:hAnsi="Arial" w:cs="Arial"/>
          <w:b/>
          <w:bCs/>
          <w:sz w:val="24"/>
          <w:szCs w:val="24"/>
        </w:rPr>
        <w:t>up 1</w:t>
      </w:r>
      <w:r w:rsidR="00E75700" w:rsidRPr="00182EFD">
        <w:rPr>
          <w:rFonts w:ascii="Arial" w:hAnsi="Arial" w:cs="Arial"/>
          <w:b/>
          <w:bCs/>
          <w:sz w:val="24"/>
          <w:szCs w:val="24"/>
        </w:rPr>
        <w:t>.5</w:t>
      </w:r>
      <w:r w:rsidR="00DB462A" w:rsidRPr="00182EFD">
        <w:rPr>
          <w:rFonts w:ascii="Arial" w:hAnsi="Arial" w:cs="Arial"/>
          <w:b/>
          <w:bCs/>
          <w:sz w:val="24"/>
          <w:szCs w:val="24"/>
        </w:rPr>
        <w:t>%</w:t>
      </w:r>
      <w:r w:rsidR="00F03A38">
        <w:rPr>
          <w:rFonts w:ascii="Arial" w:hAnsi="Arial" w:cs="Arial"/>
          <w:b/>
          <w:bCs/>
          <w:sz w:val="24"/>
          <w:szCs w:val="24"/>
        </w:rPr>
        <w:t xml:space="preserve"> (-0.8% LFL)</w:t>
      </w:r>
      <w:r w:rsidR="00DB462A" w:rsidRPr="00182EFD">
        <w:rPr>
          <w:rFonts w:ascii="Arial" w:hAnsi="Arial" w:cs="Arial"/>
          <w:b/>
          <w:bCs/>
          <w:sz w:val="24"/>
          <w:szCs w:val="24"/>
        </w:rPr>
        <w:t xml:space="preserve"> in constant currencies, </w:t>
      </w:r>
      <w:r w:rsidRPr="00182EFD">
        <w:rPr>
          <w:rFonts w:ascii="Arial" w:hAnsi="Arial" w:cs="Arial"/>
          <w:b/>
          <w:bCs/>
          <w:sz w:val="24"/>
          <w:szCs w:val="24"/>
        </w:rPr>
        <w:t xml:space="preserve">adjusted pre-tax profits </w:t>
      </w:r>
      <w:r w:rsidR="0005796C" w:rsidRPr="00182EFD">
        <w:rPr>
          <w:rFonts w:ascii="Arial" w:hAnsi="Arial" w:cs="Arial"/>
          <w:b/>
          <w:bCs/>
          <w:sz w:val="24"/>
          <w:szCs w:val="24"/>
        </w:rPr>
        <w:t>down</w:t>
      </w:r>
      <w:r w:rsidRPr="00182EFD">
        <w:rPr>
          <w:rFonts w:ascii="Arial" w:hAnsi="Arial" w:cs="Arial"/>
          <w:b/>
          <w:bCs/>
          <w:sz w:val="24"/>
          <w:szCs w:val="24"/>
        </w:rPr>
        <w:t xml:space="preserve"> </w:t>
      </w:r>
      <w:r w:rsidR="00D46523">
        <w:rPr>
          <w:rFonts w:ascii="Arial" w:hAnsi="Arial" w:cs="Arial"/>
          <w:b/>
          <w:bCs/>
          <w:sz w:val="24"/>
          <w:szCs w:val="24"/>
        </w:rPr>
        <w:t>1.6</w:t>
      </w:r>
      <w:r w:rsidRPr="00182EFD">
        <w:rPr>
          <w:rFonts w:ascii="Arial" w:hAnsi="Arial" w:cs="Arial"/>
          <w:b/>
          <w:bCs/>
          <w:sz w:val="24"/>
          <w:szCs w:val="24"/>
        </w:rPr>
        <w:t>% to £</w:t>
      </w:r>
      <w:r w:rsidR="00A43059">
        <w:rPr>
          <w:rFonts w:ascii="Arial" w:hAnsi="Arial" w:cs="Arial"/>
          <w:b/>
          <w:bCs/>
          <w:sz w:val="24"/>
          <w:szCs w:val="24"/>
        </w:rPr>
        <w:t>365</w:t>
      </w:r>
      <w:r w:rsidRPr="00182EFD">
        <w:rPr>
          <w:rFonts w:ascii="Arial" w:hAnsi="Arial" w:cs="Arial"/>
          <w:b/>
          <w:bCs/>
          <w:sz w:val="24"/>
          <w:szCs w:val="24"/>
        </w:rPr>
        <w:t xml:space="preserve"> million</w:t>
      </w:r>
      <w:r w:rsidR="00D46523">
        <w:rPr>
          <w:rFonts w:ascii="Arial" w:hAnsi="Arial" w:cs="Arial"/>
          <w:b/>
          <w:bCs/>
          <w:sz w:val="24"/>
          <w:szCs w:val="24"/>
        </w:rPr>
        <w:t xml:space="preserve">. Statutory </w:t>
      </w:r>
      <w:r w:rsidR="00A93E47">
        <w:rPr>
          <w:rFonts w:ascii="Arial" w:hAnsi="Arial" w:cs="Arial"/>
          <w:b/>
          <w:bCs/>
          <w:sz w:val="24"/>
          <w:szCs w:val="24"/>
        </w:rPr>
        <w:t xml:space="preserve">post-tax </w:t>
      </w:r>
      <w:r w:rsidR="00D46523">
        <w:rPr>
          <w:rFonts w:ascii="Arial" w:hAnsi="Arial" w:cs="Arial"/>
          <w:b/>
          <w:bCs/>
          <w:sz w:val="24"/>
          <w:szCs w:val="24"/>
        </w:rPr>
        <w:t>profit</w:t>
      </w:r>
      <w:r w:rsidR="00177F6F">
        <w:rPr>
          <w:rFonts w:ascii="Arial" w:hAnsi="Arial" w:cs="Arial"/>
          <w:b/>
          <w:bCs/>
          <w:sz w:val="24"/>
          <w:szCs w:val="24"/>
        </w:rPr>
        <w:t xml:space="preserve"> </w:t>
      </w:r>
      <w:r w:rsidR="00D46523">
        <w:rPr>
          <w:rFonts w:ascii="Arial" w:hAnsi="Arial" w:cs="Arial"/>
          <w:b/>
          <w:bCs/>
          <w:sz w:val="24"/>
          <w:szCs w:val="24"/>
        </w:rPr>
        <w:t xml:space="preserve">up 69.9% including the £145 </w:t>
      </w:r>
      <w:r w:rsidR="00F03A38">
        <w:rPr>
          <w:rFonts w:ascii="Arial" w:hAnsi="Arial" w:cs="Arial"/>
          <w:b/>
          <w:bCs/>
          <w:sz w:val="24"/>
          <w:szCs w:val="24"/>
        </w:rPr>
        <w:t>million exceptional</w:t>
      </w:r>
      <w:r w:rsidR="00160134">
        <w:rPr>
          <w:rFonts w:ascii="Arial" w:hAnsi="Arial" w:cs="Arial"/>
          <w:b/>
          <w:bCs/>
          <w:sz w:val="24"/>
          <w:szCs w:val="24"/>
        </w:rPr>
        <w:t xml:space="preserve"> </w:t>
      </w:r>
      <w:r w:rsidR="007F67F8">
        <w:rPr>
          <w:rFonts w:ascii="Arial" w:hAnsi="Arial" w:cs="Arial"/>
          <w:b/>
          <w:bCs/>
          <w:sz w:val="24"/>
          <w:szCs w:val="24"/>
        </w:rPr>
        <w:t>credit</w:t>
      </w:r>
      <w:r w:rsidR="00160134">
        <w:rPr>
          <w:rFonts w:ascii="Arial" w:hAnsi="Arial" w:cs="Arial"/>
          <w:b/>
          <w:bCs/>
          <w:sz w:val="24"/>
          <w:szCs w:val="24"/>
        </w:rPr>
        <w:t xml:space="preserve"> from</w:t>
      </w:r>
      <w:r w:rsidR="00F03A38">
        <w:rPr>
          <w:rFonts w:ascii="Arial" w:hAnsi="Arial" w:cs="Arial"/>
          <w:b/>
          <w:bCs/>
          <w:sz w:val="24"/>
          <w:szCs w:val="24"/>
        </w:rPr>
        <w:t xml:space="preserve"> resolution of French tax case</w:t>
      </w:r>
    </w:p>
    <w:p w:rsidR="000F03E3" w:rsidRPr="00182EFD" w:rsidRDefault="000F03E3" w:rsidP="000F03E3">
      <w:pPr>
        <w:jc w:val="left"/>
        <w:rPr>
          <w:rFonts w:ascii="Arial" w:hAnsi="Arial" w:cs="Arial"/>
          <w:b/>
          <w:bCs/>
          <w:sz w:val="24"/>
          <w:szCs w:val="24"/>
          <w:highlight w:val="yellow"/>
        </w:rPr>
      </w:pPr>
    </w:p>
    <w:p w:rsidR="006B4A1A" w:rsidRPr="00182EFD" w:rsidRDefault="006B4A1A" w:rsidP="006B4A1A">
      <w:pPr>
        <w:jc w:val="left"/>
        <w:rPr>
          <w:rFonts w:ascii="Arial" w:hAnsi="Arial" w:cs="Arial"/>
          <w:b/>
          <w:bCs/>
          <w:sz w:val="24"/>
          <w:szCs w:val="24"/>
          <w:u w:val="single"/>
        </w:rPr>
      </w:pPr>
      <w:r w:rsidRPr="00182EFD">
        <w:rPr>
          <w:rFonts w:ascii="Arial" w:hAnsi="Arial" w:cs="Arial"/>
          <w:b/>
          <w:bCs/>
          <w:sz w:val="24"/>
          <w:szCs w:val="24"/>
          <w:u w:val="single"/>
        </w:rPr>
        <w:t>Group Financial Summary</w:t>
      </w:r>
    </w:p>
    <w:tbl>
      <w:tblPr>
        <w:tblW w:w="5094" w:type="pct"/>
        <w:tblInd w:w="-106" w:type="dxa"/>
        <w:tblLayout w:type="fixed"/>
        <w:tblLook w:val="01E0" w:firstRow="1" w:lastRow="1" w:firstColumn="1" w:lastColumn="1" w:noHBand="0" w:noVBand="0"/>
      </w:tblPr>
      <w:tblGrid>
        <w:gridCol w:w="3333"/>
        <w:gridCol w:w="1418"/>
        <w:gridCol w:w="1417"/>
        <w:gridCol w:w="1276"/>
        <w:gridCol w:w="1276"/>
        <w:gridCol w:w="1322"/>
      </w:tblGrid>
      <w:tr w:rsidR="00182EFD" w:rsidRPr="00182EFD" w:rsidTr="00182EFD">
        <w:trPr>
          <w:trHeight w:val="670"/>
        </w:trPr>
        <w:tc>
          <w:tcPr>
            <w:tcW w:w="3333" w:type="dxa"/>
            <w:tcBorders>
              <w:bottom w:val="single" w:sz="4" w:space="0" w:color="auto"/>
            </w:tcBorders>
          </w:tcPr>
          <w:p w:rsidR="00182EFD" w:rsidRDefault="00182EFD" w:rsidP="00182EFD">
            <w:pPr>
              <w:jc w:val="left"/>
              <w:rPr>
                <w:rFonts w:ascii="Arial" w:hAnsi="Arial" w:cs="Arial"/>
                <w:b/>
                <w:bCs/>
                <w:sz w:val="20"/>
                <w:szCs w:val="20"/>
              </w:rPr>
            </w:pPr>
          </w:p>
          <w:p w:rsidR="006B4A1A" w:rsidRPr="00FA5AC4" w:rsidRDefault="00182EFD" w:rsidP="00182EFD">
            <w:pPr>
              <w:jc w:val="left"/>
              <w:rPr>
                <w:rFonts w:ascii="Arial" w:hAnsi="Arial" w:cs="Arial"/>
                <w:b/>
                <w:bCs/>
                <w:sz w:val="24"/>
                <w:szCs w:val="24"/>
                <w:highlight w:val="yellow"/>
              </w:rPr>
            </w:pPr>
            <w:r w:rsidRPr="00FA5AC4">
              <w:rPr>
                <w:rFonts w:ascii="Arial" w:hAnsi="Arial" w:cs="Arial"/>
                <w:b/>
                <w:bCs/>
                <w:sz w:val="24"/>
                <w:szCs w:val="24"/>
              </w:rPr>
              <w:t>26 weeks ended 3 August 2013</w:t>
            </w:r>
          </w:p>
        </w:tc>
        <w:tc>
          <w:tcPr>
            <w:tcW w:w="1418" w:type="dxa"/>
            <w:tcBorders>
              <w:bottom w:val="single" w:sz="4" w:space="0" w:color="auto"/>
            </w:tcBorders>
          </w:tcPr>
          <w:p w:rsidR="006B4A1A" w:rsidRPr="00182EFD" w:rsidRDefault="006B4A1A" w:rsidP="00F843DA">
            <w:pPr>
              <w:jc w:val="right"/>
              <w:rPr>
                <w:rFonts w:ascii="Arial" w:hAnsi="Arial" w:cs="Arial"/>
                <w:b/>
                <w:bCs/>
                <w:sz w:val="24"/>
                <w:szCs w:val="24"/>
                <w:highlight w:val="yellow"/>
              </w:rPr>
            </w:pPr>
          </w:p>
        </w:tc>
        <w:tc>
          <w:tcPr>
            <w:tcW w:w="1417" w:type="dxa"/>
            <w:tcBorders>
              <w:bottom w:val="single" w:sz="4" w:space="0" w:color="auto"/>
            </w:tcBorders>
          </w:tcPr>
          <w:p w:rsidR="006B4A1A" w:rsidRPr="00182EFD" w:rsidRDefault="006B4A1A" w:rsidP="00F843DA">
            <w:pPr>
              <w:jc w:val="right"/>
              <w:rPr>
                <w:rFonts w:ascii="Arial" w:hAnsi="Arial" w:cs="Arial"/>
                <w:b/>
                <w:bCs/>
                <w:sz w:val="24"/>
                <w:szCs w:val="24"/>
                <w:highlight w:val="yellow"/>
              </w:rPr>
            </w:pPr>
          </w:p>
        </w:tc>
        <w:tc>
          <w:tcPr>
            <w:tcW w:w="1276" w:type="dxa"/>
            <w:tcBorders>
              <w:bottom w:val="single" w:sz="4" w:space="0" w:color="auto"/>
            </w:tcBorders>
          </w:tcPr>
          <w:p w:rsidR="006B4A1A" w:rsidRPr="00182EFD" w:rsidRDefault="006B4A1A" w:rsidP="00F843DA">
            <w:pPr>
              <w:jc w:val="right"/>
              <w:rPr>
                <w:rFonts w:ascii="Arial" w:hAnsi="Arial" w:cs="Arial"/>
                <w:b/>
                <w:bCs/>
                <w:sz w:val="24"/>
                <w:szCs w:val="24"/>
              </w:rPr>
            </w:pPr>
            <w:r w:rsidRPr="00182EFD">
              <w:rPr>
                <w:rFonts w:ascii="Arial" w:hAnsi="Arial" w:cs="Arial"/>
                <w:b/>
                <w:bCs/>
                <w:sz w:val="24"/>
                <w:szCs w:val="24"/>
              </w:rPr>
              <w:t xml:space="preserve">% Total </w:t>
            </w:r>
          </w:p>
          <w:p w:rsidR="006B4A1A" w:rsidRPr="00182EFD" w:rsidRDefault="006B4A1A" w:rsidP="00F843DA">
            <w:pPr>
              <w:jc w:val="right"/>
              <w:rPr>
                <w:rFonts w:ascii="Arial" w:hAnsi="Arial" w:cs="Arial"/>
                <w:b/>
                <w:bCs/>
                <w:sz w:val="24"/>
                <w:szCs w:val="24"/>
                <w:lang w:eastAsia="en-US"/>
              </w:rPr>
            </w:pPr>
            <w:r w:rsidRPr="00182EFD">
              <w:rPr>
                <w:rFonts w:ascii="Arial" w:hAnsi="Arial" w:cs="Arial"/>
                <w:b/>
                <w:bCs/>
                <w:sz w:val="24"/>
                <w:szCs w:val="24"/>
              </w:rPr>
              <w:t xml:space="preserve">Change </w:t>
            </w:r>
          </w:p>
        </w:tc>
        <w:tc>
          <w:tcPr>
            <w:tcW w:w="1276" w:type="dxa"/>
            <w:tcBorders>
              <w:bottom w:val="single" w:sz="4" w:space="0" w:color="auto"/>
            </w:tcBorders>
          </w:tcPr>
          <w:p w:rsidR="006B4A1A" w:rsidRPr="00182EFD" w:rsidRDefault="006B4A1A" w:rsidP="00F843DA">
            <w:pPr>
              <w:ind w:left="-94" w:firstLine="94"/>
              <w:jc w:val="right"/>
              <w:rPr>
                <w:rFonts w:ascii="Arial" w:hAnsi="Arial" w:cs="Arial"/>
                <w:b/>
                <w:bCs/>
                <w:sz w:val="24"/>
                <w:szCs w:val="24"/>
              </w:rPr>
            </w:pPr>
            <w:r w:rsidRPr="00182EFD">
              <w:rPr>
                <w:rFonts w:ascii="Arial" w:hAnsi="Arial" w:cs="Arial"/>
                <w:b/>
                <w:bCs/>
                <w:sz w:val="24"/>
                <w:szCs w:val="24"/>
              </w:rPr>
              <w:t xml:space="preserve">% Total Change </w:t>
            </w:r>
          </w:p>
        </w:tc>
        <w:tc>
          <w:tcPr>
            <w:tcW w:w="1322" w:type="dxa"/>
            <w:tcBorders>
              <w:bottom w:val="single" w:sz="4" w:space="0" w:color="auto"/>
            </w:tcBorders>
          </w:tcPr>
          <w:p w:rsidR="006B4A1A" w:rsidRPr="00182EFD" w:rsidRDefault="006B4A1A" w:rsidP="00F843DA">
            <w:pPr>
              <w:jc w:val="right"/>
              <w:rPr>
                <w:rFonts w:ascii="Arial" w:hAnsi="Arial" w:cs="Arial"/>
                <w:b/>
                <w:bCs/>
                <w:sz w:val="24"/>
                <w:szCs w:val="24"/>
              </w:rPr>
            </w:pPr>
            <w:r w:rsidRPr="00182EFD">
              <w:rPr>
                <w:rFonts w:ascii="Arial" w:hAnsi="Arial" w:cs="Arial"/>
                <w:b/>
                <w:bCs/>
                <w:sz w:val="24"/>
                <w:szCs w:val="24"/>
              </w:rPr>
              <w:t>% LFL Change</w:t>
            </w:r>
          </w:p>
        </w:tc>
      </w:tr>
      <w:tr w:rsidR="00182EFD" w:rsidRPr="00182EFD" w:rsidTr="00182EFD">
        <w:trPr>
          <w:trHeight w:val="674"/>
        </w:trPr>
        <w:tc>
          <w:tcPr>
            <w:tcW w:w="3333" w:type="dxa"/>
            <w:tcBorders>
              <w:bottom w:val="single" w:sz="4" w:space="0" w:color="auto"/>
            </w:tcBorders>
          </w:tcPr>
          <w:p w:rsidR="006B4A1A" w:rsidRPr="00182EFD" w:rsidRDefault="006B4A1A" w:rsidP="00F843DA">
            <w:pPr>
              <w:jc w:val="left"/>
              <w:rPr>
                <w:rFonts w:ascii="Arial" w:hAnsi="Arial" w:cs="Arial"/>
                <w:b/>
                <w:bCs/>
                <w:sz w:val="24"/>
                <w:szCs w:val="24"/>
                <w:u w:val="single"/>
              </w:rPr>
            </w:pPr>
          </w:p>
        </w:tc>
        <w:tc>
          <w:tcPr>
            <w:tcW w:w="1418" w:type="dxa"/>
            <w:tcBorders>
              <w:bottom w:val="single" w:sz="4" w:space="0" w:color="auto"/>
            </w:tcBorders>
          </w:tcPr>
          <w:p w:rsidR="006B4A1A" w:rsidRPr="00182EFD" w:rsidRDefault="006B4A1A" w:rsidP="00F843DA">
            <w:pPr>
              <w:jc w:val="right"/>
              <w:rPr>
                <w:rFonts w:ascii="Arial" w:hAnsi="Arial" w:cs="Arial"/>
                <w:b/>
                <w:bCs/>
                <w:sz w:val="24"/>
                <w:szCs w:val="24"/>
              </w:rPr>
            </w:pPr>
            <w:r w:rsidRPr="00182EFD">
              <w:rPr>
                <w:rFonts w:ascii="Arial" w:hAnsi="Arial" w:cs="Arial"/>
                <w:b/>
                <w:bCs/>
                <w:sz w:val="24"/>
                <w:szCs w:val="24"/>
              </w:rPr>
              <w:t>201</w:t>
            </w:r>
            <w:r w:rsidR="00F843DA" w:rsidRPr="00182EFD">
              <w:rPr>
                <w:rFonts w:ascii="Arial" w:hAnsi="Arial" w:cs="Arial"/>
                <w:b/>
                <w:bCs/>
                <w:sz w:val="24"/>
                <w:szCs w:val="24"/>
              </w:rPr>
              <w:t>3</w:t>
            </w:r>
            <w:r w:rsidRPr="00182EFD">
              <w:rPr>
                <w:rFonts w:ascii="Arial" w:hAnsi="Arial" w:cs="Arial"/>
                <w:b/>
                <w:bCs/>
                <w:sz w:val="24"/>
                <w:szCs w:val="24"/>
              </w:rPr>
              <w:t>/1</w:t>
            </w:r>
            <w:r w:rsidR="00F843DA" w:rsidRPr="00182EFD">
              <w:rPr>
                <w:rFonts w:ascii="Arial" w:hAnsi="Arial" w:cs="Arial"/>
                <w:b/>
                <w:bCs/>
                <w:sz w:val="24"/>
                <w:szCs w:val="24"/>
              </w:rPr>
              <w:t>4</w:t>
            </w:r>
          </w:p>
        </w:tc>
        <w:tc>
          <w:tcPr>
            <w:tcW w:w="1417" w:type="dxa"/>
            <w:tcBorders>
              <w:bottom w:val="single" w:sz="4" w:space="0" w:color="auto"/>
            </w:tcBorders>
          </w:tcPr>
          <w:p w:rsidR="006B4A1A" w:rsidRPr="00182EFD" w:rsidRDefault="00F843DA" w:rsidP="00F843DA">
            <w:pPr>
              <w:jc w:val="right"/>
              <w:rPr>
                <w:rFonts w:ascii="Arial" w:hAnsi="Arial" w:cs="Arial"/>
                <w:b/>
                <w:bCs/>
                <w:sz w:val="24"/>
                <w:szCs w:val="24"/>
              </w:rPr>
            </w:pPr>
            <w:r w:rsidRPr="00182EFD">
              <w:rPr>
                <w:rFonts w:ascii="Arial" w:hAnsi="Arial" w:cs="Arial"/>
                <w:b/>
                <w:bCs/>
                <w:sz w:val="24"/>
                <w:szCs w:val="24"/>
              </w:rPr>
              <w:t>2012/13</w:t>
            </w:r>
          </w:p>
        </w:tc>
        <w:tc>
          <w:tcPr>
            <w:tcW w:w="1276" w:type="dxa"/>
            <w:tcBorders>
              <w:bottom w:val="single" w:sz="4" w:space="0" w:color="auto"/>
            </w:tcBorders>
          </w:tcPr>
          <w:p w:rsidR="006B4A1A" w:rsidRPr="00182EFD" w:rsidRDefault="006B4A1A" w:rsidP="00F843DA">
            <w:pPr>
              <w:jc w:val="right"/>
              <w:rPr>
                <w:rFonts w:ascii="Arial" w:hAnsi="Arial" w:cs="Arial"/>
                <w:b/>
                <w:bCs/>
                <w:sz w:val="24"/>
                <w:szCs w:val="24"/>
              </w:rPr>
            </w:pPr>
            <w:r w:rsidRPr="00182EFD">
              <w:rPr>
                <w:rFonts w:ascii="Arial" w:hAnsi="Arial" w:cs="Arial"/>
                <w:b/>
                <w:bCs/>
                <w:sz w:val="24"/>
                <w:szCs w:val="24"/>
              </w:rPr>
              <w:t>Reported</w:t>
            </w:r>
          </w:p>
        </w:tc>
        <w:tc>
          <w:tcPr>
            <w:tcW w:w="1276" w:type="dxa"/>
            <w:tcBorders>
              <w:bottom w:val="single" w:sz="4" w:space="0" w:color="auto"/>
            </w:tcBorders>
          </w:tcPr>
          <w:p w:rsidR="006B4A1A" w:rsidRPr="00182EFD" w:rsidRDefault="006B4A1A" w:rsidP="00F843DA">
            <w:pPr>
              <w:ind w:left="-94" w:firstLine="94"/>
              <w:jc w:val="right"/>
              <w:rPr>
                <w:rFonts w:ascii="Arial" w:hAnsi="Arial" w:cs="Arial"/>
                <w:b/>
                <w:bCs/>
                <w:sz w:val="24"/>
                <w:szCs w:val="24"/>
              </w:rPr>
            </w:pPr>
            <w:r w:rsidRPr="00182EFD">
              <w:rPr>
                <w:rFonts w:ascii="Arial" w:hAnsi="Arial" w:cs="Arial"/>
                <w:b/>
                <w:bCs/>
                <w:sz w:val="24"/>
                <w:szCs w:val="24"/>
              </w:rPr>
              <w:t xml:space="preserve">Constant currency </w:t>
            </w:r>
          </w:p>
        </w:tc>
        <w:tc>
          <w:tcPr>
            <w:tcW w:w="1322" w:type="dxa"/>
            <w:tcBorders>
              <w:bottom w:val="single" w:sz="4" w:space="0" w:color="auto"/>
            </w:tcBorders>
          </w:tcPr>
          <w:p w:rsidR="006B4A1A" w:rsidRPr="00182EFD" w:rsidRDefault="006B4A1A" w:rsidP="00F843DA">
            <w:pPr>
              <w:jc w:val="right"/>
              <w:rPr>
                <w:rFonts w:ascii="Arial" w:hAnsi="Arial" w:cs="Arial"/>
                <w:b/>
                <w:bCs/>
                <w:sz w:val="24"/>
                <w:szCs w:val="24"/>
              </w:rPr>
            </w:pPr>
            <w:r w:rsidRPr="00182EFD">
              <w:rPr>
                <w:rFonts w:ascii="Arial" w:hAnsi="Arial" w:cs="Arial"/>
                <w:b/>
                <w:bCs/>
                <w:sz w:val="24"/>
                <w:szCs w:val="24"/>
              </w:rPr>
              <w:t>Constant currency</w:t>
            </w:r>
          </w:p>
        </w:tc>
      </w:tr>
      <w:tr w:rsidR="006B4A1A" w:rsidRPr="00C4481A" w:rsidTr="0037199C">
        <w:tc>
          <w:tcPr>
            <w:tcW w:w="3333" w:type="dxa"/>
            <w:tcBorders>
              <w:top w:val="single" w:sz="4" w:space="0" w:color="auto"/>
            </w:tcBorders>
          </w:tcPr>
          <w:p w:rsidR="006B4A1A" w:rsidRPr="00C4481A" w:rsidRDefault="006B4A1A" w:rsidP="00F843DA">
            <w:pPr>
              <w:jc w:val="left"/>
              <w:rPr>
                <w:rFonts w:ascii="Arial" w:hAnsi="Arial" w:cs="Arial"/>
                <w:sz w:val="24"/>
                <w:szCs w:val="24"/>
              </w:rPr>
            </w:pPr>
            <w:r w:rsidRPr="00C4481A">
              <w:rPr>
                <w:rFonts w:ascii="Arial" w:hAnsi="Arial" w:cs="Arial"/>
                <w:sz w:val="24"/>
                <w:szCs w:val="24"/>
              </w:rPr>
              <w:t>Sales</w:t>
            </w:r>
            <w:r w:rsidRPr="00EC015F">
              <w:rPr>
                <w:rFonts w:ascii="Arial" w:hAnsi="Arial" w:cs="Arial"/>
                <w:i/>
                <w:sz w:val="24"/>
                <w:szCs w:val="24"/>
                <w:vertAlign w:val="superscript"/>
              </w:rPr>
              <w:t xml:space="preserve"> (</w:t>
            </w:r>
            <w:r w:rsidR="00F843DA">
              <w:rPr>
                <w:rFonts w:ascii="Arial" w:hAnsi="Arial" w:cs="Arial"/>
                <w:i/>
                <w:sz w:val="24"/>
                <w:szCs w:val="24"/>
                <w:vertAlign w:val="superscript"/>
              </w:rPr>
              <w:t>1</w:t>
            </w:r>
            <w:r w:rsidRPr="00EC015F">
              <w:rPr>
                <w:rFonts w:ascii="Arial" w:hAnsi="Arial" w:cs="Arial"/>
                <w:i/>
                <w:sz w:val="24"/>
                <w:szCs w:val="24"/>
                <w:vertAlign w:val="superscript"/>
              </w:rPr>
              <w:t>)</w:t>
            </w:r>
          </w:p>
        </w:tc>
        <w:tc>
          <w:tcPr>
            <w:tcW w:w="1418" w:type="dxa"/>
            <w:tcBorders>
              <w:top w:val="single" w:sz="4" w:space="0" w:color="auto"/>
            </w:tcBorders>
          </w:tcPr>
          <w:p w:rsidR="006B4A1A" w:rsidRPr="007D220F" w:rsidRDefault="006B4A1A" w:rsidP="00F843DA">
            <w:pPr>
              <w:jc w:val="right"/>
              <w:rPr>
                <w:rFonts w:ascii="Arial" w:hAnsi="Arial" w:cs="Arial"/>
                <w:sz w:val="24"/>
                <w:szCs w:val="24"/>
                <w:highlight w:val="magenta"/>
              </w:rPr>
            </w:pPr>
            <w:r>
              <w:rPr>
                <w:rFonts w:ascii="Arial" w:hAnsi="Arial" w:cs="Arial"/>
                <w:sz w:val="24"/>
                <w:szCs w:val="24"/>
              </w:rPr>
              <w:t>£</w:t>
            </w:r>
            <w:r w:rsidR="00402F90">
              <w:rPr>
                <w:rFonts w:ascii="Arial" w:hAnsi="Arial" w:cs="Arial"/>
                <w:sz w:val="24"/>
                <w:szCs w:val="24"/>
              </w:rPr>
              <w:t>5,716</w:t>
            </w:r>
            <w:r>
              <w:rPr>
                <w:rFonts w:ascii="Arial" w:hAnsi="Arial" w:cs="Arial"/>
                <w:sz w:val="24"/>
                <w:szCs w:val="24"/>
              </w:rPr>
              <w:t>m</w:t>
            </w:r>
          </w:p>
        </w:tc>
        <w:tc>
          <w:tcPr>
            <w:tcW w:w="1417" w:type="dxa"/>
            <w:tcBorders>
              <w:top w:val="single" w:sz="4" w:space="0" w:color="auto"/>
            </w:tcBorders>
          </w:tcPr>
          <w:p w:rsidR="006B4A1A" w:rsidRPr="00C4481A" w:rsidRDefault="00267ED4" w:rsidP="00F843DA">
            <w:pPr>
              <w:jc w:val="right"/>
              <w:rPr>
                <w:rFonts w:ascii="Arial" w:hAnsi="Arial" w:cs="Arial"/>
                <w:sz w:val="24"/>
                <w:szCs w:val="24"/>
              </w:rPr>
            </w:pPr>
            <w:r>
              <w:rPr>
                <w:rFonts w:ascii="Arial" w:hAnsi="Arial" w:cs="Arial"/>
                <w:sz w:val="24"/>
                <w:szCs w:val="24"/>
              </w:rPr>
              <w:t>£5,478</w:t>
            </w:r>
            <w:r w:rsidR="006B4A1A">
              <w:rPr>
                <w:rFonts w:ascii="Arial" w:hAnsi="Arial" w:cs="Arial"/>
                <w:sz w:val="24"/>
                <w:szCs w:val="24"/>
              </w:rPr>
              <w:t>m</w:t>
            </w:r>
          </w:p>
        </w:tc>
        <w:tc>
          <w:tcPr>
            <w:tcW w:w="1276" w:type="dxa"/>
            <w:tcBorders>
              <w:top w:val="single" w:sz="4" w:space="0" w:color="auto"/>
            </w:tcBorders>
          </w:tcPr>
          <w:p w:rsidR="006B4A1A" w:rsidRPr="007D220F" w:rsidRDefault="0065249C" w:rsidP="00F843DA">
            <w:pPr>
              <w:jc w:val="right"/>
              <w:rPr>
                <w:rFonts w:ascii="Arial" w:hAnsi="Arial" w:cs="Arial"/>
                <w:sz w:val="24"/>
                <w:szCs w:val="24"/>
                <w:highlight w:val="magenta"/>
              </w:rPr>
            </w:pPr>
            <w:r>
              <w:rPr>
                <w:rFonts w:ascii="Arial" w:hAnsi="Arial" w:cs="Arial"/>
                <w:sz w:val="24"/>
                <w:szCs w:val="24"/>
              </w:rPr>
              <w:t>+</w:t>
            </w:r>
            <w:r w:rsidR="00402F90">
              <w:rPr>
                <w:rFonts w:ascii="Arial" w:hAnsi="Arial" w:cs="Arial"/>
                <w:sz w:val="24"/>
                <w:szCs w:val="24"/>
              </w:rPr>
              <w:t>4.3</w:t>
            </w:r>
            <w:r w:rsidR="006B4A1A">
              <w:rPr>
                <w:rFonts w:ascii="Arial" w:hAnsi="Arial" w:cs="Arial"/>
                <w:sz w:val="24"/>
                <w:szCs w:val="24"/>
              </w:rPr>
              <w:t>%</w:t>
            </w:r>
          </w:p>
        </w:tc>
        <w:tc>
          <w:tcPr>
            <w:tcW w:w="1276" w:type="dxa"/>
            <w:tcBorders>
              <w:top w:val="single" w:sz="4" w:space="0" w:color="auto"/>
            </w:tcBorders>
          </w:tcPr>
          <w:p w:rsidR="006B4A1A" w:rsidRPr="007D220F" w:rsidRDefault="0065249C" w:rsidP="00F843DA">
            <w:pPr>
              <w:jc w:val="right"/>
              <w:rPr>
                <w:rFonts w:ascii="Arial" w:hAnsi="Arial" w:cs="Arial"/>
                <w:sz w:val="24"/>
                <w:szCs w:val="24"/>
                <w:highlight w:val="magenta"/>
              </w:rPr>
            </w:pPr>
            <w:r>
              <w:rPr>
                <w:rFonts w:ascii="Arial" w:hAnsi="Arial" w:cs="Arial"/>
                <w:sz w:val="24"/>
                <w:szCs w:val="24"/>
              </w:rPr>
              <w:t>+</w:t>
            </w:r>
            <w:r w:rsidR="00402F90">
              <w:rPr>
                <w:rFonts w:ascii="Arial" w:hAnsi="Arial" w:cs="Arial"/>
                <w:sz w:val="24"/>
                <w:szCs w:val="24"/>
              </w:rPr>
              <w:t>1.5</w:t>
            </w:r>
            <w:r w:rsidR="006B4A1A">
              <w:rPr>
                <w:rFonts w:ascii="Arial" w:hAnsi="Arial" w:cs="Arial"/>
                <w:sz w:val="24"/>
                <w:szCs w:val="24"/>
              </w:rPr>
              <w:t>%</w:t>
            </w:r>
          </w:p>
        </w:tc>
        <w:tc>
          <w:tcPr>
            <w:tcW w:w="1322" w:type="dxa"/>
            <w:tcBorders>
              <w:top w:val="single" w:sz="4" w:space="0" w:color="auto"/>
            </w:tcBorders>
          </w:tcPr>
          <w:p w:rsidR="006B4A1A" w:rsidRPr="007D220F" w:rsidRDefault="00A43059" w:rsidP="00F843DA">
            <w:pPr>
              <w:jc w:val="right"/>
              <w:rPr>
                <w:rFonts w:ascii="Arial" w:hAnsi="Arial" w:cs="Arial"/>
                <w:sz w:val="24"/>
                <w:szCs w:val="24"/>
                <w:highlight w:val="yellow"/>
              </w:rPr>
            </w:pPr>
            <w:r>
              <w:rPr>
                <w:rFonts w:ascii="Arial" w:hAnsi="Arial" w:cs="Arial"/>
                <w:sz w:val="24"/>
                <w:szCs w:val="24"/>
              </w:rPr>
              <w:t>(0.8</w:t>
            </w:r>
            <w:r w:rsidR="00402F90">
              <w:rPr>
                <w:rFonts w:ascii="Arial" w:hAnsi="Arial" w:cs="Arial"/>
                <w:sz w:val="24"/>
                <w:szCs w:val="24"/>
              </w:rPr>
              <w:t>)</w:t>
            </w:r>
            <w:r w:rsidR="006B4A1A">
              <w:rPr>
                <w:rFonts w:ascii="Arial" w:hAnsi="Arial" w:cs="Arial"/>
                <w:sz w:val="24"/>
                <w:szCs w:val="24"/>
              </w:rPr>
              <w:t>%</w:t>
            </w:r>
          </w:p>
        </w:tc>
      </w:tr>
      <w:tr w:rsidR="006B4A1A" w:rsidRPr="00C4481A" w:rsidTr="0037199C">
        <w:tc>
          <w:tcPr>
            <w:tcW w:w="3333" w:type="dxa"/>
          </w:tcPr>
          <w:p w:rsidR="006B4A1A" w:rsidRPr="00C4481A" w:rsidRDefault="006B4A1A" w:rsidP="00F843DA">
            <w:pPr>
              <w:jc w:val="left"/>
              <w:rPr>
                <w:rFonts w:ascii="Arial" w:hAnsi="Arial" w:cs="Arial"/>
                <w:sz w:val="24"/>
                <w:szCs w:val="24"/>
              </w:rPr>
            </w:pPr>
            <w:r w:rsidRPr="00C4481A">
              <w:rPr>
                <w:rFonts w:ascii="Arial" w:hAnsi="Arial" w:cs="Arial"/>
                <w:sz w:val="24"/>
                <w:szCs w:val="24"/>
              </w:rPr>
              <w:t>Retail profit</w:t>
            </w:r>
            <w:r w:rsidR="00F049B6" w:rsidRPr="00EC015F">
              <w:rPr>
                <w:rFonts w:ascii="Arial" w:hAnsi="Arial" w:cs="Arial"/>
                <w:i/>
                <w:sz w:val="24"/>
                <w:szCs w:val="24"/>
                <w:vertAlign w:val="superscript"/>
              </w:rPr>
              <w:t>(</w:t>
            </w:r>
            <w:r w:rsidR="00F049B6">
              <w:rPr>
                <w:rFonts w:ascii="Arial" w:hAnsi="Arial" w:cs="Arial"/>
                <w:i/>
                <w:sz w:val="24"/>
                <w:szCs w:val="24"/>
                <w:vertAlign w:val="superscript"/>
              </w:rPr>
              <w:t>2</w:t>
            </w:r>
            <w:r w:rsidR="00F049B6" w:rsidRPr="00EC015F">
              <w:rPr>
                <w:rFonts w:ascii="Arial" w:hAnsi="Arial" w:cs="Arial"/>
                <w:i/>
                <w:sz w:val="24"/>
                <w:szCs w:val="24"/>
                <w:vertAlign w:val="superscript"/>
              </w:rPr>
              <w:t xml:space="preserve">) </w:t>
            </w:r>
            <w:r w:rsidRPr="00EC015F">
              <w:rPr>
                <w:rFonts w:ascii="Arial" w:hAnsi="Arial" w:cs="Arial"/>
                <w:i/>
                <w:sz w:val="24"/>
                <w:szCs w:val="24"/>
                <w:vertAlign w:val="superscript"/>
              </w:rPr>
              <w:t>(</w:t>
            </w:r>
            <w:r w:rsidR="00F049B6">
              <w:rPr>
                <w:rFonts w:ascii="Arial" w:hAnsi="Arial" w:cs="Arial"/>
                <w:i/>
                <w:sz w:val="24"/>
                <w:szCs w:val="24"/>
                <w:vertAlign w:val="superscript"/>
              </w:rPr>
              <w:t>3</w:t>
            </w:r>
            <w:r w:rsidRPr="00EC015F">
              <w:rPr>
                <w:rFonts w:ascii="Arial" w:hAnsi="Arial" w:cs="Arial"/>
                <w:i/>
                <w:sz w:val="24"/>
                <w:szCs w:val="24"/>
                <w:vertAlign w:val="superscript"/>
              </w:rPr>
              <w:t>)</w:t>
            </w:r>
          </w:p>
        </w:tc>
        <w:tc>
          <w:tcPr>
            <w:tcW w:w="1418" w:type="dxa"/>
          </w:tcPr>
          <w:p w:rsidR="006B4A1A" w:rsidRPr="006374FD" w:rsidRDefault="006B4A1A" w:rsidP="00F843DA">
            <w:pPr>
              <w:jc w:val="right"/>
              <w:rPr>
                <w:rFonts w:ascii="Arial" w:hAnsi="Arial" w:cs="Arial"/>
                <w:sz w:val="24"/>
                <w:szCs w:val="24"/>
              </w:rPr>
            </w:pPr>
            <w:r>
              <w:rPr>
                <w:rFonts w:ascii="Arial" w:hAnsi="Arial" w:cs="Arial"/>
                <w:sz w:val="24"/>
                <w:szCs w:val="24"/>
              </w:rPr>
              <w:t>£</w:t>
            </w:r>
            <w:r w:rsidR="00A43059">
              <w:rPr>
                <w:rFonts w:ascii="Arial" w:hAnsi="Arial" w:cs="Arial"/>
                <w:sz w:val="24"/>
                <w:szCs w:val="24"/>
              </w:rPr>
              <w:t>394</w:t>
            </w:r>
            <w:r>
              <w:rPr>
                <w:rFonts w:ascii="Arial" w:hAnsi="Arial" w:cs="Arial"/>
                <w:sz w:val="24"/>
                <w:szCs w:val="24"/>
              </w:rPr>
              <w:t>m</w:t>
            </w:r>
          </w:p>
        </w:tc>
        <w:tc>
          <w:tcPr>
            <w:tcW w:w="1417" w:type="dxa"/>
          </w:tcPr>
          <w:p w:rsidR="006B4A1A" w:rsidRPr="006374FD" w:rsidRDefault="006B4A1A" w:rsidP="00F843DA">
            <w:pPr>
              <w:jc w:val="right"/>
              <w:rPr>
                <w:rFonts w:ascii="Arial" w:hAnsi="Arial" w:cs="Arial"/>
                <w:sz w:val="24"/>
                <w:szCs w:val="24"/>
              </w:rPr>
            </w:pPr>
            <w:r>
              <w:rPr>
                <w:rFonts w:ascii="Arial" w:hAnsi="Arial" w:cs="Arial"/>
                <w:sz w:val="24"/>
                <w:szCs w:val="24"/>
              </w:rPr>
              <w:t>£</w:t>
            </w:r>
            <w:r w:rsidR="009E6282">
              <w:rPr>
                <w:rFonts w:ascii="Arial" w:hAnsi="Arial" w:cs="Arial"/>
                <w:sz w:val="24"/>
                <w:szCs w:val="24"/>
              </w:rPr>
              <w:t>401</w:t>
            </w:r>
            <w:r>
              <w:rPr>
                <w:rFonts w:ascii="Arial" w:hAnsi="Arial" w:cs="Arial"/>
                <w:sz w:val="24"/>
                <w:szCs w:val="24"/>
              </w:rPr>
              <w:t>m</w:t>
            </w:r>
          </w:p>
        </w:tc>
        <w:tc>
          <w:tcPr>
            <w:tcW w:w="1276" w:type="dxa"/>
          </w:tcPr>
          <w:p w:rsidR="006B4A1A" w:rsidRPr="006374FD" w:rsidRDefault="00A43059" w:rsidP="00F843DA">
            <w:pPr>
              <w:jc w:val="right"/>
              <w:rPr>
                <w:rFonts w:ascii="Arial" w:hAnsi="Arial" w:cs="Arial"/>
                <w:sz w:val="24"/>
                <w:szCs w:val="24"/>
              </w:rPr>
            </w:pPr>
            <w:r>
              <w:rPr>
                <w:rFonts w:ascii="Arial" w:hAnsi="Arial" w:cs="Arial"/>
                <w:sz w:val="24"/>
                <w:szCs w:val="24"/>
              </w:rPr>
              <w:t>(1.8</w:t>
            </w:r>
            <w:r w:rsidR="00F01CE3">
              <w:rPr>
                <w:rFonts w:ascii="Arial" w:hAnsi="Arial" w:cs="Arial"/>
                <w:sz w:val="24"/>
                <w:szCs w:val="24"/>
              </w:rPr>
              <w:t>)</w:t>
            </w:r>
            <w:r w:rsidR="006B4A1A">
              <w:rPr>
                <w:rFonts w:ascii="Arial" w:hAnsi="Arial" w:cs="Arial"/>
                <w:sz w:val="24"/>
                <w:szCs w:val="24"/>
              </w:rPr>
              <w:t>%</w:t>
            </w:r>
          </w:p>
        </w:tc>
        <w:tc>
          <w:tcPr>
            <w:tcW w:w="1276" w:type="dxa"/>
          </w:tcPr>
          <w:p w:rsidR="006B4A1A" w:rsidRPr="006374FD" w:rsidRDefault="00A43059" w:rsidP="00F843DA">
            <w:pPr>
              <w:jc w:val="right"/>
              <w:rPr>
                <w:rFonts w:ascii="Arial" w:hAnsi="Arial" w:cs="Arial"/>
                <w:sz w:val="24"/>
                <w:szCs w:val="24"/>
              </w:rPr>
            </w:pPr>
            <w:r>
              <w:rPr>
                <w:rFonts w:ascii="Arial" w:hAnsi="Arial" w:cs="Arial"/>
                <w:sz w:val="24"/>
                <w:szCs w:val="24"/>
              </w:rPr>
              <w:t>(4.8</w:t>
            </w:r>
            <w:r w:rsidR="00F01CE3">
              <w:rPr>
                <w:rFonts w:ascii="Arial" w:hAnsi="Arial" w:cs="Arial"/>
                <w:sz w:val="24"/>
                <w:szCs w:val="24"/>
              </w:rPr>
              <w:t>)</w:t>
            </w:r>
            <w:r w:rsidR="006B4A1A">
              <w:rPr>
                <w:rFonts w:ascii="Arial" w:hAnsi="Arial" w:cs="Arial"/>
                <w:sz w:val="24"/>
                <w:szCs w:val="24"/>
              </w:rPr>
              <w:t>%</w:t>
            </w:r>
          </w:p>
        </w:tc>
        <w:tc>
          <w:tcPr>
            <w:tcW w:w="1322" w:type="dxa"/>
          </w:tcPr>
          <w:p w:rsidR="006B4A1A" w:rsidRPr="007D220F" w:rsidRDefault="006B4A1A" w:rsidP="00F843DA">
            <w:pPr>
              <w:jc w:val="right"/>
              <w:rPr>
                <w:rFonts w:ascii="Arial" w:hAnsi="Arial" w:cs="Arial"/>
                <w:sz w:val="24"/>
                <w:szCs w:val="24"/>
                <w:highlight w:val="yellow"/>
              </w:rPr>
            </w:pPr>
          </w:p>
        </w:tc>
      </w:tr>
      <w:tr w:rsidR="00803603" w:rsidRPr="00C4481A" w:rsidTr="0037199C">
        <w:tc>
          <w:tcPr>
            <w:tcW w:w="3333" w:type="dxa"/>
          </w:tcPr>
          <w:p w:rsidR="00803603" w:rsidRDefault="00803603" w:rsidP="00D46523">
            <w:pPr>
              <w:jc w:val="left"/>
              <w:rPr>
                <w:rFonts w:ascii="Arial" w:hAnsi="Arial" w:cs="Arial"/>
                <w:sz w:val="24"/>
                <w:szCs w:val="24"/>
              </w:rPr>
            </w:pPr>
            <w:r w:rsidRPr="00C4481A">
              <w:rPr>
                <w:rFonts w:ascii="Arial" w:hAnsi="Arial" w:cs="Arial"/>
                <w:sz w:val="24"/>
                <w:szCs w:val="24"/>
              </w:rPr>
              <w:t>Adjusted pre-tax profit</w:t>
            </w:r>
            <w:r>
              <w:rPr>
                <w:rFonts w:ascii="Arial" w:hAnsi="Arial" w:cs="Arial"/>
                <w:i/>
                <w:sz w:val="24"/>
                <w:szCs w:val="24"/>
                <w:vertAlign w:val="superscript"/>
              </w:rPr>
              <w:t>(4</w:t>
            </w:r>
            <w:r w:rsidRPr="00EC015F">
              <w:rPr>
                <w:rFonts w:ascii="Arial" w:hAnsi="Arial" w:cs="Arial"/>
                <w:i/>
                <w:sz w:val="24"/>
                <w:szCs w:val="24"/>
                <w:vertAlign w:val="superscript"/>
              </w:rPr>
              <w:t>)</w:t>
            </w:r>
            <w:r w:rsidRPr="00C4481A">
              <w:rPr>
                <w:rFonts w:ascii="Arial" w:hAnsi="Arial" w:cs="Arial"/>
                <w:sz w:val="24"/>
                <w:szCs w:val="24"/>
              </w:rPr>
              <w:t xml:space="preserve"> </w:t>
            </w:r>
          </w:p>
        </w:tc>
        <w:tc>
          <w:tcPr>
            <w:tcW w:w="1418" w:type="dxa"/>
          </w:tcPr>
          <w:p w:rsidR="00803603" w:rsidRDefault="00803603" w:rsidP="00F843DA">
            <w:pPr>
              <w:jc w:val="right"/>
              <w:rPr>
                <w:rFonts w:ascii="Arial" w:hAnsi="Arial" w:cs="Arial"/>
                <w:sz w:val="24"/>
                <w:szCs w:val="24"/>
              </w:rPr>
            </w:pPr>
            <w:r>
              <w:rPr>
                <w:rFonts w:ascii="Arial" w:hAnsi="Arial" w:cs="Arial"/>
                <w:sz w:val="24"/>
                <w:szCs w:val="24"/>
              </w:rPr>
              <w:t>£365m</w:t>
            </w:r>
          </w:p>
        </w:tc>
        <w:tc>
          <w:tcPr>
            <w:tcW w:w="1417" w:type="dxa"/>
          </w:tcPr>
          <w:p w:rsidR="00803603" w:rsidRDefault="00803603" w:rsidP="00F843DA">
            <w:pPr>
              <w:jc w:val="right"/>
              <w:rPr>
                <w:rFonts w:ascii="Arial" w:hAnsi="Arial" w:cs="Arial"/>
                <w:sz w:val="24"/>
                <w:szCs w:val="24"/>
              </w:rPr>
            </w:pPr>
            <w:r w:rsidRPr="00251609">
              <w:rPr>
                <w:rFonts w:ascii="Arial" w:hAnsi="Arial" w:cs="Arial"/>
                <w:sz w:val="24"/>
                <w:szCs w:val="24"/>
              </w:rPr>
              <w:t>£371m</w:t>
            </w:r>
          </w:p>
        </w:tc>
        <w:tc>
          <w:tcPr>
            <w:tcW w:w="1276" w:type="dxa"/>
          </w:tcPr>
          <w:p w:rsidR="00803603" w:rsidRDefault="00803603" w:rsidP="00F843DA">
            <w:pPr>
              <w:jc w:val="right"/>
              <w:rPr>
                <w:rFonts w:ascii="Arial" w:hAnsi="Arial" w:cs="Arial"/>
                <w:sz w:val="24"/>
                <w:szCs w:val="24"/>
              </w:rPr>
            </w:pPr>
            <w:r w:rsidRPr="00251609">
              <w:rPr>
                <w:rFonts w:ascii="Arial" w:hAnsi="Arial" w:cs="Arial"/>
                <w:sz w:val="24"/>
                <w:szCs w:val="24"/>
              </w:rPr>
              <w:t>(</w:t>
            </w:r>
            <w:r>
              <w:rPr>
                <w:rFonts w:ascii="Arial" w:hAnsi="Arial" w:cs="Arial"/>
                <w:sz w:val="24"/>
                <w:szCs w:val="24"/>
              </w:rPr>
              <w:t>1.6</w:t>
            </w:r>
            <w:r w:rsidRPr="00251609">
              <w:rPr>
                <w:rFonts w:ascii="Arial" w:hAnsi="Arial" w:cs="Arial"/>
                <w:sz w:val="24"/>
                <w:szCs w:val="24"/>
              </w:rPr>
              <w:t>)%</w:t>
            </w:r>
          </w:p>
        </w:tc>
        <w:tc>
          <w:tcPr>
            <w:tcW w:w="1276" w:type="dxa"/>
          </w:tcPr>
          <w:p w:rsidR="00803603" w:rsidRPr="006374FD" w:rsidRDefault="00803603" w:rsidP="00F843DA">
            <w:pPr>
              <w:jc w:val="right"/>
              <w:rPr>
                <w:rFonts w:ascii="Arial" w:hAnsi="Arial" w:cs="Arial"/>
                <w:sz w:val="24"/>
                <w:szCs w:val="24"/>
              </w:rPr>
            </w:pPr>
          </w:p>
        </w:tc>
        <w:tc>
          <w:tcPr>
            <w:tcW w:w="1322" w:type="dxa"/>
          </w:tcPr>
          <w:p w:rsidR="00803603" w:rsidRPr="007D220F" w:rsidRDefault="00803603" w:rsidP="00F843DA">
            <w:pPr>
              <w:jc w:val="right"/>
              <w:rPr>
                <w:rFonts w:ascii="Arial" w:hAnsi="Arial" w:cs="Arial"/>
                <w:sz w:val="24"/>
                <w:szCs w:val="24"/>
                <w:highlight w:val="yellow"/>
              </w:rPr>
            </w:pPr>
          </w:p>
        </w:tc>
      </w:tr>
      <w:tr w:rsidR="00803603" w:rsidRPr="00C4481A" w:rsidTr="0037199C">
        <w:tc>
          <w:tcPr>
            <w:tcW w:w="3333" w:type="dxa"/>
          </w:tcPr>
          <w:p w:rsidR="00803603" w:rsidRDefault="00803603" w:rsidP="00D46523">
            <w:pPr>
              <w:jc w:val="left"/>
              <w:rPr>
                <w:rFonts w:ascii="Arial" w:hAnsi="Arial" w:cs="Arial"/>
                <w:sz w:val="24"/>
                <w:szCs w:val="24"/>
              </w:rPr>
            </w:pPr>
            <w:r w:rsidRPr="00C4481A">
              <w:rPr>
                <w:rFonts w:ascii="Arial" w:hAnsi="Arial" w:cs="Arial"/>
                <w:sz w:val="24"/>
                <w:szCs w:val="24"/>
              </w:rPr>
              <w:t>Adjusted basic EPS</w:t>
            </w:r>
            <w:r>
              <w:rPr>
                <w:rFonts w:ascii="Arial" w:hAnsi="Arial" w:cs="Arial"/>
                <w:i/>
                <w:sz w:val="24"/>
                <w:szCs w:val="24"/>
                <w:vertAlign w:val="superscript"/>
              </w:rPr>
              <w:t>(4</w:t>
            </w:r>
            <w:r w:rsidRPr="00EC015F">
              <w:rPr>
                <w:rFonts w:ascii="Arial" w:hAnsi="Arial" w:cs="Arial"/>
                <w:i/>
                <w:sz w:val="24"/>
                <w:szCs w:val="24"/>
                <w:vertAlign w:val="superscript"/>
              </w:rPr>
              <w:t>)</w:t>
            </w:r>
          </w:p>
        </w:tc>
        <w:tc>
          <w:tcPr>
            <w:tcW w:w="1418" w:type="dxa"/>
          </w:tcPr>
          <w:p w:rsidR="00803603" w:rsidRDefault="00803603" w:rsidP="00F843DA">
            <w:pPr>
              <w:jc w:val="right"/>
              <w:rPr>
                <w:rFonts w:ascii="Arial" w:hAnsi="Arial" w:cs="Arial"/>
                <w:sz w:val="24"/>
                <w:szCs w:val="24"/>
              </w:rPr>
            </w:pPr>
            <w:r>
              <w:rPr>
                <w:rFonts w:ascii="Arial" w:hAnsi="Arial" w:cs="Arial"/>
                <w:sz w:val="24"/>
                <w:szCs w:val="24"/>
              </w:rPr>
              <w:t>11.3</w:t>
            </w:r>
            <w:r w:rsidRPr="00FA5AC4">
              <w:rPr>
                <w:rFonts w:ascii="Arial" w:hAnsi="Arial" w:cs="Arial"/>
                <w:sz w:val="24"/>
                <w:szCs w:val="24"/>
              </w:rPr>
              <w:t>p</w:t>
            </w:r>
          </w:p>
        </w:tc>
        <w:tc>
          <w:tcPr>
            <w:tcW w:w="1417" w:type="dxa"/>
          </w:tcPr>
          <w:p w:rsidR="00803603" w:rsidRDefault="00803603" w:rsidP="00F843DA">
            <w:pPr>
              <w:jc w:val="right"/>
              <w:rPr>
                <w:rFonts w:ascii="Arial" w:hAnsi="Arial" w:cs="Arial"/>
                <w:sz w:val="24"/>
                <w:szCs w:val="24"/>
              </w:rPr>
            </w:pPr>
            <w:r w:rsidRPr="00FA5AC4">
              <w:rPr>
                <w:rFonts w:ascii="Arial" w:hAnsi="Arial" w:cs="Arial"/>
                <w:sz w:val="24"/>
                <w:szCs w:val="24"/>
              </w:rPr>
              <w:t>11.5p</w:t>
            </w:r>
          </w:p>
        </w:tc>
        <w:tc>
          <w:tcPr>
            <w:tcW w:w="1276" w:type="dxa"/>
          </w:tcPr>
          <w:p w:rsidR="00803603" w:rsidRDefault="00803603" w:rsidP="00F843DA">
            <w:pPr>
              <w:jc w:val="right"/>
              <w:rPr>
                <w:rFonts w:ascii="Arial" w:hAnsi="Arial" w:cs="Arial"/>
                <w:sz w:val="24"/>
                <w:szCs w:val="24"/>
              </w:rPr>
            </w:pPr>
            <w:r>
              <w:rPr>
                <w:rFonts w:ascii="Arial" w:hAnsi="Arial" w:cs="Arial"/>
                <w:sz w:val="24"/>
                <w:szCs w:val="24"/>
              </w:rPr>
              <w:t>(1.7)</w:t>
            </w:r>
            <w:r w:rsidRPr="00FA5AC4">
              <w:rPr>
                <w:rFonts w:ascii="Arial" w:hAnsi="Arial" w:cs="Arial"/>
                <w:sz w:val="24"/>
                <w:szCs w:val="24"/>
              </w:rPr>
              <w:t>%</w:t>
            </w:r>
          </w:p>
        </w:tc>
        <w:tc>
          <w:tcPr>
            <w:tcW w:w="1276" w:type="dxa"/>
          </w:tcPr>
          <w:p w:rsidR="00803603" w:rsidRPr="006374FD" w:rsidRDefault="00803603" w:rsidP="00F843DA">
            <w:pPr>
              <w:jc w:val="right"/>
              <w:rPr>
                <w:rFonts w:ascii="Arial" w:hAnsi="Arial" w:cs="Arial"/>
                <w:sz w:val="24"/>
                <w:szCs w:val="24"/>
              </w:rPr>
            </w:pPr>
          </w:p>
        </w:tc>
        <w:tc>
          <w:tcPr>
            <w:tcW w:w="1322" w:type="dxa"/>
          </w:tcPr>
          <w:p w:rsidR="00803603" w:rsidRPr="007D220F" w:rsidRDefault="00803603" w:rsidP="00F843DA">
            <w:pPr>
              <w:jc w:val="right"/>
              <w:rPr>
                <w:rFonts w:ascii="Arial" w:hAnsi="Arial" w:cs="Arial"/>
                <w:sz w:val="24"/>
                <w:szCs w:val="24"/>
                <w:highlight w:val="yellow"/>
              </w:rPr>
            </w:pPr>
          </w:p>
        </w:tc>
      </w:tr>
      <w:tr w:rsidR="00803603" w:rsidRPr="00803603" w:rsidTr="0037199C">
        <w:tc>
          <w:tcPr>
            <w:tcW w:w="3333" w:type="dxa"/>
          </w:tcPr>
          <w:p w:rsidR="00803603" w:rsidRPr="000F31CD" w:rsidRDefault="00803603" w:rsidP="00D46523">
            <w:pPr>
              <w:jc w:val="left"/>
              <w:rPr>
                <w:rFonts w:ascii="Arial" w:hAnsi="Arial" w:cs="Arial"/>
                <w:sz w:val="12"/>
                <w:szCs w:val="12"/>
              </w:rPr>
            </w:pPr>
          </w:p>
        </w:tc>
        <w:tc>
          <w:tcPr>
            <w:tcW w:w="1418" w:type="dxa"/>
          </w:tcPr>
          <w:p w:rsidR="00803603" w:rsidRPr="000F31CD" w:rsidRDefault="00803603" w:rsidP="00F843DA">
            <w:pPr>
              <w:jc w:val="right"/>
              <w:rPr>
                <w:rFonts w:ascii="Arial" w:hAnsi="Arial" w:cs="Arial"/>
                <w:sz w:val="12"/>
                <w:szCs w:val="12"/>
              </w:rPr>
            </w:pPr>
          </w:p>
        </w:tc>
        <w:tc>
          <w:tcPr>
            <w:tcW w:w="1417" w:type="dxa"/>
          </w:tcPr>
          <w:p w:rsidR="00803603" w:rsidRPr="000F31CD" w:rsidRDefault="00803603" w:rsidP="00F843DA">
            <w:pPr>
              <w:jc w:val="right"/>
              <w:rPr>
                <w:rFonts w:ascii="Arial" w:hAnsi="Arial" w:cs="Arial"/>
                <w:sz w:val="12"/>
                <w:szCs w:val="12"/>
              </w:rPr>
            </w:pPr>
          </w:p>
        </w:tc>
        <w:tc>
          <w:tcPr>
            <w:tcW w:w="1276" w:type="dxa"/>
          </w:tcPr>
          <w:p w:rsidR="00803603" w:rsidRPr="000F31CD" w:rsidRDefault="00803603" w:rsidP="00F843DA">
            <w:pPr>
              <w:jc w:val="right"/>
              <w:rPr>
                <w:rFonts w:ascii="Arial" w:hAnsi="Arial" w:cs="Arial"/>
                <w:sz w:val="12"/>
                <w:szCs w:val="12"/>
              </w:rPr>
            </w:pPr>
          </w:p>
        </w:tc>
        <w:tc>
          <w:tcPr>
            <w:tcW w:w="1276" w:type="dxa"/>
          </w:tcPr>
          <w:p w:rsidR="00803603" w:rsidRPr="000F31CD" w:rsidRDefault="00803603" w:rsidP="00F843DA">
            <w:pPr>
              <w:jc w:val="right"/>
              <w:rPr>
                <w:rFonts w:ascii="Arial" w:hAnsi="Arial" w:cs="Arial"/>
                <w:sz w:val="12"/>
                <w:szCs w:val="12"/>
              </w:rPr>
            </w:pPr>
          </w:p>
        </w:tc>
        <w:tc>
          <w:tcPr>
            <w:tcW w:w="1322" w:type="dxa"/>
          </w:tcPr>
          <w:p w:rsidR="00803603" w:rsidRPr="000F31CD" w:rsidRDefault="00803603" w:rsidP="00F843DA">
            <w:pPr>
              <w:jc w:val="right"/>
              <w:rPr>
                <w:rFonts w:ascii="Arial" w:hAnsi="Arial" w:cs="Arial"/>
                <w:sz w:val="12"/>
                <w:szCs w:val="12"/>
                <w:highlight w:val="yellow"/>
              </w:rPr>
            </w:pPr>
          </w:p>
        </w:tc>
      </w:tr>
      <w:tr w:rsidR="00803603" w:rsidRPr="00C4481A" w:rsidTr="0037199C">
        <w:tc>
          <w:tcPr>
            <w:tcW w:w="3333" w:type="dxa"/>
          </w:tcPr>
          <w:p w:rsidR="00803603" w:rsidRPr="00C4481A" w:rsidRDefault="00803603">
            <w:pPr>
              <w:jc w:val="left"/>
              <w:rPr>
                <w:rFonts w:ascii="Arial" w:hAnsi="Arial" w:cs="Arial"/>
                <w:sz w:val="24"/>
                <w:szCs w:val="24"/>
              </w:rPr>
            </w:pPr>
            <w:r>
              <w:rPr>
                <w:rFonts w:ascii="Arial" w:hAnsi="Arial" w:cs="Arial"/>
                <w:sz w:val="24"/>
                <w:szCs w:val="24"/>
              </w:rPr>
              <w:t>Statutory pre-tax profit</w:t>
            </w:r>
          </w:p>
        </w:tc>
        <w:tc>
          <w:tcPr>
            <w:tcW w:w="1418" w:type="dxa"/>
          </w:tcPr>
          <w:p w:rsidR="00803603" w:rsidRDefault="00803603" w:rsidP="00F843DA">
            <w:pPr>
              <w:jc w:val="right"/>
              <w:rPr>
                <w:rFonts w:ascii="Arial" w:hAnsi="Arial" w:cs="Arial"/>
                <w:sz w:val="24"/>
                <w:szCs w:val="24"/>
              </w:rPr>
            </w:pPr>
            <w:r>
              <w:rPr>
                <w:rFonts w:ascii="Arial" w:hAnsi="Arial" w:cs="Arial"/>
                <w:sz w:val="24"/>
                <w:szCs w:val="24"/>
              </w:rPr>
              <w:t>£401m</w:t>
            </w:r>
          </w:p>
        </w:tc>
        <w:tc>
          <w:tcPr>
            <w:tcW w:w="1417" w:type="dxa"/>
          </w:tcPr>
          <w:p w:rsidR="00803603" w:rsidRPr="00251609" w:rsidRDefault="00803603" w:rsidP="00F843DA">
            <w:pPr>
              <w:jc w:val="right"/>
              <w:rPr>
                <w:rFonts w:ascii="Arial" w:hAnsi="Arial" w:cs="Arial"/>
                <w:sz w:val="24"/>
                <w:szCs w:val="24"/>
              </w:rPr>
            </w:pPr>
            <w:r>
              <w:rPr>
                <w:rFonts w:ascii="Arial" w:hAnsi="Arial" w:cs="Arial"/>
                <w:sz w:val="24"/>
                <w:szCs w:val="24"/>
              </w:rPr>
              <w:t>£364m</w:t>
            </w:r>
          </w:p>
        </w:tc>
        <w:tc>
          <w:tcPr>
            <w:tcW w:w="1276" w:type="dxa"/>
          </w:tcPr>
          <w:p w:rsidR="00803603" w:rsidRPr="00251609" w:rsidRDefault="00803603" w:rsidP="00F843DA">
            <w:pPr>
              <w:jc w:val="right"/>
              <w:rPr>
                <w:rFonts w:ascii="Arial" w:hAnsi="Arial" w:cs="Arial"/>
                <w:sz w:val="24"/>
                <w:szCs w:val="24"/>
              </w:rPr>
            </w:pPr>
            <w:r>
              <w:rPr>
                <w:rFonts w:ascii="Arial" w:hAnsi="Arial" w:cs="Arial"/>
                <w:sz w:val="24"/>
                <w:szCs w:val="24"/>
              </w:rPr>
              <w:t>+10.2%</w:t>
            </w:r>
          </w:p>
        </w:tc>
        <w:tc>
          <w:tcPr>
            <w:tcW w:w="1276" w:type="dxa"/>
          </w:tcPr>
          <w:p w:rsidR="00803603" w:rsidRPr="006374FD" w:rsidRDefault="00803603" w:rsidP="00F843DA">
            <w:pPr>
              <w:jc w:val="right"/>
              <w:rPr>
                <w:rFonts w:ascii="Arial" w:hAnsi="Arial" w:cs="Arial"/>
                <w:sz w:val="24"/>
                <w:szCs w:val="24"/>
              </w:rPr>
            </w:pPr>
          </w:p>
        </w:tc>
        <w:tc>
          <w:tcPr>
            <w:tcW w:w="1322" w:type="dxa"/>
          </w:tcPr>
          <w:p w:rsidR="00803603" w:rsidRPr="007D220F" w:rsidRDefault="00803603" w:rsidP="00F843DA">
            <w:pPr>
              <w:jc w:val="right"/>
              <w:rPr>
                <w:rFonts w:ascii="Arial" w:hAnsi="Arial" w:cs="Arial"/>
                <w:sz w:val="24"/>
                <w:szCs w:val="24"/>
                <w:highlight w:val="yellow"/>
              </w:rPr>
            </w:pPr>
          </w:p>
        </w:tc>
      </w:tr>
      <w:tr w:rsidR="00803603" w:rsidRPr="00C4481A" w:rsidTr="00F03A38">
        <w:tc>
          <w:tcPr>
            <w:tcW w:w="3333" w:type="dxa"/>
          </w:tcPr>
          <w:p w:rsidR="00803603" w:rsidRPr="00C4481A" w:rsidRDefault="00803603">
            <w:pPr>
              <w:jc w:val="left"/>
              <w:rPr>
                <w:rFonts w:ascii="Arial" w:hAnsi="Arial" w:cs="Arial"/>
                <w:sz w:val="24"/>
                <w:szCs w:val="24"/>
              </w:rPr>
            </w:pPr>
            <w:r>
              <w:rPr>
                <w:rFonts w:ascii="Arial" w:hAnsi="Arial" w:cs="Arial"/>
                <w:sz w:val="24"/>
                <w:szCs w:val="24"/>
              </w:rPr>
              <w:t xml:space="preserve">Statutory </w:t>
            </w:r>
            <w:r w:rsidR="00A93E47">
              <w:rPr>
                <w:rFonts w:ascii="Arial" w:hAnsi="Arial" w:cs="Arial"/>
                <w:sz w:val="24"/>
                <w:szCs w:val="24"/>
              </w:rPr>
              <w:t>post-tax profit</w:t>
            </w:r>
          </w:p>
        </w:tc>
        <w:tc>
          <w:tcPr>
            <w:tcW w:w="1418" w:type="dxa"/>
          </w:tcPr>
          <w:p w:rsidR="00803603" w:rsidRDefault="00803603" w:rsidP="00F843DA">
            <w:pPr>
              <w:jc w:val="right"/>
              <w:rPr>
                <w:rFonts w:ascii="Arial" w:hAnsi="Arial" w:cs="Arial"/>
                <w:sz w:val="24"/>
                <w:szCs w:val="24"/>
              </w:rPr>
            </w:pPr>
            <w:r w:rsidRPr="00FA5AC4">
              <w:rPr>
                <w:rFonts w:ascii="Arial" w:hAnsi="Arial" w:cs="Arial"/>
                <w:sz w:val="24"/>
                <w:szCs w:val="24"/>
              </w:rPr>
              <w:t>£</w:t>
            </w:r>
            <w:r>
              <w:rPr>
                <w:rFonts w:ascii="Arial" w:hAnsi="Arial" w:cs="Arial"/>
                <w:sz w:val="24"/>
                <w:szCs w:val="24"/>
              </w:rPr>
              <w:t>440</w:t>
            </w:r>
            <w:r w:rsidRPr="00FA5AC4">
              <w:rPr>
                <w:rFonts w:ascii="Arial" w:hAnsi="Arial" w:cs="Arial"/>
                <w:sz w:val="24"/>
                <w:szCs w:val="24"/>
              </w:rPr>
              <w:t>m</w:t>
            </w:r>
          </w:p>
        </w:tc>
        <w:tc>
          <w:tcPr>
            <w:tcW w:w="1417" w:type="dxa"/>
          </w:tcPr>
          <w:p w:rsidR="00803603" w:rsidRPr="00251609" w:rsidRDefault="00803603" w:rsidP="00F843DA">
            <w:pPr>
              <w:jc w:val="right"/>
              <w:rPr>
                <w:rFonts w:ascii="Arial" w:hAnsi="Arial" w:cs="Arial"/>
                <w:sz w:val="24"/>
                <w:szCs w:val="24"/>
              </w:rPr>
            </w:pPr>
            <w:r w:rsidRPr="00FA5AC4">
              <w:rPr>
                <w:rFonts w:ascii="Arial" w:hAnsi="Arial" w:cs="Arial"/>
                <w:sz w:val="24"/>
                <w:szCs w:val="24"/>
              </w:rPr>
              <w:t>£259m</w:t>
            </w:r>
          </w:p>
        </w:tc>
        <w:tc>
          <w:tcPr>
            <w:tcW w:w="1276" w:type="dxa"/>
          </w:tcPr>
          <w:p w:rsidR="00803603" w:rsidRPr="00251609" w:rsidRDefault="00803603" w:rsidP="00F843DA">
            <w:pPr>
              <w:jc w:val="right"/>
              <w:rPr>
                <w:rFonts w:ascii="Arial" w:hAnsi="Arial" w:cs="Arial"/>
                <w:sz w:val="24"/>
                <w:szCs w:val="24"/>
              </w:rPr>
            </w:pPr>
            <w:r>
              <w:rPr>
                <w:rFonts w:ascii="Arial" w:hAnsi="Arial" w:cs="Arial"/>
                <w:sz w:val="24"/>
                <w:szCs w:val="24"/>
              </w:rPr>
              <w:t>+69.9</w:t>
            </w:r>
            <w:r w:rsidRPr="00FA5AC4">
              <w:rPr>
                <w:rFonts w:ascii="Arial" w:hAnsi="Arial" w:cs="Arial"/>
                <w:sz w:val="24"/>
                <w:szCs w:val="24"/>
              </w:rPr>
              <w:t>%</w:t>
            </w:r>
          </w:p>
        </w:tc>
        <w:tc>
          <w:tcPr>
            <w:tcW w:w="1276" w:type="dxa"/>
          </w:tcPr>
          <w:p w:rsidR="00803603" w:rsidRPr="006374FD" w:rsidRDefault="00803603" w:rsidP="00F843DA">
            <w:pPr>
              <w:jc w:val="right"/>
              <w:rPr>
                <w:rFonts w:ascii="Arial" w:hAnsi="Arial" w:cs="Arial"/>
                <w:sz w:val="24"/>
                <w:szCs w:val="24"/>
              </w:rPr>
            </w:pPr>
          </w:p>
        </w:tc>
        <w:tc>
          <w:tcPr>
            <w:tcW w:w="1322" w:type="dxa"/>
          </w:tcPr>
          <w:p w:rsidR="00803603" w:rsidRPr="007D220F" w:rsidRDefault="00803603" w:rsidP="00F843DA">
            <w:pPr>
              <w:jc w:val="right"/>
              <w:rPr>
                <w:rFonts w:ascii="Arial" w:hAnsi="Arial" w:cs="Arial"/>
                <w:sz w:val="24"/>
                <w:szCs w:val="24"/>
                <w:highlight w:val="yellow"/>
              </w:rPr>
            </w:pPr>
          </w:p>
        </w:tc>
      </w:tr>
      <w:tr w:rsidR="00803603" w:rsidRPr="00C4481A" w:rsidTr="00F03A38">
        <w:tc>
          <w:tcPr>
            <w:tcW w:w="3333" w:type="dxa"/>
          </w:tcPr>
          <w:p w:rsidR="00803603" w:rsidRPr="00C4481A" w:rsidRDefault="00803603" w:rsidP="00F843DA">
            <w:pPr>
              <w:jc w:val="left"/>
              <w:rPr>
                <w:rFonts w:ascii="Arial" w:hAnsi="Arial" w:cs="Arial"/>
                <w:sz w:val="24"/>
                <w:szCs w:val="24"/>
              </w:rPr>
            </w:pPr>
            <w:r w:rsidRPr="004C2B82">
              <w:rPr>
                <w:rFonts w:ascii="Arial" w:hAnsi="Arial" w:cs="Arial"/>
                <w:sz w:val="24"/>
                <w:szCs w:val="24"/>
              </w:rPr>
              <w:t xml:space="preserve">Basic EPS </w:t>
            </w:r>
          </w:p>
        </w:tc>
        <w:tc>
          <w:tcPr>
            <w:tcW w:w="1418" w:type="dxa"/>
          </w:tcPr>
          <w:p w:rsidR="00803603" w:rsidRDefault="00803603" w:rsidP="00F843DA">
            <w:pPr>
              <w:jc w:val="right"/>
              <w:rPr>
                <w:rFonts w:ascii="Arial" w:hAnsi="Arial" w:cs="Arial"/>
                <w:sz w:val="24"/>
                <w:szCs w:val="24"/>
              </w:rPr>
            </w:pPr>
            <w:r>
              <w:rPr>
                <w:rFonts w:ascii="Arial" w:hAnsi="Arial" w:cs="Arial"/>
                <w:sz w:val="24"/>
                <w:szCs w:val="24"/>
              </w:rPr>
              <w:t>18.7</w:t>
            </w:r>
            <w:r w:rsidRPr="00FA5AC4">
              <w:rPr>
                <w:rFonts w:ascii="Arial" w:hAnsi="Arial" w:cs="Arial"/>
                <w:sz w:val="24"/>
                <w:szCs w:val="24"/>
              </w:rPr>
              <w:t>p</w:t>
            </w:r>
          </w:p>
        </w:tc>
        <w:tc>
          <w:tcPr>
            <w:tcW w:w="1417" w:type="dxa"/>
          </w:tcPr>
          <w:p w:rsidR="00803603" w:rsidRPr="00FA5AC4" w:rsidRDefault="00803603" w:rsidP="00F843DA">
            <w:pPr>
              <w:jc w:val="right"/>
              <w:rPr>
                <w:rFonts w:ascii="Arial" w:hAnsi="Arial" w:cs="Arial"/>
                <w:sz w:val="24"/>
                <w:szCs w:val="24"/>
              </w:rPr>
            </w:pPr>
            <w:r w:rsidRPr="00FA5AC4">
              <w:rPr>
                <w:rFonts w:ascii="Arial" w:hAnsi="Arial" w:cs="Arial"/>
                <w:sz w:val="24"/>
                <w:szCs w:val="24"/>
              </w:rPr>
              <w:t>11.1p</w:t>
            </w:r>
          </w:p>
        </w:tc>
        <w:tc>
          <w:tcPr>
            <w:tcW w:w="1276" w:type="dxa"/>
          </w:tcPr>
          <w:p w:rsidR="00803603" w:rsidRDefault="00803603" w:rsidP="00F843DA">
            <w:pPr>
              <w:jc w:val="right"/>
              <w:rPr>
                <w:rFonts w:ascii="Arial" w:hAnsi="Arial" w:cs="Arial"/>
                <w:sz w:val="24"/>
                <w:szCs w:val="24"/>
              </w:rPr>
            </w:pPr>
            <w:r>
              <w:rPr>
                <w:rFonts w:ascii="Arial" w:hAnsi="Arial" w:cs="Arial"/>
                <w:sz w:val="24"/>
                <w:szCs w:val="24"/>
              </w:rPr>
              <w:t>+68.5</w:t>
            </w:r>
            <w:r w:rsidRPr="00FA5AC4">
              <w:rPr>
                <w:rFonts w:ascii="Arial" w:hAnsi="Arial" w:cs="Arial"/>
                <w:sz w:val="24"/>
                <w:szCs w:val="24"/>
              </w:rPr>
              <w:t>%</w:t>
            </w:r>
          </w:p>
        </w:tc>
        <w:tc>
          <w:tcPr>
            <w:tcW w:w="1276" w:type="dxa"/>
          </w:tcPr>
          <w:p w:rsidR="00803603" w:rsidRPr="007D220F" w:rsidRDefault="00803603" w:rsidP="00F843DA">
            <w:pPr>
              <w:jc w:val="right"/>
              <w:rPr>
                <w:rFonts w:ascii="Arial" w:hAnsi="Arial" w:cs="Arial"/>
                <w:sz w:val="24"/>
                <w:szCs w:val="24"/>
                <w:highlight w:val="yellow"/>
              </w:rPr>
            </w:pPr>
          </w:p>
        </w:tc>
        <w:tc>
          <w:tcPr>
            <w:tcW w:w="1322" w:type="dxa"/>
          </w:tcPr>
          <w:p w:rsidR="00803603" w:rsidRPr="007D220F" w:rsidRDefault="00803603" w:rsidP="00F843DA">
            <w:pPr>
              <w:jc w:val="right"/>
              <w:rPr>
                <w:rFonts w:ascii="Arial" w:hAnsi="Arial" w:cs="Arial"/>
                <w:sz w:val="24"/>
                <w:szCs w:val="24"/>
                <w:highlight w:val="yellow"/>
              </w:rPr>
            </w:pPr>
          </w:p>
        </w:tc>
      </w:tr>
      <w:tr w:rsidR="00803603" w:rsidRPr="00803603" w:rsidTr="0037199C">
        <w:tc>
          <w:tcPr>
            <w:tcW w:w="3333" w:type="dxa"/>
          </w:tcPr>
          <w:p w:rsidR="00803603" w:rsidRPr="000F31CD" w:rsidRDefault="00803603" w:rsidP="00F843DA">
            <w:pPr>
              <w:jc w:val="left"/>
              <w:rPr>
                <w:rFonts w:ascii="Arial" w:hAnsi="Arial" w:cs="Arial"/>
                <w:sz w:val="12"/>
                <w:szCs w:val="12"/>
              </w:rPr>
            </w:pPr>
          </w:p>
        </w:tc>
        <w:tc>
          <w:tcPr>
            <w:tcW w:w="1418" w:type="dxa"/>
          </w:tcPr>
          <w:p w:rsidR="00803603" w:rsidRPr="000F31CD" w:rsidRDefault="00803603" w:rsidP="00F843DA">
            <w:pPr>
              <w:jc w:val="right"/>
              <w:rPr>
                <w:rFonts w:ascii="Arial" w:hAnsi="Arial" w:cs="Arial"/>
                <w:sz w:val="12"/>
                <w:szCs w:val="12"/>
              </w:rPr>
            </w:pPr>
          </w:p>
        </w:tc>
        <w:tc>
          <w:tcPr>
            <w:tcW w:w="1417" w:type="dxa"/>
          </w:tcPr>
          <w:p w:rsidR="00803603" w:rsidRPr="000F31CD" w:rsidRDefault="00803603" w:rsidP="00F843DA">
            <w:pPr>
              <w:jc w:val="right"/>
              <w:rPr>
                <w:rFonts w:ascii="Arial" w:hAnsi="Arial" w:cs="Arial"/>
                <w:sz w:val="12"/>
                <w:szCs w:val="12"/>
              </w:rPr>
            </w:pPr>
          </w:p>
        </w:tc>
        <w:tc>
          <w:tcPr>
            <w:tcW w:w="1276" w:type="dxa"/>
          </w:tcPr>
          <w:p w:rsidR="00803603" w:rsidRPr="000F31CD" w:rsidRDefault="00803603" w:rsidP="00F843DA">
            <w:pPr>
              <w:jc w:val="right"/>
              <w:rPr>
                <w:rFonts w:ascii="Arial" w:hAnsi="Arial" w:cs="Arial"/>
                <w:sz w:val="12"/>
                <w:szCs w:val="12"/>
                <w:highlight w:val="magenta"/>
              </w:rPr>
            </w:pPr>
          </w:p>
        </w:tc>
        <w:tc>
          <w:tcPr>
            <w:tcW w:w="1276" w:type="dxa"/>
          </w:tcPr>
          <w:p w:rsidR="00803603" w:rsidRPr="000F31CD" w:rsidRDefault="00803603" w:rsidP="00F843DA">
            <w:pPr>
              <w:jc w:val="right"/>
              <w:rPr>
                <w:rFonts w:ascii="Arial" w:hAnsi="Arial" w:cs="Arial"/>
                <w:sz w:val="12"/>
                <w:szCs w:val="12"/>
                <w:highlight w:val="yellow"/>
              </w:rPr>
            </w:pPr>
          </w:p>
        </w:tc>
        <w:tc>
          <w:tcPr>
            <w:tcW w:w="1322" w:type="dxa"/>
          </w:tcPr>
          <w:p w:rsidR="00803603" w:rsidRPr="000F31CD" w:rsidRDefault="00803603" w:rsidP="00F843DA">
            <w:pPr>
              <w:jc w:val="right"/>
              <w:rPr>
                <w:rFonts w:ascii="Arial" w:hAnsi="Arial" w:cs="Arial"/>
                <w:sz w:val="12"/>
                <w:szCs w:val="12"/>
                <w:highlight w:val="yellow"/>
              </w:rPr>
            </w:pPr>
          </w:p>
        </w:tc>
      </w:tr>
      <w:tr w:rsidR="00803603" w:rsidRPr="00C4481A" w:rsidTr="0037199C">
        <w:tc>
          <w:tcPr>
            <w:tcW w:w="3333" w:type="dxa"/>
          </w:tcPr>
          <w:p w:rsidR="00803603" w:rsidRPr="00C4481A" w:rsidRDefault="00803603" w:rsidP="00FA5AC4">
            <w:pPr>
              <w:jc w:val="left"/>
              <w:rPr>
                <w:rFonts w:ascii="Arial" w:hAnsi="Arial" w:cs="Arial"/>
                <w:sz w:val="24"/>
                <w:szCs w:val="24"/>
              </w:rPr>
            </w:pPr>
            <w:r w:rsidRPr="00C4481A">
              <w:rPr>
                <w:rFonts w:ascii="Arial" w:hAnsi="Arial" w:cs="Arial"/>
                <w:sz w:val="24"/>
                <w:szCs w:val="24"/>
              </w:rPr>
              <w:t>Interim dividend</w:t>
            </w:r>
          </w:p>
        </w:tc>
        <w:tc>
          <w:tcPr>
            <w:tcW w:w="1418" w:type="dxa"/>
          </w:tcPr>
          <w:p w:rsidR="00803603" w:rsidRPr="00FA5AC4" w:rsidDel="006212BA" w:rsidRDefault="00A76D63" w:rsidP="00FA5AC4">
            <w:pPr>
              <w:jc w:val="right"/>
              <w:rPr>
                <w:rFonts w:ascii="Arial" w:hAnsi="Arial" w:cs="Arial"/>
                <w:sz w:val="24"/>
                <w:szCs w:val="24"/>
              </w:rPr>
            </w:pPr>
            <w:r>
              <w:rPr>
                <w:rFonts w:ascii="Arial" w:hAnsi="Arial" w:cs="Arial"/>
                <w:sz w:val="24"/>
                <w:szCs w:val="24"/>
              </w:rPr>
              <w:t>3.12p</w:t>
            </w:r>
          </w:p>
        </w:tc>
        <w:tc>
          <w:tcPr>
            <w:tcW w:w="1417" w:type="dxa"/>
          </w:tcPr>
          <w:p w:rsidR="00803603" w:rsidRPr="00FA5AC4" w:rsidDel="006212BA" w:rsidRDefault="00803603" w:rsidP="00F843DA">
            <w:pPr>
              <w:jc w:val="right"/>
              <w:rPr>
                <w:rFonts w:ascii="Arial" w:hAnsi="Arial" w:cs="Arial"/>
                <w:sz w:val="24"/>
                <w:szCs w:val="24"/>
              </w:rPr>
            </w:pPr>
            <w:r w:rsidRPr="00FA5AC4">
              <w:rPr>
                <w:rFonts w:ascii="Arial" w:hAnsi="Arial" w:cs="Arial"/>
                <w:sz w:val="24"/>
                <w:szCs w:val="24"/>
              </w:rPr>
              <w:t>3.09p</w:t>
            </w:r>
          </w:p>
        </w:tc>
        <w:tc>
          <w:tcPr>
            <w:tcW w:w="1276" w:type="dxa"/>
          </w:tcPr>
          <w:p w:rsidR="00803603" w:rsidRPr="00FA5AC4" w:rsidDel="002A482E" w:rsidRDefault="00803603" w:rsidP="00F843DA">
            <w:pPr>
              <w:jc w:val="right"/>
              <w:rPr>
                <w:rFonts w:ascii="Arial" w:hAnsi="Arial" w:cs="Arial"/>
                <w:sz w:val="24"/>
                <w:szCs w:val="24"/>
              </w:rPr>
            </w:pPr>
            <w:r>
              <w:rPr>
                <w:rFonts w:ascii="Arial" w:hAnsi="Arial" w:cs="Arial"/>
                <w:sz w:val="24"/>
                <w:szCs w:val="24"/>
              </w:rPr>
              <w:t>+</w:t>
            </w:r>
            <w:r w:rsidR="00A76D63">
              <w:rPr>
                <w:rFonts w:ascii="Arial" w:hAnsi="Arial" w:cs="Arial"/>
                <w:sz w:val="24"/>
                <w:szCs w:val="24"/>
              </w:rPr>
              <w:t>1.0</w:t>
            </w:r>
            <w:r w:rsidRPr="00FA5AC4">
              <w:rPr>
                <w:rFonts w:ascii="Arial" w:hAnsi="Arial" w:cs="Arial"/>
                <w:sz w:val="24"/>
                <w:szCs w:val="24"/>
              </w:rPr>
              <w:t>%</w:t>
            </w:r>
          </w:p>
        </w:tc>
        <w:tc>
          <w:tcPr>
            <w:tcW w:w="1276" w:type="dxa"/>
          </w:tcPr>
          <w:p w:rsidR="00803603" w:rsidRPr="007D220F" w:rsidRDefault="00803603" w:rsidP="00F843DA">
            <w:pPr>
              <w:jc w:val="right"/>
              <w:rPr>
                <w:rFonts w:ascii="Arial" w:hAnsi="Arial" w:cs="Arial"/>
                <w:sz w:val="24"/>
                <w:szCs w:val="24"/>
                <w:highlight w:val="yellow"/>
              </w:rPr>
            </w:pPr>
          </w:p>
        </w:tc>
        <w:tc>
          <w:tcPr>
            <w:tcW w:w="1322" w:type="dxa"/>
          </w:tcPr>
          <w:p w:rsidR="00803603" w:rsidRPr="007D220F" w:rsidRDefault="00803603" w:rsidP="00F843DA">
            <w:pPr>
              <w:jc w:val="right"/>
              <w:rPr>
                <w:rFonts w:ascii="Arial" w:hAnsi="Arial" w:cs="Arial"/>
                <w:sz w:val="24"/>
                <w:szCs w:val="24"/>
                <w:highlight w:val="yellow"/>
              </w:rPr>
            </w:pPr>
          </w:p>
        </w:tc>
      </w:tr>
      <w:tr w:rsidR="00803603" w:rsidRPr="00C4481A" w:rsidTr="0037199C">
        <w:tc>
          <w:tcPr>
            <w:tcW w:w="3333" w:type="dxa"/>
            <w:tcBorders>
              <w:bottom w:val="single" w:sz="4" w:space="0" w:color="auto"/>
            </w:tcBorders>
          </w:tcPr>
          <w:p w:rsidR="00803603" w:rsidRPr="00C4481A" w:rsidRDefault="00803603" w:rsidP="00F843DA">
            <w:pPr>
              <w:ind w:right="-352"/>
              <w:jc w:val="left"/>
              <w:rPr>
                <w:rFonts w:ascii="Arial" w:hAnsi="Arial" w:cs="Arial"/>
                <w:sz w:val="24"/>
                <w:szCs w:val="24"/>
              </w:rPr>
            </w:pPr>
            <w:r>
              <w:rPr>
                <w:rFonts w:ascii="Arial" w:hAnsi="Arial" w:cs="Arial"/>
                <w:sz w:val="24"/>
                <w:szCs w:val="24"/>
              </w:rPr>
              <w:t>N</w:t>
            </w:r>
            <w:r w:rsidRPr="00C4481A">
              <w:rPr>
                <w:rFonts w:ascii="Arial" w:hAnsi="Arial" w:cs="Arial"/>
                <w:sz w:val="24"/>
                <w:szCs w:val="24"/>
              </w:rPr>
              <w:t>et cash</w:t>
            </w:r>
          </w:p>
        </w:tc>
        <w:tc>
          <w:tcPr>
            <w:tcW w:w="1418" w:type="dxa"/>
            <w:tcBorders>
              <w:bottom w:val="single" w:sz="4" w:space="0" w:color="auto"/>
            </w:tcBorders>
          </w:tcPr>
          <w:p w:rsidR="00803603" w:rsidRPr="00FA5AC4" w:rsidRDefault="00803603" w:rsidP="00F843DA">
            <w:pPr>
              <w:jc w:val="right"/>
              <w:rPr>
                <w:rFonts w:ascii="Arial" w:hAnsi="Arial" w:cs="Arial"/>
                <w:sz w:val="24"/>
                <w:szCs w:val="24"/>
              </w:rPr>
            </w:pPr>
            <w:r w:rsidRPr="00FA5AC4">
              <w:rPr>
                <w:rFonts w:ascii="Arial" w:hAnsi="Arial" w:cs="Arial"/>
                <w:sz w:val="24"/>
                <w:szCs w:val="24"/>
              </w:rPr>
              <w:t>£2</w:t>
            </w:r>
            <w:r>
              <w:rPr>
                <w:rFonts w:ascii="Arial" w:hAnsi="Arial" w:cs="Arial"/>
                <w:sz w:val="24"/>
                <w:szCs w:val="24"/>
              </w:rPr>
              <w:t>59</w:t>
            </w:r>
            <w:r w:rsidRPr="00FA5AC4">
              <w:rPr>
                <w:rFonts w:ascii="Arial" w:hAnsi="Arial" w:cs="Arial"/>
                <w:sz w:val="24"/>
                <w:szCs w:val="24"/>
              </w:rPr>
              <w:t>m</w:t>
            </w:r>
          </w:p>
        </w:tc>
        <w:tc>
          <w:tcPr>
            <w:tcW w:w="1417" w:type="dxa"/>
            <w:tcBorders>
              <w:bottom w:val="single" w:sz="4" w:space="0" w:color="auto"/>
            </w:tcBorders>
          </w:tcPr>
          <w:p w:rsidR="00803603" w:rsidRPr="00FA5AC4" w:rsidRDefault="00803603" w:rsidP="00F843DA">
            <w:pPr>
              <w:jc w:val="right"/>
              <w:rPr>
                <w:rFonts w:ascii="Arial" w:hAnsi="Arial" w:cs="Arial"/>
                <w:sz w:val="24"/>
                <w:szCs w:val="24"/>
              </w:rPr>
            </w:pPr>
            <w:r w:rsidRPr="00FA5AC4">
              <w:rPr>
                <w:rFonts w:ascii="Arial" w:hAnsi="Arial" w:cs="Arial"/>
                <w:sz w:val="24"/>
                <w:szCs w:val="24"/>
              </w:rPr>
              <w:t>£29m</w:t>
            </w:r>
          </w:p>
        </w:tc>
        <w:tc>
          <w:tcPr>
            <w:tcW w:w="1276" w:type="dxa"/>
            <w:tcBorders>
              <w:bottom w:val="single" w:sz="4" w:space="0" w:color="auto"/>
            </w:tcBorders>
          </w:tcPr>
          <w:p w:rsidR="00803603" w:rsidRPr="00FA5AC4" w:rsidRDefault="00803603" w:rsidP="00F843DA">
            <w:pPr>
              <w:jc w:val="right"/>
              <w:rPr>
                <w:rFonts w:ascii="Arial" w:hAnsi="Arial" w:cs="Arial"/>
                <w:sz w:val="24"/>
                <w:szCs w:val="24"/>
              </w:rPr>
            </w:pPr>
            <w:r>
              <w:rPr>
                <w:rFonts w:ascii="Arial" w:hAnsi="Arial" w:cs="Arial"/>
                <w:sz w:val="24"/>
                <w:szCs w:val="24"/>
              </w:rPr>
              <w:t>n/a</w:t>
            </w:r>
          </w:p>
        </w:tc>
        <w:tc>
          <w:tcPr>
            <w:tcW w:w="1276" w:type="dxa"/>
            <w:tcBorders>
              <w:bottom w:val="single" w:sz="4" w:space="0" w:color="auto"/>
            </w:tcBorders>
          </w:tcPr>
          <w:p w:rsidR="00803603" w:rsidRPr="0006717E" w:rsidRDefault="00803603" w:rsidP="00F843DA">
            <w:pPr>
              <w:jc w:val="right"/>
              <w:rPr>
                <w:rFonts w:ascii="Arial" w:hAnsi="Arial" w:cs="Arial"/>
                <w:sz w:val="24"/>
                <w:szCs w:val="24"/>
              </w:rPr>
            </w:pPr>
          </w:p>
        </w:tc>
        <w:tc>
          <w:tcPr>
            <w:tcW w:w="1322" w:type="dxa"/>
            <w:tcBorders>
              <w:bottom w:val="single" w:sz="4" w:space="0" w:color="auto"/>
            </w:tcBorders>
          </w:tcPr>
          <w:p w:rsidR="00803603" w:rsidRPr="007D220F" w:rsidRDefault="00803603" w:rsidP="00F843DA">
            <w:pPr>
              <w:jc w:val="right"/>
              <w:rPr>
                <w:rFonts w:ascii="Arial" w:hAnsi="Arial" w:cs="Arial"/>
                <w:sz w:val="24"/>
                <w:szCs w:val="24"/>
                <w:highlight w:val="yellow"/>
              </w:rPr>
            </w:pPr>
          </w:p>
        </w:tc>
      </w:tr>
    </w:tbl>
    <w:p w:rsidR="00D853D3" w:rsidRDefault="00D853D3" w:rsidP="006B4A1A">
      <w:pPr>
        <w:tabs>
          <w:tab w:val="left" w:pos="357"/>
        </w:tabs>
        <w:ind w:right="-282"/>
        <w:jc w:val="left"/>
        <w:rPr>
          <w:rFonts w:ascii="Arial" w:hAnsi="Arial" w:cs="Arial"/>
          <w:i/>
          <w:iCs/>
          <w:sz w:val="18"/>
          <w:szCs w:val="18"/>
          <w:vertAlign w:val="superscript"/>
        </w:rPr>
      </w:pPr>
    </w:p>
    <w:p w:rsidR="006B4A1A" w:rsidRPr="00F843DA" w:rsidRDefault="00F843DA" w:rsidP="006B4A1A">
      <w:pPr>
        <w:tabs>
          <w:tab w:val="left" w:pos="357"/>
        </w:tabs>
        <w:ind w:right="-282"/>
        <w:jc w:val="left"/>
        <w:rPr>
          <w:rFonts w:ascii="Arial" w:hAnsi="Arial" w:cs="Arial"/>
          <w:i/>
          <w:iCs/>
          <w:sz w:val="18"/>
          <w:szCs w:val="18"/>
        </w:rPr>
      </w:pPr>
      <w:r w:rsidRPr="00F843DA">
        <w:rPr>
          <w:rFonts w:ascii="Arial" w:hAnsi="Arial" w:cs="Arial"/>
          <w:i/>
          <w:iCs/>
          <w:sz w:val="18"/>
          <w:szCs w:val="18"/>
          <w:vertAlign w:val="superscript"/>
        </w:rPr>
        <w:t xml:space="preserve"> </w:t>
      </w:r>
      <w:r w:rsidR="006B4A1A" w:rsidRPr="00F843DA">
        <w:rPr>
          <w:rFonts w:ascii="Arial" w:hAnsi="Arial" w:cs="Arial"/>
          <w:i/>
          <w:iCs/>
          <w:sz w:val="18"/>
          <w:szCs w:val="18"/>
          <w:vertAlign w:val="superscript"/>
        </w:rPr>
        <w:t>(</w:t>
      </w:r>
      <w:r w:rsidRPr="00F843DA">
        <w:rPr>
          <w:rFonts w:ascii="Arial" w:hAnsi="Arial" w:cs="Arial"/>
          <w:i/>
          <w:iCs/>
          <w:sz w:val="18"/>
          <w:szCs w:val="18"/>
          <w:vertAlign w:val="superscript"/>
        </w:rPr>
        <w:t>1</w:t>
      </w:r>
      <w:r w:rsidR="006B4A1A" w:rsidRPr="00F843DA">
        <w:rPr>
          <w:rFonts w:ascii="Arial" w:hAnsi="Arial" w:cs="Arial"/>
          <w:i/>
          <w:iCs/>
          <w:sz w:val="18"/>
          <w:szCs w:val="18"/>
          <w:vertAlign w:val="superscript"/>
        </w:rPr>
        <w:t>)</w:t>
      </w:r>
      <w:r w:rsidR="00F049B6">
        <w:rPr>
          <w:rFonts w:ascii="Arial" w:hAnsi="Arial" w:cs="Arial"/>
          <w:i/>
          <w:iCs/>
          <w:sz w:val="18"/>
          <w:szCs w:val="18"/>
          <w:vertAlign w:val="superscript"/>
        </w:rPr>
        <w:t xml:space="preserve"> </w:t>
      </w:r>
      <w:r w:rsidR="006B4A1A" w:rsidRPr="00F843DA">
        <w:rPr>
          <w:rFonts w:ascii="Arial" w:hAnsi="Arial" w:cs="Arial"/>
          <w:i/>
          <w:iCs/>
          <w:sz w:val="18"/>
          <w:szCs w:val="18"/>
        </w:rPr>
        <w:t xml:space="preserve">Joint Venture (Koçtaş) and Associate (Hornbach) sales are not consolidated. </w:t>
      </w:r>
    </w:p>
    <w:p w:rsidR="006B4A1A" w:rsidRDefault="00F843DA" w:rsidP="006B4A1A">
      <w:pPr>
        <w:tabs>
          <w:tab w:val="left" w:pos="357"/>
        </w:tabs>
        <w:ind w:right="-282"/>
        <w:jc w:val="left"/>
        <w:rPr>
          <w:rFonts w:ascii="Arial" w:hAnsi="Arial" w:cs="Arial"/>
          <w:i/>
          <w:iCs/>
          <w:sz w:val="18"/>
          <w:szCs w:val="18"/>
        </w:rPr>
      </w:pPr>
      <w:r w:rsidRPr="007A3993">
        <w:rPr>
          <w:rFonts w:ascii="Arial" w:hAnsi="Arial" w:cs="Arial"/>
          <w:i/>
          <w:iCs/>
          <w:sz w:val="18"/>
          <w:szCs w:val="18"/>
          <w:vertAlign w:val="superscript"/>
        </w:rPr>
        <w:t>(2</w:t>
      </w:r>
      <w:r w:rsidR="006B4A1A" w:rsidRPr="007A3993">
        <w:rPr>
          <w:rFonts w:ascii="Arial" w:hAnsi="Arial" w:cs="Arial"/>
          <w:i/>
          <w:iCs/>
          <w:sz w:val="18"/>
          <w:szCs w:val="18"/>
          <w:vertAlign w:val="superscript"/>
        </w:rPr>
        <w:t>)</w:t>
      </w:r>
      <w:r w:rsidR="00F049B6">
        <w:rPr>
          <w:rFonts w:ascii="Arial" w:hAnsi="Arial" w:cs="Arial"/>
          <w:i/>
          <w:iCs/>
          <w:sz w:val="18"/>
          <w:szCs w:val="18"/>
          <w:vertAlign w:val="superscript"/>
        </w:rPr>
        <w:t xml:space="preserve"> </w:t>
      </w:r>
      <w:r w:rsidR="00F049B6" w:rsidRPr="007A3993">
        <w:rPr>
          <w:rFonts w:ascii="Arial" w:hAnsi="Arial" w:cs="Arial"/>
          <w:i/>
          <w:iCs/>
          <w:sz w:val="18"/>
          <w:szCs w:val="18"/>
        </w:rPr>
        <w:t xml:space="preserve">Retail profit is operating profit stated before central costs, exceptional items, amortisation of acquisition intangibles and the Group’s share of interest and tax of JVs and </w:t>
      </w:r>
      <w:r w:rsidR="00FD7290">
        <w:rPr>
          <w:rFonts w:ascii="Arial" w:hAnsi="Arial" w:cs="Arial"/>
          <w:i/>
          <w:iCs/>
          <w:sz w:val="18"/>
          <w:szCs w:val="18"/>
        </w:rPr>
        <w:t>A</w:t>
      </w:r>
      <w:r w:rsidR="00F049B6" w:rsidRPr="007A3993">
        <w:rPr>
          <w:rFonts w:ascii="Arial" w:hAnsi="Arial" w:cs="Arial"/>
          <w:i/>
          <w:iCs/>
          <w:sz w:val="18"/>
          <w:szCs w:val="18"/>
        </w:rPr>
        <w:t>ssociates.</w:t>
      </w:r>
    </w:p>
    <w:p w:rsidR="006E42B5" w:rsidRPr="009528BD" w:rsidRDefault="00F049B6" w:rsidP="00F049B6">
      <w:pPr>
        <w:pStyle w:val="Default"/>
        <w:rPr>
          <w:rFonts w:ascii="Arial" w:hAnsi="Arial" w:cs="Arial"/>
          <w:i/>
          <w:iCs/>
          <w:color w:val="auto"/>
          <w:sz w:val="18"/>
          <w:szCs w:val="18"/>
        </w:rPr>
      </w:pPr>
      <w:r w:rsidRPr="009528BD">
        <w:rPr>
          <w:rFonts w:ascii="Arial" w:hAnsi="Arial" w:cs="Arial"/>
          <w:i/>
          <w:iCs/>
          <w:color w:val="auto"/>
          <w:sz w:val="18"/>
          <w:szCs w:val="18"/>
          <w:vertAlign w:val="superscript"/>
        </w:rPr>
        <w:t>(3)</w:t>
      </w:r>
      <w:r w:rsidRPr="009528BD">
        <w:rPr>
          <w:rFonts w:ascii="Arial" w:hAnsi="Arial" w:cs="Arial"/>
          <w:i/>
          <w:iCs/>
          <w:color w:val="auto"/>
          <w:sz w:val="18"/>
          <w:szCs w:val="18"/>
        </w:rPr>
        <w:t xml:space="preserve"> </w:t>
      </w:r>
      <w:bookmarkStart w:id="1" w:name="OLE_LINK5"/>
      <w:bookmarkStart w:id="2" w:name="OLE_LINK6"/>
      <w:r w:rsidRPr="009528BD">
        <w:rPr>
          <w:rFonts w:ascii="Arial" w:hAnsi="Arial" w:cs="Arial"/>
          <w:i/>
          <w:iCs/>
          <w:color w:val="auto"/>
          <w:sz w:val="18"/>
          <w:szCs w:val="18"/>
        </w:rPr>
        <w:t xml:space="preserve">2012/13 comparatives restated by £2m to reflect reclassification of pension administrative expenses from finance costs to </w:t>
      </w:r>
      <w:r w:rsidR="00803603">
        <w:rPr>
          <w:rFonts w:ascii="Arial" w:hAnsi="Arial" w:cs="Arial"/>
          <w:i/>
          <w:iCs/>
          <w:color w:val="auto"/>
          <w:sz w:val="18"/>
          <w:szCs w:val="18"/>
        </w:rPr>
        <w:t>retail</w:t>
      </w:r>
      <w:r w:rsidRPr="009528BD">
        <w:rPr>
          <w:rFonts w:ascii="Arial" w:hAnsi="Arial" w:cs="Arial"/>
          <w:i/>
          <w:iCs/>
          <w:color w:val="auto"/>
          <w:sz w:val="18"/>
          <w:szCs w:val="18"/>
        </w:rPr>
        <w:t xml:space="preserve"> profit, as per the amended IAS 19.</w:t>
      </w:r>
      <w:bookmarkEnd w:id="1"/>
      <w:bookmarkEnd w:id="2"/>
    </w:p>
    <w:p w:rsidR="006B4A1A" w:rsidRDefault="006E42B5" w:rsidP="006B4A1A">
      <w:pPr>
        <w:tabs>
          <w:tab w:val="left" w:pos="357"/>
        </w:tabs>
        <w:ind w:right="-282"/>
        <w:jc w:val="left"/>
        <w:rPr>
          <w:rFonts w:ascii="Arial" w:hAnsi="Arial" w:cs="Arial"/>
          <w:i/>
          <w:iCs/>
          <w:sz w:val="18"/>
          <w:szCs w:val="18"/>
        </w:rPr>
      </w:pPr>
      <w:bookmarkStart w:id="3" w:name="OLE_LINK11"/>
      <w:bookmarkStart w:id="4" w:name="OLE_LINK12"/>
      <w:r>
        <w:rPr>
          <w:rFonts w:ascii="Arial" w:hAnsi="Arial" w:cs="Arial"/>
          <w:i/>
          <w:iCs/>
          <w:sz w:val="18"/>
          <w:szCs w:val="18"/>
          <w:vertAlign w:val="superscript"/>
        </w:rPr>
        <w:t>(4</w:t>
      </w:r>
      <w:r w:rsidR="006B4A1A" w:rsidRPr="007A3993">
        <w:rPr>
          <w:rFonts w:ascii="Arial" w:hAnsi="Arial" w:cs="Arial"/>
          <w:i/>
          <w:iCs/>
          <w:sz w:val="18"/>
          <w:szCs w:val="18"/>
          <w:vertAlign w:val="superscript"/>
        </w:rPr>
        <w:t>)</w:t>
      </w:r>
      <w:r w:rsidR="00F049B6">
        <w:rPr>
          <w:rFonts w:ascii="Arial" w:hAnsi="Arial" w:cs="Arial"/>
          <w:i/>
          <w:iCs/>
          <w:sz w:val="18"/>
          <w:szCs w:val="18"/>
          <w:vertAlign w:val="superscript"/>
        </w:rPr>
        <w:t xml:space="preserve"> </w:t>
      </w:r>
      <w:r w:rsidR="006B4A1A" w:rsidRPr="007A3993">
        <w:rPr>
          <w:rFonts w:ascii="Arial" w:hAnsi="Arial" w:cs="Arial"/>
          <w:i/>
          <w:iCs/>
          <w:sz w:val="18"/>
          <w:szCs w:val="18"/>
        </w:rPr>
        <w:t xml:space="preserve">Adjusted measures are before exceptional items, financing fair value remeasurements, amortisation of acquisition intangibles, related tax items and tax on prior year items. A reconciliation to statutory amounts is set out in the Financial </w:t>
      </w:r>
      <w:r w:rsidR="006B4A1A" w:rsidRPr="005F3F68">
        <w:rPr>
          <w:rFonts w:ascii="Arial" w:hAnsi="Arial" w:cs="Arial"/>
          <w:i/>
          <w:iCs/>
          <w:sz w:val="18"/>
          <w:szCs w:val="18"/>
        </w:rPr>
        <w:t xml:space="preserve">Review </w:t>
      </w:r>
      <w:r w:rsidR="005F3F68" w:rsidRPr="005F3F68">
        <w:rPr>
          <w:rFonts w:ascii="Arial" w:hAnsi="Arial" w:cs="Arial"/>
          <w:i/>
          <w:iCs/>
          <w:sz w:val="18"/>
          <w:szCs w:val="18"/>
        </w:rPr>
        <w:t xml:space="preserve">(Section </w:t>
      </w:r>
      <w:r w:rsidR="00783665">
        <w:rPr>
          <w:rFonts w:ascii="Arial" w:hAnsi="Arial" w:cs="Arial"/>
          <w:i/>
          <w:iCs/>
          <w:sz w:val="18"/>
          <w:szCs w:val="18"/>
        </w:rPr>
        <w:t>4</w:t>
      </w:r>
      <w:r w:rsidR="006B4A1A" w:rsidRPr="005F3F68">
        <w:rPr>
          <w:rFonts w:ascii="Arial" w:hAnsi="Arial" w:cs="Arial"/>
          <w:i/>
          <w:iCs/>
          <w:sz w:val="18"/>
          <w:szCs w:val="18"/>
        </w:rPr>
        <w:t xml:space="preserve">). </w:t>
      </w:r>
    </w:p>
    <w:bookmarkEnd w:id="3"/>
    <w:bookmarkEnd w:id="4"/>
    <w:p w:rsidR="006B4A1A" w:rsidRPr="004C2B82" w:rsidRDefault="006B4A1A" w:rsidP="0026633C">
      <w:pPr>
        <w:jc w:val="left"/>
        <w:rPr>
          <w:rFonts w:ascii="Arial" w:hAnsi="Arial" w:cs="Arial"/>
          <w:sz w:val="24"/>
          <w:szCs w:val="24"/>
        </w:rPr>
      </w:pPr>
    </w:p>
    <w:p w:rsidR="00F349C9" w:rsidRPr="00FA5AC4" w:rsidRDefault="00181E03" w:rsidP="00251609">
      <w:pPr>
        <w:jc w:val="left"/>
        <w:rPr>
          <w:rFonts w:ascii="Arial" w:hAnsi="Arial" w:cs="Arial"/>
          <w:sz w:val="24"/>
          <w:szCs w:val="24"/>
        </w:rPr>
      </w:pPr>
      <w:r w:rsidRPr="00FA5AC4">
        <w:rPr>
          <w:rFonts w:ascii="Arial" w:hAnsi="Arial" w:cs="Arial"/>
          <w:b/>
          <w:bCs/>
          <w:sz w:val="24"/>
          <w:szCs w:val="24"/>
          <w:u w:val="single"/>
        </w:rPr>
        <w:t>Highlights</w:t>
      </w:r>
      <w:r w:rsidR="00803603">
        <w:rPr>
          <w:rFonts w:ascii="Arial" w:hAnsi="Arial" w:cs="Arial"/>
          <w:b/>
          <w:bCs/>
          <w:sz w:val="24"/>
          <w:szCs w:val="24"/>
          <w:u w:val="single"/>
        </w:rPr>
        <w:t xml:space="preserve"> (in constant currencies):</w:t>
      </w:r>
    </w:p>
    <w:p w:rsidR="00B10D35" w:rsidRDefault="00B10D35" w:rsidP="00FA5AC4">
      <w:pPr>
        <w:pStyle w:val="ListParagraph"/>
        <w:numPr>
          <w:ilvl w:val="0"/>
          <w:numId w:val="46"/>
        </w:numPr>
        <w:jc w:val="left"/>
        <w:rPr>
          <w:rFonts w:ascii="Arial" w:hAnsi="Arial" w:cs="Arial"/>
          <w:sz w:val="24"/>
          <w:szCs w:val="24"/>
        </w:rPr>
      </w:pPr>
      <w:r>
        <w:rPr>
          <w:rFonts w:ascii="Arial" w:hAnsi="Arial" w:cs="Arial"/>
          <w:sz w:val="24"/>
          <w:szCs w:val="24"/>
        </w:rPr>
        <w:t>Sales and profit impacted by:</w:t>
      </w:r>
    </w:p>
    <w:p w:rsidR="00F66A39" w:rsidRDefault="003A59B8" w:rsidP="00341967">
      <w:pPr>
        <w:pStyle w:val="ListParagraph"/>
        <w:numPr>
          <w:ilvl w:val="1"/>
          <w:numId w:val="46"/>
        </w:numPr>
        <w:jc w:val="left"/>
        <w:rPr>
          <w:rFonts w:ascii="Arial" w:hAnsi="Arial" w:cs="Arial"/>
          <w:sz w:val="24"/>
          <w:szCs w:val="24"/>
        </w:rPr>
      </w:pPr>
      <w:r>
        <w:rPr>
          <w:rFonts w:ascii="Arial" w:hAnsi="Arial" w:cs="Arial"/>
          <w:sz w:val="24"/>
          <w:szCs w:val="24"/>
        </w:rPr>
        <w:t>On-going weak consumer confidence in our three major markets</w:t>
      </w:r>
    </w:p>
    <w:p w:rsidR="004D11EA" w:rsidRDefault="00B0715F" w:rsidP="00F341D2">
      <w:pPr>
        <w:pStyle w:val="ListParagraph"/>
        <w:numPr>
          <w:ilvl w:val="1"/>
          <w:numId w:val="46"/>
        </w:numPr>
        <w:jc w:val="left"/>
        <w:rPr>
          <w:rFonts w:ascii="Arial" w:hAnsi="Arial" w:cs="Arial"/>
          <w:sz w:val="24"/>
          <w:szCs w:val="24"/>
        </w:rPr>
      </w:pPr>
      <w:r w:rsidRPr="00F341D2">
        <w:rPr>
          <w:rFonts w:ascii="Arial" w:hAnsi="Arial" w:cs="Arial"/>
          <w:sz w:val="24"/>
          <w:szCs w:val="24"/>
        </w:rPr>
        <w:t xml:space="preserve">Volatility a key feature across H1 </w:t>
      </w:r>
    </w:p>
    <w:p w:rsidR="00B0715F" w:rsidRPr="00F341D2" w:rsidRDefault="00803603" w:rsidP="00F341D2">
      <w:pPr>
        <w:pStyle w:val="ListParagraph"/>
        <w:numPr>
          <w:ilvl w:val="2"/>
          <w:numId w:val="46"/>
        </w:numPr>
        <w:jc w:val="left"/>
        <w:rPr>
          <w:rFonts w:ascii="Arial" w:hAnsi="Arial" w:cs="Arial"/>
          <w:sz w:val="24"/>
          <w:szCs w:val="24"/>
        </w:rPr>
      </w:pPr>
      <w:r>
        <w:rPr>
          <w:rFonts w:ascii="Arial" w:hAnsi="Arial" w:cs="Arial"/>
          <w:sz w:val="24"/>
          <w:szCs w:val="24"/>
        </w:rPr>
        <w:t>R</w:t>
      </w:r>
      <w:r w:rsidR="00B0715F" w:rsidRPr="00F341D2">
        <w:rPr>
          <w:rFonts w:ascii="Arial" w:hAnsi="Arial" w:cs="Arial"/>
          <w:sz w:val="24"/>
          <w:szCs w:val="24"/>
        </w:rPr>
        <w:t>ecord cold weather in Q1 followed by better weather in Q2</w:t>
      </w:r>
      <w:r w:rsidR="004D11EA" w:rsidRPr="00F341D2">
        <w:rPr>
          <w:rFonts w:ascii="Arial" w:hAnsi="Arial" w:cs="Arial"/>
          <w:sz w:val="24"/>
          <w:szCs w:val="24"/>
        </w:rPr>
        <w:t xml:space="preserve"> (</w:t>
      </w:r>
      <w:r w:rsidR="00B0715F" w:rsidRPr="00F341D2">
        <w:rPr>
          <w:rFonts w:ascii="Arial" w:hAnsi="Arial" w:cs="Arial"/>
          <w:sz w:val="24"/>
          <w:szCs w:val="24"/>
        </w:rPr>
        <w:t>outdoor products down 10% in Q1</w:t>
      </w:r>
      <w:r w:rsidR="003D0ED8">
        <w:rPr>
          <w:rFonts w:ascii="Arial" w:hAnsi="Arial" w:cs="Arial"/>
          <w:sz w:val="24"/>
          <w:szCs w:val="24"/>
        </w:rPr>
        <w:t>,</w:t>
      </w:r>
      <w:r w:rsidR="00B0715F" w:rsidRPr="003D0ED8">
        <w:rPr>
          <w:rFonts w:ascii="Arial" w:hAnsi="Arial" w:cs="Arial"/>
          <w:sz w:val="24"/>
          <w:szCs w:val="24"/>
        </w:rPr>
        <w:t xml:space="preserve"> </w:t>
      </w:r>
      <w:r w:rsidR="00B0715F" w:rsidRPr="002657CA">
        <w:rPr>
          <w:rFonts w:ascii="Arial" w:hAnsi="Arial" w:cs="Arial"/>
          <w:sz w:val="24"/>
          <w:szCs w:val="24"/>
        </w:rPr>
        <w:t xml:space="preserve">up </w:t>
      </w:r>
      <w:r w:rsidR="00BF531D">
        <w:rPr>
          <w:rFonts w:ascii="Arial" w:hAnsi="Arial" w:cs="Arial"/>
          <w:sz w:val="24"/>
          <w:szCs w:val="24"/>
        </w:rPr>
        <w:t>9</w:t>
      </w:r>
      <w:r w:rsidR="00B0715F" w:rsidRPr="002657CA">
        <w:rPr>
          <w:rFonts w:ascii="Arial" w:hAnsi="Arial" w:cs="Arial"/>
          <w:sz w:val="24"/>
          <w:szCs w:val="24"/>
        </w:rPr>
        <w:t>%</w:t>
      </w:r>
      <w:r w:rsidR="00B0715F" w:rsidRPr="00F341D2">
        <w:rPr>
          <w:rFonts w:ascii="Arial" w:hAnsi="Arial" w:cs="Arial"/>
          <w:sz w:val="24"/>
          <w:szCs w:val="24"/>
        </w:rPr>
        <w:t xml:space="preserve"> in Q2</w:t>
      </w:r>
      <w:r w:rsidR="004D11EA">
        <w:rPr>
          <w:rFonts w:ascii="Arial" w:hAnsi="Arial" w:cs="Arial"/>
          <w:sz w:val="24"/>
          <w:szCs w:val="24"/>
        </w:rPr>
        <w:t>)</w:t>
      </w:r>
    </w:p>
    <w:p w:rsidR="00B0715F" w:rsidRPr="00F341D2" w:rsidRDefault="00B0715F" w:rsidP="00F341D2">
      <w:pPr>
        <w:pStyle w:val="ListParagraph"/>
        <w:numPr>
          <w:ilvl w:val="2"/>
          <w:numId w:val="46"/>
        </w:numPr>
        <w:jc w:val="left"/>
        <w:rPr>
          <w:rFonts w:ascii="Arial" w:hAnsi="Arial" w:cs="Arial"/>
          <w:sz w:val="24"/>
          <w:szCs w:val="24"/>
        </w:rPr>
      </w:pPr>
      <w:r w:rsidRPr="00F341D2">
        <w:rPr>
          <w:rFonts w:ascii="Arial" w:hAnsi="Arial" w:cs="Arial"/>
          <w:sz w:val="24"/>
          <w:szCs w:val="24"/>
        </w:rPr>
        <w:t xml:space="preserve">Retail </w:t>
      </w:r>
      <w:r w:rsidR="00F03A38">
        <w:rPr>
          <w:rFonts w:ascii="Arial" w:hAnsi="Arial" w:cs="Arial"/>
          <w:sz w:val="24"/>
          <w:szCs w:val="24"/>
        </w:rPr>
        <w:t>profit down 29.2% in Q1 and up 10.8% in Q2</w:t>
      </w:r>
    </w:p>
    <w:p w:rsidR="003A59B8" w:rsidRDefault="002D4CCF" w:rsidP="00FA5AC4">
      <w:pPr>
        <w:pStyle w:val="ListParagraph"/>
        <w:numPr>
          <w:ilvl w:val="0"/>
          <w:numId w:val="46"/>
        </w:numPr>
        <w:jc w:val="left"/>
        <w:rPr>
          <w:rFonts w:ascii="Arial" w:hAnsi="Arial" w:cs="Arial"/>
          <w:sz w:val="24"/>
          <w:szCs w:val="24"/>
        </w:rPr>
      </w:pPr>
      <w:r>
        <w:rPr>
          <w:rFonts w:ascii="Arial" w:hAnsi="Arial" w:cs="Arial"/>
          <w:sz w:val="24"/>
          <w:szCs w:val="24"/>
        </w:rPr>
        <w:t>‘Creating the L</w:t>
      </w:r>
      <w:r w:rsidR="003A59B8">
        <w:rPr>
          <w:rFonts w:ascii="Arial" w:hAnsi="Arial" w:cs="Arial"/>
          <w:sz w:val="24"/>
          <w:szCs w:val="24"/>
        </w:rPr>
        <w:t xml:space="preserve">eader’ programme </w:t>
      </w:r>
      <w:r w:rsidR="00FB0460">
        <w:rPr>
          <w:rFonts w:ascii="Arial" w:hAnsi="Arial" w:cs="Arial"/>
          <w:sz w:val="24"/>
          <w:szCs w:val="24"/>
        </w:rPr>
        <w:t>progressing well</w:t>
      </w:r>
    </w:p>
    <w:p w:rsidR="003A59B8" w:rsidRDefault="002D4CCF" w:rsidP="00341967">
      <w:pPr>
        <w:pStyle w:val="ListParagraph"/>
        <w:numPr>
          <w:ilvl w:val="1"/>
          <w:numId w:val="46"/>
        </w:numPr>
        <w:jc w:val="left"/>
        <w:rPr>
          <w:rFonts w:ascii="Arial" w:hAnsi="Arial" w:cs="Arial"/>
          <w:sz w:val="24"/>
          <w:szCs w:val="24"/>
        </w:rPr>
      </w:pPr>
      <w:r>
        <w:rPr>
          <w:rFonts w:ascii="Arial" w:hAnsi="Arial" w:cs="Arial"/>
          <w:sz w:val="24"/>
          <w:szCs w:val="24"/>
        </w:rPr>
        <w:t>2013/14 milestone delivery on track</w:t>
      </w:r>
    </w:p>
    <w:p w:rsidR="0080353D" w:rsidRDefault="00410AC5" w:rsidP="00341967">
      <w:pPr>
        <w:pStyle w:val="ListParagraph"/>
        <w:numPr>
          <w:ilvl w:val="1"/>
          <w:numId w:val="46"/>
        </w:numPr>
        <w:jc w:val="left"/>
        <w:rPr>
          <w:rFonts w:ascii="Arial" w:hAnsi="Arial" w:cs="Arial"/>
          <w:sz w:val="24"/>
          <w:szCs w:val="24"/>
        </w:rPr>
      </w:pPr>
      <w:r>
        <w:rPr>
          <w:rFonts w:ascii="Arial" w:hAnsi="Arial" w:cs="Arial"/>
          <w:sz w:val="24"/>
          <w:szCs w:val="24"/>
        </w:rPr>
        <w:t>On-going self-help initiatives support</w:t>
      </w:r>
      <w:r w:rsidR="00803603">
        <w:rPr>
          <w:rFonts w:ascii="Arial" w:hAnsi="Arial" w:cs="Arial"/>
          <w:sz w:val="24"/>
          <w:szCs w:val="24"/>
        </w:rPr>
        <w:t>ing short term</w:t>
      </w:r>
      <w:r>
        <w:rPr>
          <w:rFonts w:ascii="Arial" w:hAnsi="Arial" w:cs="Arial"/>
          <w:sz w:val="24"/>
          <w:szCs w:val="24"/>
        </w:rPr>
        <w:t xml:space="preserve"> performance</w:t>
      </w:r>
      <w:r w:rsidR="00803603">
        <w:rPr>
          <w:rFonts w:ascii="Arial" w:hAnsi="Arial" w:cs="Arial"/>
          <w:sz w:val="24"/>
          <w:szCs w:val="24"/>
        </w:rPr>
        <w:t xml:space="preserve"> in challenging markets</w:t>
      </w:r>
    </w:p>
    <w:p w:rsidR="00181E03" w:rsidRDefault="00410AC5" w:rsidP="00341967">
      <w:pPr>
        <w:pStyle w:val="ListParagraph"/>
        <w:numPr>
          <w:ilvl w:val="1"/>
          <w:numId w:val="46"/>
        </w:numPr>
        <w:jc w:val="left"/>
        <w:rPr>
          <w:rFonts w:ascii="Arial" w:hAnsi="Arial" w:cs="Arial"/>
          <w:sz w:val="24"/>
          <w:szCs w:val="24"/>
        </w:rPr>
      </w:pPr>
      <w:r>
        <w:rPr>
          <w:rFonts w:ascii="Arial" w:hAnsi="Arial" w:cs="Arial"/>
          <w:sz w:val="24"/>
          <w:szCs w:val="24"/>
        </w:rPr>
        <w:t>Completed</w:t>
      </w:r>
      <w:r w:rsidR="003A59B8">
        <w:rPr>
          <w:rFonts w:ascii="Arial" w:hAnsi="Arial" w:cs="Arial"/>
          <w:sz w:val="24"/>
          <w:szCs w:val="24"/>
        </w:rPr>
        <w:t xml:space="preserve"> the acquisition of 15 stores in Romania</w:t>
      </w:r>
    </w:p>
    <w:p w:rsidR="00FB0460" w:rsidRPr="00FA5AC4" w:rsidRDefault="00FB0460" w:rsidP="00341967">
      <w:pPr>
        <w:pStyle w:val="ListParagraph"/>
        <w:numPr>
          <w:ilvl w:val="1"/>
          <w:numId w:val="46"/>
        </w:numPr>
        <w:jc w:val="left"/>
        <w:rPr>
          <w:rFonts w:ascii="Arial" w:hAnsi="Arial" w:cs="Arial"/>
          <w:sz w:val="24"/>
          <w:szCs w:val="24"/>
        </w:rPr>
      </w:pPr>
      <w:r>
        <w:rPr>
          <w:rFonts w:ascii="Arial" w:hAnsi="Arial" w:cs="Arial"/>
          <w:sz w:val="24"/>
          <w:szCs w:val="24"/>
        </w:rPr>
        <w:t>Accelerating the UK expansion of Screwfix, announcing 2014 Germany trials</w:t>
      </w:r>
    </w:p>
    <w:p w:rsidR="00410AC5" w:rsidRDefault="00410AC5" w:rsidP="00FA5AC4">
      <w:pPr>
        <w:pStyle w:val="ListParagraph"/>
        <w:numPr>
          <w:ilvl w:val="0"/>
          <w:numId w:val="46"/>
        </w:numPr>
        <w:jc w:val="left"/>
        <w:rPr>
          <w:rFonts w:ascii="Arial" w:hAnsi="Arial" w:cs="Arial"/>
          <w:sz w:val="24"/>
          <w:szCs w:val="24"/>
        </w:rPr>
      </w:pPr>
      <w:r>
        <w:rPr>
          <w:rFonts w:ascii="Arial" w:hAnsi="Arial" w:cs="Arial"/>
          <w:sz w:val="24"/>
          <w:szCs w:val="24"/>
        </w:rPr>
        <w:t>Balance sheet</w:t>
      </w:r>
    </w:p>
    <w:p w:rsidR="002D4CCF" w:rsidRDefault="002D4CCF" w:rsidP="00F341D2">
      <w:pPr>
        <w:pStyle w:val="ListParagraph"/>
        <w:numPr>
          <w:ilvl w:val="1"/>
          <w:numId w:val="46"/>
        </w:numPr>
        <w:jc w:val="left"/>
        <w:rPr>
          <w:rFonts w:ascii="Arial" w:hAnsi="Arial" w:cs="Arial"/>
          <w:sz w:val="24"/>
          <w:szCs w:val="24"/>
        </w:rPr>
      </w:pPr>
      <w:r>
        <w:rPr>
          <w:rFonts w:ascii="Arial" w:hAnsi="Arial" w:cs="Arial"/>
          <w:sz w:val="24"/>
          <w:szCs w:val="24"/>
        </w:rPr>
        <w:t>£145 million exceptional provision release relating to</w:t>
      </w:r>
      <w:r w:rsidRPr="00341967">
        <w:rPr>
          <w:rFonts w:ascii="Arial" w:hAnsi="Arial" w:cs="Arial"/>
          <w:sz w:val="24"/>
          <w:szCs w:val="24"/>
        </w:rPr>
        <w:t xml:space="preserve"> the successful resolution of the K</w:t>
      </w:r>
      <w:r w:rsidR="00BC0379">
        <w:rPr>
          <w:rFonts w:ascii="Arial" w:hAnsi="Arial" w:cs="Arial"/>
          <w:sz w:val="24"/>
          <w:szCs w:val="24"/>
        </w:rPr>
        <w:t>esa</w:t>
      </w:r>
      <w:r w:rsidRPr="00341967">
        <w:rPr>
          <w:rFonts w:ascii="Arial" w:hAnsi="Arial" w:cs="Arial"/>
          <w:sz w:val="24"/>
          <w:szCs w:val="24"/>
        </w:rPr>
        <w:t xml:space="preserve"> demerger French tax case</w:t>
      </w:r>
    </w:p>
    <w:p w:rsidR="00410AC5" w:rsidRDefault="00410AC5" w:rsidP="00F341D2">
      <w:pPr>
        <w:pStyle w:val="ListParagraph"/>
        <w:numPr>
          <w:ilvl w:val="1"/>
          <w:numId w:val="46"/>
        </w:numPr>
        <w:jc w:val="left"/>
        <w:rPr>
          <w:rFonts w:ascii="Arial" w:hAnsi="Arial" w:cs="Arial"/>
          <w:sz w:val="24"/>
          <w:szCs w:val="24"/>
        </w:rPr>
      </w:pPr>
      <w:r>
        <w:rPr>
          <w:rFonts w:ascii="Arial" w:hAnsi="Arial" w:cs="Arial"/>
          <w:sz w:val="24"/>
          <w:szCs w:val="24"/>
        </w:rPr>
        <w:t>M</w:t>
      </w:r>
      <w:r w:rsidR="00E467E5">
        <w:rPr>
          <w:rFonts w:ascii="Arial" w:hAnsi="Arial" w:cs="Arial"/>
          <w:sz w:val="24"/>
          <w:szCs w:val="24"/>
        </w:rPr>
        <w:t xml:space="preserve">oving annual </w:t>
      </w:r>
      <w:r w:rsidR="005A7F35">
        <w:rPr>
          <w:rFonts w:ascii="Arial" w:hAnsi="Arial" w:cs="Arial"/>
          <w:sz w:val="24"/>
          <w:szCs w:val="24"/>
        </w:rPr>
        <w:t xml:space="preserve">lease adjusted </w:t>
      </w:r>
      <w:r>
        <w:rPr>
          <w:rFonts w:ascii="Arial" w:hAnsi="Arial" w:cs="Arial"/>
          <w:sz w:val="24"/>
          <w:szCs w:val="24"/>
        </w:rPr>
        <w:t xml:space="preserve">net debt/EBITDAR </w:t>
      </w:r>
      <w:r w:rsidR="00E467E5">
        <w:rPr>
          <w:rFonts w:ascii="Arial" w:hAnsi="Arial" w:cs="Arial"/>
          <w:sz w:val="24"/>
          <w:szCs w:val="24"/>
        </w:rPr>
        <w:t>at</w:t>
      </w:r>
      <w:r w:rsidR="00D853D3">
        <w:rPr>
          <w:rFonts w:ascii="Arial" w:hAnsi="Arial" w:cs="Arial"/>
          <w:sz w:val="24"/>
          <w:szCs w:val="24"/>
        </w:rPr>
        <w:t xml:space="preserve"> </w:t>
      </w:r>
      <w:r>
        <w:rPr>
          <w:rFonts w:ascii="Arial" w:hAnsi="Arial" w:cs="Arial"/>
          <w:sz w:val="24"/>
          <w:szCs w:val="24"/>
        </w:rPr>
        <w:t xml:space="preserve">2.3 times, </w:t>
      </w:r>
      <w:r w:rsidR="00C85CB5">
        <w:rPr>
          <w:rFonts w:ascii="Arial" w:hAnsi="Arial" w:cs="Arial"/>
          <w:sz w:val="24"/>
          <w:szCs w:val="24"/>
        </w:rPr>
        <w:t xml:space="preserve">broadly </w:t>
      </w:r>
      <w:r>
        <w:rPr>
          <w:rFonts w:ascii="Arial" w:hAnsi="Arial" w:cs="Arial"/>
          <w:sz w:val="24"/>
          <w:szCs w:val="24"/>
        </w:rPr>
        <w:t>in line with year end</w:t>
      </w:r>
    </w:p>
    <w:p w:rsidR="00181E03" w:rsidRPr="004C2B82" w:rsidRDefault="00181E03" w:rsidP="00B24372">
      <w:pPr>
        <w:rPr>
          <w:rFonts w:ascii="Arial" w:hAnsi="Arial" w:cs="Arial"/>
          <w:b/>
          <w:bCs/>
          <w:sz w:val="24"/>
          <w:szCs w:val="24"/>
        </w:rPr>
      </w:pPr>
      <w:r w:rsidRPr="006628D3">
        <w:rPr>
          <w:rFonts w:ascii="Arial" w:hAnsi="Arial" w:cs="Arial"/>
          <w:b/>
          <w:bCs/>
          <w:color w:val="FF0000"/>
          <w:sz w:val="24"/>
          <w:szCs w:val="24"/>
          <w:highlight w:val="yellow"/>
        </w:rPr>
        <w:br w:type="page"/>
      </w:r>
      <w:r w:rsidRPr="004C2B82">
        <w:rPr>
          <w:rFonts w:ascii="Arial" w:hAnsi="Arial" w:cs="Arial"/>
          <w:b/>
          <w:bCs/>
          <w:sz w:val="24"/>
          <w:szCs w:val="24"/>
        </w:rPr>
        <w:lastRenderedPageBreak/>
        <w:t>Ian Cheshire, Group Chief Executive, said:</w:t>
      </w:r>
    </w:p>
    <w:p w:rsidR="000C3669" w:rsidRDefault="000C3669" w:rsidP="000C3669">
      <w:pPr>
        <w:jc w:val="left"/>
        <w:rPr>
          <w:rFonts w:ascii="Arial" w:hAnsi="Arial" w:cs="Arial"/>
          <w:sz w:val="24"/>
          <w:szCs w:val="24"/>
        </w:rPr>
      </w:pPr>
    </w:p>
    <w:p w:rsidR="00D90C3B" w:rsidRDefault="00D90C3B" w:rsidP="0037199C">
      <w:pPr>
        <w:jc w:val="left"/>
        <w:rPr>
          <w:rFonts w:ascii="Arial" w:hAnsi="Arial" w:cs="Arial"/>
          <w:sz w:val="24"/>
          <w:szCs w:val="24"/>
        </w:rPr>
      </w:pPr>
      <w:r>
        <w:rPr>
          <w:rFonts w:ascii="Arial" w:hAnsi="Arial" w:cs="Arial"/>
          <w:sz w:val="24"/>
          <w:szCs w:val="24"/>
        </w:rPr>
        <w:t xml:space="preserve">“After a difficult first quarter, in which sales and profits were affected by record bad weather, we were able to capitalise on the better weather in the second quarter particularly in the UK, </w:t>
      </w:r>
      <w:r w:rsidR="00B3216B">
        <w:rPr>
          <w:rFonts w:ascii="Arial" w:hAnsi="Arial" w:cs="Arial"/>
          <w:sz w:val="24"/>
          <w:szCs w:val="24"/>
        </w:rPr>
        <w:t xml:space="preserve">to grow quarterly profits and so </w:t>
      </w:r>
      <w:r>
        <w:rPr>
          <w:rFonts w:ascii="Arial" w:hAnsi="Arial" w:cs="Arial"/>
          <w:sz w:val="24"/>
          <w:szCs w:val="24"/>
        </w:rPr>
        <w:t xml:space="preserve">deliver a broadly flat result across the half. However, underlying consumer confidence remains weak in our major markets, so we continue to focus hard on </w:t>
      </w:r>
      <w:r w:rsidR="00A617C4">
        <w:rPr>
          <w:rFonts w:ascii="Arial" w:hAnsi="Arial" w:cs="Arial"/>
          <w:sz w:val="24"/>
          <w:szCs w:val="24"/>
        </w:rPr>
        <w:t>our self-help initiatives to drive growth, margin and cost efficiencies.</w:t>
      </w:r>
      <w:r>
        <w:rPr>
          <w:rFonts w:ascii="Arial" w:hAnsi="Arial" w:cs="Arial"/>
          <w:sz w:val="24"/>
          <w:szCs w:val="24"/>
        </w:rPr>
        <w:t xml:space="preserve"> </w:t>
      </w:r>
    </w:p>
    <w:p w:rsidR="00D90C3B" w:rsidRDefault="00D90C3B" w:rsidP="0037199C">
      <w:pPr>
        <w:jc w:val="left"/>
        <w:rPr>
          <w:rFonts w:ascii="Arial" w:hAnsi="Arial" w:cs="Arial"/>
          <w:sz w:val="24"/>
          <w:szCs w:val="24"/>
        </w:rPr>
      </w:pPr>
    </w:p>
    <w:p w:rsidR="00D90C3B" w:rsidRDefault="00D90C3B" w:rsidP="0037199C">
      <w:pPr>
        <w:jc w:val="left"/>
        <w:rPr>
          <w:rFonts w:ascii="Arial" w:hAnsi="Arial" w:cs="Arial"/>
          <w:sz w:val="24"/>
          <w:szCs w:val="24"/>
        </w:rPr>
      </w:pPr>
      <w:r>
        <w:rPr>
          <w:rFonts w:ascii="Arial" w:hAnsi="Arial" w:cs="Arial"/>
          <w:sz w:val="24"/>
          <w:szCs w:val="24"/>
        </w:rPr>
        <w:t>“Looking ahead, we remain ready to capitalise on any improvement in conditions or opportunities as they arise</w:t>
      </w:r>
      <w:r w:rsidR="00D853D3">
        <w:rPr>
          <w:rFonts w:ascii="Arial" w:hAnsi="Arial" w:cs="Arial"/>
          <w:sz w:val="24"/>
          <w:szCs w:val="24"/>
        </w:rPr>
        <w:t>, including the potential pick up in the UK housing market.</w:t>
      </w:r>
      <w:r>
        <w:rPr>
          <w:rFonts w:ascii="Arial" w:hAnsi="Arial" w:cs="Arial"/>
          <w:sz w:val="24"/>
          <w:szCs w:val="24"/>
        </w:rPr>
        <w:t xml:space="preserve"> In the meantime, our self-help plan, ‘Creating the Leader’, continues to progress well, including the acquisition of 15 stores in Romania, our first new country entry in seven years. I am also delighted to have received final resolution of the K</w:t>
      </w:r>
      <w:r w:rsidR="00BC0379">
        <w:rPr>
          <w:rFonts w:ascii="Arial" w:hAnsi="Arial" w:cs="Arial"/>
          <w:sz w:val="24"/>
          <w:szCs w:val="24"/>
        </w:rPr>
        <w:t>esa</w:t>
      </w:r>
      <w:r>
        <w:rPr>
          <w:rFonts w:ascii="Arial" w:hAnsi="Arial" w:cs="Arial"/>
          <w:sz w:val="24"/>
          <w:szCs w:val="24"/>
        </w:rPr>
        <w:t xml:space="preserve"> demerger French tax case, after nine years. Overall, we remain confident in our future prospects.”</w:t>
      </w:r>
    </w:p>
    <w:p w:rsidR="004C2B82" w:rsidRDefault="004C2B82" w:rsidP="00964DC6">
      <w:pPr>
        <w:jc w:val="left"/>
        <w:rPr>
          <w:rFonts w:ascii="Arial" w:hAnsi="Arial" w:cs="Arial"/>
          <w:sz w:val="24"/>
          <w:szCs w:val="24"/>
        </w:rPr>
      </w:pPr>
    </w:p>
    <w:p w:rsidR="00181E03" w:rsidRPr="00942C03" w:rsidRDefault="00783665" w:rsidP="00AD5BF9">
      <w:pPr>
        <w:jc w:val="left"/>
        <w:rPr>
          <w:rFonts w:ascii="Arial" w:hAnsi="Arial" w:cs="Arial"/>
          <w:b/>
          <w:bCs/>
          <w:sz w:val="24"/>
          <w:szCs w:val="24"/>
        </w:rPr>
      </w:pPr>
      <w:r w:rsidRPr="00942C03">
        <w:rPr>
          <w:rFonts w:ascii="Arial" w:hAnsi="Arial" w:cs="Arial"/>
          <w:b/>
          <w:bCs/>
          <w:sz w:val="24"/>
          <w:szCs w:val="24"/>
        </w:rPr>
        <w:t>ENQUIRIES</w:t>
      </w:r>
    </w:p>
    <w:p w:rsidR="008E7383" w:rsidRPr="00942C03" w:rsidRDefault="008E7383" w:rsidP="00AD5BF9">
      <w:pPr>
        <w:jc w:val="left"/>
        <w:rPr>
          <w:rFonts w:ascii="Arial" w:hAnsi="Arial" w:cs="Arial"/>
          <w:b/>
          <w:bCs/>
          <w:sz w:val="24"/>
          <w:szCs w:val="24"/>
        </w:rPr>
      </w:pPr>
    </w:p>
    <w:tbl>
      <w:tblPr>
        <w:tblW w:w="4839" w:type="pct"/>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863"/>
        <w:gridCol w:w="2677"/>
      </w:tblGrid>
      <w:tr w:rsidR="004C2B82" w:rsidRPr="004C2B82">
        <w:tc>
          <w:tcPr>
            <w:tcW w:w="3597" w:type="pct"/>
            <w:tcBorders>
              <w:top w:val="single" w:sz="4" w:space="0" w:color="auto"/>
            </w:tcBorders>
          </w:tcPr>
          <w:p w:rsidR="00181E03" w:rsidRPr="004C2B82" w:rsidRDefault="00181E03" w:rsidP="008E3324">
            <w:pPr>
              <w:jc w:val="left"/>
              <w:rPr>
                <w:rFonts w:ascii="Arial" w:hAnsi="Arial" w:cs="Arial"/>
                <w:sz w:val="24"/>
                <w:szCs w:val="24"/>
              </w:rPr>
            </w:pPr>
            <w:r w:rsidRPr="004C2B82">
              <w:rPr>
                <w:rFonts w:ascii="Arial" w:hAnsi="Arial" w:cs="Arial"/>
                <w:sz w:val="24"/>
                <w:szCs w:val="24"/>
              </w:rPr>
              <w:t>Ian Harding, Group Communications Director</w:t>
            </w:r>
          </w:p>
        </w:tc>
        <w:tc>
          <w:tcPr>
            <w:tcW w:w="1403" w:type="pct"/>
            <w:tcBorders>
              <w:top w:val="single" w:sz="4" w:space="0" w:color="auto"/>
            </w:tcBorders>
          </w:tcPr>
          <w:p w:rsidR="00181E03" w:rsidRPr="004C2B82" w:rsidRDefault="00C6574E" w:rsidP="00F979C4">
            <w:pPr>
              <w:jc w:val="right"/>
              <w:rPr>
                <w:rFonts w:ascii="Arial" w:hAnsi="Arial" w:cs="Arial"/>
                <w:sz w:val="24"/>
                <w:szCs w:val="24"/>
              </w:rPr>
            </w:pPr>
            <w:r>
              <w:rPr>
                <w:rFonts w:ascii="Arial" w:hAnsi="Arial" w:cs="Arial"/>
                <w:sz w:val="24"/>
                <w:szCs w:val="24"/>
              </w:rPr>
              <w:t>+44 (</w:t>
            </w:r>
            <w:r w:rsidR="00181E03" w:rsidRPr="004C2B82">
              <w:rPr>
                <w:rFonts w:ascii="Arial" w:hAnsi="Arial" w:cs="Arial"/>
                <w:sz w:val="24"/>
                <w:szCs w:val="24"/>
              </w:rPr>
              <w:t>0</w:t>
            </w:r>
            <w:r>
              <w:rPr>
                <w:rFonts w:ascii="Arial" w:hAnsi="Arial" w:cs="Arial"/>
                <w:sz w:val="24"/>
                <w:szCs w:val="24"/>
              </w:rPr>
              <w:t>)</w:t>
            </w:r>
            <w:r w:rsidR="00181E03" w:rsidRPr="004C2B82">
              <w:rPr>
                <w:rFonts w:ascii="Arial" w:hAnsi="Arial" w:cs="Arial"/>
                <w:sz w:val="24"/>
                <w:szCs w:val="24"/>
              </w:rPr>
              <w:t>20 7644 1029</w:t>
            </w:r>
          </w:p>
        </w:tc>
      </w:tr>
      <w:tr w:rsidR="004C2B82" w:rsidRPr="004C2B82">
        <w:trPr>
          <w:trHeight w:val="70"/>
        </w:trPr>
        <w:tc>
          <w:tcPr>
            <w:tcW w:w="3597" w:type="pct"/>
          </w:tcPr>
          <w:p w:rsidR="00181E03" w:rsidRPr="004C2B82" w:rsidRDefault="00181E03" w:rsidP="008E3324">
            <w:pPr>
              <w:jc w:val="left"/>
              <w:rPr>
                <w:rFonts w:ascii="Arial" w:hAnsi="Arial" w:cs="Arial"/>
                <w:sz w:val="24"/>
                <w:szCs w:val="24"/>
              </w:rPr>
            </w:pPr>
          </w:p>
        </w:tc>
        <w:tc>
          <w:tcPr>
            <w:tcW w:w="1403" w:type="pct"/>
          </w:tcPr>
          <w:p w:rsidR="00181E03" w:rsidRPr="004C2B82" w:rsidRDefault="00181E03" w:rsidP="00F979C4">
            <w:pPr>
              <w:jc w:val="right"/>
              <w:rPr>
                <w:rFonts w:ascii="Arial" w:hAnsi="Arial" w:cs="Arial"/>
                <w:sz w:val="24"/>
                <w:szCs w:val="24"/>
              </w:rPr>
            </w:pPr>
          </w:p>
        </w:tc>
      </w:tr>
      <w:tr w:rsidR="004C2B82" w:rsidRPr="004C2B82">
        <w:tc>
          <w:tcPr>
            <w:tcW w:w="3597" w:type="pct"/>
          </w:tcPr>
          <w:p w:rsidR="00181E03" w:rsidRPr="004C2B82" w:rsidRDefault="00181E03" w:rsidP="008E3324">
            <w:pPr>
              <w:jc w:val="left"/>
              <w:rPr>
                <w:rFonts w:ascii="Arial" w:hAnsi="Arial" w:cs="Arial"/>
                <w:sz w:val="24"/>
                <w:szCs w:val="24"/>
              </w:rPr>
            </w:pPr>
            <w:r w:rsidRPr="004C2B82">
              <w:rPr>
                <w:rFonts w:ascii="Arial" w:hAnsi="Arial" w:cs="Arial"/>
                <w:sz w:val="24"/>
                <w:szCs w:val="24"/>
              </w:rPr>
              <w:t xml:space="preserve">Sarah </w:t>
            </w:r>
            <w:r w:rsidR="00FE57F9" w:rsidRPr="004C2B82">
              <w:rPr>
                <w:rFonts w:ascii="Arial" w:hAnsi="Arial" w:cs="Arial"/>
                <w:sz w:val="24"/>
                <w:szCs w:val="24"/>
              </w:rPr>
              <w:t>Levy</w:t>
            </w:r>
            <w:r w:rsidRPr="004C2B82">
              <w:rPr>
                <w:rFonts w:ascii="Arial" w:hAnsi="Arial" w:cs="Arial"/>
                <w:sz w:val="24"/>
                <w:szCs w:val="24"/>
              </w:rPr>
              <w:t>, Head of Investor Relations</w:t>
            </w:r>
          </w:p>
        </w:tc>
        <w:tc>
          <w:tcPr>
            <w:tcW w:w="1403" w:type="pct"/>
          </w:tcPr>
          <w:p w:rsidR="00181E03" w:rsidRPr="004C2B82" w:rsidRDefault="00C6574E">
            <w:pPr>
              <w:jc w:val="right"/>
              <w:rPr>
                <w:rFonts w:ascii="Arial" w:hAnsi="Arial" w:cs="Arial"/>
                <w:sz w:val="24"/>
                <w:szCs w:val="24"/>
              </w:rPr>
            </w:pPr>
            <w:r>
              <w:rPr>
                <w:rFonts w:ascii="Arial" w:hAnsi="Arial" w:cs="Arial"/>
                <w:sz w:val="24"/>
                <w:szCs w:val="24"/>
              </w:rPr>
              <w:t>+44 (</w:t>
            </w:r>
            <w:r w:rsidRPr="004C2B82">
              <w:rPr>
                <w:rFonts w:ascii="Arial" w:hAnsi="Arial" w:cs="Arial"/>
                <w:sz w:val="24"/>
                <w:szCs w:val="24"/>
              </w:rPr>
              <w:t>0</w:t>
            </w:r>
            <w:r>
              <w:rPr>
                <w:rFonts w:ascii="Arial" w:hAnsi="Arial" w:cs="Arial"/>
                <w:sz w:val="24"/>
                <w:szCs w:val="24"/>
              </w:rPr>
              <w:t>)</w:t>
            </w:r>
            <w:r w:rsidRPr="004C2B82">
              <w:rPr>
                <w:rFonts w:ascii="Arial" w:hAnsi="Arial" w:cs="Arial"/>
                <w:sz w:val="24"/>
                <w:szCs w:val="24"/>
              </w:rPr>
              <w:t xml:space="preserve">20 </w:t>
            </w:r>
            <w:r w:rsidR="00181E03" w:rsidRPr="004C2B82">
              <w:rPr>
                <w:rFonts w:ascii="Arial" w:hAnsi="Arial" w:cs="Arial"/>
                <w:sz w:val="24"/>
                <w:szCs w:val="24"/>
              </w:rPr>
              <w:t>7644 1032</w:t>
            </w:r>
          </w:p>
        </w:tc>
      </w:tr>
      <w:tr w:rsidR="004C2B82" w:rsidRPr="004C2B82">
        <w:tc>
          <w:tcPr>
            <w:tcW w:w="3597" w:type="pct"/>
          </w:tcPr>
          <w:p w:rsidR="00181E03" w:rsidRPr="004C2B82" w:rsidRDefault="00181E03" w:rsidP="008E3324">
            <w:pPr>
              <w:jc w:val="left"/>
              <w:rPr>
                <w:rFonts w:ascii="Arial" w:hAnsi="Arial" w:cs="Arial"/>
                <w:sz w:val="24"/>
                <w:szCs w:val="24"/>
              </w:rPr>
            </w:pPr>
          </w:p>
        </w:tc>
        <w:tc>
          <w:tcPr>
            <w:tcW w:w="1403" w:type="pct"/>
          </w:tcPr>
          <w:p w:rsidR="00181E03" w:rsidRPr="004C2B82" w:rsidRDefault="00181E03" w:rsidP="00F979C4">
            <w:pPr>
              <w:jc w:val="right"/>
              <w:rPr>
                <w:rFonts w:ascii="Arial" w:hAnsi="Arial" w:cs="Arial"/>
                <w:sz w:val="24"/>
                <w:szCs w:val="24"/>
              </w:rPr>
            </w:pPr>
          </w:p>
        </w:tc>
      </w:tr>
      <w:tr w:rsidR="004C2B82" w:rsidRPr="004C2B82">
        <w:tc>
          <w:tcPr>
            <w:tcW w:w="3597" w:type="pct"/>
          </w:tcPr>
          <w:p w:rsidR="00181E03" w:rsidRPr="004C2B82" w:rsidRDefault="00181E03" w:rsidP="008E3324">
            <w:pPr>
              <w:jc w:val="left"/>
              <w:rPr>
                <w:rFonts w:ascii="Arial" w:hAnsi="Arial" w:cs="Arial"/>
                <w:sz w:val="24"/>
                <w:szCs w:val="24"/>
              </w:rPr>
            </w:pPr>
            <w:r w:rsidRPr="004C2B82">
              <w:rPr>
                <w:rFonts w:ascii="Arial" w:hAnsi="Arial" w:cs="Arial"/>
                <w:sz w:val="24"/>
                <w:szCs w:val="24"/>
              </w:rPr>
              <w:t>Nigel Cope, Head of Media Relations</w:t>
            </w:r>
          </w:p>
        </w:tc>
        <w:tc>
          <w:tcPr>
            <w:tcW w:w="1403" w:type="pct"/>
          </w:tcPr>
          <w:p w:rsidR="00181E03" w:rsidRPr="004C2B82" w:rsidRDefault="00C6574E" w:rsidP="00F979C4">
            <w:pPr>
              <w:jc w:val="right"/>
              <w:rPr>
                <w:rFonts w:ascii="Arial" w:hAnsi="Arial" w:cs="Arial"/>
                <w:sz w:val="24"/>
                <w:szCs w:val="24"/>
              </w:rPr>
            </w:pPr>
            <w:r>
              <w:rPr>
                <w:rFonts w:ascii="Arial" w:hAnsi="Arial" w:cs="Arial"/>
                <w:sz w:val="24"/>
                <w:szCs w:val="24"/>
              </w:rPr>
              <w:t>+44 (</w:t>
            </w:r>
            <w:r w:rsidRPr="004C2B82">
              <w:rPr>
                <w:rFonts w:ascii="Arial" w:hAnsi="Arial" w:cs="Arial"/>
                <w:sz w:val="24"/>
                <w:szCs w:val="24"/>
              </w:rPr>
              <w:t>0</w:t>
            </w:r>
            <w:r>
              <w:rPr>
                <w:rFonts w:ascii="Arial" w:hAnsi="Arial" w:cs="Arial"/>
                <w:sz w:val="24"/>
                <w:szCs w:val="24"/>
              </w:rPr>
              <w:t>)</w:t>
            </w:r>
            <w:r w:rsidRPr="004C2B82">
              <w:rPr>
                <w:rFonts w:ascii="Arial" w:hAnsi="Arial" w:cs="Arial"/>
                <w:sz w:val="24"/>
                <w:szCs w:val="24"/>
              </w:rPr>
              <w:t xml:space="preserve">20 </w:t>
            </w:r>
            <w:r w:rsidR="00181E03" w:rsidRPr="004C2B82">
              <w:rPr>
                <w:rFonts w:ascii="Arial" w:hAnsi="Arial" w:cs="Arial"/>
                <w:sz w:val="24"/>
                <w:szCs w:val="24"/>
              </w:rPr>
              <w:t>7644 1030</w:t>
            </w:r>
          </w:p>
        </w:tc>
      </w:tr>
      <w:tr w:rsidR="004C2B82" w:rsidRPr="004C2B82">
        <w:tc>
          <w:tcPr>
            <w:tcW w:w="3597" w:type="pct"/>
          </w:tcPr>
          <w:p w:rsidR="00C34F2D" w:rsidRPr="004C2B82" w:rsidRDefault="00C34F2D" w:rsidP="008E3324">
            <w:pPr>
              <w:jc w:val="left"/>
              <w:rPr>
                <w:rFonts w:ascii="Arial" w:hAnsi="Arial" w:cs="Arial"/>
                <w:sz w:val="24"/>
                <w:szCs w:val="24"/>
              </w:rPr>
            </w:pPr>
          </w:p>
        </w:tc>
        <w:tc>
          <w:tcPr>
            <w:tcW w:w="1403" w:type="pct"/>
          </w:tcPr>
          <w:p w:rsidR="00C34F2D" w:rsidRPr="004C2B82" w:rsidRDefault="00C34F2D" w:rsidP="00F979C4">
            <w:pPr>
              <w:jc w:val="right"/>
              <w:rPr>
                <w:rFonts w:ascii="Arial" w:hAnsi="Arial" w:cs="Arial"/>
                <w:sz w:val="24"/>
                <w:szCs w:val="24"/>
              </w:rPr>
            </w:pPr>
          </w:p>
        </w:tc>
      </w:tr>
      <w:tr w:rsidR="004C2B82" w:rsidRPr="004C2B82">
        <w:tc>
          <w:tcPr>
            <w:tcW w:w="3597" w:type="pct"/>
          </w:tcPr>
          <w:p w:rsidR="00C34F2D" w:rsidRPr="004C2B82" w:rsidRDefault="00C34F2D" w:rsidP="008E3324">
            <w:pPr>
              <w:jc w:val="left"/>
              <w:rPr>
                <w:rFonts w:ascii="Arial" w:hAnsi="Arial" w:cs="Arial"/>
                <w:sz w:val="24"/>
                <w:szCs w:val="24"/>
              </w:rPr>
            </w:pPr>
            <w:r w:rsidRPr="004C2B82">
              <w:rPr>
                <w:rFonts w:ascii="Arial" w:hAnsi="Arial" w:cs="Arial"/>
                <w:sz w:val="24"/>
                <w:szCs w:val="24"/>
              </w:rPr>
              <w:t>Matt Duffy, Investor Relations Manager</w:t>
            </w:r>
          </w:p>
        </w:tc>
        <w:tc>
          <w:tcPr>
            <w:tcW w:w="1403" w:type="pct"/>
          </w:tcPr>
          <w:p w:rsidR="00C34F2D" w:rsidRPr="004C2B82" w:rsidRDefault="00C6574E" w:rsidP="00F979C4">
            <w:pPr>
              <w:jc w:val="right"/>
              <w:rPr>
                <w:rFonts w:ascii="Arial" w:hAnsi="Arial" w:cs="Arial"/>
                <w:sz w:val="24"/>
                <w:szCs w:val="24"/>
              </w:rPr>
            </w:pPr>
            <w:r>
              <w:rPr>
                <w:rFonts w:ascii="Arial" w:hAnsi="Arial" w:cs="Arial"/>
                <w:sz w:val="24"/>
                <w:szCs w:val="24"/>
              </w:rPr>
              <w:t>+44 (</w:t>
            </w:r>
            <w:r w:rsidRPr="004C2B82">
              <w:rPr>
                <w:rFonts w:ascii="Arial" w:hAnsi="Arial" w:cs="Arial"/>
                <w:sz w:val="24"/>
                <w:szCs w:val="24"/>
              </w:rPr>
              <w:t>0</w:t>
            </w:r>
            <w:r>
              <w:rPr>
                <w:rFonts w:ascii="Arial" w:hAnsi="Arial" w:cs="Arial"/>
                <w:sz w:val="24"/>
                <w:szCs w:val="24"/>
              </w:rPr>
              <w:t>)</w:t>
            </w:r>
            <w:r w:rsidRPr="004C2B82">
              <w:rPr>
                <w:rFonts w:ascii="Arial" w:hAnsi="Arial" w:cs="Arial"/>
                <w:sz w:val="24"/>
                <w:szCs w:val="24"/>
              </w:rPr>
              <w:t xml:space="preserve">20 </w:t>
            </w:r>
            <w:r w:rsidR="00C34F2D" w:rsidRPr="004C2B82">
              <w:rPr>
                <w:rFonts w:ascii="Arial" w:hAnsi="Arial" w:cs="Arial"/>
                <w:sz w:val="24"/>
                <w:szCs w:val="24"/>
              </w:rPr>
              <w:t>7644 1082</w:t>
            </w:r>
          </w:p>
        </w:tc>
      </w:tr>
      <w:tr w:rsidR="004C2B82" w:rsidRPr="004C2B82">
        <w:tc>
          <w:tcPr>
            <w:tcW w:w="3597" w:type="pct"/>
          </w:tcPr>
          <w:p w:rsidR="00181E03" w:rsidRPr="004C2B82" w:rsidRDefault="00181E03" w:rsidP="008E3324">
            <w:pPr>
              <w:jc w:val="left"/>
              <w:rPr>
                <w:rFonts w:ascii="Arial" w:hAnsi="Arial" w:cs="Arial"/>
                <w:sz w:val="24"/>
                <w:szCs w:val="24"/>
              </w:rPr>
            </w:pPr>
          </w:p>
        </w:tc>
        <w:tc>
          <w:tcPr>
            <w:tcW w:w="1403" w:type="pct"/>
          </w:tcPr>
          <w:p w:rsidR="00181E03" w:rsidRPr="004C2B82" w:rsidRDefault="00181E03" w:rsidP="00F979C4">
            <w:pPr>
              <w:jc w:val="right"/>
              <w:rPr>
                <w:rFonts w:ascii="Arial" w:hAnsi="Arial" w:cs="Arial"/>
                <w:sz w:val="24"/>
                <w:szCs w:val="24"/>
              </w:rPr>
            </w:pPr>
          </w:p>
        </w:tc>
      </w:tr>
      <w:tr w:rsidR="004C2B82" w:rsidRPr="004C2B82">
        <w:tc>
          <w:tcPr>
            <w:tcW w:w="3597" w:type="pct"/>
          </w:tcPr>
          <w:p w:rsidR="00181E03" w:rsidRPr="004C2B82" w:rsidRDefault="00181E03" w:rsidP="008E3324">
            <w:pPr>
              <w:jc w:val="left"/>
              <w:rPr>
                <w:rFonts w:ascii="Arial" w:hAnsi="Arial" w:cs="Arial"/>
                <w:sz w:val="24"/>
                <w:szCs w:val="24"/>
              </w:rPr>
            </w:pPr>
            <w:r w:rsidRPr="004C2B82">
              <w:rPr>
                <w:rFonts w:ascii="Arial" w:hAnsi="Arial" w:cs="Arial"/>
                <w:sz w:val="24"/>
                <w:szCs w:val="24"/>
              </w:rPr>
              <w:t>Clare</w:t>
            </w:r>
            <w:r w:rsidR="004C2B82">
              <w:rPr>
                <w:rFonts w:ascii="Arial" w:hAnsi="Arial" w:cs="Arial"/>
                <w:sz w:val="24"/>
                <w:szCs w:val="24"/>
              </w:rPr>
              <w:t xml:space="preserve"> Haines, Media Relations Manager</w:t>
            </w:r>
          </w:p>
        </w:tc>
        <w:tc>
          <w:tcPr>
            <w:tcW w:w="1403" w:type="pct"/>
          </w:tcPr>
          <w:p w:rsidR="00181E03" w:rsidRPr="004C2B82" w:rsidRDefault="00C6574E" w:rsidP="00F979C4">
            <w:pPr>
              <w:jc w:val="right"/>
              <w:rPr>
                <w:rFonts w:ascii="Arial" w:hAnsi="Arial" w:cs="Arial"/>
                <w:sz w:val="24"/>
                <w:szCs w:val="24"/>
              </w:rPr>
            </w:pPr>
            <w:r>
              <w:rPr>
                <w:rFonts w:ascii="Arial" w:hAnsi="Arial" w:cs="Arial"/>
                <w:sz w:val="24"/>
                <w:szCs w:val="24"/>
              </w:rPr>
              <w:t>+44 (</w:t>
            </w:r>
            <w:r w:rsidRPr="004C2B82">
              <w:rPr>
                <w:rFonts w:ascii="Arial" w:hAnsi="Arial" w:cs="Arial"/>
                <w:sz w:val="24"/>
                <w:szCs w:val="24"/>
              </w:rPr>
              <w:t>0</w:t>
            </w:r>
            <w:r>
              <w:rPr>
                <w:rFonts w:ascii="Arial" w:hAnsi="Arial" w:cs="Arial"/>
                <w:sz w:val="24"/>
                <w:szCs w:val="24"/>
              </w:rPr>
              <w:t>)</w:t>
            </w:r>
            <w:r w:rsidRPr="004C2B82">
              <w:rPr>
                <w:rFonts w:ascii="Arial" w:hAnsi="Arial" w:cs="Arial"/>
                <w:sz w:val="24"/>
                <w:szCs w:val="24"/>
              </w:rPr>
              <w:t xml:space="preserve">20 </w:t>
            </w:r>
            <w:r w:rsidR="00181E03" w:rsidRPr="004C2B82">
              <w:rPr>
                <w:rFonts w:ascii="Arial" w:hAnsi="Arial" w:cs="Arial"/>
                <w:sz w:val="24"/>
                <w:szCs w:val="24"/>
              </w:rPr>
              <w:t>7644 1286</w:t>
            </w:r>
          </w:p>
        </w:tc>
      </w:tr>
      <w:tr w:rsidR="004C2B82" w:rsidRPr="004C2B82">
        <w:tc>
          <w:tcPr>
            <w:tcW w:w="3597" w:type="pct"/>
          </w:tcPr>
          <w:p w:rsidR="00181E03" w:rsidRPr="004C2B82" w:rsidRDefault="00181E03" w:rsidP="008E3324">
            <w:pPr>
              <w:jc w:val="left"/>
              <w:rPr>
                <w:rFonts w:ascii="Arial" w:hAnsi="Arial" w:cs="Arial"/>
                <w:sz w:val="24"/>
                <w:szCs w:val="24"/>
              </w:rPr>
            </w:pPr>
          </w:p>
        </w:tc>
        <w:tc>
          <w:tcPr>
            <w:tcW w:w="1403" w:type="pct"/>
          </w:tcPr>
          <w:p w:rsidR="00181E03" w:rsidRPr="004C2B82" w:rsidRDefault="00181E03" w:rsidP="00F979C4">
            <w:pPr>
              <w:jc w:val="right"/>
              <w:rPr>
                <w:rFonts w:ascii="Arial" w:hAnsi="Arial" w:cs="Arial"/>
                <w:sz w:val="24"/>
                <w:szCs w:val="24"/>
              </w:rPr>
            </w:pPr>
          </w:p>
        </w:tc>
      </w:tr>
      <w:tr w:rsidR="004C2B82" w:rsidRPr="004C2B82">
        <w:tc>
          <w:tcPr>
            <w:tcW w:w="3597" w:type="pct"/>
            <w:tcBorders>
              <w:bottom w:val="single" w:sz="4" w:space="0" w:color="auto"/>
            </w:tcBorders>
          </w:tcPr>
          <w:p w:rsidR="00181E03" w:rsidRPr="004C2B82" w:rsidRDefault="00181E03" w:rsidP="008E3324">
            <w:pPr>
              <w:jc w:val="left"/>
              <w:rPr>
                <w:rFonts w:ascii="Arial" w:hAnsi="Arial" w:cs="Arial"/>
                <w:sz w:val="24"/>
                <w:szCs w:val="24"/>
              </w:rPr>
            </w:pPr>
            <w:r w:rsidRPr="004C2B82">
              <w:rPr>
                <w:rFonts w:ascii="Arial" w:hAnsi="Arial" w:cs="Arial"/>
                <w:sz w:val="24"/>
                <w:szCs w:val="24"/>
              </w:rPr>
              <w:t>Brunswick</w:t>
            </w:r>
          </w:p>
        </w:tc>
        <w:tc>
          <w:tcPr>
            <w:tcW w:w="1403" w:type="pct"/>
            <w:tcBorders>
              <w:bottom w:val="single" w:sz="4" w:space="0" w:color="auto"/>
            </w:tcBorders>
          </w:tcPr>
          <w:p w:rsidR="00181E03" w:rsidRPr="004C2B82" w:rsidRDefault="00C6574E" w:rsidP="00F979C4">
            <w:pPr>
              <w:jc w:val="right"/>
              <w:rPr>
                <w:rFonts w:ascii="Arial" w:hAnsi="Arial" w:cs="Arial"/>
                <w:sz w:val="24"/>
                <w:szCs w:val="24"/>
              </w:rPr>
            </w:pPr>
            <w:r>
              <w:rPr>
                <w:rFonts w:ascii="Arial" w:hAnsi="Arial" w:cs="Arial"/>
                <w:sz w:val="24"/>
                <w:szCs w:val="24"/>
              </w:rPr>
              <w:t>+44 (</w:t>
            </w:r>
            <w:r w:rsidRPr="004C2B82">
              <w:rPr>
                <w:rFonts w:ascii="Arial" w:hAnsi="Arial" w:cs="Arial"/>
                <w:sz w:val="24"/>
                <w:szCs w:val="24"/>
              </w:rPr>
              <w:t>0</w:t>
            </w:r>
            <w:r>
              <w:rPr>
                <w:rFonts w:ascii="Arial" w:hAnsi="Arial" w:cs="Arial"/>
                <w:sz w:val="24"/>
                <w:szCs w:val="24"/>
              </w:rPr>
              <w:t>)</w:t>
            </w:r>
            <w:r w:rsidRPr="004C2B82">
              <w:rPr>
                <w:rFonts w:ascii="Arial" w:hAnsi="Arial" w:cs="Arial"/>
                <w:sz w:val="24"/>
                <w:szCs w:val="24"/>
              </w:rPr>
              <w:t xml:space="preserve">20 </w:t>
            </w:r>
            <w:r w:rsidR="00181E03" w:rsidRPr="004C2B82">
              <w:rPr>
                <w:rFonts w:ascii="Arial" w:hAnsi="Arial" w:cs="Arial"/>
                <w:sz w:val="24"/>
                <w:szCs w:val="24"/>
              </w:rPr>
              <w:t>7404 5959</w:t>
            </w:r>
          </w:p>
        </w:tc>
      </w:tr>
    </w:tbl>
    <w:p w:rsidR="008E7383" w:rsidRPr="004C2B82" w:rsidRDefault="008E7383" w:rsidP="00AD5BF9">
      <w:pPr>
        <w:jc w:val="left"/>
        <w:rPr>
          <w:rFonts w:ascii="Arial" w:hAnsi="Arial" w:cs="Arial"/>
          <w:sz w:val="24"/>
          <w:szCs w:val="24"/>
          <w:highlight w:val="yellow"/>
        </w:rPr>
      </w:pPr>
    </w:p>
    <w:p w:rsidR="004C2B82" w:rsidRDefault="004C2B82" w:rsidP="004C2B82">
      <w:pPr>
        <w:jc w:val="left"/>
        <w:rPr>
          <w:rFonts w:ascii="Arial" w:hAnsi="Arial" w:cs="Arial"/>
          <w:sz w:val="24"/>
          <w:szCs w:val="24"/>
        </w:rPr>
      </w:pPr>
      <w:r w:rsidRPr="004C2B82">
        <w:rPr>
          <w:rFonts w:ascii="Arial" w:hAnsi="Arial" w:cs="Arial"/>
          <w:sz w:val="24"/>
          <w:szCs w:val="24"/>
        </w:rPr>
        <w:t xml:space="preserve">Further copies of this announcement can be downloaded from </w:t>
      </w:r>
      <w:hyperlink r:id="rId8" w:history="1">
        <w:r w:rsidRPr="004C2B82">
          <w:rPr>
            <w:rStyle w:val="Hyperlink"/>
            <w:rFonts w:ascii="Arial" w:hAnsi="Arial" w:cs="Arial"/>
            <w:color w:val="auto"/>
            <w:sz w:val="24"/>
            <w:szCs w:val="24"/>
          </w:rPr>
          <w:t>www.kingfisher.com</w:t>
        </w:r>
      </w:hyperlink>
      <w:r w:rsidRPr="004C2B82">
        <w:rPr>
          <w:rFonts w:ascii="Arial" w:hAnsi="Arial" w:cs="Arial"/>
          <w:sz w:val="24"/>
          <w:szCs w:val="24"/>
        </w:rPr>
        <w:t xml:space="preserve"> or viewed on the Kingfisher IR iPad App available for free at the Apple App store. Video interviews with Ian Cheshire (Group Chief Executive) and Karen Witts (Group Finance Director) are also available on the website</w:t>
      </w:r>
      <w:r w:rsidR="0065249C">
        <w:rPr>
          <w:rFonts w:ascii="Arial" w:hAnsi="Arial" w:cs="Arial"/>
          <w:sz w:val="24"/>
          <w:szCs w:val="24"/>
        </w:rPr>
        <w:t xml:space="preserve"> and we can </w:t>
      </w:r>
      <w:r w:rsidRPr="004C2B82">
        <w:rPr>
          <w:rFonts w:ascii="Arial" w:hAnsi="Arial" w:cs="Arial"/>
          <w:sz w:val="24"/>
          <w:szCs w:val="24"/>
        </w:rPr>
        <w:t xml:space="preserve">be followed on twitter @kingfisherplc. </w:t>
      </w:r>
    </w:p>
    <w:p w:rsidR="000C3669" w:rsidRPr="004C2B82" w:rsidRDefault="000C3669" w:rsidP="004C2B82">
      <w:pPr>
        <w:jc w:val="left"/>
        <w:rPr>
          <w:rFonts w:ascii="Arial" w:hAnsi="Arial" w:cs="Arial"/>
          <w:sz w:val="24"/>
          <w:szCs w:val="24"/>
        </w:rPr>
      </w:pPr>
    </w:p>
    <w:p w:rsidR="004C2B82" w:rsidRPr="004C2B82" w:rsidRDefault="004C2B82" w:rsidP="004C2B82">
      <w:pPr>
        <w:autoSpaceDE w:val="0"/>
        <w:autoSpaceDN w:val="0"/>
        <w:adjustRightInd w:val="0"/>
        <w:jc w:val="left"/>
        <w:rPr>
          <w:rFonts w:ascii="Arial" w:hAnsi="Arial" w:cs="Arial"/>
          <w:sz w:val="24"/>
          <w:szCs w:val="24"/>
        </w:rPr>
      </w:pPr>
      <w:r w:rsidRPr="004C2B82">
        <w:rPr>
          <w:rFonts w:ascii="Arial" w:hAnsi="Arial" w:cs="Arial"/>
          <w:sz w:val="24"/>
          <w:szCs w:val="24"/>
        </w:rPr>
        <w:t xml:space="preserve">Kingfisher American Depository </w:t>
      </w:r>
      <w:r w:rsidR="00A617C4">
        <w:rPr>
          <w:rFonts w:ascii="Arial" w:hAnsi="Arial" w:cs="Arial"/>
          <w:sz w:val="24"/>
          <w:szCs w:val="24"/>
        </w:rPr>
        <w:t>R</w:t>
      </w:r>
      <w:r w:rsidRPr="004C2B82">
        <w:rPr>
          <w:rFonts w:ascii="Arial" w:hAnsi="Arial" w:cs="Arial"/>
          <w:sz w:val="24"/>
          <w:szCs w:val="24"/>
        </w:rPr>
        <w:t>eceipts are traded in the US on the OTCQX platform:</w:t>
      </w:r>
    </w:p>
    <w:p w:rsidR="004C2B82" w:rsidRPr="004C2B82" w:rsidRDefault="004C2B82" w:rsidP="004C2B82">
      <w:pPr>
        <w:autoSpaceDE w:val="0"/>
        <w:autoSpaceDN w:val="0"/>
        <w:adjustRightInd w:val="0"/>
        <w:jc w:val="left"/>
        <w:rPr>
          <w:rFonts w:ascii="Arial" w:hAnsi="Arial" w:cs="Arial"/>
          <w:sz w:val="24"/>
          <w:szCs w:val="24"/>
        </w:rPr>
      </w:pPr>
      <w:r w:rsidRPr="004C2B82">
        <w:rPr>
          <w:rFonts w:ascii="Arial" w:hAnsi="Arial" w:cs="Arial"/>
          <w:sz w:val="24"/>
          <w:szCs w:val="24"/>
        </w:rPr>
        <w:t xml:space="preserve">(OTCQX: KGFHY)  </w:t>
      </w:r>
    </w:p>
    <w:p w:rsidR="004C2B82" w:rsidRPr="004C2B82" w:rsidRDefault="00CE3448" w:rsidP="004C2B82">
      <w:pPr>
        <w:autoSpaceDE w:val="0"/>
        <w:autoSpaceDN w:val="0"/>
        <w:adjustRightInd w:val="0"/>
        <w:jc w:val="left"/>
        <w:rPr>
          <w:rFonts w:ascii="Arial" w:hAnsi="Arial" w:cs="Arial"/>
          <w:sz w:val="24"/>
          <w:szCs w:val="24"/>
        </w:rPr>
      </w:pPr>
      <w:hyperlink r:id="rId9" w:history="1">
        <w:r w:rsidR="004C2B82" w:rsidRPr="004C2B82">
          <w:rPr>
            <w:rStyle w:val="Hyperlink"/>
            <w:rFonts w:ascii="Arial" w:hAnsi="Arial" w:cs="Arial"/>
            <w:color w:val="auto"/>
            <w:sz w:val="24"/>
            <w:szCs w:val="24"/>
          </w:rPr>
          <w:t>http://www.otcmarkets.com/stock/KGFHY/quote</w:t>
        </w:r>
      </w:hyperlink>
    </w:p>
    <w:p w:rsidR="004C2B82" w:rsidRPr="004C2B82" w:rsidRDefault="004C2B82" w:rsidP="00EE1E29">
      <w:pPr>
        <w:jc w:val="left"/>
        <w:rPr>
          <w:rFonts w:ascii="Arial" w:hAnsi="Arial" w:cs="Arial"/>
          <w:sz w:val="24"/>
          <w:szCs w:val="24"/>
          <w:highlight w:val="yellow"/>
        </w:rPr>
      </w:pPr>
    </w:p>
    <w:p w:rsidR="004C2B82" w:rsidRPr="004C2B82" w:rsidRDefault="004C2B82" w:rsidP="00EE1E29">
      <w:pPr>
        <w:jc w:val="left"/>
        <w:rPr>
          <w:rFonts w:ascii="Arial" w:hAnsi="Arial" w:cs="Arial"/>
          <w:sz w:val="24"/>
          <w:szCs w:val="24"/>
          <w:highlight w:val="yellow"/>
        </w:rPr>
      </w:pPr>
    </w:p>
    <w:p w:rsidR="00C34F2D" w:rsidRPr="004C2B82" w:rsidRDefault="00783665" w:rsidP="00C34F2D">
      <w:pPr>
        <w:jc w:val="left"/>
        <w:rPr>
          <w:rFonts w:ascii="Arial" w:hAnsi="Arial" w:cs="Arial"/>
          <w:sz w:val="24"/>
          <w:szCs w:val="24"/>
        </w:rPr>
      </w:pPr>
      <w:r>
        <w:rPr>
          <w:rFonts w:ascii="Arial" w:hAnsi="Arial" w:cs="Arial"/>
          <w:b/>
          <w:bCs/>
          <w:sz w:val="24"/>
          <w:szCs w:val="24"/>
        </w:rPr>
        <w:t>COMPANY PROFILE</w:t>
      </w:r>
    </w:p>
    <w:p w:rsidR="00C34F2D" w:rsidRPr="004C2B82" w:rsidRDefault="00C34F2D" w:rsidP="00C34F2D">
      <w:pPr>
        <w:jc w:val="left"/>
        <w:rPr>
          <w:rFonts w:ascii="Arial" w:hAnsi="Arial" w:cs="Arial"/>
          <w:sz w:val="24"/>
          <w:szCs w:val="24"/>
        </w:rPr>
      </w:pPr>
    </w:p>
    <w:p w:rsidR="004C2B82" w:rsidRPr="005F3F68" w:rsidRDefault="004C2B82" w:rsidP="004C2B82">
      <w:pPr>
        <w:jc w:val="left"/>
        <w:rPr>
          <w:rFonts w:ascii="Arial" w:hAnsi="Arial" w:cs="Arial"/>
          <w:sz w:val="24"/>
          <w:szCs w:val="24"/>
        </w:rPr>
      </w:pPr>
      <w:r w:rsidRPr="004C2B82">
        <w:rPr>
          <w:rFonts w:ascii="Arial" w:hAnsi="Arial" w:cs="Arial"/>
          <w:b/>
          <w:bCs/>
          <w:sz w:val="24"/>
          <w:szCs w:val="24"/>
        </w:rPr>
        <w:t>Kingfisher</w:t>
      </w:r>
      <w:r w:rsidRPr="004C2B82">
        <w:rPr>
          <w:rFonts w:ascii="Arial" w:hAnsi="Arial" w:cs="Arial"/>
          <w:sz w:val="24"/>
          <w:szCs w:val="24"/>
        </w:rPr>
        <w:t xml:space="preserve"> </w:t>
      </w:r>
      <w:r w:rsidRPr="004C2B82">
        <w:rPr>
          <w:rFonts w:ascii="Arial" w:hAnsi="Arial" w:cs="Arial"/>
          <w:b/>
          <w:bCs/>
          <w:sz w:val="24"/>
          <w:szCs w:val="24"/>
        </w:rPr>
        <w:t xml:space="preserve">plc </w:t>
      </w:r>
      <w:r w:rsidRPr="004C2B82">
        <w:rPr>
          <w:rFonts w:ascii="Arial" w:hAnsi="Arial" w:cs="Arial"/>
          <w:sz w:val="24"/>
          <w:szCs w:val="24"/>
        </w:rPr>
        <w:t xml:space="preserve">is Europe’s leading home improvement retail group and the third largest in the world, </w:t>
      </w:r>
      <w:r w:rsidRPr="00791B66">
        <w:rPr>
          <w:rFonts w:ascii="Arial" w:hAnsi="Arial" w:cs="Arial"/>
          <w:sz w:val="24"/>
          <w:szCs w:val="24"/>
        </w:rPr>
        <w:t>with</w:t>
      </w:r>
      <w:r w:rsidR="005C1D33">
        <w:rPr>
          <w:rFonts w:ascii="Arial" w:hAnsi="Arial" w:cs="Arial"/>
          <w:sz w:val="24"/>
          <w:szCs w:val="24"/>
        </w:rPr>
        <w:t xml:space="preserve"> </w:t>
      </w:r>
      <w:r w:rsidR="00783665">
        <w:rPr>
          <w:rFonts w:ascii="Arial" w:hAnsi="Arial" w:cs="Arial"/>
          <w:sz w:val="24"/>
          <w:szCs w:val="24"/>
        </w:rPr>
        <w:t xml:space="preserve">1,069 </w:t>
      </w:r>
      <w:r w:rsidRPr="00791B66">
        <w:rPr>
          <w:rFonts w:ascii="Arial" w:hAnsi="Arial" w:cs="Arial"/>
          <w:sz w:val="24"/>
          <w:szCs w:val="24"/>
        </w:rPr>
        <w:t xml:space="preserve">stores in </w:t>
      </w:r>
      <w:r>
        <w:rPr>
          <w:rFonts w:ascii="Arial" w:hAnsi="Arial" w:cs="Arial"/>
          <w:sz w:val="24"/>
          <w:szCs w:val="24"/>
        </w:rPr>
        <w:t xml:space="preserve">nine countries in Europe and Asia. </w:t>
      </w:r>
      <w:r w:rsidRPr="00791B66">
        <w:rPr>
          <w:rFonts w:ascii="Arial" w:hAnsi="Arial" w:cs="Arial"/>
          <w:sz w:val="24"/>
          <w:szCs w:val="24"/>
        </w:rPr>
        <w:t xml:space="preserve">Its main retail brands are B&amp;Q, Castorama, Brico Dépôt and Screwfix. </w:t>
      </w:r>
      <w:r w:rsidRPr="005F3F68">
        <w:rPr>
          <w:rFonts w:ascii="Arial" w:hAnsi="Arial" w:cs="Arial"/>
          <w:sz w:val="24"/>
          <w:szCs w:val="24"/>
        </w:rPr>
        <w:t xml:space="preserve">Kingfisher also operates the </w:t>
      </w:r>
      <w:r w:rsidRPr="005F3F68">
        <w:rPr>
          <w:rFonts w:ascii="Arial" w:hAnsi="Arial" w:cs="Arial"/>
          <w:bCs/>
          <w:sz w:val="24"/>
          <w:szCs w:val="24"/>
        </w:rPr>
        <w:t xml:space="preserve">Koçtaş </w:t>
      </w:r>
      <w:r w:rsidRPr="005F3F68">
        <w:rPr>
          <w:rFonts w:ascii="Arial" w:hAnsi="Arial" w:cs="Arial"/>
          <w:sz w:val="24"/>
          <w:szCs w:val="24"/>
        </w:rPr>
        <w:t>brand, a 50% joint venture in Turkey with the Koç Group, and has a 21% interest in Hornbach, Germany’s leading large format DIY retailer.</w:t>
      </w:r>
    </w:p>
    <w:p w:rsidR="00101D68" w:rsidRPr="007B54A7" w:rsidRDefault="00877A96" w:rsidP="00EE1E29">
      <w:pPr>
        <w:jc w:val="left"/>
        <w:rPr>
          <w:rFonts w:ascii="Arial" w:hAnsi="Arial" w:cs="Arial"/>
          <w:sz w:val="24"/>
          <w:szCs w:val="24"/>
          <w:highlight w:val="yellow"/>
        </w:rPr>
      </w:pPr>
      <w:r w:rsidRPr="005F3F68">
        <w:rPr>
          <w:rFonts w:ascii="Arial" w:hAnsi="Arial" w:cs="Arial"/>
          <w:sz w:val="24"/>
          <w:szCs w:val="24"/>
        </w:rPr>
        <w:br w:type="page"/>
      </w:r>
      <w:r w:rsidR="00181E03" w:rsidRPr="007B54A7">
        <w:rPr>
          <w:rFonts w:ascii="Arial" w:hAnsi="Arial" w:cs="Arial"/>
          <w:sz w:val="24"/>
          <w:szCs w:val="24"/>
        </w:rPr>
        <w:lastRenderedPageBreak/>
        <w:t xml:space="preserve">The remainder of this release </w:t>
      </w:r>
      <w:r w:rsidR="009B6367" w:rsidRPr="007B54A7">
        <w:rPr>
          <w:rFonts w:ascii="Arial" w:hAnsi="Arial" w:cs="Arial"/>
          <w:sz w:val="24"/>
          <w:szCs w:val="24"/>
        </w:rPr>
        <w:t xml:space="preserve">is broken down into </w:t>
      </w:r>
      <w:r w:rsidR="00FC3ECC" w:rsidRPr="007B54A7">
        <w:rPr>
          <w:rFonts w:ascii="Arial" w:hAnsi="Arial" w:cs="Arial"/>
          <w:sz w:val="24"/>
          <w:szCs w:val="24"/>
        </w:rPr>
        <w:t>f</w:t>
      </w:r>
      <w:r w:rsidR="00A617C4">
        <w:rPr>
          <w:rFonts w:ascii="Arial" w:hAnsi="Arial" w:cs="Arial"/>
          <w:sz w:val="24"/>
          <w:szCs w:val="24"/>
        </w:rPr>
        <w:t>our</w:t>
      </w:r>
      <w:r w:rsidR="00101D68" w:rsidRPr="007B54A7">
        <w:rPr>
          <w:rFonts w:ascii="Arial" w:hAnsi="Arial" w:cs="Arial"/>
          <w:sz w:val="24"/>
          <w:szCs w:val="24"/>
        </w:rPr>
        <w:t xml:space="preserve"> </w:t>
      </w:r>
      <w:r w:rsidR="00181E03" w:rsidRPr="007B54A7">
        <w:rPr>
          <w:rFonts w:ascii="Arial" w:hAnsi="Arial" w:cs="Arial"/>
          <w:sz w:val="24"/>
          <w:szCs w:val="24"/>
        </w:rPr>
        <w:t>main sections:</w:t>
      </w:r>
    </w:p>
    <w:p w:rsidR="00C34F2D" w:rsidRPr="007B54A7" w:rsidRDefault="00C34F2D" w:rsidP="00C34F2D">
      <w:pPr>
        <w:numPr>
          <w:ilvl w:val="0"/>
          <w:numId w:val="4"/>
        </w:numPr>
        <w:ind w:left="360"/>
        <w:jc w:val="left"/>
        <w:rPr>
          <w:rFonts w:ascii="Arial" w:hAnsi="Arial" w:cs="Arial"/>
          <w:sz w:val="24"/>
          <w:szCs w:val="24"/>
        </w:rPr>
      </w:pPr>
      <w:r w:rsidRPr="007B54A7">
        <w:rPr>
          <w:rFonts w:ascii="Arial" w:hAnsi="Arial" w:cs="Arial"/>
          <w:sz w:val="24"/>
          <w:szCs w:val="24"/>
        </w:rPr>
        <w:t xml:space="preserve">‘Creating the Leader’ </w:t>
      </w:r>
      <w:r w:rsidR="00107924" w:rsidRPr="007B54A7">
        <w:rPr>
          <w:rFonts w:ascii="Arial" w:hAnsi="Arial" w:cs="Arial"/>
          <w:sz w:val="24"/>
          <w:szCs w:val="24"/>
        </w:rPr>
        <w:t>update</w:t>
      </w:r>
    </w:p>
    <w:p w:rsidR="003E3617" w:rsidRPr="007B54A7" w:rsidRDefault="003E3617">
      <w:pPr>
        <w:numPr>
          <w:ilvl w:val="0"/>
          <w:numId w:val="4"/>
        </w:numPr>
        <w:ind w:left="360"/>
        <w:jc w:val="left"/>
        <w:rPr>
          <w:rFonts w:ascii="Arial" w:hAnsi="Arial" w:cs="Arial"/>
          <w:sz w:val="24"/>
          <w:szCs w:val="24"/>
        </w:rPr>
      </w:pPr>
      <w:r w:rsidRPr="007B54A7">
        <w:rPr>
          <w:rFonts w:ascii="Arial" w:hAnsi="Arial" w:cs="Arial"/>
          <w:sz w:val="24"/>
          <w:szCs w:val="24"/>
        </w:rPr>
        <w:t>Trading review by major geography</w:t>
      </w:r>
    </w:p>
    <w:p w:rsidR="00C34F2D" w:rsidRPr="007B54A7" w:rsidRDefault="00B36322" w:rsidP="00C34F2D">
      <w:pPr>
        <w:numPr>
          <w:ilvl w:val="0"/>
          <w:numId w:val="4"/>
        </w:numPr>
        <w:ind w:left="360"/>
        <w:jc w:val="left"/>
        <w:rPr>
          <w:rFonts w:ascii="Arial" w:hAnsi="Arial" w:cs="Arial"/>
          <w:sz w:val="24"/>
          <w:szCs w:val="24"/>
        </w:rPr>
      </w:pPr>
      <w:r>
        <w:rPr>
          <w:rFonts w:ascii="Arial" w:hAnsi="Arial" w:cs="Arial"/>
          <w:sz w:val="24"/>
          <w:szCs w:val="24"/>
        </w:rPr>
        <w:t>Summary data by geography</w:t>
      </w:r>
    </w:p>
    <w:p w:rsidR="00C34F2D" w:rsidRPr="007B54A7" w:rsidRDefault="00C34F2D" w:rsidP="00C34F2D">
      <w:pPr>
        <w:numPr>
          <w:ilvl w:val="0"/>
          <w:numId w:val="4"/>
        </w:numPr>
        <w:ind w:left="360"/>
        <w:jc w:val="left"/>
        <w:rPr>
          <w:rFonts w:ascii="Arial" w:hAnsi="Arial" w:cs="Arial"/>
          <w:bCs/>
          <w:sz w:val="24"/>
          <w:szCs w:val="24"/>
        </w:rPr>
      </w:pPr>
      <w:r w:rsidRPr="007B54A7">
        <w:rPr>
          <w:rFonts w:ascii="Arial" w:hAnsi="Arial" w:cs="Arial"/>
          <w:sz w:val="24"/>
          <w:szCs w:val="24"/>
        </w:rPr>
        <w:t xml:space="preserve">Financial </w:t>
      </w:r>
      <w:r w:rsidR="00BC0379">
        <w:rPr>
          <w:rFonts w:ascii="Arial" w:hAnsi="Arial" w:cs="Arial"/>
          <w:sz w:val="24"/>
          <w:szCs w:val="24"/>
        </w:rPr>
        <w:t>r</w:t>
      </w:r>
      <w:r w:rsidRPr="007B54A7">
        <w:rPr>
          <w:rFonts w:ascii="Arial" w:hAnsi="Arial" w:cs="Arial"/>
          <w:sz w:val="24"/>
          <w:szCs w:val="24"/>
        </w:rPr>
        <w:t xml:space="preserve">eview and, in part 2 of the announcement, the interim condensed </w:t>
      </w:r>
      <w:r w:rsidR="00BC0379">
        <w:rPr>
          <w:rFonts w:ascii="Arial" w:hAnsi="Arial" w:cs="Arial"/>
          <w:sz w:val="24"/>
          <w:szCs w:val="24"/>
        </w:rPr>
        <w:t>f</w:t>
      </w:r>
      <w:r w:rsidRPr="007B54A7">
        <w:rPr>
          <w:rFonts w:ascii="Arial" w:hAnsi="Arial" w:cs="Arial"/>
          <w:sz w:val="24"/>
          <w:szCs w:val="24"/>
        </w:rPr>
        <w:t xml:space="preserve">inancial </w:t>
      </w:r>
      <w:r w:rsidR="00BC0379">
        <w:rPr>
          <w:rFonts w:ascii="Arial" w:hAnsi="Arial" w:cs="Arial"/>
          <w:sz w:val="24"/>
          <w:szCs w:val="24"/>
        </w:rPr>
        <w:t>s</w:t>
      </w:r>
      <w:r w:rsidRPr="007B54A7">
        <w:rPr>
          <w:rFonts w:ascii="Arial" w:hAnsi="Arial" w:cs="Arial"/>
          <w:sz w:val="24"/>
          <w:szCs w:val="24"/>
        </w:rPr>
        <w:t xml:space="preserve">tatements </w:t>
      </w:r>
    </w:p>
    <w:p w:rsidR="00C34F2D" w:rsidRPr="007B54A7" w:rsidRDefault="00C34F2D" w:rsidP="00953666">
      <w:pPr>
        <w:rPr>
          <w:rFonts w:ascii="Arial" w:hAnsi="Arial" w:cs="Arial"/>
          <w:b/>
          <w:bCs/>
          <w:sz w:val="28"/>
          <w:szCs w:val="28"/>
          <w:highlight w:val="yellow"/>
        </w:rPr>
      </w:pPr>
    </w:p>
    <w:p w:rsidR="003E3617" w:rsidRPr="007B54A7" w:rsidRDefault="003E3617" w:rsidP="003E3617">
      <w:pPr>
        <w:jc w:val="left"/>
        <w:rPr>
          <w:rFonts w:ascii="Arial" w:hAnsi="Arial" w:cs="Arial"/>
          <w:b/>
          <w:sz w:val="24"/>
          <w:szCs w:val="24"/>
        </w:rPr>
      </w:pPr>
      <w:r w:rsidRPr="007B54A7">
        <w:rPr>
          <w:rFonts w:ascii="Arial" w:hAnsi="Arial" w:cs="Arial"/>
          <w:b/>
          <w:sz w:val="24"/>
          <w:szCs w:val="24"/>
        </w:rPr>
        <w:t>Section 1</w:t>
      </w:r>
    </w:p>
    <w:p w:rsidR="003E3617" w:rsidRPr="007B54A7" w:rsidRDefault="00F94DD3" w:rsidP="003E3617">
      <w:pPr>
        <w:jc w:val="left"/>
        <w:rPr>
          <w:rFonts w:ascii="Arial" w:hAnsi="Arial" w:cs="Arial"/>
          <w:b/>
          <w:sz w:val="24"/>
          <w:szCs w:val="24"/>
        </w:rPr>
      </w:pPr>
      <w:r w:rsidRPr="007B54A7">
        <w:rPr>
          <w:rFonts w:ascii="Arial" w:hAnsi="Arial" w:cs="Arial"/>
          <w:b/>
          <w:sz w:val="24"/>
          <w:szCs w:val="24"/>
        </w:rPr>
        <w:t>‘</w:t>
      </w:r>
      <w:r w:rsidR="003E3617" w:rsidRPr="007B54A7">
        <w:rPr>
          <w:rFonts w:ascii="Arial" w:hAnsi="Arial" w:cs="Arial"/>
          <w:b/>
          <w:sz w:val="24"/>
          <w:szCs w:val="24"/>
        </w:rPr>
        <w:t>CREATING THE LEADER</w:t>
      </w:r>
      <w:r w:rsidRPr="007B54A7">
        <w:rPr>
          <w:rFonts w:ascii="Arial" w:hAnsi="Arial" w:cs="Arial"/>
          <w:b/>
          <w:sz w:val="24"/>
          <w:szCs w:val="24"/>
        </w:rPr>
        <w:t>’</w:t>
      </w:r>
      <w:r w:rsidR="003E3617" w:rsidRPr="007B54A7">
        <w:rPr>
          <w:rFonts w:ascii="Arial" w:hAnsi="Arial" w:cs="Arial"/>
          <w:b/>
          <w:sz w:val="24"/>
          <w:szCs w:val="24"/>
        </w:rPr>
        <w:t xml:space="preserve"> UPDATE</w:t>
      </w:r>
    </w:p>
    <w:p w:rsidR="003E3617" w:rsidRPr="007B54A7" w:rsidRDefault="003E3617" w:rsidP="003E3617">
      <w:pPr>
        <w:jc w:val="left"/>
        <w:rPr>
          <w:rFonts w:ascii="Arial" w:hAnsi="Arial" w:cs="Arial"/>
          <w:b/>
          <w:sz w:val="24"/>
          <w:szCs w:val="24"/>
        </w:rPr>
      </w:pPr>
    </w:p>
    <w:p w:rsidR="007B54A7" w:rsidRPr="007B54A7" w:rsidRDefault="007B54A7" w:rsidP="007B54A7">
      <w:pPr>
        <w:jc w:val="left"/>
        <w:rPr>
          <w:rFonts w:ascii="Arial" w:hAnsi="Arial" w:cs="Arial"/>
          <w:sz w:val="24"/>
          <w:szCs w:val="24"/>
        </w:rPr>
      </w:pPr>
      <w:r w:rsidRPr="007B54A7">
        <w:rPr>
          <w:rFonts w:ascii="Arial" w:hAnsi="Arial" w:cs="Arial"/>
          <w:sz w:val="24"/>
          <w:szCs w:val="24"/>
        </w:rPr>
        <w:t xml:space="preserve">Our unique contribution as a business to our customers is that we can harness our home improvement experience, our heritage as a leader in sustainability and our international scale to bring new, more sustainable and more affordable products to market. By also providing </w:t>
      </w:r>
      <w:r w:rsidRPr="007D220F">
        <w:rPr>
          <w:rFonts w:ascii="Arial" w:hAnsi="Arial" w:cs="Arial"/>
          <w:sz w:val="24"/>
          <w:szCs w:val="24"/>
        </w:rPr>
        <w:t xml:space="preserve">our customers with project advice and new shopping channels to complement </w:t>
      </w:r>
      <w:r w:rsidRPr="007B54A7">
        <w:rPr>
          <w:rFonts w:ascii="Arial" w:hAnsi="Arial" w:cs="Arial"/>
          <w:sz w:val="24"/>
          <w:szCs w:val="24"/>
        </w:rPr>
        <w:t xml:space="preserve">our stores we will make it easier for them to adapt their homes to their evolving lifestyles. Our shorthand for describing this purpose is </w:t>
      </w:r>
      <w:r w:rsidR="00A617C4">
        <w:rPr>
          <w:rFonts w:ascii="Arial" w:hAnsi="Arial" w:cs="Arial"/>
          <w:i/>
          <w:sz w:val="24"/>
          <w:szCs w:val="24"/>
        </w:rPr>
        <w:t>‘</w:t>
      </w:r>
      <w:r w:rsidRPr="007B54A7">
        <w:rPr>
          <w:rFonts w:ascii="Arial" w:hAnsi="Arial" w:cs="Arial"/>
          <w:i/>
          <w:sz w:val="24"/>
          <w:szCs w:val="24"/>
        </w:rPr>
        <w:t>Better Homes, Better Lives</w:t>
      </w:r>
      <w:r w:rsidR="00A617C4">
        <w:rPr>
          <w:rFonts w:ascii="Arial" w:hAnsi="Arial" w:cs="Arial"/>
          <w:i/>
          <w:sz w:val="24"/>
          <w:szCs w:val="24"/>
        </w:rPr>
        <w:t>’</w:t>
      </w:r>
      <w:r w:rsidR="00A617C4">
        <w:rPr>
          <w:rFonts w:ascii="Arial" w:hAnsi="Arial" w:cs="Arial"/>
          <w:sz w:val="24"/>
          <w:szCs w:val="24"/>
        </w:rPr>
        <w:t xml:space="preserve"> and the programme of self-help initiatives to achieve this purpose is called ‘Creating the Leader’. </w:t>
      </w:r>
    </w:p>
    <w:p w:rsidR="003E3617" w:rsidRPr="007B54A7" w:rsidRDefault="003E3617" w:rsidP="003E3617">
      <w:pPr>
        <w:jc w:val="left"/>
        <w:rPr>
          <w:rFonts w:ascii="Arial" w:hAnsi="Arial" w:cs="Arial"/>
          <w:sz w:val="24"/>
          <w:szCs w:val="24"/>
        </w:rPr>
      </w:pPr>
    </w:p>
    <w:p w:rsidR="003E3617" w:rsidRPr="007B54A7" w:rsidRDefault="003E3617" w:rsidP="003E3617">
      <w:pPr>
        <w:jc w:val="left"/>
        <w:rPr>
          <w:rFonts w:ascii="Arial" w:hAnsi="Arial" w:cs="Arial"/>
          <w:b/>
          <w:bCs/>
          <w:sz w:val="24"/>
          <w:szCs w:val="24"/>
          <w:highlight w:val="magenta"/>
        </w:rPr>
      </w:pPr>
      <w:r w:rsidRPr="007B54A7">
        <w:rPr>
          <w:rFonts w:ascii="Arial" w:hAnsi="Arial" w:cs="Arial"/>
          <w:b/>
          <w:bCs/>
          <w:sz w:val="24"/>
          <w:szCs w:val="24"/>
        </w:rPr>
        <w:t>‘Creating the Leader’ H1 p</w:t>
      </w:r>
      <w:r w:rsidRPr="007B54A7">
        <w:rPr>
          <w:rFonts w:ascii="Helvetica" w:hAnsi="Helvetica" w:cs="Helvetica"/>
          <w:b/>
          <w:bCs/>
          <w:sz w:val="24"/>
          <w:szCs w:val="24"/>
        </w:rPr>
        <w:t>rogress and milestones for H2</w:t>
      </w:r>
    </w:p>
    <w:p w:rsidR="003E3617" w:rsidRPr="007B54A7" w:rsidRDefault="003E3617" w:rsidP="003E3617">
      <w:pPr>
        <w:jc w:val="left"/>
        <w:rPr>
          <w:rFonts w:ascii="Arial" w:hAnsi="Arial" w:cs="Arial"/>
          <w:sz w:val="24"/>
          <w:szCs w:val="24"/>
          <w:highlight w:val="magenta"/>
        </w:rPr>
      </w:pPr>
    </w:p>
    <w:p w:rsidR="003E3617" w:rsidRPr="007B54A7" w:rsidRDefault="003E3617" w:rsidP="003E3617">
      <w:pPr>
        <w:jc w:val="left"/>
        <w:rPr>
          <w:rFonts w:ascii="Arial" w:hAnsi="Arial" w:cs="Arial"/>
          <w:sz w:val="24"/>
          <w:szCs w:val="24"/>
        </w:rPr>
      </w:pPr>
      <w:r w:rsidRPr="007B54A7">
        <w:rPr>
          <w:rFonts w:ascii="Arial" w:hAnsi="Arial" w:cs="Arial"/>
          <w:sz w:val="24"/>
          <w:szCs w:val="24"/>
        </w:rPr>
        <w:t xml:space="preserve">In March 2012, we set out </w:t>
      </w:r>
      <w:r w:rsidR="00D56E13" w:rsidRPr="007B54A7">
        <w:rPr>
          <w:rFonts w:ascii="Arial" w:hAnsi="Arial" w:cs="Arial"/>
          <w:sz w:val="24"/>
          <w:szCs w:val="24"/>
        </w:rPr>
        <w:t xml:space="preserve">four areas (Easier, Common, Expand and One Team) with </w:t>
      </w:r>
      <w:r w:rsidRPr="007B54A7">
        <w:rPr>
          <w:rFonts w:ascii="Arial" w:hAnsi="Arial" w:cs="Arial"/>
          <w:sz w:val="24"/>
          <w:szCs w:val="24"/>
        </w:rPr>
        <w:t>eight specific steps that make up ‘Creating the Leader’ along with their associated key success measures and short term annual milestones. Today we update on the progress we ha</w:t>
      </w:r>
      <w:r w:rsidR="007B54A7" w:rsidRPr="007B54A7">
        <w:rPr>
          <w:rFonts w:ascii="Arial" w:hAnsi="Arial" w:cs="Arial"/>
          <w:sz w:val="24"/>
          <w:szCs w:val="24"/>
        </w:rPr>
        <w:t>ve made towards each of the 2013/14</w:t>
      </w:r>
      <w:r w:rsidRPr="007B54A7">
        <w:rPr>
          <w:rFonts w:ascii="Arial" w:hAnsi="Arial" w:cs="Arial"/>
          <w:sz w:val="24"/>
          <w:szCs w:val="24"/>
        </w:rPr>
        <w:t xml:space="preserve"> milestones:</w:t>
      </w:r>
    </w:p>
    <w:p w:rsidR="003E3617" w:rsidRPr="00B526CD" w:rsidRDefault="003E3617" w:rsidP="003E3617">
      <w:pPr>
        <w:jc w:val="left"/>
        <w:rPr>
          <w:rFonts w:ascii="Arial" w:hAnsi="Arial" w:cs="Arial"/>
          <w:sz w:val="24"/>
          <w:szCs w:val="24"/>
          <w:highlight w:val="magenta"/>
        </w:rPr>
      </w:pPr>
    </w:p>
    <w:p w:rsidR="00172D06" w:rsidRPr="005F3F68" w:rsidRDefault="003E3617" w:rsidP="003E3617">
      <w:pPr>
        <w:jc w:val="left"/>
        <w:rPr>
          <w:rFonts w:ascii="Arial" w:hAnsi="Arial" w:cs="Arial"/>
          <w:b/>
          <w:sz w:val="24"/>
          <w:szCs w:val="24"/>
        </w:rPr>
      </w:pPr>
      <w:r w:rsidRPr="00B526CD">
        <w:rPr>
          <w:rFonts w:ascii="Arial" w:hAnsi="Arial" w:cs="Arial"/>
          <w:b/>
          <w:sz w:val="24"/>
          <w:szCs w:val="24"/>
        </w:rPr>
        <w:t xml:space="preserve">EASIER </w:t>
      </w:r>
    </w:p>
    <w:p w:rsidR="008E784F" w:rsidRDefault="008E784F" w:rsidP="00A43059">
      <w:pPr>
        <w:contextualSpacing/>
        <w:jc w:val="left"/>
        <w:rPr>
          <w:rFonts w:ascii="Arial" w:hAnsi="Arial" w:cs="Arial"/>
          <w:sz w:val="24"/>
          <w:szCs w:val="24"/>
        </w:rPr>
      </w:pPr>
    </w:p>
    <w:p w:rsidR="008E784F" w:rsidRDefault="008E784F" w:rsidP="00A43059">
      <w:pPr>
        <w:contextualSpacing/>
        <w:jc w:val="left"/>
        <w:rPr>
          <w:rFonts w:ascii="Arial" w:hAnsi="Arial" w:cs="Arial"/>
          <w:sz w:val="24"/>
          <w:szCs w:val="24"/>
        </w:rPr>
      </w:pPr>
      <w:r w:rsidRPr="005F3F68">
        <w:rPr>
          <w:rFonts w:ascii="Arial" w:hAnsi="Arial" w:cs="Arial"/>
          <w:sz w:val="24"/>
          <w:szCs w:val="24"/>
        </w:rPr>
        <w:t>2013/14 first half progress</w:t>
      </w:r>
    </w:p>
    <w:p w:rsidR="003E3617" w:rsidRPr="00FA5AC4" w:rsidRDefault="00AD2201" w:rsidP="003E3617">
      <w:pPr>
        <w:contextualSpacing/>
        <w:jc w:val="left"/>
        <w:rPr>
          <w:rFonts w:ascii="Arial" w:hAnsi="Arial" w:cs="Arial"/>
          <w:i/>
          <w:sz w:val="24"/>
          <w:szCs w:val="24"/>
        </w:rPr>
      </w:pPr>
      <w:r w:rsidRPr="00FA5AC4">
        <w:rPr>
          <w:rFonts w:ascii="Arial" w:hAnsi="Arial" w:cs="Arial"/>
          <w:i/>
          <w:sz w:val="24"/>
          <w:szCs w:val="24"/>
        </w:rPr>
        <w:t>Emphasise our</w:t>
      </w:r>
      <w:r>
        <w:rPr>
          <w:rFonts w:ascii="Arial" w:hAnsi="Arial" w:cs="Arial"/>
          <w:i/>
          <w:sz w:val="24"/>
          <w:szCs w:val="24"/>
        </w:rPr>
        <w:t xml:space="preserve"> affordability credentials</w:t>
      </w:r>
    </w:p>
    <w:p w:rsidR="008E784F" w:rsidRPr="00FA5AC4" w:rsidRDefault="008E784F" w:rsidP="008E784F">
      <w:pPr>
        <w:pStyle w:val="ListParagraph"/>
        <w:numPr>
          <w:ilvl w:val="0"/>
          <w:numId w:val="38"/>
        </w:numPr>
        <w:contextualSpacing/>
        <w:jc w:val="left"/>
        <w:rPr>
          <w:rFonts w:ascii="Arial" w:hAnsi="Arial" w:cs="Arial"/>
          <w:sz w:val="24"/>
          <w:szCs w:val="24"/>
        </w:rPr>
      </w:pPr>
      <w:r w:rsidRPr="00FA5AC4">
        <w:rPr>
          <w:rFonts w:ascii="Arial" w:hAnsi="Arial" w:cs="Arial"/>
          <w:sz w:val="24"/>
          <w:szCs w:val="24"/>
        </w:rPr>
        <w:t xml:space="preserve">Launched ‘handy prices’ marketing campaign in B&amp;Q </w:t>
      </w:r>
      <w:r w:rsidR="00DE33BB">
        <w:rPr>
          <w:rFonts w:ascii="Arial" w:hAnsi="Arial" w:cs="Arial"/>
          <w:sz w:val="24"/>
          <w:szCs w:val="24"/>
        </w:rPr>
        <w:t>UK &amp; Ireland</w:t>
      </w:r>
    </w:p>
    <w:p w:rsidR="008E784F" w:rsidRDefault="008E784F" w:rsidP="008E784F">
      <w:pPr>
        <w:pStyle w:val="ListParagraph"/>
        <w:numPr>
          <w:ilvl w:val="0"/>
          <w:numId w:val="38"/>
        </w:numPr>
        <w:contextualSpacing/>
        <w:jc w:val="left"/>
        <w:rPr>
          <w:rFonts w:ascii="Arial" w:hAnsi="Arial" w:cs="Arial"/>
          <w:sz w:val="24"/>
          <w:szCs w:val="24"/>
        </w:rPr>
      </w:pPr>
      <w:r w:rsidRPr="00FA5AC4">
        <w:rPr>
          <w:rFonts w:ascii="Arial" w:hAnsi="Arial" w:cs="Arial"/>
          <w:sz w:val="24"/>
          <w:szCs w:val="24"/>
        </w:rPr>
        <w:t>Rolled out Brico Dépôt ‘back to basics’ marketing campaign</w:t>
      </w:r>
    </w:p>
    <w:p w:rsidR="00AD2201" w:rsidRDefault="00AD2201" w:rsidP="008E784F">
      <w:pPr>
        <w:pStyle w:val="ListParagraph"/>
        <w:numPr>
          <w:ilvl w:val="0"/>
          <w:numId w:val="38"/>
        </w:numPr>
        <w:contextualSpacing/>
        <w:jc w:val="left"/>
        <w:rPr>
          <w:rFonts w:ascii="Arial" w:hAnsi="Arial" w:cs="Arial"/>
          <w:sz w:val="24"/>
          <w:szCs w:val="24"/>
        </w:rPr>
      </w:pPr>
      <w:r>
        <w:rPr>
          <w:rFonts w:ascii="Arial" w:hAnsi="Arial" w:cs="Arial"/>
          <w:sz w:val="24"/>
          <w:szCs w:val="24"/>
        </w:rPr>
        <w:t>Extended Brico Dépôt France &amp; Spain programme of ‘arrivages’ (one off special buys) to Turkey &amp; Poland</w:t>
      </w:r>
    </w:p>
    <w:p w:rsidR="00AD2201" w:rsidRPr="00FA5AC4" w:rsidRDefault="00AD2201" w:rsidP="00AD2201">
      <w:pPr>
        <w:pStyle w:val="ListParagraph"/>
        <w:numPr>
          <w:ilvl w:val="0"/>
          <w:numId w:val="38"/>
        </w:numPr>
        <w:contextualSpacing/>
        <w:jc w:val="left"/>
        <w:rPr>
          <w:rFonts w:ascii="Arial" w:hAnsi="Arial" w:cs="Arial"/>
          <w:sz w:val="24"/>
          <w:szCs w:val="24"/>
        </w:rPr>
      </w:pPr>
      <w:r w:rsidRPr="00FA5AC4">
        <w:rPr>
          <w:rFonts w:ascii="Arial" w:hAnsi="Arial" w:cs="Arial"/>
          <w:sz w:val="24"/>
          <w:szCs w:val="24"/>
        </w:rPr>
        <w:t>Launched UK Enterprise Finance Guarantee scheme for tradesmen</w:t>
      </w:r>
    </w:p>
    <w:p w:rsidR="00AD2201" w:rsidRDefault="00AD2201" w:rsidP="00FA5AC4">
      <w:pPr>
        <w:contextualSpacing/>
        <w:jc w:val="left"/>
        <w:rPr>
          <w:rFonts w:ascii="Arial" w:hAnsi="Arial" w:cs="Arial"/>
          <w:sz w:val="24"/>
          <w:szCs w:val="24"/>
        </w:rPr>
      </w:pPr>
    </w:p>
    <w:p w:rsidR="00AD2201" w:rsidRPr="00FA5AC4" w:rsidRDefault="00AD2201" w:rsidP="00FA5AC4">
      <w:pPr>
        <w:contextualSpacing/>
        <w:jc w:val="left"/>
        <w:rPr>
          <w:rFonts w:ascii="Arial" w:hAnsi="Arial" w:cs="Arial"/>
          <w:i/>
          <w:sz w:val="24"/>
          <w:szCs w:val="24"/>
        </w:rPr>
      </w:pPr>
      <w:r w:rsidRPr="00FA5AC4">
        <w:rPr>
          <w:rFonts w:ascii="Arial" w:hAnsi="Arial" w:cs="Arial"/>
          <w:i/>
          <w:sz w:val="24"/>
          <w:szCs w:val="24"/>
        </w:rPr>
        <w:t>Extend our omnichannel offer</w:t>
      </w:r>
    </w:p>
    <w:p w:rsidR="005A0FD3" w:rsidRPr="002657CA" w:rsidRDefault="005630C3" w:rsidP="005630C3">
      <w:pPr>
        <w:pStyle w:val="ListParagraph"/>
        <w:numPr>
          <w:ilvl w:val="0"/>
          <w:numId w:val="38"/>
        </w:numPr>
        <w:contextualSpacing/>
        <w:jc w:val="left"/>
        <w:rPr>
          <w:rFonts w:ascii="Arial" w:hAnsi="Arial" w:cs="Arial"/>
          <w:sz w:val="24"/>
          <w:szCs w:val="24"/>
        </w:rPr>
      </w:pPr>
      <w:r w:rsidRPr="002657CA">
        <w:rPr>
          <w:rFonts w:ascii="Arial" w:hAnsi="Arial" w:cs="Arial"/>
          <w:sz w:val="24"/>
          <w:szCs w:val="24"/>
        </w:rPr>
        <w:t xml:space="preserve">B&amp;Q </w:t>
      </w:r>
      <w:r w:rsidR="000C49FC">
        <w:rPr>
          <w:rFonts w:ascii="Arial" w:hAnsi="Arial" w:cs="Arial"/>
          <w:sz w:val="24"/>
          <w:szCs w:val="24"/>
        </w:rPr>
        <w:t xml:space="preserve">UK </w:t>
      </w:r>
      <w:r w:rsidRPr="002657CA">
        <w:rPr>
          <w:rFonts w:ascii="Arial" w:hAnsi="Arial" w:cs="Arial"/>
          <w:sz w:val="24"/>
          <w:szCs w:val="24"/>
        </w:rPr>
        <w:t>on-line offer</w:t>
      </w:r>
    </w:p>
    <w:p w:rsidR="005630C3" w:rsidRPr="002657CA" w:rsidRDefault="005630C3" w:rsidP="00341967">
      <w:pPr>
        <w:pStyle w:val="ListParagraph"/>
        <w:numPr>
          <w:ilvl w:val="1"/>
          <w:numId w:val="38"/>
        </w:numPr>
        <w:contextualSpacing/>
        <w:jc w:val="left"/>
        <w:rPr>
          <w:rFonts w:ascii="Arial" w:hAnsi="Arial" w:cs="Arial"/>
          <w:sz w:val="24"/>
          <w:szCs w:val="24"/>
        </w:rPr>
      </w:pPr>
      <w:r w:rsidRPr="002657CA">
        <w:rPr>
          <w:rFonts w:ascii="Arial" w:hAnsi="Arial" w:cs="Arial"/>
          <w:sz w:val="24"/>
          <w:szCs w:val="24"/>
        </w:rPr>
        <w:t>2</w:t>
      </w:r>
      <w:r w:rsidR="000C49FC">
        <w:rPr>
          <w:rFonts w:ascii="Arial" w:hAnsi="Arial" w:cs="Arial"/>
          <w:sz w:val="24"/>
          <w:szCs w:val="24"/>
        </w:rPr>
        <w:t>0</w:t>
      </w:r>
      <w:r w:rsidRPr="002657CA">
        <w:rPr>
          <w:rFonts w:ascii="Arial" w:hAnsi="Arial" w:cs="Arial"/>
          <w:sz w:val="24"/>
          <w:szCs w:val="24"/>
        </w:rPr>
        <w:t>,000 extra products</w:t>
      </w:r>
      <w:r w:rsidR="005A0FD3" w:rsidRPr="002657CA">
        <w:rPr>
          <w:rFonts w:ascii="Arial" w:hAnsi="Arial" w:cs="Arial"/>
          <w:sz w:val="24"/>
          <w:szCs w:val="24"/>
        </w:rPr>
        <w:t xml:space="preserve"> now available</w:t>
      </w:r>
      <w:r w:rsidRPr="002657CA">
        <w:rPr>
          <w:rFonts w:ascii="Arial" w:hAnsi="Arial" w:cs="Arial"/>
          <w:sz w:val="24"/>
          <w:szCs w:val="24"/>
        </w:rPr>
        <w:t xml:space="preserve"> for home delivery (using Screwfix omnichannel infrastructure)</w:t>
      </w:r>
    </w:p>
    <w:p w:rsidR="005A0FD3" w:rsidRPr="002657CA" w:rsidRDefault="005A0FD3" w:rsidP="00341967">
      <w:pPr>
        <w:pStyle w:val="ListParagraph"/>
        <w:numPr>
          <w:ilvl w:val="1"/>
          <w:numId w:val="38"/>
        </w:numPr>
        <w:contextualSpacing/>
        <w:jc w:val="left"/>
        <w:rPr>
          <w:rFonts w:ascii="Arial" w:hAnsi="Arial" w:cs="Arial"/>
          <w:sz w:val="24"/>
          <w:szCs w:val="24"/>
        </w:rPr>
      </w:pPr>
      <w:r w:rsidRPr="002657CA">
        <w:rPr>
          <w:rFonts w:ascii="Arial" w:hAnsi="Arial" w:cs="Arial"/>
          <w:sz w:val="24"/>
          <w:szCs w:val="24"/>
        </w:rPr>
        <w:t xml:space="preserve">Navigation and search functionality of </w:t>
      </w:r>
      <w:hyperlink r:id="rId10" w:history="1">
        <w:r w:rsidRPr="002657CA">
          <w:rPr>
            <w:rStyle w:val="Hyperlink"/>
            <w:rFonts w:ascii="Arial" w:hAnsi="Arial" w:cs="Arial"/>
            <w:sz w:val="24"/>
            <w:szCs w:val="24"/>
          </w:rPr>
          <w:t>www.diy.com</w:t>
        </w:r>
      </w:hyperlink>
      <w:r w:rsidRPr="002657CA">
        <w:rPr>
          <w:rFonts w:ascii="Arial" w:hAnsi="Arial" w:cs="Arial"/>
          <w:sz w:val="24"/>
          <w:szCs w:val="24"/>
        </w:rPr>
        <w:t xml:space="preserve"> improved</w:t>
      </w:r>
    </w:p>
    <w:p w:rsidR="0097238E" w:rsidRPr="00BA325A" w:rsidRDefault="0097238E" w:rsidP="0097238E">
      <w:pPr>
        <w:pStyle w:val="ListParagraph"/>
        <w:numPr>
          <w:ilvl w:val="0"/>
          <w:numId w:val="38"/>
        </w:numPr>
        <w:contextualSpacing/>
        <w:jc w:val="left"/>
        <w:rPr>
          <w:rFonts w:ascii="Arial" w:hAnsi="Arial" w:cs="Arial"/>
          <w:sz w:val="24"/>
          <w:szCs w:val="24"/>
        </w:rPr>
      </w:pPr>
      <w:r w:rsidRPr="00BA325A">
        <w:rPr>
          <w:rFonts w:ascii="Arial" w:hAnsi="Arial" w:cs="Arial"/>
          <w:sz w:val="24"/>
          <w:szCs w:val="24"/>
        </w:rPr>
        <w:t xml:space="preserve">Launched upgraded websites in Turkey and Brico Dépôt France </w:t>
      </w:r>
    </w:p>
    <w:p w:rsidR="00F7499D" w:rsidRPr="002657CA" w:rsidRDefault="00F7499D" w:rsidP="00F7499D">
      <w:pPr>
        <w:pStyle w:val="ListParagraph"/>
        <w:numPr>
          <w:ilvl w:val="0"/>
          <w:numId w:val="38"/>
        </w:numPr>
        <w:contextualSpacing/>
        <w:jc w:val="left"/>
        <w:rPr>
          <w:rFonts w:ascii="Arial" w:hAnsi="Arial" w:cs="Arial"/>
          <w:sz w:val="24"/>
          <w:szCs w:val="24"/>
        </w:rPr>
      </w:pPr>
      <w:r w:rsidRPr="002657CA">
        <w:rPr>
          <w:rFonts w:ascii="Arial" w:hAnsi="Arial" w:cs="Arial"/>
          <w:sz w:val="24"/>
          <w:szCs w:val="24"/>
        </w:rPr>
        <w:t xml:space="preserve">Launched </w:t>
      </w:r>
      <w:r w:rsidR="005A7F35">
        <w:rPr>
          <w:rFonts w:ascii="Arial" w:hAnsi="Arial" w:cs="Arial"/>
          <w:sz w:val="24"/>
          <w:szCs w:val="24"/>
        </w:rPr>
        <w:t>pilot</w:t>
      </w:r>
      <w:r w:rsidRPr="002657CA">
        <w:rPr>
          <w:rFonts w:ascii="Arial" w:hAnsi="Arial" w:cs="Arial"/>
          <w:sz w:val="24"/>
          <w:szCs w:val="24"/>
        </w:rPr>
        <w:t xml:space="preserve"> of ‘click &amp; collect’ in Castorama France </w:t>
      </w:r>
    </w:p>
    <w:p w:rsidR="00B526CD" w:rsidRPr="00FA5AC4" w:rsidRDefault="00B526CD" w:rsidP="003E3617">
      <w:pPr>
        <w:contextualSpacing/>
        <w:jc w:val="left"/>
        <w:rPr>
          <w:highlight w:val="yellow"/>
        </w:rPr>
      </w:pPr>
    </w:p>
    <w:p w:rsidR="003E3617" w:rsidRPr="002657CA" w:rsidRDefault="00B526CD" w:rsidP="00A43059">
      <w:pPr>
        <w:contextualSpacing/>
        <w:jc w:val="left"/>
        <w:rPr>
          <w:rFonts w:ascii="Arial" w:hAnsi="Arial" w:cs="Arial"/>
          <w:sz w:val="24"/>
          <w:szCs w:val="24"/>
        </w:rPr>
      </w:pPr>
      <w:r w:rsidRPr="00FA5AC4">
        <w:rPr>
          <w:rFonts w:ascii="Arial" w:hAnsi="Arial" w:cs="Arial"/>
          <w:sz w:val="24"/>
          <w:szCs w:val="24"/>
        </w:rPr>
        <w:t>2013/</w:t>
      </w:r>
      <w:r w:rsidRPr="002657CA">
        <w:rPr>
          <w:rFonts w:ascii="Arial" w:hAnsi="Arial" w:cs="Arial"/>
          <w:sz w:val="24"/>
          <w:szCs w:val="24"/>
        </w:rPr>
        <w:t>14</w:t>
      </w:r>
      <w:r w:rsidR="003E3617" w:rsidRPr="002657CA">
        <w:rPr>
          <w:rFonts w:ascii="Arial" w:hAnsi="Arial" w:cs="Arial"/>
          <w:sz w:val="24"/>
          <w:szCs w:val="24"/>
        </w:rPr>
        <w:t xml:space="preserve"> second half milestones</w:t>
      </w:r>
    </w:p>
    <w:p w:rsidR="006E576C" w:rsidRPr="002657CA" w:rsidRDefault="006E576C" w:rsidP="00A43059">
      <w:pPr>
        <w:contextualSpacing/>
        <w:jc w:val="left"/>
        <w:rPr>
          <w:rFonts w:ascii="Arial" w:hAnsi="Arial" w:cs="Arial"/>
          <w:i/>
          <w:sz w:val="24"/>
          <w:szCs w:val="24"/>
        </w:rPr>
      </w:pPr>
      <w:r w:rsidRPr="002657CA">
        <w:rPr>
          <w:rFonts w:ascii="Arial" w:hAnsi="Arial" w:cs="Arial"/>
          <w:i/>
          <w:sz w:val="24"/>
          <w:szCs w:val="24"/>
        </w:rPr>
        <w:t>Extend our omnichannel offer</w:t>
      </w:r>
    </w:p>
    <w:p w:rsidR="00F341D2" w:rsidRPr="002657CA" w:rsidRDefault="005A0FD3">
      <w:pPr>
        <w:pStyle w:val="ListParagraph"/>
        <w:numPr>
          <w:ilvl w:val="0"/>
          <w:numId w:val="40"/>
        </w:numPr>
        <w:contextualSpacing/>
        <w:jc w:val="left"/>
        <w:rPr>
          <w:rFonts w:ascii="Arial" w:hAnsi="Arial" w:cs="Arial"/>
          <w:sz w:val="24"/>
          <w:szCs w:val="24"/>
        </w:rPr>
      </w:pPr>
      <w:r w:rsidRPr="002657CA">
        <w:rPr>
          <w:rFonts w:ascii="Arial" w:hAnsi="Arial" w:cs="Arial"/>
          <w:sz w:val="24"/>
          <w:szCs w:val="24"/>
        </w:rPr>
        <w:t xml:space="preserve">B&amp;Q </w:t>
      </w:r>
      <w:r w:rsidR="00270F4E">
        <w:rPr>
          <w:rFonts w:ascii="Arial" w:hAnsi="Arial" w:cs="Arial"/>
          <w:sz w:val="24"/>
          <w:szCs w:val="24"/>
        </w:rPr>
        <w:t xml:space="preserve">UK </w:t>
      </w:r>
      <w:r w:rsidRPr="002657CA">
        <w:rPr>
          <w:rFonts w:ascii="Arial" w:hAnsi="Arial" w:cs="Arial"/>
          <w:sz w:val="24"/>
          <w:szCs w:val="24"/>
        </w:rPr>
        <w:t xml:space="preserve">on-line offer </w:t>
      </w:r>
    </w:p>
    <w:p w:rsidR="005A0FD3" w:rsidRPr="002657CA" w:rsidRDefault="005A0FD3" w:rsidP="00341967">
      <w:pPr>
        <w:pStyle w:val="ListParagraph"/>
        <w:numPr>
          <w:ilvl w:val="1"/>
          <w:numId w:val="38"/>
        </w:numPr>
        <w:contextualSpacing/>
        <w:jc w:val="left"/>
        <w:rPr>
          <w:rFonts w:ascii="Arial" w:hAnsi="Arial" w:cs="Arial"/>
          <w:sz w:val="24"/>
          <w:szCs w:val="24"/>
        </w:rPr>
      </w:pPr>
      <w:r w:rsidRPr="002657CA">
        <w:rPr>
          <w:rFonts w:ascii="Arial" w:hAnsi="Arial" w:cs="Arial"/>
          <w:sz w:val="24"/>
          <w:szCs w:val="24"/>
        </w:rPr>
        <w:t>Launch of click, pay &amp; collect on-line</w:t>
      </w:r>
    </w:p>
    <w:p w:rsidR="005A0FD3" w:rsidRPr="002657CA" w:rsidRDefault="000C3669" w:rsidP="00341967">
      <w:pPr>
        <w:pStyle w:val="ListParagraph"/>
        <w:numPr>
          <w:ilvl w:val="1"/>
          <w:numId w:val="38"/>
        </w:numPr>
        <w:contextualSpacing/>
        <w:jc w:val="left"/>
        <w:rPr>
          <w:rFonts w:ascii="Arial" w:hAnsi="Arial" w:cs="Arial"/>
          <w:sz w:val="24"/>
          <w:szCs w:val="24"/>
        </w:rPr>
      </w:pPr>
      <w:r w:rsidRPr="002657CA">
        <w:rPr>
          <w:rFonts w:ascii="Arial" w:hAnsi="Arial" w:cs="Arial"/>
          <w:sz w:val="24"/>
          <w:szCs w:val="24"/>
        </w:rPr>
        <w:t>Extend TradePoint website to main shop floor categories e.g. kitchens</w:t>
      </w:r>
    </w:p>
    <w:p w:rsidR="008748A4" w:rsidRPr="002657CA" w:rsidRDefault="00404473" w:rsidP="00F341D2">
      <w:pPr>
        <w:pStyle w:val="ListParagraph"/>
        <w:numPr>
          <w:ilvl w:val="0"/>
          <w:numId w:val="40"/>
        </w:numPr>
        <w:contextualSpacing/>
        <w:jc w:val="left"/>
        <w:rPr>
          <w:rFonts w:ascii="Arial" w:hAnsi="Arial" w:cs="Arial"/>
          <w:b/>
          <w:sz w:val="24"/>
          <w:szCs w:val="24"/>
        </w:rPr>
      </w:pPr>
      <w:r w:rsidRPr="002657CA">
        <w:rPr>
          <w:rFonts w:ascii="Arial" w:hAnsi="Arial" w:cs="Arial"/>
          <w:sz w:val="24"/>
          <w:szCs w:val="24"/>
        </w:rPr>
        <w:t>Launch upgraded website</w:t>
      </w:r>
      <w:r w:rsidR="00F61285" w:rsidRPr="002657CA">
        <w:rPr>
          <w:rFonts w:ascii="Arial" w:hAnsi="Arial" w:cs="Arial"/>
          <w:sz w:val="24"/>
          <w:szCs w:val="24"/>
        </w:rPr>
        <w:t>s</w:t>
      </w:r>
      <w:r w:rsidRPr="002657CA">
        <w:rPr>
          <w:rFonts w:ascii="Arial" w:hAnsi="Arial" w:cs="Arial"/>
          <w:sz w:val="24"/>
          <w:szCs w:val="24"/>
        </w:rPr>
        <w:t xml:space="preserve"> in Poland</w:t>
      </w:r>
      <w:r w:rsidR="00A617C4">
        <w:rPr>
          <w:rFonts w:ascii="Arial" w:hAnsi="Arial" w:cs="Arial"/>
          <w:sz w:val="24"/>
          <w:szCs w:val="24"/>
        </w:rPr>
        <w:t>,</w:t>
      </w:r>
      <w:r w:rsidR="00F61285" w:rsidRPr="002657CA">
        <w:rPr>
          <w:rFonts w:ascii="Arial" w:hAnsi="Arial" w:cs="Arial"/>
          <w:sz w:val="24"/>
          <w:szCs w:val="24"/>
        </w:rPr>
        <w:t xml:space="preserve"> Spain</w:t>
      </w:r>
      <w:r w:rsidR="0097238E" w:rsidRPr="0097238E">
        <w:rPr>
          <w:rFonts w:ascii="Arial" w:hAnsi="Arial" w:cs="Arial"/>
          <w:sz w:val="24"/>
          <w:szCs w:val="24"/>
        </w:rPr>
        <w:t xml:space="preserve"> and China</w:t>
      </w:r>
    </w:p>
    <w:p w:rsidR="0097238E" w:rsidRPr="00BA325A" w:rsidRDefault="0097238E" w:rsidP="0097238E">
      <w:pPr>
        <w:pStyle w:val="ListParagraph"/>
        <w:numPr>
          <w:ilvl w:val="0"/>
          <w:numId w:val="40"/>
        </w:numPr>
        <w:contextualSpacing/>
        <w:jc w:val="left"/>
        <w:rPr>
          <w:rFonts w:ascii="Arial" w:hAnsi="Arial" w:cs="Arial"/>
          <w:sz w:val="24"/>
          <w:szCs w:val="24"/>
        </w:rPr>
      </w:pPr>
      <w:r>
        <w:rPr>
          <w:rFonts w:ascii="Arial" w:hAnsi="Arial" w:cs="Arial"/>
          <w:sz w:val="24"/>
          <w:szCs w:val="24"/>
        </w:rPr>
        <w:t xml:space="preserve">Launch </w:t>
      </w:r>
      <w:r w:rsidR="005A7F35">
        <w:rPr>
          <w:rFonts w:ascii="Arial" w:hAnsi="Arial" w:cs="Arial"/>
          <w:sz w:val="24"/>
          <w:szCs w:val="24"/>
        </w:rPr>
        <w:t>pilot</w:t>
      </w:r>
      <w:r>
        <w:rPr>
          <w:rFonts w:ascii="Arial" w:hAnsi="Arial" w:cs="Arial"/>
          <w:sz w:val="24"/>
          <w:szCs w:val="24"/>
        </w:rPr>
        <w:t xml:space="preserve"> of ‘click &amp; collect’ in Turkey</w:t>
      </w:r>
    </w:p>
    <w:p w:rsidR="003E3617" w:rsidRDefault="003E3617" w:rsidP="003E3617">
      <w:pPr>
        <w:jc w:val="left"/>
        <w:rPr>
          <w:rFonts w:ascii="Arial" w:hAnsi="Arial" w:cs="Arial"/>
          <w:sz w:val="24"/>
          <w:szCs w:val="24"/>
        </w:rPr>
      </w:pPr>
      <w:r w:rsidRPr="005F3F68">
        <w:rPr>
          <w:rFonts w:ascii="Arial" w:hAnsi="Arial" w:cs="Arial"/>
          <w:b/>
          <w:sz w:val="24"/>
          <w:szCs w:val="24"/>
        </w:rPr>
        <w:lastRenderedPageBreak/>
        <w:t>COMMON</w:t>
      </w:r>
      <w:r w:rsidRPr="005F3F68">
        <w:rPr>
          <w:rFonts w:ascii="Arial" w:hAnsi="Arial" w:cs="Arial"/>
          <w:sz w:val="24"/>
          <w:szCs w:val="24"/>
        </w:rPr>
        <w:t xml:space="preserve"> </w:t>
      </w:r>
    </w:p>
    <w:p w:rsidR="00FB0460" w:rsidRPr="005F3F68" w:rsidRDefault="00FB0460" w:rsidP="003E3617">
      <w:pPr>
        <w:jc w:val="left"/>
        <w:rPr>
          <w:rFonts w:ascii="Arial" w:hAnsi="Arial" w:cs="Arial"/>
          <w:i/>
          <w:sz w:val="24"/>
          <w:szCs w:val="24"/>
          <w:highlight w:val="magenta"/>
        </w:rPr>
      </w:pPr>
    </w:p>
    <w:p w:rsidR="0090025C" w:rsidRPr="00942C03" w:rsidRDefault="00243F0A" w:rsidP="002657CA">
      <w:pPr>
        <w:contextualSpacing/>
        <w:jc w:val="left"/>
        <w:rPr>
          <w:rFonts w:ascii="Arial" w:hAnsi="Arial" w:cs="Arial"/>
          <w:b/>
          <w:sz w:val="24"/>
          <w:szCs w:val="24"/>
        </w:rPr>
      </w:pPr>
      <w:r w:rsidRPr="00942C03">
        <w:rPr>
          <w:rFonts w:ascii="Arial" w:hAnsi="Arial" w:cs="Arial"/>
          <w:b/>
          <w:sz w:val="24"/>
          <w:szCs w:val="24"/>
        </w:rPr>
        <w:t xml:space="preserve">Group sourcing </w:t>
      </w:r>
      <w:r>
        <w:rPr>
          <w:rFonts w:ascii="Arial" w:hAnsi="Arial" w:cs="Arial"/>
          <w:b/>
          <w:sz w:val="24"/>
          <w:szCs w:val="24"/>
        </w:rPr>
        <w:t>organisation</w:t>
      </w:r>
      <w:r w:rsidR="0090025C" w:rsidRPr="00942C03">
        <w:rPr>
          <w:rFonts w:ascii="Arial" w:hAnsi="Arial" w:cs="Arial"/>
          <w:b/>
          <w:sz w:val="24"/>
          <w:szCs w:val="24"/>
        </w:rPr>
        <w:t xml:space="preserve"> update</w:t>
      </w:r>
    </w:p>
    <w:p w:rsidR="00D760D6" w:rsidRDefault="00D760D6" w:rsidP="0037199C">
      <w:pPr>
        <w:contextualSpacing/>
        <w:jc w:val="left"/>
        <w:rPr>
          <w:rFonts w:ascii="Arial" w:hAnsi="Arial" w:cs="Arial"/>
          <w:sz w:val="24"/>
          <w:szCs w:val="24"/>
        </w:rPr>
      </w:pPr>
    </w:p>
    <w:p w:rsidR="00D760D6" w:rsidRDefault="00D760D6" w:rsidP="0037199C">
      <w:pPr>
        <w:contextualSpacing/>
        <w:jc w:val="left"/>
        <w:rPr>
          <w:rFonts w:ascii="Arial" w:hAnsi="Arial" w:cs="Arial"/>
          <w:sz w:val="24"/>
          <w:szCs w:val="24"/>
        </w:rPr>
      </w:pPr>
      <w:r>
        <w:rPr>
          <w:rFonts w:ascii="Arial" w:hAnsi="Arial" w:cs="Arial"/>
          <w:sz w:val="24"/>
          <w:szCs w:val="24"/>
        </w:rPr>
        <w:t xml:space="preserve">We have already made a lot of progress with </w:t>
      </w:r>
      <w:r w:rsidR="00FB0460">
        <w:rPr>
          <w:rFonts w:ascii="Arial" w:hAnsi="Arial" w:cs="Arial"/>
          <w:sz w:val="24"/>
          <w:szCs w:val="24"/>
        </w:rPr>
        <w:t>Group sourcing</w:t>
      </w:r>
      <w:r w:rsidR="009E131C">
        <w:rPr>
          <w:rFonts w:ascii="Arial" w:hAnsi="Arial" w:cs="Arial"/>
          <w:sz w:val="24"/>
          <w:szCs w:val="24"/>
        </w:rPr>
        <w:t xml:space="preserve"> and </w:t>
      </w:r>
      <w:r>
        <w:rPr>
          <w:rFonts w:ascii="Arial" w:hAnsi="Arial" w:cs="Arial"/>
          <w:sz w:val="24"/>
          <w:szCs w:val="24"/>
        </w:rPr>
        <w:t>since 2008 ha</w:t>
      </w:r>
      <w:r w:rsidR="00E53C16">
        <w:rPr>
          <w:rFonts w:ascii="Arial" w:hAnsi="Arial" w:cs="Arial"/>
          <w:sz w:val="24"/>
          <w:szCs w:val="24"/>
        </w:rPr>
        <w:t>ve</w:t>
      </w:r>
      <w:r>
        <w:rPr>
          <w:rFonts w:ascii="Arial" w:hAnsi="Arial" w:cs="Arial"/>
          <w:sz w:val="24"/>
          <w:szCs w:val="24"/>
        </w:rPr>
        <w:t xml:space="preserve"> achieved the following:</w:t>
      </w:r>
    </w:p>
    <w:p w:rsidR="00D760D6" w:rsidRDefault="00D760D6" w:rsidP="0037199C">
      <w:pPr>
        <w:pStyle w:val="ListParagraph"/>
        <w:numPr>
          <w:ilvl w:val="0"/>
          <w:numId w:val="38"/>
        </w:numPr>
        <w:contextualSpacing/>
        <w:jc w:val="left"/>
        <w:rPr>
          <w:rFonts w:ascii="Arial" w:hAnsi="Arial" w:cs="Arial"/>
          <w:sz w:val="24"/>
          <w:szCs w:val="24"/>
        </w:rPr>
      </w:pPr>
      <w:r>
        <w:rPr>
          <w:rFonts w:ascii="Arial" w:hAnsi="Arial" w:cs="Arial"/>
          <w:sz w:val="24"/>
          <w:szCs w:val="24"/>
        </w:rPr>
        <w:t xml:space="preserve">more than doubled direct sourcing </w:t>
      </w:r>
      <w:r w:rsidR="00B25705">
        <w:rPr>
          <w:rFonts w:ascii="Arial" w:hAnsi="Arial" w:cs="Arial"/>
          <w:sz w:val="24"/>
          <w:szCs w:val="24"/>
        </w:rPr>
        <w:t xml:space="preserve">to c.20% </w:t>
      </w:r>
      <w:r>
        <w:rPr>
          <w:rFonts w:ascii="Arial" w:hAnsi="Arial" w:cs="Arial"/>
          <w:sz w:val="24"/>
          <w:szCs w:val="24"/>
        </w:rPr>
        <w:t>of Group sales</w:t>
      </w:r>
    </w:p>
    <w:p w:rsidR="00D760D6" w:rsidRDefault="00D760D6" w:rsidP="0037199C">
      <w:pPr>
        <w:pStyle w:val="ListParagraph"/>
        <w:numPr>
          <w:ilvl w:val="0"/>
          <w:numId w:val="38"/>
        </w:numPr>
        <w:contextualSpacing/>
        <w:jc w:val="left"/>
        <w:rPr>
          <w:rFonts w:ascii="Arial" w:hAnsi="Arial" w:cs="Arial"/>
          <w:sz w:val="24"/>
          <w:szCs w:val="24"/>
        </w:rPr>
      </w:pPr>
      <w:r>
        <w:rPr>
          <w:rFonts w:ascii="Arial" w:hAnsi="Arial" w:cs="Arial"/>
          <w:sz w:val="24"/>
          <w:szCs w:val="24"/>
        </w:rPr>
        <w:t xml:space="preserve">established Group-wide common own brands, with ‘common’* products already at </w:t>
      </w:r>
      <w:r w:rsidR="002E522F">
        <w:rPr>
          <w:rFonts w:ascii="Arial" w:hAnsi="Arial" w:cs="Arial"/>
          <w:sz w:val="24"/>
          <w:szCs w:val="24"/>
        </w:rPr>
        <w:t>8</w:t>
      </w:r>
      <w:r>
        <w:rPr>
          <w:rFonts w:ascii="Arial" w:hAnsi="Arial" w:cs="Arial"/>
          <w:sz w:val="24"/>
          <w:szCs w:val="24"/>
        </w:rPr>
        <w:t>% of Group sales</w:t>
      </w:r>
      <w:r w:rsidR="002E522F">
        <w:rPr>
          <w:rFonts w:ascii="Arial" w:hAnsi="Arial" w:cs="Arial"/>
          <w:sz w:val="24"/>
          <w:szCs w:val="24"/>
        </w:rPr>
        <w:t xml:space="preserve"> as at January 2012/13 year end</w:t>
      </w:r>
      <w:r>
        <w:rPr>
          <w:rFonts w:ascii="Arial" w:hAnsi="Arial" w:cs="Arial"/>
          <w:sz w:val="24"/>
          <w:szCs w:val="24"/>
        </w:rPr>
        <w:t>, up from less than 1% previously</w:t>
      </w:r>
    </w:p>
    <w:p w:rsidR="00D760D6" w:rsidRDefault="00D760D6" w:rsidP="0037199C">
      <w:pPr>
        <w:pStyle w:val="ListParagraph"/>
        <w:numPr>
          <w:ilvl w:val="0"/>
          <w:numId w:val="38"/>
        </w:numPr>
        <w:contextualSpacing/>
        <w:jc w:val="left"/>
        <w:rPr>
          <w:rFonts w:ascii="Arial" w:hAnsi="Arial" w:cs="Arial"/>
          <w:sz w:val="24"/>
          <w:szCs w:val="24"/>
        </w:rPr>
      </w:pPr>
      <w:r>
        <w:rPr>
          <w:rFonts w:ascii="Arial" w:hAnsi="Arial" w:cs="Arial"/>
          <w:sz w:val="24"/>
          <w:szCs w:val="24"/>
        </w:rPr>
        <w:t>invested in and expanded our global sourcing capability and brand management</w:t>
      </w:r>
    </w:p>
    <w:p w:rsidR="00D760D6" w:rsidRDefault="00D760D6" w:rsidP="0037199C">
      <w:pPr>
        <w:contextualSpacing/>
        <w:jc w:val="left"/>
        <w:rPr>
          <w:rFonts w:ascii="Arial" w:hAnsi="Arial" w:cs="Arial"/>
          <w:sz w:val="24"/>
          <w:szCs w:val="24"/>
        </w:rPr>
      </w:pPr>
    </w:p>
    <w:p w:rsidR="00D760D6" w:rsidRDefault="00D760D6" w:rsidP="0037199C">
      <w:pPr>
        <w:contextualSpacing/>
        <w:jc w:val="left"/>
        <w:rPr>
          <w:rFonts w:ascii="Arial" w:hAnsi="Arial" w:cs="Arial"/>
          <w:sz w:val="24"/>
          <w:szCs w:val="24"/>
        </w:rPr>
      </w:pPr>
      <w:r>
        <w:rPr>
          <w:rFonts w:ascii="Arial" w:hAnsi="Arial" w:cs="Arial"/>
          <w:sz w:val="24"/>
          <w:szCs w:val="24"/>
        </w:rPr>
        <w:t xml:space="preserve">We are now building on this first phase by bringing our sourcing operations closer to our operating businesses as we increasingly share our best ranges. </w:t>
      </w:r>
      <w:r w:rsidR="00FB0460" w:rsidRPr="00C21DBE">
        <w:rPr>
          <w:rFonts w:ascii="Arial" w:hAnsi="Arial" w:cs="Arial"/>
          <w:sz w:val="24"/>
          <w:szCs w:val="24"/>
        </w:rPr>
        <w:t>We</w:t>
      </w:r>
      <w:r w:rsidRPr="00FB0460">
        <w:rPr>
          <w:rFonts w:ascii="Arial" w:hAnsi="Arial" w:cs="Arial"/>
          <w:sz w:val="24"/>
          <w:szCs w:val="24"/>
        </w:rPr>
        <w:t xml:space="preserve"> </w:t>
      </w:r>
      <w:r>
        <w:rPr>
          <w:rFonts w:ascii="Arial" w:hAnsi="Arial" w:cs="Arial"/>
          <w:sz w:val="24"/>
          <w:szCs w:val="24"/>
        </w:rPr>
        <w:t xml:space="preserve">will drive </w:t>
      </w:r>
      <w:r w:rsidR="00A617C4">
        <w:rPr>
          <w:rFonts w:ascii="Arial" w:hAnsi="Arial" w:cs="Arial"/>
          <w:sz w:val="24"/>
          <w:szCs w:val="24"/>
        </w:rPr>
        <w:t xml:space="preserve">further sourcing benefits by creating </w:t>
      </w:r>
      <w:r>
        <w:rPr>
          <w:rFonts w:ascii="Arial" w:hAnsi="Arial" w:cs="Arial"/>
          <w:sz w:val="24"/>
          <w:szCs w:val="24"/>
        </w:rPr>
        <w:t xml:space="preserve">a more flexible, agile approach, </w:t>
      </w:r>
      <w:r w:rsidR="00A617C4">
        <w:rPr>
          <w:rFonts w:ascii="Arial" w:hAnsi="Arial" w:cs="Arial"/>
          <w:sz w:val="24"/>
          <w:szCs w:val="24"/>
        </w:rPr>
        <w:t xml:space="preserve">with </w:t>
      </w:r>
      <w:r>
        <w:rPr>
          <w:rFonts w:ascii="Arial" w:hAnsi="Arial" w:cs="Arial"/>
          <w:sz w:val="24"/>
          <w:szCs w:val="24"/>
        </w:rPr>
        <w:t>greater focus on ‘near sourcing’ and shorter lead-times</w:t>
      </w:r>
      <w:r w:rsidR="00A617C4">
        <w:rPr>
          <w:rFonts w:ascii="Arial" w:hAnsi="Arial" w:cs="Arial"/>
          <w:sz w:val="24"/>
          <w:szCs w:val="24"/>
        </w:rPr>
        <w:t>.</w:t>
      </w:r>
      <w:r>
        <w:rPr>
          <w:rFonts w:ascii="Arial" w:hAnsi="Arial" w:cs="Arial"/>
          <w:sz w:val="24"/>
          <w:szCs w:val="24"/>
        </w:rPr>
        <w:t xml:space="preserve"> This plan is being led by Guy Colleau, CEO Group Sourcing &amp; Offer, who brings a wealth of operational experience to his new role from his former position as CEO Castorama France. </w:t>
      </w:r>
    </w:p>
    <w:p w:rsidR="00D760D6" w:rsidRDefault="00D760D6" w:rsidP="0037199C">
      <w:pPr>
        <w:contextualSpacing/>
        <w:jc w:val="left"/>
        <w:rPr>
          <w:rFonts w:ascii="Arial" w:hAnsi="Arial" w:cs="Arial"/>
          <w:sz w:val="24"/>
          <w:szCs w:val="24"/>
        </w:rPr>
      </w:pPr>
    </w:p>
    <w:p w:rsidR="00D760D6" w:rsidRDefault="00D760D6" w:rsidP="0037199C">
      <w:pPr>
        <w:contextualSpacing/>
        <w:jc w:val="left"/>
        <w:rPr>
          <w:rFonts w:ascii="Arial" w:hAnsi="Arial" w:cs="Arial"/>
          <w:sz w:val="24"/>
          <w:szCs w:val="24"/>
        </w:rPr>
      </w:pPr>
      <w:bookmarkStart w:id="5" w:name="OLE_LINK13"/>
      <w:bookmarkStart w:id="6" w:name="OLE_LINK14"/>
      <w:r>
        <w:rPr>
          <w:rFonts w:ascii="Arial" w:hAnsi="Arial" w:cs="Arial"/>
          <w:sz w:val="24"/>
          <w:szCs w:val="24"/>
        </w:rPr>
        <w:t>The key features of the Group sourcing approach will be:</w:t>
      </w:r>
    </w:p>
    <w:p w:rsidR="0036141F" w:rsidRDefault="0036141F" w:rsidP="0036141F">
      <w:pPr>
        <w:pStyle w:val="ListParagraph"/>
        <w:numPr>
          <w:ilvl w:val="0"/>
          <w:numId w:val="47"/>
        </w:numPr>
        <w:contextualSpacing/>
        <w:jc w:val="left"/>
        <w:rPr>
          <w:rFonts w:ascii="Arial" w:hAnsi="Arial" w:cs="Arial"/>
          <w:sz w:val="24"/>
          <w:szCs w:val="24"/>
        </w:rPr>
      </w:pPr>
      <w:r>
        <w:rPr>
          <w:rFonts w:ascii="Arial" w:hAnsi="Arial" w:cs="Arial"/>
          <w:sz w:val="24"/>
          <w:szCs w:val="24"/>
        </w:rPr>
        <w:t>cash margin-based KPIs replacing previous % KPI targets</w:t>
      </w:r>
    </w:p>
    <w:p w:rsidR="00D760D6" w:rsidRDefault="00D760D6" w:rsidP="0036141F">
      <w:pPr>
        <w:pStyle w:val="ListParagraph"/>
        <w:numPr>
          <w:ilvl w:val="0"/>
          <w:numId w:val="47"/>
        </w:numPr>
        <w:contextualSpacing/>
        <w:jc w:val="left"/>
        <w:rPr>
          <w:rFonts w:ascii="Arial" w:hAnsi="Arial" w:cs="Arial"/>
          <w:sz w:val="24"/>
          <w:szCs w:val="24"/>
        </w:rPr>
      </w:pPr>
      <w:r>
        <w:rPr>
          <w:rFonts w:ascii="Arial" w:hAnsi="Arial" w:cs="Arial"/>
          <w:sz w:val="24"/>
          <w:szCs w:val="24"/>
        </w:rPr>
        <w:t>sourcing offices t</w:t>
      </w:r>
      <w:r w:rsidR="00A617C4">
        <w:rPr>
          <w:rFonts w:ascii="Arial" w:hAnsi="Arial" w:cs="Arial"/>
          <w:sz w:val="24"/>
          <w:szCs w:val="24"/>
        </w:rPr>
        <w:t>hat</w:t>
      </w:r>
      <w:r>
        <w:rPr>
          <w:rFonts w:ascii="Arial" w:hAnsi="Arial" w:cs="Arial"/>
          <w:sz w:val="24"/>
          <w:szCs w:val="24"/>
        </w:rPr>
        <w:t xml:space="preserve"> focus more on negotiating deals with suppliers</w:t>
      </w:r>
      <w:r w:rsidR="00A617C4">
        <w:rPr>
          <w:rFonts w:ascii="Arial" w:hAnsi="Arial" w:cs="Arial"/>
          <w:sz w:val="24"/>
          <w:szCs w:val="24"/>
        </w:rPr>
        <w:t xml:space="preserve">, leaving </w:t>
      </w:r>
      <w:r>
        <w:rPr>
          <w:rFonts w:ascii="Arial" w:hAnsi="Arial" w:cs="Arial"/>
          <w:sz w:val="24"/>
          <w:szCs w:val="24"/>
        </w:rPr>
        <w:t>product range</w:t>
      </w:r>
      <w:r w:rsidR="00A617C4">
        <w:rPr>
          <w:rFonts w:ascii="Arial" w:hAnsi="Arial" w:cs="Arial"/>
          <w:sz w:val="24"/>
          <w:szCs w:val="24"/>
        </w:rPr>
        <w:t xml:space="preserve"> </w:t>
      </w:r>
      <w:r w:rsidR="002B7830">
        <w:rPr>
          <w:rFonts w:ascii="Arial" w:hAnsi="Arial" w:cs="Arial"/>
          <w:sz w:val="24"/>
          <w:szCs w:val="24"/>
        </w:rPr>
        <w:t>decisions with</w:t>
      </w:r>
      <w:r w:rsidR="00B25705">
        <w:rPr>
          <w:rFonts w:ascii="Arial" w:hAnsi="Arial" w:cs="Arial"/>
          <w:sz w:val="24"/>
          <w:szCs w:val="24"/>
        </w:rPr>
        <w:t xml:space="preserve"> local commercial management teams</w:t>
      </w:r>
    </w:p>
    <w:p w:rsidR="00D760D6" w:rsidRDefault="00D760D6" w:rsidP="0037199C">
      <w:pPr>
        <w:pStyle w:val="ListParagraph"/>
        <w:numPr>
          <w:ilvl w:val="0"/>
          <w:numId w:val="47"/>
        </w:numPr>
        <w:contextualSpacing/>
        <w:jc w:val="left"/>
        <w:rPr>
          <w:rFonts w:ascii="Arial" w:hAnsi="Arial" w:cs="Arial"/>
          <w:sz w:val="24"/>
          <w:szCs w:val="24"/>
        </w:rPr>
      </w:pPr>
      <w:r>
        <w:rPr>
          <w:rFonts w:ascii="Arial" w:hAnsi="Arial" w:cs="Arial"/>
          <w:sz w:val="24"/>
          <w:szCs w:val="24"/>
        </w:rPr>
        <w:t>more low-cost</w:t>
      </w:r>
      <w:r w:rsidR="002B7830">
        <w:rPr>
          <w:rFonts w:ascii="Arial" w:hAnsi="Arial" w:cs="Arial"/>
          <w:sz w:val="24"/>
          <w:szCs w:val="24"/>
        </w:rPr>
        <w:t>,</w:t>
      </w:r>
      <w:r>
        <w:rPr>
          <w:rFonts w:ascii="Arial" w:hAnsi="Arial" w:cs="Arial"/>
          <w:sz w:val="24"/>
          <w:szCs w:val="24"/>
        </w:rPr>
        <w:t xml:space="preserve"> ‘pop up’ sourcing branches and near sourcing operations</w:t>
      </w:r>
    </w:p>
    <w:bookmarkEnd w:id="5"/>
    <w:bookmarkEnd w:id="6"/>
    <w:p w:rsidR="008E66AD" w:rsidRDefault="008E66AD" w:rsidP="00A43059">
      <w:pPr>
        <w:contextualSpacing/>
        <w:jc w:val="left"/>
        <w:rPr>
          <w:rFonts w:ascii="Arial" w:hAnsi="Arial" w:cs="Arial"/>
          <w:sz w:val="24"/>
          <w:szCs w:val="24"/>
        </w:rPr>
      </w:pPr>
    </w:p>
    <w:p w:rsidR="00A617C4" w:rsidRDefault="00A617C4" w:rsidP="00FA5AC4">
      <w:pPr>
        <w:contextualSpacing/>
        <w:jc w:val="left"/>
        <w:rPr>
          <w:rFonts w:ascii="Arial" w:hAnsi="Arial" w:cs="Arial"/>
          <w:i/>
          <w:sz w:val="24"/>
          <w:szCs w:val="24"/>
        </w:rPr>
      </w:pPr>
      <w:r w:rsidRPr="005F3F68">
        <w:rPr>
          <w:rFonts w:ascii="Arial" w:hAnsi="Arial" w:cs="Arial"/>
          <w:sz w:val="24"/>
          <w:szCs w:val="24"/>
        </w:rPr>
        <w:t>2013/14 first half progress</w:t>
      </w:r>
    </w:p>
    <w:p w:rsidR="00A5204A" w:rsidRPr="0075630B" w:rsidRDefault="00A5204A" w:rsidP="00FA5AC4">
      <w:pPr>
        <w:contextualSpacing/>
        <w:jc w:val="left"/>
        <w:rPr>
          <w:rFonts w:ascii="Arial" w:hAnsi="Arial" w:cs="Arial"/>
          <w:i/>
          <w:sz w:val="24"/>
          <w:szCs w:val="24"/>
        </w:rPr>
      </w:pPr>
      <w:r w:rsidRPr="0075630B">
        <w:rPr>
          <w:rFonts w:ascii="Arial" w:hAnsi="Arial" w:cs="Arial"/>
          <w:i/>
          <w:sz w:val="24"/>
          <w:szCs w:val="24"/>
        </w:rPr>
        <w:t>Product:</w:t>
      </w:r>
    </w:p>
    <w:p w:rsidR="006D0BA4" w:rsidRDefault="006D0BA4" w:rsidP="006D0BA4">
      <w:pPr>
        <w:pStyle w:val="ListParagraph"/>
        <w:numPr>
          <w:ilvl w:val="0"/>
          <w:numId w:val="38"/>
        </w:numPr>
        <w:contextualSpacing/>
        <w:jc w:val="left"/>
        <w:rPr>
          <w:rFonts w:ascii="Arial" w:hAnsi="Arial" w:cs="Arial"/>
          <w:sz w:val="24"/>
          <w:szCs w:val="24"/>
        </w:rPr>
      </w:pPr>
      <w:r w:rsidRPr="0006717E">
        <w:rPr>
          <w:rFonts w:ascii="Arial" w:hAnsi="Arial" w:cs="Arial"/>
          <w:sz w:val="24"/>
          <w:szCs w:val="24"/>
        </w:rPr>
        <w:t>Launch</w:t>
      </w:r>
      <w:r>
        <w:rPr>
          <w:rFonts w:ascii="Arial" w:hAnsi="Arial" w:cs="Arial"/>
          <w:sz w:val="24"/>
          <w:szCs w:val="24"/>
        </w:rPr>
        <w:t>ed</w:t>
      </w:r>
      <w:r w:rsidRPr="0006717E">
        <w:rPr>
          <w:rFonts w:ascii="Arial" w:hAnsi="Arial" w:cs="Arial"/>
          <w:sz w:val="24"/>
          <w:szCs w:val="24"/>
        </w:rPr>
        <w:t xml:space="preserve"> new energy-efficiency ‘iQE’ Group brand</w:t>
      </w:r>
      <w:r>
        <w:rPr>
          <w:rFonts w:ascii="Arial" w:hAnsi="Arial" w:cs="Arial"/>
          <w:sz w:val="24"/>
          <w:szCs w:val="24"/>
        </w:rPr>
        <w:t xml:space="preserve"> </w:t>
      </w:r>
    </w:p>
    <w:p w:rsidR="006D0BA4" w:rsidRPr="00341967" w:rsidRDefault="006D0BA4" w:rsidP="00FA5AC4">
      <w:pPr>
        <w:pStyle w:val="ListParagraph"/>
        <w:numPr>
          <w:ilvl w:val="0"/>
          <w:numId w:val="38"/>
        </w:numPr>
        <w:contextualSpacing/>
        <w:jc w:val="left"/>
        <w:rPr>
          <w:rFonts w:ascii="Arial" w:hAnsi="Arial" w:cs="Arial"/>
          <w:sz w:val="24"/>
          <w:szCs w:val="24"/>
        </w:rPr>
      </w:pPr>
      <w:r w:rsidRPr="00341967">
        <w:rPr>
          <w:rFonts w:ascii="Arial" w:hAnsi="Arial" w:cs="Arial"/>
          <w:sz w:val="24"/>
          <w:szCs w:val="24"/>
        </w:rPr>
        <w:t xml:space="preserve">Paint </w:t>
      </w:r>
    </w:p>
    <w:p w:rsidR="006D0BA4" w:rsidRPr="00341967" w:rsidRDefault="006D0BA4" w:rsidP="00FA5AC4">
      <w:pPr>
        <w:pStyle w:val="ListParagraph"/>
        <w:numPr>
          <w:ilvl w:val="1"/>
          <w:numId w:val="38"/>
        </w:numPr>
        <w:contextualSpacing/>
        <w:jc w:val="left"/>
        <w:rPr>
          <w:rFonts w:ascii="Arial" w:hAnsi="Arial" w:cs="Arial"/>
          <w:sz w:val="24"/>
          <w:szCs w:val="24"/>
        </w:rPr>
      </w:pPr>
      <w:r w:rsidRPr="00341967">
        <w:rPr>
          <w:rFonts w:ascii="Arial" w:hAnsi="Arial" w:cs="Arial"/>
          <w:sz w:val="24"/>
          <w:szCs w:val="24"/>
        </w:rPr>
        <w:t>Rolled out ‘Colours’ Group own-brand paint into Spain</w:t>
      </w:r>
    </w:p>
    <w:p w:rsidR="00294B35" w:rsidRPr="00BA325A" w:rsidRDefault="00294B35" w:rsidP="00294B35">
      <w:pPr>
        <w:pStyle w:val="ListParagraph"/>
        <w:numPr>
          <w:ilvl w:val="1"/>
          <w:numId w:val="38"/>
        </w:numPr>
        <w:contextualSpacing/>
        <w:jc w:val="left"/>
        <w:rPr>
          <w:rFonts w:ascii="Arial" w:hAnsi="Arial" w:cs="Arial"/>
          <w:sz w:val="24"/>
          <w:szCs w:val="24"/>
        </w:rPr>
      </w:pPr>
      <w:r w:rsidRPr="00BA325A">
        <w:rPr>
          <w:rFonts w:ascii="Arial" w:hAnsi="Arial" w:cs="Arial"/>
          <w:sz w:val="24"/>
          <w:szCs w:val="24"/>
        </w:rPr>
        <w:t>Roll</w:t>
      </w:r>
      <w:r w:rsidR="00C5130B">
        <w:rPr>
          <w:rFonts w:ascii="Arial" w:hAnsi="Arial" w:cs="Arial"/>
          <w:sz w:val="24"/>
          <w:szCs w:val="24"/>
        </w:rPr>
        <w:t>ed</w:t>
      </w:r>
      <w:r w:rsidRPr="00BA325A">
        <w:rPr>
          <w:rFonts w:ascii="Arial" w:hAnsi="Arial" w:cs="Arial"/>
          <w:sz w:val="24"/>
          <w:szCs w:val="24"/>
        </w:rPr>
        <w:t xml:space="preserve"> out new coloured emulsion paint range</w:t>
      </w:r>
      <w:r>
        <w:rPr>
          <w:rFonts w:ascii="Arial" w:hAnsi="Arial" w:cs="Arial"/>
          <w:sz w:val="24"/>
          <w:szCs w:val="24"/>
        </w:rPr>
        <w:t xml:space="preserve"> to Castorama France</w:t>
      </w:r>
      <w:r w:rsidRPr="00BA325A">
        <w:rPr>
          <w:rFonts w:ascii="Arial" w:hAnsi="Arial" w:cs="Arial"/>
          <w:sz w:val="24"/>
          <w:szCs w:val="24"/>
        </w:rPr>
        <w:t xml:space="preserve"> </w:t>
      </w:r>
      <w:r w:rsidR="002B7830">
        <w:rPr>
          <w:rFonts w:ascii="Arial" w:hAnsi="Arial" w:cs="Arial"/>
          <w:sz w:val="24"/>
          <w:szCs w:val="24"/>
        </w:rPr>
        <w:t>which will be</w:t>
      </w:r>
      <w:r w:rsidRPr="00BA325A">
        <w:rPr>
          <w:rFonts w:ascii="Arial" w:hAnsi="Arial" w:cs="Arial"/>
          <w:sz w:val="24"/>
          <w:szCs w:val="24"/>
        </w:rPr>
        <w:t xml:space="preserve"> 2/3 common* </w:t>
      </w:r>
      <w:r w:rsidR="00BC0379">
        <w:rPr>
          <w:rFonts w:ascii="Arial" w:hAnsi="Arial" w:cs="Arial"/>
          <w:sz w:val="24"/>
          <w:szCs w:val="24"/>
        </w:rPr>
        <w:t xml:space="preserve">between </w:t>
      </w:r>
      <w:r w:rsidRPr="00BA325A">
        <w:rPr>
          <w:rFonts w:ascii="Arial" w:hAnsi="Arial" w:cs="Arial"/>
          <w:sz w:val="24"/>
          <w:szCs w:val="24"/>
        </w:rPr>
        <w:t xml:space="preserve">B&amp;Q UK </w:t>
      </w:r>
      <w:r w:rsidR="00DE33BB">
        <w:rPr>
          <w:rFonts w:ascii="Arial" w:hAnsi="Arial" w:cs="Arial"/>
          <w:sz w:val="24"/>
          <w:szCs w:val="24"/>
        </w:rPr>
        <w:t xml:space="preserve">&amp; Ireland and </w:t>
      </w:r>
      <w:r w:rsidRPr="00BA325A">
        <w:rPr>
          <w:rFonts w:ascii="Arial" w:hAnsi="Arial" w:cs="Arial"/>
          <w:sz w:val="24"/>
          <w:szCs w:val="24"/>
        </w:rPr>
        <w:t>Castorama France</w:t>
      </w:r>
    </w:p>
    <w:p w:rsidR="00392D8F" w:rsidRPr="00942C03" w:rsidRDefault="00C5130B" w:rsidP="00942C03">
      <w:pPr>
        <w:pStyle w:val="ListParagraph"/>
        <w:numPr>
          <w:ilvl w:val="1"/>
          <w:numId w:val="38"/>
        </w:numPr>
        <w:contextualSpacing/>
        <w:jc w:val="left"/>
        <w:rPr>
          <w:rFonts w:ascii="Arial" w:hAnsi="Arial" w:cs="Arial"/>
          <w:i/>
          <w:sz w:val="24"/>
          <w:szCs w:val="24"/>
        </w:rPr>
      </w:pPr>
      <w:r>
        <w:rPr>
          <w:rFonts w:ascii="Arial" w:hAnsi="Arial" w:cs="Arial"/>
          <w:sz w:val="24"/>
          <w:szCs w:val="24"/>
        </w:rPr>
        <w:t>Commenced roll out of</w:t>
      </w:r>
      <w:r w:rsidR="006D0BA4" w:rsidRPr="002657CA">
        <w:rPr>
          <w:rFonts w:ascii="Arial" w:hAnsi="Arial" w:cs="Arial"/>
          <w:sz w:val="24"/>
          <w:szCs w:val="24"/>
        </w:rPr>
        <w:t xml:space="preserve"> exclusive Valspar paint mixing desk into B&amp;Q UK </w:t>
      </w:r>
      <w:r w:rsidR="00DE33BB">
        <w:rPr>
          <w:rFonts w:ascii="Arial" w:hAnsi="Arial" w:cs="Arial"/>
          <w:sz w:val="24"/>
          <w:szCs w:val="24"/>
        </w:rPr>
        <w:t>and</w:t>
      </w:r>
      <w:r w:rsidR="006D0BA4" w:rsidRPr="002657CA">
        <w:rPr>
          <w:rFonts w:ascii="Arial" w:hAnsi="Arial" w:cs="Arial"/>
          <w:sz w:val="24"/>
          <w:szCs w:val="24"/>
        </w:rPr>
        <w:t xml:space="preserve"> China</w:t>
      </w:r>
      <w:r w:rsidR="00B72803" w:rsidRPr="002657CA">
        <w:rPr>
          <w:rFonts w:ascii="Arial" w:hAnsi="Arial" w:cs="Arial"/>
          <w:sz w:val="24"/>
          <w:szCs w:val="24"/>
        </w:rPr>
        <w:t xml:space="preserve"> </w:t>
      </w:r>
    </w:p>
    <w:p w:rsidR="00A5204A" w:rsidRPr="0075630B" w:rsidRDefault="00A5204A" w:rsidP="00FA5AC4">
      <w:pPr>
        <w:contextualSpacing/>
        <w:jc w:val="left"/>
        <w:rPr>
          <w:rFonts w:ascii="Arial" w:hAnsi="Arial" w:cs="Arial"/>
          <w:i/>
          <w:sz w:val="24"/>
          <w:szCs w:val="24"/>
        </w:rPr>
      </w:pPr>
      <w:r w:rsidRPr="0075630B">
        <w:rPr>
          <w:rFonts w:ascii="Arial" w:hAnsi="Arial" w:cs="Arial"/>
          <w:i/>
          <w:sz w:val="24"/>
          <w:szCs w:val="24"/>
        </w:rPr>
        <w:t>Efficiency:</w:t>
      </w:r>
    </w:p>
    <w:p w:rsidR="00A5204A" w:rsidRPr="0006717E" w:rsidRDefault="00A5204A" w:rsidP="00FA5AC4">
      <w:pPr>
        <w:pStyle w:val="ListParagraph"/>
        <w:numPr>
          <w:ilvl w:val="0"/>
          <w:numId w:val="38"/>
        </w:numPr>
        <w:contextualSpacing/>
        <w:jc w:val="left"/>
        <w:rPr>
          <w:rFonts w:ascii="Arial" w:hAnsi="Arial" w:cs="Arial"/>
          <w:sz w:val="24"/>
          <w:szCs w:val="24"/>
        </w:rPr>
      </w:pPr>
      <w:r>
        <w:rPr>
          <w:rFonts w:ascii="Arial" w:hAnsi="Arial" w:cs="Arial"/>
          <w:sz w:val="24"/>
          <w:szCs w:val="24"/>
        </w:rPr>
        <w:t xml:space="preserve">SG&amp;A (selling, general &amp; administrative expenses) </w:t>
      </w:r>
      <w:r w:rsidRPr="0006717E">
        <w:rPr>
          <w:rFonts w:ascii="Arial" w:hAnsi="Arial" w:cs="Arial"/>
          <w:sz w:val="24"/>
          <w:szCs w:val="24"/>
        </w:rPr>
        <w:t>optimis</w:t>
      </w:r>
      <w:r w:rsidR="00442858">
        <w:rPr>
          <w:rFonts w:ascii="Arial" w:hAnsi="Arial" w:cs="Arial"/>
          <w:sz w:val="24"/>
          <w:szCs w:val="24"/>
        </w:rPr>
        <w:t>ation</w:t>
      </w:r>
      <w:r w:rsidRPr="0006717E">
        <w:rPr>
          <w:rFonts w:ascii="Arial" w:hAnsi="Arial" w:cs="Arial"/>
          <w:sz w:val="24"/>
          <w:szCs w:val="24"/>
        </w:rPr>
        <w:t xml:space="preserve"> from media buying programmes across the UK &amp; France</w:t>
      </w:r>
    </w:p>
    <w:p w:rsidR="00A5204A" w:rsidRDefault="002B7830" w:rsidP="00FA5AC4">
      <w:pPr>
        <w:pStyle w:val="ListParagraph"/>
        <w:numPr>
          <w:ilvl w:val="0"/>
          <w:numId w:val="38"/>
        </w:numPr>
        <w:contextualSpacing/>
        <w:jc w:val="left"/>
        <w:rPr>
          <w:rFonts w:ascii="Arial" w:hAnsi="Arial" w:cs="Arial"/>
          <w:sz w:val="24"/>
          <w:szCs w:val="24"/>
        </w:rPr>
      </w:pPr>
      <w:r>
        <w:rPr>
          <w:rFonts w:ascii="Arial" w:hAnsi="Arial" w:cs="Arial"/>
          <w:sz w:val="24"/>
          <w:szCs w:val="24"/>
        </w:rPr>
        <w:t xml:space="preserve">Introduction for the first time of an </w:t>
      </w:r>
      <w:r w:rsidR="00A5204A" w:rsidRPr="00FA5AC4">
        <w:rPr>
          <w:rFonts w:ascii="Arial" w:hAnsi="Arial" w:cs="Arial"/>
          <w:sz w:val="24"/>
          <w:szCs w:val="24"/>
        </w:rPr>
        <w:t>all staff bonus programme</w:t>
      </w:r>
      <w:r>
        <w:rPr>
          <w:rFonts w:ascii="Arial" w:hAnsi="Arial" w:cs="Arial"/>
          <w:sz w:val="24"/>
          <w:szCs w:val="24"/>
        </w:rPr>
        <w:t xml:space="preserve"> in </w:t>
      </w:r>
      <w:r w:rsidR="00A5204A" w:rsidRPr="00FA5AC4">
        <w:rPr>
          <w:rFonts w:ascii="Arial" w:hAnsi="Arial" w:cs="Arial"/>
          <w:sz w:val="24"/>
          <w:szCs w:val="24"/>
        </w:rPr>
        <w:t>Poland (linked to individual store sales &amp; profit growth)</w:t>
      </w:r>
    </w:p>
    <w:p w:rsidR="00BF56B9" w:rsidRDefault="00BF56B9" w:rsidP="00A43059">
      <w:pPr>
        <w:contextualSpacing/>
        <w:jc w:val="left"/>
        <w:rPr>
          <w:rFonts w:ascii="Arial" w:hAnsi="Arial" w:cs="Arial"/>
          <w:sz w:val="24"/>
          <w:szCs w:val="24"/>
        </w:rPr>
      </w:pPr>
    </w:p>
    <w:p w:rsidR="00B35231" w:rsidRDefault="00B526CD" w:rsidP="00A43059">
      <w:pPr>
        <w:contextualSpacing/>
        <w:jc w:val="left"/>
        <w:rPr>
          <w:rFonts w:ascii="Arial" w:hAnsi="Arial" w:cs="Arial"/>
          <w:sz w:val="24"/>
          <w:szCs w:val="24"/>
        </w:rPr>
      </w:pPr>
      <w:r w:rsidRPr="00A43059">
        <w:rPr>
          <w:rFonts w:ascii="Arial" w:hAnsi="Arial" w:cs="Arial"/>
          <w:sz w:val="24"/>
          <w:szCs w:val="24"/>
        </w:rPr>
        <w:t>2013/14</w:t>
      </w:r>
      <w:r w:rsidR="003E3617" w:rsidRPr="00A43059">
        <w:rPr>
          <w:rFonts w:ascii="Arial" w:hAnsi="Arial" w:cs="Arial"/>
          <w:sz w:val="24"/>
          <w:szCs w:val="24"/>
        </w:rPr>
        <w:t xml:space="preserve"> second half milestones </w:t>
      </w:r>
    </w:p>
    <w:p w:rsidR="00A5204A" w:rsidRPr="00FA5AC4" w:rsidRDefault="006D0BA4" w:rsidP="00FA5AC4">
      <w:pPr>
        <w:contextualSpacing/>
        <w:jc w:val="left"/>
        <w:rPr>
          <w:rFonts w:ascii="Arial" w:hAnsi="Arial" w:cs="Arial"/>
          <w:sz w:val="24"/>
          <w:szCs w:val="24"/>
        </w:rPr>
      </w:pPr>
      <w:r w:rsidRPr="00FA5AC4">
        <w:rPr>
          <w:rFonts w:ascii="Arial" w:hAnsi="Arial" w:cs="Arial"/>
          <w:i/>
          <w:sz w:val="24"/>
          <w:szCs w:val="24"/>
        </w:rPr>
        <w:t>Product:</w:t>
      </w:r>
    </w:p>
    <w:p w:rsidR="00294B35" w:rsidRPr="00341967" w:rsidRDefault="00294B35" w:rsidP="00294B35">
      <w:pPr>
        <w:pStyle w:val="ListParagraph"/>
        <w:numPr>
          <w:ilvl w:val="0"/>
          <w:numId w:val="38"/>
        </w:numPr>
        <w:contextualSpacing/>
        <w:jc w:val="left"/>
        <w:rPr>
          <w:rFonts w:ascii="Arial" w:hAnsi="Arial" w:cs="Arial"/>
          <w:sz w:val="24"/>
          <w:szCs w:val="24"/>
        </w:rPr>
      </w:pPr>
      <w:r w:rsidRPr="00341967">
        <w:rPr>
          <w:rFonts w:ascii="Arial" w:hAnsi="Arial" w:cs="Arial"/>
          <w:sz w:val="24"/>
          <w:szCs w:val="24"/>
        </w:rPr>
        <w:t xml:space="preserve">Paint </w:t>
      </w:r>
    </w:p>
    <w:p w:rsidR="00294B35" w:rsidRDefault="00294B35" w:rsidP="002657CA">
      <w:pPr>
        <w:pStyle w:val="ListParagraph"/>
        <w:numPr>
          <w:ilvl w:val="1"/>
          <w:numId w:val="38"/>
        </w:numPr>
        <w:contextualSpacing/>
        <w:jc w:val="left"/>
        <w:rPr>
          <w:rFonts w:ascii="Arial" w:hAnsi="Arial" w:cs="Arial"/>
          <w:sz w:val="24"/>
          <w:szCs w:val="24"/>
        </w:rPr>
      </w:pPr>
      <w:r>
        <w:rPr>
          <w:rFonts w:ascii="Arial" w:hAnsi="Arial" w:cs="Arial"/>
          <w:sz w:val="24"/>
          <w:szCs w:val="24"/>
        </w:rPr>
        <w:t>Complete roll</w:t>
      </w:r>
      <w:r w:rsidRPr="00BA325A">
        <w:rPr>
          <w:rFonts w:ascii="Arial" w:hAnsi="Arial" w:cs="Arial"/>
          <w:sz w:val="24"/>
          <w:szCs w:val="24"/>
        </w:rPr>
        <w:t xml:space="preserve"> out </w:t>
      </w:r>
      <w:r>
        <w:rPr>
          <w:rFonts w:ascii="Arial" w:hAnsi="Arial" w:cs="Arial"/>
          <w:sz w:val="24"/>
          <w:szCs w:val="24"/>
        </w:rPr>
        <w:t xml:space="preserve">of </w:t>
      </w:r>
      <w:r w:rsidRPr="00BA325A">
        <w:rPr>
          <w:rFonts w:ascii="Arial" w:hAnsi="Arial" w:cs="Arial"/>
          <w:sz w:val="24"/>
          <w:szCs w:val="24"/>
        </w:rPr>
        <w:t>new coloured emulsion paint range</w:t>
      </w:r>
      <w:r>
        <w:rPr>
          <w:rFonts w:ascii="Arial" w:hAnsi="Arial" w:cs="Arial"/>
          <w:sz w:val="24"/>
          <w:szCs w:val="24"/>
        </w:rPr>
        <w:t xml:space="preserve"> to B&amp;Q UK</w:t>
      </w:r>
      <w:r w:rsidR="00DE33BB">
        <w:rPr>
          <w:rFonts w:ascii="Arial" w:hAnsi="Arial" w:cs="Arial"/>
          <w:sz w:val="24"/>
          <w:szCs w:val="24"/>
        </w:rPr>
        <w:t xml:space="preserve"> &amp; Ireland</w:t>
      </w:r>
      <w:r w:rsidRPr="00BA325A">
        <w:rPr>
          <w:rFonts w:ascii="Arial" w:hAnsi="Arial" w:cs="Arial"/>
          <w:sz w:val="24"/>
          <w:szCs w:val="24"/>
        </w:rPr>
        <w:t xml:space="preserve"> </w:t>
      </w:r>
      <w:r w:rsidR="002B7830">
        <w:rPr>
          <w:rFonts w:ascii="Arial" w:hAnsi="Arial" w:cs="Arial"/>
          <w:sz w:val="24"/>
          <w:szCs w:val="24"/>
        </w:rPr>
        <w:t>which will be</w:t>
      </w:r>
      <w:r w:rsidRPr="00BA325A">
        <w:rPr>
          <w:rFonts w:ascii="Arial" w:hAnsi="Arial" w:cs="Arial"/>
          <w:sz w:val="24"/>
          <w:szCs w:val="24"/>
        </w:rPr>
        <w:t xml:space="preserve"> 2/3 common* B&amp;Q UK </w:t>
      </w:r>
      <w:r w:rsidR="00DE33BB">
        <w:rPr>
          <w:rFonts w:ascii="Arial" w:hAnsi="Arial" w:cs="Arial"/>
          <w:sz w:val="24"/>
          <w:szCs w:val="24"/>
        </w:rPr>
        <w:t>&amp; Ireland and</w:t>
      </w:r>
      <w:r w:rsidRPr="00BA325A">
        <w:rPr>
          <w:rFonts w:ascii="Arial" w:hAnsi="Arial" w:cs="Arial"/>
          <w:sz w:val="24"/>
          <w:szCs w:val="24"/>
        </w:rPr>
        <w:t xml:space="preserve"> Castorama France</w:t>
      </w:r>
    </w:p>
    <w:p w:rsidR="00C5130B" w:rsidRDefault="00C5130B" w:rsidP="002657CA">
      <w:pPr>
        <w:pStyle w:val="ListParagraph"/>
        <w:numPr>
          <w:ilvl w:val="1"/>
          <w:numId w:val="38"/>
        </w:numPr>
        <w:contextualSpacing/>
        <w:jc w:val="left"/>
        <w:rPr>
          <w:rFonts w:ascii="Arial" w:hAnsi="Arial" w:cs="Arial"/>
          <w:sz w:val="24"/>
          <w:szCs w:val="24"/>
        </w:rPr>
      </w:pPr>
      <w:r>
        <w:rPr>
          <w:rFonts w:ascii="Arial" w:hAnsi="Arial" w:cs="Arial"/>
          <w:sz w:val="24"/>
          <w:szCs w:val="24"/>
        </w:rPr>
        <w:t>Continue roll out of exclusive Valspar paint mixing desk into B&amp;Q UK</w:t>
      </w:r>
    </w:p>
    <w:p w:rsidR="00263D7E" w:rsidRPr="00C21DBE" w:rsidRDefault="00263D7E">
      <w:pPr>
        <w:pStyle w:val="ListParagraph"/>
        <w:numPr>
          <w:ilvl w:val="1"/>
          <w:numId w:val="38"/>
        </w:numPr>
        <w:contextualSpacing/>
        <w:jc w:val="left"/>
        <w:rPr>
          <w:rFonts w:ascii="Arial" w:hAnsi="Arial" w:cs="Arial"/>
          <w:sz w:val="24"/>
          <w:szCs w:val="24"/>
        </w:rPr>
      </w:pPr>
      <w:r>
        <w:rPr>
          <w:rFonts w:ascii="Arial" w:hAnsi="Arial" w:cs="Arial"/>
          <w:sz w:val="24"/>
          <w:szCs w:val="24"/>
        </w:rPr>
        <w:t>Roll</w:t>
      </w:r>
      <w:r w:rsidRPr="00341967">
        <w:rPr>
          <w:rFonts w:ascii="Arial" w:hAnsi="Arial" w:cs="Arial"/>
          <w:sz w:val="24"/>
          <w:szCs w:val="24"/>
        </w:rPr>
        <w:t xml:space="preserve"> out ‘Colours’ Group own-brand paint into </w:t>
      </w:r>
      <w:r>
        <w:rPr>
          <w:rFonts w:ascii="Arial" w:hAnsi="Arial" w:cs="Arial"/>
          <w:sz w:val="24"/>
          <w:szCs w:val="24"/>
        </w:rPr>
        <w:t>Russia</w:t>
      </w:r>
    </w:p>
    <w:p w:rsidR="006D0BA4" w:rsidRPr="0006717E" w:rsidRDefault="006D0BA4" w:rsidP="006D0BA4">
      <w:pPr>
        <w:pStyle w:val="ListParagraph"/>
        <w:numPr>
          <w:ilvl w:val="0"/>
          <w:numId w:val="38"/>
        </w:numPr>
        <w:contextualSpacing/>
        <w:jc w:val="left"/>
        <w:rPr>
          <w:rFonts w:ascii="Arial" w:hAnsi="Arial" w:cs="Arial"/>
          <w:sz w:val="24"/>
          <w:szCs w:val="24"/>
        </w:rPr>
      </w:pPr>
      <w:r w:rsidRPr="0006717E">
        <w:rPr>
          <w:rFonts w:ascii="Arial" w:hAnsi="Arial" w:cs="Arial"/>
          <w:sz w:val="24"/>
          <w:szCs w:val="24"/>
        </w:rPr>
        <w:t>Ful</w:t>
      </w:r>
      <w:r>
        <w:rPr>
          <w:rFonts w:ascii="Arial" w:hAnsi="Arial" w:cs="Arial"/>
          <w:sz w:val="24"/>
          <w:szCs w:val="24"/>
        </w:rPr>
        <w:t>l launch of</w:t>
      </w:r>
      <w:r w:rsidRPr="0006717E">
        <w:rPr>
          <w:rFonts w:ascii="Arial" w:hAnsi="Arial" w:cs="Arial"/>
          <w:sz w:val="24"/>
          <w:szCs w:val="24"/>
        </w:rPr>
        <w:t xml:space="preserve"> </w:t>
      </w:r>
      <w:r>
        <w:rPr>
          <w:rFonts w:ascii="Arial" w:hAnsi="Arial" w:cs="Arial"/>
          <w:sz w:val="24"/>
          <w:szCs w:val="24"/>
        </w:rPr>
        <w:t>Screwfix’s ‘</w:t>
      </w:r>
      <w:r w:rsidRPr="0006717E">
        <w:rPr>
          <w:rFonts w:ascii="Arial" w:hAnsi="Arial" w:cs="Arial"/>
          <w:sz w:val="24"/>
          <w:szCs w:val="24"/>
        </w:rPr>
        <w:t>Site</w:t>
      </w:r>
      <w:r>
        <w:rPr>
          <w:rFonts w:ascii="Arial" w:hAnsi="Arial" w:cs="Arial"/>
          <w:sz w:val="24"/>
          <w:szCs w:val="24"/>
        </w:rPr>
        <w:t>’</w:t>
      </w:r>
      <w:r w:rsidRPr="0006717E">
        <w:rPr>
          <w:rFonts w:ascii="Arial" w:hAnsi="Arial" w:cs="Arial"/>
          <w:sz w:val="24"/>
          <w:szCs w:val="24"/>
        </w:rPr>
        <w:t xml:space="preserve"> work wear </w:t>
      </w:r>
      <w:r>
        <w:rPr>
          <w:rFonts w:ascii="Arial" w:hAnsi="Arial" w:cs="Arial"/>
          <w:sz w:val="24"/>
          <w:szCs w:val="24"/>
        </w:rPr>
        <w:t xml:space="preserve">products </w:t>
      </w:r>
      <w:r w:rsidRPr="0006717E">
        <w:rPr>
          <w:rFonts w:ascii="Arial" w:hAnsi="Arial" w:cs="Arial"/>
          <w:sz w:val="24"/>
          <w:szCs w:val="24"/>
        </w:rPr>
        <w:t>into Brico Dépôt</w:t>
      </w:r>
      <w:r w:rsidR="0084201C">
        <w:rPr>
          <w:rFonts w:ascii="Arial" w:hAnsi="Arial" w:cs="Arial"/>
          <w:sz w:val="24"/>
          <w:szCs w:val="24"/>
        </w:rPr>
        <w:t xml:space="preserve"> </w:t>
      </w:r>
      <w:r w:rsidR="00BD77EA">
        <w:rPr>
          <w:rFonts w:ascii="Arial" w:hAnsi="Arial" w:cs="Arial"/>
          <w:sz w:val="24"/>
          <w:szCs w:val="24"/>
        </w:rPr>
        <w:t>France</w:t>
      </w:r>
      <w:r w:rsidRPr="0006717E">
        <w:rPr>
          <w:rFonts w:ascii="Arial" w:hAnsi="Arial" w:cs="Arial"/>
          <w:sz w:val="24"/>
          <w:szCs w:val="24"/>
        </w:rPr>
        <w:t xml:space="preserve"> </w:t>
      </w:r>
    </w:p>
    <w:p w:rsidR="006D0BA4" w:rsidRPr="00FF6757" w:rsidRDefault="00392D8F" w:rsidP="00FF6757">
      <w:pPr>
        <w:pStyle w:val="ListParagraph"/>
        <w:numPr>
          <w:ilvl w:val="0"/>
          <w:numId w:val="38"/>
        </w:numPr>
        <w:contextualSpacing/>
        <w:jc w:val="left"/>
        <w:rPr>
          <w:rFonts w:ascii="Arial" w:hAnsi="Arial" w:cs="Arial"/>
          <w:sz w:val="24"/>
          <w:szCs w:val="24"/>
        </w:rPr>
      </w:pPr>
      <w:r w:rsidRPr="00FA5AC4">
        <w:rPr>
          <w:rFonts w:ascii="Arial" w:hAnsi="Arial" w:cs="Arial"/>
          <w:sz w:val="24"/>
          <w:szCs w:val="24"/>
        </w:rPr>
        <w:t>Launch inaugural European product show, to be attended by 6,000 store &amp; buying colleagues teams from the UK &amp; France</w:t>
      </w:r>
      <w:r w:rsidR="005A7F35">
        <w:rPr>
          <w:rFonts w:ascii="Arial" w:hAnsi="Arial" w:cs="Arial"/>
          <w:sz w:val="24"/>
          <w:szCs w:val="24"/>
        </w:rPr>
        <w:t xml:space="preserve">, featuring new extended </w:t>
      </w:r>
      <w:r w:rsidR="00BC0379">
        <w:rPr>
          <w:rFonts w:ascii="Arial" w:hAnsi="Arial" w:cs="Arial"/>
          <w:sz w:val="24"/>
          <w:szCs w:val="24"/>
        </w:rPr>
        <w:t>G</w:t>
      </w:r>
      <w:r w:rsidR="005A7F35">
        <w:rPr>
          <w:rFonts w:ascii="Arial" w:hAnsi="Arial" w:cs="Arial"/>
          <w:sz w:val="24"/>
          <w:szCs w:val="24"/>
        </w:rPr>
        <w:t>roup ranges</w:t>
      </w:r>
    </w:p>
    <w:p w:rsidR="006D0BA4" w:rsidRPr="00FA5AC4" w:rsidRDefault="006D0BA4" w:rsidP="00FA5AC4">
      <w:pPr>
        <w:contextualSpacing/>
        <w:jc w:val="left"/>
        <w:rPr>
          <w:rFonts w:ascii="Arial" w:hAnsi="Arial" w:cs="Arial"/>
          <w:i/>
          <w:sz w:val="24"/>
          <w:szCs w:val="24"/>
        </w:rPr>
      </w:pPr>
      <w:r w:rsidRPr="00FA5AC4">
        <w:rPr>
          <w:rFonts w:ascii="Arial" w:hAnsi="Arial" w:cs="Arial"/>
          <w:i/>
          <w:sz w:val="24"/>
          <w:szCs w:val="24"/>
        </w:rPr>
        <w:t>Efficiency:</w:t>
      </w:r>
    </w:p>
    <w:p w:rsidR="00BD77EA" w:rsidRDefault="00BD77EA" w:rsidP="00BD77EA">
      <w:pPr>
        <w:pStyle w:val="ListParagraph"/>
        <w:numPr>
          <w:ilvl w:val="0"/>
          <w:numId w:val="38"/>
        </w:numPr>
        <w:contextualSpacing/>
        <w:jc w:val="left"/>
        <w:rPr>
          <w:rFonts w:ascii="Arial" w:hAnsi="Arial" w:cs="Arial"/>
          <w:sz w:val="24"/>
          <w:szCs w:val="24"/>
        </w:rPr>
      </w:pPr>
      <w:r w:rsidRPr="009F1B7D">
        <w:rPr>
          <w:rFonts w:ascii="Arial" w:hAnsi="Arial" w:cs="Arial"/>
          <w:sz w:val="24"/>
          <w:szCs w:val="24"/>
        </w:rPr>
        <w:t xml:space="preserve">Upweighted distribution and </w:t>
      </w:r>
      <w:r w:rsidR="002B7830">
        <w:rPr>
          <w:rFonts w:ascii="Arial" w:hAnsi="Arial" w:cs="Arial"/>
          <w:sz w:val="24"/>
          <w:szCs w:val="24"/>
        </w:rPr>
        <w:t>logistics</w:t>
      </w:r>
      <w:r>
        <w:rPr>
          <w:rFonts w:ascii="Arial" w:hAnsi="Arial" w:cs="Arial"/>
          <w:sz w:val="24"/>
          <w:szCs w:val="24"/>
        </w:rPr>
        <w:t xml:space="preserve"> capability in Poland, Spain </w:t>
      </w:r>
      <w:r w:rsidRPr="009F1B7D">
        <w:rPr>
          <w:rFonts w:ascii="Arial" w:hAnsi="Arial" w:cs="Arial"/>
          <w:sz w:val="24"/>
          <w:szCs w:val="24"/>
        </w:rPr>
        <w:t>&amp; Turkey</w:t>
      </w:r>
    </w:p>
    <w:p w:rsidR="005A7F35" w:rsidRDefault="005A7F35" w:rsidP="00BD77EA">
      <w:pPr>
        <w:pStyle w:val="ListParagraph"/>
        <w:numPr>
          <w:ilvl w:val="0"/>
          <w:numId w:val="38"/>
        </w:numPr>
        <w:contextualSpacing/>
        <w:jc w:val="left"/>
        <w:rPr>
          <w:rFonts w:ascii="Arial" w:hAnsi="Arial" w:cs="Arial"/>
          <w:sz w:val="24"/>
          <w:szCs w:val="24"/>
        </w:rPr>
      </w:pPr>
      <w:r>
        <w:rPr>
          <w:rFonts w:ascii="Arial" w:hAnsi="Arial" w:cs="Arial"/>
          <w:sz w:val="24"/>
          <w:szCs w:val="24"/>
        </w:rPr>
        <w:t xml:space="preserve">Extend Brico </w:t>
      </w:r>
      <w:r w:rsidRPr="00FA5AC4">
        <w:rPr>
          <w:rFonts w:ascii="Arial" w:hAnsi="Arial" w:cs="Arial"/>
          <w:sz w:val="24"/>
          <w:szCs w:val="24"/>
        </w:rPr>
        <w:t>Dépôt</w:t>
      </w:r>
      <w:r w:rsidR="0084201C">
        <w:rPr>
          <w:rFonts w:ascii="Arial" w:hAnsi="Arial" w:cs="Arial"/>
          <w:sz w:val="24"/>
          <w:szCs w:val="24"/>
        </w:rPr>
        <w:t xml:space="preserve"> France</w:t>
      </w:r>
      <w:r w:rsidRPr="00FA5AC4">
        <w:rPr>
          <w:rFonts w:ascii="Arial" w:hAnsi="Arial" w:cs="Arial"/>
          <w:sz w:val="24"/>
          <w:szCs w:val="24"/>
        </w:rPr>
        <w:t xml:space="preserve"> shelf</w:t>
      </w:r>
      <w:r w:rsidR="002B7830">
        <w:rPr>
          <w:rFonts w:ascii="Arial" w:hAnsi="Arial" w:cs="Arial"/>
          <w:sz w:val="24"/>
          <w:szCs w:val="24"/>
        </w:rPr>
        <w:t>-</w:t>
      </w:r>
      <w:r w:rsidRPr="00FA5AC4">
        <w:rPr>
          <w:rFonts w:ascii="Arial" w:hAnsi="Arial" w:cs="Arial"/>
          <w:sz w:val="24"/>
          <w:szCs w:val="24"/>
        </w:rPr>
        <w:t>ready packaging from 20% to 30%</w:t>
      </w:r>
    </w:p>
    <w:p w:rsidR="00645A49" w:rsidRPr="00C21DBE" w:rsidRDefault="005A7F35">
      <w:pPr>
        <w:pStyle w:val="ListParagraph"/>
        <w:numPr>
          <w:ilvl w:val="0"/>
          <w:numId w:val="38"/>
        </w:numPr>
        <w:contextualSpacing/>
        <w:jc w:val="left"/>
        <w:rPr>
          <w:rFonts w:ascii="Arial" w:hAnsi="Arial" w:cs="Arial"/>
          <w:sz w:val="24"/>
          <w:szCs w:val="24"/>
        </w:rPr>
      </w:pPr>
      <w:r>
        <w:rPr>
          <w:rFonts w:ascii="Arial" w:hAnsi="Arial" w:cs="Arial"/>
          <w:sz w:val="24"/>
          <w:szCs w:val="24"/>
        </w:rPr>
        <w:t xml:space="preserve">Mobilise web-enabled Group IT platform </w:t>
      </w:r>
      <w:r w:rsidR="00D36445">
        <w:rPr>
          <w:rFonts w:ascii="Arial" w:hAnsi="Arial" w:cs="Arial"/>
          <w:sz w:val="24"/>
          <w:szCs w:val="24"/>
        </w:rPr>
        <w:t xml:space="preserve">including </w:t>
      </w:r>
      <w:r w:rsidR="00645A49" w:rsidRPr="00C21DBE">
        <w:rPr>
          <w:rFonts w:ascii="Arial" w:hAnsi="Arial" w:cs="Arial"/>
          <w:sz w:val="24"/>
          <w:szCs w:val="24"/>
        </w:rPr>
        <w:t xml:space="preserve">IT process mapping analysis at Castorama France </w:t>
      </w:r>
    </w:p>
    <w:p w:rsidR="00F43072" w:rsidRPr="005F3F68" w:rsidRDefault="00F43072" w:rsidP="00EC6ABE">
      <w:pPr>
        <w:contextualSpacing/>
        <w:jc w:val="left"/>
        <w:rPr>
          <w:rFonts w:ascii="Arial" w:hAnsi="Arial" w:cs="Arial"/>
          <w:sz w:val="24"/>
          <w:szCs w:val="24"/>
        </w:rPr>
      </w:pPr>
    </w:p>
    <w:p w:rsidR="00B526CD" w:rsidRPr="005F3F68" w:rsidRDefault="00B526CD" w:rsidP="00FA5AC4">
      <w:pPr>
        <w:contextualSpacing/>
        <w:jc w:val="left"/>
        <w:rPr>
          <w:rFonts w:ascii="Arial" w:hAnsi="Arial" w:cs="Arial"/>
          <w:i/>
          <w:sz w:val="18"/>
          <w:szCs w:val="18"/>
        </w:rPr>
      </w:pPr>
      <w:r w:rsidRPr="005F3F68">
        <w:rPr>
          <w:rFonts w:ascii="Arial" w:hAnsi="Arial" w:cs="Arial"/>
          <w:i/>
          <w:sz w:val="18"/>
          <w:szCs w:val="18"/>
        </w:rPr>
        <w:t xml:space="preserve">*Common means two or more operating companies selling the same product or a similar product but from the same supplier where the same product is not possible due to market / legal reasons </w:t>
      </w:r>
      <w:r w:rsidR="00BC0379">
        <w:rPr>
          <w:rFonts w:ascii="Arial" w:hAnsi="Arial" w:cs="Arial"/>
          <w:i/>
          <w:sz w:val="18"/>
          <w:szCs w:val="18"/>
        </w:rPr>
        <w:t>(</w:t>
      </w:r>
      <w:r w:rsidRPr="005F3F68">
        <w:rPr>
          <w:rFonts w:ascii="Arial" w:hAnsi="Arial" w:cs="Arial"/>
          <w:i/>
          <w:sz w:val="18"/>
          <w:szCs w:val="18"/>
        </w:rPr>
        <w:t>e.g. electrical extension cable which is the same supplier but with different electrical sockets</w:t>
      </w:r>
      <w:r w:rsidR="00BC0379">
        <w:rPr>
          <w:rFonts w:ascii="Arial" w:hAnsi="Arial" w:cs="Arial"/>
          <w:i/>
          <w:sz w:val="18"/>
          <w:szCs w:val="18"/>
        </w:rPr>
        <w:t>)</w:t>
      </w:r>
    </w:p>
    <w:p w:rsidR="00701810" w:rsidRPr="005F3F68" w:rsidRDefault="00701810" w:rsidP="00942C03">
      <w:pPr>
        <w:contextualSpacing/>
        <w:jc w:val="left"/>
        <w:rPr>
          <w:rFonts w:ascii="Arial" w:hAnsi="Arial" w:cs="Arial"/>
          <w:i/>
        </w:rPr>
      </w:pPr>
    </w:p>
    <w:p w:rsidR="003E3617" w:rsidRPr="005F3F68" w:rsidRDefault="003E3617" w:rsidP="003F45F2">
      <w:pPr>
        <w:jc w:val="left"/>
        <w:rPr>
          <w:rFonts w:ascii="Arial" w:hAnsi="Arial" w:cs="Arial"/>
          <w:i/>
          <w:sz w:val="24"/>
          <w:szCs w:val="24"/>
        </w:rPr>
      </w:pPr>
      <w:r w:rsidRPr="005F3F68">
        <w:rPr>
          <w:rFonts w:ascii="Arial" w:hAnsi="Arial" w:cs="Arial"/>
          <w:b/>
          <w:sz w:val="24"/>
          <w:szCs w:val="24"/>
        </w:rPr>
        <w:t xml:space="preserve">EXPAND </w:t>
      </w:r>
    </w:p>
    <w:p w:rsidR="003E3617" w:rsidRPr="005F3F68" w:rsidRDefault="003E3617" w:rsidP="003E3617">
      <w:pPr>
        <w:pStyle w:val="ListParagraph"/>
        <w:ind w:left="2520"/>
        <w:contextualSpacing/>
        <w:jc w:val="left"/>
        <w:rPr>
          <w:rFonts w:ascii="Arial" w:hAnsi="Arial" w:cs="Arial"/>
          <w:sz w:val="24"/>
          <w:szCs w:val="24"/>
          <w:highlight w:val="magenta"/>
        </w:rPr>
      </w:pPr>
    </w:p>
    <w:p w:rsidR="003E3617" w:rsidRDefault="00B526CD" w:rsidP="00FA5AC4">
      <w:pPr>
        <w:contextualSpacing/>
        <w:jc w:val="left"/>
        <w:rPr>
          <w:rFonts w:ascii="Arial" w:hAnsi="Arial" w:cs="Arial"/>
          <w:sz w:val="24"/>
          <w:szCs w:val="24"/>
        </w:rPr>
      </w:pPr>
      <w:r w:rsidRPr="005F3F68">
        <w:rPr>
          <w:rFonts w:ascii="Arial" w:hAnsi="Arial" w:cs="Arial"/>
          <w:sz w:val="24"/>
          <w:szCs w:val="24"/>
        </w:rPr>
        <w:t>2013/14</w:t>
      </w:r>
      <w:r w:rsidR="003E3617" w:rsidRPr="005F3F68">
        <w:rPr>
          <w:rFonts w:ascii="Arial" w:hAnsi="Arial" w:cs="Arial"/>
          <w:sz w:val="24"/>
          <w:szCs w:val="24"/>
        </w:rPr>
        <w:t xml:space="preserve"> half year progress</w:t>
      </w:r>
    </w:p>
    <w:p w:rsidR="00B24265" w:rsidRPr="00FA5AC4" w:rsidRDefault="00B24265" w:rsidP="00FA5AC4">
      <w:pPr>
        <w:pStyle w:val="ListParagraph"/>
        <w:numPr>
          <w:ilvl w:val="0"/>
          <w:numId w:val="38"/>
        </w:numPr>
        <w:contextualSpacing/>
        <w:jc w:val="left"/>
        <w:rPr>
          <w:rFonts w:ascii="Arial" w:hAnsi="Arial" w:cs="Arial"/>
          <w:sz w:val="24"/>
          <w:szCs w:val="24"/>
        </w:rPr>
      </w:pPr>
      <w:r>
        <w:rPr>
          <w:rFonts w:ascii="Arial" w:hAnsi="Arial" w:cs="Arial"/>
          <w:sz w:val="24"/>
          <w:szCs w:val="24"/>
        </w:rPr>
        <w:t xml:space="preserve">Opened </w:t>
      </w:r>
      <w:r w:rsidR="00D60CB8">
        <w:rPr>
          <w:rFonts w:ascii="Arial" w:hAnsi="Arial" w:cs="Arial"/>
          <w:sz w:val="24"/>
          <w:szCs w:val="24"/>
        </w:rPr>
        <w:t>29</w:t>
      </w:r>
      <w:r>
        <w:rPr>
          <w:rFonts w:ascii="Arial" w:hAnsi="Arial" w:cs="Arial"/>
          <w:sz w:val="24"/>
          <w:szCs w:val="24"/>
        </w:rPr>
        <w:t xml:space="preserve"> net new stores </w:t>
      </w:r>
      <w:r w:rsidRPr="0006717E">
        <w:rPr>
          <w:rFonts w:ascii="Arial" w:hAnsi="Arial" w:cs="Arial"/>
          <w:sz w:val="24"/>
          <w:szCs w:val="24"/>
        </w:rPr>
        <w:t>(</w:t>
      </w:r>
      <w:r w:rsidR="00226F18">
        <w:rPr>
          <w:rFonts w:ascii="Arial" w:hAnsi="Arial" w:cs="Arial"/>
          <w:sz w:val="24"/>
          <w:szCs w:val="24"/>
        </w:rPr>
        <w:t xml:space="preserve">France 4, </w:t>
      </w:r>
      <w:r w:rsidRPr="00FA5AC4">
        <w:rPr>
          <w:rFonts w:ascii="Arial" w:hAnsi="Arial" w:cs="Arial"/>
          <w:sz w:val="24"/>
          <w:szCs w:val="24"/>
        </w:rPr>
        <w:t xml:space="preserve">UK </w:t>
      </w:r>
      <w:r w:rsidR="00601BC4">
        <w:rPr>
          <w:rFonts w:ascii="Arial" w:hAnsi="Arial" w:cs="Arial"/>
          <w:sz w:val="24"/>
          <w:szCs w:val="24"/>
        </w:rPr>
        <w:t>1</w:t>
      </w:r>
      <w:r w:rsidR="00074FC0">
        <w:rPr>
          <w:rFonts w:ascii="Arial" w:hAnsi="Arial" w:cs="Arial"/>
          <w:sz w:val="24"/>
          <w:szCs w:val="24"/>
        </w:rPr>
        <w:t>8*</w:t>
      </w:r>
      <w:r w:rsidRPr="00FA5AC4">
        <w:rPr>
          <w:rFonts w:ascii="Arial" w:hAnsi="Arial" w:cs="Arial"/>
          <w:sz w:val="24"/>
          <w:szCs w:val="24"/>
        </w:rPr>
        <w:t xml:space="preserve">, </w:t>
      </w:r>
      <w:r w:rsidRPr="0006717E">
        <w:rPr>
          <w:rFonts w:ascii="Arial" w:hAnsi="Arial" w:cs="Arial"/>
          <w:sz w:val="24"/>
          <w:szCs w:val="24"/>
        </w:rPr>
        <w:t xml:space="preserve">Poland </w:t>
      </w:r>
      <w:r>
        <w:rPr>
          <w:rFonts w:ascii="Arial" w:hAnsi="Arial" w:cs="Arial"/>
          <w:sz w:val="24"/>
          <w:szCs w:val="24"/>
        </w:rPr>
        <w:t>2</w:t>
      </w:r>
      <w:r w:rsidRPr="0006717E">
        <w:rPr>
          <w:rFonts w:ascii="Arial" w:hAnsi="Arial" w:cs="Arial"/>
          <w:sz w:val="24"/>
          <w:szCs w:val="24"/>
        </w:rPr>
        <w:t xml:space="preserve">, </w:t>
      </w:r>
      <w:r w:rsidR="00FF2CAA">
        <w:rPr>
          <w:rFonts w:ascii="Arial" w:hAnsi="Arial" w:cs="Arial"/>
          <w:sz w:val="24"/>
          <w:szCs w:val="24"/>
        </w:rPr>
        <w:t>Spain 3</w:t>
      </w:r>
      <w:r w:rsidR="00D60CB8">
        <w:rPr>
          <w:rFonts w:ascii="Arial" w:hAnsi="Arial" w:cs="Arial"/>
          <w:sz w:val="24"/>
          <w:szCs w:val="24"/>
        </w:rPr>
        <w:t xml:space="preserve"> &amp;</w:t>
      </w:r>
      <w:r w:rsidR="00FF2CAA">
        <w:rPr>
          <w:rFonts w:ascii="Arial" w:hAnsi="Arial" w:cs="Arial"/>
          <w:sz w:val="24"/>
          <w:szCs w:val="24"/>
        </w:rPr>
        <w:t xml:space="preserve"> </w:t>
      </w:r>
      <w:r w:rsidR="00F61285" w:rsidRPr="00FA5AC4">
        <w:rPr>
          <w:rFonts w:ascii="Arial" w:hAnsi="Arial" w:cs="Arial"/>
          <w:sz w:val="24"/>
          <w:szCs w:val="24"/>
        </w:rPr>
        <w:t xml:space="preserve">Turkey </w:t>
      </w:r>
      <w:r w:rsidR="00074FC0">
        <w:rPr>
          <w:rFonts w:ascii="Arial" w:hAnsi="Arial" w:cs="Arial"/>
          <w:sz w:val="24"/>
          <w:szCs w:val="24"/>
        </w:rPr>
        <w:t>2</w:t>
      </w:r>
      <w:r w:rsidRPr="00F61285">
        <w:rPr>
          <w:rFonts w:ascii="Arial" w:hAnsi="Arial" w:cs="Arial"/>
          <w:sz w:val="24"/>
          <w:szCs w:val="24"/>
        </w:rPr>
        <w:t xml:space="preserve">), </w:t>
      </w:r>
      <w:r w:rsidRPr="00FA5AC4">
        <w:rPr>
          <w:rFonts w:ascii="Arial" w:hAnsi="Arial" w:cs="Arial"/>
          <w:sz w:val="24"/>
          <w:szCs w:val="24"/>
        </w:rPr>
        <w:t xml:space="preserve">representing </w:t>
      </w:r>
      <w:r w:rsidR="00D60CB8">
        <w:rPr>
          <w:rFonts w:ascii="Arial" w:hAnsi="Arial" w:cs="Arial"/>
          <w:sz w:val="24"/>
          <w:szCs w:val="24"/>
        </w:rPr>
        <w:t>1.4</w:t>
      </w:r>
      <w:r w:rsidRPr="00FA5AC4">
        <w:rPr>
          <w:rFonts w:ascii="Arial" w:hAnsi="Arial" w:cs="Arial"/>
          <w:sz w:val="24"/>
          <w:szCs w:val="24"/>
        </w:rPr>
        <w:t>% space growth</w:t>
      </w:r>
    </w:p>
    <w:p w:rsidR="00D60CB8" w:rsidRPr="00942C03" w:rsidRDefault="00D60CB8" w:rsidP="00D60CB8">
      <w:pPr>
        <w:pStyle w:val="ListParagraph"/>
        <w:numPr>
          <w:ilvl w:val="0"/>
          <w:numId w:val="38"/>
        </w:numPr>
        <w:contextualSpacing/>
        <w:jc w:val="left"/>
        <w:rPr>
          <w:rFonts w:ascii="Arial" w:hAnsi="Arial" w:cs="Arial"/>
          <w:sz w:val="24"/>
          <w:szCs w:val="24"/>
        </w:rPr>
      </w:pPr>
      <w:r w:rsidRPr="00942C03">
        <w:rPr>
          <w:rFonts w:ascii="Arial" w:hAnsi="Arial" w:cs="Arial"/>
          <w:sz w:val="24"/>
          <w:szCs w:val="24"/>
        </w:rPr>
        <w:t>C</w:t>
      </w:r>
      <w:r w:rsidR="00872D3A" w:rsidRPr="00942C03">
        <w:rPr>
          <w:rFonts w:ascii="Arial" w:hAnsi="Arial" w:cs="Arial"/>
          <w:sz w:val="24"/>
          <w:szCs w:val="24"/>
        </w:rPr>
        <w:t>apitalising on con</w:t>
      </w:r>
      <w:r w:rsidRPr="00942C03">
        <w:rPr>
          <w:rFonts w:ascii="Arial" w:hAnsi="Arial" w:cs="Arial"/>
          <w:sz w:val="24"/>
          <w:szCs w:val="24"/>
        </w:rPr>
        <w:t>solidation opportunities</w:t>
      </w:r>
    </w:p>
    <w:p w:rsidR="00D60CB8" w:rsidRPr="00942C03" w:rsidRDefault="00872D3A" w:rsidP="00D60CB8">
      <w:pPr>
        <w:pStyle w:val="ListParagraph"/>
        <w:numPr>
          <w:ilvl w:val="1"/>
          <w:numId w:val="38"/>
        </w:numPr>
        <w:contextualSpacing/>
        <w:jc w:val="left"/>
        <w:rPr>
          <w:rFonts w:ascii="Arial" w:hAnsi="Arial" w:cs="Arial"/>
          <w:sz w:val="24"/>
          <w:szCs w:val="24"/>
        </w:rPr>
      </w:pPr>
      <w:r>
        <w:rPr>
          <w:rFonts w:ascii="Arial" w:hAnsi="Arial" w:cs="Arial"/>
          <w:sz w:val="24"/>
          <w:szCs w:val="24"/>
        </w:rPr>
        <w:t xml:space="preserve">Acquired 15 ‘Bricostore’ stores in Romania, adding 3% </w:t>
      </w:r>
      <w:r w:rsidR="00BC0379">
        <w:rPr>
          <w:rFonts w:ascii="Arial" w:hAnsi="Arial" w:cs="Arial"/>
          <w:sz w:val="24"/>
          <w:szCs w:val="24"/>
        </w:rPr>
        <w:t xml:space="preserve">space </w:t>
      </w:r>
      <w:r w:rsidR="00F43072">
        <w:rPr>
          <w:rFonts w:ascii="Arial" w:hAnsi="Arial" w:cs="Arial"/>
          <w:sz w:val="24"/>
          <w:szCs w:val="24"/>
        </w:rPr>
        <w:t>to the Group</w:t>
      </w:r>
    </w:p>
    <w:p w:rsidR="00D60CB8" w:rsidRPr="00942C03" w:rsidRDefault="00872D3A" w:rsidP="00D60CB8">
      <w:pPr>
        <w:pStyle w:val="ListParagraph"/>
        <w:numPr>
          <w:ilvl w:val="1"/>
          <w:numId w:val="38"/>
        </w:numPr>
        <w:contextualSpacing/>
        <w:jc w:val="left"/>
        <w:rPr>
          <w:rFonts w:ascii="Arial" w:hAnsi="Arial" w:cs="Arial"/>
          <w:sz w:val="24"/>
          <w:szCs w:val="24"/>
        </w:rPr>
      </w:pPr>
      <w:r w:rsidRPr="00872D3A">
        <w:rPr>
          <w:rFonts w:ascii="Arial" w:hAnsi="Arial" w:cs="Arial"/>
          <w:sz w:val="24"/>
          <w:szCs w:val="24"/>
        </w:rPr>
        <w:t>Koçtaş</w:t>
      </w:r>
      <w:r>
        <w:rPr>
          <w:rFonts w:ascii="Arial" w:hAnsi="Arial" w:cs="Arial"/>
          <w:sz w:val="24"/>
          <w:szCs w:val="24"/>
        </w:rPr>
        <w:t xml:space="preserve"> JV in Turkey in negotiations over 2 ex-Praktiker large stores</w:t>
      </w:r>
    </w:p>
    <w:p w:rsidR="00B24265" w:rsidRDefault="00B24265" w:rsidP="00FA5AC4">
      <w:pPr>
        <w:pStyle w:val="ListParagraph"/>
        <w:numPr>
          <w:ilvl w:val="0"/>
          <w:numId w:val="38"/>
        </w:numPr>
        <w:contextualSpacing/>
        <w:jc w:val="left"/>
        <w:rPr>
          <w:rFonts w:ascii="Arial" w:hAnsi="Arial" w:cs="Arial"/>
          <w:sz w:val="24"/>
          <w:szCs w:val="24"/>
        </w:rPr>
      </w:pPr>
      <w:r w:rsidRPr="00FA5AC4">
        <w:rPr>
          <w:rFonts w:ascii="Arial" w:hAnsi="Arial" w:cs="Arial"/>
          <w:sz w:val="24"/>
          <w:szCs w:val="24"/>
        </w:rPr>
        <w:t xml:space="preserve">Revamped and extended </w:t>
      </w:r>
      <w:r w:rsidR="001676C1">
        <w:rPr>
          <w:rFonts w:ascii="Arial" w:hAnsi="Arial" w:cs="Arial"/>
          <w:sz w:val="24"/>
          <w:szCs w:val="24"/>
        </w:rPr>
        <w:t>two</w:t>
      </w:r>
      <w:r w:rsidRPr="00FA5AC4">
        <w:rPr>
          <w:rFonts w:ascii="Arial" w:hAnsi="Arial" w:cs="Arial"/>
          <w:sz w:val="24"/>
          <w:szCs w:val="24"/>
        </w:rPr>
        <w:t xml:space="preserve"> Castorama stores</w:t>
      </w:r>
    </w:p>
    <w:p w:rsidR="00BD77EA" w:rsidRPr="009F1B7D" w:rsidRDefault="00BD77EA" w:rsidP="00BD77EA">
      <w:pPr>
        <w:pStyle w:val="ListParagraph"/>
        <w:numPr>
          <w:ilvl w:val="0"/>
          <w:numId w:val="38"/>
        </w:numPr>
        <w:contextualSpacing/>
        <w:jc w:val="left"/>
        <w:rPr>
          <w:rFonts w:ascii="Arial" w:hAnsi="Arial" w:cs="Arial"/>
          <w:sz w:val="24"/>
          <w:szCs w:val="24"/>
        </w:rPr>
      </w:pPr>
      <w:r w:rsidRPr="009F1B7D">
        <w:rPr>
          <w:rFonts w:ascii="Arial" w:hAnsi="Arial" w:cs="Arial"/>
          <w:sz w:val="24"/>
          <w:szCs w:val="24"/>
        </w:rPr>
        <w:t>B&amp;Q UK store rightsizing update</w:t>
      </w:r>
    </w:p>
    <w:p w:rsidR="00F43072" w:rsidRDefault="00F43072" w:rsidP="00BD77EA">
      <w:pPr>
        <w:pStyle w:val="ListParagraph"/>
        <w:numPr>
          <w:ilvl w:val="1"/>
          <w:numId w:val="38"/>
        </w:numPr>
        <w:contextualSpacing/>
        <w:jc w:val="left"/>
        <w:rPr>
          <w:rFonts w:ascii="Arial" w:hAnsi="Arial" w:cs="Arial"/>
          <w:sz w:val="24"/>
          <w:szCs w:val="24"/>
        </w:rPr>
      </w:pPr>
      <w:r>
        <w:rPr>
          <w:rFonts w:ascii="Arial" w:hAnsi="Arial" w:cs="Arial"/>
          <w:sz w:val="24"/>
          <w:szCs w:val="24"/>
        </w:rPr>
        <w:t>One freehold store completed</w:t>
      </w:r>
    </w:p>
    <w:p w:rsidR="00BD77EA" w:rsidRDefault="00BD77EA" w:rsidP="00BD77EA">
      <w:pPr>
        <w:pStyle w:val="ListParagraph"/>
        <w:numPr>
          <w:ilvl w:val="1"/>
          <w:numId w:val="38"/>
        </w:numPr>
        <w:contextualSpacing/>
        <w:jc w:val="left"/>
        <w:rPr>
          <w:rFonts w:ascii="Arial" w:hAnsi="Arial" w:cs="Arial"/>
          <w:sz w:val="24"/>
          <w:szCs w:val="24"/>
        </w:rPr>
      </w:pPr>
      <w:r w:rsidRPr="009F1B7D">
        <w:rPr>
          <w:rFonts w:ascii="Arial" w:hAnsi="Arial" w:cs="Arial"/>
          <w:sz w:val="24"/>
          <w:szCs w:val="24"/>
        </w:rPr>
        <w:t>1</w:t>
      </w:r>
      <w:r w:rsidR="00CE600D">
        <w:rPr>
          <w:rFonts w:ascii="Arial" w:hAnsi="Arial" w:cs="Arial"/>
          <w:sz w:val="24"/>
          <w:szCs w:val="24"/>
        </w:rPr>
        <w:t>7</w:t>
      </w:r>
      <w:r w:rsidRPr="009F1B7D">
        <w:rPr>
          <w:rFonts w:ascii="Arial" w:hAnsi="Arial" w:cs="Arial"/>
          <w:sz w:val="24"/>
          <w:szCs w:val="24"/>
        </w:rPr>
        <w:t xml:space="preserve"> further agreements now in place </w:t>
      </w:r>
      <w:r w:rsidR="00963214">
        <w:rPr>
          <w:rFonts w:ascii="Arial" w:hAnsi="Arial" w:cs="Arial"/>
          <w:sz w:val="24"/>
          <w:szCs w:val="24"/>
        </w:rPr>
        <w:t>subject to</w:t>
      </w:r>
      <w:r w:rsidRPr="009F1B7D">
        <w:rPr>
          <w:rFonts w:ascii="Arial" w:hAnsi="Arial" w:cs="Arial"/>
          <w:sz w:val="24"/>
          <w:szCs w:val="24"/>
        </w:rPr>
        <w:t xml:space="preserve"> planning permission</w:t>
      </w:r>
      <w:r w:rsidR="00F43072">
        <w:rPr>
          <w:rFonts w:ascii="Arial" w:hAnsi="Arial" w:cs="Arial"/>
          <w:sz w:val="24"/>
          <w:szCs w:val="24"/>
        </w:rPr>
        <w:t xml:space="preserve"> (c.6-18 months) of which </w:t>
      </w:r>
      <w:r w:rsidRPr="009F1B7D">
        <w:rPr>
          <w:rFonts w:ascii="Arial" w:hAnsi="Arial" w:cs="Arial"/>
          <w:sz w:val="24"/>
          <w:szCs w:val="24"/>
        </w:rPr>
        <w:t xml:space="preserve">2 </w:t>
      </w:r>
      <w:r w:rsidR="00CE600D">
        <w:rPr>
          <w:rFonts w:ascii="Arial" w:hAnsi="Arial" w:cs="Arial"/>
          <w:sz w:val="24"/>
          <w:szCs w:val="24"/>
        </w:rPr>
        <w:t xml:space="preserve">consents </w:t>
      </w:r>
      <w:r w:rsidR="00F43072">
        <w:rPr>
          <w:rFonts w:ascii="Arial" w:hAnsi="Arial" w:cs="Arial"/>
          <w:sz w:val="24"/>
          <w:szCs w:val="24"/>
        </w:rPr>
        <w:t xml:space="preserve">are </w:t>
      </w:r>
      <w:r w:rsidR="00CE600D">
        <w:rPr>
          <w:rFonts w:ascii="Arial" w:hAnsi="Arial" w:cs="Arial"/>
          <w:sz w:val="24"/>
          <w:szCs w:val="24"/>
        </w:rPr>
        <w:t>in place</w:t>
      </w:r>
      <w:r w:rsidRPr="009F1B7D">
        <w:rPr>
          <w:rFonts w:ascii="Arial" w:hAnsi="Arial" w:cs="Arial"/>
          <w:sz w:val="24"/>
          <w:szCs w:val="24"/>
        </w:rPr>
        <w:t xml:space="preserve">  </w:t>
      </w:r>
    </w:p>
    <w:p w:rsidR="00BD77EA" w:rsidRDefault="00BD77EA" w:rsidP="00BD77EA">
      <w:pPr>
        <w:pStyle w:val="ListParagraph"/>
        <w:numPr>
          <w:ilvl w:val="1"/>
          <w:numId w:val="38"/>
        </w:numPr>
        <w:contextualSpacing/>
        <w:jc w:val="left"/>
        <w:rPr>
          <w:rFonts w:ascii="Arial" w:hAnsi="Arial" w:cs="Arial"/>
          <w:sz w:val="24"/>
          <w:szCs w:val="24"/>
        </w:rPr>
      </w:pPr>
      <w:r>
        <w:rPr>
          <w:rFonts w:ascii="Arial" w:hAnsi="Arial" w:cs="Arial"/>
          <w:sz w:val="24"/>
          <w:szCs w:val="24"/>
        </w:rPr>
        <w:t xml:space="preserve">18 store package </w:t>
      </w:r>
      <w:r w:rsidR="002B7830">
        <w:rPr>
          <w:rFonts w:ascii="Arial" w:hAnsi="Arial" w:cs="Arial"/>
          <w:sz w:val="24"/>
          <w:szCs w:val="24"/>
        </w:rPr>
        <w:t xml:space="preserve">would </w:t>
      </w:r>
      <w:r>
        <w:rPr>
          <w:rFonts w:ascii="Arial" w:hAnsi="Arial" w:cs="Arial"/>
          <w:sz w:val="24"/>
          <w:szCs w:val="24"/>
        </w:rPr>
        <w:t xml:space="preserve">represent </w:t>
      </w:r>
    </w:p>
    <w:p w:rsidR="00BD77EA" w:rsidRDefault="00CE600D" w:rsidP="00BD77EA">
      <w:pPr>
        <w:pStyle w:val="ListParagraph"/>
        <w:numPr>
          <w:ilvl w:val="2"/>
          <w:numId w:val="38"/>
        </w:numPr>
        <w:contextualSpacing/>
        <w:jc w:val="left"/>
        <w:rPr>
          <w:rFonts w:ascii="Arial" w:hAnsi="Arial" w:cs="Arial"/>
          <w:sz w:val="24"/>
          <w:szCs w:val="24"/>
        </w:rPr>
      </w:pPr>
      <w:r>
        <w:rPr>
          <w:rFonts w:ascii="Arial" w:hAnsi="Arial" w:cs="Arial"/>
          <w:sz w:val="24"/>
          <w:szCs w:val="24"/>
        </w:rPr>
        <w:t>5</w:t>
      </w:r>
      <w:r w:rsidR="00BD77EA" w:rsidRPr="009F1B7D">
        <w:rPr>
          <w:rFonts w:ascii="Arial" w:hAnsi="Arial" w:cs="Arial"/>
          <w:sz w:val="24"/>
          <w:szCs w:val="24"/>
        </w:rPr>
        <w:t>% less space</w:t>
      </w:r>
      <w:r w:rsidR="005A7F35">
        <w:rPr>
          <w:rFonts w:ascii="Arial" w:hAnsi="Arial" w:cs="Arial"/>
          <w:sz w:val="24"/>
          <w:szCs w:val="24"/>
        </w:rPr>
        <w:t xml:space="preserve"> (1</w:t>
      </w:r>
      <w:r w:rsidR="00436880">
        <w:rPr>
          <w:rFonts w:ascii="Arial" w:hAnsi="Arial" w:cs="Arial"/>
          <w:sz w:val="24"/>
          <w:szCs w:val="24"/>
        </w:rPr>
        <w:t>16,000</w:t>
      </w:r>
      <w:r w:rsidR="005A7F35">
        <w:rPr>
          <w:rFonts w:ascii="Arial" w:hAnsi="Arial" w:cs="Arial"/>
          <w:sz w:val="24"/>
          <w:szCs w:val="24"/>
        </w:rPr>
        <w:t xml:space="preserve"> square </w:t>
      </w:r>
      <w:r w:rsidR="00436880">
        <w:rPr>
          <w:rFonts w:ascii="Arial" w:hAnsi="Arial" w:cs="Arial"/>
          <w:sz w:val="24"/>
          <w:szCs w:val="24"/>
        </w:rPr>
        <w:t>metres</w:t>
      </w:r>
      <w:r w:rsidR="005A7F35">
        <w:rPr>
          <w:rFonts w:ascii="Arial" w:hAnsi="Arial" w:cs="Arial"/>
          <w:sz w:val="24"/>
          <w:szCs w:val="24"/>
        </w:rPr>
        <w:t>)</w:t>
      </w:r>
      <w:r w:rsidR="002B7830">
        <w:rPr>
          <w:rFonts w:ascii="Arial" w:hAnsi="Arial" w:cs="Arial"/>
          <w:sz w:val="24"/>
          <w:szCs w:val="24"/>
        </w:rPr>
        <w:t>,</w:t>
      </w:r>
      <w:r w:rsidR="00F43072">
        <w:rPr>
          <w:rFonts w:ascii="Arial" w:hAnsi="Arial" w:cs="Arial"/>
          <w:sz w:val="24"/>
          <w:szCs w:val="24"/>
        </w:rPr>
        <w:t xml:space="preserve"> </w:t>
      </w:r>
      <w:r w:rsidR="00AF430F">
        <w:rPr>
          <w:rFonts w:ascii="Arial" w:hAnsi="Arial" w:cs="Arial"/>
          <w:sz w:val="24"/>
          <w:szCs w:val="24"/>
        </w:rPr>
        <w:t xml:space="preserve">potential </w:t>
      </w:r>
      <w:r w:rsidR="00F43072">
        <w:rPr>
          <w:rFonts w:ascii="Arial" w:hAnsi="Arial" w:cs="Arial"/>
          <w:sz w:val="24"/>
          <w:szCs w:val="24"/>
        </w:rPr>
        <w:t>c.£1</w:t>
      </w:r>
      <w:r w:rsidR="00804668">
        <w:rPr>
          <w:rFonts w:ascii="Arial" w:hAnsi="Arial" w:cs="Arial"/>
          <w:sz w:val="24"/>
          <w:szCs w:val="24"/>
        </w:rPr>
        <w:t>3</w:t>
      </w:r>
      <w:r w:rsidR="00F43072">
        <w:rPr>
          <w:rFonts w:ascii="Arial" w:hAnsi="Arial" w:cs="Arial"/>
          <w:sz w:val="24"/>
          <w:szCs w:val="24"/>
        </w:rPr>
        <w:t>0m reduction to lease adjusted debt</w:t>
      </w:r>
    </w:p>
    <w:p w:rsidR="00BD77EA" w:rsidRPr="00942C03" w:rsidRDefault="00BD77EA" w:rsidP="00942C03">
      <w:pPr>
        <w:pStyle w:val="ListParagraph"/>
        <w:numPr>
          <w:ilvl w:val="2"/>
          <w:numId w:val="38"/>
        </w:numPr>
        <w:contextualSpacing/>
        <w:jc w:val="left"/>
        <w:rPr>
          <w:rFonts w:ascii="Arial" w:hAnsi="Arial" w:cs="Arial"/>
          <w:sz w:val="24"/>
          <w:szCs w:val="24"/>
        </w:rPr>
      </w:pPr>
      <w:r w:rsidRPr="009F1B7D">
        <w:rPr>
          <w:rFonts w:ascii="Arial" w:hAnsi="Arial" w:cs="Arial"/>
          <w:sz w:val="24"/>
          <w:szCs w:val="24"/>
        </w:rPr>
        <w:t>Annual rental and rates savings of £1</w:t>
      </w:r>
      <w:r w:rsidR="00804668">
        <w:rPr>
          <w:rFonts w:ascii="Arial" w:hAnsi="Arial" w:cs="Arial"/>
          <w:sz w:val="24"/>
          <w:szCs w:val="24"/>
        </w:rPr>
        <w:t>6</w:t>
      </w:r>
      <w:r w:rsidRPr="009F1B7D">
        <w:rPr>
          <w:rFonts w:ascii="Arial" w:hAnsi="Arial" w:cs="Arial"/>
          <w:sz w:val="24"/>
          <w:szCs w:val="24"/>
        </w:rPr>
        <w:t>m and £</w:t>
      </w:r>
      <w:r w:rsidR="00CE600D">
        <w:rPr>
          <w:rFonts w:ascii="Arial" w:hAnsi="Arial" w:cs="Arial"/>
          <w:sz w:val="24"/>
          <w:szCs w:val="24"/>
        </w:rPr>
        <w:t>7</w:t>
      </w:r>
      <w:r w:rsidRPr="009F1B7D">
        <w:rPr>
          <w:rFonts w:ascii="Arial" w:hAnsi="Arial" w:cs="Arial"/>
          <w:sz w:val="24"/>
          <w:szCs w:val="24"/>
        </w:rPr>
        <w:t>m respectively</w:t>
      </w:r>
    </w:p>
    <w:p w:rsidR="00601BC4" w:rsidRPr="00942C03" w:rsidRDefault="00601BC4" w:rsidP="00FA5AC4">
      <w:pPr>
        <w:pStyle w:val="ListParagraph"/>
        <w:numPr>
          <w:ilvl w:val="0"/>
          <w:numId w:val="38"/>
        </w:numPr>
        <w:contextualSpacing/>
        <w:jc w:val="left"/>
        <w:rPr>
          <w:rFonts w:ascii="Arial" w:hAnsi="Arial" w:cs="Arial"/>
          <w:sz w:val="24"/>
          <w:szCs w:val="24"/>
        </w:rPr>
      </w:pPr>
      <w:r w:rsidRPr="00942C03">
        <w:rPr>
          <w:rFonts w:ascii="Arial" w:hAnsi="Arial" w:cs="Arial"/>
          <w:sz w:val="24"/>
          <w:szCs w:val="24"/>
        </w:rPr>
        <w:t>Evaluating Screwfix international opportunities</w:t>
      </w:r>
    </w:p>
    <w:p w:rsidR="00FF2CAA" w:rsidRPr="00942C03" w:rsidRDefault="00872D3A" w:rsidP="00FA5AC4">
      <w:pPr>
        <w:pStyle w:val="ListParagraph"/>
        <w:numPr>
          <w:ilvl w:val="1"/>
          <w:numId w:val="38"/>
        </w:numPr>
        <w:contextualSpacing/>
        <w:jc w:val="left"/>
        <w:rPr>
          <w:rFonts w:ascii="Arial" w:hAnsi="Arial" w:cs="Arial"/>
          <w:sz w:val="24"/>
          <w:szCs w:val="24"/>
        </w:rPr>
      </w:pPr>
      <w:r>
        <w:rPr>
          <w:rFonts w:ascii="Arial" w:hAnsi="Arial" w:cs="Arial"/>
          <w:sz w:val="24"/>
          <w:szCs w:val="24"/>
        </w:rPr>
        <w:t xml:space="preserve">UK website now extended to over 20 European countries, </w:t>
      </w:r>
      <w:r w:rsidR="004F5246">
        <w:rPr>
          <w:rFonts w:ascii="Arial" w:hAnsi="Arial" w:cs="Arial"/>
          <w:sz w:val="24"/>
          <w:szCs w:val="24"/>
        </w:rPr>
        <w:t>deliveries fulfilled from the UK</w:t>
      </w:r>
    </w:p>
    <w:p w:rsidR="00601BC4" w:rsidRPr="00942C03" w:rsidRDefault="004F5246" w:rsidP="00FA5AC4">
      <w:pPr>
        <w:pStyle w:val="ListParagraph"/>
        <w:numPr>
          <w:ilvl w:val="1"/>
          <w:numId w:val="38"/>
        </w:numPr>
        <w:contextualSpacing/>
        <w:jc w:val="left"/>
        <w:rPr>
          <w:rFonts w:ascii="Arial" w:hAnsi="Arial" w:cs="Arial"/>
          <w:sz w:val="24"/>
          <w:szCs w:val="24"/>
        </w:rPr>
      </w:pPr>
      <w:r>
        <w:rPr>
          <w:rFonts w:ascii="Arial" w:hAnsi="Arial" w:cs="Arial"/>
          <w:sz w:val="24"/>
          <w:szCs w:val="24"/>
        </w:rPr>
        <w:t xml:space="preserve">Screwfix </w:t>
      </w:r>
      <w:r w:rsidR="00601BC4" w:rsidRPr="00942C03">
        <w:rPr>
          <w:rFonts w:ascii="Arial" w:hAnsi="Arial" w:cs="Arial"/>
          <w:sz w:val="24"/>
          <w:szCs w:val="24"/>
        </w:rPr>
        <w:t>Germany trial</w:t>
      </w:r>
      <w:r>
        <w:rPr>
          <w:rFonts w:ascii="Arial" w:hAnsi="Arial" w:cs="Arial"/>
          <w:sz w:val="24"/>
          <w:szCs w:val="24"/>
        </w:rPr>
        <w:t xml:space="preserve"> announced, four outlets due to open Summer 2014</w:t>
      </w:r>
    </w:p>
    <w:p w:rsidR="00F43072" w:rsidRDefault="00F43072" w:rsidP="00FA5AC4">
      <w:pPr>
        <w:contextualSpacing/>
        <w:jc w:val="left"/>
        <w:rPr>
          <w:rFonts w:ascii="Arial" w:hAnsi="Arial" w:cs="Arial"/>
          <w:sz w:val="24"/>
          <w:szCs w:val="24"/>
        </w:rPr>
      </w:pPr>
    </w:p>
    <w:p w:rsidR="003E3617" w:rsidRPr="00FA5AC4" w:rsidRDefault="00B526CD" w:rsidP="00FA5AC4">
      <w:pPr>
        <w:contextualSpacing/>
        <w:jc w:val="left"/>
        <w:rPr>
          <w:rFonts w:ascii="Arial" w:hAnsi="Arial" w:cs="Arial"/>
          <w:sz w:val="24"/>
          <w:szCs w:val="24"/>
        </w:rPr>
      </w:pPr>
      <w:r w:rsidRPr="00FA5AC4">
        <w:rPr>
          <w:rFonts w:ascii="Arial" w:hAnsi="Arial" w:cs="Arial"/>
          <w:sz w:val="24"/>
          <w:szCs w:val="24"/>
        </w:rPr>
        <w:t>2013/14</w:t>
      </w:r>
      <w:r w:rsidR="003E3617" w:rsidRPr="00FA5AC4">
        <w:rPr>
          <w:rFonts w:ascii="Arial" w:hAnsi="Arial" w:cs="Arial"/>
          <w:sz w:val="24"/>
          <w:szCs w:val="24"/>
        </w:rPr>
        <w:t xml:space="preserve"> second half milestones</w:t>
      </w:r>
    </w:p>
    <w:p w:rsidR="00B24265" w:rsidRDefault="00B24265" w:rsidP="00FA5AC4">
      <w:pPr>
        <w:pStyle w:val="ListParagraph"/>
        <w:numPr>
          <w:ilvl w:val="0"/>
          <w:numId w:val="38"/>
        </w:numPr>
        <w:contextualSpacing/>
        <w:jc w:val="left"/>
        <w:rPr>
          <w:rFonts w:ascii="Arial" w:hAnsi="Arial" w:cs="Arial"/>
          <w:sz w:val="24"/>
          <w:szCs w:val="24"/>
        </w:rPr>
      </w:pPr>
      <w:r w:rsidRPr="00FA5AC4">
        <w:rPr>
          <w:rFonts w:ascii="Arial" w:hAnsi="Arial" w:cs="Arial"/>
          <w:sz w:val="24"/>
          <w:szCs w:val="24"/>
        </w:rPr>
        <w:t xml:space="preserve">Open </w:t>
      </w:r>
      <w:r w:rsidR="00FF2CAA">
        <w:rPr>
          <w:rFonts w:ascii="Arial" w:hAnsi="Arial" w:cs="Arial"/>
          <w:sz w:val="24"/>
          <w:szCs w:val="24"/>
        </w:rPr>
        <w:t>47</w:t>
      </w:r>
      <w:r w:rsidRPr="00FA5AC4">
        <w:rPr>
          <w:rFonts w:ascii="Arial" w:hAnsi="Arial" w:cs="Arial"/>
          <w:sz w:val="24"/>
          <w:szCs w:val="24"/>
        </w:rPr>
        <w:t xml:space="preserve"> net new stores (</w:t>
      </w:r>
      <w:r w:rsidR="00226F18">
        <w:rPr>
          <w:rFonts w:ascii="Arial" w:hAnsi="Arial" w:cs="Arial"/>
          <w:sz w:val="24"/>
          <w:szCs w:val="24"/>
        </w:rPr>
        <w:t xml:space="preserve">France 1, </w:t>
      </w:r>
      <w:r w:rsidRPr="00FA5AC4">
        <w:rPr>
          <w:rFonts w:ascii="Arial" w:hAnsi="Arial" w:cs="Arial"/>
          <w:sz w:val="24"/>
          <w:szCs w:val="24"/>
        </w:rPr>
        <w:t xml:space="preserve">UK </w:t>
      </w:r>
      <w:r w:rsidR="00FF2CAA">
        <w:rPr>
          <w:rFonts w:ascii="Arial" w:hAnsi="Arial" w:cs="Arial"/>
          <w:sz w:val="24"/>
          <w:szCs w:val="24"/>
        </w:rPr>
        <w:t>42*</w:t>
      </w:r>
      <w:r w:rsidRPr="00FA5AC4">
        <w:rPr>
          <w:rFonts w:ascii="Arial" w:hAnsi="Arial" w:cs="Arial"/>
          <w:sz w:val="24"/>
          <w:szCs w:val="24"/>
        </w:rPr>
        <w:t xml:space="preserve">, </w:t>
      </w:r>
      <w:r w:rsidR="00F61285" w:rsidRPr="00FA5AC4">
        <w:rPr>
          <w:rFonts w:ascii="Arial" w:hAnsi="Arial" w:cs="Arial"/>
          <w:sz w:val="24"/>
          <w:szCs w:val="24"/>
        </w:rPr>
        <w:t>Russia 1,</w:t>
      </w:r>
      <w:r w:rsidR="00D60CB8">
        <w:rPr>
          <w:rFonts w:ascii="Arial" w:hAnsi="Arial" w:cs="Arial"/>
          <w:sz w:val="24"/>
          <w:szCs w:val="24"/>
        </w:rPr>
        <w:t xml:space="preserve"> Spain 1 &amp;</w:t>
      </w:r>
      <w:r w:rsidR="00FF2CAA">
        <w:rPr>
          <w:rFonts w:ascii="Arial" w:hAnsi="Arial" w:cs="Arial"/>
          <w:sz w:val="24"/>
          <w:szCs w:val="24"/>
        </w:rPr>
        <w:t xml:space="preserve"> </w:t>
      </w:r>
      <w:r w:rsidR="00F61285" w:rsidRPr="00FA5AC4">
        <w:rPr>
          <w:rFonts w:ascii="Arial" w:hAnsi="Arial" w:cs="Arial"/>
          <w:sz w:val="24"/>
          <w:szCs w:val="24"/>
        </w:rPr>
        <w:t xml:space="preserve">Turkey </w:t>
      </w:r>
      <w:r w:rsidR="00FF2CAA">
        <w:rPr>
          <w:rFonts w:ascii="Arial" w:hAnsi="Arial" w:cs="Arial"/>
          <w:sz w:val="24"/>
          <w:szCs w:val="24"/>
        </w:rPr>
        <w:t>2</w:t>
      </w:r>
      <w:r w:rsidRPr="00F61285">
        <w:rPr>
          <w:rFonts w:ascii="Arial" w:hAnsi="Arial" w:cs="Arial"/>
          <w:sz w:val="24"/>
          <w:szCs w:val="24"/>
        </w:rPr>
        <w:t>)</w:t>
      </w:r>
    </w:p>
    <w:p w:rsidR="00EA354E" w:rsidRDefault="00EA354E" w:rsidP="00FA5AC4">
      <w:pPr>
        <w:pStyle w:val="ListParagraph"/>
        <w:numPr>
          <w:ilvl w:val="0"/>
          <w:numId w:val="38"/>
        </w:numPr>
        <w:contextualSpacing/>
        <w:jc w:val="left"/>
        <w:rPr>
          <w:rFonts w:ascii="Arial" w:hAnsi="Arial" w:cs="Arial"/>
          <w:sz w:val="24"/>
          <w:szCs w:val="24"/>
        </w:rPr>
      </w:pPr>
      <w:r>
        <w:rPr>
          <w:rFonts w:ascii="Arial" w:hAnsi="Arial" w:cs="Arial"/>
          <w:sz w:val="24"/>
          <w:szCs w:val="24"/>
        </w:rPr>
        <w:t>Revamp and extend a further two Castorama stores</w:t>
      </w:r>
    </w:p>
    <w:p w:rsidR="002B7830" w:rsidRPr="00FA5AC4" w:rsidRDefault="002B7830" w:rsidP="00FA5AC4">
      <w:pPr>
        <w:pStyle w:val="ListParagraph"/>
        <w:numPr>
          <w:ilvl w:val="0"/>
          <w:numId w:val="38"/>
        </w:numPr>
        <w:contextualSpacing/>
        <w:jc w:val="left"/>
        <w:rPr>
          <w:rFonts w:ascii="Arial" w:hAnsi="Arial" w:cs="Arial"/>
          <w:sz w:val="24"/>
          <w:szCs w:val="24"/>
        </w:rPr>
      </w:pPr>
      <w:r>
        <w:rPr>
          <w:rFonts w:ascii="Arial" w:hAnsi="Arial" w:cs="Arial"/>
          <w:sz w:val="24"/>
          <w:szCs w:val="24"/>
        </w:rPr>
        <w:t xml:space="preserve">Review potential for further B&amp;Q </w:t>
      </w:r>
      <w:r w:rsidR="00DE33BB">
        <w:rPr>
          <w:rFonts w:ascii="Arial" w:hAnsi="Arial" w:cs="Arial"/>
          <w:sz w:val="24"/>
          <w:szCs w:val="24"/>
        </w:rPr>
        <w:t xml:space="preserve">UK </w:t>
      </w:r>
      <w:r>
        <w:rPr>
          <w:rFonts w:ascii="Arial" w:hAnsi="Arial" w:cs="Arial"/>
          <w:sz w:val="24"/>
          <w:szCs w:val="24"/>
        </w:rPr>
        <w:t>rightsizing opportunities</w:t>
      </w:r>
    </w:p>
    <w:p w:rsidR="00437A6E" w:rsidRPr="005F3F68" w:rsidRDefault="00437A6E" w:rsidP="00B807D7">
      <w:pPr>
        <w:ind w:left="720"/>
        <w:contextualSpacing/>
        <w:jc w:val="left"/>
        <w:rPr>
          <w:rFonts w:ascii="Arial" w:hAnsi="Arial" w:cs="Arial"/>
          <w:i/>
        </w:rPr>
      </w:pPr>
    </w:p>
    <w:p w:rsidR="00D853D3" w:rsidRDefault="00D87CDC" w:rsidP="003E3617">
      <w:pPr>
        <w:contextualSpacing/>
        <w:jc w:val="left"/>
        <w:rPr>
          <w:rFonts w:ascii="Arial" w:hAnsi="Arial" w:cs="Arial"/>
          <w:b/>
          <w:sz w:val="24"/>
          <w:szCs w:val="24"/>
        </w:rPr>
      </w:pPr>
      <w:r>
        <w:rPr>
          <w:rFonts w:ascii="Arial" w:hAnsi="Arial" w:cs="Arial"/>
          <w:i/>
          <w:sz w:val="18"/>
          <w:szCs w:val="18"/>
        </w:rPr>
        <w:t>*</w:t>
      </w:r>
      <w:r w:rsidR="00FF2CAA">
        <w:rPr>
          <w:rFonts w:ascii="Arial" w:hAnsi="Arial" w:cs="Arial"/>
          <w:i/>
          <w:sz w:val="18"/>
          <w:szCs w:val="18"/>
        </w:rPr>
        <w:t xml:space="preserve">Principally </w:t>
      </w:r>
      <w:r w:rsidR="00074FC0" w:rsidRPr="00FA5AC4">
        <w:rPr>
          <w:rFonts w:ascii="Arial" w:hAnsi="Arial" w:cs="Arial"/>
          <w:i/>
          <w:sz w:val="18"/>
          <w:szCs w:val="18"/>
        </w:rPr>
        <w:t>Screwfix outlets</w:t>
      </w:r>
    </w:p>
    <w:p w:rsidR="00D853D3" w:rsidRDefault="00D853D3" w:rsidP="003E3617">
      <w:pPr>
        <w:jc w:val="left"/>
        <w:rPr>
          <w:rFonts w:ascii="Arial" w:hAnsi="Arial" w:cs="Arial"/>
          <w:b/>
          <w:sz w:val="24"/>
          <w:szCs w:val="24"/>
        </w:rPr>
      </w:pPr>
    </w:p>
    <w:p w:rsidR="003E3617" w:rsidRPr="00B526CD" w:rsidRDefault="003E3617" w:rsidP="003E3617">
      <w:pPr>
        <w:jc w:val="left"/>
        <w:rPr>
          <w:rFonts w:ascii="Arial" w:hAnsi="Arial" w:cs="Arial"/>
          <w:b/>
          <w:sz w:val="24"/>
          <w:szCs w:val="24"/>
        </w:rPr>
      </w:pPr>
      <w:r w:rsidRPr="00B526CD">
        <w:rPr>
          <w:rFonts w:ascii="Arial" w:hAnsi="Arial" w:cs="Arial"/>
          <w:b/>
          <w:sz w:val="24"/>
          <w:szCs w:val="24"/>
        </w:rPr>
        <w:t xml:space="preserve">ONE TEAM </w:t>
      </w:r>
    </w:p>
    <w:p w:rsidR="00437A6E" w:rsidRPr="00B526CD" w:rsidRDefault="00437A6E" w:rsidP="00B807D7">
      <w:pPr>
        <w:pStyle w:val="ListParagraph"/>
        <w:ind w:left="1080"/>
        <w:contextualSpacing/>
        <w:jc w:val="left"/>
        <w:rPr>
          <w:rFonts w:ascii="Arial" w:hAnsi="Arial" w:cs="Arial"/>
          <w:b/>
          <w:sz w:val="24"/>
          <w:szCs w:val="24"/>
        </w:rPr>
      </w:pPr>
    </w:p>
    <w:p w:rsidR="00DC0FE9" w:rsidRPr="00BC0379" w:rsidRDefault="00B526CD" w:rsidP="00FA5AC4">
      <w:pPr>
        <w:contextualSpacing/>
        <w:jc w:val="left"/>
        <w:rPr>
          <w:rFonts w:ascii="Arial" w:hAnsi="Arial" w:cs="Arial"/>
          <w:sz w:val="24"/>
          <w:szCs w:val="24"/>
        </w:rPr>
      </w:pPr>
      <w:r w:rsidRPr="00BC0379">
        <w:rPr>
          <w:rFonts w:ascii="Arial" w:hAnsi="Arial" w:cs="Arial"/>
          <w:sz w:val="24"/>
          <w:szCs w:val="24"/>
        </w:rPr>
        <w:t>2013/14</w:t>
      </w:r>
      <w:r w:rsidR="00DC0FE9" w:rsidRPr="00BC0379">
        <w:rPr>
          <w:rFonts w:ascii="Arial" w:hAnsi="Arial" w:cs="Arial"/>
          <w:sz w:val="24"/>
          <w:szCs w:val="24"/>
        </w:rPr>
        <w:t xml:space="preserve"> half year progress</w:t>
      </w:r>
    </w:p>
    <w:p w:rsidR="00DA5DB8" w:rsidRDefault="00DA5DB8" w:rsidP="00DA5DB8">
      <w:pPr>
        <w:pStyle w:val="ListParagraph"/>
        <w:numPr>
          <w:ilvl w:val="0"/>
          <w:numId w:val="38"/>
        </w:numPr>
        <w:contextualSpacing/>
        <w:jc w:val="left"/>
        <w:rPr>
          <w:rFonts w:ascii="Arial" w:hAnsi="Arial" w:cs="Arial"/>
          <w:sz w:val="24"/>
          <w:szCs w:val="24"/>
        </w:rPr>
      </w:pPr>
      <w:r w:rsidRPr="002657CA">
        <w:rPr>
          <w:rFonts w:ascii="Arial" w:hAnsi="Arial" w:cs="Arial"/>
          <w:sz w:val="24"/>
          <w:szCs w:val="24"/>
        </w:rPr>
        <w:t>Recently appointed Richard Gillies from M&amp;S as Group Sustainability Director, to lead ‘Net Positive’ agenda</w:t>
      </w:r>
    </w:p>
    <w:p w:rsidR="00BC0379" w:rsidRDefault="00BF531D" w:rsidP="00B57EAB">
      <w:pPr>
        <w:pStyle w:val="ListParagraph"/>
        <w:numPr>
          <w:ilvl w:val="0"/>
          <w:numId w:val="38"/>
        </w:numPr>
        <w:contextualSpacing/>
        <w:jc w:val="left"/>
        <w:rPr>
          <w:rFonts w:ascii="Arial" w:hAnsi="Arial" w:cs="Arial"/>
          <w:sz w:val="24"/>
          <w:szCs w:val="24"/>
        </w:rPr>
      </w:pPr>
      <w:bookmarkStart w:id="7" w:name="OLE_LINK1"/>
      <w:bookmarkStart w:id="8" w:name="OLE_LINK2"/>
      <w:r>
        <w:rPr>
          <w:rFonts w:ascii="Arial" w:hAnsi="Arial" w:cs="Arial"/>
          <w:sz w:val="24"/>
          <w:szCs w:val="24"/>
        </w:rPr>
        <w:t>Increase in cross-Group people moves</w:t>
      </w:r>
    </w:p>
    <w:bookmarkEnd w:id="7"/>
    <w:bookmarkEnd w:id="8"/>
    <w:p w:rsidR="00B57EAB" w:rsidRPr="00B35231" w:rsidRDefault="00B57EAB" w:rsidP="00C21DBE">
      <w:pPr>
        <w:pStyle w:val="ListParagraph"/>
        <w:numPr>
          <w:ilvl w:val="0"/>
          <w:numId w:val="38"/>
        </w:numPr>
        <w:contextualSpacing/>
        <w:jc w:val="left"/>
        <w:rPr>
          <w:rFonts w:ascii="Arial" w:hAnsi="Arial" w:cs="Arial"/>
          <w:sz w:val="24"/>
          <w:szCs w:val="24"/>
        </w:rPr>
      </w:pPr>
      <w:r w:rsidRPr="00B35231">
        <w:rPr>
          <w:rFonts w:ascii="Arial" w:hAnsi="Arial" w:cs="Arial"/>
          <w:sz w:val="24"/>
          <w:szCs w:val="24"/>
        </w:rPr>
        <w:t xml:space="preserve">Continued to develop </w:t>
      </w:r>
      <w:r w:rsidR="00F53D23">
        <w:rPr>
          <w:rFonts w:ascii="Arial" w:hAnsi="Arial" w:cs="Arial"/>
          <w:sz w:val="24"/>
          <w:szCs w:val="24"/>
        </w:rPr>
        <w:t>‘</w:t>
      </w:r>
      <w:r w:rsidRPr="001675FD">
        <w:rPr>
          <w:rFonts w:ascii="Arial" w:hAnsi="Arial" w:cs="Arial"/>
          <w:sz w:val="24"/>
          <w:szCs w:val="24"/>
        </w:rPr>
        <w:t>Kingfisher One Academy’</w:t>
      </w:r>
      <w:r w:rsidRPr="00B35231">
        <w:rPr>
          <w:rFonts w:ascii="Arial" w:hAnsi="Arial" w:cs="Arial"/>
          <w:sz w:val="24"/>
          <w:szCs w:val="24"/>
        </w:rPr>
        <w:t xml:space="preserve"> </w:t>
      </w:r>
      <w:r w:rsidR="00B35231" w:rsidRPr="00B35231">
        <w:rPr>
          <w:rFonts w:ascii="Arial" w:hAnsi="Arial" w:cs="Arial"/>
          <w:sz w:val="24"/>
          <w:szCs w:val="24"/>
        </w:rPr>
        <w:t xml:space="preserve">- </w:t>
      </w:r>
      <w:r w:rsidRPr="00B35231">
        <w:rPr>
          <w:rFonts w:ascii="Arial" w:hAnsi="Arial" w:cs="Arial"/>
          <w:sz w:val="24"/>
          <w:szCs w:val="24"/>
        </w:rPr>
        <w:t xml:space="preserve">26% of top 250 employees </w:t>
      </w:r>
      <w:r w:rsidR="00DC32DA">
        <w:rPr>
          <w:rFonts w:ascii="Arial" w:hAnsi="Arial" w:cs="Arial"/>
          <w:sz w:val="24"/>
          <w:szCs w:val="24"/>
        </w:rPr>
        <w:t xml:space="preserve">having </w:t>
      </w:r>
      <w:r w:rsidRPr="00B35231">
        <w:rPr>
          <w:rFonts w:ascii="Arial" w:hAnsi="Arial" w:cs="Arial"/>
          <w:sz w:val="24"/>
          <w:szCs w:val="24"/>
        </w:rPr>
        <w:t xml:space="preserve">attended </w:t>
      </w:r>
      <w:r w:rsidR="00B35231" w:rsidRPr="00B35231">
        <w:rPr>
          <w:rFonts w:ascii="Arial" w:hAnsi="Arial" w:cs="Arial"/>
          <w:sz w:val="24"/>
          <w:szCs w:val="24"/>
        </w:rPr>
        <w:t xml:space="preserve">module based training </w:t>
      </w:r>
    </w:p>
    <w:p w:rsidR="001676C1" w:rsidRDefault="0054288A" w:rsidP="00FF6757">
      <w:pPr>
        <w:pStyle w:val="ListParagraph"/>
        <w:numPr>
          <w:ilvl w:val="0"/>
          <w:numId w:val="38"/>
        </w:numPr>
        <w:contextualSpacing/>
        <w:jc w:val="left"/>
      </w:pPr>
      <w:r w:rsidRPr="0054288A">
        <w:rPr>
          <w:rFonts w:ascii="Arial" w:hAnsi="Arial" w:cs="Arial"/>
          <w:sz w:val="24"/>
          <w:szCs w:val="24"/>
        </w:rPr>
        <w:t>Launched B&amp;Q</w:t>
      </w:r>
      <w:r w:rsidR="00DC32DA">
        <w:rPr>
          <w:rFonts w:ascii="Arial" w:hAnsi="Arial" w:cs="Arial"/>
          <w:sz w:val="24"/>
          <w:szCs w:val="24"/>
        </w:rPr>
        <w:t xml:space="preserve"> UK &amp; Ireland</w:t>
      </w:r>
      <w:r w:rsidRPr="0054288A">
        <w:rPr>
          <w:rFonts w:ascii="Arial" w:hAnsi="Arial" w:cs="Arial"/>
          <w:sz w:val="24"/>
          <w:szCs w:val="24"/>
        </w:rPr>
        <w:t>’s ‘Good Woods’ woodland stewardship initiative with around 3,000 hectares of forest already committed</w:t>
      </w:r>
    </w:p>
    <w:p w:rsidR="001676C1" w:rsidRDefault="001676C1" w:rsidP="00B807D7">
      <w:pPr>
        <w:jc w:val="left"/>
        <w:rPr>
          <w:rFonts w:ascii="Arial" w:hAnsi="Arial" w:cs="Arial"/>
          <w:b/>
          <w:bCs/>
          <w:sz w:val="24"/>
          <w:szCs w:val="24"/>
        </w:rPr>
      </w:pPr>
    </w:p>
    <w:p w:rsidR="00103771" w:rsidRDefault="00103771" w:rsidP="00B807D7">
      <w:pPr>
        <w:jc w:val="left"/>
        <w:rPr>
          <w:rFonts w:ascii="Arial" w:hAnsi="Arial" w:cs="Arial"/>
          <w:b/>
          <w:bCs/>
          <w:sz w:val="24"/>
          <w:szCs w:val="24"/>
        </w:rPr>
      </w:pPr>
    </w:p>
    <w:p w:rsidR="00103771" w:rsidRDefault="00103771" w:rsidP="00B807D7">
      <w:pPr>
        <w:jc w:val="left"/>
        <w:rPr>
          <w:rFonts w:ascii="Arial" w:hAnsi="Arial" w:cs="Arial"/>
          <w:b/>
          <w:bCs/>
          <w:sz w:val="24"/>
          <w:szCs w:val="24"/>
        </w:rPr>
      </w:pPr>
    </w:p>
    <w:p w:rsidR="00CD36B5" w:rsidRPr="00B526CD" w:rsidRDefault="00CD36B5" w:rsidP="00B807D7">
      <w:pPr>
        <w:jc w:val="left"/>
        <w:rPr>
          <w:rFonts w:ascii="Arial" w:hAnsi="Arial" w:cs="Arial"/>
          <w:b/>
          <w:bCs/>
          <w:sz w:val="24"/>
          <w:szCs w:val="24"/>
        </w:rPr>
      </w:pPr>
      <w:r w:rsidRPr="00B526CD">
        <w:rPr>
          <w:rFonts w:ascii="Arial" w:hAnsi="Arial" w:cs="Arial"/>
          <w:b/>
          <w:bCs/>
          <w:sz w:val="24"/>
          <w:szCs w:val="24"/>
        </w:rPr>
        <w:t xml:space="preserve">Section </w:t>
      </w:r>
      <w:r w:rsidR="003E3617" w:rsidRPr="00B526CD">
        <w:rPr>
          <w:rFonts w:ascii="Arial" w:hAnsi="Arial" w:cs="Arial"/>
          <w:b/>
          <w:bCs/>
          <w:sz w:val="24"/>
          <w:szCs w:val="24"/>
        </w:rPr>
        <w:t>2</w:t>
      </w:r>
    </w:p>
    <w:p w:rsidR="001B3B55" w:rsidRPr="00B526CD" w:rsidRDefault="00CD36B5" w:rsidP="001B3B55">
      <w:pPr>
        <w:jc w:val="left"/>
        <w:rPr>
          <w:rFonts w:ascii="Helvetica" w:hAnsi="Helvetica" w:cs="Helvetica"/>
          <w:b/>
          <w:bCs/>
          <w:sz w:val="24"/>
          <w:szCs w:val="24"/>
        </w:rPr>
      </w:pPr>
      <w:r w:rsidRPr="00B526CD">
        <w:rPr>
          <w:rFonts w:ascii="Helvetica" w:hAnsi="Helvetica" w:cs="Helvetica"/>
          <w:b/>
          <w:bCs/>
          <w:sz w:val="24"/>
          <w:szCs w:val="24"/>
        </w:rPr>
        <w:t xml:space="preserve">TRADING REVIEW BY </w:t>
      </w:r>
      <w:r w:rsidR="00F94DD3" w:rsidRPr="00B526CD">
        <w:rPr>
          <w:rFonts w:ascii="Helvetica" w:hAnsi="Helvetica" w:cs="Helvetica"/>
          <w:b/>
          <w:bCs/>
          <w:sz w:val="24"/>
          <w:szCs w:val="24"/>
        </w:rPr>
        <w:t>MAJOR GEOGRAPHY</w:t>
      </w:r>
    </w:p>
    <w:p w:rsidR="001B3B55" w:rsidRPr="00B526CD" w:rsidRDefault="001B3B55" w:rsidP="001B3B55">
      <w:pPr>
        <w:jc w:val="left"/>
        <w:rPr>
          <w:rFonts w:ascii="Arial" w:hAnsi="Arial" w:cs="Arial"/>
          <w:b/>
          <w:bCs/>
          <w:sz w:val="24"/>
          <w:szCs w:val="24"/>
          <w:highlight w:val="magenta"/>
        </w:rPr>
      </w:pPr>
    </w:p>
    <w:p w:rsidR="001B3B55" w:rsidRPr="00B526CD" w:rsidRDefault="001B3B55" w:rsidP="001B3B55">
      <w:pPr>
        <w:jc w:val="left"/>
        <w:rPr>
          <w:rFonts w:ascii="Arial" w:hAnsi="Arial" w:cs="Arial"/>
          <w:sz w:val="24"/>
          <w:szCs w:val="24"/>
        </w:rPr>
      </w:pPr>
      <w:bookmarkStart w:id="9" w:name="OLE_LINK3"/>
      <w:bookmarkStart w:id="10" w:name="OLE_LINK4"/>
      <w:r w:rsidRPr="00B526CD">
        <w:rPr>
          <w:rFonts w:ascii="Arial" w:hAnsi="Arial" w:cs="Arial"/>
          <w:b/>
          <w:bCs/>
          <w:sz w:val="24"/>
          <w:szCs w:val="24"/>
        </w:rPr>
        <w:t>FRANCE</w:t>
      </w:r>
    </w:p>
    <w:p w:rsidR="001B3B55" w:rsidRPr="00B526CD" w:rsidRDefault="001B3B55" w:rsidP="001B3B55">
      <w:pPr>
        <w:rPr>
          <w:rFonts w:ascii="Arial" w:hAnsi="Arial" w:cs="Arial"/>
          <w:b/>
          <w:bCs/>
          <w:sz w:val="24"/>
          <w:szCs w:val="24"/>
          <w:highlight w:val="magenta"/>
        </w:rPr>
      </w:pPr>
    </w:p>
    <w:tbl>
      <w:tblPr>
        <w:tblW w:w="465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7"/>
        <w:gridCol w:w="1514"/>
        <w:gridCol w:w="1257"/>
        <w:gridCol w:w="1732"/>
        <w:gridCol w:w="1561"/>
        <w:gridCol w:w="1034"/>
      </w:tblGrid>
      <w:tr w:rsidR="001B3B55" w:rsidRPr="00B526CD" w:rsidTr="00FA5AC4">
        <w:tc>
          <w:tcPr>
            <w:tcW w:w="1136" w:type="pct"/>
          </w:tcPr>
          <w:p w:rsidR="001B3B55" w:rsidRPr="00B526CD" w:rsidRDefault="001B3B55" w:rsidP="001B3B55">
            <w:pPr>
              <w:rPr>
                <w:rFonts w:ascii="Arial" w:hAnsi="Arial" w:cs="Arial"/>
                <w:sz w:val="24"/>
                <w:szCs w:val="24"/>
              </w:rPr>
            </w:pPr>
            <w:r w:rsidRPr="00B526CD">
              <w:rPr>
                <w:rFonts w:ascii="Arial" w:hAnsi="Arial" w:cs="Arial"/>
                <w:b/>
                <w:bCs/>
                <w:sz w:val="24"/>
                <w:szCs w:val="24"/>
              </w:rPr>
              <w:t>Sales £m</w:t>
            </w:r>
          </w:p>
        </w:tc>
        <w:tc>
          <w:tcPr>
            <w:tcW w:w="824" w:type="pct"/>
          </w:tcPr>
          <w:p w:rsidR="001B3B55" w:rsidRPr="00B526CD" w:rsidRDefault="006E42B5" w:rsidP="001B3B55">
            <w:pPr>
              <w:jc w:val="right"/>
              <w:rPr>
                <w:rFonts w:ascii="Arial" w:hAnsi="Arial" w:cs="Arial"/>
                <w:sz w:val="24"/>
                <w:szCs w:val="24"/>
              </w:rPr>
            </w:pPr>
            <w:r>
              <w:rPr>
                <w:rFonts w:ascii="Arial" w:hAnsi="Arial" w:cs="Arial"/>
                <w:b/>
                <w:bCs/>
                <w:sz w:val="24"/>
                <w:szCs w:val="24"/>
              </w:rPr>
              <w:t>2013/14</w:t>
            </w:r>
          </w:p>
        </w:tc>
        <w:tc>
          <w:tcPr>
            <w:tcW w:w="684" w:type="pct"/>
          </w:tcPr>
          <w:p w:rsidR="001B3B55" w:rsidRPr="00B526CD" w:rsidRDefault="00B526CD" w:rsidP="001B3B55">
            <w:pPr>
              <w:jc w:val="right"/>
              <w:rPr>
                <w:rFonts w:ascii="Arial" w:hAnsi="Arial" w:cs="Arial"/>
                <w:b/>
                <w:bCs/>
                <w:sz w:val="24"/>
                <w:szCs w:val="24"/>
              </w:rPr>
            </w:pPr>
            <w:r w:rsidRPr="00B526CD">
              <w:rPr>
                <w:rFonts w:ascii="Arial" w:hAnsi="Arial" w:cs="Arial"/>
                <w:b/>
                <w:bCs/>
                <w:sz w:val="24"/>
                <w:szCs w:val="24"/>
              </w:rPr>
              <w:t>2012/13</w:t>
            </w:r>
          </w:p>
        </w:tc>
        <w:tc>
          <w:tcPr>
            <w:tcW w:w="943" w:type="pct"/>
          </w:tcPr>
          <w:p w:rsidR="001B3B55" w:rsidRPr="00B526CD" w:rsidRDefault="001B3B55" w:rsidP="001B3B55">
            <w:pPr>
              <w:jc w:val="right"/>
              <w:rPr>
                <w:rFonts w:ascii="Arial" w:hAnsi="Arial" w:cs="Arial"/>
                <w:b/>
                <w:bCs/>
                <w:sz w:val="24"/>
                <w:szCs w:val="24"/>
              </w:rPr>
            </w:pPr>
            <w:r w:rsidRPr="00B526CD">
              <w:rPr>
                <w:rFonts w:ascii="Arial" w:hAnsi="Arial" w:cs="Arial"/>
                <w:b/>
                <w:bCs/>
                <w:sz w:val="24"/>
                <w:szCs w:val="24"/>
              </w:rPr>
              <w:t>% Reported Change</w:t>
            </w:r>
          </w:p>
        </w:tc>
        <w:tc>
          <w:tcPr>
            <w:tcW w:w="850" w:type="pct"/>
          </w:tcPr>
          <w:p w:rsidR="00586181" w:rsidRDefault="001B3B55" w:rsidP="001B3B55">
            <w:pPr>
              <w:jc w:val="right"/>
              <w:rPr>
                <w:rFonts w:ascii="Arial" w:hAnsi="Arial" w:cs="Arial"/>
                <w:b/>
                <w:bCs/>
                <w:sz w:val="24"/>
                <w:szCs w:val="24"/>
              </w:rPr>
            </w:pPr>
            <w:r w:rsidRPr="00B526CD">
              <w:rPr>
                <w:rFonts w:ascii="Arial" w:hAnsi="Arial" w:cs="Arial"/>
                <w:b/>
                <w:bCs/>
                <w:sz w:val="24"/>
                <w:szCs w:val="24"/>
              </w:rPr>
              <w:t xml:space="preserve">% Constant </w:t>
            </w:r>
          </w:p>
          <w:p w:rsidR="00586181" w:rsidRDefault="00586181" w:rsidP="001B3B55">
            <w:pPr>
              <w:jc w:val="right"/>
              <w:rPr>
                <w:rFonts w:ascii="Arial" w:hAnsi="Arial" w:cs="Arial"/>
                <w:b/>
                <w:bCs/>
                <w:sz w:val="24"/>
                <w:szCs w:val="24"/>
              </w:rPr>
            </w:pPr>
            <w:r>
              <w:rPr>
                <w:rFonts w:ascii="Arial" w:hAnsi="Arial" w:cs="Arial"/>
                <w:b/>
                <w:bCs/>
                <w:sz w:val="24"/>
                <w:szCs w:val="24"/>
              </w:rPr>
              <w:t>Currency</w:t>
            </w:r>
          </w:p>
          <w:p w:rsidR="001B3B55" w:rsidRPr="00B526CD" w:rsidRDefault="001B3B55" w:rsidP="001B3B55">
            <w:pPr>
              <w:jc w:val="right"/>
              <w:rPr>
                <w:rFonts w:ascii="Arial" w:hAnsi="Arial" w:cs="Arial"/>
                <w:b/>
                <w:bCs/>
                <w:sz w:val="24"/>
                <w:szCs w:val="24"/>
              </w:rPr>
            </w:pPr>
            <w:r w:rsidRPr="00B526CD">
              <w:rPr>
                <w:rFonts w:ascii="Arial" w:hAnsi="Arial" w:cs="Arial"/>
                <w:b/>
                <w:bCs/>
                <w:sz w:val="24"/>
                <w:szCs w:val="24"/>
              </w:rPr>
              <w:t>Change</w:t>
            </w:r>
          </w:p>
        </w:tc>
        <w:tc>
          <w:tcPr>
            <w:tcW w:w="563" w:type="pct"/>
          </w:tcPr>
          <w:p w:rsidR="001B3B55" w:rsidRPr="00B526CD" w:rsidRDefault="001B3B55" w:rsidP="001B3B55">
            <w:pPr>
              <w:ind w:hanging="108"/>
              <w:jc w:val="right"/>
              <w:rPr>
                <w:rFonts w:ascii="Arial" w:hAnsi="Arial" w:cs="Arial"/>
                <w:b/>
                <w:bCs/>
                <w:sz w:val="24"/>
                <w:szCs w:val="24"/>
              </w:rPr>
            </w:pPr>
            <w:r w:rsidRPr="00B526CD">
              <w:rPr>
                <w:rFonts w:ascii="Arial" w:hAnsi="Arial" w:cs="Arial"/>
                <w:b/>
                <w:bCs/>
                <w:sz w:val="24"/>
                <w:szCs w:val="24"/>
              </w:rPr>
              <w:t>% LFL</w:t>
            </w:r>
          </w:p>
          <w:p w:rsidR="001B3B55" w:rsidRPr="00B526CD" w:rsidRDefault="001B3B55" w:rsidP="001B3B55">
            <w:pPr>
              <w:ind w:hanging="108"/>
              <w:jc w:val="right"/>
              <w:rPr>
                <w:rFonts w:ascii="Arial" w:hAnsi="Arial" w:cs="Arial"/>
                <w:b/>
                <w:bCs/>
                <w:sz w:val="24"/>
                <w:szCs w:val="24"/>
              </w:rPr>
            </w:pPr>
            <w:r w:rsidRPr="00B526CD">
              <w:rPr>
                <w:rFonts w:ascii="Arial" w:hAnsi="Arial" w:cs="Arial"/>
                <w:b/>
                <w:bCs/>
                <w:sz w:val="24"/>
                <w:szCs w:val="24"/>
              </w:rPr>
              <w:t>Change</w:t>
            </w:r>
          </w:p>
        </w:tc>
      </w:tr>
      <w:tr w:rsidR="001B3B55" w:rsidRPr="00B526CD" w:rsidTr="00FA5AC4">
        <w:trPr>
          <w:trHeight w:val="147"/>
        </w:trPr>
        <w:tc>
          <w:tcPr>
            <w:tcW w:w="1136" w:type="pct"/>
          </w:tcPr>
          <w:p w:rsidR="001B3B55" w:rsidRPr="00B526CD" w:rsidRDefault="001B3B55" w:rsidP="001B3B55">
            <w:pPr>
              <w:rPr>
                <w:rFonts w:ascii="Arial" w:hAnsi="Arial" w:cs="Arial"/>
                <w:sz w:val="24"/>
                <w:szCs w:val="24"/>
              </w:rPr>
            </w:pPr>
            <w:r w:rsidRPr="00B526CD">
              <w:rPr>
                <w:rFonts w:ascii="Arial" w:hAnsi="Arial" w:cs="Arial"/>
                <w:sz w:val="24"/>
                <w:szCs w:val="24"/>
              </w:rPr>
              <w:t>France</w:t>
            </w:r>
          </w:p>
        </w:tc>
        <w:tc>
          <w:tcPr>
            <w:tcW w:w="824" w:type="pct"/>
          </w:tcPr>
          <w:p w:rsidR="001B3B55" w:rsidRPr="00B526CD" w:rsidRDefault="00B526CD" w:rsidP="001B3B55">
            <w:pPr>
              <w:jc w:val="right"/>
              <w:rPr>
                <w:rFonts w:ascii="Arial" w:hAnsi="Arial" w:cs="Arial"/>
                <w:sz w:val="24"/>
                <w:szCs w:val="24"/>
              </w:rPr>
            </w:pPr>
            <w:r w:rsidRPr="00B526CD">
              <w:rPr>
                <w:rFonts w:ascii="Arial" w:hAnsi="Arial" w:cs="Arial"/>
                <w:sz w:val="24"/>
                <w:szCs w:val="24"/>
              </w:rPr>
              <w:t>2,306</w:t>
            </w:r>
          </w:p>
        </w:tc>
        <w:tc>
          <w:tcPr>
            <w:tcW w:w="684" w:type="pct"/>
          </w:tcPr>
          <w:p w:rsidR="001B3B55" w:rsidRPr="00B526CD" w:rsidRDefault="00B526CD" w:rsidP="001B3B55">
            <w:pPr>
              <w:jc w:val="right"/>
              <w:rPr>
                <w:rFonts w:ascii="Arial" w:hAnsi="Arial" w:cs="Arial"/>
                <w:sz w:val="24"/>
                <w:szCs w:val="24"/>
              </w:rPr>
            </w:pPr>
            <w:r w:rsidRPr="00B526CD">
              <w:rPr>
                <w:rFonts w:ascii="Arial" w:hAnsi="Arial" w:cs="Arial"/>
                <w:sz w:val="24"/>
                <w:szCs w:val="24"/>
              </w:rPr>
              <w:t>2,206</w:t>
            </w:r>
          </w:p>
        </w:tc>
        <w:tc>
          <w:tcPr>
            <w:tcW w:w="943" w:type="pct"/>
          </w:tcPr>
          <w:p w:rsidR="001B3B55" w:rsidRPr="00B526CD" w:rsidRDefault="00E41F64" w:rsidP="001B3B55">
            <w:pPr>
              <w:jc w:val="right"/>
              <w:rPr>
                <w:rFonts w:ascii="Arial" w:hAnsi="Arial" w:cs="Arial"/>
                <w:sz w:val="24"/>
                <w:szCs w:val="24"/>
              </w:rPr>
            </w:pPr>
            <w:r>
              <w:rPr>
                <w:rFonts w:ascii="Arial" w:hAnsi="Arial" w:cs="Arial"/>
                <w:sz w:val="24"/>
                <w:szCs w:val="24"/>
              </w:rPr>
              <w:t>+</w:t>
            </w:r>
            <w:r w:rsidR="00B526CD" w:rsidRPr="00B526CD">
              <w:rPr>
                <w:rFonts w:ascii="Arial" w:hAnsi="Arial" w:cs="Arial"/>
                <w:sz w:val="24"/>
                <w:szCs w:val="24"/>
              </w:rPr>
              <w:t>4.5</w:t>
            </w:r>
            <w:r w:rsidR="001B3B55" w:rsidRPr="00B526CD">
              <w:rPr>
                <w:rFonts w:ascii="Arial" w:hAnsi="Arial" w:cs="Arial"/>
                <w:sz w:val="24"/>
                <w:szCs w:val="24"/>
              </w:rPr>
              <w:t>%</w:t>
            </w:r>
          </w:p>
        </w:tc>
        <w:tc>
          <w:tcPr>
            <w:tcW w:w="850" w:type="pct"/>
          </w:tcPr>
          <w:p w:rsidR="001B3B55" w:rsidRPr="00B526CD" w:rsidRDefault="00B526CD" w:rsidP="001B3B55">
            <w:pPr>
              <w:jc w:val="right"/>
              <w:rPr>
                <w:rFonts w:ascii="Arial" w:hAnsi="Arial" w:cs="Arial"/>
                <w:sz w:val="24"/>
                <w:szCs w:val="24"/>
              </w:rPr>
            </w:pPr>
            <w:r w:rsidRPr="00B526CD">
              <w:rPr>
                <w:rFonts w:ascii="Arial" w:hAnsi="Arial" w:cs="Arial"/>
                <w:sz w:val="24"/>
                <w:szCs w:val="24"/>
              </w:rPr>
              <w:t>(0.4)</w:t>
            </w:r>
            <w:r w:rsidR="001B3B55" w:rsidRPr="00B526CD">
              <w:rPr>
                <w:rFonts w:ascii="Arial" w:hAnsi="Arial" w:cs="Arial"/>
                <w:sz w:val="24"/>
                <w:szCs w:val="24"/>
              </w:rPr>
              <w:t>%</w:t>
            </w:r>
          </w:p>
        </w:tc>
        <w:tc>
          <w:tcPr>
            <w:tcW w:w="563" w:type="pct"/>
          </w:tcPr>
          <w:p w:rsidR="001B3B55" w:rsidRPr="00B526CD" w:rsidRDefault="00B526CD" w:rsidP="001B3B55">
            <w:pPr>
              <w:jc w:val="right"/>
              <w:rPr>
                <w:rFonts w:ascii="Arial" w:hAnsi="Arial" w:cs="Arial"/>
                <w:sz w:val="24"/>
                <w:szCs w:val="24"/>
              </w:rPr>
            </w:pPr>
            <w:r w:rsidRPr="00B526CD">
              <w:rPr>
                <w:rFonts w:ascii="Arial" w:hAnsi="Arial" w:cs="Arial"/>
                <w:sz w:val="24"/>
                <w:szCs w:val="24"/>
              </w:rPr>
              <w:t>(2.4)</w:t>
            </w:r>
            <w:r w:rsidR="001B3B55" w:rsidRPr="00B526CD">
              <w:rPr>
                <w:rFonts w:ascii="Arial" w:hAnsi="Arial" w:cs="Arial"/>
                <w:sz w:val="24"/>
                <w:szCs w:val="24"/>
              </w:rPr>
              <w:t>%</w:t>
            </w:r>
          </w:p>
        </w:tc>
      </w:tr>
    </w:tbl>
    <w:p w:rsidR="001B3B55" w:rsidRPr="00B526CD" w:rsidRDefault="001B3B55" w:rsidP="001B3B55">
      <w:pPr>
        <w:rPr>
          <w:rFonts w:ascii="Arial" w:hAnsi="Arial" w:cs="Arial"/>
          <w:b/>
          <w:bCs/>
          <w:sz w:val="24"/>
          <w:szCs w:val="24"/>
          <w:highlight w:val="magenta"/>
        </w:rPr>
      </w:pPr>
    </w:p>
    <w:tbl>
      <w:tblPr>
        <w:tblW w:w="413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6"/>
        <w:gridCol w:w="1539"/>
        <w:gridCol w:w="1260"/>
        <w:gridCol w:w="1728"/>
        <w:gridCol w:w="1557"/>
      </w:tblGrid>
      <w:tr w:rsidR="001B3B55" w:rsidRPr="00B526CD" w:rsidTr="00FA5AC4">
        <w:tc>
          <w:tcPr>
            <w:tcW w:w="1268" w:type="pct"/>
          </w:tcPr>
          <w:p w:rsidR="001B3B55" w:rsidRPr="00B526CD" w:rsidRDefault="001B3B55" w:rsidP="001B3B55">
            <w:pPr>
              <w:rPr>
                <w:rFonts w:ascii="Arial" w:hAnsi="Arial" w:cs="Arial"/>
                <w:b/>
                <w:bCs/>
                <w:sz w:val="24"/>
                <w:szCs w:val="24"/>
              </w:rPr>
            </w:pPr>
            <w:r w:rsidRPr="00B526CD">
              <w:rPr>
                <w:rFonts w:ascii="Arial" w:hAnsi="Arial" w:cs="Arial"/>
                <w:b/>
                <w:bCs/>
                <w:sz w:val="24"/>
                <w:szCs w:val="24"/>
              </w:rPr>
              <w:t>Retail profit £m</w:t>
            </w:r>
          </w:p>
        </w:tc>
        <w:tc>
          <w:tcPr>
            <w:tcW w:w="944" w:type="pct"/>
          </w:tcPr>
          <w:p w:rsidR="001B3B55" w:rsidRPr="00B526CD" w:rsidRDefault="006E42B5" w:rsidP="001B3B55">
            <w:pPr>
              <w:jc w:val="right"/>
              <w:rPr>
                <w:rFonts w:ascii="Arial" w:hAnsi="Arial" w:cs="Arial"/>
                <w:b/>
                <w:bCs/>
                <w:sz w:val="24"/>
                <w:szCs w:val="24"/>
              </w:rPr>
            </w:pPr>
            <w:r>
              <w:rPr>
                <w:rFonts w:ascii="Arial" w:hAnsi="Arial" w:cs="Arial"/>
                <w:b/>
                <w:bCs/>
                <w:sz w:val="24"/>
                <w:szCs w:val="24"/>
              </w:rPr>
              <w:t>2013/14</w:t>
            </w:r>
          </w:p>
        </w:tc>
        <w:tc>
          <w:tcPr>
            <w:tcW w:w="773" w:type="pct"/>
          </w:tcPr>
          <w:p w:rsidR="001B3B55" w:rsidRPr="00B526CD" w:rsidRDefault="00B526CD" w:rsidP="001B3B55">
            <w:pPr>
              <w:jc w:val="right"/>
              <w:rPr>
                <w:rFonts w:ascii="Arial" w:hAnsi="Arial" w:cs="Arial"/>
                <w:b/>
                <w:bCs/>
                <w:sz w:val="24"/>
                <w:szCs w:val="24"/>
              </w:rPr>
            </w:pPr>
            <w:r w:rsidRPr="00B526CD">
              <w:rPr>
                <w:rFonts w:ascii="Arial" w:hAnsi="Arial" w:cs="Arial"/>
                <w:b/>
                <w:bCs/>
                <w:sz w:val="24"/>
                <w:szCs w:val="24"/>
              </w:rPr>
              <w:t>2012/13</w:t>
            </w:r>
          </w:p>
        </w:tc>
        <w:tc>
          <w:tcPr>
            <w:tcW w:w="1060" w:type="pct"/>
          </w:tcPr>
          <w:p w:rsidR="001B3B55" w:rsidRPr="00B526CD" w:rsidRDefault="001B3B55" w:rsidP="001B3B55">
            <w:pPr>
              <w:jc w:val="right"/>
              <w:rPr>
                <w:rFonts w:ascii="Arial" w:hAnsi="Arial" w:cs="Arial"/>
                <w:b/>
                <w:bCs/>
                <w:sz w:val="24"/>
                <w:szCs w:val="24"/>
              </w:rPr>
            </w:pPr>
            <w:r w:rsidRPr="00B526CD">
              <w:rPr>
                <w:rFonts w:ascii="Arial" w:hAnsi="Arial" w:cs="Arial"/>
                <w:b/>
                <w:bCs/>
                <w:sz w:val="24"/>
                <w:szCs w:val="24"/>
              </w:rPr>
              <w:t>% Reported Change</w:t>
            </w:r>
          </w:p>
        </w:tc>
        <w:tc>
          <w:tcPr>
            <w:tcW w:w="956" w:type="pct"/>
          </w:tcPr>
          <w:p w:rsidR="00586181" w:rsidRDefault="001B3B55" w:rsidP="001B3B55">
            <w:pPr>
              <w:jc w:val="right"/>
              <w:rPr>
                <w:rFonts w:ascii="Arial" w:hAnsi="Arial" w:cs="Arial"/>
                <w:b/>
                <w:bCs/>
                <w:sz w:val="24"/>
                <w:szCs w:val="24"/>
              </w:rPr>
            </w:pPr>
            <w:r w:rsidRPr="00B526CD">
              <w:rPr>
                <w:rFonts w:ascii="Arial" w:hAnsi="Arial" w:cs="Arial"/>
                <w:b/>
                <w:bCs/>
                <w:sz w:val="24"/>
                <w:szCs w:val="24"/>
              </w:rPr>
              <w:t>% Constant</w:t>
            </w:r>
          </w:p>
          <w:p w:rsidR="00586181" w:rsidRDefault="00586181" w:rsidP="001B3B55">
            <w:pPr>
              <w:jc w:val="right"/>
              <w:rPr>
                <w:rFonts w:ascii="Arial" w:hAnsi="Arial" w:cs="Arial"/>
                <w:b/>
                <w:bCs/>
                <w:sz w:val="24"/>
                <w:szCs w:val="24"/>
              </w:rPr>
            </w:pPr>
            <w:r>
              <w:rPr>
                <w:rFonts w:ascii="Arial" w:hAnsi="Arial" w:cs="Arial"/>
                <w:b/>
                <w:bCs/>
                <w:sz w:val="24"/>
                <w:szCs w:val="24"/>
              </w:rPr>
              <w:t>Currency</w:t>
            </w:r>
            <w:r w:rsidR="001B3B55" w:rsidRPr="00B526CD">
              <w:rPr>
                <w:rFonts w:ascii="Arial" w:hAnsi="Arial" w:cs="Arial"/>
                <w:b/>
                <w:bCs/>
                <w:sz w:val="24"/>
                <w:szCs w:val="24"/>
              </w:rPr>
              <w:t xml:space="preserve"> </w:t>
            </w:r>
          </w:p>
          <w:p w:rsidR="001B3B55" w:rsidRPr="00B526CD" w:rsidRDefault="001B3B55" w:rsidP="001B3B55">
            <w:pPr>
              <w:jc w:val="right"/>
              <w:rPr>
                <w:rFonts w:ascii="Arial" w:hAnsi="Arial" w:cs="Arial"/>
                <w:b/>
                <w:bCs/>
                <w:sz w:val="24"/>
                <w:szCs w:val="24"/>
              </w:rPr>
            </w:pPr>
            <w:r w:rsidRPr="00B526CD">
              <w:rPr>
                <w:rFonts w:ascii="Arial" w:hAnsi="Arial" w:cs="Arial"/>
                <w:b/>
                <w:bCs/>
                <w:sz w:val="24"/>
                <w:szCs w:val="24"/>
              </w:rPr>
              <w:t>Change</w:t>
            </w:r>
          </w:p>
        </w:tc>
      </w:tr>
      <w:tr w:rsidR="001B3B55" w:rsidRPr="00A92CD1" w:rsidTr="00FA5AC4">
        <w:tc>
          <w:tcPr>
            <w:tcW w:w="1268" w:type="pct"/>
          </w:tcPr>
          <w:p w:rsidR="001B3B55" w:rsidRPr="00A92CD1" w:rsidRDefault="001B3B55" w:rsidP="001B3B55">
            <w:pPr>
              <w:rPr>
                <w:rFonts w:ascii="Arial" w:hAnsi="Arial" w:cs="Arial"/>
                <w:sz w:val="24"/>
                <w:szCs w:val="24"/>
              </w:rPr>
            </w:pPr>
            <w:r w:rsidRPr="00A92CD1">
              <w:rPr>
                <w:rFonts w:ascii="Arial" w:hAnsi="Arial" w:cs="Arial"/>
                <w:sz w:val="24"/>
                <w:szCs w:val="24"/>
              </w:rPr>
              <w:t>France</w:t>
            </w:r>
          </w:p>
        </w:tc>
        <w:tc>
          <w:tcPr>
            <w:tcW w:w="944" w:type="pct"/>
          </w:tcPr>
          <w:p w:rsidR="001B3B55" w:rsidRPr="00A92CD1" w:rsidRDefault="00F26F9C" w:rsidP="001B3B55">
            <w:pPr>
              <w:jc w:val="right"/>
              <w:rPr>
                <w:rFonts w:ascii="Arial" w:hAnsi="Arial" w:cs="Arial"/>
                <w:sz w:val="24"/>
                <w:szCs w:val="24"/>
              </w:rPr>
            </w:pPr>
            <w:r>
              <w:rPr>
                <w:rFonts w:ascii="Arial" w:hAnsi="Arial" w:cs="Arial"/>
                <w:sz w:val="24"/>
                <w:szCs w:val="24"/>
              </w:rPr>
              <w:t>191</w:t>
            </w:r>
          </w:p>
        </w:tc>
        <w:tc>
          <w:tcPr>
            <w:tcW w:w="773" w:type="pct"/>
          </w:tcPr>
          <w:p w:rsidR="001B3B55" w:rsidRPr="00A92CD1" w:rsidRDefault="00B526CD" w:rsidP="001B3B55">
            <w:pPr>
              <w:jc w:val="right"/>
              <w:rPr>
                <w:rFonts w:ascii="Arial" w:hAnsi="Arial" w:cs="Arial"/>
                <w:sz w:val="24"/>
                <w:szCs w:val="24"/>
              </w:rPr>
            </w:pPr>
            <w:r w:rsidRPr="00A92CD1">
              <w:rPr>
                <w:rFonts w:ascii="Arial" w:hAnsi="Arial" w:cs="Arial"/>
                <w:sz w:val="24"/>
                <w:szCs w:val="24"/>
              </w:rPr>
              <w:t>191</w:t>
            </w:r>
          </w:p>
        </w:tc>
        <w:tc>
          <w:tcPr>
            <w:tcW w:w="1060" w:type="pct"/>
          </w:tcPr>
          <w:p w:rsidR="001B3B55" w:rsidRPr="00A92CD1" w:rsidRDefault="00F26F9C" w:rsidP="001B3B55">
            <w:pPr>
              <w:jc w:val="right"/>
              <w:rPr>
                <w:rFonts w:ascii="Arial" w:hAnsi="Arial" w:cs="Arial"/>
                <w:sz w:val="24"/>
                <w:szCs w:val="24"/>
              </w:rPr>
            </w:pPr>
            <w:r>
              <w:rPr>
                <w:rFonts w:ascii="Arial" w:hAnsi="Arial" w:cs="Arial"/>
                <w:sz w:val="24"/>
                <w:szCs w:val="24"/>
              </w:rPr>
              <w:t>(0</w:t>
            </w:r>
            <w:r w:rsidR="00B526CD" w:rsidRPr="00A92CD1">
              <w:rPr>
                <w:rFonts w:ascii="Arial" w:hAnsi="Arial" w:cs="Arial"/>
                <w:sz w:val="24"/>
                <w:szCs w:val="24"/>
              </w:rPr>
              <w:t>.3)</w:t>
            </w:r>
            <w:r w:rsidR="001B3B55" w:rsidRPr="00A92CD1">
              <w:rPr>
                <w:rFonts w:ascii="Arial" w:hAnsi="Arial" w:cs="Arial"/>
                <w:sz w:val="24"/>
                <w:szCs w:val="24"/>
              </w:rPr>
              <w:t>%</w:t>
            </w:r>
          </w:p>
        </w:tc>
        <w:tc>
          <w:tcPr>
            <w:tcW w:w="956" w:type="pct"/>
          </w:tcPr>
          <w:p w:rsidR="001B3B55" w:rsidRPr="00A92CD1" w:rsidRDefault="00F26F9C" w:rsidP="001B3B55">
            <w:pPr>
              <w:jc w:val="right"/>
              <w:rPr>
                <w:rFonts w:ascii="Arial" w:hAnsi="Arial" w:cs="Arial"/>
                <w:sz w:val="24"/>
                <w:szCs w:val="24"/>
              </w:rPr>
            </w:pPr>
            <w:r>
              <w:rPr>
                <w:rFonts w:ascii="Arial" w:hAnsi="Arial" w:cs="Arial"/>
                <w:sz w:val="24"/>
                <w:szCs w:val="24"/>
              </w:rPr>
              <w:t>(4</w:t>
            </w:r>
            <w:r w:rsidR="00B526CD" w:rsidRPr="00A92CD1">
              <w:rPr>
                <w:rFonts w:ascii="Arial" w:hAnsi="Arial" w:cs="Arial"/>
                <w:sz w:val="24"/>
                <w:szCs w:val="24"/>
              </w:rPr>
              <w:t>.9)%</w:t>
            </w:r>
          </w:p>
        </w:tc>
      </w:tr>
    </w:tbl>
    <w:p w:rsidR="008A446F" w:rsidRDefault="008A446F" w:rsidP="001B3B55">
      <w:pPr>
        <w:jc w:val="left"/>
        <w:rPr>
          <w:rFonts w:ascii="Arial" w:hAnsi="Arial" w:cs="Arial"/>
          <w:i/>
          <w:iCs/>
          <w:sz w:val="18"/>
          <w:szCs w:val="18"/>
        </w:rPr>
      </w:pPr>
    </w:p>
    <w:p w:rsidR="001B3B55" w:rsidRPr="00A92CD1" w:rsidRDefault="001B3B55" w:rsidP="001B3B55">
      <w:pPr>
        <w:jc w:val="left"/>
        <w:rPr>
          <w:rFonts w:ascii="Arial" w:hAnsi="Arial" w:cs="Arial"/>
          <w:i/>
          <w:iCs/>
          <w:sz w:val="18"/>
          <w:szCs w:val="18"/>
        </w:rPr>
      </w:pPr>
      <w:r w:rsidRPr="00A92CD1">
        <w:rPr>
          <w:rFonts w:ascii="Arial" w:hAnsi="Arial" w:cs="Arial"/>
          <w:i/>
          <w:iCs/>
          <w:sz w:val="18"/>
          <w:szCs w:val="18"/>
        </w:rPr>
        <w:t>France includes Castorama and Brico Dépôt</w:t>
      </w:r>
    </w:p>
    <w:p w:rsidR="001B3B55" w:rsidRPr="00A92CD1" w:rsidRDefault="001B3B55" w:rsidP="001B3B55">
      <w:pPr>
        <w:jc w:val="left"/>
        <w:rPr>
          <w:rFonts w:ascii="Arial" w:hAnsi="Arial" w:cs="Arial"/>
          <w:b/>
          <w:bCs/>
          <w:i/>
          <w:iCs/>
          <w:sz w:val="18"/>
          <w:szCs w:val="18"/>
        </w:rPr>
      </w:pPr>
      <w:r w:rsidRPr="00A92CD1">
        <w:rPr>
          <w:rFonts w:ascii="Arial" w:hAnsi="Arial" w:cs="Arial"/>
          <w:b/>
          <w:bCs/>
          <w:i/>
          <w:iCs/>
          <w:sz w:val="18"/>
          <w:szCs w:val="18"/>
        </w:rPr>
        <w:t>All trading commentary below is in constant currencies</w:t>
      </w:r>
    </w:p>
    <w:p w:rsidR="001B3B55" w:rsidRPr="00A92CD1" w:rsidRDefault="001B3B55" w:rsidP="001B3B55">
      <w:pPr>
        <w:jc w:val="left"/>
        <w:rPr>
          <w:rFonts w:ascii="Arial" w:hAnsi="Arial" w:cs="Arial"/>
          <w:sz w:val="24"/>
          <w:szCs w:val="24"/>
          <w:highlight w:val="magenta"/>
        </w:rPr>
      </w:pPr>
    </w:p>
    <w:p w:rsidR="001B3B55" w:rsidRDefault="001B3B55" w:rsidP="001B3B55">
      <w:pPr>
        <w:jc w:val="left"/>
        <w:rPr>
          <w:rFonts w:ascii="Arial" w:hAnsi="Arial" w:cs="Arial"/>
          <w:bCs/>
          <w:sz w:val="24"/>
          <w:szCs w:val="24"/>
        </w:rPr>
      </w:pPr>
      <w:r w:rsidRPr="00E4603F">
        <w:rPr>
          <w:rFonts w:ascii="Arial" w:hAnsi="Arial" w:cs="Arial"/>
          <w:b/>
          <w:bCs/>
          <w:sz w:val="24"/>
          <w:szCs w:val="24"/>
        </w:rPr>
        <w:t>Kingfisher France</w:t>
      </w:r>
    </w:p>
    <w:p w:rsidR="00E926A4" w:rsidRPr="00FA5AC4" w:rsidRDefault="00E926A4" w:rsidP="001B3B55">
      <w:pPr>
        <w:jc w:val="left"/>
        <w:rPr>
          <w:rFonts w:ascii="Arial" w:hAnsi="Arial" w:cs="Arial"/>
          <w:bCs/>
          <w:sz w:val="24"/>
          <w:szCs w:val="24"/>
        </w:rPr>
      </w:pPr>
      <w:r>
        <w:rPr>
          <w:rFonts w:ascii="Arial" w:hAnsi="Arial" w:cs="Arial"/>
          <w:bCs/>
          <w:sz w:val="24"/>
          <w:szCs w:val="24"/>
        </w:rPr>
        <w:t xml:space="preserve">Kingfisher France sales declined by 0.4% </w:t>
      </w:r>
      <w:r w:rsidR="00101297">
        <w:rPr>
          <w:rFonts w:ascii="Arial" w:hAnsi="Arial" w:cs="Arial"/>
          <w:bCs/>
          <w:sz w:val="24"/>
          <w:szCs w:val="24"/>
        </w:rPr>
        <w:t xml:space="preserve">(-2.4% LFL) </w:t>
      </w:r>
      <w:r>
        <w:rPr>
          <w:rFonts w:ascii="Arial" w:hAnsi="Arial" w:cs="Arial"/>
          <w:bCs/>
          <w:sz w:val="24"/>
          <w:szCs w:val="24"/>
        </w:rPr>
        <w:t>to £2,306 million in slower markets</w:t>
      </w:r>
      <w:r w:rsidR="008E66AD">
        <w:rPr>
          <w:rFonts w:ascii="Arial" w:hAnsi="Arial" w:cs="Arial"/>
          <w:bCs/>
          <w:sz w:val="24"/>
          <w:szCs w:val="24"/>
        </w:rPr>
        <w:t xml:space="preserve"> impacted by weak consumer confidence</w:t>
      </w:r>
      <w:r>
        <w:rPr>
          <w:rFonts w:ascii="Arial" w:hAnsi="Arial" w:cs="Arial"/>
          <w:bCs/>
          <w:sz w:val="24"/>
          <w:szCs w:val="24"/>
        </w:rPr>
        <w:t xml:space="preserve">. Across the two businesses, four net new stores were opened and </w:t>
      </w:r>
      <w:r w:rsidR="008B0E5B">
        <w:rPr>
          <w:rFonts w:ascii="Arial" w:hAnsi="Arial" w:cs="Arial"/>
          <w:bCs/>
          <w:sz w:val="24"/>
          <w:szCs w:val="24"/>
        </w:rPr>
        <w:t xml:space="preserve">two </w:t>
      </w:r>
      <w:r>
        <w:rPr>
          <w:rFonts w:ascii="Arial" w:hAnsi="Arial" w:cs="Arial"/>
          <w:bCs/>
          <w:sz w:val="24"/>
          <w:szCs w:val="24"/>
        </w:rPr>
        <w:t xml:space="preserve">were revamped, adding around 3% new space. </w:t>
      </w:r>
    </w:p>
    <w:p w:rsidR="00B526CD" w:rsidRPr="00E4603F" w:rsidRDefault="00B526CD" w:rsidP="001B3B55">
      <w:pPr>
        <w:jc w:val="left"/>
        <w:rPr>
          <w:rFonts w:ascii="Arial" w:hAnsi="Arial" w:cs="Arial"/>
          <w:sz w:val="24"/>
          <w:szCs w:val="24"/>
        </w:rPr>
      </w:pPr>
    </w:p>
    <w:p w:rsidR="00F26F9C" w:rsidRPr="00E4603F" w:rsidRDefault="00F26F9C" w:rsidP="00F26F9C">
      <w:pPr>
        <w:jc w:val="left"/>
        <w:rPr>
          <w:rFonts w:ascii="Arial" w:hAnsi="Arial" w:cs="Arial"/>
          <w:sz w:val="24"/>
          <w:szCs w:val="24"/>
        </w:rPr>
      </w:pPr>
      <w:r w:rsidRPr="00E4603F">
        <w:rPr>
          <w:rFonts w:ascii="Arial" w:hAnsi="Arial" w:cs="Arial"/>
          <w:sz w:val="24"/>
          <w:szCs w:val="24"/>
        </w:rPr>
        <w:t xml:space="preserve">Gross margins were </w:t>
      </w:r>
      <w:r w:rsidR="00E4603F" w:rsidRPr="00E4603F">
        <w:rPr>
          <w:rFonts w:ascii="Arial" w:hAnsi="Arial" w:cs="Arial"/>
          <w:sz w:val="24"/>
          <w:szCs w:val="24"/>
        </w:rPr>
        <w:t>flat</w:t>
      </w:r>
      <w:r w:rsidR="002F6778">
        <w:rPr>
          <w:rFonts w:ascii="Arial" w:hAnsi="Arial" w:cs="Arial"/>
          <w:sz w:val="24"/>
          <w:szCs w:val="24"/>
        </w:rPr>
        <w:t xml:space="preserve"> across H1, </w:t>
      </w:r>
      <w:r w:rsidR="002B7830">
        <w:rPr>
          <w:rFonts w:ascii="Arial" w:hAnsi="Arial" w:cs="Arial"/>
          <w:sz w:val="24"/>
          <w:szCs w:val="24"/>
        </w:rPr>
        <w:t>with</w:t>
      </w:r>
      <w:r w:rsidR="00924DD0">
        <w:rPr>
          <w:rFonts w:ascii="Arial" w:hAnsi="Arial" w:cs="Arial"/>
          <w:sz w:val="24"/>
          <w:szCs w:val="24"/>
        </w:rPr>
        <w:t xml:space="preserve"> on-going self-help initiatives offset by more promotional activity</w:t>
      </w:r>
      <w:r w:rsidR="002B7830">
        <w:rPr>
          <w:rFonts w:ascii="Arial" w:hAnsi="Arial" w:cs="Arial"/>
          <w:sz w:val="24"/>
          <w:szCs w:val="24"/>
        </w:rPr>
        <w:t>.</w:t>
      </w:r>
      <w:r w:rsidR="00924DD0">
        <w:rPr>
          <w:rFonts w:ascii="Arial" w:hAnsi="Arial" w:cs="Arial"/>
          <w:sz w:val="24"/>
          <w:szCs w:val="24"/>
        </w:rPr>
        <w:t xml:space="preserve"> </w:t>
      </w:r>
      <w:r w:rsidR="002B7830">
        <w:rPr>
          <w:rFonts w:ascii="Arial" w:hAnsi="Arial" w:cs="Arial"/>
          <w:sz w:val="24"/>
          <w:szCs w:val="24"/>
        </w:rPr>
        <w:t>C</w:t>
      </w:r>
      <w:r w:rsidR="00924DD0">
        <w:rPr>
          <w:rFonts w:ascii="Arial" w:hAnsi="Arial" w:cs="Arial"/>
          <w:sz w:val="24"/>
          <w:szCs w:val="24"/>
        </w:rPr>
        <w:t>ontinued tight cost control</w:t>
      </w:r>
      <w:r w:rsidR="002B7830">
        <w:rPr>
          <w:rFonts w:ascii="Arial" w:hAnsi="Arial" w:cs="Arial"/>
          <w:sz w:val="24"/>
          <w:szCs w:val="24"/>
        </w:rPr>
        <w:t>,</w:t>
      </w:r>
      <w:r w:rsidR="00924DD0">
        <w:rPr>
          <w:rFonts w:ascii="Arial" w:hAnsi="Arial" w:cs="Arial"/>
          <w:sz w:val="24"/>
          <w:szCs w:val="24"/>
        </w:rPr>
        <w:t xml:space="preserve"> including lower levels of variable pay, resulted in retail profit of £191 million</w:t>
      </w:r>
      <w:r w:rsidR="00BF531D">
        <w:rPr>
          <w:rFonts w:ascii="Arial" w:hAnsi="Arial" w:cs="Arial"/>
          <w:sz w:val="24"/>
          <w:szCs w:val="24"/>
        </w:rPr>
        <w:t>, down 4.9% compared to last year.</w:t>
      </w:r>
      <w:r w:rsidR="00924DD0">
        <w:rPr>
          <w:rFonts w:ascii="Arial" w:hAnsi="Arial" w:cs="Arial"/>
          <w:sz w:val="24"/>
          <w:szCs w:val="24"/>
        </w:rPr>
        <w:t xml:space="preserve"> </w:t>
      </w:r>
    </w:p>
    <w:p w:rsidR="00F26F9C" w:rsidRPr="00A92CD1" w:rsidRDefault="00F26F9C" w:rsidP="001B3B55">
      <w:pPr>
        <w:jc w:val="left"/>
        <w:rPr>
          <w:rFonts w:ascii="Arial" w:hAnsi="Arial" w:cs="Arial"/>
          <w:sz w:val="24"/>
          <w:szCs w:val="24"/>
        </w:rPr>
      </w:pPr>
    </w:p>
    <w:p w:rsidR="008A4D64" w:rsidRPr="00F26F9C" w:rsidRDefault="001B3B55" w:rsidP="00864930">
      <w:pPr>
        <w:jc w:val="left"/>
        <w:rPr>
          <w:rFonts w:ascii="Arial" w:hAnsi="Arial" w:cs="Arial"/>
          <w:sz w:val="24"/>
          <w:szCs w:val="24"/>
        </w:rPr>
      </w:pPr>
      <w:r w:rsidRPr="00A92CD1">
        <w:rPr>
          <w:rFonts w:ascii="Arial" w:hAnsi="Arial" w:cs="Arial"/>
          <w:b/>
          <w:bCs/>
          <w:sz w:val="24"/>
          <w:szCs w:val="24"/>
        </w:rPr>
        <w:t>Castorama</w:t>
      </w:r>
      <w:r w:rsidRPr="00A92CD1">
        <w:rPr>
          <w:rFonts w:ascii="Arial" w:hAnsi="Arial" w:cs="Arial"/>
          <w:sz w:val="24"/>
          <w:szCs w:val="24"/>
        </w:rPr>
        <w:t xml:space="preserve"> </w:t>
      </w:r>
      <w:r w:rsidR="00864930" w:rsidRPr="00F26F9C">
        <w:rPr>
          <w:rFonts w:ascii="Arial" w:hAnsi="Arial" w:cs="Arial"/>
          <w:sz w:val="24"/>
          <w:szCs w:val="24"/>
        </w:rPr>
        <w:t xml:space="preserve">total sales grew by 0.9% </w:t>
      </w:r>
      <w:r w:rsidR="00101297" w:rsidRPr="00F26F9C">
        <w:rPr>
          <w:rFonts w:ascii="Arial" w:hAnsi="Arial" w:cs="Arial"/>
          <w:sz w:val="24"/>
          <w:szCs w:val="24"/>
        </w:rPr>
        <w:t>(-1.1% LF</w:t>
      </w:r>
      <w:r w:rsidR="00101297">
        <w:rPr>
          <w:rFonts w:ascii="Arial" w:hAnsi="Arial" w:cs="Arial"/>
          <w:sz w:val="24"/>
          <w:szCs w:val="24"/>
        </w:rPr>
        <w:t xml:space="preserve">L) </w:t>
      </w:r>
      <w:r w:rsidR="00864930" w:rsidRPr="00F26F9C">
        <w:rPr>
          <w:rFonts w:ascii="Arial" w:hAnsi="Arial" w:cs="Arial"/>
          <w:sz w:val="24"/>
          <w:szCs w:val="24"/>
        </w:rPr>
        <w:t>to £1</w:t>
      </w:r>
      <w:r w:rsidR="00924DD0">
        <w:rPr>
          <w:rFonts w:ascii="Arial" w:hAnsi="Arial" w:cs="Arial"/>
          <w:sz w:val="24"/>
          <w:szCs w:val="24"/>
        </w:rPr>
        <w:t>,294</w:t>
      </w:r>
      <w:r w:rsidR="00864930" w:rsidRPr="00F26F9C">
        <w:rPr>
          <w:rFonts w:ascii="Arial" w:hAnsi="Arial" w:cs="Arial"/>
          <w:sz w:val="24"/>
          <w:szCs w:val="24"/>
        </w:rPr>
        <w:t xml:space="preserve"> </w:t>
      </w:r>
      <w:r w:rsidR="00924DD0">
        <w:rPr>
          <w:rFonts w:ascii="Arial" w:hAnsi="Arial" w:cs="Arial"/>
          <w:sz w:val="24"/>
          <w:szCs w:val="24"/>
        </w:rPr>
        <w:t>m</w:t>
      </w:r>
      <w:r w:rsidR="00864930" w:rsidRPr="00F26F9C">
        <w:rPr>
          <w:rFonts w:ascii="Arial" w:hAnsi="Arial" w:cs="Arial"/>
          <w:sz w:val="24"/>
          <w:szCs w:val="24"/>
        </w:rPr>
        <w:t>illion</w:t>
      </w:r>
      <w:r w:rsidR="00101297">
        <w:rPr>
          <w:rFonts w:ascii="Arial" w:hAnsi="Arial" w:cs="Arial"/>
          <w:sz w:val="24"/>
          <w:szCs w:val="24"/>
        </w:rPr>
        <w:t>.</w:t>
      </w:r>
      <w:r w:rsidR="00864930" w:rsidRPr="00F26F9C">
        <w:rPr>
          <w:rFonts w:ascii="Arial" w:hAnsi="Arial" w:cs="Arial"/>
          <w:sz w:val="24"/>
          <w:szCs w:val="24"/>
        </w:rPr>
        <w:t xml:space="preserve"> </w:t>
      </w:r>
      <w:r w:rsidR="00924DD0">
        <w:rPr>
          <w:rFonts w:ascii="Arial" w:hAnsi="Arial" w:cs="Arial"/>
          <w:sz w:val="24"/>
          <w:szCs w:val="24"/>
        </w:rPr>
        <w:t xml:space="preserve">According to Banque de France data, sales for the home improvement market </w:t>
      </w:r>
      <w:r w:rsidR="001676C1" w:rsidRPr="00482999">
        <w:rPr>
          <w:rFonts w:ascii="Arial" w:hAnsi="Arial" w:cs="Arial"/>
          <w:i/>
          <w:sz w:val="24"/>
          <w:szCs w:val="24"/>
          <w:vertAlign w:val="superscript"/>
        </w:rPr>
        <w:t>(1)</w:t>
      </w:r>
      <w:r w:rsidR="001676C1">
        <w:rPr>
          <w:rFonts w:ascii="Arial" w:hAnsi="Arial" w:cs="Arial"/>
          <w:sz w:val="24"/>
          <w:szCs w:val="24"/>
        </w:rPr>
        <w:t xml:space="preserve"> </w:t>
      </w:r>
      <w:r w:rsidR="00924DD0">
        <w:rPr>
          <w:rFonts w:ascii="Arial" w:hAnsi="Arial" w:cs="Arial"/>
          <w:sz w:val="24"/>
          <w:szCs w:val="24"/>
        </w:rPr>
        <w:t>were down around 3%. Castorama benefit</w:t>
      </w:r>
      <w:r w:rsidR="00FB0460">
        <w:rPr>
          <w:rFonts w:ascii="Arial" w:hAnsi="Arial" w:cs="Arial"/>
          <w:sz w:val="24"/>
          <w:szCs w:val="24"/>
        </w:rPr>
        <w:t>ed</w:t>
      </w:r>
      <w:r w:rsidR="00924DD0">
        <w:rPr>
          <w:rFonts w:ascii="Arial" w:hAnsi="Arial" w:cs="Arial"/>
          <w:sz w:val="24"/>
          <w:szCs w:val="24"/>
        </w:rPr>
        <w:t xml:space="preserve"> from its innovative ‘Do-it-Smart’ approach aimed at making home improvement projects easier for customers. </w:t>
      </w:r>
      <w:r w:rsidR="00FA13E4">
        <w:rPr>
          <w:rFonts w:ascii="Arial" w:hAnsi="Arial" w:cs="Arial"/>
          <w:sz w:val="24"/>
          <w:szCs w:val="24"/>
        </w:rPr>
        <w:t>LFL s</w:t>
      </w:r>
      <w:r w:rsidR="00924DD0">
        <w:rPr>
          <w:rFonts w:ascii="Arial" w:hAnsi="Arial" w:cs="Arial"/>
          <w:sz w:val="24"/>
          <w:szCs w:val="24"/>
        </w:rPr>
        <w:t xml:space="preserve">ales of </w:t>
      </w:r>
      <w:r w:rsidR="00F20499">
        <w:rPr>
          <w:rFonts w:ascii="Arial" w:hAnsi="Arial" w:cs="Arial"/>
          <w:sz w:val="24"/>
          <w:szCs w:val="24"/>
        </w:rPr>
        <w:t xml:space="preserve">outdoor seasonal products were down around 3% reflecting adverse </w:t>
      </w:r>
      <w:r w:rsidR="0074099A">
        <w:rPr>
          <w:rFonts w:ascii="Arial" w:hAnsi="Arial" w:cs="Arial"/>
          <w:sz w:val="24"/>
          <w:szCs w:val="24"/>
        </w:rPr>
        <w:t>weather, particularly in Q1</w:t>
      </w:r>
      <w:r w:rsidR="00F20499">
        <w:rPr>
          <w:rFonts w:ascii="Arial" w:hAnsi="Arial" w:cs="Arial"/>
          <w:sz w:val="24"/>
          <w:szCs w:val="24"/>
        </w:rPr>
        <w:t xml:space="preserve">. Sales of indoor products were </w:t>
      </w:r>
      <w:r w:rsidR="0074099A">
        <w:rPr>
          <w:rFonts w:ascii="Arial" w:hAnsi="Arial" w:cs="Arial"/>
          <w:sz w:val="24"/>
          <w:szCs w:val="24"/>
        </w:rPr>
        <w:t xml:space="preserve">down around 1%. </w:t>
      </w:r>
    </w:p>
    <w:p w:rsidR="001B3B55" w:rsidRPr="00A92CD1" w:rsidRDefault="001B3B55" w:rsidP="001B3B55">
      <w:pPr>
        <w:jc w:val="left"/>
        <w:rPr>
          <w:rFonts w:ascii="Arial" w:hAnsi="Arial" w:cs="Arial"/>
          <w:sz w:val="24"/>
          <w:szCs w:val="24"/>
        </w:rPr>
      </w:pPr>
    </w:p>
    <w:p w:rsidR="001B3B55" w:rsidRDefault="001B3B55" w:rsidP="001B3B55">
      <w:pPr>
        <w:jc w:val="left"/>
        <w:rPr>
          <w:rFonts w:ascii="Arial" w:hAnsi="Arial" w:cs="Arial"/>
          <w:sz w:val="24"/>
          <w:szCs w:val="24"/>
        </w:rPr>
      </w:pPr>
      <w:r w:rsidRPr="00A92CD1">
        <w:rPr>
          <w:rFonts w:ascii="Arial" w:hAnsi="Arial" w:cs="Arial"/>
          <w:b/>
          <w:bCs/>
          <w:sz w:val="24"/>
          <w:szCs w:val="24"/>
        </w:rPr>
        <w:t>Brico Dépôt</w:t>
      </w:r>
      <w:r w:rsidR="00101297">
        <w:rPr>
          <w:rFonts w:ascii="Arial" w:hAnsi="Arial" w:cs="Arial"/>
          <w:sz w:val="24"/>
          <w:szCs w:val="24"/>
        </w:rPr>
        <w:t xml:space="preserve"> t</w:t>
      </w:r>
      <w:r w:rsidR="00332D4F">
        <w:rPr>
          <w:rFonts w:ascii="Arial" w:hAnsi="Arial" w:cs="Arial"/>
          <w:sz w:val="24"/>
          <w:szCs w:val="24"/>
        </w:rPr>
        <w:t>otal sales declined by 1.9% (-3.8% LFL) to £1,012 million.</w:t>
      </w:r>
      <w:r w:rsidR="00101297" w:rsidRPr="00101297">
        <w:rPr>
          <w:rFonts w:ascii="Arial" w:hAnsi="Arial" w:cs="Arial"/>
          <w:sz w:val="24"/>
          <w:szCs w:val="24"/>
        </w:rPr>
        <w:t xml:space="preserve"> </w:t>
      </w:r>
      <w:r w:rsidR="00633114">
        <w:rPr>
          <w:rFonts w:ascii="Arial" w:hAnsi="Arial" w:cs="Arial"/>
          <w:sz w:val="24"/>
          <w:szCs w:val="24"/>
        </w:rPr>
        <w:t>According to Kingfisher estimates, sales for the comparable market</w:t>
      </w:r>
      <w:r w:rsidR="00101297">
        <w:rPr>
          <w:rFonts w:ascii="Arial" w:hAnsi="Arial" w:cs="Arial"/>
          <w:sz w:val="24"/>
          <w:szCs w:val="24"/>
        </w:rPr>
        <w:t xml:space="preserve"> </w:t>
      </w:r>
      <w:r w:rsidR="00101297" w:rsidRPr="000F31CD">
        <w:rPr>
          <w:rFonts w:ascii="Arial" w:hAnsi="Arial" w:cs="Arial"/>
          <w:i/>
          <w:sz w:val="24"/>
          <w:szCs w:val="24"/>
          <w:vertAlign w:val="superscript"/>
        </w:rPr>
        <w:t>(</w:t>
      </w:r>
      <w:r w:rsidR="0011191F">
        <w:rPr>
          <w:rFonts w:ascii="Arial" w:hAnsi="Arial" w:cs="Arial"/>
          <w:i/>
          <w:sz w:val="24"/>
          <w:szCs w:val="24"/>
          <w:vertAlign w:val="superscript"/>
        </w:rPr>
        <w:t>2</w:t>
      </w:r>
      <w:r w:rsidR="00101297" w:rsidRPr="000F31CD">
        <w:rPr>
          <w:rFonts w:ascii="Arial" w:hAnsi="Arial" w:cs="Arial"/>
          <w:i/>
          <w:sz w:val="24"/>
          <w:szCs w:val="24"/>
          <w:vertAlign w:val="superscript"/>
        </w:rPr>
        <w:t>)</w:t>
      </w:r>
      <w:r w:rsidR="00101297">
        <w:rPr>
          <w:rFonts w:ascii="Arial" w:hAnsi="Arial" w:cs="Arial"/>
          <w:sz w:val="24"/>
          <w:szCs w:val="24"/>
        </w:rPr>
        <w:t xml:space="preserve">, </w:t>
      </w:r>
      <w:r w:rsidR="00101297" w:rsidRPr="00A92CD1">
        <w:rPr>
          <w:rFonts w:ascii="Arial" w:hAnsi="Arial" w:cs="Arial"/>
          <w:sz w:val="24"/>
          <w:szCs w:val="24"/>
        </w:rPr>
        <w:t>which more specifically</w:t>
      </w:r>
      <w:r w:rsidR="00101297" w:rsidRPr="00A92CD1">
        <w:rPr>
          <w:rFonts w:ascii="Arial" w:hAnsi="Arial" w:cs="Arial"/>
          <w:b/>
          <w:bCs/>
          <w:sz w:val="24"/>
          <w:szCs w:val="24"/>
        </w:rPr>
        <w:t xml:space="preserve"> </w:t>
      </w:r>
      <w:r w:rsidR="00101297" w:rsidRPr="00A92CD1">
        <w:rPr>
          <w:rFonts w:ascii="Arial" w:hAnsi="Arial" w:cs="Arial"/>
          <w:sz w:val="24"/>
          <w:szCs w:val="24"/>
        </w:rPr>
        <w:t xml:space="preserve">targets trade professionals and </w:t>
      </w:r>
      <w:r w:rsidR="00101297" w:rsidRPr="005F3F68">
        <w:rPr>
          <w:rFonts w:ascii="Arial" w:hAnsi="Arial" w:cs="Arial"/>
          <w:sz w:val="24"/>
          <w:szCs w:val="24"/>
        </w:rPr>
        <w:t xml:space="preserve">heavy DIYers, </w:t>
      </w:r>
      <w:r w:rsidR="00101297">
        <w:rPr>
          <w:rFonts w:ascii="Arial" w:hAnsi="Arial" w:cs="Arial"/>
          <w:sz w:val="24"/>
          <w:szCs w:val="24"/>
        </w:rPr>
        <w:t xml:space="preserve">was down around </w:t>
      </w:r>
      <w:r w:rsidR="005D7C68">
        <w:rPr>
          <w:rFonts w:ascii="Arial" w:hAnsi="Arial" w:cs="Arial"/>
          <w:sz w:val="24"/>
          <w:szCs w:val="24"/>
        </w:rPr>
        <w:t>4</w:t>
      </w:r>
      <w:r w:rsidR="00101297">
        <w:rPr>
          <w:rFonts w:ascii="Arial" w:hAnsi="Arial" w:cs="Arial"/>
          <w:sz w:val="24"/>
          <w:szCs w:val="24"/>
        </w:rPr>
        <w:t xml:space="preserve">%. Brico Dépôt </w:t>
      </w:r>
      <w:r w:rsidR="005D4E81">
        <w:rPr>
          <w:rFonts w:ascii="Arial" w:hAnsi="Arial" w:cs="Arial"/>
          <w:sz w:val="24"/>
          <w:szCs w:val="24"/>
        </w:rPr>
        <w:t>benefit</w:t>
      </w:r>
      <w:r w:rsidR="00FB0460">
        <w:rPr>
          <w:rFonts w:ascii="Arial" w:hAnsi="Arial" w:cs="Arial"/>
          <w:sz w:val="24"/>
          <w:szCs w:val="24"/>
        </w:rPr>
        <w:t>ed</w:t>
      </w:r>
      <w:r w:rsidR="005D4E81">
        <w:rPr>
          <w:rFonts w:ascii="Arial" w:hAnsi="Arial" w:cs="Arial"/>
          <w:sz w:val="24"/>
          <w:szCs w:val="24"/>
        </w:rPr>
        <w:t xml:space="preserve"> from s</w:t>
      </w:r>
      <w:r w:rsidR="00332D4F">
        <w:rPr>
          <w:rFonts w:ascii="Arial" w:hAnsi="Arial" w:cs="Arial"/>
          <w:sz w:val="24"/>
          <w:szCs w:val="24"/>
        </w:rPr>
        <w:t xml:space="preserve">elf-help initiatives </w:t>
      </w:r>
      <w:r w:rsidR="005D4E81">
        <w:rPr>
          <w:rFonts w:ascii="Arial" w:hAnsi="Arial" w:cs="Arial"/>
          <w:sz w:val="24"/>
          <w:szCs w:val="24"/>
        </w:rPr>
        <w:t xml:space="preserve">which </w:t>
      </w:r>
      <w:r w:rsidR="00332D4F">
        <w:rPr>
          <w:rFonts w:ascii="Arial" w:hAnsi="Arial" w:cs="Arial"/>
          <w:sz w:val="24"/>
          <w:szCs w:val="24"/>
        </w:rPr>
        <w:t>continued to progress well</w:t>
      </w:r>
      <w:r w:rsidR="005D4E81">
        <w:rPr>
          <w:rFonts w:ascii="Arial" w:hAnsi="Arial" w:cs="Arial"/>
          <w:sz w:val="24"/>
          <w:szCs w:val="24"/>
        </w:rPr>
        <w:t>. These</w:t>
      </w:r>
      <w:r w:rsidR="00332D4F">
        <w:rPr>
          <w:rFonts w:ascii="Arial" w:hAnsi="Arial" w:cs="Arial"/>
          <w:sz w:val="24"/>
          <w:szCs w:val="24"/>
        </w:rPr>
        <w:t xml:space="preserve"> includ</w:t>
      </w:r>
      <w:r w:rsidR="005D4E81">
        <w:rPr>
          <w:rFonts w:ascii="Arial" w:hAnsi="Arial" w:cs="Arial"/>
          <w:sz w:val="24"/>
          <w:szCs w:val="24"/>
        </w:rPr>
        <w:t>ed</w:t>
      </w:r>
      <w:r w:rsidR="00332D4F">
        <w:rPr>
          <w:rFonts w:ascii="Arial" w:hAnsi="Arial" w:cs="Arial"/>
          <w:sz w:val="24"/>
          <w:szCs w:val="24"/>
        </w:rPr>
        <w:t xml:space="preserve"> new ranges introduced last year (e.g.</w:t>
      </w:r>
      <w:r w:rsidR="00D7202B">
        <w:rPr>
          <w:rFonts w:ascii="Arial" w:hAnsi="Arial" w:cs="Arial"/>
          <w:sz w:val="24"/>
          <w:szCs w:val="24"/>
        </w:rPr>
        <w:t xml:space="preserve"> kitchen and lighting ranges</w:t>
      </w:r>
      <w:r w:rsidR="00332D4F">
        <w:rPr>
          <w:rFonts w:ascii="Arial" w:hAnsi="Arial" w:cs="Arial"/>
          <w:sz w:val="24"/>
          <w:szCs w:val="24"/>
        </w:rPr>
        <w:t xml:space="preserve">) and more ‘arrivages’ (rolling programme of one-off special buys), reinforcing Brico Dépôt’s value credentials. </w:t>
      </w:r>
    </w:p>
    <w:p w:rsidR="00A92CD1" w:rsidRPr="005F3F68" w:rsidRDefault="00A92CD1" w:rsidP="001B3B55">
      <w:pPr>
        <w:jc w:val="left"/>
        <w:rPr>
          <w:rStyle w:val="Emphasis"/>
          <w:rFonts w:ascii="Helvetica" w:hAnsi="Helvetica" w:cs="Helvetica"/>
          <w:sz w:val="20"/>
          <w:szCs w:val="20"/>
          <w:vertAlign w:val="superscript"/>
        </w:rPr>
      </w:pPr>
    </w:p>
    <w:p w:rsidR="008E6BB0" w:rsidRDefault="008E6BB0" w:rsidP="00784BE3">
      <w:pPr>
        <w:jc w:val="left"/>
        <w:rPr>
          <w:rFonts w:ascii="Arial" w:hAnsi="Arial" w:cs="Arial"/>
          <w:i/>
          <w:iCs/>
          <w:sz w:val="18"/>
          <w:szCs w:val="18"/>
        </w:rPr>
      </w:pPr>
    </w:p>
    <w:p w:rsidR="0011191F" w:rsidRPr="00EC6ABE" w:rsidRDefault="0011191F" w:rsidP="00784BE3">
      <w:pPr>
        <w:jc w:val="left"/>
        <w:rPr>
          <w:rFonts w:ascii="Arial" w:hAnsi="Arial" w:cs="Arial"/>
          <w:sz w:val="24"/>
          <w:szCs w:val="24"/>
        </w:rPr>
      </w:pPr>
      <w:r w:rsidRPr="00C21DBE">
        <w:rPr>
          <w:rFonts w:ascii="Arial" w:hAnsi="Arial" w:cs="Arial"/>
          <w:i/>
          <w:sz w:val="18"/>
          <w:szCs w:val="18"/>
          <w:vertAlign w:val="superscript"/>
        </w:rPr>
        <w:t>(</w:t>
      </w:r>
      <w:r>
        <w:rPr>
          <w:rFonts w:ascii="Arial" w:hAnsi="Arial" w:cs="Arial"/>
          <w:i/>
          <w:sz w:val="18"/>
          <w:szCs w:val="18"/>
          <w:vertAlign w:val="superscript"/>
        </w:rPr>
        <w:t>1</w:t>
      </w:r>
      <w:r w:rsidRPr="00C21DBE">
        <w:rPr>
          <w:rFonts w:ascii="Arial" w:hAnsi="Arial" w:cs="Arial"/>
          <w:i/>
          <w:sz w:val="18"/>
          <w:szCs w:val="18"/>
          <w:vertAlign w:val="superscript"/>
        </w:rPr>
        <w:t>)</w:t>
      </w:r>
      <w:r>
        <w:rPr>
          <w:rFonts w:ascii="Arial" w:hAnsi="Arial" w:cs="Arial"/>
          <w:i/>
          <w:sz w:val="18"/>
          <w:szCs w:val="18"/>
        </w:rPr>
        <w:t>Banque de France data includes relocated and extended stores</w:t>
      </w:r>
    </w:p>
    <w:p w:rsidR="00CE4686" w:rsidRPr="000F31CD" w:rsidRDefault="00CE4686" w:rsidP="00CE4686">
      <w:pPr>
        <w:jc w:val="left"/>
        <w:rPr>
          <w:rFonts w:ascii="Arial" w:hAnsi="Arial" w:cs="Arial"/>
          <w:sz w:val="24"/>
          <w:szCs w:val="24"/>
        </w:rPr>
      </w:pPr>
      <w:r w:rsidRPr="00C21DBE">
        <w:rPr>
          <w:rFonts w:ascii="Arial" w:hAnsi="Arial" w:cs="Arial"/>
          <w:i/>
          <w:sz w:val="18"/>
          <w:szCs w:val="18"/>
          <w:vertAlign w:val="superscript"/>
        </w:rPr>
        <w:t>(</w:t>
      </w:r>
      <w:r w:rsidR="0011191F">
        <w:rPr>
          <w:rFonts w:ascii="Arial" w:hAnsi="Arial" w:cs="Arial"/>
          <w:i/>
          <w:sz w:val="18"/>
          <w:szCs w:val="18"/>
          <w:vertAlign w:val="superscript"/>
        </w:rPr>
        <w:t>2</w:t>
      </w:r>
      <w:r w:rsidRPr="00C21DBE">
        <w:rPr>
          <w:rFonts w:ascii="Arial" w:hAnsi="Arial" w:cs="Arial"/>
          <w:i/>
          <w:sz w:val="18"/>
          <w:szCs w:val="18"/>
          <w:vertAlign w:val="superscript"/>
        </w:rPr>
        <w:t>)</w:t>
      </w:r>
      <w:r w:rsidR="00633114" w:rsidRPr="005E2851">
        <w:rPr>
          <w:rFonts w:ascii="Arial" w:hAnsi="Arial" w:cs="Arial"/>
          <w:i/>
          <w:iCs/>
          <w:sz w:val="18"/>
          <w:szCs w:val="18"/>
        </w:rPr>
        <w:t>R</w:t>
      </w:r>
      <w:r w:rsidR="005D4E81" w:rsidRPr="005E2851">
        <w:rPr>
          <w:rFonts w:ascii="Arial" w:hAnsi="Arial" w:cs="Arial"/>
          <w:i/>
          <w:iCs/>
          <w:sz w:val="18"/>
          <w:szCs w:val="18"/>
        </w:rPr>
        <w:t>olling</w:t>
      </w:r>
      <w:r w:rsidR="005D4E81">
        <w:rPr>
          <w:rFonts w:ascii="Arial" w:hAnsi="Arial" w:cs="Arial"/>
          <w:i/>
          <w:iCs/>
          <w:sz w:val="18"/>
          <w:szCs w:val="18"/>
        </w:rPr>
        <w:t xml:space="preserve"> 12 month a</w:t>
      </w:r>
      <w:r w:rsidR="005D4E81" w:rsidRPr="005D4E81">
        <w:rPr>
          <w:rFonts w:ascii="Arial" w:hAnsi="Arial" w:cs="Arial"/>
          <w:i/>
          <w:iCs/>
          <w:sz w:val="18"/>
          <w:szCs w:val="18"/>
        </w:rPr>
        <w:t>verage</w:t>
      </w:r>
      <w:r w:rsidR="005D4E81" w:rsidRPr="0006717E">
        <w:rPr>
          <w:rFonts w:ascii="Arial" w:hAnsi="Arial" w:cs="Arial"/>
          <w:i/>
          <w:iCs/>
          <w:sz w:val="18"/>
          <w:szCs w:val="18"/>
        </w:rPr>
        <w:t xml:space="preserve"> of Banque de France (60%) and I+C (www.iplusc.com) trade data (40%)</w:t>
      </w:r>
      <w:r w:rsidR="005D4E81">
        <w:rPr>
          <w:rFonts w:ascii="Arial" w:hAnsi="Arial" w:cs="Arial"/>
          <w:i/>
          <w:iCs/>
          <w:sz w:val="18"/>
          <w:szCs w:val="18"/>
        </w:rPr>
        <w:t xml:space="preserve"> July 2012</w:t>
      </w:r>
      <w:r w:rsidR="00103771">
        <w:rPr>
          <w:rFonts w:ascii="Arial" w:hAnsi="Arial" w:cs="Arial"/>
          <w:i/>
          <w:iCs/>
          <w:sz w:val="18"/>
          <w:szCs w:val="18"/>
        </w:rPr>
        <w:t xml:space="preserve"> </w:t>
      </w:r>
      <w:r w:rsidR="005D4E81">
        <w:rPr>
          <w:rFonts w:ascii="Arial" w:hAnsi="Arial" w:cs="Arial"/>
          <w:i/>
          <w:iCs/>
          <w:sz w:val="18"/>
          <w:szCs w:val="18"/>
        </w:rPr>
        <w:t>-</w:t>
      </w:r>
      <w:r w:rsidR="00103771">
        <w:rPr>
          <w:rFonts w:ascii="Arial" w:hAnsi="Arial" w:cs="Arial"/>
          <w:i/>
          <w:iCs/>
          <w:sz w:val="18"/>
          <w:szCs w:val="18"/>
        </w:rPr>
        <w:t xml:space="preserve"> </w:t>
      </w:r>
      <w:r w:rsidR="005D4E81">
        <w:rPr>
          <w:rFonts w:ascii="Arial" w:hAnsi="Arial" w:cs="Arial"/>
          <w:i/>
          <w:iCs/>
          <w:sz w:val="18"/>
          <w:szCs w:val="18"/>
        </w:rPr>
        <w:t>June 2013</w:t>
      </w:r>
      <w:r w:rsidR="0011191F">
        <w:rPr>
          <w:rFonts w:ascii="Arial" w:hAnsi="Arial" w:cs="Arial"/>
          <w:i/>
          <w:iCs/>
          <w:sz w:val="18"/>
          <w:szCs w:val="18"/>
        </w:rPr>
        <w:t xml:space="preserve">. For the same period, </w:t>
      </w:r>
      <w:r w:rsidR="00D86A8C">
        <w:rPr>
          <w:rFonts w:ascii="Arial" w:hAnsi="Arial" w:cs="Arial"/>
          <w:i/>
          <w:iCs/>
          <w:sz w:val="18"/>
          <w:szCs w:val="18"/>
        </w:rPr>
        <w:t>Brico Dépôt LFLs were down 4.7</w:t>
      </w:r>
      <w:r w:rsidR="0011191F">
        <w:rPr>
          <w:rFonts w:ascii="Arial" w:hAnsi="Arial" w:cs="Arial"/>
          <w:i/>
          <w:iCs/>
          <w:sz w:val="18"/>
          <w:szCs w:val="18"/>
        </w:rPr>
        <w:t>%</w:t>
      </w:r>
      <w:r w:rsidR="00103771">
        <w:rPr>
          <w:rFonts w:ascii="Arial" w:hAnsi="Arial" w:cs="Arial"/>
          <w:i/>
          <w:iCs/>
          <w:sz w:val="18"/>
          <w:szCs w:val="18"/>
        </w:rPr>
        <w:t>.</w:t>
      </w:r>
    </w:p>
    <w:p w:rsidR="008E6BB0" w:rsidRPr="000F31CD" w:rsidRDefault="00CE4686" w:rsidP="00784BE3">
      <w:pPr>
        <w:jc w:val="left"/>
        <w:rPr>
          <w:rFonts w:ascii="Arial" w:hAnsi="Arial" w:cs="Arial"/>
          <w:i/>
          <w:iCs/>
          <w:sz w:val="18"/>
          <w:szCs w:val="18"/>
        </w:rPr>
      </w:pPr>
      <w:r w:rsidRPr="000F31CD" w:rsidDel="00332D4F">
        <w:rPr>
          <w:rFonts w:ascii="Arial" w:hAnsi="Arial" w:cs="Arial"/>
          <w:i/>
          <w:iCs/>
          <w:sz w:val="18"/>
          <w:szCs w:val="18"/>
        </w:rPr>
        <w:t xml:space="preserve"> </w:t>
      </w:r>
    </w:p>
    <w:p w:rsidR="001B3B55" w:rsidRPr="006E42B5" w:rsidRDefault="00A92CD1" w:rsidP="001B3B55">
      <w:pPr>
        <w:jc w:val="left"/>
        <w:rPr>
          <w:rFonts w:ascii="Arial" w:hAnsi="Arial" w:cs="Arial"/>
          <w:i/>
          <w:iCs/>
          <w:sz w:val="24"/>
          <w:szCs w:val="24"/>
          <w:highlight w:val="magenta"/>
        </w:rPr>
      </w:pPr>
      <w:r w:rsidRPr="000F31CD">
        <w:rPr>
          <w:rFonts w:ascii="Arial" w:hAnsi="Arial" w:cs="Arial"/>
          <w:sz w:val="18"/>
          <w:szCs w:val="18"/>
        </w:rPr>
        <w:br w:type="page"/>
      </w:r>
      <w:bookmarkEnd w:id="9"/>
      <w:bookmarkEnd w:id="10"/>
      <w:r w:rsidR="001B3B55" w:rsidRPr="006E42B5">
        <w:rPr>
          <w:rFonts w:ascii="Arial" w:hAnsi="Arial" w:cs="Arial"/>
          <w:b/>
          <w:bCs/>
          <w:sz w:val="24"/>
          <w:szCs w:val="24"/>
        </w:rPr>
        <w:t>UK &amp; IRELAND</w:t>
      </w:r>
    </w:p>
    <w:p w:rsidR="001B3B55" w:rsidRPr="006E42B5" w:rsidRDefault="001B3B55" w:rsidP="001B3B55">
      <w:pPr>
        <w:jc w:val="left"/>
        <w:rPr>
          <w:rFonts w:ascii="Arial" w:hAnsi="Arial" w:cs="Arial"/>
          <w:sz w:val="24"/>
          <w:szCs w:val="24"/>
          <w:highlight w:val="magenta"/>
        </w:rPr>
      </w:pPr>
    </w:p>
    <w:tbl>
      <w:tblPr>
        <w:tblW w:w="483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1276"/>
        <w:gridCol w:w="1559"/>
        <w:gridCol w:w="1563"/>
        <w:gridCol w:w="1698"/>
        <w:gridCol w:w="1175"/>
      </w:tblGrid>
      <w:tr w:rsidR="001B3B55" w:rsidRPr="006E42B5" w:rsidTr="001B3B55">
        <w:tc>
          <w:tcPr>
            <w:tcW w:w="1189" w:type="pct"/>
          </w:tcPr>
          <w:p w:rsidR="001B3B55" w:rsidRPr="006E42B5" w:rsidRDefault="001B3B55" w:rsidP="001B3B55">
            <w:pPr>
              <w:rPr>
                <w:rFonts w:ascii="Arial" w:hAnsi="Arial" w:cs="Arial"/>
                <w:sz w:val="24"/>
                <w:szCs w:val="24"/>
                <w:highlight w:val="magenta"/>
              </w:rPr>
            </w:pPr>
            <w:r w:rsidRPr="006E42B5">
              <w:rPr>
                <w:rFonts w:ascii="Arial" w:hAnsi="Arial" w:cs="Arial"/>
                <w:b/>
                <w:bCs/>
                <w:sz w:val="24"/>
                <w:szCs w:val="24"/>
              </w:rPr>
              <w:t>Sales £m</w:t>
            </w:r>
          </w:p>
        </w:tc>
        <w:tc>
          <w:tcPr>
            <w:tcW w:w="669" w:type="pct"/>
          </w:tcPr>
          <w:p w:rsidR="001B3B55" w:rsidRPr="006E42B5" w:rsidRDefault="006E42B5" w:rsidP="001B3B55">
            <w:pPr>
              <w:jc w:val="right"/>
              <w:rPr>
                <w:rFonts w:ascii="Arial" w:hAnsi="Arial" w:cs="Arial"/>
                <w:sz w:val="24"/>
                <w:szCs w:val="24"/>
              </w:rPr>
            </w:pPr>
            <w:r w:rsidRPr="006E42B5">
              <w:rPr>
                <w:rFonts w:ascii="Arial" w:hAnsi="Arial" w:cs="Arial"/>
                <w:b/>
                <w:bCs/>
                <w:sz w:val="24"/>
                <w:szCs w:val="24"/>
              </w:rPr>
              <w:t>2013/14</w:t>
            </w:r>
          </w:p>
        </w:tc>
        <w:tc>
          <w:tcPr>
            <w:tcW w:w="817" w:type="pct"/>
          </w:tcPr>
          <w:p w:rsidR="001B3B55" w:rsidRPr="006E42B5" w:rsidRDefault="006E42B5" w:rsidP="001B3B55">
            <w:pPr>
              <w:jc w:val="right"/>
              <w:rPr>
                <w:rFonts w:ascii="Arial" w:hAnsi="Arial" w:cs="Arial"/>
                <w:b/>
                <w:bCs/>
                <w:sz w:val="24"/>
                <w:szCs w:val="24"/>
              </w:rPr>
            </w:pPr>
            <w:r w:rsidRPr="006E42B5">
              <w:rPr>
                <w:rFonts w:ascii="Arial" w:hAnsi="Arial" w:cs="Arial"/>
                <w:b/>
                <w:bCs/>
                <w:sz w:val="24"/>
                <w:szCs w:val="24"/>
              </w:rPr>
              <w:t>20</w:t>
            </w:r>
            <w:r w:rsidR="001B3B55" w:rsidRPr="006E42B5">
              <w:rPr>
                <w:rFonts w:ascii="Arial" w:hAnsi="Arial" w:cs="Arial"/>
                <w:b/>
                <w:bCs/>
                <w:sz w:val="24"/>
                <w:szCs w:val="24"/>
              </w:rPr>
              <w:t>1</w:t>
            </w:r>
            <w:r w:rsidRPr="006E42B5">
              <w:rPr>
                <w:rFonts w:ascii="Arial" w:hAnsi="Arial" w:cs="Arial"/>
                <w:b/>
                <w:bCs/>
                <w:sz w:val="24"/>
                <w:szCs w:val="24"/>
              </w:rPr>
              <w:t>2/13</w:t>
            </w:r>
          </w:p>
        </w:tc>
        <w:tc>
          <w:tcPr>
            <w:tcW w:w="819" w:type="pct"/>
          </w:tcPr>
          <w:p w:rsidR="00075D7B" w:rsidRDefault="001B3B55" w:rsidP="001B3B55">
            <w:pPr>
              <w:jc w:val="right"/>
              <w:rPr>
                <w:rFonts w:ascii="Arial" w:hAnsi="Arial" w:cs="Arial"/>
                <w:b/>
                <w:bCs/>
                <w:sz w:val="24"/>
                <w:szCs w:val="24"/>
              </w:rPr>
            </w:pPr>
            <w:r w:rsidRPr="006E42B5">
              <w:rPr>
                <w:rFonts w:ascii="Arial" w:hAnsi="Arial" w:cs="Arial"/>
                <w:b/>
                <w:bCs/>
                <w:sz w:val="24"/>
                <w:szCs w:val="24"/>
              </w:rPr>
              <w:t>% Reported</w:t>
            </w:r>
          </w:p>
          <w:p w:rsidR="001B3B55" w:rsidRPr="006E42B5" w:rsidRDefault="001B3B55" w:rsidP="001B3B55">
            <w:pPr>
              <w:jc w:val="right"/>
              <w:rPr>
                <w:rFonts w:ascii="Arial" w:hAnsi="Arial" w:cs="Arial"/>
                <w:b/>
                <w:bCs/>
                <w:sz w:val="24"/>
                <w:szCs w:val="24"/>
              </w:rPr>
            </w:pPr>
            <w:r w:rsidRPr="006E42B5">
              <w:rPr>
                <w:rFonts w:ascii="Arial" w:hAnsi="Arial" w:cs="Arial"/>
                <w:b/>
                <w:bCs/>
                <w:sz w:val="24"/>
                <w:szCs w:val="24"/>
              </w:rPr>
              <w:t>Change</w:t>
            </w:r>
          </w:p>
        </w:tc>
        <w:tc>
          <w:tcPr>
            <w:tcW w:w="890" w:type="pct"/>
          </w:tcPr>
          <w:p w:rsidR="00075D7B" w:rsidRDefault="001B3B55" w:rsidP="001B3B55">
            <w:pPr>
              <w:jc w:val="right"/>
              <w:rPr>
                <w:rFonts w:ascii="Arial" w:hAnsi="Arial" w:cs="Arial"/>
                <w:b/>
                <w:bCs/>
                <w:sz w:val="24"/>
                <w:szCs w:val="24"/>
              </w:rPr>
            </w:pPr>
            <w:r w:rsidRPr="006E42B5">
              <w:rPr>
                <w:rFonts w:ascii="Arial" w:hAnsi="Arial" w:cs="Arial"/>
                <w:b/>
                <w:bCs/>
                <w:sz w:val="24"/>
                <w:szCs w:val="24"/>
              </w:rPr>
              <w:t>% Constant</w:t>
            </w:r>
          </w:p>
          <w:p w:rsidR="001B3B55" w:rsidRPr="006E42B5" w:rsidRDefault="00075D7B" w:rsidP="001B3B55">
            <w:pPr>
              <w:jc w:val="right"/>
              <w:rPr>
                <w:rFonts w:ascii="Arial" w:hAnsi="Arial" w:cs="Arial"/>
                <w:b/>
                <w:bCs/>
                <w:sz w:val="24"/>
                <w:szCs w:val="24"/>
              </w:rPr>
            </w:pPr>
            <w:r>
              <w:rPr>
                <w:rFonts w:ascii="Arial" w:hAnsi="Arial" w:cs="Arial"/>
                <w:b/>
                <w:bCs/>
                <w:sz w:val="24"/>
                <w:szCs w:val="24"/>
              </w:rPr>
              <w:t>Currency</w:t>
            </w:r>
            <w:r w:rsidR="001B3B55" w:rsidRPr="006E42B5">
              <w:rPr>
                <w:rFonts w:ascii="Arial" w:hAnsi="Arial" w:cs="Arial"/>
                <w:b/>
                <w:bCs/>
                <w:sz w:val="24"/>
                <w:szCs w:val="24"/>
              </w:rPr>
              <w:t xml:space="preserve"> Change</w:t>
            </w:r>
          </w:p>
        </w:tc>
        <w:tc>
          <w:tcPr>
            <w:tcW w:w="616" w:type="pct"/>
          </w:tcPr>
          <w:p w:rsidR="001B3B55" w:rsidRPr="006E42B5" w:rsidRDefault="001B3B55" w:rsidP="001B3B55">
            <w:pPr>
              <w:ind w:hanging="108"/>
              <w:jc w:val="right"/>
              <w:rPr>
                <w:rFonts w:ascii="Arial" w:hAnsi="Arial" w:cs="Arial"/>
                <w:b/>
                <w:bCs/>
                <w:sz w:val="24"/>
                <w:szCs w:val="24"/>
              </w:rPr>
            </w:pPr>
            <w:r w:rsidRPr="006E42B5">
              <w:rPr>
                <w:rFonts w:ascii="Arial" w:hAnsi="Arial" w:cs="Arial"/>
                <w:b/>
                <w:bCs/>
                <w:sz w:val="24"/>
                <w:szCs w:val="24"/>
              </w:rPr>
              <w:t>% LFL</w:t>
            </w:r>
          </w:p>
          <w:p w:rsidR="001B3B55" w:rsidRPr="006E42B5" w:rsidRDefault="001B3B55" w:rsidP="001B3B55">
            <w:pPr>
              <w:ind w:hanging="108"/>
              <w:jc w:val="right"/>
              <w:rPr>
                <w:rFonts w:ascii="Arial" w:hAnsi="Arial" w:cs="Arial"/>
                <w:b/>
                <w:bCs/>
                <w:sz w:val="24"/>
                <w:szCs w:val="24"/>
              </w:rPr>
            </w:pPr>
            <w:r w:rsidRPr="006E42B5">
              <w:rPr>
                <w:rFonts w:ascii="Arial" w:hAnsi="Arial" w:cs="Arial"/>
                <w:b/>
                <w:bCs/>
                <w:sz w:val="24"/>
                <w:szCs w:val="24"/>
              </w:rPr>
              <w:t>Change</w:t>
            </w:r>
          </w:p>
        </w:tc>
      </w:tr>
      <w:tr w:rsidR="001B3B55" w:rsidRPr="006E42B5" w:rsidTr="001B3B55">
        <w:trPr>
          <w:trHeight w:val="147"/>
        </w:trPr>
        <w:tc>
          <w:tcPr>
            <w:tcW w:w="1189" w:type="pct"/>
          </w:tcPr>
          <w:p w:rsidR="001B3B55" w:rsidRPr="006E42B5" w:rsidRDefault="001B3B55" w:rsidP="001B3B55">
            <w:pPr>
              <w:rPr>
                <w:rFonts w:ascii="Arial" w:hAnsi="Arial" w:cs="Arial"/>
                <w:sz w:val="24"/>
                <w:szCs w:val="24"/>
              </w:rPr>
            </w:pPr>
            <w:r w:rsidRPr="006E42B5">
              <w:rPr>
                <w:rFonts w:ascii="Arial" w:hAnsi="Arial" w:cs="Arial"/>
                <w:sz w:val="24"/>
                <w:szCs w:val="24"/>
              </w:rPr>
              <w:t>UK &amp; Ireland</w:t>
            </w:r>
          </w:p>
        </w:tc>
        <w:tc>
          <w:tcPr>
            <w:tcW w:w="669" w:type="pct"/>
          </w:tcPr>
          <w:p w:rsidR="001B3B55" w:rsidRPr="006E42B5" w:rsidRDefault="006E42B5" w:rsidP="001B3B55">
            <w:pPr>
              <w:jc w:val="right"/>
              <w:rPr>
                <w:rFonts w:ascii="Arial" w:hAnsi="Arial" w:cs="Arial"/>
                <w:sz w:val="24"/>
                <w:szCs w:val="24"/>
              </w:rPr>
            </w:pPr>
            <w:r w:rsidRPr="006E42B5">
              <w:rPr>
                <w:rFonts w:ascii="Arial" w:hAnsi="Arial" w:cs="Arial"/>
                <w:sz w:val="24"/>
                <w:szCs w:val="24"/>
              </w:rPr>
              <w:t>2,270</w:t>
            </w:r>
          </w:p>
        </w:tc>
        <w:tc>
          <w:tcPr>
            <w:tcW w:w="817" w:type="pct"/>
          </w:tcPr>
          <w:p w:rsidR="001B3B55" w:rsidRPr="006E42B5" w:rsidRDefault="006E42B5" w:rsidP="001B3B55">
            <w:pPr>
              <w:jc w:val="right"/>
              <w:rPr>
                <w:rFonts w:ascii="Arial" w:hAnsi="Arial" w:cs="Arial"/>
                <w:sz w:val="24"/>
                <w:szCs w:val="24"/>
                <w:highlight w:val="magenta"/>
              </w:rPr>
            </w:pPr>
            <w:r w:rsidRPr="006E42B5">
              <w:rPr>
                <w:rFonts w:ascii="Arial" w:hAnsi="Arial" w:cs="Arial"/>
                <w:sz w:val="24"/>
                <w:szCs w:val="24"/>
              </w:rPr>
              <w:t>2,264</w:t>
            </w:r>
          </w:p>
        </w:tc>
        <w:tc>
          <w:tcPr>
            <w:tcW w:w="819" w:type="pct"/>
          </w:tcPr>
          <w:p w:rsidR="001B3B55" w:rsidRPr="006E42B5" w:rsidRDefault="00E41F64" w:rsidP="001B3B55">
            <w:pPr>
              <w:jc w:val="right"/>
              <w:rPr>
                <w:rFonts w:ascii="Arial" w:hAnsi="Arial" w:cs="Arial"/>
                <w:sz w:val="24"/>
                <w:szCs w:val="24"/>
              </w:rPr>
            </w:pPr>
            <w:r>
              <w:rPr>
                <w:rFonts w:ascii="Arial" w:hAnsi="Arial" w:cs="Arial"/>
                <w:sz w:val="24"/>
                <w:szCs w:val="24"/>
              </w:rPr>
              <w:t>+</w:t>
            </w:r>
            <w:r w:rsidR="006E42B5" w:rsidRPr="006E42B5">
              <w:rPr>
                <w:rFonts w:ascii="Arial" w:hAnsi="Arial" w:cs="Arial"/>
                <w:sz w:val="24"/>
                <w:szCs w:val="24"/>
              </w:rPr>
              <w:t>0.3</w:t>
            </w:r>
            <w:r w:rsidR="006B7548" w:rsidRPr="006E42B5">
              <w:rPr>
                <w:rFonts w:ascii="Arial" w:hAnsi="Arial" w:cs="Arial"/>
                <w:sz w:val="24"/>
                <w:szCs w:val="24"/>
              </w:rPr>
              <w:t>%</w:t>
            </w:r>
          </w:p>
        </w:tc>
        <w:tc>
          <w:tcPr>
            <w:tcW w:w="890" w:type="pct"/>
          </w:tcPr>
          <w:p w:rsidR="001B3B55" w:rsidRPr="006E42B5" w:rsidRDefault="00E41F64" w:rsidP="001B3B55">
            <w:pPr>
              <w:jc w:val="right"/>
              <w:rPr>
                <w:rFonts w:ascii="Arial" w:hAnsi="Arial" w:cs="Arial"/>
                <w:sz w:val="24"/>
                <w:szCs w:val="24"/>
              </w:rPr>
            </w:pPr>
            <w:r>
              <w:rPr>
                <w:rFonts w:ascii="Arial" w:hAnsi="Arial" w:cs="Arial"/>
                <w:sz w:val="24"/>
                <w:szCs w:val="24"/>
              </w:rPr>
              <w:t>+</w:t>
            </w:r>
            <w:r w:rsidR="006E42B5" w:rsidRPr="006E42B5">
              <w:rPr>
                <w:rFonts w:ascii="Arial" w:hAnsi="Arial" w:cs="Arial"/>
                <w:sz w:val="24"/>
                <w:szCs w:val="24"/>
              </w:rPr>
              <w:t>0.2</w:t>
            </w:r>
            <w:r w:rsidR="006B7548" w:rsidRPr="006E42B5">
              <w:rPr>
                <w:rFonts w:ascii="Arial" w:hAnsi="Arial" w:cs="Arial"/>
                <w:sz w:val="24"/>
                <w:szCs w:val="24"/>
              </w:rPr>
              <w:t>%</w:t>
            </w:r>
          </w:p>
        </w:tc>
        <w:tc>
          <w:tcPr>
            <w:tcW w:w="616" w:type="pct"/>
          </w:tcPr>
          <w:p w:rsidR="001B3B55" w:rsidRPr="006E42B5" w:rsidRDefault="006E42B5" w:rsidP="001B3B55">
            <w:pPr>
              <w:jc w:val="right"/>
              <w:rPr>
                <w:rFonts w:ascii="Arial" w:hAnsi="Arial" w:cs="Arial"/>
                <w:sz w:val="24"/>
                <w:szCs w:val="24"/>
              </w:rPr>
            </w:pPr>
            <w:r w:rsidRPr="006E42B5">
              <w:rPr>
                <w:rFonts w:ascii="Arial" w:hAnsi="Arial" w:cs="Arial"/>
                <w:sz w:val="24"/>
                <w:szCs w:val="24"/>
              </w:rPr>
              <w:t>(1.0)</w:t>
            </w:r>
            <w:r w:rsidR="006B7548" w:rsidRPr="006E42B5">
              <w:rPr>
                <w:rFonts w:ascii="Arial" w:hAnsi="Arial" w:cs="Arial"/>
                <w:sz w:val="24"/>
                <w:szCs w:val="24"/>
              </w:rPr>
              <w:t>%</w:t>
            </w:r>
          </w:p>
        </w:tc>
      </w:tr>
    </w:tbl>
    <w:p w:rsidR="001B3B55" w:rsidRPr="006E42B5" w:rsidRDefault="001B3B55" w:rsidP="001B3B55">
      <w:pPr>
        <w:rPr>
          <w:rFonts w:ascii="Arial" w:hAnsi="Arial" w:cs="Arial"/>
          <w:b/>
          <w:bCs/>
          <w:sz w:val="24"/>
          <w:szCs w:val="24"/>
          <w:highlight w:val="magenta"/>
        </w:rPr>
      </w:pPr>
    </w:p>
    <w:tbl>
      <w:tblPr>
        <w:tblW w:w="4243" w:type="pct"/>
        <w:tblInd w:w="-1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68"/>
        <w:gridCol w:w="1279"/>
        <w:gridCol w:w="1558"/>
        <w:gridCol w:w="1554"/>
        <w:gridCol w:w="1706"/>
      </w:tblGrid>
      <w:tr w:rsidR="001B3B55" w:rsidRPr="006E42B5" w:rsidTr="001B3B55">
        <w:tc>
          <w:tcPr>
            <w:tcW w:w="1355" w:type="pct"/>
            <w:tcBorders>
              <w:top w:val="single" w:sz="4" w:space="0" w:color="auto"/>
            </w:tcBorders>
          </w:tcPr>
          <w:p w:rsidR="001B3B55" w:rsidRPr="006E42B5" w:rsidRDefault="001B3B55" w:rsidP="001B3B55">
            <w:pPr>
              <w:rPr>
                <w:rFonts w:ascii="Arial" w:hAnsi="Arial" w:cs="Arial"/>
                <w:b/>
                <w:bCs/>
                <w:sz w:val="24"/>
                <w:szCs w:val="24"/>
              </w:rPr>
            </w:pPr>
            <w:r w:rsidRPr="006E42B5">
              <w:rPr>
                <w:rFonts w:ascii="Arial" w:hAnsi="Arial" w:cs="Arial"/>
                <w:b/>
                <w:bCs/>
                <w:sz w:val="24"/>
                <w:szCs w:val="24"/>
              </w:rPr>
              <w:t>Retail profit £m</w:t>
            </w:r>
          </w:p>
        </w:tc>
        <w:tc>
          <w:tcPr>
            <w:tcW w:w="764" w:type="pct"/>
            <w:tcBorders>
              <w:top w:val="single" w:sz="4" w:space="0" w:color="auto"/>
            </w:tcBorders>
          </w:tcPr>
          <w:p w:rsidR="001B3B55" w:rsidRPr="006E42B5" w:rsidRDefault="006E42B5" w:rsidP="001B3B55">
            <w:pPr>
              <w:jc w:val="right"/>
              <w:rPr>
                <w:rFonts w:ascii="Arial" w:hAnsi="Arial" w:cs="Arial"/>
                <w:b/>
                <w:bCs/>
                <w:sz w:val="24"/>
                <w:szCs w:val="24"/>
              </w:rPr>
            </w:pPr>
            <w:r w:rsidRPr="006E42B5">
              <w:rPr>
                <w:rFonts w:ascii="Arial" w:hAnsi="Arial" w:cs="Arial"/>
                <w:b/>
                <w:bCs/>
                <w:sz w:val="24"/>
                <w:szCs w:val="24"/>
              </w:rPr>
              <w:t>2013/14</w:t>
            </w:r>
          </w:p>
        </w:tc>
        <w:tc>
          <w:tcPr>
            <w:tcW w:w="931" w:type="pct"/>
            <w:tcBorders>
              <w:top w:val="single" w:sz="4" w:space="0" w:color="auto"/>
            </w:tcBorders>
          </w:tcPr>
          <w:p w:rsidR="001B3B55" w:rsidRPr="006E42B5" w:rsidRDefault="006E42B5" w:rsidP="001B3B55">
            <w:pPr>
              <w:jc w:val="right"/>
              <w:rPr>
                <w:rFonts w:ascii="Arial" w:hAnsi="Arial" w:cs="Arial"/>
                <w:b/>
                <w:bCs/>
                <w:sz w:val="24"/>
                <w:szCs w:val="24"/>
              </w:rPr>
            </w:pPr>
            <w:r w:rsidRPr="006E42B5">
              <w:rPr>
                <w:rFonts w:ascii="Arial" w:hAnsi="Arial" w:cs="Arial"/>
                <w:b/>
                <w:bCs/>
                <w:sz w:val="24"/>
                <w:szCs w:val="24"/>
              </w:rPr>
              <w:t>201</w:t>
            </w:r>
            <w:r w:rsidR="0084201C">
              <w:rPr>
                <w:rFonts w:ascii="Arial" w:hAnsi="Arial" w:cs="Arial"/>
                <w:b/>
                <w:bCs/>
                <w:sz w:val="24"/>
                <w:szCs w:val="24"/>
              </w:rPr>
              <w:t>2</w:t>
            </w:r>
            <w:r w:rsidRPr="006E42B5">
              <w:rPr>
                <w:rFonts w:ascii="Arial" w:hAnsi="Arial" w:cs="Arial"/>
                <w:b/>
                <w:bCs/>
                <w:sz w:val="24"/>
                <w:szCs w:val="24"/>
              </w:rPr>
              <w:t>/1</w:t>
            </w:r>
            <w:r w:rsidR="0084201C">
              <w:rPr>
                <w:rFonts w:ascii="Arial" w:hAnsi="Arial" w:cs="Arial"/>
                <w:b/>
                <w:bCs/>
                <w:sz w:val="24"/>
                <w:szCs w:val="24"/>
              </w:rPr>
              <w:t>3</w:t>
            </w:r>
          </w:p>
        </w:tc>
        <w:tc>
          <w:tcPr>
            <w:tcW w:w="929" w:type="pct"/>
            <w:tcBorders>
              <w:top w:val="single" w:sz="4" w:space="0" w:color="auto"/>
            </w:tcBorders>
          </w:tcPr>
          <w:p w:rsidR="00075D7B" w:rsidRDefault="001B3B55" w:rsidP="001B3B55">
            <w:pPr>
              <w:jc w:val="right"/>
              <w:rPr>
                <w:rFonts w:ascii="Arial" w:hAnsi="Arial" w:cs="Arial"/>
                <w:b/>
                <w:bCs/>
                <w:sz w:val="24"/>
                <w:szCs w:val="24"/>
              </w:rPr>
            </w:pPr>
            <w:r w:rsidRPr="006E42B5">
              <w:rPr>
                <w:rFonts w:ascii="Arial" w:hAnsi="Arial" w:cs="Arial"/>
                <w:b/>
                <w:bCs/>
                <w:sz w:val="24"/>
                <w:szCs w:val="24"/>
              </w:rPr>
              <w:t>% Reported</w:t>
            </w:r>
          </w:p>
          <w:p w:rsidR="001B3B55" w:rsidRPr="006E42B5" w:rsidRDefault="001B3B55" w:rsidP="001B3B55">
            <w:pPr>
              <w:jc w:val="right"/>
              <w:rPr>
                <w:rFonts w:ascii="Arial" w:hAnsi="Arial" w:cs="Arial"/>
                <w:b/>
                <w:bCs/>
                <w:sz w:val="24"/>
                <w:szCs w:val="24"/>
              </w:rPr>
            </w:pPr>
            <w:r w:rsidRPr="006E42B5">
              <w:rPr>
                <w:rFonts w:ascii="Arial" w:hAnsi="Arial" w:cs="Arial"/>
                <w:b/>
                <w:bCs/>
                <w:sz w:val="24"/>
                <w:szCs w:val="24"/>
              </w:rPr>
              <w:t>Change</w:t>
            </w:r>
          </w:p>
        </w:tc>
        <w:tc>
          <w:tcPr>
            <w:tcW w:w="1020" w:type="pct"/>
            <w:tcBorders>
              <w:top w:val="single" w:sz="4" w:space="0" w:color="auto"/>
            </w:tcBorders>
          </w:tcPr>
          <w:p w:rsidR="00075D7B" w:rsidRDefault="001B3B55" w:rsidP="001B3B55">
            <w:pPr>
              <w:jc w:val="right"/>
              <w:rPr>
                <w:rFonts w:ascii="Arial" w:hAnsi="Arial" w:cs="Arial"/>
                <w:b/>
                <w:bCs/>
                <w:sz w:val="24"/>
                <w:szCs w:val="24"/>
              </w:rPr>
            </w:pPr>
            <w:r w:rsidRPr="006E42B5">
              <w:rPr>
                <w:rFonts w:ascii="Arial" w:hAnsi="Arial" w:cs="Arial"/>
                <w:b/>
                <w:bCs/>
                <w:sz w:val="24"/>
                <w:szCs w:val="24"/>
              </w:rPr>
              <w:t>% Constant</w:t>
            </w:r>
          </w:p>
          <w:p w:rsidR="001B3B55" w:rsidRPr="006E42B5" w:rsidRDefault="00075D7B" w:rsidP="001B3B55">
            <w:pPr>
              <w:jc w:val="right"/>
              <w:rPr>
                <w:rFonts w:ascii="Arial" w:hAnsi="Arial" w:cs="Arial"/>
                <w:b/>
                <w:bCs/>
                <w:sz w:val="24"/>
                <w:szCs w:val="24"/>
              </w:rPr>
            </w:pPr>
            <w:r>
              <w:rPr>
                <w:rFonts w:ascii="Arial" w:hAnsi="Arial" w:cs="Arial"/>
                <w:b/>
                <w:bCs/>
                <w:sz w:val="24"/>
                <w:szCs w:val="24"/>
              </w:rPr>
              <w:t>Currency</w:t>
            </w:r>
            <w:r w:rsidR="001B3B55" w:rsidRPr="006E42B5">
              <w:rPr>
                <w:rFonts w:ascii="Arial" w:hAnsi="Arial" w:cs="Arial"/>
                <w:b/>
                <w:bCs/>
                <w:sz w:val="24"/>
                <w:szCs w:val="24"/>
              </w:rPr>
              <w:t xml:space="preserve"> Change</w:t>
            </w:r>
          </w:p>
        </w:tc>
      </w:tr>
      <w:tr w:rsidR="001B3B55" w:rsidRPr="006E42B5" w:rsidTr="001B3B55">
        <w:tc>
          <w:tcPr>
            <w:tcW w:w="1355" w:type="pct"/>
            <w:tcBorders>
              <w:bottom w:val="single" w:sz="4" w:space="0" w:color="auto"/>
            </w:tcBorders>
          </w:tcPr>
          <w:p w:rsidR="001B3B55" w:rsidRPr="006E42B5" w:rsidRDefault="001B3B55" w:rsidP="001B3B55">
            <w:pPr>
              <w:rPr>
                <w:rFonts w:ascii="Arial" w:hAnsi="Arial" w:cs="Arial"/>
                <w:sz w:val="24"/>
                <w:szCs w:val="24"/>
              </w:rPr>
            </w:pPr>
            <w:r w:rsidRPr="006E42B5">
              <w:rPr>
                <w:rFonts w:ascii="Arial" w:hAnsi="Arial" w:cs="Arial"/>
                <w:sz w:val="24"/>
                <w:szCs w:val="24"/>
              </w:rPr>
              <w:t>UK &amp; Ireland</w:t>
            </w:r>
          </w:p>
        </w:tc>
        <w:tc>
          <w:tcPr>
            <w:tcW w:w="764" w:type="pct"/>
            <w:tcBorders>
              <w:bottom w:val="single" w:sz="4" w:space="0" w:color="auto"/>
            </w:tcBorders>
          </w:tcPr>
          <w:p w:rsidR="001B3B55" w:rsidRPr="006E42B5" w:rsidRDefault="006E42B5" w:rsidP="001B3B55">
            <w:pPr>
              <w:jc w:val="right"/>
              <w:rPr>
                <w:rFonts w:ascii="Arial" w:hAnsi="Arial" w:cs="Arial"/>
                <w:sz w:val="24"/>
                <w:szCs w:val="24"/>
              </w:rPr>
            </w:pPr>
            <w:r w:rsidRPr="006E42B5">
              <w:rPr>
                <w:rFonts w:ascii="Arial" w:hAnsi="Arial" w:cs="Arial"/>
                <w:sz w:val="24"/>
                <w:szCs w:val="24"/>
              </w:rPr>
              <w:t>141</w:t>
            </w:r>
          </w:p>
        </w:tc>
        <w:tc>
          <w:tcPr>
            <w:tcW w:w="931" w:type="pct"/>
            <w:tcBorders>
              <w:bottom w:val="single" w:sz="4" w:space="0" w:color="auto"/>
            </w:tcBorders>
          </w:tcPr>
          <w:p w:rsidR="001B3B55" w:rsidRPr="006E42B5" w:rsidRDefault="006E42B5" w:rsidP="001B3B55">
            <w:pPr>
              <w:jc w:val="right"/>
              <w:rPr>
                <w:rFonts w:ascii="Arial" w:hAnsi="Arial" w:cs="Arial"/>
                <w:sz w:val="24"/>
                <w:szCs w:val="24"/>
              </w:rPr>
            </w:pPr>
            <w:r w:rsidRPr="006E42B5">
              <w:rPr>
                <w:rFonts w:ascii="Arial" w:hAnsi="Arial" w:cs="Arial"/>
                <w:sz w:val="24"/>
                <w:szCs w:val="24"/>
              </w:rPr>
              <w:t>143</w:t>
            </w:r>
            <w:r w:rsidRPr="006E42B5">
              <w:rPr>
                <w:rFonts w:ascii="Arial" w:hAnsi="Arial" w:cs="Arial"/>
                <w:i/>
                <w:sz w:val="24"/>
                <w:szCs w:val="24"/>
                <w:vertAlign w:val="superscript"/>
              </w:rPr>
              <w:t>(1)</w:t>
            </w:r>
          </w:p>
        </w:tc>
        <w:tc>
          <w:tcPr>
            <w:tcW w:w="929" w:type="pct"/>
            <w:tcBorders>
              <w:bottom w:val="single" w:sz="4" w:space="0" w:color="auto"/>
            </w:tcBorders>
          </w:tcPr>
          <w:p w:rsidR="001B3B55" w:rsidRPr="006E42B5" w:rsidRDefault="006E42B5" w:rsidP="001B3B55">
            <w:pPr>
              <w:jc w:val="right"/>
              <w:rPr>
                <w:rFonts w:ascii="Arial" w:hAnsi="Arial" w:cs="Arial"/>
                <w:sz w:val="24"/>
                <w:szCs w:val="24"/>
              </w:rPr>
            </w:pPr>
            <w:r w:rsidRPr="006E42B5">
              <w:rPr>
                <w:rFonts w:ascii="Arial" w:hAnsi="Arial" w:cs="Arial"/>
                <w:sz w:val="24"/>
                <w:szCs w:val="24"/>
              </w:rPr>
              <w:t>(1.4)</w:t>
            </w:r>
            <w:r w:rsidR="006B7548" w:rsidRPr="006E42B5">
              <w:rPr>
                <w:rFonts w:ascii="Arial" w:hAnsi="Arial" w:cs="Arial"/>
                <w:sz w:val="24"/>
                <w:szCs w:val="24"/>
              </w:rPr>
              <w:t>%</w:t>
            </w:r>
          </w:p>
        </w:tc>
        <w:tc>
          <w:tcPr>
            <w:tcW w:w="1020" w:type="pct"/>
            <w:tcBorders>
              <w:bottom w:val="single" w:sz="4" w:space="0" w:color="auto"/>
            </w:tcBorders>
          </w:tcPr>
          <w:p w:rsidR="001B3B55" w:rsidRPr="006E42B5" w:rsidRDefault="006E42B5" w:rsidP="001B3B55">
            <w:pPr>
              <w:jc w:val="right"/>
              <w:rPr>
                <w:rFonts w:ascii="Arial" w:hAnsi="Arial" w:cs="Arial"/>
                <w:sz w:val="24"/>
                <w:szCs w:val="24"/>
              </w:rPr>
            </w:pPr>
            <w:r w:rsidRPr="006E42B5">
              <w:rPr>
                <w:rFonts w:ascii="Arial" w:hAnsi="Arial" w:cs="Arial"/>
                <w:sz w:val="24"/>
                <w:szCs w:val="24"/>
              </w:rPr>
              <w:t>(1.3)</w:t>
            </w:r>
            <w:r w:rsidR="001B3B55" w:rsidRPr="006E42B5">
              <w:rPr>
                <w:rFonts w:ascii="Arial" w:hAnsi="Arial" w:cs="Arial"/>
                <w:sz w:val="24"/>
                <w:szCs w:val="24"/>
              </w:rPr>
              <w:t>%</w:t>
            </w:r>
          </w:p>
        </w:tc>
      </w:tr>
    </w:tbl>
    <w:p w:rsidR="00103771" w:rsidRDefault="00103771" w:rsidP="006E42B5">
      <w:pPr>
        <w:jc w:val="left"/>
        <w:rPr>
          <w:rFonts w:ascii="Arial" w:hAnsi="Arial" w:cs="Arial"/>
          <w:i/>
          <w:iCs/>
          <w:sz w:val="18"/>
          <w:szCs w:val="18"/>
        </w:rPr>
      </w:pPr>
    </w:p>
    <w:p w:rsidR="006E42B5" w:rsidRPr="006E42B5" w:rsidRDefault="006E42B5" w:rsidP="006E42B5">
      <w:pPr>
        <w:jc w:val="left"/>
        <w:rPr>
          <w:rFonts w:ascii="Arial" w:hAnsi="Arial" w:cs="Arial"/>
          <w:i/>
          <w:iCs/>
          <w:sz w:val="18"/>
          <w:szCs w:val="18"/>
        </w:rPr>
      </w:pPr>
      <w:r w:rsidRPr="006E42B5">
        <w:rPr>
          <w:rFonts w:ascii="Arial" w:hAnsi="Arial" w:cs="Arial"/>
          <w:i/>
          <w:iCs/>
          <w:sz w:val="18"/>
          <w:szCs w:val="18"/>
        </w:rPr>
        <w:t>UK &amp; Ireland includes B&amp;Q in the UK &amp; Ireland and Screwfix</w:t>
      </w:r>
    </w:p>
    <w:p w:rsidR="006E42B5" w:rsidRPr="006638FD" w:rsidRDefault="0084201C" w:rsidP="006E42B5">
      <w:pPr>
        <w:jc w:val="left"/>
        <w:rPr>
          <w:rFonts w:ascii="Arial" w:hAnsi="Arial" w:cs="Arial"/>
          <w:i/>
          <w:iCs/>
          <w:sz w:val="18"/>
          <w:szCs w:val="18"/>
        </w:rPr>
      </w:pPr>
      <w:r w:rsidRPr="00C21DBE">
        <w:rPr>
          <w:rFonts w:ascii="Arial" w:hAnsi="Arial" w:cs="Arial"/>
          <w:i/>
          <w:iCs/>
          <w:sz w:val="18"/>
          <w:szCs w:val="18"/>
          <w:vertAlign w:val="superscript"/>
        </w:rPr>
        <w:t>(1)</w:t>
      </w:r>
      <w:r w:rsidR="006E42B5" w:rsidRPr="006E42B5">
        <w:rPr>
          <w:rFonts w:ascii="Arial" w:hAnsi="Arial" w:cs="Arial"/>
          <w:i/>
          <w:iCs/>
          <w:sz w:val="18"/>
          <w:szCs w:val="18"/>
        </w:rPr>
        <w:t xml:space="preserve">2012/13 comparatives restated by £2m to reflect reclassification of pension administrative expenses from finance </w:t>
      </w:r>
      <w:r w:rsidR="006E42B5" w:rsidRPr="006638FD">
        <w:rPr>
          <w:rFonts w:ascii="Arial" w:hAnsi="Arial" w:cs="Arial"/>
          <w:i/>
          <w:iCs/>
          <w:sz w:val="18"/>
          <w:szCs w:val="18"/>
        </w:rPr>
        <w:t xml:space="preserve">costs to </w:t>
      </w:r>
      <w:r w:rsidR="00FA13E4">
        <w:rPr>
          <w:rFonts w:ascii="Arial" w:hAnsi="Arial" w:cs="Arial"/>
          <w:i/>
          <w:iCs/>
          <w:sz w:val="18"/>
          <w:szCs w:val="18"/>
        </w:rPr>
        <w:t>retail</w:t>
      </w:r>
      <w:r w:rsidR="006E42B5" w:rsidRPr="006638FD">
        <w:rPr>
          <w:rFonts w:ascii="Arial" w:hAnsi="Arial" w:cs="Arial"/>
          <w:i/>
          <w:iCs/>
          <w:sz w:val="18"/>
          <w:szCs w:val="18"/>
        </w:rPr>
        <w:t xml:space="preserve"> profit, as per the amended IAS 19.</w:t>
      </w:r>
    </w:p>
    <w:p w:rsidR="001B3B55" w:rsidRPr="006638FD" w:rsidRDefault="001B3B55" w:rsidP="001B3B55">
      <w:pPr>
        <w:jc w:val="left"/>
        <w:rPr>
          <w:rFonts w:ascii="Arial" w:hAnsi="Arial" w:cs="Arial"/>
          <w:b/>
          <w:bCs/>
          <w:i/>
          <w:iCs/>
          <w:sz w:val="18"/>
          <w:szCs w:val="18"/>
          <w:highlight w:val="magenta"/>
        </w:rPr>
      </w:pPr>
      <w:r w:rsidRPr="006638FD">
        <w:rPr>
          <w:rFonts w:ascii="Arial" w:hAnsi="Arial" w:cs="Arial"/>
          <w:b/>
          <w:bCs/>
          <w:i/>
          <w:iCs/>
          <w:sz w:val="18"/>
          <w:szCs w:val="18"/>
        </w:rPr>
        <w:t>All trading commentary below is in constant currencies</w:t>
      </w:r>
    </w:p>
    <w:p w:rsidR="001B3B55" w:rsidRPr="006638FD" w:rsidRDefault="001B3B55" w:rsidP="001B3B55">
      <w:pPr>
        <w:jc w:val="left"/>
        <w:rPr>
          <w:rFonts w:ascii="Arial" w:hAnsi="Arial" w:cs="Arial"/>
          <w:sz w:val="24"/>
          <w:szCs w:val="24"/>
          <w:highlight w:val="magenta"/>
        </w:rPr>
      </w:pPr>
    </w:p>
    <w:p w:rsidR="001B3B55" w:rsidRPr="006638FD" w:rsidRDefault="001B3B55" w:rsidP="001B3B55">
      <w:pPr>
        <w:jc w:val="left"/>
        <w:rPr>
          <w:rFonts w:ascii="Arial" w:hAnsi="Arial" w:cs="Arial"/>
          <w:b/>
          <w:bCs/>
          <w:sz w:val="24"/>
          <w:szCs w:val="24"/>
        </w:rPr>
      </w:pPr>
      <w:r w:rsidRPr="006638FD">
        <w:rPr>
          <w:rFonts w:ascii="Arial" w:hAnsi="Arial" w:cs="Arial"/>
          <w:b/>
          <w:bCs/>
          <w:sz w:val="24"/>
          <w:szCs w:val="24"/>
        </w:rPr>
        <w:t>Kingfisher UK &amp; Ireland</w:t>
      </w:r>
    </w:p>
    <w:p w:rsidR="00924CD7" w:rsidRDefault="00F26F9C" w:rsidP="001B3B55">
      <w:pPr>
        <w:jc w:val="left"/>
        <w:rPr>
          <w:rFonts w:ascii="Arial" w:hAnsi="Arial" w:cs="Arial"/>
          <w:sz w:val="24"/>
          <w:szCs w:val="24"/>
        </w:rPr>
      </w:pPr>
      <w:r w:rsidRPr="00E4603F">
        <w:rPr>
          <w:rFonts w:ascii="Arial" w:hAnsi="Arial" w:cs="Arial"/>
          <w:sz w:val="24"/>
          <w:szCs w:val="24"/>
        </w:rPr>
        <w:t>Kingfisher UK &amp; I</w:t>
      </w:r>
      <w:r w:rsidR="00E4603F" w:rsidRPr="00E4603F">
        <w:rPr>
          <w:rFonts w:ascii="Arial" w:hAnsi="Arial" w:cs="Arial"/>
          <w:sz w:val="24"/>
          <w:szCs w:val="24"/>
        </w:rPr>
        <w:t xml:space="preserve">reland total sales were </w:t>
      </w:r>
      <w:r w:rsidR="007112BB">
        <w:rPr>
          <w:rFonts w:ascii="Arial" w:hAnsi="Arial" w:cs="Arial"/>
          <w:sz w:val="24"/>
          <w:szCs w:val="24"/>
        </w:rPr>
        <w:t>up</w:t>
      </w:r>
      <w:r w:rsidR="00E4603F" w:rsidRPr="00E4603F">
        <w:rPr>
          <w:rFonts w:ascii="Arial" w:hAnsi="Arial" w:cs="Arial"/>
          <w:sz w:val="24"/>
          <w:szCs w:val="24"/>
        </w:rPr>
        <w:t xml:space="preserve"> 0.2%</w:t>
      </w:r>
      <w:r w:rsidR="007112BB">
        <w:rPr>
          <w:rFonts w:ascii="Arial" w:hAnsi="Arial" w:cs="Arial"/>
          <w:sz w:val="24"/>
          <w:szCs w:val="24"/>
        </w:rPr>
        <w:t xml:space="preserve"> </w:t>
      </w:r>
      <w:r w:rsidR="00E4603F" w:rsidRPr="00E4603F">
        <w:rPr>
          <w:rFonts w:ascii="Arial" w:hAnsi="Arial" w:cs="Arial"/>
          <w:sz w:val="24"/>
          <w:szCs w:val="24"/>
        </w:rPr>
        <w:t>(-1.0</w:t>
      </w:r>
      <w:r w:rsidRPr="00E4603F">
        <w:rPr>
          <w:rFonts w:ascii="Arial" w:hAnsi="Arial" w:cs="Arial"/>
          <w:sz w:val="24"/>
          <w:szCs w:val="24"/>
        </w:rPr>
        <w:t>% LFL)</w:t>
      </w:r>
      <w:r w:rsidR="007112BB">
        <w:rPr>
          <w:rFonts w:ascii="Arial" w:hAnsi="Arial" w:cs="Arial"/>
          <w:sz w:val="24"/>
          <w:szCs w:val="24"/>
        </w:rPr>
        <w:t xml:space="preserve"> to £2,270 million</w:t>
      </w:r>
      <w:r w:rsidR="00E20C3D">
        <w:rPr>
          <w:rFonts w:ascii="Arial" w:hAnsi="Arial" w:cs="Arial"/>
          <w:sz w:val="24"/>
          <w:szCs w:val="24"/>
        </w:rPr>
        <w:t xml:space="preserve">. </w:t>
      </w:r>
      <w:r w:rsidR="00924CD7">
        <w:rPr>
          <w:rFonts w:ascii="Arial" w:hAnsi="Arial" w:cs="Arial"/>
          <w:sz w:val="24"/>
          <w:szCs w:val="24"/>
        </w:rPr>
        <w:t>Across H1</w:t>
      </w:r>
      <w:r w:rsidR="00E20C3D">
        <w:rPr>
          <w:rFonts w:ascii="Arial" w:hAnsi="Arial" w:cs="Arial"/>
          <w:sz w:val="24"/>
          <w:szCs w:val="24"/>
        </w:rPr>
        <w:t>, s</w:t>
      </w:r>
      <w:r w:rsidR="00CE4686">
        <w:rPr>
          <w:rFonts w:ascii="Arial" w:hAnsi="Arial" w:cs="Arial"/>
          <w:sz w:val="24"/>
          <w:szCs w:val="24"/>
        </w:rPr>
        <w:t>ales benefited</w:t>
      </w:r>
      <w:r w:rsidR="00CE40AE">
        <w:rPr>
          <w:rFonts w:ascii="Arial" w:hAnsi="Arial" w:cs="Arial"/>
          <w:sz w:val="24"/>
          <w:szCs w:val="24"/>
        </w:rPr>
        <w:t xml:space="preserve"> from </w:t>
      </w:r>
      <w:r w:rsidR="00CE4686">
        <w:rPr>
          <w:rFonts w:ascii="Arial" w:hAnsi="Arial" w:cs="Arial"/>
          <w:sz w:val="24"/>
          <w:szCs w:val="24"/>
        </w:rPr>
        <w:t xml:space="preserve">higher </w:t>
      </w:r>
      <w:r w:rsidR="00CE40AE">
        <w:rPr>
          <w:rFonts w:ascii="Arial" w:hAnsi="Arial" w:cs="Arial"/>
          <w:sz w:val="24"/>
          <w:szCs w:val="24"/>
        </w:rPr>
        <w:t xml:space="preserve">sales </w:t>
      </w:r>
      <w:r w:rsidR="00924CD7">
        <w:rPr>
          <w:rFonts w:ascii="Arial" w:hAnsi="Arial" w:cs="Arial"/>
          <w:sz w:val="24"/>
          <w:szCs w:val="24"/>
        </w:rPr>
        <w:t>of outdoor seasonal products</w:t>
      </w:r>
      <w:r w:rsidR="00CE40AE">
        <w:rPr>
          <w:rFonts w:ascii="Arial" w:hAnsi="Arial" w:cs="Arial"/>
          <w:sz w:val="24"/>
          <w:szCs w:val="24"/>
        </w:rPr>
        <w:t xml:space="preserve"> (+6%), </w:t>
      </w:r>
      <w:r w:rsidR="00E20C3D">
        <w:rPr>
          <w:rFonts w:ascii="Arial" w:hAnsi="Arial" w:cs="Arial"/>
          <w:sz w:val="24"/>
          <w:szCs w:val="24"/>
        </w:rPr>
        <w:t>offset by a slow</w:t>
      </w:r>
      <w:r w:rsidR="008E66AD">
        <w:rPr>
          <w:rFonts w:ascii="Arial" w:hAnsi="Arial" w:cs="Arial"/>
          <w:sz w:val="24"/>
          <w:szCs w:val="24"/>
        </w:rPr>
        <w:t>er</w:t>
      </w:r>
      <w:r w:rsidR="00E20C3D">
        <w:rPr>
          <w:rFonts w:ascii="Arial" w:hAnsi="Arial" w:cs="Arial"/>
          <w:sz w:val="24"/>
          <w:szCs w:val="24"/>
        </w:rPr>
        <w:t xml:space="preserve"> underlying market impacted by weak consumer confidence.</w:t>
      </w:r>
      <w:r w:rsidR="00924CD7">
        <w:rPr>
          <w:rFonts w:ascii="Arial" w:hAnsi="Arial" w:cs="Arial"/>
          <w:sz w:val="24"/>
          <w:szCs w:val="24"/>
        </w:rPr>
        <w:t xml:space="preserve"> </w:t>
      </w:r>
      <w:r w:rsidR="002135D4">
        <w:rPr>
          <w:rFonts w:ascii="Arial" w:hAnsi="Arial" w:cs="Arial"/>
          <w:sz w:val="24"/>
          <w:szCs w:val="24"/>
        </w:rPr>
        <w:t>Sales patterns were unusually volat</w:t>
      </w:r>
      <w:r w:rsidR="000C158D">
        <w:rPr>
          <w:rFonts w:ascii="Arial" w:hAnsi="Arial" w:cs="Arial"/>
          <w:sz w:val="24"/>
          <w:szCs w:val="24"/>
        </w:rPr>
        <w:t xml:space="preserve">ile </w:t>
      </w:r>
      <w:r w:rsidR="002135D4">
        <w:rPr>
          <w:rFonts w:ascii="Arial" w:hAnsi="Arial" w:cs="Arial"/>
          <w:sz w:val="24"/>
          <w:szCs w:val="24"/>
        </w:rPr>
        <w:t xml:space="preserve">across H1 driven by record cold weather in Q1 followed by better weather in Q2. </w:t>
      </w:r>
    </w:p>
    <w:p w:rsidR="00425813" w:rsidRDefault="00425813" w:rsidP="001B3B55">
      <w:pPr>
        <w:jc w:val="left"/>
        <w:rPr>
          <w:rFonts w:ascii="Arial" w:hAnsi="Arial" w:cs="Arial"/>
          <w:sz w:val="24"/>
          <w:szCs w:val="24"/>
        </w:rPr>
      </w:pPr>
    </w:p>
    <w:p w:rsidR="006220B8" w:rsidRDefault="006220B8" w:rsidP="001B3B55">
      <w:pPr>
        <w:jc w:val="left"/>
        <w:rPr>
          <w:rFonts w:ascii="Arial" w:hAnsi="Arial" w:cs="Arial"/>
          <w:sz w:val="24"/>
          <w:szCs w:val="24"/>
        </w:rPr>
      </w:pPr>
      <w:r>
        <w:rPr>
          <w:rFonts w:ascii="Arial" w:hAnsi="Arial" w:cs="Arial"/>
          <w:sz w:val="24"/>
          <w:szCs w:val="24"/>
        </w:rPr>
        <w:t xml:space="preserve">Kingfisher UK &amp; Ireland reported broadly flat retail profit of £141 million (2012/13: </w:t>
      </w:r>
      <w:r w:rsidR="00FA13E4">
        <w:rPr>
          <w:rFonts w:ascii="Arial" w:hAnsi="Arial" w:cs="Arial"/>
          <w:sz w:val="24"/>
          <w:szCs w:val="24"/>
        </w:rPr>
        <w:t xml:space="preserve">reported </w:t>
      </w:r>
      <w:r>
        <w:rPr>
          <w:rFonts w:ascii="Arial" w:hAnsi="Arial" w:cs="Arial"/>
          <w:sz w:val="24"/>
          <w:szCs w:val="24"/>
        </w:rPr>
        <w:t xml:space="preserve">£143 million including the benefit of a one-off construction related claim for around £5 million). Gross margins were up 30 basis points, benefiting from on-going self-help initiatives offset by investment in pricing. A strong focus on operating cost efficiencies continued across both businesses. </w:t>
      </w:r>
      <w:r w:rsidR="002D1022">
        <w:rPr>
          <w:rFonts w:ascii="Arial" w:hAnsi="Arial" w:cs="Arial"/>
          <w:sz w:val="24"/>
          <w:szCs w:val="24"/>
        </w:rPr>
        <w:t>R</w:t>
      </w:r>
      <w:r w:rsidR="002135D4">
        <w:rPr>
          <w:rFonts w:ascii="Arial" w:hAnsi="Arial" w:cs="Arial"/>
          <w:sz w:val="24"/>
          <w:szCs w:val="24"/>
        </w:rPr>
        <w:t xml:space="preserve">etail operating margins </w:t>
      </w:r>
      <w:r w:rsidR="002D1022">
        <w:rPr>
          <w:rFonts w:ascii="Arial" w:hAnsi="Arial" w:cs="Arial"/>
          <w:sz w:val="24"/>
          <w:szCs w:val="24"/>
        </w:rPr>
        <w:t xml:space="preserve">across H1 (Q1: 4.7%; Q2: 7.6%) were driven by the weather </w:t>
      </w:r>
      <w:r w:rsidR="00FA13E4">
        <w:rPr>
          <w:rFonts w:ascii="Arial" w:hAnsi="Arial" w:cs="Arial"/>
          <w:sz w:val="24"/>
          <w:szCs w:val="24"/>
        </w:rPr>
        <w:t>a</w:t>
      </w:r>
      <w:r w:rsidR="002D1022">
        <w:rPr>
          <w:rFonts w:ascii="Arial" w:hAnsi="Arial" w:cs="Arial"/>
          <w:sz w:val="24"/>
          <w:szCs w:val="24"/>
        </w:rPr>
        <w:t>ffected sales patterns</w:t>
      </w:r>
      <w:r w:rsidR="00371915">
        <w:rPr>
          <w:rFonts w:ascii="Arial" w:hAnsi="Arial" w:cs="Arial"/>
          <w:sz w:val="24"/>
          <w:szCs w:val="24"/>
        </w:rPr>
        <w:t xml:space="preserve"> and operational leverage</w:t>
      </w:r>
      <w:r w:rsidR="00F341D2">
        <w:rPr>
          <w:rFonts w:ascii="Arial" w:hAnsi="Arial" w:cs="Arial"/>
          <w:sz w:val="24"/>
          <w:szCs w:val="24"/>
        </w:rPr>
        <w:t>.</w:t>
      </w:r>
    </w:p>
    <w:p w:rsidR="006638FD" w:rsidRPr="006638FD" w:rsidRDefault="006638FD" w:rsidP="001B3B55">
      <w:pPr>
        <w:jc w:val="left"/>
        <w:rPr>
          <w:rFonts w:ascii="Arial" w:hAnsi="Arial" w:cs="Arial"/>
          <w:sz w:val="24"/>
          <w:szCs w:val="24"/>
          <w:highlight w:val="magenta"/>
        </w:rPr>
      </w:pPr>
    </w:p>
    <w:p w:rsidR="007A6143" w:rsidRDefault="001B3B55" w:rsidP="00F26F9C">
      <w:pPr>
        <w:jc w:val="left"/>
        <w:rPr>
          <w:rFonts w:ascii="Arial" w:hAnsi="Arial" w:cs="Arial"/>
          <w:sz w:val="24"/>
          <w:szCs w:val="24"/>
        </w:rPr>
      </w:pPr>
      <w:r w:rsidRPr="006638FD">
        <w:rPr>
          <w:rFonts w:ascii="Arial" w:hAnsi="Arial" w:cs="Arial"/>
          <w:b/>
          <w:bCs/>
          <w:sz w:val="24"/>
          <w:szCs w:val="24"/>
        </w:rPr>
        <w:t xml:space="preserve">B&amp;Q UK </w:t>
      </w:r>
      <w:r w:rsidRPr="00F26F9C">
        <w:rPr>
          <w:rFonts w:ascii="Arial" w:hAnsi="Arial" w:cs="Arial"/>
          <w:b/>
          <w:bCs/>
          <w:sz w:val="24"/>
          <w:szCs w:val="24"/>
        </w:rPr>
        <w:t>&amp; Ireland’s</w:t>
      </w:r>
      <w:r w:rsidRPr="00F26F9C">
        <w:rPr>
          <w:rFonts w:ascii="Arial" w:hAnsi="Arial" w:cs="Arial"/>
          <w:sz w:val="24"/>
          <w:szCs w:val="24"/>
        </w:rPr>
        <w:t xml:space="preserve"> total sales were d</w:t>
      </w:r>
      <w:r w:rsidR="00221059" w:rsidRPr="00F26F9C">
        <w:rPr>
          <w:rFonts w:ascii="Arial" w:hAnsi="Arial" w:cs="Arial"/>
          <w:sz w:val="24"/>
          <w:szCs w:val="24"/>
        </w:rPr>
        <w:t>own 1.8</w:t>
      </w:r>
      <w:r w:rsidRPr="00F26F9C">
        <w:rPr>
          <w:rFonts w:ascii="Arial" w:hAnsi="Arial" w:cs="Arial"/>
          <w:sz w:val="24"/>
          <w:szCs w:val="24"/>
        </w:rPr>
        <w:t>% (-</w:t>
      </w:r>
      <w:r w:rsidR="006638FD" w:rsidRPr="00F26F9C">
        <w:rPr>
          <w:rFonts w:ascii="Arial" w:hAnsi="Arial" w:cs="Arial"/>
          <w:sz w:val="24"/>
          <w:szCs w:val="24"/>
        </w:rPr>
        <w:t>1.7</w:t>
      </w:r>
      <w:r w:rsidRPr="00F26F9C">
        <w:rPr>
          <w:rFonts w:ascii="Arial" w:hAnsi="Arial" w:cs="Arial"/>
          <w:sz w:val="24"/>
          <w:szCs w:val="24"/>
        </w:rPr>
        <w:t xml:space="preserve">% LFL) to </w:t>
      </w:r>
      <w:r w:rsidR="00924CD7">
        <w:rPr>
          <w:rFonts w:ascii="Arial" w:hAnsi="Arial" w:cs="Arial"/>
          <w:sz w:val="24"/>
          <w:szCs w:val="24"/>
        </w:rPr>
        <w:t xml:space="preserve">£1,957 million. </w:t>
      </w:r>
      <w:r w:rsidR="007A6143">
        <w:rPr>
          <w:rFonts w:ascii="Arial" w:hAnsi="Arial" w:cs="Arial"/>
          <w:sz w:val="24"/>
          <w:szCs w:val="24"/>
        </w:rPr>
        <w:t>Sales of outdoor seasonal products were up around 6%, after a difficult H1 last year, impacted by record adverse weather. In line with weather patterns across H1 this year, sales of outdoor seasonal products were down 1</w:t>
      </w:r>
      <w:r w:rsidR="00FC6503">
        <w:rPr>
          <w:rFonts w:ascii="Arial" w:hAnsi="Arial" w:cs="Arial"/>
          <w:sz w:val="24"/>
          <w:szCs w:val="24"/>
        </w:rPr>
        <w:t>1</w:t>
      </w:r>
      <w:r w:rsidR="007A6143">
        <w:rPr>
          <w:rFonts w:ascii="Arial" w:hAnsi="Arial" w:cs="Arial"/>
          <w:sz w:val="24"/>
          <w:szCs w:val="24"/>
        </w:rPr>
        <w:t xml:space="preserve">% in Q1 and up </w:t>
      </w:r>
      <w:r w:rsidR="00FC6503">
        <w:rPr>
          <w:rFonts w:ascii="Arial" w:hAnsi="Arial" w:cs="Arial"/>
          <w:sz w:val="24"/>
          <w:szCs w:val="24"/>
        </w:rPr>
        <w:t>17</w:t>
      </w:r>
      <w:r w:rsidR="007A6143">
        <w:rPr>
          <w:rFonts w:ascii="Arial" w:hAnsi="Arial" w:cs="Arial"/>
          <w:sz w:val="24"/>
          <w:szCs w:val="24"/>
        </w:rPr>
        <w:t xml:space="preserve">% in Q2. </w:t>
      </w:r>
      <w:r w:rsidR="00DD6C46">
        <w:rPr>
          <w:rFonts w:ascii="Arial" w:hAnsi="Arial" w:cs="Arial"/>
          <w:sz w:val="24"/>
          <w:szCs w:val="24"/>
        </w:rPr>
        <w:t>Sales of indoor</w:t>
      </w:r>
      <w:r w:rsidR="007A6143">
        <w:rPr>
          <w:rFonts w:ascii="Arial" w:hAnsi="Arial" w:cs="Arial"/>
          <w:sz w:val="24"/>
          <w:szCs w:val="24"/>
        </w:rPr>
        <w:t xml:space="preserve"> pro</w:t>
      </w:r>
      <w:r w:rsidR="00DD6C46">
        <w:rPr>
          <w:rFonts w:ascii="Arial" w:hAnsi="Arial" w:cs="Arial"/>
          <w:sz w:val="24"/>
          <w:szCs w:val="24"/>
        </w:rPr>
        <w:t xml:space="preserve">duct were down around 3% across H1. </w:t>
      </w:r>
    </w:p>
    <w:p w:rsidR="00F26F9C" w:rsidRPr="00E4603F" w:rsidRDefault="00F26F9C" w:rsidP="00F26F9C">
      <w:pPr>
        <w:jc w:val="left"/>
        <w:rPr>
          <w:rFonts w:ascii="Arial" w:hAnsi="Arial" w:cs="Arial"/>
          <w:sz w:val="24"/>
          <w:szCs w:val="24"/>
        </w:rPr>
      </w:pPr>
    </w:p>
    <w:p w:rsidR="00EA6ACB" w:rsidRDefault="00EA6ACB" w:rsidP="00EA6ACB">
      <w:pPr>
        <w:jc w:val="left"/>
        <w:rPr>
          <w:rFonts w:ascii="Arial" w:hAnsi="Arial" w:cs="Arial"/>
          <w:sz w:val="24"/>
          <w:szCs w:val="24"/>
        </w:rPr>
      </w:pPr>
      <w:r>
        <w:rPr>
          <w:rFonts w:ascii="Arial" w:hAnsi="Arial" w:cs="Arial"/>
          <w:sz w:val="24"/>
          <w:szCs w:val="24"/>
        </w:rPr>
        <w:t xml:space="preserve">The market </w:t>
      </w:r>
      <w:r w:rsidRPr="002844D0">
        <w:rPr>
          <w:rFonts w:ascii="Arial" w:hAnsi="Arial" w:cs="Arial"/>
          <w:i/>
          <w:sz w:val="24"/>
          <w:szCs w:val="24"/>
          <w:vertAlign w:val="superscript"/>
        </w:rPr>
        <w:t>(1)</w:t>
      </w:r>
      <w:r>
        <w:rPr>
          <w:rFonts w:ascii="Arial" w:hAnsi="Arial" w:cs="Arial"/>
          <w:sz w:val="24"/>
          <w:szCs w:val="24"/>
        </w:rPr>
        <w:t xml:space="preserve"> for the UK’s leading hom</w:t>
      </w:r>
      <w:r w:rsidR="00DD6C46">
        <w:rPr>
          <w:rFonts w:ascii="Arial" w:hAnsi="Arial" w:cs="Arial"/>
          <w:sz w:val="24"/>
          <w:szCs w:val="24"/>
        </w:rPr>
        <w:t>e improvement retailers was up around 2</w:t>
      </w:r>
      <w:r>
        <w:rPr>
          <w:rFonts w:ascii="Arial" w:hAnsi="Arial" w:cs="Arial"/>
          <w:sz w:val="24"/>
          <w:szCs w:val="24"/>
        </w:rPr>
        <w:t xml:space="preserve">% with seasonal </w:t>
      </w:r>
      <w:r w:rsidRPr="00FA5AC4">
        <w:rPr>
          <w:rFonts w:ascii="Arial" w:hAnsi="Arial" w:cs="Arial"/>
          <w:sz w:val="24"/>
          <w:szCs w:val="24"/>
        </w:rPr>
        <w:t xml:space="preserve">ranges up </w:t>
      </w:r>
      <w:r w:rsidR="00DD6C46" w:rsidRPr="00FA5AC4">
        <w:rPr>
          <w:rFonts w:ascii="Arial" w:hAnsi="Arial" w:cs="Arial"/>
          <w:sz w:val="24"/>
          <w:szCs w:val="24"/>
        </w:rPr>
        <w:t>9</w:t>
      </w:r>
      <w:r w:rsidRPr="00FA5AC4">
        <w:rPr>
          <w:rFonts w:ascii="Arial" w:hAnsi="Arial" w:cs="Arial"/>
          <w:sz w:val="24"/>
          <w:szCs w:val="24"/>
        </w:rPr>
        <w:t>%.</w:t>
      </w:r>
      <w:r w:rsidR="008E66AD">
        <w:rPr>
          <w:rFonts w:ascii="Arial" w:hAnsi="Arial" w:cs="Arial"/>
          <w:sz w:val="24"/>
          <w:szCs w:val="24"/>
        </w:rPr>
        <w:t xml:space="preserve"> </w:t>
      </w:r>
      <w:r w:rsidRPr="00075D7B">
        <w:rPr>
          <w:rFonts w:ascii="Arial" w:hAnsi="Arial" w:cs="Arial"/>
          <w:sz w:val="24"/>
          <w:szCs w:val="24"/>
        </w:rPr>
        <w:t>On a comparable basis, B&amp;Q</w:t>
      </w:r>
      <w:r w:rsidR="00DE33BB">
        <w:rPr>
          <w:rFonts w:ascii="Arial" w:hAnsi="Arial" w:cs="Arial"/>
          <w:sz w:val="24"/>
          <w:szCs w:val="24"/>
        </w:rPr>
        <w:t xml:space="preserve"> UK &amp; Ireland’s</w:t>
      </w:r>
      <w:r w:rsidRPr="00075D7B">
        <w:rPr>
          <w:rFonts w:ascii="Arial" w:hAnsi="Arial" w:cs="Arial"/>
          <w:sz w:val="24"/>
          <w:szCs w:val="24"/>
        </w:rPr>
        <w:t xml:space="preserve"> sales </w:t>
      </w:r>
      <w:r w:rsidR="008E66AD" w:rsidRPr="0037199C">
        <w:rPr>
          <w:rFonts w:ascii="Arial" w:hAnsi="Arial" w:cs="Arial"/>
          <w:sz w:val="24"/>
          <w:szCs w:val="24"/>
        </w:rPr>
        <w:t xml:space="preserve">were </w:t>
      </w:r>
      <w:r w:rsidR="00D96DEB">
        <w:rPr>
          <w:rFonts w:ascii="Arial" w:hAnsi="Arial" w:cs="Arial"/>
          <w:sz w:val="24"/>
          <w:szCs w:val="24"/>
        </w:rPr>
        <w:t>down around</w:t>
      </w:r>
      <w:r w:rsidR="00DD6C46" w:rsidRPr="0037199C">
        <w:rPr>
          <w:rFonts w:ascii="Arial" w:hAnsi="Arial" w:cs="Arial"/>
          <w:sz w:val="24"/>
          <w:szCs w:val="24"/>
        </w:rPr>
        <w:t xml:space="preserve"> 1%.</w:t>
      </w:r>
      <w:r>
        <w:rPr>
          <w:rFonts w:ascii="Arial" w:hAnsi="Arial" w:cs="Arial"/>
          <w:sz w:val="24"/>
          <w:szCs w:val="24"/>
        </w:rPr>
        <w:t xml:space="preserve">  </w:t>
      </w:r>
    </w:p>
    <w:p w:rsidR="00D04035" w:rsidRDefault="00D04035" w:rsidP="00EA6ACB">
      <w:pPr>
        <w:jc w:val="left"/>
        <w:rPr>
          <w:rFonts w:ascii="Arial" w:hAnsi="Arial" w:cs="Arial"/>
          <w:sz w:val="24"/>
          <w:szCs w:val="24"/>
        </w:rPr>
      </w:pPr>
    </w:p>
    <w:p w:rsidR="00D04035" w:rsidRDefault="00D04035" w:rsidP="00EC6ABE">
      <w:pPr>
        <w:jc w:val="left"/>
        <w:rPr>
          <w:rFonts w:ascii="Arial" w:hAnsi="Arial" w:cs="Arial"/>
          <w:sz w:val="24"/>
          <w:szCs w:val="24"/>
        </w:rPr>
      </w:pPr>
      <w:r>
        <w:rPr>
          <w:rFonts w:ascii="Arial" w:hAnsi="Arial" w:cs="Arial"/>
          <w:sz w:val="24"/>
          <w:szCs w:val="24"/>
        </w:rPr>
        <w:t xml:space="preserve">TradePoint continues to progress well with sales to TradePoint customers up around </w:t>
      </w:r>
      <w:r w:rsidR="002E522F">
        <w:rPr>
          <w:rFonts w:ascii="Arial" w:hAnsi="Arial" w:cs="Arial"/>
          <w:sz w:val="24"/>
          <w:szCs w:val="24"/>
        </w:rPr>
        <w:t>7</w:t>
      </w:r>
      <w:r>
        <w:rPr>
          <w:rFonts w:ascii="Arial" w:hAnsi="Arial" w:cs="Arial"/>
          <w:sz w:val="24"/>
          <w:szCs w:val="24"/>
        </w:rPr>
        <w:t xml:space="preserve">% compared to H1 last year. Over </w:t>
      </w:r>
      <w:r w:rsidR="002E522F">
        <w:rPr>
          <w:rFonts w:ascii="Arial" w:hAnsi="Arial" w:cs="Arial"/>
          <w:sz w:val="24"/>
          <w:szCs w:val="24"/>
        </w:rPr>
        <w:t>1.3</w:t>
      </w:r>
      <w:r>
        <w:rPr>
          <w:rFonts w:ascii="Arial" w:hAnsi="Arial" w:cs="Arial"/>
          <w:sz w:val="24"/>
          <w:szCs w:val="24"/>
        </w:rPr>
        <w:t xml:space="preserve"> million  have now registered as TradePoint customers</w:t>
      </w:r>
      <w:r w:rsidR="002E522F">
        <w:rPr>
          <w:rFonts w:ascii="Arial" w:hAnsi="Arial" w:cs="Arial"/>
          <w:sz w:val="24"/>
          <w:szCs w:val="24"/>
        </w:rPr>
        <w:t xml:space="preserve">. </w:t>
      </w:r>
    </w:p>
    <w:p w:rsidR="000C158D" w:rsidRDefault="000C158D" w:rsidP="00EA6ACB">
      <w:pPr>
        <w:jc w:val="left"/>
        <w:rPr>
          <w:rFonts w:ascii="Arial" w:hAnsi="Arial" w:cs="Arial"/>
          <w:sz w:val="24"/>
          <w:szCs w:val="24"/>
        </w:rPr>
      </w:pPr>
    </w:p>
    <w:p w:rsidR="000C158D" w:rsidRDefault="000C158D" w:rsidP="00EA6ACB">
      <w:pPr>
        <w:jc w:val="left"/>
        <w:rPr>
          <w:rFonts w:ascii="Arial" w:hAnsi="Arial" w:cs="Arial"/>
          <w:sz w:val="24"/>
          <w:szCs w:val="24"/>
        </w:rPr>
      </w:pPr>
      <w:r>
        <w:rPr>
          <w:rFonts w:ascii="Arial" w:hAnsi="Arial" w:cs="Arial"/>
          <w:sz w:val="24"/>
          <w:szCs w:val="24"/>
        </w:rPr>
        <w:t xml:space="preserve">In Ireland, following the conclusion of the Examinership process in May 2013, one store has now closed and significant rent reductions </w:t>
      </w:r>
      <w:r w:rsidR="005E2851">
        <w:rPr>
          <w:rFonts w:ascii="Arial" w:hAnsi="Arial" w:cs="Arial"/>
          <w:sz w:val="24"/>
          <w:szCs w:val="24"/>
        </w:rPr>
        <w:t xml:space="preserve">have been </w:t>
      </w:r>
      <w:r>
        <w:rPr>
          <w:rFonts w:ascii="Arial" w:hAnsi="Arial" w:cs="Arial"/>
          <w:sz w:val="24"/>
          <w:szCs w:val="24"/>
        </w:rPr>
        <w:t>achieved across the remaining stores. The stores are showing signs of improved trading</w:t>
      </w:r>
      <w:r w:rsidR="005B36CE">
        <w:rPr>
          <w:rFonts w:ascii="Arial" w:hAnsi="Arial" w:cs="Arial"/>
          <w:sz w:val="24"/>
          <w:szCs w:val="24"/>
        </w:rPr>
        <w:t>.</w:t>
      </w:r>
      <w:r>
        <w:rPr>
          <w:rFonts w:ascii="Arial" w:hAnsi="Arial" w:cs="Arial"/>
          <w:sz w:val="24"/>
          <w:szCs w:val="24"/>
        </w:rPr>
        <w:t xml:space="preserve"> </w:t>
      </w:r>
    </w:p>
    <w:p w:rsidR="009528BD" w:rsidRPr="009528BD" w:rsidRDefault="009528BD" w:rsidP="001B3B55">
      <w:pPr>
        <w:jc w:val="left"/>
        <w:rPr>
          <w:rFonts w:ascii="Arial" w:hAnsi="Arial" w:cs="Arial"/>
          <w:sz w:val="24"/>
          <w:szCs w:val="24"/>
          <w:highlight w:val="magenta"/>
        </w:rPr>
      </w:pPr>
    </w:p>
    <w:p w:rsidR="009528BD" w:rsidRPr="009528BD" w:rsidRDefault="001B3B55" w:rsidP="001B3B55">
      <w:pPr>
        <w:jc w:val="left"/>
        <w:rPr>
          <w:rFonts w:ascii="Arial" w:hAnsi="Arial" w:cs="Arial"/>
          <w:sz w:val="24"/>
          <w:szCs w:val="24"/>
        </w:rPr>
      </w:pPr>
      <w:r w:rsidRPr="00F26F9C">
        <w:rPr>
          <w:rFonts w:ascii="Arial" w:hAnsi="Arial" w:cs="Arial"/>
          <w:b/>
          <w:bCs/>
          <w:sz w:val="24"/>
          <w:szCs w:val="24"/>
        </w:rPr>
        <w:t>Screwfix</w:t>
      </w:r>
      <w:r w:rsidRPr="00F26F9C">
        <w:rPr>
          <w:rFonts w:ascii="Arial" w:hAnsi="Arial" w:cs="Arial"/>
          <w:sz w:val="24"/>
          <w:szCs w:val="24"/>
        </w:rPr>
        <w:t xml:space="preserve"> grew total sales by </w:t>
      </w:r>
      <w:r w:rsidR="009528BD" w:rsidRPr="00F26F9C">
        <w:rPr>
          <w:rFonts w:ascii="Arial" w:hAnsi="Arial" w:cs="Arial"/>
          <w:sz w:val="24"/>
          <w:szCs w:val="24"/>
        </w:rPr>
        <w:t xml:space="preserve">14.6% </w:t>
      </w:r>
      <w:r w:rsidR="00F26F9C" w:rsidRPr="00F26F9C">
        <w:rPr>
          <w:rFonts w:ascii="Arial" w:hAnsi="Arial" w:cs="Arial"/>
          <w:sz w:val="24"/>
          <w:szCs w:val="24"/>
        </w:rPr>
        <w:t xml:space="preserve">(+3.6% LFL) </w:t>
      </w:r>
      <w:r w:rsidR="009528BD" w:rsidRPr="00F26F9C">
        <w:rPr>
          <w:rFonts w:ascii="Arial" w:hAnsi="Arial" w:cs="Arial"/>
          <w:sz w:val="24"/>
          <w:szCs w:val="24"/>
        </w:rPr>
        <w:t>to £313</w:t>
      </w:r>
      <w:r w:rsidRPr="00F26F9C">
        <w:rPr>
          <w:rFonts w:ascii="Arial" w:hAnsi="Arial" w:cs="Arial"/>
          <w:sz w:val="24"/>
          <w:szCs w:val="24"/>
        </w:rPr>
        <w:t xml:space="preserve"> million</w:t>
      </w:r>
      <w:r w:rsidR="0027049A">
        <w:rPr>
          <w:rFonts w:ascii="Arial" w:hAnsi="Arial" w:cs="Arial"/>
          <w:sz w:val="24"/>
          <w:szCs w:val="24"/>
        </w:rPr>
        <w:t xml:space="preserve">, in a challenging smaller tradesman market </w:t>
      </w:r>
      <w:r w:rsidR="005B35BD" w:rsidRPr="00FA5AC4">
        <w:rPr>
          <w:rFonts w:ascii="Arial" w:hAnsi="Arial" w:cs="Arial"/>
          <w:i/>
          <w:sz w:val="24"/>
          <w:szCs w:val="24"/>
          <w:vertAlign w:val="superscript"/>
        </w:rPr>
        <w:t>(</w:t>
      </w:r>
      <w:r w:rsidR="005B35BD">
        <w:rPr>
          <w:rFonts w:ascii="Arial" w:hAnsi="Arial" w:cs="Arial"/>
          <w:i/>
          <w:sz w:val="24"/>
          <w:szCs w:val="24"/>
          <w:vertAlign w:val="superscript"/>
        </w:rPr>
        <w:t>2</w:t>
      </w:r>
      <w:r w:rsidR="0027049A" w:rsidRPr="00FA5AC4">
        <w:rPr>
          <w:rFonts w:ascii="Arial" w:hAnsi="Arial" w:cs="Arial"/>
          <w:i/>
          <w:sz w:val="24"/>
          <w:szCs w:val="24"/>
          <w:vertAlign w:val="superscript"/>
        </w:rPr>
        <w:t>)</w:t>
      </w:r>
      <w:r w:rsidR="0027049A">
        <w:rPr>
          <w:rFonts w:ascii="Arial" w:hAnsi="Arial" w:cs="Arial"/>
          <w:sz w:val="24"/>
          <w:szCs w:val="24"/>
        </w:rPr>
        <w:t xml:space="preserve">, estimated to be down around 1%. Screwfix </w:t>
      </w:r>
      <w:r w:rsidR="005D7C68">
        <w:rPr>
          <w:rFonts w:ascii="Arial" w:hAnsi="Arial" w:cs="Arial"/>
          <w:sz w:val="24"/>
          <w:szCs w:val="24"/>
        </w:rPr>
        <w:t xml:space="preserve">benefited from </w:t>
      </w:r>
      <w:r w:rsidR="0027049A">
        <w:rPr>
          <w:rFonts w:ascii="Arial" w:hAnsi="Arial" w:cs="Arial"/>
          <w:sz w:val="24"/>
          <w:szCs w:val="24"/>
        </w:rPr>
        <w:t>extended opening hours, new ranges (e.g.</w:t>
      </w:r>
      <w:r w:rsidR="00A25C21">
        <w:rPr>
          <w:rFonts w:ascii="Arial" w:hAnsi="Arial" w:cs="Arial"/>
          <w:sz w:val="24"/>
          <w:szCs w:val="24"/>
        </w:rPr>
        <w:t xml:space="preserve"> paint and work wear</w:t>
      </w:r>
      <w:r w:rsidR="0027049A">
        <w:rPr>
          <w:rFonts w:ascii="Arial" w:hAnsi="Arial" w:cs="Arial"/>
          <w:sz w:val="24"/>
          <w:szCs w:val="24"/>
        </w:rPr>
        <w:t xml:space="preserve">), the continued roll out of new outlets and the successful introduction of a mobile ‘click, pay &amp; collect’ offer last year. Nineteen outlets were opened during H1, taking the total to 294. </w:t>
      </w:r>
    </w:p>
    <w:p w:rsidR="00F26F9C" w:rsidRPr="00C21DBE" w:rsidRDefault="005B35BD" w:rsidP="001B3B55">
      <w:pPr>
        <w:jc w:val="left"/>
        <w:rPr>
          <w:rFonts w:ascii="Arial" w:hAnsi="Arial" w:cs="Arial"/>
          <w:b/>
          <w:bCs/>
          <w:sz w:val="18"/>
          <w:szCs w:val="18"/>
        </w:rPr>
      </w:pPr>
      <w:r w:rsidRPr="00C21DBE">
        <w:rPr>
          <w:rFonts w:ascii="Arial" w:hAnsi="Arial" w:cs="Arial"/>
          <w:i/>
          <w:sz w:val="18"/>
          <w:szCs w:val="18"/>
          <w:vertAlign w:val="superscript"/>
        </w:rPr>
        <w:t>(1)</w:t>
      </w:r>
      <w:r w:rsidRPr="005E2851">
        <w:rPr>
          <w:rFonts w:ascii="Arial" w:hAnsi="Arial" w:cs="Arial"/>
          <w:i/>
          <w:sz w:val="18"/>
          <w:szCs w:val="18"/>
        </w:rPr>
        <w:t>Kingfisher estimate for the UK RMI (Repairs, Maintenance &amp; Improvement) market – incorporates GfK data, which includes new space but which excludes B&amp;Q Ireland and private retailers e.g. IKEA, Topps Tiles and other smaller independents. It is on a cash sales basis and is adjusted for discounts</w:t>
      </w:r>
    </w:p>
    <w:p w:rsidR="00D04035" w:rsidRPr="00C21DBE" w:rsidRDefault="005A0FD3" w:rsidP="000F31CD">
      <w:pPr>
        <w:rPr>
          <w:rFonts w:ascii="Arial" w:hAnsi="Arial" w:cs="Arial"/>
          <w:sz w:val="18"/>
          <w:szCs w:val="18"/>
        </w:rPr>
      </w:pPr>
      <w:r w:rsidRPr="00C21DBE">
        <w:rPr>
          <w:rFonts w:ascii="Arial" w:hAnsi="Arial" w:cs="Arial"/>
          <w:i/>
          <w:iCs/>
          <w:sz w:val="18"/>
          <w:szCs w:val="18"/>
          <w:vertAlign w:val="superscript"/>
        </w:rPr>
        <w:t>(2)</w:t>
      </w:r>
      <w:r w:rsidRPr="005E2851">
        <w:rPr>
          <w:rFonts w:ascii="Arial" w:hAnsi="Arial" w:cs="Arial"/>
          <w:i/>
          <w:iCs/>
          <w:sz w:val="18"/>
          <w:szCs w:val="18"/>
        </w:rPr>
        <w:t xml:space="preserve">Kingfisher estimates - </w:t>
      </w:r>
      <w:r w:rsidR="0078037B">
        <w:rPr>
          <w:rFonts w:ascii="Arial" w:hAnsi="Arial" w:cs="Arial"/>
          <w:i/>
          <w:iCs/>
          <w:sz w:val="18"/>
          <w:szCs w:val="18"/>
        </w:rPr>
        <w:t>based on Builders’ Merchants Federation lightside data April-June 2013</w:t>
      </w:r>
    </w:p>
    <w:p w:rsidR="008A446F" w:rsidRDefault="008A446F" w:rsidP="00F35102">
      <w:pPr>
        <w:rPr>
          <w:rFonts w:ascii="Arial" w:hAnsi="Arial" w:cs="Arial"/>
          <w:b/>
          <w:bCs/>
          <w:sz w:val="24"/>
          <w:szCs w:val="24"/>
        </w:rPr>
      </w:pPr>
    </w:p>
    <w:p w:rsidR="001B3B55" w:rsidRPr="009528BD" w:rsidRDefault="001B3B55" w:rsidP="001B3B55">
      <w:pPr>
        <w:jc w:val="left"/>
        <w:rPr>
          <w:rFonts w:ascii="Arial" w:hAnsi="Arial" w:cs="Arial"/>
          <w:b/>
          <w:bCs/>
          <w:sz w:val="24"/>
          <w:szCs w:val="24"/>
          <w:highlight w:val="magenta"/>
        </w:rPr>
      </w:pPr>
      <w:r w:rsidRPr="009528BD">
        <w:rPr>
          <w:rFonts w:ascii="Arial" w:hAnsi="Arial" w:cs="Arial"/>
          <w:b/>
          <w:bCs/>
          <w:sz w:val="24"/>
          <w:szCs w:val="24"/>
        </w:rPr>
        <w:t>OTHER INTERNATIONAL</w:t>
      </w:r>
    </w:p>
    <w:p w:rsidR="001B3B55" w:rsidRPr="00620EAB" w:rsidRDefault="001B3B55" w:rsidP="001B3B55">
      <w:pPr>
        <w:rPr>
          <w:rFonts w:ascii="Arial" w:hAnsi="Arial" w:cs="Arial"/>
          <w:b/>
          <w:bCs/>
          <w:sz w:val="24"/>
          <w:szCs w:val="24"/>
          <w:highlight w:val="magenta"/>
        </w:rPr>
      </w:pPr>
    </w:p>
    <w:tbl>
      <w:tblPr>
        <w:tblW w:w="4839" w:type="pct"/>
        <w:tblInd w:w="-1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39"/>
        <w:gridCol w:w="1259"/>
        <w:gridCol w:w="1441"/>
        <w:gridCol w:w="1622"/>
        <w:gridCol w:w="1620"/>
        <w:gridCol w:w="1259"/>
      </w:tblGrid>
      <w:tr w:rsidR="001B3B55" w:rsidRPr="00620EAB" w:rsidTr="001B3B55">
        <w:trPr>
          <w:trHeight w:val="134"/>
        </w:trPr>
        <w:tc>
          <w:tcPr>
            <w:tcW w:w="1226" w:type="pct"/>
            <w:tcBorders>
              <w:top w:val="single" w:sz="4" w:space="0" w:color="auto"/>
            </w:tcBorders>
          </w:tcPr>
          <w:p w:rsidR="001B3B55" w:rsidRPr="00620EAB" w:rsidRDefault="001B3B55" w:rsidP="001B3B55">
            <w:pPr>
              <w:rPr>
                <w:rFonts w:ascii="Arial" w:hAnsi="Arial" w:cs="Arial"/>
                <w:b/>
                <w:bCs/>
                <w:sz w:val="24"/>
                <w:szCs w:val="24"/>
              </w:rPr>
            </w:pPr>
            <w:r w:rsidRPr="00620EAB">
              <w:rPr>
                <w:rFonts w:ascii="Arial" w:hAnsi="Arial" w:cs="Arial"/>
                <w:b/>
                <w:bCs/>
                <w:sz w:val="24"/>
                <w:szCs w:val="24"/>
              </w:rPr>
              <w:t>Sales £m</w:t>
            </w:r>
          </w:p>
        </w:tc>
        <w:tc>
          <w:tcPr>
            <w:tcW w:w="660" w:type="pct"/>
            <w:tcBorders>
              <w:top w:val="single" w:sz="4" w:space="0" w:color="auto"/>
            </w:tcBorders>
          </w:tcPr>
          <w:p w:rsidR="001B3B55" w:rsidRPr="00620EAB" w:rsidRDefault="00620EAB" w:rsidP="001B3B55">
            <w:pPr>
              <w:jc w:val="right"/>
              <w:rPr>
                <w:rFonts w:ascii="Arial" w:hAnsi="Arial" w:cs="Arial"/>
                <w:b/>
                <w:bCs/>
                <w:sz w:val="24"/>
                <w:szCs w:val="24"/>
              </w:rPr>
            </w:pPr>
            <w:r w:rsidRPr="00620EAB">
              <w:rPr>
                <w:rFonts w:ascii="Arial" w:hAnsi="Arial" w:cs="Arial"/>
                <w:b/>
                <w:bCs/>
                <w:sz w:val="24"/>
                <w:szCs w:val="24"/>
              </w:rPr>
              <w:t>2013/14</w:t>
            </w:r>
          </w:p>
        </w:tc>
        <w:tc>
          <w:tcPr>
            <w:tcW w:w="755" w:type="pct"/>
            <w:tcBorders>
              <w:top w:val="single" w:sz="4" w:space="0" w:color="auto"/>
            </w:tcBorders>
          </w:tcPr>
          <w:p w:rsidR="001B3B55" w:rsidRPr="00620EAB" w:rsidRDefault="00620EAB" w:rsidP="001B3B55">
            <w:pPr>
              <w:jc w:val="right"/>
              <w:rPr>
                <w:rFonts w:ascii="Arial" w:hAnsi="Arial" w:cs="Arial"/>
                <w:b/>
                <w:bCs/>
                <w:sz w:val="24"/>
                <w:szCs w:val="24"/>
              </w:rPr>
            </w:pPr>
            <w:r w:rsidRPr="00620EAB">
              <w:rPr>
                <w:rFonts w:ascii="Arial" w:hAnsi="Arial" w:cs="Arial"/>
                <w:b/>
                <w:bCs/>
                <w:sz w:val="24"/>
                <w:szCs w:val="24"/>
              </w:rPr>
              <w:t>2012/13</w:t>
            </w:r>
          </w:p>
        </w:tc>
        <w:tc>
          <w:tcPr>
            <w:tcW w:w="850" w:type="pct"/>
            <w:tcBorders>
              <w:top w:val="single" w:sz="4" w:space="0" w:color="auto"/>
            </w:tcBorders>
          </w:tcPr>
          <w:p w:rsidR="00160134" w:rsidRDefault="001B3B55" w:rsidP="001B3B55">
            <w:pPr>
              <w:jc w:val="right"/>
              <w:rPr>
                <w:rFonts w:ascii="Arial" w:hAnsi="Arial" w:cs="Arial"/>
                <w:b/>
                <w:bCs/>
                <w:sz w:val="24"/>
                <w:szCs w:val="24"/>
              </w:rPr>
            </w:pPr>
            <w:r w:rsidRPr="00620EAB">
              <w:rPr>
                <w:rFonts w:ascii="Arial" w:hAnsi="Arial" w:cs="Arial"/>
                <w:b/>
                <w:bCs/>
                <w:sz w:val="24"/>
                <w:szCs w:val="24"/>
              </w:rPr>
              <w:t>% Reported</w:t>
            </w:r>
          </w:p>
          <w:p w:rsidR="001B3B55" w:rsidRPr="00620EAB" w:rsidRDefault="001B3B55" w:rsidP="001B3B55">
            <w:pPr>
              <w:jc w:val="right"/>
              <w:rPr>
                <w:rFonts w:ascii="Arial" w:hAnsi="Arial" w:cs="Arial"/>
                <w:b/>
                <w:bCs/>
                <w:sz w:val="24"/>
                <w:szCs w:val="24"/>
              </w:rPr>
            </w:pPr>
            <w:r w:rsidRPr="00620EAB">
              <w:rPr>
                <w:rFonts w:ascii="Arial" w:hAnsi="Arial" w:cs="Arial"/>
                <w:b/>
                <w:bCs/>
                <w:sz w:val="24"/>
                <w:szCs w:val="24"/>
              </w:rPr>
              <w:t xml:space="preserve"> Change</w:t>
            </w:r>
          </w:p>
        </w:tc>
        <w:tc>
          <w:tcPr>
            <w:tcW w:w="849" w:type="pct"/>
            <w:tcBorders>
              <w:top w:val="single" w:sz="4" w:space="0" w:color="auto"/>
            </w:tcBorders>
          </w:tcPr>
          <w:p w:rsidR="00160134" w:rsidRDefault="001B3B55" w:rsidP="001B3B55">
            <w:pPr>
              <w:jc w:val="right"/>
              <w:rPr>
                <w:rFonts w:ascii="Arial" w:hAnsi="Arial" w:cs="Arial"/>
                <w:b/>
                <w:bCs/>
                <w:sz w:val="24"/>
                <w:szCs w:val="24"/>
              </w:rPr>
            </w:pPr>
            <w:r w:rsidRPr="00620EAB">
              <w:rPr>
                <w:rFonts w:ascii="Arial" w:hAnsi="Arial" w:cs="Arial"/>
                <w:b/>
                <w:bCs/>
                <w:sz w:val="24"/>
                <w:szCs w:val="24"/>
              </w:rPr>
              <w:t xml:space="preserve">% </w:t>
            </w:r>
            <w:r w:rsidR="00160134">
              <w:rPr>
                <w:rFonts w:ascii="Arial" w:hAnsi="Arial" w:cs="Arial"/>
                <w:b/>
                <w:bCs/>
                <w:sz w:val="24"/>
                <w:szCs w:val="24"/>
              </w:rPr>
              <w:t>Currency</w:t>
            </w:r>
          </w:p>
          <w:p w:rsidR="00160134" w:rsidRDefault="00160134" w:rsidP="001B3B55">
            <w:pPr>
              <w:jc w:val="right"/>
              <w:rPr>
                <w:rFonts w:ascii="Arial" w:hAnsi="Arial" w:cs="Arial"/>
                <w:b/>
                <w:bCs/>
                <w:sz w:val="24"/>
                <w:szCs w:val="24"/>
              </w:rPr>
            </w:pPr>
            <w:r>
              <w:rPr>
                <w:rFonts w:ascii="Arial" w:hAnsi="Arial" w:cs="Arial"/>
                <w:b/>
                <w:bCs/>
                <w:sz w:val="24"/>
                <w:szCs w:val="24"/>
              </w:rPr>
              <w:t>C</w:t>
            </w:r>
            <w:r w:rsidR="001B3B55" w:rsidRPr="00620EAB">
              <w:rPr>
                <w:rFonts w:ascii="Arial" w:hAnsi="Arial" w:cs="Arial"/>
                <w:b/>
                <w:bCs/>
                <w:sz w:val="24"/>
                <w:szCs w:val="24"/>
              </w:rPr>
              <w:t xml:space="preserve">onstant </w:t>
            </w:r>
          </w:p>
          <w:p w:rsidR="001B3B55" w:rsidRPr="00620EAB" w:rsidRDefault="001B3B55" w:rsidP="001B3B55">
            <w:pPr>
              <w:jc w:val="right"/>
              <w:rPr>
                <w:rFonts w:ascii="Arial" w:hAnsi="Arial" w:cs="Arial"/>
                <w:b/>
                <w:bCs/>
                <w:sz w:val="24"/>
                <w:szCs w:val="24"/>
              </w:rPr>
            </w:pPr>
            <w:r w:rsidRPr="00620EAB">
              <w:rPr>
                <w:rFonts w:ascii="Arial" w:hAnsi="Arial" w:cs="Arial"/>
                <w:b/>
                <w:bCs/>
                <w:sz w:val="24"/>
                <w:szCs w:val="24"/>
              </w:rPr>
              <w:t>Change</w:t>
            </w:r>
          </w:p>
        </w:tc>
        <w:tc>
          <w:tcPr>
            <w:tcW w:w="660" w:type="pct"/>
            <w:tcBorders>
              <w:top w:val="single" w:sz="4" w:space="0" w:color="auto"/>
            </w:tcBorders>
          </w:tcPr>
          <w:p w:rsidR="001B3B55" w:rsidRPr="00620EAB" w:rsidRDefault="001B3B55" w:rsidP="001B3B55">
            <w:pPr>
              <w:jc w:val="right"/>
              <w:rPr>
                <w:rFonts w:ascii="Arial" w:hAnsi="Arial" w:cs="Arial"/>
                <w:b/>
                <w:bCs/>
                <w:sz w:val="24"/>
                <w:szCs w:val="24"/>
              </w:rPr>
            </w:pPr>
            <w:r w:rsidRPr="00620EAB">
              <w:rPr>
                <w:rFonts w:ascii="Arial" w:hAnsi="Arial" w:cs="Arial"/>
                <w:b/>
                <w:bCs/>
                <w:sz w:val="24"/>
                <w:szCs w:val="24"/>
              </w:rPr>
              <w:t>% LFL</w:t>
            </w:r>
          </w:p>
          <w:p w:rsidR="001B3B55" w:rsidRPr="00620EAB" w:rsidRDefault="001B3B55" w:rsidP="001B3B55">
            <w:pPr>
              <w:jc w:val="right"/>
              <w:rPr>
                <w:rFonts w:ascii="Arial" w:hAnsi="Arial" w:cs="Arial"/>
                <w:b/>
                <w:bCs/>
                <w:sz w:val="24"/>
                <w:szCs w:val="24"/>
              </w:rPr>
            </w:pPr>
            <w:r w:rsidRPr="00620EAB">
              <w:rPr>
                <w:rFonts w:ascii="Arial" w:hAnsi="Arial" w:cs="Arial"/>
                <w:b/>
                <w:bCs/>
                <w:sz w:val="24"/>
                <w:szCs w:val="24"/>
              </w:rPr>
              <w:t>Change</w:t>
            </w:r>
          </w:p>
        </w:tc>
      </w:tr>
      <w:tr w:rsidR="001B3B55" w:rsidRPr="00620EAB" w:rsidTr="001B3B55">
        <w:trPr>
          <w:trHeight w:val="134"/>
        </w:trPr>
        <w:tc>
          <w:tcPr>
            <w:tcW w:w="1226" w:type="pct"/>
            <w:tcBorders>
              <w:bottom w:val="single" w:sz="4" w:space="0" w:color="auto"/>
            </w:tcBorders>
          </w:tcPr>
          <w:p w:rsidR="001B3B55" w:rsidRPr="00620EAB" w:rsidRDefault="001B3B55" w:rsidP="001B3B55">
            <w:pPr>
              <w:rPr>
                <w:rFonts w:ascii="Arial" w:hAnsi="Arial" w:cs="Arial"/>
                <w:sz w:val="24"/>
                <w:szCs w:val="24"/>
              </w:rPr>
            </w:pPr>
            <w:r w:rsidRPr="00620EAB">
              <w:rPr>
                <w:rFonts w:ascii="Arial" w:hAnsi="Arial" w:cs="Arial"/>
                <w:sz w:val="24"/>
                <w:szCs w:val="24"/>
              </w:rPr>
              <w:t>Other International</w:t>
            </w:r>
          </w:p>
        </w:tc>
        <w:tc>
          <w:tcPr>
            <w:tcW w:w="660" w:type="pct"/>
            <w:tcBorders>
              <w:bottom w:val="single" w:sz="4" w:space="0" w:color="auto"/>
            </w:tcBorders>
          </w:tcPr>
          <w:p w:rsidR="001B3B55" w:rsidRPr="00620EAB" w:rsidRDefault="00620EAB" w:rsidP="001B3B55">
            <w:pPr>
              <w:jc w:val="right"/>
              <w:rPr>
                <w:rFonts w:ascii="Arial" w:hAnsi="Arial" w:cs="Arial"/>
                <w:sz w:val="24"/>
                <w:szCs w:val="24"/>
              </w:rPr>
            </w:pPr>
            <w:r w:rsidRPr="00620EAB">
              <w:rPr>
                <w:rFonts w:ascii="Arial" w:hAnsi="Arial" w:cs="Arial"/>
                <w:sz w:val="24"/>
                <w:szCs w:val="24"/>
              </w:rPr>
              <w:t>1,140</w:t>
            </w:r>
          </w:p>
        </w:tc>
        <w:tc>
          <w:tcPr>
            <w:tcW w:w="755" w:type="pct"/>
            <w:tcBorders>
              <w:bottom w:val="single" w:sz="4" w:space="0" w:color="auto"/>
            </w:tcBorders>
          </w:tcPr>
          <w:p w:rsidR="00590201" w:rsidRPr="00620EAB" w:rsidRDefault="00620EAB">
            <w:pPr>
              <w:jc w:val="right"/>
              <w:rPr>
                <w:rFonts w:ascii="Arial" w:hAnsi="Arial" w:cs="Arial"/>
                <w:sz w:val="24"/>
                <w:szCs w:val="24"/>
              </w:rPr>
            </w:pPr>
            <w:r w:rsidRPr="00620EAB">
              <w:rPr>
                <w:rFonts w:ascii="Arial" w:hAnsi="Arial" w:cs="Arial"/>
                <w:sz w:val="24"/>
                <w:szCs w:val="24"/>
              </w:rPr>
              <w:t>1,008</w:t>
            </w:r>
          </w:p>
        </w:tc>
        <w:tc>
          <w:tcPr>
            <w:tcW w:w="850" w:type="pct"/>
            <w:tcBorders>
              <w:bottom w:val="single" w:sz="4" w:space="0" w:color="auto"/>
            </w:tcBorders>
          </w:tcPr>
          <w:p w:rsidR="001B3B55" w:rsidRPr="00620EAB" w:rsidRDefault="00E41F64" w:rsidP="001B3B55">
            <w:pPr>
              <w:jc w:val="right"/>
              <w:rPr>
                <w:rFonts w:ascii="Arial" w:hAnsi="Arial" w:cs="Arial"/>
                <w:sz w:val="24"/>
                <w:szCs w:val="24"/>
              </w:rPr>
            </w:pPr>
            <w:r>
              <w:rPr>
                <w:rFonts w:ascii="Arial" w:hAnsi="Arial" w:cs="Arial"/>
                <w:sz w:val="24"/>
                <w:szCs w:val="24"/>
              </w:rPr>
              <w:t>+</w:t>
            </w:r>
            <w:r w:rsidR="00620EAB" w:rsidRPr="00620EAB">
              <w:rPr>
                <w:rFonts w:ascii="Arial" w:hAnsi="Arial" w:cs="Arial"/>
                <w:sz w:val="24"/>
                <w:szCs w:val="24"/>
              </w:rPr>
              <w:t>13.1</w:t>
            </w:r>
            <w:r w:rsidR="001B3B55" w:rsidRPr="00620EAB">
              <w:rPr>
                <w:rFonts w:ascii="Arial" w:hAnsi="Arial" w:cs="Arial"/>
                <w:sz w:val="24"/>
                <w:szCs w:val="24"/>
              </w:rPr>
              <w:t>%</w:t>
            </w:r>
          </w:p>
        </w:tc>
        <w:tc>
          <w:tcPr>
            <w:tcW w:w="849" w:type="pct"/>
            <w:tcBorders>
              <w:bottom w:val="single" w:sz="4" w:space="0" w:color="auto"/>
            </w:tcBorders>
          </w:tcPr>
          <w:p w:rsidR="001B3B55" w:rsidRPr="00620EAB" w:rsidRDefault="00E41F64" w:rsidP="001B3B55">
            <w:pPr>
              <w:jc w:val="right"/>
              <w:rPr>
                <w:rFonts w:ascii="Arial" w:hAnsi="Arial" w:cs="Arial"/>
                <w:sz w:val="24"/>
                <w:szCs w:val="24"/>
              </w:rPr>
            </w:pPr>
            <w:r>
              <w:rPr>
                <w:rFonts w:ascii="Arial" w:hAnsi="Arial" w:cs="Arial"/>
                <w:sz w:val="24"/>
                <w:szCs w:val="24"/>
              </w:rPr>
              <w:t>+</w:t>
            </w:r>
            <w:r w:rsidR="00620EAB" w:rsidRPr="00620EAB">
              <w:rPr>
                <w:rFonts w:ascii="Arial" w:hAnsi="Arial" w:cs="Arial"/>
                <w:sz w:val="24"/>
                <w:szCs w:val="24"/>
              </w:rPr>
              <w:t>8.3</w:t>
            </w:r>
            <w:r w:rsidR="001B3B55" w:rsidRPr="00620EAB">
              <w:rPr>
                <w:rFonts w:ascii="Arial" w:hAnsi="Arial" w:cs="Arial"/>
                <w:sz w:val="24"/>
                <w:szCs w:val="24"/>
              </w:rPr>
              <w:t>%</w:t>
            </w:r>
          </w:p>
        </w:tc>
        <w:tc>
          <w:tcPr>
            <w:tcW w:w="660" w:type="pct"/>
            <w:tcBorders>
              <w:bottom w:val="single" w:sz="4" w:space="0" w:color="auto"/>
            </w:tcBorders>
          </w:tcPr>
          <w:p w:rsidR="001B3B55" w:rsidRPr="00620EAB" w:rsidRDefault="00E41F64" w:rsidP="001B3B55">
            <w:pPr>
              <w:jc w:val="right"/>
              <w:rPr>
                <w:rFonts w:ascii="Arial" w:hAnsi="Arial" w:cs="Arial"/>
                <w:sz w:val="24"/>
                <w:szCs w:val="24"/>
              </w:rPr>
            </w:pPr>
            <w:r>
              <w:rPr>
                <w:rFonts w:ascii="Arial" w:hAnsi="Arial" w:cs="Arial"/>
                <w:sz w:val="24"/>
                <w:szCs w:val="24"/>
              </w:rPr>
              <w:t>+</w:t>
            </w:r>
            <w:r w:rsidR="00620EAB" w:rsidRPr="00620EAB">
              <w:rPr>
                <w:rFonts w:ascii="Arial" w:hAnsi="Arial" w:cs="Arial"/>
                <w:sz w:val="24"/>
                <w:szCs w:val="24"/>
              </w:rPr>
              <w:t>2.9</w:t>
            </w:r>
            <w:r w:rsidR="001B3B55" w:rsidRPr="00620EAB">
              <w:rPr>
                <w:rFonts w:ascii="Arial" w:hAnsi="Arial" w:cs="Arial"/>
                <w:sz w:val="24"/>
                <w:szCs w:val="24"/>
              </w:rPr>
              <w:t>%</w:t>
            </w:r>
          </w:p>
        </w:tc>
      </w:tr>
    </w:tbl>
    <w:p w:rsidR="001B3B55" w:rsidRPr="00620EAB" w:rsidRDefault="001B3B55" w:rsidP="001B3B55">
      <w:pPr>
        <w:rPr>
          <w:rFonts w:ascii="Arial" w:hAnsi="Arial" w:cs="Arial"/>
          <w:sz w:val="24"/>
          <w:szCs w:val="24"/>
          <w:highlight w:val="magenta"/>
        </w:rPr>
      </w:pPr>
    </w:p>
    <w:tbl>
      <w:tblPr>
        <w:tblW w:w="42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4"/>
        <w:gridCol w:w="1221"/>
        <w:gridCol w:w="1480"/>
        <w:gridCol w:w="1591"/>
        <w:gridCol w:w="1644"/>
      </w:tblGrid>
      <w:tr w:rsidR="001B3B55" w:rsidRPr="00620EAB" w:rsidTr="001B3B55">
        <w:trPr>
          <w:trHeight w:val="134"/>
        </w:trPr>
        <w:tc>
          <w:tcPr>
            <w:tcW w:w="1415" w:type="pct"/>
          </w:tcPr>
          <w:p w:rsidR="001B3B55" w:rsidRPr="00620EAB" w:rsidRDefault="001B3B55" w:rsidP="001B3B55">
            <w:pPr>
              <w:rPr>
                <w:rFonts w:ascii="Arial" w:hAnsi="Arial" w:cs="Arial"/>
                <w:b/>
                <w:bCs/>
                <w:sz w:val="24"/>
                <w:szCs w:val="24"/>
              </w:rPr>
            </w:pPr>
            <w:r w:rsidRPr="00620EAB">
              <w:rPr>
                <w:rFonts w:ascii="Arial" w:hAnsi="Arial" w:cs="Arial"/>
                <w:b/>
                <w:bCs/>
                <w:sz w:val="24"/>
                <w:szCs w:val="24"/>
              </w:rPr>
              <w:t>Retail profit £m</w:t>
            </w:r>
          </w:p>
        </w:tc>
        <w:tc>
          <w:tcPr>
            <w:tcW w:w="737" w:type="pct"/>
          </w:tcPr>
          <w:p w:rsidR="001B3B55" w:rsidRPr="00620EAB" w:rsidRDefault="00620EAB" w:rsidP="001B3B55">
            <w:pPr>
              <w:jc w:val="right"/>
              <w:rPr>
                <w:rFonts w:ascii="Arial" w:hAnsi="Arial" w:cs="Arial"/>
                <w:b/>
                <w:bCs/>
                <w:sz w:val="24"/>
                <w:szCs w:val="24"/>
              </w:rPr>
            </w:pPr>
            <w:r w:rsidRPr="00620EAB">
              <w:rPr>
                <w:rFonts w:ascii="Arial" w:hAnsi="Arial" w:cs="Arial"/>
                <w:b/>
                <w:bCs/>
                <w:sz w:val="24"/>
                <w:szCs w:val="24"/>
              </w:rPr>
              <w:t>2013/14</w:t>
            </w:r>
          </w:p>
        </w:tc>
        <w:tc>
          <w:tcPr>
            <w:tcW w:w="894" w:type="pct"/>
          </w:tcPr>
          <w:p w:rsidR="001B3B55" w:rsidRPr="00620EAB" w:rsidRDefault="00620EAB" w:rsidP="001B3B55">
            <w:pPr>
              <w:jc w:val="right"/>
              <w:rPr>
                <w:rFonts w:ascii="Arial" w:hAnsi="Arial" w:cs="Arial"/>
                <w:b/>
                <w:bCs/>
                <w:sz w:val="24"/>
                <w:szCs w:val="24"/>
              </w:rPr>
            </w:pPr>
            <w:r w:rsidRPr="00620EAB">
              <w:rPr>
                <w:rFonts w:ascii="Arial" w:hAnsi="Arial" w:cs="Arial"/>
                <w:b/>
                <w:bCs/>
                <w:sz w:val="24"/>
                <w:szCs w:val="24"/>
              </w:rPr>
              <w:t>2012/13</w:t>
            </w:r>
          </w:p>
        </w:tc>
        <w:tc>
          <w:tcPr>
            <w:tcW w:w="961" w:type="pct"/>
          </w:tcPr>
          <w:p w:rsidR="001B3B55" w:rsidRPr="00620EAB" w:rsidRDefault="001B3B55" w:rsidP="001B3B55">
            <w:pPr>
              <w:jc w:val="right"/>
              <w:rPr>
                <w:rFonts w:ascii="Arial" w:hAnsi="Arial" w:cs="Arial"/>
                <w:b/>
                <w:bCs/>
                <w:sz w:val="24"/>
                <w:szCs w:val="24"/>
              </w:rPr>
            </w:pPr>
            <w:r w:rsidRPr="00620EAB">
              <w:rPr>
                <w:rFonts w:ascii="Arial" w:hAnsi="Arial" w:cs="Arial"/>
                <w:b/>
                <w:bCs/>
                <w:sz w:val="24"/>
                <w:szCs w:val="24"/>
              </w:rPr>
              <w:t>% Reported Change</w:t>
            </w:r>
          </w:p>
        </w:tc>
        <w:tc>
          <w:tcPr>
            <w:tcW w:w="994" w:type="pct"/>
          </w:tcPr>
          <w:p w:rsidR="00160134" w:rsidRDefault="001B3B55" w:rsidP="001B3B55">
            <w:pPr>
              <w:jc w:val="right"/>
              <w:rPr>
                <w:rFonts w:ascii="Arial" w:hAnsi="Arial" w:cs="Arial"/>
                <w:b/>
                <w:bCs/>
                <w:sz w:val="24"/>
                <w:szCs w:val="24"/>
              </w:rPr>
            </w:pPr>
            <w:r w:rsidRPr="00620EAB">
              <w:rPr>
                <w:rFonts w:ascii="Arial" w:hAnsi="Arial" w:cs="Arial"/>
                <w:b/>
                <w:bCs/>
                <w:sz w:val="24"/>
                <w:szCs w:val="24"/>
              </w:rPr>
              <w:t>% Constant</w:t>
            </w:r>
          </w:p>
          <w:p w:rsidR="001B3B55" w:rsidRPr="00620EAB" w:rsidRDefault="00160134" w:rsidP="001B3B55">
            <w:pPr>
              <w:jc w:val="right"/>
              <w:rPr>
                <w:rFonts w:ascii="Arial" w:hAnsi="Arial" w:cs="Arial"/>
                <w:b/>
                <w:bCs/>
                <w:sz w:val="24"/>
                <w:szCs w:val="24"/>
              </w:rPr>
            </w:pPr>
            <w:r>
              <w:rPr>
                <w:rFonts w:ascii="Arial" w:hAnsi="Arial" w:cs="Arial"/>
                <w:b/>
                <w:bCs/>
                <w:sz w:val="24"/>
                <w:szCs w:val="24"/>
              </w:rPr>
              <w:t>Currency</w:t>
            </w:r>
            <w:r w:rsidR="001B3B55" w:rsidRPr="00620EAB">
              <w:rPr>
                <w:rFonts w:ascii="Arial" w:hAnsi="Arial" w:cs="Arial"/>
                <w:b/>
                <w:bCs/>
                <w:sz w:val="24"/>
                <w:szCs w:val="24"/>
              </w:rPr>
              <w:t xml:space="preserve"> Change</w:t>
            </w:r>
          </w:p>
        </w:tc>
      </w:tr>
      <w:tr w:rsidR="001B3B55" w:rsidRPr="00620EAB" w:rsidTr="001B3B55">
        <w:trPr>
          <w:trHeight w:val="134"/>
        </w:trPr>
        <w:tc>
          <w:tcPr>
            <w:tcW w:w="1415" w:type="pct"/>
          </w:tcPr>
          <w:p w:rsidR="001B3B55" w:rsidRPr="00620EAB" w:rsidRDefault="001B3B55" w:rsidP="001B3B55">
            <w:pPr>
              <w:rPr>
                <w:rFonts w:ascii="Arial" w:hAnsi="Arial" w:cs="Arial"/>
                <w:sz w:val="24"/>
                <w:szCs w:val="24"/>
              </w:rPr>
            </w:pPr>
            <w:r w:rsidRPr="00620EAB">
              <w:rPr>
                <w:rFonts w:ascii="Arial" w:hAnsi="Arial" w:cs="Arial"/>
                <w:sz w:val="24"/>
                <w:szCs w:val="24"/>
              </w:rPr>
              <w:t>Other International</w:t>
            </w:r>
          </w:p>
        </w:tc>
        <w:tc>
          <w:tcPr>
            <w:tcW w:w="737" w:type="pct"/>
          </w:tcPr>
          <w:p w:rsidR="001B3B55" w:rsidRPr="00620EAB" w:rsidRDefault="00620EAB" w:rsidP="001B3B55">
            <w:pPr>
              <w:jc w:val="right"/>
              <w:rPr>
                <w:rFonts w:ascii="Arial" w:hAnsi="Arial" w:cs="Arial"/>
                <w:sz w:val="24"/>
                <w:szCs w:val="24"/>
              </w:rPr>
            </w:pPr>
            <w:r w:rsidRPr="00620EAB">
              <w:rPr>
                <w:rFonts w:ascii="Arial" w:hAnsi="Arial" w:cs="Arial"/>
                <w:sz w:val="24"/>
                <w:szCs w:val="24"/>
              </w:rPr>
              <w:t>62</w:t>
            </w:r>
          </w:p>
        </w:tc>
        <w:tc>
          <w:tcPr>
            <w:tcW w:w="894" w:type="pct"/>
          </w:tcPr>
          <w:p w:rsidR="001B3B55" w:rsidRPr="00620EAB" w:rsidRDefault="00620EAB" w:rsidP="001B3B55">
            <w:pPr>
              <w:jc w:val="right"/>
              <w:rPr>
                <w:rFonts w:ascii="Arial" w:hAnsi="Arial" w:cs="Arial"/>
                <w:sz w:val="24"/>
                <w:szCs w:val="24"/>
              </w:rPr>
            </w:pPr>
            <w:r w:rsidRPr="00620EAB">
              <w:rPr>
                <w:rFonts w:ascii="Arial" w:hAnsi="Arial" w:cs="Arial"/>
                <w:sz w:val="24"/>
                <w:szCs w:val="24"/>
              </w:rPr>
              <w:t>67</w:t>
            </w:r>
          </w:p>
        </w:tc>
        <w:tc>
          <w:tcPr>
            <w:tcW w:w="961" w:type="pct"/>
          </w:tcPr>
          <w:p w:rsidR="001B3B55" w:rsidRPr="00620EAB" w:rsidRDefault="00620EAB" w:rsidP="001B3B55">
            <w:pPr>
              <w:jc w:val="right"/>
              <w:rPr>
                <w:rFonts w:ascii="Arial" w:hAnsi="Arial" w:cs="Arial"/>
                <w:sz w:val="24"/>
                <w:szCs w:val="24"/>
              </w:rPr>
            </w:pPr>
            <w:r w:rsidRPr="00620EAB">
              <w:rPr>
                <w:rFonts w:ascii="Arial" w:hAnsi="Arial" w:cs="Arial"/>
                <w:sz w:val="24"/>
                <w:szCs w:val="24"/>
              </w:rPr>
              <w:t>(7.3)</w:t>
            </w:r>
            <w:r w:rsidR="001B3B55" w:rsidRPr="00620EAB">
              <w:rPr>
                <w:rFonts w:ascii="Arial" w:hAnsi="Arial" w:cs="Arial"/>
                <w:sz w:val="24"/>
                <w:szCs w:val="24"/>
              </w:rPr>
              <w:t>%</w:t>
            </w:r>
          </w:p>
        </w:tc>
        <w:tc>
          <w:tcPr>
            <w:tcW w:w="994" w:type="pct"/>
          </w:tcPr>
          <w:p w:rsidR="001B3B55" w:rsidRPr="00620EAB" w:rsidRDefault="00620EAB" w:rsidP="001B3B55">
            <w:pPr>
              <w:jc w:val="right"/>
              <w:rPr>
                <w:rFonts w:ascii="Arial" w:hAnsi="Arial" w:cs="Arial"/>
                <w:sz w:val="24"/>
                <w:szCs w:val="24"/>
              </w:rPr>
            </w:pPr>
            <w:r w:rsidRPr="00620EAB">
              <w:rPr>
                <w:rFonts w:ascii="Arial" w:hAnsi="Arial" w:cs="Arial"/>
                <w:sz w:val="24"/>
                <w:szCs w:val="24"/>
              </w:rPr>
              <w:t>(11.4)</w:t>
            </w:r>
            <w:r w:rsidR="001B3B55" w:rsidRPr="00620EAB">
              <w:rPr>
                <w:rFonts w:ascii="Arial" w:hAnsi="Arial" w:cs="Arial"/>
                <w:sz w:val="24"/>
                <w:szCs w:val="24"/>
              </w:rPr>
              <w:t>%</w:t>
            </w:r>
          </w:p>
        </w:tc>
      </w:tr>
    </w:tbl>
    <w:p w:rsidR="00160134" w:rsidRDefault="00160134" w:rsidP="001B3B55">
      <w:pPr>
        <w:jc w:val="left"/>
        <w:rPr>
          <w:rFonts w:ascii="Arial" w:hAnsi="Arial" w:cs="Arial"/>
          <w:i/>
          <w:iCs/>
          <w:sz w:val="18"/>
          <w:szCs w:val="18"/>
        </w:rPr>
      </w:pPr>
    </w:p>
    <w:p w:rsidR="00620EAB" w:rsidRPr="00620EAB" w:rsidRDefault="00620EAB" w:rsidP="001B3B55">
      <w:pPr>
        <w:jc w:val="left"/>
        <w:rPr>
          <w:rFonts w:ascii="Arial" w:hAnsi="Arial" w:cs="Arial"/>
          <w:i/>
          <w:iCs/>
          <w:sz w:val="18"/>
          <w:szCs w:val="18"/>
        </w:rPr>
      </w:pPr>
      <w:r w:rsidRPr="00620EAB">
        <w:rPr>
          <w:rFonts w:ascii="Arial" w:hAnsi="Arial" w:cs="Arial"/>
          <w:i/>
          <w:iCs/>
          <w:sz w:val="18"/>
          <w:szCs w:val="18"/>
        </w:rPr>
        <w:t xml:space="preserve">Other International comprises Poland, China, </w:t>
      </w:r>
      <w:r w:rsidR="007A21A8">
        <w:rPr>
          <w:rFonts w:ascii="Arial" w:hAnsi="Arial" w:cs="Arial"/>
          <w:i/>
          <w:iCs/>
          <w:sz w:val="18"/>
          <w:szCs w:val="18"/>
        </w:rPr>
        <w:t xml:space="preserve">Romania, </w:t>
      </w:r>
      <w:r w:rsidRPr="00620EAB">
        <w:rPr>
          <w:rFonts w:ascii="Arial" w:hAnsi="Arial" w:cs="Arial"/>
          <w:i/>
          <w:iCs/>
          <w:sz w:val="18"/>
          <w:szCs w:val="18"/>
        </w:rPr>
        <w:t xml:space="preserve">Russia, </w:t>
      </w:r>
      <w:r w:rsidR="007A21A8">
        <w:rPr>
          <w:rFonts w:ascii="Arial" w:hAnsi="Arial" w:cs="Arial"/>
          <w:i/>
          <w:iCs/>
          <w:sz w:val="18"/>
          <w:szCs w:val="18"/>
        </w:rPr>
        <w:t>Spain,</w:t>
      </w:r>
      <w:r w:rsidRPr="00620EAB">
        <w:rPr>
          <w:rFonts w:ascii="Arial" w:hAnsi="Arial" w:cs="Arial"/>
          <w:i/>
          <w:iCs/>
          <w:sz w:val="18"/>
          <w:szCs w:val="18"/>
        </w:rPr>
        <w:t xml:space="preserve"> Turkey JV and Hornbach in Germany. Joint Venture (Koçtaş) and Associate (Hornbach) sales are not consolidated.</w:t>
      </w:r>
    </w:p>
    <w:p w:rsidR="001B3B55" w:rsidRPr="00620EAB" w:rsidRDefault="001B3B55" w:rsidP="001B3B55">
      <w:pPr>
        <w:jc w:val="left"/>
        <w:rPr>
          <w:rFonts w:ascii="Arial" w:hAnsi="Arial" w:cs="Arial"/>
          <w:b/>
          <w:bCs/>
          <w:i/>
          <w:iCs/>
          <w:sz w:val="18"/>
          <w:szCs w:val="18"/>
        </w:rPr>
      </w:pPr>
      <w:r w:rsidRPr="00620EAB">
        <w:rPr>
          <w:rFonts w:ascii="Arial" w:hAnsi="Arial" w:cs="Arial"/>
          <w:b/>
          <w:bCs/>
          <w:i/>
          <w:iCs/>
          <w:sz w:val="18"/>
          <w:szCs w:val="18"/>
        </w:rPr>
        <w:t>All trading commentary below is in constant currencies</w:t>
      </w:r>
    </w:p>
    <w:p w:rsidR="001B3B55" w:rsidRPr="006628D3" w:rsidRDefault="001B3B55" w:rsidP="001B3B55">
      <w:pPr>
        <w:jc w:val="left"/>
        <w:rPr>
          <w:rFonts w:ascii="Arial" w:hAnsi="Arial" w:cs="Arial"/>
          <w:color w:val="FF0000"/>
          <w:sz w:val="24"/>
          <w:szCs w:val="24"/>
          <w:highlight w:val="magenta"/>
        </w:rPr>
      </w:pPr>
    </w:p>
    <w:p w:rsidR="007A21A8" w:rsidRDefault="00F341D2" w:rsidP="00F341D2">
      <w:pPr>
        <w:jc w:val="left"/>
        <w:rPr>
          <w:rFonts w:ascii="Arial" w:hAnsi="Arial" w:cs="Arial"/>
          <w:sz w:val="24"/>
          <w:szCs w:val="24"/>
        </w:rPr>
      </w:pPr>
      <w:r w:rsidRPr="00801C22">
        <w:rPr>
          <w:rFonts w:ascii="Arial" w:hAnsi="Arial" w:cs="Arial"/>
          <w:b/>
          <w:bCs/>
          <w:sz w:val="24"/>
          <w:szCs w:val="24"/>
        </w:rPr>
        <w:t>Other International</w:t>
      </w:r>
      <w:r w:rsidRPr="00801C22">
        <w:rPr>
          <w:rFonts w:ascii="Arial" w:hAnsi="Arial" w:cs="Arial"/>
          <w:sz w:val="24"/>
          <w:szCs w:val="24"/>
        </w:rPr>
        <w:t xml:space="preserve"> total sales increased by 8.3% </w:t>
      </w:r>
      <w:r w:rsidR="00FA13E4">
        <w:rPr>
          <w:rFonts w:ascii="Arial" w:hAnsi="Arial" w:cs="Arial"/>
          <w:sz w:val="24"/>
          <w:szCs w:val="24"/>
        </w:rPr>
        <w:t xml:space="preserve">(+2.9% LFL) </w:t>
      </w:r>
      <w:r w:rsidRPr="00801C22">
        <w:rPr>
          <w:rFonts w:ascii="Arial" w:hAnsi="Arial" w:cs="Arial"/>
          <w:sz w:val="24"/>
          <w:szCs w:val="24"/>
        </w:rPr>
        <w:t>to £</w:t>
      </w:r>
      <w:r w:rsidR="00FA13E4">
        <w:rPr>
          <w:rFonts w:ascii="Arial" w:hAnsi="Arial" w:cs="Arial"/>
          <w:sz w:val="24"/>
          <w:szCs w:val="24"/>
        </w:rPr>
        <w:t>1,140</w:t>
      </w:r>
      <w:r w:rsidRPr="00801C22">
        <w:rPr>
          <w:rFonts w:ascii="Arial" w:hAnsi="Arial" w:cs="Arial"/>
          <w:sz w:val="24"/>
          <w:szCs w:val="24"/>
        </w:rPr>
        <w:t xml:space="preserve"> </w:t>
      </w:r>
      <w:r w:rsidR="00FA13E4">
        <w:rPr>
          <w:rFonts w:ascii="Arial" w:hAnsi="Arial" w:cs="Arial"/>
          <w:sz w:val="24"/>
          <w:szCs w:val="24"/>
        </w:rPr>
        <w:t>m</w:t>
      </w:r>
      <w:r w:rsidRPr="00801C22">
        <w:rPr>
          <w:rFonts w:ascii="Arial" w:hAnsi="Arial" w:cs="Arial"/>
          <w:sz w:val="24"/>
          <w:szCs w:val="24"/>
        </w:rPr>
        <w:t xml:space="preserve">illion </w:t>
      </w:r>
      <w:r>
        <w:rPr>
          <w:rFonts w:ascii="Arial" w:hAnsi="Arial" w:cs="Arial"/>
          <w:sz w:val="24"/>
          <w:szCs w:val="24"/>
        </w:rPr>
        <w:t xml:space="preserve">driven by </w:t>
      </w:r>
      <w:r w:rsidR="007A21A8">
        <w:rPr>
          <w:rFonts w:ascii="Arial" w:hAnsi="Arial" w:cs="Arial"/>
          <w:sz w:val="24"/>
          <w:szCs w:val="24"/>
        </w:rPr>
        <w:t xml:space="preserve">LFL growth in Russia and China and </w:t>
      </w:r>
      <w:r>
        <w:rPr>
          <w:rFonts w:ascii="Arial" w:hAnsi="Arial" w:cs="Arial"/>
          <w:sz w:val="24"/>
          <w:szCs w:val="24"/>
        </w:rPr>
        <w:t>new store openings</w:t>
      </w:r>
      <w:r w:rsidR="007A21A8">
        <w:rPr>
          <w:rFonts w:ascii="Arial" w:hAnsi="Arial" w:cs="Arial"/>
          <w:sz w:val="24"/>
          <w:szCs w:val="24"/>
        </w:rPr>
        <w:t>.</w:t>
      </w:r>
      <w:r>
        <w:rPr>
          <w:rFonts w:ascii="Arial" w:hAnsi="Arial" w:cs="Arial"/>
          <w:sz w:val="24"/>
          <w:szCs w:val="24"/>
        </w:rPr>
        <w:t xml:space="preserve"> </w:t>
      </w:r>
      <w:bookmarkStart w:id="11" w:name="OLE_LINK9"/>
      <w:bookmarkStart w:id="12" w:name="OLE_LINK10"/>
      <w:r w:rsidR="00FA13E4">
        <w:rPr>
          <w:rFonts w:ascii="Arial" w:hAnsi="Arial" w:cs="Arial"/>
          <w:sz w:val="24"/>
          <w:szCs w:val="24"/>
        </w:rPr>
        <w:t>S</w:t>
      </w:r>
      <w:r>
        <w:rPr>
          <w:rFonts w:ascii="Arial" w:hAnsi="Arial" w:cs="Arial"/>
          <w:sz w:val="24"/>
          <w:szCs w:val="24"/>
        </w:rPr>
        <w:t xml:space="preserve">even </w:t>
      </w:r>
      <w:r w:rsidR="007A21A8">
        <w:rPr>
          <w:rFonts w:ascii="Arial" w:hAnsi="Arial" w:cs="Arial"/>
          <w:sz w:val="24"/>
          <w:szCs w:val="24"/>
        </w:rPr>
        <w:t xml:space="preserve">net </w:t>
      </w:r>
      <w:r>
        <w:rPr>
          <w:rFonts w:ascii="Arial" w:hAnsi="Arial" w:cs="Arial"/>
          <w:sz w:val="24"/>
          <w:szCs w:val="24"/>
        </w:rPr>
        <w:t>new stores</w:t>
      </w:r>
      <w:r w:rsidR="007A21A8">
        <w:rPr>
          <w:rFonts w:ascii="Arial" w:hAnsi="Arial" w:cs="Arial"/>
          <w:sz w:val="24"/>
          <w:szCs w:val="24"/>
        </w:rPr>
        <w:t xml:space="preserve"> opened during H1,</w:t>
      </w:r>
      <w:r>
        <w:rPr>
          <w:rFonts w:ascii="Arial" w:hAnsi="Arial" w:cs="Arial"/>
          <w:sz w:val="24"/>
          <w:szCs w:val="24"/>
        </w:rPr>
        <w:t xml:space="preserve"> three in Spain, two in Poland, and two in Turkey</w:t>
      </w:r>
      <w:r w:rsidR="007A21A8">
        <w:rPr>
          <w:rFonts w:ascii="Arial" w:hAnsi="Arial" w:cs="Arial"/>
          <w:sz w:val="24"/>
          <w:szCs w:val="24"/>
        </w:rPr>
        <w:t>,</w:t>
      </w:r>
      <w:r>
        <w:rPr>
          <w:rFonts w:ascii="Arial" w:hAnsi="Arial" w:cs="Arial"/>
          <w:sz w:val="24"/>
          <w:szCs w:val="24"/>
        </w:rPr>
        <w:t xml:space="preserve"> adding around 3% new space. </w:t>
      </w:r>
      <w:bookmarkEnd w:id="11"/>
      <w:bookmarkEnd w:id="12"/>
      <w:r>
        <w:rPr>
          <w:rFonts w:ascii="Arial" w:hAnsi="Arial" w:cs="Arial"/>
          <w:sz w:val="24"/>
          <w:szCs w:val="24"/>
        </w:rPr>
        <w:t>Including</w:t>
      </w:r>
      <w:r w:rsidR="007A21A8">
        <w:rPr>
          <w:rFonts w:ascii="Arial" w:hAnsi="Arial" w:cs="Arial"/>
          <w:sz w:val="24"/>
          <w:szCs w:val="24"/>
        </w:rPr>
        <w:t xml:space="preserve"> </w:t>
      </w:r>
      <w:r w:rsidR="00FA13E4">
        <w:rPr>
          <w:rFonts w:ascii="Arial" w:hAnsi="Arial" w:cs="Arial"/>
          <w:sz w:val="24"/>
          <w:szCs w:val="24"/>
        </w:rPr>
        <w:t xml:space="preserve">the acquisition of stores in </w:t>
      </w:r>
      <w:r w:rsidR="007A21A8">
        <w:rPr>
          <w:rFonts w:ascii="Arial" w:hAnsi="Arial" w:cs="Arial"/>
          <w:sz w:val="24"/>
          <w:szCs w:val="24"/>
        </w:rPr>
        <w:t xml:space="preserve">Romania, </w:t>
      </w:r>
      <w:r>
        <w:rPr>
          <w:rFonts w:ascii="Arial" w:hAnsi="Arial" w:cs="Arial"/>
          <w:sz w:val="24"/>
          <w:szCs w:val="24"/>
        </w:rPr>
        <w:t>around 15% new space</w:t>
      </w:r>
      <w:r w:rsidR="007A21A8">
        <w:rPr>
          <w:rFonts w:ascii="Arial" w:hAnsi="Arial" w:cs="Arial"/>
          <w:sz w:val="24"/>
          <w:szCs w:val="24"/>
        </w:rPr>
        <w:t xml:space="preserve"> was added in H1. </w:t>
      </w:r>
    </w:p>
    <w:p w:rsidR="007A21A8" w:rsidRDefault="007A21A8" w:rsidP="00F341D2">
      <w:pPr>
        <w:jc w:val="left"/>
        <w:rPr>
          <w:rFonts w:ascii="Arial" w:hAnsi="Arial" w:cs="Arial"/>
          <w:sz w:val="24"/>
          <w:szCs w:val="24"/>
        </w:rPr>
      </w:pPr>
    </w:p>
    <w:p w:rsidR="00F341D2" w:rsidRDefault="00F341D2" w:rsidP="00F341D2">
      <w:pPr>
        <w:jc w:val="left"/>
        <w:rPr>
          <w:rFonts w:ascii="Arial" w:hAnsi="Arial" w:cs="Arial"/>
          <w:sz w:val="24"/>
          <w:szCs w:val="24"/>
        </w:rPr>
      </w:pPr>
      <w:r>
        <w:rPr>
          <w:rFonts w:ascii="Arial" w:hAnsi="Arial" w:cs="Arial"/>
          <w:sz w:val="24"/>
          <w:szCs w:val="24"/>
        </w:rPr>
        <w:t xml:space="preserve">However, economic uncertainty in Europe and </w:t>
      </w:r>
      <w:r w:rsidR="007A21A8">
        <w:rPr>
          <w:rFonts w:ascii="Arial" w:hAnsi="Arial" w:cs="Arial"/>
          <w:sz w:val="24"/>
          <w:szCs w:val="24"/>
        </w:rPr>
        <w:t>record adverse</w:t>
      </w:r>
      <w:r>
        <w:rPr>
          <w:rFonts w:ascii="Arial" w:hAnsi="Arial" w:cs="Arial"/>
          <w:sz w:val="24"/>
          <w:szCs w:val="24"/>
        </w:rPr>
        <w:t xml:space="preserve"> weather in Germany impacted performance. </w:t>
      </w:r>
      <w:r w:rsidR="00FF4D3A">
        <w:rPr>
          <w:rFonts w:ascii="Arial" w:hAnsi="Arial" w:cs="Arial"/>
          <w:sz w:val="24"/>
          <w:szCs w:val="24"/>
        </w:rPr>
        <w:t>R</w:t>
      </w:r>
      <w:r>
        <w:rPr>
          <w:rFonts w:ascii="Arial" w:hAnsi="Arial" w:cs="Arial"/>
          <w:sz w:val="24"/>
          <w:szCs w:val="24"/>
        </w:rPr>
        <w:t xml:space="preserve">etail profits were </w:t>
      </w:r>
      <w:r w:rsidR="00B10D35" w:rsidRPr="00256B52">
        <w:rPr>
          <w:rFonts w:ascii="Arial" w:hAnsi="Arial" w:cs="Arial"/>
          <w:sz w:val="24"/>
          <w:szCs w:val="24"/>
        </w:rPr>
        <w:t xml:space="preserve">down </w:t>
      </w:r>
      <w:r w:rsidRPr="00801C22">
        <w:rPr>
          <w:rFonts w:ascii="Arial" w:hAnsi="Arial" w:cs="Arial"/>
          <w:sz w:val="24"/>
          <w:szCs w:val="24"/>
        </w:rPr>
        <w:t>11.4% to £62 million</w:t>
      </w:r>
      <w:r w:rsidR="00FF4D3A">
        <w:rPr>
          <w:rFonts w:ascii="Arial" w:hAnsi="Arial" w:cs="Arial"/>
          <w:sz w:val="24"/>
          <w:szCs w:val="24"/>
        </w:rPr>
        <w:t xml:space="preserve">, with much of the decline due to a lower contribution from Hornbach. </w:t>
      </w:r>
    </w:p>
    <w:p w:rsidR="00F341D2" w:rsidRPr="00801C22" w:rsidRDefault="00F341D2" w:rsidP="00F341D2">
      <w:pPr>
        <w:jc w:val="left"/>
        <w:rPr>
          <w:rFonts w:ascii="Arial" w:hAnsi="Arial" w:cs="Arial"/>
          <w:sz w:val="24"/>
          <w:szCs w:val="24"/>
        </w:rPr>
      </w:pPr>
    </w:p>
    <w:p w:rsidR="00F341D2" w:rsidRDefault="00F341D2" w:rsidP="00F341D2">
      <w:pPr>
        <w:jc w:val="left"/>
        <w:rPr>
          <w:rFonts w:ascii="Arial" w:hAnsi="Arial" w:cs="Arial"/>
          <w:sz w:val="24"/>
          <w:szCs w:val="24"/>
        </w:rPr>
      </w:pPr>
      <w:r>
        <w:rPr>
          <w:rFonts w:ascii="Arial" w:hAnsi="Arial" w:cs="Arial"/>
          <w:sz w:val="24"/>
          <w:szCs w:val="24"/>
        </w:rPr>
        <w:t>Sales</w:t>
      </w:r>
      <w:r w:rsidRPr="00801C22">
        <w:rPr>
          <w:rFonts w:ascii="Arial" w:hAnsi="Arial" w:cs="Arial"/>
          <w:sz w:val="24"/>
          <w:szCs w:val="24"/>
        </w:rPr>
        <w:t xml:space="preserve"> in </w:t>
      </w:r>
      <w:r w:rsidRPr="00801C22">
        <w:rPr>
          <w:rFonts w:ascii="Arial" w:hAnsi="Arial" w:cs="Arial"/>
          <w:b/>
          <w:sz w:val="24"/>
          <w:szCs w:val="24"/>
        </w:rPr>
        <w:t>Poland</w:t>
      </w:r>
      <w:r w:rsidRPr="00801C22">
        <w:rPr>
          <w:rFonts w:ascii="Arial" w:hAnsi="Arial" w:cs="Arial"/>
          <w:sz w:val="24"/>
          <w:szCs w:val="24"/>
        </w:rPr>
        <w:t xml:space="preserve"> were up 3.1% (-0.2% LFL) to £557 million reflecting </w:t>
      </w:r>
      <w:r>
        <w:rPr>
          <w:rFonts w:ascii="Arial" w:hAnsi="Arial" w:cs="Arial"/>
          <w:sz w:val="24"/>
          <w:szCs w:val="24"/>
        </w:rPr>
        <w:t>new store openings</w:t>
      </w:r>
      <w:r w:rsidR="007A21A8">
        <w:rPr>
          <w:rFonts w:ascii="Arial" w:hAnsi="Arial" w:cs="Arial"/>
          <w:sz w:val="24"/>
          <w:szCs w:val="24"/>
        </w:rPr>
        <w:t xml:space="preserve">. </w:t>
      </w:r>
      <w:r w:rsidR="00B169E7">
        <w:rPr>
          <w:rFonts w:ascii="Arial" w:hAnsi="Arial" w:cs="Arial"/>
          <w:sz w:val="24"/>
          <w:szCs w:val="24"/>
        </w:rPr>
        <w:t>Sales patterns were unusually volatile across H1 driven by record cold weather in Q1 followed by better weather in Q2 (Q1:</w:t>
      </w:r>
      <w:r w:rsidR="0084201C">
        <w:rPr>
          <w:rFonts w:ascii="Arial" w:hAnsi="Arial" w:cs="Arial"/>
          <w:sz w:val="24"/>
          <w:szCs w:val="24"/>
        </w:rPr>
        <w:t xml:space="preserve"> </w:t>
      </w:r>
      <w:r w:rsidR="00B169E7">
        <w:rPr>
          <w:rFonts w:ascii="Arial" w:hAnsi="Arial" w:cs="Arial"/>
          <w:sz w:val="24"/>
          <w:szCs w:val="24"/>
        </w:rPr>
        <w:t xml:space="preserve">-4.2% LFL; Q2 +3.0% LFL). Gross margins were down 60 basis points, with self-help initiatives more than offset by an on-going investment in pricing which annualised during Q2. </w:t>
      </w:r>
      <w:r w:rsidR="000C158D">
        <w:rPr>
          <w:rFonts w:ascii="Arial" w:hAnsi="Arial" w:cs="Arial"/>
          <w:sz w:val="24"/>
          <w:szCs w:val="24"/>
        </w:rPr>
        <w:t>Good</w:t>
      </w:r>
      <w:r w:rsidRPr="005C01F2">
        <w:rPr>
          <w:rFonts w:ascii="Arial" w:hAnsi="Arial" w:cs="Arial"/>
          <w:sz w:val="24"/>
          <w:szCs w:val="24"/>
        </w:rPr>
        <w:t xml:space="preserve"> cost co</w:t>
      </w:r>
      <w:r>
        <w:rPr>
          <w:rFonts w:ascii="Arial" w:hAnsi="Arial" w:cs="Arial"/>
          <w:sz w:val="24"/>
          <w:szCs w:val="24"/>
        </w:rPr>
        <w:t xml:space="preserve">ntrol </w:t>
      </w:r>
      <w:r w:rsidR="00B169E7">
        <w:rPr>
          <w:rFonts w:ascii="Arial" w:hAnsi="Arial" w:cs="Arial"/>
          <w:sz w:val="24"/>
          <w:szCs w:val="24"/>
        </w:rPr>
        <w:t xml:space="preserve">largely </w:t>
      </w:r>
      <w:r>
        <w:rPr>
          <w:rFonts w:ascii="Arial" w:hAnsi="Arial" w:cs="Arial"/>
          <w:sz w:val="24"/>
          <w:szCs w:val="24"/>
        </w:rPr>
        <w:t>offset cost inflation</w:t>
      </w:r>
      <w:r w:rsidR="00FF4D3A">
        <w:rPr>
          <w:rFonts w:ascii="Arial" w:hAnsi="Arial" w:cs="Arial"/>
          <w:sz w:val="24"/>
          <w:szCs w:val="24"/>
        </w:rPr>
        <w:t>. Re</w:t>
      </w:r>
      <w:r w:rsidRPr="00801C22">
        <w:rPr>
          <w:rFonts w:ascii="Arial" w:hAnsi="Arial" w:cs="Arial"/>
          <w:sz w:val="24"/>
          <w:szCs w:val="24"/>
        </w:rPr>
        <w:t xml:space="preserve">tail profit </w:t>
      </w:r>
      <w:r w:rsidR="00B169E7">
        <w:rPr>
          <w:rFonts w:ascii="Arial" w:hAnsi="Arial" w:cs="Arial"/>
          <w:sz w:val="24"/>
          <w:szCs w:val="24"/>
        </w:rPr>
        <w:t>decline</w:t>
      </w:r>
      <w:r w:rsidR="00FF4D3A">
        <w:rPr>
          <w:rFonts w:ascii="Arial" w:hAnsi="Arial" w:cs="Arial"/>
          <w:sz w:val="24"/>
          <w:szCs w:val="24"/>
        </w:rPr>
        <w:t>d 4.3%</w:t>
      </w:r>
      <w:r w:rsidR="00B169E7">
        <w:rPr>
          <w:rFonts w:ascii="Arial" w:hAnsi="Arial" w:cs="Arial"/>
          <w:sz w:val="24"/>
          <w:szCs w:val="24"/>
        </w:rPr>
        <w:t xml:space="preserve"> to</w:t>
      </w:r>
      <w:r>
        <w:rPr>
          <w:rFonts w:ascii="Arial" w:hAnsi="Arial" w:cs="Arial"/>
          <w:sz w:val="24"/>
          <w:szCs w:val="24"/>
        </w:rPr>
        <w:t xml:space="preserve"> £54 million. </w:t>
      </w:r>
    </w:p>
    <w:p w:rsidR="00F341D2" w:rsidRDefault="00F341D2" w:rsidP="00F341D2">
      <w:pPr>
        <w:jc w:val="left"/>
        <w:rPr>
          <w:rFonts w:ascii="Arial" w:hAnsi="Arial" w:cs="Arial"/>
          <w:sz w:val="24"/>
          <w:szCs w:val="24"/>
        </w:rPr>
      </w:pPr>
    </w:p>
    <w:p w:rsidR="006D1C41" w:rsidRDefault="00F341D2" w:rsidP="00F341D2">
      <w:pPr>
        <w:jc w:val="left"/>
        <w:rPr>
          <w:rFonts w:ascii="Arial" w:hAnsi="Arial" w:cs="Arial"/>
          <w:sz w:val="24"/>
          <w:szCs w:val="24"/>
        </w:rPr>
      </w:pPr>
      <w:r w:rsidRPr="00801C22">
        <w:rPr>
          <w:rFonts w:ascii="Arial" w:hAnsi="Arial" w:cs="Arial"/>
          <w:sz w:val="24"/>
          <w:szCs w:val="24"/>
        </w:rPr>
        <w:t xml:space="preserve">In </w:t>
      </w:r>
      <w:r w:rsidRPr="00801C22">
        <w:rPr>
          <w:rFonts w:ascii="Arial" w:hAnsi="Arial" w:cs="Arial"/>
          <w:b/>
          <w:sz w:val="24"/>
          <w:szCs w:val="24"/>
        </w:rPr>
        <w:t>Russia</w:t>
      </w:r>
      <w:r w:rsidRPr="00E4603F">
        <w:rPr>
          <w:rFonts w:ascii="Arial" w:hAnsi="Arial" w:cs="Arial"/>
          <w:b/>
          <w:sz w:val="24"/>
          <w:szCs w:val="24"/>
        </w:rPr>
        <w:t xml:space="preserve">, </w:t>
      </w:r>
      <w:r w:rsidRPr="00E4603F">
        <w:rPr>
          <w:rFonts w:ascii="Arial" w:hAnsi="Arial" w:cs="Arial"/>
          <w:sz w:val="24"/>
          <w:szCs w:val="24"/>
        </w:rPr>
        <w:t>sales were up 12.</w:t>
      </w:r>
      <w:r>
        <w:rPr>
          <w:rFonts w:ascii="Arial" w:hAnsi="Arial" w:cs="Arial"/>
          <w:sz w:val="24"/>
          <w:szCs w:val="24"/>
        </w:rPr>
        <w:t>4% to £225 million (+10.5% LFL)</w:t>
      </w:r>
      <w:r w:rsidR="00633CCC">
        <w:rPr>
          <w:rFonts w:ascii="Arial" w:hAnsi="Arial" w:cs="Arial"/>
          <w:sz w:val="24"/>
          <w:szCs w:val="24"/>
        </w:rPr>
        <w:t>. LFL sales were up 13.0% in Q1 though slower in Q2 (+9.0% LFL)</w:t>
      </w:r>
      <w:r w:rsidRPr="0037199C">
        <w:rPr>
          <w:rFonts w:ascii="Arial" w:hAnsi="Arial" w:cs="Arial"/>
          <w:sz w:val="24"/>
          <w:szCs w:val="24"/>
        </w:rPr>
        <w:t>. Retail</w:t>
      </w:r>
      <w:r>
        <w:rPr>
          <w:rFonts w:ascii="Arial" w:hAnsi="Arial" w:cs="Arial"/>
          <w:sz w:val="24"/>
          <w:szCs w:val="24"/>
        </w:rPr>
        <w:t xml:space="preserve"> profit grew by nearly 50% to £3 million</w:t>
      </w:r>
      <w:r w:rsidRPr="00E4603F">
        <w:rPr>
          <w:rFonts w:ascii="Arial" w:hAnsi="Arial" w:cs="Arial"/>
          <w:sz w:val="24"/>
          <w:szCs w:val="24"/>
        </w:rPr>
        <w:t xml:space="preserve">. In </w:t>
      </w:r>
      <w:r w:rsidRPr="00E4603F">
        <w:rPr>
          <w:rFonts w:ascii="Arial" w:hAnsi="Arial" w:cs="Arial"/>
          <w:b/>
          <w:sz w:val="24"/>
          <w:szCs w:val="24"/>
        </w:rPr>
        <w:t xml:space="preserve">Turkey, </w:t>
      </w:r>
      <w:r w:rsidRPr="00E4603F">
        <w:rPr>
          <w:rFonts w:ascii="Arial" w:hAnsi="Arial" w:cs="Arial"/>
          <w:sz w:val="24"/>
          <w:szCs w:val="24"/>
        </w:rPr>
        <w:t xml:space="preserve">Kingfisher’s 50% JV, </w:t>
      </w:r>
      <w:r w:rsidRPr="00E4603F">
        <w:rPr>
          <w:rFonts w:ascii="Arial" w:hAnsi="Arial" w:cs="Arial"/>
          <w:bCs/>
          <w:sz w:val="24"/>
          <w:szCs w:val="24"/>
        </w:rPr>
        <w:t xml:space="preserve">Koçtaş, grew </w:t>
      </w:r>
      <w:r w:rsidRPr="00E4603F">
        <w:rPr>
          <w:rFonts w:ascii="Arial" w:hAnsi="Arial" w:cs="Arial"/>
          <w:sz w:val="24"/>
          <w:szCs w:val="24"/>
        </w:rPr>
        <w:t>sales by 5.1% (</w:t>
      </w:r>
      <w:r>
        <w:rPr>
          <w:rFonts w:ascii="Arial" w:hAnsi="Arial" w:cs="Arial"/>
          <w:sz w:val="24"/>
          <w:szCs w:val="24"/>
        </w:rPr>
        <w:t>+</w:t>
      </w:r>
      <w:r w:rsidRPr="00E4603F">
        <w:rPr>
          <w:rFonts w:ascii="Arial" w:hAnsi="Arial" w:cs="Arial"/>
          <w:sz w:val="24"/>
          <w:szCs w:val="24"/>
        </w:rPr>
        <w:t>3.5% LFL) to £172 million</w:t>
      </w:r>
      <w:r>
        <w:rPr>
          <w:rFonts w:ascii="Arial" w:hAnsi="Arial" w:cs="Arial"/>
          <w:sz w:val="24"/>
          <w:szCs w:val="24"/>
        </w:rPr>
        <w:t xml:space="preserve"> benefiting from new store openings</w:t>
      </w:r>
      <w:r w:rsidR="006D1C41">
        <w:rPr>
          <w:rFonts w:ascii="Arial" w:hAnsi="Arial" w:cs="Arial"/>
          <w:sz w:val="24"/>
          <w:szCs w:val="24"/>
        </w:rPr>
        <w:t xml:space="preserve">, better weather and new </w:t>
      </w:r>
      <w:r w:rsidR="006D1C41" w:rsidRPr="00256B52">
        <w:rPr>
          <w:rFonts w:ascii="Arial" w:hAnsi="Arial" w:cs="Arial"/>
          <w:sz w:val="24"/>
          <w:szCs w:val="24"/>
        </w:rPr>
        <w:t>ranges (</w:t>
      </w:r>
      <w:r w:rsidR="00B10D35" w:rsidRPr="00256B52">
        <w:rPr>
          <w:rFonts w:ascii="Arial" w:hAnsi="Arial" w:cs="Arial"/>
          <w:sz w:val="24"/>
          <w:szCs w:val="24"/>
        </w:rPr>
        <w:t xml:space="preserve">e.g. </w:t>
      </w:r>
      <w:r w:rsidR="00440A6A">
        <w:rPr>
          <w:rFonts w:ascii="Arial" w:hAnsi="Arial" w:cs="Arial"/>
          <w:sz w:val="24"/>
          <w:szCs w:val="24"/>
        </w:rPr>
        <w:t>bathrooms</w:t>
      </w:r>
      <w:r w:rsidR="00440A6A" w:rsidRPr="00256B52">
        <w:rPr>
          <w:rFonts w:ascii="Arial" w:hAnsi="Arial" w:cs="Arial"/>
          <w:sz w:val="24"/>
          <w:szCs w:val="24"/>
        </w:rPr>
        <w:t xml:space="preserve"> </w:t>
      </w:r>
      <w:r w:rsidR="00B10D35" w:rsidRPr="00256B52">
        <w:rPr>
          <w:rFonts w:ascii="Arial" w:hAnsi="Arial" w:cs="Arial"/>
          <w:sz w:val="24"/>
          <w:szCs w:val="24"/>
        </w:rPr>
        <w:t>and lighting</w:t>
      </w:r>
      <w:r w:rsidR="006D1C41" w:rsidRPr="00256B52">
        <w:rPr>
          <w:rFonts w:ascii="Arial" w:hAnsi="Arial" w:cs="Arial"/>
          <w:sz w:val="24"/>
          <w:szCs w:val="24"/>
        </w:rPr>
        <w:t>)</w:t>
      </w:r>
      <w:r w:rsidRPr="00256B52">
        <w:rPr>
          <w:rFonts w:ascii="Arial" w:hAnsi="Arial" w:cs="Arial"/>
          <w:sz w:val="24"/>
          <w:szCs w:val="24"/>
        </w:rPr>
        <w:t>.</w:t>
      </w:r>
      <w:r w:rsidR="006D1C41" w:rsidRPr="00256B52">
        <w:rPr>
          <w:rFonts w:ascii="Arial" w:hAnsi="Arial" w:cs="Arial"/>
          <w:sz w:val="24"/>
          <w:szCs w:val="24"/>
        </w:rPr>
        <w:t xml:space="preserve"> </w:t>
      </w:r>
      <w:r w:rsidRPr="00256B52">
        <w:rPr>
          <w:rFonts w:ascii="Arial" w:hAnsi="Arial" w:cs="Arial"/>
          <w:sz w:val="24"/>
          <w:szCs w:val="24"/>
        </w:rPr>
        <w:t>Retail</w:t>
      </w:r>
      <w:r w:rsidRPr="00E4603F">
        <w:rPr>
          <w:rFonts w:ascii="Arial" w:hAnsi="Arial" w:cs="Arial"/>
          <w:sz w:val="24"/>
          <w:szCs w:val="24"/>
        </w:rPr>
        <w:t xml:space="preserve"> profit contribution was £5 million, </w:t>
      </w:r>
      <w:r>
        <w:rPr>
          <w:rFonts w:ascii="Arial" w:hAnsi="Arial" w:cs="Arial"/>
          <w:sz w:val="24"/>
          <w:szCs w:val="24"/>
        </w:rPr>
        <w:t>up 17.2</w:t>
      </w:r>
      <w:r w:rsidRPr="00E4603F">
        <w:rPr>
          <w:rFonts w:ascii="Arial" w:hAnsi="Arial" w:cs="Arial"/>
          <w:sz w:val="24"/>
          <w:szCs w:val="24"/>
        </w:rPr>
        <w:t>% year on year.</w:t>
      </w:r>
      <w:r>
        <w:rPr>
          <w:rFonts w:ascii="Arial" w:hAnsi="Arial" w:cs="Arial"/>
          <w:sz w:val="24"/>
          <w:szCs w:val="24"/>
        </w:rPr>
        <w:t xml:space="preserve"> </w:t>
      </w:r>
    </w:p>
    <w:p w:rsidR="006D1C41" w:rsidRDefault="006D1C41" w:rsidP="00F341D2">
      <w:pPr>
        <w:jc w:val="left"/>
        <w:rPr>
          <w:rFonts w:ascii="Arial" w:hAnsi="Arial" w:cs="Arial"/>
          <w:sz w:val="24"/>
          <w:szCs w:val="24"/>
        </w:rPr>
      </w:pPr>
    </w:p>
    <w:p w:rsidR="00F341D2" w:rsidRPr="00963214" w:rsidRDefault="00F341D2" w:rsidP="00F341D2">
      <w:pPr>
        <w:jc w:val="left"/>
        <w:rPr>
          <w:rFonts w:ascii="Arial" w:hAnsi="Arial" w:cs="Arial"/>
          <w:sz w:val="24"/>
          <w:szCs w:val="24"/>
        </w:rPr>
      </w:pPr>
      <w:r w:rsidRPr="00E4603F">
        <w:rPr>
          <w:rFonts w:ascii="Arial" w:hAnsi="Arial" w:cs="Arial"/>
          <w:sz w:val="24"/>
          <w:szCs w:val="24"/>
        </w:rPr>
        <w:t xml:space="preserve">Brico Dépôt </w:t>
      </w:r>
      <w:r w:rsidRPr="00E4603F">
        <w:rPr>
          <w:rFonts w:ascii="Arial" w:hAnsi="Arial" w:cs="Arial"/>
          <w:b/>
          <w:sz w:val="24"/>
          <w:szCs w:val="24"/>
        </w:rPr>
        <w:t>Spain</w:t>
      </w:r>
      <w:r w:rsidRPr="00E4603F">
        <w:rPr>
          <w:rFonts w:ascii="Arial" w:hAnsi="Arial" w:cs="Arial"/>
          <w:sz w:val="24"/>
          <w:szCs w:val="24"/>
        </w:rPr>
        <w:t xml:space="preserve"> grew sales by 13.5% (-6.0% LFL) to £153 million</w:t>
      </w:r>
      <w:r>
        <w:rPr>
          <w:rFonts w:ascii="Arial" w:hAnsi="Arial" w:cs="Arial"/>
          <w:sz w:val="24"/>
          <w:szCs w:val="24"/>
        </w:rPr>
        <w:t xml:space="preserve"> reflecting new store openings.  </w:t>
      </w:r>
      <w:r w:rsidR="006D1C41">
        <w:rPr>
          <w:rFonts w:ascii="Arial" w:hAnsi="Arial" w:cs="Arial"/>
          <w:sz w:val="24"/>
          <w:szCs w:val="24"/>
        </w:rPr>
        <w:t>R</w:t>
      </w:r>
      <w:r>
        <w:rPr>
          <w:rFonts w:ascii="Arial" w:hAnsi="Arial" w:cs="Arial"/>
          <w:sz w:val="24"/>
          <w:szCs w:val="24"/>
        </w:rPr>
        <w:t xml:space="preserve">etail profit was </w:t>
      </w:r>
      <w:r w:rsidRPr="00E4603F">
        <w:rPr>
          <w:rFonts w:ascii="Arial" w:hAnsi="Arial" w:cs="Arial"/>
          <w:sz w:val="24"/>
          <w:szCs w:val="24"/>
        </w:rPr>
        <w:t>£3 million</w:t>
      </w:r>
      <w:r w:rsidR="006D1C41">
        <w:rPr>
          <w:rFonts w:ascii="Arial" w:hAnsi="Arial" w:cs="Arial"/>
          <w:sz w:val="24"/>
          <w:szCs w:val="24"/>
        </w:rPr>
        <w:t>, down 17.0% on last year, in a difficult market.</w:t>
      </w:r>
      <w:r w:rsidRPr="00E4603F">
        <w:rPr>
          <w:rFonts w:ascii="Arial" w:hAnsi="Arial" w:cs="Arial"/>
          <w:sz w:val="24"/>
          <w:szCs w:val="24"/>
        </w:rPr>
        <w:t xml:space="preserve"> </w:t>
      </w:r>
      <w:r w:rsidRPr="00E4603F">
        <w:rPr>
          <w:rFonts w:ascii="Arial" w:hAnsi="Arial" w:cs="Arial"/>
          <w:b/>
          <w:sz w:val="24"/>
          <w:szCs w:val="24"/>
        </w:rPr>
        <w:t>Hornbach</w:t>
      </w:r>
      <w:r w:rsidRPr="00E4603F">
        <w:rPr>
          <w:rFonts w:ascii="Arial" w:hAnsi="Arial" w:cs="Arial"/>
          <w:sz w:val="24"/>
          <w:szCs w:val="24"/>
        </w:rPr>
        <w:t>, in which Kingfisher has a 21% economic interest, contributed £4 million to retail profit</w:t>
      </w:r>
      <w:r>
        <w:rPr>
          <w:rFonts w:ascii="Arial" w:hAnsi="Arial" w:cs="Arial"/>
          <w:sz w:val="24"/>
          <w:szCs w:val="24"/>
        </w:rPr>
        <w:t xml:space="preserve"> (2012/13</w:t>
      </w:r>
      <w:r w:rsidR="0084201C">
        <w:rPr>
          <w:rFonts w:ascii="Arial" w:hAnsi="Arial" w:cs="Arial"/>
          <w:sz w:val="24"/>
          <w:szCs w:val="24"/>
        </w:rPr>
        <w:t>:</w:t>
      </w:r>
      <w:r>
        <w:rPr>
          <w:rFonts w:ascii="Arial" w:hAnsi="Arial" w:cs="Arial"/>
          <w:sz w:val="24"/>
          <w:szCs w:val="24"/>
        </w:rPr>
        <w:t xml:space="preserve"> £9 million </w:t>
      </w:r>
      <w:r w:rsidR="00FA13E4">
        <w:rPr>
          <w:rFonts w:ascii="Arial" w:hAnsi="Arial" w:cs="Arial"/>
          <w:sz w:val="24"/>
          <w:szCs w:val="24"/>
        </w:rPr>
        <w:t xml:space="preserve">reported </w:t>
      </w:r>
      <w:r>
        <w:rPr>
          <w:rFonts w:ascii="Arial" w:hAnsi="Arial" w:cs="Arial"/>
          <w:sz w:val="24"/>
          <w:szCs w:val="24"/>
        </w:rPr>
        <w:t>retail profit contribution) with sales</w:t>
      </w:r>
      <w:r w:rsidR="006D1C41">
        <w:rPr>
          <w:rFonts w:ascii="Arial" w:hAnsi="Arial" w:cs="Arial"/>
          <w:sz w:val="24"/>
          <w:szCs w:val="24"/>
        </w:rPr>
        <w:t xml:space="preserve"> in Germany</w:t>
      </w:r>
      <w:r>
        <w:rPr>
          <w:rFonts w:ascii="Arial" w:hAnsi="Arial" w:cs="Arial"/>
          <w:sz w:val="24"/>
          <w:szCs w:val="24"/>
        </w:rPr>
        <w:t xml:space="preserve"> impacted by record adverse weather in March</w:t>
      </w:r>
      <w:r w:rsidR="006D1C41">
        <w:rPr>
          <w:rFonts w:ascii="Arial" w:hAnsi="Arial" w:cs="Arial"/>
          <w:sz w:val="24"/>
          <w:szCs w:val="24"/>
        </w:rPr>
        <w:t xml:space="preserve"> and early April</w:t>
      </w:r>
      <w:r w:rsidR="008A446F">
        <w:rPr>
          <w:rFonts w:ascii="Arial" w:hAnsi="Arial" w:cs="Arial"/>
          <w:sz w:val="24"/>
          <w:szCs w:val="24"/>
        </w:rPr>
        <w:t xml:space="preserve"> </w:t>
      </w:r>
      <w:r w:rsidRPr="009F513A">
        <w:rPr>
          <w:rFonts w:ascii="Arial" w:hAnsi="Arial" w:cs="Arial"/>
          <w:i/>
          <w:sz w:val="24"/>
          <w:szCs w:val="24"/>
          <w:vertAlign w:val="superscript"/>
        </w:rPr>
        <w:t>(1)</w:t>
      </w:r>
      <w:r w:rsidR="008A446F">
        <w:rPr>
          <w:rFonts w:ascii="Arial" w:hAnsi="Arial" w:cs="Arial"/>
          <w:i/>
          <w:sz w:val="24"/>
          <w:szCs w:val="24"/>
        </w:rPr>
        <w:t>.</w:t>
      </w:r>
      <w:r w:rsidR="00963214">
        <w:rPr>
          <w:rFonts w:ascii="Arial" w:hAnsi="Arial" w:cs="Arial"/>
          <w:i/>
          <w:sz w:val="24"/>
          <w:szCs w:val="24"/>
        </w:rPr>
        <w:t xml:space="preserve"> </w:t>
      </w:r>
      <w:r w:rsidR="00963214" w:rsidRPr="00FF6757">
        <w:rPr>
          <w:rFonts w:ascii="Arial" w:hAnsi="Arial" w:cs="Arial"/>
          <w:sz w:val="24"/>
          <w:szCs w:val="24"/>
        </w:rPr>
        <w:t xml:space="preserve">H1 </w:t>
      </w:r>
      <w:r w:rsidR="00963214">
        <w:rPr>
          <w:rFonts w:ascii="Arial" w:hAnsi="Arial" w:cs="Arial"/>
          <w:sz w:val="24"/>
          <w:szCs w:val="24"/>
        </w:rPr>
        <w:t xml:space="preserve">also included </w:t>
      </w:r>
      <w:r w:rsidR="00963214" w:rsidRPr="00963214">
        <w:rPr>
          <w:rFonts w:ascii="Arial" w:hAnsi="Arial" w:cs="Arial"/>
          <w:sz w:val="24"/>
          <w:szCs w:val="24"/>
        </w:rPr>
        <w:t xml:space="preserve">one month’s trading of Bricostore </w:t>
      </w:r>
      <w:r w:rsidR="00963214" w:rsidRPr="00FF6757">
        <w:rPr>
          <w:rFonts w:ascii="Arial" w:hAnsi="Arial" w:cs="Arial"/>
          <w:b/>
          <w:sz w:val="24"/>
          <w:szCs w:val="24"/>
        </w:rPr>
        <w:t>Romania</w:t>
      </w:r>
      <w:r w:rsidR="00963214" w:rsidRPr="00963214">
        <w:rPr>
          <w:rFonts w:ascii="Arial" w:hAnsi="Arial" w:cs="Arial"/>
          <w:sz w:val="24"/>
          <w:szCs w:val="24"/>
        </w:rPr>
        <w:t>, contribut</w:t>
      </w:r>
      <w:r w:rsidR="00963214">
        <w:rPr>
          <w:rFonts w:ascii="Arial" w:hAnsi="Arial" w:cs="Arial"/>
          <w:sz w:val="24"/>
          <w:szCs w:val="24"/>
        </w:rPr>
        <w:t>ing sales of £11 million and retail profit of £nil.</w:t>
      </w:r>
    </w:p>
    <w:p w:rsidR="00160134" w:rsidRDefault="00160134" w:rsidP="007A21A8">
      <w:pPr>
        <w:jc w:val="left"/>
        <w:rPr>
          <w:rFonts w:ascii="Arial" w:hAnsi="Arial" w:cs="Arial"/>
          <w:sz w:val="24"/>
          <w:szCs w:val="24"/>
        </w:rPr>
      </w:pPr>
    </w:p>
    <w:p w:rsidR="007A21A8" w:rsidRDefault="00F341D2" w:rsidP="007A21A8">
      <w:pPr>
        <w:jc w:val="left"/>
        <w:rPr>
          <w:rFonts w:ascii="Arial" w:hAnsi="Arial" w:cs="Arial"/>
          <w:sz w:val="24"/>
          <w:szCs w:val="24"/>
        </w:rPr>
      </w:pPr>
      <w:r w:rsidRPr="00E4603F">
        <w:rPr>
          <w:rFonts w:ascii="Arial" w:hAnsi="Arial" w:cs="Arial"/>
          <w:sz w:val="24"/>
          <w:szCs w:val="24"/>
        </w:rPr>
        <w:t xml:space="preserve">B&amp;Q </w:t>
      </w:r>
      <w:r w:rsidRPr="00E4603F">
        <w:rPr>
          <w:rFonts w:ascii="Arial" w:hAnsi="Arial" w:cs="Arial"/>
          <w:b/>
          <w:sz w:val="24"/>
          <w:szCs w:val="24"/>
        </w:rPr>
        <w:t>China</w:t>
      </w:r>
      <w:r w:rsidRPr="00E4603F">
        <w:rPr>
          <w:rFonts w:ascii="Arial" w:hAnsi="Arial" w:cs="Arial"/>
          <w:sz w:val="24"/>
          <w:szCs w:val="24"/>
        </w:rPr>
        <w:t xml:space="preserve"> sales grew by 9.5</w:t>
      </w:r>
      <w:r>
        <w:rPr>
          <w:rFonts w:ascii="Arial" w:hAnsi="Arial" w:cs="Arial"/>
          <w:sz w:val="24"/>
          <w:szCs w:val="24"/>
        </w:rPr>
        <w:t xml:space="preserve">% (+10.2% LFL) to £194 million benefiting from </w:t>
      </w:r>
      <w:r w:rsidR="006D1C41">
        <w:rPr>
          <w:rFonts w:ascii="Arial" w:hAnsi="Arial" w:cs="Arial"/>
          <w:sz w:val="24"/>
          <w:szCs w:val="24"/>
        </w:rPr>
        <w:t xml:space="preserve">additional </w:t>
      </w:r>
      <w:r>
        <w:rPr>
          <w:rFonts w:ascii="Arial" w:hAnsi="Arial" w:cs="Arial"/>
          <w:sz w:val="24"/>
          <w:szCs w:val="24"/>
        </w:rPr>
        <w:t xml:space="preserve">promotional activity and an improving </w:t>
      </w:r>
      <w:r w:rsidR="00AF430F">
        <w:rPr>
          <w:rFonts w:ascii="Arial" w:hAnsi="Arial" w:cs="Arial"/>
          <w:sz w:val="24"/>
          <w:szCs w:val="24"/>
        </w:rPr>
        <w:t xml:space="preserve">domestic </w:t>
      </w:r>
      <w:r>
        <w:rPr>
          <w:rFonts w:ascii="Arial" w:hAnsi="Arial" w:cs="Arial"/>
          <w:sz w:val="24"/>
          <w:szCs w:val="24"/>
        </w:rPr>
        <w:t xml:space="preserve">property market </w:t>
      </w:r>
      <w:r w:rsidRPr="00D723BB">
        <w:rPr>
          <w:rFonts w:ascii="Arial" w:hAnsi="Arial" w:cs="Arial"/>
          <w:i/>
          <w:sz w:val="24"/>
          <w:szCs w:val="24"/>
          <w:vertAlign w:val="superscript"/>
        </w:rPr>
        <w:t>(2)</w:t>
      </w:r>
      <w:r w:rsidRPr="00D723BB">
        <w:rPr>
          <w:rFonts w:ascii="Arial" w:hAnsi="Arial" w:cs="Arial"/>
          <w:i/>
          <w:sz w:val="24"/>
          <w:szCs w:val="24"/>
        </w:rPr>
        <w:t>.</w:t>
      </w:r>
      <w:r>
        <w:rPr>
          <w:rFonts w:ascii="Arial" w:hAnsi="Arial" w:cs="Arial"/>
          <w:sz w:val="24"/>
          <w:szCs w:val="24"/>
        </w:rPr>
        <w:t xml:space="preserve"> Retail loss was</w:t>
      </w:r>
      <w:r w:rsidRPr="00E4603F">
        <w:rPr>
          <w:rFonts w:ascii="Arial" w:hAnsi="Arial" w:cs="Arial"/>
          <w:sz w:val="24"/>
          <w:szCs w:val="24"/>
        </w:rPr>
        <w:t xml:space="preserve"> £7</w:t>
      </w:r>
      <w:r w:rsidR="006D1C41">
        <w:rPr>
          <w:rFonts w:ascii="Arial" w:hAnsi="Arial" w:cs="Arial"/>
          <w:sz w:val="24"/>
          <w:szCs w:val="24"/>
        </w:rPr>
        <w:t xml:space="preserve"> million</w:t>
      </w:r>
      <w:r w:rsidRPr="00E4603F">
        <w:rPr>
          <w:rFonts w:ascii="Arial" w:hAnsi="Arial" w:cs="Arial"/>
          <w:sz w:val="24"/>
          <w:szCs w:val="24"/>
        </w:rPr>
        <w:t xml:space="preserve"> </w:t>
      </w:r>
      <w:r>
        <w:rPr>
          <w:rFonts w:ascii="Arial" w:hAnsi="Arial" w:cs="Arial"/>
          <w:sz w:val="24"/>
          <w:szCs w:val="24"/>
        </w:rPr>
        <w:t>(2012/13</w:t>
      </w:r>
      <w:r w:rsidR="006D1C41">
        <w:rPr>
          <w:rFonts w:ascii="Arial" w:hAnsi="Arial" w:cs="Arial"/>
          <w:sz w:val="24"/>
          <w:szCs w:val="24"/>
        </w:rPr>
        <w:t>:</w:t>
      </w:r>
      <w:r>
        <w:rPr>
          <w:rFonts w:ascii="Arial" w:hAnsi="Arial" w:cs="Arial"/>
          <w:sz w:val="24"/>
          <w:szCs w:val="24"/>
        </w:rPr>
        <w:t xml:space="preserve"> </w:t>
      </w:r>
      <w:r w:rsidRPr="00E4603F">
        <w:rPr>
          <w:rFonts w:ascii="Arial" w:hAnsi="Arial" w:cs="Arial"/>
          <w:sz w:val="24"/>
          <w:szCs w:val="24"/>
        </w:rPr>
        <w:t xml:space="preserve">£6 million </w:t>
      </w:r>
      <w:r>
        <w:rPr>
          <w:rFonts w:ascii="Arial" w:hAnsi="Arial" w:cs="Arial"/>
          <w:sz w:val="24"/>
          <w:szCs w:val="24"/>
        </w:rPr>
        <w:t xml:space="preserve">reported </w:t>
      </w:r>
      <w:r w:rsidR="005E2851">
        <w:rPr>
          <w:rFonts w:ascii="Arial" w:hAnsi="Arial" w:cs="Arial"/>
          <w:sz w:val="24"/>
          <w:szCs w:val="24"/>
        </w:rPr>
        <w:t xml:space="preserve">retail </w:t>
      </w:r>
      <w:r>
        <w:rPr>
          <w:rFonts w:ascii="Arial" w:hAnsi="Arial" w:cs="Arial"/>
          <w:sz w:val="24"/>
          <w:szCs w:val="24"/>
        </w:rPr>
        <w:t xml:space="preserve">loss) </w:t>
      </w:r>
      <w:r w:rsidR="001676C1">
        <w:rPr>
          <w:rFonts w:ascii="Arial" w:hAnsi="Arial" w:cs="Arial"/>
          <w:sz w:val="24"/>
          <w:szCs w:val="24"/>
        </w:rPr>
        <w:t>includ</w:t>
      </w:r>
      <w:r>
        <w:rPr>
          <w:rFonts w:ascii="Arial" w:hAnsi="Arial" w:cs="Arial"/>
          <w:sz w:val="24"/>
          <w:szCs w:val="24"/>
        </w:rPr>
        <w:t>ing £</w:t>
      </w:r>
      <w:r w:rsidR="008271A4">
        <w:rPr>
          <w:rFonts w:ascii="Arial" w:hAnsi="Arial" w:cs="Arial"/>
          <w:sz w:val="24"/>
          <w:szCs w:val="24"/>
        </w:rPr>
        <w:t>3</w:t>
      </w:r>
      <w:r>
        <w:rPr>
          <w:rFonts w:ascii="Arial" w:hAnsi="Arial" w:cs="Arial"/>
          <w:sz w:val="24"/>
          <w:szCs w:val="24"/>
        </w:rPr>
        <w:t xml:space="preserve"> million of costs relating to work on the new format store trial </w:t>
      </w:r>
      <w:r w:rsidR="008271A4">
        <w:rPr>
          <w:rFonts w:ascii="Arial" w:hAnsi="Arial" w:cs="Arial"/>
          <w:sz w:val="24"/>
          <w:szCs w:val="24"/>
        </w:rPr>
        <w:t>which opened</w:t>
      </w:r>
      <w:r>
        <w:rPr>
          <w:rFonts w:ascii="Arial" w:hAnsi="Arial" w:cs="Arial"/>
          <w:sz w:val="24"/>
          <w:szCs w:val="24"/>
        </w:rPr>
        <w:t xml:space="preserve"> in March this year </w:t>
      </w:r>
      <w:r w:rsidRPr="00942C03">
        <w:rPr>
          <w:rFonts w:ascii="Arial" w:hAnsi="Arial" w:cs="Arial"/>
          <w:sz w:val="24"/>
          <w:szCs w:val="24"/>
        </w:rPr>
        <w:t>and £</w:t>
      </w:r>
      <w:r w:rsidR="00FA13E4">
        <w:rPr>
          <w:rFonts w:ascii="Arial" w:hAnsi="Arial" w:cs="Arial"/>
          <w:sz w:val="24"/>
          <w:szCs w:val="24"/>
        </w:rPr>
        <w:t>1</w:t>
      </w:r>
      <w:r w:rsidRPr="00942C03">
        <w:rPr>
          <w:rFonts w:ascii="Arial" w:hAnsi="Arial" w:cs="Arial"/>
          <w:sz w:val="24"/>
          <w:szCs w:val="24"/>
        </w:rPr>
        <w:t xml:space="preserve"> million</w:t>
      </w:r>
      <w:r>
        <w:rPr>
          <w:rFonts w:ascii="Arial" w:hAnsi="Arial" w:cs="Arial"/>
          <w:sz w:val="24"/>
          <w:szCs w:val="24"/>
        </w:rPr>
        <w:t xml:space="preserve"> lower sublet rental income on vacant store space.</w:t>
      </w:r>
    </w:p>
    <w:p w:rsidR="00F43072" w:rsidRPr="004C2B82" w:rsidRDefault="00F43072" w:rsidP="007A21A8">
      <w:pPr>
        <w:jc w:val="left"/>
        <w:rPr>
          <w:rFonts w:ascii="Arial" w:hAnsi="Arial" w:cs="Arial"/>
          <w:sz w:val="24"/>
          <w:szCs w:val="24"/>
          <w:highlight w:val="yellow"/>
        </w:rPr>
      </w:pPr>
    </w:p>
    <w:p w:rsidR="007A21A8" w:rsidRPr="00256B52" w:rsidRDefault="007A21A8" w:rsidP="00256B52">
      <w:pPr>
        <w:tabs>
          <w:tab w:val="left" w:pos="357"/>
        </w:tabs>
        <w:ind w:right="-282"/>
        <w:jc w:val="left"/>
        <w:rPr>
          <w:rFonts w:ascii="Arial" w:hAnsi="Arial" w:cs="Arial"/>
          <w:i/>
          <w:iCs/>
          <w:sz w:val="18"/>
          <w:szCs w:val="18"/>
        </w:rPr>
      </w:pPr>
      <w:r>
        <w:rPr>
          <w:rFonts w:ascii="Arial" w:hAnsi="Arial" w:cs="Arial"/>
          <w:i/>
          <w:iCs/>
          <w:sz w:val="18"/>
          <w:szCs w:val="18"/>
          <w:vertAlign w:val="superscript"/>
        </w:rPr>
        <w:t>(1</w:t>
      </w:r>
      <w:r w:rsidRPr="007A3993">
        <w:rPr>
          <w:rFonts w:ascii="Arial" w:hAnsi="Arial" w:cs="Arial"/>
          <w:i/>
          <w:iCs/>
          <w:sz w:val="18"/>
          <w:szCs w:val="18"/>
          <w:vertAlign w:val="superscript"/>
        </w:rPr>
        <w:t>)</w:t>
      </w:r>
      <w:r>
        <w:rPr>
          <w:rFonts w:ascii="Arial" w:hAnsi="Arial" w:cs="Arial"/>
          <w:i/>
          <w:iCs/>
          <w:sz w:val="18"/>
          <w:szCs w:val="18"/>
          <w:vertAlign w:val="superscript"/>
        </w:rPr>
        <w:t xml:space="preserve"> </w:t>
      </w:r>
      <w:r>
        <w:rPr>
          <w:rFonts w:ascii="Arial" w:hAnsi="Arial" w:cs="Arial"/>
          <w:i/>
          <w:iCs/>
          <w:sz w:val="18"/>
          <w:szCs w:val="18"/>
        </w:rPr>
        <w:t xml:space="preserve">Due to non-coterminous year ends, Hornbach’s weather impacted Q1 (Mar-May 2013) is accounted for in Kingfisher’s Q2 </w:t>
      </w:r>
    </w:p>
    <w:p w:rsidR="00D04035" w:rsidRPr="0037199C" w:rsidRDefault="00F341D2" w:rsidP="0037199C">
      <w:pPr>
        <w:tabs>
          <w:tab w:val="left" w:pos="357"/>
        </w:tabs>
        <w:ind w:right="-282"/>
        <w:jc w:val="left"/>
        <w:rPr>
          <w:rFonts w:ascii="Arial" w:hAnsi="Arial" w:cs="Arial"/>
          <w:i/>
          <w:iCs/>
          <w:sz w:val="18"/>
          <w:szCs w:val="18"/>
        </w:rPr>
      </w:pPr>
      <w:r w:rsidRPr="00C21DBE">
        <w:rPr>
          <w:rFonts w:ascii="Arial" w:hAnsi="Arial" w:cs="Arial"/>
          <w:i/>
          <w:iCs/>
          <w:sz w:val="18"/>
          <w:szCs w:val="18"/>
          <w:vertAlign w:val="superscript"/>
        </w:rPr>
        <w:t>(2)</w:t>
      </w:r>
      <w:r w:rsidRPr="0037199C">
        <w:rPr>
          <w:rFonts w:ascii="Arial" w:hAnsi="Arial" w:cs="Arial"/>
          <w:i/>
          <w:iCs/>
          <w:sz w:val="18"/>
          <w:szCs w:val="18"/>
        </w:rPr>
        <w:t xml:space="preserve"> New property transaction sales +25% for 17 cities in which B&amp;</w:t>
      </w:r>
      <w:r w:rsidR="00DE33BB">
        <w:rPr>
          <w:rFonts w:ascii="Arial" w:hAnsi="Arial" w:cs="Arial"/>
          <w:i/>
          <w:iCs/>
          <w:sz w:val="18"/>
          <w:szCs w:val="18"/>
        </w:rPr>
        <w:t>Q China</w:t>
      </w:r>
      <w:r w:rsidRPr="0037199C">
        <w:rPr>
          <w:rFonts w:ascii="Arial" w:hAnsi="Arial" w:cs="Arial"/>
          <w:i/>
          <w:iCs/>
          <w:sz w:val="18"/>
          <w:szCs w:val="18"/>
        </w:rPr>
        <w:t xml:space="preserve"> operates Jul 2012 –June 2013 according to the China Real Estate Exchange Centre </w:t>
      </w:r>
    </w:p>
    <w:p w:rsidR="008A446F" w:rsidRDefault="008A446F" w:rsidP="00F35102">
      <w:pPr>
        <w:tabs>
          <w:tab w:val="left" w:pos="357"/>
        </w:tabs>
        <w:ind w:right="-282"/>
        <w:jc w:val="left"/>
        <w:rPr>
          <w:rFonts w:ascii="Arial" w:hAnsi="Arial" w:cs="Arial"/>
          <w:b/>
          <w:bCs/>
          <w:sz w:val="24"/>
          <w:szCs w:val="24"/>
        </w:rPr>
      </w:pPr>
    </w:p>
    <w:p w:rsidR="00B918E5" w:rsidRPr="00E4603F" w:rsidRDefault="00B918E5" w:rsidP="00B918E5">
      <w:pPr>
        <w:jc w:val="left"/>
        <w:rPr>
          <w:rFonts w:ascii="Arial" w:hAnsi="Arial" w:cs="Arial"/>
          <w:b/>
          <w:bCs/>
          <w:sz w:val="24"/>
          <w:szCs w:val="24"/>
        </w:rPr>
      </w:pPr>
      <w:r w:rsidRPr="00E4603F">
        <w:rPr>
          <w:rFonts w:ascii="Arial" w:hAnsi="Arial" w:cs="Arial"/>
          <w:b/>
          <w:bCs/>
          <w:sz w:val="24"/>
          <w:szCs w:val="24"/>
        </w:rPr>
        <w:t>Section 3</w:t>
      </w:r>
    </w:p>
    <w:p w:rsidR="00B918E5" w:rsidRDefault="00B36322" w:rsidP="00B918E5">
      <w:pPr>
        <w:jc w:val="left"/>
        <w:rPr>
          <w:rFonts w:ascii="Arial" w:hAnsi="Arial" w:cs="Arial"/>
          <w:b/>
          <w:bCs/>
          <w:sz w:val="24"/>
          <w:szCs w:val="24"/>
        </w:rPr>
      </w:pPr>
      <w:r>
        <w:rPr>
          <w:rFonts w:ascii="Arial" w:hAnsi="Arial" w:cs="Arial"/>
          <w:b/>
          <w:bCs/>
          <w:sz w:val="24"/>
          <w:szCs w:val="24"/>
        </w:rPr>
        <w:t xml:space="preserve">SUMMARY </w:t>
      </w:r>
      <w:r w:rsidR="00B918E5">
        <w:rPr>
          <w:rFonts w:ascii="Arial" w:hAnsi="Arial" w:cs="Arial"/>
          <w:b/>
          <w:bCs/>
          <w:sz w:val="24"/>
          <w:szCs w:val="24"/>
        </w:rPr>
        <w:t>DATA BY GEOGRAPHY</w:t>
      </w:r>
    </w:p>
    <w:p w:rsidR="00B918E5" w:rsidRPr="00581772" w:rsidRDefault="00B918E5" w:rsidP="00B918E5">
      <w:pPr>
        <w:jc w:val="left"/>
        <w:rPr>
          <w:rFonts w:ascii="Arial" w:hAnsi="Arial" w:cs="Arial"/>
          <w:sz w:val="24"/>
          <w:szCs w:val="24"/>
          <w:highlight w:val="magenta"/>
        </w:rPr>
      </w:pPr>
    </w:p>
    <w:tbl>
      <w:tblPr>
        <w:tblW w:w="4296" w:type="pct"/>
        <w:tblInd w:w="2" w:type="dxa"/>
        <w:tblLayout w:type="fixed"/>
        <w:tblLook w:val="01E0" w:firstRow="1" w:lastRow="1" w:firstColumn="1" w:lastColumn="1" w:noHBand="0" w:noVBand="0"/>
      </w:tblPr>
      <w:tblGrid>
        <w:gridCol w:w="2800"/>
        <w:gridCol w:w="2129"/>
        <w:gridCol w:w="1702"/>
        <w:gridCol w:w="1838"/>
      </w:tblGrid>
      <w:tr w:rsidR="00B918E5" w:rsidRPr="00271E01" w:rsidTr="00FA5AC4">
        <w:trPr>
          <w:trHeight w:val="739"/>
        </w:trPr>
        <w:tc>
          <w:tcPr>
            <w:tcW w:w="1653" w:type="pct"/>
            <w:tcBorders>
              <w:bottom w:val="single" w:sz="4" w:space="0" w:color="auto"/>
            </w:tcBorders>
          </w:tcPr>
          <w:p w:rsidR="00B918E5" w:rsidRPr="00271E01" w:rsidRDefault="00B918E5" w:rsidP="00B918E5">
            <w:pPr>
              <w:ind w:left="110" w:hanging="110"/>
              <w:jc w:val="left"/>
              <w:rPr>
                <w:rFonts w:ascii="Arial" w:hAnsi="Arial" w:cs="Arial"/>
                <w:b/>
                <w:bCs/>
              </w:rPr>
            </w:pPr>
            <w:r>
              <w:rPr>
                <w:rFonts w:ascii="Arial" w:hAnsi="Arial" w:cs="Arial"/>
              </w:rPr>
              <w:t>As at 3</w:t>
            </w:r>
            <w:r w:rsidRPr="005C3DA9">
              <w:rPr>
                <w:rFonts w:ascii="Arial" w:hAnsi="Arial" w:cs="Arial"/>
              </w:rPr>
              <w:t xml:space="preserve"> </w:t>
            </w:r>
            <w:r>
              <w:rPr>
                <w:rFonts w:ascii="Arial" w:hAnsi="Arial" w:cs="Arial"/>
              </w:rPr>
              <w:t xml:space="preserve">August </w:t>
            </w:r>
            <w:r w:rsidRPr="005C3DA9">
              <w:rPr>
                <w:rFonts w:ascii="Arial" w:hAnsi="Arial" w:cs="Arial"/>
              </w:rPr>
              <w:t>2013</w:t>
            </w:r>
          </w:p>
        </w:tc>
        <w:tc>
          <w:tcPr>
            <w:tcW w:w="1257" w:type="pct"/>
            <w:tcBorders>
              <w:bottom w:val="single" w:sz="4" w:space="0" w:color="auto"/>
            </w:tcBorders>
          </w:tcPr>
          <w:p w:rsidR="00B918E5" w:rsidRDefault="00B918E5" w:rsidP="00B918E5">
            <w:pPr>
              <w:ind w:left="110" w:hanging="110"/>
              <w:jc w:val="right"/>
              <w:rPr>
                <w:rFonts w:ascii="Arial" w:hAnsi="Arial" w:cs="Arial"/>
                <w:b/>
                <w:bCs/>
              </w:rPr>
            </w:pPr>
            <w:r w:rsidRPr="00271E01">
              <w:rPr>
                <w:rFonts w:ascii="Arial" w:hAnsi="Arial" w:cs="Arial"/>
                <w:b/>
                <w:bCs/>
              </w:rPr>
              <w:t xml:space="preserve">Store </w:t>
            </w:r>
          </w:p>
          <w:p w:rsidR="00B918E5" w:rsidRPr="00271E01" w:rsidRDefault="00B918E5" w:rsidP="00B918E5">
            <w:pPr>
              <w:ind w:left="110" w:hanging="110"/>
              <w:jc w:val="right"/>
              <w:rPr>
                <w:rFonts w:ascii="Arial" w:hAnsi="Arial" w:cs="Arial"/>
                <w:b/>
                <w:bCs/>
                <w:highlight w:val="magenta"/>
              </w:rPr>
            </w:pPr>
            <w:r w:rsidRPr="00271E01">
              <w:rPr>
                <w:rFonts w:ascii="Arial" w:hAnsi="Arial" w:cs="Arial"/>
                <w:b/>
                <w:bCs/>
              </w:rPr>
              <w:t>numbers</w:t>
            </w:r>
          </w:p>
        </w:tc>
        <w:tc>
          <w:tcPr>
            <w:tcW w:w="1005" w:type="pct"/>
            <w:tcBorders>
              <w:bottom w:val="single" w:sz="4" w:space="0" w:color="auto"/>
            </w:tcBorders>
          </w:tcPr>
          <w:p w:rsidR="00B918E5" w:rsidRPr="002E35F8" w:rsidRDefault="00B918E5" w:rsidP="00B918E5">
            <w:pPr>
              <w:ind w:left="110" w:hanging="110"/>
              <w:jc w:val="right"/>
              <w:rPr>
                <w:rFonts w:ascii="Arial" w:hAnsi="Arial" w:cs="Arial"/>
                <w:b/>
                <w:bCs/>
              </w:rPr>
            </w:pPr>
            <w:r w:rsidRPr="002E35F8">
              <w:rPr>
                <w:rFonts w:ascii="Arial" w:hAnsi="Arial" w:cs="Arial"/>
                <w:b/>
                <w:bCs/>
              </w:rPr>
              <w:t>Selling space</w:t>
            </w:r>
          </w:p>
          <w:p w:rsidR="00B918E5" w:rsidRPr="009618C2" w:rsidRDefault="00B918E5" w:rsidP="00B918E5">
            <w:pPr>
              <w:ind w:left="110" w:hanging="110"/>
              <w:jc w:val="right"/>
              <w:rPr>
                <w:rFonts w:ascii="Arial" w:hAnsi="Arial" w:cs="Arial"/>
                <w:b/>
                <w:bCs/>
              </w:rPr>
            </w:pPr>
            <w:r w:rsidRPr="009618C2">
              <w:rPr>
                <w:rFonts w:ascii="Arial" w:hAnsi="Arial" w:cs="Arial"/>
                <w:b/>
                <w:bCs/>
              </w:rPr>
              <w:t>(000s</w:t>
            </w:r>
            <w:r>
              <w:rPr>
                <w:rFonts w:ascii="Arial" w:hAnsi="Arial" w:cs="Arial"/>
                <w:b/>
                <w:bCs/>
              </w:rPr>
              <w:t xml:space="preserve"> </w:t>
            </w:r>
            <w:r w:rsidRPr="009618C2">
              <w:rPr>
                <w:rFonts w:ascii="Arial" w:hAnsi="Arial" w:cs="Arial"/>
                <w:b/>
                <w:bCs/>
              </w:rPr>
              <w:t>m2)</w:t>
            </w:r>
          </w:p>
        </w:tc>
        <w:tc>
          <w:tcPr>
            <w:tcW w:w="1085" w:type="pct"/>
            <w:tcBorders>
              <w:bottom w:val="single" w:sz="4" w:space="0" w:color="auto"/>
            </w:tcBorders>
          </w:tcPr>
          <w:p w:rsidR="00B918E5" w:rsidRPr="002E35F8" w:rsidRDefault="00B918E5" w:rsidP="00B918E5">
            <w:pPr>
              <w:ind w:left="110" w:hanging="110"/>
              <w:jc w:val="right"/>
              <w:rPr>
                <w:rFonts w:ascii="Arial" w:hAnsi="Arial" w:cs="Arial"/>
                <w:b/>
                <w:bCs/>
              </w:rPr>
            </w:pPr>
            <w:r w:rsidRPr="002E35F8">
              <w:rPr>
                <w:rFonts w:ascii="Arial" w:hAnsi="Arial" w:cs="Arial"/>
                <w:b/>
                <w:bCs/>
              </w:rPr>
              <w:t>Employees</w:t>
            </w:r>
          </w:p>
          <w:p w:rsidR="00B918E5" w:rsidRPr="009618C2" w:rsidRDefault="00B918E5" w:rsidP="00B918E5">
            <w:pPr>
              <w:ind w:left="110" w:hanging="110"/>
              <w:jc w:val="right"/>
              <w:rPr>
                <w:rFonts w:ascii="Arial" w:hAnsi="Arial" w:cs="Arial"/>
                <w:b/>
                <w:bCs/>
              </w:rPr>
            </w:pPr>
            <w:r w:rsidRPr="009618C2">
              <w:rPr>
                <w:rFonts w:ascii="Arial" w:hAnsi="Arial" w:cs="Arial"/>
                <w:b/>
                <w:bCs/>
              </w:rPr>
              <w:t>(FTE)</w:t>
            </w:r>
          </w:p>
        </w:tc>
      </w:tr>
      <w:tr w:rsidR="00B918E5" w:rsidRPr="00271E01" w:rsidTr="00FA5AC4">
        <w:tc>
          <w:tcPr>
            <w:tcW w:w="1653" w:type="pct"/>
            <w:tcBorders>
              <w:top w:val="single" w:sz="4" w:space="0" w:color="auto"/>
            </w:tcBorders>
          </w:tcPr>
          <w:p w:rsidR="00B918E5" w:rsidRPr="00271E01" w:rsidRDefault="00B918E5" w:rsidP="00B918E5">
            <w:pPr>
              <w:ind w:left="110" w:hanging="110"/>
              <w:jc w:val="left"/>
              <w:rPr>
                <w:rFonts w:ascii="Arial" w:hAnsi="Arial" w:cs="Arial"/>
              </w:rPr>
            </w:pPr>
            <w:r w:rsidRPr="00271E01">
              <w:rPr>
                <w:rFonts w:ascii="Arial" w:hAnsi="Arial" w:cs="Arial"/>
              </w:rPr>
              <w:t>Castorama</w:t>
            </w:r>
            <w:r w:rsidRPr="00271E01" w:rsidDel="00CC3AB5">
              <w:rPr>
                <w:rFonts w:ascii="Arial" w:hAnsi="Arial" w:cs="Arial"/>
              </w:rPr>
              <w:t xml:space="preserve"> </w:t>
            </w:r>
          </w:p>
        </w:tc>
        <w:tc>
          <w:tcPr>
            <w:tcW w:w="1257" w:type="pct"/>
            <w:tcBorders>
              <w:top w:val="single" w:sz="4" w:space="0" w:color="auto"/>
            </w:tcBorders>
          </w:tcPr>
          <w:p w:rsidR="00B918E5" w:rsidRPr="00271E01" w:rsidRDefault="00321B87" w:rsidP="00B918E5">
            <w:pPr>
              <w:ind w:left="110" w:hanging="110"/>
              <w:jc w:val="right"/>
              <w:rPr>
                <w:rFonts w:ascii="Arial" w:hAnsi="Arial" w:cs="Arial"/>
              </w:rPr>
            </w:pPr>
            <w:r>
              <w:rPr>
                <w:rFonts w:ascii="Arial" w:hAnsi="Arial" w:cs="Arial"/>
              </w:rPr>
              <w:t>105</w:t>
            </w:r>
          </w:p>
        </w:tc>
        <w:tc>
          <w:tcPr>
            <w:tcW w:w="1005" w:type="pct"/>
            <w:tcBorders>
              <w:top w:val="single" w:sz="4" w:space="0" w:color="auto"/>
            </w:tcBorders>
          </w:tcPr>
          <w:p w:rsidR="00B918E5" w:rsidRPr="00271E01" w:rsidRDefault="00321B87" w:rsidP="00B918E5">
            <w:pPr>
              <w:ind w:left="110" w:hanging="110"/>
              <w:jc w:val="right"/>
              <w:rPr>
                <w:rFonts w:ascii="Arial" w:hAnsi="Arial" w:cs="Arial"/>
              </w:rPr>
            </w:pPr>
            <w:r>
              <w:rPr>
                <w:rFonts w:ascii="Arial" w:hAnsi="Arial" w:cs="Arial"/>
              </w:rPr>
              <w:t>1,113</w:t>
            </w:r>
          </w:p>
        </w:tc>
        <w:tc>
          <w:tcPr>
            <w:tcW w:w="1085" w:type="pct"/>
            <w:tcBorders>
              <w:top w:val="single" w:sz="4" w:space="0" w:color="auto"/>
            </w:tcBorders>
          </w:tcPr>
          <w:p w:rsidR="00B918E5" w:rsidRPr="00271E01" w:rsidRDefault="00A91221" w:rsidP="00B918E5">
            <w:pPr>
              <w:ind w:left="110" w:hanging="110"/>
              <w:jc w:val="right"/>
              <w:rPr>
                <w:rFonts w:ascii="Arial" w:hAnsi="Arial" w:cs="Arial"/>
              </w:rPr>
            </w:pPr>
            <w:r>
              <w:rPr>
                <w:rFonts w:ascii="Arial" w:hAnsi="Arial" w:cs="Arial"/>
              </w:rPr>
              <w:t>12,416</w:t>
            </w:r>
          </w:p>
        </w:tc>
      </w:tr>
      <w:tr w:rsidR="00B918E5" w:rsidRPr="00271E01" w:rsidTr="00B918E5">
        <w:tc>
          <w:tcPr>
            <w:tcW w:w="1653" w:type="pct"/>
            <w:tcBorders>
              <w:bottom w:val="single" w:sz="4" w:space="0" w:color="auto"/>
            </w:tcBorders>
          </w:tcPr>
          <w:p w:rsidR="00B918E5" w:rsidRPr="00271E01" w:rsidRDefault="00B918E5" w:rsidP="00B918E5">
            <w:pPr>
              <w:ind w:left="110" w:hanging="110"/>
              <w:jc w:val="left"/>
              <w:rPr>
                <w:rFonts w:ascii="Arial" w:hAnsi="Arial" w:cs="Arial"/>
              </w:rPr>
            </w:pPr>
            <w:r w:rsidRPr="00271E01">
              <w:rPr>
                <w:rFonts w:ascii="Arial" w:hAnsi="Arial" w:cs="Arial"/>
              </w:rPr>
              <w:t>Brico Dépôt</w:t>
            </w:r>
          </w:p>
        </w:tc>
        <w:tc>
          <w:tcPr>
            <w:tcW w:w="1257" w:type="pct"/>
            <w:tcBorders>
              <w:bottom w:val="single" w:sz="4" w:space="0" w:color="auto"/>
            </w:tcBorders>
          </w:tcPr>
          <w:p w:rsidR="00B918E5" w:rsidRPr="00271E01" w:rsidRDefault="00321B87" w:rsidP="00B918E5">
            <w:pPr>
              <w:ind w:left="110" w:hanging="110"/>
              <w:jc w:val="right"/>
              <w:rPr>
                <w:rFonts w:ascii="Arial" w:hAnsi="Arial" w:cs="Arial"/>
              </w:rPr>
            </w:pPr>
            <w:r>
              <w:rPr>
                <w:rFonts w:ascii="Arial" w:hAnsi="Arial" w:cs="Arial"/>
              </w:rPr>
              <w:t>106</w:t>
            </w:r>
          </w:p>
        </w:tc>
        <w:tc>
          <w:tcPr>
            <w:tcW w:w="1005" w:type="pct"/>
            <w:tcBorders>
              <w:bottom w:val="single" w:sz="4" w:space="0" w:color="auto"/>
            </w:tcBorders>
          </w:tcPr>
          <w:p w:rsidR="00B918E5" w:rsidRPr="00271E01" w:rsidRDefault="00321B87" w:rsidP="00B918E5">
            <w:pPr>
              <w:ind w:left="110" w:hanging="110"/>
              <w:jc w:val="right"/>
              <w:rPr>
                <w:rFonts w:ascii="Arial" w:hAnsi="Arial" w:cs="Arial"/>
              </w:rPr>
            </w:pPr>
            <w:r>
              <w:rPr>
                <w:rFonts w:ascii="Arial" w:hAnsi="Arial" w:cs="Arial"/>
              </w:rPr>
              <w:t>589</w:t>
            </w:r>
          </w:p>
        </w:tc>
        <w:tc>
          <w:tcPr>
            <w:tcW w:w="1085" w:type="pct"/>
            <w:tcBorders>
              <w:bottom w:val="single" w:sz="4" w:space="0" w:color="auto"/>
            </w:tcBorders>
          </w:tcPr>
          <w:p w:rsidR="00B918E5" w:rsidRPr="00271E01" w:rsidRDefault="00A91221" w:rsidP="00B918E5">
            <w:pPr>
              <w:ind w:left="110" w:hanging="110"/>
              <w:jc w:val="right"/>
              <w:rPr>
                <w:rFonts w:ascii="Arial" w:hAnsi="Arial" w:cs="Arial"/>
              </w:rPr>
            </w:pPr>
            <w:r>
              <w:rPr>
                <w:rFonts w:ascii="Arial" w:hAnsi="Arial" w:cs="Arial"/>
              </w:rPr>
              <w:t>6,987</w:t>
            </w:r>
          </w:p>
        </w:tc>
      </w:tr>
      <w:tr w:rsidR="00B918E5" w:rsidRPr="00271E01" w:rsidTr="00B918E5">
        <w:tc>
          <w:tcPr>
            <w:tcW w:w="1653" w:type="pct"/>
            <w:tcBorders>
              <w:top w:val="single" w:sz="4" w:space="0" w:color="auto"/>
            </w:tcBorders>
          </w:tcPr>
          <w:p w:rsidR="00B918E5" w:rsidRPr="00271E01" w:rsidRDefault="00B918E5" w:rsidP="00B918E5">
            <w:pPr>
              <w:ind w:left="110" w:hanging="110"/>
              <w:jc w:val="left"/>
              <w:rPr>
                <w:rFonts w:ascii="Arial" w:hAnsi="Arial" w:cs="Arial"/>
                <w:b/>
                <w:bCs/>
              </w:rPr>
            </w:pPr>
            <w:r w:rsidRPr="00271E01">
              <w:rPr>
                <w:rFonts w:ascii="Arial" w:hAnsi="Arial" w:cs="Arial"/>
                <w:b/>
                <w:bCs/>
              </w:rPr>
              <w:t>France</w:t>
            </w:r>
          </w:p>
        </w:tc>
        <w:tc>
          <w:tcPr>
            <w:tcW w:w="1257" w:type="pct"/>
            <w:tcBorders>
              <w:top w:val="single" w:sz="4" w:space="0" w:color="auto"/>
            </w:tcBorders>
          </w:tcPr>
          <w:p w:rsidR="00B918E5" w:rsidRPr="00271E01" w:rsidRDefault="00321B87" w:rsidP="00B918E5">
            <w:pPr>
              <w:ind w:left="110" w:hanging="110"/>
              <w:jc w:val="right"/>
              <w:rPr>
                <w:rFonts w:ascii="Arial" w:hAnsi="Arial" w:cs="Arial"/>
                <w:b/>
                <w:bCs/>
              </w:rPr>
            </w:pPr>
            <w:r>
              <w:rPr>
                <w:rFonts w:ascii="Arial" w:hAnsi="Arial" w:cs="Arial"/>
                <w:b/>
                <w:bCs/>
              </w:rPr>
              <w:t>211</w:t>
            </w:r>
          </w:p>
        </w:tc>
        <w:tc>
          <w:tcPr>
            <w:tcW w:w="1005" w:type="pct"/>
            <w:tcBorders>
              <w:top w:val="single" w:sz="4" w:space="0" w:color="auto"/>
            </w:tcBorders>
          </w:tcPr>
          <w:p w:rsidR="00B918E5" w:rsidRPr="00271E01" w:rsidRDefault="00321B87" w:rsidP="00B918E5">
            <w:pPr>
              <w:ind w:left="110" w:hanging="110"/>
              <w:jc w:val="right"/>
              <w:rPr>
                <w:rFonts w:ascii="Arial" w:hAnsi="Arial" w:cs="Arial"/>
                <w:b/>
                <w:bCs/>
              </w:rPr>
            </w:pPr>
            <w:r>
              <w:rPr>
                <w:rFonts w:ascii="Arial" w:hAnsi="Arial" w:cs="Arial"/>
                <w:b/>
                <w:bCs/>
              </w:rPr>
              <w:t>1,702</w:t>
            </w:r>
          </w:p>
        </w:tc>
        <w:tc>
          <w:tcPr>
            <w:tcW w:w="1085" w:type="pct"/>
            <w:tcBorders>
              <w:top w:val="single" w:sz="4" w:space="0" w:color="auto"/>
            </w:tcBorders>
          </w:tcPr>
          <w:p w:rsidR="00B918E5" w:rsidRPr="00271E01" w:rsidRDefault="00A91221" w:rsidP="00B918E5">
            <w:pPr>
              <w:ind w:left="110" w:hanging="110"/>
              <w:jc w:val="right"/>
              <w:rPr>
                <w:rFonts w:ascii="Arial" w:hAnsi="Arial" w:cs="Arial"/>
                <w:b/>
                <w:bCs/>
              </w:rPr>
            </w:pPr>
            <w:r>
              <w:rPr>
                <w:rFonts w:ascii="Arial" w:hAnsi="Arial" w:cs="Arial"/>
                <w:b/>
                <w:bCs/>
              </w:rPr>
              <w:t>19,403</w:t>
            </w:r>
          </w:p>
        </w:tc>
      </w:tr>
      <w:tr w:rsidR="00B918E5" w:rsidRPr="00271E01" w:rsidTr="00B918E5">
        <w:tc>
          <w:tcPr>
            <w:tcW w:w="1653" w:type="pct"/>
          </w:tcPr>
          <w:p w:rsidR="00B918E5" w:rsidRPr="00271E01" w:rsidRDefault="00B918E5" w:rsidP="00B918E5">
            <w:pPr>
              <w:spacing w:before="60"/>
              <w:jc w:val="left"/>
              <w:rPr>
                <w:rFonts w:ascii="Arial" w:hAnsi="Arial" w:cs="Arial"/>
              </w:rPr>
            </w:pPr>
            <w:r w:rsidRPr="00271E01">
              <w:rPr>
                <w:rFonts w:ascii="Arial" w:hAnsi="Arial" w:cs="Arial"/>
              </w:rPr>
              <w:t>B&amp;Q UK &amp; Ireland</w:t>
            </w:r>
          </w:p>
        </w:tc>
        <w:tc>
          <w:tcPr>
            <w:tcW w:w="1257" w:type="pct"/>
          </w:tcPr>
          <w:p w:rsidR="00B918E5" w:rsidRPr="00271E01" w:rsidRDefault="00321B87" w:rsidP="00B918E5">
            <w:pPr>
              <w:spacing w:before="60"/>
              <w:ind w:left="110" w:hanging="110"/>
              <w:jc w:val="right"/>
              <w:rPr>
                <w:rFonts w:ascii="Arial" w:hAnsi="Arial" w:cs="Arial"/>
              </w:rPr>
            </w:pPr>
            <w:r>
              <w:rPr>
                <w:rFonts w:ascii="Arial" w:hAnsi="Arial" w:cs="Arial"/>
              </w:rPr>
              <w:t>357</w:t>
            </w:r>
          </w:p>
        </w:tc>
        <w:tc>
          <w:tcPr>
            <w:tcW w:w="1005" w:type="pct"/>
          </w:tcPr>
          <w:p w:rsidR="00B918E5" w:rsidRPr="00271E01" w:rsidRDefault="00A91221" w:rsidP="00B918E5">
            <w:pPr>
              <w:spacing w:before="60"/>
              <w:ind w:left="110" w:hanging="110"/>
              <w:jc w:val="right"/>
              <w:rPr>
                <w:rFonts w:ascii="Arial" w:hAnsi="Arial" w:cs="Arial"/>
              </w:rPr>
            </w:pPr>
            <w:r>
              <w:rPr>
                <w:rFonts w:ascii="Arial" w:hAnsi="Arial" w:cs="Arial"/>
              </w:rPr>
              <w:t>2,55</w:t>
            </w:r>
            <w:r w:rsidR="00485CC5">
              <w:rPr>
                <w:rFonts w:ascii="Arial" w:hAnsi="Arial" w:cs="Arial"/>
              </w:rPr>
              <w:t>8</w:t>
            </w:r>
          </w:p>
        </w:tc>
        <w:tc>
          <w:tcPr>
            <w:tcW w:w="1085" w:type="pct"/>
          </w:tcPr>
          <w:p w:rsidR="00B918E5" w:rsidRPr="00271E01" w:rsidRDefault="009C7E8A" w:rsidP="00B918E5">
            <w:pPr>
              <w:spacing w:before="60"/>
              <w:ind w:left="110" w:hanging="110"/>
              <w:jc w:val="right"/>
              <w:rPr>
                <w:rFonts w:ascii="Arial" w:hAnsi="Arial" w:cs="Arial"/>
              </w:rPr>
            </w:pPr>
            <w:r>
              <w:rPr>
                <w:rFonts w:ascii="Arial" w:hAnsi="Arial" w:cs="Arial"/>
              </w:rPr>
              <w:t>21,650</w:t>
            </w:r>
          </w:p>
        </w:tc>
      </w:tr>
      <w:tr w:rsidR="00B918E5" w:rsidRPr="00271E01" w:rsidTr="00B918E5">
        <w:tc>
          <w:tcPr>
            <w:tcW w:w="1653" w:type="pct"/>
            <w:tcBorders>
              <w:bottom w:val="single" w:sz="4" w:space="0" w:color="auto"/>
            </w:tcBorders>
          </w:tcPr>
          <w:p w:rsidR="00B918E5" w:rsidRPr="00271E01" w:rsidRDefault="00B918E5" w:rsidP="00B918E5">
            <w:pPr>
              <w:ind w:left="110" w:hanging="110"/>
              <w:jc w:val="left"/>
              <w:rPr>
                <w:rFonts w:ascii="Arial" w:hAnsi="Arial" w:cs="Arial"/>
              </w:rPr>
            </w:pPr>
            <w:r w:rsidRPr="00271E01">
              <w:rPr>
                <w:rFonts w:ascii="Arial" w:hAnsi="Arial" w:cs="Arial"/>
              </w:rPr>
              <w:t xml:space="preserve">Screwfix </w:t>
            </w:r>
          </w:p>
        </w:tc>
        <w:tc>
          <w:tcPr>
            <w:tcW w:w="1257" w:type="pct"/>
            <w:tcBorders>
              <w:bottom w:val="single" w:sz="4" w:space="0" w:color="auto"/>
            </w:tcBorders>
          </w:tcPr>
          <w:p w:rsidR="00B918E5" w:rsidRPr="00271E01" w:rsidRDefault="00321B87" w:rsidP="00B918E5">
            <w:pPr>
              <w:ind w:left="110" w:hanging="110"/>
              <w:jc w:val="right"/>
              <w:rPr>
                <w:rFonts w:ascii="Arial" w:hAnsi="Arial" w:cs="Arial"/>
              </w:rPr>
            </w:pPr>
            <w:r>
              <w:rPr>
                <w:rFonts w:ascii="Arial" w:hAnsi="Arial" w:cs="Arial"/>
              </w:rPr>
              <w:t>294</w:t>
            </w:r>
          </w:p>
        </w:tc>
        <w:tc>
          <w:tcPr>
            <w:tcW w:w="1005" w:type="pct"/>
            <w:tcBorders>
              <w:bottom w:val="single" w:sz="4" w:space="0" w:color="auto"/>
            </w:tcBorders>
            <w:shd w:val="clear" w:color="auto" w:fill="auto"/>
          </w:tcPr>
          <w:p w:rsidR="00B918E5" w:rsidRPr="00271E01" w:rsidRDefault="00A91221" w:rsidP="00B918E5">
            <w:pPr>
              <w:ind w:left="110" w:hanging="110"/>
              <w:jc w:val="right"/>
              <w:rPr>
                <w:rFonts w:ascii="Arial" w:hAnsi="Arial" w:cs="Arial"/>
              </w:rPr>
            </w:pPr>
            <w:r>
              <w:rPr>
                <w:rFonts w:ascii="Arial" w:hAnsi="Arial" w:cs="Arial"/>
              </w:rPr>
              <w:t>21</w:t>
            </w:r>
          </w:p>
        </w:tc>
        <w:tc>
          <w:tcPr>
            <w:tcW w:w="1085" w:type="pct"/>
            <w:tcBorders>
              <w:bottom w:val="single" w:sz="4" w:space="0" w:color="auto"/>
            </w:tcBorders>
          </w:tcPr>
          <w:p w:rsidR="00B918E5" w:rsidRPr="00271E01" w:rsidRDefault="00A91221" w:rsidP="00B918E5">
            <w:pPr>
              <w:ind w:left="110" w:hanging="110"/>
              <w:jc w:val="right"/>
              <w:rPr>
                <w:rFonts w:ascii="Arial" w:hAnsi="Arial" w:cs="Arial"/>
              </w:rPr>
            </w:pPr>
            <w:r>
              <w:rPr>
                <w:rFonts w:ascii="Arial" w:hAnsi="Arial" w:cs="Arial"/>
              </w:rPr>
              <w:t>4,028</w:t>
            </w:r>
          </w:p>
        </w:tc>
      </w:tr>
      <w:tr w:rsidR="00B918E5" w:rsidRPr="00271E01" w:rsidTr="00B918E5">
        <w:tc>
          <w:tcPr>
            <w:tcW w:w="1653" w:type="pct"/>
            <w:tcBorders>
              <w:top w:val="single" w:sz="4" w:space="0" w:color="auto"/>
            </w:tcBorders>
          </w:tcPr>
          <w:p w:rsidR="00B918E5" w:rsidRPr="00271E01" w:rsidRDefault="00B918E5" w:rsidP="00B918E5">
            <w:pPr>
              <w:ind w:left="110" w:hanging="110"/>
              <w:jc w:val="left"/>
              <w:rPr>
                <w:rFonts w:ascii="Arial" w:hAnsi="Arial" w:cs="Arial"/>
                <w:b/>
                <w:bCs/>
              </w:rPr>
            </w:pPr>
            <w:r w:rsidRPr="00271E01">
              <w:rPr>
                <w:rFonts w:ascii="Arial" w:hAnsi="Arial" w:cs="Arial"/>
                <w:b/>
                <w:bCs/>
              </w:rPr>
              <w:t>UK &amp; Ireland</w:t>
            </w:r>
          </w:p>
        </w:tc>
        <w:tc>
          <w:tcPr>
            <w:tcW w:w="1257" w:type="pct"/>
            <w:tcBorders>
              <w:top w:val="single" w:sz="4" w:space="0" w:color="auto"/>
            </w:tcBorders>
          </w:tcPr>
          <w:p w:rsidR="00B918E5" w:rsidRPr="00271E01" w:rsidRDefault="00321B87" w:rsidP="00B918E5">
            <w:pPr>
              <w:ind w:left="110" w:hanging="110"/>
              <w:jc w:val="right"/>
              <w:rPr>
                <w:rFonts w:ascii="Arial" w:hAnsi="Arial" w:cs="Arial"/>
                <w:b/>
                <w:bCs/>
              </w:rPr>
            </w:pPr>
            <w:r>
              <w:rPr>
                <w:rFonts w:ascii="Arial" w:hAnsi="Arial" w:cs="Arial"/>
                <w:b/>
                <w:bCs/>
              </w:rPr>
              <w:t>651</w:t>
            </w:r>
          </w:p>
        </w:tc>
        <w:tc>
          <w:tcPr>
            <w:tcW w:w="1005" w:type="pct"/>
            <w:tcBorders>
              <w:top w:val="single" w:sz="4" w:space="0" w:color="auto"/>
            </w:tcBorders>
          </w:tcPr>
          <w:p w:rsidR="00B918E5" w:rsidRPr="00271E01" w:rsidRDefault="00A91221" w:rsidP="00B918E5">
            <w:pPr>
              <w:ind w:left="110" w:hanging="110"/>
              <w:jc w:val="right"/>
              <w:rPr>
                <w:rFonts w:ascii="Arial" w:hAnsi="Arial" w:cs="Arial"/>
                <w:b/>
                <w:bCs/>
              </w:rPr>
            </w:pPr>
            <w:r>
              <w:rPr>
                <w:rFonts w:ascii="Arial" w:hAnsi="Arial" w:cs="Arial"/>
                <w:b/>
                <w:bCs/>
              </w:rPr>
              <w:t>2,57</w:t>
            </w:r>
            <w:r w:rsidR="00485CC5">
              <w:rPr>
                <w:rFonts w:ascii="Arial" w:hAnsi="Arial" w:cs="Arial"/>
                <w:b/>
                <w:bCs/>
              </w:rPr>
              <w:t>9</w:t>
            </w:r>
          </w:p>
        </w:tc>
        <w:tc>
          <w:tcPr>
            <w:tcW w:w="1085" w:type="pct"/>
            <w:tcBorders>
              <w:top w:val="single" w:sz="4" w:space="0" w:color="auto"/>
            </w:tcBorders>
          </w:tcPr>
          <w:p w:rsidR="00B918E5" w:rsidRPr="00271E01" w:rsidRDefault="00A91221" w:rsidP="00B918E5">
            <w:pPr>
              <w:ind w:left="110" w:hanging="110"/>
              <w:jc w:val="right"/>
              <w:rPr>
                <w:rFonts w:ascii="Arial" w:hAnsi="Arial" w:cs="Arial"/>
                <w:b/>
                <w:bCs/>
              </w:rPr>
            </w:pPr>
            <w:r>
              <w:rPr>
                <w:rFonts w:ascii="Arial" w:hAnsi="Arial" w:cs="Arial"/>
                <w:b/>
                <w:bCs/>
              </w:rPr>
              <w:t>25,678</w:t>
            </w:r>
          </w:p>
        </w:tc>
      </w:tr>
      <w:tr w:rsidR="00B918E5" w:rsidRPr="00271E01" w:rsidTr="00B918E5">
        <w:tc>
          <w:tcPr>
            <w:tcW w:w="1653" w:type="pct"/>
          </w:tcPr>
          <w:p w:rsidR="00B918E5" w:rsidRPr="00271E01" w:rsidRDefault="00B918E5" w:rsidP="00B918E5">
            <w:pPr>
              <w:spacing w:before="60"/>
              <w:ind w:left="110" w:hanging="110"/>
              <w:jc w:val="left"/>
              <w:rPr>
                <w:rFonts w:ascii="Arial" w:hAnsi="Arial" w:cs="Arial"/>
              </w:rPr>
            </w:pPr>
            <w:r w:rsidRPr="00271E01">
              <w:rPr>
                <w:rFonts w:ascii="Arial" w:hAnsi="Arial" w:cs="Arial"/>
              </w:rPr>
              <w:t>Poland</w:t>
            </w:r>
          </w:p>
        </w:tc>
        <w:tc>
          <w:tcPr>
            <w:tcW w:w="1257" w:type="pct"/>
          </w:tcPr>
          <w:p w:rsidR="00B918E5" w:rsidRPr="00271E01" w:rsidRDefault="00321B87" w:rsidP="00B918E5">
            <w:pPr>
              <w:spacing w:before="60"/>
              <w:ind w:left="110" w:hanging="110"/>
              <w:jc w:val="right"/>
              <w:rPr>
                <w:rFonts w:ascii="Arial" w:hAnsi="Arial" w:cs="Arial"/>
              </w:rPr>
            </w:pPr>
            <w:r>
              <w:rPr>
                <w:rFonts w:ascii="Arial" w:hAnsi="Arial" w:cs="Arial"/>
              </w:rPr>
              <w:t>72</w:t>
            </w:r>
          </w:p>
        </w:tc>
        <w:tc>
          <w:tcPr>
            <w:tcW w:w="1005" w:type="pct"/>
          </w:tcPr>
          <w:p w:rsidR="00B918E5" w:rsidRPr="00271E01" w:rsidRDefault="00A91221" w:rsidP="00B918E5">
            <w:pPr>
              <w:spacing w:before="60"/>
              <w:ind w:left="110" w:hanging="110"/>
              <w:jc w:val="right"/>
              <w:rPr>
                <w:rFonts w:ascii="Arial" w:hAnsi="Arial" w:cs="Arial"/>
              </w:rPr>
            </w:pPr>
            <w:r>
              <w:rPr>
                <w:rFonts w:ascii="Arial" w:hAnsi="Arial" w:cs="Arial"/>
              </w:rPr>
              <w:t>529</w:t>
            </w:r>
          </w:p>
        </w:tc>
        <w:tc>
          <w:tcPr>
            <w:tcW w:w="1085" w:type="pct"/>
          </w:tcPr>
          <w:p w:rsidR="00B918E5" w:rsidRPr="00271E01" w:rsidRDefault="00A91221" w:rsidP="00B918E5">
            <w:pPr>
              <w:spacing w:before="60"/>
              <w:ind w:left="110" w:hanging="110"/>
              <w:jc w:val="right"/>
              <w:rPr>
                <w:rFonts w:ascii="Arial" w:hAnsi="Arial" w:cs="Arial"/>
              </w:rPr>
            </w:pPr>
            <w:r>
              <w:rPr>
                <w:rFonts w:ascii="Arial" w:hAnsi="Arial" w:cs="Arial"/>
              </w:rPr>
              <w:t>10,588</w:t>
            </w:r>
          </w:p>
        </w:tc>
      </w:tr>
      <w:tr w:rsidR="00B918E5" w:rsidRPr="00271E01" w:rsidTr="00B918E5">
        <w:tc>
          <w:tcPr>
            <w:tcW w:w="1653" w:type="pct"/>
          </w:tcPr>
          <w:p w:rsidR="00B918E5" w:rsidRPr="00271E01" w:rsidRDefault="00B918E5" w:rsidP="00B918E5">
            <w:pPr>
              <w:ind w:left="110" w:hanging="110"/>
              <w:jc w:val="left"/>
              <w:rPr>
                <w:rFonts w:ascii="Arial" w:hAnsi="Arial" w:cs="Arial"/>
                <w:lang w:val="it-IT"/>
              </w:rPr>
            </w:pPr>
            <w:r w:rsidRPr="00271E01">
              <w:rPr>
                <w:rFonts w:ascii="Arial" w:hAnsi="Arial" w:cs="Arial"/>
                <w:lang w:val="it-IT"/>
              </w:rPr>
              <w:t>China</w:t>
            </w:r>
          </w:p>
        </w:tc>
        <w:tc>
          <w:tcPr>
            <w:tcW w:w="1257" w:type="pct"/>
          </w:tcPr>
          <w:p w:rsidR="00B918E5" w:rsidRPr="00271E01" w:rsidRDefault="00321B87" w:rsidP="00B918E5">
            <w:pPr>
              <w:ind w:left="110" w:hanging="110"/>
              <w:jc w:val="right"/>
              <w:rPr>
                <w:rFonts w:ascii="Arial" w:hAnsi="Arial" w:cs="Arial"/>
              </w:rPr>
            </w:pPr>
            <w:r>
              <w:rPr>
                <w:rFonts w:ascii="Arial" w:hAnsi="Arial" w:cs="Arial"/>
              </w:rPr>
              <w:t>39</w:t>
            </w:r>
          </w:p>
        </w:tc>
        <w:tc>
          <w:tcPr>
            <w:tcW w:w="1005" w:type="pct"/>
          </w:tcPr>
          <w:p w:rsidR="00B918E5" w:rsidRPr="00271E01" w:rsidRDefault="00A91221" w:rsidP="00B918E5">
            <w:pPr>
              <w:ind w:left="110" w:hanging="110"/>
              <w:jc w:val="right"/>
              <w:rPr>
                <w:rFonts w:ascii="Arial" w:hAnsi="Arial" w:cs="Arial"/>
              </w:rPr>
            </w:pPr>
            <w:r>
              <w:rPr>
                <w:rFonts w:ascii="Arial" w:hAnsi="Arial" w:cs="Arial"/>
              </w:rPr>
              <w:t>322</w:t>
            </w:r>
          </w:p>
        </w:tc>
        <w:tc>
          <w:tcPr>
            <w:tcW w:w="1085" w:type="pct"/>
          </w:tcPr>
          <w:p w:rsidR="00B918E5" w:rsidRPr="00271E01" w:rsidRDefault="00A91221" w:rsidP="00B918E5">
            <w:pPr>
              <w:ind w:left="110" w:hanging="110"/>
              <w:jc w:val="right"/>
              <w:rPr>
                <w:rFonts w:ascii="Arial" w:hAnsi="Arial" w:cs="Arial"/>
              </w:rPr>
            </w:pPr>
            <w:r>
              <w:rPr>
                <w:rFonts w:ascii="Arial" w:hAnsi="Arial" w:cs="Arial"/>
              </w:rPr>
              <w:t>4,156</w:t>
            </w:r>
          </w:p>
        </w:tc>
      </w:tr>
      <w:tr w:rsidR="00226F18" w:rsidRPr="00271E01" w:rsidTr="00FA5AC4">
        <w:tc>
          <w:tcPr>
            <w:tcW w:w="1653" w:type="pct"/>
          </w:tcPr>
          <w:p w:rsidR="00226F18" w:rsidRDefault="00226F18" w:rsidP="00B918E5">
            <w:pPr>
              <w:ind w:left="110" w:hanging="110"/>
              <w:jc w:val="left"/>
              <w:rPr>
                <w:rFonts w:ascii="Arial" w:hAnsi="Arial" w:cs="Arial"/>
                <w:lang w:val="it-IT"/>
              </w:rPr>
            </w:pPr>
            <w:r>
              <w:rPr>
                <w:rFonts w:ascii="Arial" w:hAnsi="Arial" w:cs="Arial"/>
                <w:lang w:val="it-IT"/>
              </w:rPr>
              <w:t>Romania</w:t>
            </w:r>
          </w:p>
        </w:tc>
        <w:tc>
          <w:tcPr>
            <w:tcW w:w="1257" w:type="pct"/>
          </w:tcPr>
          <w:p w:rsidR="00226F18" w:rsidRDefault="00226F18" w:rsidP="00B918E5">
            <w:pPr>
              <w:ind w:left="110" w:hanging="110"/>
              <w:jc w:val="right"/>
              <w:rPr>
                <w:rFonts w:ascii="Arial" w:hAnsi="Arial" w:cs="Arial"/>
              </w:rPr>
            </w:pPr>
            <w:r>
              <w:rPr>
                <w:rFonts w:ascii="Arial" w:hAnsi="Arial" w:cs="Arial"/>
                <w:lang w:val="it-IT"/>
              </w:rPr>
              <w:t>15</w:t>
            </w:r>
          </w:p>
        </w:tc>
        <w:tc>
          <w:tcPr>
            <w:tcW w:w="1005" w:type="pct"/>
          </w:tcPr>
          <w:p w:rsidR="00226F18" w:rsidRDefault="00226F18" w:rsidP="00B918E5">
            <w:pPr>
              <w:ind w:left="110" w:hanging="110"/>
              <w:jc w:val="right"/>
              <w:rPr>
                <w:rFonts w:ascii="Arial" w:hAnsi="Arial" w:cs="Arial"/>
              </w:rPr>
            </w:pPr>
            <w:r>
              <w:rPr>
                <w:rFonts w:ascii="Arial" w:hAnsi="Arial" w:cs="Arial"/>
                <w:lang w:val="it-IT"/>
              </w:rPr>
              <w:t>152</w:t>
            </w:r>
          </w:p>
        </w:tc>
        <w:tc>
          <w:tcPr>
            <w:tcW w:w="1085" w:type="pct"/>
          </w:tcPr>
          <w:p w:rsidR="00226F18" w:rsidRDefault="00226F18" w:rsidP="00B918E5">
            <w:pPr>
              <w:ind w:left="110" w:hanging="110"/>
              <w:jc w:val="right"/>
              <w:rPr>
                <w:rFonts w:ascii="Arial" w:hAnsi="Arial" w:cs="Arial"/>
              </w:rPr>
            </w:pPr>
            <w:r>
              <w:rPr>
                <w:rFonts w:ascii="Arial" w:hAnsi="Arial" w:cs="Arial"/>
                <w:lang w:val="it-IT"/>
              </w:rPr>
              <w:t>1,422</w:t>
            </w:r>
          </w:p>
        </w:tc>
      </w:tr>
      <w:tr w:rsidR="00226F18" w:rsidRPr="00271E01" w:rsidTr="00226F18">
        <w:tc>
          <w:tcPr>
            <w:tcW w:w="1653" w:type="pct"/>
          </w:tcPr>
          <w:p w:rsidR="00226F18" w:rsidRDefault="00226F18" w:rsidP="00B918E5">
            <w:pPr>
              <w:jc w:val="left"/>
              <w:rPr>
                <w:rFonts w:ascii="Arial" w:hAnsi="Arial" w:cs="Arial"/>
                <w:lang w:val="it-IT"/>
              </w:rPr>
            </w:pPr>
            <w:r>
              <w:rPr>
                <w:rFonts w:ascii="Arial" w:hAnsi="Arial" w:cs="Arial"/>
                <w:lang w:val="it-IT"/>
              </w:rPr>
              <w:t>Russia</w:t>
            </w:r>
          </w:p>
        </w:tc>
        <w:tc>
          <w:tcPr>
            <w:tcW w:w="1257" w:type="pct"/>
          </w:tcPr>
          <w:p w:rsidR="00226F18" w:rsidRDefault="00226F18" w:rsidP="00B918E5">
            <w:pPr>
              <w:ind w:left="110" w:hanging="110"/>
              <w:jc w:val="right"/>
              <w:rPr>
                <w:rFonts w:ascii="Arial" w:hAnsi="Arial" w:cs="Arial"/>
                <w:lang w:val="it-IT"/>
              </w:rPr>
            </w:pPr>
            <w:r>
              <w:rPr>
                <w:rFonts w:ascii="Arial" w:hAnsi="Arial" w:cs="Arial"/>
              </w:rPr>
              <w:t>19</w:t>
            </w:r>
          </w:p>
        </w:tc>
        <w:tc>
          <w:tcPr>
            <w:tcW w:w="1005" w:type="pct"/>
          </w:tcPr>
          <w:p w:rsidR="00226F18" w:rsidRDefault="00226F18" w:rsidP="00B918E5">
            <w:pPr>
              <w:ind w:left="110" w:hanging="110"/>
              <w:jc w:val="right"/>
              <w:rPr>
                <w:rFonts w:ascii="Arial" w:hAnsi="Arial" w:cs="Arial"/>
                <w:lang w:val="it-IT"/>
              </w:rPr>
            </w:pPr>
            <w:r>
              <w:rPr>
                <w:rFonts w:ascii="Arial" w:hAnsi="Arial" w:cs="Arial"/>
              </w:rPr>
              <w:t>170</w:t>
            </w:r>
          </w:p>
        </w:tc>
        <w:tc>
          <w:tcPr>
            <w:tcW w:w="1085" w:type="pct"/>
          </w:tcPr>
          <w:p w:rsidR="00226F18" w:rsidRDefault="00226F18" w:rsidP="00B918E5">
            <w:pPr>
              <w:ind w:left="110" w:hanging="110"/>
              <w:jc w:val="right"/>
              <w:rPr>
                <w:rFonts w:ascii="Arial" w:hAnsi="Arial" w:cs="Arial"/>
                <w:lang w:val="it-IT"/>
              </w:rPr>
            </w:pPr>
            <w:r>
              <w:rPr>
                <w:rFonts w:ascii="Arial" w:hAnsi="Arial" w:cs="Arial"/>
              </w:rPr>
              <w:t>2,590</w:t>
            </w:r>
          </w:p>
        </w:tc>
      </w:tr>
      <w:tr w:rsidR="00226F18" w:rsidRPr="00271E01" w:rsidTr="00226F18">
        <w:tc>
          <w:tcPr>
            <w:tcW w:w="1653" w:type="pct"/>
          </w:tcPr>
          <w:p w:rsidR="00226F18" w:rsidRDefault="00226F18" w:rsidP="00B918E5">
            <w:pPr>
              <w:jc w:val="left"/>
              <w:rPr>
                <w:rFonts w:ascii="Arial" w:hAnsi="Arial" w:cs="Arial"/>
                <w:lang w:val="it-IT"/>
              </w:rPr>
            </w:pPr>
            <w:r>
              <w:rPr>
                <w:rFonts w:ascii="Arial" w:hAnsi="Arial" w:cs="Arial"/>
                <w:lang w:val="it-IT"/>
              </w:rPr>
              <w:t>Spain</w:t>
            </w:r>
          </w:p>
        </w:tc>
        <w:tc>
          <w:tcPr>
            <w:tcW w:w="1257" w:type="pct"/>
          </w:tcPr>
          <w:p w:rsidR="00226F18" w:rsidRDefault="00226F18" w:rsidP="00B918E5">
            <w:pPr>
              <w:ind w:left="110" w:hanging="110"/>
              <w:jc w:val="right"/>
              <w:rPr>
                <w:rFonts w:ascii="Arial" w:hAnsi="Arial" w:cs="Arial"/>
                <w:lang w:val="it-IT"/>
              </w:rPr>
            </w:pPr>
            <w:r>
              <w:rPr>
                <w:rFonts w:ascii="Arial" w:hAnsi="Arial" w:cs="Arial"/>
              </w:rPr>
              <w:t>23</w:t>
            </w:r>
          </w:p>
        </w:tc>
        <w:tc>
          <w:tcPr>
            <w:tcW w:w="1005" w:type="pct"/>
          </w:tcPr>
          <w:p w:rsidR="00226F18" w:rsidRDefault="00226F18" w:rsidP="00B918E5">
            <w:pPr>
              <w:ind w:left="110" w:hanging="110"/>
              <w:jc w:val="right"/>
              <w:rPr>
                <w:rFonts w:ascii="Arial" w:hAnsi="Arial" w:cs="Arial"/>
                <w:lang w:val="it-IT"/>
              </w:rPr>
            </w:pPr>
            <w:r>
              <w:rPr>
                <w:rFonts w:ascii="Arial" w:hAnsi="Arial" w:cs="Arial"/>
              </w:rPr>
              <w:t>134</w:t>
            </w:r>
          </w:p>
        </w:tc>
        <w:tc>
          <w:tcPr>
            <w:tcW w:w="1085" w:type="pct"/>
          </w:tcPr>
          <w:p w:rsidR="00226F18" w:rsidRDefault="00226F18" w:rsidP="00B918E5">
            <w:pPr>
              <w:ind w:left="110" w:hanging="110"/>
              <w:jc w:val="right"/>
              <w:rPr>
                <w:rFonts w:ascii="Arial" w:hAnsi="Arial" w:cs="Arial"/>
                <w:lang w:val="it-IT"/>
              </w:rPr>
            </w:pPr>
            <w:r>
              <w:rPr>
                <w:rFonts w:ascii="Arial" w:hAnsi="Arial" w:cs="Arial"/>
              </w:rPr>
              <w:t>1,227</w:t>
            </w:r>
          </w:p>
        </w:tc>
      </w:tr>
      <w:tr w:rsidR="00226F18" w:rsidRPr="00271E01" w:rsidTr="00FA5AC4">
        <w:tc>
          <w:tcPr>
            <w:tcW w:w="1653" w:type="pct"/>
            <w:tcBorders>
              <w:bottom w:val="single" w:sz="4" w:space="0" w:color="auto"/>
            </w:tcBorders>
          </w:tcPr>
          <w:p w:rsidR="00226F18" w:rsidRPr="00271E01" w:rsidRDefault="00226F18" w:rsidP="00B918E5">
            <w:pPr>
              <w:jc w:val="left"/>
              <w:rPr>
                <w:rFonts w:ascii="Arial" w:hAnsi="Arial" w:cs="Arial"/>
                <w:lang w:val="it-IT"/>
              </w:rPr>
            </w:pPr>
            <w:r w:rsidRPr="00271E01">
              <w:rPr>
                <w:rFonts w:ascii="Arial" w:hAnsi="Arial" w:cs="Arial"/>
                <w:lang w:val="it-IT"/>
              </w:rPr>
              <w:t>Turkey JV</w:t>
            </w:r>
          </w:p>
        </w:tc>
        <w:tc>
          <w:tcPr>
            <w:tcW w:w="1257" w:type="pct"/>
            <w:tcBorders>
              <w:bottom w:val="single" w:sz="4" w:space="0" w:color="auto"/>
            </w:tcBorders>
          </w:tcPr>
          <w:p w:rsidR="00226F18" w:rsidRPr="00271E01" w:rsidRDefault="00226F18" w:rsidP="00B918E5">
            <w:pPr>
              <w:ind w:left="110" w:hanging="110"/>
              <w:jc w:val="right"/>
              <w:rPr>
                <w:rFonts w:ascii="Arial" w:hAnsi="Arial" w:cs="Arial"/>
                <w:lang w:val="it-IT"/>
              </w:rPr>
            </w:pPr>
            <w:r>
              <w:rPr>
                <w:rFonts w:ascii="Arial" w:hAnsi="Arial" w:cs="Arial"/>
                <w:lang w:val="it-IT"/>
              </w:rPr>
              <w:t>39</w:t>
            </w:r>
          </w:p>
        </w:tc>
        <w:tc>
          <w:tcPr>
            <w:tcW w:w="1005" w:type="pct"/>
            <w:tcBorders>
              <w:bottom w:val="single" w:sz="4" w:space="0" w:color="auto"/>
            </w:tcBorders>
          </w:tcPr>
          <w:p w:rsidR="00226F18" w:rsidRPr="00271E01" w:rsidRDefault="00226F18" w:rsidP="00B918E5">
            <w:pPr>
              <w:ind w:left="110" w:hanging="110"/>
              <w:jc w:val="right"/>
              <w:rPr>
                <w:rFonts w:ascii="Arial" w:hAnsi="Arial" w:cs="Arial"/>
                <w:lang w:val="it-IT"/>
              </w:rPr>
            </w:pPr>
            <w:r>
              <w:rPr>
                <w:rFonts w:ascii="Arial" w:hAnsi="Arial" w:cs="Arial"/>
                <w:lang w:val="it-IT"/>
              </w:rPr>
              <w:t>205</w:t>
            </w:r>
          </w:p>
        </w:tc>
        <w:tc>
          <w:tcPr>
            <w:tcW w:w="1085" w:type="pct"/>
            <w:tcBorders>
              <w:bottom w:val="single" w:sz="4" w:space="0" w:color="auto"/>
            </w:tcBorders>
          </w:tcPr>
          <w:p w:rsidR="00226F18" w:rsidRPr="00271E01" w:rsidRDefault="00226F18" w:rsidP="00B918E5">
            <w:pPr>
              <w:ind w:left="110" w:hanging="110"/>
              <w:jc w:val="right"/>
              <w:rPr>
                <w:rFonts w:ascii="Arial" w:hAnsi="Arial" w:cs="Arial"/>
                <w:lang w:val="it-IT"/>
              </w:rPr>
            </w:pPr>
            <w:r>
              <w:rPr>
                <w:rFonts w:ascii="Arial" w:hAnsi="Arial" w:cs="Arial"/>
                <w:lang w:val="it-IT"/>
              </w:rPr>
              <w:t>3,352</w:t>
            </w:r>
          </w:p>
        </w:tc>
      </w:tr>
      <w:tr w:rsidR="00226F18" w:rsidRPr="00271E01" w:rsidTr="00B918E5">
        <w:tc>
          <w:tcPr>
            <w:tcW w:w="1653" w:type="pct"/>
            <w:tcBorders>
              <w:top w:val="single" w:sz="4" w:space="0" w:color="auto"/>
              <w:bottom w:val="single" w:sz="4" w:space="0" w:color="auto"/>
            </w:tcBorders>
          </w:tcPr>
          <w:p w:rsidR="00226F18" w:rsidRPr="00271E01" w:rsidRDefault="00226F18" w:rsidP="00B918E5">
            <w:pPr>
              <w:jc w:val="left"/>
              <w:rPr>
                <w:rFonts w:ascii="Arial" w:hAnsi="Arial" w:cs="Arial"/>
                <w:b/>
                <w:bCs/>
              </w:rPr>
            </w:pPr>
            <w:r>
              <w:rPr>
                <w:rFonts w:ascii="Arial" w:hAnsi="Arial" w:cs="Arial"/>
                <w:b/>
                <w:bCs/>
              </w:rPr>
              <w:t xml:space="preserve">Other </w:t>
            </w:r>
            <w:r w:rsidRPr="00271E01">
              <w:rPr>
                <w:rFonts w:ascii="Arial" w:hAnsi="Arial" w:cs="Arial"/>
                <w:b/>
                <w:bCs/>
              </w:rPr>
              <w:t>International</w:t>
            </w:r>
          </w:p>
        </w:tc>
        <w:tc>
          <w:tcPr>
            <w:tcW w:w="1257" w:type="pct"/>
            <w:tcBorders>
              <w:top w:val="single" w:sz="4" w:space="0" w:color="auto"/>
              <w:bottom w:val="single" w:sz="4" w:space="0" w:color="auto"/>
            </w:tcBorders>
          </w:tcPr>
          <w:p w:rsidR="00226F18" w:rsidRPr="00271E01" w:rsidRDefault="00226F18" w:rsidP="00B918E5">
            <w:pPr>
              <w:ind w:left="110" w:hanging="110"/>
              <w:jc w:val="right"/>
              <w:rPr>
                <w:rFonts w:ascii="Arial" w:hAnsi="Arial" w:cs="Arial"/>
                <w:b/>
                <w:bCs/>
              </w:rPr>
            </w:pPr>
            <w:r>
              <w:rPr>
                <w:rFonts w:ascii="Arial" w:hAnsi="Arial" w:cs="Arial"/>
                <w:b/>
                <w:bCs/>
              </w:rPr>
              <w:t>207</w:t>
            </w:r>
          </w:p>
        </w:tc>
        <w:tc>
          <w:tcPr>
            <w:tcW w:w="1005" w:type="pct"/>
            <w:tcBorders>
              <w:top w:val="single" w:sz="4" w:space="0" w:color="auto"/>
              <w:bottom w:val="single" w:sz="4" w:space="0" w:color="auto"/>
            </w:tcBorders>
          </w:tcPr>
          <w:p w:rsidR="00226F18" w:rsidRPr="00271E01" w:rsidRDefault="00226F18" w:rsidP="00B918E5">
            <w:pPr>
              <w:ind w:left="110" w:hanging="110"/>
              <w:jc w:val="right"/>
              <w:rPr>
                <w:rFonts w:ascii="Arial" w:hAnsi="Arial" w:cs="Arial"/>
                <w:b/>
                <w:bCs/>
              </w:rPr>
            </w:pPr>
            <w:r>
              <w:rPr>
                <w:rFonts w:ascii="Arial" w:hAnsi="Arial" w:cs="Arial"/>
                <w:b/>
                <w:bCs/>
              </w:rPr>
              <w:t>1,512</w:t>
            </w:r>
          </w:p>
        </w:tc>
        <w:tc>
          <w:tcPr>
            <w:tcW w:w="1085" w:type="pct"/>
            <w:tcBorders>
              <w:top w:val="single" w:sz="4" w:space="0" w:color="auto"/>
              <w:bottom w:val="single" w:sz="4" w:space="0" w:color="auto"/>
            </w:tcBorders>
          </w:tcPr>
          <w:p w:rsidR="00226F18" w:rsidRPr="00271E01" w:rsidRDefault="00226F18" w:rsidP="00B918E5">
            <w:pPr>
              <w:ind w:left="110" w:hanging="110"/>
              <w:jc w:val="right"/>
              <w:rPr>
                <w:rFonts w:ascii="Arial" w:hAnsi="Arial" w:cs="Arial"/>
                <w:b/>
                <w:bCs/>
              </w:rPr>
            </w:pPr>
            <w:r>
              <w:rPr>
                <w:rFonts w:ascii="Arial" w:hAnsi="Arial" w:cs="Arial"/>
                <w:b/>
                <w:bCs/>
              </w:rPr>
              <w:t>23,335</w:t>
            </w:r>
          </w:p>
        </w:tc>
      </w:tr>
      <w:tr w:rsidR="00226F18" w:rsidRPr="00271E01" w:rsidTr="00B918E5">
        <w:tc>
          <w:tcPr>
            <w:tcW w:w="1653" w:type="pct"/>
            <w:tcBorders>
              <w:top w:val="single" w:sz="4" w:space="0" w:color="auto"/>
              <w:bottom w:val="single" w:sz="4" w:space="0" w:color="auto"/>
            </w:tcBorders>
          </w:tcPr>
          <w:p w:rsidR="00226F18" w:rsidRPr="00271E01" w:rsidRDefault="00226F18" w:rsidP="00B918E5">
            <w:pPr>
              <w:spacing w:before="100"/>
              <w:ind w:left="108" w:hanging="108"/>
              <w:jc w:val="left"/>
              <w:rPr>
                <w:rFonts w:ascii="Arial" w:hAnsi="Arial" w:cs="Arial"/>
                <w:b/>
                <w:bCs/>
              </w:rPr>
            </w:pPr>
            <w:r>
              <w:rPr>
                <w:rFonts w:ascii="Arial" w:hAnsi="Arial" w:cs="Arial"/>
                <w:b/>
                <w:bCs/>
              </w:rPr>
              <w:t>Total Group</w:t>
            </w:r>
          </w:p>
        </w:tc>
        <w:tc>
          <w:tcPr>
            <w:tcW w:w="1257" w:type="pct"/>
            <w:tcBorders>
              <w:top w:val="single" w:sz="4" w:space="0" w:color="auto"/>
              <w:bottom w:val="single" w:sz="4" w:space="0" w:color="auto"/>
            </w:tcBorders>
          </w:tcPr>
          <w:p w:rsidR="00226F18" w:rsidRPr="00271E01" w:rsidRDefault="00226F18" w:rsidP="00B918E5">
            <w:pPr>
              <w:spacing w:before="100"/>
              <w:ind w:left="108" w:hanging="108"/>
              <w:jc w:val="right"/>
              <w:rPr>
                <w:rFonts w:ascii="Arial" w:hAnsi="Arial" w:cs="Arial"/>
                <w:b/>
                <w:bCs/>
              </w:rPr>
            </w:pPr>
            <w:r>
              <w:rPr>
                <w:rFonts w:ascii="Arial" w:hAnsi="Arial" w:cs="Arial"/>
                <w:b/>
                <w:bCs/>
              </w:rPr>
              <w:t>1,069</w:t>
            </w:r>
          </w:p>
        </w:tc>
        <w:tc>
          <w:tcPr>
            <w:tcW w:w="1005" w:type="pct"/>
            <w:tcBorders>
              <w:top w:val="single" w:sz="4" w:space="0" w:color="auto"/>
              <w:bottom w:val="single" w:sz="4" w:space="0" w:color="auto"/>
            </w:tcBorders>
          </w:tcPr>
          <w:p w:rsidR="00226F18" w:rsidRPr="00271E01" w:rsidRDefault="00226F18" w:rsidP="00B918E5">
            <w:pPr>
              <w:spacing w:before="100"/>
              <w:ind w:left="108" w:hanging="108"/>
              <w:jc w:val="right"/>
              <w:rPr>
                <w:rFonts w:ascii="Arial" w:hAnsi="Arial" w:cs="Arial"/>
                <w:b/>
                <w:bCs/>
              </w:rPr>
            </w:pPr>
            <w:r>
              <w:rPr>
                <w:rFonts w:ascii="Arial" w:hAnsi="Arial" w:cs="Arial"/>
                <w:b/>
                <w:bCs/>
              </w:rPr>
              <w:t>5,793</w:t>
            </w:r>
          </w:p>
        </w:tc>
        <w:tc>
          <w:tcPr>
            <w:tcW w:w="1085" w:type="pct"/>
            <w:tcBorders>
              <w:top w:val="single" w:sz="4" w:space="0" w:color="auto"/>
              <w:bottom w:val="single" w:sz="4" w:space="0" w:color="auto"/>
            </w:tcBorders>
          </w:tcPr>
          <w:p w:rsidR="00226F18" w:rsidRPr="00271E01" w:rsidRDefault="00226F18" w:rsidP="00B918E5">
            <w:pPr>
              <w:spacing w:before="100"/>
              <w:ind w:left="108" w:hanging="108"/>
              <w:jc w:val="right"/>
              <w:rPr>
                <w:rFonts w:ascii="Arial" w:hAnsi="Arial" w:cs="Arial"/>
                <w:b/>
                <w:bCs/>
              </w:rPr>
            </w:pPr>
            <w:r>
              <w:rPr>
                <w:rFonts w:ascii="Arial" w:hAnsi="Arial" w:cs="Arial"/>
                <w:b/>
                <w:bCs/>
              </w:rPr>
              <w:t>68,416</w:t>
            </w:r>
          </w:p>
        </w:tc>
      </w:tr>
      <w:tr w:rsidR="00226F18" w:rsidRPr="00271E01" w:rsidTr="00B918E5">
        <w:tc>
          <w:tcPr>
            <w:tcW w:w="1653" w:type="pct"/>
            <w:tcBorders>
              <w:top w:val="single" w:sz="4" w:space="0" w:color="auto"/>
            </w:tcBorders>
          </w:tcPr>
          <w:p w:rsidR="00226F18" w:rsidRDefault="00226F18" w:rsidP="00B918E5">
            <w:pPr>
              <w:spacing w:before="100"/>
              <w:ind w:left="108" w:hanging="108"/>
              <w:jc w:val="left"/>
              <w:rPr>
                <w:rFonts w:ascii="Arial" w:hAnsi="Arial" w:cs="Arial"/>
                <w:b/>
                <w:bCs/>
              </w:rPr>
            </w:pPr>
          </w:p>
        </w:tc>
        <w:tc>
          <w:tcPr>
            <w:tcW w:w="1257" w:type="pct"/>
            <w:tcBorders>
              <w:top w:val="single" w:sz="4" w:space="0" w:color="auto"/>
            </w:tcBorders>
          </w:tcPr>
          <w:p w:rsidR="00226F18" w:rsidRPr="00271E01" w:rsidRDefault="00226F18" w:rsidP="00B918E5">
            <w:pPr>
              <w:spacing w:before="100"/>
              <w:ind w:left="108" w:hanging="108"/>
              <w:jc w:val="right"/>
              <w:rPr>
                <w:rFonts w:ascii="Arial" w:hAnsi="Arial" w:cs="Arial"/>
                <w:b/>
                <w:bCs/>
              </w:rPr>
            </w:pPr>
          </w:p>
        </w:tc>
        <w:tc>
          <w:tcPr>
            <w:tcW w:w="1005" w:type="pct"/>
            <w:tcBorders>
              <w:top w:val="single" w:sz="4" w:space="0" w:color="auto"/>
            </w:tcBorders>
          </w:tcPr>
          <w:p w:rsidR="00226F18" w:rsidRPr="00271E01" w:rsidRDefault="00226F18" w:rsidP="00B918E5">
            <w:pPr>
              <w:spacing w:before="100"/>
              <w:ind w:left="108" w:hanging="108"/>
              <w:jc w:val="right"/>
              <w:rPr>
                <w:rFonts w:ascii="Arial" w:hAnsi="Arial" w:cs="Arial"/>
                <w:b/>
                <w:bCs/>
              </w:rPr>
            </w:pPr>
          </w:p>
        </w:tc>
        <w:tc>
          <w:tcPr>
            <w:tcW w:w="1085" w:type="pct"/>
            <w:tcBorders>
              <w:top w:val="single" w:sz="4" w:space="0" w:color="auto"/>
            </w:tcBorders>
          </w:tcPr>
          <w:p w:rsidR="00226F18" w:rsidRPr="00271E01" w:rsidRDefault="00226F18" w:rsidP="00B918E5">
            <w:pPr>
              <w:spacing w:before="100"/>
              <w:ind w:left="108" w:hanging="108"/>
              <w:jc w:val="right"/>
              <w:rPr>
                <w:rFonts w:ascii="Arial" w:hAnsi="Arial" w:cs="Arial"/>
                <w:b/>
                <w:bCs/>
              </w:rPr>
            </w:pPr>
          </w:p>
        </w:tc>
      </w:tr>
    </w:tbl>
    <w:p w:rsidR="00B918E5" w:rsidRDefault="00B918E5" w:rsidP="00B918E5">
      <w:pPr>
        <w:jc w:val="left"/>
        <w:rPr>
          <w:rFonts w:ascii="Arial" w:hAnsi="Arial" w:cs="Arial"/>
          <w:b/>
          <w:bCs/>
        </w:rPr>
      </w:pPr>
    </w:p>
    <w:tbl>
      <w:tblPr>
        <w:tblW w:w="8472" w:type="dxa"/>
        <w:tblLayout w:type="fixed"/>
        <w:tblLook w:val="01E0" w:firstRow="1" w:lastRow="1" w:firstColumn="1" w:lastColumn="1" w:noHBand="0" w:noVBand="0"/>
      </w:tblPr>
      <w:tblGrid>
        <w:gridCol w:w="2376"/>
        <w:gridCol w:w="1276"/>
        <w:gridCol w:w="1276"/>
        <w:gridCol w:w="1701"/>
        <w:gridCol w:w="1843"/>
      </w:tblGrid>
      <w:tr w:rsidR="00B918E5" w:rsidRPr="00271E01" w:rsidTr="00FA5AC4">
        <w:trPr>
          <w:trHeight w:val="567"/>
        </w:trPr>
        <w:tc>
          <w:tcPr>
            <w:tcW w:w="2376" w:type="dxa"/>
          </w:tcPr>
          <w:p w:rsidR="00B918E5" w:rsidRPr="00271E01" w:rsidRDefault="00B918E5" w:rsidP="00B918E5">
            <w:pPr>
              <w:jc w:val="left"/>
              <w:rPr>
                <w:rFonts w:ascii="Arial" w:hAnsi="Arial" w:cs="Arial"/>
                <w:b/>
                <w:u w:val="single"/>
              </w:rPr>
            </w:pPr>
          </w:p>
        </w:tc>
        <w:tc>
          <w:tcPr>
            <w:tcW w:w="1276" w:type="dxa"/>
          </w:tcPr>
          <w:p w:rsidR="00B918E5" w:rsidRPr="00271E01" w:rsidRDefault="00B918E5" w:rsidP="00B918E5">
            <w:pPr>
              <w:jc w:val="right"/>
              <w:rPr>
                <w:rFonts w:ascii="Arial" w:hAnsi="Arial" w:cs="Arial"/>
                <w:b/>
              </w:rPr>
            </w:pPr>
            <w:r w:rsidRPr="00271E01">
              <w:rPr>
                <w:rFonts w:ascii="Arial" w:hAnsi="Arial" w:cs="Arial"/>
                <w:b/>
              </w:rPr>
              <w:t xml:space="preserve">Sales </w:t>
            </w:r>
          </w:p>
        </w:tc>
        <w:tc>
          <w:tcPr>
            <w:tcW w:w="1276" w:type="dxa"/>
          </w:tcPr>
          <w:p w:rsidR="00B918E5" w:rsidRPr="00271E01" w:rsidRDefault="00B918E5" w:rsidP="00B918E5">
            <w:pPr>
              <w:jc w:val="right"/>
              <w:rPr>
                <w:rFonts w:ascii="Arial" w:hAnsi="Arial" w:cs="Arial"/>
                <w:b/>
              </w:rPr>
            </w:pPr>
            <w:r w:rsidRPr="00271E01">
              <w:rPr>
                <w:rFonts w:ascii="Arial" w:hAnsi="Arial" w:cs="Arial"/>
                <w:b/>
              </w:rPr>
              <w:t>% Total</w:t>
            </w:r>
          </w:p>
          <w:p w:rsidR="00B918E5" w:rsidRPr="00271E01" w:rsidRDefault="00B918E5" w:rsidP="00B918E5">
            <w:pPr>
              <w:jc w:val="right"/>
              <w:rPr>
                <w:rFonts w:ascii="Arial" w:hAnsi="Arial" w:cs="Arial"/>
                <w:b/>
              </w:rPr>
            </w:pPr>
            <w:r w:rsidRPr="00271E01">
              <w:rPr>
                <w:rFonts w:ascii="Arial" w:hAnsi="Arial" w:cs="Arial"/>
                <w:b/>
              </w:rPr>
              <w:t>Change</w:t>
            </w:r>
          </w:p>
        </w:tc>
        <w:tc>
          <w:tcPr>
            <w:tcW w:w="1701" w:type="dxa"/>
          </w:tcPr>
          <w:p w:rsidR="00B918E5" w:rsidRPr="00271E01" w:rsidRDefault="00B918E5" w:rsidP="00B918E5">
            <w:pPr>
              <w:jc w:val="right"/>
              <w:rPr>
                <w:rFonts w:ascii="Arial" w:hAnsi="Arial" w:cs="Arial"/>
                <w:b/>
              </w:rPr>
            </w:pPr>
            <w:r w:rsidRPr="00271E01">
              <w:rPr>
                <w:rFonts w:ascii="Arial" w:hAnsi="Arial" w:cs="Arial"/>
                <w:b/>
              </w:rPr>
              <w:t>% Total Change</w:t>
            </w:r>
          </w:p>
        </w:tc>
        <w:tc>
          <w:tcPr>
            <w:tcW w:w="1843" w:type="dxa"/>
          </w:tcPr>
          <w:p w:rsidR="00684EF9" w:rsidRDefault="00B918E5" w:rsidP="00B918E5">
            <w:pPr>
              <w:jc w:val="right"/>
              <w:rPr>
                <w:rFonts w:ascii="Arial" w:hAnsi="Arial" w:cs="Arial"/>
                <w:b/>
              </w:rPr>
            </w:pPr>
            <w:r w:rsidRPr="00271E01">
              <w:rPr>
                <w:rFonts w:ascii="Arial" w:hAnsi="Arial" w:cs="Arial"/>
                <w:b/>
              </w:rPr>
              <w:t xml:space="preserve">% LFL </w:t>
            </w:r>
          </w:p>
          <w:p w:rsidR="00B918E5" w:rsidRPr="00271E01" w:rsidRDefault="00B918E5" w:rsidP="00B918E5">
            <w:pPr>
              <w:jc w:val="right"/>
              <w:rPr>
                <w:rFonts w:ascii="Arial" w:hAnsi="Arial" w:cs="Arial"/>
                <w:b/>
              </w:rPr>
            </w:pPr>
            <w:r w:rsidRPr="00271E01">
              <w:rPr>
                <w:rFonts w:ascii="Arial" w:hAnsi="Arial" w:cs="Arial"/>
                <w:b/>
              </w:rPr>
              <w:t>Change</w:t>
            </w:r>
          </w:p>
        </w:tc>
      </w:tr>
      <w:tr w:rsidR="00B918E5" w:rsidRPr="00271E01" w:rsidTr="00FA5AC4">
        <w:trPr>
          <w:trHeight w:val="567"/>
        </w:trPr>
        <w:tc>
          <w:tcPr>
            <w:tcW w:w="2376" w:type="dxa"/>
            <w:tcBorders>
              <w:bottom w:val="single" w:sz="4" w:space="0" w:color="auto"/>
            </w:tcBorders>
          </w:tcPr>
          <w:p w:rsidR="00B918E5" w:rsidRPr="00271E01" w:rsidRDefault="00B918E5" w:rsidP="00B918E5">
            <w:pPr>
              <w:jc w:val="right"/>
              <w:rPr>
                <w:rFonts w:ascii="Arial" w:hAnsi="Arial" w:cs="Arial"/>
              </w:rPr>
            </w:pPr>
          </w:p>
        </w:tc>
        <w:tc>
          <w:tcPr>
            <w:tcW w:w="1276" w:type="dxa"/>
            <w:tcBorders>
              <w:bottom w:val="single" w:sz="4" w:space="0" w:color="auto"/>
            </w:tcBorders>
          </w:tcPr>
          <w:p w:rsidR="00B918E5" w:rsidRPr="00271E01" w:rsidRDefault="00B918E5" w:rsidP="00B918E5">
            <w:pPr>
              <w:jc w:val="right"/>
              <w:rPr>
                <w:rFonts w:ascii="Arial" w:hAnsi="Arial" w:cs="Arial"/>
                <w:b/>
              </w:rPr>
            </w:pPr>
            <w:r w:rsidRPr="00271E01">
              <w:rPr>
                <w:rFonts w:ascii="Arial" w:hAnsi="Arial" w:cs="Arial"/>
                <w:b/>
              </w:rPr>
              <w:t>£m</w:t>
            </w:r>
          </w:p>
          <w:p w:rsidR="00B918E5" w:rsidRPr="00271E01" w:rsidRDefault="00B918E5" w:rsidP="00B918E5">
            <w:pPr>
              <w:jc w:val="right"/>
              <w:rPr>
                <w:rFonts w:ascii="Arial" w:hAnsi="Arial" w:cs="Arial"/>
                <w:b/>
              </w:rPr>
            </w:pPr>
            <w:r>
              <w:rPr>
                <w:rFonts w:ascii="Arial" w:hAnsi="Arial" w:cs="Arial"/>
                <w:b/>
              </w:rPr>
              <w:t>2013/14</w:t>
            </w:r>
            <w:r w:rsidRPr="00EC015F">
              <w:rPr>
                <w:rFonts w:ascii="Arial" w:hAnsi="Arial" w:cs="Arial"/>
                <w:b/>
                <w:i/>
                <w:vertAlign w:val="superscript"/>
              </w:rPr>
              <w:t>(1)</w:t>
            </w:r>
          </w:p>
          <w:p w:rsidR="00B918E5" w:rsidRPr="00271E01" w:rsidRDefault="00B918E5" w:rsidP="00B918E5">
            <w:pPr>
              <w:jc w:val="right"/>
              <w:rPr>
                <w:rFonts w:ascii="Arial" w:hAnsi="Arial" w:cs="Arial"/>
                <w:b/>
              </w:rPr>
            </w:pPr>
          </w:p>
        </w:tc>
        <w:tc>
          <w:tcPr>
            <w:tcW w:w="1276" w:type="dxa"/>
            <w:tcBorders>
              <w:bottom w:val="single" w:sz="4" w:space="0" w:color="auto"/>
            </w:tcBorders>
          </w:tcPr>
          <w:p w:rsidR="00B918E5" w:rsidRPr="00271E01" w:rsidRDefault="00B918E5" w:rsidP="00B918E5">
            <w:pPr>
              <w:jc w:val="right"/>
              <w:rPr>
                <w:rFonts w:ascii="Arial" w:hAnsi="Arial" w:cs="Arial"/>
              </w:rPr>
            </w:pPr>
            <w:r w:rsidRPr="00271E01">
              <w:rPr>
                <w:rFonts w:ascii="Arial" w:hAnsi="Arial" w:cs="Arial"/>
                <w:b/>
              </w:rPr>
              <w:t>Reported</w:t>
            </w:r>
          </w:p>
        </w:tc>
        <w:tc>
          <w:tcPr>
            <w:tcW w:w="1701" w:type="dxa"/>
            <w:tcBorders>
              <w:bottom w:val="single" w:sz="4" w:space="0" w:color="auto"/>
            </w:tcBorders>
          </w:tcPr>
          <w:p w:rsidR="00B918E5" w:rsidRPr="00271E01" w:rsidRDefault="00B918E5" w:rsidP="00B918E5">
            <w:pPr>
              <w:jc w:val="right"/>
              <w:rPr>
                <w:rFonts w:ascii="Arial" w:hAnsi="Arial" w:cs="Arial"/>
                <w:b/>
                <w:vertAlign w:val="superscript"/>
              </w:rPr>
            </w:pPr>
            <w:r w:rsidRPr="00271E01">
              <w:rPr>
                <w:rFonts w:ascii="Arial" w:hAnsi="Arial" w:cs="Arial"/>
                <w:b/>
              </w:rPr>
              <w:t>Constant currency</w:t>
            </w:r>
          </w:p>
        </w:tc>
        <w:tc>
          <w:tcPr>
            <w:tcW w:w="1843" w:type="dxa"/>
            <w:tcBorders>
              <w:bottom w:val="single" w:sz="4" w:space="0" w:color="auto"/>
            </w:tcBorders>
          </w:tcPr>
          <w:p w:rsidR="00B918E5" w:rsidRPr="00271E01" w:rsidRDefault="00B918E5" w:rsidP="00B918E5">
            <w:pPr>
              <w:jc w:val="right"/>
              <w:rPr>
                <w:rFonts w:ascii="Arial" w:hAnsi="Arial" w:cs="Arial"/>
                <w:b/>
              </w:rPr>
            </w:pPr>
            <w:r w:rsidRPr="00271E01">
              <w:rPr>
                <w:rFonts w:ascii="Arial" w:hAnsi="Arial" w:cs="Arial"/>
                <w:b/>
              </w:rPr>
              <w:t>Constant currency</w:t>
            </w:r>
          </w:p>
        </w:tc>
      </w:tr>
      <w:tr w:rsidR="00B918E5" w:rsidRPr="00271E01" w:rsidTr="00FA5AC4">
        <w:trPr>
          <w:trHeight w:hRule="exact" w:val="312"/>
        </w:trPr>
        <w:tc>
          <w:tcPr>
            <w:tcW w:w="2376" w:type="dxa"/>
            <w:tcBorders>
              <w:top w:val="single" w:sz="4" w:space="0" w:color="auto"/>
            </w:tcBorders>
          </w:tcPr>
          <w:p w:rsidR="00B918E5" w:rsidRPr="00271E01" w:rsidRDefault="00B918E5" w:rsidP="00B918E5">
            <w:pPr>
              <w:rPr>
                <w:rFonts w:ascii="Arial" w:hAnsi="Arial" w:cs="Arial"/>
              </w:rPr>
            </w:pPr>
            <w:r w:rsidRPr="00271E01">
              <w:rPr>
                <w:rFonts w:ascii="Arial" w:hAnsi="Arial" w:cs="Arial"/>
              </w:rPr>
              <w:t>Castorama</w:t>
            </w:r>
          </w:p>
        </w:tc>
        <w:tc>
          <w:tcPr>
            <w:tcW w:w="1276" w:type="dxa"/>
            <w:tcBorders>
              <w:top w:val="single" w:sz="4" w:space="0" w:color="auto"/>
            </w:tcBorders>
          </w:tcPr>
          <w:p w:rsidR="00B918E5" w:rsidRPr="00271E01" w:rsidRDefault="00A91221" w:rsidP="00B918E5">
            <w:pPr>
              <w:jc w:val="right"/>
              <w:rPr>
                <w:rFonts w:ascii="Arial" w:hAnsi="Arial" w:cs="Arial"/>
              </w:rPr>
            </w:pPr>
            <w:r>
              <w:rPr>
                <w:rFonts w:ascii="Arial" w:hAnsi="Arial" w:cs="Arial"/>
              </w:rPr>
              <w:t>1,294</w:t>
            </w:r>
          </w:p>
        </w:tc>
        <w:tc>
          <w:tcPr>
            <w:tcW w:w="1276" w:type="dxa"/>
            <w:tcBorders>
              <w:top w:val="single" w:sz="4" w:space="0" w:color="auto"/>
            </w:tcBorders>
          </w:tcPr>
          <w:p w:rsidR="00B918E5" w:rsidRPr="00271E01" w:rsidRDefault="00E41F64" w:rsidP="00B918E5">
            <w:pPr>
              <w:jc w:val="right"/>
              <w:rPr>
                <w:rFonts w:ascii="Arial" w:hAnsi="Arial" w:cs="Arial"/>
              </w:rPr>
            </w:pPr>
            <w:r>
              <w:rPr>
                <w:rFonts w:ascii="Arial" w:hAnsi="Arial" w:cs="Arial"/>
              </w:rPr>
              <w:t>+</w:t>
            </w:r>
            <w:r w:rsidR="00A91221">
              <w:rPr>
                <w:rFonts w:ascii="Arial" w:hAnsi="Arial" w:cs="Arial"/>
              </w:rPr>
              <w:t>5.8</w:t>
            </w:r>
            <w:r w:rsidR="00B918E5" w:rsidRPr="00271E01">
              <w:rPr>
                <w:rFonts w:ascii="Arial" w:hAnsi="Arial" w:cs="Arial"/>
              </w:rPr>
              <w:t>%</w:t>
            </w:r>
          </w:p>
        </w:tc>
        <w:tc>
          <w:tcPr>
            <w:tcW w:w="1701" w:type="dxa"/>
            <w:tcBorders>
              <w:top w:val="single" w:sz="4" w:space="0" w:color="auto"/>
            </w:tcBorders>
          </w:tcPr>
          <w:p w:rsidR="00B918E5" w:rsidRPr="00271E01" w:rsidRDefault="00E41F64" w:rsidP="00B918E5">
            <w:pPr>
              <w:jc w:val="right"/>
              <w:rPr>
                <w:rFonts w:ascii="Arial" w:hAnsi="Arial" w:cs="Arial"/>
              </w:rPr>
            </w:pPr>
            <w:r>
              <w:rPr>
                <w:rFonts w:ascii="Arial" w:hAnsi="Arial" w:cs="Arial"/>
              </w:rPr>
              <w:t>+</w:t>
            </w:r>
            <w:r w:rsidR="00A91221">
              <w:rPr>
                <w:rFonts w:ascii="Arial" w:hAnsi="Arial" w:cs="Arial"/>
              </w:rPr>
              <w:t>0.9</w:t>
            </w:r>
            <w:r w:rsidR="00B918E5" w:rsidRPr="00271E01">
              <w:rPr>
                <w:rFonts w:ascii="Arial" w:hAnsi="Arial" w:cs="Arial"/>
              </w:rPr>
              <w:t>%</w:t>
            </w:r>
          </w:p>
        </w:tc>
        <w:tc>
          <w:tcPr>
            <w:tcW w:w="1843" w:type="dxa"/>
            <w:tcBorders>
              <w:top w:val="single" w:sz="4" w:space="0" w:color="auto"/>
            </w:tcBorders>
          </w:tcPr>
          <w:p w:rsidR="00B918E5" w:rsidRPr="00271E01" w:rsidRDefault="00A91221" w:rsidP="00B918E5">
            <w:pPr>
              <w:jc w:val="right"/>
              <w:rPr>
                <w:rFonts w:ascii="Arial" w:hAnsi="Arial" w:cs="Arial"/>
              </w:rPr>
            </w:pPr>
            <w:r>
              <w:rPr>
                <w:rFonts w:ascii="Arial" w:hAnsi="Arial" w:cs="Arial"/>
              </w:rPr>
              <w:t>(1.1)</w:t>
            </w:r>
            <w:r w:rsidR="00B918E5" w:rsidRPr="00271E01">
              <w:rPr>
                <w:rFonts w:ascii="Arial" w:hAnsi="Arial" w:cs="Arial"/>
              </w:rPr>
              <w:t>%</w:t>
            </w:r>
          </w:p>
        </w:tc>
      </w:tr>
      <w:tr w:rsidR="00B918E5" w:rsidRPr="00271E01" w:rsidTr="00B918E5">
        <w:trPr>
          <w:trHeight w:hRule="exact" w:val="257"/>
        </w:trPr>
        <w:tc>
          <w:tcPr>
            <w:tcW w:w="2376" w:type="dxa"/>
            <w:tcBorders>
              <w:bottom w:val="single" w:sz="4" w:space="0" w:color="auto"/>
            </w:tcBorders>
          </w:tcPr>
          <w:p w:rsidR="00B918E5" w:rsidRPr="00271E01" w:rsidRDefault="00B918E5" w:rsidP="00B918E5">
            <w:pPr>
              <w:rPr>
                <w:rFonts w:ascii="Arial" w:hAnsi="Arial" w:cs="Arial"/>
              </w:rPr>
            </w:pPr>
            <w:r w:rsidRPr="00271E01">
              <w:rPr>
                <w:rFonts w:ascii="Arial" w:hAnsi="Arial" w:cs="Arial"/>
              </w:rPr>
              <w:t>Brico Dépôt</w:t>
            </w:r>
          </w:p>
        </w:tc>
        <w:tc>
          <w:tcPr>
            <w:tcW w:w="1276" w:type="dxa"/>
            <w:tcBorders>
              <w:bottom w:val="single" w:sz="4" w:space="0" w:color="auto"/>
            </w:tcBorders>
          </w:tcPr>
          <w:p w:rsidR="00B918E5" w:rsidRPr="00271E01" w:rsidRDefault="00A91221" w:rsidP="00B918E5">
            <w:pPr>
              <w:jc w:val="right"/>
              <w:rPr>
                <w:rFonts w:ascii="Arial" w:hAnsi="Arial" w:cs="Arial"/>
              </w:rPr>
            </w:pPr>
            <w:r>
              <w:rPr>
                <w:rFonts w:ascii="Arial" w:hAnsi="Arial" w:cs="Arial"/>
              </w:rPr>
              <w:t>1,012</w:t>
            </w:r>
          </w:p>
        </w:tc>
        <w:tc>
          <w:tcPr>
            <w:tcW w:w="1276" w:type="dxa"/>
            <w:tcBorders>
              <w:bottom w:val="single" w:sz="4" w:space="0" w:color="auto"/>
            </w:tcBorders>
          </w:tcPr>
          <w:p w:rsidR="00B918E5" w:rsidRPr="00271E01" w:rsidRDefault="00E41F64" w:rsidP="00B918E5">
            <w:pPr>
              <w:jc w:val="right"/>
              <w:rPr>
                <w:rFonts w:ascii="Arial" w:hAnsi="Arial" w:cs="Arial"/>
              </w:rPr>
            </w:pPr>
            <w:r>
              <w:rPr>
                <w:rFonts w:ascii="Arial" w:hAnsi="Arial" w:cs="Arial"/>
              </w:rPr>
              <w:t>+</w:t>
            </w:r>
            <w:r w:rsidR="00A91221">
              <w:rPr>
                <w:rFonts w:ascii="Arial" w:hAnsi="Arial" w:cs="Arial"/>
              </w:rPr>
              <w:t>2.9</w:t>
            </w:r>
            <w:r w:rsidR="00B918E5" w:rsidRPr="00271E01">
              <w:rPr>
                <w:rFonts w:ascii="Arial" w:hAnsi="Arial" w:cs="Arial"/>
              </w:rPr>
              <w:t>%</w:t>
            </w:r>
          </w:p>
        </w:tc>
        <w:tc>
          <w:tcPr>
            <w:tcW w:w="1701" w:type="dxa"/>
            <w:tcBorders>
              <w:bottom w:val="single" w:sz="4" w:space="0" w:color="auto"/>
            </w:tcBorders>
          </w:tcPr>
          <w:p w:rsidR="00B918E5" w:rsidRPr="00271E01" w:rsidRDefault="00A91221" w:rsidP="00B918E5">
            <w:pPr>
              <w:jc w:val="right"/>
              <w:rPr>
                <w:rFonts w:ascii="Arial" w:hAnsi="Arial" w:cs="Arial"/>
              </w:rPr>
            </w:pPr>
            <w:r>
              <w:rPr>
                <w:rFonts w:ascii="Arial" w:hAnsi="Arial" w:cs="Arial"/>
              </w:rPr>
              <w:t>(1.9)</w:t>
            </w:r>
            <w:r w:rsidR="00B918E5" w:rsidRPr="00271E01">
              <w:rPr>
                <w:rFonts w:ascii="Arial" w:hAnsi="Arial" w:cs="Arial"/>
              </w:rPr>
              <w:t>%</w:t>
            </w:r>
          </w:p>
        </w:tc>
        <w:tc>
          <w:tcPr>
            <w:tcW w:w="1843" w:type="dxa"/>
            <w:tcBorders>
              <w:bottom w:val="single" w:sz="4" w:space="0" w:color="auto"/>
            </w:tcBorders>
          </w:tcPr>
          <w:p w:rsidR="00B918E5" w:rsidRPr="00271E01" w:rsidRDefault="00A91221" w:rsidP="00B918E5">
            <w:pPr>
              <w:jc w:val="right"/>
              <w:rPr>
                <w:rFonts w:ascii="Arial" w:hAnsi="Arial" w:cs="Arial"/>
              </w:rPr>
            </w:pPr>
            <w:r>
              <w:rPr>
                <w:rFonts w:ascii="Arial" w:hAnsi="Arial" w:cs="Arial"/>
              </w:rPr>
              <w:t>(3.8)</w:t>
            </w:r>
            <w:r w:rsidR="00B918E5" w:rsidRPr="00271E01">
              <w:rPr>
                <w:rFonts w:ascii="Arial" w:hAnsi="Arial" w:cs="Arial"/>
              </w:rPr>
              <w:t>%</w:t>
            </w:r>
          </w:p>
        </w:tc>
      </w:tr>
      <w:tr w:rsidR="00B918E5" w:rsidRPr="00BA5CDF" w:rsidTr="00B918E5">
        <w:trPr>
          <w:trHeight w:hRule="exact" w:val="302"/>
        </w:trPr>
        <w:tc>
          <w:tcPr>
            <w:tcW w:w="2376" w:type="dxa"/>
            <w:tcBorders>
              <w:top w:val="single" w:sz="4" w:space="0" w:color="auto"/>
            </w:tcBorders>
          </w:tcPr>
          <w:p w:rsidR="00B918E5" w:rsidRPr="005970EB" w:rsidRDefault="00B918E5" w:rsidP="006725C9">
            <w:pPr>
              <w:spacing w:before="20"/>
              <w:rPr>
                <w:rFonts w:ascii="Arial" w:hAnsi="Arial" w:cs="Arial"/>
                <w:b/>
              </w:rPr>
            </w:pPr>
            <w:r w:rsidRPr="005970EB">
              <w:rPr>
                <w:rFonts w:ascii="Arial" w:hAnsi="Arial" w:cs="Arial"/>
                <w:b/>
              </w:rPr>
              <w:t xml:space="preserve">France </w:t>
            </w:r>
          </w:p>
        </w:tc>
        <w:tc>
          <w:tcPr>
            <w:tcW w:w="1276" w:type="dxa"/>
            <w:tcBorders>
              <w:top w:val="single" w:sz="4" w:space="0" w:color="auto"/>
            </w:tcBorders>
          </w:tcPr>
          <w:p w:rsidR="00B918E5" w:rsidRPr="005970EB" w:rsidRDefault="00A91221" w:rsidP="006725C9">
            <w:pPr>
              <w:spacing w:before="20"/>
              <w:jc w:val="right"/>
              <w:rPr>
                <w:rFonts w:ascii="Arial" w:hAnsi="Arial" w:cs="Arial"/>
                <w:b/>
              </w:rPr>
            </w:pPr>
            <w:r>
              <w:rPr>
                <w:rFonts w:ascii="Arial" w:hAnsi="Arial" w:cs="Arial"/>
                <w:b/>
              </w:rPr>
              <w:t>2,306</w:t>
            </w:r>
          </w:p>
        </w:tc>
        <w:tc>
          <w:tcPr>
            <w:tcW w:w="1276" w:type="dxa"/>
            <w:tcBorders>
              <w:top w:val="single" w:sz="4" w:space="0" w:color="auto"/>
            </w:tcBorders>
          </w:tcPr>
          <w:p w:rsidR="00B918E5" w:rsidRPr="005970EB" w:rsidRDefault="00A91221" w:rsidP="006725C9">
            <w:pPr>
              <w:spacing w:before="20"/>
              <w:jc w:val="right"/>
              <w:rPr>
                <w:rFonts w:ascii="Arial" w:hAnsi="Arial" w:cs="Arial"/>
                <w:b/>
              </w:rPr>
            </w:pPr>
            <w:r>
              <w:rPr>
                <w:rFonts w:ascii="Arial" w:hAnsi="Arial" w:cs="Arial"/>
                <w:b/>
              </w:rPr>
              <w:t>4.5</w:t>
            </w:r>
            <w:r w:rsidR="00B918E5" w:rsidRPr="005970EB">
              <w:rPr>
                <w:rFonts w:ascii="Arial" w:hAnsi="Arial" w:cs="Arial"/>
                <w:b/>
              </w:rPr>
              <w:t>%</w:t>
            </w:r>
          </w:p>
        </w:tc>
        <w:tc>
          <w:tcPr>
            <w:tcW w:w="1701" w:type="dxa"/>
            <w:tcBorders>
              <w:top w:val="single" w:sz="4" w:space="0" w:color="auto"/>
            </w:tcBorders>
          </w:tcPr>
          <w:p w:rsidR="00B918E5" w:rsidRPr="005970EB" w:rsidRDefault="00A91221" w:rsidP="006725C9">
            <w:pPr>
              <w:spacing w:before="20"/>
              <w:jc w:val="right"/>
              <w:rPr>
                <w:rFonts w:ascii="Arial" w:hAnsi="Arial" w:cs="Arial"/>
                <w:b/>
              </w:rPr>
            </w:pPr>
            <w:r>
              <w:rPr>
                <w:rFonts w:ascii="Arial" w:hAnsi="Arial" w:cs="Arial"/>
                <w:b/>
              </w:rPr>
              <w:t>(0.4)</w:t>
            </w:r>
            <w:r w:rsidR="00B918E5" w:rsidRPr="005970EB">
              <w:rPr>
                <w:rFonts w:ascii="Arial" w:hAnsi="Arial" w:cs="Arial"/>
                <w:b/>
              </w:rPr>
              <w:t>%</w:t>
            </w:r>
          </w:p>
        </w:tc>
        <w:tc>
          <w:tcPr>
            <w:tcW w:w="1843" w:type="dxa"/>
            <w:tcBorders>
              <w:top w:val="single" w:sz="4" w:space="0" w:color="auto"/>
            </w:tcBorders>
          </w:tcPr>
          <w:p w:rsidR="00B918E5" w:rsidRPr="005970EB" w:rsidRDefault="00A91221" w:rsidP="006725C9">
            <w:pPr>
              <w:spacing w:before="20"/>
              <w:jc w:val="right"/>
              <w:rPr>
                <w:rFonts w:ascii="Arial" w:hAnsi="Arial" w:cs="Arial"/>
                <w:b/>
              </w:rPr>
            </w:pPr>
            <w:r>
              <w:rPr>
                <w:rFonts w:ascii="Arial" w:hAnsi="Arial" w:cs="Arial"/>
                <w:b/>
              </w:rPr>
              <w:t>(2.4)</w:t>
            </w:r>
            <w:r w:rsidR="00B918E5" w:rsidRPr="005970EB">
              <w:rPr>
                <w:rFonts w:ascii="Arial" w:hAnsi="Arial" w:cs="Arial"/>
                <w:b/>
              </w:rPr>
              <w:t>%</w:t>
            </w:r>
          </w:p>
        </w:tc>
      </w:tr>
      <w:tr w:rsidR="00B918E5" w:rsidRPr="00271E01" w:rsidTr="00C327CA">
        <w:trPr>
          <w:trHeight w:hRule="exact" w:val="312"/>
        </w:trPr>
        <w:tc>
          <w:tcPr>
            <w:tcW w:w="2376" w:type="dxa"/>
          </w:tcPr>
          <w:p w:rsidR="00B918E5" w:rsidRPr="00271E01" w:rsidRDefault="00B918E5" w:rsidP="00B918E5">
            <w:pPr>
              <w:jc w:val="left"/>
              <w:rPr>
                <w:rFonts w:ascii="Arial" w:hAnsi="Arial" w:cs="Arial"/>
              </w:rPr>
            </w:pPr>
            <w:r w:rsidRPr="00271E01">
              <w:rPr>
                <w:rFonts w:ascii="Arial" w:hAnsi="Arial" w:cs="Arial"/>
              </w:rPr>
              <w:t>B&amp;Q UK &amp; Ireland</w:t>
            </w:r>
            <w:r w:rsidRPr="00271E01">
              <w:rPr>
                <w:rFonts w:ascii="Arial" w:hAnsi="Arial" w:cs="Arial"/>
                <w:vertAlign w:val="superscript"/>
              </w:rPr>
              <w:t xml:space="preserve"> </w:t>
            </w:r>
          </w:p>
        </w:tc>
        <w:tc>
          <w:tcPr>
            <w:tcW w:w="1276" w:type="dxa"/>
          </w:tcPr>
          <w:p w:rsidR="00B918E5" w:rsidRPr="00271E01" w:rsidRDefault="006748D7" w:rsidP="00B918E5">
            <w:pPr>
              <w:jc w:val="right"/>
              <w:rPr>
                <w:rFonts w:ascii="Arial" w:hAnsi="Arial" w:cs="Arial"/>
              </w:rPr>
            </w:pPr>
            <w:r>
              <w:rPr>
                <w:rFonts w:ascii="Arial" w:hAnsi="Arial" w:cs="Arial"/>
              </w:rPr>
              <w:t>1,957</w:t>
            </w:r>
          </w:p>
        </w:tc>
        <w:tc>
          <w:tcPr>
            <w:tcW w:w="1276" w:type="dxa"/>
          </w:tcPr>
          <w:p w:rsidR="00B918E5" w:rsidRPr="00271E01" w:rsidRDefault="006748D7" w:rsidP="00B918E5">
            <w:pPr>
              <w:jc w:val="right"/>
              <w:rPr>
                <w:rFonts w:ascii="Arial" w:hAnsi="Arial" w:cs="Arial"/>
              </w:rPr>
            </w:pPr>
            <w:r>
              <w:rPr>
                <w:rFonts w:ascii="Arial" w:hAnsi="Arial" w:cs="Arial"/>
              </w:rPr>
              <w:t>(1.7)</w:t>
            </w:r>
            <w:r w:rsidR="00B918E5" w:rsidRPr="00271E01">
              <w:rPr>
                <w:rFonts w:ascii="Arial" w:hAnsi="Arial" w:cs="Arial"/>
              </w:rPr>
              <w:t>%</w:t>
            </w:r>
          </w:p>
        </w:tc>
        <w:tc>
          <w:tcPr>
            <w:tcW w:w="1701" w:type="dxa"/>
          </w:tcPr>
          <w:p w:rsidR="00B918E5" w:rsidRPr="00271E01" w:rsidRDefault="006748D7" w:rsidP="00B918E5">
            <w:pPr>
              <w:jc w:val="right"/>
              <w:rPr>
                <w:rFonts w:ascii="Arial" w:hAnsi="Arial" w:cs="Arial"/>
              </w:rPr>
            </w:pPr>
            <w:r>
              <w:rPr>
                <w:rFonts w:ascii="Arial" w:hAnsi="Arial" w:cs="Arial"/>
              </w:rPr>
              <w:t>(1.8)</w:t>
            </w:r>
            <w:r w:rsidR="00B918E5" w:rsidRPr="00271E01">
              <w:rPr>
                <w:rFonts w:ascii="Arial" w:hAnsi="Arial" w:cs="Arial"/>
              </w:rPr>
              <w:t>%</w:t>
            </w:r>
          </w:p>
        </w:tc>
        <w:tc>
          <w:tcPr>
            <w:tcW w:w="1843" w:type="dxa"/>
          </w:tcPr>
          <w:p w:rsidR="00B918E5" w:rsidRPr="00271E01" w:rsidRDefault="006748D7" w:rsidP="00B918E5">
            <w:pPr>
              <w:jc w:val="right"/>
              <w:rPr>
                <w:rFonts w:ascii="Arial" w:hAnsi="Arial" w:cs="Arial"/>
              </w:rPr>
            </w:pPr>
            <w:r>
              <w:rPr>
                <w:rFonts w:ascii="Arial" w:hAnsi="Arial" w:cs="Arial"/>
              </w:rPr>
              <w:t>(1.7</w:t>
            </w:r>
            <w:r w:rsidR="00A91221">
              <w:rPr>
                <w:rFonts w:ascii="Arial" w:hAnsi="Arial" w:cs="Arial"/>
              </w:rPr>
              <w:t>)</w:t>
            </w:r>
            <w:r w:rsidR="00B918E5" w:rsidRPr="00271E01">
              <w:rPr>
                <w:rFonts w:ascii="Arial" w:hAnsi="Arial" w:cs="Arial"/>
              </w:rPr>
              <w:t>%</w:t>
            </w:r>
          </w:p>
        </w:tc>
      </w:tr>
      <w:tr w:rsidR="00B918E5" w:rsidRPr="00271E01" w:rsidTr="00C327CA">
        <w:trPr>
          <w:trHeight w:hRule="exact" w:val="312"/>
        </w:trPr>
        <w:tc>
          <w:tcPr>
            <w:tcW w:w="2376" w:type="dxa"/>
            <w:tcBorders>
              <w:bottom w:val="single" w:sz="4" w:space="0" w:color="auto"/>
            </w:tcBorders>
          </w:tcPr>
          <w:p w:rsidR="00B918E5" w:rsidRPr="00271E01" w:rsidRDefault="00B918E5" w:rsidP="00B918E5">
            <w:pPr>
              <w:jc w:val="left"/>
              <w:rPr>
                <w:rFonts w:ascii="Arial" w:hAnsi="Arial" w:cs="Arial"/>
              </w:rPr>
            </w:pPr>
            <w:r w:rsidRPr="00271E01">
              <w:rPr>
                <w:rFonts w:ascii="Arial" w:hAnsi="Arial" w:cs="Arial"/>
              </w:rPr>
              <w:t>Screwfix</w:t>
            </w:r>
          </w:p>
        </w:tc>
        <w:tc>
          <w:tcPr>
            <w:tcW w:w="1276" w:type="dxa"/>
            <w:tcBorders>
              <w:bottom w:val="single" w:sz="4" w:space="0" w:color="auto"/>
            </w:tcBorders>
          </w:tcPr>
          <w:p w:rsidR="00B918E5" w:rsidRPr="00271E01" w:rsidRDefault="006748D7" w:rsidP="00B918E5">
            <w:pPr>
              <w:jc w:val="right"/>
              <w:rPr>
                <w:rFonts w:ascii="Arial" w:hAnsi="Arial" w:cs="Arial"/>
              </w:rPr>
            </w:pPr>
            <w:r>
              <w:rPr>
                <w:rFonts w:ascii="Arial" w:hAnsi="Arial" w:cs="Arial"/>
              </w:rPr>
              <w:t>313</w:t>
            </w:r>
          </w:p>
        </w:tc>
        <w:tc>
          <w:tcPr>
            <w:tcW w:w="1276" w:type="dxa"/>
            <w:tcBorders>
              <w:bottom w:val="single" w:sz="4" w:space="0" w:color="auto"/>
            </w:tcBorders>
          </w:tcPr>
          <w:p w:rsidR="00B918E5" w:rsidRPr="00271E01" w:rsidRDefault="00E41F64" w:rsidP="00B918E5">
            <w:pPr>
              <w:jc w:val="right"/>
              <w:rPr>
                <w:rFonts w:ascii="Arial" w:hAnsi="Arial" w:cs="Arial"/>
              </w:rPr>
            </w:pPr>
            <w:r>
              <w:rPr>
                <w:rFonts w:ascii="Arial" w:hAnsi="Arial" w:cs="Arial"/>
              </w:rPr>
              <w:t>+</w:t>
            </w:r>
            <w:r w:rsidR="006748D7">
              <w:rPr>
                <w:rFonts w:ascii="Arial" w:hAnsi="Arial" w:cs="Arial"/>
              </w:rPr>
              <w:t>14.6</w:t>
            </w:r>
            <w:r w:rsidR="00B918E5" w:rsidRPr="00271E01">
              <w:rPr>
                <w:rFonts w:ascii="Arial" w:hAnsi="Arial" w:cs="Arial"/>
              </w:rPr>
              <w:t>%</w:t>
            </w:r>
          </w:p>
        </w:tc>
        <w:tc>
          <w:tcPr>
            <w:tcW w:w="1701" w:type="dxa"/>
            <w:tcBorders>
              <w:bottom w:val="single" w:sz="4" w:space="0" w:color="auto"/>
            </w:tcBorders>
          </w:tcPr>
          <w:p w:rsidR="00B918E5" w:rsidRPr="00271E01" w:rsidRDefault="00E41F64" w:rsidP="00B918E5">
            <w:pPr>
              <w:jc w:val="right"/>
              <w:rPr>
                <w:rFonts w:ascii="Arial" w:hAnsi="Arial" w:cs="Arial"/>
              </w:rPr>
            </w:pPr>
            <w:r>
              <w:rPr>
                <w:rFonts w:ascii="Arial" w:hAnsi="Arial" w:cs="Arial"/>
              </w:rPr>
              <w:t>+</w:t>
            </w:r>
            <w:r w:rsidR="006748D7">
              <w:rPr>
                <w:rFonts w:ascii="Arial" w:hAnsi="Arial" w:cs="Arial"/>
              </w:rPr>
              <w:t>14.6</w:t>
            </w:r>
            <w:r w:rsidR="00B918E5" w:rsidRPr="00271E01">
              <w:rPr>
                <w:rFonts w:ascii="Arial" w:hAnsi="Arial" w:cs="Arial"/>
              </w:rPr>
              <w:t>%</w:t>
            </w:r>
          </w:p>
        </w:tc>
        <w:tc>
          <w:tcPr>
            <w:tcW w:w="1843" w:type="dxa"/>
            <w:tcBorders>
              <w:bottom w:val="single" w:sz="4" w:space="0" w:color="auto"/>
            </w:tcBorders>
          </w:tcPr>
          <w:p w:rsidR="00B918E5" w:rsidRPr="00271E01" w:rsidRDefault="00A0170B" w:rsidP="00B918E5">
            <w:pPr>
              <w:jc w:val="right"/>
              <w:rPr>
                <w:rFonts w:ascii="Arial" w:hAnsi="Arial" w:cs="Arial"/>
              </w:rPr>
            </w:pPr>
            <w:r>
              <w:rPr>
                <w:rFonts w:ascii="Arial" w:hAnsi="Arial" w:cs="Arial"/>
              </w:rPr>
              <w:t>+</w:t>
            </w:r>
            <w:r w:rsidR="006748D7">
              <w:rPr>
                <w:rFonts w:ascii="Arial" w:hAnsi="Arial" w:cs="Arial"/>
              </w:rPr>
              <w:t>3.6</w:t>
            </w:r>
            <w:r w:rsidR="00B918E5" w:rsidRPr="00271E01">
              <w:rPr>
                <w:rFonts w:ascii="Arial" w:hAnsi="Arial" w:cs="Arial"/>
              </w:rPr>
              <w:t>%</w:t>
            </w:r>
          </w:p>
        </w:tc>
      </w:tr>
      <w:tr w:rsidR="006748D7" w:rsidRPr="00BA5CDF" w:rsidTr="00B918E5">
        <w:trPr>
          <w:trHeight w:hRule="exact" w:val="337"/>
        </w:trPr>
        <w:tc>
          <w:tcPr>
            <w:tcW w:w="2376" w:type="dxa"/>
            <w:tcBorders>
              <w:top w:val="single" w:sz="4" w:space="0" w:color="auto"/>
            </w:tcBorders>
          </w:tcPr>
          <w:p w:rsidR="006748D7" w:rsidRPr="005970EB" w:rsidRDefault="006748D7" w:rsidP="006725C9">
            <w:pPr>
              <w:spacing w:before="20"/>
              <w:jc w:val="left"/>
              <w:rPr>
                <w:rFonts w:ascii="Arial" w:hAnsi="Arial" w:cs="Arial"/>
                <w:b/>
                <w:vertAlign w:val="superscript"/>
              </w:rPr>
            </w:pPr>
            <w:r w:rsidRPr="005970EB">
              <w:rPr>
                <w:rFonts w:ascii="Arial" w:hAnsi="Arial" w:cs="Arial"/>
                <w:b/>
              </w:rPr>
              <w:t xml:space="preserve">UK &amp; Ireland </w:t>
            </w:r>
          </w:p>
        </w:tc>
        <w:tc>
          <w:tcPr>
            <w:tcW w:w="1276" w:type="dxa"/>
            <w:tcBorders>
              <w:top w:val="single" w:sz="4" w:space="0" w:color="auto"/>
            </w:tcBorders>
          </w:tcPr>
          <w:p w:rsidR="006748D7" w:rsidRPr="006725C9" w:rsidRDefault="006748D7" w:rsidP="006725C9">
            <w:pPr>
              <w:spacing w:before="20"/>
              <w:jc w:val="right"/>
              <w:rPr>
                <w:rFonts w:ascii="Arial" w:hAnsi="Arial" w:cs="Arial"/>
                <w:b/>
              </w:rPr>
            </w:pPr>
            <w:r w:rsidRPr="006725C9">
              <w:rPr>
                <w:rFonts w:ascii="Arial" w:hAnsi="Arial" w:cs="Arial"/>
                <w:b/>
              </w:rPr>
              <w:t>2,270</w:t>
            </w:r>
          </w:p>
        </w:tc>
        <w:tc>
          <w:tcPr>
            <w:tcW w:w="1276" w:type="dxa"/>
            <w:tcBorders>
              <w:top w:val="single" w:sz="4" w:space="0" w:color="auto"/>
            </w:tcBorders>
          </w:tcPr>
          <w:p w:rsidR="006748D7" w:rsidRPr="006725C9" w:rsidRDefault="00E41F64" w:rsidP="006725C9">
            <w:pPr>
              <w:spacing w:before="20"/>
              <w:jc w:val="right"/>
              <w:rPr>
                <w:rFonts w:ascii="Arial" w:hAnsi="Arial" w:cs="Arial"/>
                <w:b/>
              </w:rPr>
            </w:pPr>
            <w:r>
              <w:rPr>
                <w:rFonts w:ascii="Arial" w:hAnsi="Arial" w:cs="Arial"/>
                <w:b/>
              </w:rPr>
              <w:t>+</w:t>
            </w:r>
            <w:r w:rsidR="006748D7" w:rsidRPr="006725C9">
              <w:rPr>
                <w:rFonts w:ascii="Arial" w:hAnsi="Arial" w:cs="Arial"/>
                <w:b/>
              </w:rPr>
              <w:t>0.3%</w:t>
            </w:r>
          </w:p>
        </w:tc>
        <w:tc>
          <w:tcPr>
            <w:tcW w:w="1701" w:type="dxa"/>
            <w:tcBorders>
              <w:top w:val="single" w:sz="4" w:space="0" w:color="auto"/>
            </w:tcBorders>
          </w:tcPr>
          <w:p w:rsidR="006748D7" w:rsidRPr="006725C9" w:rsidRDefault="00E41F64" w:rsidP="006725C9">
            <w:pPr>
              <w:spacing w:before="20"/>
              <w:jc w:val="right"/>
              <w:rPr>
                <w:rFonts w:ascii="Arial" w:hAnsi="Arial" w:cs="Arial"/>
                <w:b/>
              </w:rPr>
            </w:pPr>
            <w:r>
              <w:rPr>
                <w:rFonts w:ascii="Arial" w:hAnsi="Arial" w:cs="Arial"/>
                <w:b/>
              </w:rPr>
              <w:t>+</w:t>
            </w:r>
            <w:r w:rsidR="006748D7" w:rsidRPr="006725C9">
              <w:rPr>
                <w:rFonts w:ascii="Arial" w:hAnsi="Arial" w:cs="Arial"/>
                <w:b/>
              </w:rPr>
              <w:t>0.2%</w:t>
            </w:r>
          </w:p>
        </w:tc>
        <w:tc>
          <w:tcPr>
            <w:tcW w:w="1843" w:type="dxa"/>
            <w:tcBorders>
              <w:top w:val="single" w:sz="4" w:space="0" w:color="auto"/>
            </w:tcBorders>
          </w:tcPr>
          <w:p w:rsidR="006748D7" w:rsidRPr="006725C9" w:rsidRDefault="006748D7" w:rsidP="006725C9">
            <w:pPr>
              <w:spacing w:before="20"/>
              <w:jc w:val="right"/>
              <w:rPr>
                <w:rFonts w:ascii="Arial" w:hAnsi="Arial" w:cs="Arial"/>
                <w:b/>
              </w:rPr>
            </w:pPr>
            <w:r w:rsidRPr="006725C9">
              <w:rPr>
                <w:rFonts w:ascii="Arial" w:hAnsi="Arial" w:cs="Arial"/>
                <w:b/>
              </w:rPr>
              <w:t>(1.0)%</w:t>
            </w:r>
          </w:p>
        </w:tc>
      </w:tr>
      <w:tr w:rsidR="006748D7" w:rsidRPr="00271E01" w:rsidTr="00B918E5">
        <w:trPr>
          <w:trHeight w:hRule="exact" w:val="312"/>
        </w:trPr>
        <w:tc>
          <w:tcPr>
            <w:tcW w:w="2376" w:type="dxa"/>
          </w:tcPr>
          <w:p w:rsidR="006748D7" w:rsidRPr="00271E01" w:rsidRDefault="006748D7" w:rsidP="00B918E5">
            <w:pPr>
              <w:jc w:val="left"/>
              <w:rPr>
                <w:rFonts w:ascii="Arial" w:hAnsi="Arial" w:cs="Arial"/>
              </w:rPr>
            </w:pPr>
            <w:r w:rsidRPr="00271E01">
              <w:rPr>
                <w:rFonts w:ascii="Arial" w:hAnsi="Arial" w:cs="Arial"/>
              </w:rPr>
              <w:t>Poland</w:t>
            </w:r>
          </w:p>
        </w:tc>
        <w:tc>
          <w:tcPr>
            <w:tcW w:w="1276" w:type="dxa"/>
          </w:tcPr>
          <w:p w:rsidR="006748D7" w:rsidRPr="00271E01" w:rsidRDefault="006748D7" w:rsidP="00B918E5">
            <w:pPr>
              <w:jc w:val="right"/>
              <w:rPr>
                <w:rFonts w:ascii="Arial" w:hAnsi="Arial" w:cs="Arial"/>
              </w:rPr>
            </w:pPr>
            <w:r>
              <w:rPr>
                <w:rFonts w:ascii="Arial" w:hAnsi="Arial" w:cs="Arial"/>
              </w:rPr>
              <w:t>557</w:t>
            </w:r>
          </w:p>
        </w:tc>
        <w:tc>
          <w:tcPr>
            <w:tcW w:w="1276" w:type="dxa"/>
          </w:tcPr>
          <w:p w:rsidR="006748D7" w:rsidRPr="00271E01" w:rsidRDefault="00E41F64" w:rsidP="00B918E5">
            <w:pPr>
              <w:jc w:val="right"/>
              <w:rPr>
                <w:rFonts w:ascii="Arial" w:hAnsi="Arial" w:cs="Arial"/>
              </w:rPr>
            </w:pPr>
            <w:r>
              <w:rPr>
                <w:rFonts w:ascii="Arial" w:hAnsi="Arial" w:cs="Arial"/>
              </w:rPr>
              <w:t>+</w:t>
            </w:r>
            <w:r w:rsidR="006748D7">
              <w:rPr>
                <w:rFonts w:ascii="Arial" w:hAnsi="Arial" w:cs="Arial"/>
              </w:rPr>
              <w:t>8.6</w:t>
            </w:r>
            <w:r w:rsidR="006748D7" w:rsidRPr="00271E01">
              <w:rPr>
                <w:rFonts w:ascii="Arial" w:hAnsi="Arial" w:cs="Arial"/>
              </w:rPr>
              <w:t>%</w:t>
            </w:r>
          </w:p>
        </w:tc>
        <w:tc>
          <w:tcPr>
            <w:tcW w:w="1701" w:type="dxa"/>
          </w:tcPr>
          <w:p w:rsidR="006748D7" w:rsidRPr="00271E01" w:rsidRDefault="00E41F64" w:rsidP="00B918E5">
            <w:pPr>
              <w:jc w:val="right"/>
              <w:rPr>
                <w:rFonts w:ascii="Arial" w:hAnsi="Arial" w:cs="Arial"/>
              </w:rPr>
            </w:pPr>
            <w:r>
              <w:rPr>
                <w:rFonts w:ascii="Arial" w:hAnsi="Arial" w:cs="Arial"/>
              </w:rPr>
              <w:t>+</w:t>
            </w:r>
            <w:r w:rsidR="006748D7">
              <w:rPr>
                <w:rFonts w:ascii="Arial" w:hAnsi="Arial" w:cs="Arial"/>
              </w:rPr>
              <w:t>3.1</w:t>
            </w:r>
            <w:r w:rsidR="006748D7" w:rsidRPr="00271E01">
              <w:rPr>
                <w:rFonts w:ascii="Arial" w:hAnsi="Arial" w:cs="Arial"/>
              </w:rPr>
              <w:t>%</w:t>
            </w:r>
          </w:p>
        </w:tc>
        <w:tc>
          <w:tcPr>
            <w:tcW w:w="1843" w:type="dxa"/>
          </w:tcPr>
          <w:p w:rsidR="006748D7" w:rsidRPr="00271E01" w:rsidRDefault="006748D7" w:rsidP="00B918E5">
            <w:pPr>
              <w:jc w:val="right"/>
              <w:rPr>
                <w:rFonts w:ascii="Arial" w:hAnsi="Arial" w:cs="Arial"/>
              </w:rPr>
            </w:pPr>
            <w:r>
              <w:rPr>
                <w:rFonts w:ascii="Arial" w:hAnsi="Arial" w:cs="Arial"/>
              </w:rPr>
              <w:t>(0.2)</w:t>
            </w:r>
            <w:r w:rsidRPr="00271E01">
              <w:rPr>
                <w:rFonts w:ascii="Arial" w:hAnsi="Arial" w:cs="Arial"/>
              </w:rPr>
              <w:t>%</w:t>
            </w:r>
          </w:p>
        </w:tc>
      </w:tr>
      <w:tr w:rsidR="006748D7" w:rsidRPr="00271E01" w:rsidTr="00B918E5">
        <w:trPr>
          <w:trHeight w:hRule="exact" w:val="312"/>
        </w:trPr>
        <w:tc>
          <w:tcPr>
            <w:tcW w:w="2376" w:type="dxa"/>
          </w:tcPr>
          <w:p w:rsidR="006748D7" w:rsidRPr="00271E01" w:rsidRDefault="006748D7" w:rsidP="00B918E5">
            <w:pPr>
              <w:jc w:val="left"/>
              <w:rPr>
                <w:rFonts w:ascii="Arial" w:hAnsi="Arial" w:cs="Arial"/>
              </w:rPr>
            </w:pPr>
            <w:r w:rsidRPr="00271E01">
              <w:rPr>
                <w:rFonts w:ascii="Arial" w:hAnsi="Arial" w:cs="Arial"/>
              </w:rPr>
              <w:t>China</w:t>
            </w:r>
          </w:p>
        </w:tc>
        <w:tc>
          <w:tcPr>
            <w:tcW w:w="1276" w:type="dxa"/>
          </w:tcPr>
          <w:p w:rsidR="006748D7" w:rsidRPr="00271E01" w:rsidRDefault="006748D7" w:rsidP="00B918E5">
            <w:pPr>
              <w:jc w:val="right"/>
              <w:rPr>
                <w:rFonts w:ascii="Arial" w:hAnsi="Arial" w:cs="Arial"/>
              </w:rPr>
            </w:pPr>
            <w:r>
              <w:rPr>
                <w:rFonts w:ascii="Arial" w:hAnsi="Arial" w:cs="Arial"/>
              </w:rPr>
              <w:t>194</w:t>
            </w:r>
          </w:p>
        </w:tc>
        <w:tc>
          <w:tcPr>
            <w:tcW w:w="1276" w:type="dxa"/>
          </w:tcPr>
          <w:p w:rsidR="006748D7" w:rsidRPr="00271E01" w:rsidRDefault="00E41F64" w:rsidP="00B918E5">
            <w:pPr>
              <w:jc w:val="right"/>
              <w:rPr>
                <w:rFonts w:ascii="Arial" w:hAnsi="Arial" w:cs="Arial"/>
              </w:rPr>
            </w:pPr>
            <w:r>
              <w:rPr>
                <w:rFonts w:ascii="Arial" w:hAnsi="Arial" w:cs="Arial"/>
              </w:rPr>
              <w:t>+</w:t>
            </w:r>
            <w:r w:rsidR="006748D7">
              <w:rPr>
                <w:rFonts w:ascii="Arial" w:hAnsi="Arial" w:cs="Arial"/>
              </w:rPr>
              <w:t>15.8</w:t>
            </w:r>
            <w:r w:rsidR="006748D7" w:rsidRPr="00271E01">
              <w:rPr>
                <w:rFonts w:ascii="Arial" w:hAnsi="Arial" w:cs="Arial"/>
              </w:rPr>
              <w:t>%</w:t>
            </w:r>
          </w:p>
        </w:tc>
        <w:tc>
          <w:tcPr>
            <w:tcW w:w="1701" w:type="dxa"/>
          </w:tcPr>
          <w:p w:rsidR="006748D7" w:rsidRPr="00271E01" w:rsidRDefault="00E41F64" w:rsidP="00B918E5">
            <w:pPr>
              <w:jc w:val="right"/>
              <w:rPr>
                <w:rFonts w:ascii="Arial" w:hAnsi="Arial" w:cs="Arial"/>
              </w:rPr>
            </w:pPr>
            <w:r>
              <w:rPr>
                <w:rFonts w:ascii="Arial" w:hAnsi="Arial" w:cs="Arial"/>
              </w:rPr>
              <w:t>+</w:t>
            </w:r>
            <w:r w:rsidR="006748D7">
              <w:rPr>
                <w:rFonts w:ascii="Arial" w:hAnsi="Arial" w:cs="Arial"/>
              </w:rPr>
              <w:t>9.5%</w:t>
            </w:r>
          </w:p>
        </w:tc>
        <w:tc>
          <w:tcPr>
            <w:tcW w:w="1843" w:type="dxa"/>
          </w:tcPr>
          <w:p w:rsidR="006748D7" w:rsidRPr="00271E01" w:rsidRDefault="00A0170B" w:rsidP="00B918E5">
            <w:pPr>
              <w:jc w:val="right"/>
              <w:rPr>
                <w:rFonts w:ascii="Arial" w:hAnsi="Arial" w:cs="Arial"/>
              </w:rPr>
            </w:pPr>
            <w:r>
              <w:rPr>
                <w:rFonts w:ascii="Arial" w:hAnsi="Arial" w:cs="Arial"/>
              </w:rPr>
              <w:t>+</w:t>
            </w:r>
            <w:r w:rsidR="006748D7">
              <w:rPr>
                <w:rFonts w:ascii="Arial" w:hAnsi="Arial" w:cs="Arial"/>
              </w:rPr>
              <w:t>10.2</w:t>
            </w:r>
            <w:r w:rsidR="006748D7" w:rsidRPr="00271E01">
              <w:rPr>
                <w:rFonts w:ascii="Arial" w:hAnsi="Arial" w:cs="Arial"/>
              </w:rPr>
              <w:t>%</w:t>
            </w:r>
          </w:p>
        </w:tc>
      </w:tr>
      <w:tr w:rsidR="00226F18" w:rsidRPr="00271E01" w:rsidTr="00B918E5">
        <w:trPr>
          <w:trHeight w:hRule="exact" w:val="312"/>
        </w:trPr>
        <w:tc>
          <w:tcPr>
            <w:tcW w:w="2376" w:type="dxa"/>
          </w:tcPr>
          <w:p w:rsidR="00226F18" w:rsidRDefault="00226F18" w:rsidP="00B918E5">
            <w:pPr>
              <w:jc w:val="left"/>
              <w:rPr>
                <w:rFonts w:ascii="Arial" w:hAnsi="Arial" w:cs="Arial"/>
              </w:rPr>
            </w:pPr>
            <w:r>
              <w:rPr>
                <w:rFonts w:ascii="Arial" w:hAnsi="Arial" w:cs="Arial"/>
              </w:rPr>
              <w:t>Romania</w:t>
            </w:r>
          </w:p>
        </w:tc>
        <w:tc>
          <w:tcPr>
            <w:tcW w:w="1276" w:type="dxa"/>
          </w:tcPr>
          <w:p w:rsidR="00226F18" w:rsidRDefault="00226F18" w:rsidP="00B918E5">
            <w:pPr>
              <w:jc w:val="right"/>
              <w:rPr>
                <w:rFonts w:ascii="Arial" w:hAnsi="Arial" w:cs="Arial"/>
              </w:rPr>
            </w:pPr>
            <w:r>
              <w:rPr>
                <w:rFonts w:ascii="Arial" w:hAnsi="Arial" w:cs="Arial"/>
              </w:rPr>
              <w:t>11</w:t>
            </w:r>
          </w:p>
        </w:tc>
        <w:tc>
          <w:tcPr>
            <w:tcW w:w="1276" w:type="dxa"/>
          </w:tcPr>
          <w:p w:rsidR="00226F18" w:rsidRDefault="00226F18" w:rsidP="00B918E5">
            <w:pPr>
              <w:jc w:val="right"/>
              <w:rPr>
                <w:rFonts w:ascii="Arial" w:hAnsi="Arial" w:cs="Arial"/>
              </w:rPr>
            </w:pPr>
            <w:r>
              <w:rPr>
                <w:rFonts w:ascii="Arial" w:hAnsi="Arial" w:cs="Arial"/>
              </w:rPr>
              <w:t>n/a</w:t>
            </w:r>
          </w:p>
        </w:tc>
        <w:tc>
          <w:tcPr>
            <w:tcW w:w="1701" w:type="dxa"/>
          </w:tcPr>
          <w:p w:rsidR="00226F18" w:rsidRDefault="00226F18" w:rsidP="00B918E5">
            <w:pPr>
              <w:jc w:val="right"/>
              <w:rPr>
                <w:rFonts w:ascii="Arial" w:hAnsi="Arial" w:cs="Arial"/>
              </w:rPr>
            </w:pPr>
            <w:r>
              <w:rPr>
                <w:rFonts w:ascii="Arial" w:hAnsi="Arial" w:cs="Arial"/>
              </w:rPr>
              <w:t>n/a</w:t>
            </w:r>
          </w:p>
        </w:tc>
        <w:tc>
          <w:tcPr>
            <w:tcW w:w="1843" w:type="dxa"/>
          </w:tcPr>
          <w:p w:rsidR="00226F18" w:rsidRDefault="00226F18" w:rsidP="00FC6CF4">
            <w:pPr>
              <w:jc w:val="right"/>
              <w:rPr>
                <w:rFonts w:ascii="Arial" w:hAnsi="Arial" w:cs="Arial"/>
              </w:rPr>
            </w:pPr>
            <w:r>
              <w:rPr>
                <w:rFonts w:ascii="Arial" w:hAnsi="Arial" w:cs="Arial"/>
              </w:rPr>
              <w:t>n/a</w:t>
            </w:r>
          </w:p>
          <w:p w:rsidR="00226F18" w:rsidRDefault="00226F18" w:rsidP="00B918E5">
            <w:pPr>
              <w:jc w:val="right"/>
              <w:rPr>
                <w:rFonts w:ascii="Arial" w:hAnsi="Arial" w:cs="Arial"/>
              </w:rPr>
            </w:pPr>
          </w:p>
        </w:tc>
      </w:tr>
      <w:tr w:rsidR="00226F18" w:rsidRPr="00271E01" w:rsidTr="00B918E5">
        <w:trPr>
          <w:trHeight w:hRule="exact" w:val="312"/>
        </w:trPr>
        <w:tc>
          <w:tcPr>
            <w:tcW w:w="2376" w:type="dxa"/>
          </w:tcPr>
          <w:p w:rsidR="00226F18" w:rsidRPr="00271E01" w:rsidRDefault="00226F18" w:rsidP="00B918E5">
            <w:pPr>
              <w:jc w:val="left"/>
              <w:rPr>
                <w:rFonts w:ascii="Arial" w:hAnsi="Arial" w:cs="Arial"/>
              </w:rPr>
            </w:pPr>
            <w:r>
              <w:rPr>
                <w:rFonts w:ascii="Arial" w:hAnsi="Arial" w:cs="Arial"/>
              </w:rPr>
              <w:t>Russia</w:t>
            </w:r>
            <w:r w:rsidRPr="00271E01">
              <w:rPr>
                <w:rFonts w:ascii="Arial" w:hAnsi="Arial" w:cs="Arial"/>
              </w:rPr>
              <w:t xml:space="preserve"> </w:t>
            </w:r>
          </w:p>
        </w:tc>
        <w:tc>
          <w:tcPr>
            <w:tcW w:w="1276" w:type="dxa"/>
          </w:tcPr>
          <w:p w:rsidR="00226F18" w:rsidRPr="00271E01" w:rsidRDefault="00226F18" w:rsidP="00B918E5">
            <w:pPr>
              <w:jc w:val="right"/>
              <w:rPr>
                <w:rFonts w:ascii="Arial" w:hAnsi="Arial" w:cs="Arial"/>
              </w:rPr>
            </w:pPr>
            <w:r>
              <w:rPr>
                <w:rFonts w:ascii="Arial" w:hAnsi="Arial" w:cs="Arial"/>
              </w:rPr>
              <w:t>225</w:t>
            </w:r>
          </w:p>
        </w:tc>
        <w:tc>
          <w:tcPr>
            <w:tcW w:w="1276" w:type="dxa"/>
          </w:tcPr>
          <w:p w:rsidR="00226F18" w:rsidRPr="00271E01" w:rsidRDefault="00E41F64" w:rsidP="00B918E5">
            <w:pPr>
              <w:jc w:val="right"/>
              <w:rPr>
                <w:rFonts w:ascii="Arial" w:hAnsi="Arial" w:cs="Arial"/>
              </w:rPr>
            </w:pPr>
            <w:r>
              <w:rPr>
                <w:rFonts w:ascii="Arial" w:hAnsi="Arial" w:cs="Arial"/>
              </w:rPr>
              <w:t>+</w:t>
            </w:r>
            <w:r w:rsidR="00226F18">
              <w:rPr>
                <w:rFonts w:ascii="Arial" w:hAnsi="Arial" w:cs="Arial"/>
              </w:rPr>
              <w:t>13.2%</w:t>
            </w:r>
          </w:p>
        </w:tc>
        <w:tc>
          <w:tcPr>
            <w:tcW w:w="1701" w:type="dxa"/>
          </w:tcPr>
          <w:p w:rsidR="00226F18" w:rsidRPr="00271E01" w:rsidRDefault="00E41F64" w:rsidP="00B918E5">
            <w:pPr>
              <w:jc w:val="right"/>
              <w:rPr>
                <w:rFonts w:ascii="Arial" w:hAnsi="Arial" w:cs="Arial"/>
              </w:rPr>
            </w:pPr>
            <w:r>
              <w:rPr>
                <w:rFonts w:ascii="Arial" w:hAnsi="Arial" w:cs="Arial"/>
              </w:rPr>
              <w:t>+</w:t>
            </w:r>
            <w:r w:rsidR="00226F18">
              <w:rPr>
                <w:rFonts w:ascii="Arial" w:hAnsi="Arial" w:cs="Arial"/>
              </w:rPr>
              <w:t>12.4</w:t>
            </w:r>
            <w:r w:rsidR="00226F18" w:rsidRPr="00271E01">
              <w:rPr>
                <w:rFonts w:ascii="Arial" w:hAnsi="Arial" w:cs="Arial"/>
              </w:rPr>
              <w:t>%</w:t>
            </w:r>
          </w:p>
        </w:tc>
        <w:tc>
          <w:tcPr>
            <w:tcW w:w="1843" w:type="dxa"/>
          </w:tcPr>
          <w:p w:rsidR="00226F18" w:rsidRPr="00271E01" w:rsidRDefault="00A0170B" w:rsidP="00B918E5">
            <w:pPr>
              <w:jc w:val="right"/>
              <w:rPr>
                <w:rFonts w:ascii="Arial" w:hAnsi="Arial" w:cs="Arial"/>
              </w:rPr>
            </w:pPr>
            <w:r>
              <w:rPr>
                <w:rFonts w:ascii="Arial" w:hAnsi="Arial" w:cs="Arial"/>
              </w:rPr>
              <w:t>+</w:t>
            </w:r>
            <w:r w:rsidR="00226F18">
              <w:rPr>
                <w:rFonts w:ascii="Arial" w:hAnsi="Arial" w:cs="Arial"/>
              </w:rPr>
              <w:t>10.5</w:t>
            </w:r>
            <w:r w:rsidR="00226F18" w:rsidRPr="00271E01">
              <w:rPr>
                <w:rFonts w:ascii="Arial" w:hAnsi="Arial" w:cs="Arial"/>
              </w:rPr>
              <w:t>%</w:t>
            </w:r>
          </w:p>
        </w:tc>
      </w:tr>
      <w:tr w:rsidR="00226F18" w:rsidRPr="00271E01" w:rsidTr="00B918E5">
        <w:trPr>
          <w:trHeight w:hRule="exact" w:val="312"/>
        </w:trPr>
        <w:tc>
          <w:tcPr>
            <w:tcW w:w="2376" w:type="dxa"/>
          </w:tcPr>
          <w:p w:rsidR="00226F18" w:rsidRPr="00271E01" w:rsidRDefault="00226F18" w:rsidP="00B918E5">
            <w:pPr>
              <w:jc w:val="left"/>
              <w:rPr>
                <w:rFonts w:ascii="Arial" w:hAnsi="Arial" w:cs="Arial"/>
              </w:rPr>
            </w:pPr>
            <w:r w:rsidRPr="00271E01">
              <w:rPr>
                <w:rFonts w:ascii="Arial" w:hAnsi="Arial" w:cs="Arial"/>
              </w:rPr>
              <w:t xml:space="preserve">Spain </w:t>
            </w:r>
          </w:p>
        </w:tc>
        <w:tc>
          <w:tcPr>
            <w:tcW w:w="1276" w:type="dxa"/>
          </w:tcPr>
          <w:p w:rsidR="00226F18" w:rsidRPr="00271E01" w:rsidRDefault="00226F18" w:rsidP="00B918E5">
            <w:pPr>
              <w:jc w:val="right"/>
              <w:rPr>
                <w:rFonts w:ascii="Arial" w:hAnsi="Arial" w:cs="Arial"/>
              </w:rPr>
            </w:pPr>
            <w:r>
              <w:rPr>
                <w:rFonts w:ascii="Arial" w:hAnsi="Arial" w:cs="Arial"/>
              </w:rPr>
              <w:t>153</w:t>
            </w:r>
          </w:p>
        </w:tc>
        <w:tc>
          <w:tcPr>
            <w:tcW w:w="1276" w:type="dxa"/>
          </w:tcPr>
          <w:p w:rsidR="00226F18" w:rsidRPr="00271E01" w:rsidRDefault="00E41F64" w:rsidP="00B918E5">
            <w:pPr>
              <w:jc w:val="right"/>
              <w:rPr>
                <w:rFonts w:ascii="Arial" w:hAnsi="Arial" w:cs="Arial"/>
              </w:rPr>
            </w:pPr>
            <w:r>
              <w:rPr>
                <w:rFonts w:ascii="Arial" w:hAnsi="Arial" w:cs="Arial"/>
              </w:rPr>
              <w:t>+</w:t>
            </w:r>
            <w:r w:rsidR="00226F18">
              <w:rPr>
                <w:rFonts w:ascii="Arial" w:hAnsi="Arial" w:cs="Arial"/>
              </w:rPr>
              <w:t>19.1</w:t>
            </w:r>
            <w:r w:rsidR="00226F18" w:rsidRPr="00271E01">
              <w:rPr>
                <w:rFonts w:ascii="Arial" w:hAnsi="Arial" w:cs="Arial"/>
              </w:rPr>
              <w:t>%</w:t>
            </w:r>
          </w:p>
        </w:tc>
        <w:tc>
          <w:tcPr>
            <w:tcW w:w="1701" w:type="dxa"/>
          </w:tcPr>
          <w:p w:rsidR="00226F18" w:rsidRPr="00271E01" w:rsidRDefault="00E41F64" w:rsidP="00B918E5">
            <w:pPr>
              <w:jc w:val="right"/>
              <w:rPr>
                <w:rFonts w:ascii="Arial" w:hAnsi="Arial" w:cs="Arial"/>
              </w:rPr>
            </w:pPr>
            <w:r>
              <w:rPr>
                <w:rFonts w:ascii="Arial" w:hAnsi="Arial" w:cs="Arial"/>
              </w:rPr>
              <w:t>+</w:t>
            </w:r>
            <w:r w:rsidR="00226F18">
              <w:rPr>
                <w:rFonts w:ascii="Arial" w:hAnsi="Arial" w:cs="Arial"/>
              </w:rPr>
              <w:t>13.5</w:t>
            </w:r>
            <w:r w:rsidR="00226F18" w:rsidRPr="00271E01">
              <w:rPr>
                <w:rFonts w:ascii="Arial" w:hAnsi="Arial" w:cs="Arial"/>
              </w:rPr>
              <w:t>%</w:t>
            </w:r>
          </w:p>
        </w:tc>
        <w:tc>
          <w:tcPr>
            <w:tcW w:w="1843" w:type="dxa"/>
          </w:tcPr>
          <w:p w:rsidR="00226F18" w:rsidRPr="00271E01" w:rsidRDefault="00226F18" w:rsidP="00B918E5">
            <w:pPr>
              <w:jc w:val="right"/>
              <w:rPr>
                <w:rFonts w:ascii="Arial" w:hAnsi="Arial" w:cs="Arial"/>
              </w:rPr>
            </w:pPr>
            <w:r>
              <w:rPr>
                <w:rFonts w:ascii="Arial" w:hAnsi="Arial" w:cs="Arial"/>
              </w:rPr>
              <w:t>(6.0)</w:t>
            </w:r>
            <w:r w:rsidRPr="00271E01">
              <w:rPr>
                <w:rFonts w:ascii="Arial" w:hAnsi="Arial" w:cs="Arial"/>
              </w:rPr>
              <w:t>%</w:t>
            </w:r>
          </w:p>
        </w:tc>
      </w:tr>
      <w:tr w:rsidR="00226F18" w:rsidRPr="00BA5CDF" w:rsidTr="000D1547">
        <w:trPr>
          <w:trHeight w:hRule="exact" w:val="312"/>
        </w:trPr>
        <w:tc>
          <w:tcPr>
            <w:tcW w:w="2376" w:type="dxa"/>
            <w:tcBorders>
              <w:top w:val="single" w:sz="4" w:space="0" w:color="auto"/>
              <w:bottom w:val="single" w:sz="4" w:space="0" w:color="auto"/>
            </w:tcBorders>
          </w:tcPr>
          <w:p w:rsidR="00226F18" w:rsidRPr="005970EB" w:rsidRDefault="00226F18" w:rsidP="00C327CA">
            <w:pPr>
              <w:spacing w:beforeLines="20" w:before="48"/>
              <w:jc w:val="left"/>
              <w:rPr>
                <w:rFonts w:ascii="Arial" w:hAnsi="Arial" w:cs="Arial"/>
                <w:b/>
              </w:rPr>
            </w:pPr>
            <w:r w:rsidRPr="005970EB">
              <w:rPr>
                <w:rFonts w:ascii="Arial" w:hAnsi="Arial" w:cs="Arial"/>
                <w:b/>
              </w:rPr>
              <w:t>Other International</w:t>
            </w:r>
          </w:p>
        </w:tc>
        <w:tc>
          <w:tcPr>
            <w:tcW w:w="1276" w:type="dxa"/>
            <w:tcBorders>
              <w:top w:val="single" w:sz="4" w:space="0" w:color="auto"/>
              <w:bottom w:val="single" w:sz="4" w:space="0" w:color="auto"/>
            </w:tcBorders>
          </w:tcPr>
          <w:p w:rsidR="00226F18" w:rsidRPr="005970EB" w:rsidRDefault="00226F18" w:rsidP="00C327CA">
            <w:pPr>
              <w:spacing w:beforeLines="20" w:before="48"/>
              <w:jc w:val="right"/>
              <w:rPr>
                <w:rFonts w:ascii="Arial" w:hAnsi="Arial" w:cs="Arial"/>
                <w:b/>
              </w:rPr>
            </w:pPr>
            <w:r>
              <w:rPr>
                <w:rFonts w:ascii="Arial" w:hAnsi="Arial" w:cs="Arial"/>
                <w:b/>
              </w:rPr>
              <w:t>1,140</w:t>
            </w:r>
          </w:p>
        </w:tc>
        <w:tc>
          <w:tcPr>
            <w:tcW w:w="1276" w:type="dxa"/>
            <w:tcBorders>
              <w:top w:val="single" w:sz="4" w:space="0" w:color="auto"/>
              <w:bottom w:val="single" w:sz="4" w:space="0" w:color="auto"/>
            </w:tcBorders>
          </w:tcPr>
          <w:p w:rsidR="00226F18" w:rsidRPr="005970EB" w:rsidRDefault="00E41F64" w:rsidP="00C327CA">
            <w:pPr>
              <w:spacing w:beforeLines="20" w:before="48"/>
              <w:jc w:val="right"/>
              <w:rPr>
                <w:rFonts w:ascii="Arial" w:hAnsi="Arial" w:cs="Arial"/>
                <w:b/>
              </w:rPr>
            </w:pPr>
            <w:r>
              <w:rPr>
                <w:rFonts w:ascii="Arial" w:hAnsi="Arial" w:cs="Arial"/>
                <w:b/>
              </w:rPr>
              <w:t>+</w:t>
            </w:r>
            <w:r w:rsidR="00226F18">
              <w:rPr>
                <w:rFonts w:ascii="Arial" w:hAnsi="Arial" w:cs="Arial"/>
                <w:b/>
              </w:rPr>
              <w:t>13.1%</w:t>
            </w:r>
          </w:p>
        </w:tc>
        <w:tc>
          <w:tcPr>
            <w:tcW w:w="1701" w:type="dxa"/>
            <w:tcBorders>
              <w:top w:val="single" w:sz="4" w:space="0" w:color="auto"/>
              <w:bottom w:val="single" w:sz="4" w:space="0" w:color="auto"/>
            </w:tcBorders>
          </w:tcPr>
          <w:p w:rsidR="00226F18" w:rsidRPr="005970EB" w:rsidRDefault="00E41F64" w:rsidP="000D1547">
            <w:pPr>
              <w:spacing w:beforeLines="20" w:before="48"/>
              <w:jc w:val="right"/>
              <w:rPr>
                <w:rFonts w:ascii="Arial" w:hAnsi="Arial" w:cs="Arial"/>
                <w:b/>
              </w:rPr>
            </w:pPr>
            <w:r>
              <w:rPr>
                <w:rFonts w:ascii="Arial" w:hAnsi="Arial" w:cs="Arial"/>
                <w:b/>
              </w:rPr>
              <w:t>+</w:t>
            </w:r>
            <w:r w:rsidR="00226F18">
              <w:rPr>
                <w:rFonts w:ascii="Arial" w:hAnsi="Arial" w:cs="Arial"/>
                <w:b/>
              </w:rPr>
              <w:t>8.3%</w:t>
            </w:r>
          </w:p>
        </w:tc>
        <w:tc>
          <w:tcPr>
            <w:tcW w:w="1843" w:type="dxa"/>
            <w:tcBorders>
              <w:top w:val="single" w:sz="4" w:space="0" w:color="auto"/>
              <w:bottom w:val="single" w:sz="4" w:space="0" w:color="auto"/>
            </w:tcBorders>
          </w:tcPr>
          <w:p w:rsidR="00226F18" w:rsidRPr="005970EB" w:rsidRDefault="00A0170B" w:rsidP="000D1547">
            <w:pPr>
              <w:spacing w:beforeLines="20" w:before="48"/>
              <w:jc w:val="right"/>
              <w:rPr>
                <w:rFonts w:ascii="Arial" w:hAnsi="Arial" w:cs="Arial"/>
                <w:b/>
              </w:rPr>
            </w:pPr>
            <w:r>
              <w:rPr>
                <w:rFonts w:ascii="Arial" w:hAnsi="Arial" w:cs="Arial"/>
                <w:b/>
              </w:rPr>
              <w:t>+</w:t>
            </w:r>
            <w:r w:rsidR="00226F18">
              <w:rPr>
                <w:rFonts w:ascii="Arial" w:hAnsi="Arial" w:cs="Arial"/>
                <w:b/>
              </w:rPr>
              <w:t>2.9%</w:t>
            </w:r>
          </w:p>
        </w:tc>
      </w:tr>
      <w:tr w:rsidR="00226F18" w:rsidRPr="00271E01" w:rsidTr="00B918E5">
        <w:trPr>
          <w:trHeight w:hRule="exact" w:val="367"/>
        </w:trPr>
        <w:tc>
          <w:tcPr>
            <w:tcW w:w="2376" w:type="dxa"/>
            <w:tcBorders>
              <w:top w:val="single" w:sz="4" w:space="0" w:color="auto"/>
              <w:bottom w:val="single" w:sz="4" w:space="0" w:color="auto"/>
            </w:tcBorders>
          </w:tcPr>
          <w:p w:rsidR="00226F18" w:rsidRPr="00271E01" w:rsidRDefault="00226F18" w:rsidP="00B918E5">
            <w:pPr>
              <w:spacing w:before="60"/>
              <w:rPr>
                <w:rFonts w:ascii="Arial" w:hAnsi="Arial" w:cs="Arial"/>
                <w:b/>
              </w:rPr>
            </w:pPr>
            <w:r w:rsidRPr="00271E01">
              <w:rPr>
                <w:rFonts w:ascii="Arial" w:hAnsi="Arial" w:cs="Arial"/>
                <w:b/>
              </w:rPr>
              <w:t>Total Group</w:t>
            </w:r>
          </w:p>
        </w:tc>
        <w:tc>
          <w:tcPr>
            <w:tcW w:w="1276" w:type="dxa"/>
            <w:tcBorders>
              <w:top w:val="single" w:sz="4" w:space="0" w:color="auto"/>
              <w:bottom w:val="single" w:sz="4" w:space="0" w:color="auto"/>
            </w:tcBorders>
          </w:tcPr>
          <w:p w:rsidR="00226F18" w:rsidRPr="00271E01" w:rsidRDefault="00226F18" w:rsidP="00B918E5">
            <w:pPr>
              <w:spacing w:before="60"/>
              <w:jc w:val="right"/>
              <w:rPr>
                <w:rFonts w:ascii="Arial" w:hAnsi="Arial" w:cs="Arial"/>
                <w:b/>
              </w:rPr>
            </w:pPr>
            <w:r>
              <w:rPr>
                <w:rFonts w:ascii="Arial" w:hAnsi="Arial" w:cs="Arial"/>
                <w:b/>
              </w:rPr>
              <w:t>5,716</w:t>
            </w:r>
          </w:p>
        </w:tc>
        <w:tc>
          <w:tcPr>
            <w:tcW w:w="1276" w:type="dxa"/>
            <w:tcBorders>
              <w:top w:val="single" w:sz="4" w:space="0" w:color="auto"/>
              <w:bottom w:val="single" w:sz="4" w:space="0" w:color="auto"/>
            </w:tcBorders>
          </w:tcPr>
          <w:p w:rsidR="00226F18" w:rsidRPr="00271E01" w:rsidRDefault="00E41F64" w:rsidP="00B918E5">
            <w:pPr>
              <w:spacing w:before="60"/>
              <w:jc w:val="right"/>
              <w:rPr>
                <w:rFonts w:ascii="Arial" w:hAnsi="Arial" w:cs="Arial"/>
                <w:b/>
              </w:rPr>
            </w:pPr>
            <w:r>
              <w:rPr>
                <w:rFonts w:ascii="Arial" w:hAnsi="Arial" w:cs="Arial"/>
                <w:b/>
              </w:rPr>
              <w:t>+</w:t>
            </w:r>
            <w:r w:rsidR="00226F18">
              <w:rPr>
                <w:rFonts w:ascii="Arial" w:hAnsi="Arial" w:cs="Arial"/>
                <w:b/>
              </w:rPr>
              <w:t>4.3</w:t>
            </w:r>
            <w:r w:rsidR="00226F18" w:rsidRPr="00271E01">
              <w:rPr>
                <w:rFonts w:ascii="Arial" w:hAnsi="Arial" w:cs="Arial"/>
                <w:b/>
              </w:rPr>
              <w:t>%</w:t>
            </w:r>
          </w:p>
        </w:tc>
        <w:tc>
          <w:tcPr>
            <w:tcW w:w="1701" w:type="dxa"/>
            <w:tcBorders>
              <w:top w:val="single" w:sz="4" w:space="0" w:color="auto"/>
              <w:bottom w:val="single" w:sz="4" w:space="0" w:color="auto"/>
            </w:tcBorders>
          </w:tcPr>
          <w:p w:rsidR="00226F18" w:rsidRPr="00271E01" w:rsidRDefault="00E41F64" w:rsidP="00B918E5">
            <w:pPr>
              <w:spacing w:before="60"/>
              <w:jc w:val="right"/>
              <w:rPr>
                <w:rFonts w:ascii="Arial" w:hAnsi="Arial" w:cs="Arial"/>
                <w:b/>
              </w:rPr>
            </w:pPr>
            <w:r>
              <w:rPr>
                <w:rFonts w:ascii="Arial" w:hAnsi="Arial" w:cs="Arial"/>
                <w:b/>
              </w:rPr>
              <w:t>+</w:t>
            </w:r>
            <w:r w:rsidR="00226F18">
              <w:rPr>
                <w:rFonts w:ascii="Arial" w:hAnsi="Arial" w:cs="Arial"/>
                <w:b/>
              </w:rPr>
              <w:t>1.5</w:t>
            </w:r>
            <w:r w:rsidR="00226F18" w:rsidRPr="00271E01">
              <w:rPr>
                <w:rFonts w:ascii="Arial" w:hAnsi="Arial" w:cs="Arial"/>
                <w:b/>
              </w:rPr>
              <w:t>%</w:t>
            </w:r>
          </w:p>
        </w:tc>
        <w:tc>
          <w:tcPr>
            <w:tcW w:w="1843" w:type="dxa"/>
            <w:tcBorders>
              <w:top w:val="single" w:sz="4" w:space="0" w:color="auto"/>
              <w:bottom w:val="single" w:sz="4" w:space="0" w:color="auto"/>
            </w:tcBorders>
          </w:tcPr>
          <w:p w:rsidR="00226F18" w:rsidRPr="00271E01" w:rsidRDefault="00226F18" w:rsidP="00B918E5">
            <w:pPr>
              <w:spacing w:before="60"/>
              <w:jc w:val="right"/>
              <w:rPr>
                <w:rFonts w:ascii="Arial" w:hAnsi="Arial" w:cs="Arial"/>
                <w:b/>
              </w:rPr>
            </w:pPr>
            <w:r>
              <w:rPr>
                <w:rFonts w:ascii="Arial" w:hAnsi="Arial" w:cs="Arial"/>
                <w:b/>
              </w:rPr>
              <w:t>(0.8)</w:t>
            </w:r>
            <w:r w:rsidRPr="00271E01">
              <w:rPr>
                <w:rFonts w:ascii="Arial" w:hAnsi="Arial" w:cs="Arial"/>
                <w:b/>
              </w:rPr>
              <w:t>%</w:t>
            </w:r>
          </w:p>
        </w:tc>
      </w:tr>
    </w:tbl>
    <w:p w:rsidR="00B918E5" w:rsidRPr="00B918E5" w:rsidRDefault="00B918E5" w:rsidP="00B918E5">
      <w:pPr>
        <w:tabs>
          <w:tab w:val="left" w:pos="357"/>
        </w:tabs>
        <w:ind w:right="-282"/>
        <w:jc w:val="left"/>
        <w:rPr>
          <w:rFonts w:ascii="Arial" w:hAnsi="Arial" w:cs="Arial"/>
          <w:i/>
          <w:iCs/>
          <w:sz w:val="18"/>
          <w:szCs w:val="18"/>
          <w:vertAlign w:val="superscript"/>
        </w:rPr>
      </w:pPr>
    </w:p>
    <w:p w:rsidR="00B918E5" w:rsidRDefault="009C7E8A" w:rsidP="00B918E5">
      <w:pPr>
        <w:tabs>
          <w:tab w:val="left" w:pos="357"/>
        </w:tabs>
        <w:ind w:right="-282"/>
        <w:jc w:val="left"/>
        <w:rPr>
          <w:rFonts w:ascii="Arial" w:hAnsi="Arial" w:cs="Arial"/>
          <w:i/>
          <w:iCs/>
          <w:sz w:val="18"/>
          <w:szCs w:val="18"/>
        </w:rPr>
      </w:pPr>
      <w:r w:rsidRPr="009C7E8A">
        <w:rPr>
          <w:rFonts w:ascii="Arial" w:hAnsi="Arial" w:cs="Arial"/>
          <w:i/>
          <w:iCs/>
          <w:sz w:val="18"/>
          <w:szCs w:val="18"/>
          <w:vertAlign w:val="superscript"/>
        </w:rPr>
        <w:t>(1)</w:t>
      </w:r>
      <w:r w:rsidR="00B918E5" w:rsidRPr="00B918E5">
        <w:rPr>
          <w:rFonts w:ascii="Arial" w:hAnsi="Arial" w:cs="Arial"/>
          <w:i/>
          <w:iCs/>
          <w:sz w:val="18"/>
          <w:szCs w:val="18"/>
        </w:rPr>
        <w:t>Joint Venture (Koçtaş) and Associate (Hornbach) sales are not consolidated.</w:t>
      </w:r>
    </w:p>
    <w:p w:rsidR="00226F18" w:rsidRDefault="00226F18" w:rsidP="00B918E5">
      <w:pPr>
        <w:tabs>
          <w:tab w:val="left" w:pos="357"/>
        </w:tabs>
        <w:ind w:right="-282"/>
        <w:jc w:val="left"/>
        <w:rPr>
          <w:rFonts w:ascii="Arial" w:hAnsi="Arial" w:cs="Arial"/>
          <w:i/>
          <w:iCs/>
          <w:sz w:val="18"/>
          <w:szCs w:val="18"/>
        </w:rPr>
      </w:pPr>
    </w:p>
    <w:p w:rsidR="00226F18" w:rsidRDefault="00226F18" w:rsidP="00B918E5">
      <w:pPr>
        <w:tabs>
          <w:tab w:val="left" w:pos="357"/>
        </w:tabs>
        <w:ind w:right="-282"/>
        <w:jc w:val="left"/>
        <w:rPr>
          <w:rFonts w:ascii="Arial" w:hAnsi="Arial" w:cs="Arial"/>
          <w:i/>
          <w:iCs/>
          <w:sz w:val="18"/>
          <w:szCs w:val="18"/>
        </w:rPr>
      </w:pPr>
    </w:p>
    <w:p w:rsidR="00B918E5" w:rsidRDefault="00B918E5" w:rsidP="00B918E5">
      <w:pPr>
        <w:tabs>
          <w:tab w:val="left" w:pos="357"/>
        </w:tabs>
        <w:ind w:right="-282"/>
        <w:jc w:val="left"/>
        <w:rPr>
          <w:rFonts w:ascii="Arial" w:hAnsi="Arial" w:cs="Arial"/>
          <w:i/>
          <w:iCs/>
          <w:sz w:val="18"/>
          <w:szCs w:val="18"/>
        </w:rPr>
      </w:pPr>
    </w:p>
    <w:tbl>
      <w:tblPr>
        <w:tblW w:w="8612" w:type="dxa"/>
        <w:tblLayout w:type="fixed"/>
        <w:tblLook w:val="01E0" w:firstRow="1" w:lastRow="1" w:firstColumn="1" w:lastColumn="1" w:noHBand="0" w:noVBand="0"/>
      </w:tblPr>
      <w:tblGrid>
        <w:gridCol w:w="2376"/>
        <w:gridCol w:w="1134"/>
        <w:gridCol w:w="1276"/>
        <w:gridCol w:w="1276"/>
        <w:gridCol w:w="1276"/>
        <w:gridCol w:w="1274"/>
      </w:tblGrid>
      <w:tr w:rsidR="00B918E5" w:rsidRPr="00271E01" w:rsidTr="00FA5AC4">
        <w:trPr>
          <w:trHeight w:val="567"/>
        </w:trPr>
        <w:tc>
          <w:tcPr>
            <w:tcW w:w="2376" w:type="dxa"/>
          </w:tcPr>
          <w:p w:rsidR="00B918E5" w:rsidRPr="00D97E00" w:rsidRDefault="00B918E5" w:rsidP="00B918E5">
            <w:pPr>
              <w:jc w:val="left"/>
              <w:rPr>
                <w:rFonts w:ascii="Arial" w:hAnsi="Arial" w:cs="Arial"/>
                <w:u w:val="single"/>
              </w:rPr>
            </w:pPr>
          </w:p>
        </w:tc>
        <w:tc>
          <w:tcPr>
            <w:tcW w:w="1134" w:type="dxa"/>
          </w:tcPr>
          <w:p w:rsidR="00B918E5" w:rsidRPr="00271E01" w:rsidRDefault="00B918E5" w:rsidP="00B918E5">
            <w:pPr>
              <w:tabs>
                <w:tab w:val="left" w:pos="300"/>
              </w:tabs>
              <w:jc w:val="right"/>
              <w:rPr>
                <w:rFonts w:ascii="Arial" w:hAnsi="Arial" w:cs="Arial"/>
                <w:b/>
              </w:rPr>
            </w:pPr>
            <w:r w:rsidRPr="00025346">
              <w:rPr>
                <w:rFonts w:ascii="Arial" w:hAnsi="Arial" w:cs="Arial"/>
                <w:b/>
              </w:rPr>
              <w:t>Retail Profit</w:t>
            </w:r>
          </w:p>
        </w:tc>
        <w:tc>
          <w:tcPr>
            <w:tcW w:w="1276" w:type="dxa"/>
          </w:tcPr>
          <w:p w:rsidR="00B918E5" w:rsidRPr="00271E01" w:rsidRDefault="00B918E5" w:rsidP="00B918E5">
            <w:pPr>
              <w:tabs>
                <w:tab w:val="left" w:pos="300"/>
              </w:tabs>
              <w:ind w:hanging="108"/>
              <w:jc w:val="right"/>
              <w:rPr>
                <w:rFonts w:ascii="Arial" w:hAnsi="Arial" w:cs="Arial"/>
                <w:b/>
              </w:rPr>
            </w:pPr>
            <w:r w:rsidRPr="00271E01">
              <w:rPr>
                <w:rFonts w:ascii="Arial" w:hAnsi="Arial" w:cs="Arial"/>
                <w:b/>
              </w:rPr>
              <w:t>% Total</w:t>
            </w:r>
          </w:p>
          <w:p w:rsidR="00B918E5" w:rsidRPr="00271E01" w:rsidRDefault="00B918E5" w:rsidP="00B918E5">
            <w:pPr>
              <w:tabs>
                <w:tab w:val="left" w:pos="300"/>
              </w:tabs>
              <w:ind w:hanging="108"/>
              <w:jc w:val="right"/>
              <w:rPr>
                <w:rFonts w:ascii="Arial" w:hAnsi="Arial" w:cs="Arial"/>
                <w:b/>
              </w:rPr>
            </w:pPr>
            <w:r w:rsidRPr="00271E01">
              <w:rPr>
                <w:rFonts w:ascii="Arial" w:hAnsi="Arial" w:cs="Arial"/>
                <w:b/>
              </w:rPr>
              <w:t>Change</w:t>
            </w:r>
          </w:p>
        </w:tc>
        <w:tc>
          <w:tcPr>
            <w:tcW w:w="1276" w:type="dxa"/>
          </w:tcPr>
          <w:p w:rsidR="00B918E5" w:rsidRPr="00271E01" w:rsidRDefault="00B918E5" w:rsidP="00B918E5">
            <w:pPr>
              <w:jc w:val="right"/>
              <w:rPr>
                <w:rFonts w:ascii="Arial" w:hAnsi="Arial" w:cs="Arial"/>
                <w:b/>
              </w:rPr>
            </w:pPr>
            <w:r w:rsidRPr="00271E01">
              <w:rPr>
                <w:rFonts w:ascii="Arial" w:hAnsi="Arial" w:cs="Arial"/>
                <w:b/>
              </w:rPr>
              <w:t>% Total Change</w:t>
            </w:r>
          </w:p>
        </w:tc>
        <w:tc>
          <w:tcPr>
            <w:tcW w:w="1276" w:type="dxa"/>
          </w:tcPr>
          <w:p w:rsidR="00B918E5" w:rsidRPr="00271E01" w:rsidRDefault="00B918E5" w:rsidP="00B918E5">
            <w:pPr>
              <w:jc w:val="right"/>
              <w:rPr>
                <w:rFonts w:ascii="Arial" w:hAnsi="Arial" w:cs="Arial"/>
                <w:b/>
              </w:rPr>
            </w:pPr>
            <w:r w:rsidRPr="00271E01">
              <w:rPr>
                <w:rFonts w:ascii="Arial" w:hAnsi="Arial" w:cs="Arial"/>
                <w:b/>
              </w:rPr>
              <w:t>Operating Margin</w:t>
            </w:r>
          </w:p>
          <w:p w:rsidR="00B918E5" w:rsidRPr="00271E01" w:rsidRDefault="002228B2" w:rsidP="00B918E5">
            <w:pPr>
              <w:jc w:val="right"/>
              <w:rPr>
                <w:rFonts w:ascii="Arial" w:hAnsi="Arial" w:cs="Arial"/>
                <w:b/>
              </w:rPr>
            </w:pPr>
            <w:r>
              <w:rPr>
                <w:rFonts w:ascii="Arial" w:hAnsi="Arial" w:cs="Arial"/>
                <w:b/>
              </w:rPr>
              <w:t>% 2013/14</w:t>
            </w:r>
          </w:p>
        </w:tc>
        <w:tc>
          <w:tcPr>
            <w:tcW w:w="1274" w:type="dxa"/>
          </w:tcPr>
          <w:p w:rsidR="00B918E5" w:rsidRPr="00271E01" w:rsidRDefault="00B918E5" w:rsidP="00B918E5">
            <w:pPr>
              <w:jc w:val="right"/>
              <w:rPr>
                <w:rFonts w:ascii="Arial" w:hAnsi="Arial" w:cs="Arial"/>
                <w:b/>
              </w:rPr>
            </w:pPr>
            <w:r w:rsidRPr="00271E01">
              <w:rPr>
                <w:rFonts w:ascii="Arial" w:hAnsi="Arial" w:cs="Arial"/>
                <w:b/>
              </w:rPr>
              <w:t>Operating Margin</w:t>
            </w:r>
          </w:p>
          <w:p w:rsidR="00B918E5" w:rsidRPr="00271E01" w:rsidRDefault="002228B2" w:rsidP="00B918E5">
            <w:pPr>
              <w:jc w:val="right"/>
              <w:rPr>
                <w:rFonts w:ascii="Arial" w:hAnsi="Arial" w:cs="Arial"/>
                <w:b/>
              </w:rPr>
            </w:pPr>
            <w:r>
              <w:rPr>
                <w:rFonts w:ascii="Arial" w:hAnsi="Arial" w:cs="Arial"/>
                <w:b/>
              </w:rPr>
              <w:t>% 2012/13</w:t>
            </w:r>
          </w:p>
        </w:tc>
      </w:tr>
      <w:tr w:rsidR="00B918E5" w:rsidRPr="00271E01" w:rsidTr="00FA5AC4">
        <w:trPr>
          <w:trHeight w:val="531"/>
        </w:trPr>
        <w:tc>
          <w:tcPr>
            <w:tcW w:w="2376" w:type="dxa"/>
            <w:tcBorders>
              <w:bottom w:val="single" w:sz="4" w:space="0" w:color="auto"/>
            </w:tcBorders>
          </w:tcPr>
          <w:p w:rsidR="00B918E5" w:rsidRPr="00271E01" w:rsidRDefault="00B918E5" w:rsidP="00B918E5">
            <w:pPr>
              <w:rPr>
                <w:rFonts w:ascii="Arial" w:hAnsi="Arial" w:cs="Arial"/>
              </w:rPr>
            </w:pPr>
          </w:p>
        </w:tc>
        <w:tc>
          <w:tcPr>
            <w:tcW w:w="1134" w:type="dxa"/>
            <w:tcBorders>
              <w:bottom w:val="single" w:sz="4" w:space="0" w:color="auto"/>
            </w:tcBorders>
          </w:tcPr>
          <w:p w:rsidR="00B918E5" w:rsidRPr="00271E01" w:rsidRDefault="00B918E5" w:rsidP="00B918E5">
            <w:pPr>
              <w:jc w:val="right"/>
              <w:rPr>
                <w:rFonts w:ascii="Arial" w:hAnsi="Arial" w:cs="Arial"/>
                <w:b/>
              </w:rPr>
            </w:pPr>
            <w:r w:rsidRPr="00271E01">
              <w:rPr>
                <w:rFonts w:ascii="Arial" w:hAnsi="Arial" w:cs="Arial"/>
                <w:b/>
              </w:rPr>
              <w:t>£m</w:t>
            </w:r>
          </w:p>
          <w:p w:rsidR="00B918E5" w:rsidRPr="00271E01" w:rsidRDefault="00B918E5" w:rsidP="00B918E5">
            <w:pPr>
              <w:jc w:val="right"/>
              <w:rPr>
                <w:rFonts w:ascii="Arial" w:hAnsi="Arial" w:cs="Arial"/>
                <w:b/>
              </w:rPr>
            </w:pPr>
            <w:r>
              <w:rPr>
                <w:rFonts w:ascii="Arial" w:hAnsi="Arial" w:cs="Arial"/>
                <w:b/>
              </w:rPr>
              <w:t>2013/14</w:t>
            </w:r>
          </w:p>
        </w:tc>
        <w:tc>
          <w:tcPr>
            <w:tcW w:w="1276" w:type="dxa"/>
            <w:tcBorders>
              <w:bottom w:val="single" w:sz="4" w:space="0" w:color="auto"/>
            </w:tcBorders>
          </w:tcPr>
          <w:p w:rsidR="00B918E5" w:rsidRPr="00271E01" w:rsidRDefault="00B918E5" w:rsidP="00B918E5">
            <w:pPr>
              <w:tabs>
                <w:tab w:val="left" w:pos="300"/>
              </w:tabs>
              <w:ind w:hanging="108"/>
              <w:jc w:val="right"/>
              <w:rPr>
                <w:rFonts w:ascii="Arial" w:hAnsi="Arial" w:cs="Arial"/>
                <w:b/>
              </w:rPr>
            </w:pPr>
            <w:r w:rsidRPr="00271E01">
              <w:rPr>
                <w:rFonts w:ascii="Arial" w:hAnsi="Arial" w:cs="Arial"/>
                <w:b/>
              </w:rPr>
              <w:t xml:space="preserve"> Reported</w:t>
            </w:r>
          </w:p>
        </w:tc>
        <w:tc>
          <w:tcPr>
            <w:tcW w:w="1276" w:type="dxa"/>
            <w:tcBorders>
              <w:bottom w:val="single" w:sz="4" w:space="0" w:color="auto"/>
            </w:tcBorders>
          </w:tcPr>
          <w:p w:rsidR="00B918E5" w:rsidRPr="00271E01" w:rsidRDefault="00B918E5" w:rsidP="00B918E5">
            <w:pPr>
              <w:jc w:val="right"/>
              <w:rPr>
                <w:rFonts w:ascii="Arial" w:hAnsi="Arial" w:cs="Arial"/>
                <w:b/>
              </w:rPr>
            </w:pPr>
            <w:r w:rsidRPr="00271E01">
              <w:rPr>
                <w:rFonts w:ascii="Arial" w:hAnsi="Arial" w:cs="Arial"/>
                <w:b/>
              </w:rPr>
              <w:t>Constant currency</w:t>
            </w:r>
          </w:p>
        </w:tc>
        <w:tc>
          <w:tcPr>
            <w:tcW w:w="1276" w:type="dxa"/>
            <w:tcBorders>
              <w:bottom w:val="single" w:sz="4" w:space="0" w:color="auto"/>
            </w:tcBorders>
          </w:tcPr>
          <w:p w:rsidR="00B918E5" w:rsidRPr="00271E01" w:rsidRDefault="00B918E5" w:rsidP="00B918E5">
            <w:pPr>
              <w:jc w:val="right"/>
              <w:rPr>
                <w:rFonts w:ascii="Arial" w:hAnsi="Arial" w:cs="Arial"/>
                <w:b/>
              </w:rPr>
            </w:pPr>
          </w:p>
        </w:tc>
        <w:tc>
          <w:tcPr>
            <w:tcW w:w="1274" w:type="dxa"/>
            <w:tcBorders>
              <w:bottom w:val="single" w:sz="4" w:space="0" w:color="auto"/>
            </w:tcBorders>
          </w:tcPr>
          <w:p w:rsidR="00B918E5" w:rsidRPr="00271E01" w:rsidRDefault="00B918E5" w:rsidP="00B918E5">
            <w:pPr>
              <w:jc w:val="right"/>
              <w:rPr>
                <w:rFonts w:ascii="Arial" w:hAnsi="Arial" w:cs="Arial"/>
                <w:b/>
              </w:rPr>
            </w:pPr>
          </w:p>
        </w:tc>
      </w:tr>
      <w:tr w:rsidR="002228B2" w:rsidRPr="008653D3" w:rsidTr="00B918E5">
        <w:trPr>
          <w:trHeight w:hRule="exact" w:val="345"/>
        </w:trPr>
        <w:tc>
          <w:tcPr>
            <w:tcW w:w="2376" w:type="dxa"/>
            <w:tcBorders>
              <w:top w:val="single" w:sz="4" w:space="0" w:color="auto"/>
            </w:tcBorders>
          </w:tcPr>
          <w:p w:rsidR="002228B2" w:rsidRPr="00271E01" w:rsidRDefault="002228B2" w:rsidP="00B918E5">
            <w:pPr>
              <w:rPr>
                <w:rFonts w:ascii="Arial" w:hAnsi="Arial" w:cs="Arial"/>
                <w:b/>
              </w:rPr>
            </w:pPr>
            <w:r w:rsidRPr="00271E01">
              <w:rPr>
                <w:rFonts w:ascii="Arial" w:hAnsi="Arial" w:cs="Arial"/>
                <w:b/>
              </w:rPr>
              <w:t>France</w:t>
            </w:r>
          </w:p>
        </w:tc>
        <w:tc>
          <w:tcPr>
            <w:tcW w:w="1134" w:type="dxa"/>
            <w:tcBorders>
              <w:top w:val="single" w:sz="4" w:space="0" w:color="auto"/>
            </w:tcBorders>
          </w:tcPr>
          <w:p w:rsidR="002228B2" w:rsidRPr="00271E01" w:rsidRDefault="007B00AD" w:rsidP="00B918E5">
            <w:pPr>
              <w:jc w:val="right"/>
              <w:rPr>
                <w:rFonts w:ascii="Arial" w:hAnsi="Arial" w:cs="Arial"/>
                <w:b/>
              </w:rPr>
            </w:pPr>
            <w:r>
              <w:rPr>
                <w:rFonts w:ascii="Arial" w:hAnsi="Arial" w:cs="Arial"/>
                <w:b/>
              </w:rPr>
              <w:t>191</w:t>
            </w:r>
          </w:p>
        </w:tc>
        <w:tc>
          <w:tcPr>
            <w:tcW w:w="1276" w:type="dxa"/>
            <w:tcBorders>
              <w:top w:val="single" w:sz="4" w:space="0" w:color="auto"/>
            </w:tcBorders>
          </w:tcPr>
          <w:p w:rsidR="002228B2" w:rsidRPr="00271E01" w:rsidRDefault="007B00AD" w:rsidP="00B918E5">
            <w:pPr>
              <w:jc w:val="right"/>
              <w:rPr>
                <w:rFonts w:ascii="Arial" w:hAnsi="Arial" w:cs="Arial"/>
                <w:b/>
              </w:rPr>
            </w:pPr>
            <w:r>
              <w:rPr>
                <w:rFonts w:ascii="Arial" w:hAnsi="Arial" w:cs="Arial"/>
                <w:b/>
              </w:rPr>
              <w:t>(0</w:t>
            </w:r>
            <w:r w:rsidR="0095390A">
              <w:rPr>
                <w:rFonts w:ascii="Arial" w:hAnsi="Arial" w:cs="Arial"/>
                <w:b/>
              </w:rPr>
              <w:t>.3)</w:t>
            </w:r>
            <w:r w:rsidR="002228B2" w:rsidRPr="00271E01">
              <w:rPr>
                <w:rFonts w:ascii="Arial" w:hAnsi="Arial" w:cs="Arial"/>
                <w:b/>
              </w:rPr>
              <w:t>%</w:t>
            </w:r>
          </w:p>
        </w:tc>
        <w:tc>
          <w:tcPr>
            <w:tcW w:w="1276" w:type="dxa"/>
            <w:tcBorders>
              <w:top w:val="single" w:sz="4" w:space="0" w:color="auto"/>
            </w:tcBorders>
          </w:tcPr>
          <w:p w:rsidR="002228B2" w:rsidRPr="00271E01" w:rsidRDefault="007B00AD" w:rsidP="00B918E5">
            <w:pPr>
              <w:jc w:val="right"/>
              <w:rPr>
                <w:rFonts w:ascii="Arial" w:hAnsi="Arial" w:cs="Arial"/>
                <w:b/>
              </w:rPr>
            </w:pPr>
            <w:r>
              <w:rPr>
                <w:rFonts w:ascii="Arial" w:hAnsi="Arial" w:cs="Arial"/>
                <w:b/>
              </w:rPr>
              <w:t>(4</w:t>
            </w:r>
            <w:r w:rsidR="0095390A">
              <w:rPr>
                <w:rFonts w:ascii="Arial" w:hAnsi="Arial" w:cs="Arial"/>
                <w:b/>
              </w:rPr>
              <w:t>.9)</w:t>
            </w:r>
            <w:r w:rsidR="002228B2" w:rsidRPr="00271E01">
              <w:rPr>
                <w:rFonts w:ascii="Arial" w:hAnsi="Arial" w:cs="Arial"/>
                <w:b/>
              </w:rPr>
              <w:t>%</w:t>
            </w:r>
          </w:p>
        </w:tc>
        <w:tc>
          <w:tcPr>
            <w:tcW w:w="1276" w:type="dxa"/>
            <w:tcBorders>
              <w:top w:val="single" w:sz="4" w:space="0" w:color="auto"/>
            </w:tcBorders>
          </w:tcPr>
          <w:p w:rsidR="002228B2" w:rsidRPr="00271E01" w:rsidRDefault="00E41F64" w:rsidP="00B918E5">
            <w:pPr>
              <w:jc w:val="right"/>
              <w:rPr>
                <w:rFonts w:ascii="Arial" w:hAnsi="Arial" w:cs="Arial"/>
                <w:b/>
              </w:rPr>
            </w:pPr>
            <w:r>
              <w:rPr>
                <w:rFonts w:ascii="Arial" w:hAnsi="Arial" w:cs="Arial"/>
                <w:b/>
              </w:rPr>
              <w:t>+</w:t>
            </w:r>
            <w:r w:rsidR="00591D25">
              <w:rPr>
                <w:rFonts w:ascii="Arial" w:hAnsi="Arial" w:cs="Arial"/>
                <w:b/>
              </w:rPr>
              <w:t>8.3</w:t>
            </w:r>
            <w:r w:rsidR="002228B2" w:rsidRPr="00271E01">
              <w:rPr>
                <w:rFonts w:ascii="Arial" w:hAnsi="Arial" w:cs="Arial"/>
                <w:b/>
              </w:rPr>
              <w:t>%</w:t>
            </w:r>
          </w:p>
        </w:tc>
        <w:tc>
          <w:tcPr>
            <w:tcW w:w="1274" w:type="dxa"/>
            <w:tcBorders>
              <w:top w:val="single" w:sz="4" w:space="0" w:color="auto"/>
            </w:tcBorders>
          </w:tcPr>
          <w:p w:rsidR="002228B2" w:rsidRPr="008653D3" w:rsidRDefault="00E41F64" w:rsidP="00321B87">
            <w:pPr>
              <w:jc w:val="right"/>
              <w:rPr>
                <w:rFonts w:ascii="Arial" w:hAnsi="Arial" w:cs="Arial"/>
                <w:b/>
              </w:rPr>
            </w:pPr>
            <w:r>
              <w:rPr>
                <w:rFonts w:ascii="Arial" w:hAnsi="Arial" w:cs="Arial"/>
                <w:b/>
              </w:rPr>
              <w:t>+</w:t>
            </w:r>
            <w:r w:rsidR="00591D25">
              <w:rPr>
                <w:rFonts w:ascii="Arial" w:hAnsi="Arial" w:cs="Arial"/>
                <w:b/>
              </w:rPr>
              <w:t>8.7</w:t>
            </w:r>
            <w:r w:rsidR="008653D3">
              <w:rPr>
                <w:rFonts w:ascii="Arial" w:hAnsi="Arial" w:cs="Arial"/>
                <w:b/>
              </w:rPr>
              <w:t>%</w:t>
            </w:r>
          </w:p>
        </w:tc>
      </w:tr>
      <w:tr w:rsidR="002228B2" w:rsidRPr="008653D3" w:rsidTr="00FA5AC4">
        <w:trPr>
          <w:trHeight w:hRule="exact" w:val="359"/>
        </w:trPr>
        <w:tc>
          <w:tcPr>
            <w:tcW w:w="2376" w:type="dxa"/>
            <w:tcBorders>
              <w:top w:val="single" w:sz="4" w:space="0" w:color="auto"/>
              <w:bottom w:val="single" w:sz="4" w:space="0" w:color="auto"/>
            </w:tcBorders>
          </w:tcPr>
          <w:p w:rsidR="002228B2" w:rsidRPr="00271E01" w:rsidRDefault="002228B2" w:rsidP="00B918E5">
            <w:pPr>
              <w:jc w:val="left"/>
              <w:rPr>
                <w:rFonts w:ascii="Arial" w:hAnsi="Arial" w:cs="Arial"/>
                <w:b/>
                <w:vertAlign w:val="superscript"/>
              </w:rPr>
            </w:pPr>
            <w:r w:rsidRPr="00271E01">
              <w:rPr>
                <w:rFonts w:ascii="Arial" w:hAnsi="Arial" w:cs="Arial"/>
                <w:b/>
              </w:rPr>
              <w:t>UK &amp; Ireland</w:t>
            </w:r>
            <w:r w:rsidR="009E3DA4" w:rsidRPr="00FA5AC4">
              <w:rPr>
                <w:rFonts w:ascii="Arial" w:hAnsi="Arial" w:cs="Arial"/>
                <w:b/>
                <w:i/>
                <w:vertAlign w:val="superscript"/>
              </w:rPr>
              <w:t>(1)</w:t>
            </w:r>
          </w:p>
        </w:tc>
        <w:tc>
          <w:tcPr>
            <w:tcW w:w="1134" w:type="dxa"/>
            <w:tcBorders>
              <w:top w:val="single" w:sz="4" w:space="0" w:color="auto"/>
              <w:bottom w:val="single" w:sz="4" w:space="0" w:color="auto"/>
            </w:tcBorders>
          </w:tcPr>
          <w:p w:rsidR="002228B2" w:rsidRPr="00271E01" w:rsidRDefault="006748D7" w:rsidP="00B918E5">
            <w:pPr>
              <w:jc w:val="right"/>
              <w:rPr>
                <w:rFonts w:ascii="Arial" w:hAnsi="Arial" w:cs="Arial"/>
                <w:b/>
              </w:rPr>
            </w:pPr>
            <w:r>
              <w:rPr>
                <w:rFonts w:ascii="Arial" w:hAnsi="Arial" w:cs="Arial"/>
                <w:b/>
              </w:rPr>
              <w:t>141</w:t>
            </w:r>
          </w:p>
        </w:tc>
        <w:tc>
          <w:tcPr>
            <w:tcW w:w="1276" w:type="dxa"/>
            <w:tcBorders>
              <w:top w:val="single" w:sz="4" w:space="0" w:color="auto"/>
              <w:bottom w:val="single" w:sz="4" w:space="0" w:color="auto"/>
            </w:tcBorders>
          </w:tcPr>
          <w:p w:rsidR="002228B2" w:rsidRPr="00271E01" w:rsidRDefault="0095390A" w:rsidP="00B918E5">
            <w:pPr>
              <w:jc w:val="right"/>
              <w:rPr>
                <w:rFonts w:ascii="Arial" w:hAnsi="Arial" w:cs="Arial"/>
                <w:b/>
              </w:rPr>
            </w:pPr>
            <w:r>
              <w:rPr>
                <w:rFonts w:ascii="Arial" w:hAnsi="Arial" w:cs="Arial"/>
                <w:b/>
              </w:rPr>
              <w:t>(1.4)</w:t>
            </w:r>
            <w:r w:rsidR="002228B2" w:rsidRPr="00271E01">
              <w:rPr>
                <w:rFonts w:ascii="Arial" w:hAnsi="Arial" w:cs="Arial"/>
                <w:b/>
              </w:rPr>
              <w:t>%</w:t>
            </w:r>
          </w:p>
        </w:tc>
        <w:tc>
          <w:tcPr>
            <w:tcW w:w="1276" w:type="dxa"/>
            <w:tcBorders>
              <w:top w:val="single" w:sz="4" w:space="0" w:color="auto"/>
              <w:bottom w:val="single" w:sz="4" w:space="0" w:color="auto"/>
            </w:tcBorders>
          </w:tcPr>
          <w:p w:rsidR="002228B2" w:rsidRPr="00271E01" w:rsidRDefault="0095390A" w:rsidP="00B918E5">
            <w:pPr>
              <w:jc w:val="right"/>
              <w:rPr>
                <w:rFonts w:ascii="Arial" w:hAnsi="Arial" w:cs="Arial"/>
                <w:b/>
              </w:rPr>
            </w:pPr>
            <w:r>
              <w:rPr>
                <w:rFonts w:ascii="Arial" w:hAnsi="Arial" w:cs="Arial"/>
                <w:b/>
              </w:rPr>
              <w:t>(1.3)</w:t>
            </w:r>
            <w:r w:rsidR="002228B2" w:rsidRPr="00271E01">
              <w:rPr>
                <w:rFonts w:ascii="Arial" w:hAnsi="Arial" w:cs="Arial"/>
                <w:b/>
              </w:rPr>
              <w:t>%</w:t>
            </w:r>
          </w:p>
        </w:tc>
        <w:tc>
          <w:tcPr>
            <w:tcW w:w="1276" w:type="dxa"/>
            <w:tcBorders>
              <w:top w:val="single" w:sz="4" w:space="0" w:color="auto"/>
              <w:bottom w:val="single" w:sz="4" w:space="0" w:color="auto"/>
            </w:tcBorders>
          </w:tcPr>
          <w:p w:rsidR="002228B2" w:rsidRPr="00271E01" w:rsidRDefault="00E41F64" w:rsidP="00B918E5">
            <w:pPr>
              <w:jc w:val="right"/>
              <w:rPr>
                <w:rFonts w:ascii="Arial" w:hAnsi="Arial" w:cs="Arial"/>
                <w:b/>
              </w:rPr>
            </w:pPr>
            <w:r>
              <w:rPr>
                <w:rFonts w:ascii="Arial" w:hAnsi="Arial" w:cs="Arial"/>
                <w:b/>
              </w:rPr>
              <w:t>+</w:t>
            </w:r>
            <w:r w:rsidR="00591D25">
              <w:rPr>
                <w:rFonts w:ascii="Arial" w:hAnsi="Arial" w:cs="Arial"/>
                <w:b/>
              </w:rPr>
              <w:t>6.2</w:t>
            </w:r>
            <w:r w:rsidR="002228B2" w:rsidRPr="00271E01">
              <w:rPr>
                <w:rFonts w:ascii="Arial" w:hAnsi="Arial" w:cs="Arial"/>
                <w:b/>
              </w:rPr>
              <w:t>%</w:t>
            </w:r>
          </w:p>
        </w:tc>
        <w:tc>
          <w:tcPr>
            <w:tcW w:w="1274" w:type="dxa"/>
            <w:tcBorders>
              <w:top w:val="single" w:sz="4" w:space="0" w:color="auto"/>
              <w:bottom w:val="single" w:sz="4" w:space="0" w:color="auto"/>
            </w:tcBorders>
          </w:tcPr>
          <w:p w:rsidR="002228B2" w:rsidRPr="008653D3" w:rsidRDefault="00E41F64" w:rsidP="00321B87">
            <w:pPr>
              <w:jc w:val="right"/>
              <w:rPr>
                <w:rFonts w:ascii="Arial" w:hAnsi="Arial" w:cs="Arial"/>
                <w:b/>
              </w:rPr>
            </w:pPr>
            <w:r>
              <w:rPr>
                <w:rFonts w:ascii="Arial" w:hAnsi="Arial" w:cs="Arial"/>
                <w:b/>
              </w:rPr>
              <w:t>+</w:t>
            </w:r>
            <w:r w:rsidR="00591D25">
              <w:rPr>
                <w:rFonts w:ascii="Arial" w:hAnsi="Arial" w:cs="Arial"/>
                <w:b/>
              </w:rPr>
              <w:t>6.3</w:t>
            </w:r>
            <w:r w:rsidR="008653D3">
              <w:rPr>
                <w:rFonts w:ascii="Arial" w:hAnsi="Arial" w:cs="Arial"/>
                <w:b/>
              </w:rPr>
              <w:t>%</w:t>
            </w:r>
          </w:p>
        </w:tc>
      </w:tr>
      <w:tr w:rsidR="002228B2" w:rsidRPr="008653D3" w:rsidTr="00FA5AC4">
        <w:trPr>
          <w:trHeight w:hRule="exact" w:val="312"/>
        </w:trPr>
        <w:tc>
          <w:tcPr>
            <w:tcW w:w="2376" w:type="dxa"/>
            <w:tcBorders>
              <w:top w:val="single" w:sz="4" w:space="0" w:color="auto"/>
            </w:tcBorders>
          </w:tcPr>
          <w:p w:rsidR="002228B2" w:rsidRPr="00271E01" w:rsidRDefault="002228B2" w:rsidP="00B918E5">
            <w:pPr>
              <w:jc w:val="left"/>
              <w:rPr>
                <w:rFonts w:ascii="Arial" w:hAnsi="Arial" w:cs="Arial"/>
              </w:rPr>
            </w:pPr>
            <w:r w:rsidRPr="00271E01">
              <w:rPr>
                <w:rFonts w:ascii="Arial" w:hAnsi="Arial" w:cs="Arial"/>
              </w:rPr>
              <w:t>Poland</w:t>
            </w:r>
          </w:p>
        </w:tc>
        <w:tc>
          <w:tcPr>
            <w:tcW w:w="1134" w:type="dxa"/>
            <w:tcBorders>
              <w:top w:val="single" w:sz="4" w:space="0" w:color="auto"/>
            </w:tcBorders>
          </w:tcPr>
          <w:p w:rsidR="002228B2" w:rsidRPr="00271E01" w:rsidRDefault="007C650E" w:rsidP="00B918E5">
            <w:pPr>
              <w:jc w:val="right"/>
              <w:rPr>
                <w:rFonts w:ascii="Arial" w:hAnsi="Arial" w:cs="Arial"/>
              </w:rPr>
            </w:pPr>
            <w:r>
              <w:rPr>
                <w:rFonts w:ascii="Arial" w:hAnsi="Arial" w:cs="Arial"/>
              </w:rPr>
              <w:t>54</w:t>
            </w:r>
          </w:p>
        </w:tc>
        <w:tc>
          <w:tcPr>
            <w:tcW w:w="1276" w:type="dxa"/>
            <w:tcBorders>
              <w:top w:val="single" w:sz="4" w:space="0" w:color="auto"/>
            </w:tcBorders>
          </w:tcPr>
          <w:p w:rsidR="002228B2" w:rsidRPr="00271E01" w:rsidRDefault="00E41F64" w:rsidP="00B918E5">
            <w:pPr>
              <w:jc w:val="right"/>
              <w:rPr>
                <w:rFonts w:ascii="Arial" w:hAnsi="Arial" w:cs="Arial"/>
              </w:rPr>
            </w:pPr>
            <w:r>
              <w:rPr>
                <w:rFonts w:ascii="Arial" w:hAnsi="Arial" w:cs="Arial"/>
              </w:rPr>
              <w:t>+</w:t>
            </w:r>
            <w:r w:rsidR="0095390A">
              <w:rPr>
                <w:rFonts w:ascii="Arial" w:hAnsi="Arial" w:cs="Arial"/>
              </w:rPr>
              <w:t>0.8</w:t>
            </w:r>
            <w:r w:rsidR="002228B2" w:rsidRPr="00271E01">
              <w:rPr>
                <w:rFonts w:ascii="Arial" w:hAnsi="Arial" w:cs="Arial"/>
              </w:rPr>
              <w:t>%</w:t>
            </w:r>
          </w:p>
        </w:tc>
        <w:tc>
          <w:tcPr>
            <w:tcW w:w="1276" w:type="dxa"/>
            <w:tcBorders>
              <w:top w:val="single" w:sz="4" w:space="0" w:color="auto"/>
            </w:tcBorders>
          </w:tcPr>
          <w:p w:rsidR="002228B2" w:rsidRPr="00271E01" w:rsidRDefault="0095390A" w:rsidP="00B918E5">
            <w:pPr>
              <w:jc w:val="right"/>
              <w:rPr>
                <w:rFonts w:ascii="Arial" w:hAnsi="Arial" w:cs="Arial"/>
              </w:rPr>
            </w:pPr>
            <w:r>
              <w:rPr>
                <w:rFonts w:ascii="Arial" w:hAnsi="Arial" w:cs="Arial"/>
              </w:rPr>
              <w:t>(4.3)</w:t>
            </w:r>
            <w:r w:rsidR="002228B2" w:rsidRPr="00271E01">
              <w:rPr>
                <w:rFonts w:ascii="Arial" w:hAnsi="Arial" w:cs="Arial"/>
              </w:rPr>
              <w:t>%</w:t>
            </w:r>
          </w:p>
        </w:tc>
        <w:tc>
          <w:tcPr>
            <w:tcW w:w="1276" w:type="dxa"/>
            <w:tcBorders>
              <w:top w:val="single" w:sz="4" w:space="0" w:color="auto"/>
            </w:tcBorders>
          </w:tcPr>
          <w:p w:rsidR="002228B2" w:rsidRPr="00271E01" w:rsidRDefault="00E41F64" w:rsidP="00B918E5">
            <w:pPr>
              <w:jc w:val="right"/>
              <w:rPr>
                <w:rFonts w:ascii="Arial" w:hAnsi="Arial" w:cs="Arial"/>
              </w:rPr>
            </w:pPr>
            <w:r>
              <w:rPr>
                <w:rFonts w:ascii="Arial" w:hAnsi="Arial" w:cs="Arial"/>
              </w:rPr>
              <w:t>+</w:t>
            </w:r>
            <w:r w:rsidR="00591D25">
              <w:rPr>
                <w:rFonts w:ascii="Arial" w:hAnsi="Arial" w:cs="Arial"/>
              </w:rPr>
              <w:t>9.7</w:t>
            </w:r>
            <w:r w:rsidR="002228B2" w:rsidRPr="00271E01">
              <w:rPr>
                <w:rFonts w:ascii="Arial" w:hAnsi="Arial" w:cs="Arial"/>
              </w:rPr>
              <w:t>%</w:t>
            </w:r>
          </w:p>
        </w:tc>
        <w:tc>
          <w:tcPr>
            <w:tcW w:w="1274" w:type="dxa"/>
            <w:tcBorders>
              <w:top w:val="single" w:sz="4" w:space="0" w:color="auto"/>
            </w:tcBorders>
          </w:tcPr>
          <w:p w:rsidR="002228B2" w:rsidRPr="008653D3" w:rsidRDefault="00E41F64" w:rsidP="00321B87">
            <w:pPr>
              <w:jc w:val="right"/>
              <w:rPr>
                <w:rFonts w:ascii="Arial" w:hAnsi="Arial" w:cs="Arial"/>
              </w:rPr>
            </w:pPr>
            <w:r>
              <w:rPr>
                <w:rFonts w:ascii="Arial" w:hAnsi="Arial" w:cs="Arial"/>
              </w:rPr>
              <w:t>+</w:t>
            </w:r>
            <w:r w:rsidR="00591D25">
              <w:rPr>
                <w:rFonts w:ascii="Arial" w:hAnsi="Arial" w:cs="Arial"/>
              </w:rPr>
              <w:t>10.5</w:t>
            </w:r>
            <w:r w:rsidR="008653D3">
              <w:rPr>
                <w:rFonts w:ascii="Arial" w:hAnsi="Arial" w:cs="Arial"/>
              </w:rPr>
              <w:t>%</w:t>
            </w:r>
          </w:p>
        </w:tc>
      </w:tr>
      <w:tr w:rsidR="002228B2" w:rsidRPr="008653D3" w:rsidTr="00B918E5">
        <w:trPr>
          <w:trHeight w:hRule="exact" w:val="312"/>
        </w:trPr>
        <w:tc>
          <w:tcPr>
            <w:tcW w:w="2376" w:type="dxa"/>
          </w:tcPr>
          <w:p w:rsidR="002228B2" w:rsidRPr="00271E01" w:rsidRDefault="002228B2" w:rsidP="00B918E5">
            <w:pPr>
              <w:jc w:val="left"/>
              <w:rPr>
                <w:rFonts w:ascii="Arial" w:hAnsi="Arial" w:cs="Arial"/>
              </w:rPr>
            </w:pPr>
            <w:r w:rsidRPr="00271E01">
              <w:rPr>
                <w:rFonts w:ascii="Arial" w:hAnsi="Arial" w:cs="Arial"/>
              </w:rPr>
              <w:t>China</w:t>
            </w:r>
          </w:p>
        </w:tc>
        <w:tc>
          <w:tcPr>
            <w:tcW w:w="1134" w:type="dxa"/>
          </w:tcPr>
          <w:p w:rsidR="002228B2" w:rsidRPr="00271E01" w:rsidRDefault="007C650E" w:rsidP="00B918E5">
            <w:pPr>
              <w:jc w:val="right"/>
              <w:rPr>
                <w:rFonts w:ascii="Arial" w:hAnsi="Arial" w:cs="Arial"/>
              </w:rPr>
            </w:pPr>
            <w:r>
              <w:rPr>
                <w:rFonts w:ascii="Arial" w:hAnsi="Arial" w:cs="Arial"/>
              </w:rPr>
              <w:t>(7)</w:t>
            </w:r>
          </w:p>
        </w:tc>
        <w:tc>
          <w:tcPr>
            <w:tcW w:w="1276" w:type="dxa"/>
          </w:tcPr>
          <w:p w:rsidR="002228B2" w:rsidRPr="00271E01" w:rsidRDefault="0095390A" w:rsidP="00B918E5">
            <w:pPr>
              <w:jc w:val="right"/>
              <w:rPr>
                <w:rFonts w:ascii="Arial" w:hAnsi="Arial" w:cs="Arial"/>
              </w:rPr>
            </w:pPr>
            <w:r>
              <w:rPr>
                <w:rFonts w:ascii="Arial" w:hAnsi="Arial" w:cs="Arial"/>
              </w:rPr>
              <w:t>(25.0)</w:t>
            </w:r>
            <w:r w:rsidR="002228B2" w:rsidRPr="00271E01">
              <w:rPr>
                <w:rFonts w:ascii="Arial" w:hAnsi="Arial" w:cs="Arial"/>
              </w:rPr>
              <w:t>%</w:t>
            </w:r>
          </w:p>
        </w:tc>
        <w:tc>
          <w:tcPr>
            <w:tcW w:w="1276" w:type="dxa"/>
          </w:tcPr>
          <w:p w:rsidR="002228B2" w:rsidRPr="00271E01" w:rsidRDefault="0095390A" w:rsidP="00B918E5">
            <w:pPr>
              <w:jc w:val="right"/>
              <w:rPr>
                <w:rFonts w:ascii="Arial" w:hAnsi="Arial" w:cs="Arial"/>
              </w:rPr>
            </w:pPr>
            <w:r>
              <w:rPr>
                <w:rFonts w:ascii="Arial" w:hAnsi="Arial" w:cs="Arial"/>
              </w:rPr>
              <w:t>(18.2)</w:t>
            </w:r>
            <w:r w:rsidR="002228B2" w:rsidRPr="00271E01">
              <w:rPr>
                <w:rFonts w:ascii="Arial" w:hAnsi="Arial" w:cs="Arial"/>
              </w:rPr>
              <w:t>%</w:t>
            </w:r>
          </w:p>
        </w:tc>
        <w:tc>
          <w:tcPr>
            <w:tcW w:w="1276" w:type="dxa"/>
          </w:tcPr>
          <w:p w:rsidR="002228B2" w:rsidRPr="00271E01" w:rsidRDefault="008653D3" w:rsidP="00B918E5">
            <w:pPr>
              <w:jc w:val="right"/>
              <w:rPr>
                <w:rFonts w:ascii="Arial" w:hAnsi="Arial" w:cs="Arial"/>
              </w:rPr>
            </w:pPr>
            <w:r>
              <w:rPr>
                <w:rFonts w:ascii="Arial" w:hAnsi="Arial" w:cs="Arial"/>
              </w:rPr>
              <w:t>(</w:t>
            </w:r>
            <w:r w:rsidR="00591D25">
              <w:rPr>
                <w:rFonts w:ascii="Arial" w:hAnsi="Arial" w:cs="Arial"/>
              </w:rPr>
              <w:t>3.6</w:t>
            </w:r>
            <w:r>
              <w:rPr>
                <w:rFonts w:ascii="Arial" w:hAnsi="Arial" w:cs="Arial"/>
              </w:rPr>
              <w:t>)</w:t>
            </w:r>
            <w:r w:rsidR="002228B2" w:rsidRPr="00271E01">
              <w:rPr>
                <w:rFonts w:ascii="Arial" w:hAnsi="Arial" w:cs="Arial"/>
              </w:rPr>
              <w:t>%</w:t>
            </w:r>
          </w:p>
        </w:tc>
        <w:tc>
          <w:tcPr>
            <w:tcW w:w="1274" w:type="dxa"/>
          </w:tcPr>
          <w:p w:rsidR="002228B2" w:rsidRPr="008653D3" w:rsidRDefault="008653D3" w:rsidP="00321B87">
            <w:pPr>
              <w:jc w:val="right"/>
              <w:rPr>
                <w:rFonts w:ascii="Arial" w:hAnsi="Arial" w:cs="Arial"/>
              </w:rPr>
            </w:pPr>
            <w:r>
              <w:rPr>
                <w:rFonts w:ascii="Arial" w:hAnsi="Arial" w:cs="Arial"/>
              </w:rPr>
              <w:t>(</w:t>
            </w:r>
            <w:r w:rsidR="00591D25">
              <w:rPr>
                <w:rFonts w:ascii="Arial" w:hAnsi="Arial" w:cs="Arial"/>
              </w:rPr>
              <w:t>3.6</w:t>
            </w:r>
            <w:r>
              <w:rPr>
                <w:rFonts w:ascii="Arial" w:hAnsi="Arial" w:cs="Arial"/>
              </w:rPr>
              <w:t>)%</w:t>
            </w:r>
          </w:p>
        </w:tc>
      </w:tr>
      <w:tr w:rsidR="00F01D87" w:rsidRPr="008653D3" w:rsidTr="00B918E5">
        <w:trPr>
          <w:trHeight w:hRule="exact" w:val="312"/>
        </w:trPr>
        <w:tc>
          <w:tcPr>
            <w:tcW w:w="2376" w:type="dxa"/>
          </w:tcPr>
          <w:p w:rsidR="00F01D87" w:rsidRDefault="00F01D87" w:rsidP="00B918E5">
            <w:pPr>
              <w:jc w:val="left"/>
              <w:rPr>
                <w:rFonts w:ascii="Arial" w:hAnsi="Arial" w:cs="Arial"/>
              </w:rPr>
            </w:pPr>
            <w:r>
              <w:rPr>
                <w:rFonts w:ascii="Arial" w:hAnsi="Arial" w:cs="Arial"/>
              </w:rPr>
              <w:t>Hornbach</w:t>
            </w:r>
          </w:p>
        </w:tc>
        <w:tc>
          <w:tcPr>
            <w:tcW w:w="1134" w:type="dxa"/>
          </w:tcPr>
          <w:p w:rsidR="00F01D87" w:rsidRDefault="00F01D87" w:rsidP="00B918E5">
            <w:pPr>
              <w:jc w:val="right"/>
              <w:rPr>
                <w:rFonts w:ascii="Arial" w:hAnsi="Arial" w:cs="Arial"/>
              </w:rPr>
            </w:pPr>
            <w:r>
              <w:rPr>
                <w:rFonts w:ascii="Arial" w:hAnsi="Arial" w:cs="Arial"/>
              </w:rPr>
              <w:t>4</w:t>
            </w:r>
          </w:p>
        </w:tc>
        <w:tc>
          <w:tcPr>
            <w:tcW w:w="1276" w:type="dxa"/>
          </w:tcPr>
          <w:p w:rsidR="00F01D87" w:rsidRDefault="00F01D87" w:rsidP="00B918E5">
            <w:pPr>
              <w:jc w:val="right"/>
              <w:rPr>
                <w:rFonts w:ascii="Arial" w:hAnsi="Arial" w:cs="Arial"/>
              </w:rPr>
            </w:pPr>
            <w:r>
              <w:rPr>
                <w:rFonts w:ascii="Arial" w:hAnsi="Arial" w:cs="Arial"/>
              </w:rPr>
              <w:t>(52.9)%</w:t>
            </w:r>
          </w:p>
        </w:tc>
        <w:tc>
          <w:tcPr>
            <w:tcW w:w="1276" w:type="dxa"/>
          </w:tcPr>
          <w:p w:rsidR="00F01D87" w:rsidRDefault="00F01D87" w:rsidP="00B918E5">
            <w:pPr>
              <w:jc w:val="right"/>
              <w:rPr>
                <w:rFonts w:ascii="Arial" w:hAnsi="Arial" w:cs="Arial"/>
              </w:rPr>
            </w:pPr>
            <w:r>
              <w:rPr>
                <w:rFonts w:ascii="Arial" w:hAnsi="Arial" w:cs="Arial"/>
              </w:rPr>
              <w:t>(55.1)%</w:t>
            </w:r>
          </w:p>
        </w:tc>
        <w:tc>
          <w:tcPr>
            <w:tcW w:w="1276" w:type="dxa"/>
          </w:tcPr>
          <w:p w:rsidR="00F01D87" w:rsidRDefault="00F01D87" w:rsidP="00FC6CF4">
            <w:pPr>
              <w:jc w:val="right"/>
              <w:rPr>
                <w:rFonts w:ascii="Arial" w:hAnsi="Arial" w:cs="Arial"/>
              </w:rPr>
            </w:pPr>
            <w:r>
              <w:rPr>
                <w:rFonts w:ascii="Arial" w:hAnsi="Arial" w:cs="Arial"/>
              </w:rPr>
              <w:t>n/a</w:t>
            </w:r>
            <w:r w:rsidRPr="009618C2">
              <w:rPr>
                <w:rFonts w:ascii="Arial" w:hAnsi="Arial" w:cs="Arial"/>
                <w:i/>
                <w:vertAlign w:val="superscript"/>
              </w:rPr>
              <w:t>(</w:t>
            </w:r>
            <w:r w:rsidR="00FF4D3A">
              <w:rPr>
                <w:rFonts w:ascii="Arial" w:hAnsi="Arial" w:cs="Arial"/>
                <w:i/>
                <w:vertAlign w:val="superscript"/>
              </w:rPr>
              <w:t>2</w:t>
            </w:r>
            <w:r w:rsidRPr="009618C2">
              <w:rPr>
                <w:rFonts w:ascii="Arial" w:hAnsi="Arial" w:cs="Arial"/>
                <w:i/>
                <w:vertAlign w:val="superscript"/>
              </w:rPr>
              <w:t>)</w:t>
            </w:r>
          </w:p>
        </w:tc>
        <w:tc>
          <w:tcPr>
            <w:tcW w:w="1274" w:type="dxa"/>
          </w:tcPr>
          <w:p w:rsidR="00F01D87" w:rsidRDefault="00F01D87" w:rsidP="00321B87">
            <w:pPr>
              <w:jc w:val="right"/>
              <w:rPr>
                <w:rFonts w:ascii="Arial" w:hAnsi="Arial" w:cs="Arial"/>
              </w:rPr>
            </w:pPr>
            <w:r>
              <w:rPr>
                <w:rFonts w:ascii="Arial" w:hAnsi="Arial" w:cs="Arial"/>
              </w:rPr>
              <w:t>n/a</w:t>
            </w:r>
            <w:r w:rsidRPr="009618C2">
              <w:rPr>
                <w:rFonts w:ascii="Arial" w:hAnsi="Arial" w:cs="Arial"/>
                <w:i/>
                <w:vertAlign w:val="superscript"/>
              </w:rPr>
              <w:t>(</w:t>
            </w:r>
            <w:r w:rsidR="00FF4D3A">
              <w:rPr>
                <w:rFonts w:ascii="Arial" w:hAnsi="Arial" w:cs="Arial"/>
                <w:i/>
                <w:vertAlign w:val="superscript"/>
              </w:rPr>
              <w:t>2</w:t>
            </w:r>
            <w:r>
              <w:rPr>
                <w:rFonts w:ascii="Arial" w:hAnsi="Arial" w:cs="Arial"/>
                <w:i/>
                <w:vertAlign w:val="superscript"/>
              </w:rPr>
              <w:t>)</w:t>
            </w:r>
          </w:p>
        </w:tc>
      </w:tr>
      <w:tr w:rsidR="00F01D87" w:rsidRPr="008653D3" w:rsidTr="00B918E5">
        <w:trPr>
          <w:trHeight w:hRule="exact" w:val="312"/>
        </w:trPr>
        <w:tc>
          <w:tcPr>
            <w:tcW w:w="2376" w:type="dxa"/>
          </w:tcPr>
          <w:p w:rsidR="00F01D87" w:rsidRPr="00271E01" w:rsidRDefault="00F01D87" w:rsidP="00B918E5">
            <w:pPr>
              <w:jc w:val="left"/>
              <w:rPr>
                <w:rFonts w:ascii="Arial" w:hAnsi="Arial" w:cs="Arial"/>
              </w:rPr>
            </w:pPr>
            <w:r>
              <w:rPr>
                <w:rFonts w:ascii="Arial" w:hAnsi="Arial" w:cs="Arial"/>
              </w:rPr>
              <w:t>Romania</w:t>
            </w:r>
          </w:p>
        </w:tc>
        <w:tc>
          <w:tcPr>
            <w:tcW w:w="1134" w:type="dxa"/>
          </w:tcPr>
          <w:p w:rsidR="00F01D87" w:rsidRDefault="00F01D87" w:rsidP="00B918E5">
            <w:pPr>
              <w:jc w:val="right"/>
              <w:rPr>
                <w:rFonts w:ascii="Arial" w:hAnsi="Arial" w:cs="Arial"/>
              </w:rPr>
            </w:pPr>
            <w:r>
              <w:rPr>
                <w:rFonts w:ascii="Arial" w:hAnsi="Arial" w:cs="Arial"/>
              </w:rPr>
              <w:t>-</w:t>
            </w:r>
          </w:p>
        </w:tc>
        <w:tc>
          <w:tcPr>
            <w:tcW w:w="1276" w:type="dxa"/>
          </w:tcPr>
          <w:p w:rsidR="00F01D87" w:rsidRDefault="00F01D87" w:rsidP="00B918E5">
            <w:pPr>
              <w:jc w:val="right"/>
              <w:rPr>
                <w:rFonts w:ascii="Arial" w:hAnsi="Arial" w:cs="Arial"/>
              </w:rPr>
            </w:pPr>
            <w:r>
              <w:rPr>
                <w:rFonts w:ascii="Arial" w:hAnsi="Arial" w:cs="Arial"/>
              </w:rPr>
              <w:t>n/a</w:t>
            </w:r>
          </w:p>
        </w:tc>
        <w:tc>
          <w:tcPr>
            <w:tcW w:w="1276" w:type="dxa"/>
          </w:tcPr>
          <w:p w:rsidR="00F01D87" w:rsidRDefault="00F01D87" w:rsidP="00B918E5">
            <w:pPr>
              <w:jc w:val="right"/>
              <w:rPr>
                <w:rFonts w:ascii="Arial" w:hAnsi="Arial" w:cs="Arial"/>
              </w:rPr>
            </w:pPr>
            <w:r>
              <w:rPr>
                <w:rFonts w:ascii="Arial" w:hAnsi="Arial" w:cs="Arial"/>
              </w:rPr>
              <w:t>n/a</w:t>
            </w:r>
          </w:p>
        </w:tc>
        <w:tc>
          <w:tcPr>
            <w:tcW w:w="1276" w:type="dxa"/>
          </w:tcPr>
          <w:p w:rsidR="00F01D87" w:rsidRDefault="00F01D87" w:rsidP="00FC6CF4">
            <w:pPr>
              <w:jc w:val="right"/>
              <w:rPr>
                <w:rFonts w:ascii="Arial" w:hAnsi="Arial" w:cs="Arial"/>
              </w:rPr>
            </w:pPr>
            <w:r>
              <w:rPr>
                <w:rFonts w:ascii="Arial" w:hAnsi="Arial" w:cs="Arial"/>
              </w:rPr>
              <w:t>n/a</w:t>
            </w:r>
          </w:p>
          <w:p w:rsidR="00F01D87" w:rsidRDefault="00F01D87" w:rsidP="00B918E5">
            <w:pPr>
              <w:jc w:val="right"/>
              <w:rPr>
                <w:rFonts w:ascii="Arial" w:hAnsi="Arial" w:cs="Arial"/>
              </w:rPr>
            </w:pPr>
          </w:p>
        </w:tc>
        <w:tc>
          <w:tcPr>
            <w:tcW w:w="1274" w:type="dxa"/>
          </w:tcPr>
          <w:p w:rsidR="00F01D87" w:rsidRDefault="00F01D87" w:rsidP="00321B87">
            <w:pPr>
              <w:jc w:val="right"/>
              <w:rPr>
                <w:rFonts w:ascii="Arial" w:hAnsi="Arial" w:cs="Arial"/>
              </w:rPr>
            </w:pPr>
            <w:r>
              <w:rPr>
                <w:rFonts w:ascii="Arial" w:hAnsi="Arial" w:cs="Arial"/>
              </w:rPr>
              <w:t>n/a</w:t>
            </w:r>
          </w:p>
        </w:tc>
      </w:tr>
      <w:tr w:rsidR="00F01D87" w:rsidRPr="008653D3" w:rsidTr="00B918E5">
        <w:trPr>
          <w:trHeight w:hRule="exact" w:val="312"/>
        </w:trPr>
        <w:tc>
          <w:tcPr>
            <w:tcW w:w="2376" w:type="dxa"/>
          </w:tcPr>
          <w:p w:rsidR="00F01D87" w:rsidRPr="00271E01" w:rsidRDefault="00F01D87" w:rsidP="00B918E5">
            <w:pPr>
              <w:jc w:val="left"/>
              <w:rPr>
                <w:rFonts w:ascii="Arial" w:hAnsi="Arial" w:cs="Arial"/>
              </w:rPr>
            </w:pPr>
            <w:r w:rsidRPr="00271E01">
              <w:rPr>
                <w:rFonts w:ascii="Arial" w:hAnsi="Arial" w:cs="Arial"/>
              </w:rPr>
              <w:t>Russia</w:t>
            </w:r>
          </w:p>
        </w:tc>
        <w:tc>
          <w:tcPr>
            <w:tcW w:w="1134" w:type="dxa"/>
          </w:tcPr>
          <w:p w:rsidR="00F01D87" w:rsidRPr="00271E01" w:rsidRDefault="00F01D87" w:rsidP="00B918E5">
            <w:pPr>
              <w:jc w:val="right"/>
              <w:rPr>
                <w:rFonts w:ascii="Arial" w:hAnsi="Arial" w:cs="Arial"/>
              </w:rPr>
            </w:pPr>
            <w:r>
              <w:rPr>
                <w:rFonts w:ascii="Arial" w:hAnsi="Arial" w:cs="Arial"/>
              </w:rPr>
              <w:t>3</w:t>
            </w:r>
          </w:p>
        </w:tc>
        <w:tc>
          <w:tcPr>
            <w:tcW w:w="1276" w:type="dxa"/>
          </w:tcPr>
          <w:p w:rsidR="00F01D87" w:rsidRPr="00271E01" w:rsidRDefault="00E41F64" w:rsidP="00B918E5">
            <w:pPr>
              <w:jc w:val="right"/>
              <w:rPr>
                <w:rFonts w:ascii="Arial" w:hAnsi="Arial" w:cs="Arial"/>
              </w:rPr>
            </w:pPr>
            <w:r>
              <w:rPr>
                <w:rFonts w:ascii="Arial" w:hAnsi="Arial" w:cs="Arial"/>
              </w:rPr>
              <w:t>+</w:t>
            </w:r>
            <w:r w:rsidR="00F01D87">
              <w:rPr>
                <w:rFonts w:ascii="Arial" w:hAnsi="Arial" w:cs="Arial"/>
              </w:rPr>
              <w:t>50.8</w:t>
            </w:r>
            <w:r w:rsidR="00F01D87" w:rsidRPr="00271E01">
              <w:rPr>
                <w:rFonts w:ascii="Arial" w:hAnsi="Arial" w:cs="Arial"/>
              </w:rPr>
              <w:t>%</w:t>
            </w:r>
          </w:p>
        </w:tc>
        <w:tc>
          <w:tcPr>
            <w:tcW w:w="1276" w:type="dxa"/>
          </w:tcPr>
          <w:p w:rsidR="00F01D87" w:rsidRPr="00271E01" w:rsidRDefault="00E41F64" w:rsidP="00B918E5">
            <w:pPr>
              <w:jc w:val="right"/>
              <w:rPr>
                <w:rFonts w:ascii="Arial" w:hAnsi="Arial" w:cs="Arial"/>
              </w:rPr>
            </w:pPr>
            <w:r>
              <w:rPr>
                <w:rFonts w:ascii="Arial" w:hAnsi="Arial" w:cs="Arial"/>
              </w:rPr>
              <w:t>+</w:t>
            </w:r>
            <w:r w:rsidR="00F01D87">
              <w:rPr>
                <w:rFonts w:ascii="Arial" w:hAnsi="Arial" w:cs="Arial"/>
              </w:rPr>
              <w:t>49.8</w:t>
            </w:r>
            <w:r w:rsidR="00F01D87" w:rsidRPr="00271E01">
              <w:rPr>
                <w:rFonts w:ascii="Arial" w:hAnsi="Arial" w:cs="Arial"/>
              </w:rPr>
              <w:t>%</w:t>
            </w:r>
          </w:p>
        </w:tc>
        <w:tc>
          <w:tcPr>
            <w:tcW w:w="1276" w:type="dxa"/>
          </w:tcPr>
          <w:p w:rsidR="00F01D87" w:rsidRPr="00271E01" w:rsidRDefault="00E41F64" w:rsidP="00B918E5">
            <w:pPr>
              <w:jc w:val="right"/>
              <w:rPr>
                <w:rFonts w:ascii="Arial" w:hAnsi="Arial" w:cs="Arial"/>
              </w:rPr>
            </w:pPr>
            <w:r>
              <w:rPr>
                <w:rFonts w:ascii="Arial" w:hAnsi="Arial" w:cs="Arial"/>
              </w:rPr>
              <w:t>+</w:t>
            </w:r>
            <w:r w:rsidR="00591D25">
              <w:rPr>
                <w:rFonts w:ascii="Arial" w:hAnsi="Arial" w:cs="Arial"/>
              </w:rPr>
              <w:t>1.3</w:t>
            </w:r>
            <w:r w:rsidR="00F01D87" w:rsidRPr="00271E01">
              <w:rPr>
                <w:rFonts w:ascii="Arial" w:hAnsi="Arial" w:cs="Arial"/>
              </w:rPr>
              <w:t>%</w:t>
            </w:r>
          </w:p>
        </w:tc>
        <w:tc>
          <w:tcPr>
            <w:tcW w:w="1274" w:type="dxa"/>
          </w:tcPr>
          <w:p w:rsidR="00F01D87" w:rsidRPr="008653D3" w:rsidRDefault="00E41F64" w:rsidP="00321B87">
            <w:pPr>
              <w:jc w:val="right"/>
              <w:rPr>
                <w:rFonts w:ascii="Arial" w:hAnsi="Arial" w:cs="Arial"/>
              </w:rPr>
            </w:pPr>
            <w:r>
              <w:rPr>
                <w:rFonts w:ascii="Arial" w:hAnsi="Arial" w:cs="Arial"/>
              </w:rPr>
              <w:t>+</w:t>
            </w:r>
            <w:r w:rsidR="00591D25">
              <w:rPr>
                <w:rFonts w:ascii="Arial" w:hAnsi="Arial" w:cs="Arial"/>
              </w:rPr>
              <w:t>1.0</w:t>
            </w:r>
            <w:r w:rsidR="00F01D87">
              <w:rPr>
                <w:rFonts w:ascii="Arial" w:hAnsi="Arial" w:cs="Arial"/>
              </w:rPr>
              <w:t>%</w:t>
            </w:r>
          </w:p>
        </w:tc>
      </w:tr>
      <w:tr w:rsidR="00F01D87" w:rsidRPr="008653D3" w:rsidTr="00B918E5">
        <w:trPr>
          <w:trHeight w:hRule="exact" w:val="312"/>
        </w:trPr>
        <w:tc>
          <w:tcPr>
            <w:tcW w:w="2376" w:type="dxa"/>
          </w:tcPr>
          <w:p w:rsidR="00F01D87" w:rsidRDefault="00F01D87" w:rsidP="00B918E5">
            <w:pPr>
              <w:jc w:val="left"/>
              <w:rPr>
                <w:rFonts w:ascii="Arial" w:hAnsi="Arial" w:cs="Arial"/>
              </w:rPr>
            </w:pPr>
            <w:r w:rsidRPr="00271E01">
              <w:rPr>
                <w:rFonts w:ascii="Arial" w:hAnsi="Arial" w:cs="Arial"/>
              </w:rPr>
              <w:t xml:space="preserve">Spain </w:t>
            </w:r>
          </w:p>
        </w:tc>
        <w:tc>
          <w:tcPr>
            <w:tcW w:w="1134" w:type="dxa"/>
          </w:tcPr>
          <w:p w:rsidR="00F01D87" w:rsidRDefault="00F01D87" w:rsidP="00B918E5">
            <w:pPr>
              <w:jc w:val="right"/>
              <w:rPr>
                <w:rFonts w:ascii="Arial" w:hAnsi="Arial" w:cs="Arial"/>
              </w:rPr>
            </w:pPr>
            <w:r>
              <w:rPr>
                <w:rFonts w:ascii="Arial" w:hAnsi="Arial" w:cs="Arial"/>
              </w:rPr>
              <w:t>3</w:t>
            </w:r>
          </w:p>
        </w:tc>
        <w:tc>
          <w:tcPr>
            <w:tcW w:w="1276" w:type="dxa"/>
          </w:tcPr>
          <w:p w:rsidR="00F01D87" w:rsidRDefault="00F01D87" w:rsidP="00B918E5">
            <w:pPr>
              <w:jc w:val="right"/>
              <w:rPr>
                <w:rFonts w:ascii="Arial" w:hAnsi="Arial" w:cs="Arial"/>
              </w:rPr>
            </w:pPr>
            <w:r>
              <w:rPr>
                <w:rFonts w:ascii="Arial" w:hAnsi="Arial" w:cs="Arial"/>
              </w:rPr>
              <w:t>(12.9)</w:t>
            </w:r>
            <w:r w:rsidRPr="00271E01">
              <w:rPr>
                <w:rFonts w:ascii="Arial" w:hAnsi="Arial" w:cs="Arial"/>
              </w:rPr>
              <w:t>%</w:t>
            </w:r>
          </w:p>
        </w:tc>
        <w:tc>
          <w:tcPr>
            <w:tcW w:w="1276" w:type="dxa"/>
          </w:tcPr>
          <w:p w:rsidR="00F01D87" w:rsidRDefault="00F01D87" w:rsidP="00B918E5">
            <w:pPr>
              <w:jc w:val="right"/>
              <w:rPr>
                <w:rFonts w:ascii="Arial" w:hAnsi="Arial" w:cs="Arial"/>
              </w:rPr>
            </w:pPr>
            <w:r>
              <w:rPr>
                <w:rFonts w:ascii="Arial" w:hAnsi="Arial" w:cs="Arial"/>
              </w:rPr>
              <w:t>(17.0)</w:t>
            </w:r>
            <w:r w:rsidRPr="00271E01">
              <w:rPr>
                <w:rFonts w:ascii="Arial" w:hAnsi="Arial" w:cs="Arial"/>
              </w:rPr>
              <w:t>%</w:t>
            </w:r>
          </w:p>
        </w:tc>
        <w:tc>
          <w:tcPr>
            <w:tcW w:w="1276" w:type="dxa"/>
          </w:tcPr>
          <w:p w:rsidR="00F01D87" w:rsidRDefault="00E41F64" w:rsidP="00B918E5">
            <w:pPr>
              <w:jc w:val="right"/>
              <w:rPr>
                <w:rFonts w:ascii="Arial" w:hAnsi="Arial" w:cs="Arial"/>
              </w:rPr>
            </w:pPr>
            <w:r>
              <w:rPr>
                <w:rFonts w:ascii="Arial" w:hAnsi="Arial" w:cs="Arial"/>
              </w:rPr>
              <w:t>+</w:t>
            </w:r>
            <w:r w:rsidR="00F04746">
              <w:rPr>
                <w:rFonts w:ascii="Arial" w:hAnsi="Arial" w:cs="Arial"/>
              </w:rPr>
              <w:t>2.0</w:t>
            </w:r>
            <w:r w:rsidR="00F01D87" w:rsidRPr="00271E01">
              <w:rPr>
                <w:rFonts w:ascii="Arial" w:hAnsi="Arial" w:cs="Arial"/>
              </w:rPr>
              <w:t>%</w:t>
            </w:r>
          </w:p>
        </w:tc>
        <w:tc>
          <w:tcPr>
            <w:tcW w:w="1274" w:type="dxa"/>
          </w:tcPr>
          <w:p w:rsidR="00F01D87" w:rsidRDefault="00E41F64" w:rsidP="00321B87">
            <w:pPr>
              <w:jc w:val="right"/>
              <w:rPr>
                <w:rFonts w:ascii="Arial" w:hAnsi="Arial" w:cs="Arial"/>
              </w:rPr>
            </w:pPr>
            <w:r>
              <w:rPr>
                <w:rFonts w:ascii="Arial" w:hAnsi="Arial" w:cs="Arial"/>
              </w:rPr>
              <w:t>+</w:t>
            </w:r>
            <w:r w:rsidR="00F04746">
              <w:rPr>
                <w:rFonts w:ascii="Arial" w:hAnsi="Arial" w:cs="Arial"/>
              </w:rPr>
              <w:t>2.3</w:t>
            </w:r>
            <w:r w:rsidR="00F01D87">
              <w:rPr>
                <w:rFonts w:ascii="Arial" w:hAnsi="Arial" w:cs="Arial"/>
              </w:rPr>
              <w:t>%</w:t>
            </w:r>
          </w:p>
        </w:tc>
      </w:tr>
      <w:tr w:rsidR="00F01D87" w:rsidRPr="008653D3" w:rsidTr="00B918E5">
        <w:trPr>
          <w:trHeight w:hRule="exact" w:val="312"/>
        </w:trPr>
        <w:tc>
          <w:tcPr>
            <w:tcW w:w="2376" w:type="dxa"/>
          </w:tcPr>
          <w:p w:rsidR="00F01D87" w:rsidRPr="00271E01" w:rsidRDefault="00F01D87" w:rsidP="00B918E5">
            <w:pPr>
              <w:jc w:val="left"/>
              <w:rPr>
                <w:rFonts w:ascii="Arial" w:hAnsi="Arial" w:cs="Arial"/>
              </w:rPr>
            </w:pPr>
            <w:r>
              <w:rPr>
                <w:rFonts w:ascii="Arial" w:hAnsi="Arial" w:cs="Arial"/>
              </w:rPr>
              <w:t>Turkey JV</w:t>
            </w:r>
          </w:p>
        </w:tc>
        <w:tc>
          <w:tcPr>
            <w:tcW w:w="1134" w:type="dxa"/>
          </w:tcPr>
          <w:p w:rsidR="00F01D87" w:rsidRPr="00271E01" w:rsidRDefault="00F01D87" w:rsidP="00B918E5">
            <w:pPr>
              <w:jc w:val="right"/>
              <w:rPr>
                <w:rFonts w:ascii="Arial" w:hAnsi="Arial" w:cs="Arial"/>
              </w:rPr>
            </w:pPr>
            <w:r>
              <w:rPr>
                <w:rFonts w:ascii="Arial" w:hAnsi="Arial" w:cs="Arial"/>
              </w:rPr>
              <w:t>5</w:t>
            </w:r>
          </w:p>
        </w:tc>
        <w:tc>
          <w:tcPr>
            <w:tcW w:w="1276" w:type="dxa"/>
          </w:tcPr>
          <w:p w:rsidR="00F01D87" w:rsidRPr="00271E01" w:rsidRDefault="00E41F64" w:rsidP="00B918E5">
            <w:pPr>
              <w:jc w:val="right"/>
              <w:rPr>
                <w:rFonts w:ascii="Arial" w:hAnsi="Arial" w:cs="Arial"/>
              </w:rPr>
            </w:pPr>
            <w:r>
              <w:rPr>
                <w:rFonts w:ascii="Arial" w:hAnsi="Arial" w:cs="Arial"/>
              </w:rPr>
              <w:t>+</w:t>
            </w:r>
            <w:r w:rsidR="00F01D87">
              <w:rPr>
                <w:rFonts w:ascii="Arial" w:hAnsi="Arial" w:cs="Arial"/>
              </w:rPr>
              <w:t>17.9</w:t>
            </w:r>
            <w:r w:rsidR="00F01D87" w:rsidRPr="00271E01">
              <w:rPr>
                <w:rFonts w:ascii="Arial" w:hAnsi="Arial" w:cs="Arial"/>
              </w:rPr>
              <w:t>%</w:t>
            </w:r>
          </w:p>
        </w:tc>
        <w:tc>
          <w:tcPr>
            <w:tcW w:w="1276" w:type="dxa"/>
          </w:tcPr>
          <w:p w:rsidR="00F01D87" w:rsidRPr="00271E01" w:rsidRDefault="00E41F64" w:rsidP="00B918E5">
            <w:pPr>
              <w:jc w:val="right"/>
              <w:rPr>
                <w:rFonts w:ascii="Arial" w:hAnsi="Arial" w:cs="Arial"/>
              </w:rPr>
            </w:pPr>
            <w:r>
              <w:rPr>
                <w:rFonts w:ascii="Arial" w:hAnsi="Arial" w:cs="Arial"/>
              </w:rPr>
              <w:t>+</w:t>
            </w:r>
            <w:r w:rsidR="00F01D87">
              <w:rPr>
                <w:rFonts w:ascii="Arial" w:hAnsi="Arial" w:cs="Arial"/>
              </w:rPr>
              <w:t>17.2</w:t>
            </w:r>
            <w:r w:rsidR="00F01D87" w:rsidRPr="00271E01">
              <w:rPr>
                <w:rFonts w:ascii="Arial" w:hAnsi="Arial" w:cs="Arial"/>
              </w:rPr>
              <w:t>%</w:t>
            </w:r>
          </w:p>
        </w:tc>
        <w:tc>
          <w:tcPr>
            <w:tcW w:w="1276" w:type="dxa"/>
          </w:tcPr>
          <w:p w:rsidR="00F01D87" w:rsidRPr="00271E01" w:rsidRDefault="00F01D87" w:rsidP="00B918E5">
            <w:pPr>
              <w:jc w:val="right"/>
              <w:rPr>
                <w:rFonts w:ascii="Arial" w:hAnsi="Arial" w:cs="Arial"/>
              </w:rPr>
            </w:pPr>
            <w:r>
              <w:rPr>
                <w:rFonts w:ascii="Arial" w:hAnsi="Arial" w:cs="Arial"/>
              </w:rPr>
              <w:t>n/a</w:t>
            </w:r>
            <w:r w:rsidRPr="009618C2">
              <w:rPr>
                <w:rFonts w:ascii="Arial" w:hAnsi="Arial" w:cs="Arial"/>
                <w:i/>
                <w:vertAlign w:val="superscript"/>
              </w:rPr>
              <w:t>(</w:t>
            </w:r>
            <w:r w:rsidR="009E3DA4">
              <w:rPr>
                <w:rFonts w:ascii="Arial" w:hAnsi="Arial" w:cs="Arial"/>
                <w:i/>
                <w:vertAlign w:val="superscript"/>
              </w:rPr>
              <w:t>2</w:t>
            </w:r>
            <w:r w:rsidRPr="009618C2">
              <w:rPr>
                <w:rFonts w:ascii="Arial" w:hAnsi="Arial" w:cs="Arial"/>
                <w:i/>
                <w:vertAlign w:val="superscript"/>
              </w:rPr>
              <w:t>)</w:t>
            </w:r>
          </w:p>
        </w:tc>
        <w:tc>
          <w:tcPr>
            <w:tcW w:w="1274" w:type="dxa"/>
          </w:tcPr>
          <w:p w:rsidR="00F01D87" w:rsidRPr="008653D3" w:rsidRDefault="00F01D87" w:rsidP="00321B87">
            <w:pPr>
              <w:jc w:val="right"/>
              <w:rPr>
                <w:rFonts w:ascii="Arial" w:hAnsi="Arial" w:cs="Arial"/>
              </w:rPr>
            </w:pPr>
            <w:r>
              <w:rPr>
                <w:rFonts w:ascii="Arial" w:hAnsi="Arial" w:cs="Arial"/>
              </w:rPr>
              <w:t>n/a</w:t>
            </w:r>
            <w:r w:rsidRPr="009618C2">
              <w:rPr>
                <w:rFonts w:ascii="Arial" w:hAnsi="Arial" w:cs="Arial"/>
                <w:i/>
                <w:vertAlign w:val="superscript"/>
              </w:rPr>
              <w:t>(</w:t>
            </w:r>
            <w:r w:rsidR="009E3DA4">
              <w:rPr>
                <w:rFonts w:ascii="Arial" w:hAnsi="Arial" w:cs="Arial"/>
                <w:i/>
                <w:vertAlign w:val="superscript"/>
              </w:rPr>
              <w:t>2</w:t>
            </w:r>
            <w:r>
              <w:rPr>
                <w:rFonts w:ascii="Arial" w:hAnsi="Arial" w:cs="Arial"/>
                <w:i/>
                <w:vertAlign w:val="superscript"/>
              </w:rPr>
              <w:t>)</w:t>
            </w:r>
          </w:p>
        </w:tc>
      </w:tr>
      <w:tr w:rsidR="00F01D87" w:rsidRPr="008653D3" w:rsidTr="00FA5AC4">
        <w:trPr>
          <w:trHeight w:hRule="exact" w:val="359"/>
        </w:trPr>
        <w:tc>
          <w:tcPr>
            <w:tcW w:w="2376" w:type="dxa"/>
            <w:tcBorders>
              <w:top w:val="single" w:sz="4" w:space="0" w:color="auto"/>
              <w:bottom w:val="single" w:sz="4" w:space="0" w:color="auto"/>
            </w:tcBorders>
          </w:tcPr>
          <w:p w:rsidR="00F01D87" w:rsidRPr="00271E01" w:rsidRDefault="00F01D87" w:rsidP="008653D3">
            <w:pPr>
              <w:spacing w:before="20"/>
              <w:jc w:val="left"/>
              <w:rPr>
                <w:rFonts w:ascii="Arial" w:hAnsi="Arial" w:cs="Arial"/>
                <w:b/>
              </w:rPr>
            </w:pPr>
            <w:r w:rsidRPr="00271E01">
              <w:rPr>
                <w:rFonts w:ascii="Arial" w:hAnsi="Arial" w:cs="Arial"/>
                <w:b/>
              </w:rPr>
              <w:t>Other International</w:t>
            </w:r>
          </w:p>
        </w:tc>
        <w:tc>
          <w:tcPr>
            <w:tcW w:w="1134" w:type="dxa"/>
            <w:tcBorders>
              <w:top w:val="single" w:sz="4" w:space="0" w:color="auto"/>
              <w:bottom w:val="single" w:sz="4" w:space="0" w:color="auto"/>
            </w:tcBorders>
          </w:tcPr>
          <w:p w:rsidR="00F01D87" w:rsidRPr="00271E01" w:rsidRDefault="00F01D87" w:rsidP="008653D3">
            <w:pPr>
              <w:spacing w:before="20"/>
              <w:jc w:val="right"/>
              <w:rPr>
                <w:rFonts w:ascii="Arial" w:hAnsi="Arial" w:cs="Arial"/>
                <w:b/>
              </w:rPr>
            </w:pPr>
            <w:r>
              <w:rPr>
                <w:rFonts w:ascii="Arial" w:hAnsi="Arial" w:cs="Arial"/>
                <w:b/>
              </w:rPr>
              <w:t>62</w:t>
            </w:r>
          </w:p>
        </w:tc>
        <w:tc>
          <w:tcPr>
            <w:tcW w:w="1276" w:type="dxa"/>
            <w:tcBorders>
              <w:top w:val="single" w:sz="4" w:space="0" w:color="auto"/>
              <w:bottom w:val="single" w:sz="4" w:space="0" w:color="auto"/>
            </w:tcBorders>
          </w:tcPr>
          <w:p w:rsidR="00F01D87" w:rsidRPr="00271E01" w:rsidRDefault="00F01D87" w:rsidP="008653D3">
            <w:pPr>
              <w:spacing w:before="20"/>
              <w:jc w:val="right"/>
              <w:rPr>
                <w:rFonts w:ascii="Arial" w:hAnsi="Arial" w:cs="Arial"/>
                <w:b/>
              </w:rPr>
            </w:pPr>
            <w:r>
              <w:rPr>
                <w:rFonts w:ascii="Arial" w:hAnsi="Arial" w:cs="Arial"/>
                <w:b/>
              </w:rPr>
              <w:t>(7.3)%</w:t>
            </w:r>
          </w:p>
        </w:tc>
        <w:tc>
          <w:tcPr>
            <w:tcW w:w="1276" w:type="dxa"/>
            <w:tcBorders>
              <w:top w:val="single" w:sz="4" w:space="0" w:color="auto"/>
              <w:bottom w:val="single" w:sz="4" w:space="0" w:color="auto"/>
            </w:tcBorders>
          </w:tcPr>
          <w:p w:rsidR="00F01D87" w:rsidRPr="00271E01" w:rsidRDefault="00F01D87" w:rsidP="008653D3">
            <w:pPr>
              <w:spacing w:before="20"/>
              <w:jc w:val="right"/>
              <w:rPr>
                <w:rFonts w:ascii="Arial" w:hAnsi="Arial" w:cs="Arial"/>
                <w:b/>
              </w:rPr>
            </w:pPr>
            <w:r>
              <w:rPr>
                <w:rFonts w:ascii="Arial" w:hAnsi="Arial" w:cs="Arial"/>
                <w:b/>
              </w:rPr>
              <w:t>(11.4)%</w:t>
            </w:r>
          </w:p>
        </w:tc>
        <w:tc>
          <w:tcPr>
            <w:tcW w:w="1276" w:type="dxa"/>
            <w:tcBorders>
              <w:top w:val="single" w:sz="4" w:space="0" w:color="auto"/>
              <w:bottom w:val="single" w:sz="4" w:space="0" w:color="auto"/>
            </w:tcBorders>
          </w:tcPr>
          <w:p w:rsidR="00F01D87" w:rsidRPr="00271E01" w:rsidRDefault="00E41F64" w:rsidP="008653D3">
            <w:pPr>
              <w:spacing w:before="20"/>
              <w:jc w:val="right"/>
              <w:rPr>
                <w:rFonts w:ascii="Arial" w:hAnsi="Arial" w:cs="Arial"/>
                <w:b/>
              </w:rPr>
            </w:pPr>
            <w:r>
              <w:rPr>
                <w:rFonts w:ascii="Arial" w:hAnsi="Arial" w:cs="Arial"/>
                <w:b/>
              </w:rPr>
              <w:t>+</w:t>
            </w:r>
            <w:r w:rsidR="00591D25">
              <w:rPr>
                <w:rFonts w:ascii="Arial" w:hAnsi="Arial" w:cs="Arial"/>
                <w:b/>
              </w:rPr>
              <w:t>5.4</w:t>
            </w:r>
            <w:r w:rsidR="00F01D87" w:rsidRPr="00271E01">
              <w:rPr>
                <w:rFonts w:ascii="Arial" w:hAnsi="Arial" w:cs="Arial"/>
                <w:b/>
              </w:rPr>
              <w:t>%</w:t>
            </w:r>
          </w:p>
        </w:tc>
        <w:tc>
          <w:tcPr>
            <w:tcW w:w="1274" w:type="dxa"/>
            <w:tcBorders>
              <w:top w:val="single" w:sz="4" w:space="0" w:color="auto"/>
              <w:bottom w:val="single" w:sz="4" w:space="0" w:color="auto"/>
            </w:tcBorders>
          </w:tcPr>
          <w:p w:rsidR="00F01D87" w:rsidRPr="008653D3" w:rsidRDefault="00E41F64" w:rsidP="008653D3">
            <w:pPr>
              <w:spacing w:before="20"/>
              <w:jc w:val="right"/>
              <w:rPr>
                <w:rFonts w:ascii="Arial" w:hAnsi="Arial" w:cs="Arial"/>
                <w:b/>
              </w:rPr>
            </w:pPr>
            <w:r>
              <w:rPr>
                <w:rFonts w:ascii="Arial" w:hAnsi="Arial" w:cs="Arial"/>
                <w:b/>
              </w:rPr>
              <w:t>+</w:t>
            </w:r>
            <w:r w:rsidR="00591D25">
              <w:rPr>
                <w:rFonts w:ascii="Arial" w:hAnsi="Arial" w:cs="Arial"/>
                <w:b/>
              </w:rPr>
              <w:t>6.6</w:t>
            </w:r>
            <w:r w:rsidR="00F01D87">
              <w:rPr>
                <w:rFonts w:ascii="Arial" w:hAnsi="Arial" w:cs="Arial"/>
                <w:b/>
              </w:rPr>
              <w:t>%</w:t>
            </w:r>
          </w:p>
        </w:tc>
      </w:tr>
      <w:tr w:rsidR="00F01D87" w:rsidRPr="008653D3" w:rsidTr="00B918E5">
        <w:trPr>
          <w:trHeight w:hRule="exact" w:val="437"/>
        </w:trPr>
        <w:tc>
          <w:tcPr>
            <w:tcW w:w="2376" w:type="dxa"/>
            <w:tcBorders>
              <w:top w:val="single" w:sz="4" w:space="0" w:color="auto"/>
              <w:bottom w:val="single" w:sz="4" w:space="0" w:color="auto"/>
            </w:tcBorders>
          </w:tcPr>
          <w:p w:rsidR="00F01D87" w:rsidRPr="00271E01" w:rsidRDefault="00F01D87" w:rsidP="00B918E5">
            <w:pPr>
              <w:spacing w:before="100"/>
              <w:rPr>
                <w:rFonts w:ascii="Arial" w:hAnsi="Arial" w:cs="Arial"/>
                <w:b/>
              </w:rPr>
            </w:pPr>
            <w:r w:rsidRPr="00271E01">
              <w:rPr>
                <w:rFonts w:ascii="Arial" w:hAnsi="Arial" w:cs="Arial"/>
                <w:b/>
              </w:rPr>
              <w:t>Total Group</w:t>
            </w:r>
            <w:r w:rsidR="00F04746" w:rsidRPr="00FA5AC4">
              <w:rPr>
                <w:rFonts w:ascii="Arial" w:hAnsi="Arial" w:cs="Arial"/>
                <w:b/>
                <w:i/>
                <w:vertAlign w:val="superscript"/>
              </w:rPr>
              <w:t>(1)</w:t>
            </w:r>
          </w:p>
        </w:tc>
        <w:tc>
          <w:tcPr>
            <w:tcW w:w="1134" w:type="dxa"/>
            <w:tcBorders>
              <w:top w:val="single" w:sz="4" w:space="0" w:color="auto"/>
              <w:bottom w:val="single" w:sz="4" w:space="0" w:color="auto"/>
            </w:tcBorders>
          </w:tcPr>
          <w:p w:rsidR="00F01D87" w:rsidRPr="00271E01" w:rsidRDefault="00F01D87" w:rsidP="00B918E5">
            <w:pPr>
              <w:spacing w:before="100"/>
              <w:jc w:val="right"/>
              <w:rPr>
                <w:rFonts w:ascii="Arial" w:hAnsi="Arial" w:cs="Arial"/>
                <w:b/>
              </w:rPr>
            </w:pPr>
            <w:r>
              <w:rPr>
                <w:rFonts w:ascii="Arial" w:hAnsi="Arial" w:cs="Arial"/>
                <w:b/>
              </w:rPr>
              <w:t>394</w:t>
            </w:r>
          </w:p>
        </w:tc>
        <w:tc>
          <w:tcPr>
            <w:tcW w:w="1276" w:type="dxa"/>
            <w:tcBorders>
              <w:top w:val="single" w:sz="4" w:space="0" w:color="auto"/>
              <w:bottom w:val="single" w:sz="4" w:space="0" w:color="auto"/>
            </w:tcBorders>
          </w:tcPr>
          <w:p w:rsidR="00F01D87" w:rsidRPr="00271E01" w:rsidRDefault="00F01D87" w:rsidP="00B918E5">
            <w:pPr>
              <w:spacing w:before="100"/>
              <w:jc w:val="right"/>
              <w:rPr>
                <w:rFonts w:ascii="Arial" w:hAnsi="Arial" w:cs="Arial"/>
                <w:b/>
              </w:rPr>
            </w:pPr>
            <w:r>
              <w:rPr>
                <w:rFonts w:ascii="Arial" w:hAnsi="Arial" w:cs="Arial"/>
                <w:b/>
              </w:rPr>
              <w:t>(1.8)</w:t>
            </w:r>
            <w:r w:rsidRPr="00271E01">
              <w:rPr>
                <w:rFonts w:ascii="Arial" w:hAnsi="Arial" w:cs="Arial"/>
                <w:b/>
              </w:rPr>
              <w:t>%</w:t>
            </w:r>
          </w:p>
        </w:tc>
        <w:tc>
          <w:tcPr>
            <w:tcW w:w="1276" w:type="dxa"/>
            <w:tcBorders>
              <w:top w:val="single" w:sz="4" w:space="0" w:color="auto"/>
              <w:bottom w:val="single" w:sz="4" w:space="0" w:color="auto"/>
            </w:tcBorders>
          </w:tcPr>
          <w:p w:rsidR="00F01D87" w:rsidRPr="00271E01" w:rsidRDefault="00F01D87" w:rsidP="00B918E5">
            <w:pPr>
              <w:spacing w:before="100"/>
              <w:jc w:val="right"/>
              <w:rPr>
                <w:rFonts w:ascii="Arial" w:hAnsi="Arial" w:cs="Arial"/>
                <w:b/>
              </w:rPr>
            </w:pPr>
            <w:r>
              <w:rPr>
                <w:rFonts w:ascii="Arial" w:hAnsi="Arial" w:cs="Arial"/>
                <w:b/>
              </w:rPr>
              <w:t>(4.8)</w:t>
            </w:r>
            <w:r w:rsidRPr="00271E01">
              <w:rPr>
                <w:rFonts w:ascii="Arial" w:hAnsi="Arial" w:cs="Arial"/>
                <w:b/>
              </w:rPr>
              <w:t>%</w:t>
            </w:r>
          </w:p>
        </w:tc>
        <w:tc>
          <w:tcPr>
            <w:tcW w:w="1276" w:type="dxa"/>
            <w:tcBorders>
              <w:top w:val="single" w:sz="4" w:space="0" w:color="auto"/>
              <w:bottom w:val="single" w:sz="4" w:space="0" w:color="auto"/>
            </w:tcBorders>
          </w:tcPr>
          <w:p w:rsidR="00F01D87" w:rsidRPr="00271E01" w:rsidRDefault="00E41F64" w:rsidP="00B918E5">
            <w:pPr>
              <w:spacing w:before="100"/>
              <w:jc w:val="right"/>
              <w:rPr>
                <w:rFonts w:ascii="Arial" w:hAnsi="Arial" w:cs="Arial"/>
                <w:b/>
              </w:rPr>
            </w:pPr>
            <w:r>
              <w:rPr>
                <w:rFonts w:ascii="Arial" w:hAnsi="Arial" w:cs="Arial"/>
                <w:b/>
              </w:rPr>
              <w:t>+</w:t>
            </w:r>
            <w:r w:rsidR="00591D25">
              <w:rPr>
                <w:rFonts w:ascii="Arial" w:hAnsi="Arial" w:cs="Arial"/>
                <w:b/>
              </w:rPr>
              <w:t>6.9</w:t>
            </w:r>
            <w:r w:rsidR="00F01D87" w:rsidRPr="00271E01">
              <w:rPr>
                <w:rFonts w:ascii="Arial" w:hAnsi="Arial" w:cs="Arial"/>
                <w:b/>
              </w:rPr>
              <w:t>%</w:t>
            </w:r>
          </w:p>
        </w:tc>
        <w:tc>
          <w:tcPr>
            <w:tcW w:w="1274" w:type="dxa"/>
            <w:tcBorders>
              <w:top w:val="single" w:sz="4" w:space="0" w:color="auto"/>
              <w:bottom w:val="single" w:sz="4" w:space="0" w:color="auto"/>
            </w:tcBorders>
          </w:tcPr>
          <w:p w:rsidR="00F01D87" w:rsidRPr="008653D3" w:rsidRDefault="00E41F64" w:rsidP="00321B87">
            <w:pPr>
              <w:spacing w:before="100"/>
              <w:jc w:val="right"/>
              <w:rPr>
                <w:rFonts w:ascii="Arial" w:hAnsi="Arial" w:cs="Arial"/>
                <w:b/>
              </w:rPr>
            </w:pPr>
            <w:r>
              <w:rPr>
                <w:rFonts w:ascii="Arial" w:hAnsi="Arial" w:cs="Arial"/>
                <w:b/>
              </w:rPr>
              <w:t>+</w:t>
            </w:r>
            <w:r w:rsidR="00591D25">
              <w:rPr>
                <w:rFonts w:ascii="Arial" w:hAnsi="Arial" w:cs="Arial"/>
                <w:b/>
              </w:rPr>
              <w:t>7.3</w:t>
            </w:r>
            <w:r w:rsidR="00F01D87">
              <w:rPr>
                <w:rFonts w:ascii="Arial" w:hAnsi="Arial" w:cs="Arial"/>
                <w:b/>
              </w:rPr>
              <w:t>%</w:t>
            </w:r>
          </w:p>
        </w:tc>
      </w:tr>
    </w:tbl>
    <w:p w:rsidR="00B918E5" w:rsidRDefault="00B918E5" w:rsidP="00B918E5">
      <w:pPr>
        <w:jc w:val="left"/>
        <w:rPr>
          <w:rFonts w:ascii="Arial" w:hAnsi="Arial" w:cs="Arial"/>
          <w:i/>
          <w:sz w:val="18"/>
          <w:szCs w:val="18"/>
        </w:rPr>
      </w:pPr>
    </w:p>
    <w:p w:rsidR="009E3DA4" w:rsidRPr="00FA5AC4" w:rsidRDefault="009E3DA4" w:rsidP="00FA5AC4">
      <w:pPr>
        <w:tabs>
          <w:tab w:val="left" w:pos="357"/>
        </w:tabs>
        <w:ind w:right="-282"/>
        <w:jc w:val="left"/>
        <w:rPr>
          <w:rFonts w:ascii="Arial" w:hAnsi="Arial" w:cs="Arial"/>
          <w:i/>
          <w:iCs/>
          <w:sz w:val="18"/>
          <w:szCs w:val="18"/>
        </w:rPr>
      </w:pPr>
      <w:r>
        <w:rPr>
          <w:rFonts w:ascii="Arial" w:hAnsi="Arial" w:cs="Arial"/>
          <w:i/>
          <w:iCs/>
          <w:sz w:val="18"/>
          <w:szCs w:val="18"/>
          <w:vertAlign w:val="superscript"/>
        </w:rPr>
        <w:t>(1</w:t>
      </w:r>
      <w:r w:rsidRPr="00D97E00">
        <w:rPr>
          <w:rFonts w:ascii="Arial" w:hAnsi="Arial" w:cs="Arial"/>
          <w:i/>
          <w:iCs/>
          <w:sz w:val="18"/>
          <w:szCs w:val="18"/>
          <w:vertAlign w:val="superscript"/>
        </w:rPr>
        <w:t>)</w:t>
      </w:r>
      <w:r w:rsidRPr="009528BD">
        <w:rPr>
          <w:rFonts w:ascii="Arial" w:hAnsi="Arial" w:cs="Arial"/>
          <w:i/>
          <w:iCs/>
          <w:sz w:val="18"/>
          <w:szCs w:val="18"/>
        </w:rPr>
        <w:t xml:space="preserve">2012/13 comparatives restated by £2m to reflect reclassification of pension administrative expenses from finance costs to </w:t>
      </w:r>
      <w:r w:rsidR="00FF4D3A">
        <w:rPr>
          <w:rFonts w:ascii="Arial" w:hAnsi="Arial" w:cs="Arial"/>
          <w:i/>
          <w:iCs/>
          <w:sz w:val="18"/>
          <w:szCs w:val="18"/>
        </w:rPr>
        <w:t>retail</w:t>
      </w:r>
      <w:r w:rsidRPr="009528BD">
        <w:rPr>
          <w:rFonts w:ascii="Arial" w:hAnsi="Arial" w:cs="Arial"/>
          <w:i/>
          <w:iCs/>
          <w:sz w:val="18"/>
          <w:szCs w:val="18"/>
        </w:rPr>
        <w:t xml:space="preserve"> profit, as per the amended IAS 19.</w:t>
      </w:r>
    </w:p>
    <w:p w:rsidR="00B918E5" w:rsidRDefault="00B918E5" w:rsidP="00B918E5">
      <w:pPr>
        <w:tabs>
          <w:tab w:val="left" w:pos="357"/>
        </w:tabs>
        <w:ind w:right="-282"/>
        <w:jc w:val="left"/>
        <w:rPr>
          <w:rFonts w:ascii="Arial" w:hAnsi="Arial" w:cs="Arial"/>
          <w:i/>
          <w:iCs/>
          <w:sz w:val="18"/>
          <w:szCs w:val="18"/>
        </w:rPr>
      </w:pPr>
      <w:r>
        <w:rPr>
          <w:rFonts w:ascii="Arial" w:hAnsi="Arial" w:cs="Arial"/>
          <w:i/>
          <w:iCs/>
          <w:sz w:val="18"/>
          <w:szCs w:val="18"/>
          <w:vertAlign w:val="superscript"/>
        </w:rPr>
        <w:t>(</w:t>
      </w:r>
      <w:r w:rsidR="009E3DA4">
        <w:rPr>
          <w:rFonts w:ascii="Arial" w:hAnsi="Arial" w:cs="Arial"/>
          <w:i/>
          <w:iCs/>
          <w:sz w:val="18"/>
          <w:szCs w:val="18"/>
          <w:vertAlign w:val="superscript"/>
        </w:rPr>
        <w:t>2</w:t>
      </w:r>
      <w:r w:rsidRPr="00D97E00">
        <w:rPr>
          <w:rFonts w:ascii="Arial" w:hAnsi="Arial" w:cs="Arial"/>
          <w:i/>
          <w:iCs/>
          <w:sz w:val="18"/>
          <w:szCs w:val="18"/>
          <w:vertAlign w:val="superscript"/>
        </w:rPr>
        <w:t>)</w:t>
      </w:r>
      <w:r w:rsidRPr="00DB7164">
        <w:rPr>
          <w:rFonts w:ascii="Arial" w:hAnsi="Arial" w:cs="Arial"/>
          <w:i/>
          <w:iCs/>
          <w:sz w:val="18"/>
          <w:szCs w:val="18"/>
        </w:rPr>
        <w:t>Joint Venture (Koçtaş) and Associate (Horn</w:t>
      </w:r>
      <w:r>
        <w:rPr>
          <w:rFonts w:ascii="Arial" w:hAnsi="Arial" w:cs="Arial"/>
          <w:i/>
          <w:iCs/>
          <w:sz w:val="18"/>
          <w:szCs w:val="18"/>
        </w:rPr>
        <w:t xml:space="preserve">bach) sales are not consolidated therefore not applicable. </w:t>
      </w:r>
    </w:p>
    <w:p w:rsidR="00B918E5" w:rsidRPr="00FF400E" w:rsidRDefault="00B918E5" w:rsidP="00B918E5">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1418"/>
        <w:gridCol w:w="1417"/>
      </w:tblGrid>
      <w:tr w:rsidR="00B918E5" w:rsidRPr="00616A26" w:rsidTr="00B918E5">
        <w:trPr>
          <w:trHeight w:val="317"/>
        </w:trPr>
        <w:tc>
          <w:tcPr>
            <w:tcW w:w="8613" w:type="dxa"/>
            <w:gridSpan w:val="3"/>
            <w:tcBorders>
              <w:bottom w:val="single" w:sz="4" w:space="0" w:color="auto"/>
            </w:tcBorders>
          </w:tcPr>
          <w:p w:rsidR="00B918E5" w:rsidRPr="00C82F88" w:rsidRDefault="00116EE5" w:rsidP="00B918E5">
            <w:pPr>
              <w:spacing w:before="40"/>
              <w:jc w:val="left"/>
              <w:rPr>
                <w:rFonts w:ascii="Arial" w:hAnsi="Arial" w:cs="Arial"/>
                <w:b/>
                <w:sz w:val="22"/>
                <w:szCs w:val="22"/>
              </w:rPr>
            </w:pPr>
            <w:r>
              <w:rPr>
                <w:rFonts w:ascii="Arial" w:hAnsi="Arial" w:cs="Arial"/>
                <w:b/>
                <w:sz w:val="22"/>
                <w:szCs w:val="22"/>
              </w:rPr>
              <w:t>Year to date</w:t>
            </w:r>
            <w:r w:rsidR="00B918E5" w:rsidRPr="00C82F88">
              <w:rPr>
                <w:rFonts w:ascii="Arial" w:hAnsi="Arial" w:cs="Arial"/>
                <w:b/>
                <w:sz w:val="22"/>
                <w:szCs w:val="22"/>
              </w:rPr>
              <w:t xml:space="preserve"> average FX rates vs £ Sterling</w:t>
            </w:r>
          </w:p>
        </w:tc>
      </w:tr>
      <w:tr w:rsidR="00B918E5" w:rsidRPr="00616A26" w:rsidTr="00B918E5">
        <w:trPr>
          <w:trHeight w:val="317"/>
        </w:trPr>
        <w:tc>
          <w:tcPr>
            <w:tcW w:w="5778" w:type="dxa"/>
            <w:tcBorders>
              <w:top w:val="single" w:sz="4" w:space="0" w:color="auto"/>
              <w:bottom w:val="single" w:sz="4" w:space="0" w:color="auto"/>
            </w:tcBorders>
          </w:tcPr>
          <w:p w:rsidR="00B918E5" w:rsidRPr="00C82F88" w:rsidRDefault="00B918E5" w:rsidP="00B918E5">
            <w:pPr>
              <w:spacing w:before="60"/>
              <w:rPr>
                <w:rFonts w:ascii="Arial" w:hAnsi="Arial" w:cs="Arial"/>
                <w:b/>
                <w:sz w:val="22"/>
                <w:szCs w:val="22"/>
              </w:rPr>
            </w:pPr>
          </w:p>
        </w:tc>
        <w:tc>
          <w:tcPr>
            <w:tcW w:w="1418" w:type="dxa"/>
            <w:tcBorders>
              <w:top w:val="single" w:sz="4" w:space="0" w:color="auto"/>
              <w:bottom w:val="single" w:sz="4" w:space="0" w:color="auto"/>
            </w:tcBorders>
          </w:tcPr>
          <w:p w:rsidR="00B918E5" w:rsidRPr="00C82F88" w:rsidRDefault="00D60B86" w:rsidP="00B918E5">
            <w:pPr>
              <w:spacing w:before="60"/>
              <w:jc w:val="right"/>
              <w:rPr>
                <w:rFonts w:ascii="Arial" w:hAnsi="Arial" w:cs="Arial"/>
                <w:b/>
                <w:sz w:val="22"/>
                <w:szCs w:val="22"/>
              </w:rPr>
            </w:pPr>
            <w:r>
              <w:rPr>
                <w:rFonts w:ascii="Arial" w:hAnsi="Arial" w:cs="Arial"/>
                <w:b/>
                <w:sz w:val="22"/>
                <w:szCs w:val="22"/>
              </w:rPr>
              <w:t>2013/14</w:t>
            </w:r>
          </w:p>
        </w:tc>
        <w:tc>
          <w:tcPr>
            <w:tcW w:w="1417" w:type="dxa"/>
            <w:tcBorders>
              <w:top w:val="single" w:sz="4" w:space="0" w:color="auto"/>
              <w:bottom w:val="single" w:sz="4" w:space="0" w:color="auto"/>
            </w:tcBorders>
          </w:tcPr>
          <w:p w:rsidR="00B918E5" w:rsidRPr="00C82F88" w:rsidRDefault="002228B2" w:rsidP="00B918E5">
            <w:pPr>
              <w:spacing w:before="60"/>
              <w:jc w:val="right"/>
              <w:rPr>
                <w:rFonts w:ascii="Arial" w:hAnsi="Arial" w:cs="Arial"/>
                <w:b/>
                <w:sz w:val="22"/>
                <w:szCs w:val="22"/>
              </w:rPr>
            </w:pPr>
            <w:r>
              <w:rPr>
                <w:rFonts w:ascii="Arial" w:hAnsi="Arial" w:cs="Arial"/>
                <w:b/>
                <w:sz w:val="22"/>
                <w:szCs w:val="22"/>
              </w:rPr>
              <w:t>2012/13</w:t>
            </w:r>
            <w:r w:rsidR="00B918E5" w:rsidRPr="00C82F88">
              <w:rPr>
                <w:rFonts w:ascii="Arial" w:hAnsi="Arial" w:cs="Arial"/>
                <w:b/>
                <w:sz w:val="22"/>
                <w:szCs w:val="22"/>
              </w:rPr>
              <w:t xml:space="preserve"> </w:t>
            </w:r>
          </w:p>
        </w:tc>
      </w:tr>
      <w:tr w:rsidR="002228B2" w:rsidRPr="00616A26" w:rsidTr="00B918E5">
        <w:tc>
          <w:tcPr>
            <w:tcW w:w="5778" w:type="dxa"/>
            <w:tcBorders>
              <w:top w:val="single" w:sz="4" w:space="0" w:color="auto"/>
            </w:tcBorders>
          </w:tcPr>
          <w:p w:rsidR="002228B2" w:rsidRPr="00C82F88" w:rsidRDefault="002228B2" w:rsidP="00B918E5">
            <w:pPr>
              <w:spacing w:before="60"/>
              <w:rPr>
                <w:rFonts w:ascii="Arial" w:hAnsi="Arial" w:cs="Arial"/>
                <w:sz w:val="22"/>
                <w:szCs w:val="22"/>
              </w:rPr>
            </w:pPr>
            <w:r w:rsidRPr="00C82F88">
              <w:rPr>
                <w:rFonts w:ascii="Arial" w:hAnsi="Arial" w:cs="Arial"/>
                <w:sz w:val="22"/>
                <w:szCs w:val="22"/>
              </w:rPr>
              <w:t>Euro</w:t>
            </w:r>
          </w:p>
        </w:tc>
        <w:tc>
          <w:tcPr>
            <w:tcW w:w="1418" w:type="dxa"/>
            <w:tcBorders>
              <w:top w:val="single" w:sz="4" w:space="0" w:color="auto"/>
            </w:tcBorders>
          </w:tcPr>
          <w:p w:rsidR="002228B2" w:rsidRPr="00C82F88" w:rsidRDefault="00D60B86" w:rsidP="00B918E5">
            <w:pPr>
              <w:spacing w:before="60"/>
              <w:jc w:val="right"/>
              <w:rPr>
                <w:rFonts w:ascii="Arial" w:hAnsi="Arial" w:cs="Arial"/>
                <w:sz w:val="22"/>
                <w:szCs w:val="22"/>
              </w:rPr>
            </w:pPr>
            <w:r>
              <w:rPr>
                <w:rFonts w:ascii="Arial" w:hAnsi="Arial" w:cs="Arial"/>
                <w:sz w:val="22"/>
                <w:szCs w:val="22"/>
              </w:rPr>
              <w:t>1.17</w:t>
            </w:r>
          </w:p>
        </w:tc>
        <w:tc>
          <w:tcPr>
            <w:tcW w:w="1417" w:type="dxa"/>
            <w:tcBorders>
              <w:top w:val="single" w:sz="4" w:space="0" w:color="auto"/>
            </w:tcBorders>
          </w:tcPr>
          <w:p w:rsidR="002228B2" w:rsidRPr="00C82F88" w:rsidRDefault="00D60B86" w:rsidP="00321B87">
            <w:pPr>
              <w:spacing w:before="60"/>
              <w:jc w:val="right"/>
              <w:rPr>
                <w:rFonts w:ascii="Arial" w:hAnsi="Arial" w:cs="Arial"/>
                <w:sz w:val="22"/>
                <w:szCs w:val="22"/>
              </w:rPr>
            </w:pPr>
            <w:r>
              <w:rPr>
                <w:rFonts w:ascii="Arial" w:hAnsi="Arial" w:cs="Arial"/>
                <w:sz w:val="22"/>
                <w:szCs w:val="22"/>
              </w:rPr>
              <w:t>1.23</w:t>
            </w:r>
          </w:p>
        </w:tc>
      </w:tr>
      <w:tr w:rsidR="002228B2" w:rsidRPr="00616A26" w:rsidTr="00B918E5">
        <w:tc>
          <w:tcPr>
            <w:tcW w:w="5778" w:type="dxa"/>
          </w:tcPr>
          <w:p w:rsidR="002228B2" w:rsidRPr="00C82F88" w:rsidRDefault="002228B2" w:rsidP="00B918E5">
            <w:pPr>
              <w:rPr>
                <w:rFonts w:ascii="Arial" w:hAnsi="Arial" w:cs="Arial"/>
                <w:sz w:val="22"/>
                <w:szCs w:val="22"/>
              </w:rPr>
            </w:pPr>
            <w:r w:rsidRPr="00C82F88">
              <w:rPr>
                <w:rFonts w:ascii="Arial" w:hAnsi="Arial" w:cs="Arial"/>
                <w:sz w:val="22"/>
                <w:szCs w:val="22"/>
              </w:rPr>
              <w:t>Polish Zloty</w:t>
            </w:r>
          </w:p>
        </w:tc>
        <w:tc>
          <w:tcPr>
            <w:tcW w:w="1418" w:type="dxa"/>
          </w:tcPr>
          <w:p w:rsidR="002228B2" w:rsidRPr="00C82F88" w:rsidRDefault="00D60B86" w:rsidP="00B918E5">
            <w:pPr>
              <w:jc w:val="right"/>
              <w:rPr>
                <w:rFonts w:ascii="Arial" w:hAnsi="Arial" w:cs="Arial"/>
                <w:sz w:val="22"/>
                <w:szCs w:val="22"/>
              </w:rPr>
            </w:pPr>
            <w:r>
              <w:rPr>
                <w:rFonts w:ascii="Arial" w:hAnsi="Arial" w:cs="Arial"/>
                <w:sz w:val="22"/>
                <w:szCs w:val="22"/>
              </w:rPr>
              <w:t>4.91</w:t>
            </w:r>
          </w:p>
        </w:tc>
        <w:tc>
          <w:tcPr>
            <w:tcW w:w="1417" w:type="dxa"/>
          </w:tcPr>
          <w:p w:rsidR="002228B2" w:rsidRPr="00C82F88" w:rsidRDefault="00D60B86" w:rsidP="00321B87">
            <w:pPr>
              <w:jc w:val="right"/>
              <w:rPr>
                <w:rFonts w:ascii="Arial" w:hAnsi="Arial" w:cs="Arial"/>
                <w:sz w:val="22"/>
                <w:szCs w:val="22"/>
              </w:rPr>
            </w:pPr>
            <w:r>
              <w:rPr>
                <w:rFonts w:ascii="Arial" w:hAnsi="Arial" w:cs="Arial"/>
                <w:sz w:val="22"/>
                <w:szCs w:val="22"/>
              </w:rPr>
              <w:t>5.16</w:t>
            </w:r>
          </w:p>
        </w:tc>
      </w:tr>
      <w:tr w:rsidR="002228B2" w:rsidRPr="00616A26" w:rsidTr="00B918E5">
        <w:tc>
          <w:tcPr>
            <w:tcW w:w="5778" w:type="dxa"/>
          </w:tcPr>
          <w:p w:rsidR="002228B2" w:rsidRPr="00C82F88" w:rsidRDefault="002228B2" w:rsidP="00B918E5">
            <w:pPr>
              <w:rPr>
                <w:rFonts w:ascii="Arial" w:hAnsi="Arial" w:cs="Arial"/>
                <w:sz w:val="22"/>
                <w:szCs w:val="22"/>
              </w:rPr>
            </w:pPr>
            <w:r w:rsidRPr="00C82F88">
              <w:rPr>
                <w:rFonts w:ascii="Arial" w:hAnsi="Arial" w:cs="Arial"/>
                <w:sz w:val="22"/>
                <w:szCs w:val="22"/>
              </w:rPr>
              <w:t xml:space="preserve">Chinese Renminbi </w:t>
            </w:r>
          </w:p>
        </w:tc>
        <w:tc>
          <w:tcPr>
            <w:tcW w:w="1418" w:type="dxa"/>
          </w:tcPr>
          <w:p w:rsidR="002228B2" w:rsidRPr="00C82F88" w:rsidRDefault="00D60B86" w:rsidP="00B918E5">
            <w:pPr>
              <w:jc w:val="right"/>
              <w:rPr>
                <w:rFonts w:ascii="Arial" w:hAnsi="Arial" w:cs="Arial"/>
                <w:sz w:val="22"/>
                <w:szCs w:val="22"/>
              </w:rPr>
            </w:pPr>
            <w:r>
              <w:rPr>
                <w:rFonts w:ascii="Arial" w:hAnsi="Arial" w:cs="Arial"/>
                <w:sz w:val="22"/>
                <w:szCs w:val="22"/>
              </w:rPr>
              <w:t>9.44</w:t>
            </w:r>
          </w:p>
        </w:tc>
        <w:tc>
          <w:tcPr>
            <w:tcW w:w="1417" w:type="dxa"/>
          </w:tcPr>
          <w:p w:rsidR="002228B2" w:rsidRPr="00C82F88" w:rsidRDefault="00D60B86" w:rsidP="00321B87">
            <w:pPr>
              <w:jc w:val="right"/>
              <w:rPr>
                <w:rFonts w:ascii="Arial" w:hAnsi="Arial" w:cs="Arial"/>
                <w:sz w:val="22"/>
                <w:szCs w:val="22"/>
              </w:rPr>
            </w:pPr>
            <w:r>
              <w:rPr>
                <w:rFonts w:ascii="Arial" w:hAnsi="Arial" w:cs="Arial"/>
                <w:sz w:val="22"/>
                <w:szCs w:val="22"/>
              </w:rPr>
              <w:t>9.99</w:t>
            </w:r>
          </w:p>
        </w:tc>
      </w:tr>
      <w:tr w:rsidR="00F21225" w:rsidRPr="00616A26" w:rsidTr="00B918E5">
        <w:trPr>
          <w:trHeight w:val="80"/>
        </w:trPr>
        <w:tc>
          <w:tcPr>
            <w:tcW w:w="5778" w:type="dxa"/>
          </w:tcPr>
          <w:p w:rsidR="00F21225" w:rsidRPr="00C82F88" w:rsidRDefault="00F21225" w:rsidP="00B918E5">
            <w:pPr>
              <w:spacing w:after="20"/>
              <w:rPr>
                <w:rFonts w:ascii="Arial" w:hAnsi="Arial" w:cs="Arial"/>
              </w:rPr>
            </w:pPr>
            <w:r w:rsidRPr="00F6695F">
              <w:rPr>
                <w:rFonts w:ascii="Arial" w:hAnsi="Arial" w:cs="Arial"/>
                <w:sz w:val="22"/>
                <w:szCs w:val="22"/>
              </w:rPr>
              <w:t>Romanian Leu</w:t>
            </w:r>
          </w:p>
        </w:tc>
        <w:tc>
          <w:tcPr>
            <w:tcW w:w="1418" w:type="dxa"/>
          </w:tcPr>
          <w:p w:rsidR="00F21225" w:rsidRDefault="00F21225" w:rsidP="00B918E5">
            <w:pPr>
              <w:spacing w:after="20"/>
              <w:jc w:val="right"/>
              <w:rPr>
                <w:rFonts w:ascii="Arial" w:hAnsi="Arial" w:cs="Arial"/>
              </w:rPr>
            </w:pPr>
            <w:r w:rsidRPr="00F6695F">
              <w:rPr>
                <w:rFonts w:ascii="Arial" w:hAnsi="Arial" w:cs="Arial"/>
                <w:sz w:val="22"/>
                <w:szCs w:val="22"/>
              </w:rPr>
              <w:t>5.18</w:t>
            </w:r>
          </w:p>
        </w:tc>
        <w:tc>
          <w:tcPr>
            <w:tcW w:w="1417" w:type="dxa"/>
          </w:tcPr>
          <w:p w:rsidR="00F21225" w:rsidRDefault="00F21225" w:rsidP="00321B87">
            <w:pPr>
              <w:spacing w:after="20"/>
              <w:jc w:val="right"/>
              <w:rPr>
                <w:rFonts w:ascii="Arial" w:hAnsi="Arial" w:cs="Arial"/>
              </w:rPr>
            </w:pPr>
            <w:r>
              <w:rPr>
                <w:rFonts w:ascii="Arial" w:hAnsi="Arial" w:cs="Arial"/>
                <w:sz w:val="22"/>
                <w:szCs w:val="22"/>
              </w:rPr>
              <w:t>n/a</w:t>
            </w:r>
          </w:p>
        </w:tc>
      </w:tr>
      <w:tr w:rsidR="00F21225" w:rsidRPr="00616A26" w:rsidTr="00FA5AC4">
        <w:trPr>
          <w:trHeight w:val="80"/>
        </w:trPr>
        <w:tc>
          <w:tcPr>
            <w:tcW w:w="5778" w:type="dxa"/>
          </w:tcPr>
          <w:p w:rsidR="00F21225" w:rsidRPr="00C82F88" w:rsidRDefault="00F21225" w:rsidP="00B918E5">
            <w:pPr>
              <w:spacing w:after="20"/>
              <w:rPr>
                <w:rFonts w:ascii="Arial" w:hAnsi="Arial" w:cs="Arial"/>
                <w:sz w:val="22"/>
                <w:szCs w:val="22"/>
              </w:rPr>
            </w:pPr>
            <w:r w:rsidRPr="00C82F88">
              <w:rPr>
                <w:rFonts w:ascii="Arial" w:hAnsi="Arial" w:cs="Arial"/>
                <w:sz w:val="22"/>
                <w:szCs w:val="22"/>
              </w:rPr>
              <w:t xml:space="preserve">Russian Rouble </w:t>
            </w:r>
          </w:p>
        </w:tc>
        <w:tc>
          <w:tcPr>
            <w:tcW w:w="1418" w:type="dxa"/>
          </w:tcPr>
          <w:p w:rsidR="00F21225" w:rsidRPr="00C82F88" w:rsidRDefault="00F21225" w:rsidP="00B918E5">
            <w:pPr>
              <w:spacing w:after="20"/>
              <w:jc w:val="right"/>
              <w:rPr>
                <w:rFonts w:ascii="Arial" w:hAnsi="Arial" w:cs="Arial"/>
                <w:sz w:val="22"/>
                <w:szCs w:val="22"/>
              </w:rPr>
            </w:pPr>
            <w:r>
              <w:rPr>
                <w:rFonts w:ascii="Arial" w:hAnsi="Arial" w:cs="Arial"/>
                <w:sz w:val="22"/>
                <w:szCs w:val="22"/>
              </w:rPr>
              <w:t>48.22</w:t>
            </w:r>
          </w:p>
        </w:tc>
        <w:tc>
          <w:tcPr>
            <w:tcW w:w="1417" w:type="dxa"/>
          </w:tcPr>
          <w:p w:rsidR="00F21225" w:rsidRPr="00C82F88" w:rsidRDefault="00F21225" w:rsidP="00321B87">
            <w:pPr>
              <w:spacing w:after="20"/>
              <w:jc w:val="right"/>
              <w:rPr>
                <w:rFonts w:ascii="Arial" w:hAnsi="Arial" w:cs="Arial"/>
                <w:sz w:val="22"/>
                <w:szCs w:val="22"/>
              </w:rPr>
            </w:pPr>
            <w:r>
              <w:rPr>
                <w:rFonts w:ascii="Arial" w:hAnsi="Arial" w:cs="Arial"/>
                <w:sz w:val="22"/>
                <w:szCs w:val="22"/>
              </w:rPr>
              <w:t>48.54</w:t>
            </w:r>
          </w:p>
        </w:tc>
      </w:tr>
      <w:tr w:rsidR="00F21225" w:rsidRPr="00616A26" w:rsidTr="00FA5AC4">
        <w:trPr>
          <w:trHeight w:val="80"/>
        </w:trPr>
        <w:tc>
          <w:tcPr>
            <w:tcW w:w="5778" w:type="dxa"/>
            <w:tcBorders>
              <w:bottom w:val="single" w:sz="4" w:space="0" w:color="auto"/>
            </w:tcBorders>
          </w:tcPr>
          <w:p w:rsidR="00F21225" w:rsidRPr="00EC1FEB" w:rsidRDefault="00F21225" w:rsidP="00B918E5">
            <w:pPr>
              <w:rPr>
                <w:rFonts w:ascii="Arial" w:hAnsi="Arial" w:cs="Arial"/>
                <w:sz w:val="22"/>
                <w:szCs w:val="22"/>
              </w:rPr>
            </w:pPr>
            <w:r w:rsidRPr="00EC1FEB">
              <w:rPr>
                <w:rFonts w:ascii="Arial" w:hAnsi="Arial" w:cs="Arial"/>
                <w:sz w:val="22"/>
                <w:szCs w:val="22"/>
              </w:rPr>
              <w:t>Turkish Lira</w:t>
            </w:r>
          </w:p>
        </w:tc>
        <w:tc>
          <w:tcPr>
            <w:tcW w:w="1418" w:type="dxa"/>
            <w:tcBorders>
              <w:bottom w:val="single" w:sz="4" w:space="0" w:color="auto"/>
            </w:tcBorders>
          </w:tcPr>
          <w:p w:rsidR="00F21225" w:rsidRPr="00EC1FEB" w:rsidRDefault="00F21225" w:rsidP="00B918E5">
            <w:pPr>
              <w:jc w:val="right"/>
              <w:rPr>
                <w:rFonts w:ascii="Arial" w:hAnsi="Arial" w:cs="Arial"/>
                <w:sz w:val="22"/>
                <w:szCs w:val="22"/>
              </w:rPr>
            </w:pPr>
            <w:r>
              <w:rPr>
                <w:rFonts w:ascii="Arial" w:hAnsi="Arial" w:cs="Arial"/>
                <w:sz w:val="22"/>
                <w:szCs w:val="22"/>
              </w:rPr>
              <w:t>2.82</w:t>
            </w:r>
          </w:p>
        </w:tc>
        <w:tc>
          <w:tcPr>
            <w:tcW w:w="1417" w:type="dxa"/>
            <w:tcBorders>
              <w:bottom w:val="single" w:sz="4" w:space="0" w:color="auto"/>
            </w:tcBorders>
          </w:tcPr>
          <w:p w:rsidR="00F21225" w:rsidRPr="00EC1FEB" w:rsidRDefault="00F21225" w:rsidP="00321B87">
            <w:pPr>
              <w:jc w:val="right"/>
              <w:rPr>
                <w:rFonts w:ascii="Arial" w:hAnsi="Arial" w:cs="Arial"/>
                <w:sz w:val="22"/>
                <w:szCs w:val="22"/>
              </w:rPr>
            </w:pPr>
            <w:r>
              <w:rPr>
                <w:rFonts w:ascii="Arial" w:hAnsi="Arial" w:cs="Arial"/>
                <w:sz w:val="22"/>
                <w:szCs w:val="22"/>
              </w:rPr>
              <w:t>2.83</w:t>
            </w:r>
          </w:p>
        </w:tc>
      </w:tr>
    </w:tbl>
    <w:p w:rsidR="00D60B86" w:rsidRDefault="00D60B86" w:rsidP="001B3B55">
      <w:pPr>
        <w:jc w:val="left"/>
        <w:rPr>
          <w:rFonts w:ascii="Arial" w:hAnsi="Arial" w:cs="Arial"/>
          <w:b/>
          <w:bCs/>
          <w:color w:val="FF0000"/>
          <w:sz w:val="24"/>
          <w:szCs w:val="24"/>
        </w:rPr>
      </w:pPr>
    </w:p>
    <w:p w:rsidR="00B36322" w:rsidRPr="00791B66" w:rsidRDefault="00B36322" w:rsidP="00B36322">
      <w:pPr>
        <w:jc w:val="left"/>
        <w:rPr>
          <w:rFonts w:ascii="Arial" w:hAnsi="Arial" w:cs="Arial"/>
          <w:sz w:val="24"/>
          <w:szCs w:val="24"/>
        </w:rPr>
      </w:pPr>
      <w:r w:rsidRPr="00791B66">
        <w:rPr>
          <w:rFonts w:ascii="Arial" w:hAnsi="Arial" w:cs="Arial"/>
          <w:b/>
          <w:sz w:val="24"/>
          <w:szCs w:val="24"/>
        </w:rPr>
        <w:t xml:space="preserve">SECOND QUARTER BY </w:t>
      </w:r>
      <w:r>
        <w:rPr>
          <w:rFonts w:ascii="Arial" w:hAnsi="Arial" w:cs="Arial"/>
          <w:b/>
          <w:sz w:val="24"/>
          <w:szCs w:val="24"/>
        </w:rPr>
        <w:t xml:space="preserve">MAJOR </w:t>
      </w:r>
      <w:r w:rsidRPr="00791B66">
        <w:rPr>
          <w:rFonts w:ascii="Arial" w:hAnsi="Arial" w:cs="Arial"/>
          <w:b/>
          <w:sz w:val="24"/>
          <w:szCs w:val="24"/>
        </w:rPr>
        <w:t xml:space="preserve">GEOGRAPHY </w:t>
      </w:r>
      <w:r w:rsidR="009C7E8A">
        <w:rPr>
          <w:rFonts w:ascii="Arial" w:hAnsi="Arial" w:cs="Arial"/>
          <w:sz w:val="24"/>
          <w:szCs w:val="24"/>
        </w:rPr>
        <w:t xml:space="preserve">– 13 weeks ended </w:t>
      </w:r>
      <w:r>
        <w:rPr>
          <w:rFonts w:ascii="Arial" w:hAnsi="Arial" w:cs="Arial"/>
          <w:sz w:val="24"/>
          <w:szCs w:val="24"/>
        </w:rPr>
        <w:t>3 August 2013</w:t>
      </w:r>
    </w:p>
    <w:p w:rsidR="00B36322" w:rsidRDefault="00B36322" w:rsidP="00B36322">
      <w:pPr>
        <w:jc w:val="left"/>
        <w:rPr>
          <w:rFonts w:ascii="Arial" w:hAnsi="Arial" w:cs="Arial"/>
          <w:b/>
          <w:bCs/>
          <w:sz w:val="24"/>
          <w:szCs w:val="24"/>
        </w:rPr>
      </w:pPr>
    </w:p>
    <w:tbl>
      <w:tblPr>
        <w:tblW w:w="0" w:type="auto"/>
        <w:tblLayout w:type="fixed"/>
        <w:tblLook w:val="01E0" w:firstRow="1" w:lastRow="1" w:firstColumn="1" w:lastColumn="1" w:noHBand="0" w:noVBand="0"/>
      </w:tblPr>
      <w:tblGrid>
        <w:gridCol w:w="1424"/>
        <w:gridCol w:w="939"/>
        <w:gridCol w:w="1228"/>
        <w:gridCol w:w="1337"/>
        <w:gridCol w:w="1337"/>
        <w:gridCol w:w="983"/>
        <w:gridCol w:w="1272"/>
        <w:gridCol w:w="1337"/>
      </w:tblGrid>
      <w:tr w:rsidR="00B36322" w:rsidRPr="001E29CA" w:rsidTr="00B36322">
        <w:trPr>
          <w:trHeight w:val="567"/>
        </w:trPr>
        <w:tc>
          <w:tcPr>
            <w:tcW w:w="1424" w:type="dxa"/>
            <w:tcBorders>
              <w:bottom w:val="single" w:sz="4" w:space="0" w:color="auto"/>
            </w:tcBorders>
          </w:tcPr>
          <w:p w:rsidR="00B36322" w:rsidRPr="008766BD" w:rsidRDefault="00B36322" w:rsidP="00B36322">
            <w:pPr>
              <w:jc w:val="left"/>
              <w:rPr>
                <w:rFonts w:ascii="Arial" w:hAnsi="Arial" w:cs="Arial"/>
                <w:b/>
                <w:sz w:val="20"/>
                <w:u w:val="single"/>
              </w:rPr>
            </w:pPr>
          </w:p>
        </w:tc>
        <w:tc>
          <w:tcPr>
            <w:tcW w:w="939" w:type="dxa"/>
            <w:tcBorders>
              <w:bottom w:val="single" w:sz="4" w:space="0" w:color="auto"/>
            </w:tcBorders>
          </w:tcPr>
          <w:p w:rsidR="00B36322" w:rsidRDefault="00B36322" w:rsidP="00B36322">
            <w:pPr>
              <w:jc w:val="right"/>
              <w:rPr>
                <w:rFonts w:ascii="Arial" w:hAnsi="Arial" w:cs="Arial"/>
                <w:b/>
                <w:sz w:val="20"/>
              </w:rPr>
            </w:pPr>
          </w:p>
          <w:p w:rsidR="00B36322" w:rsidRPr="001E29CA" w:rsidRDefault="00B36322" w:rsidP="00B36322">
            <w:pPr>
              <w:jc w:val="right"/>
              <w:rPr>
                <w:rFonts w:ascii="Arial" w:hAnsi="Arial" w:cs="Arial"/>
                <w:b/>
                <w:sz w:val="20"/>
              </w:rPr>
            </w:pPr>
            <w:r>
              <w:rPr>
                <w:rFonts w:ascii="Arial" w:hAnsi="Arial" w:cs="Arial"/>
                <w:b/>
                <w:sz w:val="20"/>
              </w:rPr>
              <w:t>Sale</w:t>
            </w:r>
            <w:r w:rsidR="00614F1B">
              <w:rPr>
                <w:rFonts w:ascii="Arial" w:hAnsi="Arial" w:cs="Arial"/>
                <w:b/>
                <w:sz w:val="20"/>
              </w:rPr>
              <w:t xml:space="preserve">s </w:t>
            </w:r>
            <w:r w:rsidR="00614F1B" w:rsidRPr="000F31CD">
              <w:rPr>
                <w:rFonts w:ascii="Arial" w:hAnsi="Arial" w:cs="Arial"/>
                <w:b/>
                <w:i/>
                <w:sz w:val="20"/>
                <w:vertAlign w:val="superscript"/>
              </w:rPr>
              <w:t>(1)</w:t>
            </w:r>
            <w:r>
              <w:rPr>
                <w:rFonts w:ascii="Arial" w:hAnsi="Arial" w:cs="Arial"/>
                <w:b/>
                <w:sz w:val="20"/>
              </w:rPr>
              <w:t xml:space="preserve"> </w:t>
            </w:r>
          </w:p>
        </w:tc>
        <w:tc>
          <w:tcPr>
            <w:tcW w:w="1228" w:type="dxa"/>
            <w:tcBorders>
              <w:bottom w:val="single" w:sz="4" w:space="0" w:color="auto"/>
            </w:tcBorders>
          </w:tcPr>
          <w:p w:rsidR="00B36322" w:rsidRDefault="00B36322" w:rsidP="00B36322">
            <w:pPr>
              <w:jc w:val="right"/>
              <w:rPr>
                <w:rFonts w:ascii="Arial" w:hAnsi="Arial" w:cs="Arial"/>
                <w:b/>
                <w:sz w:val="20"/>
              </w:rPr>
            </w:pPr>
          </w:p>
          <w:p w:rsidR="00B36322" w:rsidRPr="001E29CA" w:rsidRDefault="00B36322" w:rsidP="00B36322">
            <w:pPr>
              <w:jc w:val="right"/>
              <w:rPr>
                <w:rFonts w:ascii="Arial" w:hAnsi="Arial" w:cs="Arial"/>
                <w:b/>
                <w:sz w:val="20"/>
              </w:rPr>
            </w:pPr>
            <w:r w:rsidRPr="001E29CA">
              <w:rPr>
                <w:rFonts w:ascii="Arial" w:hAnsi="Arial" w:cs="Arial"/>
                <w:b/>
                <w:sz w:val="20"/>
              </w:rPr>
              <w:t>% Total</w:t>
            </w:r>
          </w:p>
        </w:tc>
        <w:tc>
          <w:tcPr>
            <w:tcW w:w="1337" w:type="dxa"/>
            <w:tcBorders>
              <w:bottom w:val="single" w:sz="4" w:space="0" w:color="auto"/>
            </w:tcBorders>
          </w:tcPr>
          <w:p w:rsidR="00B36322" w:rsidRDefault="00B36322" w:rsidP="00B36322">
            <w:pPr>
              <w:jc w:val="right"/>
              <w:rPr>
                <w:rFonts w:ascii="Arial" w:hAnsi="Arial" w:cs="Arial"/>
                <w:b/>
                <w:sz w:val="20"/>
              </w:rPr>
            </w:pPr>
          </w:p>
          <w:p w:rsidR="00B36322" w:rsidRPr="001E29CA" w:rsidRDefault="00B36322" w:rsidP="00B36322">
            <w:pPr>
              <w:jc w:val="right"/>
              <w:rPr>
                <w:rFonts w:ascii="Arial" w:hAnsi="Arial" w:cs="Arial"/>
                <w:b/>
                <w:sz w:val="20"/>
              </w:rPr>
            </w:pPr>
            <w:r w:rsidRPr="001E29CA">
              <w:rPr>
                <w:rFonts w:ascii="Arial" w:hAnsi="Arial" w:cs="Arial"/>
                <w:b/>
                <w:sz w:val="20"/>
              </w:rPr>
              <w:t>% Total</w:t>
            </w:r>
          </w:p>
        </w:tc>
        <w:tc>
          <w:tcPr>
            <w:tcW w:w="1337" w:type="dxa"/>
            <w:tcBorders>
              <w:bottom w:val="single" w:sz="4" w:space="0" w:color="auto"/>
            </w:tcBorders>
          </w:tcPr>
          <w:p w:rsidR="00B36322" w:rsidRDefault="00B36322" w:rsidP="00B36322">
            <w:pPr>
              <w:jc w:val="right"/>
              <w:rPr>
                <w:rFonts w:ascii="Arial" w:hAnsi="Arial" w:cs="Arial"/>
                <w:b/>
                <w:sz w:val="20"/>
              </w:rPr>
            </w:pPr>
          </w:p>
          <w:p w:rsidR="00B36322" w:rsidRPr="001E29CA" w:rsidRDefault="00B36322" w:rsidP="00B36322">
            <w:pPr>
              <w:jc w:val="right"/>
              <w:rPr>
                <w:rFonts w:ascii="Arial" w:hAnsi="Arial" w:cs="Arial"/>
                <w:b/>
                <w:sz w:val="20"/>
              </w:rPr>
            </w:pPr>
            <w:r w:rsidRPr="001E29CA">
              <w:rPr>
                <w:rFonts w:ascii="Arial" w:hAnsi="Arial" w:cs="Arial"/>
                <w:b/>
                <w:sz w:val="20"/>
              </w:rPr>
              <w:t>% LFL</w:t>
            </w:r>
          </w:p>
        </w:tc>
        <w:tc>
          <w:tcPr>
            <w:tcW w:w="983" w:type="dxa"/>
            <w:tcBorders>
              <w:bottom w:val="single" w:sz="4" w:space="0" w:color="auto"/>
            </w:tcBorders>
          </w:tcPr>
          <w:p w:rsidR="00B36322" w:rsidRDefault="00B36322" w:rsidP="00B36322">
            <w:pPr>
              <w:tabs>
                <w:tab w:val="left" w:pos="300"/>
              </w:tabs>
              <w:ind w:right="-170"/>
              <w:jc w:val="center"/>
              <w:rPr>
                <w:rFonts w:ascii="Arial" w:hAnsi="Arial" w:cs="Arial"/>
                <w:b/>
                <w:sz w:val="20"/>
              </w:rPr>
            </w:pPr>
            <w:r>
              <w:rPr>
                <w:rFonts w:ascii="Arial" w:hAnsi="Arial" w:cs="Arial"/>
                <w:b/>
                <w:sz w:val="20"/>
              </w:rPr>
              <w:t xml:space="preserve">Retail Profit </w:t>
            </w:r>
          </w:p>
        </w:tc>
        <w:tc>
          <w:tcPr>
            <w:tcW w:w="1272" w:type="dxa"/>
            <w:tcBorders>
              <w:bottom w:val="single" w:sz="4" w:space="0" w:color="auto"/>
            </w:tcBorders>
          </w:tcPr>
          <w:p w:rsidR="00B36322" w:rsidRDefault="00B36322" w:rsidP="00B36322">
            <w:pPr>
              <w:jc w:val="right"/>
              <w:rPr>
                <w:rFonts w:ascii="Arial" w:hAnsi="Arial" w:cs="Arial"/>
                <w:b/>
                <w:sz w:val="20"/>
              </w:rPr>
            </w:pPr>
          </w:p>
          <w:p w:rsidR="00B36322" w:rsidRPr="001E29CA" w:rsidRDefault="00B36322" w:rsidP="00B36322">
            <w:pPr>
              <w:tabs>
                <w:tab w:val="left" w:pos="300"/>
              </w:tabs>
              <w:ind w:hanging="108"/>
              <w:jc w:val="right"/>
              <w:rPr>
                <w:rFonts w:ascii="Arial" w:hAnsi="Arial" w:cs="Arial"/>
                <w:b/>
                <w:sz w:val="20"/>
              </w:rPr>
            </w:pPr>
            <w:r>
              <w:rPr>
                <w:rFonts w:ascii="Arial" w:hAnsi="Arial" w:cs="Arial"/>
                <w:b/>
                <w:sz w:val="20"/>
              </w:rPr>
              <w:t>% Total</w:t>
            </w:r>
          </w:p>
        </w:tc>
        <w:tc>
          <w:tcPr>
            <w:tcW w:w="1337" w:type="dxa"/>
            <w:tcBorders>
              <w:bottom w:val="single" w:sz="4" w:space="0" w:color="auto"/>
            </w:tcBorders>
          </w:tcPr>
          <w:p w:rsidR="00B36322" w:rsidRDefault="00B36322" w:rsidP="00B36322">
            <w:pPr>
              <w:jc w:val="right"/>
              <w:rPr>
                <w:rFonts w:ascii="Arial" w:hAnsi="Arial" w:cs="Arial"/>
                <w:b/>
                <w:sz w:val="20"/>
              </w:rPr>
            </w:pPr>
          </w:p>
          <w:p w:rsidR="00B36322" w:rsidRPr="001E29CA" w:rsidRDefault="00B36322" w:rsidP="00B36322">
            <w:pPr>
              <w:jc w:val="right"/>
              <w:rPr>
                <w:rFonts w:ascii="Arial" w:hAnsi="Arial" w:cs="Arial"/>
                <w:b/>
                <w:sz w:val="20"/>
              </w:rPr>
            </w:pPr>
            <w:r w:rsidRPr="001E29CA">
              <w:rPr>
                <w:rFonts w:ascii="Arial" w:hAnsi="Arial" w:cs="Arial"/>
                <w:b/>
                <w:sz w:val="20"/>
              </w:rPr>
              <w:t>% Total</w:t>
            </w:r>
          </w:p>
        </w:tc>
      </w:tr>
      <w:tr w:rsidR="00B36322" w:rsidRPr="001E29CA" w:rsidTr="00B36322">
        <w:trPr>
          <w:trHeight w:val="567"/>
        </w:trPr>
        <w:tc>
          <w:tcPr>
            <w:tcW w:w="1424" w:type="dxa"/>
            <w:tcBorders>
              <w:top w:val="single" w:sz="4" w:space="0" w:color="auto"/>
              <w:bottom w:val="single" w:sz="4" w:space="0" w:color="auto"/>
            </w:tcBorders>
          </w:tcPr>
          <w:p w:rsidR="00B36322" w:rsidRPr="001E29CA" w:rsidRDefault="00B36322" w:rsidP="00B36322">
            <w:pPr>
              <w:rPr>
                <w:rFonts w:ascii="Arial" w:hAnsi="Arial" w:cs="Arial"/>
                <w:sz w:val="20"/>
              </w:rPr>
            </w:pPr>
          </w:p>
        </w:tc>
        <w:tc>
          <w:tcPr>
            <w:tcW w:w="939" w:type="dxa"/>
            <w:tcBorders>
              <w:top w:val="single" w:sz="4" w:space="0" w:color="auto"/>
              <w:bottom w:val="single" w:sz="4" w:space="0" w:color="auto"/>
            </w:tcBorders>
          </w:tcPr>
          <w:p w:rsidR="00B36322" w:rsidRDefault="00B36322" w:rsidP="00B36322">
            <w:pPr>
              <w:jc w:val="right"/>
              <w:rPr>
                <w:rFonts w:ascii="Arial" w:hAnsi="Arial" w:cs="Arial"/>
                <w:b/>
                <w:sz w:val="20"/>
              </w:rPr>
            </w:pPr>
            <w:r w:rsidRPr="001E29CA">
              <w:rPr>
                <w:rFonts w:ascii="Arial" w:hAnsi="Arial" w:cs="Arial"/>
                <w:b/>
                <w:sz w:val="20"/>
              </w:rPr>
              <w:t>20</w:t>
            </w:r>
            <w:r>
              <w:rPr>
                <w:rFonts w:ascii="Arial" w:hAnsi="Arial" w:cs="Arial"/>
                <w:b/>
                <w:sz w:val="20"/>
              </w:rPr>
              <w:t>13</w:t>
            </w:r>
            <w:r w:rsidRPr="001E29CA">
              <w:rPr>
                <w:rFonts w:ascii="Arial" w:hAnsi="Arial" w:cs="Arial"/>
                <w:b/>
                <w:sz w:val="20"/>
              </w:rPr>
              <w:t>/</w:t>
            </w:r>
            <w:r>
              <w:rPr>
                <w:rFonts w:ascii="Arial" w:hAnsi="Arial" w:cs="Arial"/>
                <w:b/>
                <w:sz w:val="20"/>
              </w:rPr>
              <w:t>14</w:t>
            </w:r>
          </w:p>
          <w:p w:rsidR="00B36322" w:rsidRPr="001E29CA" w:rsidRDefault="00B36322" w:rsidP="00B36322">
            <w:pPr>
              <w:jc w:val="right"/>
              <w:rPr>
                <w:rFonts w:ascii="Arial" w:hAnsi="Arial" w:cs="Arial"/>
                <w:b/>
                <w:sz w:val="20"/>
              </w:rPr>
            </w:pPr>
            <w:r>
              <w:rPr>
                <w:rFonts w:ascii="Arial" w:hAnsi="Arial" w:cs="Arial"/>
                <w:b/>
                <w:sz w:val="20"/>
              </w:rPr>
              <w:t>£m</w:t>
            </w:r>
          </w:p>
        </w:tc>
        <w:tc>
          <w:tcPr>
            <w:tcW w:w="1228" w:type="dxa"/>
            <w:tcBorders>
              <w:top w:val="single" w:sz="4" w:space="0" w:color="auto"/>
              <w:bottom w:val="single" w:sz="4" w:space="0" w:color="auto"/>
            </w:tcBorders>
          </w:tcPr>
          <w:p w:rsidR="00B36322" w:rsidRPr="001E29CA" w:rsidRDefault="00B36322" w:rsidP="00B36322">
            <w:pPr>
              <w:jc w:val="right"/>
              <w:rPr>
                <w:rFonts w:ascii="Arial" w:hAnsi="Arial" w:cs="Arial"/>
                <w:b/>
                <w:sz w:val="20"/>
              </w:rPr>
            </w:pPr>
            <w:r w:rsidRPr="001E29CA">
              <w:rPr>
                <w:rFonts w:ascii="Arial" w:hAnsi="Arial" w:cs="Arial"/>
                <w:b/>
                <w:sz w:val="20"/>
              </w:rPr>
              <w:t>Change</w:t>
            </w:r>
          </w:p>
          <w:p w:rsidR="00B36322" w:rsidRPr="001E29CA" w:rsidRDefault="00B36322" w:rsidP="00B36322">
            <w:pPr>
              <w:jc w:val="right"/>
              <w:rPr>
                <w:rFonts w:ascii="Arial" w:hAnsi="Arial" w:cs="Arial"/>
                <w:sz w:val="20"/>
              </w:rPr>
            </w:pPr>
            <w:r w:rsidRPr="001E29CA">
              <w:rPr>
                <w:rFonts w:ascii="Arial" w:hAnsi="Arial" w:cs="Arial"/>
                <w:b/>
                <w:sz w:val="20"/>
              </w:rPr>
              <w:t>(Reported)</w:t>
            </w:r>
          </w:p>
        </w:tc>
        <w:tc>
          <w:tcPr>
            <w:tcW w:w="1337" w:type="dxa"/>
            <w:tcBorders>
              <w:top w:val="single" w:sz="4" w:space="0" w:color="auto"/>
              <w:bottom w:val="single" w:sz="4" w:space="0" w:color="auto"/>
            </w:tcBorders>
          </w:tcPr>
          <w:p w:rsidR="00B36322" w:rsidRPr="001E29CA" w:rsidRDefault="00B36322" w:rsidP="00B36322">
            <w:pPr>
              <w:jc w:val="right"/>
              <w:rPr>
                <w:rFonts w:ascii="Arial" w:hAnsi="Arial" w:cs="Arial"/>
                <w:b/>
                <w:sz w:val="20"/>
              </w:rPr>
            </w:pPr>
            <w:r w:rsidRPr="001E29CA">
              <w:rPr>
                <w:rFonts w:ascii="Arial" w:hAnsi="Arial" w:cs="Arial"/>
                <w:b/>
                <w:sz w:val="20"/>
              </w:rPr>
              <w:t>Change</w:t>
            </w:r>
          </w:p>
          <w:p w:rsidR="00B36322" w:rsidRPr="001E29CA" w:rsidRDefault="00B36322" w:rsidP="00B36322">
            <w:pPr>
              <w:jc w:val="right"/>
              <w:rPr>
                <w:rFonts w:ascii="Arial" w:hAnsi="Arial" w:cs="Arial"/>
                <w:b/>
                <w:sz w:val="20"/>
              </w:rPr>
            </w:pPr>
            <w:r>
              <w:rPr>
                <w:rFonts w:ascii="Arial" w:hAnsi="Arial" w:cs="Arial"/>
                <w:b/>
                <w:sz w:val="20"/>
              </w:rPr>
              <w:t>(Constant currency</w:t>
            </w:r>
            <w:r w:rsidRPr="001E29CA">
              <w:rPr>
                <w:rFonts w:ascii="Arial" w:hAnsi="Arial" w:cs="Arial"/>
                <w:b/>
                <w:sz w:val="20"/>
              </w:rPr>
              <w:t>)</w:t>
            </w:r>
          </w:p>
        </w:tc>
        <w:tc>
          <w:tcPr>
            <w:tcW w:w="1337" w:type="dxa"/>
            <w:tcBorders>
              <w:top w:val="single" w:sz="4" w:space="0" w:color="auto"/>
              <w:bottom w:val="single" w:sz="4" w:space="0" w:color="auto"/>
            </w:tcBorders>
          </w:tcPr>
          <w:p w:rsidR="00B36322" w:rsidRDefault="00B36322" w:rsidP="00B36322">
            <w:pPr>
              <w:jc w:val="right"/>
              <w:rPr>
                <w:rFonts w:ascii="Arial" w:hAnsi="Arial" w:cs="Arial"/>
                <w:b/>
                <w:sz w:val="20"/>
              </w:rPr>
            </w:pPr>
            <w:r w:rsidRPr="001E29CA">
              <w:rPr>
                <w:rFonts w:ascii="Arial" w:hAnsi="Arial" w:cs="Arial"/>
                <w:b/>
                <w:sz w:val="20"/>
              </w:rPr>
              <w:t>Change</w:t>
            </w:r>
          </w:p>
          <w:p w:rsidR="00B36322" w:rsidRPr="001E29CA" w:rsidRDefault="00B36322" w:rsidP="00B36322">
            <w:pPr>
              <w:jc w:val="right"/>
              <w:rPr>
                <w:rFonts w:ascii="Arial" w:hAnsi="Arial" w:cs="Arial"/>
                <w:b/>
                <w:sz w:val="20"/>
              </w:rPr>
            </w:pPr>
            <w:r>
              <w:rPr>
                <w:rFonts w:ascii="Arial" w:hAnsi="Arial" w:cs="Arial"/>
                <w:b/>
                <w:sz w:val="20"/>
              </w:rPr>
              <w:t>(Constant currency)</w:t>
            </w:r>
          </w:p>
        </w:tc>
        <w:tc>
          <w:tcPr>
            <w:tcW w:w="983" w:type="dxa"/>
            <w:tcBorders>
              <w:top w:val="single" w:sz="4" w:space="0" w:color="auto"/>
              <w:bottom w:val="single" w:sz="4" w:space="0" w:color="auto"/>
            </w:tcBorders>
          </w:tcPr>
          <w:p w:rsidR="00B36322" w:rsidRPr="00343C2C" w:rsidRDefault="00B36322" w:rsidP="00B36322">
            <w:pPr>
              <w:jc w:val="right"/>
              <w:rPr>
                <w:rFonts w:ascii="Arial" w:hAnsi="Arial" w:cs="Arial"/>
                <w:b/>
                <w:sz w:val="20"/>
              </w:rPr>
            </w:pPr>
            <w:r w:rsidRPr="00343C2C">
              <w:rPr>
                <w:rFonts w:ascii="Arial" w:hAnsi="Arial" w:cs="Arial"/>
                <w:b/>
                <w:sz w:val="20"/>
              </w:rPr>
              <w:t>20</w:t>
            </w:r>
            <w:r>
              <w:rPr>
                <w:rFonts w:ascii="Arial" w:hAnsi="Arial" w:cs="Arial"/>
                <w:b/>
                <w:sz w:val="20"/>
              </w:rPr>
              <w:t>13</w:t>
            </w:r>
            <w:r w:rsidRPr="00343C2C">
              <w:rPr>
                <w:rFonts w:ascii="Arial" w:hAnsi="Arial" w:cs="Arial"/>
                <w:b/>
                <w:sz w:val="20"/>
              </w:rPr>
              <w:t>/</w:t>
            </w:r>
            <w:r>
              <w:rPr>
                <w:rFonts w:ascii="Arial" w:hAnsi="Arial" w:cs="Arial"/>
                <w:b/>
                <w:sz w:val="20"/>
              </w:rPr>
              <w:t>14</w:t>
            </w:r>
          </w:p>
          <w:p w:rsidR="00B36322" w:rsidRPr="00343C2C" w:rsidRDefault="00B36322" w:rsidP="00B36322">
            <w:pPr>
              <w:jc w:val="right"/>
              <w:rPr>
                <w:rFonts w:ascii="Arial" w:hAnsi="Arial" w:cs="Arial"/>
                <w:b/>
                <w:sz w:val="20"/>
              </w:rPr>
            </w:pPr>
            <w:r>
              <w:rPr>
                <w:rFonts w:ascii="Arial" w:hAnsi="Arial" w:cs="Arial"/>
                <w:b/>
                <w:sz w:val="20"/>
              </w:rPr>
              <w:t xml:space="preserve">  </w:t>
            </w:r>
            <w:r w:rsidRPr="00343C2C">
              <w:rPr>
                <w:rFonts w:ascii="Arial" w:hAnsi="Arial" w:cs="Arial"/>
                <w:b/>
                <w:sz w:val="20"/>
              </w:rPr>
              <w:t>£m</w:t>
            </w:r>
          </w:p>
        </w:tc>
        <w:tc>
          <w:tcPr>
            <w:tcW w:w="1272" w:type="dxa"/>
            <w:tcBorders>
              <w:top w:val="single" w:sz="4" w:space="0" w:color="auto"/>
              <w:bottom w:val="single" w:sz="4" w:space="0" w:color="auto"/>
            </w:tcBorders>
          </w:tcPr>
          <w:p w:rsidR="00B36322" w:rsidRPr="00343C2C" w:rsidRDefault="00B36322" w:rsidP="00B36322">
            <w:pPr>
              <w:tabs>
                <w:tab w:val="left" w:pos="300"/>
              </w:tabs>
              <w:ind w:hanging="108"/>
              <w:jc w:val="right"/>
              <w:rPr>
                <w:rFonts w:ascii="Arial" w:hAnsi="Arial" w:cs="Arial"/>
                <w:b/>
                <w:sz w:val="20"/>
              </w:rPr>
            </w:pPr>
            <w:r w:rsidRPr="001E29CA">
              <w:rPr>
                <w:rFonts w:ascii="Arial" w:hAnsi="Arial" w:cs="Arial"/>
                <w:b/>
                <w:sz w:val="20"/>
              </w:rPr>
              <w:t>Change (Reported)</w:t>
            </w:r>
          </w:p>
        </w:tc>
        <w:tc>
          <w:tcPr>
            <w:tcW w:w="1337" w:type="dxa"/>
            <w:tcBorders>
              <w:top w:val="single" w:sz="4" w:space="0" w:color="auto"/>
              <w:bottom w:val="single" w:sz="4" w:space="0" w:color="auto"/>
            </w:tcBorders>
          </w:tcPr>
          <w:p w:rsidR="00B36322" w:rsidRPr="001E29CA" w:rsidRDefault="00B36322" w:rsidP="00B36322">
            <w:pPr>
              <w:jc w:val="right"/>
              <w:rPr>
                <w:rFonts w:ascii="Arial" w:hAnsi="Arial" w:cs="Arial"/>
                <w:b/>
                <w:sz w:val="20"/>
              </w:rPr>
            </w:pPr>
            <w:r w:rsidRPr="001E29CA">
              <w:rPr>
                <w:rFonts w:ascii="Arial" w:hAnsi="Arial" w:cs="Arial"/>
                <w:b/>
                <w:sz w:val="20"/>
              </w:rPr>
              <w:t>Change</w:t>
            </w:r>
          </w:p>
          <w:p w:rsidR="00B36322" w:rsidRPr="001E29CA" w:rsidRDefault="00B36322" w:rsidP="00B36322">
            <w:pPr>
              <w:jc w:val="right"/>
              <w:rPr>
                <w:rFonts w:ascii="Arial" w:hAnsi="Arial" w:cs="Arial"/>
                <w:b/>
                <w:sz w:val="20"/>
              </w:rPr>
            </w:pPr>
            <w:r>
              <w:rPr>
                <w:rFonts w:ascii="Arial" w:hAnsi="Arial" w:cs="Arial"/>
                <w:b/>
                <w:sz w:val="20"/>
              </w:rPr>
              <w:t>(Constant currency</w:t>
            </w:r>
            <w:r w:rsidRPr="001E29CA">
              <w:rPr>
                <w:rFonts w:ascii="Arial" w:hAnsi="Arial" w:cs="Arial"/>
                <w:b/>
                <w:sz w:val="20"/>
              </w:rPr>
              <w:t>)</w:t>
            </w:r>
          </w:p>
        </w:tc>
      </w:tr>
      <w:tr w:rsidR="00B36322" w:rsidRPr="00A33CE9" w:rsidTr="00B36322">
        <w:trPr>
          <w:trHeight w:hRule="exact" w:val="90"/>
        </w:trPr>
        <w:tc>
          <w:tcPr>
            <w:tcW w:w="1424" w:type="dxa"/>
            <w:tcBorders>
              <w:top w:val="single" w:sz="4" w:space="0" w:color="auto"/>
            </w:tcBorders>
          </w:tcPr>
          <w:p w:rsidR="00B36322" w:rsidRPr="00B36322" w:rsidRDefault="00B36322" w:rsidP="00B36322">
            <w:pPr>
              <w:rPr>
                <w:rFonts w:ascii="Arial" w:hAnsi="Arial" w:cs="Arial"/>
                <w:sz w:val="20"/>
              </w:rPr>
            </w:pPr>
          </w:p>
        </w:tc>
        <w:tc>
          <w:tcPr>
            <w:tcW w:w="939" w:type="dxa"/>
            <w:tcBorders>
              <w:top w:val="single" w:sz="4" w:space="0" w:color="auto"/>
            </w:tcBorders>
          </w:tcPr>
          <w:p w:rsidR="00B36322" w:rsidRPr="00B36322" w:rsidRDefault="00B36322" w:rsidP="00B36322">
            <w:pPr>
              <w:jc w:val="right"/>
              <w:rPr>
                <w:rFonts w:ascii="Arial" w:hAnsi="Arial" w:cs="Arial"/>
                <w:sz w:val="20"/>
              </w:rPr>
            </w:pPr>
          </w:p>
        </w:tc>
        <w:tc>
          <w:tcPr>
            <w:tcW w:w="1228" w:type="dxa"/>
            <w:tcBorders>
              <w:top w:val="single" w:sz="4" w:space="0" w:color="auto"/>
            </w:tcBorders>
          </w:tcPr>
          <w:p w:rsidR="00B36322" w:rsidRPr="00B36322" w:rsidRDefault="00B36322" w:rsidP="00B36322">
            <w:pPr>
              <w:jc w:val="right"/>
              <w:rPr>
                <w:rFonts w:ascii="Arial" w:hAnsi="Arial" w:cs="Arial"/>
                <w:sz w:val="20"/>
              </w:rPr>
            </w:pPr>
          </w:p>
        </w:tc>
        <w:tc>
          <w:tcPr>
            <w:tcW w:w="1337" w:type="dxa"/>
            <w:tcBorders>
              <w:top w:val="single" w:sz="4" w:space="0" w:color="auto"/>
            </w:tcBorders>
          </w:tcPr>
          <w:p w:rsidR="00B36322" w:rsidRPr="00B36322" w:rsidRDefault="00B36322" w:rsidP="00B36322">
            <w:pPr>
              <w:jc w:val="right"/>
              <w:rPr>
                <w:rFonts w:ascii="Arial" w:hAnsi="Arial" w:cs="Arial"/>
                <w:sz w:val="20"/>
              </w:rPr>
            </w:pPr>
          </w:p>
        </w:tc>
        <w:tc>
          <w:tcPr>
            <w:tcW w:w="1337" w:type="dxa"/>
            <w:tcBorders>
              <w:top w:val="single" w:sz="4" w:space="0" w:color="auto"/>
            </w:tcBorders>
          </w:tcPr>
          <w:p w:rsidR="00B36322" w:rsidRPr="00B36322" w:rsidRDefault="00B36322" w:rsidP="00B36322">
            <w:pPr>
              <w:jc w:val="right"/>
              <w:rPr>
                <w:rFonts w:ascii="Arial" w:hAnsi="Arial" w:cs="Arial"/>
                <w:sz w:val="20"/>
              </w:rPr>
            </w:pPr>
          </w:p>
        </w:tc>
        <w:tc>
          <w:tcPr>
            <w:tcW w:w="983" w:type="dxa"/>
            <w:tcBorders>
              <w:top w:val="single" w:sz="4" w:space="0" w:color="auto"/>
            </w:tcBorders>
          </w:tcPr>
          <w:p w:rsidR="00B36322" w:rsidRPr="00B36322" w:rsidRDefault="00B36322" w:rsidP="00B36322">
            <w:pPr>
              <w:jc w:val="right"/>
              <w:rPr>
                <w:rFonts w:ascii="Arial" w:hAnsi="Arial" w:cs="Arial"/>
                <w:sz w:val="20"/>
              </w:rPr>
            </w:pPr>
          </w:p>
        </w:tc>
        <w:tc>
          <w:tcPr>
            <w:tcW w:w="1272" w:type="dxa"/>
            <w:tcBorders>
              <w:top w:val="single" w:sz="4" w:space="0" w:color="auto"/>
            </w:tcBorders>
          </w:tcPr>
          <w:p w:rsidR="00B36322" w:rsidRPr="00B36322" w:rsidRDefault="00B36322" w:rsidP="00B36322">
            <w:pPr>
              <w:jc w:val="right"/>
              <w:rPr>
                <w:rFonts w:ascii="Arial" w:hAnsi="Arial" w:cs="Arial"/>
                <w:sz w:val="20"/>
              </w:rPr>
            </w:pPr>
          </w:p>
        </w:tc>
        <w:tc>
          <w:tcPr>
            <w:tcW w:w="1337" w:type="dxa"/>
            <w:tcBorders>
              <w:top w:val="single" w:sz="4" w:space="0" w:color="auto"/>
            </w:tcBorders>
          </w:tcPr>
          <w:p w:rsidR="00B36322" w:rsidRPr="00B36322" w:rsidRDefault="00B36322" w:rsidP="00B36322">
            <w:pPr>
              <w:jc w:val="right"/>
              <w:rPr>
                <w:rFonts w:ascii="Arial" w:hAnsi="Arial" w:cs="Arial"/>
                <w:sz w:val="20"/>
              </w:rPr>
            </w:pPr>
          </w:p>
        </w:tc>
      </w:tr>
      <w:tr w:rsidR="00B36322" w:rsidRPr="00A33CE9" w:rsidTr="00B36322">
        <w:trPr>
          <w:trHeight w:hRule="exact" w:val="312"/>
        </w:trPr>
        <w:tc>
          <w:tcPr>
            <w:tcW w:w="1424" w:type="dxa"/>
          </w:tcPr>
          <w:p w:rsidR="00B36322" w:rsidRPr="00B36322" w:rsidRDefault="00B36322" w:rsidP="00B36322">
            <w:pPr>
              <w:rPr>
                <w:rFonts w:ascii="Arial" w:hAnsi="Arial" w:cs="Arial"/>
                <w:sz w:val="20"/>
              </w:rPr>
            </w:pPr>
            <w:r w:rsidRPr="00B36322">
              <w:rPr>
                <w:rFonts w:ascii="Arial" w:hAnsi="Arial" w:cs="Arial"/>
                <w:sz w:val="20"/>
              </w:rPr>
              <w:t xml:space="preserve">France </w:t>
            </w:r>
          </w:p>
        </w:tc>
        <w:tc>
          <w:tcPr>
            <w:tcW w:w="939" w:type="dxa"/>
          </w:tcPr>
          <w:p w:rsidR="00B36322" w:rsidRPr="00B36322" w:rsidRDefault="00B36322" w:rsidP="00B36322">
            <w:pPr>
              <w:jc w:val="right"/>
              <w:rPr>
                <w:rFonts w:ascii="Arial" w:hAnsi="Arial" w:cs="Arial"/>
                <w:sz w:val="20"/>
              </w:rPr>
            </w:pPr>
            <w:r>
              <w:rPr>
                <w:rFonts w:ascii="Arial" w:hAnsi="Arial" w:cs="Arial"/>
                <w:sz w:val="20"/>
              </w:rPr>
              <w:t>1,227</w:t>
            </w:r>
          </w:p>
        </w:tc>
        <w:tc>
          <w:tcPr>
            <w:tcW w:w="1228" w:type="dxa"/>
          </w:tcPr>
          <w:p w:rsidR="00B36322" w:rsidRPr="00B36322" w:rsidRDefault="00E41F64" w:rsidP="00B36322">
            <w:pPr>
              <w:jc w:val="right"/>
              <w:rPr>
                <w:rFonts w:ascii="Arial" w:hAnsi="Arial" w:cs="Arial"/>
                <w:sz w:val="20"/>
              </w:rPr>
            </w:pPr>
            <w:r>
              <w:rPr>
                <w:rFonts w:ascii="Arial" w:hAnsi="Arial" w:cs="Arial"/>
                <w:sz w:val="20"/>
              </w:rPr>
              <w:t>+</w:t>
            </w:r>
            <w:r w:rsidR="00B36322">
              <w:rPr>
                <w:rFonts w:ascii="Arial" w:hAnsi="Arial" w:cs="Arial"/>
                <w:sz w:val="20"/>
              </w:rPr>
              <w:t>9.8</w:t>
            </w:r>
            <w:r w:rsidR="00B36322" w:rsidRPr="00B36322">
              <w:rPr>
                <w:rFonts w:ascii="Arial" w:hAnsi="Arial" w:cs="Arial"/>
                <w:sz w:val="20"/>
              </w:rPr>
              <w:t>%</w:t>
            </w:r>
          </w:p>
        </w:tc>
        <w:tc>
          <w:tcPr>
            <w:tcW w:w="1337" w:type="dxa"/>
          </w:tcPr>
          <w:p w:rsidR="00B36322" w:rsidRPr="00B36322" w:rsidRDefault="00E41F64" w:rsidP="00B36322">
            <w:pPr>
              <w:jc w:val="right"/>
              <w:rPr>
                <w:rFonts w:ascii="Arial" w:hAnsi="Arial" w:cs="Arial"/>
                <w:sz w:val="20"/>
              </w:rPr>
            </w:pPr>
            <w:r>
              <w:rPr>
                <w:rFonts w:ascii="Arial" w:hAnsi="Arial" w:cs="Arial"/>
                <w:sz w:val="20"/>
              </w:rPr>
              <w:t>+</w:t>
            </w:r>
            <w:r w:rsidR="00B36322">
              <w:rPr>
                <w:rFonts w:ascii="Arial" w:hAnsi="Arial" w:cs="Arial"/>
                <w:sz w:val="20"/>
              </w:rPr>
              <w:t>2.9</w:t>
            </w:r>
            <w:r w:rsidR="00B36322" w:rsidRPr="00B36322">
              <w:rPr>
                <w:rFonts w:ascii="Arial" w:hAnsi="Arial" w:cs="Arial"/>
                <w:sz w:val="20"/>
              </w:rPr>
              <w:t>%</w:t>
            </w:r>
          </w:p>
        </w:tc>
        <w:tc>
          <w:tcPr>
            <w:tcW w:w="1337" w:type="dxa"/>
          </w:tcPr>
          <w:p w:rsidR="00B36322" w:rsidRPr="00B36322" w:rsidRDefault="00E41F64" w:rsidP="00B36322">
            <w:pPr>
              <w:jc w:val="right"/>
              <w:rPr>
                <w:rFonts w:ascii="Arial" w:hAnsi="Arial" w:cs="Arial"/>
                <w:sz w:val="20"/>
              </w:rPr>
            </w:pPr>
            <w:r>
              <w:rPr>
                <w:rFonts w:ascii="Arial" w:hAnsi="Arial" w:cs="Arial"/>
                <w:sz w:val="20"/>
              </w:rPr>
              <w:t>+</w:t>
            </w:r>
            <w:r w:rsidR="00B36322">
              <w:rPr>
                <w:rFonts w:ascii="Arial" w:hAnsi="Arial" w:cs="Arial"/>
                <w:sz w:val="20"/>
              </w:rPr>
              <w:t>0.7</w:t>
            </w:r>
            <w:r w:rsidR="00B36322" w:rsidRPr="00B36322">
              <w:rPr>
                <w:rFonts w:ascii="Arial" w:hAnsi="Arial" w:cs="Arial"/>
                <w:sz w:val="20"/>
              </w:rPr>
              <w:t>%</w:t>
            </w:r>
          </w:p>
        </w:tc>
        <w:tc>
          <w:tcPr>
            <w:tcW w:w="983" w:type="dxa"/>
          </w:tcPr>
          <w:p w:rsidR="00B36322" w:rsidRPr="00B36322" w:rsidRDefault="00EA64C0" w:rsidP="00B36322">
            <w:pPr>
              <w:jc w:val="right"/>
              <w:rPr>
                <w:rFonts w:ascii="Arial" w:hAnsi="Arial" w:cs="Arial"/>
                <w:sz w:val="20"/>
              </w:rPr>
            </w:pPr>
            <w:r>
              <w:rPr>
                <w:rFonts w:ascii="Arial" w:hAnsi="Arial" w:cs="Arial"/>
                <w:sz w:val="20"/>
              </w:rPr>
              <w:t>125</w:t>
            </w:r>
          </w:p>
        </w:tc>
        <w:tc>
          <w:tcPr>
            <w:tcW w:w="1272" w:type="dxa"/>
            <w:shd w:val="clear" w:color="auto" w:fill="auto"/>
          </w:tcPr>
          <w:p w:rsidR="00B36322" w:rsidRPr="00B36322" w:rsidRDefault="00E41F64" w:rsidP="00B36322">
            <w:pPr>
              <w:jc w:val="right"/>
              <w:rPr>
                <w:rFonts w:ascii="Arial" w:hAnsi="Arial" w:cs="Arial"/>
                <w:sz w:val="20"/>
              </w:rPr>
            </w:pPr>
            <w:r>
              <w:rPr>
                <w:rFonts w:ascii="Arial" w:hAnsi="Arial" w:cs="Arial"/>
                <w:sz w:val="20"/>
              </w:rPr>
              <w:t>+</w:t>
            </w:r>
            <w:r w:rsidR="00EA64C0">
              <w:rPr>
                <w:rFonts w:ascii="Arial" w:hAnsi="Arial" w:cs="Arial"/>
                <w:sz w:val="20"/>
              </w:rPr>
              <w:t>9.4</w:t>
            </w:r>
            <w:r w:rsidR="00B36322" w:rsidRPr="00B36322">
              <w:rPr>
                <w:rFonts w:ascii="Arial" w:hAnsi="Arial" w:cs="Arial"/>
                <w:sz w:val="20"/>
              </w:rPr>
              <w:t>%</w:t>
            </w:r>
          </w:p>
        </w:tc>
        <w:tc>
          <w:tcPr>
            <w:tcW w:w="1337" w:type="dxa"/>
          </w:tcPr>
          <w:p w:rsidR="00B36322" w:rsidRPr="00B36322" w:rsidRDefault="00E41F64" w:rsidP="00B36322">
            <w:pPr>
              <w:jc w:val="right"/>
              <w:rPr>
                <w:rFonts w:ascii="Arial" w:hAnsi="Arial" w:cs="Arial"/>
                <w:sz w:val="20"/>
              </w:rPr>
            </w:pPr>
            <w:r>
              <w:rPr>
                <w:rFonts w:ascii="Arial" w:hAnsi="Arial" w:cs="Arial"/>
                <w:sz w:val="20"/>
              </w:rPr>
              <w:t>+</w:t>
            </w:r>
            <w:r w:rsidR="00EA64C0">
              <w:rPr>
                <w:rFonts w:ascii="Arial" w:hAnsi="Arial" w:cs="Arial"/>
                <w:sz w:val="20"/>
              </w:rPr>
              <w:t>3.0</w:t>
            </w:r>
            <w:r w:rsidR="00B36322" w:rsidRPr="00B36322">
              <w:rPr>
                <w:rFonts w:ascii="Arial" w:hAnsi="Arial" w:cs="Arial"/>
                <w:sz w:val="20"/>
              </w:rPr>
              <w:t>%</w:t>
            </w:r>
          </w:p>
        </w:tc>
      </w:tr>
      <w:tr w:rsidR="00B36322" w:rsidRPr="001E29CA" w:rsidTr="00B36322">
        <w:trPr>
          <w:trHeight w:hRule="exact" w:val="312"/>
        </w:trPr>
        <w:tc>
          <w:tcPr>
            <w:tcW w:w="1424" w:type="dxa"/>
          </w:tcPr>
          <w:p w:rsidR="00B36322" w:rsidRPr="00B36322" w:rsidRDefault="00B36322" w:rsidP="00B36322">
            <w:pPr>
              <w:jc w:val="left"/>
              <w:rPr>
                <w:rFonts w:ascii="Arial" w:hAnsi="Arial" w:cs="Arial"/>
                <w:sz w:val="20"/>
              </w:rPr>
            </w:pPr>
            <w:r w:rsidRPr="00B36322">
              <w:rPr>
                <w:rFonts w:ascii="Arial" w:hAnsi="Arial" w:cs="Arial"/>
                <w:sz w:val="20"/>
              </w:rPr>
              <w:t>UK &amp; Ireland</w:t>
            </w:r>
          </w:p>
        </w:tc>
        <w:tc>
          <w:tcPr>
            <w:tcW w:w="939" w:type="dxa"/>
          </w:tcPr>
          <w:p w:rsidR="00B36322" w:rsidRPr="00B36322" w:rsidRDefault="00B36322" w:rsidP="00B36322">
            <w:pPr>
              <w:jc w:val="right"/>
              <w:rPr>
                <w:rFonts w:ascii="Arial" w:hAnsi="Arial" w:cs="Arial"/>
                <w:sz w:val="20"/>
              </w:rPr>
            </w:pPr>
            <w:r>
              <w:rPr>
                <w:rFonts w:ascii="Arial" w:hAnsi="Arial" w:cs="Arial"/>
                <w:sz w:val="20"/>
              </w:rPr>
              <w:t>1,202</w:t>
            </w:r>
          </w:p>
        </w:tc>
        <w:tc>
          <w:tcPr>
            <w:tcW w:w="1228" w:type="dxa"/>
          </w:tcPr>
          <w:p w:rsidR="00B36322" w:rsidRPr="00B36322" w:rsidRDefault="00E41F64" w:rsidP="00B36322">
            <w:pPr>
              <w:jc w:val="right"/>
              <w:rPr>
                <w:rFonts w:ascii="Arial" w:hAnsi="Arial" w:cs="Arial"/>
                <w:sz w:val="20"/>
              </w:rPr>
            </w:pPr>
            <w:r>
              <w:rPr>
                <w:rFonts w:ascii="Arial" w:hAnsi="Arial" w:cs="Arial"/>
                <w:sz w:val="20"/>
              </w:rPr>
              <w:t>+</w:t>
            </w:r>
            <w:r w:rsidR="00B36322">
              <w:rPr>
                <w:rFonts w:ascii="Arial" w:hAnsi="Arial" w:cs="Arial"/>
                <w:sz w:val="20"/>
              </w:rPr>
              <w:t>3.8</w:t>
            </w:r>
            <w:r w:rsidR="00B36322" w:rsidRPr="00B36322">
              <w:rPr>
                <w:rFonts w:ascii="Arial" w:hAnsi="Arial" w:cs="Arial"/>
                <w:sz w:val="20"/>
              </w:rPr>
              <w:t>%</w:t>
            </w:r>
          </w:p>
        </w:tc>
        <w:tc>
          <w:tcPr>
            <w:tcW w:w="1337" w:type="dxa"/>
          </w:tcPr>
          <w:p w:rsidR="00B36322" w:rsidRPr="00B36322" w:rsidRDefault="00E41F64" w:rsidP="00B36322">
            <w:pPr>
              <w:jc w:val="right"/>
              <w:rPr>
                <w:rFonts w:ascii="Arial" w:hAnsi="Arial" w:cs="Arial"/>
                <w:sz w:val="20"/>
              </w:rPr>
            </w:pPr>
            <w:r>
              <w:rPr>
                <w:rFonts w:ascii="Arial" w:hAnsi="Arial" w:cs="Arial"/>
                <w:sz w:val="20"/>
              </w:rPr>
              <w:t>+</w:t>
            </w:r>
            <w:r w:rsidR="00B36322">
              <w:rPr>
                <w:rFonts w:ascii="Arial" w:hAnsi="Arial" w:cs="Arial"/>
                <w:sz w:val="20"/>
              </w:rPr>
              <w:t>3.6</w:t>
            </w:r>
            <w:r w:rsidR="00B36322" w:rsidRPr="00B36322">
              <w:rPr>
                <w:rFonts w:ascii="Arial" w:hAnsi="Arial" w:cs="Arial"/>
                <w:sz w:val="20"/>
              </w:rPr>
              <w:t>%</w:t>
            </w:r>
          </w:p>
        </w:tc>
        <w:tc>
          <w:tcPr>
            <w:tcW w:w="1337" w:type="dxa"/>
          </w:tcPr>
          <w:p w:rsidR="00B36322" w:rsidRPr="00B36322" w:rsidRDefault="00E41F64" w:rsidP="00B36322">
            <w:pPr>
              <w:jc w:val="right"/>
              <w:rPr>
                <w:rFonts w:ascii="Arial" w:hAnsi="Arial" w:cs="Arial"/>
                <w:sz w:val="20"/>
              </w:rPr>
            </w:pPr>
            <w:r>
              <w:rPr>
                <w:rFonts w:ascii="Arial" w:hAnsi="Arial" w:cs="Arial"/>
                <w:sz w:val="20"/>
              </w:rPr>
              <w:t>+</w:t>
            </w:r>
            <w:r w:rsidR="00B36322">
              <w:rPr>
                <w:rFonts w:ascii="Arial" w:hAnsi="Arial" w:cs="Arial"/>
                <w:sz w:val="20"/>
              </w:rPr>
              <w:t>2.5</w:t>
            </w:r>
            <w:r w:rsidR="00B36322" w:rsidRPr="00B36322">
              <w:rPr>
                <w:rFonts w:ascii="Arial" w:hAnsi="Arial" w:cs="Arial"/>
                <w:sz w:val="20"/>
              </w:rPr>
              <w:t>%</w:t>
            </w:r>
          </w:p>
        </w:tc>
        <w:tc>
          <w:tcPr>
            <w:tcW w:w="983" w:type="dxa"/>
          </w:tcPr>
          <w:p w:rsidR="00B36322" w:rsidRPr="00B36322" w:rsidRDefault="00B36322" w:rsidP="00B36322">
            <w:pPr>
              <w:jc w:val="right"/>
              <w:rPr>
                <w:rFonts w:ascii="Arial" w:hAnsi="Arial" w:cs="Arial"/>
                <w:sz w:val="20"/>
              </w:rPr>
            </w:pPr>
            <w:r>
              <w:rPr>
                <w:rFonts w:ascii="Arial" w:hAnsi="Arial" w:cs="Arial"/>
                <w:sz w:val="20"/>
              </w:rPr>
              <w:t>91</w:t>
            </w:r>
          </w:p>
        </w:tc>
        <w:tc>
          <w:tcPr>
            <w:tcW w:w="1272" w:type="dxa"/>
          </w:tcPr>
          <w:p w:rsidR="00B36322" w:rsidRPr="00B36322" w:rsidRDefault="00E41F64" w:rsidP="00B36322">
            <w:pPr>
              <w:jc w:val="right"/>
              <w:rPr>
                <w:rFonts w:ascii="Arial" w:hAnsi="Arial" w:cs="Arial"/>
                <w:sz w:val="20"/>
              </w:rPr>
            </w:pPr>
            <w:r>
              <w:rPr>
                <w:rFonts w:ascii="Arial" w:hAnsi="Arial" w:cs="Arial"/>
                <w:sz w:val="20"/>
              </w:rPr>
              <w:t>+</w:t>
            </w:r>
            <w:r w:rsidR="00B36322">
              <w:rPr>
                <w:rFonts w:ascii="Arial" w:hAnsi="Arial" w:cs="Arial"/>
                <w:sz w:val="20"/>
              </w:rPr>
              <w:t>30.9</w:t>
            </w:r>
            <w:r w:rsidR="00B36322" w:rsidRPr="00B36322">
              <w:rPr>
                <w:rFonts w:ascii="Arial" w:hAnsi="Arial" w:cs="Arial"/>
                <w:sz w:val="20"/>
              </w:rPr>
              <w:t>%</w:t>
            </w:r>
            <w:r w:rsidR="00FF4D3A" w:rsidRPr="009618C2">
              <w:rPr>
                <w:rFonts w:ascii="Arial" w:hAnsi="Arial" w:cs="Arial"/>
                <w:i/>
                <w:vertAlign w:val="superscript"/>
              </w:rPr>
              <w:t>(</w:t>
            </w:r>
            <w:r w:rsidR="00FF4D3A">
              <w:rPr>
                <w:rFonts w:ascii="Arial" w:hAnsi="Arial" w:cs="Arial"/>
                <w:i/>
                <w:vertAlign w:val="superscript"/>
              </w:rPr>
              <w:t>2</w:t>
            </w:r>
            <w:r w:rsidR="00FF4D3A" w:rsidRPr="009618C2">
              <w:rPr>
                <w:rFonts w:ascii="Arial" w:hAnsi="Arial" w:cs="Arial"/>
                <w:i/>
                <w:vertAlign w:val="superscript"/>
              </w:rPr>
              <w:t>)</w:t>
            </w:r>
          </w:p>
        </w:tc>
        <w:tc>
          <w:tcPr>
            <w:tcW w:w="1337" w:type="dxa"/>
          </w:tcPr>
          <w:p w:rsidR="00B36322" w:rsidRPr="00B36322" w:rsidRDefault="00E41F64" w:rsidP="00B36322">
            <w:pPr>
              <w:jc w:val="right"/>
              <w:rPr>
                <w:rFonts w:ascii="Arial" w:hAnsi="Arial" w:cs="Arial"/>
                <w:sz w:val="20"/>
              </w:rPr>
            </w:pPr>
            <w:r>
              <w:rPr>
                <w:rFonts w:ascii="Arial" w:hAnsi="Arial" w:cs="Arial"/>
                <w:sz w:val="20"/>
              </w:rPr>
              <w:t>+</w:t>
            </w:r>
            <w:r w:rsidR="00B36322">
              <w:rPr>
                <w:rFonts w:ascii="Arial" w:hAnsi="Arial" w:cs="Arial"/>
                <w:sz w:val="20"/>
              </w:rPr>
              <w:t>31.1</w:t>
            </w:r>
            <w:r w:rsidR="00B36322" w:rsidRPr="00B36322">
              <w:rPr>
                <w:rFonts w:ascii="Arial" w:hAnsi="Arial" w:cs="Arial"/>
                <w:sz w:val="20"/>
              </w:rPr>
              <w:t>%</w:t>
            </w:r>
            <w:r w:rsidR="00FF4D3A" w:rsidRPr="009618C2">
              <w:rPr>
                <w:rFonts w:ascii="Arial" w:hAnsi="Arial" w:cs="Arial"/>
                <w:i/>
                <w:vertAlign w:val="superscript"/>
              </w:rPr>
              <w:t>(</w:t>
            </w:r>
            <w:r w:rsidR="00FF4D3A">
              <w:rPr>
                <w:rFonts w:ascii="Arial" w:hAnsi="Arial" w:cs="Arial"/>
                <w:i/>
                <w:vertAlign w:val="superscript"/>
              </w:rPr>
              <w:t>2</w:t>
            </w:r>
            <w:r w:rsidR="00FF4D3A" w:rsidRPr="009618C2">
              <w:rPr>
                <w:rFonts w:ascii="Arial" w:hAnsi="Arial" w:cs="Arial"/>
                <w:i/>
                <w:vertAlign w:val="superscript"/>
              </w:rPr>
              <w:t>)</w:t>
            </w:r>
          </w:p>
        </w:tc>
      </w:tr>
      <w:tr w:rsidR="00B36322" w:rsidRPr="00196BEF" w:rsidTr="00B36322">
        <w:trPr>
          <w:trHeight w:hRule="exact" w:val="544"/>
        </w:trPr>
        <w:tc>
          <w:tcPr>
            <w:tcW w:w="1424" w:type="dxa"/>
            <w:tcBorders>
              <w:bottom w:val="single" w:sz="4" w:space="0" w:color="auto"/>
            </w:tcBorders>
          </w:tcPr>
          <w:p w:rsidR="00B36322" w:rsidRPr="00B36322" w:rsidRDefault="00B36322" w:rsidP="00B36322">
            <w:pPr>
              <w:jc w:val="left"/>
              <w:rPr>
                <w:rFonts w:ascii="Arial" w:hAnsi="Arial" w:cs="Arial"/>
                <w:sz w:val="20"/>
              </w:rPr>
            </w:pPr>
            <w:r w:rsidRPr="00B36322">
              <w:rPr>
                <w:rFonts w:ascii="Arial" w:hAnsi="Arial" w:cs="Arial"/>
                <w:sz w:val="20"/>
              </w:rPr>
              <w:t xml:space="preserve">Other International </w:t>
            </w:r>
          </w:p>
        </w:tc>
        <w:tc>
          <w:tcPr>
            <w:tcW w:w="939" w:type="dxa"/>
            <w:tcBorders>
              <w:bottom w:val="single" w:sz="4" w:space="0" w:color="auto"/>
            </w:tcBorders>
            <w:vAlign w:val="center"/>
          </w:tcPr>
          <w:p w:rsidR="00B36322" w:rsidRPr="00B36322" w:rsidRDefault="00B36322" w:rsidP="00B36322">
            <w:pPr>
              <w:jc w:val="right"/>
              <w:rPr>
                <w:rFonts w:ascii="Arial" w:hAnsi="Arial" w:cs="Arial"/>
                <w:sz w:val="20"/>
              </w:rPr>
            </w:pPr>
            <w:r>
              <w:rPr>
                <w:rFonts w:ascii="Arial" w:hAnsi="Arial" w:cs="Arial"/>
                <w:sz w:val="20"/>
              </w:rPr>
              <w:t>664</w:t>
            </w:r>
          </w:p>
        </w:tc>
        <w:tc>
          <w:tcPr>
            <w:tcW w:w="1228" w:type="dxa"/>
            <w:tcBorders>
              <w:bottom w:val="single" w:sz="4" w:space="0" w:color="auto"/>
            </w:tcBorders>
            <w:vAlign w:val="center"/>
          </w:tcPr>
          <w:p w:rsidR="00B36322" w:rsidRPr="00B36322" w:rsidRDefault="00E41F64" w:rsidP="00B36322">
            <w:pPr>
              <w:jc w:val="right"/>
              <w:rPr>
                <w:rFonts w:ascii="Arial" w:hAnsi="Arial" w:cs="Arial"/>
                <w:sz w:val="20"/>
              </w:rPr>
            </w:pPr>
            <w:r>
              <w:rPr>
                <w:rFonts w:ascii="Arial" w:hAnsi="Arial" w:cs="Arial"/>
                <w:sz w:val="20"/>
              </w:rPr>
              <w:t>+</w:t>
            </w:r>
            <w:r w:rsidR="00B36322">
              <w:rPr>
                <w:rFonts w:ascii="Arial" w:hAnsi="Arial" w:cs="Arial"/>
                <w:sz w:val="20"/>
              </w:rPr>
              <w:t>16.5</w:t>
            </w:r>
            <w:r w:rsidR="00B36322" w:rsidRPr="00B36322">
              <w:rPr>
                <w:rFonts w:ascii="Arial" w:hAnsi="Arial" w:cs="Arial"/>
                <w:sz w:val="20"/>
              </w:rPr>
              <w:t>%</w:t>
            </w:r>
          </w:p>
        </w:tc>
        <w:tc>
          <w:tcPr>
            <w:tcW w:w="1337" w:type="dxa"/>
            <w:tcBorders>
              <w:bottom w:val="single" w:sz="4" w:space="0" w:color="auto"/>
            </w:tcBorders>
            <w:vAlign w:val="center"/>
          </w:tcPr>
          <w:p w:rsidR="00B36322" w:rsidRPr="00B36322" w:rsidRDefault="00E41F64" w:rsidP="00B36322">
            <w:pPr>
              <w:jc w:val="right"/>
              <w:rPr>
                <w:rFonts w:ascii="Arial" w:hAnsi="Arial" w:cs="Arial"/>
                <w:sz w:val="20"/>
              </w:rPr>
            </w:pPr>
            <w:r>
              <w:rPr>
                <w:rFonts w:ascii="Arial" w:hAnsi="Arial" w:cs="Arial"/>
                <w:sz w:val="20"/>
              </w:rPr>
              <w:t>+</w:t>
            </w:r>
            <w:r w:rsidR="00B36322">
              <w:rPr>
                <w:rFonts w:ascii="Arial" w:hAnsi="Arial" w:cs="Arial"/>
                <w:sz w:val="20"/>
              </w:rPr>
              <w:t>10.4</w:t>
            </w:r>
            <w:r w:rsidR="00B36322" w:rsidRPr="00B36322">
              <w:rPr>
                <w:rFonts w:ascii="Arial" w:hAnsi="Arial" w:cs="Arial"/>
                <w:sz w:val="20"/>
              </w:rPr>
              <w:t>%</w:t>
            </w:r>
          </w:p>
        </w:tc>
        <w:tc>
          <w:tcPr>
            <w:tcW w:w="1337" w:type="dxa"/>
            <w:tcBorders>
              <w:bottom w:val="single" w:sz="4" w:space="0" w:color="auto"/>
            </w:tcBorders>
            <w:vAlign w:val="center"/>
          </w:tcPr>
          <w:p w:rsidR="00B36322" w:rsidRPr="00B36322" w:rsidRDefault="00E41F64" w:rsidP="00B36322">
            <w:pPr>
              <w:jc w:val="right"/>
              <w:rPr>
                <w:rFonts w:ascii="Arial" w:hAnsi="Arial" w:cs="Arial"/>
                <w:sz w:val="20"/>
              </w:rPr>
            </w:pPr>
            <w:r>
              <w:rPr>
                <w:rFonts w:ascii="Arial" w:hAnsi="Arial" w:cs="Arial"/>
                <w:sz w:val="20"/>
              </w:rPr>
              <w:t>+</w:t>
            </w:r>
            <w:r w:rsidR="00B36322">
              <w:rPr>
                <w:rFonts w:ascii="Arial" w:hAnsi="Arial" w:cs="Arial"/>
                <w:sz w:val="20"/>
              </w:rPr>
              <w:t>4.5</w:t>
            </w:r>
            <w:r w:rsidR="00B36322" w:rsidRPr="00B36322">
              <w:rPr>
                <w:rFonts w:ascii="Arial" w:hAnsi="Arial" w:cs="Arial"/>
                <w:sz w:val="20"/>
              </w:rPr>
              <w:t>%</w:t>
            </w:r>
          </w:p>
        </w:tc>
        <w:tc>
          <w:tcPr>
            <w:tcW w:w="983" w:type="dxa"/>
            <w:tcBorders>
              <w:bottom w:val="single" w:sz="4" w:space="0" w:color="auto"/>
            </w:tcBorders>
            <w:vAlign w:val="center"/>
          </w:tcPr>
          <w:p w:rsidR="00B36322" w:rsidRPr="00B36322" w:rsidRDefault="00B36322" w:rsidP="00B36322">
            <w:pPr>
              <w:jc w:val="right"/>
              <w:rPr>
                <w:rFonts w:ascii="Arial" w:hAnsi="Arial" w:cs="Arial"/>
                <w:sz w:val="20"/>
              </w:rPr>
            </w:pPr>
            <w:r>
              <w:rPr>
                <w:rFonts w:ascii="Arial" w:hAnsi="Arial" w:cs="Arial"/>
                <w:sz w:val="20"/>
              </w:rPr>
              <w:t>64</w:t>
            </w:r>
          </w:p>
        </w:tc>
        <w:tc>
          <w:tcPr>
            <w:tcW w:w="1272" w:type="dxa"/>
            <w:tcBorders>
              <w:bottom w:val="single" w:sz="4" w:space="0" w:color="auto"/>
            </w:tcBorders>
            <w:vAlign w:val="center"/>
          </w:tcPr>
          <w:p w:rsidR="00B36322" w:rsidRPr="00B36322" w:rsidRDefault="00E41F64" w:rsidP="00B36322">
            <w:pPr>
              <w:jc w:val="right"/>
              <w:rPr>
                <w:rFonts w:ascii="Arial" w:hAnsi="Arial" w:cs="Arial"/>
                <w:sz w:val="20"/>
              </w:rPr>
            </w:pPr>
            <w:r>
              <w:rPr>
                <w:rFonts w:ascii="Arial" w:hAnsi="Arial" w:cs="Arial"/>
                <w:sz w:val="20"/>
              </w:rPr>
              <w:t>+</w:t>
            </w:r>
            <w:r w:rsidR="00B36322">
              <w:rPr>
                <w:rFonts w:ascii="Arial" w:hAnsi="Arial" w:cs="Arial"/>
                <w:sz w:val="20"/>
              </w:rPr>
              <w:t>8.1</w:t>
            </w:r>
            <w:r w:rsidR="00B36322" w:rsidRPr="00B36322">
              <w:rPr>
                <w:rFonts w:ascii="Arial" w:hAnsi="Arial" w:cs="Arial"/>
                <w:sz w:val="20"/>
              </w:rPr>
              <w:t>%</w:t>
            </w:r>
          </w:p>
        </w:tc>
        <w:tc>
          <w:tcPr>
            <w:tcW w:w="1337" w:type="dxa"/>
            <w:tcBorders>
              <w:bottom w:val="single" w:sz="4" w:space="0" w:color="auto"/>
            </w:tcBorders>
            <w:vAlign w:val="center"/>
          </w:tcPr>
          <w:p w:rsidR="00B36322" w:rsidRPr="00B36322" w:rsidRDefault="00E41F64" w:rsidP="00B36322">
            <w:pPr>
              <w:jc w:val="right"/>
              <w:rPr>
                <w:rFonts w:ascii="Arial" w:hAnsi="Arial" w:cs="Arial"/>
                <w:sz w:val="20"/>
              </w:rPr>
            </w:pPr>
            <w:r>
              <w:rPr>
                <w:rFonts w:ascii="Arial" w:hAnsi="Arial" w:cs="Arial"/>
                <w:sz w:val="20"/>
              </w:rPr>
              <w:t>+</w:t>
            </w:r>
            <w:r w:rsidR="00B36322">
              <w:rPr>
                <w:rFonts w:ascii="Arial" w:hAnsi="Arial" w:cs="Arial"/>
                <w:sz w:val="20"/>
              </w:rPr>
              <w:t>3.1</w:t>
            </w:r>
            <w:r w:rsidR="00B36322" w:rsidRPr="00B36322">
              <w:rPr>
                <w:rFonts w:ascii="Arial" w:hAnsi="Arial" w:cs="Arial"/>
                <w:sz w:val="20"/>
              </w:rPr>
              <w:t>%</w:t>
            </w:r>
          </w:p>
        </w:tc>
      </w:tr>
      <w:tr w:rsidR="00B36322" w:rsidRPr="001E29CA" w:rsidTr="00B36322">
        <w:trPr>
          <w:trHeight w:hRule="exact" w:val="312"/>
        </w:trPr>
        <w:tc>
          <w:tcPr>
            <w:tcW w:w="1424" w:type="dxa"/>
            <w:tcBorders>
              <w:top w:val="single" w:sz="4" w:space="0" w:color="auto"/>
              <w:bottom w:val="single" w:sz="4" w:space="0" w:color="auto"/>
            </w:tcBorders>
          </w:tcPr>
          <w:p w:rsidR="00B36322" w:rsidRPr="00B36322" w:rsidRDefault="00B36322" w:rsidP="00B36322">
            <w:pPr>
              <w:rPr>
                <w:rFonts w:ascii="Arial" w:hAnsi="Arial" w:cs="Arial"/>
                <w:b/>
                <w:sz w:val="20"/>
              </w:rPr>
            </w:pPr>
            <w:r w:rsidRPr="00B36322">
              <w:rPr>
                <w:rFonts w:ascii="Arial" w:hAnsi="Arial" w:cs="Arial"/>
                <w:b/>
                <w:sz w:val="20"/>
              </w:rPr>
              <w:t>Total Group</w:t>
            </w:r>
          </w:p>
        </w:tc>
        <w:tc>
          <w:tcPr>
            <w:tcW w:w="939" w:type="dxa"/>
            <w:tcBorders>
              <w:top w:val="single" w:sz="4" w:space="0" w:color="auto"/>
              <w:bottom w:val="single" w:sz="4" w:space="0" w:color="auto"/>
            </w:tcBorders>
          </w:tcPr>
          <w:p w:rsidR="00B36322" w:rsidRPr="00B36322" w:rsidRDefault="00B36322" w:rsidP="00B36322">
            <w:pPr>
              <w:jc w:val="right"/>
              <w:rPr>
                <w:rFonts w:ascii="Arial" w:hAnsi="Arial" w:cs="Arial"/>
                <w:b/>
                <w:sz w:val="20"/>
              </w:rPr>
            </w:pPr>
            <w:r>
              <w:rPr>
                <w:rFonts w:ascii="Arial" w:hAnsi="Arial" w:cs="Arial"/>
                <w:b/>
                <w:sz w:val="20"/>
              </w:rPr>
              <w:t>3,093</w:t>
            </w:r>
          </w:p>
        </w:tc>
        <w:tc>
          <w:tcPr>
            <w:tcW w:w="1228" w:type="dxa"/>
            <w:tcBorders>
              <w:top w:val="single" w:sz="4" w:space="0" w:color="auto"/>
              <w:bottom w:val="single" w:sz="4" w:space="0" w:color="auto"/>
            </w:tcBorders>
          </w:tcPr>
          <w:p w:rsidR="00B36322" w:rsidRPr="00B36322" w:rsidRDefault="00E41F64" w:rsidP="00B36322">
            <w:pPr>
              <w:jc w:val="right"/>
              <w:rPr>
                <w:rFonts w:ascii="Arial" w:hAnsi="Arial" w:cs="Arial"/>
                <w:b/>
                <w:sz w:val="20"/>
              </w:rPr>
            </w:pPr>
            <w:r>
              <w:rPr>
                <w:rFonts w:ascii="Arial" w:hAnsi="Arial" w:cs="Arial"/>
                <w:b/>
                <w:sz w:val="20"/>
              </w:rPr>
              <w:t>+</w:t>
            </w:r>
            <w:r w:rsidR="00B36322">
              <w:rPr>
                <w:rFonts w:ascii="Arial" w:hAnsi="Arial" w:cs="Arial"/>
                <w:b/>
                <w:sz w:val="20"/>
              </w:rPr>
              <w:t>8.7</w:t>
            </w:r>
            <w:r w:rsidR="00B36322" w:rsidRPr="00B36322">
              <w:rPr>
                <w:rFonts w:ascii="Arial" w:hAnsi="Arial" w:cs="Arial"/>
                <w:b/>
                <w:sz w:val="20"/>
              </w:rPr>
              <w:t>%</w:t>
            </w:r>
          </w:p>
        </w:tc>
        <w:tc>
          <w:tcPr>
            <w:tcW w:w="1337" w:type="dxa"/>
            <w:tcBorders>
              <w:top w:val="single" w:sz="4" w:space="0" w:color="auto"/>
              <w:bottom w:val="single" w:sz="4" w:space="0" w:color="auto"/>
            </w:tcBorders>
          </w:tcPr>
          <w:p w:rsidR="00B36322" w:rsidRPr="00B36322" w:rsidRDefault="00E41F64" w:rsidP="00B36322">
            <w:pPr>
              <w:jc w:val="right"/>
              <w:rPr>
                <w:rFonts w:ascii="Arial" w:hAnsi="Arial" w:cs="Arial"/>
                <w:b/>
                <w:sz w:val="20"/>
              </w:rPr>
            </w:pPr>
            <w:r>
              <w:rPr>
                <w:rFonts w:ascii="Arial" w:hAnsi="Arial" w:cs="Arial"/>
                <w:b/>
                <w:sz w:val="20"/>
              </w:rPr>
              <w:t>+</w:t>
            </w:r>
            <w:r w:rsidR="00B36322">
              <w:rPr>
                <w:rFonts w:ascii="Arial" w:hAnsi="Arial" w:cs="Arial"/>
                <w:b/>
                <w:sz w:val="20"/>
              </w:rPr>
              <w:t>4.7</w:t>
            </w:r>
            <w:r w:rsidR="00B36322" w:rsidRPr="00B36322">
              <w:rPr>
                <w:rFonts w:ascii="Arial" w:hAnsi="Arial" w:cs="Arial"/>
                <w:b/>
                <w:sz w:val="20"/>
              </w:rPr>
              <w:t>%</w:t>
            </w:r>
          </w:p>
        </w:tc>
        <w:tc>
          <w:tcPr>
            <w:tcW w:w="1337" w:type="dxa"/>
            <w:tcBorders>
              <w:top w:val="single" w:sz="4" w:space="0" w:color="auto"/>
              <w:bottom w:val="single" w:sz="4" w:space="0" w:color="auto"/>
            </w:tcBorders>
          </w:tcPr>
          <w:p w:rsidR="00B36322" w:rsidRPr="00B36322" w:rsidRDefault="00E41F64" w:rsidP="00B36322">
            <w:pPr>
              <w:jc w:val="right"/>
              <w:rPr>
                <w:rFonts w:ascii="Arial" w:hAnsi="Arial" w:cs="Arial"/>
                <w:b/>
                <w:sz w:val="20"/>
              </w:rPr>
            </w:pPr>
            <w:r>
              <w:rPr>
                <w:rFonts w:ascii="Arial" w:hAnsi="Arial" w:cs="Arial"/>
                <w:b/>
                <w:sz w:val="20"/>
              </w:rPr>
              <w:t>+</w:t>
            </w:r>
            <w:r w:rsidR="00B36322">
              <w:rPr>
                <w:rFonts w:ascii="Arial" w:hAnsi="Arial" w:cs="Arial"/>
                <w:b/>
                <w:sz w:val="20"/>
              </w:rPr>
              <w:t>2.2</w:t>
            </w:r>
            <w:r w:rsidR="00B36322" w:rsidRPr="00B36322">
              <w:rPr>
                <w:rFonts w:ascii="Arial" w:hAnsi="Arial" w:cs="Arial"/>
                <w:b/>
                <w:sz w:val="20"/>
              </w:rPr>
              <w:t>%</w:t>
            </w:r>
          </w:p>
        </w:tc>
        <w:tc>
          <w:tcPr>
            <w:tcW w:w="983" w:type="dxa"/>
            <w:tcBorders>
              <w:top w:val="single" w:sz="4" w:space="0" w:color="auto"/>
              <w:bottom w:val="single" w:sz="4" w:space="0" w:color="auto"/>
            </w:tcBorders>
          </w:tcPr>
          <w:p w:rsidR="00B36322" w:rsidRPr="00B36322" w:rsidRDefault="00EA64C0" w:rsidP="00B36322">
            <w:pPr>
              <w:jc w:val="right"/>
              <w:rPr>
                <w:rFonts w:ascii="Arial" w:hAnsi="Arial" w:cs="Arial"/>
                <w:b/>
                <w:sz w:val="20"/>
              </w:rPr>
            </w:pPr>
            <w:r>
              <w:rPr>
                <w:rFonts w:ascii="Arial" w:hAnsi="Arial" w:cs="Arial"/>
                <w:b/>
                <w:sz w:val="20"/>
              </w:rPr>
              <w:t>280</w:t>
            </w:r>
          </w:p>
        </w:tc>
        <w:tc>
          <w:tcPr>
            <w:tcW w:w="1272" w:type="dxa"/>
            <w:tcBorders>
              <w:top w:val="single" w:sz="4" w:space="0" w:color="auto"/>
              <w:bottom w:val="single" w:sz="4" w:space="0" w:color="auto"/>
            </w:tcBorders>
          </w:tcPr>
          <w:p w:rsidR="00B36322" w:rsidRPr="00B36322" w:rsidRDefault="00E41F64" w:rsidP="00B36322">
            <w:pPr>
              <w:jc w:val="right"/>
              <w:rPr>
                <w:rFonts w:ascii="Arial" w:hAnsi="Arial" w:cs="Arial"/>
                <w:b/>
                <w:sz w:val="20"/>
              </w:rPr>
            </w:pPr>
            <w:r>
              <w:rPr>
                <w:rFonts w:ascii="Arial" w:hAnsi="Arial" w:cs="Arial"/>
                <w:b/>
                <w:sz w:val="20"/>
              </w:rPr>
              <w:t>+</w:t>
            </w:r>
            <w:r w:rsidR="00EA64C0">
              <w:rPr>
                <w:rFonts w:ascii="Arial" w:hAnsi="Arial" w:cs="Arial"/>
                <w:b/>
                <w:sz w:val="20"/>
              </w:rPr>
              <w:t>15.3</w:t>
            </w:r>
            <w:r w:rsidR="00B36322" w:rsidRPr="00B36322">
              <w:rPr>
                <w:rFonts w:ascii="Arial" w:hAnsi="Arial" w:cs="Arial"/>
                <w:b/>
                <w:sz w:val="20"/>
              </w:rPr>
              <w:t>%</w:t>
            </w:r>
            <w:r w:rsidR="00D97AD4" w:rsidRPr="009618C2">
              <w:rPr>
                <w:rFonts w:ascii="Arial" w:hAnsi="Arial" w:cs="Arial"/>
                <w:i/>
                <w:vertAlign w:val="superscript"/>
              </w:rPr>
              <w:t>(</w:t>
            </w:r>
            <w:r w:rsidR="00D97AD4">
              <w:rPr>
                <w:rFonts w:ascii="Arial" w:hAnsi="Arial" w:cs="Arial"/>
                <w:i/>
                <w:vertAlign w:val="superscript"/>
              </w:rPr>
              <w:t>2</w:t>
            </w:r>
            <w:r w:rsidR="00D97AD4" w:rsidRPr="009618C2">
              <w:rPr>
                <w:rFonts w:ascii="Arial" w:hAnsi="Arial" w:cs="Arial"/>
                <w:i/>
                <w:vertAlign w:val="superscript"/>
              </w:rPr>
              <w:t>)</w:t>
            </w:r>
          </w:p>
        </w:tc>
        <w:tc>
          <w:tcPr>
            <w:tcW w:w="1337" w:type="dxa"/>
            <w:tcBorders>
              <w:top w:val="single" w:sz="4" w:space="0" w:color="auto"/>
              <w:bottom w:val="single" w:sz="4" w:space="0" w:color="auto"/>
            </w:tcBorders>
          </w:tcPr>
          <w:p w:rsidR="00B36322" w:rsidRPr="00B36322" w:rsidRDefault="00E41F64" w:rsidP="00B36322">
            <w:pPr>
              <w:jc w:val="right"/>
              <w:rPr>
                <w:rFonts w:ascii="Arial" w:hAnsi="Arial" w:cs="Arial"/>
                <w:b/>
                <w:sz w:val="20"/>
              </w:rPr>
            </w:pPr>
            <w:r>
              <w:rPr>
                <w:rFonts w:ascii="Arial" w:hAnsi="Arial" w:cs="Arial"/>
                <w:b/>
                <w:sz w:val="20"/>
              </w:rPr>
              <w:t>+</w:t>
            </w:r>
            <w:r w:rsidR="00EA64C0">
              <w:rPr>
                <w:rFonts w:ascii="Arial" w:hAnsi="Arial" w:cs="Arial"/>
                <w:b/>
                <w:sz w:val="20"/>
              </w:rPr>
              <w:t>10.8</w:t>
            </w:r>
            <w:r w:rsidR="00B36322" w:rsidRPr="00B36322">
              <w:rPr>
                <w:rFonts w:ascii="Arial" w:hAnsi="Arial" w:cs="Arial"/>
                <w:b/>
                <w:sz w:val="20"/>
              </w:rPr>
              <w:t>%</w:t>
            </w:r>
            <w:r w:rsidR="00D97AD4" w:rsidRPr="009618C2">
              <w:rPr>
                <w:rFonts w:ascii="Arial" w:hAnsi="Arial" w:cs="Arial"/>
                <w:i/>
                <w:vertAlign w:val="superscript"/>
              </w:rPr>
              <w:t>(</w:t>
            </w:r>
            <w:r w:rsidR="00D97AD4">
              <w:rPr>
                <w:rFonts w:ascii="Arial" w:hAnsi="Arial" w:cs="Arial"/>
                <w:i/>
                <w:vertAlign w:val="superscript"/>
              </w:rPr>
              <w:t>2</w:t>
            </w:r>
            <w:r w:rsidR="00D97AD4" w:rsidRPr="009618C2">
              <w:rPr>
                <w:rFonts w:ascii="Arial" w:hAnsi="Arial" w:cs="Arial"/>
                <w:i/>
                <w:vertAlign w:val="superscript"/>
              </w:rPr>
              <w:t>)</w:t>
            </w:r>
          </w:p>
        </w:tc>
      </w:tr>
    </w:tbl>
    <w:p w:rsidR="00B36322" w:rsidRDefault="00B36322" w:rsidP="00B36322">
      <w:pPr>
        <w:jc w:val="left"/>
        <w:rPr>
          <w:rFonts w:ascii="Arial" w:hAnsi="Arial" w:cs="Arial"/>
          <w:b/>
          <w:bCs/>
          <w:sz w:val="24"/>
          <w:szCs w:val="24"/>
        </w:rPr>
      </w:pPr>
    </w:p>
    <w:p w:rsidR="00FF4D3A" w:rsidRPr="000F31CD" w:rsidRDefault="00FF4D3A" w:rsidP="000F31CD">
      <w:pPr>
        <w:tabs>
          <w:tab w:val="left" w:pos="357"/>
        </w:tabs>
        <w:ind w:right="-282"/>
        <w:jc w:val="left"/>
        <w:rPr>
          <w:rFonts w:ascii="Arial" w:hAnsi="Arial" w:cs="Arial"/>
          <w:i/>
          <w:iCs/>
          <w:sz w:val="18"/>
          <w:szCs w:val="18"/>
        </w:rPr>
      </w:pPr>
      <w:r w:rsidRPr="00F843DA">
        <w:rPr>
          <w:rFonts w:ascii="Arial" w:hAnsi="Arial" w:cs="Arial"/>
          <w:i/>
          <w:iCs/>
          <w:sz w:val="18"/>
          <w:szCs w:val="18"/>
          <w:vertAlign w:val="superscript"/>
        </w:rPr>
        <w:t>(</w:t>
      </w:r>
      <w:r>
        <w:rPr>
          <w:rFonts w:ascii="Arial" w:hAnsi="Arial" w:cs="Arial"/>
          <w:i/>
          <w:iCs/>
          <w:sz w:val="18"/>
          <w:szCs w:val="18"/>
          <w:vertAlign w:val="superscript"/>
        </w:rPr>
        <w:t>1</w:t>
      </w:r>
      <w:r w:rsidRPr="00F843DA">
        <w:rPr>
          <w:rFonts w:ascii="Arial" w:hAnsi="Arial" w:cs="Arial"/>
          <w:i/>
          <w:iCs/>
          <w:sz w:val="18"/>
          <w:szCs w:val="18"/>
          <w:vertAlign w:val="superscript"/>
        </w:rPr>
        <w:t>)</w:t>
      </w:r>
      <w:r w:rsidRPr="00F843DA">
        <w:rPr>
          <w:rFonts w:ascii="Arial" w:hAnsi="Arial" w:cs="Arial"/>
          <w:i/>
          <w:iCs/>
          <w:sz w:val="18"/>
          <w:szCs w:val="18"/>
        </w:rPr>
        <w:t>Joint Venture (Koçtaş) and Associate (Hornbac</w:t>
      </w:r>
      <w:r>
        <w:rPr>
          <w:rFonts w:ascii="Arial" w:hAnsi="Arial" w:cs="Arial"/>
          <w:i/>
          <w:iCs/>
          <w:sz w:val="18"/>
          <w:szCs w:val="18"/>
        </w:rPr>
        <w:t xml:space="preserve">h) sales are not consolidated. </w:t>
      </w:r>
    </w:p>
    <w:p w:rsidR="00FF4D3A" w:rsidRPr="00FA5AC4" w:rsidRDefault="00FF4D3A" w:rsidP="00FF4D3A">
      <w:pPr>
        <w:tabs>
          <w:tab w:val="left" w:pos="357"/>
        </w:tabs>
        <w:ind w:right="-282"/>
        <w:jc w:val="left"/>
        <w:rPr>
          <w:rFonts w:ascii="Arial" w:hAnsi="Arial" w:cs="Arial"/>
          <w:i/>
          <w:iCs/>
          <w:sz w:val="18"/>
          <w:szCs w:val="18"/>
        </w:rPr>
      </w:pPr>
      <w:r>
        <w:rPr>
          <w:rFonts w:ascii="Arial" w:hAnsi="Arial" w:cs="Arial"/>
          <w:i/>
          <w:iCs/>
          <w:sz w:val="18"/>
          <w:szCs w:val="18"/>
          <w:vertAlign w:val="superscript"/>
        </w:rPr>
        <w:t>(2</w:t>
      </w:r>
      <w:r w:rsidRPr="00D97E00">
        <w:rPr>
          <w:rFonts w:ascii="Arial" w:hAnsi="Arial" w:cs="Arial"/>
          <w:i/>
          <w:iCs/>
          <w:sz w:val="18"/>
          <w:szCs w:val="18"/>
          <w:vertAlign w:val="superscript"/>
        </w:rPr>
        <w:t>)</w:t>
      </w:r>
      <w:r w:rsidRPr="009528BD">
        <w:rPr>
          <w:rFonts w:ascii="Arial" w:hAnsi="Arial" w:cs="Arial"/>
          <w:i/>
          <w:iCs/>
          <w:sz w:val="18"/>
          <w:szCs w:val="18"/>
        </w:rPr>
        <w:t>2012/13 comparatives restated by £</w:t>
      </w:r>
      <w:r w:rsidR="00D97AD4">
        <w:rPr>
          <w:rFonts w:ascii="Arial" w:hAnsi="Arial" w:cs="Arial"/>
          <w:i/>
          <w:iCs/>
          <w:sz w:val="18"/>
          <w:szCs w:val="18"/>
        </w:rPr>
        <w:t>1</w:t>
      </w:r>
      <w:r w:rsidRPr="009528BD">
        <w:rPr>
          <w:rFonts w:ascii="Arial" w:hAnsi="Arial" w:cs="Arial"/>
          <w:i/>
          <w:iCs/>
          <w:sz w:val="18"/>
          <w:szCs w:val="18"/>
        </w:rPr>
        <w:t xml:space="preserve">m to reflect reclassification of pension administrative expenses from finance costs to </w:t>
      </w:r>
      <w:r>
        <w:rPr>
          <w:rFonts w:ascii="Arial" w:hAnsi="Arial" w:cs="Arial"/>
          <w:i/>
          <w:iCs/>
          <w:sz w:val="18"/>
          <w:szCs w:val="18"/>
        </w:rPr>
        <w:t>retail</w:t>
      </w:r>
      <w:r w:rsidRPr="009528BD">
        <w:rPr>
          <w:rFonts w:ascii="Arial" w:hAnsi="Arial" w:cs="Arial"/>
          <w:i/>
          <w:iCs/>
          <w:sz w:val="18"/>
          <w:szCs w:val="18"/>
        </w:rPr>
        <w:t xml:space="preserve"> profit, as per the amended IAS 19.</w:t>
      </w:r>
    </w:p>
    <w:p w:rsidR="00D545C6" w:rsidRDefault="00D545C6" w:rsidP="001B3B55">
      <w:pPr>
        <w:jc w:val="left"/>
        <w:rPr>
          <w:rFonts w:ascii="Arial" w:hAnsi="Arial" w:cs="Arial"/>
          <w:b/>
          <w:bCs/>
          <w:sz w:val="24"/>
          <w:szCs w:val="24"/>
        </w:rPr>
      </w:pPr>
    </w:p>
    <w:p w:rsidR="00963214" w:rsidRDefault="00AD1E71" w:rsidP="001B3B55">
      <w:pPr>
        <w:jc w:val="left"/>
        <w:rPr>
          <w:rFonts w:ascii="Arial" w:hAnsi="Arial" w:cs="Arial"/>
          <w:b/>
          <w:bCs/>
          <w:sz w:val="24"/>
          <w:szCs w:val="24"/>
        </w:rPr>
      </w:pPr>
      <w:r>
        <w:rPr>
          <w:rFonts w:ascii="Arial" w:hAnsi="Arial" w:cs="Arial"/>
          <w:bCs/>
          <w:sz w:val="24"/>
          <w:szCs w:val="24"/>
        </w:rPr>
        <w:t xml:space="preserve">Data tables for </w:t>
      </w:r>
      <w:r w:rsidR="009E3DA4" w:rsidRPr="00C21DBE">
        <w:rPr>
          <w:rFonts w:ascii="Arial" w:hAnsi="Arial" w:cs="Arial"/>
          <w:bCs/>
          <w:sz w:val="24"/>
          <w:szCs w:val="24"/>
        </w:rPr>
        <w:t xml:space="preserve">Q1, Q2 and half year </w:t>
      </w:r>
      <w:r>
        <w:rPr>
          <w:rFonts w:ascii="Arial" w:hAnsi="Arial" w:cs="Arial"/>
          <w:bCs/>
          <w:sz w:val="24"/>
          <w:szCs w:val="24"/>
        </w:rPr>
        <w:t>are</w:t>
      </w:r>
      <w:r w:rsidR="00D97AD4" w:rsidRPr="00C21DBE">
        <w:rPr>
          <w:rFonts w:ascii="Arial" w:hAnsi="Arial" w:cs="Arial"/>
          <w:bCs/>
          <w:sz w:val="24"/>
          <w:szCs w:val="24"/>
        </w:rPr>
        <w:t xml:space="preserve"> available for download in </w:t>
      </w:r>
      <w:r w:rsidR="009E3DA4" w:rsidRPr="00C21DBE">
        <w:rPr>
          <w:rFonts w:ascii="Arial" w:hAnsi="Arial" w:cs="Arial"/>
          <w:bCs/>
          <w:sz w:val="24"/>
          <w:szCs w:val="24"/>
        </w:rPr>
        <w:t>excel format</w:t>
      </w:r>
      <w:r w:rsidR="00D97AD4" w:rsidRPr="00C21DBE">
        <w:rPr>
          <w:rFonts w:ascii="Arial" w:hAnsi="Arial" w:cs="Arial"/>
          <w:bCs/>
          <w:sz w:val="24"/>
          <w:szCs w:val="24"/>
        </w:rPr>
        <w:t xml:space="preserve"> at </w:t>
      </w:r>
      <w:r w:rsidR="00D97AD4" w:rsidRPr="00D97AD4">
        <w:rPr>
          <w:rFonts w:ascii="Arial" w:hAnsi="Arial" w:cs="Arial"/>
          <w:bCs/>
          <w:sz w:val="24"/>
          <w:szCs w:val="24"/>
        </w:rPr>
        <w:t>http://www.kingfisher.com/index.asp?pageid=59</w:t>
      </w:r>
      <w:r>
        <w:rPr>
          <w:rFonts w:ascii="Arial" w:hAnsi="Arial" w:cs="Arial"/>
          <w:bCs/>
          <w:sz w:val="24"/>
          <w:szCs w:val="24"/>
        </w:rPr>
        <w:t xml:space="preserve">. </w:t>
      </w:r>
    </w:p>
    <w:p w:rsidR="00FC3ECC" w:rsidRPr="005F3F68" w:rsidRDefault="00FC3ECC" w:rsidP="001B3B55">
      <w:pPr>
        <w:jc w:val="left"/>
        <w:rPr>
          <w:rFonts w:ascii="Arial" w:hAnsi="Arial" w:cs="Arial"/>
          <w:b/>
          <w:bCs/>
          <w:sz w:val="24"/>
          <w:szCs w:val="24"/>
        </w:rPr>
      </w:pPr>
      <w:r w:rsidRPr="005F3F68">
        <w:rPr>
          <w:rFonts w:ascii="Arial" w:hAnsi="Arial" w:cs="Arial"/>
          <w:b/>
          <w:bCs/>
          <w:sz w:val="24"/>
          <w:szCs w:val="24"/>
        </w:rPr>
        <w:t xml:space="preserve">Section </w:t>
      </w:r>
      <w:r w:rsidR="00D545C6">
        <w:rPr>
          <w:rFonts w:ascii="Arial" w:hAnsi="Arial" w:cs="Arial"/>
          <w:b/>
          <w:bCs/>
          <w:sz w:val="24"/>
          <w:szCs w:val="24"/>
        </w:rPr>
        <w:t>4</w:t>
      </w:r>
    </w:p>
    <w:p w:rsidR="001B3B55" w:rsidRPr="005F3F68" w:rsidRDefault="00FC3ECC" w:rsidP="001B3B55">
      <w:pPr>
        <w:jc w:val="left"/>
        <w:rPr>
          <w:rFonts w:ascii="Arial" w:hAnsi="Arial" w:cs="Arial"/>
          <w:sz w:val="24"/>
          <w:szCs w:val="24"/>
        </w:rPr>
      </w:pPr>
      <w:r w:rsidRPr="005F3F68">
        <w:rPr>
          <w:rFonts w:ascii="Arial" w:hAnsi="Arial" w:cs="Arial"/>
          <w:b/>
          <w:bCs/>
          <w:sz w:val="24"/>
          <w:szCs w:val="24"/>
        </w:rPr>
        <w:t>FINANCIAL REVIEW</w:t>
      </w:r>
    </w:p>
    <w:p w:rsidR="009E3DA4" w:rsidRDefault="009E3DA4" w:rsidP="003F45F2">
      <w:pPr>
        <w:tabs>
          <w:tab w:val="right" w:pos="9356"/>
        </w:tabs>
        <w:rPr>
          <w:rFonts w:ascii="Arial" w:hAnsi="Arial" w:cs="Arial"/>
          <w:b/>
          <w:sz w:val="24"/>
          <w:szCs w:val="24"/>
        </w:rPr>
      </w:pPr>
    </w:p>
    <w:p w:rsidR="009A4C77" w:rsidRPr="00014F94" w:rsidRDefault="009A4C77" w:rsidP="009A4C77">
      <w:pPr>
        <w:jc w:val="left"/>
        <w:rPr>
          <w:rFonts w:ascii="Arial" w:hAnsi="Arial" w:cs="Arial"/>
          <w:sz w:val="24"/>
          <w:szCs w:val="24"/>
        </w:rPr>
      </w:pPr>
      <w:r w:rsidRPr="00014F94">
        <w:rPr>
          <w:rFonts w:ascii="Arial" w:hAnsi="Arial" w:cs="Arial"/>
          <w:sz w:val="24"/>
          <w:szCs w:val="24"/>
        </w:rPr>
        <w:t>A summary of the</w:t>
      </w:r>
      <w:r>
        <w:rPr>
          <w:rFonts w:ascii="Arial" w:hAnsi="Arial" w:cs="Arial"/>
          <w:sz w:val="24"/>
          <w:szCs w:val="24"/>
        </w:rPr>
        <w:t xml:space="preserve"> </w:t>
      </w:r>
      <w:r w:rsidRPr="00014F94">
        <w:rPr>
          <w:rFonts w:ascii="Arial" w:hAnsi="Arial" w:cs="Arial"/>
          <w:sz w:val="24"/>
          <w:szCs w:val="24"/>
        </w:rPr>
        <w:t xml:space="preserve">reported financial results for the </w:t>
      </w:r>
      <w:r>
        <w:rPr>
          <w:rFonts w:ascii="Arial" w:hAnsi="Arial" w:cs="Arial"/>
          <w:sz w:val="24"/>
          <w:szCs w:val="24"/>
        </w:rPr>
        <w:t>six months</w:t>
      </w:r>
      <w:r w:rsidRPr="00014F94">
        <w:rPr>
          <w:rFonts w:ascii="Arial" w:hAnsi="Arial" w:cs="Arial"/>
          <w:sz w:val="24"/>
          <w:szCs w:val="24"/>
        </w:rPr>
        <w:t xml:space="preserve"> ended </w:t>
      </w:r>
      <w:r>
        <w:rPr>
          <w:rFonts w:ascii="Arial" w:hAnsi="Arial" w:cs="Arial"/>
          <w:sz w:val="24"/>
          <w:szCs w:val="24"/>
        </w:rPr>
        <w:t>3 August 2013 is set out below:</w:t>
      </w:r>
    </w:p>
    <w:p w:rsidR="009A4C77" w:rsidRPr="00014F94" w:rsidRDefault="009A4C77" w:rsidP="009A4C77">
      <w:pPr>
        <w:rPr>
          <w:rFonts w:ascii="Arial" w:hAnsi="Arial" w:cs="Arial"/>
          <w:sz w:val="24"/>
          <w:szCs w:val="24"/>
        </w:rPr>
      </w:pPr>
    </w:p>
    <w:tbl>
      <w:tblPr>
        <w:tblW w:w="4999" w:type="pct"/>
        <w:tblLook w:val="01E0" w:firstRow="1" w:lastRow="1" w:firstColumn="1" w:lastColumn="1" w:noHBand="0" w:noVBand="0"/>
      </w:tblPr>
      <w:tblGrid>
        <w:gridCol w:w="5874"/>
        <w:gridCol w:w="1277"/>
        <w:gridCol w:w="1157"/>
        <w:gridCol w:w="1547"/>
      </w:tblGrid>
      <w:tr w:rsidR="009A4C77" w:rsidRPr="00936590" w:rsidTr="001461BD">
        <w:tc>
          <w:tcPr>
            <w:tcW w:w="2980" w:type="pct"/>
            <w:tcBorders>
              <w:bottom w:val="single" w:sz="4" w:space="0" w:color="auto"/>
            </w:tcBorders>
            <w:shd w:val="clear" w:color="auto" w:fill="auto"/>
          </w:tcPr>
          <w:p w:rsidR="009A4C77" w:rsidRPr="00480643" w:rsidRDefault="009A4C77" w:rsidP="001461BD">
            <w:pPr>
              <w:jc w:val="right"/>
              <w:rPr>
                <w:rFonts w:ascii="Arial" w:hAnsi="Arial" w:cs="Arial"/>
                <w:sz w:val="24"/>
                <w:szCs w:val="24"/>
              </w:rPr>
            </w:pPr>
          </w:p>
        </w:tc>
        <w:tc>
          <w:tcPr>
            <w:tcW w:w="648" w:type="pct"/>
            <w:tcBorders>
              <w:bottom w:val="single" w:sz="4" w:space="0" w:color="auto"/>
            </w:tcBorders>
            <w:shd w:val="clear" w:color="auto" w:fill="auto"/>
          </w:tcPr>
          <w:p w:rsidR="009A4C77" w:rsidRPr="00480643" w:rsidRDefault="009A4C77" w:rsidP="001461BD">
            <w:pPr>
              <w:jc w:val="right"/>
              <w:rPr>
                <w:rFonts w:ascii="Arial" w:hAnsi="Arial" w:cs="Arial"/>
                <w:b/>
                <w:sz w:val="24"/>
                <w:szCs w:val="24"/>
              </w:rPr>
            </w:pPr>
            <w:r w:rsidRPr="00480643">
              <w:rPr>
                <w:rFonts w:ascii="Arial" w:hAnsi="Arial" w:cs="Arial"/>
                <w:b/>
                <w:sz w:val="24"/>
                <w:szCs w:val="24"/>
              </w:rPr>
              <w:t>2013/14</w:t>
            </w:r>
          </w:p>
          <w:p w:rsidR="009A4C77" w:rsidRPr="00480643" w:rsidRDefault="009A4C77" w:rsidP="001461BD">
            <w:pPr>
              <w:jc w:val="right"/>
              <w:rPr>
                <w:rFonts w:ascii="Arial" w:hAnsi="Arial" w:cs="Arial"/>
                <w:b/>
                <w:sz w:val="24"/>
                <w:szCs w:val="24"/>
              </w:rPr>
            </w:pPr>
            <w:r w:rsidRPr="00480643">
              <w:rPr>
                <w:rFonts w:ascii="Arial" w:hAnsi="Arial" w:cs="Arial"/>
                <w:b/>
                <w:sz w:val="24"/>
                <w:szCs w:val="24"/>
              </w:rPr>
              <w:t>£m</w:t>
            </w:r>
          </w:p>
        </w:tc>
        <w:tc>
          <w:tcPr>
            <w:tcW w:w="587" w:type="pct"/>
            <w:tcBorders>
              <w:bottom w:val="single" w:sz="4" w:space="0" w:color="auto"/>
            </w:tcBorders>
            <w:shd w:val="clear" w:color="auto" w:fill="auto"/>
          </w:tcPr>
          <w:p w:rsidR="009A4C77" w:rsidRPr="00480643" w:rsidRDefault="009A4C77" w:rsidP="001461BD">
            <w:pPr>
              <w:jc w:val="right"/>
              <w:rPr>
                <w:rFonts w:ascii="Arial" w:hAnsi="Arial" w:cs="Arial"/>
                <w:sz w:val="24"/>
                <w:szCs w:val="24"/>
              </w:rPr>
            </w:pPr>
            <w:r w:rsidRPr="00480643">
              <w:rPr>
                <w:rFonts w:ascii="Arial" w:hAnsi="Arial" w:cs="Arial"/>
                <w:sz w:val="24"/>
                <w:szCs w:val="24"/>
              </w:rPr>
              <w:t>2012/13</w:t>
            </w:r>
          </w:p>
          <w:p w:rsidR="009A4C77" w:rsidRPr="00480643" w:rsidRDefault="009A4C77" w:rsidP="001461BD">
            <w:pPr>
              <w:tabs>
                <w:tab w:val="center" w:pos="434"/>
                <w:tab w:val="right" w:pos="869"/>
              </w:tabs>
              <w:jc w:val="right"/>
              <w:rPr>
                <w:rFonts w:ascii="Arial" w:hAnsi="Arial" w:cs="Arial"/>
                <w:sz w:val="24"/>
                <w:szCs w:val="24"/>
              </w:rPr>
            </w:pPr>
            <w:r w:rsidRPr="00480643">
              <w:rPr>
                <w:rFonts w:ascii="Arial" w:hAnsi="Arial" w:cs="Arial"/>
                <w:sz w:val="24"/>
                <w:szCs w:val="24"/>
              </w:rPr>
              <w:t>£m</w:t>
            </w:r>
          </w:p>
        </w:tc>
        <w:tc>
          <w:tcPr>
            <w:tcW w:w="785" w:type="pct"/>
            <w:tcBorders>
              <w:bottom w:val="single" w:sz="4" w:space="0" w:color="auto"/>
            </w:tcBorders>
            <w:shd w:val="clear" w:color="auto" w:fill="auto"/>
          </w:tcPr>
          <w:p w:rsidR="009A4C77" w:rsidRPr="00936590" w:rsidRDefault="009A4C77" w:rsidP="001461BD">
            <w:pPr>
              <w:jc w:val="right"/>
              <w:rPr>
                <w:rFonts w:ascii="Arial" w:hAnsi="Arial" w:cs="Arial"/>
                <w:sz w:val="24"/>
                <w:szCs w:val="24"/>
              </w:rPr>
            </w:pPr>
            <w:r>
              <w:rPr>
                <w:rFonts w:ascii="Arial" w:hAnsi="Arial" w:cs="Arial"/>
                <w:sz w:val="24"/>
                <w:szCs w:val="24"/>
              </w:rPr>
              <w:t>Increase/</w:t>
            </w:r>
          </w:p>
          <w:p w:rsidR="009A4C77" w:rsidRPr="00936590" w:rsidRDefault="009A4C77" w:rsidP="001461BD">
            <w:pPr>
              <w:jc w:val="right"/>
              <w:rPr>
                <w:rFonts w:ascii="Arial" w:hAnsi="Arial" w:cs="Arial"/>
                <w:sz w:val="24"/>
                <w:szCs w:val="24"/>
              </w:rPr>
            </w:pPr>
            <w:r>
              <w:rPr>
                <w:rFonts w:ascii="Arial" w:hAnsi="Arial" w:cs="Arial"/>
                <w:sz w:val="24"/>
                <w:szCs w:val="24"/>
              </w:rPr>
              <w:t>(de</w:t>
            </w:r>
            <w:r w:rsidRPr="00936590">
              <w:rPr>
                <w:rFonts w:ascii="Arial" w:hAnsi="Arial" w:cs="Arial"/>
                <w:sz w:val="24"/>
                <w:szCs w:val="24"/>
              </w:rPr>
              <w:t>crease</w:t>
            </w:r>
            <w:r>
              <w:rPr>
                <w:rFonts w:ascii="Arial" w:hAnsi="Arial" w:cs="Arial"/>
                <w:sz w:val="24"/>
                <w:szCs w:val="24"/>
              </w:rPr>
              <w:t>)</w:t>
            </w:r>
          </w:p>
        </w:tc>
      </w:tr>
      <w:tr w:rsidR="009A4C77" w:rsidRPr="00480643" w:rsidTr="001461BD">
        <w:trPr>
          <w:trHeight w:val="80"/>
        </w:trPr>
        <w:tc>
          <w:tcPr>
            <w:tcW w:w="2980" w:type="pct"/>
            <w:tcBorders>
              <w:top w:val="single" w:sz="4" w:space="0" w:color="auto"/>
            </w:tcBorders>
            <w:shd w:val="clear" w:color="auto" w:fill="auto"/>
          </w:tcPr>
          <w:p w:rsidR="009A4C77" w:rsidRPr="00480643" w:rsidRDefault="009A4C77" w:rsidP="001461BD">
            <w:pPr>
              <w:rPr>
                <w:rFonts w:ascii="Arial" w:hAnsi="Arial" w:cs="Arial"/>
                <w:sz w:val="2"/>
                <w:szCs w:val="2"/>
              </w:rPr>
            </w:pPr>
          </w:p>
        </w:tc>
        <w:tc>
          <w:tcPr>
            <w:tcW w:w="648" w:type="pct"/>
            <w:tcBorders>
              <w:top w:val="single" w:sz="4" w:space="0" w:color="auto"/>
            </w:tcBorders>
            <w:shd w:val="clear" w:color="auto" w:fill="auto"/>
          </w:tcPr>
          <w:p w:rsidR="009A4C77" w:rsidRPr="00480643" w:rsidRDefault="009A4C77" w:rsidP="001461BD">
            <w:pPr>
              <w:jc w:val="right"/>
              <w:rPr>
                <w:rFonts w:ascii="Arial" w:hAnsi="Arial" w:cs="Arial"/>
                <w:b/>
                <w:sz w:val="2"/>
                <w:szCs w:val="2"/>
              </w:rPr>
            </w:pPr>
          </w:p>
        </w:tc>
        <w:tc>
          <w:tcPr>
            <w:tcW w:w="587" w:type="pct"/>
            <w:tcBorders>
              <w:top w:val="single" w:sz="4" w:space="0" w:color="auto"/>
            </w:tcBorders>
            <w:shd w:val="clear" w:color="auto" w:fill="auto"/>
          </w:tcPr>
          <w:p w:rsidR="009A4C77" w:rsidRPr="00480643" w:rsidRDefault="009A4C77" w:rsidP="001461BD">
            <w:pPr>
              <w:jc w:val="right"/>
              <w:rPr>
                <w:rFonts w:ascii="Arial" w:hAnsi="Arial" w:cs="Arial"/>
                <w:sz w:val="2"/>
                <w:szCs w:val="2"/>
              </w:rPr>
            </w:pPr>
          </w:p>
        </w:tc>
        <w:tc>
          <w:tcPr>
            <w:tcW w:w="785" w:type="pct"/>
            <w:tcBorders>
              <w:top w:val="single" w:sz="4" w:space="0" w:color="auto"/>
            </w:tcBorders>
            <w:shd w:val="clear" w:color="auto" w:fill="auto"/>
          </w:tcPr>
          <w:p w:rsidR="009A4C77" w:rsidRPr="00480643" w:rsidRDefault="009A4C77" w:rsidP="001461BD">
            <w:pPr>
              <w:jc w:val="right"/>
              <w:rPr>
                <w:rFonts w:ascii="Arial" w:hAnsi="Arial" w:cs="Arial"/>
                <w:sz w:val="2"/>
                <w:szCs w:val="2"/>
              </w:rPr>
            </w:pPr>
          </w:p>
        </w:tc>
      </w:tr>
      <w:tr w:rsidR="009A4C77" w:rsidRPr="00480643" w:rsidTr="001461BD">
        <w:tc>
          <w:tcPr>
            <w:tcW w:w="2980" w:type="pct"/>
            <w:shd w:val="clear" w:color="auto" w:fill="auto"/>
          </w:tcPr>
          <w:p w:rsidR="009A4C77" w:rsidRPr="00480643" w:rsidRDefault="009A4C77" w:rsidP="001461BD">
            <w:pPr>
              <w:rPr>
                <w:rFonts w:ascii="Arial" w:hAnsi="Arial" w:cs="Arial"/>
                <w:sz w:val="24"/>
                <w:szCs w:val="24"/>
              </w:rPr>
            </w:pPr>
            <w:r w:rsidRPr="00480643">
              <w:rPr>
                <w:rFonts w:ascii="Arial" w:hAnsi="Arial" w:cs="Arial"/>
                <w:sz w:val="24"/>
                <w:szCs w:val="24"/>
              </w:rPr>
              <w:t>Sales</w:t>
            </w:r>
          </w:p>
        </w:tc>
        <w:tc>
          <w:tcPr>
            <w:tcW w:w="648" w:type="pct"/>
            <w:shd w:val="clear" w:color="auto" w:fill="auto"/>
          </w:tcPr>
          <w:p w:rsidR="009A4C77" w:rsidRPr="00480643" w:rsidRDefault="009A4C77" w:rsidP="001461BD">
            <w:pPr>
              <w:jc w:val="right"/>
              <w:rPr>
                <w:rFonts w:ascii="Arial" w:hAnsi="Arial" w:cs="Arial"/>
                <w:b/>
                <w:sz w:val="24"/>
                <w:szCs w:val="24"/>
              </w:rPr>
            </w:pPr>
            <w:r>
              <w:rPr>
                <w:rFonts w:ascii="Arial" w:hAnsi="Arial" w:cs="Arial"/>
                <w:b/>
                <w:sz w:val="24"/>
                <w:szCs w:val="24"/>
              </w:rPr>
              <w:t>5,716</w:t>
            </w:r>
          </w:p>
        </w:tc>
        <w:tc>
          <w:tcPr>
            <w:tcW w:w="587" w:type="pct"/>
            <w:shd w:val="clear" w:color="auto" w:fill="auto"/>
          </w:tcPr>
          <w:p w:rsidR="009A4C77" w:rsidRPr="00480643" w:rsidRDefault="009A4C77" w:rsidP="001461BD">
            <w:pPr>
              <w:jc w:val="right"/>
              <w:rPr>
                <w:rFonts w:ascii="Arial" w:hAnsi="Arial" w:cs="Arial"/>
                <w:sz w:val="24"/>
                <w:szCs w:val="24"/>
              </w:rPr>
            </w:pPr>
            <w:r w:rsidRPr="00480643">
              <w:rPr>
                <w:rFonts w:ascii="Arial" w:hAnsi="Arial" w:cs="Arial"/>
                <w:sz w:val="24"/>
                <w:szCs w:val="24"/>
              </w:rPr>
              <w:t>5,478</w:t>
            </w:r>
          </w:p>
        </w:tc>
        <w:tc>
          <w:tcPr>
            <w:tcW w:w="785" w:type="pct"/>
            <w:shd w:val="clear" w:color="auto" w:fill="auto"/>
          </w:tcPr>
          <w:p w:rsidR="009A4C77" w:rsidRPr="00480643" w:rsidRDefault="00490E3B" w:rsidP="001461BD">
            <w:pPr>
              <w:jc w:val="right"/>
              <w:rPr>
                <w:rFonts w:ascii="Arial" w:hAnsi="Arial" w:cs="Arial"/>
                <w:sz w:val="24"/>
                <w:szCs w:val="24"/>
              </w:rPr>
            </w:pPr>
            <w:r>
              <w:rPr>
                <w:rFonts w:ascii="Arial" w:hAnsi="Arial" w:cs="Arial"/>
                <w:sz w:val="24"/>
                <w:szCs w:val="24"/>
              </w:rPr>
              <w:t>+</w:t>
            </w:r>
            <w:r w:rsidR="009A4C77">
              <w:rPr>
                <w:rFonts w:ascii="Arial" w:hAnsi="Arial" w:cs="Arial"/>
                <w:sz w:val="24"/>
                <w:szCs w:val="24"/>
              </w:rPr>
              <w:t>4.3</w:t>
            </w:r>
            <w:r w:rsidR="009A4C77" w:rsidRPr="00480643">
              <w:rPr>
                <w:rFonts w:ascii="Arial" w:hAnsi="Arial" w:cs="Arial"/>
                <w:sz w:val="24"/>
                <w:szCs w:val="24"/>
              </w:rPr>
              <w:t>%</w:t>
            </w:r>
          </w:p>
        </w:tc>
      </w:tr>
      <w:tr w:rsidR="009A4C77" w:rsidRPr="00480643" w:rsidTr="001461BD">
        <w:trPr>
          <w:trHeight w:hRule="exact" w:val="85"/>
        </w:trPr>
        <w:tc>
          <w:tcPr>
            <w:tcW w:w="2980" w:type="pct"/>
            <w:shd w:val="clear" w:color="auto" w:fill="auto"/>
          </w:tcPr>
          <w:p w:rsidR="009A4C77" w:rsidRPr="00480643" w:rsidRDefault="009A4C77" w:rsidP="001461BD">
            <w:pPr>
              <w:rPr>
                <w:rFonts w:ascii="Arial" w:hAnsi="Arial" w:cs="Arial"/>
                <w:sz w:val="24"/>
                <w:szCs w:val="24"/>
              </w:rPr>
            </w:pPr>
          </w:p>
        </w:tc>
        <w:tc>
          <w:tcPr>
            <w:tcW w:w="648" w:type="pct"/>
            <w:shd w:val="clear" w:color="auto" w:fill="auto"/>
          </w:tcPr>
          <w:p w:rsidR="009A4C77" w:rsidRPr="00480643" w:rsidRDefault="009A4C77" w:rsidP="001461BD">
            <w:pPr>
              <w:jc w:val="right"/>
              <w:rPr>
                <w:rFonts w:ascii="Arial" w:hAnsi="Arial" w:cs="Arial"/>
                <w:b/>
                <w:sz w:val="24"/>
                <w:szCs w:val="24"/>
              </w:rPr>
            </w:pPr>
          </w:p>
        </w:tc>
        <w:tc>
          <w:tcPr>
            <w:tcW w:w="587" w:type="pct"/>
            <w:shd w:val="clear" w:color="auto" w:fill="auto"/>
          </w:tcPr>
          <w:p w:rsidR="009A4C77" w:rsidRPr="00480643" w:rsidRDefault="009A4C77" w:rsidP="001461BD">
            <w:pPr>
              <w:jc w:val="right"/>
              <w:rPr>
                <w:rFonts w:ascii="Arial" w:hAnsi="Arial" w:cs="Arial"/>
                <w:sz w:val="24"/>
                <w:szCs w:val="24"/>
              </w:rPr>
            </w:pPr>
          </w:p>
        </w:tc>
        <w:tc>
          <w:tcPr>
            <w:tcW w:w="785" w:type="pct"/>
            <w:shd w:val="clear" w:color="auto" w:fill="auto"/>
          </w:tcPr>
          <w:p w:rsidR="009A4C77" w:rsidRPr="00480643" w:rsidRDefault="009A4C77" w:rsidP="001461BD">
            <w:pPr>
              <w:jc w:val="right"/>
              <w:rPr>
                <w:rFonts w:ascii="Arial" w:hAnsi="Arial" w:cs="Arial"/>
                <w:sz w:val="24"/>
                <w:szCs w:val="24"/>
              </w:rPr>
            </w:pPr>
          </w:p>
        </w:tc>
      </w:tr>
      <w:tr w:rsidR="009A4C77" w:rsidRPr="00480643" w:rsidTr="001461BD">
        <w:tc>
          <w:tcPr>
            <w:tcW w:w="2980" w:type="pct"/>
            <w:shd w:val="clear" w:color="auto" w:fill="auto"/>
          </w:tcPr>
          <w:p w:rsidR="009A4C77" w:rsidRPr="00480643" w:rsidRDefault="009A4C77" w:rsidP="001461BD">
            <w:pPr>
              <w:rPr>
                <w:rFonts w:ascii="Arial" w:hAnsi="Arial" w:cs="Arial"/>
                <w:sz w:val="24"/>
                <w:szCs w:val="24"/>
              </w:rPr>
            </w:pPr>
            <w:r w:rsidRPr="00480643">
              <w:rPr>
                <w:rFonts w:ascii="Arial" w:hAnsi="Arial" w:cs="Arial"/>
                <w:sz w:val="24"/>
                <w:szCs w:val="24"/>
              </w:rPr>
              <w:t xml:space="preserve">Adjusted pre-tax profit </w:t>
            </w:r>
          </w:p>
        </w:tc>
        <w:tc>
          <w:tcPr>
            <w:tcW w:w="648" w:type="pct"/>
            <w:shd w:val="clear" w:color="auto" w:fill="auto"/>
          </w:tcPr>
          <w:p w:rsidR="009A4C77" w:rsidRPr="00480643" w:rsidRDefault="009A4C77" w:rsidP="001461BD">
            <w:pPr>
              <w:jc w:val="right"/>
              <w:rPr>
                <w:rFonts w:ascii="Arial" w:hAnsi="Arial" w:cs="Arial"/>
                <w:b/>
                <w:sz w:val="24"/>
                <w:szCs w:val="24"/>
              </w:rPr>
            </w:pPr>
            <w:r>
              <w:rPr>
                <w:rFonts w:ascii="Arial" w:hAnsi="Arial" w:cs="Arial"/>
                <w:b/>
                <w:sz w:val="24"/>
                <w:szCs w:val="24"/>
              </w:rPr>
              <w:t>365</w:t>
            </w:r>
          </w:p>
        </w:tc>
        <w:tc>
          <w:tcPr>
            <w:tcW w:w="587" w:type="pct"/>
            <w:shd w:val="clear" w:color="auto" w:fill="auto"/>
          </w:tcPr>
          <w:p w:rsidR="009A4C77" w:rsidRPr="00480643" w:rsidRDefault="009A4C77" w:rsidP="001461BD">
            <w:pPr>
              <w:jc w:val="right"/>
              <w:rPr>
                <w:rFonts w:ascii="Arial" w:hAnsi="Arial" w:cs="Arial"/>
                <w:sz w:val="24"/>
                <w:szCs w:val="24"/>
              </w:rPr>
            </w:pPr>
            <w:r w:rsidRPr="00480643">
              <w:rPr>
                <w:rFonts w:ascii="Arial" w:hAnsi="Arial" w:cs="Arial"/>
                <w:sz w:val="24"/>
                <w:szCs w:val="24"/>
              </w:rPr>
              <w:t>371</w:t>
            </w:r>
          </w:p>
        </w:tc>
        <w:tc>
          <w:tcPr>
            <w:tcW w:w="785" w:type="pct"/>
            <w:shd w:val="clear" w:color="auto" w:fill="auto"/>
          </w:tcPr>
          <w:p w:rsidR="009A4C77" w:rsidRPr="00480643" w:rsidRDefault="009A4C77" w:rsidP="001461BD">
            <w:pPr>
              <w:jc w:val="right"/>
              <w:rPr>
                <w:rFonts w:ascii="Arial" w:hAnsi="Arial" w:cs="Arial"/>
                <w:sz w:val="24"/>
                <w:szCs w:val="24"/>
              </w:rPr>
            </w:pPr>
            <w:r>
              <w:rPr>
                <w:rFonts w:ascii="Arial" w:hAnsi="Arial" w:cs="Arial"/>
                <w:sz w:val="24"/>
                <w:szCs w:val="24"/>
              </w:rPr>
              <w:t>(1.6)</w:t>
            </w:r>
            <w:r w:rsidRPr="00480643">
              <w:rPr>
                <w:rFonts w:ascii="Arial" w:hAnsi="Arial" w:cs="Arial"/>
                <w:sz w:val="24"/>
                <w:szCs w:val="24"/>
              </w:rPr>
              <w:t>%</w:t>
            </w:r>
          </w:p>
        </w:tc>
      </w:tr>
      <w:tr w:rsidR="009A4C77" w:rsidRPr="00480643" w:rsidTr="001461BD">
        <w:trPr>
          <w:trHeight w:hRule="exact" w:val="85"/>
        </w:trPr>
        <w:tc>
          <w:tcPr>
            <w:tcW w:w="2980" w:type="pct"/>
            <w:shd w:val="clear" w:color="auto" w:fill="auto"/>
          </w:tcPr>
          <w:p w:rsidR="009A4C77" w:rsidRPr="00480643" w:rsidRDefault="009A4C77" w:rsidP="001461BD">
            <w:pPr>
              <w:rPr>
                <w:rFonts w:ascii="Arial" w:hAnsi="Arial" w:cs="Arial"/>
                <w:sz w:val="24"/>
                <w:szCs w:val="24"/>
              </w:rPr>
            </w:pPr>
          </w:p>
        </w:tc>
        <w:tc>
          <w:tcPr>
            <w:tcW w:w="648" w:type="pct"/>
            <w:shd w:val="clear" w:color="auto" w:fill="auto"/>
          </w:tcPr>
          <w:p w:rsidR="009A4C77" w:rsidRPr="00480643" w:rsidRDefault="009A4C77" w:rsidP="001461BD">
            <w:pPr>
              <w:jc w:val="right"/>
              <w:rPr>
                <w:rFonts w:ascii="Arial" w:hAnsi="Arial" w:cs="Arial"/>
                <w:b/>
                <w:sz w:val="24"/>
                <w:szCs w:val="24"/>
              </w:rPr>
            </w:pPr>
          </w:p>
        </w:tc>
        <w:tc>
          <w:tcPr>
            <w:tcW w:w="587" w:type="pct"/>
            <w:shd w:val="clear" w:color="auto" w:fill="auto"/>
          </w:tcPr>
          <w:p w:rsidR="009A4C77" w:rsidRPr="00480643" w:rsidRDefault="009A4C77" w:rsidP="001461BD">
            <w:pPr>
              <w:jc w:val="right"/>
              <w:rPr>
                <w:rFonts w:ascii="Arial" w:hAnsi="Arial" w:cs="Arial"/>
                <w:sz w:val="24"/>
                <w:szCs w:val="24"/>
              </w:rPr>
            </w:pPr>
          </w:p>
        </w:tc>
        <w:tc>
          <w:tcPr>
            <w:tcW w:w="785" w:type="pct"/>
            <w:shd w:val="clear" w:color="auto" w:fill="auto"/>
          </w:tcPr>
          <w:p w:rsidR="009A4C77" w:rsidRPr="00480643" w:rsidRDefault="009A4C77" w:rsidP="001461BD">
            <w:pPr>
              <w:jc w:val="right"/>
              <w:rPr>
                <w:rFonts w:ascii="Arial" w:hAnsi="Arial" w:cs="Arial"/>
                <w:sz w:val="24"/>
                <w:szCs w:val="24"/>
              </w:rPr>
            </w:pPr>
          </w:p>
        </w:tc>
      </w:tr>
      <w:tr w:rsidR="009A4C77" w:rsidRPr="00480643" w:rsidTr="001461BD">
        <w:tc>
          <w:tcPr>
            <w:tcW w:w="2980" w:type="pct"/>
            <w:shd w:val="clear" w:color="auto" w:fill="auto"/>
          </w:tcPr>
          <w:p w:rsidR="009A4C77" w:rsidRPr="00480643" w:rsidRDefault="009A4C77" w:rsidP="001461BD">
            <w:pPr>
              <w:rPr>
                <w:rFonts w:ascii="Arial" w:hAnsi="Arial" w:cs="Arial"/>
                <w:sz w:val="24"/>
                <w:szCs w:val="24"/>
              </w:rPr>
            </w:pPr>
            <w:r w:rsidRPr="00480643">
              <w:rPr>
                <w:rFonts w:ascii="Arial" w:hAnsi="Arial" w:cs="Arial"/>
                <w:sz w:val="24"/>
                <w:szCs w:val="24"/>
              </w:rPr>
              <w:t>Profit before taxation after exceptional items</w:t>
            </w:r>
          </w:p>
        </w:tc>
        <w:tc>
          <w:tcPr>
            <w:tcW w:w="648" w:type="pct"/>
            <w:shd w:val="clear" w:color="auto" w:fill="auto"/>
          </w:tcPr>
          <w:p w:rsidR="009A4C77" w:rsidRPr="00480643" w:rsidRDefault="009A4C77" w:rsidP="001461BD">
            <w:pPr>
              <w:jc w:val="right"/>
              <w:rPr>
                <w:rFonts w:ascii="Arial" w:hAnsi="Arial" w:cs="Arial"/>
                <w:b/>
                <w:sz w:val="24"/>
                <w:szCs w:val="24"/>
              </w:rPr>
            </w:pPr>
            <w:r>
              <w:rPr>
                <w:rFonts w:ascii="Arial" w:hAnsi="Arial" w:cs="Arial"/>
                <w:b/>
                <w:sz w:val="24"/>
                <w:szCs w:val="24"/>
              </w:rPr>
              <w:t>401</w:t>
            </w:r>
          </w:p>
        </w:tc>
        <w:tc>
          <w:tcPr>
            <w:tcW w:w="587" w:type="pct"/>
            <w:shd w:val="clear" w:color="auto" w:fill="auto"/>
          </w:tcPr>
          <w:p w:rsidR="009A4C77" w:rsidRPr="00480643" w:rsidRDefault="009A4C77" w:rsidP="001461BD">
            <w:pPr>
              <w:jc w:val="right"/>
              <w:rPr>
                <w:rFonts w:ascii="Arial" w:hAnsi="Arial" w:cs="Arial"/>
                <w:sz w:val="24"/>
                <w:szCs w:val="24"/>
              </w:rPr>
            </w:pPr>
            <w:r w:rsidRPr="00480643">
              <w:rPr>
                <w:rFonts w:ascii="Arial" w:hAnsi="Arial" w:cs="Arial"/>
                <w:sz w:val="24"/>
                <w:szCs w:val="24"/>
              </w:rPr>
              <w:t>364</w:t>
            </w:r>
          </w:p>
        </w:tc>
        <w:tc>
          <w:tcPr>
            <w:tcW w:w="785" w:type="pct"/>
            <w:shd w:val="clear" w:color="auto" w:fill="auto"/>
          </w:tcPr>
          <w:p w:rsidR="009A4C77" w:rsidRPr="00480643" w:rsidRDefault="00490E3B" w:rsidP="001461BD">
            <w:pPr>
              <w:jc w:val="right"/>
              <w:rPr>
                <w:rFonts w:ascii="Arial" w:hAnsi="Arial" w:cs="Arial"/>
                <w:sz w:val="24"/>
                <w:szCs w:val="24"/>
              </w:rPr>
            </w:pPr>
            <w:r>
              <w:rPr>
                <w:rFonts w:ascii="Arial" w:hAnsi="Arial" w:cs="Arial"/>
                <w:sz w:val="24"/>
                <w:szCs w:val="24"/>
              </w:rPr>
              <w:t>+</w:t>
            </w:r>
            <w:r w:rsidR="009A4C77">
              <w:rPr>
                <w:rFonts w:ascii="Arial" w:hAnsi="Arial" w:cs="Arial"/>
                <w:sz w:val="24"/>
                <w:szCs w:val="24"/>
              </w:rPr>
              <w:t>10.2</w:t>
            </w:r>
            <w:r w:rsidR="009A4C77" w:rsidRPr="00480643">
              <w:rPr>
                <w:rFonts w:ascii="Arial" w:hAnsi="Arial" w:cs="Arial"/>
                <w:sz w:val="24"/>
                <w:szCs w:val="24"/>
              </w:rPr>
              <w:t>%</w:t>
            </w:r>
          </w:p>
        </w:tc>
      </w:tr>
      <w:tr w:rsidR="009A4C77" w:rsidRPr="00480643" w:rsidTr="001461BD">
        <w:trPr>
          <w:trHeight w:hRule="exact" w:val="85"/>
        </w:trPr>
        <w:tc>
          <w:tcPr>
            <w:tcW w:w="2980" w:type="pct"/>
            <w:shd w:val="clear" w:color="auto" w:fill="auto"/>
          </w:tcPr>
          <w:p w:rsidR="009A4C77" w:rsidRPr="00480643" w:rsidRDefault="009A4C77" w:rsidP="001461BD">
            <w:pPr>
              <w:rPr>
                <w:rFonts w:ascii="Arial" w:hAnsi="Arial" w:cs="Arial"/>
                <w:sz w:val="24"/>
                <w:szCs w:val="24"/>
              </w:rPr>
            </w:pPr>
          </w:p>
        </w:tc>
        <w:tc>
          <w:tcPr>
            <w:tcW w:w="648" w:type="pct"/>
            <w:shd w:val="clear" w:color="auto" w:fill="auto"/>
          </w:tcPr>
          <w:p w:rsidR="009A4C77" w:rsidRPr="00480643" w:rsidRDefault="009A4C77" w:rsidP="001461BD">
            <w:pPr>
              <w:jc w:val="right"/>
              <w:rPr>
                <w:rFonts w:ascii="Arial" w:hAnsi="Arial" w:cs="Arial"/>
                <w:b/>
                <w:sz w:val="24"/>
                <w:szCs w:val="24"/>
              </w:rPr>
            </w:pPr>
          </w:p>
        </w:tc>
        <w:tc>
          <w:tcPr>
            <w:tcW w:w="587" w:type="pct"/>
            <w:shd w:val="clear" w:color="auto" w:fill="auto"/>
          </w:tcPr>
          <w:p w:rsidR="009A4C77" w:rsidRPr="00480643" w:rsidRDefault="009A4C77" w:rsidP="001461BD">
            <w:pPr>
              <w:jc w:val="right"/>
              <w:rPr>
                <w:rFonts w:ascii="Arial" w:hAnsi="Arial" w:cs="Arial"/>
                <w:sz w:val="24"/>
                <w:szCs w:val="24"/>
              </w:rPr>
            </w:pPr>
          </w:p>
        </w:tc>
        <w:tc>
          <w:tcPr>
            <w:tcW w:w="785" w:type="pct"/>
            <w:shd w:val="clear" w:color="auto" w:fill="auto"/>
          </w:tcPr>
          <w:p w:rsidR="009A4C77" w:rsidRPr="00480643" w:rsidRDefault="009A4C77" w:rsidP="001461BD">
            <w:pPr>
              <w:jc w:val="right"/>
              <w:rPr>
                <w:rFonts w:ascii="Arial" w:hAnsi="Arial" w:cs="Arial"/>
                <w:sz w:val="24"/>
                <w:szCs w:val="24"/>
              </w:rPr>
            </w:pPr>
          </w:p>
        </w:tc>
      </w:tr>
      <w:tr w:rsidR="009A4C77" w:rsidRPr="00480643" w:rsidTr="001461BD">
        <w:tc>
          <w:tcPr>
            <w:tcW w:w="2980" w:type="pct"/>
            <w:shd w:val="clear" w:color="auto" w:fill="auto"/>
          </w:tcPr>
          <w:p w:rsidR="009A4C77" w:rsidRPr="00480643" w:rsidRDefault="009A4C77" w:rsidP="001461BD">
            <w:pPr>
              <w:rPr>
                <w:rFonts w:ascii="Arial" w:hAnsi="Arial" w:cs="Arial"/>
                <w:sz w:val="24"/>
                <w:szCs w:val="24"/>
              </w:rPr>
            </w:pPr>
            <w:r w:rsidRPr="00480643">
              <w:rPr>
                <w:rFonts w:ascii="Arial" w:hAnsi="Arial" w:cs="Arial"/>
                <w:sz w:val="24"/>
                <w:szCs w:val="24"/>
              </w:rPr>
              <w:t xml:space="preserve">Adjusted basic earnings per share </w:t>
            </w:r>
          </w:p>
        </w:tc>
        <w:tc>
          <w:tcPr>
            <w:tcW w:w="648" w:type="pct"/>
            <w:shd w:val="clear" w:color="auto" w:fill="auto"/>
          </w:tcPr>
          <w:p w:rsidR="009A4C77" w:rsidRPr="00480643" w:rsidRDefault="009A4C77" w:rsidP="001461BD">
            <w:pPr>
              <w:jc w:val="right"/>
              <w:rPr>
                <w:rFonts w:ascii="Arial" w:hAnsi="Arial" w:cs="Arial"/>
                <w:b/>
                <w:sz w:val="24"/>
                <w:szCs w:val="24"/>
                <w:highlight w:val="yellow"/>
              </w:rPr>
            </w:pPr>
            <w:r w:rsidRPr="00183B72">
              <w:rPr>
                <w:rFonts w:ascii="Arial" w:hAnsi="Arial" w:cs="Arial"/>
                <w:b/>
                <w:sz w:val="24"/>
                <w:szCs w:val="24"/>
              </w:rPr>
              <w:t>11.3p</w:t>
            </w:r>
          </w:p>
        </w:tc>
        <w:tc>
          <w:tcPr>
            <w:tcW w:w="587" w:type="pct"/>
            <w:shd w:val="clear" w:color="auto" w:fill="auto"/>
          </w:tcPr>
          <w:p w:rsidR="009A4C77" w:rsidRPr="00480643" w:rsidRDefault="009A4C77" w:rsidP="001461BD">
            <w:pPr>
              <w:jc w:val="right"/>
              <w:rPr>
                <w:rFonts w:ascii="Arial" w:hAnsi="Arial" w:cs="Arial"/>
                <w:sz w:val="24"/>
                <w:szCs w:val="24"/>
              </w:rPr>
            </w:pPr>
            <w:r w:rsidRPr="00480643">
              <w:rPr>
                <w:rFonts w:ascii="Arial" w:hAnsi="Arial" w:cs="Arial"/>
                <w:sz w:val="24"/>
                <w:szCs w:val="24"/>
              </w:rPr>
              <w:t>11.5p</w:t>
            </w:r>
          </w:p>
        </w:tc>
        <w:tc>
          <w:tcPr>
            <w:tcW w:w="785" w:type="pct"/>
            <w:shd w:val="clear" w:color="auto" w:fill="auto"/>
          </w:tcPr>
          <w:p w:rsidR="009A4C77" w:rsidRPr="00480643" w:rsidRDefault="009A4C77" w:rsidP="001461BD">
            <w:pPr>
              <w:jc w:val="right"/>
              <w:rPr>
                <w:rFonts w:ascii="Arial" w:hAnsi="Arial" w:cs="Arial"/>
                <w:sz w:val="24"/>
                <w:szCs w:val="24"/>
              </w:rPr>
            </w:pPr>
            <w:r>
              <w:rPr>
                <w:rFonts w:ascii="Arial" w:hAnsi="Arial" w:cs="Arial"/>
                <w:sz w:val="24"/>
                <w:szCs w:val="24"/>
              </w:rPr>
              <w:t>(1.7)</w:t>
            </w:r>
            <w:r w:rsidRPr="00480643">
              <w:rPr>
                <w:rFonts w:ascii="Arial" w:hAnsi="Arial" w:cs="Arial"/>
                <w:sz w:val="24"/>
                <w:szCs w:val="24"/>
              </w:rPr>
              <w:t>%</w:t>
            </w:r>
          </w:p>
        </w:tc>
      </w:tr>
      <w:tr w:rsidR="009A4C77" w:rsidRPr="00480643" w:rsidTr="001461BD">
        <w:trPr>
          <w:trHeight w:hRule="exact" w:val="85"/>
        </w:trPr>
        <w:tc>
          <w:tcPr>
            <w:tcW w:w="2980" w:type="pct"/>
            <w:shd w:val="clear" w:color="auto" w:fill="auto"/>
          </w:tcPr>
          <w:p w:rsidR="009A4C77" w:rsidRPr="00480643" w:rsidRDefault="009A4C77" w:rsidP="001461BD">
            <w:pPr>
              <w:rPr>
                <w:rFonts w:ascii="Arial" w:hAnsi="Arial" w:cs="Arial"/>
                <w:sz w:val="24"/>
                <w:szCs w:val="24"/>
              </w:rPr>
            </w:pPr>
          </w:p>
        </w:tc>
        <w:tc>
          <w:tcPr>
            <w:tcW w:w="648" w:type="pct"/>
            <w:shd w:val="clear" w:color="auto" w:fill="auto"/>
          </w:tcPr>
          <w:p w:rsidR="009A4C77" w:rsidRPr="00480643" w:rsidRDefault="009A4C77" w:rsidP="001461BD">
            <w:pPr>
              <w:jc w:val="right"/>
              <w:rPr>
                <w:rFonts w:ascii="Arial" w:hAnsi="Arial" w:cs="Arial"/>
                <w:b/>
                <w:sz w:val="24"/>
                <w:szCs w:val="24"/>
                <w:highlight w:val="yellow"/>
              </w:rPr>
            </w:pPr>
          </w:p>
        </w:tc>
        <w:tc>
          <w:tcPr>
            <w:tcW w:w="587" w:type="pct"/>
            <w:shd w:val="clear" w:color="auto" w:fill="auto"/>
          </w:tcPr>
          <w:p w:rsidR="009A4C77" w:rsidRPr="00480643" w:rsidRDefault="009A4C77" w:rsidP="001461BD">
            <w:pPr>
              <w:jc w:val="right"/>
              <w:rPr>
                <w:rFonts w:ascii="Arial" w:hAnsi="Arial" w:cs="Arial"/>
                <w:sz w:val="24"/>
                <w:szCs w:val="24"/>
              </w:rPr>
            </w:pPr>
          </w:p>
        </w:tc>
        <w:tc>
          <w:tcPr>
            <w:tcW w:w="785" w:type="pct"/>
            <w:shd w:val="clear" w:color="auto" w:fill="auto"/>
          </w:tcPr>
          <w:p w:rsidR="009A4C77" w:rsidRPr="00480643" w:rsidRDefault="009A4C77" w:rsidP="001461BD">
            <w:pPr>
              <w:jc w:val="right"/>
              <w:rPr>
                <w:rFonts w:ascii="Arial" w:hAnsi="Arial" w:cs="Arial"/>
                <w:sz w:val="24"/>
                <w:szCs w:val="24"/>
              </w:rPr>
            </w:pPr>
          </w:p>
        </w:tc>
      </w:tr>
      <w:tr w:rsidR="009A4C77" w:rsidRPr="00126D73" w:rsidTr="001461BD">
        <w:tc>
          <w:tcPr>
            <w:tcW w:w="2980" w:type="pct"/>
            <w:tcBorders>
              <w:bottom w:val="single" w:sz="4" w:space="0" w:color="auto"/>
            </w:tcBorders>
            <w:shd w:val="clear" w:color="auto" w:fill="auto"/>
          </w:tcPr>
          <w:p w:rsidR="009A4C77" w:rsidRPr="00480643" w:rsidRDefault="009A4C77" w:rsidP="001461BD">
            <w:pPr>
              <w:rPr>
                <w:rFonts w:ascii="Arial" w:hAnsi="Arial" w:cs="Arial"/>
                <w:sz w:val="24"/>
                <w:szCs w:val="24"/>
              </w:rPr>
            </w:pPr>
            <w:r w:rsidRPr="00480643">
              <w:rPr>
                <w:rFonts w:ascii="Arial" w:hAnsi="Arial" w:cs="Arial"/>
                <w:sz w:val="24"/>
                <w:szCs w:val="24"/>
              </w:rPr>
              <w:t>Dividends</w:t>
            </w:r>
          </w:p>
        </w:tc>
        <w:tc>
          <w:tcPr>
            <w:tcW w:w="648" w:type="pct"/>
            <w:tcBorders>
              <w:bottom w:val="single" w:sz="4" w:space="0" w:color="auto"/>
            </w:tcBorders>
            <w:shd w:val="clear" w:color="auto" w:fill="auto"/>
          </w:tcPr>
          <w:p w:rsidR="009A4C77" w:rsidRPr="00126D73" w:rsidRDefault="00A76D63" w:rsidP="001461BD">
            <w:pPr>
              <w:jc w:val="right"/>
              <w:rPr>
                <w:rFonts w:ascii="Arial" w:hAnsi="Arial" w:cs="Arial"/>
                <w:b/>
                <w:sz w:val="24"/>
                <w:szCs w:val="24"/>
              </w:rPr>
            </w:pPr>
            <w:r>
              <w:rPr>
                <w:rFonts w:ascii="Arial" w:hAnsi="Arial" w:cs="Arial"/>
                <w:b/>
                <w:sz w:val="24"/>
                <w:szCs w:val="24"/>
              </w:rPr>
              <w:t>3.12p</w:t>
            </w:r>
          </w:p>
        </w:tc>
        <w:tc>
          <w:tcPr>
            <w:tcW w:w="587" w:type="pct"/>
            <w:tcBorders>
              <w:bottom w:val="single" w:sz="4" w:space="0" w:color="auto"/>
            </w:tcBorders>
            <w:shd w:val="clear" w:color="auto" w:fill="auto"/>
          </w:tcPr>
          <w:p w:rsidR="009A4C77" w:rsidRPr="00127C71" w:rsidRDefault="009A4C77" w:rsidP="001461BD">
            <w:pPr>
              <w:jc w:val="right"/>
              <w:rPr>
                <w:rFonts w:ascii="Arial" w:hAnsi="Arial" w:cs="Arial"/>
                <w:sz w:val="24"/>
                <w:szCs w:val="24"/>
              </w:rPr>
            </w:pPr>
            <w:r w:rsidRPr="00127C71">
              <w:rPr>
                <w:rFonts w:ascii="Arial" w:hAnsi="Arial" w:cs="Arial"/>
                <w:sz w:val="24"/>
                <w:szCs w:val="24"/>
              </w:rPr>
              <w:t>3.09p</w:t>
            </w:r>
          </w:p>
        </w:tc>
        <w:tc>
          <w:tcPr>
            <w:tcW w:w="785" w:type="pct"/>
            <w:tcBorders>
              <w:bottom w:val="single" w:sz="4" w:space="0" w:color="auto"/>
            </w:tcBorders>
            <w:shd w:val="clear" w:color="auto" w:fill="auto"/>
          </w:tcPr>
          <w:p w:rsidR="009A4C77" w:rsidRPr="00127C71" w:rsidRDefault="00490E3B" w:rsidP="001461BD">
            <w:pPr>
              <w:jc w:val="right"/>
              <w:rPr>
                <w:rFonts w:ascii="Arial" w:hAnsi="Arial" w:cs="Arial"/>
                <w:sz w:val="24"/>
                <w:szCs w:val="24"/>
              </w:rPr>
            </w:pPr>
            <w:r>
              <w:rPr>
                <w:rFonts w:ascii="Arial" w:hAnsi="Arial" w:cs="Arial"/>
                <w:sz w:val="24"/>
                <w:szCs w:val="24"/>
              </w:rPr>
              <w:t>+</w:t>
            </w:r>
            <w:r w:rsidR="00A76D63">
              <w:rPr>
                <w:rFonts w:ascii="Arial" w:hAnsi="Arial" w:cs="Arial"/>
                <w:sz w:val="24"/>
                <w:szCs w:val="24"/>
              </w:rPr>
              <w:t>1</w:t>
            </w:r>
            <w:r w:rsidR="009A4C77" w:rsidRPr="00126D73">
              <w:rPr>
                <w:rFonts w:ascii="Arial" w:hAnsi="Arial" w:cs="Arial"/>
                <w:sz w:val="24"/>
                <w:szCs w:val="24"/>
              </w:rPr>
              <w:t>.</w:t>
            </w:r>
            <w:r w:rsidR="00A76D63">
              <w:rPr>
                <w:rFonts w:ascii="Arial" w:hAnsi="Arial" w:cs="Arial"/>
                <w:sz w:val="24"/>
                <w:szCs w:val="24"/>
              </w:rPr>
              <w:t>0</w:t>
            </w:r>
            <w:r w:rsidR="009A4C77" w:rsidRPr="00126D73">
              <w:rPr>
                <w:rFonts w:ascii="Arial" w:hAnsi="Arial" w:cs="Arial"/>
                <w:sz w:val="24"/>
                <w:szCs w:val="24"/>
              </w:rPr>
              <w:t>%</w:t>
            </w:r>
          </w:p>
        </w:tc>
      </w:tr>
    </w:tbl>
    <w:p w:rsidR="009A4C77" w:rsidRPr="00014F94" w:rsidRDefault="009A4C77" w:rsidP="009A4C77">
      <w:pPr>
        <w:rPr>
          <w:rFonts w:ascii="Arial" w:hAnsi="Arial" w:cs="Arial"/>
          <w:sz w:val="24"/>
          <w:szCs w:val="24"/>
        </w:rPr>
      </w:pPr>
    </w:p>
    <w:p w:rsidR="009A4C77" w:rsidRDefault="009A4C77" w:rsidP="009A4C77">
      <w:pPr>
        <w:jc w:val="left"/>
        <w:rPr>
          <w:rFonts w:ascii="Arial" w:hAnsi="Arial" w:cs="Arial"/>
          <w:sz w:val="24"/>
          <w:szCs w:val="24"/>
        </w:rPr>
      </w:pPr>
      <w:r w:rsidRPr="00014F94">
        <w:rPr>
          <w:rFonts w:ascii="Arial" w:hAnsi="Arial" w:cs="Arial"/>
          <w:sz w:val="24"/>
          <w:szCs w:val="24"/>
        </w:rPr>
        <w:t xml:space="preserve">A reconciliation of statutory profit </w:t>
      </w:r>
      <w:r w:rsidR="00DC5103">
        <w:rPr>
          <w:rFonts w:ascii="Arial" w:hAnsi="Arial" w:cs="Arial"/>
          <w:sz w:val="24"/>
          <w:szCs w:val="24"/>
        </w:rPr>
        <w:t xml:space="preserve">before tax </w:t>
      </w:r>
      <w:r w:rsidRPr="00014F94">
        <w:rPr>
          <w:rFonts w:ascii="Arial" w:hAnsi="Arial" w:cs="Arial"/>
          <w:sz w:val="24"/>
          <w:szCs w:val="24"/>
        </w:rPr>
        <w:t xml:space="preserve">to adjusted </w:t>
      </w:r>
      <w:r w:rsidR="00DC5103">
        <w:rPr>
          <w:rFonts w:ascii="Arial" w:hAnsi="Arial" w:cs="Arial"/>
          <w:sz w:val="24"/>
          <w:szCs w:val="24"/>
        </w:rPr>
        <w:t xml:space="preserve">pre-tax </w:t>
      </w:r>
      <w:r w:rsidRPr="00014F94">
        <w:rPr>
          <w:rFonts w:ascii="Arial" w:hAnsi="Arial" w:cs="Arial"/>
          <w:sz w:val="24"/>
          <w:szCs w:val="24"/>
        </w:rPr>
        <w:t>profit is set out below:</w:t>
      </w:r>
    </w:p>
    <w:p w:rsidR="009A4C77" w:rsidRPr="00014F94" w:rsidRDefault="009A4C77" w:rsidP="009A4C77">
      <w:pPr>
        <w:rPr>
          <w:rFonts w:ascii="Arial" w:hAnsi="Arial" w:cs="Arial"/>
          <w:sz w:val="24"/>
          <w:szCs w:val="24"/>
        </w:rPr>
      </w:pPr>
    </w:p>
    <w:tbl>
      <w:tblPr>
        <w:tblW w:w="5023" w:type="pct"/>
        <w:tblLayout w:type="fixed"/>
        <w:tblLook w:val="01E0" w:firstRow="1" w:lastRow="1" w:firstColumn="1" w:lastColumn="1" w:noHBand="0" w:noVBand="0"/>
      </w:tblPr>
      <w:tblGrid>
        <w:gridCol w:w="5875"/>
        <w:gridCol w:w="1256"/>
        <w:gridCol w:w="1238"/>
        <w:gridCol w:w="1533"/>
      </w:tblGrid>
      <w:tr w:rsidR="009A4C77" w:rsidRPr="00936590" w:rsidTr="001461BD">
        <w:tc>
          <w:tcPr>
            <w:tcW w:w="2967" w:type="pct"/>
            <w:tcBorders>
              <w:bottom w:val="single" w:sz="4" w:space="0" w:color="auto"/>
            </w:tcBorders>
            <w:shd w:val="clear" w:color="auto" w:fill="auto"/>
          </w:tcPr>
          <w:p w:rsidR="009A4C77" w:rsidRPr="00480643" w:rsidRDefault="009A4C77" w:rsidP="001461BD">
            <w:pPr>
              <w:jc w:val="right"/>
              <w:rPr>
                <w:rFonts w:ascii="Arial" w:hAnsi="Arial" w:cs="Arial"/>
                <w:sz w:val="24"/>
                <w:szCs w:val="24"/>
              </w:rPr>
            </w:pPr>
          </w:p>
        </w:tc>
        <w:tc>
          <w:tcPr>
            <w:tcW w:w="634" w:type="pct"/>
            <w:tcBorders>
              <w:bottom w:val="single" w:sz="4" w:space="0" w:color="auto"/>
            </w:tcBorders>
            <w:shd w:val="clear" w:color="auto" w:fill="auto"/>
          </w:tcPr>
          <w:p w:rsidR="009A4C77" w:rsidRPr="00480643" w:rsidRDefault="009A4C77" w:rsidP="001461BD">
            <w:pPr>
              <w:jc w:val="right"/>
              <w:rPr>
                <w:rFonts w:ascii="Arial" w:hAnsi="Arial" w:cs="Arial"/>
                <w:b/>
                <w:sz w:val="24"/>
                <w:szCs w:val="24"/>
              </w:rPr>
            </w:pPr>
            <w:r w:rsidRPr="00480643">
              <w:rPr>
                <w:rFonts w:ascii="Arial" w:hAnsi="Arial" w:cs="Arial"/>
                <w:b/>
                <w:sz w:val="24"/>
                <w:szCs w:val="24"/>
              </w:rPr>
              <w:t>2013/14</w:t>
            </w:r>
          </w:p>
          <w:p w:rsidR="009A4C77" w:rsidRPr="00480643" w:rsidRDefault="009A4C77" w:rsidP="001461BD">
            <w:pPr>
              <w:jc w:val="right"/>
              <w:rPr>
                <w:rFonts w:ascii="Arial" w:hAnsi="Arial" w:cs="Arial"/>
                <w:b/>
                <w:sz w:val="24"/>
                <w:szCs w:val="24"/>
              </w:rPr>
            </w:pPr>
            <w:r w:rsidRPr="00480643">
              <w:rPr>
                <w:rFonts w:ascii="Arial" w:hAnsi="Arial" w:cs="Arial"/>
                <w:b/>
                <w:sz w:val="24"/>
                <w:szCs w:val="24"/>
              </w:rPr>
              <w:t>£m</w:t>
            </w:r>
          </w:p>
        </w:tc>
        <w:tc>
          <w:tcPr>
            <w:tcW w:w="625" w:type="pct"/>
            <w:tcBorders>
              <w:bottom w:val="single" w:sz="4" w:space="0" w:color="auto"/>
            </w:tcBorders>
            <w:shd w:val="clear" w:color="auto" w:fill="auto"/>
          </w:tcPr>
          <w:p w:rsidR="009A4C77" w:rsidRPr="00936590" w:rsidRDefault="009A4C77" w:rsidP="001461BD">
            <w:pPr>
              <w:ind w:right="75"/>
              <w:jc w:val="right"/>
              <w:rPr>
                <w:rFonts w:ascii="Arial" w:hAnsi="Arial" w:cs="Arial"/>
                <w:sz w:val="24"/>
                <w:szCs w:val="24"/>
              </w:rPr>
            </w:pPr>
            <w:r w:rsidRPr="00936590">
              <w:rPr>
                <w:rFonts w:ascii="Arial" w:hAnsi="Arial" w:cs="Arial"/>
                <w:sz w:val="24"/>
                <w:szCs w:val="24"/>
              </w:rPr>
              <w:t>2012/13</w:t>
            </w:r>
          </w:p>
          <w:p w:rsidR="009A4C77" w:rsidRPr="00936590" w:rsidRDefault="009A4C77" w:rsidP="001461BD">
            <w:pPr>
              <w:ind w:right="75"/>
              <w:jc w:val="right"/>
              <w:rPr>
                <w:rFonts w:ascii="Arial" w:hAnsi="Arial" w:cs="Arial"/>
                <w:sz w:val="24"/>
                <w:szCs w:val="24"/>
              </w:rPr>
            </w:pPr>
            <w:r w:rsidRPr="00936590">
              <w:rPr>
                <w:rFonts w:ascii="Arial" w:hAnsi="Arial" w:cs="Arial"/>
                <w:sz w:val="24"/>
                <w:szCs w:val="24"/>
              </w:rPr>
              <w:t>£m</w:t>
            </w:r>
          </w:p>
        </w:tc>
        <w:tc>
          <w:tcPr>
            <w:tcW w:w="774" w:type="pct"/>
            <w:tcBorders>
              <w:bottom w:val="single" w:sz="4" w:space="0" w:color="auto"/>
            </w:tcBorders>
            <w:shd w:val="clear" w:color="auto" w:fill="auto"/>
          </w:tcPr>
          <w:p w:rsidR="009A4C77" w:rsidRPr="00936590" w:rsidRDefault="009A4C77" w:rsidP="001461BD">
            <w:pPr>
              <w:jc w:val="right"/>
              <w:rPr>
                <w:rFonts w:ascii="Arial" w:hAnsi="Arial" w:cs="Arial"/>
                <w:sz w:val="24"/>
                <w:szCs w:val="24"/>
              </w:rPr>
            </w:pPr>
            <w:r>
              <w:rPr>
                <w:rFonts w:ascii="Arial" w:hAnsi="Arial" w:cs="Arial"/>
                <w:sz w:val="24"/>
                <w:szCs w:val="24"/>
              </w:rPr>
              <w:t>Increase/</w:t>
            </w:r>
          </w:p>
          <w:p w:rsidR="009A4C77" w:rsidRPr="00936590" w:rsidRDefault="009A4C77" w:rsidP="001461BD">
            <w:pPr>
              <w:jc w:val="right"/>
              <w:rPr>
                <w:rFonts w:ascii="Arial" w:hAnsi="Arial" w:cs="Arial"/>
                <w:sz w:val="24"/>
                <w:szCs w:val="24"/>
              </w:rPr>
            </w:pPr>
            <w:r>
              <w:rPr>
                <w:rFonts w:ascii="Arial" w:hAnsi="Arial" w:cs="Arial"/>
                <w:sz w:val="24"/>
                <w:szCs w:val="24"/>
              </w:rPr>
              <w:t>(de</w:t>
            </w:r>
            <w:r w:rsidRPr="00936590">
              <w:rPr>
                <w:rFonts w:ascii="Arial" w:hAnsi="Arial" w:cs="Arial"/>
                <w:sz w:val="24"/>
                <w:szCs w:val="24"/>
              </w:rPr>
              <w:t>crease</w:t>
            </w:r>
            <w:r>
              <w:rPr>
                <w:rFonts w:ascii="Arial" w:hAnsi="Arial" w:cs="Arial"/>
                <w:sz w:val="24"/>
                <w:szCs w:val="24"/>
              </w:rPr>
              <w:t>)</w:t>
            </w:r>
          </w:p>
        </w:tc>
      </w:tr>
      <w:tr w:rsidR="009A4C77" w:rsidRPr="00480643" w:rsidTr="001461BD">
        <w:trPr>
          <w:trHeight w:hRule="exact" w:val="113"/>
        </w:trPr>
        <w:tc>
          <w:tcPr>
            <w:tcW w:w="2967" w:type="pct"/>
            <w:tcBorders>
              <w:top w:val="single" w:sz="4" w:space="0" w:color="auto"/>
            </w:tcBorders>
            <w:shd w:val="clear" w:color="auto" w:fill="auto"/>
          </w:tcPr>
          <w:p w:rsidR="009A4C77" w:rsidRPr="00480643" w:rsidRDefault="009A4C77" w:rsidP="001461BD">
            <w:pPr>
              <w:rPr>
                <w:rFonts w:ascii="Arial" w:hAnsi="Arial" w:cs="Arial"/>
                <w:sz w:val="24"/>
                <w:szCs w:val="24"/>
              </w:rPr>
            </w:pPr>
          </w:p>
        </w:tc>
        <w:tc>
          <w:tcPr>
            <w:tcW w:w="634" w:type="pct"/>
            <w:tcBorders>
              <w:top w:val="single" w:sz="4" w:space="0" w:color="auto"/>
            </w:tcBorders>
            <w:shd w:val="clear" w:color="auto" w:fill="auto"/>
          </w:tcPr>
          <w:p w:rsidR="009A4C77" w:rsidRPr="00480643" w:rsidRDefault="009A4C77" w:rsidP="001461BD">
            <w:pPr>
              <w:jc w:val="right"/>
              <w:rPr>
                <w:rFonts w:ascii="Arial" w:hAnsi="Arial" w:cs="Arial"/>
                <w:b/>
                <w:sz w:val="24"/>
                <w:szCs w:val="24"/>
              </w:rPr>
            </w:pPr>
          </w:p>
        </w:tc>
        <w:tc>
          <w:tcPr>
            <w:tcW w:w="625" w:type="pct"/>
            <w:tcBorders>
              <w:top w:val="single" w:sz="4" w:space="0" w:color="auto"/>
            </w:tcBorders>
            <w:shd w:val="clear" w:color="auto" w:fill="auto"/>
          </w:tcPr>
          <w:p w:rsidR="009A4C77" w:rsidRPr="00480643" w:rsidRDefault="009A4C77" w:rsidP="001461BD">
            <w:pPr>
              <w:ind w:right="75"/>
              <w:jc w:val="right"/>
              <w:rPr>
                <w:rFonts w:ascii="Arial" w:hAnsi="Arial" w:cs="Arial"/>
                <w:sz w:val="24"/>
                <w:szCs w:val="24"/>
              </w:rPr>
            </w:pPr>
          </w:p>
        </w:tc>
        <w:tc>
          <w:tcPr>
            <w:tcW w:w="774" w:type="pct"/>
            <w:tcBorders>
              <w:top w:val="single" w:sz="4" w:space="0" w:color="auto"/>
            </w:tcBorders>
            <w:shd w:val="clear" w:color="auto" w:fill="auto"/>
          </w:tcPr>
          <w:p w:rsidR="009A4C77" w:rsidRPr="00480643" w:rsidRDefault="009A4C77" w:rsidP="001461BD">
            <w:pPr>
              <w:jc w:val="right"/>
              <w:rPr>
                <w:rFonts w:ascii="Arial" w:hAnsi="Arial" w:cs="Arial"/>
                <w:sz w:val="24"/>
                <w:szCs w:val="24"/>
              </w:rPr>
            </w:pPr>
          </w:p>
        </w:tc>
      </w:tr>
      <w:tr w:rsidR="009A4C77" w:rsidRPr="00480643" w:rsidTr="001461BD">
        <w:tc>
          <w:tcPr>
            <w:tcW w:w="2967" w:type="pct"/>
            <w:shd w:val="clear" w:color="auto" w:fill="auto"/>
          </w:tcPr>
          <w:p w:rsidR="009A4C77" w:rsidRPr="00480643" w:rsidRDefault="009A4C77" w:rsidP="001461BD">
            <w:pPr>
              <w:rPr>
                <w:rFonts w:ascii="Arial" w:hAnsi="Arial" w:cs="Arial"/>
                <w:sz w:val="24"/>
                <w:szCs w:val="24"/>
              </w:rPr>
            </w:pPr>
            <w:r w:rsidRPr="00480643">
              <w:rPr>
                <w:rFonts w:ascii="Arial" w:hAnsi="Arial" w:cs="Arial"/>
                <w:sz w:val="24"/>
                <w:szCs w:val="24"/>
              </w:rPr>
              <w:t>Profit before taxation</w:t>
            </w:r>
          </w:p>
        </w:tc>
        <w:tc>
          <w:tcPr>
            <w:tcW w:w="634" w:type="pct"/>
            <w:shd w:val="clear" w:color="auto" w:fill="auto"/>
          </w:tcPr>
          <w:p w:rsidR="009A4C77" w:rsidRPr="00480643" w:rsidRDefault="009A4C77" w:rsidP="001461BD">
            <w:pPr>
              <w:jc w:val="right"/>
              <w:rPr>
                <w:rFonts w:ascii="Arial" w:hAnsi="Arial" w:cs="Arial"/>
                <w:b/>
                <w:sz w:val="24"/>
                <w:szCs w:val="24"/>
              </w:rPr>
            </w:pPr>
            <w:r>
              <w:rPr>
                <w:rFonts w:ascii="Arial" w:hAnsi="Arial" w:cs="Arial"/>
                <w:b/>
                <w:sz w:val="24"/>
                <w:szCs w:val="24"/>
              </w:rPr>
              <w:t>401</w:t>
            </w:r>
          </w:p>
        </w:tc>
        <w:tc>
          <w:tcPr>
            <w:tcW w:w="625" w:type="pct"/>
            <w:shd w:val="clear" w:color="auto" w:fill="auto"/>
          </w:tcPr>
          <w:p w:rsidR="009A4C77" w:rsidRPr="00480643" w:rsidRDefault="009A4C77" w:rsidP="001461BD">
            <w:pPr>
              <w:jc w:val="right"/>
              <w:rPr>
                <w:rFonts w:ascii="Arial" w:hAnsi="Arial" w:cs="Arial"/>
                <w:sz w:val="24"/>
                <w:szCs w:val="24"/>
              </w:rPr>
            </w:pPr>
            <w:r w:rsidRPr="00480643">
              <w:rPr>
                <w:rFonts w:ascii="Arial" w:hAnsi="Arial" w:cs="Arial"/>
                <w:sz w:val="24"/>
                <w:szCs w:val="24"/>
              </w:rPr>
              <w:t>364</w:t>
            </w:r>
          </w:p>
        </w:tc>
        <w:tc>
          <w:tcPr>
            <w:tcW w:w="774" w:type="pct"/>
            <w:shd w:val="clear" w:color="auto" w:fill="auto"/>
            <w:vAlign w:val="bottom"/>
          </w:tcPr>
          <w:p w:rsidR="009A4C77" w:rsidRPr="00480643" w:rsidRDefault="00490E3B" w:rsidP="001461BD">
            <w:pPr>
              <w:jc w:val="right"/>
              <w:rPr>
                <w:rFonts w:ascii="Arial" w:hAnsi="Arial" w:cs="Arial"/>
                <w:sz w:val="24"/>
                <w:szCs w:val="24"/>
              </w:rPr>
            </w:pPr>
            <w:r>
              <w:rPr>
                <w:rFonts w:ascii="Arial" w:hAnsi="Arial" w:cs="Arial"/>
                <w:sz w:val="24"/>
                <w:szCs w:val="24"/>
              </w:rPr>
              <w:t>+</w:t>
            </w:r>
            <w:r w:rsidR="009A4C77">
              <w:rPr>
                <w:rFonts w:ascii="Arial" w:hAnsi="Arial" w:cs="Arial"/>
                <w:sz w:val="24"/>
                <w:szCs w:val="24"/>
              </w:rPr>
              <w:t>10.2</w:t>
            </w:r>
            <w:r w:rsidR="009A4C77" w:rsidRPr="00480643">
              <w:rPr>
                <w:rFonts w:ascii="Arial" w:hAnsi="Arial" w:cs="Arial"/>
                <w:sz w:val="24"/>
                <w:szCs w:val="24"/>
              </w:rPr>
              <w:t>%</w:t>
            </w:r>
          </w:p>
        </w:tc>
      </w:tr>
      <w:tr w:rsidR="009A4C77" w:rsidRPr="00480643" w:rsidTr="001461BD">
        <w:tc>
          <w:tcPr>
            <w:tcW w:w="2967" w:type="pct"/>
            <w:tcBorders>
              <w:bottom w:val="single" w:sz="4" w:space="0" w:color="auto"/>
            </w:tcBorders>
            <w:shd w:val="clear" w:color="auto" w:fill="auto"/>
          </w:tcPr>
          <w:p w:rsidR="009A4C77" w:rsidRPr="00480643" w:rsidRDefault="009A4C77" w:rsidP="001461BD">
            <w:pPr>
              <w:rPr>
                <w:rFonts w:ascii="Arial" w:hAnsi="Arial" w:cs="Arial"/>
                <w:sz w:val="24"/>
                <w:szCs w:val="24"/>
              </w:rPr>
            </w:pPr>
            <w:r w:rsidRPr="00480643">
              <w:rPr>
                <w:rFonts w:ascii="Arial" w:hAnsi="Arial" w:cs="Arial"/>
                <w:sz w:val="24"/>
                <w:szCs w:val="24"/>
              </w:rPr>
              <w:t>Exceptional items</w:t>
            </w:r>
          </w:p>
        </w:tc>
        <w:tc>
          <w:tcPr>
            <w:tcW w:w="634" w:type="pct"/>
            <w:tcBorders>
              <w:bottom w:val="single" w:sz="4" w:space="0" w:color="auto"/>
            </w:tcBorders>
            <w:shd w:val="clear" w:color="auto" w:fill="auto"/>
          </w:tcPr>
          <w:p w:rsidR="009A4C77" w:rsidRPr="00480643" w:rsidRDefault="009A4C77" w:rsidP="001461BD">
            <w:pPr>
              <w:jc w:val="right"/>
              <w:rPr>
                <w:rFonts w:ascii="Arial" w:hAnsi="Arial" w:cs="Arial"/>
                <w:b/>
                <w:sz w:val="24"/>
                <w:szCs w:val="24"/>
              </w:rPr>
            </w:pPr>
            <w:r>
              <w:rPr>
                <w:rFonts w:ascii="Arial" w:hAnsi="Arial" w:cs="Arial"/>
                <w:b/>
                <w:sz w:val="24"/>
                <w:szCs w:val="24"/>
              </w:rPr>
              <w:t>(35)</w:t>
            </w:r>
          </w:p>
        </w:tc>
        <w:tc>
          <w:tcPr>
            <w:tcW w:w="625" w:type="pct"/>
            <w:tcBorders>
              <w:bottom w:val="single" w:sz="4" w:space="0" w:color="auto"/>
            </w:tcBorders>
            <w:shd w:val="clear" w:color="auto" w:fill="auto"/>
          </w:tcPr>
          <w:p w:rsidR="009A4C77" w:rsidRPr="00480643" w:rsidRDefault="009A4C77" w:rsidP="001461BD">
            <w:pPr>
              <w:jc w:val="right"/>
              <w:rPr>
                <w:rFonts w:ascii="Arial" w:hAnsi="Arial" w:cs="Arial"/>
                <w:sz w:val="24"/>
                <w:szCs w:val="24"/>
              </w:rPr>
            </w:pPr>
            <w:r w:rsidRPr="00480643">
              <w:rPr>
                <w:rFonts w:ascii="Arial" w:hAnsi="Arial" w:cs="Arial"/>
                <w:sz w:val="24"/>
                <w:szCs w:val="24"/>
              </w:rPr>
              <w:t>6</w:t>
            </w:r>
          </w:p>
        </w:tc>
        <w:tc>
          <w:tcPr>
            <w:tcW w:w="774" w:type="pct"/>
            <w:tcBorders>
              <w:bottom w:val="single" w:sz="4" w:space="0" w:color="auto"/>
            </w:tcBorders>
            <w:shd w:val="clear" w:color="auto" w:fill="auto"/>
            <w:vAlign w:val="bottom"/>
          </w:tcPr>
          <w:p w:rsidR="009A4C77" w:rsidRPr="00480643" w:rsidRDefault="009A4C77" w:rsidP="001461BD">
            <w:pPr>
              <w:jc w:val="right"/>
              <w:rPr>
                <w:rFonts w:ascii="Arial" w:hAnsi="Arial" w:cs="Arial"/>
                <w:sz w:val="24"/>
                <w:szCs w:val="24"/>
              </w:rPr>
            </w:pPr>
          </w:p>
        </w:tc>
      </w:tr>
      <w:tr w:rsidR="009A4C77" w:rsidRPr="00480643" w:rsidTr="001461BD">
        <w:tc>
          <w:tcPr>
            <w:tcW w:w="2967" w:type="pct"/>
            <w:tcBorders>
              <w:top w:val="single" w:sz="4" w:space="0" w:color="auto"/>
            </w:tcBorders>
            <w:shd w:val="clear" w:color="auto" w:fill="auto"/>
          </w:tcPr>
          <w:p w:rsidR="009A4C77" w:rsidRPr="00480643" w:rsidRDefault="009A4C77" w:rsidP="001461BD">
            <w:pPr>
              <w:rPr>
                <w:rFonts w:ascii="Arial" w:hAnsi="Arial" w:cs="Arial"/>
                <w:sz w:val="24"/>
                <w:szCs w:val="24"/>
              </w:rPr>
            </w:pPr>
            <w:r w:rsidRPr="00480643">
              <w:rPr>
                <w:rFonts w:ascii="Arial" w:hAnsi="Arial" w:cs="Arial"/>
                <w:sz w:val="24"/>
                <w:szCs w:val="24"/>
              </w:rPr>
              <w:t xml:space="preserve">Profit before exceptional items and taxation </w:t>
            </w:r>
          </w:p>
        </w:tc>
        <w:tc>
          <w:tcPr>
            <w:tcW w:w="634" w:type="pct"/>
            <w:tcBorders>
              <w:top w:val="single" w:sz="4" w:space="0" w:color="auto"/>
            </w:tcBorders>
            <w:shd w:val="clear" w:color="auto" w:fill="auto"/>
          </w:tcPr>
          <w:p w:rsidR="009A4C77" w:rsidRPr="00480643" w:rsidRDefault="009A4C77" w:rsidP="001461BD">
            <w:pPr>
              <w:jc w:val="right"/>
              <w:rPr>
                <w:rFonts w:ascii="Arial" w:hAnsi="Arial" w:cs="Arial"/>
                <w:b/>
                <w:sz w:val="24"/>
                <w:szCs w:val="24"/>
              </w:rPr>
            </w:pPr>
            <w:r>
              <w:rPr>
                <w:rFonts w:ascii="Arial" w:hAnsi="Arial" w:cs="Arial"/>
                <w:b/>
                <w:sz w:val="24"/>
                <w:szCs w:val="24"/>
              </w:rPr>
              <w:t>366</w:t>
            </w:r>
          </w:p>
        </w:tc>
        <w:tc>
          <w:tcPr>
            <w:tcW w:w="625" w:type="pct"/>
            <w:tcBorders>
              <w:top w:val="single" w:sz="4" w:space="0" w:color="auto"/>
            </w:tcBorders>
            <w:shd w:val="clear" w:color="auto" w:fill="auto"/>
          </w:tcPr>
          <w:p w:rsidR="009A4C77" w:rsidRPr="00480643" w:rsidRDefault="009A4C77" w:rsidP="001461BD">
            <w:pPr>
              <w:jc w:val="right"/>
              <w:rPr>
                <w:rFonts w:ascii="Arial" w:hAnsi="Arial" w:cs="Arial"/>
                <w:sz w:val="24"/>
                <w:szCs w:val="24"/>
              </w:rPr>
            </w:pPr>
            <w:r w:rsidRPr="00480643">
              <w:rPr>
                <w:rFonts w:ascii="Arial" w:hAnsi="Arial" w:cs="Arial"/>
                <w:sz w:val="24"/>
                <w:szCs w:val="24"/>
              </w:rPr>
              <w:t>370</w:t>
            </w:r>
          </w:p>
        </w:tc>
        <w:tc>
          <w:tcPr>
            <w:tcW w:w="774" w:type="pct"/>
            <w:tcBorders>
              <w:top w:val="single" w:sz="4" w:space="0" w:color="auto"/>
            </w:tcBorders>
            <w:shd w:val="clear" w:color="auto" w:fill="auto"/>
            <w:vAlign w:val="bottom"/>
          </w:tcPr>
          <w:p w:rsidR="009A4C77" w:rsidRPr="00480643" w:rsidRDefault="009A4C77" w:rsidP="001461BD">
            <w:pPr>
              <w:jc w:val="right"/>
              <w:rPr>
                <w:rFonts w:ascii="Arial" w:hAnsi="Arial" w:cs="Arial"/>
                <w:sz w:val="24"/>
                <w:szCs w:val="24"/>
              </w:rPr>
            </w:pPr>
            <w:r>
              <w:rPr>
                <w:rFonts w:ascii="Arial" w:hAnsi="Arial" w:cs="Arial"/>
                <w:sz w:val="24"/>
                <w:szCs w:val="24"/>
              </w:rPr>
              <w:t>(1.1)</w:t>
            </w:r>
            <w:r w:rsidRPr="00480643">
              <w:rPr>
                <w:rFonts w:ascii="Arial" w:hAnsi="Arial" w:cs="Arial"/>
                <w:sz w:val="24"/>
                <w:szCs w:val="24"/>
              </w:rPr>
              <w:t>%</w:t>
            </w:r>
          </w:p>
        </w:tc>
      </w:tr>
      <w:tr w:rsidR="009A4C77" w:rsidRPr="00480643" w:rsidTr="001461BD">
        <w:tc>
          <w:tcPr>
            <w:tcW w:w="2967" w:type="pct"/>
            <w:tcBorders>
              <w:bottom w:val="single" w:sz="4" w:space="0" w:color="auto"/>
            </w:tcBorders>
            <w:shd w:val="clear" w:color="auto" w:fill="auto"/>
          </w:tcPr>
          <w:p w:rsidR="009A4C77" w:rsidRPr="00480643" w:rsidRDefault="009A4C77" w:rsidP="001461BD">
            <w:pPr>
              <w:rPr>
                <w:rFonts w:ascii="Arial" w:hAnsi="Arial" w:cs="Arial"/>
                <w:sz w:val="24"/>
                <w:szCs w:val="24"/>
              </w:rPr>
            </w:pPr>
            <w:r w:rsidRPr="00480643">
              <w:rPr>
                <w:rFonts w:ascii="Arial" w:hAnsi="Arial" w:cs="Arial"/>
                <w:sz w:val="24"/>
                <w:szCs w:val="24"/>
              </w:rPr>
              <w:t>Financing fair value remeasurements</w:t>
            </w:r>
          </w:p>
        </w:tc>
        <w:tc>
          <w:tcPr>
            <w:tcW w:w="634" w:type="pct"/>
            <w:tcBorders>
              <w:bottom w:val="single" w:sz="4" w:space="0" w:color="auto"/>
            </w:tcBorders>
            <w:shd w:val="clear" w:color="auto" w:fill="auto"/>
          </w:tcPr>
          <w:p w:rsidR="009A4C77" w:rsidRPr="00480643" w:rsidRDefault="009A4C77" w:rsidP="001461BD">
            <w:pPr>
              <w:jc w:val="right"/>
              <w:rPr>
                <w:rFonts w:ascii="Arial" w:hAnsi="Arial" w:cs="Arial"/>
                <w:b/>
                <w:sz w:val="24"/>
                <w:szCs w:val="24"/>
              </w:rPr>
            </w:pPr>
            <w:r>
              <w:rPr>
                <w:rFonts w:ascii="Arial" w:hAnsi="Arial" w:cs="Arial"/>
                <w:b/>
                <w:sz w:val="24"/>
                <w:szCs w:val="24"/>
              </w:rPr>
              <w:t>(1)</w:t>
            </w:r>
          </w:p>
        </w:tc>
        <w:tc>
          <w:tcPr>
            <w:tcW w:w="625" w:type="pct"/>
            <w:tcBorders>
              <w:bottom w:val="single" w:sz="4" w:space="0" w:color="auto"/>
            </w:tcBorders>
            <w:shd w:val="clear" w:color="auto" w:fill="auto"/>
          </w:tcPr>
          <w:p w:rsidR="009A4C77" w:rsidRPr="00480643" w:rsidRDefault="009A4C77" w:rsidP="001461BD">
            <w:pPr>
              <w:jc w:val="right"/>
              <w:rPr>
                <w:rFonts w:ascii="Arial" w:hAnsi="Arial" w:cs="Arial"/>
                <w:sz w:val="24"/>
                <w:szCs w:val="24"/>
              </w:rPr>
            </w:pPr>
            <w:r w:rsidRPr="00480643">
              <w:rPr>
                <w:rFonts w:ascii="Arial" w:hAnsi="Arial" w:cs="Arial"/>
                <w:sz w:val="24"/>
                <w:szCs w:val="24"/>
              </w:rPr>
              <w:t>1</w:t>
            </w:r>
          </w:p>
        </w:tc>
        <w:tc>
          <w:tcPr>
            <w:tcW w:w="774" w:type="pct"/>
            <w:tcBorders>
              <w:bottom w:val="single" w:sz="4" w:space="0" w:color="auto"/>
            </w:tcBorders>
            <w:shd w:val="clear" w:color="auto" w:fill="auto"/>
            <w:vAlign w:val="bottom"/>
          </w:tcPr>
          <w:p w:rsidR="009A4C77" w:rsidRPr="00480643" w:rsidRDefault="009A4C77" w:rsidP="001461BD">
            <w:pPr>
              <w:jc w:val="right"/>
              <w:rPr>
                <w:rFonts w:ascii="Arial" w:hAnsi="Arial" w:cs="Arial"/>
                <w:sz w:val="24"/>
                <w:szCs w:val="24"/>
              </w:rPr>
            </w:pPr>
          </w:p>
        </w:tc>
      </w:tr>
      <w:tr w:rsidR="009A4C77" w:rsidRPr="00480643" w:rsidTr="001461BD">
        <w:tc>
          <w:tcPr>
            <w:tcW w:w="2967" w:type="pct"/>
            <w:tcBorders>
              <w:top w:val="single" w:sz="4" w:space="0" w:color="auto"/>
              <w:bottom w:val="single" w:sz="4" w:space="0" w:color="auto"/>
            </w:tcBorders>
            <w:shd w:val="clear" w:color="auto" w:fill="auto"/>
          </w:tcPr>
          <w:p w:rsidR="009A4C77" w:rsidRPr="00480643" w:rsidRDefault="009A4C77" w:rsidP="001461BD">
            <w:pPr>
              <w:rPr>
                <w:rFonts w:ascii="Arial" w:hAnsi="Arial" w:cs="Arial"/>
                <w:sz w:val="24"/>
                <w:szCs w:val="24"/>
              </w:rPr>
            </w:pPr>
            <w:r w:rsidRPr="00480643">
              <w:rPr>
                <w:rFonts w:ascii="Arial" w:hAnsi="Arial" w:cs="Arial"/>
                <w:sz w:val="24"/>
                <w:szCs w:val="24"/>
              </w:rPr>
              <w:t>Adjusted pre-tax profit</w:t>
            </w:r>
          </w:p>
        </w:tc>
        <w:tc>
          <w:tcPr>
            <w:tcW w:w="634" w:type="pct"/>
            <w:tcBorders>
              <w:top w:val="single" w:sz="4" w:space="0" w:color="auto"/>
              <w:bottom w:val="single" w:sz="4" w:space="0" w:color="auto"/>
            </w:tcBorders>
            <w:shd w:val="clear" w:color="auto" w:fill="auto"/>
          </w:tcPr>
          <w:p w:rsidR="009A4C77" w:rsidRPr="00480643" w:rsidRDefault="009A4C77" w:rsidP="001461BD">
            <w:pPr>
              <w:jc w:val="right"/>
              <w:rPr>
                <w:rFonts w:ascii="Arial" w:hAnsi="Arial" w:cs="Arial"/>
                <w:b/>
                <w:sz w:val="24"/>
                <w:szCs w:val="24"/>
              </w:rPr>
            </w:pPr>
            <w:r>
              <w:rPr>
                <w:rFonts w:ascii="Arial" w:hAnsi="Arial" w:cs="Arial"/>
                <w:b/>
                <w:sz w:val="24"/>
                <w:szCs w:val="24"/>
              </w:rPr>
              <w:t>365</w:t>
            </w:r>
          </w:p>
        </w:tc>
        <w:tc>
          <w:tcPr>
            <w:tcW w:w="625" w:type="pct"/>
            <w:tcBorders>
              <w:top w:val="single" w:sz="4" w:space="0" w:color="auto"/>
              <w:bottom w:val="single" w:sz="4" w:space="0" w:color="auto"/>
            </w:tcBorders>
            <w:shd w:val="clear" w:color="auto" w:fill="auto"/>
          </w:tcPr>
          <w:p w:rsidR="009A4C77" w:rsidRPr="00480643" w:rsidRDefault="009A4C77" w:rsidP="001461BD">
            <w:pPr>
              <w:jc w:val="right"/>
              <w:rPr>
                <w:rFonts w:ascii="Arial" w:hAnsi="Arial" w:cs="Arial"/>
                <w:sz w:val="24"/>
                <w:szCs w:val="24"/>
              </w:rPr>
            </w:pPr>
            <w:r w:rsidRPr="00480643">
              <w:rPr>
                <w:rFonts w:ascii="Arial" w:hAnsi="Arial" w:cs="Arial"/>
                <w:sz w:val="24"/>
                <w:szCs w:val="24"/>
              </w:rPr>
              <w:t>371</w:t>
            </w:r>
          </w:p>
        </w:tc>
        <w:tc>
          <w:tcPr>
            <w:tcW w:w="774" w:type="pct"/>
            <w:tcBorders>
              <w:top w:val="single" w:sz="4" w:space="0" w:color="auto"/>
              <w:bottom w:val="single" w:sz="4" w:space="0" w:color="auto"/>
            </w:tcBorders>
            <w:shd w:val="clear" w:color="auto" w:fill="auto"/>
            <w:vAlign w:val="bottom"/>
          </w:tcPr>
          <w:p w:rsidR="009A4C77" w:rsidRPr="00480643" w:rsidRDefault="009A4C77" w:rsidP="001461BD">
            <w:pPr>
              <w:jc w:val="right"/>
              <w:rPr>
                <w:rFonts w:ascii="Arial" w:hAnsi="Arial" w:cs="Arial"/>
                <w:sz w:val="24"/>
                <w:szCs w:val="24"/>
              </w:rPr>
            </w:pPr>
            <w:r>
              <w:rPr>
                <w:rFonts w:ascii="Arial" w:hAnsi="Arial" w:cs="Arial"/>
                <w:sz w:val="24"/>
                <w:szCs w:val="24"/>
              </w:rPr>
              <w:t>(1.6)</w:t>
            </w:r>
            <w:r w:rsidRPr="00480643">
              <w:rPr>
                <w:rFonts w:ascii="Arial" w:hAnsi="Arial" w:cs="Arial"/>
                <w:sz w:val="24"/>
                <w:szCs w:val="24"/>
              </w:rPr>
              <w:t>%</w:t>
            </w:r>
          </w:p>
        </w:tc>
      </w:tr>
    </w:tbl>
    <w:p w:rsidR="009A4C77" w:rsidRDefault="009A4C77" w:rsidP="009A4C77">
      <w:pPr>
        <w:rPr>
          <w:rFonts w:ascii="Arial" w:hAnsi="Arial" w:cs="Arial"/>
          <w:sz w:val="24"/>
          <w:szCs w:val="24"/>
        </w:rPr>
      </w:pPr>
    </w:p>
    <w:p w:rsidR="009A4C77" w:rsidRDefault="009A4C77" w:rsidP="009A4C77">
      <w:pPr>
        <w:jc w:val="left"/>
        <w:rPr>
          <w:rFonts w:ascii="Arial" w:hAnsi="Arial" w:cs="Arial"/>
          <w:sz w:val="24"/>
          <w:szCs w:val="24"/>
        </w:rPr>
      </w:pPr>
      <w:r>
        <w:rPr>
          <w:rFonts w:ascii="Arial" w:hAnsi="Arial" w:cs="Arial"/>
          <w:sz w:val="24"/>
          <w:szCs w:val="24"/>
        </w:rPr>
        <w:t xml:space="preserve">Profit after tax and </w:t>
      </w:r>
      <w:r w:rsidR="00240148">
        <w:rPr>
          <w:rFonts w:ascii="Arial" w:hAnsi="Arial" w:cs="Arial"/>
          <w:sz w:val="24"/>
          <w:szCs w:val="24"/>
        </w:rPr>
        <w:t xml:space="preserve">Basic </w:t>
      </w:r>
      <w:r>
        <w:rPr>
          <w:rFonts w:ascii="Arial" w:hAnsi="Arial" w:cs="Arial"/>
          <w:sz w:val="24"/>
          <w:szCs w:val="24"/>
        </w:rPr>
        <w:t>EPS including all exceptional items for the six months ended 3 August 2013 are set out below:</w:t>
      </w:r>
    </w:p>
    <w:p w:rsidR="009A4C77" w:rsidRDefault="009A4C77" w:rsidP="009A4C77">
      <w:pPr>
        <w:jc w:val="left"/>
        <w:rPr>
          <w:rFonts w:ascii="Arial" w:hAnsi="Arial" w:cs="Arial"/>
          <w:sz w:val="24"/>
          <w:szCs w:val="24"/>
        </w:rPr>
      </w:pPr>
    </w:p>
    <w:tbl>
      <w:tblPr>
        <w:tblW w:w="5001" w:type="pct"/>
        <w:tblLook w:val="01E0" w:firstRow="1" w:lastRow="1" w:firstColumn="1" w:lastColumn="1" w:noHBand="0" w:noVBand="0"/>
      </w:tblPr>
      <w:tblGrid>
        <w:gridCol w:w="5808"/>
        <w:gridCol w:w="1221"/>
        <w:gridCol w:w="1341"/>
        <w:gridCol w:w="1489"/>
      </w:tblGrid>
      <w:tr w:rsidR="009A4C77" w:rsidRPr="00E42424" w:rsidTr="001461BD">
        <w:tc>
          <w:tcPr>
            <w:tcW w:w="2946" w:type="pct"/>
            <w:tcBorders>
              <w:bottom w:val="single" w:sz="4" w:space="0" w:color="auto"/>
            </w:tcBorders>
            <w:shd w:val="clear" w:color="auto" w:fill="auto"/>
          </w:tcPr>
          <w:p w:rsidR="009A4C77" w:rsidRPr="00E42424" w:rsidRDefault="009A4C77" w:rsidP="001461BD">
            <w:pPr>
              <w:jc w:val="right"/>
              <w:rPr>
                <w:rFonts w:ascii="Arial" w:hAnsi="Arial" w:cs="Arial"/>
                <w:sz w:val="24"/>
                <w:szCs w:val="24"/>
              </w:rPr>
            </w:pPr>
          </w:p>
        </w:tc>
        <w:tc>
          <w:tcPr>
            <w:tcW w:w="619" w:type="pct"/>
            <w:tcBorders>
              <w:bottom w:val="single" w:sz="4" w:space="0" w:color="auto"/>
            </w:tcBorders>
            <w:shd w:val="clear" w:color="auto" w:fill="auto"/>
          </w:tcPr>
          <w:p w:rsidR="009A4C77" w:rsidRPr="00E42424" w:rsidRDefault="009A4C77" w:rsidP="001461BD">
            <w:pPr>
              <w:jc w:val="right"/>
              <w:rPr>
                <w:rFonts w:ascii="Arial" w:hAnsi="Arial" w:cs="Arial"/>
                <w:b/>
                <w:sz w:val="24"/>
                <w:szCs w:val="24"/>
              </w:rPr>
            </w:pPr>
            <w:r w:rsidRPr="00E42424">
              <w:rPr>
                <w:rFonts w:ascii="Arial" w:hAnsi="Arial" w:cs="Arial"/>
                <w:b/>
                <w:sz w:val="24"/>
                <w:szCs w:val="24"/>
              </w:rPr>
              <w:t>2013/14</w:t>
            </w:r>
          </w:p>
        </w:tc>
        <w:tc>
          <w:tcPr>
            <w:tcW w:w="680" w:type="pct"/>
            <w:tcBorders>
              <w:bottom w:val="single" w:sz="4" w:space="0" w:color="auto"/>
            </w:tcBorders>
            <w:shd w:val="clear" w:color="auto" w:fill="auto"/>
          </w:tcPr>
          <w:p w:rsidR="009A4C77" w:rsidRPr="00E42424" w:rsidRDefault="009A4C77" w:rsidP="001461BD">
            <w:pPr>
              <w:jc w:val="right"/>
              <w:rPr>
                <w:rFonts w:ascii="Arial" w:hAnsi="Arial" w:cs="Arial"/>
                <w:sz w:val="24"/>
                <w:szCs w:val="24"/>
              </w:rPr>
            </w:pPr>
            <w:r w:rsidRPr="00E42424">
              <w:rPr>
                <w:rFonts w:ascii="Arial" w:hAnsi="Arial" w:cs="Arial"/>
                <w:sz w:val="24"/>
                <w:szCs w:val="24"/>
              </w:rPr>
              <w:t>2012/13</w:t>
            </w:r>
          </w:p>
        </w:tc>
        <w:tc>
          <w:tcPr>
            <w:tcW w:w="755" w:type="pct"/>
            <w:tcBorders>
              <w:bottom w:val="single" w:sz="4" w:space="0" w:color="auto"/>
            </w:tcBorders>
            <w:shd w:val="clear" w:color="auto" w:fill="auto"/>
          </w:tcPr>
          <w:p w:rsidR="009A4C77" w:rsidRPr="00E42424" w:rsidRDefault="009A4C77" w:rsidP="001461BD">
            <w:pPr>
              <w:jc w:val="right"/>
              <w:rPr>
                <w:rFonts w:ascii="Arial" w:hAnsi="Arial" w:cs="Arial"/>
                <w:sz w:val="24"/>
                <w:szCs w:val="24"/>
              </w:rPr>
            </w:pPr>
            <w:r w:rsidRPr="00E42424">
              <w:rPr>
                <w:rFonts w:ascii="Arial" w:hAnsi="Arial" w:cs="Arial"/>
                <w:sz w:val="24"/>
                <w:szCs w:val="24"/>
              </w:rPr>
              <w:t>Increase</w:t>
            </w:r>
          </w:p>
        </w:tc>
      </w:tr>
      <w:tr w:rsidR="009A4C77" w:rsidRPr="00480643" w:rsidTr="001461BD">
        <w:trPr>
          <w:trHeight w:val="80"/>
        </w:trPr>
        <w:tc>
          <w:tcPr>
            <w:tcW w:w="2946" w:type="pct"/>
            <w:tcBorders>
              <w:top w:val="single" w:sz="4" w:space="0" w:color="auto"/>
            </w:tcBorders>
            <w:shd w:val="clear" w:color="auto" w:fill="auto"/>
          </w:tcPr>
          <w:p w:rsidR="009A4C77" w:rsidRPr="00480643" w:rsidRDefault="009A4C77" w:rsidP="001461BD">
            <w:pPr>
              <w:rPr>
                <w:rFonts w:ascii="Arial" w:hAnsi="Arial" w:cs="Arial"/>
                <w:sz w:val="2"/>
                <w:szCs w:val="2"/>
              </w:rPr>
            </w:pPr>
          </w:p>
        </w:tc>
        <w:tc>
          <w:tcPr>
            <w:tcW w:w="619" w:type="pct"/>
            <w:tcBorders>
              <w:top w:val="single" w:sz="4" w:space="0" w:color="auto"/>
            </w:tcBorders>
            <w:shd w:val="clear" w:color="auto" w:fill="auto"/>
          </w:tcPr>
          <w:p w:rsidR="009A4C77" w:rsidRPr="00480643" w:rsidRDefault="009A4C77" w:rsidP="001461BD">
            <w:pPr>
              <w:jc w:val="right"/>
              <w:rPr>
                <w:rFonts w:ascii="Arial" w:hAnsi="Arial" w:cs="Arial"/>
                <w:b/>
                <w:sz w:val="2"/>
                <w:szCs w:val="2"/>
              </w:rPr>
            </w:pPr>
          </w:p>
        </w:tc>
        <w:tc>
          <w:tcPr>
            <w:tcW w:w="680" w:type="pct"/>
            <w:tcBorders>
              <w:top w:val="single" w:sz="4" w:space="0" w:color="auto"/>
            </w:tcBorders>
            <w:shd w:val="clear" w:color="auto" w:fill="auto"/>
          </w:tcPr>
          <w:p w:rsidR="009A4C77" w:rsidRPr="00480643" w:rsidRDefault="009A4C77" w:rsidP="001461BD">
            <w:pPr>
              <w:jc w:val="right"/>
              <w:rPr>
                <w:rFonts w:ascii="Arial" w:hAnsi="Arial" w:cs="Arial"/>
                <w:sz w:val="2"/>
                <w:szCs w:val="2"/>
              </w:rPr>
            </w:pPr>
          </w:p>
        </w:tc>
        <w:tc>
          <w:tcPr>
            <w:tcW w:w="755" w:type="pct"/>
            <w:tcBorders>
              <w:top w:val="single" w:sz="4" w:space="0" w:color="auto"/>
            </w:tcBorders>
            <w:shd w:val="clear" w:color="auto" w:fill="auto"/>
          </w:tcPr>
          <w:p w:rsidR="009A4C77" w:rsidRPr="00480643" w:rsidRDefault="009A4C77" w:rsidP="001461BD">
            <w:pPr>
              <w:jc w:val="right"/>
              <w:rPr>
                <w:rFonts w:ascii="Arial" w:hAnsi="Arial" w:cs="Arial"/>
                <w:sz w:val="2"/>
                <w:szCs w:val="2"/>
              </w:rPr>
            </w:pPr>
          </w:p>
        </w:tc>
      </w:tr>
      <w:tr w:rsidR="009A4C77" w:rsidRPr="00480643" w:rsidTr="001461BD">
        <w:tc>
          <w:tcPr>
            <w:tcW w:w="2946" w:type="pct"/>
            <w:shd w:val="clear" w:color="auto" w:fill="auto"/>
          </w:tcPr>
          <w:p w:rsidR="009A4C77" w:rsidRPr="00480643" w:rsidRDefault="009A4C77" w:rsidP="001461BD">
            <w:pPr>
              <w:rPr>
                <w:rFonts w:ascii="Arial" w:hAnsi="Arial" w:cs="Arial"/>
                <w:sz w:val="24"/>
                <w:szCs w:val="24"/>
              </w:rPr>
            </w:pPr>
            <w:r w:rsidRPr="00480643">
              <w:rPr>
                <w:rFonts w:ascii="Arial" w:hAnsi="Arial" w:cs="Arial"/>
                <w:sz w:val="24"/>
                <w:szCs w:val="24"/>
              </w:rPr>
              <w:t>Profit after tax</w:t>
            </w:r>
          </w:p>
        </w:tc>
        <w:tc>
          <w:tcPr>
            <w:tcW w:w="619" w:type="pct"/>
            <w:shd w:val="clear" w:color="auto" w:fill="auto"/>
          </w:tcPr>
          <w:p w:rsidR="009A4C77" w:rsidRPr="00480643" w:rsidRDefault="009A4C77" w:rsidP="001461BD">
            <w:pPr>
              <w:jc w:val="right"/>
              <w:rPr>
                <w:rFonts w:ascii="Arial" w:hAnsi="Arial" w:cs="Arial"/>
                <w:b/>
                <w:sz w:val="24"/>
                <w:szCs w:val="24"/>
                <w:highlight w:val="yellow"/>
              </w:rPr>
            </w:pPr>
            <w:r w:rsidRPr="00936590">
              <w:rPr>
                <w:rFonts w:ascii="Arial" w:hAnsi="Arial" w:cs="Arial"/>
                <w:b/>
                <w:sz w:val="24"/>
                <w:szCs w:val="24"/>
              </w:rPr>
              <w:t>£440m</w:t>
            </w:r>
          </w:p>
        </w:tc>
        <w:tc>
          <w:tcPr>
            <w:tcW w:w="680" w:type="pct"/>
            <w:shd w:val="clear" w:color="auto" w:fill="auto"/>
          </w:tcPr>
          <w:p w:rsidR="009A4C77" w:rsidRPr="00480643" w:rsidRDefault="009A4C77" w:rsidP="001461BD">
            <w:pPr>
              <w:jc w:val="right"/>
              <w:rPr>
                <w:rFonts w:ascii="Arial" w:hAnsi="Arial" w:cs="Arial"/>
                <w:sz w:val="24"/>
                <w:szCs w:val="24"/>
              </w:rPr>
            </w:pPr>
            <w:r w:rsidRPr="00480643">
              <w:rPr>
                <w:rFonts w:ascii="Arial" w:hAnsi="Arial" w:cs="Arial"/>
                <w:sz w:val="24"/>
                <w:szCs w:val="24"/>
              </w:rPr>
              <w:t>£259m</w:t>
            </w:r>
          </w:p>
        </w:tc>
        <w:tc>
          <w:tcPr>
            <w:tcW w:w="755" w:type="pct"/>
            <w:shd w:val="clear" w:color="auto" w:fill="auto"/>
          </w:tcPr>
          <w:p w:rsidR="009A4C77" w:rsidRPr="00480643" w:rsidRDefault="00490E3B" w:rsidP="001461BD">
            <w:pPr>
              <w:jc w:val="right"/>
              <w:rPr>
                <w:rFonts w:ascii="Arial" w:hAnsi="Arial" w:cs="Arial"/>
                <w:sz w:val="24"/>
                <w:szCs w:val="24"/>
              </w:rPr>
            </w:pPr>
            <w:r>
              <w:rPr>
                <w:rFonts w:ascii="Arial" w:hAnsi="Arial" w:cs="Arial"/>
                <w:sz w:val="24"/>
                <w:szCs w:val="24"/>
              </w:rPr>
              <w:t>+</w:t>
            </w:r>
            <w:r w:rsidR="009A4C77">
              <w:rPr>
                <w:rFonts w:ascii="Arial" w:hAnsi="Arial" w:cs="Arial"/>
                <w:sz w:val="24"/>
                <w:szCs w:val="24"/>
              </w:rPr>
              <w:t>69.9</w:t>
            </w:r>
            <w:r w:rsidR="009A4C77" w:rsidRPr="00480643">
              <w:rPr>
                <w:rFonts w:ascii="Arial" w:hAnsi="Arial" w:cs="Arial"/>
                <w:sz w:val="24"/>
                <w:szCs w:val="24"/>
              </w:rPr>
              <w:t>%</w:t>
            </w:r>
          </w:p>
        </w:tc>
      </w:tr>
      <w:tr w:rsidR="009A4C77" w:rsidRPr="00480643" w:rsidTr="001461BD">
        <w:trPr>
          <w:trHeight w:hRule="exact" w:val="85"/>
        </w:trPr>
        <w:tc>
          <w:tcPr>
            <w:tcW w:w="2946" w:type="pct"/>
            <w:shd w:val="clear" w:color="auto" w:fill="auto"/>
          </w:tcPr>
          <w:p w:rsidR="009A4C77" w:rsidRPr="00480643" w:rsidRDefault="009A4C77" w:rsidP="001461BD">
            <w:pPr>
              <w:rPr>
                <w:rFonts w:ascii="Arial" w:hAnsi="Arial" w:cs="Arial"/>
                <w:sz w:val="24"/>
                <w:szCs w:val="24"/>
              </w:rPr>
            </w:pPr>
          </w:p>
        </w:tc>
        <w:tc>
          <w:tcPr>
            <w:tcW w:w="619" w:type="pct"/>
            <w:shd w:val="clear" w:color="auto" w:fill="auto"/>
          </w:tcPr>
          <w:p w:rsidR="009A4C77" w:rsidRPr="00480643" w:rsidRDefault="009A4C77" w:rsidP="001461BD">
            <w:pPr>
              <w:jc w:val="center"/>
              <w:rPr>
                <w:rFonts w:ascii="Arial" w:hAnsi="Arial" w:cs="Arial"/>
                <w:b/>
                <w:sz w:val="24"/>
                <w:szCs w:val="24"/>
                <w:highlight w:val="yellow"/>
              </w:rPr>
            </w:pPr>
          </w:p>
        </w:tc>
        <w:tc>
          <w:tcPr>
            <w:tcW w:w="680" w:type="pct"/>
            <w:shd w:val="clear" w:color="auto" w:fill="auto"/>
          </w:tcPr>
          <w:p w:rsidR="009A4C77" w:rsidRPr="00480643" w:rsidRDefault="009A4C77" w:rsidP="001461BD">
            <w:pPr>
              <w:jc w:val="center"/>
              <w:rPr>
                <w:rFonts w:ascii="Arial" w:hAnsi="Arial" w:cs="Arial"/>
                <w:sz w:val="24"/>
                <w:szCs w:val="24"/>
              </w:rPr>
            </w:pPr>
          </w:p>
        </w:tc>
        <w:tc>
          <w:tcPr>
            <w:tcW w:w="755" w:type="pct"/>
            <w:shd w:val="clear" w:color="auto" w:fill="auto"/>
          </w:tcPr>
          <w:p w:rsidR="009A4C77" w:rsidRPr="00480643" w:rsidRDefault="009A4C77" w:rsidP="001461BD">
            <w:pPr>
              <w:jc w:val="right"/>
              <w:rPr>
                <w:rFonts w:ascii="Arial" w:hAnsi="Arial" w:cs="Arial"/>
                <w:sz w:val="24"/>
                <w:szCs w:val="24"/>
              </w:rPr>
            </w:pPr>
          </w:p>
        </w:tc>
      </w:tr>
      <w:tr w:rsidR="009A4C77" w:rsidRPr="00480643" w:rsidTr="001461BD">
        <w:tc>
          <w:tcPr>
            <w:tcW w:w="2946" w:type="pct"/>
            <w:tcBorders>
              <w:bottom w:val="single" w:sz="4" w:space="0" w:color="auto"/>
            </w:tcBorders>
            <w:shd w:val="clear" w:color="auto" w:fill="auto"/>
          </w:tcPr>
          <w:p w:rsidR="009A4C77" w:rsidRPr="00480643" w:rsidRDefault="009A4C77" w:rsidP="001461BD">
            <w:pPr>
              <w:rPr>
                <w:rFonts w:ascii="Arial" w:hAnsi="Arial" w:cs="Arial"/>
                <w:sz w:val="24"/>
                <w:szCs w:val="24"/>
              </w:rPr>
            </w:pPr>
            <w:r w:rsidRPr="00480643">
              <w:rPr>
                <w:rFonts w:ascii="Arial" w:hAnsi="Arial" w:cs="Arial"/>
                <w:sz w:val="24"/>
                <w:szCs w:val="24"/>
              </w:rPr>
              <w:t xml:space="preserve">Basic EPS </w:t>
            </w:r>
          </w:p>
        </w:tc>
        <w:tc>
          <w:tcPr>
            <w:tcW w:w="619" w:type="pct"/>
            <w:tcBorders>
              <w:bottom w:val="single" w:sz="4" w:space="0" w:color="auto"/>
            </w:tcBorders>
            <w:shd w:val="clear" w:color="auto" w:fill="auto"/>
          </w:tcPr>
          <w:p w:rsidR="009A4C77" w:rsidRPr="00480643" w:rsidRDefault="009A4C77" w:rsidP="001461BD">
            <w:pPr>
              <w:jc w:val="right"/>
              <w:rPr>
                <w:rFonts w:ascii="Arial" w:hAnsi="Arial" w:cs="Arial"/>
                <w:b/>
                <w:sz w:val="24"/>
                <w:szCs w:val="24"/>
                <w:highlight w:val="yellow"/>
              </w:rPr>
            </w:pPr>
            <w:r w:rsidRPr="00936590">
              <w:rPr>
                <w:rFonts w:ascii="Arial" w:hAnsi="Arial" w:cs="Arial"/>
                <w:b/>
                <w:sz w:val="24"/>
                <w:szCs w:val="24"/>
              </w:rPr>
              <w:t>18.7p</w:t>
            </w:r>
          </w:p>
        </w:tc>
        <w:tc>
          <w:tcPr>
            <w:tcW w:w="680" w:type="pct"/>
            <w:tcBorders>
              <w:bottom w:val="single" w:sz="4" w:space="0" w:color="auto"/>
            </w:tcBorders>
            <w:shd w:val="clear" w:color="auto" w:fill="auto"/>
          </w:tcPr>
          <w:p w:rsidR="009A4C77" w:rsidRPr="00480643" w:rsidRDefault="009A4C77" w:rsidP="001461BD">
            <w:pPr>
              <w:jc w:val="right"/>
              <w:rPr>
                <w:rFonts w:ascii="Arial" w:hAnsi="Arial" w:cs="Arial"/>
                <w:sz w:val="24"/>
                <w:szCs w:val="24"/>
              </w:rPr>
            </w:pPr>
            <w:r w:rsidRPr="00480643">
              <w:rPr>
                <w:rFonts w:ascii="Arial" w:hAnsi="Arial" w:cs="Arial"/>
                <w:sz w:val="24"/>
                <w:szCs w:val="24"/>
              </w:rPr>
              <w:t>11.1p</w:t>
            </w:r>
          </w:p>
        </w:tc>
        <w:tc>
          <w:tcPr>
            <w:tcW w:w="755" w:type="pct"/>
            <w:tcBorders>
              <w:bottom w:val="single" w:sz="4" w:space="0" w:color="auto"/>
            </w:tcBorders>
            <w:shd w:val="clear" w:color="auto" w:fill="auto"/>
          </w:tcPr>
          <w:p w:rsidR="009A4C77" w:rsidRPr="00480643" w:rsidRDefault="00490E3B" w:rsidP="001461BD">
            <w:pPr>
              <w:jc w:val="right"/>
              <w:rPr>
                <w:rFonts w:ascii="Arial" w:hAnsi="Arial" w:cs="Arial"/>
                <w:sz w:val="24"/>
                <w:szCs w:val="24"/>
              </w:rPr>
            </w:pPr>
            <w:r>
              <w:rPr>
                <w:rFonts w:ascii="Arial" w:hAnsi="Arial" w:cs="Arial"/>
                <w:sz w:val="24"/>
                <w:szCs w:val="24"/>
              </w:rPr>
              <w:t>+</w:t>
            </w:r>
            <w:r w:rsidR="009A4C77">
              <w:rPr>
                <w:rFonts w:ascii="Arial" w:hAnsi="Arial" w:cs="Arial"/>
                <w:sz w:val="24"/>
                <w:szCs w:val="24"/>
              </w:rPr>
              <w:t>68.5</w:t>
            </w:r>
            <w:r w:rsidR="009A4C77" w:rsidRPr="00480643">
              <w:rPr>
                <w:rFonts w:ascii="Arial" w:hAnsi="Arial" w:cs="Arial"/>
                <w:sz w:val="24"/>
                <w:szCs w:val="24"/>
              </w:rPr>
              <w:t>%</w:t>
            </w:r>
          </w:p>
        </w:tc>
      </w:tr>
    </w:tbl>
    <w:p w:rsidR="009A4C77" w:rsidRDefault="009A4C77" w:rsidP="009A4C77">
      <w:pPr>
        <w:jc w:val="left"/>
        <w:rPr>
          <w:rFonts w:ascii="Arial" w:hAnsi="Arial" w:cs="Arial"/>
          <w:b/>
          <w:sz w:val="24"/>
          <w:szCs w:val="24"/>
        </w:rPr>
      </w:pPr>
    </w:p>
    <w:p w:rsidR="009A4C77" w:rsidRDefault="009A4C77" w:rsidP="009A4C77">
      <w:pPr>
        <w:jc w:val="left"/>
        <w:rPr>
          <w:rFonts w:ascii="Arial" w:hAnsi="Arial" w:cs="Arial"/>
          <w:b/>
          <w:sz w:val="24"/>
          <w:szCs w:val="24"/>
        </w:rPr>
      </w:pPr>
      <w:r>
        <w:rPr>
          <w:rFonts w:ascii="Arial" w:hAnsi="Arial" w:cs="Arial"/>
          <w:b/>
          <w:sz w:val="24"/>
          <w:szCs w:val="24"/>
        </w:rPr>
        <w:t xml:space="preserve">Overview </w:t>
      </w:r>
    </w:p>
    <w:p w:rsidR="009A4C77" w:rsidRDefault="009A4C77" w:rsidP="009A4C77">
      <w:pPr>
        <w:jc w:val="left"/>
        <w:rPr>
          <w:rFonts w:ascii="Arial" w:hAnsi="Arial" w:cs="Arial"/>
          <w:b/>
          <w:sz w:val="24"/>
          <w:szCs w:val="24"/>
        </w:rPr>
      </w:pPr>
    </w:p>
    <w:p w:rsidR="009A4C77" w:rsidRPr="00126D73" w:rsidRDefault="009A4C77" w:rsidP="009A4C77">
      <w:pPr>
        <w:jc w:val="left"/>
        <w:rPr>
          <w:rFonts w:ascii="Arial" w:hAnsi="Arial" w:cs="Arial"/>
          <w:sz w:val="24"/>
          <w:szCs w:val="24"/>
        </w:rPr>
      </w:pPr>
      <w:r w:rsidRPr="00126D73">
        <w:rPr>
          <w:rFonts w:ascii="Arial" w:hAnsi="Arial" w:cs="Arial"/>
          <w:sz w:val="24"/>
          <w:szCs w:val="24"/>
        </w:rPr>
        <w:t>The s</w:t>
      </w:r>
      <w:r>
        <w:rPr>
          <w:rFonts w:ascii="Arial" w:hAnsi="Arial" w:cs="Arial"/>
          <w:sz w:val="24"/>
          <w:szCs w:val="24"/>
        </w:rPr>
        <w:t>tatutory financial results for the half year have benefitted significantly from exceptional items which add £35 million to profit before tax, £153 million to profit after tax and 6.5p to basic earnings per share. The exceptional items are detailed further below. For comparative purposes we have presented adjusted measures.</w:t>
      </w:r>
    </w:p>
    <w:p w:rsidR="009A4C77" w:rsidRPr="00126D73" w:rsidRDefault="009A4C77" w:rsidP="009A4C77">
      <w:pPr>
        <w:jc w:val="left"/>
        <w:rPr>
          <w:rFonts w:ascii="Arial" w:hAnsi="Arial" w:cs="Arial"/>
          <w:sz w:val="24"/>
          <w:szCs w:val="24"/>
        </w:rPr>
      </w:pPr>
    </w:p>
    <w:p w:rsidR="009A4C77" w:rsidRPr="00B61640" w:rsidRDefault="009A4C77" w:rsidP="009A4C77">
      <w:pPr>
        <w:ind w:right="-368"/>
        <w:jc w:val="left"/>
        <w:rPr>
          <w:rFonts w:ascii="Arial" w:hAnsi="Arial" w:cs="Arial"/>
          <w:sz w:val="24"/>
          <w:szCs w:val="24"/>
        </w:rPr>
      </w:pPr>
      <w:r w:rsidRPr="004B1BB5">
        <w:rPr>
          <w:rFonts w:ascii="Arial" w:hAnsi="Arial" w:cs="Arial"/>
          <w:sz w:val="24"/>
          <w:szCs w:val="24"/>
        </w:rPr>
        <w:t>Total</w:t>
      </w:r>
      <w:r w:rsidRPr="004B1BB5">
        <w:rPr>
          <w:rFonts w:ascii="Arial" w:hAnsi="Arial" w:cs="Arial"/>
          <w:b/>
          <w:sz w:val="24"/>
          <w:szCs w:val="24"/>
        </w:rPr>
        <w:t xml:space="preserve"> </w:t>
      </w:r>
      <w:r w:rsidRPr="00AF6B54">
        <w:rPr>
          <w:rFonts w:ascii="Arial" w:hAnsi="Arial" w:cs="Arial"/>
          <w:b/>
          <w:sz w:val="24"/>
          <w:szCs w:val="24"/>
        </w:rPr>
        <w:t>sales</w:t>
      </w:r>
      <w:r w:rsidRPr="00AF6B54">
        <w:rPr>
          <w:rFonts w:ascii="Arial" w:hAnsi="Arial" w:cs="Arial"/>
          <w:sz w:val="24"/>
          <w:szCs w:val="24"/>
        </w:rPr>
        <w:t xml:space="preserve"> grew by 1.5% on a</w:t>
      </w:r>
      <w:r w:rsidRPr="004B1BB5">
        <w:rPr>
          <w:rFonts w:ascii="Arial" w:hAnsi="Arial" w:cs="Arial"/>
          <w:sz w:val="24"/>
          <w:szCs w:val="24"/>
        </w:rPr>
        <w:t xml:space="preserve"> constant currency basis </w:t>
      </w:r>
      <w:r w:rsidRPr="00AF6B54">
        <w:rPr>
          <w:rFonts w:ascii="Arial" w:hAnsi="Arial" w:cs="Arial"/>
          <w:sz w:val="24"/>
          <w:szCs w:val="24"/>
        </w:rPr>
        <w:t>and grew by 4.3% to £5.7 billion</w:t>
      </w:r>
      <w:r w:rsidRPr="00ED7BDB">
        <w:rPr>
          <w:rFonts w:ascii="Arial" w:hAnsi="Arial" w:cs="Arial"/>
          <w:sz w:val="24"/>
          <w:szCs w:val="24"/>
        </w:rPr>
        <w:t xml:space="preserve"> </w:t>
      </w:r>
      <w:r w:rsidRPr="00AF6B54">
        <w:rPr>
          <w:rFonts w:ascii="Arial" w:hAnsi="Arial" w:cs="Arial"/>
          <w:sz w:val="24"/>
          <w:szCs w:val="24"/>
        </w:rPr>
        <w:t xml:space="preserve">(2012/13: </w:t>
      </w:r>
      <w:r>
        <w:rPr>
          <w:rFonts w:ascii="Arial" w:hAnsi="Arial" w:cs="Arial"/>
          <w:sz w:val="24"/>
          <w:szCs w:val="24"/>
        </w:rPr>
        <w:t>£</w:t>
      </w:r>
      <w:r w:rsidRPr="00AF6B54">
        <w:rPr>
          <w:rFonts w:ascii="Arial" w:hAnsi="Arial" w:cs="Arial"/>
          <w:sz w:val="24"/>
          <w:szCs w:val="24"/>
        </w:rPr>
        <w:t xml:space="preserve">5.5 billion) on a </w:t>
      </w:r>
      <w:r w:rsidRPr="002E76F4">
        <w:rPr>
          <w:rFonts w:ascii="Arial" w:hAnsi="Arial" w:cs="Arial"/>
          <w:sz w:val="24"/>
          <w:szCs w:val="24"/>
        </w:rPr>
        <w:t xml:space="preserve">reported rate basis. On a like-for-like basis, Group sales were down 0.8% (2012/13: down 2.8%). During the period, a net additional 42 new stores were opened, including 19 Screwfix </w:t>
      </w:r>
      <w:r w:rsidR="00D86A8C">
        <w:rPr>
          <w:rFonts w:ascii="Arial" w:hAnsi="Arial" w:cs="Arial"/>
          <w:sz w:val="24"/>
          <w:szCs w:val="24"/>
        </w:rPr>
        <w:t>outlets</w:t>
      </w:r>
      <w:r>
        <w:rPr>
          <w:rFonts w:ascii="Arial" w:hAnsi="Arial" w:cs="Arial"/>
          <w:sz w:val="24"/>
          <w:szCs w:val="24"/>
        </w:rPr>
        <w:t xml:space="preserve"> and 15 stores acquired with Bricostore Romania</w:t>
      </w:r>
      <w:r w:rsidRPr="002E76F4">
        <w:rPr>
          <w:rFonts w:ascii="Arial" w:hAnsi="Arial" w:cs="Arial"/>
          <w:sz w:val="24"/>
          <w:szCs w:val="24"/>
        </w:rPr>
        <w:t>, taking the store network to 1</w:t>
      </w:r>
      <w:r>
        <w:rPr>
          <w:rFonts w:ascii="Arial" w:hAnsi="Arial" w:cs="Arial"/>
          <w:sz w:val="24"/>
          <w:szCs w:val="24"/>
        </w:rPr>
        <w:t>,</w:t>
      </w:r>
      <w:r w:rsidRPr="002E76F4">
        <w:rPr>
          <w:rFonts w:ascii="Arial" w:hAnsi="Arial" w:cs="Arial"/>
          <w:sz w:val="24"/>
          <w:szCs w:val="24"/>
        </w:rPr>
        <w:t>030</w:t>
      </w:r>
      <w:r w:rsidRPr="00AF6B54">
        <w:rPr>
          <w:rFonts w:ascii="Arial" w:hAnsi="Arial" w:cs="Arial"/>
          <w:sz w:val="24"/>
          <w:szCs w:val="24"/>
        </w:rPr>
        <w:t xml:space="preserve"> stores (excluding 39 Turkey</w:t>
      </w:r>
      <w:r w:rsidRPr="00B61640">
        <w:rPr>
          <w:rFonts w:ascii="Arial" w:hAnsi="Arial" w:cs="Arial"/>
          <w:sz w:val="24"/>
          <w:szCs w:val="24"/>
        </w:rPr>
        <w:t xml:space="preserve"> JV stores). </w:t>
      </w:r>
    </w:p>
    <w:p w:rsidR="009A4C77" w:rsidRPr="00B61640" w:rsidRDefault="009A4C77" w:rsidP="009A4C77">
      <w:pPr>
        <w:ind w:right="-368"/>
        <w:jc w:val="left"/>
        <w:rPr>
          <w:rFonts w:ascii="Arial" w:hAnsi="Arial" w:cs="Arial"/>
          <w:sz w:val="24"/>
          <w:szCs w:val="24"/>
        </w:rPr>
      </w:pPr>
    </w:p>
    <w:p w:rsidR="009A4C77" w:rsidRPr="000F31CD" w:rsidRDefault="009A4C77" w:rsidP="009A4C77">
      <w:pPr>
        <w:ind w:right="-368"/>
        <w:jc w:val="left"/>
        <w:rPr>
          <w:rFonts w:ascii="Arial" w:hAnsi="Arial" w:cs="Arial"/>
          <w:sz w:val="24"/>
          <w:szCs w:val="24"/>
        </w:rPr>
      </w:pPr>
      <w:r w:rsidRPr="002E76F4">
        <w:rPr>
          <w:rFonts w:ascii="Arial" w:hAnsi="Arial" w:cs="Arial"/>
          <w:b/>
          <w:sz w:val="24"/>
          <w:szCs w:val="24"/>
        </w:rPr>
        <w:t>Retail profit</w:t>
      </w:r>
      <w:r w:rsidRPr="002E76F4">
        <w:rPr>
          <w:rFonts w:ascii="Arial" w:hAnsi="Arial" w:cs="Arial"/>
          <w:sz w:val="24"/>
          <w:szCs w:val="24"/>
        </w:rPr>
        <w:t xml:space="preserve"> before exceptional items declined by 4.8% on a constant currency basis and by 1.8% to £394 million (2012/13: £401 million restated) on a reported rate basis. Including exceptional items, </w:t>
      </w:r>
      <w:r>
        <w:rPr>
          <w:rFonts w:ascii="Arial" w:hAnsi="Arial" w:cs="Arial"/>
          <w:sz w:val="24"/>
          <w:szCs w:val="24"/>
        </w:rPr>
        <w:t xml:space="preserve">reported </w:t>
      </w:r>
      <w:r w:rsidRPr="002E76F4">
        <w:rPr>
          <w:rFonts w:ascii="Arial" w:hAnsi="Arial" w:cs="Arial"/>
          <w:sz w:val="24"/>
          <w:szCs w:val="24"/>
        </w:rPr>
        <w:t xml:space="preserve">retail profit </w:t>
      </w:r>
      <w:r>
        <w:rPr>
          <w:rFonts w:ascii="Arial" w:hAnsi="Arial" w:cs="Arial"/>
          <w:sz w:val="24"/>
          <w:szCs w:val="24"/>
        </w:rPr>
        <w:t>increased by 1.8</w:t>
      </w:r>
      <w:r w:rsidRPr="002E76F4">
        <w:rPr>
          <w:rFonts w:ascii="Arial" w:hAnsi="Arial" w:cs="Arial"/>
          <w:sz w:val="24"/>
          <w:szCs w:val="24"/>
        </w:rPr>
        <w:t>% to £</w:t>
      </w:r>
      <w:r>
        <w:rPr>
          <w:rFonts w:ascii="Arial" w:hAnsi="Arial" w:cs="Arial"/>
          <w:sz w:val="24"/>
          <w:szCs w:val="24"/>
        </w:rPr>
        <w:t>402</w:t>
      </w:r>
      <w:r w:rsidRPr="002E76F4">
        <w:rPr>
          <w:rFonts w:ascii="Arial" w:hAnsi="Arial" w:cs="Arial"/>
          <w:sz w:val="24"/>
          <w:szCs w:val="24"/>
        </w:rPr>
        <w:t xml:space="preserve"> million (2012/13: £395 million restated).</w:t>
      </w:r>
    </w:p>
    <w:p w:rsidR="009A4C77" w:rsidRPr="0004275F" w:rsidRDefault="009A4C77" w:rsidP="009A4C77">
      <w:pPr>
        <w:jc w:val="left"/>
        <w:rPr>
          <w:rFonts w:ascii="Arial" w:hAnsi="Arial" w:cs="Arial"/>
          <w:sz w:val="24"/>
          <w:szCs w:val="24"/>
        </w:rPr>
      </w:pPr>
      <w:r w:rsidRPr="00B27C91">
        <w:rPr>
          <w:rFonts w:ascii="Arial" w:hAnsi="Arial" w:cs="Arial"/>
          <w:b/>
          <w:sz w:val="24"/>
          <w:szCs w:val="24"/>
        </w:rPr>
        <w:t>Net interest</w:t>
      </w:r>
      <w:r w:rsidRPr="0004275F">
        <w:rPr>
          <w:rFonts w:ascii="Arial" w:hAnsi="Arial" w:cs="Arial"/>
          <w:sz w:val="24"/>
          <w:szCs w:val="24"/>
        </w:rPr>
        <w:t xml:space="preserve"> has moved from a £2</w:t>
      </w:r>
      <w:r w:rsidR="00240148">
        <w:rPr>
          <w:rFonts w:ascii="Arial" w:hAnsi="Arial" w:cs="Arial"/>
          <w:sz w:val="24"/>
          <w:szCs w:val="24"/>
        </w:rPr>
        <w:t xml:space="preserve"> </w:t>
      </w:r>
      <w:r w:rsidRPr="0004275F">
        <w:rPr>
          <w:rFonts w:ascii="Arial" w:hAnsi="Arial" w:cs="Arial"/>
          <w:sz w:val="24"/>
          <w:szCs w:val="24"/>
        </w:rPr>
        <w:t>m</w:t>
      </w:r>
      <w:r w:rsidR="00240148">
        <w:rPr>
          <w:rFonts w:ascii="Arial" w:hAnsi="Arial" w:cs="Arial"/>
          <w:sz w:val="24"/>
          <w:szCs w:val="24"/>
        </w:rPr>
        <w:t>illion</w:t>
      </w:r>
      <w:r w:rsidRPr="0004275F">
        <w:rPr>
          <w:rFonts w:ascii="Arial" w:hAnsi="Arial" w:cs="Arial"/>
          <w:sz w:val="24"/>
          <w:szCs w:val="24"/>
        </w:rPr>
        <w:t xml:space="preserve"> net expense (restated) in the prior half year to a £25</w:t>
      </w:r>
      <w:r w:rsidR="009D6976">
        <w:rPr>
          <w:rFonts w:ascii="Arial" w:hAnsi="Arial" w:cs="Arial"/>
          <w:sz w:val="24"/>
          <w:szCs w:val="24"/>
        </w:rPr>
        <w:t xml:space="preserve"> </w:t>
      </w:r>
      <w:r w:rsidRPr="0004275F">
        <w:rPr>
          <w:rFonts w:ascii="Arial" w:hAnsi="Arial" w:cs="Arial"/>
          <w:sz w:val="24"/>
          <w:szCs w:val="24"/>
        </w:rPr>
        <w:t>m</w:t>
      </w:r>
      <w:r w:rsidR="009D6976">
        <w:rPr>
          <w:rFonts w:ascii="Arial" w:hAnsi="Arial" w:cs="Arial"/>
          <w:sz w:val="24"/>
          <w:szCs w:val="24"/>
        </w:rPr>
        <w:t>illion</w:t>
      </w:r>
      <w:r w:rsidRPr="0004275F">
        <w:rPr>
          <w:rFonts w:ascii="Arial" w:hAnsi="Arial" w:cs="Arial"/>
          <w:sz w:val="24"/>
          <w:szCs w:val="24"/>
        </w:rPr>
        <w:t xml:space="preserve"> net income in the current period. The breakdown is as follows:</w:t>
      </w:r>
    </w:p>
    <w:p w:rsidR="009A4C77" w:rsidRPr="0004275F" w:rsidRDefault="009A4C77" w:rsidP="009A4C77">
      <w:pPr>
        <w:ind w:right="-368"/>
        <w:jc w:val="left"/>
        <w:rPr>
          <w:rFonts w:ascii="Arial" w:hAnsi="Arial" w:cs="Arial"/>
          <w:sz w:val="24"/>
          <w:szCs w:val="24"/>
        </w:rPr>
      </w:pPr>
    </w:p>
    <w:tbl>
      <w:tblPr>
        <w:tblW w:w="5001" w:type="pct"/>
        <w:tblLook w:val="0000" w:firstRow="0" w:lastRow="0" w:firstColumn="0" w:lastColumn="0" w:noHBand="0" w:noVBand="0"/>
      </w:tblPr>
      <w:tblGrid>
        <w:gridCol w:w="6948"/>
        <w:gridCol w:w="1353"/>
        <w:gridCol w:w="1558"/>
      </w:tblGrid>
      <w:tr w:rsidR="009A4C77" w:rsidRPr="0004275F" w:rsidTr="001461BD">
        <w:trPr>
          <w:trHeight w:val="525"/>
        </w:trPr>
        <w:tc>
          <w:tcPr>
            <w:tcW w:w="3524" w:type="pct"/>
            <w:tcBorders>
              <w:bottom w:val="single" w:sz="4" w:space="0" w:color="auto"/>
            </w:tcBorders>
            <w:shd w:val="clear" w:color="auto" w:fill="auto"/>
            <w:vAlign w:val="bottom"/>
          </w:tcPr>
          <w:p w:rsidR="009A4C77" w:rsidRPr="0004275F" w:rsidRDefault="009A4C77" w:rsidP="001461BD">
            <w:pPr>
              <w:jc w:val="left"/>
              <w:rPr>
                <w:rFonts w:ascii="Arial" w:hAnsi="Arial" w:cs="Arial"/>
                <w:bCs/>
                <w:sz w:val="24"/>
                <w:szCs w:val="24"/>
              </w:rPr>
            </w:pPr>
          </w:p>
        </w:tc>
        <w:tc>
          <w:tcPr>
            <w:tcW w:w="686" w:type="pct"/>
            <w:tcBorders>
              <w:bottom w:val="single" w:sz="4" w:space="0" w:color="auto"/>
            </w:tcBorders>
            <w:shd w:val="clear" w:color="auto" w:fill="auto"/>
            <w:vAlign w:val="bottom"/>
          </w:tcPr>
          <w:p w:rsidR="009A4C77" w:rsidRPr="0004275F" w:rsidRDefault="009A4C77" w:rsidP="001461BD">
            <w:pPr>
              <w:jc w:val="right"/>
              <w:rPr>
                <w:rFonts w:ascii="Arial" w:hAnsi="Arial" w:cs="Arial"/>
                <w:b/>
                <w:bCs/>
                <w:sz w:val="24"/>
                <w:szCs w:val="24"/>
              </w:rPr>
            </w:pPr>
            <w:r w:rsidRPr="0004275F">
              <w:rPr>
                <w:rFonts w:ascii="Arial" w:hAnsi="Arial" w:cs="Arial"/>
                <w:b/>
                <w:bCs/>
                <w:sz w:val="24"/>
                <w:szCs w:val="24"/>
              </w:rPr>
              <w:t>2013/14</w:t>
            </w:r>
          </w:p>
          <w:p w:rsidR="009A4C77" w:rsidRPr="0004275F" w:rsidRDefault="009A4C77" w:rsidP="001461BD">
            <w:pPr>
              <w:jc w:val="right"/>
              <w:rPr>
                <w:rFonts w:ascii="Arial" w:hAnsi="Arial" w:cs="Arial"/>
                <w:b/>
                <w:bCs/>
                <w:sz w:val="24"/>
                <w:szCs w:val="24"/>
              </w:rPr>
            </w:pPr>
          </w:p>
          <w:p w:rsidR="009A4C77" w:rsidRPr="0004275F" w:rsidRDefault="009A4C77" w:rsidP="001461BD">
            <w:pPr>
              <w:jc w:val="right"/>
              <w:rPr>
                <w:rFonts w:ascii="Arial" w:hAnsi="Arial" w:cs="Arial"/>
                <w:b/>
                <w:bCs/>
                <w:sz w:val="24"/>
                <w:szCs w:val="24"/>
              </w:rPr>
            </w:pPr>
            <w:r w:rsidRPr="0004275F">
              <w:rPr>
                <w:rFonts w:ascii="Arial" w:hAnsi="Arial" w:cs="Arial"/>
                <w:b/>
                <w:bCs/>
                <w:sz w:val="24"/>
                <w:szCs w:val="24"/>
              </w:rPr>
              <w:t>£m</w:t>
            </w:r>
          </w:p>
        </w:tc>
        <w:tc>
          <w:tcPr>
            <w:tcW w:w="790" w:type="pct"/>
            <w:tcBorders>
              <w:bottom w:val="single" w:sz="4" w:space="0" w:color="auto"/>
            </w:tcBorders>
            <w:vAlign w:val="bottom"/>
          </w:tcPr>
          <w:p w:rsidR="009A4C77" w:rsidRPr="0004275F" w:rsidRDefault="009A4C77" w:rsidP="001461BD">
            <w:pPr>
              <w:jc w:val="right"/>
              <w:rPr>
                <w:rFonts w:ascii="Arial" w:hAnsi="Arial" w:cs="Arial"/>
                <w:bCs/>
                <w:sz w:val="24"/>
                <w:szCs w:val="24"/>
              </w:rPr>
            </w:pPr>
            <w:r w:rsidRPr="0004275F">
              <w:rPr>
                <w:rFonts w:ascii="Arial" w:hAnsi="Arial" w:cs="Arial"/>
                <w:bCs/>
                <w:sz w:val="24"/>
                <w:szCs w:val="24"/>
              </w:rPr>
              <w:t>2012/13 (restated)</w:t>
            </w:r>
          </w:p>
          <w:p w:rsidR="009A4C77" w:rsidRPr="0004275F" w:rsidRDefault="009A4C77" w:rsidP="001461BD">
            <w:pPr>
              <w:jc w:val="right"/>
              <w:rPr>
                <w:rFonts w:ascii="Arial" w:hAnsi="Arial" w:cs="Arial"/>
                <w:bCs/>
                <w:sz w:val="24"/>
                <w:szCs w:val="24"/>
              </w:rPr>
            </w:pPr>
            <w:r w:rsidRPr="0004275F">
              <w:rPr>
                <w:rFonts w:ascii="Arial" w:hAnsi="Arial" w:cs="Arial"/>
                <w:bCs/>
                <w:sz w:val="24"/>
                <w:szCs w:val="24"/>
              </w:rPr>
              <w:t>£m</w:t>
            </w:r>
          </w:p>
        </w:tc>
      </w:tr>
      <w:tr w:rsidR="009A4C77" w:rsidRPr="0004275F" w:rsidTr="001461BD">
        <w:trPr>
          <w:trHeight w:val="254"/>
        </w:trPr>
        <w:tc>
          <w:tcPr>
            <w:tcW w:w="3524" w:type="pct"/>
            <w:tcBorders>
              <w:top w:val="single" w:sz="4" w:space="0" w:color="auto"/>
            </w:tcBorders>
            <w:shd w:val="clear" w:color="auto" w:fill="auto"/>
            <w:vAlign w:val="bottom"/>
          </w:tcPr>
          <w:p w:rsidR="009A4C77" w:rsidRPr="0004275F" w:rsidRDefault="009A4C77" w:rsidP="001461BD">
            <w:pPr>
              <w:rPr>
                <w:rFonts w:ascii="Arial" w:hAnsi="Arial" w:cs="Arial"/>
                <w:b/>
                <w:sz w:val="24"/>
                <w:szCs w:val="24"/>
              </w:rPr>
            </w:pPr>
            <w:r w:rsidRPr="0004275F">
              <w:rPr>
                <w:rFonts w:ascii="Arial" w:hAnsi="Arial" w:cs="Arial"/>
                <w:b/>
                <w:sz w:val="24"/>
                <w:szCs w:val="24"/>
              </w:rPr>
              <w:t>Underlying net interest</w:t>
            </w:r>
          </w:p>
        </w:tc>
        <w:tc>
          <w:tcPr>
            <w:tcW w:w="686" w:type="pct"/>
            <w:tcBorders>
              <w:top w:val="single" w:sz="4" w:space="0" w:color="auto"/>
            </w:tcBorders>
            <w:shd w:val="clear" w:color="auto" w:fill="auto"/>
            <w:vAlign w:val="bottom"/>
          </w:tcPr>
          <w:p w:rsidR="009A4C77" w:rsidRPr="0004275F" w:rsidRDefault="009A4C77" w:rsidP="001461BD">
            <w:pPr>
              <w:jc w:val="right"/>
              <w:rPr>
                <w:rFonts w:ascii="Arial" w:hAnsi="Arial" w:cs="Arial"/>
                <w:b/>
                <w:sz w:val="24"/>
                <w:szCs w:val="24"/>
              </w:rPr>
            </w:pPr>
            <w:r w:rsidRPr="0004275F">
              <w:rPr>
                <w:rFonts w:ascii="Arial" w:hAnsi="Arial" w:cs="Arial"/>
                <w:b/>
                <w:sz w:val="24"/>
                <w:szCs w:val="24"/>
              </w:rPr>
              <w:t>(3)</w:t>
            </w:r>
          </w:p>
        </w:tc>
        <w:tc>
          <w:tcPr>
            <w:tcW w:w="790" w:type="pct"/>
            <w:tcBorders>
              <w:top w:val="single" w:sz="4" w:space="0" w:color="auto"/>
            </w:tcBorders>
            <w:vAlign w:val="bottom"/>
          </w:tcPr>
          <w:p w:rsidR="009A4C77" w:rsidRPr="0004275F" w:rsidRDefault="009A4C77" w:rsidP="001461BD">
            <w:pPr>
              <w:jc w:val="right"/>
              <w:rPr>
                <w:rFonts w:ascii="Arial" w:hAnsi="Arial" w:cs="Arial"/>
                <w:sz w:val="24"/>
                <w:szCs w:val="24"/>
              </w:rPr>
            </w:pPr>
            <w:r w:rsidRPr="0004275F">
              <w:rPr>
                <w:rFonts w:ascii="Arial" w:hAnsi="Arial" w:cs="Arial"/>
                <w:sz w:val="24"/>
                <w:szCs w:val="24"/>
              </w:rPr>
              <w:t>(1)</w:t>
            </w:r>
          </w:p>
        </w:tc>
      </w:tr>
      <w:tr w:rsidR="009A4C77" w:rsidRPr="0004275F" w:rsidTr="001461BD">
        <w:trPr>
          <w:trHeight w:val="254"/>
        </w:trPr>
        <w:tc>
          <w:tcPr>
            <w:tcW w:w="3524" w:type="pct"/>
            <w:shd w:val="clear" w:color="auto" w:fill="auto"/>
            <w:vAlign w:val="bottom"/>
          </w:tcPr>
          <w:p w:rsidR="009A4C77" w:rsidRPr="0004275F" w:rsidRDefault="009A4C77" w:rsidP="001461BD">
            <w:pPr>
              <w:rPr>
                <w:rFonts w:ascii="Arial" w:hAnsi="Arial" w:cs="Arial"/>
                <w:sz w:val="24"/>
                <w:szCs w:val="24"/>
              </w:rPr>
            </w:pPr>
            <w:r w:rsidRPr="0004275F">
              <w:rPr>
                <w:rFonts w:ascii="Arial" w:hAnsi="Arial" w:cs="Arial"/>
                <w:sz w:val="24"/>
                <w:szCs w:val="24"/>
              </w:rPr>
              <w:t>Financing fair value remeasurements</w:t>
            </w:r>
          </w:p>
        </w:tc>
        <w:tc>
          <w:tcPr>
            <w:tcW w:w="686" w:type="pct"/>
            <w:shd w:val="clear" w:color="auto" w:fill="auto"/>
            <w:vAlign w:val="bottom"/>
          </w:tcPr>
          <w:p w:rsidR="009A4C77" w:rsidRPr="0004275F" w:rsidRDefault="009A4C77" w:rsidP="001461BD">
            <w:pPr>
              <w:jc w:val="right"/>
              <w:rPr>
                <w:rFonts w:ascii="Arial" w:hAnsi="Arial" w:cs="Arial"/>
                <w:b/>
                <w:sz w:val="24"/>
                <w:szCs w:val="24"/>
              </w:rPr>
            </w:pPr>
            <w:r w:rsidRPr="0004275F">
              <w:rPr>
                <w:rFonts w:ascii="Arial" w:hAnsi="Arial" w:cs="Arial"/>
                <w:b/>
                <w:sz w:val="24"/>
                <w:szCs w:val="24"/>
              </w:rPr>
              <w:t>1</w:t>
            </w:r>
          </w:p>
        </w:tc>
        <w:tc>
          <w:tcPr>
            <w:tcW w:w="790" w:type="pct"/>
            <w:vAlign w:val="bottom"/>
          </w:tcPr>
          <w:p w:rsidR="009A4C77" w:rsidRPr="0004275F" w:rsidRDefault="009A4C77" w:rsidP="001461BD">
            <w:pPr>
              <w:jc w:val="right"/>
              <w:rPr>
                <w:rFonts w:ascii="Arial" w:hAnsi="Arial" w:cs="Arial"/>
                <w:sz w:val="24"/>
                <w:szCs w:val="24"/>
              </w:rPr>
            </w:pPr>
            <w:r w:rsidRPr="0004275F">
              <w:rPr>
                <w:rFonts w:ascii="Arial" w:hAnsi="Arial" w:cs="Arial"/>
                <w:sz w:val="24"/>
                <w:szCs w:val="24"/>
              </w:rPr>
              <w:t>(1)</w:t>
            </w:r>
          </w:p>
        </w:tc>
      </w:tr>
      <w:tr w:rsidR="009A4C77" w:rsidRPr="0004275F" w:rsidTr="001461BD">
        <w:trPr>
          <w:trHeight w:val="308"/>
        </w:trPr>
        <w:tc>
          <w:tcPr>
            <w:tcW w:w="3524" w:type="pct"/>
            <w:tcBorders>
              <w:bottom w:val="single" w:sz="4" w:space="0" w:color="auto"/>
            </w:tcBorders>
            <w:shd w:val="clear" w:color="auto" w:fill="auto"/>
            <w:vAlign w:val="bottom"/>
          </w:tcPr>
          <w:p w:rsidR="009A4C77" w:rsidRPr="0004275F" w:rsidRDefault="009A4C77" w:rsidP="001461BD">
            <w:pPr>
              <w:jc w:val="left"/>
              <w:rPr>
                <w:rFonts w:ascii="Arial" w:hAnsi="Arial" w:cs="Arial"/>
                <w:sz w:val="24"/>
                <w:szCs w:val="24"/>
              </w:rPr>
            </w:pPr>
            <w:r>
              <w:rPr>
                <w:rFonts w:ascii="Arial" w:hAnsi="Arial" w:cs="Arial"/>
                <w:sz w:val="24"/>
                <w:szCs w:val="24"/>
              </w:rPr>
              <w:t>Exceptional items</w:t>
            </w:r>
          </w:p>
        </w:tc>
        <w:tc>
          <w:tcPr>
            <w:tcW w:w="686" w:type="pct"/>
            <w:tcBorders>
              <w:bottom w:val="single" w:sz="4" w:space="0" w:color="auto"/>
            </w:tcBorders>
            <w:shd w:val="clear" w:color="auto" w:fill="auto"/>
            <w:vAlign w:val="bottom"/>
          </w:tcPr>
          <w:p w:rsidR="009A4C77" w:rsidRPr="0004275F" w:rsidRDefault="009A4C77" w:rsidP="001461BD">
            <w:pPr>
              <w:jc w:val="right"/>
              <w:rPr>
                <w:rFonts w:ascii="Arial" w:hAnsi="Arial" w:cs="Arial"/>
                <w:b/>
                <w:sz w:val="24"/>
                <w:szCs w:val="24"/>
              </w:rPr>
            </w:pPr>
            <w:r w:rsidRPr="0004275F">
              <w:rPr>
                <w:rFonts w:ascii="Arial" w:hAnsi="Arial" w:cs="Arial"/>
                <w:b/>
                <w:sz w:val="24"/>
                <w:szCs w:val="24"/>
              </w:rPr>
              <w:t>27</w:t>
            </w:r>
          </w:p>
        </w:tc>
        <w:tc>
          <w:tcPr>
            <w:tcW w:w="790" w:type="pct"/>
            <w:tcBorders>
              <w:bottom w:val="single" w:sz="4" w:space="0" w:color="auto"/>
            </w:tcBorders>
            <w:vAlign w:val="bottom"/>
          </w:tcPr>
          <w:p w:rsidR="009A4C77" w:rsidRPr="0004275F" w:rsidRDefault="009A4C77" w:rsidP="001461BD">
            <w:pPr>
              <w:jc w:val="right"/>
              <w:rPr>
                <w:rFonts w:ascii="Arial" w:hAnsi="Arial" w:cs="Arial"/>
                <w:sz w:val="24"/>
                <w:szCs w:val="24"/>
              </w:rPr>
            </w:pPr>
            <w:r w:rsidRPr="0004275F">
              <w:rPr>
                <w:rFonts w:ascii="Arial" w:hAnsi="Arial" w:cs="Arial"/>
                <w:sz w:val="24"/>
                <w:szCs w:val="24"/>
              </w:rPr>
              <w:t>-</w:t>
            </w:r>
          </w:p>
        </w:tc>
      </w:tr>
      <w:tr w:rsidR="009A4C77" w:rsidRPr="0004275F" w:rsidTr="001461BD">
        <w:trPr>
          <w:trHeight w:val="308"/>
        </w:trPr>
        <w:tc>
          <w:tcPr>
            <w:tcW w:w="3524" w:type="pct"/>
            <w:tcBorders>
              <w:top w:val="single" w:sz="4" w:space="0" w:color="auto"/>
              <w:bottom w:val="single" w:sz="4" w:space="0" w:color="auto"/>
            </w:tcBorders>
            <w:shd w:val="clear" w:color="auto" w:fill="auto"/>
            <w:vAlign w:val="bottom"/>
          </w:tcPr>
          <w:p w:rsidR="009A4C77" w:rsidRPr="0004275F" w:rsidRDefault="009A4C77" w:rsidP="001461BD">
            <w:pPr>
              <w:jc w:val="left"/>
              <w:rPr>
                <w:rFonts w:ascii="Arial" w:hAnsi="Arial" w:cs="Arial"/>
                <w:b/>
                <w:sz w:val="24"/>
                <w:szCs w:val="24"/>
              </w:rPr>
            </w:pPr>
            <w:r>
              <w:rPr>
                <w:rFonts w:ascii="Arial" w:hAnsi="Arial" w:cs="Arial"/>
                <w:b/>
                <w:sz w:val="24"/>
                <w:szCs w:val="24"/>
              </w:rPr>
              <w:t>N</w:t>
            </w:r>
            <w:r w:rsidRPr="0004275F">
              <w:rPr>
                <w:rFonts w:ascii="Arial" w:hAnsi="Arial" w:cs="Arial"/>
                <w:b/>
                <w:sz w:val="24"/>
                <w:szCs w:val="24"/>
              </w:rPr>
              <w:t xml:space="preserve">et interest </w:t>
            </w:r>
          </w:p>
        </w:tc>
        <w:tc>
          <w:tcPr>
            <w:tcW w:w="686" w:type="pct"/>
            <w:tcBorders>
              <w:top w:val="single" w:sz="4" w:space="0" w:color="auto"/>
              <w:bottom w:val="single" w:sz="4" w:space="0" w:color="auto"/>
            </w:tcBorders>
            <w:shd w:val="clear" w:color="auto" w:fill="auto"/>
            <w:vAlign w:val="bottom"/>
          </w:tcPr>
          <w:p w:rsidR="009A4C77" w:rsidRPr="0004275F" w:rsidRDefault="009A4C77" w:rsidP="001461BD">
            <w:pPr>
              <w:jc w:val="right"/>
              <w:rPr>
                <w:rFonts w:ascii="Arial" w:hAnsi="Arial" w:cs="Arial"/>
                <w:b/>
                <w:sz w:val="24"/>
                <w:szCs w:val="24"/>
              </w:rPr>
            </w:pPr>
            <w:r w:rsidRPr="0004275F">
              <w:rPr>
                <w:rFonts w:ascii="Arial" w:hAnsi="Arial" w:cs="Arial"/>
                <w:b/>
                <w:sz w:val="24"/>
                <w:szCs w:val="24"/>
              </w:rPr>
              <w:t>25</w:t>
            </w:r>
          </w:p>
        </w:tc>
        <w:tc>
          <w:tcPr>
            <w:tcW w:w="790" w:type="pct"/>
            <w:tcBorders>
              <w:top w:val="single" w:sz="4" w:space="0" w:color="auto"/>
              <w:bottom w:val="single" w:sz="4" w:space="0" w:color="auto"/>
            </w:tcBorders>
            <w:vAlign w:val="bottom"/>
          </w:tcPr>
          <w:p w:rsidR="009A4C77" w:rsidRPr="0004275F" w:rsidRDefault="009A4C77" w:rsidP="001461BD">
            <w:pPr>
              <w:jc w:val="right"/>
              <w:rPr>
                <w:rFonts w:ascii="Arial" w:hAnsi="Arial" w:cs="Arial"/>
                <w:sz w:val="24"/>
                <w:szCs w:val="24"/>
              </w:rPr>
            </w:pPr>
            <w:r w:rsidRPr="0004275F">
              <w:rPr>
                <w:rFonts w:ascii="Arial" w:hAnsi="Arial" w:cs="Arial"/>
                <w:sz w:val="24"/>
                <w:szCs w:val="24"/>
              </w:rPr>
              <w:t>(2)</w:t>
            </w:r>
          </w:p>
        </w:tc>
      </w:tr>
    </w:tbl>
    <w:p w:rsidR="009A4C77" w:rsidRPr="0004275F" w:rsidRDefault="009A4C77" w:rsidP="009A4C77">
      <w:pPr>
        <w:ind w:right="-368"/>
        <w:jc w:val="left"/>
        <w:rPr>
          <w:rFonts w:ascii="Arial" w:hAnsi="Arial" w:cs="Arial"/>
          <w:sz w:val="24"/>
          <w:szCs w:val="24"/>
        </w:rPr>
      </w:pPr>
    </w:p>
    <w:p w:rsidR="009A4C77" w:rsidRPr="009A5206" w:rsidRDefault="009A4C77" w:rsidP="000F31CD">
      <w:pPr>
        <w:jc w:val="left"/>
        <w:rPr>
          <w:rFonts w:ascii="Arial" w:hAnsi="Arial" w:cs="Arial"/>
          <w:sz w:val="20"/>
        </w:rPr>
      </w:pPr>
      <w:r>
        <w:rPr>
          <w:rFonts w:ascii="Arial" w:hAnsi="Arial" w:cs="Arial"/>
          <w:sz w:val="24"/>
          <w:szCs w:val="24"/>
        </w:rPr>
        <w:t>T</w:t>
      </w:r>
      <w:r w:rsidRPr="0004275F">
        <w:rPr>
          <w:rFonts w:ascii="Arial" w:hAnsi="Arial" w:cs="Arial"/>
          <w:sz w:val="24"/>
          <w:szCs w:val="24"/>
        </w:rPr>
        <w:t xml:space="preserve">he principal movement in net interest </w:t>
      </w:r>
      <w:r>
        <w:rPr>
          <w:rFonts w:ascii="Arial" w:hAnsi="Arial" w:cs="Arial"/>
          <w:sz w:val="24"/>
          <w:szCs w:val="24"/>
        </w:rPr>
        <w:t>is</w:t>
      </w:r>
      <w:r w:rsidRPr="0004275F">
        <w:rPr>
          <w:rFonts w:ascii="Arial" w:hAnsi="Arial" w:cs="Arial"/>
          <w:sz w:val="24"/>
          <w:szCs w:val="24"/>
        </w:rPr>
        <w:t xml:space="preserve"> driven by </w:t>
      </w:r>
      <w:r>
        <w:rPr>
          <w:rFonts w:ascii="Arial" w:hAnsi="Arial" w:cs="Arial"/>
          <w:sz w:val="24"/>
          <w:szCs w:val="24"/>
        </w:rPr>
        <w:t xml:space="preserve">the release of a £27 million exceptional repayment supplement provision </w:t>
      </w:r>
      <w:r w:rsidRPr="0004275F">
        <w:rPr>
          <w:rFonts w:ascii="Arial" w:hAnsi="Arial" w:cs="Arial"/>
          <w:sz w:val="24"/>
          <w:szCs w:val="24"/>
        </w:rPr>
        <w:t xml:space="preserve">on the </w:t>
      </w:r>
      <w:r>
        <w:rPr>
          <w:rFonts w:ascii="Arial" w:hAnsi="Arial" w:cs="Arial"/>
          <w:sz w:val="24"/>
          <w:szCs w:val="24"/>
        </w:rPr>
        <w:t xml:space="preserve">Kesa demerger </w:t>
      </w:r>
      <w:r w:rsidRPr="0004275F">
        <w:rPr>
          <w:rFonts w:ascii="Arial" w:hAnsi="Arial" w:cs="Arial"/>
          <w:sz w:val="24"/>
          <w:szCs w:val="24"/>
        </w:rPr>
        <w:t xml:space="preserve">French tax case – see exceptional items </w:t>
      </w:r>
      <w:r>
        <w:rPr>
          <w:rFonts w:ascii="Arial" w:hAnsi="Arial" w:cs="Arial"/>
          <w:sz w:val="24"/>
          <w:szCs w:val="24"/>
        </w:rPr>
        <w:t xml:space="preserve">section </w:t>
      </w:r>
      <w:r w:rsidRPr="0004275F">
        <w:rPr>
          <w:rFonts w:ascii="Arial" w:hAnsi="Arial" w:cs="Arial"/>
          <w:sz w:val="24"/>
          <w:szCs w:val="24"/>
        </w:rPr>
        <w:t>below.</w:t>
      </w:r>
    </w:p>
    <w:p w:rsidR="009A4C77" w:rsidRPr="00F521FD" w:rsidRDefault="009A4C77" w:rsidP="009A4C77">
      <w:pPr>
        <w:rPr>
          <w:rFonts w:ascii="Arial" w:hAnsi="Arial" w:cs="Arial"/>
          <w:sz w:val="24"/>
          <w:szCs w:val="24"/>
        </w:rPr>
      </w:pPr>
    </w:p>
    <w:p w:rsidR="009A4C77" w:rsidRDefault="009A4C77" w:rsidP="009A4C77">
      <w:pPr>
        <w:jc w:val="left"/>
        <w:rPr>
          <w:rFonts w:ascii="Arial" w:hAnsi="Arial" w:cs="Arial"/>
          <w:b/>
          <w:sz w:val="24"/>
          <w:szCs w:val="24"/>
        </w:rPr>
      </w:pPr>
      <w:r w:rsidRPr="00E530B3">
        <w:rPr>
          <w:rFonts w:ascii="Arial" w:hAnsi="Arial" w:cs="Arial"/>
          <w:b/>
          <w:sz w:val="24"/>
          <w:szCs w:val="24"/>
        </w:rPr>
        <w:t>Taxation</w:t>
      </w:r>
    </w:p>
    <w:p w:rsidR="009A4C77" w:rsidRPr="00E530B3" w:rsidRDefault="009A4C77" w:rsidP="009A4C77">
      <w:pPr>
        <w:jc w:val="left"/>
        <w:rPr>
          <w:rFonts w:ascii="Arial" w:hAnsi="Arial" w:cs="Arial"/>
          <w:b/>
          <w:sz w:val="24"/>
          <w:szCs w:val="24"/>
        </w:rPr>
      </w:pPr>
    </w:p>
    <w:p w:rsidR="009A4C77" w:rsidRDefault="009A4C77" w:rsidP="000F31CD">
      <w:pPr>
        <w:autoSpaceDE w:val="0"/>
        <w:autoSpaceDN w:val="0"/>
        <w:adjustRightInd w:val="0"/>
        <w:jc w:val="left"/>
        <w:rPr>
          <w:rFonts w:ascii="Arial" w:hAnsi="Arial" w:cs="Arial"/>
          <w:sz w:val="24"/>
          <w:szCs w:val="24"/>
        </w:rPr>
      </w:pPr>
      <w:r>
        <w:rPr>
          <w:rFonts w:ascii="Arial" w:hAnsi="Arial" w:cs="Arial"/>
          <w:sz w:val="24"/>
          <w:szCs w:val="24"/>
        </w:rPr>
        <w:t>The effective rate of tax, calculated on profit before exceptional items and prior year tax adjustments is 27% (2012/13: 28%), in line with the full year rate for 2012/13.</w:t>
      </w:r>
    </w:p>
    <w:p w:rsidR="009A4C77" w:rsidRPr="00700E2D" w:rsidRDefault="009A4C77" w:rsidP="009A4C77">
      <w:pPr>
        <w:rPr>
          <w:rFonts w:ascii="Arial" w:hAnsi="Arial" w:cs="Arial"/>
          <w:sz w:val="24"/>
          <w:szCs w:val="24"/>
        </w:rPr>
      </w:pPr>
    </w:p>
    <w:tbl>
      <w:tblPr>
        <w:tblW w:w="5000" w:type="pct"/>
        <w:tblLook w:val="01E0" w:firstRow="1" w:lastRow="1" w:firstColumn="1" w:lastColumn="1" w:noHBand="0" w:noVBand="0"/>
      </w:tblPr>
      <w:tblGrid>
        <w:gridCol w:w="4758"/>
        <w:gridCol w:w="1275"/>
        <w:gridCol w:w="1275"/>
        <w:gridCol w:w="1275"/>
        <w:gridCol w:w="1274"/>
      </w:tblGrid>
      <w:tr w:rsidR="009A4C77" w:rsidRPr="00480643" w:rsidTr="001461BD">
        <w:trPr>
          <w:trHeight w:val="516"/>
        </w:trPr>
        <w:tc>
          <w:tcPr>
            <w:tcW w:w="2413" w:type="pct"/>
            <w:tcBorders>
              <w:bottom w:val="single" w:sz="4" w:space="0" w:color="auto"/>
            </w:tcBorders>
            <w:shd w:val="clear" w:color="auto" w:fill="auto"/>
          </w:tcPr>
          <w:p w:rsidR="009A4C77" w:rsidRPr="00480643" w:rsidRDefault="009A4C77" w:rsidP="001461BD">
            <w:pPr>
              <w:rPr>
                <w:rFonts w:ascii="Arial" w:hAnsi="Arial" w:cs="Arial"/>
                <w:b/>
                <w:sz w:val="24"/>
                <w:szCs w:val="24"/>
              </w:rPr>
            </w:pPr>
            <w:r w:rsidRPr="00480643">
              <w:rPr>
                <w:rFonts w:ascii="Arial" w:hAnsi="Arial" w:cs="Arial"/>
                <w:b/>
                <w:sz w:val="24"/>
                <w:szCs w:val="24"/>
              </w:rPr>
              <w:t>Effect</w:t>
            </w:r>
            <w:r>
              <w:rPr>
                <w:rFonts w:ascii="Arial" w:hAnsi="Arial" w:cs="Arial"/>
                <w:b/>
                <w:sz w:val="24"/>
                <w:szCs w:val="24"/>
              </w:rPr>
              <w:t>ive tax rate calculation</w:t>
            </w:r>
          </w:p>
        </w:tc>
        <w:tc>
          <w:tcPr>
            <w:tcW w:w="647" w:type="pct"/>
            <w:tcBorders>
              <w:bottom w:val="single" w:sz="4" w:space="0" w:color="auto"/>
            </w:tcBorders>
            <w:shd w:val="clear" w:color="auto" w:fill="auto"/>
          </w:tcPr>
          <w:p w:rsidR="009A4C77" w:rsidRPr="00480643" w:rsidRDefault="009A4C77" w:rsidP="001461BD">
            <w:pPr>
              <w:jc w:val="right"/>
              <w:rPr>
                <w:rFonts w:ascii="Arial" w:hAnsi="Arial" w:cs="Arial"/>
                <w:b/>
                <w:sz w:val="24"/>
                <w:szCs w:val="24"/>
              </w:rPr>
            </w:pPr>
            <w:r w:rsidRPr="00480643">
              <w:rPr>
                <w:rFonts w:ascii="Arial" w:hAnsi="Arial" w:cs="Arial"/>
                <w:b/>
                <w:sz w:val="24"/>
                <w:szCs w:val="24"/>
              </w:rPr>
              <w:t>Profit</w:t>
            </w:r>
          </w:p>
          <w:p w:rsidR="009A4C77" w:rsidRPr="00480643" w:rsidRDefault="009A4C77" w:rsidP="001461BD">
            <w:pPr>
              <w:jc w:val="right"/>
              <w:rPr>
                <w:rFonts w:ascii="Arial" w:hAnsi="Arial" w:cs="Arial"/>
                <w:b/>
                <w:sz w:val="24"/>
                <w:szCs w:val="24"/>
              </w:rPr>
            </w:pPr>
            <w:r w:rsidRPr="00480643">
              <w:rPr>
                <w:rFonts w:ascii="Arial" w:hAnsi="Arial" w:cs="Arial"/>
                <w:b/>
                <w:sz w:val="24"/>
                <w:szCs w:val="24"/>
              </w:rPr>
              <w:t>£m</w:t>
            </w:r>
          </w:p>
        </w:tc>
        <w:tc>
          <w:tcPr>
            <w:tcW w:w="647" w:type="pct"/>
            <w:tcBorders>
              <w:bottom w:val="single" w:sz="4" w:space="0" w:color="auto"/>
            </w:tcBorders>
            <w:shd w:val="clear" w:color="auto" w:fill="auto"/>
          </w:tcPr>
          <w:p w:rsidR="009A4C77" w:rsidRPr="00480643" w:rsidRDefault="009A4C77" w:rsidP="001461BD">
            <w:pPr>
              <w:jc w:val="right"/>
              <w:rPr>
                <w:rFonts w:ascii="Arial" w:hAnsi="Arial" w:cs="Arial"/>
                <w:b/>
                <w:sz w:val="24"/>
                <w:szCs w:val="24"/>
              </w:rPr>
            </w:pPr>
            <w:r w:rsidRPr="00480643">
              <w:rPr>
                <w:rFonts w:ascii="Arial" w:hAnsi="Arial" w:cs="Arial"/>
                <w:b/>
                <w:sz w:val="24"/>
                <w:szCs w:val="24"/>
              </w:rPr>
              <w:t xml:space="preserve">Tax </w:t>
            </w:r>
          </w:p>
          <w:p w:rsidR="009A4C77" w:rsidRPr="00480643" w:rsidRDefault="009A4C77" w:rsidP="001461BD">
            <w:pPr>
              <w:jc w:val="right"/>
              <w:rPr>
                <w:rFonts w:ascii="Arial" w:hAnsi="Arial" w:cs="Arial"/>
                <w:b/>
                <w:sz w:val="24"/>
                <w:szCs w:val="24"/>
              </w:rPr>
            </w:pPr>
            <w:r w:rsidRPr="00480643">
              <w:rPr>
                <w:rFonts w:ascii="Arial" w:hAnsi="Arial" w:cs="Arial"/>
                <w:b/>
                <w:sz w:val="24"/>
                <w:szCs w:val="24"/>
              </w:rPr>
              <w:t>£m</w:t>
            </w:r>
          </w:p>
        </w:tc>
        <w:tc>
          <w:tcPr>
            <w:tcW w:w="647" w:type="pct"/>
            <w:tcBorders>
              <w:bottom w:val="single" w:sz="4" w:space="0" w:color="auto"/>
            </w:tcBorders>
            <w:shd w:val="clear" w:color="auto" w:fill="auto"/>
          </w:tcPr>
          <w:p w:rsidR="009A4C77" w:rsidRPr="00480643" w:rsidRDefault="009A4C77" w:rsidP="001461BD">
            <w:pPr>
              <w:jc w:val="right"/>
              <w:rPr>
                <w:rFonts w:ascii="Arial" w:hAnsi="Arial" w:cs="Arial"/>
                <w:b/>
                <w:sz w:val="24"/>
                <w:szCs w:val="24"/>
              </w:rPr>
            </w:pPr>
            <w:r>
              <w:rPr>
                <w:rFonts w:ascii="Arial" w:hAnsi="Arial" w:cs="Arial"/>
                <w:b/>
                <w:sz w:val="24"/>
                <w:szCs w:val="24"/>
              </w:rPr>
              <w:t>2013/14</w:t>
            </w:r>
            <w:r w:rsidRPr="00480643">
              <w:rPr>
                <w:rFonts w:ascii="Arial" w:hAnsi="Arial" w:cs="Arial"/>
                <w:b/>
                <w:sz w:val="24"/>
                <w:szCs w:val="24"/>
              </w:rPr>
              <w:t xml:space="preserve"> %</w:t>
            </w:r>
          </w:p>
        </w:tc>
        <w:tc>
          <w:tcPr>
            <w:tcW w:w="647" w:type="pct"/>
            <w:tcBorders>
              <w:bottom w:val="single" w:sz="4" w:space="0" w:color="auto"/>
            </w:tcBorders>
          </w:tcPr>
          <w:p w:rsidR="009A4C77" w:rsidRPr="00AE0ADB" w:rsidRDefault="009A4C77" w:rsidP="001461BD">
            <w:pPr>
              <w:jc w:val="right"/>
              <w:rPr>
                <w:rFonts w:ascii="Arial" w:hAnsi="Arial" w:cs="Arial"/>
                <w:sz w:val="24"/>
                <w:szCs w:val="24"/>
              </w:rPr>
            </w:pPr>
            <w:r w:rsidRPr="00AE0ADB">
              <w:rPr>
                <w:rFonts w:ascii="Arial" w:hAnsi="Arial" w:cs="Arial"/>
                <w:sz w:val="24"/>
                <w:szCs w:val="24"/>
              </w:rPr>
              <w:t>2012/13 %</w:t>
            </w:r>
          </w:p>
        </w:tc>
      </w:tr>
      <w:tr w:rsidR="009A4C77" w:rsidRPr="00480643" w:rsidTr="001461BD">
        <w:tc>
          <w:tcPr>
            <w:tcW w:w="2413" w:type="pct"/>
            <w:tcBorders>
              <w:top w:val="single" w:sz="4" w:space="0" w:color="auto"/>
            </w:tcBorders>
            <w:shd w:val="clear" w:color="auto" w:fill="auto"/>
          </w:tcPr>
          <w:p w:rsidR="009A4C77" w:rsidRPr="00480643" w:rsidRDefault="009A4C77" w:rsidP="001461BD">
            <w:pPr>
              <w:rPr>
                <w:rFonts w:ascii="Arial" w:hAnsi="Arial" w:cs="Arial"/>
                <w:sz w:val="24"/>
                <w:szCs w:val="24"/>
              </w:rPr>
            </w:pPr>
            <w:r w:rsidRPr="00480643">
              <w:rPr>
                <w:rFonts w:ascii="Arial" w:hAnsi="Arial" w:cs="Arial"/>
                <w:sz w:val="24"/>
                <w:szCs w:val="24"/>
              </w:rPr>
              <w:t>Profit before tax and tax thereon</w:t>
            </w:r>
          </w:p>
        </w:tc>
        <w:tc>
          <w:tcPr>
            <w:tcW w:w="647" w:type="pct"/>
            <w:tcBorders>
              <w:top w:val="single" w:sz="4" w:space="0" w:color="auto"/>
            </w:tcBorders>
            <w:shd w:val="clear" w:color="auto" w:fill="auto"/>
          </w:tcPr>
          <w:p w:rsidR="009A4C77" w:rsidRPr="00BB2C82" w:rsidRDefault="009A4C77" w:rsidP="001461BD">
            <w:pPr>
              <w:jc w:val="right"/>
              <w:rPr>
                <w:rFonts w:ascii="Arial" w:hAnsi="Arial" w:cs="Arial"/>
                <w:b/>
                <w:sz w:val="24"/>
                <w:szCs w:val="24"/>
              </w:rPr>
            </w:pPr>
            <w:r w:rsidRPr="00BB2C82">
              <w:rPr>
                <w:rFonts w:ascii="Arial" w:hAnsi="Arial" w:cs="Arial"/>
                <w:b/>
                <w:sz w:val="24"/>
                <w:szCs w:val="24"/>
              </w:rPr>
              <w:t>401</w:t>
            </w:r>
          </w:p>
        </w:tc>
        <w:tc>
          <w:tcPr>
            <w:tcW w:w="647" w:type="pct"/>
            <w:tcBorders>
              <w:top w:val="single" w:sz="4" w:space="0" w:color="auto"/>
            </w:tcBorders>
            <w:shd w:val="clear" w:color="auto" w:fill="auto"/>
          </w:tcPr>
          <w:p w:rsidR="009A4C77" w:rsidRPr="00BB2C82" w:rsidRDefault="009A4C77" w:rsidP="001461BD">
            <w:pPr>
              <w:jc w:val="right"/>
              <w:rPr>
                <w:rFonts w:ascii="Arial" w:hAnsi="Arial" w:cs="Arial"/>
                <w:b/>
                <w:sz w:val="24"/>
                <w:szCs w:val="24"/>
              </w:rPr>
            </w:pPr>
            <w:r w:rsidRPr="00BB2C82">
              <w:rPr>
                <w:rFonts w:ascii="Arial" w:hAnsi="Arial" w:cs="Arial"/>
                <w:b/>
                <w:sz w:val="24"/>
                <w:szCs w:val="24"/>
              </w:rPr>
              <w:t>(39)</w:t>
            </w:r>
          </w:p>
        </w:tc>
        <w:tc>
          <w:tcPr>
            <w:tcW w:w="647" w:type="pct"/>
            <w:tcBorders>
              <w:top w:val="single" w:sz="4" w:space="0" w:color="auto"/>
            </w:tcBorders>
            <w:shd w:val="clear" w:color="auto" w:fill="auto"/>
          </w:tcPr>
          <w:p w:rsidR="009A4C77" w:rsidRPr="00BB2C82" w:rsidRDefault="009A4C77" w:rsidP="001461BD">
            <w:pPr>
              <w:jc w:val="right"/>
              <w:rPr>
                <w:rFonts w:ascii="Arial" w:hAnsi="Arial" w:cs="Arial"/>
                <w:b/>
                <w:sz w:val="24"/>
                <w:szCs w:val="24"/>
              </w:rPr>
            </w:pPr>
            <w:r w:rsidRPr="00BB2C82">
              <w:rPr>
                <w:rFonts w:ascii="Arial" w:hAnsi="Arial" w:cs="Arial"/>
                <w:b/>
                <w:sz w:val="24"/>
                <w:szCs w:val="24"/>
              </w:rPr>
              <w:t>(10)%</w:t>
            </w:r>
          </w:p>
        </w:tc>
        <w:tc>
          <w:tcPr>
            <w:tcW w:w="647" w:type="pct"/>
            <w:tcBorders>
              <w:top w:val="single" w:sz="4" w:space="0" w:color="auto"/>
            </w:tcBorders>
          </w:tcPr>
          <w:p w:rsidR="009A4C77" w:rsidRDefault="009A4C77" w:rsidP="001461BD">
            <w:pPr>
              <w:jc w:val="right"/>
              <w:rPr>
                <w:rFonts w:ascii="Arial" w:hAnsi="Arial" w:cs="Arial"/>
                <w:sz w:val="24"/>
                <w:szCs w:val="24"/>
              </w:rPr>
            </w:pPr>
            <w:r>
              <w:rPr>
                <w:rFonts w:ascii="Arial" w:hAnsi="Arial" w:cs="Arial"/>
                <w:sz w:val="24"/>
                <w:szCs w:val="24"/>
              </w:rPr>
              <w:t>29%</w:t>
            </w:r>
          </w:p>
        </w:tc>
      </w:tr>
      <w:tr w:rsidR="009A4C77" w:rsidRPr="00480643" w:rsidTr="001461BD">
        <w:tc>
          <w:tcPr>
            <w:tcW w:w="2413" w:type="pct"/>
            <w:shd w:val="clear" w:color="auto" w:fill="auto"/>
          </w:tcPr>
          <w:p w:rsidR="009A4C77" w:rsidRPr="00480643" w:rsidRDefault="009A4C77" w:rsidP="001461BD">
            <w:pPr>
              <w:rPr>
                <w:rFonts w:ascii="Arial" w:hAnsi="Arial" w:cs="Arial"/>
                <w:sz w:val="24"/>
                <w:szCs w:val="24"/>
              </w:rPr>
            </w:pPr>
            <w:r>
              <w:rPr>
                <w:rFonts w:ascii="Arial" w:hAnsi="Arial" w:cs="Arial"/>
                <w:sz w:val="24"/>
                <w:szCs w:val="24"/>
              </w:rPr>
              <w:t>E</w:t>
            </w:r>
            <w:r w:rsidRPr="00480643">
              <w:rPr>
                <w:rFonts w:ascii="Arial" w:hAnsi="Arial" w:cs="Arial"/>
                <w:sz w:val="24"/>
                <w:szCs w:val="24"/>
              </w:rPr>
              <w:t xml:space="preserve">xceptional </w:t>
            </w:r>
            <w:r>
              <w:rPr>
                <w:rFonts w:ascii="Arial" w:hAnsi="Arial" w:cs="Arial"/>
                <w:sz w:val="24"/>
                <w:szCs w:val="24"/>
              </w:rPr>
              <w:t>items</w:t>
            </w:r>
          </w:p>
        </w:tc>
        <w:tc>
          <w:tcPr>
            <w:tcW w:w="647" w:type="pct"/>
            <w:shd w:val="clear" w:color="auto" w:fill="auto"/>
          </w:tcPr>
          <w:p w:rsidR="009A4C77" w:rsidRPr="00BB2C82" w:rsidRDefault="009A4C77" w:rsidP="001461BD">
            <w:pPr>
              <w:jc w:val="right"/>
              <w:rPr>
                <w:rFonts w:ascii="Arial" w:hAnsi="Arial" w:cs="Arial"/>
                <w:b/>
                <w:sz w:val="24"/>
                <w:szCs w:val="24"/>
              </w:rPr>
            </w:pPr>
            <w:r>
              <w:rPr>
                <w:rFonts w:ascii="Arial" w:hAnsi="Arial" w:cs="Arial"/>
                <w:b/>
                <w:sz w:val="24"/>
                <w:szCs w:val="24"/>
              </w:rPr>
              <w:t>(35)</w:t>
            </w:r>
          </w:p>
        </w:tc>
        <w:tc>
          <w:tcPr>
            <w:tcW w:w="647" w:type="pct"/>
            <w:shd w:val="clear" w:color="auto" w:fill="auto"/>
          </w:tcPr>
          <w:p w:rsidR="009A4C77" w:rsidRPr="00BB2C82" w:rsidRDefault="009A4C77" w:rsidP="001461BD">
            <w:pPr>
              <w:jc w:val="right"/>
              <w:rPr>
                <w:rFonts w:ascii="Arial" w:hAnsi="Arial" w:cs="Arial"/>
                <w:b/>
                <w:sz w:val="24"/>
                <w:szCs w:val="24"/>
              </w:rPr>
            </w:pPr>
            <w:r w:rsidRPr="00BB2C82">
              <w:rPr>
                <w:rFonts w:ascii="Arial" w:hAnsi="Arial" w:cs="Arial"/>
                <w:b/>
                <w:sz w:val="24"/>
                <w:szCs w:val="24"/>
              </w:rPr>
              <w:t>118</w:t>
            </w:r>
          </w:p>
        </w:tc>
        <w:tc>
          <w:tcPr>
            <w:tcW w:w="647" w:type="pct"/>
            <w:shd w:val="clear" w:color="auto" w:fill="auto"/>
          </w:tcPr>
          <w:p w:rsidR="009A4C77" w:rsidRPr="00BB2C82" w:rsidRDefault="009A4C77" w:rsidP="001461BD">
            <w:pPr>
              <w:jc w:val="right"/>
              <w:rPr>
                <w:rFonts w:ascii="Arial" w:hAnsi="Arial" w:cs="Arial"/>
                <w:b/>
                <w:sz w:val="24"/>
                <w:szCs w:val="24"/>
              </w:rPr>
            </w:pPr>
          </w:p>
        </w:tc>
        <w:tc>
          <w:tcPr>
            <w:tcW w:w="647" w:type="pct"/>
          </w:tcPr>
          <w:p w:rsidR="009A4C77" w:rsidRPr="00480643" w:rsidRDefault="009A4C77" w:rsidP="001461BD">
            <w:pPr>
              <w:jc w:val="right"/>
              <w:rPr>
                <w:rFonts w:ascii="Arial" w:hAnsi="Arial" w:cs="Arial"/>
                <w:sz w:val="24"/>
                <w:szCs w:val="24"/>
              </w:rPr>
            </w:pPr>
          </w:p>
        </w:tc>
      </w:tr>
      <w:tr w:rsidR="009A4C77" w:rsidRPr="00480643" w:rsidTr="001461BD">
        <w:tc>
          <w:tcPr>
            <w:tcW w:w="2413" w:type="pct"/>
            <w:tcBorders>
              <w:bottom w:val="single" w:sz="4" w:space="0" w:color="auto"/>
            </w:tcBorders>
            <w:shd w:val="clear" w:color="auto" w:fill="auto"/>
          </w:tcPr>
          <w:p w:rsidR="009A4C77" w:rsidRPr="00480643" w:rsidRDefault="009A4C77" w:rsidP="001461BD">
            <w:pPr>
              <w:rPr>
                <w:rFonts w:ascii="Arial" w:hAnsi="Arial" w:cs="Arial"/>
                <w:sz w:val="24"/>
                <w:szCs w:val="24"/>
              </w:rPr>
            </w:pPr>
            <w:r>
              <w:rPr>
                <w:rFonts w:ascii="Arial" w:hAnsi="Arial" w:cs="Arial"/>
                <w:sz w:val="24"/>
                <w:szCs w:val="24"/>
              </w:rPr>
              <w:t>P</w:t>
            </w:r>
            <w:r w:rsidRPr="00480643">
              <w:rPr>
                <w:rFonts w:ascii="Arial" w:hAnsi="Arial" w:cs="Arial"/>
                <w:sz w:val="24"/>
                <w:szCs w:val="24"/>
              </w:rPr>
              <w:t>rior year items and rate changes</w:t>
            </w:r>
          </w:p>
        </w:tc>
        <w:tc>
          <w:tcPr>
            <w:tcW w:w="647" w:type="pct"/>
            <w:tcBorders>
              <w:bottom w:val="single" w:sz="4" w:space="0" w:color="auto"/>
            </w:tcBorders>
            <w:shd w:val="clear" w:color="auto" w:fill="auto"/>
          </w:tcPr>
          <w:p w:rsidR="009A4C77" w:rsidRPr="00BB2C82" w:rsidRDefault="009A4C77" w:rsidP="001461BD">
            <w:pPr>
              <w:jc w:val="right"/>
              <w:rPr>
                <w:rFonts w:ascii="Arial" w:hAnsi="Arial" w:cs="Arial"/>
                <w:b/>
                <w:sz w:val="24"/>
                <w:szCs w:val="24"/>
              </w:rPr>
            </w:pPr>
          </w:p>
        </w:tc>
        <w:tc>
          <w:tcPr>
            <w:tcW w:w="647" w:type="pct"/>
            <w:tcBorders>
              <w:bottom w:val="single" w:sz="4" w:space="0" w:color="auto"/>
            </w:tcBorders>
            <w:shd w:val="clear" w:color="auto" w:fill="auto"/>
          </w:tcPr>
          <w:p w:rsidR="009A4C77" w:rsidRPr="00BB2C82" w:rsidRDefault="009A4C77" w:rsidP="001461BD">
            <w:pPr>
              <w:jc w:val="right"/>
              <w:rPr>
                <w:rFonts w:ascii="Arial" w:hAnsi="Arial" w:cs="Arial"/>
                <w:b/>
                <w:sz w:val="24"/>
                <w:szCs w:val="24"/>
              </w:rPr>
            </w:pPr>
            <w:r w:rsidRPr="00BB2C82">
              <w:rPr>
                <w:rFonts w:ascii="Arial" w:hAnsi="Arial" w:cs="Arial"/>
                <w:b/>
                <w:sz w:val="24"/>
                <w:szCs w:val="24"/>
              </w:rPr>
              <w:t>20</w:t>
            </w:r>
          </w:p>
        </w:tc>
        <w:tc>
          <w:tcPr>
            <w:tcW w:w="647" w:type="pct"/>
            <w:tcBorders>
              <w:bottom w:val="single" w:sz="4" w:space="0" w:color="auto"/>
            </w:tcBorders>
            <w:shd w:val="clear" w:color="auto" w:fill="auto"/>
          </w:tcPr>
          <w:p w:rsidR="009A4C77" w:rsidRPr="00BB2C82" w:rsidRDefault="009A4C77" w:rsidP="001461BD">
            <w:pPr>
              <w:jc w:val="right"/>
              <w:rPr>
                <w:rFonts w:ascii="Arial" w:hAnsi="Arial" w:cs="Arial"/>
                <w:b/>
                <w:sz w:val="24"/>
                <w:szCs w:val="24"/>
              </w:rPr>
            </w:pPr>
          </w:p>
        </w:tc>
        <w:tc>
          <w:tcPr>
            <w:tcW w:w="647" w:type="pct"/>
            <w:tcBorders>
              <w:bottom w:val="single" w:sz="4" w:space="0" w:color="auto"/>
            </w:tcBorders>
          </w:tcPr>
          <w:p w:rsidR="009A4C77" w:rsidRPr="00480643" w:rsidRDefault="009A4C77" w:rsidP="001461BD">
            <w:pPr>
              <w:jc w:val="right"/>
              <w:rPr>
                <w:rFonts w:ascii="Arial" w:hAnsi="Arial" w:cs="Arial"/>
                <w:sz w:val="24"/>
                <w:szCs w:val="24"/>
              </w:rPr>
            </w:pPr>
          </w:p>
        </w:tc>
      </w:tr>
      <w:tr w:rsidR="009A4C77" w:rsidRPr="00480643" w:rsidTr="001461BD">
        <w:tc>
          <w:tcPr>
            <w:tcW w:w="2413" w:type="pct"/>
            <w:tcBorders>
              <w:top w:val="single" w:sz="4" w:space="0" w:color="auto"/>
              <w:bottom w:val="single" w:sz="4" w:space="0" w:color="auto"/>
            </w:tcBorders>
            <w:shd w:val="clear" w:color="auto" w:fill="auto"/>
          </w:tcPr>
          <w:p w:rsidR="009A4C77" w:rsidRPr="00480643" w:rsidRDefault="009A4C77" w:rsidP="001461BD">
            <w:pPr>
              <w:rPr>
                <w:rFonts w:ascii="Arial" w:hAnsi="Arial" w:cs="Arial"/>
                <w:b/>
                <w:sz w:val="24"/>
                <w:szCs w:val="24"/>
              </w:rPr>
            </w:pPr>
            <w:r w:rsidRPr="00480643">
              <w:rPr>
                <w:rFonts w:ascii="Arial" w:hAnsi="Arial" w:cs="Arial"/>
                <w:b/>
                <w:sz w:val="24"/>
                <w:szCs w:val="24"/>
              </w:rPr>
              <w:t>Total</w:t>
            </w:r>
          </w:p>
        </w:tc>
        <w:tc>
          <w:tcPr>
            <w:tcW w:w="647" w:type="pct"/>
            <w:tcBorders>
              <w:top w:val="single" w:sz="4" w:space="0" w:color="auto"/>
              <w:bottom w:val="single" w:sz="4" w:space="0" w:color="auto"/>
            </w:tcBorders>
            <w:shd w:val="clear" w:color="auto" w:fill="auto"/>
          </w:tcPr>
          <w:p w:rsidR="009A4C77" w:rsidRPr="00BB2C82" w:rsidRDefault="009A4C77" w:rsidP="001461BD">
            <w:pPr>
              <w:jc w:val="right"/>
              <w:rPr>
                <w:rFonts w:ascii="Arial" w:hAnsi="Arial" w:cs="Arial"/>
                <w:b/>
                <w:sz w:val="24"/>
                <w:szCs w:val="24"/>
              </w:rPr>
            </w:pPr>
            <w:r>
              <w:rPr>
                <w:rFonts w:ascii="Arial" w:hAnsi="Arial" w:cs="Arial"/>
                <w:b/>
                <w:sz w:val="24"/>
                <w:szCs w:val="24"/>
              </w:rPr>
              <w:t>366</w:t>
            </w:r>
          </w:p>
        </w:tc>
        <w:tc>
          <w:tcPr>
            <w:tcW w:w="647" w:type="pct"/>
            <w:tcBorders>
              <w:top w:val="single" w:sz="4" w:space="0" w:color="auto"/>
              <w:bottom w:val="single" w:sz="4" w:space="0" w:color="auto"/>
            </w:tcBorders>
            <w:shd w:val="clear" w:color="auto" w:fill="auto"/>
          </w:tcPr>
          <w:p w:rsidR="009A4C77" w:rsidRPr="00BB2C82" w:rsidRDefault="009A4C77" w:rsidP="001461BD">
            <w:pPr>
              <w:jc w:val="right"/>
              <w:rPr>
                <w:rFonts w:ascii="Arial" w:hAnsi="Arial" w:cs="Arial"/>
                <w:b/>
                <w:sz w:val="24"/>
                <w:szCs w:val="24"/>
              </w:rPr>
            </w:pPr>
            <w:r w:rsidRPr="00BB2C82">
              <w:rPr>
                <w:rFonts w:ascii="Arial" w:hAnsi="Arial" w:cs="Arial"/>
                <w:b/>
                <w:sz w:val="24"/>
                <w:szCs w:val="24"/>
              </w:rPr>
              <w:t>99</w:t>
            </w:r>
          </w:p>
        </w:tc>
        <w:tc>
          <w:tcPr>
            <w:tcW w:w="647" w:type="pct"/>
            <w:tcBorders>
              <w:top w:val="single" w:sz="4" w:space="0" w:color="auto"/>
              <w:bottom w:val="single" w:sz="4" w:space="0" w:color="auto"/>
            </w:tcBorders>
            <w:shd w:val="clear" w:color="auto" w:fill="auto"/>
          </w:tcPr>
          <w:p w:rsidR="009A4C77" w:rsidRPr="00BB2C82" w:rsidRDefault="009A4C77" w:rsidP="001461BD">
            <w:pPr>
              <w:jc w:val="right"/>
              <w:rPr>
                <w:rFonts w:ascii="Arial" w:hAnsi="Arial" w:cs="Arial"/>
                <w:b/>
                <w:sz w:val="24"/>
                <w:szCs w:val="24"/>
              </w:rPr>
            </w:pPr>
            <w:r w:rsidRPr="00BB2C82">
              <w:rPr>
                <w:rFonts w:ascii="Arial" w:hAnsi="Arial" w:cs="Arial"/>
                <w:b/>
                <w:sz w:val="24"/>
                <w:szCs w:val="24"/>
              </w:rPr>
              <w:t>27%</w:t>
            </w:r>
          </w:p>
        </w:tc>
        <w:tc>
          <w:tcPr>
            <w:tcW w:w="647" w:type="pct"/>
            <w:tcBorders>
              <w:top w:val="single" w:sz="4" w:space="0" w:color="auto"/>
              <w:bottom w:val="single" w:sz="4" w:space="0" w:color="auto"/>
            </w:tcBorders>
          </w:tcPr>
          <w:p w:rsidR="009A4C77" w:rsidRDefault="009A4C77" w:rsidP="001461BD">
            <w:pPr>
              <w:jc w:val="right"/>
              <w:rPr>
                <w:rFonts w:ascii="Arial" w:hAnsi="Arial" w:cs="Arial"/>
                <w:sz w:val="24"/>
                <w:szCs w:val="24"/>
              </w:rPr>
            </w:pPr>
            <w:r>
              <w:rPr>
                <w:rFonts w:ascii="Arial" w:hAnsi="Arial" w:cs="Arial"/>
                <w:sz w:val="24"/>
                <w:szCs w:val="24"/>
              </w:rPr>
              <w:t>28%</w:t>
            </w:r>
          </w:p>
        </w:tc>
      </w:tr>
    </w:tbl>
    <w:p w:rsidR="009A4C77" w:rsidRDefault="009A4C77" w:rsidP="009A4C77">
      <w:pPr>
        <w:ind w:right="-368"/>
        <w:jc w:val="left"/>
        <w:rPr>
          <w:rFonts w:ascii="Arial" w:hAnsi="Arial" w:cs="Arial"/>
          <w:b/>
          <w:sz w:val="24"/>
          <w:szCs w:val="24"/>
        </w:rPr>
      </w:pPr>
    </w:p>
    <w:p w:rsidR="009A4C77" w:rsidRDefault="009A4C77" w:rsidP="000F31CD">
      <w:pPr>
        <w:autoSpaceDE w:val="0"/>
        <w:autoSpaceDN w:val="0"/>
        <w:adjustRightInd w:val="0"/>
        <w:jc w:val="left"/>
        <w:rPr>
          <w:rFonts w:ascii="Arial" w:hAnsi="Arial" w:cs="Arial"/>
          <w:sz w:val="24"/>
          <w:szCs w:val="24"/>
        </w:rPr>
      </w:pPr>
      <w:r w:rsidRPr="008B2D38">
        <w:rPr>
          <w:rFonts w:ascii="Arial" w:hAnsi="Arial" w:cs="Arial"/>
          <w:sz w:val="24"/>
          <w:szCs w:val="24"/>
        </w:rPr>
        <w:t xml:space="preserve">The overall rate of tax includes the impact of exceptional items and prior year tax adjustments. The impact of such items in the period was to reduce the overall tax rate </w:t>
      </w:r>
      <w:r>
        <w:rPr>
          <w:rFonts w:ascii="Arial" w:hAnsi="Arial" w:cs="Arial"/>
          <w:sz w:val="24"/>
          <w:szCs w:val="24"/>
        </w:rPr>
        <w:t xml:space="preserve">from 29% </w:t>
      </w:r>
      <w:r w:rsidRPr="008B2D38">
        <w:rPr>
          <w:rFonts w:ascii="Arial" w:hAnsi="Arial" w:cs="Arial"/>
          <w:sz w:val="24"/>
          <w:szCs w:val="24"/>
        </w:rPr>
        <w:t xml:space="preserve">to </w:t>
      </w:r>
      <w:r>
        <w:rPr>
          <w:rFonts w:ascii="Arial" w:hAnsi="Arial" w:cs="Arial"/>
          <w:sz w:val="24"/>
          <w:szCs w:val="24"/>
        </w:rPr>
        <w:t>-10</w:t>
      </w:r>
      <w:r w:rsidRPr="008B2D38">
        <w:rPr>
          <w:rFonts w:ascii="Arial" w:hAnsi="Arial" w:cs="Arial"/>
          <w:sz w:val="24"/>
          <w:szCs w:val="24"/>
        </w:rPr>
        <w:t>%. This reflects the release of</w:t>
      </w:r>
      <w:r>
        <w:rPr>
          <w:rFonts w:ascii="Arial" w:hAnsi="Arial" w:cs="Arial"/>
          <w:sz w:val="24"/>
          <w:szCs w:val="24"/>
        </w:rPr>
        <w:t xml:space="preserve"> a </w:t>
      </w:r>
      <w:r w:rsidRPr="008B2D38">
        <w:rPr>
          <w:rFonts w:ascii="Arial" w:hAnsi="Arial" w:cs="Arial"/>
          <w:sz w:val="24"/>
          <w:szCs w:val="24"/>
        </w:rPr>
        <w:t>£118</w:t>
      </w:r>
      <w:r>
        <w:rPr>
          <w:rFonts w:ascii="Arial" w:hAnsi="Arial" w:cs="Arial"/>
          <w:sz w:val="24"/>
          <w:szCs w:val="24"/>
        </w:rPr>
        <w:t xml:space="preserve"> </w:t>
      </w:r>
      <w:r w:rsidRPr="008B2D38">
        <w:rPr>
          <w:rFonts w:ascii="Arial" w:hAnsi="Arial" w:cs="Arial"/>
          <w:sz w:val="24"/>
          <w:szCs w:val="24"/>
        </w:rPr>
        <w:t>m</w:t>
      </w:r>
      <w:r>
        <w:rPr>
          <w:rFonts w:ascii="Arial" w:hAnsi="Arial" w:cs="Arial"/>
          <w:sz w:val="24"/>
          <w:szCs w:val="24"/>
        </w:rPr>
        <w:t>illion</w:t>
      </w:r>
      <w:r w:rsidRPr="008B2D38">
        <w:rPr>
          <w:rFonts w:ascii="Arial" w:hAnsi="Arial" w:cs="Arial"/>
          <w:sz w:val="24"/>
          <w:szCs w:val="24"/>
        </w:rPr>
        <w:t xml:space="preserve"> exceptional tax provision following the successful </w:t>
      </w:r>
      <w:r>
        <w:rPr>
          <w:rFonts w:ascii="Arial" w:hAnsi="Arial" w:cs="Arial"/>
          <w:sz w:val="24"/>
          <w:szCs w:val="24"/>
        </w:rPr>
        <w:t>resolution</w:t>
      </w:r>
      <w:r w:rsidRPr="008B2D38">
        <w:rPr>
          <w:rFonts w:ascii="Arial" w:hAnsi="Arial" w:cs="Arial"/>
          <w:sz w:val="24"/>
          <w:szCs w:val="24"/>
        </w:rPr>
        <w:t xml:space="preserve"> of the K</w:t>
      </w:r>
      <w:r>
        <w:rPr>
          <w:rFonts w:ascii="Arial" w:hAnsi="Arial" w:cs="Arial"/>
          <w:sz w:val="24"/>
          <w:szCs w:val="24"/>
        </w:rPr>
        <w:t>esa</w:t>
      </w:r>
      <w:r w:rsidRPr="008B2D38">
        <w:rPr>
          <w:rFonts w:ascii="Arial" w:hAnsi="Arial" w:cs="Arial"/>
          <w:sz w:val="24"/>
          <w:szCs w:val="24"/>
        </w:rPr>
        <w:t xml:space="preserve"> </w:t>
      </w:r>
      <w:r>
        <w:rPr>
          <w:rFonts w:ascii="Arial" w:hAnsi="Arial" w:cs="Arial"/>
          <w:sz w:val="24"/>
          <w:szCs w:val="24"/>
        </w:rPr>
        <w:t xml:space="preserve">demerger </w:t>
      </w:r>
      <w:r w:rsidRPr="008B2D38">
        <w:rPr>
          <w:rFonts w:ascii="Arial" w:hAnsi="Arial" w:cs="Arial"/>
          <w:sz w:val="24"/>
          <w:szCs w:val="24"/>
        </w:rPr>
        <w:t xml:space="preserve">French tax case </w:t>
      </w:r>
      <w:r>
        <w:rPr>
          <w:rFonts w:ascii="Arial" w:hAnsi="Arial" w:cs="Arial"/>
          <w:sz w:val="24"/>
          <w:szCs w:val="24"/>
        </w:rPr>
        <w:t>– see exceptional items section below</w:t>
      </w:r>
      <w:r w:rsidRPr="008B2D38">
        <w:rPr>
          <w:rFonts w:ascii="Arial" w:hAnsi="Arial" w:cs="Arial"/>
          <w:sz w:val="24"/>
          <w:szCs w:val="24"/>
        </w:rPr>
        <w:t>.</w:t>
      </w:r>
    </w:p>
    <w:p w:rsidR="009A4C77" w:rsidRPr="008B2D38" w:rsidRDefault="009A4C77" w:rsidP="000F31CD">
      <w:pPr>
        <w:autoSpaceDE w:val="0"/>
        <w:autoSpaceDN w:val="0"/>
        <w:adjustRightInd w:val="0"/>
        <w:jc w:val="left"/>
        <w:rPr>
          <w:rFonts w:ascii="Arial" w:hAnsi="Arial" w:cs="Arial"/>
          <w:sz w:val="24"/>
          <w:szCs w:val="24"/>
        </w:rPr>
      </w:pPr>
    </w:p>
    <w:p w:rsidR="009A4C77" w:rsidRDefault="009A4C77" w:rsidP="000F31CD">
      <w:pPr>
        <w:autoSpaceDE w:val="0"/>
        <w:autoSpaceDN w:val="0"/>
        <w:adjustRightInd w:val="0"/>
        <w:jc w:val="left"/>
        <w:rPr>
          <w:rFonts w:ascii="Arial" w:hAnsi="Arial" w:cs="Arial"/>
          <w:sz w:val="24"/>
          <w:szCs w:val="24"/>
        </w:rPr>
      </w:pPr>
      <w:r>
        <w:rPr>
          <w:rFonts w:ascii="Arial" w:hAnsi="Arial" w:cs="Arial"/>
          <w:sz w:val="24"/>
          <w:szCs w:val="24"/>
        </w:rPr>
        <w:t>The Group’s effective tax rate reflects the rates of tax and the proportion of profits generated in the various jurisdictions in which the Group operates. The statutory rates for the Group’s main operating companies during 2013/14 are:</w:t>
      </w:r>
    </w:p>
    <w:p w:rsidR="009A4C77" w:rsidRPr="00D8542F" w:rsidRDefault="009A4C77" w:rsidP="009A4C77">
      <w:pPr>
        <w:jc w:val="left"/>
        <w:rPr>
          <w:rFonts w:ascii="Arial" w:hAnsi="Arial" w:cs="Arial"/>
          <w:sz w:val="24"/>
          <w:szCs w:val="24"/>
          <w:lang w:eastAsia="en-US"/>
        </w:rPr>
      </w:pPr>
    </w:p>
    <w:p w:rsidR="009A4C77" w:rsidRPr="008B2D38" w:rsidRDefault="009A4C77" w:rsidP="009A4C77">
      <w:pPr>
        <w:numPr>
          <w:ilvl w:val="0"/>
          <w:numId w:val="34"/>
        </w:numPr>
        <w:jc w:val="left"/>
        <w:rPr>
          <w:rFonts w:ascii="Arial" w:hAnsi="Arial" w:cs="Arial"/>
          <w:sz w:val="24"/>
          <w:szCs w:val="24"/>
          <w:lang w:eastAsia="en-US"/>
        </w:rPr>
      </w:pPr>
      <w:smartTag w:uri="urn:schemas-microsoft-com:office:smarttags" w:element="country-region">
        <w:smartTag w:uri="urn:schemas-microsoft-com:office:smarttags" w:element="place">
          <w:r w:rsidRPr="008B2D38">
            <w:rPr>
              <w:rFonts w:ascii="Arial" w:hAnsi="Arial" w:cs="Arial"/>
              <w:sz w:val="24"/>
              <w:szCs w:val="24"/>
              <w:lang w:eastAsia="en-US"/>
            </w:rPr>
            <w:t>UK</w:t>
          </w:r>
        </w:smartTag>
      </w:smartTag>
      <w:r w:rsidRPr="008B2D38">
        <w:rPr>
          <w:rFonts w:ascii="Arial" w:hAnsi="Arial" w:cs="Arial"/>
          <w:sz w:val="24"/>
          <w:szCs w:val="24"/>
          <w:lang w:eastAsia="en-US"/>
        </w:rPr>
        <w:t xml:space="preserve"> 23%</w:t>
      </w:r>
    </w:p>
    <w:p w:rsidR="009A4C77" w:rsidRPr="008B2D38" w:rsidRDefault="009A4C77" w:rsidP="009A4C77">
      <w:pPr>
        <w:numPr>
          <w:ilvl w:val="0"/>
          <w:numId w:val="34"/>
        </w:numPr>
        <w:jc w:val="left"/>
        <w:rPr>
          <w:rFonts w:ascii="Arial" w:hAnsi="Arial" w:cs="Arial"/>
          <w:sz w:val="24"/>
          <w:szCs w:val="24"/>
          <w:lang w:eastAsia="en-US"/>
        </w:rPr>
      </w:pPr>
      <w:smartTag w:uri="urn:schemas-microsoft-com:office:smarttags" w:element="country-region">
        <w:smartTag w:uri="urn:schemas-microsoft-com:office:smarttags" w:element="place">
          <w:r w:rsidRPr="008B2D38">
            <w:rPr>
              <w:rFonts w:ascii="Arial" w:hAnsi="Arial" w:cs="Arial"/>
              <w:sz w:val="24"/>
              <w:szCs w:val="24"/>
              <w:lang w:eastAsia="en-US"/>
            </w:rPr>
            <w:t>France</w:t>
          </w:r>
        </w:smartTag>
      </w:smartTag>
      <w:r w:rsidRPr="008B2D38">
        <w:rPr>
          <w:rFonts w:ascii="Arial" w:hAnsi="Arial" w:cs="Arial"/>
          <w:sz w:val="24"/>
          <w:szCs w:val="24"/>
          <w:lang w:eastAsia="en-US"/>
        </w:rPr>
        <w:t xml:space="preserve"> 36.1%</w:t>
      </w:r>
    </w:p>
    <w:p w:rsidR="009A4C77" w:rsidRPr="008B2D38" w:rsidRDefault="009A4C77" w:rsidP="009A4C77">
      <w:pPr>
        <w:numPr>
          <w:ilvl w:val="0"/>
          <w:numId w:val="34"/>
        </w:numPr>
        <w:jc w:val="left"/>
        <w:rPr>
          <w:rFonts w:ascii="Arial" w:hAnsi="Arial" w:cs="Arial"/>
          <w:sz w:val="24"/>
          <w:szCs w:val="24"/>
          <w:lang w:eastAsia="en-US"/>
        </w:rPr>
      </w:pPr>
      <w:smartTag w:uri="urn:schemas-microsoft-com:office:smarttags" w:element="country-region">
        <w:smartTag w:uri="urn:schemas-microsoft-com:office:smarttags" w:element="place">
          <w:r w:rsidRPr="008B2D38">
            <w:rPr>
              <w:rFonts w:ascii="Arial" w:hAnsi="Arial" w:cs="Arial"/>
              <w:sz w:val="24"/>
              <w:szCs w:val="24"/>
              <w:lang w:eastAsia="en-US"/>
            </w:rPr>
            <w:t>Poland</w:t>
          </w:r>
        </w:smartTag>
      </w:smartTag>
      <w:r w:rsidRPr="008B2D38">
        <w:rPr>
          <w:rFonts w:ascii="Arial" w:hAnsi="Arial" w:cs="Arial"/>
          <w:sz w:val="24"/>
          <w:szCs w:val="24"/>
          <w:lang w:eastAsia="en-US"/>
        </w:rPr>
        <w:t xml:space="preserve"> 19%</w:t>
      </w:r>
    </w:p>
    <w:p w:rsidR="009A4C77" w:rsidRDefault="009A4C77" w:rsidP="009A4C77">
      <w:pPr>
        <w:rPr>
          <w:rFonts w:ascii="Arial" w:hAnsi="Arial" w:cs="Arial"/>
          <w:sz w:val="24"/>
          <w:szCs w:val="24"/>
          <w:lang w:eastAsia="en-US"/>
        </w:rPr>
      </w:pPr>
    </w:p>
    <w:p w:rsidR="009A4C77" w:rsidRDefault="009A4C77" w:rsidP="000F31CD">
      <w:pPr>
        <w:autoSpaceDE w:val="0"/>
        <w:autoSpaceDN w:val="0"/>
        <w:adjustRightInd w:val="0"/>
        <w:jc w:val="left"/>
        <w:rPr>
          <w:rFonts w:ascii="Arial" w:hAnsi="Arial" w:cs="Arial"/>
          <w:sz w:val="24"/>
          <w:szCs w:val="24"/>
        </w:rPr>
      </w:pPr>
      <w:r>
        <w:rPr>
          <w:rFonts w:ascii="Arial" w:hAnsi="Arial" w:cs="Arial"/>
          <w:sz w:val="24"/>
          <w:szCs w:val="24"/>
        </w:rPr>
        <w:t>Because of the large differences between these rates some fluctuation in the Group’s effective tax rate is possible in the future. Whilst we will continue to plan our tax affairs efficiently and adopt a prudent approach towards providing for uncertain tax positions, we are aware that with pressure on government finances the tax cost of multi-nationals may increase over time.</w:t>
      </w:r>
    </w:p>
    <w:p w:rsidR="009A4C77" w:rsidRDefault="009A4C77" w:rsidP="009A4C77">
      <w:pPr>
        <w:ind w:right="-368"/>
        <w:jc w:val="left"/>
        <w:rPr>
          <w:rFonts w:ascii="Arial" w:hAnsi="Arial" w:cs="Arial"/>
          <w:b/>
          <w:sz w:val="24"/>
          <w:szCs w:val="24"/>
          <w:highlight w:val="yellow"/>
        </w:rPr>
      </w:pPr>
    </w:p>
    <w:p w:rsidR="00EA3467" w:rsidRDefault="00EA3467" w:rsidP="009A4C77">
      <w:pPr>
        <w:jc w:val="left"/>
        <w:rPr>
          <w:rFonts w:ascii="Arial" w:hAnsi="Arial" w:cs="Arial"/>
          <w:b/>
          <w:sz w:val="24"/>
          <w:szCs w:val="24"/>
        </w:rPr>
      </w:pPr>
    </w:p>
    <w:p w:rsidR="00EA3467" w:rsidRDefault="00EA3467" w:rsidP="009A4C77">
      <w:pPr>
        <w:jc w:val="left"/>
        <w:rPr>
          <w:rFonts w:ascii="Arial" w:hAnsi="Arial" w:cs="Arial"/>
          <w:b/>
          <w:sz w:val="24"/>
          <w:szCs w:val="24"/>
        </w:rPr>
      </w:pPr>
    </w:p>
    <w:p w:rsidR="00EA3467" w:rsidRDefault="00EA3467" w:rsidP="009A4C77">
      <w:pPr>
        <w:jc w:val="left"/>
        <w:rPr>
          <w:rFonts w:ascii="Arial" w:hAnsi="Arial" w:cs="Arial"/>
          <w:b/>
          <w:sz w:val="24"/>
          <w:szCs w:val="24"/>
        </w:rPr>
      </w:pPr>
    </w:p>
    <w:p w:rsidR="00EA3467" w:rsidRDefault="00EA3467" w:rsidP="009A4C77">
      <w:pPr>
        <w:jc w:val="left"/>
        <w:rPr>
          <w:rFonts w:ascii="Arial" w:hAnsi="Arial" w:cs="Arial"/>
          <w:b/>
          <w:sz w:val="24"/>
          <w:szCs w:val="24"/>
        </w:rPr>
      </w:pPr>
    </w:p>
    <w:p w:rsidR="009A4C77" w:rsidRDefault="009A4C77" w:rsidP="009A4C77">
      <w:pPr>
        <w:jc w:val="left"/>
        <w:rPr>
          <w:rFonts w:ascii="Arial" w:hAnsi="Arial" w:cs="Arial"/>
          <w:sz w:val="24"/>
          <w:szCs w:val="24"/>
        </w:rPr>
      </w:pPr>
      <w:r w:rsidRPr="00E530B3">
        <w:rPr>
          <w:rFonts w:ascii="Arial" w:hAnsi="Arial" w:cs="Arial"/>
          <w:b/>
          <w:sz w:val="24"/>
          <w:szCs w:val="24"/>
        </w:rPr>
        <w:t>Exceptional items</w:t>
      </w:r>
      <w:r w:rsidRPr="002F3946">
        <w:rPr>
          <w:rFonts w:ascii="Arial" w:hAnsi="Arial" w:cs="Arial"/>
          <w:sz w:val="24"/>
          <w:szCs w:val="24"/>
        </w:rPr>
        <w:t xml:space="preserve"> </w:t>
      </w:r>
    </w:p>
    <w:tbl>
      <w:tblPr>
        <w:tblW w:w="5001" w:type="pct"/>
        <w:tblLook w:val="0000" w:firstRow="0" w:lastRow="0" w:firstColumn="0" w:lastColumn="0" w:noHBand="0" w:noVBand="0"/>
      </w:tblPr>
      <w:tblGrid>
        <w:gridCol w:w="6949"/>
        <w:gridCol w:w="1524"/>
        <w:gridCol w:w="1386"/>
      </w:tblGrid>
      <w:tr w:rsidR="009A4C77" w:rsidRPr="0004275F" w:rsidTr="00C21DBE">
        <w:trPr>
          <w:trHeight w:val="525"/>
        </w:trPr>
        <w:tc>
          <w:tcPr>
            <w:tcW w:w="3524" w:type="pct"/>
            <w:tcBorders>
              <w:bottom w:val="single" w:sz="4" w:space="0" w:color="auto"/>
            </w:tcBorders>
            <w:shd w:val="clear" w:color="auto" w:fill="auto"/>
            <w:vAlign w:val="bottom"/>
          </w:tcPr>
          <w:p w:rsidR="009A4C77" w:rsidRPr="0004275F" w:rsidRDefault="009A4C77" w:rsidP="001461BD">
            <w:pPr>
              <w:jc w:val="left"/>
              <w:rPr>
                <w:rFonts w:ascii="Arial" w:hAnsi="Arial" w:cs="Arial"/>
                <w:bCs/>
                <w:sz w:val="24"/>
                <w:szCs w:val="24"/>
              </w:rPr>
            </w:pPr>
          </w:p>
        </w:tc>
        <w:tc>
          <w:tcPr>
            <w:tcW w:w="773" w:type="pct"/>
            <w:tcBorders>
              <w:bottom w:val="single" w:sz="4" w:space="0" w:color="auto"/>
            </w:tcBorders>
            <w:shd w:val="clear" w:color="auto" w:fill="auto"/>
            <w:vAlign w:val="bottom"/>
          </w:tcPr>
          <w:p w:rsidR="009A4C77" w:rsidRPr="0004275F" w:rsidRDefault="009A4C77" w:rsidP="001461BD">
            <w:pPr>
              <w:jc w:val="right"/>
              <w:rPr>
                <w:rFonts w:ascii="Arial" w:hAnsi="Arial" w:cs="Arial"/>
                <w:b/>
                <w:bCs/>
                <w:sz w:val="24"/>
                <w:szCs w:val="24"/>
              </w:rPr>
            </w:pPr>
            <w:r w:rsidRPr="0004275F">
              <w:rPr>
                <w:rFonts w:ascii="Arial" w:hAnsi="Arial" w:cs="Arial"/>
                <w:b/>
                <w:bCs/>
                <w:sz w:val="24"/>
                <w:szCs w:val="24"/>
              </w:rPr>
              <w:t>2013/14</w:t>
            </w:r>
          </w:p>
          <w:p w:rsidR="009A4C77" w:rsidRPr="0004275F" w:rsidRDefault="009A4C77" w:rsidP="001461BD">
            <w:pPr>
              <w:jc w:val="right"/>
              <w:rPr>
                <w:rFonts w:ascii="Arial" w:hAnsi="Arial" w:cs="Arial"/>
                <w:b/>
                <w:bCs/>
                <w:sz w:val="24"/>
                <w:szCs w:val="24"/>
              </w:rPr>
            </w:pPr>
            <w:r w:rsidRPr="0004275F">
              <w:rPr>
                <w:rFonts w:ascii="Arial" w:hAnsi="Arial" w:cs="Arial"/>
                <w:b/>
                <w:bCs/>
                <w:sz w:val="24"/>
                <w:szCs w:val="24"/>
              </w:rPr>
              <w:t>£m</w:t>
            </w:r>
          </w:p>
        </w:tc>
        <w:tc>
          <w:tcPr>
            <w:tcW w:w="703" w:type="pct"/>
            <w:tcBorders>
              <w:bottom w:val="single" w:sz="4" w:space="0" w:color="auto"/>
            </w:tcBorders>
            <w:vAlign w:val="bottom"/>
          </w:tcPr>
          <w:p w:rsidR="009A4C77" w:rsidRPr="0004275F" w:rsidRDefault="009A4C77" w:rsidP="001461BD">
            <w:pPr>
              <w:jc w:val="right"/>
              <w:rPr>
                <w:rFonts w:ascii="Arial" w:hAnsi="Arial" w:cs="Arial"/>
                <w:bCs/>
                <w:sz w:val="24"/>
                <w:szCs w:val="24"/>
              </w:rPr>
            </w:pPr>
            <w:r w:rsidRPr="0004275F">
              <w:rPr>
                <w:rFonts w:ascii="Arial" w:hAnsi="Arial" w:cs="Arial"/>
                <w:bCs/>
                <w:sz w:val="24"/>
                <w:szCs w:val="24"/>
              </w:rPr>
              <w:t>2012/13</w:t>
            </w:r>
            <w:r>
              <w:rPr>
                <w:rFonts w:ascii="Arial" w:hAnsi="Arial" w:cs="Arial"/>
                <w:bCs/>
                <w:sz w:val="24"/>
                <w:szCs w:val="24"/>
              </w:rPr>
              <w:t xml:space="preserve"> </w:t>
            </w:r>
            <w:r w:rsidRPr="0004275F">
              <w:rPr>
                <w:rFonts w:ascii="Arial" w:hAnsi="Arial" w:cs="Arial"/>
                <w:bCs/>
                <w:sz w:val="24"/>
                <w:szCs w:val="24"/>
              </w:rPr>
              <w:t>£m</w:t>
            </w:r>
          </w:p>
        </w:tc>
      </w:tr>
      <w:tr w:rsidR="009A4C77" w:rsidRPr="0004275F" w:rsidTr="00C21DBE">
        <w:trPr>
          <w:trHeight w:val="254"/>
        </w:trPr>
        <w:tc>
          <w:tcPr>
            <w:tcW w:w="3524" w:type="pct"/>
            <w:shd w:val="clear" w:color="auto" w:fill="auto"/>
            <w:vAlign w:val="bottom"/>
          </w:tcPr>
          <w:p w:rsidR="009A4C77" w:rsidRPr="0004275F" w:rsidRDefault="009A4C77" w:rsidP="00C21DBE">
            <w:pPr>
              <w:jc w:val="left"/>
              <w:rPr>
                <w:rFonts w:ascii="Arial" w:hAnsi="Arial" w:cs="Arial"/>
                <w:sz w:val="24"/>
                <w:szCs w:val="24"/>
              </w:rPr>
            </w:pPr>
            <w:r>
              <w:rPr>
                <w:rFonts w:ascii="Arial" w:hAnsi="Arial" w:cs="Arial"/>
                <w:sz w:val="24"/>
                <w:szCs w:val="24"/>
              </w:rPr>
              <w:t>Kesa demerger French tax case – repayment supplement income</w:t>
            </w:r>
          </w:p>
        </w:tc>
        <w:tc>
          <w:tcPr>
            <w:tcW w:w="773" w:type="pct"/>
            <w:shd w:val="clear" w:color="auto" w:fill="auto"/>
            <w:vAlign w:val="bottom"/>
          </w:tcPr>
          <w:p w:rsidR="009A4C77" w:rsidRPr="0004275F" w:rsidRDefault="009A4C77" w:rsidP="001461BD">
            <w:pPr>
              <w:jc w:val="right"/>
              <w:rPr>
                <w:rFonts w:ascii="Arial" w:hAnsi="Arial" w:cs="Arial"/>
                <w:b/>
                <w:sz w:val="24"/>
                <w:szCs w:val="24"/>
              </w:rPr>
            </w:pPr>
            <w:r>
              <w:rPr>
                <w:rFonts w:ascii="Arial" w:hAnsi="Arial" w:cs="Arial"/>
                <w:b/>
                <w:sz w:val="24"/>
                <w:szCs w:val="24"/>
              </w:rPr>
              <w:t>27</w:t>
            </w:r>
          </w:p>
        </w:tc>
        <w:tc>
          <w:tcPr>
            <w:tcW w:w="703" w:type="pct"/>
            <w:vAlign w:val="bottom"/>
          </w:tcPr>
          <w:p w:rsidR="009A4C77" w:rsidRPr="00F9383C" w:rsidRDefault="009A4C77" w:rsidP="001461BD">
            <w:pPr>
              <w:jc w:val="right"/>
              <w:rPr>
                <w:rFonts w:ascii="Arial" w:hAnsi="Arial" w:cs="Arial"/>
                <w:sz w:val="24"/>
                <w:szCs w:val="24"/>
              </w:rPr>
            </w:pPr>
            <w:r w:rsidRPr="00F9383C">
              <w:rPr>
                <w:rFonts w:ascii="Arial" w:hAnsi="Arial" w:cs="Arial"/>
                <w:sz w:val="24"/>
                <w:szCs w:val="24"/>
              </w:rPr>
              <w:t>-</w:t>
            </w:r>
          </w:p>
        </w:tc>
      </w:tr>
      <w:tr w:rsidR="009A4C77" w:rsidRPr="0004275F" w:rsidTr="00C21DBE">
        <w:trPr>
          <w:trHeight w:val="308"/>
        </w:trPr>
        <w:tc>
          <w:tcPr>
            <w:tcW w:w="3524" w:type="pct"/>
            <w:shd w:val="clear" w:color="auto" w:fill="auto"/>
            <w:vAlign w:val="bottom"/>
          </w:tcPr>
          <w:p w:rsidR="009A4C77" w:rsidRPr="0004275F" w:rsidRDefault="009A4C77" w:rsidP="001461BD">
            <w:pPr>
              <w:jc w:val="left"/>
              <w:rPr>
                <w:rFonts w:ascii="Arial" w:hAnsi="Arial" w:cs="Arial"/>
                <w:sz w:val="24"/>
                <w:szCs w:val="24"/>
              </w:rPr>
            </w:pPr>
            <w:smartTag w:uri="urn:schemas-microsoft-com:office:smarttags" w:element="country-region">
              <w:smartTag w:uri="urn:schemas-microsoft-com:office:smarttags" w:element="place">
                <w:r>
                  <w:rPr>
                    <w:rFonts w:ascii="Arial" w:hAnsi="Arial" w:cs="Arial"/>
                    <w:sz w:val="24"/>
                    <w:szCs w:val="24"/>
                  </w:rPr>
                  <w:t>Ireland</w:t>
                </w:r>
              </w:smartTag>
            </w:smartTag>
            <w:r>
              <w:rPr>
                <w:rFonts w:ascii="Arial" w:hAnsi="Arial" w:cs="Arial"/>
                <w:sz w:val="24"/>
                <w:szCs w:val="24"/>
              </w:rPr>
              <w:t xml:space="preserve"> restructuring</w:t>
            </w:r>
          </w:p>
        </w:tc>
        <w:tc>
          <w:tcPr>
            <w:tcW w:w="773" w:type="pct"/>
            <w:shd w:val="clear" w:color="auto" w:fill="auto"/>
            <w:vAlign w:val="bottom"/>
          </w:tcPr>
          <w:p w:rsidR="009A4C77" w:rsidRPr="0004275F" w:rsidRDefault="009A4C77" w:rsidP="001461BD">
            <w:pPr>
              <w:jc w:val="right"/>
              <w:rPr>
                <w:rFonts w:ascii="Arial" w:hAnsi="Arial" w:cs="Arial"/>
                <w:b/>
                <w:sz w:val="24"/>
                <w:szCs w:val="24"/>
              </w:rPr>
            </w:pPr>
            <w:r>
              <w:rPr>
                <w:rFonts w:ascii="Arial" w:hAnsi="Arial" w:cs="Arial"/>
                <w:b/>
                <w:sz w:val="24"/>
                <w:szCs w:val="24"/>
              </w:rPr>
              <w:t>7</w:t>
            </w:r>
          </w:p>
        </w:tc>
        <w:tc>
          <w:tcPr>
            <w:tcW w:w="703" w:type="pct"/>
            <w:vAlign w:val="bottom"/>
          </w:tcPr>
          <w:p w:rsidR="009A4C77" w:rsidRPr="00F9383C" w:rsidRDefault="009A4C77" w:rsidP="001461BD">
            <w:pPr>
              <w:jc w:val="right"/>
              <w:rPr>
                <w:rFonts w:ascii="Arial" w:hAnsi="Arial" w:cs="Arial"/>
                <w:sz w:val="24"/>
                <w:szCs w:val="24"/>
              </w:rPr>
            </w:pPr>
            <w:r w:rsidRPr="00F9383C">
              <w:rPr>
                <w:rFonts w:ascii="Arial" w:hAnsi="Arial" w:cs="Arial"/>
                <w:sz w:val="24"/>
                <w:szCs w:val="24"/>
              </w:rPr>
              <w:t>-</w:t>
            </w:r>
          </w:p>
        </w:tc>
      </w:tr>
      <w:tr w:rsidR="009A4C77" w:rsidRPr="0004275F" w:rsidTr="00C21DBE">
        <w:trPr>
          <w:trHeight w:val="308"/>
        </w:trPr>
        <w:tc>
          <w:tcPr>
            <w:tcW w:w="3524" w:type="pct"/>
            <w:shd w:val="clear" w:color="auto" w:fill="auto"/>
            <w:vAlign w:val="bottom"/>
          </w:tcPr>
          <w:p w:rsidR="009A4C77" w:rsidRPr="0004275F" w:rsidRDefault="009A4C77" w:rsidP="001461BD">
            <w:pPr>
              <w:jc w:val="left"/>
              <w:rPr>
                <w:rFonts w:ascii="Arial" w:hAnsi="Arial" w:cs="Arial"/>
                <w:sz w:val="24"/>
                <w:szCs w:val="24"/>
              </w:rPr>
            </w:pPr>
            <w:smartTag w:uri="urn:schemas-microsoft-com:office:smarttags" w:element="country-region">
              <w:smartTag w:uri="urn:schemas-microsoft-com:office:smarttags" w:element="place">
                <w:r>
                  <w:rPr>
                    <w:rFonts w:ascii="Arial" w:hAnsi="Arial" w:cs="Arial"/>
                    <w:sz w:val="24"/>
                    <w:szCs w:val="24"/>
                  </w:rPr>
                  <w:t>UK</w:t>
                </w:r>
              </w:smartTag>
            </w:smartTag>
            <w:r>
              <w:rPr>
                <w:rFonts w:ascii="Arial" w:hAnsi="Arial" w:cs="Arial"/>
                <w:sz w:val="24"/>
                <w:szCs w:val="24"/>
              </w:rPr>
              <w:t xml:space="preserve"> restructuring</w:t>
            </w:r>
          </w:p>
        </w:tc>
        <w:tc>
          <w:tcPr>
            <w:tcW w:w="773" w:type="pct"/>
            <w:shd w:val="clear" w:color="auto" w:fill="auto"/>
            <w:vAlign w:val="bottom"/>
          </w:tcPr>
          <w:p w:rsidR="009A4C77" w:rsidRPr="0004275F" w:rsidRDefault="009A4C77" w:rsidP="001461BD">
            <w:pPr>
              <w:jc w:val="right"/>
              <w:rPr>
                <w:rFonts w:ascii="Arial" w:hAnsi="Arial" w:cs="Arial"/>
                <w:b/>
                <w:sz w:val="24"/>
                <w:szCs w:val="24"/>
              </w:rPr>
            </w:pPr>
            <w:r>
              <w:rPr>
                <w:rFonts w:ascii="Arial" w:hAnsi="Arial" w:cs="Arial"/>
                <w:b/>
                <w:sz w:val="24"/>
                <w:szCs w:val="24"/>
              </w:rPr>
              <w:t>-</w:t>
            </w:r>
          </w:p>
        </w:tc>
        <w:tc>
          <w:tcPr>
            <w:tcW w:w="703" w:type="pct"/>
            <w:vAlign w:val="bottom"/>
          </w:tcPr>
          <w:p w:rsidR="009A4C77" w:rsidRPr="00F9383C" w:rsidRDefault="009A4C77" w:rsidP="001461BD">
            <w:pPr>
              <w:jc w:val="right"/>
              <w:rPr>
                <w:rFonts w:ascii="Arial" w:hAnsi="Arial" w:cs="Arial"/>
                <w:sz w:val="24"/>
                <w:szCs w:val="24"/>
              </w:rPr>
            </w:pPr>
            <w:r w:rsidRPr="00F9383C">
              <w:rPr>
                <w:rFonts w:ascii="Arial" w:hAnsi="Arial" w:cs="Arial"/>
                <w:sz w:val="24"/>
                <w:szCs w:val="24"/>
              </w:rPr>
              <w:t>(18)</w:t>
            </w:r>
          </w:p>
        </w:tc>
      </w:tr>
      <w:tr w:rsidR="009A4C77" w:rsidRPr="0004275F" w:rsidTr="00C21DBE">
        <w:trPr>
          <w:trHeight w:val="308"/>
        </w:trPr>
        <w:tc>
          <w:tcPr>
            <w:tcW w:w="3524" w:type="pct"/>
            <w:shd w:val="clear" w:color="auto" w:fill="auto"/>
            <w:vAlign w:val="bottom"/>
          </w:tcPr>
          <w:p w:rsidR="009A4C77" w:rsidRPr="0004275F" w:rsidRDefault="009A4C77" w:rsidP="001461BD">
            <w:pPr>
              <w:jc w:val="left"/>
              <w:rPr>
                <w:rFonts w:ascii="Arial" w:hAnsi="Arial" w:cs="Arial"/>
                <w:sz w:val="24"/>
                <w:szCs w:val="24"/>
              </w:rPr>
            </w:pPr>
            <w:r>
              <w:rPr>
                <w:rFonts w:ascii="Arial" w:hAnsi="Arial" w:cs="Arial"/>
                <w:sz w:val="24"/>
                <w:szCs w:val="24"/>
              </w:rPr>
              <w:t>Net pension gain</w:t>
            </w:r>
          </w:p>
        </w:tc>
        <w:tc>
          <w:tcPr>
            <w:tcW w:w="773" w:type="pct"/>
            <w:shd w:val="clear" w:color="auto" w:fill="auto"/>
            <w:vAlign w:val="bottom"/>
          </w:tcPr>
          <w:p w:rsidR="009A4C77" w:rsidRPr="0004275F" w:rsidRDefault="009A4C77" w:rsidP="001461BD">
            <w:pPr>
              <w:jc w:val="right"/>
              <w:rPr>
                <w:rFonts w:ascii="Arial" w:hAnsi="Arial" w:cs="Arial"/>
                <w:b/>
                <w:sz w:val="24"/>
                <w:szCs w:val="24"/>
              </w:rPr>
            </w:pPr>
            <w:r>
              <w:rPr>
                <w:rFonts w:ascii="Arial" w:hAnsi="Arial" w:cs="Arial"/>
                <w:b/>
                <w:sz w:val="24"/>
                <w:szCs w:val="24"/>
              </w:rPr>
              <w:t>-</w:t>
            </w:r>
          </w:p>
        </w:tc>
        <w:tc>
          <w:tcPr>
            <w:tcW w:w="703" w:type="pct"/>
            <w:vAlign w:val="bottom"/>
          </w:tcPr>
          <w:p w:rsidR="009A4C77" w:rsidRPr="00F9383C" w:rsidRDefault="009A4C77" w:rsidP="001461BD">
            <w:pPr>
              <w:jc w:val="right"/>
              <w:rPr>
                <w:rFonts w:ascii="Arial" w:hAnsi="Arial" w:cs="Arial"/>
                <w:sz w:val="24"/>
                <w:szCs w:val="24"/>
              </w:rPr>
            </w:pPr>
            <w:r w:rsidRPr="00F9383C">
              <w:rPr>
                <w:rFonts w:ascii="Arial" w:hAnsi="Arial" w:cs="Arial"/>
                <w:sz w:val="24"/>
                <w:szCs w:val="24"/>
              </w:rPr>
              <w:t>11</w:t>
            </w:r>
          </w:p>
        </w:tc>
      </w:tr>
      <w:tr w:rsidR="009A4C77" w:rsidRPr="0004275F" w:rsidTr="00C21DBE">
        <w:trPr>
          <w:trHeight w:val="308"/>
        </w:trPr>
        <w:tc>
          <w:tcPr>
            <w:tcW w:w="3524" w:type="pct"/>
            <w:tcBorders>
              <w:bottom w:val="single" w:sz="4" w:space="0" w:color="auto"/>
            </w:tcBorders>
            <w:shd w:val="clear" w:color="auto" w:fill="auto"/>
            <w:vAlign w:val="bottom"/>
          </w:tcPr>
          <w:p w:rsidR="009A4C77" w:rsidRPr="0004275F" w:rsidRDefault="009A4C77" w:rsidP="001461BD">
            <w:pPr>
              <w:jc w:val="left"/>
              <w:rPr>
                <w:rFonts w:ascii="Arial" w:hAnsi="Arial" w:cs="Arial"/>
                <w:sz w:val="24"/>
                <w:szCs w:val="24"/>
              </w:rPr>
            </w:pPr>
            <w:r>
              <w:rPr>
                <w:rFonts w:ascii="Arial" w:hAnsi="Arial" w:cs="Arial"/>
                <w:sz w:val="24"/>
                <w:szCs w:val="24"/>
              </w:rPr>
              <w:t>Other</w:t>
            </w:r>
          </w:p>
        </w:tc>
        <w:tc>
          <w:tcPr>
            <w:tcW w:w="773" w:type="pct"/>
            <w:tcBorders>
              <w:bottom w:val="single" w:sz="4" w:space="0" w:color="auto"/>
            </w:tcBorders>
            <w:shd w:val="clear" w:color="auto" w:fill="auto"/>
            <w:vAlign w:val="bottom"/>
          </w:tcPr>
          <w:p w:rsidR="009A4C77" w:rsidRPr="0004275F" w:rsidRDefault="009A4C77" w:rsidP="001461BD">
            <w:pPr>
              <w:jc w:val="right"/>
              <w:rPr>
                <w:rFonts w:ascii="Arial" w:hAnsi="Arial" w:cs="Arial"/>
                <w:b/>
                <w:sz w:val="24"/>
                <w:szCs w:val="24"/>
              </w:rPr>
            </w:pPr>
            <w:r>
              <w:rPr>
                <w:rFonts w:ascii="Arial" w:hAnsi="Arial" w:cs="Arial"/>
                <w:b/>
                <w:sz w:val="24"/>
                <w:szCs w:val="24"/>
              </w:rPr>
              <w:t>1</w:t>
            </w:r>
          </w:p>
        </w:tc>
        <w:tc>
          <w:tcPr>
            <w:tcW w:w="703" w:type="pct"/>
            <w:tcBorders>
              <w:bottom w:val="single" w:sz="4" w:space="0" w:color="auto"/>
            </w:tcBorders>
            <w:vAlign w:val="bottom"/>
          </w:tcPr>
          <w:p w:rsidR="009A4C77" w:rsidRPr="00F9383C" w:rsidRDefault="009A4C77" w:rsidP="001461BD">
            <w:pPr>
              <w:jc w:val="right"/>
              <w:rPr>
                <w:rFonts w:ascii="Arial" w:hAnsi="Arial" w:cs="Arial"/>
                <w:sz w:val="24"/>
                <w:szCs w:val="24"/>
              </w:rPr>
            </w:pPr>
            <w:r w:rsidRPr="00F9383C">
              <w:rPr>
                <w:rFonts w:ascii="Arial" w:hAnsi="Arial" w:cs="Arial"/>
                <w:sz w:val="24"/>
                <w:szCs w:val="24"/>
              </w:rPr>
              <w:t>1</w:t>
            </w:r>
          </w:p>
        </w:tc>
      </w:tr>
      <w:tr w:rsidR="009A4C77" w:rsidRPr="0004275F" w:rsidTr="00C21DBE">
        <w:trPr>
          <w:trHeight w:val="308"/>
        </w:trPr>
        <w:tc>
          <w:tcPr>
            <w:tcW w:w="3524" w:type="pct"/>
            <w:tcBorders>
              <w:top w:val="single" w:sz="4" w:space="0" w:color="auto"/>
            </w:tcBorders>
            <w:shd w:val="clear" w:color="auto" w:fill="auto"/>
            <w:vAlign w:val="bottom"/>
          </w:tcPr>
          <w:p w:rsidR="009A4C77" w:rsidRPr="0004275F" w:rsidRDefault="009A4C77" w:rsidP="001461BD">
            <w:pPr>
              <w:jc w:val="left"/>
              <w:rPr>
                <w:rFonts w:ascii="Arial" w:hAnsi="Arial" w:cs="Arial"/>
                <w:b/>
                <w:sz w:val="24"/>
                <w:szCs w:val="24"/>
              </w:rPr>
            </w:pPr>
          </w:p>
        </w:tc>
        <w:tc>
          <w:tcPr>
            <w:tcW w:w="773" w:type="pct"/>
            <w:tcBorders>
              <w:top w:val="single" w:sz="4" w:space="0" w:color="auto"/>
            </w:tcBorders>
            <w:shd w:val="clear" w:color="auto" w:fill="auto"/>
            <w:vAlign w:val="bottom"/>
          </w:tcPr>
          <w:p w:rsidR="009A4C77" w:rsidRDefault="009A4C77" w:rsidP="001461BD">
            <w:pPr>
              <w:jc w:val="right"/>
              <w:rPr>
                <w:rFonts w:ascii="Arial" w:hAnsi="Arial" w:cs="Arial"/>
                <w:b/>
                <w:sz w:val="24"/>
                <w:szCs w:val="24"/>
              </w:rPr>
            </w:pPr>
            <w:r>
              <w:rPr>
                <w:rFonts w:ascii="Arial" w:hAnsi="Arial" w:cs="Arial"/>
                <w:b/>
                <w:sz w:val="24"/>
                <w:szCs w:val="24"/>
              </w:rPr>
              <w:t>35</w:t>
            </w:r>
          </w:p>
        </w:tc>
        <w:tc>
          <w:tcPr>
            <w:tcW w:w="703" w:type="pct"/>
            <w:tcBorders>
              <w:top w:val="single" w:sz="4" w:space="0" w:color="auto"/>
            </w:tcBorders>
            <w:vAlign w:val="bottom"/>
          </w:tcPr>
          <w:p w:rsidR="009A4C77" w:rsidRPr="0004275F" w:rsidRDefault="009A4C77" w:rsidP="001461BD">
            <w:pPr>
              <w:jc w:val="right"/>
              <w:rPr>
                <w:rFonts w:ascii="Arial" w:hAnsi="Arial" w:cs="Arial"/>
                <w:sz w:val="24"/>
                <w:szCs w:val="24"/>
              </w:rPr>
            </w:pPr>
            <w:r>
              <w:rPr>
                <w:rFonts w:ascii="Arial" w:hAnsi="Arial" w:cs="Arial"/>
                <w:sz w:val="24"/>
                <w:szCs w:val="24"/>
              </w:rPr>
              <w:t>(6)</w:t>
            </w:r>
          </w:p>
        </w:tc>
      </w:tr>
      <w:tr w:rsidR="009A4C77" w:rsidRPr="00F9383C" w:rsidTr="00C21DBE">
        <w:trPr>
          <w:trHeight w:val="308"/>
        </w:trPr>
        <w:tc>
          <w:tcPr>
            <w:tcW w:w="3524" w:type="pct"/>
            <w:shd w:val="clear" w:color="auto" w:fill="auto"/>
            <w:vAlign w:val="bottom"/>
          </w:tcPr>
          <w:p w:rsidR="009A4C77" w:rsidRPr="00F9383C" w:rsidRDefault="009A4C77" w:rsidP="001461BD">
            <w:pPr>
              <w:jc w:val="left"/>
              <w:rPr>
                <w:rFonts w:ascii="Arial" w:hAnsi="Arial" w:cs="Arial"/>
                <w:sz w:val="24"/>
                <w:szCs w:val="24"/>
              </w:rPr>
            </w:pPr>
            <w:r w:rsidRPr="00F9383C">
              <w:rPr>
                <w:rFonts w:ascii="Arial" w:hAnsi="Arial" w:cs="Arial"/>
                <w:sz w:val="24"/>
                <w:szCs w:val="24"/>
              </w:rPr>
              <w:t>Tax on exceptional items</w:t>
            </w:r>
          </w:p>
        </w:tc>
        <w:tc>
          <w:tcPr>
            <w:tcW w:w="773" w:type="pct"/>
            <w:shd w:val="clear" w:color="auto" w:fill="auto"/>
            <w:vAlign w:val="bottom"/>
          </w:tcPr>
          <w:p w:rsidR="009A4C77" w:rsidRPr="00F9383C" w:rsidRDefault="009A4C77" w:rsidP="001461BD">
            <w:pPr>
              <w:jc w:val="right"/>
              <w:rPr>
                <w:rFonts w:ascii="Arial" w:hAnsi="Arial" w:cs="Arial"/>
                <w:sz w:val="24"/>
                <w:szCs w:val="24"/>
              </w:rPr>
            </w:pPr>
            <w:r w:rsidRPr="00F9383C">
              <w:rPr>
                <w:rFonts w:ascii="Arial" w:hAnsi="Arial" w:cs="Arial"/>
                <w:sz w:val="24"/>
                <w:szCs w:val="24"/>
              </w:rPr>
              <w:t>-</w:t>
            </w:r>
          </w:p>
        </w:tc>
        <w:tc>
          <w:tcPr>
            <w:tcW w:w="703" w:type="pct"/>
            <w:vAlign w:val="bottom"/>
          </w:tcPr>
          <w:p w:rsidR="009A4C77" w:rsidRPr="00F9383C" w:rsidRDefault="009A4C77" w:rsidP="001461BD">
            <w:pPr>
              <w:jc w:val="right"/>
              <w:rPr>
                <w:rFonts w:ascii="Arial" w:hAnsi="Arial" w:cs="Arial"/>
                <w:sz w:val="24"/>
                <w:szCs w:val="24"/>
              </w:rPr>
            </w:pPr>
            <w:r w:rsidRPr="00F9383C">
              <w:rPr>
                <w:rFonts w:ascii="Arial" w:hAnsi="Arial" w:cs="Arial"/>
                <w:sz w:val="24"/>
                <w:szCs w:val="24"/>
              </w:rPr>
              <w:t>1</w:t>
            </w:r>
          </w:p>
        </w:tc>
      </w:tr>
      <w:tr w:rsidR="009A4C77" w:rsidRPr="0004275F" w:rsidTr="00C21DBE">
        <w:trPr>
          <w:trHeight w:val="308"/>
        </w:trPr>
        <w:tc>
          <w:tcPr>
            <w:tcW w:w="3524" w:type="pct"/>
            <w:tcBorders>
              <w:bottom w:val="single" w:sz="4" w:space="0" w:color="auto"/>
            </w:tcBorders>
            <w:shd w:val="clear" w:color="auto" w:fill="auto"/>
            <w:vAlign w:val="bottom"/>
          </w:tcPr>
          <w:p w:rsidR="009A4C77" w:rsidRPr="00F9383C" w:rsidRDefault="009A4C77" w:rsidP="001461BD">
            <w:pPr>
              <w:jc w:val="left"/>
              <w:rPr>
                <w:rFonts w:ascii="Arial" w:hAnsi="Arial" w:cs="Arial"/>
                <w:sz w:val="24"/>
                <w:szCs w:val="24"/>
              </w:rPr>
            </w:pPr>
            <w:r>
              <w:rPr>
                <w:rFonts w:ascii="Arial" w:hAnsi="Arial" w:cs="Arial"/>
                <w:sz w:val="24"/>
                <w:szCs w:val="24"/>
              </w:rPr>
              <w:t>Kesa demerger French tax case</w:t>
            </w:r>
          </w:p>
        </w:tc>
        <w:tc>
          <w:tcPr>
            <w:tcW w:w="773" w:type="pct"/>
            <w:tcBorders>
              <w:bottom w:val="single" w:sz="4" w:space="0" w:color="auto"/>
            </w:tcBorders>
            <w:shd w:val="clear" w:color="auto" w:fill="auto"/>
            <w:vAlign w:val="bottom"/>
          </w:tcPr>
          <w:p w:rsidR="009A4C77" w:rsidRDefault="009A4C77" w:rsidP="001461BD">
            <w:pPr>
              <w:jc w:val="right"/>
              <w:rPr>
                <w:rFonts w:ascii="Arial" w:hAnsi="Arial" w:cs="Arial"/>
                <w:b/>
                <w:sz w:val="24"/>
                <w:szCs w:val="24"/>
              </w:rPr>
            </w:pPr>
            <w:r>
              <w:rPr>
                <w:rFonts w:ascii="Arial" w:hAnsi="Arial" w:cs="Arial"/>
                <w:b/>
                <w:sz w:val="24"/>
                <w:szCs w:val="24"/>
              </w:rPr>
              <w:t>118</w:t>
            </w:r>
          </w:p>
        </w:tc>
        <w:tc>
          <w:tcPr>
            <w:tcW w:w="703" w:type="pct"/>
            <w:tcBorders>
              <w:bottom w:val="single" w:sz="4" w:space="0" w:color="auto"/>
            </w:tcBorders>
            <w:vAlign w:val="bottom"/>
          </w:tcPr>
          <w:p w:rsidR="009A4C77" w:rsidRPr="0004275F" w:rsidRDefault="009A4C77" w:rsidP="001461BD">
            <w:pPr>
              <w:jc w:val="right"/>
              <w:rPr>
                <w:rFonts w:ascii="Arial" w:hAnsi="Arial" w:cs="Arial"/>
                <w:sz w:val="24"/>
                <w:szCs w:val="24"/>
              </w:rPr>
            </w:pPr>
            <w:r>
              <w:rPr>
                <w:rFonts w:ascii="Arial" w:hAnsi="Arial" w:cs="Arial"/>
                <w:sz w:val="24"/>
                <w:szCs w:val="24"/>
              </w:rPr>
              <w:t>-</w:t>
            </w:r>
          </w:p>
        </w:tc>
      </w:tr>
      <w:tr w:rsidR="009A4C77" w:rsidRPr="0004275F" w:rsidTr="00C21DBE">
        <w:trPr>
          <w:trHeight w:val="308"/>
        </w:trPr>
        <w:tc>
          <w:tcPr>
            <w:tcW w:w="3524" w:type="pct"/>
            <w:tcBorders>
              <w:top w:val="single" w:sz="4" w:space="0" w:color="auto"/>
              <w:bottom w:val="single" w:sz="4" w:space="0" w:color="auto"/>
            </w:tcBorders>
            <w:shd w:val="clear" w:color="auto" w:fill="auto"/>
            <w:vAlign w:val="bottom"/>
          </w:tcPr>
          <w:p w:rsidR="009A4C77" w:rsidRPr="0004275F" w:rsidRDefault="009A4C77" w:rsidP="001461BD">
            <w:pPr>
              <w:jc w:val="left"/>
              <w:rPr>
                <w:rFonts w:ascii="Arial" w:hAnsi="Arial" w:cs="Arial"/>
                <w:b/>
                <w:sz w:val="24"/>
                <w:szCs w:val="24"/>
              </w:rPr>
            </w:pPr>
            <w:r>
              <w:rPr>
                <w:rFonts w:ascii="Arial" w:hAnsi="Arial" w:cs="Arial"/>
                <w:b/>
                <w:sz w:val="24"/>
                <w:szCs w:val="24"/>
              </w:rPr>
              <w:t>Net exceptional items</w:t>
            </w:r>
            <w:r w:rsidRPr="0004275F">
              <w:rPr>
                <w:rFonts w:ascii="Arial" w:hAnsi="Arial" w:cs="Arial"/>
                <w:b/>
                <w:sz w:val="24"/>
                <w:szCs w:val="24"/>
              </w:rPr>
              <w:t xml:space="preserve"> </w:t>
            </w:r>
          </w:p>
        </w:tc>
        <w:tc>
          <w:tcPr>
            <w:tcW w:w="773" w:type="pct"/>
            <w:tcBorders>
              <w:top w:val="single" w:sz="4" w:space="0" w:color="auto"/>
              <w:bottom w:val="single" w:sz="4" w:space="0" w:color="auto"/>
            </w:tcBorders>
            <w:shd w:val="clear" w:color="auto" w:fill="auto"/>
            <w:vAlign w:val="bottom"/>
          </w:tcPr>
          <w:p w:rsidR="009A4C77" w:rsidRPr="0004275F" w:rsidRDefault="009A4C77" w:rsidP="001461BD">
            <w:pPr>
              <w:jc w:val="right"/>
              <w:rPr>
                <w:rFonts w:ascii="Arial" w:hAnsi="Arial" w:cs="Arial"/>
                <w:b/>
                <w:sz w:val="24"/>
                <w:szCs w:val="24"/>
              </w:rPr>
            </w:pPr>
            <w:r>
              <w:rPr>
                <w:rFonts w:ascii="Arial" w:hAnsi="Arial" w:cs="Arial"/>
                <w:b/>
                <w:sz w:val="24"/>
                <w:szCs w:val="24"/>
              </w:rPr>
              <w:t>153</w:t>
            </w:r>
          </w:p>
        </w:tc>
        <w:tc>
          <w:tcPr>
            <w:tcW w:w="703" w:type="pct"/>
            <w:tcBorders>
              <w:top w:val="single" w:sz="4" w:space="0" w:color="auto"/>
              <w:bottom w:val="single" w:sz="4" w:space="0" w:color="auto"/>
            </w:tcBorders>
            <w:vAlign w:val="bottom"/>
          </w:tcPr>
          <w:p w:rsidR="009A4C77" w:rsidRPr="0004275F" w:rsidRDefault="009A4C77" w:rsidP="001461BD">
            <w:pPr>
              <w:jc w:val="right"/>
              <w:rPr>
                <w:rFonts w:ascii="Arial" w:hAnsi="Arial" w:cs="Arial"/>
                <w:sz w:val="24"/>
                <w:szCs w:val="24"/>
              </w:rPr>
            </w:pPr>
            <w:r w:rsidRPr="0004275F">
              <w:rPr>
                <w:rFonts w:ascii="Arial" w:hAnsi="Arial" w:cs="Arial"/>
                <w:sz w:val="24"/>
                <w:szCs w:val="24"/>
              </w:rPr>
              <w:t>(</w:t>
            </w:r>
            <w:r>
              <w:rPr>
                <w:rFonts w:ascii="Arial" w:hAnsi="Arial" w:cs="Arial"/>
                <w:sz w:val="24"/>
                <w:szCs w:val="24"/>
              </w:rPr>
              <w:t>5</w:t>
            </w:r>
            <w:r w:rsidRPr="0004275F">
              <w:rPr>
                <w:rFonts w:ascii="Arial" w:hAnsi="Arial" w:cs="Arial"/>
                <w:sz w:val="24"/>
                <w:szCs w:val="24"/>
              </w:rPr>
              <w:t>)</w:t>
            </w:r>
          </w:p>
        </w:tc>
      </w:tr>
    </w:tbl>
    <w:p w:rsidR="009A4C77" w:rsidRDefault="009A4C77" w:rsidP="009A4C77">
      <w:pPr>
        <w:rPr>
          <w:rFonts w:ascii="Arial" w:hAnsi="Arial" w:cs="Arial"/>
          <w:sz w:val="24"/>
          <w:szCs w:val="24"/>
        </w:rPr>
      </w:pPr>
    </w:p>
    <w:p w:rsidR="009A4C77" w:rsidRDefault="009A4C77" w:rsidP="000F31CD">
      <w:pPr>
        <w:jc w:val="left"/>
        <w:rPr>
          <w:rFonts w:ascii="Arial" w:hAnsi="Arial" w:cs="Arial"/>
          <w:sz w:val="24"/>
          <w:szCs w:val="24"/>
        </w:rPr>
      </w:pPr>
      <w:r w:rsidRPr="0074533E">
        <w:rPr>
          <w:rFonts w:ascii="Arial" w:hAnsi="Arial" w:cs="Arial"/>
          <w:sz w:val="24"/>
          <w:szCs w:val="24"/>
        </w:rPr>
        <w:t>Kingfisher paid €138</w:t>
      </w:r>
      <w:r>
        <w:rPr>
          <w:rFonts w:ascii="Arial" w:hAnsi="Arial" w:cs="Arial"/>
          <w:sz w:val="24"/>
          <w:szCs w:val="24"/>
        </w:rPr>
        <w:t xml:space="preserve"> </w:t>
      </w:r>
      <w:r w:rsidRPr="0074533E">
        <w:rPr>
          <w:rFonts w:ascii="Arial" w:hAnsi="Arial" w:cs="Arial"/>
          <w:sz w:val="24"/>
          <w:szCs w:val="24"/>
        </w:rPr>
        <w:t>m</w:t>
      </w:r>
      <w:r>
        <w:rPr>
          <w:rFonts w:ascii="Arial" w:hAnsi="Arial" w:cs="Arial"/>
          <w:sz w:val="24"/>
          <w:szCs w:val="24"/>
        </w:rPr>
        <w:t>illion</w:t>
      </w:r>
      <w:r w:rsidRPr="0074533E">
        <w:rPr>
          <w:rFonts w:ascii="Arial" w:hAnsi="Arial" w:cs="Arial"/>
          <w:sz w:val="24"/>
          <w:szCs w:val="24"/>
        </w:rPr>
        <w:t xml:space="preserve"> tax to the French tax authorities in the year ended 31 January 2004 as a consequence of the Kesa Electricals demerger and recorded this as an exceptional tax charge. Kingfisher appealed successfully against this tax liability and as a result received €169</w:t>
      </w:r>
      <w:r>
        <w:rPr>
          <w:rFonts w:ascii="Arial" w:hAnsi="Arial" w:cs="Arial"/>
          <w:sz w:val="24"/>
          <w:szCs w:val="24"/>
        </w:rPr>
        <w:t xml:space="preserve"> </w:t>
      </w:r>
      <w:r w:rsidRPr="0074533E">
        <w:rPr>
          <w:rFonts w:ascii="Arial" w:hAnsi="Arial" w:cs="Arial"/>
          <w:sz w:val="24"/>
          <w:szCs w:val="24"/>
        </w:rPr>
        <w:t>m</w:t>
      </w:r>
      <w:r>
        <w:rPr>
          <w:rFonts w:ascii="Arial" w:hAnsi="Arial" w:cs="Arial"/>
          <w:sz w:val="24"/>
          <w:szCs w:val="24"/>
        </w:rPr>
        <w:t>illion</w:t>
      </w:r>
      <w:r w:rsidRPr="0074533E">
        <w:rPr>
          <w:rFonts w:ascii="Arial" w:hAnsi="Arial" w:cs="Arial"/>
          <w:sz w:val="24"/>
          <w:szCs w:val="24"/>
        </w:rPr>
        <w:t xml:space="preserve"> from the French tax authorities in September 2009, representing a refund of the €138</w:t>
      </w:r>
      <w:r>
        <w:rPr>
          <w:rFonts w:ascii="Arial" w:hAnsi="Arial" w:cs="Arial"/>
          <w:sz w:val="24"/>
          <w:szCs w:val="24"/>
        </w:rPr>
        <w:t xml:space="preserve"> </w:t>
      </w:r>
      <w:r w:rsidRPr="0074533E">
        <w:rPr>
          <w:rFonts w:ascii="Arial" w:hAnsi="Arial" w:cs="Arial"/>
          <w:sz w:val="24"/>
          <w:szCs w:val="24"/>
        </w:rPr>
        <w:t>m</w:t>
      </w:r>
      <w:r>
        <w:rPr>
          <w:rFonts w:ascii="Arial" w:hAnsi="Arial" w:cs="Arial"/>
          <w:sz w:val="24"/>
          <w:szCs w:val="24"/>
        </w:rPr>
        <w:t>illion</w:t>
      </w:r>
      <w:r w:rsidRPr="0074533E">
        <w:rPr>
          <w:rFonts w:ascii="Arial" w:hAnsi="Arial" w:cs="Arial"/>
          <w:sz w:val="24"/>
          <w:szCs w:val="24"/>
        </w:rPr>
        <w:t xml:space="preserve"> and €31</w:t>
      </w:r>
      <w:r>
        <w:rPr>
          <w:rFonts w:ascii="Arial" w:hAnsi="Arial" w:cs="Arial"/>
          <w:sz w:val="24"/>
          <w:szCs w:val="24"/>
        </w:rPr>
        <w:t xml:space="preserve"> </w:t>
      </w:r>
      <w:r w:rsidRPr="0074533E">
        <w:rPr>
          <w:rFonts w:ascii="Arial" w:hAnsi="Arial" w:cs="Arial"/>
          <w:sz w:val="24"/>
          <w:szCs w:val="24"/>
        </w:rPr>
        <w:t>m</w:t>
      </w:r>
      <w:r>
        <w:rPr>
          <w:rFonts w:ascii="Arial" w:hAnsi="Arial" w:cs="Arial"/>
          <w:sz w:val="24"/>
          <w:szCs w:val="24"/>
        </w:rPr>
        <w:t>illion</w:t>
      </w:r>
      <w:r w:rsidRPr="0074533E">
        <w:rPr>
          <w:rFonts w:ascii="Arial" w:hAnsi="Arial" w:cs="Arial"/>
          <w:sz w:val="24"/>
          <w:szCs w:val="24"/>
        </w:rPr>
        <w:t xml:space="preserve"> of repayment supplement. The French tax authorities appealed this decision and the hearing took place in May 2011 with the Court of Appeal finding in Kingfisher’s favour. The French tax authorities appealed this decision to the final level of court and </w:t>
      </w:r>
      <w:r>
        <w:rPr>
          <w:rFonts w:ascii="Arial" w:hAnsi="Arial" w:cs="Arial"/>
          <w:sz w:val="24"/>
          <w:szCs w:val="24"/>
        </w:rPr>
        <w:t>in July 2013</w:t>
      </w:r>
      <w:r w:rsidRPr="0074533E">
        <w:rPr>
          <w:rFonts w:ascii="Arial" w:hAnsi="Arial" w:cs="Arial"/>
          <w:sz w:val="24"/>
          <w:szCs w:val="24"/>
        </w:rPr>
        <w:t xml:space="preserve"> the case was found in Kingfisher’s favour. The decision removed any uncertainty over the position and resulted in an exceptional credit of £145</w:t>
      </w:r>
      <w:r>
        <w:rPr>
          <w:rFonts w:ascii="Arial" w:hAnsi="Arial" w:cs="Arial"/>
          <w:sz w:val="24"/>
          <w:szCs w:val="24"/>
        </w:rPr>
        <w:t xml:space="preserve"> </w:t>
      </w:r>
      <w:r w:rsidRPr="0074533E">
        <w:rPr>
          <w:rFonts w:ascii="Arial" w:hAnsi="Arial" w:cs="Arial"/>
          <w:sz w:val="24"/>
          <w:szCs w:val="24"/>
        </w:rPr>
        <w:t>m</w:t>
      </w:r>
      <w:r>
        <w:rPr>
          <w:rFonts w:ascii="Arial" w:hAnsi="Arial" w:cs="Arial"/>
          <w:sz w:val="24"/>
          <w:szCs w:val="24"/>
        </w:rPr>
        <w:t>illion</w:t>
      </w:r>
      <w:r w:rsidRPr="0074533E">
        <w:rPr>
          <w:rFonts w:ascii="Arial" w:hAnsi="Arial" w:cs="Arial"/>
          <w:sz w:val="24"/>
          <w:szCs w:val="24"/>
        </w:rPr>
        <w:t xml:space="preserve"> (€169</w:t>
      </w:r>
      <w:r>
        <w:rPr>
          <w:rFonts w:ascii="Arial" w:hAnsi="Arial" w:cs="Arial"/>
          <w:sz w:val="24"/>
          <w:szCs w:val="24"/>
        </w:rPr>
        <w:t xml:space="preserve"> </w:t>
      </w:r>
      <w:r w:rsidRPr="0074533E">
        <w:rPr>
          <w:rFonts w:ascii="Arial" w:hAnsi="Arial" w:cs="Arial"/>
          <w:sz w:val="24"/>
          <w:szCs w:val="24"/>
        </w:rPr>
        <w:t>m</w:t>
      </w:r>
      <w:r>
        <w:rPr>
          <w:rFonts w:ascii="Arial" w:hAnsi="Arial" w:cs="Arial"/>
          <w:sz w:val="24"/>
          <w:szCs w:val="24"/>
        </w:rPr>
        <w:t>illion</w:t>
      </w:r>
      <w:r w:rsidRPr="0074533E">
        <w:rPr>
          <w:rFonts w:ascii="Arial" w:hAnsi="Arial" w:cs="Arial"/>
          <w:sz w:val="24"/>
          <w:szCs w:val="24"/>
        </w:rPr>
        <w:t>)</w:t>
      </w:r>
      <w:r>
        <w:rPr>
          <w:rFonts w:ascii="Arial" w:hAnsi="Arial" w:cs="Arial"/>
          <w:sz w:val="24"/>
          <w:szCs w:val="24"/>
        </w:rPr>
        <w:t>, of which £27 million has been recognised in interest and £118 million in taxation.</w:t>
      </w:r>
    </w:p>
    <w:p w:rsidR="009A4C77" w:rsidRDefault="009A4C77" w:rsidP="000F31CD">
      <w:pPr>
        <w:jc w:val="left"/>
        <w:rPr>
          <w:rFonts w:ascii="Arial" w:hAnsi="Arial" w:cs="Arial"/>
          <w:sz w:val="24"/>
          <w:szCs w:val="24"/>
          <w:highlight w:val="yellow"/>
        </w:rPr>
      </w:pPr>
    </w:p>
    <w:p w:rsidR="009A4C77" w:rsidRDefault="009A4C77" w:rsidP="000F31CD">
      <w:pPr>
        <w:jc w:val="left"/>
        <w:rPr>
          <w:rFonts w:ascii="Arial" w:hAnsi="Arial" w:cs="Arial"/>
          <w:sz w:val="24"/>
          <w:szCs w:val="24"/>
        </w:rPr>
      </w:pPr>
      <w:r>
        <w:rPr>
          <w:rFonts w:ascii="Arial" w:hAnsi="Arial" w:cs="Arial"/>
          <w:sz w:val="24"/>
          <w:szCs w:val="24"/>
        </w:rPr>
        <w:t xml:space="preserve">The current period also includes an exceptional credit of £7 million for </w:t>
      </w:r>
      <w:smartTag w:uri="urn:schemas-microsoft-com:office:smarttags" w:element="country-region">
        <w:smartTag w:uri="urn:schemas-microsoft-com:office:smarttags" w:element="place">
          <w:r>
            <w:rPr>
              <w:rFonts w:ascii="Arial" w:hAnsi="Arial" w:cs="Arial"/>
              <w:sz w:val="24"/>
              <w:szCs w:val="24"/>
            </w:rPr>
            <w:t>Ireland</w:t>
          </w:r>
        </w:smartTag>
      </w:smartTag>
      <w:r>
        <w:rPr>
          <w:rFonts w:ascii="Arial" w:hAnsi="Arial" w:cs="Arial"/>
          <w:sz w:val="24"/>
          <w:szCs w:val="24"/>
        </w:rPr>
        <w:t xml:space="preserve"> restructuring, reflecting the release of provisions recorded in January 2013 when B&amp;Q Ireland entered into an Examinership process. This process was successfully exited in May 2013 with the closure of only one store, rather than five potentially under threat, and with over 600 jobs saved.</w:t>
      </w:r>
    </w:p>
    <w:p w:rsidR="009A4C77" w:rsidRDefault="009A4C77" w:rsidP="009A4C77">
      <w:pPr>
        <w:rPr>
          <w:rFonts w:ascii="Arial" w:hAnsi="Arial" w:cs="Arial"/>
          <w:sz w:val="24"/>
          <w:szCs w:val="24"/>
        </w:rPr>
      </w:pPr>
    </w:p>
    <w:p w:rsidR="009A4C77" w:rsidRDefault="009A4C77" w:rsidP="009A4C77">
      <w:pPr>
        <w:jc w:val="left"/>
        <w:rPr>
          <w:rFonts w:ascii="Arial" w:hAnsi="Arial" w:cs="Arial"/>
          <w:b/>
          <w:sz w:val="24"/>
          <w:szCs w:val="24"/>
        </w:rPr>
      </w:pPr>
      <w:r w:rsidRPr="00E530B3">
        <w:rPr>
          <w:rFonts w:ascii="Arial" w:hAnsi="Arial" w:cs="Arial"/>
          <w:b/>
          <w:sz w:val="24"/>
          <w:szCs w:val="24"/>
        </w:rPr>
        <w:t>Earnings per share</w:t>
      </w:r>
    </w:p>
    <w:p w:rsidR="009A4C77" w:rsidRPr="00E530B3" w:rsidRDefault="009A4C77" w:rsidP="009A4C77">
      <w:pPr>
        <w:jc w:val="left"/>
        <w:rPr>
          <w:rFonts w:ascii="Arial" w:hAnsi="Arial" w:cs="Arial"/>
          <w:b/>
          <w:sz w:val="24"/>
          <w:szCs w:val="24"/>
        </w:rPr>
      </w:pPr>
    </w:p>
    <w:p w:rsidR="00EA3467" w:rsidRDefault="00EA3467" w:rsidP="00EA3467">
      <w:pPr>
        <w:jc w:val="left"/>
        <w:rPr>
          <w:rFonts w:ascii="Arial" w:hAnsi="Arial" w:cs="Arial"/>
          <w:sz w:val="24"/>
          <w:szCs w:val="24"/>
        </w:rPr>
      </w:pPr>
      <w:r>
        <w:rPr>
          <w:rFonts w:ascii="Arial" w:hAnsi="Arial" w:cs="Arial"/>
          <w:sz w:val="24"/>
          <w:szCs w:val="24"/>
        </w:rPr>
        <w:t>Basic earnings per share have increased by 68.5% to 18.7p (2012/13: 11.1p). On a more comparable basis, removing the impact of exceptional items, prior year tax adjustments and financing fair value remeasurements, adjusted basic earnings per share have decreased by 1.7% to 11.3p (2012/13: 11.5p).</w:t>
      </w:r>
    </w:p>
    <w:p w:rsidR="00EA3467" w:rsidRDefault="00EA3467" w:rsidP="00EA3467">
      <w:pPr>
        <w:ind w:right="-368"/>
        <w:jc w:val="left"/>
        <w:rPr>
          <w:rFonts w:ascii="Arial" w:hAnsi="Arial" w:cs="Arial"/>
          <w:b/>
          <w:sz w:val="24"/>
          <w:szCs w:val="24"/>
          <w:highlight w:val="yellow"/>
        </w:rPr>
      </w:pPr>
    </w:p>
    <w:tbl>
      <w:tblPr>
        <w:tblW w:w="5100" w:type="pct"/>
        <w:tblLook w:val="01E0" w:firstRow="1" w:lastRow="1" w:firstColumn="1" w:lastColumn="1" w:noHBand="0" w:noVBand="0"/>
      </w:tblPr>
      <w:tblGrid>
        <w:gridCol w:w="4483"/>
        <w:gridCol w:w="1355"/>
        <w:gridCol w:w="1470"/>
        <w:gridCol w:w="1393"/>
        <w:gridCol w:w="1353"/>
      </w:tblGrid>
      <w:tr w:rsidR="00EA3467" w:rsidTr="00EA3467">
        <w:trPr>
          <w:trHeight w:val="516"/>
        </w:trPr>
        <w:tc>
          <w:tcPr>
            <w:tcW w:w="2229" w:type="pct"/>
            <w:tcBorders>
              <w:top w:val="nil"/>
              <w:left w:val="nil"/>
              <w:bottom w:val="single" w:sz="4" w:space="0" w:color="auto"/>
              <w:right w:val="nil"/>
            </w:tcBorders>
          </w:tcPr>
          <w:p w:rsidR="00EA3467" w:rsidRDefault="00EA3467">
            <w:pPr>
              <w:rPr>
                <w:rFonts w:ascii="Arial" w:eastAsia="Times New Roman" w:hAnsi="Arial" w:cs="Arial"/>
                <w:b/>
                <w:sz w:val="24"/>
                <w:szCs w:val="24"/>
              </w:rPr>
            </w:pPr>
          </w:p>
        </w:tc>
        <w:tc>
          <w:tcPr>
            <w:tcW w:w="674" w:type="pct"/>
            <w:tcBorders>
              <w:top w:val="nil"/>
              <w:left w:val="nil"/>
              <w:bottom w:val="single" w:sz="4" w:space="0" w:color="auto"/>
              <w:right w:val="nil"/>
            </w:tcBorders>
          </w:tcPr>
          <w:p w:rsidR="00EA3467" w:rsidRDefault="00EA3467">
            <w:pPr>
              <w:jc w:val="right"/>
              <w:rPr>
                <w:rFonts w:ascii="Arial" w:eastAsia="Times New Roman" w:hAnsi="Arial" w:cs="Arial"/>
                <w:b/>
                <w:sz w:val="24"/>
                <w:szCs w:val="24"/>
              </w:rPr>
            </w:pPr>
          </w:p>
          <w:p w:rsidR="00EA3467" w:rsidRDefault="00EA3467">
            <w:pPr>
              <w:jc w:val="right"/>
              <w:rPr>
                <w:rFonts w:ascii="Arial" w:hAnsi="Arial" w:cs="Arial"/>
                <w:b/>
                <w:sz w:val="24"/>
                <w:szCs w:val="24"/>
              </w:rPr>
            </w:pPr>
            <w:r>
              <w:rPr>
                <w:rFonts w:ascii="Arial" w:hAnsi="Arial" w:cs="Arial"/>
                <w:b/>
                <w:sz w:val="24"/>
                <w:szCs w:val="24"/>
              </w:rPr>
              <w:t>Earnings</w:t>
            </w:r>
          </w:p>
          <w:p w:rsidR="00EA3467" w:rsidRDefault="00EA3467">
            <w:pPr>
              <w:jc w:val="right"/>
              <w:rPr>
                <w:rFonts w:ascii="Arial" w:eastAsia="Times New Roman" w:hAnsi="Arial" w:cs="Arial"/>
                <w:b/>
                <w:sz w:val="24"/>
                <w:szCs w:val="24"/>
              </w:rPr>
            </w:pPr>
            <w:r>
              <w:rPr>
                <w:rFonts w:ascii="Arial" w:hAnsi="Arial" w:cs="Arial"/>
                <w:b/>
                <w:sz w:val="24"/>
                <w:szCs w:val="24"/>
              </w:rPr>
              <w:t>£m</w:t>
            </w:r>
          </w:p>
        </w:tc>
        <w:tc>
          <w:tcPr>
            <w:tcW w:w="731" w:type="pct"/>
            <w:tcBorders>
              <w:top w:val="nil"/>
              <w:left w:val="nil"/>
              <w:bottom w:val="single" w:sz="4" w:space="0" w:color="auto"/>
              <w:right w:val="nil"/>
            </w:tcBorders>
            <w:hideMark/>
          </w:tcPr>
          <w:p w:rsidR="00EA3467" w:rsidRDefault="00EA3467">
            <w:pPr>
              <w:jc w:val="right"/>
              <w:rPr>
                <w:rFonts w:ascii="Arial" w:eastAsia="Times New Roman" w:hAnsi="Arial" w:cs="Arial"/>
                <w:b/>
                <w:sz w:val="24"/>
                <w:szCs w:val="24"/>
              </w:rPr>
            </w:pPr>
            <w:r>
              <w:rPr>
                <w:rFonts w:ascii="Arial" w:hAnsi="Arial" w:cs="Arial"/>
                <w:b/>
                <w:sz w:val="24"/>
                <w:szCs w:val="24"/>
              </w:rPr>
              <w:t>2013/14</w:t>
            </w:r>
          </w:p>
          <w:p w:rsidR="00EA3467" w:rsidRDefault="00EA3467">
            <w:pPr>
              <w:jc w:val="right"/>
              <w:rPr>
                <w:rFonts w:ascii="Arial" w:hAnsi="Arial" w:cs="Arial"/>
                <w:b/>
                <w:sz w:val="24"/>
                <w:szCs w:val="24"/>
              </w:rPr>
            </w:pPr>
            <w:r>
              <w:rPr>
                <w:rFonts w:ascii="Arial" w:hAnsi="Arial" w:cs="Arial"/>
                <w:b/>
                <w:sz w:val="24"/>
                <w:szCs w:val="24"/>
              </w:rPr>
              <w:t>EPS</w:t>
            </w:r>
          </w:p>
          <w:p w:rsidR="00EA3467" w:rsidRDefault="00EA3467">
            <w:pPr>
              <w:jc w:val="right"/>
              <w:rPr>
                <w:rFonts w:ascii="Arial" w:eastAsia="Times New Roman" w:hAnsi="Arial" w:cs="Arial"/>
                <w:b/>
                <w:sz w:val="24"/>
                <w:szCs w:val="24"/>
              </w:rPr>
            </w:pPr>
            <w:r>
              <w:rPr>
                <w:rFonts w:ascii="Arial" w:hAnsi="Arial" w:cs="Arial"/>
                <w:b/>
                <w:sz w:val="24"/>
                <w:szCs w:val="24"/>
              </w:rPr>
              <w:t>pence</w:t>
            </w:r>
          </w:p>
        </w:tc>
        <w:tc>
          <w:tcPr>
            <w:tcW w:w="693" w:type="pct"/>
            <w:tcBorders>
              <w:top w:val="nil"/>
              <w:left w:val="nil"/>
              <w:bottom w:val="single" w:sz="4" w:space="0" w:color="auto"/>
              <w:right w:val="nil"/>
            </w:tcBorders>
          </w:tcPr>
          <w:p w:rsidR="00EA3467" w:rsidRDefault="00EA3467">
            <w:pPr>
              <w:jc w:val="right"/>
              <w:rPr>
                <w:rFonts w:ascii="Arial" w:eastAsia="Times New Roman" w:hAnsi="Arial" w:cs="Arial"/>
                <w:sz w:val="24"/>
                <w:szCs w:val="24"/>
              </w:rPr>
            </w:pPr>
          </w:p>
          <w:p w:rsidR="00EA3467" w:rsidRDefault="00EA3467">
            <w:pPr>
              <w:jc w:val="right"/>
              <w:rPr>
                <w:rFonts w:ascii="Arial" w:hAnsi="Arial" w:cs="Arial"/>
                <w:sz w:val="24"/>
                <w:szCs w:val="24"/>
              </w:rPr>
            </w:pPr>
            <w:r>
              <w:rPr>
                <w:rFonts w:ascii="Arial" w:hAnsi="Arial" w:cs="Arial"/>
                <w:sz w:val="24"/>
                <w:szCs w:val="24"/>
              </w:rPr>
              <w:t>Earnings</w:t>
            </w:r>
          </w:p>
          <w:p w:rsidR="00EA3467" w:rsidRDefault="00EA3467">
            <w:pPr>
              <w:jc w:val="right"/>
              <w:rPr>
                <w:rFonts w:ascii="Arial" w:eastAsia="Times New Roman" w:hAnsi="Arial" w:cs="Arial"/>
                <w:sz w:val="24"/>
                <w:szCs w:val="24"/>
              </w:rPr>
            </w:pPr>
            <w:r>
              <w:rPr>
                <w:rFonts w:ascii="Arial" w:hAnsi="Arial" w:cs="Arial"/>
                <w:sz w:val="24"/>
                <w:szCs w:val="24"/>
              </w:rPr>
              <w:t>£m</w:t>
            </w:r>
          </w:p>
        </w:tc>
        <w:tc>
          <w:tcPr>
            <w:tcW w:w="673" w:type="pct"/>
            <w:tcBorders>
              <w:top w:val="nil"/>
              <w:left w:val="nil"/>
              <w:bottom w:val="single" w:sz="4" w:space="0" w:color="auto"/>
              <w:right w:val="nil"/>
            </w:tcBorders>
            <w:hideMark/>
          </w:tcPr>
          <w:p w:rsidR="00EA3467" w:rsidRDefault="00EA3467">
            <w:pPr>
              <w:jc w:val="right"/>
              <w:rPr>
                <w:rFonts w:ascii="Arial" w:eastAsia="Times New Roman" w:hAnsi="Arial" w:cs="Arial"/>
                <w:sz w:val="24"/>
                <w:szCs w:val="24"/>
              </w:rPr>
            </w:pPr>
            <w:r>
              <w:rPr>
                <w:rFonts w:ascii="Arial" w:hAnsi="Arial" w:cs="Arial"/>
                <w:sz w:val="24"/>
                <w:szCs w:val="24"/>
              </w:rPr>
              <w:t>2012/13</w:t>
            </w:r>
          </w:p>
          <w:p w:rsidR="00EA3467" w:rsidRDefault="00EA3467">
            <w:pPr>
              <w:jc w:val="right"/>
              <w:rPr>
                <w:rFonts w:ascii="Arial" w:hAnsi="Arial" w:cs="Arial"/>
                <w:sz w:val="24"/>
                <w:szCs w:val="24"/>
              </w:rPr>
            </w:pPr>
            <w:r>
              <w:rPr>
                <w:rFonts w:ascii="Arial" w:hAnsi="Arial" w:cs="Arial"/>
                <w:sz w:val="24"/>
                <w:szCs w:val="24"/>
              </w:rPr>
              <w:t>EPS</w:t>
            </w:r>
          </w:p>
          <w:p w:rsidR="00EA3467" w:rsidRDefault="00EA3467">
            <w:pPr>
              <w:jc w:val="right"/>
              <w:rPr>
                <w:rFonts w:ascii="Arial" w:eastAsia="Times New Roman" w:hAnsi="Arial" w:cs="Arial"/>
                <w:sz w:val="24"/>
                <w:szCs w:val="24"/>
              </w:rPr>
            </w:pPr>
            <w:r>
              <w:rPr>
                <w:rFonts w:ascii="Arial" w:hAnsi="Arial" w:cs="Arial"/>
                <w:sz w:val="24"/>
                <w:szCs w:val="24"/>
              </w:rPr>
              <w:t>pence</w:t>
            </w:r>
          </w:p>
        </w:tc>
      </w:tr>
      <w:tr w:rsidR="00EA3467" w:rsidTr="00EA3467">
        <w:tc>
          <w:tcPr>
            <w:tcW w:w="2229" w:type="pct"/>
            <w:tcBorders>
              <w:top w:val="single" w:sz="4" w:space="0" w:color="auto"/>
              <w:left w:val="nil"/>
              <w:bottom w:val="nil"/>
              <w:right w:val="nil"/>
            </w:tcBorders>
            <w:hideMark/>
          </w:tcPr>
          <w:p w:rsidR="00EA3467" w:rsidRDefault="00EA3467">
            <w:pPr>
              <w:rPr>
                <w:rFonts w:ascii="Arial" w:eastAsia="Times New Roman" w:hAnsi="Arial" w:cs="Arial"/>
                <w:sz w:val="24"/>
                <w:szCs w:val="24"/>
              </w:rPr>
            </w:pPr>
            <w:r>
              <w:rPr>
                <w:rFonts w:ascii="Arial" w:hAnsi="Arial" w:cs="Arial"/>
                <w:sz w:val="24"/>
                <w:szCs w:val="24"/>
              </w:rPr>
              <w:t>Basic earnings per share</w:t>
            </w:r>
          </w:p>
        </w:tc>
        <w:tc>
          <w:tcPr>
            <w:tcW w:w="674" w:type="pct"/>
            <w:tcBorders>
              <w:top w:val="single" w:sz="4" w:space="0" w:color="auto"/>
              <w:left w:val="nil"/>
              <w:bottom w:val="nil"/>
              <w:right w:val="nil"/>
            </w:tcBorders>
            <w:hideMark/>
          </w:tcPr>
          <w:p w:rsidR="00EA3467" w:rsidRDefault="00EA3467">
            <w:pPr>
              <w:jc w:val="right"/>
              <w:rPr>
                <w:rFonts w:ascii="Arial" w:eastAsia="Times New Roman" w:hAnsi="Arial" w:cs="Arial"/>
                <w:b/>
                <w:sz w:val="24"/>
                <w:szCs w:val="24"/>
              </w:rPr>
            </w:pPr>
            <w:r>
              <w:rPr>
                <w:rFonts w:ascii="Arial" w:hAnsi="Arial" w:cs="Arial"/>
                <w:b/>
                <w:sz w:val="24"/>
                <w:szCs w:val="24"/>
              </w:rPr>
              <w:t>440</w:t>
            </w:r>
          </w:p>
        </w:tc>
        <w:tc>
          <w:tcPr>
            <w:tcW w:w="731" w:type="pct"/>
            <w:tcBorders>
              <w:top w:val="single" w:sz="4" w:space="0" w:color="auto"/>
              <w:left w:val="nil"/>
              <w:bottom w:val="nil"/>
              <w:right w:val="nil"/>
            </w:tcBorders>
            <w:hideMark/>
          </w:tcPr>
          <w:p w:rsidR="00EA3467" w:rsidRDefault="00EA3467">
            <w:pPr>
              <w:jc w:val="right"/>
              <w:rPr>
                <w:rFonts w:ascii="Arial" w:eastAsia="Times New Roman" w:hAnsi="Arial" w:cs="Arial"/>
                <w:b/>
                <w:sz w:val="24"/>
                <w:szCs w:val="24"/>
              </w:rPr>
            </w:pPr>
            <w:r>
              <w:rPr>
                <w:rFonts w:ascii="Arial" w:hAnsi="Arial" w:cs="Arial"/>
                <w:b/>
                <w:sz w:val="24"/>
                <w:szCs w:val="24"/>
              </w:rPr>
              <w:t>18.7</w:t>
            </w:r>
          </w:p>
        </w:tc>
        <w:tc>
          <w:tcPr>
            <w:tcW w:w="693" w:type="pct"/>
            <w:tcBorders>
              <w:top w:val="single" w:sz="4" w:space="0" w:color="auto"/>
              <w:left w:val="nil"/>
              <w:bottom w:val="nil"/>
              <w:right w:val="nil"/>
            </w:tcBorders>
            <w:hideMark/>
          </w:tcPr>
          <w:p w:rsidR="00EA3467" w:rsidRDefault="00EA3467">
            <w:pPr>
              <w:jc w:val="right"/>
              <w:rPr>
                <w:rFonts w:ascii="Arial" w:eastAsia="Times New Roman" w:hAnsi="Arial" w:cs="Arial"/>
                <w:sz w:val="24"/>
                <w:szCs w:val="24"/>
              </w:rPr>
            </w:pPr>
            <w:r>
              <w:rPr>
                <w:rFonts w:ascii="Arial" w:hAnsi="Arial" w:cs="Arial"/>
                <w:sz w:val="24"/>
                <w:szCs w:val="24"/>
              </w:rPr>
              <w:t>259</w:t>
            </w:r>
          </w:p>
        </w:tc>
        <w:tc>
          <w:tcPr>
            <w:tcW w:w="673" w:type="pct"/>
            <w:tcBorders>
              <w:top w:val="single" w:sz="4" w:space="0" w:color="auto"/>
              <w:left w:val="nil"/>
              <w:bottom w:val="nil"/>
              <w:right w:val="nil"/>
            </w:tcBorders>
            <w:hideMark/>
          </w:tcPr>
          <w:p w:rsidR="00EA3467" w:rsidRDefault="00EA3467">
            <w:pPr>
              <w:jc w:val="right"/>
              <w:rPr>
                <w:rFonts w:ascii="Arial" w:eastAsia="Times New Roman" w:hAnsi="Arial" w:cs="Arial"/>
                <w:sz w:val="24"/>
                <w:szCs w:val="24"/>
              </w:rPr>
            </w:pPr>
            <w:r>
              <w:rPr>
                <w:rFonts w:ascii="Arial" w:hAnsi="Arial" w:cs="Arial"/>
                <w:sz w:val="24"/>
                <w:szCs w:val="24"/>
              </w:rPr>
              <w:t>11.1</w:t>
            </w:r>
          </w:p>
        </w:tc>
      </w:tr>
      <w:tr w:rsidR="00EA3467" w:rsidTr="00EA3467">
        <w:tc>
          <w:tcPr>
            <w:tcW w:w="2229" w:type="pct"/>
            <w:hideMark/>
          </w:tcPr>
          <w:p w:rsidR="00EA3467" w:rsidRDefault="00EA3467">
            <w:pPr>
              <w:rPr>
                <w:rFonts w:ascii="Arial" w:eastAsia="Times New Roman" w:hAnsi="Arial" w:cs="Arial"/>
                <w:sz w:val="24"/>
                <w:szCs w:val="24"/>
              </w:rPr>
            </w:pPr>
            <w:r>
              <w:rPr>
                <w:rFonts w:ascii="Arial" w:hAnsi="Arial" w:cs="Arial"/>
                <w:sz w:val="24"/>
                <w:szCs w:val="24"/>
              </w:rPr>
              <w:t>Net exceptional items</w:t>
            </w:r>
          </w:p>
        </w:tc>
        <w:tc>
          <w:tcPr>
            <w:tcW w:w="674" w:type="pct"/>
            <w:hideMark/>
          </w:tcPr>
          <w:p w:rsidR="00EA3467" w:rsidRDefault="00EA3467">
            <w:pPr>
              <w:jc w:val="right"/>
              <w:rPr>
                <w:rFonts w:ascii="Arial" w:eastAsia="Times New Roman" w:hAnsi="Arial" w:cs="Arial"/>
                <w:b/>
                <w:sz w:val="24"/>
                <w:szCs w:val="24"/>
              </w:rPr>
            </w:pPr>
            <w:r>
              <w:rPr>
                <w:rFonts w:ascii="Arial" w:hAnsi="Arial" w:cs="Arial"/>
                <w:b/>
                <w:sz w:val="24"/>
                <w:szCs w:val="24"/>
              </w:rPr>
              <w:t>(153)</w:t>
            </w:r>
          </w:p>
        </w:tc>
        <w:tc>
          <w:tcPr>
            <w:tcW w:w="731" w:type="pct"/>
            <w:hideMark/>
          </w:tcPr>
          <w:p w:rsidR="00EA3467" w:rsidRDefault="00EA3467">
            <w:pPr>
              <w:jc w:val="right"/>
              <w:rPr>
                <w:rFonts w:ascii="Arial" w:eastAsia="Times New Roman" w:hAnsi="Arial" w:cs="Arial"/>
                <w:b/>
                <w:sz w:val="24"/>
                <w:szCs w:val="24"/>
              </w:rPr>
            </w:pPr>
            <w:r>
              <w:rPr>
                <w:rFonts w:ascii="Arial" w:hAnsi="Arial" w:cs="Arial"/>
                <w:b/>
                <w:sz w:val="24"/>
                <w:szCs w:val="24"/>
              </w:rPr>
              <w:t>(6.5)</w:t>
            </w:r>
          </w:p>
        </w:tc>
        <w:tc>
          <w:tcPr>
            <w:tcW w:w="693" w:type="pct"/>
            <w:hideMark/>
          </w:tcPr>
          <w:p w:rsidR="00EA3467" w:rsidRDefault="00EA3467">
            <w:pPr>
              <w:jc w:val="right"/>
              <w:rPr>
                <w:rFonts w:ascii="Arial" w:eastAsia="Times New Roman" w:hAnsi="Arial" w:cs="Arial"/>
                <w:sz w:val="24"/>
                <w:szCs w:val="24"/>
              </w:rPr>
            </w:pPr>
            <w:r>
              <w:rPr>
                <w:rFonts w:ascii="Arial" w:hAnsi="Arial" w:cs="Arial"/>
                <w:sz w:val="24"/>
                <w:szCs w:val="24"/>
              </w:rPr>
              <w:t>5</w:t>
            </w:r>
          </w:p>
        </w:tc>
        <w:tc>
          <w:tcPr>
            <w:tcW w:w="673" w:type="pct"/>
            <w:hideMark/>
          </w:tcPr>
          <w:p w:rsidR="00EA3467" w:rsidRDefault="00EA3467">
            <w:pPr>
              <w:jc w:val="right"/>
              <w:rPr>
                <w:rFonts w:ascii="Arial" w:eastAsia="Times New Roman" w:hAnsi="Arial" w:cs="Arial"/>
                <w:sz w:val="24"/>
                <w:szCs w:val="24"/>
              </w:rPr>
            </w:pPr>
            <w:r>
              <w:rPr>
                <w:rFonts w:ascii="Arial" w:hAnsi="Arial" w:cs="Arial"/>
                <w:sz w:val="24"/>
                <w:szCs w:val="24"/>
              </w:rPr>
              <w:t>0.3</w:t>
            </w:r>
          </w:p>
        </w:tc>
      </w:tr>
      <w:tr w:rsidR="00EA3467" w:rsidTr="00EA3467">
        <w:tc>
          <w:tcPr>
            <w:tcW w:w="2229" w:type="pct"/>
            <w:vAlign w:val="bottom"/>
            <w:hideMark/>
          </w:tcPr>
          <w:p w:rsidR="00EA3467" w:rsidRDefault="00EA3467">
            <w:pPr>
              <w:jc w:val="left"/>
              <w:rPr>
                <w:rFonts w:ascii="Arial" w:eastAsia="Times New Roman" w:hAnsi="Arial" w:cs="Arial"/>
                <w:sz w:val="24"/>
                <w:szCs w:val="24"/>
              </w:rPr>
            </w:pPr>
            <w:r>
              <w:rPr>
                <w:rFonts w:ascii="Arial" w:hAnsi="Arial" w:cs="Arial"/>
                <w:sz w:val="24"/>
                <w:szCs w:val="24"/>
              </w:rPr>
              <w:t>Prior year tax items and rate changes</w:t>
            </w:r>
          </w:p>
        </w:tc>
        <w:tc>
          <w:tcPr>
            <w:tcW w:w="674" w:type="pct"/>
            <w:vAlign w:val="bottom"/>
            <w:hideMark/>
          </w:tcPr>
          <w:p w:rsidR="00EA3467" w:rsidRDefault="00EA3467">
            <w:pPr>
              <w:jc w:val="right"/>
              <w:rPr>
                <w:rFonts w:ascii="Arial" w:eastAsia="Times New Roman" w:hAnsi="Arial" w:cs="Arial"/>
                <w:b/>
                <w:sz w:val="24"/>
                <w:szCs w:val="24"/>
              </w:rPr>
            </w:pPr>
            <w:r>
              <w:rPr>
                <w:rFonts w:ascii="Arial" w:hAnsi="Arial" w:cs="Arial"/>
                <w:b/>
                <w:sz w:val="24"/>
                <w:szCs w:val="24"/>
              </w:rPr>
              <w:t>(20)</w:t>
            </w:r>
          </w:p>
        </w:tc>
        <w:tc>
          <w:tcPr>
            <w:tcW w:w="731" w:type="pct"/>
            <w:hideMark/>
          </w:tcPr>
          <w:p w:rsidR="00EA3467" w:rsidRDefault="00EA3467">
            <w:pPr>
              <w:jc w:val="right"/>
              <w:rPr>
                <w:rFonts w:ascii="Arial" w:eastAsia="Times New Roman" w:hAnsi="Arial" w:cs="Arial"/>
                <w:b/>
                <w:sz w:val="24"/>
                <w:szCs w:val="24"/>
              </w:rPr>
            </w:pPr>
            <w:r>
              <w:rPr>
                <w:rFonts w:ascii="Arial" w:hAnsi="Arial" w:cs="Arial"/>
                <w:b/>
                <w:sz w:val="24"/>
                <w:szCs w:val="24"/>
              </w:rPr>
              <w:t>(0.9)</w:t>
            </w:r>
          </w:p>
        </w:tc>
        <w:tc>
          <w:tcPr>
            <w:tcW w:w="693" w:type="pct"/>
            <w:vAlign w:val="bottom"/>
            <w:hideMark/>
          </w:tcPr>
          <w:p w:rsidR="00EA3467" w:rsidRDefault="00EA3467">
            <w:pPr>
              <w:jc w:val="right"/>
              <w:rPr>
                <w:rFonts w:ascii="Arial" w:eastAsia="Times New Roman" w:hAnsi="Arial" w:cs="Arial"/>
                <w:sz w:val="24"/>
                <w:szCs w:val="24"/>
              </w:rPr>
            </w:pPr>
            <w:r>
              <w:rPr>
                <w:rFonts w:ascii="Arial" w:hAnsi="Arial" w:cs="Arial"/>
                <w:sz w:val="24"/>
                <w:szCs w:val="24"/>
              </w:rPr>
              <w:t>2</w:t>
            </w:r>
          </w:p>
        </w:tc>
        <w:tc>
          <w:tcPr>
            <w:tcW w:w="673" w:type="pct"/>
            <w:hideMark/>
          </w:tcPr>
          <w:p w:rsidR="00EA3467" w:rsidRDefault="00EA3467">
            <w:pPr>
              <w:jc w:val="right"/>
              <w:rPr>
                <w:rFonts w:ascii="Arial" w:eastAsia="Times New Roman" w:hAnsi="Arial" w:cs="Arial"/>
                <w:sz w:val="24"/>
                <w:szCs w:val="24"/>
              </w:rPr>
            </w:pPr>
            <w:r>
              <w:rPr>
                <w:rFonts w:ascii="Arial" w:hAnsi="Arial" w:cs="Arial"/>
                <w:sz w:val="24"/>
                <w:szCs w:val="24"/>
              </w:rPr>
              <w:t>0.1</w:t>
            </w:r>
          </w:p>
        </w:tc>
      </w:tr>
      <w:tr w:rsidR="00EA3467" w:rsidTr="00EA3467">
        <w:tc>
          <w:tcPr>
            <w:tcW w:w="2229" w:type="pct"/>
            <w:tcBorders>
              <w:top w:val="nil"/>
              <w:left w:val="nil"/>
              <w:bottom w:val="single" w:sz="4" w:space="0" w:color="auto"/>
              <w:right w:val="nil"/>
            </w:tcBorders>
            <w:hideMark/>
          </w:tcPr>
          <w:p w:rsidR="00EA3467" w:rsidRDefault="00EA3467">
            <w:pPr>
              <w:rPr>
                <w:rFonts w:ascii="Arial" w:eastAsia="Times New Roman" w:hAnsi="Arial" w:cs="Arial"/>
                <w:sz w:val="24"/>
                <w:szCs w:val="24"/>
              </w:rPr>
            </w:pPr>
            <w:r>
              <w:rPr>
                <w:rFonts w:ascii="Arial" w:hAnsi="Arial" w:cs="Arial"/>
                <w:sz w:val="24"/>
                <w:szCs w:val="24"/>
              </w:rPr>
              <w:t>Financing fair value remeasurements</w:t>
            </w:r>
          </w:p>
        </w:tc>
        <w:tc>
          <w:tcPr>
            <w:tcW w:w="674" w:type="pct"/>
            <w:tcBorders>
              <w:top w:val="nil"/>
              <w:left w:val="nil"/>
              <w:bottom w:val="single" w:sz="4" w:space="0" w:color="auto"/>
              <w:right w:val="nil"/>
            </w:tcBorders>
            <w:hideMark/>
          </w:tcPr>
          <w:p w:rsidR="00EA3467" w:rsidRDefault="00EA3467">
            <w:pPr>
              <w:jc w:val="right"/>
              <w:rPr>
                <w:rFonts w:ascii="Arial" w:eastAsia="Times New Roman" w:hAnsi="Arial" w:cs="Arial"/>
                <w:b/>
                <w:sz w:val="24"/>
                <w:szCs w:val="24"/>
              </w:rPr>
            </w:pPr>
            <w:r>
              <w:rPr>
                <w:rFonts w:ascii="Arial" w:hAnsi="Arial" w:cs="Arial"/>
                <w:b/>
                <w:sz w:val="24"/>
                <w:szCs w:val="24"/>
              </w:rPr>
              <w:t>(1)</w:t>
            </w:r>
          </w:p>
        </w:tc>
        <w:tc>
          <w:tcPr>
            <w:tcW w:w="731" w:type="pct"/>
            <w:tcBorders>
              <w:top w:val="nil"/>
              <w:left w:val="nil"/>
              <w:bottom w:val="single" w:sz="4" w:space="0" w:color="auto"/>
              <w:right w:val="nil"/>
            </w:tcBorders>
            <w:hideMark/>
          </w:tcPr>
          <w:p w:rsidR="00EA3467" w:rsidRDefault="00EA3467">
            <w:pPr>
              <w:jc w:val="right"/>
              <w:rPr>
                <w:rFonts w:ascii="Arial" w:eastAsia="Times New Roman" w:hAnsi="Arial" w:cs="Arial"/>
                <w:b/>
                <w:sz w:val="24"/>
                <w:szCs w:val="24"/>
              </w:rPr>
            </w:pPr>
            <w:r>
              <w:rPr>
                <w:rFonts w:ascii="Arial" w:hAnsi="Arial" w:cs="Arial"/>
                <w:b/>
                <w:sz w:val="24"/>
                <w:szCs w:val="24"/>
              </w:rPr>
              <w:t>-</w:t>
            </w:r>
          </w:p>
        </w:tc>
        <w:tc>
          <w:tcPr>
            <w:tcW w:w="693" w:type="pct"/>
            <w:tcBorders>
              <w:top w:val="nil"/>
              <w:left w:val="nil"/>
              <w:bottom w:val="single" w:sz="4" w:space="0" w:color="auto"/>
              <w:right w:val="nil"/>
            </w:tcBorders>
            <w:hideMark/>
          </w:tcPr>
          <w:p w:rsidR="00EA3467" w:rsidRDefault="00EA3467">
            <w:pPr>
              <w:jc w:val="right"/>
              <w:rPr>
                <w:rFonts w:ascii="Arial" w:eastAsia="Times New Roman" w:hAnsi="Arial" w:cs="Arial"/>
                <w:sz w:val="24"/>
                <w:szCs w:val="24"/>
              </w:rPr>
            </w:pPr>
            <w:r>
              <w:rPr>
                <w:rFonts w:ascii="Arial" w:hAnsi="Arial" w:cs="Arial"/>
                <w:sz w:val="24"/>
                <w:szCs w:val="24"/>
              </w:rPr>
              <w:t>1</w:t>
            </w:r>
          </w:p>
        </w:tc>
        <w:tc>
          <w:tcPr>
            <w:tcW w:w="673" w:type="pct"/>
            <w:tcBorders>
              <w:top w:val="nil"/>
              <w:left w:val="nil"/>
              <w:bottom w:val="single" w:sz="4" w:space="0" w:color="auto"/>
              <w:right w:val="nil"/>
            </w:tcBorders>
            <w:hideMark/>
          </w:tcPr>
          <w:p w:rsidR="00EA3467" w:rsidRDefault="00EA3467">
            <w:pPr>
              <w:jc w:val="right"/>
              <w:rPr>
                <w:rFonts w:ascii="Arial" w:eastAsia="Times New Roman" w:hAnsi="Arial" w:cs="Arial"/>
                <w:sz w:val="24"/>
                <w:szCs w:val="24"/>
              </w:rPr>
            </w:pPr>
            <w:r>
              <w:rPr>
                <w:rFonts w:ascii="Arial" w:hAnsi="Arial" w:cs="Arial"/>
                <w:sz w:val="24"/>
                <w:szCs w:val="24"/>
              </w:rPr>
              <w:t>-</w:t>
            </w:r>
          </w:p>
        </w:tc>
      </w:tr>
      <w:tr w:rsidR="00EA3467" w:rsidTr="00EA3467">
        <w:tc>
          <w:tcPr>
            <w:tcW w:w="2229" w:type="pct"/>
            <w:tcBorders>
              <w:top w:val="single" w:sz="4" w:space="0" w:color="auto"/>
              <w:left w:val="nil"/>
              <w:bottom w:val="single" w:sz="4" w:space="0" w:color="auto"/>
              <w:right w:val="nil"/>
            </w:tcBorders>
            <w:hideMark/>
          </w:tcPr>
          <w:p w:rsidR="00EA3467" w:rsidRDefault="00EA3467">
            <w:pPr>
              <w:rPr>
                <w:rFonts w:ascii="Arial" w:eastAsia="Times New Roman" w:hAnsi="Arial" w:cs="Arial"/>
                <w:sz w:val="24"/>
                <w:szCs w:val="24"/>
              </w:rPr>
            </w:pPr>
            <w:r>
              <w:rPr>
                <w:rFonts w:ascii="Arial" w:hAnsi="Arial" w:cs="Arial"/>
                <w:sz w:val="24"/>
                <w:szCs w:val="24"/>
              </w:rPr>
              <w:t>Adjusted basic earnings per share</w:t>
            </w:r>
          </w:p>
        </w:tc>
        <w:tc>
          <w:tcPr>
            <w:tcW w:w="674" w:type="pct"/>
            <w:tcBorders>
              <w:top w:val="single" w:sz="4" w:space="0" w:color="auto"/>
              <w:left w:val="nil"/>
              <w:bottom w:val="single" w:sz="4" w:space="0" w:color="auto"/>
              <w:right w:val="nil"/>
            </w:tcBorders>
            <w:hideMark/>
          </w:tcPr>
          <w:p w:rsidR="00EA3467" w:rsidRDefault="00EA3467">
            <w:pPr>
              <w:jc w:val="right"/>
              <w:rPr>
                <w:rFonts w:ascii="Arial" w:eastAsia="Times New Roman" w:hAnsi="Arial" w:cs="Arial"/>
                <w:b/>
                <w:sz w:val="24"/>
                <w:szCs w:val="24"/>
              </w:rPr>
            </w:pPr>
            <w:r>
              <w:rPr>
                <w:rFonts w:ascii="Arial" w:hAnsi="Arial" w:cs="Arial"/>
                <w:b/>
                <w:sz w:val="24"/>
                <w:szCs w:val="24"/>
              </w:rPr>
              <w:t>266</w:t>
            </w:r>
          </w:p>
        </w:tc>
        <w:tc>
          <w:tcPr>
            <w:tcW w:w="731" w:type="pct"/>
            <w:tcBorders>
              <w:top w:val="single" w:sz="4" w:space="0" w:color="auto"/>
              <w:left w:val="nil"/>
              <w:bottom w:val="single" w:sz="4" w:space="0" w:color="auto"/>
              <w:right w:val="nil"/>
            </w:tcBorders>
            <w:hideMark/>
          </w:tcPr>
          <w:p w:rsidR="00EA3467" w:rsidRDefault="00EA3467">
            <w:pPr>
              <w:jc w:val="right"/>
              <w:rPr>
                <w:rFonts w:ascii="Arial" w:eastAsia="Times New Roman" w:hAnsi="Arial" w:cs="Arial"/>
                <w:b/>
                <w:sz w:val="24"/>
                <w:szCs w:val="24"/>
              </w:rPr>
            </w:pPr>
            <w:r>
              <w:rPr>
                <w:rFonts w:ascii="Arial" w:hAnsi="Arial" w:cs="Arial"/>
                <w:b/>
                <w:sz w:val="24"/>
                <w:szCs w:val="24"/>
              </w:rPr>
              <w:t>11.3</w:t>
            </w:r>
          </w:p>
        </w:tc>
        <w:tc>
          <w:tcPr>
            <w:tcW w:w="693" w:type="pct"/>
            <w:tcBorders>
              <w:top w:val="single" w:sz="4" w:space="0" w:color="auto"/>
              <w:left w:val="nil"/>
              <w:bottom w:val="single" w:sz="4" w:space="0" w:color="auto"/>
              <w:right w:val="nil"/>
            </w:tcBorders>
            <w:hideMark/>
          </w:tcPr>
          <w:p w:rsidR="00EA3467" w:rsidRDefault="00EA3467">
            <w:pPr>
              <w:jc w:val="right"/>
              <w:rPr>
                <w:rFonts w:ascii="Arial" w:eastAsia="Times New Roman" w:hAnsi="Arial" w:cs="Arial"/>
                <w:sz w:val="24"/>
                <w:szCs w:val="24"/>
              </w:rPr>
            </w:pPr>
            <w:r>
              <w:rPr>
                <w:rFonts w:ascii="Arial" w:hAnsi="Arial" w:cs="Arial"/>
                <w:sz w:val="24"/>
                <w:szCs w:val="24"/>
              </w:rPr>
              <w:t>267</w:t>
            </w:r>
          </w:p>
        </w:tc>
        <w:tc>
          <w:tcPr>
            <w:tcW w:w="673" w:type="pct"/>
            <w:tcBorders>
              <w:top w:val="single" w:sz="4" w:space="0" w:color="auto"/>
              <w:left w:val="nil"/>
              <w:bottom w:val="single" w:sz="4" w:space="0" w:color="auto"/>
              <w:right w:val="nil"/>
            </w:tcBorders>
            <w:hideMark/>
          </w:tcPr>
          <w:p w:rsidR="00EA3467" w:rsidRDefault="00EA3467">
            <w:pPr>
              <w:jc w:val="right"/>
              <w:rPr>
                <w:rFonts w:ascii="Arial" w:eastAsia="Times New Roman" w:hAnsi="Arial" w:cs="Arial"/>
                <w:sz w:val="24"/>
                <w:szCs w:val="24"/>
              </w:rPr>
            </w:pPr>
            <w:r>
              <w:rPr>
                <w:rFonts w:ascii="Arial" w:hAnsi="Arial" w:cs="Arial"/>
                <w:sz w:val="24"/>
                <w:szCs w:val="24"/>
              </w:rPr>
              <w:t>11.5</w:t>
            </w:r>
          </w:p>
        </w:tc>
      </w:tr>
    </w:tbl>
    <w:p w:rsidR="00EA3467" w:rsidRDefault="00EA3467" w:rsidP="00EA3467">
      <w:pPr>
        <w:ind w:right="-368"/>
        <w:jc w:val="left"/>
        <w:rPr>
          <w:rFonts w:ascii="Arial" w:eastAsia="Times New Roman" w:hAnsi="Arial" w:cs="Arial"/>
          <w:b/>
          <w:sz w:val="24"/>
          <w:szCs w:val="24"/>
        </w:rPr>
      </w:pPr>
    </w:p>
    <w:p w:rsidR="00854B5E" w:rsidRDefault="00EA3467" w:rsidP="009A4C77">
      <w:pPr>
        <w:ind w:right="-368"/>
        <w:jc w:val="left"/>
        <w:rPr>
          <w:rFonts w:ascii="Arial" w:hAnsi="Arial" w:cs="Arial"/>
          <w:sz w:val="24"/>
          <w:szCs w:val="24"/>
        </w:rPr>
      </w:pPr>
      <w:r>
        <w:rPr>
          <w:rFonts w:ascii="Arial" w:hAnsi="Arial" w:cs="Arial"/>
          <w:sz w:val="24"/>
          <w:szCs w:val="24"/>
        </w:rPr>
        <w:t>The average number of shares in issue during the period is 2,358 million (2012/13: 2,332 million).</w:t>
      </w:r>
    </w:p>
    <w:p w:rsidR="009A4C77" w:rsidRDefault="009A4C77" w:rsidP="009A4C77">
      <w:pPr>
        <w:ind w:right="-368"/>
        <w:jc w:val="left"/>
        <w:rPr>
          <w:rFonts w:ascii="Arial" w:hAnsi="Arial" w:cs="Arial"/>
          <w:b/>
          <w:sz w:val="24"/>
          <w:szCs w:val="24"/>
        </w:rPr>
      </w:pPr>
      <w:r w:rsidRPr="00EA4941">
        <w:rPr>
          <w:rFonts w:ascii="Arial" w:hAnsi="Arial" w:cs="Arial"/>
          <w:b/>
          <w:sz w:val="24"/>
          <w:szCs w:val="24"/>
        </w:rPr>
        <w:t>Free cash flow</w:t>
      </w:r>
    </w:p>
    <w:p w:rsidR="009A4C77" w:rsidRDefault="009A4C77" w:rsidP="009A4C77">
      <w:pPr>
        <w:ind w:right="-368"/>
        <w:jc w:val="left"/>
        <w:rPr>
          <w:rFonts w:ascii="Arial" w:hAnsi="Arial" w:cs="Arial"/>
          <w:b/>
          <w:sz w:val="24"/>
          <w:szCs w:val="24"/>
        </w:rPr>
      </w:pPr>
    </w:p>
    <w:p w:rsidR="009A4C77" w:rsidRDefault="009A4C77" w:rsidP="009A4C77">
      <w:pPr>
        <w:ind w:right="-368"/>
        <w:jc w:val="left"/>
        <w:rPr>
          <w:rFonts w:ascii="Arial" w:hAnsi="Arial" w:cs="Arial"/>
          <w:color w:val="FF0000"/>
          <w:sz w:val="24"/>
          <w:szCs w:val="24"/>
        </w:rPr>
      </w:pPr>
      <w:r w:rsidRPr="00A63FD2">
        <w:rPr>
          <w:rFonts w:ascii="Arial" w:hAnsi="Arial" w:cs="Arial"/>
          <w:sz w:val="24"/>
          <w:szCs w:val="24"/>
        </w:rPr>
        <w:t xml:space="preserve">A reconciliation of free cash flow and cash flow movement in </w:t>
      </w:r>
      <w:r>
        <w:rPr>
          <w:rFonts w:ascii="Arial" w:hAnsi="Arial" w:cs="Arial"/>
          <w:sz w:val="24"/>
          <w:szCs w:val="24"/>
        </w:rPr>
        <w:t xml:space="preserve">financial </w:t>
      </w:r>
      <w:r w:rsidRPr="00A63FD2">
        <w:rPr>
          <w:rFonts w:ascii="Arial" w:hAnsi="Arial" w:cs="Arial"/>
          <w:sz w:val="24"/>
          <w:szCs w:val="24"/>
        </w:rPr>
        <w:t>net debt</w:t>
      </w:r>
      <w:r>
        <w:rPr>
          <w:rFonts w:ascii="Arial" w:hAnsi="Arial" w:cs="Arial"/>
          <w:sz w:val="24"/>
          <w:szCs w:val="24"/>
        </w:rPr>
        <w:t>/cash</w:t>
      </w:r>
      <w:r w:rsidRPr="00A63FD2">
        <w:rPr>
          <w:rFonts w:ascii="Arial" w:hAnsi="Arial" w:cs="Arial"/>
          <w:sz w:val="24"/>
          <w:szCs w:val="24"/>
        </w:rPr>
        <w:t xml:space="preserve"> is set out below:</w:t>
      </w:r>
    </w:p>
    <w:tbl>
      <w:tblPr>
        <w:tblW w:w="8830" w:type="dxa"/>
        <w:tblInd w:w="98" w:type="dxa"/>
        <w:tblLayout w:type="fixed"/>
        <w:tblLook w:val="0000" w:firstRow="0" w:lastRow="0" w:firstColumn="0" w:lastColumn="0" w:noHBand="0" w:noVBand="0"/>
      </w:tblPr>
      <w:tblGrid>
        <w:gridCol w:w="6310"/>
        <w:gridCol w:w="1260"/>
        <w:gridCol w:w="1260"/>
      </w:tblGrid>
      <w:tr w:rsidR="009A4C77" w:rsidRPr="009D2302" w:rsidTr="001461BD">
        <w:trPr>
          <w:trHeight w:val="555"/>
        </w:trPr>
        <w:tc>
          <w:tcPr>
            <w:tcW w:w="6310" w:type="dxa"/>
            <w:shd w:val="clear" w:color="auto" w:fill="auto"/>
            <w:vAlign w:val="bottom"/>
          </w:tcPr>
          <w:p w:rsidR="009A4C77" w:rsidRPr="00EA4941" w:rsidRDefault="009A4C77" w:rsidP="001461BD">
            <w:pPr>
              <w:jc w:val="left"/>
              <w:rPr>
                <w:rFonts w:ascii="Arial" w:hAnsi="Arial" w:cs="Arial"/>
                <w:bCs/>
                <w:sz w:val="24"/>
                <w:szCs w:val="24"/>
              </w:rPr>
            </w:pPr>
          </w:p>
        </w:tc>
        <w:tc>
          <w:tcPr>
            <w:tcW w:w="1260" w:type="dxa"/>
          </w:tcPr>
          <w:p w:rsidR="009A4C77" w:rsidRPr="00EA4941" w:rsidRDefault="009A4C77" w:rsidP="001461BD">
            <w:pPr>
              <w:jc w:val="right"/>
              <w:rPr>
                <w:rFonts w:ascii="Arial" w:hAnsi="Arial" w:cs="Arial"/>
                <w:b/>
                <w:bCs/>
                <w:sz w:val="24"/>
                <w:szCs w:val="24"/>
              </w:rPr>
            </w:pPr>
            <w:r>
              <w:rPr>
                <w:rFonts w:ascii="Arial" w:hAnsi="Arial" w:cs="Arial"/>
                <w:b/>
                <w:bCs/>
                <w:sz w:val="24"/>
                <w:szCs w:val="24"/>
              </w:rPr>
              <w:t>2013/14</w:t>
            </w:r>
          </w:p>
          <w:p w:rsidR="009A4C77" w:rsidRDefault="009A4C77" w:rsidP="001461BD">
            <w:pPr>
              <w:jc w:val="right"/>
              <w:rPr>
                <w:rFonts w:ascii="Arial" w:hAnsi="Arial" w:cs="Arial"/>
                <w:b/>
                <w:bCs/>
                <w:sz w:val="24"/>
                <w:szCs w:val="24"/>
              </w:rPr>
            </w:pPr>
          </w:p>
          <w:p w:rsidR="009A4C77" w:rsidRPr="00EA4941" w:rsidRDefault="009A4C77" w:rsidP="001461BD">
            <w:pPr>
              <w:jc w:val="right"/>
              <w:rPr>
                <w:rFonts w:ascii="Arial" w:hAnsi="Arial" w:cs="Arial"/>
                <w:b/>
                <w:bCs/>
                <w:sz w:val="24"/>
                <w:szCs w:val="24"/>
              </w:rPr>
            </w:pPr>
            <w:r w:rsidRPr="00EA4941">
              <w:rPr>
                <w:rFonts w:ascii="Arial" w:hAnsi="Arial" w:cs="Arial"/>
                <w:b/>
                <w:bCs/>
                <w:sz w:val="24"/>
                <w:szCs w:val="24"/>
              </w:rPr>
              <w:t>£m</w:t>
            </w:r>
          </w:p>
        </w:tc>
        <w:tc>
          <w:tcPr>
            <w:tcW w:w="1260" w:type="dxa"/>
            <w:shd w:val="clear" w:color="auto" w:fill="auto"/>
            <w:vAlign w:val="bottom"/>
          </w:tcPr>
          <w:p w:rsidR="009A4C77" w:rsidRPr="00185E72" w:rsidRDefault="009A4C77" w:rsidP="001461BD">
            <w:pPr>
              <w:jc w:val="right"/>
              <w:rPr>
                <w:rFonts w:ascii="Arial" w:hAnsi="Arial" w:cs="Arial"/>
                <w:bCs/>
                <w:sz w:val="24"/>
                <w:szCs w:val="24"/>
              </w:rPr>
            </w:pPr>
            <w:r w:rsidRPr="00185E72">
              <w:rPr>
                <w:rFonts w:ascii="Arial" w:hAnsi="Arial" w:cs="Arial"/>
                <w:bCs/>
                <w:sz w:val="24"/>
                <w:szCs w:val="24"/>
              </w:rPr>
              <w:t>201</w:t>
            </w:r>
            <w:r>
              <w:rPr>
                <w:rFonts w:ascii="Arial" w:hAnsi="Arial" w:cs="Arial"/>
                <w:bCs/>
                <w:sz w:val="24"/>
                <w:szCs w:val="24"/>
              </w:rPr>
              <w:t>2/13</w:t>
            </w:r>
          </w:p>
          <w:p w:rsidR="009A4C77" w:rsidRDefault="009A4C77" w:rsidP="001461BD">
            <w:pPr>
              <w:jc w:val="right"/>
              <w:rPr>
                <w:rFonts w:ascii="Arial" w:hAnsi="Arial" w:cs="Arial"/>
                <w:bCs/>
                <w:sz w:val="24"/>
                <w:szCs w:val="24"/>
              </w:rPr>
            </w:pPr>
            <w:r>
              <w:rPr>
                <w:rFonts w:ascii="Arial" w:hAnsi="Arial" w:cs="Arial"/>
                <w:bCs/>
                <w:sz w:val="24"/>
                <w:szCs w:val="24"/>
              </w:rPr>
              <w:t>(restated)</w:t>
            </w:r>
          </w:p>
          <w:p w:rsidR="009A4C77" w:rsidRPr="00185E72" w:rsidRDefault="009A4C77" w:rsidP="001461BD">
            <w:pPr>
              <w:jc w:val="right"/>
              <w:rPr>
                <w:rFonts w:ascii="Arial" w:hAnsi="Arial" w:cs="Arial"/>
                <w:bCs/>
                <w:sz w:val="24"/>
                <w:szCs w:val="24"/>
              </w:rPr>
            </w:pPr>
            <w:r>
              <w:rPr>
                <w:rFonts w:ascii="Arial" w:hAnsi="Arial" w:cs="Arial"/>
                <w:bCs/>
                <w:sz w:val="24"/>
                <w:szCs w:val="24"/>
              </w:rPr>
              <w:t>£m</w:t>
            </w:r>
          </w:p>
        </w:tc>
      </w:tr>
      <w:tr w:rsidR="009A4C77" w:rsidRPr="00127385" w:rsidTr="001461BD">
        <w:trPr>
          <w:trHeight w:val="255"/>
        </w:trPr>
        <w:tc>
          <w:tcPr>
            <w:tcW w:w="6310" w:type="dxa"/>
            <w:tcBorders>
              <w:top w:val="single" w:sz="4" w:space="0" w:color="auto"/>
            </w:tcBorders>
            <w:shd w:val="clear" w:color="auto" w:fill="auto"/>
            <w:vAlign w:val="bottom"/>
          </w:tcPr>
          <w:p w:rsidR="009A4C77" w:rsidRPr="006862B3" w:rsidRDefault="009A4C77" w:rsidP="001461BD">
            <w:pPr>
              <w:rPr>
                <w:rFonts w:ascii="Arial" w:hAnsi="Arial" w:cs="Arial"/>
                <w:b/>
                <w:sz w:val="24"/>
                <w:szCs w:val="24"/>
              </w:rPr>
            </w:pPr>
            <w:r w:rsidRPr="006862B3">
              <w:rPr>
                <w:rFonts w:ascii="Arial" w:hAnsi="Arial" w:cs="Arial"/>
                <w:b/>
                <w:sz w:val="24"/>
                <w:szCs w:val="24"/>
              </w:rPr>
              <w:t>Operating profit (before exceptional items)</w:t>
            </w:r>
          </w:p>
        </w:tc>
        <w:tc>
          <w:tcPr>
            <w:tcW w:w="1260" w:type="dxa"/>
            <w:tcBorders>
              <w:top w:val="single" w:sz="4" w:space="0" w:color="auto"/>
            </w:tcBorders>
          </w:tcPr>
          <w:p w:rsidR="009A4C77" w:rsidRPr="006862B3" w:rsidRDefault="009A4C77" w:rsidP="001461BD">
            <w:pPr>
              <w:jc w:val="right"/>
              <w:rPr>
                <w:rFonts w:ascii="Arial" w:hAnsi="Arial" w:cs="Arial"/>
                <w:b/>
                <w:sz w:val="24"/>
                <w:szCs w:val="24"/>
              </w:rPr>
            </w:pPr>
            <w:r>
              <w:rPr>
                <w:rFonts w:ascii="Arial" w:hAnsi="Arial" w:cs="Arial"/>
                <w:b/>
                <w:sz w:val="24"/>
                <w:szCs w:val="24"/>
              </w:rPr>
              <w:t>368</w:t>
            </w:r>
          </w:p>
        </w:tc>
        <w:tc>
          <w:tcPr>
            <w:tcW w:w="1260" w:type="dxa"/>
            <w:tcBorders>
              <w:top w:val="single" w:sz="4" w:space="0" w:color="auto"/>
            </w:tcBorders>
            <w:shd w:val="clear" w:color="auto" w:fill="auto"/>
          </w:tcPr>
          <w:p w:rsidR="009A4C77" w:rsidRPr="00127385" w:rsidRDefault="009A4C77" w:rsidP="001461BD">
            <w:pPr>
              <w:jc w:val="right"/>
              <w:rPr>
                <w:rFonts w:ascii="Arial" w:hAnsi="Arial" w:cs="Arial"/>
                <w:sz w:val="24"/>
                <w:szCs w:val="24"/>
              </w:rPr>
            </w:pPr>
            <w:r w:rsidRPr="00127385">
              <w:rPr>
                <w:rFonts w:ascii="Arial" w:hAnsi="Arial" w:cs="Arial"/>
                <w:sz w:val="24"/>
                <w:szCs w:val="24"/>
              </w:rPr>
              <w:t>37</w:t>
            </w:r>
            <w:r>
              <w:rPr>
                <w:rFonts w:ascii="Arial" w:hAnsi="Arial" w:cs="Arial"/>
                <w:sz w:val="24"/>
                <w:szCs w:val="24"/>
              </w:rPr>
              <w:t>2</w:t>
            </w:r>
          </w:p>
        </w:tc>
      </w:tr>
      <w:tr w:rsidR="009A4C77" w:rsidRPr="00127385" w:rsidTr="001461BD">
        <w:trPr>
          <w:trHeight w:val="270"/>
        </w:trPr>
        <w:tc>
          <w:tcPr>
            <w:tcW w:w="6310" w:type="dxa"/>
            <w:shd w:val="clear" w:color="auto" w:fill="auto"/>
            <w:vAlign w:val="bottom"/>
          </w:tcPr>
          <w:p w:rsidR="009A4C77" w:rsidRPr="006862B3" w:rsidRDefault="009A4C77" w:rsidP="001461BD">
            <w:pPr>
              <w:rPr>
                <w:rFonts w:ascii="Arial" w:hAnsi="Arial" w:cs="Arial"/>
                <w:sz w:val="24"/>
                <w:szCs w:val="24"/>
              </w:rPr>
            </w:pPr>
            <w:r w:rsidRPr="006862B3">
              <w:rPr>
                <w:rFonts w:ascii="Arial" w:hAnsi="Arial" w:cs="Arial"/>
                <w:sz w:val="24"/>
                <w:szCs w:val="24"/>
              </w:rPr>
              <w:t>Other non</w:t>
            </w:r>
            <w:r>
              <w:rPr>
                <w:rFonts w:ascii="Arial" w:hAnsi="Arial" w:cs="Arial"/>
                <w:sz w:val="24"/>
                <w:szCs w:val="24"/>
              </w:rPr>
              <w:t>-</w:t>
            </w:r>
            <w:r w:rsidRPr="006862B3">
              <w:rPr>
                <w:rFonts w:ascii="Arial" w:hAnsi="Arial" w:cs="Arial"/>
                <w:sz w:val="24"/>
                <w:szCs w:val="24"/>
              </w:rPr>
              <w:t>cash items</w:t>
            </w:r>
            <w:r>
              <w:rPr>
                <w:rFonts w:ascii="Arial" w:hAnsi="Arial" w:cs="Arial"/>
                <w:sz w:val="24"/>
                <w:szCs w:val="24"/>
              </w:rPr>
              <w:t xml:space="preserve"> </w:t>
            </w:r>
            <w:r w:rsidR="009D6976" w:rsidRPr="00C21DBE">
              <w:rPr>
                <w:rFonts w:ascii="Arial" w:hAnsi="Arial" w:cs="Arial"/>
                <w:i/>
                <w:sz w:val="24"/>
                <w:szCs w:val="24"/>
                <w:vertAlign w:val="superscript"/>
              </w:rPr>
              <w:t>(</w:t>
            </w:r>
            <w:r w:rsidRPr="00C21DBE">
              <w:rPr>
                <w:rFonts w:ascii="Arial" w:hAnsi="Arial" w:cs="Arial"/>
                <w:i/>
                <w:sz w:val="24"/>
                <w:szCs w:val="24"/>
                <w:vertAlign w:val="superscript"/>
              </w:rPr>
              <w:t>1</w:t>
            </w:r>
            <w:r w:rsidR="009D6976" w:rsidRPr="00C21DBE">
              <w:rPr>
                <w:rFonts w:ascii="Arial" w:hAnsi="Arial" w:cs="Arial"/>
                <w:i/>
                <w:sz w:val="24"/>
                <w:szCs w:val="24"/>
                <w:vertAlign w:val="superscript"/>
              </w:rPr>
              <w:t>)</w:t>
            </w:r>
          </w:p>
        </w:tc>
        <w:tc>
          <w:tcPr>
            <w:tcW w:w="1260" w:type="dxa"/>
          </w:tcPr>
          <w:p w:rsidR="009A4C77" w:rsidRPr="006862B3" w:rsidRDefault="009A4C77" w:rsidP="001461BD">
            <w:pPr>
              <w:jc w:val="right"/>
              <w:rPr>
                <w:rFonts w:ascii="Arial" w:hAnsi="Arial" w:cs="Arial"/>
                <w:b/>
                <w:sz w:val="24"/>
                <w:szCs w:val="24"/>
              </w:rPr>
            </w:pPr>
            <w:r>
              <w:rPr>
                <w:rFonts w:ascii="Arial" w:hAnsi="Arial" w:cs="Arial"/>
                <w:b/>
                <w:sz w:val="24"/>
                <w:szCs w:val="24"/>
              </w:rPr>
              <w:t>141</w:t>
            </w:r>
          </w:p>
        </w:tc>
        <w:tc>
          <w:tcPr>
            <w:tcW w:w="1260" w:type="dxa"/>
            <w:shd w:val="clear" w:color="auto" w:fill="auto"/>
          </w:tcPr>
          <w:p w:rsidR="009A4C77" w:rsidRPr="00127385" w:rsidRDefault="009A4C77" w:rsidP="001461BD">
            <w:pPr>
              <w:jc w:val="right"/>
              <w:rPr>
                <w:rFonts w:ascii="Arial" w:hAnsi="Arial" w:cs="Arial"/>
                <w:sz w:val="24"/>
                <w:szCs w:val="24"/>
              </w:rPr>
            </w:pPr>
            <w:r>
              <w:rPr>
                <w:rFonts w:ascii="Arial" w:hAnsi="Arial" w:cs="Arial"/>
                <w:sz w:val="24"/>
                <w:szCs w:val="24"/>
              </w:rPr>
              <w:t>143</w:t>
            </w:r>
          </w:p>
        </w:tc>
      </w:tr>
      <w:tr w:rsidR="009A4C77" w:rsidRPr="00127385" w:rsidTr="001461BD">
        <w:trPr>
          <w:trHeight w:val="247"/>
        </w:trPr>
        <w:tc>
          <w:tcPr>
            <w:tcW w:w="6310" w:type="dxa"/>
            <w:shd w:val="clear" w:color="auto" w:fill="auto"/>
            <w:vAlign w:val="bottom"/>
          </w:tcPr>
          <w:p w:rsidR="009A4C77" w:rsidRPr="006862B3" w:rsidRDefault="009A4C77" w:rsidP="001461BD">
            <w:pPr>
              <w:rPr>
                <w:rFonts w:ascii="Arial" w:hAnsi="Arial" w:cs="Arial"/>
                <w:sz w:val="24"/>
                <w:szCs w:val="24"/>
              </w:rPr>
            </w:pPr>
            <w:r w:rsidRPr="006862B3">
              <w:rPr>
                <w:rFonts w:ascii="Arial" w:hAnsi="Arial" w:cs="Arial"/>
                <w:sz w:val="24"/>
                <w:szCs w:val="24"/>
              </w:rPr>
              <w:t>Change in working capital</w:t>
            </w:r>
          </w:p>
        </w:tc>
        <w:tc>
          <w:tcPr>
            <w:tcW w:w="1260" w:type="dxa"/>
          </w:tcPr>
          <w:p w:rsidR="009A4C77" w:rsidRPr="006862B3" w:rsidRDefault="009A4C77" w:rsidP="001461BD">
            <w:pPr>
              <w:jc w:val="right"/>
              <w:rPr>
                <w:rFonts w:ascii="Arial" w:hAnsi="Arial" w:cs="Arial"/>
                <w:b/>
                <w:sz w:val="24"/>
                <w:szCs w:val="24"/>
              </w:rPr>
            </w:pPr>
            <w:r>
              <w:rPr>
                <w:rFonts w:ascii="Arial" w:hAnsi="Arial" w:cs="Arial"/>
                <w:b/>
                <w:sz w:val="24"/>
                <w:szCs w:val="24"/>
              </w:rPr>
              <w:t>125</w:t>
            </w:r>
          </w:p>
        </w:tc>
        <w:tc>
          <w:tcPr>
            <w:tcW w:w="1260" w:type="dxa"/>
            <w:shd w:val="clear" w:color="auto" w:fill="auto"/>
          </w:tcPr>
          <w:p w:rsidR="009A4C77" w:rsidRPr="00127385" w:rsidRDefault="009A4C77" w:rsidP="001461BD">
            <w:pPr>
              <w:jc w:val="right"/>
              <w:rPr>
                <w:rFonts w:ascii="Arial" w:hAnsi="Arial" w:cs="Arial"/>
                <w:sz w:val="24"/>
                <w:szCs w:val="24"/>
              </w:rPr>
            </w:pPr>
            <w:r w:rsidRPr="00127385">
              <w:rPr>
                <w:rFonts w:ascii="Arial" w:hAnsi="Arial" w:cs="Arial"/>
                <w:sz w:val="24"/>
                <w:szCs w:val="24"/>
              </w:rPr>
              <w:t>55</w:t>
            </w:r>
          </w:p>
        </w:tc>
      </w:tr>
      <w:tr w:rsidR="009A4C77" w:rsidRPr="00127385" w:rsidTr="001461BD">
        <w:trPr>
          <w:trHeight w:val="255"/>
        </w:trPr>
        <w:tc>
          <w:tcPr>
            <w:tcW w:w="6310" w:type="dxa"/>
            <w:tcBorders>
              <w:bottom w:val="single" w:sz="4" w:space="0" w:color="auto"/>
            </w:tcBorders>
            <w:shd w:val="clear" w:color="auto" w:fill="auto"/>
            <w:vAlign w:val="bottom"/>
          </w:tcPr>
          <w:p w:rsidR="009A4C77" w:rsidRPr="006862B3" w:rsidRDefault="009A4C77" w:rsidP="001461BD">
            <w:pPr>
              <w:rPr>
                <w:rFonts w:ascii="Arial" w:hAnsi="Arial" w:cs="Arial"/>
                <w:sz w:val="24"/>
                <w:szCs w:val="24"/>
              </w:rPr>
            </w:pPr>
            <w:r w:rsidRPr="006862B3">
              <w:rPr>
                <w:rFonts w:ascii="Arial" w:hAnsi="Arial" w:cs="Arial"/>
                <w:sz w:val="24"/>
                <w:szCs w:val="24"/>
              </w:rPr>
              <w:t>Pensions and provisions (before exceptional items)</w:t>
            </w:r>
          </w:p>
        </w:tc>
        <w:tc>
          <w:tcPr>
            <w:tcW w:w="1260" w:type="dxa"/>
            <w:tcBorders>
              <w:bottom w:val="single" w:sz="4" w:space="0" w:color="auto"/>
            </w:tcBorders>
          </w:tcPr>
          <w:p w:rsidR="009A4C77" w:rsidRPr="006862B3" w:rsidRDefault="009A4C77" w:rsidP="001461BD">
            <w:pPr>
              <w:jc w:val="right"/>
              <w:rPr>
                <w:rFonts w:ascii="Arial" w:hAnsi="Arial" w:cs="Arial"/>
                <w:b/>
                <w:sz w:val="24"/>
                <w:szCs w:val="24"/>
              </w:rPr>
            </w:pPr>
            <w:r>
              <w:rPr>
                <w:rFonts w:ascii="Arial" w:hAnsi="Arial" w:cs="Arial"/>
                <w:b/>
                <w:sz w:val="24"/>
                <w:szCs w:val="24"/>
              </w:rPr>
              <w:t>(18)</w:t>
            </w:r>
          </w:p>
        </w:tc>
        <w:tc>
          <w:tcPr>
            <w:tcW w:w="1260" w:type="dxa"/>
            <w:tcBorders>
              <w:bottom w:val="single" w:sz="4" w:space="0" w:color="auto"/>
            </w:tcBorders>
            <w:shd w:val="clear" w:color="auto" w:fill="auto"/>
          </w:tcPr>
          <w:p w:rsidR="009A4C77" w:rsidRPr="00127385" w:rsidRDefault="009A4C77" w:rsidP="001461BD">
            <w:pPr>
              <w:jc w:val="right"/>
              <w:rPr>
                <w:rFonts w:ascii="Arial" w:hAnsi="Arial" w:cs="Arial"/>
                <w:sz w:val="24"/>
                <w:szCs w:val="24"/>
              </w:rPr>
            </w:pPr>
            <w:r w:rsidRPr="00127385">
              <w:rPr>
                <w:rFonts w:ascii="Arial" w:hAnsi="Arial" w:cs="Arial"/>
                <w:sz w:val="24"/>
                <w:szCs w:val="24"/>
              </w:rPr>
              <w:t>(24)</w:t>
            </w:r>
          </w:p>
        </w:tc>
      </w:tr>
      <w:tr w:rsidR="009A4C77" w:rsidRPr="00127385" w:rsidTr="001461BD">
        <w:trPr>
          <w:trHeight w:val="255"/>
        </w:trPr>
        <w:tc>
          <w:tcPr>
            <w:tcW w:w="6310" w:type="dxa"/>
            <w:tcBorders>
              <w:top w:val="single" w:sz="4" w:space="0" w:color="auto"/>
            </w:tcBorders>
            <w:shd w:val="clear" w:color="auto" w:fill="auto"/>
            <w:vAlign w:val="bottom"/>
          </w:tcPr>
          <w:p w:rsidR="009A4C77" w:rsidRPr="006862B3" w:rsidRDefault="009A4C77" w:rsidP="001461BD">
            <w:pPr>
              <w:rPr>
                <w:rFonts w:ascii="Arial" w:hAnsi="Arial" w:cs="Arial"/>
                <w:sz w:val="24"/>
                <w:szCs w:val="24"/>
              </w:rPr>
            </w:pPr>
            <w:r w:rsidRPr="006862B3">
              <w:rPr>
                <w:rFonts w:ascii="Arial" w:hAnsi="Arial" w:cs="Arial"/>
                <w:sz w:val="24"/>
                <w:szCs w:val="24"/>
              </w:rPr>
              <w:t>Operating cash flow</w:t>
            </w:r>
          </w:p>
        </w:tc>
        <w:tc>
          <w:tcPr>
            <w:tcW w:w="1260" w:type="dxa"/>
            <w:tcBorders>
              <w:top w:val="single" w:sz="4" w:space="0" w:color="auto"/>
            </w:tcBorders>
          </w:tcPr>
          <w:p w:rsidR="009A4C77" w:rsidRPr="006862B3" w:rsidRDefault="009A4C77" w:rsidP="001461BD">
            <w:pPr>
              <w:jc w:val="right"/>
              <w:rPr>
                <w:rFonts w:ascii="Arial" w:hAnsi="Arial" w:cs="Arial"/>
                <w:b/>
                <w:sz w:val="24"/>
                <w:szCs w:val="24"/>
              </w:rPr>
            </w:pPr>
            <w:r>
              <w:rPr>
                <w:rFonts w:ascii="Arial" w:hAnsi="Arial" w:cs="Arial"/>
                <w:b/>
                <w:sz w:val="24"/>
                <w:szCs w:val="24"/>
              </w:rPr>
              <w:t>616</w:t>
            </w:r>
          </w:p>
        </w:tc>
        <w:tc>
          <w:tcPr>
            <w:tcW w:w="1260" w:type="dxa"/>
            <w:tcBorders>
              <w:top w:val="single" w:sz="4" w:space="0" w:color="auto"/>
            </w:tcBorders>
            <w:shd w:val="clear" w:color="auto" w:fill="auto"/>
          </w:tcPr>
          <w:p w:rsidR="009A4C77" w:rsidRPr="00127385" w:rsidRDefault="009A4C77" w:rsidP="001461BD">
            <w:pPr>
              <w:jc w:val="right"/>
              <w:rPr>
                <w:rFonts w:ascii="Arial" w:hAnsi="Arial" w:cs="Arial"/>
                <w:sz w:val="24"/>
                <w:szCs w:val="24"/>
              </w:rPr>
            </w:pPr>
            <w:r w:rsidRPr="00127385">
              <w:rPr>
                <w:rFonts w:ascii="Arial" w:hAnsi="Arial" w:cs="Arial"/>
                <w:sz w:val="24"/>
                <w:szCs w:val="24"/>
              </w:rPr>
              <w:t>546</w:t>
            </w:r>
          </w:p>
        </w:tc>
      </w:tr>
      <w:tr w:rsidR="009A4C77" w:rsidRPr="00127385" w:rsidTr="001461BD">
        <w:trPr>
          <w:trHeight w:val="311"/>
        </w:trPr>
        <w:tc>
          <w:tcPr>
            <w:tcW w:w="6310" w:type="dxa"/>
            <w:shd w:val="clear" w:color="auto" w:fill="auto"/>
            <w:vAlign w:val="bottom"/>
          </w:tcPr>
          <w:p w:rsidR="009A4C77" w:rsidRPr="006862B3" w:rsidRDefault="009A4C77" w:rsidP="001461BD">
            <w:pPr>
              <w:rPr>
                <w:rFonts w:ascii="Arial" w:hAnsi="Arial" w:cs="Arial"/>
                <w:sz w:val="24"/>
                <w:szCs w:val="24"/>
              </w:rPr>
            </w:pPr>
            <w:r>
              <w:rPr>
                <w:rFonts w:ascii="Arial" w:hAnsi="Arial" w:cs="Arial"/>
                <w:sz w:val="24"/>
                <w:szCs w:val="24"/>
              </w:rPr>
              <w:t>Net i</w:t>
            </w:r>
            <w:r w:rsidRPr="006862B3">
              <w:rPr>
                <w:rFonts w:ascii="Arial" w:hAnsi="Arial" w:cs="Arial"/>
                <w:sz w:val="24"/>
                <w:szCs w:val="24"/>
              </w:rPr>
              <w:t>nterest paid</w:t>
            </w:r>
          </w:p>
        </w:tc>
        <w:tc>
          <w:tcPr>
            <w:tcW w:w="1260" w:type="dxa"/>
          </w:tcPr>
          <w:p w:rsidR="009A4C77" w:rsidRPr="006862B3" w:rsidRDefault="009A4C77" w:rsidP="001461BD">
            <w:pPr>
              <w:jc w:val="right"/>
              <w:rPr>
                <w:rFonts w:ascii="Arial" w:hAnsi="Arial" w:cs="Arial"/>
                <w:b/>
                <w:sz w:val="24"/>
                <w:szCs w:val="24"/>
              </w:rPr>
            </w:pPr>
            <w:r>
              <w:rPr>
                <w:rFonts w:ascii="Arial" w:hAnsi="Arial" w:cs="Arial"/>
                <w:b/>
                <w:sz w:val="24"/>
                <w:szCs w:val="24"/>
              </w:rPr>
              <w:t>(5)</w:t>
            </w:r>
          </w:p>
        </w:tc>
        <w:tc>
          <w:tcPr>
            <w:tcW w:w="1260" w:type="dxa"/>
            <w:shd w:val="clear" w:color="auto" w:fill="auto"/>
          </w:tcPr>
          <w:p w:rsidR="009A4C77" w:rsidRPr="00127385" w:rsidRDefault="009A4C77" w:rsidP="001461BD">
            <w:pPr>
              <w:jc w:val="right"/>
              <w:rPr>
                <w:rFonts w:ascii="Arial" w:hAnsi="Arial" w:cs="Arial"/>
                <w:sz w:val="24"/>
                <w:szCs w:val="24"/>
              </w:rPr>
            </w:pPr>
            <w:r w:rsidRPr="00127385">
              <w:rPr>
                <w:rFonts w:ascii="Arial" w:hAnsi="Arial" w:cs="Arial"/>
                <w:sz w:val="24"/>
                <w:szCs w:val="24"/>
              </w:rPr>
              <w:t>(4)</w:t>
            </w:r>
          </w:p>
        </w:tc>
      </w:tr>
      <w:tr w:rsidR="009A4C77" w:rsidRPr="00127385" w:rsidTr="001461BD">
        <w:trPr>
          <w:trHeight w:val="270"/>
        </w:trPr>
        <w:tc>
          <w:tcPr>
            <w:tcW w:w="6310" w:type="dxa"/>
            <w:shd w:val="clear" w:color="auto" w:fill="auto"/>
            <w:vAlign w:val="bottom"/>
          </w:tcPr>
          <w:p w:rsidR="009A4C77" w:rsidRPr="006862B3" w:rsidRDefault="009A4C77" w:rsidP="001461BD">
            <w:pPr>
              <w:rPr>
                <w:rFonts w:ascii="Arial" w:hAnsi="Arial" w:cs="Arial"/>
                <w:sz w:val="24"/>
                <w:szCs w:val="24"/>
              </w:rPr>
            </w:pPr>
            <w:r w:rsidRPr="006862B3">
              <w:rPr>
                <w:rFonts w:ascii="Arial" w:hAnsi="Arial" w:cs="Arial"/>
                <w:sz w:val="24"/>
                <w:szCs w:val="24"/>
              </w:rPr>
              <w:t>Tax paid</w:t>
            </w:r>
          </w:p>
        </w:tc>
        <w:tc>
          <w:tcPr>
            <w:tcW w:w="1260" w:type="dxa"/>
          </w:tcPr>
          <w:p w:rsidR="009A4C77" w:rsidRPr="006862B3" w:rsidRDefault="009A4C77" w:rsidP="001461BD">
            <w:pPr>
              <w:jc w:val="right"/>
              <w:rPr>
                <w:rFonts w:ascii="Arial" w:hAnsi="Arial" w:cs="Arial"/>
                <w:b/>
                <w:sz w:val="24"/>
                <w:szCs w:val="24"/>
              </w:rPr>
            </w:pPr>
            <w:r>
              <w:rPr>
                <w:rFonts w:ascii="Arial" w:hAnsi="Arial" w:cs="Arial"/>
                <w:b/>
                <w:sz w:val="24"/>
                <w:szCs w:val="24"/>
              </w:rPr>
              <w:t>(39)</w:t>
            </w:r>
          </w:p>
        </w:tc>
        <w:tc>
          <w:tcPr>
            <w:tcW w:w="1260" w:type="dxa"/>
            <w:shd w:val="clear" w:color="auto" w:fill="auto"/>
          </w:tcPr>
          <w:p w:rsidR="009A4C77" w:rsidRPr="00127385" w:rsidRDefault="009A4C77" w:rsidP="001461BD">
            <w:pPr>
              <w:jc w:val="right"/>
              <w:rPr>
                <w:rFonts w:ascii="Arial" w:hAnsi="Arial" w:cs="Arial"/>
                <w:sz w:val="24"/>
                <w:szCs w:val="24"/>
              </w:rPr>
            </w:pPr>
            <w:r w:rsidRPr="00127385">
              <w:rPr>
                <w:rFonts w:ascii="Arial" w:hAnsi="Arial" w:cs="Arial"/>
                <w:sz w:val="24"/>
                <w:szCs w:val="24"/>
              </w:rPr>
              <w:t>(74)</w:t>
            </w:r>
          </w:p>
        </w:tc>
      </w:tr>
      <w:tr w:rsidR="009A4C77" w:rsidRPr="00127385" w:rsidTr="001461BD">
        <w:trPr>
          <w:trHeight w:val="270"/>
        </w:trPr>
        <w:tc>
          <w:tcPr>
            <w:tcW w:w="6310" w:type="dxa"/>
            <w:shd w:val="clear" w:color="auto" w:fill="auto"/>
            <w:vAlign w:val="bottom"/>
          </w:tcPr>
          <w:p w:rsidR="009A4C77" w:rsidRPr="006862B3" w:rsidRDefault="009A4C77" w:rsidP="001461BD">
            <w:pPr>
              <w:rPr>
                <w:rFonts w:ascii="Arial" w:hAnsi="Arial" w:cs="Arial"/>
                <w:sz w:val="24"/>
                <w:szCs w:val="24"/>
              </w:rPr>
            </w:pPr>
            <w:r w:rsidRPr="006862B3">
              <w:rPr>
                <w:rFonts w:ascii="Arial" w:hAnsi="Arial" w:cs="Arial"/>
                <w:sz w:val="24"/>
                <w:szCs w:val="24"/>
              </w:rPr>
              <w:t>Gross capital expenditure</w:t>
            </w:r>
          </w:p>
        </w:tc>
        <w:tc>
          <w:tcPr>
            <w:tcW w:w="1260" w:type="dxa"/>
          </w:tcPr>
          <w:p w:rsidR="009A4C77" w:rsidRPr="006862B3" w:rsidRDefault="009A4C77" w:rsidP="001461BD">
            <w:pPr>
              <w:jc w:val="right"/>
              <w:rPr>
                <w:rFonts w:ascii="Arial" w:hAnsi="Arial" w:cs="Arial"/>
                <w:b/>
                <w:sz w:val="24"/>
                <w:szCs w:val="24"/>
              </w:rPr>
            </w:pPr>
            <w:r>
              <w:rPr>
                <w:rFonts w:ascii="Arial" w:hAnsi="Arial" w:cs="Arial"/>
                <w:b/>
                <w:sz w:val="24"/>
                <w:szCs w:val="24"/>
              </w:rPr>
              <w:t>(147)</w:t>
            </w:r>
          </w:p>
        </w:tc>
        <w:tc>
          <w:tcPr>
            <w:tcW w:w="1260" w:type="dxa"/>
            <w:shd w:val="clear" w:color="auto" w:fill="auto"/>
          </w:tcPr>
          <w:p w:rsidR="009A4C77" w:rsidRPr="00127385" w:rsidRDefault="009A4C77" w:rsidP="001461BD">
            <w:pPr>
              <w:jc w:val="right"/>
              <w:rPr>
                <w:rFonts w:ascii="Arial" w:hAnsi="Arial" w:cs="Arial"/>
                <w:sz w:val="24"/>
                <w:szCs w:val="24"/>
              </w:rPr>
            </w:pPr>
            <w:r w:rsidRPr="00127385">
              <w:rPr>
                <w:rFonts w:ascii="Arial" w:hAnsi="Arial" w:cs="Arial"/>
                <w:sz w:val="24"/>
                <w:szCs w:val="24"/>
              </w:rPr>
              <w:t>(172)</w:t>
            </w:r>
          </w:p>
        </w:tc>
      </w:tr>
      <w:tr w:rsidR="009A4C77" w:rsidRPr="00127385" w:rsidTr="001461BD">
        <w:trPr>
          <w:trHeight w:val="270"/>
        </w:trPr>
        <w:tc>
          <w:tcPr>
            <w:tcW w:w="6310" w:type="dxa"/>
            <w:tcBorders>
              <w:bottom w:val="single" w:sz="4" w:space="0" w:color="auto"/>
            </w:tcBorders>
            <w:shd w:val="clear" w:color="auto" w:fill="auto"/>
            <w:vAlign w:val="bottom"/>
          </w:tcPr>
          <w:p w:rsidR="009A4C77" w:rsidRPr="006862B3" w:rsidRDefault="009A4C77" w:rsidP="001461BD">
            <w:pPr>
              <w:rPr>
                <w:rFonts w:ascii="Arial" w:hAnsi="Arial" w:cs="Arial"/>
                <w:sz w:val="24"/>
                <w:szCs w:val="24"/>
              </w:rPr>
            </w:pPr>
            <w:r>
              <w:rPr>
                <w:rFonts w:ascii="Arial" w:hAnsi="Arial" w:cs="Arial"/>
                <w:sz w:val="24"/>
                <w:szCs w:val="24"/>
              </w:rPr>
              <w:t>Disposal of assets</w:t>
            </w:r>
          </w:p>
        </w:tc>
        <w:tc>
          <w:tcPr>
            <w:tcW w:w="1260" w:type="dxa"/>
            <w:tcBorders>
              <w:bottom w:val="single" w:sz="4" w:space="0" w:color="auto"/>
            </w:tcBorders>
          </w:tcPr>
          <w:p w:rsidR="009A4C77" w:rsidRPr="006862B3" w:rsidRDefault="009A4C77" w:rsidP="001461BD">
            <w:pPr>
              <w:jc w:val="right"/>
              <w:rPr>
                <w:rFonts w:ascii="Arial" w:hAnsi="Arial" w:cs="Arial"/>
                <w:b/>
                <w:sz w:val="24"/>
                <w:szCs w:val="24"/>
              </w:rPr>
            </w:pPr>
            <w:r>
              <w:rPr>
                <w:rFonts w:ascii="Arial" w:hAnsi="Arial" w:cs="Arial"/>
                <w:b/>
                <w:sz w:val="24"/>
                <w:szCs w:val="24"/>
              </w:rPr>
              <w:t>10</w:t>
            </w:r>
          </w:p>
        </w:tc>
        <w:tc>
          <w:tcPr>
            <w:tcW w:w="1260" w:type="dxa"/>
            <w:tcBorders>
              <w:bottom w:val="single" w:sz="4" w:space="0" w:color="auto"/>
            </w:tcBorders>
            <w:shd w:val="clear" w:color="auto" w:fill="auto"/>
          </w:tcPr>
          <w:p w:rsidR="009A4C77" w:rsidRPr="00127385" w:rsidRDefault="009A4C77" w:rsidP="001461BD">
            <w:pPr>
              <w:jc w:val="right"/>
              <w:rPr>
                <w:rFonts w:ascii="Arial" w:hAnsi="Arial" w:cs="Arial"/>
                <w:sz w:val="24"/>
                <w:szCs w:val="24"/>
              </w:rPr>
            </w:pPr>
            <w:r w:rsidRPr="00127385">
              <w:rPr>
                <w:rFonts w:ascii="Arial" w:hAnsi="Arial" w:cs="Arial"/>
                <w:sz w:val="24"/>
                <w:szCs w:val="24"/>
              </w:rPr>
              <w:t>6</w:t>
            </w:r>
          </w:p>
        </w:tc>
      </w:tr>
      <w:tr w:rsidR="009A4C77" w:rsidRPr="00127385" w:rsidTr="001461BD">
        <w:trPr>
          <w:trHeight w:val="270"/>
        </w:trPr>
        <w:tc>
          <w:tcPr>
            <w:tcW w:w="6310" w:type="dxa"/>
            <w:tcBorders>
              <w:top w:val="single" w:sz="4" w:space="0" w:color="auto"/>
            </w:tcBorders>
            <w:shd w:val="clear" w:color="auto" w:fill="auto"/>
            <w:vAlign w:val="bottom"/>
          </w:tcPr>
          <w:p w:rsidR="009A4C77" w:rsidRPr="006862B3" w:rsidRDefault="009A4C77" w:rsidP="001461BD">
            <w:pPr>
              <w:rPr>
                <w:rFonts w:ascii="Arial" w:hAnsi="Arial" w:cs="Arial"/>
                <w:b/>
                <w:sz w:val="24"/>
                <w:szCs w:val="24"/>
              </w:rPr>
            </w:pPr>
            <w:r w:rsidRPr="006862B3">
              <w:rPr>
                <w:rFonts w:ascii="Arial" w:hAnsi="Arial" w:cs="Arial"/>
                <w:b/>
                <w:sz w:val="24"/>
                <w:szCs w:val="24"/>
              </w:rPr>
              <w:t>Free cash flow</w:t>
            </w:r>
          </w:p>
        </w:tc>
        <w:tc>
          <w:tcPr>
            <w:tcW w:w="1260" w:type="dxa"/>
            <w:tcBorders>
              <w:top w:val="single" w:sz="4" w:space="0" w:color="auto"/>
            </w:tcBorders>
          </w:tcPr>
          <w:p w:rsidR="009A4C77" w:rsidRPr="006862B3" w:rsidRDefault="009A4C77" w:rsidP="001461BD">
            <w:pPr>
              <w:jc w:val="right"/>
              <w:rPr>
                <w:rFonts w:ascii="Arial" w:hAnsi="Arial" w:cs="Arial"/>
                <w:b/>
                <w:sz w:val="24"/>
                <w:szCs w:val="24"/>
              </w:rPr>
            </w:pPr>
            <w:r>
              <w:rPr>
                <w:rFonts w:ascii="Arial" w:hAnsi="Arial" w:cs="Arial"/>
                <w:b/>
                <w:sz w:val="24"/>
                <w:szCs w:val="24"/>
              </w:rPr>
              <w:t>435</w:t>
            </w:r>
          </w:p>
        </w:tc>
        <w:tc>
          <w:tcPr>
            <w:tcW w:w="1260" w:type="dxa"/>
            <w:tcBorders>
              <w:top w:val="single" w:sz="4" w:space="0" w:color="auto"/>
            </w:tcBorders>
            <w:shd w:val="clear" w:color="auto" w:fill="auto"/>
          </w:tcPr>
          <w:p w:rsidR="009A4C77" w:rsidRPr="00127385" w:rsidRDefault="009A4C77" w:rsidP="001461BD">
            <w:pPr>
              <w:jc w:val="right"/>
              <w:rPr>
                <w:rFonts w:ascii="Arial" w:hAnsi="Arial" w:cs="Arial"/>
                <w:sz w:val="24"/>
                <w:szCs w:val="24"/>
              </w:rPr>
            </w:pPr>
            <w:r w:rsidRPr="00127385">
              <w:rPr>
                <w:rFonts w:ascii="Arial" w:hAnsi="Arial" w:cs="Arial"/>
                <w:sz w:val="24"/>
                <w:szCs w:val="24"/>
              </w:rPr>
              <w:t>302</w:t>
            </w:r>
          </w:p>
        </w:tc>
      </w:tr>
      <w:tr w:rsidR="009A4C77" w:rsidRPr="00127385" w:rsidTr="001461BD">
        <w:trPr>
          <w:trHeight w:val="270"/>
        </w:trPr>
        <w:tc>
          <w:tcPr>
            <w:tcW w:w="6310" w:type="dxa"/>
            <w:shd w:val="clear" w:color="auto" w:fill="auto"/>
            <w:vAlign w:val="bottom"/>
          </w:tcPr>
          <w:p w:rsidR="009A4C77" w:rsidRPr="006862B3" w:rsidRDefault="009A4C77" w:rsidP="001461BD">
            <w:pPr>
              <w:rPr>
                <w:rFonts w:ascii="Arial" w:hAnsi="Arial" w:cs="Arial"/>
                <w:sz w:val="24"/>
                <w:szCs w:val="24"/>
              </w:rPr>
            </w:pPr>
            <w:r w:rsidRPr="006862B3">
              <w:rPr>
                <w:rFonts w:ascii="Arial" w:hAnsi="Arial" w:cs="Arial"/>
                <w:sz w:val="24"/>
                <w:szCs w:val="24"/>
              </w:rPr>
              <w:t>Dividends paid</w:t>
            </w:r>
          </w:p>
        </w:tc>
        <w:tc>
          <w:tcPr>
            <w:tcW w:w="1260" w:type="dxa"/>
          </w:tcPr>
          <w:p w:rsidR="009A4C77" w:rsidRPr="006862B3" w:rsidRDefault="009A4C77" w:rsidP="001461BD">
            <w:pPr>
              <w:jc w:val="right"/>
              <w:rPr>
                <w:rFonts w:ascii="Arial" w:hAnsi="Arial" w:cs="Arial"/>
                <w:b/>
                <w:sz w:val="24"/>
                <w:szCs w:val="24"/>
              </w:rPr>
            </w:pPr>
            <w:r>
              <w:rPr>
                <w:rFonts w:ascii="Arial" w:hAnsi="Arial" w:cs="Arial"/>
                <w:b/>
                <w:sz w:val="24"/>
                <w:szCs w:val="24"/>
              </w:rPr>
              <w:t>(150)</w:t>
            </w:r>
          </w:p>
        </w:tc>
        <w:tc>
          <w:tcPr>
            <w:tcW w:w="1260" w:type="dxa"/>
            <w:shd w:val="clear" w:color="auto" w:fill="auto"/>
          </w:tcPr>
          <w:p w:rsidR="009A4C77" w:rsidRPr="00127385" w:rsidRDefault="009A4C77" w:rsidP="001461BD">
            <w:pPr>
              <w:jc w:val="right"/>
              <w:rPr>
                <w:rFonts w:ascii="Arial" w:hAnsi="Arial" w:cs="Arial"/>
                <w:sz w:val="24"/>
                <w:szCs w:val="24"/>
              </w:rPr>
            </w:pPr>
            <w:r w:rsidRPr="00127385">
              <w:rPr>
                <w:rFonts w:ascii="Arial" w:hAnsi="Arial" w:cs="Arial"/>
                <w:sz w:val="24"/>
                <w:szCs w:val="24"/>
              </w:rPr>
              <w:t>(148)</w:t>
            </w:r>
          </w:p>
        </w:tc>
      </w:tr>
      <w:tr w:rsidR="009A4C77" w:rsidRPr="0024516C" w:rsidTr="001461BD">
        <w:trPr>
          <w:trHeight w:val="270"/>
        </w:trPr>
        <w:tc>
          <w:tcPr>
            <w:tcW w:w="6310" w:type="dxa"/>
            <w:shd w:val="clear" w:color="auto" w:fill="auto"/>
            <w:vAlign w:val="bottom"/>
          </w:tcPr>
          <w:p w:rsidR="009A4C77" w:rsidRPr="0024516C" w:rsidRDefault="009A4C77" w:rsidP="001461BD">
            <w:pPr>
              <w:rPr>
                <w:rFonts w:ascii="Arial" w:hAnsi="Arial" w:cs="Arial"/>
                <w:sz w:val="24"/>
                <w:szCs w:val="24"/>
              </w:rPr>
            </w:pPr>
            <w:r w:rsidRPr="0024516C">
              <w:rPr>
                <w:rFonts w:ascii="Arial" w:hAnsi="Arial" w:cs="Arial"/>
                <w:sz w:val="24"/>
                <w:szCs w:val="24"/>
              </w:rPr>
              <w:t xml:space="preserve">Acquisition of Bricostore </w:t>
            </w:r>
            <w:smartTag w:uri="urn:schemas-microsoft-com:office:smarttags" w:element="country-region">
              <w:smartTag w:uri="urn:schemas-microsoft-com:office:smarttags" w:element="place">
                <w:r w:rsidRPr="0024516C">
                  <w:rPr>
                    <w:rFonts w:ascii="Arial" w:hAnsi="Arial" w:cs="Arial"/>
                    <w:sz w:val="24"/>
                    <w:szCs w:val="24"/>
                  </w:rPr>
                  <w:t>Romania</w:t>
                </w:r>
              </w:smartTag>
            </w:smartTag>
          </w:p>
        </w:tc>
        <w:tc>
          <w:tcPr>
            <w:tcW w:w="1260" w:type="dxa"/>
          </w:tcPr>
          <w:p w:rsidR="009A4C77" w:rsidRPr="0024516C" w:rsidRDefault="009A4C77" w:rsidP="001461BD">
            <w:pPr>
              <w:jc w:val="right"/>
              <w:rPr>
                <w:rFonts w:ascii="Arial" w:hAnsi="Arial" w:cs="Arial"/>
                <w:b/>
                <w:sz w:val="24"/>
                <w:szCs w:val="24"/>
              </w:rPr>
            </w:pPr>
            <w:r>
              <w:rPr>
                <w:rFonts w:ascii="Arial" w:hAnsi="Arial" w:cs="Arial"/>
                <w:b/>
                <w:sz w:val="24"/>
                <w:szCs w:val="24"/>
              </w:rPr>
              <w:t>(28)</w:t>
            </w:r>
          </w:p>
        </w:tc>
        <w:tc>
          <w:tcPr>
            <w:tcW w:w="1260" w:type="dxa"/>
            <w:shd w:val="clear" w:color="auto" w:fill="auto"/>
          </w:tcPr>
          <w:p w:rsidR="009A4C77" w:rsidRPr="0024516C" w:rsidRDefault="009A4C77" w:rsidP="001461BD">
            <w:pPr>
              <w:jc w:val="right"/>
              <w:rPr>
                <w:rFonts w:ascii="Arial" w:hAnsi="Arial" w:cs="Arial"/>
                <w:sz w:val="24"/>
                <w:szCs w:val="24"/>
              </w:rPr>
            </w:pPr>
            <w:r w:rsidRPr="0024516C">
              <w:rPr>
                <w:rFonts w:ascii="Arial" w:hAnsi="Arial" w:cs="Arial"/>
                <w:sz w:val="24"/>
                <w:szCs w:val="24"/>
              </w:rPr>
              <w:t>-</w:t>
            </w:r>
          </w:p>
        </w:tc>
      </w:tr>
      <w:tr w:rsidR="009A4C77" w:rsidRPr="00127385" w:rsidTr="001461BD">
        <w:trPr>
          <w:trHeight w:val="270"/>
        </w:trPr>
        <w:tc>
          <w:tcPr>
            <w:tcW w:w="6310" w:type="dxa"/>
            <w:tcBorders>
              <w:bottom w:val="single" w:sz="4" w:space="0" w:color="auto"/>
            </w:tcBorders>
            <w:shd w:val="clear" w:color="auto" w:fill="auto"/>
            <w:vAlign w:val="bottom"/>
          </w:tcPr>
          <w:p w:rsidR="009A4C77" w:rsidRPr="009D2302" w:rsidRDefault="009A4C77" w:rsidP="001461BD">
            <w:pPr>
              <w:rPr>
                <w:rFonts w:ascii="Arial" w:hAnsi="Arial" w:cs="Arial"/>
                <w:sz w:val="24"/>
                <w:szCs w:val="24"/>
              </w:rPr>
            </w:pPr>
            <w:r w:rsidRPr="009D2302">
              <w:rPr>
                <w:rFonts w:ascii="Arial" w:hAnsi="Arial" w:cs="Arial"/>
                <w:sz w:val="24"/>
                <w:szCs w:val="24"/>
              </w:rPr>
              <w:t xml:space="preserve">Other </w:t>
            </w:r>
            <w:r w:rsidR="009D6976" w:rsidRPr="00C21DBE">
              <w:rPr>
                <w:rFonts w:ascii="Arial" w:hAnsi="Arial" w:cs="Arial"/>
                <w:i/>
                <w:sz w:val="24"/>
                <w:szCs w:val="24"/>
                <w:vertAlign w:val="superscript"/>
              </w:rPr>
              <w:t>(</w:t>
            </w:r>
            <w:r w:rsidRPr="00C21DBE">
              <w:rPr>
                <w:rFonts w:ascii="Arial" w:hAnsi="Arial" w:cs="Arial"/>
                <w:i/>
                <w:sz w:val="24"/>
                <w:szCs w:val="24"/>
                <w:vertAlign w:val="superscript"/>
              </w:rPr>
              <w:t>2</w:t>
            </w:r>
            <w:r w:rsidR="009D6976" w:rsidRPr="00C21DBE">
              <w:rPr>
                <w:rFonts w:ascii="Arial" w:hAnsi="Arial" w:cs="Arial"/>
                <w:i/>
                <w:sz w:val="24"/>
                <w:szCs w:val="24"/>
                <w:vertAlign w:val="superscript"/>
              </w:rPr>
              <w:t>)</w:t>
            </w:r>
          </w:p>
        </w:tc>
        <w:tc>
          <w:tcPr>
            <w:tcW w:w="1260" w:type="dxa"/>
            <w:tcBorders>
              <w:bottom w:val="single" w:sz="4" w:space="0" w:color="auto"/>
            </w:tcBorders>
          </w:tcPr>
          <w:p w:rsidR="009A4C77" w:rsidRPr="009D2302" w:rsidRDefault="009A4C77" w:rsidP="001461BD">
            <w:pPr>
              <w:jc w:val="right"/>
              <w:rPr>
                <w:rFonts w:ascii="Arial" w:hAnsi="Arial" w:cs="Arial"/>
                <w:b/>
                <w:sz w:val="24"/>
                <w:szCs w:val="24"/>
              </w:rPr>
            </w:pPr>
            <w:r>
              <w:rPr>
                <w:rFonts w:ascii="Arial" w:hAnsi="Arial" w:cs="Arial"/>
                <w:b/>
                <w:sz w:val="24"/>
                <w:szCs w:val="24"/>
              </w:rPr>
              <w:t>2</w:t>
            </w:r>
          </w:p>
        </w:tc>
        <w:tc>
          <w:tcPr>
            <w:tcW w:w="1260" w:type="dxa"/>
            <w:tcBorders>
              <w:bottom w:val="single" w:sz="4" w:space="0" w:color="auto"/>
            </w:tcBorders>
            <w:shd w:val="clear" w:color="auto" w:fill="auto"/>
          </w:tcPr>
          <w:p w:rsidR="009A4C77" w:rsidRPr="00127385" w:rsidRDefault="009A4C77" w:rsidP="001461BD">
            <w:pPr>
              <w:jc w:val="right"/>
              <w:rPr>
                <w:rFonts w:ascii="Arial" w:hAnsi="Arial" w:cs="Arial"/>
                <w:sz w:val="24"/>
                <w:szCs w:val="24"/>
              </w:rPr>
            </w:pPr>
            <w:r w:rsidRPr="00127385">
              <w:rPr>
                <w:rFonts w:ascii="Arial" w:hAnsi="Arial" w:cs="Arial"/>
                <w:sz w:val="24"/>
                <w:szCs w:val="24"/>
              </w:rPr>
              <w:t>4</w:t>
            </w:r>
          </w:p>
        </w:tc>
      </w:tr>
      <w:tr w:rsidR="009A4C77" w:rsidRPr="00127385" w:rsidTr="001461BD">
        <w:trPr>
          <w:trHeight w:val="270"/>
        </w:trPr>
        <w:tc>
          <w:tcPr>
            <w:tcW w:w="6310" w:type="dxa"/>
            <w:tcBorders>
              <w:top w:val="single" w:sz="4" w:space="0" w:color="auto"/>
            </w:tcBorders>
            <w:shd w:val="clear" w:color="auto" w:fill="auto"/>
            <w:vAlign w:val="bottom"/>
          </w:tcPr>
          <w:p w:rsidR="009A4C77" w:rsidRPr="009D2302" w:rsidRDefault="009A4C77" w:rsidP="001461BD">
            <w:pPr>
              <w:rPr>
                <w:rFonts w:ascii="Arial" w:hAnsi="Arial" w:cs="Arial"/>
                <w:b/>
                <w:sz w:val="24"/>
                <w:szCs w:val="24"/>
              </w:rPr>
            </w:pPr>
            <w:r w:rsidRPr="009D2302">
              <w:rPr>
                <w:rFonts w:ascii="Arial" w:hAnsi="Arial" w:cs="Arial"/>
                <w:b/>
                <w:sz w:val="24"/>
                <w:szCs w:val="24"/>
              </w:rPr>
              <w:t xml:space="preserve">Cash flow movement in net </w:t>
            </w:r>
            <w:r>
              <w:rPr>
                <w:rFonts w:ascii="Arial" w:hAnsi="Arial" w:cs="Arial"/>
                <w:b/>
                <w:sz w:val="24"/>
                <w:szCs w:val="24"/>
              </w:rPr>
              <w:t>cash/(</w:t>
            </w:r>
            <w:r w:rsidRPr="009D2302">
              <w:rPr>
                <w:rFonts w:ascii="Arial" w:hAnsi="Arial" w:cs="Arial"/>
                <w:b/>
                <w:sz w:val="24"/>
                <w:szCs w:val="24"/>
              </w:rPr>
              <w:t>debt</w:t>
            </w:r>
            <w:r>
              <w:rPr>
                <w:rFonts w:ascii="Arial" w:hAnsi="Arial" w:cs="Arial"/>
                <w:b/>
                <w:sz w:val="24"/>
                <w:szCs w:val="24"/>
              </w:rPr>
              <w:t>)</w:t>
            </w:r>
          </w:p>
        </w:tc>
        <w:tc>
          <w:tcPr>
            <w:tcW w:w="1260" w:type="dxa"/>
            <w:tcBorders>
              <w:top w:val="single" w:sz="4" w:space="0" w:color="auto"/>
            </w:tcBorders>
          </w:tcPr>
          <w:p w:rsidR="009A4C77" w:rsidRPr="009D2302" w:rsidRDefault="009A4C77" w:rsidP="001461BD">
            <w:pPr>
              <w:jc w:val="right"/>
              <w:rPr>
                <w:rFonts w:ascii="Arial" w:hAnsi="Arial" w:cs="Arial"/>
                <w:b/>
                <w:sz w:val="24"/>
                <w:szCs w:val="24"/>
              </w:rPr>
            </w:pPr>
            <w:r>
              <w:rPr>
                <w:rFonts w:ascii="Arial" w:hAnsi="Arial" w:cs="Arial"/>
                <w:b/>
                <w:sz w:val="24"/>
                <w:szCs w:val="24"/>
              </w:rPr>
              <w:t>259</w:t>
            </w:r>
          </w:p>
        </w:tc>
        <w:tc>
          <w:tcPr>
            <w:tcW w:w="1260" w:type="dxa"/>
            <w:tcBorders>
              <w:top w:val="single" w:sz="4" w:space="0" w:color="auto"/>
            </w:tcBorders>
            <w:shd w:val="clear" w:color="auto" w:fill="auto"/>
          </w:tcPr>
          <w:p w:rsidR="009A4C77" w:rsidRPr="00127385" w:rsidRDefault="009A4C77" w:rsidP="001461BD">
            <w:pPr>
              <w:jc w:val="right"/>
              <w:rPr>
                <w:rFonts w:ascii="Arial" w:hAnsi="Arial" w:cs="Arial"/>
                <w:sz w:val="24"/>
                <w:szCs w:val="24"/>
              </w:rPr>
            </w:pPr>
            <w:r w:rsidRPr="00127385">
              <w:rPr>
                <w:rFonts w:ascii="Arial" w:hAnsi="Arial" w:cs="Arial"/>
                <w:sz w:val="24"/>
                <w:szCs w:val="24"/>
              </w:rPr>
              <w:t>158</w:t>
            </w:r>
          </w:p>
        </w:tc>
      </w:tr>
      <w:tr w:rsidR="009A4C77" w:rsidRPr="00127385" w:rsidTr="001461BD">
        <w:trPr>
          <w:trHeight w:val="270"/>
        </w:trPr>
        <w:tc>
          <w:tcPr>
            <w:tcW w:w="6310" w:type="dxa"/>
            <w:shd w:val="clear" w:color="auto" w:fill="auto"/>
            <w:vAlign w:val="bottom"/>
          </w:tcPr>
          <w:p w:rsidR="009A4C77" w:rsidRPr="0024516C" w:rsidRDefault="009A4C77" w:rsidP="001461BD">
            <w:pPr>
              <w:rPr>
                <w:rFonts w:ascii="Arial" w:hAnsi="Arial" w:cs="Arial"/>
                <w:sz w:val="24"/>
                <w:szCs w:val="24"/>
              </w:rPr>
            </w:pPr>
            <w:r w:rsidRPr="0024516C">
              <w:rPr>
                <w:rFonts w:ascii="Arial" w:hAnsi="Arial" w:cs="Arial"/>
                <w:sz w:val="24"/>
                <w:szCs w:val="24"/>
              </w:rPr>
              <w:t>Opening net cash/(debt)</w:t>
            </w:r>
          </w:p>
        </w:tc>
        <w:tc>
          <w:tcPr>
            <w:tcW w:w="1260" w:type="dxa"/>
          </w:tcPr>
          <w:p w:rsidR="009A4C77" w:rsidRPr="0024516C" w:rsidRDefault="009A4C77" w:rsidP="001461BD">
            <w:pPr>
              <w:jc w:val="right"/>
              <w:rPr>
                <w:rFonts w:ascii="Arial" w:hAnsi="Arial" w:cs="Arial"/>
                <w:b/>
                <w:sz w:val="24"/>
                <w:szCs w:val="24"/>
              </w:rPr>
            </w:pPr>
            <w:r w:rsidRPr="0024516C">
              <w:rPr>
                <w:rFonts w:ascii="Arial" w:hAnsi="Arial" w:cs="Arial"/>
                <w:b/>
                <w:sz w:val="24"/>
                <w:szCs w:val="24"/>
              </w:rPr>
              <w:t>38</w:t>
            </w:r>
          </w:p>
        </w:tc>
        <w:tc>
          <w:tcPr>
            <w:tcW w:w="1260" w:type="dxa"/>
            <w:shd w:val="clear" w:color="auto" w:fill="auto"/>
          </w:tcPr>
          <w:p w:rsidR="009A4C77" w:rsidRPr="0024516C" w:rsidRDefault="009A4C77" w:rsidP="001461BD">
            <w:pPr>
              <w:jc w:val="right"/>
              <w:rPr>
                <w:rFonts w:ascii="Arial" w:hAnsi="Arial" w:cs="Arial"/>
                <w:sz w:val="24"/>
                <w:szCs w:val="24"/>
              </w:rPr>
            </w:pPr>
            <w:r w:rsidRPr="0024516C">
              <w:rPr>
                <w:rFonts w:ascii="Arial" w:hAnsi="Arial" w:cs="Arial"/>
                <w:sz w:val="24"/>
                <w:szCs w:val="24"/>
              </w:rPr>
              <w:t>(88)</w:t>
            </w:r>
          </w:p>
        </w:tc>
      </w:tr>
      <w:tr w:rsidR="009A4C77" w:rsidRPr="003E73F7" w:rsidTr="001461BD">
        <w:trPr>
          <w:trHeight w:val="270"/>
        </w:trPr>
        <w:tc>
          <w:tcPr>
            <w:tcW w:w="6310" w:type="dxa"/>
            <w:shd w:val="clear" w:color="auto" w:fill="auto"/>
            <w:vAlign w:val="bottom"/>
          </w:tcPr>
          <w:p w:rsidR="009A4C77" w:rsidRPr="0024516C" w:rsidRDefault="009A4C77" w:rsidP="001461BD">
            <w:pPr>
              <w:rPr>
                <w:rFonts w:ascii="Arial" w:hAnsi="Arial" w:cs="Arial"/>
                <w:sz w:val="24"/>
                <w:szCs w:val="24"/>
              </w:rPr>
            </w:pPr>
            <w:r>
              <w:rPr>
                <w:rFonts w:ascii="Arial" w:hAnsi="Arial" w:cs="Arial"/>
                <w:sz w:val="24"/>
                <w:szCs w:val="24"/>
              </w:rPr>
              <w:t>Debt</w:t>
            </w:r>
            <w:r w:rsidRPr="0024516C">
              <w:rPr>
                <w:rFonts w:ascii="Arial" w:hAnsi="Arial" w:cs="Arial"/>
                <w:sz w:val="24"/>
                <w:szCs w:val="24"/>
              </w:rPr>
              <w:t xml:space="preserve"> acquired</w:t>
            </w:r>
            <w:r>
              <w:rPr>
                <w:rFonts w:ascii="Arial" w:hAnsi="Arial" w:cs="Arial"/>
                <w:sz w:val="24"/>
                <w:szCs w:val="24"/>
              </w:rPr>
              <w:t xml:space="preserve"> with Bricostore Romania</w:t>
            </w:r>
          </w:p>
        </w:tc>
        <w:tc>
          <w:tcPr>
            <w:tcW w:w="1260" w:type="dxa"/>
          </w:tcPr>
          <w:p w:rsidR="009A4C77" w:rsidRPr="0024516C" w:rsidRDefault="009A4C77" w:rsidP="001461BD">
            <w:pPr>
              <w:jc w:val="right"/>
              <w:rPr>
                <w:rFonts w:ascii="Arial" w:hAnsi="Arial" w:cs="Arial"/>
                <w:b/>
                <w:sz w:val="24"/>
                <w:szCs w:val="24"/>
              </w:rPr>
            </w:pPr>
            <w:r>
              <w:rPr>
                <w:rFonts w:ascii="Arial" w:hAnsi="Arial" w:cs="Arial"/>
                <w:b/>
                <w:sz w:val="24"/>
                <w:szCs w:val="24"/>
              </w:rPr>
              <w:t>(35)</w:t>
            </w:r>
          </w:p>
        </w:tc>
        <w:tc>
          <w:tcPr>
            <w:tcW w:w="1260" w:type="dxa"/>
            <w:shd w:val="clear" w:color="auto" w:fill="auto"/>
          </w:tcPr>
          <w:p w:rsidR="009A4C77" w:rsidRPr="0024516C" w:rsidRDefault="009A4C77" w:rsidP="001461BD">
            <w:pPr>
              <w:jc w:val="right"/>
              <w:rPr>
                <w:rFonts w:ascii="Arial" w:hAnsi="Arial" w:cs="Arial"/>
                <w:sz w:val="24"/>
                <w:szCs w:val="24"/>
              </w:rPr>
            </w:pPr>
            <w:r>
              <w:rPr>
                <w:rFonts w:ascii="Arial" w:hAnsi="Arial" w:cs="Arial"/>
                <w:sz w:val="24"/>
                <w:szCs w:val="24"/>
              </w:rPr>
              <w:t>-</w:t>
            </w:r>
          </w:p>
        </w:tc>
      </w:tr>
      <w:tr w:rsidR="009A4C77" w:rsidRPr="00127385" w:rsidTr="001461BD">
        <w:trPr>
          <w:trHeight w:val="270"/>
        </w:trPr>
        <w:tc>
          <w:tcPr>
            <w:tcW w:w="6310" w:type="dxa"/>
            <w:tcBorders>
              <w:bottom w:val="single" w:sz="4" w:space="0" w:color="auto"/>
            </w:tcBorders>
            <w:shd w:val="clear" w:color="auto" w:fill="auto"/>
            <w:vAlign w:val="bottom"/>
          </w:tcPr>
          <w:p w:rsidR="009A4C77" w:rsidRPr="00EE25F8" w:rsidRDefault="009A4C77" w:rsidP="001461BD">
            <w:pPr>
              <w:rPr>
                <w:rFonts w:ascii="Arial" w:hAnsi="Arial" w:cs="Arial"/>
                <w:sz w:val="24"/>
                <w:szCs w:val="24"/>
              </w:rPr>
            </w:pPr>
            <w:r>
              <w:rPr>
                <w:rFonts w:ascii="Arial" w:hAnsi="Arial" w:cs="Arial"/>
                <w:sz w:val="24"/>
                <w:szCs w:val="24"/>
              </w:rPr>
              <w:t>Other movement including foreign exchange</w:t>
            </w:r>
          </w:p>
        </w:tc>
        <w:tc>
          <w:tcPr>
            <w:tcW w:w="1260" w:type="dxa"/>
            <w:tcBorders>
              <w:bottom w:val="single" w:sz="4" w:space="0" w:color="auto"/>
            </w:tcBorders>
          </w:tcPr>
          <w:p w:rsidR="009A4C77" w:rsidRPr="00DC1C03" w:rsidRDefault="009A4C77" w:rsidP="001461BD">
            <w:pPr>
              <w:jc w:val="right"/>
              <w:rPr>
                <w:rFonts w:ascii="Arial" w:hAnsi="Arial" w:cs="Arial"/>
                <w:b/>
                <w:sz w:val="24"/>
                <w:szCs w:val="24"/>
              </w:rPr>
            </w:pPr>
            <w:r>
              <w:rPr>
                <w:rFonts w:ascii="Arial" w:hAnsi="Arial" w:cs="Arial"/>
                <w:b/>
                <w:sz w:val="24"/>
                <w:szCs w:val="24"/>
              </w:rPr>
              <w:t>(3)</w:t>
            </w:r>
          </w:p>
        </w:tc>
        <w:tc>
          <w:tcPr>
            <w:tcW w:w="1260" w:type="dxa"/>
            <w:tcBorders>
              <w:bottom w:val="single" w:sz="4" w:space="0" w:color="auto"/>
            </w:tcBorders>
            <w:shd w:val="clear" w:color="auto" w:fill="auto"/>
          </w:tcPr>
          <w:p w:rsidR="009A4C77" w:rsidRPr="00127385" w:rsidRDefault="009A4C77" w:rsidP="001461BD">
            <w:pPr>
              <w:jc w:val="right"/>
              <w:rPr>
                <w:rFonts w:ascii="Arial" w:hAnsi="Arial" w:cs="Arial"/>
                <w:sz w:val="24"/>
                <w:szCs w:val="24"/>
              </w:rPr>
            </w:pPr>
            <w:r w:rsidRPr="00127385">
              <w:rPr>
                <w:rFonts w:ascii="Arial" w:hAnsi="Arial" w:cs="Arial"/>
                <w:sz w:val="24"/>
                <w:szCs w:val="24"/>
              </w:rPr>
              <w:t>(41)</w:t>
            </w:r>
          </w:p>
        </w:tc>
      </w:tr>
      <w:tr w:rsidR="009A4C77" w:rsidRPr="00127385" w:rsidTr="001461BD">
        <w:trPr>
          <w:trHeight w:val="270"/>
        </w:trPr>
        <w:tc>
          <w:tcPr>
            <w:tcW w:w="6310" w:type="dxa"/>
            <w:tcBorders>
              <w:top w:val="single" w:sz="4" w:space="0" w:color="auto"/>
              <w:bottom w:val="single" w:sz="4" w:space="0" w:color="auto"/>
            </w:tcBorders>
            <w:shd w:val="clear" w:color="auto" w:fill="auto"/>
            <w:vAlign w:val="bottom"/>
          </w:tcPr>
          <w:p w:rsidR="009A4C77" w:rsidRPr="009D2302" w:rsidRDefault="009A4C77" w:rsidP="001461BD">
            <w:pPr>
              <w:rPr>
                <w:rFonts w:ascii="Arial" w:hAnsi="Arial" w:cs="Arial"/>
                <w:b/>
                <w:sz w:val="24"/>
                <w:szCs w:val="24"/>
              </w:rPr>
            </w:pPr>
            <w:r>
              <w:rPr>
                <w:rFonts w:ascii="Arial" w:hAnsi="Arial" w:cs="Arial"/>
                <w:b/>
                <w:sz w:val="24"/>
                <w:szCs w:val="24"/>
              </w:rPr>
              <w:t>Closing net cash</w:t>
            </w:r>
          </w:p>
        </w:tc>
        <w:tc>
          <w:tcPr>
            <w:tcW w:w="1260" w:type="dxa"/>
            <w:tcBorders>
              <w:top w:val="single" w:sz="4" w:space="0" w:color="auto"/>
              <w:bottom w:val="single" w:sz="4" w:space="0" w:color="auto"/>
            </w:tcBorders>
          </w:tcPr>
          <w:p w:rsidR="009A4C77" w:rsidRPr="009D2302" w:rsidRDefault="009A4C77" w:rsidP="001461BD">
            <w:pPr>
              <w:jc w:val="right"/>
              <w:rPr>
                <w:rFonts w:ascii="Arial" w:hAnsi="Arial" w:cs="Arial"/>
                <w:b/>
                <w:sz w:val="24"/>
                <w:szCs w:val="24"/>
              </w:rPr>
            </w:pPr>
            <w:r>
              <w:rPr>
                <w:rFonts w:ascii="Arial" w:hAnsi="Arial" w:cs="Arial"/>
                <w:b/>
                <w:sz w:val="24"/>
                <w:szCs w:val="24"/>
              </w:rPr>
              <w:t>259</w:t>
            </w:r>
          </w:p>
        </w:tc>
        <w:tc>
          <w:tcPr>
            <w:tcW w:w="1260" w:type="dxa"/>
            <w:tcBorders>
              <w:top w:val="single" w:sz="4" w:space="0" w:color="auto"/>
              <w:bottom w:val="single" w:sz="4" w:space="0" w:color="auto"/>
            </w:tcBorders>
            <w:shd w:val="clear" w:color="auto" w:fill="auto"/>
          </w:tcPr>
          <w:p w:rsidR="009A4C77" w:rsidRPr="00127385" w:rsidRDefault="009A4C77" w:rsidP="001461BD">
            <w:pPr>
              <w:jc w:val="right"/>
              <w:rPr>
                <w:rFonts w:ascii="Arial" w:hAnsi="Arial" w:cs="Arial"/>
                <w:sz w:val="24"/>
                <w:szCs w:val="24"/>
              </w:rPr>
            </w:pPr>
            <w:r w:rsidRPr="00127385">
              <w:rPr>
                <w:rFonts w:ascii="Arial" w:hAnsi="Arial" w:cs="Arial"/>
                <w:sz w:val="24"/>
                <w:szCs w:val="24"/>
              </w:rPr>
              <w:t>29</w:t>
            </w:r>
          </w:p>
        </w:tc>
      </w:tr>
    </w:tbl>
    <w:p w:rsidR="009A4C77" w:rsidRPr="00FB458E" w:rsidRDefault="009A4C77" w:rsidP="009A4C77">
      <w:pPr>
        <w:ind w:right="-368"/>
        <w:jc w:val="left"/>
        <w:rPr>
          <w:rFonts w:ascii="Arial" w:hAnsi="Arial" w:cs="Arial"/>
          <w:sz w:val="24"/>
          <w:szCs w:val="24"/>
        </w:rPr>
      </w:pPr>
    </w:p>
    <w:p w:rsidR="009A4C77" w:rsidRDefault="009D6976" w:rsidP="009A4C77">
      <w:pPr>
        <w:ind w:right="-368"/>
        <w:jc w:val="left"/>
        <w:rPr>
          <w:rFonts w:ascii="Arial" w:hAnsi="Arial" w:cs="Arial"/>
          <w:i/>
          <w:sz w:val="18"/>
          <w:szCs w:val="18"/>
        </w:rPr>
      </w:pPr>
      <w:r>
        <w:rPr>
          <w:rFonts w:ascii="Arial" w:hAnsi="Arial" w:cs="Arial"/>
          <w:i/>
          <w:sz w:val="18"/>
          <w:szCs w:val="18"/>
          <w:vertAlign w:val="superscript"/>
        </w:rPr>
        <w:t>(</w:t>
      </w:r>
      <w:r w:rsidR="009A4C77" w:rsidRPr="00AC454C">
        <w:rPr>
          <w:rFonts w:ascii="Arial" w:hAnsi="Arial" w:cs="Arial"/>
          <w:i/>
          <w:sz w:val="18"/>
          <w:szCs w:val="18"/>
          <w:vertAlign w:val="superscript"/>
        </w:rPr>
        <w:t>1</w:t>
      </w:r>
      <w:r>
        <w:rPr>
          <w:rFonts w:ascii="Arial" w:hAnsi="Arial" w:cs="Arial"/>
          <w:i/>
          <w:sz w:val="18"/>
          <w:szCs w:val="18"/>
          <w:vertAlign w:val="superscript"/>
        </w:rPr>
        <w:t>)</w:t>
      </w:r>
      <w:r w:rsidR="009A4C77" w:rsidRPr="00AC454C">
        <w:rPr>
          <w:rFonts w:ascii="Arial" w:hAnsi="Arial" w:cs="Arial"/>
          <w:i/>
          <w:sz w:val="18"/>
          <w:szCs w:val="18"/>
        </w:rPr>
        <w:t>Includes depreciation and amortisation, share-based compensation charge, pre-exceptional non cash movement in pensions and provisions, share of post-tax results of JVs and associates and profit/loss on retail disposals.</w:t>
      </w:r>
    </w:p>
    <w:p w:rsidR="009A4C77" w:rsidRPr="00FB458E" w:rsidRDefault="009D6976" w:rsidP="009A4C77">
      <w:pPr>
        <w:ind w:right="-368"/>
        <w:jc w:val="left"/>
        <w:rPr>
          <w:rFonts w:ascii="Arial" w:hAnsi="Arial" w:cs="Arial"/>
          <w:i/>
          <w:sz w:val="18"/>
          <w:szCs w:val="18"/>
        </w:rPr>
      </w:pPr>
      <w:r>
        <w:rPr>
          <w:rFonts w:ascii="Arial" w:hAnsi="Arial" w:cs="Arial"/>
          <w:i/>
          <w:sz w:val="18"/>
          <w:szCs w:val="18"/>
          <w:vertAlign w:val="superscript"/>
        </w:rPr>
        <w:t>(</w:t>
      </w:r>
      <w:r w:rsidR="009A4C77">
        <w:rPr>
          <w:rFonts w:ascii="Arial" w:hAnsi="Arial" w:cs="Arial"/>
          <w:i/>
          <w:sz w:val="18"/>
          <w:szCs w:val="18"/>
          <w:vertAlign w:val="superscript"/>
        </w:rPr>
        <w:t>2</w:t>
      </w:r>
      <w:r>
        <w:rPr>
          <w:rFonts w:ascii="Arial" w:hAnsi="Arial" w:cs="Arial"/>
          <w:i/>
          <w:sz w:val="18"/>
          <w:szCs w:val="18"/>
          <w:vertAlign w:val="superscript"/>
        </w:rPr>
        <w:t>)</w:t>
      </w:r>
      <w:r w:rsidR="009A4C77" w:rsidRPr="00AC454C">
        <w:rPr>
          <w:rFonts w:ascii="Arial" w:hAnsi="Arial" w:cs="Arial"/>
          <w:i/>
          <w:sz w:val="18"/>
          <w:szCs w:val="18"/>
        </w:rPr>
        <w:t>Includes dividends received from JVs and associates, issue of share</w:t>
      </w:r>
      <w:r w:rsidR="009A4C77">
        <w:rPr>
          <w:rFonts w:ascii="Arial" w:hAnsi="Arial" w:cs="Arial"/>
          <w:i/>
          <w:sz w:val="18"/>
          <w:szCs w:val="18"/>
        </w:rPr>
        <w:t xml:space="preserve">s and exceptional items (excluding property disposals). </w:t>
      </w:r>
    </w:p>
    <w:p w:rsidR="009A4C77" w:rsidRPr="006864A4" w:rsidRDefault="009A4C77" w:rsidP="009A4C77">
      <w:pPr>
        <w:ind w:right="-368"/>
        <w:jc w:val="left"/>
        <w:rPr>
          <w:rFonts w:ascii="Arial" w:hAnsi="Arial" w:cs="Arial"/>
          <w:b/>
          <w:color w:val="FF0000"/>
          <w:sz w:val="24"/>
          <w:szCs w:val="24"/>
        </w:rPr>
      </w:pPr>
    </w:p>
    <w:p w:rsidR="009A4C77" w:rsidRDefault="009A4C77" w:rsidP="000F31CD">
      <w:pPr>
        <w:jc w:val="left"/>
        <w:rPr>
          <w:rFonts w:ascii="Arial" w:hAnsi="Arial" w:cs="Arial"/>
          <w:sz w:val="24"/>
          <w:szCs w:val="24"/>
          <w:highlight w:val="yellow"/>
        </w:rPr>
      </w:pPr>
      <w:r w:rsidRPr="00582E0C">
        <w:rPr>
          <w:rFonts w:ascii="Arial" w:hAnsi="Arial" w:cs="Arial"/>
          <w:b/>
          <w:sz w:val="24"/>
          <w:szCs w:val="24"/>
        </w:rPr>
        <w:t>Free cash flow</w:t>
      </w:r>
      <w:r w:rsidRPr="00582E0C">
        <w:rPr>
          <w:rFonts w:ascii="Arial" w:hAnsi="Arial" w:cs="Arial"/>
          <w:sz w:val="24"/>
          <w:szCs w:val="24"/>
        </w:rPr>
        <w:t xml:space="preserve"> of </w:t>
      </w:r>
      <w:r w:rsidRPr="00646CDB">
        <w:rPr>
          <w:rFonts w:ascii="Arial" w:hAnsi="Arial" w:cs="Arial"/>
          <w:sz w:val="24"/>
          <w:szCs w:val="24"/>
        </w:rPr>
        <w:t>£</w:t>
      </w:r>
      <w:r w:rsidRPr="00C74202">
        <w:rPr>
          <w:rFonts w:ascii="Arial" w:hAnsi="Arial" w:cs="Arial"/>
          <w:sz w:val="24"/>
          <w:szCs w:val="24"/>
        </w:rPr>
        <w:t xml:space="preserve">435 million was generated in the period (2012/13: £302 million) benefitting from a larger reduction in working capital, along with lower tax payments and </w:t>
      </w:r>
      <w:r>
        <w:rPr>
          <w:rFonts w:ascii="Arial" w:hAnsi="Arial" w:cs="Arial"/>
          <w:sz w:val="24"/>
          <w:szCs w:val="24"/>
        </w:rPr>
        <w:t xml:space="preserve">lower </w:t>
      </w:r>
      <w:r w:rsidRPr="00C74202">
        <w:rPr>
          <w:rFonts w:ascii="Arial" w:hAnsi="Arial" w:cs="Arial"/>
          <w:sz w:val="24"/>
          <w:szCs w:val="24"/>
        </w:rPr>
        <w:t>capital expenditure.</w:t>
      </w:r>
      <w:r>
        <w:rPr>
          <w:rFonts w:ascii="Arial" w:hAnsi="Arial" w:cs="Arial"/>
          <w:sz w:val="24"/>
          <w:szCs w:val="24"/>
        </w:rPr>
        <w:t xml:space="preserve"> This was partially offset by the cost of the </w:t>
      </w:r>
      <w:smartTag w:uri="urn:schemas-microsoft-com:office:smarttags" w:element="country-region">
        <w:smartTag w:uri="urn:schemas-microsoft-com:office:smarttags" w:element="place">
          <w:r>
            <w:rPr>
              <w:rFonts w:ascii="Arial" w:hAnsi="Arial" w:cs="Arial"/>
              <w:sz w:val="24"/>
              <w:szCs w:val="24"/>
            </w:rPr>
            <w:t>Romania</w:t>
          </w:r>
        </w:smartTag>
      </w:smartTag>
      <w:r>
        <w:rPr>
          <w:rFonts w:ascii="Arial" w:hAnsi="Arial" w:cs="Arial"/>
          <w:sz w:val="24"/>
          <w:szCs w:val="24"/>
        </w:rPr>
        <w:t xml:space="preserve"> acquisition (see below).</w:t>
      </w:r>
    </w:p>
    <w:p w:rsidR="009A4C77" w:rsidRPr="001702A2" w:rsidRDefault="009A4C77" w:rsidP="000F31CD">
      <w:pPr>
        <w:jc w:val="left"/>
        <w:rPr>
          <w:rFonts w:ascii="Arial" w:hAnsi="Arial" w:cs="Arial"/>
          <w:sz w:val="24"/>
          <w:szCs w:val="24"/>
        </w:rPr>
      </w:pPr>
    </w:p>
    <w:p w:rsidR="009A4C77" w:rsidRDefault="009A4C77">
      <w:pPr>
        <w:ind w:right="-368"/>
        <w:jc w:val="left"/>
        <w:rPr>
          <w:rFonts w:ascii="Arial" w:hAnsi="Arial" w:cs="Arial"/>
          <w:sz w:val="24"/>
          <w:szCs w:val="24"/>
        </w:rPr>
      </w:pPr>
      <w:r w:rsidRPr="00951B56">
        <w:rPr>
          <w:rFonts w:ascii="Arial" w:hAnsi="Arial" w:cs="Arial"/>
          <w:b/>
          <w:sz w:val="24"/>
          <w:szCs w:val="24"/>
        </w:rPr>
        <w:t xml:space="preserve">Financial net cash </w:t>
      </w:r>
      <w:r w:rsidRPr="00951B56">
        <w:rPr>
          <w:rFonts w:ascii="Arial" w:hAnsi="Arial" w:cs="Arial"/>
          <w:sz w:val="24"/>
          <w:szCs w:val="24"/>
        </w:rPr>
        <w:t>at the end of the period was £2</w:t>
      </w:r>
      <w:r>
        <w:rPr>
          <w:rFonts w:ascii="Arial" w:hAnsi="Arial" w:cs="Arial"/>
          <w:sz w:val="24"/>
          <w:szCs w:val="24"/>
        </w:rPr>
        <w:t>59</w:t>
      </w:r>
      <w:r w:rsidRPr="00951B56">
        <w:rPr>
          <w:rFonts w:ascii="Arial" w:hAnsi="Arial" w:cs="Arial"/>
          <w:sz w:val="24"/>
          <w:szCs w:val="24"/>
        </w:rPr>
        <w:t xml:space="preserve"> million (2 February 2013: £38 million; 28 July 2012: £29 million). The Group maintains a strong investment grade credit rating with two of the three rating agencies of BBB. The third agency remains at BBB- stable outlook. The Group has a </w:t>
      </w:r>
      <w:r>
        <w:rPr>
          <w:rFonts w:ascii="Arial" w:hAnsi="Arial" w:cs="Arial"/>
          <w:sz w:val="24"/>
          <w:szCs w:val="24"/>
        </w:rPr>
        <w:t>£</w:t>
      </w:r>
      <w:r w:rsidRPr="00951B56">
        <w:rPr>
          <w:rFonts w:ascii="Arial" w:hAnsi="Arial" w:cs="Arial"/>
          <w:sz w:val="24"/>
          <w:szCs w:val="24"/>
        </w:rPr>
        <w:t>200 million committed facility that expires in 2016 and was undrawn at 3 August 2013. Having repaid £</w:t>
      </w:r>
      <w:r>
        <w:rPr>
          <w:rFonts w:ascii="Arial" w:hAnsi="Arial" w:cs="Arial"/>
          <w:sz w:val="24"/>
          <w:szCs w:val="24"/>
        </w:rPr>
        <w:t xml:space="preserve">33 </w:t>
      </w:r>
      <w:r w:rsidRPr="00951B56">
        <w:rPr>
          <w:rFonts w:ascii="Arial" w:hAnsi="Arial" w:cs="Arial"/>
          <w:sz w:val="24"/>
          <w:szCs w:val="24"/>
        </w:rPr>
        <w:t>m</w:t>
      </w:r>
      <w:r>
        <w:rPr>
          <w:rFonts w:ascii="Arial" w:hAnsi="Arial" w:cs="Arial"/>
          <w:sz w:val="24"/>
          <w:szCs w:val="24"/>
        </w:rPr>
        <w:t>illion</w:t>
      </w:r>
      <w:r w:rsidRPr="00951B56">
        <w:rPr>
          <w:rFonts w:ascii="Arial" w:hAnsi="Arial" w:cs="Arial"/>
          <w:sz w:val="24"/>
          <w:szCs w:val="24"/>
        </w:rPr>
        <w:t xml:space="preserve"> of the USPPs in May 2013, the next significant debt maturity is in December 2014 when the Group is required to repay MTNs with a notional value of £73 million.</w:t>
      </w:r>
    </w:p>
    <w:p w:rsidR="009A4C77" w:rsidRDefault="009A4C77" w:rsidP="009A4C77">
      <w:pPr>
        <w:ind w:right="-368"/>
        <w:jc w:val="left"/>
        <w:rPr>
          <w:rFonts w:ascii="Arial" w:hAnsi="Arial" w:cs="Arial"/>
          <w:sz w:val="24"/>
          <w:szCs w:val="24"/>
          <w:u w:val="single"/>
        </w:rPr>
      </w:pPr>
      <w:r w:rsidRPr="00153546">
        <w:rPr>
          <w:rFonts w:ascii="Arial" w:hAnsi="Arial" w:cs="Arial"/>
          <w:sz w:val="24"/>
          <w:szCs w:val="24"/>
        </w:rPr>
        <w:t xml:space="preserve">The maturity profile of Kingfisher’s debt is illustrated at: </w:t>
      </w:r>
      <w:hyperlink r:id="rId11" w:history="1">
        <w:r w:rsidRPr="0087734A">
          <w:rPr>
            <w:rStyle w:val="Hyperlink"/>
            <w:rFonts w:ascii="Arial" w:hAnsi="Arial" w:cs="Arial"/>
            <w:sz w:val="24"/>
            <w:szCs w:val="24"/>
          </w:rPr>
          <w:t>www.kingfisher.com/index.asp?pageid=76</w:t>
        </w:r>
      </w:hyperlink>
    </w:p>
    <w:p w:rsidR="009A4C77" w:rsidRDefault="009A4C77" w:rsidP="009A4C77">
      <w:pPr>
        <w:ind w:right="-368"/>
        <w:jc w:val="left"/>
        <w:rPr>
          <w:rFonts w:ascii="Arial" w:hAnsi="Arial" w:cs="Arial"/>
          <w:sz w:val="24"/>
          <w:szCs w:val="24"/>
          <w:u w:val="single"/>
        </w:rPr>
      </w:pPr>
    </w:p>
    <w:p w:rsidR="009A4C77" w:rsidRDefault="009A4C77" w:rsidP="009A4C77">
      <w:pPr>
        <w:ind w:right="-368"/>
        <w:jc w:val="left"/>
        <w:rPr>
          <w:rFonts w:ascii="Arial" w:hAnsi="Arial" w:cs="Arial"/>
          <w:sz w:val="24"/>
          <w:szCs w:val="24"/>
        </w:rPr>
      </w:pPr>
      <w:r>
        <w:rPr>
          <w:rFonts w:ascii="Arial" w:hAnsi="Arial" w:cs="Arial"/>
          <w:sz w:val="24"/>
          <w:szCs w:val="24"/>
        </w:rPr>
        <w:t>T</w:t>
      </w:r>
      <w:r w:rsidRPr="00126D73">
        <w:rPr>
          <w:rFonts w:ascii="Arial" w:hAnsi="Arial" w:cs="Arial"/>
          <w:sz w:val="24"/>
          <w:szCs w:val="24"/>
        </w:rPr>
        <w:t xml:space="preserve">he Group’s overall leverage is more significant when including capitalised lease debt that in accordance with accounting regulations does not appear on the balance sheet. The ratio of the </w:t>
      </w:r>
      <w:r>
        <w:rPr>
          <w:rFonts w:ascii="Arial" w:hAnsi="Arial" w:cs="Arial"/>
          <w:sz w:val="24"/>
          <w:szCs w:val="24"/>
        </w:rPr>
        <w:t>G</w:t>
      </w:r>
      <w:r w:rsidRPr="00126D73">
        <w:rPr>
          <w:rFonts w:ascii="Arial" w:hAnsi="Arial" w:cs="Arial"/>
          <w:sz w:val="24"/>
          <w:szCs w:val="24"/>
        </w:rPr>
        <w:t>roup</w:t>
      </w:r>
      <w:r>
        <w:rPr>
          <w:rFonts w:ascii="Arial" w:hAnsi="Arial" w:cs="Arial"/>
          <w:sz w:val="24"/>
          <w:szCs w:val="24"/>
        </w:rPr>
        <w:t>’</w:t>
      </w:r>
      <w:r w:rsidRPr="00126D73">
        <w:rPr>
          <w:rFonts w:ascii="Arial" w:hAnsi="Arial" w:cs="Arial"/>
          <w:sz w:val="24"/>
          <w:szCs w:val="24"/>
        </w:rPr>
        <w:t>s lease adjusted net debt (capitalising leases at 8 times annual rent) to adjusted EBITDAR</w:t>
      </w:r>
      <w:r>
        <w:rPr>
          <w:rFonts w:ascii="Arial" w:hAnsi="Arial" w:cs="Arial"/>
          <w:sz w:val="24"/>
          <w:szCs w:val="24"/>
        </w:rPr>
        <w:t xml:space="preserve"> on a moving annual total basis</w:t>
      </w:r>
      <w:r w:rsidRPr="00126D73">
        <w:rPr>
          <w:rFonts w:ascii="Arial" w:hAnsi="Arial" w:cs="Arial"/>
          <w:sz w:val="24"/>
          <w:szCs w:val="24"/>
        </w:rPr>
        <w:t xml:space="preserve"> is 2.3 times as at </w:t>
      </w:r>
      <w:r>
        <w:rPr>
          <w:rFonts w:ascii="Arial" w:hAnsi="Arial" w:cs="Arial"/>
          <w:sz w:val="24"/>
          <w:szCs w:val="24"/>
        </w:rPr>
        <w:t>3 August 2013</w:t>
      </w:r>
      <w:r w:rsidRPr="00126D73">
        <w:rPr>
          <w:rFonts w:ascii="Arial" w:hAnsi="Arial" w:cs="Arial"/>
          <w:sz w:val="24"/>
          <w:szCs w:val="24"/>
        </w:rPr>
        <w:t>. This level is broadly consistent with a BBB flat credit rating. At this level the Group has financial flexibility whilst retaining an efficient cost of capital.</w:t>
      </w:r>
    </w:p>
    <w:p w:rsidR="009A4C77" w:rsidRDefault="009A4C77" w:rsidP="009A4C77">
      <w:pPr>
        <w:ind w:right="-368"/>
        <w:jc w:val="left"/>
        <w:rPr>
          <w:rFonts w:ascii="Arial" w:hAnsi="Arial" w:cs="Arial"/>
          <w:sz w:val="24"/>
          <w:szCs w:val="24"/>
        </w:rPr>
      </w:pPr>
    </w:p>
    <w:p w:rsidR="009A4C77" w:rsidRDefault="009A4C77" w:rsidP="009A4C77">
      <w:pPr>
        <w:ind w:right="-368"/>
        <w:jc w:val="left"/>
        <w:rPr>
          <w:rFonts w:ascii="Arial" w:hAnsi="Arial" w:cs="Arial"/>
          <w:sz w:val="24"/>
          <w:szCs w:val="24"/>
        </w:rPr>
      </w:pPr>
      <w:r>
        <w:rPr>
          <w:rFonts w:ascii="Arial" w:hAnsi="Arial" w:cs="Arial"/>
          <w:sz w:val="24"/>
          <w:szCs w:val="24"/>
        </w:rPr>
        <w:t xml:space="preserve">A reconciliation of lease adjusted net debt to </w:t>
      </w:r>
      <w:r w:rsidR="009D6976">
        <w:rPr>
          <w:rFonts w:ascii="Arial" w:hAnsi="Arial" w:cs="Arial"/>
          <w:sz w:val="24"/>
          <w:szCs w:val="24"/>
        </w:rPr>
        <w:t xml:space="preserve">adjusted </w:t>
      </w:r>
      <w:r>
        <w:rPr>
          <w:rFonts w:ascii="Arial" w:hAnsi="Arial" w:cs="Arial"/>
          <w:sz w:val="24"/>
          <w:szCs w:val="24"/>
        </w:rPr>
        <w:t>EBITDAR</w:t>
      </w:r>
      <w:r w:rsidR="009D6976">
        <w:rPr>
          <w:rFonts w:ascii="Arial" w:hAnsi="Arial" w:cs="Arial"/>
          <w:sz w:val="24"/>
          <w:szCs w:val="24"/>
        </w:rPr>
        <w:t xml:space="preserve"> on a moving annual total basis</w:t>
      </w:r>
      <w:r>
        <w:rPr>
          <w:rFonts w:ascii="Arial" w:hAnsi="Arial" w:cs="Arial"/>
          <w:sz w:val="24"/>
          <w:szCs w:val="24"/>
        </w:rPr>
        <w:t xml:space="preserve"> is set out below:</w:t>
      </w:r>
    </w:p>
    <w:p w:rsidR="009A4C77" w:rsidRDefault="009A4C77" w:rsidP="009A4C77">
      <w:pPr>
        <w:ind w:right="-368"/>
        <w:jc w:val="left"/>
        <w:rPr>
          <w:rFonts w:ascii="Arial" w:hAnsi="Arial" w:cs="Arial"/>
          <w:sz w:val="24"/>
          <w:szCs w:val="24"/>
        </w:rPr>
      </w:pPr>
    </w:p>
    <w:tbl>
      <w:tblPr>
        <w:tblStyle w:val="TableGrid"/>
        <w:tblW w:w="9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916"/>
        <w:gridCol w:w="1417"/>
        <w:gridCol w:w="2267"/>
      </w:tblGrid>
      <w:tr w:rsidR="009D6976" w:rsidTr="009D6976">
        <w:trPr>
          <w:trHeight w:val="516"/>
        </w:trPr>
        <w:tc>
          <w:tcPr>
            <w:tcW w:w="5920" w:type="dxa"/>
            <w:tcBorders>
              <w:top w:val="nil"/>
              <w:left w:val="nil"/>
              <w:bottom w:val="single" w:sz="4" w:space="0" w:color="auto"/>
              <w:right w:val="nil"/>
            </w:tcBorders>
          </w:tcPr>
          <w:p w:rsidR="009D6976" w:rsidRDefault="009D6976">
            <w:pPr>
              <w:jc w:val="left"/>
              <w:rPr>
                <w:rFonts w:ascii="Arial" w:hAnsi="Arial" w:cs="Arial"/>
                <w:b/>
                <w:sz w:val="24"/>
                <w:szCs w:val="24"/>
              </w:rPr>
            </w:pPr>
          </w:p>
        </w:tc>
        <w:tc>
          <w:tcPr>
            <w:tcW w:w="3686" w:type="dxa"/>
            <w:gridSpan w:val="2"/>
            <w:tcBorders>
              <w:top w:val="nil"/>
              <w:left w:val="nil"/>
              <w:bottom w:val="single" w:sz="4" w:space="0" w:color="auto"/>
              <w:right w:val="nil"/>
            </w:tcBorders>
            <w:hideMark/>
          </w:tcPr>
          <w:p w:rsidR="009D6976" w:rsidRDefault="009D6976">
            <w:pPr>
              <w:jc w:val="right"/>
              <w:rPr>
                <w:rFonts w:ascii="Arial" w:hAnsi="Arial" w:cs="Arial"/>
                <w:b/>
                <w:sz w:val="24"/>
                <w:szCs w:val="24"/>
              </w:rPr>
            </w:pPr>
            <w:r>
              <w:rPr>
                <w:rFonts w:ascii="Arial" w:hAnsi="Arial" w:cs="Arial"/>
                <w:b/>
                <w:sz w:val="24"/>
                <w:szCs w:val="24"/>
              </w:rPr>
              <w:t>2013/14</w:t>
            </w:r>
          </w:p>
          <w:p w:rsidR="009D6976" w:rsidRDefault="009D6976">
            <w:pPr>
              <w:jc w:val="right"/>
              <w:rPr>
                <w:rFonts w:ascii="Arial" w:hAnsi="Arial" w:cs="Arial"/>
                <w:b/>
                <w:sz w:val="24"/>
                <w:szCs w:val="24"/>
              </w:rPr>
            </w:pPr>
            <w:r>
              <w:rPr>
                <w:rFonts w:ascii="Arial" w:hAnsi="Arial" w:cs="Arial"/>
                <w:b/>
                <w:sz w:val="24"/>
                <w:szCs w:val="24"/>
              </w:rPr>
              <w:t>£m</w:t>
            </w:r>
          </w:p>
        </w:tc>
      </w:tr>
      <w:tr w:rsidR="009D6976" w:rsidTr="009D6976">
        <w:tc>
          <w:tcPr>
            <w:tcW w:w="5920" w:type="dxa"/>
            <w:tcBorders>
              <w:top w:val="single" w:sz="4" w:space="0" w:color="auto"/>
              <w:left w:val="nil"/>
              <w:bottom w:val="nil"/>
              <w:right w:val="nil"/>
            </w:tcBorders>
            <w:hideMark/>
          </w:tcPr>
          <w:p w:rsidR="009D6976" w:rsidRDefault="009D6976">
            <w:pPr>
              <w:jc w:val="left"/>
              <w:rPr>
                <w:rFonts w:ascii="Arial" w:hAnsi="Arial" w:cs="Arial"/>
                <w:sz w:val="24"/>
                <w:szCs w:val="24"/>
              </w:rPr>
            </w:pPr>
            <w:r>
              <w:rPr>
                <w:rFonts w:ascii="Arial" w:hAnsi="Arial" w:cs="Arial"/>
                <w:sz w:val="24"/>
                <w:szCs w:val="24"/>
              </w:rPr>
              <w:t>EBITDA</w:t>
            </w:r>
            <w:r>
              <w:rPr>
                <w:rFonts w:ascii="Arial" w:hAnsi="Arial" w:cs="Arial"/>
                <w:i/>
                <w:sz w:val="24"/>
                <w:szCs w:val="24"/>
                <w:vertAlign w:val="superscript"/>
              </w:rPr>
              <w:t>(1)</w:t>
            </w:r>
          </w:p>
        </w:tc>
        <w:tc>
          <w:tcPr>
            <w:tcW w:w="1418" w:type="dxa"/>
            <w:tcBorders>
              <w:top w:val="single" w:sz="4" w:space="0" w:color="auto"/>
              <w:left w:val="nil"/>
              <w:bottom w:val="nil"/>
              <w:right w:val="nil"/>
            </w:tcBorders>
            <w:hideMark/>
          </w:tcPr>
          <w:p w:rsidR="009D6976" w:rsidRDefault="009D6976">
            <w:pPr>
              <w:jc w:val="right"/>
              <w:rPr>
                <w:rFonts w:ascii="Arial" w:hAnsi="Arial" w:cs="Arial"/>
                <w:sz w:val="24"/>
                <w:szCs w:val="24"/>
              </w:rPr>
            </w:pPr>
            <w:r>
              <w:rPr>
                <w:rFonts w:ascii="Arial" w:hAnsi="Arial" w:cs="Arial"/>
                <w:sz w:val="24"/>
                <w:szCs w:val="24"/>
              </w:rPr>
              <w:t>987</w:t>
            </w:r>
          </w:p>
        </w:tc>
        <w:tc>
          <w:tcPr>
            <w:tcW w:w="2268" w:type="dxa"/>
            <w:tcBorders>
              <w:top w:val="single" w:sz="4" w:space="0" w:color="auto"/>
              <w:left w:val="nil"/>
              <w:bottom w:val="nil"/>
              <w:right w:val="nil"/>
            </w:tcBorders>
          </w:tcPr>
          <w:p w:rsidR="009D6976" w:rsidRDefault="009D6976">
            <w:pPr>
              <w:jc w:val="right"/>
              <w:rPr>
                <w:rFonts w:ascii="Arial" w:hAnsi="Arial" w:cs="Arial"/>
                <w:sz w:val="24"/>
                <w:szCs w:val="24"/>
              </w:rPr>
            </w:pPr>
          </w:p>
        </w:tc>
      </w:tr>
      <w:tr w:rsidR="009D6976" w:rsidTr="00C21DBE">
        <w:tc>
          <w:tcPr>
            <w:tcW w:w="5920" w:type="dxa"/>
            <w:tcBorders>
              <w:bottom w:val="single" w:sz="4" w:space="0" w:color="auto"/>
            </w:tcBorders>
            <w:hideMark/>
          </w:tcPr>
          <w:p w:rsidR="009D6976" w:rsidRDefault="009D6976">
            <w:pPr>
              <w:jc w:val="left"/>
              <w:rPr>
                <w:rFonts w:ascii="Arial" w:hAnsi="Arial" w:cs="Arial"/>
                <w:sz w:val="24"/>
                <w:szCs w:val="24"/>
              </w:rPr>
            </w:pPr>
            <w:r>
              <w:rPr>
                <w:rFonts w:ascii="Arial" w:hAnsi="Arial" w:cs="Arial"/>
                <w:sz w:val="24"/>
                <w:szCs w:val="24"/>
              </w:rPr>
              <w:t>Property operating lease rentals</w:t>
            </w:r>
          </w:p>
        </w:tc>
        <w:tc>
          <w:tcPr>
            <w:tcW w:w="1418" w:type="dxa"/>
            <w:tcBorders>
              <w:bottom w:val="single" w:sz="4" w:space="0" w:color="auto"/>
            </w:tcBorders>
            <w:hideMark/>
          </w:tcPr>
          <w:p w:rsidR="009D6976" w:rsidRDefault="009D6976">
            <w:pPr>
              <w:jc w:val="right"/>
              <w:rPr>
                <w:rFonts w:ascii="Arial" w:hAnsi="Arial" w:cs="Arial"/>
                <w:sz w:val="24"/>
                <w:szCs w:val="24"/>
              </w:rPr>
            </w:pPr>
            <w:r>
              <w:rPr>
                <w:rFonts w:ascii="Arial" w:hAnsi="Arial" w:cs="Arial"/>
                <w:sz w:val="24"/>
                <w:szCs w:val="24"/>
              </w:rPr>
              <w:t>442</w:t>
            </w:r>
          </w:p>
        </w:tc>
        <w:tc>
          <w:tcPr>
            <w:tcW w:w="2268" w:type="dxa"/>
            <w:tcBorders>
              <w:top w:val="nil"/>
              <w:left w:val="nil"/>
              <w:bottom w:val="single" w:sz="4" w:space="0" w:color="auto"/>
              <w:right w:val="nil"/>
            </w:tcBorders>
          </w:tcPr>
          <w:p w:rsidR="009D6976" w:rsidRDefault="009D6976">
            <w:pPr>
              <w:jc w:val="right"/>
              <w:rPr>
                <w:rFonts w:ascii="Arial" w:hAnsi="Arial" w:cs="Arial"/>
                <w:sz w:val="24"/>
                <w:szCs w:val="24"/>
              </w:rPr>
            </w:pPr>
          </w:p>
        </w:tc>
      </w:tr>
      <w:tr w:rsidR="009D6976" w:rsidTr="00C21DBE">
        <w:tc>
          <w:tcPr>
            <w:tcW w:w="5920" w:type="dxa"/>
            <w:tcBorders>
              <w:top w:val="single" w:sz="4" w:space="0" w:color="auto"/>
              <w:bottom w:val="single" w:sz="4" w:space="0" w:color="auto"/>
            </w:tcBorders>
            <w:hideMark/>
          </w:tcPr>
          <w:p w:rsidR="009D6976" w:rsidRDefault="009D6976">
            <w:pPr>
              <w:jc w:val="left"/>
              <w:rPr>
                <w:rFonts w:ascii="Arial" w:hAnsi="Arial" w:cs="Arial"/>
                <w:b/>
                <w:sz w:val="24"/>
                <w:szCs w:val="24"/>
              </w:rPr>
            </w:pPr>
            <w:r>
              <w:rPr>
                <w:rFonts w:ascii="Arial" w:hAnsi="Arial" w:cs="Arial"/>
                <w:b/>
                <w:sz w:val="24"/>
                <w:szCs w:val="24"/>
              </w:rPr>
              <w:t>Adjusted EBITDAR (moving annual total)</w:t>
            </w:r>
          </w:p>
        </w:tc>
        <w:tc>
          <w:tcPr>
            <w:tcW w:w="1418" w:type="dxa"/>
            <w:tcBorders>
              <w:top w:val="single" w:sz="4" w:space="0" w:color="auto"/>
              <w:bottom w:val="single" w:sz="4" w:space="0" w:color="auto"/>
            </w:tcBorders>
          </w:tcPr>
          <w:p w:rsidR="009D6976" w:rsidRDefault="009D6976">
            <w:pPr>
              <w:jc w:val="right"/>
              <w:rPr>
                <w:rFonts w:ascii="Arial" w:hAnsi="Arial" w:cs="Arial"/>
                <w:sz w:val="24"/>
                <w:szCs w:val="24"/>
              </w:rPr>
            </w:pPr>
          </w:p>
        </w:tc>
        <w:tc>
          <w:tcPr>
            <w:tcW w:w="2268" w:type="dxa"/>
            <w:tcBorders>
              <w:top w:val="single" w:sz="4" w:space="0" w:color="auto"/>
              <w:left w:val="nil"/>
              <w:bottom w:val="single" w:sz="4" w:space="0" w:color="auto"/>
              <w:right w:val="nil"/>
            </w:tcBorders>
            <w:hideMark/>
          </w:tcPr>
          <w:p w:rsidR="009D6976" w:rsidRDefault="009D6976">
            <w:pPr>
              <w:jc w:val="right"/>
              <w:rPr>
                <w:rFonts w:ascii="Arial" w:hAnsi="Arial" w:cs="Arial"/>
                <w:b/>
                <w:sz w:val="24"/>
                <w:szCs w:val="24"/>
              </w:rPr>
            </w:pPr>
            <w:r>
              <w:rPr>
                <w:rFonts w:ascii="Arial" w:hAnsi="Arial" w:cs="Arial"/>
                <w:b/>
                <w:sz w:val="24"/>
                <w:szCs w:val="24"/>
              </w:rPr>
              <w:t>1,429</w:t>
            </w:r>
          </w:p>
        </w:tc>
      </w:tr>
      <w:tr w:rsidR="009D6976" w:rsidTr="00C21DBE">
        <w:tc>
          <w:tcPr>
            <w:tcW w:w="5920" w:type="dxa"/>
            <w:tcBorders>
              <w:top w:val="single" w:sz="4" w:space="0" w:color="auto"/>
            </w:tcBorders>
            <w:hideMark/>
          </w:tcPr>
          <w:p w:rsidR="009D6976" w:rsidRDefault="00AF430F">
            <w:pPr>
              <w:jc w:val="left"/>
              <w:rPr>
                <w:rFonts w:ascii="Arial" w:hAnsi="Arial" w:cs="Arial"/>
                <w:sz w:val="24"/>
                <w:szCs w:val="24"/>
              </w:rPr>
            </w:pPr>
            <w:r>
              <w:rPr>
                <w:rFonts w:ascii="Arial" w:hAnsi="Arial" w:cs="Arial"/>
                <w:sz w:val="24"/>
                <w:szCs w:val="24"/>
              </w:rPr>
              <w:t>N</w:t>
            </w:r>
            <w:r w:rsidR="009D6976">
              <w:rPr>
                <w:rFonts w:ascii="Arial" w:hAnsi="Arial" w:cs="Arial"/>
                <w:sz w:val="24"/>
                <w:szCs w:val="24"/>
              </w:rPr>
              <w:t>et cash</w:t>
            </w:r>
          </w:p>
        </w:tc>
        <w:tc>
          <w:tcPr>
            <w:tcW w:w="1418" w:type="dxa"/>
            <w:tcBorders>
              <w:top w:val="single" w:sz="4" w:space="0" w:color="auto"/>
            </w:tcBorders>
            <w:hideMark/>
          </w:tcPr>
          <w:p w:rsidR="009D6976" w:rsidRDefault="009D6976">
            <w:pPr>
              <w:jc w:val="right"/>
              <w:rPr>
                <w:rFonts w:ascii="Arial" w:hAnsi="Arial" w:cs="Arial"/>
                <w:sz w:val="24"/>
                <w:szCs w:val="24"/>
                <w:lang w:val="fr-FR"/>
              </w:rPr>
            </w:pPr>
            <w:r>
              <w:rPr>
                <w:rFonts w:ascii="Arial" w:hAnsi="Arial" w:cs="Arial"/>
                <w:sz w:val="24"/>
                <w:szCs w:val="24"/>
                <w:lang w:val="fr-FR"/>
              </w:rPr>
              <w:t>(259)</w:t>
            </w:r>
          </w:p>
        </w:tc>
        <w:tc>
          <w:tcPr>
            <w:tcW w:w="2268" w:type="dxa"/>
            <w:tcBorders>
              <w:top w:val="single" w:sz="4" w:space="0" w:color="auto"/>
            </w:tcBorders>
          </w:tcPr>
          <w:p w:rsidR="009D6976" w:rsidRDefault="009D6976">
            <w:pPr>
              <w:jc w:val="right"/>
              <w:rPr>
                <w:rFonts w:ascii="Arial" w:hAnsi="Arial" w:cs="Arial"/>
                <w:sz w:val="24"/>
                <w:szCs w:val="24"/>
                <w:lang w:val="fr-FR"/>
              </w:rPr>
            </w:pPr>
          </w:p>
        </w:tc>
      </w:tr>
      <w:tr w:rsidR="009D6976" w:rsidTr="009D6976">
        <w:tc>
          <w:tcPr>
            <w:tcW w:w="5920" w:type="dxa"/>
            <w:hideMark/>
          </w:tcPr>
          <w:p w:rsidR="009D6976" w:rsidRDefault="009D6976">
            <w:pPr>
              <w:jc w:val="left"/>
              <w:rPr>
                <w:rFonts w:ascii="Arial" w:hAnsi="Arial" w:cs="Arial"/>
                <w:sz w:val="24"/>
                <w:szCs w:val="24"/>
              </w:rPr>
            </w:pPr>
            <w:r>
              <w:rPr>
                <w:rFonts w:ascii="Arial" w:hAnsi="Arial" w:cs="Arial"/>
                <w:sz w:val="24"/>
                <w:szCs w:val="24"/>
              </w:rPr>
              <w:t xml:space="preserve">Pension position </w:t>
            </w:r>
          </w:p>
        </w:tc>
        <w:tc>
          <w:tcPr>
            <w:tcW w:w="1418" w:type="dxa"/>
            <w:hideMark/>
          </w:tcPr>
          <w:p w:rsidR="009D6976" w:rsidRDefault="009D6976">
            <w:pPr>
              <w:jc w:val="right"/>
              <w:rPr>
                <w:rFonts w:ascii="Arial" w:hAnsi="Arial" w:cs="Arial"/>
                <w:sz w:val="24"/>
                <w:szCs w:val="24"/>
              </w:rPr>
            </w:pPr>
            <w:r>
              <w:rPr>
                <w:rFonts w:ascii="Arial" w:hAnsi="Arial" w:cs="Arial"/>
                <w:sz w:val="24"/>
                <w:szCs w:val="24"/>
              </w:rPr>
              <w:t>6</w:t>
            </w:r>
          </w:p>
        </w:tc>
        <w:tc>
          <w:tcPr>
            <w:tcW w:w="2268" w:type="dxa"/>
          </w:tcPr>
          <w:p w:rsidR="009D6976" w:rsidRDefault="009D6976">
            <w:pPr>
              <w:jc w:val="right"/>
              <w:rPr>
                <w:rFonts w:ascii="Arial" w:hAnsi="Arial" w:cs="Arial"/>
                <w:sz w:val="24"/>
                <w:szCs w:val="24"/>
              </w:rPr>
            </w:pPr>
          </w:p>
        </w:tc>
      </w:tr>
      <w:tr w:rsidR="009D6976" w:rsidTr="00C21DBE">
        <w:tc>
          <w:tcPr>
            <w:tcW w:w="5920" w:type="dxa"/>
            <w:tcBorders>
              <w:bottom w:val="single" w:sz="4" w:space="0" w:color="auto"/>
            </w:tcBorders>
            <w:hideMark/>
          </w:tcPr>
          <w:p w:rsidR="009D6976" w:rsidRDefault="009D6976">
            <w:pPr>
              <w:jc w:val="left"/>
              <w:rPr>
                <w:rFonts w:ascii="Arial" w:hAnsi="Arial" w:cs="Arial"/>
                <w:sz w:val="24"/>
                <w:szCs w:val="24"/>
              </w:rPr>
            </w:pPr>
            <w:r>
              <w:rPr>
                <w:rFonts w:ascii="Arial" w:hAnsi="Arial" w:cs="Arial"/>
                <w:sz w:val="24"/>
                <w:szCs w:val="24"/>
              </w:rPr>
              <w:t>Property operating lease rentals (8x)</w:t>
            </w:r>
            <w:r>
              <w:rPr>
                <w:rFonts w:ascii="Arial" w:hAnsi="Arial" w:cs="Arial"/>
                <w:i/>
                <w:sz w:val="24"/>
                <w:szCs w:val="24"/>
                <w:vertAlign w:val="superscript"/>
              </w:rPr>
              <w:t>(2)</w:t>
            </w:r>
          </w:p>
        </w:tc>
        <w:tc>
          <w:tcPr>
            <w:tcW w:w="1418" w:type="dxa"/>
            <w:tcBorders>
              <w:bottom w:val="single" w:sz="4" w:space="0" w:color="auto"/>
            </w:tcBorders>
            <w:hideMark/>
          </w:tcPr>
          <w:p w:rsidR="009D6976" w:rsidRDefault="009D6976">
            <w:pPr>
              <w:jc w:val="right"/>
              <w:rPr>
                <w:rFonts w:ascii="Arial" w:hAnsi="Arial" w:cs="Arial"/>
                <w:sz w:val="24"/>
                <w:szCs w:val="24"/>
              </w:rPr>
            </w:pPr>
            <w:r>
              <w:rPr>
                <w:rFonts w:ascii="Arial" w:hAnsi="Arial" w:cs="Arial"/>
                <w:sz w:val="24"/>
                <w:szCs w:val="24"/>
              </w:rPr>
              <w:t>3,536</w:t>
            </w:r>
          </w:p>
        </w:tc>
        <w:tc>
          <w:tcPr>
            <w:tcW w:w="2268" w:type="dxa"/>
            <w:tcBorders>
              <w:top w:val="nil"/>
              <w:left w:val="nil"/>
              <w:bottom w:val="single" w:sz="4" w:space="0" w:color="auto"/>
              <w:right w:val="nil"/>
            </w:tcBorders>
          </w:tcPr>
          <w:p w:rsidR="009D6976" w:rsidRDefault="009D6976">
            <w:pPr>
              <w:jc w:val="right"/>
              <w:rPr>
                <w:rFonts w:ascii="Arial" w:hAnsi="Arial" w:cs="Arial"/>
                <w:sz w:val="24"/>
                <w:szCs w:val="24"/>
              </w:rPr>
            </w:pPr>
          </w:p>
        </w:tc>
      </w:tr>
      <w:tr w:rsidR="009D6976" w:rsidTr="00C21DBE">
        <w:tc>
          <w:tcPr>
            <w:tcW w:w="5920" w:type="dxa"/>
            <w:tcBorders>
              <w:top w:val="single" w:sz="4" w:space="0" w:color="auto"/>
              <w:left w:val="nil"/>
              <w:bottom w:val="single" w:sz="4" w:space="0" w:color="auto"/>
              <w:right w:val="nil"/>
            </w:tcBorders>
            <w:hideMark/>
          </w:tcPr>
          <w:p w:rsidR="009D6976" w:rsidRDefault="009D6976">
            <w:pPr>
              <w:jc w:val="left"/>
              <w:rPr>
                <w:rFonts w:ascii="Arial" w:hAnsi="Arial" w:cs="Arial"/>
                <w:b/>
                <w:sz w:val="24"/>
                <w:szCs w:val="24"/>
              </w:rPr>
            </w:pPr>
            <w:r>
              <w:rPr>
                <w:rFonts w:ascii="Arial" w:hAnsi="Arial" w:cs="Arial"/>
                <w:b/>
                <w:sz w:val="24"/>
                <w:szCs w:val="24"/>
              </w:rPr>
              <w:t xml:space="preserve">Lease adjusted net debt </w:t>
            </w:r>
          </w:p>
        </w:tc>
        <w:tc>
          <w:tcPr>
            <w:tcW w:w="1418" w:type="dxa"/>
            <w:tcBorders>
              <w:top w:val="single" w:sz="4" w:space="0" w:color="auto"/>
              <w:left w:val="nil"/>
              <w:bottom w:val="single" w:sz="4" w:space="0" w:color="auto"/>
              <w:right w:val="nil"/>
            </w:tcBorders>
          </w:tcPr>
          <w:p w:rsidR="009D6976" w:rsidRDefault="009D6976">
            <w:pPr>
              <w:jc w:val="right"/>
              <w:rPr>
                <w:rFonts w:ascii="Arial" w:hAnsi="Arial" w:cs="Arial"/>
                <w:sz w:val="24"/>
                <w:szCs w:val="24"/>
              </w:rPr>
            </w:pPr>
          </w:p>
        </w:tc>
        <w:tc>
          <w:tcPr>
            <w:tcW w:w="2268" w:type="dxa"/>
            <w:tcBorders>
              <w:top w:val="single" w:sz="4" w:space="0" w:color="auto"/>
              <w:left w:val="nil"/>
              <w:bottom w:val="single" w:sz="4" w:space="0" w:color="auto"/>
              <w:right w:val="nil"/>
            </w:tcBorders>
            <w:hideMark/>
          </w:tcPr>
          <w:p w:rsidR="009D6976" w:rsidRDefault="009D6976">
            <w:pPr>
              <w:jc w:val="right"/>
              <w:rPr>
                <w:rFonts w:ascii="Arial" w:hAnsi="Arial" w:cs="Arial"/>
                <w:b/>
                <w:sz w:val="24"/>
                <w:szCs w:val="24"/>
              </w:rPr>
            </w:pPr>
            <w:r>
              <w:rPr>
                <w:rFonts w:ascii="Arial" w:hAnsi="Arial" w:cs="Arial"/>
                <w:b/>
                <w:sz w:val="24"/>
                <w:szCs w:val="24"/>
              </w:rPr>
              <w:t>3,283</w:t>
            </w:r>
          </w:p>
        </w:tc>
      </w:tr>
      <w:tr w:rsidR="009D6976" w:rsidTr="009D6976">
        <w:tc>
          <w:tcPr>
            <w:tcW w:w="5920" w:type="dxa"/>
            <w:tcBorders>
              <w:top w:val="nil"/>
              <w:left w:val="nil"/>
              <w:bottom w:val="single" w:sz="4" w:space="0" w:color="auto"/>
              <w:right w:val="nil"/>
            </w:tcBorders>
            <w:hideMark/>
          </w:tcPr>
          <w:p w:rsidR="009D6976" w:rsidRDefault="009D6976">
            <w:pPr>
              <w:jc w:val="left"/>
              <w:rPr>
                <w:rFonts w:ascii="Arial" w:hAnsi="Arial" w:cs="Arial"/>
                <w:b/>
                <w:sz w:val="24"/>
                <w:szCs w:val="24"/>
              </w:rPr>
            </w:pPr>
            <w:r>
              <w:rPr>
                <w:rFonts w:ascii="Arial" w:hAnsi="Arial" w:cs="Arial"/>
                <w:b/>
                <w:sz w:val="24"/>
                <w:szCs w:val="24"/>
              </w:rPr>
              <w:t>Lease adjusted net debt to adjusted EBITDAR</w:t>
            </w:r>
          </w:p>
        </w:tc>
        <w:tc>
          <w:tcPr>
            <w:tcW w:w="1418" w:type="dxa"/>
            <w:tcBorders>
              <w:top w:val="nil"/>
              <w:left w:val="nil"/>
              <w:bottom w:val="single" w:sz="4" w:space="0" w:color="auto"/>
              <w:right w:val="nil"/>
            </w:tcBorders>
          </w:tcPr>
          <w:p w:rsidR="009D6976" w:rsidRDefault="009D6976">
            <w:pPr>
              <w:jc w:val="right"/>
              <w:rPr>
                <w:rFonts w:ascii="Arial" w:hAnsi="Arial" w:cs="Arial"/>
                <w:b/>
                <w:sz w:val="24"/>
                <w:szCs w:val="24"/>
              </w:rPr>
            </w:pPr>
          </w:p>
        </w:tc>
        <w:tc>
          <w:tcPr>
            <w:tcW w:w="2268" w:type="dxa"/>
            <w:tcBorders>
              <w:top w:val="nil"/>
              <w:left w:val="nil"/>
              <w:bottom w:val="single" w:sz="4" w:space="0" w:color="auto"/>
              <w:right w:val="nil"/>
            </w:tcBorders>
            <w:hideMark/>
          </w:tcPr>
          <w:p w:rsidR="009D6976" w:rsidRDefault="009D6976">
            <w:pPr>
              <w:jc w:val="right"/>
              <w:rPr>
                <w:rFonts w:ascii="Arial" w:hAnsi="Arial" w:cs="Arial"/>
                <w:b/>
                <w:sz w:val="24"/>
                <w:szCs w:val="24"/>
              </w:rPr>
            </w:pPr>
            <w:r>
              <w:rPr>
                <w:rFonts w:ascii="Arial" w:hAnsi="Arial" w:cs="Arial"/>
                <w:b/>
                <w:sz w:val="24"/>
                <w:szCs w:val="24"/>
              </w:rPr>
              <w:t>2.3x</w:t>
            </w:r>
          </w:p>
        </w:tc>
      </w:tr>
    </w:tbl>
    <w:p w:rsidR="009D6976" w:rsidRDefault="009D6976" w:rsidP="009A4C77">
      <w:pPr>
        <w:ind w:right="-368"/>
        <w:jc w:val="left"/>
        <w:rPr>
          <w:rFonts w:ascii="Arial" w:hAnsi="Arial" w:cs="Arial"/>
          <w:sz w:val="24"/>
          <w:szCs w:val="24"/>
        </w:rPr>
      </w:pPr>
    </w:p>
    <w:p w:rsidR="009A4C77" w:rsidRDefault="009D6976" w:rsidP="009A4C77">
      <w:pPr>
        <w:ind w:right="-368"/>
        <w:jc w:val="left"/>
        <w:rPr>
          <w:rFonts w:ascii="Arial" w:hAnsi="Arial" w:cs="Arial"/>
          <w:i/>
          <w:sz w:val="18"/>
          <w:szCs w:val="18"/>
        </w:rPr>
      </w:pPr>
      <w:r w:rsidRPr="00C21DBE">
        <w:rPr>
          <w:rFonts w:ascii="Arial" w:hAnsi="Arial" w:cs="Arial"/>
          <w:sz w:val="18"/>
          <w:szCs w:val="18"/>
          <w:vertAlign w:val="superscript"/>
        </w:rPr>
        <w:t>(</w:t>
      </w:r>
      <w:r w:rsidR="009A4C77" w:rsidRPr="00AC454C">
        <w:rPr>
          <w:rFonts w:ascii="Arial" w:hAnsi="Arial" w:cs="Arial"/>
          <w:i/>
          <w:sz w:val="18"/>
          <w:szCs w:val="18"/>
          <w:vertAlign w:val="superscript"/>
        </w:rPr>
        <w:t>1</w:t>
      </w:r>
      <w:r>
        <w:rPr>
          <w:rFonts w:ascii="Arial" w:hAnsi="Arial" w:cs="Arial"/>
          <w:i/>
          <w:sz w:val="18"/>
          <w:szCs w:val="18"/>
          <w:vertAlign w:val="superscript"/>
        </w:rPr>
        <w:t>)</w:t>
      </w:r>
      <w:r w:rsidR="009A4C77">
        <w:rPr>
          <w:rFonts w:ascii="Arial" w:hAnsi="Arial" w:cs="Arial"/>
          <w:i/>
          <w:sz w:val="18"/>
          <w:szCs w:val="18"/>
        </w:rPr>
        <w:t>Calculated as retail profit less central costs and before depreciation and amortisation.</w:t>
      </w:r>
    </w:p>
    <w:p w:rsidR="009A4C77" w:rsidRPr="00FB458E" w:rsidRDefault="009D6976" w:rsidP="009A4C77">
      <w:pPr>
        <w:ind w:right="-368"/>
        <w:jc w:val="left"/>
        <w:rPr>
          <w:rFonts w:ascii="Arial" w:hAnsi="Arial" w:cs="Arial"/>
          <w:i/>
          <w:sz w:val="18"/>
          <w:szCs w:val="18"/>
        </w:rPr>
      </w:pPr>
      <w:r>
        <w:rPr>
          <w:rFonts w:ascii="Arial" w:hAnsi="Arial" w:cs="Arial"/>
          <w:i/>
          <w:sz w:val="18"/>
          <w:szCs w:val="18"/>
          <w:vertAlign w:val="superscript"/>
        </w:rPr>
        <w:t>(</w:t>
      </w:r>
      <w:r w:rsidR="009A4C77">
        <w:rPr>
          <w:rFonts w:ascii="Arial" w:hAnsi="Arial" w:cs="Arial"/>
          <w:i/>
          <w:sz w:val="18"/>
          <w:szCs w:val="18"/>
          <w:vertAlign w:val="superscript"/>
        </w:rPr>
        <w:t>2</w:t>
      </w:r>
      <w:r>
        <w:rPr>
          <w:rFonts w:ascii="Arial" w:hAnsi="Arial" w:cs="Arial"/>
          <w:i/>
          <w:sz w:val="18"/>
          <w:szCs w:val="18"/>
          <w:vertAlign w:val="superscript"/>
        </w:rPr>
        <w:t>)</w:t>
      </w:r>
      <w:r w:rsidR="009A4C77">
        <w:rPr>
          <w:rFonts w:ascii="Arial" w:hAnsi="Arial" w:cs="Arial"/>
          <w:i/>
          <w:sz w:val="18"/>
          <w:szCs w:val="18"/>
        </w:rPr>
        <w:t>Kingfisher believes 8x is a reasonable industry standard for estimating the economic value of its leased assets.</w:t>
      </w:r>
    </w:p>
    <w:p w:rsidR="009A4C77" w:rsidRDefault="009A4C77" w:rsidP="009A4C77">
      <w:pPr>
        <w:ind w:right="-368"/>
        <w:jc w:val="left"/>
        <w:rPr>
          <w:rFonts w:ascii="Arial" w:hAnsi="Arial" w:cs="Arial"/>
          <w:sz w:val="24"/>
          <w:szCs w:val="24"/>
        </w:rPr>
      </w:pPr>
    </w:p>
    <w:p w:rsidR="009A4C77" w:rsidRPr="00126D73" w:rsidRDefault="009A4C77" w:rsidP="009A4C77">
      <w:pPr>
        <w:ind w:right="-368"/>
        <w:jc w:val="left"/>
        <w:rPr>
          <w:rFonts w:ascii="Arial" w:hAnsi="Arial" w:cs="Arial"/>
          <w:sz w:val="24"/>
          <w:szCs w:val="24"/>
        </w:rPr>
      </w:pPr>
      <w:r>
        <w:rPr>
          <w:rFonts w:ascii="Arial" w:hAnsi="Arial" w:cs="Arial"/>
          <w:sz w:val="24"/>
          <w:szCs w:val="24"/>
        </w:rPr>
        <w:t xml:space="preserve">As highlighted at the year end, </w:t>
      </w:r>
      <w:r w:rsidR="005D7C68">
        <w:rPr>
          <w:rFonts w:ascii="Arial" w:hAnsi="Arial" w:cs="Arial"/>
          <w:sz w:val="24"/>
          <w:szCs w:val="24"/>
        </w:rPr>
        <w:t>the Group</w:t>
      </w:r>
      <w:r w:rsidRPr="00126D73">
        <w:rPr>
          <w:rFonts w:ascii="Arial" w:hAnsi="Arial" w:cs="Arial"/>
          <w:sz w:val="24"/>
          <w:szCs w:val="24"/>
        </w:rPr>
        <w:t xml:space="preserve"> aims to maintain its solid investment grade credit rating whilst investing in the business where economic returns are attractive and paying a healthy annual dividend to shareholders. After satisfying these key aims and taking into account the economic and trading outlook any surplus capital would be returned to shareholders.</w:t>
      </w:r>
      <w:r w:rsidR="009E131C">
        <w:rPr>
          <w:rFonts w:ascii="Arial" w:hAnsi="Arial" w:cs="Arial"/>
          <w:sz w:val="24"/>
          <w:szCs w:val="24"/>
        </w:rPr>
        <w:t xml:space="preserve"> </w:t>
      </w:r>
      <w:r>
        <w:rPr>
          <w:rFonts w:ascii="Arial" w:hAnsi="Arial" w:cs="Arial"/>
          <w:sz w:val="24"/>
          <w:szCs w:val="24"/>
        </w:rPr>
        <w:t xml:space="preserve">Following a review at the half year </w:t>
      </w:r>
      <w:r w:rsidR="005D7C68">
        <w:rPr>
          <w:rFonts w:ascii="Arial" w:hAnsi="Arial" w:cs="Arial"/>
          <w:sz w:val="24"/>
          <w:szCs w:val="24"/>
        </w:rPr>
        <w:t>the Group</w:t>
      </w:r>
      <w:r>
        <w:rPr>
          <w:rFonts w:ascii="Arial" w:hAnsi="Arial" w:cs="Arial"/>
          <w:sz w:val="24"/>
          <w:szCs w:val="24"/>
        </w:rPr>
        <w:t xml:space="preserve"> do</w:t>
      </w:r>
      <w:r w:rsidR="005D7C68">
        <w:rPr>
          <w:rFonts w:ascii="Arial" w:hAnsi="Arial" w:cs="Arial"/>
          <w:sz w:val="24"/>
          <w:szCs w:val="24"/>
        </w:rPr>
        <w:t>es</w:t>
      </w:r>
      <w:r>
        <w:rPr>
          <w:rFonts w:ascii="Arial" w:hAnsi="Arial" w:cs="Arial"/>
          <w:sz w:val="24"/>
          <w:szCs w:val="24"/>
        </w:rPr>
        <w:t xml:space="preserve"> not believe </w:t>
      </w:r>
      <w:r w:rsidR="009E131C">
        <w:rPr>
          <w:rFonts w:ascii="Arial" w:hAnsi="Arial" w:cs="Arial"/>
          <w:sz w:val="24"/>
          <w:szCs w:val="24"/>
        </w:rPr>
        <w:t xml:space="preserve">it has </w:t>
      </w:r>
      <w:r w:rsidR="00854B5E">
        <w:rPr>
          <w:rFonts w:ascii="Arial" w:hAnsi="Arial" w:cs="Arial"/>
          <w:sz w:val="24"/>
          <w:szCs w:val="24"/>
        </w:rPr>
        <w:t>surplus capital</w:t>
      </w:r>
      <w:r>
        <w:rPr>
          <w:rFonts w:ascii="Arial" w:hAnsi="Arial" w:cs="Arial"/>
          <w:sz w:val="24"/>
          <w:szCs w:val="24"/>
        </w:rPr>
        <w:t>.</w:t>
      </w:r>
    </w:p>
    <w:p w:rsidR="00296A81" w:rsidRDefault="00296A81" w:rsidP="00296A81">
      <w:pPr>
        <w:ind w:right="-368"/>
        <w:jc w:val="left"/>
        <w:rPr>
          <w:rFonts w:ascii="Arial" w:hAnsi="Arial" w:cs="Arial"/>
          <w:b/>
          <w:sz w:val="24"/>
          <w:szCs w:val="24"/>
        </w:rPr>
      </w:pPr>
    </w:p>
    <w:p w:rsidR="00296A81" w:rsidRDefault="00296A81" w:rsidP="00296A81">
      <w:pPr>
        <w:ind w:right="-368"/>
        <w:jc w:val="left"/>
        <w:rPr>
          <w:rFonts w:ascii="Arial" w:hAnsi="Arial" w:cs="Arial"/>
          <w:b/>
          <w:sz w:val="24"/>
          <w:szCs w:val="24"/>
        </w:rPr>
      </w:pPr>
      <w:r>
        <w:rPr>
          <w:rFonts w:ascii="Arial" w:hAnsi="Arial" w:cs="Arial"/>
          <w:b/>
          <w:sz w:val="24"/>
          <w:szCs w:val="24"/>
        </w:rPr>
        <w:t>Dividends</w:t>
      </w:r>
    </w:p>
    <w:p w:rsidR="00296A81" w:rsidRPr="002428ED" w:rsidRDefault="00296A81" w:rsidP="00296A81">
      <w:pPr>
        <w:ind w:right="-368"/>
        <w:jc w:val="left"/>
        <w:rPr>
          <w:rFonts w:ascii="Arial" w:hAnsi="Arial" w:cs="Arial"/>
          <w:b/>
          <w:sz w:val="24"/>
          <w:szCs w:val="24"/>
        </w:rPr>
      </w:pPr>
    </w:p>
    <w:p w:rsidR="00296A81" w:rsidRDefault="00296A81" w:rsidP="00296A81">
      <w:pPr>
        <w:ind w:right="-368"/>
        <w:jc w:val="left"/>
        <w:rPr>
          <w:rFonts w:ascii="Arial" w:hAnsi="Arial" w:cs="Arial"/>
          <w:sz w:val="24"/>
          <w:szCs w:val="24"/>
        </w:rPr>
      </w:pPr>
      <w:r>
        <w:rPr>
          <w:rFonts w:ascii="Arial" w:hAnsi="Arial" w:cs="Arial"/>
          <w:sz w:val="24"/>
          <w:szCs w:val="24"/>
        </w:rPr>
        <w:t>T</w:t>
      </w:r>
      <w:r w:rsidRPr="00D24248">
        <w:rPr>
          <w:rFonts w:ascii="Arial" w:hAnsi="Arial" w:cs="Arial"/>
          <w:sz w:val="24"/>
          <w:szCs w:val="24"/>
        </w:rPr>
        <w:t>he interim dividend is p</w:t>
      </w:r>
      <w:r>
        <w:rPr>
          <w:rFonts w:ascii="Arial" w:hAnsi="Arial" w:cs="Arial"/>
          <w:sz w:val="24"/>
          <w:szCs w:val="24"/>
        </w:rPr>
        <w:t xml:space="preserve">roposed </w:t>
      </w:r>
      <w:r w:rsidRPr="00127C71">
        <w:rPr>
          <w:rFonts w:ascii="Arial" w:hAnsi="Arial" w:cs="Arial"/>
          <w:sz w:val="24"/>
          <w:szCs w:val="24"/>
        </w:rPr>
        <w:t xml:space="preserve">at </w:t>
      </w:r>
      <w:r w:rsidR="00A76D63">
        <w:rPr>
          <w:rFonts w:ascii="Arial" w:hAnsi="Arial" w:cs="Arial"/>
          <w:sz w:val="24"/>
          <w:szCs w:val="24"/>
        </w:rPr>
        <w:t>3.12</w:t>
      </w:r>
      <w:r w:rsidRPr="00126D73">
        <w:rPr>
          <w:rFonts w:ascii="Arial" w:hAnsi="Arial" w:cs="Arial"/>
          <w:sz w:val="24"/>
          <w:szCs w:val="24"/>
        </w:rPr>
        <w:t>p</w:t>
      </w:r>
      <w:r w:rsidRPr="00E92B79">
        <w:rPr>
          <w:rFonts w:ascii="Arial" w:hAnsi="Arial" w:cs="Arial"/>
          <w:sz w:val="24"/>
          <w:szCs w:val="24"/>
        </w:rPr>
        <w:t xml:space="preserve"> per</w:t>
      </w:r>
      <w:r>
        <w:rPr>
          <w:rFonts w:ascii="Arial" w:hAnsi="Arial" w:cs="Arial"/>
          <w:sz w:val="24"/>
          <w:szCs w:val="24"/>
        </w:rPr>
        <w:t xml:space="preserve"> share </w:t>
      </w:r>
      <w:r w:rsidRPr="00766717">
        <w:rPr>
          <w:rFonts w:ascii="Arial" w:hAnsi="Arial" w:cs="Arial"/>
          <w:sz w:val="24"/>
          <w:szCs w:val="24"/>
        </w:rPr>
        <w:t>(2012/13: 3.09p per share). The ex-dividend date will be 9 October 2013 and the dividend will be paid on 15 November 2013 to those shareholders who are on the Register of Members at the close of business on 11 October 2013. Shareholders are able to take this dividend as cash or in shares, through the Dividend Reinvestment Plan (DRIP). Shareholders who wish to elect for the DRIP for the forthcoming interim dividend but have not already done so must notify the Registrars, Computershare Investor Services plc, by 25 October 2013.</w:t>
      </w:r>
    </w:p>
    <w:p w:rsidR="00E67035" w:rsidRDefault="00E67035" w:rsidP="00123894">
      <w:pPr>
        <w:ind w:right="-368"/>
        <w:jc w:val="left"/>
        <w:rPr>
          <w:rFonts w:ascii="Arial" w:hAnsi="Arial" w:cs="Arial"/>
          <w:sz w:val="24"/>
          <w:szCs w:val="24"/>
        </w:rPr>
      </w:pPr>
    </w:p>
    <w:p w:rsidR="00123894" w:rsidRPr="00877F17" w:rsidRDefault="00123894" w:rsidP="00123894">
      <w:pPr>
        <w:ind w:right="-368"/>
        <w:jc w:val="left"/>
        <w:rPr>
          <w:rFonts w:ascii="Arial" w:hAnsi="Arial" w:cs="Arial"/>
          <w:sz w:val="24"/>
          <w:szCs w:val="24"/>
        </w:rPr>
      </w:pPr>
      <w:r w:rsidRPr="00877F17">
        <w:rPr>
          <w:rFonts w:ascii="Arial" w:hAnsi="Arial" w:cs="Arial"/>
          <w:sz w:val="24"/>
          <w:szCs w:val="24"/>
        </w:rPr>
        <w:t>In the Group's 2012/13 full year results it was stated that the Group would move away from the mechanistic calculation of the interim dividend as 35 per cent of the previous year's total dividends and instead set both the interim and final dividend by reference to the current year's earnings. Going forward the Group will aim to move towards a medium term annual divi</w:t>
      </w:r>
      <w:r w:rsidRPr="00E41F64">
        <w:rPr>
          <w:rFonts w:ascii="Arial" w:hAnsi="Arial" w:cs="Arial"/>
          <w:sz w:val="24"/>
          <w:szCs w:val="24"/>
        </w:rPr>
        <w:t>dend cover of around 2.5 times.</w:t>
      </w:r>
    </w:p>
    <w:p w:rsidR="00123894" w:rsidRDefault="00123894" w:rsidP="00296A81">
      <w:pPr>
        <w:ind w:right="-368"/>
        <w:jc w:val="left"/>
        <w:rPr>
          <w:rFonts w:ascii="Arial" w:hAnsi="Arial" w:cs="Arial"/>
          <w:sz w:val="24"/>
          <w:szCs w:val="24"/>
        </w:rPr>
      </w:pPr>
    </w:p>
    <w:p w:rsidR="009A4C77" w:rsidRDefault="009A4C77" w:rsidP="009A4C77">
      <w:pPr>
        <w:ind w:right="-368"/>
        <w:jc w:val="left"/>
        <w:rPr>
          <w:rFonts w:ascii="Arial" w:hAnsi="Arial" w:cs="Arial"/>
          <w:b/>
          <w:sz w:val="24"/>
          <w:szCs w:val="24"/>
        </w:rPr>
      </w:pPr>
      <w:r>
        <w:rPr>
          <w:rFonts w:ascii="Arial" w:hAnsi="Arial" w:cs="Arial"/>
          <w:b/>
          <w:sz w:val="24"/>
          <w:szCs w:val="24"/>
        </w:rPr>
        <w:t>Acquisitions</w:t>
      </w:r>
    </w:p>
    <w:p w:rsidR="009A4C77" w:rsidRPr="00710AB5" w:rsidRDefault="009A4C77">
      <w:pPr>
        <w:ind w:right="-368"/>
        <w:jc w:val="left"/>
        <w:rPr>
          <w:rFonts w:ascii="Arial" w:hAnsi="Arial" w:cs="Arial"/>
          <w:b/>
          <w:sz w:val="24"/>
          <w:szCs w:val="24"/>
        </w:rPr>
      </w:pPr>
    </w:p>
    <w:p w:rsidR="009A4C77" w:rsidRDefault="009A4C77" w:rsidP="000F31CD">
      <w:pPr>
        <w:jc w:val="left"/>
        <w:rPr>
          <w:rFonts w:ascii="Arial" w:hAnsi="Arial" w:cs="Arial"/>
          <w:sz w:val="24"/>
          <w:szCs w:val="24"/>
        </w:rPr>
      </w:pPr>
      <w:r w:rsidRPr="00105EFD">
        <w:rPr>
          <w:rFonts w:ascii="Arial" w:hAnsi="Arial" w:cs="Arial"/>
          <w:sz w:val="24"/>
          <w:szCs w:val="24"/>
        </w:rPr>
        <w:t>On 31 May 2013, the Group acqui</w:t>
      </w:r>
      <w:r>
        <w:rPr>
          <w:rFonts w:ascii="Arial" w:hAnsi="Arial" w:cs="Arial"/>
          <w:sz w:val="24"/>
          <w:szCs w:val="24"/>
        </w:rPr>
        <w:t>red 100% of Bricostore Romania, a home improvement business operating 15 stores including 8 freeholds</w:t>
      </w:r>
      <w:r w:rsidRPr="00105EFD">
        <w:rPr>
          <w:rFonts w:ascii="Arial" w:hAnsi="Arial" w:cs="Arial"/>
          <w:sz w:val="24"/>
          <w:szCs w:val="24"/>
        </w:rPr>
        <w:t xml:space="preserve">. </w:t>
      </w:r>
      <w:r>
        <w:rPr>
          <w:rFonts w:ascii="Arial" w:hAnsi="Arial" w:cs="Arial"/>
          <w:sz w:val="24"/>
          <w:szCs w:val="24"/>
        </w:rPr>
        <w:t>Kingfisher paid £35 million of cash consideration and acquired £7 million of cash with Bricostore Romania.</w:t>
      </w:r>
      <w:r w:rsidRPr="006B654D">
        <w:rPr>
          <w:rFonts w:ascii="Arial" w:hAnsi="Arial" w:cs="Arial"/>
          <w:sz w:val="24"/>
          <w:szCs w:val="24"/>
        </w:rPr>
        <w:t xml:space="preserve"> </w:t>
      </w:r>
      <w:r>
        <w:rPr>
          <w:rFonts w:ascii="Arial" w:hAnsi="Arial" w:cs="Arial"/>
          <w:sz w:val="24"/>
          <w:szCs w:val="24"/>
        </w:rPr>
        <w:t>In addition, debt of £35 million was acquired with the business, which was immediately settled. Provisional goodwill of £13 million has been recognised on acquisition.</w:t>
      </w:r>
    </w:p>
    <w:p w:rsidR="009A4C77" w:rsidRDefault="009A4C77" w:rsidP="000F31CD">
      <w:pPr>
        <w:jc w:val="left"/>
        <w:rPr>
          <w:rFonts w:ascii="Arial" w:hAnsi="Arial" w:cs="Arial"/>
          <w:sz w:val="24"/>
          <w:szCs w:val="24"/>
        </w:rPr>
      </w:pPr>
    </w:p>
    <w:p w:rsidR="009D6976" w:rsidRDefault="009D6976" w:rsidP="00FF6757">
      <w:pPr>
        <w:jc w:val="left"/>
        <w:rPr>
          <w:rFonts w:ascii="Arial" w:hAnsi="Arial" w:cs="Arial"/>
          <w:sz w:val="24"/>
          <w:szCs w:val="24"/>
          <w:u w:val="single"/>
        </w:rPr>
      </w:pPr>
    </w:p>
    <w:p w:rsidR="00963214" w:rsidRDefault="00963214" w:rsidP="009A4C77">
      <w:pPr>
        <w:ind w:right="-368"/>
        <w:jc w:val="left"/>
        <w:rPr>
          <w:rFonts w:ascii="Arial" w:hAnsi="Arial" w:cs="Arial"/>
          <w:b/>
          <w:sz w:val="24"/>
          <w:szCs w:val="24"/>
        </w:rPr>
      </w:pPr>
    </w:p>
    <w:p w:rsidR="00EE5E9C" w:rsidRDefault="00EE5E9C" w:rsidP="009A4C77">
      <w:pPr>
        <w:ind w:right="-368"/>
        <w:jc w:val="left"/>
        <w:rPr>
          <w:rFonts w:ascii="Arial" w:hAnsi="Arial" w:cs="Arial"/>
          <w:b/>
          <w:sz w:val="24"/>
          <w:szCs w:val="24"/>
        </w:rPr>
      </w:pPr>
    </w:p>
    <w:p w:rsidR="009A4C77" w:rsidRDefault="009A4C77" w:rsidP="009A4C77">
      <w:pPr>
        <w:ind w:right="-368"/>
        <w:jc w:val="left"/>
        <w:rPr>
          <w:rFonts w:ascii="Arial" w:hAnsi="Arial" w:cs="Arial"/>
          <w:b/>
          <w:sz w:val="24"/>
          <w:szCs w:val="24"/>
        </w:rPr>
      </w:pPr>
      <w:r w:rsidRPr="00AB78EF">
        <w:rPr>
          <w:rFonts w:ascii="Arial" w:hAnsi="Arial" w:cs="Arial"/>
          <w:b/>
          <w:sz w:val="24"/>
          <w:szCs w:val="24"/>
        </w:rPr>
        <w:t>Pensions</w:t>
      </w:r>
    </w:p>
    <w:p w:rsidR="009A4C77" w:rsidRPr="006864A4" w:rsidRDefault="009A4C77" w:rsidP="009A4C77">
      <w:pPr>
        <w:ind w:right="-368"/>
        <w:jc w:val="left"/>
        <w:rPr>
          <w:rFonts w:ascii="Arial" w:hAnsi="Arial" w:cs="Arial"/>
          <w:b/>
          <w:sz w:val="24"/>
          <w:szCs w:val="24"/>
        </w:rPr>
      </w:pPr>
    </w:p>
    <w:p w:rsidR="00D61EAE" w:rsidRPr="00FF6757" w:rsidRDefault="00D61EAE" w:rsidP="00FF6757">
      <w:pPr>
        <w:jc w:val="left"/>
        <w:rPr>
          <w:rFonts w:ascii="Arial" w:hAnsi="Arial" w:cs="Arial"/>
          <w:sz w:val="24"/>
          <w:szCs w:val="24"/>
        </w:rPr>
      </w:pPr>
      <w:r w:rsidRPr="00FF6757">
        <w:rPr>
          <w:rFonts w:ascii="Arial" w:hAnsi="Arial" w:cs="Arial"/>
          <w:sz w:val="24"/>
          <w:szCs w:val="24"/>
        </w:rPr>
        <w:t>At the half year, the Group had a net deficit of £6 million in relation to defined benefit pension arrangements, compared with a net position of £nil at 2 February 2013. An analysis of the movement in the pension deficit is set out in note 11 to the interim condensed financial statements. This accounting valuation is very sensitive to a number of assumptions and market rates which are likely to fluctuate in the future.</w:t>
      </w:r>
    </w:p>
    <w:p w:rsidR="009A4C77" w:rsidRDefault="009A4C77" w:rsidP="009A4C77">
      <w:pPr>
        <w:rPr>
          <w:rFonts w:ascii="Arial" w:hAnsi="Arial" w:cs="Arial"/>
          <w:sz w:val="24"/>
          <w:szCs w:val="24"/>
        </w:rPr>
      </w:pPr>
    </w:p>
    <w:p w:rsidR="009A4C77" w:rsidRDefault="009A4C77" w:rsidP="000F31CD">
      <w:pPr>
        <w:jc w:val="left"/>
        <w:rPr>
          <w:rFonts w:ascii="Arial" w:hAnsi="Arial" w:cs="Arial"/>
          <w:sz w:val="24"/>
          <w:szCs w:val="24"/>
        </w:rPr>
      </w:pPr>
      <w:r>
        <w:rPr>
          <w:rFonts w:ascii="Arial" w:hAnsi="Arial" w:cs="Arial"/>
          <w:sz w:val="24"/>
          <w:szCs w:val="24"/>
        </w:rPr>
        <w:t xml:space="preserve">The Group has adopted a revised pensions accounting standard </w:t>
      </w:r>
      <w:r w:rsidR="00296A81">
        <w:rPr>
          <w:rFonts w:ascii="Arial" w:hAnsi="Arial" w:cs="Arial"/>
          <w:sz w:val="24"/>
          <w:szCs w:val="24"/>
        </w:rPr>
        <w:t>(IAS19</w:t>
      </w:r>
      <w:r w:rsidR="000C5AED">
        <w:rPr>
          <w:rFonts w:ascii="Arial" w:hAnsi="Arial" w:cs="Arial"/>
          <w:sz w:val="24"/>
          <w:szCs w:val="24"/>
        </w:rPr>
        <w:t xml:space="preserve"> Employee Benefits</w:t>
      </w:r>
      <w:r w:rsidR="00296A81">
        <w:rPr>
          <w:rFonts w:ascii="Arial" w:hAnsi="Arial" w:cs="Arial"/>
          <w:sz w:val="24"/>
          <w:szCs w:val="24"/>
        </w:rPr>
        <w:t xml:space="preserve">) </w:t>
      </w:r>
      <w:r>
        <w:rPr>
          <w:rFonts w:ascii="Arial" w:hAnsi="Arial" w:cs="Arial"/>
          <w:sz w:val="24"/>
          <w:szCs w:val="24"/>
        </w:rPr>
        <w:t>in the period. This has resulted in a reclassification of £2</w:t>
      </w:r>
      <w:r w:rsidR="009D6976">
        <w:rPr>
          <w:rFonts w:ascii="Arial" w:hAnsi="Arial" w:cs="Arial"/>
          <w:sz w:val="24"/>
          <w:szCs w:val="24"/>
        </w:rPr>
        <w:t xml:space="preserve"> </w:t>
      </w:r>
      <w:r>
        <w:rPr>
          <w:rFonts w:ascii="Arial" w:hAnsi="Arial" w:cs="Arial"/>
          <w:sz w:val="24"/>
          <w:szCs w:val="24"/>
        </w:rPr>
        <w:t>m</w:t>
      </w:r>
      <w:r w:rsidR="009D6976">
        <w:rPr>
          <w:rFonts w:ascii="Arial" w:hAnsi="Arial" w:cs="Arial"/>
          <w:sz w:val="24"/>
          <w:szCs w:val="24"/>
        </w:rPr>
        <w:t>illion</w:t>
      </w:r>
      <w:r>
        <w:rPr>
          <w:rFonts w:ascii="Arial" w:hAnsi="Arial" w:cs="Arial"/>
          <w:sz w:val="24"/>
          <w:szCs w:val="24"/>
        </w:rPr>
        <w:t xml:space="preserve"> of </w:t>
      </w:r>
      <w:r w:rsidRPr="000319F0">
        <w:rPr>
          <w:rFonts w:ascii="Arial" w:hAnsi="Arial" w:cs="Arial"/>
          <w:sz w:val="24"/>
          <w:szCs w:val="24"/>
        </w:rPr>
        <w:t xml:space="preserve">administrative costs of running the UK scheme from </w:t>
      </w:r>
      <w:r>
        <w:rPr>
          <w:rFonts w:ascii="Arial" w:hAnsi="Arial" w:cs="Arial"/>
          <w:sz w:val="24"/>
          <w:szCs w:val="24"/>
        </w:rPr>
        <w:t>interest to retail profit in both the current and prior half year periods.</w:t>
      </w:r>
    </w:p>
    <w:p w:rsidR="009A4C77" w:rsidRDefault="009A4C77" w:rsidP="000F31CD">
      <w:pPr>
        <w:jc w:val="left"/>
        <w:rPr>
          <w:rFonts w:ascii="Arial" w:hAnsi="Arial" w:cs="Arial"/>
          <w:sz w:val="24"/>
          <w:szCs w:val="24"/>
        </w:rPr>
      </w:pPr>
    </w:p>
    <w:p w:rsidR="009A4C77" w:rsidRDefault="009A4C77" w:rsidP="000F31CD">
      <w:pPr>
        <w:jc w:val="left"/>
        <w:rPr>
          <w:rFonts w:ascii="Arial" w:hAnsi="Arial" w:cs="Arial"/>
          <w:sz w:val="24"/>
          <w:szCs w:val="24"/>
        </w:rPr>
      </w:pPr>
      <w:r>
        <w:rPr>
          <w:rFonts w:ascii="Arial" w:hAnsi="Arial" w:cs="Arial"/>
          <w:sz w:val="24"/>
          <w:szCs w:val="24"/>
        </w:rPr>
        <w:t>Auto-enrolment of eligible employees into the UK defined contribution pension scheme commenced in the period, with around two-thirds of all UK employees now participating in this scheme.</w:t>
      </w:r>
    </w:p>
    <w:p w:rsidR="009A4C77" w:rsidRPr="00525B67" w:rsidRDefault="009A4C77" w:rsidP="009A4C77">
      <w:pPr>
        <w:jc w:val="left"/>
        <w:rPr>
          <w:rFonts w:ascii="Arial" w:hAnsi="Arial" w:cs="Arial"/>
          <w:sz w:val="24"/>
          <w:szCs w:val="24"/>
          <w:highlight w:val="yellow"/>
        </w:rPr>
      </w:pPr>
    </w:p>
    <w:p w:rsidR="009A4C77" w:rsidRPr="00153546" w:rsidRDefault="009A4C77" w:rsidP="009A4C77">
      <w:pPr>
        <w:rPr>
          <w:rFonts w:ascii="Arial" w:hAnsi="Arial" w:cs="Arial"/>
          <w:b/>
          <w:sz w:val="24"/>
          <w:szCs w:val="24"/>
        </w:rPr>
      </w:pPr>
      <w:r w:rsidRPr="00C852B9">
        <w:rPr>
          <w:rFonts w:ascii="Arial" w:hAnsi="Arial" w:cs="Arial"/>
          <w:b/>
          <w:sz w:val="24"/>
          <w:szCs w:val="24"/>
        </w:rPr>
        <w:t>Risks</w:t>
      </w:r>
    </w:p>
    <w:p w:rsidR="009A4C77" w:rsidRPr="00153546" w:rsidRDefault="009A4C77" w:rsidP="009A4C77">
      <w:pPr>
        <w:rPr>
          <w:rFonts w:ascii="Arial" w:hAnsi="Arial" w:cs="Arial"/>
          <w:b/>
          <w:sz w:val="24"/>
          <w:szCs w:val="24"/>
        </w:rPr>
      </w:pPr>
    </w:p>
    <w:p w:rsidR="009A4C77" w:rsidRPr="00153546" w:rsidRDefault="009A4C77" w:rsidP="000F31CD">
      <w:pPr>
        <w:jc w:val="left"/>
        <w:rPr>
          <w:rFonts w:ascii="Arial" w:hAnsi="Arial" w:cs="Arial"/>
          <w:sz w:val="24"/>
          <w:szCs w:val="24"/>
        </w:rPr>
      </w:pPr>
      <w:r w:rsidRPr="00153546">
        <w:rPr>
          <w:rFonts w:ascii="Arial" w:hAnsi="Arial" w:cs="Arial"/>
          <w:sz w:val="24"/>
          <w:szCs w:val="24"/>
        </w:rPr>
        <w:t>The Board considers risk assessment, identification of mitigating actions and internal control to be fundamental to achieving Kingfisher’s strategic objectives. The Board considers that the principal risks to achieving its objectives, which remain principally unch</w:t>
      </w:r>
      <w:r>
        <w:rPr>
          <w:rFonts w:ascii="Arial" w:hAnsi="Arial" w:cs="Arial"/>
          <w:sz w:val="24"/>
          <w:szCs w:val="24"/>
        </w:rPr>
        <w:t>anged from those set in the 2012/13</w:t>
      </w:r>
      <w:r w:rsidRPr="00153546">
        <w:rPr>
          <w:rFonts w:ascii="Arial" w:hAnsi="Arial" w:cs="Arial"/>
          <w:sz w:val="24"/>
          <w:szCs w:val="24"/>
        </w:rPr>
        <w:t xml:space="preserve"> Annual Report and Accounts, are </w:t>
      </w:r>
      <w:r>
        <w:rPr>
          <w:rFonts w:ascii="Arial" w:hAnsi="Arial" w:cs="Arial"/>
          <w:sz w:val="24"/>
          <w:szCs w:val="24"/>
        </w:rPr>
        <w:t>summarised</w:t>
      </w:r>
      <w:r w:rsidRPr="00153546">
        <w:rPr>
          <w:rFonts w:ascii="Arial" w:hAnsi="Arial" w:cs="Arial"/>
          <w:sz w:val="24"/>
          <w:szCs w:val="24"/>
        </w:rPr>
        <w:t xml:space="preserve"> below:</w:t>
      </w:r>
    </w:p>
    <w:p w:rsidR="009A4C77" w:rsidRPr="00525B67" w:rsidRDefault="009A4C77" w:rsidP="000F31CD">
      <w:pPr>
        <w:jc w:val="left"/>
        <w:rPr>
          <w:rFonts w:ascii="Arial" w:hAnsi="Arial" w:cs="Arial"/>
          <w:sz w:val="24"/>
          <w:szCs w:val="24"/>
          <w:highlight w:val="yellow"/>
        </w:rPr>
      </w:pPr>
    </w:p>
    <w:p w:rsidR="009A4C77" w:rsidRPr="0066705C" w:rsidRDefault="009A4C77" w:rsidP="000F31CD">
      <w:pPr>
        <w:numPr>
          <w:ilvl w:val="0"/>
          <w:numId w:val="19"/>
        </w:numPr>
        <w:tabs>
          <w:tab w:val="clear" w:pos="720"/>
          <w:tab w:val="num" w:pos="360"/>
        </w:tabs>
        <w:ind w:left="360"/>
        <w:jc w:val="left"/>
        <w:rPr>
          <w:rFonts w:ascii="Arial" w:hAnsi="Arial"/>
          <w:sz w:val="24"/>
          <w:szCs w:val="24"/>
        </w:rPr>
      </w:pPr>
      <w:r w:rsidRPr="0066705C">
        <w:rPr>
          <w:rFonts w:ascii="Arial" w:hAnsi="Arial"/>
          <w:sz w:val="24"/>
          <w:szCs w:val="24"/>
        </w:rPr>
        <w:t xml:space="preserve">Failure to deliver </w:t>
      </w:r>
      <w:r>
        <w:rPr>
          <w:rFonts w:ascii="Arial" w:hAnsi="Arial"/>
          <w:sz w:val="24"/>
          <w:szCs w:val="24"/>
        </w:rPr>
        <w:t xml:space="preserve">demand and </w:t>
      </w:r>
      <w:r w:rsidRPr="0066705C">
        <w:rPr>
          <w:rFonts w:ascii="Arial" w:hAnsi="Arial"/>
          <w:sz w:val="24"/>
          <w:szCs w:val="24"/>
        </w:rPr>
        <w:t>value through the easier initiatives</w:t>
      </w:r>
    </w:p>
    <w:p w:rsidR="009A4C77" w:rsidRPr="0066705C" w:rsidRDefault="009A4C77" w:rsidP="000F31CD">
      <w:pPr>
        <w:numPr>
          <w:ilvl w:val="0"/>
          <w:numId w:val="19"/>
        </w:numPr>
        <w:tabs>
          <w:tab w:val="clear" w:pos="720"/>
          <w:tab w:val="num" w:pos="360"/>
        </w:tabs>
        <w:ind w:left="360"/>
        <w:jc w:val="left"/>
        <w:rPr>
          <w:rFonts w:ascii="Arial" w:hAnsi="Arial"/>
          <w:sz w:val="24"/>
          <w:szCs w:val="24"/>
        </w:rPr>
      </w:pPr>
      <w:r w:rsidRPr="0066705C">
        <w:rPr>
          <w:rFonts w:ascii="Arial" w:hAnsi="Arial"/>
          <w:sz w:val="24"/>
          <w:szCs w:val="24"/>
        </w:rPr>
        <w:t xml:space="preserve">Failure to invest in the systems and supply chain platforms necessary to maintain either competitive parity or advantage, amongst online or </w:t>
      </w:r>
      <w:r>
        <w:rPr>
          <w:rFonts w:ascii="Arial" w:hAnsi="Arial"/>
          <w:sz w:val="24"/>
          <w:szCs w:val="24"/>
        </w:rPr>
        <w:t>omnichannel</w:t>
      </w:r>
      <w:r w:rsidRPr="0066705C">
        <w:rPr>
          <w:rFonts w:ascii="Arial" w:hAnsi="Arial"/>
          <w:sz w:val="24"/>
          <w:szCs w:val="24"/>
        </w:rPr>
        <w:t xml:space="preserve"> competitors</w:t>
      </w:r>
    </w:p>
    <w:p w:rsidR="009A4C77" w:rsidRPr="0066705C" w:rsidRDefault="009A4C77" w:rsidP="000F31CD">
      <w:pPr>
        <w:numPr>
          <w:ilvl w:val="0"/>
          <w:numId w:val="19"/>
        </w:numPr>
        <w:tabs>
          <w:tab w:val="clear" w:pos="720"/>
          <w:tab w:val="num" w:pos="360"/>
        </w:tabs>
        <w:ind w:left="360"/>
        <w:jc w:val="left"/>
        <w:rPr>
          <w:rFonts w:ascii="Arial" w:hAnsi="Arial"/>
          <w:sz w:val="24"/>
          <w:szCs w:val="24"/>
        </w:rPr>
      </w:pPr>
      <w:r w:rsidRPr="0066705C">
        <w:rPr>
          <w:rFonts w:ascii="Arial" w:hAnsi="Arial"/>
          <w:sz w:val="24"/>
          <w:szCs w:val="24"/>
        </w:rPr>
        <w:t xml:space="preserve">Failure to unlock the potential to generate further shareholder value through the optimisation of combined purchasing and commercial synergies, while retaining accountability at </w:t>
      </w:r>
      <w:r>
        <w:rPr>
          <w:rFonts w:ascii="Arial" w:hAnsi="Arial"/>
          <w:sz w:val="24"/>
          <w:szCs w:val="24"/>
        </w:rPr>
        <w:t>our</w:t>
      </w:r>
      <w:r w:rsidRPr="0066705C">
        <w:rPr>
          <w:rFonts w:ascii="Arial" w:hAnsi="Arial"/>
          <w:sz w:val="24"/>
          <w:szCs w:val="24"/>
        </w:rPr>
        <w:t xml:space="preserve"> Operating Companies</w:t>
      </w:r>
    </w:p>
    <w:p w:rsidR="009A4C77" w:rsidRPr="00E6672F" w:rsidRDefault="009A4C77" w:rsidP="000F31CD">
      <w:pPr>
        <w:numPr>
          <w:ilvl w:val="0"/>
          <w:numId w:val="19"/>
        </w:numPr>
        <w:tabs>
          <w:tab w:val="clear" w:pos="720"/>
          <w:tab w:val="num" w:pos="360"/>
        </w:tabs>
        <w:ind w:left="360"/>
        <w:jc w:val="left"/>
        <w:rPr>
          <w:rFonts w:ascii="Arial" w:hAnsi="Arial"/>
          <w:sz w:val="24"/>
          <w:szCs w:val="24"/>
        </w:rPr>
      </w:pPr>
      <w:r w:rsidRPr="00E6672F">
        <w:rPr>
          <w:rFonts w:ascii="Arial" w:hAnsi="Arial"/>
          <w:sz w:val="24"/>
          <w:szCs w:val="24"/>
        </w:rPr>
        <w:t>Failure to s</w:t>
      </w:r>
      <w:r>
        <w:rPr>
          <w:rFonts w:ascii="Arial" w:hAnsi="Arial"/>
          <w:sz w:val="24"/>
          <w:szCs w:val="24"/>
        </w:rPr>
        <w:t>t</w:t>
      </w:r>
      <w:r w:rsidRPr="00E6672F">
        <w:rPr>
          <w:rFonts w:ascii="Arial" w:hAnsi="Arial"/>
          <w:sz w:val="24"/>
          <w:szCs w:val="24"/>
        </w:rPr>
        <w:t>imulate increased consumer spend</w:t>
      </w:r>
      <w:r>
        <w:rPr>
          <w:rFonts w:ascii="Arial" w:hAnsi="Arial"/>
          <w:sz w:val="24"/>
          <w:szCs w:val="24"/>
        </w:rPr>
        <w:t xml:space="preserve"> through investments in new store formats and customer proposition strategies </w:t>
      </w:r>
    </w:p>
    <w:p w:rsidR="009A4C77" w:rsidRDefault="009A4C77" w:rsidP="000F31CD">
      <w:pPr>
        <w:numPr>
          <w:ilvl w:val="0"/>
          <w:numId w:val="19"/>
        </w:numPr>
        <w:tabs>
          <w:tab w:val="clear" w:pos="720"/>
          <w:tab w:val="num" w:pos="360"/>
        </w:tabs>
        <w:ind w:left="360"/>
        <w:jc w:val="left"/>
        <w:rPr>
          <w:rFonts w:ascii="Arial" w:hAnsi="Arial"/>
          <w:sz w:val="24"/>
          <w:szCs w:val="24"/>
        </w:rPr>
      </w:pPr>
      <w:r w:rsidRPr="0066705C">
        <w:rPr>
          <w:rFonts w:ascii="Arial" w:hAnsi="Arial"/>
          <w:sz w:val="24"/>
          <w:szCs w:val="24"/>
        </w:rPr>
        <w:t>Uncertainty surrounding the resilience of the global economy and the future of the Eurozone continues to impact both consumer confidence and the long-term sustainability and capabilities of the Group’s supplier base</w:t>
      </w:r>
    </w:p>
    <w:p w:rsidR="009A4C77" w:rsidRPr="0066705C" w:rsidRDefault="009A4C77" w:rsidP="000F31CD">
      <w:pPr>
        <w:numPr>
          <w:ilvl w:val="0"/>
          <w:numId w:val="19"/>
        </w:numPr>
        <w:tabs>
          <w:tab w:val="clear" w:pos="720"/>
          <w:tab w:val="num" w:pos="360"/>
        </w:tabs>
        <w:ind w:left="360"/>
        <w:jc w:val="left"/>
        <w:rPr>
          <w:rFonts w:ascii="Arial" w:hAnsi="Arial"/>
          <w:sz w:val="24"/>
          <w:szCs w:val="24"/>
        </w:rPr>
      </w:pPr>
      <w:r>
        <w:rPr>
          <w:rFonts w:ascii="Arial" w:hAnsi="Arial"/>
          <w:sz w:val="24"/>
          <w:szCs w:val="24"/>
        </w:rPr>
        <w:t>Failure to identify, assess and take advantage of potential opportunities for overseas expansion and market penetration strategies for existing markets</w:t>
      </w:r>
    </w:p>
    <w:p w:rsidR="009A4C77" w:rsidRDefault="009A4C77" w:rsidP="000F31CD">
      <w:pPr>
        <w:numPr>
          <w:ilvl w:val="0"/>
          <w:numId w:val="19"/>
        </w:numPr>
        <w:tabs>
          <w:tab w:val="clear" w:pos="720"/>
          <w:tab w:val="num" w:pos="360"/>
        </w:tabs>
        <w:ind w:left="360"/>
        <w:jc w:val="left"/>
        <w:rPr>
          <w:rFonts w:ascii="Arial" w:hAnsi="Arial"/>
          <w:sz w:val="24"/>
          <w:szCs w:val="24"/>
        </w:rPr>
      </w:pPr>
      <w:r w:rsidRPr="0066705C">
        <w:rPr>
          <w:rFonts w:ascii="Arial" w:hAnsi="Arial"/>
          <w:sz w:val="24"/>
          <w:szCs w:val="24"/>
        </w:rPr>
        <w:t>Not making the necessary investment in people to ensure that the Group has the appropriate calibre of staff, skills and experience</w:t>
      </w:r>
    </w:p>
    <w:p w:rsidR="009A4C77" w:rsidRDefault="009A4C77" w:rsidP="000F31CD">
      <w:pPr>
        <w:numPr>
          <w:ilvl w:val="0"/>
          <w:numId w:val="19"/>
        </w:numPr>
        <w:tabs>
          <w:tab w:val="clear" w:pos="720"/>
          <w:tab w:val="num" w:pos="360"/>
        </w:tabs>
        <w:ind w:left="360"/>
        <w:jc w:val="left"/>
        <w:rPr>
          <w:rFonts w:ascii="Arial" w:hAnsi="Arial"/>
          <w:sz w:val="24"/>
          <w:szCs w:val="24"/>
        </w:rPr>
      </w:pPr>
      <w:r w:rsidRPr="00E6672F">
        <w:rPr>
          <w:rFonts w:ascii="Arial" w:hAnsi="Arial"/>
          <w:sz w:val="24"/>
          <w:szCs w:val="24"/>
        </w:rPr>
        <w:t>Lack of perceived price competitiveness, particularly when compared to more discount based or online competitors</w:t>
      </w:r>
    </w:p>
    <w:p w:rsidR="009A4C77" w:rsidRDefault="009A4C77" w:rsidP="000F31CD">
      <w:pPr>
        <w:numPr>
          <w:ilvl w:val="0"/>
          <w:numId w:val="19"/>
        </w:numPr>
        <w:tabs>
          <w:tab w:val="clear" w:pos="720"/>
          <w:tab w:val="num" w:pos="360"/>
        </w:tabs>
        <w:ind w:left="360"/>
        <w:jc w:val="left"/>
        <w:rPr>
          <w:rFonts w:ascii="Arial" w:hAnsi="Arial"/>
          <w:sz w:val="24"/>
          <w:szCs w:val="24"/>
        </w:rPr>
      </w:pPr>
      <w:r>
        <w:rPr>
          <w:rFonts w:ascii="Arial" w:hAnsi="Arial"/>
          <w:sz w:val="24"/>
          <w:szCs w:val="24"/>
        </w:rPr>
        <w:t>Key product suppliers lacking the necessary resilience or disaster recovery capabilities to manage the impact of on-going global economic volatility or the increasing impacts of extreme weather cycles and patterns on their operations and extended supply chains</w:t>
      </w:r>
    </w:p>
    <w:p w:rsidR="009A4C77" w:rsidRPr="00E6672F" w:rsidRDefault="009A4C77" w:rsidP="000F31CD">
      <w:pPr>
        <w:numPr>
          <w:ilvl w:val="0"/>
          <w:numId w:val="19"/>
        </w:numPr>
        <w:tabs>
          <w:tab w:val="clear" w:pos="720"/>
          <w:tab w:val="num" w:pos="360"/>
        </w:tabs>
        <w:ind w:left="360"/>
        <w:jc w:val="left"/>
        <w:rPr>
          <w:rFonts w:ascii="Arial" w:hAnsi="Arial"/>
          <w:sz w:val="24"/>
          <w:szCs w:val="24"/>
        </w:rPr>
      </w:pPr>
      <w:r>
        <w:rPr>
          <w:rFonts w:ascii="Arial" w:hAnsi="Arial"/>
          <w:sz w:val="24"/>
          <w:szCs w:val="24"/>
        </w:rPr>
        <w:t>Failure to maintain a safe environment for our customers and store colleagues which results in a major incident or fatality that is directly attributable to a failure in our Health &amp; Safety management systems</w:t>
      </w:r>
    </w:p>
    <w:p w:rsidR="009A4C77" w:rsidRPr="0066705C" w:rsidRDefault="009A4C77" w:rsidP="000F31CD">
      <w:pPr>
        <w:numPr>
          <w:ilvl w:val="0"/>
          <w:numId w:val="19"/>
        </w:numPr>
        <w:tabs>
          <w:tab w:val="clear" w:pos="720"/>
          <w:tab w:val="num" w:pos="360"/>
        </w:tabs>
        <w:ind w:left="360"/>
        <w:jc w:val="left"/>
        <w:rPr>
          <w:rFonts w:ascii="Arial" w:hAnsi="Arial"/>
          <w:sz w:val="24"/>
          <w:szCs w:val="24"/>
        </w:rPr>
      </w:pPr>
      <w:r w:rsidRPr="0066705C">
        <w:rPr>
          <w:rFonts w:ascii="Arial" w:hAnsi="Arial"/>
          <w:sz w:val="24"/>
          <w:szCs w:val="24"/>
        </w:rPr>
        <w:t xml:space="preserve">The impact on Kingfisher’s reputation and brand arising from a major environmental or ethical failure, a significant corporate fraud or material non-compliance with legislative or regulatory requirements resulting in punitive or custodial </w:t>
      </w:r>
      <w:r>
        <w:rPr>
          <w:rFonts w:ascii="Arial" w:hAnsi="Arial"/>
          <w:sz w:val="24"/>
          <w:szCs w:val="24"/>
        </w:rPr>
        <w:t>procedures</w:t>
      </w:r>
    </w:p>
    <w:p w:rsidR="009A4C77" w:rsidRPr="00153546" w:rsidRDefault="009A4C77" w:rsidP="009A4C77">
      <w:pPr>
        <w:rPr>
          <w:rFonts w:ascii="Arial" w:hAnsi="Arial"/>
          <w:sz w:val="24"/>
          <w:szCs w:val="24"/>
        </w:rPr>
      </w:pPr>
    </w:p>
    <w:p w:rsidR="009A4C77" w:rsidRPr="00C07FF0" w:rsidRDefault="009A4C77" w:rsidP="000F31CD">
      <w:pPr>
        <w:jc w:val="left"/>
      </w:pPr>
      <w:r w:rsidRPr="00153546">
        <w:rPr>
          <w:rFonts w:ascii="Arial" w:hAnsi="Arial"/>
          <w:sz w:val="24"/>
          <w:szCs w:val="24"/>
        </w:rPr>
        <w:t>Further details of the Group risks and risk management</w:t>
      </w:r>
      <w:r>
        <w:rPr>
          <w:rFonts w:ascii="Arial" w:hAnsi="Arial"/>
          <w:sz w:val="24"/>
          <w:szCs w:val="24"/>
        </w:rPr>
        <w:t xml:space="preserve"> process can be found on pages 25 to 27</w:t>
      </w:r>
      <w:r w:rsidRPr="00153546">
        <w:rPr>
          <w:rFonts w:ascii="Arial" w:hAnsi="Arial"/>
          <w:sz w:val="24"/>
          <w:szCs w:val="24"/>
        </w:rPr>
        <w:t xml:space="preserve"> of the </w:t>
      </w:r>
      <w:r>
        <w:rPr>
          <w:rFonts w:ascii="Arial" w:hAnsi="Arial" w:cs="Arial"/>
          <w:sz w:val="24"/>
          <w:szCs w:val="24"/>
        </w:rPr>
        <w:t>2012/13</w:t>
      </w:r>
      <w:r w:rsidRPr="00153546">
        <w:rPr>
          <w:rFonts w:ascii="Arial" w:hAnsi="Arial" w:cs="Arial"/>
          <w:sz w:val="24"/>
          <w:szCs w:val="24"/>
        </w:rPr>
        <w:t xml:space="preserve"> Annual Report and Accounts.</w:t>
      </w:r>
    </w:p>
    <w:p w:rsidR="00584CDC" w:rsidRPr="00FA5AC4" w:rsidRDefault="00584CDC" w:rsidP="003F45F2">
      <w:pPr>
        <w:tabs>
          <w:tab w:val="right" w:pos="9356"/>
        </w:tabs>
        <w:rPr>
          <w:rFonts w:ascii="Arial" w:hAnsi="Arial" w:cs="Arial"/>
          <w:sz w:val="24"/>
          <w:szCs w:val="24"/>
        </w:rPr>
      </w:pPr>
      <w:r w:rsidRPr="00FA5AC4">
        <w:rPr>
          <w:rFonts w:ascii="Arial" w:hAnsi="Arial" w:cs="Arial"/>
          <w:sz w:val="24"/>
          <w:szCs w:val="24"/>
        </w:rPr>
        <w:tab/>
      </w:r>
    </w:p>
    <w:p w:rsidR="00BA56D1" w:rsidRPr="000F03E3" w:rsidRDefault="00BA56D1" w:rsidP="00BA56D1">
      <w:pPr>
        <w:jc w:val="left"/>
        <w:rPr>
          <w:rFonts w:ascii="Arial" w:hAnsi="Arial" w:cs="Arial"/>
          <w:b/>
          <w:bCs/>
          <w:sz w:val="24"/>
          <w:szCs w:val="24"/>
        </w:rPr>
      </w:pPr>
      <w:r w:rsidRPr="000F03E3">
        <w:rPr>
          <w:rFonts w:ascii="Arial" w:hAnsi="Arial" w:cs="Arial"/>
          <w:b/>
          <w:bCs/>
          <w:sz w:val="24"/>
          <w:szCs w:val="24"/>
        </w:rPr>
        <w:t>Forward-looking statements</w:t>
      </w:r>
    </w:p>
    <w:p w:rsidR="00BA56D1" w:rsidRPr="000F03E3" w:rsidRDefault="00BA56D1" w:rsidP="00BA56D1">
      <w:pPr>
        <w:jc w:val="left"/>
        <w:rPr>
          <w:rFonts w:ascii="Arial" w:hAnsi="Arial" w:cs="Arial"/>
          <w:sz w:val="24"/>
          <w:szCs w:val="24"/>
        </w:rPr>
      </w:pPr>
    </w:p>
    <w:p w:rsidR="00BA56D1" w:rsidRPr="000F03E3" w:rsidRDefault="00BA56D1" w:rsidP="00BA56D1">
      <w:pPr>
        <w:jc w:val="left"/>
        <w:rPr>
          <w:rFonts w:ascii="Arial" w:hAnsi="Arial" w:cs="Arial"/>
        </w:rPr>
      </w:pPr>
      <w:r w:rsidRPr="000F03E3">
        <w:rPr>
          <w:rFonts w:ascii="Arial" w:hAnsi="Arial" w:cs="Arial"/>
          <w:sz w:val="24"/>
          <w:szCs w:val="24"/>
        </w:rPr>
        <w:t xml:space="preserve">This press release contains certain statements that are forward-looking and </w:t>
      </w:r>
      <w:r>
        <w:rPr>
          <w:rFonts w:ascii="Arial" w:hAnsi="Arial" w:cs="Arial"/>
          <w:sz w:val="24"/>
          <w:szCs w:val="24"/>
        </w:rPr>
        <w:t xml:space="preserve">which should be considered, amongst other statutory provisions, in light of the safe harbour provisions of the United States Private Securities Litigation Reform Act of 1995. All statements other than statements of historical facts may be forward-looking statements.  Such statements </w:t>
      </w:r>
      <w:r w:rsidRPr="000F03E3">
        <w:rPr>
          <w:rFonts w:ascii="Arial" w:hAnsi="Arial" w:cs="Arial"/>
          <w:sz w:val="24"/>
          <w:szCs w:val="24"/>
        </w:rPr>
        <w:t>are</w:t>
      </w:r>
      <w:r>
        <w:rPr>
          <w:rFonts w:ascii="Arial" w:hAnsi="Arial" w:cs="Arial"/>
          <w:sz w:val="24"/>
          <w:szCs w:val="24"/>
        </w:rPr>
        <w:t xml:space="preserve">, </w:t>
      </w:r>
      <w:r w:rsidRPr="000F03E3">
        <w:rPr>
          <w:rFonts w:ascii="Arial" w:hAnsi="Arial" w:cs="Arial"/>
          <w:sz w:val="24"/>
          <w:szCs w:val="24"/>
        </w:rPr>
        <w:t>therefore</w:t>
      </w:r>
      <w:r>
        <w:rPr>
          <w:rFonts w:ascii="Arial" w:hAnsi="Arial" w:cs="Arial"/>
          <w:sz w:val="24"/>
          <w:szCs w:val="24"/>
        </w:rPr>
        <w:t>,</w:t>
      </w:r>
      <w:r w:rsidRPr="000F03E3">
        <w:rPr>
          <w:rFonts w:ascii="Arial" w:hAnsi="Arial" w:cs="Arial"/>
          <w:sz w:val="24"/>
          <w:szCs w:val="24"/>
        </w:rPr>
        <w:t xml:space="preserve"> subject to risks, assumptions and uncertainties that could cause actual results to differ materially from those expressed or implied because they relate to future events. These forward-looking statements include, but are not limited to, statements </w:t>
      </w:r>
      <w:bookmarkStart w:id="13" w:name="OLE_LINK7"/>
      <w:bookmarkStart w:id="14" w:name="OLE_LINK8"/>
      <w:r w:rsidRPr="000F03E3">
        <w:rPr>
          <w:rFonts w:ascii="Arial" w:hAnsi="Arial" w:cs="Arial"/>
          <w:sz w:val="24"/>
          <w:szCs w:val="24"/>
        </w:rPr>
        <w:t xml:space="preserve">relating to the Company’s expectations around the </w:t>
      </w:r>
      <w:r>
        <w:rPr>
          <w:rFonts w:ascii="Arial" w:hAnsi="Arial" w:cs="Arial"/>
          <w:sz w:val="24"/>
          <w:szCs w:val="24"/>
        </w:rPr>
        <w:t>C</w:t>
      </w:r>
      <w:r w:rsidRPr="000F03E3">
        <w:rPr>
          <w:rFonts w:ascii="Arial" w:hAnsi="Arial" w:cs="Arial"/>
          <w:sz w:val="24"/>
          <w:szCs w:val="24"/>
        </w:rPr>
        <w:t xml:space="preserve">ompany’s </w:t>
      </w:r>
      <w:r>
        <w:rPr>
          <w:rFonts w:ascii="Arial" w:hAnsi="Arial" w:cs="Arial"/>
          <w:sz w:val="24"/>
          <w:szCs w:val="24"/>
        </w:rPr>
        <w:t>programme</w:t>
      </w:r>
      <w:r w:rsidRPr="000F03E3">
        <w:rPr>
          <w:rFonts w:ascii="Arial" w:hAnsi="Arial" w:cs="Arial"/>
          <w:sz w:val="24"/>
          <w:szCs w:val="24"/>
        </w:rPr>
        <w:t xml:space="preserve"> known as ‘Creating the Leader’ and its associated eight steps.</w:t>
      </w:r>
      <w:r w:rsidRPr="000F03E3">
        <w:rPr>
          <w:rFonts w:ascii="Arial" w:hAnsi="Arial" w:cs="Arial"/>
        </w:rPr>
        <w:t xml:space="preserve"> </w:t>
      </w:r>
      <w:bookmarkEnd w:id="13"/>
      <w:bookmarkEnd w:id="14"/>
    </w:p>
    <w:p w:rsidR="00BA56D1" w:rsidRPr="000F03E3" w:rsidRDefault="00BA56D1" w:rsidP="00BA56D1">
      <w:pPr>
        <w:jc w:val="left"/>
        <w:rPr>
          <w:rFonts w:ascii="Arial" w:hAnsi="Arial" w:cs="Arial"/>
          <w:sz w:val="24"/>
          <w:szCs w:val="24"/>
        </w:rPr>
      </w:pPr>
    </w:p>
    <w:p w:rsidR="00BA56D1" w:rsidRPr="00D05830" w:rsidRDefault="00BA56D1" w:rsidP="00BA56D1">
      <w:pPr>
        <w:jc w:val="left"/>
        <w:rPr>
          <w:rFonts w:ascii="Arial" w:hAnsi="Arial" w:cs="Arial"/>
          <w:sz w:val="24"/>
          <w:szCs w:val="24"/>
        </w:rPr>
      </w:pPr>
      <w:r w:rsidRPr="000F03E3">
        <w:rPr>
          <w:rFonts w:ascii="Arial" w:hAnsi="Arial" w:cs="Arial"/>
          <w:sz w:val="24"/>
          <w:szCs w:val="24"/>
        </w:rPr>
        <w:t>Forward-looking statements can be identified by the use of relevant terminology including the words: “believes”, “estimates”, “anticipates”, “expects”, “intends”, “plans”, “goal”, “target”, “aim”, “may”, “will”, “would”, “could” or “should” or, in each case, their negative or other variations or comparable terminology and include all matters that are not historical facts</w:t>
      </w:r>
      <w:r w:rsidRPr="00D05830">
        <w:rPr>
          <w:rFonts w:ascii="Arial" w:hAnsi="Arial" w:cs="Arial"/>
          <w:sz w:val="24"/>
          <w:szCs w:val="24"/>
        </w:rPr>
        <w:t>. They appear in a number of places throughout this press release and include statements regarding our intentions, beliefs or current expectations and those of our officers, directors and employees concerning, amongst other things, our results of operations, financial condition, changes in tax rates, liquidity, prospects, growth, strategies and the businesses we operate.</w:t>
      </w:r>
    </w:p>
    <w:p w:rsidR="00BA56D1" w:rsidRPr="000F03E3" w:rsidRDefault="00BA56D1" w:rsidP="00BA56D1">
      <w:pPr>
        <w:jc w:val="left"/>
        <w:rPr>
          <w:rFonts w:ascii="Arial" w:hAnsi="Arial" w:cs="Arial"/>
          <w:sz w:val="24"/>
          <w:szCs w:val="24"/>
        </w:rPr>
      </w:pPr>
    </w:p>
    <w:p w:rsidR="00BA56D1" w:rsidRPr="000F03E3" w:rsidRDefault="00BA56D1" w:rsidP="00BA56D1">
      <w:pPr>
        <w:jc w:val="left"/>
        <w:rPr>
          <w:rFonts w:ascii="Arial" w:hAnsi="Arial" w:cs="Arial"/>
          <w:sz w:val="24"/>
          <w:szCs w:val="24"/>
        </w:rPr>
      </w:pPr>
      <w:r w:rsidRPr="000F03E3">
        <w:rPr>
          <w:rFonts w:ascii="Arial" w:hAnsi="Arial" w:cs="Arial"/>
          <w:sz w:val="24"/>
          <w:szCs w:val="24"/>
        </w:rPr>
        <w:t>Other factors that could cause actual results to differ materially from those estimated by the forward-looking statements include, but are not limited to, global economic business conditions, monetary and interest rate policies, foreign currency exchange rates, equity and property prices, the impact of competition, inflation and deflation, changes to regulations, taxes and legislation, changes to consumer saving and spending habits; and our success in managing these factors.</w:t>
      </w:r>
    </w:p>
    <w:p w:rsidR="00BA56D1" w:rsidRPr="000F03E3" w:rsidRDefault="00BA56D1" w:rsidP="00BA56D1">
      <w:pPr>
        <w:jc w:val="left"/>
        <w:rPr>
          <w:rFonts w:ascii="Arial" w:hAnsi="Arial" w:cs="Arial"/>
          <w:sz w:val="24"/>
          <w:szCs w:val="24"/>
        </w:rPr>
      </w:pPr>
    </w:p>
    <w:p w:rsidR="00BA56D1" w:rsidRPr="000F03E3" w:rsidRDefault="00BA56D1" w:rsidP="00BA56D1">
      <w:pPr>
        <w:jc w:val="left"/>
        <w:rPr>
          <w:rFonts w:ascii="Arial" w:hAnsi="Arial" w:cs="Arial"/>
          <w:sz w:val="24"/>
          <w:szCs w:val="24"/>
        </w:rPr>
      </w:pPr>
      <w:r w:rsidRPr="000F03E3">
        <w:rPr>
          <w:rFonts w:ascii="Arial" w:hAnsi="Arial" w:cs="Arial"/>
          <w:sz w:val="24"/>
          <w:szCs w:val="24"/>
        </w:rPr>
        <w:t>Consequently, our actual future financial condition, performance and results could differ materially from the plans, goals and expectations set out in our forward-looking statements</w:t>
      </w:r>
      <w:r>
        <w:rPr>
          <w:rFonts w:ascii="Arial" w:hAnsi="Arial" w:cs="Arial"/>
          <w:sz w:val="24"/>
          <w:szCs w:val="24"/>
        </w:rPr>
        <w:t>. We urge you to read our annual report and other company reports, including the risk factors contained therein, for a more detailed discussion of the factors that could affect our future performance and the industry in which we operate. R</w:t>
      </w:r>
      <w:r w:rsidRPr="000F03E3">
        <w:rPr>
          <w:rFonts w:ascii="Arial" w:hAnsi="Arial" w:cs="Arial"/>
          <w:sz w:val="24"/>
          <w:szCs w:val="24"/>
        </w:rPr>
        <w:t>eliance should not be placed on any forward</w:t>
      </w:r>
      <w:r>
        <w:rPr>
          <w:rFonts w:ascii="Arial" w:hAnsi="Arial" w:cs="Arial"/>
          <w:sz w:val="24"/>
          <w:szCs w:val="24"/>
        </w:rPr>
        <w:t>-</w:t>
      </w:r>
      <w:r w:rsidRPr="000F03E3">
        <w:rPr>
          <w:rFonts w:ascii="Arial" w:hAnsi="Arial" w:cs="Arial"/>
          <w:sz w:val="24"/>
          <w:szCs w:val="24"/>
        </w:rPr>
        <w:t xml:space="preserve">looking statement. </w:t>
      </w:r>
      <w:r>
        <w:rPr>
          <w:rFonts w:ascii="Arial" w:hAnsi="Arial" w:cs="Arial"/>
          <w:sz w:val="24"/>
          <w:szCs w:val="24"/>
        </w:rPr>
        <w:t>Our forward looking statements speak only as of the date of this press release and t</w:t>
      </w:r>
      <w:r w:rsidRPr="000F03E3">
        <w:rPr>
          <w:rFonts w:ascii="Arial" w:hAnsi="Arial" w:cs="Arial"/>
          <w:sz w:val="24"/>
          <w:szCs w:val="24"/>
        </w:rPr>
        <w:t xml:space="preserve">he Company undertakes no obligation to publicly update any forward-looking statement, whether as a result of new information, future events or otherwise. Nothing in this press release should be construed as a profit forecast. </w:t>
      </w:r>
    </w:p>
    <w:p w:rsidR="00181E03" w:rsidRPr="00BA56D1" w:rsidRDefault="00181E03" w:rsidP="00EB0AC1">
      <w:pPr>
        <w:jc w:val="left"/>
        <w:rPr>
          <w:rFonts w:cs="Times New Roman"/>
        </w:rPr>
      </w:pPr>
    </w:p>
    <w:sectPr w:rsidR="00181E03" w:rsidRPr="00BA56D1" w:rsidSect="00E43AB5">
      <w:headerReference w:type="default" r:id="rId12"/>
      <w:footerReference w:type="even" r:id="rId13"/>
      <w:footerReference w:type="default" r:id="rId14"/>
      <w:pgSz w:w="11909" w:h="16834" w:code="9"/>
      <w:pgMar w:top="1077" w:right="1134" w:bottom="720" w:left="1134" w:header="113" w:footer="77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771" w:rsidRDefault="00103771">
      <w:pPr>
        <w:rPr>
          <w:rFonts w:cs="Times New Roman"/>
        </w:rPr>
      </w:pPr>
      <w:r>
        <w:rPr>
          <w:rFonts w:cs="Times New Roman"/>
        </w:rPr>
        <w:separator/>
      </w:r>
    </w:p>
  </w:endnote>
  <w:endnote w:type="continuationSeparator" w:id="0">
    <w:p w:rsidR="00103771" w:rsidRDefault="0010377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ZapfCalligr BT">
    <w:altName w:val="Palatino Linotype"/>
    <w:charset w:val="00"/>
    <w:family w:val="roman"/>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venir 35">
    <w:altName w:val="Avenir 35"/>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771" w:rsidRDefault="00103771" w:rsidP="006452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03771" w:rsidRDefault="00103771" w:rsidP="009657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771" w:rsidRPr="00965768" w:rsidRDefault="00103771" w:rsidP="00645284">
    <w:pPr>
      <w:pStyle w:val="Footer"/>
      <w:framePr w:wrap="around" w:vAnchor="text" w:hAnchor="margin" w:xAlign="right" w:y="1"/>
      <w:rPr>
        <w:rStyle w:val="PageNumber"/>
        <w:rFonts w:ascii="Arial" w:hAnsi="Arial" w:cs="Arial"/>
      </w:rPr>
    </w:pPr>
    <w:r w:rsidRPr="00965768">
      <w:rPr>
        <w:rStyle w:val="PageNumber"/>
        <w:rFonts w:ascii="Arial" w:hAnsi="Arial" w:cs="Arial"/>
      </w:rPr>
      <w:fldChar w:fldCharType="begin"/>
    </w:r>
    <w:r w:rsidRPr="00965768">
      <w:rPr>
        <w:rStyle w:val="PageNumber"/>
        <w:rFonts w:ascii="Arial" w:hAnsi="Arial" w:cs="Arial"/>
      </w:rPr>
      <w:instrText xml:space="preserve">PAGE  </w:instrText>
    </w:r>
    <w:r w:rsidRPr="00965768">
      <w:rPr>
        <w:rStyle w:val="PageNumber"/>
        <w:rFonts w:ascii="Arial" w:hAnsi="Arial" w:cs="Arial"/>
      </w:rPr>
      <w:fldChar w:fldCharType="separate"/>
    </w:r>
    <w:r w:rsidR="00CE3448">
      <w:rPr>
        <w:rStyle w:val="PageNumber"/>
        <w:rFonts w:ascii="Arial" w:hAnsi="Arial" w:cs="Arial"/>
        <w:noProof/>
      </w:rPr>
      <w:t>9</w:t>
    </w:r>
    <w:r w:rsidRPr="00965768">
      <w:rPr>
        <w:rStyle w:val="PageNumber"/>
        <w:rFonts w:ascii="Arial" w:hAnsi="Arial" w:cs="Arial"/>
      </w:rPr>
      <w:fldChar w:fldCharType="end"/>
    </w:r>
    <w:r w:rsidRPr="00965768">
      <w:rPr>
        <w:rStyle w:val="PageNumber"/>
        <w:rFonts w:ascii="Arial" w:hAnsi="Arial" w:cs="Arial"/>
      </w:rPr>
      <w:t>/</w:t>
    </w:r>
    <w:r w:rsidRPr="00965768">
      <w:rPr>
        <w:rStyle w:val="PageNumber"/>
        <w:rFonts w:ascii="Arial" w:hAnsi="Arial" w:cs="Arial"/>
      </w:rPr>
      <w:fldChar w:fldCharType="begin"/>
    </w:r>
    <w:r w:rsidRPr="00965768">
      <w:rPr>
        <w:rStyle w:val="PageNumber"/>
        <w:rFonts w:ascii="Arial" w:hAnsi="Arial" w:cs="Arial"/>
      </w:rPr>
      <w:instrText xml:space="preserve"> NUMPAGES </w:instrText>
    </w:r>
    <w:r w:rsidRPr="00965768">
      <w:rPr>
        <w:rStyle w:val="PageNumber"/>
        <w:rFonts w:ascii="Arial" w:hAnsi="Arial" w:cs="Arial"/>
      </w:rPr>
      <w:fldChar w:fldCharType="separate"/>
    </w:r>
    <w:r w:rsidR="00CE3448">
      <w:rPr>
        <w:rStyle w:val="PageNumber"/>
        <w:rFonts w:ascii="Arial" w:hAnsi="Arial" w:cs="Arial"/>
        <w:noProof/>
      </w:rPr>
      <w:t>17</w:t>
    </w:r>
    <w:r w:rsidRPr="00965768">
      <w:rPr>
        <w:rStyle w:val="PageNumber"/>
        <w:rFonts w:ascii="Arial" w:hAnsi="Arial" w:cs="Arial"/>
      </w:rPr>
      <w:fldChar w:fldCharType="end"/>
    </w:r>
  </w:p>
  <w:p w:rsidR="00103771" w:rsidRDefault="00103771" w:rsidP="0096576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771" w:rsidRDefault="00103771">
      <w:pPr>
        <w:rPr>
          <w:rFonts w:cs="Times New Roman"/>
        </w:rPr>
      </w:pPr>
      <w:r>
        <w:rPr>
          <w:rFonts w:cs="Times New Roman"/>
        </w:rPr>
        <w:separator/>
      </w:r>
    </w:p>
  </w:footnote>
  <w:footnote w:type="continuationSeparator" w:id="0">
    <w:p w:rsidR="00103771" w:rsidRDefault="00103771">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771" w:rsidRDefault="00103771" w:rsidP="00E43AB5">
    <w:pPr>
      <w:pStyle w:val="Header"/>
      <w:jc w:val="center"/>
    </w:pPr>
    <w:r>
      <w:rPr>
        <w:noProof/>
      </w:rPr>
      <w:drawing>
        <wp:inline distT="0" distB="0" distL="0" distR="0" wp14:anchorId="6DEA39B2" wp14:editId="4DB459EC">
          <wp:extent cx="1847850" cy="6869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F_LOGO_RGB-01.jpg"/>
                  <pic:cNvPicPr/>
                </pic:nvPicPr>
                <pic:blipFill>
                  <a:blip r:embed="rId1">
                    <a:extLst>
                      <a:ext uri="{28A0092B-C50C-407E-A947-70E740481C1C}">
                        <a14:useLocalDpi xmlns:a14="http://schemas.microsoft.com/office/drawing/2010/main" val="0"/>
                      </a:ext>
                    </a:extLst>
                  </a:blip>
                  <a:stretch>
                    <a:fillRect/>
                  </a:stretch>
                </pic:blipFill>
                <pic:spPr>
                  <a:xfrm>
                    <a:off x="0" y="0"/>
                    <a:ext cx="1848754" cy="687266"/>
                  </a:xfrm>
                  <a:prstGeom prst="rect">
                    <a:avLst/>
                  </a:prstGeom>
                </pic:spPr>
              </pic:pic>
            </a:graphicData>
          </a:graphic>
        </wp:inline>
      </w:drawing>
    </w:r>
  </w:p>
  <w:p w:rsidR="00103771" w:rsidRDefault="00103771" w:rsidP="00866ADF">
    <w:pPr>
      <w:pStyle w:val="Header"/>
      <w:jc w:val="right"/>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469E7"/>
    <w:multiLevelType w:val="hybridMultilevel"/>
    <w:tmpl w:val="334077AC"/>
    <w:lvl w:ilvl="0" w:tplc="8794D58C">
      <w:start w:val="1"/>
      <w:numFmt w:val="decimal"/>
      <w:lvlText w:val="%1."/>
      <w:lvlJc w:val="left"/>
      <w:pPr>
        <w:tabs>
          <w:tab w:val="num" w:pos="1080"/>
        </w:tabs>
        <w:ind w:left="1080" w:hanging="360"/>
      </w:pPr>
    </w:lvl>
    <w:lvl w:ilvl="1" w:tplc="EEEEB79A">
      <w:start w:val="1"/>
      <w:numFmt w:val="decimal"/>
      <w:lvlText w:val="%2."/>
      <w:lvlJc w:val="left"/>
      <w:pPr>
        <w:tabs>
          <w:tab w:val="num" w:pos="1800"/>
        </w:tabs>
        <w:ind w:left="1800" w:hanging="360"/>
      </w:pPr>
    </w:lvl>
    <w:lvl w:ilvl="2" w:tplc="21F65834" w:tentative="1">
      <w:start w:val="1"/>
      <w:numFmt w:val="decimal"/>
      <w:lvlText w:val="%3."/>
      <w:lvlJc w:val="left"/>
      <w:pPr>
        <w:tabs>
          <w:tab w:val="num" w:pos="2520"/>
        </w:tabs>
        <w:ind w:left="2520" w:hanging="360"/>
      </w:pPr>
    </w:lvl>
    <w:lvl w:ilvl="3" w:tplc="57E089F0" w:tentative="1">
      <w:start w:val="1"/>
      <w:numFmt w:val="decimal"/>
      <w:lvlText w:val="%4."/>
      <w:lvlJc w:val="left"/>
      <w:pPr>
        <w:tabs>
          <w:tab w:val="num" w:pos="3240"/>
        </w:tabs>
        <w:ind w:left="3240" w:hanging="360"/>
      </w:pPr>
    </w:lvl>
    <w:lvl w:ilvl="4" w:tplc="2CBE04EC" w:tentative="1">
      <w:start w:val="1"/>
      <w:numFmt w:val="decimal"/>
      <w:lvlText w:val="%5."/>
      <w:lvlJc w:val="left"/>
      <w:pPr>
        <w:tabs>
          <w:tab w:val="num" w:pos="3960"/>
        </w:tabs>
        <w:ind w:left="3960" w:hanging="360"/>
      </w:pPr>
    </w:lvl>
    <w:lvl w:ilvl="5" w:tplc="3D38E5B6" w:tentative="1">
      <w:start w:val="1"/>
      <w:numFmt w:val="decimal"/>
      <w:lvlText w:val="%6."/>
      <w:lvlJc w:val="left"/>
      <w:pPr>
        <w:tabs>
          <w:tab w:val="num" w:pos="4680"/>
        </w:tabs>
        <w:ind w:left="4680" w:hanging="360"/>
      </w:pPr>
    </w:lvl>
    <w:lvl w:ilvl="6" w:tplc="3C5E4980" w:tentative="1">
      <w:start w:val="1"/>
      <w:numFmt w:val="decimal"/>
      <w:lvlText w:val="%7."/>
      <w:lvlJc w:val="left"/>
      <w:pPr>
        <w:tabs>
          <w:tab w:val="num" w:pos="5400"/>
        </w:tabs>
        <w:ind w:left="5400" w:hanging="360"/>
      </w:pPr>
    </w:lvl>
    <w:lvl w:ilvl="7" w:tplc="4710A70A" w:tentative="1">
      <w:start w:val="1"/>
      <w:numFmt w:val="decimal"/>
      <w:lvlText w:val="%8."/>
      <w:lvlJc w:val="left"/>
      <w:pPr>
        <w:tabs>
          <w:tab w:val="num" w:pos="6120"/>
        </w:tabs>
        <w:ind w:left="6120" w:hanging="360"/>
      </w:pPr>
    </w:lvl>
    <w:lvl w:ilvl="8" w:tplc="9774CC68" w:tentative="1">
      <w:start w:val="1"/>
      <w:numFmt w:val="decimal"/>
      <w:lvlText w:val="%9."/>
      <w:lvlJc w:val="left"/>
      <w:pPr>
        <w:tabs>
          <w:tab w:val="num" w:pos="6840"/>
        </w:tabs>
        <w:ind w:left="6840" w:hanging="360"/>
      </w:pPr>
    </w:lvl>
  </w:abstractNum>
  <w:abstractNum w:abstractNumId="1">
    <w:nsid w:val="04014FC9"/>
    <w:multiLevelType w:val="hybridMultilevel"/>
    <w:tmpl w:val="770CAC3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092F73EC"/>
    <w:multiLevelType w:val="hybridMultilevel"/>
    <w:tmpl w:val="F7CA8A4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3">
    <w:nsid w:val="0C65269E"/>
    <w:multiLevelType w:val="hybridMultilevel"/>
    <w:tmpl w:val="4FCA66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1C5A5D65"/>
    <w:multiLevelType w:val="hybridMultilevel"/>
    <w:tmpl w:val="3BA6DAF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1DA91CB4"/>
    <w:multiLevelType w:val="hybridMultilevel"/>
    <w:tmpl w:val="4934A7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E056D1"/>
    <w:multiLevelType w:val="hybridMultilevel"/>
    <w:tmpl w:val="1EAE7702"/>
    <w:lvl w:ilvl="0" w:tplc="CB7C0ED2">
      <w:start w:val="1"/>
      <w:numFmt w:val="decimal"/>
      <w:lvlText w:val="%1."/>
      <w:lvlJc w:val="left"/>
      <w:pPr>
        <w:ind w:left="720" w:hanging="360"/>
      </w:pPr>
      <w:rPr>
        <w:rFonts w:cs="Times New Roman"/>
        <w:b/>
        <w:bCs/>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7">
    <w:nsid w:val="1F4836AB"/>
    <w:multiLevelType w:val="hybridMultilevel"/>
    <w:tmpl w:val="E44E18BE"/>
    <w:lvl w:ilvl="0" w:tplc="738402EC">
      <w:start w:val="1"/>
      <w:numFmt w:val="bullet"/>
      <w:lvlText w:val="-"/>
      <w:lvlJc w:val="left"/>
      <w:pPr>
        <w:tabs>
          <w:tab w:val="num" w:pos="720"/>
        </w:tabs>
        <w:ind w:left="720" w:hanging="360"/>
      </w:pPr>
      <w:rPr>
        <w:rFonts w:ascii="Univers" w:hAnsi="Univer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3813F37"/>
    <w:multiLevelType w:val="hybridMultilevel"/>
    <w:tmpl w:val="B686DEFC"/>
    <w:lvl w:ilvl="0" w:tplc="08090001">
      <w:start w:val="1"/>
      <w:numFmt w:val="bullet"/>
      <w:lvlText w:val=""/>
      <w:lvlJc w:val="left"/>
      <w:pPr>
        <w:ind w:left="1500" w:hanging="360"/>
      </w:pPr>
      <w:rPr>
        <w:rFonts w:ascii="Symbol" w:hAnsi="Symbol" w:hint="default"/>
      </w:rPr>
    </w:lvl>
    <w:lvl w:ilvl="1" w:tplc="08090003">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9">
    <w:nsid w:val="2535198B"/>
    <w:multiLevelType w:val="hybridMultilevel"/>
    <w:tmpl w:val="1F22D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C712AC1"/>
    <w:multiLevelType w:val="hybridMultilevel"/>
    <w:tmpl w:val="DC485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1338AE"/>
    <w:multiLevelType w:val="hybridMultilevel"/>
    <w:tmpl w:val="B7CED212"/>
    <w:lvl w:ilvl="0" w:tplc="08090001">
      <w:start w:val="1"/>
      <w:numFmt w:val="bullet"/>
      <w:lvlText w:val=""/>
      <w:lvlJc w:val="left"/>
      <w:pPr>
        <w:ind w:left="1800" w:hanging="360"/>
      </w:pPr>
      <w:rPr>
        <w:rFonts w:ascii="Symbol" w:hAnsi="Symbol" w:hint="default"/>
      </w:rPr>
    </w:lvl>
    <w:lvl w:ilvl="1" w:tplc="B9F0DF66">
      <w:numFmt w:val="bullet"/>
      <w:lvlText w:val="-"/>
      <w:lvlJc w:val="left"/>
      <w:pPr>
        <w:ind w:left="2520" w:hanging="360"/>
      </w:pPr>
      <w:rPr>
        <w:rFonts w:ascii="Arial" w:eastAsia="Batang" w:hAnsi="Arial" w:cs="Aria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nsid w:val="2FB86FFA"/>
    <w:multiLevelType w:val="multilevel"/>
    <w:tmpl w:val="4BA456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2FD40310"/>
    <w:multiLevelType w:val="hybridMultilevel"/>
    <w:tmpl w:val="5E985B8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nsid w:val="2FFB7A8A"/>
    <w:multiLevelType w:val="hybridMultilevel"/>
    <w:tmpl w:val="915E33B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nsid w:val="350C4DC9"/>
    <w:multiLevelType w:val="hybridMultilevel"/>
    <w:tmpl w:val="A0F674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6D661A3"/>
    <w:multiLevelType w:val="hybridMultilevel"/>
    <w:tmpl w:val="E12E316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nsid w:val="371F65DA"/>
    <w:multiLevelType w:val="hybridMultilevel"/>
    <w:tmpl w:val="5D666F22"/>
    <w:lvl w:ilvl="0" w:tplc="0809000F">
      <w:start w:val="1"/>
      <w:numFmt w:val="decimal"/>
      <w:lvlText w:val="%1."/>
      <w:lvlJc w:val="lef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8">
    <w:nsid w:val="3AB3266D"/>
    <w:multiLevelType w:val="hybridMultilevel"/>
    <w:tmpl w:val="9746D60E"/>
    <w:lvl w:ilvl="0" w:tplc="08090001">
      <w:start w:val="1"/>
      <w:numFmt w:val="bullet"/>
      <w:lvlText w:val=""/>
      <w:lvlJc w:val="left"/>
      <w:pPr>
        <w:tabs>
          <w:tab w:val="num" w:pos="360"/>
        </w:tabs>
        <w:ind w:left="360" w:hanging="360"/>
      </w:pPr>
      <w:rPr>
        <w:rFonts w:ascii="Symbol" w:hAnsi="Symbol" w:hint="default"/>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D8D14F0"/>
    <w:multiLevelType w:val="hybridMultilevel"/>
    <w:tmpl w:val="826AB86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1">
      <w:start w:val="1"/>
      <w:numFmt w:val="bullet"/>
      <w:lvlText w:val=""/>
      <w:lvlJc w:val="left"/>
      <w:pPr>
        <w:tabs>
          <w:tab w:val="num" w:pos="1800"/>
        </w:tabs>
        <w:ind w:left="1800" w:hanging="360"/>
      </w:pPr>
      <w:rPr>
        <w:rFonts w:ascii="Symbol" w:hAnsi="Symbol"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0">
    <w:nsid w:val="3DAD6626"/>
    <w:multiLevelType w:val="hybridMultilevel"/>
    <w:tmpl w:val="93328438"/>
    <w:lvl w:ilvl="0" w:tplc="4B149752">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08B4636"/>
    <w:multiLevelType w:val="hybridMultilevel"/>
    <w:tmpl w:val="4A08710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nsid w:val="44426928"/>
    <w:multiLevelType w:val="hybridMultilevel"/>
    <w:tmpl w:val="AC2CB844"/>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nsid w:val="44523AF7"/>
    <w:multiLevelType w:val="hybridMultilevel"/>
    <w:tmpl w:val="C846A8C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nsid w:val="502D2175"/>
    <w:multiLevelType w:val="hybridMultilevel"/>
    <w:tmpl w:val="0A8E5F5A"/>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nsid w:val="50BF7000"/>
    <w:multiLevelType w:val="hybridMultilevel"/>
    <w:tmpl w:val="14DCA8E6"/>
    <w:lvl w:ilvl="0" w:tplc="08090001">
      <w:start w:val="1"/>
      <w:numFmt w:val="bullet"/>
      <w:lvlText w:val=""/>
      <w:lvlJc w:val="left"/>
      <w:pPr>
        <w:tabs>
          <w:tab w:val="num" w:pos="360"/>
        </w:tabs>
        <w:ind w:left="360" w:hanging="360"/>
      </w:pPr>
      <w:rPr>
        <w:rFonts w:ascii="Symbol" w:hAnsi="Symbol" w:hint="default"/>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1171DC6"/>
    <w:multiLevelType w:val="hybridMultilevel"/>
    <w:tmpl w:val="EE388572"/>
    <w:lvl w:ilvl="0" w:tplc="6EE002E2">
      <w:start w:val="1"/>
      <w:numFmt w:val="decimal"/>
      <w:lvlText w:val="(%1)"/>
      <w:lvlJc w:val="left"/>
      <w:pPr>
        <w:ind w:left="720" w:hanging="360"/>
      </w:pPr>
      <w:rPr>
        <w:rFonts w:ascii="Helvetica" w:hAnsi="Helvetica" w:cs="Helvetica"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16978F0"/>
    <w:multiLevelType w:val="hybridMultilevel"/>
    <w:tmpl w:val="08BED3AC"/>
    <w:lvl w:ilvl="0" w:tplc="08090001">
      <w:start w:val="1"/>
      <w:numFmt w:val="bullet"/>
      <w:lvlText w:val=""/>
      <w:lvlJc w:val="left"/>
      <w:pPr>
        <w:ind w:left="720" w:hanging="360"/>
      </w:pPr>
      <w:rPr>
        <w:rFonts w:ascii="Symbol" w:hAnsi="Symbol" w:hint="default"/>
      </w:rPr>
    </w:lvl>
    <w:lvl w:ilvl="1" w:tplc="E80CA920">
      <w:numFmt w:val="bullet"/>
      <w:lvlText w:val="•"/>
      <w:lvlJc w:val="left"/>
      <w:pPr>
        <w:ind w:left="1800" w:hanging="720"/>
      </w:pPr>
      <w:rPr>
        <w:rFonts w:ascii="Arial" w:eastAsia="Batang"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72739BF"/>
    <w:multiLevelType w:val="hybridMultilevel"/>
    <w:tmpl w:val="3C10C5DE"/>
    <w:lvl w:ilvl="0" w:tplc="08090011">
      <w:start w:val="1"/>
      <w:numFmt w:val="decimal"/>
      <w:lvlText w:val="%1)"/>
      <w:lvlJc w:val="left"/>
      <w:pPr>
        <w:ind w:left="720" w:hanging="360"/>
      </w:pPr>
      <w:rPr>
        <w:rFonts w:hint="default"/>
      </w:rPr>
    </w:lvl>
    <w:lvl w:ilvl="1" w:tplc="738402EC">
      <w:start w:val="1"/>
      <w:numFmt w:val="bullet"/>
      <w:lvlText w:val="-"/>
      <w:lvlJc w:val="left"/>
      <w:pPr>
        <w:ind w:left="1440" w:hanging="360"/>
      </w:pPr>
      <w:rPr>
        <w:rFonts w:ascii="Univers" w:hAnsi="Univers"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9">
    <w:nsid w:val="58643212"/>
    <w:multiLevelType w:val="hybridMultilevel"/>
    <w:tmpl w:val="416ACE6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nsid w:val="58697BCF"/>
    <w:multiLevelType w:val="hybridMultilevel"/>
    <w:tmpl w:val="1AF47006"/>
    <w:lvl w:ilvl="0" w:tplc="4E64CD18">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1">
    <w:nsid w:val="5CDB78AB"/>
    <w:multiLevelType w:val="hybridMultilevel"/>
    <w:tmpl w:val="FBE8A1C8"/>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nsid w:val="600B5611"/>
    <w:multiLevelType w:val="hybridMultilevel"/>
    <w:tmpl w:val="32F2C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nsid w:val="6161235D"/>
    <w:multiLevelType w:val="hybridMultilevel"/>
    <w:tmpl w:val="ABB8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AD9599F"/>
    <w:multiLevelType w:val="hybridMultilevel"/>
    <w:tmpl w:val="021662E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5">
    <w:nsid w:val="6BA0199D"/>
    <w:multiLevelType w:val="hybridMultilevel"/>
    <w:tmpl w:val="1B889320"/>
    <w:lvl w:ilvl="0" w:tplc="75048EDC">
      <w:numFmt w:val="bullet"/>
      <w:lvlText w:val="-"/>
      <w:lvlJc w:val="left"/>
      <w:pPr>
        <w:tabs>
          <w:tab w:val="num" w:pos="720"/>
        </w:tabs>
        <w:ind w:left="720" w:hanging="360"/>
      </w:pPr>
      <w:rPr>
        <w:rFonts w:ascii="Arial" w:eastAsia="Times New Roman" w:hAnsi="Aria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C012E65"/>
    <w:multiLevelType w:val="hybridMultilevel"/>
    <w:tmpl w:val="27CC092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nsid w:val="6D3A24BB"/>
    <w:multiLevelType w:val="hybridMultilevel"/>
    <w:tmpl w:val="B7A2322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nsid w:val="70D90350"/>
    <w:multiLevelType w:val="hybridMultilevel"/>
    <w:tmpl w:val="86E0D4E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9">
    <w:nsid w:val="71F635D6"/>
    <w:multiLevelType w:val="hybridMultilevel"/>
    <w:tmpl w:val="124C651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0">
    <w:nsid w:val="7CDF3CFF"/>
    <w:multiLevelType w:val="hybridMultilevel"/>
    <w:tmpl w:val="72B02C76"/>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1">
    <w:nsid w:val="7E29463A"/>
    <w:multiLevelType w:val="hybridMultilevel"/>
    <w:tmpl w:val="6BEEF3D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2">
    <w:nsid w:val="7E33445E"/>
    <w:multiLevelType w:val="hybridMultilevel"/>
    <w:tmpl w:val="3FD2D1FC"/>
    <w:lvl w:ilvl="0" w:tplc="76425DD6">
      <w:numFmt w:val="bullet"/>
      <w:lvlText w:val="•"/>
      <w:lvlJc w:val="left"/>
      <w:pPr>
        <w:ind w:left="1080" w:hanging="72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30"/>
  </w:num>
  <w:num w:numId="4">
    <w:abstractNumId w:val="28"/>
  </w:num>
  <w:num w:numId="5">
    <w:abstractNumId w:val="6"/>
  </w:num>
  <w:num w:numId="6">
    <w:abstractNumId w:val="8"/>
  </w:num>
  <w:num w:numId="7">
    <w:abstractNumId w:val="0"/>
  </w:num>
  <w:num w:numId="8">
    <w:abstractNumId w:val="4"/>
  </w:num>
  <w:num w:numId="9">
    <w:abstractNumId w:val="21"/>
  </w:num>
  <w:num w:numId="10">
    <w:abstractNumId w:val="1"/>
  </w:num>
  <w:num w:numId="11">
    <w:abstractNumId w:val="23"/>
  </w:num>
  <w:num w:numId="12">
    <w:abstractNumId w:val="41"/>
  </w:num>
  <w:num w:numId="13">
    <w:abstractNumId w:val="39"/>
  </w:num>
  <w:num w:numId="14">
    <w:abstractNumId w:val="31"/>
  </w:num>
  <w:num w:numId="15">
    <w:abstractNumId w:val="7"/>
  </w:num>
  <w:num w:numId="16">
    <w:abstractNumId w:val="35"/>
  </w:num>
  <w:num w:numId="17">
    <w:abstractNumId w:val="25"/>
  </w:num>
  <w:num w:numId="18">
    <w:abstractNumId w:val="18"/>
  </w:num>
  <w:num w:numId="19">
    <w:abstractNumId w:val="14"/>
  </w:num>
  <w:num w:numId="20">
    <w:abstractNumId w:val="3"/>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13"/>
  </w:num>
  <w:num w:numId="28">
    <w:abstractNumId w:val="40"/>
  </w:num>
  <w:num w:numId="29">
    <w:abstractNumId w:val="33"/>
  </w:num>
  <w:num w:numId="30">
    <w:abstractNumId w:val="36"/>
  </w:num>
  <w:num w:numId="31">
    <w:abstractNumId w:val="16"/>
  </w:num>
  <w:num w:numId="32">
    <w:abstractNumId w:val="24"/>
  </w:num>
  <w:num w:numId="33">
    <w:abstractNumId w:val="9"/>
  </w:num>
  <w:num w:numId="34">
    <w:abstractNumId w:val="29"/>
  </w:num>
  <w:num w:numId="35">
    <w:abstractNumId w:val="17"/>
  </w:num>
  <w:num w:numId="36">
    <w:abstractNumId w:val="32"/>
  </w:num>
  <w:num w:numId="37">
    <w:abstractNumId w:val="22"/>
  </w:num>
  <w:num w:numId="38">
    <w:abstractNumId w:val="5"/>
  </w:num>
  <w:num w:numId="39">
    <w:abstractNumId w:val="42"/>
  </w:num>
  <w:num w:numId="40">
    <w:abstractNumId w:val="27"/>
  </w:num>
  <w:num w:numId="41">
    <w:abstractNumId w:val="20"/>
  </w:num>
  <w:num w:numId="42">
    <w:abstractNumId w:val="11"/>
  </w:num>
  <w:num w:numId="43">
    <w:abstractNumId w:val="37"/>
  </w:num>
  <w:num w:numId="44">
    <w:abstractNumId w:val="34"/>
  </w:num>
  <w:num w:numId="45">
    <w:abstractNumId w:val="38"/>
  </w:num>
  <w:num w:numId="46">
    <w:abstractNumId w:val="15"/>
  </w:num>
  <w:num w:numId="47">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noPunctuationKerning/>
  <w:characterSpacingControl w:val="doNotCompress"/>
  <w:doNotValidateAgainstSchema/>
  <w:doNotDemarcateInvalidXml/>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069"/>
    <w:rsid w:val="0000047F"/>
    <w:rsid w:val="000006D2"/>
    <w:rsid w:val="00000FE7"/>
    <w:rsid w:val="000012DD"/>
    <w:rsid w:val="0000154D"/>
    <w:rsid w:val="000026D0"/>
    <w:rsid w:val="00002DFA"/>
    <w:rsid w:val="00002F27"/>
    <w:rsid w:val="0000303B"/>
    <w:rsid w:val="000034A6"/>
    <w:rsid w:val="00003A9F"/>
    <w:rsid w:val="00003FF5"/>
    <w:rsid w:val="0000423D"/>
    <w:rsid w:val="000047E4"/>
    <w:rsid w:val="00006863"/>
    <w:rsid w:val="00006B3B"/>
    <w:rsid w:val="00006C01"/>
    <w:rsid w:val="00006F66"/>
    <w:rsid w:val="00006FD2"/>
    <w:rsid w:val="00007058"/>
    <w:rsid w:val="000077C7"/>
    <w:rsid w:val="00007BD0"/>
    <w:rsid w:val="0001042A"/>
    <w:rsid w:val="00010672"/>
    <w:rsid w:val="000109D7"/>
    <w:rsid w:val="00010EC9"/>
    <w:rsid w:val="00011491"/>
    <w:rsid w:val="000119D5"/>
    <w:rsid w:val="00012085"/>
    <w:rsid w:val="000125AC"/>
    <w:rsid w:val="00012C17"/>
    <w:rsid w:val="00012FF2"/>
    <w:rsid w:val="00013174"/>
    <w:rsid w:val="000138C0"/>
    <w:rsid w:val="00013A12"/>
    <w:rsid w:val="00013AD9"/>
    <w:rsid w:val="00013BFF"/>
    <w:rsid w:val="00014458"/>
    <w:rsid w:val="00014608"/>
    <w:rsid w:val="000147F4"/>
    <w:rsid w:val="00014AB9"/>
    <w:rsid w:val="00014C8E"/>
    <w:rsid w:val="00014F94"/>
    <w:rsid w:val="00015283"/>
    <w:rsid w:val="000156C2"/>
    <w:rsid w:val="00015B14"/>
    <w:rsid w:val="00016C9C"/>
    <w:rsid w:val="00016E58"/>
    <w:rsid w:val="0001743F"/>
    <w:rsid w:val="00020047"/>
    <w:rsid w:val="000206F6"/>
    <w:rsid w:val="00020713"/>
    <w:rsid w:val="00020DCF"/>
    <w:rsid w:val="0002185E"/>
    <w:rsid w:val="00021E77"/>
    <w:rsid w:val="00021FC5"/>
    <w:rsid w:val="00021FCA"/>
    <w:rsid w:val="00022100"/>
    <w:rsid w:val="000221CC"/>
    <w:rsid w:val="00022456"/>
    <w:rsid w:val="00023169"/>
    <w:rsid w:val="000232E9"/>
    <w:rsid w:val="000234FE"/>
    <w:rsid w:val="00023E6F"/>
    <w:rsid w:val="00024CBC"/>
    <w:rsid w:val="00025399"/>
    <w:rsid w:val="000261CC"/>
    <w:rsid w:val="00026714"/>
    <w:rsid w:val="00026977"/>
    <w:rsid w:val="00027085"/>
    <w:rsid w:val="00027B8D"/>
    <w:rsid w:val="00027E09"/>
    <w:rsid w:val="000300B8"/>
    <w:rsid w:val="00030D76"/>
    <w:rsid w:val="00030DEB"/>
    <w:rsid w:val="00030F90"/>
    <w:rsid w:val="00031334"/>
    <w:rsid w:val="00031453"/>
    <w:rsid w:val="000317BC"/>
    <w:rsid w:val="000317F9"/>
    <w:rsid w:val="000318DF"/>
    <w:rsid w:val="00031B98"/>
    <w:rsid w:val="00031C7B"/>
    <w:rsid w:val="00031C88"/>
    <w:rsid w:val="00031D82"/>
    <w:rsid w:val="0003213B"/>
    <w:rsid w:val="00032390"/>
    <w:rsid w:val="00032C17"/>
    <w:rsid w:val="00033259"/>
    <w:rsid w:val="00033342"/>
    <w:rsid w:val="00033A74"/>
    <w:rsid w:val="00033D2D"/>
    <w:rsid w:val="00033D3C"/>
    <w:rsid w:val="000341AB"/>
    <w:rsid w:val="000344B3"/>
    <w:rsid w:val="000348DB"/>
    <w:rsid w:val="000349E8"/>
    <w:rsid w:val="00034CC9"/>
    <w:rsid w:val="00034DDC"/>
    <w:rsid w:val="000359DA"/>
    <w:rsid w:val="00035B51"/>
    <w:rsid w:val="00035FDA"/>
    <w:rsid w:val="00036114"/>
    <w:rsid w:val="00036C2F"/>
    <w:rsid w:val="00037404"/>
    <w:rsid w:val="0003744D"/>
    <w:rsid w:val="00037AEB"/>
    <w:rsid w:val="00040303"/>
    <w:rsid w:val="000407D5"/>
    <w:rsid w:val="00040C08"/>
    <w:rsid w:val="000413C4"/>
    <w:rsid w:val="00041831"/>
    <w:rsid w:val="00041928"/>
    <w:rsid w:val="00041D18"/>
    <w:rsid w:val="0004258A"/>
    <w:rsid w:val="00042926"/>
    <w:rsid w:val="00043CDA"/>
    <w:rsid w:val="00044165"/>
    <w:rsid w:val="0004430A"/>
    <w:rsid w:val="00044627"/>
    <w:rsid w:val="000446E4"/>
    <w:rsid w:val="000448DF"/>
    <w:rsid w:val="000457B5"/>
    <w:rsid w:val="00046120"/>
    <w:rsid w:val="00046B2D"/>
    <w:rsid w:val="00046BDE"/>
    <w:rsid w:val="0004773B"/>
    <w:rsid w:val="000478E9"/>
    <w:rsid w:val="0005094E"/>
    <w:rsid w:val="00050BDB"/>
    <w:rsid w:val="00050CE5"/>
    <w:rsid w:val="00051573"/>
    <w:rsid w:val="00051EBF"/>
    <w:rsid w:val="0005238F"/>
    <w:rsid w:val="000523F7"/>
    <w:rsid w:val="000526A4"/>
    <w:rsid w:val="0005276B"/>
    <w:rsid w:val="00052A6C"/>
    <w:rsid w:val="000537E2"/>
    <w:rsid w:val="00053DE2"/>
    <w:rsid w:val="00054194"/>
    <w:rsid w:val="00054D9E"/>
    <w:rsid w:val="00054DE9"/>
    <w:rsid w:val="00054FD6"/>
    <w:rsid w:val="00055787"/>
    <w:rsid w:val="000561C7"/>
    <w:rsid w:val="00056513"/>
    <w:rsid w:val="000568B5"/>
    <w:rsid w:val="00056F7A"/>
    <w:rsid w:val="0005739A"/>
    <w:rsid w:val="0005796C"/>
    <w:rsid w:val="000604E7"/>
    <w:rsid w:val="00060679"/>
    <w:rsid w:val="00060CD5"/>
    <w:rsid w:val="00060E8F"/>
    <w:rsid w:val="000622E7"/>
    <w:rsid w:val="000629AB"/>
    <w:rsid w:val="00062AB6"/>
    <w:rsid w:val="0006315F"/>
    <w:rsid w:val="000634B6"/>
    <w:rsid w:val="00063EB2"/>
    <w:rsid w:val="00064E7C"/>
    <w:rsid w:val="00065824"/>
    <w:rsid w:val="0006589E"/>
    <w:rsid w:val="0006596C"/>
    <w:rsid w:val="00065A51"/>
    <w:rsid w:val="00065AA7"/>
    <w:rsid w:val="00065F74"/>
    <w:rsid w:val="0006601F"/>
    <w:rsid w:val="00066649"/>
    <w:rsid w:val="0006778C"/>
    <w:rsid w:val="00067B95"/>
    <w:rsid w:val="00070120"/>
    <w:rsid w:val="00070A63"/>
    <w:rsid w:val="00070F3E"/>
    <w:rsid w:val="00071152"/>
    <w:rsid w:val="00071858"/>
    <w:rsid w:val="00071F89"/>
    <w:rsid w:val="00072489"/>
    <w:rsid w:val="000734F4"/>
    <w:rsid w:val="000735D9"/>
    <w:rsid w:val="00073851"/>
    <w:rsid w:val="00073C9F"/>
    <w:rsid w:val="00073EFC"/>
    <w:rsid w:val="00074233"/>
    <w:rsid w:val="0007470C"/>
    <w:rsid w:val="00074C6A"/>
    <w:rsid w:val="00074FC0"/>
    <w:rsid w:val="000754CF"/>
    <w:rsid w:val="00075A92"/>
    <w:rsid w:val="00075D7B"/>
    <w:rsid w:val="000761DC"/>
    <w:rsid w:val="00076513"/>
    <w:rsid w:val="00076649"/>
    <w:rsid w:val="000770D6"/>
    <w:rsid w:val="0007726C"/>
    <w:rsid w:val="000773CF"/>
    <w:rsid w:val="00077704"/>
    <w:rsid w:val="00080C1D"/>
    <w:rsid w:val="00080F1A"/>
    <w:rsid w:val="0008111F"/>
    <w:rsid w:val="00081216"/>
    <w:rsid w:val="0008136D"/>
    <w:rsid w:val="00081417"/>
    <w:rsid w:val="000819DF"/>
    <w:rsid w:val="00081CC8"/>
    <w:rsid w:val="00082B7C"/>
    <w:rsid w:val="00083039"/>
    <w:rsid w:val="000840E2"/>
    <w:rsid w:val="00084CB8"/>
    <w:rsid w:val="00084E72"/>
    <w:rsid w:val="00085179"/>
    <w:rsid w:val="000861D8"/>
    <w:rsid w:val="00086349"/>
    <w:rsid w:val="00087C26"/>
    <w:rsid w:val="00087E41"/>
    <w:rsid w:val="0009025C"/>
    <w:rsid w:val="00090AE2"/>
    <w:rsid w:val="00090B70"/>
    <w:rsid w:val="000913CA"/>
    <w:rsid w:val="000918E1"/>
    <w:rsid w:val="00091FD4"/>
    <w:rsid w:val="00092194"/>
    <w:rsid w:val="000923E0"/>
    <w:rsid w:val="00092DF5"/>
    <w:rsid w:val="00093517"/>
    <w:rsid w:val="000937B3"/>
    <w:rsid w:val="00093F7F"/>
    <w:rsid w:val="000959E8"/>
    <w:rsid w:val="000975F7"/>
    <w:rsid w:val="00097D37"/>
    <w:rsid w:val="00097DD9"/>
    <w:rsid w:val="000A0129"/>
    <w:rsid w:val="000A0209"/>
    <w:rsid w:val="000A02EF"/>
    <w:rsid w:val="000A0CAC"/>
    <w:rsid w:val="000A0EFF"/>
    <w:rsid w:val="000A107E"/>
    <w:rsid w:val="000A1234"/>
    <w:rsid w:val="000A23C5"/>
    <w:rsid w:val="000A25C5"/>
    <w:rsid w:val="000A2E03"/>
    <w:rsid w:val="000A3006"/>
    <w:rsid w:val="000A3330"/>
    <w:rsid w:val="000A35D3"/>
    <w:rsid w:val="000A37A0"/>
    <w:rsid w:val="000A3A1C"/>
    <w:rsid w:val="000A3AC5"/>
    <w:rsid w:val="000A4351"/>
    <w:rsid w:val="000A45C8"/>
    <w:rsid w:val="000A4B7D"/>
    <w:rsid w:val="000A4D5A"/>
    <w:rsid w:val="000A60E5"/>
    <w:rsid w:val="000A6215"/>
    <w:rsid w:val="000A66C7"/>
    <w:rsid w:val="000A7C3E"/>
    <w:rsid w:val="000B0535"/>
    <w:rsid w:val="000B09FC"/>
    <w:rsid w:val="000B0B47"/>
    <w:rsid w:val="000B0F79"/>
    <w:rsid w:val="000B18E6"/>
    <w:rsid w:val="000B1C32"/>
    <w:rsid w:val="000B25D8"/>
    <w:rsid w:val="000B2C8D"/>
    <w:rsid w:val="000B32F7"/>
    <w:rsid w:val="000B3FD3"/>
    <w:rsid w:val="000B430F"/>
    <w:rsid w:val="000B4EFA"/>
    <w:rsid w:val="000B53D0"/>
    <w:rsid w:val="000B5C0B"/>
    <w:rsid w:val="000B61C5"/>
    <w:rsid w:val="000B641C"/>
    <w:rsid w:val="000B67C0"/>
    <w:rsid w:val="000B6AD0"/>
    <w:rsid w:val="000B71EB"/>
    <w:rsid w:val="000B76FF"/>
    <w:rsid w:val="000B7CF2"/>
    <w:rsid w:val="000C0248"/>
    <w:rsid w:val="000C05C9"/>
    <w:rsid w:val="000C0AFD"/>
    <w:rsid w:val="000C158D"/>
    <w:rsid w:val="000C30BC"/>
    <w:rsid w:val="000C347E"/>
    <w:rsid w:val="000C3669"/>
    <w:rsid w:val="000C382A"/>
    <w:rsid w:val="000C3C41"/>
    <w:rsid w:val="000C47B3"/>
    <w:rsid w:val="000C49FC"/>
    <w:rsid w:val="000C4AAD"/>
    <w:rsid w:val="000C4C21"/>
    <w:rsid w:val="000C574B"/>
    <w:rsid w:val="000C57DF"/>
    <w:rsid w:val="000C5AED"/>
    <w:rsid w:val="000C5D0A"/>
    <w:rsid w:val="000C5D1B"/>
    <w:rsid w:val="000C5F79"/>
    <w:rsid w:val="000C67CC"/>
    <w:rsid w:val="000C69C8"/>
    <w:rsid w:val="000C6C27"/>
    <w:rsid w:val="000C7426"/>
    <w:rsid w:val="000C7A93"/>
    <w:rsid w:val="000D0336"/>
    <w:rsid w:val="000D07E5"/>
    <w:rsid w:val="000D0A03"/>
    <w:rsid w:val="000D0DCD"/>
    <w:rsid w:val="000D1547"/>
    <w:rsid w:val="000D16B8"/>
    <w:rsid w:val="000D21AF"/>
    <w:rsid w:val="000D2B97"/>
    <w:rsid w:val="000D2F02"/>
    <w:rsid w:val="000D30A7"/>
    <w:rsid w:val="000D3AE7"/>
    <w:rsid w:val="000D432E"/>
    <w:rsid w:val="000D49CD"/>
    <w:rsid w:val="000D4BE1"/>
    <w:rsid w:val="000D4DD5"/>
    <w:rsid w:val="000D569F"/>
    <w:rsid w:val="000D5F1B"/>
    <w:rsid w:val="000D645B"/>
    <w:rsid w:val="000D67DC"/>
    <w:rsid w:val="000D7D54"/>
    <w:rsid w:val="000E0314"/>
    <w:rsid w:val="000E0BFB"/>
    <w:rsid w:val="000E0D80"/>
    <w:rsid w:val="000E0EB7"/>
    <w:rsid w:val="000E1109"/>
    <w:rsid w:val="000E155B"/>
    <w:rsid w:val="000E1C7B"/>
    <w:rsid w:val="000E1D6E"/>
    <w:rsid w:val="000E1F6A"/>
    <w:rsid w:val="000E2220"/>
    <w:rsid w:val="000E22DF"/>
    <w:rsid w:val="000E2675"/>
    <w:rsid w:val="000E330A"/>
    <w:rsid w:val="000E3683"/>
    <w:rsid w:val="000E37CA"/>
    <w:rsid w:val="000E3AA8"/>
    <w:rsid w:val="000E3BC6"/>
    <w:rsid w:val="000E43AB"/>
    <w:rsid w:val="000E4433"/>
    <w:rsid w:val="000E4D3A"/>
    <w:rsid w:val="000E4ED4"/>
    <w:rsid w:val="000E50AD"/>
    <w:rsid w:val="000E566A"/>
    <w:rsid w:val="000E5899"/>
    <w:rsid w:val="000E6720"/>
    <w:rsid w:val="000E693E"/>
    <w:rsid w:val="000E695E"/>
    <w:rsid w:val="000E6AA6"/>
    <w:rsid w:val="000E6BB6"/>
    <w:rsid w:val="000E6DE6"/>
    <w:rsid w:val="000E74CA"/>
    <w:rsid w:val="000E7CBF"/>
    <w:rsid w:val="000E7DA1"/>
    <w:rsid w:val="000E7DD2"/>
    <w:rsid w:val="000F00F9"/>
    <w:rsid w:val="000F03E3"/>
    <w:rsid w:val="000F06B1"/>
    <w:rsid w:val="000F105E"/>
    <w:rsid w:val="000F10A7"/>
    <w:rsid w:val="000F1261"/>
    <w:rsid w:val="000F14C3"/>
    <w:rsid w:val="000F14C6"/>
    <w:rsid w:val="000F14D4"/>
    <w:rsid w:val="000F1B86"/>
    <w:rsid w:val="000F2115"/>
    <w:rsid w:val="000F2179"/>
    <w:rsid w:val="000F2813"/>
    <w:rsid w:val="000F31CD"/>
    <w:rsid w:val="000F3278"/>
    <w:rsid w:val="000F36CC"/>
    <w:rsid w:val="000F3B5F"/>
    <w:rsid w:val="000F3BA7"/>
    <w:rsid w:val="000F3C95"/>
    <w:rsid w:val="000F4496"/>
    <w:rsid w:val="000F480A"/>
    <w:rsid w:val="000F4E80"/>
    <w:rsid w:val="000F5397"/>
    <w:rsid w:val="000F547C"/>
    <w:rsid w:val="000F593D"/>
    <w:rsid w:val="000F5D2A"/>
    <w:rsid w:val="000F6A44"/>
    <w:rsid w:val="000F7781"/>
    <w:rsid w:val="000F7CFE"/>
    <w:rsid w:val="000F7E4C"/>
    <w:rsid w:val="0010042D"/>
    <w:rsid w:val="0010057A"/>
    <w:rsid w:val="00101297"/>
    <w:rsid w:val="0010133E"/>
    <w:rsid w:val="00101D68"/>
    <w:rsid w:val="0010261D"/>
    <w:rsid w:val="00102A51"/>
    <w:rsid w:val="00103485"/>
    <w:rsid w:val="00103771"/>
    <w:rsid w:val="00103C76"/>
    <w:rsid w:val="00103E5A"/>
    <w:rsid w:val="00103FAD"/>
    <w:rsid w:val="00104057"/>
    <w:rsid w:val="00104159"/>
    <w:rsid w:val="00104E76"/>
    <w:rsid w:val="0010539C"/>
    <w:rsid w:val="00105632"/>
    <w:rsid w:val="00105890"/>
    <w:rsid w:val="00105DCF"/>
    <w:rsid w:val="00105DD3"/>
    <w:rsid w:val="00106539"/>
    <w:rsid w:val="00106815"/>
    <w:rsid w:val="00106E6B"/>
    <w:rsid w:val="001075FB"/>
    <w:rsid w:val="00107924"/>
    <w:rsid w:val="00107DC8"/>
    <w:rsid w:val="00110918"/>
    <w:rsid w:val="00110FD8"/>
    <w:rsid w:val="0011191F"/>
    <w:rsid w:val="001123D6"/>
    <w:rsid w:val="0011248C"/>
    <w:rsid w:val="001125A1"/>
    <w:rsid w:val="00112D48"/>
    <w:rsid w:val="00113FDA"/>
    <w:rsid w:val="00114781"/>
    <w:rsid w:val="00114869"/>
    <w:rsid w:val="0011509F"/>
    <w:rsid w:val="00115399"/>
    <w:rsid w:val="00116EE5"/>
    <w:rsid w:val="001172A6"/>
    <w:rsid w:val="001174B7"/>
    <w:rsid w:val="001176F2"/>
    <w:rsid w:val="001177E6"/>
    <w:rsid w:val="001179F4"/>
    <w:rsid w:val="00117BBF"/>
    <w:rsid w:val="0012027D"/>
    <w:rsid w:val="00120567"/>
    <w:rsid w:val="00121339"/>
    <w:rsid w:val="001214EC"/>
    <w:rsid w:val="00121D1E"/>
    <w:rsid w:val="00121EB0"/>
    <w:rsid w:val="00122311"/>
    <w:rsid w:val="00122998"/>
    <w:rsid w:val="0012310C"/>
    <w:rsid w:val="00123894"/>
    <w:rsid w:val="001238A3"/>
    <w:rsid w:val="00123FB3"/>
    <w:rsid w:val="001241B9"/>
    <w:rsid w:val="001248E5"/>
    <w:rsid w:val="00125011"/>
    <w:rsid w:val="00125156"/>
    <w:rsid w:val="001254D4"/>
    <w:rsid w:val="001255A5"/>
    <w:rsid w:val="00125621"/>
    <w:rsid w:val="001258AE"/>
    <w:rsid w:val="00125FF5"/>
    <w:rsid w:val="00126394"/>
    <w:rsid w:val="0012667F"/>
    <w:rsid w:val="001267F5"/>
    <w:rsid w:val="00126C3C"/>
    <w:rsid w:val="0012761F"/>
    <w:rsid w:val="00127849"/>
    <w:rsid w:val="00127950"/>
    <w:rsid w:val="001279C4"/>
    <w:rsid w:val="00127D81"/>
    <w:rsid w:val="001306D8"/>
    <w:rsid w:val="0013193D"/>
    <w:rsid w:val="00132109"/>
    <w:rsid w:val="001323D4"/>
    <w:rsid w:val="00132841"/>
    <w:rsid w:val="00132C25"/>
    <w:rsid w:val="00132DA1"/>
    <w:rsid w:val="00132E7F"/>
    <w:rsid w:val="0013374D"/>
    <w:rsid w:val="00133ED6"/>
    <w:rsid w:val="001346F4"/>
    <w:rsid w:val="00134C67"/>
    <w:rsid w:val="001367DD"/>
    <w:rsid w:val="00136898"/>
    <w:rsid w:val="00136C20"/>
    <w:rsid w:val="00137504"/>
    <w:rsid w:val="00137696"/>
    <w:rsid w:val="00137A9B"/>
    <w:rsid w:val="00137D76"/>
    <w:rsid w:val="001406FE"/>
    <w:rsid w:val="00140960"/>
    <w:rsid w:val="00140B2F"/>
    <w:rsid w:val="00140DDA"/>
    <w:rsid w:val="001414FB"/>
    <w:rsid w:val="00141725"/>
    <w:rsid w:val="001419E6"/>
    <w:rsid w:val="00141F58"/>
    <w:rsid w:val="00142342"/>
    <w:rsid w:val="00143087"/>
    <w:rsid w:val="001430D1"/>
    <w:rsid w:val="00143169"/>
    <w:rsid w:val="00143242"/>
    <w:rsid w:val="001437C2"/>
    <w:rsid w:val="001440B0"/>
    <w:rsid w:val="00144266"/>
    <w:rsid w:val="00145253"/>
    <w:rsid w:val="001459A8"/>
    <w:rsid w:val="00145C14"/>
    <w:rsid w:val="001461BD"/>
    <w:rsid w:val="00146976"/>
    <w:rsid w:val="00147033"/>
    <w:rsid w:val="00147242"/>
    <w:rsid w:val="00147529"/>
    <w:rsid w:val="00147B4B"/>
    <w:rsid w:val="00147E0E"/>
    <w:rsid w:val="001500FF"/>
    <w:rsid w:val="00151CB3"/>
    <w:rsid w:val="00151DE3"/>
    <w:rsid w:val="00152970"/>
    <w:rsid w:val="001530C9"/>
    <w:rsid w:val="00153546"/>
    <w:rsid w:val="00154498"/>
    <w:rsid w:val="00154569"/>
    <w:rsid w:val="00154BD5"/>
    <w:rsid w:val="00155091"/>
    <w:rsid w:val="001550F0"/>
    <w:rsid w:val="0015554A"/>
    <w:rsid w:val="00155560"/>
    <w:rsid w:val="001559A1"/>
    <w:rsid w:val="00155BF2"/>
    <w:rsid w:val="001561D8"/>
    <w:rsid w:val="00156680"/>
    <w:rsid w:val="00156BCF"/>
    <w:rsid w:val="00157321"/>
    <w:rsid w:val="0015740A"/>
    <w:rsid w:val="00157AF0"/>
    <w:rsid w:val="00157D7C"/>
    <w:rsid w:val="00160134"/>
    <w:rsid w:val="00160179"/>
    <w:rsid w:val="00160253"/>
    <w:rsid w:val="001618DA"/>
    <w:rsid w:val="00161BD1"/>
    <w:rsid w:val="00161FB0"/>
    <w:rsid w:val="00162253"/>
    <w:rsid w:val="00162348"/>
    <w:rsid w:val="0016260A"/>
    <w:rsid w:val="0016285F"/>
    <w:rsid w:val="00162CED"/>
    <w:rsid w:val="00162ED2"/>
    <w:rsid w:val="00162F7E"/>
    <w:rsid w:val="00163107"/>
    <w:rsid w:val="00163576"/>
    <w:rsid w:val="00163F65"/>
    <w:rsid w:val="001642CA"/>
    <w:rsid w:val="001645BA"/>
    <w:rsid w:val="00164E76"/>
    <w:rsid w:val="001657B6"/>
    <w:rsid w:val="00165F09"/>
    <w:rsid w:val="00166698"/>
    <w:rsid w:val="00166D70"/>
    <w:rsid w:val="00167400"/>
    <w:rsid w:val="00167502"/>
    <w:rsid w:val="001675FD"/>
    <w:rsid w:val="001676C1"/>
    <w:rsid w:val="00167897"/>
    <w:rsid w:val="001702A2"/>
    <w:rsid w:val="00170B1B"/>
    <w:rsid w:val="00170F08"/>
    <w:rsid w:val="0017169D"/>
    <w:rsid w:val="001717DD"/>
    <w:rsid w:val="00171828"/>
    <w:rsid w:val="0017212B"/>
    <w:rsid w:val="00172D06"/>
    <w:rsid w:val="00172F2D"/>
    <w:rsid w:val="00173093"/>
    <w:rsid w:val="00173180"/>
    <w:rsid w:val="0017367D"/>
    <w:rsid w:val="0017384D"/>
    <w:rsid w:val="001740EC"/>
    <w:rsid w:val="001744CB"/>
    <w:rsid w:val="00174B61"/>
    <w:rsid w:val="00175763"/>
    <w:rsid w:val="001759EF"/>
    <w:rsid w:val="001760E8"/>
    <w:rsid w:val="00176254"/>
    <w:rsid w:val="00177F6F"/>
    <w:rsid w:val="00180355"/>
    <w:rsid w:val="0018100A"/>
    <w:rsid w:val="001819B5"/>
    <w:rsid w:val="00181D91"/>
    <w:rsid w:val="00181E03"/>
    <w:rsid w:val="00182416"/>
    <w:rsid w:val="0018289C"/>
    <w:rsid w:val="00182A58"/>
    <w:rsid w:val="00182DC2"/>
    <w:rsid w:val="00182EFD"/>
    <w:rsid w:val="001833EF"/>
    <w:rsid w:val="001834B9"/>
    <w:rsid w:val="0018372E"/>
    <w:rsid w:val="0018398E"/>
    <w:rsid w:val="001844E0"/>
    <w:rsid w:val="001848CB"/>
    <w:rsid w:val="00185577"/>
    <w:rsid w:val="00185741"/>
    <w:rsid w:val="00185D09"/>
    <w:rsid w:val="00185E72"/>
    <w:rsid w:val="0018667C"/>
    <w:rsid w:val="00186CF0"/>
    <w:rsid w:val="001903E1"/>
    <w:rsid w:val="001920B5"/>
    <w:rsid w:val="0019224E"/>
    <w:rsid w:val="00192DE9"/>
    <w:rsid w:val="00193BD3"/>
    <w:rsid w:val="00193EF4"/>
    <w:rsid w:val="0019409B"/>
    <w:rsid w:val="001941E7"/>
    <w:rsid w:val="001949E2"/>
    <w:rsid w:val="00195B4C"/>
    <w:rsid w:val="00196317"/>
    <w:rsid w:val="001963AA"/>
    <w:rsid w:val="00196439"/>
    <w:rsid w:val="00197611"/>
    <w:rsid w:val="001A00C5"/>
    <w:rsid w:val="001A096E"/>
    <w:rsid w:val="001A1C02"/>
    <w:rsid w:val="001A208F"/>
    <w:rsid w:val="001A24CD"/>
    <w:rsid w:val="001A2711"/>
    <w:rsid w:val="001A2812"/>
    <w:rsid w:val="001A2A64"/>
    <w:rsid w:val="001A2AE7"/>
    <w:rsid w:val="001A2CFD"/>
    <w:rsid w:val="001A2E65"/>
    <w:rsid w:val="001A31DE"/>
    <w:rsid w:val="001A32E2"/>
    <w:rsid w:val="001A3654"/>
    <w:rsid w:val="001A3734"/>
    <w:rsid w:val="001A3D04"/>
    <w:rsid w:val="001A4EB0"/>
    <w:rsid w:val="001A5124"/>
    <w:rsid w:val="001A5A94"/>
    <w:rsid w:val="001A5DAF"/>
    <w:rsid w:val="001A6658"/>
    <w:rsid w:val="001A666F"/>
    <w:rsid w:val="001A6B97"/>
    <w:rsid w:val="001A7079"/>
    <w:rsid w:val="001A7725"/>
    <w:rsid w:val="001A786D"/>
    <w:rsid w:val="001A7C96"/>
    <w:rsid w:val="001B0DE1"/>
    <w:rsid w:val="001B10B5"/>
    <w:rsid w:val="001B157F"/>
    <w:rsid w:val="001B2A81"/>
    <w:rsid w:val="001B2D85"/>
    <w:rsid w:val="001B32DB"/>
    <w:rsid w:val="001B36A0"/>
    <w:rsid w:val="001B3B55"/>
    <w:rsid w:val="001B4529"/>
    <w:rsid w:val="001B4B71"/>
    <w:rsid w:val="001B4B8A"/>
    <w:rsid w:val="001B5D4F"/>
    <w:rsid w:val="001B616C"/>
    <w:rsid w:val="001B61AE"/>
    <w:rsid w:val="001B63A5"/>
    <w:rsid w:val="001C0410"/>
    <w:rsid w:val="001C0C20"/>
    <w:rsid w:val="001C1AD9"/>
    <w:rsid w:val="001C1B4B"/>
    <w:rsid w:val="001C1FD6"/>
    <w:rsid w:val="001C236D"/>
    <w:rsid w:val="001C3A3B"/>
    <w:rsid w:val="001C3FF6"/>
    <w:rsid w:val="001C576D"/>
    <w:rsid w:val="001C5B77"/>
    <w:rsid w:val="001C61AF"/>
    <w:rsid w:val="001C6248"/>
    <w:rsid w:val="001C68F7"/>
    <w:rsid w:val="001C6B19"/>
    <w:rsid w:val="001C74EC"/>
    <w:rsid w:val="001C7824"/>
    <w:rsid w:val="001C7B9C"/>
    <w:rsid w:val="001D0858"/>
    <w:rsid w:val="001D0C2E"/>
    <w:rsid w:val="001D0F76"/>
    <w:rsid w:val="001D10B9"/>
    <w:rsid w:val="001D19CC"/>
    <w:rsid w:val="001D3D6A"/>
    <w:rsid w:val="001D3FF2"/>
    <w:rsid w:val="001D40C4"/>
    <w:rsid w:val="001D4CA3"/>
    <w:rsid w:val="001D4F4F"/>
    <w:rsid w:val="001D6E75"/>
    <w:rsid w:val="001D750C"/>
    <w:rsid w:val="001D7D5D"/>
    <w:rsid w:val="001D7F11"/>
    <w:rsid w:val="001E0B77"/>
    <w:rsid w:val="001E0CF3"/>
    <w:rsid w:val="001E0FB3"/>
    <w:rsid w:val="001E167F"/>
    <w:rsid w:val="001E1B55"/>
    <w:rsid w:val="001E22FD"/>
    <w:rsid w:val="001E25DC"/>
    <w:rsid w:val="001E26A5"/>
    <w:rsid w:val="001E3374"/>
    <w:rsid w:val="001E35B4"/>
    <w:rsid w:val="001E3E62"/>
    <w:rsid w:val="001E49DC"/>
    <w:rsid w:val="001E4AA8"/>
    <w:rsid w:val="001E4B8F"/>
    <w:rsid w:val="001E4FF1"/>
    <w:rsid w:val="001E51D1"/>
    <w:rsid w:val="001E5224"/>
    <w:rsid w:val="001E5FE6"/>
    <w:rsid w:val="001E612D"/>
    <w:rsid w:val="001E69BA"/>
    <w:rsid w:val="001E6AFC"/>
    <w:rsid w:val="001E7DAF"/>
    <w:rsid w:val="001F02E4"/>
    <w:rsid w:val="001F052B"/>
    <w:rsid w:val="001F058F"/>
    <w:rsid w:val="001F141B"/>
    <w:rsid w:val="001F151F"/>
    <w:rsid w:val="001F155F"/>
    <w:rsid w:val="001F197F"/>
    <w:rsid w:val="001F1F9A"/>
    <w:rsid w:val="001F240F"/>
    <w:rsid w:val="001F25DD"/>
    <w:rsid w:val="001F2637"/>
    <w:rsid w:val="001F3047"/>
    <w:rsid w:val="001F31B0"/>
    <w:rsid w:val="001F344B"/>
    <w:rsid w:val="001F3480"/>
    <w:rsid w:val="001F4090"/>
    <w:rsid w:val="001F449D"/>
    <w:rsid w:val="001F46A7"/>
    <w:rsid w:val="001F4B82"/>
    <w:rsid w:val="001F4B8B"/>
    <w:rsid w:val="001F4FD9"/>
    <w:rsid w:val="001F5390"/>
    <w:rsid w:val="001F6476"/>
    <w:rsid w:val="001F64C9"/>
    <w:rsid w:val="001F678F"/>
    <w:rsid w:val="001F68BC"/>
    <w:rsid w:val="001F6CD3"/>
    <w:rsid w:val="001F73BC"/>
    <w:rsid w:val="001F73F4"/>
    <w:rsid w:val="001F74E8"/>
    <w:rsid w:val="002000C7"/>
    <w:rsid w:val="002004B5"/>
    <w:rsid w:val="00200789"/>
    <w:rsid w:val="002009E5"/>
    <w:rsid w:val="00201642"/>
    <w:rsid w:val="00201908"/>
    <w:rsid w:val="00201A93"/>
    <w:rsid w:val="00201AD3"/>
    <w:rsid w:val="00202469"/>
    <w:rsid w:val="00202558"/>
    <w:rsid w:val="002025ED"/>
    <w:rsid w:val="00202B2B"/>
    <w:rsid w:val="00203083"/>
    <w:rsid w:val="00204CC6"/>
    <w:rsid w:val="00205974"/>
    <w:rsid w:val="00205DE3"/>
    <w:rsid w:val="0020685A"/>
    <w:rsid w:val="00206EA1"/>
    <w:rsid w:val="0020716C"/>
    <w:rsid w:val="0020786D"/>
    <w:rsid w:val="00207A9C"/>
    <w:rsid w:val="00210466"/>
    <w:rsid w:val="00210C30"/>
    <w:rsid w:val="002120B5"/>
    <w:rsid w:val="00212750"/>
    <w:rsid w:val="00212BEF"/>
    <w:rsid w:val="00212E20"/>
    <w:rsid w:val="00213517"/>
    <w:rsid w:val="0021353B"/>
    <w:rsid w:val="002135D4"/>
    <w:rsid w:val="0021373C"/>
    <w:rsid w:val="0021398F"/>
    <w:rsid w:val="00213A90"/>
    <w:rsid w:val="00213B91"/>
    <w:rsid w:val="002143ED"/>
    <w:rsid w:val="00215200"/>
    <w:rsid w:val="00216069"/>
    <w:rsid w:val="00216902"/>
    <w:rsid w:val="00216B3D"/>
    <w:rsid w:val="002174C6"/>
    <w:rsid w:val="00217643"/>
    <w:rsid w:val="00217AE1"/>
    <w:rsid w:val="00217BA0"/>
    <w:rsid w:val="00217BC0"/>
    <w:rsid w:val="00217F26"/>
    <w:rsid w:val="00220117"/>
    <w:rsid w:val="00220559"/>
    <w:rsid w:val="00220701"/>
    <w:rsid w:val="00220E0D"/>
    <w:rsid w:val="00221059"/>
    <w:rsid w:val="002214BA"/>
    <w:rsid w:val="0022150B"/>
    <w:rsid w:val="00221DAD"/>
    <w:rsid w:val="00221F1D"/>
    <w:rsid w:val="002224B8"/>
    <w:rsid w:val="00222677"/>
    <w:rsid w:val="002228B2"/>
    <w:rsid w:val="002236FA"/>
    <w:rsid w:val="00223745"/>
    <w:rsid w:val="00224235"/>
    <w:rsid w:val="0022459D"/>
    <w:rsid w:val="00224FE9"/>
    <w:rsid w:val="00225554"/>
    <w:rsid w:val="00225A73"/>
    <w:rsid w:val="00225C77"/>
    <w:rsid w:val="00226281"/>
    <w:rsid w:val="002268B8"/>
    <w:rsid w:val="00226B44"/>
    <w:rsid w:val="00226F18"/>
    <w:rsid w:val="0022714E"/>
    <w:rsid w:val="00227A42"/>
    <w:rsid w:val="002305B6"/>
    <w:rsid w:val="00230F98"/>
    <w:rsid w:val="002316B2"/>
    <w:rsid w:val="00231DE7"/>
    <w:rsid w:val="0023201E"/>
    <w:rsid w:val="00232125"/>
    <w:rsid w:val="00232433"/>
    <w:rsid w:val="00232566"/>
    <w:rsid w:val="00232DF6"/>
    <w:rsid w:val="00233E21"/>
    <w:rsid w:val="00234B68"/>
    <w:rsid w:val="00235259"/>
    <w:rsid w:val="002356B1"/>
    <w:rsid w:val="00236551"/>
    <w:rsid w:val="00236BC0"/>
    <w:rsid w:val="00236C76"/>
    <w:rsid w:val="002372D8"/>
    <w:rsid w:val="002374FC"/>
    <w:rsid w:val="0023760C"/>
    <w:rsid w:val="00237B8A"/>
    <w:rsid w:val="00240148"/>
    <w:rsid w:val="00240184"/>
    <w:rsid w:val="00240E0C"/>
    <w:rsid w:val="0024124E"/>
    <w:rsid w:val="00241592"/>
    <w:rsid w:val="00241F07"/>
    <w:rsid w:val="002426BF"/>
    <w:rsid w:val="002427BB"/>
    <w:rsid w:val="00242856"/>
    <w:rsid w:val="002428ED"/>
    <w:rsid w:val="00242EEA"/>
    <w:rsid w:val="00243A8E"/>
    <w:rsid w:val="00243F0A"/>
    <w:rsid w:val="00244016"/>
    <w:rsid w:val="00244E28"/>
    <w:rsid w:val="00244F3A"/>
    <w:rsid w:val="00244FA0"/>
    <w:rsid w:val="002461B0"/>
    <w:rsid w:val="00246F58"/>
    <w:rsid w:val="00247602"/>
    <w:rsid w:val="00247C2C"/>
    <w:rsid w:val="00247DF8"/>
    <w:rsid w:val="00250000"/>
    <w:rsid w:val="00250A7A"/>
    <w:rsid w:val="00250AB1"/>
    <w:rsid w:val="00250E3C"/>
    <w:rsid w:val="00251609"/>
    <w:rsid w:val="00251EB0"/>
    <w:rsid w:val="002520A3"/>
    <w:rsid w:val="00252245"/>
    <w:rsid w:val="0025268D"/>
    <w:rsid w:val="00253707"/>
    <w:rsid w:val="0025382B"/>
    <w:rsid w:val="0025390B"/>
    <w:rsid w:val="00253A2D"/>
    <w:rsid w:val="0025400C"/>
    <w:rsid w:val="002545D0"/>
    <w:rsid w:val="002552C7"/>
    <w:rsid w:val="002559A5"/>
    <w:rsid w:val="002559B4"/>
    <w:rsid w:val="0025629A"/>
    <w:rsid w:val="0025641A"/>
    <w:rsid w:val="00256589"/>
    <w:rsid w:val="0025676F"/>
    <w:rsid w:val="00256A04"/>
    <w:rsid w:val="00256B52"/>
    <w:rsid w:val="00257085"/>
    <w:rsid w:val="00257167"/>
    <w:rsid w:val="00257330"/>
    <w:rsid w:val="00257ABF"/>
    <w:rsid w:val="00257BE5"/>
    <w:rsid w:val="0026099B"/>
    <w:rsid w:val="00260A45"/>
    <w:rsid w:val="00260B50"/>
    <w:rsid w:val="00260E7F"/>
    <w:rsid w:val="0026182A"/>
    <w:rsid w:val="00261C09"/>
    <w:rsid w:val="0026281D"/>
    <w:rsid w:val="00262B01"/>
    <w:rsid w:val="00262E5E"/>
    <w:rsid w:val="0026331C"/>
    <w:rsid w:val="00263A9D"/>
    <w:rsid w:val="00263D7E"/>
    <w:rsid w:val="00264215"/>
    <w:rsid w:val="00264277"/>
    <w:rsid w:val="0026532B"/>
    <w:rsid w:val="00265513"/>
    <w:rsid w:val="002657CA"/>
    <w:rsid w:val="0026599C"/>
    <w:rsid w:val="002662A2"/>
    <w:rsid w:val="0026633C"/>
    <w:rsid w:val="00266730"/>
    <w:rsid w:val="00267128"/>
    <w:rsid w:val="00267361"/>
    <w:rsid w:val="002678E4"/>
    <w:rsid w:val="00267DE7"/>
    <w:rsid w:val="00267ED4"/>
    <w:rsid w:val="00267F41"/>
    <w:rsid w:val="00270132"/>
    <w:rsid w:val="0027049A"/>
    <w:rsid w:val="00270DC3"/>
    <w:rsid w:val="00270F04"/>
    <w:rsid w:val="00270F4E"/>
    <w:rsid w:val="002712F3"/>
    <w:rsid w:val="00271502"/>
    <w:rsid w:val="002715F0"/>
    <w:rsid w:val="00271C02"/>
    <w:rsid w:val="00271CF2"/>
    <w:rsid w:val="00271DBF"/>
    <w:rsid w:val="00272183"/>
    <w:rsid w:val="0027277E"/>
    <w:rsid w:val="00272937"/>
    <w:rsid w:val="00272C73"/>
    <w:rsid w:val="00273005"/>
    <w:rsid w:val="0027300D"/>
    <w:rsid w:val="00273314"/>
    <w:rsid w:val="00274209"/>
    <w:rsid w:val="002749FB"/>
    <w:rsid w:val="00274F2B"/>
    <w:rsid w:val="00275065"/>
    <w:rsid w:val="00276B89"/>
    <w:rsid w:val="00276D77"/>
    <w:rsid w:val="0027721D"/>
    <w:rsid w:val="00280042"/>
    <w:rsid w:val="00280659"/>
    <w:rsid w:val="0028139B"/>
    <w:rsid w:val="00282067"/>
    <w:rsid w:val="00282130"/>
    <w:rsid w:val="00282177"/>
    <w:rsid w:val="00282800"/>
    <w:rsid w:val="00284592"/>
    <w:rsid w:val="0028461B"/>
    <w:rsid w:val="00284889"/>
    <w:rsid w:val="00284D28"/>
    <w:rsid w:val="0028512B"/>
    <w:rsid w:val="00285D1A"/>
    <w:rsid w:val="00285F60"/>
    <w:rsid w:val="002864DA"/>
    <w:rsid w:val="002873DC"/>
    <w:rsid w:val="00287449"/>
    <w:rsid w:val="00287B80"/>
    <w:rsid w:val="00287F41"/>
    <w:rsid w:val="00290146"/>
    <w:rsid w:val="00290517"/>
    <w:rsid w:val="00291095"/>
    <w:rsid w:val="0029137E"/>
    <w:rsid w:val="002914DE"/>
    <w:rsid w:val="0029193E"/>
    <w:rsid w:val="00291E13"/>
    <w:rsid w:val="0029216A"/>
    <w:rsid w:val="002929E2"/>
    <w:rsid w:val="00292A9C"/>
    <w:rsid w:val="002938BD"/>
    <w:rsid w:val="00293C10"/>
    <w:rsid w:val="00294032"/>
    <w:rsid w:val="002945DC"/>
    <w:rsid w:val="00294947"/>
    <w:rsid w:val="00294A44"/>
    <w:rsid w:val="00294A6C"/>
    <w:rsid w:val="00294B35"/>
    <w:rsid w:val="00294D87"/>
    <w:rsid w:val="002952BA"/>
    <w:rsid w:val="002959B8"/>
    <w:rsid w:val="00295D85"/>
    <w:rsid w:val="00296819"/>
    <w:rsid w:val="00296A81"/>
    <w:rsid w:val="0029725A"/>
    <w:rsid w:val="00297530"/>
    <w:rsid w:val="002978F8"/>
    <w:rsid w:val="00297B4B"/>
    <w:rsid w:val="002A009D"/>
    <w:rsid w:val="002A0831"/>
    <w:rsid w:val="002A094A"/>
    <w:rsid w:val="002A0A6C"/>
    <w:rsid w:val="002A254E"/>
    <w:rsid w:val="002A2BF6"/>
    <w:rsid w:val="002A2FCD"/>
    <w:rsid w:val="002A42D4"/>
    <w:rsid w:val="002A431F"/>
    <w:rsid w:val="002A447C"/>
    <w:rsid w:val="002A482E"/>
    <w:rsid w:val="002A4B25"/>
    <w:rsid w:val="002A4C6F"/>
    <w:rsid w:val="002A4F73"/>
    <w:rsid w:val="002A58A9"/>
    <w:rsid w:val="002A60B3"/>
    <w:rsid w:val="002A6143"/>
    <w:rsid w:val="002A6209"/>
    <w:rsid w:val="002A67F5"/>
    <w:rsid w:val="002A68AA"/>
    <w:rsid w:val="002A6CB7"/>
    <w:rsid w:val="002A79FF"/>
    <w:rsid w:val="002A7FB8"/>
    <w:rsid w:val="002B0726"/>
    <w:rsid w:val="002B078D"/>
    <w:rsid w:val="002B08ED"/>
    <w:rsid w:val="002B0937"/>
    <w:rsid w:val="002B1626"/>
    <w:rsid w:val="002B18CF"/>
    <w:rsid w:val="002B1A71"/>
    <w:rsid w:val="002B2071"/>
    <w:rsid w:val="002B26AC"/>
    <w:rsid w:val="002B2E9B"/>
    <w:rsid w:val="002B310B"/>
    <w:rsid w:val="002B3284"/>
    <w:rsid w:val="002B3EBF"/>
    <w:rsid w:val="002B3FF3"/>
    <w:rsid w:val="002B42FC"/>
    <w:rsid w:val="002B46B6"/>
    <w:rsid w:val="002B48A6"/>
    <w:rsid w:val="002B5199"/>
    <w:rsid w:val="002B5358"/>
    <w:rsid w:val="002B5AF4"/>
    <w:rsid w:val="002B5FB2"/>
    <w:rsid w:val="002B6637"/>
    <w:rsid w:val="002B6725"/>
    <w:rsid w:val="002B6BB5"/>
    <w:rsid w:val="002B6BD1"/>
    <w:rsid w:val="002B7140"/>
    <w:rsid w:val="002B72A6"/>
    <w:rsid w:val="002B7495"/>
    <w:rsid w:val="002B7600"/>
    <w:rsid w:val="002B7721"/>
    <w:rsid w:val="002B7830"/>
    <w:rsid w:val="002B78B6"/>
    <w:rsid w:val="002B7A7E"/>
    <w:rsid w:val="002B7D6B"/>
    <w:rsid w:val="002B7DBE"/>
    <w:rsid w:val="002C0288"/>
    <w:rsid w:val="002C0ADD"/>
    <w:rsid w:val="002C1177"/>
    <w:rsid w:val="002C1697"/>
    <w:rsid w:val="002C1874"/>
    <w:rsid w:val="002C18B3"/>
    <w:rsid w:val="002C26CF"/>
    <w:rsid w:val="002C2876"/>
    <w:rsid w:val="002C36EF"/>
    <w:rsid w:val="002C3A51"/>
    <w:rsid w:val="002C408D"/>
    <w:rsid w:val="002C4729"/>
    <w:rsid w:val="002C4A8A"/>
    <w:rsid w:val="002C4B2A"/>
    <w:rsid w:val="002C5038"/>
    <w:rsid w:val="002C5CD5"/>
    <w:rsid w:val="002C5E09"/>
    <w:rsid w:val="002C6749"/>
    <w:rsid w:val="002C7040"/>
    <w:rsid w:val="002C7078"/>
    <w:rsid w:val="002C721A"/>
    <w:rsid w:val="002C7AC8"/>
    <w:rsid w:val="002C7C60"/>
    <w:rsid w:val="002D0337"/>
    <w:rsid w:val="002D0B4C"/>
    <w:rsid w:val="002D0C07"/>
    <w:rsid w:val="002D1012"/>
    <w:rsid w:val="002D1022"/>
    <w:rsid w:val="002D1185"/>
    <w:rsid w:val="002D180D"/>
    <w:rsid w:val="002D18EA"/>
    <w:rsid w:val="002D2375"/>
    <w:rsid w:val="002D2823"/>
    <w:rsid w:val="002D2CC0"/>
    <w:rsid w:val="002D4402"/>
    <w:rsid w:val="002D4A60"/>
    <w:rsid w:val="002D4CCF"/>
    <w:rsid w:val="002D4E61"/>
    <w:rsid w:val="002D5207"/>
    <w:rsid w:val="002D6187"/>
    <w:rsid w:val="002D7583"/>
    <w:rsid w:val="002D7796"/>
    <w:rsid w:val="002D7815"/>
    <w:rsid w:val="002D7BCB"/>
    <w:rsid w:val="002E0088"/>
    <w:rsid w:val="002E03CF"/>
    <w:rsid w:val="002E04A3"/>
    <w:rsid w:val="002E05B3"/>
    <w:rsid w:val="002E12A5"/>
    <w:rsid w:val="002E159F"/>
    <w:rsid w:val="002E1BA5"/>
    <w:rsid w:val="002E24BE"/>
    <w:rsid w:val="002E261F"/>
    <w:rsid w:val="002E32B2"/>
    <w:rsid w:val="002E4648"/>
    <w:rsid w:val="002E46EB"/>
    <w:rsid w:val="002E4AA6"/>
    <w:rsid w:val="002E5203"/>
    <w:rsid w:val="002E522F"/>
    <w:rsid w:val="002E560A"/>
    <w:rsid w:val="002E669A"/>
    <w:rsid w:val="002E7046"/>
    <w:rsid w:val="002E707A"/>
    <w:rsid w:val="002F01C0"/>
    <w:rsid w:val="002F1560"/>
    <w:rsid w:val="002F16C7"/>
    <w:rsid w:val="002F1F0F"/>
    <w:rsid w:val="002F2FAB"/>
    <w:rsid w:val="002F3169"/>
    <w:rsid w:val="002F3483"/>
    <w:rsid w:val="002F34AA"/>
    <w:rsid w:val="002F3897"/>
    <w:rsid w:val="002F3946"/>
    <w:rsid w:val="002F4045"/>
    <w:rsid w:val="002F421C"/>
    <w:rsid w:val="002F4384"/>
    <w:rsid w:val="002F4662"/>
    <w:rsid w:val="002F532B"/>
    <w:rsid w:val="002F5C9B"/>
    <w:rsid w:val="002F5D64"/>
    <w:rsid w:val="002F6778"/>
    <w:rsid w:val="002F6E24"/>
    <w:rsid w:val="002F75B6"/>
    <w:rsid w:val="002F7C45"/>
    <w:rsid w:val="0030015E"/>
    <w:rsid w:val="003004E6"/>
    <w:rsid w:val="00300D1C"/>
    <w:rsid w:val="00301624"/>
    <w:rsid w:val="0030180A"/>
    <w:rsid w:val="00301851"/>
    <w:rsid w:val="0030198A"/>
    <w:rsid w:val="003022D1"/>
    <w:rsid w:val="00302318"/>
    <w:rsid w:val="003024F1"/>
    <w:rsid w:val="00302ADC"/>
    <w:rsid w:val="0030381D"/>
    <w:rsid w:val="00303BD0"/>
    <w:rsid w:val="003049FA"/>
    <w:rsid w:val="00304A8F"/>
    <w:rsid w:val="00304ADD"/>
    <w:rsid w:val="00304EF1"/>
    <w:rsid w:val="003056F3"/>
    <w:rsid w:val="003072F6"/>
    <w:rsid w:val="00307402"/>
    <w:rsid w:val="0031026D"/>
    <w:rsid w:val="0031044C"/>
    <w:rsid w:val="00310DFA"/>
    <w:rsid w:val="003111A9"/>
    <w:rsid w:val="00311566"/>
    <w:rsid w:val="00312A17"/>
    <w:rsid w:val="00312A5D"/>
    <w:rsid w:val="00312DC6"/>
    <w:rsid w:val="003130EE"/>
    <w:rsid w:val="00313306"/>
    <w:rsid w:val="00313324"/>
    <w:rsid w:val="003146E2"/>
    <w:rsid w:val="003152E6"/>
    <w:rsid w:val="00315B25"/>
    <w:rsid w:val="003160EE"/>
    <w:rsid w:val="0031622A"/>
    <w:rsid w:val="0031695E"/>
    <w:rsid w:val="0031747B"/>
    <w:rsid w:val="00317708"/>
    <w:rsid w:val="00317918"/>
    <w:rsid w:val="00317C77"/>
    <w:rsid w:val="00317EDE"/>
    <w:rsid w:val="003204FB"/>
    <w:rsid w:val="0032067A"/>
    <w:rsid w:val="00320B71"/>
    <w:rsid w:val="00321260"/>
    <w:rsid w:val="00321A64"/>
    <w:rsid w:val="00321B87"/>
    <w:rsid w:val="00321E6E"/>
    <w:rsid w:val="0032210D"/>
    <w:rsid w:val="00322B58"/>
    <w:rsid w:val="00323224"/>
    <w:rsid w:val="0032411D"/>
    <w:rsid w:val="00324C0C"/>
    <w:rsid w:val="003254BC"/>
    <w:rsid w:val="003255F5"/>
    <w:rsid w:val="00325BF5"/>
    <w:rsid w:val="003261A1"/>
    <w:rsid w:val="00326CDE"/>
    <w:rsid w:val="0033015D"/>
    <w:rsid w:val="003303A6"/>
    <w:rsid w:val="003305F3"/>
    <w:rsid w:val="003307BC"/>
    <w:rsid w:val="0033091A"/>
    <w:rsid w:val="00330AA1"/>
    <w:rsid w:val="00330D2D"/>
    <w:rsid w:val="00330FCF"/>
    <w:rsid w:val="00331159"/>
    <w:rsid w:val="00331D37"/>
    <w:rsid w:val="00331E8F"/>
    <w:rsid w:val="00332AA3"/>
    <w:rsid w:val="00332D4F"/>
    <w:rsid w:val="00332F21"/>
    <w:rsid w:val="00332FD3"/>
    <w:rsid w:val="00333F06"/>
    <w:rsid w:val="00334E78"/>
    <w:rsid w:val="00335273"/>
    <w:rsid w:val="00335566"/>
    <w:rsid w:val="00335B8C"/>
    <w:rsid w:val="00336822"/>
    <w:rsid w:val="003375B0"/>
    <w:rsid w:val="003375B9"/>
    <w:rsid w:val="003379E0"/>
    <w:rsid w:val="00337F91"/>
    <w:rsid w:val="00340291"/>
    <w:rsid w:val="00340B57"/>
    <w:rsid w:val="00340F94"/>
    <w:rsid w:val="003410A8"/>
    <w:rsid w:val="0034180B"/>
    <w:rsid w:val="00341967"/>
    <w:rsid w:val="00342F25"/>
    <w:rsid w:val="00343147"/>
    <w:rsid w:val="003431EE"/>
    <w:rsid w:val="003437E5"/>
    <w:rsid w:val="003438D6"/>
    <w:rsid w:val="0034489E"/>
    <w:rsid w:val="0034492B"/>
    <w:rsid w:val="00344CBB"/>
    <w:rsid w:val="00345676"/>
    <w:rsid w:val="00345954"/>
    <w:rsid w:val="00345C19"/>
    <w:rsid w:val="00345CAF"/>
    <w:rsid w:val="00345CB5"/>
    <w:rsid w:val="003465BA"/>
    <w:rsid w:val="00346779"/>
    <w:rsid w:val="00346CD5"/>
    <w:rsid w:val="00346DB7"/>
    <w:rsid w:val="00346F79"/>
    <w:rsid w:val="00346F7D"/>
    <w:rsid w:val="00347018"/>
    <w:rsid w:val="00347696"/>
    <w:rsid w:val="00347DB1"/>
    <w:rsid w:val="0035035B"/>
    <w:rsid w:val="003509E5"/>
    <w:rsid w:val="00351935"/>
    <w:rsid w:val="00351970"/>
    <w:rsid w:val="00351BD6"/>
    <w:rsid w:val="0035230C"/>
    <w:rsid w:val="003525D9"/>
    <w:rsid w:val="003531AA"/>
    <w:rsid w:val="003536BB"/>
    <w:rsid w:val="003536D4"/>
    <w:rsid w:val="003537BD"/>
    <w:rsid w:val="003539C5"/>
    <w:rsid w:val="00353AC0"/>
    <w:rsid w:val="00354CD5"/>
    <w:rsid w:val="003550B1"/>
    <w:rsid w:val="00355753"/>
    <w:rsid w:val="00355C45"/>
    <w:rsid w:val="00356010"/>
    <w:rsid w:val="003562A6"/>
    <w:rsid w:val="003570FA"/>
    <w:rsid w:val="003572CA"/>
    <w:rsid w:val="003577E0"/>
    <w:rsid w:val="0036007D"/>
    <w:rsid w:val="00360995"/>
    <w:rsid w:val="00361345"/>
    <w:rsid w:val="0036141F"/>
    <w:rsid w:val="00361718"/>
    <w:rsid w:val="003622F2"/>
    <w:rsid w:val="003639D6"/>
    <w:rsid w:val="00364734"/>
    <w:rsid w:val="00364D8E"/>
    <w:rsid w:val="00364E33"/>
    <w:rsid w:val="0036518A"/>
    <w:rsid w:val="0036570B"/>
    <w:rsid w:val="0036583C"/>
    <w:rsid w:val="003665CB"/>
    <w:rsid w:val="003666D3"/>
    <w:rsid w:val="00366833"/>
    <w:rsid w:val="00367006"/>
    <w:rsid w:val="003677DE"/>
    <w:rsid w:val="0036794A"/>
    <w:rsid w:val="003702A2"/>
    <w:rsid w:val="00370C48"/>
    <w:rsid w:val="00371323"/>
    <w:rsid w:val="00371915"/>
    <w:rsid w:val="0037199C"/>
    <w:rsid w:val="00371E6A"/>
    <w:rsid w:val="00372217"/>
    <w:rsid w:val="00372C7D"/>
    <w:rsid w:val="00372FA8"/>
    <w:rsid w:val="003739DE"/>
    <w:rsid w:val="00373C86"/>
    <w:rsid w:val="00375646"/>
    <w:rsid w:val="00375A4F"/>
    <w:rsid w:val="00376203"/>
    <w:rsid w:val="00376788"/>
    <w:rsid w:val="00376A7D"/>
    <w:rsid w:val="00376E50"/>
    <w:rsid w:val="00377CEE"/>
    <w:rsid w:val="00377F1B"/>
    <w:rsid w:val="003801C7"/>
    <w:rsid w:val="003803A5"/>
    <w:rsid w:val="0038053F"/>
    <w:rsid w:val="0038068E"/>
    <w:rsid w:val="0038093C"/>
    <w:rsid w:val="003814B7"/>
    <w:rsid w:val="003814F5"/>
    <w:rsid w:val="00381719"/>
    <w:rsid w:val="00381760"/>
    <w:rsid w:val="003817A7"/>
    <w:rsid w:val="00381F34"/>
    <w:rsid w:val="00382355"/>
    <w:rsid w:val="00382473"/>
    <w:rsid w:val="0038260D"/>
    <w:rsid w:val="00382F1B"/>
    <w:rsid w:val="00383F78"/>
    <w:rsid w:val="00384060"/>
    <w:rsid w:val="00384C21"/>
    <w:rsid w:val="00384DD9"/>
    <w:rsid w:val="00384FC0"/>
    <w:rsid w:val="0038502C"/>
    <w:rsid w:val="003850DC"/>
    <w:rsid w:val="00386651"/>
    <w:rsid w:val="00386E10"/>
    <w:rsid w:val="003871E2"/>
    <w:rsid w:val="00387496"/>
    <w:rsid w:val="00390E01"/>
    <w:rsid w:val="00390F42"/>
    <w:rsid w:val="00392595"/>
    <w:rsid w:val="00392C3A"/>
    <w:rsid w:val="00392D8F"/>
    <w:rsid w:val="00392F37"/>
    <w:rsid w:val="00393E7C"/>
    <w:rsid w:val="00393FBA"/>
    <w:rsid w:val="00394079"/>
    <w:rsid w:val="003943C8"/>
    <w:rsid w:val="00394A23"/>
    <w:rsid w:val="00394D4C"/>
    <w:rsid w:val="00394EE4"/>
    <w:rsid w:val="003956CC"/>
    <w:rsid w:val="003960EA"/>
    <w:rsid w:val="0039678E"/>
    <w:rsid w:val="003A0D23"/>
    <w:rsid w:val="003A137B"/>
    <w:rsid w:val="003A1AD7"/>
    <w:rsid w:val="003A1DC8"/>
    <w:rsid w:val="003A23E0"/>
    <w:rsid w:val="003A32C1"/>
    <w:rsid w:val="003A34BD"/>
    <w:rsid w:val="003A43B1"/>
    <w:rsid w:val="003A4D48"/>
    <w:rsid w:val="003A4E1C"/>
    <w:rsid w:val="003A588B"/>
    <w:rsid w:val="003A59B8"/>
    <w:rsid w:val="003A5EC5"/>
    <w:rsid w:val="003A6656"/>
    <w:rsid w:val="003A6689"/>
    <w:rsid w:val="003A6965"/>
    <w:rsid w:val="003A6C6A"/>
    <w:rsid w:val="003A748E"/>
    <w:rsid w:val="003A7885"/>
    <w:rsid w:val="003A7B31"/>
    <w:rsid w:val="003A7D7C"/>
    <w:rsid w:val="003B04B8"/>
    <w:rsid w:val="003B0512"/>
    <w:rsid w:val="003B0C14"/>
    <w:rsid w:val="003B0D78"/>
    <w:rsid w:val="003B1DDE"/>
    <w:rsid w:val="003B1F01"/>
    <w:rsid w:val="003B2736"/>
    <w:rsid w:val="003B2E71"/>
    <w:rsid w:val="003B41A5"/>
    <w:rsid w:val="003B456F"/>
    <w:rsid w:val="003B4647"/>
    <w:rsid w:val="003B570F"/>
    <w:rsid w:val="003B5713"/>
    <w:rsid w:val="003B5A2D"/>
    <w:rsid w:val="003B65DD"/>
    <w:rsid w:val="003B6F0E"/>
    <w:rsid w:val="003B72BB"/>
    <w:rsid w:val="003B736B"/>
    <w:rsid w:val="003B7467"/>
    <w:rsid w:val="003B7625"/>
    <w:rsid w:val="003C0742"/>
    <w:rsid w:val="003C0B1C"/>
    <w:rsid w:val="003C1551"/>
    <w:rsid w:val="003C15B9"/>
    <w:rsid w:val="003C1F8C"/>
    <w:rsid w:val="003C278C"/>
    <w:rsid w:val="003C3085"/>
    <w:rsid w:val="003C3E6A"/>
    <w:rsid w:val="003C41D6"/>
    <w:rsid w:val="003C424F"/>
    <w:rsid w:val="003C4989"/>
    <w:rsid w:val="003C6D67"/>
    <w:rsid w:val="003C6DEA"/>
    <w:rsid w:val="003C759A"/>
    <w:rsid w:val="003C7887"/>
    <w:rsid w:val="003D095E"/>
    <w:rsid w:val="003D0DF2"/>
    <w:rsid w:val="003D0ED8"/>
    <w:rsid w:val="003D132C"/>
    <w:rsid w:val="003D1572"/>
    <w:rsid w:val="003D16A4"/>
    <w:rsid w:val="003D1DC2"/>
    <w:rsid w:val="003D21AF"/>
    <w:rsid w:val="003D235F"/>
    <w:rsid w:val="003D3821"/>
    <w:rsid w:val="003D39B7"/>
    <w:rsid w:val="003D3A55"/>
    <w:rsid w:val="003D4EB0"/>
    <w:rsid w:val="003D5005"/>
    <w:rsid w:val="003D560B"/>
    <w:rsid w:val="003D5AB1"/>
    <w:rsid w:val="003D5D63"/>
    <w:rsid w:val="003D642E"/>
    <w:rsid w:val="003D644B"/>
    <w:rsid w:val="003D6732"/>
    <w:rsid w:val="003D79DC"/>
    <w:rsid w:val="003D7EA8"/>
    <w:rsid w:val="003D7F3E"/>
    <w:rsid w:val="003D7FFA"/>
    <w:rsid w:val="003E0858"/>
    <w:rsid w:val="003E148F"/>
    <w:rsid w:val="003E1A6B"/>
    <w:rsid w:val="003E26CF"/>
    <w:rsid w:val="003E26ED"/>
    <w:rsid w:val="003E2B26"/>
    <w:rsid w:val="003E2E6B"/>
    <w:rsid w:val="003E30AD"/>
    <w:rsid w:val="003E3617"/>
    <w:rsid w:val="003E3FEF"/>
    <w:rsid w:val="003E47D2"/>
    <w:rsid w:val="003E4A7C"/>
    <w:rsid w:val="003E4D08"/>
    <w:rsid w:val="003E4D57"/>
    <w:rsid w:val="003E60BC"/>
    <w:rsid w:val="003E6298"/>
    <w:rsid w:val="003E6906"/>
    <w:rsid w:val="003E6D82"/>
    <w:rsid w:val="003F09F3"/>
    <w:rsid w:val="003F0AF7"/>
    <w:rsid w:val="003F1B69"/>
    <w:rsid w:val="003F20FA"/>
    <w:rsid w:val="003F22D7"/>
    <w:rsid w:val="003F2561"/>
    <w:rsid w:val="003F2725"/>
    <w:rsid w:val="003F2937"/>
    <w:rsid w:val="003F2D13"/>
    <w:rsid w:val="003F359B"/>
    <w:rsid w:val="003F4319"/>
    <w:rsid w:val="003F45F2"/>
    <w:rsid w:val="003F4664"/>
    <w:rsid w:val="003F5673"/>
    <w:rsid w:val="003F6658"/>
    <w:rsid w:val="003F6B1B"/>
    <w:rsid w:val="003F6DDB"/>
    <w:rsid w:val="003F78C3"/>
    <w:rsid w:val="003F7B37"/>
    <w:rsid w:val="003F7CFC"/>
    <w:rsid w:val="004002B1"/>
    <w:rsid w:val="00400731"/>
    <w:rsid w:val="00400799"/>
    <w:rsid w:val="00401614"/>
    <w:rsid w:val="00401BE3"/>
    <w:rsid w:val="00401D29"/>
    <w:rsid w:val="00401D56"/>
    <w:rsid w:val="00401EEE"/>
    <w:rsid w:val="00402F90"/>
    <w:rsid w:val="0040320E"/>
    <w:rsid w:val="004035AE"/>
    <w:rsid w:val="00403C33"/>
    <w:rsid w:val="00404473"/>
    <w:rsid w:val="004048A7"/>
    <w:rsid w:val="00404927"/>
    <w:rsid w:val="0040525C"/>
    <w:rsid w:val="00405270"/>
    <w:rsid w:val="0040576B"/>
    <w:rsid w:val="00405E64"/>
    <w:rsid w:val="004061F9"/>
    <w:rsid w:val="004066FC"/>
    <w:rsid w:val="0040679D"/>
    <w:rsid w:val="00406B79"/>
    <w:rsid w:val="00407079"/>
    <w:rsid w:val="00407204"/>
    <w:rsid w:val="004072E4"/>
    <w:rsid w:val="0040768B"/>
    <w:rsid w:val="00407B0F"/>
    <w:rsid w:val="00407B52"/>
    <w:rsid w:val="00407BDF"/>
    <w:rsid w:val="0041028C"/>
    <w:rsid w:val="00410307"/>
    <w:rsid w:val="00410AC5"/>
    <w:rsid w:val="0041163C"/>
    <w:rsid w:val="004117C3"/>
    <w:rsid w:val="004119B4"/>
    <w:rsid w:val="004123DC"/>
    <w:rsid w:val="0041325F"/>
    <w:rsid w:val="00413495"/>
    <w:rsid w:val="00413B28"/>
    <w:rsid w:val="00413BE0"/>
    <w:rsid w:val="0041417B"/>
    <w:rsid w:val="00414645"/>
    <w:rsid w:val="00414C67"/>
    <w:rsid w:val="00415174"/>
    <w:rsid w:val="004153FD"/>
    <w:rsid w:val="00415458"/>
    <w:rsid w:val="00415889"/>
    <w:rsid w:val="00415A1C"/>
    <w:rsid w:val="00415C38"/>
    <w:rsid w:val="004164DD"/>
    <w:rsid w:val="0041657F"/>
    <w:rsid w:val="00416AE8"/>
    <w:rsid w:val="00417245"/>
    <w:rsid w:val="00420465"/>
    <w:rsid w:val="004204D7"/>
    <w:rsid w:val="004208A3"/>
    <w:rsid w:val="00420946"/>
    <w:rsid w:val="00420F18"/>
    <w:rsid w:val="0042140A"/>
    <w:rsid w:val="004215E6"/>
    <w:rsid w:val="00421716"/>
    <w:rsid w:val="0042190E"/>
    <w:rsid w:val="00421C36"/>
    <w:rsid w:val="00421FDF"/>
    <w:rsid w:val="00422269"/>
    <w:rsid w:val="004229D5"/>
    <w:rsid w:val="00422A38"/>
    <w:rsid w:val="00423669"/>
    <w:rsid w:val="00423701"/>
    <w:rsid w:val="00423B1E"/>
    <w:rsid w:val="0042420D"/>
    <w:rsid w:val="004247D7"/>
    <w:rsid w:val="004257B4"/>
    <w:rsid w:val="00425813"/>
    <w:rsid w:val="00426054"/>
    <w:rsid w:val="004271AE"/>
    <w:rsid w:val="00427370"/>
    <w:rsid w:val="00427A74"/>
    <w:rsid w:val="00427EF3"/>
    <w:rsid w:val="00427F95"/>
    <w:rsid w:val="00430224"/>
    <w:rsid w:val="004302BC"/>
    <w:rsid w:val="0043101D"/>
    <w:rsid w:val="004310C2"/>
    <w:rsid w:val="00432B79"/>
    <w:rsid w:val="004335BA"/>
    <w:rsid w:val="00435274"/>
    <w:rsid w:val="004359B3"/>
    <w:rsid w:val="00435D19"/>
    <w:rsid w:val="00435F18"/>
    <w:rsid w:val="004361C7"/>
    <w:rsid w:val="0043628C"/>
    <w:rsid w:val="00436880"/>
    <w:rsid w:val="00436BB2"/>
    <w:rsid w:val="00436D37"/>
    <w:rsid w:val="00436EB4"/>
    <w:rsid w:val="00437070"/>
    <w:rsid w:val="0043744F"/>
    <w:rsid w:val="004374E8"/>
    <w:rsid w:val="0043753C"/>
    <w:rsid w:val="00437A6E"/>
    <w:rsid w:val="00437C7D"/>
    <w:rsid w:val="00437EED"/>
    <w:rsid w:val="00440506"/>
    <w:rsid w:val="0044060E"/>
    <w:rsid w:val="00440A6A"/>
    <w:rsid w:val="0044113D"/>
    <w:rsid w:val="00441B42"/>
    <w:rsid w:val="00441E17"/>
    <w:rsid w:val="00442858"/>
    <w:rsid w:val="00442956"/>
    <w:rsid w:val="00442ED1"/>
    <w:rsid w:val="00442F0E"/>
    <w:rsid w:val="004430B4"/>
    <w:rsid w:val="00443A2D"/>
    <w:rsid w:val="00443D9D"/>
    <w:rsid w:val="00443F45"/>
    <w:rsid w:val="0044410A"/>
    <w:rsid w:val="00444919"/>
    <w:rsid w:val="00444ADE"/>
    <w:rsid w:val="00444C30"/>
    <w:rsid w:val="0044545A"/>
    <w:rsid w:val="00445793"/>
    <w:rsid w:val="00445875"/>
    <w:rsid w:val="00446BC6"/>
    <w:rsid w:val="00446CB8"/>
    <w:rsid w:val="004474B4"/>
    <w:rsid w:val="004504A1"/>
    <w:rsid w:val="00450624"/>
    <w:rsid w:val="004506E7"/>
    <w:rsid w:val="004509FF"/>
    <w:rsid w:val="00450BDF"/>
    <w:rsid w:val="0045126A"/>
    <w:rsid w:val="00451994"/>
    <w:rsid w:val="00451C40"/>
    <w:rsid w:val="0045216E"/>
    <w:rsid w:val="0045217B"/>
    <w:rsid w:val="004521D1"/>
    <w:rsid w:val="004530A8"/>
    <w:rsid w:val="00453172"/>
    <w:rsid w:val="004533CA"/>
    <w:rsid w:val="00453F2E"/>
    <w:rsid w:val="00454158"/>
    <w:rsid w:val="00454FEB"/>
    <w:rsid w:val="004554DD"/>
    <w:rsid w:val="00455ACD"/>
    <w:rsid w:val="00455C11"/>
    <w:rsid w:val="00455F1A"/>
    <w:rsid w:val="00456A0C"/>
    <w:rsid w:val="00456E39"/>
    <w:rsid w:val="004576DA"/>
    <w:rsid w:val="00457813"/>
    <w:rsid w:val="00457EA9"/>
    <w:rsid w:val="00461AEC"/>
    <w:rsid w:val="00461BB5"/>
    <w:rsid w:val="0046218A"/>
    <w:rsid w:val="00462793"/>
    <w:rsid w:val="004629C2"/>
    <w:rsid w:val="00462CCF"/>
    <w:rsid w:val="00462D69"/>
    <w:rsid w:val="00462F04"/>
    <w:rsid w:val="004634EA"/>
    <w:rsid w:val="0046357C"/>
    <w:rsid w:val="00463E25"/>
    <w:rsid w:val="0046477E"/>
    <w:rsid w:val="00464AC3"/>
    <w:rsid w:val="00465174"/>
    <w:rsid w:val="0046573D"/>
    <w:rsid w:val="00465E70"/>
    <w:rsid w:val="00466B4B"/>
    <w:rsid w:val="00466F1B"/>
    <w:rsid w:val="00467059"/>
    <w:rsid w:val="0046712E"/>
    <w:rsid w:val="00467201"/>
    <w:rsid w:val="00467621"/>
    <w:rsid w:val="00467AE8"/>
    <w:rsid w:val="00467E08"/>
    <w:rsid w:val="00467F21"/>
    <w:rsid w:val="00470066"/>
    <w:rsid w:val="0047012D"/>
    <w:rsid w:val="0047032F"/>
    <w:rsid w:val="004708C3"/>
    <w:rsid w:val="00471146"/>
    <w:rsid w:val="0047191C"/>
    <w:rsid w:val="00471F27"/>
    <w:rsid w:val="00472543"/>
    <w:rsid w:val="00472783"/>
    <w:rsid w:val="00472924"/>
    <w:rsid w:val="00472BA8"/>
    <w:rsid w:val="00472CE4"/>
    <w:rsid w:val="00473B7E"/>
    <w:rsid w:val="00473E1F"/>
    <w:rsid w:val="004741A0"/>
    <w:rsid w:val="0047568E"/>
    <w:rsid w:val="00476680"/>
    <w:rsid w:val="00476D0D"/>
    <w:rsid w:val="0047785F"/>
    <w:rsid w:val="004779B2"/>
    <w:rsid w:val="00477A93"/>
    <w:rsid w:val="00477C36"/>
    <w:rsid w:val="00477C5D"/>
    <w:rsid w:val="00477CCF"/>
    <w:rsid w:val="00477D6E"/>
    <w:rsid w:val="00477DC9"/>
    <w:rsid w:val="00480359"/>
    <w:rsid w:val="0048052F"/>
    <w:rsid w:val="00480BFA"/>
    <w:rsid w:val="00480EE4"/>
    <w:rsid w:val="004810CD"/>
    <w:rsid w:val="00481BBF"/>
    <w:rsid w:val="00481E51"/>
    <w:rsid w:val="004824BB"/>
    <w:rsid w:val="00482999"/>
    <w:rsid w:val="00482E98"/>
    <w:rsid w:val="00484232"/>
    <w:rsid w:val="004842DA"/>
    <w:rsid w:val="004846B3"/>
    <w:rsid w:val="004855DE"/>
    <w:rsid w:val="00485BA6"/>
    <w:rsid w:val="00485BF4"/>
    <w:rsid w:val="00485C87"/>
    <w:rsid w:val="00485CC5"/>
    <w:rsid w:val="00486384"/>
    <w:rsid w:val="00486553"/>
    <w:rsid w:val="00486D58"/>
    <w:rsid w:val="00486E06"/>
    <w:rsid w:val="00487150"/>
    <w:rsid w:val="004874A3"/>
    <w:rsid w:val="004874D8"/>
    <w:rsid w:val="00487D43"/>
    <w:rsid w:val="00490349"/>
    <w:rsid w:val="00490421"/>
    <w:rsid w:val="0049057B"/>
    <w:rsid w:val="00490D00"/>
    <w:rsid w:val="00490D64"/>
    <w:rsid w:val="00490E3B"/>
    <w:rsid w:val="00490F9A"/>
    <w:rsid w:val="0049118E"/>
    <w:rsid w:val="004913BE"/>
    <w:rsid w:val="00491EEB"/>
    <w:rsid w:val="00491F89"/>
    <w:rsid w:val="004920CC"/>
    <w:rsid w:val="004924BD"/>
    <w:rsid w:val="0049363D"/>
    <w:rsid w:val="00493C9E"/>
    <w:rsid w:val="00493F3B"/>
    <w:rsid w:val="0049482E"/>
    <w:rsid w:val="004948B3"/>
    <w:rsid w:val="00494A20"/>
    <w:rsid w:val="00495418"/>
    <w:rsid w:val="00495FD9"/>
    <w:rsid w:val="004965B3"/>
    <w:rsid w:val="004966C1"/>
    <w:rsid w:val="00496DB7"/>
    <w:rsid w:val="00497669"/>
    <w:rsid w:val="004978EE"/>
    <w:rsid w:val="00497920"/>
    <w:rsid w:val="004A07AC"/>
    <w:rsid w:val="004A22F4"/>
    <w:rsid w:val="004A273E"/>
    <w:rsid w:val="004A2E68"/>
    <w:rsid w:val="004A2E69"/>
    <w:rsid w:val="004A33AC"/>
    <w:rsid w:val="004A49D1"/>
    <w:rsid w:val="004A5124"/>
    <w:rsid w:val="004A574C"/>
    <w:rsid w:val="004A5E10"/>
    <w:rsid w:val="004A6706"/>
    <w:rsid w:val="004A6B29"/>
    <w:rsid w:val="004A6E1D"/>
    <w:rsid w:val="004A7148"/>
    <w:rsid w:val="004A75E4"/>
    <w:rsid w:val="004B07DC"/>
    <w:rsid w:val="004B0B09"/>
    <w:rsid w:val="004B0B20"/>
    <w:rsid w:val="004B0DCF"/>
    <w:rsid w:val="004B12F0"/>
    <w:rsid w:val="004B1697"/>
    <w:rsid w:val="004B1D16"/>
    <w:rsid w:val="004B2265"/>
    <w:rsid w:val="004B32F1"/>
    <w:rsid w:val="004B344B"/>
    <w:rsid w:val="004B3D63"/>
    <w:rsid w:val="004B52E1"/>
    <w:rsid w:val="004B5F8E"/>
    <w:rsid w:val="004B5FEE"/>
    <w:rsid w:val="004B6415"/>
    <w:rsid w:val="004B6A42"/>
    <w:rsid w:val="004B6C74"/>
    <w:rsid w:val="004B7717"/>
    <w:rsid w:val="004B77ED"/>
    <w:rsid w:val="004B7872"/>
    <w:rsid w:val="004B7CE8"/>
    <w:rsid w:val="004C0A97"/>
    <w:rsid w:val="004C0CC8"/>
    <w:rsid w:val="004C1194"/>
    <w:rsid w:val="004C155C"/>
    <w:rsid w:val="004C17A6"/>
    <w:rsid w:val="004C27BD"/>
    <w:rsid w:val="004C2B82"/>
    <w:rsid w:val="004C2DD2"/>
    <w:rsid w:val="004C317C"/>
    <w:rsid w:val="004C349F"/>
    <w:rsid w:val="004C36D6"/>
    <w:rsid w:val="004C3EC9"/>
    <w:rsid w:val="004C4075"/>
    <w:rsid w:val="004C4415"/>
    <w:rsid w:val="004C4609"/>
    <w:rsid w:val="004C4933"/>
    <w:rsid w:val="004C52FE"/>
    <w:rsid w:val="004C5951"/>
    <w:rsid w:val="004C5B2B"/>
    <w:rsid w:val="004C60BD"/>
    <w:rsid w:val="004C6280"/>
    <w:rsid w:val="004C705A"/>
    <w:rsid w:val="004C7820"/>
    <w:rsid w:val="004C7CE2"/>
    <w:rsid w:val="004D0044"/>
    <w:rsid w:val="004D01A5"/>
    <w:rsid w:val="004D0363"/>
    <w:rsid w:val="004D08F4"/>
    <w:rsid w:val="004D0AA7"/>
    <w:rsid w:val="004D0F20"/>
    <w:rsid w:val="004D11EA"/>
    <w:rsid w:val="004D13B5"/>
    <w:rsid w:val="004D1BE9"/>
    <w:rsid w:val="004D20BA"/>
    <w:rsid w:val="004D215C"/>
    <w:rsid w:val="004D27EA"/>
    <w:rsid w:val="004D38A3"/>
    <w:rsid w:val="004D4A74"/>
    <w:rsid w:val="004D4AD8"/>
    <w:rsid w:val="004D4ADD"/>
    <w:rsid w:val="004D4E0A"/>
    <w:rsid w:val="004D4F17"/>
    <w:rsid w:val="004D5A88"/>
    <w:rsid w:val="004D5CF0"/>
    <w:rsid w:val="004D62F2"/>
    <w:rsid w:val="004D686A"/>
    <w:rsid w:val="004D7565"/>
    <w:rsid w:val="004D7805"/>
    <w:rsid w:val="004E06A0"/>
    <w:rsid w:val="004E0A90"/>
    <w:rsid w:val="004E11F4"/>
    <w:rsid w:val="004E1B62"/>
    <w:rsid w:val="004E205D"/>
    <w:rsid w:val="004E20B2"/>
    <w:rsid w:val="004E2E1C"/>
    <w:rsid w:val="004E30C2"/>
    <w:rsid w:val="004E3575"/>
    <w:rsid w:val="004E4167"/>
    <w:rsid w:val="004E525D"/>
    <w:rsid w:val="004E53F7"/>
    <w:rsid w:val="004E58F2"/>
    <w:rsid w:val="004E5EAE"/>
    <w:rsid w:val="004E6B08"/>
    <w:rsid w:val="004E6CFA"/>
    <w:rsid w:val="004E6E8A"/>
    <w:rsid w:val="004E72C2"/>
    <w:rsid w:val="004E7337"/>
    <w:rsid w:val="004E7768"/>
    <w:rsid w:val="004E77CE"/>
    <w:rsid w:val="004E7F5A"/>
    <w:rsid w:val="004F01BF"/>
    <w:rsid w:val="004F099A"/>
    <w:rsid w:val="004F09B3"/>
    <w:rsid w:val="004F103F"/>
    <w:rsid w:val="004F19D2"/>
    <w:rsid w:val="004F1A97"/>
    <w:rsid w:val="004F1D61"/>
    <w:rsid w:val="004F1E21"/>
    <w:rsid w:val="004F1ED6"/>
    <w:rsid w:val="004F1F7B"/>
    <w:rsid w:val="004F228A"/>
    <w:rsid w:val="004F22E9"/>
    <w:rsid w:val="004F24B0"/>
    <w:rsid w:val="004F28E7"/>
    <w:rsid w:val="004F2DCA"/>
    <w:rsid w:val="004F32A6"/>
    <w:rsid w:val="004F3D20"/>
    <w:rsid w:val="004F4426"/>
    <w:rsid w:val="004F4461"/>
    <w:rsid w:val="004F460E"/>
    <w:rsid w:val="004F4692"/>
    <w:rsid w:val="004F4BCA"/>
    <w:rsid w:val="004F5246"/>
    <w:rsid w:val="004F5601"/>
    <w:rsid w:val="004F5D22"/>
    <w:rsid w:val="004F63B9"/>
    <w:rsid w:val="004F6F2C"/>
    <w:rsid w:val="004F7506"/>
    <w:rsid w:val="004F762E"/>
    <w:rsid w:val="004F7785"/>
    <w:rsid w:val="004F7E8C"/>
    <w:rsid w:val="00500015"/>
    <w:rsid w:val="00500731"/>
    <w:rsid w:val="0050100A"/>
    <w:rsid w:val="0050147E"/>
    <w:rsid w:val="005019F8"/>
    <w:rsid w:val="005020CB"/>
    <w:rsid w:val="00502A55"/>
    <w:rsid w:val="00502CFF"/>
    <w:rsid w:val="00503717"/>
    <w:rsid w:val="005038DB"/>
    <w:rsid w:val="00503BD4"/>
    <w:rsid w:val="00504431"/>
    <w:rsid w:val="00505034"/>
    <w:rsid w:val="00505676"/>
    <w:rsid w:val="005056EA"/>
    <w:rsid w:val="0050574E"/>
    <w:rsid w:val="00507C25"/>
    <w:rsid w:val="00507FA9"/>
    <w:rsid w:val="0051060F"/>
    <w:rsid w:val="0051064D"/>
    <w:rsid w:val="0051093E"/>
    <w:rsid w:val="00510ABD"/>
    <w:rsid w:val="00510D12"/>
    <w:rsid w:val="005113D0"/>
    <w:rsid w:val="00511A39"/>
    <w:rsid w:val="00511BAD"/>
    <w:rsid w:val="00511D9E"/>
    <w:rsid w:val="00511FE8"/>
    <w:rsid w:val="00512862"/>
    <w:rsid w:val="005132E4"/>
    <w:rsid w:val="005140E8"/>
    <w:rsid w:val="005145A9"/>
    <w:rsid w:val="0051543B"/>
    <w:rsid w:val="0051676F"/>
    <w:rsid w:val="00517090"/>
    <w:rsid w:val="00517A78"/>
    <w:rsid w:val="005201F1"/>
    <w:rsid w:val="0052035E"/>
    <w:rsid w:val="00522480"/>
    <w:rsid w:val="005228AC"/>
    <w:rsid w:val="00522A41"/>
    <w:rsid w:val="00522EA4"/>
    <w:rsid w:val="00523F9C"/>
    <w:rsid w:val="005244D9"/>
    <w:rsid w:val="005245DF"/>
    <w:rsid w:val="0052562F"/>
    <w:rsid w:val="00525B67"/>
    <w:rsid w:val="00526292"/>
    <w:rsid w:val="005263DF"/>
    <w:rsid w:val="00527249"/>
    <w:rsid w:val="00527B73"/>
    <w:rsid w:val="00527CA8"/>
    <w:rsid w:val="00530E0B"/>
    <w:rsid w:val="0053135F"/>
    <w:rsid w:val="005315F9"/>
    <w:rsid w:val="00532B5C"/>
    <w:rsid w:val="00532D7A"/>
    <w:rsid w:val="00532FB1"/>
    <w:rsid w:val="00533922"/>
    <w:rsid w:val="005341EE"/>
    <w:rsid w:val="005342FB"/>
    <w:rsid w:val="005343DB"/>
    <w:rsid w:val="005346A4"/>
    <w:rsid w:val="00534893"/>
    <w:rsid w:val="00534A26"/>
    <w:rsid w:val="00534D4F"/>
    <w:rsid w:val="00534E59"/>
    <w:rsid w:val="00535362"/>
    <w:rsid w:val="00535C41"/>
    <w:rsid w:val="00536382"/>
    <w:rsid w:val="00536E44"/>
    <w:rsid w:val="00536E81"/>
    <w:rsid w:val="00536EAF"/>
    <w:rsid w:val="00540129"/>
    <w:rsid w:val="0054012D"/>
    <w:rsid w:val="00540515"/>
    <w:rsid w:val="00540522"/>
    <w:rsid w:val="0054080A"/>
    <w:rsid w:val="00540A1F"/>
    <w:rsid w:val="00541199"/>
    <w:rsid w:val="00541913"/>
    <w:rsid w:val="00541A01"/>
    <w:rsid w:val="00541C7E"/>
    <w:rsid w:val="0054288A"/>
    <w:rsid w:val="00542A98"/>
    <w:rsid w:val="00543ACD"/>
    <w:rsid w:val="00543CFA"/>
    <w:rsid w:val="00543FB9"/>
    <w:rsid w:val="0054418D"/>
    <w:rsid w:val="00544A05"/>
    <w:rsid w:val="00544CB7"/>
    <w:rsid w:val="0054503F"/>
    <w:rsid w:val="0054509B"/>
    <w:rsid w:val="0054517F"/>
    <w:rsid w:val="00545581"/>
    <w:rsid w:val="00545CC4"/>
    <w:rsid w:val="00545D72"/>
    <w:rsid w:val="00545E4C"/>
    <w:rsid w:val="0054671A"/>
    <w:rsid w:val="00546D54"/>
    <w:rsid w:val="0054731D"/>
    <w:rsid w:val="00547899"/>
    <w:rsid w:val="00547DF8"/>
    <w:rsid w:val="00550163"/>
    <w:rsid w:val="005508C6"/>
    <w:rsid w:val="00550CA7"/>
    <w:rsid w:val="00550FCE"/>
    <w:rsid w:val="005516C9"/>
    <w:rsid w:val="00551952"/>
    <w:rsid w:val="00551A04"/>
    <w:rsid w:val="00551FE5"/>
    <w:rsid w:val="00552EEB"/>
    <w:rsid w:val="00553810"/>
    <w:rsid w:val="00553829"/>
    <w:rsid w:val="005538FA"/>
    <w:rsid w:val="00553A7E"/>
    <w:rsid w:val="00554B2F"/>
    <w:rsid w:val="00555203"/>
    <w:rsid w:val="0055548D"/>
    <w:rsid w:val="00555542"/>
    <w:rsid w:val="00555C48"/>
    <w:rsid w:val="00555D6D"/>
    <w:rsid w:val="005568D0"/>
    <w:rsid w:val="00556E1F"/>
    <w:rsid w:val="005571ED"/>
    <w:rsid w:val="0055730A"/>
    <w:rsid w:val="005573CA"/>
    <w:rsid w:val="00557B0E"/>
    <w:rsid w:val="005604B8"/>
    <w:rsid w:val="005604E8"/>
    <w:rsid w:val="00560CC1"/>
    <w:rsid w:val="0056126C"/>
    <w:rsid w:val="0056127A"/>
    <w:rsid w:val="005614C1"/>
    <w:rsid w:val="005623CE"/>
    <w:rsid w:val="005630C3"/>
    <w:rsid w:val="005631E0"/>
    <w:rsid w:val="00563230"/>
    <w:rsid w:val="00563267"/>
    <w:rsid w:val="005646D1"/>
    <w:rsid w:val="00564CED"/>
    <w:rsid w:val="005650B9"/>
    <w:rsid w:val="00565EBC"/>
    <w:rsid w:val="005662F4"/>
    <w:rsid w:val="00566E90"/>
    <w:rsid w:val="00566FAF"/>
    <w:rsid w:val="005670E2"/>
    <w:rsid w:val="0056783F"/>
    <w:rsid w:val="005704AB"/>
    <w:rsid w:val="0057078F"/>
    <w:rsid w:val="00570D58"/>
    <w:rsid w:val="0057124B"/>
    <w:rsid w:val="00571632"/>
    <w:rsid w:val="00571C19"/>
    <w:rsid w:val="0057327E"/>
    <w:rsid w:val="00573B96"/>
    <w:rsid w:val="00574242"/>
    <w:rsid w:val="00574353"/>
    <w:rsid w:val="005746A2"/>
    <w:rsid w:val="005753E5"/>
    <w:rsid w:val="0057592F"/>
    <w:rsid w:val="00576132"/>
    <w:rsid w:val="00576557"/>
    <w:rsid w:val="00577024"/>
    <w:rsid w:val="00577A8E"/>
    <w:rsid w:val="005807BA"/>
    <w:rsid w:val="00580CE9"/>
    <w:rsid w:val="0058124A"/>
    <w:rsid w:val="0058132D"/>
    <w:rsid w:val="00583234"/>
    <w:rsid w:val="00583DA8"/>
    <w:rsid w:val="005845FD"/>
    <w:rsid w:val="00584CDC"/>
    <w:rsid w:val="00585D6D"/>
    <w:rsid w:val="00585F9F"/>
    <w:rsid w:val="00586181"/>
    <w:rsid w:val="005874FB"/>
    <w:rsid w:val="0058765E"/>
    <w:rsid w:val="00587E09"/>
    <w:rsid w:val="005901D4"/>
    <w:rsid w:val="00590201"/>
    <w:rsid w:val="00590707"/>
    <w:rsid w:val="00590A2E"/>
    <w:rsid w:val="00590C5D"/>
    <w:rsid w:val="005911A1"/>
    <w:rsid w:val="0059176B"/>
    <w:rsid w:val="005917A8"/>
    <w:rsid w:val="00591D25"/>
    <w:rsid w:val="0059232C"/>
    <w:rsid w:val="00592628"/>
    <w:rsid w:val="00592D01"/>
    <w:rsid w:val="005930BC"/>
    <w:rsid w:val="005932E5"/>
    <w:rsid w:val="00593350"/>
    <w:rsid w:val="00593C81"/>
    <w:rsid w:val="00593DE5"/>
    <w:rsid w:val="00593F42"/>
    <w:rsid w:val="00594118"/>
    <w:rsid w:val="00594857"/>
    <w:rsid w:val="005958A8"/>
    <w:rsid w:val="00596399"/>
    <w:rsid w:val="00596718"/>
    <w:rsid w:val="00596826"/>
    <w:rsid w:val="00596A60"/>
    <w:rsid w:val="00596BD3"/>
    <w:rsid w:val="005970DE"/>
    <w:rsid w:val="00597A2D"/>
    <w:rsid w:val="005A08FE"/>
    <w:rsid w:val="005A0FD3"/>
    <w:rsid w:val="005A1540"/>
    <w:rsid w:val="005A1911"/>
    <w:rsid w:val="005A1A8A"/>
    <w:rsid w:val="005A21EB"/>
    <w:rsid w:val="005A2354"/>
    <w:rsid w:val="005A296C"/>
    <w:rsid w:val="005A3063"/>
    <w:rsid w:val="005A392D"/>
    <w:rsid w:val="005A3B55"/>
    <w:rsid w:val="005A3B72"/>
    <w:rsid w:val="005A4202"/>
    <w:rsid w:val="005A42ED"/>
    <w:rsid w:val="005A491A"/>
    <w:rsid w:val="005A5798"/>
    <w:rsid w:val="005A5940"/>
    <w:rsid w:val="005A598C"/>
    <w:rsid w:val="005A5998"/>
    <w:rsid w:val="005A5F32"/>
    <w:rsid w:val="005A6D9C"/>
    <w:rsid w:val="005A7722"/>
    <w:rsid w:val="005A7A82"/>
    <w:rsid w:val="005A7F35"/>
    <w:rsid w:val="005A7F59"/>
    <w:rsid w:val="005B012E"/>
    <w:rsid w:val="005B01DD"/>
    <w:rsid w:val="005B0506"/>
    <w:rsid w:val="005B0DC7"/>
    <w:rsid w:val="005B0FE8"/>
    <w:rsid w:val="005B11DD"/>
    <w:rsid w:val="005B19F2"/>
    <w:rsid w:val="005B1C58"/>
    <w:rsid w:val="005B2C78"/>
    <w:rsid w:val="005B35BD"/>
    <w:rsid w:val="005B36CE"/>
    <w:rsid w:val="005B36DB"/>
    <w:rsid w:val="005B3792"/>
    <w:rsid w:val="005B37E4"/>
    <w:rsid w:val="005B392A"/>
    <w:rsid w:val="005B414A"/>
    <w:rsid w:val="005B4153"/>
    <w:rsid w:val="005B4303"/>
    <w:rsid w:val="005B4611"/>
    <w:rsid w:val="005B4D0C"/>
    <w:rsid w:val="005B5483"/>
    <w:rsid w:val="005B5904"/>
    <w:rsid w:val="005B5AA3"/>
    <w:rsid w:val="005B5B54"/>
    <w:rsid w:val="005B5D55"/>
    <w:rsid w:val="005B6B0F"/>
    <w:rsid w:val="005B6EE0"/>
    <w:rsid w:val="005B73C1"/>
    <w:rsid w:val="005B752C"/>
    <w:rsid w:val="005C014C"/>
    <w:rsid w:val="005C04B5"/>
    <w:rsid w:val="005C065C"/>
    <w:rsid w:val="005C0CFF"/>
    <w:rsid w:val="005C0ECE"/>
    <w:rsid w:val="005C1258"/>
    <w:rsid w:val="005C1694"/>
    <w:rsid w:val="005C1859"/>
    <w:rsid w:val="005C189F"/>
    <w:rsid w:val="005C19AF"/>
    <w:rsid w:val="005C1C2E"/>
    <w:rsid w:val="005C1D33"/>
    <w:rsid w:val="005C240B"/>
    <w:rsid w:val="005C2775"/>
    <w:rsid w:val="005C2CB3"/>
    <w:rsid w:val="005C35A3"/>
    <w:rsid w:val="005C35CF"/>
    <w:rsid w:val="005C39C0"/>
    <w:rsid w:val="005C3F62"/>
    <w:rsid w:val="005C3F79"/>
    <w:rsid w:val="005C4200"/>
    <w:rsid w:val="005C42A5"/>
    <w:rsid w:val="005C4C76"/>
    <w:rsid w:val="005C4CBD"/>
    <w:rsid w:val="005C4DA4"/>
    <w:rsid w:val="005C59BA"/>
    <w:rsid w:val="005C6160"/>
    <w:rsid w:val="005C6BAB"/>
    <w:rsid w:val="005C7670"/>
    <w:rsid w:val="005C7D50"/>
    <w:rsid w:val="005C7E11"/>
    <w:rsid w:val="005C7F78"/>
    <w:rsid w:val="005D00C0"/>
    <w:rsid w:val="005D0B7D"/>
    <w:rsid w:val="005D0B9F"/>
    <w:rsid w:val="005D13BE"/>
    <w:rsid w:val="005D1724"/>
    <w:rsid w:val="005D1B64"/>
    <w:rsid w:val="005D1C86"/>
    <w:rsid w:val="005D1E53"/>
    <w:rsid w:val="005D40DC"/>
    <w:rsid w:val="005D4E81"/>
    <w:rsid w:val="005D50BB"/>
    <w:rsid w:val="005D5187"/>
    <w:rsid w:val="005D518B"/>
    <w:rsid w:val="005D57A4"/>
    <w:rsid w:val="005D5A63"/>
    <w:rsid w:val="005D5C2D"/>
    <w:rsid w:val="005D664C"/>
    <w:rsid w:val="005D694F"/>
    <w:rsid w:val="005D696F"/>
    <w:rsid w:val="005D704B"/>
    <w:rsid w:val="005D7B06"/>
    <w:rsid w:val="005D7C68"/>
    <w:rsid w:val="005E0480"/>
    <w:rsid w:val="005E0A90"/>
    <w:rsid w:val="005E0EDB"/>
    <w:rsid w:val="005E13C5"/>
    <w:rsid w:val="005E1B4E"/>
    <w:rsid w:val="005E2851"/>
    <w:rsid w:val="005E2BEA"/>
    <w:rsid w:val="005E2EFA"/>
    <w:rsid w:val="005E3508"/>
    <w:rsid w:val="005E3680"/>
    <w:rsid w:val="005E3930"/>
    <w:rsid w:val="005E3A16"/>
    <w:rsid w:val="005E4144"/>
    <w:rsid w:val="005E438F"/>
    <w:rsid w:val="005E454F"/>
    <w:rsid w:val="005E4866"/>
    <w:rsid w:val="005E5118"/>
    <w:rsid w:val="005E5149"/>
    <w:rsid w:val="005E5192"/>
    <w:rsid w:val="005E62DF"/>
    <w:rsid w:val="005E6A21"/>
    <w:rsid w:val="005E6C6D"/>
    <w:rsid w:val="005E6DAD"/>
    <w:rsid w:val="005E758C"/>
    <w:rsid w:val="005E79C6"/>
    <w:rsid w:val="005F0031"/>
    <w:rsid w:val="005F0454"/>
    <w:rsid w:val="005F05F7"/>
    <w:rsid w:val="005F0693"/>
    <w:rsid w:val="005F0A5B"/>
    <w:rsid w:val="005F0C2C"/>
    <w:rsid w:val="005F0D3B"/>
    <w:rsid w:val="005F1237"/>
    <w:rsid w:val="005F2E64"/>
    <w:rsid w:val="005F2EF7"/>
    <w:rsid w:val="005F34A8"/>
    <w:rsid w:val="005F39FE"/>
    <w:rsid w:val="005F3A0E"/>
    <w:rsid w:val="005F3BA5"/>
    <w:rsid w:val="005F3CDC"/>
    <w:rsid w:val="005F3F68"/>
    <w:rsid w:val="005F453B"/>
    <w:rsid w:val="005F4A72"/>
    <w:rsid w:val="005F4CBF"/>
    <w:rsid w:val="005F505A"/>
    <w:rsid w:val="005F572A"/>
    <w:rsid w:val="005F5F24"/>
    <w:rsid w:val="005F63F2"/>
    <w:rsid w:val="005F641C"/>
    <w:rsid w:val="005F6436"/>
    <w:rsid w:val="005F6568"/>
    <w:rsid w:val="005F6BEF"/>
    <w:rsid w:val="005F6C43"/>
    <w:rsid w:val="005F6E1A"/>
    <w:rsid w:val="005F711B"/>
    <w:rsid w:val="005F720D"/>
    <w:rsid w:val="005F7AF1"/>
    <w:rsid w:val="005F7F62"/>
    <w:rsid w:val="00600604"/>
    <w:rsid w:val="00600E12"/>
    <w:rsid w:val="00601311"/>
    <w:rsid w:val="0060177C"/>
    <w:rsid w:val="006017F9"/>
    <w:rsid w:val="00601BC4"/>
    <w:rsid w:val="00601BCE"/>
    <w:rsid w:val="006030FD"/>
    <w:rsid w:val="00603116"/>
    <w:rsid w:val="00603278"/>
    <w:rsid w:val="0060380C"/>
    <w:rsid w:val="006040A0"/>
    <w:rsid w:val="00604442"/>
    <w:rsid w:val="00604B5E"/>
    <w:rsid w:val="00604D3F"/>
    <w:rsid w:val="00605107"/>
    <w:rsid w:val="00605B19"/>
    <w:rsid w:val="00605B9F"/>
    <w:rsid w:val="00605EF3"/>
    <w:rsid w:val="00606309"/>
    <w:rsid w:val="0060671F"/>
    <w:rsid w:val="006069DA"/>
    <w:rsid w:val="00606BEC"/>
    <w:rsid w:val="006100DA"/>
    <w:rsid w:val="006105D3"/>
    <w:rsid w:val="006105D6"/>
    <w:rsid w:val="00610C3B"/>
    <w:rsid w:val="00610F5E"/>
    <w:rsid w:val="006117E3"/>
    <w:rsid w:val="0061190D"/>
    <w:rsid w:val="0061279E"/>
    <w:rsid w:val="00612825"/>
    <w:rsid w:val="00612FC2"/>
    <w:rsid w:val="00613210"/>
    <w:rsid w:val="006133A7"/>
    <w:rsid w:val="0061357D"/>
    <w:rsid w:val="006137AC"/>
    <w:rsid w:val="00613D84"/>
    <w:rsid w:val="006149BB"/>
    <w:rsid w:val="00614AE1"/>
    <w:rsid w:val="00614F1B"/>
    <w:rsid w:val="00615255"/>
    <w:rsid w:val="00615796"/>
    <w:rsid w:val="006158A7"/>
    <w:rsid w:val="0061590B"/>
    <w:rsid w:val="00615D1B"/>
    <w:rsid w:val="006160C7"/>
    <w:rsid w:val="006163AC"/>
    <w:rsid w:val="00616B9B"/>
    <w:rsid w:val="00616C00"/>
    <w:rsid w:val="00616E46"/>
    <w:rsid w:val="00616E83"/>
    <w:rsid w:val="00617BDF"/>
    <w:rsid w:val="00620C5E"/>
    <w:rsid w:val="00620E13"/>
    <w:rsid w:val="00620EAB"/>
    <w:rsid w:val="006212BA"/>
    <w:rsid w:val="006214E2"/>
    <w:rsid w:val="00621C61"/>
    <w:rsid w:val="00621ED0"/>
    <w:rsid w:val="006220B8"/>
    <w:rsid w:val="00622159"/>
    <w:rsid w:val="0062221F"/>
    <w:rsid w:val="0062254F"/>
    <w:rsid w:val="0062268A"/>
    <w:rsid w:val="00623357"/>
    <w:rsid w:val="006233D0"/>
    <w:rsid w:val="00623681"/>
    <w:rsid w:val="00624144"/>
    <w:rsid w:val="00624B42"/>
    <w:rsid w:val="00624CA6"/>
    <w:rsid w:val="00625C1A"/>
    <w:rsid w:val="00625E6C"/>
    <w:rsid w:val="006261D0"/>
    <w:rsid w:val="006264D8"/>
    <w:rsid w:val="00627633"/>
    <w:rsid w:val="0062792E"/>
    <w:rsid w:val="00627AEF"/>
    <w:rsid w:val="00630434"/>
    <w:rsid w:val="00630C6B"/>
    <w:rsid w:val="00630CA6"/>
    <w:rsid w:val="0063107F"/>
    <w:rsid w:val="00631823"/>
    <w:rsid w:val="00632211"/>
    <w:rsid w:val="00632538"/>
    <w:rsid w:val="00633114"/>
    <w:rsid w:val="00633648"/>
    <w:rsid w:val="00633CCC"/>
    <w:rsid w:val="00633D90"/>
    <w:rsid w:val="006352E8"/>
    <w:rsid w:val="006356E5"/>
    <w:rsid w:val="00635B98"/>
    <w:rsid w:val="00636498"/>
    <w:rsid w:val="00637054"/>
    <w:rsid w:val="00637280"/>
    <w:rsid w:val="006374FD"/>
    <w:rsid w:val="00637505"/>
    <w:rsid w:val="00637B1E"/>
    <w:rsid w:val="00637FAE"/>
    <w:rsid w:val="00640149"/>
    <w:rsid w:val="00640422"/>
    <w:rsid w:val="006413F4"/>
    <w:rsid w:val="00641B70"/>
    <w:rsid w:val="00641D29"/>
    <w:rsid w:val="006427DC"/>
    <w:rsid w:val="00642921"/>
    <w:rsid w:val="00642B1D"/>
    <w:rsid w:val="00642EE2"/>
    <w:rsid w:val="00643624"/>
    <w:rsid w:val="00643994"/>
    <w:rsid w:val="006448BB"/>
    <w:rsid w:val="00644CA0"/>
    <w:rsid w:val="0064505B"/>
    <w:rsid w:val="006450E0"/>
    <w:rsid w:val="00645284"/>
    <w:rsid w:val="0064567A"/>
    <w:rsid w:val="00645A49"/>
    <w:rsid w:val="006466D3"/>
    <w:rsid w:val="00646C2D"/>
    <w:rsid w:val="00647350"/>
    <w:rsid w:val="00647960"/>
    <w:rsid w:val="00647EB6"/>
    <w:rsid w:val="00650857"/>
    <w:rsid w:val="00650B75"/>
    <w:rsid w:val="0065249C"/>
    <w:rsid w:val="00652585"/>
    <w:rsid w:val="00652651"/>
    <w:rsid w:val="006530B2"/>
    <w:rsid w:val="00653C89"/>
    <w:rsid w:val="0065418A"/>
    <w:rsid w:val="0065486A"/>
    <w:rsid w:val="00654A04"/>
    <w:rsid w:val="00654AA7"/>
    <w:rsid w:val="00655168"/>
    <w:rsid w:val="006557A9"/>
    <w:rsid w:val="00656532"/>
    <w:rsid w:val="00657208"/>
    <w:rsid w:val="006578C8"/>
    <w:rsid w:val="006579DD"/>
    <w:rsid w:val="00660151"/>
    <w:rsid w:val="00660AC8"/>
    <w:rsid w:val="00660E70"/>
    <w:rsid w:val="006611C8"/>
    <w:rsid w:val="006628D3"/>
    <w:rsid w:val="00662A7A"/>
    <w:rsid w:val="00662CF1"/>
    <w:rsid w:val="006637DF"/>
    <w:rsid w:val="0066381D"/>
    <w:rsid w:val="006638FD"/>
    <w:rsid w:val="00664020"/>
    <w:rsid w:val="0066460E"/>
    <w:rsid w:val="00665A97"/>
    <w:rsid w:val="00665E84"/>
    <w:rsid w:val="0066611C"/>
    <w:rsid w:val="0066634E"/>
    <w:rsid w:val="00666D74"/>
    <w:rsid w:val="00667A28"/>
    <w:rsid w:val="00667AB6"/>
    <w:rsid w:val="006708DB"/>
    <w:rsid w:val="00670A41"/>
    <w:rsid w:val="00670B06"/>
    <w:rsid w:val="00670EFD"/>
    <w:rsid w:val="00670F37"/>
    <w:rsid w:val="00671021"/>
    <w:rsid w:val="006710C3"/>
    <w:rsid w:val="00671CB9"/>
    <w:rsid w:val="00671EC3"/>
    <w:rsid w:val="0067206B"/>
    <w:rsid w:val="006725C9"/>
    <w:rsid w:val="0067283A"/>
    <w:rsid w:val="00672D2C"/>
    <w:rsid w:val="00673662"/>
    <w:rsid w:val="006737FD"/>
    <w:rsid w:val="0067394E"/>
    <w:rsid w:val="00673A48"/>
    <w:rsid w:val="00674632"/>
    <w:rsid w:val="0067468D"/>
    <w:rsid w:val="006748D7"/>
    <w:rsid w:val="00674B56"/>
    <w:rsid w:val="00674C99"/>
    <w:rsid w:val="00674F6D"/>
    <w:rsid w:val="006756B0"/>
    <w:rsid w:val="006758B5"/>
    <w:rsid w:val="00675C6D"/>
    <w:rsid w:val="00675C7E"/>
    <w:rsid w:val="00675C80"/>
    <w:rsid w:val="00676379"/>
    <w:rsid w:val="006763F5"/>
    <w:rsid w:val="00676A4C"/>
    <w:rsid w:val="00676ABB"/>
    <w:rsid w:val="00676D35"/>
    <w:rsid w:val="006770F7"/>
    <w:rsid w:val="006774E2"/>
    <w:rsid w:val="00677A8B"/>
    <w:rsid w:val="00677BF1"/>
    <w:rsid w:val="00677F0E"/>
    <w:rsid w:val="00680882"/>
    <w:rsid w:val="00680D0E"/>
    <w:rsid w:val="00681086"/>
    <w:rsid w:val="00681A94"/>
    <w:rsid w:val="00681D2B"/>
    <w:rsid w:val="00681E98"/>
    <w:rsid w:val="00682687"/>
    <w:rsid w:val="006828DE"/>
    <w:rsid w:val="006833C2"/>
    <w:rsid w:val="00683719"/>
    <w:rsid w:val="006839FD"/>
    <w:rsid w:val="00683AB1"/>
    <w:rsid w:val="00683B13"/>
    <w:rsid w:val="006847CC"/>
    <w:rsid w:val="00684A1A"/>
    <w:rsid w:val="00684EF9"/>
    <w:rsid w:val="00685114"/>
    <w:rsid w:val="006851BD"/>
    <w:rsid w:val="0068583C"/>
    <w:rsid w:val="00685D32"/>
    <w:rsid w:val="006862B3"/>
    <w:rsid w:val="006862CD"/>
    <w:rsid w:val="006864A4"/>
    <w:rsid w:val="0068651F"/>
    <w:rsid w:val="00687BA0"/>
    <w:rsid w:val="00687F81"/>
    <w:rsid w:val="00687FD4"/>
    <w:rsid w:val="0069079C"/>
    <w:rsid w:val="00690F5B"/>
    <w:rsid w:val="00691388"/>
    <w:rsid w:val="006913CD"/>
    <w:rsid w:val="00691444"/>
    <w:rsid w:val="006916A9"/>
    <w:rsid w:val="00691D3A"/>
    <w:rsid w:val="00692831"/>
    <w:rsid w:val="0069427F"/>
    <w:rsid w:val="0069464D"/>
    <w:rsid w:val="00694B5D"/>
    <w:rsid w:val="00695A27"/>
    <w:rsid w:val="00695BC8"/>
    <w:rsid w:val="00695E47"/>
    <w:rsid w:val="0069600C"/>
    <w:rsid w:val="00696214"/>
    <w:rsid w:val="00696494"/>
    <w:rsid w:val="0069756A"/>
    <w:rsid w:val="0069770E"/>
    <w:rsid w:val="00697FEB"/>
    <w:rsid w:val="006A0121"/>
    <w:rsid w:val="006A04C7"/>
    <w:rsid w:val="006A0810"/>
    <w:rsid w:val="006A0ED4"/>
    <w:rsid w:val="006A14F3"/>
    <w:rsid w:val="006A23DF"/>
    <w:rsid w:val="006A27F9"/>
    <w:rsid w:val="006A2C70"/>
    <w:rsid w:val="006A3659"/>
    <w:rsid w:val="006A3A22"/>
    <w:rsid w:val="006A42CA"/>
    <w:rsid w:val="006A4A3B"/>
    <w:rsid w:val="006A5BAF"/>
    <w:rsid w:val="006A671A"/>
    <w:rsid w:val="006A69E2"/>
    <w:rsid w:val="006A6BD2"/>
    <w:rsid w:val="006A6D86"/>
    <w:rsid w:val="006A75C8"/>
    <w:rsid w:val="006A7718"/>
    <w:rsid w:val="006A7978"/>
    <w:rsid w:val="006A7D66"/>
    <w:rsid w:val="006A7E73"/>
    <w:rsid w:val="006B0ECA"/>
    <w:rsid w:val="006B1626"/>
    <w:rsid w:val="006B319B"/>
    <w:rsid w:val="006B35C9"/>
    <w:rsid w:val="006B36D3"/>
    <w:rsid w:val="006B3B48"/>
    <w:rsid w:val="006B3E63"/>
    <w:rsid w:val="006B4564"/>
    <w:rsid w:val="006B4A10"/>
    <w:rsid w:val="006B4A1A"/>
    <w:rsid w:val="006B5002"/>
    <w:rsid w:val="006B580B"/>
    <w:rsid w:val="006B5B62"/>
    <w:rsid w:val="006B6138"/>
    <w:rsid w:val="006B6641"/>
    <w:rsid w:val="006B67FF"/>
    <w:rsid w:val="006B6CBD"/>
    <w:rsid w:val="006B6D18"/>
    <w:rsid w:val="006B6DCB"/>
    <w:rsid w:val="006B7548"/>
    <w:rsid w:val="006B77EA"/>
    <w:rsid w:val="006B789C"/>
    <w:rsid w:val="006B7D52"/>
    <w:rsid w:val="006C06C6"/>
    <w:rsid w:val="006C0BDB"/>
    <w:rsid w:val="006C0F30"/>
    <w:rsid w:val="006C1919"/>
    <w:rsid w:val="006C1D1B"/>
    <w:rsid w:val="006C1E5A"/>
    <w:rsid w:val="006C1EE5"/>
    <w:rsid w:val="006C22E8"/>
    <w:rsid w:val="006C2ED5"/>
    <w:rsid w:val="006C30B8"/>
    <w:rsid w:val="006C30C7"/>
    <w:rsid w:val="006C4305"/>
    <w:rsid w:val="006C46DD"/>
    <w:rsid w:val="006C484D"/>
    <w:rsid w:val="006C4A18"/>
    <w:rsid w:val="006C4F4D"/>
    <w:rsid w:val="006C586F"/>
    <w:rsid w:val="006C5D6B"/>
    <w:rsid w:val="006C5F03"/>
    <w:rsid w:val="006C6D23"/>
    <w:rsid w:val="006C7ADC"/>
    <w:rsid w:val="006C7B32"/>
    <w:rsid w:val="006C7D9E"/>
    <w:rsid w:val="006D0116"/>
    <w:rsid w:val="006D016E"/>
    <w:rsid w:val="006D0698"/>
    <w:rsid w:val="006D0BA4"/>
    <w:rsid w:val="006D0C7B"/>
    <w:rsid w:val="006D1237"/>
    <w:rsid w:val="006D1BEC"/>
    <w:rsid w:val="006D1C41"/>
    <w:rsid w:val="006D1D26"/>
    <w:rsid w:val="006D1DE5"/>
    <w:rsid w:val="006D201B"/>
    <w:rsid w:val="006D2062"/>
    <w:rsid w:val="006D213C"/>
    <w:rsid w:val="006D235A"/>
    <w:rsid w:val="006D3C22"/>
    <w:rsid w:val="006D4638"/>
    <w:rsid w:val="006D46E2"/>
    <w:rsid w:val="006D4B63"/>
    <w:rsid w:val="006D513D"/>
    <w:rsid w:val="006D517E"/>
    <w:rsid w:val="006D51FC"/>
    <w:rsid w:val="006D5386"/>
    <w:rsid w:val="006D53B8"/>
    <w:rsid w:val="006D56BC"/>
    <w:rsid w:val="006D5B46"/>
    <w:rsid w:val="006D5E4B"/>
    <w:rsid w:val="006D5F51"/>
    <w:rsid w:val="006D6235"/>
    <w:rsid w:val="006D65E6"/>
    <w:rsid w:val="006D6EA2"/>
    <w:rsid w:val="006D7375"/>
    <w:rsid w:val="006D7993"/>
    <w:rsid w:val="006D7E0D"/>
    <w:rsid w:val="006E0D80"/>
    <w:rsid w:val="006E121F"/>
    <w:rsid w:val="006E162F"/>
    <w:rsid w:val="006E17EC"/>
    <w:rsid w:val="006E1AC2"/>
    <w:rsid w:val="006E278A"/>
    <w:rsid w:val="006E2847"/>
    <w:rsid w:val="006E2A49"/>
    <w:rsid w:val="006E2F6F"/>
    <w:rsid w:val="006E3131"/>
    <w:rsid w:val="006E3A7F"/>
    <w:rsid w:val="006E3B27"/>
    <w:rsid w:val="006E3BFA"/>
    <w:rsid w:val="006E4161"/>
    <w:rsid w:val="006E42B5"/>
    <w:rsid w:val="006E44A7"/>
    <w:rsid w:val="006E4ECA"/>
    <w:rsid w:val="006E52BD"/>
    <w:rsid w:val="006E576C"/>
    <w:rsid w:val="006E66B7"/>
    <w:rsid w:val="006F0C68"/>
    <w:rsid w:val="006F1141"/>
    <w:rsid w:val="006F1BFD"/>
    <w:rsid w:val="006F2581"/>
    <w:rsid w:val="006F2AC1"/>
    <w:rsid w:val="006F2CAB"/>
    <w:rsid w:val="006F32C3"/>
    <w:rsid w:val="006F37DA"/>
    <w:rsid w:val="006F3BAC"/>
    <w:rsid w:val="006F3BE2"/>
    <w:rsid w:val="006F3E77"/>
    <w:rsid w:val="006F3FC6"/>
    <w:rsid w:val="006F47B9"/>
    <w:rsid w:val="006F4AAE"/>
    <w:rsid w:val="006F56CE"/>
    <w:rsid w:val="006F5F97"/>
    <w:rsid w:val="006F6857"/>
    <w:rsid w:val="006F6A12"/>
    <w:rsid w:val="006F6DF7"/>
    <w:rsid w:val="006F7BCC"/>
    <w:rsid w:val="0070058A"/>
    <w:rsid w:val="00700E2D"/>
    <w:rsid w:val="00700E8E"/>
    <w:rsid w:val="00700F23"/>
    <w:rsid w:val="00701810"/>
    <w:rsid w:val="0070183B"/>
    <w:rsid w:val="007018B5"/>
    <w:rsid w:val="007018F4"/>
    <w:rsid w:val="00701C34"/>
    <w:rsid w:val="00701EEA"/>
    <w:rsid w:val="007029F5"/>
    <w:rsid w:val="00702A86"/>
    <w:rsid w:val="00702F20"/>
    <w:rsid w:val="00702FE2"/>
    <w:rsid w:val="007031A9"/>
    <w:rsid w:val="0070423F"/>
    <w:rsid w:val="00704347"/>
    <w:rsid w:val="0070448F"/>
    <w:rsid w:val="007046BE"/>
    <w:rsid w:val="00705011"/>
    <w:rsid w:val="0070504B"/>
    <w:rsid w:val="00706487"/>
    <w:rsid w:val="007068C9"/>
    <w:rsid w:val="007073DB"/>
    <w:rsid w:val="00707CA4"/>
    <w:rsid w:val="0071021C"/>
    <w:rsid w:val="0071048B"/>
    <w:rsid w:val="007105CB"/>
    <w:rsid w:val="00710661"/>
    <w:rsid w:val="00710770"/>
    <w:rsid w:val="00710FFF"/>
    <w:rsid w:val="007110AC"/>
    <w:rsid w:val="007112BB"/>
    <w:rsid w:val="007112E5"/>
    <w:rsid w:val="00711845"/>
    <w:rsid w:val="007119DD"/>
    <w:rsid w:val="00711A36"/>
    <w:rsid w:val="00711AD2"/>
    <w:rsid w:val="00712137"/>
    <w:rsid w:val="00712B76"/>
    <w:rsid w:val="00712C24"/>
    <w:rsid w:val="00714C34"/>
    <w:rsid w:val="007157EF"/>
    <w:rsid w:val="00715D23"/>
    <w:rsid w:val="00715E07"/>
    <w:rsid w:val="00716338"/>
    <w:rsid w:val="00716520"/>
    <w:rsid w:val="00716D4C"/>
    <w:rsid w:val="00717158"/>
    <w:rsid w:val="00717237"/>
    <w:rsid w:val="007173BD"/>
    <w:rsid w:val="00717432"/>
    <w:rsid w:val="0071760B"/>
    <w:rsid w:val="00717704"/>
    <w:rsid w:val="0071795A"/>
    <w:rsid w:val="007208DA"/>
    <w:rsid w:val="00720C57"/>
    <w:rsid w:val="00720C74"/>
    <w:rsid w:val="00720D56"/>
    <w:rsid w:val="00721C9B"/>
    <w:rsid w:val="00721F8F"/>
    <w:rsid w:val="00722239"/>
    <w:rsid w:val="007222F5"/>
    <w:rsid w:val="00722562"/>
    <w:rsid w:val="007238BE"/>
    <w:rsid w:val="00723C21"/>
    <w:rsid w:val="00724007"/>
    <w:rsid w:val="007244F5"/>
    <w:rsid w:val="00724877"/>
    <w:rsid w:val="007255B2"/>
    <w:rsid w:val="00726532"/>
    <w:rsid w:val="00726B79"/>
    <w:rsid w:val="0072710D"/>
    <w:rsid w:val="007271E5"/>
    <w:rsid w:val="00727404"/>
    <w:rsid w:val="00727A27"/>
    <w:rsid w:val="007308C3"/>
    <w:rsid w:val="00730C55"/>
    <w:rsid w:val="00731247"/>
    <w:rsid w:val="00731352"/>
    <w:rsid w:val="007313B6"/>
    <w:rsid w:val="00731E9A"/>
    <w:rsid w:val="00732DBA"/>
    <w:rsid w:val="00733153"/>
    <w:rsid w:val="007332D3"/>
    <w:rsid w:val="00733580"/>
    <w:rsid w:val="00733642"/>
    <w:rsid w:val="007337BA"/>
    <w:rsid w:val="00734210"/>
    <w:rsid w:val="007347F0"/>
    <w:rsid w:val="0073504B"/>
    <w:rsid w:val="00735A89"/>
    <w:rsid w:val="00736679"/>
    <w:rsid w:val="007367AB"/>
    <w:rsid w:val="00736E5E"/>
    <w:rsid w:val="00737812"/>
    <w:rsid w:val="00737F83"/>
    <w:rsid w:val="007403BB"/>
    <w:rsid w:val="0074099A"/>
    <w:rsid w:val="00740D1D"/>
    <w:rsid w:val="00740D99"/>
    <w:rsid w:val="00742660"/>
    <w:rsid w:val="0074278D"/>
    <w:rsid w:val="00742872"/>
    <w:rsid w:val="00742F4C"/>
    <w:rsid w:val="007433A8"/>
    <w:rsid w:val="00743BA0"/>
    <w:rsid w:val="00743D7E"/>
    <w:rsid w:val="007440B2"/>
    <w:rsid w:val="00744BF8"/>
    <w:rsid w:val="00744C1A"/>
    <w:rsid w:val="00744FCF"/>
    <w:rsid w:val="00745354"/>
    <w:rsid w:val="00745727"/>
    <w:rsid w:val="00745844"/>
    <w:rsid w:val="00745C19"/>
    <w:rsid w:val="00746705"/>
    <w:rsid w:val="00746E22"/>
    <w:rsid w:val="0075059C"/>
    <w:rsid w:val="007508D2"/>
    <w:rsid w:val="00750FA5"/>
    <w:rsid w:val="007512D0"/>
    <w:rsid w:val="007514A8"/>
    <w:rsid w:val="00751F30"/>
    <w:rsid w:val="0075238A"/>
    <w:rsid w:val="00752899"/>
    <w:rsid w:val="007528A9"/>
    <w:rsid w:val="00752D54"/>
    <w:rsid w:val="00752D98"/>
    <w:rsid w:val="00752F1E"/>
    <w:rsid w:val="007533F8"/>
    <w:rsid w:val="007537C3"/>
    <w:rsid w:val="00754581"/>
    <w:rsid w:val="007547D0"/>
    <w:rsid w:val="00754A07"/>
    <w:rsid w:val="00754BAF"/>
    <w:rsid w:val="00754F37"/>
    <w:rsid w:val="00755ACA"/>
    <w:rsid w:val="00755E60"/>
    <w:rsid w:val="0075639F"/>
    <w:rsid w:val="0075689E"/>
    <w:rsid w:val="007568A1"/>
    <w:rsid w:val="00756CA9"/>
    <w:rsid w:val="00757024"/>
    <w:rsid w:val="00757055"/>
    <w:rsid w:val="007574B1"/>
    <w:rsid w:val="00760285"/>
    <w:rsid w:val="00760655"/>
    <w:rsid w:val="00760678"/>
    <w:rsid w:val="007607E6"/>
    <w:rsid w:val="00760A5C"/>
    <w:rsid w:val="0076169B"/>
    <w:rsid w:val="00761BF7"/>
    <w:rsid w:val="00761CC8"/>
    <w:rsid w:val="00761D0A"/>
    <w:rsid w:val="0076334B"/>
    <w:rsid w:val="0076359F"/>
    <w:rsid w:val="00765675"/>
    <w:rsid w:val="0076582C"/>
    <w:rsid w:val="007658EF"/>
    <w:rsid w:val="00765F87"/>
    <w:rsid w:val="0076611E"/>
    <w:rsid w:val="007666AE"/>
    <w:rsid w:val="00766881"/>
    <w:rsid w:val="00766891"/>
    <w:rsid w:val="00766B91"/>
    <w:rsid w:val="00767958"/>
    <w:rsid w:val="00767BEE"/>
    <w:rsid w:val="00770176"/>
    <w:rsid w:val="007701C0"/>
    <w:rsid w:val="00770853"/>
    <w:rsid w:val="00770969"/>
    <w:rsid w:val="00770E79"/>
    <w:rsid w:val="00771258"/>
    <w:rsid w:val="0077161B"/>
    <w:rsid w:val="00771AC1"/>
    <w:rsid w:val="00771EF7"/>
    <w:rsid w:val="00771F2B"/>
    <w:rsid w:val="007726D3"/>
    <w:rsid w:val="00772E9C"/>
    <w:rsid w:val="007732D4"/>
    <w:rsid w:val="00773832"/>
    <w:rsid w:val="00774F4C"/>
    <w:rsid w:val="00774F8E"/>
    <w:rsid w:val="00775307"/>
    <w:rsid w:val="00775B9D"/>
    <w:rsid w:val="00776B79"/>
    <w:rsid w:val="00776E3A"/>
    <w:rsid w:val="007774C9"/>
    <w:rsid w:val="007777B8"/>
    <w:rsid w:val="00777B03"/>
    <w:rsid w:val="00780159"/>
    <w:rsid w:val="0078037B"/>
    <w:rsid w:val="007803D3"/>
    <w:rsid w:val="0078041A"/>
    <w:rsid w:val="0078071C"/>
    <w:rsid w:val="00781544"/>
    <w:rsid w:val="00782840"/>
    <w:rsid w:val="00782A32"/>
    <w:rsid w:val="00782E22"/>
    <w:rsid w:val="00782F98"/>
    <w:rsid w:val="00783092"/>
    <w:rsid w:val="0078333C"/>
    <w:rsid w:val="00783665"/>
    <w:rsid w:val="007844B0"/>
    <w:rsid w:val="00784BE3"/>
    <w:rsid w:val="007853A6"/>
    <w:rsid w:val="00785548"/>
    <w:rsid w:val="007861AB"/>
    <w:rsid w:val="00786767"/>
    <w:rsid w:val="0078687B"/>
    <w:rsid w:val="00786E1D"/>
    <w:rsid w:val="00786FDF"/>
    <w:rsid w:val="0078764E"/>
    <w:rsid w:val="00787E7F"/>
    <w:rsid w:val="00787F56"/>
    <w:rsid w:val="00790034"/>
    <w:rsid w:val="00790902"/>
    <w:rsid w:val="00790E5A"/>
    <w:rsid w:val="00791255"/>
    <w:rsid w:val="00791383"/>
    <w:rsid w:val="007914CC"/>
    <w:rsid w:val="00791559"/>
    <w:rsid w:val="00791B66"/>
    <w:rsid w:val="00791C7A"/>
    <w:rsid w:val="00791F3C"/>
    <w:rsid w:val="00792754"/>
    <w:rsid w:val="0079291C"/>
    <w:rsid w:val="00792DC9"/>
    <w:rsid w:val="007933D8"/>
    <w:rsid w:val="00793CF3"/>
    <w:rsid w:val="0079497E"/>
    <w:rsid w:val="00794E16"/>
    <w:rsid w:val="00797E7C"/>
    <w:rsid w:val="007A013D"/>
    <w:rsid w:val="007A077E"/>
    <w:rsid w:val="007A08EE"/>
    <w:rsid w:val="007A09D0"/>
    <w:rsid w:val="007A16DC"/>
    <w:rsid w:val="007A1897"/>
    <w:rsid w:val="007A19AB"/>
    <w:rsid w:val="007A21A8"/>
    <w:rsid w:val="007A22E5"/>
    <w:rsid w:val="007A263B"/>
    <w:rsid w:val="007A26E6"/>
    <w:rsid w:val="007A28FE"/>
    <w:rsid w:val="007A2989"/>
    <w:rsid w:val="007A3993"/>
    <w:rsid w:val="007A3FBB"/>
    <w:rsid w:val="007A44D8"/>
    <w:rsid w:val="007A45DB"/>
    <w:rsid w:val="007A6143"/>
    <w:rsid w:val="007A61E5"/>
    <w:rsid w:val="007A7AE1"/>
    <w:rsid w:val="007A7BCA"/>
    <w:rsid w:val="007B00AD"/>
    <w:rsid w:val="007B0131"/>
    <w:rsid w:val="007B015F"/>
    <w:rsid w:val="007B035F"/>
    <w:rsid w:val="007B03FE"/>
    <w:rsid w:val="007B0583"/>
    <w:rsid w:val="007B09D2"/>
    <w:rsid w:val="007B0CE6"/>
    <w:rsid w:val="007B0DA7"/>
    <w:rsid w:val="007B1B20"/>
    <w:rsid w:val="007B24D9"/>
    <w:rsid w:val="007B25CB"/>
    <w:rsid w:val="007B29A2"/>
    <w:rsid w:val="007B355D"/>
    <w:rsid w:val="007B3AFC"/>
    <w:rsid w:val="007B5110"/>
    <w:rsid w:val="007B54A7"/>
    <w:rsid w:val="007B596F"/>
    <w:rsid w:val="007B5FF2"/>
    <w:rsid w:val="007B6133"/>
    <w:rsid w:val="007B629A"/>
    <w:rsid w:val="007B6452"/>
    <w:rsid w:val="007B6CD5"/>
    <w:rsid w:val="007B7168"/>
    <w:rsid w:val="007C00FC"/>
    <w:rsid w:val="007C03E4"/>
    <w:rsid w:val="007C051A"/>
    <w:rsid w:val="007C0B82"/>
    <w:rsid w:val="007C0CF7"/>
    <w:rsid w:val="007C17D6"/>
    <w:rsid w:val="007C1B6B"/>
    <w:rsid w:val="007C23F3"/>
    <w:rsid w:val="007C3506"/>
    <w:rsid w:val="007C378A"/>
    <w:rsid w:val="007C39DA"/>
    <w:rsid w:val="007C4328"/>
    <w:rsid w:val="007C4A12"/>
    <w:rsid w:val="007C4E55"/>
    <w:rsid w:val="007C5DFE"/>
    <w:rsid w:val="007C63B2"/>
    <w:rsid w:val="007C650E"/>
    <w:rsid w:val="007C742B"/>
    <w:rsid w:val="007D03F7"/>
    <w:rsid w:val="007D052A"/>
    <w:rsid w:val="007D0A1E"/>
    <w:rsid w:val="007D13AD"/>
    <w:rsid w:val="007D15FF"/>
    <w:rsid w:val="007D220F"/>
    <w:rsid w:val="007D297B"/>
    <w:rsid w:val="007D2AFC"/>
    <w:rsid w:val="007D2C20"/>
    <w:rsid w:val="007D30E7"/>
    <w:rsid w:val="007D4620"/>
    <w:rsid w:val="007D468F"/>
    <w:rsid w:val="007D4867"/>
    <w:rsid w:val="007D4BA6"/>
    <w:rsid w:val="007D500C"/>
    <w:rsid w:val="007D567F"/>
    <w:rsid w:val="007D5B3B"/>
    <w:rsid w:val="007D68AF"/>
    <w:rsid w:val="007D7F3E"/>
    <w:rsid w:val="007E008C"/>
    <w:rsid w:val="007E038D"/>
    <w:rsid w:val="007E1441"/>
    <w:rsid w:val="007E1D4F"/>
    <w:rsid w:val="007E353A"/>
    <w:rsid w:val="007E39BE"/>
    <w:rsid w:val="007E43E0"/>
    <w:rsid w:val="007E5323"/>
    <w:rsid w:val="007E532F"/>
    <w:rsid w:val="007E5414"/>
    <w:rsid w:val="007E5B46"/>
    <w:rsid w:val="007E5D23"/>
    <w:rsid w:val="007E5D69"/>
    <w:rsid w:val="007E62C5"/>
    <w:rsid w:val="007E659A"/>
    <w:rsid w:val="007E69FD"/>
    <w:rsid w:val="007E6E27"/>
    <w:rsid w:val="007E7360"/>
    <w:rsid w:val="007E7CAD"/>
    <w:rsid w:val="007F009A"/>
    <w:rsid w:val="007F00EC"/>
    <w:rsid w:val="007F0130"/>
    <w:rsid w:val="007F02FC"/>
    <w:rsid w:val="007F0396"/>
    <w:rsid w:val="007F075E"/>
    <w:rsid w:val="007F21E6"/>
    <w:rsid w:val="007F2C8D"/>
    <w:rsid w:val="007F2CDE"/>
    <w:rsid w:val="007F2E5C"/>
    <w:rsid w:val="007F3C3D"/>
    <w:rsid w:val="007F3C5D"/>
    <w:rsid w:val="007F469F"/>
    <w:rsid w:val="007F51E1"/>
    <w:rsid w:val="007F5863"/>
    <w:rsid w:val="007F65BF"/>
    <w:rsid w:val="007F67F8"/>
    <w:rsid w:val="007F75AB"/>
    <w:rsid w:val="007F7895"/>
    <w:rsid w:val="007F7AC9"/>
    <w:rsid w:val="008013F4"/>
    <w:rsid w:val="00801E74"/>
    <w:rsid w:val="00801EF1"/>
    <w:rsid w:val="0080256C"/>
    <w:rsid w:val="008026EF"/>
    <w:rsid w:val="0080349D"/>
    <w:rsid w:val="0080353D"/>
    <w:rsid w:val="00803603"/>
    <w:rsid w:val="008038FF"/>
    <w:rsid w:val="00803989"/>
    <w:rsid w:val="008039A6"/>
    <w:rsid w:val="00803C43"/>
    <w:rsid w:val="0080417F"/>
    <w:rsid w:val="00804668"/>
    <w:rsid w:val="00804E59"/>
    <w:rsid w:val="00805371"/>
    <w:rsid w:val="008066A9"/>
    <w:rsid w:val="0080708F"/>
    <w:rsid w:val="008070C0"/>
    <w:rsid w:val="008070FD"/>
    <w:rsid w:val="008072BC"/>
    <w:rsid w:val="00807B62"/>
    <w:rsid w:val="00810299"/>
    <w:rsid w:val="00810693"/>
    <w:rsid w:val="00811D3A"/>
    <w:rsid w:val="00812A23"/>
    <w:rsid w:val="00812A37"/>
    <w:rsid w:val="00812B24"/>
    <w:rsid w:val="00813399"/>
    <w:rsid w:val="00813D84"/>
    <w:rsid w:val="00813F48"/>
    <w:rsid w:val="00814252"/>
    <w:rsid w:val="00814950"/>
    <w:rsid w:val="00814EC4"/>
    <w:rsid w:val="00815D2D"/>
    <w:rsid w:val="00815EEB"/>
    <w:rsid w:val="00815F18"/>
    <w:rsid w:val="008161BB"/>
    <w:rsid w:val="008165F7"/>
    <w:rsid w:val="008168CF"/>
    <w:rsid w:val="008178A9"/>
    <w:rsid w:val="00817BCE"/>
    <w:rsid w:val="0082076D"/>
    <w:rsid w:val="00821727"/>
    <w:rsid w:val="008218C0"/>
    <w:rsid w:val="00822054"/>
    <w:rsid w:val="0082268B"/>
    <w:rsid w:val="00823DBE"/>
    <w:rsid w:val="00823F78"/>
    <w:rsid w:val="0082418E"/>
    <w:rsid w:val="00824608"/>
    <w:rsid w:val="00824959"/>
    <w:rsid w:val="00824F2F"/>
    <w:rsid w:val="008251CE"/>
    <w:rsid w:val="00825550"/>
    <w:rsid w:val="0082568D"/>
    <w:rsid w:val="008271A4"/>
    <w:rsid w:val="00827B0A"/>
    <w:rsid w:val="008303E2"/>
    <w:rsid w:val="00831433"/>
    <w:rsid w:val="00831AA0"/>
    <w:rsid w:val="00832483"/>
    <w:rsid w:val="0083285B"/>
    <w:rsid w:val="00833094"/>
    <w:rsid w:val="008332E9"/>
    <w:rsid w:val="0083379C"/>
    <w:rsid w:val="00833D09"/>
    <w:rsid w:val="0083450A"/>
    <w:rsid w:val="008352E2"/>
    <w:rsid w:val="00835521"/>
    <w:rsid w:val="0083638A"/>
    <w:rsid w:val="008366D7"/>
    <w:rsid w:val="008370FD"/>
    <w:rsid w:val="00840071"/>
    <w:rsid w:val="008407D7"/>
    <w:rsid w:val="0084080C"/>
    <w:rsid w:val="00840BD2"/>
    <w:rsid w:val="00840C6F"/>
    <w:rsid w:val="00840D3A"/>
    <w:rsid w:val="00840EBE"/>
    <w:rsid w:val="008414CF"/>
    <w:rsid w:val="00841D63"/>
    <w:rsid w:val="0084201C"/>
    <w:rsid w:val="00842931"/>
    <w:rsid w:val="0084320D"/>
    <w:rsid w:val="00843257"/>
    <w:rsid w:val="008433B9"/>
    <w:rsid w:val="00843553"/>
    <w:rsid w:val="00843D12"/>
    <w:rsid w:val="00844677"/>
    <w:rsid w:val="00844963"/>
    <w:rsid w:val="00844A91"/>
    <w:rsid w:val="00845268"/>
    <w:rsid w:val="008454CD"/>
    <w:rsid w:val="0084648F"/>
    <w:rsid w:val="00846666"/>
    <w:rsid w:val="00846777"/>
    <w:rsid w:val="008468A8"/>
    <w:rsid w:val="00846F6C"/>
    <w:rsid w:val="008473EB"/>
    <w:rsid w:val="0084740E"/>
    <w:rsid w:val="00847743"/>
    <w:rsid w:val="00847BE7"/>
    <w:rsid w:val="00847DA6"/>
    <w:rsid w:val="00850001"/>
    <w:rsid w:val="00850217"/>
    <w:rsid w:val="008502F9"/>
    <w:rsid w:val="008506A2"/>
    <w:rsid w:val="008515A1"/>
    <w:rsid w:val="008517D6"/>
    <w:rsid w:val="00851BD4"/>
    <w:rsid w:val="00851DA8"/>
    <w:rsid w:val="00852083"/>
    <w:rsid w:val="00853289"/>
    <w:rsid w:val="00853DCC"/>
    <w:rsid w:val="00853E80"/>
    <w:rsid w:val="00853FEC"/>
    <w:rsid w:val="00854249"/>
    <w:rsid w:val="00854512"/>
    <w:rsid w:val="0085455D"/>
    <w:rsid w:val="008546EB"/>
    <w:rsid w:val="00854B5E"/>
    <w:rsid w:val="00854F50"/>
    <w:rsid w:val="00855760"/>
    <w:rsid w:val="008558E7"/>
    <w:rsid w:val="00855A6A"/>
    <w:rsid w:val="00856099"/>
    <w:rsid w:val="008560AB"/>
    <w:rsid w:val="008562FF"/>
    <w:rsid w:val="008566FB"/>
    <w:rsid w:val="00856806"/>
    <w:rsid w:val="0085730C"/>
    <w:rsid w:val="008601EC"/>
    <w:rsid w:val="008606E9"/>
    <w:rsid w:val="008622BC"/>
    <w:rsid w:val="00862CC5"/>
    <w:rsid w:val="00862DBC"/>
    <w:rsid w:val="008635BD"/>
    <w:rsid w:val="00863BF2"/>
    <w:rsid w:val="00863E24"/>
    <w:rsid w:val="00864737"/>
    <w:rsid w:val="00864930"/>
    <w:rsid w:val="00864B00"/>
    <w:rsid w:val="00864C85"/>
    <w:rsid w:val="0086508C"/>
    <w:rsid w:val="008653D3"/>
    <w:rsid w:val="00865EFF"/>
    <w:rsid w:val="008661D5"/>
    <w:rsid w:val="00866751"/>
    <w:rsid w:val="00866A4E"/>
    <w:rsid w:val="00866ADF"/>
    <w:rsid w:val="00866B13"/>
    <w:rsid w:val="008670F0"/>
    <w:rsid w:val="00867544"/>
    <w:rsid w:val="0086796B"/>
    <w:rsid w:val="00867EA2"/>
    <w:rsid w:val="008707A1"/>
    <w:rsid w:val="0087116E"/>
    <w:rsid w:val="00871650"/>
    <w:rsid w:val="008718FD"/>
    <w:rsid w:val="00871D4C"/>
    <w:rsid w:val="00871E23"/>
    <w:rsid w:val="00872525"/>
    <w:rsid w:val="00872A10"/>
    <w:rsid w:val="00872D3A"/>
    <w:rsid w:val="008738E9"/>
    <w:rsid w:val="00873C76"/>
    <w:rsid w:val="0087434D"/>
    <w:rsid w:val="008748A4"/>
    <w:rsid w:val="00874E7C"/>
    <w:rsid w:val="008757E1"/>
    <w:rsid w:val="008759E3"/>
    <w:rsid w:val="00875A76"/>
    <w:rsid w:val="00875B59"/>
    <w:rsid w:val="0087667E"/>
    <w:rsid w:val="00876837"/>
    <w:rsid w:val="00876926"/>
    <w:rsid w:val="008771D2"/>
    <w:rsid w:val="0087773C"/>
    <w:rsid w:val="008778C9"/>
    <w:rsid w:val="00877A96"/>
    <w:rsid w:val="00877D8C"/>
    <w:rsid w:val="0088017A"/>
    <w:rsid w:val="0088089A"/>
    <w:rsid w:val="00880D9A"/>
    <w:rsid w:val="0088151D"/>
    <w:rsid w:val="00881ACE"/>
    <w:rsid w:val="00881F41"/>
    <w:rsid w:val="00881F59"/>
    <w:rsid w:val="008829B0"/>
    <w:rsid w:val="00882AE3"/>
    <w:rsid w:val="008837F1"/>
    <w:rsid w:val="00883B46"/>
    <w:rsid w:val="00883C7C"/>
    <w:rsid w:val="00884702"/>
    <w:rsid w:val="00884A21"/>
    <w:rsid w:val="00884C50"/>
    <w:rsid w:val="00885924"/>
    <w:rsid w:val="00885AA8"/>
    <w:rsid w:val="00885AF7"/>
    <w:rsid w:val="00886E5C"/>
    <w:rsid w:val="00887193"/>
    <w:rsid w:val="008875FE"/>
    <w:rsid w:val="00887894"/>
    <w:rsid w:val="0088795C"/>
    <w:rsid w:val="00887A3C"/>
    <w:rsid w:val="008901DE"/>
    <w:rsid w:val="00890ABA"/>
    <w:rsid w:val="00890BD6"/>
    <w:rsid w:val="00891762"/>
    <w:rsid w:val="00891CFE"/>
    <w:rsid w:val="008921F8"/>
    <w:rsid w:val="008932B1"/>
    <w:rsid w:val="008934F3"/>
    <w:rsid w:val="00894178"/>
    <w:rsid w:val="00894229"/>
    <w:rsid w:val="00894FB8"/>
    <w:rsid w:val="0089577A"/>
    <w:rsid w:val="00895A8A"/>
    <w:rsid w:val="00895AD8"/>
    <w:rsid w:val="008969DE"/>
    <w:rsid w:val="00896E7B"/>
    <w:rsid w:val="00896F2B"/>
    <w:rsid w:val="008970A2"/>
    <w:rsid w:val="00897144"/>
    <w:rsid w:val="008977D8"/>
    <w:rsid w:val="008A022D"/>
    <w:rsid w:val="008A09C1"/>
    <w:rsid w:val="008A100A"/>
    <w:rsid w:val="008A132F"/>
    <w:rsid w:val="008A1CE3"/>
    <w:rsid w:val="008A1F35"/>
    <w:rsid w:val="008A2104"/>
    <w:rsid w:val="008A2248"/>
    <w:rsid w:val="008A241D"/>
    <w:rsid w:val="008A3630"/>
    <w:rsid w:val="008A39DB"/>
    <w:rsid w:val="008A42AB"/>
    <w:rsid w:val="008A4358"/>
    <w:rsid w:val="008A446F"/>
    <w:rsid w:val="008A488A"/>
    <w:rsid w:val="008A4D64"/>
    <w:rsid w:val="008A59EA"/>
    <w:rsid w:val="008A61A7"/>
    <w:rsid w:val="008A7A70"/>
    <w:rsid w:val="008B015B"/>
    <w:rsid w:val="008B07B6"/>
    <w:rsid w:val="008B0B4E"/>
    <w:rsid w:val="008B0CA6"/>
    <w:rsid w:val="008B0E5B"/>
    <w:rsid w:val="008B11A3"/>
    <w:rsid w:val="008B15BE"/>
    <w:rsid w:val="008B162E"/>
    <w:rsid w:val="008B2804"/>
    <w:rsid w:val="008B31B8"/>
    <w:rsid w:val="008B3278"/>
    <w:rsid w:val="008B352B"/>
    <w:rsid w:val="008B3909"/>
    <w:rsid w:val="008B3EBE"/>
    <w:rsid w:val="008B48C2"/>
    <w:rsid w:val="008B4EEC"/>
    <w:rsid w:val="008B5528"/>
    <w:rsid w:val="008B5995"/>
    <w:rsid w:val="008B5C1E"/>
    <w:rsid w:val="008B5F22"/>
    <w:rsid w:val="008B5FA5"/>
    <w:rsid w:val="008B63C9"/>
    <w:rsid w:val="008B78EA"/>
    <w:rsid w:val="008B7BC1"/>
    <w:rsid w:val="008C0632"/>
    <w:rsid w:val="008C0BC2"/>
    <w:rsid w:val="008C0EEE"/>
    <w:rsid w:val="008C13D2"/>
    <w:rsid w:val="008C1C7C"/>
    <w:rsid w:val="008C1D57"/>
    <w:rsid w:val="008C1FAB"/>
    <w:rsid w:val="008C20C1"/>
    <w:rsid w:val="008C2C5C"/>
    <w:rsid w:val="008C305E"/>
    <w:rsid w:val="008C3202"/>
    <w:rsid w:val="008C4089"/>
    <w:rsid w:val="008C420A"/>
    <w:rsid w:val="008C4404"/>
    <w:rsid w:val="008C45D2"/>
    <w:rsid w:val="008C4935"/>
    <w:rsid w:val="008C499C"/>
    <w:rsid w:val="008C4BB5"/>
    <w:rsid w:val="008C4D03"/>
    <w:rsid w:val="008C5007"/>
    <w:rsid w:val="008C53F0"/>
    <w:rsid w:val="008C5746"/>
    <w:rsid w:val="008C5F02"/>
    <w:rsid w:val="008C69EC"/>
    <w:rsid w:val="008C6ACD"/>
    <w:rsid w:val="008C788B"/>
    <w:rsid w:val="008C7949"/>
    <w:rsid w:val="008D1193"/>
    <w:rsid w:val="008D1333"/>
    <w:rsid w:val="008D1C17"/>
    <w:rsid w:val="008D23F7"/>
    <w:rsid w:val="008D2913"/>
    <w:rsid w:val="008D351C"/>
    <w:rsid w:val="008D3785"/>
    <w:rsid w:val="008D379B"/>
    <w:rsid w:val="008D399A"/>
    <w:rsid w:val="008D4535"/>
    <w:rsid w:val="008D4847"/>
    <w:rsid w:val="008D5C58"/>
    <w:rsid w:val="008D5DA1"/>
    <w:rsid w:val="008D6182"/>
    <w:rsid w:val="008D63AA"/>
    <w:rsid w:val="008D6E70"/>
    <w:rsid w:val="008D79CB"/>
    <w:rsid w:val="008D7A41"/>
    <w:rsid w:val="008D7AE5"/>
    <w:rsid w:val="008D7E66"/>
    <w:rsid w:val="008D7F95"/>
    <w:rsid w:val="008E0059"/>
    <w:rsid w:val="008E022A"/>
    <w:rsid w:val="008E0CF5"/>
    <w:rsid w:val="008E17B0"/>
    <w:rsid w:val="008E18C8"/>
    <w:rsid w:val="008E3324"/>
    <w:rsid w:val="008E40C6"/>
    <w:rsid w:val="008E44D1"/>
    <w:rsid w:val="008E49A9"/>
    <w:rsid w:val="008E4B5A"/>
    <w:rsid w:val="008E5180"/>
    <w:rsid w:val="008E5501"/>
    <w:rsid w:val="008E5ACD"/>
    <w:rsid w:val="008E5D33"/>
    <w:rsid w:val="008E5F0D"/>
    <w:rsid w:val="008E65C2"/>
    <w:rsid w:val="008E66AD"/>
    <w:rsid w:val="008E6BB0"/>
    <w:rsid w:val="008E6C24"/>
    <w:rsid w:val="008E6FA5"/>
    <w:rsid w:val="008E7383"/>
    <w:rsid w:val="008E76D5"/>
    <w:rsid w:val="008E784F"/>
    <w:rsid w:val="008E79AE"/>
    <w:rsid w:val="008F0061"/>
    <w:rsid w:val="008F1877"/>
    <w:rsid w:val="008F18DA"/>
    <w:rsid w:val="008F1929"/>
    <w:rsid w:val="008F1AC8"/>
    <w:rsid w:val="008F2A01"/>
    <w:rsid w:val="008F2D23"/>
    <w:rsid w:val="008F2DFF"/>
    <w:rsid w:val="008F2ED6"/>
    <w:rsid w:val="008F32E1"/>
    <w:rsid w:val="008F367A"/>
    <w:rsid w:val="008F3747"/>
    <w:rsid w:val="008F37F4"/>
    <w:rsid w:val="008F4A53"/>
    <w:rsid w:val="008F4ADF"/>
    <w:rsid w:val="008F5194"/>
    <w:rsid w:val="008F55C5"/>
    <w:rsid w:val="008F58CF"/>
    <w:rsid w:val="008F60FF"/>
    <w:rsid w:val="008F61AB"/>
    <w:rsid w:val="008F6565"/>
    <w:rsid w:val="008F66CE"/>
    <w:rsid w:val="008F6A01"/>
    <w:rsid w:val="008F7363"/>
    <w:rsid w:val="008F7675"/>
    <w:rsid w:val="008F7AC8"/>
    <w:rsid w:val="008F7FD2"/>
    <w:rsid w:val="0090025C"/>
    <w:rsid w:val="00900434"/>
    <w:rsid w:val="00900880"/>
    <w:rsid w:val="00902BB0"/>
    <w:rsid w:val="00902CE0"/>
    <w:rsid w:val="0090381E"/>
    <w:rsid w:val="00903D3A"/>
    <w:rsid w:val="00904C62"/>
    <w:rsid w:val="0090564C"/>
    <w:rsid w:val="00905689"/>
    <w:rsid w:val="00906486"/>
    <w:rsid w:val="009067DE"/>
    <w:rsid w:val="00906BBD"/>
    <w:rsid w:val="00906D92"/>
    <w:rsid w:val="00907647"/>
    <w:rsid w:val="009111C2"/>
    <w:rsid w:val="009112E4"/>
    <w:rsid w:val="009112ED"/>
    <w:rsid w:val="00911553"/>
    <w:rsid w:val="00911695"/>
    <w:rsid w:val="00911DC1"/>
    <w:rsid w:val="00911DCE"/>
    <w:rsid w:val="009120C2"/>
    <w:rsid w:val="0091243D"/>
    <w:rsid w:val="0091293D"/>
    <w:rsid w:val="00912D47"/>
    <w:rsid w:val="00913271"/>
    <w:rsid w:val="00913601"/>
    <w:rsid w:val="00914052"/>
    <w:rsid w:val="00914B18"/>
    <w:rsid w:val="00914B26"/>
    <w:rsid w:val="00914C00"/>
    <w:rsid w:val="009155CE"/>
    <w:rsid w:val="009159A9"/>
    <w:rsid w:val="009163CE"/>
    <w:rsid w:val="00916626"/>
    <w:rsid w:val="00916A29"/>
    <w:rsid w:val="0091738D"/>
    <w:rsid w:val="00917D39"/>
    <w:rsid w:val="00920127"/>
    <w:rsid w:val="009201B3"/>
    <w:rsid w:val="009206C8"/>
    <w:rsid w:val="009209D7"/>
    <w:rsid w:val="00920DE1"/>
    <w:rsid w:val="009216CE"/>
    <w:rsid w:val="00922D32"/>
    <w:rsid w:val="009230A5"/>
    <w:rsid w:val="009234D7"/>
    <w:rsid w:val="00924627"/>
    <w:rsid w:val="00924CD7"/>
    <w:rsid w:val="00924DD0"/>
    <w:rsid w:val="00925259"/>
    <w:rsid w:val="00925574"/>
    <w:rsid w:val="00925970"/>
    <w:rsid w:val="00925A30"/>
    <w:rsid w:val="00925D05"/>
    <w:rsid w:val="00925E57"/>
    <w:rsid w:val="00925F64"/>
    <w:rsid w:val="00926216"/>
    <w:rsid w:val="0092647E"/>
    <w:rsid w:val="00926AC4"/>
    <w:rsid w:val="00926D0D"/>
    <w:rsid w:val="00926ED0"/>
    <w:rsid w:val="00926FC5"/>
    <w:rsid w:val="00927AFF"/>
    <w:rsid w:val="0093044B"/>
    <w:rsid w:val="00930457"/>
    <w:rsid w:val="00930D94"/>
    <w:rsid w:val="009311CE"/>
    <w:rsid w:val="00931942"/>
    <w:rsid w:val="009321A8"/>
    <w:rsid w:val="009329A5"/>
    <w:rsid w:val="0093487C"/>
    <w:rsid w:val="00934BF1"/>
    <w:rsid w:val="00934F59"/>
    <w:rsid w:val="00934FA0"/>
    <w:rsid w:val="00936186"/>
    <w:rsid w:val="009367A8"/>
    <w:rsid w:val="00936D94"/>
    <w:rsid w:val="00936F31"/>
    <w:rsid w:val="009371B0"/>
    <w:rsid w:val="0093767E"/>
    <w:rsid w:val="00937688"/>
    <w:rsid w:val="00937B07"/>
    <w:rsid w:val="00937B31"/>
    <w:rsid w:val="00940386"/>
    <w:rsid w:val="009403D6"/>
    <w:rsid w:val="009404F6"/>
    <w:rsid w:val="009411BC"/>
    <w:rsid w:val="009414DB"/>
    <w:rsid w:val="00941678"/>
    <w:rsid w:val="0094242A"/>
    <w:rsid w:val="00942C03"/>
    <w:rsid w:val="00943148"/>
    <w:rsid w:val="009437D1"/>
    <w:rsid w:val="00945344"/>
    <w:rsid w:val="00945768"/>
    <w:rsid w:val="009457C0"/>
    <w:rsid w:val="00945B54"/>
    <w:rsid w:val="00945F53"/>
    <w:rsid w:val="0094659E"/>
    <w:rsid w:val="0094776D"/>
    <w:rsid w:val="009477CA"/>
    <w:rsid w:val="00947887"/>
    <w:rsid w:val="00947D66"/>
    <w:rsid w:val="00950094"/>
    <w:rsid w:val="00951440"/>
    <w:rsid w:val="009516AD"/>
    <w:rsid w:val="00951DAE"/>
    <w:rsid w:val="0095239A"/>
    <w:rsid w:val="0095270B"/>
    <w:rsid w:val="009528BD"/>
    <w:rsid w:val="00953666"/>
    <w:rsid w:val="0095371D"/>
    <w:rsid w:val="0095390A"/>
    <w:rsid w:val="00954D40"/>
    <w:rsid w:val="009550DC"/>
    <w:rsid w:val="009551F9"/>
    <w:rsid w:val="00955581"/>
    <w:rsid w:val="00955AD4"/>
    <w:rsid w:val="00955F74"/>
    <w:rsid w:val="009561DB"/>
    <w:rsid w:val="009569BE"/>
    <w:rsid w:val="009569EE"/>
    <w:rsid w:val="00957196"/>
    <w:rsid w:val="00957560"/>
    <w:rsid w:val="00957F28"/>
    <w:rsid w:val="00957FD7"/>
    <w:rsid w:val="009605EE"/>
    <w:rsid w:val="0096164C"/>
    <w:rsid w:val="009617E3"/>
    <w:rsid w:val="00961D53"/>
    <w:rsid w:val="0096216A"/>
    <w:rsid w:val="00962170"/>
    <w:rsid w:val="0096316A"/>
    <w:rsid w:val="00963214"/>
    <w:rsid w:val="00963768"/>
    <w:rsid w:val="00963DA6"/>
    <w:rsid w:val="00963DAD"/>
    <w:rsid w:val="00964046"/>
    <w:rsid w:val="0096467A"/>
    <w:rsid w:val="00964A3C"/>
    <w:rsid w:val="00964DC6"/>
    <w:rsid w:val="00964E12"/>
    <w:rsid w:val="00965232"/>
    <w:rsid w:val="00965293"/>
    <w:rsid w:val="00965341"/>
    <w:rsid w:val="00965768"/>
    <w:rsid w:val="0096662B"/>
    <w:rsid w:val="00966B7E"/>
    <w:rsid w:val="00966C8D"/>
    <w:rsid w:val="0096715D"/>
    <w:rsid w:val="00967D82"/>
    <w:rsid w:val="00970B72"/>
    <w:rsid w:val="00970BF4"/>
    <w:rsid w:val="00970E5C"/>
    <w:rsid w:val="00971952"/>
    <w:rsid w:val="00971FAD"/>
    <w:rsid w:val="0097238E"/>
    <w:rsid w:val="009723D0"/>
    <w:rsid w:val="00972688"/>
    <w:rsid w:val="009726BE"/>
    <w:rsid w:val="00972D30"/>
    <w:rsid w:val="00973C3A"/>
    <w:rsid w:val="00974046"/>
    <w:rsid w:val="0097410D"/>
    <w:rsid w:val="009749C2"/>
    <w:rsid w:val="00975862"/>
    <w:rsid w:val="009758DE"/>
    <w:rsid w:val="00975A63"/>
    <w:rsid w:val="00975B6A"/>
    <w:rsid w:val="00975D6F"/>
    <w:rsid w:val="009761A4"/>
    <w:rsid w:val="00976BDB"/>
    <w:rsid w:val="00976DB2"/>
    <w:rsid w:val="00977300"/>
    <w:rsid w:val="00980200"/>
    <w:rsid w:val="00980B29"/>
    <w:rsid w:val="0098151E"/>
    <w:rsid w:val="00981D76"/>
    <w:rsid w:val="00981D79"/>
    <w:rsid w:val="00981EF5"/>
    <w:rsid w:val="00981F56"/>
    <w:rsid w:val="00982D62"/>
    <w:rsid w:val="00982F91"/>
    <w:rsid w:val="00983269"/>
    <w:rsid w:val="00983DBB"/>
    <w:rsid w:val="00983EC1"/>
    <w:rsid w:val="009841A4"/>
    <w:rsid w:val="00986BF7"/>
    <w:rsid w:val="00987B60"/>
    <w:rsid w:val="00987FCD"/>
    <w:rsid w:val="0099021C"/>
    <w:rsid w:val="00990226"/>
    <w:rsid w:val="009903D7"/>
    <w:rsid w:val="0099040C"/>
    <w:rsid w:val="009914B9"/>
    <w:rsid w:val="009914E4"/>
    <w:rsid w:val="00991792"/>
    <w:rsid w:val="009917AB"/>
    <w:rsid w:val="00991B6C"/>
    <w:rsid w:val="00992B44"/>
    <w:rsid w:val="00992D40"/>
    <w:rsid w:val="00993A76"/>
    <w:rsid w:val="00994030"/>
    <w:rsid w:val="00994186"/>
    <w:rsid w:val="0099469B"/>
    <w:rsid w:val="009946EF"/>
    <w:rsid w:val="00994BD6"/>
    <w:rsid w:val="00994FF8"/>
    <w:rsid w:val="00995156"/>
    <w:rsid w:val="00995E5E"/>
    <w:rsid w:val="00995E90"/>
    <w:rsid w:val="00995ECD"/>
    <w:rsid w:val="00996075"/>
    <w:rsid w:val="0099648B"/>
    <w:rsid w:val="00997013"/>
    <w:rsid w:val="00997917"/>
    <w:rsid w:val="00997B0A"/>
    <w:rsid w:val="00997EBE"/>
    <w:rsid w:val="009A06BE"/>
    <w:rsid w:val="009A0B1C"/>
    <w:rsid w:val="009A0DEA"/>
    <w:rsid w:val="009A18CD"/>
    <w:rsid w:val="009A1F29"/>
    <w:rsid w:val="009A200E"/>
    <w:rsid w:val="009A20B2"/>
    <w:rsid w:val="009A4329"/>
    <w:rsid w:val="009A468D"/>
    <w:rsid w:val="009A4C77"/>
    <w:rsid w:val="009A4D67"/>
    <w:rsid w:val="009A5A54"/>
    <w:rsid w:val="009A5B4F"/>
    <w:rsid w:val="009A5F21"/>
    <w:rsid w:val="009A6F26"/>
    <w:rsid w:val="009A76D6"/>
    <w:rsid w:val="009A799A"/>
    <w:rsid w:val="009A79E7"/>
    <w:rsid w:val="009A7C7F"/>
    <w:rsid w:val="009B09C5"/>
    <w:rsid w:val="009B0A8D"/>
    <w:rsid w:val="009B16BE"/>
    <w:rsid w:val="009B179C"/>
    <w:rsid w:val="009B18DC"/>
    <w:rsid w:val="009B19A6"/>
    <w:rsid w:val="009B1BA9"/>
    <w:rsid w:val="009B1FD5"/>
    <w:rsid w:val="009B2588"/>
    <w:rsid w:val="009B298E"/>
    <w:rsid w:val="009B3B32"/>
    <w:rsid w:val="009B3BC2"/>
    <w:rsid w:val="009B3E30"/>
    <w:rsid w:val="009B4C36"/>
    <w:rsid w:val="009B537F"/>
    <w:rsid w:val="009B55E2"/>
    <w:rsid w:val="009B5C02"/>
    <w:rsid w:val="009B6367"/>
    <w:rsid w:val="009B6718"/>
    <w:rsid w:val="009B6844"/>
    <w:rsid w:val="009B6896"/>
    <w:rsid w:val="009C0441"/>
    <w:rsid w:val="009C0A91"/>
    <w:rsid w:val="009C0B5A"/>
    <w:rsid w:val="009C1092"/>
    <w:rsid w:val="009C11FF"/>
    <w:rsid w:val="009C13DB"/>
    <w:rsid w:val="009C18B1"/>
    <w:rsid w:val="009C1A55"/>
    <w:rsid w:val="009C24EB"/>
    <w:rsid w:val="009C2EFA"/>
    <w:rsid w:val="009C321D"/>
    <w:rsid w:val="009C38F3"/>
    <w:rsid w:val="009C3E45"/>
    <w:rsid w:val="009C426F"/>
    <w:rsid w:val="009C457F"/>
    <w:rsid w:val="009C4904"/>
    <w:rsid w:val="009C4BB8"/>
    <w:rsid w:val="009C4C53"/>
    <w:rsid w:val="009C4D9A"/>
    <w:rsid w:val="009C4DCB"/>
    <w:rsid w:val="009C5050"/>
    <w:rsid w:val="009C56F2"/>
    <w:rsid w:val="009C5C6E"/>
    <w:rsid w:val="009C62A4"/>
    <w:rsid w:val="009C6546"/>
    <w:rsid w:val="009C65D6"/>
    <w:rsid w:val="009C6C89"/>
    <w:rsid w:val="009C7858"/>
    <w:rsid w:val="009C78BD"/>
    <w:rsid w:val="009C79BE"/>
    <w:rsid w:val="009C7E3B"/>
    <w:rsid w:val="009C7E8A"/>
    <w:rsid w:val="009D07FE"/>
    <w:rsid w:val="009D0A47"/>
    <w:rsid w:val="009D0C70"/>
    <w:rsid w:val="009D1060"/>
    <w:rsid w:val="009D2302"/>
    <w:rsid w:val="009D2D7F"/>
    <w:rsid w:val="009D31E0"/>
    <w:rsid w:val="009D5483"/>
    <w:rsid w:val="009D5555"/>
    <w:rsid w:val="009D612C"/>
    <w:rsid w:val="009D6976"/>
    <w:rsid w:val="009D6CA6"/>
    <w:rsid w:val="009E0259"/>
    <w:rsid w:val="009E0347"/>
    <w:rsid w:val="009E057F"/>
    <w:rsid w:val="009E062A"/>
    <w:rsid w:val="009E0C81"/>
    <w:rsid w:val="009E131C"/>
    <w:rsid w:val="009E1A69"/>
    <w:rsid w:val="009E1D6F"/>
    <w:rsid w:val="009E1DB0"/>
    <w:rsid w:val="009E2269"/>
    <w:rsid w:val="009E2CE2"/>
    <w:rsid w:val="009E3DA4"/>
    <w:rsid w:val="009E3E79"/>
    <w:rsid w:val="009E484E"/>
    <w:rsid w:val="009E4CA5"/>
    <w:rsid w:val="009E4CBE"/>
    <w:rsid w:val="009E4E5E"/>
    <w:rsid w:val="009E5538"/>
    <w:rsid w:val="009E579F"/>
    <w:rsid w:val="009E5D4D"/>
    <w:rsid w:val="009E5D7C"/>
    <w:rsid w:val="009E6282"/>
    <w:rsid w:val="009E7733"/>
    <w:rsid w:val="009E78DE"/>
    <w:rsid w:val="009E7999"/>
    <w:rsid w:val="009E79F9"/>
    <w:rsid w:val="009E7D20"/>
    <w:rsid w:val="009E7D48"/>
    <w:rsid w:val="009E7E37"/>
    <w:rsid w:val="009F052D"/>
    <w:rsid w:val="009F0B65"/>
    <w:rsid w:val="009F0D42"/>
    <w:rsid w:val="009F1475"/>
    <w:rsid w:val="009F1BFE"/>
    <w:rsid w:val="009F1CB7"/>
    <w:rsid w:val="009F21D3"/>
    <w:rsid w:val="009F2916"/>
    <w:rsid w:val="009F42D1"/>
    <w:rsid w:val="009F4745"/>
    <w:rsid w:val="009F48CA"/>
    <w:rsid w:val="009F4F0A"/>
    <w:rsid w:val="009F54BC"/>
    <w:rsid w:val="009F55A9"/>
    <w:rsid w:val="009F585A"/>
    <w:rsid w:val="009F6759"/>
    <w:rsid w:val="009F6BCC"/>
    <w:rsid w:val="009F6C7F"/>
    <w:rsid w:val="009F6E93"/>
    <w:rsid w:val="00A000BB"/>
    <w:rsid w:val="00A00214"/>
    <w:rsid w:val="00A002D4"/>
    <w:rsid w:val="00A003A8"/>
    <w:rsid w:val="00A0170B"/>
    <w:rsid w:val="00A01C2E"/>
    <w:rsid w:val="00A0203D"/>
    <w:rsid w:val="00A022BF"/>
    <w:rsid w:val="00A023D1"/>
    <w:rsid w:val="00A02A1B"/>
    <w:rsid w:val="00A02C2D"/>
    <w:rsid w:val="00A02ECD"/>
    <w:rsid w:val="00A02FD8"/>
    <w:rsid w:val="00A0370C"/>
    <w:rsid w:val="00A03A2A"/>
    <w:rsid w:val="00A04186"/>
    <w:rsid w:val="00A0510D"/>
    <w:rsid w:val="00A05583"/>
    <w:rsid w:val="00A05953"/>
    <w:rsid w:val="00A060B1"/>
    <w:rsid w:val="00A067E0"/>
    <w:rsid w:val="00A06C66"/>
    <w:rsid w:val="00A074CF"/>
    <w:rsid w:val="00A0768A"/>
    <w:rsid w:val="00A107A1"/>
    <w:rsid w:val="00A10F13"/>
    <w:rsid w:val="00A1105F"/>
    <w:rsid w:val="00A115E5"/>
    <w:rsid w:val="00A11BB7"/>
    <w:rsid w:val="00A121E0"/>
    <w:rsid w:val="00A124D0"/>
    <w:rsid w:val="00A125B6"/>
    <w:rsid w:val="00A12D04"/>
    <w:rsid w:val="00A1370E"/>
    <w:rsid w:val="00A141EB"/>
    <w:rsid w:val="00A1436B"/>
    <w:rsid w:val="00A1444B"/>
    <w:rsid w:val="00A1555D"/>
    <w:rsid w:val="00A16192"/>
    <w:rsid w:val="00A16595"/>
    <w:rsid w:val="00A166A8"/>
    <w:rsid w:val="00A16A45"/>
    <w:rsid w:val="00A16B43"/>
    <w:rsid w:val="00A171AD"/>
    <w:rsid w:val="00A17397"/>
    <w:rsid w:val="00A176DE"/>
    <w:rsid w:val="00A17CC8"/>
    <w:rsid w:val="00A20D90"/>
    <w:rsid w:val="00A20DBD"/>
    <w:rsid w:val="00A216B5"/>
    <w:rsid w:val="00A22391"/>
    <w:rsid w:val="00A22C7A"/>
    <w:rsid w:val="00A23074"/>
    <w:rsid w:val="00A237BA"/>
    <w:rsid w:val="00A2388B"/>
    <w:rsid w:val="00A24194"/>
    <w:rsid w:val="00A249C9"/>
    <w:rsid w:val="00A24D06"/>
    <w:rsid w:val="00A252DA"/>
    <w:rsid w:val="00A254DD"/>
    <w:rsid w:val="00A25C21"/>
    <w:rsid w:val="00A2661C"/>
    <w:rsid w:val="00A2695B"/>
    <w:rsid w:val="00A269C8"/>
    <w:rsid w:val="00A26B16"/>
    <w:rsid w:val="00A2712B"/>
    <w:rsid w:val="00A274A2"/>
    <w:rsid w:val="00A27605"/>
    <w:rsid w:val="00A27650"/>
    <w:rsid w:val="00A27D35"/>
    <w:rsid w:val="00A30652"/>
    <w:rsid w:val="00A3069F"/>
    <w:rsid w:val="00A30991"/>
    <w:rsid w:val="00A30ABB"/>
    <w:rsid w:val="00A30BFC"/>
    <w:rsid w:val="00A323D3"/>
    <w:rsid w:val="00A325DB"/>
    <w:rsid w:val="00A327A0"/>
    <w:rsid w:val="00A32E99"/>
    <w:rsid w:val="00A33956"/>
    <w:rsid w:val="00A34FAC"/>
    <w:rsid w:val="00A350EB"/>
    <w:rsid w:val="00A3514D"/>
    <w:rsid w:val="00A351EA"/>
    <w:rsid w:val="00A364FB"/>
    <w:rsid w:val="00A366AF"/>
    <w:rsid w:val="00A36758"/>
    <w:rsid w:val="00A36CEA"/>
    <w:rsid w:val="00A37251"/>
    <w:rsid w:val="00A375B4"/>
    <w:rsid w:val="00A40546"/>
    <w:rsid w:val="00A40B40"/>
    <w:rsid w:val="00A41B1B"/>
    <w:rsid w:val="00A41C31"/>
    <w:rsid w:val="00A41C51"/>
    <w:rsid w:val="00A42162"/>
    <w:rsid w:val="00A424BD"/>
    <w:rsid w:val="00A42C6B"/>
    <w:rsid w:val="00A42D02"/>
    <w:rsid w:val="00A42FBF"/>
    <w:rsid w:val="00A43059"/>
    <w:rsid w:val="00A439A9"/>
    <w:rsid w:val="00A43CF5"/>
    <w:rsid w:val="00A4558B"/>
    <w:rsid w:val="00A455A7"/>
    <w:rsid w:val="00A459DB"/>
    <w:rsid w:val="00A45F1D"/>
    <w:rsid w:val="00A472AD"/>
    <w:rsid w:val="00A47384"/>
    <w:rsid w:val="00A47CA0"/>
    <w:rsid w:val="00A5052D"/>
    <w:rsid w:val="00A50F81"/>
    <w:rsid w:val="00A5115F"/>
    <w:rsid w:val="00A51FB7"/>
    <w:rsid w:val="00A5204A"/>
    <w:rsid w:val="00A521C1"/>
    <w:rsid w:val="00A528B5"/>
    <w:rsid w:val="00A52BBE"/>
    <w:rsid w:val="00A5304E"/>
    <w:rsid w:val="00A53668"/>
    <w:rsid w:val="00A53BB2"/>
    <w:rsid w:val="00A53D23"/>
    <w:rsid w:val="00A53D25"/>
    <w:rsid w:val="00A54957"/>
    <w:rsid w:val="00A54D2D"/>
    <w:rsid w:val="00A54FD5"/>
    <w:rsid w:val="00A554A5"/>
    <w:rsid w:val="00A55A3C"/>
    <w:rsid w:val="00A55A89"/>
    <w:rsid w:val="00A55B5D"/>
    <w:rsid w:val="00A55B77"/>
    <w:rsid w:val="00A55C2A"/>
    <w:rsid w:val="00A55C5D"/>
    <w:rsid w:val="00A56255"/>
    <w:rsid w:val="00A56614"/>
    <w:rsid w:val="00A56F17"/>
    <w:rsid w:val="00A579FF"/>
    <w:rsid w:val="00A57BB5"/>
    <w:rsid w:val="00A602AD"/>
    <w:rsid w:val="00A604B0"/>
    <w:rsid w:val="00A607B1"/>
    <w:rsid w:val="00A60976"/>
    <w:rsid w:val="00A60C76"/>
    <w:rsid w:val="00A617C4"/>
    <w:rsid w:val="00A619F0"/>
    <w:rsid w:val="00A61D9E"/>
    <w:rsid w:val="00A623EC"/>
    <w:rsid w:val="00A625AD"/>
    <w:rsid w:val="00A625BC"/>
    <w:rsid w:val="00A62F24"/>
    <w:rsid w:val="00A63258"/>
    <w:rsid w:val="00A63FD2"/>
    <w:rsid w:val="00A647E9"/>
    <w:rsid w:val="00A64865"/>
    <w:rsid w:val="00A6519A"/>
    <w:rsid w:val="00A651B6"/>
    <w:rsid w:val="00A659C8"/>
    <w:rsid w:val="00A65A03"/>
    <w:rsid w:val="00A66135"/>
    <w:rsid w:val="00A666A2"/>
    <w:rsid w:val="00A6702C"/>
    <w:rsid w:val="00A677F3"/>
    <w:rsid w:val="00A67A8B"/>
    <w:rsid w:val="00A67C49"/>
    <w:rsid w:val="00A7113E"/>
    <w:rsid w:val="00A714E6"/>
    <w:rsid w:val="00A71977"/>
    <w:rsid w:val="00A71C1F"/>
    <w:rsid w:val="00A71E23"/>
    <w:rsid w:val="00A736FF"/>
    <w:rsid w:val="00A74F77"/>
    <w:rsid w:val="00A75614"/>
    <w:rsid w:val="00A75655"/>
    <w:rsid w:val="00A75916"/>
    <w:rsid w:val="00A75CAB"/>
    <w:rsid w:val="00A75EB2"/>
    <w:rsid w:val="00A76730"/>
    <w:rsid w:val="00A76D2D"/>
    <w:rsid w:val="00A76D63"/>
    <w:rsid w:val="00A76DC2"/>
    <w:rsid w:val="00A76FDC"/>
    <w:rsid w:val="00A7711C"/>
    <w:rsid w:val="00A771E6"/>
    <w:rsid w:val="00A77248"/>
    <w:rsid w:val="00A773B5"/>
    <w:rsid w:val="00A774E3"/>
    <w:rsid w:val="00A77802"/>
    <w:rsid w:val="00A77AD9"/>
    <w:rsid w:val="00A77E8F"/>
    <w:rsid w:val="00A800DF"/>
    <w:rsid w:val="00A800EF"/>
    <w:rsid w:val="00A808A4"/>
    <w:rsid w:val="00A835D3"/>
    <w:rsid w:val="00A83692"/>
    <w:rsid w:val="00A837CF"/>
    <w:rsid w:val="00A83846"/>
    <w:rsid w:val="00A83AB1"/>
    <w:rsid w:val="00A845C6"/>
    <w:rsid w:val="00A8491B"/>
    <w:rsid w:val="00A84B6A"/>
    <w:rsid w:val="00A84D71"/>
    <w:rsid w:val="00A84F75"/>
    <w:rsid w:val="00A85C09"/>
    <w:rsid w:val="00A86604"/>
    <w:rsid w:val="00A86E5D"/>
    <w:rsid w:val="00A86EA2"/>
    <w:rsid w:val="00A87073"/>
    <w:rsid w:val="00A87409"/>
    <w:rsid w:val="00A8756C"/>
    <w:rsid w:val="00A875DE"/>
    <w:rsid w:val="00A87D00"/>
    <w:rsid w:val="00A87FC0"/>
    <w:rsid w:val="00A9028B"/>
    <w:rsid w:val="00A906C2"/>
    <w:rsid w:val="00A9079F"/>
    <w:rsid w:val="00A9081A"/>
    <w:rsid w:val="00A90A8A"/>
    <w:rsid w:val="00A90F81"/>
    <w:rsid w:val="00A9110E"/>
    <w:rsid w:val="00A91221"/>
    <w:rsid w:val="00A91CA6"/>
    <w:rsid w:val="00A91D72"/>
    <w:rsid w:val="00A92965"/>
    <w:rsid w:val="00A92CA0"/>
    <w:rsid w:val="00A92CD1"/>
    <w:rsid w:val="00A93953"/>
    <w:rsid w:val="00A93E47"/>
    <w:rsid w:val="00A9568C"/>
    <w:rsid w:val="00A95A0B"/>
    <w:rsid w:val="00A95B30"/>
    <w:rsid w:val="00A95E14"/>
    <w:rsid w:val="00A95FC4"/>
    <w:rsid w:val="00A963E4"/>
    <w:rsid w:val="00A96E14"/>
    <w:rsid w:val="00A96E94"/>
    <w:rsid w:val="00A96FF3"/>
    <w:rsid w:val="00A97F3D"/>
    <w:rsid w:val="00A97F8B"/>
    <w:rsid w:val="00AA0109"/>
    <w:rsid w:val="00AA054C"/>
    <w:rsid w:val="00AA0586"/>
    <w:rsid w:val="00AA1106"/>
    <w:rsid w:val="00AA1626"/>
    <w:rsid w:val="00AA1924"/>
    <w:rsid w:val="00AA1928"/>
    <w:rsid w:val="00AA1B3E"/>
    <w:rsid w:val="00AA23A3"/>
    <w:rsid w:val="00AA253D"/>
    <w:rsid w:val="00AA3130"/>
    <w:rsid w:val="00AA34D0"/>
    <w:rsid w:val="00AA3A4C"/>
    <w:rsid w:val="00AA3B99"/>
    <w:rsid w:val="00AA470F"/>
    <w:rsid w:val="00AA4BD1"/>
    <w:rsid w:val="00AA59C0"/>
    <w:rsid w:val="00AA5A3F"/>
    <w:rsid w:val="00AA5F33"/>
    <w:rsid w:val="00AA6133"/>
    <w:rsid w:val="00AA61BF"/>
    <w:rsid w:val="00AA64B2"/>
    <w:rsid w:val="00AA6B61"/>
    <w:rsid w:val="00AA74EC"/>
    <w:rsid w:val="00AA7761"/>
    <w:rsid w:val="00AA7834"/>
    <w:rsid w:val="00AA788C"/>
    <w:rsid w:val="00AA7C8B"/>
    <w:rsid w:val="00AA7EFB"/>
    <w:rsid w:val="00AB0F54"/>
    <w:rsid w:val="00AB1B9D"/>
    <w:rsid w:val="00AB2F9E"/>
    <w:rsid w:val="00AB395B"/>
    <w:rsid w:val="00AB3A3F"/>
    <w:rsid w:val="00AB3F07"/>
    <w:rsid w:val="00AB40AD"/>
    <w:rsid w:val="00AB43C5"/>
    <w:rsid w:val="00AB46DE"/>
    <w:rsid w:val="00AB4792"/>
    <w:rsid w:val="00AB4D48"/>
    <w:rsid w:val="00AB4EA9"/>
    <w:rsid w:val="00AB5638"/>
    <w:rsid w:val="00AB5786"/>
    <w:rsid w:val="00AB57D0"/>
    <w:rsid w:val="00AB6451"/>
    <w:rsid w:val="00AB6AFC"/>
    <w:rsid w:val="00AB6EC0"/>
    <w:rsid w:val="00AC02E8"/>
    <w:rsid w:val="00AC03AC"/>
    <w:rsid w:val="00AC0426"/>
    <w:rsid w:val="00AC04D1"/>
    <w:rsid w:val="00AC0D6F"/>
    <w:rsid w:val="00AC12BF"/>
    <w:rsid w:val="00AC163F"/>
    <w:rsid w:val="00AC19B7"/>
    <w:rsid w:val="00AC1C63"/>
    <w:rsid w:val="00AC2022"/>
    <w:rsid w:val="00AC213C"/>
    <w:rsid w:val="00AC2362"/>
    <w:rsid w:val="00AC2A46"/>
    <w:rsid w:val="00AC3486"/>
    <w:rsid w:val="00AC3D2C"/>
    <w:rsid w:val="00AC3F0D"/>
    <w:rsid w:val="00AC430B"/>
    <w:rsid w:val="00AC454C"/>
    <w:rsid w:val="00AC4823"/>
    <w:rsid w:val="00AC5547"/>
    <w:rsid w:val="00AC5745"/>
    <w:rsid w:val="00AC5C62"/>
    <w:rsid w:val="00AC64C7"/>
    <w:rsid w:val="00AC6BF6"/>
    <w:rsid w:val="00AC7046"/>
    <w:rsid w:val="00AC7675"/>
    <w:rsid w:val="00AC77FB"/>
    <w:rsid w:val="00AC79CA"/>
    <w:rsid w:val="00AC7F78"/>
    <w:rsid w:val="00AD09D5"/>
    <w:rsid w:val="00AD09FB"/>
    <w:rsid w:val="00AD0D65"/>
    <w:rsid w:val="00AD1269"/>
    <w:rsid w:val="00AD1366"/>
    <w:rsid w:val="00AD1E71"/>
    <w:rsid w:val="00AD2201"/>
    <w:rsid w:val="00AD22F3"/>
    <w:rsid w:val="00AD2A4D"/>
    <w:rsid w:val="00AD3BB6"/>
    <w:rsid w:val="00AD3ED4"/>
    <w:rsid w:val="00AD47A4"/>
    <w:rsid w:val="00AD4E6B"/>
    <w:rsid w:val="00AD4E98"/>
    <w:rsid w:val="00AD545E"/>
    <w:rsid w:val="00AD5657"/>
    <w:rsid w:val="00AD5BF9"/>
    <w:rsid w:val="00AD5DF8"/>
    <w:rsid w:val="00AD5EDA"/>
    <w:rsid w:val="00AD7536"/>
    <w:rsid w:val="00AD7996"/>
    <w:rsid w:val="00AD7FEA"/>
    <w:rsid w:val="00AE0A09"/>
    <w:rsid w:val="00AE0E6C"/>
    <w:rsid w:val="00AE1692"/>
    <w:rsid w:val="00AE19F0"/>
    <w:rsid w:val="00AE3AAB"/>
    <w:rsid w:val="00AE3BA9"/>
    <w:rsid w:val="00AE3C64"/>
    <w:rsid w:val="00AE4BC2"/>
    <w:rsid w:val="00AE532F"/>
    <w:rsid w:val="00AE5394"/>
    <w:rsid w:val="00AE557D"/>
    <w:rsid w:val="00AE55B7"/>
    <w:rsid w:val="00AE5A41"/>
    <w:rsid w:val="00AE5BC3"/>
    <w:rsid w:val="00AE601D"/>
    <w:rsid w:val="00AE60F7"/>
    <w:rsid w:val="00AE6BB4"/>
    <w:rsid w:val="00AE758A"/>
    <w:rsid w:val="00AE7937"/>
    <w:rsid w:val="00AE7B5C"/>
    <w:rsid w:val="00AF11F7"/>
    <w:rsid w:val="00AF1DA5"/>
    <w:rsid w:val="00AF1E22"/>
    <w:rsid w:val="00AF2D07"/>
    <w:rsid w:val="00AF3171"/>
    <w:rsid w:val="00AF3AD0"/>
    <w:rsid w:val="00AF430F"/>
    <w:rsid w:val="00AF4366"/>
    <w:rsid w:val="00AF43FA"/>
    <w:rsid w:val="00AF4DDB"/>
    <w:rsid w:val="00AF55C7"/>
    <w:rsid w:val="00AF5CF3"/>
    <w:rsid w:val="00AF6A5B"/>
    <w:rsid w:val="00AF6D67"/>
    <w:rsid w:val="00AF725C"/>
    <w:rsid w:val="00AF7550"/>
    <w:rsid w:val="00AF7C82"/>
    <w:rsid w:val="00AF7E1A"/>
    <w:rsid w:val="00AF7F5F"/>
    <w:rsid w:val="00B00270"/>
    <w:rsid w:val="00B019A1"/>
    <w:rsid w:val="00B01F70"/>
    <w:rsid w:val="00B02230"/>
    <w:rsid w:val="00B023FD"/>
    <w:rsid w:val="00B0295F"/>
    <w:rsid w:val="00B02F4C"/>
    <w:rsid w:val="00B03066"/>
    <w:rsid w:val="00B03C69"/>
    <w:rsid w:val="00B03FA5"/>
    <w:rsid w:val="00B04019"/>
    <w:rsid w:val="00B047D7"/>
    <w:rsid w:val="00B04E1A"/>
    <w:rsid w:val="00B0538C"/>
    <w:rsid w:val="00B057B4"/>
    <w:rsid w:val="00B05E25"/>
    <w:rsid w:val="00B05FBD"/>
    <w:rsid w:val="00B060B1"/>
    <w:rsid w:val="00B062DD"/>
    <w:rsid w:val="00B063B4"/>
    <w:rsid w:val="00B06851"/>
    <w:rsid w:val="00B068D7"/>
    <w:rsid w:val="00B06EC0"/>
    <w:rsid w:val="00B0713C"/>
    <w:rsid w:val="00B0715F"/>
    <w:rsid w:val="00B0767E"/>
    <w:rsid w:val="00B076F0"/>
    <w:rsid w:val="00B10772"/>
    <w:rsid w:val="00B10D35"/>
    <w:rsid w:val="00B110CA"/>
    <w:rsid w:val="00B11212"/>
    <w:rsid w:val="00B11BBF"/>
    <w:rsid w:val="00B11D2D"/>
    <w:rsid w:val="00B1203A"/>
    <w:rsid w:val="00B12286"/>
    <w:rsid w:val="00B12307"/>
    <w:rsid w:val="00B1250E"/>
    <w:rsid w:val="00B12F69"/>
    <w:rsid w:val="00B12F7F"/>
    <w:rsid w:val="00B12FB1"/>
    <w:rsid w:val="00B13234"/>
    <w:rsid w:val="00B13A5A"/>
    <w:rsid w:val="00B1437B"/>
    <w:rsid w:val="00B14826"/>
    <w:rsid w:val="00B14DA0"/>
    <w:rsid w:val="00B152DA"/>
    <w:rsid w:val="00B16204"/>
    <w:rsid w:val="00B1664F"/>
    <w:rsid w:val="00B16666"/>
    <w:rsid w:val="00B169E7"/>
    <w:rsid w:val="00B17011"/>
    <w:rsid w:val="00B173A5"/>
    <w:rsid w:val="00B17C3C"/>
    <w:rsid w:val="00B205ED"/>
    <w:rsid w:val="00B208D1"/>
    <w:rsid w:val="00B20F4A"/>
    <w:rsid w:val="00B21279"/>
    <w:rsid w:val="00B21524"/>
    <w:rsid w:val="00B217D7"/>
    <w:rsid w:val="00B2258B"/>
    <w:rsid w:val="00B2260E"/>
    <w:rsid w:val="00B229D9"/>
    <w:rsid w:val="00B22B35"/>
    <w:rsid w:val="00B22C36"/>
    <w:rsid w:val="00B23AEE"/>
    <w:rsid w:val="00B23CF4"/>
    <w:rsid w:val="00B23E0B"/>
    <w:rsid w:val="00B24265"/>
    <w:rsid w:val="00B24372"/>
    <w:rsid w:val="00B2474C"/>
    <w:rsid w:val="00B2480B"/>
    <w:rsid w:val="00B24BC2"/>
    <w:rsid w:val="00B24CC0"/>
    <w:rsid w:val="00B24FB6"/>
    <w:rsid w:val="00B25705"/>
    <w:rsid w:val="00B259F5"/>
    <w:rsid w:val="00B26206"/>
    <w:rsid w:val="00B262AA"/>
    <w:rsid w:val="00B263E1"/>
    <w:rsid w:val="00B2667D"/>
    <w:rsid w:val="00B26BA1"/>
    <w:rsid w:val="00B27E55"/>
    <w:rsid w:val="00B30561"/>
    <w:rsid w:val="00B3067D"/>
    <w:rsid w:val="00B30A6F"/>
    <w:rsid w:val="00B30C68"/>
    <w:rsid w:val="00B31C38"/>
    <w:rsid w:val="00B3216B"/>
    <w:rsid w:val="00B32380"/>
    <w:rsid w:val="00B32448"/>
    <w:rsid w:val="00B3292E"/>
    <w:rsid w:val="00B32BAA"/>
    <w:rsid w:val="00B32EB0"/>
    <w:rsid w:val="00B331A6"/>
    <w:rsid w:val="00B335D7"/>
    <w:rsid w:val="00B33C08"/>
    <w:rsid w:val="00B33CBA"/>
    <w:rsid w:val="00B34EEA"/>
    <w:rsid w:val="00B35073"/>
    <w:rsid w:val="00B35231"/>
    <w:rsid w:val="00B35520"/>
    <w:rsid w:val="00B35BC2"/>
    <w:rsid w:val="00B361B3"/>
    <w:rsid w:val="00B36322"/>
    <w:rsid w:val="00B36669"/>
    <w:rsid w:val="00B3743E"/>
    <w:rsid w:val="00B37F85"/>
    <w:rsid w:val="00B400D2"/>
    <w:rsid w:val="00B400E8"/>
    <w:rsid w:val="00B40255"/>
    <w:rsid w:val="00B4066D"/>
    <w:rsid w:val="00B407B6"/>
    <w:rsid w:val="00B4184A"/>
    <w:rsid w:val="00B41B89"/>
    <w:rsid w:val="00B41F3E"/>
    <w:rsid w:val="00B431F3"/>
    <w:rsid w:val="00B43CD0"/>
    <w:rsid w:val="00B43D0D"/>
    <w:rsid w:val="00B445BC"/>
    <w:rsid w:val="00B45C3C"/>
    <w:rsid w:val="00B45FA1"/>
    <w:rsid w:val="00B4610E"/>
    <w:rsid w:val="00B461D8"/>
    <w:rsid w:val="00B4718A"/>
    <w:rsid w:val="00B47431"/>
    <w:rsid w:val="00B47727"/>
    <w:rsid w:val="00B47968"/>
    <w:rsid w:val="00B47ED7"/>
    <w:rsid w:val="00B502D8"/>
    <w:rsid w:val="00B50605"/>
    <w:rsid w:val="00B5078B"/>
    <w:rsid w:val="00B50D6D"/>
    <w:rsid w:val="00B514CE"/>
    <w:rsid w:val="00B5229B"/>
    <w:rsid w:val="00B526CD"/>
    <w:rsid w:val="00B5276B"/>
    <w:rsid w:val="00B527CA"/>
    <w:rsid w:val="00B52A57"/>
    <w:rsid w:val="00B52DAF"/>
    <w:rsid w:val="00B52DE0"/>
    <w:rsid w:val="00B5338A"/>
    <w:rsid w:val="00B539DB"/>
    <w:rsid w:val="00B53AE9"/>
    <w:rsid w:val="00B53F01"/>
    <w:rsid w:val="00B54073"/>
    <w:rsid w:val="00B5425E"/>
    <w:rsid w:val="00B545E6"/>
    <w:rsid w:val="00B5471E"/>
    <w:rsid w:val="00B549EA"/>
    <w:rsid w:val="00B54C09"/>
    <w:rsid w:val="00B553E3"/>
    <w:rsid w:val="00B55AC3"/>
    <w:rsid w:val="00B55C1A"/>
    <w:rsid w:val="00B56DD7"/>
    <w:rsid w:val="00B57298"/>
    <w:rsid w:val="00B576F7"/>
    <w:rsid w:val="00B57702"/>
    <w:rsid w:val="00B577E3"/>
    <w:rsid w:val="00B57EAB"/>
    <w:rsid w:val="00B602D9"/>
    <w:rsid w:val="00B60EDE"/>
    <w:rsid w:val="00B611C2"/>
    <w:rsid w:val="00B6207B"/>
    <w:rsid w:val="00B62445"/>
    <w:rsid w:val="00B62807"/>
    <w:rsid w:val="00B63F20"/>
    <w:rsid w:val="00B643D2"/>
    <w:rsid w:val="00B6470F"/>
    <w:rsid w:val="00B64B0D"/>
    <w:rsid w:val="00B650B1"/>
    <w:rsid w:val="00B65391"/>
    <w:rsid w:val="00B66273"/>
    <w:rsid w:val="00B663CC"/>
    <w:rsid w:val="00B66BE1"/>
    <w:rsid w:val="00B67189"/>
    <w:rsid w:val="00B67C37"/>
    <w:rsid w:val="00B70BF4"/>
    <w:rsid w:val="00B717C0"/>
    <w:rsid w:val="00B71E65"/>
    <w:rsid w:val="00B71E90"/>
    <w:rsid w:val="00B7252B"/>
    <w:rsid w:val="00B72803"/>
    <w:rsid w:val="00B733ED"/>
    <w:rsid w:val="00B735E8"/>
    <w:rsid w:val="00B73CFD"/>
    <w:rsid w:val="00B73EF4"/>
    <w:rsid w:val="00B74EFF"/>
    <w:rsid w:val="00B752DD"/>
    <w:rsid w:val="00B76549"/>
    <w:rsid w:val="00B766CB"/>
    <w:rsid w:val="00B76BCE"/>
    <w:rsid w:val="00B76F8A"/>
    <w:rsid w:val="00B77B0C"/>
    <w:rsid w:val="00B77C0D"/>
    <w:rsid w:val="00B77C4D"/>
    <w:rsid w:val="00B77F41"/>
    <w:rsid w:val="00B807D7"/>
    <w:rsid w:val="00B8118E"/>
    <w:rsid w:val="00B81551"/>
    <w:rsid w:val="00B81C7F"/>
    <w:rsid w:val="00B81E79"/>
    <w:rsid w:val="00B81F8D"/>
    <w:rsid w:val="00B8207A"/>
    <w:rsid w:val="00B82080"/>
    <w:rsid w:val="00B827AE"/>
    <w:rsid w:val="00B82B09"/>
    <w:rsid w:val="00B82DCB"/>
    <w:rsid w:val="00B836A6"/>
    <w:rsid w:val="00B840D5"/>
    <w:rsid w:val="00B8430A"/>
    <w:rsid w:val="00B84988"/>
    <w:rsid w:val="00B84A2E"/>
    <w:rsid w:val="00B84C8D"/>
    <w:rsid w:val="00B84EE9"/>
    <w:rsid w:val="00B85274"/>
    <w:rsid w:val="00B85740"/>
    <w:rsid w:val="00B857C7"/>
    <w:rsid w:val="00B86056"/>
    <w:rsid w:val="00B87BB5"/>
    <w:rsid w:val="00B903FE"/>
    <w:rsid w:val="00B908BA"/>
    <w:rsid w:val="00B90BC9"/>
    <w:rsid w:val="00B90D1B"/>
    <w:rsid w:val="00B91765"/>
    <w:rsid w:val="00B917BE"/>
    <w:rsid w:val="00B918E5"/>
    <w:rsid w:val="00B91BAB"/>
    <w:rsid w:val="00B91BD5"/>
    <w:rsid w:val="00B91DFC"/>
    <w:rsid w:val="00B923CF"/>
    <w:rsid w:val="00B924C0"/>
    <w:rsid w:val="00B940B7"/>
    <w:rsid w:val="00B940BD"/>
    <w:rsid w:val="00B9420D"/>
    <w:rsid w:val="00B94756"/>
    <w:rsid w:val="00B94A1E"/>
    <w:rsid w:val="00B95822"/>
    <w:rsid w:val="00B95EC5"/>
    <w:rsid w:val="00B95ED9"/>
    <w:rsid w:val="00B96291"/>
    <w:rsid w:val="00B96DD5"/>
    <w:rsid w:val="00B96E18"/>
    <w:rsid w:val="00B972F1"/>
    <w:rsid w:val="00B974B6"/>
    <w:rsid w:val="00B977EE"/>
    <w:rsid w:val="00B979B3"/>
    <w:rsid w:val="00B97D53"/>
    <w:rsid w:val="00BA121A"/>
    <w:rsid w:val="00BA126D"/>
    <w:rsid w:val="00BA174F"/>
    <w:rsid w:val="00BA1AA0"/>
    <w:rsid w:val="00BA23C7"/>
    <w:rsid w:val="00BA26A4"/>
    <w:rsid w:val="00BA322E"/>
    <w:rsid w:val="00BA3B8C"/>
    <w:rsid w:val="00BA3E49"/>
    <w:rsid w:val="00BA4383"/>
    <w:rsid w:val="00BA4A58"/>
    <w:rsid w:val="00BA4C96"/>
    <w:rsid w:val="00BA51DA"/>
    <w:rsid w:val="00BA56D1"/>
    <w:rsid w:val="00BA59B2"/>
    <w:rsid w:val="00BA6703"/>
    <w:rsid w:val="00BA672A"/>
    <w:rsid w:val="00BA6823"/>
    <w:rsid w:val="00BA6848"/>
    <w:rsid w:val="00BA69CB"/>
    <w:rsid w:val="00BA6BD9"/>
    <w:rsid w:val="00BA7919"/>
    <w:rsid w:val="00BA7FCD"/>
    <w:rsid w:val="00BB0151"/>
    <w:rsid w:val="00BB1DA5"/>
    <w:rsid w:val="00BB1E82"/>
    <w:rsid w:val="00BB1F2E"/>
    <w:rsid w:val="00BB29B6"/>
    <w:rsid w:val="00BB2BB6"/>
    <w:rsid w:val="00BB2C0D"/>
    <w:rsid w:val="00BB2E28"/>
    <w:rsid w:val="00BB3458"/>
    <w:rsid w:val="00BB38E0"/>
    <w:rsid w:val="00BB3D68"/>
    <w:rsid w:val="00BB4C9F"/>
    <w:rsid w:val="00BB55C9"/>
    <w:rsid w:val="00BB564C"/>
    <w:rsid w:val="00BB57FB"/>
    <w:rsid w:val="00BB68E9"/>
    <w:rsid w:val="00BB7B10"/>
    <w:rsid w:val="00BB7C53"/>
    <w:rsid w:val="00BB7FDF"/>
    <w:rsid w:val="00BC0379"/>
    <w:rsid w:val="00BC0F8D"/>
    <w:rsid w:val="00BC131F"/>
    <w:rsid w:val="00BC216E"/>
    <w:rsid w:val="00BC3A58"/>
    <w:rsid w:val="00BC3B0B"/>
    <w:rsid w:val="00BC3BE1"/>
    <w:rsid w:val="00BC3D69"/>
    <w:rsid w:val="00BC3F2B"/>
    <w:rsid w:val="00BC4B10"/>
    <w:rsid w:val="00BC5418"/>
    <w:rsid w:val="00BC5848"/>
    <w:rsid w:val="00BC61A6"/>
    <w:rsid w:val="00BC6D76"/>
    <w:rsid w:val="00BC70DD"/>
    <w:rsid w:val="00BC7334"/>
    <w:rsid w:val="00BC740D"/>
    <w:rsid w:val="00BC74E2"/>
    <w:rsid w:val="00BC770E"/>
    <w:rsid w:val="00BC7D0A"/>
    <w:rsid w:val="00BD036D"/>
    <w:rsid w:val="00BD06A9"/>
    <w:rsid w:val="00BD110A"/>
    <w:rsid w:val="00BD1276"/>
    <w:rsid w:val="00BD12C2"/>
    <w:rsid w:val="00BD13F0"/>
    <w:rsid w:val="00BD1444"/>
    <w:rsid w:val="00BD1956"/>
    <w:rsid w:val="00BD1E87"/>
    <w:rsid w:val="00BD216A"/>
    <w:rsid w:val="00BD2580"/>
    <w:rsid w:val="00BD2DF8"/>
    <w:rsid w:val="00BD35EC"/>
    <w:rsid w:val="00BD36C6"/>
    <w:rsid w:val="00BD4182"/>
    <w:rsid w:val="00BD426D"/>
    <w:rsid w:val="00BD46D1"/>
    <w:rsid w:val="00BD490B"/>
    <w:rsid w:val="00BD4B3D"/>
    <w:rsid w:val="00BD5DDD"/>
    <w:rsid w:val="00BD6048"/>
    <w:rsid w:val="00BD6184"/>
    <w:rsid w:val="00BD67DB"/>
    <w:rsid w:val="00BD6AE3"/>
    <w:rsid w:val="00BD6BD5"/>
    <w:rsid w:val="00BD7368"/>
    <w:rsid w:val="00BD770A"/>
    <w:rsid w:val="00BD77EA"/>
    <w:rsid w:val="00BD7B8E"/>
    <w:rsid w:val="00BE0633"/>
    <w:rsid w:val="00BE08F9"/>
    <w:rsid w:val="00BE0AD6"/>
    <w:rsid w:val="00BE0F87"/>
    <w:rsid w:val="00BE11FA"/>
    <w:rsid w:val="00BE14E7"/>
    <w:rsid w:val="00BE16A5"/>
    <w:rsid w:val="00BE1799"/>
    <w:rsid w:val="00BE1F37"/>
    <w:rsid w:val="00BE20E7"/>
    <w:rsid w:val="00BE23CA"/>
    <w:rsid w:val="00BE314C"/>
    <w:rsid w:val="00BE3A8B"/>
    <w:rsid w:val="00BE3AEC"/>
    <w:rsid w:val="00BE4B0B"/>
    <w:rsid w:val="00BE4DEA"/>
    <w:rsid w:val="00BE4F86"/>
    <w:rsid w:val="00BE587C"/>
    <w:rsid w:val="00BE59DD"/>
    <w:rsid w:val="00BE6394"/>
    <w:rsid w:val="00BE6890"/>
    <w:rsid w:val="00BE68AF"/>
    <w:rsid w:val="00BE7560"/>
    <w:rsid w:val="00BE77F1"/>
    <w:rsid w:val="00BE7C0D"/>
    <w:rsid w:val="00BE7D68"/>
    <w:rsid w:val="00BF0232"/>
    <w:rsid w:val="00BF03A6"/>
    <w:rsid w:val="00BF092B"/>
    <w:rsid w:val="00BF0983"/>
    <w:rsid w:val="00BF0A10"/>
    <w:rsid w:val="00BF0AFF"/>
    <w:rsid w:val="00BF19B6"/>
    <w:rsid w:val="00BF1B89"/>
    <w:rsid w:val="00BF2050"/>
    <w:rsid w:val="00BF213E"/>
    <w:rsid w:val="00BF251D"/>
    <w:rsid w:val="00BF3123"/>
    <w:rsid w:val="00BF31AA"/>
    <w:rsid w:val="00BF32B2"/>
    <w:rsid w:val="00BF3335"/>
    <w:rsid w:val="00BF33FD"/>
    <w:rsid w:val="00BF3611"/>
    <w:rsid w:val="00BF388B"/>
    <w:rsid w:val="00BF3DAD"/>
    <w:rsid w:val="00BF47E7"/>
    <w:rsid w:val="00BF4F11"/>
    <w:rsid w:val="00BF531D"/>
    <w:rsid w:val="00BF56B9"/>
    <w:rsid w:val="00BF5A5B"/>
    <w:rsid w:val="00BF5ECA"/>
    <w:rsid w:val="00BF63D0"/>
    <w:rsid w:val="00BF661B"/>
    <w:rsid w:val="00BF68CF"/>
    <w:rsid w:val="00BF6F4C"/>
    <w:rsid w:val="00BF7104"/>
    <w:rsid w:val="00BF7CFA"/>
    <w:rsid w:val="00C000FC"/>
    <w:rsid w:val="00C00597"/>
    <w:rsid w:val="00C01C56"/>
    <w:rsid w:val="00C01D9A"/>
    <w:rsid w:val="00C0236B"/>
    <w:rsid w:val="00C02D5D"/>
    <w:rsid w:val="00C02FEB"/>
    <w:rsid w:val="00C030F1"/>
    <w:rsid w:val="00C031EA"/>
    <w:rsid w:val="00C0353A"/>
    <w:rsid w:val="00C0407B"/>
    <w:rsid w:val="00C04483"/>
    <w:rsid w:val="00C04975"/>
    <w:rsid w:val="00C0527F"/>
    <w:rsid w:val="00C05454"/>
    <w:rsid w:val="00C05956"/>
    <w:rsid w:val="00C06326"/>
    <w:rsid w:val="00C06CD1"/>
    <w:rsid w:val="00C06D12"/>
    <w:rsid w:val="00C06E9F"/>
    <w:rsid w:val="00C07737"/>
    <w:rsid w:val="00C07AAF"/>
    <w:rsid w:val="00C1256C"/>
    <w:rsid w:val="00C13149"/>
    <w:rsid w:val="00C137D0"/>
    <w:rsid w:val="00C139E0"/>
    <w:rsid w:val="00C13C01"/>
    <w:rsid w:val="00C142B2"/>
    <w:rsid w:val="00C14ADD"/>
    <w:rsid w:val="00C1560F"/>
    <w:rsid w:val="00C1578B"/>
    <w:rsid w:val="00C15FBD"/>
    <w:rsid w:val="00C16692"/>
    <w:rsid w:val="00C16ED3"/>
    <w:rsid w:val="00C170B0"/>
    <w:rsid w:val="00C173E9"/>
    <w:rsid w:val="00C176E2"/>
    <w:rsid w:val="00C17B45"/>
    <w:rsid w:val="00C17B89"/>
    <w:rsid w:val="00C2005B"/>
    <w:rsid w:val="00C20122"/>
    <w:rsid w:val="00C201DF"/>
    <w:rsid w:val="00C206FD"/>
    <w:rsid w:val="00C209BF"/>
    <w:rsid w:val="00C20B96"/>
    <w:rsid w:val="00C215DC"/>
    <w:rsid w:val="00C2181D"/>
    <w:rsid w:val="00C21C9C"/>
    <w:rsid w:val="00C21D6E"/>
    <w:rsid w:val="00C21DBE"/>
    <w:rsid w:val="00C22107"/>
    <w:rsid w:val="00C221FE"/>
    <w:rsid w:val="00C23196"/>
    <w:rsid w:val="00C234C7"/>
    <w:rsid w:val="00C240DA"/>
    <w:rsid w:val="00C2445E"/>
    <w:rsid w:val="00C24D6A"/>
    <w:rsid w:val="00C24DDF"/>
    <w:rsid w:val="00C25003"/>
    <w:rsid w:val="00C25381"/>
    <w:rsid w:val="00C25B7B"/>
    <w:rsid w:val="00C26188"/>
    <w:rsid w:val="00C268FB"/>
    <w:rsid w:val="00C27123"/>
    <w:rsid w:val="00C2727C"/>
    <w:rsid w:val="00C30B98"/>
    <w:rsid w:val="00C3113C"/>
    <w:rsid w:val="00C31562"/>
    <w:rsid w:val="00C320E1"/>
    <w:rsid w:val="00C32282"/>
    <w:rsid w:val="00C3236E"/>
    <w:rsid w:val="00C327CA"/>
    <w:rsid w:val="00C32CEF"/>
    <w:rsid w:val="00C330B4"/>
    <w:rsid w:val="00C3315A"/>
    <w:rsid w:val="00C3333C"/>
    <w:rsid w:val="00C33540"/>
    <w:rsid w:val="00C33556"/>
    <w:rsid w:val="00C3384C"/>
    <w:rsid w:val="00C3386D"/>
    <w:rsid w:val="00C339C0"/>
    <w:rsid w:val="00C33B3F"/>
    <w:rsid w:val="00C345A8"/>
    <w:rsid w:val="00C346FB"/>
    <w:rsid w:val="00C34874"/>
    <w:rsid w:val="00C34F2D"/>
    <w:rsid w:val="00C35373"/>
    <w:rsid w:val="00C369BF"/>
    <w:rsid w:val="00C37F72"/>
    <w:rsid w:val="00C40CA0"/>
    <w:rsid w:val="00C40E8D"/>
    <w:rsid w:val="00C412D9"/>
    <w:rsid w:val="00C41C1F"/>
    <w:rsid w:val="00C425DF"/>
    <w:rsid w:val="00C42C19"/>
    <w:rsid w:val="00C42DF6"/>
    <w:rsid w:val="00C43846"/>
    <w:rsid w:val="00C440EB"/>
    <w:rsid w:val="00C4480C"/>
    <w:rsid w:val="00C4481A"/>
    <w:rsid w:val="00C44BED"/>
    <w:rsid w:val="00C4527D"/>
    <w:rsid w:val="00C45303"/>
    <w:rsid w:val="00C45636"/>
    <w:rsid w:val="00C463D6"/>
    <w:rsid w:val="00C46744"/>
    <w:rsid w:val="00C469FC"/>
    <w:rsid w:val="00C46B0B"/>
    <w:rsid w:val="00C4706F"/>
    <w:rsid w:val="00C470C7"/>
    <w:rsid w:val="00C474AE"/>
    <w:rsid w:val="00C4760F"/>
    <w:rsid w:val="00C47DD4"/>
    <w:rsid w:val="00C502E1"/>
    <w:rsid w:val="00C50D1C"/>
    <w:rsid w:val="00C50E28"/>
    <w:rsid w:val="00C5130B"/>
    <w:rsid w:val="00C51D91"/>
    <w:rsid w:val="00C51ED1"/>
    <w:rsid w:val="00C529EA"/>
    <w:rsid w:val="00C52F33"/>
    <w:rsid w:val="00C53550"/>
    <w:rsid w:val="00C5359B"/>
    <w:rsid w:val="00C536EA"/>
    <w:rsid w:val="00C53BA1"/>
    <w:rsid w:val="00C545DA"/>
    <w:rsid w:val="00C5525B"/>
    <w:rsid w:val="00C5592A"/>
    <w:rsid w:val="00C55F90"/>
    <w:rsid w:val="00C56137"/>
    <w:rsid w:val="00C5615B"/>
    <w:rsid w:val="00C563C1"/>
    <w:rsid w:val="00C56C07"/>
    <w:rsid w:val="00C57073"/>
    <w:rsid w:val="00C618F9"/>
    <w:rsid w:val="00C61BAA"/>
    <w:rsid w:val="00C6230B"/>
    <w:rsid w:val="00C624F6"/>
    <w:rsid w:val="00C6300D"/>
    <w:rsid w:val="00C630CA"/>
    <w:rsid w:val="00C6368A"/>
    <w:rsid w:val="00C63AD6"/>
    <w:rsid w:val="00C641BE"/>
    <w:rsid w:val="00C64370"/>
    <w:rsid w:val="00C646EB"/>
    <w:rsid w:val="00C64B0F"/>
    <w:rsid w:val="00C6505D"/>
    <w:rsid w:val="00C6574E"/>
    <w:rsid w:val="00C65C02"/>
    <w:rsid w:val="00C65D05"/>
    <w:rsid w:val="00C661D7"/>
    <w:rsid w:val="00C662F0"/>
    <w:rsid w:val="00C663F0"/>
    <w:rsid w:val="00C66B59"/>
    <w:rsid w:val="00C675C6"/>
    <w:rsid w:val="00C67632"/>
    <w:rsid w:val="00C67D27"/>
    <w:rsid w:val="00C67FB0"/>
    <w:rsid w:val="00C70B4E"/>
    <w:rsid w:val="00C70D22"/>
    <w:rsid w:val="00C70F74"/>
    <w:rsid w:val="00C70FE8"/>
    <w:rsid w:val="00C71412"/>
    <w:rsid w:val="00C71A51"/>
    <w:rsid w:val="00C71C7F"/>
    <w:rsid w:val="00C71FC3"/>
    <w:rsid w:val="00C7212A"/>
    <w:rsid w:val="00C72405"/>
    <w:rsid w:val="00C73332"/>
    <w:rsid w:val="00C73A78"/>
    <w:rsid w:val="00C73A89"/>
    <w:rsid w:val="00C73E43"/>
    <w:rsid w:val="00C744B4"/>
    <w:rsid w:val="00C74A95"/>
    <w:rsid w:val="00C75338"/>
    <w:rsid w:val="00C758C8"/>
    <w:rsid w:val="00C75A92"/>
    <w:rsid w:val="00C75DFC"/>
    <w:rsid w:val="00C76CE5"/>
    <w:rsid w:val="00C7713E"/>
    <w:rsid w:val="00C774BF"/>
    <w:rsid w:val="00C774FB"/>
    <w:rsid w:val="00C779EC"/>
    <w:rsid w:val="00C802E0"/>
    <w:rsid w:val="00C807EE"/>
    <w:rsid w:val="00C808D3"/>
    <w:rsid w:val="00C80BFD"/>
    <w:rsid w:val="00C81441"/>
    <w:rsid w:val="00C814F9"/>
    <w:rsid w:val="00C819C5"/>
    <w:rsid w:val="00C82BFF"/>
    <w:rsid w:val="00C8402F"/>
    <w:rsid w:val="00C8483D"/>
    <w:rsid w:val="00C8534C"/>
    <w:rsid w:val="00C85637"/>
    <w:rsid w:val="00C85CB5"/>
    <w:rsid w:val="00C85CC6"/>
    <w:rsid w:val="00C85CF9"/>
    <w:rsid w:val="00C85E85"/>
    <w:rsid w:val="00C86A42"/>
    <w:rsid w:val="00C86E11"/>
    <w:rsid w:val="00C8719D"/>
    <w:rsid w:val="00C871FB"/>
    <w:rsid w:val="00C87303"/>
    <w:rsid w:val="00C877FA"/>
    <w:rsid w:val="00C879C6"/>
    <w:rsid w:val="00C87C7F"/>
    <w:rsid w:val="00C87D04"/>
    <w:rsid w:val="00C913DE"/>
    <w:rsid w:val="00C914D6"/>
    <w:rsid w:val="00C91C55"/>
    <w:rsid w:val="00C928AA"/>
    <w:rsid w:val="00C93635"/>
    <w:rsid w:val="00C93D34"/>
    <w:rsid w:val="00C940C9"/>
    <w:rsid w:val="00C941B7"/>
    <w:rsid w:val="00C942D9"/>
    <w:rsid w:val="00C94876"/>
    <w:rsid w:val="00C94E20"/>
    <w:rsid w:val="00C95486"/>
    <w:rsid w:val="00C95686"/>
    <w:rsid w:val="00C95BF8"/>
    <w:rsid w:val="00C960C7"/>
    <w:rsid w:val="00C971C9"/>
    <w:rsid w:val="00C972A1"/>
    <w:rsid w:val="00C9732A"/>
    <w:rsid w:val="00C9768F"/>
    <w:rsid w:val="00C97C1C"/>
    <w:rsid w:val="00CA00FB"/>
    <w:rsid w:val="00CA025C"/>
    <w:rsid w:val="00CA0F5E"/>
    <w:rsid w:val="00CA1884"/>
    <w:rsid w:val="00CA19D3"/>
    <w:rsid w:val="00CA20D7"/>
    <w:rsid w:val="00CA268F"/>
    <w:rsid w:val="00CA2D9A"/>
    <w:rsid w:val="00CA2EA9"/>
    <w:rsid w:val="00CA4512"/>
    <w:rsid w:val="00CA45E0"/>
    <w:rsid w:val="00CA4E63"/>
    <w:rsid w:val="00CA51D5"/>
    <w:rsid w:val="00CA5396"/>
    <w:rsid w:val="00CA5421"/>
    <w:rsid w:val="00CA5C15"/>
    <w:rsid w:val="00CA661C"/>
    <w:rsid w:val="00CA6E9C"/>
    <w:rsid w:val="00CA74C7"/>
    <w:rsid w:val="00CA75E4"/>
    <w:rsid w:val="00CA7709"/>
    <w:rsid w:val="00CA7880"/>
    <w:rsid w:val="00CA7BBD"/>
    <w:rsid w:val="00CB0273"/>
    <w:rsid w:val="00CB05F5"/>
    <w:rsid w:val="00CB0A48"/>
    <w:rsid w:val="00CB0B84"/>
    <w:rsid w:val="00CB10F9"/>
    <w:rsid w:val="00CB1694"/>
    <w:rsid w:val="00CB1793"/>
    <w:rsid w:val="00CB1B2F"/>
    <w:rsid w:val="00CB2FE9"/>
    <w:rsid w:val="00CB33CA"/>
    <w:rsid w:val="00CB407B"/>
    <w:rsid w:val="00CB44B7"/>
    <w:rsid w:val="00CB450F"/>
    <w:rsid w:val="00CB605A"/>
    <w:rsid w:val="00CB62D0"/>
    <w:rsid w:val="00CB6EF0"/>
    <w:rsid w:val="00CB6F76"/>
    <w:rsid w:val="00CB747C"/>
    <w:rsid w:val="00CB7A54"/>
    <w:rsid w:val="00CB7D31"/>
    <w:rsid w:val="00CC0A9C"/>
    <w:rsid w:val="00CC1645"/>
    <w:rsid w:val="00CC1A77"/>
    <w:rsid w:val="00CC1F96"/>
    <w:rsid w:val="00CC258D"/>
    <w:rsid w:val="00CC28E8"/>
    <w:rsid w:val="00CC2FE1"/>
    <w:rsid w:val="00CC317E"/>
    <w:rsid w:val="00CC3AB5"/>
    <w:rsid w:val="00CC413C"/>
    <w:rsid w:val="00CC480D"/>
    <w:rsid w:val="00CC4B43"/>
    <w:rsid w:val="00CC5773"/>
    <w:rsid w:val="00CC58EB"/>
    <w:rsid w:val="00CC5D6F"/>
    <w:rsid w:val="00CC6619"/>
    <w:rsid w:val="00CC6DF1"/>
    <w:rsid w:val="00CC7CB8"/>
    <w:rsid w:val="00CC7DA8"/>
    <w:rsid w:val="00CC7DE7"/>
    <w:rsid w:val="00CD01B3"/>
    <w:rsid w:val="00CD08A9"/>
    <w:rsid w:val="00CD0C8B"/>
    <w:rsid w:val="00CD0FEA"/>
    <w:rsid w:val="00CD16EA"/>
    <w:rsid w:val="00CD19E4"/>
    <w:rsid w:val="00CD1E5C"/>
    <w:rsid w:val="00CD2027"/>
    <w:rsid w:val="00CD2831"/>
    <w:rsid w:val="00CD2DA6"/>
    <w:rsid w:val="00CD33A1"/>
    <w:rsid w:val="00CD36B5"/>
    <w:rsid w:val="00CD38BB"/>
    <w:rsid w:val="00CD4228"/>
    <w:rsid w:val="00CD4488"/>
    <w:rsid w:val="00CD519A"/>
    <w:rsid w:val="00CD566E"/>
    <w:rsid w:val="00CD5830"/>
    <w:rsid w:val="00CD586B"/>
    <w:rsid w:val="00CD5AE8"/>
    <w:rsid w:val="00CD5F72"/>
    <w:rsid w:val="00CD63A4"/>
    <w:rsid w:val="00CD6A34"/>
    <w:rsid w:val="00CD6F41"/>
    <w:rsid w:val="00CD793A"/>
    <w:rsid w:val="00CE026E"/>
    <w:rsid w:val="00CE0C3E"/>
    <w:rsid w:val="00CE120F"/>
    <w:rsid w:val="00CE1211"/>
    <w:rsid w:val="00CE14B3"/>
    <w:rsid w:val="00CE17D2"/>
    <w:rsid w:val="00CE226E"/>
    <w:rsid w:val="00CE3176"/>
    <w:rsid w:val="00CE3448"/>
    <w:rsid w:val="00CE3E44"/>
    <w:rsid w:val="00CE3F0E"/>
    <w:rsid w:val="00CE40AE"/>
    <w:rsid w:val="00CE40EF"/>
    <w:rsid w:val="00CE458D"/>
    <w:rsid w:val="00CE4686"/>
    <w:rsid w:val="00CE473E"/>
    <w:rsid w:val="00CE4D2D"/>
    <w:rsid w:val="00CE4E50"/>
    <w:rsid w:val="00CE5428"/>
    <w:rsid w:val="00CE5F42"/>
    <w:rsid w:val="00CE600D"/>
    <w:rsid w:val="00CE6286"/>
    <w:rsid w:val="00CE6881"/>
    <w:rsid w:val="00CE6E1D"/>
    <w:rsid w:val="00CE6F08"/>
    <w:rsid w:val="00CE702E"/>
    <w:rsid w:val="00CE76EB"/>
    <w:rsid w:val="00CF0033"/>
    <w:rsid w:val="00CF08A9"/>
    <w:rsid w:val="00CF09C3"/>
    <w:rsid w:val="00CF0E99"/>
    <w:rsid w:val="00CF0F3C"/>
    <w:rsid w:val="00CF2329"/>
    <w:rsid w:val="00CF253E"/>
    <w:rsid w:val="00CF257B"/>
    <w:rsid w:val="00CF2620"/>
    <w:rsid w:val="00CF2A40"/>
    <w:rsid w:val="00CF2A4A"/>
    <w:rsid w:val="00CF2DB0"/>
    <w:rsid w:val="00CF2E43"/>
    <w:rsid w:val="00CF3A4C"/>
    <w:rsid w:val="00CF4377"/>
    <w:rsid w:val="00CF465E"/>
    <w:rsid w:val="00CF4694"/>
    <w:rsid w:val="00CF470A"/>
    <w:rsid w:val="00CF4B98"/>
    <w:rsid w:val="00CF4E83"/>
    <w:rsid w:val="00CF5442"/>
    <w:rsid w:val="00CF5491"/>
    <w:rsid w:val="00CF5F91"/>
    <w:rsid w:val="00CF6467"/>
    <w:rsid w:val="00CF68BB"/>
    <w:rsid w:val="00CF6CFB"/>
    <w:rsid w:val="00CF6ED9"/>
    <w:rsid w:val="00CF7BE1"/>
    <w:rsid w:val="00CF7EE5"/>
    <w:rsid w:val="00D00293"/>
    <w:rsid w:val="00D005D9"/>
    <w:rsid w:val="00D020B8"/>
    <w:rsid w:val="00D023A6"/>
    <w:rsid w:val="00D02650"/>
    <w:rsid w:val="00D026D2"/>
    <w:rsid w:val="00D027BE"/>
    <w:rsid w:val="00D0293E"/>
    <w:rsid w:val="00D0293F"/>
    <w:rsid w:val="00D0328D"/>
    <w:rsid w:val="00D033B4"/>
    <w:rsid w:val="00D0341D"/>
    <w:rsid w:val="00D03FE0"/>
    <w:rsid w:val="00D03FEE"/>
    <w:rsid w:val="00D04035"/>
    <w:rsid w:val="00D0427E"/>
    <w:rsid w:val="00D042C2"/>
    <w:rsid w:val="00D042E8"/>
    <w:rsid w:val="00D047D7"/>
    <w:rsid w:val="00D04A1B"/>
    <w:rsid w:val="00D04B2B"/>
    <w:rsid w:val="00D04FDA"/>
    <w:rsid w:val="00D052D2"/>
    <w:rsid w:val="00D0566F"/>
    <w:rsid w:val="00D05AAD"/>
    <w:rsid w:val="00D06368"/>
    <w:rsid w:val="00D06BF9"/>
    <w:rsid w:val="00D06CB9"/>
    <w:rsid w:val="00D0708D"/>
    <w:rsid w:val="00D077D9"/>
    <w:rsid w:val="00D1065D"/>
    <w:rsid w:val="00D106C6"/>
    <w:rsid w:val="00D11EBE"/>
    <w:rsid w:val="00D12753"/>
    <w:rsid w:val="00D12E3E"/>
    <w:rsid w:val="00D13422"/>
    <w:rsid w:val="00D138DA"/>
    <w:rsid w:val="00D139B2"/>
    <w:rsid w:val="00D13AC1"/>
    <w:rsid w:val="00D14263"/>
    <w:rsid w:val="00D15035"/>
    <w:rsid w:val="00D160AA"/>
    <w:rsid w:val="00D1669B"/>
    <w:rsid w:val="00D169D5"/>
    <w:rsid w:val="00D175BD"/>
    <w:rsid w:val="00D17D56"/>
    <w:rsid w:val="00D17ED0"/>
    <w:rsid w:val="00D203FE"/>
    <w:rsid w:val="00D2064B"/>
    <w:rsid w:val="00D20AAB"/>
    <w:rsid w:val="00D214C3"/>
    <w:rsid w:val="00D21736"/>
    <w:rsid w:val="00D2179F"/>
    <w:rsid w:val="00D21914"/>
    <w:rsid w:val="00D21D6D"/>
    <w:rsid w:val="00D21F15"/>
    <w:rsid w:val="00D22397"/>
    <w:rsid w:val="00D23149"/>
    <w:rsid w:val="00D24141"/>
    <w:rsid w:val="00D2556D"/>
    <w:rsid w:val="00D26AE2"/>
    <w:rsid w:val="00D26B80"/>
    <w:rsid w:val="00D275F3"/>
    <w:rsid w:val="00D278A4"/>
    <w:rsid w:val="00D30291"/>
    <w:rsid w:val="00D30327"/>
    <w:rsid w:val="00D30BB1"/>
    <w:rsid w:val="00D30F2A"/>
    <w:rsid w:val="00D31048"/>
    <w:rsid w:val="00D3171F"/>
    <w:rsid w:val="00D31981"/>
    <w:rsid w:val="00D31D9E"/>
    <w:rsid w:val="00D32135"/>
    <w:rsid w:val="00D32911"/>
    <w:rsid w:val="00D32BE6"/>
    <w:rsid w:val="00D33503"/>
    <w:rsid w:val="00D336EE"/>
    <w:rsid w:val="00D33C9F"/>
    <w:rsid w:val="00D34380"/>
    <w:rsid w:val="00D34AD7"/>
    <w:rsid w:val="00D34FF2"/>
    <w:rsid w:val="00D35135"/>
    <w:rsid w:val="00D35E0D"/>
    <w:rsid w:val="00D36445"/>
    <w:rsid w:val="00D3645C"/>
    <w:rsid w:val="00D36B68"/>
    <w:rsid w:val="00D36E4F"/>
    <w:rsid w:val="00D37680"/>
    <w:rsid w:val="00D37F89"/>
    <w:rsid w:val="00D400C9"/>
    <w:rsid w:val="00D40267"/>
    <w:rsid w:val="00D40DC3"/>
    <w:rsid w:val="00D40E52"/>
    <w:rsid w:val="00D41143"/>
    <w:rsid w:val="00D41C90"/>
    <w:rsid w:val="00D42145"/>
    <w:rsid w:val="00D432A5"/>
    <w:rsid w:val="00D43564"/>
    <w:rsid w:val="00D4371B"/>
    <w:rsid w:val="00D439E8"/>
    <w:rsid w:val="00D43E18"/>
    <w:rsid w:val="00D443FA"/>
    <w:rsid w:val="00D44473"/>
    <w:rsid w:val="00D44E83"/>
    <w:rsid w:val="00D456CD"/>
    <w:rsid w:val="00D45CF4"/>
    <w:rsid w:val="00D45D16"/>
    <w:rsid w:val="00D45E05"/>
    <w:rsid w:val="00D46523"/>
    <w:rsid w:val="00D46D04"/>
    <w:rsid w:val="00D46E64"/>
    <w:rsid w:val="00D46F4A"/>
    <w:rsid w:val="00D472A3"/>
    <w:rsid w:val="00D50371"/>
    <w:rsid w:val="00D51305"/>
    <w:rsid w:val="00D5134B"/>
    <w:rsid w:val="00D519E9"/>
    <w:rsid w:val="00D5275F"/>
    <w:rsid w:val="00D53068"/>
    <w:rsid w:val="00D533B1"/>
    <w:rsid w:val="00D53569"/>
    <w:rsid w:val="00D545C6"/>
    <w:rsid w:val="00D556C6"/>
    <w:rsid w:val="00D55925"/>
    <w:rsid w:val="00D5634F"/>
    <w:rsid w:val="00D563FD"/>
    <w:rsid w:val="00D5660C"/>
    <w:rsid w:val="00D56BEB"/>
    <w:rsid w:val="00D56E13"/>
    <w:rsid w:val="00D56F1A"/>
    <w:rsid w:val="00D56F98"/>
    <w:rsid w:val="00D573FA"/>
    <w:rsid w:val="00D57789"/>
    <w:rsid w:val="00D57D50"/>
    <w:rsid w:val="00D60104"/>
    <w:rsid w:val="00D605BD"/>
    <w:rsid w:val="00D607A6"/>
    <w:rsid w:val="00D609F0"/>
    <w:rsid w:val="00D60B86"/>
    <w:rsid w:val="00D60BCC"/>
    <w:rsid w:val="00D60CB8"/>
    <w:rsid w:val="00D61603"/>
    <w:rsid w:val="00D61723"/>
    <w:rsid w:val="00D61EAE"/>
    <w:rsid w:val="00D629D1"/>
    <w:rsid w:val="00D62CD1"/>
    <w:rsid w:val="00D62D85"/>
    <w:rsid w:val="00D63171"/>
    <w:rsid w:val="00D63C0E"/>
    <w:rsid w:val="00D63D8D"/>
    <w:rsid w:val="00D648A1"/>
    <w:rsid w:val="00D64971"/>
    <w:rsid w:val="00D64ADC"/>
    <w:rsid w:val="00D65351"/>
    <w:rsid w:val="00D654A1"/>
    <w:rsid w:val="00D66827"/>
    <w:rsid w:val="00D66EDA"/>
    <w:rsid w:val="00D67372"/>
    <w:rsid w:val="00D6747E"/>
    <w:rsid w:val="00D67CFF"/>
    <w:rsid w:val="00D67E8C"/>
    <w:rsid w:val="00D67EFF"/>
    <w:rsid w:val="00D7101E"/>
    <w:rsid w:val="00D711A5"/>
    <w:rsid w:val="00D711FE"/>
    <w:rsid w:val="00D712EF"/>
    <w:rsid w:val="00D71F53"/>
    <w:rsid w:val="00D7202B"/>
    <w:rsid w:val="00D728DF"/>
    <w:rsid w:val="00D72D6C"/>
    <w:rsid w:val="00D73753"/>
    <w:rsid w:val="00D73B6C"/>
    <w:rsid w:val="00D74BBF"/>
    <w:rsid w:val="00D74BFF"/>
    <w:rsid w:val="00D74E8F"/>
    <w:rsid w:val="00D74E9A"/>
    <w:rsid w:val="00D75756"/>
    <w:rsid w:val="00D760D6"/>
    <w:rsid w:val="00D76A30"/>
    <w:rsid w:val="00D76D71"/>
    <w:rsid w:val="00D770DD"/>
    <w:rsid w:val="00D77320"/>
    <w:rsid w:val="00D801DF"/>
    <w:rsid w:val="00D80545"/>
    <w:rsid w:val="00D80AB4"/>
    <w:rsid w:val="00D80DC5"/>
    <w:rsid w:val="00D81579"/>
    <w:rsid w:val="00D81D0E"/>
    <w:rsid w:val="00D81FED"/>
    <w:rsid w:val="00D829FB"/>
    <w:rsid w:val="00D82C13"/>
    <w:rsid w:val="00D82C6B"/>
    <w:rsid w:val="00D82CD9"/>
    <w:rsid w:val="00D8315F"/>
    <w:rsid w:val="00D845A2"/>
    <w:rsid w:val="00D84662"/>
    <w:rsid w:val="00D853D3"/>
    <w:rsid w:val="00D856C0"/>
    <w:rsid w:val="00D85F37"/>
    <w:rsid w:val="00D85F67"/>
    <w:rsid w:val="00D86455"/>
    <w:rsid w:val="00D86881"/>
    <w:rsid w:val="00D86A8C"/>
    <w:rsid w:val="00D86AC1"/>
    <w:rsid w:val="00D87251"/>
    <w:rsid w:val="00D8751F"/>
    <w:rsid w:val="00D87CDC"/>
    <w:rsid w:val="00D87F66"/>
    <w:rsid w:val="00D87FD6"/>
    <w:rsid w:val="00D87FE4"/>
    <w:rsid w:val="00D90ADB"/>
    <w:rsid w:val="00D90C3B"/>
    <w:rsid w:val="00D912DC"/>
    <w:rsid w:val="00D91460"/>
    <w:rsid w:val="00D914DB"/>
    <w:rsid w:val="00D91C14"/>
    <w:rsid w:val="00D9267C"/>
    <w:rsid w:val="00D9324C"/>
    <w:rsid w:val="00D93375"/>
    <w:rsid w:val="00D93D59"/>
    <w:rsid w:val="00D93EFF"/>
    <w:rsid w:val="00D93F72"/>
    <w:rsid w:val="00D9460D"/>
    <w:rsid w:val="00D94858"/>
    <w:rsid w:val="00D956EF"/>
    <w:rsid w:val="00D96313"/>
    <w:rsid w:val="00D9676F"/>
    <w:rsid w:val="00D96A0F"/>
    <w:rsid w:val="00D96CB4"/>
    <w:rsid w:val="00D96DEB"/>
    <w:rsid w:val="00D97AD4"/>
    <w:rsid w:val="00DA0552"/>
    <w:rsid w:val="00DA0B8A"/>
    <w:rsid w:val="00DA11B2"/>
    <w:rsid w:val="00DA1BA7"/>
    <w:rsid w:val="00DA22DA"/>
    <w:rsid w:val="00DA23DD"/>
    <w:rsid w:val="00DA2423"/>
    <w:rsid w:val="00DA2A96"/>
    <w:rsid w:val="00DA3080"/>
    <w:rsid w:val="00DA30A2"/>
    <w:rsid w:val="00DA390D"/>
    <w:rsid w:val="00DA3961"/>
    <w:rsid w:val="00DA436C"/>
    <w:rsid w:val="00DA5D0B"/>
    <w:rsid w:val="00DA5DB8"/>
    <w:rsid w:val="00DA5F76"/>
    <w:rsid w:val="00DA60A5"/>
    <w:rsid w:val="00DA60F5"/>
    <w:rsid w:val="00DB01EA"/>
    <w:rsid w:val="00DB03AE"/>
    <w:rsid w:val="00DB03F6"/>
    <w:rsid w:val="00DB08CB"/>
    <w:rsid w:val="00DB0FA3"/>
    <w:rsid w:val="00DB16C1"/>
    <w:rsid w:val="00DB1D88"/>
    <w:rsid w:val="00DB2595"/>
    <w:rsid w:val="00DB303F"/>
    <w:rsid w:val="00DB3635"/>
    <w:rsid w:val="00DB4006"/>
    <w:rsid w:val="00DB42EF"/>
    <w:rsid w:val="00DB462A"/>
    <w:rsid w:val="00DB4B61"/>
    <w:rsid w:val="00DB55CE"/>
    <w:rsid w:val="00DB64F5"/>
    <w:rsid w:val="00DB6CAF"/>
    <w:rsid w:val="00DB729B"/>
    <w:rsid w:val="00DB72CE"/>
    <w:rsid w:val="00DB7400"/>
    <w:rsid w:val="00DB7EB1"/>
    <w:rsid w:val="00DC02FC"/>
    <w:rsid w:val="00DC0347"/>
    <w:rsid w:val="00DC0ADA"/>
    <w:rsid w:val="00DC0FE9"/>
    <w:rsid w:val="00DC13C3"/>
    <w:rsid w:val="00DC1C03"/>
    <w:rsid w:val="00DC2212"/>
    <w:rsid w:val="00DC252D"/>
    <w:rsid w:val="00DC2595"/>
    <w:rsid w:val="00DC2823"/>
    <w:rsid w:val="00DC2DF4"/>
    <w:rsid w:val="00DC30E1"/>
    <w:rsid w:val="00DC31F2"/>
    <w:rsid w:val="00DC32DA"/>
    <w:rsid w:val="00DC35F6"/>
    <w:rsid w:val="00DC3898"/>
    <w:rsid w:val="00DC4083"/>
    <w:rsid w:val="00DC48DF"/>
    <w:rsid w:val="00DC5103"/>
    <w:rsid w:val="00DC5D8A"/>
    <w:rsid w:val="00DC6572"/>
    <w:rsid w:val="00DC6E4A"/>
    <w:rsid w:val="00DC789A"/>
    <w:rsid w:val="00DC7912"/>
    <w:rsid w:val="00DD0D38"/>
    <w:rsid w:val="00DD0D67"/>
    <w:rsid w:val="00DD0D77"/>
    <w:rsid w:val="00DD15E7"/>
    <w:rsid w:val="00DD16E2"/>
    <w:rsid w:val="00DD1C3A"/>
    <w:rsid w:val="00DD2514"/>
    <w:rsid w:val="00DD25D6"/>
    <w:rsid w:val="00DD3364"/>
    <w:rsid w:val="00DD4038"/>
    <w:rsid w:val="00DD40B6"/>
    <w:rsid w:val="00DD46E2"/>
    <w:rsid w:val="00DD485A"/>
    <w:rsid w:val="00DD51F6"/>
    <w:rsid w:val="00DD595A"/>
    <w:rsid w:val="00DD685B"/>
    <w:rsid w:val="00DD6A64"/>
    <w:rsid w:val="00DD6C46"/>
    <w:rsid w:val="00DD6C94"/>
    <w:rsid w:val="00DD711F"/>
    <w:rsid w:val="00DD7703"/>
    <w:rsid w:val="00DE1838"/>
    <w:rsid w:val="00DE1CB1"/>
    <w:rsid w:val="00DE33BB"/>
    <w:rsid w:val="00DE588F"/>
    <w:rsid w:val="00DE5E98"/>
    <w:rsid w:val="00DE63D0"/>
    <w:rsid w:val="00DE67D6"/>
    <w:rsid w:val="00DE67EC"/>
    <w:rsid w:val="00DE69D3"/>
    <w:rsid w:val="00DE6DF3"/>
    <w:rsid w:val="00DE7542"/>
    <w:rsid w:val="00DE77C6"/>
    <w:rsid w:val="00DF04D2"/>
    <w:rsid w:val="00DF0775"/>
    <w:rsid w:val="00DF083E"/>
    <w:rsid w:val="00DF0AD2"/>
    <w:rsid w:val="00DF13B9"/>
    <w:rsid w:val="00DF192E"/>
    <w:rsid w:val="00DF1FD5"/>
    <w:rsid w:val="00DF29F8"/>
    <w:rsid w:val="00DF3641"/>
    <w:rsid w:val="00DF366D"/>
    <w:rsid w:val="00DF37D4"/>
    <w:rsid w:val="00DF38AD"/>
    <w:rsid w:val="00DF3917"/>
    <w:rsid w:val="00DF3D97"/>
    <w:rsid w:val="00DF3F0D"/>
    <w:rsid w:val="00DF4271"/>
    <w:rsid w:val="00DF45B7"/>
    <w:rsid w:val="00DF4C0F"/>
    <w:rsid w:val="00DF61F5"/>
    <w:rsid w:val="00DF66C8"/>
    <w:rsid w:val="00DF6C17"/>
    <w:rsid w:val="00DF75EA"/>
    <w:rsid w:val="00DF785E"/>
    <w:rsid w:val="00DF7966"/>
    <w:rsid w:val="00DF7B53"/>
    <w:rsid w:val="00DF7F08"/>
    <w:rsid w:val="00E002A8"/>
    <w:rsid w:val="00E00F89"/>
    <w:rsid w:val="00E015E4"/>
    <w:rsid w:val="00E01F35"/>
    <w:rsid w:val="00E022E5"/>
    <w:rsid w:val="00E026D3"/>
    <w:rsid w:val="00E02A18"/>
    <w:rsid w:val="00E02FD4"/>
    <w:rsid w:val="00E03BC7"/>
    <w:rsid w:val="00E04230"/>
    <w:rsid w:val="00E04D1A"/>
    <w:rsid w:val="00E051E0"/>
    <w:rsid w:val="00E05662"/>
    <w:rsid w:val="00E0571C"/>
    <w:rsid w:val="00E062CB"/>
    <w:rsid w:val="00E063FD"/>
    <w:rsid w:val="00E065B4"/>
    <w:rsid w:val="00E0674D"/>
    <w:rsid w:val="00E07183"/>
    <w:rsid w:val="00E071DA"/>
    <w:rsid w:val="00E07776"/>
    <w:rsid w:val="00E1026F"/>
    <w:rsid w:val="00E1047C"/>
    <w:rsid w:val="00E10812"/>
    <w:rsid w:val="00E11FFD"/>
    <w:rsid w:val="00E1228F"/>
    <w:rsid w:val="00E12A15"/>
    <w:rsid w:val="00E135D6"/>
    <w:rsid w:val="00E1369C"/>
    <w:rsid w:val="00E13807"/>
    <w:rsid w:val="00E13B1D"/>
    <w:rsid w:val="00E13D11"/>
    <w:rsid w:val="00E14011"/>
    <w:rsid w:val="00E14176"/>
    <w:rsid w:val="00E144AC"/>
    <w:rsid w:val="00E1539A"/>
    <w:rsid w:val="00E1592F"/>
    <w:rsid w:val="00E15C72"/>
    <w:rsid w:val="00E1606C"/>
    <w:rsid w:val="00E16ABA"/>
    <w:rsid w:val="00E20246"/>
    <w:rsid w:val="00E20C3D"/>
    <w:rsid w:val="00E20C45"/>
    <w:rsid w:val="00E2103F"/>
    <w:rsid w:val="00E21C0D"/>
    <w:rsid w:val="00E223F5"/>
    <w:rsid w:val="00E224BF"/>
    <w:rsid w:val="00E22708"/>
    <w:rsid w:val="00E22D70"/>
    <w:rsid w:val="00E23D60"/>
    <w:rsid w:val="00E23E5D"/>
    <w:rsid w:val="00E24D8A"/>
    <w:rsid w:val="00E24F54"/>
    <w:rsid w:val="00E25B4D"/>
    <w:rsid w:val="00E25BB7"/>
    <w:rsid w:val="00E261B9"/>
    <w:rsid w:val="00E263E0"/>
    <w:rsid w:val="00E26CC1"/>
    <w:rsid w:val="00E27F3C"/>
    <w:rsid w:val="00E30488"/>
    <w:rsid w:val="00E3049E"/>
    <w:rsid w:val="00E30B31"/>
    <w:rsid w:val="00E320D0"/>
    <w:rsid w:val="00E32A87"/>
    <w:rsid w:val="00E3369A"/>
    <w:rsid w:val="00E338C8"/>
    <w:rsid w:val="00E349A4"/>
    <w:rsid w:val="00E3565C"/>
    <w:rsid w:val="00E3565D"/>
    <w:rsid w:val="00E35B26"/>
    <w:rsid w:val="00E35B99"/>
    <w:rsid w:val="00E35F79"/>
    <w:rsid w:val="00E36F91"/>
    <w:rsid w:val="00E37058"/>
    <w:rsid w:val="00E3706C"/>
    <w:rsid w:val="00E37635"/>
    <w:rsid w:val="00E37E6C"/>
    <w:rsid w:val="00E4049E"/>
    <w:rsid w:val="00E407DD"/>
    <w:rsid w:val="00E408E3"/>
    <w:rsid w:val="00E40B5B"/>
    <w:rsid w:val="00E419AE"/>
    <w:rsid w:val="00E41B74"/>
    <w:rsid w:val="00E41E7E"/>
    <w:rsid w:val="00E41F64"/>
    <w:rsid w:val="00E4268B"/>
    <w:rsid w:val="00E426DF"/>
    <w:rsid w:val="00E42B80"/>
    <w:rsid w:val="00E434DF"/>
    <w:rsid w:val="00E437C3"/>
    <w:rsid w:val="00E439D0"/>
    <w:rsid w:val="00E43AB5"/>
    <w:rsid w:val="00E44055"/>
    <w:rsid w:val="00E449C2"/>
    <w:rsid w:val="00E44BE3"/>
    <w:rsid w:val="00E44ED4"/>
    <w:rsid w:val="00E4511B"/>
    <w:rsid w:val="00E45D71"/>
    <w:rsid w:val="00E45E18"/>
    <w:rsid w:val="00E4603F"/>
    <w:rsid w:val="00E467E5"/>
    <w:rsid w:val="00E46DC7"/>
    <w:rsid w:val="00E47164"/>
    <w:rsid w:val="00E47789"/>
    <w:rsid w:val="00E47B32"/>
    <w:rsid w:val="00E509B9"/>
    <w:rsid w:val="00E5153C"/>
    <w:rsid w:val="00E5191C"/>
    <w:rsid w:val="00E51D90"/>
    <w:rsid w:val="00E52A6D"/>
    <w:rsid w:val="00E52BAA"/>
    <w:rsid w:val="00E530B3"/>
    <w:rsid w:val="00E531F6"/>
    <w:rsid w:val="00E53746"/>
    <w:rsid w:val="00E53836"/>
    <w:rsid w:val="00E53B79"/>
    <w:rsid w:val="00E53C16"/>
    <w:rsid w:val="00E55B2B"/>
    <w:rsid w:val="00E55DFF"/>
    <w:rsid w:val="00E560B2"/>
    <w:rsid w:val="00E56AC0"/>
    <w:rsid w:val="00E56B77"/>
    <w:rsid w:val="00E57273"/>
    <w:rsid w:val="00E60274"/>
    <w:rsid w:val="00E60CD8"/>
    <w:rsid w:val="00E60D1A"/>
    <w:rsid w:val="00E60EA0"/>
    <w:rsid w:val="00E6149B"/>
    <w:rsid w:val="00E61515"/>
    <w:rsid w:val="00E617F8"/>
    <w:rsid w:val="00E622A8"/>
    <w:rsid w:val="00E62927"/>
    <w:rsid w:val="00E62DC6"/>
    <w:rsid w:val="00E637B9"/>
    <w:rsid w:val="00E638B3"/>
    <w:rsid w:val="00E6484D"/>
    <w:rsid w:val="00E6509F"/>
    <w:rsid w:val="00E659DE"/>
    <w:rsid w:val="00E66062"/>
    <w:rsid w:val="00E6619D"/>
    <w:rsid w:val="00E662A0"/>
    <w:rsid w:val="00E666A6"/>
    <w:rsid w:val="00E6684C"/>
    <w:rsid w:val="00E668C9"/>
    <w:rsid w:val="00E66C7A"/>
    <w:rsid w:val="00E67035"/>
    <w:rsid w:val="00E67841"/>
    <w:rsid w:val="00E67FD8"/>
    <w:rsid w:val="00E7067A"/>
    <w:rsid w:val="00E7069F"/>
    <w:rsid w:val="00E70EF9"/>
    <w:rsid w:val="00E71CE6"/>
    <w:rsid w:val="00E72BFE"/>
    <w:rsid w:val="00E7413E"/>
    <w:rsid w:val="00E74797"/>
    <w:rsid w:val="00E74812"/>
    <w:rsid w:val="00E74B4E"/>
    <w:rsid w:val="00E74E4C"/>
    <w:rsid w:val="00E74F22"/>
    <w:rsid w:val="00E74F9D"/>
    <w:rsid w:val="00E75009"/>
    <w:rsid w:val="00E75700"/>
    <w:rsid w:val="00E76D59"/>
    <w:rsid w:val="00E76DC9"/>
    <w:rsid w:val="00E771C7"/>
    <w:rsid w:val="00E775CE"/>
    <w:rsid w:val="00E77D3B"/>
    <w:rsid w:val="00E803E8"/>
    <w:rsid w:val="00E80A39"/>
    <w:rsid w:val="00E80C56"/>
    <w:rsid w:val="00E81AE7"/>
    <w:rsid w:val="00E81C52"/>
    <w:rsid w:val="00E82574"/>
    <w:rsid w:val="00E82DA4"/>
    <w:rsid w:val="00E850CB"/>
    <w:rsid w:val="00E857B8"/>
    <w:rsid w:val="00E857CA"/>
    <w:rsid w:val="00E85E41"/>
    <w:rsid w:val="00E86143"/>
    <w:rsid w:val="00E8628F"/>
    <w:rsid w:val="00E867B0"/>
    <w:rsid w:val="00E86BE8"/>
    <w:rsid w:val="00E8711A"/>
    <w:rsid w:val="00E872B2"/>
    <w:rsid w:val="00E8736B"/>
    <w:rsid w:val="00E87723"/>
    <w:rsid w:val="00E87731"/>
    <w:rsid w:val="00E903B8"/>
    <w:rsid w:val="00E904FD"/>
    <w:rsid w:val="00E90B67"/>
    <w:rsid w:val="00E914AE"/>
    <w:rsid w:val="00E926A4"/>
    <w:rsid w:val="00E92A47"/>
    <w:rsid w:val="00E92ABD"/>
    <w:rsid w:val="00E92C6C"/>
    <w:rsid w:val="00E9374F"/>
    <w:rsid w:val="00E9376F"/>
    <w:rsid w:val="00E93982"/>
    <w:rsid w:val="00E93F0E"/>
    <w:rsid w:val="00E940C7"/>
    <w:rsid w:val="00E95001"/>
    <w:rsid w:val="00E95549"/>
    <w:rsid w:val="00E95C8E"/>
    <w:rsid w:val="00E95D30"/>
    <w:rsid w:val="00E95FB3"/>
    <w:rsid w:val="00E95FDF"/>
    <w:rsid w:val="00E9626E"/>
    <w:rsid w:val="00E964E7"/>
    <w:rsid w:val="00E96825"/>
    <w:rsid w:val="00E969FB"/>
    <w:rsid w:val="00E96A96"/>
    <w:rsid w:val="00E96B9E"/>
    <w:rsid w:val="00E977BC"/>
    <w:rsid w:val="00E978C5"/>
    <w:rsid w:val="00E9799F"/>
    <w:rsid w:val="00E97AF9"/>
    <w:rsid w:val="00E97E73"/>
    <w:rsid w:val="00EA066A"/>
    <w:rsid w:val="00EA0C7F"/>
    <w:rsid w:val="00EA0DAD"/>
    <w:rsid w:val="00EA1680"/>
    <w:rsid w:val="00EA183B"/>
    <w:rsid w:val="00EA2361"/>
    <w:rsid w:val="00EA2393"/>
    <w:rsid w:val="00EA2EEA"/>
    <w:rsid w:val="00EA3467"/>
    <w:rsid w:val="00EA354E"/>
    <w:rsid w:val="00EA434B"/>
    <w:rsid w:val="00EA481C"/>
    <w:rsid w:val="00EA4941"/>
    <w:rsid w:val="00EA4D30"/>
    <w:rsid w:val="00EA500C"/>
    <w:rsid w:val="00EA58FA"/>
    <w:rsid w:val="00EA5EF9"/>
    <w:rsid w:val="00EA64C0"/>
    <w:rsid w:val="00EA69BF"/>
    <w:rsid w:val="00EA6ACB"/>
    <w:rsid w:val="00EA6C58"/>
    <w:rsid w:val="00EA7048"/>
    <w:rsid w:val="00EA7395"/>
    <w:rsid w:val="00EA7A42"/>
    <w:rsid w:val="00EA7B4E"/>
    <w:rsid w:val="00EB00B9"/>
    <w:rsid w:val="00EB04DA"/>
    <w:rsid w:val="00EB0AC1"/>
    <w:rsid w:val="00EB14CF"/>
    <w:rsid w:val="00EB229C"/>
    <w:rsid w:val="00EB2481"/>
    <w:rsid w:val="00EB271B"/>
    <w:rsid w:val="00EB2832"/>
    <w:rsid w:val="00EB29E1"/>
    <w:rsid w:val="00EB37D4"/>
    <w:rsid w:val="00EB4ACF"/>
    <w:rsid w:val="00EB614D"/>
    <w:rsid w:val="00EB625F"/>
    <w:rsid w:val="00EB6482"/>
    <w:rsid w:val="00EB6614"/>
    <w:rsid w:val="00EB7794"/>
    <w:rsid w:val="00EB7836"/>
    <w:rsid w:val="00EB7E0B"/>
    <w:rsid w:val="00EB7E6D"/>
    <w:rsid w:val="00EC0184"/>
    <w:rsid w:val="00EC0243"/>
    <w:rsid w:val="00EC0D5D"/>
    <w:rsid w:val="00EC1506"/>
    <w:rsid w:val="00EC170B"/>
    <w:rsid w:val="00EC1C2C"/>
    <w:rsid w:val="00EC1E41"/>
    <w:rsid w:val="00EC2F83"/>
    <w:rsid w:val="00EC3215"/>
    <w:rsid w:val="00EC323A"/>
    <w:rsid w:val="00EC3438"/>
    <w:rsid w:val="00EC34F3"/>
    <w:rsid w:val="00EC43FB"/>
    <w:rsid w:val="00EC6760"/>
    <w:rsid w:val="00EC686B"/>
    <w:rsid w:val="00EC699C"/>
    <w:rsid w:val="00EC6ABE"/>
    <w:rsid w:val="00EC6CB8"/>
    <w:rsid w:val="00EC6EDD"/>
    <w:rsid w:val="00EC706B"/>
    <w:rsid w:val="00EC712E"/>
    <w:rsid w:val="00EC7384"/>
    <w:rsid w:val="00EC7473"/>
    <w:rsid w:val="00EC754B"/>
    <w:rsid w:val="00EC7D67"/>
    <w:rsid w:val="00ED0702"/>
    <w:rsid w:val="00ED0998"/>
    <w:rsid w:val="00ED0E87"/>
    <w:rsid w:val="00ED1382"/>
    <w:rsid w:val="00ED1CD0"/>
    <w:rsid w:val="00ED1D38"/>
    <w:rsid w:val="00ED2504"/>
    <w:rsid w:val="00ED2A18"/>
    <w:rsid w:val="00ED311E"/>
    <w:rsid w:val="00ED3561"/>
    <w:rsid w:val="00ED4845"/>
    <w:rsid w:val="00ED5091"/>
    <w:rsid w:val="00ED51C6"/>
    <w:rsid w:val="00ED51E1"/>
    <w:rsid w:val="00ED550D"/>
    <w:rsid w:val="00ED5DDE"/>
    <w:rsid w:val="00ED62E3"/>
    <w:rsid w:val="00ED631F"/>
    <w:rsid w:val="00ED6839"/>
    <w:rsid w:val="00ED6A84"/>
    <w:rsid w:val="00ED6BF7"/>
    <w:rsid w:val="00ED724E"/>
    <w:rsid w:val="00ED7299"/>
    <w:rsid w:val="00EE0161"/>
    <w:rsid w:val="00EE1028"/>
    <w:rsid w:val="00EE1E29"/>
    <w:rsid w:val="00EE1F6F"/>
    <w:rsid w:val="00EE202C"/>
    <w:rsid w:val="00EE21ED"/>
    <w:rsid w:val="00EE2260"/>
    <w:rsid w:val="00EE25F8"/>
    <w:rsid w:val="00EE2CD7"/>
    <w:rsid w:val="00EE3257"/>
    <w:rsid w:val="00EE3966"/>
    <w:rsid w:val="00EE3C33"/>
    <w:rsid w:val="00EE3E73"/>
    <w:rsid w:val="00EE404E"/>
    <w:rsid w:val="00EE47B1"/>
    <w:rsid w:val="00EE4F4E"/>
    <w:rsid w:val="00EE54A6"/>
    <w:rsid w:val="00EE5A5B"/>
    <w:rsid w:val="00EE5E9C"/>
    <w:rsid w:val="00EE5FB3"/>
    <w:rsid w:val="00EE613D"/>
    <w:rsid w:val="00EE61F7"/>
    <w:rsid w:val="00EE6240"/>
    <w:rsid w:val="00EE694F"/>
    <w:rsid w:val="00EE7881"/>
    <w:rsid w:val="00EE78D6"/>
    <w:rsid w:val="00EE7967"/>
    <w:rsid w:val="00EF013D"/>
    <w:rsid w:val="00EF0E51"/>
    <w:rsid w:val="00EF0E5D"/>
    <w:rsid w:val="00EF1608"/>
    <w:rsid w:val="00EF1A22"/>
    <w:rsid w:val="00EF1C38"/>
    <w:rsid w:val="00EF3CC3"/>
    <w:rsid w:val="00EF3F84"/>
    <w:rsid w:val="00EF4219"/>
    <w:rsid w:val="00EF47D9"/>
    <w:rsid w:val="00EF4C13"/>
    <w:rsid w:val="00EF5EBC"/>
    <w:rsid w:val="00EF634B"/>
    <w:rsid w:val="00EF75EA"/>
    <w:rsid w:val="00EF7BCF"/>
    <w:rsid w:val="00EF7E31"/>
    <w:rsid w:val="00F0009E"/>
    <w:rsid w:val="00F0021D"/>
    <w:rsid w:val="00F00771"/>
    <w:rsid w:val="00F010F1"/>
    <w:rsid w:val="00F01340"/>
    <w:rsid w:val="00F01A09"/>
    <w:rsid w:val="00F01CE3"/>
    <w:rsid w:val="00F01D87"/>
    <w:rsid w:val="00F02504"/>
    <w:rsid w:val="00F02872"/>
    <w:rsid w:val="00F03044"/>
    <w:rsid w:val="00F03393"/>
    <w:rsid w:val="00F03A38"/>
    <w:rsid w:val="00F03FDA"/>
    <w:rsid w:val="00F04746"/>
    <w:rsid w:val="00F049B6"/>
    <w:rsid w:val="00F04AC3"/>
    <w:rsid w:val="00F05B4C"/>
    <w:rsid w:val="00F05D30"/>
    <w:rsid w:val="00F06266"/>
    <w:rsid w:val="00F0672B"/>
    <w:rsid w:val="00F06E05"/>
    <w:rsid w:val="00F070B2"/>
    <w:rsid w:val="00F074E2"/>
    <w:rsid w:val="00F0768C"/>
    <w:rsid w:val="00F102B2"/>
    <w:rsid w:val="00F10896"/>
    <w:rsid w:val="00F109F5"/>
    <w:rsid w:val="00F11EEA"/>
    <w:rsid w:val="00F1254A"/>
    <w:rsid w:val="00F13545"/>
    <w:rsid w:val="00F13F6D"/>
    <w:rsid w:val="00F14F2A"/>
    <w:rsid w:val="00F15167"/>
    <w:rsid w:val="00F161FA"/>
    <w:rsid w:val="00F1654F"/>
    <w:rsid w:val="00F167BF"/>
    <w:rsid w:val="00F16C8E"/>
    <w:rsid w:val="00F16EF9"/>
    <w:rsid w:val="00F16F07"/>
    <w:rsid w:val="00F1719A"/>
    <w:rsid w:val="00F179C7"/>
    <w:rsid w:val="00F2038B"/>
    <w:rsid w:val="00F20499"/>
    <w:rsid w:val="00F20DB6"/>
    <w:rsid w:val="00F20F65"/>
    <w:rsid w:val="00F20FC5"/>
    <w:rsid w:val="00F21225"/>
    <w:rsid w:val="00F21343"/>
    <w:rsid w:val="00F2172B"/>
    <w:rsid w:val="00F21CF9"/>
    <w:rsid w:val="00F21DD0"/>
    <w:rsid w:val="00F22AF2"/>
    <w:rsid w:val="00F22D51"/>
    <w:rsid w:val="00F2306B"/>
    <w:rsid w:val="00F2338B"/>
    <w:rsid w:val="00F2362D"/>
    <w:rsid w:val="00F23EB0"/>
    <w:rsid w:val="00F24808"/>
    <w:rsid w:val="00F24EAE"/>
    <w:rsid w:val="00F2543C"/>
    <w:rsid w:val="00F25B8B"/>
    <w:rsid w:val="00F25EA9"/>
    <w:rsid w:val="00F26F9C"/>
    <w:rsid w:val="00F27094"/>
    <w:rsid w:val="00F27299"/>
    <w:rsid w:val="00F2756F"/>
    <w:rsid w:val="00F275DF"/>
    <w:rsid w:val="00F276AE"/>
    <w:rsid w:val="00F278E3"/>
    <w:rsid w:val="00F27A6B"/>
    <w:rsid w:val="00F27D67"/>
    <w:rsid w:val="00F3065F"/>
    <w:rsid w:val="00F30699"/>
    <w:rsid w:val="00F30902"/>
    <w:rsid w:val="00F3092B"/>
    <w:rsid w:val="00F318F0"/>
    <w:rsid w:val="00F31ACE"/>
    <w:rsid w:val="00F31B62"/>
    <w:rsid w:val="00F31FA6"/>
    <w:rsid w:val="00F32BE4"/>
    <w:rsid w:val="00F32C7E"/>
    <w:rsid w:val="00F32E03"/>
    <w:rsid w:val="00F331EE"/>
    <w:rsid w:val="00F33698"/>
    <w:rsid w:val="00F33B83"/>
    <w:rsid w:val="00F33CCB"/>
    <w:rsid w:val="00F33CFD"/>
    <w:rsid w:val="00F33F31"/>
    <w:rsid w:val="00F33FD6"/>
    <w:rsid w:val="00F3400E"/>
    <w:rsid w:val="00F341D2"/>
    <w:rsid w:val="00F349C9"/>
    <w:rsid w:val="00F34EFF"/>
    <w:rsid w:val="00F35102"/>
    <w:rsid w:val="00F35DCC"/>
    <w:rsid w:val="00F362DF"/>
    <w:rsid w:val="00F36A74"/>
    <w:rsid w:val="00F37053"/>
    <w:rsid w:val="00F372E2"/>
    <w:rsid w:val="00F3776E"/>
    <w:rsid w:val="00F37782"/>
    <w:rsid w:val="00F37947"/>
    <w:rsid w:val="00F37A3D"/>
    <w:rsid w:val="00F37F6D"/>
    <w:rsid w:val="00F40A86"/>
    <w:rsid w:val="00F40ED6"/>
    <w:rsid w:val="00F40FF8"/>
    <w:rsid w:val="00F4114A"/>
    <w:rsid w:val="00F411CD"/>
    <w:rsid w:val="00F415A0"/>
    <w:rsid w:val="00F417EF"/>
    <w:rsid w:val="00F4188F"/>
    <w:rsid w:val="00F41CE4"/>
    <w:rsid w:val="00F41E1C"/>
    <w:rsid w:val="00F41E95"/>
    <w:rsid w:val="00F41ECF"/>
    <w:rsid w:val="00F4212D"/>
    <w:rsid w:val="00F4226F"/>
    <w:rsid w:val="00F42337"/>
    <w:rsid w:val="00F426E2"/>
    <w:rsid w:val="00F428C0"/>
    <w:rsid w:val="00F42A57"/>
    <w:rsid w:val="00F42FB7"/>
    <w:rsid w:val="00F43072"/>
    <w:rsid w:val="00F43634"/>
    <w:rsid w:val="00F439EF"/>
    <w:rsid w:val="00F44151"/>
    <w:rsid w:val="00F443CA"/>
    <w:rsid w:val="00F4478C"/>
    <w:rsid w:val="00F447C8"/>
    <w:rsid w:val="00F44E6B"/>
    <w:rsid w:val="00F453ED"/>
    <w:rsid w:val="00F45807"/>
    <w:rsid w:val="00F45ABF"/>
    <w:rsid w:val="00F45B05"/>
    <w:rsid w:val="00F46332"/>
    <w:rsid w:val="00F463EE"/>
    <w:rsid w:val="00F47072"/>
    <w:rsid w:val="00F477B9"/>
    <w:rsid w:val="00F50283"/>
    <w:rsid w:val="00F50637"/>
    <w:rsid w:val="00F506B3"/>
    <w:rsid w:val="00F50738"/>
    <w:rsid w:val="00F509C3"/>
    <w:rsid w:val="00F50E1A"/>
    <w:rsid w:val="00F51531"/>
    <w:rsid w:val="00F51632"/>
    <w:rsid w:val="00F521FD"/>
    <w:rsid w:val="00F52558"/>
    <w:rsid w:val="00F52691"/>
    <w:rsid w:val="00F53135"/>
    <w:rsid w:val="00F53D23"/>
    <w:rsid w:val="00F53EBA"/>
    <w:rsid w:val="00F53F2D"/>
    <w:rsid w:val="00F542C1"/>
    <w:rsid w:val="00F54D6D"/>
    <w:rsid w:val="00F54E7D"/>
    <w:rsid w:val="00F555F0"/>
    <w:rsid w:val="00F5565E"/>
    <w:rsid w:val="00F56279"/>
    <w:rsid w:val="00F56336"/>
    <w:rsid w:val="00F563D6"/>
    <w:rsid w:val="00F5677D"/>
    <w:rsid w:val="00F56E0B"/>
    <w:rsid w:val="00F57717"/>
    <w:rsid w:val="00F608B9"/>
    <w:rsid w:val="00F60A2D"/>
    <w:rsid w:val="00F60E13"/>
    <w:rsid w:val="00F60EB2"/>
    <w:rsid w:val="00F610AD"/>
    <w:rsid w:val="00F61285"/>
    <w:rsid w:val="00F615DC"/>
    <w:rsid w:val="00F61A8C"/>
    <w:rsid w:val="00F61BBA"/>
    <w:rsid w:val="00F62099"/>
    <w:rsid w:val="00F6214C"/>
    <w:rsid w:val="00F62477"/>
    <w:rsid w:val="00F625EC"/>
    <w:rsid w:val="00F6291C"/>
    <w:rsid w:val="00F6345A"/>
    <w:rsid w:val="00F63464"/>
    <w:rsid w:val="00F637BB"/>
    <w:rsid w:val="00F6497B"/>
    <w:rsid w:val="00F64B34"/>
    <w:rsid w:val="00F64C09"/>
    <w:rsid w:val="00F6507E"/>
    <w:rsid w:val="00F650A5"/>
    <w:rsid w:val="00F651EC"/>
    <w:rsid w:val="00F656DB"/>
    <w:rsid w:val="00F658CC"/>
    <w:rsid w:val="00F6615B"/>
    <w:rsid w:val="00F6695F"/>
    <w:rsid w:val="00F66A39"/>
    <w:rsid w:val="00F66CB0"/>
    <w:rsid w:val="00F67775"/>
    <w:rsid w:val="00F679F2"/>
    <w:rsid w:val="00F67B0E"/>
    <w:rsid w:val="00F67E49"/>
    <w:rsid w:val="00F7088E"/>
    <w:rsid w:val="00F722A3"/>
    <w:rsid w:val="00F72EAA"/>
    <w:rsid w:val="00F7367E"/>
    <w:rsid w:val="00F741A7"/>
    <w:rsid w:val="00F742F8"/>
    <w:rsid w:val="00F748EA"/>
    <w:rsid w:val="00F7499D"/>
    <w:rsid w:val="00F74EC4"/>
    <w:rsid w:val="00F74F7D"/>
    <w:rsid w:val="00F75095"/>
    <w:rsid w:val="00F75737"/>
    <w:rsid w:val="00F7741E"/>
    <w:rsid w:val="00F77ED9"/>
    <w:rsid w:val="00F806A0"/>
    <w:rsid w:val="00F80AEA"/>
    <w:rsid w:val="00F81D31"/>
    <w:rsid w:val="00F82763"/>
    <w:rsid w:val="00F82F24"/>
    <w:rsid w:val="00F8406A"/>
    <w:rsid w:val="00F84103"/>
    <w:rsid w:val="00F843DA"/>
    <w:rsid w:val="00F845C6"/>
    <w:rsid w:val="00F84A0B"/>
    <w:rsid w:val="00F84E22"/>
    <w:rsid w:val="00F84FCB"/>
    <w:rsid w:val="00F8563D"/>
    <w:rsid w:val="00F85F25"/>
    <w:rsid w:val="00F87CFF"/>
    <w:rsid w:val="00F903BE"/>
    <w:rsid w:val="00F9063C"/>
    <w:rsid w:val="00F907A8"/>
    <w:rsid w:val="00F907E5"/>
    <w:rsid w:val="00F90CF2"/>
    <w:rsid w:val="00F910D2"/>
    <w:rsid w:val="00F91F0C"/>
    <w:rsid w:val="00F92250"/>
    <w:rsid w:val="00F928A8"/>
    <w:rsid w:val="00F92ADD"/>
    <w:rsid w:val="00F92C05"/>
    <w:rsid w:val="00F93010"/>
    <w:rsid w:val="00F934FD"/>
    <w:rsid w:val="00F93CDA"/>
    <w:rsid w:val="00F94534"/>
    <w:rsid w:val="00F94744"/>
    <w:rsid w:val="00F94DD3"/>
    <w:rsid w:val="00F951A9"/>
    <w:rsid w:val="00F952E3"/>
    <w:rsid w:val="00F9554F"/>
    <w:rsid w:val="00F95E69"/>
    <w:rsid w:val="00F96D0D"/>
    <w:rsid w:val="00F96ECE"/>
    <w:rsid w:val="00F972E0"/>
    <w:rsid w:val="00F9757F"/>
    <w:rsid w:val="00F979C4"/>
    <w:rsid w:val="00FA028E"/>
    <w:rsid w:val="00FA0D03"/>
    <w:rsid w:val="00FA13E4"/>
    <w:rsid w:val="00FA166F"/>
    <w:rsid w:val="00FA1898"/>
    <w:rsid w:val="00FA246F"/>
    <w:rsid w:val="00FA26D3"/>
    <w:rsid w:val="00FA2779"/>
    <w:rsid w:val="00FA2866"/>
    <w:rsid w:val="00FA2B05"/>
    <w:rsid w:val="00FA3BCB"/>
    <w:rsid w:val="00FA3DAE"/>
    <w:rsid w:val="00FA4124"/>
    <w:rsid w:val="00FA45D6"/>
    <w:rsid w:val="00FA4D9A"/>
    <w:rsid w:val="00FA5AC4"/>
    <w:rsid w:val="00FA5B63"/>
    <w:rsid w:val="00FA5C13"/>
    <w:rsid w:val="00FA6518"/>
    <w:rsid w:val="00FA6880"/>
    <w:rsid w:val="00FA699D"/>
    <w:rsid w:val="00FA718D"/>
    <w:rsid w:val="00FB0460"/>
    <w:rsid w:val="00FB064C"/>
    <w:rsid w:val="00FB0999"/>
    <w:rsid w:val="00FB11D0"/>
    <w:rsid w:val="00FB278F"/>
    <w:rsid w:val="00FB3860"/>
    <w:rsid w:val="00FB458E"/>
    <w:rsid w:val="00FB4E26"/>
    <w:rsid w:val="00FB4F97"/>
    <w:rsid w:val="00FB5520"/>
    <w:rsid w:val="00FB581D"/>
    <w:rsid w:val="00FB5FA6"/>
    <w:rsid w:val="00FB6278"/>
    <w:rsid w:val="00FB6606"/>
    <w:rsid w:val="00FB691E"/>
    <w:rsid w:val="00FB6C43"/>
    <w:rsid w:val="00FB7491"/>
    <w:rsid w:val="00FB74EE"/>
    <w:rsid w:val="00FB7AE4"/>
    <w:rsid w:val="00FC0422"/>
    <w:rsid w:val="00FC10AB"/>
    <w:rsid w:val="00FC1C68"/>
    <w:rsid w:val="00FC1EC4"/>
    <w:rsid w:val="00FC1ECF"/>
    <w:rsid w:val="00FC2237"/>
    <w:rsid w:val="00FC2C44"/>
    <w:rsid w:val="00FC2CAA"/>
    <w:rsid w:val="00FC2D3D"/>
    <w:rsid w:val="00FC2F33"/>
    <w:rsid w:val="00FC3717"/>
    <w:rsid w:val="00FC39AA"/>
    <w:rsid w:val="00FC3ECC"/>
    <w:rsid w:val="00FC416F"/>
    <w:rsid w:val="00FC4480"/>
    <w:rsid w:val="00FC48E4"/>
    <w:rsid w:val="00FC51D0"/>
    <w:rsid w:val="00FC521F"/>
    <w:rsid w:val="00FC5490"/>
    <w:rsid w:val="00FC6503"/>
    <w:rsid w:val="00FC6CF4"/>
    <w:rsid w:val="00FC7830"/>
    <w:rsid w:val="00FC794E"/>
    <w:rsid w:val="00FD0472"/>
    <w:rsid w:val="00FD065E"/>
    <w:rsid w:val="00FD07C3"/>
    <w:rsid w:val="00FD0989"/>
    <w:rsid w:val="00FD0A83"/>
    <w:rsid w:val="00FD0CDD"/>
    <w:rsid w:val="00FD0D3E"/>
    <w:rsid w:val="00FD1691"/>
    <w:rsid w:val="00FD2648"/>
    <w:rsid w:val="00FD26E5"/>
    <w:rsid w:val="00FD2792"/>
    <w:rsid w:val="00FD336B"/>
    <w:rsid w:val="00FD4095"/>
    <w:rsid w:val="00FD43E0"/>
    <w:rsid w:val="00FD468D"/>
    <w:rsid w:val="00FD4BE0"/>
    <w:rsid w:val="00FD4EC5"/>
    <w:rsid w:val="00FD59A1"/>
    <w:rsid w:val="00FD64E1"/>
    <w:rsid w:val="00FD6A9B"/>
    <w:rsid w:val="00FD70C3"/>
    <w:rsid w:val="00FD7290"/>
    <w:rsid w:val="00FD7353"/>
    <w:rsid w:val="00FE0772"/>
    <w:rsid w:val="00FE07BB"/>
    <w:rsid w:val="00FE1187"/>
    <w:rsid w:val="00FE1BD8"/>
    <w:rsid w:val="00FE21CE"/>
    <w:rsid w:val="00FE2660"/>
    <w:rsid w:val="00FE2E29"/>
    <w:rsid w:val="00FE3921"/>
    <w:rsid w:val="00FE3954"/>
    <w:rsid w:val="00FE3A51"/>
    <w:rsid w:val="00FE3C08"/>
    <w:rsid w:val="00FE3E6A"/>
    <w:rsid w:val="00FE4165"/>
    <w:rsid w:val="00FE4299"/>
    <w:rsid w:val="00FE4F49"/>
    <w:rsid w:val="00FE5068"/>
    <w:rsid w:val="00FE57F9"/>
    <w:rsid w:val="00FE60C9"/>
    <w:rsid w:val="00FE6A9C"/>
    <w:rsid w:val="00FE7079"/>
    <w:rsid w:val="00FE723F"/>
    <w:rsid w:val="00FE7374"/>
    <w:rsid w:val="00FE795F"/>
    <w:rsid w:val="00FE7A65"/>
    <w:rsid w:val="00FF0245"/>
    <w:rsid w:val="00FF0899"/>
    <w:rsid w:val="00FF1A6D"/>
    <w:rsid w:val="00FF20B9"/>
    <w:rsid w:val="00FF2CAA"/>
    <w:rsid w:val="00FF36AF"/>
    <w:rsid w:val="00FF3898"/>
    <w:rsid w:val="00FF3A16"/>
    <w:rsid w:val="00FF3E53"/>
    <w:rsid w:val="00FF407A"/>
    <w:rsid w:val="00FF4D3A"/>
    <w:rsid w:val="00FF4E65"/>
    <w:rsid w:val="00FF5D58"/>
    <w:rsid w:val="00FF6757"/>
    <w:rsid w:val="00FF6B01"/>
    <w:rsid w:val="00FF6D58"/>
    <w:rsid w:val="00FF703B"/>
    <w:rsid w:val="00FF7085"/>
    <w:rsid w:val="00FF7444"/>
    <w:rsid w:val="00FF7630"/>
    <w:rsid w:val="00FF7646"/>
    <w:rsid w:val="00FF7A90"/>
    <w:rsid w:val="00FF7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65537"/>
    <o:shapelayout v:ext="edit">
      <o:idmap v:ext="edit" data="1"/>
    </o:shapelayout>
  </w:shapeDefaults>
  <w:decimalSymbol w:val="."/>
  <w:listSeparator w:val=","/>
  <w15:docId w15:val="{A8425C15-2770-4D3C-A160-F2EEC6CB5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998"/>
    <w:pPr>
      <w:jc w:val="both"/>
    </w:pPr>
    <w:rPr>
      <w:rFonts w:ascii="ZapfCalligr BT" w:hAnsi="ZapfCalligr BT" w:cs="ZapfCalligr BT"/>
    </w:rPr>
  </w:style>
  <w:style w:type="paragraph" w:styleId="Heading1">
    <w:name w:val="heading 1"/>
    <w:basedOn w:val="Normal"/>
    <w:next w:val="Normal"/>
    <w:link w:val="Heading1Char"/>
    <w:uiPriority w:val="99"/>
    <w:qFormat/>
    <w:rsid w:val="00866ADF"/>
    <w:pPr>
      <w:keepNext/>
      <w:shd w:val="clear" w:color="auto" w:fill="3366FF"/>
      <w:outlineLvl w:val="0"/>
    </w:pPr>
    <w:rPr>
      <w:rFonts w:ascii="Arial" w:hAnsi="Arial" w:cs="Arial"/>
      <w:b/>
      <w:bCs/>
      <w:color w:val="FFCC00"/>
      <w:sz w:val="28"/>
      <w:szCs w:val="28"/>
      <w:lang w:eastAsia="en-US"/>
    </w:rPr>
  </w:style>
  <w:style w:type="paragraph" w:styleId="Heading2">
    <w:name w:val="heading 2"/>
    <w:basedOn w:val="Normal"/>
    <w:next w:val="Normal"/>
    <w:link w:val="Heading2Char"/>
    <w:uiPriority w:val="99"/>
    <w:qFormat/>
    <w:rsid w:val="00866ADF"/>
    <w:pPr>
      <w:keepNext/>
      <w:shd w:val="clear" w:color="auto" w:fill="99CCFF"/>
      <w:outlineLvl w:val="1"/>
    </w:pPr>
    <w:rPr>
      <w:rFonts w:ascii="Arial" w:hAnsi="Arial" w:cs="Arial"/>
      <w:b/>
      <w:bCs/>
      <w:sz w:val="24"/>
      <w:szCs w:val="24"/>
      <w:lang w:eastAsia="en-US"/>
    </w:rPr>
  </w:style>
  <w:style w:type="paragraph" w:styleId="Heading3">
    <w:name w:val="heading 3"/>
    <w:basedOn w:val="Normal"/>
    <w:next w:val="Normal"/>
    <w:link w:val="Heading3Char"/>
    <w:uiPriority w:val="99"/>
    <w:qFormat/>
    <w:rsid w:val="00866ADF"/>
    <w:pPr>
      <w:keepNext/>
      <w:tabs>
        <w:tab w:val="left" w:pos="1560"/>
        <w:tab w:val="left" w:pos="2410"/>
        <w:tab w:val="decimal" w:leader="dot" w:pos="8732"/>
      </w:tabs>
      <w:jc w:val="center"/>
      <w:outlineLvl w:val="2"/>
    </w:pPr>
    <w:rPr>
      <w:b/>
      <w:bCs/>
      <w:sz w:val="28"/>
      <w:szCs w:val="28"/>
      <w:u w:val="single"/>
      <w:lang w:eastAsia="en-US"/>
    </w:rPr>
  </w:style>
  <w:style w:type="paragraph" w:styleId="Heading4">
    <w:name w:val="heading 4"/>
    <w:basedOn w:val="Normal"/>
    <w:next w:val="Normal"/>
    <w:link w:val="Heading4Char"/>
    <w:uiPriority w:val="99"/>
    <w:qFormat/>
    <w:rsid w:val="00866ADF"/>
    <w:pPr>
      <w:keepNext/>
      <w:tabs>
        <w:tab w:val="left" w:pos="1560"/>
        <w:tab w:val="left" w:pos="2410"/>
        <w:tab w:val="decimal" w:leader="dot" w:pos="8732"/>
      </w:tabs>
      <w:jc w:val="center"/>
      <w:outlineLvl w:val="3"/>
    </w:pPr>
    <w:rPr>
      <w:b/>
      <w:bCs/>
      <w:sz w:val="26"/>
      <w:szCs w:val="26"/>
      <w:u w:val="single"/>
      <w:lang w:eastAsia="en-US"/>
    </w:rPr>
  </w:style>
  <w:style w:type="paragraph" w:styleId="Heading5">
    <w:name w:val="heading 5"/>
    <w:basedOn w:val="Normal"/>
    <w:next w:val="Normal"/>
    <w:link w:val="Heading5Char"/>
    <w:uiPriority w:val="99"/>
    <w:qFormat/>
    <w:rsid w:val="00866ADF"/>
    <w:pPr>
      <w:keepNext/>
      <w:tabs>
        <w:tab w:val="left" w:pos="1560"/>
        <w:tab w:val="left" w:pos="2410"/>
        <w:tab w:val="decimal" w:leader="dot" w:pos="8732"/>
      </w:tabs>
      <w:outlineLvl w:val="4"/>
    </w:pPr>
    <w:rPr>
      <w:b/>
      <w:bCs/>
      <w:sz w:val="28"/>
      <w:szCs w:val="28"/>
      <w:u w:val="single"/>
      <w:lang w:eastAsia="en-US"/>
    </w:rPr>
  </w:style>
  <w:style w:type="paragraph" w:styleId="Heading6">
    <w:name w:val="heading 6"/>
    <w:basedOn w:val="Normal"/>
    <w:next w:val="Normal"/>
    <w:link w:val="Heading6Char"/>
    <w:uiPriority w:val="99"/>
    <w:qFormat/>
    <w:rsid w:val="00866ADF"/>
    <w:pPr>
      <w:spacing w:before="240" w:after="60"/>
      <w:outlineLvl w:val="5"/>
    </w:pPr>
    <w:rPr>
      <w:rFonts w:ascii="Arial" w:hAnsi="Arial" w:cs="Arial"/>
      <w:b/>
      <w:bCs/>
    </w:rPr>
  </w:style>
  <w:style w:type="paragraph" w:styleId="Heading7">
    <w:name w:val="heading 7"/>
    <w:basedOn w:val="Normal"/>
    <w:next w:val="Normal"/>
    <w:link w:val="Heading7Char"/>
    <w:uiPriority w:val="99"/>
    <w:qFormat/>
    <w:rsid w:val="00866ADF"/>
    <w:pPr>
      <w:spacing w:before="240" w:after="60"/>
      <w:outlineLvl w:val="6"/>
    </w:pPr>
    <w:rPr>
      <w:rFonts w:ascii="Times New Roman" w:hAnsi="Times New Roman" w:cs="Times New Roman"/>
      <w:sz w:val="24"/>
      <w:szCs w:val="24"/>
    </w:rPr>
  </w:style>
  <w:style w:type="paragraph" w:styleId="Heading8">
    <w:name w:val="heading 8"/>
    <w:basedOn w:val="Normal"/>
    <w:next w:val="Normal"/>
    <w:link w:val="Heading8Char"/>
    <w:uiPriority w:val="99"/>
    <w:qFormat/>
    <w:rsid w:val="00866ADF"/>
    <w:pPr>
      <w:keepNext/>
      <w:outlineLvl w:val="7"/>
    </w:pPr>
    <w:rPr>
      <w:sz w:val="26"/>
      <w:szCs w:val="26"/>
      <w:u w:val="single"/>
      <w:lang w:eastAsia="en-US"/>
    </w:rPr>
  </w:style>
  <w:style w:type="paragraph" w:styleId="Heading9">
    <w:name w:val="heading 9"/>
    <w:basedOn w:val="Normal"/>
    <w:next w:val="Normal"/>
    <w:link w:val="Heading9Char"/>
    <w:uiPriority w:val="99"/>
    <w:qFormat/>
    <w:rsid w:val="00866ADF"/>
    <w:pPr>
      <w:keepNext/>
      <w:outlineLvl w:val="8"/>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12A1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E12A15"/>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E12A15"/>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E12A15"/>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E12A15"/>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E12A15"/>
    <w:rPr>
      <w:rFonts w:ascii="Calibri" w:hAnsi="Calibri" w:cs="Calibri"/>
      <w:b/>
      <w:bCs/>
    </w:rPr>
  </w:style>
  <w:style w:type="character" w:customStyle="1" w:styleId="Heading7Char">
    <w:name w:val="Heading 7 Char"/>
    <w:basedOn w:val="DefaultParagraphFont"/>
    <w:link w:val="Heading7"/>
    <w:uiPriority w:val="99"/>
    <w:semiHidden/>
    <w:locked/>
    <w:rsid w:val="00E12A15"/>
    <w:rPr>
      <w:rFonts w:ascii="Calibri" w:hAnsi="Calibri" w:cs="Calibri"/>
      <w:sz w:val="24"/>
      <w:szCs w:val="24"/>
    </w:rPr>
  </w:style>
  <w:style w:type="character" w:customStyle="1" w:styleId="Heading8Char">
    <w:name w:val="Heading 8 Char"/>
    <w:basedOn w:val="DefaultParagraphFont"/>
    <w:link w:val="Heading8"/>
    <w:uiPriority w:val="99"/>
    <w:semiHidden/>
    <w:locked/>
    <w:rsid w:val="00E12A15"/>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E12A15"/>
    <w:rPr>
      <w:rFonts w:ascii="Cambria" w:hAnsi="Cambria" w:cs="Cambria"/>
    </w:rPr>
  </w:style>
  <w:style w:type="table" w:styleId="TableGrid">
    <w:name w:val="Table Grid"/>
    <w:basedOn w:val="TableNormal"/>
    <w:uiPriority w:val="59"/>
    <w:rsid w:val="00ED0998"/>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ED0998"/>
    <w:rPr>
      <w:rFonts w:cs="Times New Roman"/>
      <w:color w:val="0000FF"/>
      <w:u w:val="single"/>
    </w:rPr>
  </w:style>
  <w:style w:type="paragraph" w:styleId="Footer">
    <w:name w:val="footer"/>
    <w:basedOn w:val="Normal"/>
    <w:link w:val="FooterChar"/>
    <w:uiPriority w:val="99"/>
    <w:rsid w:val="00ED0998"/>
    <w:pPr>
      <w:tabs>
        <w:tab w:val="center" w:pos="4153"/>
        <w:tab w:val="right" w:pos="8306"/>
      </w:tabs>
    </w:pPr>
  </w:style>
  <w:style w:type="character" w:customStyle="1" w:styleId="FooterChar">
    <w:name w:val="Footer Char"/>
    <w:basedOn w:val="DefaultParagraphFont"/>
    <w:link w:val="Footer"/>
    <w:uiPriority w:val="99"/>
    <w:semiHidden/>
    <w:locked/>
    <w:rsid w:val="00E12A15"/>
    <w:rPr>
      <w:rFonts w:ascii="ZapfCalligr BT" w:hAnsi="ZapfCalligr BT" w:cs="ZapfCalligr BT"/>
      <w:sz w:val="20"/>
      <w:szCs w:val="20"/>
    </w:rPr>
  </w:style>
  <w:style w:type="character" w:styleId="PageNumber">
    <w:name w:val="page number"/>
    <w:basedOn w:val="DefaultParagraphFont"/>
    <w:uiPriority w:val="99"/>
    <w:rsid w:val="00ED0998"/>
    <w:rPr>
      <w:rFonts w:cs="Times New Roman"/>
    </w:rPr>
  </w:style>
  <w:style w:type="paragraph" w:styleId="Header">
    <w:name w:val="header"/>
    <w:basedOn w:val="Normal"/>
    <w:link w:val="HeaderChar"/>
    <w:uiPriority w:val="99"/>
    <w:rsid w:val="00ED0998"/>
    <w:pPr>
      <w:tabs>
        <w:tab w:val="center" w:pos="4153"/>
        <w:tab w:val="right" w:pos="8306"/>
      </w:tabs>
    </w:pPr>
  </w:style>
  <w:style w:type="character" w:customStyle="1" w:styleId="HeaderChar">
    <w:name w:val="Header Char"/>
    <w:basedOn w:val="DefaultParagraphFont"/>
    <w:link w:val="Header"/>
    <w:uiPriority w:val="99"/>
    <w:locked/>
    <w:rsid w:val="00E12A15"/>
    <w:rPr>
      <w:rFonts w:ascii="ZapfCalligr BT" w:hAnsi="ZapfCalligr BT" w:cs="ZapfCalligr BT"/>
      <w:sz w:val="20"/>
      <w:szCs w:val="20"/>
    </w:rPr>
  </w:style>
  <w:style w:type="paragraph" w:styleId="BalloonText">
    <w:name w:val="Balloon Text"/>
    <w:basedOn w:val="Normal"/>
    <w:link w:val="BalloonTextChar"/>
    <w:uiPriority w:val="99"/>
    <w:semiHidden/>
    <w:rsid w:val="00672D2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2A15"/>
    <w:rPr>
      <w:rFonts w:cs="Times New Roman"/>
      <w:sz w:val="2"/>
      <w:szCs w:val="2"/>
    </w:rPr>
  </w:style>
  <w:style w:type="paragraph" w:styleId="BodyText">
    <w:name w:val="Body Text"/>
    <w:basedOn w:val="Normal"/>
    <w:link w:val="BodyTextChar"/>
    <w:uiPriority w:val="99"/>
    <w:rsid w:val="00866ADF"/>
    <w:rPr>
      <w:sz w:val="28"/>
      <w:szCs w:val="28"/>
      <w:lang w:eastAsia="en-US"/>
    </w:rPr>
  </w:style>
  <w:style w:type="character" w:customStyle="1" w:styleId="BodyTextChar">
    <w:name w:val="Body Text Char"/>
    <w:basedOn w:val="DefaultParagraphFont"/>
    <w:link w:val="BodyText"/>
    <w:uiPriority w:val="99"/>
    <w:semiHidden/>
    <w:locked/>
    <w:rsid w:val="00E12A15"/>
    <w:rPr>
      <w:rFonts w:ascii="ZapfCalligr BT" w:hAnsi="ZapfCalligr BT" w:cs="ZapfCalligr BT"/>
      <w:sz w:val="20"/>
      <w:szCs w:val="20"/>
    </w:rPr>
  </w:style>
  <w:style w:type="paragraph" w:styleId="BodyTextIndent2">
    <w:name w:val="Body Text Indent 2"/>
    <w:basedOn w:val="Normal"/>
    <w:link w:val="BodyTextIndent2Char"/>
    <w:uiPriority w:val="99"/>
    <w:rsid w:val="00866ADF"/>
    <w:pPr>
      <w:spacing w:after="120" w:line="480" w:lineRule="auto"/>
      <w:ind w:left="283"/>
    </w:pPr>
    <w:rPr>
      <w:rFonts w:ascii="Arial" w:hAnsi="Arial" w:cs="Arial"/>
      <w:sz w:val="24"/>
      <w:szCs w:val="24"/>
    </w:rPr>
  </w:style>
  <w:style w:type="character" w:customStyle="1" w:styleId="BodyTextIndent2Char">
    <w:name w:val="Body Text Indent 2 Char"/>
    <w:basedOn w:val="DefaultParagraphFont"/>
    <w:link w:val="BodyTextIndent2"/>
    <w:uiPriority w:val="99"/>
    <w:semiHidden/>
    <w:locked/>
    <w:rsid w:val="00E12A15"/>
    <w:rPr>
      <w:rFonts w:ascii="ZapfCalligr BT" w:hAnsi="ZapfCalligr BT" w:cs="ZapfCalligr BT"/>
      <w:sz w:val="20"/>
      <w:szCs w:val="20"/>
    </w:rPr>
  </w:style>
  <w:style w:type="paragraph" w:styleId="BodyText2">
    <w:name w:val="Body Text 2"/>
    <w:basedOn w:val="Normal"/>
    <w:link w:val="BodyText2Char"/>
    <w:uiPriority w:val="99"/>
    <w:rsid w:val="00866ADF"/>
    <w:pPr>
      <w:spacing w:after="120" w:line="480" w:lineRule="auto"/>
    </w:pPr>
    <w:rPr>
      <w:rFonts w:ascii="Arial" w:hAnsi="Arial" w:cs="Arial"/>
      <w:sz w:val="24"/>
      <w:szCs w:val="24"/>
    </w:rPr>
  </w:style>
  <w:style w:type="character" w:customStyle="1" w:styleId="BodyText2Char">
    <w:name w:val="Body Text 2 Char"/>
    <w:basedOn w:val="DefaultParagraphFont"/>
    <w:link w:val="BodyText2"/>
    <w:uiPriority w:val="99"/>
    <w:semiHidden/>
    <w:locked/>
    <w:rsid w:val="00E12A15"/>
    <w:rPr>
      <w:rFonts w:ascii="ZapfCalligr BT" w:hAnsi="ZapfCalligr BT" w:cs="ZapfCalligr BT"/>
      <w:sz w:val="20"/>
      <w:szCs w:val="20"/>
    </w:rPr>
  </w:style>
  <w:style w:type="paragraph" w:styleId="BodyText3">
    <w:name w:val="Body Text 3"/>
    <w:basedOn w:val="Normal"/>
    <w:link w:val="BodyText3Char"/>
    <w:uiPriority w:val="99"/>
    <w:rsid w:val="00866ADF"/>
    <w:pPr>
      <w:spacing w:after="120"/>
    </w:pPr>
    <w:rPr>
      <w:rFonts w:ascii="Arial" w:hAnsi="Arial" w:cs="Arial"/>
      <w:sz w:val="16"/>
      <w:szCs w:val="16"/>
    </w:rPr>
  </w:style>
  <w:style w:type="character" w:customStyle="1" w:styleId="BodyText3Char">
    <w:name w:val="Body Text 3 Char"/>
    <w:basedOn w:val="DefaultParagraphFont"/>
    <w:link w:val="BodyText3"/>
    <w:uiPriority w:val="99"/>
    <w:semiHidden/>
    <w:locked/>
    <w:rsid w:val="00E12A15"/>
    <w:rPr>
      <w:rFonts w:ascii="ZapfCalligr BT" w:hAnsi="ZapfCalligr BT" w:cs="ZapfCalligr BT"/>
      <w:sz w:val="16"/>
      <w:szCs w:val="16"/>
    </w:rPr>
  </w:style>
  <w:style w:type="character" w:styleId="FollowedHyperlink">
    <w:name w:val="FollowedHyperlink"/>
    <w:basedOn w:val="DefaultParagraphFont"/>
    <w:uiPriority w:val="99"/>
    <w:rsid w:val="00866ADF"/>
    <w:rPr>
      <w:rFonts w:cs="Times New Roman"/>
      <w:color w:val="800080"/>
      <w:u w:val="single"/>
    </w:rPr>
  </w:style>
  <w:style w:type="paragraph" w:styleId="BodyTextIndent">
    <w:name w:val="Body Text Indent"/>
    <w:basedOn w:val="Normal"/>
    <w:link w:val="BodyTextIndentChar"/>
    <w:uiPriority w:val="99"/>
    <w:rsid w:val="00866ADF"/>
    <w:pPr>
      <w:tabs>
        <w:tab w:val="left" w:pos="567"/>
        <w:tab w:val="decimal" w:pos="4537"/>
        <w:tab w:val="left" w:pos="5245"/>
        <w:tab w:val="left" w:pos="6804"/>
      </w:tabs>
      <w:ind w:left="540" w:hanging="540"/>
    </w:pPr>
    <w:rPr>
      <w:sz w:val="24"/>
      <w:szCs w:val="24"/>
      <w:lang w:eastAsia="en-US"/>
    </w:rPr>
  </w:style>
  <w:style w:type="character" w:customStyle="1" w:styleId="BodyTextIndentChar">
    <w:name w:val="Body Text Indent Char"/>
    <w:basedOn w:val="DefaultParagraphFont"/>
    <w:link w:val="BodyTextIndent"/>
    <w:uiPriority w:val="99"/>
    <w:semiHidden/>
    <w:locked/>
    <w:rsid w:val="00E12A15"/>
    <w:rPr>
      <w:rFonts w:ascii="ZapfCalligr BT" w:hAnsi="ZapfCalligr BT" w:cs="ZapfCalligr BT"/>
      <w:sz w:val="20"/>
      <w:szCs w:val="20"/>
    </w:rPr>
  </w:style>
  <w:style w:type="paragraph" w:styleId="BodyTextIndent3">
    <w:name w:val="Body Text Indent 3"/>
    <w:basedOn w:val="Normal"/>
    <w:link w:val="BodyTextIndent3Char"/>
    <w:uiPriority w:val="99"/>
    <w:rsid w:val="00866ADF"/>
    <w:pPr>
      <w:ind w:left="180" w:hanging="180"/>
    </w:pPr>
    <w:rPr>
      <w:sz w:val="26"/>
      <w:szCs w:val="26"/>
      <w:lang w:eastAsia="en-US"/>
    </w:rPr>
  </w:style>
  <w:style w:type="character" w:customStyle="1" w:styleId="BodyTextIndent3Char">
    <w:name w:val="Body Text Indent 3 Char"/>
    <w:basedOn w:val="DefaultParagraphFont"/>
    <w:link w:val="BodyTextIndent3"/>
    <w:uiPriority w:val="99"/>
    <w:semiHidden/>
    <w:locked/>
    <w:rsid w:val="00E12A15"/>
    <w:rPr>
      <w:rFonts w:ascii="ZapfCalligr BT" w:hAnsi="ZapfCalligr BT" w:cs="ZapfCalligr BT"/>
      <w:sz w:val="16"/>
      <w:szCs w:val="16"/>
    </w:rPr>
  </w:style>
  <w:style w:type="paragraph" w:styleId="NoSpacing">
    <w:name w:val="No Spacing"/>
    <w:uiPriority w:val="99"/>
    <w:qFormat/>
    <w:rsid w:val="008A2104"/>
    <w:rPr>
      <w:rFonts w:ascii="Calibri" w:hAnsi="Calibri" w:cs="Calibri"/>
      <w:lang w:eastAsia="en-US"/>
    </w:rPr>
  </w:style>
  <w:style w:type="paragraph" w:styleId="PlainText">
    <w:name w:val="Plain Text"/>
    <w:basedOn w:val="Normal"/>
    <w:link w:val="PlainTextChar"/>
    <w:uiPriority w:val="99"/>
    <w:rsid w:val="00647960"/>
    <w:pPr>
      <w:jc w:val="left"/>
    </w:pPr>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E12A15"/>
    <w:rPr>
      <w:rFonts w:ascii="Courier New" w:hAnsi="Courier New" w:cs="Courier New"/>
      <w:sz w:val="20"/>
      <w:szCs w:val="20"/>
    </w:rPr>
  </w:style>
  <w:style w:type="character" w:customStyle="1" w:styleId="n66611listyle">
    <w:name w:val="n66611 listyle"/>
    <w:basedOn w:val="DefaultParagraphFont"/>
    <w:uiPriority w:val="99"/>
    <w:rsid w:val="00523F9C"/>
    <w:rPr>
      <w:rFonts w:cs="Times New Roman"/>
    </w:rPr>
  </w:style>
  <w:style w:type="paragraph" w:styleId="NormalWeb">
    <w:name w:val="Normal (Web)"/>
    <w:basedOn w:val="Normal"/>
    <w:uiPriority w:val="99"/>
    <w:rsid w:val="008C0BC2"/>
    <w:pPr>
      <w:spacing w:before="100" w:beforeAutospacing="1" w:after="100" w:afterAutospacing="1"/>
      <w:jc w:val="left"/>
    </w:pPr>
    <w:rPr>
      <w:rFonts w:ascii="Times New Roman" w:hAnsi="Times New Roman" w:cs="Times New Roman"/>
      <w:sz w:val="24"/>
      <w:szCs w:val="24"/>
    </w:rPr>
  </w:style>
  <w:style w:type="paragraph" w:customStyle="1" w:styleId="Default">
    <w:name w:val="Default"/>
    <w:rsid w:val="00E92C6C"/>
    <w:pPr>
      <w:autoSpaceDE w:val="0"/>
      <w:autoSpaceDN w:val="0"/>
      <w:adjustRightInd w:val="0"/>
    </w:pPr>
    <w:rPr>
      <w:rFonts w:ascii="Avenir 35" w:hAnsi="Avenir 35" w:cs="Avenir 35"/>
      <w:color w:val="000000"/>
      <w:sz w:val="24"/>
      <w:szCs w:val="24"/>
    </w:rPr>
  </w:style>
  <w:style w:type="character" w:customStyle="1" w:styleId="EmailStyle52">
    <w:name w:val="EmailStyle52"/>
    <w:basedOn w:val="DefaultParagraphFont"/>
    <w:uiPriority w:val="99"/>
    <w:semiHidden/>
    <w:rsid w:val="000D21AF"/>
    <w:rPr>
      <w:rFonts w:ascii="Arial" w:hAnsi="Arial" w:cs="Arial"/>
      <w:color w:val="auto"/>
      <w:sz w:val="20"/>
      <w:szCs w:val="20"/>
    </w:rPr>
  </w:style>
  <w:style w:type="paragraph" w:styleId="Revision">
    <w:name w:val="Revision"/>
    <w:hidden/>
    <w:uiPriority w:val="99"/>
    <w:semiHidden/>
    <w:rsid w:val="003B0D78"/>
    <w:rPr>
      <w:rFonts w:ascii="ZapfCalligr BT" w:hAnsi="ZapfCalligr BT" w:cs="ZapfCalligr BT"/>
    </w:rPr>
  </w:style>
  <w:style w:type="paragraph" w:customStyle="1" w:styleId="smalltext">
    <w:name w:val="smalltext"/>
    <w:basedOn w:val="Normal"/>
    <w:uiPriority w:val="99"/>
    <w:rsid w:val="008D399A"/>
    <w:pPr>
      <w:spacing w:before="100" w:beforeAutospacing="1" w:after="100" w:afterAutospacing="1"/>
      <w:jc w:val="left"/>
    </w:pPr>
    <w:rPr>
      <w:rFonts w:ascii="Times New Roman" w:hAnsi="Times New Roman" w:cs="Times New Roman"/>
      <w:sz w:val="24"/>
      <w:szCs w:val="24"/>
    </w:rPr>
  </w:style>
  <w:style w:type="character" w:styleId="Emphasis">
    <w:name w:val="Emphasis"/>
    <w:basedOn w:val="DefaultParagraphFont"/>
    <w:uiPriority w:val="99"/>
    <w:qFormat/>
    <w:rsid w:val="008D399A"/>
    <w:rPr>
      <w:rFonts w:cs="Times New Roman"/>
      <w:i/>
      <w:iCs/>
    </w:rPr>
  </w:style>
  <w:style w:type="paragraph" w:styleId="ListParagraph">
    <w:name w:val="List Paragraph"/>
    <w:basedOn w:val="Normal"/>
    <w:uiPriority w:val="34"/>
    <w:qFormat/>
    <w:rsid w:val="00D027BE"/>
    <w:pPr>
      <w:ind w:left="720"/>
    </w:pPr>
  </w:style>
  <w:style w:type="character" w:styleId="SubtleEmphasis">
    <w:name w:val="Subtle Emphasis"/>
    <w:basedOn w:val="DefaultParagraphFont"/>
    <w:uiPriority w:val="19"/>
    <w:qFormat/>
    <w:rsid w:val="00BC7D0A"/>
    <w:rPr>
      <w:i/>
      <w:iCs/>
      <w:color w:val="808080" w:themeColor="text1" w:themeTint="7F"/>
    </w:rPr>
  </w:style>
  <w:style w:type="character" w:customStyle="1" w:styleId="gerrans">
    <w:name w:val="gerrans"/>
    <w:basedOn w:val="DefaultParagraphFont"/>
    <w:semiHidden/>
    <w:rsid w:val="000D30A7"/>
    <w:rPr>
      <w:rFonts w:ascii="Arial" w:hAnsi="Arial" w:cs="Arial"/>
      <w:color w:val="auto"/>
      <w:sz w:val="20"/>
      <w:szCs w:val="20"/>
    </w:rPr>
  </w:style>
  <w:style w:type="character" w:styleId="CommentReference">
    <w:name w:val="annotation reference"/>
    <w:basedOn w:val="DefaultParagraphFont"/>
    <w:semiHidden/>
    <w:locked/>
    <w:rsid w:val="000D30A7"/>
    <w:rPr>
      <w:sz w:val="16"/>
      <w:szCs w:val="16"/>
    </w:rPr>
  </w:style>
  <w:style w:type="paragraph" w:styleId="CommentText">
    <w:name w:val="annotation text"/>
    <w:basedOn w:val="Normal"/>
    <w:link w:val="CommentTextChar"/>
    <w:semiHidden/>
    <w:locked/>
    <w:rsid w:val="000D30A7"/>
    <w:rPr>
      <w:rFonts w:eastAsia="Times New Roman" w:cs="Times New Roman"/>
      <w:sz w:val="20"/>
      <w:szCs w:val="20"/>
    </w:rPr>
  </w:style>
  <w:style w:type="character" w:customStyle="1" w:styleId="CommentTextChar">
    <w:name w:val="Comment Text Char"/>
    <w:basedOn w:val="DefaultParagraphFont"/>
    <w:link w:val="CommentText"/>
    <w:semiHidden/>
    <w:rsid w:val="000D30A7"/>
    <w:rPr>
      <w:rFonts w:ascii="ZapfCalligr BT" w:eastAsia="Times New Roman" w:hAnsi="ZapfCalligr B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16346">
      <w:bodyDiv w:val="1"/>
      <w:marLeft w:val="0"/>
      <w:marRight w:val="0"/>
      <w:marTop w:val="0"/>
      <w:marBottom w:val="0"/>
      <w:divBdr>
        <w:top w:val="none" w:sz="0" w:space="0" w:color="auto"/>
        <w:left w:val="none" w:sz="0" w:space="0" w:color="auto"/>
        <w:bottom w:val="none" w:sz="0" w:space="0" w:color="auto"/>
        <w:right w:val="none" w:sz="0" w:space="0" w:color="auto"/>
      </w:divBdr>
      <w:divsChild>
        <w:div w:id="29301691">
          <w:marLeft w:val="562"/>
          <w:marRight w:val="0"/>
          <w:marTop w:val="67"/>
          <w:marBottom w:val="0"/>
          <w:divBdr>
            <w:top w:val="none" w:sz="0" w:space="0" w:color="auto"/>
            <w:left w:val="none" w:sz="0" w:space="0" w:color="auto"/>
            <w:bottom w:val="none" w:sz="0" w:space="0" w:color="auto"/>
            <w:right w:val="none" w:sz="0" w:space="0" w:color="auto"/>
          </w:divBdr>
        </w:div>
        <w:div w:id="159661310">
          <w:marLeft w:val="562"/>
          <w:marRight w:val="0"/>
          <w:marTop w:val="67"/>
          <w:marBottom w:val="0"/>
          <w:divBdr>
            <w:top w:val="none" w:sz="0" w:space="0" w:color="auto"/>
            <w:left w:val="none" w:sz="0" w:space="0" w:color="auto"/>
            <w:bottom w:val="none" w:sz="0" w:space="0" w:color="auto"/>
            <w:right w:val="none" w:sz="0" w:space="0" w:color="auto"/>
          </w:divBdr>
        </w:div>
        <w:div w:id="397900498">
          <w:marLeft w:val="274"/>
          <w:marRight w:val="0"/>
          <w:marTop w:val="120"/>
          <w:marBottom w:val="0"/>
          <w:divBdr>
            <w:top w:val="none" w:sz="0" w:space="0" w:color="auto"/>
            <w:left w:val="none" w:sz="0" w:space="0" w:color="auto"/>
            <w:bottom w:val="none" w:sz="0" w:space="0" w:color="auto"/>
            <w:right w:val="none" w:sz="0" w:space="0" w:color="auto"/>
          </w:divBdr>
        </w:div>
        <w:div w:id="1118914631">
          <w:marLeft w:val="562"/>
          <w:marRight w:val="0"/>
          <w:marTop w:val="67"/>
          <w:marBottom w:val="0"/>
          <w:divBdr>
            <w:top w:val="none" w:sz="0" w:space="0" w:color="auto"/>
            <w:left w:val="none" w:sz="0" w:space="0" w:color="auto"/>
            <w:bottom w:val="none" w:sz="0" w:space="0" w:color="auto"/>
            <w:right w:val="none" w:sz="0" w:space="0" w:color="auto"/>
          </w:divBdr>
        </w:div>
        <w:div w:id="1152479381">
          <w:marLeft w:val="274"/>
          <w:marRight w:val="0"/>
          <w:marTop w:val="120"/>
          <w:marBottom w:val="0"/>
          <w:divBdr>
            <w:top w:val="none" w:sz="0" w:space="0" w:color="auto"/>
            <w:left w:val="none" w:sz="0" w:space="0" w:color="auto"/>
            <w:bottom w:val="none" w:sz="0" w:space="0" w:color="auto"/>
            <w:right w:val="none" w:sz="0" w:space="0" w:color="auto"/>
          </w:divBdr>
        </w:div>
        <w:div w:id="1446121874">
          <w:marLeft w:val="274"/>
          <w:marRight w:val="0"/>
          <w:marTop w:val="120"/>
          <w:marBottom w:val="0"/>
          <w:divBdr>
            <w:top w:val="none" w:sz="0" w:space="0" w:color="auto"/>
            <w:left w:val="none" w:sz="0" w:space="0" w:color="auto"/>
            <w:bottom w:val="none" w:sz="0" w:space="0" w:color="auto"/>
            <w:right w:val="none" w:sz="0" w:space="0" w:color="auto"/>
          </w:divBdr>
        </w:div>
      </w:divsChild>
    </w:div>
    <w:div w:id="109907516">
      <w:bodyDiv w:val="1"/>
      <w:marLeft w:val="0"/>
      <w:marRight w:val="0"/>
      <w:marTop w:val="0"/>
      <w:marBottom w:val="0"/>
      <w:divBdr>
        <w:top w:val="none" w:sz="0" w:space="0" w:color="auto"/>
        <w:left w:val="none" w:sz="0" w:space="0" w:color="auto"/>
        <w:bottom w:val="none" w:sz="0" w:space="0" w:color="auto"/>
        <w:right w:val="none" w:sz="0" w:space="0" w:color="auto"/>
      </w:divBdr>
    </w:div>
    <w:div w:id="141505133">
      <w:bodyDiv w:val="1"/>
      <w:marLeft w:val="0"/>
      <w:marRight w:val="0"/>
      <w:marTop w:val="0"/>
      <w:marBottom w:val="0"/>
      <w:divBdr>
        <w:top w:val="none" w:sz="0" w:space="0" w:color="auto"/>
        <w:left w:val="none" w:sz="0" w:space="0" w:color="auto"/>
        <w:bottom w:val="none" w:sz="0" w:space="0" w:color="auto"/>
        <w:right w:val="none" w:sz="0" w:space="0" w:color="auto"/>
      </w:divBdr>
    </w:div>
    <w:div w:id="323168312">
      <w:bodyDiv w:val="1"/>
      <w:marLeft w:val="0"/>
      <w:marRight w:val="0"/>
      <w:marTop w:val="0"/>
      <w:marBottom w:val="0"/>
      <w:divBdr>
        <w:top w:val="none" w:sz="0" w:space="0" w:color="auto"/>
        <w:left w:val="none" w:sz="0" w:space="0" w:color="auto"/>
        <w:bottom w:val="none" w:sz="0" w:space="0" w:color="auto"/>
        <w:right w:val="none" w:sz="0" w:space="0" w:color="auto"/>
      </w:divBdr>
      <w:divsChild>
        <w:div w:id="323438993">
          <w:marLeft w:val="274"/>
          <w:marRight w:val="0"/>
          <w:marTop w:val="120"/>
          <w:marBottom w:val="0"/>
          <w:divBdr>
            <w:top w:val="none" w:sz="0" w:space="0" w:color="auto"/>
            <w:left w:val="none" w:sz="0" w:space="0" w:color="auto"/>
            <w:bottom w:val="none" w:sz="0" w:space="0" w:color="auto"/>
            <w:right w:val="none" w:sz="0" w:space="0" w:color="auto"/>
          </w:divBdr>
        </w:div>
        <w:div w:id="605891898">
          <w:marLeft w:val="274"/>
          <w:marRight w:val="0"/>
          <w:marTop w:val="120"/>
          <w:marBottom w:val="0"/>
          <w:divBdr>
            <w:top w:val="none" w:sz="0" w:space="0" w:color="auto"/>
            <w:left w:val="none" w:sz="0" w:space="0" w:color="auto"/>
            <w:bottom w:val="none" w:sz="0" w:space="0" w:color="auto"/>
            <w:right w:val="none" w:sz="0" w:space="0" w:color="auto"/>
          </w:divBdr>
        </w:div>
        <w:div w:id="642319462">
          <w:marLeft w:val="562"/>
          <w:marRight w:val="0"/>
          <w:marTop w:val="67"/>
          <w:marBottom w:val="0"/>
          <w:divBdr>
            <w:top w:val="none" w:sz="0" w:space="0" w:color="auto"/>
            <w:left w:val="none" w:sz="0" w:space="0" w:color="auto"/>
            <w:bottom w:val="none" w:sz="0" w:space="0" w:color="auto"/>
            <w:right w:val="none" w:sz="0" w:space="0" w:color="auto"/>
          </w:divBdr>
        </w:div>
        <w:div w:id="1587494853">
          <w:marLeft w:val="274"/>
          <w:marRight w:val="0"/>
          <w:marTop w:val="120"/>
          <w:marBottom w:val="0"/>
          <w:divBdr>
            <w:top w:val="none" w:sz="0" w:space="0" w:color="auto"/>
            <w:left w:val="none" w:sz="0" w:space="0" w:color="auto"/>
            <w:bottom w:val="none" w:sz="0" w:space="0" w:color="auto"/>
            <w:right w:val="none" w:sz="0" w:space="0" w:color="auto"/>
          </w:divBdr>
        </w:div>
      </w:divsChild>
    </w:div>
    <w:div w:id="414211730">
      <w:bodyDiv w:val="1"/>
      <w:marLeft w:val="0"/>
      <w:marRight w:val="0"/>
      <w:marTop w:val="0"/>
      <w:marBottom w:val="0"/>
      <w:divBdr>
        <w:top w:val="none" w:sz="0" w:space="0" w:color="auto"/>
        <w:left w:val="none" w:sz="0" w:space="0" w:color="auto"/>
        <w:bottom w:val="none" w:sz="0" w:space="0" w:color="auto"/>
        <w:right w:val="none" w:sz="0" w:space="0" w:color="auto"/>
      </w:divBdr>
    </w:div>
    <w:div w:id="461965951">
      <w:bodyDiv w:val="1"/>
      <w:marLeft w:val="0"/>
      <w:marRight w:val="0"/>
      <w:marTop w:val="0"/>
      <w:marBottom w:val="0"/>
      <w:divBdr>
        <w:top w:val="none" w:sz="0" w:space="0" w:color="auto"/>
        <w:left w:val="none" w:sz="0" w:space="0" w:color="auto"/>
        <w:bottom w:val="none" w:sz="0" w:space="0" w:color="auto"/>
        <w:right w:val="none" w:sz="0" w:space="0" w:color="auto"/>
      </w:divBdr>
    </w:div>
    <w:div w:id="569198612">
      <w:bodyDiv w:val="1"/>
      <w:marLeft w:val="0"/>
      <w:marRight w:val="0"/>
      <w:marTop w:val="0"/>
      <w:marBottom w:val="0"/>
      <w:divBdr>
        <w:top w:val="none" w:sz="0" w:space="0" w:color="auto"/>
        <w:left w:val="none" w:sz="0" w:space="0" w:color="auto"/>
        <w:bottom w:val="none" w:sz="0" w:space="0" w:color="auto"/>
        <w:right w:val="none" w:sz="0" w:space="0" w:color="auto"/>
      </w:divBdr>
    </w:div>
    <w:div w:id="655035599">
      <w:bodyDiv w:val="1"/>
      <w:marLeft w:val="0"/>
      <w:marRight w:val="0"/>
      <w:marTop w:val="0"/>
      <w:marBottom w:val="0"/>
      <w:divBdr>
        <w:top w:val="none" w:sz="0" w:space="0" w:color="auto"/>
        <w:left w:val="none" w:sz="0" w:space="0" w:color="auto"/>
        <w:bottom w:val="none" w:sz="0" w:space="0" w:color="auto"/>
        <w:right w:val="none" w:sz="0" w:space="0" w:color="auto"/>
      </w:divBdr>
    </w:div>
    <w:div w:id="665861141">
      <w:bodyDiv w:val="1"/>
      <w:marLeft w:val="0"/>
      <w:marRight w:val="0"/>
      <w:marTop w:val="0"/>
      <w:marBottom w:val="0"/>
      <w:divBdr>
        <w:top w:val="none" w:sz="0" w:space="0" w:color="auto"/>
        <w:left w:val="none" w:sz="0" w:space="0" w:color="auto"/>
        <w:bottom w:val="none" w:sz="0" w:space="0" w:color="auto"/>
        <w:right w:val="none" w:sz="0" w:space="0" w:color="auto"/>
      </w:divBdr>
      <w:divsChild>
        <w:div w:id="278996889">
          <w:marLeft w:val="274"/>
          <w:marRight w:val="0"/>
          <w:marTop w:val="120"/>
          <w:marBottom w:val="0"/>
          <w:divBdr>
            <w:top w:val="none" w:sz="0" w:space="0" w:color="auto"/>
            <w:left w:val="none" w:sz="0" w:space="0" w:color="auto"/>
            <w:bottom w:val="none" w:sz="0" w:space="0" w:color="auto"/>
            <w:right w:val="none" w:sz="0" w:space="0" w:color="auto"/>
          </w:divBdr>
        </w:div>
        <w:div w:id="302740203">
          <w:marLeft w:val="274"/>
          <w:marRight w:val="0"/>
          <w:marTop w:val="120"/>
          <w:marBottom w:val="0"/>
          <w:divBdr>
            <w:top w:val="none" w:sz="0" w:space="0" w:color="auto"/>
            <w:left w:val="none" w:sz="0" w:space="0" w:color="auto"/>
            <w:bottom w:val="none" w:sz="0" w:space="0" w:color="auto"/>
            <w:right w:val="none" w:sz="0" w:space="0" w:color="auto"/>
          </w:divBdr>
        </w:div>
        <w:div w:id="356857712">
          <w:marLeft w:val="274"/>
          <w:marRight w:val="0"/>
          <w:marTop w:val="120"/>
          <w:marBottom w:val="0"/>
          <w:divBdr>
            <w:top w:val="none" w:sz="0" w:space="0" w:color="auto"/>
            <w:left w:val="none" w:sz="0" w:space="0" w:color="auto"/>
            <w:bottom w:val="none" w:sz="0" w:space="0" w:color="auto"/>
            <w:right w:val="none" w:sz="0" w:space="0" w:color="auto"/>
          </w:divBdr>
        </w:div>
        <w:div w:id="757946871">
          <w:marLeft w:val="562"/>
          <w:marRight w:val="0"/>
          <w:marTop w:val="67"/>
          <w:marBottom w:val="0"/>
          <w:divBdr>
            <w:top w:val="none" w:sz="0" w:space="0" w:color="auto"/>
            <w:left w:val="none" w:sz="0" w:space="0" w:color="auto"/>
            <w:bottom w:val="none" w:sz="0" w:space="0" w:color="auto"/>
            <w:right w:val="none" w:sz="0" w:space="0" w:color="auto"/>
          </w:divBdr>
        </w:div>
        <w:div w:id="800150805">
          <w:marLeft w:val="562"/>
          <w:marRight w:val="0"/>
          <w:marTop w:val="67"/>
          <w:marBottom w:val="0"/>
          <w:divBdr>
            <w:top w:val="none" w:sz="0" w:space="0" w:color="auto"/>
            <w:left w:val="none" w:sz="0" w:space="0" w:color="auto"/>
            <w:bottom w:val="none" w:sz="0" w:space="0" w:color="auto"/>
            <w:right w:val="none" w:sz="0" w:space="0" w:color="auto"/>
          </w:divBdr>
        </w:div>
        <w:div w:id="1099982681">
          <w:marLeft w:val="562"/>
          <w:marRight w:val="0"/>
          <w:marTop w:val="67"/>
          <w:marBottom w:val="0"/>
          <w:divBdr>
            <w:top w:val="none" w:sz="0" w:space="0" w:color="auto"/>
            <w:left w:val="none" w:sz="0" w:space="0" w:color="auto"/>
            <w:bottom w:val="none" w:sz="0" w:space="0" w:color="auto"/>
            <w:right w:val="none" w:sz="0" w:space="0" w:color="auto"/>
          </w:divBdr>
        </w:div>
        <w:div w:id="1689796635">
          <w:marLeft w:val="274"/>
          <w:marRight w:val="0"/>
          <w:marTop w:val="120"/>
          <w:marBottom w:val="0"/>
          <w:divBdr>
            <w:top w:val="none" w:sz="0" w:space="0" w:color="auto"/>
            <w:left w:val="none" w:sz="0" w:space="0" w:color="auto"/>
            <w:bottom w:val="none" w:sz="0" w:space="0" w:color="auto"/>
            <w:right w:val="none" w:sz="0" w:space="0" w:color="auto"/>
          </w:divBdr>
        </w:div>
        <w:div w:id="1814180657">
          <w:marLeft w:val="274"/>
          <w:marRight w:val="0"/>
          <w:marTop w:val="120"/>
          <w:marBottom w:val="0"/>
          <w:divBdr>
            <w:top w:val="none" w:sz="0" w:space="0" w:color="auto"/>
            <w:left w:val="none" w:sz="0" w:space="0" w:color="auto"/>
            <w:bottom w:val="none" w:sz="0" w:space="0" w:color="auto"/>
            <w:right w:val="none" w:sz="0" w:space="0" w:color="auto"/>
          </w:divBdr>
        </w:div>
        <w:div w:id="1912424526">
          <w:marLeft w:val="562"/>
          <w:marRight w:val="0"/>
          <w:marTop w:val="67"/>
          <w:marBottom w:val="0"/>
          <w:divBdr>
            <w:top w:val="none" w:sz="0" w:space="0" w:color="auto"/>
            <w:left w:val="none" w:sz="0" w:space="0" w:color="auto"/>
            <w:bottom w:val="none" w:sz="0" w:space="0" w:color="auto"/>
            <w:right w:val="none" w:sz="0" w:space="0" w:color="auto"/>
          </w:divBdr>
        </w:div>
      </w:divsChild>
    </w:div>
    <w:div w:id="686911115">
      <w:bodyDiv w:val="1"/>
      <w:marLeft w:val="0"/>
      <w:marRight w:val="0"/>
      <w:marTop w:val="0"/>
      <w:marBottom w:val="0"/>
      <w:divBdr>
        <w:top w:val="none" w:sz="0" w:space="0" w:color="auto"/>
        <w:left w:val="none" w:sz="0" w:space="0" w:color="auto"/>
        <w:bottom w:val="none" w:sz="0" w:space="0" w:color="auto"/>
        <w:right w:val="none" w:sz="0" w:space="0" w:color="auto"/>
      </w:divBdr>
    </w:div>
    <w:div w:id="746197572">
      <w:bodyDiv w:val="1"/>
      <w:marLeft w:val="0"/>
      <w:marRight w:val="0"/>
      <w:marTop w:val="0"/>
      <w:marBottom w:val="0"/>
      <w:divBdr>
        <w:top w:val="none" w:sz="0" w:space="0" w:color="auto"/>
        <w:left w:val="none" w:sz="0" w:space="0" w:color="auto"/>
        <w:bottom w:val="none" w:sz="0" w:space="0" w:color="auto"/>
        <w:right w:val="none" w:sz="0" w:space="0" w:color="auto"/>
      </w:divBdr>
      <w:divsChild>
        <w:div w:id="408842576">
          <w:marLeft w:val="274"/>
          <w:marRight w:val="0"/>
          <w:marTop w:val="120"/>
          <w:marBottom w:val="0"/>
          <w:divBdr>
            <w:top w:val="none" w:sz="0" w:space="0" w:color="auto"/>
            <w:left w:val="none" w:sz="0" w:space="0" w:color="auto"/>
            <w:bottom w:val="none" w:sz="0" w:space="0" w:color="auto"/>
            <w:right w:val="none" w:sz="0" w:space="0" w:color="auto"/>
          </w:divBdr>
        </w:div>
        <w:div w:id="528875964">
          <w:marLeft w:val="274"/>
          <w:marRight w:val="0"/>
          <w:marTop w:val="120"/>
          <w:marBottom w:val="0"/>
          <w:divBdr>
            <w:top w:val="none" w:sz="0" w:space="0" w:color="auto"/>
            <w:left w:val="none" w:sz="0" w:space="0" w:color="auto"/>
            <w:bottom w:val="none" w:sz="0" w:space="0" w:color="auto"/>
            <w:right w:val="none" w:sz="0" w:space="0" w:color="auto"/>
          </w:divBdr>
        </w:div>
        <w:div w:id="1909222634">
          <w:marLeft w:val="274"/>
          <w:marRight w:val="0"/>
          <w:marTop w:val="120"/>
          <w:marBottom w:val="0"/>
          <w:divBdr>
            <w:top w:val="none" w:sz="0" w:space="0" w:color="auto"/>
            <w:left w:val="none" w:sz="0" w:space="0" w:color="auto"/>
            <w:bottom w:val="none" w:sz="0" w:space="0" w:color="auto"/>
            <w:right w:val="none" w:sz="0" w:space="0" w:color="auto"/>
          </w:divBdr>
        </w:div>
      </w:divsChild>
    </w:div>
    <w:div w:id="750128101">
      <w:marLeft w:val="0"/>
      <w:marRight w:val="0"/>
      <w:marTop w:val="0"/>
      <w:marBottom w:val="0"/>
      <w:divBdr>
        <w:top w:val="none" w:sz="0" w:space="0" w:color="auto"/>
        <w:left w:val="none" w:sz="0" w:space="0" w:color="auto"/>
        <w:bottom w:val="none" w:sz="0" w:space="0" w:color="auto"/>
        <w:right w:val="none" w:sz="0" w:space="0" w:color="auto"/>
      </w:divBdr>
    </w:div>
    <w:div w:id="750128102">
      <w:marLeft w:val="0"/>
      <w:marRight w:val="0"/>
      <w:marTop w:val="0"/>
      <w:marBottom w:val="0"/>
      <w:divBdr>
        <w:top w:val="none" w:sz="0" w:space="0" w:color="auto"/>
        <w:left w:val="none" w:sz="0" w:space="0" w:color="auto"/>
        <w:bottom w:val="none" w:sz="0" w:space="0" w:color="auto"/>
        <w:right w:val="none" w:sz="0" w:space="0" w:color="auto"/>
      </w:divBdr>
    </w:div>
    <w:div w:id="750128103">
      <w:marLeft w:val="0"/>
      <w:marRight w:val="0"/>
      <w:marTop w:val="0"/>
      <w:marBottom w:val="0"/>
      <w:divBdr>
        <w:top w:val="none" w:sz="0" w:space="0" w:color="auto"/>
        <w:left w:val="none" w:sz="0" w:space="0" w:color="auto"/>
        <w:bottom w:val="none" w:sz="0" w:space="0" w:color="auto"/>
        <w:right w:val="none" w:sz="0" w:space="0" w:color="auto"/>
      </w:divBdr>
    </w:div>
    <w:div w:id="750128106">
      <w:marLeft w:val="0"/>
      <w:marRight w:val="0"/>
      <w:marTop w:val="0"/>
      <w:marBottom w:val="0"/>
      <w:divBdr>
        <w:top w:val="none" w:sz="0" w:space="0" w:color="auto"/>
        <w:left w:val="none" w:sz="0" w:space="0" w:color="auto"/>
        <w:bottom w:val="none" w:sz="0" w:space="0" w:color="auto"/>
        <w:right w:val="none" w:sz="0" w:space="0" w:color="auto"/>
      </w:divBdr>
    </w:div>
    <w:div w:id="750128107">
      <w:marLeft w:val="0"/>
      <w:marRight w:val="0"/>
      <w:marTop w:val="0"/>
      <w:marBottom w:val="0"/>
      <w:divBdr>
        <w:top w:val="none" w:sz="0" w:space="0" w:color="auto"/>
        <w:left w:val="none" w:sz="0" w:space="0" w:color="auto"/>
        <w:bottom w:val="none" w:sz="0" w:space="0" w:color="auto"/>
        <w:right w:val="none" w:sz="0" w:space="0" w:color="auto"/>
      </w:divBdr>
    </w:div>
    <w:div w:id="750128108">
      <w:marLeft w:val="0"/>
      <w:marRight w:val="0"/>
      <w:marTop w:val="0"/>
      <w:marBottom w:val="0"/>
      <w:divBdr>
        <w:top w:val="none" w:sz="0" w:space="0" w:color="auto"/>
        <w:left w:val="none" w:sz="0" w:space="0" w:color="auto"/>
        <w:bottom w:val="none" w:sz="0" w:space="0" w:color="auto"/>
        <w:right w:val="none" w:sz="0" w:space="0" w:color="auto"/>
      </w:divBdr>
    </w:div>
    <w:div w:id="750128109">
      <w:marLeft w:val="0"/>
      <w:marRight w:val="0"/>
      <w:marTop w:val="0"/>
      <w:marBottom w:val="0"/>
      <w:divBdr>
        <w:top w:val="none" w:sz="0" w:space="0" w:color="auto"/>
        <w:left w:val="none" w:sz="0" w:space="0" w:color="auto"/>
        <w:bottom w:val="none" w:sz="0" w:space="0" w:color="auto"/>
        <w:right w:val="none" w:sz="0" w:space="0" w:color="auto"/>
      </w:divBdr>
    </w:div>
    <w:div w:id="750128112">
      <w:marLeft w:val="0"/>
      <w:marRight w:val="0"/>
      <w:marTop w:val="0"/>
      <w:marBottom w:val="0"/>
      <w:divBdr>
        <w:top w:val="none" w:sz="0" w:space="0" w:color="auto"/>
        <w:left w:val="none" w:sz="0" w:space="0" w:color="auto"/>
        <w:bottom w:val="none" w:sz="0" w:space="0" w:color="auto"/>
        <w:right w:val="none" w:sz="0" w:space="0" w:color="auto"/>
      </w:divBdr>
    </w:div>
    <w:div w:id="750128113">
      <w:marLeft w:val="0"/>
      <w:marRight w:val="0"/>
      <w:marTop w:val="0"/>
      <w:marBottom w:val="0"/>
      <w:divBdr>
        <w:top w:val="none" w:sz="0" w:space="0" w:color="auto"/>
        <w:left w:val="none" w:sz="0" w:space="0" w:color="auto"/>
        <w:bottom w:val="none" w:sz="0" w:space="0" w:color="auto"/>
        <w:right w:val="none" w:sz="0" w:space="0" w:color="auto"/>
      </w:divBdr>
    </w:div>
    <w:div w:id="750128114">
      <w:marLeft w:val="0"/>
      <w:marRight w:val="0"/>
      <w:marTop w:val="0"/>
      <w:marBottom w:val="0"/>
      <w:divBdr>
        <w:top w:val="none" w:sz="0" w:space="0" w:color="auto"/>
        <w:left w:val="none" w:sz="0" w:space="0" w:color="auto"/>
        <w:bottom w:val="none" w:sz="0" w:space="0" w:color="auto"/>
        <w:right w:val="none" w:sz="0" w:space="0" w:color="auto"/>
      </w:divBdr>
    </w:div>
    <w:div w:id="750128116">
      <w:marLeft w:val="0"/>
      <w:marRight w:val="0"/>
      <w:marTop w:val="0"/>
      <w:marBottom w:val="0"/>
      <w:divBdr>
        <w:top w:val="none" w:sz="0" w:space="0" w:color="auto"/>
        <w:left w:val="none" w:sz="0" w:space="0" w:color="auto"/>
        <w:bottom w:val="none" w:sz="0" w:space="0" w:color="auto"/>
        <w:right w:val="none" w:sz="0" w:space="0" w:color="auto"/>
      </w:divBdr>
    </w:div>
    <w:div w:id="750128118">
      <w:marLeft w:val="0"/>
      <w:marRight w:val="0"/>
      <w:marTop w:val="0"/>
      <w:marBottom w:val="0"/>
      <w:divBdr>
        <w:top w:val="none" w:sz="0" w:space="0" w:color="auto"/>
        <w:left w:val="none" w:sz="0" w:space="0" w:color="auto"/>
        <w:bottom w:val="none" w:sz="0" w:space="0" w:color="auto"/>
        <w:right w:val="none" w:sz="0" w:space="0" w:color="auto"/>
      </w:divBdr>
      <w:divsChild>
        <w:div w:id="750128105">
          <w:marLeft w:val="547"/>
          <w:marRight w:val="0"/>
          <w:marTop w:val="0"/>
          <w:marBottom w:val="0"/>
          <w:divBdr>
            <w:top w:val="none" w:sz="0" w:space="0" w:color="auto"/>
            <w:left w:val="none" w:sz="0" w:space="0" w:color="auto"/>
            <w:bottom w:val="none" w:sz="0" w:space="0" w:color="auto"/>
            <w:right w:val="none" w:sz="0" w:space="0" w:color="auto"/>
          </w:divBdr>
        </w:div>
      </w:divsChild>
    </w:div>
    <w:div w:id="750128119">
      <w:marLeft w:val="0"/>
      <w:marRight w:val="0"/>
      <w:marTop w:val="0"/>
      <w:marBottom w:val="0"/>
      <w:divBdr>
        <w:top w:val="none" w:sz="0" w:space="0" w:color="auto"/>
        <w:left w:val="none" w:sz="0" w:space="0" w:color="auto"/>
        <w:bottom w:val="none" w:sz="0" w:space="0" w:color="auto"/>
        <w:right w:val="none" w:sz="0" w:space="0" w:color="auto"/>
      </w:divBdr>
    </w:div>
    <w:div w:id="750128120">
      <w:marLeft w:val="0"/>
      <w:marRight w:val="0"/>
      <w:marTop w:val="0"/>
      <w:marBottom w:val="0"/>
      <w:divBdr>
        <w:top w:val="none" w:sz="0" w:space="0" w:color="auto"/>
        <w:left w:val="none" w:sz="0" w:space="0" w:color="auto"/>
        <w:bottom w:val="none" w:sz="0" w:space="0" w:color="auto"/>
        <w:right w:val="none" w:sz="0" w:space="0" w:color="auto"/>
      </w:divBdr>
    </w:div>
    <w:div w:id="750128121">
      <w:marLeft w:val="0"/>
      <w:marRight w:val="0"/>
      <w:marTop w:val="0"/>
      <w:marBottom w:val="0"/>
      <w:divBdr>
        <w:top w:val="none" w:sz="0" w:space="0" w:color="auto"/>
        <w:left w:val="none" w:sz="0" w:space="0" w:color="auto"/>
        <w:bottom w:val="none" w:sz="0" w:space="0" w:color="auto"/>
        <w:right w:val="none" w:sz="0" w:space="0" w:color="auto"/>
      </w:divBdr>
    </w:div>
    <w:div w:id="750128123">
      <w:marLeft w:val="0"/>
      <w:marRight w:val="0"/>
      <w:marTop w:val="0"/>
      <w:marBottom w:val="0"/>
      <w:divBdr>
        <w:top w:val="none" w:sz="0" w:space="0" w:color="auto"/>
        <w:left w:val="none" w:sz="0" w:space="0" w:color="auto"/>
        <w:bottom w:val="none" w:sz="0" w:space="0" w:color="auto"/>
        <w:right w:val="none" w:sz="0" w:space="0" w:color="auto"/>
      </w:divBdr>
      <w:divsChild>
        <w:div w:id="750128131">
          <w:marLeft w:val="547"/>
          <w:marRight w:val="0"/>
          <w:marTop w:val="0"/>
          <w:marBottom w:val="0"/>
          <w:divBdr>
            <w:top w:val="none" w:sz="0" w:space="0" w:color="auto"/>
            <w:left w:val="none" w:sz="0" w:space="0" w:color="auto"/>
            <w:bottom w:val="none" w:sz="0" w:space="0" w:color="auto"/>
            <w:right w:val="none" w:sz="0" w:space="0" w:color="auto"/>
          </w:divBdr>
        </w:div>
      </w:divsChild>
    </w:div>
    <w:div w:id="750128125">
      <w:marLeft w:val="0"/>
      <w:marRight w:val="0"/>
      <w:marTop w:val="0"/>
      <w:marBottom w:val="0"/>
      <w:divBdr>
        <w:top w:val="none" w:sz="0" w:space="0" w:color="auto"/>
        <w:left w:val="none" w:sz="0" w:space="0" w:color="auto"/>
        <w:bottom w:val="none" w:sz="0" w:space="0" w:color="auto"/>
        <w:right w:val="none" w:sz="0" w:space="0" w:color="auto"/>
      </w:divBdr>
      <w:divsChild>
        <w:div w:id="750128111">
          <w:marLeft w:val="0"/>
          <w:marRight w:val="0"/>
          <w:marTop w:val="0"/>
          <w:marBottom w:val="0"/>
          <w:divBdr>
            <w:top w:val="none" w:sz="0" w:space="0" w:color="auto"/>
            <w:left w:val="none" w:sz="0" w:space="0" w:color="auto"/>
            <w:bottom w:val="none" w:sz="0" w:space="0" w:color="auto"/>
            <w:right w:val="none" w:sz="0" w:space="0" w:color="auto"/>
          </w:divBdr>
          <w:divsChild>
            <w:div w:id="750128122">
              <w:marLeft w:val="0"/>
              <w:marRight w:val="0"/>
              <w:marTop w:val="0"/>
              <w:marBottom w:val="0"/>
              <w:divBdr>
                <w:top w:val="none" w:sz="0" w:space="0" w:color="auto"/>
                <w:left w:val="none" w:sz="0" w:space="0" w:color="auto"/>
                <w:bottom w:val="none" w:sz="0" w:space="0" w:color="auto"/>
                <w:right w:val="none" w:sz="0" w:space="0" w:color="auto"/>
              </w:divBdr>
              <w:divsChild>
                <w:div w:id="750128117">
                  <w:marLeft w:val="0"/>
                  <w:marRight w:val="0"/>
                  <w:marTop w:val="0"/>
                  <w:marBottom w:val="0"/>
                  <w:divBdr>
                    <w:top w:val="none" w:sz="0" w:space="0" w:color="auto"/>
                    <w:left w:val="none" w:sz="0" w:space="0" w:color="auto"/>
                    <w:bottom w:val="none" w:sz="0" w:space="0" w:color="auto"/>
                    <w:right w:val="none" w:sz="0" w:space="0" w:color="auto"/>
                  </w:divBdr>
                  <w:divsChild>
                    <w:div w:id="750128110">
                      <w:marLeft w:val="0"/>
                      <w:marRight w:val="0"/>
                      <w:marTop w:val="0"/>
                      <w:marBottom w:val="0"/>
                      <w:divBdr>
                        <w:top w:val="none" w:sz="0" w:space="0" w:color="auto"/>
                        <w:left w:val="none" w:sz="0" w:space="0" w:color="auto"/>
                        <w:bottom w:val="none" w:sz="0" w:space="0" w:color="auto"/>
                        <w:right w:val="none" w:sz="0" w:space="0" w:color="auto"/>
                      </w:divBdr>
                      <w:divsChild>
                        <w:div w:id="750128124">
                          <w:marLeft w:val="0"/>
                          <w:marRight w:val="0"/>
                          <w:marTop w:val="0"/>
                          <w:marBottom w:val="0"/>
                          <w:divBdr>
                            <w:top w:val="none" w:sz="0" w:space="0" w:color="auto"/>
                            <w:left w:val="none" w:sz="0" w:space="0" w:color="auto"/>
                            <w:bottom w:val="none" w:sz="0" w:space="0" w:color="auto"/>
                            <w:right w:val="none" w:sz="0" w:space="0" w:color="auto"/>
                          </w:divBdr>
                          <w:divsChild>
                            <w:div w:id="75012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0128126">
      <w:marLeft w:val="0"/>
      <w:marRight w:val="0"/>
      <w:marTop w:val="0"/>
      <w:marBottom w:val="0"/>
      <w:divBdr>
        <w:top w:val="none" w:sz="0" w:space="0" w:color="auto"/>
        <w:left w:val="none" w:sz="0" w:space="0" w:color="auto"/>
        <w:bottom w:val="none" w:sz="0" w:space="0" w:color="auto"/>
        <w:right w:val="none" w:sz="0" w:space="0" w:color="auto"/>
      </w:divBdr>
    </w:div>
    <w:div w:id="750128127">
      <w:marLeft w:val="0"/>
      <w:marRight w:val="0"/>
      <w:marTop w:val="0"/>
      <w:marBottom w:val="0"/>
      <w:divBdr>
        <w:top w:val="none" w:sz="0" w:space="0" w:color="auto"/>
        <w:left w:val="none" w:sz="0" w:space="0" w:color="auto"/>
        <w:bottom w:val="none" w:sz="0" w:space="0" w:color="auto"/>
        <w:right w:val="none" w:sz="0" w:space="0" w:color="auto"/>
      </w:divBdr>
    </w:div>
    <w:div w:id="750128128">
      <w:marLeft w:val="0"/>
      <w:marRight w:val="0"/>
      <w:marTop w:val="0"/>
      <w:marBottom w:val="0"/>
      <w:divBdr>
        <w:top w:val="none" w:sz="0" w:space="0" w:color="auto"/>
        <w:left w:val="none" w:sz="0" w:space="0" w:color="auto"/>
        <w:bottom w:val="none" w:sz="0" w:space="0" w:color="auto"/>
        <w:right w:val="none" w:sz="0" w:space="0" w:color="auto"/>
      </w:divBdr>
    </w:div>
    <w:div w:id="750128129">
      <w:marLeft w:val="0"/>
      <w:marRight w:val="0"/>
      <w:marTop w:val="0"/>
      <w:marBottom w:val="0"/>
      <w:divBdr>
        <w:top w:val="none" w:sz="0" w:space="0" w:color="auto"/>
        <w:left w:val="none" w:sz="0" w:space="0" w:color="auto"/>
        <w:bottom w:val="none" w:sz="0" w:space="0" w:color="auto"/>
        <w:right w:val="none" w:sz="0" w:space="0" w:color="auto"/>
      </w:divBdr>
    </w:div>
    <w:div w:id="750128132">
      <w:marLeft w:val="0"/>
      <w:marRight w:val="0"/>
      <w:marTop w:val="0"/>
      <w:marBottom w:val="0"/>
      <w:divBdr>
        <w:top w:val="none" w:sz="0" w:space="0" w:color="auto"/>
        <w:left w:val="none" w:sz="0" w:space="0" w:color="auto"/>
        <w:bottom w:val="none" w:sz="0" w:space="0" w:color="auto"/>
        <w:right w:val="none" w:sz="0" w:space="0" w:color="auto"/>
      </w:divBdr>
      <w:divsChild>
        <w:div w:id="750128104">
          <w:marLeft w:val="547"/>
          <w:marRight w:val="0"/>
          <w:marTop w:val="0"/>
          <w:marBottom w:val="0"/>
          <w:divBdr>
            <w:top w:val="none" w:sz="0" w:space="0" w:color="auto"/>
            <w:left w:val="none" w:sz="0" w:space="0" w:color="auto"/>
            <w:bottom w:val="none" w:sz="0" w:space="0" w:color="auto"/>
            <w:right w:val="none" w:sz="0" w:space="0" w:color="auto"/>
          </w:divBdr>
        </w:div>
      </w:divsChild>
    </w:div>
    <w:div w:id="750128133">
      <w:marLeft w:val="0"/>
      <w:marRight w:val="0"/>
      <w:marTop w:val="0"/>
      <w:marBottom w:val="0"/>
      <w:divBdr>
        <w:top w:val="none" w:sz="0" w:space="0" w:color="auto"/>
        <w:left w:val="none" w:sz="0" w:space="0" w:color="auto"/>
        <w:bottom w:val="none" w:sz="0" w:space="0" w:color="auto"/>
        <w:right w:val="none" w:sz="0" w:space="0" w:color="auto"/>
      </w:divBdr>
      <w:divsChild>
        <w:div w:id="750128130">
          <w:marLeft w:val="0"/>
          <w:marRight w:val="0"/>
          <w:marTop w:val="0"/>
          <w:marBottom w:val="0"/>
          <w:divBdr>
            <w:top w:val="none" w:sz="0" w:space="0" w:color="auto"/>
            <w:left w:val="none" w:sz="0" w:space="0" w:color="auto"/>
            <w:bottom w:val="none" w:sz="0" w:space="0" w:color="auto"/>
            <w:right w:val="none" w:sz="0" w:space="0" w:color="auto"/>
          </w:divBdr>
        </w:div>
      </w:divsChild>
    </w:div>
    <w:div w:id="750128134">
      <w:marLeft w:val="0"/>
      <w:marRight w:val="0"/>
      <w:marTop w:val="0"/>
      <w:marBottom w:val="0"/>
      <w:divBdr>
        <w:top w:val="none" w:sz="0" w:space="0" w:color="auto"/>
        <w:left w:val="none" w:sz="0" w:space="0" w:color="auto"/>
        <w:bottom w:val="none" w:sz="0" w:space="0" w:color="auto"/>
        <w:right w:val="none" w:sz="0" w:space="0" w:color="auto"/>
      </w:divBdr>
    </w:div>
    <w:div w:id="750128135">
      <w:marLeft w:val="0"/>
      <w:marRight w:val="0"/>
      <w:marTop w:val="0"/>
      <w:marBottom w:val="0"/>
      <w:divBdr>
        <w:top w:val="none" w:sz="0" w:space="0" w:color="auto"/>
        <w:left w:val="none" w:sz="0" w:space="0" w:color="auto"/>
        <w:bottom w:val="none" w:sz="0" w:space="0" w:color="auto"/>
        <w:right w:val="none" w:sz="0" w:space="0" w:color="auto"/>
      </w:divBdr>
    </w:div>
    <w:div w:id="750128136">
      <w:marLeft w:val="0"/>
      <w:marRight w:val="0"/>
      <w:marTop w:val="0"/>
      <w:marBottom w:val="0"/>
      <w:divBdr>
        <w:top w:val="none" w:sz="0" w:space="0" w:color="auto"/>
        <w:left w:val="none" w:sz="0" w:space="0" w:color="auto"/>
        <w:bottom w:val="none" w:sz="0" w:space="0" w:color="auto"/>
        <w:right w:val="none" w:sz="0" w:space="0" w:color="auto"/>
      </w:divBdr>
    </w:div>
    <w:div w:id="750128137">
      <w:marLeft w:val="0"/>
      <w:marRight w:val="0"/>
      <w:marTop w:val="0"/>
      <w:marBottom w:val="0"/>
      <w:divBdr>
        <w:top w:val="none" w:sz="0" w:space="0" w:color="auto"/>
        <w:left w:val="none" w:sz="0" w:space="0" w:color="auto"/>
        <w:bottom w:val="none" w:sz="0" w:space="0" w:color="auto"/>
        <w:right w:val="none" w:sz="0" w:space="0" w:color="auto"/>
      </w:divBdr>
    </w:div>
    <w:div w:id="911936543">
      <w:bodyDiv w:val="1"/>
      <w:marLeft w:val="0"/>
      <w:marRight w:val="0"/>
      <w:marTop w:val="0"/>
      <w:marBottom w:val="0"/>
      <w:divBdr>
        <w:top w:val="none" w:sz="0" w:space="0" w:color="auto"/>
        <w:left w:val="none" w:sz="0" w:space="0" w:color="auto"/>
        <w:bottom w:val="none" w:sz="0" w:space="0" w:color="auto"/>
        <w:right w:val="none" w:sz="0" w:space="0" w:color="auto"/>
      </w:divBdr>
    </w:div>
    <w:div w:id="969867830">
      <w:bodyDiv w:val="1"/>
      <w:marLeft w:val="0"/>
      <w:marRight w:val="0"/>
      <w:marTop w:val="0"/>
      <w:marBottom w:val="0"/>
      <w:divBdr>
        <w:top w:val="none" w:sz="0" w:space="0" w:color="auto"/>
        <w:left w:val="none" w:sz="0" w:space="0" w:color="auto"/>
        <w:bottom w:val="none" w:sz="0" w:space="0" w:color="auto"/>
        <w:right w:val="none" w:sz="0" w:space="0" w:color="auto"/>
      </w:divBdr>
      <w:divsChild>
        <w:div w:id="451435440">
          <w:marLeft w:val="562"/>
          <w:marRight w:val="0"/>
          <w:marTop w:val="67"/>
          <w:marBottom w:val="0"/>
          <w:divBdr>
            <w:top w:val="none" w:sz="0" w:space="0" w:color="auto"/>
            <w:left w:val="none" w:sz="0" w:space="0" w:color="auto"/>
            <w:bottom w:val="none" w:sz="0" w:space="0" w:color="auto"/>
            <w:right w:val="none" w:sz="0" w:space="0" w:color="auto"/>
          </w:divBdr>
        </w:div>
        <w:div w:id="534199665">
          <w:marLeft w:val="562"/>
          <w:marRight w:val="0"/>
          <w:marTop w:val="67"/>
          <w:marBottom w:val="0"/>
          <w:divBdr>
            <w:top w:val="none" w:sz="0" w:space="0" w:color="auto"/>
            <w:left w:val="none" w:sz="0" w:space="0" w:color="auto"/>
            <w:bottom w:val="none" w:sz="0" w:space="0" w:color="auto"/>
            <w:right w:val="none" w:sz="0" w:space="0" w:color="auto"/>
          </w:divBdr>
        </w:div>
        <w:div w:id="554852944">
          <w:marLeft w:val="274"/>
          <w:marRight w:val="0"/>
          <w:marTop w:val="120"/>
          <w:marBottom w:val="0"/>
          <w:divBdr>
            <w:top w:val="none" w:sz="0" w:space="0" w:color="auto"/>
            <w:left w:val="none" w:sz="0" w:space="0" w:color="auto"/>
            <w:bottom w:val="none" w:sz="0" w:space="0" w:color="auto"/>
            <w:right w:val="none" w:sz="0" w:space="0" w:color="auto"/>
          </w:divBdr>
        </w:div>
        <w:div w:id="563027415">
          <w:marLeft w:val="274"/>
          <w:marRight w:val="0"/>
          <w:marTop w:val="120"/>
          <w:marBottom w:val="0"/>
          <w:divBdr>
            <w:top w:val="none" w:sz="0" w:space="0" w:color="auto"/>
            <w:left w:val="none" w:sz="0" w:space="0" w:color="auto"/>
            <w:bottom w:val="none" w:sz="0" w:space="0" w:color="auto"/>
            <w:right w:val="none" w:sz="0" w:space="0" w:color="auto"/>
          </w:divBdr>
        </w:div>
        <w:div w:id="1800029786">
          <w:marLeft w:val="274"/>
          <w:marRight w:val="0"/>
          <w:marTop w:val="120"/>
          <w:marBottom w:val="0"/>
          <w:divBdr>
            <w:top w:val="none" w:sz="0" w:space="0" w:color="auto"/>
            <w:left w:val="none" w:sz="0" w:space="0" w:color="auto"/>
            <w:bottom w:val="none" w:sz="0" w:space="0" w:color="auto"/>
            <w:right w:val="none" w:sz="0" w:space="0" w:color="auto"/>
          </w:divBdr>
        </w:div>
        <w:div w:id="1905874692">
          <w:marLeft w:val="274"/>
          <w:marRight w:val="0"/>
          <w:marTop w:val="120"/>
          <w:marBottom w:val="0"/>
          <w:divBdr>
            <w:top w:val="none" w:sz="0" w:space="0" w:color="auto"/>
            <w:left w:val="none" w:sz="0" w:space="0" w:color="auto"/>
            <w:bottom w:val="none" w:sz="0" w:space="0" w:color="auto"/>
            <w:right w:val="none" w:sz="0" w:space="0" w:color="auto"/>
          </w:divBdr>
        </w:div>
      </w:divsChild>
    </w:div>
    <w:div w:id="991567462">
      <w:bodyDiv w:val="1"/>
      <w:marLeft w:val="0"/>
      <w:marRight w:val="0"/>
      <w:marTop w:val="0"/>
      <w:marBottom w:val="0"/>
      <w:divBdr>
        <w:top w:val="none" w:sz="0" w:space="0" w:color="auto"/>
        <w:left w:val="none" w:sz="0" w:space="0" w:color="auto"/>
        <w:bottom w:val="none" w:sz="0" w:space="0" w:color="auto"/>
        <w:right w:val="none" w:sz="0" w:space="0" w:color="auto"/>
      </w:divBdr>
    </w:div>
    <w:div w:id="1017661185">
      <w:bodyDiv w:val="1"/>
      <w:marLeft w:val="0"/>
      <w:marRight w:val="0"/>
      <w:marTop w:val="0"/>
      <w:marBottom w:val="0"/>
      <w:divBdr>
        <w:top w:val="none" w:sz="0" w:space="0" w:color="auto"/>
        <w:left w:val="none" w:sz="0" w:space="0" w:color="auto"/>
        <w:bottom w:val="none" w:sz="0" w:space="0" w:color="auto"/>
        <w:right w:val="none" w:sz="0" w:space="0" w:color="auto"/>
      </w:divBdr>
      <w:divsChild>
        <w:div w:id="159321453">
          <w:marLeft w:val="562"/>
          <w:marRight w:val="0"/>
          <w:marTop w:val="67"/>
          <w:marBottom w:val="0"/>
          <w:divBdr>
            <w:top w:val="none" w:sz="0" w:space="0" w:color="auto"/>
            <w:left w:val="none" w:sz="0" w:space="0" w:color="auto"/>
            <w:bottom w:val="none" w:sz="0" w:space="0" w:color="auto"/>
            <w:right w:val="none" w:sz="0" w:space="0" w:color="auto"/>
          </w:divBdr>
        </w:div>
        <w:div w:id="978875989">
          <w:marLeft w:val="274"/>
          <w:marRight w:val="0"/>
          <w:marTop w:val="120"/>
          <w:marBottom w:val="0"/>
          <w:divBdr>
            <w:top w:val="none" w:sz="0" w:space="0" w:color="auto"/>
            <w:left w:val="none" w:sz="0" w:space="0" w:color="auto"/>
            <w:bottom w:val="none" w:sz="0" w:space="0" w:color="auto"/>
            <w:right w:val="none" w:sz="0" w:space="0" w:color="auto"/>
          </w:divBdr>
        </w:div>
        <w:div w:id="1165239638">
          <w:marLeft w:val="562"/>
          <w:marRight w:val="0"/>
          <w:marTop w:val="67"/>
          <w:marBottom w:val="0"/>
          <w:divBdr>
            <w:top w:val="none" w:sz="0" w:space="0" w:color="auto"/>
            <w:left w:val="none" w:sz="0" w:space="0" w:color="auto"/>
            <w:bottom w:val="none" w:sz="0" w:space="0" w:color="auto"/>
            <w:right w:val="none" w:sz="0" w:space="0" w:color="auto"/>
          </w:divBdr>
        </w:div>
        <w:div w:id="1258904004">
          <w:marLeft w:val="562"/>
          <w:marRight w:val="0"/>
          <w:marTop w:val="67"/>
          <w:marBottom w:val="0"/>
          <w:divBdr>
            <w:top w:val="none" w:sz="0" w:space="0" w:color="auto"/>
            <w:left w:val="none" w:sz="0" w:space="0" w:color="auto"/>
            <w:bottom w:val="none" w:sz="0" w:space="0" w:color="auto"/>
            <w:right w:val="none" w:sz="0" w:space="0" w:color="auto"/>
          </w:divBdr>
        </w:div>
        <w:div w:id="1752191546">
          <w:marLeft w:val="274"/>
          <w:marRight w:val="0"/>
          <w:marTop w:val="120"/>
          <w:marBottom w:val="0"/>
          <w:divBdr>
            <w:top w:val="none" w:sz="0" w:space="0" w:color="auto"/>
            <w:left w:val="none" w:sz="0" w:space="0" w:color="auto"/>
            <w:bottom w:val="none" w:sz="0" w:space="0" w:color="auto"/>
            <w:right w:val="none" w:sz="0" w:space="0" w:color="auto"/>
          </w:divBdr>
        </w:div>
        <w:div w:id="1878152686">
          <w:marLeft w:val="274"/>
          <w:marRight w:val="0"/>
          <w:marTop w:val="120"/>
          <w:marBottom w:val="0"/>
          <w:divBdr>
            <w:top w:val="none" w:sz="0" w:space="0" w:color="auto"/>
            <w:left w:val="none" w:sz="0" w:space="0" w:color="auto"/>
            <w:bottom w:val="none" w:sz="0" w:space="0" w:color="auto"/>
            <w:right w:val="none" w:sz="0" w:space="0" w:color="auto"/>
          </w:divBdr>
        </w:div>
        <w:div w:id="1952592060">
          <w:marLeft w:val="562"/>
          <w:marRight w:val="0"/>
          <w:marTop w:val="67"/>
          <w:marBottom w:val="0"/>
          <w:divBdr>
            <w:top w:val="none" w:sz="0" w:space="0" w:color="auto"/>
            <w:left w:val="none" w:sz="0" w:space="0" w:color="auto"/>
            <w:bottom w:val="none" w:sz="0" w:space="0" w:color="auto"/>
            <w:right w:val="none" w:sz="0" w:space="0" w:color="auto"/>
          </w:divBdr>
        </w:div>
        <w:div w:id="2095737491">
          <w:marLeft w:val="562"/>
          <w:marRight w:val="0"/>
          <w:marTop w:val="67"/>
          <w:marBottom w:val="0"/>
          <w:divBdr>
            <w:top w:val="none" w:sz="0" w:space="0" w:color="auto"/>
            <w:left w:val="none" w:sz="0" w:space="0" w:color="auto"/>
            <w:bottom w:val="none" w:sz="0" w:space="0" w:color="auto"/>
            <w:right w:val="none" w:sz="0" w:space="0" w:color="auto"/>
          </w:divBdr>
        </w:div>
      </w:divsChild>
    </w:div>
    <w:div w:id="1093815110">
      <w:bodyDiv w:val="1"/>
      <w:marLeft w:val="0"/>
      <w:marRight w:val="0"/>
      <w:marTop w:val="0"/>
      <w:marBottom w:val="0"/>
      <w:divBdr>
        <w:top w:val="none" w:sz="0" w:space="0" w:color="auto"/>
        <w:left w:val="none" w:sz="0" w:space="0" w:color="auto"/>
        <w:bottom w:val="none" w:sz="0" w:space="0" w:color="auto"/>
        <w:right w:val="none" w:sz="0" w:space="0" w:color="auto"/>
      </w:divBdr>
    </w:div>
    <w:div w:id="1246956957">
      <w:bodyDiv w:val="1"/>
      <w:marLeft w:val="0"/>
      <w:marRight w:val="0"/>
      <w:marTop w:val="0"/>
      <w:marBottom w:val="0"/>
      <w:divBdr>
        <w:top w:val="none" w:sz="0" w:space="0" w:color="auto"/>
        <w:left w:val="none" w:sz="0" w:space="0" w:color="auto"/>
        <w:bottom w:val="none" w:sz="0" w:space="0" w:color="auto"/>
        <w:right w:val="none" w:sz="0" w:space="0" w:color="auto"/>
      </w:divBdr>
    </w:div>
    <w:div w:id="1300305532">
      <w:bodyDiv w:val="1"/>
      <w:marLeft w:val="0"/>
      <w:marRight w:val="0"/>
      <w:marTop w:val="0"/>
      <w:marBottom w:val="0"/>
      <w:divBdr>
        <w:top w:val="none" w:sz="0" w:space="0" w:color="auto"/>
        <w:left w:val="none" w:sz="0" w:space="0" w:color="auto"/>
        <w:bottom w:val="none" w:sz="0" w:space="0" w:color="auto"/>
        <w:right w:val="none" w:sz="0" w:space="0" w:color="auto"/>
      </w:divBdr>
    </w:div>
    <w:div w:id="1463116162">
      <w:bodyDiv w:val="1"/>
      <w:marLeft w:val="0"/>
      <w:marRight w:val="0"/>
      <w:marTop w:val="0"/>
      <w:marBottom w:val="0"/>
      <w:divBdr>
        <w:top w:val="none" w:sz="0" w:space="0" w:color="auto"/>
        <w:left w:val="none" w:sz="0" w:space="0" w:color="auto"/>
        <w:bottom w:val="none" w:sz="0" w:space="0" w:color="auto"/>
        <w:right w:val="none" w:sz="0" w:space="0" w:color="auto"/>
      </w:divBdr>
    </w:div>
    <w:div w:id="1529563212">
      <w:bodyDiv w:val="1"/>
      <w:marLeft w:val="0"/>
      <w:marRight w:val="0"/>
      <w:marTop w:val="0"/>
      <w:marBottom w:val="0"/>
      <w:divBdr>
        <w:top w:val="none" w:sz="0" w:space="0" w:color="auto"/>
        <w:left w:val="none" w:sz="0" w:space="0" w:color="auto"/>
        <w:bottom w:val="none" w:sz="0" w:space="0" w:color="auto"/>
        <w:right w:val="none" w:sz="0" w:space="0" w:color="auto"/>
      </w:divBdr>
    </w:div>
    <w:div w:id="1632709434">
      <w:bodyDiv w:val="1"/>
      <w:marLeft w:val="0"/>
      <w:marRight w:val="0"/>
      <w:marTop w:val="0"/>
      <w:marBottom w:val="0"/>
      <w:divBdr>
        <w:top w:val="none" w:sz="0" w:space="0" w:color="auto"/>
        <w:left w:val="none" w:sz="0" w:space="0" w:color="auto"/>
        <w:bottom w:val="none" w:sz="0" w:space="0" w:color="auto"/>
        <w:right w:val="none" w:sz="0" w:space="0" w:color="auto"/>
      </w:divBdr>
    </w:div>
    <w:div w:id="1633166921">
      <w:bodyDiv w:val="1"/>
      <w:marLeft w:val="0"/>
      <w:marRight w:val="0"/>
      <w:marTop w:val="0"/>
      <w:marBottom w:val="0"/>
      <w:divBdr>
        <w:top w:val="none" w:sz="0" w:space="0" w:color="auto"/>
        <w:left w:val="none" w:sz="0" w:space="0" w:color="auto"/>
        <w:bottom w:val="none" w:sz="0" w:space="0" w:color="auto"/>
        <w:right w:val="none" w:sz="0" w:space="0" w:color="auto"/>
      </w:divBdr>
    </w:div>
    <w:div w:id="1660039225">
      <w:bodyDiv w:val="1"/>
      <w:marLeft w:val="0"/>
      <w:marRight w:val="0"/>
      <w:marTop w:val="0"/>
      <w:marBottom w:val="0"/>
      <w:divBdr>
        <w:top w:val="none" w:sz="0" w:space="0" w:color="auto"/>
        <w:left w:val="none" w:sz="0" w:space="0" w:color="auto"/>
        <w:bottom w:val="none" w:sz="0" w:space="0" w:color="auto"/>
        <w:right w:val="none" w:sz="0" w:space="0" w:color="auto"/>
      </w:divBdr>
    </w:div>
    <w:div w:id="1666739871">
      <w:bodyDiv w:val="1"/>
      <w:marLeft w:val="0"/>
      <w:marRight w:val="0"/>
      <w:marTop w:val="0"/>
      <w:marBottom w:val="0"/>
      <w:divBdr>
        <w:top w:val="none" w:sz="0" w:space="0" w:color="auto"/>
        <w:left w:val="none" w:sz="0" w:space="0" w:color="auto"/>
        <w:bottom w:val="none" w:sz="0" w:space="0" w:color="auto"/>
        <w:right w:val="none" w:sz="0" w:space="0" w:color="auto"/>
      </w:divBdr>
    </w:div>
    <w:div w:id="1689788822">
      <w:bodyDiv w:val="1"/>
      <w:marLeft w:val="0"/>
      <w:marRight w:val="0"/>
      <w:marTop w:val="0"/>
      <w:marBottom w:val="0"/>
      <w:divBdr>
        <w:top w:val="none" w:sz="0" w:space="0" w:color="auto"/>
        <w:left w:val="none" w:sz="0" w:space="0" w:color="auto"/>
        <w:bottom w:val="none" w:sz="0" w:space="0" w:color="auto"/>
        <w:right w:val="none" w:sz="0" w:space="0" w:color="auto"/>
      </w:divBdr>
      <w:divsChild>
        <w:div w:id="42995481">
          <w:marLeft w:val="562"/>
          <w:marRight w:val="0"/>
          <w:marTop w:val="67"/>
          <w:marBottom w:val="0"/>
          <w:divBdr>
            <w:top w:val="none" w:sz="0" w:space="0" w:color="auto"/>
            <w:left w:val="none" w:sz="0" w:space="0" w:color="auto"/>
            <w:bottom w:val="none" w:sz="0" w:space="0" w:color="auto"/>
            <w:right w:val="none" w:sz="0" w:space="0" w:color="auto"/>
          </w:divBdr>
        </w:div>
        <w:div w:id="80105300">
          <w:marLeft w:val="562"/>
          <w:marRight w:val="0"/>
          <w:marTop w:val="67"/>
          <w:marBottom w:val="0"/>
          <w:divBdr>
            <w:top w:val="none" w:sz="0" w:space="0" w:color="auto"/>
            <w:left w:val="none" w:sz="0" w:space="0" w:color="auto"/>
            <w:bottom w:val="none" w:sz="0" w:space="0" w:color="auto"/>
            <w:right w:val="none" w:sz="0" w:space="0" w:color="auto"/>
          </w:divBdr>
        </w:div>
        <w:div w:id="147282843">
          <w:marLeft w:val="562"/>
          <w:marRight w:val="0"/>
          <w:marTop w:val="67"/>
          <w:marBottom w:val="0"/>
          <w:divBdr>
            <w:top w:val="none" w:sz="0" w:space="0" w:color="auto"/>
            <w:left w:val="none" w:sz="0" w:space="0" w:color="auto"/>
            <w:bottom w:val="none" w:sz="0" w:space="0" w:color="auto"/>
            <w:right w:val="none" w:sz="0" w:space="0" w:color="auto"/>
          </w:divBdr>
        </w:div>
        <w:div w:id="356779572">
          <w:marLeft w:val="274"/>
          <w:marRight w:val="0"/>
          <w:marTop w:val="120"/>
          <w:marBottom w:val="0"/>
          <w:divBdr>
            <w:top w:val="none" w:sz="0" w:space="0" w:color="auto"/>
            <w:left w:val="none" w:sz="0" w:space="0" w:color="auto"/>
            <w:bottom w:val="none" w:sz="0" w:space="0" w:color="auto"/>
            <w:right w:val="none" w:sz="0" w:space="0" w:color="auto"/>
          </w:divBdr>
        </w:div>
        <w:div w:id="1057511614">
          <w:marLeft w:val="562"/>
          <w:marRight w:val="0"/>
          <w:marTop w:val="67"/>
          <w:marBottom w:val="0"/>
          <w:divBdr>
            <w:top w:val="none" w:sz="0" w:space="0" w:color="auto"/>
            <w:left w:val="none" w:sz="0" w:space="0" w:color="auto"/>
            <w:bottom w:val="none" w:sz="0" w:space="0" w:color="auto"/>
            <w:right w:val="none" w:sz="0" w:space="0" w:color="auto"/>
          </w:divBdr>
        </w:div>
        <w:div w:id="1137337726">
          <w:marLeft w:val="274"/>
          <w:marRight w:val="0"/>
          <w:marTop w:val="120"/>
          <w:marBottom w:val="0"/>
          <w:divBdr>
            <w:top w:val="none" w:sz="0" w:space="0" w:color="auto"/>
            <w:left w:val="none" w:sz="0" w:space="0" w:color="auto"/>
            <w:bottom w:val="none" w:sz="0" w:space="0" w:color="auto"/>
            <w:right w:val="none" w:sz="0" w:space="0" w:color="auto"/>
          </w:divBdr>
        </w:div>
        <w:div w:id="1387101363">
          <w:marLeft w:val="274"/>
          <w:marRight w:val="0"/>
          <w:marTop w:val="120"/>
          <w:marBottom w:val="0"/>
          <w:divBdr>
            <w:top w:val="none" w:sz="0" w:space="0" w:color="auto"/>
            <w:left w:val="none" w:sz="0" w:space="0" w:color="auto"/>
            <w:bottom w:val="none" w:sz="0" w:space="0" w:color="auto"/>
            <w:right w:val="none" w:sz="0" w:space="0" w:color="auto"/>
          </w:divBdr>
        </w:div>
        <w:div w:id="1629631112">
          <w:marLeft w:val="562"/>
          <w:marRight w:val="0"/>
          <w:marTop w:val="67"/>
          <w:marBottom w:val="0"/>
          <w:divBdr>
            <w:top w:val="none" w:sz="0" w:space="0" w:color="auto"/>
            <w:left w:val="none" w:sz="0" w:space="0" w:color="auto"/>
            <w:bottom w:val="none" w:sz="0" w:space="0" w:color="auto"/>
            <w:right w:val="none" w:sz="0" w:space="0" w:color="auto"/>
          </w:divBdr>
        </w:div>
        <w:div w:id="1741365153">
          <w:marLeft w:val="274"/>
          <w:marRight w:val="0"/>
          <w:marTop w:val="120"/>
          <w:marBottom w:val="0"/>
          <w:divBdr>
            <w:top w:val="none" w:sz="0" w:space="0" w:color="auto"/>
            <w:left w:val="none" w:sz="0" w:space="0" w:color="auto"/>
            <w:bottom w:val="none" w:sz="0" w:space="0" w:color="auto"/>
            <w:right w:val="none" w:sz="0" w:space="0" w:color="auto"/>
          </w:divBdr>
        </w:div>
      </w:divsChild>
    </w:div>
    <w:div w:id="1812819484">
      <w:bodyDiv w:val="1"/>
      <w:marLeft w:val="0"/>
      <w:marRight w:val="0"/>
      <w:marTop w:val="0"/>
      <w:marBottom w:val="0"/>
      <w:divBdr>
        <w:top w:val="none" w:sz="0" w:space="0" w:color="auto"/>
        <w:left w:val="none" w:sz="0" w:space="0" w:color="auto"/>
        <w:bottom w:val="none" w:sz="0" w:space="0" w:color="auto"/>
        <w:right w:val="none" w:sz="0" w:space="0" w:color="auto"/>
      </w:divBdr>
    </w:div>
    <w:div w:id="188856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ngfisher.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ingfisher.com/index.asp?pageid=7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iy.com" TargetMode="External"/><Relationship Id="rId4" Type="http://schemas.openxmlformats.org/officeDocument/2006/relationships/settings" Target="settings.xml"/><Relationship Id="rId9" Type="http://schemas.openxmlformats.org/officeDocument/2006/relationships/hyperlink" Target="http://www.otcmarkets.com/stock/KGFHY/quot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FF34A-4746-4440-9191-47965C624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6104</Words>
  <Characters>34799</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EMBARGOED UNTIL 0700 HOURS</vt:lpstr>
    </vt:vector>
  </TitlesOfParts>
  <Company>Grizli777</Company>
  <LinksUpToDate>false</LinksUpToDate>
  <CharactersWithSpaces>40822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Interim results for the 26 weeks ended 3 August 2013</dc:title>
  <dc:subject/>
  <dc:creator>woodward</dc:creator>
  <cp:keywords/>
  <dc:description/>
  <cp:lastModifiedBy>Peter Harper</cp:lastModifiedBy>
  <cp:revision>5</cp:revision>
  <cp:lastPrinted>2013-09-10T17:32:00Z</cp:lastPrinted>
  <dcterms:created xsi:type="dcterms:W3CDTF">2013-09-10T17:30:00Z</dcterms:created>
  <dcterms:modified xsi:type="dcterms:W3CDTF">2013-09-10T19:07:00Z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507887978</vt:i4>
  </property>
</Properties>
</file>